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80" w:rsidRPr="00AC4AEA" w:rsidRDefault="006E3280" w:rsidP="00420740">
      <w:pPr>
        <w:autoSpaceDE w:val="0"/>
        <w:autoSpaceDN w:val="0"/>
        <w:adjustRightInd w:val="0"/>
        <w:jc w:val="both"/>
        <w:rPr>
          <w:rFonts w:ascii="Arial" w:hAnsi="Arial" w:cs="Arial"/>
          <w:b/>
          <w:bCs/>
          <w:sz w:val="20"/>
          <w:szCs w:val="20"/>
        </w:rPr>
      </w:pPr>
      <w:r w:rsidRPr="00AC4AEA">
        <w:rPr>
          <w:rFonts w:ascii="Arial" w:hAnsi="Arial" w:cs="Arial"/>
          <w:b/>
          <w:bCs/>
          <w:sz w:val="20"/>
          <w:szCs w:val="20"/>
        </w:rPr>
        <w:t>FEDERACIÓN ARGENTINA DE CONSEJOS PROFESIONALES DE CIENCIAS ECONÓMICAS</w:t>
      </w:r>
    </w:p>
    <w:p w:rsidR="006E3280" w:rsidRPr="00AC4AEA" w:rsidRDefault="006E3280" w:rsidP="00A318EA">
      <w:pPr>
        <w:autoSpaceDE w:val="0"/>
        <w:autoSpaceDN w:val="0"/>
        <w:adjustRightInd w:val="0"/>
        <w:rPr>
          <w:rFonts w:ascii="Arial" w:hAnsi="Arial" w:cs="Arial"/>
          <w:b/>
          <w:bCs/>
          <w:sz w:val="20"/>
          <w:szCs w:val="20"/>
        </w:rPr>
      </w:pPr>
    </w:p>
    <w:p w:rsidR="006E3280" w:rsidRPr="00AC4AEA" w:rsidRDefault="006E3280" w:rsidP="00A318EA">
      <w:pPr>
        <w:autoSpaceDE w:val="0"/>
        <w:autoSpaceDN w:val="0"/>
        <w:adjustRightInd w:val="0"/>
        <w:rPr>
          <w:rFonts w:ascii="Arial" w:hAnsi="Arial" w:cs="Arial"/>
          <w:sz w:val="20"/>
          <w:szCs w:val="20"/>
        </w:rPr>
      </w:pPr>
      <w:r w:rsidRPr="00AC4AEA">
        <w:rPr>
          <w:rFonts w:ascii="Arial" w:hAnsi="Arial" w:cs="Arial"/>
          <w:b/>
          <w:bCs/>
          <w:sz w:val="20"/>
          <w:szCs w:val="20"/>
        </w:rPr>
        <w:t>CONSEJO ELABORADOR DE NORMAS DE CONTABILIDAD Y AUDITORÍA (CENCYA)</w:t>
      </w:r>
    </w:p>
    <w:p w:rsidR="006E3280" w:rsidRPr="00AC4AEA" w:rsidRDefault="006E3280" w:rsidP="00A318EA">
      <w:pPr>
        <w:pStyle w:val="Default"/>
        <w:spacing w:before="240"/>
        <w:rPr>
          <w:b/>
          <w:bCs/>
          <w:color w:val="auto"/>
          <w:sz w:val="20"/>
          <w:szCs w:val="20"/>
          <w:lang w:val="es-AR"/>
        </w:rPr>
      </w:pPr>
    </w:p>
    <w:p w:rsidR="006E3280" w:rsidRPr="00AC4AEA" w:rsidRDefault="006E3280" w:rsidP="00A318EA">
      <w:pPr>
        <w:pStyle w:val="Default"/>
        <w:spacing w:before="240"/>
        <w:rPr>
          <w:b/>
          <w:bCs/>
          <w:color w:val="auto"/>
          <w:sz w:val="20"/>
          <w:szCs w:val="20"/>
          <w:lang w:val="es-AR"/>
        </w:rPr>
      </w:pPr>
    </w:p>
    <w:p w:rsidR="006E3280" w:rsidRPr="00AC4AEA" w:rsidRDefault="006E3280" w:rsidP="00A318EA">
      <w:pPr>
        <w:pStyle w:val="Default"/>
        <w:spacing w:before="240"/>
        <w:rPr>
          <w:b/>
          <w:bCs/>
          <w:color w:val="auto"/>
          <w:sz w:val="20"/>
          <w:szCs w:val="20"/>
          <w:lang w:val="es-AR"/>
        </w:rPr>
      </w:pPr>
    </w:p>
    <w:p w:rsidR="006E3280" w:rsidRPr="00AC4AEA" w:rsidRDefault="006E3280" w:rsidP="00A318EA">
      <w:pPr>
        <w:pStyle w:val="Default"/>
        <w:spacing w:before="240"/>
        <w:rPr>
          <w:b/>
          <w:bCs/>
          <w:color w:val="auto"/>
          <w:sz w:val="20"/>
          <w:szCs w:val="20"/>
          <w:lang w:val="es-AR"/>
        </w:rPr>
      </w:pPr>
    </w:p>
    <w:p w:rsidR="006E3280" w:rsidRPr="00AC4AEA" w:rsidRDefault="006E3280" w:rsidP="00A318EA">
      <w:pPr>
        <w:pStyle w:val="Default"/>
        <w:spacing w:before="240"/>
        <w:jc w:val="center"/>
        <w:rPr>
          <w:color w:val="auto"/>
          <w:sz w:val="20"/>
          <w:szCs w:val="20"/>
          <w:lang w:val="es-AR"/>
        </w:rPr>
      </w:pPr>
    </w:p>
    <w:p w:rsidR="006E3280" w:rsidRPr="00AC4AEA" w:rsidRDefault="006E3280" w:rsidP="00A318EA">
      <w:pPr>
        <w:rPr>
          <w:rFonts w:ascii="Arial" w:hAnsi="Arial" w:cs="Arial"/>
          <w:b/>
          <w:bCs/>
          <w:sz w:val="40"/>
          <w:szCs w:val="40"/>
        </w:rPr>
      </w:pPr>
      <w:r w:rsidRPr="00AC4AEA">
        <w:rPr>
          <w:rFonts w:ascii="Arial" w:hAnsi="Arial" w:cs="Arial"/>
          <w:b/>
          <w:bCs/>
          <w:sz w:val="40"/>
          <w:szCs w:val="40"/>
        </w:rPr>
        <w:t>Resolución Técnica N°</w:t>
      </w:r>
      <w:r w:rsidR="00E5062A" w:rsidRPr="00AC4AEA">
        <w:rPr>
          <w:rFonts w:ascii="Arial" w:hAnsi="Arial" w:cs="Arial"/>
          <w:b/>
          <w:bCs/>
          <w:sz w:val="40"/>
          <w:szCs w:val="40"/>
        </w:rPr>
        <w:t xml:space="preserve"> 5</w:t>
      </w:r>
      <w:r w:rsidR="005D6176">
        <w:rPr>
          <w:rFonts w:ascii="Arial" w:hAnsi="Arial" w:cs="Arial"/>
          <w:b/>
          <w:bCs/>
          <w:sz w:val="40"/>
          <w:szCs w:val="40"/>
        </w:rPr>
        <w:t>6</w:t>
      </w:r>
    </w:p>
    <w:p w:rsidR="006E3280" w:rsidRPr="00AC4AEA" w:rsidRDefault="006E3280" w:rsidP="00A318EA">
      <w:pPr>
        <w:pStyle w:val="Default"/>
        <w:spacing w:before="240"/>
        <w:rPr>
          <w:b/>
          <w:bCs/>
          <w:color w:val="auto"/>
          <w:sz w:val="40"/>
          <w:szCs w:val="40"/>
          <w:lang w:val="es-AR"/>
        </w:rPr>
      </w:pPr>
    </w:p>
    <w:p w:rsidR="006E3280" w:rsidRDefault="006E3280" w:rsidP="00A318EA">
      <w:pPr>
        <w:pStyle w:val="Default"/>
        <w:spacing w:before="240"/>
        <w:ind w:left="142" w:firstLine="0"/>
        <w:rPr>
          <w:b/>
          <w:color w:val="auto"/>
          <w:sz w:val="40"/>
          <w:szCs w:val="40"/>
          <w:lang w:val="es-AR"/>
        </w:rPr>
      </w:pPr>
      <w:r w:rsidRPr="00AC4AEA">
        <w:rPr>
          <w:b/>
          <w:color w:val="auto"/>
          <w:sz w:val="40"/>
          <w:szCs w:val="40"/>
          <w:lang w:val="es-AR"/>
        </w:rPr>
        <w:t>NORMAS CONTABLES PROFESIONALES: NORMA UNIFICADA ARGENTINA DE CONTABILIDAD.</w:t>
      </w:r>
    </w:p>
    <w:p w:rsidR="00E472EF" w:rsidRPr="00E472EF" w:rsidRDefault="00E472EF" w:rsidP="00C01B25">
      <w:pPr>
        <w:pStyle w:val="Default"/>
        <w:numPr>
          <w:ilvl w:val="0"/>
          <w:numId w:val="725"/>
        </w:numPr>
        <w:ind w:left="425" w:hanging="357"/>
        <w:rPr>
          <w:color w:val="auto"/>
          <w:sz w:val="36"/>
          <w:szCs w:val="36"/>
          <w:lang w:val="es-AR"/>
        </w:rPr>
      </w:pPr>
      <w:r w:rsidRPr="00E472EF">
        <w:rPr>
          <w:color w:val="auto"/>
          <w:sz w:val="36"/>
          <w:szCs w:val="36"/>
          <w:lang w:val="es-AR"/>
        </w:rPr>
        <w:t>Modificaciones a la Resolución Técnica N° 54.</w:t>
      </w:r>
    </w:p>
    <w:p w:rsidR="00E472EF" w:rsidRPr="00E472EF" w:rsidRDefault="00E472EF" w:rsidP="00E472EF">
      <w:pPr>
        <w:pStyle w:val="Default"/>
        <w:ind w:left="68" w:firstLine="0"/>
        <w:rPr>
          <w:color w:val="auto"/>
          <w:sz w:val="36"/>
          <w:szCs w:val="36"/>
          <w:lang w:val="es-AR"/>
        </w:rPr>
      </w:pPr>
    </w:p>
    <w:p w:rsidR="00E43B45" w:rsidRPr="00AC4AEA" w:rsidRDefault="00E43B45" w:rsidP="00A318EA">
      <w:pPr>
        <w:jc w:val="right"/>
        <w:rPr>
          <w:rFonts w:ascii="Arial" w:hAnsi="Arial" w:cs="Arial"/>
          <w:b/>
          <w:bCs/>
          <w:sz w:val="20"/>
          <w:szCs w:val="20"/>
        </w:rPr>
      </w:pPr>
      <w:r w:rsidRPr="00AC4AEA">
        <w:rPr>
          <w:rFonts w:ascii="Arial" w:hAnsi="Arial" w:cs="Arial"/>
          <w:b/>
          <w:bCs/>
          <w:sz w:val="20"/>
          <w:szCs w:val="20"/>
        </w:rPr>
        <w:br w:type="page"/>
      </w:r>
    </w:p>
    <w:sdt>
      <w:sdtPr>
        <w:rPr>
          <w:rFonts w:ascii="Arial" w:eastAsiaTheme="minorHAnsi" w:hAnsi="Arial" w:cs="Arial"/>
          <w:b/>
          <w:bCs/>
          <w:color w:val="auto"/>
          <w:kern w:val="2"/>
          <w:sz w:val="20"/>
          <w:szCs w:val="20"/>
          <w:lang w:val="es-AR" w:eastAsia="en-US"/>
        </w:rPr>
        <w:id w:val="-1731066592"/>
        <w:docPartObj>
          <w:docPartGallery w:val="Table of Contents"/>
          <w:docPartUnique/>
        </w:docPartObj>
      </w:sdtPr>
      <w:sdtEndPr>
        <w:rPr>
          <w:rFonts w:asciiTheme="minorHAnsi" w:hAnsiTheme="minorHAnsi" w:cstheme="minorBidi"/>
          <w:kern w:val="0"/>
          <w:sz w:val="22"/>
          <w:szCs w:val="22"/>
        </w:rPr>
      </w:sdtEndPr>
      <w:sdtContent>
        <w:p w:rsidR="000F4009" w:rsidRPr="00CD2668" w:rsidRDefault="000F4009">
          <w:pPr>
            <w:pStyle w:val="TtulodeTDC"/>
            <w:rPr>
              <w:rFonts w:ascii="Arial" w:hAnsi="Arial" w:cs="Arial"/>
              <w:b/>
              <w:bCs/>
              <w:color w:val="auto"/>
              <w:sz w:val="20"/>
              <w:szCs w:val="20"/>
            </w:rPr>
          </w:pPr>
          <w:r w:rsidRPr="00CD2668">
            <w:rPr>
              <w:rFonts w:ascii="Arial" w:hAnsi="Arial" w:cs="Arial"/>
              <w:b/>
              <w:bCs/>
              <w:color w:val="auto"/>
              <w:sz w:val="20"/>
              <w:szCs w:val="20"/>
            </w:rPr>
            <w:t>Contenido</w:t>
          </w:r>
        </w:p>
        <w:p w:rsidR="008F52CD" w:rsidRPr="00CD2668" w:rsidRDefault="001C4138" w:rsidP="00C01B25">
          <w:pPr>
            <w:pStyle w:val="TDC1"/>
            <w:rPr>
              <w:rFonts w:eastAsiaTheme="minorEastAsia"/>
              <w:b w:val="0"/>
              <w:caps w:val="0"/>
              <w:szCs w:val="20"/>
              <w:lang w:eastAsia="es-AR"/>
            </w:rPr>
          </w:pPr>
          <w:r w:rsidRPr="001C4138">
            <w:rPr>
              <w:b w:val="0"/>
              <w:caps w:val="0"/>
              <w:szCs w:val="20"/>
            </w:rPr>
            <w:fldChar w:fldCharType="begin"/>
          </w:r>
          <w:r w:rsidR="00F76002" w:rsidRPr="00CD2668">
            <w:rPr>
              <w:b w:val="0"/>
              <w:caps w:val="0"/>
              <w:szCs w:val="20"/>
            </w:rPr>
            <w:instrText xml:space="preserve"> TOC \o "1-3" \h \z \u </w:instrText>
          </w:r>
          <w:r w:rsidRPr="001C4138">
            <w:rPr>
              <w:b w:val="0"/>
              <w:caps w:val="0"/>
              <w:szCs w:val="20"/>
            </w:rPr>
            <w:fldChar w:fldCharType="separate"/>
          </w:r>
        </w:p>
        <w:p w:rsidR="008F52CD" w:rsidRPr="00CD2668" w:rsidRDefault="001C4138">
          <w:pPr>
            <w:pStyle w:val="TDC1"/>
            <w:rPr>
              <w:rFonts w:eastAsiaTheme="minorEastAsia"/>
              <w:b w:val="0"/>
              <w:caps w:val="0"/>
              <w:szCs w:val="20"/>
              <w:lang w:eastAsia="es-AR"/>
            </w:rPr>
          </w:pPr>
          <w:hyperlink w:anchor="_Toc139356559" w:history="1">
            <w:r w:rsidR="008F52CD" w:rsidRPr="00CD2668">
              <w:rPr>
                <w:rStyle w:val="Hipervnculo"/>
                <w:szCs w:val="20"/>
              </w:rPr>
              <w:t>SEGUNDA PARTE</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_Toc139356559 \h </w:instrText>
            </w:r>
            <w:r w:rsidRPr="00CD2668">
              <w:rPr>
                <w:webHidden/>
                <w:szCs w:val="20"/>
              </w:rPr>
            </w:r>
            <w:r w:rsidRPr="00CD2668">
              <w:rPr>
                <w:webHidden/>
                <w:szCs w:val="20"/>
              </w:rPr>
              <w:fldChar w:fldCharType="separate"/>
            </w:r>
            <w:r w:rsidR="00D33A5D">
              <w:rPr>
                <w:webHidden/>
                <w:szCs w:val="20"/>
              </w:rPr>
              <w:t>25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60" w:history="1">
            <w:r w:rsidR="008F52CD" w:rsidRPr="00CD2668">
              <w:rPr>
                <w:rStyle w:val="Hipervnculo"/>
                <w:szCs w:val="20"/>
              </w:rPr>
              <w:t>RESOLUCIÓN TÉCNICA N°54</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_Toc139356560 \h </w:instrText>
            </w:r>
            <w:r w:rsidRPr="00CD2668">
              <w:rPr>
                <w:webHidden/>
                <w:szCs w:val="20"/>
              </w:rPr>
            </w:r>
            <w:r w:rsidRPr="00CD2668">
              <w:rPr>
                <w:webHidden/>
                <w:szCs w:val="20"/>
              </w:rPr>
              <w:fldChar w:fldCharType="separate"/>
            </w:r>
            <w:r w:rsidR="00D33A5D">
              <w:rPr>
                <w:webHidden/>
                <w:szCs w:val="20"/>
              </w:rPr>
              <w:t>25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61" w:history="1">
            <w:r w:rsidR="008F52CD" w:rsidRPr="00CD2668">
              <w:rPr>
                <w:rStyle w:val="Hipervnculo"/>
                <w:szCs w:val="20"/>
              </w:rPr>
              <w:t>~INTRODUCCIÓN~</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_Toc139356561 \h </w:instrText>
            </w:r>
            <w:r w:rsidRPr="00CD2668">
              <w:rPr>
                <w:webHidden/>
                <w:szCs w:val="20"/>
              </w:rPr>
            </w:r>
            <w:r w:rsidRPr="00CD2668">
              <w:rPr>
                <w:webHidden/>
                <w:szCs w:val="20"/>
              </w:rPr>
              <w:fldChar w:fldCharType="separate"/>
            </w:r>
            <w:r w:rsidR="00D33A5D">
              <w:rPr>
                <w:webHidden/>
                <w:szCs w:val="20"/>
              </w:rPr>
              <w:t>25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62" w:history="1">
            <w:r w:rsidR="008F52CD" w:rsidRPr="00CD2668">
              <w:rPr>
                <w:rStyle w:val="Hipervnculo"/>
                <w:szCs w:val="20"/>
              </w:rPr>
              <w:t>OBJETIVO Y ALCANCE DE ESTA RESOLUCIÓN TÉCNICA</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_Toc139356562 \h </w:instrText>
            </w:r>
            <w:r w:rsidRPr="00CD2668">
              <w:rPr>
                <w:webHidden/>
                <w:szCs w:val="20"/>
              </w:rPr>
            </w:r>
            <w:r w:rsidRPr="00CD2668">
              <w:rPr>
                <w:webHidden/>
                <w:szCs w:val="20"/>
              </w:rPr>
              <w:fldChar w:fldCharType="separate"/>
            </w:r>
            <w:r w:rsidR="00D33A5D">
              <w:rPr>
                <w:webHidden/>
                <w:szCs w:val="20"/>
              </w:rPr>
              <w:t>25</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63"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_Toc139356563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64" w:history="1">
            <w:r w:rsidR="008F52CD" w:rsidRPr="00CD2668">
              <w:rPr>
                <w:rStyle w:val="Hipervnculo"/>
                <w:rFonts w:cs="Arial"/>
                <w:noProof/>
                <w:szCs w:val="20"/>
              </w:rPr>
              <w:t>Alcance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_Toc139356564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65" w:history="1">
            <w:r w:rsidR="008F52CD" w:rsidRPr="00CD2668">
              <w:rPr>
                <w:rStyle w:val="Hipervnculo"/>
                <w:szCs w:val="20"/>
              </w:rPr>
              <w:t>RESOLUCIÓN TÉCNICA N°54</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_Toc139356565 \h </w:instrText>
            </w:r>
            <w:r w:rsidRPr="00CD2668">
              <w:rPr>
                <w:webHidden/>
                <w:szCs w:val="20"/>
              </w:rPr>
            </w:r>
            <w:r w:rsidRPr="00CD2668">
              <w:rPr>
                <w:webHidden/>
                <w:szCs w:val="20"/>
              </w:rPr>
              <w:fldChar w:fldCharType="separate"/>
            </w:r>
            <w:r w:rsidR="00D33A5D">
              <w:rPr>
                <w:webHidden/>
                <w:szCs w:val="20"/>
              </w:rPr>
              <w:t>28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66" w:history="1">
            <w:r w:rsidR="008F52CD" w:rsidRPr="00CD2668">
              <w:rPr>
                <w:rStyle w:val="Hipervnculo"/>
                <w:szCs w:val="20"/>
              </w:rPr>
              <w:t>TITULO I</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_Toc139356566 \h </w:instrText>
            </w:r>
            <w:r w:rsidRPr="00CD2668">
              <w:rPr>
                <w:webHidden/>
                <w:szCs w:val="20"/>
              </w:rPr>
            </w:r>
            <w:r w:rsidRPr="00CD2668">
              <w:rPr>
                <w:webHidden/>
                <w:szCs w:val="20"/>
              </w:rPr>
              <w:fldChar w:fldCharType="separate"/>
            </w:r>
            <w:r w:rsidR="00D33A5D">
              <w:rPr>
                <w:webHidden/>
                <w:szCs w:val="20"/>
              </w:rPr>
              <w:t>28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67" w:history="1">
            <w:r w:rsidR="008F52CD" w:rsidRPr="00CD2668">
              <w:rPr>
                <w:rStyle w:val="Hipervnculo"/>
                <w:szCs w:val="20"/>
              </w:rPr>
              <w:t>~NORMAS GENERALES~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_Toc139356567 \h </w:instrText>
            </w:r>
            <w:r w:rsidRPr="00CD2668">
              <w:rPr>
                <w:webHidden/>
                <w:szCs w:val="20"/>
              </w:rPr>
            </w:r>
            <w:r w:rsidRPr="00CD2668">
              <w:rPr>
                <w:webHidden/>
                <w:szCs w:val="20"/>
              </w:rPr>
              <w:fldChar w:fldCharType="separate"/>
            </w:r>
            <w:r w:rsidR="00D33A5D">
              <w:rPr>
                <w:webHidden/>
                <w:szCs w:val="20"/>
              </w:rPr>
              <w:t>28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68" w:history="1">
            <w:r w:rsidR="008F52CD" w:rsidRPr="00CD2668">
              <w:rPr>
                <w:rStyle w:val="Hipervnculo"/>
                <w:szCs w:val="20"/>
              </w:rPr>
              <w:t>CAPÍTULO 1</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_Toc139356568 \h </w:instrText>
            </w:r>
            <w:r w:rsidRPr="00CD2668">
              <w:rPr>
                <w:webHidden/>
                <w:szCs w:val="20"/>
              </w:rPr>
            </w:r>
            <w:r w:rsidRPr="00CD2668">
              <w:rPr>
                <w:webHidden/>
                <w:szCs w:val="20"/>
              </w:rPr>
              <w:fldChar w:fldCharType="separate"/>
            </w:r>
            <w:r w:rsidR="00D33A5D">
              <w:rPr>
                <w:webHidden/>
                <w:szCs w:val="20"/>
              </w:rPr>
              <w:t>28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69" w:history="1">
            <w:r w:rsidR="008F52CD" w:rsidRPr="00CD2668">
              <w:rPr>
                <w:rStyle w:val="Hipervnculo"/>
                <w:szCs w:val="20"/>
              </w:rPr>
              <w:t>CUESTIONES DE APLICACIÓN GENERAL</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_Toc139356569 \h </w:instrText>
            </w:r>
            <w:r w:rsidRPr="00CD2668">
              <w:rPr>
                <w:webHidden/>
                <w:szCs w:val="20"/>
              </w:rPr>
            </w:r>
            <w:r w:rsidRPr="00CD2668">
              <w:rPr>
                <w:webHidden/>
                <w:szCs w:val="20"/>
              </w:rPr>
              <w:fldChar w:fldCharType="separate"/>
            </w:r>
            <w:r w:rsidR="00D33A5D">
              <w:rPr>
                <w:webHidden/>
                <w:szCs w:val="20"/>
              </w:rPr>
              <w:t>28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70"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_Toc139356570 \h </w:instrText>
            </w:r>
            <w:r w:rsidRPr="00CD2668">
              <w:rPr>
                <w:webHidden/>
                <w:szCs w:val="20"/>
              </w:rPr>
            </w:r>
            <w:r w:rsidRPr="00CD2668">
              <w:rPr>
                <w:webHidden/>
                <w:szCs w:val="20"/>
              </w:rPr>
              <w:fldChar w:fldCharType="separate"/>
            </w:r>
            <w:r w:rsidR="00D33A5D">
              <w:rPr>
                <w:webHidden/>
                <w:szCs w:val="20"/>
              </w:rPr>
              <w:t>28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71" w:history="1">
            <w:r w:rsidR="008F52CD" w:rsidRPr="00CD2668">
              <w:rPr>
                <w:rStyle w:val="Hipervnculo"/>
                <w:szCs w:val="20"/>
              </w:rPr>
              <w:t xml:space="preserve">PREPARACIÓN DE </w:t>
            </w:r>
            <w:r w:rsidR="008F52CD" w:rsidRPr="00CD2668">
              <w:rPr>
                <w:rStyle w:val="Hipervnculo"/>
                <w:bCs/>
                <w:szCs w:val="20"/>
              </w:rPr>
              <w:t>ESTADOS CONTABLES</w:t>
            </w:r>
            <w:r w:rsidR="008F52CD" w:rsidRPr="00CD2668">
              <w:rPr>
                <w:rStyle w:val="Hipervnculo"/>
                <w:szCs w:val="20"/>
              </w:rPr>
              <w:t>: PREMISAS FUNDAMENTALES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_Toc139356571 \h </w:instrText>
            </w:r>
            <w:r w:rsidRPr="00CD2668">
              <w:rPr>
                <w:webHidden/>
                <w:szCs w:val="20"/>
              </w:rPr>
            </w:r>
            <w:r w:rsidRPr="00CD2668">
              <w:rPr>
                <w:webHidden/>
                <w:szCs w:val="20"/>
              </w:rPr>
              <w:fldChar w:fldCharType="separate"/>
            </w:r>
            <w:r w:rsidR="00D33A5D">
              <w:rPr>
                <w:webHidden/>
                <w:szCs w:val="20"/>
              </w:rPr>
              <w:t>29</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72" w:history="1">
            <w:r w:rsidR="008F52CD" w:rsidRPr="00CD2668">
              <w:rPr>
                <w:rStyle w:val="Hipervnculo"/>
                <w:rFonts w:cs="Arial"/>
                <w:noProof/>
                <w:szCs w:val="20"/>
              </w:rPr>
              <w:t>Empresa en marcha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_Toc139356572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73" w:history="1">
            <w:r w:rsidR="008F52CD" w:rsidRPr="00CD2668">
              <w:rPr>
                <w:rStyle w:val="Hipervnculo"/>
                <w:rFonts w:cs="Arial"/>
                <w:noProof/>
                <w:szCs w:val="20"/>
              </w:rPr>
              <w:t>Devengado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_Toc139356573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74" w:history="1">
            <w:r w:rsidR="008F52CD" w:rsidRPr="00CD2668">
              <w:rPr>
                <w:rStyle w:val="Hipervnculo"/>
                <w:szCs w:val="20"/>
              </w:rPr>
              <w:t xml:space="preserve">ELEMENTOS DE LOS </w:t>
            </w:r>
            <w:r w:rsidR="008F52CD" w:rsidRPr="00CD2668">
              <w:rPr>
                <w:rStyle w:val="Hipervnculo"/>
                <w:bCs/>
                <w:szCs w:val="20"/>
              </w:rPr>
              <w:t>ESTADOS CONTABLES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_Toc139356574 \h </w:instrText>
            </w:r>
            <w:r w:rsidRPr="00CD2668">
              <w:rPr>
                <w:webHidden/>
                <w:szCs w:val="20"/>
              </w:rPr>
            </w:r>
            <w:r w:rsidRPr="00CD2668">
              <w:rPr>
                <w:webHidden/>
                <w:szCs w:val="20"/>
              </w:rPr>
              <w:fldChar w:fldCharType="separate"/>
            </w:r>
            <w:r w:rsidR="00D33A5D">
              <w:rPr>
                <w:webHidden/>
                <w:szCs w:val="20"/>
              </w:rPr>
              <w:t>30</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75" w:history="1">
            <w:r w:rsidR="008F52CD" w:rsidRPr="00CD2668">
              <w:rPr>
                <w:rStyle w:val="Hipervnculo"/>
                <w:szCs w:val="20"/>
              </w:rPr>
              <w:t xml:space="preserve">CONJUNTO COMPLETO DE </w:t>
            </w:r>
            <w:r w:rsidR="008F52CD" w:rsidRPr="00CD2668">
              <w:rPr>
                <w:rStyle w:val="Hipervnculo"/>
                <w:bCs/>
                <w:szCs w:val="20"/>
              </w:rPr>
              <w:t>ESTADOS CONTABLES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_Toc139356575 \h </w:instrText>
            </w:r>
            <w:r w:rsidRPr="00CD2668">
              <w:rPr>
                <w:webHidden/>
                <w:szCs w:val="20"/>
              </w:rPr>
            </w:r>
            <w:r w:rsidRPr="00CD2668">
              <w:rPr>
                <w:webHidden/>
                <w:szCs w:val="20"/>
              </w:rPr>
              <w:fldChar w:fldCharType="separate"/>
            </w:r>
            <w:r w:rsidR="00D33A5D">
              <w:rPr>
                <w:webHidden/>
                <w:szCs w:val="20"/>
              </w:rPr>
              <w:t>32</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76" w:history="1">
            <w:r w:rsidR="008F52CD" w:rsidRPr="00CD2668">
              <w:rPr>
                <w:rStyle w:val="Hipervnculo"/>
                <w:rFonts w:cs="Arial"/>
                <w:noProof/>
                <w:szCs w:val="20"/>
              </w:rPr>
              <w:t>Componentes de un conjunto completo de estados contables correspondientes a una entidad individual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_Toc139356576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77" w:history="1">
            <w:r w:rsidR="008F52CD" w:rsidRPr="00CD2668">
              <w:rPr>
                <w:rStyle w:val="Hipervnculo"/>
                <w:rFonts w:cs="Arial"/>
                <w:noProof/>
                <w:szCs w:val="20"/>
              </w:rPr>
              <w:t>Estados contables consolidados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_Toc139356577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33</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78" w:history="1">
            <w:r w:rsidR="008F52CD" w:rsidRPr="00CD2668">
              <w:rPr>
                <w:rStyle w:val="Hipervnculo"/>
                <w:szCs w:val="20"/>
              </w:rPr>
              <w:t xml:space="preserve">PREPARACIÓN DE </w:t>
            </w:r>
            <w:r w:rsidR="008F52CD" w:rsidRPr="00CD2668">
              <w:rPr>
                <w:rStyle w:val="Hipervnculo"/>
                <w:bCs/>
                <w:szCs w:val="20"/>
              </w:rPr>
              <w:t>ESTADOS CONTABLES</w:t>
            </w:r>
            <w:r w:rsidR="008F52CD" w:rsidRPr="00CD2668">
              <w:rPr>
                <w:rStyle w:val="Hipervnculo"/>
                <w:szCs w:val="20"/>
              </w:rPr>
              <w:t>: OPERACIONES FUNDAMENTALES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_Toc139356578 \h </w:instrText>
            </w:r>
            <w:r w:rsidRPr="00CD2668">
              <w:rPr>
                <w:webHidden/>
                <w:szCs w:val="20"/>
              </w:rPr>
            </w:r>
            <w:r w:rsidRPr="00CD2668">
              <w:rPr>
                <w:webHidden/>
                <w:szCs w:val="20"/>
              </w:rPr>
              <w:fldChar w:fldCharType="separate"/>
            </w:r>
            <w:r w:rsidR="00D33A5D">
              <w:rPr>
                <w:webHidden/>
                <w:szCs w:val="20"/>
              </w:rPr>
              <w:t>33</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79"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_Toc139356579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80" w:history="1">
            <w:r w:rsidR="008F52CD" w:rsidRPr="00CD2668">
              <w:rPr>
                <w:rStyle w:val="Hipervnculo"/>
                <w:rFonts w:cs="Arial"/>
                <w:noProof/>
                <w:szCs w:val="20"/>
              </w:rPr>
              <w:t>Baja en cuentas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_Toc139356580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81" w:history="1">
            <w:r w:rsidR="008F52CD" w:rsidRPr="00CD2668">
              <w:rPr>
                <w:rStyle w:val="Hipervnculo"/>
                <w:rFonts w:cs="Arial"/>
                <w:noProof/>
                <w:szCs w:val="20"/>
              </w:rPr>
              <w:t>Medición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_Toc139356581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82" w:history="1">
            <w:r w:rsidR="008F52CD" w:rsidRPr="00CD2668">
              <w:rPr>
                <w:rStyle w:val="Hipervnculo"/>
                <w:rFonts w:cs="Arial"/>
                <w:noProof/>
                <w:szCs w:val="20"/>
              </w:rPr>
              <w:t>Presentación, e información a revelar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_Toc139356582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35</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583" w:history="1">
            <w:r w:rsidR="008F52CD" w:rsidRPr="00CD2668">
              <w:rPr>
                <w:rStyle w:val="Hipervnculo"/>
                <w:rFonts w:cs="Arial"/>
                <w:noProof/>
                <w:sz w:val="20"/>
                <w:szCs w:val="20"/>
              </w:rPr>
              <w:t>Aspectos generales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_Toc139356583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35</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584" w:history="1">
            <w:r w:rsidR="008F52CD" w:rsidRPr="00CD2668">
              <w:rPr>
                <w:rStyle w:val="Hipervnculo"/>
                <w:rFonts w:cs="Arial"/>
                <w:noProof/>
                <w:sz w:val="20"/>
                <w:szCs w:val="20"/>
              </w:rPr>
              <w:t>Síntesis y flexibilidad</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_Toc139356584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585" w:history="1">
            <w:r w:rsidR="008F52CD" w:rsidRPr="00CD2668">
              <w:rPr>
                <w:rStyle w:val="Hipervnculo"/>
                <w:rFonts w:cs="Arial"/>
                <w:noProof/>
                <w:sz w:val="20"/>
                <w:szCs w:val="20"/>
              </w:rPr>
              <w:t>Referencias a la información en notas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_Toc139356585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586" w:history="1">
            <w:r w:rsidR="008F52CD" w:rsidRPr="00CD2668">
              <w:rPr>
                <w:rStyle w:val="Hipervnculo"/>
                <w:rFonts w:cs="Arial"/>
                <w:noProof/>
                <w:sz w:val="20"/>
                <w:szCs w:val="20"/>
              </w:rPr>
              <w:t>Información comparativa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_Toc139356586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587" w:history="1">
            <w:r w:rsidR="008F52CD" w:rsidRPr="00CD2668">
              <w:rPr>
                <w:rStyle w:val="Hipervnculo"/>
                <w:rFonts w:cs="Arial"/>
                <w:noProof/>
                <w:sz w:val="20"/>
                <w:szCs w:val="20"/>
              </w:rPr>
              <w:t>Modificación de la información de ejercicios anteriores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_Toc139356587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38</w:t>
            </w:r>
            <w:r w:rsidRPr="00CD2668">
              <w:rPr>
                <w:rFonts w:cs="Arial"/>
                <w:noProof/>
                <w:webHidden/>
                <w:sz w:val="20"/>
                <w:szCs w:val="20"/>
              </w:rPr>
              <w:fldChar w:fldCharType="end"/>
            </w:r>
          </w:hyperlink>
        </w:p>
        <w:p w:rsidR="008F52CD" w:rsidRPr="00CD2668" w:rsidRDefault="001C4138">
          <w:pPr>
            <w:pStyle w:val="TDC1"/>
            <w:rPr>
              <w:rFonts w:eastAsiaTheme="minorEastAsia"/>
              <w:b w:val="0"/>
              <w:caps w:val="0"/>
              <w:szCs w:val="20"/>
              <w:lang w:eastAsia="es-AR"/>
            </w:rPr>
          </w:pPr>
          <w:hyperlink w:anchor="_Toc139356588" w:history="1">
            <w:r w:rsidR="008F52CD" w:rsidRPr="00CD2668">
              <w:rPr>
                <w:rStyle w:val="Hipervnculo"/>
                <w:szCs w:val="20"/>
              </w:rPr>
              <w:t xml:space="preserve">BASES GENERALES PARA LA PREPARACIÓN DE </w:t>
            </w:r>
            <w:r w:rsidR="008F52CD" w:rsidRPr="00CD2668">
              <w:rPr>
                <w:rStyle w:val="Hipervnculo"/>
                <w:bCs/>
                <w:szCs w:val="20"/>
              </w:rPr>
              <w:t>ESTADOS CONTABLES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_Toc139356588 \h </w:instrText>
            </w:r>
            <w:r w:rsidRPr="00CD2668">
              <w:rPr>
                <w:webHidden/>
                <w:szCs w:val="20"/>
              </w:rPr>
            </w:r>
            <w:r w:rsidRPr="00CD2668">
              <w:rPr>
                <w:webHidden/>
                <w:szCs w:val="20"/>
              </w:rPr>
              <w:fldChar w:fldCharType="separate"/>
            </w:r>
            <w:r w:rsidR="00D33A5D">
              <w:rPr>
                <w:webHidden/>
                <w:szCs w:val="20"/>
              </w:rPr>
              <w:t>39</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89" w:history="1">
            <w:r w:rsidR="008F52CD" w:rsidRPr="00CD2668">
              <w:rPr>
                <w:rStyle w:val="Hipervnculo"/>
                <w:szCs w:val="20"/>
              </w:rPr>
              <w:t>Políticas contables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_Toc139356589 \h </w:instrText>
            </w:r>
            <w:r w:rsidRPr="00CD2668">
              <w:rPr>
                <w:webHidden/>
                <w:szCs w:val="20"/>
              </w:rPr>
            </w:r>
            <w:r w:rsidRPr="00CD2668">
              <w:rPr>
                <w:webHidden/>
                <w:szCs w:val="20"/>
              </w:rPr>
              <w:fldChar w:fldCharType="separate"/>
            </w:r>
            <w:r w:rsidR="00D33A5D">
              <w:rPr>
                <w:webHidden/>
                <w:szCs w:val="20"/>
              </w:rPr>
              <w:t>39</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90" w:history="1">
            <w:r w:rsidR="008F52CD" w:rsidRPr="00CD2668">
              <w:rPr>
                <w:rStyle w:val="Hipervnculo"/>
                <w:rFonts w:cs="Arial"/>
                <w:noProof/>
                <w:szCs w:val="20"/>
              </w:rPr>
              <w:t>Selección y aplicación de políticas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_Toc139356590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591" w:history="1">
            <w:r w:rsidR="008F52CD" w:rsidRPr="00CD2668">
              <w:rPr>
                <w:rStyle w:val="Hipervnculo"/>
                <w:rFonts w:cs="Arial"/>
                <w:noProof/>
                <w:szCs w:val="20"/>
              </w:rPr>
              <w:t>Cambios en las políticas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_Toc139356591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43</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92" w:history="1">
            <w:r w:rsidR="008F52CD" w:rsidRPr="00CD2668">
              <w:rPr>
                <w:rStyle w:val="Hipervnculo"/>
                <w:szCs w:val="20"/>
              </w:rPr>
              <w:t>Cambios en las estimaciones contables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_Toc139356592 \h </w:instrText>
            </w:r>
            <w:r w:rsidRPr="00CD2668">
              <w:rPr>
                <w:webHidden/>
                <w:szCs w:val="20"/>
              </w:rPr>
            </w:r>
            <w:r w:rsidRPr="00CD2668">
              <w:rPr>
                <w:webHidden/>
                <w:szCs w:val="20"/>
              </w:rPr>
              <w:fldChar w:fldCharType="separate"/>
            </w:r>
            <w:r w:rsidR="00D33A5D">
              <w:rPr>
                <w:webHidden/>
                <w:szCs w:val="20"/>
              </w:rPr>
              <w:t>44</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93" w:history="1">
            <w:r w:rsidR="008F52CD" w:rsidRPr="00CD2668">
              <w:rPr>
                <w:rStyle w:val="Hipervnculo"/>
                <w:szCs w:val="20"/>
              </w:rPr>
              <w:t>Corrección de errores u omisiones de períodos anteriores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_Toc139356593 \h </w:instrText>
            </w:r>
            <w:r w:rsidRPr="00CD2668">
              <w:rPr>
                <w:webHidden/>
                <w:szCs w:val="20"/>
              </w:rPr>
            </w:r>
            <w:r w:rsidRPr="00CD2668">
              <w:rPr>
                <w:webHidden/>
                <w:szCs w:val="20"/>
              </w:rPr>
              <w:fldChar w:fldCharType="separate"/>
            </w:r>
            <w:r w:rsidR="00D33A5D">
              <w:rPr>
                <w:webHidden/>
                <w:szCs w:val="20"/>
              </w:rPr>
              <w:t>45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94" w:history="1">
            <w:r w:rsidR="008F52CD" w:rsidRPr="00CD2668">
              <w:rPr>
                <w:rStyle w:val="Hipervnculo"/>
                <w:szCs w:val="20"/>
              </w:rPr>
              <w:t>Reclasificación de activos o pasivos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_Toc139356594 \h </w:instrText>
            </w:r>
            <w:r w:rsidRPr="00CD2668">
              <w:rPr>
                <w:webHidden/>
                <w:szCs w:val="20"/>
              </w:rPr>
            </w:r>
            <w:r w:rsidRPr="00CD2668">
              <w:rPr>
                <w:webHidden/>
                <w:szCs w:val="20"/>
              </w:rPr>
              <w:fldChar w:fldCharType="separate"/>
            </w:r>
            <w:r w:rsidR="00D33A5D">
              <w:rPr>
                <w:webHidden/>
                <w:szCs w:val="20"/>
              </w:rPr>
              <w:t>45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95" w:history="1">
            <w:r w:rsidR="008F52CD" w:rsidRPr="00CD2668">
              <w:rPr>
                <w:rStyle w:val="Hipervnculo"/>
                <w:szCs w:val="20"/>
              </w:rPr>
              <w:t xml:space="preserve">Consideración de los hechos posteriores en la preparación de los </w:t>
            </w:r>
            <w:r w:rsidR="008F52CD" w:rsidRPr="00CD2668">
              <w:rPr>
                <w:rStyle w:val="Hipervnculo"/>
                <w:bCs/>
                <w:szCs w:val="20"/>
              </w:rPr>
              <w:t>estados contables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_Toc139356595 \h </w:instrText>
            </w:r>
            <w:r w:rsidRPr="00CD2668">
              <w:rPr>
                <w:webHidden/>
                <w:szCs w:val="20"/>
              </w:rPr>
            </w:r>
            <w:r w:rsidRPr="00CD2668">
              <w:rPr>
                <w:webHidden/>
                <w:szCs w:val="20"/>
              </w:rPr>
              <w:fldChar w:fldCharType="separate"/>
            </w:r>
            <w:r w:rsidR="00D33A5D">
              <w:rPr>
                <w:webHidden/>
                <w:szCs w:val="20"/>
              </w:rPr>
              <w:t>45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96" w:history="1">
            <w:r w:rsidR="008F52CD" w:rsidRPr="00CD2668">
              <w:rPr>
                <w:rStyle w:val="Hipervnculo"/>
                <w:szCs w:val="20"/>
              </w:rPr>
              <w:t>Unidad de medida</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_Toc139356596 \h </w:instrText>
            </w:r>
            <w:r w:rsidRPr="00CD2668">
              <w:rPr>
                <w:webHidden/>
                <w:szCs w:val="20"/>
              </w:rPr>
            </w:r>
            <w:r w:rsidRPr="00CD2668">
              <w:rPr>
                <w:webHidden/>
                <w:szCs w:val="20"/>
              </w:rPr>
              <w:fldChar w:fldCharType="separate"/>
            </w:r>
            <w:r w:rsidR="00D33A5D">
              <w:rPr>
                <w:webHidden/>
                <w:szCs w:val="20"/>
              </w:rPr>
              <w:t>46</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97" w:history="1">
            <w:r w:rsidR="008F52CD" w:rsidRPr="00CD2668">
              <w:rPr>
                <w:rStyle w:val="Hipervnculo"/>
                <w:szCs w:val="20"/>
              </w:rPr>
              <w:t>CAPÍTULO 2</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_Toc139356597 \h </w:instrText>
            </w:r>
            <w:r w:rsidRPr="00CD2668">
              <w:rPr>
                <w:webHidden/>
                <w:szCs w:val="20"/>
              </w:rPr>
            </w:r>
            <w:r w:rsidRPr="00CD2668">
              <w:rPr>
                <w:webHidden/>
                <w:szCs w:val="20"/>
              </w:rPr>
              <w:fldChar w:fldCharType="separate"/>
            </w:r>
            <w:r w:rsidR="00D33A5D">
              <w:rPr>
                <w:webHidden/>
                <w:szCs w:val="20"/>
              </w:rPr>
              <w:t>47</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98" w:history="1">
            <w:r w:rsidR="008F52CD" w:rsidRPr="00CD2668">
              <w:rPr>
                <w:rStyle w:val="Hipervnculo"/>
                <w:szCs w:val="20"/>
              </w:rPr>
              <w:t>PROCEDIMIENTOS CONTABLES DE APLICACIÓN GENERAL</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_Toc139356598 \h </w:instrText>
            </w:r>
            <w:r w:rsidRPr="00CD2668">
              <w:rPr>
                <w:webHidden/>
                <w:szCs w:val="20"/>
              </w:rPr>
            </w:r>
            <w:r w:rsidRPr="00CD2668">
              <w:rPr>
                <w:webHidden/>
                <w:szCs w:val="20"/>
              </w:rPr>
              <w:fldChar w:fldCharType="separate"/>
            </w:r>
            <w:r w:rsidR="00D33A5D">
              <w:rPr>
                <w:webHidden/>
                <w:szCs w:val="20"/>
              </w:rPr>
              <w:t>47</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599"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_Toc139356599 \h </w:instrText>
            </w:r>
            <w:r w:rsidRPr="00CD2668">
              <w:rPr>
                <w:webHidden/>
                <w:szCs w:val="20"/>
              </w:rPr>
            </w:r>
            <w:r w:rsidRPr="00CD2668">
              <w:rPr>
                <w:webHidden/>
                <w:szCs w:val="20"/>
              </w:rPr>
              <w:fldChar w:fldCharType="separate"/>
            </w:r>
            <w:r w:rsidR="00D33A5D">
              <w:rPr>
                <w:webHidden/>
                <w:szCs w:val="20"/>
              </w:rPr>
              <w:t>47</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00" w:history="1">
            <w:r w:rsidR="008F52CD" w:rsidRPr="00CD2668">
              <w:rPr>
                <w:rStyle w:val="Hipervnculo"/>
                <w:szCs w:val="20"/>
              </w:rPr>
              <w:t>MEDICIÓN DE COSTOS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_Toc139356600 \h </w:instrText>
            </w:r>
            <w:r w:rsidRPr="00CD2668">
              <w:rPr>
                <w:webHidden/>
                <w:szCs w:val="20"/>
              </w:rPr>
            </w:r>
            <w:r w:rsidRPr="00CD2668">
              <w:rPr>
                <w:webHidden/>
                <w:szCs w:val="20"/>
              </w:rPr>
              <w:fldChar w:fldCharType="separate"/>
            </w:r>
            <w:r w:rsidR="00D33A5D">
              <w:rPr>
                <w:webHidden/>
                <w:szCs w:val="20"/>
              </w:rPr>
              <w:t>48</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01" w:history="1">
            <w:r w:rsidR="008F52CD" w:rsidRPr="00CD2668">
              <w:rPr>
                <w:rStyle w:val="Hipervnculo"/>
                <w:rFonts w:cs="Arial"/>
                <w:noProof/>
                <w:szCs w:val="20"/>
              </w:rPr>
              <w:t>Medición de costos, en general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_Toc139356601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48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02" w:history="1">
            <w:r w:rsidR="008F52CD" w:rsidRPr="00CD2668">
              <w:rPr>
                <w:rStyle w:val="Hipervnculo"/>
                <w:rFonts w:cs="Arial"/>
                <w:noProof/>
                <w:szCs w:val="20"/>
              </w:rPr>
              <w:t>Medición del costo de adquisición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_Toc139356602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48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03" w:history="1">
            <w:r w:rsidR="008F52CD" w:rsidRPr="00CD2668">
              <w:rPr>
                <w:rStyle w:val="Hipervnculo"/>
                <w:rFonts w:cs="Arial"/>
                <w:noProof/>
                <w:szCs w:val="20"/>
              </w:rPr>
              <w:t>Medición del costo de producción o del costo de construcción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_Toc139356603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48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04" w:history="1">
            <w:r w:rsidR="008F52CD" w:rsidRPr="00CD2668">
              <w:rPr>
                <w:rStyle w:val="Hipervnculo"/>
                <w:rFonts w:cs="Arial"/>
                <w:noProof/>
                <w:szCs w:val="20"/>
              </w:rPr>
              <w:t>Medición del costo de desarrollo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_Toc139356604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49</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05" w:history="1">
            <w:r w:rsidR="008F52CD" w:rsidRPr="00CD2668">
              <w:rPr>
                <w:rStyle w:val="Hipervnculo"/>
                <w:szCs w:val="20"/>
              </w:rPr>
              <w:t>MEDICIÓN DE VALORES CORRIENTES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_Toc139356605 \h </w:instrText>
            </w:r>
            <w:r w:rsidRPr="00CD2668">
              <w:rPr>
                <w:webHidden/>
                <w:szCs w:val="20"/>
              </w:rPr>
            </w:r>
            <w:r w:rsidRPr="00CD2668">
              <w:rPr>
                <w:webHidden/>
                <w:szCs w:val="20"/>
              </w:rPr>
              <w:fldChar w:fldCharType="separate"/>
            </w:r>
            <w:r w:rsidR="00D33A5D">
              <w:rPr>
                <w:webHidden/>
                <w:szCs w:val="20"/>
              </w:rPr>
              <w:t>50</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06" w:history="1">
            <w:r w:rsidR="008F52CD" w:rsidRPr="00CD2668">
              <w:rPr>
                <w:rStyle w:val="Hipervnculo"/>
                <w:rFonts w:cs="Arial"/>
                <w:noProof/>
                <w:szCs w:val="20"/>
              </w:rPr>
              <w:t>Medición de costos de reposición, o costos de reproducción y/o reconstrucción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_Toc139356606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07" w:history="1">
            <w:r w:rsidR="008F52CD" w:rsidRPr="00CD2668">
              <w:rPr>
                <w:rStyle w:val="Hipervnculo"/>
                <w:rFonts w:cs="Arial"/>
                <w:noProof/>
                <w:szCs w:val="20"/>
              </w:rPr>
              <w:t>Medición del valor razonable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_Toc139356607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51</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08" w:history="1">
            <w:r w:rsidR="008F52CD" w:rsidRPr="00CD2668">
              <w:rPr>
                <w:rStyle w:val="Hipervnculo"/>
                <w:rFonts w:cs="Arial"/>
                <w:noProof/>
                <w:sz w:val="20"/>
                <w:szCs w:val="20"/>
              </w:rPr>
              <w:t>Consideraciones generales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_Toc139356608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51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09" w:history="1">
            <w:r w:rsidR="008F52CD" w:rsidRPr="00CD2668">
              <w:rPr>
                <w:rStyle w:val="Hipervnculo"/>
                <w:rFonts w:cs="Arial"/>
                <w:noProof/>
                <w:sz w:val="20"/>
                <w:szCs w:val="20"/>
              </w:rPr>
              <w:t>Consideración particular: medición del valor neto de realización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_Toc139356609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52</w:t>
            </w:r>
            <w:r w:rsidRPr="00CD2668">
              <w:rPr>
                <w:rFonts w:cs="Arial"/>
                <w:noProof/>
                <w:webHidden/>
                <w:sz w:val="20"/>
                <w:szCs w:val="20"/>
              </w:rPr>
              <w:fldChar w:fldCharType="end"/>
            </w:r>
          </w:hyperlink>
        </w:p>
        <w:p w:rsidR="008F52CD" w:rsidRPr="00CD2668" w:rsidRDefault="001C4138">
          <w:pPr>
            <w:pStyle w:val="TDC1"/>
            <w:rPr>
              <w:rFonts w:eastAsiaTheme="minorEastAsia"/>
              <w:b w:val="0"/>
              <w:caps w:val="0"/>
              <w:szCs w:val="20"/>
              <w:lang w:eastAsia="es-AR"/>
            </w:rPr>
          </w:pPr>
          <w:hyperlink w:anchor="_Toc139356610" w:history="1">
            <w:r w:rsidR="008F52CD" w:rsidRPr="00CD2668">
              <w:rPr>
                <w:rStyle w:val="Hipervnculo"/>
                <w:szCs w:val="20"/>
              </w:rPr>
              <w:t>MEDICIONES EN MONEDA EXTRANJERA</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_Toc139356610 \h </w:instrText>
            </w:r>
            <w:r w:rsidRPr="00CD2668">
              <w:rPr>
                <w:webHidden/>
                <w:szCs w:val="20"/>
              </w:rPr>
            </w:r>
            <w:r w:rsidRPr="00CD2668">
              <w:rPr>
                <w:webHidden/>
                <w:szCs w:val="20"/>
              </w:rPr>
              <w:fldChar w:fldCharType="separate"/>
            </w:r>
            <w:r w:rsidR="00D33A5D">
              <w:rPr>
                <w:webHidden/>
                <w:szCs w:val="20"/>
              </w:rPr>
              <w:t>52</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11" w:history="1">
            <w:r w:rsidR="008F52CD" w:rsidRPr="00CD2668">
              <w:rPr>
                <w:rStyle w:val="Hipervnculo"/>
                <w:rFonts w:cs="Arial"/>
                <w:noProof/>
                <w:szCs w:val="20"/>
              </w:rPr>
              <w:t>Conversión de transacciones y saldos de activos y pasivos expresados en moneda extranjera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_Toc139356611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12" w:history="1">
            <w:r w:rsidR="008F52CD" w:rsidRPr="00CD2668">
              <w:rPr>
                <w:rStyle w:val="Hipervnculo"/>
                <w:rFonts w:cs="Arial"/>
                <w:noProof/>
                <w:szCs w:val="20"/>
              </w:rPr>
              <w:t>Cuestiones particulares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_Toc139356612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53</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13" w:history="1">
            <w:r w:rsidR="008F52CD" w:rsidRPr="00CD2668">
              <w:rPr>
                <w:rStyle w:val="Hipervnculo"/>
                <w:szCs w:val="20"/>
              </w:rPr>
              <w:t>TRATAMIENTO DE COMPONENTES FINANCIEROS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_Toc139356613 \h </w:instrText>
            </w:r>
            <w:r w:rsidRPr="00CD2668">
              <w:rPr>
                <w:webHidden/>
                <w:szCs w:val="20"/>
              </w:rPr>
            </w:r>
            <w:r w:rsidRPr="00CD2668">
              <w:rPr>
                <w:webHidden/>
                <w:szCs w:val="20"/>
              </w:rPr>
              <w:fldChar w:fldCharType="separate"/>
            </w:r>
            <w:r w:rsidR="00D33A5D">
              <w:rPr>
                <w:webHidden/>
                <w:szCs w:val="20"/>
              </w:rPr>
              <w:t>54</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14" w:history="1">
            <w:r w:rsidR="008F52CD" w:rsidRPr="00CD2668">
              <w:rPr>
                <w:rStyle w:val="Hipervnculo"/>
                <w:rFonts w:cs="Arial"/>
                <w:noProof/>
                <w:szCs w:val="20"/>
              </w:rPr>
              <w:t>Tratamiento de componentes financieros explícitos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_Toc139356614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15" w:history="1">
            <w:r w:rsidR="008F52CD" w:rsidRPr="00CD2668">
              <w:rPr>
                <w:rStyle w:val="Hipervnculo"/>
                <w:rFonts w:cs="Arial"/>
                <w:noProof/>
                <w:szCs w:val="20"/>
              </w:rPr>
              <w:t>Segregación de componentes financieros implícitos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_Toc139356615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16" w:history="1">
            <w:r w:rsidR="008F52CD" w:rsidRPr="00CD2668">
              <w:rPr>
                <w:rStyle w:val="Hipervnculo"/>
                <w:rFonts w:cs="Arial"/>
                <w:noProof/>
                <w:szCs w:val="20"/>
              </w:rPr>
              <w:t>Tratamiento de los costos financieros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_Toc139356616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55</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17" w:history="1">
            <w:r w:rsidR="008F52CD" w:rsidRPr="00CD2668">
              <w:rPr>
                <w:rStyle w:val="Hipervnculo"/>
                <w:szCs w:val="20"/>
              </w:rPr>
              <w:t>CONSIDERACIÓN DE HECHOS CONTINGENTES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_Toc139356617 \h </w:instrText>
            </w:r>
            <w:r w:rsidRPr="00CD2668">
              <w:rPr>
                <w:webHidden/>
                <w:szCs w:val="20"/>
              </w:rPr>
            </w:r>
            <w:r w:rsidRPr="00CD2668">
              <w:rPr>
                <w:webHidden/>
                <w:szCs w:val="20"/>
              </w:rPr>
              <w:fldChar w:fldCharType="separate"/>
            </w:r>
            <w:r w:rsidR="00D33A5D">
              <w:rPr>
                <w:webHidden/>
                <w:szCs w:val="20"/>
              </w:rPr>
              <w:t>56</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18" w:history="1">
            <w:r w:rsidR="008F52CD" w:rsidRPr="00CD2668">
              <w:rPr>
                <w:rStyle w:val="Hipervnculo"/>
                <w:szCs w:val="20"/>
              </w:rPr>
              <w:t>COMPARACIÓN DE LA MEDICIÓN DE CIERTOS ACTIVOS CON SU VALOR RECUPERABLE</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_Toc139356618 \h </w:instrText>
            </w:r>
            <w:r w:rsidRPr="00CD2668">
              <w:rPr>
                <w:webHidden/>
                <w:szCs w:val="20"/>
              </w:rPr>
            </w:r>
            <w:r w:rsidRPr="00CD2668">
              <w:rPr>
                <w:webHidden/>
                <w:szCs w:val="20"/>
              </w:rPr>
              <w:fldChar w:fldCharType="separate"/>
            </w:r>
            <w:r w:rsidR="00D33A5D">
              <w:rPr>
                <w:webHidden/>
                <w:szCs w:val="20"/>
              </w:rPr>
              <w:t>57</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19"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_Toc139356619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20" w:history="1">
            <w:r w:rsidR="008F52CD" w:rsidRPr="00CD2668">
              <w:rPr>
                <w:rStyle w:val="Hipervnculo"/>
                <w:rFonts w:cs="Arial"/>
                <w:noProof/>
                <w:szCs w:val="20"/>
              </w:rPr>
              <w:t>Alcance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_Toc139356620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21" w:history="1">
            <w:r w:rsidR="008F52CD" w:rsidRPr="00CD2668">
              <w:rPr>
                <w:rStyle w:val="Hipervnculo"/>
                <w:rFonts w:cs="Arial"/>
                <w:noProof/>
                <w:szCs w:val="20"/>
              </w:rPr>
              <w:t>Procedimiento general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_Toc139356621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22" w:history="1">
            <w:r w:rsidR="008F52CD" w:rsidRPr="00CD2668">
              <w:rPr>
                <w:rStyle w:val="Hipervnculo"/>
                <w:rFonts w:cs="Arial"/>
                <w:noProof/>
                <w:szCs w:val="20"/>
              </w:rPr>
              <w:t>Indicios de deterioro (o de su reversión)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_Toc139356622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59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23" w:history="1">
            <w:r w:rsidR="008F52CD" w:rsidRPr="00CD2668">
              <w:rPr>
                <w:rStyle w:val="Hipervnculo"/>
                <w:rFonts w:cs="Arial"/>
                <w:noProof/>
                <w:szCs w:val="20"/>
              </w:rPr>
              <w:t>Medición del valor recuperable: criterio general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_Toc139356623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24" w:history="1">
            <w:r w:rsidR="008F52CD" w:rsidRPr="00CD2668">
              <w:rPr>
                <w:rStyle w:val="Hipervnculo"/>
                <w:rFonts w:cs="Arial"/>
                <w:noProof/>
                <w:szCs w:val="20"/>
              </w:rPr>
              <w:t>Determinación del valor de uso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_Toc139356624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60</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25" w:history="1">
            <w:r w:rsidR="008F52CD" w:rsidRPr="00CD2668">
              <w:rPr>
                <w:rStyle w:val="Hipervnculo"/>
                <w:rFonts w:cs="Arial"/>
                <w:noProof/>
                <w:sz w:val="20"/>
                <w:szCs w:val="20"/>
              </w:rPr>
              <w:t>Descripción de los factores que determinan el cálculo del valor de uso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_Toc139356625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60</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26" w:history="1">
            <w:r w:rsidR="008F52CD" w:rsidRPr="00CD2668">
              <w:rPr>
                <w:rStyle w:val="Hipervnculo"/>
                <w:rFonts w:cs="Arial"/>
                <w:noProof/>
                <w:sz w:val="20"/>
                <w:szCs w:val="20"/>
              </w:rPr>
              <w:t>Proyección de los flujos de efectivo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_Toc139356626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60</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27" w:history="1">
            <w:r w:rsidR="008F52CD" w:rsidRPr="00CD2668">
              <w:rPr>
                <w:rStyle w:val="Hipervnculo"/>
                <w:rFonts w:cs="Arial"/>
                <w:noProof/>
                <w:sz w:val="20"/>
                <w:szCs w:val="20"/>
              </w:rPr>
              <w:t>Selección de la tasa de descuento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_Toc139356627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62</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28" w:history="1">
            <w:r w:rsidR="008F52CD" w:rsidRPr="00CD2668">
              <w:rPr>
                <w:rStyle w:val="Hipervnculo"/>
                <w:rFonts w:cs="Arial"/>
                <w:noProof/>
                <w:szCs w:val="20"/>
              </w:rPr>
              <w:t>Niveles de comparación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_Toc139356628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62</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29" w:history="1">
            <w:r w:rsidR="008F52CD" w:rsidRPr="00CD2668">
              <w:rPr>
                <w:rStyle w:val="Hipervnculo"/>
                <w:rFonts w:cs="Arial"/>
                <w:noProof/>
                <w:sz w:val="20"/>
                <w:szCs w:val="20"/>
              </w:rPr>
              <w:t>Tratamiento general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_Toc139356629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30" w:history="1">
            <w:r w:rsidR="008F52CD" w:rsidRPr="00CD2668">
              <w:rPr>
                <w:rStyle w:val="Hipervnculo"/>
                <w:rFonts w:cs="Arial"/>
                <w:noProof/>
                <w:sz w:val="20"/>
                <w:szCs w:val="20"/>
              </w:rPr>
              <w:t>Valor recuperable de activos que no generan flujos de efectivo propios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_Toc139356630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62</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31" w:history="1">
            <w:r w:rsidR="008F52CD" w:rsidRPr="00CD2668">
              <w:rPr>
                <w:rStyle w:val="Hipervnculo"/>
                <w:rFonts w:cs="Arial"/>
                <w:noProof/>
                <w:szCs w:val="20"/>
              </w:rPr>
              <w:t>Perdidas por desvalorización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_Toc139356631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64</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32" w:history="1">
            <w:r w:rsidR="008F52CD" w:rsidRPr="00CD2668">
              <w:rPr>
                <w:rStyle w:val="Hipervnculo"/>
                <w:rFonts w:cs="Arial"/>
                <w:noProof/>
                <w:sz w:val="20"/>
                <w:szCs w:val="20"/>
              </w:rPr>
              <w:t>Imputación de pérdidas por desvalorización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_Toc139356632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33" w:history="1">
            <w:r w:rsidR="008F52CD" w:rsidRPr="00CD2668">
              <w:rPr>
                <w:rStyle w:val="Hipervnculo"/>
                <w:rFonts w:cs="Arial"/>
                <w:noProof/>
                <w:sz w:val="20"/>
                <w:szCs w:val="20"/>
              </w:rPr>
              <w:t>Reversión de pérdidas por desvalorización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_Toc139356633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64</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34" w:history="1">
            <w:r w:rsidR="008F52CD" w:rsidRPr="00CD2668">
              <w:rPr>
                <w:rStyle w:val="Hipervnculo"/>
                <w:rFonts w:cs="Arial"/>
                <w:noProof/>
                <w:szCs w:val="20"/>
              </w:rPr>
              <w:t>Presentación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_Toc139356634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35"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_Toc139356635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65</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36" w:history="1">
            <w:r w:rsidR="008F52CD" w:rsidRPr="00CD2668">
              <w:rPr>
                <w:rStyle w:val="Hipervnculo"/>
                <w:szCs w:val="20"/>
              </w:rPr>
              <w:t xml:space="preserve">EXPRESIÓN DE LOS </w:t>
            </w:r>
            <w:r w:rsidR="008F52CD" w:rsidRPr="00CD2668">
              <w:rPr>
                <w:rStyle w:val="Hipervnculo"/>
                <w:bCs/>
                <w:szCs w:val="20"/>
              </w:rPr>
              <w:t>ESTADOS CONTABLES</w:t>
            </w:r>
            <w:r w:rsidR="008F52CD" w:rsidRPr="00CD2668">
              <w:rPr>
                <w:rStyle w:val="Hipervnculo"/>
                <w:szCs w:val="20"/>
              </w:rPr>
              <w:t xml:space="preserve"> EN MONEDA DE CIERRE EN UN CONTEXTO DE INFLACIÓN (AJUSTE POR INFLACIÓN DE LOS </w:t>
            </w:r>
            <w:r w:rsidR="008F52CD" w:rsidRPr="00CD2668">
              <w:rPr>
                <w:rStyle w:val="Hipervnculo"/>
                <w:bCs/>
                <w:szCs w:val="20"/>
              </w:rPr>
              <w:t>ESTADOS CONTABLES</w:t>
            </w:r>
            <w:r w:rsidR="008F52CD" w:rsidRPr="00CD2668">
              <w:rPr>
                <w:rStyle w:val="Hipervnculo"/>
                <w:szCs w:val="20"/>
              </w:rPr>
              <w:t>)</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_Toc139356636 \h </w:instrText>
            </w:r>
            <w:r w:rsidRPr="00CD2668">
              <w:rPr>
                <w:webHidden/>
                <w:szCs w:val="20"/>
              </w:rPr>
            </w:r>
            <w:r w:rsidRPr="00CD2668">
              <w:rPr>
                <w:webHidden/>
                <w:szCs w:val="20"/>
              </w:rPr>
              <w:fldChar w:fldCharType="separate"/>
            </w:r>
            <w:r w:rsidR="00D33A5D">
              <w:rPr>
                <w:webHidden/>
                <w:szCs w:val="20"/>
              </w:rPr>
              <w:t>66</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37"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_Toc139356637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38" w:history="1">
            <w:r w:rsidR="008F52CD" w:rsidRPr="00CD2668">
              <w:rPr>
                <w:rStyle w:val="Hipervnculo"/>
                <w:rFonts w:cs="Arial"/>
                <w:noProof/>
                <w:szCs w:val="20"/>
              </w:rPr>
              <w:t>Índices a utilizar, coeficientes de ajuste y período de origen de las partidas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_Toc139356638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39" w:history="1">
            <w:r w:rsidR="008F52CD" w:rsidRPr="00CD2668">
              <w:rPr>
                <w:rStyle w:val="Hipervnculo"/>
                <w:rFonts w:cs="Arial"/>
                <w:noProof/>
                <w:szCs w:val="20"/>
              </w:rPr>
              <w:t>Procedimiento: cuestiones de aplicación general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_Toc139356639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40" w:history="1">
            <w:r w:rsidR="008F52CD" w:rsidRPr="00CD2668">
              <w:rPr>
                <w:rStyle w:val="Hipervnculo"/>
                <w:rFonts w:cs="Arial"/>
                <w:noProof/>
                <w:szCs w:val="20"/>
              </w:rPr>
              <w:t>Ajuste de las cifras correspondientes al período actual en moneda de cierre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_Toc139356640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68</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1" w:history="1">
            <w:r w:rsidR="008F52CD" w:rsidRPr="00CD2668">
              <w:rPr>
                <w:rStyle w:val="Hipervnculo"/>
                <w:rFonts w:cs="Arial"/>
                <w:noProof/>
                <w:sz w:val="20"/>
                <w:szCs w:val="20"/>
              </w:rPr>
              <w:t>Proceso secuencial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2" w:history="1">
            <w:r w:rsidR="008F52CD" w:rsidRPr="00CD2668">
              <w:rPr>
                <w:rStyle w:val="Hipervnculo"/>
                <w:rFonts w:cs="Arial"/>
                <w:noProof/>
                <w:sz w:val="20"/>
                <w:szCs w:val="20"/>
              </w:rPr>
              <w:t>Ajuste de activos y pasivos al cierre del período actual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3" w:history="1">
            <w:r w:rsidR="008F52CD" w:rsidRPr="00CD2668">
              <w:rPr>
                <w:rStyle w:val="Hipervnculo"/>
                <w:rFonts w:cs="Arial"/>
                <w:noProof/>
                <w:sz w:val="20"/>
                <w:szCs w:val="20"/>
              </w:rPr>
              <w:t>Ajuste de los componentes del patrimonio neto al cierre del período actual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4" w:history="1">
            <w:r w:rsidR="008F52CD" w:rsidRPr="00CD2668">
              <w:rPr>
                <w:rStyle w:val="Hipervnculo"/>
                <w:rFonts w:cs="Arial"/>
                <w:noProof/>
                <w:sz w:val="20"/>
                <w:szCs w:val="20"/>
              </w:rPr>
              <w:t>Ajuste de las variaciones del patrimonio neto ocurridas durante el período actual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69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5" w:history="1">
            <w:r w:rsidR="008F52CD" w:rsidRPr="00CD2668">
              <w:rPr>
                <w:rStyle w:val="Hipervnculo"/>
                <w:rFonts w:cs="Arial"/>
                <w:noProof/>
                <w:sz w:val="20"/>
                <w:szCs w:val="20"/>
              </w:rPr>
              <w:t>Presentación de los resultados financieros y por tenencia (incluyendo el resultado por exposición al cambio en el poder adquisitivo de la moneda) del período actual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6" w:history="1">
            <w:r w:rsidR="008F52CD" w:rsidRPr="00CD2668">
              <w:rPr>
                <w:rStyle w:val="Hipervnculo"/>
                <w:rFonts w:cs="Arial"/>
                <w:noProof/>
                <w:sz w:val="20"/>
                <w:szCs w:val="20"/>
              </w:rPr>
              <w:t>Ajuste de las variaciones patrimoniales cualitativas del período actual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7" w:history="1">
            <w:r w:rsidR="008F52CD" w:rsidRPr="00CD2668">
              <w:rPr>
                <w:rStyle w:val="Hipervnculo"/>
                <w:rFonts w:cs="Arial"/>
                <w:noProof/>
                <w:sz w:val="20"/>
                <w:szCs w:val="20"/>
              </w:rPr>
              <w:t>Efectos fiscales del ajuste de los estados contables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8" w:history="1">
            <w:r w:rsidR="008F52CD" w:rsidRPr="00CD2668">
              <w:rPr>
                <w:rStyle w:val="Hipervnculo"/>
                <w:rFonts w:cs="Arial"/>
                <w:noProof/>
                <w:sz w:val="20"/>
                <w:szCs w:val="20"/>
              </w:rPr>
              <w:t>Ajuste de los flujos de efectivo del período actual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49" w:history="1">
            <w:r w:rsidR="008F52CD" w:rsidRPr="00CD2668">
              <w:rPr>
                <w:rStyle w:val="Hipervnculo"/>
                <w:rFonts w:cs="Arial"/>
                <w:noProof/>
                <w:sz w:val="20"/>
                <w:szCs w:val="20"/>
              </w:rPr>
              <w:t>Ajuste de las cifras correspondientes al período comparativo en moneda de cierre (actual)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_Toc139356649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72</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50" w:history="1">
            <w:r w:rsidR="008F52CD" w:rsidRPr="00CD2668">
              <w:rPr>
                <w:rStyle w:val="Hipervnculo"/>
                <w:rFonts w:cs="Arial"/>
                <w:noProof/>
                <w:szCs w:val="20"/>
              </w:rPr>
              <w:t>Procedimiento: Cuestiones de aplicación particular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_Toc139356650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73</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51" w:history="1">
            <w:r w:rsidR="008F52CD" w:rsidRPr="00CD2668">
              <w:rPr>
                <w:rStyle w:val="Hipervnculo"/>
                <w:rFonts w:cs="Arial"/>
                <w:noProof/>
                <w:sz w:val="20"/>
                <w:szCs w:val="20"/>
              </w:rPr>
              <w:t>Aplicación por primera vez o reanudación de su aplicación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_Toc139356651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52" w:history="1">
            <w:r w:rsidR="008F52CD" w:rsidRPr="00CD2668">
              <w:rPr>
                <w:rStyle w:val="Hipervnculo"/>
                <w:rFonts w:cs="Arial"/>
                <w:noProof/>
                <w:sz w:val="20"/>
                <w:szCs w:val="20"/>
              </w:rPr>
              <w:t>Interrupción y reanudación de los ajustes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_Toc139356652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73</w:t>
            </w:r>
            <w:r w:rsidRPr="00CD2668">
              <w:rPr>
                <w:rFonts w:cs="Arial"/>
                <w:noProof/>
                <w:webHidden/>
                <w:sz w:val="20"/>
                <w:szCs w:val="20"/>
              </w:rPr>
              <w:fldChar w:fldCharType="end"/>
            </w:r>
          </w:hyperlink>
        </w:p>
        <w:p w:rsidR="008F52CD" w:rsidRPr="00CD2668" w:rsidRDefault="001C4138">
          <w:pPr>
            <w:pStyle w:val="TDC1"/>
            <w:rPr>
              <w:rFonts w:eastAsiaTheme="minorEastAsia"/>
              <w:b w:val="0"/>
              <w:caps w:val="0"/>
              <w:szCs w:val="20"/>
              <w:lang w:eastAsia="es-AR"/>
            </w:rPr>
          </w:pPr>
          <w:hyperlink w:anchor="_Toc139356653" w:history="1">
            <w:r w:rsidR="008F52CD" w:rsidRPr="00CD2668">
              <w:rPr>
                <w:rStyle w:val="Hipervnculo"/>
                <w:szCs w:val="20"/>
              </w:rPr>
              <w:t>CAPÍTULO 3</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_Toc139356653 \h </w:instrText>
            </w:r>
            <w:r w:rsidRPr="00CD2668">
              <w:rPr>
                <w:webHidden/>
                <w:szCs w:val="20"/>
              </w:rPr>
            </w:r>
            <w:r w:rsidRPr="00CD2668">
              <w:rPr>
                <w:webHidden/>
                <w:szCs w:val="20"/>
              </w:rPr>
              <w:fldChar w:fldCharType="separate"/>
            </w:r>
            <w:r w:rsidR="00D33A5D">
              <w:rPr>
                <w:webHidden/>
                <w:szCs w:val="20"/>
              </w:rPr>
              <w:t>74</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54" w:history="1">
            <w:r w:rsidR="008F52CD" w:rsidRPr="00CD2668">
              <w:rPr>
                <w:rStyle w:val="Hipervnculo"/>
                <w:szCs w:val="20"/>
              </w:rPr>
              <w:t>RECONOCIMIENTO, MEDICIÓN Y PRESENTACIÓN DE PARTIDAS DEL ACTIVO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_Toc139356654 \h </w:instrText>
            </w:r>
            <w:r w:rsidRPr="00CD2668">
              <w:rPr>
                <w:webHidden/>
                <w:szCs w:val="20"/>
              </w:rPr>
            </w:r>
            <w:r w:rsidRPr="00CD2668">
              <w:rPr>
                <w:webHidden/>
                <w:szCs w:val="20"/>
              </w:rPr>
              <w:fldChar w:fldCharType="separate"/>
            </w:r>
            <w:r w:rsidR="00D33A5D">
              <w:rPr>
                <w:webHidden/>
                <w:szCs w:val="20"/>
              </w:rPr>
              <w:t>74</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55"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_Toc139356655 \h </w:instrText>
            </w:r>
            <w:r w:rsidRPr="00CD2668">
              <w:rPr>
                <w:webHidden/>
                <w:szCs w:val="20"/>
              </w:rPr>
            </w:r>
            <w:r w:rsidRPr="00CD2668">
              <w:rPr>
                <w:webHidden/>
                <w:szCs w:val="20"/>
              </w:rPr>
              <w:fldChar w:fldCharType="separate"/>
            </w:r>
            <w:r w:rsidR="00D33A5D">
              <w:rPr>
                <w:webHidden/>
                <w:szCs w:val="20"/>
              </w:rPr>
              <w:t>74</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56" w:history="1">
            <w:r w:rsidR="008F52CD" w:rsidRPr="00CD2668">
              <w:rPr>
                <w:rStyle w:val="Hipervnculo"/>
                <w:szCs w:val="20"/>
              </w:rPr>
              <w:t>CUESTIONES COMUNES A TODOS LOS RUBROS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_Toc139356656 \h </w:instrText>
            </w:r>
            <w:r w:rsidRPr="00CD2668">
              <w:rPr>
                <w:webHidden/>
                <w:szCs w:val="20"/>
              </w:rPr>
            </w:r>
            <w:r w:rsidRPr="00CD2668">
              <w:rPr>
                <w:webHidden/>
                <w:szCs w:val="20"/>
              </w:rPr>
              <w:fldChar w:fldCharType="separate"/>
            </w:r>
            <w:r w:rsidR="00D33A5D">
              <w:rPr>
                <w:webHidden/>
                <w:szCs w:val="20"/>
              </w:rPr>
              <w:t>74</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57" w:history="1">
            <w:r w:rsidR="008F52CD" w:rsidRPr="00CD2668">
              <w:rPr>
                <w:rStyle w:val="Hipervnculo"/>
                <w:rFonts w:cs="Arial"/>
                <w:noProof/>
                <w:szCs w:val="20"/>
              </w:rPr>
              <w:t>Medición inicial de bienes y servicios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_Toc139356657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74</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58" w:history="1">
            <w:r w:rsidR="008F52CD" w:rsidRPr="00CD2668">
              <w:rPr>
                <w:rStyle w:val="Hipervnculo"/>
                <w:szCs w:val="20"/>
              </w:rPr>
              <w:t>CAJA Y BANCOS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_Toc139356658 \h </w:instrText>
            </w:r>
            <w:r w:rsidRPr="00CD2668">
              <w:rPr>
                <w:webHidden/>
                <w:szCs w:val="20"/>
              </w:rPr>
            </w:r>
            <w:r w:rsidRPr="00CD2668">
              <w:rPr>
                <w:webHidden/>
                <w:szCs w:val="20"/>
              </w:rPr>
              <w:fldChar w:fldCharType="separate"/>
            </w:r>
            <w:r w:rsidR="00D33A5D">
              <w:rPr>
                <w:webHidden/>
                <w:szCs w:val="20"/>
              </w:rPr>
              <w:t>75</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59"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_Toc139356659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0"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1"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2"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3"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4"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5"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76</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66" w:history="1">
            <w:r w:rsidR="008F52CD" w:rsidRPr="00CD2668">
              <w:rPr>
                <w:rStyle w:val="Hipervnculo"/>
                <w:szCs w:val="20"/>
              </w:rPr>
              <w:t>INVERSIONES FINANCIERAS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_Toc139356666 \h </w:instrText>
            </w:r>
            <w:r w:rsidRPr="00CD2668">
              <w:rPr>
                <w:webHidden/>
                <w:szCs w:val="20"/>
              </w:rPr>
            </w:r>
            <w:r w:rsidRPr="00CD2668">
              <w:rPr>
                <w:webHidden/>
                <w:szCs w:val="20"/>
              </w:rPr>
              <w:fldChar w:fldCharType="separate"/>
            </w:r>
            <w:r w:rsidR="00D33A5D">
              <w:rPr>
                <w:webHidden/>
                <w:szCs w:val="20"/>
              </w:rPr>
              <w:t>76</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7"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8"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69"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_Toc139356669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77</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70" w:history="1">
            <w:r w:rsidR="008F52CD" w:rsidRPr="00CD2668">
              <w:rPr>
                <w:rStyle w:val="Hipervnculo"/>
                <w:rFonts w:cs="Arial"/>
                <w:b/>
                <w:bCs/>
                <w:noProof/>
                <w:sz w:val="20"/>
                <w:szCs w:val="20"/>
              </w:rPr>
              <w:t>Criterio general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_Toc139356670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71" w:history="1">
            <w:r w:rsidR="008F52CD" w:rsidRPr="00CD2668">
              <w:rPr>
                <w:rStyle w:val="Hipervnculo"/>
                <w:rFonts w:cs="Arial"/>
                <w:noProof/>
                <w:sz w:val="20"/>
                <w:szCs w:val="20"/>
              </w:rPr>
              <w:t>Inversiones financieras provenientes de transacciones entre partes relacionadas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_Toc139356671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78</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72"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_Toc139356672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73"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_Toc139356673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79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74" w:history="1">
            <w:r w:rsidR="008F52CD" w:rsidRPr="00CD2668">
              <w:rPr>
                <w:rStyle w:val="Hipervnculo"/>
                <w:rFonts w:cs="Arial"/>
                <w:noProof/>
                <w:szCs w:val="20"/>
              </w:rPr>
              <w:t>Baja en cuentas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_Toc139356674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75"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_Toc139356675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76"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_Toc139356676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77"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_Toc139356677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83</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78" w:history="1">
            <w:r w:rsidR="008F52CD" w:rsidRPr="00CD2668">
              <w:rPr>
                <w:rStyle w:val="Hipervnculo"/>
                <w:szCs w:val="20"/>
              </w:rPr>
              <w:t>CRÉDITOS EN MONEDA</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_Toc139356678 \h </w:instrText>
            </w:r>
            <w:r w:rsidRPr="00CD2668">
              <w:rPr>
                <w:webHidden/>
                <w:szCs w:val="20"/>
              </w:rPr>
            </w:r>
            <w:r w:rsidRPr="00CD2668">
              <w:rPr>
                <w:webHidden/>
                <w:szCs w:val="20"/>
              </w:rPr>
              <w:fldChar w:fldCharType="separate"/>
            </w:r>
            <w:r w:rsidR="00D33A5D">
              <w:rPr>
                <w:webHidden/>
                <w:szCs w:val="20"/>
              </w:rPr>
              <w:t>84</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79"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_Toc139356679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80"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_Toc139356680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81"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_Toc139356681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86</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82" w:history="1">
            <w:r w:rsidR="008F52CD" w:rsidRPr="00CD2668">
              <w:rPr>
                <w:rStyle w:val="Hipervnculo"/>
                <w:rFonts w:cs="Arial"/>
                <w:noProof/>
                <w:sz w:val="20"/>
                <w:szCs w:val="20"/>
              </w:rPr>
              <w:t>Créditos en moneda originados en operaciones que generan ingresos de actividades ordinarias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_Toc139356682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86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83" w:history="1">
            <w:r w:rsidR="008F52CD" w:rsidRPr="00CD2668">
              <w:rPr>
                <w:rStyle w:val="Hipervnculo"/>
                <w:rFonts w:cs="Arial"/>
                <w:noProof/>
                <w:sz w:val="20"/>
                <w:szCs w:val="20"/>
              </w:rPr>
              <w:t>Créditos en moneda originados en transacciones financieras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_Toc139356683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86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84" w:history="1">
            <w:r w:rsidR="008F52CD" w:rsidRPr="00CD2668">
              <w:rPr>
                <w:rStyle w:val="Hipervnculo"/>
                <w:rFonts w:cs="Arial"/>
                <w:noProof/>
                <w:sz w:val="20"/>
                <w:szCs w:val="20"/>
              </w:rPr>
              <w:t>Otros créditos en moneda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_Toc139356684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87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85" w:history="1">
            <w:r w:rsidR="008F52CD" w:rsidRPr="00CD2668">
              <w:rPr>
                <w:rStyle w:val="Hipervnculo"/>
                <w:rFonts w:cs="Arial"/>
                <w:noProof/>
                <w:sz w:val="20"/>
                <w:szCs w:val="20"/>
              </w:rPr>
              <w:t>Créditos en moneda provenientes de transacciones entre partes relacionadas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_Toc139356685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87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686" w:history="1">
            <w:r w:rsidR="008F52CD" w:rsidRPr="00CD2668">
              <w:rPr>
                <w:rStyle w:val="Hipervnculo"/>
                <w:rFonts w:cs="Arial"/>
                <w:noProof/>
                <w:sz w:val="20"/>
                <w:szCs w:val="20"/>
              </w:rPr>
              <w:t>Derechos de reembolso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_Toc139356686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88</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87"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_Toc139356687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88"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_Toc139356688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89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89" w:history="1">
            <w:r w:rsidR="008F52CD" w:rsidRPr="00CD2668">
              <w:rPr>
                <w:rStyle w:val="Hipervnculo"/>
                <w:rFonts w:cs="Arial"/>
                <w:noProof/>
                <w:szCs w:val="20"/>
              </w:rPr>
              <w:t>Baja en cuentas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_Toc139356689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0"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1"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2"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93</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693" w:history="1">
            <w:r w:rsidR="008F52CD" w:rsidRPr="00CD2668">
              <w:rPr>
                <w:rStyle w:val="Hipervnculo"/>
                <w:szCs w:val="20"/>
              </w:rPr>
              <w:t>CRÉDITOS EN ESPECIE</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_Toc139356693 \h </w:instrText>
            </w:r>
            <w:r w:rsidRPr="00CD2668">
              <w:rPr>
                <w:webHidden/>
                <w:szCs w:val="20"/>
              </w:rPr>
            </w:r>
            <w:r w:rsidRPr="00CD2668">
              <w:rPr>
                <w:webHidden/>
                <w:szCs w:val="20"/>
              </w:rPr>
              <w:fldChar w:fldCharType="separate"/>
            </w:r>
            <w:r w:rsidR="00D33A5D">
              <w:rPr>
                <w:webHidden/>
                <w:szCs w:val="20"/>
              </w:rPr>
              <w:t>94</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4"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5"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6"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7"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8"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699" w:history="1">
            <w:r w:rsidR="008F52CD" w:rsidRPr="00CD2668">
              <w:rPr>
                <w:rStyle w:val="Hipervnculo"/>
                <w:rFonts w:cs="Arial"/>
                <w:noProof/>
                <w:szCs w:val="20"/>
              </w:rPr>
              <w:t>Baja en cuentas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_Toc139356699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00"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_Toc139356700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01"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_Toc139356701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02"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_Toc139356702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97</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03" w:history="1">
            <w:r w:rsidR="008F52CD" w:rsidRPr="00CD2668">
              <w:rPr>
                <w:rStyle w:val="Hipervnculo"/>
                <w:szCs w:val="20"/>
              </w:rPr>
              <w:t>BIENES DE CAMBIO Y COSTO DE LOS BIENES VENDIDOS (O DE LOS SERVICIOS PRESTADOS)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_Toc139356703 \h </w:instrText>
            </w:r>
            <w:r w:rsidRPr="00CD2668">
              <w:rPr>
                <w:webHidden/>
                <w:szCs w:val="20"/>
              </w:rPr>
            </w:r>
            <w:r w:rsidRPr="00CD2668">
              <w:rPr>
                <w:webHidden/>
                <w:szCs w:val="20"/>
              </w:rPr>
              <w:fldChar w:fldCharType="separate"/>
            </w:r>
            <w:r w:rsidR="00D33A5D">
              <w:rPr>
                <w:webHidden/>
                <w:szCs w:val="20"/>
              </w:rPr>
              <w:t>97</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04"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_Toc139356704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05"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_Toc139356705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06"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_Toc139356706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07"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_Toc139356707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98</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08" w:history="1">
            <w:r w:rsidR="008F52CD" w:rsidRPr="00CD2668">
              <w:rPr>
                <w:rStyle w:val="Hipervnculo"/>
                <w:rFonts w:cs="Arial"/>
                <w:noProof/>
                <w:sz w:val="20"/>
                <w:szCs w:val="20"/>
              </w:rPr>
              <w:t>Caso general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_Toc139356708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98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09" w:history="1">
            <w:r w:rsidR="008F52CD" w:rsidRPr="00CD2668">
              <w:rPr>
                <w:rStyle w:val="Hipervnculo"/>
                <w:rFonts w:cs="Arial"/>
                <w:noProof/>
                <w:sz w:val="20"/>
                <w:szCs w:val="20"/>
              </w:rPr>
              <w:t>Caso particular</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_Toc139356709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99</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10"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_Toc139356710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11" w:history="1">
            <w:r w:rsidR="008F52CD" w:rsidRPr="00CD2668">
              <w:rPr>
                <w:rStyle w:val="Hipervnculo"/>
                <w:rFonts w:cs="Arial"/>
                <w:noProof/>
                <w:szCs w:val="20"/>
              </w:rPr>
              <w:t>Costo de bienes vendidos o servicios prestados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_Toc139356711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12" w:history="1">
            <w:r w:rsidR="008F52CD" w:rsidRPr="00CD2668">
              <w:rPr>
                <w:rStyle w:val="Hipervnculo"/>
                <w:rFonts w:cs="Arial"/>
                <w:noProof/>
                <w:szCs w:val="20"/>
              </w:rPr>
              <w:t>Resultados de tenencia y por cambios en el valor neto de realización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_Toc139356712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13"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_Toc139356713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14"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_Toc139356714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104</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15" w:history="1">
            <w:r w:rsidR="008F52CD" w:rsidRPr="00CD2668">
              <w:rPr>
                <w:rStyle w:val="Hipervnculo"/>
                <w:rFonts w:cs="Arial"/>
                <w:noProof/>
                <w:sz w:val="20"/>
                <w:szCs w:val="20"/>
              </w:rPr>
              <w:t>Revelaciones sobre los bienes de cambio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_Toc139356715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104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16" w:history="1">
            <w:r w:rsidR="008F52CD" w:rsidRPr="00CD2668">
              <w:rPr>
                <w:rStyle w:val="Hipervnculo"/>
                <w:rFonts w:cs="Arial"/>
                <w:noProof/>
                <w:sz w:val="20"/>
                <w:szCs w:val="20"/>
              </w:rPr>
              <w:t>Revelaciones sobre el costo de los bienes vendidos o servicios prestados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_Toc139356716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105</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17"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_Toc139356717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105</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18" w:history="1">
            <w:r w:rsidR="008F52CD" w:rsidRPr="00CD2668">
              <w:rPr>
                <w:rStyle w:val="Hipervnculo"/>
                <w:szCs w:val="20"/>
              </w:rPr>
              <w:t>BIENES DE USO Y DEPRECIACIONES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_Toc139356718 \h </w:instrText>
            </w:r>
            <w:r w:rsidRPr="00CD2668">
              <w:rPr>
                <w:webHidden/>
                <w:szCs w:val="20"/>
              </w:rPr>
            </w:r>
            <w:r w:rsidRPr="00CD2668">
              <w:rPr>
                <w:webHidden/>
                <w:szCs w:val="20"/>
              </w:rPr>
              <w:fldChar w:fldCharType="separate"/>
            </w:r>
            <w:r w:rsidR="00D33A5D">
              <w:rPr>
                <w:webHidden/>
                <w:szCs w:val="20"/>
              </w:rPr>
              <w:t>106</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19"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_Toc139356719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20"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_Toc139356720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21"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_Toc139356721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22" w:history="1">
            <w:r w:rsidR="008F52CD" w:rsidRPr="00CD2668">
              <w:rPr>
                <w:rStyle w:val="Hipervnculo"/>
                <w:rFonts w:cs="Arial"/>
                <w:noProof/>
                <w:szCs w:val="20"/>
              </w:rPr>
              <w:t>Tratamiento de los desembolsos subsiguientes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_Toc139356722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23"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_Toc139356723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108</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24" w:history="1">
            <w:r w:rsidR="008F52CD" w:rsidRPr="00CD2668">
              <w:rPr>
                <w:rStyle w:val="Hipervnculo"/>
                <w:rFonts w:cs="Arial"/>
                <w:noProof/>
                <w:sz w:val="20"/>
                <w:szCs w:val="20"/>
              </w:rPr>
              <w:t>Modelo de costo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_Toc139356724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109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25" w:history="1">
            <w:r w:rsidR="008F52CD" w:rsidRPr="00CD2668">
              <w:rPr>
                <w:rStyle w:val="Hipervnculo"/>
                <w:rFonts w:cs="Arial"/>
                <w:noProof/>
                <w:sz w:val="20"/>
                <w:szCs w:val="20"/>
              </w:rPr>
              <w:t>Modelo de revaluación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_Toc139356725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109</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26" w:history="1">
            <w:r w:rsidR="008F52CD" w:rsidRPr="00CD2668">
              <w:rPr>
                <w:rStyle w:val="Hipervnculo"/>
                <w:rFonts w:cs="Arial"/>
                <w:noProof/>
                <w:szCs w:val="20"/>
              </w:rPr>
              <w:t>Depreciaciones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_Toc139356726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27"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_Toc139356727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28" w:history="1">
            <w:r w:rsidR="008F52CD" w:rsidRPr="00CD2668">
              <w:rPr>
                <w:rStyle w:val="Hipervnculo"/>
                <w:rFonts w:cs="Arial"/>
                <w:noProof/>
                <w:szCs w:val="20"/>
              </w:rPr>
              <w:t>Compensación por desvalorización, pérdida o abandono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_Toc139356728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29"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_Toc139356729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30"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_Toc139356730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115</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31" w:history="1">
            <w:r w:rsidR="008F52CD" w:rsidRPr="00CD2668">
              <w:rPr>
                <w:rStyle w:val="Hipervnculo"/>
                <w:rFonts w:cs="Arial"/>
                <w:noProof/>
                <w:sz w:val="20"/>
                <w:szCs w:val="20"/>
              </w:rPr>
              <w:t>Revelaciones de carácter general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_Toc139356731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115</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32" w:history="1">
            <w:r w:rsidR="008F52CD" w:rsidRPr="00CD2668">
              <w:rPr>
                <w:rStyle w:val="Hipervnculo"/>
                <w:rFonts w:cs="Arial"/>
                <w:noProof/>
                <w:sz w:val="20"/>
                <w:szCs w:val="20"/>
              </w:rPr>
              <w:t>Revelaciones sobre depreciaciones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_Toc139356732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116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33" w:history="1">
            <w:r w:rsidR="008F52CD" w:rsidRPr="00CD2668">
              <w:rPr>
                <w:rStyle w:val="Hipervnculo"/>
                <w:rFonts w:cs="Arial"/>
                <w:noProof/>
                <w:sz w:val="20"/>
                <w:szCs w:val="20"/>
              </w:rPr>
              <w:t>Revelaciones sobre la aplicación del modelo de revaluación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_Toc139356733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116</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34" w:history="1">
            <w:r w:rsidR="008F52CD" w:rsidRPr="00CD2668">
              <w:rPr>
                <w:rStyle w:val="Hipervnculo"/>
                <w:rFonts w:cs="Arial"/>
                <w:b/>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_Toc139356734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116</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35" w:history="1">
            <w:r w:rsidR="008F52CD" w:rsidRPr="00CD2668">
              <w:rPr>
                <w:rStyle w:val="Hipervnculo"/>
                <w:szCs w:val="20"/>
              </w:rPr>
              <w:t>PROPIEDADES DE INVERSIÓN</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_Toc139356735 \h </w:instrText>
            </w:r>
            <w:r w:rsidRPr="00CD2668">
              <w:rPr>
                <w:webHidden/>
                <w:szCs w:val="20"/>
              </w:rPr>
            </w:r>
            <w:r w:rsidRPr="00CD2668">
              <w:rPr>
                <w:webHidden/>
                <w:szCs w:val="20"/>
              </w:rPr>
              <w:fldChar w:fldCharType="separate"/>
            </w:r>
            <w:r w:rsidR="00D33A5D">
              <w:rPr>
                <w:webHidden/>
                <w:szCs w:val="20"/>
              </w:rPr>
              <w:t>117</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36"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_Toc139356736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37"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_Toc139356737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38"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_Toc139356738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39"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_Toc139356739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40" w:history="1">
            <w:r w:rsidR="008F52CD" w:rsidRPr="00CD2668">
              <w:rPr>
                <w:rStyle w:val="Hipervnculo"/>
                <w:rFonts w:cs="Arial"/>
                <w:noProof/>
                <w:szCs w:val="20"/>
              </w:rPr>
              <w:t>Depreciaciones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_Toc139356740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41"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_Toc139356741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42" w:history="1">
            <w:r w:rsidR="008F52CD" w:rsidRPr="00CD2668">
              <w:rPr>
                <w:rStyle w:val="Hipervnculo"/>
                <w:rFonts w:cs="Arial"/>
                <w:noProof/>
                <w:szCs w:val="20"/>
              </w:rPr>
              <w:t>Compensación por desvalorización, pérdida o abandono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_Toc139356742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119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43" w:history="1">
            <w:r w:rsidR="008F52CD" w:rsidRPr="00CD2668">
              <w:rPr>
                <w:rStyle w:val="Hipervnculo"/>
                <w:rFonts w:cs="Arial"/>
                <w:noProof/>
                <w:szCs w:val="20"/>
              </w:rPr>
              <w:t>Transferencias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_Toc139356743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44"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_Toc139356744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45"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_Toc139356745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121</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46" w:history="1">
            <w:r w:rsidR="008F52CD" w:rsidRPr="00CD2668">
              <w:rPr>
                <w:rStyle w:val="Hipervnculo"/>
                <w:rFonts w:cs="Arial"/>
                <w:noProof/>
                <w:sz w:val="20"/>
                <w:szCs w:val="20"/>
              </w:rPr>
              <w:t>Revelaciones de carácter general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_Toc139356746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121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47" w:history="1">
            <w:r w:rsidR="008F52CD" w:rsidRPr="00CD2668">
              <w:rPr>
                <w:rStyle w:val="Hipervnculo"/>
                <w:rFonts w:cs="Arial"/>
                <w:noProof/>
                <w:sz w:val="20"/>
                <w:szCs w:val="20"/>
              </w:rPr>
              <w:t>Revelaciones sobre depreciaciones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_Toc139356747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122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48" w:history="1">
            <w:r w:rsidR="008F52CD" w:rsidRPr="00CD2668">
              <w:rPr>
                <w:rStyle w:val="Hipervnculo"/>
                <w:rFonts w:cs="Arial"/>
                <w:noProof/>
                <w:sz w:val="20"/>
                <w:szCs w:val="20"/>
              </w:rPr>
              <w:t>Revelaciones sobre valores razonables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_Toc139356748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123</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49"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_Toc139356749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123</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50" w:history="1">
            <w:r w:rsidR="008F52CD" w:rsidRPr="00CD2668">
              <w:rPr>
                <w:rStyle w:val="Hipervnculo"/>
                <w:szCs w:val="20"/>
              </w:rPr>
              <w:t>ACTIVOS INTANGIBLES (DISTINTOS DE LA LLAVE DE NEGOCIO)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_Toc139356750 \h </w:instrText>
            </w:r>
            <w:r w:rsidRPr="00CD2668">
              <w:rPr>
                <w:webHidden/>
                <w:szCs w:val="20"/>
              </w:rPr>
            </w:r>
            <w:r w:rsidRPr="00CD2668">
              <w:rPr>
                <w:webHidden/>
                <w:szCs w:val="20"/>
              </w:rPr>
              <w:fldChar w:fldCharType="separate"/>
            </w:r>
            <w:r w:rsidR="00D33A5D">
              <w:rPr>
                <w:webHidden/>
                <w:szCs w:val="20"/>
              </w:rPr>
              <w:t>124</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1"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2"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3"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4" w:history="1">
            <w:r w:rsidR="008F52CD" w:rsidRPr="00CD2668">
              <w:rPr>
                <w:rStyle w:val="Hipervnculo"/>
                <w:rFonts w:cs="Arial"/>
                <w:noProof/>
                <w:szCs w:val="20"/>
              </w:rPr>
              <w:t>Tratamiento de los desembolsos subsiguientes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5"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6" w:history="1">
            <w:r w:rsidR="008F52CD" w:rsidRPr="00CD2668">
              <w:rPr>
                <w:rStyle w:val="Hipervnculo"/>
                <w:rFonts w:cs="Arial"/>
                <w:noProof/>
                <w:szCs w:val="20"/>
              </w:rPr>
              <w:t>Amortizaciones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7"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8" w:history="1">
            <w:r w:rsidR="008F52CD" w:rsidRPr="00CD2668">
              <w:rPr>
                <w:rStyle w:val="Hipervnculo"/>
                <w:rFonts w:cs="Arial"/>
                <w:noProof/>
                <w:szCs w:val="20"/>
              </w:rPr>
              <w:t>Compensación por desvalorización, pérdida o abandono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59"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_Toc139356759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60" w:history="1">
            <w:r w:rsidR="008F52CD" w:rsidRPr="00CD2668">
              <w:rPr>
                <w:rStyle w:val="Hipervnculo"/>
                <w:rFonts w:cs="Arial"/>
                <w:noProof/>
                <w:szCs w:val="20"/>
              </w:rPr>
              <w:t>Revelaciones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_Toc139356760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128</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61" w:history="1">
            <w:r w:rsidR="008F52CD" w:rsidRPr="00CD2668">
              <w:rPr>
                <w:rStyle w:val="Hipervnculo"/>
                <w:rFonts w:cs="Arial"/>
                <w:noProof/>
                <w:sz w:val="20"/>
                <w:szCs w:val="20"/>
              </w:rPr>
              <w:t>Revelaciones de carácter general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_Toc139356761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128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62" w:history="1">
            <w:r w:rsidR="008F52CD" w:rsidRPr="00CD2668">
              <w:rPr>
                <w:rStyle w:val="Hipervnculo"/>
                <w:rFonts w:cs="Arial"/>
                <w:noProof/>
                <w:sz w:val="20"/>
                <w:szCs w:val="20"/>
              </w:rPr>
              <w:t>Revelaciones sobre amortizaciones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_Toc139356762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129</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63"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_Toc139356763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130</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64" w:history="1">
            <w:r w:rsidR="008F52CD" w:rsidRPr="00CD2668">
              <w:rPr>
                <w:rStyle w:val="Hipervnculo"/>
                <w:szCs w:val="20"/>
              </w:rPr>
              <w:t>ACTIVOS NO CORRIENTES MANTENIDOS PARA LA VENTA</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_Toc139356764 \h </w:instrText>
            </w:r>
            <w:r w:rsidRPr="00CD2668">
              <w:rPr>
                <w:webHidden/>
                <w:szCs w:val="20"/>
              </w:rPr>
            </w:r>
            <w:r w:rsidRPr="00CD2668">
              <w:rPr>
                <w:webHidden/>
                <w:szCs w:val="20"/>
              </w:rPr>
              <w:fldChar w:fldCharType="separate"/>
            </w:r>
            <w:r w:rsidR="00D33A5D">
              <w:rPr>
                <w:webHidden/>
                <w:szCs w:val="20"/>
              </w:rPr>
              <w:t>130</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65"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_Toc139356765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66" w:history="1">
            <w:r w:rsidR="008F52CD" w:rsidRPr="00CD2668">
              <w:rPr>
                <w:rStyle w:val="Hipervnculo"/>
                <w:rFonts w:cs="Arial"/>
                <w:noProof/>
                <w:szCs w:val="20"/>
              </w:rPr>
              <w:t>Clasificación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_Toc139356766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67"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_Toc139356767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68"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_Toc139356768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69" w:history="1">
            <w:r w:rsidR="008F52CD" w:rsidRPr="00CD2668">
              <w:rPr>
                <w:rStyle w:val="Hipervnculo"/>
                <w:rFonts w:cs="Arial"/>
                <w:noProof/>
                <w:szCs w:val="20"/>
              </w:rPr>
              <w:t>Cambios en un plan de ventas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_Toc139356769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70"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_Toc139356770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71"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_Toc139356771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72"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_Toc139356772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134</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73" w:history="1">
            <w:r w:rsidR="008F52CD" w:rsidRPr="00CD2668">
              <w:rPr>
                <w:rStyle w:val="Hipervnculo"/>
                <w:rFonts w:cs="Arial"/>
                <w:noProof/>
                <w:sz w:val="20"/>
                <w:szCs w:val="20"/>
              </w:rPr>
              <w:t>Revelaciones de carácter general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_Toc139356773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134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74" w:history="1">
            <w:r w:rsidR="008F52CD" w:rsidRPr="00CD2668">
              <w:rPr>
                <w:rStyle w:val="Hipervnculo"/>
                <w:rFonts w:cs="Arial"/>
                <w:noProof/>
                <w:sz w:val="20"/>
                <w:szCs w:val="20"/>
              </w:rPr>
              <w:t>Revelaciones sobre valor neto de realización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_Toc139356774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134</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75"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_Toc139356775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135</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76" w:history="1">
            <w:r w:rsidR="008F52CD" w:rsidRPr="00CD2668">
              <w:rPr>
                <w:rStyle w:val="Hipervnculo"/>
                <w:szCs w:val="20"/>
              </w:rPr>
              <w:t>OTRAS INVERSIONES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_Toc139356776 \h </w:instrText>
            </w:r>
            <w:r w:rsidRPr="00CD2668">
              <w:rPr>
                <w:webHidden/>
                <w:szCs w:val="20"/>
              </w:rPr>
            </w:r>
            <w:r w:rsidRPr="00CD2668">
              <w:rPr>
                <w:webHidden/>
                <w:szCs w:val="20"/>
              </w:rPr>
              <w:fldChar w:fldCharType="separate"/>
            </w:r>
            <w:r w:rsidR="00D33A5D">
              <w:rPr>
                <w:webHidden/>
                <w:szCs w:val="20"/>
              </w:rPr>
              <w:t>135</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77"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_Toc139356777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78"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_Toc139356778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79"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_Toc139356779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80"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_Toc139356780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81" w:history="1">
            <w:r w:rsidR="008F52CD" w:rsidRPr="00CD2668">
              <w:rPr>
                <w:rStyle w:val="Hipervnculo"/>
                <w:rFonts w:cs="Arial"/>
                <w:noProof/>
                <w:szCs w:val="20"/>
              </w:rPr>
              <w:t>Comparación con el valor recuperable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_Toc139356781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82"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_Toc139356782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83"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_Toc139356783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84" w:history="1">
            <w:r w:rsidR="008F52CD" w:rsidRPr="00CD2668">
              <w:rPr>
                <w:rStyle w:val="Hipervnculo"/>
                <w:rFonts w:cs="Arial"/>
                <w:b/>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_Toc139356784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138</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85" w:history="1">
            <w:r w:rsidR="008F52CD" w:rsidRPr="00CD2668">
              <w:rPr>
                <w:rStyle w:val="Hipervnculo"/>
                <w:szCs w:val="20"/>
              </w:rPr>
              <w:t>CAPÍTULO 4</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_Toc139356785 \h </w:instrText>
            </w:r>
            <w:r w:rsidRPr="00CD2668">
              <w:rPr>
                <w:webHidden/>
                <w:szCs w:val="20"/>
              </w:rPr>
            </w:r>
            <w:r w:rsidRPr="00CD2668">
              <w:rPr>
                <w:webHidden/>
                <w:szCs w:val="20"/>
              </w:rPr>
              <w:fldChar w:fldCharType="separate"/>
            </w:r>
            <w:r w:rsidR="00D33A5D">
              <w:rPr>
                <w:webHidden/>
                <w:szCs w:val="20"/>
              </w:rPr>
              <w:t>139</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86" w:history="1">
            <w:r w:rsidR="008F52CD" w:rsidRPr="00CD2668">
              <w:rPr>
                <w:rStyle w:val="Hipervnculo"/>
                <w:szCs w:val="20"/>
              </w:rPr>
              <w:t>RECONOCIMIENTO, MEDICIÓN Y PRESENTACIÓN DE PARTIDAS DEL PASIVO Y DEL PATRIMONIO neto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_Toc139356786 \h </w:instrText>
            </w:r>
            <w:r w:rsidRPr="00CD2668">
              <w:rPr>
                <w:webHidden/>
                <w:szCs w:val="20"/>
              </w:rPr>
            </w:r>
            <w:r w:rsidRPr="00CD2668">
              <w:rPr>
                <w:webHidden/>
                <w:szCs w:val="20"/>
              </w:rPr>
              <w:fldChar w:fldCharType="separate"/>
            </w:r>
            <w:r w:rsidR="00D33A5D">
              <w:rPr>
                <w:webHidden/>
                <w:szCs w:val="20"/>
              </w:rPr>
              <w:t>139</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87"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_Toc139356787 \h </w:instrText>
            </w:r>
            <w:r w:rsidRPr="00CD2668">
              <w:rPr>
                <w:webHidden/>
                <w:szCs w:val="20"/>
              </w:rPr>
            </w:r>
            <w:r w:rsidRPr="00CD2668">
              <w:rPr>
                <w:webHidden/>
                <w:szCs w:val="20"/>
              </w:rPr>
              <w:fldChar w:fldCharType="separate"/>
            </w:r>
            <w:r w:rsidR="00D33A5D">
              <w:rPr>
                <w:webHidden/>
                <w:szCs w:val="20"/>
              </w:rPr>
              <w:t>139</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88" w:history="1">
            <w:r w:rsidR="008F52CD" w:rsidRPr="00CD2668">
              <w:rPr>
                <w:rStyle w:val="Hipervnculo"/>
                <w:szCs w:val="20"/>
              </w:rPr>
              <w:t>DISTINCIÓN ENTRE PASIVO Y PATRIMONIO NETO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_Toc139356788 \h </w:instrText>
            </w:r>
            <w:r w:rsidRPr="00CD2668">
              <w:rPr>
                <w:webHidden/>
                <w:szCs w:val="20"/>
              </w:rPr>
            </w:r>
            <w:r w:rsidRPr="00CD2668">
              <w:rPr>
                <w:webHidden/>
                <w:szCs w:val="20"/>
              </w:rPr>
              <w:fldChar w:fldCharType="separate"/>
            </w:r>
            <w:r w:rsidR="00D33A5D">
              <w:rPr>
                <w:webHidden/>
                <w:szCs w:val="20"/>
              </w:rPr>
              <w:t>139</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89" w:history="1">
            <w:r w:rsidR="008F52CD" w:rsidRPr="00CD2668">
              <w:rPr>
                <w:rStyle w:val="Hipervnculo"/>
                <w:rFonts w:cs="Arial"/>
                <w:noProof/>
                <w:szCs w:val="20"/>
              </w:rPr>
              <w:t>Criterio general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_Toc139356789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90" w:history="1">
            <w:r w:rsidR="008F52CD" w:rsidRPr="00CD2668">
              <w:rPr>
                <w:rStyle w:val="Hipervnculo"/>
                <w:rFonts w:cs="Arial"/>
                <w:noProof/>
                <w:szCs w:val="20"/>
              </w:rPr>
              <w:t>Acciones preferidas rescatables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_Toc139356790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139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91" w:history="1">
            <w:r w:rsidR="008F52CD" w:rsidRPr="00CD2668">
              <w:rPr>
                <w:rStyle w:val="Hipervnculo"/>
                <w:rFonts w:cs="Arial"/>
                <w:noProof/>
                <w:szCs w:val="20"/>
              </w:rPr>
              <w:t>Aportes irrevocables para futuras suscripciones de acciones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_Toc139356791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140</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792" w:history="1">
            <w:r w:rsidR="008F52CD" w:rsidRPr="00CD2668">
              <w:rPr>
                <w:rStyle w:val="Hipervnculo"/>
                <w:szCs w:val="20"/>
              </w:rPr>
              <w:t>PASIVOS CIERTOS (DEUDAS) EN MONEDA</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_Toc139356792 \h </w:instrText>
            </w:r>
            <w:r w:rsidRPr="00CD2668">
              <w:rPr>
                <w:webHidden/>
                <w:szCs w:val="20"/>
              </w:rPr>
            </w:r>
            <w:r w:rsidRPr="00CD2668">
              <w:rPr>
                <w:webHidden/>
                <w:szCs w:val="20"/>
              </w:rPr>
              <w:fldChar w:fldCharType="separate"/>
            </w:r>
            <w:r w:rsidR="00D33A5D">
              <w:rPr>
                <w:webHidden/>
                <w:szCs w:val="20"/>
              </w:rPr>
              <w:t>140</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93"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_Toc139356793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94"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_Toc139356794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95"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_Toc139356795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140</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96" w:history="1">
            <w:r w:rsidR="008F52CD" w:rsidRPr="00CD2668">
              <w:rPr>
                <w:rStyle w:val="Hipervnculo"/>
                <w:rFonts w:cs="Arial"/>
                <w:noProof/>
                <w:sz w:val="20"/>
                <w:szCs w:val="20"/>
              </w:rPr>
              <w:t>Pasivos ciertos (deudas) en moneda originados en la compra de bienes o servicios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_Toc139356796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140</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97" w:history="1">
            <w:r w:rsidR="008F52CD" w:rsidRPr="00CD2668">
              <w:rPr>
                <w:rStyle w:val="Hipervnculo"/>
                <w:rFonts w:cs="Arial"/>
                <w:noProof/>
                <w:sz w:val="20"/>
                <w:szCs w:val="20"/>
              </w:rPr>
              <w:t>Pasivos ciertos (deudas) en moneda originados en transacciones financieras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_Toc139356797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141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798" w:history="1">
            <w:r w:rsidR="008F52CD" w:rsidRPr="00CD2668">
              <w:rPr>
                <w:rStyle w:val="Hipervnculo"/>
                <w:rFonts w:cs="Arial"/>
                <w:noProof/>
                <w:sz w:val="20"/>
                <w:szCs w:val="20"/>
              </w:rPr>
              <w:t>Otros pasivos ciertos (deudas) en moneda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_Toc139356798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141</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799" w:history="1">
            <w:r w:rsidR="008F52CD" w:rsidRPr="00CD2668">
              <w:rPr>
                <w:rStyle w:val="Hipervnculo"/>
                <w:rFonts w:cs="Arial"/>
                <w:noProof/>
                <w:szCs w:val="20"/>
              </w:rPr>
              <w:t>Pasivos (deudas) ciertas en moneda provenientes de transacciones entre partes relacionadas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_Toc139356799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0"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1" w:history="1">
            <w:r w:rsidR="008F52CD" w:rsidRPr="00CD2668">
              <w:rPr>
                <w:rStyle w:val="Hipervnculo"/>
                <w:rFonts w:cs="Arial"/>
                <w:noProof/>
                <w:szCs w:val="20"/>
              </w:rPr>
              <w:t>Baja en cuentas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2"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3"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4"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145</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05" w:history="1">
            <w:r w:rsidR="008F52CD" w:rsidRPr="00CD2668">
              <w:rPr>
                <w:rStyle w:val="Hipervnculo"/>
                <w:szCs w:val="20"/>
              </w:rPr>
              <w:t>PASIVOS CIERTOS (DEUDAS) EN ESPECIE</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_Toc139356805 \h </w:instrText>
            </w:r>
            <w:r w:rsidRPr="00CD2668">
              <w:rPr>
                <w:webHidden/>
                <w:szCs w:val="20"/>
              </w:rPr>
            </w:r>
            <w:r w:rsidRPr="00CD2668">
              <w:rPr>
                <w:webHidden/>
                <w:szCs w:val="20"/>
              </w:rPr>
              <w:fldChar w:fldCharType="separate"/>
            </w:r>
            <w:r w:rsidR="00D33A5D">
              <w:rPr>
                <w:webHidden/>
                <w:szCs w:val="20"/>
              </w:rPr>
              <w:t>146</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6"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7"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8"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09"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_Toc139356809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0" w:history="1">
            <w:r w:rsidR="008F52CD" w:rsidRPr="00CD2668">
              <w:rPr>
                <w:rStyle w:val="Hipervnculo"/>
                <w:rFonts w:cs="Arial"/>
                <w:noProof/>
                <w:szCs w:val="20"/>
              </w:rPr>
              <w:t>Baja en cuentas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1"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2"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3"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147</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14" w:history="1">
            <w:r w:rsidR="008F52CD" w:rsidRPr="00CD2668">
              <w:rPr>
                <w:rStyle w:val="Hipervnculo"/>
                <w:szCs w:val="20"/>
              </w:rPr>
              <w:t>PREVISIONES Y OTROS PASIVOS CONTINGENTES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_Toc139356814 \h </w:instrText>
            </w:r>
            <w:r w:rsidRPr="00CD2668">
              <w:rPr>
                <w:webHidden/>
                <w:szCs w:val="20"/>
              </w:rPr>
            </w:r>
            <w:r w:rsidRPr="00CD2668">
              <w:rPr>
                <w:webHidden/>
                <w:szCs w:val="20"/>
              </w:rPr>
              <w:fldChar w:fldCharType="separate"/>
            </w:r>
            <w:r w:rsidR="00D33A5D">
              <w:rPr>
                <w:webHidden/>
                <w:szCs w:val="20"/>
              </w:rPr>
              <w:t>148</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5"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6"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7"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8"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19"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_Toc139356819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149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20"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_Toc139356820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21"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_Toc139356821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151</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22" w:history="1">
            <w:r w:rsidR="008F52CD" w:rsidRPr="00CD2668">
              <w:rPr>
                <w:rStyle w:val="Hipervnculo"/>
                <w:szCs w:val="20"/>
              </w:rPr>
              <w:t>PATRIMONIO NETO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_Toc139356822 \h </w:instrText>
            </w:r>
            <w:r w:rsidRPr="00CD2668">
              <w:rPr>
                <w:webHidden/>
                <w:szCs w:val="20"/>
              </w:rPr>
            </w:r>
            <w:r w:rsidRPr="00CD2668">
              <w:rPr>
                <w:webHidden/>
                <w:szCs w:val="20"/>
              </w:rPr>
              <w:fldChar w:fldCharType="separate"/>
            </w:r>
            <w:r w:rsidR="00D33A5D">
              <w:rPr>
                <w:webHidden/>
                <w:szCs w:val="20"/>
              </w:rPr>
              <w:t>151</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23"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_Toc139356823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24"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_Toc139356824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153</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25" w:history="1">
            <w:r w:rsidR="008F52CD" w:rsidRPr="00CD2668">
              <w:rPr>
                <w:rStyle w:val="Hipervnculo"/>
                <w:rFonts w:cs="Arial"/>
                <w:noProof/>
                <w:sz w:val="20"/>
                <w:szCs w:val="20"/>
              </w:rPr>
              <w:t>Aportes de capital y similares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_Toc139356825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153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26" w:history="1">
            <w:r w:rsidR="008F52CD" w:rsidRPr="00CD2668">
              <w:rPr>
                <w:rStyle w:val="Hipervnculo"/>
                <w:rFonts w:cs="Arial"/>
                <w:noProof/>
                <w:sz w:val="20"/>
                <w:szCs w:val="20"/>
              </w:rPr>
              <w:t>Aportes irrevocables para futuras suscripciones de acciones y similares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_Toc139356826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154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27" w:history="1">
            <w:r w:rsidR="008F52CD" w:rsidRPr="00CD2668">
              <w:rPr>
                <w:rStyle w:val="Hipervnculo"/>
                <w:rFonts w:cs="Arial"/>
                <w:noProof/>
                <w:sz w:val="20"/>
                <w:szCs w:val="20"/>
              </w:rPr>
              <w:t>Aportes irrevocables para absorber pérdidas acumuladas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_Toc139356827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154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28" w:history="1">
            <w:r w:rsidR="008F52CD" w:rsidRPr="00CD2668">
              <w:rPr>
                <w:rStyle w:val="Hipervnculo"/>
                <w:rFonts w:cs="Arial"/>
                <w:noProof/>
                <w:sz w:val="20"/>
                <w:szCs w:val="20"/>
              </w:rPr>
              <w:t>Otras partidas o transacciones que integran el patrimonio neto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_Toc139356828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154</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29" w:history="1">
            <w:r w:rsidR="008F52CD" w:rsidRPr="00CD2668">
              <w:rPr>
                <w:rStyle w:val="Hipervnculo"/>
                <w:rFonts w:cs="Arial"/>
                <w:noProof/>
                <w:szCs w:val="20"/>
              </w:rPr>
              <w:t>Medición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_Toc139356829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30" w:history="1">
            <w:r w:rsidR="008F52CD" w:rsidRPr="00CD2668">
              <w:rPr>
                <w:rStyle w:val="Hipervnculo"/>
                <w:rFonts w:cs="Arial"/>
                <w:noProof/>
                <w:szCs w:val="20"/>
              </w:rPr>
              <w:t>Medición posterior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_Toc139356830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31"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_Toc139356831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32"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_Toc139356832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33"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_Toc139356833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156</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34" w:history="1">
            <w:r w:rsidR="008F52CD" w:rsidRPr="00CD2668">
              <w:rPr>
                <w:rStyle w:val="Hipervnculo"/>
                <w:szCs w:val="20"/>
              </w:rPr>
              <w:t>CAPÍTULO 5</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_Toc139356834 \h </w:instrText>
            </w:r>
            <w:r w:rsidRPr="00CD2668">
              <w:rPr>
                <w:webHidden/>
                <w:szCs w:val="20"/>
              </w:rPr>
            </w:r>
            <w:r w:rsidRPr="00CD2668">
              <w:rPr>
                <w:webHidden/>
                <w:szCs w:val="20"/>
              </w:rPr>
              <w:fldChar w:fldCharType="separate"/>
            </w:r>
            <w:r w:rsidR="00D33A5D">
              <w:rPr>
                <w:webHidden/>
                <w:szCs w:val="20"/>
              </w:rPr>
              <w:t>158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35" w:history="1">
            <w:r w:rsidR="008F52CD" w:rsidRPr="00CD2668">
              <w:rPr>
                <w:rStyle w:val="Hipervnculo"/>
                <w:szCs w:val="20"/>
              </w:rPr>
              <w:t>EFECTOS CONTABLES PROCEDENTES DE DETERMINADAS CIRCUNSTANCIAS, TRANSACCIONES O CONTRATOS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_Toc139356835 \h </w:instrText>
            </w:r>
            <w:r w:rsidRPr="00CD2668">
              <w:rPr>
                <w:webHidden/>
                <w:szCs w:val="20"/>
              </w:rPr>
            </w:r>
            <w:r w:rsidRPr="00CD2668">
              <w:rPr>
                <w:webHidden/>
                <w:szCs w:val="20"/>
              </w:rPr>
              <w:fldChar w:fldCharType="separate"/>
            </w:r>
            <w:r w:rsidR="00D33A5D">
              <w:rPr>
                <w:webHidden/>
                <w:szCs w:val="20"/>
              </w:rPr>
              <w:t>158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36"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_Toc139356836 \h </w:instrText>
            </w:r>
            <w:r w:rsidRPr="00CD2668">
              <w:rPr>
                <w:webHidden/>
                <w:szCs w:val="20"/>
              </w:rPr>
            </w:r>
            <w:r w:rsidRPr="00CD2668">
              <w:rPr>
                <w:webHidden/>
                <w:szCs w:val="20"/>
              </w:rPr>
              <w:fldChar w:fldCharType="separate"/>
            </w:r>
            <w:r w:rsidR="00D33A5D">
              <w:rPr>
                <w:webHidden/>
                <w:szCs w:val="20"/>
              </w:rPr>
              <w:t>158</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37" w:history="1">
            <w:r w:rsidR="008F52CD" w:rsidRPr="00CD2668">
              <w:rPr>
                <w:rStyle w:val="Hipervnculo"/>
                <w:szCs w:val="20"/>
              </w:rPr>
              <w:t>RECONOCIMIENTO DE INGRESOS DE ACTIVIDADES ORDINARIAS PROCEDENTES DE TRANSACCIONES (OPERACIONES DE INTERCAMBIO)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_Toc139356837 \h </w:instrText>
            </w:r>
            <w:r w:rsidRPr="00CD2668">
              <w:rPr>
                <w:webHidden/>
                <w:szCs w:val="20"/>
              </w:rPr>
            </w:r>
            <w:r w:rsidRPr="00CD2668">
              <w:rPr>
                <w:webHidden/>
                <w:szCs w:val="20"/>
              </w:rPr>
              <w:fldChar w:fldCharType="separate"/>
            </w:r>
            <w:r w:rsidR="00D33A5D">
              <w:rPr>
                <w:webHidden/>
                <w:szCs w:val="20"/>
              </w:rPr>
              <w:t>158</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38"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_Toc139356838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39" w:history="1">
            <w:r w:rsidR="008F52CD" w:rsidRPr="00CD2668">
              <w:rPr>
                <w:rStyle w:val="Hipervnculo"/>
                <w:rFonts w:cs="Arial"/>
                <w:noProof/>
                <w:szCs w:val="20"/>
              </w:rPr>
              <w:t>Reconocimiento (devengamiento)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_Toc139356839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159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40" w:history="1">
            <w:r w:rsidR="008F52CD" w:rsidRPr="00CD2668">
              <w:rPr>
                <w:rStyle w:val="Hipervnculo"/>
                <w:rFonts w:cs="Arial"/>
                <w:noProof/>
                <w:szCs w:val="20"/>
              </w:rPr>
              <w:t>Medición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_Toc139356840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41"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_Toc139356841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160</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42" w:history="1">
            <w:r w:rsidR="008F52CD" w:rsidRPr="00CD2668">
              <w:rPr>
                <w:rStyle w:val="Hipervnculo"/>
                <w:szCs w:val="20"/>
              </w:rPr>
              <w:t>COMPROMISOS QUE GENERAN PÉRDIDAS (CONTRATOS DE CARÁCTER ONEROSO)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_Toc139356842 \h </w:instrText>
            </w:r>
            <w:r w:rsidRPr="00CD2668">
              <w:rPr>
                <w:webHidden/>
                <w:szCs w:val="20"/>
              </w:rPr>
            </w:r>
            <w:r w:rsidRPr="00CD2668">
              <w:rPr>
                <w:webHidden/>
                <w:szCs w:val="20"/>
              </w:rPr>
              <w:fldChar w:fldCharType="separate"/>
            </w:r>
            <w:r w:rsidR="00D33A5D">
              <w:rPr>
                <w:webHidden/>
                <w:szCs w:val="20"/>
              </w:rPr>
              <w:t>161</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43"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_Toc139356843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44"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_Toc139356844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45"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_Toc139356845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162</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46" w:history="1">
            <w:r w:rsidR="008F52CD" w:rsidRPr="00CD2668">
              <w:rPr>
                <w:rStyle w:val="Hipervnculo"/>
                <w:szCs w:val="20"/>
              </w:rPr>
              <w:t>ARRENDAMIENTOS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_Toc139356846 \h </w:instrText>
            </w:r>
            <w:r w:rsidRPr="00CD2668">
              <w:rPr>
                <w:webHidden/>
                <w:szCs w:val="20"/>
              </w:rPr>
            </w:r>
            <w:r w:rsidRPr="00CD2668">
              <w:rPr>
                <w:webHidden/>
                <w:szCs w:val="20"/>
              </w:rPr>
              <w:fldChar w:fldCharType="separate"/>
            </w:r>
            <w:r w:rsidR="00D33A5D">
              <w:rPr>
                <w:webHidden/>
                <w:szCs w:val="20"/>
              </w:rPr>
              <w:t>162</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47"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_Toc139356847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48" w:history="1">
            <w:r w:rsidR="008F52CD" w:rsidRPr="00CD2668">
              <w:rPr>
                <w:rStyle w:val="Hipervnculo"/>
                <w:rFonts w:cs="Arial"/>
                <w:noProof/>
                <w:szCs w:val="20"/>
              </w:rPr>
              <w:t>Tipos de arrendamiento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_Toc139356848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163</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49" w:history="1">
            <w:r w:rsidR="008F52CD" w:rsidRPr="00CD2668">
              <w:rPr>
                <w:rStyle w:val="Hipervnculo"/>
                <w:rFonts w:cs="Arial"/>
                <w:noProof/>
                <w:sz w:val="20"/>
                <w:szCs w:val="20"/>
              </w:rPr>
              <w:t>Arrendamientos financieros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_Toc139356849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164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50" w:history="1">
            <w:r w:rsidR="008F52CD" w:rsidRPr="00CD2668">
              <w:rPr>
                <w:rStyle w:val="Hipervnculo"/>
                <w:rFonts w:cs="Arial"/>
                <w:noProof/>
                <w:sz w:val="20"/>
                <w:szCs w:val="20"/>
              </w:rPr>
              <w:t>Arrendamientos operativos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_Toc139356850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165</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51" w:history="1">
            <w:r w:rsidR="008F52CD" w:rsidRPr="00CD2668">
              <w:rPr>
                <w:rStyle w:val="Hipervnculo"/>
                <w:rFonts w:cs="Arial"/>
                <w:noProof/>
                <w:sz w:val="20"/>
                <w:szCs w:val="20"/>
              </w:rPr>
              <w:t>Modificaciones contractuales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_Toc139356851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166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52" w:history="1">
            <w:r w:rsidR="008F52CD" w:rsidRPr="00CD2668">
              <w:rPr>
                <w:rStyle w:val="Hipervnculo"/>
                <w:rFonts w:cs="Arial"/>
                <w:noProof/>
                <w:sz w:val="20"/>
                <w:szCs w:val="20"/>
              </w:rPr>
              <w:t>Venta acompañada o seguida de arrendamiento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_Toc139356852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166</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53" w:history="1">
            <w:r w:rsidR="008F52CD" w:rsidRPr="00CD2668">
              <w:rPr>
                <w:rStyle w:val="Hipervnculo"/>
                <w:rFonts w:cs="Arial"/>
                <w:noProof/>
                <w:szCs w:val="20"/>
              </w:rPr>
              <w:t>Presentación y revelación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_Toc139356853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167</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54" w:history="1">
            <w:r w:rsidR="008F52CD" w:rsidRPr="00CD2668">
              <w:rPr>
                <w:rStyle w:val="Hipervnculo"/>
                <w:rFonts w:cs="Arial"/>
                <w:noProof/>
                <w:sz w:val="20"/>
                <w:szCs w:val="20"/>
              </w:rPr>
              <w:t>Presentación y revelación: estados contables del arrendador</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_Toc139356854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167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55" w:history="1">
            <w:r w:rsidR="008F52CD" w:rsidRPr="00CD2668">
              <w:rPr>
                <w:rStyle w:val="Hipervnculo"/>
                <w:rFonts w:cs="Arial"/>
                <w:noProof/>
                <w:sz w:val="20"/>
                <w:szCs w:val="20"/>
              </w:rPr>
              <w:t>Presentación y revelación: estados contables del arrendatario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_Toc139356855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168</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56"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_Toc139356856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169</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57" w:history="1">
            <w:r w:rsidR="008F52CD" w:rsidRPr="00CD2668">
              <w:rPr>
                <w:rStyle w:val="Hipervnculo"/>
                <w:szCs w:val="20"/>
              </w:rPr>
              <w:t>SUBSIDIOS Y OTRAS AYUDAS GUBERNAMENTALES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_Toc139356857 \h </w:instrText>
            </w:r>
            <w:r w:rsidRPr="00CD2668">
              <w:rPr>
                <w:webHidden/>
                <w:szCs w:val="20"/>
              </w:rPr>
            </w:r>
            <w:r w:rsidRPr="00CD2668">
              <w:rPr>
                <w:webHidden/>
                <w:szCs w:val="20"/>
              </w:rPr>
              <w:fldChar w:fldCharType="separate"/>
            </w:r>
            <w:r w:rsidR="00D33A5D">
              <w:rPr>
                <w:webHidden/>
                <w:szCs w:val="20"/>
              </w:rPr>
              <w:t>169</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58"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_Toc139356858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59"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_Toc139356859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169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60" w:history="1">
            <w:r w:rsidR="008F52CD" w:rsidRPr="00CD2668">
              <w:rPr>
                <w:rStyle w:val="Hipervnculo"/>
                <w:rFonts w:cs="Arial"/>
                <w:noProof/>
                <w:szCs w:val="20"/>
              </w:rPr>
              <w:t>Presentación de subsidios gubernamentales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_Toc139356860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170</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61" w:history="1">
            <w:r w:rsidR="008F52CD" w:rsidRPr="00CD2668">
              <w:rPr>
                <w:rStyle w:val="Hipervnculo"/>
                <w:rFonts w:cs="Arial"/>
                <w:noProof/>
                <w:sz w:val="20"/>
                <w:szCs w:val="20"/>
              </w:rPr>
              <w:t>Presentación de los subsidios gubernamentales en el estado de situación patrimonial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_Toc139356861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170</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62" w:history="1">
            <w:r w:rsidR="008F52CD" w:rsidRPr="00CD2668">
              <w:rPr>
                <w:rStyle w:val="Hipervnculo"/>
                <w:rFonts w:cs="Arial"/>
                <w:noProof/>
                <w:sz w:val="20"/>
                <w:szCs w:val="20"/>
              </w:rPr>
              <w:t>Presentación de los subsidios gubernamentales en el estado de resultados (o estado de recursos y gastos)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_Toc139356862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171</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63"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_Toc139356863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171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64"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_Toc139356864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171</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65" w:history="1">
            <w:r w:rsidR="008F52CD" w:rsidRPr="00CD2668">
              <w:rPr>
                <w:rStyle w:val="Hipervnculo"/>
                <w:szCs w:val="20"/>
              </w:rPr>
              <w:t>CONTABILIZACIÓN DEL IMPUESTO A LAS GANANCIAS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_Toc139356865 \h </w:instrText>
            </w:r>
            <w:r w:rsidRPr="00CD2668">
              <w:rPr>
                <w:webHidden/>
                <w:szCs w:val="20"/>
              </w:rPr>
            </w:r>
            <w:r w:rsidRPr="00CD2668">
              <w:rPr>
                <w:webHidden/>
                <w:szCs w:val="20"/>
              </w:rPr>
              <w:fldChar w:fldCharType="separate"/>
            </w:r>
            <w:r w:rsidR="00D33A5D">
              <w:rPr>
                <w:webHidden/>
                <w:szCs w:val="20"/>
              </w:rPr>
              <w:t>172</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66"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_Toc139356866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172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67" w:history="1">
            <w:r w:rsidR="008F52CD" w:rsidRPr="00CD2668">
              <w:rPr>
                <w:rStyle w:val="Hipervnculo"/>
                <w:rFonts w:cs="Arial"/>
                <w:noProof/>
                <w:szCs w:val="20"/>
              </w:rPr>
              <w:t>Reconocimiento, medición, presentación y revelación del impuesto a las ganancias corriente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_Toc139356867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173</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68" w:history="1">
            <w:r w:rsidR="008F52CD" w:rsidRPr="00CD2668">
              <w:rPr>
                <w:rStyle w:val="Hipervnculo"/>
                <w:rFonts w:cs="Arial"/>
                <w:noProof/>
                <w:sz w:val="20"/>
                <w:szCs w:val="20"/>
              </w:rPr>
              <w:t>Reconocimiento de pasivos por impuesto corriente</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_Toc139356868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69" w:history="1">
            <w:r w:rsidR="008F52CD" w:rsidRPr="00CD2668">
              <w:rPr>
                <w:rStyle w:val="Hipervnculo"/>
                <w:rFonts w:cs="Arial"/>
                <w:noProof/>
                <w:sz w:val="20"/>
                <w:szCs w:val="20"/>
              </w:rPr>
              <w:t>Medición de pasivos o activos por impuesto corriente</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_Toc139356869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70" w:history="1">
            <w:r w:rsidR="008F52CD" w:rsidRPr="00CD2668">
              <w:rPr>
                <w:rStyle w:val="Hipervnculo"/>
                <w:rFonts w:cs="Arial"/>
                <w:noProof/>
                <w:sz w:val="20"/>
                <w:szCs w:val="20"/>
              </w:rPr>
              <w:t>Presentación y revelación de pasivos o activos y gasto o ingreso por impuesto a las ganancias corriente</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_Toc139356870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173</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71" w:history="1">
            <w:r w:rsidR="008F52CD" w:rsidRPr="00CD2668">
              <w:rPr>
                <w:rStyle w:val="Hipervnculo"/>
                <w:rFonts w:cs="Arial"/>
                <w:noProof/>
                <w:szCs w:val="20"/>
              </w:rPr>
              <w:t>Reconocimiento, medición, presentación y revelación del impuesto a las ganancias diferido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_Toc139356871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174</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72" w:history="1">
            <w:r w:rsidR="008F52CD" w:rsidRPr="00CD2668">
              <w:rPr>
                <w:rStyle w:val="Hipervnculo"/>
                <w:rFonts w:cs="Arial"/>
                <w:noProof/>
                <w:sz w:val="20"/>
                <w:szCs w:val="20"/>
              </w:rPr>
              <w:t>Reconocimiento de pasivos o activos por impuesto diferido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_Toc139356872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73" w:history="1">
            <w:r w:rsidR="008F52CD" w:rsidRPr="00CD2668">
              <w:rPr>
                <w:rStyle w:val="Hipervnculo"/>
                <w:rFonts w:cs="Arial"/>
                <w:noProof/>
                <w:sz w:val="20"/>
                <w:szCs w:val="20"/>
              </w:rPr>
              <w:t>Excepciones al reconocimiento de pasivos por impuesto diferido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_Toc139356873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175</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74" w:history="1">
            <w:r w:rsidR="008F52CD" w:rsidRPr="00CD2668">
              <w:rPr>
                <w:rStyle w:val="Hipervnculo"/>
                <w:rFonts w:cs="Arial"/>
                <w:noProof/>
                <w:sz w:val="20"/>
                <w:szCs w:val="20"/>
              </w:rPr>
              <w:t>Excepciones al reconocimiento de activos por impuesto diferido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_Toc139356874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175</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75" w:history="1">
            <w:r w:rsidR="008F52CD" w:rsidRPr="00CD2668">
              <w:rPr>
                <w:rStyle w:val="Hipervnculo"/>
                <w:rFonts w:cs="Arial"/>
                <w:noProof/>
                <w:sz w:val="20"/>
                <w:szCs w:val="20"/>
              </w:rPr>
              <w:t>Medición inicial y posterior de los pasivos o activos por impuesto diferido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_Toc139356875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76" w:history="1">
            <w:r w:rsidR="008F52CD" w:rsidRPr="00CD2668">
              <w:rPr>
                <w:rStyle w:val="Hipervnculo"/>
                <w:rFonts w:cs="Arial"/>
                <w:noProof/>
                <w:sz w:val="20"/>
                <w:szCs w:val="20"/>
              </w:rPr>
              <w:t>Determinación de la base fiscal de activos y pasivos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_Toc139356876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77" w:history="1">
            <w:r w:rsidR="008F52CD" w:rsidRPr="00CD2668">
              <w:rPr>
                <w:rStyle w:val="Hipervnculo"/>
                <w:rFonts w:cs="Arial"/>
                <w:noProof/>
                <w:sz w:val="20"/>
                <w:szCs w:val="20"/>
              </w:rPr>
              <w:t>Comparación con el valor recuperable de los activos por impuestos diferidos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_Toc139356877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78" w:history="1">
            <w:r w:rsidR="008F52CD" w:rsidRPr="00CD2668">
              <w:rPr>
                <w:rStyle w:val="Hipervnculo"/>
                <w:rFonts w:cs="Arial"/>
                <w:noProof/>
                <w:sz w:val="20"/>
                <w:szCs w:val="20"/>
              </w:rPr>
              <w:t>Presentación y revelación de pasivos o activos, y pérdidas o ganancias, por impuesto diferido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_Toc139356878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177</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79"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_Toc139356879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179</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80" w:history="1">
            <w:r w:rsidR="008F52CD" w:rsidRPr="00CD2668">
              <w:rPr>
                <w:rStyle w:val="Hipervnculo"/>
                <w:szCs w:val="20"/>
              </w:rPr>
              <w:t>REESTRUCTURACIONES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_Toc139356880 \h </w:instrText>
            </w:r>
            <w:r w:rsidRPr="00CD2668">
              <w:rPr>
                <w:webHidden/>
                <w:szCs w:val="20"/>
              </w:rPr>
            </w:r>
            <w:r w:rsidRPr="00CD2668">
              <w:rPr>
                <w:webHidden/>
                <w:szCs w:val="20"/>
              </w:rPr>
              <w:fldChar w:fldCharType="separate"/>
            </w:r>
            <w:r w:rsidR="00D33A5D">
              <w:rPr>
                <w:webHidden/>
                <w:szCs w:val="20"/>
              </w:rPr>
              <w:t>180</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81" w:history="1">
            <w:r w:rsidR="008F52CD" w:rsidRPr="00CD2668">
              <w:rPr>
                <w:rStyle w:val="Hipervnculo"/>
                <w:rFonts w:cs="Arial"/>
                <w:noProof/>
                <w:szCs w:val="20"/>
              </w:rPr>
              <w:t>Reconocimiento y medición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_Toc139356881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82"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_Toc139356882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181</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83" w:history="1">
            <w:r w:rsidR="008F52CD" w:rsidRPr="00CD2668">
              <w:rPr>
                <w:rStyle w:val="Hipervnculo"/>
                <w:szCs w:val="20"/>
              </w:rPr>
              <w:t>CAPÍTULO 6</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_Toc139356883 \h </w:instrText>
            </w:r>
            <w:r w:rsidRPr="00CD2668">
              <w:rPr>
                <w:webHidden/>
                <w:szCs w:val="20"/>
              </w:rPr>
            </w:r>
            <w:r w:rsidRPr="00CD2668">
              <w:rPr>
                <w:webHidden/>
                <w:szCs w:val="20"/>
              </w:rPr>
              <w:fldChar w:fldCharType="separate"/>
            </w:r>
            <w:r w:rsidR="00D33A5D">
              <w:rPr>
                <w:webHidden/>
                <w:szCs w:val="20"/>
              </w:rPr>
              <w:t>182</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84" w:history="1">
            <w:r w:rsidR="008F52CD" w:rsidRPr="00CD2668">
              <w:rPr>
                <w:rStyle w:val="Hipervnculo"/>
                <w:szCs w:val="20"/>
              </w:rPr>
              <w:t xml:space="preserve">NORMAS GENERALES SOBRE PRESENTACIÓN DE </w:t>
            </w:r>
            <w:r w:rsidR="008F52CD" w:rsidRPr="00CD2668">
              <w:rPr>
                <w:rStyle w:val="Hipervnculo"/>
                <w:bCs/>
                <w:szCs w:val="20"/>
              </w:rPr>
              <w:t>ESTADOS CONTABLES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_Toc139356884 \h </w:instrText>
            </w:r>
            <w:r w:rsidRPr="00CD2668">
              <w:rPr>
                <w:webHidden/>
                <w:szCs w:val="20"/>
              </w:rPr>
            </w:r>
            <w:r w:rsidRPr="00CD2668">
              <w:rPr>
                <w:webHidden/>
                <w:szCs w:val="20"/>
              </w:rPr>
              <w:fldChar w:fldCharType="separate"/>
            </w:r>
            <w:r w:rsidR="00D33A5D">
              <w:rPr>
                <w:webHidden/>
                <w:szCs w:val="20"/>
              </w:rPr>
              <w:t>182</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85"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_Toc139356885 \h </w:instrText>
            </w:r>
            <w:r w:rsidRPr="00CD2668">
              <w:rPr>
                <w:webHidden/>
                <w:szCs w:val="20"/>
              </w:rPr>
            </w:r>
            <w:r w:rsidRPr="00CD2668">
              <w:rPr>
                <w:webHidden/>
                <w:szCs w:val="20"/>
              </w:rPr>
              <w:fldChar w:fldCharType="separate"/>
            </w:r>
            <w:r w:rsidR="00D33A5D">
              <w:rPr>
                <w:webHidden/>
                <w:szCs w:val="20"/>
              </w:rPr>
              <w:t>182</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86" w:history="1">
            <w:r w:rsidR="008F52CD" w:rsidRPr="00CD2668">
              <w:rPr>
                <w:rStyle w:val="Hipervnculo"/>
                <w:szCs w:val="20"/>
              </w:rPr>
              <w:t>CUESTIONES REFERIDAS AL ESTADO DE SITUACIÓN PATRIMONIAL</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_Toc139356886 \h </w:instrText>
            </w:r>
            <w:r w:rsidRPr="00CD2668">
              <w:rPr>
                <w:webHidden/>
                <w:szCs w:val="20"/>
              </w:rPr>
            </w:r>
            <w:r w:rsidRPr="00CD2668">
              <w:rPr>
                <w:webHidden/>
                <w:szCs w:val="20"/>
              </w:rPr>
              <w:fldChar w:fldCharType="separate"/>
            </w:r>
            <w:r w:rsidR="00D33A5D">
              <w:rPr>
                <w:webHidden/>
                <w:szCs w:val="20"/>
              </w:rPr>
              <w:t>182</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87"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_Toc139356887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88" w:history="1">
            <w:r w:rsidR="008F52CD" w:rsidRPr="00CD2668">
              <w:rPr>
                <w:rStyle w:val="Hipervnculo"/>
                <w:rFonts w:cs="Arial"/>
                <w:noProof/>
                <w:szCs w:val="20"/>
              </w:rPr>
              <w:t>Estructura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_Toc139356888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89" w:history="1">
            <w:r w:rsidR="008F52CD" w:rsidRPr="00CD2668">
              <w:rPr>
                <w:rStyle w:val="Hipervnculo"/>
                <w:rFonts w:cs="Arial"/>
                <w:noProof/>
                <w:szCs w:val="20"/>
              </w:rPr>
              <w:t>Clasificación: selección de la base de presentación más relevante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_Toc139356889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90" w:history="1">
            <w:r w:rsidR="008F52CD" w:rsidRPr="00CD2668">
              <w:rPr>
                <w:rStyle w:val="Hipervnculo"/>
                <w:rFonts w:cs="Arial"/>
                <w:noProof/>
                <w:szCs w:val="20"/>
              </w:rPr>
              <w:t>Clasificación de activos (pasivos) como corrientes o no corrientes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_Toc139356890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91" w:history="1">
            <w:r w:rsidR="008F52CD" w:rsidRPr="00CD2668">
              <w:rPr>
                <w:rStyle w:val="Hipervnculo"/>
                <w:rFonts w:cs="Arial"/>
                <w:noProof/>
                <w:szCs w:val="20"/>
              </w:rPr>
              <w:t>Partidas de ajuste de la medición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_Toc139356891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92" w:history="1">
            <w:r w:rsidR="008F52CD" w:rsidRPr="00CD2668">
              <w:rPr>
                <w:rStyle w:val="Hipervnculo"/>
                <w:rFonts w:cs="Arial"/>
                <w:noProof/>
                <w:szCs w:val="20"/>
              </w:rPr>
              <w:t>Compensación de partidas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_Toc139356892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186</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893" w:history="1">
            <w:r w:rsidR="008F52CD" w:rsidRPr="00CD2668">
              <w:rPr>
                <w:rStyle w:val="Hipervnculo"/>
                <w:szCs w:val="20"/>
              </w:rPr>
              <w:t>CUESTIONES REFERIDAS AL ESTADO DE RESULTADOS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_Toc139356893 \h </w:instrText>
            </w:r>
            <w:r w:rsidRPr="00CD2668">
              <w:rPr>
                <w:webHidden/>
                <w:szCs w:val="20"/>
              </w:rPr>
            </w:r>
            <w:r w:rsidRPr="00CD2668">
              <w:rPr>
                <w:webHidden/>
                <w:szCs w:val="20"/>
              </w:rPr>
              <w:fldChar w:fldCharType="separate"/>
            </w:r>
            <w:r w:rsidR="00D33A5D">
              <w:rPr>
                <w:webHidden/>
                <w:szCs w:val="20"/>
              </w:rPr>
              <w:t>186</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94"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_Toc139356894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95" w:history="1">
            <w:r w:rsidR="008F52CD" w:rsidRPr="00CD2668">
              <w:rPr>
                <w:rStyle w:val="Hipervnculo"/>
                <w:rFonts w:cs="Arial"/>
                <w:noProof/>
                <w:szCs w:val="20"/>
              </w:rPr>
              <w:t>Presentación de las partidas del resultado del período.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_Toc139356895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186</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96" w:history="1">
            <w:r w:rsidR="008F52CD" w:rsidRPr="00CD2668">
              <w:rPr>
                <w:rStyle w:val="Hipervnculo"/>
                <w:rFonts w:cs="Arial"/>
                <w:noProof/>
                <w:sz w:val="20"/>
                <w:szCs w:val="20"/>
              </w:rPr>
              <w:t>Cuestiones generales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_Toc139356896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186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97" w:history="1">
            <w:r w:rsidR="008F52CD" w:rsidRPr="00CD2668">
              <w:rPr>
                <w:rStyle w:val="Hipervnculo"/>
                <w:rFonts w:cs="Arial"/>
                <w:noProof/>
                <w:sz w:val="20"/>
                <w:szCs w:val="20"/>
              </w:rPr>
              <w:t>Presentación de reintegros, reembolsos y desgravaciones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_Toc139356897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187</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898" w:history="1">
            <w:r w:rsidR="008F52CD" w:rsidRPr="00CD2668">
              <w:rPr>
                <w:rStyle w:val="Hipervnculo"/>
                <w:rFonts w:cs="Arial"/>
                <w:noProof/>
                <w:szCs w:val="20"/>
              </w:rPr>
              <w:t>Presentación de los resultados financieros y de tenencia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_Toc139356898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187</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899" w:history="1">
            <w:r w:rsidR="008F52CD" w:rsidRPr="00CD2668">
              <w:rPr>
                <w:rStyle w:val="Hipervnculo"/>
                <w:rFonts w:cs="Arial"/>
                <w:noProof/>
                <w:sz w:val="20"/>
                <w:szCs w:val="20"/>
              </w:rPr>
              <w:t>Selección de la política de presentación más relevante</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_Toc139356899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187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00" w:history="1">
            <w:r w:rsidR="008F52CD" w:rsidRPr="00CD2668">
              <w:rPr>
                <w:rStyle w:val="Hipervnculo"/>
                <w:rFonts w:cs="Arial"/>
                <w:noProof/>
                <w:sz w:val="20"/>
                <w:szCs w:val="20"/>
              </w:rPr>
              <w:t>Presentación de ciertos resultados financieros y de tenencia en un acápite separado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_Toc139356900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187</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01" w:history="1">
            <w:r w:rsidR="008F52CD" w:rsidRPr="00CD2668">
              <w:rPr>
                <w:rStyle w:val="Hipervnculo"/>
                <w:rFonts w:cs="Arial"/>
                <w:noProof/>
                <w:szCs w:val="20"/>
              </w:rPr>
              <w:t>Presentación de resultados procedentes de actividades u operaciones discontinuadas (o en discontinuación)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_Toc139356901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188</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02" w:history="1">
            <w:r w:rsidR="008F52CD" w:rsidRPr="00CD2668">
              <w:rPr>
                <w:rStyle w:val="Hipervnculo"/>
                <w:szCs w:val="20"/>
              </w:rPr>
              <w:t>CUESTIONES REFERIDAS AL ESTADO DE EVOLUCIÓN DEL PATRIMONIO NETO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_Toc139356902 \h </w:instrText>
            </w:r>
            <w:r w:rsidRPr="00CD2668">
              <w:rPr>
                <w:webHidden/>
                <w:szCs w:val="20"/>
              </w:rPr>
            </w:r>
            <w:r w:rsidRPr="00CD2668">
              <w:rPr>
                <w:webHidden/>
                <w:szCs w:val="20"/>
              </w:rPr>
              <w:fldChar w:fldCharType="separate"/>
            </w:r>
            <w:r w:rsidR="00D33A5D">
              <w:rPr>
                <w:webHidden/>
                <w:szCs w:val="20"/>
              </w:rPr>
              <w:t>191</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03"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_Toc139356903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04" w:history="1">
            <w:r w:rsidR="008F52CD" w:rsidRPr="00CD2668">
              <w:rPr>
                <w:rStyle w:val="Hipervnculo"/>
                <w:rFonts w:cs="Arial"/>
                <w:noProof/>
                <w:szCs w:val="20"/>
              </w:rPr>
              <w:t>Estructura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_Toc139356904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05" w:history="1">
            <w:r w:rsidR="008F52CD" w:rsidRPr="00CD2668">
              <w:rPr>
                <w:rStyle w:val="Hipervnculo"/>
                <w:rFonts w:cs="Arial"/>
                <w:noProof/>
                <w:szCs w:val="20"/>
              </w:rPr>
              <w:t>Presentación de las partidas de los resultados diferidos del período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_Toc139356905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192</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06" w:history="1">
            <w:r w:rsidR="008F52CD" w:rsidRPr="00CD2668">
              <w:rPr>
                <w:rStyle w:val="Hipervnculo"/>
                <w:szCs w:val="20"/>
              </w:rPr>
              <w:t>CUESTIONES REFERIDAS AL ESTADO DE FLUJOS DE EFECTIVO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_Toc139356906 \h </w:instrText>
            </w:r>
            <w:r w:rsidRPr="00CD2668">
              <w:rPr>
                <w:webHidden/>
                <w:szCs w:val="20"/>
              </w:rPr>
            </w:r>
            <w:r w:rsidRPr="00CD2668">
              <w:rPr>
                <w:webHidden/>
                <w:szCs w:val="20"/>
              </w:rPr>
              <w:fldChar w:fldCharType="separate"/>
            </w:r>
            <w:r w:rsidR="00D33A5D">
              <w:rPr>
                <w:webHidden/>
                <w:szCs w:val="20"/>
              </w:rPr>
              <w:t>193</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07"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_Toc139356907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08" w:history="1">
            <w:r w:rsidR="008F52CD" w:rsidRPr="00CD2668">
              <w:rPr>
                <w:rStyle w:val="Hipervnculo"/>
                <w:rFonts w:cs="Arial"/>
                <w:noProof/>
                <w:szCs w:val="20"/>
              </w:rPr>
              <w:t>Estructura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_Toc139356908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194</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09" w:history="1">
            <w:r w:rsidR="008F52CD" w:rsidRPr="00CD2668">
              <w:rPr>
                <w:rStyle w:val="Hipervnculo"/>
                <w:rFonts w:cs="Arial"/>
                <w:noProof/>
                <w:sz w:val="20"/>
                <w:szCs w:val="20"/>
              </w:rPr>
              <w:t>Variación del efectivo y sus equivalentes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_Toc139356909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194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10" w:history="1">
            <w:r w:rsidR="008F52CD" w:rsidRPr="00CD2668">
              <w:rPr>
                <w:rStyle w:val="Hipervnculo"/>
                <w:rFonts w:cs="Arial"/>
                <w:noProof/>
                <w:sz w:val="20"/>
                <w:szCs w:val="20"/>
              </w:rPr>
              <w:t>Flujos de efectivo y equivalentes provenientes de actividades operativas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_Toc139356910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194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11" w:history="1">
            <w:r w:rsidR="008F52CD" w:rsidRPr="00CD2668">
              <w:rPr>
                <w:rStyle w:val="Hipervnculo"/>
                <w:rFonts w:cs="Arial"/>
                <w:noProof/>
                <w:sz w:val="20"/>
                <w:szCs w:val="20"/>
              </w:rPr>
              <w:t>Flujos de efectivo y equivalentes provenientes de actividades de inversión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_Toc139356911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196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12" w:history="1">
            <w:r w:rsidR="008F52CD" w:rsidRPr="00CD2668">
              <w:rPr>
                <w:rStyle w:val="Hipervnculo"/>
                <w:rFonts w:cs="Arial"/>
                <w:noProof/>
                <w:sz w:val="20"/>
                <w:szCs w:val="20"/>
              </w:rPr>
              <w:t>Flujos de efectivo y equivalentes provenientes de actividades de financiación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_Toc139356912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196</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13" w:history="1">
            <w:r w:rsidR="008F52CD" w:rsidRPr="00CD2668">
              <w:rPr>
                <w:rStyle w:val="Hipervnculo"/>
                <w:rFonts w:cs="Arial"/>
                <w:noProof/>
                <w:szCs w:val="20"/>
              </w:rPr>
              <w:t>Resultados financieros y de tenencia del efectivo y sus equivalentes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_Toc139356913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14" w:history="1">
            <w:r w:rsidR="008F52CD" w:rsidRPr="00CD2668">
              <w:rPr>
                <w:rStyle w:val="Hipervnculo"/>
                <w:rFonts w:cs="Arial"/>
                <w:noProof/>
                <w:szCs w:val="20"/>
              </w:rPr>
              <w:t>Intereses, dividendos e impuesto a las ganancias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_Toc139356914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15" w:history="1">
            <w:r w:rsidR="008F52CD" w:rsidRPr="00CD2668">
              <w:rPr>
                <w:rStyle w:val="Hipervnculo"/>
                <w:rFonts w:cs="Arial"/>
                <w:noProof/>
                <w:szCs w:val="20"/>
              </w:rPr>
              <w:t>Presentación simplificada en un contexto de inflación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_Toc139356915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16" w:history="1">
            <w:r w:rsidR="008F52CD" w:rsidRPr="00CD2668">
              <w:rPr>
                <w:rStyle w:val="Hipervnculo"/>
                <w:rFonts w:cs="Arial"/>
                <w:noProof/>
                <w:szCs w:val="20"/>
              </w:rPr>
              <w:t>Compensación de partidas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_Toc139356916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17"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_Toc139356917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199</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18" w:history="1">
            <w:r w:rsidR="008F52CD" w:rsidRPr="00CD2668">
              <w:rPr>
                <w:rStyle w:val="Hipervnculo"/>
                <w:szCs w:val="20"/>
              </w:rPr>
              <w:t>CUESTIONES REFERIDAS A LA REVELACIÓN MEDIANTE NOTAS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_Toc139356918 \h </w:instrText>
            </w:r>
            <w:r w:rsidRPr="00CD2668">
              <w:rPr>
                <w:webHidden/>
                <w:szCs w:val="20"/>
              </w:rPr>
            </w:r>
            <w:r w:rsidRPr="00CD2668">
              <w:rPr>
                <w:webHidden/>
                <w:szCs w:val="20"/>
              </w:rPr>
              <w:fldChar w:fldCharType="separate"/>
            </w:r>
            <w:r w:rsidR="00D33A5D">
              <w:rPr>
                <w:webHidden/>
                <w:szCs w:val="20"/>
              </w:rPr>
              <w:t>199</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19"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_Toc139356919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199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20" w:history="1">
            <w:r w:rsidR="008F52CD" w:rsidRPr="00CD2668">
              <w:rPr>
                <w:rStyle w:val="Hipervnculo"/>
                <w:rFonts w:cs="Arial"/>
                <w:noProof/>
                <w:szCs w:val="20"/>
              </w:rPr>
              <w:t>Estructura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_Toc139356920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200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21" w:history="1">
            <w:r w:rsidR="008F52CD" w:rsidRPr="00CD2668">
              <w:rPr>
                <w:rStyle w:val="Hipervnculo"/>
                <w:rFonts w:cs="Arial"/>
                <w:noProof/>
                <w:szCs w:val="20"/>
              </w:rPr>
              <w:t>Información a revelar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_Toc139356921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201</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22" w:history="1">
            <w:r w:rsidR="008F52CD" w:rsidRPr="00CD2668">
              <w:rPr>
                <w:rStyle w:val="Hipervnculo"/>
                <w:rFonts w:cs="Arial"/>
                <w:noProof/>
                <w:sz w:val="20"/>
                <w:szCs w:val="20"/>
              </w:rPr>
              <w:t>Identificación de los estados contables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_Toc139356922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23" w:history="1">
            <w:r w:rsidR="008F52CD" w:rsidRPr="00CD2668">
              <w:rPr>
                <w:rStyle w:val="Hipervnculo"/>
                <w:rFonts w:cs="Arial"/>
                <w:noProof/>
                <w:sz w:val="20"/>
                <w:szCs w:val="20"/>
              </w:rPr>
              <w:t>Identificación de la unidad de medida en la que están presentados los estados contables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_Toc139356923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24" w:history="1">
            <w:r w:rsidR="008F52CD" w:rsidRPr="00CD2668">
              <w:rPr>
                <w:rStyle w:val="Hipervnculo"/>
                <w:rFonts w:cs="Arial"/>
                <w:noProof/>
                <w:sz w:val="20"/>
                <w:szCs w:val="20"/>
              </w:rPr>
              <w:t>Identificación de la entidad</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_Toc139356924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25" w:history="1">
            <w:r w:rsidR="008F52CD" w:rsidRPr="00CD2668">
              <w:rPr>
                <w:rStyle w:val="Hipervnculo"/>
                <w:rFonts w:cs="Arial"/>
                <w:noProof/>
                <w:sz w:val="20"/>
                <w:szCs w:val="20"/>
              </w:rPr>
              <w:t>Uso del juicio profesional. Causas de incertidumbre en las estimaciones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_Toc139356925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26" w:history="1">
            <w:r w:rsidR="008F52CD" w:rsidRPr="00CD2668">
              <w:rPr>
                <w:rStyle w:val="Hipervnculo"/>
                <w:rFonts w:cs="Arial"/>
                <w:noProof/>
                <w:sz w:val="20"/>
                <w:szCs w:val="20"/>
              </w:rPr>
              <w:t>Capital de la entidad</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_Toc139356926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27" w:history="1">
            <w:r w:rsidR="008F52CD" w:rsidRPr="00CD2668">
              <w:rPr>
                <w:rStyle w:val="Hipervnculo"/>
                <w:rFonts w:cs="Arial"/>
                <w:noProof/>
                <w:sz w:val="20"/>
                <w:szCs w:val="20"/>
              </w:rPr>
              <w:t>Reservas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_Toc139356927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28" w:history="1">
            <w:r w:rsidR="008F52CD" w:rsidRPr="00CD2668">
              <w:rPr>
                <w:rStyle w:val="Hipervnculo"/>
                <w:rFonts w:cs="Arial"/>
                <w:noProof/>
                <w:sz w:val="20"/>
                <w:szCs w:val="20"/>
              </w:rPr>
              <w:t>Información a revelar acerca de circunstancias que afecten la comparabilidad</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_Toc139356928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29" w:history="1">
            <w:r w:rsidR="008F52CD" w:rsidRPr="00CD2668">
              <w:rPr>
                <w:rStyle w:val="Hipervnculo"/>
                <w:rFonts w:cs="Arial"/>
                <w:noProof/>
                <w:sz w:val="20"/>
                <w:szCs w:val="20"/>
              </w:rPr>
              <w:t>Composición o evolución de los rubros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_Toc139356929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30" w:history="1">
            <w:r w:rsidR="008F52CD" w:rsidRPr="00CD2668">
              <w:rPr>
                <w:rStyle w:val="Hipervnculo"/>
                <w:rFonts w:cs="Arial"/>
                <w:noProof/>
                <w:sz w:val="20"/>
                <w:szCs w:val="20"/>
              </w:rPr>
              <w:t>Bienes de disponibilidad restringida. Gravámenes sobre activos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_Toc139356930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31" w:history="1">
            <w:r w:rsidR="008F52CD" w:rsidRPr="00CD2668">
              <w:rPr>
                <w:rStyle w:val="Hipervnculo"/>
                <w:rFonts w:cs="Arial"/>
                <w:noProof/>
                <w:sz w:val="20"/>
                <w:szCs w:val="20"/>
              </w:rPr>
              <w:t>Restricciones para la distribución de ganancias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_Toc139356931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32" w:history="1">
            <w:r w:rsidR="008F52CD" w:rsidRPr="00CD2668">
              <w:rPr>
                <w:rStyle w:val="Hipervnculo"/>
                <w:rFonts w:cs="Arial"/>
                <w:noProof/>
                <w:sz w:val="20"/>
                <w:szCs w:val="20"/>
              </w:rPr>
              <w:t>Modificación a la información de ejercicios anteriores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_Toc139356932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33" w:history="1">
            <w:r w:rsidR="008F52CD" w:rsidRPr="00CD2668">
              <w:rPr>
                <w:rStyle w:val="Hipervnculo"/>
                <w:rFonts w:cs="Arial"/>
                <w:noProof/>
                <w:sz w:val="20"/>
                <w:szCs w:val="20"/>
              </w:rPr>
              <w:t>Aspectos formales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_Toc139356933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205</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34" w:history="1">
            <w:r w:rsidR="008F52CD" w:rsidRPr="00CD2668">
              <w:rPr>
                <w:rStyle w:val="Hipervnculo"/>
                <w:rFonts w:cs="Arial"/>
                <w:noProof/>
                <w:sz w:val="20"/>
                <w:szCs w:val="20"/>
              </w:rPr>
              <w:t>Información a revelar sobre partes relacionadas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_Toc139356934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205</w:t>
            </w:r>
            <w:r w:rsidRPr="00CD2668">
              <w:rPr>
                <w:rFonts w:cs="Arial"/>
                <w:noProof/>
                <w:webHidden/>
                <w:sz w:val="20"/>
                <w:szCs w:val="20"/>
              </w:rPr>
              <w:fldChar w:fldCharType="end"/>
            </w:r>
          </w:hyperlink>
        </w:p>
        <w:p w:rsidR="008F52CD" w:rsidRPr="00CD2668" w:rsidRDefault="001C4138">
          <w:pPr>
            <w:pStyle w:val="TDC1"/>
            <w:rPr>
              <w:rFonts w:eastAsiaTheme="minorEastAsia"/>
              <w:b w:val="0"/>
              <w:caps w:val="0"/>
              <w:szCs w:val="20"/>
              <w:lang w:eastAsia="es-AR"/>
            </w:rPr>
          </w:pPr>
          <w:hyperlink w:anchor="_Toc139356935" w:history="1">
            <w:r w:rsidR="008F52CD" w:rsidRPr="00CD2668">
              <w:rPr>
                <w:rStyle w:val="Hipervnculo"/>
                <w:szCs w:val="20"/>
              </w:rPr>
              <w:t xml:space="preserve">PRESENTACIÓN DE </w:t>
            </w:r>
            <w:r w:rsidR="008F52CD" w:rsidRPr="00CD2668">
              <w:rPr>
                <w:rStyle w:val="Hipervnculo"/>
                <w:bCs/>
                <w:szCs w:val="20"/>
              </w:rPr>
              <w:t>ESTADOS CONTABLES</w:t>
            </w:r>
            <w:r w:rsidR="008F52CD" w:rsidRPr="00CD2668">
              <w:rPr>
                <w:rStyle w:val="Hipervnculo"/>
                <w:szCs w:val="20"/>
              </w:rPr>
              <w:t xml:space="preserve"> DE ENTIDADES SIN FINES DE LUCRO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_Toc139356935 \h </w:instrText>
            </w:r>
            <w:r w:rsidRPr="00CD2668">
              <w:rPr>
                <w:webHidden/>
                <w:szCs w:val="20"/>
              </w:rPr>
            </w:r>
            <w:r w:rsidRPr="00CD2668">
              <w:rPr>
                <w:webHidden/>
                <w:szCs w:val="20"/>
              </w:rPr>
              <w:fldChar w:fldCharType="separate"/>
            </w:r>
            <w:r w:rsidR="00D33A5D">
              <w:rPr>
                <w:webHidden/>
                <w:szCs w:val="20"/>
              </w:rPr>
              <w:t>208</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36" w:history="1">
            <w:r w:rsidR="008F52CD" w:rsidRPr="00CD2668">
              <w:rPr>
                <w:rStyle w:val="Hipervnculo"/>
                <w:rFonts w:cs="Arial"/>
                <w:noProof/>
                <w:szCs w:val="20"/>
              </w:rPr>
              <w:t>Introducción a la presente sección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_Toc139356936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208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37" w:history="1">
            <w:r w:rsidR="008F52CD" w:rsidRPr="00CD2668">
              <w:rPr>
                <w:rStyle w:val="Hipervnculo"/>
                <w:rFonts w:cs="Arial"/>
                <w:noProof/>
                <w:szCs w:val="20"/>
              </w:rPr>
              <w:t>Definición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_Toc139356937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209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38" w:history="1">
            <w:r w:rsidR="008F52CD" w:rsidRPr="00CD2668">
              <w:rPr>
                <w:rStyle w:val="Hipervnculo"/>
                <w:rFonts w:cs="Arial"/>
                <w:noProof/>
                <w:szCs w:val="20"/>
              </w:rPr>
              <w:t>Conjunto completo de estados contables de una entidad sin fines de lucro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_Toc139356938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209</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39" w:history="1">
            <w:r w:rsidR="008F52CD" w:rsidRPr="00CD2668">
              <w:rPr>
                <w:rStyle w:val="Hipervnculo"/>
                <w:rFonts w:cs="Arial"/>
                <w:noProof/>
                <w:szCs w:val="20"/>
              </w:rPr>
              <w:t>Cuestiones referidas al estado de situación patrimonial de entidades sin fines de lucro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_Toc139356939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210</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40" w:history="1">
            <w:r w:rsidR="008F52CD" w:rsidRPr="00CD2668">
              <w:rPr>
                <w:rStyle w:val="Hipervnculo"/>
                <w:rFonts w:cs="Arial"/>
                <w:noProof/>
                <w:sz w:val="20"/>
                <w:szCs w:val="20"/>
              </w:rPr>
              <w:t>Créditos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_Toc139356940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210</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41" w:history="1">
            <w:r w:rsidR="008F52CD" w:rsidRPr="00CD2668">
              <w:rPr>
                <w:rStyle w:val="Hipervnculo"/>
                <w:rFonts w:cs="Arial"/>
                <w:noProof/>
                <w:sz w:val="20"/>
                <w:szCs w:val="20"/>
              </w:rPr>
              <w:t>Bienes para consumo o comercialización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_Toc139356941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211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42" w:history="1">
            <w:r w:rsidR="008F52CD" w:rsidRPr="00CD2668">
              <w:rPr>
                <w:rStyle w:val="Hipervnculo"/>
                <w:rFonts w:cs="Arial"/>
                <w:noProof/>
                <w:sz w:val="20"/>
                <w:szCs w:val="20"/>
              </w:rPr>
              <w:t>Pasivos originados en fondos con destino específico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_Toc139356942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212</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43" w:history="1">
            <w:r w:rsidR="008F52CD" w:rsidRPr="00CD2668">
              <w:rPr>
                <w:rStyle w:val="Hipervnculo"/>
                <w:rFonts w:cs="Arial"/>
                <w:noProof/>
                <w:szCs w:val="20"/>
              </w:rPr>
              <w:t>Cuestiones referidas al estado de recursos y gastos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_Toc139356943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213</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44" w:history="1">
            <w:r w:rsidR="008F52CD" w:rsidRPr="00CD2668">
              <w:rPr>
                <w:rStyle w:val="Hipervnculo"/>
                <w:rFonts w:cs="Arial"/>
                <w:noProof/>
                <w:sz w:val="20"/>
                <w:szCs w:val="20"/>
              </w:rPr>
              <w:t>Definiciones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_Toc139356944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213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45" w:history="1">
            <w:r w:rsidR="008F52CD" w:rsidRPr="00CD2668">
              <w:rPr>
                <w:rStyle w:val="Hipervnculo"/>
                <w:rFonts w:cs="Arial"/>
                <w:noProof/>
                <w:sz w:val="20"/>
                <w:szCs w:val="20"/>
              </w:rPr>
              <w:t>Cuestiones relacionadas con la estructura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_Toc139356945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214</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46" w:history="1">
            <w:r w:rsidR="008F52CD" w:rsidRPr="00CD2668">
              <w:rPr>
                <w:rStyle w:val="Hipervnculo"/>
                <w:rFonts w:cs="Arial"/>
                <w:noProof/>
                <w:szCs w:val="20"/>
              </w:rPr>
              <w:t>Cuestiones referidas al estado de evolución del patrimonio neto de entidades sin fines de lucro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_Toc139356946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214</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47" w:history="1">
            <w:r w:rsidR="008F52CD" w:rsidRPr="00CD2668">
              <w:rPr>
                <w:rStyle w:val="Hipervnculo"/>
                <w:rFonts w:cs="Arial"/>
                <w:noProof/>
                <w:sz w:val="20"/>
                <w:szCs w:val="20"/>
              </w:rPr>
              <w:t>Definiciones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_Toc139356947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215</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48" w:history="1">
            <w:r w:rsidR="008F52CD" w:rsidRPr="00CD2668">
              <w:rPr>
                <w:rStyle w:val="Hipervnculo"/>
                <w:rFonts w:cs="Arial"/>
                <w:noProof/>
                <w:sz w:val="20"/>
                <w:szCs w:val="20"/>
              </w:rPr>
              <w:t>Cuestiones relacionadas con la estructura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_Toc139356948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215</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49" w:history="1">
            <w:r w:rsidR="008F52CD" w:rsidRPr="00CD2668">
              <w:rPr>
                <w:rStyle w:val="Hipervnculo"/>
                <w:rFonts w:cs="Arial"/>
                <w:noProof/>
                <w:szCs w:val="20"/>
              </w:rPr>
              <w:t>Cuestiones referidas al estado de flujos de efectivo de entidades sin fines de lucro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_Toc139356949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216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50" w:history="1">
            <w:r w:rsidR="008F52CD" w:rsidRPr="00CD2668">
              <w:rPr>
                <w:rStyle w:val="Hipervnculo"/>
                <w:rFonts w:cs="Arial"/>
                <w:noProof/>
                <w:szCs w:val="20"/>
              </w:rPr>
              <w:t>Cuestiones referidas a la revelación mediante notas de entidades sin fines de lucro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_Toc139356950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216</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51" w:history="1">
            <w:r w:rsidR="008F52CD" w:rsidRPr="00CD2668">
              <w:rPr>
                <w:rStyle w:val="Hipervnculo"/>
                <w:szCs w:val="20"/>
              </w:rPr>
              <w:t xml:space="preserve">PRESENTACIÓN DE </w:t>
            </w:r>
            <w:r w:rsidR="008F52CD" w:rsidRPr="00CD2668">
              <w:rPr>
                <w:rStyle w:val="Hipervnculo"/>
                <w:bCs/>
                <w:szCs w:val="20"/>
              </w:rPr>
              <w:t>ESTADOS CONTABLES</w:t>
            </w:r>
            <w:r w:rsidR="008F52CD" w:rsidRPr="00CD2668">
              <w:rPr>
                <w:rStyle w:val="Hipervnculo"/>
                <w:szCs w:val="20"/>
              </w:rPr>
              <w:t xml:space="preserve"> CORRESPONDIENTES A PERÍODOS INTERMEDIOS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_Toc139356951 \h </w:instrText>
            </w:r>
            <w:r w:rsidRPr="00CD2668">
              <w:rPr>
                <w:webHidden/>
                <w:szCs w:val="20"/>
              </w:rPr>
            </w:r>
            <w:r w:rsidRPr="00CD2668">
              <w:rPr>
                <w:webHidden/>
                <w:szCs w:val="20"/>
              </w:rPr>
              <w:fldChar w:fldCharType="separate"/>
            </w:r>
            <w:r w:rsidR="00D33A5D">
              <w:rPr>
                <w:webHidden/>
                <w:szCs w:val="20"/>
              </w:rPr>
              <w:t>217</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52"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_Toc139356952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217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53" w:history="1">
            <w:r w:rsidR="008F52CD" w:rsidRPr="00CD2668">
              <w:rPr>
                <w:rStyle w:val="Hipervnculo"/>
                <w:rFonts w:cs="Arial"/>
                <w:noProof/>
                <w:szCs w:val="20"/>
              </w:rPr>
              <w:t>Presentación de estados contables de períodos intermedios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_Toc139356953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218</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54" w:history="1">
            <w:r w:rsidR="008F52CD" w:rsidRPr="00CD2668">
              <w:rPr>
                <w:rStyle w:val="Hipervnculo"/>
                <w:szCs w:val="20"/>
              </w:rPr>
              <w:t>RESOLUCIÓN TÉCNICA N°54</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_Toc139356954 \h </w:instrText>
            </w:r>
            <w:r w:rsidRPr="00CD2668">
              <w:rPr>
                <w:webHidden/>
                <w:szCs w:val="20"/>
              </w:rPr>
            </w:r>
            <w:r w:rsidRPr="00CD2668">
              <w:rPr>
                <w:webHidden/>
                <w:szCs w:val="20"/>
              </w:rPr>
              <w:fldChar w:fldCharType="separate"/>
            </w:r>
            <w:r w:rsidR="00D33A5D">
              <w:rPr>
                <w:webHidden/>
                <w:szCs w:val="20"/>
              </w:rPr>
              <w:t>220</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55" w:history="1">
            <w:r w:rsidR="008F52CD" w:rsidRPr="00CD2668">
              <w:rPr>
                <w:rStyle w:val="Hipervnculo"/>
                <w:szCs w:val="20"/>
              </w:rPr>
              <w:t>TÍTULO II</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_Toc139356955 \h </w:instrText>
            </w:r>
            <w:r w:rsidRPr="00CD2668">
              <w:rPr>
                <w:webHidden/>
                <w:szCs w:val="20"/>
              </w:rPr>
            </w:r>
            <w:r w:rsidRPr="00CD2668">
              <w:rPr>
                <w:webHidden/>
                <w:szCs w:val="20"/>
              </w:rPr>
              <w:fldChar w:fldCharType="separate"/>
            </w:r>
            <w:r w:rsidR="00D33A5D">
              <w:rPr>
                <w:webHidden/>
                <w:szCs w:val="20"/>
              </w:rPr>
              <w:t>220</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56" w:history="1">
            <w:r w:rsidR="008F52CD" w:rsidRPr="00CD2668">
              <w:rPr>
                <w:rStyle w:val="Hipervnculo"/>
                <w:szCs w:val="20"/>
              </w:rPr>
              <w:t>~NORMAS PARTICULARES~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_Toc139356956 \h </w:instrText>
            </w:r>
            <w:r w:rsidRPr="00CD2668">
              <w:rPr>
                <w:webHidden/>
                <w:szCs w:val="20"/>
              </w:rPr>
            </w:r>
            <w:r w:rsidRPr="00CD2668">
              <w:rPr>
                <w:webHidden/>
                <w:szCs w:val="20"/>
              </w:rPr>
              <w:fldChar w:fldCharType="separate"/>
            </w:r>
            <w:r w:rsidR="00D33A5D">
              <w:rPr>
                <w:webHidden/>
                <w:szCs w:val="20"/>
              </w:rPr>
              <w:t>220</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57" w:history="1">
            <w:r w:rsidR="008F52CD" w:rsidRPr="00CD2668">
              <w:rPr>
                <w:rStyle w:val="Hipervnculo"/>
                <w:szCs w:val="20"/>
              </w:rPr>
              <w:t>CAPÍTULO 7</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_Toc139356957 \h </w:instrText>
            </w:r>
            <w:r w:rsidRPr="00CD2668">
              <w:rPr>
                <w:webHidden/>
                <w:szCs w:val="20"/>
              </w:rPr>
            </w:r>
            <w:r w:rsidRPr="00CD2668">
              <w:rPr>
                <w:webHidden/>
                <w:szCs w:val="20"/>
              </w:rPr>
              <w:fldChar w:fldCharType="separate"/>
            </w:r>
            <w:r w:rsidR="00D33A5D">
              <w:rPr>
                <w:webHidden/>
                <w:szCs w:val="20"/>
              </w:rPr>
              <w:t>220</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58" w:history="1">
            <w:r w:rsidR="008F52CD" w:rsidRPr="00CD2668">
              <w:rPr>
                <w:rStyle w:val="Hipervnculo"/>
                <w:szCs w:val="20"/>
              </w:rPr>
              <w:t>PROCEDIMIENTOS CONTABLES DE APLICACIÓN PARTICULAR</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_Toc139356958 \h </w:instrText>
            </w:r>
            <w:r w:rsidRPr="00CD2668">
              <w:rPr>
                <w:webHidden/>
                <w:szCs w:val="20"/>
              </w:rPr>
            </w:r>
            <w:r w:rsidRPr="00CD2668">
              <w:rPr>
                <w:webHidden/>
                <w:szCs w:val="20"/>
              </w:rPr>
              <w:fldChar w:fldCharType="separate"/>
            </w:r>
            <w:r w:rsidR="00D33A5D">
              <w:rPr>
                <w:webHidden/>
                <w:szCs w:val="20"/>
              </w:rPr>
              <w:t>220</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59"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_Toc139356959 \h </w:instrText>
            </w:r>
            <w:r w:rsidRPr="00CD2668">
              <w:rPr>
                <w:webHidden/>
                <w:szCs w:val="20"/>
              </w:rPr>
            </w:r>
            <w:r w:rsidRPr="00CD2668">
              <w:rPr>
                <w:webHidden/>
                <w:szCs w:val="20"/>
              </w:rPr>
              <w:fldChar w:fldCharType="separate"/>
            </w:r>
            <w:r w:rsidR="00D33A5D">
              <w:rPr>
                <w:webHidden/>
                <w:szCs w:val="20"/>
              </w:rPr>
              <w:t>220</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60" w:history="1">
            <w:r w:rsidR="008F52CD" w:rsidRPr="00CD2668">
              <w:rPr>
                <w:rStyle w:val="Hipervnculo"/>
                <w:szCs w:val="20"/>
              </w:rPr>
              <w:t>CONVERSIÓN DE ESTADOS CONTABLES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_Toc139356960 \h </w:instrText>
            </w:r>
            <w:r w:rsidRPr="00CD2668">
              <w:rPr>
                <w:webHidden/>
                <w:szCs w:val="20"/>
              </w:rPr>
            </w:r>
            <w:r w:rsidRPr="00CD2668">
              <w:rPr>
                <w:webHidden/>
                <w:szCs w:val="20"/>
              </w:rPr>
              <w:fldChar w:fldCharType="separate"/>
            </w:r>
            <w:r w:rsidR="00D33A5D">
              <w:rPr>
                <w:webHidden/>
                <w:szCs w:val="20"/>
              </w:rPr>
              <w:t>220</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61"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_Toc139356961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62"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_Toc139356962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63" w:history="1">
            <w:r w:rsidR="008F52CD" w:rsidRPr="00CD2668">
              <w:rPr>
                <w:rStyle w:val="Hipervnculo"/>
                <w:rFonts w:cs="Arial"/>
                <w:noProof/>
                <w:szCs w:val="20"/>
              </w:rPr>
              <w:t>Conversión de estados contables: requerimientos generales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_Toc139356963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64" w:history="1">
            <w:r w:rsidR="008F52CD" w:rsidRPr="00CD2668">
              <w:rPr>
                <w:rStyle w:val="Hipervnculo"/>
                <w:rFonts w:cs="Arial"/>
                <w:noProof/>
                <w:szCs w:val="20"/>
              </w:rPr>
              <w:t>Tratamiento de la diferencia de conversión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_Toc139356964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65" w:history="1">
            <w:r w:rsidR="008F52CD" w:rsidRPr="00CD2668">
              <w:rPr>
                <w:rStyle w:val="Hipervnculo"/>
                <w:rFonts w:cs="Arial"/>
                <w:noProof/>
                <w:szCs w:val="20"/>
              </w:rPr>
              <w:t>Existencia de un contexto de inflación en el país de la entidad del exterior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_Toc139356965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66" w:history="1">
            <w:r w:rsidR="008F52CD" w:rsidRPr="00CD2668">
              <w:rPr>
                <w:rStyle w:val="Hipervnculo"/>
                <w:rFonts w:cs="Arial"/>
                <w:noProof/>
                <w:szCs w:val="20"/>
              </w:rPr>
              <w:t>Efectos fiscales de la conversión de estados contables de una entidad del exterior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_Toc139356966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67"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_Toc139356967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223</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68" w:history="1">
            <w:r w:rsidR="008F52CD" w:rsidRPr="00CD2668">
              <w:rPr>
                <w:rStyle w:val="Hipervnculo"/>
                <w:szCs w:val="20"/>
              </w:rPr>
              <w:t>PREPARACIÓN DE ESTADOS CONTABLES CONSOLIDADOS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_Toc139356968 \h </w:instrText>
            </w:r>
            <w:r w:rsidRPr="00CD2668">
              <w:rPr>
                <w:webHidden/>
                <w:szCs w:val="20"/>
              </w:rPr>
            </w:r>
            <w:r w:rsidRPr="00CD2668">
              <w:rPr>
                <w:webHidden/>
                <w:szCs w:val="20"/>
              </w:rPr>
              <w:fldChar w:fldCharType="separate"/>
            </w:r>
            <w:r w:rsidR="00D33A5D">
              <w:rPr>
                <w:webHidden/>
                <w:szCs w:val="20"/>
              </w:rPr>
              <w:t>224</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69"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_Toc139356969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70"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_Toc139356970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71" w:history="1">
            <w:r w:rsidR="008F52CD" w:rsidRPr="00CD2668">
              <w:rPr>
                <w:rStyle w:val="Hipervnculo"/>
                <w:rFonts w:cs="Arial"/>
                <w:noProof/>
                <w:szCs w:val="20"/>
              </w:rPr>
              <w:t>Normas sobre presentación de estados contables consolidados y evaluación de control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_Toc139356971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225</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72" w:history="1">
            <w:r w:rsidR="008F52CD" w:rsidRPr="00CD2668">
              <w:rPr>
                <w:rStyle w:val="Hipervnculo"/>
                <w:rFonts w:cs="Arial"/>
                <w:noProof/>
                <w:sz w:val="20"/>
                <w:szCs w:val="20"/>
              </w:rPr>
              <w:t>Requerimiento de presentación de estados contables consolidados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_Toc139356972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225</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73" w:history="1">
            <w:r w:rsidR="008F52CD" w:rsidRPr="00CD2668">
              <w:rPr>
                <w:rStyle w:val="Hipervnculo"/>
                <w:rFonts w:cs="Arial"/>
                <w:noProof/>
                <w:sz w:val="20"/>
                <w:szCs w:val="20"/>
              </w:rPr>
              <w:t>Definición de control (sobre otra entidad)</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_Toc139356973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226</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74" w:history="1">
            <w:r w:rsidR="008F52CD" w:rsidRPr="00CD2668">
              <w:rPr>
                <w:rStyle w:val="Hipervnculo"/>
                <w:rFonts w:cs="Arial"/>
                <w:noProof/>
                <w:sz w:val="20"/>
                <w:szCs w:val="20"/>
              </w:rPr>
              <w:t>Aplicación de la definición de control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_Toc139356974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227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75" w:history="1">
            <w:r w:rsidR="008F52CD" w:rsidRPr="00CD2668">
              <w:rPr>
                <w:rStyle w:val="Hipervnculo"/>
                <w:rFonts w:cs="Arial"/>
                <w:noProof/>
                <w:sz w:val="20"/>
                <w:szCs w:val="20"/>
              </w:rPr>
              <w:t>Estados contables consolidados: concepto y contenido mínimo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_Toc139356975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229</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76" w:history="1">
            <w:r w:rsidR="008F52CD" w:rsidRPr="00CD2668">
              <w:rPr>
                <w:rStyle w:val="Hipervnculo"/>
                <w:rFonts w:cs="Arial"/>
                <w:noProof/>
                <w:szCs w:val="20"/>
              </w:rPr>
              <w:t>Procedimiento de consolidación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_Toc139356976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229</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77" w:history="1">
            <w:r w:rsidR="008F52CD" w:rsidRPr="00CD2668">
              <w:rPr>
                <w:rStyle w:val="Hipervnculo"/>
                <w:rFonts w:cs="Arial"/>
                <w:noProof/>
                <w:sz w:val="20"/>
                <w:szCs w:val="20"/>
              </w:rPr>
              <w:t>Requerimientos generales para la preparación de estados contables consolidados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_Toc139356977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229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78" w:history="1">
            <w:r w:rsidR="008F52CD" w:rsidRPr="00CD2668">
              <w:rPr>
                <w:rStyle w:val="Hipervnculo"/>
                <w:rFonts w:cs="Arial"/>
                <w:noProof/>
                <w:sz w:val="20"/>
                <w:szCs w:val="20"/>
              </w:rPr>
              <w:t>Transacciones y saldos intragrupo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_Toc139356978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231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79" w:history="1">
            <w:r w:rsidR="008F52CD" w:rsidRPr="00CD2668">
              <w:rPr>
                <w:rStyle w:val="Hipervnculo"/>
                <w:rFonts w:cs="Arial"/>
                <w:noProof/>
                <w:sz w:val="20"/>
                <w:szCs w:val="20"/>
              </w:rPr>
              <w:t>Adquisición y disposición de subsidiarias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_Toc139356979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232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80" w:history="1">
            <w:r w:rsidR="008F52CD" w:rsidRPr="00CD2668">
              <w:rPr>
                <w:rStyle w:val="Hipervnculo"/>
                <w:rFonts w:cs="Arial"/>
                <w:noProof/>
                <w:sz w:val="20"/>
                <w:szCs w:val="20"/>
              </w:rPr>
              <w:t>Cambios en las participaciones no controladoras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_Toc139356980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234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81" w:history="1">
            <w:r w:rsidR="008F52CD" w:rsidRPr="00CD2668">
              <w:rPr>
                <w:rStyle w:val="Hipervnculo"/>
                <w:rFonts w:cs="Arial"/>
                <w:noProof/>
                <w:sz w:val="20"/>
                <w:szCs w:val="20"/>
              </w:rPr>
              <w:t>Presentación de las participaciones no controladoras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_Toc139356981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234</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82"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_Toc139356982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234</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83" w:history="1">
            <w:r w:rsidR="008F52CD" w:rsidRPr="00CD2668">
              <w:rPr>
                <w:rStyle w:val="Hipervnculo"/>
                <w:szCs w:val="20"/>
              </w:rPr>
              <w:t>CAPÍTULO 8</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_Toc139356983 \h </w:instrText>
            </w:r>
            <w:r w:rsidRPr="00CD2668">
              <w:rPr>
                <w:webHidden/>
                <w:szCs w:val="20"/>
              </w:rPr>
            </w:r>
            <w:r w:rsidRPr="00CD2668">
              <w:rPr>
                <w:webHidden/>
                <w:szCs w:val="20"/>
              </w:rPr>
              <w:fldChar w:fldCharType="separate"/>
            </w:r>
            <w:r w:rsidR="00D33A5D">
              <w:rPr>
                <w:webHidden/>
                <w:szCs w:val="20"/>
              </w:rPr>
              <w:t>236</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84" w:history="1">
            <w:r w:rsidR="008F52CD" w:rsidRPr="00CD2668">
              <w:rPr>
                <w:rStyle w:val="Hipervnculo"/>
                <w:szCs w:val="20"/>
              </w:rPr>
              <w:t>RECONOCIMIENTO Y MEDICIÓN DE PARTIDAS PARTICULARES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_Toc139356984 \h </w:instrText>
            </w:r>
            <w:r w:rsidRPr="00CD2668">
              <w:rPr>
                <w:webHidden/>
                <w:szCs w:val="20"/>
              </w:rPr>
            </w:r>
            <w:r w:rsidRPr="00CD2668">
              <w:rPr>
                <w:webHidden/>
                <w:szCs w:val="20"/>
              </w:rPr>
              <w:fldChar w:fldCharType="separate"/>
            </w:r>
            <w:r w:rsidR="00D33A5D">
              <w:rPr>
                <w:webHidden/>
                <w:szCs w:val="20"/>
              </w:rPr>
              <w:t>236</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85"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_Toc139356985 \h </w:instrText>
            </w:r>
            <w:r w:rsidRPr="00CD2668">
              <w:rPr>
                <w:webHidden/>
                <w:szCs w:val="20"/>
              </w:rPr>
            </w:r>
            <w:r w:rsidRPr="00CD2668">
              <w:rPr>
                <w:webHidden/>
                <w:szCs w:val="20"/>
              </w:rPr>
              <w:fldChar w:fldCharType="separate"/>
            </w:r>
            <w:r w:rsidR="00D33A5D">
              <w:rPr>
                <w:webHidden/>
                <w:szCs w:val="20"/>
              </w:rPr>
              <w:t>236</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86" w:history="1">
            <w:r w:rsidR="008F52CD" w:rsidRPr="00CD2668">
              <w:rPr>
                <w:rStyle w:val="Hipervnculo"/>
                <w:szCs w:val="20"/>
              </w:rPr>
              <w:t>NEGOCIOS CONJUNTOS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_Toc139356986 \h </w:instrText>
            </w:r>
            <w:r w:rsidRPr="00CD2668">
              <w:rPr>
                <w:webHidden/>
                <w:szCs w:val="20"/>
              </w:rPr>
            </w:r>
            <w:r w:rsidRPr="00CD2668">
              <w:rPr>
                <w:webHidden/>
                <w:szCs w:val="20"/>
              </w:rPr>
              <w:fldChar w:fldCharType="separate"/>
            </w:r>
            <w:r w:rsidR="00D33A5D">
              <w:rPr>
                <w:webHidden/>
                <w:szCs w:val="20"/>
              </w:rPr>
              <w:t>236</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87"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_Toc139356987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236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88"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_Toc139356988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237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89" w:history="1">
            <w:r w:rsidR="008F52CD" w:rsidRPr="00CD2668">
              <w:rPr>
                <w:rStyle w:val="Hipervnculo"/>
                <w:rFonts w:cs="Arial"/>
                <w:noProof/>
                <w:szCs w:val="20"/>
              </w:rPr>
              <w:t>Identificación de un negocio conjunto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_Toc139356989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238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90" w:history="1">
            <w:r w:rsidR="008F52CD" w:rsidRPr="00CD2668">
              <w:rPr>
                <w:rStyle w:val="Hipervnculo"/>
                <w:rFonts w:cs="Arial"/>
                <w:noProof/>
                <w:szCs w:val="20"/>
              </w:rPr>
              <w:t>Clasificación de un negocio conjunto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_Toc139356990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238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91" w:history="1">
            <w:r w:rsidR="008F52CD" w:rsidRPr="00CD2668">
              <w:rPr>
                <w:rStyle w:val="Hipervnculo"/>
                <w:rFonts w:cs="Arial"/>
                <w:noProof/>
                <w:szCs w:val="20"/>
              </w:rPr>
              <w:t>Contabilización de un negocio conjunto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_Toc139356991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239</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92" w:history="1">
            <w:r w:rsidR="008F52CD" w:rsidRPr="00CD2668">
              <w:rPr>
                <w:rStyle w:val="Hipervnculo"/>
                <w:rFonts w:cs="Arial"/>
                <w:noProof/>
                <w:sz w:val="20"/>
                <w:szCs w:val="20"/>
              </w:rPr>
              <w:t>Negocios conjuntos no societarios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_Toc139356992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239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93" w:history="1">
            <w:r w:rsidR="008F52CD" w:rsidRPr="00CD2668">
              <w:rPr>
                <w:rStyle w:val="Hipervnculo"/>
                <w:rFonts w:cs="Arial"/>
                <w:noProof/>
                <w:sz w:val="20"/>
                <w:szCs w:val="20"/>
              </w:rPr>
              <w:t>Tratamiento en los estados contables de una controladora conjunta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_Toc139356993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239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94" w:history="1">
            <w:r w:rsidR="008F52CD" w:rsidRPr="00CD2668">
              <w:rPr>
                <w:rStyle w:val="Hipervnculo"/>
                <w:rFonts w:cs="Arial"/>
                <w:noProof/>
                <w:sz w:val="20"/>
                <w:szCs w:val="20"/>
              </w:rPr>
              <w:t>Tratamiento en los estados contables de una parte que no es controladora conjunta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_Toc139356994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239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95" w:history="1">
            <w:r w:rsidR="008F52CD" w:rsidRPr="00CD2668">
              <w:rPr>
                <w:rStyle w:val="Hipervnculo"/>
                <w:rFonts w:cs="Arial"/>
                <w:noProof/>
                <w:sz w:val="20"/>
                <w:szCs w:val="20"/>
              </w:rPr>
              <w:t>Tratamiento de negocios conjuntos no societarios que son una entidad del exterior</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_Toc139356995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240</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6996" w:history="1">
            <w:r w:rsidR="008F52CD" w:rsidRPr="00CD2668">
              <w:rPr>
                <w:rStyle w:val="Hipervnculo"/>
                <w:rFonts w:cs="Arial"/>
                <w:noProof/>
                <w:sz w:val="20"/>
                <w:szCs w:val="20"/>
              </w:rPr>
              <w:t>Negocios conjuntos societarios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_Toc139356996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240</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97"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_Toc139356997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240</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6998" w:history="1">
            <w:r w:rsidR="008F52CD" w:rsidRPr="00CD2668">
              <w:rPr>
                <w:rStyle w:val="Hipervnculo"/>
                <w:szCs w:val="20"/>
              </w:rPr>
              <w:t>PARTICIPACIONES EN SUBSIDIARIAS, ASOCIADAS Y NEGOCIOS CONJUNTOS SOCIETARIOS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_Toc139356998 \h </w:instrText>
            </w:r>
            <w:r w:rsidRPr="00CD2668">
              <w:rPr>
                <w:webHidden/>
                <w:szCs w:val="20"/>
              </w:rPr>
            </w:r>
            <w:r w:rsidRPr="00CD2668">
              <w:rPr>
                <w:webHidden/>
                <w:szCs w:val="20"/>
              </w:rPr>
              <w:fldChar w:fldCharType="separate"/>
            </w:r>
            <w:r w:rsidR="00D33A5D">
              <w:rPr>
                <w:webHidden/>
                <w:szCs w:val="20"/>
              </w:rPr>
              <w:t>241</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6999"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_Toc139356999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241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00"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_Toc139357000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241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01" w:history="1">
            <w:r w:rsidR="008F52CD" w:rsidRPr="00CD2668">
              <w:rPr>
                <w:rStyle w:val="Hipervnculo"/>
                <w:rFonts w:cs="Arial"/>
                <w:noProof/>
                <w:szCs w:val="20"/>
              </w:rPr>
              <w:t>Alcance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_Toc139357001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242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02" w:history="1">
            <w:r w:rsidR="008F52CD" w:rsidRPr="00CD2668">
              <w:rPr>
                <w:rStyle w:val="Hipervnculo"/>
                <w:rFonts w:cs="Arial"/>
                <w:noProof/>
                <w:szCs w:val="20"/>
              </w:rPr>
              <w:t>Reconocimiento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_Toc139357002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242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03" w:history="1">
            <w:r w:rsidR="008F52CD" w:rsidRPr="00CD2668">
              <w:rPr>
                <w:rStyle w:val="Hipervnculo"/>
                <w:rFonts w:cs="Arial"/>
                <w:noProof/>
                <w:szCs w:val="20"/>
              </w:rPr>
              <w:t>Influencia significativa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_Toc139357003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243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04" w:history="1">
            <w:r w:rsidR="008F52CD" w:rsidRPr="00CD2668">
              <w:rPr>
                <w:rStyle w:val="Hipervnculo"/>
                <w:rFonts w:cs="Arial"/>
                <w:noProof/>
                <w:szCs w:val="20"/>
              </w:rPr>
              <w:t>Aplicación del método del valor patrimonial proporcional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_Toc139357004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244</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05" w:history="1">
            <w:r w:rsidR="008F52CD" w:rsidRPr="00CD2668">
              <w:rPr>
                <w:rStyle w:val="Hipervnculo"/>
                <w:rFonts w:cs="Arial"/>
                <w:noProof/>
                <w:sz w:val="20"/>
                <w:szCs w:val="20"/>
              </w:rPr>
              <w:t>Medición inicial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_Toc139357005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244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06" w:history="1">
            <w:r w:rsidR="008F52CD" w:rsidRPr="00CD2668">
              <w:rPr>
                <w:rStyle w:val="Hipervnculo"/>
                <w:rFonts w:cs="Arial"/>
                <w:noProof/>
                <w:sz w:val="20"/>
                <w:szCs w:val="20"/>
              </w:rPr>
              <w:t>Determinación del costo de adquisición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_Toc139357006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244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07" w:history="1">
            <w:r w:rsidR="008F52CD" w:rsidRPr="00CD2668">
              <w:rPr>
                <w:rStyle w:val="Hipervnculo"/>
                <w:rFonts w:cs="Arial"/>
                <w:noProof/>
                <w:sz w:val="20"/>
                <w:szCs w:val="20"/>
              </w:rPr>
              <w:t>Medición posterior</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_Toc139357007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247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08" w:history="1">
            <w:r w:rsidR="008F52CD" w:rsidRPr="00CD2668">
              <w:rPr>
                <w:rStyle w:val="Hipervnculo"/>
                <w:rFonts w:cs="Arial"/>
                <w:noProof/>
                <w:sz w:val="20"/>
                <w:szCs w:val="20"/>
              </w:rPr>
              <w:t>Comparación con el valor recuperable</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_Toc139357008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249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09" w:history="1">
            <w:r w:rsidR="008F52CD" w:rsidRPr="00CD2668">
              <w:rPr>
                <w:rStyle w:val="Hipervnculo"/>
                <w:rFonts w:cs="Arial"/>
                <w:noProof/>
                <w:sz w:val="20"/>
                <w:szCs w:val="20"/>
              </w:rPr>
              <w:t>Discontinuación en la aplicación del método del valor patrimonial proporcional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_Toc139357009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250</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10" w:history="1">
            <w:r w:rsidR="008F52CD" w:rsidRPr="00CD2668">
              <w:rPr>
                <w:rStyle w:val="Hipervnculo"/>
                <w:rFonts w:cs="Arial"/>
                <w:noProof/>
                <w:szCs w:val="20"/>
              </w:rPr>
              <w:t>Baja en cuentas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_Toc139357010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11"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_Toc139357011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12"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_Toc139357012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251</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13" w:history="1">
            <w:r w:rsidR="008F52CD" w:rsidRPr="00CD2668">
              <w:rPr>
                <w:rStyle w:val="Hipervnculo"/>
                <w:szCs w:val="20"/>
              </w:rPr>
              <w:t>BENEFICIOS A LOS EMPLEADOS POSTERIORES A LA TERMINACIÓN DE LA RELACIÓN LABORAL Y OTROS BENEFICIOS A LARGO PLAZO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_Toc139357013 \h </w:instrText>
            </w:r>
            <w:r w:rsidRPr="00CD2668">
              <w:rPr>
                <w:webHidden/>
                <w:szCs w:val="20"/>
              </w:rPr>
            </w:r>
            <w:r w:rsidRPr="00CD2668">
              <w:rPr>
                <w:webHidden/>
                <w:szCs w:val="20"/>
              </w:rPr>
              <w:fldChar w:fldCharType="separate"/>
            </w:r>
            <w:r w:rsidR="00D33A5D">
              <w:rPr>
                <w:webHidden/>
                <w:szCs w:val="20"/>
              </w:rPr>
              <w:t>252</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14"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_Toc139357014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15"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_Toc139357015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16" w:history="1">
            <w:r w:rsidR="008F52CD" w:rsidRPr="00CD2668">
              <w:rPr>
                <w:rStyle w:val="Hipervnculo"/>
                <w:rFonts w:cs="Arial"/>
                <w:noProof/>
                <w:szCs w:val="20"/>
              </w:rPr>
              <w:t>Alcance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_Toc139357016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17" w:history="1">
            <w:r w:rsidR="008F52CD" w:rsidRPr="00CD2668">
              <w:rPr>
                <w:rStyle w:val="Hipervnculo"/>
                <w:rFonts w:cs="Arial"/>
                <w:noProof/>
                <w:szCs w:val="20"/>
              </w:rPr>
              <w:t>Distinción entre planes de contribuciones definidas y planes de beneficios definidos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_Toc139357017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18" w:history="1">
            <w:r w:rsidR="008F52CD" w:rsidRPr="00CD2668">
              <w:rPr>
                <w:rStyle w:val="Hipervnculo"/>
                <w:rFonts w:cs="Arial"/>
                <w:noProof/>
                <w:szCs w:val="20"/>
              </w:rPr>
              <w:t>Planes de contribuciones definidas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_Toc139357018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258</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19" w:history="1">
            <w:r w:rsidR="008F52CD" w:rsidRPr="00CD2668">
              <w:rPr>
                <w:rStyle w:val="Hipervnculo"/>
                <w:rFonts w:cs="Arial"/>
                <w:noProof/>
                <w:sz w:val="20"/>
                <w:szCs w:val="20"/>
              </w:rPr>
              <w:t>Reconocimiento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_Toc139357019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258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20" w:history="1">
            <w:r w:rsidR="008F52CD" w:rsidRPr="00CD2668">
              <w:rPr>
                <w:rStyle w:val="Hipervnculo"/>
                <w:rFonts w:cs="Arial"/>
                <w:noProof/>
                <w:sz w:val="20"/>
                <w:szCs w:val="20"/>
              </w:rPr>
              <w:t>Revelación en notas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_Toc139357020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259</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21" w:history="1">
            <w:r w:rsidR="008F52CD" w:rsidRPr="00CD2668">
              <w:rPr>
                <w:rStyle w:val="Hipervnculo"/>
                <w:rFonts w:cs="Arial"/>
                <w:noProof/>
                <w:szCs w:val="20"/>
              </w:rPr>
              <w:t>Planes de beneficios definidos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_Toc139357021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259</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22" w:history="1">
            <w:r w:rsidR="008F52CD" w:rsidRPr="00CD2668">
              <w:rPr>
                <w:rStyle w:val="Hipervnculo"/>
                <w:rFonts w:cs="Arial"/>
                <w:noProof/>
                <w:sz w:val="20"/>
                <w:szCs w:val="20"/>
              </w:rPr>
              <w:t>Reconocimiento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_Toc139357022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259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23" w:history="1">
            <w:r w:rsidR="008F52CD" w:rsidRPr="00CD2668">
              <w:rPr>
                <w:rStyle w:val="Hipervnculo"/>
                <w:rFonts w:cs="Arial"/>
                <w:noProof/>
                <w:sz w:val="20"/>
                <w:szCs w:val="20"/>
              </w:rPr>
              <w:t>Tratamiento en los estados contables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_Toc139357023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260</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24" w:history="1">
            <w:r w:rsidR="008F52CD" w:rsidRPr="00CD2668">
              <w:rPr>
                <w:rStyle w:val="Hipervnculo"/>
                <w:rFonts w:cs="Arial"/>
                <w:noProof/>
                <w:sz w:val="20"/>
                <w:szCs w:val="20"/>
              </w:rPr>
              <w:t>Valor presente de las obligaciones por beneficios definidos y costo de los servicios del período presente</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_Toc139357024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261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25" w:history="1">
            <w:r w:rsidR="008F52CD" w:rsidRPr="00CD2668">
              <w:rPr>
                <w:rStyle w:val="Hipervnculo"/>
                <w:rFonts w:cs="Arial"/>
                <w:noProof/>
                <w:sz w:val="20"/>
                <w:szCs w:val="20"/>
              </w:rPr>
              <w:t>Sueldos, beneficios y costos de asistencia médica, odontológica, legal y otros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_Toc139357025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264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26" w:history="1">
            <w:r w:rsidR="008F52CD" w:rsidRPr="00CD2668">
              <w:rPr>
                <w:rStyle w:val="Hipervnculo"/>
                <w:rFonts w:cs="Arial"/>
                <w:noProof/>
                <w:sz w:val="20"/>
                <w:szCs w:val="20"/>
              </w:rPr>
              <w:t>Activos del plan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_Toc139357026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267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27" w:history="1">
            <w:r w:rsidR="008F52CD" w:rsidRPr="00CD2668">
              <w:rPr>
                <w:rStyle w:val="Hipervnculo"/>
                <w:rFonts w:cs="Arial"/>
                <w:noProof/>
                <w:sz w:val="20"/>
                <w:szCs w:val="20"/>
              </w:rPr>
              <w:t>Reducciones y terminaciones de planes de servicios definidos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_Toc139357027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268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28" w:history="1">
            <w:r w:rsidR="008F52CD" w:rsidRPr="00CD2668">
              <w:rPr>
                <w:rStyle w:val="Hipervnculo"/>
                <w:rFonts w:cs="Arial"/>
                <w:noProof/>
                <w:sz w:val="20"/>
                <w:szCs w:val="20"/>
              </w:rPr>
              <w:t>Revelación en notas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_Toc139357028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269</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29" w:history="1">
            <w:r w:rsidR="008F52CD" w:rsidRPr="00CD2668">
              <w:rPr>
                <w:rStyle w:val="Hipervnculo"/>
                <w:rFonts w:cs="Arial"/>
                <w:noProof/>
                <w:szCs w:val="20"/>
              </w:rPr>
              <w:t>Planes multi-empleador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_Toc139357029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270</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30" w:history="1">
            <w:r w:rsidR="008F52CD" w:rsidRPr="00CD2668">
              <w:rPr>
                <w:rStyle w:val="Hipervnculo"/>
                <w:rFonts w:cs="Arial"/>
                <w:noProof/>
                <w:szCs w:val="20"/>
              </w:rPr>
              <w:t>Planes gubernamentales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_Toc139357030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272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31" w:history="1">
            <w:r w:rsidR="008F52CD" w:rsidRPr="00CD2668">
              <w:rPr>
                <w:rStyle w:val="Hipervnculo"/>
                <w:rFonts w:cs="Arial"/>
                <w:noProof/>
                <w:szCs w:val="20"/>
              </w:rPr>
              <w:t>Beneficios asegurados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_Toc139357031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272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32" w:history="1">
            <w:r w:rsidR="008F52CD" w:rsidRPr="00CD2668">
              <w:rPr>
                <w:rStyle w:val="Hipervnculo"/>
                <w:rFonts w:cs="Arial"/>
                <w:noProof/>
                <w:szCs w:val="20"/>
              </w:rPr>
              <w:t>Otros beneficios a largo plazo a favor de los empleados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_Toc139357032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273</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33" w:history="1">
            <w:r w:rsidR="008F52CD" w:rsidRPr="00CD2668">
              <w:rPr>
                <w:rStyle w:val="Hipervnculo"/>
                <w:rFonts w:cs="Arial"/>
                <w:noProof/>
                <w:sz w:val="20"/>
                <w:szCs w:val="20"/>
              </w:rPr>
              <w:t>Reconocimiento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_Toc139357033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273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34" w:history="1">
            <w:r w:rsidR="008F52CD" w:rsidRPr="00CD2668">
              <w:rPr>
                <w:rStyle w:val="Hipervnculo"/>
                <w:rFonts w:cs="Arial"/>
                <w:noProof/>
                <w:sz w:val="20"/>
                <w:szCs w:val="20"/>
              </w:rPr>
              <w:t>Medición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_Toc139357034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273</w:t>
            </w:r>
            <w:r w:rsidRPr="00CD2668">
              <w:rPr>
                <w:rFonts w:cs="Arial"/>
                <w:noProof/>
                <w:webHidden/>
                <w:sz w:val="20"/>
                <w:szCs w:val="20"/>
              </w:rPr>
              <w:fldChar w:fldCharType="end"/>
            </w:r>
          </w:hyperlink>
        </w:p>
        <w:p w:rsidR="008F52CD" w:rsidRPr="00CD2668" w:rsidRDefault="001C4138">
          <w:pPr>
            <w:pStyle w:val="TDC1"/>
            <w:rPr>
              <w:rFonts w:eastAsiaTheme="minorEastAsia"/>
              <w:b w:val="0"/>
              <w:caps w:val="0"/>
              <w:szCs w:val="20"/>
              <w:lang w:eastAsia="es-AR"/>
            </w:rPr>
          </w:pPr>
          <w:hyperlink w:anchor="_Toc139357035" w:history="1">
            <w:r w:rsidR="008F52CD" w:rsidRPr="00CD2668">
              <w:rPr>
                <w:rStyle w:val="Hipervnculo"/>
                <w:szCs w:val="20"/>
              </w:rPr>
              <w:t>CAPÍTULO 9</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_Toc139357035 \h </w:instrText>
            </w:r>
            <w:r w:rsidRPr="00CD2668">
              <w:rPr>
                <w:webHidden/>
                <w:szCs w:val="20"/>
              </w:rPr>
            </w:r>
            <w:r w:rsidRPr="00CD2668">
              <w:rPr>
                <w:webHidden/>
                <w:szCs w:val="20"/>
              </w:rPr>
              <w:fldChar w:fldCharType="separate"/>
            </w:r>
            <w:r w:rsidR="00D33A5D">
              <w:rPr>
                <w:webHidden/>
                <w:szCs w:val="20"/>
              </w:rPr>
              <w:t>275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36" w:history="1">
            <w:r w:rsidR="008F52CD" w:rsidRPr="00CD2668">
              <w:rPr>
                <w:rStyle w:val="Hipervnculo"/>
                <w:szCs w:val="20"/>
              </w:rPr>
              <w:t>EFECTOS PROCEDENTES DE DETERMINADAS CIRCUNSTANCIAS, TRANSACCIONES O CONTRATOS PARTICULARES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_Toc139357036 \h </w:instrText>
            </w:r>
            <w:r w:rsidRPr="00CD2668">
              <w:rPr>
                <w:webHidden/>
                <w:szCs w:val="20"/>
              </w:rPr>
            </w:r>
            <w:r w:rsidRPr="00CD2668">
              <w:rPr>
                <w:webHidden/>
                <w:szCs w:val="20"/>
              </w:rPr>
              <w:fldChar w:fldCharType="separate"/>
            </w:r>
            <w:r w:rsidR="00D33A5D">
              <w:rPr>
                <w:webHidden/>
                <w:szCs w:val="20"/>
              </w:rPr>
              <w:t>275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37" w:history="1">
            <w:r w:rsidR="008F52CD" w:rsidRPr="00CD2668">
              <w:rPr>
                <w:rStyle w:val="Hipervnculo"/>
                <w:szCs w:val="20"/>
              </w:rPr>
              <w:t>INTRODUCCIÓN AL PRESENTE CAPÍTULO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_Toc139357037 \h </w:instrText>
            </w:r>
            <w:r w:rsidRPr="00CD2668">
              <w:rPr>
                <w:webHidden/>
                <w:szCs w:val="20"/>
              </w:rPr>
            </w:r>
            <w:r w:rsidRPr="00CD2668">
              <w:rPr>
                <w:webHidden/>
                <w:szCs w:val="20"/>
              </w:rPr>
              <w:fldChar w:fldCharType="separate"/>
            </w:r>
            <w:r w:rsidR="00D33A5D">
              <w:rPr>
                <w:webHidden/>
                <w:szCs w:val="20"/>
              </w:rPr>
              <w:t>275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38" w:history="1">
            <w:r w:rsidR="008F52CD" w:rsidRPr="00CD2668">
              <w:rPr>
                <w:rStyle w:val="Hipervnculo"/>
                <w:szCs w:val="20"/>
              </w:rPr>
              <w:t>COMBINACIONES DE NEGOCIOS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_Toc139357038 \h </w:instrText>
            </w:r>
            <w:r w:rsidRPr="00CD2668">
              <w:rPr>
                <w:webHidden/>
                <w:szCs w:val="20"/>
              </w:rPr>
            </w:r>
            <w:r w:rsidRPr="00CD2668">
              <w:rPr>
                <w:webHidden/>
                <w:szCs w:val="20"/>
              </w:rPr>
              <w:fldChar w:fldCharType="separate"/>
            </w:r>
            <w:r w:rsidR="00D33A5D">
              <w:rPr>
                <w:webHidden/>
                <w:szCs w:val="20"/>
              </w:rPr>
              <w:t>275</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39"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_Toc139357039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275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40"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_Toc139357040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275</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41" w:history="1">
            <w:r w:rsidR="008F52CD" w:rsidRPr="00CD2668">
              <w:rPr>
                <w:rStyle w:val="Hipervnculo"/>
                <w:rFonts w:cs="Arial"/>
                <w:noProof/>
                <w:szCs w:val="20"/>
              </w:rPr>
              <w:t>Alcance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_Toc139357041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276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42" w:history="1">
            <w:r w:rsidR="008F52CD" w:rsidRPr="00CD2668">
              <w:rPr>
                <w:rStyle w:val="Hipervnculo"/>
                <w:rFonts w:cs="Arial"/>
                <w:noProof/>
                <w:szCs w:val="20"/>
              </w:rPr>
              <w:t>Método de contabilización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_Toc139357042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276</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43" w:history="1">
            <w:r w:rsidR="008F52CD" w:rsidRPr="00CD2668">
              <w:rPr>
                <w:rStyle w:val="Hipervnculo"/>
                <w:rFonts w:cs="Arial"/>
                <w:noProof/>
                <w:sz w:val="20"/>
                <w:szCs w:val="20"/>
              </w:rPr>
              <w:t>Identificación de la adquirente</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_Toc139357043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277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44" w:history="1">
            <w:r w:rsidR="008F52CD" w:rsidRPr="00CD2668">
              <w:rPr>
                <w:rStyle w:val="Hipervnculo"/>
                <w:rFonts w:cs="Arial"/>
                <w:noProof/>
                <w:sz w:val="20"/>
                <w:szCs w:val="20"/>
              </w:rPr>
              <w:t>Determinación de la fecha de adquisición</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_Toc139357044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277</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45" w:history="1">
            <w:r w:rsidR="008F52CD" w:rsidRPr="00CD2668">
              <w:rPr>
                <w:rStyle w:val="Hipervnculo"/>
                <w:rFonts w:cs="Arial"/>
                <w:noProof/>
                <w:sz w:val="20"/>
                <w:szCs w:val="20"/>
              </w:rPr>
              <w:t>Medición del costo de la combinación de negocios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_Toc139357045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278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46" w:history="1">
            <w:r w:rsidR="008F52CD" w:rsidRPr="00CD2668">
              <w:rPr>
                <w:rStyle w:val="Hipervnculo"/>
                <w:rFonts w:cs="Arial"/>
                <w:noProof/>
                <w:sz w:val="20"/>
                <w:szCs w:val="20"/>
              </w:rPr>
              <w:t>Reconocimiento, clasificación y medición de los activos identificables adquiridos, los pasivos asumidos y de cualquier participación no controladora adquirida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_Toc139357046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279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47" w:history="1">
            <w:r w:rsidR="008F52CD" w:rsidRPr="00CD2668">
              <w:rPr>
                <w:rStyle w:val="Hipervnculo"/>
                <w:rFonts w:cs="Arial"/>
                <w:noProof/>
                <w:sz w:val="20"/>
                <w:szCs w:val="20"/>
              </w:rPr>
              <w:t>Reconocimiento y medición de la llave de negocio o de una ganancia por una compra en términos ventajosos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_Toc139357047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280</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48" w:history="1">
            <w:r w:rsidR="008F52CD" w:rsidRPr="00CD2668">
              <w:rPr>
                <w:rStyle w:val="Hipervnculo"/>
                <w:rFonts w:cs="Arial"/>
                <w:noProof/>
                <w:szCs w:val="20"/>
              </w:rPr>
              <w:t>Período de medición (ajustes posteriores al reconocimiento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_Toc139357048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281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49" w:history="1">
            <w:r w:rsidR="008F52CD" w:rsidRPr="00CD2668">
              <w:rPr>
                <w:rStyle w:val="Hipervnculo"/>
                <w:rFonts w:cs="Arial"/>
                <w:noProof/>
                <w:szCs w:val="20"/>
              </w:rPr>
              <w:t>Combinación de negocios realizada por etapas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_Toc139357049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282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50" w:history="1">
            <w:r w:rsidR="008F52CD" w:rsidRPr="00CD2668">
              <w:rPr>
                <w:rStyle w:val="Hipervnculo"/>
                <w:rFonts w:cs="Arial"/>
                <w:noProof/>
                <w:szCs w:val="20"/>
              </w:rPr>
              <w:t>Medición posterior de la llave de negocio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_Toc139357050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282</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51"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_Toc139357051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283</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52" w:history="1">
            <w:r w:rsidR="008F52CD" w:rsidRPr="00CD2668">
              <w:rPr>
                <w:rStyle w:val="Hipervnculo"/>
                <w:szCs w:val="20"/>
              </w:rPr>
              <w:t>INSTRUMENTOS DERIVADOS Y OPERACIONES DE COBERTURA</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_Toc139357052 \h </w:instrText>
            </w:r>
            <w:r w:rsidRPr="00CD2668">
              <w:rPr>
                <w:webHidden/>
                <w:szCs w:val="20"/>
              </w:rPr>
            </w:r>
            <w:r w:rsidRPr="00CD2668">
              <w:rPr>
                <w:webHidden/>
                <w:szCs w:val="20"/>
              </w:rPr>
              <w:fldChar w:fldCharType="separate"/>
            </w:r>
            <w:r w:rsidR="00D33A5D">
              <w:rPr>
                <w:webHidden/>
                <w:szCs w:val="20"/>
              </w:rPr>
              <w:t>284</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53"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_Toc139357053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284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54" w:history="1">
            <w:r w:rsidR="008F52CD" w:rsidRPr="00CD2668">
              <w:rPr>
                <w:rStyle w:val="Hipervnculo"/>
                <w:rFonts w:cs="Arial"/>
                <w:noProof/>
                <w:szCs w:val="20"/>
              </w:rPr>
              <w:t>Alcance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_Toc139357054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286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55"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_Toc139357055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286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56" w:history="1">
            <w:r w:rsidR="008F52CD" w:rsidRPr="00CD2668">
              <w:rPr>
                <w:rStyle w:val="Hipervnculo"/>
                <w:rFonts w:cs="Arial"/>
                <w:noProof/>
                <w:szCs w:val="20"/>
              </w:rPr>
              <w:t>Contabilidad de coberturas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_Toc139357056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288</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57" w:history="1">
            <w:r w:rsidR="008F52CD" w:rsidRPr="00CD2668">
              <w:rPr>
                <w:rStyle w:val="Hipervnculo"/>
                <w:rFonts w:cs="Arial"/>
                <w:noProof/>
                <w:sz w:val="20"/>
                <w:szCs w:val="20"/>
              </w:rPr>
              <w:t>Distinción entre una “operación de cobertura” y aplicar “contabilidad de coberturas”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_Toc139357057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288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58" w:history="1">
            <w:r w:rsidR="008F52CD" w:rsidRPr="00CD2668">
              <w:rPr>
                <w:rStyle w:val="Hipervnculo"/>
                <w:rFonts w:cs="Arial"/>
                <w:noProof/>
                <w:sz w:val="20"/>
                <w:szCs w:val="20"/>
              </w:rPr>
              <w:t>Objetivo y condiciones para aplicar contabilidad de coberturas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_Toc139357058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288</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59" w:history="1">
            <w:r w:rsidR="008F52CD" w:rsidRPr="00CD2668">
              <w:rPr>
                <w:rStyle w:val="Hipervnculo"/>
                <w:rFonts w:cs="Arial"/>
                <w:noProof/>
                <w:sz w:val="20"/>
                <w:szCs w:val="20"/>
              </w:rPr>
              <w:t>Relaciones de cobertura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_Toc139357059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289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60" w:history="1">
            <w:r w:rsidR="008F52CD" w:rsidRPr="00CD2668">
              <w:rPr>
                <w:rStyle w:val="Hipervnculo"/>
                <w:rFonts w:cs="Arial"/>
                <w:noProof/>
                <w:sz w:val="20"/>
                <w:szCs w:val="20"/>
              </w:rPr>
              <w:t>Instrumentos de cobertura y partidas cubiertas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_Toc139357060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290</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61" w:history="1">
            <w:r w:rsidR="008F52CD" w:rsidRPr="00CD2668">
              <w:rPr>
                <w:rStyle w:val="Hipervnculo"/>
                <w:rFonts w:cs="Arial"/>
                <w:noProof/>
                <w:sz w:val="20"/>
                <w:szCs w:val="20"/>
              </w:rPr>
              <w:t>Requisitos de eficacia de la cobertura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_Toc139357061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291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62" w:history="1">
            <w:r w:rsidR="008F52CD" w:rsidRPr="00CD2668">
              <w:rPr>
                <w:rStyle w:val="Hipervnculo"/>
                <w:rFonts w:cs="Arial"/>
                <w:noProof/>
                <w:sz w:val="20"/>
                <w:szCs w:val="20"/>
              </w:rPr>
              <w:t>Contabilización de los distintos tipos de relaciones de cobertura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_Toc139357062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292</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63" w:history="1">
            <w:r w:rsidR="008F52CD" w:rsidRPr="00CD2668">
              <w:rPr>
                <w:rStyle w:val="Hipervnculo"/>
                <w:rFonts w:cs="Arial"/>
                <w:noProof/>
                <w:szCs w:val="20"/>
              </w:rPr>
              <w:t>Instrumentos derivados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_Toc139357063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293</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64" w:history="1">
            <w:r w:rsidR="008F52CD" w:rsidRPr="00CD2668">
              <w:rPr>
                <w:rStyle w:val="Hipervnculo"/>
                <w:rFonts w:cs="Arial"/>
                <w:noProof/>
                <w:sz w:val="20"/>
                <w:szCs w:val="20"/>
              </w:rPr>
              <w:t>Reconocimiento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_Toc139357064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293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65" w:history="1">
            <w:r w:rsidR="008F52CD" w:rsidRPr="00CD2668">
              <w:rPr>
                <w:rStyle w:val="Hipervnculo"/>
                <w:rFonts w:cs="Arial"/>
                <w:noProof/>
                <w:sz w:val="20"/>
                <w:szCs w:val="20"/>
              </w:rPr>
              <w:t>Baja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_Toc139357065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293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66" w:history="1">
            <w:r w:rsidR="008F52CD" w:rsidRPr="00CD2668">
              <w:rPr>
                <w:rStyle w:val="Hipervnculo"/>
                <w:rFonts w:cs="Arial"/>
                <w:noProof/>
                <w:sz w:val="20"/>
                <w:szCs w:val="20"/>
              </w:rPr>
              <w:t>Medición inicial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_Toc139357066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294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67" w:history="1">
            <w:r w:rsidR="008F52CD" w:rsidRPr="00CD2668">
              <w:rPr>
                <w:rStyle w:val="Hipervnculo"/>
                <w:rFonts w:cs="Arial"/>
                <w:noProof/>
                <w:sz w:val="20"/>
                <w:szCs w:val="20"/>
              </w:rPr>
              <w:t>Medición posterior</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_Toc139357067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294</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68"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_Toc139357068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294</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69" w:history="1">
            <w:r w:rsidR="008F52CD" w:rsidRPr="00CD2668">
              <w:rPr>
                <w:rStyle w:val="Hipervnculo"/>
                <w:szCs w:val="20"/>
              </w:rPr>
              <w:t>RESOLUCIÓN TÉCNICA N°54</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_Toc139357069 \h </w:instrText>
            </w:r>
            <w:r w:rsidRPr="00CD2668">
              <w:rPr>
                <w:webHidden/>
                <w:szCs w:val="20"/>
              </w:rPr>
            </w:r>
            <w:r w:rsidRPr="00CD2668">
              <w:rPr>
                <w:webHidden/>
                <w:szCs w:val="20"/>
              </w:rPr>
              <w:fldChar w:fldCharType="separate"/>
            </w:r>
            <w:r w:rsidR="00D33A5D">
              <w:rPr>
                <w:webHidden/>
                <w:szCs w:val="20"/>
              </w:rPr>
              <w:t>297</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70" w:history="1">
            <w:r w:rsidR="008F52CD" w:rsidRPr="00CD2668">
              <w:rPr>
                <w:rStyle w:val="Hipervnculo"/>
                <w:szCs w:val="20"/>
              </w:rPr>
              <w:t>TITULO III</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_Toc139357070 \h </w:instrText>
            </w:r>
            <w:r w:rsidRPr="00CD2668">
              <w:rPr>
                <w:webHidden/>
                <w:szCs w:val="20"/>
              </w:rPr>
            </w:r>
            <w:r w:rsidRPr="00CD2668">
              <w:rPr>
                <w:webHidden/>
                <w:szCs w:val="20"/>
              </w:rPr>
              <w:fldChar w:fldCharType="separate"/>
            </w:r>
            <w:r w:rsidR="00D33A5D">
              <w:rPr>
                <w:webHidden/>
                <w:szCs w:val="20"/>
              </w:rPr>
              <w:t>297</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71" w:history="1">
            <w:r w:rsidR="008F52CD" w:rsidRPr="00CD2668">
              <w:rPr>
                <w:rStyle w:val="Hipervnculo"/>
                <w:szCs w:val="20"/>
              </w:rPr>
              <w:t>~NORMAS ESPECÍFICAS~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_Toc139357071 \h </w:instrText>
            </w:r>
            <w:r w:rsidRPr="00CD2668">
              <w:rPr>
                <w:webHidden/>
                <w:szCs w:val="20"/>
              </w:rPr>
            </w:r>
            <w:r w:rsidRPr="00CD2668">
              <w:rPr>
                <w:webHidden/>
                <w:szCs w:val="20"/>
              </w:rPr>
              <w:fldChar w:fldCharType="separate"/>
            </w:r>
            <w:r w:rsidR="00D33A5D">
              <w:rPr>
                <w:webHidden/>
                <w:szCs w:val="20"/>
              </w:rPr>
              <w:t>297</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72" w:history="1">
            <w:r w:rsidR="008F52CD" w:rsidRPr="00CD2668">
              <w:rPr>
                <w:rStyle w:val="Hipervnculo"/>
                <w:szCs w:val="20"/>
              </w:rPr>
              <w:t>CAPÍTULO 10</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_Toc139357072 \h </w:instrText>
            </w:r>
            <w:r w:rsidRPr="00CD2668">
              <w:rPr>
                <w:webHidden/>
                <w:szCs w:val="20"/>
              </w:rPr>
            </w:r>
            <w:r w:rsidRPr="00CD2668">
              <w:rPr>
                <w:webHidden/>
                <w:szCs w:val="20"/>
              </w:rPr>
              <w:fldChar w:fldCharType="separate"/>
            </w:r>
            <w:r w:rsidR="00D33A5D">
              <w:rPr>
                <w:webHidden/>
                <w:szCs w:val="20"/>
              </w:rPr>
              <w:t>297</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73" w:history="1">
            <w:r w:rsidR="008F52CD" w:rsidRPr="00CD2668">
              <w:rPr>
                <w:rStyle w:val="Hipervnculo"/>
                <w:szCs w:val="20"/>
              </w:rPr>
              <w:t>ACTIVIDAD AGROPECUARIA</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_Toc139357073 \h </w:instrText>
            </w:r>
            <w:r w:rsidRPr="00CD2668">
              <w:rPr>
                <w:webHidden/>
                <w:szCs w:val="20"/>
              </w:rPr>
            </w:r>
            <w:r w:rsidRPr="00CD2668">
              <w:rPr>
                <w:webHidden/>
                <w:szCs w:val="20"/>
              </w:rPr>
              <w:fldChar w:fldCharType="separate"/>
            </w:r>
            <w:r w:rsidR="00D33A5D">
              <w:rPr>
                <w:webHidden/>
                <w:szCs w:val="20"/>
              </w:rPr>
              <w:t>297</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74" w:history="1">
            <w:r w:rsidR="008F52CD" w:rsidRPr="00CD2668">
              <w:rPr>
                <w:rStyle w:val="Hipervnculo"/>
                <w:rFonts w:cs="Arial"/>
                <w:noProof/>
                <w:szCs w:val="20"/>
              </w:rPr>
              <w:t>Objetivo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_Toc139357074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297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75" w:history="1">
            <w:r w:rsidR="008F52CD" w:rsidRPr="00CD2668">
              <w:rPr>
                <w:rStyle w:val="Hipervnculo"/>
                <w:rFonts w:cs="Arial"/>
                <w:noProof/>
                <w:szCs w:val="20"/>
              </w:rPr>
              <w:t>Alcance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_Toc139357075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297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76"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_Toc139357076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298</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77" w:history="1">
            <w:r w:rsidR="008F52CD" w:rsidRPr="00CD2668">
              <w:rPr>
                <w:rStyle w:val="Hipervnculo"/>
                <w:rFonts w:cs="Arial"/>
                <w:noProof/>
                <w:szCs w:val="20"/>
              </w:rPr>
              <w:t>Reconocimiento de un activo biológico o de un producto agropecuario en el momento de la cosecha, recolección, obtención o faena</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_Toc139357077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78" w:history="1">
            <w:r w:rsidR="008F52CD" w:rsidRPr="00CD2668">
              <w:rPr>
                <w:rStyle w:val="Hipervnculo"/>
                <w:rFonts w:cs="Arial"/>
                <w:noProof/>
                <w:szCs w:val="20"/>
              </w:rPr>
              <w:t>Medición de activos biológicos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_Toc139357078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301</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79" w:history="1">
            <w:r w:rsidR="008F52CD" w:rsidRPr="00CD2668">
              <w:rPr>
                <w:rStyle w:val="Hipervnculo"/>
                <w:rFonts w:cs="Arial"/>
                <w:noProof/>
                <w:sz w:val="20"/>
                <w:szCs w:val="20"/>
              </w:rPr>
              <w:t>Medición inicial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_Toc139357079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301</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80" w:history="1">
            <w:r w:rsidR="008F52CD" w:rsidRPr="00CD2668">
              <w:rPr>
                <w:rStyle w:val="Hipervnculo"/>
                <w:rFonts w:cs="Arial"/>
                <w:noProof/>
                <w:sz w:val="20"/>
                <w:szCs w:val="20"/>
              </w:rPr>
              <w:t>Medición posterior</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_Toc139357080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301</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81" w:history="1">
            <w:r w:rsidR="008F52CD" w:rsidRPr="00CD2668">
              <w:rPr>
                <w:rStyle w:val="Hipervnculo"/>
                <w:rFonts w:cs="Arial"/>
                <w:noProof/>
                <w:szCs w:val="20"/>
              </w:rPr>
              <w:t>Productos agropecuarios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_Toc139357081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302</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82" w:history="1">
            <w:r w:rsidR="008F52CD" w:rsidRPr="00CD2668">
              <w:rPr>
                <w:rStyle w:val="Hipervnculo"/>
                <w:rFonts w:cs="Arial"/>
                <w:noProof/>
                <w:sz w:val="20"/>
                <w:szCs w:val="20"/>
              </w:rPr>
              <w:t>Medición en el momento de la cosecha, recolección, obtención o faena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_Toc139357082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302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83" w:history="1">
            <w:r w:rsidR="008F52CD" w:rsidRPr="00CD2668">
              <w:rPr>
                <w:rStyle w:val="Hipervnculo"/>
                <w:rFonts w:cs="Arial"/>
                <w:noProof/>
                <w:sz w:val="20"/>
                <w:szCs w:val="20"/>
              </w:rPr>
              <w:t>Medición después de concluida la cosecha, recolección, obtención o faena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_Toc139357083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302</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84" w:history="1">
            <w:r w:rsidR="008F52CD" w:rsidRPr="00CD2668">
              <w:rPr>
                <w:rStyle w:val="Hipervnculo"/>
                <w:rFonts w:cs="Arial"/>
                <w:noProof/>
                <w:szCs w:val="20"/>
              </w:rPr>
              <w:t>Contratos de compra o venta de activos biológicos o productos agropecuarios a futuro</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_Toc139357084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303</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85" w:history="1">
            <w:r w:rsidR="008F52CD" w:rsidRPr="00CD2668">
              <w:rPr>
                <w:rStyle w:val="Hipervnculo"/>
                <w:rFonts w:cs="Arial"/>
                <w:noProof/>
                <w:szCs w:val="20"/>
              </w:rPr>
              <w:t>Presentación en los estados contables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_Toc139357085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303</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86" w:history="1">
            <w:r w:rsidR="008F52CD" w:rsidRPr="00CD2668">
              <w:rPr>
                <w:rStyle w:val="Hipervnculo"/>
                <w:rFonts w:cs="Arial"/>
                <w:noProof/>
                <w:sz w:val="20"/>
                <w:szCs w:val="20"/>
              </w:rPr>
              <w:t>Estado de situación patrimonial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_Toc139357086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303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87" w:history="1">
            <w:r w:rsidR="008F52CD" w:rsidRPr="00CD2668">
              <w:rPr>
                <w:rStyle w:val="Hipervnculo"/>
                <w:rFonts w:cs="Arial"/>
                <w:noProof/>
                <w:sz w:val="20"/>
                <w:szCs w:val="20"/>
              </w:rPr>
              <w:t>Estado de resultados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_Toc139357087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303</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88" w:history="1">
            <w:r w:rsidR="008F52CD" w:rsidRPr="00CD2668">
              <w:rPr>
                <w:rStyle w:val="Hipervnculo"/>
                <w:rFonts w:cs="Arial"/>
                <w:noProof/>
                <w:szCs w:val="20"/>
              </w:rPr>
              <w:t>Revelación en notas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_Toc139357088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304</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89" w:history="1">
            <w:r w:rsidR="008F52CD" w:rsidRPr="00CD2668">
              <w:rPr>
                <w:rStyle w:val="Hipervnculo"/>
                <w:rFonts w:cs="Arial"/>
                <w:noProof/>
                <w:szCs w:val="20"/>
              </w:rPr>
              <w:t>Otras normas aplicables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_Toc139357089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304</w:t>
            </w:r>
            <w:r w:rsidRPr="00CD2668">
              <w:rPr>
                <w:rFonts w:cs="Arial"/>
                <w:noProof/>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90" w:history="1">
            <w:r w:rsidR="008F52CD" w:rsidRPr="00CD2668">
              <w:rPr>
                <w:rStyle w:val="Hipervnculo"/>
                <w:szCs w:val="20"/>
              </w:rPr>
              <w:t>CAPÍTULO 11</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_Toc139357090 \h </w:instrText>
            </w:r>
            <w:r w:rsidRPr="00CD2668">
              <w:rPr>
                <w:webHidden/>
                <w:szCs w:val="20"/>
              </w:rPr>
            </w:r>
            <w:r w:rsidRPr="00CD2668">
              <w:rPr>
                <w:webHidden/>
                <w:szCs w:val="20"/>
              </w:rPr>
              <w:fldChar w:fldCharType="separate"/>
            </w:r>
            <w:r w:rsidR="00D33A5D">
              <w:rPr>
                <w:webHidden/>
                <w:szCs w:val="20"/>
              </w:rPr>
              <w:t>305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91" w:history="1">
            <w:r w:rsidR="008F52CD" w:rsidRPr="00CD2668">
              <w:rPr>
                <w:rStyle w:val="Hipervnculo"/>
                <w:szCs w:val="20"/>
              </w:rPr>
              <w:t>ESTADOS CONTABLES DE NEGOCIOS CONJUNTOS NO SOCIETARIOS: CUESTIONES ESPECÍFICAS</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_Toc139357091 \h </w:instrText>
            </w:r>
            <w:r w:rsidRPr="00CD2668">
              <w:rPr>
                <w:webHidden/>
                <w:szCs w:val="20"/>
              </w:rPr>
            </w:r>
            <w:r w:rsidRPr="00CD2668">
              <w:rPr>
                <w:webHidden/>
                <w:szCs w:val="20"/>
              </w:rPr>
              <w:fldChar w:fldCharType="separate"/>
            </w:r>
            <w:r w:rsidR="00D33A5D">
              <w:rPr>
                <w:webHidden/>
                <w:szCs w:val="20"/>
              </w:rPr>
              <w:t>305</w:t>
            </w:r>
            <w:r w:rsidRPr="00CD2668">
              <w:rPr>
                <w:webHidden/>
                <w:szCs w:val="20"/>
              </w:rPr>
              <w:fldChar w:fldCharType="end"/>
            </w:r>
          </w:hyperlink>
        </w:p>
        <w:p w:rsidR="008F52CD" w:rsidRPr="00CD2668" w:rsidRDefault="001C4138">
          <w:pPr>
            <w:pStyle w:val="TDC1"/>
            <w:rPr>
              <w:rFonts w:eastAsiaTheme="minorEastAsia"/>
              <w:b w:val="0"/>
              <w:caps w:val="0"/>
              <w:szCs w:val="20"/>
              <w:lang w:eastAsia="es-AR"/>
            </w:rPr>
          </w:pPr>
          <w:hyperlink w:anchor="_Toc139357092" w:history="1">
            <w:r w:rsidR="008F52CD" w:rsidRPr="00CD2668">
              <w:rPr>
                <w:rStyle w:val="Hipervnculo"/>
                <w:szCs w:val="20"/>
              </w:rPr>
              <w:t>APÉNDICE A: NORMAS DE TRANSICIÓN</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_Toc139357092 \h </w:instrText>
            </w:r>
            <w:r w:rsidRPr="00CD2668">
              <w:rPr>
                <w:webHidden/>
                <w:szCs w:val="20"/>
              </w:rPr>
            </w:r>
            <w:r w:rsidRPr="00CD2668">
              <w:rPr>
                <w:webHidden/>
                <w:szCs w:val="20"/>
              </w:rPr>
              <w:fldChar w:fldCharType="separate"/>
            </w:r>
            <w:r w:rsidR="00D33A5D">
              <w:rPr>
                <w:webHidden/>
                <w:szCs w:val="20"/>
              </w:rPr>
              <w:t>306</w:t>
            </w:r>
            <w:r w:rsidRPr="00CD2668">
              <w:rPr>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93" w:history="1">
            <w:r w:rsidR="008F52CD" w:rsidRPr="00CD2668">
              <w:rPr>
                <w:rStyle w:val="Hipervnculo"/>
                <w:rFonts w:cs="Arial"/>
                <w:noProof/>
                <w:szCs w:val="20"/>
              </w:rPr>
              <w:t>Alcance</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_Toc139357093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94" w:history="1">
            <w:r w:rsidR="008F52CD" w:rsidRPr="00CD2668">
              <w:rPr>
                <w:rStyle w:val="Hipervnculo"/>
                <w:rFonts w:cs="Arial"/>
                <w:noProof/>
                <w:szCs w:val="20"/>
              </w:rPr>
              <w:t>Definiciones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_Toc139357094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306</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95" w:history="1">
            <w:r w:rsidR="008F52CD" w:rsidRPr="00CD2668">
              <w:rPr>
                <w:rStyle w:val="Hipervnculo"/>
                <w:rFonts w:cs="Arial"/>
                <w:noProof/>
                <w:szCs w:val="20"/>
              </w:rPr>
              <w:t>Guías para la aplicación de la presente Resolución Técnica por primera vez, en general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_Toc139357095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96" w:history="1">
            <w:r w:rsidR="008F52CD" w:rsidRPr="00CD2668">
              <w:rPr>
                <w:rStyle w:val="Hipervnculo"/>
                <w:rFonts w:cs="Arial"/>
                <w:noProof/>
                <w:szCs w:val="20"/>
              </w:rPr>
              <w:t>Clasificación de la entidad. Efectos.</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_Toc139357096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307</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097" w:history="1">
            <w:r w:rsidR="008F52CD" w:rsidRPr="00CD2668">
              <w:rPr>
                <w:rStyle w:val="Hipervnculo"/>
                <w:rFonts w:cs="Arial"/>
                <w:noProof/>
                <w:szCs w:val="20"/>
              </w:rPr>
              <w:t>Enfoques para la aplicación inicial</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_Toc139357097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309</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98" w:history="1">
            <w:r w:rsidR="008F52CD" w:rsidRPr="00CD2668">
              <w:rPr>
                <w:rStyle w:val="Hipervnculo"/>
                <w:rFonts w:cs="Arial"/>
                <w:noProof/>
                <w:sz w:val="20"/>
                <w:szCs w:val="20"/>
              </w:rPr>
              <w:t>Enfoque retroactivo integral</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_Toc139357098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309</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099" w:history="1">
            <w:r w:rsidR="008F52CD" w:rsidRPr="00CD2668">
              <w:rPr>
                <w:rStyle w:val="Hipervnculo"/>
                <w:rFonts w:cs="Arial"/>
                <w:noProof/>
                <w:sz w:val="20"/>
                <w:szCs w:val="20"/>
              </w:rPr>
              <w:t>Enfoque retroactivo simplificado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_Toc139357099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310</w:t>
            </w:r>
            <w:r w:rsidRPr="00CD2668">
              <w:rPr>
                <w:rFonts w:cs="Arial"/>
                <w:noProof/>
                <w:webHidden/>
                <w:sz w:val="20"/>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100" w:history="1">
            <w:r w:rsidR="008F52CD" w:rsidRPr="00CD2668">
              <w:rPr>
                <w:rStyle w:val="Hipervnculo"/>
                <w:rFonts w:cs="Arial"/>
                <w:noProof/>
                <w:szCs w:val="20"/>
              </w:rPr>
              <w:t>Solución práctica: posibilidad de discontinuar la aplicación del modelo de revaluación (bienes de uso) o el modelo del valor neto de realización (propiedades de inversión)</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_Toc139357100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311</w:t>
            </w:r>
            <w:r w:rsidRPr="00CD2668">
              <w:rPr>
                <w:rFonts w:cs="Arial"/>
                <w:noProof/>
                <w:webHidden/>
                <w:szCs w:val="20"/>
              </w:rPr>
              <w:fldChar w:fldCharType="end"/>
            </w:r>
          </w:hyperlink>
        </w:p>
        <w:p w:rsidR="008F52CD" w:rsidRPr="00CD2668" w:rsidRDefault="001C4138">
          <w:pPr>
            <w:pStyle w:val="TDC2"/>
            <w:rPr>
              <w:rFonts w:eastAsiaTheme="minorEastAsia" w:cs="Arial"/>
              <w:bCs w:val="0"/>
              <w:smallCaps w:val="0"/>
              <w:noProof/>
              <w:szCs w:val="20"/>
              <w:lang w:eastAsia="es-AR"/>
            </w:rPr>
          </w:pPr>
          <w:hyperlink w:anchor="_Toc139357101" w:history="1">
            <w:r w:rsidR="008F52CD" w:rsidRPr="00CD2668">
              <w:rPr>
                <w:rStyle w:val="Hipervnculo"/>
                <w:rFonts w:cs="Arial"/>
                <w:noProof/>
                <w:szCs w:val="20"/>
              </w:rPr>
              <w:t>Guías para la aplicación de la presente Resolución Técnica por primera vez, en particular</w:t>
            </w:r>
            <w:r w:rsidR="008F52CD" w:rsidRPr="00CD2668">
              <w:rPr>
                <w:rFonts w:cs="Arial"/>
                <w:noProof/>
                <w:webHidden/>
                <w:szCs w:val="20"/>
              </w:rPr>
              <w:tab/>
            </w:r>
            <w:r w:rsidRPr="00CD2668">
              <w:rPr>
                <w:rFonts w:cs="Arial"/>
                <w:noProof/>
                <w:webHidden/>
                <w:szCs w:val="20"/>
              </w:rPr>
              <w:fldChar w:fldCharType="begin"/>
            </w:r>
            <w:r w:rsidR="008F52CD" w:rsidRPr="00CD2668">
              <w:rPr>
                <w:rFonts w:cs="Arial"/>
                <w:noProof/>
                <w:webHidden/>
                <w:szCs w:val="20"/>
              </w:rPr>
              <w:instrText xml:space="preserve"> PAGEREF _Toc139357101 \h </w:instrText>
            </w:r>
            <w:r w:rsidRPr="00CD2668">
              <w:rPr>
                <w:rFonts w:cs="Arial"/>
                <w:noProof/>
                <w:webHidden/>
                <w:szCs w:val="20"/>
              </w:rPr>
            </w:r>
            <w:r w:rsidRPr="00CD2668">
              <w:rPr>
                <w:rFonts w:cs="Arial"/>
                <w:noProof/>
                <w:webHidden/>
                <w:szCs w:val="20"/>
              </w:rPr>
              <w:fldChar w:fldCharType="separate"/>
            </w:r>
            <w:r w:rsidR="00D33A5D">
              <w:rPr>
                <w:rFonts w:cs="Arial"/>
                <w:noProof/>
                <w:webHidden/>
                <w:szCs w:val="20"/>
              </w:rPr>
              <w:t>312</w:t>
            </w:r>
            <w:r w:rsidRPr="00CD2668">
              <w:rPr>
                <w:rFonts w:cs="Arial"/>
                <w:noProof/>
                <w:webHidden/>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102" w:history="1">
            <w:r w:rsidR="008F52CD" w:rsidRPr="00CD2668">
              <w:rPr>
                <w:rStyle w:val="Hipervnculo"/>
                <w:rFonts w:cs="Arial"/>
                <w:noProof/>
                <w:sz w:val="20"/>
                <w:szCs w:val="20"/>
              </w:rPr>
              <w:t>Conversión de estados contables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_Toc139357102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312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103" w:history="1">
            <w:r w:rsidR="008F52CD" w:rsidRPr="00CD2668">
              <w:rPr>
                <w:rStyle w:val="Hipervnculo"/>
                <w:rFonts w:cs="Arial"/>
                <w:noProof/>
                <w:sz w:val="20"/>
                <w:szCs w:val="20"/>
              </w:rPr>
              <w:t>Preparación de estados contables consolidados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_Toc139357103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312</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104" w:history="1">
            <w:r w:rsidR="008F52CD" w:rsidRPr="00CD2668">
              <w:rPr>
                <w:rStyle w:val="Hipervnculo"/>
                <w:rFonts w:cs="Arial"/>
                <w:noProof/>
                <w:sz w:val="20"/>
                <w:szCs w:val="20"/>
              </w:rPr>
              <w:t>Negocios conjuntos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_Toc139357104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313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105" w:history="1">
            <w:r w:rsidR="008F52CD" w:rsidRPr="00CD2668">
              <w:rPr>
                <w:rStyle w:val="Hipervnculo"/>
                <w:rFonts w:cs="Arial"/>
                <w:noProof/>
                <w:sz w:val="20"/>
                <w:szCs w:val="20"/>
              </w:rPr>
              <w:t>Participaciones en subsidiarias, asociadas y negocios conjuntos societarios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_Toc139357105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313</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106" w:history="1">
            <w:r w:rsidR="008F52CD" w:rsidRPr="00CD2668">
              <w:rPr>
                <w:rStyle w:val="Hipervnculo"/>
                <w:rFonts w:cs="Arial"/>
                <w:noProof/>
                <w:sz w:val="20"/>
                <w:szCs w:val="20"/>
              </w:rPr>
              <w:t>Beneficios a los empleados posteriores a la terminación laboral y otros beneficios a largo plazo</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_Toc139357106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314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107" w:history="1">
            <w:r w:rsidR="008F52CD" w:rsidRPr="00CD2668">
              <w:rPr>
                <w:rStyle w:val="Hipervnculo"/>
                <w:rFonts w:cs="Arial"/>
                <w:noProof/>
                <w:sz w:val="20"/>
                <w:szCs w:val="20"/>
              </w:rPr>
              <w:t>Combinaciones de negocios</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_Toc139357107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314</w:t>
            </w:r>
            <w:r w:rsidRPr="00CD2668">
              <w:rPr>
                <w:rFonts w:cs="Arial"/>
                <w:noProof/>
                <w:webHidden/>
                <w:sz w:val="20"/>
                <w:szCs w:val="20"/>
              </w:rPr>
              <w:fldChar w:fldCharType="end"/>
            </w:r>
          </w:hyperlink>
        </w:p>
        <w:p w:rsidR="008F52CD" w:rsidRPr="00CD2668" w:rsidRDefault="001C4138">
          <w:pPr>
            <w:pStyle w:val="TDC3"/>
            <w:rPr>
              <w:rFonts w:eastAsiaTheme="minorEastAsia" w:cs="Arial"/>
              <w:smallCaps w:val="0"/>
              <w:noProof/>
              <w:sz w:val="20"/>
              <w:szCs w:val="20"/>
              <w:lang w:eastAsia="es-AR"/>
            </w:rPr>
          </w:pPr>
          <w:hyperlink w:anchor="_Toc139357108" w:history="1">
            <w:r w:rsidR="008F52CD" w:rsidRPr="00CD2668">
              <w:rPr>
                <w:rStyle w:val="Hipervnculo"/>
                <w:rFonts w:cs="Arial"/>
                <w:noProof/>
                <w:sz w:val="20"/>
                <w:szCs w:val="20"/>
              </w:rPr>
              <w:t>Instrumentos derivados y operaciones de cobertura</w:t>
            </w:r>
            <w:r w:rsidR="008F52CD" w:rsidRPr="00CD2668">
              <w:rPr>
                <w:rFonts w:cs="Arial"/>
                <w:noProof/>
                <w:webHidden/>
                <w:sz w:val="20"/>
                <w:szCs w:val="20"/>
              </w:rPr>
              <w:tab/>
            </w:r>
            <w:r w:rsidRPr="00CD2668">
              <w:rPr>
                <w:rFonts w:cs="Arial"/>
                <w:noProof/>
                <w:webHidden/>
                <w:sz w:val="20"/>
                <w:szCs w:val="20"/>
              </w:rPr>
              <w:fldChar w:fldCharType="begin"/>
            </w:r>
            <w:r w:rsidR="008F52CD" w:rsidRPr="00CD2668">
              <w:rPr>
                <w:rFonts w:cs="Arial"/>
                <w:noProof/>
                <w:webHidden/>
                <w:sz w:val="20"/>
                <w:szCs w:val="20"/>
              </w:rPr>
              <w:instrText xml:space="preserve"> PAGEREF _Toc139357108 \h </w:instrText>
            </w:r>
            <w:r w:rsidRPr="00CD2668">
              <w:rPr>
                <w:rFonts w:cs="Arial"/>
                <w:noProof/>
                <w:webHidden/>
                <w:sz w:val="20"/>
                <w:szCs w:val="20"/>
              </w:rPr>
            </w:r>
            <w:r w:rsidRPr="00CD2668">
              <w:rPr>
                <w:rFonts w:cs="Arial"/>
                <w:noProof/>
                <w:webHidden/>
                <w:sz w:val="20"/>
                <w:szCs w:val="20"/>
              </w:rPr>
              <w:fldChar w:fldCharType="separate"/>
            </w:r>
            <w:r w:rsidR="00D33A5D">
              <w:rPr>
                <w:rFonts w:cs="Arial"/>
                <w:noProof/>
                <w:webHidden/>
                <w:sz w:val="20"/>
                <w:szCs w:val="20"/>
              </w:rPr>
              <w:t>315</w:t>
            </w:r>
            <w:r w:rsidRPr="00CD2668">
              <w:rPr>
                <w:rFonts w:cs="Arial"/>
                <w:noProof/>
                <w:webHidden/>
                <w:sz w:val="20"/>
                <w:szCs w:val="20"/>
              </w:rPr>
              <w:fldChar w:fldCharType="end"/>
            </w:r>
          </w:hyperlink>
        </w:p>
        <w:p w:rsidR="008F52CD" w:rsidRPr="00CD2668" w:rsidRDefault="001C4138">
          <w:pPr>
            <w:pStyle w:val="TDC1"/>
            <w:rPr>
              <w:rFonts w:eastAsiaTheme="minorEastAsia"/>
              <w:b w:val="0"/>
              <w:caps w:val="0"/>
              <w:szCs w:val="20"/>
              <w:lang w:eastAsia="es-AR"/>
            </w:rPr>
          </w:pPr>
          <w:hyperlink w:anchor="_Toc139357109" w:history="1">
            <w:r w:rsidR="008F52CD" w:rsidRPr="00CD2668">
              <w:rPr>
                <w:rStyle w:val="Hipervnculo"/>
                <w:szCs w:val="20"/>
              </w:rPr>
              <w:t>GLOSARIO</w:t>
            </w:r>
            <w:r w:rsidR="008F52CD" w:rsidRPr="00CD2668">
              <w:rPr>
                <w:webHidden/>
                <w:szCs w:val="20"/>
              </w:rPr>
              <w:tab/>
            </w:r>
            <w:r w:rsidRPr="00CD2668">
              <w:rPr>
                <w:webHidden/>
                <w:szCs w:val="20"/>
              </w:rPr>
              <w:fldChar w:fldCharType="begin"/>
            </w:r>
            <w:r w:rsidR="008F52CD" w:rsidRPr="00CD2668">
              <w:rPr>
                <w:webHidden/>
                <w:szCs w:val="20"/>
              </w:rPr>
              <w:instrText xml:space="preserve"> PAGEREF _Toc139357109 \h </w:instrText>
            </w:r>
            <w:r w:rsidRPr="00CD2668">
              <w:rPr>
                <w:webHidden/>
                <w:szCs w:val="20"/>
              </w:rPr>
            </w:r>
            <w:r w:rsidRPr="00CD2668">
              <w:rPr>
                <w:webHidden/>
                <w:szCs w:val="20"/>
              </w:rPr>
              <w:fldChar w:fldCharType="separate"/>
            </w:r>
            <w:r w:rsidR="00D33A5D">
              <w:rPr>
                <w:webHidden/>
                <w:szCs w:val="20"/>
              </w:rPr>
              <w:t>316</w:t>
            </w:r>
            <w:r w:rsidRPr="00CD2668">
              <w:rPr>
                <w:webHidden/>
                <w:szCs w:val="20"/>
              </w:rPr>
              <w:fldChar w:fldCharType="end"/>
            </w:r>
          </w:hyperlink>
        </w:p>
        <w:p w:rsidR="000F4009" w:rsidRDefault="001C4138">
          <w:r w:rsidRPr="00CD2668">
            <w:rPr>
              <w:rFonts w:ascii="Arial" w:hAnsi="Arial" w:cs="Arial"/>
              <w:b/>
              <w:caps/>
              <w:noProof/>
              <w:sz w:val="20"/>
              <w:szCs w:val="20"/>
            </w:rPr>
            <w:fldChar w:fldCharType="end"/>
          </w:r>
        </w:p>
      </w:sdtContent>
    </w:sdt>
    <w:p w:rsidR="000F4009" w:rsidRPr="000F4009" w:rsidRDefault="000F4009" w:rsidP="000F4009">
      <w:pPr>
        <w:spacing w:after="120" w:line="312" w:lineRule="auto"/>
        <w:ind w:left="1559" w:hanging="567"/>
        <w:jc w:val="both"/>
        <w:rPr>
          <w:lang w:val="es-ES"/>
        </w:rPr>
      </w:pPr>
      <w:r>
        <w:rPr>
          <w:lang w:val="es-ES"/>
        </w:rPr>
        <w:br w:type="page"/>
      </w:r>
    </w:p>
    <w:p w:rsidR="00C01B25" w:rsidRDefault="003C0451" w:rsidP="00C01B25">
      <w:pPr>
        <w:pStyle w:val="Prrafodelista"/>
        <w:autoSpaceDE w:val="0"/>
        <w:autoSpaceDN w:val="0"/>
        <w:adjustRightInd w:val="0"/>
        <w:spacing w:before="120"/>
        <w:ind w:left="363"/>
        <w:jc w:val="both"/>
        <w:rPr>
          <w:rFonts w:ascii="Arial" w:hAnsi="Arial" w:cs="Arial"/>
          <w:sz w:val="20"/>
          <w:szCs w:val="20"/>
        </w:rPr>
      </w:pPr>
      <w:r>
        <w:rPr>
          <w:rFonts w:ascii="Arial" w:hAnsi="Arial" w:cs="Arial"/>
          <w:sz w:val="20"/>
          <w:szCs w:val="20"/>
        </w:rPr>
        <w:lastRenderedPageBreak/>
        <w:t xml:space="preserve">La </w:t>
      </w:r>
      <w:r w:rsidRPr="00C8460B">
        <w:rPr>
          <w:rFonts w:ascii="Arial" w:hAnsi="Arial" w:cs="Arial"/>
          <w:b/>
          <w:sz w:val="20"/>
          <w:szCs w:val="20"/>
        </w:rPr>
        <w:t>Resolución Técnica N° 54 “Normas Contables Profesionales: Norma Unificada Argentina de Contabilidad” – Texto Ordenado según Resolución Técnica N° 56 -</w:t>
      </w:r>
      <w:r>
        <w:rPr>
          <w:rFonts w:ascii="Arial" w:hAnsi="Arial" w:cs="Arial"/>
          <w:sz w:val="20"/>
          <w:szCs w:val="20"/>
        </w:rPr>
        <w:t xml:space="preserve">, ha sido aprobada por la Resolución CD N° 3944 del Consejo Profesional de Ciencias Económicas de la Provincia de Buenos Aires, con vigencia obligatoria para estados contables correspondientes a </w:t>
      </w:r>
      <w:r w:rsidRPr="00C8460B">
        <w:rPr>
          <w:rFonts w:ascii="Arial" w:hAnsi="Arial" w:cs="Arial"/>
          <w:b/>
          <w:sz w:val="20"/>
          <w:szCs w:val="20"/>
        </w:rPr>
        <w:t>ejercicios iniciados a partir del 1° de enero de 2025</w:t>
      </w:r>
      <w:r>
        <w:rPr>
          <w:rFonts w:ascii="Arial" w:hAnsi="Arial" w:cs="Arial"/>
          <w:sz w:val="20"/>
          <w:szCs w:val="20"/>
        </w:rPr>
        <w:t>, sin exigir su aplicación a los períodos intermedios comprendidos en el primer ejercicio.</w:t>
      </w:r>
    </w:p>
    <w:p w:rsidR="003C0451" w:rsidRDefault="003C0451" w:rsidP="00C01B25">
      <w:pPr>
        <w:pStyle w:val="Prrafodelista"/>
        <w:autoSpaceDE w:val="0"/>
        <w:autoSpaceDN w:val="0"/>
        <w:adjustRightInd w:val="0"/>
        <w:spacing w:before="120"/>
        <w:ind w:left="363"/>
        <w:jc w:val="both"/>
        <w:rPr>
          <w:rFonts w:ascii="Arial" w:hAnsi="Arial" w:cs="Arial"/>
          <w:sz w:val="20"/>
          <w:szCs w:val="20"/>
        </w:rPr>
      </w:pPr>
    </w:p>
    <w:p w:rsidR="003C0451" w:rsidRDefault="003C0451" w:rsidP="00C01B25">
      <w:pPr>
        <w:pStyle w:val="Prrafodelista"/>
        <w:autoSpaceDE w:val="0"/>
        <w:autoSpaceDN w:val="0"/>
        <w:adjustRightInd w:val="0"/>
        <w:spacing w:before="120"/>
        <w:ind w:left="363"/>
        <w:jc w:val="both"/>
        <w:rPr>
          <w:rFonts w:ascii="Arial" w:hAnsi="Arial" w:cs="Arial"/>
          <w:sz w:val="20"/>
          <w:szCs w:val="20"/>
        </w:rPr>
      </w:pPr>
      <w:r>
        <w:rPr>
          <w:rFonts w:ascii="Arial" w:hAnsi="Arial" w:cs="Arial"/>
          <w:sz w:val="20"/>
          <w:szCs w:val="20"/>
        </w:rPr>
        <w:t xml:space="preserve">Se admite su aplicación anticipada para estados contables correspondientes a </w:t>
      </w:r>
      <w:r w:rsidRPr="00C8460B">
        <w:rPr>
          <w:rFonts w:ascii="Arial" w:hAnsi="Arial" w:cs="Arial"/>
          <w:b/>
          <w:sz w:val="20"/>
          <w:szCs w:val="20"/>
        </w:rPr>
        <w:t>ejercicios iniciados a partir del 1° de julio de 2024</w:t>
      </w:r>
      <w:r>
        <w:rPr>
          <w:rFonts w:ascii="Arial" w:hAnsi="Arial" w:cs="Arial"/>
          <w:sz w:val="20"/>
          <w:szCs w:val="20"/>
        </w:rPr>
        <w:t>, sin exigir su aplicación a los períodos intermedios comprendidos en el primer ejercicio.</w:t>
      </w:r>
    </w:p>
    <w:p w:rsidR="003C0451" w:rsidRDefault="003C0451" w:rsidP="00C01B25">
      <w:pPr>
        <w:pStyle w:val="Prrafodelista"/>
        <w:autoSpaceDE w:val="0"/>
        <w:autoSpaceDN w:val="0"/>
        <w:adjustRightInd w:val="0"/>
        <w:spacing w:before="120"/>
        <w:ind w:left="363"/>
        <w:jc w:val="both"/>
        <w:rPr>
          <w:rFonts w:ascii="Arial" w:hAnsi="Arial" w:cs="Arial"/>
          <w:sz w:val="20"/>
          <w:szCs w:val="20"/>
        </w:rPr>
      </w:pPr>
    </w:p>
    <w:p w:rsidR="003C0451" w:rsidRDefault="003C0451" w:rsidP="00C01B25">
      <w:pPr>
        <w:pStyle w:val="Prrafodelista"/>
        <w:autoSpaceDE w:val="0"/>
        <w:autoSpaceDN w:val="0"/>
        <w:adjustRightInd w:val="0"/>
        <w:spacing w:before="120"/>
        <w:ind w:left="363"/>
        <w:jc w:val="both"/>
        <w:rPr>
          <w:rFonts w:ascii="Arial" w:hAnsi="Arial" w:cs="Arial"/>
          <w:sz w:val="20"/>
          <w:szCs w:val="20"/>
        </w:rPr>
      </w:pPr>
      <w:r>
        <w:rPr>
          <w:rFonts w:ascii="Arial" w:hAnsi="Arial" w:cs="Arial"/>
          <w:sz w:val="20"/>
          <w:szCs w:val="20"/>
        </w:rPr>
        <w:t>En el texto de la Resolución Técnica contenido en este archivo se han incorporado, conforme lo establecido en el Artículo 3° de la Res</w:t>
      </w:r>
      <w:r w:rsidR="00A75077">
        <w:rPr>
          <w:rFonts w:ascii="Arial" w:hAnsi="Arial" w:cs="Arial"/>
          <w:sz w:val="20"/>
          <w:szCs w:val="20"/>
        </w:rPr>
        <w:t xml:space="preserve">olución CD N° 3944, los importes de ingresos de los parámetros </w:t>
      </w:r>
      <w:r w:rsidR="00791F5B">
        <w:rPr>
          <w:rFonts w:ascii="Arial" w:hAnsi="Arial" w:cs="Arial"/>
          <w:sz w:val="20"/>
          <w:szCs w:val="20"/>
        </w:rPr>
        <w:t xml:space="preserve">cuantitativos </w:t>
      </w:r>
      <w:r w:rsidR="00A75077">
        <w:rPr>
          <w:rFonts w:ascii="Arial" w:hAnsi="Arial" w:cs="Arial"/>
          <w:sz w:val="20"/>
          <w:szCs w:val="20"/>
        </w:rPr>
        <w:t>a utilizar para la categorización de los entes como Entidad Pequeñ</w:t>
      </w:r>
      <w:r w:rsidR="00C8460B">
        <w:rPr>
          <w:rFonts w:ascii="Arial" w:hAnsi="Arial" w:cs="Arial"/>
          <w:sz w:val="20"/>
          <w:szCs w:val="20"/>
        </w:rPr>
        <w:t>a</w:t>
      </w:r>
      <w:r w:rsidR="00A75077">
        <w:rPr>
          <w:rFonts w:ascii="Arial" w:hAnsi="Arial" w:cs="Arial"/>
          <w:sz w:val="20"/>
          <w:szCs w:val="20"/>
        </w:rPr>
        <w:t xml:space="preserve"> o Entidad Mediana</w:t>
      </w:r>
      <w:r w:rsidR="00C8460B">
        <w:rPr>
          <w:rFonts w:ascii="Arial" w:hAnsi="Arial" w:cs="Arial"/>
          <w:sz w:val="20"/>
          <w:szCs w:val="20"/>
        </w:rPr>
        <w:t xml:space="preserve"> [Párrafo 6, inc. b), y Párrafo 7, inc. b), de la RT]</w:t>
      </w:r>
      <w:r w:rsidR="00A75077">
        <w:rPr>
          <w:rFonts w:ascii="Arial" w:hAnsi="Arial" w:cs="Arial"/>
          <w:sz w:val="20"/>
          <w:szCs w:val="20"/>
        </w:rPr>
        <w:t>.</w:t>
      </w:r>
    </w:p>
    <w:p w:rsidR="00A75077" w:rsidRDefault="00A75077" w:rsidP="00C01B25">
      <w:pPr>
        <w:pStyle w:val="Prrafodelista"/>
        <w:autoSpaceDE w:val="0"/>
        <w:autoSpaceDN w:val="0"/>
        <w:adjustRightInd w:val="0"/>
        <w:spacing w:before="120"/>
        <w:ind w:left="363"/>
        <w:jc w:val="both"/>
        <w:rPr>
          <w:rFonts w:ascii="Arial" w:hAnsi="Arial" w:cs="Arial"/>
          <w:sz w:val="20"/>
          <w:szCs w:val="20"/>
        </w:rPr>
      </w:pPr>
    </w:p>
    <w:p w:rsidR="00A75077" w:rsidRDefault="00A75077" w:rsidP="00C01B25">
      <w:pPr>
        <w:pStyle w:val="Prrafodelista"/>
        <w:autoSpaceDE w:val="0"/>
        <w:autoSpaceDN w:val="0"/>
        <w:adjustRightInd w:val="0"/>
        <w:spacing w:before="120"/>
        <w:ind w:left="363"/>
        <w:jc w:val="both"/>
        <w:rPr>
          <w:rFonts w:ascii="Arial" w:hAnsi="Arial" w:cs="Arial"/>
          <w:sz w:val="20"/>
          <w:szCs w:val="20"/>
        </w:rPr>
      </w:pPr>
      <w:r>
        <w:rPr>
          <w:rFonts w:ascii="Arial" w:hAnsi="Arial" w:cs="Arial"/>
          <w:sz w:val="20"/>
          <w:szCs w:val="20"/>
        </w:rPr>
        <w:t xml:space="preserve">Asimismo, </w:t>
      </w:r>
      <w:r w:rsidR="0071408C">
        <w:rPr>
          <w:rFonts w:ascii="Arial" w:hAnsi="Arial" w:cs="Arial"/>
          <w:sz w:val="20"/>
          <w:szCs w:val="20"/>
        </w:rPr>
        <w:t xml:space="preserve">en el Párrafo 179 se aclara que, conforme lo estipulado en el Artículo 4° de la Resolución CD N° 3944, </w:t>
      </w:r>
      <w:r w:rsidR="00A31498">
        <w:rPr>
          <w:rFonts w:ascii="Arial" w:hAnsi="Arial" w:cs="Arial"/>
          <w:sz w:val="20"/>
        </w:rPr>
        <w:t>a</w:t>
      </w:r>
      <w:r w:rsidR="00A31498" w:rsidRPr="00AC4AEA">
        <w:rPr>
          <w:rFonts w:ascii="Arial" w:hAnsi="Arial" w:cs="Arial"/>
          <w:sz w:val="20"/>
        </w:rPr>
        <w:t xml:space="preserve"> los efectos de expresar los </w:t>
      </w:r>
      <w:r w:rsidR="00A31498" w:rsidRPr="00791F5B">
        <w:rPr>
          <w:rFonts w:ascii="Arial" w:hAnsi="Arial" w:cs="Arial"/>
          <w:bCs/>
          <w:sz w:val="20"/>
        </w:rPr>
        <w:t>estados contables</w:t>
      </w:r>
      <w:r w:rsidR="00A31498" w:rsidRPr="00AC4AEA">
        <w:rPr>
          <w:rFonts w:ascii="Arial" w:hAnsi="Arial" w:cs="Arial"/>
          <w:sz w:val="20"/>
        </w:rPr>
        <w:t xml:space="preserve"> en moneda de cierre</w:t>
      </w:r>
      <w:r w:rsidR="00A31498">
        <w:rPr>
          <w:rFonts w:ascii="Arial" w:hAnsi="Arial" w:cs="Arial"/>
          <w:sz w:val="20"/>
          <w:szCs w:val="20"/>
        </w:rPr>
        <w:t xml:space="preserve"> </w:t>
      </w:r>
      <w:r w:rsidR="0071408C">
        <w:rPr>
          <w:rFonts w:ascii="Arial" w:hAnsi="Arial" w:cs="Arial"/>
          <w:sz w:val="20"/>
          <w:szCs w:val="20"/>
        </w:rPr>
        <w:t>se admite</w:t>
      </w:r>
      <w:r w:rsidR="00A31498">
        <w:rPr>
          <w:rFonts w:ascii="Arial" w:hAnsi="Arial" w:cs="Arial"/>
          <w:sz w:val="20"/>
          <w:szCs w:val="20"/>
        </w:rPr>
        <w:t xml:space="preserve"> también</w:t>
      </w:r>
      <w:r>
        <w:rPr>
          <w:rFonts w:ascii="Arial" w:hAnsi="Arial" w:cs="Arial"/>
          <w:sz w:val="20"/>
          <w:szCs w:val="20"/>
        </w:rPr>
        <w:t xml:space="preserve"> </w:t>
      </w:r>
      <w:r w:rsidR="0071408C">
        <w:rPr>
          <w:rFonts w:ascii="Arial" w:hAnsi="Arial" w:cs="Arial"/>
          <w:sz w:val="20"/>
          <w:szCs w:val="20"/>
        </w:rPr>
        <w:t xml:space="preserve">la </w:t>
      </w:r>
      <w:r w:rsidR="009109A2">
        <w:rPr>
          <w:rFonts w:ascii="Arial" w:hAnsi="Arial" w:cs="Arial"/>
          <w:sz w:val="20"/>
          <w:szCs w:val="20"/>
        </w:rPr>
        <w:t>utilización</w:t>
      </w:r>
      <w:r w:rsidR="0071408C">
        <w:rPr>
          <w:rFonts w:ascii="Arial" w:hAnsi="Arial" w:cs="Arial"/>
          <w:sz w:val="20"/>
          <w:szCs w:val="20"/>
        </w:rPr>
        <w:t xml:space="preserve"> del índice determinado de acuerdo a la metodología indicada en el Art. 7° de la Resolución MD CPCEPBA N° 2883.</w:t>
      </w:r>
    </w:p>
    <w:p w:rsidR="003C0451" w:rsidRDefault="003C0451"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Pr="0071408C" w:rsidRDefault="00C01B25" w:rsidP="0071408C">
      <w:pPr>
        <w:autoSpaceDE w:val="0"/>
        <w:autoSpaceDN w:val="0"/>
        <w:adjustRightInd w:val="0"/>
        <w:spacing w:before="120"/>
        <w:jc w:val="both"/>
        <w:rPr>
          <w:rFonts w:ascii="Arial" w:hAnsi="Arial" w:cs="Arial"/>
          <w:sz w:val="20"/>
          <w:szCs w:val="20"/>
        </w:rPr>
      </w:pPr>
    </w:p>
    <w:p w:rsidR="002048F5" w:rsidRPr="000806D9" w:rsidRDefault="002048F5" w:rsidP="002048F5">
      <w:pPr>
        <w:pStyle w:val="Ttulo1"/>
        <w:rPr>
          <w:rFonts w:cs="Arial"/>
          <w:b w:val="0"/>
          <w:sz w:val="20"/>
          <w:szCs w:val="20"/>
        </w:rPr>
      </w:pPr>
      <w:r w:rsidRPr="000806D9">
        <w:rPr>
          <w:rFonts w:cs="Arial"/>
          <w:b w:val="0"/>
          <w:sz w:val="20"/>
          <w:szCs w:val="20"/>
        </w:rPr>
        <w:t>[hoja en blanco]</w:t>
      </w: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autoSpaceDE w:val="0"/>
        <w:autoSpaceDN w:val="0"/>
        <w:adjustRightInd w:val="0"/>
        <w:spacing w:before="120"/>
        <w:ind w:left="363"/>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C01B25" w:rsidRDefault="00C01B25" w:rsidP="0071408C">
      <w:pPr>
        <w:spacing w:before="120"/>
        <w:jc w:val="both"/>
        <w:rPr>
          <w:rFonts w:ascii="Arial" w:hAnsi="Arial" w:cs="Arial"/>
          <w:sz w:val="20"/>
          <w:szCs w:val="20"/>
        </w:rPr>
      </w:pPr>
    </w:p>
    <w:p w:rsidR="0071408C" w:rsidRDefault="0071408C" w:rsidP="0071408C">
      <w:pPr>
        <w:spacing w:before="120"/>
        <w:jc w:val="both"/>
        <w:rPr>
          <w:rFonts w:ascii="Arial" w:hAnsi="Arial" w:cs="Arial"/>
          <w:sz w:val="20"/>
          <w:szCs w:val="20"/>
        </w:rPr>
      </w:pPr>
    </w:p>
    <w:p w:rsidR="0071408C" w:rsidRDefault="0071408C" w:rsidP="0071408C">
      <w:pPr>
        <w:spacing w:before="120"/>
        <w:jc w:val="both"/>
        <w:rPr>
          <w:rFonts w:ascii="Arial" w:hAnsi="Arial" w:cs="Arial"/>
          <w:sz w:val="20"/>
          <w:szCs w:val="20"/>
        </w:rPr>
      </w:pPr>
    </w:p>
    <w:p w:rsidR="0071408C" w:rsidRDefault="0071408C" w:rsidP="0071408C">
      <w:pPr>
        <w:spacing w:before="120"/>
        <w:jc w:val="both"/>
        <w:rPr>
          <w:rFonts w:ascii="Arial" w:hAnsi="Arial" w:cs="Arial"/>
          <w:sz w:val="20"/>
          <w:szCs w:val="20"/>
        </w:rPr>
      </w:pPr>
    </w:p>
    <w:p w:rsidR="0071408C" w:rsidRDefault="0071408C" w:rsidP="0071408C">
      <w:pPr>
        <w:spacing w:before="120"/>
        <w:jc w:val="both"/>
        <w:rPr>
          <w:rFonts w:ascii="Arial" w:hAnsi="Arial" w:cs="Arial"/>
          <w:sz w:val="20"/>
          <w:szCs w:val="20"/>
        </w:rPr>
      </w:pPr>
    </w:p>
    <w:p w:rsidR="0071408C" w:rsidRDefault="0071408C" w:rsidP="0071408C">
      <w:pPr>
        <w:spacing w:before="120"/>
        <w:jc w:val="both"/>
        <w:rPr>
          <w:rFonts w:ascii="Arial" w:hAnsi="Arial" w:cs="Arial"/>
          <w:sz w:val="20"/>
          <w:szCs w:val="20"/>
        </w:rPr>
      </w:pPr>
    </w:p>
    <w:p w:rsidR="0071408C" w:rsidRDefault="0071408C" w:rsidP="0071408C">
      <w:pPr>
        <w:spacing w:before="120"/>
        <w:jc w:val="both"/>
        <w:rPr>
          <w:rFonts w:ascii="Arial" w:hAnsi="Arial" w:cs="Arial"/>
          <w:sz w:val="20"/>
          <w:szCs w:val="20"/>
        </w:rPr>
      </w:pPr>
    </w:p>
    <w:p w:rsidR="0071408C" w:rsidRDefault="0071408C" w:rsidP="0071408C">
      <w:pPr>
        <w:spacing w:before="120"/>
        <w:jc w:val="both"/>
        <w:rPr>
          <w:rFonts w:ascii="Arial" w:hAnsi="Arial" w:cs="Arial"/>
          <w:sz w:val="20"/>
          <w:szCs w:val="20"/>
        </w:rPr>
      </w:pPr>
    </w:p>
    <w:p w:rsidR="0071408C" w:rsidRDefault="0071408C" w:rsidP="0071408C">
      <w:pPr>
        <w:spacing w:before="120"/>
        <w:jc w:val="both"/>
        <w:rPr>
          <w:rFonts w:ascii="Arial" w:hAnsi="Arial" w:cs="Arial"/>
          <w:sz w:val="20"/>
          <w:szCs w:val="20"/>
        </w:rPr>
      </w:pPr>
    </w:p>
    <w:p w:rsidR="0071408C" w:rsidRPr="0071408C" w:rsidRDefault="0071408C" w:rsidP="0071408C">
      <w:pPr>
        <w:spacing w:before="120"/>
        <w:jc w:val="both"/>
        <w:rPr>
          <w:rFonts w:ascii="Arial" w:hAnsi="Arial" w:cs="Arial"/>
          <w:sz w:val="20"/>
          <w:szCs w:val="20"/>
        </w:rPr>
      </w:pPr>
    </w:p>
    <w:p w:rsidR="00C01B25" w:rsidRDefault="00C01B25" w:rsidP="00C01B25">
      <w:pPr>
        <w:pStyle w:val="Prrafodelista"/>
        <w:spacing w:before="120"/>
        <w:ind w:left="360"/>
        <w:contextualSpacing w:val="0"/>
        <w:jc w:val="both"/>
        <w:rPr>
          <w:rFonts w:ascii="Arial" w:hAnsi="Arial" w:cs="Arial"/>
          <w:sz w:val="20"/>
          <w:szCs w:val="20"/>
        </w:rPr>
      </w:pPr>
    </w:p>
    <w:p w:rsidR="0071408C" w:rsidRDefault="0071408C" w:rsidP="00376144">
      <w:pPr>
        <w:jc w:val="both"/>
        <w:rPr>
          <w:rFonts w:ascii="Arial" w:hAnsi="Arial" w:cs="Arial"/>
          <w:b/>
          <w:bCs/>
          <w:sz w:val="20"/>
          <w:szCs w:val="20"/>
        </w:rPr>
      </w:pPr>
      <w:bookmarkStart w:id="0" w:name="_Toc101863697"/>
      <w:bookmarkStart w:id="1" w:name="_Toc139356559"/>
    </w:p>
    <w:p w:rsidR="0071408C" w:rsidRDefault="0071408C" w:rsidP="00376144">
      <w:pPr>
        <w:jc w:val="both"/>
        <w:rPr>
          <w:rFonts w:ascii="Arial" w:hAnsi="Arial" w:cs="Arial"/>
          <w:b/>
          <w:bCs/>
          <w:sz w:val="20"/>
          <w:szCs w:val="20"/>
        </w:rPr>
      </w:pPr>
    </w:p>
    <w:p w:rsidR="009D7FF2" w:rsidRPr="00376144" w:rsidRDefault="00376144" w:rsidP="00376144">
      <w:pPr>
        <w:jc w:val="both"/>
        <w:rPr>
          <w:rFonts w:ascii="Arial" w:hAnsi="Arial" w:cs="Arial"/>
          <w:b/>
          <w:bCs/>
          <w:sz w:val="20"/>
          <w:szCs w:val="20"/>
        </w:rPr>
      </w:pPr>
      <w:r w:rsidRPr="00376144">
        <w:rPr>
          <w:rFonts w:ascii="Arial" w:hAnsi="Arial" w:cs="Arial"/>
          <w:b/>
          <w:bCs/>
          <w:sz w:val="20"/>
          <w:szCs w:val="20"/>
        </w:rPr>
        <w:t>S</w:t>
      </w:r>
      <w:r w:rsidR="009D7FF2" w:rsidRPr="00376144">
        <w:rPr>
          <w:rFonts w:ascii="Arial" w:hAnsi="Arial" w:cs="Arial"/>
          <w:b/>
          <w:sz w:val="20"/>
          <w:szCs w:val="20"/>
        </w:rPr>
        <w:t>EGUNDA PARTE</w:t>
      </w:r>
      <w:bookmarkEnd w:id="0"/>
      <w:bookmarkEnd w:id="1"/>
    </w:p>
    <w:p w:rsidR="00DC0E3B" w:rsidRPr="00AC4AEA" w:rsidRDefault="003C71B4" w:rsidP="00A318EA">
      <w:pPr>
        <w:pStyle w:val="Ttulo1"/>
        <w:rPr>
          <w:rFonts w:cs="Arial"/>
          <w:sz w:val="20"/>
          <w:szCs w:val="20"/>
        </w:rPr>
      </w:pPr>
      <w:bookmarkStart w:id="2" w:name="_Toc139356560"/>
      <w:r w:rsidRPr="00AC4AEA">
        <w:rPr>
          <w:rFonts w:cs="Arial"/>
          <w:sz w:val="20"/>
          <w:szCs w:val="20"/>
        </w:rPr>
        <w:t>RESOLUCIÓN TÉCNICA N°54</w:t>
      </w:r>
      <w:bookmarkEnd w:id="2"/>
      <w:r w:rsidR="009D7FF2" w:rsidRPr="00AC4AEA">
        <w:rPr>
          <w:rFonts w:cs="Arial"/>
          <w:sz w:val="20"/>
          <w:szCs w:val="20"/>
        </w:rPr>
        <w:t xml:space="preserve"> </w:t>
      </w:r>
    </w:p>
    <w:p w:rsidR="00C42AAD" w:rsidRPr="00AC4AEA" w:rsidRDefault="00C42AAD" w:rsidP="00A318EA">
      <w:pPr>
        <w:pStyle w:val="Ttulo1"/>
        <w:rPr>
          <w:rFonts w:cs="Arial"/>
          <w:sz w:val="20"/>
          <w:szCs w:val="20"/>
        </w:rPr>
      </w:pPr>
    </w:p>
    <w:p w:rsidR="00C97469" w:rsidRPr="00AC4AEA" w:rsidRDefault="00DC0E3B" w:rsidP="00A318EA">
      <w:pPr>
        <w:pStyle w:val="Ttulo1"/>
        <w:rPr>
          <w:rFonts w:cs="Arial"/>
          <w:sz w:val="20"/>
          <w:szCs w:val="20"/>
        </w:rPr>
      </w:pPr>
      <w:bookmarkStart w:id="3" w:name="_Toc139356561"/>
      <w:r w:rsidRPr="00AC4AEA">
        <w:rPr>
          <w:rFonts w:cs="Arial"/>
          <w:sz w:val="20"/>
          <w:szCs w:val="20"/>
        </w:rPr>
        <w:t>~</w:t>
      </w:r>
      <w:r w:rsidR="009D7FF2" w:rsidRPr="00AC4AEA">
        <w:rPr>
          <w:rFonts w:cs="Arial"/>
          <w:sz w:val="20"/>
          <w:szCs w:val="20"/>
        </w:rPr>
        <w:t>INTRODUCCIÓN</w:t>
      </w:r>
      <w:r w:rsidRPr="00AC4AEA">
        <w:rPr>
          <w:rFonts w:cs="Arial"/>
          <w:sz w:val="20"/>
          <w:szCs w:val="20"/>
        </w:rPr>
        <w:t>~</w:t>
      </w:r>
      <w:bookmarkEnd w:id="3"/>
    </w:p>
    <w:p w:rsidR="00B4781E" w:rsidRPr="00AC4AEA" w:rsidRDefault="00B4781E" w:rsidP="00A318EA">
      <w:pPr>
        <w:pStyle w:val="Ttulo1"/>
        <w:rPr>
          <w:rFonts w:cs="Arial"/>
          <w:sz w:val="20"/>
          <w:szCs w:val="20"/>
        </w:rPr>
      </w:pPr>
      <w:bookmarkStart w:id="4" w:name="_Toc101863698"/>
    </w:p>
    <w:p w:rsidR="0090400F" w:rsidRPr="00AC4AEA" w:rsidRDefault="0090400F" w:rsidP="00A318EA">
      <w:pPr>
        <w:pStyle w:val="Ttulo1"/>
        <w:rPr>
          <w:rFonts w:cs="Arial"/>
          <w:sz w:val="20"/>
          <w:szCs w:val="20"/>
        </w:rPr>
      </w:pPr>
      <w:bookmarkStart w:id="5" w:name="_Toc139356562"/>
      <w:r w:rsidRPr="00AC4AEA">
        <w:rPr>
          <w:rFonts w:cs="Arial"/>
          <w:sz w:val="20"/>
          <w:szCs w:val="20"/>
        </w:rPr>
        <w:t xml:space="preserve">OBJETIVO Y ALCANCE DE </w:t>
      </w:r>
      <w:r w:rsidR="00B17CD5" w:rsidRPr="00AC4AEA">
        <w:rPr>
          <w:rFonts w:cs="Arial"/>
          <w:sz w:val="20"/>
          <w:szCs w:val="20"/>
        </w:rPr>
        <w:t>ESTA RESOLUCIÓN TÉCNICA</w:t>
      </w:r>
      <w:bookmarkEnd w:id="4"/>
      <w:bookmarkEnd w:id="5"/>
    </w:p>
    <w:p w:rsidR="00605B11" w:rsidRPr="00AC4AEA" w:rsidRDefault="00390852" w:rsidP="00A318EA">
      <w:pPr>
        <w:pStyle w:val="Ttulo2"/>
        <w:rPr>
          <w:rFonts w:cs="Arial"/>
        </w:rPr>
      </w:pPr>
      <w:bookmarkStart w:id="6" w:name="_Toc101863699"/>
      <w:bookmarkStart w:id="7" w:name="_Toc139356563"/>
      <w:r w:rsidRPr="00AC4AEA">
        <w:rPr>
          <w:rFonts w:cs="Arial"/>
        </w:rPr>
        <w:t>Objetivo</w:t>
      </w:r>
      <w:bookmarkEnd w:id="6"/>
      <w:bookmarkEnd w:id="7"/>
    </w:p>
    <w:p w:rsidR="00AE7E5B" w:rsidRPr="00AC4AEA" w:rsidRDefault="00091E0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El objetivo de e</w:t>
      </w:r>
      <w:r w:rsidR="00BE15A2" w:rsidRPr="00AC4AEA">
        <w:rPr>
          <w:rFonts w:ascii="Arial" w:hAnsi="Arial" w:cs="Arial"/>
          <w:sz w:val="20"/>
          <w:szCs w:val="20"/>
        </w:rPr>
        <w:t xml:space="preserve">sta Resolución Técnica </w:t>
      </w:r>
      <w:r w:rsidR="00AE7E5B" w:rsidRPr="00AC4AEA">
        <w:rPr>
          <w:rFonts w:ascii="Arial" w:hAnsi="Arial" w:cs="Arial"/>
          <w:sz w:val="20"/>
          <w:szCs w:val="20"/>
        </w:rPr>
        <w:t>consiste en</w:t>
      </w:r>
      <w:r w:rsidR="000451DC" w:rsidRPr="00AC4AEA">
        <w:rPr>
          <w:rFonts w:ascii="Arial" w:hAnsi="Arial" w:cs="Arial"/>
          <w:sz w:val="20"/>
          <w:szCs w:val="20"/>
        </w:rPr>
        <w:t xml:space="preserve"> </w:t>
      </w:r>
      <w:r w:rsidR="00F27E75" w:rsidRPr="00AC4AEA">
        <w:rPr>
          <w:rFonts w:ascii="Arial" w:hAnsi="Arial" w:cs="Arial"/>
          <w:sz w:val="20"/>
          <w:szCs w:val="20"/>
        </w:rPr>
        <w:t>prescribir</w:t>
      </w:r>
      <w:r w:rsidR="00BE15A2" w:rsidRPr="00AC4AEA">
        <w:rPr>
          <w:rFonts w:ascii="Arial" w:hAnsi="Arial" w:cs="Arial"/>
          <w:sz w:val="20"/>
          <w:szCs w:val="20"/>
        </w:rPr>
        <w:t xml:space="preserve"> las bases para </w:t>
      </w:r>
      <w:r w:rsidR="000451DC" w:rsidRPr="00AC4AEA">
        <w:rPr>
          <w:rFonts w:ascii="Arial" w:hAnsi="Arial" w:cs="Arial"/>
          <w:sz w:val="20"/>
          <w:szCs w:val="20"/>
        </w:rPr>
        <w:t>preparar</w:t>
      </w:r>
      <w:r w:rsidR="00BE15A2" w:rsidRPr="00AC4AEA">
        <w:rPr>
          <w:rFonts w:ascii="Arial" w:hAnsi="Arial" w:cs="Arial"/>
          <w:sz w:val="20"/>
          <w:szCs w:val="20"/>
        </w:rPr>
        <w:t xml:space="preserve"> los </w:t>
      </w:r>
      <w:r w:rsidR="00135084" w:rsidRPr="00AC4AEA">
        <w:rPr>
          <w:rFonts w:ascii="Arial" w:hAnsi="Arial" w:cs="Arial"/>
          <w:b/>
          <w:bCs/>
          <w:sz w:val="20"/>
          <w:szCs w:val="20"/>
        </w:rPr>
        <w:t>estados contables</w:t>
      </w:r>
      <w:r w:rsidR="00BE15A2" w:rsidRPr="00AC4AEA">
        <w:rPr>
          <w:rFonts w:ascii="Arial" w:hAnsi="Arial" w:cs="Arial"/>
          <w:sz w:val="20"/>
          <w:szCs w:val="20"/>
        </w:rPr>
        <w:t xml:space="preserve"> </w:t>
      </w:r>
      <w:r w:rsidR="00977BC1" w:rsidRPr="00AC4AEA">
        <w:rPr>
          <w:rFonts w:ascii="Arial" w:hAnsi="Arial" w:cs="Arial"/>
          <w:sz w:val="20"/>
          <w:szCs w:val="20"/>
        </w:rPr>
        <w:t>con fines generales</w:t>
      </w:r>
      <w:r w:rsidR="00F27E75" w:rsidRPr="00AC4AEA">
        <w:rPr>
          <w:rFonts w:ascii="Arial" w:hAnsi="Arial" w:cs="Arial"/>
          <w:sz w:val="20"/>
          <w:szCs w:val="20"/>
        </w:rPr>
        <w:t xml:space="preserve">, de forma tal </w:t>
      </w:r>
      <w:r w:rsidR="00BE15A2" w:rsidRPr="00AC4AEA">
        <w:rPr>
          <w:rFonts w:ascii="Arial" w:hAnsi="Arial" w:cs="Arial"/>
          <w:sz w:val="20"/>
          <w:szCs w:val="20"/>
        </w:rPr>
        <w:t xml:space="preserve">que </w:t>
      </w:r>
      <w:r w:rsidR="00AE7E5B" w:rsidRPr="00AC4AEA">
        <w:rPr>
          <w:rFonts w:ascii="Arial" w:hAnsi="Arial" w:cs="Arial"/>
          <w:sz w:val="20"/>
          <w:szCs w:val="20"/>
        </w:rPr>
        <w:t xml:space="preserve">satisfagan los </w:t>
      </w:r>
      <w:r w:rsidR="00AE7E5B" w:rsidRPr="00AC4AEA">
        <w:rPr>
          <w:rFonts w:ascii="Arial" w:hAnsi="Arial" w:cs="Arial"/>
          <w:b/>
          <w:bCs/>
          <w:sz w:val="20"/>
          <w:szCs w:val="20"/>
        </w:rPr>
        <w:t xml:space="preserve">requisitos de la información contenida en los </w:t>
      </w:r>
      <w:r w:rsidR="00135084" w:rsidRPr="00AC4AEA">
        <w:rPr>
          <w:rFonts w:ascii="Arial" w:hAnsi="Arial" w:cs="Arial"/>
          <w:b/>
          <w:bCs/>
          <w:sz w:val="20"/>
          <w:szCs w:val="20"/>
        </w:rPr>
        <w:t>estados contables</w:t>
      </w:r>
      <w:r w:rsidR="00AE7E5B" w:rsidRPr="00AC4AEA">
        <w:rPr>
          <w:rFonts w:ascii="Arial" w:hAnsi="Arial" w:cs="Arial"/>
          <w:b/>
          <w:bCs/>
          <w:sz w:val="20"/>
          <w:szCs w:val="20"/>
        </w:rPr>
        <w:t>.</w:t>
      </w:r>
    </w:p>
    <w:p w:rsidR="00A8173B" w:rsidRPr="00F77873" w:rsidRDefault="00DC5443" w:rsidP="00F77873">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Para lograr su objetivo, e</w:t>
      </w:r>
      <w:r w:rsidR="00BE15A2" w:rsidRPr="00AC4AEA">
        <w:rPr>
          <w:rFonts w:ascii="Arial" w:hAnsi="Arial" w:cs="Arial"/>
          <w:sz w:val="20"/>
          <w:szCs w:val="20"/>
        </w:rPr>
        <w:t xml:space="preserve">sta </w:t>
      </w:r>
      <w:r w:rsidRPr="00AC4AEA">
        <w:rPr>
          <w:rFonts w:ascii="Arial" w:hAnsi="Arial" w:cs="Arial"/>
          <w:sz w:val="20"/>
          <w:szCs w:val="20"/>
        </w:rPr>
        <w:t>Resolución Técnica</w:t>
      </w:r>
      <w:r w:rsidR="00BE15A2" w:rsidRPr="00AC4AEA">
        <w:rPr>
          <w:rFonts w:ascii="Arial" w:hAnsi="Arial" w:cs="Arial"/>
          <w:sz w:val="20"/>
          <w:szCs w:val="20"/>
        </w:rPr>
        <w:t xml:space="preserve"> establece requerimientos </w:t>
      </w:r>
      <w:r w:rsidRPr="00AC4AEA">
        <w:rPr>
          <w:rFonts w:ascii="Arial" w:hAnsi="Arial" w:cs="Arial"/>
          <w:sz w:val="20"/>
          <w:szCs w:val="20"/>
        </w:rPr>
        <w:t>sobre reconocimiento, baja en cuenta</w:t>
      </w:r>
      <w:r w:rsidR="000451DC" w:rsidRPr="00AC4AEA">
        <w:rPr>
          <w:rFonts w:ascii="Arial" w:hAnsi="Arial" w:cs="Arial"/>
          <w:sz w:val="20"/>
          <w:szCs w:val="20"/>
        </w:rPr>
        <w:t>s</w:t>
      </w:r>
      <w:r w:rsidRPr="00AC4AEA">
        <w:rPr>
          <w:rFonts w:ascii="Arial" w:hAnsi="Arial" w:cs="Arial"/>
          <w:sz w:val="20"/>
          <w:szCs w:val="20"/>
        </w:rPr>
        <w:t>, medición</w:t>
      </w:r>
      <w:r w:rsidR="007232F2" w:rsidRPr="00AC4AEA">
        <w:rPr>
          <w:rFonts w:ascii="Arial" w:hAnsi="Arial" w:cs="Arial"/>
          <w:sz w:val="20"/>
          <w:szCs w:val="20"/>
        </w:rPr>
        <w:t>,</w:t>
      </w:r>
      <w:r w:rsidR="00BE15A2" w:rsidRPr="00AC4AEA">
        <w:rPr>
          <w:rFonts w:ascii="Arial" w:hAnsi="Arial" w:cs="Arial"/>
          <w:sz w:val="20"/>
          <w:szCs w:val="20"/>
        </w:rPr>
        <w:t xml:space="preserve"> presentación </w:t>
      </w:r>
      <w:r w:rsidR="007232F2" w:rsidRPr="00AC4AEA">
        <w:rPr>
          <w:rFonts w:ascii="Arial" w:hAnsi="Arial" w:cs="Arial"/>
          <w:sz w:val="20"/>
          <w:szCs w:val="20"/>
        </w:rPr>
        <w:t xml:space="preserve">y revelación </w:t>
      </w:r>
      <w:r w:rsidR="00BE15A2" w:rsidRPr="00AC4AEA">
        <w:rPr>
          <w:rFonts w:ascii="Arial" w:hAnsi="Arial" w:cs="Arial"/>
          <w:sz w:val="20"/>
          <w:szCs w:val="20"/>
        </w:rPr>
        <w:t xml:space="preserve">de los </w:t>
      </w:r>
      <w:r w:rsidRPr="00AC4AEA">
        <w:rPr>
          <w:rFonts w:ascii="Arial" w:hAnsi="Arial" w:cs="Arial"/>
          <w:sz w:val="20"/>
          <w:szCs w:val="20"/>
        </w:rPr>
        <w:t>elementos</w:t>
      </w:r>
      <w:r w:rsidR="00091E09" w:rsidRPr="00AC4AEA">
        <w:rPr>
          <w:rFonts w:ascii="Arial" w:hAnsi="Arial" w:cs="Arial"/>
          <w:sz w:val="20"/>
          <w:szCs w:val="20"/>
        </w:rPr>
        <w:t xml:space="preserve"> sobre los que una entidad informa </w:t>
      </w:r>
      <w:r w:rsidR="000D2926" w:rsidRPr="00AC4AEA">
        <w:rPr>
          <w:rFonts w:ascii="Arial" w:hAnsi="Arial" w:cs="Arial"/>
          <w:sz w:val="20"/>
          <w:szCs w:val="20"/>
        </w:rPr>
        <w:t>mediante</w:t>
      </w:r>
      <w:r w:rsidR="00091E09" w:rsidRPr="00AC4AEA">
        <w:rPr>
          <w:rFonts w:ascii="Arial" w:hAnsi="Arial" w:cs="Arial"/>
          <w:sz w:val="20"/>
          <w:szCs w:val="20"/>
        </w:rPr>
        <w:t xml:space="preserve"> sus </w:t>
      </w:r>
      <w:r w:rsidR="00135084" w:rsidRPr="00AC4AEA">
        <w:rPr>
          <w:rFonts w:ascii="Arial" w:hAnsi="Arial" w:cs="Arial"/>
          <w:b/>
          <w:bCs/>
          <w:sz w:val="20"/>
          <w:szCs w:val="20"/>
        </w:rPr>
        <w:t>estados contables</w:t>
      </w:r>
      <w:r w:rsidR="00BE15A2" w:rsidRPr="00AC4AEA">
        <w:rPr>
          <w:rFonts w:ascii="Arial" w:hAnsi="Arial" w:cs="Arial"/>
          <w:sz w:val="20"/>
          <w:szCs w:val="20"/>
        </w:rPr>
        <w:t>.</w:t>
      </w:r>
    </w:p>
    <w:p w:rsidR="00E42DDE" w:rsidRPr="00AC4AEA" w:rsidRDefault="00390852" w:rsidP="00A318EA">
      <w:pPr>
        <w:pStyle w:val="Ttulo2"/>
        <w:rPr>
          <w:rFonts w:cs="Arial"/>
        </w:rPr>
      </w:pPr>
      <w:bookmarkStart w:id="8" w:name="_Toc101863700"/>
      <w:bookmarkStart w:id="9" w:name="_Toc139356564"/>
      <w:r w:rsidRPr="00AC4AEA">
        <w:rPr>
          <w:rFonts w:cs="Arial"/>
        </w:rPr>
        <w:t>Alcance</w:t>
      </w:r>
      <w:bookmarkEnd w:id="8"/>
      <w:bookmarkEnd w:id="9"/>
    </w:p>
    <w:p w:rsidR="00F77873" w:rsidRDefault="00E42DDE" w:rsidP="00A318EA">
      <w:pPr>
        <w:pStyle w:val="Prrafodelista"/>
        <w:numPr>
          <w:ilvl w:val="0"/>
          <w:numId w:val="29"/>
        </w:numPr>
        <w:contextualSpacing w:val="0"/>
        <w:jc w:val="both"/>
        <w:rPr>
          <w:rFonts w:ascii="Arial" w:hAnsi="Arial" w:cs="Arial"/>
          <w:sz w:val="20"/>
          <w:szCs w:val="20"/>
        </w:rPr>
      </w:pPr>
      <w:r w:rsidRPr="00F77873">
        <w:rPr>
          <w:rFonts w:ascii="Arial" w:hAnsi="Arial" w:cs="Arial"/>
          <w:sz w:val="20"/>
          <w:szCs w:val="20"/>
        </w:rPr>
        <w:t xml:space="preserve">Una entidad aplicará esta </w:t>
      </w:r>
      <w:r w:rsidR="001530FD" w:rsidRPr="00F77873">
        <w:rPr>
          <w:rFonts w:ascii="Arial" w:hAnsi="Arial" w:cs="Arial"/>
          <w:sz w:val="20"/>
          <w:szCs w:val="20"/>
        </w:rPr>
        <w:t>R</w:t>
      </w:r>
      <w:r w:rsidRPr="00F77873">
        <w:rPr>
          <w:rFonts w:ascii="Arial" w:hAnsi="Arial" w:cs="Arial"/>
          <w:sz w:val="20"/>
          <w:szCs w:val="20"/>
        </w:rPr>
        <w:t xml:space="preserve">esolución </w:t>
      </w:r>
      <w:r w:rsidR="001530FD" w:rsidRPr="00F77873">
        <w:rPr>
          <w:rFonts w:ascii="Arial" w:hAnsi="Arial" w:cs="Arial"/>
          <w:sz w:val="20"/>
          <w:szCs w:val="20"/>
        </w:rPr>
        <w:t>T</w:t>
      </w:r>
      <w:r w:rsidRPr="00F77873">
        <w:rPr>
          <w:rFonts w:ascii="Arial" w:hAnsi="Arial" w:cs="Arial"/>
          <w:sz w:val="20"/>
          <w:szCs w:val="20"/>
        </w:rPr>
        <w:t xml:space="preserve">écnica si no </w:t>
      </w:r>
      <w:r w:rsidR="00550A33" w:rsidRPr="00F77873">
        <w:rPr>
          <w:rFonts w:ascii="Arial" w:hAnsi="Arial" w:cs="Arial"/>
          <w:sz w:val="20"/>
          <w:szCs w:val="20"/>
        </w:rPr>
        <w:t>aplica</w:t>
      </w:r>
      <w:r w:rsidRPr="00F77873">
        <w:rPr>
          <w:rFonts w:ascii="Arial" w:hAnsi="Arial" w:cs="Arial"/>
          <w:sz w:val="20"/>
          <w:szCs w:val="20"/>
        </w:rPr>
        <w:t xml:space="preserve"> la Resolución Técnica Nº 26 [“Adopción de las Normas Internacionales de Información </w:t>
      </w:r>
      <w:r w:rsidR="00EC1893" w:rsidRPr="00F77873">
        <w:rPr>
          <w:rFonts w:ascii="Arial" w:hAnsi="Arial" w:cs="Arial"/>
          <w:sz w:val="20"/>
          <w:szCs w:val="20"/>
        </w:rPr>
        <w:t>Financiera</w:t>
      </w:r>
      <w:r w:rsidRPr="00F77873">
        <w:rPr>
          <w:rFonts w:ascii="Arial" w:hAnsi="Arial" w:cs="Arial"/>
          <w:sz w:val="20"/>
          <w:szCs w:val="20"/>
        </w:rPr>
        <w:t xml:space="preserve"> (NIIF) del Consejo de Normas Interna</w:t>
      </w:r>
      <w:bookmarkStart w:id="10" w:name="_Ref104827229"/>
      <w:bookmarkStart w:id="11" w:name="_Ref75518403"/>
      <w:r w:rsidR="00F77873">
        <w:rPr>
          <w:rFonts w:ascii="Arial" w:hAnsi="Arial" w:cs="Arial"/>
          <w:sz w:val="20"/>
          <w:szCs w:val="20"/>
        </w:rPr>
        <w:t>cionales de Contabilidad (IASB)</w:t>
      </w:r>
      <w:r w:rsidR="00791F5B">
        <w:rPr>
          <w:rFonts w:ascii="Arial" w:hAnsi="Arial" w:cs="Arial"/>
          <w:sz w:val="20"/>
          <w:szCs w:val="20"/>
        </w:rPr>
        <w:t>”</w:t>
      </w:r>
      <w:r w:rsidR="00F77873">
        <w:rPr>
          <w:rFonts w:ascii="Arial" w:hAnsi="Arial" w:cs="Arial"/>
          <w:sz w:val="20"/>
          <w:szCs w:val="20"/>
        </w:rPr>
        <w:t>].</w:t>
      </w:r>
    </w:p>
    <w:p w:rsidR="00977BC1" w:rsidRPr="00F77873" w:rsidRDefault="00977BC1" w:rsidP="00A318EA">
      <w:pPr>
        <w:pStyle w:val="Prrafodelista"/>
        <w:numPr>
          <w:ilvl w:val="0"/>
          <w:numId w:val="29"/>
        </w:numPr>
        <w:contextualSpacing w:val="0"/>
        <w:jc w:val="both"/>
        <w:rPr>
          <w:rFonts w:ascii="Arial" w:hAnsi="Arial" w:cs="Arial"/>
          <w:sz w:val="20"/>
          <w:szCs w:val="20"/>
        </w:rPr>
      </w:pPr>
      <w:r w:rsidRPr="00F77873">
        <w:rPr>
          <w:rFonts w:ascii="Arial" w:hAnsi="Arial" w:cs="Arial"/>
          <w:sz w:val="20"/>
          <w:szCs w:val="20"/>
        </w:rPr>
        <w:t xml:space="preserve">Una entidad que cumpla con las disposiciones de esta Resolución Técnica efectuará una declaración en notas, de forma clara y explícita, de dicho cumplimiento, </w:t>
      </w:r>
      <w:r w:rsidR="00352F57" w:rsidRPr="00F77873">
        <w:rPr>
          <w:rFonts w:ascii="Arial" w:hAnsi="Arial" w:cs="Arial"/>
          <w:sz w:val="20"/>
          <w:szCs w:val="20"/>
        </w:rPr>
        <w:t>destacando</w:t>
      </w:r>
      <w:r w:rsidRPr="00F77873">
        <w:rPr>
          <w:rFonts w:ascii="Arial" w:hAnsi="Arial" w:cs="Arial"/>
          <w:sz w:val="20"/>
          <w:szCs w:val="20"/>
        </w:rPr>
        <w:t xml:space="preserve"> su categoría de acuerdo con la clasificación del párrafo siguiente.</w:t>
      </w:r>
      <w:bookmarkEnd w:id="10"/>
    </w:p>
    <w:p w:rsidR="00E42DDE" w:rsidRPr="00AC4AEA" w:rsidRDefault="00E42DDE" w:rsidP="00A318EA">
      <w:pPr>
        <w:pStyle w:val="Prrafodelista"/>
        <w:numPr>
          <w:ilvl w:val="0"/>
          <w:numId w:val="29"/>
        </w:numPr>
        <w:contextualSpacing w:val="0"/>
        <w:jc w:val="both"/>
        <w:rPr>
          <w:rFonts w:ascii="Arial" w:hAnsi="Arial" w:cs="Arial"/>
          <w:sz w:val="20"/>
          <w:szCs w:val="20"/>
        </w:rPr>
      </w:pPr>
      <w:bookmarkStart w:id="12" w:name="_Ref132041192"/>
      <w:r w:rsidRPr="00AC4AEA">
        <w:rPr>
          <w:rFonts w:ascii="Arial" w:hAnsi="Arial" w:cs="Arial"/>
          <w:sz w:val="20"/>
          <w:szCs w:val="20"/>
        </w:rPr>
        <w:t xml:space="preserve">Esta </w:t>
      </w:r>
      <w:r w:rsidR="00A8173B" w:rsidRPr="00AC4AEA">
        <w:rPr>
          <w:rFonts w:ascii="Arial" w:hAnsi="Arial" w:cs="Arial"/>
          <w:sz w:val="20"/>
          <w:szCs w:val="20"/>
        </w:rPr>
        <w:t>R</w:t>
      </w:r>
      <w:r w:rsidRPr="00AC4AEA">
        <w:rPr>
          <w:rFonts w:ascii="Arial" w:hAnsi="Arial" w:cs="Arial"/>
          <w:sz w:val="20"/>
          <w:szCs w:val="20"/>
        </w:rPr>
        <w:t xml:space="preserve">esolución </w:t>
      </w:r>
      <w:r w:rsidR="00A8173B" w:rsidRPr="00AC4AEA">
        <w:rPr>
          <w:rFonts w:ascii="Arial" w:hAnsi="Arial" w:cs="Arial"/>
          <w:sz w:val="20"/>
          <w:szCs w:val="20"/>
        </w:rPr>
        <w:t>T</w:t>
      </w:r>
      <w:r w:rsidRPr="00AC4AEA">
        <w:rPr>
          <w:rFonts w:ascii="Arial" w:hAnsi="Arial" w:cs="Arial"/>
          <w:sz w:val="20"/>
          <w:szCs w:val="20"/>
        </w:rPr>
        <w:t xml:space="preserve">écnica </w:t>
      </w:r>
      <w:r w:rsidR="008645B5" w:rsidRPr="00AC4AEA">
        <w:rPr>
          <w:rFonts w:ascii="Arial" w:hAnsi="Arial" w:cs="Arial"/>
          <w:sz w:val="20"/>
          <w:szCs w:val="20"/>
        </w:rPr>
        <w:t>prescribe normas para:</w:t>
      </w:r>
      <w:bookmarkEnd w:id="11"/>
      <w:bookmarkEnd w:id="12"/>
    </w:p>
    <w:p w:rsidR="008645B5" w:rsidRPr="00AC4AEA" w:rsidRDefault="006B7268" w:rsidP="00A318EA">
      <w:pPr>
        <w:pStyle w:val="Prrafodelista"/>
        <w:numPr>
          <w:ilvl w:val="0"/>
          <w:numId w:val="30"/>
        </w:numPr>
        <w:ind w:left="1560" w:hanging="567"/>
        <w:contextualSpacing w:val="0"/>
        <w:jc w:val="both"/>
        <w:rPr>
          <w:rFonts w:ascii="Arial" w:hAnsi="Arial" w:cs="Arial"/>
          <w:sz w:val="20"/>
          <w:szCs w:val="20"/>
        </w:rPr>
      </w:pPr>
      <w:r w:rsidRPr="00AC4AEA">
        <w:rPr>
          <w:rFonts w:ascii="Arial" w:hAnsi="Arial" w:cs="Arial"/>
          <w:sz w:val="20"/>
          <w:szCs w:val="20"/>
        </w:rPr>
        <w:t xml:space="preserve">entidades </w:t>
      </w:r>
      <w:r w:rsidR="008645B5" w:rsidRPr="00AC4AEA">
        <w:rPr>
          <w:rFonts w:ascii="Arial" w:hAnsi="Arial" w:cs="Arial"/>
          <w:sz w:val="20"/>
          <w:szCs w:val="20"/>
        </w:rPr>
        <w:t>pequeñas;</w:t>
      </w:r>
    </w:p>
    <w:p w:rsidR="00E42DDE" w:rsidRPr="00AC4AEA" w:rsidRDefault="006B7268" w:rsidP="00A318EA">
      <w:pPr>
        <w:pStyle w:val="Prrafodelista"/>
        <w:numPr>
          <w:ilvl w:val="0"/>
          <w:numId w:val="30"/>
        </w:numPr>
        <w:ind w:left="1560" w:hanging="567"/>
        <w:contextualSpacing w:val="0"/>
        <w:jc w:val="both"/>
        <w:rPr>
          <w:rFonts w:ascii="Arial" w:hAnsi="Arial" w:cs="Arial"/>
          <w:sz w:val="20"/>
          <w:szCs w:val="20"/>
        </w:rPr>
      </w:pPr>
      <w:r w:rsidRPr="00AC4AEA">
        <w:rPr>
          <w:rFonts w:ascii="Arial" w:hAnsi="Arial" w:cs="Arial"/>
          <w:sz w:val="20"/>
          <w:szCs w:val="20"/>
        </w:rPr>
        <w:t xml:space="preserve">entidades </w:t>
      </w:r>
      <w:r w:rsidR="00E42DDE" w:rsidRPr="00AC4AEA">
        <w:rPr>
          <w:rFonts w:ascii="Arial" w:hAnsi="Arial" w:cs="Arial"/>
          <w:sz w:val="20"/>
          <w:szCs w:val="20"/>
        </w:rPr>
        <w:t>medianas</w:t>
      </w:r>
      <w:r w:rsidR="00E51DA1" w:rsidRPr="00AC4AEA">
        <w:rPr>
          <w:rFonts w:ascii="Arial" w:hAnsi="Arial" w:cs="Arial"/>
          <w:sz w:val="20"/>
          <w:szCs w:val="20"/>
        </w:rPr>
        <w:t>;</w:t>
      </w:r>
      <w:r w:rsidR="00E42DDE" w:rsidRPr="00AC4AEA">
        <w:rPr>
          <w:rFonts w:ascii="Arial" w:hAnsi="Arial" w:cs="Arial"/>
          <w:sz w:val="20"/>
          <w:szCs w:val="20"/>
        </w:rPr>
        <w:t xml:space="preserve"> y</w:t>
      </w:r>
    </w:p>
    <w:p w:rsidR="00E42DDE" w:rsidRPr="00AC4AEA" w:rsidRDefault="006B7268" w:rsidP="00A318EA">
      <w:pPr>
        <w:pStyle w:val="Prrafodelista"/>
        <w:numPr>
          <w:ilvl w:val="0"/>
          <w:numId w:val="30"/>
        </w:numPr>
        <w:ind w:left="1560" w:hanging="567"/>
        <w:contextualSpacing w:val="0"/>
        <w:jc w:val="both"/>
        <w:rPr>
          <w:rFonts w:ascii="Arial" w:hAnsi="Arial" w:cs="Arial"/>
          <w:sz w:val="20"/>
          <w:szCs w:val="20"/>
        </w:rPr>
      </w:pPr>
      <w:r w:rsidRPr="00AC4AEA">
        <w:rPr>
          <w:rFonts w:ascii="Arial" w:hAnsi="Arial" w:cs="Arial"/>
          <w:sz w:val="20"/>
          <w:szCs w:val="20"/>
        </w:rPr>
        <w:t>l</w:t>
      </w:r>
      <w:r w:rsidR="007B7F7F" w:rsidRPr="00AC4AEA">
        <w:rPr>
          <w:rFonts w:ascii="Arial" w:hAnsi="Arial" w:cs="Arial"/>
          <w:sz w:val="20"/>
          <w:szCs w:val="20"/>
        </w:rPr>
        <w:t>as restantes entidades</w:t>
      </w:r>
      <w:r w:rsidR="00E42DDE" w:rsidRPr="00AC4AEA">
        <w:rPr>
          <w:rFonts w:ascii="Arial" w:hAnsi="Arial" w:cs="Arial"/>
          <w:sz w:val="20"/>
          <w:szCs w:val="20"/>
        </w:rPr>
        <w:t>.</w:t>
      </w:r>
    </w:p>
    <w:p w:rsidR="008645B5" w:rsidRPr="00AC4AEA" w:rsidRDefault="000451DC" w:rsidP="00A318EA">
      <w:pPr>
        <w:pStyle w:val="Prrafodelista"/>
        <w:numPr>
          <w:ilvl w:val="0"/>
          <w:numId w:val="29"/>
        </w:numPr>
        <w:contextualSpacing w:val="0"/>
        <w:jc w:val="both"/>
        <w:rPr>
          <w:rFonts w:ascii="Arial" w:hAnsi="Arial" w:cs="Arial"/>
          <w:sz w:val="20"/>
          <w:szCs w:val="20"/>
        </w:rPr>
      </w:pPr>
      <w:bookmarkStart w:id="13" w:name="_Ref74652078"/>
      <w:r w:rsidRPr="00AC4AEA">
        <w:rPr>
          <w:rFonts w:ascii="Arial" w:hAnsi="Arial" w:cs="Arial"/>
          <w:sz w:val="20"/>
          <w:szCs w:val="20"/>
        </w:rPr>
        <w:t xml:space="preserve">A los fines </w:t>
      </w:r>
      <w:r w:rsidR="00A13E85" w:rsidRPr="00AC4AEA">
        <w:rPr>
          <w:rFonts w:ascii="Arial" w:hAnsi="Arial" w:cs="Arial"/>
          <w:sz w:val="20"/>
          <w:szCs w:val="20"/>
        </w:rPr>
        <w:t xml:space="preserve">de </w:t>
      </w:r>
      <w:r w:rsidR="007232F2" w:rsidRPr="00AC4AEA">
        <w:rPr>
          <w:rFonts w:ascii="Arial" w:hAnsi="Arial" w:cs="Arial"/>
          <w:sz w:val="20"/>
          <w:szCs w:val="20"/>
        </w:rPr>
        <w:t>esta</w:t>
      </w:r>
      <w:r w:rsidR="00A13E85" w:rsidRPr="00AC4AEA">
        <w:rPr>
          <w:rFonts w:ascii="Arial" w:hAnsi="Arial" w:cs="Arial"/>
          <w:sz w:val="20"/>
          <w:szCs w:val="20"/>
        </w:rPr>
        <w:t xml:space="preserve"> Resolución Técnica</w:t>
      </w:r>
      <w:r w:rsidR="00964805" w:rsidRPr="00AC4AEA">
        <w:rPr>
          <w:rFonts w:ascii="Arial" w:hAnsi="Arial" w:cs="Arial"/>
          <w:sz w:val="20"/>
          <w:szCs w:val="20"/>
        </w:rPr>
        <w:t xml:space="preserve"> </w:t>
      </w:r>
      <w:r w:rsidR="00643E01" w:rsidRPr="00AC4AEA">
        <w:rPr>
          <w:rFonts w:ascii="Arial" w:hAnsi="Arial" w:cs="Arial"/>
          <w:sz w:val="20"/>
          <w:szCs w:val="20"/>
        </w:rPr>
        <w:t>u</w:t>
      </w:r>
      <w:r w:rsidR="00964805" w:rsidRPr="00AC4AEA">
        <w:rPr>
          <w:rFonts w:ascii="Arial" w:hAnsi="Arial" w:cs="Arial"/>
          <w:sz w:val="20"/>
          <w:szCs w:val="20"/>
        </w:rPr>
        <w:t xml:space="preserve"> </w:t>
      </w:r>
      <w:r w:rsidR="00964805" w:rsidRPr="00AC4AEA">
        <w:rPr>
          <w:rFonts w:ascii="Arial" w:hAnsi="Arial" w:cs="Arial"/>
          <w:b/>
          <w:bCs/>
          <w:sz w:val="20"/>
          <w:szCs w:val="20"/>
        </w:rPr>
        <w:t>otras normas contables</w:t>
      </w:r>
      <w:r w:rsidR="00A13E85" w:rsidRPr="00AC4AEA">
        <w:rPr>
          <w:rFonts w:ascii="Arial" w:hAnsi="Arial" w:cs="Arial"/>
          <w:sz w:val="20"/>
          <w:szCs w:val="20"/>
        </w:rPr>
        <w:t xml:space="preserve">, una </w:t>
      </w:r>
      <w:r w:rsidR="008645B5" w:rsidRPr="00AC4AEA">
        <w:rPr>
          <w:rFonts w:ascii="Arial" w:hAnsi="Arial" w:cs="Arial"/>
          <w:sz w:val="20"/>
          <w:szCs w:val="20"/>
        </w:rPr>
        <w:t>entidad es pequeña si:</w:t>
      </w:r>
      <w:bookmarkEnd w:id="13"/>
    </w:p>
    <w:p w:rsidR="00517B91" w:rsidRPr="00AC4AEA" w:rsidRDefault="00297541" w:rsidP="00A318EA">
      <w:pPr>
        <w:pStyle w:val="Prrafodelista"/>
        <w:numPr>
          <w:ilvl w:val="0"/>
          <w:numId w:val="31"/>
        </w:numPr>
        <w:ind w:left="1560" w:hanging="567"/>
        <w:contextualSpacing w:val="0"/>
        <w:jc w:val="both"/>
        <w:rPr>
          <w:rFonts w:ascii="Arial" w:hAnsi="Arial" w:cs="Arial"/>
          <w:sz w:val="20"/>
          <w:szCs w:val="20"/>
        </w:rPr>
      </w:pPr>
      <w:r w:rsidRPr="00AC4AEA">
        <w:rPr>
          <w:rFonts w:ascii="Arial" w:hAnsi="Arial" w:cs="Arial"/>
          <w:sz w:val="20"/>
          <w:szCs w:val="20"/>
        </w:rPr>
        <w:t>e</w:t>
      </w:r>
      <w:r w:rsidR="00517B91" w:rsidRPr="00AC4AEA">
        <w:rPr>
          <w:rFonts w:ascii="Arial" w:hAnsi="Arial" w:cs="Arial"/>
          <w:sz w:val="20"/>
          <w:szCs w:val="20"/>
        </w:rPr>
        <w:t>n el ejercicio actual:</w:t>
      </w:r>
    </w:p>
    <w:p w:rsidR="00517B91" w:rsidRPr="00AC4AEA" w:rsidRDefault="00517B91"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no está alcanzada por la Ley de Entidades Financieras y no realiza operaciones de capitalización o ahorro ni requiere recursos del público con promesa de prestaciones o beneficios futuros; </w:t>
      </w:r>
    </w:p>
    <w:p w:rsidR="00517B91" w:rsidRPr="00AC4AEA" w:rsidRDefault="00517B91"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lastRenderedPageBreak/>
        <w:t xml:space="preserve">no es una entidad aseguradora bajo el control de la Superintendencia de Seguros de la Nación; </w:t>
      </w:r>
    </w:p>
    <w:p w:rsidR="00517B91" w:rsidRPr="00AC4AEA" w:rsidRDefault="00517B91"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no es una sociedad anónima con participación estatal mayoritaria o de economía mixta</w:t>
      </w:r>
      <w:r w:rsidR="00297541" w:rsidRPr="00AC4AEA">
        <w:rPr>
          <w:rFonts w:ascii="Arial" w:hAnsi="Arial" w:cs="Arial"/>
          <w:sz w:val="20"/>
          <w:szCs w:val="20"/>
        </w:rPr>
        <w:t xml:space="preserve">; </w:t>
      </w:r>
    </w:p>
    <w:p w:rsidR="00154A8B" w:rsidRPr="00AC4AEA" w:rsidRDefault="00154A8B" w:rsidP="00A318EA">
      <w:pPr>
        <w:pStyle w:val="Prrafodelista"/>
        <w:numPr>
          <w:ilvl w:val="1"/>
          <w:numId w:val="29"/>
        </w:numPr>
        <w:tabs>
          <w:tab w:val="left" w:pos="1418"/>
        </w:tabs>
        <w:ind w:left="1418" w:hanging="425"/>
        <w:contextualSpacing w:val="0"/>
        <w:jc w:val="both"/>
        <w:rPr>
          <w:rFonts w:ascii="Arial" w:hAnsi="Arial" w:cs="Arial"/>
          <w:sz w:val="20"/>
          <w:szCs w:val="20"/>
        </w:rPr>
      </w:pPr>
      <w:bookmarkStart w:id="14" w:name="_Ref74652108"/>
      <w:r w:rsidRPr="00AC4AEA">
        <w:rPr>
          <w:rFonts w:ascii="Arial" w:hAnsi="Arial" w:cs="Arial"/>
          <w:sz w:val="20"/>
          <w:szCs w:val="20"/>
        </w:rPr>
        <w:t xml:space="preserve">en el ejercicio inmediato anterior obtuvo ingresos iguales o inferiores </w:t>
      </w:r>
      <w:r w:rsidR="00F77873">
        <w:rPr>
          <w:rFonts w:ascii="Arial" w:hAnsi="Arial" w:cs="Arial"/>
          <w:sz w:val="20"/>
          <w:szCs w:val="20"/>
        </w:rPr>
        <w:t xml:space="preserve"> a pesos seiscientos cincuenta millones ($ 650.000.000) </w:t>
      </w:r>
      <w:r w:rsidR="00F77873" w:rsidRPr="00F77873">
        <w:rPr>
          <w:rFonts w:ascii="Arial" w:hAnsi="Arial" w:cs="Arial"/>
          <w:sz w:val="18"/>
          <w:szCs w:val="18"/>
        </w:rPr>
        <w:t>– importe expresado en poder adquisitivo del mes de octubre de 2022-;</w:t>
      </w:r>
      <w:r w:rsidRPr="00AC4AEA">
        <w:rPr>
          <w:rFonts w:ascii="Arial" w:hAnsi="Arial" w:cs="Arial"/>
          <w:sz w:val="20"/>
          <w:szCs w:val="20"/>
        </w:rPr>
        <w:t xml:space="preserve"> y </w:t>
      </w:r>
    </w:p>
    <w:p w:rsidR="00154A8B" w:rsidRPr="00AC4AEA" w:rsidRDefault="00154A8B" w:rsidP="00A318EA">
      <w:pPr>
        <w:pStyle w:val="Prrafodelista"/>
        <w:numPr>
          <w:ilvl w:val="1"/>
          <w:numId w:val="29"/>
        </w:numPr>
        <w:ind w:left="1418" w:hanging="425"/>
        <w:contextualSpacing w:val="0"/>
        <w:jc w:val="both"/>
        <w:rPr>
          <w:rFonts w:ascii="Arial" w:hAnsi="Arial" w:cs="Arial"/>
          <w:sz w:val="20"/>
          <w:szCs w:val="20"/>
        </w:rPr>
      </w:pPr>
      <w:r w:rsidRPr="00AC4AEA">
        <w:rPr>
          <w:rFonts w:ascii="Arial" w:hAnsi="Arial" w:cs="Arial"/>
          <w:sz w:val="20"/>
          <w:szCs w:val="20"/>
        </w:rPr>
        <w:t xml:space="preserve">no se trata de una entidad: </w:t>
      </w:r>
    </w:p>
    <w:p w:rsidR="00154A8B" w:rsidRPr="00AC4AEA" w:rsidRDefault="00154A8B" w:rsidP="00C01B25">
      <w:pPr>
        <w:pStyle w:val="Prrafodelista"/>
        <w:numPr>
          <w:ilvl w:val="0"/>
          <w:numId w:val="455"/>
        </w:numPr>
        <w:ind w:left="1985"/>
        <w:contextualSpacing w:val="0"/>
        <w:jc w:val="both"/>
        <w:rPr>
          <w:rFonts w:ascii="Arial" w:hAnsi="Arial" w:cs="Arial"/>
          <w:sz w:val="20"/>
          <w:szCs w:val="20"/>
        </w:rPr>
      </w:pPr>
      <w:r w:rsidRPr="00AC4AEA">
        <w:rPr>
          <w:rFonts w:ascii="Arial" w:hAnsi="Arial" w:cs="Arial"/>
          <w:sz w:val="20"/>
          <w:szCs w:val="20"/>
        </w:rPr>
        <w:t xml:space="preserve">controladora de otra entidad excluida por los incisos anteriores </w:t>
      </w:r>
      <w:r w:rsidR="009B2C26" w:rsidRPr="00AC4AEA">
        <w:rPr>
          <w:rFonts w:ascii="Arial" w:hAnsi="Arial" w:cs="Arial"/>
          <w:sz w:val="20"/>
          <w:szCs w:val="20"/>
        </w:rPr>
        <w:t xml:space="preserve">del </w:t>
      </w:r>
      <w:r w:rsidRPr="00AC4AEA">
        <w:rPr>
          <w:rFonts w:ascii="Arial" w:hAnsi="Arial" w:cs="Arial"/>
          <w:sz w:val="20"/>
          <w:szCs w:val="20"/>
        </w:rPr>
        <w:t>presente párrafo.</w:t>
      </w:r>
    </w:p>
    <w:p w:rsidR="00154A8B" w:rsidRPr="00AC4AEA" w:rsidRDefault="00154A8B" w:rsidP="00C01B25">
      <w:pPr>
        <w:pStyle w:val="Prrafodelista"/>
        <w:numPr>
          <w:ilvl w:val="0"/>
          <w:numId w:val="455"/>
        </w:numPr>
        <w:ind w:left="1985"/>
        <w:contextualSpacing w:val="0"/>
        <w:jc w:val="both"/>
        <w:rPr>
          <w:rFonts w:ascii="Arial" w:hAnsi="Arial" w:cs="Arial"/>
          <w:sz w:val="20"/>
          <w:szCs w:val="20"/>
        </w:rPr>
      </w:pPr>
      <w:r w:rsidRPr="00AC4AEA">
        <w:rPr>
          <w:rFonts w:ascii="Arial" w:hAnsi="Arial" w:cs="Arial"/>
          <w:sz w:val="20"/>
          <w:szCs w:val="20"/>
        </w:rPr>
        <w:t>controlada por otra entidad excluida por los incisos anteriores</w:t>
      </w:r>
      <w:r w:rsidR="009B2C26" w:rsidRPr="00AC4AEA">
        <w:rPr>
          <w:rFonts w:ascii="Arial" w:hAnsi="Arial" w:cs="Arial"/>
          <w:sz w:val="20"/>
          <w:szCs w:val="20"/>
        </w:rPr>
        <w:t xml:space="preserve"> del</w:t>
      </w:r>
      <w:r w:rsidRPr="00AC4AEA">
        <w:rPr>
          <w:rFonts w:ascii="Arial" w:hAnsi="Arial" w:cs="Arial"/>
          <w:sz w:val="20"/>
          <w:szCs w:val="20"/>
        </w:rPr>
        <w:t xml:space="preserve"> presente párrafo.</w:t>
      </w:r>
    </w:p>
    <w:p w:rsidR="00F13DB2" w:rsidRPr="00AC4AEA" w:rsidRDefault="000451DC" w:rsidP="00A318EA">
      <w:pPr>
        <w:pStyle w:val="Prrafodelista"/>
        <w:numPr>
          <w:ilvl w:val="0"/>
          <w:numId w:val="29"/>
        </w:numPr>
        <w:contextualSpacing w:val="0"/>
        <w:jc w:val="both"/>
        <w:rPr>
          <w:rFonts w:ascii="Arial" w:hAnsi="Arial" w:cs="Arial"/>
          <w:sz w:val="20"/>
          <w:szCs w:val="20"/>
        </w:rPr>
      </w:pPr>
      <w:bookmarkStart w:id="15" w:name="_Ref107941907"/>
      <w:r w:rsidRPr="00AC4AEA">
        <w:rPr>
          <w:rFonts w:ascii="Arial" w:hAnsi="Arial" w:cs="Arial"/>
          <w:sz w:val="20"/>
          <w:szCs w:val="20"/>
        </w:rPr>
        <w:t xml:space="preserve">A los fines </w:t>
      </w:r>
      <w:r w:rsidR="00A13E85" w:rsidRPr="00AC4AEA">
        <w:rPr>
          <w:rFonts w:ascii="Arial" w:hAnsi="Arial" w:cs="Arial"/>
          <w:sz w:val="20"/>
          <w:szCs w:val="20"/>
        </w:rPr>
        <w:t xml:space="preserve">de </w:t>
      </w:r>
      <w:r w:rsidR="007232F2" w:rsidRPr="00AC4AEA">
        <w:rPr>
          <w:rFonts w:ascii="Arial" w:hAnsi="Arial" w:cs="Arial"/>
          <w:sz w:val="20"/>
          <w:szCs w:val="20"/>
        </w:rPr>
        <w:t>esta</w:t>
      </w:r>
      <w:r w:rsidR="00A13E85" w:rsidRPr="00AC4AEA">
        <w:rPr>
          <w:rFonts w:ascii="Arial" w:hAnsi="Arial" w:cs="Arial"/>
          <w:sz w:val="20"/>
          <w:szCs w:val="20"/>
        </w:rPr>
        <w:t xml:space="preserve"> Resolución Técnica</w:t>
      </w:r>
      <w:r w:rsidR="009B2B4A" w:rsidRPr="00AC4AEA">
        <w:rPr>
          <w:rFonts w:ascii="Arial" w:hAnsi="Arial" w:cs="Arial"/>
          <w:sz w:val="20"/>
          <w:szCs w:val="20"/>
        </w:rPr>
        <w:t xml:space="preserve"> u </w:t>
      </w:r>
      <w:r w:rsidR="009B2B4A" w:rsidRPr="00AC4AEA">
        <w:rPr>
          <w:rFonts w:ascii="Arial" w:hAnsi="Arial" w:cs="Arial"/>
          <w:b/>
          <w:bCs/>
          <w:sz w:val="20"/>
          <w:szCs w:val="20"/>
        </w:rPr>
        <w:t>otras normas contables</w:t>
      </w:r>
      <w:r w:rsidR="00A13E85" w:rsidRPr="00AC4AEA">
        <w:rPr>
          <w:rFonts w:ascii="Arial" w:hAnsi="Arial" w:cs="Arial"/>
          <w:sz w:val="20"/>
          <w:szCs w:val="20"/>
        </w:rPr>
        <w:t xml:space="preserve">, una </w:t>
      </w:r>
      <w:r w:rsidR="008645B5" w:rsidRPr="00AC4AEA">
        <w:rPr>
          <w:rFonts w:ascii="Arial" w:hAnsi="Arial" w:cs="Arial"/>
          <w:sz w:val="20"/>
          <w:szCs w:val="20"/>
        </w:rPr>
        <w:t>entidad es mediana si</w:t>
      </w:r>
      <w:r w:rsidR="00F13DB2" w:rsidRPr="00AC4AEA">
        <w:rPr>
          <w:rFonts w:ascii="Arial" w:hAnsi="Arial" w:cs="Arial"/>
          <w:sz w:val="20"/>
          <w:szCs w:val="20"/>
        </w:rPr>
        <w:t>:</w:t>
      </w:r>
      <w:bookmarkEnd w:id="14"/>
      <w:bookmarkEnd w:id="15"/>
    </w:p>
    <w:p w:rsidR="00AB1B15" w:rsidRPr="00AC4AEA" w:rsidRDefault="00AB1B1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en el ejercicio actual:</w:t>
      </w:r>
    </w:p>
    <w:p w:rsidR="00AB1B15" w:rsidRPr="00AC4AEA" w:rsidRDefault="00AB1B15" w:rsidP="00A318EA">
      <w:pPr>
        <w:pStyle w:val="Prrafodelista"/>
        <w:numPr>
          <w:ilvl w:val="0"/>
          <w:numId w:val="439"/>
        </w:numPr>
        <w:ind w:left="1985" w:hanging="425"/>
        <w:contextualSpacing w:val="0"/>
        <w:jc w:val="both"/>
        <w:rPr>
          <w:rFonts w:ascii="Arial" w:hAnsi="Arial" w:cs="Arial"/>
          <w:sz w:val="20"/>
          <w:szCs w:val="20"/>
        </w:rPr>
      </w:pPr>
      <w:r w:rsidRPr="00AC4AEA">
        <w:rPr>
          <w:rFonts w:ascii="Arial" w:hAnsi="Arial" w:cs="Arial"/>
          <w:sz w:val="20"/>
          <w:szCs w:val="20"/>
        </w:rPr>
        <w:t xml:space="preserve">no está alcanzada por la Ley de Entidades Financieras y no realiza operaciones de capitalización o ahorro ni requiere recursos del público con promesa de prestaciones o beneficios futuros; </w:t>
      </w:r>
    </w:p>
    <w:p w:rsidR="00AB1B15" w:rsidRPr="00AC4AEA" w:rsidRDefault="00AB1B15" w:rsidP="00A318EA">
      <w:pPr>
        <w:pStyle w:val="Prrafodelista"/>
        <w:numPr>
          <w:ilvl w:val="0"/>
          <w:numId w:val="439"/>
        </w:numPr>
        <w:ind w:left="1985" w:hanging="425"/>
        <w:contextualSpacing w:val="0"/>
        <w:jc w:val="both"/>
        <w:rPr>
          <w:rFonts w:ascii="Arial" w:hAnsi="Arial" w:cs="Arial"/>
          <w:sz w:val="20"/>
          <w:szCs w:val="20"/>
        </w:rPr>
      </w:pPr>
      <w:r w:rsidRPr="00AC4AEA">
        <w:rPr>
          <w:rFonts w:ascii="Arial" w:hAnsi="Arial" w:cs="Arial"/>
          <w:sz w:val="20"/>
          <w:szCs w:val="20"/>
        </w:rPr>
        <w:t xml:space="preserve">no es una entidad aseguradora bajo el control de la Superintendencia de Seguros de la Nación; </w:t>
      </w:r>
    </w:p>
    <w:p w:rsidR="00AB1B15" w:rsidRPr="00AC4AEA" w:rsidRDefault="00AB1B15" w:rsidP="00A318EA">
      <w:pPr>
        <w:pStyle w:val="Prrafodelista"/>
        <w:numPr>
          <w:ilvl w:val="0"/>
          <w:numId w:val="439"/>
        </w:numPr>
        <w:ind w:left="1985" w:hanging="425"/>
        <w:contextualSpacing w:val="0"/>
        <w:jc w:val="both"/>
        <w:rPr>
          <w:rFonts w:ascii="Arial" w:hAnsi="Arial" w:cs="Arial"/>
          <w:sz w:val="20"/>
          <w:szCs w:val="20"/>
        </w:rPr>
      </w:pPr>
      <w:r w:rsidRPr="00AC4AEA">
        <w:rPr>
          <w:rFonts w:ascii="Arial" w:hAnsi="Arial" w:cs="Arial"/>
          <w:sz w:val="20"/>
          <w:szCs w:val="20"/>
        </w:rPr>
        <w:t xml:space="preserve">no es una sociedad anónima con participación estatal mayoritaria o de economía mixta; </w:t>
      </w:r>
    </w:p>
    <w:p w:rsidR="009366BB" w:rsidRPr="00AC4AEA" w:rsidRDefault="00AB1B15" w:rsidP="00515BC7">
      <w:pPr>
        <w:pStyle w:val="Prrafodelista"/>
        <w:numPr>
          <w:ilvl w:val="0"/>
          <w:numId w:val="458"/>
        </w:numPr>
        <w:spacing w:after="120" w:line="252" w:lineRule="auto"/>
        <w:ind w:firstLine="273"/>
        <w:contextualSpacing w:val="0"/>
        <w:jc w:val="both"/>
        <w:rPr>
          <w:rFonts w:ascii="Arial" w:hAnsi="Arial" w:cs="Arial"/>
          <w:sz w:val="20"/>
          <w:szCs w:val="20"/>
        </w:rPr>
      </w:pPr>
      <w:r w:rsidRPr="00AC4AEA">
        <w:rPr>
          <w:rFonts w:ascii="Arial" w:hAnsi="Arial" w:cs="Arial"/>
          <w:sz w:val="20"/>
          <w:szCs w:val="20"/>
        </w:rPr>
        <w:t>en el ejercicio inmediato anterior obtuvo ingresos</w:t>
      </w:r>
      <w:r w:rsidR="009366BB" w:rsidRPr="00AC4AEA">
        <w:rPr>
          <w:rFonts w:ascii="Arial" w:hAnsi="Arial" w:cs="Arial"/>
          <w:sz w:val="20"/>
          <w:szCs w:val="20"/>
        </w:rPr>
        <w:t>:</w:t>
      </w:r>
      <w:r w:rsidR="004010DF" w:rsidRPr="00AC4AEA">
        <w:rPr>
          <w:rFonts w:ascii="Arial" w:hAnsi="Arial" w:cs="Arial"/>
          <w:sz w:val="20"/>
          <w:szCs w:val="20"/>
        </w:rPr>
        <w:t xml:space="preserve"> </w:t>
      </w:r>
    </w:p>
    <w:p w:rsidR="009366BB" w:rsidRPr="00AC4AEA" w:rsidRDefault="009366BB" w:rsidP="00515BC7">
      <w:pPr>
        <w:pStyle w:val="Prrafodelista"/>
        <w:numPr>
          <w:ilvl w:val="0"/>
          <w:numId w:val="457"/>
        </w:numPr>
        <w:spacing w:after="120" w:line="252" w:lineRule="auto"/>
        <w:ind w:left="1985" w:hanging="142"/>
        <w:contextualSpacing w:val="0"/>
        <w:jc w:val="both"/>
        <w:rPr>
          <w:rFonts w:ascii="Arial" w:hAnsi="Arial" w:cs="Arial"/>
          <w:sz w:val="20"/>
          <w:szCs w:val="20"/>
        </w:rPr>
      </w:pPr>
      <w:r w:rsidRPr="00AC4AEA">
        <w:rPr>
          <w:rFonts w:ascii="Arial" w:hAnsi="Arial" w:cs="Arial"/>
          <w:sz w:val="20"/>
          <w:szCs w:val="20"/>
        </w:rPr>
        <w:t xml:space="preserve">superiores </w:t>
      </w:r>
      <w:r w:rsidR="00F77873">
        <w:rPr>
          <w:rFonts w:ascii="Arial" w:hAnsi="Arial" w:cs="Arial"/>
          <w:sz w:val="20"/>
          <w:szCs w:val="20"/>
        </w:rPr>
        <w:t xml:space="preserve">a pesos seiscientos cincuenta millones ($ 650.000.000) </w:t>
      </w:r>
      <w:r w:rsidR="00F77873" w:rsidRPr="00F77873">
        <w:rPr>
          <w:rFonts w:ascii="Arial" w:hAnsi="Arial" w:cs="Arial"/>
          <w:sz w:val="18"/>
          <w:szCs w:val="18"/>
        </w:rPr>
        <w:t>– importe expresado en poder adquisitivo del mes de octubre de 2022-</w:t>
      </w:r>
      <w:r w:rsidRPr="00AC4AEA">
        <w:rPr>
          <w:rFonts w:ascii="Arial" w:hAnsi="Arial" w:cs="Arial"/>
          <w:sz w:val="20"/>
          <w:szCs w:val="20"/>
        </w:rPr>
        <w:t>, de acuerdo con el inciso b) del párrafo inmediato anterior; y</w:t>
      </w:r>
    </w:p>
    <w:p w:rsidR="009366BB" w:rsidRPr="00AC4AEA" w:rsidRDefault="009366BB" w:rsidP="00515BC7">
      <w:pPr>
        <w:pStyle w:val="Prrafodelista"/>
        <w:numPr>
          <w:ilvl w:val="0"/>
          <w:numId w:val="457"/>
        </w:numPr>
        <w:spacing w:after="120" w:line="252" w:lineRule="auto"/>
        <w:ind w:left="1985" w:hanging="142"/>
        <w:contextualSpacing w:val="0"/>
        <w:jc w:val="both"/>
        <w:rPr>
          <w:rFonts w:ascii="Arial" w:hAnsi="Arial" w:cs="Arial"/>
          <w:sz w:val="20"/>
          <w:szCs w:val="20"/>
        </w:rPr>
      </w:pPr>
      <w:r w:rsidRPr="00AC4AEA">
        <w:rPr>
          <w:rFonts w:ascii="Arial" w:hAnsi="Arial" w:cs="Arial"/>
          <w:sz w:val="20"/>
          <w:szCs w:val="20"/>
        </w:rPr>
        <w:t xml:space="preserve">menores o iguales a </w:t>
      </w:r>
      <w:r w:rsidR="00F77873">
        <w:rPr>
          <w:rFonts w:ascii="Arial" w:hAnsi="Arial" w:cs="Arial"/>
          <w:sz w:val="20"/>
          <w:szCs w:val="20"/>
        </w:rPr>
        <w:t xml:space="preserve">pesos tres mil doscientos cincuenta millones          ($ 3.250.000.000) </w:t>
      </w:r>
      <w:r w:rsidR="00F77873" w:rsidRPr="00F77873">
        <w:rPr>
          <w:rFonts w:ascii="Arial" w:hAnsi="Arial" w:cs="Arial"/>
          <w:sz w:val="18"/>
          <w:szCs w:val="18"/>
        </w:rPr>
        <w:t>– importe expresado en poder adquisitivo del mes de octubre de 2022-</w:t>
      </w:r>
      <w:r w:rsidRPr="00AC4AEA">
        <w:rPr>
          <w:rFonts w:ascii="Arial" w:hAnsi="Arial" w:cs="Arial"/>
          <w:sz w:val="20"/>
          <w:szCs w:val="20"/>
        </w:rPr>
        <w:t>; y</w:t>
      </w:r>
    </w:p>
    <w:p w:rsidR="00AB1B15" w:rsidRPr="00AC4AEA" w:rsidRDefault="004010DF" w:rsidP="00515BC7">
      <w:pPr>
        <w:pStyle w:val="Prrafodelista"/>
        <w:numPr>
          <w:ilvl w:val="0"/>
          <w:numId w:val="459"/>
        </w:numPr>
        <w:spacing w:after="120"/>
        <w:ind w:hanging="141"/>
        <w:contextualSpacing w:val="0"/>
        <w:jc w:val="both"/>
        <w:rPr>
          <w:rFonts w:ascii="Arial" w:hAnsi="Arial" w:cs="Arial"/>
          <w:sz w:val="20"/>
          <w:szCs w:val="20"/>
        </w:rPr>
      </w:pPr>
      <w:r w:rsidRPr="00AC4AEA">
        <w:rPr>
          <w:rFonts w:ascii="Arial" w:hAnsi="Arial" w:cs="Arial"/>
          <w:sz w:val="20"/>
          <w:szCs w:val="20"/>
        </w:rPr>
        <w:t xml:space="preserve">no se trata de una entidad: </w:t>
      </w:r>
    </w:p>
    <w:p w:rsidR="00154A8B" w:rsidRPr="00AC4AEA" w:rsidRDefault="00154A8B" w:rsidP="00515BC7">
      <w:pPr>
        <w:pStyle w:val="Prrafodelista"/>
        <w:numPr>
          <w:ilvl w:val="0"/>
          <w:numId w:val="461"/>
        </w:numPr>
        <w:spacing w:after="120"/>
        <w:ind w:left="1985"/>
        <w:contextualSpacing w:val="0"/>
        <w:jc w:val="both"/>
        <w:rPr>
          <w:rFonts w:ascii="Arial" w:hAnsi="Arial" w:cs="Arial"/>
          <w:sz w:val="20"/>
          <w:szCs w:val="20"/>
        </w:rPr>
      </w:pPr>
      <w:r w:rsidRPr="00AC4AEA">
        <w:rPr>
          <w:rFonts w:ascii="Arial" w:hAnsi="Arial" w:cs="Arial"/>
          <w:sz w:val="20"/>
          <w:szCs w:val="20"/>
        </w:rPr>
        <w:t xml:space="preserve">controladora de otra entidad excluida por los incisos anteriores </w:t>
      </w:r>
      <w:r w:rsidR="009B2C26" w:rsidRPr="00AC4AEA">
        <w:rPr>
          <w:rFonts w:ascii="Arial" w:hAnsi="Arial" w:cs="Arial"/>
          <w:sz w:val="20"/>
          <w:szCs w:val="20"/>
        </w:rPr>
        <w:t xml:space="preserve">del </w:t>
      </w:r>
      <w:r w:rsidRPr="00AC4AEA">
        <w:rPr>
          <w:rFonts w:ascii="Arial" w:hAnsi="Arial" w:cs="Arial"/>
          <w:sz w:val="20"/>
          <w:szCs w:val="20"/>
        </w:rPr>
        <w:t>presente párrafo.</w:t>
      </w:r>
    </w:p>
    <w:p w:rsidR="00AB1B15" w:rsidRPr="00AC4AEA" w:rsidRDefault="00154A8B" w:rsidP="00515BC7">
      <w:pPr>
        <w:pStyle w:val="Prrafodelista"/>
        <w:numPr>
          <w:ilvl w:val="0"/>
          <w:numId w:val="461"/>
        </w:numPr>
        <w:spacing w:after="120"/>
        <w:ind w:left="1985"/>
        <w:contextualSpacing w:val="0"/>
        <w:jc w:val="both"/>
        <w:rPr>
          <w:rFonts w:ascii="Arial" w:hAnsi="Arial" w:cs="Arial"/>
          <w:sz w:val="20"/>
          <w:szCs w:val="20"/>
        </w:rPr>
      </w:pPr>
      <w:r w:rsidRPr="00AC4AEA">
        <w:rPr>
          <w:rFonts w:ascii="Arial" w:hAnsi="Arial" w:cs="Arial"/>
          <w:sz w:val="20"/>
          <w:szCs w:val="20"/>
        </w:rPr>
        <w:t xml:space="preserve">controlada por otra entidad excluida por los incisos anteriores </w:t>
      </w:r>
      <w:r w:rsidR="009B2C26" w:rsidRPr="00AC4AEA">
        <w:rPr>
          <w:rFonts w:ascii="Arial" w:hAnsi="Arial" w:cs="Arial"/>
          <w:sz w:val="20"/>
          <w:szCs w:val="20"/>
        </w:rPr>
        <w:t xml:space="preserve">del </w:t>
      </w:r>
      <w:r w:rsidRPr="00AC4AEA">
        <w:rPr>
          <w:rFonts w:ascii="Arial" w:hAnsi="Arial" w:cs="Arial"/>
          <w:sz w:val="20"/>
          <w:szCs w:val="20"/>
        </w:rPr>
        <w:t>presente párrafo</w:t>
      </w:r>
      <w:r w:rsidR="00AB1B15" w:rsidRPr="00AC4AEA">
        <w:rPr>
          <w:rFonts w:ascii="Arial" w:hAnsi="Arial" w:cs="Arial"/>
          <w:sz w:val="20"/>
          <w:szCs w:val="20"/>
        </w:rPr>
        <w:t>.</w:t>
      </w:r>
    </w:p>
    <w:p w:rsidR="00C97B5A" w:rsidRPr="00AC4AEA" w:rsidRDefault="00EC189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Los importes establecidos </w:t>
      </w:r>
      <w:r w:rsidR="0018264C" w:rsidRPr="00AC4AEA">
        <w:rPr>
          <w:rFonts w:ascii="Arial" w:hAnsi="Arial" w:cs="Arial"/>
          <w:sz w:val="20"/>
          <w:szCs w:val="20"/>
        </w:rPr>
        <w:t xml:space="preserve">de acuerdo con </w:t>
      </w:r>
      <w:r w:rsidR="00A31EF6" w:rsidRPr="00AC4AEA">
        <w:rPr>
          <w:rFonts w:ascii="Arial" w:hAnsi="Arial" w:cs="Arial"/>
          <w:sz w:val="20"/>
          <w:szCs w:val="20"/>
        </w:rPr>
        <w:t xml:space="preserve">los párrafos </w:t>
      </w:r>
      <w:fldSimple w:instr=" REF _Ref74652078 \r \h  \* MERGEFORMAT ">
        <w:r w:rsidR="00D33A5D" w:rsidRPr="00D33A5D">
          <w:rPr>
            <w:rFonts w:ascii="Arial" w:hAnsi="Arial" w:cs="Arial"/>
            <w:sz w:val="20"/>
            <w:szCs w:val="20"/>
          </w:rPr>
          <w:t>6</w:t>
        </w:r>
      </w:fldSimple>
      <w:r w:rsidR="00A31EF6" w:rsidRPr="00AC4AEA">
        <w:rPr>
          <w:rFonts w:ascii="Arial" w:hAnsi="Arial" w:cs="Arial"/>
          <w:sz w:val="20"/>
          <w:szCs w:val="20"/>
        </w:rPr>
        <w:t xml:space="preserve"> o </w:t>
      </w:r>
      <w:fldSimple w:instr=" REF _Ref107941907 \r \h  \* MERGEFORMAT ">
        <w:r w:rsidR="00D33A5D" w:rsidRPr="00D33A5D">
          <w:rPr>
            <w:rFonts w:ascii="Arial" w:hAnsi="Arial" w:cs="Arial"/>
            <w:sz w:val="20"/>
            <w:szCs w:val="20"/>
          </w:rPr>
          <w:t>7</w:t>
        </w:r>
      </w:fldSimple>
      <w:r w:rsidRPr="00AC4AEA">
        <w:rPr>
          <w:rFonts w:ascii="Arial" w:hAnsi="Arial" w:cs="Arial"/>
          <w:sz w:val="20"/>
          <w:szCs w:val="20"/>
        </w:rPr>
        <w:t xml:space="preserve"> </w:t>
      </w:r>
      <w:r w:rsidR="002C65D0" w:rsidRPr="00AC4AEA">
        <w:rPr>
          <w:rFonts w:ascii="Arial" w:hAnsi="Arial" w:cs="Arial"/>
          <w:sz w:val="20"/>
          <w:szCs w:val="20"/>
        </w:rPr>
        <w:t>están expresados</w:t>
      </w:r>
      <w:r w:rsidR="003F1084" w:rsidRPr="00AC4AEA">
        <w:rPr>
          <w:rFonts w:ascii="Arial" w:hAnsi="Arial" w:cs="Arial"/>
          <w:sz w:val="20"/>
          <w:szCs w:val="20"/>
        </w:rPr>
        <w:t xml:space="preserve"> en poder adquisitivo de </w:t>
      </w:r>
      <w:r w:rsidR="0018264C" w:rsidRPr="00AC4AEA">
        <w:rPr>
          <w:rFonts w:ascii="Arial" w:hAnsi="Arial" w:cs="Arial"/>
          <w:sz w:val="20"/>
          <w:szCs w:val="20"/>
        </w:rPr>
        <w:t>un determinado mes</w:t>
      </w:r>
      <w:r w:rsidR="00C97B5A" w:rsidRPr="00AC4AEA">
        <w:rPr>
          <w:rFonts w:ascii="Arial" w:hAnsi="Arial" w:cs="Arial"/>
          <w:sz w:val="20"/>
          <w:szCs w:val="20"/>
        </w:rPr>
        <w:t xml:space="preserve">. </w:t>
      </w:r>
      <w:r w:rsidR="00A5632E" w:rsidRPr="00AC4AEA">
        <w:rPr>
          <w:rFonts w:ascii="Arial" w:hAnsi="Arial" w:cs="Arial"/>
          <w:sz w:val="20"/>
          <w:szCs w:val="20"/>
        </w:rPr>
        <w:t>Para su aplicación</w:t>
      </w:r>
      <w:r w:rsidR="00C97B5A" w:rsidRPr="00AC4AEA">
        <w:rPr>
          <w:rFonts w:ascii="Arial" w:hAnsi="Arial" w:cs="Arial"/>
          <w:sz w:val="20"/>
          <w:szCs w:val="20"/>
        </w:rPr>
        <w:t>, la entidad:</w:t>
      </w:r>
    </w:p>
    <w:p w:rsidR="008645B5" w:rsidRPr="00AC4AEA" w:rsidRDefault="00A5632E" w:rsidP="00A318EA">
      <w:pPr>
        <w:pStyle w:val="Prrafodelista"/>
        <w:numPr>
          <w:ilvl w:val="1"/>
          <w:numId w:val="29"/>
        </w:numPr>
        <w:ind w:left="1418" w:hanging="425"/>
        <w:contextualSpacing w:val="0"/>
        <w:jc w:val="both"/>
        <w:rPr>
          <w:rFonts w:ascii="Arial" w:hAnsi="Arial" w:cs="Arial"/>
          <w:sz w:val="20"/>
          <w:szCs w:val="20"/>
        </w:rPr>
      </w:pPr>
      <w:r w:rsidRPr="00AC4AEA">
        <w:rPr>
          <w:rFonts w:ascii="Arial" w:hAnsi="Arial" w:cs="Arial"/>
          <w:sz w:val="20"/>
          <w:szCs w:val="20"/>
        </w:rPr>
        <w:t>A</w:t>
      </w:r>
      <w:r w:rsidR="007232F2" w:rsidRPr="00AC4AEA">
        <w:rPr>
          <w:rFonts w:ascii="Arial" w:hAnsi="Arial" w:cs="Arial"/>
          <w:sz w:val="20"/>
          <w:szCs w:val="20"/>
        </w:rPr>
        <w:t>ctualizará</w:t>
      </w:r>
      <w:r w:rsidR="00EC1893" w:rsidRPr="00AC4AEA">
        <w:rPr>
          <w:rFonts w:ascii="Arial" w:hAnsi="Arial" w:cs="Arial"/>
          <w:sz w:val="20"/>
          <w:szCs w:val="20"/>
        </w:rPr>
        <w:t xml:space="preserve"> </w:t>
      </w:r>
      <w:r w:rsidR="00C97B5A" w:rsidRPr="00AC4AEA">
        <w:rPr>
          <w:rFonts w:ascii="Arial" w:hAnsi="Arial" w:cs="Arial"/>
          <w:sz w:val="20"/>
          <w:szCs w:val="20"/>
        </w:rPr>
        <w:t xml:space="preserve">dicho importe multiplicándolo por un coeficiente que refleje la variación del </w:t>
      </w:r>
      <w:r w:rsidR="00ED3EAA" w:rsidRPr="00AC4AEA">
        <w:rPr>
          <w:rFonts w:ascii="Arial" w:hAnsi="Arial" w:cs="Arial"/>
          <w:b/>
          <w:bCs/>
          <w:sz w:val="20"/>
          <w:szCs w:val="20"/>
        </w:rPr>
        <w:t>índice de precios FACPCE</w:t>
      </w:r>
      <w:r w:rsidR="007F1527" w:rsidRPr="00AC4AEA">
        <w:rPr>
          <w:rFonts w:ascii="Arial" w:hAnsi="Arial" w:cs="Arial"/>
          <w:sz w:val="20"/>
          <w:szCs w:val="20"/>
        </w:rPr>
        <w:t>, hasta la fecha</w:t>
      </w:r>
      <w:r w:rsidR="00550A33" w:rsidRPr="00AC4AEA">
        <w:rPr>
          <w:rFonts w:ascii="Arial" w:hAnsi="Arial" w:cs="Arial"/>
          <w:sz w:val="20"/>
          <w:szCs w:val="20"/>
        </w:rPr>
        <w:t xml:space="preserve"> de</w:t>
      </w:r>
      <w:r w:rsidR="007F1527" w:rsidRPr="00AC4AEA">
        <w:rPr>
          <w:rFonts w:ascii="Arial" w:hAnsi="Arial" w:cs="Arial"/>
          <w:sz w:val="20"/>
          <w:szCs w:val="20"/>
        </w:rPr>
        <w:t xml:space="preserve"> cierre del ejercicio inmediato anterior a la </w:t>
      </w:r>
      <w:r w:rsidR="007F1527"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b/>
          <w:bCs/>
          <w:sz w:val="20"/>
          <w:szCs w:val="20"/>
        </w:rPr>
        <w:t>.</w:t>
      </w:r>
    </w:p>
    <w:p w:rsidR="00C97B5A" w:rsidRPr="00AC4AEA" w:rsidRDefault="00A5632E" w:rsidP="00A318EA">
      <w:pPr>
        <w:pStyle w:val="Prrafodelista"/>
        <w:numPr>
          <w:ilvl w:val="1"/>
          <w:numId w:val="29"/>
        </w:numPr>
        <w:ind w:left="1418" w:hanging="425"/>
        <w:contextualSpacing w:val="0"/>
        <w:jc w:val="both"/>
        <w:rPr>
          <w:rFonts w:ascii="Arial" w:hAnsi="Arial" w:cs="Arial"/>
          <w:sz w:val="20"/>
          <w:szCs w:val="20"/>
        </w:rPr>
      </w:pPr>
      <w:r w:rsidRPr="00AC4AEA">
        <w:rPr>
          <w:rFonts w:ascii="Arial" w:hAnsi="Arial" w:cs="Arial"/>
          <w:sz w:val="20"/>
          <w:szCs w:val="20"/>
        </w:rPr>
        <w:lastRenderedPageBreak/>
        <w:t>En el caso de que el ejercicio inmediato anterior hubiera tenido duración irregular, a</w:t>
      </w:r>
      <w:r w:rsidR="00C97B5A" w:rsidRPr="00AC4AEA">
        <w:rPr>
          <w:rFonts w:ascii="Arial" w:hAnsi="Arial" w:cs="Arial"/>
          <w:sz w:val="20"/>
          <w:szCs w:val="20"/>
        </w:rPr>
        <w:t>nualizará las cifras correspondientes.</w:t>
      </w:r>
    </w:p>
    <w:p w:rsidR="00977BC1" w:rsidRPr="00AC4AEA" w:rsidRDefault="0091338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informará en nota</w:t>
      </w:r>
      <w:r w:rsidR="007F1527" w:rsidRPr="00AC4AEA">
        <w:rPr>
          <w:rFonts w:ascii="Arial" w:hAnsi="Arial" w:cs="Arial"/>
          <w:sz w:val="20"/>
          <w:szCs w:val="20"/>
        </w:rPr>
        <w:t>s</w:t>
      </w:r>
      <w:r w:rsidRPr="00AC4AEA">
        <w:rPr>
          <w:rFonts w:ascii="Arial" w:hAnsi="Arial" w:cs="Arial"/>
          <w:sz w:val="20"/>
          <w:szCs w:val="20"/>
        </w:rPr>
        <w:t xml:space="preserve"> </w:t>
      </w:r>
      <w:r w:rsidR="000451DC" w:rsidRPr="00AC4AEA">
        <w:rPr>
          <w:rFonts w:ascii="Arial" w:hAnsi="Arial" w:cs="Arial"/>
          <w:sz w:val="20"/>
          <w:szCs w:val="20"/>
        </w:rPr>
        <w:t>si</w:t>
      </w:r>
      <w:r w:rsidR="00977BC1" w:rsidRPr="00AC4AEA">
        <w:rPr>
          <w:rFonts w:ascii="Arial" w:hAnsi="Arial" w:cs="Arial"/>
          <w:sz w:val="20"/>
          <w:szCs w:val="20"/>
        </w:rPr>
        <w:t>:</w:t>
      </w:r>
      <w:r w:rsidR="0033786B" w:rsidRPr="00AC4AEA">
        <w:rPr>
          <w:rFonts w:ascii="Arial" w:hAnsi="Arial" w:cs="Arial"/>
          <w:sz w:val="20"/>
          <w:szCs w:val="20"/>
        </w:rPr>
        <w:t xml:space="preserve"> </w:t>
      </w:r>
    </w:p>
    <w:p w:rsidR="00977BC1" w:rsidRPr="00AC4AEA" w:rsidRDefault="00BC685D"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En </w:t>
      </w:r>
      <w:r w:rsidR="00977BC1" w:rsidRPr="00AC4AEA">
        <w:rPr>
          <w:rFonts w:ascii="Arial" w:hAnsi="Arial" w:cs="Arial"/>
          <w:sz w:val="20"/>
          <w:szCs w:val="20"/>
        </w:rPr>
        <w:t xml:space="preserve">el presente ejercicio modificó sus </w:t>
      </w:r>
      <w:r w:rsidR="00977BC1" w:rsidRPr="00AC4AEA">
        <w:rPr>
          <w:rFonts w:ascii="Arial" w:hAnsi="Arial" w:cs="Arial"/>
          <w:b/>
          <w:bCs/>
          <w:sz w:val="20"/>
          <w:szCs w:val="20"/>
        </w:rPr>
        <w:t>políticas contables</w:t>
      </w:r>
      <w:r w:rsidR="00B11DE8" w:rsidRPr="00AC4AEA">
        <w:rPr>
          <w:rFonts w:ascii="Arial" w:hAnsi="Arial" w:cs="Arial"/>
          <w:sz w:val="20"/>
          <w:szCs w:val="20"/>
        </w:rPr>
        <w:t>, o si comenzó o cesó</w:t>
      </w:r>
      <w:r w:rsidR="00CE5161" w:rsidRPr="00AC4AEA">
        <w:rPr>
          <w:rFonts w:ascii="Arial" w:hAnsi="Arial" w:cs="Arial"/>
          <w:sz w:val="20"/>
          <w:szCs w:val="20"/>
        </w:rPr>
        <w:t xml:space="preserve"> la aplicación de algún tratamiento permitido,</w:t>
      </w:r>
      <w:r w:rsidR="00977BC1" w:rsidRPr="00AC4AEA">
        <w:rPr>
          <w:rFonts w:ascii="Arial" w:hAnsi="Arial" w:cs="Arial"/>
          <w:sz w:val="20"/>
          <w:szCs w:val="20"/>
        </w:rPr>
        <w:t xml:space="preserve"> como consecuencia de un cambio de categoría </w:t>
      </w:r>
      <w:r w:rsidR="00623F7D" w:rsidRPr="00AC4AEA">
        <w:rPr>
          <w:rFonts w:ascii="Arial" w:hAnsi="Arial" w:cs="Arial"/>
          <w:sz w:val="20"/>
          <w:szCs w:val="20"/>
        </w:rPr>
        <w:t>por la aplicación de</w:t>
      </w:r>
      <w:r w:rsidR="00EA3974" w:rsidRPr="00AC4AEA">
        <w:rPr>
          <w:rFonts w:ascii="Arial" w:hAnsi="Arial" w:cs="Arial"/>
          <w:sz w:val="20"/>
          <w:szCs w:val="20"/>
        </w:rPr>
        <w:t>l</w:t>
      </w:r>
      <w:r w:rsidR="000F0B2A" w:rsidRPr="00AC4AEA">
        <w:rPr>
          <w:rFonts w:ascii="Arial" w:hAnsi="Arial" w:cs="Arial"/>
          <w:sz w:val="20"/>
          <w:szCs w:val="20"/>
        </w:rPr>
        <w:t xml:space="preserve"> </w:t>
      </w:r>
      <w:r w:rsidR="00EA3974" w:rsidRPr="00AC4AEA">
        <w:rPr>
          <w:rFonts w:ascii="Arial" w:hAnsi="Arial" w:cs="Arial"/>
          <w:sz w:val="20"/>
          <w:szCs w:val="20"/>
        </w:rPr>
        <w:t xml:space="preserve">inciso b) del </w:t>
      </w:r>
      <w:r w:rsidR="000F0B2A" w:rsidRPr="00AC4AEA">
        <w:rPr>
          <w:rFonts w:ascii="Arial" w:hAnsi="Arial" w:cs="Arial"/>
          <w:sz w:val="20"/>
          <w:szCs w:val="20"/>
        </w:rPr>
        <w:t xml:space="preserve">párrafo </w:t>
      </w:r>
      <w:fldSimple w:instr=" REF _Ref74652078 \r \h  \* MERGEFORMAT ">
        <w:r w:rsidR="00D33A5D" w:rsidRPr="00D33A5D">
          <w:rPr>
            <w:rFonts w:ascii="Arial" w:hAnsi="Arial" w:cs="Arial"/>
            <w:sz w:val="20"/>
            <w:szCs w:val="20"/>
          </w:rPr>
          <w:t>6</w:t>
        </w:r>
      </w:fldSimple>
      <w:r w:rsidR="00EA3974" w:rsidRPr="00AC4AEA">
        <w:rPr>
          <w:rFonts w:ascii="Arial" w:hAnsi="Arial" w:cs="Arial"/>
          <w:sz w:val="20"/>
          <w:szCs w:val="20"/>
        </w:rPr>
        <w:t xml:space="preserve"> o del inciso b) del párrafo </w:t>
      </w:r>
      <w:fldSimple w:instr=" REF _Ref107941907 \r \h  \* MERGEFORMAT ">
        <w:r w:rsidR="00D33A5D" w:rsidRPr="00D33A5D">
          <w:rPr>
            <w:rFonts w:ascii="Arial" w:hAnsi="Arial" w:cs="Arial"/>
            <w:sz w:val="20"/>
            <w:szCs w:val="20"/>
          </w:rPr>
          <w:t>7</w:t>
        </w:r>
      </w:fldSimple>
      <w:r w:rsidRPr="00AC4AEA">
        <w:rPr>
          <w:rFonts w:ascii="Arial" w:hAnsi="Arial" w:cs="Arial"/>
          <w:sz w:val="20"/>
          <w:szCs w:val="20"/>
        </w:rPr>
        <w:t>.</w:t>
      </w:r>
    </w:p>
    <w:p w:rsidR="0033786B" w:rsidRPr="00AC4AEA" w:rsidRDefault="000F0B2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 partir del ejercicio siguiente</w:t>
      </w:r>
      <w:r w:rsidRPr="00AC4AEA" w:rsidDel="00BC685D">
        <w:rPr>
          <w:rFonts w:ascii="Arial" w:hAnsi="Arial" w:cs="Arial"/>
          <w:sz w:val="20"/>
          <w:szCs w:val="20"/>
        </w:rPr>
        <w:t xml:space="preserve"> </w:t>
      </w:r>
      <w:r w:rsidRPr="00AC4AEA">
        <w:rPr>
          <w:rFonts w:ascii="Arial" w:hAnsi="Arial" w:cs="Arial"/>
          <w:sz w:val="20"/>
          <w:szCs w:val="20"/>
        </w:rPr>
        <w:t>d</w:t>
      </w:r>
      <w:r w:rsidR="00BC685D" w:rsidRPr="00AC4AEA">
        <w:rPr>
          <w:rFonts w:ascii="Arial" w:hAnsi="Arial" w:cs="Arial"/>
          <w:sz w:val="20"/>
          <w:szCs w:val="20"/>
        </w:rPr>
        <w:t xml:space="preserve">eberá </w:t>
      </w:r>
      <w:r w:rsidR="0033786B" w:rsidRPr="00AC4AEA">
        <w:rPr>
          <w:rFonts w:ascii="Arial" w:hAnsi="Arial" w:cs="Arial"/>
          <w:sz w:val="20"/>
          <w:szCs w:val="20"/>
        </w:rPr>
        <w:t xml:space="preserve">modificar su </w:t>
      </w:r>
      <w:r w:rsidR="00F40672" w:rsidRPr="00AC4AEA">
        <w:rPr>
          <w:rFonts w:ascii="Arial" w:hAnsi="Arial" w:cs="Arial"/>
          <w:sz w:val="20"/>
          <w:szCs w:val="20"/>
        </w:rPr>
        <w:t>categoría</w:t>
      </w:r>
      <w:r w:rsidR="0033786B" w:rsidRPr="00AC4AEA">
        <w:rPr>
          <w:rFonts w:ascii="Arial" w:hAnsi="Arial" w:cs="Arial"/>
          <w:sz w:val="20"/>
          <w:szCs w:val="20"/>
        </w:rPr>
        <w:t xml:space="preserve">, según lo dispuesto </w:t>
      </w:r>
      <w:r w:rsidR="00AE2439" w:rsidRPr="00AC4AEA">
        <w:rPr>
          <w:rFonts w:ascii="Arial" w:hAnsi="Arial" w:cs="Arial"/>
          <w:sz w:val="20"/>
          <w:szCs w:val="20"/>
        </w:rPr>
        <w:t xml:space="preserve">los </w:t>
      </w:r>
      <w:r w:rsidR="00DA4C8C" w:rsidRPr="00AC4AEA">
        <w:rPr>
          <w:rFonts w:ascii="Arial" w:hAnsi="Arial" w:cs="Arial"/>
          <w:sz w:val="20"/>
          <w:szCs w:val="20"/>
        </w:rPr>
        <w:t>párrafo</w:t>
      </w:r>
      <w:r w:rsidR="00AE2439" w:rsidRPr="00AC4AEA">
        <w:rPr>
          <w:rFonts w:ascii="Arial" w:hAnsi="Arial" w:cs="Arial"/>
          <w:sz w:val="20"/>
          <w:szCs w:val="20"/>
        </w:rPr>
        <w:t>s</w:t>
      </w:r>
      <w:r w:rsidR="00DA4C8C" w:rsidRPr="00AC4AEA">
        <w:rPr>
          <w:rFonts w:ascii="Arial" w:hAnsi="Arial" w:cs="Arial"/>
          <w:sz w:val="20"/>
          <w:szCs w:val="20"/>
        </w:rPr>
        <w:t xml:space="preserve"> </w:t>
      </w:r>
      <w:fldSimple w:instr=" REF _Ref74652078 \r \h  \* MERGEFORMAT ">
        <w:r w:rsidR="00D33A5D" w:rsidRPr="00D33A5D">
          <w:rPr>
            <w:rFonts w:ascii="Arial" w:hAnsi="Arial" w:cs="Arial"/>
            <w:sz w:val="20"/>
            <w:szCs w:val="20"/>
          </w:rPr>
          <w:t>6</w:t>
        </w:r>
      </w:fldSimple>
      <w:r w:rsidR="00DA4C8C" w:rsidRPr="00AC4AEA">
        <w:rPr>
          <w:rFonts w:ascii="Arial" w:hAnsi="Arial" w:cs="Arial"/>
          <w:sz w:val="20"/>
          <w:szCs w:val="20"/>
        </w:rPr>
        <w:t xml:space="preserve"> o </w:t>
      </w:r>
      <w:fldSimple w:instr=" REF _Ref107941907 \r \h  \* MERGEFORMAT ">
        <w:r w:rsidR="00D33A5D" w:rsidRPr="00D33A5D">
          <w:rPr>
            <w:rFonts w:ascii="Arial" w:hAnsi="Arial" w:cs="Arial"/>
            <w:sz w:val="20"/>
            <w:szCs w:val="20"/>
          </w:rPr>
          <w:t>7</w:t>
        </w:r>
      </w:fldSimple>
      <w:r w:rsidR="0033786B" w:rsidRPr="00AC4AEA">
        <w:rPr>
          <w:rFonts w:ascii="Arial" w:hAnsi="Arial" w:cs="Arial"/>
          <w:sz w:val="20"/>
          <w:szCs w:val="20"/>
        </w:rPr>
        <w:t xml:space="preserve">: </w:t>
      </w:r>
    </w:p>
    <w:p w:rsidR="0033786B" w:rsidRPr="00AC4AEA" w:rsidRDefault="007F1527" w:rsidP="00C01B25">
      <w:pPr>
        <w:pStyle w:val="Prrafodelista"/>
        <w:numPr>
          <w:ilvl w:val="0"/>
          <w:numId w:val="456"/>
        </w:numPr>
        <w:ind w:left="2127"/>
        <w:contextualSpacing w:val="0"/>
        <w:jc w:val="both"/>
        <w:rPr>
          <w:rFonts w:ascii="Arial" w:hAnsi="Arial" w:cs="Arial"/>
          <w:sz w:val="20"/>
          <w:szCs w:val="20"/>
        </w:rPr>
      </w:pPr>
      <w:r w:rsidRPr="00AC4AEA">
        <w:rPr>
          <w:rFonts w:ascii="Arial" w:hAnsi="Arial" w:cs="Arial"/>
          <w:sz w:val="20"/>
          <w:szCs w:val="20"/>
        </w:rPr>
        <w:t>como consecuencia de los ingresos obtenidos en el presente ejercicio</w:t>
      </w:r>
      <w:r w:rsidR="0033786B" w:rsidRPr="00AC4AEA">
        <w:rPr>
          <w:rFonts w:ascii="Arial" w:hAnsi="Arial" w:cs="Arial"/>
          <w:sz w:val="20"/>
          <w:szCs w:val="20"/>
        </w:rPr>
        <w:t>; o</w:t>
      </w:r>
    </w:p>
    <w:p w:rsidR="0062672E" w:rsidRPr="00AC4AEA" w:rsidRDefault="0033786B" w:rsidP="00C01B25">
      <w:pPr>
        <w:pStyle w:val="Prrafodelista"/>
        <w:numPr>
          <w:ilvl w:val="0"/>
          <w:numId w:val="456"/>
        </w:numPr>
        <w:ind w:left="2127"/>
        <w:contextualSpacing w:val="0"/>
        <w:jc w:val="both"/>
        <w:rPr>
          <w:rFonts w:ascii="Arial" w:hAnsi="Arial" w:cs="Arial"/>
          <w:sz w:val="20"/>
          <w:szCs w:val="20"/>
        </w:rPr>
      </w:pPr>
      <w:r w:rsidRPr="00AC4AEA">
        <w:rPr>
          <w:rFonts w:ascii="Arial" w:hAnsi="Arial" w:cs="Arial"/>
          <w:sz w:val="20"/>
          <w:szCs w:val="20"/>
        </w:rPr>
        <w:t xml:space="preserve">debido a hechos ocurridos luego de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b/>
          <w:bCs/>
          <w:sz w:val="20"/>
          <w:szCs w:val="20"/>
        </w:rPr>
        <w:t xml:space="preserve">, </w:t>
      </w:r>
      <w:r w:rsidRPr="00AC4AEA">
        <w:rPr>
          <w:rFonts w:ascii="Arial" w:hAnsi="Arial" w:cs="Arial"/>
          <w:sz w:val="20"/>
          <w:szCs w:val="20"/>
        </w:rPr>
        <w:t xml:space="preserve">de acuerdo con lo establecido en el párrafo </w:t>
      </w:r>
      <w:fldSimple w:instr=" REF _Ref80605627 \r \h  \* MERGEFORMAT ">
        <w:r w:rsidR="00D33A5D" w:rsidRPr="00D33A5D">
          <w:rPr>
            <w:rFonts w:ascii="Arial" w:hAnsi="Arial" w:cs="Arial"/>
            <w:sz w:val="20"/>
            <w:szCs w:val="20"/>
          </w:rPr>
          <w:t>96</w:t>
        </w:r>
      </w:fldSimple>
      <w:r w:rsidRPr="00AC4AEA">
        <w:rPr>
          <w:rFonts w:ascii="Arial" w:hAnsi="Arial" w:cs="Arial"/>
          <w:sz w:val="20"/>
          <w:szCs w:val="20"/>
        </w:rPr>
        <w:t>.</w:t>
      </w:r>
      <w:bookmarkStart w:id="16" w:name="_Toc101863701"/>
      <w:r w:rsidR="0062672E" w:rsidRPr="00AC4AEA">
        <w:rPr>
          <w:rFonts w:ascii="Arial" w:hAnsi="Arial" w:cs="Arial"/>
          <w:sz w:val="20"/>
          <w:szCs w:val="20"/>
        </w:rPr>
        <w:br w:type="page"/>
      </w:r>
    </w:p>
    <w:p w:rsidR="00A130E2" w:rsidRPr="00AC4AEA" w:rsidRDefault="00A130E2" w:rsidP="00A318EA">
      <w:pPr>
        <w:pStyle w:val="Ttulo1"/>
        <w:rPr>
          <w:rFonts w:cs="Arial"/>
          <w:sz w:val="20"/>
          <w:szCs w:val="20"/>
        </w:rPr>
      </w:pPr>
    </w:p>
    <w:p w:rsidR="009E43CF" w:rsidRPr="00AC4AEA" w:rsidRDefault="00623EB6" w:rsidP="00A318EA">
      <w:pPr>
        <w:pStyle w:val="Ttulo1"/>
        <w:rPr>
          <w:rFonts w:cs="Arial"/>
          <w:sz w:val="20"/>
          <w:szCs w:val="20"/>
        </w:rPr>
      </w:pPr>
      <w:bookmarkStart w:id="17" w:name="_Toc139356565"/>
      <w:bookmarkEnd w:id="16"/>
      <w:r w:rsidRPr="00AC4AEA">
        <w:rPr>
          <w:rFonts w:cs="Arial"/>
          <w:sz w:val="20"/>
          <w:szCs w:val="20"/>
        </w:rPr>
        <w:t>RESOLUCIÓN TÉCNICA N°54</w:t>
      </w:r>
      <w:bookmarkEnd w:id="17"/>
    </w:p>
    <w:p w:rsidR="0090400F" w:rsidRPr="00AC4AEA" w:rsidRDefault="00B34D02" w:rsidP="00A318EA">
      <w:pPr>
        <w:pStyle w:val="Ttulo1"/>
        <w:rPr>
          <w:rFonts w:cs="Arial"/>
          <w:sz w:val="20"/>
          <w:szCs w:val="20"/>
        </w:rPr>
      </w:pPr>
      <w:bookmarkStart w:id="18" w:name="_Toc139356566"/>
      <w:r w:rsidRPr="00AC4AEA">
        <w:rPr>
          <w:rFonts w:cs="Arial"/>
          <w:sz w:val="20"/>
          <w:szCs w:val="20"/>
        </w:rPr>
        <w:t>TITULO</w:t>
      </w:r>
      <w:r w:rsidR="00623EB6" w:rsidRPr="00AC4AEA">
        <w:rPr>
          <w:rFonts w:cs="Arial"/>
          <w:sz w:val="20"/>
          <w:szCs w:val="20"/>
        </w:rPr>
        <w:t xml:space="preserve"> I</w:t>
      </w:r>
      <w:bookmarkEnd w:id="18"/>
    </w:p>
    <w:p w:rsidR="0090400F" w:rsidRPr="00AC4AEA" w:rsidRDefault="00D217A3" w:rsidP="00A318EA">
      <w:pPr>
        <w:pStyle w:val="Ttulo1"/>
        <w:rPr>
          <w:rFonts w:cs="Arial"/>
          <w:sz w:val="20"/>
          <w:szCs w:val="20"/>
        </w:rPr>
      </w:pPr>
      <w:bookmarkStart w:id="19" w:name="_Toc101863702"/>
      <w:bookmarkStart w:id="20" w:name="_Toc139356567"/>
      <w:r w:rsidRPr="00AC4AEA">
        <w:rPr>
          <w:rFonts w:cs="Arial"/>
          <w:sz w:val="20"/>
          <w:szCs w:val="20"/>
        </w:rPr>
        <w:t>~</w:t>
      </w:r>
      <w:r w:rsidR="0090400F" w:rsidRPr="00AC4AEA">
        <w:rPr>
          <w:rFonts w:cs="Arial"/>
          <w:sz w:val="20"/>
          <w:szCs w:val="20"/>
        </w:rPr>
        <w:t>NORMAS GENERALES</w:t>
      </w:r>
      <w:bookmarkEnd w:id="19"/>
      <w:r w:rsidRPr="00AC4AEA">
        <w:rPr>
          <w:rFonts w:cs="Arial"/>
          <w:sz w:val="20"/>
          <w:szCs w:val="20"/>
        </w:rPr>
        <w:t>~</w:t>
      </w:r>
      <w:bookmarkEnd w:id="20"/>
    </w:p>
    <w:p w:rsidR="00F41D27" w:rsidRPr="00AC4AEA" w:rsidRDefault="00F41D27" w:rsidP="00A318EA">
      <w:pPr>
        <w:pStyle w:val="Ttulo1"/>
        <w:rPr>
          <w:rFonts w:cs="Arial"/>
          <w:sz w:val="20"/>
          <w:szCs w:val="20"/>
        </w:rPr>
      </w:pPr>
      <w:bookmarkStart w:id="21" w:name="CAPITTULO1"/>
      <w:bookmarkEnd w:id="21"/>
    </w:p>
    <w:p w:rsidR="0090400F" w:rsidRPr="00AC4AEA" w:rsidRDefault="007F66B7" w:rsidP="00A318EA">
      <w:pPr>
        <w:pStyle w:val="Ttulo1"/>
        <w:rPr>
          <w:rFonts w:cs="Arial"/>
          <w:sz w:val="20"/>
          <w:szCs w:val="20"/>
        </w:rPr>
      </w:pPr>
      <w:bookmarkStart w:id="22" w:name="_Toc101863703"/>
      <w:bookmarkStart w:id="23" w:name="_Toc139356568"/>
      <w:r w:rsidRPr="00AC4AEA">
        <w:rPr>
          <w:rFonts w:cs="Arial"/>
          <w:sz w:val="20"/>
          <w:szCs w:val="20"/>
        </w:rPr>
        <w:t>CAPÍTULO 1</w:t>
      </w:r>
      <w:bookmarkEnd w:id="22"/>
      <w:bookmarkEnd w:id="23"/>
    </w:p>
    <w:p w:rsidR="0090400F" w:rsidRPr="00AC4AEA" w:rsidRDefault="007F66B7" w:rsidP="00A318EA">
      <w:pPr>
        <w:pStyle w:val="Ttulo1"/>
        <w:rPr>
          <w:rFonts w:cs="Arial"/>
          <w:sz w:val="20"/>
          <w:szCs w:val="20"/>
        </w:rPr>
      </w:pPr>
      <w:bookmarkStart w:id="24" w:name="_Toc101863704"/>
      <w:bookmarkStart w:id="25" w:name="_Toc139356569"/>
      <w:r w:rsidRPr="00AC4AEA">
        <w:rPr>
          <w:rFonts w:cs="Arial"/>
          <w:sz w:val="20"/>
          <w:szCs w:val="20"/>
        </w:rPr>
        <w:t>CUESTIONES DE APLICACIÓN GENERAL</w:t>
      </w:r>
      <w:bookmarkEnd w:id="24"/>
      <w:bookmarkEnd w:id="25"/>
    </w:p>
    <w:p w:rsidR="00920BBD" w:rsidRPr="00AC4AEA" w:rsidRDefault="00920BBD" w:rsidP="00A318EA">
      <w:pPr>
        <w:pStyle w:val="Ttulo1"/>
        <w:rPr>
          <w:rFonts w:cs="Arial"/>
          <w:sz w:val="20"/>
          <w:szCs w:val="20"/>
        </w:rPr>
      </w:pPr>
      <w:bookmarkStart w:id="26" w:name="_Toc101863705"/>
    </w:p>
    <w:p w:rsidR="00855E9C" w:rsidRPr="00AC4AEA" w:rsidRDefault="00D07838" w:rsidP="00A318EA">
      <w:pPr>
        <w:pStyle w:val="Ttulo1"/>
        <w:rPr>
          <w:rFonts w:cs="Arial"/>
          <w:sz w:val="20"/>
          <w:szCs w:val="20"/>
        </w:rPr>
      </w:pPr>
      <w:bookmarkStart w:id="27" w:name="_Toc139356570"/>
      <w:r w:rsidRPr="00AC4AEA">
        <w:rPr>
          <w:rFonts w:cs="Arial"/>
          <w:sz w:val="20"/>
          <w:szCs w:val="20"/>
        </w:rPr>
        <w:t>INTRODUCCIÓN AL PRESENTE CAPÍTULO</w:t>
      </w:r>
      <w:bookmarkEnd w:id="26"/>
      <w:bookmarkEnd w:id="27"/>
    </w:p>
    <w:p w:rsidR="0024313A" w:rsidRPr="00AC4AEA" w:rsidRDefault="0024313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Los </w:t>
      </w:r>
      <w:r w:rsidR="00135084" w:rsidRPr="00AC4AEA">
        <w:rPr>
          <w:rFonts w:ascii="Arial" w:hAnsi="Arial" w:cs="Arial"/>
          <w:b/>
          <w:bCs/>
          <w:sz w:val="20"/>
          <w:szCs w:val="20"/>
        </w:rPr>
        <w:t>estados contables</w:t>
      </w:r>
      <w:r w:rsidRPr="00AC4AEA">
        <w:rPr>
          <w:rFonts w:ascii="Arial" w:hAnsi="Arial" w:cs="Arial"/>
          <w:sz w:val="20"/>
          <w:szCs w:val="20"/>
        </w:rPr>
        <w:t xml:space="preserve"> constituyen uno de los elementos más importantes para </w:t>
      </w:r>
      <w:r w:rsidR="00E37F1D" w:rsidRPr="00AC4AEA">
        <w:rPr>
          <w:rFonts w:ascii="Arial" w:hAnsi="Arial" w:cs="Arial"/>
          <w:sz w:val="20"/>
          <w:szCs w:val="20"/>
        </w:rPr>
        <w:t>comunicar</w:t>
      </w:r>
      <w:r w:rsidR="004257E2" w:rsidRPr="00AC4AEA">
        <w:rPr>
          <w:rFonts w:ascii="Arial" w:hAnsi="Arial" w:cs="Arial"/>
          <w:sz w:val="20"/>
          <w:szCs w:val="20"/>
        </w:rPr>
        <w:t>,</w:t>
      </w:r>
      <w:r w:rsidR="00E22F54" w:rsidRPr="00AC4AEA">
        <w:rPr>
          <w:rFonts w:ascii="Arial" w:hAnsi="Arial" w:cs="Arial"/>
          <w:sz w:val="20"/>
          <w:szCs w:val="20"/>
        </w:rPr>
        <w:t xml:space="preserve"> </w:t>
      </w:r>
      <w:r w:rsidR="004257E2" w:rsidRPr="00AC4AEA">
        <w:rPr>
          <w:rFonts w:ascii="Arial" w:hAnsi="Arial" w:cs="Arial"/>
          <w:sz w:val="20"/>
          <w:szCs w:val="20"/>
        </w:rPr>
        <w:t>de manera efectiva,</w:t>
      </w:r>
      <w:r w:rsidR="00E37F1D" w:rsidRPr="00AC4AEA">
        <w:rPr>
          <w:rFonts w:ascii="Arial" w:hAnsi="Arial" w:cs="Arial"/>
          <w:sz w:val="20"/>
          <w:szCs w:val="20"/>
        </w:rPr>
        <w:t xml:space="preserve"> </w:t>
      </w:r>
      <w:r w:rsidRPr="00AC4AEA">
        <w:rPr>
          <w:rFonts w:ascii="Arial" w:hAnsi="Arial" w:cs="Arial"/>
          <w:sz w:val="20"/>
          <w:szCs w:val="20"/>
        </w:rPr>
        <w:t xml:space="preserve">información sobre la </w:t>
      </w:r>
      <w:r w:rsidRPr="00AC4AEA">
        <w:rPr>
          <w:rFonts w:ascii="Arial" w:hAnsi="Arial" w:cs="Arial"/>
          <w:b/>
          <w:bCs/>
          <w:sz w:val="20"/>
          <w:szCs w:val="20"/>
        </w:rPr>
        <w:t xml:space="preserve">situación </w:t>
      </w:r>
      <w:r w:rsidR="00355940" w:rsidRPr="00AC4AEA">
        <w:rPr>
          <w:rFonts w:ascii="Arial" w:hAnsi="Arial" w:cs="Arial"/>
          <w:b/>
          <w:bCs/>
          <w:sz w:val="20"/>
          <w:szCs w:val="20"/>
        </w:rPr>
        <w:t>patrimonial</w:t>
      </w:r>
      <w:r w:rsidR="00355940" w:rsidRPr="00AC4AEA">
        <w:rPr>
          <w:rFonts w:ascii="Arial" w:hAnsi="Arial" w:cs="Arial"/>
          <w:sz w:val="20"/>
          <w:szCs w:val="20"/>
        </w:rPr>
        <w:t xml:space="preserve">, la </w:t>
      </w:r>
      <w:r w:rsidR="00355940" w:rsidRPr="00AC4AEA">
        <w:rPr>
          <w:rFonts w:ascii="Arial" w:hAnsi="Arial" w:cs="Arial"/>
          <w:b/>
          <w:bCs/>
          <w:sz w:val="20"/>
          <w:szCs w:val="20"/>
        </w:rPr>
        <w:t>evolución patrimonial</w:t>
      </w:r>
      <w:r w:rsidR="00355940" w:rsidRPr="00AC4AEA">
        <w:rPr>
          <w:rFonts w:ascii="Arial" w:hAnsi="Arial" w:cs="Arial"/>
          <w:sz w:val="20"/>
          <w:szCs w:val="20"/>
        </w:rPr>
        <w:t xml:space="preserve"> y la </w:t>
      </w:r>
      <w:r w:rsidR="00C23C96" w:rsidRPr="00AC4AEA">
        <w:rPr>
          <w:rFonts w:ascii="Arial" w:hAnsi="Arial" w:cs="Arial"/>
          <w:b/>
          <w:bCs/>
          <w:sz w:val="20"/>
          <w:szCs w:val="20"/>
        </w:rPr>
        <w:t>evolución</w:t>
      </w:r>
      <w:r w:rsidR="00355940" w:rsidRPr="00AC4AEA">
        <w:rPr>
          <w:rFonts w:ascii="Arial" w:hAnsi="Arial" w:cs="Arial"/>
          <w:b/>
          <w:bCs/>
          <w:sz w:val="20"/>
          <w:szCs w:val="20"/>
        </w:rPr>
        <w:t xml:space="preserve"> financiera</w:t>
      </w:r>
      <w:r w:rsidRPr="00AC4AEA">
        <w:rPr>
          <w:rFonts w:ascii="Arial" w:hAnsi="Arial" w:cs="Arial"/>
          <w:sz w:val="20"/>
          <w:szCs w:val="20"/>
        </w:rPr>
        <w:t xml:space="preserve"> de ent</w:t>
      </w:r>
      <w:r w:rsidR="00705B63" w:rsidRPr="00AC4AEA">
        <w:rPr>
          <w:rFonts w:ascii="Arial" w:hAnsi="Arial" w:cs="Arial"/>
          <w:sz w:val="20"/>
          <w:szCs w:val="20"/>
        </w:rPr>
        <w:t>idades</w:t>
      </w:r>
      <w:r w:rsidRPr="00AC4AEA">
        <w:rPr>
          <w:rFonts w:ascii="Arial" w:hAnsi="Arial" w:cs="Arial"/>
          <w:sz w:val="20"/>
          <w:szCs w:val="20"/>
        </w:rPr>
        <w:t xml:space="preserve"> públic</w:t>
      </w:r>
      <w:r w:rsidR="00705B63" w:rsidRPr="00AC4AEA">
        <w:rPr>
          <w:rFonts w:ascii="Arial" w:hAnsi="Arial" w:cs="Arial"/>
          <w:sz w:val="20"/>
          <w:szCs w:val="20"/>
        </w:rPr>
        <w:t>a</w:t>
      </w:r>
      <w:r w:rsidRPr="00AC4AEA">
        <w:rPr>
          <w:rFonts w:ascii="Arial" w:hAnsi="Arial" w:cs="Arial"/>
          <w:sz w:val="20"/>
          <w:szCs w:val="20"/>
        </w:rPr>
        <w:t>s o privad</w:t>
      </w:r>
      <w:r w:rsidR="00705B63" w:rsidRPr="00AC4AEA">
        <w:rPr>
          <w:rFonts w:ascii="Arial" w:hAnsi="Arial" w:cs="Arial"/>
          <w:sz w:val="20"/>
          <w:szCs w:val="20"/>
        </w:rPr>
        <w:t>a</w:t>
      </w:r>
      <w:r w:rsidRPr="00AC4AEA">
        <w:rPr>
          <w:rFonts w:ascii="Arial" w:hAnsi="Arial" w:cs="Arial"/>
          <w:sz w:val="20"/>
          <w:szCs w:val="20"/>
        </w:rPr>
        <w:t xml:space="preserve">s, </w:t>
      </w:r>
      <w:r w:rsidR="00FF6206" w:rsidRPr="00AC4AEA">
        <w:rPr>
          <w:rFonts w:ascii="Arial" w:hAnsi="Arial" w:cs="Arial"/>
          <w:sz w:val="20"/>
          <w:szCs w:val="20"/>
        </w:rPr>
        <w:t>tengan o no</w:t>
      </w:r>
      <w:r w:rsidRPr="00AC4AEA">
        <w:rPr>
          <w:rFonts w:ascii="Arial" w:hAnsi="Arial" w:cs="Arial"/>
          <w:sz w:val="20"/>
          <w:szCs w:val="20"/>
        </w:rPr>
        <w:t xml:space="preserve"> fines de lucro.</w:t>
      </w:r>
    </w:p>
    <w:p w:rsidR="0024313A" w:rsidRPr="00AC4AEA" w:rsidRDefault="0024313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 </w:t>
      </w:r>
      <w:r w:rsidR="003E4D83" w:rsidRPr="00AC4AEA">
        <w:rPr>
          <w:rFonts w:ascii="Arial" w:hAnsi="Arial" w:cs="Arial"/>
          <w:b/>
          <w:bCs/>
          <w:sz w:val="20"/>
          <w:szCs w:val="20"/>
        </w:rPr>
        <w:t>situación patrimonial</w:t>
      </w:r>
      <w:r w:rsidR="003E4D83" w:rsidRPr="00AC4AEA">
        <w:rPr>
          <w:rFonts w:ascii="Arial" w:hAnsi="Arial" w:cs="Arial"/>
          <w:sz w:val="20"/>
          <w:szCs w:val="20"/>
        </w:rPr>
        <w:t xml:space="preserve">, la </w:t>
      </w:r>
      <w:r w:rsidR="003E4D83" w:rsidRPr="00AC4AEA">
        <w:rPr>
          <w:rFonts w:ascii="Arial" w:hAnsi="Arial" w:cs="Arial"/>
          <w:b/>
          <w:bCs/>
          <w:sz w:val="20"/>
          <w:szCs w:val="20"/>
        </w:rPr>
        <w:t>evolución patrimonial</w:t>
      </w:r>
      <w:r w:rsidR="003E4D83" w:rsidRPr="00AC4AEA">
        <w:rPr>
          <w:rFonts w:ascii="Arial" w:hAnsi="Arial" w:cs="Arial"/>
          <w:sz w:val="20"/>
          <w:szCs w:val="20"/>
        </w:rPr>
        <w:t xml:space="preserve"> y la </w:t>
      </w:r>
      <w:r w:rsidR="00C23C96" w:rsidRPr="00AC4AEA">
        <w:rPr>
          <w:rFonts w:ascii="Arial" w:hAnsi="Arial" w:cs="Arial"/>
          <w:b/>
          <w:bCs/>
          <w:sz w:val="20"/>
          <w:szCs w:val="20"/>
        </w:rPr>
        <w:t>evolución</w:t>
      </w:r>
      <w:r w:rsidR="003E4D83" w:rsidRPr="00AC4AEA">
        <w:rPr>
          <w:rFonts w:ascii="Arial" w:hAnsi="Arial" w:cs="Arial"/>
          <w:b/>
          <w:bCs/>
          <w:sz w:val="20"/>
          <w:szCs w:val="20"/>
        </w:rPr>
        <w:t xml:space="preserve"> financiera</w:t>
      </w:r>
      <w:r w:rsidR="003E4D83" w:rsidRPr="00AC4AEA">
        <w:rPr>
          <w:rFonts w:ascii="Arial" w:hAnsi="Arial" w:cs="Arial"/>
          <w:sz w:val="20"/>
          <w:szCs w:val="20"/>
        </w:rPr>
        <w:t xml:space="preserve"> </w:t>
      </w:r>
      <w:r w:rsidRPr="00AC4AEA">
        <w:rPr>
          <w:rFonts w:ascii="Arial" w:hAnsi="Arial" w:cs="Arial"/>
          <w:sz w:val="20"/>
          <w:szCs w:val="20"/>
        </w:rPr>
        <w:t>de un</w:t>
      </w:r>
      <w:r w:rsidR="00705B63" w:rsidRPr="00AC4AEA">
        <w:rPr>
          <w:rFonts w:ascii="Arial" w:hAnsi="Arial" w:cs="Arial"/>
          <w:sz w:val="20"/>
          <w:szCs w:val="20"/>
        </w:rPr>
        <w:t>a</w:t>
      </w:r>
      <w:r w:rsidRPr="00AC4AEA">
        <w:rPr>
          <w:rFonts w:ascii="Arial" w:hAnsi="Arial" w:cs="Arial"/>
          <w:sz w:val="20"/>
          <w:szCs w:val="20"/>
        </w:rPr>
        <w:t xml:space="preserve"> ent</w:t>
      </w:r>
      <w:r w:rsidR="00705B63" w:rsidRPr="00AC4AEA">
        <w:rPr>
          <w:rFonts w:ascii="Arial" w:hAnsi="Arial" w:cs="Arial"/>
          <w:sz w:val="20"/>
          <w:szCs w:val="20"/>
        </w:rPr>
        <w:t>idad</w:t>
      </w:r>
      <w:r w:rsidRPr="00AC4AEA">
        <w:rPr>
          <w:rFonts w:ascii="Arial" w:hAnsi="Arial" w:cs="Arial"/>
          <w:sz w:val="20"/>
          <w:szCs w:val="20"/>
        </w:rPr>
        <w:t xml:space="preserve"> interesa a diversas partes que tienen necesidades de información no totalmente coincidentes.</w:t>
      </w:r>
    </w:p>
    <w:p w:rsidR="0024313A" w:rsidRPr="00AC4AEA" w:rsidRDefault="0024313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Siendo imposible que los </w:t>
      </w:r>
      <w:r w:rsidR="00135084" w:rsidRPr="00AC4AEA">
        <w:rPr>
          <w:rFonts w:ascii="Arial" w:hAnsi="Arial" w:cs="Arial"/>
          <w:b/>
          <w:bCs/>
          <w:sz w:val="20"/>
          <w:szCs w:val="20"/>
        </w:rPr>
        <w:t>estados contables</w:t>
      </w:r>
      <w:r w:rsidRPr="00AC4AEA">
        <w:rPr>
          <w:rFonts w:ascii="Arial" w:hAnsi="Arial" w:cs="Arial"/>
          <w:sz w:val="20"/>
          <w:szCs w:val="20"/>
        </w:rPr>
        <w:t xml:space="preserve"> satisfagan los requerimientos </w:t>
      </w:r>
      <w:r w:rsidRPr="002F4057">
        <w:rPr>
          <w:rFonts w:ascii="Arial" w:hAnsi="Arial" w:cs="Arial"/>
          <w:sz w:val="20"/>
          <w:szCs w:val="20"/>
        </w:rPr>
        <w:t xml:space="preserve">informativos de todos </w:t>
      </w:r>
      <w:r w:rsidR="000D2926" w:rsidRPr="002F4057">
        <w:rPr>
          <w:rFonts w:ascii="Arial" w:hAnsi="Arial" w:cs="Arial"/>
          <w:sz w:val="20"/>
          <w:szCs w:val="20"/>
        </w:rPr>
        <w:t>los potenciales</w:t>
      </w:r>
      <w:r w:rsidRPr="002F4057">
        <w:rPr>
          <w:rFonts w:ascii="Arial" w:hAnsi="Arial" w:cs="Arial"/>
          <w:sz w:val="20"/>
          <w:szCs w:val="20"/>
        </w:rPr>
        <w:t xml:space="preserve"> </w:t>
      </w:r>
      <w:r w:rsidRPr="002F4057">
        <w:rPr>
          <w:rFonts w:ascii="Arial" w:hAnsi="Arial" w:cs="Arial"/>
          <w:b/>
          <w:bCs/>
          <w:sz w:val="20"/>
          <w:szCs w:val="20"/>
        </w:rPr>
        <w:t>usuarios,</w:t>
      </w:r>
      <w:r w:rsidRPr="002F4057">
        <w:rPr>
          <w:rFonts w:ascii="Arial" w:hAnsi="Arial" w:cs="Arial"/>
          <w:sz w:val="20"/>
          <w:szCs w:val="20"/>
        </w:rPr>
        <w:t xml:space="preserve"> en esta Resolución Técnica se conside</w:t>
      </w:r>
      <w:r w:rsidR="002F4057" w:rsidRPr="002F4057">
        <w:rPr>
          <w:rFonts w:ascii="Arial" w:hAnsi="Arial" w:cs="Arial"/>
          <w:sz w:val="20"/>
          <w:szCs w:val="20"/>
        </w:rPr>
        <w:t>ra</w:t>
      </w:r>
      <w:r w:rsidRPr="002F4057">
        <w:rPr>
          <w:rFonts w:ascii="Arial" w:hAnsi="Arial" w:cs="Arial"/>
          <w:sz w:val="20"/>
          <w:szCs w:val="20"/>
        </w:rPr>
        <w:t xml:space="preserve">n </w:t>
      </w:r>
      <w:r w:rsidR="000451DC" w:rsidRPr="002F4057">
        <w:rPr>
          <w:rFonts w:ascii="Arial" w:hAnsi="Arial" w:cs="Arial"/>
          <w:sz w:val="20"/>
          <w:szCs w:val="20"/>
        </w:rPr>
        <w:t>como</w:t>
      </w:r>
      <w:r w:rsidR="000451DC" w:rsidRPr="00AC4AEA">
        <w:rPr>
          <w:rFonts w:ascii="Arial" w:hAnsi="Arial" w:cs="Arial"/>
          <w:sz w:val="20"/>
          <w:szCs w:val="20"/>
        </w:rPr>
        <w:t xml:space="preserve"> </w:t>
      </w:r>
      <w:r w:rsidRPr="00AC4AEA">
        <w:rPr>
          <w:rFonts w:ascii="Arial" w:hAnsi="Arial" w:cs="Arial"/>
          <w:b/>
          <w:bCs/>
          <w:sz w:val="20"/>
          <w:szCs w:val="20"/>
        </w:rPr>
        <w:t>usuarios tipo</w:t>
      </w:r>
      <w:r w:rsidRPr="00AC4AEA">
        <w:rPr>
          <w:rFonts w:ascii="Arial" w:hAnsi="Arial" w:cs="Arial"/>
          <w:sz w:val="20"/>
          <w:szCs w:val="20"/>
        </w:rPr>
        <w:t>:</w:t>
      </w:r>
    </w:p>
    <w:p w:rsidR="0024313A" w:rsidRPr="00AC4AEA" w:rsidRDefault="000451D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w:t>
      </w:r>
      <w:r w:rsidR="0024313A" w:rsidRPr="00AC4AEA">
        <w:rPr>
          <w:rFonts w:ascii="Arial" w:hAnsi="Arial" w:cs="Arial"/>
          <w:sz w:val="20"/>
          <w:szCs w:val="20"/>
        </w:rPr>
        <w:t xml:space="preserve">ualquiera fuere </w:t>
      </w:r>
      <w:r w:rsidR="00C60041" w:rsidRPr="00AC4AEA">
        <w:rPr>
          <w:rFonts w:ascii="Arial" w:hAnsi="Arial" w:cs="Arial"/>
          <w:sz w:val="20"/>
          <w:szCs w:val="20"/>
        </w:rPr>
        <w:t>la entidad</w:t>
      </w:r>
      <w:r w:rsidR="0024313A" w:rsidRPr="00AC4AEA">
        <w:rPr>
          <w:rFonts w:ascii="Arial" w:hAnsi="Arial" w:cs="Arial"/>
          <w:sz w:val="20"/>
          <w:szCs w:val="20"/>
        </w:rPr>
        <w:t xml:space="preserve"> emisor</w:t>
      </w:r>
      <w:r w:rsidR="00C60041" w:rsidRPr="00AC4AEA">
        <w:rPr>
          <w:rFonts w:ascii="Arial" w:hAnsi="Arial" w:cs="Arial"/>
          <w:sz w:val="20"/>
          <w:szCs w:val="20"/>
        </w:rPr>
        <w:t>a</w:t>
      </w:r>
      <w:r w:rsidR="000D2926" w:rsidRPr="00AC4AEA">
        <w:rPr>
          <w:rFonts w:ascii="Arial" w:hAnsi="Arial" w:cs="Arial"/>
          <w:sz w:val="20"/>
          <w:szCs w:val="20"/>
        </w:rPr>
        <w:t>:</w:t>
      </w:r>
      <w:r w:rsidR="0024313A" w:rsidRPr="00AC4AEA">
        <w:rPr>
          <w:rFonts w:ascii="Arial" w:hAnsi="Arial" w:cs="Arial"/>
          <w:sz w:val="20"/>
          <w:szCs w:val="20"/>
        </w:rPr>
        <w:t xml:space="preserve"> sus inversores y acreedores, tanto actuales como potenciales</w:t>
      </w:r>
      <w:r w:rsidRPr="00AC4AEA">
        <w:rPr>
          <w:rFonts w:ascii="Arial" w:hAnsi="Arial" w:cs="Arial"/>
          <w:sz w:val="20"/>
          <w:szCs w:val="20"/>
        </w:rPr>
        <w:t>.</w:t>
      </w:r>
    </w:p>
    <w:p w:rsidR="0024313A" w:rsidRPr="00AC4AEA" w:rsidRDefault="000451D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w:t>
      </w:r>
      <w:r w:rsidR="0024313A" w:rsidRPr="00AC4AEA">
        <w:rPr>
          <w:rFonts w:ascii="Arial" w:hAnsi="Arial" w:cs="Arial"/>
          <w:sz w:val="20"/>
          <w:szCs w:val="20"/>
        </w:rPr>
        <w:t>dicionalmente:</w:t>
      </w:r>
    </w:p>
    <w:p w:rsidR="0024313A" w:rsidRPr="00AC4AEA" w:rsidRDefault="000451DC"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E</w:t>
      </w:r>
      <w:r w:rsidR="0024313A" w:rsidRPr="00AC4AEA">
        <w:rPr>
          <w:rFonts w:ascii="Arial" w:hAnsi="Arial" w:cs="Arial"/>
          <w:sz w:val="20"/>
          <w:szCs w:val="20"/>
        </w:rPr>
        <w:t>n los casos de entidades sin fines de lucro no gubernamentales</w:t>
      </w:r>
      <w:r w:rsidR="000D2926" w:rsidRPr="00AC4AEA">
        <w:rPr>
          <w:rFonts w:ascii="Arial" w:hAnsi="Arial" w:cs="Arial"/>
          <w:sz w:val="20"/>
          <w:szCs w:val="20"/>
        </w:rPr>
        <w:t>:</w:t>
      </w:r>
      <w:r w:rsidR="0024313A" w:rsidRPr="00AC4AEA">
        <w:rPr>
          <w:rFonts w:ascii="Arial" w:hAnsi="Arial" w:cs="Arial"/>
          <w:sz w:val="20"/>
          <w:szCs w:val="20"/>
        </w:rPr>
        <w:t xml:space="preserve"> quienes le proveen o </w:t>
      </w:r>
      <w:r w:rsidR="00977BC1" w:rsidRPr="00AC4AEA">
        <w:rPr>
          <w:rFonts w:ascii="Arial" w:hAnsi="Arial" w:cs="Arial"/>
          <w:sz w:val="20"/>
          <w:szCs w:val="20"/>
        </w:rPr>
        <w:t xml:space="preserve">le </w:t>
      </w:r>
      <w:r w:rsidR="0024313A" w:rsidRPr="00AC4AEA">
        <w:rPr>
          <w:rFonts w:ascii="Arial" w:hAnsi="Arial" w:cs="Arial"/>
          <w:sz w:val="20"/>
          <w:szCs w:val="20"/>
        </w:rPr>
        <w:t xml:space="preserve">podrían suministrar recursos (por ejemplo, los </w:t>
      </w:r>
      <w:r w:rsidR="007A5EF3" w:rsidRPr="00AC4AEA">
        <w:rPr>
          <w:rFonts w:ascii="Arial" w:hAnsi="Arial" w:cs="Arial"/>
          <w:sz w:val="20"/>
          <w:szCs w:val="20"/>
        </w:rPr>
        <w:t>asociados</w:t>
      </w:r>
      <w:r w:rsidR="0024313A" w:rsidRPr="00AC4AEA">
        <w:rPr>
          <w:rFonts w:ascii="Arial" w:hAnsi="Arial" w:cs="Arial"/>
          <w:sz w:val="20"/>
          <w:szCs w:val="20"/>
        </w:rPr>
        <w:t xml:space="preserve"> de una asociación civil)</w:t>
      </w:r>
      <w:r w:rsidRPr="00AC4AEA">
        <w:rPr>
          <w:rFonts w:ascii="Arial" w:hAnsi="Arial" w:cs="Arial"/>
          <w:sz w:val="20"/>
          <w:szCs w:val="20"/>
        </w:rPr>
        <w:t>.</w:t>
      </w:r>
    </w:p>
    <w:p w:rsidR="0024313A" w:rsidRPr="00AC4AEA" w:rsidRDefault="000451DC"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E</w:t>
      </w:r>
      <w:r w:rsidR="0024313A" w:rsidRPr="00AC4AEA">
        <w:rPr>
          <w:rFonts w:ascii="Arial" w:hAnsi="Arial" w:cs="Arial"/>
          <w:sz w:val="20"/>
          <w:szCs w:val="20"/>
        </w:rPr>
        <w:t>n los casos de entidades gubernamentales</w:t>
      </w:r>
      <w:r w:rsidR="000D2926" w:rsidRPr="00AC4AEA">
        <w:rPr>
          <w:rFonts w:ascii="Arial" w:hAnsi="Arial" w:cs="Arial"/>
          <w:sz w:val="20"/>
          <w:szCs w:val="20"/>
        </w:rPr>
        <w:t>:</w:t>
      </w:r>
      <w:r w:rsidR="0024313A" w:rsidRPr="00AC4AEA">
        <w:rPr>
          <w:rFonts w:ascii="Arial" w:hAnsi="Arial" w:cs="Arial"/>
          <w:sz w:val="20"/>
          <w:szCs w:val="20"/>
        </w:rPr>
        <w:t xml:space="preserve"> los correspondientes cuerpos legislativos y de fiscalización.</w:t>
      </w:r>
    </w:p>
    <w:p w:rsidR="002669E3" w:rsidRPr="00AC4AEA" w:rsidRDefault="0025371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este capítulo se describen</w:t>
      </w:r>
      <w:r w:rsidR="002669E3" w:rsidRPr="00AC4AEA">
        <w:rPr>
          <w:rFonts w:ascii="Arial" w:hAnsi="Arial" w:cs="Arial"/>
          <w:sz w:val="20"/>
          <w:szCs w:val="20"/>
        </w:rPr>
        <w:t>:</w:t>
      </w:r>
      <w:r w:rsidRPr="00AC4AEA">
        <w:rPr>
          <w:rFonts w:ascii="Arial" w:hAnsi="Arial" w:cs="Arial"/>
          <w:sz w:val="20"/>
          <w:szCs w:val="20"/>
        </w:rPr>
        <w:t xml:space="preserve"> </w:t>
      </w:r>
    </w:p>
    <w:p w:rsidR="002669E3" w:rsidRPr="00AC4AEA" w:rsidRDefault="0025371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las </w:t>
      </w:r>
      <w:r w:rsidR="004C2034" w:rsidRPr="00AC4AEA">
        <w:rPr>
          <w:rFonts w:ascii="Arial" w:hAnsi="Arial" w:cs="Arial"/>
          <w:sz w:val="20"/>
          <w:szCs w:val="20"/>
        </w:rPr>
        <w:t>premisas</w:t>
      </w:r>
      <w:r w:rsidRPr="00AC4AEA">
        <w:rPr>
          <w:rFonts w:ascii="Arial" w:hAnsi="Arial" w:cs="Arial"/>
          <w:sz w:val="20"/>
          <w:szCs w:val="20"/>
        </w:rPr>
        <w:t xml:space="preserve"> fundamentales </w:t>
      </w:r>
      <w:r w:rsidR="00202A4B" w:rsidRPr="00AC4AEA">
        <w:rPr>
          <w:rFonts w:ascii="Arial" w:hAnsi="Arial" w:cs="Arial"/>
          <w:sz w:val="20"/>
          <w:szCs w:val="20"/>
        </w:rPr>
        <w:t xml:space="preserve">consideradas </w:t>
      </w:r>
      <w:r w:rsidRPr="00AC4AEA">
        <w:rPr>
          <w:rFonts w:ascii="Arial" w:hAnsi="Arial" w:cs="Arial"/>
          <w:sz w:val="20"/>
          <w:szCs w:val="20"/>
        </w:rPr>
        <w:t xml:space="preserve">en la preparación de los </w:t>
      </w:r>
      <w:r w:rsidR="00135084" w:rsidRPr="00AC4AEA">
        <w:rPr>
          <w:rFonts w:ascii="Arial" w:hAnsi="Arial" w:cs="Arial"/>
          <w:b/>
          <w:bCs/>
          <w:sz w:val="20"/>
          <w:szCs w:val="20"/>
        </w:rPr>
        <w:t>estados contables</w:t>
      </w:r>
      <w:r w:rsidR="002669E3" w:rsidRPr="00AC4AEA">
        <w:rPr>
          <w:rFonts w:ascii="Arial" w:hAnsi="Arial" w:cs="Arial"/>
          <w:sz w:val="20"/>
          <w:szCs w:val="20"/>
        </w:rPr>
        <w:t>;</w:t>
      </w:r>
      <w:r w:rsidRPr="00AC4AEA">
        <w:rPr>
          <w:rFonts w:ascii="Arial" w:hAnsi="Arial" w:cs="Arial"/>
          <w:sz w:val="20"/>
          <w:szCs w:val="20"/>
        </w:rPr>
        <w:t xml:space="preserve"> </w:t>
      </w:r>
    </w:p>
    <w:p w:rsidR="002A0EDF" w:rsidRPr="00AC4AEA" w:rsidRDefault="002669E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elementos </w:t>
      </w:r>
      <w:r w:rsidR="002A0EDF" w:rsidRPr="00AC4AEA">
        <w:rPr>
          <w:rFonts w:ascii="Arial" w:hAnsi="Arial" w:cs="Arial"/>
          <w:sz w:val="20"/>
          <w:szCs w:val="20"/>
        </w:rPr>
        <w:t xml:space="preserve">sobre los que se informa en los </w:t>
      </w:r>
      <w:r w:rsidR="00135084" w:rsidRPr="00AC4AEA">
        <w:rPr>
          <w:rFonts w:ascii="Arial" w:hAnsi="Arial" w:cs="Arial"/>
          <w:b/>
          <w:bCs/>
          <w:sz w:val="20"/>
          <w:szCs w:val="20"/>
        </w:rPr>
        <w:t>estados contables</w:t>
      </w:r>
      <w:r w:rsidR="002A0EDF" w:rsidRPr="00AC4AEA">
        <w:rPr>
          <w:rFonts w:ascii="Arial" w:hAnsi="Arial" w:cs="Arial"/>
          <w:sz w:val="20"/>
          <w:szCs w:val="20"/>
        </w:rPr>
        <w:t>;</w:t>
      </w:r>
    </w:p>
    <w:p w:rsidR="000C0947" w:rsidRPr="00AC4AEA" w:rsidRDefault="000C094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el contenido </w:t>
      </w:r>
      <w:r w:rsidR="007A5EF3" w:rsidRPr="00AC4AEA">
        <w:rPr>
          <w:rFonts w:ascii="Arial" w:hAnsi="Arial" w:cs="Arial"/>
          <w:sz w:val="20"/>
          <w:szCs w:val="20"/>
        </w:rPr>
        <w:t>de</w:t>
      </w:r>
      <w:r w:rsidRPr="00AC4AEA">
        <w:rPr>
          <w:rFonts w:ascii="Arial" w:hAnsi="Arial" w:cs="Arial"/>
          <w:sz w:val="20"/>
          <w:szCs w:val="20"/>
        </w:rPr>
        <w:t xml:space="preserve"> un conjunto completo de </w:t>
      </w:r>
      <w:r w:rsidR="00135084" w:rsidRPr="00AC4AEA">
        <w:rPr>
          <w:rFonts w:ascii="Arial" w:hAnsi="Arial" w:cs="Arial"/>
          <w:b/>
          <w:bCs/>
          <w:sz w:val="20"/>
          <w:szCs w:val="20"/>
        </w:rPr>
        <w:t>estados contables</w:t>
      </w:r>
      <w:r w:rsidRPr="00AC4AEA">
        <w:rPr>
          <w:rFonts w:ascii="Arial" w:hAnsi="Arial" w:cs="Arial"/>
          <w:sz w:val="20"/>
          <w:szCs w:val="20"/>
        </w:rPr>
        <w:t>;</w:t>
      </w:r>
    </w:p>
    <w:p w:rsidR="002A0EDF" w:rsidRPr="00AC4AEA" w:rsidRDefault="00510D5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las operaciones </w:t>
      </w:r>
      <w:r w:rsidR="002A0EDF" w:rsidRPr="00AC4AEA">
        <w:rPr>
          <w:rFonts w:ascii="Arial" w:hAnsi="Arial" w:cs="Arial"/>
          <w:sz w:val="20"/>
          <w:szCs w:val="20"/>
        </w:rPr>
        <w:t xml:space="preserve">fundamentales para la preparación de los </w:t>
      </w:r>
      <w:r w:rsidR="00135084" w:rsidRPr="00AC4AEA">
        <w:rPr>
          <w:rFonts w:ascii="Arial" w:hAnsi="Arial" w:cs="Arial"/>
          <w:b/>
          <w:bCs/>
          <w:sz w:val="20"/>
          <w:szCs w:val="20"/>
        </w:rPr>
        <w:t>estados contables</w:t>
      </w:r>
      <w:r w:rsidR="000C0947" w:rsidRPr="00AC4AEA">
        <w:rPr>
          <w:rFonts w:ascii="Arial" w:hAnsi="Arial" w:cs="Arial"/>
          <w:sz w:val="20"/>
          <w:szCs w:val="20"/>
        </w:rPr>
        <w:t>;</w:t>
      </w:r>
      <w:r w:rsidR="0079319B" w:rsidRPr="00AC4AEA">
        <w:rPr>
          <w:rFonts w:ascii="Arial" w:hAnsi="Arial" w:cs="Arial"/>
          <w:sz w:val="20"/>
          <w:szCs w:val="20"/>
        </w:rPr>
        <w:t xml:space="preserve"> y</w:t>
      </w:r>
    </w:p>
    <w:p w:rsidR="00B44D5F" w:rsidRPr="00AC4AEA" w:rsidRDefault="00AA505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las bases generales que una entidad considerar</w:t>
      </w:r>
      <w:r w:rsidR="009738AA" w:rsidRPr="00AC4AEA">
        <w:rPr>
          <w:rFonts w:ascii="Arial" w:hAnsi="Arial" w:cs="Arial"/>
          <w:sz w:val="20"/>
          <w:szCs w:val="20"/>
        </w:rPr>
        <w:t>á</w:t>
      </w:r>
      <w:r w:rsidRPr="00AC4AEA">
        <w:rPr>
          <w:rFonts w:ascii="Arial" w:hAnsi="Arial" w:cs="Arial"/>
          <w:sz w:val="20"/>
          <w:szCs w:val="20"/>
        </w:rPr>
        <w:t xml:space="preserve"> </w:t>
      </w:r>
      <w:r w:rsidR="009738AA" w:rsidRPr="00AC4AEA">
        <w:rPr>
          <w:rFonts w:ascii="Arial" w:hAnsi="Arial" w:cs="Arial"/>
          <w:sz w:val="20"/>
          <w:szCs w:val="20"/>
        </w:rPr>
        <w:t>al</w:t>
      </w:r>
      <w:r w:rsidRPr="00AC4AEA">
        <w:rPr>
          <w:rFonts w:ascii="Arial" w:hAnsi="Arial" w:cs="Arial"/>
          <w:sz w:val="20"/>
          <w:szCs w:val="20"/>
        </w:rPr>
        <w:t xml:space="preserve"> prepara</w:t>
      </w:r>
      <w:r w:rsidR="00682680" w:rsidRPr="00AC4AEA">
        <w:rPr>
          <w:rFonts w:ascii="Arial" w:hAnsi="Arial" w:cs="Arial"/>
          <w:sz w:val="20"/>
          <w:szCs w:val="20"/>
        </w:rPr>
        <w:t xml:space="preserve">r sus </w:t>
      </w:r>
      <w:r w:rsidR="00135084" w:rsidRPr="00AC4AEA">
        <w:rPr>
          <w:rFonts w:ascii="Arial" w:hAnsi="Arial" w:cs="Arial"/>
          <w:b/>
          <w:bCs/>
          <w:sz w:val="20"/>
          <w:szCs w:val="20"/>
        </w:rPr>
        <w:t>estados contables</w:t>
      </w:r>
      <w:r w:rsidRPr="00AC4AEA">
        <w:rPr>
          <w:rFonts w:ascii="Arial" w:hAnsi="Arial" w:cs="Arial"/>
          <w:sz w:val="20"/>
          <w:szCs w:val="20"/>
        </w:rPr>
        <w:t>.</w:t>
      </w:r>
      <w:r w:rsidR="00B44D5F" w:rsidRPr="00AC4AEA">
        <w:rPr>
          <w:rFonts w:ascii="Arial" w:hAnsi="Arial" w:cs="Arial"/>
          <w:sz w:val="20"/>
          <w:szCs w:val="20"/>
        </w:rPr>
        <w:t xml:space="preserve"> </w:t>
      </w:r>
    </w:p>
    <w:p w:rsidR="00AE7883" w:rsidRPr="00AC4AEA" w:rsidRDefault="00AE7883" w:rsidP="00A318EA">
      <w:pPr>
        <w:pStyle w:val="Ttulo1"/>
        <w:rPr>
          <w:rFonts w:cs="Arial"/>
          <w:sz w:val="20"/>
          <w:szCs w:val="20"/>
        </w:rPr>
      </w:pPr>
      <w:bookmarkStart w:id="28" w:name="_Toc101863706"/>
    </w:p>
    <w:p w:rsidR="0090400F" w:rsidRPr="00AC4AEA" w:rsidRDefault="00E25BE1" w:rsidP="00A318EA">
      <w:pPr>
        <w:pStyle w:val="Ttulo1"/>
        <w:rPr>
          <w:rFonts w:cs="Arial"/>
          <w:sz w:val="20"/>
          <w:szCs w:val="20"/>
        </w:rPr>
      </w:pPr>
      <w:bookmarkStart w:id="29" w:name="_Toc139356571"/>
      <w:r w:rsidRPr="00AC4AEA">
        <w:rPr>
          <w:rFonts w:cs="Arial"/>
          <w:sz w:val="20"/>
          <w:szCs w:val="20"/>
        </w:rPr>
        <w:t xml:space="preserve">PREPARACIÓN DE </w:t>
      </w:r>
      <w:r w:rsidR="00135084" w:rsidRPr="00AC4AEA">
        <w:rPr>
          <w:rFonts w:cs="Arial"/>
          <w:bCs/>
          <w:sz w:val="20"/>
          <w:szCs w:val="20"/>
        </w:rPr>
        <w:t>ESTADOS CONTABLES</w:t>
      </w:r>
      <w:r w:rsidR="00601029" w:rsidRPr="00AC4AEA">
        <w:rPr>
          <w:rFonts w:cs="Arial"/>
          <w:sz w:val="20"/>
          <w:szCs w:val="20"/>
        </w:rPr>
        <w:t>: PREMISAS FUNDAMENTALES</w:t>
      </w:r>
      <w:bookmarkEnd w:id="28"/>
      <w:bookmarkEnd w:id="29"/>
    </w:p>
    <w:p w:rsidR="0090400F" w:rsidRPr="00AC4AEA" w:rsidRDefault="0090400F" w:rsidP="00A318EA">
      <w:pPr>
        <w:pStyle w:val="Ttulo2"/>
        <w:rPr>
          <w:rFonts w:cs="Arial"/>
        </w:rPr>
      </w:pPr>
      <w:bookmarkStart w:id="30" w:name="empresaENmarcha"/>
      <w:bookmarkStart w:id="31" w:name="_Toc101863707"/>
      <w:bookmarkStart w:id="32" w:name="_Toc139356572"/>
      <w:bookmarkEnd w:id="30"/>
      <w:r w:rsidRPr="00AC4AEA">
        <w:rPr>
          <w:rFonts w:cs="Arial"/>
        </w:rPr>
        <w:t>Empresa en marcha</w:t>
      </w:r>
      <w:bookmarkEnd w:id="31"/>
      <w:bookmarkEnd w:id="32"/>
    </w:p>
    <w:p w:rsidR="006952DA"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elaborará </w:t>
      </w:r>
      <w:r w:rsidR="000451DC" w:rsidRPr="00AC4AEA">
        <w:rPr>
          <w:rFonts w:ascii="Arial" w:hAnsi="Arial" w:cs="Arial"/>
          <w:sz w:val="20"/>
          <w:szCs w:val="20"/>
        </w:rPr>
        <w:t xml:space="preserve">sus </w:t>
      </w:r>
      <w:r w:rsidR="00135084" w:rsidRPr="00AC4AEA">
        <w:rPr>
          <w:rFonts w:ascii="Arial" w:hAnsi="Arial" w:cs="Arial"/>
          <w:b/>
          <w:bCs/>
          <w:sz w:val="20"/>
          <w:szCs w:val="20"/>
        </w:rPr>
        <w:t>estados contables</w:t>
      </w:r>
      <w:r w:rsidRPr="00AC4AEA">
        <w:rPr>
          <w:rFonts w:ascii="Arial" w:hAnsi="Arial" w:cs="Arial"/>
          <w:sz w:val="20"/>
          <w:szCs w:val="20"/>
        </w:rPr>
        <w:t xml:space="preserve"> bajo la </w:t>
      </w:r>
      <w:r w:rsidR="004C2034" w:rsidRPr="00AC4AEA">
        <w:rPr>
          <w:rFonts w:ascii="Arial" w:hAnsi="Arial" w:cs="Arial"/>
          <w:sz w:val="20"/>
          <w:szCs w:val="20"/>
        </w:rPr>
        <w:t xml:space="preserve">premisa </w:t>
      </w:r>
      <w:r w:rsidRPr="00AC4AEA">
        <w:rPr>
          <w:rFonts w:ascii="Arial" w:hAnsi="Arial" w:cs="Arial"/>
          <w:sz w:val="20"/>
          <w:szCs w:val="20"/>
        </w:rPr>
        <w:t xml:space="preserve">de </w:t>
      </w:r>
      <w:r w:rsidRPr="00AC4AEA">
        <w:rPr>
          <w:rFonts w:ascii="Arial" w:hAnsi="Arial" w:cs="Arial"/>
          <w:b/>
          <w:bCs/>
          <w:sz w:val="20"/>
          <w:szCs w:val="20"/>
        </w:rPr>
        <w:t>empresa en marcha</w:t>
      </w:r>
      <w:r w:rsidRPr="00AC4AEA">
        <w:rPr>
          <w:rFonts w:ascii="Arial" w:hAnsi="Arial" w:cs="Arial"/>
          <w:sz w:val="20"/>
          <w:szCs w:val="20"/>
        </w:rPr>
        <w:t xml:space="preserve">, a menos que pretenda liquidarse o cesar su actividad, o no exista alternativa más realista que proceder de </w:t>
      </w:r>
      <w:r w:rsidR="00F10F74" w:rsidRPr="00AC4AEA">
        <w:rPr>
          <w:rFonts w:ascii="Arial" w:hAnsi="Arial" w:cs="Arial"/>
          <w:sz w:val="20"/>
          <w:szCs w:val="20"/>
        </w:rPr>
        <w:t xml:space="preserve">alguna </w:t>
      </w:r>
      <w:r w:rsidRPr="00AC4AEA">
        <w:rPr>
          <w:rFonts w:ascii="Arial" w:hAnsi="Arial" w:cs="Arial"/>
          <w:sz w:val="20"/>
          <w:szCs w:val="20"/>
        </w:rPr>
        <w:t xml:space="preserve">de </w:t>
      </w:r>
      <w:r w:rsidR="00DD001F" w:rsidRPr="00AC4AEA">
        <w:rPr>
          <w:rFonts w:ascii="Arial" w:hAnsi="Arial" w:cs="Arial"/>
          <w:sz w:val="20"/>
          <w:szCs w:val="20"/>
        </w:rPr>
        <w:t xml:space="preserve">estas </w:t>
      </w:r>
      <w:r w:rsidRPr="00AC4AEA">
        <w:rPr>
          <w:rFonts w:ascii="Arial" w:hAnsi="Arial" w:cs="Arial"/>
          <w:sz w:val="20"/>
          <w:szCs w:val="20"/>
        </w:rPr>
        <w:t xml:space="preserve">formas. </w:t>
      </w:r>
    </w:p>
    <w:p w:rsidR="007A4413" w:rsidRPr="00AC4AEA" w:rsidRDefault="006952D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Al evaluar si la </w:t>
      </w:r>
      <w:r w:rsidR="003F2888" w:rsidRPr="00AC4AEA">
        <w:rPr>
          <w:rFonts w:ascii="Arial" w:hAnsi="Arial" w:cs="Arial"/>
          <w:sz w:val="20"/>
          <w:szCs w:val="20"/>
        </w:rPr>
        <w:t xml:space="preserve">premisa </w:t>
      </w:r>
      <w:r w:rsidRPr="00AC4AEA">
        <w:rPr>
          <w:rFonts w:ascii="Arial" w:hAnsi="Arial" w:cs="Arial"/>
          <w:sz w:val="20"/>
          <w:szCs w:val="20"/>
        </w:rPr>
        <w:t xml:space="preserve">de </w:t>
      </w:r>
      <w:r w:rsidRPr="00AC4AEA">
        <w:rPr>
          <w:rFonts w:ascii="Arial" w:hAnsi="Arial" w:cs="Arial"/>
          <w:b/>
          <w:bCs/>
          <w:sz w:val="20"/>
          <w:szCs w:val="20"/>
        </w:rPr>
        <w:t>empresa en marcha</w:t>
      </w:r>
      <w:r w:rsidRPr="00AC4AEA">
        <w:rPr>
          <w:rFonts w:ascii="Arial" w:hAnsi="Arial" w:cs="Arial"/>
          <w:sz w:val="20"/>
          <w:szCs w:val="20"/>
        </w:rPr>
        <w:t xml:space="preserve"> resulta apropiada, </w:t>
      </w:r>
      <w:r w:rsidR="00A26CC7" w:rsidRPr="00AC4AEA">
        <w:rPr>
          <w:rFonts w:ascii="Arial" w:hAnsi="Arial" w:cs="Arial"/>
          <w:sz w:val="20"/>
          <w:szCs w:val="20"/>
        </w:rPr>
        <w:t xml:space="preserve">la </w:t>
      </w:r>
      <w:r w:rsidR="00A26CC7" w:rsidRPr="00AC4AEA">
        <w:rPr>
          <w:rFonts w:ascii="Arial" w:hAnsi="Arial" w:cs="Arial"/>
          <w:b/>
          <w:bCs/>
          <w:sz w:val="20"/>
          <w:szCs w:val="20"/>
        </w:rPr>
        <w:t>dirección</w:t>
      </w:r>
      <w:r w:rsidR="00A26CC7" w:rsidRPr="00AC4AEA">
        <w:rPr>
          <w:rFonts w:ascii="Arial" w:hAnsi="Arial" w:cs="Arial"/>
          <w:sz w:val="20"/>
          <w:szCs w:val="20"/>
        </w:rPr>
        <w:t xml:space="preserve"> de </w:t>
      </w:r>
      <w:r w:rsidRPr="00AC4AEA">
        <w:rPr>
          <w:rFonts w:ascii="Arial" w:hAnsi="Arial" w:cs="Arial"/>
          <w:sz w:val="20"/>
          <w:szCs w:val="20"/>
        </w:rPr>
        <w:t xml:space="preserve">una entidad tendrá en cuenta toda la información disponible sobre el futuro, la que deberá cubrir </w:t>
      </w:r>
      <w:r w:rsidR="005703DB" w:rsidRPr="00AC4AEA">
        <w:rPr>
          <w:rFonts w:ascii="Arial" w:hAnsi="Arial" w:cs="Arial"/>
          <w:sz w:val="20"/>
          <w:szCs w:val="20"/>
        </w:rPr>
        <w:t>como mínimo</w:t>
      </w:r>
      <w:r w:rsidRPr="00AC4AEA">
        <w:rPr>
          <w:rFonts w:ascii="Arial" w:hAnsi="Arial" w:cs="Arial"/>
          <w:sz w:val="20"/>
          <w:szCs w:val="20"/>
        </w:rPr>
        <w:t xml:space="preserve"> los doce meses </w:t>
      </w:r>
      <w:r w:rsidR="00C831B1" w:rsidRPr="00AC4AEA">
        <w:rPr>
          <w:rFonts w:ascii="Arial" w:hAnsi="Arial" w:cs="Arial"/>
          <w:sz w:val="20"/>
          <w:szCs w:val="20"/>
        </w:rPr>
        <w:t xml:space="preserve">posteriores </w:t>
      </w:r>
      <w:r w:rsidR="00CD6B74" w:rsidRPr="00AC4AEA">
        <w:rPr>
          <w:rFonts w:ascii="Arial" w:hAnsi="Arial" w:cs="Arial"/>
          <w:sz w:val="20"/>
          <w:szCs w:val="20"/>
        </w:rPr>
        <w:t xml:space="preserve">a la </w:t>
      </w:r>
      <w:r w:rsidR="00CD6B74"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sin limitarse a dicho período.</w:t>
      </w:r>
      <w:r w:rsidR="007A4413" w:rsidRPr="00AC4AEA">
        <w:rPr>
          <w:rFonts w:ascii="Arial" w:hAnsi="Arial" w:cs="Arial"/>
          <w:sz w:val="20"/>
          <w:szCs w:val="20"/>
        </w:rPr>
        <w:t xml:space="preserve"> </w:t>
      </w:r>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al realizar esta evaluación, </w:t>
      </w:r>
      <w:r w:rsidR="00F000D2" w:rsidRPr="00AC4AEA">
        <w:rPr>
          <w:rFonts w:ascii="Arial" w:hAnsi="Arial" w:cs="Arial"/>
          <w:sz w:val="20"/>
          <w:szCs w:val="20"/>
        </w:rPr>
        <w:t xml:space="preserve">la </w:t>
      </w:r>
      <w:r w:rsidR="00F000D2" w:rsidRPr="00AC4AEA">
        <w:rPr>
          <w:rFonts w:ascii="Arial" w:hAnsi="Arial" w:cs="Arial"/>
          <w:b/>
          <w:bCs/>
          <w:sz w:val="20"/>
          <w:szCs w:val="20"/>
        </w:rPr>
        <w:t>dirección</w:t>
      </w:r>
      <w:r w:rsidR="00F000D2" w:rsidRPr="00AC4AEA">
        <w:rPr>
          <w:rFonts w:ascii="Arial" w:hAnsi="Arial" w:cs="Arial"/>
          <w:sz w:val="20"/>
          <w:szCs w:val="20"/>
        </w:rPr>
        <w:t xml:space="preserve"> de </w:t>
      </w:r>
      <w:r w:rsidR="00B34D02" w:rsidRPr="00AC4AEA">
        <w:rPr>
          <w:rFonts w:ascii="Arial" w:hAnsi="Arial" w:cs="Arial"/>
          <w:sz w:val="20"/>
          <w:szCs w:val="20"/>
        </w:rPr>
        <w:t>una</w:t>
      </w:r>
      <w:r w:rsidR="003F2888" w:rsidRPr="00AC4AEA">
        <w:rPr>
          <w:rFonts w:ascii="Arial" w:hAnsi="Arial" w:cs="Arial"/>
          <w:sz w:val="20"/>
          <w:szCs w:val="20"/>
        </w:rPr>
        <w:t xml:space="preserve"> entidad </w:t>
      </w:r>
      <w:r w:rsidR="007E0E53" w:rsidRPr="00AC4AEA">
        <w:rPr>
          <w:rFonts w:ascii="Arial" w:hAnsi="Arial" w:cs="Arial"/>
          <w:sz w:val="20"/>
          <w:szCs w:val="20"/>
        </w:rPr>
        <w:t>advierta</w:t>
      </w:r>
      <w:r w:rsidRPr="00AC4AEA">
        <w:rPr>
          <w:rFonts w:ascii="Arial" w:hAnsi="Arial" w:cs="Arial"/>
          <w:sz w:val="20"/>
          <w:szCs w:val="20"/>
        </w:rPr>
        <w:t xml:space="preserve"> la existencia de incertidumbres importantes, relativas a eventos o condiciones que </w:t>
      </w:r>
      <w:r w:rsidR="00F10F74" w:rsidRPr="00AC4AEA">
        <w:rPr>
          <w:rFonts w:ascii="Arial" w:hAnsi="Arial" w:cs="Arial"/>
          <w:sz w:val="20"/>
          <w:szCs w:val="20"/>
        </w:rPr>
        <w:t>aporten</w:t>
      </w:r>
      <w:r w:rsidRPr="00AC4AEA">
        <w:rPr>
          <w:rFonts w:ascii="Arial" w:hAnsi="Arial" w:cs="Arial"/>
          <w:sz w:val="20"/>
          <w:szCs w:val="20"/>
        </w:rPr>
        <w:t xml:space="preserve"> dudas significativas sobre la posibilidad de seguir funcionando normalmente</w:t>
      </w:r>
      <w:r w:rsidR="007232F2" w:rsidRPr="00AC4AEA">
        <w:rPr>
          <w:rFonts w:ascii="Arial" w:hAnsi="Arial" w:cs="Arial"/>
          <w:sz w:val="20"/>
          <w:szCs w:val="20"/>
        </w:rPr>
        <w:t>,</w:t>
      </w:r>
      <w:r w:rsidR="00EC1893" w:rsidRPr="00AC4AEA">
        <w:rPr>
          <w:rFonts w:ascii="Arial" w:hAnsi="Arial" w:cs="Arial"/>
          <w:sz w:val="20"/>
          <w:szCs w:val="20"/>
        </w:rPr>
        <w:t xml:space="preserve"> p</w:t>
      </w:r>
      <w:r w:rsidRPr="00AC4AEA">
        <w:rPr>
          <w:rFonts w:ascii="Arial" w:hAnsi="Arial" w:cs="Arial"/>
          <w:sz w:val="20"/>
          <w:szCs w:val="20"/>
        </w:rPr>
        <w:t>rocederá a revelarlas</w:t>
      </w:r>
      <w:r w:rsidR="00D540D5" w:rsidRPr="00AC4AEA">
        <w:rPr>
          <w:rFonts w:ascii="Arial" w:hAnsi="Arial" w:cs="Arial"/>
          <w:sz w:val="20"/>
          <w:szCs w:val="20"/>
        </w:rPr>
        <w:t xml:space="preserve"> en los </w:t>
      </w:r>
      <w:r w:rsidR="00D540D5" w:rsidRPr="00AC4AEA">
        <w:rPr>
          <w:rFonts w:ascii="Arial" w:hAnsi="Arial" w:cs="Arial"/>
          <w:b/>
          <w:bCs/>
          <w:sz w:val="20"/>
          <w:szCs w:val="20"/>
        </w:rPr>
        <w:t>estados contables</w:t>
      </w:r>
      <w:r w:rsidR="00031D32" w:rsidRPr="00AC4AEA">
        <w:rPr>
          <w:rFonts w:ascii="Arial" w:hAnsi="Arial" w:cs="Arial"/>
          <w:sz w:val="20"/>
          <w:szCs w:val="20"/>
        </w:rPr>
        <w:t>, junto con sus causas</w:t>
      </w:r>
      <w:r w:rsidR="00D540D5" w:rsidRPr="00AC4AEA">
        <w:rPr>
          <w:rFonts w:ascii="Arial" w:hAnsi="Arial" w:cs="Arial"/>
          <w:sz w:val="20"/>
          <w:szCs w:val="20"/>
        </w:rPr>
        <w:t>.</w:t>
      </w:r>
    </w:p>
    <w:p w:rsidR="005E41B3" w:rsidRPr="00AC4AEA" w:rsidRDefault="00EC189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8F6A2D" w:rsidRPr="00AC4AEA">
        <w:rPr>
          <w:rFonts w:ascii="Arial" w:hAnsi="Arial" w:cs="Arial"/>
          <w:sz w:val="20"/>
          <w:szCs w:val="20"/>
        </w:rPr>
        <w:t xml:space="preserve">que </w:t>
      </w:r>
      <w:r w:rsidR="00190EDA" w:rsidRPr="00AC4AEA">
        <w:rPr>
          <w:rFonts w:ascii="Arial" w:hAnsi="Arial" w:cs="Arial"/>
          <w:sz w:val="20"/>
          <w:szCs w:val="20"/>
        </w:rPr>
        <w:t xml:space="preserve">decida </w:t>
      </w:r>
      <w:r w:rsidR="008F6A2D" w:rsidRPr="00AC4AEA">
        <w:rPr>
          <w:rFonts w:ascii="Arial" w:hAnsi="Arial" w:cs="Arial"/>
          <w:sz w:val="20"/>
          <w:szCs w:val="20"/>
        </w:rPr>
        <w:t xml:space="preserve">liquidarse o cesar su actividad, o no </w:t>
      </w:r>
      <w:r w:rsidR="000D2926" w:rsidRPr="00AC4AEA">
        <w:rPr>
          <w:rFonts w:ascii="Arial" w:hAnsi="Arial" w:cs="Arial"/>
          <w:sz w:val="20"/>
          <w:szCs w:val="20"/>
        </w:rPr>
        <w:t>tenga</w:t>
      </w:r>
      <w:r w:rsidR="008F6A2D" w:rsidRPr="00AC4AEA">
        <w:rPr>
          <w:rFonts w:ascii="Arial" w:hAnsi="Arial" w:cs="Arial"/>
          <w:sz w:val="20"/>
          <w:szCs w:val="20"/>
        </w:rPr>
        <w:t xml:space="preserve"> alternativa más realista que proceder de alguna de estas formas</w:t>
      </w:r>
      <w:r w:rsidR="007232F2" w:rsidRPr="00AC4AEA">
        <w:rPr>
          <w:rFonts w:ascii="Arial" w:hAnsi="Arial" w:cs="Arial"/>
          <w:sz w:val="20"/>
          <w:szCs w:val="20"/>
        </w:rPr>
        <w:t>,</w:t>
      </w:r>
      <w:r w:rsidR="008F6A2D" w:rsidRPr="00AC4AEA">
        <w:rPr>
          <w:rFonts w:ascii="Arial" w:hAnsi="Arial" w:cs="Arial"/>
          <w:sz w:val="20"/>
          <w:szCs w:val="20"/>
        </w:rPr>
        <w:t xml:space="preserve"> </w:t>
      </w:r>
      <w:r w:rsidR="005E41B3" w:rsidRPr="00AC4AEA">
        <w:rPr>
          <w:rFonts w:ascii="Arial" w:hAnsi="Arial" w:cs="Arial"/>
          <w:sz w:val="20"/>
          <w:szCs w:val="20"/>
        </w:rPr>
        <w:t>cambiar</w:t>
      </w:r>
      <w:r w:rsidR="00494255" w:rsidRPr="00AC4AEA">
        <w:rPr>
          <w:rFonts w:ascii="Arial" w:hAnsi="Arial" w:cs="Arial"/>
          <w:sz w:val="20"/>
          <w:szCs w:val="20"/>
        </w:rPr>
        <w:t>á</w:t>
      </w:r>
      <w:r w:rsidR="005E41B3" w:rsidRPr="00AC4AEA">
        <w:rPr>
          <w:rFonts w:ascii="Arial" w:hAnsi="Arial" w:cs="Arial"/>
          <w:sz w:val="20"/>
          <w:szCs w:val="20"/>
        </w:rPr>
        <w:t xml:space="preserve"> la base de preparación de los </w:t>
      </w:r>
      <w:r w:rsidR="00135084" w:rsidRPr="00AC4AEA">
        <w:rPr>
          <w:rFonts w:ascii="Arial" w:hAnsi="Arial" w:cs="Arial"/>
          <w:b/>
          <w:bCs/>
          <w:sz w:val="20"/>
          <w:szCs w:val="20"/>
        </w:rPr>
        <w:t>estados contables</w:t>
      </w:r>
      <w:r w:rsidR="00720143" w:rsidRPr="00AC4AEA">
        <w:rPr>
          <w:rStyle w:val="Refdenotaalpie"/>
          <w:rFonts w:ascii="Arial" w:hAnsi="Arial" w:cs="Arial"/>
          <w:sz w:val="20"/>
          <w:szCs w:val="20"/>
        </w:rPr>
        <w:footnoteReference w:id="2"/>
      </w:r>
      <w:r w:rsidRPr="00AC4AEA">
        <w:rPr>
          <w:rFonts w:ascii="Arial" w:hAnsi="Arial" w:cs="Arial"/>
          <w:sz w:val="20"/>
          <w:szCs w:val="20"/>
        </w:rPr>
        <w:t xml:space="preserve">; incluso si </w:t>
      </w:r>
      <w:r w:rsidR="003F5590" w:rsidRPr="00AC4AEA">
        <w:rPr>
          <w:rFonts w:ascii="Arial" w:hAnsi="Arial" w:cs="Arial"/>
          <w:sz w:val="20"/>
          <w:szCs w:val="20"/>
        </w:rPr>
        <w:t>los hechos que evidencian la necesidad de cambiar la base contable surgen por</w:t>
      </w:r>
      <w:r w:rsidR="007D7512" w:rsidRPr="00AC4AEA">
        <w:rPr>
          <w:rFonts w:ascii="Arial" w:hAnsi="Arial" w:cs="Arial"/>
          <w:sz w:val="20"/>
          <w:szCs w:val="20"/>
        </w:rPr>
        <w:t xml:space="preserve"> aplicar las disposiciones del apartado</w:t>
      </w:r>
      <w:r w:rsidR="00977BC1" w:rsidRPr="00AC4AEA">
        <w:rPr>
          <w:rFonts w:ascii="Arial" w:hAnsi="Arial" w:cs="Arial"/>
          <w:sz w:val="20"/>
          <w:szCs w:val="20"/>
        </w:rPr>
        <w:t xml:space="preserve"> “</w:t>
      </w:r>
      <w:r w:rsidR="00977BC1" w:rsidRPr="00AC4AEA">
        <w:rPr>
          <w:rFonts w:ascii="Arial" w:hAnsi="Arial" w:cs="Arial"/>
          <w:sz w:val="20"/>
          <w:szCs w:val="20"/>
          <w:u w:val="single"/>
        </w:rPr>
        <w:t>Consideración de los hechos posteriores en la preparación de los estados contables</w:t>
      </w:r>
      <w:r w:rsidR="00977BC1" w:rsidRPr="00AC4AEA">
        <w:rPr>
          <w:rFonts w:ascii="Arial" w:hAnsi="Arial" w:cs="Arial"/>
          <w:sz w:val="20"/>
          <w:szCs w:val="20"/>
        </w:rPr>
        <w:t xml:space="preserve">” </w:t>
      </w:r>
      <w:r w:rsidR="00977BC1" w:rsidRPr="00AC4AEA">
        <w:rPr>
          <w:rFonts w:ascii="Arial" w:hAnsi="Arial" w:cs="Arial"/>
          <w:sz w:val="20"/>
          <w:szCs w:val="20"/>
          <w:u w:val="single"/>
        </w:rPr>
        <w:t>[</w:t>
      </w:r>
      <w:r w:rsidR="00977BC1" w:rsidRPr="00AC4AEA">
        <w:rPr>
          <w:rFonts w:ascii="Arial" w:hAnsi="Arial" w:cs="Arial"/>
          <w:sz w:val="20"/>
          <w:szCs w:val="20"/>
        </w:rPr>
        <w:t xml:space="preserve">ver el párrafo </w:t>
      </w:r>
      <w:fldSimple w:instr=" REF _Ref104825833 \r \h  \* MERGEFORMAT ">
        <w:r w:rsidR="00D33A5D" w:rsidRPr="00D33A5D">
          <w:rPr>
            <w:rFonts w:ascii="Arial" w:hAnsi="Arial" w:cs="Arial"/>
            <w:sz w:val="20"/>
            <w:szCs w:val="20"/>
          </w:rPr>
          <w:t>96</w:t>
        </w:r>
      </w:fldSimple>
      <w:r w:rsidR="00977BC1" w:rsidRPr="00AC4AEA">
        <w:rPr>
          <w:rFonts w:ascii="Arial" w:hAnsi="Arial" w:cs="Arial"/>
          <w:sz w:val="20"/>
          <w:szCs w:val="20"/>
        </w:rPr>
        <w:t>].</w:t>
      </w:r>
    </w:p>
    <w:p w:rsidR="00230E60" w:rsidRPr="00AC4AEA" w:rsidRDefault="00230E60" w:rsidP="00A318EA">
      <w:pPr>
        <w:jc w:val="both"/>
        <w:rPr>
          <w:rFonts w:ascii="Arial" w:hAnsi="Arial" w:cs="Arial"/>
          <w:sz w:val="20"/>
          <w:szCs w:val="20"/>
        </w:rPr>
      </w:pPr>
    </w:p>
    <w:p w:rsidR="0090400F" w:rsidRPr="00AC4AEA" w:rsidRDefault="0090400F" w:rsidP="00A318EA">
      <w:pPr>
        <w:pStyle w:val="Ttulo2"/>
        <w:rPr>
          <w:rFonts w:cs="Arial"/>
          <w:bCs/>
        </w:rPr>
      </w:pPr>
      <w:bookmarkStart w:id="33" w:name="_Toc101863708"/>
      <w:bookmarkStart w:id="34" w:name="_Toc139356573"/>
      <w:r w:rsidRPr="00AC4AEA">
        <w:rPr>
          <w:rFonts w:cs="Arial"/>
        </w:rPr>
        <w:lastRenderedPageBreak/>
        <w:t>Devengado</w:t>
      </w:r>
      <w:bookmarkEnd w:id="33"/>
      <w:bookmarkEnd w:id="34"/>
    </w:p>
    <w:p w:rsidR="0090400F" w:rsidRPr="00AC4AEA" w:rsidRDefault="003F288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D74FC9" w:rsidRPr="00AC4AEA">
        <w:rPr>
          <w:rFonts w:ascii="Arial" w:hAnsi="Arial" w:cs="Arial"/>
          <w:sz w:val="20"/>
          <w:szCs w:val="20"/>
        </w:rPr>
        <w:t>elaborará</w:t>
      </w:r>
      <w:r w:rsidRPr="00AC4AEA">
        <w:rPr>
          <w:rFonts w:ascii="Arial" w:hAnsi="Arial" w:cs="Arial"/>
          <w:sz w:val="20"/>
          <w:szCs w:val="20"/>
        </w:rPr>
        <w:t xml:space="preserve"> sus </w:t>
      </w:r>
      <w:r w:rsidR="00135084" w:rsidRPr="00AC4AEA">
        <w:rPr>
          <w:rFonts w:ascii="Arial" w:hAnsi="Arial" w:cs="Arial"/>
          <w:b/>
          <w:bCs/>
          <w:sz w:val="20"/>
          <w:szCs w:val="20"/>
        </w:rPr>
        <w:t>estados contables</w:t>
      </w:r>
      <w:r w:rsidRPr="00AC4AEA">
        <w:rPr>
          <w:rFonts w:ascii="Arial" w:hAnsi="Arial" w:cs="Arial"/>
          <w:sz w:val="20"/>
          <w:szCs w:val="20"/>
        </w:rPr>
        <w:t xml:space="preserve"> utilizando la base de acumulación o devengado, salvo </w:t>
      </w:r>
      <w:r w:rsidR="00DF43AF" w:rsidRPr="00AC4AEA">
        <w:rPr>
          <w:rFonts w:ascii="Arial" w:hAnsi="Arial" w:cs="Arial"/>
          <w:sz w:val="20"/>
          <w:szCs w:val="20"/>
        </w:rPr>
        <w:t xml:space="preserve">que esta Resolución Técnica u </w:t>
      </w:r>
      <w:r w:rsidR="00DF43AF" w:rsidRPr="00AC4AEA">
        <w:rPr>
          <w:rFonts w:ascii="Arial" w:hAnsi="Arial" w:cs="Arial"/>
          <w:b/>
          <w:sz w:val="20"/>
          <w:szCs w:val="20"/>
        </w:rPr>
        <w:t>otras normas contables</w:t>
      </w:r>
      <w:r w:rsidR="00DF43AF" w:rsidRPr="00AC4AEA">
        <w:rPr>
          <w:rFonts w:ascii="Arial" w:hAnsi="Arial" w:cs="Arial"/>
          <w:sz w:val="20"/>
          <w:szCs w:val="20"/>
        </w:rPr>
        <w:t xml:space="preserve"> requieran o permitan algún tratamiento diferente</w:t>
      </w:r>
      <w:r w:rsidR="0090400F" w:rsidRPr="00AC4AEA">
        <w:rPr>
          <w:rFonts w:ascii="Arial" w:hAnsi="Arial" w:cs="Arial"/>
          <w:sz w:val="20"/>
          <w:szCs w:val="20"/>
        </w:rPr>
        <w:t xml:space="preserve">. </w:t>
      </w:r>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De acuerdo con dicha base</w:t>
      </w:r>
      <w:r w:rsidR="00F10F74" w:rsidRPr="00AC4AEA">
        <w:rPr>
          <w:rFonts w:ascii="Arial" w:hAnsi="Arial" w:cs="Arial"/>
          <w:sz w:val="20"/>
          <w:szCs w:val="20"/>
        </w:rPr>
        <w:t>,</w:t>
      </w:r>
      <w:r w:rsidRPr="00AC4AEA">
        <w:rPr>
          <w:rFonts w:ascii="Arial" w:hAnsi="Arial" w:cs="Arial"/>
          <w:sz w:val="20"/>
          <w:szCs w:val="20"/>
        </w:rPr>
        <w:t xml:space="preserve"> </w:t>
      </w:r>
      <w:r w:rsidR="00D540D5" w:rsidRPr="00AC4AEA">
        <w:rPr>
          <w:rFonts w:ascii="Arial" w:hAnsi="Arial" w:cs="Arial"/>
          <w:sz w:val="20"/>
          <w:szCs w:val="20"/>
        </w:rPr>
        <w:t xml:space="preserve">una entidad </w:t>
      </w:r>
      <w:r w:rsidR="005652F2" w:rsidRPr="00AC4AEA">
        <w:rPr>
          <w:rFonts w:ascii="Arial" w:hAnsi="Arial" w:cs="Arial"/>
          <w:sz w:val="20"/>
          <w:szCs w:val="20"/>
        </w:rPr>
        <w:t xml:space="preserve">reconocerá los efectos patrimoniales de las transacciones u otros hechos en el período en el cual ocurren, con independencia del momento durante el cual se produzcan </w:t>
      </w:r>
      <w:r w:rsidR="00F43C5D" w:rsidRPr="00AC4AEA">
        <w:rPr>
          <w:rFonts w:ascii="Arial" w:hAnsi="Arial" w:cs="Arial"/>
          <w:sz w:val="20"/>
          <w:szCs w:val="20"/>
        </w:rPr>
        <w:t>las entradas</w:t>
      </w:r>
      <w:r w:rsidR="005652F2" w:rsidRPr="00AC4AEA">
        <w:rPr>
          <w:rFonts w:ascii="Arial" w:hAnsi="Arial" w:cs="Arial"/>
          <w:sz w:val="20"/>
          <w:szCs w:val="20"/>
        </w:rPr>
        <w:t xml:space="preserve"> y </w:t>
      </w:r>
      <w:r w:rsidR="00284464" w:rsidRPr="00AC4AEA">
        <w:rPr>
          <w:rFonts w:ascii="Arial" w:hAnsi="Arial" w:cs="Arial"/>
          <w:sz w:val="20"/>
          <w:szCs w:val="20"/>
        </w:rPr>
        <w:t xml:space="preserve">salidas </w:t>
      </w:r>
      <w:r w:rsidR="005652F2" w:rsidRPr="00AC4AEA">
        <w:rPr>
          <w:rFonts w:ascii="Arial" w:hAnsi="Arial" w:cs="Arial"/>
          <w:sz w:val="20"/>
          <w:szCs w:val="20"/>
        </w:rPr>
        <w:t xml:space="preserve">de efectivo </w:t>
      </w:r>
      <w:r w:rsidR="00284464" w:rsidRPr="00AC4AEA">
        <w:rPr>
          <w:rFonts w:ascii="Arial" w:hAnsi="Arial" w:cs="Arial"/>
          <w:sz w:val="20"/>
          <w:szCs w:val="20"/>
        </w:rPr>
        <w:t>relacionadas</w:t>
      </w:r>
      <w:r w:rsidR="005652F2" w:rsidRPr="00AC4AEA">
        <w:rPr>
          <w:rFonts w:ascii="Arial" w:hAnsi="Arial" w:cs="Arial"/>
          <w:sz w:val="20"/>
          <w:szCs w:val="20"/>
        </w:rPr>
        <w:t>.</w:t>
      </w:r>
    </w:p>
    <w:p w:rsidR="00AE7883" w:rsidRPr="00AC4AEA" w:rsidRDefault="00AE7883" w:rsidP="00A318EA">
      <w:pPr>
        <w:pStyle w:val="Ttulo1"/>
        <w:rPr>
          <w:rFonts w:cs="Arial"/>
          <w:sz w:val="20"/>
          <w:szCs w:val="20"/>
        </w:rPr>
      </w:pPr>
      <w:bookmarkStart w:id="35" w:name="elementos"/>
      <w:bookmarkStart w:id="36" w:name="_Toc101863709"/>
      <w:bookmarkStart w:id="37" w:name="elem"/>
      <w:bookmarkEnd w:id="35"/>
    </w:p>
    <w:p w:rsidR="00D95B1D" w:rsidRPr="00AC4AEA" w:rsidRDefault="002669E3" w:rsidP="00A318EA">
      <w:pPr>
        <w:pStyle w:val="Ttulo1"/>
        <w:rPr>
          <w:rFonts w:cs="Arial"/>
          <w:sz w:val="20"/>
          <w:szCs w:val="20"/>
        </w:rPr>
      </w:pPr>
      <w:bookmarkStart w:id="38" w:name="_Toc139356574"/>
      <w:r w:rsidRPr="00AC4AEA">
        <w:rPr>
          <w:rFonts w:cs="Arial"/>
          <w:sz w:val="20"/>
          <w:szCs w:val="20"/>
        </w:rPr>
        <w:t xml:space="preserve">ELEMENTOS DE LOS </w:t>
      </w:r>
      <w:r w:rsidR="00135084" w:rsidRPr="00AC4AEA">
        <w:rPr>
          <w:rFonts w:cs="Arial"/>
          <w:bCs/>
          <w:sz w:val="20"/>
          <w:szCs w:val="20"/>
        </w:rPr>
        <w:t>ESTADOS CONTABLES</w:t>
      </w:r>
      <w:bookmarkEnd w:id="36"/>
      <w:bookmarkEnd w:id="38"/>
    </w:p>
    <w:bookmarkEnd w:id="37"/>
    <w:p w:rsidR="00166B24" w:rsidRPr="00AC4AEA" w:rsidRDefault="00166B2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620308" w:rsidRPr="00AC4AEA">
        <w:rPr>
          <w:rFonts w:ascii="Arial" w:hAnsi="Arial" w:cs="Arial"/>
          <w:sz w:val="20"/>
          <w:szCs w:val="20"/>
        </w:rPr>
        <w:t>comunicará, a través de</w:t>
      </w:r>
      <w:r w:rsidRPr="00AC4AEA">
        <w:rPr>
          <w:rFonts w:ascii="Arial" w:hAnsi="Arial" w:cs="Arial"/>
          <w:sz w:val="20"/>
          <w:szCs w:val="20"/>
        </w:rPr>
        <w:t xml:space="preserve"> sus </w:t>
      </w:r>
      <w:r w:rsidR="00135084" w:rsidRPr="00AC4AEA">
        <w:rPr>
          <w:rFonts w:ascii="Arial" w:hAnsi="Arial" w:cs="Arial"/>
          <w:b/>
          <w:bCs/>
          <w:sz w:val="20"/>
          <w:szCs w:val="20"/>
        </w:rPr>
        <w:t>estados contables</w:t>
      </w:r>
      <w:r w:rsidR="00620308" w:rsidRPr="00AC4AEA">
        <w:rPr>
          <w:rFonts w:ascii="Arial" w:hAnsi="Arial" w:cs="Arial"/>
          <w:sz w:val="20"/>
          <w:szCs w:val="20"/>
        </w:rPr>
        <w:t>,</w:t>
      </w:r>
      <w:r w:rsidRPr="00AC4AEA">
        <w:rPr>
          <w:rFonts w:ascii="Arial" w:hAnsi="Arial" w:cs="Arial"/>
          <w:sz w:val="20"/>
          <w:szCs w:val="20"/>
        </w:rPr>
        <w:t xml:space="preserve"> </w:t>
      </w:r>
      <w:r w:rsidR="000451DC" w:rsidRPr="00AC4AEA">
        <w:rPr>
          <w:rFonts w:ascii="Arial" w:hAnsi="Arial" w:cs="Arial"/>
          <w:sz w:val="20"/>
          <w:szCs w:val="20"/>
        </w:rPr>
        <w:t xml:space="preserve">información </w:t>
      </w:r>
      <w:r w:rsidRPr="00AC4AEA">
        <w:rPr>
          <w:rFonts w:ascii="Arial" w:hAnsi="Arial" w:cs="Arial"/>
          <w:sz w:val="20"/>
          <w:szCs w:val="20"/>
        </w:rPr>
        <w:t>sobre:</w:t>
      </w:r>
    </w:p>
    <w:p w:rsidR="00166B24" w:rsidRPr="00AC4AEA" w:rsidRDefault="002669E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su </w:t>
      </w:r>
      <w:r w:rsidR="00166B24" w:rsidRPr="00AC4AEA">
        <w:rPr>
          <w:rFonts w:ascii="Arial" w:hAnsi="Arial" w:cs="Arial"/>
          <w:b/>
          <w:bCs/>
          <w:sz w:val="20"/>
          <w:szCs w:val="20"/>
        </w:rPr>
        <w:t>situación patrimonial</w:t>
      </w:r>
      <w:r w:rsidR="00166B24" w:rsidRPr="00AC4AEA">
        <w:rPr>
          <w:rFonts w:ascii="Arial" w:hAnsi="Arial" w:cs="Arial"/>
          <w:sz w:val="20"/>
          <w:szCs w:val="20"/>
        </w:rPr>
        <w:t xml:space="preserve"> a la </w:t>
      </w:r>
      <w:r w:rsidR="00166B24" w:rsidRPr="00AC4AEA">
        <w:rPr>
          <w:rFonts w:ascii="Arial" w:hAnsi="Arial" w:cs="Arial"/>
          <w:b/>
          <w:bCs/>
          <w:sz w:val="20"/>
          <w:szCs w:val="20"/>
        </w:rPr>
        <w:t xml:space="preserve">fecha de </w:t>
      </w:r>
      <w:r w:rsidR="000D2926" w:rsidRPr="00AC4AEA">
        <w:rPr>
          <w:rFonts w:ascii="Arial" w:hAnsi="Arial" w:cs="Arial"/>
          <w:b/>
          <w:bCs/>
          <w:sz w:val="20"/>
          <w:szCs w:val="20"/>
        </w:rPr>
        <w:t xml:space="preserve">los </w:t>
      </w:r>
      <w:r w:rsidR="00135084" w:rsidRPr="00AC4AEA">
        <w:rPr>
          <w:rFonts w:ascii="Arial" w:hAnsi="Arial" w:cs="Arial"/>
          <w:b/>
          <w:bCs/>
          <w:sz w:val="20"/>
          <w:szCs w:val="20"/>
        </w:rPr>
        <w:t>estados contables</w:t>
      </w:r>
      <w:r w:rsidR="00166B24" w:rsidRPr="00AC4AEA">
        <w:rPr>
          <w:rFonts w:ascii="Arial" w:hAnsi="Arial" w:cs="Arial"/>
          <w:sz w:val="20"/>
          <w:szCs w:val="20"/>
        </w:rPr>
        <w:t>;</w:t>
      </w:r>
    </w:p>
    <w:p w:rsidR="00166B24" w:rsidRPr="00AC4AEA" w:rsidRDefault="002669E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166B24" w:rsidRPr="00AC4AEA">
        <w:rPr>
          <w:rFonts w:ascii="Arial" w:hAnsi="Arial" w:cs="Arial"/>
          <w:b/>
          <w:bCs/>
          <w:sz w:val="20"/>
          <w:szCs w:val="20"/>
        </w:rPr>
        <w:t xml:space="preserve">evolución </w:t>
      </w:r>
      <w:r w:rsidR="003F2554" w:rsidRPr="00AC4AEA">
        <w:rPr>
          <w:rFonts w:ascii="Arial" w:hAnsi="Arial" w:cs="Arial"/>
          <w:b/>
          <w:bCs/>
          <w:sz w:val="20"/>
          <w:szCs w:val="20"/>
        </w:rPr>
        <w:t>patrimonial</w:t>
      </w:r>
      <w:r w:rsidR="00166B24" w:rsidRPr="00AC4AEA">
        <w:rPr>
          <w:rFonts w:ascii="Arial" w:hAnsi="Arial" w:cs="Arial"/>
          <w:sz w:val="20"/>
          <w:szCs w:val="20"/>
        </w:rPr>
        <w:t xml:space="preserve"> durante el período</w:t>
      </w:r>
      <w:r w:rsidR="000D2926" w:rsidRPr="00AC4AEA">
        <w:rPr>
          <w:rFonts w:ascii="Arial" w:hAnsi="Arial" w:cs="Arial"/>
          <w:sz w:val="20"/>
          <w:szCs w:val="20"/>
        </w:rPr>
        <w:t xml:space="preserve"> que concluye en la fecha indicada en el inciso anterior</w:t>
      </w:r>
      <w:r w:rsidR="00166B24" w:rsidRPr="00AC4AEA">
        <w:rPr>
          <w:rFonts w:ascii="Arial" w:hAnsi="Arial" w:cs="Arial"/>
          <w:sz w:val="20"/>
          <w:szCs w:val="20"/>
        </w:rPr>
        <w:t xml:space="preserve">, incluyendo un resumen de las causas del resultado </w:t>
      </w:r>
      <w:r w:rsidR="007E0E53" w:rsidRPr="00AC4AEA">
        <w:rPr>
          <w:rFonts w:ascii="Arial" w:hAnsi="Arial" w:cs="Arial"/>
          <w:sz w:val="20"/>
          <w:szCs w:val="20"/>
        </w:rPr>
        <w:t xml:space="preserve">correspondiente </w:t>
      </w:r>
      <w:r w:rsidR="00166B24" w:rsidRPr="00AC4AEA">
        <w:rPr>
          <w:rFonts w:ascii="Arial" w:hAnsi="Arial" w:cs="Arial"/>
          <w:sz w:val="20"/>
          <w:szCs w:val="20"/>
        </w:rPr>
        <w:t>a dicho lapso</w:t>
      </w:r>
      <w:r w:rsidRPr="00AC4AEA">
        <w:rPr>
          <w:rFonts w:ascii="Arial" w:hAnsi="Arial" w:cs="Arial"/>
          <w:sz w:val="20"/>
          <w:szCs w:val="20"/>
        </w:rPr>
        <w:t>;</w:t>
      </w:r>
      <w:r w:rsidR="00F9029B" w:rsidRPr="00AC4AEA">
        <w:rPr>
          <w:rFonts w:ascii="Arial" w:hAnsi="Arial" w:cs="Arial"/>
          <w:sz w:val="20"/>
          <w:szCs w:val="20"/>
        </w:rPr>
        <w:t xml:space="preserve"> y</w:t>
      </w:r>
    </w:p>
    <w:p w:rsidR="00166B24" w:rsidRPr="00AC4AEA" w:rsidRDefault="002669E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166B24" w:rsidRPr="00AC4AEA">
        <w:rPr>
          <w:rFonts w:ascii="Arial" w:hAnsi="Arial" w:cs="Arial"/>
          <w:b/>
          <w:bCs/>
          <w:sz w:val="20"/>
          <w:szCs w:val="20"/>
        </w:rPr>
        <w:t>evolución financiera</w:t>
      </w:r>
      <w:r w:rsidR="00166B24" w:rsidRPr="00AC4AEA">
        <w:rPr>
          <w:rFonts w:ascii="Arial" w:hAnsi="Arial" w:cs="Arial"/>
          <w:sz w:val="20"/>
          <w:szCs w:val="20"/>
        </w:rPr>
        <w:t xml:space="preserve"> por el mismo período, expuesta de </w:t>
      </w:r>
      <w:r w:rsidR="003D55E2" w:rsidRPr="00AC4AEA">
        <w:rPr>
          <w:rFonts w:ascii="Arial" w:hAnsi="Arial" w:cs="Arial"/>
          <w:sz w:val="20"/>
          <w:szCs w:val="20"/>
        </w:rPr>
        <w:t>m</w:t>
      </w:r>
      <w:r w:rsidR="00166B24" w:rsidRPr="00AC4AEA">
        <w:rPr>
          <w:rFonts w:ascii="Arial" w:hAnsi="Arial" w:cs="Arial"/>
          <w:sz w:val="20"/>
          <w:szCs w:val="20"/>
        </w:rPr>
        <w:t xml:space="preserve">odo que permita conocer </w:t>
      </w:r>
      <w:r w:rsidR="003D55E2" w:rsidRPr="00AC4AEA">
        <w:rPr>
          <w:rFonts w:ascii="Arial" w:hAnsi="Arial" w:cs="Arial"/>
          <w:sz w:val="20"/>
          <w:szCs w:val="20"/>
        </w:rPr>
        <w:t>las consecuencias</w:t>
      </w:r>
      <w:r w:rsidR="00166B24" w:rsidRPr="00AC4AEA">
        <w:rPr>
          <w:rFonts w:ascii="Arial" w:hAnsi="Arial" w:cs="Arial"/>
          <w:sz w:val="20"/>
          <w:szCs w:val="20"/>
        </w:rPr>
        <w:t xml:space="preserve"> de las actividades de operación, inversión y financiación.</w:t>
      </w:r>
    </w:p>
    <w:p w:rsidR="00D95B1D" w:rsidRPr="00AC4AEA" w:rsidRDefault="005E3C4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Para describir</w:t>
      </w:r>
      <w:r w:rsidR="002669E3" w:rsidRPr="00AC4AEA">
        <w:rPr>
          <w:rFonts w:ascii="Arial" w:hAnsi="Arial" w:cs="Arial"/>
          <w:sz w:val="20"/>
          <w:szCs w:val="20"/>
        </w:rPr>
        <w:t xml:space="preserve"> su </w:t>
      </w:r>
      <w:r w:rsidR="002669E3" w:rsidRPr="00AC4AEA">
        <w:rPr>
          <w:rFonts w:ascii="Arial" w:hAnsi="Arial" w:cs="Arial"/>
          <w:b/>
          <w:bCs/>
          <w:sz w:val="20"/>
          <w:szCs w:val="20"/>
        </w:rPr>
        <w:t>situación patrimonial</w:t>
      </w:r>
      <w:r w:rsidRPr="00AC4AEA">
        <w:rPr>
          <w:rFonts w:ascii="Arial" w:hAnsi="Arial" w:cs="Arial"/>
          <w:sz w:val="20"/>
          <w:szCs w:val="20"/>
        </w:rPr>
        <w:t>,</w:t>
      </w:r>
      <w:r w:rsidR="002669E3" w:rsidRPr="00AC4AEA">
        <w:rPr>
          <w:rFonts w:ascii="Arial" w:hAnsi="Arial" w:cs="Arial"/>
          <w:sz w:val="20"/>
          <w:szCs w:val="20"/>
        </w:rPr>
        <w:t xml:space="preserve"> </w:t>
      </w:r>
      <w:r w:rsidRPr="00AC4AEA">
        <w:rPr>
          <w:rFonts w:ascii="Arial" w:hAnsi="Arial" w:cs="Arial"/>
          <w:sz w:val="20"/>
          <w:szCs w:val="20"/>
        </w:rPr>
        <w:t xml:space="preserve">una </w:t>
      </w:r>
      <w:r w:rsidR="00E31476" w:rsidRPr="00AC4AEA">
        <w:rPr>
          <w:rFonts w:ascii="Arial" w:hAnsi="Arial" w:cs="Arial"/>
          <w:sz w:val="20"/>
          <w:szCs w:val="20"/>
        </w:rPr>
        <w:t xml:space="preserve">entidad deberá </w:t>
      </w:r>
      <w:r w:rsidRPr="00AC4AEA">
        <w:rPr>
          <w:rFonts w:ascii="Arial" w:hAnsi="Arial" w:cs="Arial"/>
          <w:sz w:val="20"/>
          <w:szCs w:val="20"/>
        </w:rPr>
        <w:t>informar sobre</w:t>
      </w:r>
      <w:r w:rsidR="00E31476" w:rsidRPr="00AC4AEA">
        <w:rPr>
          <w:rFonts w:ascii="Arial" w:hAnsi="Arial" w:cs="Arial"/>
          <w:sz w:val="20"/>
          <w:szCs w:val="20"/>
        </w:rPr>
        <w:t xml:space="preserve"> los siguientes elementos</w:t>
      </w:r>
      <w:r w:rsidR="00D95B1D" w:rsidRPr="00AC4AEA">
        <w:rPr>
          <w:rFonts w:ascii="Arial" w:hAnsi="Arial" w:cs="Arial"/>
          <w:sz w:val="20"/>
          <w:szCs w:val="20"/>
        </w:rPr>
        <w:t>:</w:t>
      </w:r>
    </w:p>
    <w:p w:rsidR="00E31476" w:rsidRPr="00AC4AEA" w:rsidRDefault="005E3C4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b/>
          <w:bCs/>
          <w:sz w:val="20"/>
          <w:szCs w:val="20"/>
        </w:rPr>
        <w:t>activo</w:t>
      </w:r>
      <w:r w:rsidRPr="00AC4AEA">
        <w:rPr>
          <w:rFonts w:ascii="Arial" w:hAnsi="Arial" w:cs="Arial"/>
          <w:sz w:val="20"/>
          <w:szCs w:val="20"/>
        </w:rPr>
        <w:t>;</w:t>
      </w:r>
    </w:p>
    <w:p w:rsidR="00E31476" w:rsidRPr="00AC4AEA" w:rsidRDefault="005E3C4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b/>
          <w:bCs/>
          <w:sz w:val="20"/>
          <w:szCs w:val="20"/>
        </w:rPr>
        <w:t>pasivo</w:t>
      </w:r>
      <w:r w:rsidRPr="00AC4AEA">
        <w:rPr>
          <w:rFonts w:ascii="Arial" w:hAnsi="Arial" w:cs="Arial"/>
          <w:sz w:val="20"/>
          <w:szCs w:val="20"/>
        </w:rPr>
        <w:t xml:space="preserve">; </w:t>
      </w:r>
      <w:r w:rsidR="009B184E" w:rsidRPr="00AC4AEA">
        <w:rPr>
          <w:rFonts w:ascii="Arial" w:hAnsi="Arial" w:cs="Arial"/>
          <w:sz w:val="20"/>
          <w:szCs w:val="20"/>
        </w:rPr>
        <w:t>y</w:t>
      </w:r>
    </w:p>
    <w:p w:rsidR="00E31476" w:rsidRPr="00AC4AEA" w:rsidRDefault="005E3C4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b/>
          <w:bCs/>
          <w:sz w:val="20"/>
          <w:szCs w:val="20"/>
        </w:rPr>
        <w:t xml:space="preserve">patrimonio </w:t>
      </w:r>
      <w:r w:rsidR="00E31476" w:rsidRPr="00AC4AEA">
        <w:rPr>
          <w:rFonts w:ascii="Arial" w:hAnsi="Arial" w:cs="Arial"/>
          <w:b/>
          <w:bCs/>
          <w:sz w:val="20"/>
          <w:szCs w:val="20"/>
        </w:rPr>
        <w:t>neto</w:t>
      </w:r>
      <w:r w:rsidR="00E31476" w:rsidRPr="00AC4AEA">
        <w:rPr>
          <w:rFonts w:ascii="Arial" w:hAnsi="Arial" w:cs="Arial"/>
          <w:sz w:val="20"/>
          <w:szCs w:val="20"/>
        </w:rPr>
        <w:t>.</w:t>
      </w:r>
    </w:p>
    <w:p w:rsidR="00E31476" w:rsidRPr="00AC4AEA" w:rsidRDefault="00E31476" w:rsidP="00A318EA">
      <w:pPr>
        <w:pStyle w:val="Prrafodelista"/>
        <w:numPr>
          <w:ilvl w:val="0"/>
          <w:numId w:val="29"/>
        </w:numPr>
        <w:contextualSpacing w:val="0"/>
        <w:jc w:val="both"/>
        <w:rPr>
          <w:rFonts w:ascii="Arial" w:hAnsi="Arial" w:cs="Arial"/>
          <w:sz w:val="20"/>
          <w:szCs w:val="20"/>
        </w:rPr>
      </w:pPr>
      <w:bookmarkStart w:id="39" w:name="_Ref74755232"/>
      <w:bookmarkStart w:id="40" w:name="_Ref106701972"/>
      <w:r w:rsidRPr="00AC4AEA">
        <w:rPr>
          <w:rFonts w:ascii="Arial" w:hAnsi="Arial" w:cs="Arial"/>
          <w:b/>
          <w:bCs/>
          <w:sz w:val="20"/>
          <w:szCs w:val="20"/>
        </w:rPr>
        <w:t>Activo</w:t>
      </w:r>
      <w:r w:rsidRPr="00AC4AEA">
        <w:rPr>
          <w:rFonts w:ascii="Arial" w:hAnsi="Arial" w:cs="Arial"/>
          <w:sz w:val="20"/>
          <w:szCs w:val="20"/>
        </w:rPr>
        <w:t xml:space="preserve"> es un recurso económico (material o inmaterial)</w:t>
      </w:r>
      <w:r w:rsidR="000D2926" w:rsidRPr="00AC4AEA">
        <w:rPr>
          <w:rFonts w:ascii="Arial" w:hAnsi="Arial" w:cs="Arial"/>
          <w:sz w:val="20"/>
          <w:szCs w:val="20"/>
        </w:rPr>
        <w:t xml:space="preserve">, </w:t>
      </w:r>
      <w:r w:rsidRPr="00AC4AEA">
        <w:rPr>
          <w:rFonts w:ascii="Arial" w:hAnsi="Arial" w:cs="Arial"/>
          <w:sz w:val="20"/>
          <w:szCs w:val="20"/>
        </w:rPr>
        <w:t>controlado por la entidad</w:t>
      </w:r>
      <w:r w:rsidR="00C909AE" w:rsidRPr="00AC4AEA">
        <w:rPr>
          <w:rFonts w:ascii="Arial" w:hAnsi="Arial" w:cs="Arial"/>
          <w:sz w:val="20"/>
          <w:szCs w:val="20"/>
        </w:rPr>
        <w:t xml:space="preserve"> como consecuencia de hechos ya ocurridos.</w:t>
      </w:r>
      <w:bookmarkEnd w:id="39"/>
      <w:r w:rsidR="00B95A5E" w:rsidRPr="00AC4AEA">
        <w:rPr>
          <w:rFonts w:ascii="Arial" w:hAnsi="Arial" w:cs="Arial"/>
          <w:b/>
          <w:bCs/>
          <w:sz w:val="20"/>
          <w:szCs w:val="20"/>
        </w:rPr>
        <w:t xml:space="preserve"> </w:t>
      </w:r>
      <w:r w:rsidR="00B95A5E" w:rsidRPr="00AC4AEA">
        <w:rPr>
          <w:rFonts w:ascii="Arial" w:hAnsi="Arial" w:cs="Arial"/>
          <w:sz w:val="20"/>
          <w:szCs w:val="20"/>
        </w:rPr>
        <w:t>Un recurso económico es un bien o un derecho que tiene la capacidad de generar beneficios económicos.</w:t>
      </w:r>
      <w:bookmarkEnd w:id="40"/>
    </w:p>
    <w:p w:rsidR="00E31476" w:rsidRPr="00AC4AEA" w:rsidRDefault="00E31476" w:rsidP="00A318EA">
      <w:pPr>
        <w:pStyle w:val="Prrafodelista"/>
        <w:numPr>
          <w:ilvl w:val="0"/>
          <w:numId w:val="29"/>
        </w:numPr>
        <w:contextualSpacing w:val="0"/>
        <w:jc w:val="both"/>
        <w:rPr>
          <w:rFonts w:ascii="Arial" w:hAnsi="Arial" w:cs="Arial"/>
          <w:sz w:val="20"/>
          <w:szCs w:val="20"/>
        </w:rPr>
      </w:pPr>
      <w:bookmarkStart w:id="41" w:name="_Ref74818851"/>
      <w:bookmarkStart w:id="42" w:name="_Ref135763194"/>
      <w:r w:rsidRPr="00AC4AEA">
        <w:rPr>
          <w:rFonts w:ascii="Arial" w:hAnsi="Arial" w:cs="Arial"/>
          <w:b/>
          <w:bCs/>
          <w:sz w:val="20"/>
          <w:szCs w:val="20"/>
        </w:rPr>
        <w:t>Pasivo</w:t>
      </w:r>
      <w:r w:rsidRPr="00AC4AEA">
        <w:rPr>
          <w:rFonts w:ascii="Arial" w:hAnsi="Arial" w:cs="Arial"/>
          <w:sz w:val="20"/>
          <w:szCs w:val="20"/>
        </w:rPr>
        <w:t xml:space="preserve"> es una obligación de entregar </w:t>
      </w:r>
      <w:r w:rsidR="00497590" w:rsidRPr="00AC4AEA">
        <w:rPr>
          <w:rFonts w:ascii="Arial" w:hAnsi="Arial" w:cs="Arial"/>
          <w:sz w:val="20"/>
          <w:szCs w:val="20"/>
        </w:rPr>
        <w:t>activos</w:t>
      </w:r>
      <w:r w:rsidRPr="00AC4AEA">
        <w:rPr>
          <w:rFonts w:ascii="Arial" w:hAnsi="Arial" w:cs="Arial"/>
          <w:sz w:val="20"/>
          <w:szCs w:val="20"/>
        </w:rPr>
        <w:t xml:space="preserve"> o prestar servicios</w:t>
      </w:r>
      <w:r w:rsidR="00DD001F" w:rsidRPr="00AC4AEA">
        <w:rPr>
          <w:rFonts w:ascii="Arial" w:hAnsi="Arial" w:cs="Arial"/>
          <w:sz w:val="20"/>
          <w:szCs w:val="20"/>
        </w:rPr>
        <w:t xml:space="preserve"> a</w:t>
      </w:r>
      <w:r w:rsidRPr="00AC4AEA">
        <w:rPr>
          <w:rFonts w:ascii="Arial" w:hAnsi="Arial" w:cs="Arial"/>
          <w:sz w:val="20"/>
          <w:szCs w:val="20"/>
        </w:rPr>
        <w:t xml:space="preserve"> </w:t>
      </w:r>
      <w:r w:rsidR="006B02B3" w:rsidRPr="00AC4AEA">
        <w:rPr>
          <w:rFonts w:ascii="Arial" w:hAnsi="Arial" w:cs="Arial"/>
          <w:sz w:val="20"/>
          <w:szCs w:val="20"/>
        </w:rPr>
        <w:t>terceros</w:t>
      </w:r>
      <w:r w:rsidRPr="00AC4AEA">
        <w:rPr>
          <w:rFonts w:ascii="Arial" w:hAnsi="Arial" w:cs="Arial"/>
          <w:sz w:val="20"/>
          <w:szCs w:val="20"/>
        </w:rPr>
        <w:t>, como consecuencia de hechos ya ocurridos.</w:t>
      </w:r>
      <w:bookmarkEnd w:id="41"/>
      <w:r w:rsidR="0048782C" w:rsidRPr="00AC4AEA">
        <w:rPr>
          <w:rFonts w:ascii="Arial" w:hAnsi="Arial" w:cs="Arial"/>
          <w:sz w:val="20"/>
          <w:szCs w:val="20"/>
        </w:rPr>
        <w:t xml:space="preserve"> Un </w:t>
      </w:r>
      <w:r w:rsidR="0048782C" w:rsidRPr="00C73D55">
        <w:rPr>
          <w:rFonts w:ascii="Arial" w:hAnsi="Arial" w:cs="Arial"/>
          <w:b/>
          <w:bCs/>
          <w:sz w:val="20"/>
          <w:szCs w:val="20"/>
        </w:rPr>
        <w:t xml:space="preserve">pasivo </w:t>
      </w:r>
      <w:r w:rsidR="0048782C" w:rsidRPr="00AC4AEA">
        <w:rPr>
          <w:rFonts w:ascii="Arial" w:hAnsi="Arial" w:cs="Arial"/>
          <w:sz w:val="20"/>
          <w:szCs w:val="20"/>
        </w:rPr>
        <w:t>puede incluir obligaciones:</w:t>
      </w:r>
      <w:bookmarkEnd w:id="42"/>
    </w:p>
    <w:p w:rsidR="0048782C" w:rsidRPr="00AC4AEA" w:rsidRDefault="008D3CB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legales</w:t>
      </w:r>
      <w:r w:rsidR="0048782C" w:rsidRPr="00AC4AEA">
        <w:rPr>
          <w:rFonts w:ascii="Arial" w:hAnsi="Arial" w:cs="Arial"/>
          <w:sz w:val="20"/>
          <w:szCs w:val="20"/>
        </w:rPr>
        <w:t>, que son las originadas en:</w:t>
      </w:r>
    </w:p>
    <w:p w:rsidR="0048782C" w:rsidRPr="00AC4AEA" w:rsidRDefault="0048782C"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la legislación;</w:t>
      </w:r>
    </w:p>
    <w:p w:rsidR="0048782C" w:rsidRPr="00AC4AEA" w:rsidRDefault="0048782C"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contratos o acuerdos entre partes; o</w:t>
      </w:r>
    </w:p>
    <w:p w:rsidR="0048782C" w:rsidRPr="00AC4AEA" w:rsidRDefault="0048782C"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alg</w:t>
      </w:r>
      <w:r w:rsidR="008D3CB2" w:rsidRPr="00AC4AEA">
        <w:rPr>
          <w:rFonts w:ascii="Arial" w:hAnsi="Arial" w:cs="Arial"/>
          <w:sz w:val="20"/>
          <w:szCs w:val="20"/>
        </w:rPr>
        <w:t>una</w:t>
      </w:r>
      <w:r w:rsidRPr="00AC4AEA">
        <w:rPr>
          <w:rFonts w:ascii="Arial" w:hAnsi="Arial" w:cs="Arial"/>
          <w:sz w:val="20"/>
          <w:szCs w:val="20"/>
        </w:rPr>
        <w:t xml:space="preserve"> otra causa legal; o</w:t>
      </w:r>
    </w:p>
    <w:p w:rsidR="0048782C" w:rsidRPr="00AC4AEA" w:rsidRDefault="008D3CB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voluntarias,</w:t>
      </w:r>
      <w:r w:rsidR="0048782C" w:rsidRPr="00AC4AEA">
        <w:rPr>
          <w:rFonts w:ascii="Arial" w:hAnsi="Arial" w:cs="Arial"/>
          <w:sz w:val="20"/>
          <w:szCs w:val="20"/>
        </w:rPr>
        <w:t xml:space="preserve"> que son l</w:t>
      </w:r>
      <w:r w:rsidRPr="00AC4AEA">
        <w:rPr>
          <w:rFonts w:ascii="Arial" w:hAnsi="Arial" w:cs="Arial"/>
          <w:sz w:val="20"/>
          <w:szCs w:val="20"/>
        </w:rPr>
        <w:t>o</w:t>
      </w:r>
      <w:r w:rsidR="0048782C" w:rsidRPr="00AC4AEA">
        <w:rPr>
          <w:rFonts w:ascii="Arial" w:hAnsi="Arial" w:cs="Arial"/>
          <w:sz w:val="20"/>
          <w:szCs w:val="20"/>
        </w:rPr>
        <w:t>s</w:t>
      </w:r>
      <w:r w:rsidRPr="00AC4AEA">
        <w:rPr>
          <w:rFonts w:ascii="Arial" w:hAnsi="Arial" w:cs="Arial"/>
          <w:sz w:val="20"/>
          <w:szCs w:val="20"/>
        </w:rPr>
        <w:t xml:space="preserve"> compromisos o responsabilidades</w:t>
      </w:r>
      <w:r w:rsidR="0048782C" w:rsidRPr="00AC4AEA">
        <w:rPr>
          <w:rFonts w:ascii="Arial" w:hAnsi="Arial" w:cs="Arial"/>
          <w:sz w:val="20"/>
          <w:szCs w:val="20"/>
        </w:rPr>
        <w:t xml:space="preserve"> asumidas </w:t>
      </w:r>
      <w:r w:rsidRPr="00AC4AEA">
        <w:rPr>
          <w:rFonts w:ascii="Arial" w:hAnsi="Arial" w:cs="Arial"/>
          <w:sz w:val="20"/>
          <w:szCs w:val="20"/>
        </w:rPr>
        <w:t>por una entidad:</w:t>
      </w:r>
    </w:p>
    <w:p w:rsidR="0048782C" w:rsidRPr="00AC4AEA" w:rsidRDefault="008D3CB2"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lastRenderedPageBreak/>
        <w:t xml:space="preserve">como consecuencia de </w:t>
      </w:r>
      <w:r w:rsidR="0048782C" w:rsidRPr="00AC4AEA">
        <w:rPr>
          <w:rFonts w:ascii="Arial" w:hAnsi="Arial" w:cs="Arial"/>
          <w:sz w:val="20"/>
          <w:szCs w:val="20"/>
        </w:rPr>
        <w:t>un patrón de comportamiento, políticas empresariales de dominio público o declaraciones suficientemente concretas;</w:t>
      </w:r>
      <w:r w:rsidRPr="00AC4AEA">
        <w:rPr>
          <w:rFonts w:ascii="Arial" w:hAnsi="Arial" w:cs="Arial"/>
          <w:sz w:val="20"/>
          <w:szCs w:val="20"/>
        </w:rPr>
        <w:t xml:space="preserve"> y</w:t>
      </w:r>
    </w:p>
    <w:p w:rsidR="0048782C" w:rsidRPr="00AC4AEA" w:rsidRDefault="0048782C"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mediante l</w:t>
      </w:r>
      <w:r w:rsidR="008D3CB2" w:rsidRPr="00AC4AEA">
        <w:rPr>
          <w:rFonts w:ascii="Arial" w:hAnsi="Arial" w:cs="Arial"/>
          <w:sz w:val="20"/>
          <w:szCs w:val="20"/>
        </w:rPr>
        <w:t>o</w:t>
      </w:r>
      <w:r w:rsidRPr="00AC4AEA">
        <w:rPr>
          <w:rFonts w:ascii="Arial" w:hAnsi="Arial" w:cs="Arial"/>
          <w:sz w:val="20"/>
          <w:szCs w:val="20"/>
        </w:rPr>
        <w:t>s cuales crea en terceros expectativas de que va a cumplir dicho</w:t>
      </w:r>
      <w:r w:rsidR="008D3CB2" w:rsidRPr="00AC4AEA">
        <w:rPr>
          <w:rFonts w:ascii="Arial" w:hAnsi="Arial" w:cs="Arial"/>
          <w:sz w:val="20"/>
          <w:szCs w:val="20"/>
        </w:rPr>
        <w:t>s</w:t>
      </w:r>
      <w:r w:rsidRPr="00AC4AEA">
        <w:rPr>
          <w:rFonts w:ascii="Arial" w:hAnsi="Arial" w:cs="Arial"/>
          <w:sz w:val="20"/>
          <w:szCs w:val="20"/>
        </w:rPr>
        <w:t xml:space="preserve"> compromiso</w:t>
      </w:r>
      <w:r w:rsidR="008D3CB2" w:rsidRPr="00AC4AEA">
        <w:rPr>
          <w:rFonts w:ascii="Arial" w:hAnsi="Arial" w:cs="Arial"/>
          <w:sz w:val="20"/>
          <w:szCs w:val="20"/>
        </w:rPr>
        <w:t xml:space="preserve">s </w:t>
      </w:r>
      <w:r w:rsidRPr="00AC4AEA">
        <w:rPr>
          <w:rFonts w:ascii="Arial" w:hAnsi="Arial" w:cs="Arial"/>
          <w:sz w:val="20"/>
          <w:szCs w:val="20"/>
        </w:rPr>
        <w:t>o responsabilidad</w:t>
      </w:r>
      <w:r w:rsidR="008D3CB2" w:rsidRPr="00AC4AEA">
        <w:rPr>
          <w:rFonts w:ascii="Arial" w:hAnsi="Arial" w:cs="Arial"/>
          <w:sz w:val="20"/>
          <w:szCs w:val="20"/>
        </w:rPr>
        <w:t>es</w:t>
      </w:r>
      <w:r w:rsidRPr="00AC4AEA">
        <w:rPr>
          <w:rFonts w:ascii="Arial" w:hAnsi="Arial" w:cs="Arial"/>
          <w:sz w:val="20"/>
          <w:szCs w:val="20"/>
        </w:rPr>
        <w:t>.</w:t>
      </w:r>
    </w:p>
    <w:p w:rsidR="00BB71F9" w:rsidRPr="00AC4AEA" w:rsidRDefault="001D1648" w:rsidP="00A318EA">
      <w:pPr>
        <w:pStyle w:val="Prrafodelista"/>
        <w:numPr>
          <w:ilvl w:val="0"/>
          <w:numId w:val="29"/>
        </w:numPr>
        <w:contextualSpacing w:val="0"/>
        <w:jc w:val="both"/>
        <w:rPr>
          <w:rFonts w:ascii="Arial" w:hAnsi="Arial" w:cs="Arial"/>
          <w:sz w:val="20"/>
          <w:szCs w:val="20"/>
        </w:rPr>
      </w:pPr>
      <w:bookmarkStart w:id="43" w:name="_Ref74829913"/>
      <w:r w:rsidRPr="00AC4AEA">
        <w:rPr>
          <w:rFonts w:ascii="Arial" w:hAnsi="Arial" w:cs="Arial"/>
          <w:b/>
          <w:bCs/>
          <w:sz w:val="20"/>
          <w:szCs w:val="20"/>
        </w:rPr>
        <w:t>Patrimonio neto</w:t>
      </w:r>
      <w:r w:rsidRPr="00AC4AEA">
        <w:rPr>
          <w:rFonts w:ascii="Arial" w:hAnsi="Arial" w:cs="Arial"/>
          <w:sz w:val="20"/>
          <w:szCs w:val="20"/>
        </w:rPr>
        <w:t xml:space="preserve"> es la suma de</w:t>
      </w:r>
      <w:r w:rsidR="00BB71F9" w:rsidRPr="00AC4AEA">
        <w:rPr>
          <w:rFonts w:ascii="Arial" w:hAnsi="Arial" w:cs="Arial"/>
          <w:sz w:val="20"/>
          <w:szCs w:val="20"/>
        </w:rPr>
        <w:t>:</w:t>
      </w:r>
      <w:bookmarkEnd w:id="43"/>
      <w:r w:rsidRPr="00AC4AEA">
        <w:rPr>
          <w:rFonts w:ascii="Arial" w:hAnsi="Arial" w:cs="Arial"/>
          <w:sz w:val="20"/>
          <w:szCs w:val="20"/>
        </w:rPr>
        <w:t xml:space="preserve"> </w:t>
      </w:r>
    </w:p>
    <w:p w:rsidR="00BB71F9" w:rsidRPr="00AC4AEA" w:rsidRDefault="006B726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001D1648" w:rsidRPr="003A4B10">
        <w:rPr>
          <w:rFonts w:ascii="Arial" w:hAnsi="Arial" w:cs="Arial"/>
          <w:b/>
          <w:bCs/>
          <w:sz w:val="20"/>
          <w:szCs w:val="20"/>
        </w:rPr>
        <w:t>aportes</w:t>
      </w:r>
      <w:r w:rsidR="001D1648" w:rsidRPr="00AC4AEA">
        <w:rPr>
          <w:rFonts w:ascii="Arial" w:hAnsi="Arial" w:cs="Arial"/>
          <w:sz w:val="20"/>
          <w:szCs w:val="20"/>
        </w:rPr>
        <w:t xml:space="preserve"> de los propietarios o asociados de una entidad</w:t>
      </w:r>
      <w:r w:rsidRPr="00AC4AEA">
        <w:rPr>
          <w:rFonts w:ascii="Arial" w:hAnsi="Arial" w:cs="Arial"/>
          <w:sz w:val="20"/>
          <w:szCs w:val="20"/>
        </w:rPr>
        <w:t>;</w:t>
      </w:r>
      <w:r w:rsidR="001D1648" w:rsidRPr="00AC4AEA">
        <w:rPr>
          <w:rFonts w:ascii="Arial" w:hAnsi="Arial" w:cs="Arial"/>
          <w:sz w:val="20"/>
          <w:szCs w:val="20"/>
        </w:rPr>
        <w:t xml:space="preserve"> </w:t>
      </w:r>
    </w:p>
    <w:p w:rsidR="006868B8" w:rsidRPr="00AC4AEA" w:rsidRDefault="0046154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los</w:t>
      </w:r>
      <w:r w:rsidR="001D1648" w:rsidRPr="00AC4AEA">
        <w:rPr>
          <w:rFonts w:ascii="Arial" w:hAnsi="Arial" w:cs="Arial"/>
          <w:sz w:val="20"/>
          <w:szCs w:val="20"/>
        </w:rPr>
        <w:t xml:space="preserve"> resultados</w:t>
      </w:r>
      <w:r w:rsidRPr="00AC4AEA">
        <w:rPr>
          <w:rFonts w:ascii="Arial" w:hAnsi="Arial" w:cs="Arial"/>
          <w:sz w:val="20"/>
          <w:szCs w:val="20"/>
        </w:rPr>
        <w:t xml:space="preserve"> acumulados</w:t>
      </w:r>
      <w:r w:rsidR="004B3E51" w:rsidRPr="00AC4AEA">
        <w:rPr>
          <w:rFonts w:ascii="Arial" w:hAnsi="Arial" w:cs="Arial"/>
          <w:sz w:val="20"/>
          <w:szCs w:val="20"/>
        </w:rPr>
        <w:t xml:space="preserve">, que </w:t>
      </w:r>
      <w:r w:rsidR="00011EF4" w:rsidRPr="00AC4AEA">
        <w:rPr>
          <w:rFonts w:ascii="Arial" w:hAnsi="Arial" w:cs="Arial"/>
          <w:sz w:val="20"/>
          <w:szCs w:val="20"/>
        </w:rPr>
        <w:t>incluye</w:t>
      </w:r>
      <w:r w:rsidR="00EC01DE" w:rsidRPr="00AC4AEA">
        <w:rPr>
          <w:rFonts w:ascii="Arial" w:hAnsi="Arial" w:cs="Arial"/>
          <w:sz w:val="20"/>
          <w:szCs w:val="20"/>
        </w:rPr>
        <w:t>n</w:t>
      </w:r>
      <w:r w:rsidR="006868B8" w:rsidRPr="00AC4AEA">
        <w:rPr>
          <w:rFonts w:ascii="Arial" w:hAnsi="Arial" w:cs="Arial"/>
          <w:sz w:val="20"/>
          <w:szCs w:val="20"/>
        </w:rPr>
        <w:t>:</w:t>
      </w:r>
    </w:p>
    <w:p w:rsidR="006868B8" w:rsidRPr="00AC4AEA" w:rsidRDefault="006868B8"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las ganancias reservadas; </w:t>
      </w:r>
    </w:p>
    <w:p w:rsidR="00544EFF" w:rsidRPr="00AC4AEA" w:rsidRDefault="00464F00"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l</w:t>
      </w:r>
      <w:r w:rsidR="00482ED7" w:rsidRPr="00AC4AEA">
        <w:rPr>
          <w:rFonts w:ascii="Arial" w:hAnsi="Arial" w:cs="Arial"/>
          <w:sz w:val="20"/>
          <w:szCs w:val="20"/>
        </w:rPr>
        <w:t>os resultados no asignados</w:t>
      </w:r>
      <w:r w:rsidRPr="00AC4AEA">
        <w:rPr>
          <w:rFonts w:ascii="Arial" w:hAnsi="Arial" w:cs="Arial"/>
          <w:sz w:val="20"/>
          <w:szCs w:val="20"/>
        </w:rPr>
        <w:t xml:space="preserve">; y </w:t>
      </w:r>
    </w:p>
    <w:p w:rsidR="006868B8" w:rsidRPr="00AC4AEA" w:rsidRDefault="002D0AD6"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resultados diferidos</w:t>
      </w:r>
      <w:r w:rsidR="004B7FE7" w:rsidRPr="00AC4AEA">
        <w:rPr>
          <w:rFonts w:ascii="Arial" w:hAnsi="Arial" w:cs="Arial"/>
          <w:sz w:val="20"/>
          <w:szCs w:val="20"/>
        </w:rPr>
        <w:t>.</w:t>
      </w:r>
    </w:p>
    <w:p w:rsidR="006E4218" w:rsidRPr="00AC4AEA" w:rsidRDefault="0046785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Para</w:t>
      </w:r>
      <w:r w:rsidR="005E3C4B" w:rsidRPr="00AC4AEA">
        <w:rPr>
          <w:rFonts w:ascii="Arial" w:hAnsi="Arial" w:cs="Arial"/>
          <w:sz w:val="20"/>
          <w:szCs w:val="20"/>
        </w:rPr>
        <w:t xml:space="preserve"> describir </w:t>
      </w:r>
      <w:r w:rsidR="006E4218" w:rsidRPr="00AC4AEA">
        <w:rPr>
          <w:rFonts w:ascii="Arial" w:hAnsi="Arial" w:cs="Arial"/>
          <w:sz w:val="20"/>
          <w:szCs w:val="20"/>
        </w:rPr>
        <w:t xml:space="preserve">su </w:t>
      </w:r>
      <w:r w:rsidR="006E4218" w:rsidRPr="00AC4AEA">
        <w:rPr>
          <w:rFonts w:ascii="Arial" w:hAnsi="Arial" w:cs="Arial"/>
          <w:b/>
          <w:bCs/>
          <w:sz w:val="20"/>
          <w:szCs w:val="20"/>
        </w:rPr>
        <w:t>evolución patrimonial</w:t>
      </w:r>
      <w:r w:rsidR="006E4218" w:rsidRPr="00AC4AEA">
        <w:rPr>
          <w:rFonts w:ascii="Arial" w:hAnsi="Arial" w:cs="Arial"/>
          <w:sz w:val="20"/>
          <w:szCs w:val="20"/>
        </w:rPr>
        <w:t xml:space="preserve">, </w:t>
      </w:r>
      <w:r w:rsidR="005E3C4B" w:rsidRPr="00AC4AEA">
        <w:rPr>
          <w:rFonts w:ascii="Arial" w:hAnsi="Arial" w:cs="Arial"/>
          <w:sz w:val="20"/>
          <w:szCs w:val="20"/>
        </w:rPr>
        <w:t xml:space="preserve">una entidad deberá </w:t>
      </w:r>
      <w:r w:rsidRPr="00AC4AEA">
        <w:rPr>
          <w:rFonts w:ascii="Arial" w:hAnsi="Arial" w:cs="Arial"/>
          <w:sz w:val="20"/>
          <w:szCs w:val="20"/>
        </w:rPr>
        <w:t>informar sobre</w:t>
      </w:r>
      <w:r w:rsidR="005E3C4B" w:rsidRPr="00AC4AEA">
        <w:rPr>
          <w:rFonts w:ascii="Arial" w:hAnsi="Arial" w:cs="Arial"/>
          <w:sz w:val="20"/>
          <w:szCs w:val="20"/>
        </w:rPr>
        <w:t xml:space="preserve"> </w:t>
      </w:r>
      <w:r w:rsidR="006E4218" w:rsidRPr="00AC4AEA">
        <w:rPr>
          <w:rFonts w:ascii="Arial" w:hAnsi="Arial" w:cs="Arial"/>
          <w:sz w:val="20"/>
          <w:szCs w:val="20"/>
        </w:rPr>
        <w:t>los siguientes elementos:</w:t>
      </w:r>
    </w:p>
    <w:p w:rsidR="00467851" w:rsidRPr="00AC4AEA" w:rsidRDefault="006B726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467851" w:rsidRPr="00AC4AEA">
        <w:rPr>
          <w:rFonts w:ascii="Arial" w:hAnsi="Arial" w:cs="Arial"/>
          <w:sz w:val="20"/>
          <w:szCs w:val="20"/>
        </w:rPr>
        <w:t xml:space="preserve">as transacciones con los propietarios o asociados de la entidad, cuando actúan en </w:t>
      </w:r>
      <w:r w:rsidR="00922F4B" w:rsidRPr="00AC4AEA">
        <w:rPr>
          <w:rFonts w:ascii="Arial" w:hAnsi="Arial" w:cs="Arial"/>
          <w:sz w:val="20"/>
          <w:szCs w:val="20"/>
        </w:rPr>
        <w:t>su carácter de tales</w:t>
      </w:r>
      <w:r w:rsidR="00467851" w:rsidRPr="00AC4AEA">
        <w:rPr>
          <w:rFonts w:ascii="Arial" w:hAnsi="Arial" w:cs="Arial"/>
          <w:sz w:val="20"/>
          <w:szCs w:val="20"/>
        </w:rPr>
        <w:t>;</w:t>
      </w:r>
    </w:p>
    <w:p w:rsidR="00553E15" w:rsidRPr="00AC4AEA" w:rsidRDefault="006B726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u</w:t>
      </w:r>
      <w:r w:rsidR="00496844" w:rsidRPr="00AC4AEA">
        <w:rPr>
          <w:rFonts w:ascii="Arial" w:hAnsi="Arial" w:cs="Arial"/>
          <w:sz w:val="20"/>
          <w:szCs w:val="20"/>
        </w:rPr>
        <w:t>n resumen de</w:t>
      </w:r>
      <w:r w:rsidR="00553E15" w:rsidRPr="00AC4AEA">
        <w:rPr>
          <w:rFonts w:ascii="Arial" w:hAnsi="Arial" w:cs="Arial"/>
          <w:sz w:val="20"/>
          <w:szCs w:val="20"/>
        </w:rPr>
        <w:t xml:space="preserve"> las causas </w:t>
      </w:r>
      <w:r w:rsidR="000D2926" w:rsidRPr="00AC4AEA">
        <w:rPr>
          <w:rFonts w:ascii="Arial" w:hAnsi="Arial" w:cs="Arial"/>
          <w:sz w:val="20"/>
          <w:szCs w:val="20"/>
        </w:rPr>
        <w:t>que generan el</w:t>
      </w:r>
      <w:r w:rsidR="00553E15" w:rsidRPr="00AC4AEA">
        <w:rPr>
          <w:rFonts w:ascii="Arial" w:hAnsi="Arial" w:cs="Arial"/>
          <w:sz w:val="20"/>
          <w:szCs w:val="20"/>
        </w:rPr>
        <w:t xml:space="preserve"> resultado del período</w:t>
      </w:r>
      <w:r w:rsidR="00301363" w:rsidRPr="00AC4AEA">
        <w:rPr>
          <w:rFonts w:ascii="Arial" w:hAnsi="Arial" w:cs="Arial"/>
          <w:sz w:val="20"/>
          <w:szCs w:val="20"/>
        </w:rPr>
        <w:t xml:space="preserve">, distinguiendo </w:t>
      </w:r>
      <w:r w:rsidR="000D2926" w:rsidRPr="00AC4AEA">
        <w:rPr>
          <w:rFonts w:ascii="Arial" w:hAnsi="Arial" w:cs="Arial"/>
          <w:sz w:val="20"/>
          <w:szCs w:val="20"/>
        </w:rPr>
        <w:t>las siguientes</w:t>
      </w:r>
      <w:r w:rsidR="00301363" w:rsidRPr="00AC4AEA">
        <w:rPr>
          <w:rFonts w:ascii="Arial" w:hAnsi="Arial" w:cs="Arial"/>
          <w:sz w:val="20"/>
          <w:szCs w:val="20"/>
        </w:rPr>
        <w:t xml:space="preserve"> partidas</w:t>
      </w:r>
      <w:r w:rsidR="00553E15" w:rsidRPr="00AC4AEA">
        <w:rPr>
          <w:rFonts w:ascii="Arial" w:hAnsi="Arial" w:cs="Arial"/>
          <w:sz w:val="20"/>
          <w:szCs w:val="20"/>
        </w:rPr>
        <w:t>:</w:t>
      </w:r>
    </w:p>
    <w:p w:rsidR="009B184E" w:rsidRPr="00AC4AEA" w:rsidRDefault="006B7268"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ingresos</w:t>
      </w:r>
      <w:r w:rsidR="00553E15" w:rsidRPr="00AC4AEA">
        <w:rPr>
          <w:rFonts w:ascii="Arial" w:hAnsi="Arial" w:cs="Arial"/>
          <w:sz w:val="20"/>
          <w:szCs w:val="20"/>
        </w:rPr>
        <w:t xml:space="preserve">; </w:t>
      </w:r>
    </w:p>
    <w:p w:rsidR="009B184E" w:rsidRPr="00AC4AEA" w:rsidRDefault="006B7268"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gastos</w:t>
      </w:r>
      <w:r w:rsidR="003F7E57" w:rsidRPr="00AC4AEA">
        <w:rPr>
          <w:rFonts w:ascii="Arial" w:hAnsi="Arial" w:cs="Arial"/>
          <w:sz w:val="20"/>
          <w:szCs w:val="20"/>
        </w:rPr>
        <w:t>;</w:t>
      </w:r>
    </w:p>
    <w:p w:rsidR="009B184E" w:rsidRPr="00AC4AEA" w:rsidRDefault="006B7268"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ganancias</w:t>
      </w:r>
      <w:r w:rsidR="009B184E" w:rsidRPr="00AC4AEA">
        <w:rPr>
          <w:rFonts w:ascii="Arial" w:hAnsi="Arial" w:cs="Arial"/>
          <w:sz w:val="20"/>
          <w:szCs w:val="20"/>
        </w:rPr>
        <w:t>;</w:t>
      </w:r>
      <w:r w:rsidR="006E4218" w:rsidRPr="00AC4AEA">
        <w:rPr>
          <w:rFonts w:ascii="Arial" w:hAnsi="Arial" w:cs="Arial"/>
          <w:sz w:val="20"/>
          <w:szCs w:val="20"/>
        </w:rPr>
        <w:t xml:space="preserve"> </w:t>
      </w:r>
    </w:p>
    <w:p w:rsidR="006E4218" w:rsidRPr="00AC4AEA" w:rsidRDefault="006B7268"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pérdidas</w:t>
      </w:r>
      <w:r w:rsidR="00553E15" w:rsidRPr="00AC4AEA">
        <w:rPr>
          <w:rFonts w:ascii="Arial" w:hAnsi="Arial" w:cs="Arial"/>
          <w:sz w:val="20"/>
          <w:szCs w:val="20"/>
        </w:rPr>
        <w:t>;</w:t>
      </w:r>
      <w:r w:rsidR="009B184E" w:rsidRPr="00AC4AEA">
        <w:rPr>
          <w:rFonts w:ascii="Arial" w:hAnsi="Arial" w:cs="Arial"/>
          <w:sz w:val="20"/>
          <w:szCs w:val="20"/>
        </w:rPr>
        <w:t xml:space="preserve"> </w:t>
      </w:r>
      <w:r w:rsidR="00DD001F" w:rsidRPr="00AC4AEA">
        <w:rPr>
          <w:rFonts w:ascii="Arial" w:hAnsi="Arial" w:cs="Arial"/>
          <w:sz w:val="20"/>
          <w:szCs w:val="20"/>
        </w:rPr>
        <w:t>y</w:t>
      </w:r>
    </w:p>
    <w:p w:rsidR="006E4218" w:rsidRPr="00AC4AEA" w:rsidRDefault="006B7268"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el </w:t>
      </w:r>
      <w:r w:rsidR="00DD001F" w:rsidRPr="00AC4AEA">
        <w:rPr>
          <w:rFonts w:ascii="Arial" w:hAnsi="Arial" w:cs="Arial"/>
          <w:sz w:val="20"/>
          <w:szCs w:val="20"/>
        </w:rPr>
        <w:t>i</w:t>
      </w:r>
      <w:r w:rsidR="006E4218" w:rsidRPr="00AC4AEA">
        <w:rPr>
          <w:rFonts w:ascii="Arial" w:hAnsi="Arial" w:cs="Arial"/>
          <w:sz w:val="20"/>
          <w:szCs w:val="20"/>
        </w:rPr>
        <w:t xml:space="preserve">mpuesto </w:t>
      </w:r>
      <w:r w:rsidR="00531A5A" w:rsidRPr="00AC4AEA">
        <w:rPr>
          <w:rFonts w:ascii="Arial" w:hAnsi="Arial" w:cs="Arial"/>
          <w:sz w:val="20"/>
          <w:szCs w:val="20"/>
        </w:rPr>
        <w:t>a</w:t>
      </w:r>
      <w:r w:rsidR="006E4218" w:rsidRPr="00AC4AEA">
        <w:rPr>
          <w:rFonts w:ascii="Arial" w:hAnsi="Arial" w:cs="Arial"/>
          <w:sz w:val="20"/>
          <w:szCs w:val="20"/>
        </w:rPr>
        <w:t xml:space="preserve"> las ganancias</w:t>
      </w:r>
      <w:r w:rsidR="00496844" w:rsidRPr="00AC4AEA">
        <w:rPr>
          <w:rFonts w:ascii="Arial" w:hAnsi="Arial" w:cs="Arial"/>
          <w:sz w:val="20"/>
          <w:szCs w:val="20"/>
        </w:rPr>
        <w:t xml:space="preserve">; </w:t>
      </w:r>
    </w:p>
    <w:p w:rsidR="00553E15" w:rsidRPr="00AC4AEA" w:rsidRDefault="000D292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un resumen de las causas que generan los</w:t>
      </w:r>
      <w:r w:rsidR="002F2D51" w:rsidRPr="00AC4AEA">
        <w:rPr>
          <w:rFonts w:ascii="Arial" w:hAnsi="Arial" w:cs="Arial"/>
          <w:sz w:val="20"/>
          <w:szCs w:val="20"/>
        </w:rPr>
        <w:t xml:space="preserve"> </w:t>
      </w:r>
      <w:r w:rsidR="002F2D51" w:rsidRPr="00AC4AEA">
        <w:rPr>
          <w:rFonts w:ascii="Arial" w:hAnsi="Arial" w:cs="Arial"/>
          <w:b/>
          <w:bCs/>
          <w:sz w:val="20"/>
          <w:szCs w:val="20"/>
        </w:rPr>
        <w:t>resultados diferidos</w:t>
      </w:r>
      <w:r w:rsidR="002F2D51" w:rsidRPr="00AC4AEA">
        <w:rPr>
          <w:rFonts w:ascii="Arial" w:hAnsi="Arial" w:cs="Arial"/>
          <w:sz w:val="20"/>
          <w:szCs w:val="20"/>
        </w:rPr>
        <w:t>.</w:t>
      </w:r>
    </w:p>
    <w:p w:rsidR="006E4218" w:rsidRPr="00AC4AEA" w:rsidRDefault="006E4218" w:rsidP="00A318EA">
      <w:pPr>
        <w:pStyle w:val="Prrafodelista"/>
        <w:numPr>
          <w:ilvl w:val="0"/>
          <w:numId w:val="29"/>
        </w:numPr>
        <w:contextualSpacing w:val="0"/>
        <w:jc w:val="both"/>
        <w:rPr>
          <w:rFonts w:ascii="Arial" w:hAnsi="Arial" w:cs="Arial"/>
          <w:sz w:val="20"/>
          <w:szCs w:val="20"/>
        </w:rPr>
      </w:pPr>
      <w:r w:rsidRPr="00AC4AEA">
        <w:rPr>
          <w:rFonts w:ascii="Arial" w:hAnsi="Arial" w:cs="Arial"/>
          <w:b/>
          <w:bCs/>
          <w:sz w:val="20"/>
          <w:szCs w:val="20"/>
        </w:rPr>
        <w:t>Ingreso</w:t>
      </w:r>
      <w:r w:rsidRPr="00AC4AEA">
        <w:rPr>
          <w:rFonts w:ascii="Arial" w:hAnsi="Arial" w:cs="Arial"/>
          <w:sz w:val="20"/>
          <w:szCs w:val="20"/>
        </w:rPr>
        <w:t xml:space="preserve"> es el aumento del </w:t>
      </w:r>
      <w:r w:rsidRPr="00AC4AEA">
        <w:rPr>
          <w:rFonts w:ascii="Arial" w:hAnsi="Arial" w:cs="Arial"/>
          <w:b/>
          <w:bCs/>
          <w:sz w:val="20"/>
          <w:szCs w:val="20"/>
        </w:rPr>
        <w:t>patrimonio neto</w:t>
      </w:r>
      <w:r w:rsidRPr="00AC4AEA">
        <w:rPr>
          <w:rFonts w:ascii="Arial" w:hAnsi="Arial" w:cs="Arial"/>
          <w:sz w:val="20"/>
          <w:szCs w:val="20"/>
        </w:rPr>
        <w:t xml:space="preserve"> no </w:t>
      </w:r>
      <w:r w:rsidR="0078409D" w:rsidRPr="00AC4AEA">
        <w:rPr>
          <w:rFonts w:ascii="Arial" w:hAnsi="Arial" w:cs="Arial"/>
          <w:sz w:val="20"/>
          <w:szCs w:val="20"/>
        </w:rPr>
        <w:t>derivado de</w:t>
      </w:r>
      <w:r w:rsidRPr="00AC4AEA">
        <w:rPr>
          <w:rFonts w:ascii="Arial" w:hAnsi="Arial" w:cs="Arial"/>
          <w:sz w:val="20"/>
          <w:szCs w:val="20"/>
        </w:rPr>
        <w:t xml:space="preserve"> transacciones con los propietarios en su carácter de tales y generado por:</w:t>
      </w:r>
    </w:p>
    <w:p w:rsidR="006E4218" w:rsidRPr="00AC4AEA" w:rsidRDefault="00922F4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6E4218" w:rsidRPr="00AC4AEA">
        <w:rPr>
          <w:rFonts w:ascii="Arial" w:hAnsi="Arial" w:cs="Arial"/>
          <w:sz w:val="20"/>
          <w:szCs w:val="20"/>
        </w:rPr>
        <w:t>producción o venta de bienes, prestación de servicios</w:t>
      </w:r>
      <w:r w:rsidR="005703DB" w:rsidRPr="00AC4AEA">
        <w:rPr>
          <w:rFonts w:ascii="Arial" w:hAnsi="Arial" w:cs="Arial"/>
          <w:sz w:val="20"/>
          <w:szCs w:val="20"/>
        </w:rPr>
        <w:t>, contratos de construcción</w:t>
      </w:r>
      <w:r w:rsidR="006E4218" w:rsidRPr="00AC4AEA">
        <w:rPr>
          <w:rFonts w:ascii="Arial" w:hAnsi="Arial" w:cs="Arial"/>
          <w:sz w:val="20"/>
          <w:szCs w:val="20"/>
        </w:rPr>
        <w:t xml:space="preserve"> u otros hechos vinculados con las actividades principales de</w:t>
      </w:r>
      <w:r w:rsidRPr="00AC4AEA">
        <w:rPr>
          <w:rFonts w:ascii="Arial" w:hAnsi="Arial" w:cs="Arial"/>
          <w:sz w:val="20"/>
          <w:szCs w:val="20"/>
        </w:rPr>
        <w:t xml:space="preserve"> </w:t>
      </w:r>
      <w:r w:rsidR="006E4218" w:rsidRPr="00AC4AEA">
        <w:rPr>
          <w:rFonts w:ascii="Arial" w:hAnsi="Arial" w:cs="Arial"/>
          <w:sz w:val="20"/>
          <w:szCs w:val="20"/>
        </w:rPr>
        <w:t>l</w:t>
      </w:r>
      <w:r w:rsidRPr="00AC4AEA">
        <w:rPr>
          <w:rFonts w:ascii="Arial" w:hAnsi="Arial" w:cs="Arial"/>
          <w:sz w:val="20"/>
          <w:szCs w:val="20"/>
        </w:rPr>
        <w:t>a</w:t>
      </w:r>
      <w:r w:rsidR="006E4218" w:rsidRPr="00AC4AEA">
        <w:rPr>
          <w:rFonts w:ascii="Arial" w:hAnsi="Arial" w:cs="Arial"/>
          <w:sz w:val="20"/>
          <w:szCs w:val="20"/>
        </w:rPr>
        <w:t xml:space="preserve"> </w:t>
      </w:r>
      <w:r w:rsidRPr="00AC4AEA">
        <w:rPr>
          <w:rFonts w:ascii="Arial" w:hAnsi="Arial" w:cs="Arial"/>
          <w:sz w:val="20"/>
          <w:szCs w:val="20"/>
        </w:rPr>
        <w:t xml:space="preserve">entidad; </w:t>
      </w:r>
      <w:r w:rsidR="009B184E" w:rsidRPr="00AC4AEA">
        <w:rPr>
          <w:rFonts w:ascii="Arial" w:hAnsi="Arial" w:cs="Arial"/>
          <w:sz w:val="20"/>
          <w:szCs w:val="20"/>
        </w:rPr>
        <w:t>y</w:t>
      </w:r>
    </w:p>
    <w:p w:rsidR="006E4218" w:rsidRPr="00AC4AEA" w:rsidRDefault="00922F4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actividades </w:t>
      </w:r>
      <w:r w:rsidR="006E4218" w:rsidRPr="00AC4AEA">
        <w:rPr>
          <w:rFonts w:ascii="Arial" w:hAnsi="Arial" w:cs="Arial"/>
          <w:sz w:val="20"/>
          <w:szCs w:val="20"/>
        </w:rPr>
        <w:t>internas</w:t>
      </w:r>
      <w:r w:rsidRPr="00AC4AEA">
        <w:rPr>
          <w:rFonts w:ascii="Arial" w:hAnsi="Arial" w:cs="Arial"/>
          <w:sz w:val="20"/>
          <w:szCs w:val="20"/>
        </w:rPr>
        <w:t>,</w:t>
      </w:r>
      <w:r w:rsidR="006E4218" w:rsidRPr="00AC4AEA">
        <w:rPr>
          <w:rFonts w:ascii="Arial" w:hAnsi="Arial" w:cs="Arial"/>
          <w:sz w:val="20"/>
          <w:szCs w:val="20"/>
        </w:rPr>
        <w:t xml:space="preserve"> tales como el crecimiento natural o inducido de</w:t>
      </w:r>
      <w:r w:rsidR="006E4218" w:rsidRPr="00CD5A6B">
        <w:rPr>
          <w:rFonts w:ascii="Arial" w:hAnsi="Arial" w:cs="Arial"/>
          <w:b/>
          <w:bCs/>
          <w:sz w:val="20"/>
          <w:szCs w:val="20"/>
        </w:rPr>
        <w:t xml:space="preserve"> </w:t>
      </w:r>
      <w:r w:rsidR="00497590" w:rsidRPr="00CD5A6B">
        <w:rPr>
          <w:rFonts w:ascii="Arial" w:hAnsi="Arial" w:cs="Arial"/>
          <w:b/>
          <w:bCs/>
          <w:sz w:val="20"/>
          <w:szCs w:val="20"/>
        </w:rPr>
        <w:t>activos</w:t>
      </w:r>
      <w:r w:rsidR="006E4218" w:rsidRPr="00CD5A6B">
        <w:rPr>
          <w:rFonts w:ascii="Arial" w:hAnsi="Arial" w:cs="Arial"/>
          <w:b/>
          <w:bCs/>
          <w:sz w:val="20"/>
          <w:szCs w:val="20"/>
        </w:rPr>
        <w:t xml:space="preserve"> </w:t>
      </w:r>
      <w:r w:rsidR="0078409D" w:rsidRPr="00CD5A6B">
        <w:rPr>
          <w:rFonts w:ascii="Arial" w:hAnsi="Arial" w:cs="Arial"/>
          <w:b/>
          <w:bCs/>
          <w:sz w:val="20"/>
          <w:szCs w:val="20"/>
        </w:rPr>
        <w:t>biológicos</w:t>
      </w:r>
      <w:r w:rsidR="006E4218" w:rsidRPr="00AC4AEA">
        <w:rPr>
          <w:rFonts w:ascii="Arial" w:hAnsi="Arial" w:cs="Arial"/>
          <w:sz w:val="20"/>
          <w:szCs w:val="20"/>
        </w:rPr>
        <w:t xml:space="preserve"> o la extracción de petróleo o gas</w:t>
      </w:r>
      <w:r w:rsidR="0078409D" w:rsidRPr="00AC4AEA">
        <w:rPr>
          <w:rFonts w:ascii="Arial" w:hAnsi="Arial" w:cs="Arial"/>
          <w:sz w:val="20"/>
          <w:szCs w:val="20"/>
        </w:rPr>
        <w:t>.</w:t>
      </w:r>
    </w:p>
    <w:p w:rsidR="0078409D" w:rsidRPr="00AC4AEA" w:rsidRDefault="0078409D" w:rsidP="00A318EA">
      <w:pPr>
        <w:pStyle w:val="Prrafodelista"/>
        <w:numPr>
          <w:ilvl w:val="0"/>
          <w:numId w:val="29"/>
        </w:numPr>
        <w:contextualSpacing w:val="0"/>
        <w:jc w:val="both"/>
        <w:rPr>
          <w:rFonts w:ascii="Arial" w:hAnsi="Arial" w:cs="Arial"/>
          <w:sz w:val="20"/>
          <w:szCs w:val="20"/>
        </w:rPr>
      </w:pPr>
      <w:r w:rsidRPr="00AC4AEA">
        <w:rPr>
          <w:rFonts w:ascii="Arial" w:hAnsi="Arial" w:cs="Arial"/>
          <w:b/>
          <w:bCs/>
          <w:sz w:val="20"/>
          <w:szCs w:val="20"/>
        </w:rPr>
        <w:t>Gasto</w:t>
      </w:r>
      <w:r w:rsidRPr="00AC4AEA">
        <w:rPr>
          <w:rFonts w:ascii="Arial" w:hAnsi="Arial" w:cs="Arial"/>
          <w:sz w:val="20"/>
          <w:szCs w:val="20"/>
        </w:rPr>
        <w:t xml:space="preserve"> es la disminución del </w:t>
      </w:r>
      <w:r w:rsidRPr="00AC4AEA">
        <w:rPr>
          <w:rFonts w:ascii="Arial" w:hAnsi="Arial" w:cs="Arial"/>
          <w:b/>
          <w:bCs/>
          <w:sz w:val="20"/>
          <w:szCs w:val="20"/>
        </w:rPr>
        <w:t>patrimonio neto</w:t>
      </w:r>
      <w:r w:rsidRPr="00AC4AEA">
        <w:rPr>
          <w:rFonts w:ascii="Arial" w:hAnsi="Arial" w:cs="Arial"/>
          <w:sz w:val="20"/>
          <w:szCs w:val="20"/>
        </w:rPr>
        <w:t xml:space="preserve"> no derivada de transacciones con los propietarios en su carácter de tales</w:t>
      </w:r>
      <w:r w:rsidR="00422630" w:rsidRPr="00AC4AEA">
        <w:rPr>
          <w:rFonts w:ascii="Arial" w:hAnsi="Arial" w:cs="Arial"/>
          <w:sz w:val="20"/>
          <w:szCs w:val="20"/>
        </w:rPr>
        <w:t>,</w:t>
      </w:r>
      <w:r w:rsidR="00A102B4" w:rsidRPr="00AC4AEA">
        <w:rPr>
          <w:rFonts w:ascii="Arial" w:hAnsi="Arial" w:cs="Arial"/>
          <w:sz w:val="20"/>
          <w:szCs w:val="20"/>
        </w:rPr>
        <w:t xml:space="preserve"> relacionada con las actividades principales de la entidad.</w:t>
      </w:r>
      <w:r w:rsidR="00422630" w:rsidRPr="00AC4AEA">
        <w:rPr>
          <w:rFonts w:ascii="Arial" w:hAnsi="Arial" w:cs="Arial"/>
          <w:sz w:val="20"/>
          <w:szCs w:val="20"/>
        </w:rPr>
        <w:t xml:space="preserve"> </w:t>
      </w:r>
    </w:p>
    <w:p w:rsidR="0078409D" w:rsidRPr="00AC4AEA" w:rsidRDefault="0078409D" w:rsidP="00A318EA">
      <w:pPr>
        <w:pStyle w:val="Prrafodelista"/>
        <w:numPr>
          <w:ilvl w:val="0"/>
          <w:numId w:val="29"/>
        </w:numPr>
        <w:contextualSpacing w:val="0"/>
        <w:jc w:val="both"/>
        <w:rPr>
          <w:rFonts w:ascii="Arial" w:hAnsi="Arial" w:cs="Arial"/>
          <w:sz w:val="20"/>
          <w:szCs w:val="20"/>
        </w:rPr>
      </w:pPr>
      <w:r w:rsidRPr="00AC4AEA">
        <w:rPr>
          <w:rFonts w:ascii="Arial" w:hAnsi="Arial" w:cs="Arial"/>
          <w:b/>
          <w:bCs/>
          <w:sz w:val="20"/>
          <w:szCs w:val="20"/>
        </w:rPr>
        <w:lastRenderedPageBreak/>
        <w:t>Ganancia</w:t>
      </w:r>
      <w:r w:rsidRPr="00AC4AEA">
        <w:rPr>
          <w:rFonts w:ascii="Arial" w:hAnsi="Arial" w:cs="Arial"/>
          <w:sz w:val="20"/>
          <w:szCs w:val="20"/>
        </w:rPr>
        <w:t xml:space="preserve"> </w:t>
      </w:r>
      <w:r w:rsidR="005C7176" w:rsidRPr="00AC4AEA">
        <w:rPr>
          <w:rFonts w:ascii="Arial" w:hAnsi="Arial" w:cs="Arial"/>
          <w:sz w:val="20"/>
          <w:szCs w:val="20"/>
        </w:rPr>
        <w:t xml:space="preserve">es el aumento del </w:t>
      </w:r>
      <w:r w:rsidR="005C7176" w:rsidRPr="00AC4AEA">
        <w:rPr>
          <w:rFonts w:ascii="Arial" w:hAnsi="Arial" w:cs="Arial"/>
          <w:b/>
          <w:bCs/>
          <w:sz w:val="20"/>
          <w:szCs w:val="20"/>
        </w:rPr>
        <w:t>patrimonio neto</w:t>
      </w:r>
      <w:r w:rsidR="005C7176" w:rsidRPr="00AC4AEA">
        <w:rPr>
          <w:rFonts w:ascii="Arial" w:hAnsi="Arial" w:cs="Arial"/>
          <w:sz w:val="20"/>
          <w:szCs w:val="20"/>
        </w:rPr>
        <w:t xml:space="preserve"> debido a operaciones secundarias u otras transacciones, hechos o circunstancias, no proveniente de ingresos</w:t>
      </w:r>
      <w:r w:rsidR="00397455" w:rsidRPr="00AC4AEA">
        <w:rPr>
          <w:rFonts w:ascii="Arial" w:hAnsi="Arial" w:cs="Arial"/>
          <w:sz w:val="20"/>
          <w:szCs w:val="20"/>
        </w:rPr>
        <w:t xml:space="preserve"> o</w:t>
      </w:r>
      <w:r w:rsidR="005C7176" w:rsidRPr="00AC4AEA">
        <w:rPr>
          <w:rFonts w:ascii="Arial" w:hAnsi="Arial" w:cs="Arial"/>
          <w:sz w:val="20"/>
          <w:szCs w:val="20"/>
        </w:rPr>
        <w:t xml:space="preserve"> transacciones con los propietarios en su carácter de tales</w:t>
      </w:r>
      <w:r w:rsidR="004923FA" w:rsidRPr="00AC4AEA">
        <w:rPr>
          <w:rFonts w:ascii="Arial" w:hAnsi="Arial" w:cs="Arial"/>
          <w:sz w:val="20"/>
          <w:szCs w:val="20"/>
        </w:rPr>
        <w:t xml:space="preserve"> </w:t>
      </w:r>
      <w:r w:rsidR="00937751" w:rsidRPr="00AC4AEA">
        <w:rPr>
          <w:rFonts w:ascii="Arial" w:hAnsi="Arial" w:cs="Arial"/>
          <w:sz w:val="20"/>
          <w:szCs w:val="20"/>
        </w:rPr>
        <w:t xml:space="preserve">que, de acuerdo con esta Resolución Técnica u </w:t>
      </w:r>
      <w:r w:rsidR="00937751" w:rsidRPr="00AC4AEA">
        <w:rPr>
          <w:rFonts w:ascii="Arial" w:hAnsi="Arial" w:cs="Arial"/>
          <w:b/>
          <w:bCs/>
          <w:sz w:val="20"/>
          <w:szCs w:val="20"/>
        </w:rPr>
        <w:t>otras normas contables</w:t>
      </w:r>
      <w:r w:rsidR="00937751" w:rsidRPr="00AC4AEA">
        <w:rPr>
          <w:rFonts w:ascii="Arial" w:hAnsi="Arial" w:cs="Arial"/>
          <w:sz w:val="20"/>
          <w:szCs w:val="20"/>
        </w:rPr>
        <w:t xml:space="preserve">, no se reconocen en los </w:t>
      </w:r>
      <w:r w:rsidR="00937751" w:rsidRPr="00AC4AEA">
        <w:rPr>
          <w:rFonts w:ascii="Arial" w:hAnsi="Arial" w:cs="Arial"/>
          <w:b/>
          <w:bCs/>
          <w:sz w:val="20"/>
          <w:szCs w:val="20"/>
        </w:rPr>
        <w:t>resultados diferidos</w:t>
      </w:r>
      <w:r w:rsidRPr="00AC4AEA">
        <w:rPr>
          <w:rFonts w:ascii="Arial" w:hAnsi="Arial" w:cs="Arial"/>
          <w:sz w:val="20"/>
          <w:szCs w:val="20"/>
        </w:rPr>
        <w:t>.</w:t>
      </w:r>
    </w:p>
    <w:p w:rsidR="0078409D" w:rsidRPr="00AC4AEA" w:rsidRDefault="0078409D" w:rsidP="00A318EA">
      <w:pPr>
        <w:pStyle w:val="Prrafodelista"/>
        <w:numPr>
          <w:ilvl w:val="0"/>
          <w:numId w:val="29"/>
        </w:numPr>
        <w:contextualSpacing w:val="0"/>
        <w:jc w:val="both"/>
        <w:rPr>
          <w:rFonts w:ascii="Arial" w:hAnsi="Arial" w:cs="Arial"/>
          <w:sz w:val="20"/>
          <w:szCs w:val="20"/>
        </w:rPr>
      </w:pPr>
      <w:r w:rsidRPr="00AC4AEA">
        <w:rPr>
          <w:rFonts w:ascii="Arial" w:hAnsi="Arial" w:cs="Arial"/>
          <w:b/>
          <w:bCs/>
          <w:sz w:val="20"/>
          <w:szCs w:val="20"/>
        </w:rPr>
        <w:t>Pérdida</w:t>
      </w:r>
      <w:r w:rsidRPr="00AC4AEA">
        <w:rPr>
          <w:rFonts w:ascii="Arial" w:hAnsi="Arial" w:cs="Arial"/>
          <w:sz w:val="20"/>
          <w:szCs w:val="20"/>
        </w:rPr>
        <w:t xml:space="preserve"> </w:t>
      </w:r>
      <w:r w:rsidR="00D048FF" w:rsidRPr="00AC4AEA">
        <w:rPr>
          <w:rFonts w:ascii="Arial" w:hAnsi="Arial" w:cs="Arial"/>
          <w:sz w:val="20"/>
          <w:szCs w:val="20"/>
        </w:rPr>
        <w:t xml:space="preserve">es la disminución del </w:t>
      </w:r>
      <w:r w:rsidR="00D048FF" w:rsidRPr="00AC4AEA">
        <w:rPr>
          <w:rFonts w:ascii="Arial" w:hAnsi="Arial" w:cs="Arial"/>
          <w:b/>
          <w:bCs/>
          <w:sz w:val="20"/>
          <w:szCs w:val="20"/>
        </w:rPr>
        <w:t>patrimonio neto</w:t>
      </w:r>
      <w:r w:rsidR="00D048FF" w:rsidRPr="00AC4AEA">
        <w:rPr>
          <w:rFonts w:ascii="Arial" w:hAnsi="Arial" w:cs="Arial"/>
          <w:sz w:val="20"/>
          <w:szCs w:val="20"/>
        </w:rPr>
        <w:t xml:space="preserve"> generada por operaciones secundarias u otras transacciones, hechos o circunstancias, no proveniente de gastos o transacciones con los propietarios en su carácter de tales</w:t>
      </w:r>
      <w:r w:rsidR="00397455" w:rsidRPr="00AC4AEA">
        <w:rPr>
          <w:rFonts w:ascii="Arial" w:hAnsi="Arial" w:cs="Arial"/>
          <w:sz w:val="20"/>
          <w:szCs w:val="20"/>
        </w:rPr>
        <w:t xml:space="preserve"> que</w:t>
      </w:r>
      <w:r w:rsidR="00937751" w:rsidRPr="00AC4AEA">
        <w:rPr>
          <w:rFonts w:ascii="Arial" w:hAnsi="Arial" w:cs="Arial"/>
          <w:sz w:val="20"/>
          <w:szCs w:val="20"/>
        </w:rPr>
        <w:t>,</w:t>
      </w:r>
      <w:r w:rsidR="00397455" w:rsidRPr="00AC4AEA">
        <w:rPr>
          <w:rFonts w:ascii="Arial" w:hAnsi="Arial" w:cs="Arial"/>
          <w:sz w:val="20"/>
          <w:szCs w:val="20"/>
        </w:rPr>
        <w:t xml:space="preserve"> de acuerdo con esta Resolución Técnica u </w:t>
      </w:r>
      <w:r w:rsidR="00397455" w:rsidRPr="00AC4AEA">
        <w:rPr>
          <w:rFonts w:ascii="Arial" w:hAnsi="Arial" w:cs="Arial"/>
          <w:b/>
          <w:bCs/>
          <w:sz w:val="20"/>
          <w:szCs w:val="20"/>
        </w:rPr>
        <w:t>otras normas contables</w:t>
      </w:r>
      <w:r w:rsidR="00937751" w:rsidRPr="00AC4AEA">
        <w:rPr>
          <w:rFonts w:ascii="Arial" w:hAnsi="Arial" w:cs="Arial"/>
          <w:sz w:val="20"/>
          <w:szCs w:val="20"/>
        </w:rPr>
        <w:t>,</w:t>
      </w:r>
      <w:r w:rsidR="00397455" w:rsidRPr="00AC4AEA">
        <w:rPr>
          <w:rFonts w:ascii="Arial" w:hAnsi="Arial" w:cs="Arial"/>
          <w:sz w:val="20"/>
          <w:szCs w:val="20"/>
        </w:rPr>
        <w:t xml:space="preserve"> no </w:t>
      </w:r>
      <w:r w:rsidR="00937751" w:rsidRPr="00AC4AEA">
        <w:rPr>
          <w:rFonts w:ascii="Arial" w:hAnsi="Arial" w:cs="Arial"/>
          <w:sz w:val="20"/>
          <w:szCs w:val="20"/>
        </w:rPr>
        <w:t>se</w:t>
      </w:r>
      <w:r w:rsidR="00397455" w:rsidRPr="00AC4AEA">
        <w:rPr>
          <w:rFonts w:ascii="Arial" w:hAnsi="Arial" w:cs="Arial"/>
          <w:sz w:val="20"/>
          <w:szCs w:val="20"/>
        </w:rPr>
        <w:t xml:space="preserve"> </w:t>
      </w:r>
      <w:r w:rsidR="00937751" w:rsidRPr="00AC4AEA">
        <w:rPr>
          <w:rFonts w:ascii="Arial" w:hAnsi="Arial" w:cs="Arial"/>
          <w:sz w:val="20"/>
          <w:szCs w:val="20"/>
        </w:rPr>
        <w:t xml:space="preserve">reconocen </w:t>
      </w:r>
      <w:r w:rsidR="00397455" w:rsidRPr="00AC4AEA">
        <w:rPr>
          <w:rFonts w:ascii="Arial" w:hAnsi="Arial" w:cs="Arial"/>
          <w:sz w:val="20"/>
          <w:szCs w:val="20"/>
        </w:rPr>
        <w:t xml:space="preserve">en los </w:t>
      </w:r>
      <w:r w:rsidR="00397455" w:rsidRPr="00AC4AEA">
        <w:rPr>
          <w:rFonts w:ascii="Arial" w:hAnsi="Arial" w:cs="Arial"/>
          <w:b/>
          <w:bCs/>
          <w:sz w:val="20"/>
          <w:szCs w:val="20"/>
        </w:rPr>
        <w:t>resultados diferidos</w:t>
      </w:r>
      <w:r w:rsidR="00397455" w:rsidRPr="00AC4AEA">
        <w:rPr>
          <w:rFonts w:ascii="Arial" w:hAnsi="Arial" w:cs="Arial"/>
          <w:sz w:val="20"/>
          <w:szCs w:val="20"/>
        </w:rPr>
        <w:t>.</w:t>
      </w:r>
    </w:p>
    <w:p w:rsidR="00024EA9" w:rsidRPr="00AC4AEA" w:rsidRDefault="00024EA9" w:rsidP="00A318EA">
      <w:pPr>
        <w:pStyle w:val="Prrafodelista"/>
        <w:numPr>
          <w:ilvl w:val="0"/>
          <w:numId w:val="29"/>
        </w:numPr>
        <w:autoSpaceDE w:val="0"/>
        <w:autoSpaceDN w:val="0"/>
        <w:adjustRightInd w:val="0"/>
        <w:contextualSpacing w:val="0"/>
        <w:jc w:val="both"/>
        <w:rPr>
          <w:rFonts w:ascii="Arial" w:hAnsi="Arial" w:cs="Arial"/>
          <w:sz w:val="20"/>
          <w:szCs w:val="20"/>
        </w:rPr>
      </w:pPr>
      <w:r w:rsidRPr="00AC4AEA">
        <w:rPr>
          <w:rFonts w:ascii="Arial" w:hAnsi="Arial" w:cs="Arial"/>
          <w:b/>
          <w:bCs/>
          <w:sz w:val="20"/>
          <w:szCs w:val="20"/>
        </w:rPr>
        <w:t xml:space="preserve">Resultados diferidos </w:t>
      </w:r>
      <w:r w:rsidR="009F304F" w:rsidRPr="00AC4AEA">
        <w:rPr>
          <w:rFonts w:ascii="Arial" w:hAnsi="Arial" w:cs="Arial"/>
          <w:sz w:val="20"/>
          <w:szCs w:val="20"/>
        </w:rPr>
        <w:t xml:space="preserve">son resultados que, de acuerdo con lo exigido o permitido por esta </w:t>
      </w:r>
      <w:r w:rsidR="00397455" w:rsidRPr="00AC4AEA">
        <w:rPr>
          <w:rFonts w:ascii="Arial" w:hAnsi="Arial" w:cs="Arial"/>
          <w:sz w:val="20"/>
          <w:szCs w:val="20"/>
        </w:rPr>
        <w:t>R</w:t>
      </w:r>
      <w:r w:rsidR="009F304F" w:rsidRPr="00AC4AEA">
        <w:rPr>
          <w:rFonts w:ascii="Arial" w:hAnsi="Arial" w:cs="Arial"/>
          <w:sz w:val="20"/>
          <w:szCs w:val="20"/>
        </w:rPr>
        <w:t xml:space="preserve">esoluciones </w:t>
      </w:r>
      <w:r w:rsidR="00397455" w:rsidRPr="00AC4AEA">
        <w:rPr>
          <w:rFonts w:ascii="Arial" w:hAnsi="Arial" w:cs="Arial"/>
          <w:sz w:val="20"/>
          <w:szCs w:val="20"/>
        </w:rPr>
        <w:t>T</w:t>
      </w:r>
      <w:r w:rsidR="009F304F" w:rsidRPr="00AC4AEA">
        <w:rPr>
          <w:rFonts w:ascii="Arial" w:hAnsi="Arial" w:cs="Arial"/>
          <w:sz w:val="20"/>
          <w:szCs w:val="20"/>
        </w:rPr>
        <w:t>écnicas</w:t>
      </w:r>
      <w:r w:rsidR="00397455" w:rsidRPr="00AC4AEA">
        <w:rPr>
          <w:rFonts w:ascii="Arial" w:hAnsi="Arial" w:cs="Arial"/>
          <w:sz w:val="20"/>
          <w:szCs w:val="20"/>
        </w:rPr>
        <w:t xml:space="preserve"> u </w:t>
      </w:r>
      <w:r w:rsidR="00397455" w:rsidRPr="00AC4AEA">
        <w:rPr>
          <w:rFonts w:ascii="Arial" w:hAnsi="Arial" w:cs="Arial"/>
          <w:b/>
          <w:bCs/>
          <w:sz w:val="20"/>
          <w:szCs w:val="20"/>
        </w:rPr>
        <w:t>otras normas contables</w:t>
      </w:r>
      <w:r w:rsidR="009F304F" w:rsidRPr="00AC4AEA">
        <w:rPr>
          <w:rFonts w:ascii="Arial" w:hAnsi="Arial" w:cs="Arial"/>
          <w:sz w:val="20"/>
          <w:szCs w:val="20"/>
        </w:rPr>
        <w:t xml:space="preserve">, no se reconocen dentro del resultado del </w:t>
      </w:r>
      <w:r w:rsidR="003D5D3C" w:rsidRPr="00AC4AEA">
        <w:rPr>
          <w:rFonts w:ascii="Arial" w:hAnsi="Arial" w:cs="Arial"/>
          <w:sz w:val="20"/>
          <w:szCs w:val="20"/>
        </w:rPr>
        <w:t>período</w:t>
      </w:r>
      <w:r w:rsidR="009F304F" w:rsidRPr="00AC4AEA">
        <w:rPr>
          <w:rFonts w:ascii="Arial" w:hAnsi="Arial" w:cs="Arial"/>
          <w:sz w:val="20"/>
          <w:szCs w:val="20"/>
        </w:rPr>
        <w:t xml:space="preserve">. Los </w:t>
      </w:r>
      <w:r w:rsidR="009F304F" w:rsidRPr="00AC4AEA">
        <w:rPr>
          <w:rFonts w:ascii="Arial" w:hAnsi="Arial" w:cs="Arial"/>
          <w:b/>
          <w:bCs/>
          <w:sz w:val="20"/>
          <w:szCs w:val="20"/>
        </w:rPr>
        <w:t>resultados diferidos</w:t>
      </w:r>
      <w:r w:rsidR="009F304F" w:rsidRPr="00AC4AEA">
        <w:rPr>
          <w:rFonts w:ascii="Arial" w:hAnsi="Arial" w:cs="Arial"/>
          <w:sz w:val="20"/>
          <w:szCs w:val="20"/>
        </w:rPr>
        <w:t xml:space="preserve"> se mantendrán como tales hasta que </w:t>
      </w:r>
      <w:r w:rsidR="003D5D3C" w:rsidRPr="00AC4AEA">
        <w:rPr>
          <w:rFonts w:ascii="Arial" w:hAnsi="Arial" w:cs="Arial"/>
          <w:sz w:val="20"/>
          <w:szCs w:val="20"/>
        </w:rPr>
        <w:t xml:space="preserve">esta Resolución Técnica u </w:t>
      </w:r>
      <w:r w:rsidR="003D5D3C" w:rsidRPr="00AC4AEA">
        <w:rPr>
          <w:rFonts w:ascii="Arial" w:hAnsi="Arial" w:cs="Arial"/>
          <w:b/>
          <w:bCs/>
          <w:sz w:val="20"/>
          <w:szCs w:val="20"/>
        </w:rPr>
        <w:t>otras normas contables</w:t>
      </w:r>
      <w:r w:rsidR="009F304F" w:rsidRPr="00AC4AEA">
        <w:rPr>
          <w:rFonts w:ascii="Arial" w:hAnsi="Arial" w:cs="Arial"/>
          <w:sz w:val="20"/>
          <w:szCs w:val="20"/>
        </w:rPr>
        <w:t xml:space="preserve"> permitan o exijan su reclasificación a resultados o su transferencia a resultados no asignados</w:t>
      </w:r>
      <w:r w:rsidR="00461544" w:rsidRPr="00AC4AEA">
        <w:rPr>
          <w:rFonts w:ascii="Arial" w:hAnsi="Arial" w:cs="Arial"/>
          <w:sz w:val="20"/>
          <w:szCs w:val="20"/>
        </w:rPr>
        <w:t>.</w:t>
      </w:r>
    </w:p>
    <w:p w:rsidR="00C33BBE" w:rsidRPr="00AC4AEA" w:rsidRDefault="00C33BB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describir su </w:t>
      </w:r>
      <w:r w:rsidRPr="00AC4AEA">
        <w:rPr>
          <w:rFonts w:ascii="Arial" w:hAnsi="Arial" w:cs="Arial"/>
          <w:b/>
          <w:bCs/>
          <w:sz w:val="20"/>
          <w:szCs w:val="20"/>
        </w:rPr>
        <w:t>evolución financiera</w:t>
      </w:r>
      <w:r w:rsidRPr="00AC4AEA">
        <w:rPr>
          <w:rFonts w:ascii="Arial" w:hAnsi="Arial" w:cs="Arial"/>
          <w:sz w:val="20"/>
          <w:szCs w:val="20"/>
        </w:rPr>
        <w:t xml:space="preserve">, una entidad deberá informar sobre las </w:t>
      </w:r>
      <w:r w:rsidR="004C665A" w:rsidRPr="00AC4AEA">
        <w:rPr>
          <w:rFonts w:ascii="Arial" w:hAnsi="Arial" w:cs="Arial"/>
          <w:sz w:val="20"/>
          <w:szCs w:val="20"/>
        </w:rPr>
        <w:t>entradas y salidas</w:t>
      </w:r>
      <w:r w:rsidRPr="00AC4AEA">
        <w:rPr>
          <w:rFonts w:ascii="Arial" w:hAnsi="Arial" w:cs="Arial"/>
          <w:sz w:val="20"/>
          <w:szCs w:val="20"/>
        </w:rPr>
        <w:t xml:space="preserve"> del efectivo y sus equivalentes, </w:t>
      </w:r>
      <w:r w:rsidR="004C665A" w:rsidRPr="00AC4AEA">
        <w:rPr>
          <w:rFonts w:ascii="Arial" w:hAnsi="Arial" w:cs="Arial"/>
          <w:sz w:val="20"/>
          <w:szCs w:val="20"/>
        </w:rPr>
        <w:t>clasificándolas en función de las actividades que les dan origen:</w:t>
      </w:r>
    </w:p>
    <w:p w:rsidR="00C33BBE" w:rsidRPr="00AC4AEA" w:rsidRDefault="004C665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actividades operativas</w:t>
      </w:r>
      <w:r w:rsidR="00C33BBE" w:rsidRPr="00AC4AEA">
        <w:rPr>
          <w:rFonts w:ascii="Arial" w:hAnsi="Arial" w:cs="Arial"/>
          <w:sz w:val="20"/>
          <w:szCs w:val="20"/>
        </w:rPr>
        <w:t xml:space="preserve">; </w:t>
      </w:r>
    </w:p>
    <w:p w:rsidR="004C665A" w:rsidRPr="00AC4AEA" w:rsidRDefault="004C665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actividades de inversión;</w:t>
      </w:r>
      <w:r w:rsidR="00F944B4" w:rsidRPr="00AC4AEA">
        <w:rPr>
          <w:rFonts w:ascii="Arial" w:hAnsi="Arial" w:cs="Arial"/>
          <w:sz w:val="20"/>
          <w:szCs w:val="20"/>
        </w:rPr>
        <w:t xml:space="preserve"> y</w:t>
      </w:r>
    </w:p>
    <w:p w:rsidR="00C33BBE" w:rsidRPr="00AC4AEA" w:rsidRDefault="004C665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actividades de financiación</w:t>
      </w:r>
      <w:r w:rsidR="00F944B4" w:rsidRPr="00AC4AEA">
        <w:rPr>
          <w:rFonts w:ascii="Arial" w:hAnsi="Arial" w:cs="Arial"/>
          <w:sz w:val="20"/>
          <w:szCs w:val="20"/>
        </w:rPr>
        <w:t>.</w:t>
      </w:r>
    </w:p>
    <w:tbl>
      <w:tblPr>
        <w:tblStyle w:val="Tablaconcuadrcula"/>
        <w:tblW w:w="8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7418"/>
      </w:tblGrid>
      <w:tr w:rsidR="00E618EF" w:rsidRPr="00AC4AEA" w:rsidTr="002C6B55">
        <w:tc>
          <w:tcPr>
            <w:tcW w:w="851" w:type="dxa"/>
          </w:tcPr>
          <w:p w:rsidR="00F81D21" w:rsidRPr="00AC4AEA" w:rsidRDefault="00F81D21" w:rsidP="00F81D21">
            <w:pPr>
              <w:tabs>
                <w:tab w:val="right" w:pos="709"/>
                <w:tab w:val="right" w:pos="851"/>
              </w:tabs>
              <w:jc w:val="right"/>
              <w:rPr>
                <w:rFonts w:ascii="Arial" w:hAnsi="Arial" w:cs="Arial"/>
                <w:sz w:val="20"/>
                <w:szCs w:val="20"/>
              </w:rPr>
            </w:pPr>
            <w:r w:rsidRPr="00AC4AEA">
              <w:rPr>
                <w:rFonts w:ascii="Arial" w:hAnsi="Arial" w:cs="Arial"/>
                <w:sz w:val="20"/>
                <w:szCs w:val="20"/>
              </w:rPr>
              <w:t>31A.</w:t>
            </w:r>
          </w:p>
        </w:tc>
        <w:tc>
          <w:tcPr>
            <w:tcW w:w="7418" w:type="dxa"/>
          </w:tcPr>
          <w:p w:rsidR="00F81D21" w:rsidRPr="00AC4AEA" w:rsidRDefault="00F81D21" w:rsidP="00F81D21">
            <w:pPr>
              <w:tabs>
                <w:tab w:val="right" w:pos="709"/>
                <w:tab w:val="right" w:pos="851"/>
              </w:tabs>
              <w:rPr>
                <w:rFonts w:ascii="Arial" w:hAnsi="Arial" w:cs="Arial"/>
                <w:sz w:val="20"/>
                <w:szCs w:val="20"/>
              </w:rPr>
            </w:pPr>
            <w:r w:rsidRPr="00AC4AEA">
              <w:rPr>
                <w:rFonts w:ascii="Arial" w:hAnsi="Arial" w:cs="Arial"/>
                <w:sz w:val="20"/>
                <w:szCs w:val="20"/>
              </w:rPr>
              <w:t xml:space="preserve">Una entidad podría tener que presentar otras causas por separado de las tres actividades referidas, según lo establezca la presente Resolución Técnica u </w:t>
            </w:r>
            <w:r w:rsidRPr="00AC4AEA">
              <w:rPr>
                <w:rFonts w:ascii="Arial" w:hAnsi="Arial" w:cs="Arial"/>
                <w:b/>
                <w:bCs/>
                <w:sz w:val="20"/>
                <w:szCs w:val="20"/>
              </w:rPr>
              <w:t>otras normas contables</w:t>
            </w:r>
            <w:r w:rsidRPr="00AC4AEA">
              <w:rPr>
                <w:rFonts w:ascii="Arial" w:hAnsi="Arial" w:cs="Arial"/>
                <w:sz w:val="20"/>
                <w:szCs w:val="20"/>
              </w:rPr>
              <w:t>.</w:t>
            </w:r>
          </w:p>
        </w:tc>
      </w:tr>
    </w:tbl>
    <w:p w:rsidR="00AE7883" w:rsidRPr="00AC4AEA" w:rsidRDefault="00F81D21" w:rsidP="0059566B">
      <w:pPr>
        <w:tabs>
          <w:tab w:val="right" w:pos="709"/>
          <w:tab w:val="right" w:pos="851"/>
        </w:tabs>
        <w:jc w:val="both"/>
        <w:rPr>
          <w:rFonts w:cs="Arial"/>
          <w:sz w:val="20"/>
          <w:szCs w:val="20"/>
        </w:rPr>
      </w:pPr>
      <w:r w:rsidRPr="00AC4AEA">
        <w:rPr>
          <w:rFonts w:ascii="Arial" w:hAnsi="Arial" w:cs="Arial"/>
          <w:sz w:val="20"/>
          <w:szCs w:val="20"/>
        </w:rPr>
        <w:tab/>
      </w:r>
      <w:bookmarkStart w:id="44" w:name="_Toc101863710"/>
    </w:p>
    <w:p w:rsidR="008C6F8F" w:rsidRPr="00AC4AEA" w:rsidRDefault="008C6F8F" w:rsidP="00A318EA">
      <w:pPr>
        <w:pStyle w:val="Ttulo1"/>
        <w:rPr>
          <w:rFonts w:cs="Arial"/>
          <w:sz w:val="20"/>
          <w:szCs w:val="20"/>
        </w:rPr>
      </w:pPr>
      <w:bookmarkStart w:id="45" w:name="_Toc139356575"/>
      <w:r w:rsidRPr="00AC4AEA">
        <w:rPr>
          <w:rFonts w:cs="Arial"/>
          <w:sz w:val="20"/>
          <w:szCs w:val="20"/>
        </w:rPr>
        <w:t xml:space="preserve">CONJUNTO COMPLETO DE </w:t>
      </w:r>
      <w:r w:rsidR="00135084" w:rsidRPr="00AC4AEA">
        <w:rPr>
          <w:rFonts w:cs="Arial"/>
          <w:bCs/>
          <w:sz w:val="20"/>
          <w:szCs w:val="20"/>
        </w:rPr>
        <w:t>ESTADOS CONTABLES</w:t>
      </w:r>
      <w:bookmarkEnd w:id="44"/>
      <w:bookmarkEnd w:id="45"/>
    </w:p>
    <w:p w:rsidR="00A130E2" w:rsidRPr="00AC4AEA" w:rsidRDefault="00A130E2" w:rsidP="00A318EA">
      <w:pPr>
        <w:pStyle w:val="Ttulo2"/>
        <w:rPr>
          <w:rFonts w:cs="Arial"/>
        </w:rPr>
      </w:pPr>
      <w:bookmarkStart w:id="46" w:name="_Toc139356576"/>
      <w:r w:rsidRPr="00AC4AEA">
        <w:rPr>
          <w:rFonts w:cs="Arial"/>
        </w:rPr>
        <w:t>Componentes de un conjunto completo de estados contables correspondientes a una entidad in</w:t>
      </w:r>
      <w:r w:rsidR="00352F57" w:rsidRPr="00AC4AEA">
        <w:rPr>
          <w:rFonts w:cs="Arial"/>
        </w:rPr>
        <w:t>di</w:t>
      </w:r>
      <w:r w:rsidRPr="00AC4AEA">
        <w:rPr>
          <w:rFonts w:cs="Arial"/>
        </w:rPr>
        <w:t>vidual</w:t>
      </w:r>
      <w:bookmarkEnd w:id="46"/>
    </w:p>
    <w:p w:rsidR="008C6F8F" w:rsidRPr="00AC4AEA" w:rsidRDefault="008C6F8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 conjunto completo de </w:t>
      </w:r>
      <w:r w:rsidR="00135084" w:rsidRPr="00AC4AEA">
        <w:rPr>
          <w:rFonts w:ascii="Arial" w:hAnsi="Arial" w:cs="Arial"/>
          <w:b/>
          <w:bCs/>
          <w:sz w:val="20"/>
          <w:szCs w:val="20"/>
        </w:rPr>
        <w:t>estados contables</w:t>
      </w:r>
      <w:r w:rsidRPr="00AC4AEA">
        <w:rPr>
          <w:rFonts w:ascii="Arial" w:hAnsi="Arial" w:cs="Arial"/>
          <w:sz w:val="20"/>
          <w:szCs w:val="20"/>
        </w:rPr>
        <w:t xml:space="preserve"> comprende: </w:t>
      </w:r>
    </w:p>
    <w:p w:rsidR="008C6F8F" w:rsidRPr="00AC4AEA" w:rsidRDefault="00B91E1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8C6F8F" w:rsidRPr="00AC4AEA">
        <w:rPr>
          <w:rFonts w:ascii="Arial" w:hAnsi="Arial" w:cs="Arial"/>
          <w:sz w:val="20"/>
          <w:szCs w:val="20"/>
        </w:rPr>
        <w:t>l estado de situación patrimonial o balance general; </w:t>
      </w:r>
    </w:p>
    <w:p w:rsidR="008C6F8F" w:rsidRPr="00AC4AEA" w:rsidRDefault="00B91E1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8C6F8F" w:rsidRPr="00AC4AEA">
        <w:rPr>
          <w:rFonts w:ascii="Arial" w:hAnsi="Arial" w:cs="Arial"/>
          <w:sz w:val="20"/>
          <w:szCs w:val="20"/>
        </w:rPr>
        <w:t>l estado de resultados (estado de recursos y gastos, en las entidades sin fines de lucro); </w:t>
      </w:r>
    </w:p>
    <w:p w:rsidR="008C6F8F" w:rsidRPr="00AC4AEA" w:rsidRDefault="00B91E1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8C6F8F" w:rsidRPr="00AC4AEA">
        <w:rPr>
          <w:rFonts w:ascii="Arial" w:hAnsi="Arial" w:cs="Arial"/>
          <w:sz w:val="20"/>
          <w:szCs w:val="20"/>
        </w:rPr>
        <w:t>l estado de evolución del patrimonio neto; </w:t>
      </w:r>
    </w:p>
    <w:p w:rsidR="008C6F8F" w:rsidRPr="00AC4AEA" w:rsidRDefault="00B91E1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8C6F8F" w:rsidRPr="00AC4AEA">
        <w:rPr>
          <w:rFonts w:ascii="Arial" w:hAnsi="Arial" w:cs="Arial"/>
          <w:sz w:val="20"/>
          <w:szCs w:val="20"/>
        </w:rPr>
        <w:t>l estado de flujos de efectivo; </w:t>
      </w:r>
      <w:r w:rsidR="000E70AC" w:rsidRPr="00AC4AEA">
        <w:rPr>
          <w:rFonts w:ascii="Arial" w:hAnsi="Arial" w:cs="Arial"/>
          <w:sz w:val="20"/>
          <w:szCs w:val="20"/>
        </w:rPr>
        <w:t>y</w:t>
      </w:r>
    </w:p>
    <w:p w:rsidR="008C6F8F" w:rsidRPr="00AC4AEA" w:rsidRDefault="00B91E1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8C6F8F" w:rsidRPr="00AC4AEA">
        <w:rPr>
          <w:rFonts w:ascii="Arial" w:hAnsi="Arial" w:cs="Arial"/>
          <w:sz w:val="20"/>
          <w:szCs w:val="20"/>
        </w:rPr>
        <w:t xml:space="preserve">as notas, con un resumen de las </w:t>
      </w:r>
      <w:r w:rsidR="00135084" w:rsidRPr="00AC4AEA">
        <w:rPr>
          <w:rFonts w:ascii="Arial" w:hAnsi="Arial" w:cs="Arial"/>
          <w:b/>
          <w:bCs/>
          <w:sz w:val="20"/>
          <w:szCs w:val="20"/>
        </w:rPr>
        <w:t>políticas contables</w:t>
      </w:r>
      <w:r w:rsidR="008C6F8F" w:rsidRPr="00AC4AEA">
        <w:rPr>
          <w:rFonts w:ascii="Arial" w:hAnsi="Arial" w:cs="Arial"/>
          <w:sz w:val="20"/>
          <w:szCs w:val="20"/>
        </w:rPr>
        <w:t xml:space="preserve"> significativas y </w:t>
      </w:r>
      <w:r w:rsidR="0084382C" w:rsidRPr="00AC4AEA">
        <w:rPr>
          <w:rFonts w:ascii="Arial" w:hAnsi="Arial" w:cs="Arial"/>
          <w:sz w:val="20"/>
          <w:szCs w:val="20"/>
        </w:rPr>
        <w:t>cualquier otra</w:t>
      </w:r>
      <w:r w:rsidR="008C6F8F" w:rsidRPr="00AC4AEA">
        <w:rPr>
          <w:rFonts w:ascii="Arial" w:hAnsi="Arial" w:cs="Arial"/>
          <w:sz w:val="20"/>
          <w:szCs w:val="20"/>
        </w:rPr>
        <w:t xml:space="preserve"> información explicativa </w:t>
      </w:r>
      <w:r w:rsidR="0084382C" w:rsidRPr="00AC4AEA">
        <w:rPr>
          <w:rFonts w:ascii="Arial" w:hAnsi="Arial" w:cs="Arial"/>
          <w:sz w:val="20"/>
          <w:szCs w:val="20"/>
        </w:rPr>
        <w:t xml:space="preserve">que </w:t>
      </w:r>
      <w:r w:rsidR="00C41371" w:rsidRPr="00AC4AEA">
        <w:rPr>
          <w:rFonts w:ascii="Arial" w:hAnsi="Arial" w:cs="Arial"/>
          <w:sz w:val="20"/>
          <w:szCs w:val="20"/>
        </w:rPr>
        <w:t xml:space="preserve">permita al conjunto completo satisfacer </w:t>
      </w:r>
      <w:r w:rsidR="008C6F8F" w:rsidRPr="00AC4AEA">
        <w:rPr>
          <w:rFonts w:ascii="Arial" w:hAnsi="Arial" w:cs="Arial"/>
          <w:sz w:val="20"/>
          <w:szCs w:val="20"/>
        </w:rPr>
        <w:t xml:space="preserve">los </w:t>
      </w:r>
      <w:r w:rsidR="008C6F8F" w:rsidRPr="00AC4AEA">
        <w:rPr>
          <w:rFonts w:ascii="Arial" w:hAnsi="Arial" w:cs="Arial"/>
          <w:b/>
          <w:bCs/>
          <w:sz w:val="20"/>
          <w:szCs w:val="20"/>
        </w:rPr>
        <w:t xml:space="preserve">requisitos de la información contenida en los </w:t>
      </w:r>
      <w:r w:rsidR="00135084" w:rsidRPr="00AC4AEA">
        <w:rPr>
          <w:rFonts w:ascii="Arial" w:hAnsi="Arial" w:cs="Arial"/>
          <w:b/>
          <w:bCs/>
          <w:sz w:val="20"/>
          <w:szCs w:val="20"/>
        </w:rPr>
        <w:t>estados contables</w:t>
      </w:r>
      <w:r w:rsidR="008C6F8F" w:rsidRPr="00AC4AEA">
        <w:rPr>
          <w:rFonts w:ascii="Arial" w:hAnsi="Arial" w:cs="Arial"/>
          <w:sz w:val="20"/>
          <w:szCs w:val="20"/>
        </w:rPr>
        <w:t>. </w:t>
      </w:r>
    </w:p>
    <w:p w:rsidR="00DA22DE" w:rsidRPr="00AC4AEA" w:rsidRDefault="00DA22DE" w:rsidP="00A318EA">
      <w:pPr>
        <w:pStyle w:val="Prrafodelista"/>
        <w:ind w:left="1560"/>
        <w:contextualSpacing w:val="0"/>
        <w:jc w:val="both"/>
        <w:rPr>
          <w:rFonts w:ascii="Arial" w:hAnsi="Arial" w:cs="Arial"/>
          <w:sz w:val="20"/>
          <w:szCs w:val="20"/>
        </w:rPr>
      </w:pPr>
    </w:p>
    <w:p w:rsidR="008C6F8F" w:rsidRPr="00AC4AEA" w:rsidRDefault="008C6F8F" w:rsidP="00A318EA">
      <w:pPr>
        <w:pStyle w:val="Ttulo2"/>
        <w:rPr>
          <w:rFonts w:cs="Arial"/>
          <w:bCs/>
        </w:rPr>
      </w:pPr>
      <w:bookmarkStart w:id="47" w:name="_Toc101863711"/>
      <w:bookmarkStart w:id="48" w:name="_Toc139356577"/>
      <w:r w:rsidRPr="00AC4AEA">
        <w:rPr>
          <w:rFonts w:cs="Arial"/>
        </w:rPr>
        <w:t xml:space="preserve">Estados </w:t>
      </w:r>
      <w:r w:rsidR="00A130E2" w:rsidRPr="00AC4AEA">
        <w:rPr>
          <w:rFonts w:cs="Arial"/>
        </w:rPr>
        <w:t xml:space="preserve">contables </w:t>
      </w:r>
      <w:r w:rsidRPr="00AC4AEA">
        <w:rPr>
          <w:rFonts w:cs="Arial"/>
        </w:rPr>
        <w:t>consolidados</w:t>
      </w:r>
      <w:bookmarkEnd w:id="47"/>
      <w:bookmarkEnd w:id="48"/>
      <w:r w:rsidRPr="00AC4AEA">
        <w:rPr>
          <w:rFonts w:cs="Arial"/>
          <w:bCs/>
        </w:rPr>
        <w:t> </w:t>
      </w:r>
    </w:p>
    <w:p w:rsidR="006D34E1" w:rsidRPr="00AC4AEA" w:rsidRDefault="008C6F8F" w:rsidP="00A318EA">
      <w:pPr>
        <w:pStyle w:val="Prrafodelista"/>
        <w:numPr>
          <w:ilvl w:val="0"/>
          <w:numId w:val="29"/>
        </w:numPr>
        <w:contextualSpacing w:val="0"/>
        <w:jc w:val="both"/>
        <w:rPr>
          <w:rFonts w:ascii="Arial" w:hAnsi="Arial" w:cs="Arial"/>
          <w:sz w:val="20"/>
          <w:szCs w:val="20"/>
        </w:rPr>
      </w:pPr>
      <w:bookmarkStart w:id="49" w:name="_Ref138960276"/>
      <w:r w:rsidRPr="00AC4AEA">
        <w:rPr>
          <w:rFonts w:ascii="Arial" w:hAnsi="Arial" w:cs="Arial"/>
          <w:sz w:val="20"/>
          <w:szCs w:val="20"/>
        </w:rPr>
        <w:t xml:space="preserve">Una entidad presentará </w:t>
      </w:r>
      <w:r w:rsidR="00135084" w:rsidRPr="00AC4AEA">
        <w:rPr>
          <w:rFonts w:ascii="Arial" w:hAnsi="Arial" w:cs="Arial"/>
          <w:b/>
          <w:bCs/>
          <w:sz w:val="20"/>
          <w:szCs w:val="20"/>
        </w:rPr>
        <w:t>estados contables</w:t>
      </w:r>
      <w:r w:rsidR="00EE61A7" w:rsidRPr="00AC4AEA">
        <w:rPr>
          <w:rFonts w:ascii="Arial" w:hAnsi="Arial" w:cs="Arial"/>
          <w:sz w:val="20"/>
          <w:szCs w:val="20"/>
        </w:rPr>
        <w:t xml:space="preserve"> </w:t>
      </w:r>
      <w:r w:rsidR="00572D8D" w:rsidRPr="00AC4AEA">
        <w:rPr>
          <w:rFonts w:ascii="Arial" w:hAnsi="Arial" w:cs="Arial"/>
          <w:b/>
          <w:bCs/>
          <w:sz w:val="20"/>
          <w:szCs w:val="20"/>
        </w:rPr>
        <w:t>consolidados</w:t>
      </w:r>
      <w:r w:rsidR="00624AEF" w:rsidRPr="00AC4AEA">
        <w:rPr>
          <w:rFonts w:ascii="Arial" w:hAnsi="Arial" w:cs="Arial"/>
          <w:sz w:val="20"/>
          <w:szCs w:val="20"/>
        </w:rPr>
        <w:t>,</w:t>
      </w:r>
      <w:r w:rsidRPr="00AC4AEA">
        <w:rPr>
          <w:rFonts w:ascii="Arial" w:hAnsi="Arial" w:cs="Arial"/>
          <w:sz w:val="20"/>
          <w:szCs w:val="20"/>
        </w:rPr>
        <w:t xml:space="preserve"> </w:t>
      </w:r>
      <w:r w:rsidR="002C3D12" w:rsidRPr="00AC4AEA">
        <w:rPr>
          <w:rFonts w:ascii="Arial" w:hAnsi="Arial" w:cs="Arial"/>
          <w:sz w:val="20"/>
          <w:szCs w:val="20"/>
        </w:rPr>
        <w:t xml:space="preserve">además de sus </w:t>
      </w:r>
      <w:r w:rsidR="002C3D12" w:rsidRPr="00AC4AEA">
        <w:rPr>
          <w:rFonts w:ascii="Arial" w:hAnsi="Arial" w:cs="Arial"/>
          <w:b/>
          <w:bCs/>
          <w:sz w:val="20"/>
          <w:szCs w:val="20"/>
        </w:rPr>
        <w:t>estados contables separados</w:t>
      </w:r>
      <w:r w:rsidR="00624AEF" w:rsidRPr="00AC4AEA">
        <w:rPr>
          <w:rFonts w:ascii="Arial" w:hAnsi="Arial" w:cs="Arial"/>
          <w:sz w:val="20"/>
          <w:szCs w:val="20"/>
        </w:rPr>
        <w:t>,</w:t>
      </w:r>
      <w:r w:rsidRPr="00AC4AEA">
        <w:rPr>
          <w:rFonts w:ascii="Arial" w:hAnsi="Arial" w:cs="Arial"/>
          <w:sz w:val="20"/>
          <w:szCs w:val="20"/>
        </w:rPr>
        <w:t xml:space="preserve"> </w:t>
      </w:r>
      <w:r w:rsidR="00624AEF" w:rsidRPr="00AC4AEA">
        <w:rPr>
          <w:rFonts w:ascii="Arial" w:hAnsi="Arial" w:cs="Arial"/>
          <w:sz w:val="20"/>
          <w:szCs w:val="20"/>
        </w:rPr>
        <w:t>de acuerdo con</w:t>
      </w:r>
      <w:r w:rsidRPr="00AC4AEA">
        <w:rPr>
          <w:rFonts w:ascii="Arial" w:hAnsi="Arial" w:cs="Arial"/>
          <w:sz w:val="20"/>
          <w:szCs w:val="20"/>
        </w:rPr>
        <w:t xml:space="preserve"> </w:t>
      </w:r>
      <w:r w:rsidR="00624AEF" w:rsidRPr="00AC4AEA">
        <w:rPr>
          <w:rFonts w:ascii="Arial" w:hAnsi="Arial" w:cs="Arial"/>
          <w:sz w:val="20"/>
          <w:szCs w:val="20"/>
        </w:rPr>
        <w:t>lo establecido en la sección “</w:t>
      </w:r>
      <w:r w:rsidR="00624AEF" w:rsidRPr="00AC4AEA">
        <w:rPr>
          <w:rFonts w:ascii="Arial" w:hAnsi="Arial" w:cs="Arial"/>
          <w:sz w:val="20"/>
          <w:szCs w:val="20"/>
          <w:u w:val="single"/>
        </w:rPr>
        <w:t>Preparación de estados contables consolidados</w:t>
      </w:r>
      <w:r w:rsidR="00624AEF" w:rsidRPr="00AC4AEA">
        <w:rPr>
          <w:rFonts w:ascii="Arial" w:hAnsi="Arial" w:cs="Arial"/>
          <w:sz w:val="20"/>
          <w:szCs w:val="20"/>
        </w:rPr>
        <w:t>”</w:t>
      </w:r>
      <w:r w:rsidRPr="00AC4AEA">
        <w:rPr>
          <w:rFonts w:ascii="Arial" w:hAnsi="Arial" w:cs="Arial"/>
          <w:sz w:val="20"/>
          <w:szCs w:val="20"/>
        </w:rPr>
        <w:t xml:space="preserve"> </w:t>
      </w:r>
      <w:r w:rsidR="007D20F8" w:rsidRPr="00AC4AEA">
        <w:rPr>
          <w:rFonts w:ascii="Arial" w:hAnsi="Arial" w:cs="Arial"/>
          <w:sz w:val="20"/>
          <w:szCs w:val="20"/>
        </w:rPr>
        <w:t xml:space="preserve">esta Resolución Técnica </w:t>
      </w:r>
      <w:r w:rsidR="00624AEF" w:rsidRPr="00AC4AEA">
        <w:rPr>
          <w:rFonts w:ascii="Arial" w:hAnsi="Arial" w:cs="Arial"/>
          <w:sz w:val="20"/>
          <w:szCs w:val="20"/>
        </w:rPr>
        <w:t xml:space="preserve">[ver los párrafos </w:t>
      </w:r>
      <w:fldSimple w:instr=" REF _Ref133343886 \r \h  \* MERGEFORMAT ">
        <w:r w:rsidR="00D33A5D" w:rsidRPr="00D33A5D">
          <w:rPr>
            <w:rFonts w:ascii="Arial" w:hAnsi="Arial" w:cs="Arial"/>
            <w:sz w:val="20"/>
            <w:szCs w:val="20"/>
          </w:rPr>
          <w:t>764</w:t>
        </w:r>
      </w:fldSimple>
      <w:r w:rsidR="00996473" w:rsidRPr="00AC4AEA">
        <w:rPr>
          <w:rFonts w:ascii="Arial" w:hAnsi="Arial" w:cs="Arial"/>
          <w:sz w:val="20"/>
          <w:szCs w:val="20"/>
        </w:rPr>
        <w:t xml:space="preserve"> a</w:t>
      </w:r>
      <w:r w:rsidR="006F2C57">
        <w:rPr>
          <w:rFonts w:ascii="Arial" w:hAnsi="Arial" w:cs="Arial"/>
          <w:sz w:val="20"/>
          <w:szCs w:val="20"/>
        </w:rPr>
        <w:t xml:space="preserve"> </w:t>
      </w:r>
      <w:r w:rsidR="001C4138">
        <w:rPr>
          <w:rFonts w:ascii="Arial" w:hAnsi="Arial" w:cs="Arial"/>
          <w:sz w:val="20"/>
          <w:szCs w:val="20"/>
        </w:rPr>
        <w:fldChar w:fldCharType="begin"/>
      </w:r>
      <w:r w:rsidR="00EA6929">
        <w:rPr>
          <w:rFonts w:ascii="Arial" w:hAnsi="Arial" w:cs="Arial"/>
          <w:sz w:val="20"/>
          <w:szCs w:val="20"/>
        </w:rPr>
        <w:instrText xml:space="preserve"> REF _Ref135731820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806</w:t>
      </w:r>
      <w:r w:rsidR="001C4138">
        <w:rPr>
          <w:rFonts w:ascii="Arial" w:hAnsi="Arial" w:cs="Arial"/>
          <w:sz w:val="20"/>
          <w:szCs w:val="20"/>
        </w:rPr>
        <w:fldChar w:fldCharType="end"/>
      </w:r>
      <w:r w:rsidR="00624AEF" w:rsidRPr="00AC4AEA">
        <w:rPr>
          <w:rFonts w:ascii="Arial" w:hAnsi="Arial" w:cs="Arial"/>
          <w:sz w:val="20"/>
          <w:szCs w:val="20"/>
        </w:rPr>
        <w:t>]</w:t>
      </w:r>
      <w:r w:rsidR="006439F1" w:rsidRPr="00AC4AEA">
        <w:rPr>
          <w:rFonts w:ascii="Arial" w:hAnsi="Arial" w:cs="Arial"/>
          <w:sz w:val="20"/>
          <w:szCs w:val="20"/>
        </w:rPr>
        <w:t>.</w:t>
      </w:r>
      <w:bookmarkEnd w:id="49"/>
    </w:p>
    <w:p w:rsidR="00AE7883" w:rsidRPr="00AC4AEA" w:rsidRDefault="00AE7883" w:rsidP="00A318EA">
      <w:pPr>
        <w:pStyle w:val="Ttulo1"/>
        <w:rPr>
          <w:rFonts w:cs="Arial"/>
          <w:sz w:val="20"/>
          <w:szCs w:val="20"/>
        </w:rPr>
      </w:pPr>
      <w:bookmarkStart w:id="50" w:name="_Toc101863712"/>
    </w:p>
    <w:p w:rsidR="0090400F" w:rsidRPr="00AC4AEA" w:rsidRDefault="002A0EDF" w:rsidP="00A318EA">
      <w:pPr>
        <w:pStyle w:val="Ttulo1"/>
        <w:rPr>
          <w:rFonts w:cs="Arial"/>
          <w:sz w:val="20"/>
          <w:szCs w:val="20"/>
        </w:rPr>
      </w:pPr>
      <w:bookmarkStart w:id="51" w:name="_Toc139356578"/>
      <w:r w:rsidRPr="00AC4AEA">
        <w:rPr>
          <w:rFonts w:cs="Arial"/>
          <w:sz w:val="20"/>
          <w:szCs w:val="20"/>
        </w:rPr>
        <w:t xml:space="preserve">PREPARACIÓN DE </w:t>
      </w:r>
      <w:r w:rsidR="00135084" w:rsidRPr="00AC4AEA">
        <w:rPr>
          <w:rFonts w:cs="Arial"/>
          <w:bCs/>
          <w:sz w:val="20"/>
          <w:szCs w:val="20"/>
        </w:rPr>
        <w:t>ESTADOS CONTABLES</w:t>
      </w:r>
      <w:r w:rsidR="002668B7" w:rsidRPr="00AC4AEA">
        <w:rPr>
          <w:rFonts w:cs="Arial"/>
          <w:sz w:val="20"/>
          <w:szCs w:val="20"/>
        </w:rPr>
        <w:t xml:space="preserve">: </w:t>
      </w:r>
      <w:r w:rsidR="0037737B" w:rsidRPr="00AC4AEA">
        <w:rPr>
          <w:rFonts w:cs="Arial"/>
          <w:sz w:val="20"/>
          <w:szCs w:val="20"/>
        </w:rPr>
        <w:t xml:space="preserve">OPERACIONES </w:t>
      </w:r>
      <w:r w:rsidR="002668B7" w:rsidRPr="00AC4AEA">
        <w:rPr>
          <w:rFonts w:cs="Arial"/>
          <w:sz w:val="20"/>
          <w:szCs w:val="20"/>
        </w:rPr>
        <w:t>FUNDAMENTALES</w:t>
      </w:r>
      <w:bookmarkEnd w:id="50"/>
      <w:bookmarkEnd w:id="51"/>
    </w:p>
    <w:p w:rsidR="00121A98" w:rsidRPr="00AC4AEA" w:rsidRDefault="00A57E28" w:rsidP="00A318EA">
      <w:pPr>
        <w:pStyle w:val="Prrafodelista"/>
        <w:numPr>
          <w:ilvl w:val="0"/>
          <w:numId w:val="29"/>
        </w:numPr>
        <w:contextualSpacing w:val="0"/>
        <w:jc w:val="both"/>
        <w:rPr>
          <w:rFonts w:ascii="Arial" w:hAnsi="Arial" w:cs="Arial"/>
          <w:sz w:val="20"/>
          <w:szCs w:val="20"/>
        </w:rPr>
      </w:pPr>
      <w:bookmarkStart w:id="52" w:name="_Ref135301315"/>
      <w:r w:rsidRPr="00AC4AEA">
        <w:rPr>
          <w:rFonts w:ascii="Arial" w:hAnsi="Arial" w:cs="Arial"/>
          <w:sz w:val="20"/>
          <w:szCs w:val="20"/>
        </w:rPr>
        <w:t xml:space="preserve">Las operaciones </w:t>
      </w:r>
      <w:r w:rsidR="00121A98" w:rsidRPr="00AC4AEA">
        <w:rPr>
          <w:rFonts w:ascii="Arial" w:hAnsi="Arial" w:cs="Arial"/>
          <w:sz w:val="20"/>
          <w:szCs w:val="20"/>
        </w:rPr>
        <w:t xml:space="preserve">fundamentales </w:t>
      </w:r>
      <w:r w:rsidR="00A3444A" w:rsidRPr="00AC4AEA">
        <w:rPr>
          <w:rFonts w:ascii="Arial" w:hAnsi="Arial" w:cs="Arial"/>
          <w:sz w:val="20"/>
          <w:szCs w:val="20"/>
        </w:rPr>
        <w:t>que rigen</w:t>
      </w:r>
      <w:r w:rsidR="00121A98" w:rsidRPr="00AC4AEA">
        <w:rPr>
          <w:rFonts w:ascii="Arial" w:hAnsi="Arial" w:cs="Arial"/>
          <w:sz w:val="20"/>
          <w:szCs w:val="20"/>
        </w:rPr>
        <w:t xml:space="preserve"> la preparación de </w:t>
      </w:r>
      <w:r w:rsidR="00E5062A" w:rsidRPr="00AC4AEA">
        <w:rPr>
          <w:rFonts w:ascii="Arial" w:hAnsi="Arial" w:cs="Arial"/>
          <w:sz w:val="20"/>
          <w:szCs w:val="20"/>
        </w:rPr>
        <w:t xml:space="preserve">un conjunto completo de </w:t>
      </w:r>
      <w:r w:rsidR="00135084" w:rsidRPr="00AC4AEA">
        <w:rPr>
          <w:rFonts w:ascii="Arial" w:hAnsi="Arial" w:cs="Arial"/>
          <w:b/>
          <w:bCs/>
          <w:sz w:val="20"/>
          <w:szCs w:val="20"/>
        </w:rPr>
        <w:t>estados contables</w:t>
      </w:r>
      <w:r w:rsidR="00121A98" w:rsidRPr="00AC4AEA">
        <w:rPr>
          <w:rFonts w:ascii="Arial" w:hAnsi="Arial" w:cs="Arial"/>
          <w:sz w:val="20"/>
          <w:szCs w:val="20"/>
        </w:rPr>
        <w:t xml:space="preserve"> son </w:t>
      </w:r>
      <w:r w:rsidR="00F136FD" w:rsidRPr="00AC4AEA">
        <w:rPr>
          <w:rFonts w:ascii="Arial" w:hAnsi="Arial" w:cs="Arial"/>
          <w:sz w:val="20"/>
          <w:szCs w:val="20"/>
        </w:rPr>
        <w:t xml:space="preserve">las </w:t>
      </w:r>
      <w:r w:rsidR="00121A98" w:rsidRPr="00AC4AEA">
        <w:rPr>
          <w:rFonts w:ascii="Arial" w:hAnsi="Arial" w:cs="Arial"/>
          <w:sz w:val="20"/>
          <w:szCs w:val="20"/>
        </w:rPr>
        <w:t>siguientes:</w:t>
      </w:r>
      <w:bookmarkEnd w:id="52"/>
    </w:p>
    <w:p w:rsidR="00121A98" w:rsidRPr="00AC4AEA" w:rsidRDefault="00121A9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reconocimiento;</w:t>
      </w:r>
    </w:p>
    <w:p w:rsidR="00121A98" w:rsidRPr="00AC4AEA" w:rsidRDefault="00121A9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baja en cuenta</w:t>
      </w:r>
      <w:r w:rsidR="00301363" w:rsidRPr="00AC4AEA">
        <w:rPr>
          <w:rFonts w:ascii="Arial" w:hAnsi="Arial" w:cs="Arial"/>
          <w:sz w:val="20"/>
          <w:szCs w:val="20"/>
        </w:rPr>
        <w:t>s</w:t>
      </w:r>
      <w:r w:rsidRPr="00AC4AEA">
        <w:rPr>
          <w:rFonts w:ascii="Arial" w:hAnsi="Arial" w:cs="Arial"/>
          <w:sz w:val="20"/>
          <w:szCs w:val="20"/>
        </w:rPr>
        <w:t>;</w:t>
      </w:r>
    </w:p>
    <w:p w:rsidR="00121A98" w:rsidRPr="00AC4AEA" w:rsidRDefault="00121A9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medición; y</w:t>
      </w:r>
    </w:p>
    <w:p w:rsidR="00121A98" w:rsidRPr="00AC4AEA" w:rsidRDefault="006A7EA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presentación</w:t>
      </w:r>
      <w:r w:rsidR="00A102B4" w:rsidRPr="00AC4AEA">
        <w:rPr>
          <w:rFonts w:ascii="Arial" w:hAnsi="Arial" w:cs="Arial"/>
          <w:sz w:val="20"/>
          <w:szCs w:val="20"/>
        </w:rPr>
        <w:t xml:space="preserve"> y revelación en notas</w:t>
      </w:r>
      <w:r w:rsidR="0071237C" w:rsidRPr="00AC4AEA">
        <w:rPr>
          <w:rFonts w:ascii="Arial" w:hAnsi="Arial" w:cs="Arial"/>
          <w:sz w:val="20"/>
          <w:szCs w:val="20"/>
        </w:rPr>
        <w:t>.</w:t>
      </w:r>
    </w:p>
    <w:p w:rsidR="0071237C" w:rsidRPr="00AC4AEA" w:rsidRDefault="0071237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usará las descripciones de los párrafos que siguen</w:t>
      </w:r>
      <w:r w:rsidR="00B95263" w:rsidRPr="00AC4AEA">
        <w:rPr>
          <w:rFonts w:ascii="Arial" w:hAnsi="Arial" w:cs="Arial"/>
          <w:sz w:val="20"/>
          <w:szCs w:val="20"/>
        </w:rPr>
        <w:t xml:space="preserve"> en la medida en que </w:t>
      </w:r>
      <w:r w:rsidR="00F136FD" w:rsidRPr="00AC4AEA">
        <w:rPr>
          <w:rFonts w:ascii="Arial" w:hAnsi="Arial" w:cs="Arial"/>
          <w:sz w:val="20"/>
          <w:szCs w:val="20"/>
        </w:rPr>
        <w:t xml:space="preserve">esta Resolución Técnica </w:t>
      </w:r>
      <w:r w:rsidR="00C33BBE" w:rsidRPr="00AC4AEA">
        <w:rPr>
          <w:rFonts w:ascii="Arial" w:hAnsi="Arial" w:cs="Arial"/>
          <w:sz w:val="20"/>
          <w:szCs w:val="20"/>
        </w:rPr>
        <w:t>u</w:t>
      </w:r>
      <w:r w:rsidR="00F136FD" w:rsidRPr="00AC4AEA">
        <w:rPr>
          <w:rFonts w:ascii="Arial" w:hAnsi="Arial" w:cs="Arial"/>
          <w:sz w:val="20"/>
          <w:szCs w:val="20"/>
        </w:rPr>
        <w:t xml:space="preserve"> </w:t>
      </w:r>
      <w:r w:rsidR="00F136FD" w:rsidRPr="00AC4AEA">
        <w:rPr>
          <w:rFonts w:ascii="Arial" w:hAnsi="Arial" w:cs="Arial"/>
          <w:b/>
          <w:bCs/>
          <w:sz w:val="20"/>
          <w:szCs w:val="20"/>
        </w:rPr>
        <w:t xml:space="preserve">otras normas contables </w:t>
      </w:r>
      <w:r w:rsidR="009D71DD" w:rsidRPr="00AC4AEA">
        <w:rPr>
          <w:rFonts w:ascii="Arial" w:hAnsi="Arial" w:cs="Arial"/>
          <w:sz w:val="20"/>
          <w:szCs w:val="20"/>
        </w:rPr>
        <w:t>aplicables</w:t>
      </w:r>
      <w:r w:rsidR="00B95263" w:rsidRPr="00AC4AEA">
        <w:rPr>
          <w:rFonts w:ascii="Arial" w:hAnsi="Arial" w:cs="Arial"/>
          <w:sz w:val="20"/>
          <w:szCs w:val="20"/>
        </w:rPr>
        <w:t xml:space="preserve"> no establezcan requerimientos específicos que entren en conflicto con ellas. En tal caso, dará prevalencia a los requerimientos específicos</w:t>
      </w:r>
      <w:r w:rsidR="0022765B" w:rsidRPr="00AC4AEA">
        <w:rPr>
          <w:rFonts w:ascii="Arial" w:hAnsi="Arial" w:cs="Arial"/>
          <w:sz w:val="20"/>
          <w:szCs w:val="20"/>
        </w:rPr>
        <w:t>.</w:t>
      </w:r>
    </w:p>
    <w:p w:rsidR="0022765B" w:rsidRPr="00AC4AEA" w:rsidRDefault="0022765B" w:rsidP="00A318EA">
      <w:pPr>
        <w:jc w:val="both"/>
        <w:rPr>
          <w:rFonts w:ascii="Arial" w:hAnsi="Arial" w:cs="Arial"/>
          <w:b/>
          <w:bCs/>
          <w:sz w:val="20"/>
          <w:szCs w:val="20"/>
        </w:rPr>
      </w:pPr>
      <w:bookmarkStart w:id="53" w:name="reconocimiento"/>
      <w:bookmarkEnd w:id="53"/>
    </w:p>
    <w:p w:rsidR="0090400F" w:rsidRPr="00AC4AEA" w:rsidRDefault="0090400F" w:rsidP="00A318EA">
      <w:pPr>
        <w:pStyle w:val="Ttulo2"/>
        <w:rPr>
          <w:rFonts w:cs="Arial"/>
          <w:bCs/>
        </w:rPr>
      </w:pPr>
      <w:bookmarkStart w:id="54" w:name="_Toc101863713"/>
      <w:bookmarkStart w:id="55" w:name="_Toc139356579"/>
      <w:r w:rsidRPr="00AC4AEA">
        <w:rPr>
          <w:rFonts w:cs="Arial"/>
        </w:rPr>
        <w:t>Reconocimiento</w:t>
      </w:r>
      <w:bookmarkEnd w:id="54"/>
      <w:bookmarkEnd w:id="55"/>
    </w:p>
    <w:p w:rsidR="00CB2B75"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w:t>
      </w:r>
      <w:r w:rsidR="00F73D4F" w:rsidRPr="00AC4AEA">
        <w:rPr>
          <w:rFonts w:ascii="Arial" w:hAnsi="Arial" w:cs="Arial"/>
          <w:sz w:val="20"/>
          <w:szCs w:val="20"/>
        </w:rPr>
        <w:t xml:space="preserve">un </w:t>
      </w:r>
      <w:r w:rsidR="00F73D4F" w:rsidRPr="00AC4AEA">
        <w:rPr>
          <w:rFonts w:ascii="Arial" w:hAnsi="Arial" w:cs="Arial"/>
          <w:b/>
          <w:bCs/>
          <w:sz w:val="20"/>
          <w:szCs w:val="20"/>
        </w:rPr>
        <w:t>activo</w:t>
      </w:r>
      <w:r w:rsidR="00F73D4F" w:rsidRPr="00AC4AEA">
        <w:rPr>
          <w:rFonts w:ascii="Arial" w:hAnsi="Arial" w:cs="Arial"/>
          <w:sz w:val="20"/>
          <w:szCs w:val="20"/>
        </w:rPr>
        <w:t xml:space="preserve"> cuando</w:t>
      </w:r>
      <w:r w:rsidR="00CB2B75" w:rsidRPr="00AC4AEA">
        <w:rPr>
          <w:rFonts w:ascii="Arial" w:hAnsi="Arial" w:cs="Arial"/>
          <w:sz w:val="20"/>
          <w:szCs w:val="20"/>
        </w:rPr>
        <w:t>:</w:t>
      </w:r>
    </w:p>
    <w:p w:rsidR="00F73D4F"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4F7CB7" w:rsidRPr="00AC4AEA">
        <w:rPr>
          <w:rFonts w:ascii="Arial" w:hAnsi="Arial" w:cs="Arial"/>
          <w:sz w:val="20"/>
          <w:szCs w:val="20"/>
        </w:rPr>
        <w:t>partida c</w:t>
      </w:r>
      <w:r w:rsidR="00F73D4F" w:rsidRPr="00AC4AEA">
        <w:rPr>
          <w:rFonts w:ascii="Arial" w:hAnsi="Arial" w:cs="Arial"/>
          <w:sz w:val="20"/>
          <w:szCs w:val="20"/>
        </w:rPr>
        <w:t xml:space="preserve">umpla la definición del </w:t>
      </w:r>
      <w:r w:rsidR="00C41371" w:rsidRPr="00AC4AEA">
        <w:rPr>
          <w:rFonts w:ascii="Arial" w:hAnsi="Arial" w:cs="Arial"/>
          <w:sz w:val="20"/>
          <w:szCs w:val="20"/>
        </w:rPr>
        <w:t xml:space="preserve">párrafo </w:t>
      </w:r>
      <w:fldSimple w:instr=" REF _Ref74755232 \r \h  \* MERGEFORMAT ">
        <w:r w:rsidR="00D33A5D" w:rsidRPr="00D33A5D">
          <w:rPr>
            <w:rFonts w:ascii="Arial" w:hAnsi="Arial" w:cs="Arial"/>
            <w:sz w:val="20"/>
            <w:szCs w:val="20"/>
          </w:rPr>
          <w:t>22</w:t>
        </w:r>
      </w:fldSimple>
      <w:r w:rsidR="00C41371" w:rsidRPr="00AC4AEA">
        <w:rPr>
          <w:rFonts w:ascii="Arial" w:hAnsi="Arial" w:cs="Arial"/>
          <w:sz w:val="20"/>
          <w:szCs w:val="20"/>
        </w:rPr>
        <w:t>;</w:t>
      </w:r>
    </w:p>
    <w:p w:rsidR="00F73D4F"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su </w:t>
      </w:r>
      <w:r w:rsidR="00F73D4F" w:rsidRPr="00AC4AEA">
        <w:rPr>
          <w:rFonts w:ascii="Arial" w:hAnsi="Arial" w:cs="Arial"/>
          <w:sz w:val="20"/>
          <w:szCs w:val="20"/>
        </w:rPr>
        <w:t xml:space="preserve">medición </w:t>
      </w:r>
      <w:r w:rsidR="00F10F74" w:rsidRPr="00AC4AEA">
        <w:rPr>
          <w:rFonts w:ascii="Arial" w:hAnsi="Arial" w:cs="Arial"/>
          <w:sz w:val="20"/>
          <w:szCs w:val="20"/>
        </w:rPr>
        <w:t>satisfaga</w:t>
      </w:r>
      <w:r w:rsidR="00F73D4F" w:rsidRPr="00AC4AEA">
        <w:rPr>
          <w:rFonts w:ascii="Arial" w:hAnsi="Arial" w:cs="Arial"/>
          <w:sz w:val="20"/>
          <w:szCs w:val="20"/>
        </w:rPr>
        <w:t xml:space="preserve"> el requisito de </w:t>
      </w:r>
      <w:r w:rsidR="00F73D4F"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0086268F" w:rsidRPr="00AC4AEA">
        <w:rPr>
          <w:rFonts w:ascii="Arial" w:hAnsi="Arial" w:cs="Arial"/>
          <w:sz w:val="20"/>
          <w:szCs w:val="20"/>
        </w:rPr>
        <w:t>;</w:t>
      </w:r>
      <w:r w:rsidR="00F73D4F" w:rsidRPr="00AC4AEA">
        <w:rPr>
          <w:rFonts w:ascii="Arial" w:hAnsi="Arial" w:cs="Arial"/>
          <w:sz w:val="20"/>
          <w:szCs w:val="20"/>
        </w:rPr>
        <w:t xml:space="preserve"> y</w:t>
      </w:r>
    </w:p>
    <w:p w:rsidR="00C41371" w:rsidRPr="00AC4AEA" w:rsidRDefault="00F1289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su contribución a los beneficios económicos futuros </w:t>
      </w:r>
      <w:r w:rsidR="00F460EA" w:rsidRPr="00AC4AEA">
        <w:rPr>
          <w:rFonts w:ascii="Arial" w:hAnsi="Arial" w:cs="Arial"/>
          <w:sz w:val="20"/>
          <w:szCs w:val="20"/>
        </w:rPr>
        <w:t>sea</w:t>
      </w:r>
      <w:r w:rsidR="00605C69" w:rsidRPr="00AC4AEA">
        <w:rPr>
          <w:rFonts w:ascii="Arial" w:hAnsi="Arial" w:cs="Arial"/>
          <w:sz w:val="20"/>
          <w:szCs w:val="20"/>
        </w:rPr>
        <w:t xml:space="preserve"> </w:t>
      </w:r>
      <w:r w:rsidR="00605C69" w:rsidRPr="00AC4AEA">
        <w:rPr>
          <w:rFonts w:ascii="Arial" w:hAnsi="Arial" w:cs="Arial"/>
          <w:b/>
          <w:bCs/>
          <w:sz w:val="20"/>
          <w:szCs w:val="20"/>
        </w:rPr>
        <w:t>probable</w:t>
      </w:r>
      <w:r w:rsidR="00C41371" w:rsidRPr="00AC4AEA">
        <w:rPr>
          <w:rFonts w:ascii="Arial" w:hAnsi="Arial" w:cs="Arial"/>
          <w:sz w:val="20"/>
          <w:szCs w:val="20"/>
        </w:rPr>
        <w:t xml:space="preserve">, </w:t>
      </w:r>
      <w:r w:rsidR="00CE3964" w:rsidRPr="00AC4AEA">
        <w:rPr>
          <w:rFonts w:ascii="Arial" w:hAnsi="Arial" w:cs="Arial"/>
          <w:sz w:val="20"/>
          <w:szCs w:val="20"/>
        </w:rPr>
        <w:t xml:space="preserve">excepto que </w:t>
      </w:r>
      <w:r w:rsidR="009D71DD" w:rsidRPr="00AC4AEA">
        <w:rPr>
          <w:rFonts w:ascii="Arial" w:hAnsi="Arial" w:cs="Arial"/>
          <w:sz w:val="20"/>
          <w:szCs w:val="20"/>
        </w:rPr>
        <w:t xml:space="preserve">esta Resolución Técnica </w:t>
      </w:r>
      <w:r w:rsidR="00C33BBE" w:rsidRPr="00AC4AEA">
        <w:rPr>
          <w:rFonts w:ascii="Arial" w:hAnsi="Arial" w:cs="Arial"/>
          <w:sz w:val="20"/>
          <w:szCs w:val="20"/>
        </w:rPr>
        <w:t>u</w:t>
      </w:r>
      <w:r w:rsidR="009D71DD" w:rsidRPr="00AC4AEA">
        <w:rPr>
          <w:rFonts w:ascii="Arial" w:hAnsi="Arial" w:cs="Arial"/>
          <w:sz w:val="20"/>
          <w:szCs w:val="20"/>
        </w:rPr>
        <w:t xml:space="preserve"> </w:t>
      </w:r>
      <w:r w:rsidR="009D71DD" w:rsidRPr="00AC4AEA">
        <w:rPr>
          <w:rFonts w:ascii="Arial" w:hAnsi="Arial" w:cs="Arial"/>
          <w:b/>
          <w:bCs/>
          <w:sz w:val="20"/>
          <w:szCs w:val="20"/>
        </w:rPr>
        <w:t xml:space="preserve">otras normas contables </w:t>
      </w:r>
      <w:r w:rsidR="00C41371" w:rsidRPr="00AC4AEA">
        <w:rPr>
          <w:rFonts w:ascii="Arial" w:hAnsi="Arial" w:cs="Arial"/>
          <w:sz w:val="20"/>
          <w:szCs w:val="20"/>
        </w:rPr>
        <w:t>estable</w:t>
      </w:r>
      <w:r w:rsidR="00F460EA" w:rsidRPr="00AC4AEA">
        <w:rPr>
          <w:rFonts w:ascii="Arial" w:hAnsi="Arial" w:cs="Arial"/>
          <w:sz w:val="20"/>
          <w:szCs w:val="20"/>
        </w:rPr>
        <w:t>zcan</w:t>
      </w:r>
      <w:r w:rsidR="00C41371" w:rsidRPr="00AC4AEA">
        <w:rPr>
          <w:rFonts w:ascii="Arial" w:hAnsi="Arial" w:cs="Arial"/>
          <w:sz w:val="20"/>
          <w:szCs w:val="20"/>
        </w:rPr>
        <w:t xml:space="preserve"> un umbral de probabilidad diferente</w:t>
      </w:r>
      <w:r w:rsidR="00301363" w:rsidRPr="00AC4AEA">
        <w:rPr>
          <w:rFonts w:ascii="Arial" w:hAnsi="Arial" w:cs="Arial"/>
          <w:sz w:val="20"/>
          <w:szCs w:val="20"/>
        </w:rPr>
        <w:t xml:space="preserve"> para partidas determinadas</w:t>
      </w:r>
      <w:r w:rsidR="00C41371" w:rsidRPr="00AC4AEA">
        <w:rPr>
          <w:rFonts w:ascii="Arial" w:hAnsi="Arial" w:cs="Arial"/>
          <w:sz w:val="20"/>
          <w:szCs w:val="20"/>
        </w:rPr>
        <w:t>.</w:t>
      </w:r>
    </w:p>
    <w:p w:rsidR="00F73D4F" w:rsidRPr="00AC4AEA" w:rsidRDefault="00F73D4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un </w:t>
      </w:r>
      <w:r w:rsidRPr="00AC4AEA">
        <w:rPr>
          <w:rFonts w:ascii="Arial" w:hAnsi="Arial" w:cs="Arial"/>
          <w:b/>
          <w:bCs/>
          <w:sz w:val="20"/>
          <w:szCs w:val="20"/>
        </w:rPr>
        <w:t>pasivo</w:t>
      </w:r>
      <w:r w:rsidRPr="00AC4AEA">
        <w:rPr>
          <w:rFonts w:ascii="Arial" w:hAnsi="Arial" w:cs="Arial"/>
          <w:sz w:val="20"/>
          <w:szCs w:val="20"/>
        </w:rPr>
        <w:t xml:space="preserve"> cuando:</w:t>
      </w:r>
    </w:p>
    <w:p w:rsidR="00F73D4F"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4F7CB7" w:rsidRPr="00AC4AEA">
        <w:rPr>
          <w:rFonts w:ascii="Arial" w:hAnsi="Arial" w:cs="Arial"/>
          <w:sz w:val="20"/>
          <w:szCs w:val="20"/>
        </w:rPr>
        <w:t>partida c</w:t>
      </w:r>
      <w:r w:rsidR="00F73D4F" w:rsidRPr="00AC4AEA">
        <w:rPr>
          <w:rFonts w:ascii="Arial" w:hAnsi="Arial" w:cs="Arial"/>
          <w:sz w:val="20"/>
          <w:szCs w:val="20"/>
        </w:rPr>
        <w:t xml:space="preserve">umpla la definición del </w:t>
      </w:r>
      <w:r w:rsidR="007232F2" w:rsidRPr="00AC4AEA">
        <w:rPr>
          <w:rFonts w:ascii="Arial" w:hAnsi="Arial" w:cs="Arial"/>
          <w:sz w:val="20"/>
          <w:szCs w:val="20"/>
        </w:rPr>
        <w:t xml:space="preserve">párrafo </w:t>
      </w:r>
      <w:fldSimple w:instr=" REF _Ref74818851 \r \h  \* MERGEFORMAT ">
        <w:r w:rsidR="00D33A5D" w:rsidRPr="00D33A5D">
          <w:rPr>
            <w:rFonts w:ascii="Arial" w:hAnsi="Arial" w:cs="Arial"/>
            <w:sz w:val="20"/>
            <w:szCs w:val="20"/>
          </w:rPr>
          <w:t>23</w:t>
        </w:r>
      </w:fldSimple>
      <w:r w:rsidR="00F73D4F" w:rsidRPr="00AC4AEA">
        <w:rPr>
          <w:rFonts w:ascii="Arial" w:hAnsi="Arial" w:cs="Arial"/>
          <w:sz w:val="20"/>
          <w:szCs w:val="20"/>
        </w:rPr>
        <w:t>;</w:t>
      </w:r>
    </w:p>
    <w:p w:rsidR="00F73D4F"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su </w:t>
      </w:r>
      <w:r w:rsidR="00F73D4F" w:rsidRPr="00AC4AEA">
        <w:rPr>
          <w:rFonts w:ascii="Arial" w:hAnsi="Arial" w:cs="Arial"/>
          <w:sz w:val="20"/>
          <w:szCs w:val="20"/>
        </w:rPr>
        <w:t xml:space="preserve">medición </w:t>
      </w:r>
      <w:r w:rsidR="00F10F74" w:rsidRPr="00AC4AEA">
        <w:rPr>
          <w:rFonts w:ascii="Arial" w:hAnsi="Arial" w:cs="Arial"/>
          <w:sz w:val="20"/>
          <w:szCs w:val="20"/>
        </w:rPr>
        <w:t>satisfaga</w:t>
      </w:r>
      <w:r w:rsidR="00F73D4F" w:rsidRPr="00AC4AEA">
        <w:rPr>
          <w:rFonts w:ascii="Arial" w:hAnsi="Arial" w:cs="Arial"/>
          <w:sz w:val="20"/>
          <w:szCs w:val="20"/>
        </w:rPr>
        <w:t xml:space="preserve"> el requisito de </w:t>
      </w:r>
      <w:r w:rsidR="00F73D4F"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0086268F" w:rsidRPr="00AC4AEA">
        <w:rPr>
          <w:rFonts w:ascii="Arial" w:hAnsi="Arial" w:cs="Arial"/>
          <w:sz w:val="20"/>
          <w:szCs w:val="20"/>
        </w:rPr>
        <w:t>;</w:t>
      </w:r>
      <w:r w:rsidR="00F73D4F" w:rsidRPr="00AC4AEA">
        <w:rPr>
          <w:rFonts w:ascii="Arial" w:hAnsi="Arial" w:cs="Arial"/>
          <w:sz w:val="20"/>
          <w:szCs w:val="20"/>
        </w:rPr>
        <w:t xml:space="preserve"> y</w:t>
      </w:r>
    </w:p>
    <w:p w:rsidR="00CE3964" w:rsidRPr="00AC4AEA" w:rsidRDefault="00F1289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la salida de recursos económicos que den lugar al</w:t>
      </w:r>
      <w:r w:rsidR="00F73D4F" w:rsidRPr="00AC4AEA">
        <w:rPr>
          <w:rFonts w:ascii="Arial" w:hAnsi="Arial" w:cs="Arial"/>
          <w:sz w:val="20"/>
          <w:szCs w:val="20"/>
        </w:rPr>
        <w:t xml:space="preserve"> cumplimiento de </w:t>
      </w:r>
      <w:r w:rsidR="00F474F5" w:rsidRPr="00AC4AEA">
        <w:rPr>
          <w:rFonts w:ascii="Arial" w:hAnsi="Arial" w:cs="Arial"/>
          <w:sz w:val="20"/>
          <w:szCs w:val="20"/>
        </w:rPr>
        <w:t xml:space="preserve">esas </w:t>
      </w:r>
      <w:r w:rsidR="00F73D4F" w:rsidRPr="00AC4AEA">
        <w:rPr>
          <w:rFonts w:ascii="Arial" w:hAnsi="Arial" w:cs="Arial"/>
          <w:sz w:val="20"/>
          <w:szCs w:val="20"/>
        </w:rPr>
        <w:t>obligaciones</w:t>
      </w:r>
      <w:r w:rsidR="00F474F5" w:rsidRPr="00AC4AEA">
        <w:rPr>
          <w:rFonts w:ascii="Arial" w:hAnsi="Arial" w:cs="Arial"/>
          <w:sz w:val="20"/>
          <w:szCs w:val="20"/>
        </w:rPr>
        <w:t xml:space="preserve"> </w:t>
      </w:r>
      <w:r w:rsidR="00DA4E1D" w:rsidRPr="00AC4AEA">
        <w:rPr>
          <w:rFonts w:ascii="Arial" w:hAnsi="Arial" w:cs="Arial"/>
          <w:sz w:val="20"/>
          <w:szCs w:val="20"/>
        </w:rPr>
        <w:t xml:space="preserve">sea </w:t>
      </w:r>
      <w:r w:rsidR="00605C69" w:rsidRPr="00AC4AEA">
        <w:rPr>
          <w:rFonts w:ascii="Arial" w:hAnsi="Arial" w:cs="Arial"/>
          <w:b/>
          <w:bCs/>
          <w:sz w:val="20"/>
          <w:szCs w:val="20"/>
        </w:rPr>
        <w:t>probable</w:t>
      </w:r>
      <w:r w:rsidR="00252A06" w:rsidRPr="00AC4AEA">
        <w:rPr>
          <w:rFonts w:ascii="Arial" w:hAnsi="Arial" w:cs="Arial"/>
          <w:sz w:val="20"/>
          <w:szCs w:val="20"/>
        </w:rPr>
        <w:t>,</w:t>
      </w:r>
      <w:r w:rsidR="00252A06" w:rsidRPr="00AC4AEA">
        <w:rPr>
          <w:rFonts w:ascii="Arial" w:hAnsi="Arial" w:cs="Arial"/>
          <w:b/>
          <w:bCs/>
          <w:sz w:val="20"/>
          <w:szCs w:val="20"/>
        </w:rPr>
        <w:t xml:space="preserve"> </w:t>
      </w:r>
      <w:r w:rsidR="00CE3964" w:rsidRPr="00AC4AEA">
        <w:rPr>
          <w:rFonts w:ascii="Arial" w:hAnsi="Arial" w:cs="Arial"/>
          <w:sz w:val="20"/>
          <w:szCs w:val="20"/>
        </w:rPr>
        <w:t xml:space="preserve">excepto que </w:t>
      </w:r>
      <w:r w:rsidR="009D71DD" w:rsidRPr="00AC4AEA">
        <w:rPr>
          <w:rFonts w:ascii="Arial" w:hAnsi="Arial" w:cs="Arial"/>
          <w:sz w:val="20"/>
          <w:szCs w:val="20"/>
        </w:rPr>
        <w:t xml:space="preserve">esta Resolución Técnica </w:t>
      </w:r>
      <w:r w:rsidR="00C33BBE" w:rsidRPr="00AC4AEA">
        <w:rPr>
          <w:rFonts w:ascii="Arial" w:hAnsi="Arial" w:cs="Arial"/>
          <w:sz w:val="20"/>
          <w:szCs w:val="20"/>
        </w:rPr>
        <w:t>u</w:t>
      </w:r>
      <w:r w:rsidR="009D71DD" w:rsidRPr="00AC4AEA">
        <w:rPr>
          <w:rFonts w:ascii="Arial" w:hAnsi="Arial" w:cs="Arial"/>
          <w:sz w:val="20"/>
          <w:szCs w:val="20"/>
        </w:rPr>
        <w:t xml:space="preserve"> </w:t>
      </w:r>
      <w:r w:rsidR="009D71DD" w:rsidRPr="00AC4AEA">
        <w:rPr>
          <w:rFonts w:ascii="Arial" w:hAnsi="Arial" w:cs="Arial"/>
          <w:b/>
          <w:bCs/>
          <w:sz w:val="20"/>
          <w:szCs w:val="20"/>
        </w:rPr>
        <w:t xml:space="preserve">otras normas contables </w:t>
      </w:r>
      <w:r w:rsidR="00CE3964" w:rsidRPr="00AC4AEA">
        <w:rPr>
          <w:rFonts w:ascii="Arial" w:hAnsi="Arial" w:cs="Arial"/>
          <w:sz w:val="20"/>
          <w:szCs w:val="20"/>
        </w:rPr>
        <w:t>estable</w:t>
      </w:r>
      <w:r w:rsidR="00F460EA" w:rsidRPr="00AC4AEA">
        <w:rPr>
          <w:rFonts w:ascii="Arial" w:hAnsi="Arial" w:cs="Arial"/>
          <w:sz w:val="20"/>
          <w:szCs w:val="20"/>
        </w:rPr>
        <w:t>zcan</w:t>
      </w:r>
      <w:r w:rsidR="00CE3964" w:rsidRPr="00AC4AEA">
        <w:rPr>
          <w:rFonts w:ascii="Arial" w:hAnsi="Arial" w:cs="Arial"/>
          <w:sz w:val="20"/>
          <w:szCs w:val="20"/>
        </w:rPr>
        <w:t xml:space="preserve"> un umbral de probabilidad diferente</w:t>
      </w:r>
      <w:r w:rsidR="00301363" w:rsidRPr="00AC4AEA">
        <w:rPr>
          <w:rFonts w:ascii="Arial" w:hAnsi="Arial" w:cs="Arial"/>
          <w:sz w:val="20"/>
          <w:szCs w:val="20"/>
        </w:rPr>
        <w:t xml:space="preserve"> para partidas determinadas</w:t>
      </w:r>
      <w:r w:rsidR="00CE3964" w:rsidRPr="00AC4AEA">
        <w:rPr>
          <w:rFonts w:ascii="Arial" w:hAnsi="Arial" w:cs="Arial"/>
          <w:sz w:val="20"/>
          <w:szCs w:val="20"/>
        </w:rPr>
        <w:t>.</w:t>
      </w:r>
    </w:p>
    <w:p w:rsidR="00C33BBE" w:rsidRPr="00AC4AEA" w:rsidRDefault="00C33BB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 xml:space="preserve">Una entidad reconocerá las transacciones con los propietarios en su carácter de tales, los resultados y los </w:t>
      </w:r>
      <w:r w:rsidRPr="00AC4AEA">
        <w:rPr>
          <w:rFonts w:ascii="Arial" w:hAnsi="Arial" w:cs="Arial"/>
          <w:b/>
          <w:bCs/>
          <w:sz w:val="20"/>
          <w:szCs w:val="20"/>
        </w:rPr>
        <w:t>resultados diferidos</w:t>
      </w:r>
      <w:r w:rsidRPr="00AC4AEA">
        <w:rPr>
          <w:rFonts w:ascii="Arial" w:hAnsi="Arial" w:cs="Arial"/>
          <w:sz w:val="20"/>
          <w:szCs w:val="20"/>
        </w:rPr>
        <w:t xml:space="preserve"> cuando se produzcan los hechos sustanciales generadores de las correspondientes variaciones patrimoniales. A estos fines, deberá priorizar:</w:t>
      </w:r>
    </w:p>
    <w:p w:rsidR="00C33BBE" w:rsidRPr="00AC4AEA" w:rsidRDefault="00C33BB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la sustancia económica de los hechos antes que a su forma; y</w:t>
      </w:r>
    </w:p>
    <w:p w:rsidR="00C33BBE" w:rsidRPr="00AC4AEA" w:rsidRDefault="00C33BB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definición de </w:t>
      </w:r>
      <w:r w:rsidR="00CE13D7" w:rsidRPr="00CE13D7">
        <w:rPr>
          <w:rFonts w:ascii="Arial" w:hAnsi="Arial" w:cs="Arial"/>
          <w:bCs/>
          <w:sz w:val="20"/>
          <w:szCs w:val="20"/>
        </w:rPr>
        <w:t>activos</w:t>
      </w:r>
      <w:r w:rsidRPr="00AC4AEA">
        <w:rPr>
          <w:rFonts w:ascii="Arial" w:hAnsi="Arial" w:cs="Arial"/>
          <w:sz w:val="20"/>
          <w:szCs w:val="20"/>
        </w:rPr>
        <w:t xml:space="preserve">, </w:t>
      </w:r>
      <w:r w:rsidR="00CE13D7" w:rsidRPr="00CE13D7">
        <w:rPr>
          <w:rFonts w:ascii="Arial" w:hAnsi="Arial" w:cs="Arial"/>
          <w:bCs/>
          <w:sz w:val="20"/>
          <w:szCs w:val="20"/>
        </w:rPr>
        <w:t>pasivos</w:t>
      </w:r>
      <w:r w:rsidRPr="00AC4AEA">
        <w:rPr>
          <w:rFonts w:ascii="Arial" w:hAnsi="Arial" w:cs="Arial"/>
          <w:sz w:val="20"/>
          <w:szCs w:val="20"/>
        </w:rPr>
        <w:t xml:space="preserve"> y </w:t>
      </w:r>
      <w:r w:rsidRPr="00AC4AEA">
        <w:rPr>
          <w:rFonts w:ascii="Arial" w:hAnsi="Arial" w:cs="Arial"/>
          <w:b/>
          <w:bCs/>
          <w:sz w:val="20"/>
          <w:szCs w:val="20"/>
        </w:rPr>
        <w:t>patrimonio neto</w:t>
      </w:r>
      <w:r w:rsidRPr="00AC4AEA">
        <w:rPr>
          <w:rFonts w:ascii="Arial" w:hAnsi="Arial" w:cs="Arial"/>
          <w:sz w:val="20"/>
          <w:szCs w:val="20"/>
        </w:rPr>
        <w:t xml:space="preserve"> antes que a la correlación de </w:t>
      </w:r>
      <w:r w:rsidRPr="00AC4AEA">
        <w:rPr>
          <w:rFonts w:ascii="Arial" w:hAnsi="Arial" w:cs="Arial"/>
          <w:b/>
          <w:bCs/>
          <w:sz w:val="20"/>
          <w:szCs w:val="20"/>
        </w:rPr>
        <w:t>ingresos</w:t>
      </w:r>
      <w:r w:rsidRPr="00AC4AEA">
        <w:rPr>
          <w:rFonts w:ascii="Arial" w:hAnsi="Arial" w:cs="Arial"/>
          <w:sz w:val="20"/>
          <w:szCs w:val="20"/>
        </w:rPr>
        <w:t xml:space="preserve"> y </w:t>
      </w:r>
      <w:r w:rsidRPr="00AC4AEA">
        <w:rPr>
          <w:rFonts w:ascii="Arial" w:hAnsi="Arial" w:cs="Arial"/>
          <w:b/>
          <w:bCs/>
          <w:sz w:val="20"/>
          <w:szCs w:val="20"/>
        </w:rPr>
        <w:t>gastos</w:t>
      </w:r>
      <w:r w:rsidRPr="00AC4AEA">
        <w:rPr>
          <w:rFonts w:ascii="Arial" w:hAnsi="Arial" w:cs="Arial"/>
          <w:sz w:val="20"/>
          <w:szCs w:val="20"/>
        </w:rPr>
        <w:t>.</w:t>
      </w:r>
    </w:p>
    <w:p w:rsidR="000A7620" w:rsidRPr="00AC4AEA" w:rsidRDefault="000073E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la medida en que se cumpla</w:t>
      </w:r>
      <w:r w:rsidR="00D35D64" w:rsidRPr="00AC4AEA">
        <w:rPr>
          <w:rFonts w:ascii="Arial" w:hAnsi="Arial" w:cs="Arial"/>
          <w:sz w:val="20"/>
          <w:szCs w:val="20"/>
        </w:rPr>
        <w:t xml:space="preserve"> </w:t>
      </w:r>
      <w:r w:rsidR="00AE1B8A" w:rsidRPr="00AC4AEA">
        <w:rPr>
          <w:rFonts w:ascii="Arial" w:hAnsi="Arial" w:cs="Arial"/>
          <w:sz w:val="20"/>
          <w:szCs w:val="20"/>
        </w:rPr>
        <w:t xml:space="preserve">lo indicado en </w:t>
      </w:r>
      <w:r w:rsidRPr="00AC4AEA">
        <w:rPr>
          <w:rFonts w:ascii="Arial" w:hAnsi="Arial" w:cs="Arial"/>
          <w:sz w:val="20"/>
          <w:szCs w:val="20"/>
        </w:rPr>
        <w:t xml:space="preserve">el párrafo anterior, una entidad </w:t>
      </w:r>
      <w:r w:rsidR="00756BD9" w:rsidRPr="00AC4AEA">
        <w:rPr>
          <w:rFonts w:ascii="Arial" w:hAnsi="Arial" w:cs="Arial"/>
          <w:sz w:val="20"/>
          <w:szCs w:val="20"/>
        </w:rPr>
        <w:t>imputará a resultados:</w:t>
      </w:r>
    </w:p>
    <w:p w:rsidR="000073EE" w:rsidRPr="00AC4AEA" w:rsidRDefault="00756BD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0050428F" w:rsidRPr="00AC4AEA">
        <w:rPr>
          <w:rFonts w:ascii="Arial" w:hAnsi="Arial" w:cs="Arial"/>
          <w:sz w:val="20"/>
          <w:szCs w:val="20"/>
        </w:rPr>
        <w:t>costos</w:t>
      </w:r>
      <w:r w:rsidR="00AE1B8A" w:rsidRPr="00AC4AEA">
        <w:rPr>
          <w:rFonts w:ascii="Arial" w:hAnsi="Arial" w:cs="Arial"/>
          <w:sz w:val="20"/>
          <w:szCs w:val="20"/>
        </w:rPr>
        <w:t xml:space="preserve"> </w:t>
      </w:r>
      <w:r w:rsidRPr="00AC4AEA">
        <w:rPr>
          <w:rFonts w:ascii="Arial" w:hAnsi="Arial" w:cs="Arial"/>
          <w:sz w:val="20"/>
          <w:szCs w:val="20"/>
        </w:rPr>
        <w:t xml:space="preserve">relacionados con un </w:t>
      </w:r>
      <w:r w:rsidRPr="00AC4AEA">
        <w:rPr>
          <w:rFonts w:ascii="Arial" w:hAnsi="Arial" w:cs="Arial"/>
          <w:b/>
          <w:bCs/>
          <w:sz w:val="20"/>
          <w:szCs w:val="20"/>
        </w:rPr>
        <w:t>ingreso</w:t>
      </w:r>
      <w:r w:rsidRPr="00AC4AEA">
        <w:rPr>
          <w:rFonts w:ascii="Arial" w:hAnsi="Arial" w:cs="Arial"/>
          <w:sz w:val="20"/>
          <w:szCs w:val="20"/>
        </w:rPr>
        <w:t>, en el mismo período durante el cual se reconoce el ingreso;</w:t>
      </w:r>
    </w:p>
    <w:p w:rsidR="00756BD9" w:rsidRPr="00AC4AEA" w:rsidRDefault="00AE1B8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50428F" w:rsidRPr="00AC4AEA">
        <w:rPr>
          <w:rFonts w:ascii="Arial" w:hAnsi="Arial" w:cs="Arial"/>
          <w:sz w:val="20"/>
          <w:szCs w:val="20"/>
        </w:rPr>
        <w:t>o</w:t>
      </w:r>
      <w:r w:rsidRPr="00AC4AEA">
        <w:rPr>
          <w:rFonts w:ascii="Arial" w:hAnsi="Arial" w:cs="Arial"/>
          <w:sz w:val="20"/>
          <w:szCs w:val="20"/>
        </w:rPr>
        <w:t xml:space="preserve">s </w:t>
      </w:r>
      <w:r w:rsidR="0050428F" w:rsidRPr="00AC4AEA">
        <w:rPr>
          <w:rFonts w:ascii="Arial" w:hAnsi="Arial" w:cs="Arial"/>
          <w:sz w:val="20"/>
          <w:szCs w:val="20"/>
        </w:rPr>
        <w:t>costos</w:t>
      </w:r>
      <w:r w:rsidRPr="00AC4AEA">
        <w:rPr>
          <w:rFonts w:ascii="Arial" w:hAnsi="Arial" w:cs="Arial"/>
          <w:sz w:val="20"/>
          <w:szCs w:val="20"/>
        </w:rPr>
        <w:t xml:space="preserve"> </w:t>
      </w:r>
      <w:r w:rsidR="00756BD9" w:rsidRPr="00AC4AEA">
        <w:rPr>
          <w:rFonts w:ascii="Arial" w:hAnsi="Arial" w:cs="Arial"/>
          <w:sz w:val="20"/>
          <w:szCs w:val="20"/>
        </w:rPr>
        <w:t xml:space="preserve">que no pueden asociarse </w:t>
      </w:r>
      <w:r w:rsidR="00274DF8" w:rsidRPr="00AC4AEA">
        <w:rPr>
          <w:rFonts w:ascii="Arial" w:hAnsi="Arial" w:cs="Arial"/>
          <w:sz w:val="20"/>
          <w:szCs w:val="20"/>
        </w:rPr>
        <w:t>con</w:t>
      </w:r>
      <w:r w:rsidR="00756BD9" w:rsidRPr="00AC4AEA">
        <w:rPr>
          <w:rFonts w:ascii="Arial" w:hAnsi="Arial" w:cs="Arial"/>
          <w:sz w:val="20"/>
          <w:szCs w:val="20"/>
        </w:rPr>
        <w:t xml:space="preserve"> un </w:t>
      </w:r>
      <w:r w:rsidR="00EA2F88" w:rsidRPr="00AC4AEA">
        <w:rPr>
          <w:rFonts w:ascii="Arial" w:hAnsi="Arial" w:cs="Arial"/>
          <w:b/>
          <w:bCs/>
          <w:sz w:val="20"/>
          <w:szCs w:val="20"/>
        </w:rPr>
        <w:t>ingreso</w:t>
      </w:r>
      <w:r w:rsidR="00EA2F88" w:rsidRPr="00AC4AEA">
        <w:rPr>
          <w:rFonts w:ascii="Arial" w:hAnsi="Arial" w:cs="Arial"/>
          <w:sz w:val="20"/>
          <w:szCs w:val="20"/>
        </w:rPr>
        <w:t>,</w:t>
      </w:r>
      <w:r w:rsidR="009F5E81" w:rsidRPr="00AC4AEA">
        <w:rPr>
          <w:rFonts w:ascii="Arial" w:hAnsi="Arial" w:cs="Arial"/>
          <w:sz w:val="20"/>
          <w:szCs w:val="20"/>
        </w:rPr>
        <w:t xml:space="preserve"> </w:t>
      </w:r>
      <w:r w:rsidR="00756BD9" w:rsidRPr="00AC4AEA">
        <w:rPr>
          <w:rFonts w:ascii="Arial" w:hAnsi="Arial" w:cs="Arial"/>
          <w:sz w:val="20"/>
          <w:szCs w:val="20"/>
        </w:rPr>
        <w:t>pero se vinculan con un período, en dicho período; y</w:t>
      </w:r>
    </w:p>
    <w:p w:rsidR="000073EE" w:rsidRPr="00AC4AEA" w:rsidRDefault="00AE1B8A" w:rsidP="00A318EA">
      <w:pPr>
        <w:pStyle w:val="Prrafodelista"/>
        <w:numPr>
          <w:ilvl w:val="1"/>
          <w:numId w:val="29"/>
        </w:numPr>
        <w:ind w:left="1559"/>
        <w:contextualSpacing w:val="0"/>
        <w:jc w:val="both"/>
        <w:rPr>
          <w:rFonts w:ascii="Arial" w:hAnsi="Arial" w:cs="Arial"/>
          <w:sz w:val="20"/>
          <w:szCs w:val="20"/>
        </w:rPr>
      </w:pPr>
      <w:r w:rsidRPr="00AC4AEA">
        <w:rPr>
          <w:rFonts w:ascii="Arial" w:hAnsi="Arial" w:cs="Arial"/>
          <w:sz w:val="20"/>
          <w:szCs w:val="20"/>
        </w:rPr>
        <w:t>l</w:t>
      </w:r>
      <w:r w:rsidR="00D35D64" w:rsidRPr="00AC4AEA">
        <w:rPr>
          <w:rFonts w:ascii="Arial" w:hAnsi="Arial" w:cs="Arial"/>
          <w:sz w:val="20"/>
          <w:szCs w:val="20"/>
        </w:rPr>
        <w:t>o</w:t>
      </w:r>
      <w:r w:rsidRPr="00AC4AEA">
        <w:rPr>
          <w:rFonts w:ascii="Arial" w:hAnsi="Arial" w:cs="Arial"/>
          <w:sz w:val="20"/>
          <w:szCs w:val="20"/>
        </w:rPr>
        <w:t xml:space="preserve">s </w:t>
      </w:r>
      <w:r w:rsidR="00756BD9" w:rsidRPr="00AC4AEA">
        <w:rPr>
          <w:rFonts w:ascii="Arial" w:hAnsi="Arial" w:cs="Arial"/>
          <w:sz w:val="20"/>
          <w:szCs w:val="20"/>
        </w:rPr>
        <w:t xml:space="preserve">demás </w:t>
      </w:r>
      <w:r w:rsidR="0050428F" w:rsidRPr="00AC4AEA">
        <w:rPr>
          <w:rFonts w:ascii="Arial" w:hAnsi="Arial" w:cs="Arial"/>
          <w:sz w:val="20"/>
          <w:szCs w:val="20"/>
        </w:rPr>
        <w:t>costos</w:t>
      </w:r>
      <w:r w:rsidR="00756BD9" w:rsidRPr="00AC4AEA">
        <w:rPr>
          <w:rFonts w:ascii="Arial" w:hAnsi="Arial" w:cs="Arial"/>
          <w:sz w:val="20"/>
          <w:szCs w:val="20"/>
        </w:rPr>
        <w:t xml:space="preserve">, en forma inmediata. </w:t>
      </w:r>
    </w:p>
    <w:p w:rsidR="0071201A" w:rsidRPr="00AC4AEA" w:rsidRDefault="0071201A" w:rsidP="00A318EA">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t>Una entidad reconocer</w:t>
      </w:r>
      <w:r w:rsidR="002A582D" w:rsidRPr="00AC4AEA">
        <w:rPr>
          <w:rFonts w:ascii="Arial" w:hAnsi="Arial" w:cs="Arial"/>
          <w:sz w:val="20"/>
          <w:szCs w:val="20"/>
        </w:rPr>
        <w:t>á</w:t>
      </w:r>
      <w:r w:rsidRPr="00AC4AEA">
        <w:rPr>
          <w:rFonts w:ascii="Arial" w:hAnsi="Arial" w:cs="Arial"/>
          <w:sz w:val="20"/>
          <w:szCs w:val="20"/>
        </w:rPr>
        <w:t xml:space="preserve"> los </w:t>
      </w:r>
      <w:r w:rsidRPr="00AC4AEA">
        <w:rPr>
          <w:rFonts w:ascii="Arial" w:hAnsi="Arial" w:cs="Arial"/>
          <w:b/>
          <w:bCs/>
          <w:sz w:val="20"/>
          <w:szCs w:val="20"/>
        </w:rPr>
        <w:t>ingresos de actividades ordinarias</w:t>
      </w:r>
      <w:r w:rsidRPr="00AC4AEA">
        <w:rPr>
          <w:rFonts w:ascii="Arial" w:hAnsi="Arial" w:cs="Arial"/>
          <w:sz w:val="20"/>
          <w:szCs w:val="20"/>
        </w:rPr>
        <w:t xml:space="preserve"> procedentes de transacciones (operaciones de intercambio) de acuerd</w:t>
      </w:r>
      <w:r w:rsidR="002A582D" w:rsidRPr="00AC4AEA">
        <w:rPr>
          <w:rFonts w:ascii="Arial" w:hAnsi="Arial" w:cs="Arial"/>
          <w:sz w:val="20"/>
          <w:szCs w:val="20"/>
        </w:rPr>
        <w:t>o</w:t>
      </w:r>
      <w:r w:rsidRPr="00AC4AEA">
        <w:rPr>
          <w:rFonts w:ascii="Arial" w:hAnsi="Arial" w:cs="Arial"/>
          <w:sz w:val="20"/>
          <w:szCs w:val="20"/>
        </w:rPr>
        <w:t xml:space="preserve"> con lo establecido en la sección “</w:t>
      </w:r>
      <w:r w:rsidRPr="00AC4AEA">
        <w:rPr>
          <w:rFonts w:ascii="Arial" w:hAnsi="Arial" w:cs="Arial"/>
          <w:sz w:val="20"/>
          <w:szCs w:val="20"/>
          <w:u w:val="single"/>
        </w:rPr>
        <w:t>Reconocimiento de ingresos de actividades ordinarias procedentes de transacciones (operaciones de intercambio)</w:t>
      </w:r>
      <w:r w:rsidRPr="00AC4AEA">
        <w:rPr>
          <w:rFonts w:ascii="Arial" w:hAnsi="Arial" w:cs="Arial"/>
          <w:sz w:val="20"/>
          <w:szCs w:val="20"/>
        </w:rPr>
        <w:t>” [ver los párrafos</w:t>
      </w:r>
      <w:r w:rsidR="00EA6929">
        <w:rPr>
          <w:rFonts w:ascii="Arial" w:hAnsi="Arial" w:cs="Arial"/>
          <w:sz w:val="20"/>
          <w:szCs w:val="20"/>
        </w:rPr>
        <w:t xml:space="preserve"> </w:t>
      </w:r>
      <w:r w:rsidR="001C4138">
        <w:rPr>
          <w:rFonts w:ascii="Arial" w:hAnsi="Arial" w:cs="Arial"/>
          <w:sz w:val="20"/>
          <w:szCs w:val="20"/>
        </w:rPr>
        <w:fldChar w:fldCharType="begin"/>
      </w:r>
      <w:r w:rsidR="00EA6929">
        <w:rPr>
          <w:rFonts w:ascii="Arial" w:hAnsi="Arial" w:cs="Arial"/>
          <w:sz w:val="20"/>
          <w:szCs w:val="20"/>
        </w:rPr>
        <w:instrText xml:space="preserve"> REF _Ref129077804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522</w:t>
      </w:r>
      <w:r w:rsidR="001C4138">
        <w:rPr>
          <w:rFonts w:ascii="Arial" w:hAnsi="Arial" w:cs="Arial"/>
          <w:sz w:val="20"/>
          <w:szCs w:val="20"/>
        </w:rPr>
        <w:fldChar w:fldCharType="end"/>
      </w:r>
      <w:r w:rsidRPr="00AC4AEA">
        <w:rPr>
          <w:rFonts w:ascii="Arial" w:hAnsi="Arial" w:cs="Arial"/>
          <w:sz w:val="20"/>
          <w:szCs w:val="20"/>
        </w:rPr>
        <w:t xml:space="preserve"> a </w:t>
      </w:r>
      <w:fldSimple w:instr=" REF _Ref104535952 \r \h  \* MERGEFORMAT ">
        <w:r w:rsidR="00D33A5D" w:rsidRPr="00D33A5D">
          <w:rPr>
            <w:rFonts w:ascii="Arial" w:hAnsi="Arial" w:cs="Arial"/>
            <w:sz w:val="20"/>
            <w:szCs w:val="20"/>
          </w:rPr>
          <w:t>526</w:t>
        </w:r>
      </w:fldSimple>
      <w:r w:rsidRPr="00AC4AEA">
        <w:rPr>
          <w:rFonts w:ascii="Arial" w:hAnsi="Arial" w:cs="Arial"/>
          <w:sz w:val="20"/>
          <w:szCs w:val="20"/>
        </w:rPr>
        <w:t xml:space="preserve">]. </w:t>
      </w:r>
    </w:p>
    <w:p w:rsidR="0071201A" w:rsidRPr="00AC4AEA" w:rsidRDefault="0071201A" w:rsidP="00A318EA">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t xml:space="preserve">Una entidad reconocerá </w:t>
      </w:r>
      <w:r w:rsidR="00C345C2" w:rsidRPr="00AC4AEA">
        <w:rPr>
          <w:rFonts w:ascii="Arial" w:hAnsi="Arial" w:cs="Arial"/>
          <w:sz w:val="20"/>
          <w:szCs w:val="20"/>
        </w:rPr>
        <w:t>los</w:t>
      </w:r>
      <w:r w:rsidRPr="00AC4AEA">
        <w:rPr>
          <w:rFonts w:ascii="Arial" w:hAnsi="Arial" w:cs="Arial"/>
          <w:sz w:val="20"/>
          <w:szCs w:val="20"/>
        </w:rPr>
        <w:t xml:space="preserve"> resultados </w:t>
      </w:r>
      <w:r w:rsidR="00C345C2" w:rsidRPr="00AC4AEA">
        <w:rPr>
          <w:rFonts w:ascii="Arial" w:hAnsi="Arial" w:cs="Arial"/>
          <w:sz w:val="20"/>
          <w:szCs w:val="20"/>
        </w:rPr>
        <w:t>por</w:t>
      </w:r>
      <w:r w:rsidRPr="00AC4AEA">
        <w:rPr>
          <w:rFonts w:ascii="Arial" w:hAnsi="Arial" w:cs="Arial"/>
          <w:sz w:val="20"/>
          <w:szCs w:val="20"/>
        </w:rPr>
        <w:t xml:space="preserve"> acrecentamientos, valorizaciones o desvalorizaciones provenientes de acontecimientos internos o externos a la entidad que motiven cambios en las mediciones contables de activos o pasivos, de acuerdo con los criterios establecidos en esta Resolución Técnica o en </w:t>
      </w:r>
      <w:r w:rsidRPr="00AC4AEA">
        <w:rPr>
          <w:rFonts w:ascii="Arial" w:hAnsi="Arial" w:cs="Arial"/>
          <w:b/>
          <w:bCs/>
          <w:sz w:val="20"/>
          <w:szCs w:val="20"/>
        </w:rPr>
        <w:t>otras normas contables</w:t>
      </w:r>
      <w:r w:rsidRPr="00AC4AEA">
        <w:rPr>
          <w:rFonts w:ascii="Arial" w:hAnsi="Arial" w:cs="Arial"/>
          <w:sz w:val="20"/>
          <w:szCs w:val="20"/>
        </w:rPr>
        <w:t>.</w:t>
      </w:r>
    </w:p>
    <w:p w:rsidR="00CC102F" w:rsidRPr="00AC4AEA" w:rsidRDefault="00CC102F" w:rsidP="00A318EA">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t xml:space="preserve">Una entidad medirá los ingresos, gastos, ganancias y pérdidas empleando los criterios de medición contable </w:t>
      </w:r>
      <w:r w:rsidR="004C665A" w:rsidRPr="00AC4AEA">
        <w:rPr>
          <w:rFonts w:ascii="Arial" w:hAnsi="Arial" w:cs="Arial"/>
          <w:sz w:val="20"/>
          <w:szCs w:val="20"/>
        </w:rPr>
        <w:t xml:space="preserve">de </w:t>
      </w:r>
      <w:r w:rsidRPr="00AC4AEA">
        <w:rPr>
          <w:rFonts w:ascii="Arial" w:hAnsi="Arial" w:cs="Arial"/>
          <w:sz w:val="20"/>
          <w:szCs w:val="20"/>
        </w:rPr>
        <w:t>las contrapartidas que deba recon</w:t>
      </w:r>
      <w:r w:rsidR="00C345C2" w:rsidRPr="00AC4AEA">
        <w:rPr>
          <w:rFonts w:ascii="Arial" w:hAnsi="Arial" w:cs="Arial"/>
          <w:sz w:val="20"/>
          <w:szCs w:val="20"/>
        </w:rPr>
        <w:t>oc</w:t>
      </w:r>
      <w:r w:rsidRPr="00AC4AEA">
        <w:rPr>
          <w:rFonts w:ascii="Arial" w:hAnsi="Arial" w:cs="Arial"/>
          <w:sz w:val="20"/>
          <w:szCs w:val="20"/>
        </w:rPr>
        <w:t>er o dar de baja, según corresponda.</w:t>
      </w:r>
    </w:p>
    <w:p w:rsidR="00713A9A" w:rsidRPr="00AC4AEA" w:rsidRDefault="00713A9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reconocerá y medirá los impuestos sobre las ganancias de conformidad con lo establecido en la sección “</w:t>
      </w:r>
      <w:r w:rsidRPr="00AC4AEA">
        <w:rPr>
          <w:rFonts w:ascii="Arial" w:hAnsi="Arial" w:cs="Arial"/>
          <w:sz w:val="20"/>
          <w:szCs w:val="20"/>
          <w:u w:val="single"/>
        </w:rPr>
        <w:t>Contabilización del impuesto a las ganancias</w:t>
      </w:r>
      <w:r w:rsidRPr="00AC4AEA">
        <w:rPr>
          <w:rFonts w:ascii="Arial" w:hAnsi="Arial" w:cs="Arial"/>
          <w:sz w:val="20"/>
          <w:szCs w:val="20"/>
        </w:rPr>
        <w:t xml:space="preserve">” [ver los párrafos </w:t>
      </w:r>
      <w:fldSimple w:instr=" REF _Ref99468407 \r \h  \* MERGEFORMAT ">
        <w:r w:rsidR="00D33A5D" w:rsidRPr="00D33A5D">
          <w:rPr>
            <w:rFonts w:ascii="Arial" w:hAnsi="Arial" w:cs="Arial"/>
            <w:sz w:val="20"/>
            <w:szCs w:val="20"/>
          </w:rPr>
          <w:t>571</w:t>
        </w:r>
      </w:fldSimple>
      <w:r w:rsidRPr="00AC4AEA">
        <w:rPr>
          <w:rFonts w:ascii="Arial" w:hAnsi="Arial" w:cs="Arial"/>
          <w:sz w:val="20"/>
          <w:szCs w:val="20"/>
        </w:rPr>
        <w:t xml:space="preserve"> a</w:t>
      </w:r>
      <w:r w:rsidR="00743965">
        <w:rPr>
          <w:rFonts w:ascii="Arial" w:hAnsi="Arial" w:cs="Arial"/>
          <w:sz w:val="20"/>
          <w:szCs w:val="20"/>
        </w:rPr>
        <w:t xml:space="preserve"> </w:t>
      </w:r>
      <w:r w:rsidR="001C4138">
        <w:rPr>
          <w:rFonts w:ascii="Arial" w:hAnsi="Arial" w:cs="Arial"/>
          <w:sz w:val="20"/>
          <w:szCs w:val="20"/>
        </w:rPr>
        <w:fldChar w:fldCharType="begin"/>
      </w:r>
      <w:r w:rsidR="00EA6929">
        <w:rPr>
          <w:rFonts w:ascii="Arial" w:hAnsi="Arial" w:cs="Arial"/>
          <w:sz w:val="20"/>
          <w:szCs w:val="20"/>
        </w:rPr>
        <w:instrText xml:space="preserve"> REF _Ref135737673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600</w:t>
      </w:r>
      <w:r w:rsidR="001C4138">
        <w:rPr>
          <w:rFonts w:ascii="Arial" w:hAnsi="Arial" w:cs="Arial"/>
          <w:sz w:val="20"/>
          <w:szCs w:val="20"/>
        </w:rPr>
        <w:fldChar w:fldCharType="end"/>
      </w:r>
      <w:r w:rsidRPr="00AC4AEA">
        <w:rPr>
          <w:rFonts w:ascii="Arial" w:hAnsi="Arial" w:cs="Arial"/>
          <w:sz w:val="20"/>
          <w:szCs w:val="20"/>
        </w:rPr>
        <w:t>].</w:t>
      </w:r>
    </w:p>
    <w:p w:rsidR="0071201A" w:rsidRPr="00AC4AEA" w:rsidRDefault="0071201A" w:rsidP="00A318EA">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t xml:space="preserve">En los </w:t>
      </w:r>
      <w:r w:rsidRPr="00AC4AEA">
        <w:rPr>
          <w:rFonts w:ascii="Arial" w:hAnsi="Arial" w:cs="Arial"/>
          <w:b/>
          <w:bCs/>
          <w:sz w:val="20"/>
          <w:szCs w:val="20"/>
        </w:rPr>
        <w:t>estados contables</w:t>
      </w:r>
      <w:r w:rsidRPr="00AC4AEA">
        <w:rPr>
          <w:rFonts w:ascii="Arial" w:hAnsi="Arial" w:cs="Arial"/>
          <w:sz w:val="20"/>
          <w:szCs w:val="20"/>
        </w:rPr>
        <w:t xml:space="preserve"> intermedios, una entidad aplicará los mismos criterios de reconocimiento de variaciones patrimoniales que en los </w:t>
      </w:r>
      <w:r w:rsidRPr="00AC4AEA">
        <w:rPr>
          <w:rFonts w:ascii="Arial" w:hAnsi="Arial" w:cs="Arial"/>
          <w:b/>
          <w:bCs/>
          <w:sz w:val="20"/>
          <w:szCs w:val="20"/>
        </w:rPr>
        <w:t>estados contables</w:t>
      </w:r>
      <w:r w:rsidRPr="00AC4AEA">
        <w:rPr>
          <w:rFonts w:ascii="Arial" w:hAnsi="Arial" w:cs="Arial"/>
          <w:sz w:val="20"/>
          <w:szCs w:val="20"/>
        </w:rPr>
        <w:t xml:space="preserve"> de cierre de ejercicio, salvo que una norma particular indique lo contrario.</w:t>
      </w:r>
    </w:p>
    <w:p w:rsidR="00F460EA" w:rsidRPr="00AC4AEA" w:rsidRDefault="00F10F7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no pueda reconocer un elemento por incumplimiento </w:t>
      </w:r>
      <w:r w:rsidR="00F9029B" w:rsidRPr="00AC4AEA">
        <w:rPr>
          <w:rFonts w:ascii="Arial" w:hAnsi="Arial" w:cs="Arial"/>
          <w:sz w:val="20"/>
          <w:szCs w:val="20"/>
        </w:rPr>
        <w:t xml:space="preserve">de </w:t>
      </w:r>
      <w:r w:rsidR="005703DB" w:rsidRPr="00AC4AEA">
        <w:rPr>
          <w:rFonts w:ascii="Arial" w:hAnsi="Arial" w:cs="Arial"/>
          <w:sz w:val="20"/>
          <w:szCs w:val="20"/>
        </w:rPr>
        <w:t xml:space="preserve">los </w:t>
      </w:r>
      <w:r w:rsidRPr="00AC4AEA">
        <w:rPr>
          <w:rFonts w:ascii="Arial" w:hAnsi="Arial" w:cs="Arial"/>
          <w:sz w:val="20"/>
          <w:szCs w:val="20"/>
        </w:rPr>
        <w:t>requisito</w:t>
      </w:r>
      <w:r w:rsidR="005703DB" w:rsidRPr="00AC4AEA">
        <w:rPr>
          <w:rFonts w:ascii="Arial" w:hAnsi="Arial" w:cs="Arial"/>
          <w:sz w:val="20"/>
          <w:szCs w:val="20"/>
        </w:rPr>
        <w:t>s</w:t>
      </w:r>
      <w:r w:rsidRPr="00AC4AEA">
        <w:rPr>
          <w:rFonts w:ascii="Arial" w:hAnsi="Arial" w:cs="Arial"/>
          <w:sz w:val="20"/>
          <w:szCs w:val="20"/>
        </w:rPr>
        <w:t xml:space="preserve"> de </w:t>
      </w:r>
      <w:r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005703DB" w:rsidRPr="00AC4AEA">
        <w:rPr>
          <w:rFonts w:ascii="Arial" w:hAnsi="Arial" w:cs="Arial"/>
          <w:b/>
          <w:bCs/>
          <w:sz w:val="20"/>
          <w:szCs w:val="20"/>
        </w:rPr>
        <w:t xml:space="preserve"> </w:t>
      </w:r>
      <w:r w:rsidR="005703DB" w:rsidRPr="00AC4AEA">
        <w:rPr>
          <w:rFonts w:ascii="Arial" w:hAnsi="Arial" w:cs="Arial"/>
          <w:sz w:val="20"/>
          <w:szCs w:val="20"/>
        </w:rPr>
        <w:t xml:space="preserve">o </w:t>
      </w:r>
      <w:r w:rsidR="00F9029B" w:rsidRPr="00AC4AEA">
        <w:rPr>
          <w:rFonts w:ascii="Arial" w:hAnsi="Arial" w:cs="Arial"/>
          <w:sz w:val="20"/>
          <w:szCs w:val="20"/>
        </w:rPr>
        <w:t>probabilidad de concreción</w:t>
      </w:r>
      <w:r w:rsidRPr="00AC4AEA">
        <w:rPr>
          <w:rFonts w:ascii="Arial" w:hAnsi="Arial" w:cs="Arial"/>
          <w:sz w:val="20"/>
          <w:szCs w:val="20"/>
        </w:rPr>
        <w:t xml:space="preserve">, </w:t>
      </w:r>
      <w:r w:rsidR="00407AF1" w:rsidRPr="00AC4AEA">
        <w:rPr>
          <w:rFonts w:ascii="Arial" w:hAnsi="Arial" w:cs="Arial"/>
          <w:sz w:val="20"/>
          <w:szCs w:val="20"/>
        </w:rPr>
        <w:t>una</w:t>
      </w:r>
      <w:r w:rsidRPr="00AC4AEA">
        <w:rPr>
          <w:rFonts w:ascii="Arial" w:hAnsi="Arial" w:cs="Arial"/>
          <w:sz w:val="20"/>
          <w:szCs w:val="20"/>
        </w:rPr>
        <w:t xml:space="preserve"> entidad deberá informar sobre tal </w:t>
      </w:r>
      <w:r w:rsidR="00D35D64" w:rsidRPr="00AC4AEA">
        <w:rPr>
          <w:rFonts w:ascii="Arial" w:hAnsi="Arial" w:cs="Arial"/>
          <w:sz w:val="20"/>
          <w:szCs w:val="20"/>
        </w:rPr>
        <w:t>circunstancia</w:t>
      </w:r>
      <w:r w:rsidRPr="00AC4AEA">
        <w:rPr>
          <w:rFonts w:ascii="Arial" w:hAnsi="Arial" w:cs="Arial"/>
          <w:sz w:val="20"/>
          <w:szCs w:val="20"/>
        </w:rPr>
        <w:t xml:space="preserve"> en los </w:t>
      </w:r>
      <w:r w:rsidR="00135084" w:rsidRPr="00AC4AEA">
        <w:rPr>
          <w:rFonts w:ascii="Arial" w:hAnsi="Arial" w:cs="Arial"/>
          <w:b/>
          <w:bCs/>
          <w:sz w:val="20"/>
          <w:szCs w:val="20"/>
        </w:rPr>
        <w:t>estados contables</w:t>
      </w:r>
      <w:r w:rsidR="00F460EA" w:rsidRPr="00AC4AEA">
        <w:rPr>
          <w:rFonts w:ascii="Arial" w:hAnsi="Arial" w:cs="Arial"/>
          <w:sz w:val="20"/>
          <w:szCs w:val="20"/>
        </w:rPr>
        <w:t>.</w:t>
      </w:r>
    </w:p>
    <w:p w:rsidR="00FD64C7" w:rsidRPr="00AC4AEA" w:rsidRDefault="00FD64C7" w:rsidP="00A318EA">
      <w:pPr>
        <w:jc w:val="both"/>
        <w:rPr>
          <w:rFonts w:ascii="Arial" w:hAnsi="Arial" w:cs="Arial"/>
          <w:b/>
          <w:bCs/>
          <w:sz w:val="20"/>
          <w:szCs w:val="20"/>
        </w:rPr>
      </w:pPr>
    </w:p>
    <w:p w:rsidR="0090400F" w:rsidRPr="00AC4AEA" w:rsidRDefault="0090400F" w:rsidP="00A318EA">
      <w:pPr>
        <w:pStyle w:val="Ttulo2"/>
        <w:rPr>
          <w:rFonts w:cs="Arial"/>
          <w:bCs/>
        </w:rPr>
      </w:pPr>
      <w:bookmarkStart w:id="56" w:name="_Toc101863714"/>
      <w:bookmarkStart w:id="57" w:name="_Toc139356580"/>
      <w:r w:rsidRPr="00AC4AEA">
        <w:rPr>
          <w:rFonts w:cs="Arial"/>
        </w:rPr>
        <w:t>Baja en cuentas</w:t>
      </w:r>
      <w:bookmarkEnd w:id="56"/>
      <w:bookmarkEnd w:id="57"/>
    </w:p>
    <w:p w:rsidR="00D72618" w:rsidRPr="00AC4AEA" w:rsidRDefault="00D72618" w:rsidP="00A318EA">
      <w:pPr>
        <w:pStyle w:val="Prrafodelista"/>
        <w:numPr>
          <w:ilvl w:val="0"/>
          <w:numId w:val="29"/>
        </w:numPr>
        <w:contextualSpacing w:val="0"/>
        <w:jc w:val="both"/>
        <w:rPr>
          <w:rFonts w:ascii="Arial" w:hAnsi="Arial" w:cs="Arial"/>
          <w:sz w:val="20"/>
          <w:szCs w:val="20"/>
        </w:rPr>
      </w:pPr>
      <w:bookmarkStart w:id="58" w:name="_Ref102844986"/>
      <w:r w:rsidRPr="00AC4AEA">
        <w:rPr>
          <w:rFonts w:ascii="Arial" w:hAnsi="Arial" w:cs="Arial"/>
          <w:sz w:val="20"/>
          <w:szCs w:val="20"/>
        </w:rPr>
        <w:t xml:space="preserve">La baja en cuentas es la eliminación, total o parcial, de un </w:t>
      </w:r>
      <w:r w:rsidRPr="00AC4AEA">
        <w:rPr>
          <w:rFonts w:ascii="Arial" w:hAnsi="Arial" w:cs="Arial"/>
          <w:b/>
          <w:bCs/>
          <w:sz w:val="20"/>
          <w:szCs w:val="20"/>
        </w:rPr>
        <w:t>activo</w:t>
      </w:r>
      <w:r w:rsidRPr="00AC4AEA">
        <w:rPr>
          <w:rFonts w:ascii="Arial" w:hAnsi="Arial" w:cs="Arial"/>
          <w:sz w:val="20"/>
          <w:szCs w:val="20"/>
        </w:rPr>
        <w:t xml:space="preserve"> o un </w:t>
      </w:r>
      <w:r w:rsidRPr="00AC4AEA">
        <w:rPr>
          <w:rFonts w:ascii="Arial" w:hAnsi="Arial" w:cs="Arial"/>
          <w:b/>
          <w:bCs/>
          <w:sz w:val="20"/>
          <w:szCs w:val="20"/>
        </w:rPr>
        <w:t>pasivo</w:t>
      </w:r>
      <w:r w:rsidRPr="00AC4AEA">
        <w:rPr>
          <w:rFonts w:ascii="Arial" w:hAnsi="Arial" w:cs="Arial"/>
          <w:sz w:val="20"/>
          <w:szCs w:val="20"/>
        </w:rPr>
        <w:t xml:space="preserve"> reconocidos en el estado de situación patrimonial de una entidad.</w:t>
      </w:r>
      <w:bookmarkEnd w:id="58"/>
      <w:r w:rsidRPr="00AC4AEA">
        <w:rPr>
          <w:rFonts w:ascii="Arial" w:hAnsi="Arial" w:cs="Arial"/>
          <w:sz w:val="20"/>
          <w:szCs w:val="20"/>
        </w:rPr>
        <w:t xml:space="preserve"> </w:t>
      </w:r>
    </w:p>
    <w:p w:rsidR="00D72618" w:rsidRPr="00AC4AEA" w:rsidRDefault="00D7261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Normalmente, la baja en cuentas tendrá lugar</w:t>
      </w:r>
    </w:p>
    <w:p w:rsidR="009F5AF6" w:rsidRPr="00AC4AEA" w:rsidRDefault="00A102B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en el caso de</w:t>
      </w:r>
      <w:r w:rsidR="00D72618" w:rsidRPr="00AC4AEA">
        <w:rPr>
          <w:rFonts w:ascii="Arial" w:hAnsi="Arial" w:cs="Arial"/>
          <w:sz w:val="20"/>
          <w:szCs w:val="20"/>
        </w:rPr>
        <w:t xml:space="preserve"> un </w:t>
      </w:r>
      <w:r w:rsidR="00D72618" w:rsidRPr="00AC4AEA">
        <w:rPr>
          <w:rFonts w:ascii="Arial" w:hAnsi="Arial" w:cs="Arial"/>
          <w:b/>
          <w:bCs/>
          <w:sz w:val="20"/>
          <w:szCs w:val="20"/>
        </w:rPr>
        <w:t>activo</w:t>
      </w:r>
      <w:r w:rsidR="00D72618" w:rsidRPr="00AC4AEA">
        <w:rPr>
          <w:rFonts w:ascii="Arial" w:hAnsi="Arial" w:cs="Arial"/>
          <w:sz w:val="20"/>
          <w:szCs w:val="20"/>
        </w:rPr>
        <w:t>, cuando</w:t>
      </w:r>
      <w:r w:rsidR="00C345C2" w:rsidRPr="00AC4AEA">
        <w:rPr>
          <w:rFonts w:ascii="Arial" w:hAnsi="Arial" w:cs="Arial"/>
          <w:sz w:val="20"/>
          <w:szCs w:val="20"/>
        </w:rPr>
        <w:t xml:space="preserve"> </w:t>
      </w:r>
      <w:r w:rsidR="00D72618" w:rsidRPr="00AC4AEA">
        <w:rPr>
          <w:rFonts w:ascii="Arial" w:hAnsi="Arial" w:cs="Arial"/>
          <w:sz w:val="20"/>
          <w:szCs w:val="20"/>
        </w:rPr>
        <w:t xml:space="preserve">la entidad </w:t>
      </w:r>
      <w:r w:rsidR="002A009A" w:rsidRPr="00AC4AEA">
        <w:rPr>
          <w:rFonts w:ascii="Arial" w:hAnsi="Arial" w:cs="Arial"/>
          <w:sz w:val="20"/>
          <w:szCs w:val="20"/>
        </w:rPr>
        <w:t xml:space="preserve">transfiere o </w:t>
      </w:r>
      <w:r w:rsidR="00D72618" w:rsidRPr="00AC4AEA">
        <w:rPr>
          <w:rFonts w:ascii="Arial" w:hAnsi="Arial" w:cs="Arial"/>
          <w:sz w:val="20"/>
          <w:szCs w:val="20"/>
        </w:rPr>
        <w:t>pierd</w:t>
      </w:r>
      <w:r w:rsidR="00C33BBE" w:rsidRPr="00AC4AEA">
        <w:rPr>
          <w:rFonts w:ascii="Arial" w:hAnsi="Arial" w:cs="Arial"/>
          <w:sz w:val="20"/>
          <w:szCs w:val="20"/>
        </w:rPr>
        <w:t>e</w:t>
      </w:r>
      <w:r w:rsidR="00D72618" w:rsidRPr="00AC4AEA">
        <w:rPr>
          <w:rFonts w:ascii="Arial" w:hAnsi="Arial" w:cs="Arial"/>
          <w:sz w:val="20"/>
          <w:szCs w:val="20"/>
        </w:rPr>
        <w:t xml:space="preserve"> el control </w:t>
      </w:r>
      <w:r w:rsidRPr="00AC4AEA">
        <w:rPr>
          <w:rFonts w:ascii="Arial" w:hAnsi="Arial" w:cs="Arial"/>
          <w:sz w:val="20"/>
          <w:szCs w:val="20"/>
        </w:rPr>
        <w:t>total o parcial de un</w:t>
      </w:r>
      <w:r w:rsidR="00D72618" w:rsidRPr="00AC4AEA">
        <w:rPr>
          <w:rFonts w:ascii="Arial" w:hAnsi="Arial" w:cs="Arial"/>
          <w:sz w:val="20"/>
          <w:szCs w:val="20"/>
        </w:rPr>
        <w:t xml:space="preserve"> </w:t>
      </w:r>
      <w:r w:rsidR="00D72618" w:rsidRPr="00AC4AEA">
        <w:rPr>
          <w:rFonts w:ascii="Arial" w:hAnsi="Arial" w:cs="Arial"/>
          <w:b/>
          <w:bCs/>
          <w:sz w:val="20"/>
          <w:szCs w:val="20"/>
        </w:rPr>
        <w:t>activo</w:t>
      </w:r>
      <w:r w:rsidR="00D72618" w:rsidRPr="00AC4AEA">
        <w:rPr>
          <w:rFonts w:ascii="Arial" w:hAnsi="Arial" w:cs="Arial"/>
          <w:sz w:val="20"/>
          <w:szCs w:val="20"/>
        </w:rPr>
        <w:t xml:space="preserve"> reconocido, por su</w:t>
      </w:r>
      <w:r w:rsidR="00323DAF" w:rsidRPr="00AC4AEA">
        <w:rPr>
          <w:rFonts w:ascii="Arial" w:hAnsi="Arial" w:cs="Arial"/>
          <w:sz w:val="20"/>
          <w:szCs w:val="20"/>
        </w:rPr>
        <w:t xml:space="preserve"> venta o</w:t>
      </w:r>
      <w:r w:rsidR="00D72618" w:rsidRPr="00AC4AEA">
        <w:rPr>
          <w:rFonts w:ascii="Arial" w:hAnsi="Arial" w:cs="Arial"/>
          <w:sz w:val="20"/>
          <w:szCs w:val="20"/>
        </w:rPr>
        <w:t xml:space="preserve"> </w:t>
      </w:r>
      <w:r w:rsidR="00323DAF" w:rsidRPr="00AC4AEA">
        <w:rPr>
          <w:rFonts w:ascii="Arial" w:hAnsi="Arial" w:cs="Arial"/>
          <w:sz w:val="20"/>
          <w:szCs w:val="20"/>
        </w:rPr>
        <w:t xml:space="preserve">su </w:t>
      </w:r>
      <w:r w:rsidR="00D72618" w:rsidRPr="00AC4AEA">
        <w:rPr>
          <w:rFonts w:ascii="Arial" w:hAnsi="Arial" w:cs="Arial"/>
          <w:sz w:val="20"/>
          <w:szCs w:val="20"/>
        </w:rPr>
        <w:t xml:space="preserve">disposición </w:t>
      </w:r>
      <w:r w:rsidR="00323DAF" w:rsidRPr="00AC4AEA">
        <w:rPr>
          <w:rFonts w:ascii="Arial" w:hAnsi="Arial" w:cs="Arial"/>
          <w:sz w:val="20"/>
          <w:szCs w:val="20"/>
        </w:rPr>
        <w:t>por</w:t>
      </w:r>
      <w:r w:rsidR="00D72618" w:rsidRPr="00AC4AEA">
        <w:rPr>
          <w:rFonts w:ascii="Arial" w:hAnsi="Arial" w:cs="Arial"/>
          <w:sz w:val="20"/>
          <w:szCs w:val="20"/>
        </w:rPr>
        <w:t xml:space="preserve"> otras causas; y</w:t>
      </w:r>
    </w:p>
    <w:p w:rsidR="00D72618" w:rsidRPr="00AC4AEA" w:rsidRDefault="00A102B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en el caso de</w:t>
      </w:r>
      <w:r w:rsidR="00D72618" w:rsidRPr="00AC4AEA">
        <w:rPr>
          <w:rFonts w:ascii="Arial" w:hAnsi="Arial" w:cs="Arial"/>
          <w:sz w:val="20"/>
          <w:szCs w:val="20"/>
        </w:rPr>
        <w:t xml:space="preserve"> un </w:t>
      </w:r>
      <w:r w:rsidR="00D72618" w:rsidRPr="00AC4AEA">
        <w:rPr>
          <w:rFonts w:ascii="Arial" w:hAnsi="Arial" w:cs="Arial"/>
          <w:b/>
          <w:bCs/>
          <w:sz w:val="20"/>
          <w:szCs w:val="20"/>
        </w:rPr>
        <w:t>pasivo</w:t>
      </w:r>
      <w:r w:rsidR="00D72618" w:rsidRPr="00AC4AEA">
        <w:rPr>
          <w:rFonts w:ascii="Arial" w:hAnsi="Arial" w:cs="Arial"/>
          <w:sz w:val="20"/>
          <w:szCs w:val="20"/>
        </w:rPr>
        <w:t xml:space="preserve">, cuando la entidad deja de tener una obligación </w:t>
      </w:r>
      <w:r w:rsidR="00C345C2" w:rsidRPr="00AC4AEA">
        <w:rPr>
          <w:rFonts w:ascii="Arial" w:hAnsi="Arial" w:cs="Arial"/>
          <w:sz w:val="20"/>
          <w:szCs w:val="20"/>
        </w:rPr>
        <w:t>por un</w:t>
      </w:r>
      <w:r w:rsidR="00D72618" w:rsidRPr="00AC4AEA">
        <w:rPr>
          <w:rFonts w:ascii="Arial" w:hAnsi="Arial" w:cs="Arial"/>
          <w:sz w:val="20"/>
          <w:szCs w:val="20"/>
        </w:rPr>
        <w:t xml:space="preserve"> </w:t>
      </w:r>
      <w:r w:rsidR="00D72618" w:rsidRPr="00AC4AEA">
        <w:rPr>
          <w:rFonts w:ascii="Arial" w:hAnsi="Arial" w:cs="Arial"/>
          <w:b/>
          <w:bCs/>
          <w:sz w:val="20"/>
          <w:szCs w:val="20"/>
        </w:rPr>
        <w:t xml:space="preserve">pasivo </w:t>
      </w:r>
      <w:r w:rsidR="00D72618" w:rsidRPr="00AC4AEA">
        <w:rPr>
          <w:rFonts w:ascii="Arial" w:hAnsi="Arial" w:cs="Arial"/>
          <w:sz w:val="20"/>
          <w:szCs w:val="20"/>
        </w:rPr>
        <w:t>reconocido</w:t>
      </w:r>
      <w:r w:rsidR="00921751" w:rsidRPr="00AC4AEA">
        <w:rPr>
          <w:rFonts w:ascii="Arial" w:hAnsi="Arial" w:cs="Arial"/>
          <w:sz w:val="20"/>
          <w:szCs w:val="20"/>
        </w:rPr>
        <w:t xml:space="preserve">, por la totalidad o </w:t>
      </w:r>
      <w:r w:rsidR="00C345C2" w:rsidRPr="00AC4AEA">
        <w:rPr>
          <w:rFonts w:ascii="Arial" w:hAnsi="Arial" w:cs="Arial"/>
          <w:sz w:val="20"/>
          <w:szCs w:val="20"/>
        </w:rPr>
        <w:t xml:space="preserve">una parte de dicho </w:t>
      </w:r>
      <w:r w:rsidR="00C345C2" w:rsidRPr="002339BE">
        <w:rPr>
          <w:rFonts w:ascii="Arial" w:hAnsi="Arial" w:cs="Arial"/>
          <w:b/>
          <w:bCs/>
          <w:sz w:val="20"/>
          <w:szCs w:val="20"/>
        </w:rPr>
        <w:t>pasivo</w:t>
      </w:r>
      <w:r w:rsidR="00921751" w:rsidRPr="00AC4AEA">
        <w:rPr>
          <w:rFonts w:ascii="Arial" w:hAnsi="Arial" w:cs="Arial"/>
          <w:sz w:val="20"/>
          <w:szCs w:val="20"/>
        </w:rPr>
        <w:t>, según corresponda</w:t>
      </w:r>
      <w:r w:rsidR="009F5AF6" w:rsidRPr="00AC4AEA">
        <w:rPr>
          <w:rFonts w:ascii="Arial" w:hAnsi="Arial" w:cs="Arial"/>
          <w:sz w:val="20"/>
          <w:szCs w:val="20"/>
        </w:rPr>
        <w:t>.</w:t>
      </w:r>
    </w:p>
    <w:p w:rsidR="0090400F" w:rsidRPr="00AC4AEA" w:rsidRDefault="00550A33" w:rsidP="00A318EA">
      <w:pPr>
        <w:pStyle w:val="Prrafodelista"/>
        <w:numPr>
          <w:ilvl w:val="0"/>
          <w:numId w:val="29"/>
        </w:numPr>
        <w:contextualSpacing w:val="0"/>
        <w:jc w:val="both"/>
        <w:rPr>
          <w:rFonts w:ascii="Arial" w:hAnsi="Arial" w:cs="Arial"/>
          <w:sz w:val="20"/>
          <w:szCs w:val="20"/>
        </w:rPr>
      </w:pPr>
      <w:bookmarkStart w:id="59" w:name="_Ref102845008"/>
      <w:r w:rsidRPr="00AC4AEA">
        <w:rPr>
          <w:rFonts w:ascii="Arial" w:hAnsi="Arial" w:cs="Arial"/>
          <w:sz w:val="20"/>
          <w:szCs w:val="20"/>
        </w:rPr>
        <w:t>A</w:t>
      </w:r>
      <w:r w:rsidR="00B261E6" w:rsidRPr="00AC4AEA">
        <w:rPr>
          <w:rFonts w:ascii="Arial" w:hAnsi="Arial" w:cs="Arial"/>
          <w:sz w:val="20"/>
          <w:szCs w:val="20"/>
        </w:rPr>
        <w:t>l contabilizar la baja de un elemento, una entidad reconocerá</w:t>
      </w:r>
      <w:r w:rsidR="0090400F" w:rsidRPr="00AC4AEA">
        <w:rPr>
          <w:rFonts w:ascii="Arial" w:hAnsi="Arial" w:cs="Arial"/>
          <w:sz w:val="20"/>
          <w:szCs w:val="20"/>
        </w:rPr>
        <w:t xml:space="preserve"> simultáneamente</w:t>
      </w:r>
      <w:r w:rsidR="00A102B4" w:rsidRPr="00AC4AEA">
        <w:rPr>
          <w:rFonts w:ascii="Arial" w:hAnsi="Arial" w:cs="Arial"/>
          <w:sz w:val="20"/>
          <w:szCs w:val="20"/>
        </w:rPr>
        <w:t>, si correspondiera,</w:t>
      </w:r>
      <w:r w:rsidR="0090400F" w:rsidRPr="00AC4AEA">
        <w:rPr>
          <w:rFonts w:ascii="Arial" w:hAnsi="Arial" w:cs="Arial"/>
          <w:sz w:val="20"/>
          <w:szCs w:val="20"/>
        </w:rPr>
        <w:t xml:space="preserve"> los nuevos </w:t>
      </w:r>
      <w:r w:rsidR="00497590" w:rsidRPr="00AC4AEA">
        <w:rPr>
          <w:rFonts w:ascii="Arial" w:hAnsi="Arial" w:cs="Arial"/>
          <w:sz w:val="20"/>
          <w:szCs w:val="20"/>
        </w:rPr>
        <w:t>activos</w:t>
      </w:r>
      <w:r w:rsidR="0090400F" w:rsidRPr="00AC4AEA">
        <w:rPr>
          <w:rFonts w:ascii="Arial" w:hAnsi="Arial" w:cs="Arial"/>
          <w:sz w:val="20"/>
          <w:szCs w:val="20"/>
        </w:rPr>
        <w:t xml:space="preserve"> o </w:t>
      </w:r>
      <w:r w:rsidR="00497590" w:rsidRPr="00AC4AEA">
        <w:rPr>
          <w:rFonts w:ascii="Arial" w:hAnsi="Arial" w:cs="Arial"/>
          <w:sz w:val="20"/>
          <w:szCs w:val="20"/>
        </w:rPr>
        <w:t>pasivos</w:t>
      </w:r>
      <w:r w:rsidR="0090400F" w:rsidRPr="00AC4AEA">
        <w:rPr>
          <w:rFonts w:ascii="Arial" w:hAnsi="Arial" w:cs="Arial"/>
          <w:sz w:val="20"/>
          <w:szCs w:val="20"/>
        </w:rPr>
        <w:t xml:space="preserve"> e </w:t>
      </w:r>
      <w:r w:rsidR="00B261E6" w:rsidRPr="00AC4AEA">
        <w:rPr>
          <w:rFonts w:ascii="Arial" w:hAnsi="Arial" w:cs="Arial"/>
          <w:sz w:val="20"/>
          <w:szCs w:val="20"/>
        </w:rPr>
        <w:t xml:space="preserve">imputará </w:t>
      </w:r>
      <w:r w:rsidR="0090400F" w:rsidRPr="00AC4AEA">
        <w:rPr>
          <w:rFonts w:ascii="Arial" w:hAnsi="Arial" w:cs="Arial"/>
          <w:sz w:val="20"/>
          <w:szCs w:val="20"/>
        </w:rPr>
        <w:t>al resultado del período la diferencia entre las mediciones contables netas de:</w:t>
      </w:r>
      <w:bookmarkEnd w:id="59"/>
    </w:p>
    <w:p w:rsidR="0090400F"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0090400F" w:rsidRPr="00AC4AEA">
        <w:rPr>
          <w:rFonts w:ascii="Arial" w:hAnsi="Arial" w:cs="Arial"/>
          <w:sz w:val="20"/>
          <w:szCs w:val="20"/>
        </w:rPr>
        <w:t xml:space="preserve">nuevos </w:t>
      </w:r>
      <w:r w:rsidR="00497590" w:rsidRPr="00AC4AEA">
        <w:rPr>
          <w:rFonts w:ascii="Arial" w:hAnsi="Arial" w:cs="Arial"/>
          <w:sz w:val="20"/>
          <w:szCs w:val="20"/>
        </w:rPr>
        <w:t>activos</w:t>
      </w:r>
      <w:r w:rsidR="0090400F" w:rsidRPr="00AC4AEA">
        <w:rPr>
          <w:rFonts w:ascii="Arial" w:hAnsi="Arial" w:cs="Arial"/>
          <w:sz w:val="20"/>
          <w:szCs w:val="20"/>
        </w:rPr>
        <w:t xml:space="preserve"> o </w:t>
      </w:r>
      <w:r w:rsidR="00497590" w:rsidRPr="00AC4AEA">
        <w:rPr>
          <w:rFonts w:ascii="Arial" w:hAnsi="Arial" w:cs="Arial"/>
          <w:sz w:val="20"/>
          <w:szCs w:val="20"/>
        </w:rPr>
        <w:t>pasivos</w:t>
      </w:r>
      <w:r w:rsidR="006F0F1A" w:rsidRPr="00AC4AEA">
        <w:rPr>
          <w:rFonts w:ascii="Arial" w:hAnsi="Arial" w:cs="Arial"/>
          <w:sz w:val="20"/>
          <w:szCs w:val="20"/>
        </w:rPr>
        <w:t>;</w:t>
      </w:r>
      <w:r w:rsidR="0090400F" w:rsidRPr="00AC4AEA">
        <w:rPr>
          <w:rFonts w:ascii="Arial" w:hAnsi="Arial" w:cs="Arial"/>
          <w:sz w:val="20"/>
          <w:szCs w:val="20"/>
        </w:rPr>
        <w:t xml:space="preserve"> y</w:t>
      </w:r>
    </w:p>
    <w:p w:rsidR="0090400F"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00497590" w:rsidRPr="00AC4AEA">
        <w:rPr>
          <w:rFonts w:ascii="Arial" w:hAnsi="Arial" w:cs="Arial"/>
          <w:sz w:val="20"/>
          <w:szCs w:val="20"/>
        </w:rPr>
        <w:t>activos</w:t>
      </w:r>
      <w:r w:rsidR="0090400F" w:rsidRPr="00AC4AEA">
        <w:rPr>
          <w:rFonts w:ascii="Arial" w:hAnsi="Arial" w:cs="Arial"/>
          <w:sz w:val="20"/>
          <w:szCs w:val="20"/>
        </w:rPr>
        <w:t xml:space="preserve"> o </w:t>
      </w:r>
      <w:r w:rsidR="00497590" w:rsidRPr="00AC4AEA">
        <w:rPr>
          <w:rFonts w:ascii="Arial" w:hAnsi="Arial" w:cs="Arial"/>
          <w:sz w:val="20"/>
          <w:szCs w:val="20"/>
        </w:rPr>
        <w:t>pasivos</w:t>
      </w:r>
      <w:r w:rsidR="0090400F" w:rsidRPr="00AC4AEA">
        <w:rPr>
          <w:rFonts w:ascii="Arial" w:hAnsi="Arial" w:cs="Arial"/>
          <w:sz w:val="20"/>
          <w:szCs w:val="20"/>
        </w:rPr>
        <w:t xml:space="preserve"> dados de baja.</w:t>
      </w:r>
    </w:p>
    <w:p w:rsidR="00B34842" w:rsidRPr="00AC4AEA" w:rsidRDefault="00B34842" w:rsidP="00A318EA">
      <w:pPr>
        <w:pStyle w:val="Prrafodelista"/>
        <w:ind w:left="1560"/>
        <w:contextualSpacing w:val="0"/>
        <w:jc w:val="both"/>
        <w:rPr>
          <w:rFonts w:ascii="Arial" w:hAnsi="Arial" w:cs="Arial"/>
          <w:sz w:val="20"/>
          <w:szCs w:val="20"/>
        </w:rPr>
      </w:pPr>
      <w:bookmarkStart w:id="60" w:name="_Toc101863715"/>
    </w:p>
    <w:p w:rsidR="0090400F" w:rsidRPr="00AC4AEA" w:rsidRDefault="0090400F" w:rsidP="00A318EA">
      <w:pPr>
        <w:pStyle w:val="Ttulo2"/>
        <w:rPr>
          <w:rFonts w:cs="Arial"/>
        </w:rPr>
      </w:pPr>
      <w:bookmarkStart w:id="61" w:name="_Toc139356581"/>
      <w:r w:rsidRPr="00AC4AEA">
        <w:rPr>
          <w:rFonts w:cs="Arial"/>
        </w:rPr>
        <w:t>Medición</w:t>
      </w:r>
      <w:bookmarkEnd w:id="60"/>
      <w:bookmarkEnd w:id="61"/>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cuantificará en términos monetarios los elementos reconocidos en los </w:t>
      </w:r>
      <w:r w:rsidR="00135084" w:rsidRPr="00AC4AEA">
        <w:rPr>
          <w:rFonts w:ascii="Arial" w:hAnsi="Arial" w:cs="Arial"/>
          <w:b/>
          <w:bCs/>
          <w:sz w:val="20"/>
          <w:szCs w:val="20"/>
        </w:rPr>
        <w:t>estados contables</w:t>
      </w:r>
      <w:r w:rsidRPr="00AC4AEA">
        <w:rPr>
          <w:rFonts w:ascii="Arial" w:hAnsi="Arial" w:cs="Arial"/>
          <w:sz w:val="20"/>
          <w:szCs w:val="20"/>
        </w:rPr>
        <w:t xml:space="preserve">, en función de lo que establezcan las normas específicas para cada uno de ellos y los momentos </w:t>
      </w:r>
      <w:r w:rsidR="00EC1893" w:rsidRPr="00AC4AEA">
        <w:rPr>
          <w:rFonts w:ascii="Arial" w:hAnsi="Arial" w:cs="Arial"/>
          <w:sz w:val="20"/>
          <w:szCs w:val="20"/>
        </w:rPr>
        <w:t>en</w:t>
      </w:r>
      <w:r w:rsidR="00F9029B" w:rsidRPr="00AC4AEA">
        <w:rPr>
          <w:rFonts w:ascii="Arial" w:hAnsi="Arial" w:cs="Arial"/>
          <w:sz w:val="20"/>
          <w:szCs w:val="20"/>
        </w:rPr>
        <w:t xml:space="preserve"> que efectúe la</w:t>
      </w:r>
      <w:r w:rsidRPr="00AC4AEA">
        <w:rPr>
          <w:rFonts w:ascii="Arial" w:hAnsi="Arial" w:cs="Arial"/>
          <w:sz w:val="20"/>
          <w:szCs w:val="20"/>
        </w:rPr>
        <w:t xml:space="preserve"> medición. </w:t>
      </w:r>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realizará:</w:t>
      </w:r>
    </w:p>
    <w:p w:rsidR="0090400F"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90400F" w:rsidRPr="00AC4AEA">
        <w:rPr>
          <w:rFonts w:ascii="Arial" w:hAnsi="Arial" w:cs="Arial"/>
          <w:sz w:val="20"/>
          <w:szCs w:val="20"/>
        </w:rPr>
        <w:t>medición inicial, en el momento del reconocimiento o incorporación de un elemento</w:t>
      </w:r>
      <w:r w:rsidR="009C5CB5" w:rsidRPr="00AC4AEA">
        <w:rPr>
          <w:rFonts w:ascii="Arial" w:hAnsi="Arial" w:cs="Arial"/>
          <w:sz w:val="20"/>
          <w:szCs w:val="20"/>
        </w:rPr>
        <w:t xml:space="preserve">; </w:t>
      </w:r>
      <w:r w:rsidR="009067BA" w:rsidRPr="00AC4AEA">
        <w:rPr>
          <w:rFonts w:ascii="Arial" w:hAnsi="Arial" w:cs="Arial"/>
          <w:sz w:val="20"/>
          <w:szCs w:val="20"/>
        </w:rPr>
        <w:t>y</w:t>
      </w:r>
    </w:p>
    <w:p w:rsidR="0090400F"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90400F" w:rsidRPr="00AC4AEA">
        <w:rPr>
          <w:rFonts w:ascii="Arial" w:hAnsi="Arial" w:cs="Arial"/>
          <w:sz w:val="20"/>
          <w:szCs w:val="20"/>
        </w:rPr>
        <w:t xml:space="preserve">medición </w:t>
      </w:r>
      <w:r w:rsidR="00531A5A" w:rsidRPr="00AC4AEA">
        <w:rPr>
          <w:rFonts w:ascii="Arial" w:hAnsi="Arial" w:cs="Arial"/>
          <w:sz w:val="20"/>
          <w:szCs w:val="20"/>
        </w:rPr>
        <w:t>posterior</w:t>
      </w:r>
      <w:r w:rsidR="0090400F" w:rsidRPr="00AC4AEA">
        <w:rPr>
          <w:rFonts w:ascii="Arial" w:hAnsi="Arial" w:cs="Arial"/>
          <w:sz w:val="20"/>
          <w:szCs w:val="20"/>
        </w:rPr>
        <w:t xml:space="preserve">, a la </w:t>
      </w:r>
      <w:r w:rsidR="0090400F" w:rsidRPr="00AC4AEA">
        <w:rPr>
          <w:rFonts w:ascii="Arial" w:hAnsi="Arial" w:cs="Arial"/>
          <w:b/>
          <w:bCs/>
          <w:sz w:val="20"/>
          <w:szCs w:val="20"/>
        </w:rPr>
        <w:t xml:space="preserve">fecha </w:t>
      </w:r>
      <w:r w:rsidR="00ED1454" w:rsidRPr="00AC4AEA">
        <w:rPr>
          <w:rFonts w:ascii="Arial" w:hAnsi="Arial" w:cs="Arial"/>
          <w:b/>
          <w:bCs/>
          <w:sz w:val="20"/>
          <w:szCs w:val="20"/>
        </w:rPr>
        <w:t xml:space="preserve">de los </w:t>
      </w:r>
      <w:r w:rsidR="00135084" w:rsidRPr="00AC4AEA">
        <w:rPr>
          <w:rFonts w:ascii="Arial" w:hAnsi="Arial" w:cs="Arial"/>
          <w:b/>
          <w:bCs/>
          <w:sz w:val="20"/>
          <w:szCs w:val="20"/>
        </w:rPr>
        <w:t>estados contables</w:t>
      </w:r>
      <w:r w:rsidR="00B261E6" w:rsidRPr="00AC4AEA">
        <w:rPr>
          <w:rFonts w:ascii="Arial" w:hAnsi="Arial" w:cs="Arial"/>
          <w:sz w:val="20"/>
          <w:szCs w:val="20"/>
        </w:rPr>
        <w:t xml:space="preserve"> o en cualquier fecha </w:t>
      </w:r>
      <w:r w:rsidR="00C831B1" w:rsidRPr="00AC4AEA">
        <w:rPr>
          <w:rFonts w:ascii="Arial" w:hAnsi="Arial" w:cs="Arial"/>
          <w:sz w:val="20"/>
          <w:szCs w:val="20"/>
        </w:rPr>
        <w:t>distinta</w:t>
      </w:r>
      <w:r w:rsidR="00B261E6" w:rsidRPr="00AC4AEA">
        <w:rPr>
          <w:rFonts w:ascii="Arial" w:hAnsi="Arial" w:cs="Arial"/>
          <w:sz w:val="20"/>
          <w:szCs w:val="20"/>
        </w:rPr>
        <w:t xml:space="preserve"> </w:t>
      </w:r>
      <w:r w:rsidR="00C831B1" w:rsidRPr="00AC4AEA">
        <w:rPr>
          <w:rFonts w:ascii="Arial" w:hAnsi="Arial" w:cs="Arial"/>
          <w:sz w:val="20"/>
          <w:szCs w:val="20"/>
        </w:rPr>
        <w:t xml:space="preserve">a la del </w:t>
      </w:r>
      <w:r w:rsidR="00B261E6" w:rsidRPr="00AC4AEA">
        <w:rPr>
          <w:rFonts w:ascii="Arial" w:hAnsi="Arial" w:cs="Arial"/>
          <w:sz w:val="20"/>
          <w:szCs w:val="20"/>
        </w:rPr>
        <w:t>reconocimiento.</w:t>
      </w:r>
    </w:p>
    <w:p w:rsidR="001043B8" w:rsidRPr="00AC4AEA" w:rsidRDefault="001043B8" w:rsidP="00A318EA">
      <w:pPr>
        <w:pStyle w:val="Prrafodelista"/>
        <w:ind w:left="360"/>
        <w:contextualSpacing w:val="0"/>
        <w:jc w:val="both"/>
        <w:rPr>
          <w:rFonts w:ascii="Arial" w:hAnsi="Arial" w:cs="Arial"/>
          <w:sz w:val="20"/>
          <w:szCs w:val="20"/>
        </w:rPr>
      </w:pPr>
    </w:p>
    <w:p w:rsidR="001043B8" w:rsidRPr="00AC4AEA" w:rsidRDefault="001043B8" w:rsidP="00A318EA">
      <w:pPr>
        <w:pStyle w:val="Ttulo2"/>
        <w:rPr>
          <w:rFonts w:cs="Arial"/>
        </w:rPr>
      </w:pPr>
      <w:bookmarkStart w:id="62" w:name="PRESENTACIONyrevelacion"/>
      <w:bookmarkStart w:id="63" w:name="_Toc101863716"/>
      <w:bookmarkStart w:id="64" w:name="_Toc139356582"/>
      <w:bookmarkEnd w:id="62"/>
      <w:r w:rsidRPr="00AC4AEA">
        <w:rPr>
          <w:rFonts w:cs="Arial"/>
        </w:rPr>
        <w:t>Presentación</w:t>
      </w:r>
      <w:r w:rsidR="00BB7057" w:rsidRPr="00AC4AEA">
        <w:rPr>
          <w:rFonts w:cs="Arial"/>
        </w:rPr>
        <w:t>,</w:t>
      </w:r>
      <w:r w:rsidR="009567F8" w:rsidRPr="00AC4AEA">
        <w:rPr>
          <w:rFonts w:cs="Arial"/>
        </w:rPr>
        <w:t xml:space="preserve"> </w:t>
      </w:r>
      <w:r w:rsidR="006A7EAB" w:rsidRPr="00AC4AEA">
        <w:rPr>
          <w:rFonts w:cs="Arial"/>
        </w:rPr>
        <w:t xml:space="preserve">e información a </w:t>
      </w:r>
      <w:r w:rsidR="00444AE8" w:rsidRPr="00AC4AEA">
        <w:rPr>
          <w:rFonts w:cs="Arial"/>
        </w:rPr>
        <w:t>revelar</w:t>
      </w:r>
      <w:bookmarkEnd w:id="63"/>
      <w:bookmarkEnd w:id="64"/>
    </w:p>
    <w:p w:rsidR="005575C8" w:rsidRPr="00AC4AEA" w:rsidRDefault="005575C8" w:rsidP="00A318EA">
      <w:pPr>
        <w:pStyle w:val="Ttulo3"/>
      </w:pPr>
      <w:bookmarkStart w:id="65" w:name="_Toc101863717"/>
      <w:bookmarkStart w:id="66" w:name="_Toc139356583"/>
      <w:r w:rsidRPr="00AC4AEA">
        <w:t>Aspectos generales</w:t>
      </w:r>
      <w:bookmarkEnd w:id="65"/>
      <w:bookmarkEnd w:id="66"/>
    </w:p>
    <w:p w:rsidR="006A7EAB" w:rsidRPr="00AC4AEA" w:rsidRDefault="00583BF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 comunicación efectiva de </w:t>
      </w:r>
      <w:r w:rsidR="00CE6683" w:rsidRPr="00AC4AEA">
        <w:rPr>
          <w:rFonts w:ascii="Arial" w:hAnsi="Arial" w:cs="Arial"/>
          <w:sz w:val="20"/>
          <w:szCs w:val="20"/>
        </w:rPr>
        <w:t xml:space="preserve">la </w:t>
      </w:r>
      <w:r w:rsidRPr="00AC4AEA">
        <w:rPr>
          <w:rFonts w:ascii="Arial" w:hAnsi="Arial" w:cs="Arial"/>
          <w:sz w:val="20"/>
          <w:szCs w:val="20"/>
        </w:rPr>
        <w:t xml:space="preserve">información </w:t>
      </w:r>
      <w:r w:rsidR="006A7EAB" w:rsidRPr="00AC4AEA">
        <w:rPr>
          <w:rFonts w:ascii="Arial" w:hAnsi="Arial" w:cs="Arial"/>
          <w:sz w:val="20"/>
          <w:szCs w:val="20"/>
        </w:rPr>
        <w:t xml:space="preserve">contenida </w:t>
      </w:r>
      <w:r w:rsidRPr="00AC4AEA">
        <w:rPr>
          <w:rFonts w:ascii="Arial" w:hAnsi="Arial" w:cs="Arial"/>
          <w:sz w:val="20"/>
          <w:szCs w:val="20"/>
        </w:rPr>
        <w:t xml:space="preserve">en los </w:t>
      </w:r>
      <w:r w:rsidR="00135084" w:rsidRPr="00AC4AEA">
        <w:rPr>
          <w:rFonts w:ascii="Arial" w:hAnsi="Arial" w:cs="Arial"/>
          <w:b/>
          <w:bCs/>
          <w:sz w:val="20"/>
          <w:szCs w:val="20"/>
        </w:rPr>
        <w:t>estados contables</w:t>
      </w:r>
      <w:r w:rsidRPr="00AC4AEA">
        <w:rPr>
          <w:rFonts w:ascii="Arial" w:hAnsi="Arial" w:cs="Arial"/>
          <w:sz w:val="20"/>
          <w:szCs w:val="20"/>
        </w:rPr>
        <w:t xml:space="preserve"> </w:t>
      </w:r>
      <w:r w:rsidR="00444CCE" w:rsidRPr="00AC4AEA">
        <w:rPr>
          <w:rFonts w:ascii="Arial" w:hAnsi="Arial" w:cs="Arial"/>
          <w:sz w:val="20"/>
          <w:szCs w:val="20"/>
        </w:rPr>
        <w:t>permite</w:t>
      </w:r>
      <w:r w:rsidRPr="00AC4AEA">
        <w:rPr>
          <w:rFonts w:ascii="Arial" w:hAnsi="Arial" w:cs="Arial"/>
          <w:sz w:val="20"/>
          <w:szCs w:val="20"/>
        </w:rPr>
        <w:t xml:space="preserve"> que esa información sea más relevante y contribuye a una presentación </w:t>
      </w:r>
      <w:r w:rsidR="00693662" w:rsidRPr="00AC4AEA">
        <w:rPr>
          <w:rFonts w:ascii="Arial" w:hAnsi="Arial" w:cs="Arial"/>
          <w:sz w:val="20"/>
          <w:szCs w:val="20"/>
        </w:rPr>
        <w:t>razonable</w:t>
      </w:r>
      <w:r w:rsidRPr="00AC4AEA">
        <w:rPr>
          <w:rFonts w:ascii="Arial" w:hAnsi="Arial" w:cs="Arial"/>
          <w:sz w:val="20"/>
          <w:szCs w:val="20"/>
        </w:rPr>
        <w:t xml:space="preserve">. Esta comunicación también mejora la comprensibilidad y comparabilidad de la información en los </w:t>
      </w:r>
      <w:r w:rsidR="00135084" w:rsidRPr="00AC4AEA">
        <w:rPr>
          <w:rFonts w:ascii="Arial" w:hAnsi="Arial" w:cs="Arial"/>
          <w:b/>
          <w:bCs/>
          <w:sz w:val="20"/>
          <w:szCs w:val="20"/>
        </w:rPr>
        <w:t>estados contables</w:t>
      </w:r>
      <w:r w:rsidRPr="00AC4AEA">
        <w:rPr>
          <w:rFonts w:ascii="Arial" w:hAnsi="Arial" w:cs="Arial"/>
          <w:sz w:val="20"/>
          <w:szCs w:val="20"/>
        </w:rPr>
        <w:t xml:space="preserve">. </w:t>
      </w:r>
    </w:p>
    <w:p w:rsidR="00583BFA" w:rsidRPr="00AC4AEA" w:rsidRDefault="00583BF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 comunicación efectiva de la información de los </w:t>
      </w:r>
      <w:r w:rsidR="00135084" w:rsidRPr="00AC4AEA">
        <w:rPr>
          <w:rFonts w:ascii="Arial" w:hAnsi="Arial" w:cs="Arial"/>
          <w:b/>
          <w:bCs/>
          <w:sz w:val="20"/>
          <w:szCs w:val="20"/>
        </w:rPr>
        <w:t>estados contables</w:t>
      </w:r>
      <w:r w:rsidRPr="00AC4AEA">
        <w:rPr>
          <w:rFonts w:ascii="Arial" w:hAnsi="Arial" w:cs="Arial"/>
          <w:sz w:val="20"/>
          <w:szCs w:val="20"/>
        </w:rPr>
        <w:t xml:space="preserve"> requiere:</w:t>
      </w:r>
    </w:p>
    <w:p w:rsidR="00583BFA" w:rsidRPr="00AC4AEA" w:rsidRDefault="00583BF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centrarse en los objetivos y principios de presentación e información a revelar en lugar de </w:t>
      </w:r>
      <w:r w:rsidR="00301363" w:rsidRPr="00AC4AEA">
        <w:rPr>
          <w:rFonts w:ascii="Arial" w:hAnsi="Arial" w:cs="Arial"/>
          <w:sz w:val="20"/>
          <w:szCs w:val="20"/>
        </w:rPr>
        <w:t xml:space="preserve">enfocarse </w:t>
      </w:r>
      <w:r w:rsidRPr="00AC4AEA">
        <w:rPr>
          <w:rFonts w:ascii="Arial" w:hAnsi="Arial" w:cs="Arial"/>
          <w:sz w:val="20"/>
          <w:szCs w:val="20"/>
        </w:rPr>
        <w:t>en reglas;</w:t>
      </w:r>
    </w:p>
    <w:p w:rsidR="00583BFA" w:rsidRPr="00AC4AEA" w:rsidRDefault="00583BF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clasificar la información de </w:t>
      </w:r>
      <w:r w:rsidR="00CE6683" w:rsidRPr="00AC4AEA">
        <w:rPr>
          <w:rFonts w:ascii="Arial" w:hAnsi="Arial" w:cs="Arial"/>
          <w:sz w:val="20"/>
          <w:szCs w:val="20"/>
        </w:rPr>
        <w:t xml:space="preserve">manera que las partidas similares se agrupen y las partidas diferentes se presenten en forma </w:t>
      </w:r>
      <w:r w:rsidRPr="00AC4AEA">
        <w:rPr>
          <w:rFonts w:ascii="Arial" w:hAnsi="Arial" w:cs="Arial"/>
          <w:sz w:val="20"/>
          <w:szCs w:val="20"/>
        </w:rPr>
        <w:t>separada; y</w:t>
      </w:r>
    </w:p>
    <w:p w:rsidR="00583BFA" w:rsidRPr="00AC4AEA" w:rsidRDefault="00583BF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agregar información que no </w:t>
      </w:r>
      <w:r w:rsidR="00964CD6" w:rsidRPr="00AC4AEA">
        <w:rPr>
          <w:rFonts w:ascii="Arial" w:hAnsi="Arial" w:cs="Arial"/>
          <w:sz w:val="20"/>
          <w:szCs w:val="20"/>
        </w:rPr>
        <w:t>confunda</w:t>
      </w:r>
      <w:r w:rsidRPr="00AC4AEA">
        <w:rPr>
          <w:rFonts w:ascii="Arial" w:hAnsi="Arial" w:cs="Arial"/>
          <w:sz w:val="20"/>
          <w:szCs w:val="20"/>
        </w:rPr>
        <w:t xml:space="preserve"> con detalles innecesarios o </w:t>
      </w:r>
      <w:r w:rsidR="00964CD6" w:rsidRPr="00AC4AEA">
        <w:rPr>
          <w:rFonts w:ascii="Arial" w:hAnsi="Arial" w:cs="Arial"/>
          <w:sz w:val="20"/>
          <w:szCs w:val="20"/>
        </w:rPr>
        <w:t>excesivos</w:t>
      </w:r>
      <w:r w:rsidRPr="00AC4AEA">
        <w:rPr>
          <w:rFonts w:ascii="Arial" w:hAnsi="Arial" w:cs="Arial"/>
          <w:sz w:val="20"/>
          <w:szCs w:val="20"/>
        </w:rPr>
        <w:t>.</w:t>
      </w:r>
    </w:p>
    <w:p w:rsidR="001043B8" w:rsidRPr="00AC4AEA" w:rsidRDefault="005575C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 xml:space="preserve">Al presentar sus </w:t>
      </w:r>
      <w:r w:rsidR="00135084" w:rsidRPr="00AC4AEA">
        <w:rPr>
          <w:rFonts w:ascii="Arial" w:hAnsi="Arial" w:cs="Arial"/>
          <w:b/>
          <w:bCs/>
          <w:sz w:val="20"/>
          <w:szCs w:val="20"/>
        </w:rPr>
        <w:t>estados contables</w:t>
      </w:r>
      <w:r w:rsidRPr="00AC4AEA">
        <w:rPr>
          <w:rFonts w:ascii="Arial" w:hAnsi="Arial" w:cs="Arial"/>
          <w:sz w:val="20"/>
          <w:szCs w:val="20"/>
        </w:rPr>
        <w:t>, u</w:t>
      </w:r>
      <w:r w:rsidR="00B25C0A" w:rsidRPr="00AC4AEA">
        <w:rPr>
          <w:rFonts w:ascii="Arial" w:hAnsi="Arial" w:cs="Arial"/>
          <w:sz w:val="20"/>
          <w:szCs w:val="20"/>
        </w:rPr>
        <w:t xml:space="preserve">na entidad expresará </w:t>
      </w:r>
      <w:r w:rsidRPr="00AC4AEA">
        <w:rPr>
          <w:rFonts w:ascii="Arial" w:hAnsi="Arial" w:cs="Arial"/>
          <w:sz w:val="20"/>
          <w:szCs w:val="20"/>
        </w:rPr>
        <w:t>la información en ellos contenida</w:t>
      </w:r>
      <w:r w:rsidR="001043B8" w:rsidRPr="00AC4AEA">
        <w:rPr>
          <w:rFonts w:ascii="Arial" w:hAnsi="Arial" w:cs="Arial"/>
          <w:sz w:val="20"/>
          <w:szCs w:val="20"/>
        </w:rPr>
        <w:t>: </w:t>
      </w:r>
    </w:p>
    <w:p w:rsidR="001043B8"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en </w:t>
      </w:r>
      <w:r w:rsidR="001043B8" w:rsidRPr="00AC4AEA">
        <w:rPr>
          <w:rFonts w:ascii="Arial" w:hAnsi="Arial" w:cs="Arial"/>
          <w:sz w:val="20"/>
          <w:szCs w:val="20"/>
        </w:rPr>
        <w:t xml:space="preserve">la moneda que prevé esta </w:t>
      </w:r>
      <w:r w:rsidR="009C5CB5" w:rsidRPr="00AC4AEA">
        <w:rPr>
          <w:rFonts w:ascii="Arial" w:hAnsi="Arial" w:cs="Arial"/>
          <w:sz w:val="20"/>
          <w:szCs w:val="20"/>
        </w:rPr>
        <w:t>R</w:t>
      </w:r>
      <w:r w:rsidR="001043B8" w:rsidRPr="00AC4AEA">
        <w:rPr>
          <w:rFonts w:ascii="Arial" w:hAnsi="Arial" w:cs="Arial"/>
          <w:sz w:val="20"/>
          <w:szCs w:val="20"/>
        </w:rPr>
        <w:t xml:space="preserve">esolución </w:t>
      </w:r>
      <w:r w:rsidR="009C5CB5" w:rsidRPr="00AC4AEA">
        <w:rPr>
          <w:rFonts w:ascii="Arial" w:hAnsi="Arial" w:cs="Arial"/>
          <w:sz w:val="20"/>
          <w:szCs w:val="20"/>
        </w:rPr>
        <w:t xml:space="preserve">Técnica; </w:t>
      </w:r>
      <w:r w:rsidR="001043B8" w:rsidRPr="00AC4AEA">
        <w:rPr>
          <w:rFonts w:ascii="Arial" w:hAnsi="Arial" w:cs="Arial"/>
          <w:sz w:val="20"/>
          <w:szCs w:val="20"/>
        </w:rPr>
        <w:t>o </w:t>
      </w:r>
    </w:p>
    <w:p w:rsidR="001043B8"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en </w:t>
      </w:r>
      <w:r w:rsidR="001043B8" w:rsidRPr="00AC4AEA">
        <w:rPr>
          <w:rFonts w:ascii="Arial" w:hAnsi="Arial" w:cs="Arial"/>
          <w:sz w:val="20"/>
          <w:szCs w:val="20"/>
        </w:rPr>
        <w:t xml:space="preserve">un múltiplo de </w:t>
      </w:r>
      <w:r w:rsidR="00C831B1" w:rsidRPr="00AC4AEA">
        <w:rPr>
          <w:rFonts w:ascii="Arial" w:hAnsi="Arial" w:cs="Arial"/>
          <w:sz w:val="20"/>
          <w:szCs w:val="20"/>
        </w:rPr>
        <w:t xml:space="preserve">dicha </w:t>
      </w:r>
      <w:r w:rsidR="001043B8" w:rsidRPr="00AC4AEA">
        <w:rPr>
          <w:rFonts w:ascii="Arial" w:hAnsi="Arial" w:cs="Arial"/>
          <w:sz w:val="20"/>
          <w:szCs w:val="20"/>
        </w:rPr>
        <w:t>moneda</w:t>
      </w:r>
      <w:r w:rsidR="003B380A" w:rsidRPr="00AC4AEA">
        <w:rPr>
          <w:rFonts w:ascii="Arial" w:hAnsi="Arial" w:cs="Arial"/>
          <w:sz w:val="20"/>
          <w:szCs w:val="20"/>
        </w:rPr>
        <w:t xml:space="preserve"> (por ejemplo, miles de pesos, millones de pesos)</w:t>
      </w:r>
      <w:r w:rsidR="001043B8" w:rsidRPr="00AC4AEA">
        <w:rPr>
          <w:rFonts w:ascii="Arial" w:hAnsi="Arial" w:cs="Arial"/>
          <w:sz w:val="20"/>
          <w:szCs w:val="20"/>
        </w:rPr>
        <w:t>. </w:t>
      </w:r>
    </w:p>
    <w:p w:rsidR="00C831B1" w:rsidRPr="00AC4AEA" w:rsidRDefault="00B25C0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w:t>
      </w:r>
      <w:r w:rsidR="00C831B1" w:rsidRPr="00AC4AEA">
        <w:rPr>
          <w:rFonts w:ascii="Arial" w:hAnsi="Arial" w:cs="Arial"/>
          <w:sz w:val="20"/>
          <w:szCs w:val="20"/>
        </w:rPr>
        <w:t>:</w:t>
      </w:r>
      <w:r w:rsidRPr="00AC4AEA">
        <w:rPr>
          <w:rFonts w:ascii="Arial" w:hAnsi="Arial" w:cs="Arial"/>
          <w:sz w:val="20"/>
          <w:szCs w:val="20"/>
        </w:rPr>
        <w:t xml:space="preserve"> </w:t>
      </w:r>
    </w:p>
    <w:p w:rsidR="009C5CB5" w:rsidRPr="00AC4AEA" w:rsidRDefault="0030136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I</w:t>
      </w:r>
      <w:r w:rsidR="009C5CB5" w:rsidRPr="00AC4AEA">
        <w:rPr>
          <w:rFonts w:ascii="Arial" w:hAnsi="Arial" w:cs="Arial"/>
          <w:sz w:val="20"/>
          <w:szCs w:val="20"/>
        </w:rPr>
        <w:t xml:space="preserve">ndicará la moneda en la que están expresados los </w:t>
      </w:r>
      <w:r w:rsidR="00135084" w:rsidRPr="00AC4AEA">
        <w:rPr>
          <w:rFonts w:ascii="Arial" w:hAnsi="Arial" w:cs="Arial"/>
          <w:b/>
          <w:bCs/>
          <w:sz w:val="20"/>
          <w:szCs w:val="20"/>
        </w:rPr>
        <w:t>estados contables</w:t>
      </w:r>
      <w:r w:rsidR="00A61633" w:rsidRPr="00AC4AEA">
        <w:rPr>
          <w:rFonts w:ascii="Arial" w:hAnsi="Arial" w:cs="Arial"/>
          <w:sz w:val="20"/>
          <w:szCs w:val="20"/>
        </w:rPr>
        <w:t>.</w:t>
      </w:r>
    </w:p>
    <w:p w:rsidR="00C831B1" w:rsidRPr="00AC4AEA" w:rsidRDefault="00A6163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w:t>
      </w:r>
      <w:r w:rsidR="00F4017F" w:rsidRPr="00AC4AEA">
        <w:rPr>
          <w:rFonts w:ascii="Arial" w:hAnsi="Arial" w:cs="Arial"/>
          <w:sz w:val="20"/>
          <w:szCs w:val="20"/>
        </w:rPr>
        <w:t xml:space="preserve">odrá </w:t>
      </w:r>
      <w:r w:rsidR="00C831B1" w:rsidRPr="00AC4AEA">
        <w:rPr>
          <w:rFonts w:ascii="Arial" w:hAnsi="Arial" w:cs="Arial"/>
          <w:sz w:val="20"/>
          <w:szCs w:val="20"/>
        </w:rPr>
        <w:t>redondear</w:t>
      </w:r>
      <w:r w:rsidR="001043B8" w:rsidRPr="00AC4AEA">
        <w:rPr>
          <w:rFonts w:ascii="Arial" w:hAnsi="Arial" w:cs="Arial"/>
          <w:sz w:val="20"/>
          <w:szCs w:val="20"/>
        </w:rPr>
        <w:t xml:space="preserve"> </w:t>
      </w:r>
      <w:r w:rsidR="00C831B1" w:rsidRPr="00AC4AEA">
        <w:rPr>
          <w:rFonts w:ascii="Arial" w:hAnsi="Arial" w:cs="Arial"/>
          <w:sz w:val="20"/>
          <w:szCs w:val="20"/>
        </w:rPr>
        <w:t xml:space="preserve">las </w:t>
      </w:r>
      <w:r w:rsidR="001043B8" w:rsidRPr="00AC4AEA">
        <w:rPr>
          <w:rFonts w:ascii="Arial" w:hAnsi="Arial" w:cs="Arial"/>
          <w:sz w:val="20"/>
          <w:szCs w:val="20"/>
        </w:rPr>
        <w:t>cifras no significativas</w:t>
      </w:r>
      <w:r w:rsidR="009C5CB5" w:rsidRPr="00AC4AEA">
        <w:rPr>
          <w:rFonts w:ascii="Arial" w:hAnsi="Arial" w:cs="Arial"/>
          <w:sz w:val="20"/>
          <w:szCs w:val="20"/>
        </w:rPr>
        <w:t>.</w:t>
      </w:r>
    </w:p>
    <w:p w:rsidR="00C23BB1" w:rsidRPr="00AC4AEA" w:rsidRDefault="00C23BB1" w:rsidP="00A318EA">
      <w:pPr>
        <w:jc w:val="both"/>
        <w:rPr>
          <w:rFonts w:ascii="Arial" w:hAnsi="Arial" w:cs="Arial"/>
          <w:sz w:val="20"/>
          <w:szCs w:val="20"/>
        </w:rPr>
      </w:pPr>
    </w:p>
    <w:p w:rsidR="00C23BB1" w:rsidRPr="00AC4AEA" w:rsidRDefault="00C23BB1" w:rsidP="00A318EA">
      <w:pPr>
        <w:pStyle w:val="Ttulo3"/>
      </w:pPr>
      <w:bookmarkStart w:id="67" w:name="_Toc101863720"/>
      <w:bookmarkStart w:id="68" w:name="_Toc139356584"/>
      <w:r w:rsidRPr="00AC4AEA">
        <w:t>Síntesis y flexibilidad</w:t>
      </w:r>
      <w:bookmarkEnd w:id="67"/>
      <w:bookmarkEnd w:id="68"/>
      <w:r w:rsidRPr="00AC4AEA">
        <w:t> </w:t>
      </w:r>
    </w:p>
    <w:p w:rsidR="00C23BB1" w:rsidRPr="00AC4AEA" w:rsidRDefault="00C23BB1" w:rsidP="00A318EA">
      <w:pPr>
        <w:pStyle w:val="Prrafodelista"/>
        <w:numPr>
          <w:ilvl w:val="0"/>
          <w:numId w:val="29"/>
        </w:numPr>
        <w:contextualSpacing w:val="0"/>
        <w:jc w:val="both"/>
        <w:rPr>
          <w:rFonts w:ascii="Arial" w:hAnsi="Arial" w:cs="Arial"/>
          <w:sz w:val="20"/>
          <w:szCs w:val="20"/>
        </w:rPr>
      </w:pPr>
      <w:bookmarkStart w:id="69" w:name="_Ref135770595"/>
      <w:r w:rsidRPr="00AC4AEA">
        <w:rPr>
          <w:rFonts w:ascii="Arial" w:hAnsi="Arial" w:cs="Arial"/>
          <w:sz w:val="20"/>
          <w:szCs w:val="20"/>
        </w:rPr>
        <w:t>Una entidad presentará el estado de situación patrimonial o balance general, el estado de resultados (estado de recursos y gastos, en las entidades sin fines de lucro), el estado de evolución del patrimonio neto, y el estado de flujos de efectivo en forma sintética para brindar una adecuada visión de conjunto, revelando en notas la información relevante no incluida en el cuerpo de dichos estados.</w:t>
      </w:r>
      <w:bookmarkEnd w:id="69"/>
      <w:r w:rsidRPr="00AC4AEA">
        <w:rPr>
          <w:rFonts w:ascii="Arial" w:hAnsi="Arial" w:cs="Arial"/>
          <w:sz w:val="20"/>
          <w:szCs w:val="20"/>
        </w:rPr>
        <w:t> </w:t>
      </w:r>
    </w:p>
    <w:p w:rsidR="00C23BB1" w:rsidRPr="00AC4AEA" w:rsidRDefault="00C23BB1" w:rsidP="00A318EA">
      <w:pPr>
        <w:pStyle w:val="Prrafodelista"/>
        <w:numPr>
          <w:ilvl w:val="0"/>
          <w:numId w:val="29"/>
        </w:numPr>
        <w:contextualSpacing w:val="0"/>
        <w:jc w:val="both"/>
        <w:rPr>
          <w:rFonts w:ascii="Arial" w:hAnsi="Arial" w:cs="Arial"/>
          <w:sz w:val="20"/>
          <w:szCs w:val="20"/>
        </w:rPr>
      </w:pPr>
      <w:bookmarkStart w:id="70" w:name="_Ref77153867"/>
      <w:r w:rsidRPr="00AC4AEA">
        <w:rPr>
          <w:rFonts w:ascii="Arial" w:hAnsi="Arial" w:cs="Arial"/>
          <w:sz w:val="20"/>
          <w:szCs w:val="20"/>
        </w:rPr>
        <w:t>Una entidad aplicará estas normas de manera flexible y podrá:</w:t>
      </w:r>
      <w:bookmarkEnd w:id="70"/>
    </w:p>
    <w:p w:rsidR="00C23BB1" w:rsidRPr="00AC4AEA" w:rsidRDefault="00AA732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w:t>
      </w:r>
      <w:r w:rsidR="00C23BB1" w:rsidRPr="00AC4AEA">
        <w:rPr>
          <w:rFonts w:ascii="Arial" w:hAnsi="Arial" w:cs="Arial"/>
          <w:sz w:val="20"/>
          <w:szCs w:val="20"/>
        </w:rPr>
        <w:t>dicionar o suprimir elementos de información, teniendo en cuenta su relevancia</w:t>
      </w:r>
      <w:r w:rsidRPr="00AC4AEA">
        <w:rPr>
          <w:rFonts w:ascii="Arial" w:hAnsi="Arial" w:cs="Arial"/>
          <w:sz w:val="20"/>
          <w:szCs w:val="20"/>
        </w:rPr>
        <w:t>.</w:t>
      </w:r>
    </w:p>
    <w:p w:rsidR="00C23BB1" w:rsidRPr="00AC4AEA" w:rsidRDefault="00AA732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I</w:t>
      </w:r>
      <w:r w:rsidR="00C23BB1" w:rsidRPr="00AC4AEA">
        <w:rPr>
          <w:rFonts w:ascii="Arial" w:hAnsi="Arial" w:cs="Arial"/>
          <w:sz w:val="20"/>
          <w:szCs w:val="20"/>
        </w:rPr>
        <w:t>ntroducir cambios en la denominación, apertura o agrupamiento de cuentas</w:t>
      </w:r>
      <w:r w:rsidRPr="00AC4AEA">
        <w:rPr>
          <w:rFonts w:ascii="Arial" w:hAnsi="Arial" w:cs="Arial"/>
          <w:sz w:val="20"/>
          <w:szCs w:val="20"/>
        </w:rPr>
        <w:t>.</w:t>
      </w:r>
    </w:p>
    <w:p w:rsidR="00C23BB1" w:rsidRPr="00AC4AEA" w:rsidRDefault="00AA732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U</w:t>
      </w:r>
      <w:r w:rsidR="00C23BB1" w:rsidRPr="00AC4AEA">
        <w:rPr>
          <w:rFonts w:ascii="Arial" w:hAnsi="Arial" w:cs="Arial"/>
          <w:sz w:val="20"/>
          <w:szCs w:val="20"/>
        </w:rPr>
        <w:t xml:space="preserve">tilizar paréntesis para indicar las cifras negativas, con relación al </w:t>
      </w:r>
      <w:r w:rsidR="00C23BB1" w:rsidRPr="00AC4AEA">
        <w:rPr>
          <w:rFonts w:ascii="Arial" w:hAnsi="Arial" w:cs="Arial"/>
          <w:b/>
          <w:bCs/>
          <w:sz w:val="20"/>
          <w:szCs w:val="20"/>
        </w:rPr>
        <w:t>activo</w:t>
      </w:r>
      <w:r w:rsidR="00C23BB1" w:rsidRPr="00AC4AEA">
        <w:rPr>
          <w:rFonts w:ascii="Arial" w:hAnsi="Arial" w:cs="Arial"/>
          <w:sz w:val="20"/>
          <w:szCs w:val="20"/>
        </w:rPr>
        <w:t xml:space="preserve">, </w:t>
      </w:r>
      <w:r w:rsidR="00C23BB1" w:rsidRPr="00AC4AEA">
        <w:rPr>
          <w:rFonts w:ascii="Arial" w:hAnsi="Arial" w:cs="Arial"/>
          <w:b/>
          <w:bCs/>
          <w:sz w:val="20"/>
          <w:szCs w:val="20"/>
        </w:rPr>
        <w:t>pasivo</w:t>
      </w:r>
      <w:r w:rsidR="00C23BB1" w:rsidRPr="00AC4AEA">
        <w:rPr>
          <w:rFonts w:ascii="Arial" w:hAnsi="Arial" w:cs="Arial"/>
          <w:sz w:val="20"/>
          <w:szCs w:val="20"/>
        </w:rPr>
        <w:t xml:space="preserve">, resultados, </w:t>
      </w:r>
      <w:r w:rsidR="00C23BB1" w:rsidRPr="00AC4AEA">
        <w:rPr>
          <w:rFonts w:ascii="Arial" w:hAnsi="Arial" w:cs="Arial"/>
          <w:b/>
          <w:bCs/>
          <w:sz w:val="20"/>
          <w:szCs w:val="20"/>
        </w:rPr>
        <w:t>resultados diferidos</w:t>
      </w:r>
      <w:r w:rsidR="00C23BB1" w:rsidRPr="00AC4AEA">
        <w:rPr>
          <w:rFonts w:ascii="Arial" w:hAnsi="Arial" w:cs="Arial"/>
          <w:sz w:val="20"/>
          <w:szCs w:val="20"/>
        </w:rPr>
        <w:t xml:space="preserve"> y flujos de efectivo y equivalentes de efectivo. </w:t>
      </w:r>
    </w:p>
    <w:p w:rsidR="00C23BB1" w:rsidRPr="00AC4AEA" w:rsidRDefault="00C23BB1" w:rsidP="00A318EA">
      <w:pPr>
        <w:pStyle w:val="Prrafodelista"/>
        <w:ind w:left="1080"/>
        <w:contextualSpacing w:val="0"/>
        <w:jc w:val="both"/>
        <w:rPr>
          <w:rFonts w:ascii="Arial" w:hAnsi="Arial" w:cs="Arial"/>
          <w:sz w:val="20"/>
          <w:szCs w:val="20"/>
        </w:rPr>
      </w:pPr>
    </w:p>
    <w:p w:rsidR="00C23BB1" w:rsidRPr="00AC4AEA" w:rsidRDefault="00C23BB1" w:rsidP="00A318EA">
      <w:pPr>
        <w:pStyle w:val="Ttulo3"/>
      </w:pPr>
      <w:bookmarkStart w:id="71" w:name="_Toc101863721"/>
      <w:bookmarkStart w:id="72" w:name="_Toc139356585"/>
      <w:r w:rsidRPr="00AC4AEA">
        <w:t>Referencias a la información en notas</w:t>
      </w:r>
      <w:bookmarkEnd w:id="71"/>
      <w:bookmarkEnd w:id="72"/>
    </w:p>
    <w:p w:rsidR="00C23BB1" w:rsidRPr="00AC4AEA" w:rsidRDefault="00C23BB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incluirá en cada rubro o partida de los </w:t>
      </w:r>
      <w:r w:rsidRPr="00AC4AEA">
        <w:rPr>
          <w:rFonts w:ascii="Arial" w:hAnsi="Arial" w:cs="Arial"/>
          <w:b/>
          <w:bCs/>
          <w:sz w:val="20"/>
          <w:szCs w:val="20"/>
        </w:rPr>
        <w:t>estados contables</w:t>
      </w:r>
      <w:r w:rsidRPr="00AC4AEA">
        <w:rPr>
          <w:rFonts w:ascii="Arial" w:hAnsi="Arial" w:cs="Arial"/>
          <w:sz w:val="20"/>
          <w:szCs w:val="20"/>
        </w:rPr>
        <w:t xml:space="preserve"> una referencia que permita identificar la nota u otra información vinculada con dicho rubro o partida.</w:t>
      </w:r>
    </w:p>
    <w:p w:rsidR="00A16A95" w:rsidRPr="00AC4AEA" w:rsidDel="009C5CB5" w:rsidRDefault="00A16A95" w:rsidP="00A318EA">
      <w:pPr>
        <w:pStyle w:val="Prrafodelista"/>
        <w:ind w:left="1080"/>
        <w:contextualSpacing w:val="0"/>
        <w:jc w:val="both"/>
        <w:rPr>
          <w:rFonts w:ascii="Arial" w:hAnsi="Arial" w:cs="Arial"/>
          <w:sz w:val="20"/>
          <w:szCs w:val="20"/>
        </w:rPr>
      </w:pPr>
    </w:p>
    <w:p w:rsidR="001043B8" w:rsidRPr="00AC4AEA" w:rsidRDefault="00D6558A" w:rsidP="00A318EA">
      <w:pPr>
        <w:pStyle w:val="Ttulo3"/>
      </w:pPr>
      <w:bookmarkStart w:id="73" w:name="_Toc101863718"/>
      <w:bookmarkStart w:id="74" w:name="_Toc139356586"/>
      <w:r w:rsidRPr="00AC4AEA">
        <w:t>Información comparativa</w:t>
      </w:r>
      <w:bookmarkEnd w:id="73"/>
      <w:bookmarkEnd w:id="74"/>
      <w:r w:rsidRPr="00AC4AEA">
        <w:t> </w:t>
      </w:r>
    </w:p>
    <w:p w:rsidR="001043B8" w:rsidRPr="00AC4AEA" w:rsidRDefault="00D6558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presentará l</w:t>
      </w:r>
      <w:r w:rsidR="001043B8" w:rsidRPr="00AC4AEA">
        <w:rPr>
          <w:rFonts w:ascii="Arial" w:hAnsi="Arial" w:cs="Arial"/>
          <w:sz w:val="20"/>
          <w:szCs w:val="20"/>
        </w:rPr>
        <w:t xml:space="preserve">os importes de los </w:t>
      </w:r>
      <w:r w:rsidR="00135084" w:rsidRPr="00AC4AEA">
        <w:rPr>
          <w:rFonts w:ascii="Arial" w:hAnsi="Arial" w:cs="Arial"/>
          <w:b/>
          <w:bCs/>
          <w:sz w:val="20"/>
          <w:szCs w:val="20"/>
        </w:rPr>
        <w:t>estados contables</w:t>
      </w:r>
      <w:r w:rsidR="00C731E3" w:rsidRPr="00AC4AEA">
        <w:rPr>
          <w:rFonts w:ascii="Arial" w:hAnsi="Arial" w:cs="Arial"/>
          <w:sz w:val="20"/>
          <w:szCs w:val="20"/>
        </w:rPr>
        <w:t xml:space="preserve"> en</w:t>
      </w:r>
      <w:r w:rsidR="00E80BF8" w:rsidRPr="00AC4AEA">
        <w:rPr>
          <w:rFonts w:ascii="Arial" w:hAnsi="Arial" w:cs="Arial"/>
          <w:sz w:val="20"/>
          <w:szCs w:val="20"/>
        </w:rPr>
        <w:t>, por lo menos,</w:t>
      </w:r>
      <w:r w:rsidR="00C731E3" w:rsidRPr="00AC4AEA">
        <w:rPr>
          <w:rFonts w:ascii="Arial" w:hAnsi="Arial" w:cs="Arial"/>
          <w:sz w:val="20"/>
          <w:szCs w:val="20"/>
        </w:rPr>
        <w:t xml:space="preserve"> dos columnas</w:t>
      </w:r>
      <w:r w:rsidR="001043B8" w:rsidRPr="00AC4AEA">
        <w:rPr>
          <w:rFonts w:ascii="Arial" w:hAnsi="Arial" w:cs="Arial"/>
          <w:sz w:val="20"/>
          <w:szCs w:val="20"/>
        </w:rPr>
        <w:t>.</w:t>
      </w:r>
      <w:r w:rsidR="008C0008" w:rsidRPr="00AC4AEA" w:rsidDel="008C0008">
        <w:rPr>
          <w:rFonts w:ascii="Arial" w:hAnsi="Arial" w:cs="Arial"/>
          <w:sz w:val="20"/>
          <w:szCs w:val="20"/>
        </w:rPr>
        <w:t xml:space="preserve"> </w:t>
      </w:r>
    </w:p>
    <w:p w:rsidR="001043B8" w:rsidRPr="00AC4AEA" w:rsidRDefault="00D6558A" w:rsidP="00A318EA">
      <w:pPr>
        <w:pStyle w:val="Prrafodelista"/>
        <w:numPr>
          <w:ilvl w:val="0"/>
          <w:numId w:val="29"/>
        </w:numPr>
        <w:contextualSpacing w:val="0"/>
        <w:jc w:val="both"/>
        <w:rPr>
          <w:rFonts w:ascii="Arial" w:hAnsi="Arial" w:cs="Arial"/>
          <w:sz w:val="20"/>
          <w:szCs w:val="20"/>
        </w:rPr>
      </w:pPr>
      <w:bookmarkStart w:id="75" w:name="_Ref75791737"/>
      <w:r w:rsidRPr="00AC4AEA">
        <w:rPr>
          <w:rFonts w:ascii="Arial" w:hAnsi="Arial" w:cs="Arial"/>
          <w:sz w:val="20"/>
          <w:szCs w:val="20"/>
        </w:rPr>
        <w:t>Una entidad presentará e</w:t>
      </w:r>
      <w:r w:rsidR="001043B8" w:rsidRPr="00AC4AEA">
        <w:rPr>
          <w:rFonts w:ascii="Arial" w:hAnsi="Arial" w:cs="Arial"/>
          <w:sz w:val="20"/>
          <w:szCs w:val="20"/>
        </w:rPr>
        <w:t>n la primer</w:t>
      </w:r>
      <w:r w:rsidR="00B80CAB" w:rsidRPr="00AC4AEA">
        <w:rPr>
          <w:rFonts w:ascii="Arial" w:hAnsi="Arial" w:cs="Arial"/>
          <w:sz w:val="20"/>
          <w:szCs w:val="20"/>
        </w:rPr>
        <w:t>a</w:t>
      </w:r>
      <w:r w:rsidRPr="00AC4AEA">
        <w:rPr>
          <w:rFonts w:ascii="Arial" w:hAnsi="Arial" w:cs="Arial"/>
          <w:sz w:val="20"/>
          <w:szCs w:val="20"/>
        </w:rPr>
        <w:t xml:space="preserve"> columna </w:t>
      </w:r>
      <w:r w:rsidR="001043B8" w:rsidRPr="00AC4AEA">
        <w:rPr>
          <w:rFonts w:ascii="Arial" w:hAnsi="Arial" w:cs="Arial"/>
          <w:sz w:val="20"/>
          <w:szCs w:val="20"/>
        </w:rPr>
        <w:t>los datos del período actual</w:t>
      </w:r>
      <w:r w:rsidR="00B80CAB" w:rsidRPr="00AC4AEA">
        <w:rPr>
          <w:rFonts w:ascii="Arial" w:hAnsi="Arial" w:cs="Arial"/>
          <w:sz w:val="20"/>
          <w:szCs w:val="20"/>
        </w:rPr>
        <w:t>,</w:t>
      </w:r>
      <w:r w:rsidR="001043B8" w:rsidRPr="00AC4AEA">
        <w:rPr>
          <w:rFonts w:ascii="Arial" w:hAnsi="Arial" w:cs="Arial"/>
          <w:sz w:val="20"/>
          <w:szCs w:val="20"/>
        </w:rPr>
        <w:t xml:space="preserve"> y en la segunda</w:t>
      </w:r>
      <w:r w:rsidR="00B80CAB" w:rsidRPr="00AC4AEA">
        <w:rPr>
          <w:rFonts w:ascii="Arial" w:hAnsi="Arial" w:cs="Arial"/>
          <w:sz w:val="20"/>
          <w:szCs w:val="20"/>
        </w:rPr>
        <w:t>,</w:t>
      </w:r>
      <w:r w:rsidR="001043B8" w:rsidRPr="00AC4AEA">
        <w:rPr>
          <w:rFonts w:ascii="Arial" w:hAnsi="Arial" w:cs="Arial"/>
          <w:sz w:val="20"/>
          <w:szCs w:val="20"/>
        </w:rPr>
        <w:t xml:space="preserve"> la información comparativa</w:t>
      </w:r>
      <w:r w:rsidR="005E1D49" w:rsidRPr="00AC4AEA">
        <w:rPr>
          <w:rFonts w:ascii="Arial" w:hAnsi="Arial" w:cs="Arial"/>
          <w:sz w:val="20"/>
          <w:szCs w:val="20"/>
        </w:rPr>
        <w:t xml:space="preserve"> referida a continuación</w:t>
      </w:r>
      <w:r w:rsidR="001043B8" w:rsidRPr="00AC4AEA">
        <w:rPr>
          <w:rFonts w:ascii="Arial" w:hAnsi="Arial" w:cs="Arial"/>
          <w:sz w:val="20"/>
          <w:szCs w:val="20"/>
        </w:rPr>
        <w:t>:</w:t>
      </w:r>
      <w:bookmarkEnd w:id="75"/>
      <w:r w:rsidR="001043B8" w:rsidRPr="00AC4AEA">
        <w:rPr>
          <w:rFonts w:ascii="Arial" w:hAnsi="Arial" w:cs="Arial"/>
          <w:sz w:val="20"/>
          <w:szCs w:val="20"/>
        </w:rPr>
        <w:t> </w:t>
      </w:r>
    </w:p>
    <w:p w:rsidR="001043B8" w:rsidRPr="00AC4AEA" w:rsidRDefault="00EF26B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w:t>
      </w:r>
      <w:r w:rsidR="001043B8" w:rsidRPr="00AC4AEA">
        <w:rPr>
          <w:rFonts w:ascii="Arial" w:hAnsi="Arial" w:cs="Arial"/>
          <w:sz w:val="20"/>
          <w:szCs w:val="20"/>
        </w:rPr>
        <w:t xml:space="preserve">uando se trate de ejercicios completos, la </w:t>
      </w:r>
      <w:r w:rsidR="00EC1893" w:rsidRPr="00AC4AEA">
        <w:rPr>
          <w:rFonts w:ascii="Arial" w:hAnsi="Arial" w:cs="Arial"/>
          <w:sz w:val="20"/>
          <w:szCs w:val="20"/>
        </w:rPr>
        <w:t>del</w:t>
      </w:r>
      <w:r w:rsidR="001043B8" w:rsidRPr="00AC4AEA">
        <w:rPr>
          <w:rFonts w:ascii="Arial" w:hAnsi="Arial" w:cs="Arial"/>
          <w:sz w:val="20"/>
          <w:szCs w:val="20"/>
        </w:rPr>
        <w:t xml:space="preserve"> ejercicio precedente</w:t>
      </w:r>
      <w:r w:rsidR="00F4017F" w:rsidRPr="00AC4AEA">
        <w:rPr>
          <w:rFonts w:ascii="Arial" w:hAnsi="Arial" w:cs="Arial"/>
          <w:sz w:val="20"/>
          <w:szCs w:val="20"/>
        </w:rPr>
        <w:t>. </w:t>
      </w:r>
    </w:p>
    <w:p w:rsidR="001043B8" w:rsidRPr="00AC4AEA" w:rsidRDefault="00EF26B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C</w:t>
      </w:r>
      <w:r w:rsidR="001043B8" w:rsidRPr="00AC4AEA">
        <w:rPr>
          <w:rFonts w:ascii="Arial" w:hAnsi="Arial" w:cs="Arial"/>
          <w:sz w:val="20"/>
          <w:szCs w:val="20"/>
        </w:rPr>
        <w:t>uando se trate de períodos intermedios</w:t>
      </w:r>
      <w:r w:rsidR="00E0585D" w:rsidRPr="00AC4AEA">
        <w:rPr>
          <w:rFonts w:ascii="Arial" w:hAnsi="Arial" w:cs="Arial"/>
          <w:sz w:val="20"/>
          <w:szCs w:val="20"/>
        </w:rPr>
        <w:t>:</w:t>
      </w:r>
    </w:p>
    <w:p w:rsidR="00D6558A" w:rsidRPr="00AC4AEA" w:rsidRDefault="00F4017F"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la </w:t>
      </w:r>
      <w:r w:rsidR="00E0585D" w:rsidRPr="00AC4AEA">
        <w:rPr>
          <w:rFonts w:ascii="Arial" w:hAnsi="Arial" w:cs="Arial"/>
          <w:sz w:val="20"/>
          <w:szCs w:val="20"/>
        </w:rPr>
        <w:t>información comparativa d</w:t>
      </w:r>
      <w:r w:rsidR="001043B8" w:rsidRPr="00AC4AEA">
        <w:rPr>
          <w:rFonts w:ascii="Arial" w:hAnsi="Arial" w:cs="Arial"/>
          <w:sz w:val="20"/>
          <w:szCs w:val="20"/>
        </w:rPr>
        <w:t>el estado de situación patrimonial será la correspondiente a la fecha de cierre del ejercicio completo precedente</w:t>
      </w:r>
      <w:r w:rsidRPr="00AC4AEA">
        <w:rPr>
          <w:rFonts w:ascii="Arial" w:hAnsi="Arial" w:cs="Arial"/>
          <w:sz w:val="20"/>
          <w:szCs w:val="20"/>
        </w:rPr>
        <w:t>;</w:t>
      </w:r>
      <w:r w:rsidR="009067BA" w:rsidRPr="00AC4AEA">
        <w:rPr>
          <w:rFonts w:ascii="Arial" w:hAnsi="Arial" w:cs="Arial"/>
          <w:sz w:val="20"/>
          <w:szCs w:val="20"/>
        </w:rPr>
        <w:t xml:space="preserve"> y</w:t>
      </w:r>
    </w:p>
    <w:p w:rsidR="001043B8" w:rsidRPr="00AC4AEA" w:rsidRDefault="00F4017F"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la </w:t>
      </w:r>
      <w:r w:rsidR="00E0585D" w:rsidRPr="00AC4AEA">
        <w:rPr>
          <w:rFonts w:ascii="Arial" w:hAnsi="Arial" w:cs="Arial"/>
          <w:sz w:val="20"/>
          <w:szCs w:val="20"/>
        </w:rPr>
        <w:t>información comparativa de</w:t>
      </w:r>
      <w:r w:rsidR="001043B8" w:rsidRPr="00AC4AEA">
        <w:rPr>
          <w:rFonts w:ascii="Arial" w:hAnsi="Arial" w:cs="Arial"/>
          <w:sz w:val="20"/>
          <w:szCs w:val="20"/>
        </w:rPr>
        <w:t xml:space="preserve"> los estados de resultados (o de recursos y gastos), de evolución del </w:t>
      </w:r>
      <w:r w:rsidR="001043B8" w:rsidRPr="00AC4AEA">
        <w:rPr>
          <w:rFonts w:ascii="Arial" w:hAnsi="Arial" w:cs="Arial"/>
          <w:b/>
          <w:bCs/>
          <w:sz w:val="20"/>
          <w:szCs w:val="20"/>
        </w:rPr>
        <w:t>patrimonio neto</w:t>
      </w:r>
      <w:r w:rsidR="001043B8" w:rsidRPr="00AC4AEA">
        <w:rPr>
          <w:rFonts w:ascii="Arial" w:hAnsi="Arial" w:cs="Arial"/>
          <w:sz w:val="20"/>
          <w:szCs w:val="20"/>
        </w:rPr>
        <w:t xml:space="preserve"> y de flujo</w:t>
      </w:r>
      <w:r w:rsidR="00EF26B5" w:rsidRPr="00AC4AEA">
        <w:rPr>
          <w:rFonts w:ascii="Arial" w:hAnsi="Arial" w:cs="Arial"/>
          <w:sz w:val="20"/>
          <w:szCs w:val="20"/>
        </w:rPr>
        <w:t>s</w:t>
      </w:r>
      <w:r w:rsidR="001043B8" w:rsidRPr="00AC4AEA">
        <w:rPr>
          <w:rFonts w:ascii="Arial" w:hAnsi="Arial" w:cs="Arial"/>
          <w:sz w:val="20"/>
          <w:szCs w:val="20"/>
        </w:rPr>
        <w:t xml:space="preserve"> de efectivo será</w:t>
      </w:r>
      <w:r w:rsidR="00E0585D" w:rsidRPr="00AC4AEA">
        <w:rPr>
          <w:rFonts w:ascii="Arial" w:hAnsi="Arial" w:cs="Arial"/>
          <w:sz w:val="20"/>
          <w:szCs w:val="20"/>
        </w:rPr>
        <w:t xml:space="preserve"> la </w:t>
      </w:r>
      <w:r w:rsidR="002847BB" w:rsidRPr="00AC4AEA">
        <w:rPr>
          <w:rFonts w:ascii="Arial" w:hAnsi="Arial" w:cs="Arial"/>
          <w:sz w:val="20"/>
          <w:szCs w:val="20"/>
        </w:rPr>
        <w:t>del</w:t>
      </w:r>
      <w:r w:rsidR="001043B8" w:rsidRPr="00AC4AEA">
        <w:rPr>
          <w:rFonts w:ascii="Arial" w:hAnsi="Arial" w:cs="Arial"/>
          <w:sz w:val="20"/>
          <w:szCs w:val="20"/>
        </w:rPr>
        <w:t xml:space="preserve"> período equivalente del ejercicio precedente. </w:t>
      </w:r>
    </w:p>
    <w:p w:rsidR="001043B8" w:rsidRPr="00AC4AEA" w:rsidRDefault="001043B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w:t>
      </w:r>
      <w:r w:rsidR="00EF26B5" w:rsidRPr="00AC4AEA">
        <w:rPr>
          <w:rFonts w:ascii="Arial" w:hAnsi="Arial" w:cs="Arial"/>
          <w:sz w:val="20"/>
          <w:szCs w:val="20"/>
        </w:rPr>
        <w:t>negocios</w:t>
      </w:r>
      <w:r w:rsidR="00E969B1" w:rsidRPr="00AC4AEA">
        <w:rPr>
          <w:rFonts w:ascii="Arial" w:hAnsi="Arial" w:cs="Arial"/>
          <w:sz w:val="20"/>
          <w:szCs w:val="20"/>
        </w:rPr>
        <w:t xml:space="preserve"> o actividades</w:t>
      </w:r>
      <w:r w:rsidR="00EF26B5" w:rsidRPr="00AC4AEA">
        <w:rPr>
          <w:rFonts w:ascii="Arial" w:hAnsi="Arial" w:cs="Arial"/>
          <w:sz w:val="20"/>
          <w:szCs w:val="20"/>
        </w:rPr>
        <w:t xml:space="preserve"> caracterizad</w:t>
      </w:r>
      <w:r w:rsidR="00E969B1" w:rsidRPr="00AC4AEA">
        <w:rPr>
          <w:rFonts w:ascii="Arial" w:hAnsi="Arial" w:cs="Arial"/>
          <w:sz w:val="20"/>
          <w:szCs w:val="20"/>
        </w:rPr>
        <w:t>a</w:t>
      </w:r>
      <w:r w:rsidR="00EF26B5" w:rsidRPr="00AC4AEA">
        <w:rPr>
          <w:rFonts w:ascii="Arial" w:hAnsi="Arial" w:cs="Arial"/>
          <w:sz w:val="20"/>
          <w:szCs w:val="20"/>
        </w:rPr>
        <w:t>s por estacionalidad</w:t>
      </w:r>
      <w:r w:rsidRPr="00AC4AEA">
        <w:rPr>
          <w:rFonts w:ascii="Arial" w:hAnsi="Arial" w:cs="Arial"/>
          <w:sz w:val="20"/>
          <w:szCs w:val="20"/>
        </w:rPr>
        <w:t xml:space="preserve">, </w:t>
      </w:r>
      <w:r w:rsidR="00E82B92" w:rsidRPr="00AC4AEA">
        <w:rPr>
          <w:rFonts w:ascii="Arial" w:hAnsi="Arial" w:cs="Arial"/>
          <w:sz w:val="20"/>
          <w:szCs w:val="20"/>
        </w:rPr>
        <w:t xml:space="preserve">una entidad presentará </w:t>
      </w:r>
      <w:r w:rsidRPr="00AC4AEA">
        <w:rPr>
          <w:rFonts w:ascii="Arial" w:hAnsi="Arial" w:cs="Arial"/>
          <w:sz w:val="20"/>
          <w:szCs w:val="20"/>
        </w:rPr>
        <w:t xml:space="preserve">en el estado de situación patrimonial </w:t>
      </w:r>
      <w:r w:rsidR="00903E3A" w:rsidRPr="00AC4AEA">
        <w:rPr>
          <w:rFonts w:ascii="Arial" w:hAnsi="Arial" w:cs="Arial"/>
          <w:sz w:val="20"/>
          <w:szCs w:val="20"/>
        </w:rPr>
        <w:t xml:space="preserve">de períodos intermedios </w:t>
      </w:r>
      <w:r w:rsidRPr="00AC4AEA">
        <w:rPr>
          <w:rFonts w:ascii="Arial" w:hAnsi="Arial" w:cs="Arial"/>
          <w:sz w:val="20"/>
          <w:szCs w:val="20"/>
        </w:rPr>
        <w:t>una tercer</w:t>
      </w:r>
      <w:r w:rsidR="00B7383A" w:rsidRPr="00AC4AEA">
        <w:rPr>
          <w:rFonts w:ascii="Arial" w:hAnsi="Arial" w:cs="Arial"/>
          <w:sz w:val="20"/>
          <w:szCs w:val="20"/>
        </w:rPr>
        <w:t>a</w:t>
      </w:r>
      <w:r w:rsidRPr="00AC4AEA">
        <w:rPr>
          <w:rFonts w:ascii="Arial" w:hAnsi="Arial" w:cs="Arial"/>
          <w:sz w:val="20"/>
          <w:szCs w:val="20"/>
        </w:rPr>
        <w:t xml:space="preserve"> columna o una nota</w:t>
      </w:r>
      <w:r w:rsidR="004B1305" w:rsidRPr="00AC4AEA">
        <w:rPr>
          <w:rFonts w:ascii="Arial" w:hAnsi="Arial" w:cs="Arial"/>
          <w:sz w:val="20"/>
          <w:szCs w:val="20"/>
        </w:rPr>
        <w:t xml:space="preserve"> con </w:t>
      </w:r>
      <w:r w:rsidRPr="00AC4AEA">
        <w:rPr>
          <w:rFonts w:ascii="Arial" w:hAnsi="Arial" w:cs="Arial"/>
          <w:sz w:val="20"/>
          <w:szCs w:val="20"/>
        </w:rPr>
        <w:t xml:space="preserve">los datos correspondientes a la misma fecha del </w:t>
      </w:r>
      <w:r w:rsidR="00D35D64" w:rsidRPr="00AC4AEA">
        <w:rPr>
          <w:rFonts w:ascii="Arial" w:hAnsi="Arial" w:cs="Arial"/>
          <w:sz w:val="20"/>
          <w:szCs w:val="20"/>
        </w:rPr>
        <w:t>ejercicio</w:t>
      </w:r>
      <w:r w:rsidRPr="00AC4AEA">
        <w:rPr>
          <w:rFonts w:ascii="Arial" w:hAnsi="Arial" w:cs="Arial"/>
          <w:sz w:val="20"/>
          <w:szCs w:val="20"/>
        </w:rPr>
        <w:t xml:space="preserve"> precedente. </w:t>
      </w:r>
    </w:p>
    <w:p w:rsidR="002D5B71" w:rsidRPr="00AC4AEA" w:rsidRDefault="00C731E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w:t>
      </w:r>
      <w:r w:rsidR="002D5B71" w:rsidRPr="00AC4AEA">
        <w:rPr>
          <w:rFonts w:ascii="Arial" w:hAnsi="Arial" w:cs="Arial"/>
          <w:sz w:val="20"/>
          <w:szCs w:val="20"/>
        </w:rPr>
        <w:t>:</w:t>
      </w:r>
      <w:r w:rsidRPr="00AC4AEA">
        <w:rPr>
          <w:rFonts w:ascii="Arial" w:hAnsi="Arial" w:cs="Arial"/>
          <w:sz w:val="20"/>
          <w:szCs w:val="20"/>
        </w:rPr>
        <w:t xml:space="preserve"> </w:t>
      </w:r>
    </w:p>
    <w:p w:rsidR="008546A3" w:rsidRPr="00AC4AEA" w:rsidRDefault="00B3102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w:t>
      </w:r>
      <w:r w:rsidR="006E044F" w:rsidRPr="00AC4AEA">
        <w:rPr>
          <w:rFonts w:ascii="Arial" w:hAnsi="Arial" w:cs="Arial"/>
          <w:sz w:val="20"/>
          <w:szCs w:val="20"/>
        </w:rPr>
        <w:t>resentará</w:t>
      </w:r>
      <w:r w:rsidR="00187336" w:rsidRPr="00AC4AEA">
        <w:rPr>
          <w:rFonts w:ascii="Arial" w:hAnsi="Arial" w:cs="Arial"/>
          <w:sz w:val="20"/>
          <w:szCs w:val="20"/>
        </w:rPr>
        <w:t xml:space="preserve">, con los mismos criterios utilizados para preparar la información del período actual, </w:t>
      </w:r>
      <w:r w:rsidR="008546A3" w:rsidRPr="00AC4AEA">
        <w:rPr>
          <w:rFonts w:ascii="Arial" w:hAnsi="Arial" w:cs="Arial"/>
          <w:sz w:val="20"/>
          <w:szCs w:val="20"/>
        </w:rPr>
        <w:t xml:space="preserve">toda la información comparativa que sea relevante para los </w:t>
      </w:r>
      <w:r w:rsidR="008546A3" w:rsidRPr="002339BE">
        <w:rPr>
          <w:rFonts w:ascii="Arial" w:hAnsi="Arial" w:cs="Arial"/>
          <w:b/>
          <w:bCs/>
          <w:sz w:val="20"/>
          <w:szCs w:val="20"/>
        </w:rPr>
        <w:t>usuarios</w:t>
      </w:r>
      <w:r w:rsidR="00D35D64" w:rsidRPr="00AC4AEA">
        <w:rPr>
          <w:rFonts w:ascii="Arial" w:hAnsi="Arial" w:cs="Arial"/>
          <w:sz w:val="20"/>
          <w:szCs w:val="20"/>
        </w:rPr>
        <w:t xml:space="preserve">, excepto cuando esta Resolución Técnica u </w:t>
      </w:r>
      <w:r w:rsidR="00D35D64" w:rsidRPr="00AC4AEA">
        <w:rPr>
          <w:rFonts w:ascii="Arial" w:hAnsi="Arial" w:cs="Arial"/>
          <w:b/>
          <w:bCs/>
          <w:sz w:val="20"/>
          <w:szCs w:val="20"/>
        </w:rPr>
        <w:t>otras normas contables</w:t>
      </w:r>
      <w:r w:rsidR="00D35D64" w:rsidRPr="00AC4AEA">
        <w:rPr>
          <w:rFonts w:ascii="Arial" w:hAnsi="Arial" w:cs="Arial"/>
          <w:sz w:val="20"/>
          <w:szCs w:val="20"/>
        </w:rPr>
        <w:t xml:space="preserve"> permitan o requieran la utilización de un criterio diferente</w:t>
      </w:r>
      <w:r w:rsidRPr="00AC4AEA">
        <w:rPr>
          <w:rFonts w:ascii="Arial" w:hAnsi="Arial" w:cs="Arial"/>
          <w:sz w:val="20"/>
          <w:szCs w:val="20"/>
        </w:rPr>
        <w:t>.</w:t>
      </w:r>
    </w:p>
    <w:p w:rsidR="00BC46B4" w:rsidRPr="00AC4AEA" w:rsidRDefault="00B3102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N</w:t>
      </w:r>
      <w:r w:rsidR="00F4017F" w:rsidRPr="00AC4AEA">
        <w:rPr>
          <w:rFonts w:ascii="Arial" w:hAnsi="Arial" w:cs="Arial"/>
          <w:sz w:val="20"/>
          <w:szCs w:val="20"/>
        </w:rPr>
        <w:t xml:space="preserve">o </w:t>
      </w:r>
      <w:r w:rsidR="00492CA5" w:rsidRPr="00AC4AEA">
        <w:rPr>
          <w:rFonts w:ascii="Arial" w:hAnsi="Arial" w:cs="Arial"/>
          <w:sz w:val="20"/>
          <w:szCs w:val="20"/>
        </w:rPr>
        <w:t xml:space="preserve">presentará </w:t>
      </w:r>
      <w:r w:rsidR="001043B8" w:rsidRPr="00AC4AEA">
        <w:rPr>
          <w:rFonts w:ascii="Arial" w:hAnsi="Arial" w:cs="Arial"/>
          <w:sz w:val="20"/>
          <w:szCs w:val="20"/>
        </w:rPr>
        <w:t>información comparativa cuando</w:t>
      </w:r>
      <w:r w:rsidR="00BC46B4" w:rsidRPr="00AC4AEA">
        <w:rPr>
          <w:rFonts w:ascii="Arial" w:hAnsi="Arial" w:cs="Arial"/>
          <w:sz w:val="20"/>
          <w:szCs w:val="20"/>
        </w:rPr>
        <w:t>:</w:t>
      </w:r>
    </w:p>
    <w:p w:rsidR="001043B8" w:rsidRPr="00AC4AEA" w:rsidRDefault="001043B8"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no </w:t>
      </w:r>
      <w:r w:rsidR="00F16AC7" w:rsidRPr="00AC4AEA">
        <w:rPr>
          <w:rFonts w:ascii="Arial" w:hAnsi="Arial" w:cs="Arial"/>
          <w:sz w:val="20"/>
          <w:szCs w:val="20"/>
        </w:rPr>
        <w:t>haya tenido</w:t>
      </w:r>
      <w:r w:rsidR="00DE4613" w:rsidRPr="00AC4AEA">
        <w:rPr>
          <w:rFonts w:ascii="Arial" w:hAnsi="Arial" w:cs="Arial"/>
          <w:sz w:val="20"/>
          <w:szCs w:val="20"/>
        </w:rPr>
        <w:t xml:space="preserve"> obligación de </w:t>
      </w:r>
      <w:r w:rsidR="005E1D49" w:rsidRPr="00AC4AEA">
        <w:rPr>
          <w:rFonts w:ascii="Arial" w:hAnsi="Arial" w:cs="Arial"/>
          <w:sz w:val="20"/>
          <w:szCs w:val="20"/>
        </w:rPr>
        <w:t>emitir</w:t>
      </w:r>
      <w:r w:rsidRPr="00AC4AEA">
        <w:rPr>
          <w:rFonts w:ascii="Arial" w:hAnsi="Arial" w:cs="Arial"/>
          <w:sz w:val="20"/>
          <w:szCs w:val="20"/>
        </w:rPr>
        <w:t xml:space="preserve"> el estado </w:t>
      </w:r>
      <w:r w:rsidR="00DD001F" w:rsidRPr="00AC4AEA">
        <w:rPr>
          <w:rFonts w:ascii="Arial" w:hAnsi="Arial" w:cs="Arial"/>
          <w:sz w:val="20"/>
          <w:szCs w:val="20"/>
        </w:rPr>
        <w:t xml:space="preserve">contable </w:t>
      </w:r>
      <w:r w:rsidR="00E0585D" w:rsidRPr="00AC4AEA">
        <w:rPr>
          <w:rFonts w:ascii="Arial" w:hAnsi="Arial" w:cs="Arial"/>
          <w:sz w:val="20"/>
          <w:szCs w:val="20"/>
        </w:rPr>
        <w:t>de</w:t>
      </w:r>
      <w:r w:rsidR="005E1D49" w:rsidRPr="00AC4AEA">
        <w:rPr>
          <w:rFonts w:ascii="Arial" w:hAnsi="Arial" w:cs="Arial"/>
          <w:sz w:val="20"/>
          <w:szCs w:val="20"/>
        </w:rPr>
        <w:t xml:space="preserve">l período con el cual se </w:t>
      </w:r>
      <w:r w:rsidR="00E0585D" w:rsidRPr="00AC4AEA">
        <w:rPr>
          <w:rFonts w:ascii="Arial" w:hAnsi="Arial" w:cs="Arial"/>
          <w:sz w:val="20"/>
          <w:szCs w:val="20"/>
        </w:rPr>
        <w:t xml:space="preserve">exige </w:t>
      </w:r>
      <w:r w:rsidR="005E1D49" w:rsidRPr="00AC4AEA">
        <w:rPr>
          <w:rFonts w:ascii="Arial" w:hAnsi="Arial" w:cs="Arial"/>
          <w:sz w:val="20"/>
          <w:szCs w:val="20"/>
        </w:rPr>
        <w:t>la comparación</w:t>
      </w:r>
      <w:r w:rsidR="00BC46B4" w:rsidRPr="00AC4AEA">
        <w:rPr>
          <w:rFonts w:ascii="Arial" w:hAnsi="Arial" w:cs="Arial"/>
          <w:sz w:val="20"/>
          <w:szCs w:val="20"/>
        </w:rPr>
        <w:t xml:space="preserve">; </w:t>
      </w:r>
      <w:r w:rsidR="00572016" w:rsidRPr="00AC4AEA">
        <w:rPr>
          <w:rFonts w:ascii="Arial" w:hAnsi="Arial" w:cs="Arial"/>
          <w:sz w:val="20"/>
          <w:szCs w:val="20"/>
        </w:rPr>
        <w:t>o</w:t>
      </w:r>
    </w:p>
    <w:p w:rsidR="00BC46B4" w:rsidRPr="00AC4AEA" w:rsidRDefault="00BC46B4"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esta Resolución Técnica </w:t>
      </w:r>
      <w:r w:rsidR="00135084" w:rsidRPr="00AC4AEA">
        <w:rPr>
          <w:rFonts w:ascii="Arial" w:hAnsi="Arial" w:cs="Arial"/>
          <w:sz w:val="20"/>
          <w:szCs w:val="20"/>
        </w:rPr>
        <w:t>u</w:t>
      </w:r>
      <w:r w:rsidRPr="00AC4AEA">
        <w:rPr>
          <w:rFonts w:ascii="Arial" w:hAnsi="Arial" w:cs="Arial"/>
          <w:sz w:val="20"/>
          <w:szCs w:val="20"/>
        </w:rPr>
        <w:t xml:space="preserve"> </w:t>
      </w:r>
      <w:r w:rsidRPr="00AC4AEA">
        <w:rPr>
          <w:rFonts w:ascii="Arial" w:hAnsi="Arial" w:cs="Arial"/>
          <w:b/>
          <w:bCs/>
          <w:sz w:val="20"/>
          <w:szCs w:val="20"/>
        </w:rPr>
        <w:t xml:space="preserve">otras normas contables </w:t>
      </w:r>
      <w:r w:rsidR="004D60C9" w:rsidRPr="00AC4AEA">
        <w:rPr>
          <w:rFonts w:ascii="Arial" w:hAnsi="Arial" w:cs="Arial"/>
          <w:sz w:val="20"/>
          <w:szCs w:val="20"/>
        </w:rPr>
        <w:t>la dispensen de ello.</w:t>
      </w:r>
    </w:p>
    <w:p w:rsidR="001043B8" w:rsidRPr="00AC4AEA" w:rsidRDefault="0044003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preparará y expondrá l</w:t>
      </w:r>
      <w:r w:rsidR="001043B8" w:rsidRPr="00AC4AEA">
        <w:rPr>
          <w:rFonts w:ascii="Arial" w:hAnsi="Arial" w:cs="Arial"/>
          <w:sz w:val="20"/>
          <w:szCs w:val="20"/>
        </w:rPr>
        <w:t>os datos de períodos anteriores</w:t>
      </w:r>
      <w:r w:rsidRPr="00AC4AEA">
        <w:rPr>
          <w:rFonts w:ascii="Arial" w:hAnsi="Arial" w:cs="Arial"/>
          <w:sz w:val="20"/>
          <w:szCs w:val="20"/>
        </w:rPr>
        <w:t xml:space="preserve"> </w:t>
      </w:r>
      <w:r w:rsidR="001043B8" w:rsidRPr="00AC4AEA">
        <w:rPr>
          <w:rFonts w:ascii="Arial" w:hAnsi="Arial" w:cs="Arial"/>
          <w:sz w:val="20"/>
          <w:szCs w:val="20"/>
        </w:rPr>
        <w:t xml:space="preserve">aplicando </w:t>
      </w:r>
      <w:r w:rsidR="00903E3A" w:rsidRPr="00AC4AEA">
        <w:rPr>
          <w:rFonts w:ascii="Arial" w:hAnsi="Arial" w:cs="Arial"/>
          <w:sz w:val="20"/>
          <w:szCs w:val="20"/>
        </w:rPr>
        <w:t xml:space="preserve">las mismas </w:t>
      </w:r>
      <w:r w:rsidR="00135084" w:rsidRPr="00AC4AEA">
        <w:rPr>
          <w:rFonts w:ascii="Arial" w:hAnsi="Arial" w:cs="Arial"/>
          <w:b/>
          <w:bCs/>
          <w:sz w:val="20"/>
          <w:szCs w:val="20"/>
        </w:rPr>
        <w:t>políticas contables</w:t>
      </w:r>
      <w:r w:rsidR="001043B8" w:rsidRPr="00AC4AEA">
        <w:rPr>
          <w:rFonts w:ascii="Arial" w:hAnsi="Arial" w:cs="Arial"/>
          <w:sz w:val="20"/>
          <w:szCs w:val="20"/>
        </w:rPr>
        <w:t xml:space="preserve"> de medición, unidad de medida</w:t>
      </w:r>
      <w:r w:rsidR="004B1305" w:rsidRPr="00AC4AEA">
        <w:rPr>
          <w:rFonts w:ascii="Arial" w:hAnsi="Arial" w:cs="Arial"/>
          <w:sz w:val="20"/>
          <w:szCs w:val="20"/>
        </w:rPr>
        <w:t>,</w:t>
      </w:r>
      <w:r w:rsidR="001043B8" w:rsidRPr="00AC4AEA">
        <w:rPr>
          <w:rFonts w:ascii="Arial" w:hAnsi="Arial" w:cs="Arial"/>
          <w:sz w:val="20"/>
          <w:szCs w:val="20"/>
        </w:rPr>
        <w:t xml:space="preserve"> agrupamiento de datos </w:t>
      </w:r>
      <w:r w:rsidR="002D5B71" w:rsidRPr="00AC4AEA">
        <w:rPr>
          <w:rFonts w:ascii="Arial" w:hAnsi="Arial" w:cs="Arial"/>
          <w:sz w:val="20"/>
          <w:szCs w:val="20"/>
        </w:rPr>
        <w:t xml:space="preserve">y revelación en notas </w:t>
      </w:r>
      <w:r w:rsidR="001043B8" w:rsidRPr="00AC4AEA">
        <w:rPr>
          <w:rFonts w:ascii="Arial" w:hAnsi="Arial" w:cs="Arial"/>
          <w:sz w:val="20"/>
          <w:szCs w:val="20"/>
        </w:rPr>
        <w:t>utilizad</w:t>
      </w:r>
      <w:r w:rsidR="00301363" w:rsidRPr="00AC4AEA">
        <w:rPr>
          <w:rFonts w:ascii="Arial" w:hAnsi="Arial" w:cs="Arial"/>
          <w:sz w:val="20"/>
          <w:szCs w:val="20"/>
        </w:rPr>
        <w:t>a</w:t>
      </w:r>
      <w:r w:rsidR="001043B8" w:rsidRPr="00AC4AEA">
        <w:rPr>
          <w:rFonts w:ascii="Arial" w:hAnsi="Arial" w:cs="Arial"/>
          <w:sz w:val="20"/>
          <w:szCs w:val="20"/>
        </w:rPr>
        <w:t xml:space="preserve">s para preparar y exponer los del período </w:t>
      </w:r>
      <w:r w:rsidR="003B380A" w:rsidRPr="00AC4AEA">
        <w:rPr>
          <w:rFonts w:ascii="Arial" w:hAnsi="Arial" w:cs="Arial"/>
          <w:sz w:val="20"/>
          <w:szCs w:val="20"/>
        </w:rPr>
        <w:t>actual</w:t>
      </w:r>
      <w:r w:rsidR="00603D6A" w:rsidRPr="00AC4AEA">
        <w:rPr>
          <w:rFonts w:ascii="Arial" w:hAnsi="Arial" w:cs="Arial"/>
          <w:sz w:val="20"/>
          <w:szCs w:val="20"/>
        </w:rPr>
        <w:t xml:space="preserve">, </w:t>
      </w:r>
      <w:r w:rsidR="00623F7D" w:rsidRPr="00AC4AEA">
        <w:rPr>
          <w:rFonts w:ascii="Arial" w:hAnsi="Arial" w:cs="Arial"/>
          <w:sz w:val="20"/>
          <w:szCs w:val="20"/>
        </w:rPr>
        <w:t>excepto por lo dispuesto</w:t>
      </w:r>
      <w:r w:rsidR="00603D6A" w:rsidRPr="00AC4AEA">
        <w:rPr>
          <w:rFonts w:ascii="Arial" w:hAnsi="Arial" w:cs="Arial"/>
          <w:sz w:val="20"/>
          <w:szCs w:val="20"/>
        </w:rPr>
        <w:t xml:space="preserve"> en el párrafo anterior</w:t>
      </w:r>
      <w:r w:rsidR="001043B8" w:rsidRPr="00AC4AEA">
        <w:rPr>
          <w:rFonts w:ascii="Arial" w:hAnsi="Arial" w:cs="Arial"/>
          <w:sz w:val="20"/>
          <w:szCs w:val="20"/>
        </w:rPr>
        <w:t xml:space="preserve">. Por lo tanto, los datos comparativos podrán diferir de los expuestos en </w:t>
      </w:r>
      <w:r w:rsidR="00A95703" w:rsidRPr="00AC4AEA">
        <w:rPr>
          <w:rFonts w:ascii="Arial" w:hAnsi="Arial" w:cs="Arial"/>
          <w:sz w:val="20"/>
          <w:szCs w:val="20"/>
        </w:rPr>
        <w:t xml:space="preserve">el conjunto de </w:t>
      </w:r>
      <w:r w:rsidR="00135084" w:rsidRPr="00AC4AEA">
        <w:rPr>
          <w:rFonts w:ascii="Arial" w:hAnsi="Arial" w:cs="Arial"/>
          <w:b/>
          <w:bCs/>
          <w:sz w:val="20"/>
          <w:szCs w:val="20"/>
        </w:rPr>
        <w:t>estados contables</w:t>
      </w:r>
      <w:r w:rsidR="001043B8" w:rsidRPr="00AC4AEA">
        <w:rPr>
          <w:rFonts w:ascii="Arial" w:hAnsi="Arial" w:cs="Arial"/>
          <w:sz w:val="20"/>
          <w:szCs w:val="20"/>
        </w:rPr>
        <w:t xml:space="preserve"> original correspondiente</w:t>
      </w:r>
      <w:r w:rsidR="0062061E" w:rsidRPr="00AC4AEA">
        <w:rPr>
          <w:rFonts w:ascii="Arial" w:hAnsi="Arial" w:cs="Arial"/>
          <w:sz w:val="20"/>
          <w:szCs w:val="20"/>
        </w:rPr>
        <w:t xml:space="preserve"> </w:t>
      </w:r>
      <w:r w:rsidR="001043B8" w:rsidRPr="00AC4AEA">
        <w:rPr>
          <w:rFonts w:ascii="Arial" w:hAnsi="Arial" w:cs="Arial"/>
          <w:sz w:val="20"/>
          <w:szCs w:val="20"/>
        </w:rPr>
        <w:t xml:space="preserve">a sus períodos cuando, en el período </w:t>
      </w:r>
      <w:r w:rsidR="003B380A" w:rsidRPr="00AC4AEA">
        <w:rPr>
          <w:rFonts w:ascii="Arial" w:hAnsi="Arial" w:cs="Arial"/>
          <w:sz w:val="20"/>
          <w:szCs w:val="20"/>
        </w:rPr>
        <w:t>actual</w:t>
      </w:r>
      <w:r w:rsidR="00301363" w:rsidRPr="00AC4AEA">
        <w:rPr>
          <w:rFonts w:ascii="Arial" w:hAnsi="Arial" w:cs="Arial"/>
          <w:sz w:val="20"/>
          <w:szCs w:val="20"/>
        </w:rPr>
        <w:t>, la entidad</w:t>
      </w:r>
      <w:r w:rsidR="001043B8" w:rsidRPr="00AC4AEA">
        <w:rPr>
          <w:rFonts w:ascii="Arial" w:hAnsi="Arial" w:cs="Arial"/>
          <w:sz w:val="20"/>
          <w:szCs w:val="20"/>
        </w:rPr>
        <w:t>: </w:t>
      </w:r>
    </w:p>
    <w:p w:rsidR="001043B8" w:rsidRPr="00AC4AEA" w:rsidRDefault="0030136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aplique </w:t>
      </w:r>
      <w:r w:rsidR="00440033" w:rsidRPr="00AC4AEA">
        <w:rPr>
          <w:rFonts w:ascii="Arial" w:hAnsi="Arial" w:cs="Arial"/>
          <w:sz w:val="20"/>
          <w:szCs w:val="20"/>
        </w:rPr>
        <w:t xml:space="preserve">las normas sobre </w:t>
      </w:r>
      <w:r w:rsidR="00E0585D" w:rsidRPr="00AC4AEA">
        <w:rPr>
          <w:rFonts w:ascii="Arial" w:hAnsi="Arial" w:cs="Arial"/>
          <w:sz w:val="20"/>
          <w:szCs w:val="20"/>
        </w:rPr>
        <w:t>“</w:t>
      </w:r>
      <w:r w:rsidR="00E0585D" w:rsidRPr="00AC4AEA">
        <w:rPr>
          <w:rFonts w:ascii="Arial" w:hAnsi="Arial" w:cs="Arial"/>
          <w:sz w:val="20"/>
          <w:szCs w:val="20"/>
          <w:u w:val="single"/>
        </w:rPr>
        <w:t>Modificación de la información de ejercicios anteriores</w:t>
      </w:r>
      <w:r w:rsidR="00E0585D" w:rsidRPr="00AC4AEA">
        <w:rPr>
          <w:rFonts w:ascii="Arial" w:hAnsi="Arial" w:cs="Arial"/>
          <w:sz w:val="20"/>
          <w:szCs w:val="20"/>
        </w:rPr>
        <w:t>”</w:t>
      </w:r>
      <w:r w:rsidR="0037737B" w:rsidRPr="00AC4AEA">
        <w:rPr>
          <w:rFonts w:ascii="Arial" w:hAnsi="Arial" w:cs="Arial"/>
          <w:sz w:val="20"/>
          <w:szCs w:val="20"/>
        </w:rPr>
        <w:t xml:space="preserve"> [ver </w:t>
      </w:r>
      <w:r w:rsidR="00527265" w:rsidRPr="00AC4AEA">
        <w:rPr>
          <w:rFonts w:ascii="Arial" w:hAnsi="Arial" w:cs="Arial"/>
          <w:sz w:val="20"/>
          <w:szCs w:val="20"/>
        </w:rPr>
        <w:t xml:space="preserve">los </w:t>
      </w:r>
      <w:r w:rsidR="0037737B" w:rsidRPr="00AC4AEA">
        <w:rPr>
          <w:rFonts w:ascii="Arial" w:hAnsi="Arial" w:cs="Arial"/>
          <w:sz w:val="20"/>
          <w:szCs w:val="20"/>
        </w:rPr>
        <w:t xml:space="preserve">párrafos </w:t>
      </w:r>
      <w:fldSimple w:instr=" REF _Ref99457793 \r \h  \* MERGEFORMAT ">
        <w:r w:rsidR="00D33A5D" w:rsidRPr="00D33A5D">
          <w:rPr>
            <w:rFonts w:ascii="Arial" w:hAnsi="Arial" w:cs="Arial"/>
            <w:sz w:val="20"/>
            <w:szCs w:val="20"/>
          </w:rPr>
          <w:t>66</w:t>
        </w:r>
      </w:fldSimple>
      <w:r w:rsidR="0037737B" w:rsidRPr="00AC4AEA">
        <w:rPr>
          <w:rFonts w:ascii="Arial" w:hAnsi="Arial" w:cs="Arial"/>
          <w:sz w:val="20"/>
          <w:szCs w:val="20"/>
        </w:rPr>
        <w:t xml:space="preserve"> a </w:t>
      </w:r>
      <w:fldSimple w:instr=" REF _Ref99457811 \r \h  \* MERGEFORMAT ">
        <w:r w:rsidR="00D33A5D" w:rsidRPr="00D33A5D">
          <w:rPr>
            <w:rFonts w:ascii="Arial" w:hAnsi="Arial" w:cs="Arial"/>
            <w:sz w:val="20"/>
            <w:szCs w:val="20"/>
          </w:rPr>
          <w:t>70</w:t>
        </w:r>
      </w:fldSimple>
      <w:r w:rsidR="0037737B" w:rsidRPr="00AC4AEA">
        <w:rPr>
          <w:rFonts w:ascii="Arial" w:hAnsi="Arial" w:cs="Arial"/>
          <w:sz w:val="20"/>
          <w:szCs w:val="20"/>
        </w:rPr>
        <w:t>]</w:t>
      </w:r>
      <w:r w:rsidR="001043B8" w:rsidRPr="00AC4AEA">
        <w:rPr>
          <w:rFonts w:ascii="Arial" w:hAnsi="Arial" w:cs="Arial"/>
          <w:sz w:val="20"/>
          <w:szCs w:val="20"/>
        </w:rPr>
        <w:t xml:space="preserve">; </w:t>
      </w:r>
    </w:p>
    <w:p w:rsidR="001043B8" w:rsidRPr="00AC4AEA" w:rsidRDefault="0046689D"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utili</w:t>
      </w:r>
      <w:r w:rsidR="00301363" w:rsidRPr="00AC4AEA">
        <w:rPr>
          <w:rFonts w:ascii="Arial" w:hAnsi="Arial" w:cs="Arial"/>
          <w:sz w:val="20"/>
          <w:szCs w:val="20"/>
        </w:rPr>
        <w:t>ce</w:t>
      </w:r>
      <w:r w:rsidRPr="00AC4AEA">
        <w:rPr>
          <w:rFonts w:ascii="Arial" w:hAnsi="Arial" w:cs="Arial"/>
          <w:sz w:val="20"/>
          <w:szCs w:val="20"/>
        </w:rPr>
        <w:t xml:space="preserve"> </w:t>
      </w:r>
      <w:r w:rsidR="00EF26B5" w:rsidRPr="00AC4AEA">
        <w:rPr>
          <w:rFonts w:ascii="Arial" w:hAnsi="Arial" w:cs="Arial"/>
          <w:sz w:val="20"/>
          <w:szCs w:val="20"/>
        </w:rPr>
        <w:t>nuevas</w:t>
      </w:r>
      <w:r w:rsidR="001043B8" w:rsidRPr="00AC4AEA">
        <w:rPr>
          <w:rFonts w:ascii="Arial" w:hAnsi="Arial" w:cs="Arial"/>
          <w:sz w:val="20"/>
          <w:szCs w:val="20"/>
        </w:rPr>
        <w:t xml:space="preserve"> normas contables referidas al contenido y forma de los </w:t>
      </w:r>
      <w:r w:rsidR="00135084" w:rsidRPr="00AC4AEA">
        <w:rPr>
          <w:rFonts w:ascii="Arial" w:hAnsi="Arial" w:cs="Arial"/>
          <w:b/>
          <w:bCs/>
          <w:sz w:val="20"/>
          <w:szCs w:val="20"/>
        </w:rPr>
        <w:t>estados contables</w:t>
      </w:r>
      <w:r w:rsidRPr="00AC4AEA">
        <w:rPr>
          <w:rFonts w:ascii="Arial" w:hAnsi="Arial" w:cs="Arial"/>
          <w:sz w:val="20"/>
          <w:szCs w:val="20"/>
        </w:rPr>
        <w:t>;</w:t>
      </w:r>
      <w:r w:rsidR="001043B8" w:rsidRPr="00AC4AEA">
        <w:rPr>
          <w:rFonts w:ascii="Arial" w:hAnsi="Arial" w:cs="Arial"/>
          <w:sz w:val="20"/>
          <w:szCs w:val="20"/>
        </w:rPr>
        <w:t xml:space="preserve"> o </w:t>
      </w:r>
    </w:p>
    <w:p w:rsidR="001043B8"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modifi</w:t>
      </w:r>
      <w:r w:rsidR="00301363" w:rsidRPr="00AC4AEA">
        <w:rPr>
          <w:rFonts w:ascii="Arial" w:hAnsi="Arial" w:cs="Arial"/>
          <w:sz w:val="20"/>
          <w:szCs w:val="20"/>
        </w:rPr>
        <w:t>que</w:t>
      </w:r>
      <w:r w:rsidRPr="00AC4AEA">
        <w:rPr>
          <w:rFonts w:ascii="Arial" w:hAnsi="Arial" w:cs="Arial"/>
          <w:sz w:val="20"/>
          <w:szCs w:val="20"/>
        </w:rPr>
        <w:t xml:space="preserve"> </w:t>
      </w:r>
      <w:r w:rsidR="00EF26B5" w:rsidRPr="00AC4AEA">
        <w:rPr>
          <w:rFonts w:ascii="Arial" w:hAnsi="Arial" w:cs="Arial"/>
          <w:sz w:val="20"/>
          <w:szCs w:val="20"/>
        </w:rPr>
        <w:t>el contenido</w:t>
      </w:r>
      <w:r w:rsidR="001043B8" w:rsidRPr="00AC4AEA">
        <w:rPr>
          <w:rFonts w:ascii="Arial" w:hAnsi="Arial" w:cs="Arial"/>
          <w:sz w:val="20"/>
          <w:szCs w:val="20"/>
        </w:rPr>
        <w:t xml:space="preserve"> de los componentes de los </w:t>
      </w:r>
      <w:r w:rsidR="00135084" w:rsidRPr="00AC4AEA">
        <w:rPr>
          <w:rFonts w:ascii="Arial" w:hAnsi="Arial" w:cs="Arial"/>
          <w:b/>
          <w:bCs/>
          <w:sz w:val="20"/>
          <w:szCs w:val="20"/>
        </w:rPr>
        <w:t>estados contables</w:t>
      </w:r>
      <w:r w:rsidR="001043B8" w:rsidRPr="00AC4AEA">
        <w:rPr>
          <w:rFonts w:ascii="Arial" w:hAnsi="Arial" w:cs="Arial"/>
          <w:sz w:val="20"/>
          <w:szCs w:val="20"/>
        </w:rPr>
        <w:t xml:space="preserve"> cuya exposición sea especialmente requerida por </w:t>
      </w:r>
      <w:bookmarkStart w:id="76" w:name="_Hlk100932843"/>
      <w:r w:rsidR="00E90997" w:rsidRPr="00AC4AEA">
        <w:rPr>
          <w:rFonts w:ascii="Arial" w:hAnsi="Arial" w:cs="Arial"/>
          <w:sz w:val="20"/>
          <w:szCs w:val="20"/>
        </w:rPr>
        <w:t xml:space="preserve">esta Resolución Técnica </w:t>
      </w:r>
      <w:r w:rsidR="00135084" w:rsidRPr="00AC4AEA">
        <w:rPr>
          <w:rFonts w:ascii="Arial" w:hAnsi="Arial" w:cs="Arial"/>
          <w:sz w:val="20"/>
          <w:szCs w:val="20"/>
        </w:rPr>
        <w:t>u</w:t>
      </w:r>
      <w:r w:rsidR="00E90997" w:rsidRPr="00AC4AEA">
        <w:rPr>
          <w:rFonts w:ascii="Arial" w:hAnsi="Arial" w:cs="Arial"/>
          <w:sz w:val="20"/>
          <w:szCs w:val="20"/>
        </w:rPr>
        <w:t xml:space="preserve"> </w:t>
      </w:r>
      <w:r w:rsidR="00E90997" w:rsidRPr="00AC4AEA">
        <w:rPr>
          <w:rFonts w:ascii="Arial" w:hAnsi="Arial" w:cs="Arial"/>
          <w:b/>
          <w:bCs/>
          <w:sz w:val="20"/>
          <w:szCs w:val="20"/>
        </w:rPr>
        <w:t xml:space="preserve">otras normas contables </w:t>
      </w:r>
      <w:bookmarkEnd w:id="76"/>
      <w:r w:rsidR="001043B8" w:rsidRPr="00AC4AEA">
        <w:rPr>
          <w:rFonts w:ascii="Arial" w:hAnsi="Arial" w:cs="Arial"/>
          <w:sz w:val="20"/>
          <w:szCs w:val="20"/>
        </w:rPr>
        <w:t>(por ejemplo, la composición de segmentos o la lista de operaciones discontinuadas o en discontinuación).</w:t>
      </w:r>
    </w:p>
    <w:p w:rsidR="005F4DB4" w:rsidRPr="00AC4AEA" w:rsidRDefault="001043B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la aplicación por primera vez de una norma o </w:t>
      </w:r>
      <w:r w:rsidR="00596F3F" w:rsidRPr="00AC4AEA">
        <w:rPr>
          <w:rFonts w:ascii="Arial" w:hAnsi="Arial" w:cs="Arial"/>
          <w:b/>
          <w:bCs/>
          <w:sz w:val="20"/>
          <w:szCs w:val="20"/>
        </w:rPr>
        <w:t>política contable</w:t>
      </w:r>
      <w:r w:rsidRPr="00AC4AEA">
        <w:rPr>
          <w:rFonts w:ascii="Arial" w:hAnsi="Arial" w:cs="Arial"/>
          <w:sz w:val="20"/>
          <w:szCs w:val="20"/>
        </w:rPr>
        <w:t xml:space="preserve"> o la corrección de un error </w:t>
      </w:r>
      <w:r w:rsidR="00DD001F" w:rsidRPr="00AC4AEA">
        <w:rPr>
          <w:rFonts w:ascii="Arial" w:hAnsi="Arial" w:cs="Arial"/>
          <w:sz w:val="20"/>
          <w:szCs w:val="20"/>
        </w:rPr>
        <w:t>exija modificar</w:t>
      </w:r>
      <w:r w:rsidRPr="00AC4AEA">
        <w:rPr>
          <w:rFonts w:ascii="Arial" w:hAnsi="Arial" w:cs="Arial"/>
          <w:sz w:val="20"/>
          <w:szCs w:val="20"/>
        </w:rPr>
        <w:t xml:space="preserve"> la información de períodos anteriores a exponer en forma comparativa, </w:t>
      </w:r>
      <w:r w:rsidR="00440033" w:rsidRPr="00AC4AEA">
        <w:rPr>
          <w:rFonts w:ascii="Arial" w:hAnsi="Arial" w:cs="Arial"/>
          <w:sz w:val="20"/>
          <w:szCs w:val="20"/>
        </w:rPr>
        <w:t>una entidad</w:t>
      </w:r>
      <w:r w:rsidRPr="00AC4AEA">
        <w:rPr>
          <w:rFonts w:ascii="Arial" w:hAnsi="Arial" w:cs="Arial"/>
          <w:sz w:val="20"/>
          <w:szCs w:val="20"/>
        </w:rPr>
        <w:t xml:space="preserve"> procederá a efectuar dicha modificación, salvo que </w:t>
      </w:r>
      <w:r w:rsidR="00301363" w:rsidRPr="00AC4AEA">
        <w:rPr>
          <w:rFonts w:ascii="Arial" w:hAnsi="Arial" w:cs="Arial"/>
          <w:sz w:val="20"/>
          <w:szCs w:val="20"/>
        </w:rPr>
        <w:t xml:space="preserve">sea </w:t>
      </w:r>
      <w:r w:rsidRPr="00AC4AEA">
        <w:rPr>
          <w:rFonts w:ascii="Arial" w:hAnsi="Arial" w:cs="Arial"/>
          <w:b/>
          <w:bCs/>
          <w:sz w:val="20"/>
          <w:szCs w:val="20"/>
        </w:rPr>
        <w:t>impracticable</w:t>
      </w:r>
      <w:r w:rsidRPr="00AC4AEA">
        <w:rPr>
          <w:rFonts w:ascii="Arial" w:hAnsi="Arial" w:cs="Arial"/>
          <w:sz w:val="20"/>
          <w:szCs w:val="20"/>
        </w:rPr>
        <w:t xml:space="preserve"> determinar los efectos del cambio. En este caso, </w:t>
      </w:r>
      <w:r w:rsidR="00EC1893" w:rsidRPr="00AC4AEA">
        <w:rPr>
          <w:rFonts w:ascii="Arial" w:hAnsi="Arial" w:cs="Arial"/>
          <w:sz w:val="20"/>
          <w:szCs w:val="20"/>
        </w:rPr>
        <w:t>revelará</w:t>
      </w:r>
      <w:r w:rsidR="009B184E" w:rsidRPr="00AC4AEA">
        <w:rPr>
          <w:rFonts w:ascii="Arial" w:hAnsi="Arial" w:cs="Arial"/>
          <w:sz w:val="20"/>
          <w:szCs w:val="20"/>
        </w:rPr>
        <w:t xml:space="preserve"> </w:t>
      </w:r>
      <w:r w:rsidRPr="00AC4AEA">
        <w:rPr>
          <w:rFonts w:ascii="Arial" w:hAnsi="Arial" w:cs="Arial"/>
          <w:sz w:val="20"/>
          <w:szCs w:val="20"/>
        </w:rPr>
        <w:t xml:space="preserve">en </w:t>
      </w:r>
      <w:r w:rsidR="00E969B1" w:rsidRPr="00AC4AEA">
        <w:rPr>
          <w:rFonts w:ascii="Arial" w:hAnsi="Arial" w:cs="Arial"/>
          <w:sz w:val="20"/>
          <w:szCs w:val="20"/>
        </w:rPr>
        <w:t>notas</w:t>
      </w:r>
      <w:r w:rsidR="005F4DB4" w:rsidRPr="00AC4AEA">
        <w:rPr>
          <w:rFonts w:ascii="Arial" w:hAnsi="Arial" w:cs="Arial"/>
          <w:sz w:val="20"/>
          <w:szCs w:val="20"/>
        </w:rPr>
        <w:t>:</w:t>
      </w:r>
      <w:r w:rsidRPr="00AC4AEA">
        <w:rPr>
          <w:rFonts w:ascii="Arial" w:hAnsi="Arial" w:cs="Arial"/>
          <w:sz w:val="20"/>
          <w:szCs w:val="20"/>
        </w:rPr>
        <w:t xml:space="preserve"> </w:t>
      </w:r>
    </w:p>
    <w:p w:rsidR="005F4DB4"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 xml:space="preserve">el </w:t>
      </w:r>
      <w:r w:rsidR="009B184E" w:rsidRPr="00AC4AEA">
        <w:rPr>
          <w:rFonts w:ascii="Arial" w:hAnsi="Arial" w:cs="Arial"/>
          <w:sz w:val="20"/>
          <w:szCs w:val="20"/>
        </w:rPr>
        <w:t xml:space="preserve">hecho de que </w:t>
      </w:r>
      <w:r w:rsidR="001043B8" w:rsidRPr="00AC4AEA">
        <w:rPr>
          <w:rFonts w:ascii="Arial" w:hAnsi="Arial" w:cs="Arial"/>
          <w:sz w:val="20"/>
          <w:szCs w:val="20"/>
        </w:rPr>
        <w:t>la información comparativa no pudo ser modificada</w:t>
      </w:r>
      <w:r w:rsidRPr="00AC4AEA">
        <w:rPr>
          <w:rFonts w:ascii="Arial" w:hAnsi="Arial" w:cs="Arial"/>
          <w:sz w:val="20"/>
          <w:szCs w:val="20"/>
        </w:rPr>
        <w:t>;</w:t>
      </w:r>
      <w:r w:rsidR="001043B8" w:rsidRPr="00AC4AEA">
        <w:rPr>
          <w:rFonts w:ascii="Arial" w:hAnsi="Arial" w:cs="Arial"/>
          <w:sz w:val="20"/>
          <w:szCs w:val="20"/>
        </w:rPr>
        <w:t xml:space="preserve"> </w:t>
      </w:r>
    </w:p>
    <w:p w:rsidR="001043B8"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las </w:t>
      </w:r>
      <w:r w:rsidR="001043B8" w:rsidRPr="00AC4AEA">
        <w:rPr>
          <w:rFonts w:ascii="Arial" w:hAnsi="Arial" w:cs="Arial"/>
          <w:sz w:val="20"/>
          <w:szCs w:val="20"/>
        </w:rPr>
        <w:t xml:space="preserve">circunstancias que hicieron </w:t>
      </w:r>
      <w:r w:rsidR="001043B8" w:rsidRPr="00AC4AEA">
        <w:rPr>
          <w:rFonts w:ascii="Arial" w:hAnsi="Arial" w:cs="Arial"/>
          <w:b/>
          <w:bCs/>
          <w:sz w:val="20"/>
          <w:szCs w:val="20"/>
        </w:rPr>
        <w:t>impracticable</w:t>
      </w:r>
      <w:r w:rsidR="001043B8" w:rsidRPr="00AC4AEA">
        <w:rPr>
          <w:rFonts w:ascii="Arial" w:hAnsi="Arial" w:cs="Arial"/>
          <w:sz w:val="20"/>
          <w:szCs w:val="20"/>
        </w:rPr>
        <w:t xml:space="preserve"> tal modificación</w:t>
      </w:r>
      <w:r w:rsidR="001E1F8E" w:rsidRPr="00AC4AEA">
        <w:rPr>
          <w:rFonts w:ascii="Arial" w:hAnsi="Arial" w:cs="Arial"/>
          <w:sz w:val="20"/>
          <w:szCs w:val="20"/>
        </w:rPr>
        <w:t>; y</w:t>
      </w:r>
    </w:p>
    <w:p w:rsidR="001E1F8E" w:rsidRPr="00AC4AEA" w:rsidRDefault="001E1F8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la fecha a partir de la cual efectuó las modificaciones.</w:t>
      </w:r>
    </w:p>
    <w:p w:rsidR="001043B8" w:rsidRPr="00AC4AEA" w:rsidRDefault="0044003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una entidad le resultará</w:t>
      </w:r>
      <w:r w:rsidR="001043B8" w:rsidRPr="00AC4AEA">
        <w:rPr>
          <w:rFonts w:ascii="Arial" w:hAnsi="Arial" w:cs="Arial"/>
          <w:sz w:val="20"/>
          <w:szCs w:val="20"/>
        </w:rPr>
        <w:t xml:space="preserve"> </w:t>
      </w:r>
      <w:r w:rsidR="001043B8" w:rsidRPr="00AC4AEA">
        <w:rPr>
          <w:rFonts w:ascii="Arial" w:hAnsi="Arial" w:cs="Arial"/>
          <w:b/>
          <w:bCs/>
          <w:sz w:val="20"/>
          <w:szCs w:val="20"/>
        </w:rPr>
        <w:t>impracticable</w:t>
      </w:r>
      <w:r w:rsidR="001043B8" w:rsidRPr="00AC4AEA">
        <w:rPr>
          <w:rFonts w:ascii="Arial" w:hAnsi="Arial" w:cs="Arial"/>
          <w:sz w:val="20"/>
          <w:szCs w:val="20"/>
        </w:rPr>
        <w:t xml:space="preserve"> modificar la información de períodos anteriores por un cambio de norma</w:t>
      </w:r>
      <w:r w:rsidR="00C33BBE" w:rsidRPr="00AC4AEA">
        <w:rPr>
          <w:rFonts w:ascii="Arial" w:hAnsi="Arial" w:cs="Arial"/>
          <w:sz w:val="20"/>
          <w:szCs w:val="20"/>
        </w:rPr>
        <w:t>, una modificación de su</w:t>
      </w:r>
      <w:r w:rsidR="001043B8" w:rsidRPr="00AC4AEA">
        <w:rPr>
          <w:rFonts w:ascii="Arial" w:hAnsi="Arial" w:cs="Arial"/>
          <w:sz w:val="20"/>
          <w:szCs w:val="20"/>
        </w:rPr>
        <w:t xml:space="preserve"> </w:t>
      </w:r>
      <w:r w:rsidR="00596F3F" w:rsidRPr="00AC4AEA">
        <w:rPr>
          <w:rFonts w:ascii="Arial" w:hAnsi="Arial" w:cs="Arial"/>
          <w:b/>
          <w:bCs/>
          <w:sz w:val="20"/>
          <w:szCs w:val="20"/>
        </w:rPr>
        <w:t>política contable</w:t>
      </w:r>
      <w:r w:rsidR="001043B8" w:rsidRPr="00AC4AEA">
        <w:rPr>
          <w:rFonts w:ascii="Arial" w:hAnsi="Arial" w:cs="Arial"/>
          <w:sz w:val="20"/>
          <w:szCs w:val="20"/>
        </w:rPr>
        <w:t xml:space="preserve"> o por corrección de un error cuando: </w:t>
      </w:r>
    </w:p>
    <w:p w:rsidR="001043B8"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001043B8" w:rsidRPr="00AC4AEA">
        <w:rPr>
          <w:rFonts w:ascii="Arial" w:hAnsi="Arial" w:cs="Arial"/>
          <w:sz w:val="20"/>
          <w:szCs w:val="20"/>
        </w:rPr>
        <w:t xml:space="preserve">efectos de la aplicación retroactiva no </w:t>
      </w:r>
      <w:r w:rsidR="006B02B3" w:rsidRPr="00AC4AEA">
        <w:rPr>
          <w:rFonts w:ascii="Arial" w:hAnsi="Arial" w:cs="Arial"/>
          <w:sz w:val="20"/>
          <w:szCs w:val="20"/>
        </w:rPr>
        <w:t xml:space="preserve">son </w:t>
      </w:r>
      <w:r w:rsidR="001043B8" w:rsidRPr="00AC4AEA">
        <w:rPr>
          <w:rFonts w:ascii="Arial" w:hAnsi="Arial" w:cs="Arial"/>
          <w:sz w:val="20"/>
          <w:szCs w:val="20"/>
        </w:rPr>
        <w:t>determinables</w:t>
      </w:r>
      <w:r w:rsidR="00E969B1" w:rsidRPr="00AC4AEA">
        <w:rPr>
          <w:rFonts w:ascii="Arial" w:hAnsi="Arial" w:cs="Arial"/>
          <w:sz w:val="20"/>
          <w:szCs w:val="20"/>
        </w:rPr>
        <w:t xml:space="preserve"> (</w:t>
      </w:r>
      <w:r w:rsidR="001043B8" w:rsidRPr="00AC4AEA">
        <w:rPr>
          <w:rFonts w:ascii="Arial" w:hAnsi="Arial" w:cs="Arial"/>
          <w:sz w:val="20"/>
          <w:szCs w:val="20"/>
        </w:rPr>
        <w:t>por ejemplo</w:t>
      </w:r>
      <w:r w:rsidR="00E969B1" w:rsidRPr="00AC4AEA">
        <w:rPr>
          <w:rFonts w:ascii="Arial" w:hAnsi="Arial" w:cs="Arial"/>
          <w:sz w:val="20"/>
          <w:szCs w:val="20"/>
        </w:rPr>
        <w:t>,</w:t>
      </w:r>
      <w:r w:rsidR="001043B8" w:rsidRPr="00AC4AEA">
        <w:rPr>
          <w:rFonts w:ascii="Arial" w:hAnsi="Arial" w:cs="Arial"/>
          <w:sz w:val="20"/>
          <w:szCs w:val="20"/>
        </w:rPr>
        <w:t xml:space="preserve"> si en el período cuya información </w:t>
      </w:r>
      <w:r w:rsidR="006B02B3" w:rsidRPr="00AC4AEA">
        <w:rPr>
          <w:rFonts w:ascii="Arial" w:hAnsi="Arial" w:cs="Arial"/>
          <w:sz w:val="20"/>
          <w:szCs w:val="20"/>
        </w:rPr>
        <w:t xml:space="preserve">deba </w:t>
      </w:r>
      <w:r w:rsidR="001043B8" w:rsidRPr="00AC4AEA">
        <w:rPr>
          <w:rFonts w:ascii="Arial" w:hAnsi="Arial" w:cs="Arial"/>
          <w:sz w:val="20"/>
          <w:szCs w:val="20"/>
        </w:rPr>
        <w:t xml:space="preserve">modificar no </w:t>
      </w:r>
      <w:r w:rsidR="006B02B3" w:rsidRPr="00AC4AEA">
        <w:rPr>
          <w:rFonts w:ascii="Arial" w:hAnsi="Arial" w:cs="Arial"/>
          <w:sz w:val="20"/>
          <w:szCs w:val="20"/>
        </w:rPr>
        <w:t>hubiese recopilado</w:t>
      </w:r>
      <w:r w:rsidR="001043B8" w:rsidRPr="00AC4AEA">
        <w:rPr>
          <w:rFonts w:ascii="Arial" w:hAnsi="Arial" w:cs="Arial"/>
          <w:sz w:val="20"/>
          <w:szCs w:val="20"/>
        </w:rPr>
        <w:t xml:space="preserve"> los datos necesarios para tal modificación y no resulte factible su reconstrucción</w:t>
      </w:r>
      <w:r w:rsidR="00E969B1" w:rsidRPr="00AC4AEA">
        <w:rPr>
          <w:rFonts w:ascii="Arial" w:hAnsi="Arial" w:cs="Arial"/>
          <w:sz w:val="20"/>
          <w:szCs w:val="20"/>
        </w:rPr>
        <w:t>)</w:t>
      </w:r>
      <w:r w:rsidR="001043B8" w:rsidRPr="00AC4AEA">
        <w:rPr>
          <w:rFonts w:ascii="Arial" w:hAnsi="Arial" w:cs="Arial"/>
          <w:sz w:val="20"/>
          <w:szCs w:val="20"/>
        </w:rPr>
        <w:t>; </w:t>
      </w:r>
    </w:p>
    <w:p w:rsidR="001043B8"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necesite </w:t>
      </w:r>
      <w:r w:rsidR="00E969B1" w:rsidRPr="00AC4AEA">
        <w:rPr>
          <w:rFonts w:ascii="Arial" w:hAnsi="Arial" w:cs="Arial"/>
          <w:sz w:val="20"/>
          <w:szCs w:val="20"/>
        </w:rPr>
        <w:t>estimaciones</w:t>
      </w:r>
      <w:r w:rsidR="001043B8" w:rsidRPr="00AC4AEA">
        <w:rPr>
          <w:rFonts w:ascii="Arial" w:hAnsi="Arial" w:cs="Arial"/>
          <w:sz w:val="20"/>
          <w:szCs w:val="20"/>
        </w:rPr>
        <w:t xml:space="preserve"> significativas relativas a transacciones, eventos o condiciones de ese período anterior y no cuente con evidencias</w:t>
      </w:r>
      <w:r w:rsidR="00B7383A" w:rsidRPr="00AC4AEA">
        <w:rPr>
          <w:rFonts w:ascii="Arial" w:hAnsi="Arial" w:cs="Arial"/>
          <w:sz w:val="20"/>
          <w:szCs w:val="20"/>
        </w:rPr>
        <w:t xml:space="preserve"> acerca</w:t>
      </w:r>
      <w:r w:rsidR="001043B8" w:rsidRPr="00AC4AEA">
        <w:rPr>
          <w:rFonts w:ascii="Arial" w:hAnsi="Arial" w:cs="Arial"/>
          <w:sz w:val="20"/>
          <w:szCs w:val="20"/>
        </w:rPr>
        <w:t xml:space="preserve"> de las circunstancias </w:t>
      </w:r>
      <w:r w:rsidR="002D5B71" w:rsidRPr="00AC4AEA">
        <w:rPr>
          <w:rFonts w:ascii="Arial" w:hAnsi="Arial" w:cs="Arial"/>
          <w:sz w:val="20"/>
          <w:szCs w:val="20"/>
        </w:rPr>
        <w:t>para</w:t>
      </w:r>
      <w:r w:rsidR="001043B8" w:rsidRPr="00AC4AEA">
        <w:rPr>
          <w:rFonts w:ascii="Arial" w:hAnsi="Arial" w:cs="Arial"/>
          <w:sz w:val="20"/>
          <w:szCs w:val="20"/>
        </w:rPr>
        <w:t xml:space="preserve"> efectuar tales estimaciones</w:t>
      </w:r>
      <w:r w:rsidRPr="00AC4AEA">
        <w:rPr>
          <w:rFonts w:ascii="Arial" w:hAnsi="Arial" w:cs="Arial"/>
          <w:sz w:val="20"/>
          <w:szCs w:val="20"/>
        </w:rPr>
        <w:t>;</w:t>
      </w:r>
      <w:r w:rsidR="001043B8" w:rsidRPr="00AC4AEA">
        <w:rPr>
          <w:rFonts w:ascii="Arial" w:hAnsi="Arial" w:cs="Arial"/>
          <w:sz w:val="20"/>
          <w:szCs w:val="20"/>
        </w:rPr>
        <w:t xml:space="preserve"> o </w:t>
      </w:r>
    </w:p>
    <w:p w:rsidR="001043B8"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no </w:t>
      </w:r>
      <w:r w:rsidR="001043B8" w:rsidRPr="00AC4AEA">
        <w:rPr>
          <w:rFonts w:ascii="Arial" w:hAnsi="Arial" w:cs="Arial"/>
          <w:sz w:val="20"/>
          <w:szCs w:val="20"/>
        </w:rPr>
        <w:t xml:space="preserve">pueda establecer si las evidencias disponibles ya existían a la fecha en que los </w:t>
      </w:r>
      <w:r w:rsidR="00135084" w:rsidRPr="00AC4AEA">
        <w:rPr>
          <w:rFonts w:ascii="Arial" w:hAnsi="Arial" w:cs="Arial"/>
          <w:b/>
          <w:bCs/>
          <w:sz w:val="20"/>
          <w:szCs w:val="20"/>
        </w:rPr>
        <w:t>estados contables</w:t>
      </w:r>
      <w:r w:rsidR="001043B8" w:rsidRPr="00AC4AEA">
        <w:rPr>
          <w:rFonts w:ascii="Arial" w:hAnsi="Arial" w:cs="Arial"/>
          <w:sz w:val="20"/>
          <w:szCs w:val="20"/>
        </w:rPr>
        <w:t xml:space="preserve"> a modificar fueron originalmente emitidos o si </w:t>
      </w:r>
      <w:r w:rsidR="00E0585D" w:rsidRPr="00AC4AEA">
        <w:rPr>
          <w:rFonts w:ascii="Arial" w:hAnsi="Arial" w:cs="Arial"/>
          <w:sz w:val="20"/>
          <w:szCs w:val="20"/>
        </w:rPr>
        <w:t>están</w:t>
      </w:r>
      <w:r w:rsidR="001043B8" w:rsidRPr="00AC4AEA">
        <w:rPr>
          <w:rFonts w:ascii="Arial" w:hAnsi="Arial" w:cs="Arial"/>
          <w:sz w:val="20"/>
          <w:szCs w:val="20"/>
        </w:rPr>
        <w:t xml:space="preserve"> basadas en información posterior</w:t>
      </w:r>
      <w:r w:rsidR="00A322AF" w:rsidRPr="00AC4AEA">
        <w:rPr>
          <w:rFonts w:ascii="Arial" w:hAnsi="Arial" w:cs="Arial"/>
          <w:sz w:val="20"/>
          <w:szCs w:val="20"/>
        </w:rPr>
        <w:t>,</w:t>
      </w:r>
      <w:r w:rsidR="001043B8" w:rsidRPr="00AC4AEA">
        <w:rPr>
          <w:rFonts w:ascii="Arial" w:hAnsi="Arial" w:cs="Arial"/>
          <w:sz w:val="20"/>
          <w:szCs w:val="20"/>
        </w:rPr>
        <w:t xml:space="preserve"> </w:t>
      </w:r>
      <w:r w:rsidR="00A322AF" w:rsidRPr="00AC4AEA">
        <w:rPr>
          <w:rFonts w:ascii="Arial" w:hAnsi="Arial" w:cs="Arial"/>
          <w:sz w:val="20"/>
          <w:szCs w:val="20"/>
        </w:rPr>
        <w:t xml:space="preserve">a la </w:t>
      </w:r>
      <w:r w:rsidR="001043B8" w:rsidRPr="00AC4AEA">
        <w:rPr>
          <w:rFonts w:ascii="Arial" w:hAnsi="Arial" w:cs="Arial"/>
          <w:sz w:val="20"/>
          <w:szCs w:val="20"/>
        </w:rPr>
        <w:t>que no corresponde dar efecto retroactivo.</w:t>
      </w:r>
    </w:p>
    <w:p w:rsidR="00E0585D" w:rsidRPr="00AC4AEA" w:rsidRDefault="00E0585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853449" w:rsidRPr="00AC4AEA">
        <w:rPr>
          <w:rFonts w:ascii="Arial" w:hAnsi="Arial" w:cs="Arial"/>
          <w:sz w:val="20"/>
          <w:szCs w:val="20"/>
        </w:rPr>
        <w:t>describirá en notas la existencia de circunstancias que limiten la comparabilidad de la información; por ejemplo</w:t>
      </w:r>
      <w:r w:rsidR="00F5272A" w:rsidRPr="00AC4AEA">
        <w:rPr>
          <w:rFonts w:ascii="Arial" w:hAnsi="Arial" w:cs="Arial"/>
          <w:sz w:val="20"/>
          <w:szCs w:val="20"/>
        </w:rPr>
        <w:t>,</w:t>
      </w:r>
      <w:r w:rsidR="00853449" w:rsidRPr="00AC4AEA">
        <w:rPr>
          <w:rFonts w:ascii="Arial" w:hAnsi="Arial" w:cs="Arial"/>
          <w:sz w:val="20"/>
          <w:szCs w:val="20"/>
        </w:rPr>
        <w:t xml:space="preserve"> debido a:</w:t>
      </w:r>
    </w:p>
    <w:p w:rsidR="00853449"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diferencias </w:t>
      </w:r>
      <w:r w:rsidR="00853449" w:rsidRPr="00AC4AEA">
        <w:rPr>
          <w:rFonts w:ascii="Arial" w:hAnsi="Arial" w:cs="Arial"/>
          <w:sz w:val="20"/>
          <w:szCs w:val="20"/>
        </w:rPr>
        <w:t xml:space="preserve">en la duración del ejercicio o período </w:t>
      </w:r>
      <w:r w:rsidR="003B380A" w:rsidRPr="00AC4AEA">
        <w:rPr>
          <w:rFonts w:ascii="Arial" w:hAnsi="Arial" w:cs="Arial"/>
          <w:sz w:val="20"/>
          <w:szCs w:val="20"/>
        </w:rPr>
        <w:t>actual</w:t>
      </w:r>
      <w:r w:rsidR="00853449" w:rsidRPr="00AC4AEA">
        <w:rPr>
          <w:rFonts w:ascii="Arial" w:hAnsi="Arial" w:cs="Arial"/>
          <w:sz w:val="20"/>
          <w:szCs w:val="20"/>
        </w:rPr>
        <w:t>;</w:t>
      </w:r>
    </w:p>
    <w:p w:rsidR="00853449"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efectos </w:t>
      </w:r>
      <w:r w:rsidR="00853449" w:rsidRPr="00AC4AEA">
        <w:rPr>
          <w:rFonts w:ascii="Arial" w:hAnsi="Arial" w:cs="Arial"/>
          <w:sz w:val="20"/>
          <w:szCs w:val="20"/>
        </w:rPr>
        <w:t>de la estacionalidad de sus actividades</w:t>
      </w:r>
      <w:r w:rsidR="00F5272A" w:rsidRPr="00AC4AEA">
        <w:rPr>
          <w:rFonts w:ascii="Arial" w:hAnsi="Arial" w:cs="Arial"/>
          <w:sz w:val="20"/>
          <w:szCs w:val="20"/>
        </w:rPr>
        <w:t>;</w:t>
      </w:r>
      <w:r w:rsidR="009067BA" w:rsidRPr="00AC4AEA">
        <w:rPr>
          <w:rFonts w:ascii="Arial" w:hAnsi="Arial" w:cs="Arial"/>
          <w:sz w:val="20"/>
          <w:szCs w:val="20"/>
        </w:rPr>
        <w:t xml:space="preserve"> </w:t>
      </w:r>
      <w:r w:rsidR="00FB2865" w:rsidRPr="00AC4AEA">
        <w:rPr>
          <w:rFonts w:ascii="Arial" w:hAnsi="Arial" w:cs="Arial"/>
          <w:sz w:val="20"/>
          <w:szCs w:val="20"/>
        </w:rPr>
        <w:t>u</w:t>
      </w:r>
    </w:p>
    <w:p w:rsidR="00853449" w:rsidRPr="00AC4AEA" w:rsidRDefault="00F4017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otros </w:t>
      </w:r>
      <w:r w:rsidR="00853449" w:rsidRPr="00AC4AEA">
        <w:rPr>
          <w:rFonts w:ascii="Arial" w:hAnsi="Arial" w:cs="Arial"/>
          <w:sz w:val="20"/>
          <w:szCs w:val="20"/>
        </w:rPr>
        <w:t>hechos.</w:t>
      </w:r>
    </w:p>
    <w:p w:rsidR="005E1D49" w:rsidRPr="00AC4AEA" w:rsidRDefault="005E1D49" w:rsidP="00A318EA">
      <w:pPr>
        <w:pStyle w:val="A-Normal11"/>
        <w:jc w:val="both"/>
        <w:rPr>
          <w:rFonts w:ascii="Arial" w:hAnsi="Arial" w:cs="Arial"/>
          <w:sz w:val="20"/>
        </w:rPr>
      </w:pPr>
    </w:p>
    <w:p w:rsidR="001043B8" w:rsidRPr="00AC4AEA" w:rsidRDefault="00EF4E47" w:rsidP="00A318EA">
      <w:pPr>
        <w:pStyle w:val="Ttulo3"/>
      </w:pPr>
      <w:bookmarkStart w:id="77" w:name="_Toc101863719"/>
      <w:bookmarkStart w:id="78" w:name="_Toc139356587"/>
      <w:r w:rsidRPr="00AC4AEA">
        <w:t>Modificación de la información de ejercicios anteriores</w:t>
      </w:r>
      <w:bookmarkEnd w:id="77"/>
      <w:bookmarkEnd w:id="78"/>
      <w:r w:rsidRPr="00AC4AEA">
        <w:t> </w:t>
      </w:r>
    </w:p>
    <w:p w:rsidR="001E1F8E" w:rsidRPr="00AC4AEA" w:rsidRDefault="001E1F8E" w:rsidP="00A318EA">
      <w:pPr>
        <w:pStyle w:val="Prrafodelista"/>
        <w:numPr>
          <w:ilvl w:val="0"/>
          <w:numId w:val="29"/>
        </w:numPr>
        <w:contextualSpacing w:val="0"/>
        <w:jc w:val="both"/>
        <w:rPr>
          <w:rFonts w:ascii="Arial" w:hAnsi="Arial" w:cs="Arial"/>
          <w:sz w:val="20"/>
          <w:szCs w:val="20"/>
        </w:rPr>
      </w:pPr>
      <w:bookmarkStart w:id="79" w:name="_Ref99457793"/>
      <w:r w:rsidRPr="00AC4AEA">
        <w:rPr>
          <w:rFonts w:ascii="Arial" w:hAnsi="Arial" w:cs="Arial"/>
          <w:sz w:val="20"/>
          <w:szCs w:val="20"/>
        </w:rPr>
        <w:t>Una entidad modificará la información de ejercicios anteriores cuando:</w:t>
      </w:r>
      <w:bookmarkEnd w:id="79"/>
    </w:p>
    <w:p w:rsidR="00353139" w:rsidRPr="00AC4AEA" w:rsidRDefault="00C33BB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cambie </w:t>
      </w:r>
      <w:r w:rsidR="00353139" w:rsidRPr="00AC4AEA">
        <w:rPr>
          <w:rFonts w:ascii="Arial" w:hAnsi="Arial" w:cs="Arial"/>
          <w:sz w:val="20"/>
          <w:szCs w:val="20"/>
        </w:rPr>
        <w:t>el modo de presentación o clasificación de las partidas</w:t>
      </w:r>
      <w:r w:rsidR="002D561C" w:rsidRPr="00AC4AEA">
        <w:rPr>
          <w:rFonts w:ascii="Arial" w:hAnsi="Arial" w:cs="Arial"/>
          <w:sz w:val="20"/>
          <w:szCs w:val="20"/>
        </w:rPr>
        <w:t xml:space="preserve"> (modificaciones que implican una variación cualitativa)</w:t>
      </w:r>
      <w:r w:rsidR="00353139" w:rsidRPr="00AC4AEA">
        <w:rPr>
          <w:rFonts w:ascii="Arial" w:hAnsi="Arial" w:cs="Arial"/>
          <w:sz w:val="20"/>
          <w:szCs w:val="20"/>
        </w:rPr>
        <w:t>; o</w:t>
      </w:r>
    </w:p>
    <w:p w:rsidR="001E1F8E" w:rsidRPr="00AC4AEA" w:rsidRDefault="0035313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ajuste </w:t>
      </w:r>
      <w:r w:rsidR="00392773" w:rsidRPr="00AC4AEA">
        <w:rPr>
          <w:rFonts w:ascii="Arial" w:hAnsi="Arial" w:cs="Arial"/>
          <w:sz w:val="20"/>
          <w:szCs w:val="20"/>
        </w:rPr>
        <w:t>uno o más componentes de</w:t>
      </w:r>
      <w:r w:rsidR="002A326D" w:rsidRPr="00AC4AEA">
        <w:rPr>
          <w:rFonts w:ascii="Arial" w:hAnsi="Arial" w:cs="Arial"/>
          <w:sz w:val="20"/>
          <w:szCs w:val="20"/>
        </w:rPr>
        <w:t>l</w:t>
      </w:r>
      <w:r w:rsidR="00D21BC1" w:rsidRPr="00AC4AEA">
        <w:rPr>
          <w:rFonts w:ascii="Arial" w:hAnsi="Arial" w:cs="Arial"/>
          <w:sz w:val="20"/>
          <w:szCs w:val="20"/>
        </w:rPr>
        <w:t xml:space="preserve"> </w:t>
      </w:r>
      <w:r w:rsidR="00D21BC1" w:rsidRPr="00AC4AEA">
        <w:rPr>
          <w:rFonts w:ascii="Arial" w:hAnsi="Arial" w:cs="Arial"/>
          <w:b/>
          <w:bCs/>
          <w:sz w:val="20"/>
          <w:szCs w:val="20"/>
        </w:rPr>
        <w:t>patrimonio</w:t>
      </w:r>
      <w:r w:rsidR="002A326D" w:rsidRPr="00AC4AEA">
        <w:rPr>
          <w:rFonts w:ascii="Arial" w:hAnsi="Arial" w:cs="Arial"/>
          <w:b/>
          <w:bCs/>
          <w:sz w:val="20"/>
          <w:szCs w:val="20"/>
        </w:rPr>
        <w:t xml:space="preserve"> neto</w:t>
      </w:r>
      <w:r w:rsidRPr="00AC4AEA">
        <w:rPr>
          <w:rFonts w:ascii="Arial" w:hAnsi="Arial" w:cs="Arial"/>
          <w:sz w:val="20"/>
          <w:szCs w:val="20"/>
        </w:rPr>
        <w:t xml:space="preserve"> de dichos ejercicios</w:t>
      </w:r>
      <w:r w:rsidR="00BF24D4" w:rsidRPr="00AC4AEA">
        <w:rPr>
          <w:rFonts w:ascii="Arial" w:hAnsi="Arial" w:cs="Arial"/>
          <w:sz w:val="20"/>
          <w:szCs w:val="20"/>
        </w:rPr>
        <w:t xml:space="preserve"> (modificaciones que implican una variación cuantitativa)</w:t>
      </w:r>
      <w:r w:rsidRPr="00AC4AEA">
        <w:rPr>
          <w:rFonts w:ascii="Arial" w:hAnsi="Arial" w:cs="Arial"/>
          <w:sz w:val="20"/>
          <w:szCs w:val="20"/>
        </w:rPr>
        <w:t>. En este caso:</w:t>
      </w:r>
    </w:p>
    <w:p w:rsidR="001043B8" w:rsidRPr="00AC4AEA" w:rsidRDefault="006575E0"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expo</w:t>
      </w:r>
      <w:r w:rsidR="00353139" w:rsidRPr="00AC4AEA">
        <w:rPr>
          <w:rFonts w:ascii="Arial" w:hAnsi="Arial" w:cs="Arial"/>
          <w:sz w:val="20"/>
          <w:szCs w:val="20"/>
        </w:rPr>
        <w:t>ndrá</w:t>
      </w:r>
      <w:r w:rsidRPr="00AC4AEA">
        <w:rPr>
          <w:rFonts w:ascii="Arial" w:hAnsi="Arial" w:cs="Arial"/>
          <w:sz w:val="20"/>
          <w:szCs w:val="20"/>
        </w:rPr>
        <w:t xml:space="preserve"> </w:t>
      </w:r>
      <w:r w:rsidR="001043B8" w:rsidRPr="00AC4AEA">
        <w:rPr>
          <w:rFonts w:ascii="Arial" w:hAnsi="Arial" w:cs="Arial"/>
          <w:sz w:val="20"/>
          <w:szCs w:val="20"/>
        </w:rPr>
        <w:t>su efecto sobre los saldos iniciales que se presenten en el estado de evolución de patrimonio neto y, cuando correspondiere, en el estado de flujo</w:t>
      </w:r>
      <w:r w:rsidR="002D5B71" w:rsidRPr="00AC4AEA">
        <w:rPr>
          <w:rFonts w:ascii="Arial" w:hAnsi="Arial" w:cs="Arial"/>
          <w:sz w:val="20"/>
          <w:szCs w:val="20"/>
        </w:rPr>
        <w:t>s</w:t>
      </w:r>
      <w:r w:rsidR="001043B8" w:rsidRPr="00AC4AEA">
        <w:rPr>
          <w:rFonts w:ascii="Arial" w:hAnsi="Arial" w:cs="Arial"/>
          <w:sz w:val="20"/>
          <w:szCs w:val="20"/>
        </w:rPr>
        <w:t xml:space="preserve"> de efectivo</w:t>
      </w:r>
      <w:r w:rsidRPr="00AC4AEA">
        <w:rPr>
          <w:rFonts w:ascii="Arial" w:hAnsi="Arial" w:cs="Arial"/>
          <w:sz w:val="20"/>
          <w:szCs w:val="20"/>
        </w:rPr>
        <w:t>;</w:t>
      </w:r>
      <w:r w:rsidR="009067BA" w:rsidRPr="00AC4AEA">
        <w:rPr>
          <w:rFonts w:ascii="Arial" w:hAnsi="Arial" w:cs="Arial"/>
          <w:sz w:val="20"/>
          <w:szCs w:val="20"/>
        </w:rPr>
        <w:t xml:space="preserve"> y</w:t>
      </w:r>
    </w:p>
    <w:p w:rsidR="001043B8" w:rsidRPr="00AC4AEA" w:rsidRDefault="006575E0"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adecuar</w:t>
      </w:r>
      <w:r w:rsidR="00353139" w:rsidRPr="00AC4AEA">
        <w:rPr>
          <w:rFonts w:ascii="Arial" w:hAnsi="Arial" w:cs="Arial"/>
          <w:sz w:val="20"/>
          <w:szCs w:val="20"/>
        </w:rPr>
        <w:t>á</w:t>
      </w:r>
      <w:r w:rsidRPr="00AC4AEA">
        <w:rPr>
          <w:rFonts w:ascii="Arial" w:hAnsi="Arial" w:cs="Arial"/>
          <w:sz w:val="20"/>
          <w:szCs w:val="20"/>
        </w:rPr>
        <w:t xml:space="preserve"> </w:t>
      </w:r>
      <w:r w:rsidR="001043B8" w:rsidRPr="00AC4AEA">
        <w:rPr>
          <w:rFonts w:ascii="Arial" w:hAnsi="Arial" w:cs="Arial"/>
          <w:sz w:val="20"/>
          <w:szCs w:val="20"/>
        </w:rPr>
        <w:t xml:space="preserve">las cifras correspondientes </w:t>
      </w:r>
      <w:r w:rsidR="00C671AF" w:rsidRPr="00AC4AEA">
        <w:rPr>
          <w:rFonts w:ascii="Arial" w:hAnsi="Arial" w:cs="Arial"/>
          <w:sz w:val="20"/>
          <w:szCs w:val="20"/>
        </w:rPr>
        <w:t>a los</w:t>
      </w:r>
      <w:r w:rsidR="001043B8" w:rsidRPr="00AC4AEA">
        <w:rPr>
          <w:rFonts w:ascii="Arial" w:hAnsi="Arial" w:cs="Arial"/>
          <w:sz w:val="20"/>
          <w:szCs w:val="20"/>
        </w:rPr>
        <w:t xml:space="preserve"> período</w:t>
      </w:r>
      <w:r w:rsidR="00C671AF" w:rsidRPr="00AC4AEA">
        <w:rPr>
          <w:rFonts w:ascii="Arial" w:hAnsi="Arial" w:cs="Arial"/>
          <w:sz w:val="20"/>
          <w:szCs w:val="20"/>
        </w:rPr>
        <w:t>s</w:t>
      </w:r>
      <w:r w:rsidR="001043B8" w:rsidRPr="00AC4AEA">
        <w:rPr>
          <w:rFonts w:ascii="Arial" w:hAnsi="Arial" w:cs="Arial"/>
          <w:sz w:val="20"/>
          <w:szCs w:val="20"/>
        </w:rPr>
        <w:t xml:space="preserve"> </w:t>
      </w:r>
      <w:r w:rsidR="00274DF8" w:rsidRPr="00AC4AEA">
        <w:rPr>
          <w:rFonts w:ascii="Arial" w:hAnsi="Arial" w:cs="Arial"/>
          <w:sz w:val="20"/>
          <w:szCs w:val="20"/>
        </w:rPr>
        <w:t>previos</w:t>
      </w:r>
      <w:r w:rsidR="001043B8" w:rsidRPr="00AC4AEA">
        <w:rPr>
          <w:rFonts w:ascii="Arial" w:hAnsi="Arial" w:cs="Arial"/>
          <w:sz w:val="20"/>
          <w:szCs w:val="20"/>
        </w:rPr>
        <w:t xml:space="preserve"> que se incluyan como información comparativa. </w:t>
      </w:r>
    </w:p>
    <w:p w:rsidR="001043B8" w:rsidRPr="00AC4AEA" w:rsidRDefault="001043B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Cada vez que </w:t>
      </w:r>
      <w:r w:rsidR="00853449" w:rsidRPr="00AC4AEA">
        <w:rPr>
          <w:rFonts w:ascii="Arial" w:hAnsi="Arial" w:cs="Arial"/>
          <w:sz w:val="20"/>
          <w:szCs w:val="20"/>
        </w:rPr>
        <w:t>se modif</w:t>
      </w:r>
      <w:r w:rsidR="00A322AF" w:rsidRPr="00AC4AEA">
        <w:rPr>
          <w:rFonts w:ascii="Arial" w:hAnsi="Arial" w:cs="Arial"/>
          <w:sz w:val="20"/>
          <w:szCs w:val="20"/>
        </w:rPr>
        <w:t>i</w:t>
      </w:r>
      <w:r w:rsidR="00853449" w:rsidRPr="00AC4AEA">
        <w:rPr>
          <w:rFonts w:ascii="Arial" w:hAnsi="Arial" w:cs="Arial"/>
          <w:sz w:val="20"/>
          <w:szCs w:val="20"/>
        </w:rPr>
        <w:t>que</w:t>
      </w:r>
      <w:r w:rsidRPr="00AC4AEA">
        <w:rPr>
          <w:rFonts w:ascii="Arial" w:hAnsi="Arial" w:cs="Arial"/>
          <w:sz w:val="20"/>
          <w:szCs w:val="20"/>
        </w:rPr>
        <w:t xml:space="preserve"> la información de ejercicios anteriores</w:t>
      </w:r>
      <w:r w:rsidR="00CD152F" w:rsidRPr="00AC4AEA">
        <w:rPr>
          <w:rFonts w:ascii="Arial" w:hAnsi="Arial" w:cs="Arial"/>
          <w:sz w:val="20"/>
          <w:szCs w:val="20"/>
        </w:rPr>
        <w:t>,</w:t>
      </w:r>
      <w:r w:rsidRPr="00AC4AEA">
        <w:rPr>
          <w:rFonts w:ascii="Arial" w:hAnsi="Arial" w:cs="Arial"/>
          <w:sz w:val="20"/>
          <w:szCs w:val="20"/>
        </w:rPr>
        <w:t xml:space="preserve"> </w:t>
      </w:r>
      <w:r w:rsidR="00EF4E47" w:rsidRPr="00AC4AEA">
        <w:rPr>
          <w:rFonts w:ascii="Arial" w:hAnsi="Arial" w:cs="Arial"/>
          <w:sz w:val="20"/>
          <w:szCs w:val="20"/>
        </w:rPr>
        <w:t>una entidad</w:t>
      </w:r>
      <w:r w:rsidRPr="00AC4AEA">
        <w:rPr>
          <w:rFonts w:ascii="Arial" w:hAnsi="Arial" w:cs="Arial"/>
          <w:sz w:val="20"/>
          <w:szCs w:val="20"/>
        </w:rPr>
        <w:t xml:space="preserve"> </w:t>
      </w:r>
      <w:r w:rsidR="00F470F0" w:rsidRPr="00AC4AEA">
        <w:rPr>
          <w:rFonts w:ascii="Arial" w:hAnsi="Arial" w:cs="Arial"/>
          <w:sz w:val="20"/>
          <w:szCs w:val="20"/>
        </w:rPr>
        <w:t>revelará en notas</w:t>
      </w:r>
      <w:r w:rsidRPr="00AC4AEA">
        <w:rPr>
          <w:rFonts w:ascii="Arial" w:hAnsi="Arial" w:cs="Arial"/>
          <w:sz w:val="20"/>
          <w:szCs w:val="20"/>
        </w:rPr>
        <w:t>: </w:t>
      </w:r>
    </w:p>
    <w:p w:rsidR="001043B8" w:rsidRPr="00AC4AEA" w:rsidRDefault="006575E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 xml:space="preserve">la </w:t>
      </w:r>
      <w:r w:rsidR="001043B8" w:rsidRPr="00AC4AEA">
        <w:rPr>
          <w:rFonts w:ascii="Arial" w:hAnsi="Arial" w:cs="Arial"/>
          <w:sz w:val="20"/>
          <w:szCs w:val="20"/>
        </w:rPr>
        <w:t xml:space="preserve">naturaleza </w:t>
      </w:r>
      <w:r w:rsidR="00A322AF" w:rsidRPr="00AC4AEA">
        <w:rPr>
          <w:rFonts w:ascii="Arial" w:hAnsi="Arial" w:cs="Arial"/>
          <w:sz w:val="20"/>
          <w:szCs w:val="20"/>
        </w:rPr>
        <w:t>del cambio</w:t>
      </w:r>
      <w:r w:rsidR="001043B8" w:rsidRPr="00AC4AEA">
        <w:rPr>
          <w:rFonts w:ascii="Arial" w:hAnsi="Arial" w:cs="Arial"/>
          <w:sz w:val="20"/>
          <w:szCs w:val="20"/>
        </w:rPr>
        <w:t>; </w:t>
      </w:r>
    </w:p>
    <w:p w:rsidR="001043B8" w:rsidRPr="00AC4AEA" w:rsidRDefault="006575E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el </w:t>
      </w:r>
      <w:r w:rsidR="001043B8" w:rsidRPr="00AC4AEA">
        <w:rPr>
          <w:rFonts w:ascii="Arial" w:hAnsi="Arial" w:cs="Arial"/>
          <w:sz w:val="20"/>
          <w:szCs w:val="20"/>
        </w:rPr>
        <w:t xml:space="preserve">importe de cada partida o grupo de partidas </w:t>
      </w:r>
      <w:r w:rsidR="00A322AF" w:rsidRPr="00AC4AEA">
        <w:rPr>
          <w:rFonts w:ascii="Arial" w:hAnsi="Arial" w:cs="Arial"/>
          <w:sz w:val="20"/>
          <w:szCs w:val="20"/>
        </w:rPr>
        <w:t>modificadas</w:t>
      </w:r>
      <w:r w:rsidRPr="00AC4AEA">
        <w:rPr>
          <w:rFonts w:ascii="Arial" w:hAnsi="Arial" w:cs="Arial"/>
          <w:sz w:val="20"/>
          <w:szCs w:val="20"/>
        </w:rPr>
        <w:t>;</w:t>
      </w:r>
      <w:r w:rsidR="001043B8" w:rsidRPr="00AC4AEA">
        <w:rPr>
          <w:rFonts w:ascii="Arial" w:hAnsi="Arial" w:cs="Arial"/>
          <w:sz w:val="20"/>
          <w:szCs w:val="20"/>
        </w:rPr>
        <w:t xml:space="preserve"> y </w:t>
      </w:r>
    </w:p>
    <w:p w:rsidR="001043B8" w:rsidRPr="00AC4AEA" w:rsidRDefault="006575E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el </w:t>
      </w:r>
      <w:r w:rsidR="001043B8" w:rsidRPr="00AC4AEA">
        <w:rPr>
          <w:rFonts w:ascii="Arial" w:hAnsi="Arial" w:cs="Arial"/>
          <w:sz w:val="20"/>
          <w:szCs w:val="20"/>
        </w:rPr>
        <w:t>motivo de la modificación. </w:t>
      </w:r>
    </w:p>
    <w:p w:rsidR="00A46EFA" w:rsidRPr="00AC4AEA" w:rsidRDefault="001043B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w:t>
      </w:r>
      <w:r w:rsidR="00E36E68" w:rsidRPr="00AC4AEA">
        <w:rPr>
          <w:rFonts w:ascii="Arial" w:hAnsi="Arial" w:cs="Arial"/>
          <w:sz w:val="20"/>
          <w:szCs w:val="20"/>
        </w:rPr>
        <w:t>resulte</w:t>
      </w:r>
      <w:r w:rsidRPr="00AC4AEA">
        <w:rPr>
          <w:rFonts w:ascii="Arial" w:hAnsi="Arial" w:cs="Arial"/>
          <w:sz w:val="20"/>
          <w:szCs w:val="20"/>
        </w:rPr>
        <w:t xml:space="preserve"> </w:t>
      </w:r>
      <w:r w:rsidRPr="00AC4AEA">
        <w:rPr>
          <w:rFonts w:ascii="Arial" w:hAnsi="Arial" w:cs="Arial"/>
          <w:b/>
          <w:bCs/>
          <w:sz w:val="20"/>
          <w:szCs w:val="20"/>
        </w:rPr>
        <w:t>impracticable</w:t>
      </w:r>
      <w:r w:rsidRPr="00AC4AEA">
        <w:rPr>
          <w:rFonts w:ascii="Arial" w:hAnsi="Arial" w:cs="Arial"/>
          <w:sz w:val="20"/>
          <w:szCs w:val="20"/>
        </w:rPr>
        <w:t xml:space="preserve"> determinar los efectos </w:t>
      </w:r>
      <w:r w:rsidR="00FD2777" w:rsidRPr="00AC4AEA">
        <w:rPr>
          <w:rFonts w:ascii="Arial" w:hAnsi="Arial" w:cs="Arial"/>
          <w:sz w:val="20"/>
          <w:szCs w:val="20"/>
        </w:rPr>
        <w:t xml:space="preserve">de algún </w:t>
      </w:r>
      <w:r w:rsidRPr="00AC4AEA">
        <w:rPr>
          <w:rFonts w:ascii="Arial" w:hAnsi="Arial" w:cs="Arial"/>
          <w:sz w:val="20"/>
          <w:szCs w:val="20"/>
        </w:rPr>
        <w:t xml:space="preserve">cambio </w:t>
      </w:r>
      <w:r w:rsidR="00FD2777" w:rsidRPr="00AC4AEA">
        <w:rPr>
          <w:rFonts w:ascii="Arial" w:hAnsi="Arial" w:cs="Arial"/>
          <w:sz w:val="20"/>
          <w:szCs w:val="20"/>
        </w:rPr>
        <w:t>introducido en</w:t>
      </w:r>
      <w:r w:rsidR="003A1716" w:rsidRPr="00AC4AEA">
        <w:rPr>
          <w:rFonts w:ascii="Arial" w:hAnsi="Arial" w:cs="Arial"/>
          <w:sz w:val="20"/>
          <w:szCs w:val="20"/>
        </w:rPr>
        <w:t xml:space="preserve"> esta Resolución Técnica </w:t>
      </w:r>
      <w:r w:rsidR="00C33BBE" w:rsidRPr="00AC4AEA">
        <w:rPr>
          <w:rFonts w:ascii="Arial" w:hAnsi="Arial" w:cs="Arial"/>
          <w:sz w:val="20"/>
          <w:szCs w:val="20"/>
        </w:rPr>
        <w:t>u</w:t>
      </w:r>
      <w:r w:rsidR="003A1716" w:rsidRPr="00AC4AEA">
        <w:rPr>
          <w:rFonts w:ascii="Arial" w:hAnsi="Arial" w:cs="Arial"/>
          <w:sz w:val="20"/>
          <w:szCs w:val="20"/>
        </w:rPr>
        <w:t xml:space="preserve"> </w:t>
      </w:r>
      <w:r w:rsidR="003A1716" w:rsidRPr="00AC4AEA">
        <w:rPr>
          <w:rFonts w:ascii="Arial" w:hAnsi="Arial" w:cs="Arial"/>
          <w:b/>
          <w:bCs/>
          <w:sz w:val="20"/>
          <w:szCs w:val="20"/>
        </w:rPr>
        <w:t>otras normas contables</w:t>
      </w:r>
      <w:r w:rsidR="003A1716" w:rsidRPr="00AC4AEA">
        <w:rPr>
          <w:rFonts w:ascii="Arial" w:hAnsi="Arial" w:cs="Arial"/>
          <w:sz w:val="20"/>
          <w:szCs w:val="20"/>
        </w:rPr>
        <w:t>,</w:t>
      </w:r>
      <w:r w:rsidR="00A82EFF" w:rsidRPr="00AC4AEA">
        <w:rPr>
          <w:rFonts w:ascii="Arial" w:hAnsi="Arial" w:cs="Arial"/>
          <w:sz w:val="20"/>
          <w:szCs w:val="20"/>
        </w:rPr>
        <w:t xml:space="preserve"> </w:t>
      </w:r>
      <w:r w:rsidRPr="00AC4AEA">
        <w:rPr>
          <w:rFonts w:ascii="Arial" w:hAnsi="Arial" w:cs="Arial"/>
          <w:sz w:val="20"/>
          <w:szCs w:val="20"/>
        </w:rPr>
        <w:t xml:space="preserve">de </w:t>
      </w:r>
      <w:r w:rsidR="00903E3A" w:rsidRPr="00AC4AEA">
        <w:rPr>
          <w:rFonts w:ascii="Arial" w:hAnsi="Arial" w:cs="Arial"/>
          <w:sz w:val="20"/>
          <w:szCs w:val="20"/>
        </w:rPr>
        <w:t xml:space="preserve">una </w:t>
      </w:r>
      <w:r w:rsidR="00596F3F" w:rsidRPr="00AC4AEA">
        <w:rPr>
          <w:rFonts w:ascii="Arial" w:hAnsi="Arial" w:cs="Arial"/>
          <w:b/>
          <w:bCs/>
          <w:sz w:val="20"/>
          <w:szCs w:val="20"/>
        </w:rPr>
        <w:t>política contable</w:t>
      </w:r>
      <w:r w:rsidR="00C33BBE" w:rsidRPr="00AC4AEA">
        <w:rPr>
          <w:rFonts w:ascii="Arial" w:hAnsi="Arial" w:cs="Arial"/>
          <w:sz w:val="20"/>
          <w:szCs w:val="20"/>
        </w:rPr>
        <w:t xml:space="preserve"> </w:t>
      </w:r>
      <w:r w:rsidRPr="00AC4AEA">
        <w:rPr>
          <w:rFonts w:ascii="Arial" w:hAnsi="Arial" w:cs="Arial"/>
          <w:sz w:val="20"/>
          <w:szCs w:val="20"/>
        </w:rPr>
        <w:t xml:space="preserve">o de la corrección de un error sobre la información comparativa en uno o más períodos anteriores para los que se presente información, </w:t>
      </w:r>
      <w:r w:rsidR="00235FF3" w:rsidRPr="00AC4AEA">
        <w:rPr>
          <w:rFonts w:ascii="Arial" w:hAnsi="Arial" w:cs="Arial"/>
          <w:sz w:val="20"/>
          <w:szCs w:val="20"/>
        </w:rPr>
        <w:t>una</w:t>
      </w:r>
      <w:r w:rsidRPr="00AC4AEA">
        <w:rPr>
          <w:rFonts w:ascii="Arial" w:hAnsi="Arial" w:cs="Arial"/>
          <w:sz w:val="20"/>
          <w:szCs w:val="20"/>
        </w:rPr>
        <w:t xml:space="preserve"> entidad</w:t>
      </w:r>
      <w:r w:rsidR="00A46EFA" w:rsidRPr="00AC4AEA">
        <w:rPr>
          <w:rFonts w:ascii="Arial" w:hAnsi="Arial" w:cs="Arial"/>
          <w:sz w:val="20"/>
          <w:szCs w:val="20"/>
        </w:rPr>
        <w:t>:</w:t>
      </w:r>
    </w:p>
    <w:p w:rsidR="00A46EFA" w:rsidRPr="00AC4AEA" w:rsidRDefault="006575E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modificará </w:t>
      </w:r>
      <w:r w:rsidR="001043B8" w:rsidRPr="00AC4AEA">
        <w:rPr>
          <w:rFonts w:ascii="Arial" w:hAnsi="Arial" w:cs="Arial"/>
          <w:sz w:val="20"/>
          <w:szCs w:val="20"/>
        </w:rPr>
        <w:t xml:space="preserve">los saldos iniciales de los </w:t>
      </w:r>
      <w:r w:rsidR="00497590" w:rsidRPr="00AC4AEA">
        <w:rPr>
          <w:rFonts w:ascii="Arial" w:hAnsi="Arial" w:cs="Arial"/>
          <w:sz w:val="20"/>
          <w:szCs w:val="20"/>
        </w:rPr>
        <w:t>activos</w:t>
      </w:r>
      <w:r w:rsidR="001043B8" w:rsidRPr="00AC4AEA">
        <w:rPr>
          <w:rFonts w:ascii="Arial" w:hAnsi="Arial" w:cs="Arial"/>
          <w:sz w:val="20"/>
          <w:szCs w:val="20"/>
        </w:rPr>
        <w:t xml:space="preserve"> y </w:t>
      </w:r>
      <w:r w:rsidR="00497590" w:rsidRPr="00AC4AEA">
        <w:rPr>
          <w:rFonts w:ascii="Arial" w:hAnsi="Arial" w:cs="Arial"/>
          <w:sz w:val="20"/>
          <w:szCs w:val="20"/>
        </w:rPr>
        <w:t>pasivos</w:t>
      </w:r>
      <w:r w:rsidR="001043B8" w:rsidRPr="00AC4AEA">
        <w:rPr>
          <w:rFonts w:ascii="Arial" w:hAnsi="Arial" w:cs="Arial"/>
          <w:sz w:val="20"/>
          <w:szCs w:val="20"/>
        </w:rPr>
        <w:t xml:space="preserve"> al principio del período más antiguo para el que</w:t>
      </w:r>
      <w:r w:rsidR="00A322AF" w:rsidRPr="00AC4AEA">
        <w:rPr>
          <w:rFonts w:ascii="Arial" w:hAnsi="Arial" w:cs="Arial"/>
          <w:sz w:val="20"/>
          <w:szCs w:val="20"/>
        </w:rPr>
        <w:t xml:space="preserve"> sea practicable</w:t>
      </w:r>
      <w:r w:rsidR="001043B8" w:rsidRPr="00AC4AEA">
        <w:rPr>
          <w:rFonts w:ascii="Arial" w:hAnsi="Arial" w:cs="Arial"/>
          <w:sz w:val="20"/>
          <w:szCs w:val="20"/>
        </w:rPr>
        <w:t xml:space="preserve"> la modificación retroactiva, que podría </w:t>
      </w:r>
      <w:r w:rsidR="00A322AF" w:rsidRPr="00AC4AEA">
        <w:rPr>
          <w:rFonts w:ascii="Arial" w:hAnsi="Arial" w:cs="Arial"/>
          <w:sz w:val="20"/>
          <w:szCs w:val="20"/>
        </w:rPr>
        <w:t xml:space="preserve">coincidir con </w:t>
      </w:r>
      <w:r w:rsidR="001043B8" w:rsidRPr="00AC4AEA">
        <w:rPr>
          <w:rFonts w:ascii="Arial" w:hAnsi="Arial" w:cs="Arial"/>
          <w:sz w:val="20"/>
          <w:szCs w:val="20"/>
        </w:rPr>
        <w:t xml:space="preserve">el período </w:t>
      </w:r>
      <w:r w:rsidR="003B380A" w:rsidRPr="00AC4AEA">
        <w:rPr>
          <w:rFonts w:ascii="Arial" w:hAnsi="Arial" w:cs="Arial"/>
          <w:sz w:val="20"/>
          <w:szCs w:val="20"/>
        </w:rPr>
        <w:t>actual</w:t>
      </w:r>
      <w:r w:rsidRPr="00AC4AEA">
        <w:rPr>
          <w:rFonts w:ascii="Arial" w:hAnsi="Arial" w:cs="Arial"/>
          <w:sz w:val="20"/>
          <w:szCs w:val="20"/>
        </w:rPr>
        <w:t xml:space="preserve">; </w:t>
      </w:r>
      <w:r w:rsidR="001043B8" w:rsidRPr="00AC4AEA">
        <w:rPr>
          <w:rFonts w:ascii="Arial" w:hAnsi="Arial" w:cs="Arial"/>
          <w:sz w:val="20"/>
          <w:szCs w:val="20"/>
        </w:rPr>
        <w:t xml:space="preserve">y </w:t>
      </w:r>
    </w:p>
    <w:p w:rsidR="001043B8" w:rsidRPr="00AC4AEA" w:rsidRDefault="006575E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efectuará </w:t>
      </w:r>
      <w:r w:rsidR="001043B8" w:rsidRPr="00AC4AEA">
        <w:rPr>
          <w:rFonts w:ascii="Arial" w:hAnsi="Arial" w:cs="Arial"/>
          <w:sz w:val="20"/>
          <w:szCs w:val="20"/>
        </w:rPr>
        <w:t xml:space="preserve">el correspondiente ajuste a los saldos iniciales de cada componente del </w:t>
      </w:r>
      <w:r w:rsidR="001043B8" w:rsidRPr="00AC4AEA">
        <w:rPr>
          <w:rFonts w:ascii="Arial" w:hAnsi="Arial" w:cs="Arial"/>
          <w:b/>
          <w:bCs/>
          <w:sz w:val="20"/>
          <w:szCs w:val="20"/>
        </w:rPr>
        <w:t>patrimonio</w:t>
      </w:r>
      <w:r w:rsidR="00F470F0" w:rsidRPr="00AC4AEA">
        <w:rPr>
          <w:rFonts w:ascii="Arial" w:hAnsi="Arial" w:cs="Arial"/>
          <w:b/>
          <w:bCs/>
          <w:sz w:val="20"/>
          <w:szCs w:val="20"/>
        </w:rPr>
        <w:t xml:space="preserve"> neto</w:t>
      </w:r>
      <w:r w:rsidR="001043B8" w:rsidRPr="00AC4AEA">
        <w:rPr>
          <w:rFonts w:ascii="Arial" w:hAnsi="Arial" w:cs="Arial"/>
          <w:sz w:val="20"/>
          <w:szCs w:val="20"/>
        </w:rPr>
        <w:t xml:space="preserve"> </w:t>
      </w:r>
      <w:r w:rsidR="006C4B86" w:rsidRPr="00AC4AEA">
        <w:rPr>
          <w:rFonts w:ascii="Arial" w:hAnsi="Arial" w:cs="Arial"/>
          <w:sz w:val="20"/>
          <w:szCs w:val="20"/>
        </w:rPr>
        <w:t>de</w:t>
      </w:r>
      <w:r w:rsidR="001043B8" w:rsidRPr="00AC4AEA">
        <w:rPr>
          <w:rFonts w:ascii="Arial" w:hAnsi="Arial" w:cs="Arial"/>
          <w:sz w:val="20"/>
          <w:szCs w:val="20"/>
        </w:rPr>
        <w:t xml:space="preserve"> ese período.</w:t>
      </w:r>
    </w:p>
    <w:p w:rsidR="001043B8" w:rsidRPr="00AC4AEA" w:rsidRDefault="00E36E6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 una entidad le resultará </w:t>
      </w:r>
      <w:r w:rsidRPr="00AC4AEA">
        <w:rPr>
          <w:rFonts w:ascii="Arial" w:hAnsi="Arial" w:cs="Arial"/>
          <w:b/>
          <w:bCs/>
          <w:sz w:val="20"/>
          <w:szCs w:val="20"/>
        </w:rPr>
        <w:t>impracticable</w:t>
      </w:r>
      <w:r w:rsidRPr="00AC4AEA">
        <w:rPr>
          <w:rFonts w:ascii="Arial" w:hAnsi="Arial" w:cs="Arial"/>
          <w:sz w:val="20"/>
          <w:szCs w:val="20"/>
        </w:rPr>
        <w:t xml:space="preserve"> l</w:t>
      </w:r>
      <w:r w:rsidR="001043B8" w:rsidRPr="00AC4AEA">
        <w:rPr>
          <w:rFonts w:ascii="Arial" w:hAnsi="Arial" w:cs="Arial"/>
          <w:sz w:val="20"/>
          <w:szCs w:val="20"/>
        </w:rPr>
        <w:t>a aplicación retroactiva</w:t>
      </w:r>
      <w:r w:rsidR="00353139" w:rsidRPr="00AC4AEA">
        <w:rPr>
          <w:rFonts w:ascii="Arial" w:hAnsi="Arial" w:cs="Arial"/>
          <w:sz w:val="20"/>
          <w:szCs w:val="20"/>
        </w:rPr>
        <w:t>,</w:t>
      </w:r>
      <w:r w:rsidR="001043B8" w:rsidRPr="00AC4AEA">
        <w:rPr>
          <w:rFonts w:ascii="Arial" w:hAnsi="Arial" w:cs="Arial"/>
          <w:sz w:val="20"/>
          <w:szCs w:val="20"/>
        </w:rPr>
        <w:t xml:space="preserve"> a menos que sea posible determinar el efecto acumulado de tal aplicación sobre los saldos del estado de situación patrimonial tanto al inicio como al cierre </w:t>
      </w:r>
      <w:r w:rsidR="00353139" w:rsidRPr="00AC4AEA">
        <w:rPr>
          <w:rFonts w:ascii="Arial" w:hAnsi="Arial" w:cs="Arial"/>
          <w:sz w:val="20"/>
          <w:szCs w:val="20"/>
        </w:rPr>
        <w:t>del ejercicio anterior</w:t>
      </w:r>
      <w:r w:rsidR="001043B8" w:rsidRPr="00AC4AEA">
        <w:rPr>
          <w:rFonts w:ascii="Arial" w:hAnsi="Arial" w:cs="Arial"/>
          <w:sz w:val="20"/>
          <w:szCs w:val="20"/>
        </w:rPr>
        <w:t>. </w:t>
      </w:r>
    </w:p>
    <w:p w:rsidR="001043B8" w:rsidRPr="00AC4AEA" w:rsidRDefault="00CD152F" w:rsidP="00A318EA">
      <w:pPr>
        <w:pStyle w:val="Prrafodelista"/>
        <w:numPr>
          <w:ilvl w:val="0"/>
          <w:numId w:val="29"/>
        </w:numPr>
        <w:contextualSpacing w:val="0"/>
        <w:jc w:val="both"/>
        <w:rPr>
          <w:rFonts w:ascii="Arial" w:hAnsi="Arial" w:cs="Arial"/>
          <w:sz w:val="20"/>
          <w:szCs w:val="20"/>
        </w:rPr>
      </w:pPr>
      <w:bookmarkStart w:id="80" w:name="_Ref99457811"/>
      <w:r w:rsidRPr="00AC4AEA">
        <w:rPr>
          <w:rFonts w:ascii="Arial" w:hAnsi="Arial" w:cs="Arial"/>
          <w:sz w:val="20"/>
          <w:szCs w:val="20"/>
        </w:rPr>
        <w:t>La</w:t>
      </w:r>
      <w:r w:rsidR="001043B8" w:rsidRPr="00AC4AEA">
        <w:rPr>
          <w:rFonts w:ascii="Arial" w:hAnsi="Arial" w:cs="Arial"/>
          <w:sz w:val="20"/>
          <w:szCs w:val="20"/>
        </w:rPr>
        <w:t xml:space="preserve"> adecuación de la información comparativa no afecta</w:t>
      </w:r>
      <w:r w:rsidR="00F16AC7" w:rsidRPr="00AC4AEA">
        <w:rPr>
          <w:rFonts w:ascii="Arial" w:hAnsi="Arial" w:cs="Arial"/>
          <w:sz w:val="20"/>
          <w:szCs w:val="20"/>
        </w:rPr>
        <w:t>rá</w:t>
      </w:r>
      <w:r w:rsidR="00A322AF" w:rsidRPr="00AC4AEA">
        <w:rPr>
          <w:rFonts w:ascii="Arial" w:hAnsi="Arial" w:cs="Arial"/>
          <w:sz w:val="20"/>
          <w:szCs w:val="20"/>
        </w:rPr>
        <w:t xml:space="preserve"> </w:t>
      </w:r>
      <w:r w:rsidR="00121B2B" w:rsidRPr="00AC4AEA">
        <w:rPr>
          <w:rFonts w:ascii="Arial" w:hAnsi="Arial" w:cs="Arial"/>
          <w:sz w:val="20"/>
          <w:szCs w:val="20"/>
        </w:rPr>
        <w:t xml:space="preserve">al conjunto de </w:t>
      </w:r>
      <w:r w:rsidR="00135084" w:rsidRPr="00AC4AEA">
        <w:rPr>
          <w:rFonts w:ascii="Arial" w:hAnsi="Arial" w:cs="Arial"/>
          <w:b/>
          <w:bCs/>
          <w:sz w:val="20"/>
          <w:szCs w:val="20"/>
        </w:rPr>
        <w:t>estados contables</w:t>
      </w:r>
      <w:r w:rsidR="00121B2B" w:rsidRPr="00AC4AEA">
        <w:rPr>
          <w:rFonts w:ascii="Arial" w:hAnsi="Arial" w:cs="Arial"/>
          <w:sz w:val="20"/>
          <w:szCs w:val="20"/>
        </w:rPr>
        <w:t xml:space="preserve"> originalmente emitidos</w:t>
      </w:r>
      <w:r w:rsidR="00C671AF" w:rsidRPr="00AC4AEA">
        <w:rPr>
          <w:rFonts w:ascii="Arial" w:hAnsi="Arial" w:cs="Arial"/>
          <w:sz w:val="20"/>
          <w:szCs w:val="20"/>
        </w:rPr>
        <w:t xml:space="preserve"> </w:t>
      </w:r>
      <w:r w:rsidR="001043B8" w:rsidRPr="00AC4AEA">
        <w:rPr>
          <w:rFonts w:ascii="Arial" w:hAnsi="Arial" w:cs="Arial"/>
          <w:sz w:val="20"/>
          <w:szCs w:val="20"/>
        </w:rPr>
        <w:t xml:space="preserve">ni a las decisiones tomadas </w:t>
      </w:r>
      <w:r w:rsidR="00C671AF" w:rsidRPr="00AC4AEA">
        <w:rPr>
          <w:rFonts w:ascii="Arial" w:hAnsi="Arial" w:cs="Arial"/>
          <w:sz w:val="20"/>
          <w:szCs w:val="20"/>
        </w:rPr>
        <w:t>en función de la información contenida en ellos.</w:t>
      </w:r>
      <w:bookmarkEnd w:id="80"/>
    </w:p>
    <w:p w:rsidR="00AE7883" w:rsidRPr="00AC4AEA" w:rsidRDefault="00AE7883" w:rsidP="00A318EA">
      <w:pPr>
        <w:pStyle w:val="Ttulo1"/>
        <w:rPr>
          <w:rFonts w:cs="Arial"/>
          <w:sz w:val="20"/>
          <w:szCs w:val="20"/>
        </w:rPr>
      </w:pPr>
      <w:bookmarkStart w:id="81" w:name="politicas"/>
      <w:bookmarkStart w:id="82" w:name="_Toc101863722"/>
      <w:bookmarkEnd w:id="81"/>
    </w:p>
    <w:p w:rsidR="00711810" w:rsidRPr="00AC4AEA" w:rsidRDefault="00711810" w:rsidP="00A318EA">
      <w:pPr>
        <w:pStyle w:val="Ttulo1"/>
        <w:rPr>
          <w:rFonts w:cs="Arial"/>
          <w:sz w:val="20"/>
          <w:szCs w:val="20"/>
        </w:rPr>
      </w:pPr>
      <w:bookmarkStart w:id="83" w:name="_Toc139356588"/>
      <w:r w:rsidRPr="00AC4AEA">
        <w:rPr>
          <w:rFonts w:cs="Arial"/>
          <w:sz w:val="20"/>
          <w:szCs w:val="20"/>
        </w:rPr>
        <w:t xml:space="preserve">BASES GENERALES PARA LA PREPARACIÓN DE </w:t>
      </w:r>
      <w:r w:rsidR="00135084" w:rsidRPr="00AC4AEA">
        <w:rPr>
          <w:rFonts w:cs="Arial"/>
          <w:bCs/>
          <w:sz w:val="20"/>
          <w:szCs w:val="20"/>
        </w:rPr>
        <w:t>ESTADOS CONTABLES</w:t>
      </w:r>
      <w:bookmarkEnd w:id="82"/>
      <w:bookmarkEnd w:id="83"/>
    </w:p>
    <w:p w:rsidR="002902DE" w:rsidRPr="00AC4AEA" w:rsidRDefault="0096564E" w:rsidP="00A318EA">
      <w:pPr>
        <w:pStyle w:val="Ttulo1"/>
        <w:rPr>
          <w:rFonts w:cs="Arial"/>
          <w:sz w:val="20"/>
          <w:szCs w:val="20"/>
        </w:rPr>
      </w:pPr>
      <w:bookmarkStart w:id="84" w:name="_Toc101863723"/>
      <w:bookmarkStart w:id="85" w:name="_Toc139356589"/>
      <w:r w:rsidRPr="00AC4AEA">
        <w:rPr>
          <w:rFonts w:cs="Arial"/>
          <w:sz w:val="20"/>
          <w:szCs w:val="20"/>
        </w:rPr>
        <w:t>P</w:t>
      </w:r>
      <w:r w:rsidR="00B34D02" w:rsidRPr="00AC4AEA">
        <w:rPr>
          <w:rFonts w:cs="Arial"/>
          <w:caps w:val="0"/>
          <w:sz w:val="20"/>
          <w:szCs w:val="20"/>
        </w:rPr>
        <w:t>olíticas contables</w:t>
      </w:r>
      <w:bookmarkEnd w:id="84"/>
      <w:bookmarkEnd w:id="85"/>
    </w:p>
    <w:p w:rsidR="009567F8" w:rsidRPr="00AC4AEA" w:rsidRDefault="00FF5359" w:rsidP="00A318EA">
      <w:pPr>
        <w:pStyle w:val="Ttulo2"/>
        <w:rPr>
          <w:rFonts w:cs="Arial"/>
          <w:bCs/>
        </w:rPr>
      </w:pPr>
      <w:bookmarkStart w:id="86" w:name="_Toc101863724"/>
      <w:bookmarkStart w:id="87" w:name="_Toc139356590"/>
      <w:r w:rsidRPr="00AC4AEA">
        <w:rPr>
          <w:rFonts w:cs="Arial"/>
        </w:rPr>
        <w:t xml:space="preserve">Selección y aplicación de </w:t>
      </w:r>
      <w:r w:rsidR="00135084" w:rsidRPr="00AC4AEA">
        <w:rPr>
          <w:rFonts w:cs="Arial"/>
          <w:bCs/>
        </w:rPr>
        <w:t>políticas contables</w:t>
      </w:r>
      <w:bookmarkEnd w:id="86"/>
      <w:bookmarkEnd w:id="87"/>
    </w:p>
    <w:p w:rsidR="004D3602" w:rsidRPr="00AC4AEA" w:rsidRDefault="004D360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una sección de </w:t>
      </w:r>
      <w:r w:rsidR="00084BAB" w:rsidRPr="00AC4AEA">
        <w:rPr>
          <w:rFonts w:ascii="Arial" w:hAnsi="Arial" w:cs="Arial"/>
          <w:sz w:val="20"/>
          <w:szCs w:val="20"/>
        </w:rPr>
        <w:t xml:space="preserve">esta Resolución Técnica u </w:t>
      </w:r>
      <w:r w:rsidR="00084BAB" w:rsidRPr="00AC4AEA">
        <w:rPr>
          <w:rFonts w:ascii="Arial" w:hAnsi="Arial" w:cs="Arial"/>
          <w:b/>
          <w:bCs/>
          <w:sz w:val="20"/>
          <w:szCs w:val="20"/>
        </w:rPr>
        <w:t xml:space="preserve">otras normas contables </w:t>
      </w:r>
      <w:r w:rsidR="00084BAB" w:rsidRPr="00AC4AEA">
        <w:rPr>
          <w:rFonts w:ascii="Arial" w:hAnsi="Arial" w:cs="Arial"/>
          <w:sz w:val="20"/>
          <w:szCs w:val="20"/>
        </w:rPr>
        <w:t xml:space="preserve">vigentes </w:t>
      </w:r>
      <w:r w:rsidRPr="00AC4AEA">
        <w:rPr>
          <w:rFonts w:ascii="Arial" w:hAnsi="Arial" w:cs="Arial"/>
          <w:sz w:val="20"/>
          <w:szCs w:val="20"/>
        </w:rPr>
        <w:t>sea</w:t>
      </w:r>
      <w:r w:rsidR="00AD47CF" w:rsidRPr="00AC4AEA">
        <w:rPr>
          <w:rFonts w:ascii="Arial" w:hAnsi="Arial" w:cs="Arial"/>
          <w:sz w:val="20"/>
          <w:szCs w:val="20"/>
        </w:rPr>
        <w:t>n</w:t>
      </w:r>
      <w:r w:rsidRPr="00AC4AEA">
        <w:rPr>
          <w:rFonts w:ascii="Arial" w:hAnsi="Arial" w:cs="Arial"/>
          <w:sz w:val="20"/>
          <w:szCs w:val="20"/>
        </w:rPr>
        <w:t xml:space="preserve"> específicamente </w:t>
      </w:r>
      <w:r w:rsidR="004929B4" w:rsidRPr="00AC4AEA">
        <w:rPr>
          <w:rFonts w:ascii="Arial" w:hAnsi="Arial" w:cs="Arial"/>
          <w:sz w:val="20"/>
          <w:szCs w:val="20"/>
        </w:rPr>
        <w:t>requeridas para el tratamiento de</w:t>
      </w:r>
      <w:r w:rsidRPr="00AC4AEA">
        <w:rPr>
          <w:rFonts w:ascii="Arial" w:hAnsi="Arial" w:cs="Arial"/>
          <w:sz w:val="20"/>
          <w:szCs w:val="20"/>
        </w:rPr>
        <w:t xml:space="preserve"> una transacción, evento o condición, </w:t>
      </w:r>
      <w:r w:rsidR="00942A1A" w:rsidRPr="00AC4AEA">
        <w:rPr>
          <w:rFonts w:ascii="Arial" w:hAnsi="Arial" w:cs="Arial"/>
          <w:sz w:val="20"/>
          <w:szCs w:val="20"/>
        </w:rPr>
        <w:t xml:space="preserve">una entidad aplicará </w:t>
      </w:r>
      <w:r w:rsidR="004929B4" w:rsidRPr="00AC4AEA">
        <w:rPr>
          <w:rFonts w:ascii="Arial" w:hAnsi="Arial" w:cs="Arial"/>
          <w:sz w:val="20"/>
          <w:szCs w:val="20"/>
        </w:rPr>
        <w:t>tales</w:t>
      </w:r>
      <w:r w:rsidRPr="00AC4AEA">
        <w:rPr>
          <w:rFonts w:ascii="Arial" w:hAnsi="Arial" w:cs="Arial"/>
          <w:b/>
          <w:bCs/>
          <w:sz w:val="20"/>
          <w:szCs w:val="20"/>
        </w:rPr>
        <w:t xml:space="preserve"> </w:t>
      </w:r>
      <w:r w:rsidR="00135084" w:rsidRPr="00AC4AEA">
        <w:rPr>
          <w:rFonts w:ascii="Arial" w:hAnsi="Arial" w:cs="Arial"/>
          <w:b/>
          <w:bCs/>
          <w:sz w:val="20"/>
          <w:szCs w:val="20"/>
        </w:rPr>
        <w:t>políticas contables</w:t>
      </w:r>
      <w:r w:rsidR="00942A1A" w:rsidRPr="00AC4AEA">
        <w:rPr>
          <w:rFonts w:ascii="Arial" w:hAnsi="Arial" w:cs="Arial"/>
          <w:sz w:val="20"/>
          <w:szCs w:val="20"/>
        </w:rPr>
        <w:t>.</w:t>
      </w:r>
    </w:p>
    <w:p w:rsidR="004D3602" w:rsidRPr="00AC4AEA" w:rsidRDefault="004D360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seleccionará y aplicará sus </w:t>
      </w:r>
      <w:r w:rsidR="00135084" w:rsidRPr="00AC4AEA">
        <w:rPr>
          <w:rFonts w:ascii="Arial" w:hAnsi="Arial" w:cs="Arial"/>
          <w:b/>
          <w:bCs/>
          <w:sz w:val="20"/>
          <w:szCs w:val="20"/>
        </w:rPr>
        <w:t>políticas contables</w:t>
      </w:r>
      <w:r w:rsidRPr="00AC4AEA">
        <w:rPr>
          <w:rFonts w:ascii="Arial" w:hAnsi="Arial" w:cs="Arial"/>
          <w:sz w:val="20"/>
          <w:szCs w:val="20"/>
        </w:rPr>
        <w:t xml:space="preserve"> de manera uniforme para transacciones, otros eventos y condiciones similares</w:t>
      </w:r>
      <w:r w:rsidR="00914548" w:rsidRPr="00AC4AEA">
        <w:rPr>
          <w:rFonts w:ascii="Arial" w:hAnsi="Arial" w:cs="Arial"/>
          <w:sz w:val="20"/>
          <w:szCs w:val="20"/>
        </w:rPr>
        <w:t xml:space="preserve">, excepto que </w:t>
      </w:r>
      <w:r w:rsidR="00AA673C" w:rsidRPr="00AC4AEA">
        <w:rPr>
          <w:rFonts w:ascii="Arial" w:hAnsi="Arial" w:cs="Arial"/>
          <w:sz w:val="20"/>
          <w:szCs w:val="20"/>
        </w:rPr>
        <w:t xml:space="preserve">los requerimientos de la presente Resolución Técnica u </w:t>
      </w:r>
      <w:r w:rsidR="00AA673C" w:rsidRPr="00AC4AEA">
        <w:rPr>
          <w:rFonts w:ascii="Arial" w:hAnsi="Arial" w:cs="Arial"/>
          <w:b/>
          <w:bCs/>
          <w:sz w:val="20"/>
          <w:szCs w:val="20"/>
        </w:rPr>
        <w:t>otras normas contables</w:t>
      </w:r>
      <w:r w:rsidR="00AA673C" w:rsidRPr="00AC4AEA">
        <w:rPr>
          <w:rFonts w:ascii="Arial" w:hAnsi="Arial" w:cs="Arial"/>
          <w:sz w:val="20"/>
          <w:szCs w:val="20"/>
        </w:rPr>
        <w:t xml:space="preserve"> requieran o admitan algo diferente</w:t>
      </w:r>
      <w:r w:rsidR="008C0008" w:rsidRPr="00AC4AEA">
        <w:rPr>
          <w:rFonts w:ascii="Arial" w:hAnsi="Arial" w:cs="Arial"/>
          <w:sz w:val="20"/>
          <w:szCs w:val="20"/>
        </w:rPr>
        <w:t>.</w:t>
      </w:r>
    </w:p>
    <w:p w:rsidR="00A8173B" w:rsidRPr="00AC4AEA" w:rsidRDefault="00A8173B" w:rsidP="00A318EA">
      <w:pPr>
        <w:pStyle w:val="Prrafodelista"/>
        <w:numPr>
          <w:ilvl w:val="0"/>
          <w:numId w:val="29"/>
        </w:numPr>
        <w:contextualSpacing w:val="0"/>
        <w:jc w:val="both"/>
        <w:rPr>
          <w:rFonts w:ascii="Arial" w:hAnsi="Arial" w:cs="Arial"/>
          <w:sz w:val="20"/>
          <w:szCs w:val="20"/>
        </w:rPr>
      </w:pPr>
      <w:bookmarkStart w:id="88" w:name="_Ref75518725"/>
      <w:r w:rsidRPr="00AC4AEA">
        <w:rPr>
          <w:rFonts w:ascii="Arial" w:hAnsi="Arial" w:cs="Arial"/>
          <w:sz w:val="20"/>
          <w:szCs w:val="20"/>
        </w:rPr>
        <w:t xml:space="preserve">Al definir sus </w:t>
      </w:r>
      <w:r w:rsidR="00135084" w:rsidRPr="00AC4AEA">
        <w:rPr>
          <w:rFonts w:ascii="Arial" w:hAnsi="Arial" w:cs="Arial"/>
          <w:b/>
          <w:bCs/>
          <w:sz w:val="20"/>
          <w:szCs w:val="20"/>
        </w:rPr>
        <w:t>políticas contables</w:t>
      </w:r>
      <w:r w:rsidR="009C7518" w:rsidRPr="00AC4AEA">
        <w:rPr>
          <w:rFonts w:ascii="Arial" w:hAnsi="Arial" w:cs="Arial"/>
          <w:sz w:val="20"/>
          <w:szCs w:val="20"/>
        </w:rPr>
        <w:t>:</w:t>
      </w:r>
      <w:bookmarkEnd w:id="88"/>
    </w:p>
    <w:p w:rsidR="00A8173B" w:rsidRPr="00AC4AEA" w:rsidRDefault="009C751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Una </w:t>
      </w:r>
      <w:r w:rsidR="00A8173B" w:rsidRPr="00AC4AEA">
        <w:rPr>
          <w:rFonts w:ascii="Arial" w:hAnsi="Arial" w:cs="Arial"/>
          <w:sz w:val="20"/>
          <w:szCs w:val="20"/>
        </w:rPr>
        <w:t xml:space="preserve">entidad pequeña podrá aplicar </w:t>
      </w:r>
      <w:r w:rsidR="00FE09CC" w:rsidRPr="00AC4AEA">
        <w:rPr>
          <w:rFonts w:ascii="Arial" w:hAnsi="Arial" w:cs="Arial"/>
          <w:sz w:val="20"/>
          <w:szCs w:val="20"/>
        </w:rPr>
        <w:t xml:space="preserve">una o más </w:t>
      </w:r>
      <w:r w:rsidR="005B7D45" w:rsidRPr="00AC4AEA">
        <w:rPr>
          <w:rFonts w:ascii="Arial" w:hAnsi="Arial" w:cs="Arial"/>
          <w:sz w:val="20"/>
          <w:szCs w:val="20"/>
        </w:rPr>
        <w:t xml:space="preserve">de las </w:t>
      </w:r>
      <w:r w:rsidR="00135084" w:rsidRPr="00AC4AEA">
        <w:rPr>
          <w:rFonts w:ascii="Arial" w:hAnsi="Arial" w:cs="Arial"/>
          <w:b/>
          <w:bCs/>
          <w:sz w:val="20"/>
          <w:szCs w:val="20"/>
        </w:rPr>
        <w:t>políticas contables</w:t>
      </w:r>
      <w:r w:rsidR="00A8173B" w:rsidRPr="00AC4AEA">
        <w:rPr>
          <w:rFonts w:ascii="Arial" w:hAnsi="Arial" w:cs="Arial"/>
          <w:sz w:val="20"/>
          <w:szCs w:val="20"/>
        </w:rPr>
        <w:t xml:space="preserve"> </w:t>
      </w:r>
      <w:r w:rsidR="00FD2777" w:rsidRPr="00AC4AEA">
        <w:rPr>
          <w:rFonts w:ascii="Arial" w:hAnsi="Arial" w:cs="Arial"/>
          <w:sz w:val="20"/>
          <w:szCs w:val="20"/>
        </w:rPr>
        <w:t>establecidas</w:t>
      </w:r>
      <w:r w:rsidR="00A8173B" w:rsidRPr="00AC4AEA">
        <w:rPr>
          <w:rFonts w:ascii="Arial" w:hAnsi="Arial" w:cs="Arial"/>
          <w:sz w:val="20"/>
          <w:szCs w:val="20"/>
        </w:rPr>
        <w:t xml:space="preserve"> </w:t>
      </w:r>
      <w:r w:rsidR="00FD2777" w:rsidRPr="00AC4AEA">
        <w:rPr>
          <w:rFonts w:ascii="Arial" w:hAnsi="Arial" w:cs="Arial"/>
          <w:sz w:val="20"/>
          <w:szCs w:val="20"/>
        </w:rPr>
        <w:t>en</w:t>
      </w:r>
      <w:r w:rsidR="00520A7B" w:rsidRPr="00AC4AEA">
        <w:rPr>
          <w:rFonts w:ascii="Arial" w:hAnsi="Arial" w:cs="Arial"/>
          <w:sz w:val="20"/>
          <w:szCs w:val="20"/>
        </w:rPr>
        <w:t xml:space="preserve"> </w:t>
      </w:r>
      <w:r w:rsidR="00084BAB" w:rsidRPr="00AC4AEA">
        <w:rPr>
          <w:rFonts w:ascii="Arial" w:hAnsi="Arial" w:cs="Arial"/>
          <w:sz w:val="20"/>
          <w:szCs w:val="20"/>
        </w:rPr>
        <w:t xml:space="preserve">esta Resolución Técnica </w:t>
      </w:r>
      <w:r w:rsidR="00C33BBE" w:rsidRPr="00AC4AEA">
        <w:rPr>
          <w:rFonts w:ascii="Arial" w:hAnsi="Arial" w:cs="Arial"/>
          <w:sz w:val="20"/>
          <w:szCs w:val="20"/>
        </w:rPr>
        <w:t>u</w:t>
      </w:r>
      <w:r w:rsidR="00084BAB" w:rsidRPr="00AC4AEA">
        <w:rPr>
          <w:rFonts w:ascii="Arial" w:hAnsi="Arial" w:cs="Arial"/>
          <w:sz w:val="20"/>
          <w:szCs w:val="20"/>
        </w:rPr>
        <w:t xml:space="preserve"> </w:t>
      </w:r>
      <w:r w:rsidR="00084BAB" w:rsidRPr="00AC4AEA">
        <w:rPr>
          <w:rFonts w:ascii="Arial" w:hAnsi="Arial" w:cs="Arial"/>
          <w:b/>
          <w:bCs/>
          <w:sz w:val="20"/>
          <w:szCs w:val="20"/>
        </w:rPr>
        <w:t xml:space="preserve">otras normas contables </w:t>
      </w:r>
      <w:r w:rsidR="00084BAB" w:rsidRPr="00AC4AEA">
        <w:rPr>
          <w:rFonts w:ascii="Arial" w:hAnsi="Arial" w:cs="Arial"/>
          <w:sz w:val="20"/>
          <w:szCs w:val="20"/>
        </w:rPr>
        <w:t>vigentes</w:t>
      </w:r>
      <w:r w:rsidR="00A8173B" w:rsidRPr="00AC4AEA">
        <w:rPr>
          <w:rFonts w:ascii="Arial" w:hAnsi="Arial" w:cs="Arial"/>
          <w:sz w:val="20"/>
          <w:szCs w:val="20"/>
        </w:rPr>
        <w:t xml:space="preserve"> </w:t>
      </w:r>
      <w:r w:rsidR="00F16AC7" w:rsidRPr="00AC4AEA">
        <w:rPr>
          <w:rFonts w:ascii="Arial" w:hAnsi="Arial" w:cs="Arial"/>
          <w:sz w:val="20"/>
          <w:szCs w:val="20"/>
        </w:rPr>
        <w:t>para</w:t>
      </w:r>
      <w:r w:rsidR="00A8173B" w:rsidRPr="00AC4AEA">
        <w:rPr>
          <w:rFonts w:ascii="Arial" w:hAnsi="Arial" w:cs="Arial"/>
          <w:sz w:val="20"/>
          <w:szCs w:val="20"/>
        </w:rPr>
        <w:t xml:space="preserve"> las entidades </w:t>
      </w:r>
      <w:r w:rsidR="00FE09CC" w:rsidRPr="00AC4AEA">
        <w:rPr>
          <w:rFonts w:ascii="Arial" w:hAnsi="Arial" w:cs="Arial"/>
          <w:sz w:val="20"/>
          <w:szCs w:val="20"/>
        </w:rPr>
        <w:t xml:space="preserve">medianas o </w:t>
      </w:r>
      <w:r w:rsidR="00520A7B" w:rsidRPr="00AC4AEA">
        <w:rPr>
          <w:rFonts w:ascii="Arial" w:hAnsi="Arial" w:cs="Arial"/>
          <w:sz w:val="20"/>
          <w:szCs w:val="20"/>
        </w:rPr>
        <w:t xml:space="preserve">para </w:t>
      </w:r>
      <w:r w:rsidR="00FE09CC" w:rsidRPr="00AC4AEA">
        <w:rPr>
          <w:rFonts w:ascii="Arial" w:hAnsi="Arial" w:cs="Arial"/>
          <w:sz w:val="20"/>
          <w:szCs w:val="20"/>
        </w:rPr>
        <w:t xml:space="preserve">las </w:t>
      </w:r>
      <w:r w:rsidR="008704B4" w:rsidRPr="00AC4AEA">
        <w:rPr>
          <w:rFonts w:ascii="Arial" w:hAnsi="Arial" w:cs="Arial"/>
          <w:sz w:val="20"/>
          <w:szCs w:val="20"/>
        </w:rPr>
        <w:t>restantes entidades</w:t>
      </w:r>
      <w:r w:rsidR="00E02CF6" w:rsidRPr="00AC4AEA">
        <w:rPr>
          <w:rFonts w:ascii="Arial" w:hAnsi="Arial" w:cs="Arial"/>
          <w:sz w:val="20"/>
          <w:szCs w:val="20"/>
        </w:rPr>
        <w:t>, tal como se definen las entidades medianas y las restantes entidades en la presente Resolución Técnica</w:t>
      </w:r>
      <w:r w:rsidR="00A8173B" w:rsidRPr="00AC4AEA">
        <w:rPr>
          <w:rFonts w:ascii="Arial" w:hAnsi="Arial" w:cs="Arial"/>
          <w:sz w:val="20"/>
          <w:szCs w:val="20"/>
        </w:rPr>
        <w:t>.</w:t>
      </w:r>
    </w:p>
    <w:p w:rsidR="00A8173B" w:rsidRPr="00AC4AEA" w:rsidRDefault="00A8173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Una entidad mediana podrá aplicar </w:t>
      </w:r>
      <w:r w:rsidR="00FE09CC" w:rsidRPr="00AC4AEA">
        <w:rPr>
          <w:rFonts w:ascii="Arial" w:hAnsi="Arial" w:cs="Arial"/>
          <w:sz w:val="20"/>
          <w:szCs w:val="20"/>
        </w:rPr>
        <w:t>una o más</w:t>
      </w:r>
      <w:r w:rsidR="005B7D45" w:rsidRPr="00AC4AEA">
        <w:rPr>
          <w:rFonts w:ascii="Arial" w:hAnsi="Arial" w:cs="Arial"/>
          <w:sz w:val="20"/>
          <w:szCs w:val="20"/>
        </w:rPr>
        <w:t xml:space="preserve"> de las </w:t>
      </w:r>
      <w:r w:rsidR="00135084" w:rsidRPr="00AC4AEA">
        <w:rPr>
          <w:rFonts w:ascii="Arial" w:hAnsi="Arial" w:cs="Arial"/>
          <w:b/>
          <w:bCs/>
          <w:sz w:val="20"/>
          <w:szCs w:val="20"/>
        </w:rPr>
        <w:t>políticas contables</w:t>
      </w:r>
      <w:r w:rsidR="005B7D45" w:rsidRPr="00AC4AEA">
        <w:rPr>
          <w:rFonts w:ascii="Arial" w:hAnsi="Arial" w:cs="Arial"/>
          <w:sz w:val="20"/>
          <w:szCs w:val="20"/>
        </w:rPr>
        <w:t xml:space="preserve"> </w:t>
      </w:r>
      <w:r w:rsidR="00FD2777" w:rsidRPr="00AC4AEA">
        <w:rPr>
          <w:rFonts w:ascii="Arial" w:hAnsi="Arial" w:cs="Arial"/>
          <w:sz w:val="20"/>
          <w:szCs w:val="20"/>
        </w:rPr>
        <w:t>establecidas</w:t>
      </w:r>
      <w:r w:rsidRPr="00AC4AEA">
        <w:rPr>
          <w:rFonts w:ascii="Arial" w:hAnsi="Arial" w:cs="Arial"/>
          <w:sz w:val="20"/>
          <w:szCs w:val="20"/>
        </w:rPr>
        <w:t xml:space="preserve"> </w:t>
      </w:r>
      <w:r w:rsidR="00FD2777" w:rsidRPr="00AC4AEA">
        <w:rPr>
          <w:rFonts w:ascii="Arial" w:hAnsi="Arial" w:cs="Arial"/>
          <w:sz w:val="20"/>
          <w:szCs w:val="20"/>
        </w:rPr>
        <w:t xml:space="preserve">en </w:t>
      </w:r>
      <w:r w:rsidR="00084BAB" w:rsidRPr="00AC4AEA">
        <w:rPr>
          <w:rFonts w:ascii="Arial" w:hAnsi="Arial" w:cs="Arial"/>
          <w:sz w:val="20"/>
          <w:szCs w:val="20"/>
        </w:rPr>
        <w:t xml:space="preserve">esta Resolución Técnica </w:t>
      </w:r>
      <w:r w:rsidR="00C33BBE" w:rsidRPr="00AC4AEA">
        <w:rPr>
          <w:rFonts w:ascii="Arial" w:hAnsi="Arial" w:cs="Arial"/>
          <w:sz w:val="20"/>
          <w:szCs w:val="20"/>
        </w:rPr>
        <w:t>u</w:t>
      </w:r>
      <w:r w:rsidR="00084BAB" w:rsidRPr="00AC4AEA">
        <w:rPr>
          <w:rFonts w:ascii="Arial" w:hAnsi="Arial" w:cs="Arial"/>
          <w:sz w:val="20"/>
          <w:szCs w:val="20"/>
        </w:rPr>
        <w:t xml:space="preserve"> </w:t>
      </w:r>
      <w:r w:rsidR="00084BAB" w:rsidRPr="00AC4AEA">
        <w:rPr>
          <w:rFonts w:ascii="Arial" w:hAnsi="Arial" w:cs="Arial"/>
          <w:b/>
          <w:bCs/>
          <w:sz w:val="20"/>
          <w:szCs w:val="20"/>
        </w:rPr>
        <w:t xml:space="preserve">otras normas </w:t>
      </w:r>
      <w:r w:rsidR="00352F57" w:rsidRPr="00AC4AEA">
        <w:rPr>
          <w:rFonts w:ascii="Arial" w:hAnsi="Arial" w:cs="Arial"/>
          <w:b/>
          <w:bCs/>
          <w:sz w:val="20"/>
          <w:szCs w:val="20"/>
        </w:rPr>
        <w:t xml:space="preserve">contables </w:t>
      </w:r>
      <w:r w:rsidR="00352F57" w:rsidRPr="00AC4AEA">
        <w:rPr>
          <w:rFonts w:ascii="Arial" w:hAnsi="Arial" w:cs="Arial"/>
          <w:sz w:val="20"/>
          <w:szCs w:val="20"/>
        </w:rPr>
        <w:t>para</w:t>
      </w:r>
      <w:r w:rsidRPr="00AC4AEA">
        <w:rPr>
          <w:rFonts w:ascii="Arial" w:hAnsi="Arial" w:cs="Arial"/>
          <w:sz w:val="20"/>
          <w:szCs w:val="20"/>
        </w:rPr>
        <w:t xml:space="preserve"> las </w:t>
      </w:r>
      <w:r w:rsidR="008704B4" w:rsidRPr="00AC4AEA">
        <w:rPr>
          <w:rFonts w:ascii="Arial" w:hAnsi="Arial" w:cs="Arial"/>
          <w:sz w:val="20"/>
          <w:szCs w:val="20"/>
        </w:rPr>
        <w:lastRenderedPageBreak/>
        <w:t>restantes entidades</w:t>
      </w:r>
      <w:r w:rsidR="00E02CF6" w:rsidRPr="00AC4AEA">
        <w:rPr>
          <w:rFonts w:ascii="Arial" w:hAnsi="Arial" w:cs="Arial"/>
          <w:sz w:val="20"/>
          <w:szCs w:val="20"/>
        </w:rPr>
        <w:t>, tal como se definen las restantes entidades en la presente Resolución Técnica</w:t>
      </w:r>
      <w:r w:rsidR="009C7518" w:rsidRPr="00AC4AEA">
        <w:rPr>
          <w:rFonts w:ascii="Arial" w:hAnsi="Arial" w:cs="Arial"/>
          <w:sz w:val="20"/>
          <w:szCs w:val="20"/>
        </w:rPr>
        <w:t>.</w:t>
      </w:r>
    </w:p>
    <w:p w:rsidR="007B70F5" w:rsidRPr="00AC4AEA" w:rsidRDefault="009C751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que </w:t>
      </w:r>
      <w:r w:rsidR="007B70F5" w:rsidRPr="00AC4AEA">
        <w:rPr>
          <w:rFonts w:ascii="Arial" w:hAnsi="Arial" w:cs="Arial"/>
          <w:sz w:val="20"/>
          <w:szCs w:val="20"/>
        </w:rPr>
        <w:t xml:space="preserve">ejerza </w:t>
      </w:r>
      <w:r w:rsidRPr="00AC4AEA">
        <w:rPr>
          <w:rFonts w:ascii="Arial" w:hAnsi="Arial" w:cs="Arial"/>
          <w:sz w:val="20"/>
          <w:szCs w:val="20"/>
        </w:rPr>
        <w:t xml:space="preserve">las opciones admitidas en el párrafo </w:t>
      </w:r>
      <w:fldSimple w:instr=" REF _Ref75518725 \r \h  \* MERGEFORMAT ">
        <w:r w:rsidR="00D33A5D" w:rsidRPr="00D33A5D">
          <w:rPr>
            <w:rFonts w:ascii="Arial" w:hAnsi="Arial" w:cs="Arial"/>
            <w:sz w:val="20"/>
            <w:szCs w:val="20"/>
          </w:rPr>
          <w:t>73</w:t>
        </w:r>
      </w:fldSimple>
      <w:r w:rsidR="007B70F5" w:rsidRPr="00AC4AEA">
        <w:rPr>
          <w:rFonts w:ascii="Arial" w:hAnsi="Arial" w:cs="Arial"/>
          <w:sz w:val="20"/>
          <w:szCs w:val="20"/>
        </w:rPr>
        <w:t>:</w:t>
      </w:r>
    </w:p>
    <w:p w:rsidR="007B70F5" w:rsidRPr="00AC4AEA" w:rsidRDefault="007B70F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aplicará dichas opciones</w:t>
      </w:r>
      <w:r w:rsidR="009C7518" w:rsidRPr="00AC4AEA">
        <w:rPr>
          <w:rFonts w:ascii="Arial" w:hAnsi="Arial" w:cs="Arial"/>
          <w:sz w:val="20"/>
          <w:szCs w:val="20"/>
        </w:rPr>
        <w:t xml:space="preserve"> </w:t>
      </w:r>
      <w:r w:rsidRPr="00AC4AEA">
        <w:rPr>
          <w:rFonts w:ascii="Arial" w:hAnsi="Arial" w:cs="Arial"/>
          <w:sz w:val="20"/>
          <w:szCs w:val="20"/>
        </w:rPr>
        <w:t xml:space="preserve">para todos los rubros o partidas de naturaleza similar; y </w:t>
      </w:r>
    </w:p>
    <w:p w:rsidR="00A8173B" w:rsidRPr="00AC4AEA" w:rsidRDefault="007B70F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revelará</w:t>
      </w:r>
      <w:r w:rsidR="009C7518" w:rsidRPr="00AC4AEA">
        <w:rPr>
          <w:rFonts w:ascii="Arial" w:hAnsi="Arial" w:cs="Arial"/>
          <w:sz w:val="20"/>
          <w:szCs w:val="20"/>
        </w:rPr>
        <w:t xml:space="preserve"> tal circunstancia en </w:t>
      </w:r>
      <w:r w:rsidR="00566EC9" w:rsidRPr="00AC4AEA">
        <w:rPr>
          <w:rFonts w:ascii="Arial" w:hAnsi="Arial" w:cs="Arial"/>
          <w:sz w:val="20"/>
          <w:szCs w:val="20"/>
        </w:rPr>
        <w:t xml:space="preserve">las </w:t>
      </w:r>
      <w:r w:rsidR="009C7518" w:rsidRPr="00AC4AEA">
        <w:rPr>
          <w:rFonts w:ascii="Arial" w:hAnsi="Arial" w:cs="Arial"/>
          <w:sz w:val="20"/>
          <w:szCs w:val="20"/>
        </w:rPr>
        <w:t>nota</w:t>
      </w:r>
      <w:r w:rsidR="00566EC9" w:rsidRPr="00AC4AEA">
        <w:rPr>
          <w:rFonts w:ascii="Arial" w:hAnsi="Arial" w:cs="Arial"/>
          <w:sz w:val="20"/>
          <w:szCs w:val="20"/>
        </w:rPr>
        <w:t>s</w:t>
      </w:r>
      <w:r w:rsidR="009C7518" w:rsidRPr="00AC4AEA">
        <w:rPr>
          <w:rFonts w:ascii="Arial" w:hAnsi="Arial" w:cs="Arial"/>
          <w:sz w:val="20"/>
          <w:szCs w:val="20"/>
        </w:rPr>
        <w:t xml:space="preserve"> a los </w:t>
      </w:r>
      <w:r w:rsidR="00135084" w:rsidRPr="00AC4AEA">
        <w:rPr>
          <w:rFonts w:ascii="Arial" w:hAnsi="Arial" w:cs="Arial"/>
          <w:b/>
          <w:bCs/>
          <w:sz w:val="20"/>
          <w:szCs w:val="20"/>
        </w:rPr>
        <w:t>estados contables</w:t>
      </w:r>
      <w:r w:rsidRPr="00AC4AEA">
        <w:rPr>
          <w:rFonts w:ascii="Arial" w:hAnsi="Arial" w:cs="Arial"/>
          <w:sz w:val="20"/>
          <w:szCs w:val="20"/>
        </w:rPr>
        <w:t>.</w:t>
      </w:r>
    </w:p>
    <w:p w:rsidR="003F5590" w:rsidRPr="00AC4AEA" w:rsidRDefault="003F5590" w:rsidP="00A318EA">
      <w:pPr>
        <w:pStyle w:val="A-doctorado"/>
        <w:rPr>
          <w:rFonts w:ascii="Arial" w:hAnsi="Arial"/>
          <w:color w:val="auto"/>
          <w:sz w:val="20"/>
          <w:szCs w:val="20"/>
        </w:rPr>
      </w:pPr>
      <w:bookmarkStart w:id="89" w:name="_Toc101863725"/>
    </w:p>
    <w:p w:rsidR="00F603F4" w:rsidRPr="00AC4AEA" w:rsidRDefault="00F603F4" w:rsidP="00925AC8">
      <w:pPr>
        <w:pStyle w:val="Ttulo4"/>
      </w:pPr>
      <w:r w:rsidRPr="00AC4AEA">
        <w:t>Cuestiones no previstas</w:t>
      </w:r>
      <w:bookmarkEnd w:id="89"/>
    </w:p>
    <w:p w:rsidR="00871571" w:rsidRPr="00AC4AEA" w:rsidRDefault="0087157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ausencia de un</w:t>
      </w:r>
      <w:r w:rsidR="000211F1" w:rsidRPr="00AC4AEA">
        <w:rPr>
          <w:rFonts w:ascii="Arial" w:hAnsi="Arial" w:cs="Arial"/>
          <w:sz w:val="20"/>
          <w:szCs w:val="20"/>
        </w:rPr>
        <w:t xml:space="preserve"> requerimiento </w:t>
      </w:r>
      <w:r w:rsidR="00BE2739" w:rsidRPr="00AC4AEA">
        <w:rPr>
          <w:rFonts w:ascii="Arial" w:hAnsi="Arial" w:cs="Arial"/>
          <w:sz w:val="20"/>
          <w:szCs w:val="20"/>
        </w:rPr>
        <w:t xml:space="preserve">en esta </w:t>
      </w:r>
      <w:r w:rsidR="009E55F8" w:rsidRPr="00AC4AEA">
        <w:rPr>
          <w:rFonts w:ascii="Arial" w:hAnsi="Arial" w:cs="Arial"/>
          <w:sz w:val="20"/>
          <w:szCs w:val="20"/>
        </w:rPr>
        <w:t xml:space="preserve">Resolución Técnica u </w:t>
      </w:r>
      <w:r w:rsidR="009E55F8" w:rsidRPr="00AC4AEA">
        <w:rPr>
          <w:rFonts w:ascii="Arial" w:hAnsi="Arial" w:cs="Arial"/>
          <w:b/>
          <w:bCs/>
          <w:sz w:val="20"/>
          <w:szCs w:val="20"/>
        </w:rPr>
        <w:t xml:space="preserve">otras normas </w:t>
      </w:r>
      <w:r w:rsidR="00352F57" w:rsidRPr="00AC4AEA">
        <w:rPr>
          <w:rFonts w:ascii="Arial" w:hAnsi="Arial" w:cs="Arial"/>
          <w:b/>
          <w:bCs/>
          <w:sz w:val="20"/>
          <w:szCs w:val="20"/>
        </w:rPr>
        <w:t xml:space="preserve">contables </w:t>
      </w:r>
      <w:r w:rsidR="00352F57" w:rsidRPr="00AC4AEA">
        <w:rPr>
          <w:rFonts w:ascii="Arial" w:hAnsi="Arial" w:cs="Arial"/>
          <w:sz w:val="20"/>
          <w:szCs w:val="20"/>
        </w:rPr>
        <w:t>que</w:t>
      </w:r>
      <w:r w:rsidRPr="00AC4AEA">
        <w:rPr>
          <w:rFonts w:ascii="Arial" w:hAnsi="Arial" w:cs="Arial"/>
          <w:sz w:val="20"/>
          <w:szCs w:val="20"/>
        </w:rPr>
        <w:t xml:space="preserve"> resulte aplicable específicamente a una transacción u otros </w:t>
      </w:r>
      <w:r w:rsidR="005C225D" w:rsidRPr="00AC4AEA">
        <w:rPr>
          <w:rFonts w:ascii="Arial" w:hAnsi="Arial" w:cs="Arial"/>
          <w:sz w:val="20"/>
          <w:szCs w:val="20"/>
        </w:rPr>
        <w:t xml:space="preserve">eventos </w:t>
      </w:r>
      <w:r w:rsidRPr="00AC4AEA">
        <w:rPr>
          <w:rFonts w:ascii="Arial" w:hAnsi="Arial" w:cs="Arial"/>
          <w:sz w:val="20"/>
          <w:szCs w:val="20"/>
        </w:rPr>
        <w:t>o condiciones, una entidad se basará en el juicio de su</w:t>
      </w:r>
      <w:r w:rsidR="00A706D2" w:rsidRPr="00AC4AEA">
        <w:rPr>
          <w:rFonts w:ascii="Arial" w:hAnsi="Arial" w:cs="Arial"/>
          <w:sz w:val="20"/>
          <w:szCs w:val="20"/>
        </w:rPr>
        <w:t xml:space="preserve"> </w:t>
      </w:r>
      <w:r w:rsidR="00A706D2" w:rsidRPr="00AC4AEA">
        <w:rPr>
          <w:rFonts w:ascii="Arial" w:hAnsi="Arial" w:cs="Arial"/>
          <w:b/>
          <w:bCs/>
          <w:sz w:val="20"/>
          <w:szCs w:val="20"/>
        </w:rPr>
        <w:t>dirección</w:t>
      </w:r>
      <w:r w:rsidRPr="00AC4AEA">
        <w:rPr>
          <w:rFonts w:ascii="Arial" w:hAnsi="Arial" w:cs="Arial"/>
          <w:sz w:val="20"/>
          <w:szCs w:val="20"/>
        </w:rPr>
        <w:t xml:space="preserve"> para seleccionar y aplicar una </w:t>
      </w:r>
      <w:r w:rsidR="00596F3F" w:rsidRPr="00AC4AEA">
        <w:rPr>
          <w:rFonts w:ascii="Arial" w:hAnsi="Arial" w:cs="Arial"/>
          <w:b/>
          <w:bCs/>
          <w:sz w:val="20"/>
          <w:szCs w:val="20"/>
        </w:rPr>
        <w:t>política contable</w:t>
      </w:r>
      <w:r w:rsidRPr="00AC4AEA">
        <w:rPr>
          <w:rFonts w:ascii="Arial" w:hAnsi="Arial" w:cs="Arial"/>
          <w:sz w:val="20"/>
          <w:szCs w:val="20"/>
        </w:rPr>
        <w:t xml:space="preserve"> con el fin de suministrar información que sea relevante y fiable.</w:t>
      </w:r>
    </w:p>
    <w:p w:rsidR="00F603F4" w:rsidRPr="00AC4AEA" w:rsidRDefault="00A51AA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 </w:t>
      </w:r>
      <w:r w:rsidRPr="00AC4AEA">
        <w:rPr>
          <w:rFonts w:ascii="Arial" w:hAnsi="Arial" w:cs="Arial"/>
          <w:b/>
          <w:bCs/>
          <w:sz w:val="20"/>
          <w:szCs w:val="20"/>
        </w:rPr>
        <w:t>dirección</w:t>
      </w:r>
      <w:r w:rsidRPr="00AC4AEA">
        <w:rPr>
          <w:rFonts w:ascii="Arial" w:hAnsi="Arial" w:cs="Arial"/>
          <w:sz w:val="20"/>
          <w:szCs w:val="20"/>
        </w:rPr>
        <w:t xml:space="preserve"> </w:t>
      </w:r>
      <w:r w:rsidR="00C76CE7" w:rsidRPr="00AC4AEA">
        <w:rPr>
          <w:rFonts w:ascii="Arial" w:hAnsi="Arial" w:cs="Arial"/>
          <w:sz w:val="20"/>
          <w:szCs w:val="20"/>
        </w:rPr>
        <w:t xml:space="preserve">de la entidad </w:t>
      </w:r>
      <w:r w:rsidR="00F603F4" w:rsidRPr="00AC4AEA">
        <w:rPr>
          <w:rFonts w:ascii="Arial" w:hAnsi="Arial" w:cs="Arial"/>
          <w:sz w:val="20"/>
          <w:szCs w:val="20"/>
        </w:rPr>
        <w:t xml:space="preserve">resolverá cuestiones de reconocimiento, </w:t>
      </w:r>
      <w:r w:rsidR="00EF1038" w:rsidRPr="00AC4AEA">
        <w:rPr>
          <w:rFonts w:ascii="Arial" w:hAnsi="Arial" w:cs="Arial"/>
          <w:sz w:val="20"/>
          <w:szCs w:val="20"/>
        </w:rPr>
        <w:t>baja en cuenta</w:t>
      </w:r>
      <w:r w:rsidR="00C671AF" w:rsidRPr="00AC4AEA">
        <w:rPr>
          <w:rFonts w:ascii="Arial" w:hAnsi="Arial" w:cs="Arial"/>
          <w:sz w:val="20"/>
          <w:szCs w:val="20"/>
        </w:rPr>
        <w:t>s</w:t>
      </w:r>
      <w:r w:rsidR="00EF1038" w:rsidRPr="00AC4AEA">
        <w:rPr>
          <w:rFonts w:ascii="Arial" w:hAnsi="Arial" w:cs="Arial"/>
          <w:sz w:val="20"/>
          <w:szCs w:val="20"/>
        </w:rPr>
        <w:t xml:space="preserve">, </w:t>
      </w:r>
      <w:r w:rsidR="00F603F4" w:rsidRPr="00AC4AEA">
        <w:rPr>
          <w:rFonts w:ascii="Arial" w:hAnsi="Arial" w:cs="Arial"/>
          <w:sz w:val="20"/>
          <w:szCs w:val="20"/>
        </w:rPr>
        <w:t xml:space="preserve">medición o presentación no contempladas expresamente en </w:t>
      </w:r>
      <w:r w:rsidR="003D6A45" w:rsidRPr="00AC4AEA">
        <w:rPr>
          <w:rFonts w:ascii="Arial" w:hAnsi="Arial" w:cs="Arial"/>
          <w:sz w:val="20"/>
          <w:szCs w:val="20"/>
        </w:rPr>
        <w:t xml:space="preserve">esta Resolución Técnica </w:t>
      </w:r>
      <w:r w:rsidR="00C33BBE" w:rsidRPr="00AC4AEA">
        <w:rPr>
          <w:rFonts w:ascii="Arial" w:hAnsi="Arial" w:cs="Arial"/>
          <w:sz w:val="20"/>
          <w:szCs w:val="20"/>
        </w:rPr>
        <w:t>u</w:t>
      </w:r>
      <w:r w:rsidR="003D6A45" w:rsidRPr="00AC4AEA">
        <w:rPr>
          <w:rFonts w:ascii="Arial" w:hAnsi="Arial" w:cs="Arial"/>
          <w:sz w:val="20"/>
          <w:szCs w:val="20"/>
        </w:rPr>
        <w:t xml:space="preserve"> </w:t>
      </w:r>
      <w:r w:rsidR="003D6A45" w:rsidRPr="00AC4AEA">
        <w:rPr>
          <w:rFonts w:ascii="Arial" w:hAnsi="Arial" w:cs="Arial"/>
          <w:b/>
          <w:bCs/>
          <w:sz w:val="20"/>
          <w:szCs w:val="20"/>
        </w:rPr>
        <w:t xml:space="preserve">otras normas </w:t>
      </w:r>
      <w:r w:rsidR="00352F57" w:rsidRPr="00AC4AEA">
        <w:rPr>
          <w:rFonts w:ascii="Arial" w:hAnsi="Arial" w:cs="Arial"/>
          <w:b/>
          <w:bCs/>
          <w:sz w:val="20"/>
          <w:szCs w:val="20"/>
        </w:rPr>
        <w:t xml:space="preserve">contables </w:t>
      </w:r>
      <w:r w:rsidR="00352F57" w:rsidRPr="00AC4AEA">
        <w:rPr>
          <w:rFonts w:ascii="Arial" w:hAnsi="Arial" w:cs="Arial"/>
          <w:sz w:val="20"/>
          <w:szCs w:val="20"/>
        </w:rPr>
        <w:t>basándose</w:t>
      </w:r>
      <w:r w:rsidR="00F603F4" w:rsidRPr="00AC4AEA">
        <w:rPr>
          <w:rFonts w:ascii="Arial" w:hAnsi="Arial" w:cs="Arial"/>
          <w:sz w:val="20"/>
          <w:szCs w:val="20"/>
        </w:rPr>
        <w:t xml:space="preserve"> en las regulaciones o criterios establecidos a continuación</w:t>
      </w:r>
      <w:r w:rsidR="00F603F4" w:rsidRPr="00AC4AEA" w:rsidDel="00FE1B82">
        <w:rPr>
          <w:rFonts w:ascii="Arial" w:hAnsi="Arial" w:cs="Arial"/>
          <w:sz w:val="20"/>
          <w:szCs w:val="20"/>
        </w:rPr>
        <w:t xml:space="preserve"> </w:t>
      </w:r>
      <w:r w:rsidR="00F603F4" w:rsidRPr="00AC4AEA">
        <w:rPr>
          <w:rFonts w:ascii="Arial" w:hAnsi="Arial" w:cs="Arial"/>
          <w:sz w:val="20"/>
          <w:szCs w:val="20"/>
        </w:rPr>
        <w:t>y respetando el siguiente orden de prioridad:</w:t>
      </w:r>
    </w:p>
    <w:p w:rsidR="00F603F4" w:rsidRPr="00AC4AEA" w:rsidRDefault="00AD7A0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o</w:t>
      </w:r>
      <w:r w:rsidR="00F603F4" w:rsidRPr="00AC4AEA">
        <w:rPr>
          <w:rFonts w:ascii="Arial" w:hAnsi="Arial" w:cs="Arial"/>
          <w:sz w:val="20"/>
          <w:szCs w:val="20"/>
        </w:rPr>
        <w:t xml:space="preserve">tras secciones de esta </w:t>
      </w:r>
      <w:r w:rsidRPr="00AC4AEA">
        <w:rPr>
          <w:rFonts w:ascii="Arial" w:hAnsi="Arial" w:cs="Arial"/>
          <w:sz w:val="20"/>
          <w:szCs w:val="20"/>
        </w:rPr>
        <w:t>R</w:t>
      </w:r>
      <w:r w:rsidR="00F603F4" w:rsidRPr="00AC4AEA">
        <w:rPr>
          <w:rFonts w:ascii="Arial" w:hAnsi="Arial" w:cs="Arial"/>
          <w:sz w:val="20"/>
          <w:szCs w:val="20"/>
        </w:rPr>
        <w:t xml:space="preserve">esolución </w:t>
      </w:r>
      <w:r w:rsidRPr="00AC4AEA">
        <w:rPr>
          <w:rFonts w:ascii="Arial" w:hAnsi="Arial" w:cs="Arial"/>
          <w:sz w:val="20"/>
          <w:szCs w:val="20"/>
        </w:rPr>
        <w:t>T</w:t>
      </w:r>
      <w:r w:rsidR="00F603F4" w:rsidRPr="00AC4AEA">
        <w:rPr>
          <w:rFonts w:ascii="Arial" w:hAnsi="Arial" w:cs="Arial"/>
          <w:sz w:val="20"/>
          <w:szCs w:val="20"/>
        </w:rPr>
        <w:t>écnica</w:t>
      </w:r>
      <w:r w:rsidR="00A61633" w:rsidRPr="00AC4AEA">
        <w:rPr>
          <w:rFonts w:ascii="Arial" w:hAnsi="Arial" w:cs="Arial"/>
          <w:sz w:val="20"/>
          <w:szCs w:val="20"/>
        </w:rPr>
        <w:t xml:space="preserve"> que traten temas similares y relacionados</w:t>
      </w:r>
      <w:r w:rsidR="00F603F4" w:rsidRPr="00AC4AEA">
        <w:rPr>
          <w:rFonts w:ascii="Arial" w:hAnsi="Arial" w:cs="Arial"/>
          <w:sz w:val="20"/>
          <w:szCs w:val="20"/>
        </w:rPr>
        <w:t xml:space="preserve">, aun cuando su aplicación no resulte obligatoria para </w:t>
      </w:r>
      <w:r w:rsidR="00A51AA6" w:rsidRPr="00AC4AEA">
        <w:rPr>
          <w:rFonts w:ascii="Arial" w:hAnsi="Arial" w:cs="Arial"/>
          <w:sz w:val="20"/>
          <w:szCs w:val="20"/>
        </w:rPr>
        <w:t xml:space="preserve">ese </w:t>
      </w:r>
      <w:r w:rsidR="00F603F4" w:rsidRPr="00AC4AEA">
        <w:rPr>
          <w:rFonts w:ascii="Arial" w:hAnsi="Arial" w:cs="Arial"/>
          <w:sz w:val="20"/>
          <w:szCs w:val="20"/>
        </w:rPr>
        <w:t>tipo de entidad</w:t>
      </w:r>
      <w:r w:rsidR="009B6617" w:rsidRPr="00AC4AEA">
        <w:rPr>
          <w:rFonts w:ascii="Arial" w:hAnsi="Arial" w:cs="Arial"/>
          <w:sz w:val="20"/>
          <w:szCs w:val="20"/>
        </w:rPr>
        <w:t>; salvo cuando la norma que se pretende utilizar prohíba su aplicación al caso particular que se intenta resolver</w:t>
      </w:r>
      <w:r w:rsidR="00F603F4" w:rsidRPr="00AC4AEA">
        <w:rPr>
          <w:rFonts w:ascii="Arial" w:hAnsi="Arial" w:cs="Arial"/>
          <w:sz w:val="20"/>
          <w:szCs w:val="20"/>
        </w:rPr>
        <w:t>;</w:t>
      </w:r>
    </w:p>
    <w:p w:rsidR="00F603F4" w:rsidRPr="00AC4AEA" w:rsidRDefault="00AD7A0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F603F4" w:rsidRPr="00AC4AEA">
        <w:rPr>
          <w:rFonts w:ascii="Arial" w:hAnsi="Arial" w:cs="Arial"/>
          <w:sz w:val="20"/>
          <w:szCs w:val="20"/>
        </w:rPr>
        <w:t xml:space="preserve">as </w:t>
      </w:r>
      <w:r w:rsidR="00AA50FA" w:rsidRPr="00AC4AEA">
        <w:rPr>
          <w:rFonts w:ascii="Arial" w:hAnsi="Arial" w:cs="Arial"/>
          <w:b/>
          <w:bCs/>
          <w:sz w:val="20"/>
          <w:szCs w:val="20"/>
        </w:rPr>
        <w:t xml:space="preserve">otras normas contables </w:t>
      </w:r>
      <w:r w:rsidR="00F603F4" w:rsidRPr="00AC4AEA">
        <w:rPr>
          <w:rFonts w:ascii="Arial" w:hAnsi="Arial" w:cs="Arial"/>
          <w:sz w:val="20"/>
          <w:szCs w:val="20"/>
        </w:rPr>
        <w:t>emitidas y que se emitan en el futuro y traten temas particulares de reconocimiento y medición</w:t>
      </w:r>
      <w:r w:rsidRPr="00AC4AEA">
        <w:rPr>
          <w:rFonts w:ascii="Arial" w:hAnsi="Arial" w:cs="Arial"/>
          <w:sz w:val="20"/>
          <w:szCs w:val="20"/>
        </w:rPr>
        <w:t>;</w:t>
      </w:r>
      <w:r w:rsidR="00F603F4" w:rsidRPr="00AC4AEA">
        <w:rPr>
          <w:rFonts w:ascii="Arial" w:hAnsi="Arial" w:cs="Arial"/>
          <w:sz w:val="20"/>
          <w:szCs w:val="20"/>
        </w:rPr>
        <w:t xml:space="preserve"> y</w:t>
      </w:r>
    </w:p>
    <w:p w:rsidR="00F603F4" w:rsidRPr="00AC4AEA" w:rsidRDefault="00D1478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F603F4" w:rsidRPr="00AC4AEA">
        <w:rPr>
          <w:rFonts w:ascii="Arial" w:hAnsi="Arial" w:cs="Arial"/>
          <w:sz w:val="20"/>
          <w:szCs w:val="20"/>
        </w:rPr>
        <w:t xml:space="preserve">a Resolución Técnica </w:t>
      </w:r>
      <w:r w:rsidR="001530FD" w:rsidRPr="00AC4AEA">
        <w:rPr>
          <w:rFonts w:ascii="Arial" w:hAnsi="Arial" w:cs="Arial"/>
          <w:sz w:val="20"/>
          <w:szCs w:val="20"/>
        </w:rPr>
        <w:t xml:space="preserve">N° </w:t>
      </w:r>
      <w:r w:rsidR="00F603F4" w:rsidRPr="00AC4AEA">
        <w:rPr>
          <w:rFonts w:ascii="Arial" w:hAnsi="Arial" w:cs="Arial"/>
          <w:sz w:val="20"/>
          <w:szCs w:val="20"/>
        </w:rPr>
        <w:t xml:space="preserve">16 (Marco conceptual de las normas contables profesionales distintas </w:t>
      </w:r>
      <w:r w:rsidR="00A706D2" w:rsidRPr="00AC4AEA">
        <w:rPr>
          <w:rFonts w:ascii="Arial" w:hAnsi="Arial" w:cs="Arial"/>
          <w:sz w:val="20"/>
          <w:szCs w:val="20"/>
        </w:rPr>
        <w:t>de las contenidas en</w:t>
      </w:r>
      <w:r w:rsidR="00F603F4" w:rsidRPr="00AC4AEA">
        <w:rPr>
          <w:rFonts w:ascii="Arial" w:hAnsi="Arial" w:cs="Arial"/>
          <w:sz w:val="20"/>
          <w:szCs w:val="20"/>
        </w:rPr>
        <w:t xml:space="preserve"> la Resolución Técnica Nº 26).</w:t>
      </w:r>
    </w:p>
    <w:p w:rsidR="002E2F7E" w:rsidRPr="00AC4AEA" w:rsidRDefault="002E2F7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la cuestión no prevista </w:t>
      </w:r>
      <w:r w:rsidR="00A706D2" w:rsidRPr="00AC4AEA">
        <w:rPr>
          <w:rFonts w:ascii="Arial" w:hAnsi="Arial" w:cs="Arial"/>
          <w:sz w:val="20"/>
          <w:szCs w:val="20"/>
        </w:rPr>
        <w:t>no pueda resolverse recurriendo a las fuentes del párrafo anterior</w:t>
      </w:r>
      <w:r w:rsidRPr="00AC4AEA">
        <w:rPr>
          <w:rFonts w:ascii="Arial" w:hAnsi="Arial" w:cs="Arial"/>
          <w:sz w:val="20"/>
          <w:szCs w:val="20"/>
        </w:rPr>
        <w:t xml:space="preserve">, </w:t>
      </w:r>
      <w:r w:rsidR="00A706D2" w:rsidRPr="00AC4AEA">
        <w:rPr>
          <w:rFonts w:ascii="Arial" w:hAnsi="Arial" w:cs="Arial"/>
          <w:sz w:val="20"/>
          <w:szCs w:val="20"/>
        </w:rPr>
        <w:t xml:space="preserve">por </w:t>
      </w:r>
      <w:r w:rsidR="002F71F2" w:rsidRPr="00AC4AEA">
        <w:rPr>
          <w:rFonts w:ascii="Arial" w:hAnsi="Arial" w:cs="Arial"/>
          <w:sz w:val="20"/>
          <w:szCs w:val="20"/>
        </w:rPr>
        <w:t>ejemplo,</w:t>
      </w:r>
      <w:r w:rsidR="00A706D2" w:rsidRPr="00AC4AEA">
        <w:rPr>
          <w:rFonts w:ascii="Arial" w:hAnsi="Arial" w:cs="Arial"/>
          <w:sz w:val="20"/>
          <w:szCs w:val="20"/>
        </w:rPr>
        <w:t xml:space="preserve"> porque</w:t>
      </w:r>
      <w:r w:rsidRPr="00AC4AEA">
        <w:rPr>
          <w:rFonts w:ascii="Arial" w:hAnsi="Arial" w:cs="Arial"/>
          <w:sz w:val="20"/>
          <w:szCs w:val="20"/>
        </w:rPr>
        <w:t xml:space="preserve"> se trat</w:t>
      </w:r>
      <w:r w:rsidR="00A706D2" w:rsidRPr="00AC4AEA">
        <w:rPr>
          <w:rFonts w:ascii="Arial" w:hAnsi="Arial" w:cs="Arial"/>
          <w:sz w:val="20"/>
          <w:szCs w:val="20"/>
        </w:rPr>
        <w:t>a</w:t>
      </w:r>
      <w:r w:rsidRPr="00AC4AEA">
        <w:rPr>
          <w:rFonts w:ascii="Arial" w:hAnsi="Arial" w:cs="Arial"/>
          <w:sz w:val="20"/>
          <w:szCs w:val="20"/>
        </w:rPr>
        <w:t xml:space="preserve"> de un tema muy específico o particular de un ramo o industria, </w:t>
      </w:r>
      <w:r w:rsidR="00A706D2" w:rsidRPr="00AC4AEA">
        <w:rPr>
          <w:rFonts w:ascii="Arial" w:hAnsi="Arial" w:cs="Arial"/>
          <w:sz w:val="20"/>
          <w:szCs w:val="20"/>
        </w:rPr>
        <w:t xml:space="preserve">la </w:t>
      </w:r>
      <w:r w:rsidR="00A706D2" w:rsidRPr="00AC4AEA">
        <w:rPr>
          <w:rFonts w:ascii="Arial" w:hAnsi="Arial" w:cs="Arial"/>
          <w:b/>
          <w:bCs/>
          <w:sz w:val="20"/>
          <w:szCs w:val="20"/>
        </w:rPr>
        <w:t>dirección</w:t>
      </w:r>
      <w:r w:rsidRPr="00AC4AEA">
        <w:rPr>
          <w:rFonts w:ascii="Arial" w:hAnsi="Arial" w:cs="Arial"/>
          <w:sz w:val="20"/>
          <w:szCs w:val="20"/>
        </w:rPr>
        <w:t xml:space="preserve"> de la entidad podrá </w:t>
      </w:r>
      <w:r w:rsidR="00C33BBE" w:rsidRPr="00AC4AEA">
        <w:rPr>
          <w:rFonts w:ascii="Arial" w:hAnsi="Arial" w:cs="Arial"/>
          <w:sz w:val="20"/>
          <w:szCs w:val="20"/>
        </w:rPr>
        <w:t>formar</w:t>
      </w:r>
      <w:r w:rsidRPr="00AC4AEA">
        <w:rPr>
          <w:rFonts w:ascii="Arial" w:hAnsi="Arial" w:cs="Arial"/>
          <w:sz w:val="20"/>
          <w:szCs w:val="20"/>
        </w:rPr>
        <w:t xml:space="preserve"> su juicio</w:t>
      </w:r>
      <w:r w:rsidR="00C33BBE" w:rsidRPr="00AC4AEA">
        <w:rPr>
          <w:rFonts w:ascii="Arial" w:hAnsi="Arial" w:cs="Arial"/>
          <w:sz w:val="20"/>
          <w:szCs w:val="20"/>
        </w:rPr>
        <w:t xml:space="preserve"> considerando</w:t>
      </w:r>
      <w:r w:rsidRPr="00AC4AEA">
        <w:rPr>
          <w:rFonts w:ascii="Arial" w:hAnsi="Arial" w:cs="Arial"/>
          <w:sz w:val="20"/>
          <w:szCs w:val="20"/>
        </w:rPr>
        <w:t xml:space="preserve">, en orden descendente, las siguientes fuentes supletorias, </w:t>
      </w:r>
      <w:r w:rsidR="00A706D2" w:rsidRPr="00AC4AEA">
        <w:rPr>
          <w:rFonts w:ascii="Arial" w:hAnsi="Arial" w:cs="Arial"/>
          <w:sz w:val="20"/>
          <w:szCs w:val="20"/>
        </w:rPr>
        <w:t>siempre</w:t>
      </w:r>
      <w:r w:rsidRPr="00AC4AEA">
        <w:rPr>
          <w:rFonts w:ascii="Arial" w:hAnsi="Arial" w:cs="Arial"/>
          <w:sz w:val="20"/>
          <w:szCs w:val="20"/>
        </w:rPr>
        <w:t xml:space="preserve"> que no entren en conflicto con las fuentes señaladas en el párrafo anterior, y hasta tanto </w:t>
      </w:r>
      <w:r w:rsidR="00FD2777" w:rsidRPr="00AC4AEA">
        <w:rPr>
          <w:rFonts w:ascii="Arial" w:hAnsi="Arial" w:cs="Arial"/>
          <w:sz w:val="20"/>
          <w:szCs w:val="20"/>
        </w:rPr>
        <w:t xml:space="preserve">la FACPCE </w:t>
      </w:r>
      <w:r w:rsidRPr="00AC4AEA">
        <w:rPr>
          <w:rFonts w:ascii="Arial" w:hAnsi="Arial" w:cs="Arial"/>
          <w:sz w:val="20"/>
          <w:szCs w:val="20"/>
        </w:rPr>
        <w:t xml:space="preserve">emita una norma que </w:t>
      </w:r>
      <w:r w:rsidR="00A706D2" w:rsidRPr="00AC4AEA">
        <w:rPr>
          <w:rFonts w:ascii="Arial" w:hAnsi="Arial" w:cs="Arial"/>
          <w:sz w:val="20"/>
          <w:szCs w:val="20"/>
        </w:rPr>
        <w:t>regule el tema involucrado</w:t>
      </w:r>
      <w:r w:rsidRPr="00AC4AEA">
        <w:rPr>
          <w:rFonts w:ascii="Arial" w:hAnsi="Arial" w:cs="Arial"/>
          <w:sz w:val="20"/>
          <w:szCs w:val="20"/>
        </w:rPr>
        <w:t>:</w:t>
      </w:r>
    </w:p>
    <w:p w:rsidR="00553F34" w:rsidRPr="00AC4AEA" w:rsidRDefault="002E2F7E" w:rsidP="00A318EA">
      <w:pPr>
        <w:pStyle w:val="Prrafodelista"/>
        <w:numPr>
          <w:ilvl w:val="0"/>
          <w:numId w:val="32"/>
        </w:numPr>
        <w:ind w:left="1560" w:hanging="567"/>
        <w:contextualSpacing w:val="0"/>
        <w:jc w:val="both"/>
        <w:rPr>
          <w:rFonts w:ascii="Arial" w:hAnsi="Arial" w:cs="Arial"/>
          <w:sz w:val="20"/>
          <w:szCs w:val="20"/>
        </w:rPr>
      </w:pPr>
      <w:r w:rsidRPr="00AC4AEA">
        <w:rPr>
          <w:rFonts w:ascii="Arial" w:hAnsi="Arial" w:cs="Arial"/>
          <w:sz w:val="20"/>
          <w:szCs w:val="20"/>
        </w:rPr>
        <w:t>las reglas o principios contenidos en</w:t>
      </w:r>
      <w:r w:rsidR="00553F34" w:rsidRPr="00AC4AEA">
        <w:rPr>
          <w:rFonts w:ascii="Arial" w:hAnsi="Arial" w:cs="Arial"/>
          <w:sz w:val="20"/>
          <w:szCs w:val="20"/>
        </w:rPr>
        <w:t>:</w:t>
      </w:r>
      <w:r w:rsidRPr="00AC4AEA">
        <w:rPr>
          <w:rFonts w:ascii="Arial" w:hAnsi="Arial" w:cs="Arial"/>
          <w:sz w:val="20"/>
          <w:szCs w:val="20"/>
        </w:rPr>
        <w:t xml:space="preserve"> </w:t>
      </w:r>
    </w:p>
    <w:p w:rsidR="002E2F7E" w:rsidRPr="00AC4AEA" w:rsidRDefault="002E2F7E"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las Normas Internacionales de Información Financiera identificadas como tales en el punto 7 de la Norma Internacional de Contabilidad 1 (Presentación de Estados Financieros) aprobadas por el Consejo de Normas Internacionales de Información Financiera (IASB);</w:t>
      </w:r>
      <w:r w:rsidR="00553F34" w:rsidRPr="00AC4AEA">
        <w:rPr>
          <w:rFonts w:ascii="Arial" w:hAnsi="Arial" w:cs="Arial"/>
          <w:sz w:val="20"/>
          <w:szCs w:val="20"/>
        </w:rPr>
        <w:t xml:space="preserve"> o</w:t>
      </w:r>
    </w:p>
    <w:p w:rsidR="00553F34" w:rsidRPr="00AC4AEA" w:rsidRDefault="00035597"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la NIIF para las PYMES</w:t>
      </w:r>
      <w:r w:rsidR="00FD2777" w:rsidRPr="00AC4AEA">
        <w:rPr>
          <w:rFonts w:ascii="Arial" w:hAnsi="Arial" w:cs="Arial"/>
          <w:sz w:val="20"/>
          <w:szCs w:val="20"/>
        </w:rPr>
        <w:t xml:space="preserve"> aprobada por el Consejo de Normas Internacionales de Información Financiera (IASB)</w:t>
      </w:r>
      <w:r w:rsidRPr="00AC4AEA">
        <w:rPr>
          <w:rFonts w:ascii="Arial" w:hAnsi="Arial" w:cs="Arial"/>
          <w:sz w:val="20"/>
          <w:szCs w:val="20"/>
        </w:rPr>
        <w:t xml:space="preserve">, </w:t>
      </w:r>
      <w:r w:rsidR="00D8430E" w:rsidRPr="00AC4AEA">
        <w:rPr>
          <w:rFonts w:ascii="Arial" w:hAnsi="Arial" w:cs="Arial"/>
          <w:sz w:val="20"/>
          <w:szCs w:val="20"/>
        </w:rPr>
        <w:t xml:space="preserve">cuando la entidad califique como pyme tal como se define </w:t>
      </w:r>
      <w:r w:rsidR="00D35D64" w:rsidRPr="00AC4AEA">
        <w:rPr>
          <w:rFonts w:ascii="Arial" w:hAnsi="Arial" w:cs="Arial"/>
          <w:sz w:val="20"/>
          <w:szCs w:val="20"/>
        </w:rPr>
        <w:t>en</w:t>
      </w:r>
      <w:r w:rsidR="00D8430E" w:rsidRPr="00AC4AEA">
        <w:rPr>
          <w:rFonts w:ascii="Arial" w:hAnsi="Arial" w:cs="Arial"/>
          <w:sz w:val="20"/>
          <w:szCs w:val="20"/>
        </w:rPr>
        <w:t xml:space="preserve"> </w:t>
      </w:r>
      <w:r w:rsidR="00D35D64" w:rsidRPr="00AC4AEA">
        <w:rPr>
          <w:rFonts w:ascii="Arial" w:hAnsi="Arial" w:cs="Arial"/>
          <w:sz w:val="20"/>
          <w:szCs w:val="20"/>
        </w:rPr>
        <w:t>dicha</w:t>
      </w:r>
      <w:r w:rsidRPr="00AC4AEA">
        <w:rPr>
          <w:rFonts w:ascii="Arial" w:hAnsi="Arial" w:cs="Arial"/>
          <w:sz w:val="20"/>
          <w:szCs w:val="20"/>
        </w:rPr>
        <w:t xml:space="preserve"> norma;</w:t>
      </w:r>
      <w:r w:rsidR="00D8430E" w:rsidRPr="00AC4AEA">
        <w:rPr>
          <w:rFonts w:ascii="Arial" w:hAnsi="Arial" w:cs="Arial"/>
          <w:sz w:val="20"/>
          <w:szCs w:val="20"/>
        </w:rPr>
        <w:t xml:space="preserve"> </w:t>
      </w:r>
    </w:p>
    <w:p w:rsidR="002E2F7E" w:rsidRPr="00AC4AEA" w:rsidRDefault="002E2F7E" w:rsidP="00A318EA">
      <w:pPr>
        <w:pStyle w:val="Prrafodelista"/>
        <w:numPr>
          <w:ilvl w:val="0"/>
          <w:numId w:val="32"/>
        </w:numPr>
        <w:ind w:left="1560" w:hanging="567"/>
        <w:contextualSpacing w:val="0"/>
        <w:jc w:val="both"/>
        <w:rPr>
          <w:rFonts w:ascii="Arial" w:hAnsi="Arial" w:cs="Arial"/>
          <w:sz w:val="20"/>
          <w:szCs w:val="20"/>
        </w:rPr>
      </w:pPr>
      <w:r w:rsidRPr="00AC4AEA">
        <w:rPr>
          <w:rFonts w:ascii="Arial" w:hAnsi="Arial" w:cs="Arial"/>
          <w:sz w:val="20"/>
          <w:szCs w:val="20"/>
        </w:rPr>
        <w:lastRenderedPageBreak/>
        <w:t xml:space="preserve">sin un orden preestablecido, los pronunciamientos más recientes de otros emisores que empleen un Marco Conceptual similar </w:t>
      </w:r>
      <w:r w:rsidR="00A706D2" w:rsidRPr="00AC4AEA">
        <w:rPr>
          <w:rFonts w:ascii="Arial" w:hAnsi="Arial" w:cs="Arial"/>
          <w:sz w:val="20"/>
          <w:szCs w:val="20"/>
        </w:rPr>
        <w:t>al de la FACPCE</w:t>
      </w:r>
      <w:r w:rsidRPr="00AC4AEA">
        <w:rPr>
          <w:rFonts w:ascii="Arial" w:hAnsi="Arial" w:cs="Arial"/>
          <w:sz w:val="20"/>
          <w:szCs w:val="20"/>
        </w:rPr>
        <w:t xml:space="preserve">, </w:t>
      </w:r>
      <w:r w:rsidR="00A706D2" w:rsidRPr="00AC4AEA">
        <w:rPr>
          <w:rFonts w:ascii="Arial" w:hAnsi="Arial" w:cs="Arial"/>
          <w:sz w:val="20"/>
          <w:szCs w:val="20"/>
        </w:rPr>
        <w:t xml:space="preserve">las </w:t>
      </w:r>
      <w:r w:rsidRPr="00AC4AEA">
        <w:rPr>
          <w:rFonts w:ascii="Arial" w:hAnsi="Arial" w:cs="Arial"/>
          <w:sz w:val="20"/>
          <w:szCs w:val="20"/>
        </w:rPr>
        <w:t xml:space="preserve">prácticas aceptadas en </w:t>
      </w:r>
      <w:r w:rsidR="00A706D2" w:rsidRPr="00AC4AEA">
        <w:rPr>
          <w:rFonts w:ascii="Arial" w:hAnsi="Arial" w:cs="Arial"/>
          <w:sz w:val="20"/>
          <w:szCs w:val="20"/>
        </w:rPr>
        <w:t>determinados</w:t>
      </w:r>
      <w:r w:rsidRPr="00AC4AEA">
        <w:rPr>
          <w:rFonts w:ascii="Arial" w:hAnsi="Arial" w:cs="Arial"/>
          <w:sz w:val="20"/>
          <w:szCs w:val="20"/>
        </w:rPr>
        <w:t xml:space="preserve"> ramos o industrias y la doctrina contable.</w:t>
      </w:r>
    </w:p>
    <w:p w:rsidR="002E2F7E" w:rsidRPr="00AC4AEA" w:rsidRDefault="002E2F7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Si un pronunciamiento del IASB, o de otro organismo emisor que emplee un Marco Conceptual similar al de la FACPCE, permitiera para un caso específico y con carácter temporal la aplicación de </w:t>
      </w:r>
      <w:r w:rsidR="00135084" w:rsidRPr="00AC4AEA">
        <w:rPr>
          <w:rFonts w:ascii="Arial" w:hAnsi="Arial" w:cs="Arial"/>
          <w:b/>
          <w:bCs/>
          <w:sz w:val="20"/>
          <w:szCs w:val="20"/>
        </w:rPr>
        <w:t>políticas contables</w:t>
      </w:r>
      <w:r w:rsidRPr="00AC4AEA">
        <w:rPr>
          <w:rFonts w:ascii="Arial" w:hAnsi="Arial" w:cs="Arial"/>
          <w:sz w:val="20"/>
          <w:szCs w:val="20"/>
        </w:rPr>
        <w:t xml:space="preserve"> que estén en conflicto con </w:t>
      </w:r>
      <w:r w:rsidR="002009FE" w:rsidRPr="00AC4AEA">
        <w:rPr>
          <w:rFonts w:ascii="Arial" w:hAnsi="Arial" w:cs="Arial"/>
          <w:sz w:val="20"/>
          <w:szCs w:val="20"/>
        </w:rPr>
        <w:t xml:space="preserve">el </w:t>
      </w:r>
      <w:r w:rsidRPr="00AC4AEA">
        <w:rPr>
          <w:rFonts w:ascii="Arial" w:hAnsi="Arial" w:cs="Arial"/>
          <w:sz w:val="20"/>
          <w:szCs w:val="20"/>
        </w:rPr>
        <w:t xml:space="preserve">Marco Conceptual </w:t>
      </w:r>
      <w:r w:rsidR="002009FE" w:rsidRPr="00AC4AEA">
        <w:rPr>
          <w:rFonts w:ascii="Arial" w:hAnsi="Arial" w:cs="Arial"/>
          <w:sz w:val="20"/>
          <w:szCs w:val="20"/>
        </w:rPr>
        <w:t xml:space="preserve">contenido en la </w:t>
      </w:r>
      <w:r w:rsidR="00C25ED7" w:rsidRPr="00AC4AEA">
        <w:rPr>
          <w:rFonts w:ascii="Arial" w:hAnsi="Arial" w:cs="Arial"/>
          <w:sz w:val="20"/>
          <w:szCs w:val="20"/>
        </w:rPr>
        <w:t xml:space="preserve">Resolución Técnica N° 16 </w:t>
      </w:r>
      <w:r w:rsidRPr="00AC4AEA">
        <w:rPr>
          <w:rFonts w:ascii="Arial" w:hAnsi="Arial" w:cs="Arial"/>
          <w:sz w:val="20"/>
          <w:szCs w:val="20"/>
        </w:rPr>
        <w:t xml:space="preserve">y con las guías que la </w:t>
      </w:r>
      <w:r w:rsidR="00A706D2" w:rsidRPr="00AC4AEA">
        <w:rPr>
          <w:rFonts w:ascii="Arial" w:hAnsi="Arial" w:cs="Arial"/>
          <w:b/>
          <w:bCs/>
          <w:sz w:val="20"/>
          <w:szCs w:val="20"/>
        </w:rPr>
        <w:t>dirección</w:t>
      </w:r>
      <w:r w:rsidR="00A706D2" w:rsidRPr="00AC4AEA">
        <w:rPr>
          <w:rFonts w:ascii="Arial" w:hAnsi="Arial" w:cs="Arial"/>
          <w:sz w:val="20"/>
          <w:szCs w:val="20"/>
        </w:rPr>
        <w:t xml:space="preserve"> </w:t>
      </w:r>
      <w:r w:rsidRPr="00AC4AEA">
        <w:rPr>
          <w:rFonts w:ascii="Arial" w:hAnsi="Arial" w:cs="Arial"/>
          <w:sz w:val="20"/>
          <w:szCs w:val="20"/>
        </w:rPr>
        <w:t>de un</w:t>
      </w:r>
      <w:r w:rsidR="008C490D" w:rsidRPr="00AC4AEA">
        <w:rPr>
          <w:rFonts w:ascii="Arial" w:hAnsi="Arial" w:cs="Arial"/>
          <w:sz w:val="20"/>
          <w:szCs w:val="20"/>
        </w:rPr>
        <w:t>a</w:t>
      </w:r>
      <w:r w:rsidRPr="00AC4AEA">
        <w:rPr>
          <w:rFonts w:ascii="Arial" w:hAnsi="Arial" w:cs="Arial"/>
          <w:sz w:val="20"/>
          <w:szCs w:val="20"/>
        </w:rPr>
        <w:t xml:space="preserve"> ent</w:t>
      </w:r>
      <w:r w:rsidR="008C490D" w:rsidRPr="00AC4AEA">
        <w:rPr>
          <w:rFonts w:ascii="Arial" w:hAnsi="Arial" w:cs="Arial"/>
          <w:sz w:val="20"/>
          <w:szCs w:val="20"/>
        </w:rPr>
        <w:t>idad</w:t>
      </w:r>
      <w:r w:rsidRPr="00AC4AEA">
        <w:rPr>
          <w:rFonts w:ascii="Arial" w:hAnsi="Arial" w:cs="Arial"/>
          <w:sz w:val="20"/>
          <w:szCs w:val="20"/>
        </w:rPr>
        <w:t xml:space="preserve"> emisor</w:t>
      </w:r>
      <w:r w:rsidR="008C490D" w:rsidRPr="00AC4AEA">
        <w:rPr>
          <w:rFonts w:ascii="Arial" w:hAnsi="Arial" w:cs="Arial"/>
          <w:sz w:val="20"/>
          <w:szCs w:val="20"/>
        </w:rPr>
        <w:t>a</w:t>
      </w:r>
      <w:r w:rsidRPr="00AC4AEA">
        <w:rPr>
          <w:rFonts w:ascii="Arial" w:hAnsi="Arial" w:cs="Arial"/>
          <w:sz w:val="20"/>
          <w:szCs w:val="20"/>
        </w:rPr>
        <w:t xml:space="preserve"> </w:t>
      </w:r>
      <w:r w:rsidR="00A706D2" w:rsidRPr="00AC4AEA">
        <w:rPr>
          <w:rFonts w:ascii="Arial" w:hAnsi="Arial" w:cs="Arial"/>
          <w:sz w:val="20"/>
          <w:szCs w:val="20"/>
        </w:rPr>
        <w:t>debe</w:t>
      </w:r>
      <w:r w:rsidRPr="00AC4AEA">
        <w:rPr>
          <w:rFonts w:ascii="Arial" w:hAnsi="Arial" w:cs="Arial"/>
          <w:sz w:val="20"/>
          <w:szCs w:val="20"/>
        </w:rPr>
        <w:t xml:space="preserve"> considerar </w:t>
      </w:r>
      <w:r w:rsidR="00A706D2" w:rsidRPr="00AC4AEA">
        <w:rPr>
          <w:rFonts w:ascii="Arial" w:hAnsi="Arial" w:cs="Arial"/>
          <w:sz w:val="20"/>
          <w:szCs w:val="20"/>
        </w:rPr>
        <w:t>para</w:t>
      </w:r>
      <w:r w:rsidRPr="00AC4AEA">
        <w:rPr>
          <w:rFonts w:ascii="Arial" w:hAnsi="Arial" w:cs="Arial"/>
          <w:sz w:val="20"/>
          <w:szCs w:val="20"/>
        </w:rPr>
        <w:t xml:space="preserve"> </w:t>
      </w:r>
      <w:r w:rsidR="00A706D2" w:rsidRPr="00AC4AEA">
        <w:rPr>
          <w:rFonts w:ascii="Arial" w:hAnsi="Arial" w:cs="Arial"/>
          <w:sz w:val="20"/>
          <w:szCs w:val="20"/>
        </w:rPr>
        <w:t>resolver</w:t>
      </w:r>
      <w:r w:rsidRPr="00AC4AEA">
        <w:rPr>
          <w:rFonts w:ascii="Arial" w:hAnsi="Arial" w:cs="Arial"/>
          <w:sz w:val="20"/>
          <w:szCs w:val="20"/>
        </w:rPr>
        <w:t xml:space="preserve"> una cuestión no prevista, ese pronunciamiento transitorio no podrá utilizarse como fuente supletoria</w:t>
      </w:r>
      <w:r w:rsidR="00A706D2" w:rsidRPr="00AC4AEA">
        <w:rPr>
          <w:rFonts w:ascii="Arial" w:hAnsi="Arial" w:cs="Arial"/>
          <w:sz w:val="20"/>
          <w:szCs w:val="20"/>
        </w:rPr>
        <w:t>.</w:t>
      </w:r>
    </w:p>
    <w:p w:rsidR="002E2F7E" w:rsidRPr="00AC4AEA" w:rsidRDefault="00C671A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w:t>
      </w:r>
      <w:r w:rsidR="002E2F7E" w:rsidRPr="00AC4AEA">
        <w:rPr>
          <w:rFonts w:ascii="Arial" w:hAnsi="Arial" w:cs="Arial"/>
          <w:sz w:val="20"/>
          <w:szCs w:val="20"/>
        </w:rPr>
        <w:t xml:space="preserve">n caso </w:t>
      </w:r>
      <w:r w:rsidR="00A8173B" w:rsidRPr="00AC4AEA">
        <w:rPr>
          <w:rFonts w:ascii="Arial" w:hAnsi="Arial" w:cs="Arial"/>
          <w:sz w:val="20"/>
          <w:szCs w:val="20"/>
        </w:rPr>
        <w:t xml:space="preserve">de </w:t>
      </w:r>
      <w:r w:rsidR="002E2F7E" w:rsidRPr="00AC4AEA">
        <w:rPr>
          <w:rFonts w:ascii="Arial" w:hAnsi="Arial" w:cs="Arial"/>
          <w:sz w:val="20"/>
          <w:szCs w:val="20"/>
        </w:rPr>
        <w:t xml:space="preserve">que </w:t>
      </w:r>
      <w:r w:rsidRPr="00AC4AEA">
        <w:rPr>
          <w:rFonts w:ascii="Arial" w:hAnsi="Arial" w:cs="Arial"/>
          <w:sz w:val="20"/>
          <w:szCs w:val="20"/>
        </w:rPr>
        <w:t>el</w:t>
      </w:r>
      <w:r w:rsidR="002E2F7E" w:rsidRPr="00AC4AEA">
        <w:rPr>
          <w:rFonts w:ascii="Arial" w:hAnsi="Arial" w:cs="Arial"/>
          <w:sz w:val="20"/>
          <w:szCs w:val="20"/>
        </w:rPr>
        <w:t xml:space="preserve"> emisor de la fuente normativa </w:t>
      </w:r>
      <w:r w:rsidRPr="00AC4AEA">
        <w:rPr>
          <w:rFonts w:ascii="Arial" w:hAnsi="Arial" w:cs="Arial"/>
          <w:sz w:val="20"/>
          <w:szCs w:val="20"/>
        </w:rPr>
        <w:t>supletoria</w:t>
      </w:r>
      <w:r w:rsidR="002E2F7E" w:rsidRPr="00AC4AEA">
        <w:rPr>
          <w:rFonts w:ascii="Arial" w:hAnsi="Arial" w:cs="Arial"/>
          <w:sz w:val="20"/>
          <w:szCs w:val="20"/>
        </w:rPr>
        <w:t xml:space="preserve"> </w:t>
      </w:r>
      <w:r w:rsidRPr="00AC4AEA">
        <w:rPr>
          <w:rFonts w:ascii="Arial" w:hAnsi="Arial" w:cs="Arial"/>
          <w:sz w:val="20"/>
          <w:szCs w:val="20"/>
        </w:rPr>
        <w:t>modifique</w:t>
      </w:r>
      <w:r w:rsidR="002E2F7E" w:rsidRPr="00AC4AEA">
        <w:rPr>
          <w:rFonts w:ascii="Arial" w:hAnsi="Arial" w:cs="Arial"/>
          <w:sz w:val="20"/>
          <w:szCs w:val="20"/>
        </w:rPr>
        <w:t xml:space="preserve"> </w:t>
      </w:r>
      <w:r w:rsidRPr="00AC4AEA">
        <w:rPr>
          <w:rFonts w:ascii="Arial" w:hAnsi="Arial" w:cs="Arial"/>
          <w:sz w:val="20"/>
          <w:szCs w:val="20"/>
        </w:rPr>
        <w:t>dicha norma</w:t>
      </w:r>
      <w:r w:rsidR="002E2F7E" w:rsidRPr="00AC4AEA">
        <w:rPr>
          <w:rFonts w:ascii="Arial" w:hAnsi="Arial" w:cs="Arial"/>
          <w:sz w:val="20"/>
          <w:szCs w:val="20"/>
        </w:rPr>
        <w:t xml:space="preserve">, la </w:t>
      </w:r>
      <w:r w:rsidR="00A706D2" w:rsidRPr="00AC4AEA">
        <w:rPr>
          <w:rFonts w:ascii="Arial" w:hAnsi="Arial" w:cs="Arial"/>
          <w:b/>
          <w:bCs/>
          <w:sz w:val="20"/>
          <w:szCs w:val="20"/>
        </w:rPr>
        <w:t>d</w:t>
      </w:r>
      <w:r w:rsidR="002E2F7E" w:rsidRPr="00AC4AEA">
        <w:rPr>
          <w:rFonts w:ascii="Arial" w:hAnsi="Arial" w:cs="Arial"/>
          <w:b/>
          <w:bCs/>
          <w:sz w:val="20"/>
          <w:szCs w:val="20"/>
        </w:rPr>
        <w:t>irección</w:t>
      </w:r>
      <w:r w:rsidR="002E2F7E" w:rsidRPr="00AC4AEA">
        <w:rPr>
          <w:rFonts w:ascii="Arial" w:hAnsi="Arial" w:cs="Arial"/>
          <w:sz w:val="20"/>
          <w:szCs w:val="20"/>
        </w:rPr>
        <w:t xml:space="preserve"> no necesitará reformular sus juicios originales</w:t>
      </w:r>
      <w:r w:rsidR="00A51AA6" w:rsidRPr="00AC4AEA">
        <w:rPr>
          <w:rFonts w:ascii="Arial" w:hAnsi="Arial" w:cs="Arial"/>
          <w:sz w:val="20"/>
          <w:szCs w:val="20"/>
        </w:rPr>
        <w:t xml:space="preserve">. </w:t>
      </w:r>
      <w:r w:rsidRPr="00AC4AEA">
        <w:rPr>
          <w:rFonts w:ascii="Arial" w:hAnsi="Arial" w:cs="Arial"/>
          <w:sz w:val="20"/>
          <w:szCs w:val="20"/>
        </w:rPr>
        <w:t>Si lo hiciera</w:t>
      </w:r>
      <w:r w:rsidR="002E2F7E" w:rsidRPr="00AC4AEA">
        <w:rPr>
          <w:rFonts w:ascii="Arial" w:hAnsi="Arial" w:cs="Arial"/>
          <w:sz w:val="20"/>
          <w:szCs w:val="20"/>
        </w:rPr>
        <w:t xml:space="preserve">, el cambio se contabilizará y expondrá como </w:t>
      </w:r>
      <w:r w:rsidRPr="00AC4AEA">
        <w:rPr>
          <w:rFonts w:ascii="Arial" w:hAnsi="Arial" w:cs="Arial"/>
          <w:sz w:val="20"/>
          <w:szCs w:val="20"/>
        </w:rPr>
        <w:t>una modificación voluntaria</w:t>
      </w:r>
      <w:r w:rsidR="002E2F7E" w:rsidRPr="00AC4AEA">
        <w:rPr>
          <w:rFonts w:ascii="Arial" w:hAnsi="Arial" w:cs="Arial"/>
          <w:sz w:val="20"/>
          <w:szCs w:val="20"/>
        </w:rPr>
        <w:t xml:space="preserve"> de</w:t>
      </w:r>
      <w:r w:rsidRPr="00AC4AEA">
        <w:rPr>
          <w:rFonts w:ascii="Arial" w:hAnsi="Arial" w:cs="Arial"/>
          <w:sz w:val="20"/>
          <w:szCs w:val="20"/>
        </w:rPr>
        <w:t xml:space="preserve"> su</w:t>
      </w:r>
      <w:r w:rsidR="002E2F7E" w:rsidRPr="00AC4AEA">
        <w:rPr>
          <w:rFonts w:ascii="Arial" w:hAnsi="Arial" w:cs="Arial"/>
          <w:sz w:val="20"/>
          <w:szCs w:val="20"/>
        </w:rPr>
        <w:t xml:space="preserve"> </w:t>
      </w:r>
      <w:r w:rsidR="00596F3F" w:rsidRPr="00AC4AEA">
        <w:rPr>
          <w:rFonts w:ascii="Arial" w:hAnsi="Arial" w:cs="Arial"/>
          <w:b/>
          <w:bCs/>
          <w:sz w:val="20"/>
          <w:szCs w:val="20"/>
        </w:rPr>
        <w:t>política contable</w:t>
      </w:r>
      <w:r w:rsidR="002E2F7E" w:rsidRPr="00AC4AEA">
        <w:rPr>
          <w:rFonts w:ascii="Arial" w:hAnsi="Arial" w:cs="Arial"/>
          <w:sz w:val="20"/>
          <w:szCs w:val="20"/>
        </w:rPr>
        <w:t xml:space="preserve">, debiendo </w:t>
      </w:r>
      <w:r w:rsidRPr="00AC4AEA">
        <w:rPr>
          <w:rFonts w:ascii="Arial" w:hAnsi="Arial" w:cs="Arial"/>
          <w:sz w:val="20"/>
          <w:szCs w:val="20"/>
        </w:rPr>
        <w:t>informar en notas</w:t>
      </w:r>
      <w:r w:rsidR="002E2F7E" w:rsidRPr="00AC4AEA">
        <w:rPr>
          <w:rFonts w:ascii="Arial" w:hAnsi="Arial" w:cs="Arial"/>
          <w:sz w:val="20"/>
          <w:szCs w:val="20"/>
        </w:rPr>
        <w:t xml:space="preserve"> las razones del cambio que permiten un mejor cumplimiento</w:t>
      </w:r>
      <w:r w:rsidR="00A706D2" w:rsidRPr="00AC4AEA">
        <w:rPr>
          <w:rFonts w:ascii="Arial" w:hAnsi="Arial" w:cs="Arial"/>
          <w:sz w:val="20"/>
          <w:szCs w:val="20"/>
        </w:rPr>
        <w:t xml:space="preserve"> de los</w:t>
      </w:r>
      <w:r w:rsidR="002E2F7E" w:rsidRPr="00AC4AEA">
        <w:rPr>
          <w:rFonts w:ascii="Arial" w:hAnsi="Arial" w:cs="Arial"/>
          <w:sz w:val="20"/>
          <w:szCs w:val="20"/>
        </w:rPr>
        <w:t xml:space="preserve"> </w:t>
      </w:r>
      <w:r w:rsidR="00A706D2" w:rsidRPr="00AC4AEA">
        <w:rPr>
          <w:rFonts w:ascii="Arial" w:hAnsi="Arial" w:cs="Arial"/>
          <w:b/>
          <w:bCs/>
          <w:sz w:val="20"/>
          <w:szCs w:val="20"/>
        </w:rPr>
        <w:t xml:space="preserve">requisitos de la información contenida en los </w:t>
      </w:r>
      <w:r w:rsidR="00135084" w:rsidRPr="00AC4AEA">
        <w:rPr>
          <w:rFonts w:ascii="Arial" w:hAnsi="Arial" w:cs="Arial"/>
          <w:b/>
          <w:bCs/>
          <w:sz w:val="20"/>
          <w:szCs w:val="20"/>
        </w:rPr>
        <w:t>estados contables</w:t>
      </w:r>
      <w:r w:rsidR="002E2F7E" w:rsidRPr="00AC4AEA">
        <w:rPr>
          <w:rFonts w:ascii="Arial" w:hAnsi="Arial" w:cs="Arial"/>
          <w:sz w:val="20"/>
          <w:szCs w:val="20"/>
        </w:rPr>
        <w:t>.</w:t>
      </w:r>
    </w:p>
    <w:p w:rsidR="00765C6A" w:rsidRPr="00AC4AEA" w:rsidRDefault="002E2F7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utilice las fuentes indicadas en </w:t>
      </w:r>
      <w:r w:rsidR="008D6B60" w:rsidRPr="00AC4AEA">
        <w:rPr>
          <w:rFonts w:ascii="Arial" w:hAnsi="Arial" w:cs="Arial"/>
          <w:sz w:val="20"/>
          <w:szCs w:val="20"/>
        </w:rPr>
        <w:t>los</w:t>
      </w:r>
      <w:r w:rsidR="00E96324" w:rsidRPr="00AC4AEA">
        <w:rPr>
          <w:rFonts w:ascii="Arial" w:hAnsi="Arial" w:cs="Arial"/>
          <w:sz w:val="20"/>
          <w:szCs w:val="20"/>
        </w:rPr>
        <w:t xml:space="preserve"> párrafo</w:t>
      </w:r>
      <w:r w:rsidR="008D6B60" w:rsidRPr="00AC4AEA">
        <w:rPr>
          <w:rFonts w:ascii="Arial" w:hAnsi="Arial" w:cs="Arial"/>
          <w:sz w:val="20"/>
          <w:szCs w:val="20"/>
        </w:rPr>
        <w:t>s</w:t>
      </w:r>
      <w:r w:rsidR="00712B96" w:rsidRPr="00AC4AEA">
        <w:rPr>
          <w:rFonts w:ascii="Arial" w:hAnsi="Arial" w:cs="Arial"/>
          <w:sz w:val="20"/>
          <w:szCs w:val="20"/>
        </w:rPr>
        <w:t xml:space="preserve"> precedentes,</w:t>
      </w:r>
      <w:r w:rsidR="00111895" w:rsidRPr="00AC4AEA">
        <w:rPr>
          <w:rFonts w:ascii="Arial" w:hAnsi="Arial" w:cs="Arial"/>
          <w:sz w:val="20"/>
          <w:szCs w:val="20"/>
        </w:rPr>
        <w:t xml:space="preserve"> una entidad</w:t>
      </w:r>
      <w:r w:rsidR="00765C6A" w:rsidRPr="00AC4AEA">
        <w:rPr>
          <w:rFonts w:ascii="Arial" w:hAnsi="Arial" w:cs="Arial"/>
          <w:sz w:val="20"/>
          <w:szCs w:val="20"/>
        </w:rPr>
        <w:t>:</w:t>
      </w:r>
      <w:r w:rsidR="00995610" w:rsidRPr="00AC4AEA">
        <w:rPr>
          <w:rFonts w:ascii="Arial" w:hAnsi="Arial" w:cs="Arial"/>
          <w:sz w:val="20"/>
          <w:szCs w:val="20"/>
        </w:rPr>
        <w:t xml:space="preserve"> </w:t>
      </w:r>
    </w:p>
    <w:p w:rsidR="00765C6A" w:rsidRPr="00AC4AEA" w:rsidRDefault="005C225D"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revelará </w:t>
      </w:r>
      <w:r w:rsidR="00765C6A" w:rsidRPr="00AC4AEA">
        <w:rPr>
          <w:rFonts w:ascii="Arial" w:hAnsi="Arial" w:cs="Arial"/>
          <w:sz w:val="20"/>
          <w:szCs w:val="20"/>
        </w:rPr>
        <w:t xml:space="preserve">este hecho </w:t>
      </w:r>
      <w:r w:rsidR="00712B96" w:rsidRPr="00AC4AEA">
        <w:rPr>
          <w:rFonts w:ascii="Arial" w:hAnsi="Arial" w:cs="Arial"/>
          <w:sz w:val="20"/>
          <w:szCs w:val="20"/>
        </w:rPr>
        <w:t xml:space="preserve">en </w:t>
      </w:r>
      <w:r w:rsidR="002E2F7E" w:rsidRPr="00AC4AEA">
        <w:rPr>
          <w:rFonts w:ascii="Arial" w:hAnsi="Arial" w:cs="Arial"/>
          <w:sz w:val="20"/>
          <w:szCs w:val="20"/>
        </w:rPr>
        <w:t xml:space="preserve">la nota </w:t>
      </w:r>
      <w:r w:rsidR="00A706D2" w:rsidRPr="00AC4AEA">
        <w:rPr>
          <w:rFonts w:ascii="Arial" w:hAnsi="Arial" w:cs="Arial"/>
          <w:sz w:val="20"/>
          <w:szCs w:val="20"/>
        </w:rPr>
        <w:t>correspondiente</w:t>
      </w:r>
      <w:r w:rsidR="00765C6A" w:rsidRPr="00AC4AEA">
        <w:rPr>
          <w:rFonts w:ascii="Arial" w:hAnsi="Arial" w:cs="Arial"/>
          <w:sz w:val="20"/>
          <w:szCs w:val="20"/>
        </w:rPr>
        <w:t>;</w:t>
      </w:r>
      <w:r w:rsidR="002E2F7E" w:rsidRPr="00AC4AEA">
        <w:rPr>
          <w:rFonts w:ascii="Arial" w:hAnsi="Arial" w:cs="Arial"/>
          <w:sz w:val="20"/>
          <w:szCs w:val="20"/>
        </w:rPr>
        <w:t xml:space="preserve"> </w:t>
      </w:r>
    </w:p>
    <w:p w:rsidR="00765C6A" w:rsidRPr="00AC4AEA" w:rsidRDefault="002E2F7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identificar</w:t>
      </w:r>
      <w:r w:rsidR="00712B96" w:rsidRPr="00AC4AEA">
        <w:rPr>
          <w:rFonts w:ascii="Arial" w:hAnsi="Arial" w:cs="Arial"/>
          <w:sz w:val="20"/>
          <w:szCs w:val="20"/>
        </w:rPr>
        <w:t>á</w:t>
      </w:r>
      <w:r w:rsidRPr="00AC4AEA">
        <w:rPr>
          <w:rFonts w:ascii="Arial" w:hAnsi="Arial" w:cs="Arial"/>
          <w:sz w:val="20"/>
          <w:szCs w:val="20"/>
        </w:rPr>
        <w:t xml:space="preserve"> la fuente utilizada</w:t>
      </w:r>
      <w:r w:rsidR="00765C6A" w:rsidRPr="00AC4AEA">
        <w:rPr>
          <w:rFonts w:ascii="Arial" w:hAnsi="Arial" w:cs="Arial"/>
          <w:sz w:val="20"/>
          <w:szCs w:val="20"/>
        </w:rPr>
        <w:t>;</w:t>
      </w:r>
      <w:r w:rsidRPr="00AC4AEA">
        <w:rPr>
          <w:rFonts w:ascii="Arial" w:hAnsi="Arial" w:cs="Arial"/>
          <w:sz w:val="20"/>
          <w:szCs w:val="20"/>
        </w:rPr>
        <w:t xml:space="preserve"> e </w:t>
      </w:r>
    </w:p>
    <w:p w:rsidR="002E2F7E" w:rsidRPr="00AC4AEA" w:rsidRDefault="002E2F7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informar</w:t>
      </w:r>
      <w:r w:rsidR="00995610" w:rsidRPr="00AC4AEA">
        <w:rPr>
          <w:rFonts w:ascii="Arial" w:hAnsi="Arial" w:cs="Arial"/>
          <w:sz w:val="20"/>
          <w:szCs w:val="20"/>
        </w:rPr>
        <w:t>á</w:t>
      </w:r>
      <w:r w:rsidRPr="00AC4AEA">
        <w:rPr>
          <w:rFonts w:ascii="Arial" w:hAnsi="Arial" w:cs="Arial"/>
          <w:sz w:val="20"/>
          <w:szCs w:val="20"/>
        </w:rPr>
        <w:t xml:space="preserve"> los fundamentos tenidos en cuenta para su selección.</w:t>
      </w:r>
    </w:p>
    <w:p w:rsidR="00765C6A" w:rsidRPr="00AC4AEA" w:rsidRDefault="00765C6A" w:rsidP="00A318EA">
      <w:pPr>
        <w:pStyle w:val="Prrafodelista"/>
        <w:ind w:left="1080"/>
        <w:contextualSpacing w:val="0"/>
        <w:jc w:val="both"/>
        <w:rPr>
          <w:rFonts w:ascii="Arial" w:hAnsi="Arial" w:cs="Arial"/>
          <w:sz w:val="20"/>
          <w:szCs w:val="20"/>
        </w:rPr>
      </w:pPr>
    </w:p>
    <w:p w:rsidR="00F603F4" w:rsidRPr="00AC4AEA" w:rsidRDefault="00F603F4" w:rsidP="008416FC">
      <w:pPr>
        <w:pStyle w:val="Ttulo4"/>
      </w:pPr>
      <w:bookmarkStart w:id="90" w:name="_Toc101863726"/>
      <w:r w:rsidRPr="00AC4AEA">
        <w:t>Significación</w:t>
      </w:r>
      <w:bookmarkEnd w:id="90"/>
    </w:p>
    <w:p w:rsidR="00F603F4" w:rsidRPr="00AC4AEA" w:rsidRDefault="00F603F4" w:rsidP="00A318EA">
      <w:pPr>
        <w:pStyle w:val="Prrafodelista"/>
        <w:numPr>
          <w:ilvl w:val="0"/>
          <w:numId w:val="29"/>
        </w:numPr>
        <w:contextualSpacing w:val="0"/>
        <w:jc w:val="both"/>
        <w:rPr>
          <w:rFonts w:ascii="Arial" w:hAnsi="Arial" w:cs="Arial"/>
          <w:sz w:val="20"/>
          <w:szCs w:val="20"/>
        </w:rPr>
      </w:pPr>
      <w:bookmarkStart w:id="91" w:name="_Ref101016209"/>
      <w:r w:rsidRPr="00AC4AEA">
        <w:rPr>
          <w:rFonts w:ascii="Arial" w:hAnsi="Arial" w:cs="Arial"/>
          <w:sz w:val="20"/>
          <w:szCs w:val="20"/>
        </w:rPr>
        <w:t xml:space="preserve">Una entidad podrá no aplicar una norma contenida en </w:t>
      </w:r>
      <w:r w:rsidR="002A600D" w:rsidRPr="00AC4AEA">
        <w:rPr>
          <w:rFonts w:ascii="Arial" w:hAnsi="Arial" w:cs="Arial"/>
          <w:sz w:val="20"/>
          <w:szCs w:val="20"/>
        </w:rPr>
        <w:t xml:space="preserve">esta Resolución Técnica </w:t>
      </w:r>
      <w:r w:rsidR="00C33BBE" w:rsidRPr="00AC4AEA">
        <w:rPr>
          <w:rFonts w:ascii="Arial" w:hAnsi="Arial" w:cs="Arial"/>
          <w:sz w:val="20"/>
          <w:szCs w:val="20"/>
        </w:rPr>
        <w:t>u</w:t>
      </w:r>
      <w:r w:rsidR="002A600D" w:rsidRPr="00AC4AEA">
        <w:rPr>
          <w:rFonts w:ascii="Arial" w:hAnsi="Arial" w:cs="Arial"/>
          <w:sz w:val="20"/>
          <w:szCs w:val="20"/>
        </w:rPr>
        <w:t xml:space="preserve"> </w:t>
      </w:r>
      <w:r w:rsidR="002A600D" w:rsidRPr="00AC4AEA">
        <w:rPr>
          <w:rFonts w:ascii="Arial" w:hAnsi="Arial" w:cs="Arial"/>
          <w:b/>
          <w:bCs/>
          <w:sz w:val="20"/>
          <w:szCs w:val="20"/>
        </w:rPr>
        <w:t xml:space="preserve">otras normas contables </w:t>
      </w:r>
      <w:r w:rsidRPr="00AC4AEA">
        <w:rPr>
          <w:rFonts w:ascii="Arial" w:hAnsi="Arial" w:cs="Arial"/>
          <w:sz w:val="20"/>
          <w:szCs w:val="20"/>
        </w:rPr>
        <w:t xml:space="preserve">solo si la desviación no distorsiona significativamente la información contenida en los </w:t>
      </w:r>
      <w:r w:rsidR="00135084" w:rsidRPr="00AC4AEA">
        <w:rPr>
          <w:rFonts w:ascii="Arial" w:hAnsi="Arial" w:cs="Arial"/>
          <w:b/>
          <w:bCs/>
          <w:sz w:val="20"/>
          <w:szCs w:val="20"/>
        </w:rPr>
        <w:t>estados contables</w:t>
      </w:r>
      <w:r w:rsidRPr="00AC4AEA">
        <w:rPr>
          <w:rFonts w:ascii="Arial" w:hAnsi="Arial" w:cs="Arial"/>
          <w:sz w:val="20"/>
          <w:szCs w:val="20"/>
        </w:rPr>
        <w:t xml:space="preserve"> tomados en su conjunto.</w:t>
      </w:r>
      <w:bookmarkEnd w:id="91"/>
      <w:r w:rsidRPr="00AC4AEA">
        <w:rPr>
          <w:rFonts w:ascii="Arial" w:hAnsi="Arial" w:cs="Arial"/>
          <w:sz w:val="20"/>
          <w:szCs w:val="20"/>
        </w:rPr>
        <w:t xml:space="preserve"> </w:t>
      </w:r>
    </w:p>
    <w:p w:rsidR="00F603F4" w:rsidRPr="00AC4AEA" w:rsidRDefault="00F603F4" w:rsidP="00A318EA">
      <w:pPr>
        <w:pStyle w:val="Prrafodelista"/>
        <w:numPr>
          <w:ilvl w:val="0"/>
          <w:numId w:val="29"/>
        </w:numPr>
        <w:contextualSpacing w:val="0"/>
        <w:jc w:val="both"/>
        <w:rPr>
          <w:rFonts w:ascii="Arial" w:hAnsi="Arial" w:cs="Arial"/>
          <w:sz w:val="20"/>
          <w:szCs w:val="20"/>
        </w:rPr>
      </w:pPr>
      <w:bookmarkStart w:id="92" w:name="_Ref75791953"/>
      <w:r w:rsidRPr="00AC4AEA">
        <w:rPr>
          <w:rFonts w:ascii="Arial" w:hAnsi="Arial" w:cs="Arial"/>
          <w:sz w:val="20"/>
          <w:szCs w:val="20"/>
        </w:rPr>
        <w:t xml:space="preserve">Para evaluar la </w:t>
      </w:r>
      <w:r w:rsidRPr="00AC4AEA">
        <w:rPr>
          <w:rFonts w:ascii="Arial" w:hAnsi="Arial" w:cs="Arial"/>
          <w:b/>
          <w:bCs/>
          <w:sz w:val="20"/>
          <w:szCs w:val="20"/>
        </w:rPr>
        <w:t>significación</w:t>
      </w:r>
      <w:r w:rsidRPr="00AC4AEA">
        <w:rPr>
          <w:rFonts w:ascii="Arial" w:hAnsi="Arial" w:cs="Arial"/>
          <w:sz w:val="20"/>
          <w:szCs w:val="20"/>
        </w:rPr>
        <w:t xml:space="preserve"> de una desviación en </w:t>
      </w:r>
      <w:r w:rsidR="00135084" w:rsidRPr="00AC4AEA">
        <w:rPr>
          <w:rFonts w:ascii="Arial" w:hAnsi="Arial" w:cs="Arial"/>
          <w:b/>
          <w:bCs/>
          <w:sz w:val="20"/>
          <w:szCs w:val="20"/>
        </w:rPr>
        <w:t>estados contables</w:t>
      </w:r>
      <w:r w:rsidRPr="00AC4AEA">
        <w:rPr>
          <w:rFonts w:ascii="Arial" w:hAnsi="Arial" w:cs="Arial"/>
          <w:sz w:val="20"/>
          <w:szCs w:val="20"/>
        </w:rPr>
        <w:t xml:space="preserve"> de períodos intermedios, una entidad deberá:</w:t>
      </w:r>
      <w:bookmarkEnd w:id="92"/>
    </w:p>
    <w:p w:rsidR="00F603F4" w:rsidRPr="00AC4AEA" w:rsidRDefault="007A1A6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F603F4" w:rsidRPr="00AC4AEA">
        <w:rPr>
          <w:rFonts w:ascii="Arial" w:hAnsi="Arial" w:cs="Arial"/>
          <w:sz w:val="20"/>
          <w:szCs w:val="20"/>
        </w:rPr>
        <w:t xml:space="preserve">stimar su incidencia en los </w:t>
      </w:r>
      <w:r w:rsidR="00135084" w:rsidRPr="00AC4AEA">
        <w:rPr>
          <w:rFonts w:ascii="Arial" w:hAnsi="Arial" w:cs="Arial"/>
          <w:b/>
          <w:bCs/>
          <w:sz w:val="20"/>
          <w:szCs w:val="20"/>
        </w:rPr>
        <w:t>estados contables</w:t>
      </w:r>
      <w:r w:rsidR="00F603F4" w:rsidRPr="00AC4AEA">
        <w:rPr>
          <w:rFonts w:ascii="Arial" w:hAnsi="Arial" w:cs="Arial"/>
          <w:sz w:val="20"/>
          <w:szCs w:val="20"/>
        </w:rPr>
        <w:t xml:space="preserve"> del período afectado y no la que tendría sobre los referidos al ejercicio completo</w:t>
      </w:r>
      <w:r w:rsidRPr="00AC4AEA">
        <w:rPr>
          <w:rFonts w:ascii="Arial" w:hAnsi="Arial" w:cs="Arial"/>
          <w:sz w:val="20"/>
          <w:szCs w:val="20"/>
        </w:rPr>
        <w:t>;</w:t>
      </w:r>
      <w:r w:rsidR="00F603F4" w:rsidRPr="00AC4AEA">
        <w:rPr>
          <w:rFonts w:ascii="Arial" w:hAnsi="Arial" w:cs="Arial"/>
          <w:sz w:val="20"/>
          <w:szCs w:val="20"/>
        </w:rPr>
        <w:t xml:space="preserve"> y</w:t>
      </w:r>
    </w:p>
    <w:p w:rsidR="00F603F4" w:rsidRPr="00AC4AEA" w:rsidRDefault="007A1A6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w:t>
      </w:r>
      <w:r w:rsidR="00F603F4" w:rsidRPr="00AC4AEA">
        <w:rPr>
          <w:rFonts w:ascii="Arial" w:hAnsi="Arial" w:cs="Arial"/>
          <w:sz w:val="20"/>
          <w:szCs w:val="20"/>
        </w:rPr>
        <w:t xml:space="preserve">onsiderar que las mediciones de los </w:t>
      </w:r>
      <w:r w:rsidR="00135084" w:rsidRPr="00AC4AEA">
        <w:rPr>
          <w:rFonts w:ascii="Arial" w:hAnsi="Arial" w:cs="Arial"/>
          <w:b/>
          <w:bCs/>
          <w:sz w:val="20"/>
          <w:szCs w:val="20"/>
        </w:rPr>
        <w:t>estados contables</w:t>
      </w:r>
      <w:r w:rsidR="00F603F4" w:rsidRPr="00AC4AEA">
        <w:rPr>
          <w:rFonts w:ascii="Arial" w:hAnsi="Arial" w:cs="Arial"/>
          <w:sz w:val="20"/>
          <w:szCs w:val="20"/>
        </w:rPr>
        <w:t xml:space="preserve"> intermedios pueden basarse en estimaciones, en mayor medida que las </w:t>
      </w:r>
      <w:r w:rsidR="001342C9" w:rsidRPr="00AC4AEA">
        <w:rPr>
          <w:rFonts w:ascii="Arial" w:hAnsi="Arial" w:cs="Arial"/>
          <w:sz w:val="20"/>
          <w:szCs w:val="20"/>
        </w:rPr>
        <w:t xml:space="preserve">contenidas </w:t>
      </w:r>
      <w:r w:rsidR="00F603F4" w:rsidRPr="00AC4AEA">
        <w:rPr>
          <w:rFonts w:ascii="Arial" w:hAnsi="Arial" w:cs="Arial"/>
          <w:sz w:val="20"/>
          <w:szCs w:val="20"/>
        </w:rPr>
        <w:t xml:space="preserve">en los </w:t>
      </w:r>
      <w:r w:rsidR="00135084" w:rsidRPr="00AC4AEA">
        <w:rPr>
          <w:rFonts w:ascii="Arial" w:hAnsi="Arial" w:cs="Arial"/>
          <w:b/>
          <w:bCs/>
          <w:sz w:val="20"/>
          <w:szCs w:val="20"/>
        </w:rPr>
        <w:t>estados contables</w:t>
      </w:r>
      <w:r w:rsidR="00F603F4" w:rsidRPr="00AC4AEA">
        <w:rPr>
          <w:rFonts w:ascii="Arial" w:hAnsi="Arial" w:cs="Arial"/>
          <w:sz w:val="20"/>
          <w:szCs w:val="20"/>
        </w:rPr>
        <w:t xml:space="preserve"> de ejercicio. </w:t>
      </w:r>
    </w:p>
    <w:p w:rsidR="00D50C64" w:rsidRPr="00AC4AEA" w:rsidRDefault="00D50C64" w:rsidP="00A318EA">
      <w:pPr>
        <w:pStyle w:val="Prrafodelista"/>
        <w:ind w:left="708"/>
        <w:contextualSpacing w:val="0"/>
        <w:jc w:val="both"/>
        <w:rPr>
          <w:rFonts w:ascii="Arial" w:hAnsi="Arial" w:cs="Arial"/>
          <w:sz w:val="20"/>
          <w:szCs w:val="20"/>
        </w:rPr>
      </w:pPr>
    </w:p>
    <w:p w:rsidR="00F603F4" w:rsidRPr="00AC4AEA" w:rsidRDefault="00853F80" w:rsidP="008416FC">
      <w:pPr>
        <w:pStyle w:val="Ttulo4"/>
      </w:pPr>
      <w:bookmarkStart w:id="93" w:name="_Toc101863727"/>
      <w:r w:rsidRPr="00AC4AEA">
        <w:t>Costo o esfuerzo desproporcionado</w:t>
      </w:r>
      <w:bookmarkEnd w:id="93"/>
    </w:p>
    <w:tbl>
      <w:tblPr>
        <w:tblStyle w:val="Tablaconcuadrcula"/>
        <w:tblW w:w="8221" w:type="dxa"/>
        <w:tblInd w:w="279" w:type="dxa"/>
        <w:tblLook w:val="04A0"/>
      </w:tblPr>
      <w:tblGrid>
        <w:gridCol w:w="8221"/>
      </w:tblGrid>
      <w:tr w:rsidR="00E618EF" w:rsidRPr="00AC4AEA" w:rsidTr="007F39FB">
        <w:tc>
          <w:tcPr>
            <w:tcW w:w="8221" w:type="dxa"/>
          </w:tcPr>
          <w:p w:rsidR="008416FC" w:rsidRPr="00AC4AEA" w:rsidRDefault="008416FC" w:rsidP="008416FC">
            <w:pPr>
              <w:pStyle w:val="Prrafodelista"/>
              <w:ind w:left="0"/>
              <w:contextualSpacing w:val="0"/>
              <w:rPr>
                <w:rFonts w:ascii="Arial" w:hAnsi="Arial" w:cs="Arial"/>
                <w:color w:val="00B050"/>
                <w:sz w:val="20"/>
                <w:szCs w:val="20"/>
              </w:rPr>
            </w:pPr>
            <w:bookmarkStart w:id="94" w:name="_Ref106361674"/>
            <w:r w:rsidRPr="00AC4AEA">
              <w:rPr>
                <w:rFonts w:ascii="Arial" w:hAnsi="Arial" w:cs="Arial"/>
                <w:color w:val="00B050"/>
                <w:sz w:val="20"/>
                <w:szCs w:val="20"/>
              </w:rPr>
              <w:t>Aclaración</w:t>
            </w:r>
            <w:r w:rsidR="00CA1ABA" w:rsidRPr="00AC4AEA">
              <w:rPr>
                <w:rFonts w:ascii="Arial" w:hAnsi="Arial" w:cs="Arial"/>
                <w:color w:val="00B050"/>
                <w:sz w:val="20"/>
                <w:szCs w:val="20"/>
              </w:rPr>
              <w:t xml:space="preserve"> (</w:t>
            </w:r>
            <w:r w:rsidR="0054064C" w:rsidRPr="00AC4AEA">
              <w:rPr>
                <w:rFonts w:ascii="Arial" w:hAnsi="Arial" w:cs="Arial"/>
                <w:color w:val="00B050"/>
                <w:sz w:val="20"/>
                <w:szCs w:val="20"/>
              </w:rPr>
              <w:t>texto no integrante de la presente Resolución Técnica)</w:t>
            </w:r>
          </w:p>
        </w:tc>
      </w:tr>
      <w:tr w:rsidR="00E618EF" w:rsidRPr="00AC4AEA" w:rsidTr="007F39FB">
        <w:tc>
          <w:tcPr>
            <w:tcW w:w="8221" w:type="dxa"/>
          </w:tcPr>
          <w:p w:rsidR="00462E5C" w:rsidRPr="00AC4AEA" w:rsidRDefault="00B977D2" w:rsidP="008416FC">
            <w:pPr>
              <w:pStyle w:val="Prrafodelista"/>
              <w:ind w:left="0"/>
              <w:contextualSpacing w:val="0"/>
              <w:rPr>
                <w:rFonts w:ascii="Arial" w:hAnsi="Arial" w:cs="Arial"/>
                <w:color w:val="00B050"/>
                <w:sz w:val="20"/>
                <w:szCs w:val="20"/>
              </w:rPr>
            </w:pPr>
            <w:r w:rsidRPr="00AC4AEA">
              <w:rPr>
                <w:rFonts w:ascii="Arial" w:hAnsi="Arial" w:cs="Arial"/>
                <w:color w:val="00B050"/>
                <w:sz w:val="20"/>
                <w:szCs w:val="20"/>
              </w:rPr>
              <w:t>En el párrafo</w:t>
            </w:r>
            <w:r w:rsidR="001C4138">
              <w:rPr>
                <w:rFonts w:ascii="Arial" w:hAnsi="Arial" w:cs="Arial"/>
                <w:color w:val="00B050"/>
                <w:sz w:val="20"/>
                <w:szCs w:val="20"/>
              </w:rPr>
              <w:fldChar w:fldCharType="begin"/>
            </w:r>
            <w:r w:rsidR="00EA6929">
              <w:rPr>
                <w:rFonts w:ascii="Arial" w:hAnsi="Arial" w:cs="Arial"/>
                <w:color w:val="00B050"/>
                <w:sz w:val="20"/>
                <w:szCs w:val="20"/>
              </w:rPr>
              <w:instrText xml:space="preserve"> REF _Ref136445073 \r \h </w:instrText>
            </w:r>
            <w:r w:rsidR="001C4138">
              <w:rPr>
                <w:rFonts w:ascii="Arial" w:hAnsi="Arial" w:cs="Arial"/>
                <w:color w:val="00B050"/>
                <w:sz w:val="20"/>
                <w:szCs w:val="20"/>
              </w:rPr>
            </w:r>
            <w:r w:rsidR="001C4138">
              <w:rPr>
                <w:rFonts w:ascii="Arial" w:hAnsi="Arial" w:cs="Arial"/>
                <w:color w:val="00B050"/>
                <w:sz w:val="20"/>
                <w:szCs w:val="20"/>
              </w:rPr>
              <w:fldChar w:fldCharType="separate"/>
            </w:r>
            <w:r w:rsidR="00D33A5D">
              <w:rPr>
                <w:rFonts w:ascii="Arial" w:hAnsi="Arial" w:cs="Arial"/>
                <w:color w:val="00B050"/>
                <w:sz w:val="20"/>
                <w:szCs w:val="20"/>
              </w:rPr>
              <w:t>83</w:t>
            </w:r>
            <w:r w:rsidR="001C4138">
              <w:rPr>
                <w:rFonts w:ascii="Arial" w:hAnsi="Arial" w:cs="Arial"/>
                <w:color w:val="00B050"/>
                <w:sz w:val="20"/>
                <w:szCs w:val="20"/>
              </w:rPr>
              <w:fldChar w:fldCharType="end"/>
            </w:r>
            <w:r w:rsidR="000E1F4C" w:rsidRPr="00AC4AEA">
              <w:rPr>
                <w:rFonts w:ascii="Arial" w:hAnsi="Arial" w:cs="Arial"/>
                <w:color w:val="00B050"/>
                <w:sz w:val="20"/>
                <w:szCs w:val="20"/>
              </w:rPr>
              <w:t>,</w:t>
            </w:r>
            <w:r w:rsidR="008416FC" w:rsidRPr="00AC4AEA">
              <w:rPr>
                <w:rFonts w:ascii="Arial" w:hAnsi="Arial" w:cs="Arial"/>
                <w:color w:val="00B050"/>
                <w:sz w:val="20"/>
                <w:szCs w:val="20"/>
              </w:rPr>
              <w:t xml:space="preserve"> </w:t>
            </w:r>
            <w:r w:rsidRPr="00AC4AEA">
              <w:rPr>
                <w:rFonts w:ascii="Arial" w:hAnsi="Arial" w:cs="Arial"/>
                <w:color w:val="00B050"/>
                <w:sz w:val="20"/>
                <w:szCs w:val="20"/>
              </w:rPr>
              <w:t>se establecen las reglas para seleccionar un tratamiento contable alternativo con base en el principio de</w:t>
            </w:r>
            <w:r w:rsidR="008416FC" w:rsidRPr="00AC4AEA">
              <w:rPr>
                <w:rFonts w:ascii="Arial" w:hAnsi="Arial" w:cs="Arial"/>
                <w:color w:val="00B050"/>
                <w:sz w:val="20"/>
                <w:szCs w:val="20"/>
              </w:rPr>
              <w:t xml:space="preserve"> “costo o esfuerzo desproporcionado”</w:t>
            </w:r>
            <w:r w:rsidRPr="00AC4AEA">
              <w:rPr>
                <w:rFonts w:ascii="Arial" w:hAnsi="Arial" w:cs="Arial"/>
                <w:color w:val="00B050"/>
                <w:sz w:val="20"/>
                <w:szCs w:val="20"/>
              </w:rPr>
              <w:t xml:space="preserve">. </w:t>
            </w:r>
            <w:r w:rsidR="00462E5C" w:rsidRPr="00AC4AEA">
              <w:rPr>
                <w:rFonts w:ascii="Arial" w:hAnsi="Arial" w:cs="Arial"/>
                <w:color w:val="00B050"/>
                <w:sz w:val="20"/>
                <w:szCs w:val="20"/>
              </w:rPr>
              <w:t xml:space="preserve">En síntesis, </w:t>
            </w:r>
            <w:r w:rsidR="00462E5C" w:rsidRPr="00AC4AEA">
              <w:rPr>
                <w:rFonts w:ascii="Arial" w:hAnsi="Arial" w:cs="Arial"/>
                <w:color w:val="00B050"/>
                <w:sz w:val="20"/>
                <w:szCs w:val="20"/>
              </w:rPr>
              <w:lastRenderedPageBreak/>
              <w:t>para aplicar este principio, una entidad evaluará:</w:t>
            </w:r>
          </w:p>
          <w:p w:rsidR="00006C99" w:rsidRPr="00AC4AEA" w:rsidRDefault="005E3CE8" w:rsidP="00C01B25">
            <w:pPr>
              <w:pStyle w:val="Prrafodelista"/>
              <w:numPr>
                <w:ilvl w:val="0"/>
                <w:numId w:val="651"/>
              </w:numPr>
              <w:contextualSpacing w:val="0"/>
              <w:rPr>
                <w:rFonts w:ascii="Arial" w:hAnsi="Arial" w:cs="Arial"/>
                <w:color w:val="00B050"/>
                <w:sz w:val="20"/>
                <w:szCs w:val="20"/>
              </w:rPr>
            </w:pPr>
            <w:r w:rsidRPr="00AC4AEA">
              <w:rPr>
                <w:rFonts w:ascii="Arial" w:hAnsi="Arial" w:cs="Arial"/>
                <w:color w:val="00B050"/>
                <w:sz w:val="20"/>
                <w:szCs w:val="20"/>
              </w:rPr>
              <w:t>c</w:t>
            </w:r>
            <w:r w:rsidR="00462E5C" w:rsidRPr="00AC4AEA">
              <w:rPr>
                <w:rFonts w:ascii="Arial" w:hAnsi="Arial" w:cs="Arial"/>
                <w:color w:val="00B050"/>
                <w:sz w:val="20"/>
                <w:szCs w:val="20"/>
              </w:rPr>
              <w:t xml:space="preserve">ómo se espera que </w:t>
            </w:r>
            <w:r w:rsidRPr="00AC4AEA">
              <w:rPr>
                <w:rFonts w:ascii="Arial" w:hAnsi="Arial" w:cs="Arial"/>
                <w:color w:val="00B050"/>
                <w:sz w:val="20"/>
                <w:szCs w:val="20"/>
              </w:rPr>
              <w:t>sus</w:t>
            </w:r>
            <w:r w:rsidR="00462E5C" w:rsidRPr="00AC4AEA">
              <w:rPr>
                <w:rFonts w:ascii="Arial" w:hAnsi="Arial" w:cs="Arial"/>
                <w:color w:val="00B050"/>
                <w:sz w:val="20"/>
                <w:szCs w:val="20"/>
              </w:rPr>
              <w:t xml:space="preserve"> </w:t>
            </w:r>
            <w:r w:rsidR="00462E5C" w:rsidRPr="00AC4AEA">
              <w:rPr>
                <w:rFonts w:ascii="Arial" w:hAnsi="Arial" w:cs="Arial"/>
                <w:b/>
                <w:bCs/>
                <w:color w:val="00B050"/>
                <w:sz w:val="20"/>
                <w:szCs w:val="20"/>
              </w:rPr>
              <w:t>estados contables</w:t>
            </w:r>
            <w:r w:rsidR="00462E5C" w:rsidRPr="00AC4AEA">
              <w:rPr>
                <w:rFonts w:ascii="Arial" w:hAnsi="Arial" w:cs="Arial"/>
                <w:color w:val="00B050"/>
                <w:sz w:val="20"/>
                <w:szCs w:val="20"/>
              </w:rPr>
              <w:t xml:space="preserve"> sean utilizados, </w:t>
            </w:r>
            <w:r w:rsidRPr="00AC4AEA">
              <w:rPr>
                <w:rFonts w:ascii="Arial" w:hAnsi="Arial" w:cs="Arial"/>
                <w:color w:val="00B050"/>
                <w:sz w:val="20"/>
                <w:szCs w:val="20"/>
              </w:rPr>
              <w:t>con base en</w:t>
            </w:r>
            <w:r w:rsidR="00462E5C" w:rsidRPr="00AC4AEA">
              <w:rPr>
                <w:rFonts w:ascii="Arial" w:hAnsi="Arial" w:cs="Arial"/>
                <w:color w:val="00B050"/>
                <w:sz w:val="20"/>
                <w:szCs w:val="20"/>
              </w:rPr>
              <w:t xml:space="preserve"> los </w:t>
            </w:r>
            <w:r w:rsidR="00462E5C" w:rsidRPr="00AC4AEA">
              <w:rPr>
                <w:rFonts w:ascii="Arial" w:hAnsi="Arial" w:cs="Arial"/>
                <w:b/>
                <w:bCs/>
                <w:color w:val="00B050"/>
                <w:sz w:val="20"/>
                <w:szCs w:val="20"/>
              </w:rPr>
              <w:t>usuarios</w:t>
            </w:r>
            <w:r w:rsidR="00462E5C" w:rsidRPr="00AC4AEA">
              <w:rPr>
                <w:rFonts w:ascii="Arial" w:hAnsi="Arial" w:cs="Arial"/>
                <w:color w:val="00B050"/>
                <w:sz w:val="20"/>
                <w:szCs w:val="20"/>
              </w:rPr>
              <w:t xml:space="preserve"> de tales estados a </w:t>
            </w:r>
            <w:r w:rsidR="00006C99" w:rsidRPr="00AC4AEA">
              <w:rPr>
                <w:rFonts w:ascii="Arial" w:hAnsi="Arial" w:cs="Arial"/>
                <w:color w:val="00B050"/>
                <w:sz w:val="20"/>
                <w:szCs w:val="20"/>
              </w:rPr>
              <w:t xml:space="preserve">la fecha de la aprobación por parte de la </w:t>
            </w:r>
            <w:r w:rsidR="00006C99" w:rsidRPr="00AC4AEA">
              <w:rPr>
                <w:rFonts w:ascii="Arial" w:hAnsi="Arial" w:cs="Arial"/>
                <w:b/>
                <w:bCs/>
                <w:color w:val="00B050"/>
                <w:sz w:val="20"/>
                <w:szCs w:val="20"/>
              </w:rPr>
              <w:t>dirección</w:t>
            </w:r>
            <w:r w:rsidR="00744ED1" w:rsidRPr="00AC4AEA">
              <w:rPr>
                <w:rFonts w:ascii="Arial" w:hAnsi="Arial" w:cs="Arial"/>
                <w:color w:val="00B050"/>
                <w:sz w:val="20"/>
                <w:szCs w:val="20"/>
              </w:rPr>
              <w:t>; y</w:t>
            </w:r>
          </w:p>
          <w:p w:rsidR="008416FC" w:rsidRPr="00AC4AEA" w:rsidRDefault="00744ED1" w:rsidP="00C01B25">
            <w:pPr>
              <w:pStyle w:val="Prrafodelista"/>
              <w:numPr>
                <w:ilvl w:val="0"/>
                <w:numId w:val="651"/>
              </w:numPr>
              <w:contextualSpacing w:val="0"/>
              <w:rPr>
                <w:rFonts w:ascii="Arial" w:hAnsi="Arial" w:cs="Arial"/>
                <w:color w:val="00B050"/>
                <w:sz w:val="20"/>
                <w:szCs w:val="20"/>
              </w:rPr>
            </w:pPr>
            <w:r w:rsidRPr="00AC4AEA">
              <w:rPr>
                <w:rFonts w:ascii="Arial" w:hAnsi="Arial" w:cs="Arial"/>
                <w:color w:val="00B050"/>
                <w:sz w:val="20"/>
                <w:szCs w:val="20"/>
              </w:rPr>
              <w:t>e</w:t>
            </w:r>
            <w:r w:rsidR="00006C99" w:rsidRPr="00AC4AEA">
              <w:rPr>
                <w:rFonts w:ascii="Arial" w:hAnsi="Arial" w:cs="Arial"/>
                <w:color w:val="00B050"/>
                <w:sz w:val="20"/>
                <w:szCs w:val="20"/>
              </w:rPr>
              <w:t xml:space="preserve">l costo de </w:t>
            </w:r>
            <w:r w:rsidR="006926CB" w:rsidRPr="00AC4AEA">
              <w:rPr>
                <w:rFonts w:ascii="Arial" w:hAnsi="Arial" w:cs="Arial"/>
                <w:color w:val="00B050"/>
                <w:sz w:val="20"/>
                <w:szCs w:val="20"/>
              </w:rPr>
              <w:t>aplicar</w:t>
            </w:r>
            <w:r w:rsidR="00006C99" w:rsidRPr="00AC4AEA">
              <w:rPr>
                <w:rFonts w:ascii="Arial" w:hAnsi="Arial" w:cs="Arial"/>
                <w:color w:val="00B050"/>
                <w:sz w:val="20"/>
                <w:szCs w:val="20"/>
              </w:rPr>
              <w:t xml:space="preserve"> </w:t>
            </w:r>
            <w:r w:rsidR="006926CB" w:rsidRPr="00AC4AEA">
              <w:rPr>
                <w:rFonts w:ascii="Arial" w:hAnsi="Arial" w:cs="Arial"/>
                <w:color w:val="00B050"/>
                <w:sz w:val="20"/>
                <w:szCs w:val="20"/>
              </w:rPr>
              <w:t>e</w:t>
            </w:r>
            <w:r w:rsidR="00006C99" w:rsidRPr="00AC4AEA">
              <w:rPr>
                <w:rFonts w:ascii="Arial" w:hAnsi="Arial" w:cs="Arial"/>
                <w:color w:val="00B050"/>
                <w:sz w:val="20"/>
                <w:szCs w:val="20"/>
              </w:rPr>
              <w:t xml:space="preserve">l tratamiento que se </w:t>
            </w:r>
            <w:r w:rsidR="006926CB" w:rsidRPr="00AC4AEA">
              <w:rPr>
                <w:rFonts w:ascii="Arial" w:hAnsi="Arial" w:cs="Arial"/>
                <w:color w:val="00B050"/>
                <w:sz w:val="20"/>
                <w:szCs w:val="20"/>
              </w:rPr>
              <w:t xml:space="preserve">pretende </w:t>
            </w:r>
            <w:r w:rsidR="00006C99" w:rsidRPr="00AC4AEA">
              <w:rPr>
                <w:rFonts w:ascii="Arial" w:hAnsi="Arial" w:cs="Arial"/>
                <w:color w:val="00B050"/>
                <w:sz w:val="20"/>
                <w:szCs w:val="20"/>
              </w:rPr>
              <w:t>deja</w:t>
            </w:r>
            <w:r w:rsidR="006926CB" w:rsidRPr="00AC4AEA">
              <w:rPr>
                <w:rFonts w:ascii="Arial" w:hAnsi="Arial" w:cs="Arial"/>
                <w:color w:val="00B050"/>
                <w:sz w:val="20"/>
                <w:szCs w:val="20"/>
              </w:rPr>
              <w:t>r</w:t>
            </w:r>
            <w:r w:rsidR="00006C99" w:rsidRPr="00AC4AEA">
              <w:rPr>
                <w:rFonts w:ascii="Arial" w:hAnsi="Arial" w:cs="Arial"/>
                <w:color w:val="00B050"/>
                <w:sz w:val="20"/>
                <w:szCs w:val="20"/>
              </w:rPr>
              <w:t xml:space="preserve"> de cumplir</w:t>
            </w:r>
            <w:r w:rsidR="005E3CE8" w:rsidRPr="00AC4AEA">
              <w:rPr>
                <w:rFonts w:ascii="Arial" w:hAnsi="Arial" w:cs="Arial"/>
                <w:color w:val="00B050"/>
                <w:sz w:val="20"/>
                <w:szCs w:val="20"/>
              </w:rPr>
              <w:t>.</w:t>
            </w:r>
            <w:r w:rsidR="008416FC" w:rsidRPr="00AC4AEA">
              <w:rPr>
                <w:rFonts w:ascii="Arial" w:hAnsi="Arial" w:cs="Arial"/>
                <w:color w:val="00B050"/>
                <w:sz w:val="20"/>
                <w:szCs w:val="20"/>
              </w:rPr>
              <w:t xml:space="preserve"> </w:t>
            </w:r>
          </w:p>
          <w:p w:rsidR="00833AC8" w:rsidRPr="00AC4AEA" w:rsidRDefault="00F4717A" w:rsidP="00744ED1">
            <w:pPr>
              <w:rPr>
                <w:rFonts w:ascii="Arial" w:hAnsi="Arial" w:cs="Arial"/>
                <w:color w:val="00B050"/>
                <w:sz w:val="20"/>
                <w:szCs w:val="20"/>
              </w:rPr>
            </w:pPr>
            <w:r w:rsidRPr="00AC4AEA">
              <w:rPr>
                <w:rFonts w:ascii="Arial" w:hAnsi="Arial" w:cs="Arial"/>
                <w:color w:val="00B050"/>
                <w:sz w:val="20"/>
                <w:szCs w:val="20"/>
              </w:rPr>
              <w:t>Al aplicar el párrafo 83</w:t>
            </w:r>
            <w:r w:rsidR="001E29B0" w:rsidRPr="00AC4AEA">
              <w:rPr>
                <w:rFonts w:ascii="Arial" w:hAnsi="Arial" w:cs="Arial"/>
                <w:color w:val="00B050"/>
                <w:sz w:val="20"/>
                <w:szCs w:val="20"/>
              </w:rPr>
              <w:t>,</w:t>
            </w:r>
            <w:r w:rsidRPr="00AC4AEA">
              <w:rPr>
                <w:rFonts w:ascii="Arial" w:hAnsi="Arial" w:cs="Arial"/>
                <w:color w:val="00B050"/>
                <w:sz w:val="20"/>
                <w:szCs w:val="20"/>
              </w:rPr>
              <w:t xml:space="preserve"> </w:t>
            </w:r>
            <w:r w:rsidR="001E29B0" w:rsidRPr="00AC4AEA">
              <w:rPr>
                <w:rFonts w:ascii="Arial" w:hAnsi="Arial" w:cs="Arial"/>
                <w:color w:val="00B050"/>
                <w:sz w:val="20"/>
                <w:szCs w:val="20"/>
              </w:rPr>
              <w:t>una</w:t>
            </w:r>
            <w:r w:rsidRPr="00AC4AEA">
              <w:rPr>
                <w:rFonts w:ascii="Arial" w:hAnsi="Arial" w:cs="Arial"/>
                <w:color w:val="00B050"/>
                <w:sz w:val="20"/>
                <w:szCs w:val="20"/>
              </w:rPr>
              <w:t xml:space="preserve"> entidad </w:t>
            </w:r>
            <w:r w:rsidR="001E29B0" w:rsidRPr="00AC4AEA">
              <w:rPr>
                <w:rFonts w:ascii="Arial" w:hAnsi="Arial" w:cs="Arial"/>
                <w:color w:val="00B050"/>
                <w:sz w:val="20"/>
                <w:szCs w:val="20"/>
              </w:rPr>
              <w:t>e</w:t>
            </w:r>
            <w:r w:rsidRPr="00AC4AEA">
              <w:rPr>
                <w:rFonts w:ascii="Arial" w:hAnsi="Arial" w:cs="Arial"/>
                <w:color w:val="00B050"/>
                <w:sz w:val="20"/>
                <w:szCs w:val="20"/>
              </w:rPr>
              <w:t>valuar</w:t>
            </w:r>
            <w:r w:rsidR="001E29B0" w:rsidRPr="00AC4AEA">
              <w:rPr>
                <w:rFonts w:ascii="Arial" w:hAnsi="Arial" w:cs="Arial"/>
                <w:color w:val="00B050"/>
                <w:sz w:val="20"/>
                <w:szCs w:val="20"/>
              </w:rPr>
              <w:t>á</w:t>
            </w:r>
            <w:r w:rsidRPr="00AC4AEA">
              <w:rPr>
                <w:rFonts w:ascii="Arial" w:hAnsi="Arial" w:cs="Arial"/>
                <w:color w:val="00B050"/>
                <w:sz w:val="20"/>
                <w:szCs w:val="20"/>
              </w:rPr>
              <w:t xml:space="preserve"> los dos </w:t>
            </w:r>
            <w:r w:rsidR="00587354" w:rsidRPr="00AC4AEA">
              <w:rPr>
                <w:rFonts w:ascii="Arial" w:hAnsi="Arial" w:cs="Arial"/>
                <w:color w:val="00B050"/>
                <w:sz w:val="20"/>
                <w:szCs w:val="20"/>
              </w:rPr>
              <w:t xml:space="preserve">aspectos referidos en los incisos a) y b) </w:t>
            </w:r>
            <w:r w:rsidR="001E29B0" w:rsidRPr="00AC4AEA">
              <w:rPr>
                <w:rFonts w:ascii="Arial" w:hAnsi="Arial" w:cs="Arial"/>
                <w:color w:val="00B050"/>
                <w:sz w:val="20"/>
                <w:szCs w:val="20"/>
              </w:rPr>
              <w:t>precedentes</w:t>
            </w:r>
            <w:r w:rsidR="00587354" w:rsidRPr="00AC4AEA">
              <w:rPr>
                <w:rFonts w:ascii="Arial" w:hAnsi="Arial" w:cs="Arial"/>
                <w:color w:val="00B050"/>
                <w:sz w:val="20"/>
                <w:szCs w:val="20"/>
              </w:rPr>
              <w:t xml:space="preserve">, y no </w:t>
            </w:r>
            <w:r w:rsidR="0064476E" w:rsidRPr="00AC4AEA">
              <w:rPr>
                <w:rFonts w:ascii="Arial" w:hAnsi="Arial" w:cs="Arial"/>
                <w:color w:val="00B050"/>
                <w:sz w:val="20"/>
                <w:szCs w:val="20"/>
              </w:rPr>
              <w:t xml:space="preserve">evaluará, </w:t>
            </w:r>
            <w:r w:rsidR="00587354" w:rsidRPr="00AC4AEA">
              <w:rPr>
                <w:rFonts w:ascii="Arial" w:hAnsi="Arial" w:cs="Arial"/>
                <w:color w:val="00B050"/>
                <w:sz w:val="20"/>
                <w:szCs w:val="20"/>
              </w:rPr>
              <w:t>de manera aislada</w:t>
            </w:r>
            <w:r w:rsidR="0064476E" w:rsidRPr="00AC4AEA">
              <w:rPr>
                <w:rFonts w:ascii="Arial" w:hAnsi="Arial" w:cs="Arial"/>
                <w:color w:val="00B050"/>
                <w:sz w:val="20"/>
                <w:szCs w:val="20"/>
              </w:rPr>
              <w:t>, solo</w:t>
            </w:r>
            <w:r w:rsidR="00587354" w:rsidRPr="00AC4AEA">
              <w:rPr>
                <w:rFonts w:ascii="Arial" w:hAnsi="Arial" w:cs="Arial"/>
                <w:color w:val="00B050"/>
                <w:sz w:val="20"/>
                <w:szCs w:val="20"/>
              </w:rPr>
              <w:t xml:space="preserve"> uno de ellos.</w:t>
            </w:r>
          </w:p>
          <w:p w:rsidR="003B7DA1" w:rsidRPr="00AC4AEA" w:rsidRDefault="00833AC8" w:rsidP="00744ED1">
            <w:pPr>
              <w:rPr>
                <w:rFonts w:ascii="Arial" w:hAnsi="Arial" w:cs="Arial"/>
                <w:color w:val="00B050"/>
                <w:sz w:val="20"/>
                <w:szCs w:val="20"/>
              </w:rPr>
            </w:pPr>
            <w:r w:rsidRPr="00AC4AEA">
              <w:rPr>
                <w:rFonts w:ascii="Arial" w:hAnsi="Arial" w:cs="Arial"/>
                <w:color w:val="00B050"/>
                <w:sz w:val="20"/>
                <w:szCs w:val="20"/>
              </w:rPr>
              <w:t xml:space="preserve">En esta Resolución Técnica se presentan tratamientos </w:t>
            </w:r>
            <w:r w:rsidR="003B7DA1" w:rsidRPr="00AC4AEA">
              <w:rPr>
                <w:rFonts w:ascii="Arial" w:hAnsi="Arial" w:cs="Arial"/>
                <w:color w:val="00B050"/>
                <w:sz w:val="20"/>
                <w:szCs w:val="20"/>
              </w:rPr>
              <w:t>alternativos</w:t>
            </w:r>
            <w:r w:rsidRPr="00AC4AEA">
              <w:rPr>
                <w:rFonts w:ascii="Arial" w:hAnsi="Arial" w:cs="Arial"/>
                <w:color w:val="00B050"/>
                <w:sz w:val="20"/>
                <w:szCs w:val="20"/>
              </w:rPr>
              <w:t xml:space="preserve">, basados en la aplicación del párrafo 83, </w:t>
            </w:r>
            <w:r w:rsidR="003B7DA1" w:rsidRPr="00AC4AEA">
              <w:rPr>
                <w:rFonts w:ascii="Arial" w:hAnsi="Arial" w:cs="Arial"/>
                <w:color w:val="00B050"/>
                <w:sz w:val="20"/>
                <w:szCs w:val="20"/>
              </w:rPr>
              <w:t>para los siguientes casos:</w:t>
            </w:r>
          </w:p>
          <w:p w:rsidR="00AA2E2C" w:rsidRPr="00AC4AEA" w:rsidRDefault="00C851C5" w:rsidP="00C01B25">
            <w:pPr>
              <w:pStyle w:val="Prrafodelista"/>
              <w:numPr>
                <w:ilvl w:val="0"/>
                <w:numId w:val="652"/>
              </w:numPr>
              <w:rPr>
                <w:rFonts w:ascii="Arial" w:hAnsi="Arial" w:cs="Arial"/>
                <w:color w:val="00B050"/>
                <w:sz w:val="20"/>
                <w:szCs w:val="20"/>
              </w:rPr>
            </w:pPr>
            <w:r w:rsidRPr="00AC4AEA">
              <w:rPr>
                <w:rFonts w:ascii="Arial" w:hAnsi="Arial" w:cs="Arial"/>
                <w:color w:val="00B050"/>
                <w:sz w:val="20"/>
                <w:szCs w:val="20"/>
              </w:rPr>
              <w:t>La a</w:t>
            </w:r>
            <w:r w:rsidR="00AA2E2C" w:rsidRPr="00AC4AEA">
              <w:rPr>
                <w:rFonts w:ascii="Arial" w:hAnsi="Arial" w:cs="Arial"/>
                <w:color w:val="00B050"/>
                <w:sz w:val="20"/>
                <w:szCs w:val="20"/>
              </w:rPr>
              <w:t xml:space="preserve">plicación del método del impuesto diferido en entidades medianas, de acuerdo con lo establecido en el párrafo </w:t>
            </w:r>
            <w:fldSimple w:instr=" REF _Ref136199597 \r \h  \* MERGEFORMAT ">
              <w:r w:rsidR="00D33A5D" w:rsidRPr="00D33A5D">
                <w:rPr>
                  <w:rFonts w:ascii="Arial" w:hAnsi="Arial" w:cs="Arial"/>
                  <w:color w:val="00B050"/>
                  <w:sz w:val="20"/>
                  <w:szCs w:val="20"/>
                </w:rPr>
                <w:t>573</w:t>
              </w:r>
            </w:fldSimple>
            <w:r w:rsidR="00AA2E2C" w:rsidRPr="00AC4AEA">
              <w:rPr>
                <w:rFonts w:ascii="Arial" w:hAnsi="Arial" w:cs="Arial"/>
                <w:color w:val="00B050"/>
                <w:sz w:val="20"/>
                <w:szCs w:val="20"/>
              </w:rPr>
              <w:t>.</w:t>
            </w:r>
          </w:p>
          <w:p w:rsidR="00AA2E2C" w:rsidRPr="00AC4AEA" w:rsidRDefault="00C851C5" w:rsidP="00C01B25">
            <w:pPr>
              <w:pStyle w:val="Prrafodelista"/>
              <w:numPr>
                <w:ilvl w:val="0"/>
                <w:numId w:val="652"/>
              </w:numPr>
              <w:rPr>
                <w:rFonts w:ascii="Arial" w:hAnsi="Arial" w:cs="Arial"/>
                <w:color w:val="00B050"/>
                <w:sz w:val="20"/>
                <w:szCs w:val="20"/>
              </w:rPr>
            </w:pPr>
            <w:r w:rsidRPr="00AC4AEA">
              <w:rPr>
                <w:rFonts w:ascii="Arial" w:hAnsi="Arial" w:cs="Arial"/>
                <w:color w:val="00B050"/>
                <w:sz w:val="20"/>
                <w:szCs w:val="20"/>
              </w:rPr>
              <w:t>El r</w:t>
            </w:r>
            <w:r w:rsidR="00DF18E5" w:rsidRPr="00AC4AEA">
              <w:rPr>
                <w:rFonts w:ascii="Arial" w:hAnsi="Arial" w:cs="Arial"/>
                <w:color w:val="00B050"/>
                <w:sz w:val="20"/>
                <w:szCs w:val="20"/>
              </w:rPr>
              <w:t>econ</w:t>
            </w:r>
            <w:r w:rsidRPr="00AC4AEA">
              <w:rPr>
                <w:rFonts w:ascii="Arial" w:hAnsi="Arial" w:cs="Arial"/>
                <w:color w:val="00B050"/>
                <w:sz w:val="20"/>
                <w:szCs w:val="20"/>
              </w:rPr>
              <w:t>o</w:t>
            </w:r>
            <w:r w:rsidR="00DF18E5" w:rsidRPr="00AC4AEA">
              <w:rPr>
                <w:rFonts w:ascii="Arial" w:hAnsi="Arial" w:cs="Arial"/>
                <w:color w:val="00B050"/>
                <w:sz w:val="20"/>
                <w:szCs w:val="20"/>
              </w:rPr>
              <w:t>c</w:t>
            </w:r>
            <w:r w:rsidRPr="00AC4AEA">
              <w:rPr>
                <w:rFonts w:ascii="Arial" w:hAnsi="Arial" w:cs="Arial"/>
                <w:color w:val="00B050"/>
                <w:sz w:val="20"/>
                <w:szCs w:val="20"/>
              </w:rPr>
              <w:t>i</w:t>
            </w:r>
            <w:r w:rsidR="00DF18E5" w:rsidRPr="00AC4AEA">
              <w:rPr>
                <w:rFonts w:ascii="Arial" w:hAnsi="Arial" w:cs="Arial"/>
                <w:color w:val="00B050"/>
                <w:sz w:val="20"/>
                <w:szCs w:val="20"/>
              </w:rPr>
              <w:t xml:space="preserve">miento de forma separada de </w:t>
            </w:r>
            <w:r w:rsidR="0002293F" w:rsidRPr="00AC4AEA">
              <w:rPr>
                <w:rFonts w:ascii="Arial" w:hAnsi="Arial" w:cs="Arial"/>
                <w:color w:val="00B050"/>
                <w:sz w:val="20"/>
                <w:szCs w:val="20"/>
              </w:rPr>
              <w:t>activos intangibles que surgen de una combinación de negocios</w:t>
            </w:r>
            <w:r w:rsidR="004E0E51" w:rsidRPr="00AC4AEA">
              <w:rPr>
                <w:rFonts w:ascii="Arial" w:hAnsi="Arial" w:cs="Arial"/>
                <w:color w:val="00B050"/>
                <w:sz w:val="20"/>
                <w:szCs w:val="20"/>
              </w:rPr>
              <w:t>,</w:t>
            </w:r>
            <w:r w:rsidR="0002293F" w:rsidRPr="00AC4AEA">
              <w:rPr>
                <w:rFonts w:ascii="Arial" w:hAnsi="Arial" w:cs="Arial"/>
                <w:color w:val="00B050"/>
                <w:sz w:val="20"/>
                <w:szCs w:val="20"/>
              </w:rPr>
              <w:t xml:space="preserve"> en los </w:t>
            </w:r>
            <w:r w:rsidR="0002293F" w:rsidRPr="00AC4AEA">
              <w:rPr>
                <w:rFonts w:ascii="Arial" w:hAnsi="Arial" w:cs="Arial"/>
                <w:b/>
                <w:bCs/>
                <w:color w:val="00B050"/>
                <w:sz w:val="20"/>
                <w:szCs w:val="20"/>
              </w:rPr>
              <w:t>estados contables</w:t>
            </w:r>
            <w:r w:rsidR="0002293F" w:rsidRPr="00AC4AEA">
              <w:rPr>
                <w:rFonts w:ascii="Arial" w:hAnsi="Arial" w:cs="Arial"/>
                <w:color w:val="00B050"/>
                <w:sz w:val="20"/>
                <w:szCs w:val="20"/>
              </w:rPr>
              <w:t xml:space="preserve"> de la adquirente, de acuerdo con lo establecido en el</w:t>
            </w:r>
            <w:r w:rsidR="006101F3" w:rsidRPr="00AC4AEA">
              <w:rPr>
                <w:rFonts w:ascii="Arial" w:hAnsi="Arial" w:cs="Arial"/>
                <w:color w:val="00B050"/>
                <w:sz w:val="20"/>
                <w:szCs w:val="20"/>
              </w:rPr>
              <w:t xml:space="preserve"> inciso </w:t>
            </w:r>
            <w:r w:rsidR="002E4753" w:rsidRPr="00AC4AEA">
              <w:rPr>
                <w:rFonts w:ascii="Arial" w:hAnsi="Arial" w:cs="Arial"/>
                <w:color w:val="00B050"/>
                <w:sz w:val="20"/>
                <w:szCs w:val="20"/>
              </w:rPr>
              <w:t>a) (</w:t>
            </w:r>
            <w:r w:rsidR="006101F3" w:rsidRPr="00AC4AEA">
              <w:rPr>
                <w:rFonts w:ascii="Arial" w:hAnsi="Arial" w:cs="Arial"/>
                <w:color w:val="00B050"/>
                <w:sz w:val="20"/>
                <w:szCs w:val="20"/>
              </w:rPr>
              <w:t xml:space="preserve">i) del párrafo </w:t>
            </w:r>
            <w:fldSimple w:instr=" REF _Ref135765708 \r \h  \* MERGEFORMAT ">
              <w:r w:rsidR="00D33A5D" w:rsidRPr="00D33A5D">
                <w:rPr>
                  <w:rFonts w:ascii="Arial" w:hAnsi="Arial" w:cs="Arial"/>
                  <w:color w:val="00B050"/>
                  <w:sz w:val="20"/>
                  <w:szCs w:val="20"/>
                </w:rPr>
                <w:t>976</w:t>
              </w:r>
            </w:fldSimple>
            <w:r w:rsidR="006101F3" w:rsidRPr="00AC4AEA">
              <w:rPr>
                <w:rFonts w:ascii="Arial" w:hAnsi="Arial" w:cs="Arial"/>
                <w:color w:val="00B050"/>
                <w:sz w:val="20"/>
                <w:szCs w:val="20"/>
              </w:rPr>
              <w:t>.</w:t>
            </w:r>
          </w:p>
          <w:p w:rsidR="006101F3" w:rsidRPr="00AC4AEA" w:rsidRDefault="00F10228" w:rsidP="00C01B25">
            <w:pPr>
              <w:pStyle w:val="Prrafodelista"/>
              <w:numPr>
                <w:ilvl w:val="0"/>
                <w:numId w:val="652"/>
              </w:numPr>
              <w:rPr>
                <w:rFonts w:ascii="Arial" w:hAnsi="Arial" w:cs="Arial"/>
                <w:color w:val="00B050"/>
                <w:sz w:val="20"/>
                <w:szCs w:val="20"/>
              </w:rPr>
            </w:pPr>
            <w:r w:rsidRPr="00AC4AEA">
              <w:rPr>
                <w:rFonts w:ascii="Arial" w:hAnsi="Arial" w:cs="Arial"/>
                <w:color w:val="00B050"/>
                <w:sz w:val="20"/>
                <w:szCs w:val="20"/>
              </w:rPr>
              <w:t xml:space="preserve">La medición posterior </w:t>
            </w:r>
            <w:r w:rsidR="002F78BF" w:rsidRPr="00AC4AEA">
              <w:rPr>
                <w:rFonts w:ascii="Arial" w:hAnsi="Arial" w:cs="Arial"/>
                <w:color w:val="00B050"/>
                <w:sz w:val="20"/>
                <w:szCs w:val="20"/>
              </w:rPr>
              <w:t xml:space="preserve">de ciertos </w:t>
            </w:r>
            <w:r w:rsidR="002F78BF" w:rsidRPr="00AC4AEA">
              <w:rPr>
                <w:rFonts w:ascii="Arial" w:hAnsi="Arial" w:cs="Arial"/>
                <w:b/>
                <w:bCs/>
                <w:color w:val="00B050"/>
                <w:sz w:val="20"/>
                <w:szCs w:val="20"/>
              </w:rPr>
              <w:t>activos biológicos</w:t>
            </w:r>
            <w:r w:rsidR="002F78BF" w:rsidRPr="00AC4AEA">
              <w:rPr>
                <w:rFonts w:ascii="Arial" w:hAnsi="Arial" w:cs="Arial"/>
                <w:color w:val="00B050"/>
                <w:sz w:val="20"/>
                <w:szCs w:val="20"/>
              </w:rPr>
              <w:t xml:space="preserve"> que se encuentren en una etapa posterior del desarrollo </w:t>
            </w:r>
            <w:r w:rsidR="00405320" w:rsidRPr="00AC4AEA">
              <w:rPr>
                <w:rFonts w:ascii="Arial" w:hAnsi="Arial" w:cs="Arial"/>
                <w:color w:val="00B050"/>
                <w:sz w:val="20"/>
                <w:szCs w:val="20"/>
              </w:rPr>
              <w:t>biológico</w:t>
            </w:r>
            <w:r w:rsidR="00F4717A" w:rsidRPr="00AC4AEA">
              <w:rPr>
                <w:rFonts w:ascii="Arial" w:hAnsi="Arial" w:cs="Arial"/>
                <w:color w:val="00B050"/>
                <w:sz w:val="20"/>
                <w:szCs w:val="20"/>
              </w:rPr>
              <w:t>,</w:t>
            </w:r>
            <w:r w:rsidR="00405320" w:rsidRPr="00AC4AEA">
              <w:rPr>
                <w:rFonts w:ascii="Arial" w:hAnsi="Arial" w:cs="Arial"/>
                <w:color w:val="00B050"/>
                <w:sz w:val="20"/>
                <w:szCs w:val="20"/>
              </w:rPr>
              <w:t xml:space="preserve"> cuando se trate de una entidad mediana, de acuerdo con lo establecido en el </w:t>
            </w:r>
            <w:r w:rsidR="00C851C5" w:rsidRPr="00AC4AEA">
              <w:rPr>
                <w:rFonts w:ascii="Arial" w:hAnsi="Arial" w:cs="Arial"/>
                <w:color w:val="00B050"/>
                <w:sz w:val="20"/>
                <w:szCs w:val="20"/>
              </w:rPr>
              <w:t xml:space="preserve">inciso </w:t>
            </w:r>
            <w:r w:rsidR="002E4753" w:rsidRPr="00AC4AEA">
              <w:rPr>
                <w:rFonts w:ascii="Arial" w:hAnsi="Arial" w:cs="Arial"/>
                <w:color w:val="00B050"/>
                <w:sz w:val="20"/>
                <w:szCs w:val="20"/>
              </w:rPr>
              <w:t>b) (</w:t>
            </w:r>
            <w:r w:rsidR="00C851C5" w:rsidRPr="00AC4AEA">
              <w:rPr>
                <w:rFonts w:ascii="Arial" w:hAnsi="Arial" w:cs="Arial"/>
                <w:color w:val="00B050"/>
                <w:sz w:val="20"/>
                <w:szCs w:val="20"/>
              </w:rPr>
              <w:t xml:space="preserve">ii) del </w:t>
            </w:r>
            <w:r w:rsidR="00405320" w:rsidRPr="00AC4AEA">
              <w:rPr>
                <w:rFonts w:ascii="Arial" w:hAnsi="Arial" w:cs="Arial"/>
                <w:color w:val="00B050"/>
                <w:sz w:val="20"/>
                <w:szCs w:val="20"/>
              </w:rPr>
              <w:t xml:space="preserve">párrafo </w:t>
            </w:r>
            <w:fldSimple w:instr=" REF _Ref136199922 \r \h  \* MERGEFORMAT ">
              <w:r w:rsidR="00D33A5D" w:rsidRPr="00D33A5D">
                <w:rPr>
                  <w:rFonts w:ascii="Arial" w:hAnsi="Arial" w:cs="Arial"/>
                  <w:color w:val="00B050"/>
                  <w:sz w:val="20"/>
                  <w:szCs w:val="20"/>
                </w:rPr>
                <w:t>1027</w:t>
              </w:r>
            </w:fldSimple>
            <w:r w:rsidR="00C851C5" w:rsidRPr="00AC4AEA">
              <w:rPr>
                <w:rFonts w:ascii="Arial" w:hAnsi="Arial" w:cs="Arial"/>
                <w:color w:val="00B050"/>
                <w:sz w:val="20"/>
                <w:szCs w:val="20"/>
              </w:rPr>
              <w:t>.</w:t>
            </w:r>
          </w:p>
          <w:p w:rsidR="00744ED1" w:rsidRPr="00AC4AEA" w:rsidRDefault="0086158B" w:rsidP="00744ED1">
            <w:pPr>
              <w:rPr>
                <w:rFonts w:ascii="Arial" w:hAnsi="Arial" w:cs="Arial"/>
                <w:color w:val="00B050"/>
                <w:sz w:val="20"/>
                <w:szCs w:val="20"/>
              </w:rPr>
            </w:pPr>
            <w:r w:rsidRPr="00AC4AEA">
              <w:rPr>
                <w:rFonts w:ascii="Arial" w:hAnsi="Arial" w:cs="Arial"/>
                <w:color w:val="00B050"/>
                <w:sz w:val="20"/>
                <w:szCs w:val="20"/>
              </w:rPr>
              <w:t xml:space="preserve">Dado que la selección de un tratamiento alternativo </w:t>
            </w:r>
            <w:r w:rsidR="007A7551" w:rsidRPr="00AC4AEA">
              <w:rPr>
                <w:rFonts w:ascii="Arial" w:hAnsi="Arial" w:cs="Arial"/>
                <w:color w:val="00B050"/>
                <w:sz w:val="20"/>
                <w:szCs w:val="20"/>
              </w:rPr>
              <w:t>en función al</w:t>
            </w:r>
            <w:r w:rsidRPr="00AC4AEA">
              <w:rPr>
                <w:rFonts w:ascii="Arial" w:hAnsi="Arial" w:cs="Arial"/>
                <w:color w:val="00B050"/>
                <w:sz w:val="20"/>
                <w:szCs w:val="20"/>
              </w:rPr>
              <w:t xml:space="preserve"> párrafo 83 satisface las reglas establecidas en esta </w:t>
            </w:r>
            <w:r w:rsidR="00116C4A" w:rsidRPr="00AC4AEA">
              <w:rPr>
                <w:rFonts w:ascii="Arial" w:hAnsi="Arial" w:cs="Arial"/>
                <w:color w:val="00B050"/>
                <w:sz w:val="20"/>
                <w:szCs w:val="20"/>
              </w:rPr>
              <w:t xml:space="preserve">Resolución Técnica, los </w:t>
            </w:r>
            <w:r w:rsidR="00116C4A" w:rsidRPr="00AC4AEA">
              <w:rPr>
                <w:rFonts w:ascii="Arial" w:hAnsi="Arial" w:cs="Arial"/>
                <w:b/>
                <w:bCs/>
                <w:color w:val="00B050"/>
                <w:sz w:val="20"/>
                <w:szCs w:val="20"/>
              </w:rPr>
              <w:t>estados contables</w:t>
            </w:r>
            <w:r w:rsidR="00116C4A" w:rsidRPr="00AC4AEA">
              <w:rPr>
                <w:rFonts w:ascii="Arial" w:hAnsi="Arial" w:cs="Arial"/>
                <w:color w:val="00B050"/>
                <w:sz w:val="20"/>
                <w:szCs w:val="20"/>
              </w:rPr>
              <w:t xml:space="preserve"> que se preparen con arreglo a </w:t>
            </w:r>
            <w:r w:rsidR="007A7551" w:rsidRPr="00AC4AEA">
              <w:rPr>
                <w:rFonts w:ascii="Arial" w:hAnsi="Arial" w:cs="Arial"/>
                <w:color w:val="00B050"/>
                <w:sz w:val="20"/>
                <w:szCs w:val="20"/>
              </w:rPr>
              <w:t xml:space="preserve">cualquier </w:t>
            </w:r>
            <w:r w:rsidR="00116C4A" w:rsidRPr="00AC4AEA">
              <w:rPr>
                <w:rFonts w:ascii="Arial" w:hAnsi="Arial" w:cs="Arial"/>
                <w:color w:val="00B050"/>
                <w:sz w:val="20"/>
                <w:szCs w:val="20"/>
              </w:rPr>
              <w:t>política contable seleccionada con base en lo definido por el párrafo 83 y los párrafos específicos que lo invocan</w:t>
            </w:r>
            <w:r w:rsidR="007A7551" w:rsidRPr="00AC4AEA">
              <w:rPr>
                <w:rFonts w:ascii="Arial" w:hAnsi="Arial" w:cs="Arial"/>
                <w:color w:val="00B050"/>
                <w:sz w:val="20"/>
                <w:szCs w:val="20"/>
              </w:rPr>
              <w:t xml:space="preserve"> (573, 9</w:t>
            </w:r>
            <w:r w:rsidR="00AD0824" w:rsidRPr="00AC4AEA">
              <w:rPr>
                <w:rFonts w:ascii="Arial" w:hAnsi="Arial" w:cs="Arial"/>
                <w:color w:val="00B050"/>
                <w:sz w:val="20"/>
                <w:szCs w:val="20"/>
              </w:rPr>
              <w:t>76</w:t>
            </w:r>
            <w:r w:rsidR="007A7551" w:rsidRPr="00AC4AEA">
              <w:rPr>
                <w:rFonts w:ascii="Arial" w:hAnsi="Arial" w:cs="Arial"/>
                <w:color w:val="00B050"/>
                <w:sz w:val="20"/>
                <w:szCs w:val="20"/>
              </w:rPr>
              <w:t xml:space="preserve"> o 10</w:t>
            </w:r>
            <w:r w:rsidR="00AD0824" w:rsidRPr="00AC4AEA">
              <w:rPr>
                <w:rFonts w:ascii="Arial" w:hAnsi="Arial" w:cs="Arial"/>
                <w:color w:val="00B050"/>
                <w:sz w:val="20"/>
                <w:szCs w:val="20"/>
              </w:rPr>
              <w:t>27</w:t>
            </w:r>
            <w:r w:rsidR="007A7551" w:rsidRPr="00AC4AEA">
              <w:rPr>
                <w:rFonts w:ascii="Arial" w:hAnsi="Arial" w:cs="Arial"/>
                <w:color w:val="00B050"/>
                <w:sz w:val="20"/>
                <w:szCs w:val="20"/>
              </w:rPr>
              <w:t>)</w:t>
            </w:r>
            <w:r w:rsidR="00116C4A" w:rsidRPr="00AC4AEA">
              <w:rPr>
                <w:rFonts w:ascii="Arial" w:hAnsi="Arial" w:cs="Arial"/>
                <w:color w:val="00B050"/>
                <w:sz w:val="20"/>
                <w:szCs w:val="20"/>
              </w:rPr>
              <w:t xml:space="preserve"> son </w:t>
            </w:r>
            <w:r w:rsidR="00116C4A" w:rsidRPr="00AC4AEA">
              <w:rPr>
                <w:rFonts w:ascii="Arial" w:hAnsi="Arial" w:cs="Arial"/>
                <w:b/>
                <w:bCs/>
                <w:color w:val="00B050"/>
                <w:sz w:val="20"/>
                <w:szCs w:val="20"/>
              </w:rPr>
              <w:t xml:space="preserve">estados contables </w:t>
            </w:r>
            <w:r w:rsidR="00116C4A" w:rsidRPr="00AC4AEA">
              <w:rPr>
                <w:rFonts w:ascii="Arial" w:hAnsi="Arial" w:cs="Arial"/>
                <w:color w:val="00B050"/>
                <w:sz w:val="20"/>
                <w:szCs w:val="20"/>
              </w:rPr>
              <w:t>con fines generales.</w:t>
            </w:r>
          </w:p>
        </w:tc>
      </w:tr>
    </w:tbl>
    <w:p w:rsidR="008416FC" w:rsidRPr="00AC4AEA" w:rsidRDefault="008416FC" w:rsidP="008416FC">
      <w:pPr>
        <w:pStyle w:val="Prrafodelista"/>
        <w:ind w:left="993"/>
        <w:contextualSpacing w:val="0"/>
        <w:jc w:val="both"/>
        <w:rPr>
          <w:rFonts w:ascii="Arial" w:hAnsi="Arial" w:cs="Arial"/>
          <w:sz w:val="20"/>
          <w:szCs w:val="20"/>
        </w:rPr>
      </w:pPr>
    </w:p>
    <w:p w:rsidR="00C766F8" w:rsidRPr="00AC4AEA" w:rsidRDefault="00F603F4" w:rsidP="00A318EA">
      <w:pPr>
        <w:pStyle w:val="Prrafodelista"/>
        <w:numPr>
          <w:ilvl w:val="0"/>
          <w:numId w:val="29"/>
        </w:numPr>
        <w:contextualSpacing w:val="0"/>
        <w:jc w:val="both"/>
        <w:rPr>
          <w:rFonts w:ascii="Arial" w:hAnsi="Arial" w:cs="Arial"/>
          <w:sz w:val="20"/>
          <w:szCs w:val="20"/>
        </w:rPr>
      </w:pPr>
      <w:bookmarkStart w:id="95" w:name="_Ref136445073"/>
      <w:r w:rsidRPr="00AC4AEA">
        <w:rPr>
          <w:rFonts w:ascii="Arial" w:hAnsi="Arial" w:cs="Arial"/>
          <w:sz w:val="20"/>
          <w:szCs w:val="20"/>
        </w:rPr>
        <w:t xml:space="preserve">Una entidad quedará liberada de aplicar un </w:t>
      </w:r>
      <w:r w:rsidR="00014D12" w:rsidRPr="00AC4AEA">
        <w:rPr>
          <w:rFonts w:ascii="Arial" w:hAnsi="Arial" w:cs="Arial"/>
          <w:sz w:val="20"/>
          <w:szCs w:val="20"/>
        </w:rPr>
        <w:t>tratamiento</w:t>
      </w:r>
      <w:r w:rsidRPr="00AC4AEA">
        <w:rPr>
          <w:rFonts w:ascii="Arial" w:hAnsi="Arial" w:cs="Arial"/>
          <w:sz w:val="20"/>
          <w:szCs w:val="20"/>
        </w:rPr>
        <w:t xml:space="preserve"> establecido en </w:t>
      </w:r>
      <w:r w:rsidR="002A600D" w:rsidRPr="00AC4AEA">
        <w:rPr>
          <w:rFonts w:ascii="Arial" w:hAnsi="Arial" w:cs="Arial"/>
          <w:sz w:val="20"/>
          <w:szCs w:val="20"/>
        </w:rPr>
        <w:t xml:space="preserve">esta Resolución Técnica </w:t>
      </w:r>
      <w:r w:rsidR="00C33BBE" w:rsidRPr="00AC4AEA">
        <w:rPr>
          <w:rFonts w:ascii="Arial" w:hAnsi="Arial" w:cs="Arial"/>
          <w:sz w:val="20"/>
          <w:szCs w:val="20"/>
        </w:rPr>
        <w:t>u</w:t>
      </w:r>
      <w:r w:rsidR="002A600D" w:rsidRPr="00AC4AEA">
        <w:rPr>
          <w:rFonts w:ascii="Arial" w:hAnsi="Arial" w:cs="Arial"/>
          <w:sz w:val="20"/>
          <w:szCs w:val="20"/>
        </w:rPr>
        <w:t xml:space="preserve"> </w:t>
      </w:r>
      <w:r w:rsidR="002A600D" w:rsidRPr="00AC4AEA">
        <w:rPr>
          <w:rFonts w:ascii="Arial" w:hAnsi="Arial" w:cs="Arial"/>
          <w:b/>
          <w:bCs/>
          <w:sz w:val="20"/>
          <w:szCs w:val="20"/>
        </w:rPr>
        <w:t xml:space="preserve">otras normas contables </w:t>
      </w:r>
      <w:r w:rsidRPr="00AC4AEA">
        <w:rPr>
          <w:rFonts w:ascii="Arial" w:hAnsi="Arial" w:cs="Arial"/>
          <w:sz w:val="20"/>
          <w:szCs w:val="20"/>
        </w:rPr>
        <w:t xml:space="preserve">cuando el costo o esfuerzo requerido para su aplicación resulte </w:t>
      </w:r>
      <w:r w:rsidR="00E97C65" w:rsidRPr="00AC4AEA">
        <w:rPr>
          <w:rFonts w:ascii="Arial" w:hAnsi="Arial" w:cs="Arial"/>
          <w:sz w:val="20"/>
          <w:szCs w:val="20"/>
        </w:rPr>
        <w:t xml:space="preserve">desproporcionado respecto de </w:t>
      </w:r>
      <w:r w:rsidRPr="00AC4AEA">
        <w:rPr>
          <w:rFonts w:ascii="Arial" w:hAnsi="Arial" w:cs="Arial"/>
          <w:sz w:val="20"/>
          <w:szCs w:val="20"/>
        </w:rPr>
        <w:t xml:space="preserve">los beneficios que </w:t>
      </w:r>
      <w:r w:rsidR="00826DD3" w:rsidRPr="00AC4AEA">
        <w:rPr>
          <w:rFonts w:ascii="Arial" w:hAnsi="Arial" w:cs="Arial"/>
          <w:sz w:val="20"/>
          <w:szCs w:val="20"/>
        </w:rPr>
        <w:t xml:space="preserve">la </w:t>
      </w:r>
      <w:r w:rsidRPr="00AC4AEA">
        <w:rPr>
          <w:rFonts w:ascii="Arial" w:hAnsi="Arial" w:cs="Arial"/>
          <w:sz w:val="20"/>
          <w:szCs w:val="20"/>
        </w:rPr>
        <w:t xml:space="preserve">información </w:t>
      </w:r>
      <w:r w:rsidR="00826DD3" w:rsidRPr="00AC4AEA">
        <w:rPr>
          <w:rFonts w:ascii="Arial" w:hAnsi="Arial" w:cs="Arial"/>
          <w:sz w:val="20"/>
          <w:szCs w:val="20"/>
        </w:rPr>
        <w:t xml:space="preserve">obtenida por aplicar ese </w:t>
      </w:r>
      <w:r w:rsidR="00DA50E7" w:rsidRPr="00AC4AEA">
        <w:rPr>
          <w:rFonts w:ascii="Arial" w:hAnsi="Arial" w:cs="Arial"/>
          <w:sz w:val="20"/>
          <w:szCs w:val="20"/>
        </w:rPr>
        <w:t>tratamiento</w:t>
      </w:r>
      <w:r w:rsidR="00826DD3" w:rsidRPr="00AC4AEA">
        <w:rPr>
          <w:rFonts w:ascii="Arial" w:hAnsi="Arial" w:cs="Arial"/>
          <w:sz w:val="20"/>
          <w:szCs w:val="20"/>
        </w:rPr>
        <w:t xml:space="preserve"> </w:t>
      </w:r>
      <w:r w:rsidR="00F40672" w:rsidRPr="00AC4AEA">
        <w:rPr>
          <w:rFonts w:ascii="Arial" w:hAnsi="Arial" w:cs="Arial"/>
          <w:sz w:val="20"/>
          <w:szCs w:val="20"/>
        </w:rPr>
        <w:t xml:space="preserve">brindaría </w:t>
      </w:r>
      <w:r w:rsidRPr="00AC4AEA">
        <w:rPr>
          <w:rFonts w:ascii="Arial" w:hAnsi="Arial" w:cs="Arial"/>
          <w:sz w:val="20"/>
          <w:szCs w:val="20"/>
        </w:rPr>
        <w:t xml:space="preserve">a los </w:t>
      </w:r>
      <w:r w:rsidRPr="00AC4AEA">
        <w:rPr>
          <w:rFonts w:ascii="Arial" w:hAnsi="Arial" w:cs="Arial"/>
          <w:b/>
          <w:bCs/>
          <w:sz w:val="20"/>
          <w:szCs w:val="20"/>
        </w:rPr>
        <w:t>usuarios</w:t>
      </w:r>
      <w:r w:rsidR="00E15926" w:rsidRPr="00AC4AEA">
        <w:rPr>
          <w:rFonts w:ascii="Arial" w:hAnsi="Arial" w:cs="Arial"/>
          <w:b/>
          <w:bCs/>
          <w:sz w:val="20"/>
          <w:szCs w:val="20"/>
        </w:rPr>
        <w:t xml:space="preserve"> </w:t>
      </w:r>
      <w:r w:rsidRPr="00AC4AEA">
        <w:rPr>
          <w:rFonts w:ascii="Arial" w:hAnsi="Arial" w:cs="Arial"/>
          <w:sz w:val="20"/>
          <w:szCs w:val="20"/>
        </w:rPr>
        <w:t xml:space="preserve">de </w:t>
      </w:r>
      <w:r w:rsidR="00432312" w:rsidRPr="00AC4AEA">
        <w:rPr>
          <w:rFonts w:ascii="Arial" w:hAnsi="Arial" w:cs="Arial"/>
          <w:sz w:val="20"/>
          <w:szCs w:val="20"/>
        </w:rPr>
        <w:t xml:space="preserve">sus </w:t>
      </w:r>
      <w:r w:rsidR="00135084" w:rsidRPr="00AC4AEA">
        <w:rPr>
          <w:rFonts w:ascii="Arial" w:hAnsi="Arial" w:cs="Arial"/>
          <w:b/>
          <w:bCs/>
          <w:sz w:val="20"/>
          <w:szCs w:val="20"/>
        </w:rPr>
        <w:t>estados contables</w:t>
      </w:r>
      <w:r w:rsidRPr="00AC4AEA">
        <w:rPr>
          <w:rFonts w:ascii="Arial" w:hAnsi="Arial" w:cs="Arial"/>
          <w:sz w:val="20"/>
          <w:szCs w:val="20"/>
        </w:rPr>
        <w:t xml:space="preserve">. </w:t>
      </w:r>
      <w:r w:rsidR="00C766F8" w:rsidRPr="00AC4AEA">
        <w:rPr>
          <w:rFonts w:ascii="Arial" w:hAnsi="Arial" w:cs="Arial"/>
          <w:sz w:val="20"/>
          <w:szCs w:val="20"/>
        </w:rPr>
        <w:t>Al aplicar este principio</w:t>
      </w:r>
      <w:r w:rsidR="00E84EC1" w:rsidRPr="00AC4AEA">
        <w:rPr>
          <w:rFonts w:ascii="Arial" w:hAnsi="Arial" w:cs="Arial"/>
          <w:sz w:val="20"/>
          <w:szCs w:val="20"/>
        </w:rPr>
        <w:t xml:space="preserve">, </w:t>
      </w:r>
      <w:r w:rsidR="00D71467" w:rsidRPr="00AC4AEA">
        <w:rPr>
          <w:rFonts w:ascii="Arial" w:hAnsi="Arial" w:cs="Arial"/>
          <w:sz w:val="20"/>
          <w:szCs w:val="20"/>
        </w:rPr>
        <w:t xml:space="preserve">la </w:t>
      </w:r>
      <w:r w:rsidR="00D71467" w:rsidRPr="00AC4AEA">
        <w:rPr>
          <w:rFonts w:ascii="Arial" w:hAnsi="Arial" w:cs="Arial"/>
          <w:b/>
          <w:bCs/>
          <w:sz w:val="20"/>
          <w:szCs w:val="20"/>
        </w:rPr>
        <w:t>dirección</w:t>
      </w:r>
      <w:r w:rsidR="00D71467" w:rsidRPr="00AC4AEA">
        <w:rPr>
          <w:rFonts w:ascii="Arial" w:hAnsi="Arial" w:cs="Arial"/>
          <w:sz w:val="20"/>
          <w:szCs w:val="20"/>
        </w:rPr>
        <w:t xml:space="preserve"> de l</w:t>
      </w:r>
      <w:r w:rsidR="00E84EC1" w:rsidRPr="00AC4AEA">
        <w:rPr>
          <w:rFonts w:ascii="Arial" w:hAnsi="Arial" w:cs="Arial"/>
          <w:sz w:val="20"/>
          <w:szCs w:val="20"/>
        </w:rPr>
        <w:t>a entidad</w:t>
      </w:r>
      <w:r w:rsidR="00C766F8" w:rsidRPr="00AC4AEA">
        <w:rPr>
          <w:rFonts w:ascii="Arial" w:hAnsi="Arial" w:cs="Arial"/>
          <w:sz w:val="20"/>
          <w:szCs w:val="20"/>
        </w:rPr>
        <w:t>:</w:t>
      </w:r>
      <w:bookmarkEnd w:id="94"/>
      <w:bookmarkEnd w:id="95"/>
    </w:p>
    <w:p w:rsidR="00614A11" w:rsidRPr="00AC4AEA" w:rsidRDefault="002E7B4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empleará el criterio de costo o esfuerzo desproporcionado de forma restrictiva; es decir, solo cuando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establezcan un tratamiento permitido distinto del que se aplicaría cuando no se presentan las circunstancias previstas en este apartado</w:t>
      </w:r>
      <w:r w:rsidR="00614A11" w:rsidRPr="00AC4AEA">
        <w:rPr>
          <w:rFonts w:ascii="Arial" w:hAnsi="Arial" w:cs="Arial"/>
          <w:sz w:val="20"/>
          <w:szCs w:val="20"/>
        </w:rPr>
        <w:t>;</w:t>
      </w:r>
    </w:p>
    <w:p w:rsidR="00E84EC1" w:rsidRPr="00AC4AEA" w:rsidRDefault="003F3E1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considerará </w:t>
      </w:r>
      <w:r w:rsidR="00F40672" w:rsidRPr="00AC4AEA">
        <w:rPr>
          <w:rFonts w:ascii="Arial" w:hAnsi="Arial" w:cs="Arial"/>
          <w:sz w:val="20"/>
          <w:szCs w:val="20"/>
        </w:rPr>
        <w:t>sus</w:t>
      </w:r>
      <w:r w:rsidRPr="00AC4AEA">
        <w:rPr>
          <w:rFonts w:ascii="Arial" w:hAnsi="Arial" w:cs="Arial"/>
          <w:sz w:val="20"/>
          <w:szCs w:val="20"/>
        </w:rPr>
        <w:t xml:space="preserve"> circunstancias específicas </w:t>
      </w:r>
      <w:r w:rsidR="009B63FF" w:rsidRPr="00AC4AEA">
        <w:rPr>
          <w:rFonts w:ascii="Arial" w:hAnsi="Arial" w:cs="Arial"/>
          <w:sz w:val="20"/>
          <w:szCs w:val="20"/>
        </w:rPr>
        <w:t>y</w:t>
      </w:r>
      <w:r w:rsidR="00C83174" w:rsidRPr="00AC4AEA">
        <w:rPr>
          <w:rFonts w:ascii="Arial" w:hAnsi="Arial" w:cs="Arial"/>
          <w:sz w:val="20"/>
          <w:szCs w:val="20"/>
        </w:rPr>
        <w:t xml:space="preserve"> la</w:t>
      </w:r>
      <w:r w:rsidR="00C766F8" w:rsidRPr="00AC4AEA">
        <w:rPr>
          <w:rFonts w:ascii="Arial" w:hAnsi="Arial" w:cs="Arial"/>
          <w:sz w:val="20"/>
          <w:szCs w:val="20"/>
        </w:rPr>
        <w:t xml:space="preserve"> evaluación que realice</w:t>
      </w:r>
      <w:r w:rsidRPr="00AC4AEA">
        <w:rPr>
          <w:rFonts w:ascii="Arial" w:hAnsi="Arial" w:cs="Arial"/>
          <w:sz w:val="20"/>
          <w:szCs w:val="20"/>
        </w:rPr>
        <w:t xml:space="preserve"> la </w:t>
      </w:r>
      <w:r w:rsidRPr="00AC4AEA">
        <w:rPr>
          <w:rFonts w:ascii="Arial" w:hAnsi="Arial" w:cs="Arial"/>
          <w:b/>
          <w:bCs/>
          <w:sz w:val="20"/>
          <w:szCs w:val="20"/>
        </w:rPr>
        <w:t>dirección</w:t>
      </w:r>
      <w:r w:rsidRPr="00AC4AEA">
        <w:rPr>
          <w:rFonts w:ascii="Arial" w:hAnsi="Arial" w:cs="Arial"/>
          <w:sz w:val="20"/>
          <w:szCs w:val="20"/>
        </w:rPr>
        <w:t xml:space="preserve"> sobre los costos y beneficios de la aplicación de ese </w:t>
      </w:r>
      <w:r w:rsidR="00CD55B6" w:rsidRPr="00AC4AEA">
        <w:rPr>
          <w:rFonts w:ascii="Arial" w:hAnsi="Arial" w:cs="Arial"/>
          <w:sz w:val="20"/>
          <w:szCs w:val="20"/>
        </w:rPr>
        <w:t>tratamiento</w:t>
      </w:r>
      <w:r w:rsidR="009B63FF" w:rsidRPr="00AC4AEA">
        <w:rPr>
          <w:rFonts w:ascii="Arial" w:hAnsi="Arial" w:cs="Arial"/>
          <w:sz w:val="20"/>
          <w:szCs w:val="20"/>
        </w:rPr>
        <w:t xml:space="preserve"> concreto</w:t>
      </w:r>
      <w:r w:rsidR="00E84EC1" w:rsidRPr="00AC4AEA">
        <w:rPr>
          <w:rFonts w:ascii="Arial" w:hAnsi="Arial" w:cs="Arial"/>
          <w:sz w:val="20"/>
          <w:szCs w:val="20"/>
        </w:rPr>
        <w:t xml:space="preserve">, </w:t>
      </w:r>
      <w:r w:rsidR="009B63FF" w:rsidRPr="00AC4AEA">
        <w:rPr>
          <w:rFonts w:ascii="Arial" w:hAnsi="Arial" w:cs="Arial"/>
          <w:sz w:val="20"/>
          <w:szCs w:val="20"/>
        </w:rPr>
        <w:t>que</w:t>
      </w:r>
      <w:r w:rsidR="00E84EC1" w:rsidRPr="00AC4AEA">
        <w:rPr>
          <w:rFonts w:ascii="Arial" w:hAnsi="Arial" w:cs="Arial"/>
          <w:sz w:val="20"/>
          <w:szCs w:val="20"/>
        </w:rPr>
        <w:t xml:space="preserve"> podrá</w:t>
      </w:r>
      <w:r w:rsidR="009B63FF" w:rsidRPr="00AC4AEA">
        <w:rPr>
          <w:rFonts w:ascii="Arial" w:hAnsi="Arial" w:cs="Arial"/>
          <w:sz w:val="20"/>
          <w:szCs w:val="20"/>
        </w:rPr>
        <w:t>n</w:t>
      </w:r>
      <w:r w:rsidR="00E84EC1" w:rsidRPr="00AC4AEA">
        <w:rPr>
          <w:rFonts w:ascii="Arial" w:hAnsi="Arial" w:cs="Arial"/>
          <w:sz w:val="20"/>
          <w:szCs w:val="20"/>
        </w:rPr>
        <w:t xml:space="preserve"> variar a lo largo del tiempo</w:t>
      </w:r>
      <w:r w:rsidR="00C83174" w:rsidRPr="00AC4AEA">
        <w:rPr>
          <w:rFonts w:ascii="Arial" w:hAnsi="Arial" w:cs="Arial"/>
          <w:sz w:val="20"/>
          <w:szCs w:val="20"/>
        </w:rPr>
        <w:t>;</w:t>
      </w:r>
    </w:p>
    <w:p w:rsidR="00B368CF" w:rsidRPr="00AC4AEA" w:rsidRDefault="00B368CF" w:rsidP="00B368CF">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concluirá que la aplicación de un tratamiento implica un costo o esfuerzo desproporcionado solo si: </w:t>
      </w:r>
    </w:p>
    <w:p w:rsidR="00B368CF" w:rsidRPr="00AC4AEA" w:rsidRDefault="00B368CF" w:rsidP="00B368CF">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el incremento de costo (por ejemplo, honorarios de tasadores) o el esfuerzo adicional (por ejemplo, las tareas de los empleados) superan sustancialmente los beneficios que recibirían los </w:t>
      </w:r>
      <w:r w:rsidRPr="00AC4AEA">
        <w:rPr>
          <w:rFonts w:ascii="Arial" w:hAnsi="Arial" w:cs="Arial"/>
          <w:b/>
          <w:bCs/>
          <w:sz w:val="20"/>
          <w:szCs w:val="20"/>
        </w:rPr>
        <w:t>usuarios</w:t>
      </w:r>
      <w:r w:rsidRPr="00AC4AEA">
        <w:rPr>
          <w:rFonts w:ascii="Arial" w:hAnsi="Arial" w:cs="Arial"/>
          <w:sz w:val="20"/>
          <w:szCs w:val="20"/>
        </w:rPr>
        <w:t xml:space="preserve"> de sus </w:t>
      </w:r>
      <w:r w:rsidRPr="00AC4AEA">
        <w:rPr>
          <w:rFonts w:ascii="Arial" w:hAnsi="Arial" w:cs="Arial"/>
          <w:b/>
          <w:bCs/>
          <w:sz w:val="20"/>
          <w:szCs w:val="20"/>
        </w:rPr>
        <w:t>estados contables</w:t>
      </w:r>
      <w:r w:rsidRPr="00AC4AEA">
        <w:rPr>
          <w:rFonts w:ascii="Arial" w:hAnsi="Arial" w:cs="Arial"/>
          <w:sz w:val="20"/>
          <w:szCs w:val="20"/>
        </w:rPr>
        <w:t xml:space="preserve"> por disponer de esa información; y</w:t>
      </w:r>
    </w:p>
    <w:p w:rsidR="00E84EC1" w:rsidRPr="00AC4AEA" w:rsidRDefault="00B368CF" w:rsidP="00B368CF">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lastRenderedPageBreak/>
        <w:t xml:space="preserve">las decisiones económico-financieras de los </w:t>
      </w:r>
      <w:r w:rsidRPr="00AC4AEA">
        <w:rPr>
          <w:rFonts w:ascii="Arial" w:hAnsi="Arial" w:cs="Arial"/>
          <w:b/>
          <w:bCs/>
          <w:sz w:val="20"/>
          <w:szCs w:val="20"/>
        </w:rPr>
        <w:t>usuarios</w:t>
      </w:r>
      <w:r w:rsidRPr="00AC4AEA">
        <w:rPr>
          <w:rFonts w:ascii="Arial" w:hAnsi="Arial" w:cs="Arial"/>
          <w:sz w:val="20"/>
          <w:szCs w:val="20"/>
        </w:rPr>
        <w:t xml:space="preserve"> de sus </w:t>
      </w:r>
      <w:r w:rsidRPr="00AC4AEA">
        <w:rPr>
          <w:rFonts w:ascii="Arial" w:hAnsi="Arial" w:cs="Arial"/>
          <w:b/>
          <w:bCs/>
          <w:sz w:val="20"/>
          <w:szCs w:val="20"/>
        </w:rPr>
        <w:t>estados contables</w:t>
      </w:r>
      <w:r w:rsidRPr="00AC4AEA">
        <w:rPr>
          <w:rFonts w:ascii="Arial" w:hAnsi="Arial" w:cs="Arial"/>
          <w:sz w:val="20"/>
          <w:szCs w:val="20"/>
        </w:rPr>
        <w:t xml:space="preserve"> no resultan afectadas debido a la información que deje de proporcionar</w:t>
      </w:r>
      <w:r w:rsidR="00E84EC1" w:rsidRPr="00AC4AEA">
        <w:rPr>
          <w:rFonts w:ascii="Arial" w:hAnsi="Arial" w:cs="Arial"/>
          <w:sz w:val="20"/>
          <w:szCs w:val="20"/>
        </w:rPr>
        <w:t>;</w:t>
      </w:r>
    </w:p>
    <w:p w:rsidR="00E84EC1" w:rsidRPr="00AC4AEA" w:rsidRDefault="000F304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revisará</w:t>
      </w:r>
      <w:r w:rsidR="00E84EC1" w:rsidRPr="00AC4AEA">
        <w:rPr>
          <w:rFonts w:ascii="Arial" w:hAnsi="Arial" w:cs="Arial"/>
          <w:sz w:val="20"/>
          <w:szCs w:val="20"/>
        </w:rPr>
        <w:t xml:space="preserve"> la evaluación de costo o esfuerzo desproporcionado en cada </w:t>
      </w:r>
      <w:r w:rsidR="00E84EC1" w:rsidRPr="00AC4AEA">
        <w:rPr>
          <w:rFonts w:ascii="Arial" w:hAnsi="Arial" w:cs="Arial"/>
          <w:b/>
          <w:bCs/>
          <w:sz w:val="20"/>
          <w:szCs w:val="20"/>
        </w:rPr>
        <w:t>fecha de los estados contables</w:t>
      </w:r>
      <w:r w:rsidR="00E84EC1" w:rsidRPr="00AC4AEA">
        <w:rPr>
          <w:rFonts w:ascii="Arial" w:hAnsi="Arial" w:cs="Arial"/>
          <w:sz w:val="20"/>
          <w:szCs w:val="20"/>
        </w:rPr>
        <w:t xml:space="preserve"> para asegurarse </w:t>
      </w:r>
      <w:r w:rsidR="009B63FF" w:rsidRPr="00AC4AEA">
        <w:rPr>
          <w:rFonts w:ascii="Arial" w:hAnsi="Arial" w:cs="Arial"/>
          <w:sz w:val="20"/>
          <w:szCs w:val="20"/>
        </w:rPr>
        <w:t xml:space="preserve">de </w:t>
      </w:r>
      <w:r w:rsidR="00E84EC1" w:rsidRPr="00AC4AEA">
        <w:rPr>
          <w:rFonts w:ascii="Arial" w:hAnsi="Arial" w:cs="Arial"/>
          <w:sz w:val="20"/>
          <w:szCs w:val="20"/>
        </w:rPr>
        <w:t xml:space="preserve">que la aplicación de cualquier tratamiento </w:t>
      </w:r>
      <w:r w:rsidR="00507DEE" w:rsidRPr="00AC4AEA">
        <w:rPr>
          <w:rFonts w:ascii="Arial" w:hAnsi="Arial" w:cs="Arial"/>
          <w:sz w:val="20"/>
          <w:szCs w:val="20"/>
        </w:rPr>
        <w:t>permitido</w:t>
      </w:r>
      <w:r w:rsidR="00C83174" w:rsidRPr="00AC4AEA">
        <w:rPr>
          <w:rFonts w:ascii="Arial" w:hAnsi="Arial" w:cs="Arial"/>
          <w:sz w:val="20"/>
          <w:szCs w:val="20"/>
        </w:rPr>
        <w:t xml:space="preserve"> </w:t>
      </w:r>
      <w:r w:rsidR="00E84EC1" w:rsidRPr="00AC4AEA">
        <w:rPr>
          <w:rFonts w:ascii="Arial" w:hAnsi="Arial" w:cs="Arial"/>
          <w:sz w:val="20"/>
          <w:szCs w:val="20"/>
        </w:rPr>
        <w:t xml:space="preserve">que dependa de esa </w:t>
      </w:r>
      <w:r w:rsidR="009B63FF" w:rsidRPr="00AC4AEA">
        <w:rPr>
          <w:rFonts w:ascii="Arial" w:hAnsi="Arial" w:cs="Arial"/>
          <w:sz w:val="20"/>
          <w:szCs w:val="20"/>
        </w:rPr>
        <w:t>evaluación</w:t>
      </w:r>
      <w:r w:rsidR="00E84EC1" w:rsidRPr="00AC4AEA">
        <w:rPr>
          <w:rFonts w:ascii="Arial" w:hAnsi="Arial" w:cs="Arial"/>
          <w:sz w:val="20"/>
          <w:szCs w:val="20"/>
        </w:rPr>
        <w:t xml:space="preserve"> </w:t>
      </w:r>
      <w:r w:rsidR="009B63FF" w:rsidRPr="00AC4AEA">
        <w:rPr>
          <w:rFonts w:ascii="Arial" w:hAnsi="Arial" w:cs="Arial"/>
          <w:sz w:val="20"/>
          <w:szCs w:val="20"/>
        </w:rPr>
        <w:t>responde a</w:t>
      </w:r>
      <w:r w:rsidR="00E84EC1" w:rsidRPr="00AC4AEA">
        <w:rPr>
          <w:rFonts w:ascii="Arial" w:hAnsi="Arial" w:cs="Arial"/>
          <w:sz w:val="20"/>
          <w:szCs w:val="20"/>
        </w:rPr>
        <w:t xml:space="preserve"> las condiciones existentes a la </w:t>
      </w:r>
      <w:r w:rsidR="00E84EC1" w:rsidRPr="00AC4AEA">
        <w:rPr>
          <w:rFonts w:ascii="Arial" w:hAnsi="Arial" w:cs="Arial"/>
          <w:b/>
          <w:bCs/>
          <w:sz w:val="20"/>
          <w:szCs w:val="20"/>
        </w:rPr>
        <w:t>fecha de los estados contables</w:t>
      </w:r>
      <w:r w:rsidR="00E84EC1" w:rsidRPr="00AC4AEA">
        <w:rPr>
          <w:rFonts w:ascii="Arial" w:hAnsi="Arial" w:cs="Arial"/>
          <w:sz w:val="20"/>
          <w:szCs w:val="20"/>
        </w:rPr>
        <w:t>;</w:t>
      </w:r>
    </w:p>
    <w:p w:rsidR="000F3044" w:rsidRPr="00AC4AEA" w:rsidRDefault="000F304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actualizará la revisión indicada en el inciso anterior hasta la fecha de </w:t>
      </w:r>
      <w:r w:rsidR="001B63AC" w:rsidRPr="00AC4AEA">
        <w:rPr>
          <w:rFonts w:ascii="Arial" w:hAnsi="Arial" w:cs="Arial"/>
          <w:sz w:val="20"/>
          <w:szCs w:val="20"/>
        </w:rPr>
        <w:t>la</w:t>
      </w:r>
      <w:r w:rsidRPr="00AC4AEA">
        <w:rPr>
          <w:rFonts w:ascii="Arial" w:hAnsi="Arial" w:cs="Arial"/>
          <w:sz w:val="20"/>
          <w:szCs w:val="20"/>
        </w:rPr>
        <w:t xml:space="preserve"> aprobación por parte de la </w:t>
      </w:r>
      <w:r w:rsidRPr="00AC4AEA">
        <w:rPr>
          <w:rFonts w:ascii="Arial" w:hAnsi="Arial" w:cs="Arial"/>
          <w:b/>
          <w:bCs/>
          <w:sz w:val="20"/>
          <w:szCs w:val="20"/>
        </w:rPr>
        <w:t>dirección</w:t>
      </w:r>
      <w:r w:rsidR="001B63AC" w:rsidRPr="00AC4AEA">
        <w:rPr>
          <w:rFonts w:ascii="Arial" w:hAnsi="Arial" w:cs="Arial"/>
          <w:b/>
          <w:bCs/>
          <w:sz w:val="20"/>
          <w:szCs w:val="20"/>
        </w:rPr>
        <w:t xml:space="preserve"> </w:t>
      </w:r>
      <w:r w:rsidR="001B63AC" w:rsidRPr="00AC4AEA">
        <w:rPr>
          <w:rFonts w:ascii="Arial" w:hAnsi="Arial" w:cs="Arial"/>
          <w:sz w:val="20"/>
          <w:szCs w:val="20"/>
        </w:rPr>
        <w:t xml:space="preserve">de sus </w:t>
      </w:r>
      <w:r w:rsidR="001B63AC" w:rsidRPr="00AC4AEA">
        <w:rPr>
          <w:rFonts w:ascii="Arial" w:hAnsi="Arial" w:cs="Arial"/>
          <w:b/>
          <w:bCs/>
          <w:sz w:val="20"/>
          <w:szCs w:val="20"/>
        </w:rPr>
        <w:t>estados contables</w:t>
      </w:r>
      <w:r w:rsidR="001B63AC" w:rsidRPr="00AC4AEA">
        <w:rPr>
          <w:rFonts w:ascii="Arial" w:hAnsi="Arial" w:cs="Arial"/>
          <w:sz w:val="20"/>
          <w:szCs w:val="20"/>
        </w:rPr>
        <w:t>, de conformidad con lo establecido en la sección “</w:t>
      </w:r>
      <w:r w:rsidR="001B63AC" w:rsidRPr="00AC4AEA">
        <w:rPr>
          <w:rFonts w:ascii="Arial" w:hAnsi="Arial" w:cs="Arial"/>
          <w:sz w:val="20"/>
          <w:szCs w:val="20"/>
          <w:u w:val="single"/>
        </w:rPr>
        <w:t>Consideración de los hechos posteriores en la preparación de los estados contables</w:t>
      </w:r>
      <w:r w:rsidR="001B63AC" w:rsidRPr="00AC4AEA">
        <w:rPr>
          <w:rFonts w:ascii="Arial" w:hAnsi="Arial" w:cs="Arial"/>
          <w:sz w:val="20"/>
          <w:szCs w:val="20"/>
        </w:rPr>
        <w:t xml:space="preserve">” [ver el párrafo </w:t>
      </w:r>
      <w:fldSimple w:instr=" REF _Ref104825833 \r \h  \* MERGEFORMAT ">
        <w:r w:rsidR="00D33A5D" w:rsidRPr="00D33A5D">
          <w:rPr>
            <w:rFonts w:ascii="Arial" w:hAnsi="Arial" w:cs="Arial"/>
            <w:sz w:val="20"/>
            <w:szCs w:val="20"/>
          </w:rPr>
          <w:t>96</w:t>
        </w:r>
      </w:fldSimple>
      <w:r w:rsidR="001B63AC" w:rsidRPr="00AC4AEA">
        <w:rPr>
          <w:rFonts w:ascii="Arial" w:hAnsi="Arial" w:cs="Arial"/>
          <w:sz w:val="20"/>
          <w:szCs w:val="20"/>
        </w:rPr>
        <w:t>]</w:t>
      </w:r>
      <w:r w:rsidRPr="00AC4AEA">
        <w:rPr>
          <w:rFonts w:ascii="Arial" w:hAnsi="Arial" w:cs="Arial"/>
          <w:sz w:val="20"/>
          <w:szCs w:val="20"/>
        </w:rPr>
        <w:t>;</w:t>
      </w:r>
    </w:p>
    <w:p w:rsidR="009B63FF" w:rsidRPr="00AC4AEA" w:rsidRDefault="00251F0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tratará como un cambio de circunstancias contables, y no de </w:t>
      </w:r>
      <w:r w:rsidRPr="00AC4AEA">
        <w:rPr>
          <w:rFonts w:ascii="Arial" w:hAnsi="Arial" w:cs="Arial"/>
          <w:b/>
          <w:bCs/>
          <w:sz w:val="20"/>
          <w:szCs w:val="20"/>
        </w:rPr>
        <w:t>política contable</w:t>
      </w:r>
      <w:r w:rsidRPr="00AC4AEA">
        <w:rPr>
          <w:rFonts w:ascii="Arial" w:hAnsi="Arial" w:cs="Arial"/>
          <w:sz w:val="20"/>
          <w:szCs w:val="20"/>
        </w:rPr>
        <w:t xml:space="preserve">, </w:t>
      </w:r>
      <w:r w:rsidR="00635D4A" w:rsidRPr="00AC4AEA">
        <w:rPr>
          <w:rFonts w:ascii="Arial" w:hAnsi="Arial" w:cs="Arial"/>
          <w:sz w:val="20"/>
          <w:szCs w:val="20"/>
        </w:rPr>
        <w:t>los cambios en sus</w:t>
      </w:r>
      <w:r w:rsidR="009B63FF" w:rsidRPr="00AC4AEA">
        <w:rPr>
          <w:rFonts w:ascii="Arial" w:hAnsi="Arial" w:cs="Arial"/>
          <w:sz w:val="20"/>
          <w:szCs w:val="20"/>
        </w:rPr>
        <w:t xml:space="preserve"> circunstancias específicas y </w:t>
      </w:r>
      <w:r w:rsidR="00635D4A" w:rsidRPr="00AC4AEA">
        <w:rPr>
          <w:rFonts w:ascii="Arial" w:hAnsi="Arial" w:cs="Arial"/>
          <w:sz w:val="20"/>
          <w:szCs w:val="20"/>
        </w:rPr>
        <w:t xml:space="preserve">en </w:t>
      </w:r>
      <w:r w:rsidR="009B63FF" w:rsidRPr="00AC4AEA">
        <w:rPr>
          <w:rFonts w:ascii="Arial" w:hAnsi="Arial" w:cs="Arial"/>
          <w:sz w:val="20"/>
          <w:szCs w:val="20"/>
        </w:rPr>
        <w:t xml:space="preserve">la evaluación </w:t>
      </w:r>
      <w:r w:rsidR="00635D4A" w:rsidRPr="00AC4AEA">
        <w:rPr>
          <w:rFonts w:ascii="Arial" w:hAnsi="Arial" w:cs="Arial"/>
          <w:sz w:val="20"/>
          <w:szCs w:val="20"/>
        </w:rPr>
        <w:t>realizada por</w:t>
      </w:r>
      <w:r w:rsidR="009B63FF" w:rsidRPr="00AC4AEA">
        <w:rPr>
          <w:rFonts w:ascii="Arial" w:hAnsi="Arial" w:cs="Arial"/>
          <w:sz w:val="20"/>
          <w:szCs w:val="20"/>
        </w:rPr>
        <w:t xml:space="preserve"> la </w:t>
      </w:r>
      <w:r w:rsidR="009B63FF" w:rsidRPr="00AC4AEA">
        <w:rPr>
          <w:rFonts w:ascii="Arial" w:hAnsi="Arial" w:cs="Arial"/>
          <w:b/>
          <w:bCs/>
          <w:sz w:val="20"/>
          <w:szCs w:val="20"/>
        </w:rPr>
        <w:t>dirección</w:t>
      </w:r>
      <w:r w:rsidR="009B63FF" w:rsidRPr="00AC4AEA">
        <w:rPr>
          <w:rFonts w:ascii="Arial" w:hAnsi="Arial" w:cs="Arial"/>
          <w:sz w:val="20"/>
          <w:szCs w:val="20"/>
        </w:rPr>
        <w:t xml:space="preserve"> sobre los costos y beneficios </w:t>
      </w:r>
      <w:r w:rsidR="00635D4A" w:rsidRPr="00AC4AEA">
        <w:rPr>
          <w:rFonts w:ascii="Arial" w:hAnsi="Arial" w:cs="Arial"/>
          <w:sz w:val="20"/>
          <w:szCs w:val="20"/>
        </w:rPr>
        <w:t>de</w:t>
      </w:r>
      <w:r w:rsidR="009B63FF" w:rsidRPr="00AC4AEA">
        <w:rPr>
          <w:rFonts w:ascii="Arial" w:hAnsi="Arial" w:cs="Arial"/>
          <w:sz w:val="20"/>
          <w:szCs w:val="20"/>
        </w:rPr>
        <w:t xml:space="preserve"> aplica</w:t>
      </w:r>
      <w:r w:rsidR="00635D4A" w:rsidRPr="00AC4AEA">
        <w:rPr>
          <w:rFonts w:ascii="Arial" w:hAnsi="Arial" w:cs="Arial"/>
          <w:sz w:val="20"/>
          <w:szCs w:val="20"/>
        </w:rPr>
        <w:t>r</w:t>
      </w:r>
      <w:r w:rsidR="009B63FF" w:rsidRPr="00AC4AEA">
        <w:rPr>
          <w:rFonts w:ascii="Arial" w:hAnsi="Arial" w:cs="Arial"/>
          <w:sz w:val="20"/>
          <w:szCs w:val="20"/>
        </w:rPr>
        <w:t xml:space="preserve"> ese </w:t>
      </w:r>
      <w:r w:rsidR="00FB6CE9" w:rsidRPr="00AC4AEA">
        <w:rPr>
          <w:rFonts w:ascii="Arial" w:hAnsi="Arial" w:cs="Arial"/>
          <w:sz w:val="20"/>
          <w:szCs w:val="20"/>
        </w:rPr>
        <w:t>tratamiento</w:t>
      </w:r>
      <w:r w:rsidR="009B63FF" w:rsidRPr="00AC4AEA">
        <w:rPr>
          <w:rFonts w:ascii="Arial" w:hAnsi="Arial" w:cs="Arial"/>
          <w:sz w:val="20"/>
          <w:szCs w:val="20"/>
        </w:rPr>
        <w:t xml:space="preserve"> concreto;</w:t>
      </w:r>
      <w:r w:rsidR="00B368CF" w:rsidRPr="00AC4AEA">
        <w:rPr>
          <w:rFonts w:ascii="Arial" w:hAnsi="Arial" w:cs="Arial"/>
          <w:sz w:val="20"/>
          <w:szCs w:val="20"/>
        </w:rPr>
        <w:t xml:space="preserve"> y</w:t>
      </w:r>
    </w:p>
    <w:p w:rsidR="002E7B41" w:rsidRPr="00AC4AEA" w:rsidRDefault="00E84EC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revelará en notas</w:t>
      </w:r>
      <w:r w:rsidR="002E7B41" w:rsidRPr="00AC4AEA">
        <w:rPr>
          <w:rFonts w:ascii="Arial" w:hAnsi="Arial" w:cs="Arial"/>
          <w:sz w:val="20"/>
          <w:szCs w:val="20"/>
        </w:rPr>
        <w:t>:</w:t>
      </w:r>
      <w:r w:rsidRPr="00AC4AEA">
        <w:rPr>
          <w:rFonts w:ascii="Arial" w:hAnsi="Arial" w:cs="Arial"/>
          <w:sz w:val="20"/>
          <w:szCs w:val="20"/>
        </w:rPr>
        <w:t xml:space="preserve"> </w:t>
      </w:r>
    </w:p>
    <w:p w:rsidR="002E7B41" w:rsidRPr="00AC4AEA" w:rsidRDefault="00E84EC1"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e</w:t>
      </w:r>
      <w:r w:rsidR="00635D4A" w:rsidRPr="00AC4AEA">
        <w:rPr>
          <w:rFonts w:ascii="Arial" w:hAnsi="Arial" w:cs="Arial"/>
          <w:sz w:val="20"/>
          <w:szCs w:val="20"/>
        </w:rPr>
        <w:t>l</w:t>
      </w:r>
      <w:r w:rsidRPr="00AC4AEA">
        <w:rPr>
          <w:rFonts w:ascii="Arial" w:hAnsi="Arial" w:cs="Arial"/>
          <w:sz w:val="20"/>
          <w:szCs w:val="20"/>
        </w:rPr>
        <w:t xml:space="preserve"> hecho</w:t>
      </w:r>
      <w:r w:rsidR="00635D4A" w:rsidRPr="00AC4AEA">
        <w:rPr>
          <w:rFonts w:ascii="Arial" w:hAnsi="Arial" w:cs="Arial"/>
          <w:sz w:val="20"/>
          <w:szCs w:val="20"/>
        </w:rPr>
        <w:t xml:space="preserve"> de utilizar un tratamiento </w:t>
      </w:r>
      <w:r w:rsidR="00507DEE" w:rsidRPr="00AC4AEA">
        <w:rPr>
          <w:rFonts w:ascii="Arial" w:hAnsi="Arial" w:cs="Arial"/>
          <w:sz w:val="20"/>
          <w:szCs w:val="20"/>
        </w:rPr>
        <w:t>permitido</w:t>
      </w:r>
      <w:r w:rsidR="00635D4A" w:rsidRPr="00AC4AEA">
        <w:rPr>
          <w:rFonts w:ascii="Arial" w:hAnsi="Arial" w:cs="Arial"/>
          <w:sz w:val="20"/>
          <w:szCs w:val="20"/>
        </w:rPr>
        <w:t xml:space="preserve"> con base en la evaluación prevista en este </w:t>
      </w:r>
      <w:r w:rsidR="002E7B41" w:rsidRPr="00AC4AEA">
        <w:rPr>
          <w:rFonts w:ascii="Arial" w:hAnsi="Arial" w:cs="Arial"/>
          <w:sz w:val="20"/>
          <w:szCs w:val="20"/>
        </w:rPr>
        <w:t>apartado;</w:t>
      </w:r>
      <w:r w:rsidRPr="00AC4AEA">
        <w:rPr>
          <w:rFonts w:ascii="Arial" w:hAnsi="Arial" w:cs="Arial"/>
          <w:sz w:val="20"/>
          <w:szCs w:val="20"/>
        </w:rPr>
        <w:t xml:space="preserve"> </w:t>
      </w:r>
    </w:p>
    <w:p w:rsidR="002E7B41" w:rsidRPr="00AC4AEA" w:rsidRDefault="002E7B41"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la descripción del </w:t>
      </w:r>
      <w:r w:rsidR="006369E4" w:rsidRPr="00AC4AEA">
        <w:rPr>
          <w:rFonts w:ascii="Arial" w:hAnsi="Arial" w:cs="Arial"/>
          <w:sz w:val="20"/>
          <w:szCs w:val="20"/>
        </w:rPr>
        <w:t>tratamiento</w:t>
      </w:r>
      <w:r w:rsidRPr="00AC4AEA">
        <w:rPr>
          <w:rFonts w:ascii="Arial" w:hAnsi="Arial" w:cs="Arial"/>
          <w:sz w:val="20"/>
          <w:szCs w:val="20"/>
        </w:rPr>
        <w:t xml:space="preserve"> no utilizado;</w:t>
      </w:r>
    </w:p>
    <w:p w:rsidR="002E7B41" w:rsidRPr="00AC4AEA" w:rsidRDefault="00E84EC1"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las razones por las que la aplicación del </w:t>
      </w:r>
      <w:r w:rsidR="006369E4" w:rsidRPr="00AC4AEA">
        <w:rPr>
          <w:rFonts w:ascii="Arial" w:hAnsi="Arial" w:cs="Arial"/>
          <w:sz w:val="20"/>
          <w:szCs w:val="20"/>
        </w:rPr>
        <w:t>tratamiento</w:t>
      </w:r>
      <w:r w:rsidR="002E7B41" w:rsidRPr="00AC4AEA">
        <w:rPr>
          <w:rFonts w:ascii="Arial" w:hAnsi="Arial" w:cs="Arial"/>
          <w:sz w:val="20"/>
          <w:szCs w:val="20"/>
        </w:rPr>
        <w:t xml:space="preserve"> no utilizado</w:t>
      </w:r>
      <w:r w:rsidRPr="00AC4AEA">
        <w:rPr>
          <w:rFonts w:ascii="Arial" w:hAnsi="Arial" w:cs="Arial"/>
          <w:sz w:val="20"/>
          <w:szCs w:val="20"/>
        </w:rPr>
        <w:t xml:space="preserve"> </w:t>
      </w:r>
      <w:r w:rsidR="00826DD3" w:rsidRPr="00AC4AEA">
        <w:rPr>
          <w:rFonts w:ascii="Arial" w:hAnsi="Arial" w:cs="Arial"/>
          <w:sz w:val="20"/>
          <w:szCs w:val="20"/>
        </w:rPr>
        <w:t>implica</w:t>
      </w:r>
      <w:r w:rsidRPr="00AC4AEA">
        <w:rPr>
          <w:rFonts w:ascii="Arial" w:hAnsi="Arial" w:cs="Arial"/>
          <w:sz w:val="20"/>
          <w:szCs w:val="20"/>
        </w:rPr>
        <w:t xml:space="preserve"> un </w:t>
      </w:r>
      <w:r w:rsidR="00826DD3" w:rsidRPr="00AC4AEA">
        <w:rPr>
          <w:rFonts w:ascii="Arial" w:hAnsi="Arial" w:cs="Arial"/>
          <w:sz w:val="20"/>
          <w:szCs w:val="20"/>
        </w:rPr>
        <w:t xml:space="preserve">costo o </w:t>
      </w:r>
      <w:r w:rsidRPr="00AC4AEA">
        <w:rPr>
          <w:rFonts w:ascii="Arial" w:hAnsi="Arial" w:cs="Arial"/>
          <w:sz w:val="20"/>
          <w:szCs w:val="20"/>
        </w:rPr>
        <w:t>esfuerzo desproporcionado</w:t>
      </w:r>
      <w:r w:rsidR="002E7B41" w:rsidRPr="00AC4AEA">
        <w:rPr>
          <w:rFonts w:ascii="Arial" w:hAnsi="Arial" w:cs="Arial"/>
          <w:sz w:val="20"/>
          <w:szCs w:val="20"/>
        </w:rPr>
        <w:t>;</w:t>
      </w:r>
      <w:r w:rsidR="00826DD3" w:rsidRPr="00AC4AEA">
        <w:rPr>
          <w:rFonts w:ascii="Arial" w:hAnsi="Arial" w:cs="Arial"/>
          <w:sz w:val="20"/>
          <w:szCs w:val="20"/>
        </w:rPr>
        <w:t xml:space="preserve"> </w:t>
      </w:r>
      <w:r w:rsidR="002E7B41" w:rsidRPr="00AC4AEA">
        <w:rPr>
          <w:rFonts w:ascii="Arial" w:hAnsi="Arial" w:cs="Arial"/>
          <w:sz w:val="20"/>
          <w:szCs w:val="20"/>
        </w:rPr>
        <w:t>y</w:t>
      </w:r>
    </w:p>
    <w:p w:rsidR="009B63FF" w:rsidRPr="00AC4AEA" w:rsidRDefault="009B63FF"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la advertencia de</w:t>
      </w:r>
      <w:r w:rsidR="00826DD3" w:rsidRPr="00AC4AEA">
        <w:rPr>
          <w:rFonts w:ascii="Arial" w:hAnsi="Arial" w:cs="Arial"/>
          <w:sz w:val="20"/>
          <w:szCs w:val="20"/>
        </w:rPr>
        <w:t xml:space="preserve"> que la utilización de</w:t>
      </w:r>
      <w:r w:rsidRPr="00AC4AEA">
        <w:rPr>
          <w:rFonts w:ascii="Arial" w:hAnsi="Arial" w:cs="Arial"/>
          <w:sz w:val="20"/>
          <w:szCs w:val="20"/>
        </w:rPr>
        <w:t>l</w:t>
      </w:r>
      <w:r w:rsidR="00826DD3" w:rsidRPr="00AC4AEA">
        <w:rPr>
          <w:rFonts w:ascii="Arial" w:hAnsi="Arial" w:cs="Arial"/>
          <w:sz w:val="20"/>
          <w:szCs w:val="20"/>
        </w:rPr>
        <w:t xml:space="preserve"> </w:t>
      </w:r>
      <w:r w:rsidRPr="00AC4AEA">
        <w:rPr>
          <w:rFonts w:ascii="Arial" w:hAnsi="Arial" w:cs="Arial"/>
          <w:sz w:val="20"/>
          <w:szCs w:val="20"/>
        </w:rPr>
        <w:t xml:space="preserve">tratamiento </w:t>
      </w:r>
      <w:r w:rsidR="00507DEE" w:rsidRPr="00AC4AEA">
        <w:rPr>
          <w:rFonts w:ascii="Arial" w:hAnsi="Arial" w:cs="Arial"/>
          <w:sz w:val="20"/>
          <w:szCs w:val="20"/>
        </w:rPr>
        <w:t>permitido</w:t>
      </w:r>
      <w:r w:rsidR="009905FB" w:rsidRPr="00AC4AEA">
        <w:rPr>
          <w:rFonts w:ascii="Arial" w:hAnsi="Arial" w:cs="Arial"/>
          <w:sz w:val="20"/>
          <w:szCs w:val="20"/>
        </w:rPr>
        <w:t xml:space="preserve"> </w:t>
      </w:r>
      <w:r w:rsidR="008B5147" w:rsidRPr="00AC4AEA">
        <w:rPr>
          <w:rFonts w:ascii="Arial" w:hAnsi="Arial" w:cs="Arial"/>
          <w:sz w:val="20"/>
          <w:szCs w:val="20"/>
        </w:rPr>
        <w:t xml:space="preserve">es una circunstancia que </w:t>
      </w:r>
      <w:r w:rsidR="009905FB" w:rsidRPr="00AC4AEA">
        <w:rPr>
          <w:rFonts w:ascii="Arial" w:eastAsia="Times New Roman" w:hAnsi="Arial" w:cs="Arial"/>
          <w:sz w:val="20"/>
          <w:szCs w:val="20"/>
          <w:lang w:eastAsia="es-ES"/>
        </w:rPr>
        <w:t>deberá ser considerad</w:t>
      </w:r>
      <w:r w:rsidR="008B5147" w:rsidRPr="00AC4AEA">
        <w:rPr>
          <w:rFonts w:ascii="Arial" w:eastAsia="Times New Roman" w:hAnsi="Arial" w:cs="Arial"/>
          <w:sz w:val="20"/>
          <w:szCs w:val="20"/>
          <w:lang w:eastAsia="es-ES"/>
        </w:rPr>
        <w:t>a</w:t>
      </w:r>
      <w:r w:rsidR="009905FB" w:rsidRPr="00AC4AEA">
        <w:rPr>
          <w:rFonts w:ascii="Arial" w:eastAsia="Times New Roman" w:hAnsi="Arial" w:cs="Arial"/>
          <w:sz w:val="20"/>
          <w:szCs w:val="20"/>
          <w:lang w:eastAsia="es-ES"/>
        </w:rPr>
        <w:t xml:space="preserve"> </w:t>
      </w:r>
      <w:r w:rsidR="008B5147" w:rsidRPr="00AC4AEA">
        <w:rPr>
          <w:rFonts w:ascii="Arial" w:eastAsia="Times New Roman" w:hAnsi="Arial" w:cs="Arial"/>
          <w:sz w:val="20"/>
          <w:szCs w:val="20"/>
          <w:lang w:eastAsia="es-ES"/>
        </w:rPr>
        <w:t>en la evaluación e</w:t>
      </w:r>
      <w:r w:rsidR="009905FB" w:rsidRPr="00AC4AEA">
        <w:rPr>
          <w:rFonts w:ascii="Arial" w:eastAsia="Times New Roman" w:hAnsi="Arial" w:cs="Arial"/>
          <w:sz w:val="20"/>
          <w:szCs w:val="20"/>
          <w:lang w:eastAsia="es-ES"/>
        </w:rPr>
        <w:t xml:space="preserve"> interpretación de esos </w:t>
      </w:r>
      <w:r w:rsidR="009905FB" w:rsidRPr="00AC4AEA">
        <w:rPr>
          <w:rFonts w:ascii="Arial" w:eastAsia="Times New Roman" w:hAnsi="Arial" w:cs="Arial"/>
          <w:b/>
          <w:bCs/>
          <w:sz w:val="20"/>
          <w:szCs w:val="20"/>
          <w:lang w:eastAsia="es-ES"/>
        </w:rPr>
        <w:t>estados contables</w:t>
      </w:r>
      <w:r w:rsidR="009905FB" w:rsidRPr="00AC4AEA">
        <w:rPr>
          <w:rFonts w:ascii="Arial" w:eastAsia="Times New Roman" w:hAnsi="Arial" w:cs="Arial"/>
          <w:sz w:val="20"/>
          <w:szCs w:val="20"/>
          <w:lang w:eastAsia="es-ES"/>
        </w:rPr>
        <w:t>.</w:t>
      </w:r>
    </w:p>
    <w:p w:rsidR="00F603F4" w:rsidRPr="00AC4AEA" w:rsidRDefault="00F603F4" w:rsidP="00A318EA">
      <w:pPr>
        <w:pStyle w:val="A-Normal11"/>
        <w:ind w:left="2268"/>
        <w:jc w:val="both"/>
        <w:rPr>
          <w:rFonts w:ascii="Arial" w:hAnsi="Arial" w:cs="Arial"/>
          <w:sz w:val="20"/>
        </w:rPr>
      </w:pPr>
    </w:p>
    <w:p w:rsidR="006056E5" w:rsidRPr="00AC4AEA" w:rsidRDefault="006056E5" w:rsidP="00A318EA">
      <w:pPr>
        <w:pStyle w:val="A-Normal11"/>
        <w:ind w:left="2268"/>
        <w:jc w:val="both"/>
        <w:rPr>
          <w:rFonts w:ascii="Arial" w:hAnsi="Arial" w:cs="Arial"/>
          <w:sz w:val="20"/>
        </w:rPr>
      </w:pPr>
    </w:p>
    <w:p w:rsidR="0099120B" w:rsidRPr="00AC4AEA" w:rsidRDefault="0099120B" w:rsidP="00A318EA">
      <w:pPr>
        <w:pStyle w:val="Ttulo2"/>
        <w:rPr>
          <w:rFonts w:cs="Arial"/>
        </w:rPr>
      </w:pPr>
      <w:bookmarkStart w:id="96" w:name="_Toc101863728"/>
      <w:bookmarkStart w:id="97" w:name="_Toc139356591"/>
      <w:r w:rsidRPr="00AC4AEA">
        <w:rPr>
          <w:rFonts w:cs="Arial"/>
        </w:rPr>
        <w:t xml:space="preserve">Cambios en las </w:t>
      </w:r>
      <w:r w:rsidR="00135084" w:rsidRPr="00AC4AEA">
        <w:rPr>
          <w:rFonts w:cs="Arial"/>
        </w:rPr>
        <w:t>políticas contables</w:t>
      </w:r>
      <w:bookmarkEnd w:id="96"/>
      <w:bookmarkEnd w:id="97"/>
    </w:p>
    <w:p w:rsidR="0099120B" w:rsidRPr="00AC4AEA" w:rsidRDefault="00235FF3" w:rsidP="00A318EA">
      <w:pPr>
        <w:pStyle w:val="Prrafodelista"/>
        <w:numPr>
          <w:ilvl w:val="0"/>
          <w:numId w:val="29"/>
        </w:numPr>
        <w:contextualSpacing w:val="0"/>
        <w:jc w:val="both"/>
        <w:rPr>
          <w:rFonts w:ascii="Arial" w:hAnsi="Arial" w:cs="Arial"/>
          <w:sz w:val="20"/>
          <w:szCs w:val="20"/>
        </w:rPr>
      </w:pPr>
      <w:bookmarkStart w:id="98" w:name="_Ref77187714"/>
      <w:r w:rsidRPr="00AC4AEA">
        <w:rPr>
          <w:rFonts w:ascii="Arial" w:hAnsi="Arial" w:cs="Arial"/>
          <w:sz w:val="20"/>
          <w:szCs w:val="20"/>
        </w:rPr>
        <w:t>Una</w:t>
      </w:r>
      <w:r w:rsidR="0099120B" w:rsidRPr="00AC4AEA">
        <w:rPr>
          <w:rFonts w:ascii="Arial" w:hAnsi="Arial" w:cs="Arial"/>
          <w:sz w:val="20"/>
          <w:szCs w:val="20"/>
        </w:rPr>
        <w:t xml:space="preserve"> entidad cambiará una </w:t>
      </w:r>
      <w:r w:rsidR="00596F3F" w:rsidRPr="00AC4AEA">
        <w:rPr>
          <w:rFonts w:ascii="Arial" w:hAnsi="Arial" w:cs="Arial"/>
          <w:b/>
          <w:bCs/>
          <w:sz w:val="20"/>
          <w:szCs w:val="20"/>
        </w:rPr>
        <w:t>política contable</w:t>
      </w:r>
      <w:r w:rsidR="0099120B" w:rsidRPr="00AC4AEA">
        <w:rPr>
          <w:rFonts w:ascii="Arial" w:hAnsi="Arial" w:cs="Arial"/>
          <w:sz w:val="20"/>
          <w:szCs w:val="20"/>
        </w:rPr>
        <w:t xml:space="preserve"> s</w:t>
      </w:r>
      <w:r w:rsidR="006C4B86" w:rsidRPr="00AC4AEA">
        <w:rPr>
          <w:rFonts w:ascii="Arial" w:hAnsi="Arial" w:cs="Arial"/>
          <w:sz w:val="20"/>
          <w:szCs w:val="20"/>
        </w:rPr>
        <w:t>o</w:t>
      </w:r>
      <w:r w:rsidR="0099120B" w:rsidRPr="00AC4AEA">
        <w:rPr>
          <w:rFonts w:ascii="Arial" w:hAnsi="Arial" w:cs="Arial"/>
          <w:sz w:val="20"/>
          <w:szCs w:val="20"/>
        </w:rPr>
        <w:t>lo si tal cambio:</w:t>
      </w:r>
      <w:bookmarkEnd w:id="98"/>
    </w:p>
    <w:p w:rsidR="0099120B" w:rsidRPr="00AC4AEA" w:rsidRDefault="007F315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es </w:t>
      </w:r>
      <w:r w:rsidR="0061638F" w:rsidRPr="00AC4AEA">
        <w:rPr>
          <w:rFonts w:ascii="Arial" w:hAnsi="Arial" w:cs="Arial"/>
          <w:sz w:val="20"/>
          <w:szCs w:val="20"/>
        </w:rPr>
        <w:t>requerido</w:t>
      </w:r>
      <w:r w:rsidR="0099120B" w:rsidRPr="00AC4AEA">
        <w:rPr>
          <w:rFonts w:ascii="Arial" w:hAnsi="Arial" w:cs="Arial"/>
          <w:sz w:val="20"/>
          <w:szCs w:val="20"/>
        </w:rPr>
        <w:t xml:space="preserve"> </w:t>
      </w:r>
      <w:r w:rsidR="0061638F" w:rsidRPr="00AC4AEA">
        <w:rPr>
          <w:rFonts w:ascii="Arial" w:hAnsi="Arial" w:cs="Arial"/>
          <w:sz w:val="20"/>
          <w:szCs w:val="20"/>
        </w:rPr>
        <w:t xml:space="preserve">por </w:t>
      </w:r>
      <w:r w:rsidR="003E7BBC" w:rsidRPr="00AC4AEA">
        <w:rPr>
          <w:rFonts w:ascii="Arial" w:hAnsi="Arial" w:cs="Arial"/>
          <w:sz w:val="20"/>
          <w:szCs w:val="20"/>
        </w:rPr>
        <w:t xml:space="preserve">esta Resolución Técnica </w:t>
      </w:r>
      <w:r w:rsidR="00C33BBE" w:rsidRPr="00AC4AEA">
        <w:rPr>
          <w:rFonts w:ascii="Arial" w:hAnsi="Arial" w:cs="Arial"/>
          <w:sz w:val="20"/>
          <w:szCs w:val="20"/>
        </w:rPr>
        <w:t>u</w:t>
      </w:r>
      <w:r w:rsidR="003E7BBC" w:rsidRPr="00AC4AEA">
        <w:rPr>
          <w:rFonts w:ascii="Arial" w:hAnsi="Arial" w:cs="Arial"/>
          <w:sz w:val="20"/>
          <w:szCs w:val="20"/>
        </w:rPr>
        <w:t xml:space="preserve"> </w:t>
      </w:r>
      <w:r w:rsidR="003E7BBC" w:rsidRPr="00AC4AEA">
        <w:rPr>
          <w:rFonts w:ascii="Arial" w:hAnsi="Arial" w:cs="Arial"/>
          <w:b/>
          <w:bCs/>
          <w:sz w:val="20"/>
          <w:szCs w:val="20"/>
        </w:rPr>
        <w:t>otras normas contables</w:t>
      </w:r>
      <w:r w:rsidRPr="00AC4AEA">
        <w:rPr>
          <w:rFonts w:ascii="Arial" w:hAnsi="Arial" w:cs="Arial"/>
          <w:sz w:val="20"/>
          <w:szCs w:val="20"/>
        </w:rPr>
        <w:t>;</w:t>
      </w:r>
      <w:r w:rsidR="00492CA5" w:rsidRPr="00AC4AEA">
        <w:rPr>
          <w:rFonts w:ascii="Arial" w:hAnsi="Arial" w:cs="Arial"/>
          <w:sz w:val="20"/>
          <w:szCs w:val="20"/>
        </w:rPr>
        <w:t xml:space="preserve"> </w:t>
      </w:r>
      <w:r w:rsidR="0099120B" w:rsidRPr="00AC4AEA">
        <w:rPr>
          <w:rFonts w:ascii="Arial" w:hAnsi="Arial" w:cs="Arial"/>
          <w:sz w:val="20"/>
          <w:szCs w:val="20"/>
        </w:rPr>
        <w:t>o</w:t>
      </w:r>
    </w:p>
    <w:p w:rsidR="0099120B" w:rsidRPr="00AC4AEA" w:rsidRDefault="0071477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es admitido por </w:t>
      </w:r>
      <w:r w:rsidR="003E7BBC" w:rsidRPr="00AC4AEA">
        <w:rPr>
          <w:rFonts w:ascii="Arial" w:hAnsi="Arial" w:cs="Arial"/>
          <w:sz w:val="20"/>
          <w:szCs w:val="20"/>
        </w:rPr>
        <w:t xml:space="preserve">esta Resolución Técnica </w:t>
      </w:r>
      <w:r w:rsidR="00C33BBE" w:rsidRPr="00AC4AEA">
        <w:rPr>
          <w:rFonts w:ascii="Arial" w:hAnsi="Arial" w:cs="Arial"/>
          <w:sz w:val="20"/>
          <w:szCs w:val="20"/>
        </w:rPr>
        <w:t>u</w:t>
      </w:r>
      <w:r w:rsidR="003E7BBC" w:rsidRPr="00AC4AEA">
        <w:rPr>
          <w:rFonts w:ascii="Arial" w:hAnsi="Arial" w:cs="Arial"/>
          <w:sz w:val="20"/>
          <w:szCs w:val="20"/>
        </w:rPr>
        <w:t xml:space="preserve"> </w:t>
      </w:r>
      <w:r w:rsidR="003E7BBC" w:rsidRPr="00AC4AEA">
        <w:rPr>
          <w:rFonts w:ascii="Arial" w:hAnsi="Arial" w:cs="Arial"/>
          <w:b/>
          <w:bCs/>
          <w:sz w:val="20"/>
          <w:szCs w:val="20"/>
        </w:rPr>
        <w:t xml:space="preserve">otras normas </w:t>
      </w:r>
      <w:r w:rsidR="00352F57" w:rsidRPr="00AC4AEA">
        <w:rPr>
          <w:rFonts w:ascii="Arial" w:hAnsi="Arial" w:cs="Arial"/>
          <w:b/>
          <w:bCs/>
          <w:sz w:val="20"/>
          <w:szCs w:val="20"/>
        </w:rPr>
        <w:t xml:space="preserve">contables </w:t>
      </w:r>
      <w:r w:rsidR="00352F57" w:rsidRPr="00AC4AEA">
        <w:rPr>
          <w:rFonts w:ascii="Arial" w:hAnsi="Arial" w:cs="Arial"/>
          <w:sz w:val="20"/>
          <w:szCs w:val="20"/>
        </w:rPr>
        <w:t>y</w:t>
      </w:r>
      <w:r w:rsidRPr="00AC4AEA">
        <w:rPr>
          <w:rFonts w:ascii="Arial" w:hAnsi="Arial" w:cs="Arial"/>
          <w:sz w:val="20"/>
          <w:szCs w:val="20"/>
        </w:rPr>
        <w:t xml:space="preserve"> permite</w:t>
      </w:r>
      <w:r w:rsidR="007F315E" w:rsidRPr="00AC4AEA">
        <w:rPr>
          <w:rFonts w:ascii="Arial" w:hAnsi="Arial" w:cs="Arial"/>
          <w:sz w:val="20"/>
          <w:szCs w:val="20"/>
        </w:rPr>
        <w:t xml:space="preserve"> </w:t>
      </w:r>
      <w:r w:rsidRPr="00AC4AEA">
        <w:rPr>
          <w:rFonts w:ascii="Arial" w:hAnsi="Arial" w:cs="Arial"/>
          <w:sz w:val="20"/>
          <w:szCs w:val="20"/>
        </w:rPr>
        <w:t xml:space="preserve">un mejor cumplimiento de los </w:t>
      </w:r>
      <w:r w:rsidRPr="00AC4AEA">
        <w:rPr>
          <w:rFonts w:ascii="Arial" w:hAnsi="Arial" w:cs="Arial"/>
          <w:b/>
          <w:bCs/>
          <w:sz w:val="20"/>
          <w:szCs w:val="20"/>
        </w:rPr>
        <w:t xml:space="preserve">requisitos de la información contenida en los </w:t>
      </w:r>
      <w:r w:rsidR="00135084" w:rsidRPr="00AC4AEA">
        <w:rPr>
          <w:rFonts w:ascii="Arial" w:hAnsi="Arial" w:cs="Arial"/>
          <w:b/>
          <w:bCs/>
          <w:sz w:val="20"/>
          <w:szCs w:val="20"/>
        </w:rPr>
        <w:t>estados contables</w:t>
      </w:r>
      <w:r w:rsidRPr="00AC4AEA">
        <w:rPr>
          <w:rFonts w:ascii="Arial" w:hAnsi="Arial" w:cs="Arial"/>
          <w:sz w:val="20"/>
          <w:szCs w:val="20"/>
        </w:rPr>
        <w:t>.</w:t>
      </w:r>
    </w:p>
    <w:p w:rsidR="005E1D49" w:rsidRPr="00AC4AEA" w:rsidRDefault="005E1D4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una entidad cambie una </w:t>
      </w:r>
      <w:r w:rsidR="00596F3F" w:rsidRPr="00AC4AEA">
        <w:rPr>
          <w:rFonts w:ascii="Arial" w:hAnsi="Arial" w:cs="Arial"/>
          <w:b/>
          <w:bCs/>
          <w:sz w:val="20"/>
          <w:szCs w:val="20"/>
        </w:rPr>
        <w:t>política contable</w:t>
      </w:r>
      <w:r w:rsidRPr="00AC4AEA">
        <w:rPr>
          <w:rFonts w:ascii="Arial" w:hAnsi="Arial" w:cs="Arial"/>
          <w:sz w:val="20"/>
          <w:szCs w:val="20"/>
        </w:rPr>
        <w:t xml:space="preserve"> aplicará </w:t>
      </w:r>
      <w:r w:rsidR="00A102B4" w:rsidRPr="00AC4AEA">
        <w:rPr>
          <w:rFonts w:ascii="Arial" w:hAnsi="Arial" w:cs="Arial"/>
          <w:sz w:val="20"/>
          <w:szCs w:val="20"/>
        </w:rPr>
        <w:t xml:space="preserve">dicha modificación </w:t>
      </w:r>
      <w:r w:rsidRPr="00AC4AEA">
        <w:rPr>
          <w:rFonts w:ascii="Arial" w:hAnsi="Arial" w:cs="Arial"/>
          <w:sz w:val="20"/>
          <w:szCs w:val="20"/>
        </w:rPr>
        <w:t xml:space="preserve">retroactivamente, excepto que una sección específica de </w:t>
      </w:r>
      <w:r w:rsidR="002938D7" w:rsidRPr="00AC4AEA">
        <w:rPr>
          <w:rFonts w:ascii="Arial" w:hAnsi="Arial" w:cs="Arial"/>
          <w:sz w:val="20"/>
          <w:szCs w:val="20"/>
        </w:rPr>
        <w:t xml:space="preserve">esta Resolución Técnica </w:t>
      </w:r>
      <w:r w:rsidR="00C33BBE" w:rsidRPr="00AC4AEA">
        <w:rPr>
          <w:rFonts w:ascii="Arial" w:hAnsi="Arial" w:cs="Arial"/>
          <w:sz w:val="20"/>
          <w:szCs w:val="20"/>
        </w:rPr>
        <w:t>u</w:t>
      </w:r>
      <w:r w:rsidR="002938D7" w:rsidRPr="00AC4AEA">
        <w:rPr>
          <w:rFonts w:ascii="Arial" w:hAnsi="Arial" w:cs="Arial"/>
          <w:sz w:val="20"/>
          <w:szCs w:val="20"/>
        </w:rPr>
        <w:t xml:space="preserve"> </w:t>
      </w:r>
      <w:r w:rsidR="002938D7" w:rsidRPr="00AC4AEA">
        <w:rPr>
          <w:rFonts w:ascii="Arial" w:hAnsi="Arial" w:cs="Arial"/>
          <w:b/>
          <w:bCs/>
          <w:sz w:val="20"/>
          <w:szCs w:val="20"/>
        </w:rPr>
        <w:t xml:space="preserve">otras normas </w:t>
      </w:r>
      <w:r w:rsidR="00352F57" w:rsidRPr="00AC4AEA">
        <w:rPr>
          <w:rFonts w:ascii="Arial" w:hAnsi="Arial" w:cs="Arial"/>
          <w:b/>
          <w:bCs/>
          <w:sz w:val="20"/>
          <w:szCs w:val="20"/>
        </w:rPr>
        <w:t xml:space="preserve">contables </w:t>
      </w:r>
      <w:r w:rsidR="00352F57" w:rsidRPr="00AC4AEA">
        <w:rPr>
          <w:rFonts w:ascii="Arial" w:hAnsi="Arial" w:cs="Arial"/>
          <w:sz w:val="20"/>
          <w:szCs w:val="20"/>
        </w:rPr>
        <w:t>prescriban</w:t>
      </w:r>
      <w:r w:rsidR="002D5B71" w:rsidRPr="00AC4AEA">
        <w:rPr>
          <w:rFonts w:ascii="Arial" w:hAnsi="Arial" w:cs="Arial"/>
          <w:sz w:val="20"/>
          <w:szCs w:val="20"/>
        </w:rPr>
        <w:t xml:space="preserve"> </w:t>
      </w:r>
      <w:r w:rsidRPr="00AC4AEA">
        <w:rPr>
          <w:rFonts w:ascii="Arial" w:hAnsi="Arial" w:cs="Arial"/>
          <w:sz w:val="20"/>
          <w:szCs w:val="20"/>
        </w:rPr>
        <w:t>un tratamiento diferente.</w:t>
      </w:r>
    </w:p>
    <w:p w:rsidR="00A44263" w:rsidRPr="00AC4AEA" w:rsidRDefault="00A4426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podrá aplicar anticipadamente una nueva </w:t>
      </w:r>
      <w:r w:rsidR="0006641C" w:rsidRPr="00AC4AEA">
        <w:rPr>
          <w:rFonts w:ascii="Arial" w:hAnsi="Arial" w:cs="Arial"/>
          <w:sz w:val="20"/>
          <w:szCs w:val="20"/>
        </w:rPr>
        <w:t>r</w:t>
      </w:r>
      <w:r w:rsidRPr="00AC4AEA">
        <w:rPr>
          <w:rFonts w:ascii="Arial" w:hAnsi="Arial" w:cs="Arial"/>
          <w:sz w:val="20"/>
          <w:szCs w:val="20"/>
        </w:rPr>
        <w:t xml:space="preserve">esolución </w:t>
      </w:r>
      <w:r w:rsidR="0006641C" w:rsidRPr="00AC4AEA">
        <w:rPr>
          <w:rFonts w:ascii="Arial" w:hAnsi="Arial" w:cs="Arial"/>
          <w:sz w:val="20"/>
          <w:szCs w:val="20"/>
        </w:rPr>
        <w:t>t</w:t>
      </w:r>
      <w:r w:rsidRPr="00AC4AEA">
        <w:rPr>
          <w:rFonts w:ascii="Arial" w:hAnsi="Arial" w:cs="Arial"/>
          <w:sz w:val="20"/>
          <w:szCs w:val="20"/>
        </w:rPr>
        <w:t>écnica</w:t>
      </w:r>
      <w:r w:rsidR="002938D7" w:rsidRPr="00AC4AEA">
        <w:rPr>
          <w:rFonts w:ascii="Arial" w:hAnsi="Arial" w:cs="Arial"/>
          <w:sz w:val="20"/>
          <w:szCs w:val="20"/>
        </w:rPr>
        <w:t>,</w:t>
      </w:r>
      <w:r w:rsidR="004E2760" w:rsidRPr="00AC4AEA">
        <w:rPr>
          <w:rFonts w:ascii="Arial" w:hAnsi="Arial" w:cs="Arial"/>
          <w:sz w:val="20"/>
          <w:szCs w:val="20"/>
        </w:rPr>
        <w:t xml:space="preserve"> interpretación,</w:t>
      </w:r>
      <w:r w:rsidR="002938D7" w:rsidRPr="00AC4AEA">
        <w:rPr>
          <w:rFonts w:ascii="Arial" w:hAnsi="Arial" w:cs="Arial"/>
          <w:sz w:val="20"/>
          <w:szCs w:val="20"/>
        </w:rPr>
        <w:t xml:space="preserve"> </w:t>
      </w:r>
      <w:r w:rsidRPr="00AC4AEA">
        <w:rPr>
          <w:rFonts w:ascii="Arial" w:hAnsi="Arial" w:cs="Arial"/>
          <w:sz w:val="20"/>
          <w:szCs w:val="20"/>
        </w:rPr>
        <w:t>o la modificación de una existente en la medida en que tales normas no dispongan lo contrario</w:t>
      </w:r>
      <w:r w:rsidR="006224E2" w:rsidRPr="00AC4AEA">
        <w:rPr>
          <w:rFonts w:ascii="Arial" w:hAnsi="Arial" w:cs="Arial"/>
          <w:sz w:val="20"/>
          <w:szCs w:val="20"/>
        </w:rPr>
        <w:t>.</w:t>
      </w:r>
    </w:p>
    <w:p w:rsidR="00A44263" w:rsidRPr="00AC4AEA" w:rsidRDefault="00A44263" w:rsidP="00A318EA">
      <w:pPr>
        <w:pStyle w:val="Prrafodelista"/>
        <w:numPr>
          <w:ilvl w:val="0"/>
          <w:numId w:val="29"/>
        </w:numPr>
        <w:contextualSpacing w:val="0"/>
        <w:jc w:val="both"/>
        <w:rPr>
          <w:rFonts w:ascii="Arial" w:hAnsi="Arial" w:cs="Arial"/>
          <w:sz w:val="20"/>
          <w:szCs w:val="20"/>
        </w:rPr>
      </w:pPr>
      <w:bookmarkStart w:id="99" w:name="_Ref138966538"/>
      <w:r w:rsidRPr="00AC4AEA">
        <w:rPr>
          <w:rFonts w:ascii="Arial" w:hAnsi="Arial" w:cs="Arial"/>
          <w:sz w:val="20"/>
          <w:szCs w:val="20"/>
        </w:rPr>
        <w:lastRenderedPageBreak/>
        <w:t>Una entidad revelará en notas:</w:t>
      </w:r>
      <w:bookmarkEnd w:id="99"/>
    </w:p>
    <w:p w:rsidR="00A44263" w:rsidRPr="00AC4AEA" w:rsidRDefault="00A4426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cambios introducidos en sus </w:t>
      </w:r>
      <w:r w:rsidR="00135084" w:rsidRPr="00AC4AEA">
        <w:rPr>
          <w:rFonts w:ascii="Arial" w:hAnsi="Arial" w:cs="Arial"/>
          <w:b/>
          <w:bCs/>
          <w:sz w:val="20"/>
          <w:szCs w:val="20"/>
        </w:rPr>
        <w:t>políticas contables</w:t>
      </w:r>
      <w:r w:rsidRPr="00AC4AEA">
        <w:rPr>
          <w:rFonts w:ascii="Arial" w:hAnsi="Arial" w:cs="Arial"/>
          <w:sz w:val="20"/>
          <w:szCs w:val="20"/>
        </w:rPr>
        <w:t>; y</w:t>
      </w:r>
    </w:p>
    <w:p w:rsidR="00654D00" w:rsidRPr="00AC4AEA" w:rsidRDefault="00A4426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motivos para realizar los cambios previstos en el inciso b) del párrafo </w:t>
      </w:r>
      <w:fldSimple w:instr=" REF _Ref77187714 \r \h  \* MERGEFORMAT ">
        <w:r w:rsidR="00D33A5D" w:rsidRPr="00D33A5D">
          <w:rPr>
            <w:rFonts w:ascii="Arial" w:hAnsi="Arial" w:cs="Arial"/>
            <w:sz w:val="20"/>
            <w:szCs w:val="20"/>
          </w:rPr>
          <w:t>84</w:t>
        </w:r>
      </w:fldSimple>
      <w:r w:rsidR="00715BD2" w:rsidRPr="00AC4AEA">
        <w:rPr>
          <w:rFonts w:ascii="Arial" w:hAnsi="Arial" w:cs="Arial"/>
          <w:sz w:val="20"/>
          <w:szCs w:val="20"/>
        </w:rPr>
        <w:t>.</w:t>
      </w:r>
    </w:p>
    <w:p w:rsidR="00547F0A" w:rsidRPr="00AC4AEA" w:rsidRDefault="00D35D64" w:rsidP="00A318EA">
      <w:pPr>
        <w:pStyle w:val="Prrafodelista"/>
        <w:numPr>
          <w:ilvl w:val="0"/>
          <w:numId w:val="29"/>
        </w:numPr>
        <w:contextualSpacing w:val="0"/>
        <w:jc w:val="both"/>
        <w:rPr>
          <w:rFonts w:ascii="Arial" w:hAnsi="Arial" w:cs="Arial"/>
          <w:sz w:val="20"/>
          <w:szCs w:val="20"/>
        </w:rPr>
      </w:pPr>
      <w:bookmarkStart w:id="100" w:name="_Ref136248346"/>
      <w:r w:rsidRPr="00AC4AEA">
        <w:rPr>
          <w:rFonts w:ascii="Arial" w:hAnsi="Arial" w:cs="Arial"/>
          <w:sz w:val="20"/>
          <w:szCs w:val="20"/>
        </w:rPr>
        <w:t>Una entidad considerará que</w:t>
      </w:r>
      <w:r w:rsidR="00547F0A" w:rsidRPr="00AC4AEA">
        <w:rPr>
          <w:rFonts w:ascii="Arial" w:hAnsi="Arial" w:cs="Arial"/>
          <w:sz w:val="20"/>
          <w:szCs w:val="20"/>
        </w:rPr>
        <w:t xml:space="preserve"> siguientes situaciones no constituyen cambios en las </w:t>
      </w:r>
      <w:r w:rsidR="00135084" w:rsidRPr="00AC4AEA">
        <w:rPr>
          <w:rFonts w:ascii="Arial" w:hAnsi="Arial" w:cs="Arial"/>
          <w:b/>
          <w:bCs/>
          <w:sz w:val="20"/>
          <w:szCs w:val="20"/>
        </w:rPr>
        <w:t>políticas contables</w:t>
      </w:r>
      <w:r w:rsidR="00547F0A" w:rsidRPr="00AC4AEA">
        <w:rPr>
          <w:rFonts w:ascii="Arial" w:hAnsi="Arial" w:cs="Arial"/>
          <w:sz w:val="20"/>
          <w:szCs w:val="20"/>
        </w:rPr>
        <w:t>:</w:t>
      </w:r>
      <w:bookmarkEnd w:id="100"/>
    </w:p>
    <w:p w:rsidR="00547F0A" w:rsidRPr="00AC4AEA" w:rsidRDefault="00D35D6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547F0A" w:rsidRPr="00AC4AEA">
        <w:rPr>
          <w:rFonts w:ascii="Arial" w:hAnsi="Arial" w:cs="Arial"/>
          <w:sz w:val="20"/>
          <w:szCs w:val="20"/>
        </w:rPr>
        <w:t xml:space="preserve">a aplicación de una </w:t>
      </w:r>
      <w:r w:rsidR="00596F3F" w:rsidRPr="00AC4AEA">
        <w:rPr>
          <w:rFonts w:ascii="Arial" w:hAnsi="Arial" w:cs="Arial"/>
          <w:b/>
          <w:bCs/>
          <w:sz w:val="20"/>
          <w:szCs w:val="20"/>
        </w:rPr>
        <w:t>política contable</w:t>
      </w:r>
      <w:r w:rsidR="00547F0A" w:rsidRPr="00AC4AEA">
        <w:rPr>
          <w:rFonts w:ascii="Arial" w:hAnsi="Arial" w:cs="Arial"/>
          <w:sz w:val="20"/>
          <w:szCs w:val="20"/>
        </w:rPr>
        <w:t xml:space="preserve"> para transacciones, otros </w:t>
      </w:r>
      <w:r w:rsidR="008F40C8" w:rsidRPr="00AC4AEA">
        <w:rPr>
          <w:rFonts w:ascii="Arial" w:hAnsi="Arial" w:cs="Arial"/>
          <w:sz w:val="20"/>
          <w:szCs w:val="20"/>
        </w:rPr>
        <w:t xml:space="preserve">eventos </w:t>
      </w:r>
      <w:r w:rsidR="00547F0A" w:rsidRPr="00AC4AEA">
        <w:rPr>
          <w:rFonts w:ascii="Arial" w:hAnsi="Arial" w:cs="Arial"/>
          <w:sz w:val="20"/>
          <w:szCs w:val="20"/>
        </w:rPr>
        <w:t>o condiciones que difieren sustancialmente de los ocurridos con anterioridad</w:t>
      </w:r>
      <w:r w:rsidRPr="00AC4AEA">
        <w:rPr>
          <w:rFonts w:ascii="Arial" w:hAnsi="Arial" w:cs="Arial"/>
          <w:sz w:val="20"/>
          <w:szCs w:val="20"/>
        </w:rPr>
        <w:t>;</w:t>
      </w:r>
      <w:r w:rsidR="000D68C8" w:rsidRPr="00AC4AEA">
        <w:rPr>
          <w:rFonts w:ascii="Arial" w:hAnsi="Arial" w:cs="Arial"/>
          <w:sz w:val="20"/>
          <w:szCs w:val="20"/>
        </w:rPr>
        <w:t xml:space="preserve"> </w:t>
      </w:r>
    </w:p>
    <w:p w:rsidR="00547F0A" w:rsidRPr="00AC4AEA" w:rsidRDefault="00D35D6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547F0A" w:rsidRPr="00AC4AEA">
        <w:rPr>
          <w:rFonts w:ascii="Arial" w:hAnsi="Arial" w:cs="Arial"/>
          <w:sz w:val="20"/>
          <w:szCs w:val="20"/>
        </w:rPr>
        <w:t xml:space="preserve">a aplicación de una nueva </w:t>
      </w:r>
      <w:r w:rsidR="00596F3F" w:rsidRPr="00AC4AEA">
        <w:rPr>
          <w:rFonts w:ascii="Arial" w:hAnsi="Arial" w:cs="Arial"/>
          <w:b/>
          <w:bCs/>
          <w:sz w:val="20"/>
          <w:szCs w:val="20"/>
        </w:rPr>
        <w:t>política contable</w:t>
      </w:r>
      <w:r w:rsidR="00547F0A" w:rsidRPr="00AC4AEA">
        <w:rPr>
          <w:rFonts w:ascii="Arial" w:hAnsi="Arial" w:cs="Arial"/>
          <w:sz w:val="20"/>
          <w:szCs w:val="20"/>
        </w:rPr>
        <w:t xml:space="preserve"> para transacciones, otros </w:t>
      </w:r>
      <w:r w:rsidR="008F40C8" w:rsidRPr="00AC4AEA">
        <w:rPr>
          <w:rFonts w:ascii="Arial" w:hAnsi="Arial" w:cs="Arial"/>
          <w:sz w:val="20"/>
          <w:szCs w:val="20"/>
        </w:rPr>
        <w:t xml:space="preserve">eventos </w:t>
      </w:r>
      <w:r w:rsidR="00547F0A" w:rsidRPr="00AC4AEA">
        <w:rPr>
          <w:rFonts w:ascii="Arial" w:hAnsi="Arial" w:cs="Arial"/>
          <w:sz w:val="20"/>
          <w:szCs w:val="20"/>
        </w:rPr>
        <w:t>o condiciones que no ocurrieron anteriormente</w:t>
      </w:r>
      <w:r w:rsidR="00B70A51" w:rsidRPr="00AC4AEA">
        <w:rPr>
          <w:rFonts w:ascii="Arial" w:hAnsi="Arial" w:cs="Arial"/>
          <w:sz w:val="20"/>
          <w:szCs w:val="20"/>
        </w:rPr>
        <w:t xml:space="preserve"> o no eran </w:t>
      </w:r>
      <w:r w:rsidR="00547F0A" w:rsidRPr="00AC4AEA">
        <w:rPr>
          <w:rFonts w:ascii="Arial" w:hAnsi="Arial" w:cs="Arial"/>
          <w:sz w:val="20"/>
          <w:szCs w:val="20"/>
        </w:rPr>
        <w:t>significativos</w:t>
      </w:r>
      <w:r w:rsidRPr="00AC4AEA">
        <w:rPr>
          <w:rFonts w:ascii="Arial" w:hAnsi="Arial" w:cs="Arial"/>
          <w:sz w:val="20"/>
          <w:szCs w:val="20"/>
        </w:rPr>
        <w:t>; o</w:t>
      </w:r>
    </w:p>
    <w:p w:rsidR="00D35D64" w:rsidRPr="00AC4AEA" w:rsidRDefault="00D35D6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aplicación de una </w:t>
      </w:r>
      <w:r w:rsidRPr="00AC4AEA">
        <w:rPr>
          <w:rFonts w:ascii="Arial" w:hAnsi="Arial" w:cs="Arial"/>
          <w:b/>
          <w:bCs/>
          <w:sz w:val="20"/>
          <w:szCs w:val="20"/>
        </w:rPr>
        <w:t>política contable</w:t>
      </w:r>
      <w:r w:rsidRPr="00AC4AEA">
        <w:rPr>
          <w:rFonts w:ascii="Arial" w:hAnsi="Arial" w:cs="Arial"/>
          <w:sz w:val="20"/>
          <w:szCs w:val="20"/>
        </w:rPr>
        <w:t xml:space="preserve"> diferente debido a que la entidad cambió su categoría, conforme a la clasificación del párrafo </w:t>
      </w:r>
      <w:r w:rsidR="001C4138">
        <w:rPr>
          <w:rFonts w:ascii="Arial" w:hAnsi="Arial" w:cs="Arial"/>
          <w:sz w:val="20"/>
          <w:szCs w:val="20"/>
        </w:rPr>
        <w:fldChar w:fldCharType="begin"/>
      </w:r>
      <w:r w:rsidR="00D65A64">
        <w:rPr>
          <w:rFonts w:ascii="Arial" w:hAnsi="Arial" w:cs="Arial"/>
          <w:sz w:val="20"/>
          <w:szCs w:val="20"/>
        </w:rPr>
        <w:instrText xml:space="preserve"> REF _Ref132041192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w:t>
      </w:r>
      <w:r w:rsidR="001C4138">
        <w:rPr>
          <w:rFonts w:ascii="Arial" w:hAnsi="Arial" w:cs="Arial"/>
          <w:sz w:val="20"/>
          <w:szCs w:val="20"/>
        </w:rPr>
        <w:fldChar w:fldCharType="end"/>
      </w:r>
      <w:r w:rsidRPr="00AC4AEA">
        <w:rPr>
          <w:rFonts w:ascii="Arial" w:hAnsi="Arial" w:cs="Arial"/>
          <w:sz w:val="20"/>
          <w:szCs w:val="20"/>
        </w:rPr>
        <w:t>.</w:t>
      </w:r>
    </w:p>
    <w:p w:rsidR="00D720B2" w:rsidRPr="00AC4AEA" w:rsidRDefault="008101AC" w:rsidP="00A318EA">
      <w:pPr>
        <w:pStyle w:val="Prrafodelista"/>
        <w:numPr>
          <w:ilvl w:val="0"/>
          <w:numId w:val="29"/>
        </w:numPr>
        <w:contextualSpacing w:val="0"/>
        <w:jc w:val="both"/>
        <w:rPr>
          <w:rFonts w:ascii="Arial" w:hAnsi="Arial" w:cs="Arial"/>
          <w:sz w:val="20"/>
          <w:szCs w:val="20"/>
        </w:rPr>
      </w:pPr>
      <w:bookmarkStart w:id="101" w:name="_Ref99480171"/>
      <w:r w:rsidRPr="00AC4AEA">
        <w:rPr>
          <w:rFonts w:ascii="Arial" w:hAnsi="Arial" w:cs="Arial"/>
          <w:sz w:val="20"/>
          <w:szCs w:val="20"/>
        </w:rPr>
        <w:t>La aplicación por primera vez de</w:t>
      </w:r>
      <w:r w:rsidR="00C33BBE" w:rsidRPr="00AC4AEA">
        <w:rPr>
          <w:rFonts w:ascii="Arial" w:hAnsi="Arial" w:cs="Arial"/>
          <w:sz w:val="20"/>
          <w:szCs w:val="20"/>
        </w:rPr>
        <w:t xml:space="preserve"> la </w:t>
      </w:r>
      <w:r w:rsidR="00C33BBE" w:rsidRPr="00AC4AEA">
        <w:rPr>
          <w:rFonts w:ascii="Arial" w:hAnsi="Arial" w:cs="Arial"/>
          <w:b/>
          <w:bCs/>
          <w:sz w:val="20"/>
          <w:szCs w:val="20"/>
        </w:rPr>
        <w:t>política contable</w:t>
      </w:r>
      <w:r w:rsidR="00C33BBE" w:rsidRPr="00AC4AEA">
        <w:rPr>
          <w:rFonts w:ascii="Arial" w:hAnsi="Arial" w:cs="Arial"/>
          <w:sz w:val="20"/>
          <w:szCs w:val="20"/>
        </w:rPr>
        <w:t xml:space="preserve"> establecida</w:t>
      </w:r>
      <w:r w:rsidRPr="00AC4AEA">
        <w:rPr>
          <w:rFonts w:ascii="Arial" w:hAnsi="Arial" w:cs="Arial"/>
          <w:sz w:val="20"/>
          <w:szCs w:val="20"/>
        </w:rPr>
        <w:t xml:space="preserve"> </w:t>
      </w:r>
      <w:r w:rsidR="001342C9" w:rsidRPr="00AC4AEA">
        <w:rPr>
          <w:rFonts w:ascii="Arial" w:hAnsi="Arial" w:cs="Arial"/>
          <w:sz w:val="20"/>
          <w:szCs w:val="20"/>
        </w:rPr>
        <w:t xml:space="preserve">en </w:t>
      </w:r>
      <w:r w:rsidR="00527265" w:rsidRPr="00AC4AEA">
        <w:rPr>
          <w:rFonts w:ascii="Arial" w:hAnsi="Arial" w:cs="Arial"/>
          <w:sz w:val="20"/>
          <w:szCs w:val="20"/>
        </w:rPr>
        <w:t>el apartado</w:t>
      </w:r>
      <w:r w:rsidR="001342C9" w:rsidRPr="00AC4AEA">
        <w:rPr>
          <w:rFonts w:ascii="Arial" w:hAnsi="Arial" w:cs="Arial"/>
          <w:sz w:val="20"/>
          <w:szCs w:val="20"/>
        </w:rPr>
        <w:t xml:space="preserve"> “</w:t>
      </w:r>
      <w:r w:rsidR="0041185C" w:rsidRPr="00AC4AEA">
        <w:rPr>
          <w:rFonts w:ascii="Arial" w:hAnsi="Arial" w:cs="Arial"/>
          <w:sz w:val="20"/>
          <w:szCs w:val="20"/>
          <w:u w:val="single"/>
        </w:rPr>
        <w:t>M</w:t>
      </w:r>
      <w:r w:rsidR="001342C9" w:rsidRPr="00AC4AEA">
        <w:rPr>
          <w:rFonts w:ascii="Arial" w:hAnsi="Arial" w:cs="Arial"/>
          <w:sz w:val="20"/>
          <w:szCs w:val="20"/>
          <w:u w:val="single"/>
        </w:rPr>
        <w:t>odelo de revaluación</w:t>
      </w:r>
      <w:r w:rsidR="001342C9" w:rsidRPr="00AC4AEA">
        <w:rPr>
          <w:rFonts w:ascii="Arial" w:hAnsi="Arial" w:cs="Arial"/>
          <w:sz w:val="20"/>
          <w:szCs w:val="20"/>
        </w:rPr>
        <w:t>”</w:t>
      </w:r>
      <w:r w:rsidRPr="00AC4AEA">
        <w:rPr>
          <w:rFonts w:ascii="Arial" w:hAnsi="Arial" w:cs="Arial"/>
          <w:sz w:val="20"/>
          <w:szCs w:val="20"/>
        </w:rPr>
        <w:t xml:space="preserve"> </w:t>
      </w:r>
      <w:r w:rsidR="00D16680" w:rsidRPr="00AC4AEA">
        <w:rPr>
          <w:rFonts w:ascii="Arial" w:hAnsi="Arial" w:cs="Arial"/>
          <w:sz w:val="20"/>
          <w:szCs w:val="20"/>
        </w:rPr>
        <w:t xml:space="preserve">[ver </w:t>
      </w:r>
      <w:r w:rsidR="00527265" w:rsidRPr="00AC4AEA">
        <w:rPr>
          <w:rFonts w:ascii="Arial" w:hAnsi="Arial" w:cs="Arial"/>
          <w:sz w:val="20"/>
          <w:szCs w:val="20"/>
        </w:rPr>
        <w:t xml:space="preserve">los </w:t>
      </w:r>
      <w:r w:rsidR="00D16680" w:rsidRPr="00AC4AEA">
        <w:rPr>
          <w:rFonts w:ascii="Arial" w:hAnsi="Arial" w:cs="Arial"/>
          <w:sz w:val="20"/>
          <w:szCs w:val="20"/>
        </w:rPr>
        <w:t xml:space="preserve">párrafos </w:t>
      </w:r>
      <w:fldSimple w:instr=" REF _Ref99458042 \r \h  \* MERGEFORMAT ">
        <w:r w:rsidR="00D33A5D" w:rsidRPr="00D33A5D">
          <w:rPr>
            <w:rFonts w:ascii="Arial" w:hAnsi="Arial" w:cs="Arial"/>
            <w:sz w:val="20"/>
            <w:szCs w:val="20"/>
          </w:rPr>
          <w:t>322</w:t>
        </w:r>
      </w:fldSimple>
      <w:r w:rsidR="00D16680" w:rsidRPr="00AC4AEA">
        <w:rPr>
          <w:rFonts w:ascii="Arial" w:hAnsi="Arial" w:cs="Arial"/>
          <w:sz w:val="20"/>
          <w:szCs w:val="20"/>
        </w:rPr>
        <w:t xml:space="preserve"> a </w:t>
      </w:r>
      <w:fldSimple w:instr=" REF _Ref99458064 \r \h  \* MERGEFORMAT ">
        <w:r w:rsidR="00D33A5D" w:rsidRPr="00D33A5D">
          <w:rPr>
            <w:rFonts w:ascii="Arial" w:hAnsi="Arial" w:cs="Arial"/>
            <w:sz w:val="20"/>
            <w:szCs w:val="20"/>
          </w:rPr>
          <w:t>338</w:t>
        </w:r>
      </w:fldSimple>
      <w:r w:rsidR="00D16680" w:rsidRPr="00AC4AEA">
        <w:rPr>
          <w:rFonts w:ascii="Arial" w:hAnsi="Arial" w:cs="Arial"/>
          <w:sz w:val="20"/>
          <w:szCs w:val="20"/>
        </w:rPr>
        <w:t xml:space="preserve">] </w:t>
      </w:r>
      <w:r w:rsidRPr="00AC4AEA">
        <w:rPr>
          <w:rFonts w:ascii="Arial" w:hAnsi="Arial" w:cs="Arial"/>
          <w:sz w:val="20"/>
          <w:szCs w:val="20"/>
        </w:rPr>
        <w:t>se contabilizará de forma prospectiva.</w:t>
      </w:r>
      <w:bookmarkEnd w:id="101"/>
    </w:p>
    <w:p w:rsidR="00176C14" w:rsidRPr="00AC4AEA" w:rsidRDefault="00176C14" w:rsidP="00A318EA">
      <w:pPr>
        <w:pStyle w:val="Prrafodelista"/>
        <w:ind w:left="567"/>
        <w:contextualSpacing w:val="0"/>
        <w:jc w:val="both"/>
        <w:rPr>
          <w:rFonts w:ascii="Arial" w:hAnsi="Arial" w:cs="Arial"/>
          <w:sz w:val="20"/>
          <w:szCs w:val="20"/>
        </w:rPr>
      </w:pPr>
    </w:p>
    <w:p w:rsidR="006A014A" w:rsidRPr="00AC4AEA" w:rsidRDefault="005C096E" w:rsidP="00A318EA">
      <w:pPr>
        <w:pStyle w:val="Ttulo1"/>
        <w:rPr>
          <w:rFonts w:cs="Arial"/>
          <w:sz w:val="20"/>
          <w:szCs w:val="20"/>
        </w:rPr>
      </w:pPr>
      <w:bookmarkStart w:id="102" w:name="_Toc101863729"/>
      <w:bookmarkStart w:id="103" w:name="_Toc139356592"/>
      <w:r w:rsidRPr="00AC4AEA">
        <w:rPr>
          <w:rFonts w:cs="Arial"/>
          <w:sz w:val="20"/>
          <w:szCs w:val="20"/>
        </w:rPr>
        <w:t>C</w:t>
      </w:r>
      <w:r w:rsidR="00B34D02" w:rsidRPr="00AC4AEA">
        <w:rPr>
          <w:rFonts w:cs="Arial"/>
          <w:caps w:val="0"/>
          <w:sz w:val="20"/>
          <w:szCs w:val="20"/>
        </w:rPr>
        <w:t>ambios en las estimaciones contables</w:t>
      </w:r>
      <w:bookmarkEnd w:id="102"/>
      <w:bookmarkEnd w:id="103"/>
    </w:p>
    <w:p w:rsidR="00D35D64" w:rsidRPr="00AC4AEA" w:rsidRDefault="00D35D64" w:rsidP="00A318EA">
      <w:pPr>
        <w:pStyle w:val="Prrafodelista"/>
        <w:numPr>
          <w:ilvl w:val="0"/>
          <w:numId w:val="29"/>
        </w:numPr>
        <w:contextualSpacing w:val="0"/>
        <w:jc w:val="both"/>
        <w:rPr>
          <w:rFonts w:ascii="Arial" w:hAnsi="Arial" w:cs="Arial"/>
          <w:sz w:val="20"/>
          <w:szCs w:val="20"/>
        </w:rPr>
      </w:pPr>
      <w:bookmarkStart w:id="104" w:name="_Ref102769342"/>
      <w:r w:rsidRPr="00AC4AEA">
        <w:rPr>
          <w:rFonts w:ascii="Arial" w:hAnsi="Arial" w:cs="Arial"/>
          <w:sz w:val="20"/>
          <w:szCs w:val="20"/>
        </w:rPr>
        <w:t xml:space="preserve">Como resultado de las incertidumbres inherentes al mundo de los negocios, muchas partidas de los </w:t>
      </w:r>
      <w:r w:rsidRPr="00AC4AEA">
        <w:rPr>
          <w:rFonts w:ascii="Arial" w:hAnsi="Arial" w:cs="Arial"/>
          <w:b/>
          <w:bCs/>
          <w:sz w:val="20"/>
          <w:szCs w:val="20"/>
        </w:rPr>
        <w:t>estados contables</w:t>
      </w:r>
      <w:r w:rsidRPr="00AC4AEA">
        <w:rPr>
          <w:rFonts w:ascii="Arial" w:hAnsi="Arial" w:cs="Arial"/>
          <w:sz w:val="20"/>
          <w:szCs w:val="20"/>
        </w:rPr>
        <w:t xml:space="preserve"> no pueden ser medidas con precisión, sino </w:t>
      </w:r>
      <w:r w:rsidR="00EF6147" w:rsidRPr="00AC4AEA">
        <w:rPr>
          <w:rFonts w:ascii="Arial" w:hAnsi="Arial" w:cs="Arial"/>
          <w:sz w:val="20"/>
          <w:szCs w:val="20"/>
        </w:rPr>
        <w:t>solo</w:t>
      </w:r>
      <w:r w:rsidRPr="00AC4AEA">
        <w:rPr>
          <w:rFonts w:ascii="Arial" w:hAnsi="Arial" w:cs="Arial"/>
          <w:sz w:val="20"/>
          <w:szCs w:val="20"/>
        </w:rPr>
        <w:t xml:space="preserve"> estimadas. El proceso de estimación implica la utilización de juicios basados en la información confiable disponible más reciente. Por ejemplo, una entidad podría hacer estimaciones para determinar: </w:t>
      </w:r>
    </w:p>
    <w:p w:rsidR="00D35D64" w:rsidRPr="00AC4AEA" w:rsidRDefault="00D35D64" w:rsidP="00A318EA">
      <w:pPr>
        <w:pStyle w:val="Prrafodelista"/>
        <w:numPr>
          <w:ilvl w:val="0"/>
          <w:numId w:val="4"/>
        </w:numPr>
        <w:ind w:left="1559" w:hanging="567"/>
        <w:contextualSpacing w:val="0"/>
        <w:jc w:val="both"/>
        <w:rPr>
          <w:rFonts w:ascii="Arial" w:hAnsi="Arial" w:cs="Arial"/>
          <w:sz w:val="20"/>
          <w:szCs w:val="20"/>
        </w:rPr>
      </w:pPr>
      <w:r w:rsidRPr="00AC4AEA">
        <w:rPr>
          <w:rFonts w:ascii="Arial" w:hAnsi="Arial" w:cs="Arial"/>
          <w:sz w:val="20"/>
          <w:szCs w:val="20"/>
        </w:rPr>
        <w:t xml:space="preserve">las cuentas por cobrar de dudosa recuperación; </w:t>
      </w:r>
    </w:p>
    <w:p w:rsidR="00D35D64" w:rsidRPr="00AC4AEA" w:rsidRDefault="00D35D64" w:rsidP="00A318EA">
      <w:pPr>
        <w:pStyle w:val="Prrafodelista"/>
        <w:numPr>
          <w:ilvl w:val="0"/>
          <w:numId w:val="4"/>
        </w:numPr>
        <w:ind w:left="1559" w:hanging="567"/>
        <w:contextualSpacing w:val="0"/>
        <w:jc w:val="both"/>
        <w:rPr>
          <w:rFonts w:ascii="Arial" w:hAnsi="Arial" w:cs="Arial"/>
          <w:sz w:val="20"/>
          <w:szCs w:val="20"/>
        </w:rPr>
      </w:pPr>
      <w:r w:rsidRPr="00AC4AEA">
        <w:rPr>
          <w:rFonts w:ascii="Arial" w:hAnsi="Arial" w:cs="Arial"/>
          <w:sz w:val="20"/>
          <w:szCs w:val="20"/>
        </w:rPr>
        <w:t xml:space="preserve">la obsolescencia de los bienes de cambio; </w:t>
      </w:r>
    </w:p>
    <w:p w:rsidR="00D35D64" w:rsidRPr="00AC4AEA" w:rsidRDefault="00D35D64" w:rsidP="00A318EA">
      <w:pPr>
        <w:pStyle w:val="Prrafodelista"/>
        <w:numPr>
          <w:ilvl w:val="0"/>
          <w:numId w:val="4"/>
        </w:numPr>
        <w:ind w:left="1559" w:hanging="567"/>
        <w:contextualSpacing w:val="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valor razonable</w:t>
      </w:r>
      <w:r w:rsidRPr="00AC4AEA">
        <w:rPr>
          <w:rFonts w:ascii="Arial" w:hAnsi="Arial" w:cs="Arial"/>
          <w:sz w:val="20"/>
          <w:szCs w:val="20"/>
        </w:rPr>
        <w:t xml:space="preserve">; </w:t>
      </w:r>
    </w:p>
    <w:p w:rsidR="00D35D64" w:rsidRPr="00AC4AEA" w:rsidRDefault="00D35D64" w:rsidP="00A318EA">
      <w:pPr>
        <w:pStyle w:val="Prrafodelista"/>
        <w:numPr>
          <w:ilvl w:val="0"/>
          <w:numId w:val="4"/>
        </w:numPr>
        <w:ind w:left="1559" w:hanging="567"/>
        <w:contextualSpacing w:val="0"/>
        <w:jc w:val="both"/>
        <w:rPr>
          <w:rFonts w:ascii="Arial" w:hAnsi="Arial" w:cs="Arial"/>
          <w:sz w:val="20"/>
          <w:szCs w:val="20"/>
        </w:rPr>
      </w:pPr>
      <w:r w:rsidRPr="00AC4AEA">
        <w:rPr>
          <w:rFonts w:ascii="Arial" w:hAnsi="Arial" w:cs="Arial"/>
          <w:sz w:val="20"/>
          <w:szCs w:val="20"/>
        </w:rPr>
        <w:t xml:space="preserve">la vida útil o las pautas de consumo esperadas de los beneficios económicos futuros incorporados en los bienes de uso u otros activos depreciables; y </w:t>
      </w:r>
    </w:p>
    <w:p w:rsidR="00D35D64" w:rsidRPr="00AC4AEA" w:rsidRDefault="00D35D64" w:rsidP="00A318EA">
      <w:pPr>
        <w:pStyle w:val="Prrafodelista"/>
        <w:numPr>
          <w:ilvl w:val="0"/>
          <w:numId w:val="4"/>
        </w:numPr>
        <w:ind w:left="1559" w:hanging="567"/>
        <w:contextualSpacing w:val="0"/>
        <w:jc w:val="both"/>
        <w:rPr>
          <w:rFonts w:ascii="Arial" w:hAnsi="Arial" w:cs="Arial"/>
          <w:sz w:val="20"/>
          <w:szCs w:val="20"/>
        </w:rPr>
      </w:pPr>
      <w:r w:rsidRPr="00AC4AEA">
        <w:rPr>
          <w:rFonts w:ascii="Arial" w:hAnsi="Arial" w:cs="Arial"/>
          <w:sz w:val="20"/>
          <w:szCs w:val="20"/>
        </w:rPr>
        <w:t>las obligaciones por garantías concedidas.</w:t>
      </w:r>
    </w:p>
    <w:p w:rsidR="00A21DB5" w:rsidRPr="00AC4AEA" w:rsidRDefault="00CB2B7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reconocerá los efectos de</w:t>
      </w:r>
      <w:r w:rsidR="006A014A" w:rsidRPr="00AC4AEA">
        <w:rPr>
          <w:rFonts w:ascii="Arial" w:hAnsi="Arial" w:cs="Arial"/>
          <w:sz w:val="20"/>
          <w:szCs w:val="20"/>
        </w:rPr>
        <w:t xml:space="preserve"> un cambio en una estimación contable</w:t>
      </w:r>
      <w:r w:rsidRPr="00AC4AEA">
        <w:rPr>
          <w:rFonts w:ascii="Arial" w:hAnsi="Arial" w:cs="Arial"/>
          <w:sz w:val="20"/>
          <w:szCs w:val="20"/>
        </w:rPr>
        <w:t xml:space="preserve"> de forma prospectiva</w:t>
      </w:r>
      <w:r w:rsidR="00A21DB5" w:rsidRPr="00AC4AEA">
        <w:rPr>
          <w:rFonts w:ascii="Arial" w:hAnsi="Arial" w:cs="Arial"/>
          <w:sz w:val="20"/>
          <w:szCs w:val="20"/>
        </w:rPr>
        <w:t>:</w:t>
      </w:r>
      <w:bookmarkEnd w:id="104"/>
    </w:p>
    <w:p w:rsidR="00A21DB5" w:rsidRPr="00AC4AEA" w:rsidRDefault="00BC7F1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incluyéndolos </w:t>
      </w:r>
      <w:r w:rsidR="006A014A" w:rsidRPr="00AC4AEA">
        <w:rPr>
          <w:rFonts w:ascii="Arial" w:hAnsi="Arial" w:cs="Arial"/>
          <w:sz w:val="20"/>
          <w:szCs w:val="20"/>
        </w:rPr>
        <w:t>en el resultado del per</w:t>
      </w:r>
      <w:r w:rsidR="00CB2B75" w:rsidRPr="00AC4AEA">
        <w:rPr>
          <w:rFonts w:ascii="Arial" w:hAnsi="Arial" w:cs="Arial"/>
          <w:sz w:val="20"/>
          <w:szCs w:val="20"/>
        </w:rPr>
        <w:t>í</w:t>
      </w:r>
      <w:r w:rsidR="006A014A" w:rsidRPr="00AC4AEA">
        <w:rPr>
          <w:rFonts w:ascii="Arial" w:hAnsi="Arial" w:cs="Arial"/>
          <w:sz w:val="20"/>
          <w:szCs w:val="20"/>
        </w:rPr>
        <w:t xml:space="preserve">odo </w:t>
      </w:r>
      <w:r w:rsidR="00A51AA6" w:rsidRPr="00AC4AEA">
        <w:rPr>
          <w:rFonts w:ascii="Arial" w:hAnsi="Arial" w:cs="Arial"/>
          <w:sz w:val="20"/>
          <w:szCs w:val="20"/>
        </w:rPr>
        <w:t xml:space="preserve">durante el </w:t>
      </w:r>
      <w:r w:rsidR="0061638F" w:rsidRPr="00AC4AEA">
        <w:rPr>
          <w:rFonts w:ascii="Arial" w:hAnsi="Arial" w:cs="Arial"/>
          <w:sz w:val="20"/>
          <w:szCs w:val="20"/>
        </w:rPr>
        <w:t>cual se produce dicho cambio</w:t>
      </w:r>
      <w:r w:rsidR="00A21DB5" w:rsidRPr="00AC4AEA">
        <w:rPr>
          <w:rFonts w:ascii="Arial" w:hAnsi="Arial" w:cs="Arial"/>
          <w:sz w:val="20"/>
          <w:szCs w:val="20"/>
        </w:rPr>
        <w:t xml:space="preserve"> </w:t>
      </w:r>
      <w:r w:rsidR="00CB2B75" w:rsidRPr="00AC4AEA">
        <w:rPr>
          <w:rFonts w:ascii="Arial" w:hAnsi="Arial" w:cs="Arial"/>
          <w:sz w:val="20"/>
          <w:szCs w:val="20"/>
        </w:rPr>
        <w:t>y</w:t>
      </w:r>
      <w:r w:rsidR="00DC2269" w:rsidRPr="00AC4AEA">
        <w:rPr>
          <w:rFonts w:ascii="Arial" w:hAnsi="Arial" w:cs="Arial"/>
          <w:sz w:val="20"/>
          <w:szCs w:val="20"/>
        </w:rPr>
        <w:t xml:space="preserve"> </w:t>
      </w:r>
      <w:r w:rsidR="00BF4AED" w:rsidRPr="00AC4AEA">
        <w:rPr>
          <w:rFonts w:ascii="Arial" w:hAnsi="Arial" w:cs="Arial"/>
          <w:sz w:val="20"/>
          <w:szCs w:val="20"/>
        </w:rPr>
        <w:t>de</w:t>
      </w:r>
      <w:r w:rsidR="00CB2B75" w:rsidRPr="00AC4AEA">
        <w:rPr>
          <w:rFonts w:ascii="Arial" w:hAnsi="Arial" w:cs="Arial"/>
          <w:sz w:val="20"/>
          <w:szCs w:val="20"/>
        </w:rPr>
        <w:t xml:space="preserve"> los </w:t>
      </w:r>
      <w:r w:rsidR="00A21DB5" w:rsidRPr="00AC4AEA">
        <w:rPr>
          <w:rFonts w:ascii="Arial" w:hAnsi="Arial" w:cs="Arial"/>
          <w:sz w:val="20"/>
          <w:szCs w:val="20"/>
        </w:rPr>
        <w:t>per</w:t>
      </w:r>
      <w:r w:rsidR="00CB2B75" w:rsidRPr="00AC4AEA">
        <w:rPr>
          <w:rFonts w:ascii="Arial" w:hAnsi="Arial" w:cs="Arial"/>
          <w:sz w:val="20"/>
          <w:szCs w:val="20"/>
        </w:rPr>
        <w:t>í</w:t>
      </w:r>
      <w:r w:rsidR="00A21DB5" w:rsidRPr="00AC4AEA">
        <w:rPr>
          <w:rFonts w:ascii="Arial" w:hAnsi="Arial" w:cs="Arial"/>
          <w:sz w:val="20"/>
          <w:szCs w:val="20"/>
        </w:rPr>
        <w:t xml:space="preserve">odos futuros, </w:t>
      </w:r>
      <w:r w:rsidR="006C4B86" w:rsidRPr="00AC4AEA">
        <w:rPr>
          <w:rFonts w:ascii="Arial" w:hAnsi="Arial" w:cs="Arial"/>
          <w:sz w:val="20"/>
          <w:szCs w:val="20"/>
        </w:rPr>
        <w:t>si la modificación</w:t>
      </w:r>
      <w:r w:rsidR="00A21DB5" w:rsidRPr="00AC4AEA">
        <w:rPr>
          <w:rFonts w:ascii="Arial" w:hAnsi="Arial" w:cs="Arial"/>
          <w:sz w:val="20"/>
          <w:szCs w:val="20"/>
        </w:rPr>
        <w:t xml:space="preserve"> afecta</w:t>
      </w:r>
      <w:r w:rsidR="006B02B3" w:rsidRPr="00AC4AEA">
        <w:rPr>
          <w:rFonts w:ascii="Arial" w:hAnsi="Arial" w:cs="Arial"/>
          <w:sz w:val="20"/>
          <w:szCs w:val="20"/>
        </w:rPr>
        <w:t>ra</w:t>
      </w:r>
      <w:r w:rsidR="00A21DB5" w:rsidRPr="00AC4AEA">
        <w:rPr>
          <w:rFonts w:ascii="Arial" w:hAnsi="Arial" w:cs="Arial"/>
          <w:sz w:val="20"/>
          <w:szCs w:val="20"/>
        </w:rPr>
        <w:t xml:space="preserve"> a todos ellos</w:t>
      </w:r>
      <w:r w:rsidRPr="00AC4AEA">
        <w:rPr>
          <w:rFonts w:ascii="Arial" w:hAnsi="Arial" w:cs="Arial"/>
          <w:sz w:val="20"/>
          <w:szCs w:val="20"/>
        </w:rPr>
        <w:t xml:space="preserve">; </w:t>
      </w:r>
      <w:r w:rsidR="006B02B3" w:rsidRPr="00AC4AEA">
        <w:rPr>
          <w:rFonts w:ascii="Arial" w:hAnsi="Arial" w:cs="Arial"/>
          <w:sz w:val="20"/>
          <w:szCs w:val="20"/>
        </w:rPr>
        <w:t>y</w:t>
      </w:r>
    </w:p>
    <w:p w:rsidR="006A014A" w:rsidRPr="00AC4AEA" w:rsidRDefault="00BC7F1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ajustando </w:t>
      </w:r>
      <w:r w:rsidR="00BD5D4E" w:rsidRPr="00AC4AEA">
        <w:rPr>
          <w:rFonts w:ascii="Arial" w:hAnsi="Arial" w:cs="Arial"/>
          <w:sz w:val="20"/>
          <w:szCs w:val="20"/>
        </w:rPr>
        <w:t>la medición</w:t>
      </w:r>
      <w:r w:rsidR="006A014A" w:rsidRPr="00AC4AEA">
        <w:rPr>
          <w:rFonts w:ascii="Arial" w:hAnsi="Arial" w:cs="Arial"/>
          <w:sz w:val="20"/>
          <w:szCs w:val="20"/>
        </w:rPr>
        <w:t xml:space="preserve"> </w:t>
      </w:r>
      <w:r w:rsidR="00FF5A1D" w:rsidRPr="00AC4AEA">
        <w:rPr>
          <w:rFonts w:ascii="Arial" w:hAnsi="Arial" w:cs="Arial"/>
          <w:sz w:val="20"/>
          <w:szCs w:val="20"/>
        </w:rPr>
        <w:t>contable</w:t>
      </w:r>
      <w:r w:rsidR="006A014A" w:rsidRPr="00AC4AEA">
        <w:rPr>
          <w:rFonts w:ascii="Arial" w:hAnsi="Arial" w:cs="Arial"/>
          <w:sz w:val="20"/>
          <w:szCs w:val="20"/>
        </w:rPr>
        <w:t xml:space="preserve"> de la correspondiente</w:t>
      </w:r>
      <w:r w:rsidR="00A21DB5" w:rsidRPr="00AC4AEA">
        <w:rPr>
          <w:rFonts w:ascii="Arial" w:hAnsi="Arial" w:cs="Arial"/>
          <w:sz w:val="20"/>
          <w:szCs w:val="20"/>
        </w:rPr>
        <w:t xml:space="preserve"> </w:t>
      </w:r>
      <w:r w:rsidR="006A014A" w:rsidRPr="00AC4AEA">
        <w:rPr>
          <w:rFonts w:ascii="Arial" w:hAnsi="Arial" w:cs="Arial"/>
          <w:sz w:val="20"/>
          <w:szCs w:val="20"/>
        </w:rPr>
        <w:t xml:space="preserve">partida </w:t>
      </w:r>
      <w:r w:rsidR="00CB2B75" w:rsidRPr="00AC4AEA">
        <w:rPr>
          <w:rFonts w:ascii="Arial" w:hAnsi="Arial" w:cs="Arial"/>
          <w:sz w:val="20"/>
          <w:szCs w:val="20"/>
        </w:rPr>
        <w:t xml:space="preserve">de </w:t>
      </w:r>
      <w:r w:rsidR="00CB2B75" w:rsidRPr="00AC4AEA">
        <w:rPr>
          <w:rFonts w:ascii="Arial" w:hAnsi="Arial" w:cs="Arial"/>
          <w:b/>
          <w:bCs/>
          <w:sz w:val="20"/>
          <w:szCs w:val="20"/>
        </w:rPr>
        <w:t>activo</w:t>
      </w:r>
      <w:r w:rsidR="00CB2B75" w:rsidRPr="00AC4AEA">
        <w:rPr>
          <w:rFonts w:ascii="Arial" w:hAnsi="Arial" w:cs="Arial"/>
          <w:sz w:val="20"/>
          <w:szCs w:val="20"/>
        </w:rPr>
        <w:t xml:space="preserve">, </w:t>
      </w:r>
      <w:r w:rsidR="00CB2B75" w:rsidRPr="00AC4AEA">
        <w:rPr>
          <w:rFonts w:ascii="Arial" w:hAnsi="Arial" w:cs="Arial"/>
          <w:b/>
          <w:bCs/>
          <w:sz w:val="20"/>
          <w:szCs w:val="20"/>
        </w:rPr>
        <w:t>pasivo</w:t>
      </w:r>
      <w:r w:rsidR="006B02B3" w:rsidRPr="00AC4AEA">
        <w:rPr>
          <w:rFonts w:ascii="Arial" w:hAnsi="Arial" w:cs="Arial"/>
          <w:sz w:val="20"/>
          <w:szCs w:val="20"/>
        </w:rPr>
        <w:t xml:space="preserve"> </w:t>
      </w:r>
      <w:r w:rsidR="005F4DB4" w:rsidRPr="00AC4AEA">
        <w:rPr>
          <w:rFonts w:ascii="Arial" w:hAnsi="Arial" w:cs="Arial"/>
          <w:sz w:val="20"/>
          <w:szCs w:val="20"/>
        </w:rPr>
        <w:t xml:space="preserve">o </w:t>
      </w:r>
      <w:r w:rsidR="00CB2B75" w:rsidRPr="00AC4AEA">
        <w:rPr>
          <w:rFonts w:ascii="Arial" w:hAnsi="Arial" w:cs="Arial"/>
          <w:b/>
          <w:bCs/>
          <w:sz w:val="20"/>
          <w:szCs w:val="20"/>
        </w:rPr>
        <w:t>patrimonio neto</w:t>
      </w:r>
      <w:r w:rsidR="006B02B3" w:rsidRPr="00AC4AEA">
        <w:rPr>
          <w:rFonts w:ascii="Arial" w:hAnsi="Arial" w:cs="Arial"/>
          <w:sz w:val="20"/>
          <w:szCs w:val="20"/>
        </w:rPr>
        <w:t>.</w:t>
      </w:r>
    </w:p>
    <w:p w:rsidR="006F1922" w:rsidRPr="00AC4AEA" w:rsidRDefault="006F1922" w:rsidP="00A318EA">
      <w:pPr>
        <w:jc w:val="both"/>
        <w:rPr>
          <w:rFonts w:ascii="Arial" w:hAnsi="Arial" w:cs="Arial"/>
          <w:b/>
          <w:bCs/>
          <w:sz w:val="20"/>
          <w:szCs w:val="20"/>
        </w:rPr>
      </w:pPr>
    </w:p>
    <w:p w:rsidR="00B66EF8" w:rsidRPr="00AC4AEA" w:rsidRDefault="003E15BC" w:rsidP="00A318EA">
      <w:pPr>
        <w:pStyle w:val="Ttulo1"/>
        <w:rPr>
          <w:rFonts w:cs="Arial"/>
          <w:sz w:val="20"/>
          <w:szCs w:val="20"/>
        </w:rPr>
      </w:pPr>
      <w:bookmarkStart w:id="105" w:name="_Toc101863730"/>
      <w:bookmarkStart w:id="106" w:name="_Toc139356593"/>
      <w:r w:rsidRPr="00AC4AEA">
        <w:rPr>
          <w:rFonts w:cs="Arial"/>
          <w:sz w:val="20"/>
          <w:szCs w:val="20"/>
        </w:rPr>
        <w:lastRenderedPageBreak/>
        <w:t>C</w:t>
      </w:r>
      <w:r w:rsidR="00B34D02" w:rsidRPr="00AC4AEA">
        <w:rPr>
          <w:rFonts w:cs="Arial"/>
          <w:caps w:val="0"/>
          <w:sz w:val="20"/>
          <w:szCs w:val="20"/>
        </w:rPr>
        <w:t>orrección de errores u omisiones de períodos anteriores</w:t>
      </w:r>
      <w:bookmarkEnd w:id="105"/>
      <w:bookmarkEnd w:id="106"/>
    </w:p>
    <w:p w:rsidR="00B66EF8" w:rsidRPr="00AC4AEA" w:rsidRDefault="006F1922" w:rsidP="00A318EA">
      <w:pPr>
        <w:pStyle w:val="Prrafodelista"/>
        <w:numPr>
          <w:ilvl w:val="0"/>
          <w:numId w:val="29"/>
        </w:numPr>
        <w:contextualSpacing w:val="0"/>
        <w:jc w:val="both"/>
        <w:rPr>
          <w:rFonts w:ascii="Arial" w:hAnsi="Arial" w:cs="Arial"/>
          <w:sz w:val="20"/>
          <w:szCs w:val="20"/>
        </w:rPr>
      </w:pPr>
      <w:bookmarkStart w:id="107" w:name="_Ref135765006"/>
      <w:r w:rsidRPr="00AC4AEA">
        <w:rPr>
          <w:rFonts w:ascii="Arial" w:hAnsi="Arial" w:cs="Arial"/>
          <w:sz w:val="20"/>
          <w:szCs w:val="20"/>
        </w:rPr>
        <w:t>Una</w:t>
      </w:r>
      <w:r w:rsidR="00B66EF8" w:rsidRPr="00AC4AEA">
        <w:rPr>
          <w:rFonts w:ascii="Arial" w:hAnsi="Arial" w:cs="Arial"/>
          <w:sz w:val="20"/>
          <w:szCs w:val="20"/>
        </w:rPr>
        <w:t xml:space="preserve"> entidad corregirá los</w:t>
      </w:r>
      <w:r w:rsidRPr="00AC4AEA">
        <w:rPr>
          <w:rFonts w:ascii="Arial" w:hAnsi="Arial" w:cs="Arial"/>
          <w:sz w:val="20"/>
          <w:szCs w:val="20"/>
        </w:rPr>
        <w:t xml:space="preserve"> </w:t>
      </w:r>
      <w:r w:rsidR="00B66EF8" w:rsidRPr="00AC4AEA">
        <w:rPr>
          <w:rFonts w:ascii="Arial" w:hAnsi="Arial" w:cs="Arial"/>
          <w:sz w:val="20"/>
          <w:szCs w:val="20"/>
        </w:rPr>
        <w:t xml:space="preserve">errores </w:t>
      </w:r>
      <w:r w:rsidR="007A4413" w:rsidRPr="00AC4AEA">
        <w:rPr>
          <w:rFonts w:ascii="Arial" w:hAnsi="Arial" w:cs="Arial"/>
          <w:sz w:val="20"/>
          <w:szCs w:val="20"/>
        </w:rPr>
        <w:t xml:space="preserve">u omisiones </w:t>
      </w:r>
      <w:r w:rsidR="00B66EF8" w:rsidRPr="00AC4AEA">
        <w:rPr>
          <w:rFonts w:ascii="Arial" w:hAnsi="Arial" w:cs="Arial"/>
          <w:sz w:val="20"/>
          <w:szCs w:val="20"/>
        </w:rPr>
        <w:t>de per</w:t>
      </w:r>
      <w:r w:rsidR="00CB2B75" w:rsidRPr="00AC4AEA">
        <w:rPr>
          <w:rFonts w:ascii="Arial" w:hAnsi="Arial" w:cs="Arial"/>
          <w:sz w:val="20"/>
          <w:szCs w:val="20"/>
        </w:rPr>
        <w:t>í</w:t>
      </w:r>
      <w:r w:rsidR="00B66EF8" w:rsidRPr="00AC4AEA">
        <w:rPr>
          <w:rFonts w:ascii="Arial" w:hAnsi="Arial" w:cs="Arial"/>
          <w:sz w:val="20"/>
          <w:szCs w:val="20"/>
        </w:rPr>
        <w:t>odos anteriores de forma retroactiva, en los</w:t>
      </w:r>
      <w:r w:rsidRPr="00AC4AEA">
        <w:rPr>
          <w:rFonts w:ascii="Arial" w:hAnsi="Arial" w:cs="Arial"/>
          <w:sz w:val="20"/>
          <w:szCs w:val="20"/>
        </w:rPr>
        <w:t xml:space="preserve"> </w:t>
      </w:r>
      <w:r w:rsidR="00B66EF8" w:rsidRPr="00AC4AEA">
        <w:rPr>
          <w:rFonts w:ascii="Arial" w:hAnsi="Arial" w:cs="Arial"/>
          <w:sz w:val="20"/>
          <w:szCs w:val="20"/>
        </w:rPr>
        <w:t xml:space="preserve">primeros </w:t>
      </w:r>
      <w:r w:rsidR="00135084" w:rsidRPr="00AC4AEA">
        <w:rPr>
          <w:rFonts w:ascii="Arial" w:hAnsi="Arial" w:cs="Arial"/>
          <w:b/>
          <w:bCs/>
          <w:sz w:val="20"/>
          <w:szCs w:val="20"/>
        </w:rPr>
        <w:t>estados contables</w:t>
      </w:r>
      <w:r w:rsidR="00B66EF8" w:rsidRPr="00AC4AEA">
        <w:rPr>
          <w:rFonts w:ascii="Arial" w:hAnsi="Arial" w:cs="Arial"/>
          <w:sz w:val="20"/>
          <w:szCs w:val="20"/>
        </w:rPr>
        <w:t xml:space="preserve"> </w:t>
      </w:r>
      <w:r w:rsidR="00FD77AA" w:rsidRPr="00AC4AEA">
        <w:rPr>
          <w:rFonts w:ascii="Arial" w:hAnsi="Arial" w:cs="Arial"/>
          <w:sz w:val="20"/>
          <w:szCs w:val="20"/>
        </w:rPr>
        <w:t xml:space="preserve">que se emitan </w:t>
      </w:r>
      <w:r w:rsidR="00B66EF8" w:rsidRPr="00AC4AEA">
        <w:rPr>
          <w:rFonts w:ascii="Arial" w:hAnsi="Arial" w:cs="Arial"/>
          <w:sz w:val="20"/>
          <w:szCs w:val="20"/>
        </w:rPr>
        <w:t xml:space="preserve">después de </w:t>
      </w:r>
      <w:r w:rsidR="006C4B86" w:rsidRPr="00AC4AEA">
        <w:rPr>
          <w:rFonts w:ascii="Arial" w:hAnsi="Arial" w:cs="Arial"/>
          <w:sz w:val="20"/>
          <w:szCs w:val="20"/>
        </w:rPr>
        <w:t>su detección</w:t>
      </w:r>
      <w:r w:rsidR="00B66EF8" w:rsidRPr="00AC4AEA">
        <w:rPr>
          <w:rFonts w:ascii="Arial" w:hAnsi="Arial" w:cs="Arial"/>
          <w:sz w:val="20"/>
          <w:szCs w:val="20"/>
        </w:rPr>
        <w:t>:</w:t>
      </w:r>
      <w:bookmarkEnd w:id="107"/>
    </w:p>
    <w:p w:rsidR="006F1922" w:rsidRPr="00AC4AEA" w:rsidRDefault="007F315E" w:rsidP="00A318EA">
      <w:pPr>
        <w:pStyle w:val="Prrafodelista"/>
        <w:numPr>
          <w:ilvl w:val="0"/>
          <w:numId w:val="447"/>
        </w:numPr>
        <w:ind w:left="1560" w:hanging="567"/>
        <w:contextualSpacing w:val="0"/>
        <w:jc w:val="both"/>
        <w:rPr>
          <w:rFonts w:ascii="Arial" w:hAnsi="Arial" w:cs="Arial"/>
          <w:sz w:val="20"/>
          <w:szCs w:val="20"/>
        </w:rPr>
      </w:pPr>
      <w:r w:rsidRPr="00AC4AEA">
        <w:rPr>
          <w:rFonts w:ascii="Arial" w:hAnsi="Arial" w:cs="Arial"/>
          <w:sz w:val="20"/>
          <w:szCs w:val="20"/>
        </w:rPr>
        <w:t xml:space="preserve">modificando </w:t>
      </w:r>
      <w:r w:rsidR="00B66EF8" w:rsidRPr="00AC4AEA">
        <w:rPr>
          <w:rFonts w:ascii="Arial" w:hAnsi="Arial" w:cs="Arial"/>
          <w:sz w:val="20"/>
          <w:szCs w:val="20"/>
        </w:rPr>
        <w:t>la información comparativa para el per</w:t>
      </w:r>
      <w:r w:rsidR="00CB2B75" w:rsidRPr="00AC4AEA">
        <w:rPr>
          <w:rFonts w:ascii="Arial" w:hAnsi="Arial" w:cs="Arial"/>
          <w:sz w:val="20"/>
          <w:szCs w:val="20"/>
        </w:rPr>
        <w:t>í</w:t>
      </w:r>
      <w:r w:rsidR="00B66EF8" w:rsidRPr="00AC4AEA">
        <w:rPr>
          <w:rFonts w:ascii="Arial" w:hAnsi="Arial" w:cs="Arial"/>
          <w:sz w:val="20"/>
          <w:szCs w:val="20"/>
        </w:rPr>
        <w:t>odo o</w:t>
      </w:r>
      <w:r w:rsidR="006F1922" w:rsidRPr="00AC4AEA">
        <w:rPr>
          <w:rFonts w:ascii="Arial" w:hAnsi="Arial" w:cs="Arial"/>
          <w:sz w:val="20"/>
          <w:szCs w:val="20"/>
        </w:rPr>
        <w:t xml:space="preserve"> </w:t>
      </w:r>
      <w:r w:rsidR="00B66EF8" w:rsidRPr="00AC4AEA">
        <w:rPr>
          <w:rFonts w:ascii="Arial" w:hAnsi="Arial" w:cs="Arial"/>
          <w:sz w:val="20"/>
          <w:szCs w:val="20"/>
        </w:rPr>
        <w:t>per</w:t>
      </w:r>
      <w:r w:rsidR="00CB2B75" w:rsidRPr="00AC4AEA">
        <w:rPr>
          <w:rFonts w:ascii="Arial" w:hAnsi="Arial" w:cs="Arial"/>
          <w:sz w:val="20"/>
          <w:szCs w:val="20"/>
        </w:rPr>
        <w:t>í</w:t>
      </w:r>
      <w:r w:rsidR="00B66EF8" w:rsidRPr="00AC4AEA">
        <w:rPr>
          <w:rFonts w:ascii="Arial" w:hAnsi="Arial" w:cs="Arial"/>
          <w:sz w:val="20"/>
          <w:szCs w:val="20"/>
        </w:rPr>
        <w:t xml:space="preserve">odos anteriores en los que se </w:t>
      </w:r>
      <w:r w:rsidR="002D5B71" w:rsidRPr="00AC4AEA">
        <w:rPr>
          <w:rFonts w:ascii="Arial" w:hAnsi="Arial" w:cs="Arial"/>
          <w:sz w:val="20"/>
          <w:szCs w:val="20"/>
        </w:rPr>
        <w:t xml:space="preserve">produjo </w:t>
      </w:r>
      <w:r w:rsidR="00B66EF8" w:rsidRPr="00AC4AEA">
        <w:rPr>
          <w:rFonts w:ascii="Arial" w:hAnsi="Arial" w:cs="Arial"/>
          <w:sz w:val="20"/>
          <w:szCs w:val="20"/>
        </w:rPr>
        <w:t>el error</w:t>
      </w:r>
      <w:r w:rsidR="00BC7F1C" w:rsidRPr="00AC4AEA">
        <w:rPr>
          <w:rFonts w:ascii="Arial" w:hAnsi="Arial" w:cs="Arial"/>
          <w:sz w:val="20"/>
          <w:szCs w:val="20"/>
        </w:rPr>
        <w:t>;</w:t>
      </w:r>
      <w:r w:rsidR="00B66EF8" w:rsidRPr="00AC4AEA">
        <w:rPr>
          <w:rFonts w:ascii="Arial" w:hAnsi="Arial" w:cs="Arial"/>
          <w:sz w:val="20"/>
          <w:szCs w:val="20"/>
        </w:rPr>
        <w:t xml:space="preserve"> o</w:t>
      </w:r>
      <w:r w:rsidR="006F1922" w:rsidRPr="00AC4AEA">
        <w:rPr>
          <w:rFonts w:ascii="Arial" w:hAnsi="Arial" w:cs="Arial"/>
          <w:sz w:val="20"/>
          <w:szCs w:val="20"/>
        </w:rPr>
        <w:t xml:space="preserve"> </w:t>
      </w:r>
    </w:p>
    <w:p w:rsidR="00B66EF8" w:rsidRPr="00AC4AEA" w:rsidRDefault="007F315E" w:rsidP="00A318EA">
      <w:pPr>
        <w:pStyle w:val="Prrafodelista"/>
        <w:numPr>
          <w:ilvl w:val="0"/>
          <w:numId w:val="447"/>
        </w:numPr>
        <w:ind w:left="1560" w:hanging="567"/>
        <w:contextualSpacing w:val="0"/>
        <w:jc w:val="both"/>
        <w:rPr>
          <w:rFonts w:ascii="Arial" w:hAnsi="Arial" w:cs="Arial"/>
          <w:sz w:val="20"/>
          <w:szCs w:val="20"/>
        </w:rPr>
      </w:pPr>
      <w:r w:rsidRPr="00AC4AEA">
        <w:rPr>
          <w:rFonts w:ascii="Arial" w:hAnsi="Arial" w:cs="Arial"/>
          <w:sz w:val="20"/>
          <w:szCs w:val="20"/>
        </w:rPr>
        <w:t xml:space="preserve">si </w:t>
      </w:r>
      <w:r w:rsidR="00B66EF8" w:rsidRPr="00AC4AEA">
        <w:rPr>
          <w:rFonts w:ascii="Arial" w:hAnsi="Arial" w:cs="Arial"/>
          <w:sz w:val="20"/>
          <w:szCs w:val="20"/>
        </w:rPr>
        <w:t>el error ocurrió con anterioridad al per</w:t>
      </w:r>
      <w:r w:rsidR="00CB2B75" w:rsidRPr="00AC4AEA">
        <w:rPr>
          <w:rFonts w:ascii="Arial" w:hAnsi="Arial" w:cs="Arial"/>
          <w:sz w:val="20"/>
          <w:szCs w:val="20"/>
        </w:rPr>
        <w:t>í</w:t>
      </w:r>
      <w:r w:rsidR="00B66EF8" w:rsidRPr="00AC4AEA">
        <w:rPr>
          <w:rFonts w:ascii="Arial" w:hAnsi="Arial" w:cs="Arial"/>
          <w:sz w:val="20"/>
          <w:szCs w:val="20"/>
        </w:rPr>
        <w:t>odo más antiguo para el</w:t>
      </w:r>
      <w:r w:rsidR="006F1922" w:rsidRPr="00AC4AEA">
        <w:rPr>
          <w:rFonts w:ascii="Arial" w:hAnsi="Arial" w:cs="Arial"/>
          <w:sz w:val="20"/>
          <w:szCs w:val="20"/>
        </w:rPr>
        <w:t xml:space="preserve"> </w:t>
      </w:r>
      <w:r w:rsidR="00B66EF8" w:rsidRPr="00AC4AEA">
        <w:rPr>
          <w:rFonts w:ascii="Arial" w:hAnsi="Arial" w:cs="Arial"/>
          <w:sz w:val="20"/>
          <w:szCs w:val="20"/>
        </w:rPr>
        <w:t>que se presenta información</w:t>
      </w:r>
      <w:r w:rsidR="00B70A51" w:rsidRPr="00AC4AEA">
        <w:rPr>
          <w:rFonts w:ascii="Arial" w:hAnsi="Arial" w:cs="Arial"/>
          <w:sz w:val="20"/>
          <w:szCs w:val="20"/>
        </w:rPr>
        <w:t xml:space="preserve"> comparativa</w:t>
      </w:r>
      <w:r w:rsidR="00B66EF8" w:rsidRPr="00AC4AEA">
        <w:rPr>
          <w:rFonts w:ascii="Arial" w:hAnsi="Arial" w:cs="Arial"/>
          <w:sz w:val="20"/>
          <w:szCs w:val="20"/>
        </w:rPr>
        <w:t xml:space="preserve">, </w:t>
      </w:r>
      <w:r w:rsidR="0052091A" w:rsidRPr="00AC4AEA">
        <w:rPr>
          <w:rFonts w:ascii="Arial" w:hAnsi="Arial" w:cs="Arial"/>
          <w:sz w:val="20"/>
          <w:szCs w:val="20"/>
        </w:rPr>
        <w:t xml:space="preserve">corrigiendo los componentes correspondientes del </w:t>
      </w:r>
      <w:r w:rsidR="0052091A" w:rsidRPr="00AC4AEA">
        <w:rPr>
          <w:rFonts w:ascii="Arial" w:hAnsi="Arial" w:cs="Arial"/>
          <w:b/>
          <w:bCs/>
          <w:sz w:val="20"/>
          <w:szCs w:val="20"/>
        </w:rPr>
        <w:t>patrimonio neto</w:t>
      </w:r>
      <w:r w:rsidR="0052091A" w:rsidRPr="00AC4AEA">
        <w:rPr>
          <w:rFonts w:ascii="Arial" w:hAnsi="Arial" w:cs="Arial"/>
          <w:sz w:val="20"/>
          <w:szCs w:val="20"/>
        </w:rPr>
        <w:t>, al inicio de dicho período</w:t>
      </w:r>
      <w:r w:rsidR="00B66EF8" w:rsidRPr="00AC4AEA">
        <w:rPr>
          <w:rFonts w:ascii="Arial" w:hAnsi="Arial" w:cs="Arial"/>
          <w:sz w:val="20"/>
          <w:szCs w:val="20"/>
        </w:rPr>
        <w:t>.</w:t>
      </w:r>
    </w:p>
    <w:p w:rsidR="006A014A" w:rsidRPr="00AC4AEA" w:rsidRDefault="006A014A" w:rsidP="00A318EA">
      <w:pPr>
        <w:jc w:val="both"/>
        <w:rPr>
          <w:rFonts w:ascii="Arial" w:hAnsi="Arial" w:cs="Arial"/>
          <w:sz w:val="20"/>
          <w:szCs w:val="20"/>
        </w:rPr>
      </w:pPr>
    </w:p>
    <w:p w:rsidR="006D0FBD" w:rsidRPr="00AC4AEA" w:rsidRDefault="00342025" w:rsidP="00A318EA">
      <w:pPr>
        <w:pStyle w:val="Ttulo1"/>
        <w:rPr>
          <w:rFonts w:cs="Arial"/>
          <w:bCs/>
          <w:sz w:val="20"/>
          <w:szCs w:val="20"/>
        </w:rPr>
      </w:pPr>
      <w:bookmarkStart w:id="108" w:name="_Toc101863731"/>
      <w:bookmarkStart w:id="109" w:name="_Toc139356594"/>
      <w:r w:rsidRPr="00AC4AEA">
        <w:rPr>
          <w:rFonts w:cs="Arial"/>
          <w:sz w:val="20"/>
          <w:szCs w:val="20"/>
        </w:rPr>
        <w:t>R</w:t>
      </w:r>
      <w:r w:rsidR="00B34D02" w:rsidRPr="00AC4AEA">
        <w:rPr>
          <w:rFonts w:cs="Arial"/>
          <w:caps w:val="0"/>
          <w:sz w:val="20"/>
          <w:szCs w:val="20"/>
        </w:rPr>
        <w:t>eclasificación de activos o pasivos</w:t>
      </w:r>
      <w:bookmarkEnd w:id="108"/>
      <w:bookmarkEnd w:id="109"/>
    </w:p>
    <w:p w:rsidR="006D0FBD" w:rsidRPr="00AC4AEA" w:rsidRDefault="00E540F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Excepto cuando </w:t>
      </w:r>
      <w:r w:rsidR="00B95E4B" w:rsidRPr="00AC4AEA">
        <w:rPr>
          <w:rFonts w:ascii="Arial" w:hAnsi="Arial" w:cs="Arial"/>
          <w:sz w:val="20"/>
          <w:szCs w:val="20"/>
        </w:rPr>
        <w:t xml:space="preserve">esta Resolución Técnica u </w:t>
      </w:r>
      <w:r w:rsidR="00B95E4B" w:rsidRPr="00AC4AEA">
        <w:rPr>
          <w:rFonts w:ascii="Arial" w:hAnsi="Arial" w:cs="Arial"/>
          <w:b/>
          <w:bCs/>
          <w:sz w:val="20"/>
          <w:szCs w:val="20"/>
        </w:rPr>
        <w:t>otras normas contables</w:t>
      </w:r>
      <w:r w:rsidRPr="00AC4AEA">
        <w:rPr>
          <w:rFonts w:ascii="Arial" w:hAnsi="Arial" w:cs="Arial"/>
          <w:sz w:val="20"/>
          <w:szCs w:val="20"/>
        </w:rPr>
        <w:t xml:space="preserve"> establezca</w:t>
      </w:r>
      <w:r w:rsidR="00623F7D" w:rsidRPr="00AC4AEA">
        <w:rPr>
          <w:rFonts w:ascii="Arial" w:hAnsi="Arial" w:cs="Arial"/>
          <w:sz w:val="20"/>
          <w:szCs w:val="20"/>
        </w:rPr>
        <w:t>n</w:t>
      </w:r>
      <w:r w:rsidRPr="00AC4AEA">
        <w:rPr>
          <w:rFonts w:ascii="Arial" w:hAnsi="Arial" w:cs="Arial"/>
          <w:sz w:val="20"/>
          <w:szCs w:val="20"/>
        </w:rPr>
        <w:t xml:space="preserve"> otro tratamiento, u</w:t>
      </w:r>
      <w:r w:rsidR="00EE753B" w:rsidRPr="00AC4AEA">
        <w:rPr>
          <w:rFonts w:ascii="Arial" w:hAnsi="Arial" w:cs="Arial"/>
          <w:sz w:val="20"/>
          <w:szCs w:val="20"/>
        </w:rPr>
        <w:t xml:space="preserve">na entidad imputará al resultado del </w:t>
      </w:r>
      <w:r w:rsidR="00427A95" w:rsidRPr="00AC4AEA">
        <w:rPr>
          <w:rFonts w:ascii="Arial" w:hAnsi="Arial" w:cs="Arial"/>
          <w:sz w:val="20"/>
          <w:szCs w:val="20"/>
        </w:rPr>
        <w:t>período</w:t>
      </w:r>
      <w:r w:rsidR="00EE753B" w:rsidRPr="00AC4AEA">
        <w:rPr>
          <w:rFonts w:ascii="Arial" w:hAnsi="Arial" w:cs="Arial"/>
          <w:sz w:val="20"/>
          <w:szCs w:val="20"/>
        </w:rPr>
        <w:t xml:space="preserve"> las diferencias de medición que se originen c</w:t>
      </w:r>
      <w:r w:rsidR="006D0FBD" w:rsidRPr="00AC4AEA">
        <w:rPr>
          <w:rFonts w:ascii="Arial" w:hAnsi="Arial" w:cs="Arial"/>
          <w:sz w:val="20"/>
          <w:szCs w:val="20"/>
        </w:rPr>
        <w:t xml:space="preserve">uando un </w:t>
      </w:r>
      <w:r w:rsidR="006D0FBD" w:rsidRPr="00AC4AEA">
        <w:rPr>
          <w:rFonts w:ascii="Arial" w:hAnsi="Arial" w:cs="Arial"/>
          <w:b/>
          <w:bCs/>
          <w:sz w:val="20"/>
          <w:szCs w:val="20"/>
        </w:rPr>
        <w:t>activo</w:t>
      </w:r>
      <w:r w:rsidR="006D0FBD" w:rsidRPr="00AC4AEA">
        <w:rPr>
          <w:rFonts w:ascii="Arial" w:hAnsi="Arial" w:cs="Arial"/>
          <w:sz w:val="20"/>
          <w:szCs w:val="20"/>
        </w:rPr>
        <w:t xml:space="preserve"> o un </w:t>
      </w:r>
      <w:r w:rsidR="006D0FBD" w:rsidRPr="00AC4AEA">
        <w:rPr>
          <w:rFonts w:ascii="Arial" w:hAnsi="Arial" w:cs="Arial"/>
          <w:b/>
          <w:bCs/>
          <w:sz w:val="20"/>
          <w:szCs w:val="20"/>
        </w:rPr>
        <w:t>pasivo</w:t>
      </w:r>
      <w:r w:rsidR="006D0FBD" w:rsidRPr="00AC4AEA">
        <w:rPr>
          <w:rFonts w:ascii="Arial" w:hAnsi="Arial" w:cs="Arial"/>
          <w:sz w:val="20"/>
          <w:szCs w:val="20"/>
        </w:rPr>
        <w:t xml:space="preserve">: </w:t>
      </w:r>
    </w:p>
    <w:p w:rsidR="006D0FBD" w:rsidRPr="00AC4AEA" w:rsidRDefault="007F315E" w:rsidP="00A318EA">
      <w:pPr>
        <w:pStyle w:val="Prrafodelista"/>
        <w:numPr>
          <w:ilvl w:val="0"/>
          <w:numId w:val="33"/>
        </w:numPr>
        <w:ind w:left="1560" w:hanging="567"/>
        <w:contextualSpacing w:val="0"/>
        <w:jc w:val="both"/>
        <w:rPr>
          <w:rFonts w:ascii="Arial" w:hAnsi="Arial" w:cs="Arial"/>
          <w:sz w:val="20"/>
          <w:szCs w:val="20"/>
        </w:rPr>
      </w:pPr>
      <w:r w:rsidRPr="00AC4AEA">
        <w:rPr>
          <w:rFonts w:ascii="Arial" w:hAnsi="Arial" w:cs="Arial"/>
          <w:sz w:val="20"/>
          <w:szCs w:val="20"/>
        </w:rPr>
        <w:t xml:space="preserve">deje </w:t>
      </w:r>
      <w:r w:rsidR="006D0FBD" w:rsidRPr="00AC4AEA">
        <w:rPr>
          <w:rFonts w:ascii="Arial" w:hAnsi="Arial" w:cs="Arial"/>
          <w:sz w:val="20"/>
          <w:szCs w:val="20"/>
        </w:rPr>
        <w:t xml:space="preserve">de pertenecer a una categoría para cuya medición contable </w:t>
      </w:r>
      <w:r w:rsidR="00CD6B74" w:rsidRPr="00AC4AEA">
        <w:rPr>
          <w:rFonts w:ascii="Arial" w:hAnsi="Arial" w:cs="Arial"/>
          <w:sz w:val="20"/>
          <w:szCs w:val="20"/>
        </w:rPr>
        <w:t>debió utilizar</w:t>
      </w:r>
      <w:r w:rsidR="006D0FBD" w:rsidRPr="00AC4AEA">
        <w:rPr>
          <w:rFonts w:ascii="Arial" w:hAnsi="Arial" w:cs="Arial"/>
          <w:sz w:val="20"/>
          <w:szCs w:val="20"/>
        </w:rPr>
        <w:t xml:space="preserve"> importes históricos (por ejemplo, costo o costo menos depreciaciones)</w:t>
      </w:r>
      <w:r w:rsidR="00E46BD8" w:rsidRPr="00AC4AEA">
        <w:rPr>
          <w:rFonts w:ascii="Arial" w:hAnsi="Arial" w:cs="Arial"/>
          <w:sz w:val="20"/>
          <w:szCs w:val="20"/>
        </w:rPr>
        <w:t>;</w:t>
      </w:r>
      <w:r w:rsidR="006D0FBD" w:rsidRPr="00AC4AEA">
        <w:rPr>
          <w:rFonts w:ascii="Arial" w:hAnsi="Arial" w:cs="Arial"/>
          <w:sz w:val="20"/>
          <w:szCs w:val="20"/>
        </w:rPr>
        <w:t xml:space="preserve"> y </w:t>
      </w:r>
    </w:p>
    <w:p w:rsidR="006D0FBD" w:rsidRPr="00AC4AEA" w:rsidRDefault="007F315E" w:rsidP="00A318EA">
      <w:pPr>
        <w:pStyle w:val="Prrafodelista"/>
        <w:numPr>
          <w:ilvl w:val="0"/>
          <w:numId w:val="33"/>
        </w:numPr>
        <w:ind w:left="1560" w:hanging="567"/>
        <w:contextualSpacing w:val="0"/>
        <w:jc w:val="both"/>
        <w:rPr>
          <w:rFonts w:ascii="Arial" w:hAnsi="Arial" w:cs="Arial"/>
          <w:sz w:val="20"/>
          <w:szCs w:val="20"/>
        </w:rPr>
      </w:pPr>
      <w:r w:rsidRPr="00AC4AEA">
        <w:rPr>
          <w:rFonts w:ascii="Arial" w:hAnsi="Arial" w:cs="Arial"/>
          <w:sz w:val="20"/>
          <w:szCs w:val="20"/>
        </w:rPr>
        <w:t xml:space="preserve">comience </w:t>
      </w:r>
      <w:r w:rsidR="006D0FBD" w:rsidRPr="00AC4AEA">
        <w:rPr>
          <w:rFonts w:ascii="Arial" w:hAnsi="Arial" w:cs="Arial"/>
          <w:sz w:val="20"/>
          <w:szCs w:val="20"/>
        </w:rPr>
        <w:t xml:space="preserve">a pertenecer a </w:t>
      </w:r>
      <w:r w:rsidR="00AA753E" w:rsidRPr="00AC4AEA">
        <w:rPr>
          <w:rFonts w:ascii="Arial" w:hAnsi="Arial" w:cs="Arial"/>
          <w:sz w:val="20"/>
          <w:szCs w:val="20"/>
        </w:rPr>
        <w:t xml:space="preserve">una </w:t>
      </w:r>
      <w:r w:rsidR="006D0FBD" w:rsidRPr="00AC4AEA">
        <w:rPr>
          <w:rFonts w:ascii="Arial" w:hAnsi="Arial" w:cs="Arial"/>
          <w:sz w:val="20"/>
          <w:szCs w:val="20"/>
        </w:rPr>
        <w:t xml:space="preserve">categoría para cuya medición contable deba emplear </w:t>
      </w:r>
      <w:r w:rsidR="006D0FBD" w:rsidRPr="00AC4AEA">
        <w:rPr>
          <w:rFonts w:ascii="Arial" w:hAnsi="Arial" w:cs="Arial"/>
          <w:b/>
          <w:bCs/>
          <w:sz w:val="20"/>
          <w:szCs w:val="20"/>
        </w:rPr>
        <w:t>valores corrientes</w:t>
      </w:r>
      <w:r w:rsidR="00EE753B" w:rsidRPr="00AC4AEA">
        <w:rPr>
          <w:rFonts w:ascii="Arial" w:hAnsi="Arial" w:cs="Arial"/>
          <w:sz w:val="20"/>
          <w:szCs w:val="20"/>
        </w:rPr>
        <w:t>.</w:t>
      </w:r>
      <w:r w:rsidR="006D0FBD" w:rsidRPr="00AC4AEA">
        <w:rPr>
          <w:rFonts w:ascii="Arial" w:hAnsi="Arial" w:cs="Arial"/>
          <w:sz w:val="20"/>
          <w:szCs w:val="20"/>
        </w:rPr>
        <w:t xml:space="preserve"> </w:t>
      </w:r>
    </w:p>
    <w:p w:rsidR="00EE753B" w:rsidRPr="00AC4AEA" w:rsidRDefault="00EE753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medirá las diferencias referidas en el párrafo anterior a la fecha de la reclasificación.</w:t>
      </w:r>
    </w:p>
    <w:p w:rsidR="00EE753B" w:rsidRPr="00AC4AEA" w:rsidRDefault="007F2E2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Al aplicar los dos párrafos precedentes, u</w:t>
      </w:r>
      <w:r w:rsidR="00BC1DA0" w:rsidRPr="00AC4AEA">
        <w:rPr>
          <w:rFonts w:ascii="Arial" w:hAnsi="Arial" w:cs="Arial"/>
          <w:sz w:val="20"/>
          <w:szCs w:val="20"/>
        </w:rPr>
        <w:t xml:space="preserve">na entidad </w:t>
      </w:r>
      <w:r w:rsidR="00A44263" w:rsidRPr="00AC4AEA">
        <w:rPr>
          <w:rFonts w:ascii="Arial" w:hAnsi="Arial" w:cs="Arial"/>
          <w:sz w:val="20"/>
          <w:szCs w:val="20"/>
        </w:rPr>
        <w:t>atribuirá</w:t>
      </w:r>
      <w:r w:rsidR="00BC1DA0" w:rsidRPr="00AC4AEA">
        <w:rPr>
          <w:rFonts w:ascii="Arial" w:hAnsi="Arial" w:cs="Arial"/>
          <w:sz w:val="20"/>
          <w:szCs w:val="20"/>
        </w:rPr>
        <w:t xml:space="preserve"> al </w:t>
      </w:r>
      <w:r w:rsidR="00A06C32" w:rsidRPr="00AC4AEA">
        <w:rPr>
          <w:rFonts w:ascii="Arial" w:hAnsi="Arial" w:cs="Arial"/>
          <w:b/>
          <w:sz w:val="20"/>
          <w:szCs w:val="20"/>
        </w:rPr>
        <w:t>valor corriente</w:t>
      </w:r>
      <w:r w:rsidR="00BC1DA0" w:rsidRPr="00AC4AEA">
        <w:rPr>
          <w:rFonts w:ascii="Arial" w:hAnsi="Arial" w:cs="Arial"/>
          <w:sz w:val="20"/>
          <w:szCs w:val="20"/>
        </w:rPr>
        <w:t xml:space="preserve"> de una partida el carácter de </w:t>
      </w:r>
      <w:r w:rsidR="00A44263" w:rsidRPr="00AC4AEA">
        <w:rPr>
          <w:rFonts w:ascii="Arial" w:hAnsi="Arial" w:cs="Arial"/>
          <w:b/>
          <w:bCs/>
          <w:sz w:val="20"/>
          <w:szCs w:val="20"/>
        </w:rPr>
        <w:t>costo</w:t>
      </w:r>
      <w:r w:rsidR="008F40C8" w:rsidRPr="00AC4AEA">
        <w:rPr>
          <w:rFonts w:ascii="Arial" w:hAnsi="Arial" w:cs="Arial"/>
          <w:b/>
          <w:bCs/>
          <w:sz w:val="20"/>
          <w:szCs w:val="20"/>
        </w:rPr>
        <w:t xml:space="preserve"> atribuido</w:t>
      </w:r>
      <w:r w:rsidR="00A44263" w:rsidRPr="00AC4AEA">
        <w:rPr>
          <w:rFonts w:ascii="Arial" w:hAnsi="Arial" w:cs="Arial"/>
          <w:sz w:val="20"/>
          <w:szCs w:val="20"/>
        </w:rPr>
        <w:t xml:space="preserve"> </w:t>
      </w:r>
      <w:r w:rsidR="00BC1DA0" w:rsidRPr="00AC4AEA">
        <w:rPr>
          <w:rFonts w:ascii="Arial" w:hAnsi="Arial" w:cs="Arial"/>
          <w:sz w:val="20"/>
          <w:szCs w:val="20"/>
        </w:rPr>
        <w:t xml:space="preserve">cuando un </w:t>
      </w:r>
      <w:r w:rsidR="00BC1DA0" w:rsidRPr="00AC4AEA">
        <w:rPr>
          <w:rFonts w:ascii="Arial" w:hAnsi="Arial" w:cs="Arial"/>
          <w:b/>
          <w:bCs/>
          <w:sz w:val="20"/>
          <w:szCs w:val="20"/>
        </w:rPr>
        <w:t>activo</w:t>
      </w:r>
      <w:r w:rsidR="00BC1DA0" w:rsidRPr="00AC4AEA">
        <w:rPr>
          <w:rFonts w:ascii="Arial" w:hAnsi="Arial" w:cs="Arial"/>
          <w:sz w:val="20"/>
          <w:szCs w:val="20"/>
        </w:rPr>
        <w:t xml:space="preserve"> o un </w:t>
      </w:r>
      <w:r w:rsidR="00BC1DA0" w:rsidRPr="00AC4AEA">
        <w:rPr>
          <w:rFonts w:ascii="Arial" w:hAnsi="Arial" w:cs="Arial"/>
          <w:b/>
          <w:bCs/>
          <w:sz w:val="20"/>
          <w:szCs w:val="20"/>
        </w:rPr>
        <w:t>pasivo</w:t>
      </w:r>
      <w:r w:rsidR="00BC1DA0" w:rsidRPr="00AC4AEA">
        <w:rPr>
          <w:rFonts w:ascii="Arial" w:hAnsi="Arial" w:cs="Arial"/>
          <w:sz w:val="20"/>
          <w:szCs w:val="20"/>
        </w:rPr>
        <w:t>:</w:t>
      </w:r>
    </w:p>
    <w:p w:rsidR="006D7A0B" w:rsidRPr="00AC4AEA" w:rsidRDefault="007F315E" w:rsidP="00A318EA">
      <w:pPr>
        <w:pStyle w:val="Prrafodelista"/>
        <w:numPr>
          <w:ilvl w:val="0"/>
          <w:numId w:val="39"/>
        </w:numPr>
        <w:ind w:left="1560" w:hanging="567"/>
        <w:contextualSpacing w:val="0"/>
        <w:jc w:val="both"/>
        <w:rPr>
          <w:rFonts w:ascii="Arial" w:hAnsi="Arial" w:cs="Arial"/>
          <w:sz w:val="20"/>
          <w:szCs w:val="20"/>
        </w:rPr>
      </w:pPr>
      <w:r w:rsidRPr="00AC4AEA">
        <w:rPr>
          <w:rFonts w:ascii="Arial" w:hAnsi="Arial" w:cs="Arial"/>
          <w:sz w:val="20"/>
          <w:szCs w:val="20"/>
        </w:rPr>
        <w:t xml:space="preserve">deje </w:t>
      </w:r>
      <w:r w:rsidR="006D0FBD" w:rsidRPr="00AC4AEA">
        <w:rPr>
          <w:rFonts w:ascii="Arial" w:hAnsi="Arial" w:cs="Arial"/>
          <w:sz w:val="20"/>
          <w:szCs w:val="20"/>
        </w:rPr>
        <w:t xml:space="preserve">de pertenecer a una categoría para cuya medición contable </w:t>
      </w:r>
      <w:r w:rsidR="00CD6B74" w:rsidRPr="00AC4AEA">
        <w:rPr>
          <w:rFonts w:ascii="Arial" w:hAnsi="Arial" w:cs="Arial"/>
          <w:sz w:val="20"/>
          <w:szCs w:val="20"/>
        </w:rPr>
        <w:t>debió utilizar</w:t>
      </w:r>
      <w:r w:rsidR="006D0FBD" w:rsidRPr="00AC4AEA">
        <w:rPr>
          <w:rFonts w:ascii="Arial" w:hAnsi="Arial" w:cs="Arial"/>
          <w:sz w:val="20"/>
          <w:szCs w:val="20"/>
        </w:rPr>
        <w:t xml:space="preserve"> </w:t>
      </w:r>
      <w:r w:rsidR="006D0FBD" w:rsidRPr="00AC4AEA">
        <w:rPr>
          <w:rFonts w:ascii="Arial" w:hAnsi="Arial" w:cs="Arial"/>
          <w:b/>
          <w:bCs/>
          <w:sz w:val="20"/>
          <w:szCs w:val="20"/>
        </w:rPr>
        <w:t>valores corrientes</w:t>
      </w:r>
      <w:r w:rsidR="00DB58EA" w:rsidRPr="00AC4AEA">
        <w:rPr>
          <w:rFonts w:ascii="Arial" w:hAnsi="Arial" w:cs="Arial"/>
          <w:sz w:val="20"/>
          <w:szCs w:val="20"/>
        </w:rPr>
        <w:t>;</w:t>
      </w:r>
      <w:r w:rsidR="006D0FBD" w:rsidRPr="00AC4AEA">
        <w:rPr>
          <w:rFonts w:ascii="Arial" w:hAnsi="Arial" w:cs="Arial"/>
          <w:sz w:val="20"/>
          <w:szCs w:val="20"/>
        </w:rPr>
        <w:t xml:space="preserve"> y </w:t>
      </w:r>
    </w:p>
    <w:p w:rsidR="006D0FBD" w:rsidRPr="00AC4AEA" w:rsidRDefault="007F315E" w:rsidP="00A318EA">
      <w:pPr>
        <w:pStyle w:val="Prrafodelista"/>
        <w:numPr>
          <w:ilvl w:val="0"/>
          <w:numId w:val="39"/>
        </w:numPr>
        <w:ind w:left="1560" w:hanging="567"/>
        <w:contextualSpacing w:val="0"/>
        <w:jc w:val="both"/>
        <w:rPr>
          <w:rFonts w:ascii="Arial" w:hAnsi="Arial" w:cs="Arial"/>
          <w:sz w:val="20"/>
          <w:szCs w:val="20"/>
        </w:rPr>
      </w:pPr>
      <w:r w:rsidRPr="00AC4AEA">
        <w:rPr>
          <w:rFonts w:ascii="Arial" w:hAnsi="Arial" w:cs="Arial"/>
          <w:sz w:val="20"/>
          <w:szCs w:val="20"/>
        </w:rPr>
        <w:t xml:space="preserve">comience </w:t>
      </w:r>
      <w:r w:rsidR="006D0FBD" w:rsidRPr="00AC4AEA">
        <w:rPr>
          <w:rFonts w:ascii="Arial" w:hAnsi="Arial" w:cs="Arial"/>
          <w:sz w:val="20"/>
          <w:szCs w:val="20"/>
        </w:rPr>
        <w:t xml:space="preserve">a pertenecer a </w:t>
      </w:r>
      <w:r w:rsidR="00AA753E" w:rsidRPr="00AC4AEA">
        <w:rPr>
          <w:rFonts w:ascii="Arial" w:hAnsi="Arial" w:cs="Arial"/>
          <w:sz w:val="20"/>
          <w:szCs w:val="20"/>
        </w:rPr>
        <w:t>una</w:t>
      </w:r>
      <w:r w:rsidR="00FB2865" w:rsidRPr="00AC4AEA">
        <w:rPr>
          <w:rFonts w:ascii="Arial" w:hAnsi="Arial" w:cs="Arial"/>
          <w:sz w:val="20"/>
          <w:szCs w:val="20"/>
        </w:rPr>
        <w:t xml:space="preserve"> </w:t>
      </w:r>
      <w:r w:rsidR="006D0FBD" w:rsidRPr="00AC4AEA">
        <w:rPr>
          <w:rFonts w:ascii="Arial" w:hAnsi="Arial" w:cs="Arial"/>
          <w:sz w:val="20"/>
          <w:szCs w:val="20"/>
        </w:rPr>
        <w:t xml:space="preserve">categoría para cuya medición contable deba </w:t>
      </w:r>
      <w:r w:rsidR="00CD6B74" w:rsidRPr="00AC4AEA">
        <w:rPr>
          <w:rFonts w:ascii="Arial" w:hAnsi="Arial" w:cs="Arial"/>
          <w:sz w:val="20"/>
          <w:szCs w:val="20"/>
        </w:rPr>
        <w:t xml:space="preserve">emplear </w:t>
      </w:r>
      <w:r w:rsidR="00A44263" w:rsidRPr="00AC4AEA">
        <w:rPr>
          <w:rFonts w:ascii="Arial" w:hAnsi="Arial" w:cs="Arial"/>
          <w:sz w:val="20"/>
          <w:szCs w:val="20"/>
        </w:rPr>
        <w:t xml:space="preserve">una medición basada en el </w:t>
      </w:r>
      <w:r w:rsidR="00A44263" w:rsidRPr="00AC4AEA">
        <w:rPr>
          <w:rFonts w:ascii="Arial" w:hAnsi="Arial" w:cs="Arial"/>
          <w:b/>
          <w:bCs/>
          <w:sz w:val="20"/>
          <w:szCs w:val="20"/>
        </w:rPr>
        <w:t>costo</w:t>
      </w:r>
      <w:r w:rsidR="00BC1DA0" w:rsidRPr="00AC4AEA">
        <w:rPr>
          <w:rFonts w:ascii="Arial" w:hAnsi="Arial" w:cs="Arial"/>
          <w:sz w:val="20"/>
          <w:szCs w:val="20"/>
        </w:rPr>
        <w:t>.</w:t>
      </w:r>
      <w:r w:rsidR="006D0FBD" w:rsidRPr="00AC4AEA">
        <w:rPr>
          <w:rFonts w:ascii="Arial" w:hAnsi="Arial" w:cs="Arial"/>
          <w:sz w:val="20"/>
          <w:szCs w:val="20"/>
        </w:rPr>
        <w:t xml:space="preserve"> </w:t>
      </w:r>
    </w:p>
    <w:p w:rsidR="006D0FBD" w:rsidRPr="00AC4AEA" w:rsidRDefault="006D0FBD" w:rsidP="00A318EA">
      <w:pPr>
        <w:jc w:val="both"/>
        <w:rPr>
          <w:rFonts w:ascii="Arial" w:hAnsi="Arial" w:cs="Arial"/>
          <w:sz w:val="20"/>
          <w:szCs w:val="20"/>
        </w:rPr>
      </w:pPr>
    </w:p>
    <w:p w:rsidR="00EE49CA" w:rsidRPr="00AC4AEA" w:rsidRDefault="003E1B81" w:rsidP="00A318EA">
      <w:pPr>
        <w:pStyle w:val="Ttulo1"/>
        <w:rPr>
          <w:rFonts w:cs="Arial"/>
          <w:bCs/>
          <w:sz w:val="20"/>
          <w:szCs w:val="20"/>
        </w:rPr>
      </w:pPr>
      <w:bookmarkStart w:id="110" w:name="_Toc101863732"/>
      <w:bookmarkStart w:id="111" w:name="_Toc139356595"/>
      <w:r w:rsidRPr="00AC4AEA">
        <w:rPr>
          <w:rFonts w:cs="Arial"/>
          <w:sz w:val="20"/>
          <w:szCs w:val="20"/>
        </w:rPr>
        <w:t>C</w:t>
      </w:r>
      <w:r w:rsidR="00B34D02" w:rsidRPr="00AC4AEA">
        <w:rPr>
          <w:rFonts w:cs="Arial"/>
          <w:caps w:val="0"/>
          <w:sz w:val="20"/>
          <w:szCs w:val="20"/>
        </w:rPr>
        <w:t xml:space="preserve">onsideración de los hechos posteriores en la preparación de los </w:t>
      </w:r>
      <w:r w:rsidR="00B34D02" w:rsidRPr="00AC4AEA">
        <w:rPr>
          <w:rFonts w:cs="Arial"/>
          <w:bCs/>
          <w:caps w:val="0"/>
          <w:sz w:val="20"/>
          <w:szCs w:val="20"/>
        </w:rPr>
        <w:t>estados contables</w:t>
      </w:r>
      <w:bookmarkEnd w:id="110"/>
      <w:bookmarkEnd w:id="111"/>
    </w:p>
    <w:p w:rsidR="009204CC" w:rsidRPr="00AC4AEA" w:rsidRDefault="009204CC" w:rsidP="00A318EA">
      <w:pPr>
        <w:pStyle w:val="Prrafodelista"/>
        <w:numPr>
          <w:ilvl w:val="0"/>
          <w:numId w:val="29"/>
        </w:numPr>
        <w:contextualSpacing w:val="0"/>
        <w:jc w:val="both"/>
        <w:rPr>
          <w:rFonts w:ascii="Arial" w:hAnsi="Arial" w:cs="Arial"/>
          <w:sz w:val="20"/>
          <w:szCs w:val="20"/>
        </w:rPr>
      </w:pPr>
      <w:bookmarkStart w:id="112" w:name="_Ref80605627"/>
      <w:bookmarkStart w:id="113" w:name="_Ref104825833"/>
      <w:r w:rsidRPr="00AC4AEA">
        <w:rPr>
          <w:rFonts w:ascii="Arial" w:hAnsi="Arial" w:cs="Arial"/>
          <w:sz w:val="20"/>
          <w:szCs w:val="20"/>
        </w:rPr>
        <w:t>Una entidad considerar</w:t>
      </w:r>
      <w:bookmarkEnd w:id="112"/>
      <w:r w:rsidRPr="00AC4AEA">
        <w:rPr>
          <w:rFonts w:ascii="Arial" w:hAnsi="Arial" w:cs="Arial"/>
          <w:sz w:val="20"/>
          <w:szCs w:val="20"/>
        </w:rPr>
        <w:t xml:space="preserve">á </w:t>
      </w:r>
      <w:r w:rsidR="00A51668" w:rsidRPr="00AC4AEA">
        <w:rPr>
          <w:rFonts w:ascii="Arial" w:hAnsi="Arial" w:cs="Arial"/>
          <w:sz w:val="20"/>
          <w:szCs w:val="20"/>
        </w:rPr>
        <w:t xml:space="preserve">los efectos de los siguientes hechos y circunstancias ocurridos entre la </w:t>
      </w:r>
      <w:r w:rsidR="00A51668"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A51668" w:rsidRPr="00AC4AEA">
        <w:rPr>
          <w:rFonts w:ascii="Arial" w:hAnsi="Arial" w:cs="Arial"/>
          <w:sz w:val="20"/>
          <w:szCs w:val="20"/>
        </w:rPr>
        <w:t xml:space="preserve"> y la de su aprobación por parte de la </w:t>
      </w:r>
      <w:r w:rsidR="00A51668" w:rsidRPr="00AC4AEA">
        <w:rPr>
          <w:rFonts w:ascii="Arial" w:hAnsi="Arial" w:cs="Arial"/>
          <w:b/>
          <w:bCs/>
          <w:sz w:val="20"/>
          <w:szCs w:val="20"/>
        </w:rPr>
        <w:t>dirección</w:t>
      </w:r>
      <w:r w:rsidR="00A51668" w:rsidRPr="00AC4AEA">
        <w:rPr>
          <w:rFonts w:ascii="Arial" w:hAnsi="Arial" w:cs="Arial"/>
          <w:sz w:val="20"/>
          <w:szCs w:val="20"/>
        </w:rPr>
        <w:t>:</w:t>
      </w:r>
      <w:bookmarkEnd w:id="113"/>
      <w:r w:rsidR="00A51668" w:rsidRPr="00AC4AEA">
        <w:rPr>
          <w:rFonts w:ascii="Arial" w:hAnsi="Arial" w:cs="Arial"/>
          <w:sz w:val="20"/>
          <w:szCs w:val="20"/>
        </w:rPr>
        <w:t xml:space="preserve"> </w:t>
      </w:r>
    </w:p>
    <w:p w:rsidR="009204CC" w:rsidRPr="00AC4AEA" w:rsidRDefault="009204CC" w:rsidP="00A318EA">
      <w:pPr>
        <w:pStyle w:val="Prrafodelista"/>
        <w:numPr>
          <w:ilvl w:val="1"/>
          <w:numId w:val="29"/>
        </w:numPr>
        <w:ind w:left="1559"/>
        <w:contextualSpacing w:val="0"/>
        <w:jc w:val="both"/>
        <w:rPr>
          <w:rFonts w:ascii="Arial" w:hAnsi="Arial" w:cs="Arial"/>
          <w:sz w:val="20"/>
          <w:szCs w:val="20"/>
        </w:rPr>
      </w:pPr>
      <w:r w:rsidRPr="00AC4AEA">
        <w:rPr>
          <w:rFonts w:ascii="Arial" w:hAnsi="Arial" w:cs="Arial"/>
          <w:sz w:val="20"/>
          <w:szCs w:val="20"/>
        </w:rPr>
        <w:t xml:space="preserve">hechos posteriores confirmatorios, que proporcionan evidencia de las condiciones que existían a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xml:space="preserve"> e implican ajustes retro</w:t>
      </w:r>
      <w:r w:rsidR="00497590" w:rsidRPr="00AC4AEA">
        <w:rPr>
          <w:rFonts w:ascii="Arial" w:hAnsi="Arial" w:cs="Arial"/>
          <w:sz w:val="20"/>
          <w:szCs w:val="20"/>
        </w:rPr>
        <w:t>activos</w:t>
      </w:r>
      <w:r w:rsidRPr="00AC4AEA">
        <w:rPr>
          <w:rFonts w:ascii="Arial" w:hAnsi="Arial" w:cs="Arial"/>
          <w:sz w:val="20"/>
          <w:szCs w:val="20"/>
        </w:rPr>
        <w:t>; y</w:t>
      </w:r>
    </w:p>
    <w:p w:rsidR="009204CC" w:rsidRPr="00AC4AEA" w:rsidRDefault="00726FFA" w:rsidP="00A318EA">
      <w:pPr>
        <w:pStyle w:val="Prrafodelista"/>
        <w:numPr>
          <w:ilvl w:val="1"/>
          <w:numId w:val="29"/>
        </w:numPr>
        <w:ind w:left="1559"/>
        <w:contextualSpacing w:val="0"/>
        <w:jc w:val="both"/>
        <w:rPr>
          <w:rFonts w:ascii="Arial" w:hAnsi="Arial" w:cs="Arial"/>
          <w:sz w:val="20"/>
          <w:szCs w:val="20"/>
        </w:rPr>
      </w:pPr>
      <w:r w:rsidRPr="00AC4AEA">
        <w:rPr>
          <w:rFonts w:ascii="Arial" w:hAnsi="Arial" w:cs="Arial"/>
          <w:sz w:val="20"/>
          <w:szCs w:val="20"/>
        </w:rPr>
        <w:t>hechos posteriores nuevos, que no requieren ajustes retro</w:t>
      </w:r>
      <w:r w:rsidR="00497590" w:rsidRPr="00AC4AEA">
        <w:rPr>
          <w:rFonts w:ascii="Arial" w:hAnsi="Arial" w:cs="Arial"/>
          <w:sz w:val="20"/>
          <w:szCs w:val="20"/>
        </w:rPr>
        <w:t>activos</w:t>
      </w:r>
      <w:r w:rsidRPr="00AC4AEA">
        <w:rPr>
          <w:rFonts w:ascii="Arial" w:hAnsi="Arial" w:cs="Arial"/>
          <w:sz w:val="20"/>
          <w:szCs w:val="20"/>
        </w:rPr>
        <w:t xml:space="preserve"> </w:t>
      </w:r>
      <w:r w:rsidR="00671644" w:rsidRPr="00AC4AEA">
        <w:rPr>
          <w:rFonts w:ascii="Arial" w:hAnsi="Arial" w:cs="Arial"/>
          <w:sz w:val="20"/>
          <w:szCs w:val="20"/>
        </w:rPr>
        <w:t xml:space="preserve">pero que deberán revelarse en notas </w:t>
      </w:r>
      <w:r w:rsidR="00A102B4" w:rsidRPr="00AC4AEA">
        <w:rPr>
          <w:rFonts w:ascii="Arial" w:hAnsi="Arial" w:cs="Arial"/>
          <w:sz w:val="20"/>
          <w:szCs w:val="20"/>
        </w:rPr>
        <w:t>en tanto afecten</w:t>
      </w:r>
      <w:r w:rsidR="00671644" w:rsidRPr="00AC4AEA">
        <w:rPr>
          <w:rFonts w:ascii="Arial" w:hAnsi="Arial" w:cs="Arial"/>
          <w:sz w:val="20"/>
          <w:szCs w:val="20"/>
        </w:rPr>
        <w:t xml:space="preserve"> o pued</w:t>
      </w:r>
      <w:r w:rsidR="00A102B4" w:rsidRPr="00AC4AEA">
        <w:rPr>
          <w:rFonts w:ascii="Arial" w:hAnsi="Arial" w:cs="Arial"/>
          <w:sz w:val="20"/>
          <w:szCs w:val="20"/>
        </w:rPr>
        <w:t>a</w:t>
      </w:r>
      <w:r w:rsidR="00671644" w:rsidRPr="00AC4AEA">
        <w:rPr>
          <w:rFonts w:ascii="Arial" w:hAnsi="Arial" w:cs="Arial"/>
          <w:sz w:val="20"/>
          <w:szCs w:val="20"/>
        </w:rPr>
        <w:t xml:space="preserve">n afectar </w:t>
      </w:r>
      <w:r w:rsidR="00671644" w:rsidRPr="00AC4AEA">
        <w:rPr>
          <w:rFonts w:ascii="Arial" w:hAnsi="Arial" w:cs="Arial"/>
          <w:sz w:val="20"/>
          <w:szCs w:val="20"/>
        </w:rPr>
        <w:lastRenderedPageBreak/>
        <w:t>significativamente</w:t>
      </w:r>
      <w:r w:rsidRPr="00AC4AEA">
        <w:rPr>
          <w:rFonts w:ascii="Arial" w:hAnsi="Arial" w:cs="Arial"/>
          <w:sz w:val="20"/>
          <w:szCs w:val="20"/>
        </w:rPr>
        <w:t xml:space="preserve"> la </w:t>
      </w:r>
      <w:r w:rsidRPr="00AC4AEA">
        <w:rPr>
          <w:rFonts w:ascii="Arial" w:hAnsi="Arial" w:cs="Arial"/>
          <w:b/>
          <w:bCs/>
          <w:sz w:val="20"/>
          <w:szCs w:val="20"/>
        </w:rPr>
        <w:t>situación patrimonial</w:t>
      </w:r>
      <w:r w:rsidRPr="00AC4AEA">
        <w:rPr>
          <w:rFonts w:ascii="Arial" w:hAnsi="Arial" w:cs="Arial"/>
          <w:sz w:val="20"/>
          <w:szCs w:val="20"/>
        </w:rPr>
        <w:t xml:space="preserve">, </w:t>
      </w:r>
      <w:r w:rsidR="00A102B4" w:rsidRPr="00AC4AEA">
        <w:rPr>
          <w:rFonts w:ascii="Arial" w:hAnsi="Arial" w:cs="Arial"/>
          <w:sz w:val="20"/>
          <w:szCs w:val="20"/>
        </w:rPr>
        <w:t>la</w:t>
      </w:r>
      <w:r w:rsidRPr="00AC4AEA">
        <w:rPr>
          <w:rFonts w:ascii="Arial" w:hAnsi="Arial" w:cs="Arial"/>
          <w:sz w:val="20"/>
          <w:szCs w:val="20"/>
        </w:rPr>
        <w:t xml:space="preserve"> </w:t>
      </w:r>
      <w:r w:rsidR="00754D8E" w:rsidRPr="00AC4AEA">
        <w:rPr>
          <w:rFonts w:ascii="Arial" w:hAnsi="Arial" w:cs="Arial"/>
          <w:b/>
          <w:bCs/>
          <w:sz w:val="20"/>
          <w:szCs w:val="20"/>
        </w:rPr>
        <w:t>evolución patrimonial</w:t>
      </w:r>
      <w:r w:rsidRPr="00AC4AEA">
        <w:rPr>
          <w:rFonts w:ascii="Arial" w:hAnsi="Arial" w:cs="Arial"/>
          <w:sz w:val="20"/>
          <w:szCs w:val="20"/>
        </w:rPr>
        <w:t xml:space="preserve"> o </w:t>
      </w:r>
      <w:r w:rsidR="00A102B4" w:rsidRPr="00AC4AEA">
        <w:rPr>
          <w:rFonts w:ascii="Arial" w:hAnsi="Arial" w:cs="Arial"/>
          <w:sz w:val="20"/>
          <w:szCs w:val="20"/>
        </w:rPr>
        <w:t>la</w:t>
      </w:r>
      <w:r w:rsidRPr="00AC4AEA">
        <w:rPr>
          <w:rFonts w:ascii="Arial" w:hAnsi="Arial" w:cs="Arial"/>
          <w:sz w:val="20"/>
          <w:szCs w:val="20"/>
        </w:rPr>
        <w:t xml:space="preserve"> </w:t>
      </w:r>
      <w:r w:rsidRPr="00DD6554">
        <w:rPr>
          <w:rFonts w:ascii="Arial" w:hAnsi="Arial" w:cs="Arial"/>
          <w:b/>
          <w:bCs/>
          <w:sz w:val="20"/>
          <w:szCs w:val="20"/>
        </w:rPr>
        <w:t xml:space="preserve">evolución </w:t>
      </w:r>
      <w:r w:rsidR="00754D8E" w:rsidRPr="00DD6554">
        <w:rPr>
          <w:rFonts w:ascii="Arial" w:hAnsi="Arial" w:cs="Arial"/>
          <w:b/>
          <w:bCs/>
          <w:sz w:val="20"/>
          <w:szCs w:val="20"/>
        </w:rPr>
        <w:t>financiera</w:t>
      </w:r>
      <w:r w:rsidR="00A102B4" w:rsidRPr="00AC4AEA">
        <w:rPr>
          <w:rFonts w:ascii="Arial" w:hAnsi="Arial" w:cs="Arial"/>
          <w:sz w:val="20"/>
          <w:szCs w:val="20"/>
        </w:rPr>
        <w:t xml:space="preserve"> de la entidad</w:t>
      </w:r>
      <w:r w:rsidR="00A51668" w:rsidRPr="00AC4AEA">
        <w:rPr>
          <w:rFonts w:ascii="Arial" w:hAnsi="Arial" w:cs="Arial"/>
          <w:sz w:val="20"/>
          <w:szCs w:val="20"/>
        </w:rPr>
        <w:t>.</w:t>
      </w:r>
    </w:p>
    <w:p w:rsidR="00230E60" w:rsidRPr="00AC4AEA" w:rsidRDefault="00230E60" w:rsidP="00A318EA">
      <w:pPr>
        <w:jc w:val="both"/>
        <w:rPr>
          <w:rFonts w:ascii="Arial" w:hAnsi="Arial" w:cs="Arial"/>
          <w:sz w:val="20"/>
          <w:szCs w:val="20"/>
        </w:rPr>
      </w:pPr>
    </w:p>
    <w:p w:rsidR="0090400F" w:rsidRPr="00AC4AEA" w:rsidRDefault="003E1B81" w:rsidP="00A318EA">
      <w:pPr>
        <w:pStyle w:val="Ttulo1"/>
        <w:rPr>
          <w:rFonts w:cs="Arial"/>
          <w:sz w:val="20"/>
          <w:szCs w:val="20"/>
        </w:rPr>
      </w:pPr>
      <w:bookmarkStart w:id="114" w:name="_Toc101863733"/>
      <w:bookmarkStart w:id="115" w:name="_Toc139356596"/>
      <w:r w:rsidRPr="00AC4AEA">
        <w:rPr>
          <w:rFonts w:cs="Arial"/>
          <w:sz w:val="20"/>
          <w:szCs w:val="20"/>
        </w:rPr>
        <w:t>U</w:t>
      </w:r>
      <w:r w:rsidR="00B34D02" w:rsidRPr="00AC4AEA">
        <w:rPr>
          <w:rFonts w:cs="Arial"/>
          <w:caps w:val="0"/>
          <w:sz w:val="20"/>
          <w:szCs w:val="20"/>
        </w:rPr>
        <w:t>nidad de medida</w:t>
      </w:r>
      <w:bookmarkEnd w:id="114"/>
      <w:bookmarkEnd w:id="115"/>
    </w:p>
    <w:p w:rsidR="00E540FF" w:rsidRPr="00AC4AEA" w:rsidRDefault="0090400F" w:rsidP="00A318EA">
      <w:pPr>
        <w:pStyle w:val="Prrafodelista"/>
        <w:numPr>
          <w:ilvl w:val="0"/>
          <w:numId w:val="29"/>
        </w:numPr>
        <w:contextualSpacing w:val="0"/>
        <w:jc w:val="both"/>
        <w:rPr>
          <w:rFonts w:ascii="Arial" w:hAnsi="Arial" w:cs="Arial"/>
          <w:sz w:val="20"/>
          <w:szCs w:val="20"/>
        </w:rPr>
      </w:pPr>
      <w:bookmarkStart w:id="116" w:name="_Ref73957015"/>
      <w:r w:rsidRPr="00AC4AEA">
        <w:rPr>
          <w:rFonts w:ascii="Arial" w:hAnsi="Arial" w:cs="Arial"/>
          <w:sz w:val="20"/>
          <w:szCs w:val="20"/>
        </w:rPr>
        <w:t>Una entidad</w:t>
      </w:r>
      <w:r w:rsidR="00AF23E6" w:rsidRPr="00AC4AEA">
        <w:rPr>
          <w:rFonts w:ascii="Arial" w:hAnsi="Arial" w:cs="Arial"/>
          <w:sz w:val="20"/>
          <w:szCs w:val="20"/>
        </w:rPr>
        <w:t xml:space="preserve"> emitirá sus </w:t>
      </w:r>
      <w:r w:rsidR="00135084" w:rsidRPr="00AC4AEA">
        <w:rPr>
          <w:rFonts w:ascii="Arial" w:hAnsi="Arial" w:cs="Arial"/>
          <w:b/>
          <w:bCs/>
          <w:sz w:val="20"/>
          <w:szCs w:val="20"/>
        </w:rPr>
        <w:t>estados contables</w:t>
      </w:r>
      <w:r w:rsidR="00E540FF" w:rsidRPr="00AC4AEA">
        <w:rPr>
          <w:rFonts w:ascii="Arial" w:hAnsi="Arial" w:cs="Arial"/>
          <w:sz w:val="20"/>
          <w:szCs w:val="20"/>
        </w:rPr>
        <w:t>:</w:t>
      </w:r>
      <w:bookmarkEnd w:id="116"/>
    </w:p>
    <w:p w:rsidR="0090400F" w:rsidRPr="00AC4AEA" w:rsidRDefault="00F0242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S</w:t>
      </w:r>
      <w:r w:rsidR="00A51668" w:rsidRPr="00AC4AEA">
        <w:rPr>
          <w:rFonts w:ascii="Arial" w:hAnsi="Arial" w:cs="Arial"/>
          <w:sz w:val="20"/>
          <w:szCs w:val="20"/>
        </w:rPr>
        <w:t xml:space="preserve">in </w:t>
      </w:r>
      <w:r w:rsidR="003B015D" w:rsidRPr="00AC4AEA">
        <w:rPr>
          <w:rFonts w:ascii="Arial" w:hAnsi="Arial" w:cs="Arial"/>
          <w:sz w:val="20"/>
          <w:szCs w:val="20"/>
        </w:rPr>
        <w:t>ajustar por inflación</w:t>
      </w:r>
      <w:r w:rsidR="00A5049D" w:rsidRPr="00AC4AEA">
        <w:rPr>
          <w:rFonts w:ascii="Arial" w:hAnsi="Arial" w:cs="Arial"/>
          <w:sz w:val="20"/>
          <w:szCs w:val="20"/>
        </w:rPr>
        <w:t>,</w:t>
      </w:r>
      <w:r w:rsidR="0090400F" w:rsidRPr="00AC4AEA">
        <w:rPr>
          <w:rFonts w:ascii="Arial" w:hAnsi="Arial" w:cs="Arial"/>
          <w:sz w:val="20"/>
          <w:szCs w:val="20"/>
        </w:rPr>
        <w:t xml:space="preserve"> en un contexto de estabilidad</w:t>
      </w:r>
      <w:r w:rsidR="00721E97" w:rsidRPr="00AC4AEA">
        <w:rPr>
          <w:rFonts w:ascii="Arial" w:hAnsi="Arial" w:cs="Arial"/>
          <w:sz w:val="20"/>
          <w:szCs w:val="20"/>
        </w:rPr>
        <w:t xml:space="preserve"> (para fines contables)</w:t>
      </w:r>
      <w:r w:rsidR="002172DD" w:rsidRPr="00AC4AEA">
        <w:rPr>
          <w:rFonts w:ascii="Arial" w:hAnsi="Arial" w:cs="Arial"/>
          <w:sz w:val="20"/>
          <w:szCs w:val="20"/>
        </w:rPr>
        <w:t>.</w:t>
      </w:r>
      <w:r w:rsidR="000E7426" w:rsidRPr="00AC4AEA">
        <w:rPr>
          <w:rFonts w:ascii="Arial" w:hAnsi="Arial" w:cs="Arial"/>
          <w:sz w:val="20"/>
          <w:szCs w:val="20"/>
        </w:rPr>
        <w:t xml:space="preserve"> </w:t>
      </w:r>
    </w:p>
    <w:p w:rsidR="0090400F" w:rsidRPr="00AC4AEA" w:rsidRDefault="00AF23E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8F309B" w:rsidRPr="00AC4AEA">
        <w:rPr>
          <w:rFonts w:ascii="Arial" w:hAnsi="Arial" w:cs="Arial"/>
          <w:sz w:val="20"/>
          <w:szCs w:val="20"/>
        </w:rPr>
        <w:t>n</w:t>
      </w:r>
      <w:r w:rsidR="0090400F" w:rsidRPr="00AC4AEA">
        <w:rPr>
          <w:rFonts w:ascii="Arial" w:hAnsi="Arial" w:cs="Arial"/>
          <w:sz w:val="20"/>
          <w:szCs w:val="20"/>
        </w:rPr>
        <w:t xml:space="preserve"> </w:t>
      </w:r>
      <w:r w:rsidR="00646268" w:rsidRPr="00AC4AEA">
        <w:rPr>
          <w:rFonts w:ascii="Arial" w:hAnsi="Arial" w:cs="Arial"/>
          <w:sz w:val="20"/>
          <w:szCs w:val="20"/>
        </w:rPr>
        <w:t xml:space="preserve">moneda </w:t>
      </w:r>
      <w:r w:rsidR="00F02420" w:rsidRPr="00AC4AEA">
        <w:rPr>
          <w:rFonts w:ascii="Arial" w:hAnsi="Arial" w:cs="Arial"/>
          <w:sz w:val="20"/>
          <w:szCs w:val="20"/>
        </w:rPr>
        <w:t xml:space="preserve">de cierre (es decir, en moneda </w:t>
      </w:r>
      <w:r w:rsidR="00646268" w:rsidRPr="00AC4AEA">
        <w:rPr>
          <w:rFonts w:ascii="Arial" w:hAnsi="Arial" w:cs="Arial"/>
          <w:sz w:val="20"/>
          <w:szCs w:val="20"/>
        </w:rPr>
        <w:t xml:space="preserve">de </w:t>
      </w:r>
      <w:r w:rsidR="00A5049D" w:rsidRPr="00AC4AEA">
        <w:rPr>
          <w:rFonts w:ascii="Arial" w:hAnsi="Arial" w:cs="Arial"/>
          <w:sz w:val="20"/>
          <w:szCs w:val="20"/>
        </w:rPr>
        <w:t>poder adquisitivo</w:t>
      </w:r>
      <w:r w:rsidR="0090400F" w:rsidRPr="00AC4AEA">
        <w:rPr>
          <w:rFonts w:ascii="Arial" w:hAnsi="Arial" w:cs="Arial"/>
          <w:sz w:val="20"/>
          <w:szCs w:val="20"/>
        </w:rPr>
        <w:t xml:space="preserve"> correspondiente a la </w:t>
      </w:r>
      <w:r w:rsidR="005F4DB4"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F02420" w:rsidRPr="00AC4AEA">
        <w:rPr>
          <w:rFonts w:ascii="Arial" w:hAnsi="Arial" w:cs="Arial"/>
          <w:sz w:val="20"/>
          <w:szCs w:val="20"/>
        </w:rPr>
        <w:t>)</w:t>
      </w:r>
      <w:r w:rsidR="0090400F" w:rsidRPr="00AC4AEA">
        <w:rPr>
          <w:rFonts w:ascii="Arial" w:hAnsi="Arial" w:cs="Arial"/>
          <w:sz w:val="20"/>
          <w:szCs w:val="20"/>
        </w:rPr>
        <w:t>, en un contexto de inflación</w:t>
      </w:r>
      <w:r w:rsidR="00721E97" w:rsidRPr="00AC4AEA">
        <w:rPr>
          <w:rFonts w:ascii="Arial" w:hAnsi="Arial" w:cs="Arial"/>
          <w:sz w:val="20"/>
          <w:szCs w:val="20"/>
        </w:rPr>
        <w:t xml:space="preserve"> (para fines contables)</w:t>
      </w:r>
      <w:r w:rsidR="0090400F" w:rsidRPr="00AC4AEA">
        <w:rPr>
          <w:rFonts w:ascii="Arial" w:hAnsi="Arial" w:cs="Arial"/>
          <w:sz w:val="20"/>
          <w:szCs w:val="20"/>
        </w:rPr>
        <w:t>.</w:t>
      </w:r>
    </w:p>
    <w:p w:rsidR="00CC4BA1" w:rsidRPr="00AC4AEA" w:rsidRDefault="00CC4BA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considerará su situación particular para definir la existencia de un contexto de </w:t>
      </w:r>
      <w:r w:rsidR="00787374" w:rsidRPr="00AC4AEA">
        <w:rPr>
          <w:rFonts w:ascii="Arial" w:hAnsi="Arial" w:cs="Arial"/>
          <w:sz w:val="20"/>
          <w:szCs w:val="20"/>
        </w:rPr>
        <w:t>inflación</w:t>
      </w:r>
      <w:r w:rsidR="00F87DDE" w:rsidRPr="00AC4AEA">
        <w:rPr>
          <w:rFonts w:ascii="Arial" w:hAnsi="Arial" w:cs="Arial"/>
          <w:sz w:val="20"/>
          <w:szCs w:val="20"/>
        </w:rPr>
        <w:t xml:space="preserve"> (para fines contables)</w:t>
      </w:r>
      <w:r w:rsidR="00787374" w:rsidRPr="00AC4AEA">
        <w:rPr>
          <w:rFonts w:ascii="Arial" w:hAnsi="Arial" w:cs="Arial"/>
          <w:sz w:val="20"/>
          <w:szCs w:val="20"/>
        </w:rPr>
        <w:t>,</w:t>
      </w:r>
      <w:r w:rsidRPr="00AC4AEA">
        <w:rPr>
          <w:rFonts w:ascii="Arial" w:hAnsi="Arial" w:cs="Arial"/>
          <w:sz w:val="20"/>
          <w:szCs w:val="20"/>
        </w:rPr>
        <w:t xml:space="preserve"> sino que la necesidad de ajustar sus </w:t>
      </w:r>
      <w:r w:rsidRPr="00AC4AEA">
        <w:rPr>
          <w:rFonts w:ascii="Arial" w:hAnsi="Arial" w:cs="Arial"/>
          <w:b/>
          <w:bCs/>
          <w:sz w:val="20"/>
          <w:szCs w:val="20"/>
        </w:rPr>
        <w:t>estados contables</w:t>
      </w:r>
      <w:r w:rsidRPr="00AC4AEA">
        <w:rPr>
          <w:rFonts w:ascii="Arial" w:hAnsi="Arial" w:cs="Arial"/>
          <w:sz w:val="20"/>
          <w:szCs w:val="20"/>
        </w:rPr>
        <w:t xml:space="preserve"> viene indicada por ciertas características que permiten calificar a una economía como altamente inflacionaria. Para esta Resolución Técnica dichas características son las siguientes:</w:t>
      </w:r>
    </w:p>
    <w:p w:rsidR="000D6932" w:rsidRPr="00AC4AEA" w:rsidRDefault="000D693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tasa acumulada de inflación en tres años, considerando el índice </w:t>
      </w:r>
      <w:r w:rsidR="0022102B" w:rsidRPr="00AC4AEA">
        <w:rPr>
          <w:rFonts w:ascii="Arial" w:hAnsi="Arial" w:cs="Arial"/>
          <w:sz w:val="20"/>
          <w:szCs w:val="20"/>
        </w:rPr>
        <w:t xml:space="preserve">indicado en el párrafo </w:t>
      </w:r>
      <w:fldSimple w:instr=" REF _Ref80969127 \r \h  \* MERGEFORMAT ">
        <w:r w:rsidR="00D33A5D" w:rsidRPr="00D33A5D">
          <w:rPr>
            <w:rFonts w:ascii="Arial" w:hAnsi="Arial" w:cs="Arial"/>
            <w:sz w:val="20"/>
            <w:szCs w:val="20"/>
          </w:rPr>
          <w:t>179</w:t>
        </w:r>
      </w:fldSimple>
      <w:r w:rsidRPr="00AC4AEA">
        <w:rPr>
          <w:rFonts w:ascii="Arial" w:hAnsi="Arial" w:cs="Arial"/>
          <w:sz w:val="20"/>
          <w:szCs w:val="20"/>
        </w:rPr>
        <w:t>, alcanza o sobrepasa el 100%.</w:t>
      </w:r>
    </w:p>
    <w:p w:rsidR="000D6932" w:rsidRPr="00AC4AEA" w:rsidRDefault="000D693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Se produce una corrección generalizada de los precios y/o de los salarios.</w:t>
      </w:r>
    </w:p>
    <w:p w:rsidR="000D6932" w:rsidRPr="00AC4AEA" w:rsidRDefault="000D693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fondos en </w:t>
      </w:r>
      <w:r w:rsidRPr="002B0F58">
        <w:rPr>
          <w:rFonts w:ascii="Arial" w:hAnsi="Arial" w:cs="Arial"/>
          <w:b/>
          <w:bCs/>
          <w:sz w:val="20"/>
          <w:szCs w:val="20"/>
        </w:rPr>
        <w:t>moneda argentina</w:t>
      </w:r>
      <w:r w:rsidRPr="00AC4AEA">
        <w:rPr>
          <w:rFonts w:ascii="Arial" w:hAnsi="Arial" w:cs="Arial"/>
          <w:sz w:val="20"/>
          <w:szCs w:val="20"/>
        </w:rPr>
        <w:t xml:space="preserve"> se invierten inmediatamente para mantener su poder adquisitivo.</w:t>
      </w:r>
    </w:p>
    <w:p w:rsidR="000D6932" w:rsidRPr="00AC4AEA" w:rsidRDefault="000D693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brecha existente entre la tasa de interés por las colocaciones realizadas en </w:t>
      </w:r>
      <w:r w:rsidRPr="002B0F58">
        <w:rPr>
          <w:rFonts w:ascii="Arial" w:hAnsi="Arial" w:cs="Arial"/>
          <w:b/>
          <w:bCs/>
          <w:sz w:val="20"/>
          <w:szCs w:val="20"/>
        </w:rPr>
        <w:t>moneda argentina</w:t>
      </w:r>
      <w:r w:rsidRPr="00AC4AEA">
        <w:rPr>
          <w:rFonts w:ascii="Arial" w:hAnsi="Arial" w:cs="Arial"/>
          <w:sz w:val="20"/>
          <w:szCs w:val="20"/>
        </w:rPr>
        <w:t xml:space="preserve"> y en una </w:t>
      </w:r>
      <w:r w:rsidRPr="002B0F58">
        <w:rPr>
          <w:rFonts w:ascii="Arial" w:hAnsi="Arial" w:cs="Arial"/>
          <w:b/>
          <w:bCs/>
          <w:sz w:val="20"/>
          <w:szCs w:val="20"/>
        </w:rPr>
        <w:t>moneda extranjera</w:t>
      </w:r>
      <w:r w:rsidRPr="00AC4AEA">
        <w:rPr>
          <w:rFonts w:ascii="Arial" w:hAnsi="Arial" w:cs="Arial"/>
          <w:sz w:val="20"/>
          <w:szCs w:val="20"/>
        </w:rPr>
        <w:t xml:space="preserve"> es muy relevante</w:t>
      </w:r>
      <w:r w:rsidR="00A102B4" w:rsidRPr="00AC4AEA">
        <w:rPr>
          <w:rFonts w:ascii="Arial" w:hAnsi="Arial" w:cs="Arial"/>
          <w:sz w:val="20"/>
          <w:szCs w:val="20"/>
        </w:rPr>
        <w:t>.</w:t>
      </w:r>
    </w:p>
    <w:p w:rsidR="000D6932" w:rsidRPr="00AC4AEA" w:rsidRDefault="000D693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población en general prefiere mantener su riqueza en </w:t>
      </w:r>
      <w:r w:rsidR="00497590" w:rsidRPr="00AC4AEA">
        <w:rPr>
          <w:rFonts w:ascii="Arial" w:hAnsi="Arial" w:cs="Arial"/>
          <w:sz w:val="20"/>
          <w:szCs w:val="20"/>
        </w:rPr>
        <w:t>activos</w:t>
      </w:r>
      <w:r w:rsidRPr="00AC4AEA">
        <w:rPr>
          <w:rFonts w:ascii="Arial" w:hAnsi="Arial" w:cs="Arial"/>
          <w:sz w:val="20"/>
          <w:szCs w:val="20"/>
        </w:rPr>
        <w:t xml:space="preserve"> no monetarios o en una </w:t>
      </w:r>
      <w:r w:rsidRPr="002B0F58">
        <w:rPr>
          <w:rFonts w:ascii="Arial" w:hAnsi="Arial" w:cs="Arial"/>
          <w:b/>
          <w:bCs/>
          <w:sz w:val="20"/>
          <w:szCs w:val="20"/>
        </w:rPr>
        <w:t>moneda extranjera</w:t>
      </w:r>
      <w:r w:rsidRPr="00AC4AEA">
        <w:rPr>
          <w:rFonts w:ascii="Arial" w:hAnsi="Arial" w:cs="Arial"/>
          <w:sz w:val="20"/>
          <w:szCs w:val="20"/>
        </w:rPr>
        <w:t xml:space="preserve"> relativamente estable.</w:t>
      </w:r>
    </w:p>
    <w:p w:rsidR="00CC4BA1" w:rsidRPr="00AC4AEA" w:rsidRDefault="00C33BB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Con el fin de favorecer la evaluación consistente de distintas entidades, esta Resolución Técnica establece que</w:t>
      </w:r>
      <w:r w:rsidR="00CC4BA1" w:rsidRPr="00AC4AEA">
        <w:rPr>
          <w:rFonts w:ascii="Arial" w:hAnsi="Arial" w:cs="Arial"/>
          <w:sz w:val="20"/>
          <w:szCs w:val="20"/>
        </w:rPr>
        <w:t>:</w:t>
      </w:r>
      <w:r w:rsidRPr="00AC4AEA">
        <w:rPr>
          <w:rFonts w:ascii="Arial" w:hAnsi="Arial" w:cs="Arial"/>
          <w:sz w:val="20"/>
          <w:szCs w:val="20"/>
        </w:rPr>
        <w:t xml:space="preserve"> </w:t>
      </w:r>
    </w:p>
    <w:p w:rsidR="00C33BBE" w:rsidRPr="00AC4AEA" w:rsidRDefault="00C33BB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pauta cuantitativa referida en el inciso a) del párrafo anterior es indicador clave y condición necesaria para expresar en moneda </w:t>
      </w:r>
      <w:r w:rsidR="00F02420" w:rsidRPr="00AC4AEA">
        <w:rPr>
          <w:rFonts w:ascii="Arial" w:hAnsi="Arial" w:cs="Arial"/>
          <w:sz w:val="20"/>
          <w:szCs w:val="20"/>
        </w:rPr>
        <w:t>de cierre</w:t>
      </w:r>
      <w:r w:rsidRPr="00AC4AEA">
        <w:rPr>
          <w:rFonts w:ascii="Arial" w:hAnsi="Arial" w:cs="Arial"/>
          <w:sz w:val="20"/>
          <w:szCs w:val="20"/>
        </w:rPr>
        <w:t xml:space="preserve"> las cifras de los </w:t>
      </w:r>
      <w:r w:rsidRPr="00AC4AEA">
        <w:rPr>
          <w:rFonts w:ascii="Arial" w:hAnsi="Arial" w:cs="Arial"/>
          <w:b/>
          <w:bCs/>
          <w:sz w:val="20"/>
          <w:szCs w:val="20"/>
        </w:rPr>
        <w:t>estados contables</w:t>
      </w:r>
      <w:r w:rsidR="00CC4BA1" w:rsidRPr="00AC4AEA">
        <w:rPr>
          <w:rFonts w:ascii="Arial" w:hAnsi="Arial" w:cs="Arial"/>
          <w:sz w:val="20"/>
          <w:szCs w:val="20"/>
        </w:rPr>
        <w:t>; y</w:t>
      </w:r>
    </w:p>
    <w:p w:rsidR="00CC4BA1" w:rsidRPr="00AC4AEA" w:rsidRDefault="00CC4BA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todas las entidades empezarán a ajustar desde la misma fecha e interrumpirán el ajuste a partir de la misma fecha.</w:t>
      </w:r>
    </w:p>
    <w:p w:rsidR="0090400F" w:rsidRPr="00AC4AEA" w:rsidRDefault="0090400F" w:rsidP="00A318EA">
      <w:pPr>
        <w:pStyle w:val="Prrafodelista"/>
        <w:numPr>
          <w:ilvl w:val="0"/>
          <w:numId w:val="29"/>
        </w:numPr>
        <w:contextualSpacing w:val="0"/>
        <w:jc w:val="both"/>
        <w:rPr>
          <w:rFonts w:ascii="Arial" w:hAnsi="Arial" w:cs="Arial"/>
          <w:sz w:val="20"/>
          <w:szCs w:val="20"/>
        </w:rPr>
      </w:pPr>
      <w:bookmarkStart w:id="117" w:name="_Ref80968644"/>
      <w:r w:rsidRPr="00AC4AEA">
        <w:rPr>
          <w:rFonts w:ascii="Arial" w:hAnsi="Arial" w:cs="Arial"/>
          <w:sz w:val="20"/>
          <w:szCs w:val="20"/>
        </w:rPr>
        <w:t>Una entidad cumpl</w:t>
      </w:r>
      <w:r w:rsidR="00837E3A" w:rsidRPr="00AC4AEA">
        <w:rPr>
          <w:rFonts w:ascii="Arial" w:hAnsi="Arial" w:cs="Arial"/>
          <w:sz w:val="20"/>
          <w:szCs w:val="20"/>
        </w:rPr>
        <w:t>irá</w:t>
      </w:r>
      <w:r w:rsidRPr="00AC4AEA">
        <w:rPr>
          <w:rFonts w:ascii="Arial" w:hAnsi="Arial" w:cs="Arial"/>
          <w:sz w:val="20"/>
          <w:szCs w:val="20"/>
        </w:rPr>
        <w:t xml:space="preserve"> la exigencia legal de </w:t>
      </w:r>
      <w:r w:rsidR="003B015D" w:rsidRPr="00AC4AEA">
        <w:rPr>
          <w:rFonts w:ascii="Arial" w:hAnsi="Arial" w:cs="Arial"/>
          <w:sz w:val="20"/>
          <w:szCs w:val="20"/>
        </w:rPr>
        <w:t>emitir</w:t>
      </w:r>
      <w:r w:rsidR="00837E3A" w:rsidRPr="00AC4AEA">
        <w:rPr>
          <w:rFonts w:ascii="Arial" w:hAnsi="Arial" w:cs="Arial"/>
          <w:sz w:val="20"/>
          <w:szCs w:val="20"/>
        </w:rPr>
        <w:t xml:space="preserve"> </w:t>
      </w:r>
      <w:r w:rsidRPr="00AC4AEA">
        <w:rPr>
          <w:rFonts w:ascii="Arial" w:hAnsi="Arial" w:cs="Arial"/>
          <w:sz w:val="20"/>
          <w:szCs w:val="20"/>
        </w:rPr>
        <w:t>los</w:t>
      </w:r>
      <w:r w:rsidR="00837E3A" w:rsidRPr="00AC4AEA">
        <w:rPr>
          <w:rFonts w:ascii="Arial" w:hAnsi="Arial" w:cs="Arial"/>
          <w:sz w:val="20"/>
          <w:szCs w:val="20"/>
        </w:rPr>
        <w:t xml:space="preserve"> </w:t>
      </w:r>
      <w:r w:rsidR="00135084" w:rsidRPr="00AC4AEA">
        <w:rPr>
          <w:rFonts w:ascii="Arial" w:hAnsi="Arial" w:cs="Arial"/>
          <w:b/>
          <w:bCs/>
          <w:sz w:val="20"/>
          <w:szCs w:val="20"/>
        </w:rPr>
        <w:t>estados contables</w:t>
      </w:r>
      <w:r w:rsidRPr="00AC4AEA">
        <w:rPr>
          <w:rFonts w:ascii="Arial" w:hAnsi="Arial" w:cs="Arial"/>
          <w:sz w:val="20"/>
          <w:szCs w:val="20"/>
        </w:rPr>
        <w:t xml:space="preserve"> en moneda constante</w:t>
      </w:r>
      <w:r w:rsidR="00837E3A" w:rsidRPr="00AC4AEA">
        <w:rPr>
          <w:rFonts w:ascii="Arial" w:hAnsi="Arial" w:cs="Arial"/>
          <w:sz w:val="20"/>
          <w:szCs w:val="20"/>
        </w:rPr>
        <w:t xml:space="preserve"> </w:t>
      </w:r>
      <w:r w:rsidR="00100AF1" w:rsidRPr="00AC4AEA">
        <w:rPr>
          <w:rFonts w:ascii="Arial" w:hAnsi="Arial" w:cs="Arial"/>
          <w:sz w:val="20"/>
          <w:szCs w:val="20"/>
        </w:rPr>
        <w:t xml:space="preserve">si </w:t>
      </w:r>
      <w:r w:rsidR="00B70A51" w:rsidRPr="00AC4AEA">
        <w:rPr>
          <w:rFonts w:ascii="Arial" w:hAnsi="Arial" w:cs="Arial"/>
          <w:sz w:val="20"/>
          <w:szCs w:val="20"/>
        </w:rPr>
        <w:t xml:space="preserve">satisface </w:t>
      </w:r>
      <w:r w:rsidR="00100AF1" w:rsidRPr="00AC4AEA">
        <w:rPr>
          <w:rFonts w:ascii="Arial" w:hAnsi="Arial" w:cs="Arial"/>
          <w:sz w:val="20"/>
          <w:szCs w:val="20"/>
        </w:rPr>
        <w:t>los requerimientos establecidos en el párrafo</w:t>
      </w:r>
      <w:r w:rsidR="00646268" w:rsidRPr="00AC4AEA">
        <w:rPr>
          <w:rFonts w:ascii="Arial" w:hAnsi="Arial" w:cs="Arial"/>
          <w:sz w:val="20"/>
          <w:szCs w:val="20"/>
        </w:rPr>
        <w:t xml:space="preserve"> </w:t>
      </w:r>
      <w:fldSimple w:instr=" REF _Ref73957015 \r \h  \* MERGEFORMAT ">
        <w:r w:rsidR="00D33A5D" w:rsidRPr="00D33A5D">
          <w:rPr>
            <w:rFonts w:ascii="Arial" w:hAnsi="Arial" w:cs="Arial"/>
            <w:sz w:val="20"/>
            <w:szCs w:val="20"/>
          </w:rPr>
          <w:t>97</w:t>
        </w:r>
      </w:fldSimple>
      <w:r w:rsidR="005B3F73" w:rsidRPr="00AC4AEA">
        <w:rPr>
          <w:rFonts w:ascii="Arial" w:hAnsi="Arial" w:cs="Arial"/>
          <w:sz w:val="20"/>
          <w:szCs w:val="20"/>
        </w:rPr>
        <w:t>.</w:t>
      </w:r>
      <w:bookmarkEnd w:id="117"/>
    </w:p>
    <w:p w:rsidR="00BD24E7" w:rsidRPr="00AC4AEA" w:rsidRDefault="00BD24E7" w:rsidP="00A318EA">
      <w:pPr>
        <w:pStyle w:val="A-Normal10"/>
        <w:rPr>
          <w:rFonts w:ascii="Arial" w:hAnsi="Arial" w:cs="Arial"/>
          <w:kern w:val="28"/>
        </w:rPr>
      </w:pPr>
      <w:bookmarkStart w:id="118" w:name="_Toc101863734"/>
      <w:r w:rsidRPr="00AC4AEA">
        <w:rPr>
          <w:rFonts w:ascii="Arial" w:hAnsi="Arial" w:cs="Arial"/>
        </w:rPr>
        <w:br w:type="page"/>
      </w:r>
    </w:p>
    <w:p w:rsidR="00C23BB1" w:rsidRPr="00AC4AEA" w:rsidRDefault="00C23BB1" w:rsidP="00A318EA">
      <w:pPr>
        <w:pStyle w:val="Ttulo1"/>
        <w:rPr>
          <w:rFonts w:cs="Arial"/>
          <w:sz w:val="20"/>
          <w:szCs w:val="20"/>
        </w:rPr>
      </w:pPr>
    </w:p>
    <w:p w:rsidR="0090400F" w:rsidRPr="00AC4AEA" w:rsidRDefault="00F10D5A" w:rsidP="00A318EA">
      <w:pPr>
        <w:pStyle w:val="Ttulo1"/>
        <w:rPr>
          <w:rFonts w:cs="Arial"/>
          <w:sz w:val="20"/>
          <w:szCs w:val="20"/>
        </w:rPr>
      </w:pPr>
      <w:bookmarkStart w:id="119" w:name="_Toc139356597"/>
      <w:r w:rsidRPr="00AC4AEA">
        <w:rPr>
          <w:rFonts w:cs="Arial"/>
          <w:sz w:val="20"/>
          <w:szCs w:val="20"/>
        </w:rPr>
        <w:t>CAPÍTULO 2</w:t>
      </w:r>
      <w:bookmarkEnd w:id="118"/>
      <w:bookmarkEnd w:id="119"/>
    </w:p>
    <w:p w:rsidR="0090400F" w:rsidRPr="00AC4AEA" w:rsidRDefault="00464960" w:rsidP="00A318EA">
      <w:pPr>
        <w:pStyle w:val="Ttulo1"/>
        <w:rPr>
          <w:rFonts w:cs="Arial"/>
          <w:sz w:val="20"/>
          <w:szCs w:val="20"/>
        </w:rPr>
      </w:pPr>
      <w:bookmarkStart w:id="120" w:name="_Toc101863735"/>
      <w:bookmarkStart w:id="121" w:name="_Toc139356598"/>
      <w:r w:rsidRPr="00AC4AEA">
        <w:rPr>
          <w:rFonts w:cs="Arial"/>
          <w:sz w:val="20"/>
          <w:szCs w:val="20"/>
        </w:rPr>
        <w:t>PROCEDIMIENTOS CONTABLES DE APLICACIÓN GENERAL</w:t>
      </w:r>
      <w:bookmarkEnd w:id="120"/>
      <w:bookmarkEnd w:id="121"/>
    </w:p>
    <w:p w:rsidR="00AE7883" w:rsidRPr="00AC4AEA" w:rsidRDefault="00AE7883" w:rsidP="00A318EA">
      <w:pPr>
        <w:pStyle w:val="Ttulo1"/>
        <w:rPr>
          <w:rFonts w:cs="Arial"/>
          <w:sz w:val="20"/>
          <w:szCs w:val="20"/>
        </w:rPr>
      </w:pPr>
      <w:bookmarkStart w:id="122" w:name="_Toc101863736"/>
    </w:p>
    <w:p w:rsidR="0090400F" w:rsidRPr="00AC4AEA" w:rsidRDefault="006E1605" w:rsidP="00A318EA">
      <w:pPr>
        <w:pStyle w:val="Ttulo1"/>
        <w:rPr>
          <w:rFonts w:cs="Arial"/>
          <w:sz w:val="20"/>
          <w:szCs w:val="20"/>
          <w:u w:val="single"/>
        </w:rPr>
      </w:pPr>
      <w:bookmarkStart w:id="123" w:name="_Toc139356599"/>
      <w:r w:rsidRPr="00AC4AEA">
        <w:rPr>
          <w:rFonts w:cs="Arial"/>
          <w:sz w:val="20"/>
          <w:szCs w:val="20"/>
        </w:rPr>
        <w:t>INTRODUCCIÓN AL PRESENTE CAPÍTULO</w:t>
      </w:r>
      <w:bookmarkEnd w:id="122"/>
      <w:bookmarkEnd w:id="123"/>
      <w:r w:rsidRPr="00AC4AEA">
        <w:rPr>
          <w:rFonts w:cs="Arial"/>
          <w:sz w:val="20"/>
          <w:szCs w:val="20"/>
          <w:u w:val="single"/>
        </w:rPr>
        <w:t xml:space="preserve"> </w:t>
      </w:r>
    </w:p>
    <w:p w:rsidR="006E1605" w:rsidRPr="00AC4AEA" w:rsidRDefault="006E160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este capítulo se describen:</w:t>
      </w:r>
    </w:p>
    <w:p w:rsidR="006E1605" w:rsidRPr="00AC4AEA" w:rsidRDefault="00E41827" w:rsidP="00A318EA">
      <w:pPr>
        <w:pStyle w:val="Prrafodelista"/>
        <w:numPr>
          <w:ilvl w:val="0"/>
          <w:numId w:val="34"/>
        </w:numPr>
        <w:ind w:left="1560" w:hanging="567"/>
        <w:contextualSpacing w:val="0"/>
        <w:jc w:val="both"/>
        <w:rPr>
          <w:rFonts w:ascii="Arial" w:hAnsi="Arial" w:cs="Arial"/>
          <w:sz w:val="20"/>
          <w:szCs w:val="20"/>
        </w:rPr>
      </w:pPr>
      <w:r w:rsidRPr="00AC4AEA">
        <w:rPr>
          <w:rFonts w:ascii="Arial" w:hAnsi="Arial" w:cs="Arial"/>
          <w:sz w:val="20"/>
          <w:szCs w:val="20"/>
        </w:rPr>
        <w:t xml:space="preserve">los criterios generales que una entidad utilizará en la medición de </w:t>
      </w:r>
      <w:r w:rsidRPr="00AC4AEA">
        <w:rPr>
          <w:rFonts w:ascii="Arial" w:hAnsi="Arial" w:cs="Arial"/>
          <w:b/>
          <w:bCs/>
          <w:sz w:val="20"/>
          <w:szCs w:val="20"/>
        </w:rPr>
        <w:t>costos</w:t>
      </w:r>
      <w:r w:rsidRPr="00AC4AEA">
        <w:rPr>
          <w:rFonts w:ascii="Arial" w:hAnsi="Arial" w:cs="Arial"/>
          <w:sz w:val="20"/>
          <w:szCs w:val="20"/>
        </w:rPr>
        <w:t>;</w:t>
      </w:r>
      <w:r w:rsidR="00F5207E" w:rsidRPr="00AC4AEA">
        <w:rPr>
          <w:rFonts w:ascii="Arial" w:hAnsi="Arial" w:cs="Arial"/>
          <w:sz w:val="20"/>
          <w:szCs w:val="20"/>
        </w:rPr>
        <w:t xml:space="preserve"> incluyendo los referidos a:</w:t>
      </w:r>
    </w:p>
    <w:p w:rsidR="00D12AFB" w:rsidRPr="00AC4AEA" w:rsidRDefault="00D12AFB"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la medición de </w:t>
      </w:r>
      <w:r w:rsidR="00F5207E" w:rsidRPr="00AC4AEA">
        <w:rPr>
          <w:rFonts w:ascii="Arial" w:hAnsi="Arial" w:cs="Arial"/>
          <w:sz w:val="20"/>
          <w:szCs w:val="20"/>
        </w:rPr>
        <w:t>costos</w:t>
      </w:r>
      <w:r w:rsidRPr="00AC4AEA">
        <w:rPr>
          <w:rFonts w:ascii="Arial" w:hAnsi="Arial" w:cs="Arial"/>
          <w:sz w:val="20"/>
          <w:szCs w:val="20"/>
        </w:rPr>
        <w:t xml:space="preserve"> en general; </w:t>
      </w:r>
    </w:p>
    <w:p w:rsidR="00D12AFB" w:rsidRPr="00AC4AEA" w:rsidRDefault="00D12AFB"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la medición de</w:t>
      </w:r>
      <w:r w:rsidR="00230715" w:rsidRPr="00AC4AEA">
        <w:rPr>
          <w:rFonts w:ascii="Arial" w:hAnsi="Arial" w:cs="Arial"/>
          <w:sz w:val="20"/>
          <w:szCs w:val="20"/>
        </w:rPr>
        <w:t>l</w:t>
      </w:r>
      <w:r w:rsidRPr="00AC4AEA">
        <w:rPr>
          <w:rFonts w:ascii="Arial" w:hAnsi="Arial" w:cs="Arial"/>
          <w:sz w:val="20"/>
          <w:szCs w:val="20"/>
        </w:rPr>
        <w:t xml:space="preserve"> </w:t>
      </w:r>
      <w:r w:rsidRPr="00AC4AEA">
        <w:rPr>
          <w:rFonts w:ascii="Arial" w:hAnsi="Arial" w:cs="Arial"/>
          <w:b/>
          <w:bCs/>
          <w:sz w:val="20"/>
          <w:szCs w:val="20"/>
        </w:rPr>
        <w:t>costo de adquisición</w:t>
      </w:r>
      <w:r w:rsidRPr="00AC4AEA">
        <w:rPr>
          <w:rFonts w:ascii="Arial" w:hAnsi="Arial" w:cs="Arial"/>
          <w:sz w:val="20"/>
          <w:szCs w:val="20"/>
        </w:rPr>
        <w:t>;</w:t>
      </w:r>
    </w:p>
    <w:p w:rsidR="00A636F2" w:rsidRPr="00AC4AEA" w:rsidRDefault="00D12AFB"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la medición de</w:t>
      </w:r>
      <w:r w:rsidR="007C0010" w:rsidRPr="00AC4AEA">
        <w:rPr>
          <w:rFonts w:ascii="Arial" w:hAnsi="Arial" w:cs="Arial"/>
          <w:sz w:val="20"/>
          <w:szCs w:val="20"/>
        </w:rPr>
        <w:t>l</w:t>
      </w:r>
      <w:r w:rsidRPr="00AC4AEA">
        <w:rPr>
          <w:rFonts w:ascii="Arial" w:hAnsi="Arial" w:cs="Arial"/>
          <w:sz w:val="20"/>
          <w:szCs w:val="20"/>
        </w:rPr>
        <w:t xml:space="preserve"> </w:t>
      </w:r>
      <w:r w:rsidRPr="00AC4AEA">
        <w:rPr>
          <w:rFonts w:ascii="Arial" w:hAnsi="Arial" w:cs="Arial"/>
          <w:b/>
          <w:bCs/>
          <w:sz w:val="20"/>
          <w:szCs w:val="20"/>
        </w:rPr>
        <w:t xml:space="preserve">costo de </w:t>
      </w:r>
      <w:r w:rsidR="00A636F2" w:rsidRPr="00AC4AEA">
        <w:rPr>
          <w:rFonts w:ascii="Arial" w:hAnsi="Arial" w:cs="Arial"/>
          <w:b/>
          <w:bCs/>
          <w:sz w:val="20"/>
          <w:szCs w:val="20"/>
        </w:rPr>
        <w:t>producción</w:t>
      </w:r>
      <w:r w:rsidR="00A636F2" w:rsidRPr="00AC4AEA">
        <w:rPr>
          <w:rFonts w:ascii="Arial" w:hAnsi="Arial" w:cs="Arial"/>
          <w:sz w:val="20"/>
          <w:szCs w:val="20"/>
        </w:rPr>
        <w:t xml:space="preserve"> o </w:t>
      </w:r>
      <w:r w:rsidR="007C0010" w:rsidRPr="00AC4AEA">
        <w:rPr>
          <w:rFonts w:ascii="Arial" w:hAnsi="Arial" w:cs="Arial"/>
          <w:sz w:val="20"/>
          <w:szCs w:val="20"/>
        </w:rPr>
        <w:t xml:space="preserve">del </w:t>
      </w:r>
      <w:r w:rsidR="007C0010" w:rsidRPr="00AC4AEA">
        <w:rPr>
          <w:rFonts w:ascii="Arial" w:hAnsi="Arial" w:cs="Arial"/>
          <w:b/>
          <w:bCs/>
          <w:sz w:val="20"/>
          <w:szCs w:val="20"/>
        </w:rPr>
        <w:t xml:space="preserve">costo de </w:t>
      </w:r>
      <w:r w:rsidR="00A636F2" w:rsidRPr="00AC4AEA">
        <w:rPr>
          <w:rFonts w:ascii="Arial" w:hAnsi="Arial" w:cs="Arial"/>
          <w:b/>
          <w:bCs/>
          <w:sz w:val="20"/>
          <w:szCs w:val="20"/>
        </w:rPr>
        <w:t>construcción</w:t>
      </w:r>
      <w:r w:rsidR="00A636F2" w:rsidRPr="00AC4AEA">
        <w:rPr>
          <w:rFonts w:ascii="Arial" w:hAnsi="Arial" w:cs="Arial"/>
          <w:sz w:val="20"/>
          <w:szCs w:val="20"/>
        </w:rPr>
        <w:t>;</w:t>
      </w:r>
      <w:r w:rsidR="002412FF" w:rsidRPr="00AC4AEA">
        <w:rPr>
          <w:rFonts w:ascii="Arial" w:hAnsi="Arial" w:cs="Arial"/>
          <w:sz w:val="20"/>
          <w:szCs w:val="20"/>
        </w:rPr>
        <w:t xml:space="preserve"> </w:t>
      </w:r>
      <w:r w:rsidR="00A636F2" w:rsidRPr="00AC4AEA">
        <w:rPr>
          <w:rFonts w:ascii="Arial" w:hAnsi="Arial" w:cs="Arial"/>
          <w:sz w:val="20"/>
          <w:szCs w:val="20"/>
        </w:rPr>
        <w:t>y</w:t>
      </w:r>
    </w:p>
    <w:p w:rsidR="00F5207E" w:rsidRPr="00AC4AEA" w:rsidRDefault="00A636F2"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la medición de</w:t>
      </w:r>
      <w:r w:rsidR="001155B8" w:rsidRPr="00AC4AEA">
        <w:rPr>
          <w:rFonts w:ascii="Arial" w:hAnsi="Arial" w:cs="Arial"/>
          <w:sz w:val="20"/>
          <w:szCs w:val="20"/>
        </w:rPr>
        <w:t>l</w:t>
      </w:r>
      <w:r w:rsidRPr="00AC4AEA">
        <w:rPr>
          <w:rFonts w:ascii="Arial" w:hAnsi="Arial" w:cs="Arial"/>
          <w:sz w:val="20"/>
          <w:szCs w:val="20"/>
        </w:rPr>
        <w:t xml:space="preserve"> </w:t>
      </w:r>
      <w:r w:rsidRPr="00AC4AEA">
        <w:rPr>
          <w:rFonts w:ascii="Arial" w:hAnsi="Arial" w:cs="Arial"/>
          <w:b/>
          <w:bCs/>
          <w:sz w:val="20"/>
          <w:szCs w:val="20"/>
        </w:rPr>
        <w:t>costo de desarrollo</w:t>
      </w:r>
      <w:r w:rsidRPr="00AC4AEA">
        <w:rPr>
          <w:rFonts w:ascii="Arial" w:hAnsi="Arial" w:cs="Arial"/>
          <w:sz w:val="20"/>
          <w:szCs w:val="20"/>
        </w:rPr>
        <w:t>;</w:t>
      </w:r>
    </w:p>
    <w:p w:rsidR="00E41827" w:rsidRPr="00AC4AEA" w:rsidRDefault="004B5814" w:rsidP="00A318EA">
      <w:pPr>
        <w:pStyle w:val="Prrafodelista"/>
        <w:numPr>
          <w:ilvl w:val="0"/>
          <w:numId w:val="34"/>
        </w:numPr>
        <w:ind w:left="1560" w:hanging="567"/>
        <w:contextualSpacing w:val="0"/>
        <w:jc w:val="both"/>
        <w:rPr>
          <w:rFonts w:ascii="Arial" w:hAnsi="Arial" w:cs="Arial"/>
          <w:sz w:val="20"/>
          <w:szCs w:val="20"/>
        </w:rPr>
      </w:pPr>
      <w:r w:rsidRPr="00AC4AEA">
        <w:rPr>
          <w:rFonts w:ascii="Arial" w:hAnsi="Arial" w:cs="Arial"/>
          <w:sz w:val="20"/>
          <w:szCs w:val="20"/>
        </w:rPr>
        <w:t xml:space="preserve">los criterios generales que una entidad utilizará en la medición de </w:t>
      </w:r>
      <w:r w:rsidRPr="00AC4AEA">
        <w:rPr>
          <w:rFonts w:ascii="Arial" w:hAnsi="Arial" w:cs="Arial"/>
          <w:b/>
          <w:bCs/>
          <w:sz w:val="20"/>
          <w:szCs w:val="20"/>
        </w:rPr>
        <w:t>valores corrientes</w:t>
      </w:r>
      <w:r w:rsidRPr="00AC4AEA">
        <w:rPr>
          <w:rFonts w:ascii="Arial" w:hAnsi="Arial" w:cs="Arial"/>
          <w:sz w:val="20"/>
          <w:szCs w:val="20"/>
        </w:rPr>
        <w:t xml:space="preserve">, incluyendo </w:t>
      </w:r>
      <w:r w:rsidR="00290CDE" w:rsidRPr="00AC4AEA">
        <w:rPr>
          <w:rFonts w:ascii="Arial" w:hAnsi="Arial" w:cs="Arial"/>
          <w:sz w:val="20"/>
          <w:szCs w:val="20"/>
        </w:rPr>
        <w:t>los referidos a</w:t>
      </w:r>
      <w:r w:rsidR="00A102B4" w:rsidRPr="00AC4AEA">
        <w:rPr>
          <w:rFonts w:ascii="Arial" w:hAnsi="Arial" w:cs="Arial"/>
          <w:sz w:val="20"/>
          <w:szCs w:val="20"/>
        </w:rPr>
        <w:t xml:space="preserve"> la medición</w:t>
      </w:r>
      <w:r w:rsidR="009848B8" w:rsidRPr="00AC4AEA">
        <w:rPr>
          <w:rFonts w:ascii="Arial" w:hAnsi="Arial" w:cs="Arial"/>
          <w:sz w:val="20"/>
          <w:szCs w:val="20"/>
        </w:rPr>
        <w:t>:</w:t>
      </w:r>
    </w:p>
    <w:p w:rsidR="00290CDE" w:rsidRPr="00AC4AEA" w:rsidRDefault="00290CDE" w:rsidP="00A318EA">
      <w:pPr>
        <w:pStyle w:val="Prrafodelista"/>
        <w:numPr>
          <w:ilvl w:val="0"/>
          <w:numId w:val="35"/>
        </w:numPr>
        <w:ind w:left="1985" w:hanging="142"/>
        <w:contextualSpacing w:val="0"/>
        <w:jc w:val="both"/>
        <w:rPr>
          <w:rFonts w:ascii="Arial" w:hAnsi="Arial" w:cs="Arial"/>
          <w:sz w:val="20"/>
          <w:szCs w:val="20"/>
        </w:rPr>
      </w:pPr>
      <w:r w:rsidRPr="00AC4AEA">
        <w:rPr>
          <w:rFonts w:ascii="Arial" w:hAnsi="Arial" w:cs="Arial"/>
          <w:sz w:val="20"/>
          <w:szCs w:val="20"/>
        </w:rPr>
        <w:t>de</w:t>
      </w:r>
      <w:r w:rsidR="007015AD" w:rsidRPr="00AC4AEA">
        <w:rPr>
          <w:rFonts w:ascii="Arial" w:hAnsi="Arial" w:cs="Arial"/>
          <w:sz w:val="20"/>
          <w:szCs w:val="20"/>
        </w:rPr>
        <w:t>l</w:t>
      </w:r>
      <w:r w:rsidRPr="00AC4AEA">
        <w:rPr>
          <w:rFonts w:ascii="Arial" w:hAnsi="Arial" w:cs="Arial"/>
          <w:sz w:val="20"/>
          <w:szCs w:val="20"/>
        </w:rPr>
        <w:t xml:space="preserve"> </w:t>
      </w:r>
      <w:r w:rsidRPr="00AC4AEA">
        <w:rPr>
          <w:rFonts w:ascii="Arial" w:hAnsi="Arial" w:cs="Arial"/>
          <w:b/>
          <w:bCs/>
          <w:sz w:val="20"/>
          <w:szCs w:val="20"/>
        </w:rPr>
        <w:t>costo de reposición</w:t>
      </w:r>
      <w:r w:rsidR="000746B7" w:rsidRPr="00AC4AEA">
        <w:rPr>
          <w:rFonts w:ascii="Arial" w:hAnsi="Arial" w:cs="Arial"/>
          <w:sz w:val="20"/>
          <w:szCs w:val="20"/>
        </w:rPr>
        <w:t xml:space="preserve">; </w:t>
      </w:r>
      <w:r w:rsidR="009848B8" w:rsidRPr="00AC4AEA">
        <w:rPr>
          <w:rFonts w:ascii="Arial" w:hAnsi="Arial" w:cs="Arial"/>
          <w:sz w:val="20"/>
          <w:szCs w:val="20"/>
        </w:rPr>
        <w:t>o</w:t>
      </w:r>
      <w:r w:rsidR="00422252" w:rsidRPr="00AC4AEA">
        <w:rPr>
          <w:rFonts w:ascii="Arial" w:hAnsi="Arial" w:cs="Arial"/>
          <w:sz w:val="20"/>
          <w:szCs w:val="20"/>
        </w:rPr>
        <w:t xml:space="preserve"> del</w:t>
      </w:r>
      <w:r w:rsidRPr="00AC4AEA">
        <w:rPr>
          <w:rFonts w:ascii="Arial" w:hAnsi="Arial" w:cs="Arial"/>
          <w:b/>
          <w:bCs/>
          <w:sz w:val="20"/>
          <w:szCs w:val="20"/>
        </w:rPr>
        <w:t xml:space="preserve"> </w:t>
      </w:r>
      <w:r w:rsidR="000746B7" w:rsidRPr="00AC4AEA">
        <w:rPr>
          <w:rFonts w:ascii="Arial" w:hAnsi="Arial" w:cs="Arial"/>
          <w:b/>
          <w:bCs/>
          <w:sz w:val="20"/>
          <w:szCs w:val="20"/>
        </w:rPr>
        <w:t xml:space="preserve">costo de </w:t>
      </w:r>
      <w:r w:rsidRPr="00AC4AEA">
        <w:rPr>
          <w:rFonts w:ascii="Arial" w:hAnsi="Arial" w:cs="Arial"/>
          <w:b/>
          <w:bCs/>
          <w:sz w:val="20"/>
          <w:szCs w:val="20"/>
        </w:rPr>
        <w:t xml:space="preserve">reproducción </w:t>
      </w:r>
      <w:r w:rsidR="000746B7" w:rsidRPr="00AC4AEA">
        <w:rPr>
          <w:rFonts w:ascii="Arial" w:hAnsi="Arial" w:cs="Arial"/>
          <w:b/>
          <w:bCs/>
          <w:sz w:val="20"/>
          <w:szCs w:val="20"/>
        </w:rPr>
        <w:t>y/</w:t>
      </w:r>
      <w:r w:rsidRPr="00AC4AEA">
        <w:rPr>
          <w:rFonts w:ascii="Arial" w:hAnsi="Arial" w:cs="Arial"/>
          <w:b/>
          <w:bCs/>
          <w:sz w:val="20"/>
          <w:szCs w:val="20"/>
        </w:rPr>
        <w:t>o reconstrucción</w:t>
      </w:r>
      <w:r w:rsidR="00B70A51" w:rsidRPr="00AC4AEA">
        <w:rPr>
          <w:rFonts w:ascii="Arial" w:hAnsi="Arial" w:cs="Arial"/>
          <w:sz w:val="20"/>
          <w:szCs w:val="20"/>
        </w:rPr>
        <w:t>;</w:t>
      </w:r>
    </w:p>
    <w:p w:rsidR="009C0841" w:rsidRPr="00AC4AEA" w:rsidRDefault="009C0841" w:rsidP="00A318EA">
      <w:pPr>
        <w:pStyle w:val="Prrafodelista"/>
        <w:numPr>
          <w:ilvl w:val="0"/>
          <w:numId w:val="35"/>
        </w:numPr>
        <w:ind w:left="1985" w:hanging="142"/>
        <w:contextualSpacing w:val="0"/>
        <w:jc w:val="both"/>
        <w:rPr>
          <w:rFonts w:ascii="Arial" w:hAnsi="Arial" w:cs="Arial"/>
          <w:sz w:val="20"/>
          <w:szCs w:val="20"/>
        </w:rPr>
      </w:pPr>
      <w:r w:rsidRPr="00AC4AEA">
        <w:rPr>
          <w:rFonts w:ascii="Arial" w:hAnsi="Arial" w:cs="Arial"/>
          <w:sz w:val="20"/>
          <w:szCs w:val="20"/>
        </w:rPr>
        <w:t xml:space="preserve">del </w:t>
      </w:r>
      <w:r w:rsidRPr="00AC4AEA">
        <w:rPr>
          <w:rFonts w:ascii="Arial" w:hAnsi="Arial" w:cs="Arial"/>
          <w:b/>
          <w:bCs/>
          <w:sz w:val="20"/>
          <w:szCs w:val="20"/>
        </w:rPr>
        <w:t>valor razonable</w:t>
      </w:r>
      <w:r w:rsidRPr="00AC4AEA">
        <w:rPr>
          <w:rFonts w:ascii="Arial" w:hAnsi="Arial" w:cs="Arial"/>
          <w:sz w:val="20"/>
          <w:szCs w:val="20"/>
        </w:rPr>
        <w:t>;</w:t>
      </w:r>
      <w:r w:rsidR="00884908" w:rsidRPr="00AC4AEA">
        <w:rPr>
          <w:rFonts w:ascii="Arial" w:hAnsi="Arial" w:cs="Arial"/>
          <w:sz w:val="20"/>
          <w:szCs w:val="20"/>
        </w:rPr>
        <w:t xml:space="preserve"> y</w:t>
      </w:r>
    </w:p>
    <w:p w:rsidR="00884908" w:rsidRPr="00AC4AEA" w:rsidRDefault="00884908" w:rsidP="00A318EA">
      <w:pPr>
        <w:pStyle w:val="Prrafodelista"/>
        <w:numPr>
          <w:ilvl w:val="0"/>
          <w:numId w:val="35"/>
        </w:numPr>
        <w:ind w:left="1985" w:hanging="142"/>
        <w:contextualSpacing w:val="0"/>
        <w:jc w:val="both"/>
        <w:rPr>
          <w:rFonts w:ascii="Arial" w:hAnsi="Arial" w:cs="Arial"/>
          <w:sz w:val="20"/>
          <w:szCs w:val="20"/>
        </w:rPr>
      </w:pPr>
      <w:r w:rsidRPr="00AC4AEA">
        <w:rPr>
          <w:rFonts w:ascii="Arial" w:hAnsi="Arial" w:cs="Arial"/>
          <w:sz w:val="20"/>
          <w:szCs w:val="20"/>
        </w:rPr>
        <w:t xml:space="preserve">del </w:t>
      </w:r>
      <w:r w:rsidRPr="00AC4AEA">
        <w:rPr>
          <w:rFonts w:ascii="Arial" w:hAnsi="Arial" w:cs="Arial"/>
          <w:b/>
          <w:bCs/>
          <w:sz w:val="20"/>
          <w:szCs w:val="20"/>
        </w:rPr>
        <w:t>valor neto de realización</w:t>
      </w:r>
      <w:r w:rsidRPr="00AC4AEA">
        <w:rPr>
          <w:rFonts w:ascii="Arial" w:hAnsi="Arial" w:cs="Arial"/>
          <w:sz w:val="20"/>
          <w:szCs w:val="20"/>
        </w:rPr>
        <w:t>.</w:t>
      </w:r>
    </w:p>
    <w:p w:rsidR="004B5814" w:rsidRPr="00AC4AEA" w:rsidRDefault="006F63C0" w:rsidP="00A318EA">
      <w:pPr>
        <w:pStyle w:val="Prrafodelista"/>
        <w:numPr>
          <w:ilvl w:val="0"/>
          <w:numId w:val="34"/>
        </w:numPr>
        <w:contextualSpacing w:val="0"/>
        <w:jc w:val="both"/>
        <w:rPr>
          <w:rFonts w:ascii="Arial" w:hAnsi="Arial" w:cs="Arial"/>
          <w:sz w:val="20"/>
          <w:szCs w:val="20"/>
        </w:rPr>
      </w:pPr>
      <w:r w:rsidRPr="00AC4AEA">
        <w:rPr>
          <w:rFonts w:ascii="Arial" w:hAnsi="Arial" w:cs="Arial"/>
          <w:sz w:val="20"/>
          <w:szCs w:val="20"/>
        </w:rPr>
        <w:t xml:space="preserve">los criterios para efectuar mediciones de elementos originalmente denominados en </w:t>
      </w:r>
      <w:r w:rsidRPr="002B0F58">
        <w:rPr>
          <w:rFonts w:ascii="Arial" w:hAnsi="Arial" w:cs="Arial"/>
          <w:b/>
          <w:bCs/>
          <w:sz w:val="20"/>
          <w:szCs w:val="20"/>
        </w:rPr>
        <w:t>moneda extranjera</w:t>
      </w:r>
      <w:r w:rsidRPr="00AC4AEA">
        <w:rPr>
          <w:rFonts w:ascii="Arial" w:hAnsi="Arial" w:cs="Arial"/>
          <w:sz w:val="20"/>
          <w:szCs w:val="20"/>
        </w:rPr>
        <w:t xml:space="preserve">; </w:t>
      </w:r>
    </w:p>
    <w:p w:rsidR="00131ECD" w:rsidRPr="00AC4AEA" w:rsidRDefault="00131ECD" w:rsidP="00A318EA">
      <w:pPr>
        <w:pStyle w:val="Prrafodelista"/>
        <w:numPr>
          <w:ilvl w:val="0"/>
          <w:numId w:val="34"/>
        </w:numPr>
        <w:contextualSpacing w:val="0"/>
        <w:jc w:val="both"/>
        <w:rPr>
          <w:rFonts w:ascii="Arial" w:hAnsi="Arial" w:cs="Arial"/>
          <w:sz w:val="20"/>
          <w:szCs w:val="20"/>
        </w:rPr>
      </w:pPr>
      <w:r w:rsidRPr="00AC4AEA">
        <w:rPr>
          <w:rFonts w:ascii="Arial" w:hAnsi="Arial" w:cs="Arial"/>
          <w:sz w:val="20"/>
          <w:szCs w:val="20"/>
        </w:rPr>
        <w:t xml:space="preserve">el tratamiento de los componentes financieros, </w:t>
      </w:r>
      <w:r w:rsidR="008D5E6D" w:rsidRPr="00AC4AEA">
        <w:rPr>
          <w:rFonts w:ascii="Arial" w:hAnsi="Arial" w:cs="Arial"/>
          <w:sz w:val="20"/>
          <w:szCs w:val="20"/>
        </w:rPr>
        <w:t>que incluye:</w:t>
      </w:r>
    </w:p>
    <w:p w:rsidR="008D5E6D" w:rsidRPr="00AC4AEA" w:rsidRDefault="0022557B" w:rsidP="00A318EA">
      <w:pPr>
        <w:pStyle w:val="Prrafodelista"/>
        <w:numPr>
          <w:ilvl w:val="0"/>
          <w:numId w:val="36"/>
        </w:numPr>
        <w:ind w:left="1985" w:hanging="142"/>
        <w:contextualSpacing w:val="0"/>
        <w:jc w:val="both"/>
        <w:rPr>
          <w:rFonts w:ascii="Arial" w:hAnsi="Arial" w:cs="Arial"/>
          <w:sz w:val="20"/>
          <w:szCs w:val="20"/>
        </w:rPr>
      </w:pPr>
      <w:r w:rsidRPr="00AC4AEA">
        <w:rPr>
          <w:rFonts w:ascii="Arial" w:hAnsi="Arial" w:cs="Arial"/>
          <w:sz w:val="20"/>
          <w:szCs w:val="20"/>
        </w:rPr>
        <w:t xml:space="preserve">el tratamiento de los componentes financieros explícitos; </w:t>
      </w:r>
    </w:p>
    <w:p w:rsidR="002C1A6B" w:rsidRPr="00AC4AEA" w:rsidRDefault="0022557B" w:rsidP="00A318EA">
      <w:pPr>
        <w:pStyle w:val="Prrafodelista"/>
        <w:numPr>
          <w:ilvl w:val="0"/>
          <w:numId w:val="36"/>
        </w:numPr>
        <w:ind w:left="1985" w:hanging="142"/>
        <w:contextualSpacing w:val="0"/>
        <w:jc w:val="both"/>
        <w:rPr>
          <w:rFonts w:ascii="Arial" w:hAnsi="Arial" w:cs="Arial"/>
          <w:sz w:val="20"/>
          <w:szCs w:val="20"/>
        </w:rPr>
      </w:pPr>
      <w:r w:rsidRPr="00AC4AEA">
        <w:rPr>
          <w:rFonts w:ascii="Arial" w:hAnsi="Arial" w:cs="Arial"/>
          <w:sz w:val="20"/>
          <w:szCs w:val="20"/>
        </w:rPr>
        <w:t xml:space="preserve">la segregación de </w:t>
      </w:r>
      <w:r w:rsidR="00F0601B">
        <w:rPr>
          <w:rFonts w:ascii="Arial" w:hAnsi="Arial" w:cs="Arial"/>
          <w:sz w:val="20"/>
          <w:szCs w:val="20"/>
        </w:rPr>
        <w:t xml:space="preserve">los </w:t>
      </w:r>
      <w:r w:rsidRPr="00AC4AEA">
        <w:rPr>
          <w:rFonts w:ascii="Arial" w:hAnsi="Arial" w:cs="Arial"/>
          <w:b/>
          <w:bCs/>
          <w:sz w:val="20"/>
          <w:szCs w:val="20"/>
        </w:rPr>
        <w:t>componentes financieros implícitos</w:t>
      </w:r>
      <w:r w:rsidRPr="00AC4AEA">
        <w:rPr>
          <w:rFonts w:ascii="Arial" w:hAnsi="Arial" w:cs="Arial"/>
          <w:sz w:val="20"/>
          <w:szCs w:val="20"/>
        </w:rPr>
        <w:t>;</w:t>
      </w:r>
    </w:p>
    <w:p w:rsidR="00122079" w:rsidRPr="00AC4AEA" w:rsidRDefault="002C1A6B" w:rsidP="00A318EA">
      <w:pPr>
        <w:pStyle w:val="Prrafodelista"/>
        <w:numPr>
          <w:ilvl w:val="0"/>
          <w:numId w:val="36"/>
        </w:numPr>
        <w:ind w:left="1985" w:hanging="142"/>
        <w:contextualSpacing w:val="0"/>
        <w:jc w:val="both"/>
        <w:rPr>
          <w:rFonts w:ascii="Arial" w:hAnsi="Arial" w:cs="Arial"/>
          <w:sz w:val="20"/>
          <w:szCs w:val="20"/>
        </w:rPr>
      </w:pPr>
      <w:r w:rsidRPr="00AC4AEA">
        <w:rPr>
          <w:rFonts w:ascii="Arial" w:hAnsi="Arial" w:cs="Arial"/>
          <w:sz w:val="20"/>
          <w:szCs w:val="20"/>
        </w:rPr>
        <w:t xml:space="preserve">la consideración de los </w:t>
      </w:r>
      <w:r w:rsidRPr="00AC4AEA">
        <w:rPr>
          <w:rFonts w:ascii="Arial" w:hAnsi="Arial" w:cs="Arial"/>
          <w:b/>
          <w:bCs/>
          <w:sz w:val="20"/>
          <w:szCs w:val="20"/>
        </w:rPr>
        <w:t>costos financieros</w:t>
      </w:r>
      <w:r w:rsidRPr="00AC4AEA">
        <w:rPr>
          <w:rFonts w:ascii="Arial" w:hAnsi="Arial" w:cs="Arial"/>
          <w:sz w:val="20"/>
          <w:szCs w:val="20"/>
        </w:rPr>
        <w:t xml:space="preserve"> como gastos o como parte de</w:t>
      </w:r>
      <w:r w:rsidR="00B70A51" w:rsidRPr="00AC4AEA">
        <w:rPr>
          <w:rFonts w:ascii="Arial" w:hAnsi="Arial" w:cs="Arial"/>
          <w:sz w:val="20"/>
          <w:szCs w:val="20"/>
        </w:rPr>
        <w:t xml:space="preserve"> la medición de</w:t>
      </w:r>
      <w:r w:rsidRPr="00AC4AEA">
        <w:rPr>
          <w:rFonts w:ascii="Arial" w:hAnsi="Arial" w:cs="Arial"/>
          <w:sz w:val="20"/>
          <w:szCs w:val="20"/>
        </w:rPr>
        <w:t xml:space="preserve"> un </w:t>
      </w:r>
      <w:r w:rsidR="00C74D49" w:rsidRPr="00AC4AEA">
        <w:rPr>
          <w:rFonts w:ascii="Arial" w:hAnsi="Arial" w:cs="Arial"/>
          <w:b/>
          <w:bCs/>
          <w:sz w:val="20"/>
          <w:szCs w:val="20"/>
        </w:rPr>
        <w:t>activo apto para la activación de costos financieros</w:t>
      </w:r>
      <w:r w:rsidR="00122079" w:rsidRPr="00AC4AEA">
        <w:rPr>
          <w:rFonts w:ascii="Arial" w:hAnsi="Arial" w:cs="Arial"/>
          <w:sz w:val="20"/>
          <w:szCs w:val="20"/>
        </w:rPr>
        <w:t xml:space="preserve">; </w:t>
      </w:r>
    </w:p>
    <w:p w:rsidR="00E14CFD" w:rsidRPr="00AC4AEA" w:rsidRDefault="00E83A8D" w:rsidP="00A318EA">
      <w:pPr>
        <w:pStyle w:val="Prrafodelista"/>
        <w:numPr>
          <w:ilvl w:val="0"/>
          <w:numId w:val="298"/>
        </w:numPr>
        <w:ind w:left="1418" w:hanging="426"/>
        <w:contextualSpacing w:val="0"/>
        <w:jc w:val="both"/>
        <w:rPr>
          <w:rFonts w:ascii="Arial" w:hAnsi="Arial" w:cs="Arial"/>
          <w:sz w:val="20"/>
          <w:szCs w:val="20"/>
        </w:rPr>
      </w:pPr>
      <w:r w:rsidRPr="00AC4AEA">
        <w:rPr>
          <w:rFonts w:ascii="Arial" w:hAnsi="Arial" w:cs="Arial"/>
          <w:sz w:val="20"/>
          <w:szCs w:val="20"/>
        </w:rPr>
        <w:t>la consideración de hechos contingentes;</w:t>
      </w:r>
    </w:p>
    <w:p w:rsidR="00122079" w:rsidRPr="00AC4AEA" w:rsidRDefault="00ED3F6F" w:rsidP="00A318EA">
      <w:pPr>
        <w:pStyle w:val="Prrafodelista"/>
        <w:numPr>
          <w:ilvl w:val="0"/>
          <w:numId w:val="298"/>
        </w:numPr>
        <w:ind w:left="1418" w:hanging="425"/>
        <w:contextualSpacing w:val="0"/>
        <w:jc w:val="both"/>
        <w:rPr>
          <w:rFonts w:ascii="Arial" w:hAnsi="Arial" w:cs="Arial"/>
          <w:sz w:val="20"/>
          <w:szCs w:val="20"/>
        </w:rPr>
      </w:pPr>
      <w:r w:rsidRPr="00AC4AEA">
        <w:rPr>
          <w:rFonts w:ascii="Arial" w:hAnsi="Arial" w:cs="Arial"/>
          <w:sz w:val="20"/>
          <w:szCs w:val="20"/>
        </w:rPr>
        <w:t xml:space="preserve">la comparación de ciertos </w:t>
      </w:r>
      <w:r w:rsidR="00497590" w:rsidRPr="00AC4AEA">
        <w:rPr>
          <w:rFonts w:ascii="Arial" w:hAnsi="Arial" w:cs="Arial"/>
          <w:sz w:val="20"/>
          <w:szCs w:val="20"/>
        </w:rPr>
        <w:t>activos</w:t>
      </w:r>
      <w:r w:rsidRPr="00AC4AEA">
        <w:rPr>
          <w:rFonts w:ascii="Arial" w:hAnsi="Arial" w:cs="Arial"/>
          <w:sz w:val="20"/>
          <w:szCs w:val="20"/>
        </w:rPr>
        <w:t xml:space="preserve"> con su </w:t>
      </w:r>
      <w:r w:rsidRPr="00AC4AEA">
        <w:rPr>
          <w:rFonts w:ascii="Arial" w:hAnsi="Arial" w:cs="Arial"/>
          <w:b/>
          <w:bCs/>
          <w:sz w:val="20"/>
          <w:szCs w:val="20"/>
        </w:rPr>
        <w:t>valor recu</w:t>
      </w:r>
      <w:r w:rsidR="00F30A75" w:rsidRPr="00AC4AEA">
        <w:rPr>
          <w:rFonts w:ascii="Arial" w:hAnsi="Arial" w:cs="Arial"/>
          <w:b/>
          <w:bCs/>
          <w:sz w:val="20"/>
          <w:szCs w:val="20"/>
        </w:rPr>
        <w:t>perable</w:t>
      </w:r>
      <w:r w:rsidR="00F30A75" w:rsidRPr="00AC4AEA">
        <w:rPr>
          <w:rFonts w:ascii="Arial" w:hAnsi="Arial" w:cs="Arial"/>
          <w:sz w:val="20"/>
          <w:szCs w:val="20"/>
        </w:rPr>
        <w:t>;</w:t>
      </w:r>
      <w:r w:rsidR="00E60975" w:rsidRPr="00AC4AEA">
        <w:rPr>
          <w:rFonts w:ascii="Arial" w:hAnsi="Arial" w:cs="Arial"/>
          <w:sz w:val="20"/>
          <w:szCs w:val="20"/>
        </w:rPr>
        <w:t xml:space="preserve"> y</w:t>
      </w:r>
    </w:p>
    <w:p w:rsidR="00F30A75" w:rsidRPr="00AC4AEA" w:rsidRDefault="00F30A75" w:rsidP="00A318EA">
      <w:pPr>
        <w:pStyle w:val="Prrafodelista"/>
        <w:numPr>
          <w:ilvl w:val="0"/>
          <w:numId w:val="298"/>
        </w:numPr>
        <w:ind w:left="1418" w:hanging="425"/>
        <w:contextualSpacing w:val="0"/>
        <w:jc w:val="both"/>
        <w:rPr>
          <w:rFonts w:ascii="Arial" w:hAnsi="Arial" w:cs="Arial"/>
          <w:sz w:val="20"/>
          <w:szCs w:val="20"/>
        </w:rPr>
      </w:pPr>
      <w:r w:rsidRPr="00AC4AEA">
        <w:rPr>
          <w:rFonts w:ascii="Arial" w:hAnsi="Arial" w:cs="Arial"/>
          <w:sz w:val="20"/>
          <w:szCs w:val="20"/>
        </w:rPr>
        <w:t xml:space="preserve">la expresión </w:t>
      </w:r>
      <w:r w:rsidR="00AC0083" w:rsidRPr="00AC4AEA">
        <w:rPr>
          <w:rFonts w:ascii="Arial" w:hAnsi="Arial" w:cs="Arial"/>
          <w:sz w:val="20"/>
          <w:szCs w:val="20"/>
        </w:rPr>
        <w:t xml:space="preserve">de los </w:t>
      </w:r>
      <w:r w:rsidR="00135084" w:rsidRPr="00AC4AEA">
        <w:rPr>
          <w:rFonts w:ascii="Arial" w:hAnsi="Arial" w:cs="Arial"/>
          <w:b/>
          <w:bCs/>
          <w:sz w:val="20"/>
          <w:szCs w:val="20"/>
        </w:rPr>
        <w:t>estados contables</w:t>
      </w:r>
      <w:r w:rsidR="00AC0083" w:rsidRPr="00AC4AEA">
        <w:rPr>
          <w:rFonts w:ascii="Arial" w:hAnsi="Arial" w:cs="Arial"/>
          <w:sz w:val="20"/>
          <w:szCs w:val="20"/>
        </w:rPr>
        <w:t xml:space="preserve"> en moneda </w:t>
      </w:r>
      <w:r w:rsidR="00F0601B">
        <w:rPr>
          <w:rFonts w:ascii="Arial" w:hAnsi="Arial" w:cs="Arial"/>
          <w:sz w:val="20"/>
          <w:szCs w:val="20"/>
        </w:rPr>
        <w:t>de cierre</w:t>
      </w:r>
      <w:r w:rsidR="00AC0083" w:rsidRPr="00AC4AEA">
        <w:rPr>
          <w:rFonts w:ascii="Arial" w:hAnsi="Arial" w:cs="Arial"/>
          <w:sz w:val="20"/>
          <w:szCs w:val="20"/>
        </w:rPr>
        <w:t xml:space="preserve"> (ajuste por inflación de los </w:t>
      </w:r>
      <w:r w:rsidR="00135084" w:rsidRPr="00AC4AEA">
        <w:rPr>
          <w:rFonts w:ascii="Arial" w:hAnsi="Arial" w:cs="Arial"/>
          <w:b/>
          <w:bCs/>
          <w:sz w:val="20"/>
          <w:szCs w:val="20"/>
        </w:rPr>
        <w:t>estados contables</w:t>
      </w:r>
      <w:r w:rsidR="00AC0083" w:rsidRPr="00AC4AEA">
        <w:rPr>
          <w:rFonts w:ascii="Arial" w:hAnsi="Arial" w:cs="Arial"/>
          <w:sz w:val="20"/>
          <w:szCs w:val="20"/>
        </w:rPr>
        <w:t>)</w:t>
      </w:r>
      <w:r w:rsidR="00E60975" w:rsidRPr="00AC4AEA">
        <w:rPr>
          <w:rFonts w:ascii="Arial" w:hAnsi="Arial" w:cs="Arial"/>
          <w:sz w:val="20"/>
          <w:szCs w:val="20"/>
        </w:rPr>
        <w:t>.</w:t>
      </w:r>
    </w:p>
    <w:p w:rsidR="00AE7883" w:rsidRPr="00AC4AEA" w:rsidRDefault="00AE7883" w:rsidP="00A318EA">
      <w:pPr>
        <w:pStyle w:val="Ttulo1"/>
        <w:rPr>
          <w:rFonts w:cs="Arial"/>
          <w:sz w:val="20"/>
          <w:szCs w:val="20"/>
        </w:rPr>
      </w:pPr>
      <w:bookmarkStart w:id="124" w:name="MEDICIONcostos"/>
      <w:bookmarkStart w:id="125" w:name="_Toc101863737"/>
      <w:bookmarkEnd w:id="124"/>
    </w:p>
    <w:p w:rsidR="0090400F" w:rsidRPr="00AC4AEA" w:rsidRDefault="004119B7" w:rsidP="00A318EA">
      <w:pPr>
        <w:pStyle w:val="Ttulo1"/>
        <w:rPr>
          <w:rFonts w:cs="Arial"/>
          <w:sz w:val="20"/>
          <w:szCs w:val="20"/>
        </w:rPr>
      </w:pPr>
      <w:bookmarkStart w:id="126" w:name="_Toc139356600"/>
      <w:r w:rsidRPr="00AC4AEA">
        <w:rPr>
          <w:rFonts w:cs="Arial"/>
          <w:sz w:val="20"/>
          <w:szCs w:val="20"/>
        </w:rPr>
        <w:t>MEDICIÓN DE COSTOS</w:t>
      </w:r>
      <w:bookmarkEnd w:id="125"/>
      <w:bookmarkEnd w:id="126"/>
    </w:p>
    <w:p w:rsidR="000719CC" w:rsidRPr="00AC4AEA" w:rsidRDefault="00502FF4" w:rsidP="00A318EA">
      <w:pPr>
        <w:pStyle w:val="Ttulo2"/>
        <w:rPr>
          <w:rFonts w:cs="Arial"/>
        </w:rPr>
      </w:pPr>
      <w:bookmarkStart w:id="127" w:name="_Toc101863738"/>
      <w:bookmarkStart w:id="128" w:name="_Toc139356601"/>
      <w:r w:rsidRPr="00AC4AEA">
        <w:rPr>
          <w:rFonts w:cs="Arial"/>
        </w:rPr>
        <w:t>Medición de costos</w:t>
      </w:r>
      <w:r w:rsidR="00391DCB" w:rsidRPr="00AC4AEA">
        <w:rPr>
          <w:rFonts w:cs="Arial"/>
        </w:rPr>
        <w:t>,</w:t>
      </w:r>
      <w:r w:rsidRPr="00AC4AEA">
        <w:rPr>
          <w:rFonts w:cs="Arial"/>
        </w:rPr>
        <w:t xml:space="preserve"> en general</w:t>
      </w:r>
      <w:bookmarkEnd w:id="127"/>
      <w:bookmarkEnd w:id="128"/>
    </w:p>
    <w:p w:rsidR="000717F7" w:rsidRPr="00AC4AEA" w:rsidRDefault="0090400F" w:rsidP="00A318EA">
      <w:pPr>
        <w:pStyle w:val="Prrafodelista"/>
        <w:numPr>
          <w:ilvl w:val="0"/>
          <w:numId w:val="29"/>
        </w:numPr>
        <w:contextualSpacing w:val="0"/>
        <w:jc w:val="both"/>
        <w:rPr>
          <w:rFonts w:ascii="Arial" w:hAnsi="Arial" w:cs="Arial"/>
          <w:sz w:val="20"/>
          <w:szCs w:val="20"/>
        </w:rPr>
      </w:pPr>
      <w:bookmarkStart w:id="129" w:name="_Ref99459939"/>
      <w:r w:rsidRPr="00AC4AEA">
        <w:rPr>
          <w:rFonts w:ascii="Arial" w:hAnsi="Arial" w:cs="Arial"/>
          <w:sz w:val="20"/>
          <w:szCs w:val="20"/>
        </w:rPr>
        <w:t>Una entidad medirá los costos</w:t>
      </w:r>
      <w:r w:rsidR="00E540FF" w:rsidRPr="00AC4AEA">
        <w:rPr>
          <w:rFonts w:ascii="Arial" w:hAnsi="Arial" w:cs="Arial"/>
          <w:sz w:val="20"/>
          <w:szCs w:val="20"/>
        </w:rPr>
        <w:t xml:space="preserve"> en función de</w:t>
      </w:r>
      <w:r w:rsidRPr="00AC4AEA">
        <w:rPr>
          <w:rFonts w:ascii="Arial" w:hAnsi="Arial" w:cs="Arial"/>
          <w:sz w:val="20"/>
          <w:szCs w:val="20"/>
        </w:rPr>
        <w:t xml:space="preserve"> </w:t>
      </w:r>
      <w:r w:rsidR="00837E3A" w:rsidRPr="00AC4AEA">
        <w:rPr>
          <w:rFonts w:ascii="Arial" w:hAnsi="Arial" w:cs="Arial"/>
          <w:sz w:val="20"/>
          <w:szCs w:val="20"/>
        </w:rPr>
        <w:t>la suma de</w:t>
      </w:r>
      <w:r w:rsidR="000717F7" w:rsidRPr="00AC4AEA">
        <w:rPr>
          <w:rFonts w:ascii="Arial" w:hAnsi="Arial" w:cs="Arial"/>
          <w:sz w:val="20"/>
          <w:szCs w:val="20"/>
        </w:rPr>
        <w:t>:</w:t>
      </w:r>
      <w:bookmarkEnd w:id="129"/>
    </w:p>
    <w:p w:rsidR="000717F7" w:rsidRPr="00AC4AEA" w:rsidRDefault="00502FF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00837E3A" w:rsidRPr="00AC4AEA">
        <w:rPr>
          <w:rFonts w:ascii="Arial" w:hAnsi="Arial" w:cs="Arial"/>
          <w:sz w:val="20"/>
          <w:szCs w:val="20"/>
        </w:rPr>
        <w:t>importes</w:t>
      </w:r>
      <w:r w:rsidR="0090400F" w:rsidRPr="00AC4AEA">
        <w:rPr>
          <w:rFonts w:ascii="Arial" w:hAnsi="Arial" w:cs="Arial"/>
          <w:sz w:val="20"/>
          <w:szCs w:val="20"/>
        </w:rPr>
        <w:t xml:space="preserve"> de efectivo o </w:t>
      </w:r>
      <w:r w:rsidR="00B51C22" w:rsidRPr="00AC4AEA">
        <w:rPr>
          <w:rFonts w:ascii="Arial" w:hAnsi="Arial" w:cs="Arial"/>
          <w:sz w:val="20"/>
          <w:szCs w:val="20"/>
        </w:rPr>
        <w:t xml:space="preserve">sus </w:t>
      </w:r>
      <w:r w:rsidR="0090400F" w:rsidRPr="00AC4AEA">
        <w:rPr>
          <w:rFonts w:ascii="Arial" w:hAnsi="Arial" w:cs="Arial"/>
          <w:sz w:val="20"/>
          <w:szCs w:val="20"/>
        </w:rPr>
        <w:t>equivalentes pagado</w:t>
      </w:r>
      <w:r w:rsidR="00BF4AED" w:rsidRPr="00AC4AEA">
        <w:rPr>
          <w:rFonts w:ascii="Arial" w:hAnsi="Arial" w:cs="Arial"/>
          <w:sz w:val="20"/>
          <w:szCs w:val="20"/>
        </w:rPr>
        <w:t>s</w:t>
      </w:r>
      <w:r w:rsidR="000717F7" w:rsidRPr="00AC4AEA">
        <w:rPr>
          <w:rFonts w:ascii="Arial" w:hAnsi="Arial" w:cs="Arial"/>
          <w:sz w:val="20"/>
          <w:szCs w:val="20"/>
        </w:rPr>
        <w:t xml:space="preserve"> o que se obliga a </w:t>
      </w:r>
      <w:r w:rsidR="00B51C22" w:rsidRPr="00AC4AEA">
        <w:rPr>
          <w:rFonts w:ascii="Arial" w:hAnsi="Arial" w:cs="Arial"/>
          <w:sz w:val="20"/>
          <w:szCs w:val="20"/>
        </w:rPr>
        <w:t>entregar</w:t>
      </w:r>
      <w:r w:rsidRPr="00AC4AEA">
        <w:rPr>
          <w:rFonts w:ascii="Arial" w:hAnsi="Arial" w:cs="Arial"/>
          <w:sz w:val="20"/>
          <w:szCs w:val="20"/>
        </w:rPr>
        <w:t>;</w:t>
      </w:r>
      <w:r w:rsidR="000717F7" w:rsidRPr="00AC4AEA">
        <w:rPr>
          <w:rFonts w:ascii="Arial" w:hAnsi="Arial" w:cs="Arial"/>
          <w:sz w:val="20"/>
          <w:szCs w:val="20"/>
        </w:rPr>
        <w:t xml:space="preserve"> y</w:t>
      </w:r>
    </w:p>
    <w:p w:rsidR="0090400F" w:rsidRPr="00AC4AEA" w:rsidRDefault="00502FF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el </w:t>
      </w:r>
      <w:r w:rsidR="00A06C32" w:rsidRPr="00AC4AEA">
        <w:rPr>
          <w:rFonts w:ascii="Arial" w:hAnsi="Arial" w:cs="Arial"/>
          <w:b/>
          <w:bCs/>
          <w:sz w:val="20"/>
          <w:szCs w:val="20"/>
        </w:rPr>
        <w:t>valor corriente</w:t>
      </w:r>
      <w:r w:rsidR="0090400F" w:rsidRPr="00AC4AEA">
        <w:rPr>
          <w:rFonts w:ascii="Arial" w:hAnsi="Arial" w:cs="Arial"/>
          <w:sz w:val="20"/>
          <w:szCs w:val="20"/>
        </w:rPr>
        <w:t xml:space="preserve"> de las contraprestaciones diferentes </w:t>
      </w:r>
      <w:r w:rsidR="00B51C22" w:rsidRPr="00AC4AEA">
        <w:rPr>
          <w:rFonts w:ascii="Arial" w:hAnsi="Arial" w:cs="Arial"/>
          <w:sz w:val="20"/>
          <w:szCs w:val="20"/>
        </w:rPr>
        <w:t>del</w:t>
      </w:r>
      <w:r w:rsidR="0090400F" w:rsidRPr="00AC4AEA">
        <w:rPr>
          <w:rFonts w:ascii="Arial" w:hAnsi="Arial" w:cs="Arial"/>
          <w:sz w:val="20"/>
          <w:szCs w:val="20"/>
        </w:rPr>
        <w:t xml:space="preserve"> efectivo</w:t>
      </w:r>
      <w:r w:rsidR="00B51C22" w:rsidRPr="00AC4AEA">
        <w:rPr>
          <w:rFonts w:ascii="Arial" w:hAnsi="Arial" w:cs="Arial"/>
          <w:sz w:val="20"/>
          <w:szCs w:val="20"/>
        </w:rPr>
        <w:t xml:space="preserve"> o sus equivalentes </w:t>
      </w:r>
      <w:r w:rsidR="0090400F" w:rsidRPr="00AC4AEA">
        <w:rPr>
          <w:rFonts w:ascii="Arial" w:hAnsi="Arial" w:cs="Arial"/>
          <w:sz w:val="20"/>
          <w:szCs w:val="20"/>
        </w:rPr>
        <w:t>entregad</w:t>
      </w:r>
      <w:r w:rsidR="00B51C22" w:rsidRPr="00AC4AEA">
        <w:rPr>
          <w:rFonts w:ascii="Arial" w:hAnsi="Arial" w:cs="Arial"/>
          <w:sz w:val="20"/>
          <w:szCs w:val="20"/>
        </w:rPr>
        <w:t>o</w:t>
      </w:r>
      <w:r w:rsidR="0090400F" w:rsidRPr="00AC4AEA">
        <w:rPr>
          <w:rFonts w:ascii="Arial" w:hAnsi="Arial" w:cs="Arial"/>
          <w:sz w:val="20"/>
          <w:szCs w:val="20"/>
        </w:rPr>
        <w:t>s</w:t>
      </w:r>
      <w:r w:rsidR="006C4B86" w:rsidRPr="00AC4AEA">
        <w:rPr>
          <w:rFonts w:ascii="Arial" w:hAnsi="Arial" w:cs="Arial"/>
          <w:sz w:val="20"/>
          <w:szCs w:val="20"/>
        </w:rPr>
        <w:t xml:space="preserve"> o </w:t>
      </w:r>
      <w:r w:rsidR="000717F7" w:rsidRPr="00AC4AEA">
        <w:rPr>
          <w:rFonts w:ascii="Arial" w:hAnsi="Arial" w:cs="Arial"/>
          <w:sz w:val="20"/>
          <w:szCs w:val="20"/>
        </w:rPr>
        <w:t>que se obliga a entregar</w:t>
      </w:r>
      <w:r w:rsidR="0090400F" w:rsidRPr="00AC4AEA">
        <w:rPr>
          <w:rFonts w:ascii="Arial" w:hAnsi="Arial" w:cs="Arial"/>
          <w:sz w:val="20"/>
          <w:szCs w:val="20"/>
        </w:rPr>
        <w:t xml:space="preserve"> </w:t>
      </w:r>
      <w:r w:rsidR="006C4B86" w:rsidRPr="00AC4AEA">
        <w:rPr>
          <w:rFonts w:ascii="Arial" w:hAnsi="Arial" w:cs="Arial"/>
          <w:sz w:val="20"/>
          <w:szCs w:val="20"/>
        </w:rPr>
        <w:t>por</w:t>
      </w:r>
      <w:r w:rsidR="00070E4F" w:rsidRPr="00AC4AEA">
        <w:rPr>
          <w:rFonts w:ascii="Arial" w:hAnsi="Arial" w:cs="Arial"/>
          <w:sz w:val="20"/>
          <w:szCs w:val="20"/>
        </w:rPr>
        <w:t>, o como consecuencia de,</w:t>
      </w:r>
      <w:r w:rsidR="006C4B86" w:rsidRPr="00AC4AEA">
        <w:rPr>
          <w:rFonts w:ascii="Arial" w:hAnsi="Arial" w:cs="Arial"/>
          <w:sz w:val="20"/>
          <w:szCs w:val="20"/>
        </w:rPr>
        <w:t xml:space="preserve"> </w:t>
      </w:r>
      <w:r w:rsidR="0090400F" w:rsidRPr="00AC4AEA">
        <w:rPr>
          <w:rFonts w:ascii="Arial" w:hAnsi="Arial" w:cs="Arial"/>
          <w:sz w:val="20"/>
          <w:szCs w:val="20"/>
        </w:rPr>
        <w:t xml:space="preserve">la adquisición, </w:t>
      </w:r>
      <w:r w:rsidR="000A4B06" w:rsidRPr="00AC4AEA">
        <w:rPr>
          <w:rFonts w:ascii="Arial" w:hAnsi="Arial" w:cs="Arial"/>
          <w:sz w:val="20"/>
          <w:szCs w:val="20"/>
        </w:rPr>
        <w:t xml:space="preserve">producción </w:t>
      </w:r>
      <w:r w:rsidR="0090400F" w:rsidRPr="00AC4AEA">
        <w:rPr>
          <w:rFonts w:ascii="Arial" w:hAnsi="Arial" w:cs="Arial"/>
          <w:sz w:val="20"/>
          <w:szCs w:val="20"/>
        </w:rPr>
        <w:t xml:space="preserve">o construcción de un </w:t>
      </w:r>
      <w:r w:rsidR="0090400F" w:rsidRPr="00AC4AEA">
        <w:rPr>
          <w:rFonts w:ascii="Arial" w:hAnsi="Arial" w:cs="Arial"/>
          <w:b/>
          <w:bCs/>
          <w:sz w:val="20"/>
          <w:szCs w:val="20"/>
        </w:rPr>
        <w:t>activo</w:t>
      </w:r>
      <w:r w:rsidR="0090400F" w:rsidRPr="00AC4AEA">
        <w:rPr>
          <w:rFonts w:ascii="Arial" w:hAnsi="Arial" w:cs="Arial"/>
          <w:sz w:val="20"/>
          <w:szCs w:val="20"/>
        </w:rPr>
        <w:t>.</w:t>
      </w:r>
    </w:p>
    <w:p w:rsidR="0090400F" w:rsidRPr="00AC4AEA" w:rsidRDefault="0090400F" w:rsidP="00A318EA">
      <w:pPr>
        <w:jc w:val="both"/>
        <w:rPr>
          <w:rFonts w:ascii="Arial" w:hAnsi="Arial" w:cs="Arial"/>
          <w:b/>
          <w:bCs/>
          <w:sz w:val="20"/>
          <w:szCs w:val="20"/>
        </w:rPr>
      </w:pPr>
    </w:p>
    <w:p w:rsidR="0090400F" w:rsidRPr="00AC4AEA" w:rsidRDefault="0090400F" w:rsidP="00A318EA">
      <w:pPr>
        <w:pStyle w:val="Ttulo2"/>
        <w:rPr>
          <w:rFonts w:cs="Arial"/>
        </w:rPr>
      </w:pPr>
      <w:bookmarkStart w:id="130" w:name="_Toc101863739"/>
      <w:bookmarkStart w:id="131" w:name="_Toc139356602"/>
      <w:r w:rsidRPr="00AC4AEA">
        <w:rPr>
          <w:rFonts w:cs="Arial"/>
        </w:rPr>
        <w:t>Medición de</w:t>
      </w:r>
      <w:r w:rsidR="006179F1" w:rsidRPr="00AC4AEA">
        <w:rPr>
          <w:rFonts w:cs="Arial"/>
        </w:rPr>
        <w:t>l</w:t>
      </w:r>
      <w:r w:rsidRPr="00AC4AEA">
        <w:rPr>
          <w:rFonts w:cs="Arial"/>
        </w:rPr>
        <w:t xml:space="preserve"> costo de adquisición</w:t>
      </w:r>
      <w:bookmarkEnd w:id="130"/>
      <w:bookmarkEnd w:id="131"/>
    </w:p>
    <w:p w:rsidR="0090400F" w:rsidRPr="00AC4AEA" w:rsidRDefault="0090400F" w:rsidP="00A318EA">
      <w:pPr>
        <w:pStyle w:val="Prrafodelista"/>
        <w:numPr>
          <w:ilvl w:val="0"/>
          <w:numId w:val="29"/>
        </w:numPr>
        <w:contextualSpacing w:val="0"/>
        <w:jc w:val="both"/>
        <w:rPr>
          <w:rFonts w:ascii="Arial" w:hAnsi="Arial" w:cs="Arial"/>
          <w:sz w:val="20"/>
          <w:szCs w:val="20"/>
        </w:rPr>
      </w:pPr>
      <w:bookmarkStart w:id="132" w:name="_Ref99478351"/>
      <w:r w:rsidRPr="00AC4AEA">
        <w:rPr>
          <w:rFonts w:ascii="Arial" w:hAnsi="Arial" w:cs="Arial"/>
          <w:sz w:val="20"/>
          <w:szCs w:val="20"/>
        </w:rPr>
        <w:t xml:space="preserve">Una entidad medirá el </w:t>
      </w:r>
      <w:r w:rsidRPr="00AC4AEA">
        <w:rPr>
          <w:rFonts w:ascii="Arial" w:hAnsi="Arial" w:cs="Arial"/>
          <w:b/>
          <w:bCs/>
          <w:sz w:val="20"/>
          <w:szCs w:val="20"/>
        </w:rPr>
        <w:t>costo de adquisición</w:t>
      </w:r>
      <w:r w:rsidRPr="00AC4AEA">
        <w:rPr>
          <w:rFonts w:ascii="Arial" w:hAnsi="Arial" w:cs="Arial"/>
          <w:sz w:val="20"/>
          <w:szCs w:val="20"/>
        </w:rPr>
        <w:t xml:space="preserve"> de bienes o servicios mediante la suma de los siguientes componentes:</w:t>
      </w:r>
      <w:bookmarkEnd w:id="132"/>
    </w:p>
    <w:p w:rsidR="0090400F" w:rsidRPr="00AC4AEA" w:rsidRDefault="00D76FD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90400F" w:rsidRPr="00AC4AEA">
        <w:rPr>
          <w:rFonts w:ascii="Arial" w:hAnsi="Arial" w:cs="Arial"/>
          <w:sz w:val="20"/>
          <w:szCs w:val="20"/>
        </w:rPr>
        <w:t>l precio de adquisición,</w:t>
      </w:r>
      <w:r w:rsidR="002A449B" w:rsidRPr="00AC4AEA">
        <w:rPr>
          <w:rFonts w:ascii="Arial" w:hAnsi="Arial" w:cs="Arial"/>
          <w:sz w:val="20"/>
          <w:szCs w:val="20"/>
        </w:rPr>
        <w:t xml:space="preserve"> determinado de forma consistente con lo establecido en el apartado “</w:t>
      </w:r>
      <w:r w:rsidR="002A449B" w:rsidRPr="00AC4AEA">
        <w:rPr>
          <w:rFonts w:ascii="Arial" w:hAnsi="Arial" w:cs="Arial"/>
          <w:sz w:val="20"/>
          <w:szCs w:val="20"/>
          <w:u w:val="single"/>
        </w:rPr>
        <w:t xml:space="preserve">Tratamiento de </w:t>
      </w:r>
      <w:r w:rsidR="00641FC5" w:rsidRPr="00AC4AEA">
        <w:rPr>
          <w:rFonts w:ascii="Arial" w:hAnsi="Arial" w:cs="Arial"/>
          <w:sz w:val="20"/>
          <w:szCs w:val="20"/>
          <w:u w:val="single"/>
        </w:rPr>
        <w:t>componentes</w:t>
      </w:r>
      <w:r w:rsidR="002A449B" w:rsidRPr="00AC4AEA">
        <w:rPr>
          <w:rFonts w:ascii="Arial" w:hAnsi="Arial" w:cs="Arial"/>
          <w:sz w:val="20"/>
          <w:szCs w:val="20"/>
          <w:u w:val="single"/>
        </w:rPr>
        <w:t xml:space="preserve"> financieros</w:t>
      </w:r>
      <w:r w:rsidR="002A449B"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002A449B"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002A449B" w:rsidRPr="00AC4AEA">
        <w:rPr>
          <w:rFonts w:ascii="Arial" w:hAnsi="Arial" w:cs="Arial"/>
          <w:sz w:val="20"/>
          <w:szCs w:val="20"/>
        </w:rPr>
        <w:t>],</w:t>
      </w:r>
      <w:r w:rsidR="0090400F" w:rsidRPr="00AC4AEA">
        <w:rPr>
          <w:rFonts w:ascii="Arial" w:hAnsi="Arial" w:cs="Arial"/>
          <w:sz w:val="20"/>
          <w:szCs w:val="20"/>
        </w:rPr>
        <w:t xml:space="preserve"> neto de descuentos comerciales y rebajas, incluyendo honorarios, aranceles de importación e impuestos no recuperables</w:t>
      </w:r>
      <w:r w:rsidR="00D60C72" w:rsidRPr="00AC4AEA">
        <w:rPr>
          <w:rFonts w:ascii="Arial" w:hAnsi="Arial" w:cs="Arial"/>
          <w:sz w:val="20"/>
          <w:szCs w:val="20"/>
        </w:rPr>
        <w:t>;</w:t>
      </w:r>
    </w:p>
    <w:p w:rsidR="0090400F" w:rsidRPr="00AC4AEA" w:rsidRDefault="00D76FD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90400F" w:rsidRPr="00AC4AEA">
        <w:rPr>
          <w:rFonts w:ascii="Arial" w:hAnsi="Arial" w:cs="Arial"/>
          <w:sz w:val="20"/>
          <w:szCs w:val="20"/>
        </w:rPr>
        <w:t>os costos</w:t>
      </w:r>
      <w:r w:rsidR="000F27B0" w:rsidRPr="00AC4AEA">
        <w:rPr>
          <w:rFonts w:ascii="Arial" w:hAnsi="Arial" w:cs="Arial"/>
          <w:sz w:val="20"/>
          <w:szCs w:val="20"/>
        </w:rPr>
        <w:t xml:space="preserve"> directos</w:t>
      </w:r>
      <w:r w:rsidR="0090400F" w:rsidRPr="00AC4AEA">
        <w:rPr>
          <w:rFonts w:ascii="Arial" w:hAnsi="Arial" w:cs="Arial"/>
          <w:sz w:val="20"/>
          <w:szCs w:val="20"/>
        </w:rPr>
        <w:t xml:space="preserve"> de los servicios internos y externos </w:t>
      </w:r>
      <w:r w:rsidR="00ED1454" w:rsidRPr="00AC4AEA">
        <w:rPr>
          <w:rFonts w:ascii="Arial" w:hAnsi="Arial" w:cs="Arial"/>
          <w:sz w:val="20"/>
          <w:szCs w:val="20"/>
        </w:rPr>
        <w:t xml:space="preserve">necesarios </w:t>
      </w:r>
      <w:r w:rsidR="0090400F" w:rsidRPr="00AC4AEA">
        <w:rPr>
          <w:rFonts w:ascii="Arial" w:hAnsi="Arial" w:cs="Arial"/>
          <w:sz w:val="20"/>
          <w:szCs w:val="20"/>
        </w:rPr>
        <w:t xml:space="preserve">para darle al </w:t>
      </w:r>
      <w:r w:rsidR="0090400F" w:rsidRPr="00AC4AEA">
        <w:rPr>
          <w:rFonts w:ascii="Arial" w:hAnsi="Arial" w:cs="Arial"/>
          <w:b/>
          <w:bCs/>
          <w:sz w:val="20"/>
          <w:szCs w:val="20"/>
        </w:rPr>
        <w:t>activo</w:t>
      </w:r>
      <w:r w:rsidR="0090400F" w:rsidRPr="00AC4AEA">
        <w:rPr>
          <w:rFonts w:ascii="Arial" w:hAnsi="Arial" w:cs="Arial"/>
          <w:sz w:val="20"/>
          <w:szCs w:val="20"/>
        </w:rPr>
        <w:t xml:space="preserve"> </w:t>
      </w:r>
      <w:r w:rsidR="00ED1454" w:rsidRPr="00AC4AEA">
        <w:rPr>
          <w:rFonts w:ascii="Arial" w:hAnsi="Arial" w:cs="Arial"/>
          <w:sz w:val="20"/>
          <w:szCs w:val="20"/>
        </w:rPr>
        <w:t xml:space="preserve">la </w:t>
      </w:r>
      <w:r w:rsidR="0090400F" w:rsidRPr="00AC4AEA">
        <w:rPr>
          <w:rFonts w:ascii="Arial" w:hAnsi="Arial" w:cs="Arial"/>
          <w:sz w:val="20"/>
          <w:szCs w:val="20"/>
        </w:rPr>
        <w:t>ubicación y destino</w:t>
      </w:r>
      <w:r w:rsidR="00ED1454" w:rsidRPr="00AC4AEA">
        <w:rPr>
          <w:rFonts w:ascii="Arial" w:hAnsi="Arial" w:cs="Arial"/>
          <w:sz w:val="20"/>
          <w:szCs w:val="20"/>
        </w:rPr>
        <w:t xml:space="preserve"> previstos</w:t>
      </w:r>
      <w:r w:rsidR="001342C9" w:rsidRPr="00AC4AEA">
        <w:rPr>
          <w:rFonts w:ascii="Arial" w:hAnsi="Arial" w:cs="Arial"/>
          <w:sz w:val="20"/>
          <w:szCs w:val="20"/>
        </w:rPr>
        <w:t xml:space="preserve"> por la </w:t>
      </w:r>
      <w:r w:rsidR="001342C9" w:rsidRPr="00AC4AEA">
        <w:rPr>
          <w:rFonts w:ascii="Arial" w:hAnsi="Arial" w:cs="Arial"/>
          <w:b/>
          <w:bCs/>
          <w:sz w:val="20"/>
          <w:szCs w:val="20"/>
        </w:rPr>
        <w:t>dirección</w:t>
      </w:r>
      <w:r w:rsidR="0090400F" w:rsidRPr="00AC4AEA">
        <w:rPr>
          <w:rFonts w:ascii="Arial" w:hAnsi="Arial" w:cs="Arial"/>
          <w:sz w:val="20"/>
          <w:szCs w:val="20"/>
        </w:rPr>
        <w:t xml:space="preserve"> (por ejemplo, fletes, seguros, preparación del emplazamiento, costos de entrega</w:t>
      </w:r>
      <w:r w:rsidR="00BF4AED" w:rsidRPr="00AC4AEA">
        <w:rPr>
          <w:rFonts w:ascii="Arial" w:hAnsi="Arial" w:cs="Arial"/>
          <w:sz w:val="20"/>
          <w:szCs w:val="20"/>
        </w:rPr>
        <w:t>,</w:t>
      </w:r>
      <w:r w:rsidR="0090400F" w:rsidRPr="00AC4AEA">
        <w:rPr>
          <w:rFonts w:ascii="Arial" w:hAnsi="Arial" w:cs="Arial"/>
          <w:sz w:val="20"/>
          <w:szCs w:val="20"/>
        </w:rPr>
        <w:t xml:space="preserve"> manipulación inicial </w:t>
      </w:r>
      <w:r w:rsidR="00BF4AED" w:rsidRPr="00AC4AEA">
        <w:rPr>
          <w:rFonts w:ascii="Arial" w:hAnsi="Arial" w:cs="Arial"/>
          <w:sz w:val="20"/>
          <w:szCs w:val="20"/>
        </w:rPr>
        <w:t>e</w:t>
      </w:r>
      <w:r w:rsidR="0090400F" w:rsidRPr="00AC4AEA">
        <w:rPr>
          <w:rFonts w:ascii="Arial" w:hAnsi="Arial" w:cs="Arial"/>
          <w:sz w:val="20"/>
          <w:szCs w:val="20"/>
        </w:rPr>
        <w:t xml:space="preserve"> instalación)</w:t>
      </w:r>
      <w:r w:rsidR="00141BB1" w:rsidRPr="00AC4AEA">
        <w:rPr>
          <w:rFonts w:ascii="Arial" w:hAnsi="Arial" w:cs="Arial"/>
          <w:sz w:val="20"/>
          <w:szCs w:val="20"/>
        </w:rPr>
        <w:t>;</w:t>
      </w:r>
      <w:r w:rsidR="00D60C72" w:rsidRPr="00AC4AEA">
        <w:rPr>
          <w:rFonts w:ascii="Arial" w:hAnsi="Arial" w:cs="Arial"/>
          <w:sz w:val="20"/>
          <w:szCs w:val="20"/>
        </w:rPr>
        <w:t xml:space="preserve"> y</w:t>
      </w:r>
    </w:p>
    <w:p w:rsidR="00BF4AED" w:rsidRPr="00AC4AEA" w:rsidRDefault="00D76FD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90400F" w:rsidRPr="00AC4AEA">
        <w:rPr>
          <w:rFonts w:ascii="Arial" w:hAnsi="Arial" w:cs="Arial"/>
          <w:sz w:val="20"/>
          <w:szCs w:val="20"/>
        </w:rPr>
        <w:t>a asignaci</w:t>
      </w:r>
      <w:r w:rsidR="00ED1454" w:rsidRPr="00AC4AEA">
        <w:rPr>
          <w:rFonts w:ascii="Arial" w:hAnsi="Arial" w:cs="Arial"/>
          <w:sz w:val="20"/>
          <w:szCs w:val="20"/>
        </w:rPr>
        <w:t>ón</w:t>
      </w:r>
      <w:r w:rsidR="0090400F" w:rsidRPr="00AC4AEA">
        <w:rPr>
          <w:rFonts w:ascii="Arial" w:hAnsi="Arial" w:cs="Arial"/>
          <w:sz w:val="20"/>
          <w:szCs w:val="20"/>
        </w:rPr>
        <w:t xml:space="preserve"> de costos indirectos</w:t>
      </w:r>
      <w:r w:rsidR="00E540FF" w:rsidRPr="00AC4AEA">
        <w:rPr>
          <w:rFonts w:ascii="Arial" w:hAnsi="Arial" w:cs="Arial"/>
          <w:sz w:val="20"/>
          <w:szCs w:val="20"/>
        </w:rPr>
        <w:t xml:space="preserve">, </w:t>
      </w:r>
      <w:r w:rsidR="001B7E9C" w:rsidRPr="00AC4AEA">
        <w:rPr>
          <w:rFonts w:ascii="Arial" w:hAnsi="Arial" w:cs="Arial"/>
          <w:sz w:val="20"/>
          <w:szCs w:val="20"/>
        </w:rPr>
        <w:t>que realizará</w:t>
      </w:r>
      <w:r w:rsidR="0090400F" w:rsidRPr="00AC4AEA">
        <w:rPr>
          <w:rFonts w:ascii="Arial" w:hAnsi="Arial" w:cs="Arial"/>
          <w:sz w:val="20"/>
          <w:szCs w:val="20"/>
        </w:rPr>
        <w:t xml:space="preserve"> sobre bases razonables. </w:t>
      </w:r>
    </w:p>
    <w:p w:rsidR="0090400F" w:rsidRPr="00AC4AEA" w:rsidRDefault="0090400F" w:rsidP="00A318EA">
      <w:pPr>
        <w:jc w:val="both"/>
        <w:rPr>
          <w:rFonts w:ascii="Arial" w:hAnsi="Arial" w:cs="Arial"/>
          <w:sz w:val="20"/>
          <w:szCs w:val="20"/>
        </w:rPr>
      </w:pPr>
    </w:p>
    <w:p w:rsidR="0090400F" w:rsidRPr="00AC4AEA" w:rsidRDefault="0090400F" w:rsidP="00A318EA">
      <w:pPr>
        <w:pStyle w:val="Ttulo2"/>
        <w:rPr>
          <w:rFonts w:cs="Arial"/>
        </w:rPr>
      </w:pPr>
      <w:bookmarkStart w:id="133" w:name="_Toc101863740"/>
      <w:bookmarkStart w:id="134" w:name="_Toc139356603"/>
      <w:r w:rsidRPr="00AC4AEA">
        <w:rPr>
          <w:rFonts w:cs="Arial"/>
        </w:rPr>
        <w:t>Medición de</w:t>
      </w:r>
      <w:r w:rsidR="006568D2" w:rsidRPr="00AC4AEA">
        <w:rPr>
          <w:rFonts w:cs="Arial"/>
        </w:rPr>
        <w:t>l</w:t>
      </w:r>
      <w:r w:rsidRPr="00AC4AEA">
        <w:rPr>
          <w:rFonts w:cs="Arial"/>
        </w:rPr>
        <w:t xml:space="preserve"> costo de </w:t>
      </w:r>
      <w:r w:rsidR="00EF010E" w:rsidRPr="00AC4AEA">
        <w:rPr>
          <w:rFonts w:cs="Arial"/>
        </w:rPr>
        <w:t xml:space="preserve">producción </w:t>
      </w:r>
      <w:r w:rsidR="006568D2" w:rsidRPr="00AC4AEA">
        <w:rPr>
          <w:rFonts w:cs="Arial"/>
        </w:rPr>
        <w:t>o del costo de</w:t>
      </w:r>
      <w:r w:rsidRPr="00AC4AEA">
        <w:rPr>
          <w:rFonts w:cs="Arial"/>
        </w:rPr>
        <w:t xml:space="preserve"> construcción</w:t>
      </w:r>
      <w:bookmarkEnd w:id="133"/>
      <w:bookmarkEnd w:id="134"/>
    </w:p>
    <w:p w:rsidR="0050227A" w:rsidRPr="00AC4AEA" w:rsidRDefault="0050227A" w:rsidP="00A318EA">
      <w:pPr>
        <w:pStyle w:val="Prrafodelista"/>
        <w:numPr>
          <w:ilvl w:val="0"/>
          <w:numId w:val="29"/>
        </w:numPr>
        <w:contextualSpacing w:val="0"/>
        <w:jc w:val="both"/>
        <w:rPr>
          <w:rFonts w:ascii="Arial" w:hAnsi="Arial" w:cs="Arial"/>
          <w:sz w:val="20"/>
          <w:szCs w:val="20"/>
        </w:rPr>
      </w:pPr>
      <w:bookmarkStart w:id="135" w:name="_Ref99478357"/>
      <w:r w:rsidRPr="00AC4AEA">
        <w:rPr>
          <w:rFonts w:ascii="Arial" w:hAnsi="Arial" w:cs="Arial"/>
          <w:sz w:val="20"/>
          <w:szCs w:val="20"/>
        </w:rPr>
        <w:t xml:space="preserve">Una entidad aplicará el </w:t>
      </w:r>
      <w:r w:rsidRPr="00AC4AEA">
        <w:rPr>
          <w:rFonts w:ascii="Arial" w:hAnsi="Arial" w:cs="Arial"/>
          <w:b/>
          <w:bCs/>
          <w:sz w:val="20"/>
          <w:szCs w:val="20"/>
        </w:rPr>
        <w:t>modelo de costeo completo</w:t>
      </w:r>
      <w:r w:rsidR="00ED1454" w:rsidRPr="00AC4AEA">
        <w:rPr>
          <w:rFonts w:ascii="Arial" w:hAnsi="Arial" w:cs="Arial"/>
          <w:sz w:val="20"/>
          <w:szCs w:val="20"/>
        </w:rPr>
        <w:t xml:space="preserve"> a los fines de medir el </w:t>
      </w:r>
      <w:r w:rsidR="00ED1454" w:rsidRPr="00AC4AEA">
        <w:rPr>
          <w:rFonts w:ascii="Arial" w:hAnsi="Arial" w:cs="Arial"/>
          <w:b/>
          <w:bCs/>
          <w:sz w:val="20"/>
          <w:szCs w:val="20"/>
        </w:rPr>
        <w:t>costo de producción</w:t>
      </w:r>
      <w:r w:rsidR="00ED1454" w:rsidRPr="00AC4AEA">
        <w:rPr>
          <w:rFonts w:ascii="Arial" w:hAnsi="Arial" w:cs="Arial"/>
          <w:sz w:val="20"/>
          <w:szCs w:val="20"/>
        </w:rPr>
        <w:t xml:space="preserve"> o </w:t>
      </w:r>
      <w:r w:rsidR="006568D2" w:rsidRPr="00AC4AEA">
        <w:rPr>
          <w:rFonts w:ascii="Arial" w:hAnsi="Arial" w:cs="Arial"/>
          <w:sz w:val="20"/>
          <w:szCs w:val="20"/>
        </w:rPr>
        <w:t>el</w:t>
      </w:r>
      <w:r w:rsidR="006568D2" w:rsidRPr="00AC4AEA">
        <w:rPr>
          <w:rFonts w:ascii="Arial" w:hAnsi="Arial" w:cs="Arial"/>
          <w:b/>
          <w:bCs/>
          <w:sz w:val="20"/>
          <w:szCs w:val="20"/>
        </w:rPr>
        <w:t xml:space="preserve"> costo de </w:t>
      </w:r>
      <w:r w:rsidR="00ED1454" w:rsidRPr="00AC4AEA">
        <w:rPr>
          <w:rFonts w:ascii="Arial" w:hAnsi="Arial" w:cs="Arial"/>
          <w:b/>
          <w:bCs/>
          <w:sz w:val="20"/>
          <w:szCs w:val="20"/>
        </w:rPr>
        <w:t>construcción</w:t>
      </w:r>
      <w:r w:rsidR="00AD2E0E" w:rsidRPr="00AC4AEA">
        <w:rPr>
          <w:rFonts w:ascii="Arial" w:hAnsi="Arial" w:cs="Arial"/>
          <w:b/>
          <w:bCs/>
          <w:sz w:val="20"/>
          <w:szCs w:val="20"/>
        </w:rPr>
        <w:t xml:space="preserve"> </w:t>
      </w:r>
      <w:r w:rsidR="00AD2E0E" w:rsidRPr="00AC4AEA">
        <w:rPr>
          <w:rFonts w:ascii="Arial" w:hAnsi="Arial" w:cs="Arial"/>
          <w:sz w:val="20"/>
          <w:szCs w:val="20"/>
        </w:rPr>
        <w:t xml:space="preserve">o el </w:t>
      </w:r>
      <w:r w:rsidR="00AD2E0E" w:rsidRPr="00AC4AEA">
        <w:rPr>
          <w:rFonts w:ascii="Arial" w:hAnsi="Arial" w:cs="Arial"/>
          <w:b/>
          <w:bCs/>
          <w:sz w:val="20"/>
          <w:szCs w:val="20"/>
        </w:rPr>
        <w:t>costo de implantación</w:t>
      </w:r>
      <w:r w:rsidRPr="00AC4AEA">
        <w:rPr>
          <w:rFonts w:ascii="Arial" w:hAnsi="Arial" w:cs="Arial"/>
          <w:sz w:val="20"/>
          <w:szCs w:val="20"/>
        </w:rPr>
        <w:t>.</w:t>
      </w:r>
      <w:bookmarkEnd w:id="135"/>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el </w:t>
      </w:r>
      <w:r w:rsidRPr="00AC4AEA">
        <w:rPr>
          <w:rFonts w:ascii="Arial" w:hAnsi="Arial" w:cs="Arial"/>
          <w:b/>
          <w:bCs/>
          <w:sz w:val="20"/>
          <w:szCs w:val="20"/>
        </w:rPr>
        <w:t xml:space="preserve">costo de </w:t>
      </w:r>
      <w:r w:rsidR="00EF010E" w:rsidRPr="00AC4AEA">
        <w:rPr>
          <w:rFonts w:ascii="Arial" w:hAnsi="Arial" w:cs="Arial"/>
          <w:b/>
          <w:bCs/>
          <w:sz w:val="20"/>
          <w:szCs w:val="20"/>
        </w:rPr>
        <w:t>producción</w:t>
      </w:r>
      <w:r w:rsidR="00AD2E0E" w:rsidRPr="00AC4AEA">
        <w:rPr>
          <w:rFonts w:ascii="Arial" w:hAnsi="Arial" w:cs="Arial"/>
          <w:sz w:val="20"/>
          <w:szCs w:val="20"/>
        </w:rPr>
        <w:t>,</w:t>
      </w:r>
      <w:r w:rsidRPr="00AC4AEA">
        <w:rPr>
          <w:rFonts w:ascii="Arial" w:hAnsi="Arial" w:cs="Arial"/>
          <w:sz w:val="20"/>
          <w:szCs w:val="20"/>
        </w:rPr>
        <w:t xml:space="preserve"> </w:t>
      </w:r>
      <w:r w:rsidR="006568D2" w:rsidRPr="00AC4AEA">
        <w:rPr>
          <w:rFonts w:ascii="Arial" w:hAnsi="Arial" w:cs="Arial"/>
          <w:sz w:val="20"/>
          <w:szCs w:val="20"/>
        </w:rPr>
        <w:t>el</w:t>
      </w:r>
      <w:r w:rsidR="006568D2" w:rsidRPr="00AC4AEA">
        <w:rPr>
          <w:rFonts w:ascii="Arial" w:hAnsi="Arial" w:cs="Arial"/>
          <w:b/>
          <w:bCs/>
          <w:sz w:val="20"/>
          <w:szCs w:val="20"/>
        </w:rPr>
        <w:t xml:space="preserve"> costo de </w:t>
      </w:r>
      <w:r w:rsidRPr="00AC4AEA">
        <w:rPr>
          <w:rFonts w:ascii="Arial" w:hAnsi="Arial" w:cs="Arial"/>
          <w:b/>
          <w:bCs/>
          <w:sz w:val="20"/>
          <w:szCs w:val="20"/>
        </w:rPr>
        <w:t>construcción</w:t>
      </w:r>
      <w:r w:rsidR="00AD2E0E" w:rsidRPr="00AC4AEA">
        <w:rPr>
          <w:rFonts w:ascii="Arial" w:hAnsi="Arial" w:cs="Arial"/>
          <w:b/>
          <w:bCs/>
          <w:sz w:val="20"/>
          <w:szCs w:val="20"/>
        </w:rPr>
        <w:t xml:space="preserve"> </w:t>
      </w:r>
      <w:r w:rsidR="00AD2E0E" w:rsidRPr="00AC4AEA">
        <w:rPr>
          <w:rFonts w:ascii="Arial" w:hAnsi="Arial" w:cs="Arial"/>
          <w:sz w:val="20"/>
          <w:szCs w:val="20"/>
        </w:rPr>
        <w:t xml:space="preserve">o el </w:t>
      </w:r>
      <w:r w:rsidR="00AD2E0E" w:rsidRPr="00AC4AEA">
        <w:rPr>
          <w:rFonts w:ascii="Arial" w:hAnsi="Arial" w:cs="Arial"/>
          <w:b/>
          <w:bCs/>
          <w:sz w:val="20"/>
          <w:szCs w:val="20"/>
        </w:rPr>
        <w:t>costo de implantación</w:t>
      </w:r>
      <w:r w:rsidRPr="00AC4AEA">
        <w:rPr>
          <w:rFonts w:ascii="Arial" w:hAnsi="Arial" w:cs="Arial"/>
          <w:sz w:val="20"/>
          <w:szCs w:val="20"/>
        </w:rPr>
        <w:t xml:space="preserve"> de un </w:t>
      </w:r>
      <w:r w:rsidRPr="00AC4AEA">
        <w:rPr>
          <w:rFonts w:ascii="Arial" w:hAnsi="Arial" w:cs="Arial"/>
          <w:b/>
          <w:bCs/>
          <w:sz w:val="20"/>
          <w:szCs w:val="20"/>
        </w:rPr>
        <w:t>activo</w:t>
      </w:r>
      <w:r w:rsidRPr="00AC4AEA">
        <w:rPr>
          <w:rFonts w:ascii="Arial" w:hAnsi="Arial" w:cs="Arial"/>
          <w:sz w:val="20"/>
          <w:szCs w:val="20"/>
        </w:rPr>
        <w:t xml:space="preserve"> mediante la suma de los siguientes componentes:</w:t>
      </w:r>
    </w:p>
    <w:p w:rsidR="0090400F" w:rsidRPr="00AC4AEA" w:rsidRDefault="00D76FD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D60C72" w:rsidRPr="00AC4AEA">
        <w:rPr>
          <w:rFonts w:ascii="Arial" w:hAnsi="Arial" w:cs="Arial"/>
          <w:sz w:val="20"/>
          <w:szCs w:val="20"/>
        </w:rPr>
        <w:t>os c</w:t>
      </w:r>
      <w:r w:rsidR="0090400F" w:rsidRPr="00AC4AEA">
        <w:rPr>
          <w:rFonts w:ascii="Arial" w:hAnsi="Arial" w:cs="Arial"/>
          <w:sz w:val="20"/>
          <w:szCs w:val="20"/>
        </w:rPr>
        <w:t>ostos de los materiales e insumos necesarios para su producción;</w:t>
      </w:r>
    </w:p>
    <w:p w:rsidR="0090400F" w:rsidRPr="00AC4AEA" w:rsidRDefault="00D76FD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D60C72" w:rsidRPr="00AC4AEA">
        <w:rPr>
          <w:rFonts w:ascii="Arial" w:hAnsi="Arial" w:cs="Arial"/>
          <w:sz w:val="20"/>
          <w:szCs w:val="20"/>
        </w:rPr>
        <w:t>os c</w:t>
      </w:r>
      <w:r w:rsidR="0090400F" w:rsidRPr="00AC4AEA">
        <w:rPr>
          <w:rFonts w:ascii="Arial" w:hAnsi="Arial" w:cs="Arial"/>
          <w:sz w:val="20"/>
          <w:szCs w:val="20"/>
        </w:rPr>
        <w:t>ostos de conversión (mano de obra, servicios</w:t>
      </w:r>
      <w:r w:rsidR="00F2340A" w:rsidRPr="00AC4AEA">
        <w:rPr>
          <w:rFonts w:ascii="Arial" w:hAnsi="Arial" w:cs="Arial"/>
          <w:sz w:val="20"/>
          <w:szCs w:val="20"/>
        </w:rPr>
        <w:t>, depreciaciones</w:t>
      </w:r>
      <w:r w:rsidR="0090400F" w:rsidRPr="00AC4AEA">
        <w:rPr>
          <w:rFonts w:ascii="Arial" w:hAnsi="Arial" w:cs="Arial"/>
          <w:sz w:val="20"/>
          <w:szCs w:val="20"/>
        </w:rPr>
        <w:t xml:space="preserve"> y otras cargas), tanto variables como fijos;</w:t>
      </w:r>
    </w:p>
    <w:p w:rsidR="0090400F" w:rsidRPr="00AC4AEA" w:rsidRDefault="00D76FD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D60C72" w:rsidRPr="00AC4AEA">
        <w:rPr>
          <w:rFonts w:ascii="Arial" w:hAnsi="Arial" w:cs="Arial"/>
          <w:sz w:val="20"/>
          <w:szCs w:val="20"/>
        </w:rPr>
        <w:t>os c</w:t>
      </w:r>
      <w:r w:rsidR="0090400F" w:rsidRPr="00AC4AEA">
        <w:rPr>
          <w:rFonts w:ascii="Arial" w:hAnsi="Arial" w:cs="Arial"/>
          <w:sz w:val="20"/>
          <w:szCs w:val="20"/>
        </w:rPr>
        <w:t xml:space="preserve">ostos directos que demande la puesta en marcha y/o las pruebas destinadas a evaluar si el </w:t>
      </w:r>
      <w:r w:rsidR="0090400F" w:rsidRPr="00AC4AEA">
        <w:rPr>
          <w:rFonts w:ascii="Arial" w:hAnsi="Arial" w:cs="Arial"/>
          <w:b/>
          <w:bCs/>
          <w:sz w:val="20"/>
          <w:szCs w:val="20"/>
        </w:rPr>
        <w:t>activo</w:t>
      </w:r>
      <w:r w:rsidR="0090400F" w:rsidRPr="00AC4AEA">
        <w:rPr>
          <w:rFonts w:ascii="Arial" w:hAnsi="Arial" w:cs="Arial"/>
          <w:sz w:val="20"/>
          <w:szCs w:val="20"/>
        </w:rPr>
        <w:t xml:space="preserve"> está en condiciones de utilizarse </w:t>
      </w:r>
      <w:r w:rsidR="00ED1454" w:rsidRPr="00AC4AEA">
        <w:rPr>
          <w:rFonts w:ascii="Arial" w:hAnsi="Arial" w:cs="Arial"/>
          <w:sz w:val="20"/>
          <w:szCs w:val="20"/>
        </w:rPr>
        <w:t>según</w:t>
      </w:r>
      <w:r w:rsidR="0090400F" w:rsidRPr="00AC4AEA">
        <w:rPr>
          <w:rFonts w:ascii="Arial" w:hAnsi="Arial" w:cs="Arial"/>
          <w:sz w:val="20"/>
          <w:szCs w:val="20"/>
        </w:rPr>
        <w:t xml:space="preserve"> el uso y las condiciones previstas en el proyecto de </w:t>
      </w:r>
      <w:r w:rsidR="00ED1454" w:rsidRPr="00AC4AEA">
        <w:rPr>
          <w:rFonts w:ascii="Arial" w:hAnsi="Arial" w:cs="Arial"/>
          <w:sz w:val="20"/>
          <w:szCs w:val="20"/>
        </w:rPr>
        <w:t xml:space="preserve">producción o </w:t>
      </w:r>
      <w:r w:rsidR="0090400F" w:rsidRPr="00AC4AEA">
        <w:rPr>
          <w:rFonts w:ascii="Arial" w:hAnsi="Arial" w:cs="Arial"/>
          <w:sz w:val="20"/>
          <w:szCs w:val="20"/>
        </w:rPr>
        <w:t xml:space="preserve">construcción, neto de los ingresos </w:t>
      </w:r>
      <w:r w:rsidR="001B7E9C" w:rsidRPr="00AC4AEA">
        <w:rPr>
          <w:rFonts w:ascii="Arial" w:hAnsi="Arial" w:cs="Arial"/>
          <w:sz w:val="20"/>
          <w:szCs w:val="20"/>
        </w:rPr>
        <w:t>que genere</w:t>
      </w:r>
      <w:r w:rsidR="0090400F" w:rsidRPr="00AC4AEA">
        <w:rPr>
          <w:rFonts w:ascii="Arial" w:hAnsi="Arial" w:cs="Arial"/>
          <w:sz w:val="20"/>
          <w:szCs w:val="20"/>
        </w:rPr>
        <w:t xml:space="preserve"> la venta de productos con valor comercial </w:t>
      </w:r>
      <w:r w:rsidR="001B7E9C" w:rsidRPr="00AC4AEA">
        <w:rPr>
          <w:rFonts w:ascii="Arial" w:hAnsi="Arial" w:cs="Arial"/>
          <w:sz w:val="20"/>
          <w:szCs w:val="20"/>
        </w:rPr>
        <w:t>que se obtengan</w:t>
      </w:r>
      <w:r w:rsidR="0090400F" w:rsidRPr="00AC4AEA">
        <w:rPr>
          <w:rFonts w:ascii="Arial" w:hAnsi="Arial" w:cs="Arial"/>
          <w:sz w:val="20"/>
          <w:szCs w:val="20"/>
        </w:rPr>
        <w:t xml:space="preserve"> durante este período</w:t>
      </w:r>
      <w:r w:rsidR="001342C9" w:rsidRPr="00AC4AEA">
        <w:rPr>
          <w:rFonts w:ascii="Arial" w:hAnsi="Arial" w:cs="Arial"/>
          <w:sz w:val="20"/>
          <w:szCs w:val="20"/>
        </w:rPr>
        <w:t xml:space="preserve">; </w:t>
      </w:r>
      <w:r w:rsidR="00D60C72" w:rsidRPr="00AC4AEA">
        <w:rPr>
          <w:rFonts w:ascii="Arial" w:hAnsi="Arial" w:cs="Arial"/>
          <w:sz w:val="20"/>
          <w:szCs w:val="20"/>
        </w:rPr>
        <w:t>y</w:t>
      </w:r>
    </w:p>
    <w:p w:rsidR="0090400F" w:rsidRPr="00AC4AEA" w:rsidRDefault="00D76FD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l</w:t>
      </w:r>
      <w:r w:rsidR="00D60C72" w:rsidRPr="00AC4AEA">
        <w:rPr>
          <w:rFonts w:ascii="Arial" w:hAnsi="Arial" w:cs="Arial"/>
          <w:sz w:val="20"/>
          <w:szCs w:val="20"/>
        </w:rPr>
        <w:t xml:space="preserve">os </w:t>
      </w:r>
      <w:r w:rsidR="00D60C72" w:rsidRPr="00AC4AEA">
        <w:rPr>
          <w:rFonts w:ascii="Arial" w:hAnsi="Arial" w:cs="Arial"/>
          <w:b/>
          <w:bCs/>
          <w:sz w:val="20"/>
          <w:szCs w:val="20"/>
        </w:rPr>
        <w:t>c</w:t>
      </w:r>
      <w:r w:rsidR="0090400F" w:rsidRPr="00AC4AEA">
        <w:rPr>
          <w:rFonts w:ascii="Arial" w:hAnsi="Arial" w:cs="Arial"/>
          <w:b/>
          <w:bCs/>
          <w:sz w:val="20"/>
          <w:szCs w:val="20"/>
        </w:rPr>
        <w:t>ostos financieros</w:t>
      </w:r>
      <w:r w:rsidR="00580C21" w:rsidRPr="00AC4AEA">
        <w:rPr>
          <w:rFonts w:ascii="Arial" w:hAnsi="Arial" w:cs="Arial"/>
          <w:sz w:val="20"/>
          <w:szCs w:val="20"/>
        </w:rPr>
        <w:t>,</w:t>
      </w:r>
      <w:r w:rsidR="0090400F" w:rsidRPr="00AC4AEA">
        <w:rPr>
          <w:rFonts w:ascii="Arial" w:hAnsi="Arial" w:cs="Arial"/>
          <w:sz w:val="20"/>
          <w:szCs w:val="20"/>
        </w:rPr>
        <w:t xml:space="preserve"> </w:t>
      </w:r>
      <w:r w:rsidR="00580C21" w:rsidRPr="00AC4AEA">
        <w:rPr>
          <w:rFonts w:ascii="Arial" w:hAnsi="Arial" w:cs="Arial"/>
          <w:sz w:val="20"/>
          <w:szCs w:val="20"/>
        </w:rPr>
        <w:t>si correspondiera</w:t>
      </w:r>
      <w:r w:rsidR="005317B0" w:rsidRPr="00AC4AEA">
        <w:rPr>
          <w:rFonts w:ascii="Arial" w:hAnsi="Arial" w:cs="Arial"/>
          <w:sz w:val="20"/>
          <w:szCs w:val="20"/>
        </w:rPr>
        <w:t xml:space="preserve"> computarlos</w:t>
      </w:r>
      <w:r w:rsidR="00580C21" w:rsidRPr="00AC4AEA">
        <w:rPr>
          <w:rFonts w:ascii="Arial" w:hAnsi="Arial" w:cs="Arial"/>
          <w:sz w:val="20"/>
          <w:szCs w:val="20"/>
        </w:rPr>
        <w:t xml:space="preserve"> según lo establecido en </w:t>
      </w:r>
      <w:r w:rsidR="00F943FC" w:rsidRPr="00AC4AEA">
        <w:rPr>
          <w:rFonts w:ascii="Arial" w:hAnsi="Arial" w:cs="Arial"/>
          <w:sz w:val="20"/>
          <w:szCs w:val="20"/>
        </w:rPr>
        <w:t>el apartado</w:t>
      </w:r>
      <w:r w:rsidR="00EF010E" w:rsidRPr="00AC4AEA">
        <w:rPr>
          <w:rFonts w:ascii="Arial" w:hAnsi="Arial" w:cs="Arial"/>
          <w:sz w:val="20"/>
          <w:szCs w:val="20"/>
        </w:rPr>
        <w:t xml:space="preserve"> “</w:t>
      </w:r>
      <w:r w:rsidR="00EF010E" w:rsidRPr="00AC4AEA">
        <w:rPr>
          <w:rFonts w:ascii="Arial" w:hAnsi="Arial" w:cs="Arial"/>
          <w:sz w:val="20"/>
          <w:szCs w:val="20"/>
          <w:u w:val="single"/>
        </w:rPr>
        <w:t>Tratamiento de los costos financieros</w:t>
      </w:r>
      <w:r w:rsidR="00EF010E" w:rsidRPr="00AC4AEA">
        <w:rPr>
          <w:rFonts w:ascii="Arial" w:hAnsi="Arial" w:cs="Arial"/>
          <w:sz w:val="20"/>
          <w:szCs w:val="20"/>
        </w:rPr>
        <w:t>”</w:t>
      </w:r>
      <w:r w:rsidR="00BB7057" w:rsidRPr="00AC4AEA">
        <w:rPr>
          <w:rFonts w:ascii="Arial" w:hAnsi="Arial" w:cs="Arial"/>
          <w:sz w:val="20"/>
          <w:szCs w:val="20"/>
        </w:rPr>
        <w:t xml:space="preserve"> [ver </w:t>
      </w:r>
      <w:r w:rsidR="00527265" w:rsidRPr="00AC4AEA">
        <w:rPr>
          <w:rFonts w:ascii="Arial" w:hAnsi="Arial" w:cs="Arial"/>
          <w:sz w:val="20"/>
          <w:szCs w:val="20"/>
        </w:rPr>
        <w:t xml:space="preserve">los </w:t>
      </w:r>
      <w:r w:rsidR="00BB7057" w:rsidRPr="00AC4AEA">
        <w:rPr>
          <w:rFonts w:ascii="Arial" w:hAnsi="Arial" w:cs="Arial"/>
          <w:sz w:val="20"/>
          <w:szCs w:val="20"/>
        </w:rPr>
        <w:t xml:space="preserve">párrafos </w:t>
      </w:r>
      <w:fldSimple w:instr=" REF _Ref75511013 \r \h  \* MERGEFORMAT ">
        <w:r w:rsidR="00D33A5D" w:rsidRPr="00D33A5D">
          <w:rPr>
            <w:rFonts w:ascii="Arial" w:hAnsi="Arial" w:cs="Arial"/>
            <w:sz w:val="20"/>
            <w:szCs w:val="20"/>
          </w:rPr>
          <w:t>136</w:t>
        </w:r>
      </w:fldSimple>
      <w:r w:rsidR="00BB7057"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00BB7057" w:rsidRPr="00AC4AEA">
        <w:rPr>
          <w:rFonts w:ascii="Arial" w:hAnsi="Arial" w:cs="Arial"/>
          <w:sz w:val="20"/>
          <w:szCs w:val="20"/>
        </w:rPr>
        <w:t>]</w:t>
      </w:r>
      <w:r w:rsidR="00EF010E" w:rsidRPr="00AC4AEA">
        <w:rPr>
          <w:rFonts w:ascii="Arial" w:hAnsi="Arial" w:cs="Arial"/>
          <w:sz w:val="20"/>
          <w:szCs w:val="20"/>
        </w:rPr>
        <w:t>.</w:t>
      </w:r>
    </w:p>
    <w:p w:rsidR="005A6EED"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cesará la </w:t>
      </w:r>
      <w:r w:rsidRPr="00AC4AEA">
        <w:rPr>
          <w:rFonts w:ascii="Arial" w:hAnsi="Arial" w:cs="Arial"/>
          <w:b/>
          <w:bCs/>
          <w:sz w:val="20"/>
          <w:szCs w:val="20"/>
        </w:rPr>
        <w:t>activación</w:t>
      </w:r>
      <w:r w:rsidRPr="00AC4AEA">
        <w:rPr>
          <w:rFonts w:ascii="Arial" w:hAnsi="Arial" w:cs="Arial"/>
          <w:sz w:val="20"/>
          <w:szCs w:val="20"/>
        </w:rPr>
        <w:t xml:space="preserve"> de costos de </w:t>
      </w:r>
      <w:r w:rsidR="00B51C22" w:rsidRPr="00AC4AEA">
        <w:rPr>
          <w:rFonts w:ascii="Arial" w:hAnsi="Arial" w:cs="Arial"/>
          <w:sz w:val="20"/>
          <w:szCs w:val="20"/>
        </w:rPr>
        <w:t xml:space="preserve">activos tales como bienes de uso, propiedades de inversión o similares </w:t>
      </w:r>
      <w:r w:rsidRPr="00AC4AEA">
        <w:rPr>
          <w:rFonts w:ascii="Arial" w:hAnsi="Arial" w:cs="Arial"/>
          <w:sz w:val="20"/>
          <w:szCs w:val="20"/>
        </w:rPr>
        <w:t xml:space="preserve">cuando </w:t>
      </w:r>
      <w:r w:rsidR="00B51C22" w:rsidRPr="00AC4AEA">
        <w:rPr>
          <w:rFonts w:ascii="Arial" w:hAnsi="Arial" w:cs="Arial"/>
          <w:sz w:val="20"/>
          <w:szCs w:val="20"/>
        </w:rPr>
        <w:t>dichos</w:t>
      </w:r>
      <w:r w:rsidRPr="00AC4AEA">
        <w:rPr>
          <w:rFonts w:ascii="Arial" w:hAnsi="Arial" w:cs="Arial"/>
          <w:sz w:val="20"/>
          <w:szCs w:val="20"/>
        </w:rPr>
        <w:t xml:space="preserve"> activo</w:t>
      </w:r>
      <w:r w:rsidR="00B51C22" w:rsidRPr="00AC4AEA">
        <w:rPr>
          <w:rFonts w:ascii="Arial" w:hAnsi="Arial" w:cs="Arial"/>
          <w:sz w:val="20"/>
          <w:szCs w:val="20"/>
        </w:rPr>
        <w:t>s</w:t>
      </w:r>
      <w:r w:rsidRPr="00AC4AEA">
        <w:rPr>
          <w:rFonts w:ascii="Arial" w:hAnsi="Arial" w:cs="Arial"/>
          <w:sz w:val="20"/>
          <w:szCs w:val="20"/>
        </w:rPr>
        <w:t xml:space="preserve"> alcance</w:t>
      </w:r>
      <w:r w:rsidR="00B51C22" w:rsidRPr="00AC4AEA">
        <w:rPr>
          <w:rFonts w:ascii="Arial" w:hAnsi="Arial" w:cs="Arial"/>
          <w:sz w:val="20"/>
          <w:szCs w:val="20"/>
        </w:rPr>
        <w:t>n</w:t>
      </w:r>
      <w:r w:rsidRPr="00AC4AEA">
        <w:rPr>
          <w:rFonts w:ascii="Arial" w:hAnsi="Arial" w:cs="Arial"/>
          <w:sz w:val="20"/>
          <w:szCs w:val="20"/>
        </w:rPr>
        <w:t xml:space="preserve"> las condiciones de operación previstas en el proyecto de producción</w:t>
      </w:r>
      <w:r w:rsidR="00B51C22" w:rsidRPr="00AC4AEA">
        <w:rPr>
          <w:rFonts w:ascii="Arial" w:hAnsi="Arial" w:cs="Arial"/>
          <w:sz w:val="20"/>
          <w:szCs w:val="20"/>
        </w:rPr>
        <w:t>,</w:t>
      </w:r>
      <w:r w:rsidR="00A82EFF" w:rsidRPr="00AC4AEA">
        <w:rPr>
          <w:rFonts w:ascii="Arial" w:hAnsi="Arial" w:cs="Arial"/>
          <w:sz w:val="20"/>
          <w:szCs w:val="20"/>
        </w:rPr>
        <w:t xml:space="preserve"> </w:t>
      </w:r>
      <w:r w:rsidR="00EF010E" w:rsidRPr="00AC4AEA">
        <w:rPr>
          <w:rFonts w:ascii="Arial" w:hAnsi="Arial" w:cs="Arial"/>
          <w:sz w:val="20"/>
          <w:szCs w:val="20"/>
        </w:rPr>
        <w:t>construcción</w:t>
      </w:r>
      <w:r w:rsidR="00B51C22" w:rsidRPr="00AC4AEA">
        <w:rPr>
          <w:rFonts w:ascii="Arial" w:hAnsi="Arial" w:cs="Arial"/>
          <w:sz w:val="20"/>
          <w:szCs w:val="20"/>
        </w:rPr>
        <w:t xml:space="preserve"> o implantación</w:t>
      </w:r>
      <w:r w:rsidR="001342C9" w:rsidRPr="00AC4AEA">
        <w:rPr>
          <w:rFonts w:ascii="Arial" w:hAnsi="Arial" w:cs="Arial"/>
          <w:sz w:val="20"/>
          <w:szCs w:val="20"/>
        </w:rPr>
        <w:t>, incluso si:</w:t>
      </w:r>
    </w:p>
    <w:p w:rsidR="005A6EED" w:rsidRPr="00AC4AEA" w:rsidRDefault="001D009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5A6EED" w:rsidRPr="00AC4AEA">
        <w:rPr>
          <w:rFonts w:ascii="Arial" w:hAnsi="Arial" w:cs="Arial"/>
          <w:sz w:val="20"/>
          <w:szCs w:val="20"/>
        </w:rPr>
        <w:t>l bien es utilizado</w:t>
      </w:r>
      <w:r w:rsidR="0090400F" w:rsidRPr="00AC4AEA">
        <w:rPr>
          <w:rFonts w:ascii="Arial" w:hAnsi="Arial" w:cs="Arial"/>
          <w:sz w:val="20"/>
          <w:szCs w:val="20"/>
        </w:rPr>
        <w:t xml:space="preserve"> por debajo de su capacidad normal</w:t>
      </w:r>
      <w:r w:rsidR="00B70A51" w:rsidRPr="00AC4AEA">
        <w:rPr>
          <w:rFonts w:ascii="Arial" w:hAnsi="Arial" w:cs="Arial"/>
          <w:sz w:val="20"/>
          <w:szCs w:val="20"/>
        </w:rPr>
        <w:t>;</w:t>
      </w:r>
      <w:r w:rsidR="0090400F" w:rsidRPr="00AC4AEA">
        <w:rPr>
          <w:rFonts w:ascii="Arial" w:hAnsi="Arial" w:cs="Arial"/>
          <w:sz w:val="20"/>
          <w:szCs w:val="20"/>
        </w:rPr>
        <w:t xml:space="preserve"> o </w:t>
      </w:r>
    </w:p>
    <w:p w:rsidR="0090400F" w:rsidRPr="00AC4AEA" w:rsidRDefault="001D009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5A6EED" w:rsidRPr="00AC4AEA">
        <w:rPr>
          <w:rFonts w:ascii="Arial" w:hAnsi="Arial" w:cs="Arial"/>
          <w:sz w:val="20"/>
          <w:szCs w:val="20"/>
        </w:rPr>
        <w:t>a operación genera</w:t>
      </w:r>
      <w:r w:rsidR="0090400F" w:rsidRPr="00AC4AEA">
        <w:rPr>
          <w:rFonts w:ascii="Arial" w:hAnsi="Arial" w:cs="Arial"/>
          <w:sz w:val="20"/>
          <w:szCs w:val="20"/>
        </w:rPr>
        <w:t xml:space="preserve"> pérdidas operativas o ganancias inferiores a las proyectadas.</w:t>
      </w:r>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incluirá en el </w:t>
      </w:r>
      <w:r w:rsidRPr="00AC4AEA">
        <w:rPr>
          <w:rFonts w:ascii="Arial" w:hAnsi="Arial" w:cs="Arial"/>
          <w:b/>
          <w:bCs/>
          <w:sz w:val="20"/>
          <w:szCs w:val="20"/>
        </w:rPr>
        <w:t xml:space="preserve">costo de </w:t>
      </w:r>
      <w:r w:rsidR="00EF010E" w:rsidRPr="00AC4AEA">
        <w:rPr>
          <w:rFonts w:ascii="Arial" w:hAnsi="Arial" w:cs="Arial"/>
          <w:b/>
          <w:bCs/>
          <w:sz w:val="20"/>
          <w:szCs w:val="20"/>
        </w:rPr>
        <w:t>producción</w:t>
      </w:r>
      <w:r w:rsidR="006568D2" w:rsidRPr="00AC4AEA">
        <w:rPr>
          <w:rFonts w:ascii="Arial" w:hAnsi="Arial" w:cs="Arial"/>
          <w:sz w:val="20"/>
          <w:szCs w:val="20"/>
        </w:rPr>
        <w:t>,</w:t>
      </w:r>
      <w:r w:rsidR="00EF010E" w:rsidRPr="00AC4AEA">
        <w:rPr>
          <w:rFonts w:ascii="Arial" w:hAnsi="Arial" w:cs="Arial"/>
          <w:b/>
          <w:bCs/>
          <w:sz w:val="20"/>
          <w:szCs w:val="20"/>
        </w:rPr>
        <w:t xml:space="preserve"> </w:t>
      </w:r>
      <w:r w:rsidR="006568D2" w:rsidRPr="00AC4AEA">
        <w:rPr>
          <w:rFonts w:ascii="Arial" w:hAnsi="Arial" w:cs="Arial"/>
          <w:sz w:val="20"/>
          <w:szCs w:val="20"/>
        </w:rPr>
        <w:t>en el</w:t>
      </w:r>
      <w:r w:rsidR="006568D2" w:rsidRPr="00AC4AEA">
        <w:rPr>
          <w:rFonts w:ascii="Arial" w:hAnsi="Arial" w:cs="Arial"/>
          <w:b/>
          <w:bCs/>
          <w:sz w:val="20"/>
          <w:szCs w:val="20"/>
        </w:rPr>
        <w:t xml:space="preserve"> costo de</w:t>
      </w:r>
      <w:r w:rsidRPr="00AC4AEA">
        <w:rPr>
          <w:rFonts w:ascii="Arial" w:hAnsi="Arial" w:cs="Arial"/>
          <w:b/>
          <w:bCs/>
          <w:sz w:val="20"/>
          <w:szCs w:val="20"/>
        </w:rPr>
        <w:t xml:space="preserve"> construcción</w:t>
      </w:r>
      <w:r w:rsidR="00AD2E0E" w:rsidRPr="00AC4AEA">
        <w:rPr>
          <w:rFonts w:ascii="Arial" w:hAnsi="Arial" w:cs="Arial"/>
          <w:b/>
          <w:bCs/>
          <w:sz w:val="20"/>
          <w:szCs w:val="20"/>
        </w:rPr>
        <w:t xml:space="preserve"> </w:t>
      </w:r>
      <w:r w:rsidR="00AD2E0E" w:rsidRPr="00AC4AEA">
        <w:rPr>
          <w:rFonts w:ascii="Arial" w:hAnsi="Arial" w:cs="Arial"/>
          <w:sz w:val="20"/>
          <w:szCs w:val="20"/>
        </w:rPr>
        <w:t xml:space="preserve">ni en el </w:t>
      </w:r>
      <w:r w:rsidR="00AD2E0E" w:rsidRPr="00AC4AEA">
        <w:rPr>
          <w:rFonts w:ascii="Arial" w:hAnsi="Arial" w:cs="Arial"/>
          <w:b/>
          <w:bCs/>
          <w:sz w:val="20"/>
          <w:szCs w:val="20"/>
        </w:rPr>
        <w:t>costo de implantación</w:t>
      </w:r>
      <w:r w:rsidR="007F237F" w:rsidRPr="00AC4AEA">
        <w:rPr>
          <w:rFonts w:ascii="Arial" w:hAnsi="Arial" w:cs="Arial"/>
          <w:sz w:val="20"/>
          <w:szCs w:val="20"/>
        </w:rPr>
        <w:t>,</w:t>
      </w:r>
      <w:r w:rsidRPr="00AC4AEA">
        <w:rPr>
          <w:rFonts w:ascii="Arial" w:hAnsi="Arial" w:cs="Arial"/>
          <w:sz w:val="20"/>
          <w:szCs w:val="20"/>
        </w:rPr>
        <w:t xml:space="preserve"> de un </w:t>
      </w:r>
      <w:r w:rsidRPr="00AC4AEA">
        <w:rPr>
          <w:rFonts w:ascii="Arial" w:hAnsi="Arial" w:cs="Arial"/>
          <w:b/>
          <w:bCs/>
          <w:sz w:val="20"/>
          <w:szCs w:val="20"/>
        </w:rPr>
        <w:t>activo</w:t>
      </w:r>
      <w:r w:rsidR="00AA753E" w:rsidRPr="00AC4AEA">
        <w:rPr>
          <w:rFonts w:ascii="Arial" w:hAnsi="Arial" w:cs="Arial"/>
          <w:b/>
          <w:bCs/>
          <w:sz w:val="20"/>
          <w:szCs w:val="20"/>
        </w:rPr>
        <w:t xml:space="preserve"> </w:t>
      </w:r>
      <w:r w:rsidR="00AA753E" w:rsidRPr="00AC4AEA">
        <w:rPr>
          <w:rFonts w:ascii="Arial" w:hAnsi="Arial" w:cs="Arial"/>
          <w:sz w:val="20"/>
          <w:szCs w:val="20"/>
        </w:rPr>
        <w:t>ningun</w:t>
      </w:r>
      <w:r w:rsidR="000F3B25" w:rsidRPr="00AC4AEA">
        <w:rPr>
          <w:rFonts w:ascii="Arial" w:hAnsi="Arial" w:cs="Arial"/>
          <w:sz w:val="20"/>
          <w:szCs w:val="20"/>
        </w:rPr>
        <w:t>o</w:t>
      </w:r>
      <w:r w:rsidR="00AA753E" w:rsidRPr="00AC4AEA">
        <w:rPr>
          <w:rFonts w:ascii="Arial" w:hAnsi="Arial" w:cs="Arial"/>
          <w:sz w:val="20"/>
          <w:szCs w:val="20"/>
        </w:rPr>
        <w:t xml:space="preserve"> de los siguientes conceptos</w:t>
      </w:r>
      <w:r w:rsidRPr="00AC4AEA">
        <w:rPr>
          <w:rFonts w:ascii="Arial" w:hAnsi="Arial" w:cs="Arial"/>
          <w:sz w:val="20"/>
          <w:szCs w:val="20"/>
        </w:rPr>
        <w:t xml:space="preserve">: </w:t>
      </w:r>
    </w:p>
    <w:p w:rsidR="0090400F" w:rsidRPr="00AC4AEA" w:rsidRDefault="001D009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90400F" w:rsidRPr="00AC4AEA">
        <w:rPr>
          <w:rFonts w:ascii="Arial" w:hAnsi="Arial" w:cs="Arial"/>
          <w:sz w:val="20"/>
          <w:szCs w:val="20"/>
        </w:rPr>
        <w:t>as improductividades físicas o ineficiencias en el uso de los factores en general</w:t>
      </w:r>
      <w:r w:rsidR="00234B1D" w:rsidRPr="00AC4AEA">
        <w:rPr>
          <w:rFonts w:ascii="Arial" w:hAnsi="Arial" w:cs="Arial"/>
          <w:sz w:val="20"/>
          <w:szCs w:val="20"/>
        </w:rPr>
        <w:t>;</w:t>
      </w:r>
      <w:r w:rsidR="00D60C72" w:rsidRPr="00AC4AEA">
        <w:rPr>
          <w:rFonts w:ascii="Arial" w:hAnsi="Arial" w:cs="Arial"/>
          <w:sz w:val="20"/>
          <w:szCs w:val="20"/>
        </w:rPr>
        <w:t xml:space="preserve"> </w:t>
      </w:r>
      <w:r w:rsidR="00AA753E" w:rsidRPr="00AC4AEA">
        <w:rPr>
          <w:rFonts w:ascii="Arial" w:hAnsi="Arial" w:cs="Arial"/>
          <w:sz w:val="20"/>
          <w:szCs w:val="20"/>
        </w:rPr>
        <w:t>y</w:t>
      </w:r>
    </w:p>
    <w:p w:rsidR="0090400F" w:rsidRPr="00AC4AEA" w:rsidRDefault="001D009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90400F" w:rsidRPr="00AC4AEA">
        <w:rPr>
          <w:rFonts w:ascii="Arial" w:hAnsi="Arial" w:cs="Arial"/>
          <w:sz w:val="20"/>
          <w:szCs w:val="20"/>
        </w:rPr>
        <w:t xml:space="preserve">a ociosidad producida por la falta de aprovechamiento de los factores fijos </w:t>
      </w:r>
      <w:r w:rsidR="005A6EED" w:rsidRPr="00AC4AEA">
        <w:rPr>
          <w:rFonts w:ascii="Arial" w:hAnsi="Arial" w:cs="Arial"/>
          <w:sz w:val="20"/>
          <w:szCs w:val="20"/>
        </w:rPr>
        <w:t>como consecuencia de</w:t>
      </w:r>
      <w:r w:rsidR="0090400F" w:rsidRPr="00AC4AEA">
        <w:rPr>
          <w:rFonts w:ascii="Arial" w:hAnsi="Arial" w:cs="Arial"/>
          <w:sz w:val="20"/>
          <w:szCs w:val="20"/>
        </w:rPr>
        <w:t xml:space="preserve"> la utilización de la capacidad de planta </w:t>
      </w:r>
      <w:r w:rsidR="00580C21" w:rsidRPr="00AC4AEA">
        <w:rPr>
          <w:rFonts w:ascii="Arial" w:hAnsi="Arial" w:cs="Arial"/>
          <w:sz w:val="20"/>
          <w:szCs w:val="20"/>
        </w:rPr>
        <w:t>por debajo de su</w:t>
      </w:r>
      <w:r w:rsidR="0090400F" w:rsidRPr="00AC4AEA">
        <w:rPr>
          <w:rFonts w:ascii="Arial" w:hAnsi="Arial" w:cs="Arial"/>
          <w:sz w:val="20"/>
          <w:szCs w:val="20"/>
        </w:rPr>
        <w:t xml:space="preserve"> nivel de actividad normal.</w:t>
      </w:r>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reconocerá los importes correspondientes a improductividades o ineficiencias (tales como cantidades anormales de materiales, mano de obra u otros costos de conversión desperdiciados), razonablemente determinables y que distorsionen el costo de los bienes producidos, como resultados del período y no como componente</w:t>
      </w:r>
      <w:r w:rsidR="00580C21" w:rsidRPr="00AC4AEA">
        <w:rPr>
          <w:rFonts w:ascii="Arial" w:hAnsi="Arial" w:cs="Arial"/>
          <w:sz w:val="20"/>
          <w:szCs w:val="20"/>
        </w:rPr>
        <w:t>s</w:t>
      </w:r>
      <w:r w:rsidRPr="00AC4AEA">
        <w:rPr>
          <w:rFonts w:ascii="Arial" w:hAnsi="Arial" w:cs="Arial"/>
          <w:sz w:val="20"/>
          <w:szCs w:val="20"/>
        </w:rPr>
        <w:t xml:space="preserve"> del costo.</w:t>
      </w:r>
    </w:p>
    <w:p w:rsidR="008A3B68" w:rsidRPr="00AC4AEA" w:rsidRDefault="008A3B6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5A6EED" w:rsidRPr="00AC4AEA">
        <w:rPr>
          <w:rFonts w:ascii="Arial" w:hAnsi="Arial" w:cs="Arial"/>
          <w:sz w:val="20"/>
          <w:szCs w:val="20"/>
        </w:rPr>
        <w:t>determinará</w:t>
      </w:r>
      <w:r w:rsidRPr="00AC4AEA">
        <w:rPr>
          <w:rFonts w:ascii="Arial" w:hAnsi="Arial" w:cs="Arial"/>
          <w:sz w:val="20"/>
          <w:szCs w:val="20"/>
        </w:rPr>
        <w:t xml:space="preserve"> el nivel de actividad normal considerando que dicho nivel</w:t>
      </w:r>
      <w:r w:rsidR="005A6EED" w:rsidRPr="00AC4AEA">
        <w:rPr>
          <w:rFonts w:ascii="Arial" w:hAnsi="Arial" w:cs="Arial"/>
          <w:sz w:val="20"/>
          <w:szCs w:val="20"/>
        </w:rPr>
        <w:t xml:space="preserve"> debe</w:t>
      </w:r>
      <w:r w:rsidRPr="00AC4AEA">
        <w:rPr>
          <w:rFonts w:ascii="Arial" w:hAnsi="Arial" w:cs="Arial"/>
          <w:sz w:val="20"/>
          <w:szCs w:val="20"/>
        </w:rPr>
        <w:t>:</w:t>
      </w:r>
    </w:p>
    <w:p w:rsidR="008A3B68" w:rsidRPr="00AC4AEA" w:rsidRDefault="006A3FC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equivaler </w:t>
      </w:r>
      <w:r w:rsidR="0090400F" w:rsidRPr="00AC4AEA">
        <w:rPr>
          <w:rFonts w:ascii="Arial" w:hAnsi="Arial" w:cs="Arial"/>
          <w:sz w:val="20"/>
          <w:szCs w:val="20"/>
        </w:rPr>
        <w:t xml:space="preserve">a la producción que espera alcanzar </w:t>
      </w:r>
      <w:r w:rsidR="008A3B68" w:rsidRPr="00AC4AEA">
        <w:rPr>
          <w:rFonts w:ascii="Arial" w:hAnsi="Arial" w:cs="Arial"/>
          <w:sz w:val="20"/>
          <w:szCs w:val="20"/>
        </w:rPr>
        <w:t xml:space="preserve">en </w:t>
      </w:r>
      <w:r w:rsidR="0090400F" w:rsidRPr="00AC4AEA">
        <w:rPr>
          <w:rFonts w:ascii="Arial" w:hAnsi="Arial" w:cs="Arial"/>
          <w:sz w:val="20"/>
          <w:szCs w:val="20"/>
        </w:rPr>
        <w:t xml:space="preserve">promedio </w:t>
      </w:r>
      <w:r w:rsidR="008A3B68" w:rsidRPr="00AC4AEA">
        <w:rPr>
          <w:rFonts w:ascii="Arial" w:hAnsi="Arial" w:cs="Arial"/>
          <w:sz w:val="20"/>
          <w:szCs w:val="20"/>
        </w:rPr>
        <w:t xml:space="preserve">durante </w:t>
      </w:r>
      <w:r w:rsidR="0090400F" w:rsidRPr="00AC4AEA">
        <w:rPr>
          <w:rFonts w:ascii="Arial" w:hAnsi="Arial" w:cs="Arial"/>
          <w:sz w:val="20"/>
          <w:szCs w:val="20"/>
        </w:rPr>
        <w:t>varios períodos bajo las circunstancias previstas</w:t>
      </w:r>
      <w:r w:rsidRPr="00AC4AEA">
        <w:rPr>
          <w:rFonts w:ascii="Arial" w:hAnsi="Arial" w:cs="Arial"/>
          <w:sz w:val="20"/>
          <w:szCs w:val="20"/>
        </w:rPr>
        <w:t>;</w:t>
      </w:r>
      <w:r w:rsidR="008A3B68" w:rsidRPr="00AC4AEA">
        <w:rPr>
          <w:rFonts w:ascii="Arial" w:hAnsi="Arial" w:cs="Arial"/>
          <w:sz w:val="20"/>
          <w:szCs w:val="20"/>
        </w:rPr>
        <w:t xml:space="preserve"> y</w:t>
      </w:r>
    </w:p>
    <w:p w:rsidR="008A3B68" w:rsidRPr="00AC4AEA" w:rsidRDefault="006A3FC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representar </w:t>
      </w:r>
      <w:r w:rsidR="00580C21" w:rsidRPr="00AC4AEA">
        <w:rPr>
          <w:rFonts w:ascii="Arial" w:hAnsi="Arial" w:cs="Arial"/>
          <w:sz w:val="20"/>
          <w:szCs w:val="20"/>
        </w:rPr>
        <w:t>un indicador realista, generalmente por debajo de su capacidad total</w:t>
      </w:r>
      <w:r w:rsidR="0090400F" w:rsidRPr="00AC4AEA">
        <w:rPr>
          <w:rFonts w:ascii="Arial" w:hAnsi="Arial" w:cs="Arial"/>
          <w:sz w:val="20"/>
          <w:szCs w:val="20"/>
        </w:rPr>
        <w:t xml:space="preserve">. </w:t>
      </w:r>
    </w:p>
    <w:p w:rsidR="0090400F" w:rsidRPr="00AC4AEA" w:rsidRDefault="008A3B68" w:rsidP="00A318EA">
      <w:pPr>
        <w:pStyle w:val="Prrafodelista"/>
        <w:numPr>
          <w:ilvl w:val="0"/>
          <w:numId w:val="29"/>
        </w:numPr>
        <w:contextualSpacing w:val="0"/>
        <w:jc w:val="both"/>
        <w:rPr>
          <w:rFonts w:ascii="Arial" w:hAnsi="Arial" w:cs="Arial"/>
          <w:sz w:val="20"/>
          <w:szCs w:val="20"/>
        </w:rPr>
      </w:pPr>
      <w:bookmarkStart w:id="136" w:name="_Ref99459944"/>
      <w:r w:rsidRPr="00AC4AEA">
        <w:rPr>
          <w:rFonts w:ascii="Arial" w:hAnsi="Arial" w:cs="Arial"/>
          <w:sz w:val="20"/>
          <w:szCs w:val="20"/>
        </w:rPr>
        <w:t>P</w:t>
      </w:r>
      <w:r w:rsidR="0090400F" w:rsidRPr="00AC4AEA">
        <w:rPr>
          <w:rFonts w:ascii="Arial" w:hAnsi="Arial" w:cs="Arial"/>
          <w:sz w:val="20"/>
          <w:szCs w:val="20"/>
        </w:rPr>
        <w:t xml:space="preserve">ara el cálculo </w:t>
      </w:r>
      <w:r w:rsidRPr="00AC4AEA">
        <w:rPr>
          <w:rFonts w:ascii="Arial" w:hAnsi="Arial" w:cs="Arial"/>
          <w:sz w:val="20"/>
          <w:szCs w:val="20"/>
        </w:rPr>
        <w:t>del promedio referido en el párrafo anterior, una entidad tendrá</w:t>
      </w:r>
      <w:r w:rsidR="0090400F" w:rsidRPr="00AC4AEA">
        <w:rPr>
          <w:rFonts w:ascii="Arial" w:hAnsi="Arial" w:cs="Arial"/>
          <w:sz w:val="20"/>
          <w:szCs w:val="20"/>
        </w:rPr>
        <w:t xml:space="preserve"> en cuenta la naturaleza de </w:t>
      </w:r>
      <w:r w:rsidR="00580C21" w:rsidRPr="00AC4AEA">
        <w:rPr>
          <w:rFonts w:ascii="Arial" w:hAnsi="Arial" w:cs="Arial"/>
          <w:sz w:val="20"/>
          <w:szCs w:val="20"/>
        </w:rPr>
        <w:t xml:space="preserve">sus </w:t>
      </w:r>
      <w:r w:rsidR="0090400F" w:rsidRPr="00AC4AEA">
        <w:rPr>
          <w:rFonts w:ascii="Arial" w:hAnsi="Arial" w:cs="Arial"/>
          <w:sz w:val="20"/>
          <w:szCs w:val="20"/>
        </w:rPr>
        <w:t>negocios y otras circunstancias</w:t>
      </w:r>
      <w:r w:rsidR="001B7E9C" w:rsidRPr="00AC4AEA">
        <w:rPr>
          <w:rFonts w:ascii="Arial" w:hAnsi="Arial" w:cs="Arial"/>
          <w:sz w:val="20"/>
          <w:szCs w:val="20"/>
        </w:rPr>
        <w:t xml:space="preserve">; </w:t>
      </w:r>
      <w:r w:rsidRPr="00AC4AEA">
        <w:rPr>
          <w:rFonts w:ascii="Arial" w:hAnsi="Arial" w:cs="Arial"/>
          <w:sz w:val="20"/>
          <w:szCs w:val="20"/>
        </w:rPr>
        <w:t>por ejemplo</w:t>
      </w:r>
      <w:r w:rsidR="001B7E9C" w:rsidRPr="00AC4AEA">
        <w:rPr>
          <w:rFonts w:ascii="Arial" w:hAnsi="Arial" w:cs="Arial"/>
          <w:sz w:val="20"/>
          <w:szCs w:val="20"/>
        </w:rPr>
        <w:t>,</w:t>
      </w:r>
      <w:r w:rsidR="0090400F" w:rsidRPr="00AC4AEA">
        <w:rPr>
          <w:rFonts w:ascii="Arial" w:hAnsi="Arial" w:cs="Arial"/>
          <w:sz w:val="20"/>
          <w:szCs w:val="20"/>
        </w:rPr>
        <w:t xml:space="preserve"> </w:t>
      </w:r>
      <w:r w:rsidR="00C33BBE" w:rsidRPr="00AC4AEA">
        <w:rPr>
          <w:rFonts w:ascii="Arial" w:hAnsi="Arial" w:cs="Arial"/>
          <w:sz w:val="20"/>
          <w:szCs w:val="20"/>
        </w:rPr>
        <w:t xml:space="preserve">las </w:t>
      </w:r>
      <w:r w:rsidR="0090400F" w:rsidRPr="00AC4AEA">
        <w:rPr>
          <w:rFonts w:ascii="Arial" w:hAnsi="Arial" w:cs="Arial"/>
          <w:sz w:val="20"/>
          <w:szCs w:val="20"/>
        </w:rPr>
        <w:t xml:space="preserve">vinculadas con los </w:t>
      </w:r>
      <w:r w:rsidR="00580C21" w:rsidRPr="00AC4AEA">
        <w:rPr>
          <w:rFonts w:ascii="Arial" w:hAnsi="Arial" w:cs="Arial"/>
          <w:sz w:val="20"/>
          <w:szCs w:val="20"/>
        </w:rPr>
        <w:t>ciclos de</w:t>
      </w:r>
      <w:r w:rsidR="0090400F" w:rsidRPr="00AC4AEA">
        <w:rPr>
          <w:rFonts w:ascii="Arial" w:hAnsi="Arial" w:cs="Arial"/>
          <w:sz w:val="20"/>
          <w:szCs w:val="20"/>
        </w:rPr>
        <w:t xml:space="preserve"> </w:t>
      </w:r>
      <w:r w:rsidR="00580C21" w:rsidRPr="00AC4AEA">
        <w:rPr>
          <w:rFonts w:ascii="Arial" w:hAnsi="Arial" w:cs="Arial"/>
          <w:sz w:val="20"/>
          <w:szCs w:val="20"/>
        </w:rPr>
        <w:t xml:space="preserve">su </w:t>
      </w:r>
      <w:r w:rsidR="0090400F" w:rsidRPr="00AC4AEA">
        <w:rPr>
          <w:rFonts w:ascii="Arial" w:hAnsi="Arial" w:cs="Arial"/>
          <w:sz w:val="20"/>
          <w:szCs w:val="20"/>
        </w:rPr>
        <w:t>actividad</w:t>
      </w:r>
      <w:r w:rsidR="00580C21" w:rsidRPr="00AC4AEA">
        <w:rPr>
          <w:rFonts w:ascii="Arial" w:hAnsi="Arial" w:cs="Arial"/>
          <w:sz w:val="20"/>
          <w:szCs w:val="20"/>
        </w:rPr>
        <w:t xml:space="preserve"> o </w:t>
      </w:r>
      <w:r w:rsidR="001B7E9C" w:rsidRPr="00AC4AEA">
        <w:rPr>
          <w:rFonts w:ascii="Arial" w:hAnsi="Arial" w:cs="Arial"/>
          <w:sz w:val="20"/>
          <w:szCs w:val="20"/>
        </w:rPr>
        <w:t xml:space="preserve">de sus </w:t>
      </w:r>
      <w:r w:rsidR="0090400F" w:rsidRPr="00AC4AEA">
        <w:rPr>
          <w:rFonts w:ascii="Arial" w:hAnsi="Arial" w:cs="Arial"/>
          <w:sz w:val="20"/>
          <w:szCs w:val="20"/>
        </w:rPr>
        <w:t>productos y la precisión de los presupuestos.</w:t>
      </w:r>
      <w:bookmarkEnd w:id="136"/>
    </w:p>
    <w:p w:rsidR="006368CB" w:rsidRPr="00AC4AEA" w:rsidRDefault="006368CB" w:rsidP="00A318EA">
      <w:pPr>
        <w:jc w:val="both"/>
        <w:rPr>
          <w:rFonts w:ascii="Arial" w:hAnsi="Arial" w:cs="Arial"/>
          <w:sz w:val="20"/>
          <w:szCs w:val="20"/>
        </w:rPr>
      </w:pPr>
    </w:p>
    <w:p w:rsidR="006368CB" w:rsidRPr="00AC4AEA" w:rsidRDefault="006368CB" w:rsidP="00A318EA">
      <w:pPr>
        <w:pStyle w:val="Ttulo2"/>
        <w:rPr>
          <w:rFonts w:cs="Arial"/>
        </w:rPr>
      </w:pPr>
      <w:bookmarkStart w:id="137" w:name="_Toc101863741"/>
      <w:bookmarkStart w:id="138" w:name="_Toc139356604"/>
      <w:r w:rsidRPr="00AC4AEA">
        <w:rPr>
          <w:rFonts w:cs="Arial"/>
        </w:rPr>
        <w:t>Medición de</w:t>
      </w:r>
      <w:r w:rsidR="000E78EC" w:rsidRPr="00AC4AEA">
        <w:rPr>
          <w:rFonts w:cs="Arial"/>
        </w:rPr>
        <w:t>l</w:t>
      </w:r>
      <w:r w:rsidRPr="00AC4AEA">
        <w:rPr>
          <w:rFonts w:cs="Arial"/>
        </w:rPr>
        <w:t xml:space="preserve"> costo de desarrollo</w:t>
      </w:r>
      <w:bookmarkEnd w:id="137"/>
      <w:bookmarkEnd w:id="138"/>
    </w:p>
    <w:p w:rsidR="006368CB" w:rsidRPr="00AC4AEA" w:rsidRDefault="00204A83" w:rsidP="00A318EA">
      <w:pPr>
        <w:pStyle w:val="Prrafodelista"/>
        <w:numPr>
          <w:ilvl w:val="0"/>
          <w:numId w:val="29"/>
        </w:numPr>
        <w:contextualSpacing w:val="0"/>
        <w:jc w:val="both"/>
        <w:rPr>
          <w:rFonts w:ascii="Arial" w:hAnsi="Arial" w:cs="Arial"/>
          <w:sz w:val="20"/>
          <w:szCs w:val="20"/>
        </w:rPr>
      </w:pPr>
      <w:bookmarkStart w:id="139" w:name="_Ref99482478"/>
      <w:r w:rsidRPr="00AC4AEA">
        <w:rPr>
          <w:rFonts w:ascii="Arial" w:hAnsi="Arial" w:cs="Arial"/>
          <w:sz w:val="20"/>
          <w:szCs w:val="20"/>
        </w:rPr>
        <w:t xml:space="preserve">Cuando corresponda, una </w:t>
      </w:r>
      <w:r w:rsidR="006368CB" w:rsidRPr="00AC4AEA">
        <w:rPr>
          <w:rFonts w:ascii="Arial" w:hAnsi="Arial" w:cs="Arial"/>
          <w:sz w:val="20"/>
          <w:szCs w:val="20"/>
        </w:rPr>
        <w:t xml:space="preserve">entidad medirá el </w:t>
      </w:r>
      <w:r w:rsidR="006368CB" w:rsidRPr="00AC4AEA">
        <w:rPr>
          <w:rFonts w:ascii="Arial" w:hAnsi="Arial" w:cs="Arial"/>
          <w:b/>
          <w:bCs/>
          <w:sz w:val="20"/>
          <w:szCs w:val="20"/>
        </w:rPr>
        <w:t xml:space="preserve">costo de desarrollo </w:t>
      </w:r>
      <w:r w:rsidR="006368CB" w:rsidRPr="00AC4AEA">
        <w:rPr>
          <w:rFonts w:ascii="Arial" w:hAnsi="Arial" w:cs="Arial"/>
          <w:sz w:val="20"/>
          <w:szCs w:val="20"/>
        </w:rPr>
        <w:t xml:space="preserve">de un </w:t>
      </w:r>
      <w:r w:rsidR="006368CB" w:rsidRPr="00AC4AEA">
        <w:rPr>
          <w:rFonts w:ascii="Arial" w:hAnsi="Arial" w:cs="Arial"/>
          <w:b/>
          <w:bCs/>
          <w:sz w:val="20"/>
          <w:szCs w:val="20"/>
        </w:rPr>
        <w:t xml:space="preserve">activo </w:t>
      </w:r>
      <w:r w:rsidR="006368CB" w:rsidRPr="00AC4AEA">
        <w:rPr>
          <w:rFonts w:ascii="Arial" w:hAnsi="Arial" w:cs="Arial"/>
          <w:sz w:val="20"/>
          <w:szCs w:val="20"/>
        </w:rPr>
        <w:t>intangible mediante la suma de los siguientes componentes:</w:t>
      </w:r>
      <w:bookmarkEnd w:id="139"/>
    </w:p>
    <w:p w:rsidR="006368CB" w:rsidRPr="00AC4AEA" w:rsidRDefault="0043742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D60C72" w:rsidRPr="00AC4AEA">
        <w:rPr>
          <w:rFonts w:ascii="Arial" w:hAnsi="Arial" w:cs="Arial"/>
          <w:sz w:val="20"/>
          <w:szCs w:val="20"/>
        </w:rPr>
        <w:t>os c</w:t>
      </w:r>
      <w:r w:rsidR="006368CB" w:rsidRPr="00AC4AEA">
        <w:rPr>
          <w:rFonts w:ascii="Arial" w:hAnsi="Arial" w:cs="Arial"/>
          <w:sz w:val="20"/>
          <w:szCs w:val="20"/>
        </w:rPr>
        <w:t xml:space="preserve">ostos de los materiales e insumos necesarios para su </w:t>
      </w:r>
      <w:r w:rsidR="0038730F" w:rsidRPr="00AC4AEA">
        <w:rPr>
          <w:rFonts w:ascii="Arial" w:hAnsi="Arial" w:cs="Arial"/>
          <w:sz w:val="20"/>
          <w:szCs w:val="20"/>
        </w:rPr>
        <w:t>generación</w:t>
      </w:r>
      <w:r w:rsidR="006368CB" w:rsidRPr="00AC4AEA">
        <w:rPr>
          <w:rFonts w:ascii="Arial" w:hAnsi="Arial" w:cs="Arial"/>
          <w:sz w:val="20"/>
          <w:szCs w:val="20"/>
        </w:rPr>
        <w:t>;</w:t>
      </w:r>
    </w:p>
    <w:p w:rsidR="006368CB" w:rsidRPr="00AC4AEA" w:rsidRDefault="0043742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 xml:space="preserve">los </w:t>
      </w:r>
      <w:r w:rsidR="00D60C72" w:rsidRPr="00AC4AEA">
        <w:rPr>
          <w:rFonts w:ascii="Arial" w:hAnsi="Arial" w:cs="Arial"/>
          <w:sz w:val="20"/>
          <w:szCs w:val="20"/>
        </w:rPr>
        <w:t>c</w:t>
      </w:r>
      <w:r w:rsidR="006368CB" w:rsidRPr="00AC4AEA">
        <w:rPr>
          <w:rFonts w:ascii="Arial" w:hAnsi="Arial" w:cs="Arial"/>
          <w:sz w:val="20"/>
          <w:szCs w:val="20"/>
        </w:rPr>
        <w:t>ostos de conversión (mano de obra, servicios, depreciaciones y otras cargas), tanto variables como fijos;</w:t>
      </w:r>
    </w:p>
    <w:p w:rsidR="006368CB" w:rsidRPr="00AC4AEA" w:rsidRDefault="0043742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00D60C72" w:rsidRPr="00AC4AEA">
        <w:rPr>
          <w:rFonts w:ascii="Arial" w:hAnsi="Arial" w:cs="Arial"/>
          <w:sz w:val="20"/>
          <w:szCs w:val="20"/>
        </w:rPr>
        <w:t>g</w:t>
      </w:r>
      <w:r w:rsidR="0038730F" w:rsidRPr="00AC4AEA">
        <w:rPr>
          <w:rFonts w:ascii="Arial" w:hAnsi="Arial" w:cs="Arial"/>
          <w:sz w:val="20"/>
          <w:szCs w:val="20"/>
        </w:rPr>
        <w:t>astos y honorarios necesarios para registrar los derechos legales;</w:t>
      </w:r>
    </w:p>
    <w:p w:rsidR="0038730F" w:rsidRPr="00AC4AEA" w:rsidRDefault="0043742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D60C72" w:rsidRPr="00AC4AEA">
        <w:rPr>
          <w:rFonts w:ascii="Arial" w:hAnsi="Arial" w:cs="Arial"/>
          <w:sz w:val="20"/>
          <w:szCs w:val="20"/>
        </w:rPr>
        <w:t>a</w:t>
      </w:r>
      <w:r w:rsidR="0038730F" w:rsidRPr="00AC4AEA">
        <w:rPr>
          <w:rFonts w:ascii="Arial" w:hAnsi="Arial" w:cs="Arial"/>
          <w:sz w:val="20"/>
          <w:szCs w:val="20"/>
        </w:rPr>
        <w:t>mortización de patentes y licencias utilizadas para generar el intangible</w:t>
      </w:r>
      <w:r w:rsidRPr="00AC4AEA">
        <w:rPr>
          <w:rFonts w:ascii="Arial" w:hAnsi="Arial" w:cs="Arial"/>
          <w:sz w:val="20"/>
          <w:szCs w:val="20"/>
        </w:rPr>
        <w:t>;</w:t>
      </w:r>
      <w:r w:rsidR="00D60C72" w:rsidRPr="00AC4AEA">
        <w:rPr>
          <w:rFonts w:ascii="Arial" w:hAnsi="Arial" w:cs="Arial"/>
          <w:sz w:val="20"/>
          <w:szCs w:val="20"/>
        </w:rPr>
        <w:t xml:space="preserve"> y</w:t>
      </w:r>
    </w:p>
    <w:p w:rsidR="006368CB" w:rsidRPr="00AC4AEA" w:rsidRDefault="0043742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00D60C72" w:rsidRPr="00AC4AEA">
        <w:rPr>
          <w:rFonts w:ascii="Arial" w:hAnsi="Arial" w:cs="Arial"/>
          <w:b/>
          <w:bCs/>
          <w:sz w:val="20"/>
          <w:szCs w:val="20"/>
        </w:rPr>
        <w:t>c</w:t>
      </w:r>
      <w:r w:rsidR="006368CB" w:rsidRPr="00AC4AEA">
        <w:rPr>
          <w:rFonts w:ascii="Arial" w:hAnsi="Arial" w:cs="Arial"/>
          <w:b/>
          <w:bCs/>
          <w:sz w:val="20"/>
          <w:szCs w:val="20"/>
        </w:rPr>
        <w:t>ostos financieros</w:t>
      </w:r>
      <w:r w:rsidR="006368CB" w:rsidRPr="00AC4AEA">
        <w:rPr>
          <w:rFonts w:ascii="Arial" w:hAnsi="Arial" w:cs="Arial"/>
          <w:sz w:val="20"/>
          <w:szCs w:val="20"/>
        </w:rPr>
        <w:t>, si correspondiera</w:t>
      </w:r>
      <w:r w:rsidR="005317B0" w:rsidRPr="00AC4AEA">
        <w:rPr>
          <w:rFonts w:ascii="Arial" w:hAnsi="Arial" w:cs="Arial"/>
          <w:sz w:val="20"/>
          <w:szCs w:val="20"/>
        </w:rPr>
        <w:t xml:space="preserve"> computarlos</w:t>
      </w:r>
      <w:r w:rsidR="006368CB" w:rsidRPr="00AC4AEA">
        <w:rPr>
          <w:rFonts w:ascii="Arial" w:hAnsi="Arial" w:cs="Arial"/>
          <w:sz w:val="20"/>
          <w:szCs w:val="20"/>
        </w:rPr>
        <w:t xml:space="preserve"> según lo establecido en </w:t>
      </w:r>
      <w:r w:rsidR="00F943FC" w:rsidRPr="00AC4AEA">
        <w:rPr>
          <w:rFonts w:ascii="Arial" w:hAnsi="Arial" w:cs="Arial"/>
          <w:sz w:val="20"/>
          <w:szCs w:val="20"/>
        </w:rPr>
        <w:t>el apartado</w:t>
      </w:r>
      <w:r w:rsidR="006368CB" w:rsidRPr="00AC4AEA">
        <w:rPr>
          <w:rFonts w:ascii="Arial" w:hAnsi="Arial" w:cs="Arial"/>
          <w:sz w:val="20"/>
          <w:szCs w:val="20"/>
        </w:rPr>
        <w:t xml:space="preserve"> “</w:t>
      </w:r>
      <w:r w:rsidR="006368CB" w:rsidRPr="00AC4AEA">
        <w:rPr>
          <w:rFonts w:ascii="Arial" w:hAnsi="Arial" w:cs="Arial"/>
          <w:sz w:val="20"/>
          <w:szCs w:val="20"/>
          <w:u w:val="single"/>
        </w:rPr>
        <w:t>Tratamiento de los costos financieros</w:t>
      </w:r>
      <w:r w:rsidR="00BB7057" w:rsidRPr="00AC4AEA">
        <w:rPr>
          <w:rFonts w:ascii="Arial" w:hAnsi="Arial" w:cs="Arial"/>
          <w:sz w:val="20"/>
          <w:szCs w:val="20"/>
        </w:rPr>
        <w:t xml:space="preserve">” [ver </w:t>
      </w:r>
      <w:r w:rsidR="00527265" w:rsidRPr="00AC4AEA">
        <w:rPr>
          <w:rFonts w:ascii="Arial" w:hAnsi="Arial" w:cs="Arial"/>
          <w:sz w:val="20"/>
          <w:szCs w:val="20"/>
        </w:rPr>
        <w:t xml:space="preserve">los </w:t>
      </w:r>
      <w:r w:rsidR="00BB7057" w:rsidRPr="00AC4AEA">
        <w:rPr>
          <w:rFonts w:ascii="Arial" w:hAnsi="Arial" w:cs="Arial"/>
          <w:sz w:val="20"/>
          <w:szCs w:val="20"/>
        </w:rPr>
        <w:t xml:space="preserve">párrafos </w:t>
      </w:r>
      <w:fldSimple w:instr=" REF _Ref75511013 \r \h  \* MERGEFORMAT ">
        <w:r w:rsidR="00D33A5D" w:rsidRPr="00D33A5D">
          <w:rPr>
            <w:rFonts w:ascii="Arial" w:hAnsi="Arial" w:cs="Arial"/>
            <w:sz w:val="20"/>
            <w:szCs w:val="20"/>
          </w:rPr>
          <w:t>136</w:t>
        </w:r>
      </w:fldSimple>
      <w:r w:rsidR="00BB7057"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00BB7057" w:rsidRPr="00AC4AEA">
        <w:rPr>
          <w:rFonts w:ascii="Arial" w:hAnsi="Arial" w:cs="Arial"/>
          <w:sz w:val="20"/>
          <w:szCs w:val="20"/>
        </w:rPr>
        <w:t>].</w:t>
      </w:r>
    </w:p>
    <w:p w:rsidR="00650AD4" w:rsidRPr="00AC4AEA" w:rsidRDefault="00650AD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Al medir el </w:t>
      </w:r>
      <w:r w:rsidRPr="00AC4AEA">
        <w:rPr>
          <w:rFonts w:ascii="Arial" w:hAnsi="Arial" w:cs="Arial"/>
          <w:b/>
          <w:bCs/>
          <w:sz w:val="20"/>
          <w:szCs w:val="20"/>
        </w:rPr>
        <w:t>costo de desarrollo</w:t>
      </w:r>
      <w:r w:rsidRPr="00AC4AEA">
        <w:rPr>
          <w:rFonts w:ascii="Arial" w:hAnsi="Arial" w:cs="Arial"/>
          <w:sz w:val="20"/>
          <w:szCs w:val="20"/>
        </w:rPr>
        <w:t xml:space="preserve"> de un activo intangible, una entidad considerará</w:t>
      </w:r>
      <w:r w:rsidR="008F0875" w:rsidRPr="00AC4AEA">
        <w:rPr>
          <w:rFonts w:ascii="Arial" w:hAnsi="Arial" w:cs="Arial"/>
          <w:sz w:val="20"/>
          <w:szCs w:val="20"/>
        </w:rPr>
        <w:t>, en lo que resulte pertinente,</w:t>
      </w:r>
      <w:r w:rsidRPr="00AC4AEA">
        <w:rPr>
          <w:rFonts w:ascii="Arial" w:hAnsi="Arial" w:cs="Arial"/>
          <w:sz w:val="20"/>
          <w:szCs w:val="20"/>
        </w:rPr>
        <w:t xml:space="preserve"> lo establecido en el apartado “</w:t>
      </w:r>
      <w:r w:rsidRPr="00AC4AEA">
        <w:rPr>
          <w:rFonts w:ascii="Arial" w:hAnsi="Arial" w:cs="Arial"/>
          <w:sz w:val="20"/>
          <w:szCs w:val="20"/>
          <w:u w:val="single"/>
        </w:rPr>
        <w:t>Medición de</w:t>
      </w:r>
      <w:r w:rsidR="000377AC" w:rsidRPr="00AC4AEA">
        <w:rPr>
          <w:rFonts w:ascii="Arial" w:hAnsi="Arial" w:cs="Arial"/>
          <w:sz w:val="20"/>
          <w:szCs w:val="20"/>
          <w:u w:val="single"/>
        </w:rPr>
        <w:t>l</w:t>
      </w:r>
      <w:r w:rsidRPr="00AC4AEA">
        <w:rPr>
          <w:rFonts w:ascii="Arial" w:hAnsi="Arial" w:cs="Arial"/>
          <w:sz w:val="20"/>
          <w:szCs w:val="20"/>
          <w:u w:val="single"/>
        </w:rPr>
        <w:t xml:space="preserve"> costo de producción o </w:t>
      </w:r>
      <w:r w:rsidR="00F92476" w:rsidRPr="00AC4AEA">
        <w:rPr>
          <w:rFonts w:ascii="Arial" w:hAnsi="Arial" w:cs="Arial"/>
          <w:sz w:val="20"/>
          <w:szCs w:val="20"/>
          <w:u w:val="single"/>
        </w:rPr>
        <w:t xml:space="preserve">del costo de </w:t>
      </w:r>
      <w:r w:rsidRPr="00AC4AEA">
        <w:rPr>
          <w:rFonts w:ascii="Arial" w:hAnsi="Arial" w:cs="Arial"/>
          <w:sz w:val="20"/>
          <w:szCs w:val="20"/>
          <w:u w:val="single"/>
        </w:rPr>
        <w:t>construcción</w:t>
      </w:r>
      <w:r w:rsidRPr="00AC4AEA">
        <w:rPr>
          <w:rFonts w:ascii="Arial" w:hAnsi="Arial" w:cs="Arial"/>
          <w:sz w:val="20"/>
          <w:szCs w:val="20"/>
        </w:rPr>
        <w:t xml:space="preserve">” [ver los párrafos </w:t>
      </w:r>
      <w:fldSimple w:instr=" REF _Ref99478357 \r \h  \* MERGEFORMAT ">
        <w:r w:rsidR="00D33A5D" w:rsidRPr="00D33A5D">
          <w:rPr>
            <w:rFonts w:ascii="Arial" w:hAnsi="Arial" w:cs="Arial"/>
            <w:sz w:val="20"/>
            <w:szCs w:val="20"/>
          </w:rPr>
          <w:t>104</w:t>
        </w:r>
      </w:fldSimple>
      <w:r w:rsidR="008F0875"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008F0875" w:rsidRPr="00AC4AEA">
        <w:rPr>
          <w:rFonts w:ascii="Arial" w:hAnsi="Arial" w:cs="Arial"/>
          <w:sz w:val="20"/>
          <w:szCs w:val="20"/>
        </w:rPr>
        <w:t>].</w:t>
      </w:r>
    </w:p>
    <w:p w:rsidR="00AE7883" w:rsidRPr="00AC4AEA" w:rsidRDefault="00AE7883" w:rsidP="00A318EA">
      <w:pPr>
        <w:pStyle w:val="Ttulo1"/>
        <w:rPr>
          <w:rFonts w:cs="Arial"/>
          <w:sz w:val="20"/>
          <w:szCs w:val="20"/>
        </w:rPr>
      </w:pPr>
      <w:bookmarkStart w:id="140" w:name="_Toc101863742"/>
    </w:p>
    <w:p w:rsidR="0005129D" w:rsidRPr="00AC4AEA" w:rsidRDefault="000719CC" w:rsidP="00A318EA">
      <w:pPr>
        <w:pStyle w:val="Ttulo1"/>
        <w:rPr>
          <w:rFonts w:cs="Arial"/>
          <w:sz w:val="20"/>
          <w:szCs w:val="20"/>
        </w:rPr>
      </w:pPr>
      <w:bookmarkStart w:id="141" w:name="_Toc139356605"/>
      <w:r w:rsidRPr="00AC4AEA">
        <w:rPr>
          <w:rFonts w:cs="Arial"/>
          <w:sz w:val="20"/>
          <w:szCs w:val="20"/>
        </w:rPr>
        <w:t>MEDICIÓN DE VALORES CORRIENTES</w:t>
      </w:r>
      <w:bookmarkEnd w:id="140"/>
      <w:bookmarkEnd w:id="141"/>
    </w:p>
    <w:p w:rsidR="0090400F" w:rsidRPr="00AC4AEA" w:rsidRDefault="0090400F" w:rsidP="00A318EA">
      <w:pPr>
        <w:pStyle w:val="Ttulo2"/>
        <w:rPr>
          <w:rFonts w:cs="Arial"/>
        </w:rPr>
      </w:pPr>
      <w:bookmarkStart w:id="142" w:name="_Toc101863743"/>
      <w:bookmarkStart w:id="143" w:name="_Toc139356606"/>
      <w:r w:rsidRPr="00AC4AEA">
        <w:rPr>
          <w:rFonts w:cs="Arial"/>
        </w:rPr>
        <w:t>Medición de costos de reposición</w:t>
      </w:r>
      <w:r w:rsidR="00627973" w:rsidRPr="00AC4AEA">
        <w:rPr>
          <w:rFonts w:cs="Arial"/>
        </w:rPr>
        <w:t xml:space="preserve">, </w:t>
      </w:r>
      <w:r w:rsidR="008B012F" w:rsidRPr="00AC4AEA">
        <w:rPr>
          <w:rFonts w:cs="Arial"/>
        </w:rPr>
        <w:t xml:space="preserve">o costos de </w:t>
      </w:r>
      <w:r w:rsidRPr="00AC4AEA">
        <w:rPr>
          <w:rFonts w:cs="Arial"/>
        </w:rPr>
        <w:t xml:space="preserve">reproducción </w:t>
      </w:r>
      <w:r w:rsidR="008B012F" w:rsidRPr="00AC4AEA">
        <w:rPr>
          <w:rFonts w:cs="Arial"/>
        </w:rPr>
        <w:t>y/</w:t>
      </w:r>
      <w:r w:rsidRPr="00AC4AEA">
        <w:rPr>
          <w:rFonts w:cs="Arial"/>
        </w:rPr>
        <w:t>o reconstrucción</w:t>
      </w:r>
      <w:bookmarkEnd w:id="142"/>
      <w:bookmarkEnd w:id="143"/>
    </w:p>
    <w:p w:rsidR="0090400F" w:rsidRPr="00AC4AEA" w:rsidRDefault="0090400F" w:rsidP="00A318EA">
      <w:pPr>
        <w:pStyle w:val="Prrafodelista"/>
        <w:numPr>
          <w:ilvl w:val="0"/>
          <w:numId w:val="29"/>
        </w:numPr>
        <w:contextualSpacing w:val="0"/>
        <w:jc w:val="both"/>
        <w:rPr>
          <w:rFonts w:ascii="Arial" w:hAnsi="Arial" w:cs="Arial"/>
          <w:sz w:val="20"/>
          <w:szCs w:val="20"/>
        </w:rPr>
      </w:pPr>
      <w:bookmarkStart w:id="144" w:name="_Ref101121461"/>
      <w:r w:rsidRPr="00AC4AEA">
        <w:rPr>
          <w:rFonts w:ascii="Arial" w:hAnsi="Arial" w:cs="Arial"/>
          <w:sz w:val="20"/>
          <w:szCs w:val="20"/>
        </w:rPr>
        <w:t xml:space="preserve">Una entidad medirá el </w:t>
      </w:r>
      <w:r w:rsidRPr="00AC4AEA">
        <w:rPr>
          <w:rFonts w:ascii="Arial" w:hAnsi="Arial" w:cs="Arial"/>
          <w:b/>
          <w:bCs/>
          <w:sz w:val="20"/>
          <w:szCs w:val="20"/>
        </w:rPr>
        <w:t>costo de reposición</w:t>
      </w:r>
      <w:r w:rsidRPr="00AC4AEA">
        <w:rPr>
          <w:rFonts w:ascii="Arial" w:hAnsi="Arial" w:cs="Arial"/>
          <w:sz w:val="20"/>
          <w:szCs w:val="20"/>
        </w:rPr>
        <w:t xml:space="preserve"> </w:t>
      </w:r>
      <w:r w:rsidR="00CF3971" w:rsidRPr="00AC4AEA">
        <w:rPr>
          <w:rFonts w:ascii="Arial" w:hAnsi="Arial" w:cs="Arial"/>
          <w:sz w:val="20"/>
          <w:szCs w:val="20"/>
        </w:rPr>
        <w:t xml:space="preserve">acumulando todos los </w:t>
      </w:r>
      <w:r w:rsidR="004720B2" w:rsidRPr="00AC4AEA">
        <w:rPr>
          <w:rFonts w:ascii="Arial" w:hAnsi="Arial" w:cs="Arial"/>
          <w:sz w:val="20"/>
          <w:szCs w:val="20"/>
        </w:rPr>
        <w:t>componentes</w:t>
      </w:r>
      <w:r w:rsidR="00CF3971" w:rsidRPr="00AC4AEA">
        <w:rPr>
          <w:rFonts w:ascii="Arial" w:hAnsi="Arial" w:cs="Arial"/>
          <w:sz w:val="20"/>
          <w:szCs w:val="20"/>
        </w:rPr>
        <w:t xml:space="preserve"> </w:t>
      </w:r>
      <w:r w:rsidR="004720B2" w:rsidRPr="00AC4AEA">
        <w:rPr>
          <w:rFonts w:ascii="Arial" w:hAnsi="Arial" w:cs="Arial"/>
          <w:sz w:val="20"/>
          <w:szCs w:val="20"/>
        </w:rPr>
        <w:t>d</w:t>
      </w:r>
      <w:r w:rsidR="00CF3971" w:rsidRPr="00AC4AEA">
        <w:rPr>
          <w:rFonts w:ascii="Arial" w:hAnsi="Arial" w:cs="Arial"/>
          <w:sz w:val="20"/>
          <w:szCs w:val="20"/>
        </w:rPr>
        <w:t xml:space="preserve">el </w:t>
      </w:r>
      <w:r w:rsidR="00CF3971" w:rsidRPr="00AC4AEA">
        <w:rPr>
          <w:rFonts w:ascii="Arial" w:hAnsi="Arial" w:cs="Arial"/>
          <w:b/>
          <w:sz w:val="20"/>
          <w:szCs w:val="20"/>
        </w:rPr>
        <w:t xml:space="preserve">costo de adquisición </w:t>
      </w:r>
      <w:r w:rsidR="00CF3971" w:rsidRPr="00AC4AEA">
        <w:rPr>
          <w:rFonts w:ascii="Arial" w:hAnsi="Arial" w:cs="Arial"/>
          <w:sz w:val="20"/>
          <w:szCs w:val="20"/>
        </w:rPr>
        <w:t xml:space="preserve">[ver </w:t>
      </w:r>
      <w:r w:rsidR="005C3421" w:rsidRPr="00AC4AEA">
        <w:rPr>
          <w:rFonts w:ascii="Arial" w:hAnsi="Arial" w:cs="Arial"/>
          <w:sz w:val="20"/>
          <w:szCs w:val="20"/>
        </w:rPr>
        <w:t xml:space="preserve">el </w:t>
      </w:r>
      <w:r w:rsidR="00CF3971" w:rsidRPr="00AC4AEA">
        <w:rPr>
          <w:rFonts w:ascii="Arial" w:hAnsi="Arial" w:cs="Arial"/>
          <w:sz w:val="20"/>
          <w:szCs w:val="20"/>
        </w:rPr>
        <w:t xml:space="preserve">párrafo </w:t>
      </w:r>
      <w:fldSimple w:instr=" REF _Ref99478351 \r \h  \* MERGEFORMAT ">
        <w:r w:rsidR="00D33A5D" w:rsidRPr="00D33A5D">
          <w:rPr>
            <w:rFonts w:ascii="Arial" w:hAnsi="Arial" w:cs="Arial"/>
            <w:sz w:val="20"/>
            <w:szCs w:val="20"/>
          </w:rPr>
          <w:t>103</w:t>
        </w:r>
      </w:fldSimple>
      <w:r w:rsidR="005C3421" w:rsidRPr="00AC4AEA">
        <w:rPr>
          <w:rFonts w:ascii="Arial" w:hAnsi="Arial" w:cs="Arial"/>
          <w:sz w:val="20"/>
          <w:szCs w:val="20"/>
        </w:rPr>
        <w:t>]</w:t>
      </w:r>
      <w:r w:rsidR="00CF3971" w:rsidRPr="00AC4AEA">
        <w:rPr>
          <w:rFonts w:ascii="Arial" w:hAnsi="Arial" w:cs="Arial"/>
          <w:sz w:val="20"/>
          <w:szCs w:val="20"/>
        </w:rPr>
        <w:t xml:space="preserve">, </w:t>
      </w:r>
      <w:r w:rsidR="00A102B4" w:rsidRPr="00AC4AEA">
        <w:rPr>
          <w:rFonts w:ascii="Arial" w:hAnsi="Arial" w:cs="Arial"/>
          <w:sz w:val="20"/>
          <w:szCs w:val="20"/>
        </w:rPr>
        <w:t>expresando</w:t>
      </w:r>
      <w:r w:rsidR="00CF3971" w:rsidRPr="00AC4AEA">
        <w:rPr>
          <w:rFonts w:ascii="Arial" w:hAnsi="Arial" w:cs="Arial"/>
          <w:sz w:val="20"/>
          <w:szCs w:val="20"/>
        </w:rPr>
        <w:t xml:space="preserve"> cada uno de ellos en términos de su reposición, a la </w:t>
      </w:r>
      <w:r w:rsidR="00CF3971" w:rsidRPr="00AC4AEA">
        <w:rPr>
          <w:rFonts w:ascii="Arial" w:hAnsi="Arial" w:cs="Arial"/>
          <w:b/>
          <w:bCs/>
          <w:sz w:val="20"/>
          <w:szCs w:val="20"/>
        </w:rPr>
        <w:t xml:space="preserve">fecha de </w:t>
      </w:r>
      <w:r w:rsidR="00C95798" w:rsidRPr="00AC4AEA">
        <w:rPr>
          <w:rFonts w:ascii="Arial" w:hAnsi="Arial" w:cs="Arial"/>
          <w:b/>
          <w:bCs/>
          <w:sz w:val="20"/>
          <w:szCs w:val="20"/>
        </w:rPr>
        <w:t>la</w:t>
      </w:r>
      <w:r w:rsidR="00CF3971" w:rsidRPr="00AC4AEA">
        <w:rPr>
          <w:rFonts w:ascii="Arial" w:hAnsi="Arial" w:cs="Arial"/>
          <w:b/>
          <w:bCs/>
          <w:sz w:val="20"/>
          <w:szCs w:val="20"/>
        </w:rPr>
        <w:t xml:space="preserve"> medición</w:t>
      </w:r>
      <w:r w:rsidRPr="00AC4AEA">
        <w:rPr>
          <w:rFonts w:ascii="Arial" w:hAnsi="Arial" w:cs="Arial"/>
          <w:sz w:val="20"/>
          <w:szCs w:val="20"/>
        </w:rPr>
        <w:t>.</w:t>
      </w:r>
      <w:bookmarkEnd w:id="144"/>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el </w:t>
      </w:r>
      <w:r w:rsidRPr="00AC4AEA">
        <w:rPr>
          <w:rFonts w:ascii="Arial" w:hAnsi="Arial" w:cs="Arial"/>
          <w:b/>
          <w:bCs/>
          <w:sz w:val="20"/>
          <w:szCs w:val="20"/>
        </w:rPr>
        <w:t xml:space="preserve">costo de reproducción </w:t>
      </w:r>
      <w:r w:rsidR="000A124A" w:rsidRPr="00AC4AEA">
        <w:rPr>
          <w:rFonts w:ascii="Arial" w:hAnsi="Arial" w:cs="Arial"/>
          <w:b/>
          <w:bCs/>
          <w:sz w:val="20"/>
          <w:szCs w:val="20"/>
        </w:rPr>
        <w:t>y/</w:t>
      </w:r>
      <w:r w:rsidRPr="00AC4AEA">
        <w:rPr>
          <w:rFonts w:ascii="Arial" w:hAnsi="Arial" w:cs="Arial"/>
          <w:b/>
          <w:bCs/>
          <w:sz w:val="20"/>
          <w:szCs w:val="20"/>
        </w:rPr>
        <w:t>o reconstrucción</w:t>
      </w:r>
      <w:r w:rsidRPr="00AC4AEA">
        <w:rPr>
          <w:rFonts w:ascii="Arial" w:hAnsi="Arial" w:cs="Arial"/>
          <w:sz w:val="20"/>
          <w:szCs w:val="20"/>
        </w:rPr>
        <w:t xml:space="preserve"> </w:t>
      </w:r>
      <w:r w:rsidR="00C8151B" w:rsidRPr="00AC4AEA">
        <w:rPr>
          <w:rFonts w:ascii="Arial" w:hAnsi="Arial" w:cs="Arial"/>
          <w:sz w:val="20"/>
          <w:szCs w:val="20"/>
        </w:rPr>
        <w:t xml:space="preserve">acumulando todos los </w:t>
      </w:r>
      <w:r w:rsidR="004720B2" w:rsidRPr="00AC4AEA">
        <w:rPr>
          <w:rFonts w:ascii="Arial" w:hAnsi="Arial" w:cs="Arial"/>
          <w:sz w:val="20"/>
          <w:szCs w:val="20"/>
        </w:rPr>
        <w:t>componentes</w:t>
      </w:r>
      <w:r w:rsidR="00C8151B" w:rsidRPr="00AC4AEA">
        <w:rPr>
          <w:rFonts w:ascii="Arial" w:hAnsi="Arial" w:cs="Arial"/>
          <w:sz w:val="20"/>
          <w:szCs w:val="20"/>
        </w:rPr>
        <w:t xml:space="preserve"> </w:t>
      </w:r>
      <w:r w:rsidR="004720B2" w:rsidRPr="00AC4AEA">
        <w:rPr>
          <w:rFonts w:ascii="Arial" w:hAnsi="Arial" w:cs="Arial"/>
          <w:sz w:val="20"/>
          <w:szCs w:val="20"/>
        </w:rPr>
        <w:t>d</w:t>
      </w:r>
      <w:r w:rsidR="00C8151B" w:rsidRPr="00AC4AEA">
        <w:rPr>
          <w:rFonts w:ascii="Arial" w:hAnsi="Arial" w:cs="Arial"/>
          <w:sz w:val="20"/>
          <w:szCs w:val="20"/>
        </w:rPr>
        <w:t xml:space="preserve">el </w:t>
      </w:r>
      <w:r w:rsidR="00C8151B" w:rsidRPr="00AC4AEA">
        <w:rPr>
          <w:rFonts w:ascii="Arial" w:hAnsi="Arial" w:cs="Arial"/>
          <w:b/>
          <w:bCs/>
          <w:sz w:val="20"/>
          <w:szCs w:val="20"/>
        </w:rPr>
        <w:t>costo de producción</w:t>
      </w:r>
      <w:r w:rsidR="00C8151B" w:rsidRPr="00AC4AEA">
        <w:rPr>
          <w:rFonts w:ascii="Arial" w:hAnsi="Arial" w:cs="Arial"/>
          <w:sz w:val="20"/>
          <w:szCs w:val="20"/>
        </w:rPr>
        <w:t xml:space="preserve"> o </w:t>
      </w:r>
      <w:r w:rsidR="003268E4" w:rsidRPr="00AC4AEA">
        <w:rPr>
          <w:rFonts w:ascii="Arial" w:hAnsi="Arial" w:cs="Arial"/>
          <w:b/>
          <w:bCs/>
          <w:sz w:val="20"/>
          <w:szCs w:val="20"/>
        </w:rPr>
        <w:t xml:space="preserve">costo de </w:t>
      </w:r>
      <w:r w:rsidR="00C8151B" w:rsidRPr="00AC4AEA">
        <w:rPr>
          <w:rFonts w:ascii="Arial" w:hAnsi="Arial" w:cs="Arial"/>
          <w:b/>
          <w:bCs/>
          <w:sz w:val="20"/>
          <w:szCs w:val="20"/>
        </w:rPr>
        <w:t>construcción</w:t>
      </w:r>
      <w:r w:rsidR="00C8151B" w:rsidRPr="00AC4AEA">
        <w:rPr>
          <w:rFonts w:ascii="Arial" w:hAnsi="Arial" w:cs="Arial"/>
          <w:sz w:val="20"/>
          <w:szCs w:val="20"/>
        </w:rPr>
        <w:t xml:space="preserve"> de acuerdo con lo establecido en el apartado “</w:t>
      </w:r>
      <w:r w:rsidR="00C8151B" w:rsidRPr="00AC4AEA">
        <w:rPr>
          <w:rFonts w:ascii="Arial" w:hAnsi="Arial" w:cs="Arial"/>
          <w:sz w:val="20"/>
          <w:szCs w:val="20"/>
          <w:u w:val="single"/>
        </w:rPr>
        <w:t>Medición de</w:t>
      </w:r>
      <w:r w:rsidR="004C1F2C" w:rsidRPr="00AC4AEA">
        <w:rPr>
          <w:rFonts w:ascii="Arial" w:hAnsi="Arial" w:cs="Arial"/>
          <w:sz w:val="20"/>
          <w:szCs w:val="20"/>
          <w:u w:val="single"/>
        </w:rPr>
        <w:t>l</w:t>
      </w:r>
      <w:r w:rsidR="00C8151B" w:rsidRPr="00AC4AEA">
        <w:rPr>
          <w:rFonts w:ascii="Arial" w:hAnsi="Arial" w:cs="Arial"/>
          <w:sz w:val="20"/>
          <w:szCs w:val="20"/>
          <w:u w:val="single"/>
        </w:rPr>
        <w:t xml:space="preserve"> costo de producción o </w:t>
      </w:r>
      <w:r w:rsidR="004C1F2C" w:rsidRPr="00AC4AEA">
        <w:rPr>
          <w:rFonts w:ascii="Arial" w:hAnsi="Arial" w:cs="Arial"/>
          <w:sz w:val="20"/>
          <w:szCs w:val="20"/>
          <w:u w:val="single"/>
        </w:rPr>
        <w:t xml:space="preserve">del costo de </w:t>
      </w:r>
      <w:r w:rsidR="00C8151B" w:rsidRPr="00AC4AEA">
        <w:rPr>
          <w:rFonts w:ascii="Arial" w:hAnsi="Arial" w:cs="Arial"/>
          <w:sz w:val="20"/>
          <w:szCs w:val="20"/>
          <w:u w:val="single"/>
        </w:rPr>
        <w:t>construcción</w:t>
      </w:r>
      <w:r w:rsidR="00C8151B" w:rsidRPr="00AC4AEA">
        <w:rPr>
          <w:rFonts w:ascii="Arial" w:hAnsi="Arial" w:cs="Arial"/>
          <w:sz w:val="20"/>
          <w:szCs w:val="20"/>
        </w:rPr>
        <w:t xml:space="preserve">” [ver los párrafos </w:t>
      </w:r>
      <w:fldSimple w:instr=" REF _Ref99478357 \r \h  \* MERGEFORMAT ">
        <w:r w:rsidR="00D33A5D" w:rsidRPr="00D33A5D">
          <w:rPr>
            <w:rFonts w:ascii="Arial" w:hAnsi="Arial" w:cs="Arial"/>
            <w:sz w:val="20"/>
            <w:szCs w:val="20"/>
          </w:rPr>
          <w:t>104</w:t>
        </w:r>
      </w:fldSimple>
      <w:r w:rsidR="00C8151B"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00C8151B" w:rsidRPr="00AC4AEA">
        <w:rPr>
          <w:rFonts w:ascii="Arial" w:hAnsi="Arial" w:cs="Arial"/>
          <w:sz w:val="20"/>
          <w:szCs w:val="20"/>
        </w:rPr>
        <w:t xml:space="preserve">], </w:t>
      </w:r>
      <w:r w:rsidR="00A102B4" w:rsidRPr="00AC4AEA">
        <w:rPr>
          <w:rFonts w:ascii="Arial" w:hAnsi="Arial" w:cs="Arial"/>
          <w:sz w:val="20"/>
          <w:szCs w:val="20"/>
        </w:rPr>
        <w:t>expresando</w:t>
      </w:r>
      <w:r w:rsidR="00C8151B" w:rsidRPr="00AC4AEA">
        <w:rPr>
          <w:rFonts w:ascii="Arial" w:hAnsi="Arial" w:cs="Arial"/>
          <w:sz w:val="20"/>
          <w:szCs w:val="20"/>
        </w:rPr>
        <w:t xml:space="preserve"> cada uno de ellos en términos de su reposición, a la </w:t>
      </w:r>
      <w:r w:rsidR="00C8151B" w:rsidRPr="00AC4AEA">
        <w:rPr>
          <w:rFonts w:ascii="Arial" w:hAnsi="Arial" w:cs="Arial"/>
          <w:b/>
          <w:bCs/>
          <w:sz w:val="20"/>
          <w:szCs w:val="20"/>
        </w:rPr>
        <w:t>fecha de la medición</w:t>
      </w:r>
      <w:r w:rsidRPr="00AC4AEA">
        <w:rPr>
          <w:rFonts w:ascii="Arial" w:hAnsi="Arial" w:cs="Arial"/>
          <w:sz w:val="20"/>
          <w:szCs w:val="20"/>
        </w:rPr>
        <w:t>.</w:t>
      </w:r>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basará la medición de</w:t>
      </w:r>
      <w:r w:rsidR="00B34842" w:rsidRPr="00AC4AEA">
        <w:rPr>
          <w:rFonts w:ascii="Arial" w:hAnsi="Arial" w:cs="Arial"/>
          <w:sz w:val="20"/>
          <w:szCs w:val="20"/>
        </w:rPr>
        <w:t>l</w:t>
      </w:r>
      <w:r w:rsidRPr="00AC4AEA">
        <w:rPr>
          <w:rFonts w:ascii="Arial" w:hAnsi="Arial" w:cs="Arial"/>
          <w:sz w:val="20"/>
          <w:szCs w:val="20"/>
        </w:rPr>
        <w:t xml:space="preserve"> </w:t>
      </w:r>
      <w:r w:rsidRPr="00AC4AEA">
        <w:rPr>
          <w:rFonts w:ascii="Arial" w:hAnsi="Arial" w:cs="Arial"/>
          <w:b/>
          <w:bCs/>
          <w:sz w:val="20"/>
          <w:szCs w:val="20"/>
        </w:rPr>
        <w:t xml:space="preserve">costo de reposición, </w:t>
      </w:r>
      <w:r w:rsidR="00B34842" w:rsidRPr="00AC4AEA">
        <w:rPr>
          <w:rFonts w:ascii="Arial" w:hAnsi="Arial" w:cs="Arial"/>
          <w:sz w:val="20"/>
          <w:szCs w:val="20"/>
        </w:rPr>
        <w:t>o del</w:t>
      </w:r>
      <w:r w:rsidR="00B34842" w:rsidRPr="00AC4AEA">
        <w:rPr>
          <w:rFonts w:ascii="Arial" w:hAnsi="Arial" w:cs="Arial"/>
          <w:b/>
          <w:bCs/>
          <w:sz w:val="20"/>
          <w:szCs w:val="20"/>
        </w:rPr>
        <w:t xml:space="preserve"> costo de </w:t>
      </w:r>
      <w:r w:rsidRPr="00AC4AEA">
        <w:rPr>
          <w:rFonts w:ascii="Arial" w:hAnsi="Arial" w:cs="Arial"/>
          <w:b/>
          <w:bCs/>
          <w:sz w:val="20"/>
          <w:szCs w:val="20"/>
        </w:rPr>
        <w:t xml:space="preserve">reproducción </w:t>
      </w:r>
      <w:r w:rsidR="00B34842" w:rsidRPr="00AC4AEA">
        <w:rPr>
          <w:rFonts w:ascii="Arial" w:hAnsi="Arial" w:cs="Arial"/>
          <w:b/>
          <w:bCs/>
          <w:sz w:val="20"/>
          <w:szCs w:val="20"/>
        </w:rPr>
        <w:t>y/</w:t>
      </w:r>
      <w:r w:rsidRPr="00AC4AEA">
        <w:rPr>
          <w:rFonts w:ascii="Arial" w:hAnsi="Arial" w:cs="Arial"/>
          <w:b/>
          <w:bCs/>
          <w:sz w:val="20"/>
          <w:szCs w:val="20"/>
        </w:rPr>
        <w:t>o reconstrucción</w:t>
      </w:r>
      <w:r w:rsidRPr="00AC4AEA">
        <w:rPr>
          <w:rFonts w:ascii="Arial" w:hAnsi="Arial" w:cs="Arial"/>
          <w:sz w:val="20"/>
          <w:szCs w:val="20"/>
        </w:rPr>
        <w:t xml:space="preserve"> en precios correspondientes a:</w:t>
      </w:r>
    </w:p>
    <w:p w:rsidR="0090400F" w:rsidRPr="00AC4AEA" w:rsidRDefault="009C383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volúmenes </w:t>
      </w:r>
      <w:r w:rsidR="0090400F" w:rsidRPr="00AC4AEA">
        <w:rPr>
          <w:rFonts w:ascii="Arial" w:hAnsi="Arial" w:cs="Arial"/>
          <w:sz w:val="20"/>
          <w:szCs w:val="20"/>
        </w:rPr>
        <w:t xml:space="preserve">normales o habituales de adquisición, </w:t>
      </w:r>
      <w:r w:rsidR="000A4B06" w:rsidRPr="00AC4AEA">
        <w:rPr>
          <w:rFonts w:ascii="Arial" w:hAnsi="Arial" w:cs="Arial"/>
          <w:sz w:val="20"/>
          <w:szCs w:val="20"/>
        </w:rPr>
        <w:t xml:space="preserve">producción </w:t>
      </w:r>
      <w:r w:rsidR="0090400F" w:rsidRPr="00AC4AEA">
        <w:rPr>
          <w:rFonts w:ascii="Arial" w:hAnsi="Arial" w:cs="Arial"/>
          <w:sz w:val="20"/>
          <w:szCs w:val="20"/>
        </w:rPr>
        <w:t>o construcción, cuando se trate de operaciones repetitivas</w:t>
      </w:r>
      <w:r w:rsidRPr="00AC4AEA">
        <w:rPr>
          <w:rFonts w:ascii="Arial" w:hAnsi="Arial" w:cs="Arial"/>
          <w:sz w:val="20"/>
          <w:szCs w:val="20"/>
        </w:rPr>
        <w:t>;</w:t>
      </w:r>
      <w:r w:rsidR="0090400F" w:rsidRPr="00AC4AEA">
        <w:rPr>
          <w:rFonts w:ascii="Arial" w:hAnsi="Arial" w:cs="Arial"/>
          <w:sz w:val="20"/>
          <w:szCs w:val="20"/>
        </w:rPr>
        <w:t xml:space="preserve"> o</w:t>
      </w:r>
    </w:p>
    <w:p w:rsidR="0090400F" w:rsidRPr="00AC4AEA" w:rsidRDefault="009C383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volúmenes </w:t>
      </w:r>
      <w:r w:rsidR="0090400F" w:rsidRPr="00AC4AEA">
        <w:rPr>
          <w:rFonts w:ascii="Arial" w:hAnsi="Arial" w:cs="Arial"/>
          <w:sz w:val="20"/>
          <w:szCs w:val="20"/>
        </w:rPr>
        <w:t xml:space="preserve">similares a los adquiridos, </w:t>
      </w:r>
      <w:r w:rsidR="00EF010E" w:rsidRPr="00AC4AEA">
        <w:rPr>
          <w:rFonts w:ascii="Arial" w:hAnsi="Arial" w:cs="Arial"/>
          <w:sz w:val="20"/>
          <w:szCs w:val="20"/>
        </w:rPr>
        <w:t xml:space="preserve">producidos </w:t>
      </w:r>
      <w:r w:rsidR="0090400F" w:rsidRPr="00AC4AEA">
        <w:rPr>
          <w:rFonts w:ascii="Arial" w:hAnsi="Arial" w:cs="Arial"/>
          <w:sz w:val="20"/>
          <w:szCs w:val="20"/>
        </w:rPr>
        <w:t>o construidos, en los demás casos</w:t>
      </w:r>
      <w:r w:rsidR="00687284" w:rsidRPr="00AC4AEA">
        <w:rPr>
          <w:rFonts w:ascii="Arial" w:hAnsi="Arial" w:cs="Arial"/>
          <w:sz w:val="20"/>
          <w:szCs w:val="20"/>
        </w:rPr>
        <w:t>; y</w:t>
      </w:r>
    </w:p>
    <w:p w:rsidR="00641FC5" w:rsidRPr="00AC4AEA" w:rsidRDefault="0068728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condiciones </w:t>
      </w:r>
      <w:r w:rsidR="00C33BBE" w:rsidRPr="00AC4AEA">
        <w:rPr>
          <w:rFonts w:ascii="Arial" w:hAnsi="Arial" w:cs="Arial"/>
          <w:sz w:val="20"/>
          <w:szCs w:val="20"/>
        </w:rPr>
        <w:t xml:space="preserve">consistentes con la </w:t>
      </w:r>
      <w:r w:rsidR="00C33BBE" w:rsidRPr="00AC4AEA">
        <w:rPr>
          <w:rFonts w:ascii="Arial" w:hAnsi="Arial" w:cs="Arial"/>
          <w:b/>
          <w:bCs/>
          <w:sz w:val="20"/>
          <w:szCs w:val="20"/>
        </w:rPr>
        <w:t>política contable</w:t>
      </w:r>
      <w:r w:rsidR="00C33BBE" w:rsidRPr="00AC4AEA">
        <w:rPr>
          <w:rFonts w:ascii="Arial" w:hAnsi="Arial" w:cs="Arial"/>
          <w:sz w:val="20"/>
          <w:szCs w:val="20"/>
        </w:rPr>
        <w:t xml:space="preserve"> seleccionada por la entidad para aplicar lo establecido en el apartado “</w:t>
      </w:r>
      <w:r w:rsidR="00C33BBE" w:rsidRPr="00AC4AEA">
        <w:rPr>
          <w:rFonts w:ascii="Arial" w:hAnsi="Arial" w:cs="Arial"/>
          <w:sz w:val="20"/>
          <w:szCs w:val="20"/>
          <w:u w:val="single"/>
        </w:rPr>
        <w:t>Segregación de componentes financieros implícitos</w:t>
      </w:r>
      <w:r w:rsidR="00C33BBE"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00C33BBE"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00C33BBE" w:rsidRPr="00AC4AEA">
        <w:rPr>
          <w:rFonts w:ascii="Arial" w:hAnsi="Arial" w:cs="Arial"/>
          <w:sz w:val="20"/>
          <w:szCs w:val="20"/>
        </w:rPr>
        <w:t>]</w:t>
      </w:r>
      <w:r w:rsidR="00641FC5" w:rsidRPr="00AC4AEA">
        <w:rPr>
          <w:rFonts w:ascii="Arial" w:hAnsi="Arial" w:cs="Arial"/>
          <w:sz w:val="20"/>
          <w:szCs w:val="20"/>
        </w:rPr>
        <w:t>.</w:t>
      </w:r>
      <w:r w:rsidR="00C33BBE" w:rsidRPr="00AC4AEA">
        <w:rPr>
          <w:rFonts w:ascii="Arial" w:hAnsi="Arial" w:cs="Arial"/>
          <w:sz w:val="20"/>
          <w:szCs w:val="20"/>
        </w:rPr>
        <w:t xml:space="preserve"> </w:t>
      </w:r>
    </w:p>
    <w:tbl>
      <w:tblPr>
        <w:tblStyle w:val="Tablaconcuadrcula"/>
        <w:tblW w:w="8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
        <w:gridCol w:w="7751"/>
      </w:tblGrid>
      <w:tr w:rsidR="00E618EF" w:rsidRPr="00AC4AEA" w:rsidTr="00641FC5">
        <w:tc>
          <w:tcPr>
            <w:tcW w:w="724" w:type="dxa"/>
          </w:tcPr>
          <w:p w:rsidR="00641FC5" w:rsidRPr="00AC4AEA" w:rsidRDefault="00641FC5" w:rsidP="00A318EA">
            <w:pPr>
              <w:rPr>
                <w:rFonts w:ascii="Arial" w:hAnsi="Arial" w:cs="Arial"/>
                <w:sz w:val="20"/>
                <w:szCs w:val="20"/>
              </w:rPr>
            </w:pPr>
            <w:r w:rsidRPr="00AC4AEA">
              <w:rPr>
                <w:rFonts w:ascii="Arial" w:hAnsi="Arial" w:cs="Arial"/>
                <w:sz w:val="20"/>
                <w:szCs w:val="20"/>
              </w:rPr>
              <w:t>115A.</w:t>
            </w:r>
          </w:p>
        </w:tc>
        <w:tc>
          <w:tcPr>
            <w:tcW w:w="7766" w:type="dxa"/>
          </w:tcPr>
          <w:p w:rsidR="00641FC5" w:rsidRPr="00AC4AEA" w:rsidRDefault="00641FC5" w:rsidP="00A318EA">
            <w:pPr>
              <w:rPr>
                <w:rFonts w:ascii="Arial" w:hAnsi="Arial" w:cs="Arial"/>
                <w:sz w:val="20"/>
                <w:szCs w:val="20"/>
              </w:rPr>
            </w:pPr>
            <w:r w:rsidRPr="00AC4AEA">
              <w:rPr>
                <w:rFonts w:ascii="Arial" w:hAnsi="Arial" w:cs="Arial"/>
                <w:sz w:val="20"/>
                <w:szCs w:val="20"/>
              </w:rPr>
              <w:t xml:space="preserve">Una entidad obtendrá los precios, correspondientes a la </w:t>
            </w:r>
            <w:r w:rsidRPr="00A94103">
              <w:rPr>
                <w:rFonts w:ascii="Arial" w:hAnsi="Arial" w:cs="Arial"/>
                <w:b/>
                <w:bCs/>
                <w:sz w:val="20"/>
                <w:szCs w:val="20"/>
              </w:rPr>
              <w:t>fecha de la medición</w:t>
            </w:r>
            <w:r w:rsidRPr="00AC4AEA">
              <w:rPr>
                <w:rFonts w:ascii="Arial" w:hAnsi="Arial" w:cs="Arial"/>
                <w:sz w:val="20"/>
                <w:szCs w:val="20"/>
              </w:rPr>
              <w:t xml:space="preserve"> o a una fecha próxima a esta última, de fuentes directas y fiables, tales como las siguientes:</w:t>
            </w:r>
          </w:p>
        </w:tc>
      </w:tr>
    </w:tbl>
    <w:p w:rsidR="00641FC5" w:rsidRPr="00AC4AEA" w:rsidRDefault="00641FC5" w:rsidP="00C01B25">
      <w:pPr>
        <w:pStyle w:val="Prrafodelista"/>
        <w:numPr>
          <w:ilvl w:val="0"/>
          <w:numId w:val="467"/>
        </w:numPr>
        <w:ind w:left="1560"/>
        <w:contextualSpacing w:val="0"/>
        <w:jc w:val="both"/>
        <w:rPr>
          <w:rFonts w:ascii="Arial" w:hAnsi="Arial" w:cs="Arial"/>
          <w:sz w:val="20"/>
          <w:szCs w:val="20"/>
        </w:rPr>
      </w:pPr>
      <w:r w:rsidRPr="00AC4AEA">
        <w:rPr>
          <w:rFonts w:ascii="Arial" w:hAnsi="Arial" w:cs="Arial"/>
          <w:sz w:val="20"/>
          <w:szCs w:val="20"/>
        </w:rPr>
        <w:t>cotizaciones o listas de precios de proveedores;</w:t>
      </w:r>
    </w:p>
    <w:p w:rsidR="00641FC5" w:rsidRPr="00AC4AEA" w:rsidRDefault="00641FC5" w:rsidP="00C01B25">
      <w:pPr>
        <w:pStyle w:val="Prrafodelista"/>
        <w:numPr>
          <w:ilvl w:val="0"/>
          <w:numId w:val="467"/>
        </w:numPr>
        <w:ind w:left="1560"/>
        <w:contextualSpacing w:val="0"/>
        <w:jc w:val="both"/>
        <w:rPr>
          <w:rFonts w:ascii="Arial" w:hAnsi="Arial" w:cs="Arial"/>
          <w:sz w:val="20"/>
          <w:szCs w:val="20"/>
        </w:rPr>
      </w:pPr>
      <w:r w:rsidRPr="00AC4AEA">
        <w:rPr>
          <w:rFonts w:ascii="Arial" w:hAnsi="Arial" w:cs="Arial"/>
          <w:sz w:val="20"/>
          <w:szCs w:val="20"/>
        </w:rPr>
        <w:t xml:space="preserve">costos de adquisición y </w:t>
      </w:r>
      <w:r w:rsidRPr="00944C3E">
        <w:rPr>
          <w:rFonts w:ascii="Arial" w:hAnsi="Arial" w:cs="Arial"/>
          <w:b/>
          <w:bCs/>
          <w:sz w:val="20"/>
          <w:szCs w:val="20"/>
        </w:rPr>
        <w:t xml:space="preserve">costo de producción </w:t>
      </w:r>
      <w:r w:rsidRPr="00AC4AEA">
        <w:rPr>
          <w:rFonts w:ascii="Arial" w:hAnsi="Arial" w:cs="Arial"/>
          <w:sz w:val="20"/>
          <w:szCs w:val="20"/>
        </w:rPr>
        <w:t xml:space="preserve">o </w:t>
      </w:r>
      <w:r w:rsidRPr="00944C3E">
        <w:rPr>
          <w:rFonts w:ascii="Arial" w:hAnsi="Arial" w:cs="Arial"/>
          <w:b/>
          <w:bCs/>
          <w:sz w:val="20"/>
          <w:szCs w:val="20"/>
        </w:rPr>
        <w:t>costo de construcción</w:t>
      </w:r>
      <w:r w:rsidRPr="00AC4AEA">
        <w:rPr>
          <w:rFonts w:ascii="Arial" w:hAnsi="Arial" w:cs="Arial"/>
          <w:sz w:val="20"/>
          <w:szCs w:val="20"/>
        </w:rPr>
        <w:t xml:space="preserve"> reales;</w:t>
      </w:r>
    </w:p>
    <w:p w:rsidR="00641FC5" w:rsidRPr="00AC4AEA" w:rsidRDefault="00641FC5" w:rsidP="00C01B25">
      <w:pPr>
        <w:pStyle w:val="Prrafodelista"/>
        <w:numPr>
          <w:ilvl w:val="0"/>
          <w:numId w:val="467"/>
        </w:numPr>
        <w:ind w:left="1560"/>
        <w:contextualSpacing w:val="0"/>
        <w:jc w:val="both"/>
        <w:rPr>
          <w:rFonts w:ascii="Arial" w:hAnsi="Arial" w:cs="Arial"/>
          <w:sz w:val="20"/>
          <w:szCs w:val="20"/>
        </w:rPr>
      </w:pPr>
      <w:r w:rsidRPr="00AC4AEA">
        <w:rPr>
          <w:rFonts w:ascii="Arial" w:hAnsi="Arial" w:cs="Arial"/>
          <w:sz w:val="20"/>
          <w:szCs w:val="20"/>
        </w:rPr>
        <w:t>órdenes de compra colocadas y pendientes de recepción; o</w:t>
      </w:r>
    </w:p>
    <w:p w:rsidR="0090400F" w:rsidRPr="00AC4AEA" w:rsidRDefault="00641FC5" w:rsidP="00C01B25">
      <w:pPr>
        <w:pStyle w:val="Prrafodelista"/>
        <w:numPr>
          <w:ilvl w:val="0"/>
          <w:numId w:val="467"/>
        </w:numPr>
        <w:ind w:left="1560"/>
        <w:contextualSpacing w:val="0"/>
        <w:jc w:val="both"/>
        <w:rPr>
          <w:rFonts w:ascii="Arial" w:hAnsi="Arial" w:cs="Arial"/>
          <w:sz w:val="20"/>
          <w:szCs w:val="20"/>
        </w:rPr>
      </w:pPr>
      <w:r w:rsidRPr="00AC4AEA">
        <w:rPr>
          <w:rFonts w:ascii="Arial" w:hAnsi="Arial" w:cs="Arial"/>
          <w:sz w:val="20"/>
          <w:szCs w:val="20"/>
        </w:rPr>
        <w:lastRenderedPageBreak/>
        <w:t>cotizaciones que resulten de la oferta y la demanda en mercados públicos o privados, publicadas en boletines, periódicos, revistas o medios digitales.</w:t>
      </w:r>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no pueda obtener los precios de fuentes directas y </w:t>
      </w:r>
      <w:r w:rsidR="00580C21" w:rsidRPr="00AC4AEA">
        <w:rPr>
          <w:rFonts w:ascii="Arial" w:hAnsi="Arial" w:cs="Arial"/>
          <w:sz w:val="20"/>
          <w:szCs w:val="20"/>
        </w:rPr>
        <w:t>con</w:t>
      </w:r>
      <w:r w:rsidRPr="00AC4AEA">
        <w:rPr>
          <w:rFonts w:ascii="Arial" w:hAnsi="Arial" w:cs="Arial"/>
          <w:sz w:val="20"/>
          <w:szCs w:val="20"/>
        </w:rPr>
        <w:t>fiables, una entidad podrá emplear aproximaciones basadas en:</w:t>
      </w:r>
    </w:p>
    <w:p w:rsidR="0090400F" w:rsidRPr="00AC4AEA" w:rsidRDefault="0061557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índices </w:t>
      </w:r>
      <w:r w:rsidR="0090400F" w:rsidRPr="00AC4AEA">
        <w:rPr>
          <w:rFonts w:ascii="Arial" w:hAnsi="Arial" w:cs="Arial"/>
          <w:sz w:val="20"/>
          <w:szCs w:val="20"/>
        </w:rPr>
        <w:t>de precios específicos correspondientes a los componentes del costo</w:t>
      </w:r>
      <w:r w:rsidR="000717F7" w:rsidRPr="00AC4AEA">
        <w:rPr>
          <w:rFonts w:ascii="Arial" w:hAnsi="Arial" w:cs="Arial"/>
          <w:sz w:val="20"/>
          <w:szCs w:val="20"/>
        </w:rPr>
        <w:t>;</w:t>
      </w:r>
    </w:p>
    <w:p w:rsidR="0090400F" w:rsidRPr="00AC4AEA" w:rsidRDefault="0061557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presupuestos </w:t>
      </w:r>
      <w:r w:rsidR="0090400F" w:rsidRPr="00AC4AEA">
        <w:rPr>
          <w:rFonts w:ascii="Arial" w:hAnsi="Arial" w:cs="Arial"/>
          <w:sz w:val="20"/>
          <w:szCs w:val="20"/>
        </w:rPr>
        <w:t>actualizados de costos</w:t>
      </w:r>
      <w:r w:rsidRPr="00AC4AEA">
        <w:rPr>
          <w:rFonts w:ascii="Arial" w:hAnsi="Arial" w:cs="Arial"/>
          <w:sz w:val="20"/>
          <w:szCs w:val="20"/>
        </w:rPr>
        <w:t>;</w:t>
      </w:r>
      <w:r w:rsidR="000717F7" w:rsidRPr="00AC4AEA">
        <w:rPr>
          <w:rFonts w:ascii="Arial" w:hAnsi="Arial" w:cs="Arial"/>
          <w:sz w:val="20"/>
          <w:szCs w:val="20"/>
        </w:rPr>
        <w:t xml:space="preserve"> o</w:t>
      </w:r>
    </w:p>
    <w:p w:rsidR="0090400F" w:rsidRPr="00AC4AEA" w:rsidRDefault="0061557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tasaciones </w:t>
      </w:r>
      <w:r w:rsidR="0090400F" w:rsidRPr="00AC4AEA">
        <w:rPr>
          <w:rFonts w:ascii="Arial" w:hAnsi="Arial" w:cs="Arial"/>
          <w:sz w:val="20"/>
          <w:szCs w:val="20"/>
        </w:rPr>
        <w:t>de peritos independientes.</w:t>
      </w:r>
    </w:p>
    <w:p w:rsidR="00EE49CA" w:rsidRPr="00AC4AEA" w:rsidRDefault="00EE49CA" w:rsidP="00A318EA">
      <w:pPr>
        <w:ind w:firstLine="360"/>
        <w:jc w:val="both"/>
        <w:rPr>
          <w:rFonts w:ascii="Arial" w:hAnsi="Arial" w:cs="Arial"/>
          <w:b/>
          <w:bCs/>
          <w:sz w:val="20"/>
          <w:szCs w:val="20"/>
        </w:rPr>
      </w:pPr>
    </w:p>
    <w:p w:rsidR="0090400F" w:rsidRPr="00AC4AEA" w:rsidRDefault="00232C59" w:rsidP="00A318EA">
      <w:pPr>
        <w:pStyle w:val="Ttulo2"/>
        <w:rPr>
          <w:rFonts w:cs="Arial"/>
        </w:rPr>
      </w:pPr>
      <w:bookmarkStart w:id="145" w:name="_Toc101863744"/>
      <w:bookmarkStart w:id="146" w:name="_Toc139356607"/>
      <w:r w:rsidRPr="00AC4AEA">
        <w:rPr>
          <w:rFonts w:cs="Arial"/>
        </w:rPr>
        <w:t>M</w:t>
      </w:r>
      <w:r w:rsidR="0090400F" w:rsidRPr="00AC4AEA">
        <w:rPr>
          <w:rFonts w:cs="Arial"/>
        </w:rPr>
        <w:t>edición del valor razonable</w:t>
      </w:r>
      <w:bookmarkEnd w:id="145"/>
      <w:bookmarkEnd w:id="146"/>
    </w:p>
    <w:p w:rsidR="00A47590" w:rsidRPr="00AC4AEA" w:rsidRDefault="00A47590" w:rsidP="00E61B66">
      <w:pPr>
        <w:pStyle w:val="Ttulo3"/>
      </w:pPr>
      <w:bookmarkStart w:id="147" w:name="_Toc139356608"/>
      <w:r w:rsidRPr="00AC4AEA">
        <w:t>Consideraciones generales</w:t>
      </w:r>
      <w:bookmarkEnd w:id="147"/>
    </w:p>
    <w:p w:rsidR="0090400F" w:rsidRPr="00AC4AEA" w:rsidRDefault="0090400F" w:rsidP="00A318EA">
      <w:pPr>
        <w:pStyle w:val="Prrafodelista"/>
        <w:numPr>
          <w:ilvl w:val="0"/>
          <w:numId w:val="29"/>
        </w:numPr>
        <w:contextualSpacing w:val="0"/>
        <w:jc w:val="both"/>
        <w:rPr>
          <w:rFonts w:ascii="Arial" w:hAnsi="Arial" w:cs="Arial"/>
          <w:sz w:val="20"/>
          <w:szCs w:val="20"/>
        </w:rPr>
      </w:pPr>
      <w:bookmarkStart w:id="148" w:name="_Ref99459999"/>
      <w:r w:rsidRPr="00AC4AEA">
        <w:rPr>
          <w:rFonts w:ascii="Arial" w:hAnsi="Arial" w:cs="Arial"/>
          <w:sz w:val="20"/>
          <w:szCs w:val="20"/>
        </w:rPr>
        <w:t xml:space="preserve">Una entidad </w:t>
      </w:r>
      <w:r w:rsidR="007D49CD" w:rsidRPr="00AC4AEA">
        <w:rPr>
          <w:rFonts w:ascii="Arial" w:hAnsi="Arial" w:cs="Arial"/>
          <w:sz w:val="20"/>
          <w:szCs w:val="20"/>
        </w:rPr>
        <w:t xml:space="preserve">estimará </w:t>
      </w:r>
      <w:r w:rsidRPr="00AC4AEA">
        <w:rPr>
          <w:rFonts w:ascii="Arial" w:hAnsi="Arial" w:cs="Arial"/>
          <w:sz w:val="20"/>
          <w:szCs w:val="20"/>
        </w:rPr>
        <w:t xml:space="preserve">el </w:t>
      </w:r>
      <w:r w:rsidRPr="00AC4AEA">
        <w:rPr>
          <w:rFonts w:ascii="Arial" w:hAnsi="Arial" w:cs="Arial"/>
          <w:b/>
          <w:sz w:val="20"/>
          <w:szCs w:val="20"/>
        </w:rPr>
        <w:t>valor razonable</w:t>
      </w:r>
      <w:r w:rsidRPr="00AC4AEA">
        <w:rPr>
          <w:rFonts w:ascii="Arial" w:hAnsi="Arial" w:cs="Arial"/>
          <w:sz w:val="20"/>
          <w:szCs w:val="20"/>
        </w:rPr>
        <w:t xml:space="preserve"> en función de precios que</w:t>
      </w:r>
      <w:r w:rsidR="008F0875" w:rsidRPr="00AC4AEA">
        <w:rPr>
          <w:rFonts w:ascii="Arial" w:hAnsi="Arial" w:cs="Arial"/>
          <w:sz w:val="20"/>
          <w:szCs w:val="20"/>
        </w:rPr>
        <w:t>, en la</w:t>
      </w:r>
      <w:r w:rsidR="008F0875" w:rsidRPr="00AC4AEA">
        <w:rPr>
          <w:rFonts w:ascii="Arial" w:hAnsi="Arial" w:cs="Arial"/>
          <w:b/>
          <w:bCs/>
          <w:sz w:val="20"/>
          <w:szCs w:val="20"/>
        </w:rPr>
        <w:t xml:space="preserve"> fecha de la medición</w:t>
      </w:r>
      <w:r w:rsidRPr="00AC4AEA">
        <w:rPr>
          <w:rFonts w:ascii="Arial" w:hAnsi="Arial" w:cs="Arial"/>
          <w:sz w:val="20"/>
          <w:szCs w:val="20"/>
        </w:rPr>
        <w:t>:</w:t>
      </w:r>
      <w:bookmarkEnd w:id="148"/>
    </w:p>
    <w:p w:rsidR="000811E1" w:rsidRPr="00AC4AEA" w:rsidRDefault="000811E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s</w:t>
      </w:r>
      <w:r w:rsidR="0090400F" w:rsidRPr="00AC4AEA">
        <w:rPr>
          <w:rFonts w:ascii="Arial" w:hAnsi="Arial" w:cs="Arial"/>
          <w:sz w:val="20"/>
          <w:szCs w:val="20"/>
        </w:rPr>
        <w:t>e</w:t>
      </w:r>
      <w:r w:rsidR="00076085" w:rsidRPr="00AC4AEA">
        <w:rPr>
          <w:rFonts w:ascii="Arial" w:hAnsi="Arial" w:cs="Arial"/>
          <w:sz w:val="20"/>
          <w:szCs w:val="20"/>
        </w:rPr>
        <w:t>an</w:t>
      </w:r>
      <w:r w:rsidRPr="00AC4AEA">
        <w:rPr>
          <w:rFonts w:ascii="Arial" w:hAnsi="Arial" w:cs="Arial"/>
          <w:sz w:val="20"/>
          <w:szCs w:val="20"/>
        </w:rPr>
        <w:t>:</w:t>
      </w:r>
      <w:r w:rsidR="0090400F" w:rsidRPr="00AC4AEA">
        <w:rPr>
          <w:rFonts w:ascii="Arial" w:hAnsi="Arial" w:cs="Arial"/>
          <w:sz w:val="20"/>
          <w:szCs w:val="20"/>
        </w:rPr>
        <w:t xml:space="preserve"> </w:t>
      </w:r>
    </w:p>
    <w:p w:rsidR="0090400F" w:rsidRPr="00AC4AEA" w:rsidRDefault="0090400F" w:rsidP="00A318EA">
      <w:pPr>
        <w:pStyle w:val="Prrafodelista"/>
        <w:numPr>
          <w:ilvl w:val="2"/>
          <w:numId w:val="29"/>
        </w:numPr>
        <w:contextualSpacing w:val="0"/>
        <w:jc w:val="both"/>
        <w:rPr>
          <w:rFonts w:ascii="Arial" w:hAnsi="Arial" w:cs="Arial"/>
          <w:sz w:val="20"/>
          <w:szCs w:val="20"/>
        </w:rPr>
      </w:pPr>
      <w:r w:rsidRPr="00AC4AEA">
        <w:rPr>
          <w:rFonts w:ascii="Arial" w:hAnsi="Arial" w:cs="Arial"/>
          <w:sz w:val="20"/>
          <w:szCs w:val="20"/>
        </w:rPr>
        <w:t xml:space="preserve">observables directamente en el </w:t>
      </w:r>
      <w:r w:rsidRPr="00AC4AEA">
        <w:rPr>
          <w:rFonts w:ascii="Arial" w:hAnsi="Arial" w:cs="Arial"/>
          <w:b/>
          <w:bCs/>
          <w:sz w:val="20"/>
          <w:szCs w:val="20"/>
        </w:rPr>
        <w:t>mercado principal</w:t>
      </w:r>
      <w:r w:rsidRPr="00AC4AEA">
        <w:rPr>
          <w:rFonts w:ascii="Arial" w:hAnsi="Arial" w:cs="Arial"/>
          <w:sz w:val="20"/>
          <w:szCs w:val="20"/>
        </w:rPr>
        <w:t xml:space="preserve"> o, </w:t>
      </w:r>
      <w:r w:rsidR="004E2161" w:rsidRPr="00AC4AEA">
        <w:rPr>
          <w:rFonts w:ascii="Arial" w:hAnsi="Arial" w:cs="Arial"/>
          <w:sz w:val="20"/>
          <w:szCs w:val="20"/>
        </w:rPr>
        <w:t xml:space="preserve">si </w:t>
      </w:r>
      <w:r w:rsidR="00151192" w:rsidRPr="00AC4AEA">
        <w:rPr>
          <w:rFonts w:ascii="Arial" w:hAnsi="Arial" w:cs="Arial"/>
          <w:sz w:val="20"/>
          <w:szCs w:val="20"/>
        </w:rPr>
        <w:t>e</w:t>
      </w:r>
      <w:r w:rsidR="004E2161" w:rsidRPr="00AC4AEA">
        <w:rPr>
          <w:rFonts w:ascii="Arial" w:hAnsi="Arial" w:cs="Arial"/>
          <w:sz w:val="20"/>
          <w:szCs w:val="20"/>
        </w:rPr>
        <w:t>ste no existiera</w:t>
      </w:r>
      <w:r w:rsidR="00580C21" w:rsidRPr="00AC4AEA">
        <w:rPr>
          <w:rFonts w:ascii="Arial" w:hAnsi="Arial" w:cs="Arial"/>
          <w:sz w:val="20"/>
          <w:szCs w:val="20"/>
        </w:rPr>
        <w:t>,</w:t>
      </w:r>
      <w:r w:rsidRPr="00AC4AEA">
        <w:rPr>
          <w:rFonts w:ascii="Arial" w:hAnsi="Arial" w:cs="Arial"/>
          <w:sz w:val="20"/>
          <w:szCs w:val="20"/>
        </w:rPr>
        <w:t xml:space="preserve"> en el</w:t>
      </w:r>
      <w:r w:rsidR="001B7E9C" w:rsidRPr="00AC4AEA">
        <w:rPr>
          <w:rFonts w:ascii="Arial" w:hAnsi="Arial" w:cs="Arial"/>
          <w:sz w:val="20"/>
          <w:szCs w:val="20"/>
        </w:rPr>
        <w:t xml:space="preserve"> </w:t>
      </w:r>
      <w:r w:rsidR="001B7E9C" w:rsidRPr="00AC4AEA">
        <w:rPr>
          <w:rFonts w:ascii="Arial" w:hAnsi="Arial" w:cs="Arial"/>
          <w:b/>
          <w:bCs/>
          <w:sz w:val="20"/>
          <w:szCs w:val="20"/>
        </w:rPr>
        <w:t>mercado más</w:t>
      </w:r>
      <w:r w:rsidRPr="00AC4AEA">
        <w:rPr>
          <w:rFonts w:ascii="Arial" w:hAnsi="Arial" w:cs="Arial"/>
          <w:b/>
          <w:bCs/>
          <w:sz w:val="20"/>
          <w:szCs w:val="20"/>
        </w:rPr>
        <w:t xml:space="preserve"> ventajoso</w:t>
      </w:r>
      <w:r w:rsidR="0005129D" w:rsidRPr="00AC4AEA">
        <w:rPr>
          <w:rFonts w:ascii="Arial" w:hAnsi="Arial" w:cs="Arial"/>
          <w:sz w:val="20"/>
          <w:szCs w:val="20"/>
        </w:rPr>
        <w:t>;</w:t>
      </w:r>
      <w:r w:rsidR="000B51E5" w:rsidRPr="00AC4AEA">
        <w:rPr>
          <w:rFonts w:ascii="Arial" w:hAnsi="Arial" w:cs="Arial"/>
          <w:sz w:val="20"/>
          <w:szCs w:val="20"/>
        </w:rPr>
        <w:t xml:space="preserve"> o</w:t>
      </w:r>
    </w:p>
    <w:p w:rsidR="007C4C78" w:rsidRPr="00AC4AEA" w:rsidRDefault="00747DA6" w:rsidP="00A318EA">
      <w:pPr>
        <w:pStyle w:val="Prrafodelista"/>
        <w:numPr>
          <w:ilvl w:val="2"/>
          <w:numId w:val="29"/>
        </w:numPr>
        <w:contextualSpacing w:val="0"/>
        <w:jc w:val="both"/>
        <w:rPr>
          <w:rFonts w:ascii="Arial" w:hAnsi="Arial" w:cs="Arial"/>
          <w:sz w:val="20"/>
          <w:szCs w:val="20"/>
        </w:rPr>
      </w:pPr>
      <w:r w:rsidRPr="00AC4AEA">
        <w:rPr>
          <w:rFonts w:ascii="Arial" w:hAnsi="Arial" w:cs="Arial"/>
          <w:sz w:val="20"/>
          <w:szCs w:val="20"/>
        </w:rPr>
        <w:t>estimados</w:t>
      </w:r>
      <w:r w:rsidR="00E3436B" w:rsidRPr="00AC4AEA">
        <w:rPr>
          <w:rFonts w:ascii="Arial" w:hAnsi="Arial" w:cs="Arial"/>
          <w:sz w:val="20"/>
          <w:szCs w:val="20"/>
        </w:rPr>
        <w:t xml:space="preserve"> mediante</w:t>
      </w:r>
      <w:r w:rsidRPr="00AC4AEA">
        <w:rPr>
          <w:rFonts w:ascii="Arial" w:hAnsi="Arial" w:cs="Arial"/>
          <w:sz w:val="20"/>
          <w:szCs w:val="20"/>
        </w:rPr>
        <w:t xml:space="preserve"> técnica</w:t>
      </w:r>
      <w:r w:rsidR="00E3436B" w:rsidRPr="00AC4AEA">
        <w:rPr>
          <w:rFonts w:ascii="Arial" w:hAnsi="Arial" w:cs="Arial"/>
          <w:sz w:val="20"/>
          <w:szCs w:val="20"/>
        </w:rPr>
        <w:t>s</w:t>
      </w:r>
      <w:r w:rsidRPr="00AC4AEA">
        <w:rPr>
          <w:rFonts w:ascii="Arial" w:hAnsi="Arial" w:cs="Arial"/>
          <w:sz w:val="20"/>
          <w:szCs w:val="20"/>
        </w:rPr>
        <w:t xml:space="preserve"> de valuación, </w:t>
      </w:r>
      <w:r w:rsidR="00492972" w:rsidRPr="00AC4AEA">
        <w:rPr>
          <w:rFonts w:ascii="Arial" w:hAnsi="Arial" w:cs="Arial"/>
          <w:sz w:val="20"/>
          <w:szCs w:val="20"/>
        </w:rPr>
        <w:t xml:space="preserve">cuando no puedan </w:t>
      </w:r>
      <w:r w:rsidR="000B51E5" w:rsidRPr="00AC4AEA">
        <w:rPr>
          <w:rFonts w:ascii="Arial" w:hAnsi="Arial" w:cs="Arial"/>
          <w:sz w:val="20"/>
          <w:szCs w:val="20"/>
        </w:rPr>
        <w:t>estimarse aplicando el inciso inmediato anterior; y</w:t>
      </w:r>
    </w:p>
    <w:p w:rsidR="0090400F" w:rsidRPr="00AC4AEA" w:rsidRDefault="00AC3BC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consideren</w:t>
      </w:r>
      <w:r w:rsidR="0090400F" w:rsidRPr="00AC4AEA">
        <w:rPr>
          <w:rFonts w:ascii="Arial" w:hAnsi="Arial" w:cs="Arial"/>
          <w:sz w:val="20"/>
          <w:szCs w:val="20"/>
        </w:rPr>
        <w:t xml:space="preserve"> las características y condición actual</w:t>
      </w:r>
      <w:r w:rsidRPr="00AC4AEA">
        <w:rPr>
          <w:rFonts w:ascii="Arial" w:hAnsi="Arial" w:cs="Arial"/>
          <w:sz w:val="20"/>
          <w:szCs w:val="20"/>
        </w:rPr>
        <w:t>es</w:t>
      </w:r>
      <w:r w:rsidR="0090400F" w:rsidRPr="00AC4AEA">
        <w:rPr>
          <w:rFonts w:ascii="Arial" w:hAnsi="Arial" w:cs="Arial"/>
          <w:sz w:val="20"/>
          <w:szCs w:val="20"/>
        </w:rPr>
        <w:t xml:space="preserve"> del</w:t>
      </w:r>
      <w:r w:rsidR="00004B9C" w:rsidRPr="00AC4AEA">
        <w:rPr>
          <w:rFonts w:ascii="Arial" w:hAnsi="Arial" w:cs="Arial"/>
          <w:sz w:val="20"/>
          <w:szCs w:val="20"/>
        </w:rPr>
        <w:t xml:space="preserve"> elemento</w:t>
      </w:r>
      <w:r w:rsidR="0090400F" w:rsidRPr="00AC4AEA">
        <w:rPr>
          <w:rFonts w:ascii="Arial" w:hAnsi="Arial" w:cs="Arial"/>
          <w:sz w:val="20"/>
          <w:szCs w:val="20"/>
        </w:rPr>
        <w:t xml:space="preserve"> </w:t>
      </w:r>
      <w:r w:rsidR="00004B9C" w:rsidRPr="00AC4AEA">
        <w:rPr>
          <w:rFonts w:ascii="Arial" w:hAnsi="Arial" w:cs="Arial"/>
          <w:sz w:val="20"/>
          <w:szCs w:val="20"/>
        </w:rPr>
        <w:t>(</w:t>
      </w:r>
      <w:r w:rsidR="0090400F" w:rsidRPr="00AC4AEA">
        <w:rPr>
          <w:rFonts w:ascii="Arial" w:hAnsi="Arial" w:cs="Arial"/>
          <w:b/>
          <w:bCs/>
          <w:sz w:val="20"/>
          <w:szCs w:val="20"/>
        </w:rPr>
        <w:t>activo</w:t>
      </w:r>
      <w:r w:rsidR="00004B9C" w:rsidRPr="00AC4AEA">
        <w:rPr>
          <w:rFonts w:ascii="Arial" w:hAnsi="Arial" w:cs="Arial"/>
          <w:sz w:val="20"/>
          <w:szCs w:val="20"/>
        </w:rPr>
        <w:t>,</w:t>
      </w:r>
      <w:r w:rsidR="0090400F" w:rsidRPr="00AC4AEA">
        <w:rPr>
          <w:rFonts w:ascii="Arial" w:hAnsi="Arial" w:cs="Arial"/>
          <w:sz w:val="20"/>
          <w:szCs w:val="20"/>
        </w:rPr>
        <w:t xml:space="preserve"> </w:t>
      </w:r>
      <w:r w:rsidR="0090400F" w:rsidRPr="00AC4AEA">
        <w:rPr>
          <w:rFonts w:ascii="Arial" w:hAnsi="Arial" w:cs="Arial"/>
          <w:b/>
          <w:bCs/>
          <w:sz w:val="20"/>
          <w:szCs w:val="20"/>
        </w:rPr>
        <w:t>pasivo</w:t>
      </w:r>
      <w:r w:rsidR="0090400F" w:rsidRPr="00AC4AEA">
        <w:rPr>
          <w:rFonts w:ascii="Arial" w:hAnsi="Arial" w:cs="Arial"/>
          <w:sz w:val="20"/>
          <w:szCs w:val="20"/>
        </w:rPr>
        <w:t xml:space="preserve"> </w:t>
      </w:r>
      <w:r w:rsidR="007D49CD" w:rsidRPr="00AC4AEA">
        <w:rPr>
          <w:rFonts w:ascii="Arial" w:hAnsi="Arial" w:cs="Arial"/>
          <w:sz w:val="20"/>
          <w:szCs w:val="20"/>
        </w:rPr>
        <w:t xml:space="preserve">o </w:t>
      </w:r>
      <w:r w:rsidR="007D49CD" w:rsidRPr="00AC4AEA">
        <w:rPr>
          <w:rFonts w:ascii="Arial" w:hAnsi="Arial" w:cs="Arial"/>
          <w:b/>
          <w:bCs/>
          <w:sz w:val="20"/>
          <w:szCs w:val="20"/>
        </w:rPr>
        <w:t>patrimonio neto</w:t>
      </w:r>
      <w:r w:rsidR="00004B9C" w:rsidRPr="00AC4AEA">
        <w:rPr>
          <w:rFonts w:ascii="Arial" w:hAnsi="Arial" w:cs="Arial"/>
          <w:b/>
          <w:bCs/>
          <w:sz w:val="20"/>
          <w:szCs w:val="20"/>
        </w:rPr>
        <w:t>)</w:t>
      </w:r>
      <w:r w:rsidR="007D49CD" w:rsidRPr="00AC4AEA">
        <w:rPr>
          <w:rFonts w:ascii="Arial" w:hAnsi="Arial" w:cs="Arial"/>
          <w:sz w:val="20"/>
          <w:szCs w:val="20"/>
        </w:rPr>
        <w:t xml:space="preserve"> </w:t>
      </w:r>
      <w:r w:rsidR="0090400F" w:rsidRPr="00AC4AEA">
        <w:rPr>
          <w:rFonts w:ascii="Arial" w:hAnsi="Arial" w:cs="Arial"/>
          <w:sz w:val="20"/>
          <w:szCs w:val="20"/>
        </w:rPr>
        <w:t>sujeto a medición.</w:t>
      </w:r>
    </w:p>
    <w:p w:rsidR="00234B1D" w:rsidRPr="00AC4AEA" w:rsidRDefault="00E4292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seleccionará un </w:t>
      </w:r>
      <w:r w:rsidRPr="00AC4AEA">
        <w:rPr>
          <w:rFonts w:ascii="Arial" w:hAnsi="Arial" w:cs="Arial"/>
          <w:b/>
          <w:bCs/>
          <w:sz w:val="20"/>
          <w:szCs w:val="20"/>
        </w:rPr>
        <w:t xml:space="preserve">mercado principal, </w:t>
      </w:r>
      <w:r w:rsidRPr="00AC4AEA">
        <w:rPr>
          <w:rFonts w:ascii="Arial" w:hAnsi="Arial" w:cs="Arial"/>
          <w:sz w:val="20"/>
          <w:szCs w:val="20"/>
        </w:rPr>
        <w:t xml:space="preserve">o un </w:t>
      </w:r>
      <w:r w:rsidRPr="00AC4AEA">
        <w:rPr>
          <w:rFonts w:ascii="Arial" w:hAnsi="Arial" w:cs="Arial"/>
          <w:b/>
          <w:bCs/>
          <w:sz w:val="20"/>
          <w:szCs w:val="20"/>
        </w:rPr>
        <w:t xml:space="preserve">mercado más ventajoso, </w:t>
      </w:r>
      <w:r w:rsidRPr="00AC4AEA">
        <w:rPr>
          <w:rFonts w:ascii="Arial" w:hAnsi="Arial" w:cs="Arial"/>
          <w:sz w:val="20"/>
          <w:szCs w:val="20"/>
        </w:rPr>
        <w:t>siempre que</w:t>
      </w:r>
      <w:r w:rsidR="008F0875" w:rsidRPr="00AC4AEA">
        <w:rPr>
          <w:rFonts w:ascii="Arial" w:hAnsi="Arial" w:cs="Arial"/>
          <w:sz w:val="20"/>
          <w:szCs w:val="20"/>
        </w:rPr>
        <w:t>, en la</w:t>
      </w:r>
      <w:r w:rsidR="008F0875" w:rsidRPr="00AC4AEA">
        <w:rPr>
          <w:rFonts w:ascii="Arial" w:hAnsi="Arial" w:cs="Arial"/>
          <w:b/>
          <w:bCs/>
          <w:sz w:val="20"/>
          <w:szCs w:val="20"/>
        </w:rPr>
        <w:t xml:space="preserve"> fecha de la medición</w:t>
      </w:r>
      <w:r w:rsidRPr="00AC4AEA">
        <w:rPr>
          <w:rFonts w:ascii="Arial" w:hAnsi="Arial" w:cs="Arial"/>
          <w:sz w:val="20"/>
          <w:szCs w:val="20"/>
        </w:rPr>
        <w:t xml:space="preserve">: </w:t>
      </w:r>
    </w:p>
    <w:p w:rsidR="00E4292E" w:rsidRPr="00AC4AEA" w:rsidRDefault="00E4292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pueda acceder en forma regular a él (incluso si habitualmente no opera dentro de su ámbito); y</w:t>
      </w:r>
    </w:p>
    <w:p w:rsidR="00234B1D" w:rsidRPr="00AC4AEA" w:rsidRDefault="00E4292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dicho mercado oper</w:t>
      </w:r>
      <w:r w:rsidR="0061148D" w:rsidRPr="00AC4AEA">
        <w:rPr>
          <w:rFonts w:ascii="Arial" w:hAnsi="Arial" w:cs="Arial"/>
          <w:sz w:val="20"/>
          <w:szCs w:val="20"/>
        </w:rPr>
        <w:t>e</w:t>
      </w:r>
      <w:r w:rsidRPr="00AC4AEA">
        <w:rPr>
          <w:rFonts w:ascii="Arial" w:hAnsi="Arial" w:cs="Arial"/>
          <w:sz w:val="20"/>
          <w:szCs w:val="20"/>
        </w:rPr>
        <w:t xml:space="preserve"> como un</w:t>
      </w:r>
      <w:r w:rsidR="00234B1D" w:rsidRPr="00AC4AEA">
        <w:rPr>
          <w:rFonts w:ascii="Arial" w:hAnsi="Arial" w:cs="Arial"/>
          <w:sz w:val="20"/>
          <w:szCs w:val="20"/>
        </w:rPr>
        <w:t xml:space="preserve"> </w:t>
      </w:r>
      <w:r w:rsidR="00234B1D" w:rsidRPr="00AC4AEA">
        <w:rPr>
          <w:rFonts w:ascii="Arial" w:hAnsi="Arial" w:cs="Arial"/>
          <w:b/>
          <w:bCs/>
          <w:sz w:val="20"/>
          <w:szCs w:val="20"/>
        </w:rPr>
        <w:t>mercado activo</w:t>
      </w:r>
      <w:r w:rsidRPr="00AC4AEA">
        <w:rPr>
          <w:rFonts w:ascii="Arial" w:hAnsi="Arial" w:cs="Arial"/>
          <w:b/>
          <w:bCs/>
          <w:sz w:val="20"/>
          <w:szCs w:val="20"/>
        </w:rPr>
        <w:t>.</w:t>
      </w:r>
    </w:p>
    <w:p w:rsidR="0090400F" w:rsidRPr="00AC4AEA" w:rsidRDefault="00E3436B" w:rsidP="00A318EA">
      <w:pPr>
        <w:pStyle w:val="Prrafodelista"/>
        <w:numPr>
          <w:ilvl w:val="0"/>
          <w:numId w:val="29"/>
        </w:numPr>
        <w:contextualSpacing w:val="0"/>
        <w:jc w:val="both"/>
        <w:rPr>
          <w:rFonts w:ascii="Arial" w:hAnsi="Arial" w:cs="Arial"/>
          <w:sz w:val="20"/>
          <w:szCs w:val="20"/>
        </w:rPr>
      </w:pPr>
      <w:bookmarkStart w:id="149" w:name="_Ref135045157"/>
      <w:r w:rsidRPr="00AC4AEA">
        <w:rPr>
          <w:rFonts w:ascii="Arial" w:hAnsi="Arial" w:cs="Arial"/>
          <w:sz w:val="20"/>
          <w:szCs w:val="20"/>
        </w:rPr>
        <w:t xml:space="preserve">Como se indicó en el </w:t>
      </w:r>
      <w:r w:rsidR="00A42640" w:rsidRPr="00AC4AEA">
        <w:rPr>
          <w:rFonts w:ascii="Arial" w:hAnsi="Arial" w:cs="Arial"/>
          <w:sz w:val="20"/>
          <w:szCs w:val="20"/>
        </w:rPr>
        <w:t xml:space="preserve">inciso a) (ii) del </w:t>
      </w:r>
      <w:r w:rsidRPr="00AC4AEA">
        <w:rPr>
          <w:rFonts w:ascii="Arial" w:hAnsi="Arial" w:cs="Arial"/>
          <w:sz w:val="20"/>
          <w:szCs w:val="20"/>
        </w:rPr>
        <w:t>párrafo</w:t>
      </w:r>
      <w:r w:rsidR="00687622" w:rsidRPr="00AC4AEA">
        <w:rPr>
          <w:rFonts w:ascii="Arial" w:hAnsi="Arial" w:cs="Arial"/>
          <w:sz w:val="20"/>
          <w:szCs w:val="20"/>
        </w:rPr>
        <w:t xml:space="preserve">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c</w:t>
      </w:r>
      <w:r w:rsidR="00802713" w:rsidRPr="00AC4AEA">
        <w:rPr>
          <w:rFonts w:ascii="Arial" w:hAnsi="Arial" w:cs="Arial"/>
          <w:sz w:val="20"/>
          <w:szCs w:val="20"/>
        </w:rPr>
        <w:t>uando</w:t>
      </w:r>
      <w:r w:rsidR="00672AF2" w:rsidRPr="00AC4AEA">
        <w:rPr>
          <w:rFonts w:ascii="Arial" w:hAnsi="Arial" w:cs="Arial"/>
          <w:sz w:val="20"/>
          <w:szCs w:val="20"/>
        </w:rPr>
        <w:t>, en la</w:t>
      </w:r>
      <w:r w:rsidR="00672AF2" w:rsidRPr="00AC4AEA">
        <w:rPr>
          <w:rFonts w:ascii="Arial" w:hAnsi="Arial" w:cs="Arial"/>
          <w:b/>
          <w:bCs/>
          <w:sz w:val="20"/>
          <w:szCs w:val="20"/>
        </w:rPr>
        <w:t xml:space="preserve"> fecha de la medición</w:t>
      </w:r>
      <w:r w:rsidR="00672AF2" w:rsidRPr="00AC4AEA">
        <w:rPr>
          <w:rFonts w:ascii="Arial" w:hAnsi="Arial" w:cs="Arial"/>
          <w:sz w:val="20"/>
          <w:szCs w:val="20"/>
        </w:rPr>
        <w:t>,</w:t>
      </w:r>
      <w:r w:rsidR="00802713" w:rsidRPr="00AC4AEA">
        <w:rPr>
          <w:rFonts w:ascii="Arial" w:hAnsi="Arial" w:cs="Arial"/>
          <w:sz w:val="20"/>
          <w:szCs w:val="20"/>
        </w:rPr>
        <w:t xml:space="preserve"> no existan precios directamente observables </w:t>
      </w:r>
      <w:r w:rsidR="00E06F4F" w:rsidRPr="00AC4AEA">
        <w:rPr>
          <w:rFonts w:ascii="Arial" w:hAnsi="Arial" w:cs="Arial"/>
          <w:sz w:val="20"/>
          <w:szCs w:val="20"/>
        </w:rPr>
        <w:t>que</w:t>
      </w:r>
      <w:r w:rsidR="00802713" w:rsidRPr="00AC4AEA">
        <w:rPr>
          <w:rFonts w:ascii="Arial" w:hAnsi="Arial" w:cs="Arial"/>
          <w:sz w:val="20"/>
          <w:szCs w:val="20"/>
        </w:rPr>
        <w:t xml:space="preserve"> surjan de un </w:t>
      </w:r>
      <w:r w:rsidR="00802713" w:rsidRPr="00AC4AEA">
        <w:rPr>
          <w:rFonts w:ascii="Arial" w:hAnsi="Arial" w:cs="Arial"/>
          <w:b/>
          <w:bCs/>
          <w:sz w:val="20"/>
          <w:szCs w:val="20"/>
        </w:rPr>
        <w:t>mercado activo</w:t>
      </w:r>
      <w:r w:rsidR="00802713" w:rsidRPr="00AC4AEA">
        <w:rPr>
          <w:rFonts w:ascii="Arial" w:hAnsi="Arial" w:cs="Arial"/>
          <w:sz w:val="20"/>
          <w:szCs w:val="20"/>
        </w:rPr>
        <w:t xml:space="preserve">, una </w:t>
      </w:r>
      <w:r w:rsidR="0090400F" w:rsidRPr="00AC4AEA">
        <w:rPr>
          <w:rFonts w:ascii="Arial" w:hAnsi="Arial" w:cs="Arial"/>
          <w:sz w:val="20"/>
          <w:szCs w:val="20"/>
        </w:rPr>
        <w:t xml:space="preserve">entidad </w:t>
      </w:r>
      <w:r w:rsidR="007D49CD" w:rsidRPr="00AC4AEA">
        <w:rPr>
          <w:rFonts w:ascii="Arial" w:hAnsi="Arial" w:cs="Arial"/>
          <w:sz w:val="20"/>
          <w:szCs w:val="20"/>
        </w:rPr>
        <w:t xml:space="preserve">estimará </w:t>
      </w:r>
      <w:r w:rsidR="0090400F" w:rsidRPr="00AC4AEA">
        <w:rPr>
          <w:rFonts w:ascii="Arial" w:hAnsi="Arial" w:cs="Arial"/>
          <w:sz w:val="20"/>
          <w:szCs w:val="20"/>
        </w:rPr>
        <w:t xml:space="preserve">el </w:t>
      </w:r>
      <w:r w:rsidR="0090400F" w:rsidRPr="00AC4AEA">
        <w:rPr>
          <w:rFonts w:ascii="Arial" w:hAnsi="Arial" w:cs="Arial"/>
          <w:b/>
          <w:sz w:val="20"/>
          <w:szCs w:val="20"/>
        </w:rPr>
        <w:t>valor razonable</w:t>
      </w:r>
      <w:r w:rsidR="0090400F" w:rsidRPr="00AC4AEA">
        <w:rPr>
          <w:rFonts w:ascii="Arial" w:hAnsi="Arial" w:cs="Arial"/>
          <w:sz w:val="20"/>
          <w:szCs w:val="20"/>
        </w:rPr>
        <w:t xml:space="preserve"> mediante técnicas de </w:t>
      </w:r>
      <w:r w:rsidR="001B7E9C" w:rsidRPr="00AC4AEA">
        <w:rPr>
          <w:rFonts w:ascii="Arial" w:hAnsi="Arial" w:cs="Arial"/>
          <w:sz w:val="20"/>
          <w:szCs w:val="20"/>
        </w:rPr>
        <w:t xml:space="preserve">valuación </w:t>
      </w:r>
      <w:r w:rsidR="0090400F" w:rsidRPr="00AC4AEA">
        <w:rPr>
          <w:rFonts w:ascii="Arial" w:hAnsi="Arial" w:cs="Arial"/>
          <w:sz w:val="20"/>
          <w:szCs w:val="20"/>
        </w:rPr>
        <w:t>que resulten apropiadas en función de las circunstancias, maximizando el uso de datos de entrada observables y minimizando la utilización de datos no observables</w:t>
      </w:r>
      <w:r w:rsidR="004E2161" w:rsidRPr="00AC4AEA">
        <w:rPr>
          <w:rFonts w:ascii="Arial" w:hAnsi="Arial" w:cs="Arial"/>
          <w:sz w:val="20"/>
          <w:szCs w:val="20"/>
        </w:rPr>
        <w:t>.</w:t>
      </w:r>
      <w:bookmarkEnd w:id="149"/>
    </w:p>
    <w:p w:rsidR="0090400F" w:rsidRPr="00AC4AEA" w:rsidRDefault="00C33BBE" w:rsidP="00A318EA">
      <w:pPr>
        <w:pStyle w:val="Prrafodelista"/>
        <w:numPr>
          <w:ilvl w:val="0"/>
          <w:numId w:val="29"/>
        </w:numPr>
        <w:contextualSpacing w:val="0"/>
        <w:jc w:val="both"/>
        <w:rPr>
          <w:rFonts w:ascii="Arial" w:hAnsi="Arial" w:cs="Arial"/>
          <w:sz w:val="20"/>
          <w:szCs w:val="20"/>
        </w:rPr>
      </w:pPr>
      <w:bookmarkStart w:id="150" w:name="_Ref103346802"/>
      <w:r w:rsidRPr="00AC4AEA">
        <w:rPr>
          <w:rFonts w:ascii="Arial" w:hAnsi="Arial" w:cs="Arial"/>
          <w:sz w:val="20"/>
          <w:szCs w:val="20"/>
        </w:rPr>
        <w:t>A los fines indicados en el párrafo anterior, una entidad aplicará la técnica de valuación que resulte más apropiada, debiendo basar su selección en los enfoques siguientes:</w:t>
      </w:r>
      <w:bookmarkEnd w:id="150"/>
    </w:p>
    <w:p w:rsidR="0090400F" w:rsidRPr="00AC4AEA" w:rsidRDefault="00672AF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Enfoque </w:t>
      </w:r>
      <w:r w:rsidR="0090400F" w:rsidRPr="00AC4AEA">
        <w:rPr>
          <w:rFonts w:ascii="Arial" w:hAnsi="Arial" w:cs="Arial"/>
          <w:sz w:val="20"/>
          <w:szCs w:val="20"/>
        </w:rPr>
        <w:t xml:space="preserve">de mercado: precios de </w:t>
      </w:r>
      <w:r w:rsidR="00497590" w:rsidRPr="00AC4AEA">
        <w:rPr>
          <w:rFonts w:ascii="Arial" w:hAnsi="Arial" w:cs="Arial"/>
          <w:sz w:val="20"/>
          <w:szCs w:val="20"/>
        </w:rPr>
        <w:t>activos</w:t>
      </w:r>
      <w:r w:rsidR="0090400F" w:rsidRPr="00AC4AEA">
        <w:rPr>
          <w:rFonts w:ascii="Arial" w:hAnsi="Arial" w:cs="Arial"/>
          <w:sz w:val="20"/>
          <w:szCs w:val="20"/>
        </w:rPr>
        <w:t xml:space="preserve"> o </w:t>
      </w:r>
      <w:r w:rsidR="00497590" w:rsidRPr="00AC4AEA">
        <w:rPr>
          <w:rFonts w:ascii="Arial" w:hAnsi="Arial" w:cs="Arial"/>
          <w:sz w:val="20"/>
          <w:szCs w:val="20"/>
        </w:rPr>
        <w:t>pasivos</w:t>
      </w:r>
      <w:r w:rsidR="0090400F" w:rsidRPr="00AC4AEA">
        <w:rPr>
          <w:rFonts w:ascii="Arial" w:hAnsi="Arial" w:cs="Arial"/>
          <w:sz w:val="20"/>
          <w:szCs w:val="20"/>
        </w:rPr>
        <w:t xml:space="preserve"> similares o comparables, debidamente ajustados en función de las características y condición del </w:t>
      </w:r>
      <w:r w:rsidR="0090400F" w:rsidRPr="00AC4AEA">
        <w:rPr>
          <w:rFonts w:ascii="Arial" w:hAnsi="Arial" w:cs="Arial"/>
          <w:b/>
          <w:bCs/>
          <w:sz w:val="20"/>
          <w:szCs w:val="20"/>
        </w:rPr>
        <w:t>activo</w:t>
      </w:r>
      <w:r w:rsidR="0090400F" w:rsidRPr="00AC4AEA">
        <w:rPr>
          <w:rFonts w:ascii="Arial" w:hAnsi="Arial" w:cs="Arial"/>
          <w:sz w:val="20"/>
          <w:szCs w:val="20"/>
        </w:rPr>
        <w:t xml:space="preserve"> o </w:t>
      </w:r>
      <w:r w:rsidR="0090400F" w:rsidRPr="00AC4AEA">
        <w:rPr>
          <w:rFonts w:ascii="Arial" w:hAnsi="Arial" w:cs="Arial"/>
          <w:b/>
          <w:bCs/>
          <w:sz w:val="20"/>
          <w:szCs w:val="20"/>
        </w:rPr>
        <w:t xml:space="preserve">pasivo </w:t>
      </w:r>
      <w:r w:rsidR="0090400F" w:rsidRPr="00AC4AEA">
        <w:rPr>
          <w:rFonts w:ascii="Arial" w:hAnsi="Arial" w:cs="Arial"/>
          <w:sz w:val="20"/>
          <w:szCs w:val="20"/>
        </w:rPr>
        <w:t>a medir</w:t>
      </w:r>
      <w:r w:rsidRPr="00AC4AEA">
        <w:rPr>
          <w:rFonts w:ascii="Arial" w:hAnsi="Arial" w:cs="Arial"/>
          <w:sz w:val="20"/>
          <w:szCs w:val="20"/>
        </w:rPr>
        <w:t>.</w:t>
      </w:r>
    </w:p>
    <w:p w:rsidR="0090400F" w:rsidRPr="00AC4AEA" w:rsidRDefault="00672AF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 xml:space="preserve">Enfoque </w:t>
      </w:r>
      <w:r w:rsidR="0090400F" w:rsidRPr="00AC4AEA">
        <w:rPr>
          <w:rFonts w:ascii="Arial" w:hAnsi="Arial" w:cs="Arial"/>
          <w:sz w:val="20"/>
          <w:szCs w:val="20"/>
        </w:rPr>
        <w:t>de ingresos: valor descontado de los flujos de efectivo netos que pued</w:t>
      </w:r>
      <w:r w:rsidR="005317B0" w:rsidRPr="00AC4AEA">
        <w:rPr>
          <w:rFonts w:ascii="Arial" w:hAnsi="Arial" w:cs="Arial"/>
          <w:sz w:val="20"/>
          <w:szCs w:val="20"/>
        </w:rPr>
        <w:t>a</w:t>
      </w:r>
      <w:r w:rsidR="0090400F" w:rsidRPr="00AC4AEA">
        <w:rPr>
          <w:rFonts w:ascii="Arial" w:hAnsi="Arial" w:cs="Arial"/>
          <w:sz w:val="20"/>
          <w:szCs w:val="20"/>
        </w:rPr>
        <w:t xml:space="preserve">n esperarse del </w:t>
      </w:r>
      <w:r w:rsidR="0090400F" w:rsidRPr="00AC4AEA">
        <w:rPr>
          <w:rFonts w:ascii="Arial" w:hAnsi="Arial" w:cs="Arial"/>
          <w:b/>
          <w:bCs/>
          <w:sz w:val="20"/>
          <w:szCs w:val="20"/>
        </w:rPr>
        <w:t>activo</w:t>
      </w:r>
      <w:r w:rsidR="0090400F" w:rsidRPr="00AC4AEA">
        <w:rPr>
          <w:rFonts w:ascii="Arial" w:hAnsi="Arial" w:cs="Arial"/>
          <w:sz w:val="20"/>
          <w:szCs w:val="20"/>
        </w:rPr>
        <w:t xml:space="preserve"> o </w:t>
      </w:r>
      <w:r w:rsidR="0090400F" w:rsidRPr="00AC4AEA">
        <w:rPr>
          <w:rFonts w:ascii="Arial" w:hAnsi="Arial" w:cs="Arial"/>
          <w:b/>
          <w:bCs/>
          <w:sz w:val="20"/>
          <w:szCs w:val="20"/>
        </w:rPr>
        <w:t>pasivo</w:t>
      </w:r>
      <w:r w:rsidR="0090400F" w:rsidRPr="00AC4AEA">
        <w:rPr>
          <w:rFonts w:ascii="Arial" w:hAnsi="Arial" w:cs="Arial"/>
          <w:sz w:val="20"/>
          <w:szCs w:val="20"/>
        </w:rPr>
        <w:t xml:space="preserve"> a medir</w:t>
      </w:r>
      <w:r w:rsidRPr="00AC4AEA">
        <w:rPr>
          <w:rFonts w:ascii="Arial" w:hAnsi="Arial" w:cs="Arial"/>
          <w:sz w:val="20"/>
          <w:szCs w:val="20"/>
        </w:rPr>
        <w:t>.</w:t>
      </w:r>
    </w:p>
    <w:p w:rsidR="0090400F" w:rsidRPr="00AC4AEA" w:rsidRDefault="00672AF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Enfoque </w:t>
      </w:r>
      <w:r w:rsidR="0090400F" w:rsidRPr="00AC4AEA">
        <w:rPr>
          <w:rFonts w:ascii="Arial" w:hAnsi="Arial" w:cs="Arial"/>
          <w:sz w:val="20"/>
          <w:szCs w:val="20"/>
        </w:rPr>
        <w:t xml:space="preserve">del costo: costo que requeriría la adquisición, </w:t>
      </w:r>
      <w:r w:rsidR="00EF010E" w:rsidRPr="00AC4AEA">
        <w:rPr>
          <w:rFonts w:ascii="Arial" w:hAnsi="Arial" w:cs="Arial"/>
          <w:sz w:val="20"/>
          <w:szCs w:val="20"/>
        </w:rPr>
        <w:t xml:space="preserve">producción </w:t>
      </w:r>
      <w:r w:rsidR="0090400F" w:rsidRPr="00AC4AEA">
        <w:rPr>
          <w:rFonts w:ascii="Arial" w:hAnsi="Arial" w:cs="Arial"/>
          <w:sz w:val="20"/>
          <w:szCs w:val="20"/>
        </w:rPr>
        <w:t xml:space="preserve">o construcción de un </w:t>
      </w:r>
      <w:r w:rsidR="0090400F" w:rsidRPr="00AC4AEA">
        <w:rPr>
          <w:rFonts w:ascii="Arial" w:hAnsi="Arial" w:cs="Arial"/>
          <w:b/>
          <w:bCs/>
          <w:sz w:val="20"/>
          <w:szCs w:val="20"/>
        </w:rPr>
        <w:t>activo</w:t>
      </w:r>
      <w:r w:rsidR="0090400F" w:rsidRPr="00AC4AEA">
        <w:rPr>
          <w:rFonts w:ascii="Arial" w:hAnsi="Arial" w:cs="Arial"/>
          <w:sz w:val="20"/>
          <w:szCs w:val="20"/>
        </w:rPr>
        <w:t xml:space="preserve"> similar que reemplace la capacidad de servicio del </w:t>
      </w:r>
      <w:r w:rsidR="0090400F" w:rsidRPr="00AC4AEA">
        <w:rPr>
          <w:rFonts w:ascii="Arial" w:hAnsi="Arial" w:cs="Arial"/>
          <w:b/>
          <w:bCs/>
          <w:sz w:val="20"/>
          <w:szCs w:val="20"/>
        </w:rPr>
        <w:t>activo</w:t>
      </w:r>
      <w:r w:rsidR="0090400F" w:rsidRPr="00AC4AEA">
        <w:rPr>
          <w:rFonts w:ascii="Arial" w:hAnsi="Arial" w:cs="Arial"/>
          <w:sz w:val="20"/>
          <w:szCs w:val="20"/>
        </w:rPr>
        <w:t xml:space="preserve"> a medir.</w:t>
      </w:r>
    </w:p>
    <w:p w:rsidR="0090400F" w:rsidRPr="00AC4AEA" w:rsidRDefault="007D49C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la </w:t>
      </w:r>
      <w:r w:rsidRPr="00AC4AEA">
        <w:rPr>
          <w:rFonts w:ascii="Arial" w:hAnsi="Arial" w:cs="Arial"/>
          <w:b/>
          <w:bCs/>
          <w:sz w:val="20"/>
          <w:szCs w:val="20"/>
        </w:rPr>
        <w:t>fecha de la medición</w:t>
      </w:r>
      <w:r w:rsidRPr="00AC4AEA">
        <w:rPr>
          <w:rFonts w:ascii="Arial" w:hAnsi="Arial" w:cs="Arial"/>
          <w:sz w:val="20"/>
          <w:szCs w:val="20"/>
        </w:rPr>
        <w:t xml:space="preserve">, una </w:t>
      </w:r>
      <w:r w:rsidR="0090400F" w:rsidRPr="00AC4AEA">
        <w:rPr>
          <w:rFonts w:ascii="Arial" w:hAnsi="Arial" w:cs="Arial"/>
          <w:sz w:val="20"/>
          <w:szCs w:val="20"/>
        </w:rPr>
        <w:t xml:space="preserve">entidad </w:t>
      </w:r>
      <w:r w:rsidRPr="00AC4AEA">
        <w:rPr>
          <w:rFonts w:ascii="Arial" w:hAnsi="Arial" w:cs="Arial"/>
          <w:sz w:val="20"/>
          <w:szCs w:val="20"/>
        </w:rPr>
        <w:t xml:space="preserve">estimará </w:t>
      </w:r>
      <w:r w:rsidR="0090400F" w:rsidRPr="00AC4AEA">
        <w:rPr>
          <w:rFonts w:ascii="Arial" w:hAnsi="Arial" w:cs="Arial"/>
          <w:sz w:val="20"/>
          <w:szCs w:val="20"/>
        </w:rPr>
        <w:t xml:space="preserve">el </w:t>
      </w:r>
      <w:r w:rsidR="0090400F" w:rsidRPr="00AC4AEA">
        <w:rPr>
          <w:rFonts w:ascii="Arial" w:hAnsi="Arial" w:cs="Arial"/>
          <w:b/>
          <w:sz w:val="20"/>
          <w:szCs w:val="20"/>
        </w:rPr>
        <w:t>valor razonable</w:t>
      </w:r>
      <w:r w:rsidR="0090400F" w:rsidRPr="00AC4AEA">
        <w:rPr>
          <w:rFonts w:ascii="Arial" w:hAnsi="Arial" w:cs="Arial"/>
          <w:sz w:val="20"/>
          <w:szCs w:val="20"/>
        </w:rPr>
        <w:t xml:space="preserve"> de un </w:t>
      </w:r>
      <w:r w:rsidR="0090400F" w:rsidRPr="00AC4AEA">
        <w:rPr>
          <w:rFonts w:ascii="Arial" w:hAnsi="Arial" w:cs="Arial"/>
          <w:b/>
          <w:bCs/>
          <w:sz w:val="20"/>
          <w:szCs w:val="20"/>
        </w:rPr>
        <w:t>activo</w:t>
      </w:r>
      <w:r w:rsidR="0090400F" w:rsidRPr="00AC4AEA">
        <w:rPr>
          <w:rFonts w:ascii="Arial" w:hAnsi="Arial" w:cs="Arial"/>
          <w:sz w:val="20"/>
          <w:szCs w:val="20"/>
        </w:rPr>
        <w:t xml:space="preserve"> considerando:</w:t>
      </w:r>
    </w:p>
    <w:p w:rsidR="0090400F" w:rsidRPr="00AC4AEA" w:rsidRDefault="0015185D"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las </w:t>
      </w:r>
      <w:r w:rsidR="0090400F" w:rsidRPr="00AC4AEA">
        <w:rPr>
          <w:rFonts w:ascii="Arial" w:hAnsi="Arial" w:cs="Arial"/>
          <w:sz w:val="20"/>
          <w:szCs w:val="20"/>
        </w:rPr>
        <w:t xml:space="preserve">características del </w:t>
      </w:r>
      <w:r w:rsidR="0090400F" w:rsidRPr="00AC4AEA">
        <w:rPr>
          <w:rFonts w:ascii="Arial" w:hAnsi="Arial" w:cs="Arial"/>
          <w:b/>
          <w:bCs/>
          <w:sz w:val="20"/>
          <w:szCs w:val="20"/>
        </w:rPr>
        <w:t>activo</w:t>
      </w:r>
      <w:r w:rsidR="0090400F" w:rsidRPr="00AC4AEA">
        <w:rPr>
          <w:rFonts w:ascii="Arial" w:hAnsi="Arial" w:cs="Arial"/>
          <w:sz w:val="20"/>
          <w:szCs w:val="20"/>
        </w:rPr>
        <w:t xml:space="preserve"> que tendrían en cuenta los participantes del mercado para fijar su precio </w:t>
      </w:r>
      <w:r w:rsidR="00672AF2" w:rsidRPr="00AC4AEA">
        <w:rPr>
          <w:rFonts w:ascii="Arial" w:hAnsi="Arial" w:cs="Arial"/>
          <w:sz w:val="20"/>
          <w:szCs w:val="20"/>
        </w:rPr>
        <w:t xml:space="preserve">–entre </w:t>
      </w:r>
      <w:r w:rsidR="0090400F" w:rsidRPr="00AC4AEA">
        <w:rPr>
          <w:rFonts w:ascii="Arial" w:hAnsi="Arial" w:cs="Arial"/>
          <w:sz w:val="20"/>
          <w:szCs w:val="20"/>
        </w:rPr>
        <w:t xml:space="preserve">ellas, su condición o estado a la </w:t>
      </w:r>
      <w:r w:rsidR="0090400F" w:rsidRPr="00BB5468">
        <w:rPr>
          <w:rFonts w:ascii="Arial" w:hAnsi="Arial" w:cs="Arial"/>
          <w:b/>
          <w:bCs/>
          <w:sz w:val="20"/>
          <w:szCs w:val="20"/>
        </w:rPr>
        <w:t xml:space="preserve">fecha de </w:t>
      </w:r>
      <w:r w:rsidR="00BB5468" w:rsidRPr="00C12159">
        <w:rPr>
          <w:rFonts w:ascii="Arial" w:hAnsi="Arial" w:cs="Arial"/>
          <w:b/>
          <w:bCs/>
          <w:sz w:val="20"/>
          <w:szCs w:val="20"/>
        </w:rPr>
        <w:t>la</w:t>
      </w:r>
      <w:r w:rsidR="00BB5468">
        <w:rPr>
          <w:rFonts w:ascii="Arial" w:hAnsi="Arial" w:cs="Arial"/>
          <w:b/>
          <w:bCs/>
          <w:sz w:val="20"/>
          <w:szCs w:val="20"/>
        </w:rPr>
        <w:t xml:space="preserve"> </w:t>
      </w:r>
      <w:r w:rsidR="0090400F" w:rsidRPr="00BB5468">
        <w:rPr>
          <w:rFonts w:ascii="Arial" w:hAnsi="Arial" w:cs="Arial"/>
          <w:b/>
          <w:bCs/>
          <w:sz w:val="20"/>
          <w:szCs w:val="20"/>
        </w:rPr>
        <w:t>medición</w:t>
      </w:r>
      <w:r w:rsidR="0090400F" w:rsidRPr="00AC4AEA">
        <w:rPr>
          <w:rFonts w:ascii="Arial" w:hAnsi="Arial" w:cs="Arial"/>
          <w:sz w:val="20"/>
          <w:szCs w:val="20"/>
        </w:rPr>
        <w:t>, su localización (</w:t>
      </w:r>
      <w:r w:rsidR="00407D85" w:rsidRPr="00AC4AEA">
        <w:rPr>
          <w:rFonts w:ascii="Arial" w:hAnsi="Arial" w:cs="Arial"/>
          <w:sz w:val="20"/>
          <w:szCs w:val="20"/>
        </w:rPr>
        <w:t>computando</w:t>
      </w:r>
      <w:r w:rsidR="0090400F" w:rsidRPr="00AC4AEA">
        <w:rPr>
          <w:rFonts w:ascii="Arial" w:hAnsi="Arial" w:cs="Arial"/>
          <w:sz w:val="20"/>
          <w:szCs w:val="20"/>
        </w:rPr>
        <w:t xml:space="preserve"> los costos de transporte hasta el </w:t>
      </w:r>
      <w:r w:rsidR="0090400F" w:rsidRPr="00AC4AEA">
        <w:rPr>
          <w:rFonts w:ascii="Arial" w:hAnsi="Arial" w:cs="Arial"/>
          <w:b/>
          <w:sz w:val="20"/>
          <w:szCs w:val="20"/>
        </w:rPr>
        <w:t>mercado principal</w:t>
      </w:r>
      <w:r w:rsidR="0090400F" w:rsidRPr="00AC4AEA">
        <w:rPr>
          <w:rFonts w:ascii="Arial" w:hAnsi="Arial" w:cs="Arial"/>
          <w:sz w:val="20"/>
          <w:szCs w:val="20"/>
        </w:rPr>
        <w:t xml:space="preserve"> o más ventajoso) y las restricciones sobre su venta o uso</w:t>
      </w:r>
      <w:r w:rsidRPr="00AC4AEA">
        <w:rPr>
          <w:rFonts w:ascii="Arial" w:hAnsi="Arial" w:cs="Arial"/>
          <w:sz w:val="20"/>
          <w:szCs w:val="20"/>
        </w:rPr>
        <w:t>;</w:t>
      </w:r>
      <w:r w:rsidR="00D60C72" w:rsidRPr="00AC4AEA">
        <w:rPr>
          <w:rFonts w:ascii="Arial" w:hAnsi="Arial" w:cs="Arial"/>
          <w:sz w:val="20"/>
          <w:szCs w:val="20"/>
        </w:rPr>
        <w:t xml:space="preserve"> y</w:t>
      </w:r>
    </w:p>
    <w:p w:rsidR="0090400F" w:rsidRPr="00AC4AEA" w:rsidRDefault="0015185D"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el </w:t>
      </w:r>
      <w:r w:rsidR="0090400F" w:rsidRPr="00AC4AEA">
        <w:rPr>
          <w:rFonts w:ascii="Arial" w:hAnsi="Arial" w:cs="Arial"/>
          <w:sz w:val="20"/>
          <w:szCs w:val="20"/>
        </w:rPr>
        <w:t xml:space="preserve">precio que se fijaría por su máximo y mejor uso (en tanto resulte físicamente posible, legalmente admisible y financieramente factible), cuando se trate de </w:t>
      </w:r>
      <w:r w:rsidR="00497590" w:rsidRPr="00AC4AEA">
        <w:rPr>
          <w:rFonts w:ascii="Arial" w:hAnsi="Arial" w:cs="Arial"/>
          <w:sz w:val="20"/>
          <w:szCs w:val="20"/>
        </w:rPr>
        <w:t>activos</w:t>
      </w:r>
      <w:r w:rsidR="0090400F" w:rsidRPr="00AC4AEA">
        <w:rPr>
          <w:rFonts w:ascii="Arial" w:hAnsi="Arial" w:cs="Arial"/>
          <w:sz w:val="20"/>
          <w:szCs w:val="20"/>
        </w:rPr>
        <w:t xml:space="preserve"> no financieros (</w:t>
      </w:r>
      <w:r w:rsidR="008C0008" w:rsidRPr="00AC4AEA">
        <w:rPr>
          <w:rFonts w:ascii="Arial" w:hAnsi="Arial" w:cs="Arial"/>
          <w:sz w:val="20"/>
          <w:szCs w:val="20"/>
        </w:rPr>
        <w:t xml:space="preserve">tales </w:t>
      </w:r>
      <w:r w:rsidR="0090400F" w:rsidRPr="00AC4AEA">
        <w:rPr>
          <w:rFonts w:ascii="Arial" w:hAnsi="Arial" w:cs="Arial"/>
          <w:sz w:val="20"/>
          <w:szCs w:val="20"/>
        </w:rPr>
        <w:t>como bienes de uso).</w:t>
      </w:r>
    </w:p>
    <w:p w:rsidR="0090400F" w:rsidRPr="00AC4AEA" w:rsidRDefault="0090400F" w:rsidP="00A318EA">
      <w:pPr>
        <w:pStyle w:val="Prrafodelista"/>
        <w:numPr>
          <w:ilvl w:val="0"/>
          <w:numId w:val="29"/>
        </w:numPr>
        <w:contextualSpacing w:val="0"/>
        <w:jc w:val="both"/>
        <w:rPr>
          <w:rFonts w:ascii="Arial" w:hAnsi="Arial" w:cs="Arial"/>
          <w:sz w:val="20"/>
          <w:szCs w:val="20"/>
        </w:rPr>
      </w:pPr>
      <w:bookmarkStart w:id="151" w:name="_Ref99460009"/>
      <w:r w:rsidRPr="00AC4AEA">
        <w:rPr>
          <w:rFonts w:ascii="Arial" w:hAnsi="Arial" w:cs="Arial"/>
          <w:sz w:val="20"/>
          <w:szCs w:val="20"/>
        </w:rPr>
        <w:t xml:space="preserve">Una entidad no considerará en sus mediciones a </w:t>
      </w:r>
      <w:r w:rsidRPr="00AC4AEA">
        <w:rPr>
          <w:rFonts w:ascii="Arial" w:hAnsi="Arial" w:cs="Arial"/>
          <w:b/>
          <w:sz w:val="20"/>
          <w:szCs w:val="20"/>
        </w:rPr>
        <w:t>valor razonable</w:t>
      </w:r>
      <w:r w:rsidRPr="00AC4AEA">
        <w:rPr>
          <w:rFonts w:ascii="Arial" w:hAnsi="Arial" w:cs="Arial"/>
          <w:sz w:val="20"/>
          <w:szCs w:val="20"/>
        </w:rPr>
        <w:t xml:space="preserve"> los contratos de venta a futuro que se hubiesen celebrado con el objetivo de entregar los productos en cumplimiento de lo establecido en </w:t>
      </w:r>
      <w:r w:rsidR="00802713" w:rsidRPr="00AC4AEA">
        <w:rPr>
          <w:rFonts w:ascii="Arial" w:hAnsi="Arial" w:cs="Arial"/>
          <w:sz w:val="20"/>
          <w:szCs w:val="20"/>
        </w:rPr>
        <w:t xml:space="preserve">dichos </w:t>
      </w:r>
      <w:r w:rsidRPr="00AC4AEA">
        <w:rPr>
          <w:rFonts w:ascii="Arial" w:hAnsi="Arial" w:cs="Arial"/>
          <w:sz w:val="20"/>
          <w:szCs w:val="20"/>
        </w:rPr>
        <w:t>contrato</w:t>
      </w:r>
      <w:r w:rsidR="00802713" w:rsidRPr="00AC4AEA">
        <w:rPr>
          <w:rFonts w:ascii="Arial" w:hAnsi="Arial" w:cs="Arial"/>
          <w:sz w:val="20"/>
          <w:szCs w:val="20"/>
        </w:rPr>
        <w:t>s</w:t>
      </w:r>
      <w:r w:rsidRPr="00AC4AEA">
        <w:rPr>
          <w:rFonts w:ascii="Arial" w:hAnsi="Arial" w:cs="Arial"/>
          <w:sz w:val="20"/>
          <w:szCs w:val="20"/>
        </w:rPr>
        <w:t>.</w:t>
      </w:r>
      <w:bookmarkEnd w:id="151"/>
    </w:p>
    <w:p w:rsidR="007D49CD" w:rsidRPr="00AC4AEA" w:rsidRDefault="007D49CD" w:rsidP="00A318EA">
      <w:pPr>
        <w:pStyle w:val="A-azul"/>
        <w:rPr>
          <w:rFonts w:ascii="Arial" w:hAnsi="Arial" w:cs="Arial"/>
          <w:i w:val="0"/>
          <w:color w:val="auto"/>
          <w:sz w:val="20"/>
          <w:szCs w:val="20"/>
          <w:lang w:val="es-AR"/>
        </w:rPr>
      </w:pPr>
    </w:p>
    <w:p w:rsidR="007D49CD" w:rsidRPr="00AC4AEA" w:rsidRDefault="00E61B66" w:rsidP="00E61B66">
      <w:pPr>
        <w:pStyle w:val="Ttulo3"/>
      </w:pPr>
      <w:bookmarkStart w:id="152" w:name="_Toc101863745"/>
      <w:bookmarkStart w:id="153" w:name="_Toc139356609"/>
      <w:r w:rsidRPr="00AC4AEA">
        <w:t>Consideración particular: m</w:t>
      </w:r>
      <w:r w:rsidR="007D49CD" w:rsidRPr="00AC4AEA">
        <w:t>edición del valor neto de realización</w:t>
      </w:r>
      <w:bookmarkEnd w:id="152"/>
      <w:bookmarkEnd w:id="153"/>
    </w:p>
    <w:p w:rsidR="007D49CD" w:rsidRPr="00AC4AEA" w:rsidRDefault="00E61B66" w:rsidP="00A318EA">
      <w:pPr>
        <w:pStyle w:val="Prrafodelista"/>
        <w:numPr>
          <w:ilvl w:val="0"/>
          <w:numId w:val="29"/>
        </w:numPr>
        <w:contextualSpacing w:val="0"/>
        <w:jc w:val="both"/>
        <w:rPr>
          <w:rFonts w:ascii="Arial" w:hAnsi="Arial" w:cs="Arial"/>
          <w:sz w:val="20"/>
          <w:szCs w:val="20"/>
        </w:rPr>
      </w:pPr>
      <w:bookmarkStart w:id="154" w:name="_Ref101016396"/>
      <w:r w:rsidRPr="00AC4AEA">
        <w:rPr>
          <w:rFonts w:ascii="Arial" w:hAnsi="Arial" w:cs="Arial"/>
          <w:sz w:val="20"/>
          <w:szCs w:val="20"/>
        </w:rPr>
        <w:t xml:space="preserve">Esta Resolución Técnica u </w:t>
      </w:r>
      <w:r w:rsidRPr="00AC4AEA">
        <w:rPr>
          <w:rFonts w:ascii="Arial" w:hAnsi="Arial" w:cs="Arial"/>
          <w:b/>
          <w:bCs/>
          <w:sz w:val="20"/>
          <w:szCs w:val="20"/>
        </w:rPr>
        <w:t>otra</w:t>
      </w:r>
      <w:r w:rsidR="00860E02" w:rsidRPr="00AC4AEA">
        <w:rPr>
          <w:rFonts w:ascii="Arial" w:hAnsi="Arial" w:cs="Arial"/>
          <w:b/>
          <w:bCs/>
          <w:sz w:val="20"/>
          <w:szCs w:val="20"/>
        </w:rPr>
        <w:t>s</w:t>
      </w:r>
      <w:r w:rsidRPr="00AC4AEA">
        <w:rPr>
          <w:rFonts w:ascii="Arial" w:hAnsi="Arial" w:cs="Arial"/>
          <w:b/>
          <w:bCs/>
          <w:sz w:val="20"/>
          <w:szCs w:val="20"/>
        </w:rPr>
        <w:t xml:space="preserve"> norma</w:t>
      </w:r>
      <w:r w:rsidR="00860E02" w:rsidRPr="00AC4AEA">
        <w:rPr>
          <w:rFonts w:ascii="Arial" w:hAnsi="Arial" w:cs="Arial"/>
          <w:b/>
          <w:bCs/>
          <w:sz w:val="20"/>
          <w:szCs w:val="20"/>
        </w:rPr>
        <w:t>s</w:t>
      </w:r>
      <w:r w:rsidRPr="00AC4AEA">
        <w:rPr>
          <w:rFonts w:ascii="Arial" w:hAnsi="Arial" w:cs="Arial"/>
          <w:b/>
          <w:bCs/>
          <w:sz w:val="20"/>
          <w:szCs w:val="20"/>
        </w:rPr>
        <w:t xml:space="preserve"> contable</w:t>
      </w:r>
      <w:r w:rsidR="00860E02" w:rsidRPr="00AC4AEA">
        <w:rPr>
          <w:rFonts w:ascii="Arial" w:hAnsi="Arial" w:cs="Arial"/>
          <w:b/>
          <w:bCs/>
          <w:sz w:val="20"/>
          <w:szCs w:val="20"/>
        </w:rPr>
        <w:t>s</w:t>
      </w:r>
      <w:r w:rsidRPr="00AC4AEA">
        <w:rPr>
          <w:rFonts w:ascii="Arial" w:hAnsi="Arial" w:cs="Arial"/>
          <w:sz w:val="20"/>
          <w:szCs w:val="20"/>
        </w:rPr>
        <w:t xml:space="preserve"> podría</w:t>
      </w:r>
      <w:r w:rsidR="00860E02" w:rsidRPr="00AC4AEA">
        <w:rPr>
          <w:rFonts w:ascii="Arial" w:hAnsi="Arial" w:cs="Arial"/>
          <w:sz w:val="20"/>
          <w:szCs w:val="20"/>
        </w:rPr>
        <w:t>n</w:t>
      </w:r>
      <w:r w:rsidRPr="00AC4AEA">
        <w:rPr>
          <w:rFonts w:ascii="Arial" w:hAnsi="Arial" w:cs="Arial"/>
          <w:sz w:val="20"/>
          <w:szCs w:val="20"/>
        </w:rPr>
        <w:t xml:space="preserve"> requerir o permitir el uso del </w:t>
      </w:r>
      <w:r w:rsidRPr="00AC4AEA">
        <w:rPr>
          <w:rFonts w:ascii="Arial" w:hAnsi="Arial" w:cs="Arial"/>
          <w:b/>
          <w:bCs/>
          <w:sz w:val="20"/>
          <w:szCs w:val="20"/>
        </w:rPr>
        <w:t>valor neto de realización</w:t>
      </w:r>
      <w:r w:rsidR="001C4EC4" w:rsidRPr="00AC4AEA">
        <w:rPr>
          <w:rFonts w:ascii="Arial" w:hAnsi="Arial" w:cs="Arial"/>
          <w:b/>
          <w:bCs/>
          <w:sz w:val="20"/>
          <w:szCs w:val="20"/>
        </w:rPr>
        <w:t xml:space="preserve"> </w:t>
      </w:r>
      <w:r w:rsidR="001C4EC4" w:rsidRPr="00AC4AEA">
        <w:rPr>
          <w:rFonts w:ascii="Arial" w:hAnsi="Arial" w:cs="Arial"/>
          <w:sz w:val="20"/>
          <w:szCs w:val="20"/>
        </w:rPr>
        <w:t xml:space="preserve">al medir un </w:t>
      </w:r>
      <w:r w:rsidR="001C4EC4" w:rsidRPr="00AC4AEA">
        <w:rPr>
          <w:rFonts w:ascii="Arial" w:hAnsi="Arial" w:cs="Arial"/>
          <w:b/>
          <w:bCs/>
          <w:sz w:val="20"/>
          <w:szCs w:val="20"/>
        </w:rPr>
        <w:t>activo</w:t>
      </w:r>
      <w:r w:rsidRPr="00AC4AEA">
        <w:rPr>
          <w:rFonts w:ascii="Arial" w:hAnsi="Arial" w:cs="Arial"/>
          <w:sz w:val="20"/>
          <w:szCs w:val="20"/>
        </w:rPr>
        <w:t xml:space="preserve">. </w:t>
      </w:r>
      <w:r w:rsidR="001C4EC4" w:rsidRPr="00AC4AEA">
        <w:rPr>
          <w:rFonts w:ascii="Arial" w:hAnsi="Arial" w:cs="Arial"/>
          <w:sz w:val="20"/>
          <w:szCs w:val="20"/>
        </w:rPr>
        <w:t>Para</w:t>
      </w:r>
      <w:r w:rsidR="00810674" w:rsidRPr="00AC4AEA">
        <w:rPr>
          <w:rFonts w:ascii="Arial" w:hAnsi="Arial" w:cs="Arial"/>
          <w:sz w:val="20"/>
          <w:szCs w:val="20"/>
        </w:rPr>
        <w:t xml:space="preserve"> </w:t>
      </w:r>
      <w:r w:rsidR="0010342E" w:rsidRPr="00AC4AEA">
        <w:rPr>
          <w:rFonts w:ascii="Arial" w:hAnsi="Arial" w:cs="Arial"/>
          <w:sz w:val="20"/>
          <w:szCs w:val="20"/>
        </w:rPr>
        <w:t>determinar</w:t>
      </w:r>
      <w:r w:rsidR="00810674" w:rsidRPr="00AC4AEA">
        <w:rPr>
          <w:rFonts w:ascii="Arial" w:hAnsi="Arial" w:cs="Arial"/>
          <w:sz w:val="20"/>
          <w:szCs w:val="20"/>
        </w:rPr>
        <w:t xml:space="preserve"> e</w:t>
      </w:r>
      <w:r w:rsidR="007D49CD" w:rsidRPr="00AC4AEA">
        <w:rPr>
          <w:rFonts w:ascii="Arial" w:hAnsi="Arial" w:cs="Arial"/>
          <w:sz w:val="20"/>
          <w:szCs w:val="20"/>
        </w:rPr>
        <w:t xml:space="preserve">l </w:t>
      </w:r>
      <w:r w:rsidR="007D49CD" w:rsidRPr="00AC4AEA">
        <w:rPr>
          <w:rFonts w:ascii="Arial" w:hAnsi="Arial" w:cs="Arial"/>
          <w:b/>
          <w:sz w:val="20"/>
          <w:szCs w:val="20"/>
        </w:rPr>
        <w:t>valor neto de realización</w:t>
      </w:r>
      <w:r w:rsidR="00810674" w:rsidRPr="00AC4AEA">
        <w:rPr>
          <w:rFonts w:ascii="Arial" w:hAnsi="Arial" w:cs="Arial"/>
          <w:bCs/>
          <w:sz w:val="20"/>
          <w:szCs w:val="20"/>
        </w:rPr>
        <w:t xml:space="preserve"> </w:t>
      </w:r>
      <w:r w:rsidR="007D49CD" w:rsidRPr="00AC4AEA">
        <w:rPr>
          <w:rFonts w:ascii="Arial" w:hAnsi="Arial" w:cs="Arial"/>
          <w:sz w:val="20"/>
          <w:szCs w:val="20"/>
        </w:rPr>
        <w:t xml:space="preserve">de un </w:t>
      </w:r>
      <w:r w:rsidR="007D49CD" w:rsidRPr="00AC4AEA">
        <w:rPr>
          <w:rFonts w:ascii="Arial" w:hAnsi="Arial" w:cs="Arial"/>
          <w:b/>
          <w:bCs/>
          <w:sz w:val="20"/>
          <w:szCs w:val="20"/>
        </w:rPr>
        <w:t>activo</w:t>
      </w:r>
      <w:r w:rsidR="001C4EC4" w:rsidRPr="00AC4AEA">
        <w:rPr>
          <w:rFonts w:ascii="Arial" w:hAnsi="Arial" w:cs="Arial"/>
          <w:sz w:val="20"/>
          <w:szCs w:val="20"/>
        </w:rPr>
        <w:t>,</w:t>
      </w:r>
      <w:r w:rsidR="007D49CD" w:rsidRPr="00AC4AEA">
        <w:rPr>
          <w:rFonts w:ascii="Arial" w:hAnsi="Arial" w:cs="Arial"/>
          <w:sz w:val="20"/>
          <w:szCs w:val="20"/>
        </w:rPr>
        <w:t xml:space="preserve"> </w:t>
      </w:r>
      <w:r w:rsidR="007564D9" w:rsidRPr="00AC4AEA">
        <w:rPr>
          <w:rFonts w:ascii="Arial" w:hAnsi="Arial" w:cs="Arial"/>
          <w:sz w:val="20"/>
          <w:szCs w:val="20"/>
        </w:rPr>
        <w:t xml:space="preserve">en </w:t>
      </w:r>
      <w:r w:rsidR="007564D9" w:rsidRPr="00AC4AEA">
        <w:rPr>
          <w:rFonts w:ascii="Arial" w:hAnsi="Arial" w:cs="Arial"/>
          <w:b/>
          <w:bCs/>
          <w:sz w:val="20"/>
          <w:szCs w:val="20"/>
        </w:rPr>
        <w:t>la fecha de la medición</w:t>
      </w:r>
      <w:r w:rsidR="00A4590E" w:rsidRPr="00AC4AEA">
        <w:rPr>
          <w:rFonts w:ascii="Arial" w:hAnsi="Arial" w:cs="Arial"/>
          <w:b/>
          <w:bCs/>
          <w:sz w:val="20"/>
          <w:szCs w:val="20"/>
        </w:rPr>
        <w:t xml:space="preserve">, </w:t>
      </w:r>
      <w:r w:rsidR="00A4590E" w:rsidRPr="00AC4AEA">
        <w:rPr>
          <w:rFonts w:ascii="Arial" w:hAnsi="Arial" w:cs="Arial"/>
          <w:bCs/>
          <w:sz w:val="20"/>
          <w:szCs w:val="20"/>
        </w:rPr>
        <w:t>una entidad</w:t>
      </w:r>
      <w:r w:rsidR="007D49CD" w:rsidRPr="00AC4AEA">
        <w:rPr>
          <w:rFonts w:ascii="Arial" w:hAnsi="Arial" w:cs="Arial"/>
          <w:sz w:val="20"/>
          <w:szCs w:val="20"/>
        </w:rPr>
        <w:t>:</w:t>
      </w:r>
      <w:bookmarkEnd w:id="154"/>
    </w:p>
    <w:p w:rsidR="007D49CD" w:rsidRPr="00AC4AEA" w:rsidRDefault="0010342E" w:rsidP="008D7E7E">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estimará e</w:t>
      </w:r>
      <w:r w:rsidR="001C4EC4" w:rsidRPr="00AC4AEA">
        <w:rPr>
          <w:rFonts w:ascii="Arial" w:hAnsi="Arial" w:cs="Arial"/>
          <w:sz w:val="20"/>
          <w:szCs w:val="20"/>
        </w:rPr>
        <w:t xml:space="preserve">l </w:t>
      </w:r>
      <w:r w:rsidR="001C4EC4" w:rsidRPr="00AC4AEA">
        <w:rPr>
          <w:rFonts w:ascii="Arial" w:hAnsi="Arial" w:cs="Arial"/>
          <w:b/>
          <w:bCs/>
          <w:sz w:val="20"/>
          <w:szCs w:val="20"/>
        </w:rPr>
        <w:t>valor razonable</w:t>
      </w:r>
      <w:r w:rsidR="001C4EC4" w:rsidRPr="00AC4AEA">
        <w:rPr>
          <w:rFonts w:ascii="Arial" w:hAnsi="Arial" w:cs="Arial"/>
          <w:sz w:val="20"/>
          <w:szCs w:val="20"/>
        </w:rPr>
        <w:t xml:space="preserve"> de</w:t>
      </w:r>
      <w:r w:rsidRPr="00AC4AEA">
        <w:rPr>
          <w:rFonts w:ascii="Arial" w:hAnsi="Arial" w:cs="Arial"/>
          <w:sz w:val="20"/>
          <w:szCs w:val="20"/>
        </w:rPr>
        <w:t xml:space="preserve"> ese</w:t>
      </w:r>
      <w:r w:rsidR="001C4EC4" w:rsidRPr="00AC4AEA">
        <w:rPr>
          <w:rFonts w:ascii="Arial" w:hAnsi="Arial" w:cs="Arial"/>
          <w:sz w:val="20"/>
          <w:szCs w:val="20"/>
        </w:rPr>
        <w:t xml:space="preserve"> </w:t>
      </w:r>
      <w:r w:rsidR="001C4EC4" w:rsidRPr="00AC4AEA">
        <w:rPr>
          <w:rFonts w:ascii="Arial" w:hAnsi="Arial" w:cs="Arial"/>
          <w:b/>
          <w:bCs/>
          <w:sz w:val="20"/>
          <w:szCs w:val="20"/>
        </w:rPr>
        <w:t>activo</w:t>
      </w:r>
      <w:r w:rsidR="008D7E7E" w:rsidRPr="00AC4AEA">
        <w:rPr>
          <w:rFonts w:ascii="Arial" w:hAnsi="Arial" w:cs="Arial"/>
          <w:sz w:val="20"/>
          <w:szCs w:val="20"/>
        </w:rPr>
        <w:t xml:space="preserve"> (que </w:t>
      </w:r>
      <w:r w:rsidR="008D7E7E" w:rsidRPr="00C12159">
        <w:rPr>
          <w:rFonts w:ascii="Arial" w:hAnsi="Arial" w:cs="Arial"/>
          <w:sz w:val="20"/>
          <w:szCs w:val="20"/>
        </w:rPr>
        <w:t>inclu</w:t>
      </w:r>
      <w:r w:rsidR="00EC4149" w:rsidRPr="00C12159">
        <w:rPr>
          <w:rFonts w:ascii="Arial" w:hAnsi="Arial" w:cs="Arial"/>
          <w:sz w:val="20"/>
          <w:szCs w:val="20"/>
        </w:rPr>
        <w:t>irá</w:t>
      </w:r>
      <w:r w:rsidR="008D7E7E" w:rsidRPr="00C12159">
        <w:rPr>
          <w:rFonts w:ascii="Arial" w:hAnsi="Arial" w:cs="Arial"/>
          <w:sz w:val="20"/>
          <w:szCs w:val="20"/>
        </w:rPr>
        <w:t>,</w:t>
      </w:r>
      <w:r w:rsidR="008D7E7E" w:rsidRPr="00AC4AEA">
        <w:rPr>
          <w:rFonts w:ascii="Arial" w:hAnsi="Arial" w:cs="Arial"/>
          <w:sz w:val="20"/>
          <w:szCs w:val="20"/>
        </w:rPr>
        <w:t xml:space="preserve"> cuando corresponda, los ingresos adicionales, no atribuibles a la financiación, que la venta genere por sí misma –por ejemplo, un reembolso de exportación–, por </w:t>
      </w:r>
      <w:r w:rsidR="00860E02" w:rsidRPr="00AC4AEA">
        <w:rPr>
          <w:rFonts w:ascii="Arial" w:hAnsi="Arial" w:cs="Arial"/>
          <w:sz w:val="20"/>
          <w:szCs w:val="20"/>
        </w:rPr>
        <w:t>relacionarse</w:t>
      </w:r>
      <w:r w:rsidR="008D7E7E" w:rsidRPr="00AC4AEA">
        <w:rPr>
          <w:rFonts w:ascii="Arial" w:hAnsi="Arial" w:cs="Arial"/>
          <w:sz w:val="20"/>
          <w:szCs w:val="20"/>
        </w:rPr>
        <w:t xml:space="preserve"> </w:t>
      </w:r>
      <w:r w:rsidR="00860E02" w:rsidRPr="00AC4AEA">
        <w:rPr>
          <w:rFonts w:ascii="Arial" w:hAnsi="Arial" w:cs="Arial"/>
          <w:sz w:val="20"/>
          <w:szCs w:val="20"/>
        </w:rPr>
        <w:t>con</w:t>
      </w:r>
      <w:r w:rsidR="008D7E7E" w:rsidRPr="00AC4AEA">
        <w:rPr>
          <w:rFonts w:ascii="Arial" w:hAnsi="Arial" w:cs="Arial"/>
          <w:sz w:val="20"/>
          <w:szCs w:val="20"/>
        </w:rPr>
        <w:t xml:space="preserve"> una car</w:t>
      </w:r>
      <w:r w:rsidRPr="00AC4AEA">
        <w:rPr>
          <w:rFonts w:ascii="Arial" w:hAnsi="Arial" w:cs="Arial"/>
          <w:sz w:val="20"/>
          <w:szCs w:val="20"/>
        </w:rPr>
        <w:t xml:space="preserve">acterística del </w:t>
      </w:r>
      <w:r w:rsidRPr="00AC4AEA">
        <w:rPr>
          <w:rFonts w:ascii="Arial" w:hAnsi="Arial" w:cs="Arial"/>
          <w:b/>
          <w:bCs/>
          <w:sz w:val="20"/>
          <w:szCs w:val="20"/>
        </w:rPr>
        <w:t>activo</w:t>
      </w:r>
      <w:r w:rsidRPr="00AC4AEA">
        <w:rPr>
          <w:rFonts w:ascii="Arial" w:hAnsi="Arial" w:cs="Arial"/>
          <w:sz w:val="20"/>
          <w:szCs w:val="20"/>
        </w:rPr>
        <w:t xml:space="preserve"> concreto</w:t>
      </w:r>
      <w:r w:rsidR="008D7E7E" w:rsidRPr="00AC4AEA">
        <w:rPr>
          <w:rFonts w:ascii="Arial" w:hAnsi="Arial" w:cs="Arial"/>
          <w:sz w:val="20"/>
          <w:szCs w:val="20"/>
        </w:rPr>
        <w:t>)</w:t>
      </w:r>
      <w:r w:rsidRPr="00AC4AEA">
        <w:rPr>
          <w:rFonts w:ascii="Arial" w:hAnsi="Arial" w:cs="Arial"/>
          <w:sz w:val="20"/>
          <w:szCs w:val="20"/>
        </w:rPr>
        <w:t xml:space="preserve">, de conformidad con los párrafos </w:t>
      </w:r>
      <w:fldSimple w:instr=" REF _Ref99459999 \r \h  \* MERGEFORMAT ">
        <w:r w:rsidR="00D33A5D" w:rsidRPr="00D33A5D">
          <w:rPr>
            <w:rFonts w:ascii="Arial" w:hAnsi="Arial" w:cs="Arial"/>
            <w:sz w:val="20"/>
            <w:szCs w:val="20"/>
          </w:rPr>
          <w:t>117</w:t>
        </w:r>
      </w:fldSimple>
      <w:r w:rsidR="00EC4149">
        <w:rPr>
          <w:rFonts w:ascii="Arial" w:hAnsi="Arial" w:cs="Arial"/>
          <w:sz w:val="20"/>
          <w:szCs w:val="20"/>
        </w:rPr>
        <w:t xml:space="preserve"> </w:t>
      </w:r>
      <w:r w:rsidRPr="00AC4AEA">
        <w:rPr>
          <w:rFonts w:ascii="Arial" w:hAnsi="Arial" w:cs="Arial"/>
          <w:sz w:val="20"/>
          <w:szCs w:val="20"/>
        </w:rPr>
        <w:t xml:space="preserve">al </w:t>
      </w:r>
      <w:fldSimple w:instr=" REF _Ref99460009 \r \h  \* MERGEFORMAT ">
        <w:r w:rsidR="00D33A5D" w:rsidRPr="00D33A5D">
          <w:rPr>
            <w:rFonts w:ascii="Arial" w:hAnsi="Arial" w:cs="Arial"/>
            <w:sz w:val="20"/>
            <w:szCs w:val="20"/>
          </w:rPr>
          <w:t>122</w:t>
        </w:r>
      </w:fldSimple>
      <w:r w:rsidR="007D49CD" w:rsidRPr="00AC4AEA">
        <w:rPr>
          <w:rFonts w:ascii="Arial" w:hAnsi="Arial" w:cs="Arial"/>
          <w:sz w:val="20"/>
          <w:szCs w:val="20"/>
        </w:rPr>
        <w:t>;</w:t>
      </w:r>
      <w:r w:rsidRPr="00AC4AEA">
        <w:rPr>
          <w:rFonts w:ascii="Arial" w:hAnsi="Arial" w:cs="Arial"/>
          <w:sz w:val="20"/>
          <w:szCs w:val="20"/>
        </w:rPr>
        <w:t xml:space="preserve"> y</w:t>
      </w:r>
    </w:p>
    <w:p w:rsidR="007D49CD" w:rsidRPr="00AC4AEA" w:rsidRDefault="0010342E" w:rsidP="00492773">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deducirá del </w:t>
      </w:r>
      <w:r w:rsidRPr="00AC4AEA">
        <w:rPr>
          <w:rFonts w:ascii="Arial" w:hAnsi="Arial" w:cs="Arial"/>
          <w:b/>
          <w:bCs/>
          <w:sz w:val="20"/>
          <w:szCs w:val="20"/>
        </w:rPr>
        <w:t>valor razonable</w:t>
      </w:r>
      <w:r w:rsidRPr="00AC4AEA">
        <w:rPr>
          <w:rFonts w:ascii="Arial" w:hAnsi="Arial" w:cs="Arial"/>
          <w:sz w:val="20"/>
          <w:szCs w:val="20"/>
        </w:rPr>
        <w:t xml:space="preserve"> </w:t>
      </w:r>
      <w:r w:rsidR="00C33BBE" w:rsidRPr="00AC4AEA">
        <w:rPr>
          <w:rFonts w:ascii="Arial" w:hAnsi="Arial" w:cs="Arial"/>
          <w:sz w:val="20"/>
          <w:szCs w:val="20"/>
        </w:rPr>
        <w:t>los costos ocasionados directamente por la venta (comisiones, impuesto a los ingresos brutos y similares)</w:t>
      </w:r>
      <w:r w:rsidR="00860E02" w:rsidRPr="00AC4AEA">
        <w:rPr>
          <w:rFonts w:ascii="Arial" w:hAnsi="Arial" w:cs="Arial"/>
          <w:sz w:val="20"/>
          <w:szCs w:val="20"/>
        </w:rPr>
        <w:t>.</w:t>
      </w:r>
    </w:p>
    <w:p w:rsidR="00AE7883" w:rsidRPr="00AC4AEA" w:rsidRDefault="00AE7883" w:rsidP="00A318EA">
      <w:pPr>
        <w:pStyle w:val="Ttulo1"/>
        <w:rPr>
          <w:rFonts w:cs="Arial"/>
          <w:sz w:val="20"/>
          <w:szCs w:val="20"/>
        </w:rPr>
      </w:pPr>
      <w:bookmarkStart w:id="155" w:name="_Toc101863746"/>
    </w:p>
    <w:p w:rsidR="0090400F" w:rsidRPr="00AC4AEA" w:rsidRDefault="000719CC" w:rsidP="00A318EA">
      <w:pPr>
        <w:pStyle w:val="Ttulo1"/>
        <w:rPr>
          <w:rFonts w:cs="Arial"/>
          <w:sz w:val="20"/>
          <w:szCs w:val="20"/>
        </w:rPr>
      </w:pPr>
      <w:bookmarkStart w:id="156" w:name="_Toc139356610"/>
      <w:r w:rsidRPr="00AC4AEA">
        <w:rPr>
          <w:rFonts w:cs="Arial"/>
          <w:sz w:val="20"/>
          <w:szCs w:val="20"/>
        </w:rPr>
        <w:t>MEDICIONES EN MONEDA EXTRANJERA</w:t>
      </w:r>
      <w:bookmarkEnd w:id="155"/>
      <w:bookmarkEnd w:id="156"/>
    </w:p>
    <w:p w:rsidR="005B3F73" w:rsidRPr="00AC4AEA" w:rsidRDefault="005B3F73" w:rsidP="00A318EA">
      <w:pPr>
        <w:pStyle w:val="Ttulo2"/>
        <w:rPr>
          <w:rFonts w:cs="Arial"/>
        </w:rPr>
      </w:pPr>
      <w:bookmarkStart w:id="157" w:name="_Toc101863747"/>
      <w:bookmarkStart w:id="158" w:name="_Toc139356611"/>
      <w:r w:rsidRPr="00AC4AEA">
        <w:rPr>
          <w:rFonts w:cs="Arial"/>
        </w:rPr>
        <w:t xml:space="preserve">Conversión de </w:t>
      </w:r>
      <w:r w:rsidR="0052091A" w:rsidRPr="00AC4AEA">
        <w:rPr>
          <w:rFonts w:cs="Arial"/>
        </w:rPr>
        <w:t xml:space="preserve">transacciones y saldos de </w:t>
      </w:r>
      <w:r w:rsidR="00497590" w:rsidRPr="00AC4AEA">
        <w:rPr>
          <w:rFonts w:cs="Arial"/>
        </w:rPr>
        <w:t>activos</w:t>
      </w:r>
      <w:r w:rsidRPr="00AC4AEA">
        <w:rPr>
          <w:rFonts w:cs="Arial"/>
        </w:rPr>
        <w:t xml:space="preserve"> y </w:t>
      </w:r>
      <w:r w:rsidR="00497590" w:rsidRPr="00AC4AEA">
        <w:rPr>
          <w:rFonts w:cs="Arial"/>
        </w:rPr>
        <w:t>pasivos</w:t>
      </w:r>
      <w:r w:rsidRPr="00AC4AEA">
        <w:rPr>
          <w:rFonts w:cs="Arial"/>
        </w:rPr>
        <w:t xml:space="preserve"> expresados en moneda extranjera</w:t>
      </w:r>
      <w:bookmarkEnd w:id="157"/>
      <w:bookmarkEnd w:id="158"/>
    </w:p>
    <w:p w:rsidR="0052091A" w:rsidRPr="00AC4AEA" w:rsidRDefault="0052091A" w:rsidP="00A318EA">
      <w:pPr>
        <w:pStyle w:val="Prrafodelista"/>
        <w:numPr>
          <w:ilvl w:val="0"/>
          <w:numId w:val="29"/>
        </w:numPr>
        <w:contextualSpacing w:val="0"/>
        <w:jc w:val="both"/>
        <w:rPr>
          <w:rFonts w:ascii="Arial" w:hAnsi="Arial" w:cs="Arial"/>
          <w:sz w:val="20"/>
          <w:szCs w:val="20"/>
        </w:rPr>
      </w:pPr>
      <w:bookmarkStart w:id="159" w:name="_Ref139272499"/>
      <w:r w:rsidRPr="00AC4AEA">
        <w:rPr>
          <w:rFonts w:ascii="Arial" w:hAnsi="Arial" w:cs="Arial"/>
          <w:sz w:val="20"/>
          <w:szCs w:val="20"/>
        </w:rPr>
        <w:t xml:space="preserve">A los fines de medir en </w:t>
      </w:r>
      <w:r w:rsidRPr="002B0F58">
        <w:rPr>
          <w:rFonts w:ascii="Arial" w:hAnsi="Arial" w:cs="Arial"/>
          <w:b/>
          <w:bCs/>
          <w:sz w:val="20"/>
          <w:szCs w:val="20"/>
        </w:rPr>
        <w:t>moneda argentina</w:t>
      </w:r>
      <w:r w:rsidRPr="00AC4AEA">
        <w:rPr>
          <w:rFonts w:ascii="Arial" w:hAnsi="Arial" w:cs="Arial"/>
          <w:sz w:val="20"/>
          <w:szCs w:val="20"/>
        </w:rPr>
        <w:t xml:space="preserve"> una transacción o los saldos de activos y pasivos en </w:t>
      </w:r>
      <w:r w:rsidRPr="002B0F58">
        <w:rPr>
          <w:rFonts w:ascii="Arial" w:hAnsi="Arial" w:cs="Arial"/>
          <w:b/>
          <w:bCs/>
          <w:sz w:val="20"/>
          <w:szCs w:val="20"/>
        </w:rPr>
        <w:t>moneda extranjera</w:t>
      </w:r>
      <w:r w:rsidRPr="00AC4AEA">
        <w:rPr>
          <w:rFonts w:ascii="Arial" w:hAnsi="Arial" w:cs="Arial"/>
          <w:sz w:val="20"/>
          <w:szCs w:val="20"/>
        </w:rPr>
        <w:t>, u</w:t>
      </w:r>
      <w:r w:rsidR="0090400F" w:rsidRPr="00AC4AEA">
        <w:rPr>
          <w:rFonts w:ascii="Arial" w:hAnsi="Arial" w:cs="Arial"/>
          <w:sz w:val="20"/>
          <w:szCs w:val="20"/>
        </w:rPr>
        <w:t>na entidad</w:t>
      </w:r>
      <w:r w:rsidRPr="00AC4AEA">
        <w:rPr>
          <w:rFonts w:ascii="Arial" w:hAnsi="Arial" w:cs="Arial"/>
          <w:sz w:val="20"/>
          <w:szCs w:val="20"/>
        </w:rPr>
        <w:t>:</w:t>
      </w:r>
      <w:bookmarkEnd w:id="159"/>
    </w:p>
    <w:p w:rsidR="0052091A" w:rsidRPr="00AC4AEA" w:rsidRDefault="0052091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aplicará las normas de reconocimiento y medición correspondientes a cada transacción o elemento; y</w:t>
      </w:r>
    </w:p>
    <w:p w:rsidR="0052091A" w:rsidRPr="00AC4AEA" w:rsidRDefault="0090400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 xml:space="preserve"> </w:t>
      </w:r>
      <w:r w:rsidR="0052091A" w:rsidRPr="00AC4AEA">
        <w:rPr>
          <w:rFonts w:ascii="Arial" w:hAnsi="Arial" w:cs="Arial"/>
          <w:sz w:val="20"/>
          <w:szCs w:val="20"/>
        </w:rPr>
        <w:t xml:space="preserve">convertirá a </w:t>
      </w:r>
      <w:r w:rsidR="0052091A" w:rsidRPr="002B0F58">
        <w:rPr>
          <w:rFonts w:ascii="Arial" w:hAnsi="Arial" w:cs="Arial"/>
          <w:b/>
          <w:bCs/>
          <w:sz w:val="20"/>
          <w:szCs w:val="20"/>
        </w:rPr>
        <w:t>moneda argentina</w:t>
      </w:r>
      <w:r w:rsidR="0052091A" w:rsidRPr="00AC4AEA">
        <w:rPr>
          <w:rFonts w:ascii="Arial" w:hAnsi="Arial" w:cs="Arial"/>
          <w:sz w:val="20"/>
          <w:szCs w:val="20"/>
        </w:rPr>
        <w:t xml:space="preserve">: </w:t>
      </w:r>
    </w:p>
    <w:p w:rsidR="0052091A" w:rsidRPr="00AC4AEA" w:rsidRDefault="0052091A" w:rsidP="00157D31">
      <w:pPr>
        <w:pStyle w:val="Prrafodelista"/>
        <w:numPr>
          <w:ilvl w:val="2"/>
          <w:numId w:val="29"/>
        </w:numPr>
        <w:ind w:left="2127"/>
        <w:contextualSpacing w:val="0"/>
        <w:jc w:val="both"/>
        <w:rPr>
          <w:rFonts w:ascii="Arial" w:hAnsi="Arial" w:cs="Arial"/>
          <w:sz w:val="20"/>
          <w:szCs w:val="20"/>
        </w:rPr>
      </w:pPr>
      <w:r w:rsidRPr="00AC4AEA">
        <w:rPr>
          <w:rFonts w:ascii="Arial" w:hAnsi="Arial" w:cs="Arial"/>
          <w:sz w:val="20"/>
          <w:szCs w:val="20"/>
        </w:rPr>
        <w:t xml:space="preserve">las transacciones, de modo que resulte una medición representativa de las compras, ventas, pagos, cobros u otras transacciones; y </w:t>
      </w:r>
    </w:p>
    <w:p w:rsidR="007D7512" w:rsidRPr="00AC4AEA" w:rsidRDefault="0052091A" w:rsidP="00157D31">
      <w:pPr>
        <w:pStyle w:val="Prrafodelista"/>
        <w:numPr>
          <w:ilvl w:val="2"/>
          <w:numId w:val="29"/>
        </w:numPr>
        <w:ind w:left="2127"/>
        <w:contextualSpacing w:val="0"/>
        <w:jc w:val="both"/>
        <w:rPr>
          <w:rFonts w:ascii="Arial" w:hAnsi="Arial" w:cs="Arial"/>
          <w:sz w:val="20"/>
          <w:szCs w:val="20"/>
        </w:rPr>
      </w:pPr>
      <w:r w:rsidRPr="00AC4AEA">
        <w:rPr>
          <w:rFonts w:ascii="Arial" w:hAnsi="Arial" w:cs="Arial"/>
          <w:sz w:val="20"/>
          <w:szCs w:val="20"/>
        </w:rPr>
        <w:t>los saldos al cierre de activos y pasivos de manera que resulte una medición representativa de tales saldos.</w:t>
      </w:r>
    </w:p>
    <w:p w:rsidR="005B3F73"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contabilizará las diferencias de cambio, surgidas de la medición </w:t>
      </w:r>
      <w:r w:rsidR="001F015D" w:rsidRPr="00AC4AEA">
        <w:rPr>
          <w:rFonts w:ascii="Arial" w:hAnsi="Arial" w:cs="Arial"/>
          <w:sz w:val="20"/>
          <w:szCs w:val="20"/>
        </w:rPr>
        <w:t>posterior</w:t>
      </w:r>
      <w:r w:rsidRPr="00AC4AEA">
        <w:rPr>
          <w:rFonts w:ascii="Arial" w:hAnsi="Arial" w:cs="Arial"/>
          <w:sz w:val="20"/>
          <w:szCs w:val="20"/>
        </w:rPr>
        <w:t xml:space="preserve"> de</w:t>
      </w:r>
      <w:r w:rsidR="00FC5EC3" w:rsidRPr="00AC4AEA">
        <w:rPr>
          <w:rFonts w:ascii="Arial" w:hAnsi="Arial" w:cs="Arial"/>
          <w:sz w:val="20"/>
          <w:szCs w:val="20"/>
        </w:rPr>
        <w:t>l</w:t>
      </w:r>
      <w:r w:rsidRPr="00AC4AEA">
        <w:rPr>
          <w:rFonts w:ascii="Arial" w:hAnsi="Arial" w:cs="Arial"/>
          <w:sz w:val="20"/>
          <w:szCs w:val="20"/>
        </w:rPr>
        <w:t xml:space="preserve"> </w:t>
      </w:r>
      <w:r w:rsidR="007B7E5B" w:rsidRPr="00AC4AEA">
        <w:rPr>
          <w:rFonts w:ascii="Arial" w:hAnsi="Arial" w:cs="Arial"/>
          <w:sz w:val="20"/>
          <w:szCs w:val="20"/>
        </w:rPr>
        <w:t xml:space="preserve">efectivo en </w:t>
      </w:r>
      <w:r w:rsidR="007B7E5B" w:rsidRPr="002B0F58">
        <w:rPr>
          <w:rFonts w:ascii="Arial" w:hAnsi="Arial" w:cs="Arial"/>
          <w:b/>
          <w:bCs/>
          <w:sz w:val="20"/>
          <w:szCs w:val="20"/>
        </w:rPr>
        <w:t>moneda extranjera</w:t>
      </w:r>
      <w:r w:rsidR="007B7E5B" w:rsidRPr="00AC4AEA">
        <w:rPr>
          <w:rFonts w:ascii="Arial" w:hAnsi="Arial" w:cs="Arial"/>
          <w:sz w:val="20"/>
          <w:szCs w:val="20"/>
        </w:rPr>
        <w:t xml:space="preserve">, </w:t>
      </w:r>
      <w:r w:rsidR="00FC5EC3" w:rsidRPr="00AC4AEA">
        <w:rPr>
          <w:rFonts w:ascii="Arial" w:hAnsi="Arial" w:cs="Arial"/>
          <w:sz w:val="20"/>
          <w:szCs w:val="20"/>
        </w:rPr>
        <w:t xml:space="preserve">los </w:t>
      </w:r>
      <w:r w:rsidR="007B7E5B" w:rsidRPr="00AC4AEA">
        <w:rPr>
          <w:rFonts w:ascii="Arial" w:hAnsi="Arial" w:cs="Arial"/>
          <w:sz w:val="20"/>
          <w:szCs w:val="20"/>
        </w:rPr>
        <w:t xml:space="preserve">derechos a recibir una suma en </w:t>
      </w:r>
      <w:r w:rsidR="007B7E5B" w:rsidRPr="002B0F58">
        <w:rPr>
          <w:rFonts w:ascii="Arial" w:hAnsi="Arial" w:cs="Arial"/>
          <w:b/>
          <w:bCs/>
          <w:sz w:val="20"/>
          <w:szCs w:val="20"/>
        </w:rPr>
        <w:t>moneda extranjera</w:t>
      </w:r>
      <w:r w:rsidR="007B7E5B" w:rsidRPr="00AC4AEA">
        <w:rPr>
          <w:rFonts w:ascii="Arial" w:hAnsi="Arial" w:cs="Arial"/>
          <w:sz w:val="20"/>
          <w:szCs w:val="20"/>
        </w:rPr>
        <w:t xml:space="preserve"> y </w:t>
      </w:r>
      <w:r w:rsidR="00FC5EC3" w:rsidRPr="00AC4AEA">
        <w:rPr>
          <w:rFonts w:ascii="Arial" w:hAnsi="Arial" w:cs="Arial"/>
          <w:sz w:val="20"/>
          <w:szCs w:val="20"/>
        </w:rPr>
        <w:t xml:space="preserve">las </w:t>
      </w:r>
      <w:r w:rsidR="007B7E5B" w:rsidRPr="00AC4AEA">
        <w:rPr>
          <w:rFonts w:ascii="Arial" w:hAnsi="Arial" w:cs="Arial"/>
          <w:sz w:val="20"/>
          <w:szCs w:val="20"/>
        </w:rPr>
        <w:t xml:space="preserve">obligaciones de entregar una suma en </w:t>
      </w:r>
      <w:r w:rsidR="007B7E5B" w:rsidRPr="002B0F58">
        <w:rPr>
          <w:rFonts w:ascii="Arial" w:hAnsi="Arial" w:cs="Arial"/>
          <w:b/>
          <w:bCs/>
          <w:sz w:val="20"/>
          <w:szCs w:val="20"/>
        </w:rPr>
        <w:t>moneda extranjera</w:t>
      </w:r>
      <w:r w:rsidRPr="00AC4AEA">
        <w:rPr>
          <w:rFonts w:ascii="Arial" w:hAnsi="Arial" w:cs="Arial"/>
          <w:sz w:val="20"/>
          <w:szCs w:val="20"/>
        </w:rPr>
        <w:t xml:space="preserve">, como </w:t>
      </w:r>
      <w:r w:rsidR="00EA699F" w:rsidRPr="00AC4AEA">
        <w:rPr>
          <w:rFonts w:ascii="Arial" w:hAnsi="Arial" w:cs="Arial"/>
          <w:b/>
          <w:bCs/>
          <w:sz w:val="20"/>
          <w:szCs w:val="20"/>
        </w:rPr>
        <w:t>ingresos financieros</w:t>
      </w:r>
      <w:r w:rsidR="00FE5B18" w:rsidRPr="00AC4AEA">
        <w:rPr>
          <w:rFonts w:ascii="Arial" w:hAnsi="Arial" w:cs="Arial"/>
          <w:sz w:val="20"/>
          <w:szCs w:val="20"/>
        </w:rPr>
        <w:t>,</w:t>
      </w:r>
      <w:r w:rsidRPr="00AC4AEA">
        <w:rPr>
          <w:rFonts w:ascii="Arial" w:hAnsi="Arial" w:cs="Arial"/>
          <w:sz w:val="20"/>
          <w:szCs w:val="20"/>
        </w:rPr>
        <w:t xml:space="preserve"> o </w:t>
      </w:r>
      <w:r w:rsidRPr="00AC4AEA">
        <w:rPr>
          <w:rFonts w:ascii="Arial" w:hAnsi="Arial" w:cs="Arial"/>
          <w:b/>
          <w:bCs/>
          <w:sz w:val="20"/>
          <w:szCs w:val="20"/>
        </w:rPr>
        <w:t>costos financieros</w:t>
      </w:r>
      <w:r w:rsidR="00DC1BF3" w:rsidRPr="00AC4AEA">
        <w:rPr>
          <w:rFonts w:ascii="Arial" w:hAnsi="Arial" w:cs="Arial"/>
          <w:b/>
          <w:bCs/>
          <w:sz w:val="20"/>
          <w:szCs w:val="20"/>
        </w:rPr>
        <w:t xml:space="preserve"> </w:t>
      </w:r>
      <w:r w:rsidR="00C97BAB" w:rsidRPr="00AC4AEA">
        <w:rPr>
          <w:rFonts w:ascii="Arial" w:hAnsi="Arial" w:cs="Arial"/>
          <w:sz w:val="20"/>
          <w:szCs w:val="20"/>
        </w:rPr>
        <w:t>(</w:t>
      </w:r>
      <w:r w:rsidR="00DC1BF3" w:rsidRPr="00AC4AEA">
        <w:rPr>
          <w:rFonts w:ascii="Arial" w:hAnsi="Arial" w:cs="Arial"/>
          <w:sz w:val="20"/>
          <w:szCs w:val="20"/>
        </w:rPr>
        <w:t xml:space="preserve">de acuerdo </w:t>
      </w:r>
      <w:r w:rsidR="00527265" w:rsidRPr="00AC4AEA">
        <w:rPr>
          <w:rFonts w:ascii="Arial" w:hAnsi="Arial" w:cs="Arial"/>
          <w:sz w:val="20"/>
          <w:szCs w:val="20"/>
        </w:rPr>
        <w:t xml:space="preserve">con </w:t>
      </w:r>
      <w:r w:rsidR="00DC1BF3" w:rsidRPr="00AC4AEA">
        <w:rPr>
          <w:rFonts w:ascii="Arial" w:hAnsi="Arial" w:cs="Arial"/>
          <w:sz w:val="20"/>
          <w:szCs w:val="20"/>
        </w:rPr>
        <w:t xml:space="preserve">lo establecido por el párrafo </w:t>
      </w:r>
      <w:fldSimple w:instr=" REF _Ref75511013 \r \h  \* MERGEFORMAT ">
        <w:r w:rsidR="00D33A5D" w:rsidRPr="00D33A5D">
          <w:rPr>
            <w:rFonts w:ascii="Arial" w:hAnsi="Arial" w:cs="Arial"/>
            <w:sz w:val="20"/>
            <w:szCs w:val="20"/>
          </w:rPr>
          <w:t>136</w:t>
        </w:r>
      </w:fldSimple>
      <w:r w:rsidR="00C97BAB" w:rsidRPr="00AC4AEA">
        <w:rPr>
          <w:rFonts w:ascii="Arial" w:hAnsi="Arial" w:cs="Arial"/>
          <w:sz w:val="20"/>
          <w:szCs w:val="20"/>
        </w:rPr>
        <w:t>)</w:t>
      </w:r>
      <w:r w:rsidRPr="00AC4AEA">
        <w:rPr>
          <w:rFonts w:ascii="Arial" w:hAnsi="Arial" w:cs="Arial"/>
          <w:sz w:val="20"/>
          <w:szCs w:val="20"/>
        </w:rPr>
        <w:t>, según corresponda</w:t>
      </w:r>
      <w:r w:rsidR="00DC1BF3" w:rsidRPr="00AC4AEA">
        <w:rPr>
          <w:rFonts w:ascii="Arial" w:hAnsi="Arial" w:cs="Arial"/>
          <w:sz w:val="20"/>
          <w:szCs w:val="20"/>
        </w:rPr>
        <w:t>.</w:t>
      </w:r>
    </w:p>
    <w:p w:rsidR="00B47B5E" w:rsidRPr="00AC4AEA" w:rsidRDefault="0052091A" w:rsidP="00A318EA">
      <w:pPr>
        <w:pStyle w:val="Prrafodelista"/>
        <w:numPr>
          <w:ilvl w:val="0"/>
          <w:numId w:val="29"/>
        </w:numPr>
        <w:contextualSpacing w:val="0"/>
        <w:jc w:val="both"/>
        <w:rPr>
          <w:rFonts w:ascii="Arial" w:hAnsi="Arial" w:cs="Arial"/>
          <w:sz w:val="20"/>
          <w:szCs w:val="20"/>
        </w:rPr>
      </w:pPr>
      <w:bookmarkStart w:id="160" w:name="_Ref99459046"/>
      <w:r w:rsidRPr="00AC4AEA">
        <w:rPr>
          <w:rFonts w:ascii="Arial" w:hAnsi="Arial" w:cs="Arial"/>
          <w:sz w:val="20"/>
          <w:szCs w:val="20"/>
        </w:rPr>
        <w:t>A los fines indicados en los dos párrafos precedentes, una entidad empleará el tipo de cambio correspondiente</w:t>
      </w:r>
      <w:bookmarkEnd w:id="160"/>
      <w:r w:rsidRPr="00AC4AEA">
        <w:rPr>
          <w:rFonts w:ascii="Arial" w:hAnsi="Arial" w:cs="Arial"/>
          <w:sz w:val="20"/>
          <w:szCs w:val="20"/>
        </w:rPr>
        <w:t xml:space="preserve"> a:</w:t>
      </w:r>
    </w:p>
    <w:p w:rsidR="0052091A" w:rsidRPr="00AC4AEA" w:rsidRDefault="0052091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Pr="00AC4AEA">
        <w:rPr>
          <w:rFonts w:ascii="Arial" w:hAnsi="Arial" w:cs="Arial"/>
          <w:b/>
          <w:bCs/>
          <w:sz w:val="20"/>
          <w:szCs w:val="20"/>
        </w:rPr>
        <w:t>fecha de los estados contables</w:t>
      </w:r>
      <w:r w:rsidRPr="00AC4AEA">
        <w:rPr>
          <w:rFonts w:ascii="Arial" w:hAnsi="Arial" w:cs="Arial"/>
          <w:sz w:val="20"/>
          <w:szCs w:val="20"/>
        </w:rPr>
        <w:t xml:space="preserve"> cuando mida: </w:t>
      </w:r>
    </w:p>
    <w:p w:rsidR="0052091A" w:rsidRPr="00AC4AEA" w:rsidRDefault="00ED6767"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b/>
          <w:bCs/>
          <w:sz w:val="20"/>
          <w:szCs w:val="20"/>
        </w:rPr>
        <w:t>valor</w:t>
      </w:r>
      <w:r w:rsidR="00591815" w:rsidRPr="00AC4AEA">
        <w:rPr>
          <w:rFonts w:ascii="Arial" w:hAnsi="Arial" w:cs="Arial"/>
          <w:b/>
          <w:bCs/>
          <w:sz w:val="20"/>
          <w:szCs w:val="20"/>
        </w:rPr>
        <w:t>es</w:t>
      </w:r>
      <w:r w:rsidRPr="00AC4AEA">
        <w:rPr>
          <w:rFonts w:ascii="Arial" w:hAnsi="Arial" w:cs="Arial"/>
          <w:b/>
          <w:bCs/>
          <w:sz w:val="20"/>
          <w:szCs w:val="20"/>
        </w:rPr>
        <w:t xml:space="preserve"> </w:t>
      </w:r>
      <w:r w:rsidR="00591815" w:rsidRPr="00AC4AEA">
        <w:rPr>
          <w:rFonts w:ascii="Arial" w:hAnsi="Arial" w:cs="Arial"/>
          <w:b/>
          <w:bCs/>
          <w:sz w:val="20"/>
          <w:szCs w:val="20"/>
        </w:rPr>
        <w:t>corrientes</w:t>
      </w:r>
      <w:r w:rsidR="00591815" w:rsidRPr="00AC4AEA">
        <w:rPr>
          <w:rFonts w:ascii="Arial" w:hAnsi="Arial" w:cs="Arial"/>
          <w:sz w:val="20"/>
          <w:szCs w:val="20"/>
        </w:rPr>
        <w:t>,</w:t>
      </w:r>
      <w:r w:rsidRPr="00AC4AEA">
        <w:rPr>
          <w:rFonts w:ascii="Arial" w:hAnsi="Arial" w:cs="Arial"/>
          <w:sz w:val="20"/>
          <w:szCs w:val="20"/>
        </w:rPr>
        <w:t xml:space="preserve"> expresado</w:t>
      </w:r>
      <w:r w:rsidR="00591815" w:rsidRPr="00AC4AEA">
        <w:rPr>
          <w:rFonts w:ascii="Arial" w:hAnsi="Arial" w:cs="Arial"/>
          <w:sz w:val="20"/>
          <w:szCs w:val="20"/>
        </w:rPr>
        <w:t>s</w:t>
      </w:r>
      <w:r w:rsidRPr="00AC4AEA">
        <w:rPr>
          <w:rFonts w:ascii="Arial" w:hAnsi="Arial" w:cs="Arial"/>
          <w:sz w:val="20"/>
          <w:szCs w:val="20"/>
        </w:rPr>
        <w:t xml:space="preserve"> en </w:t>
      </w:r>
      <w:r w:rsidRPr="002B0F58">
        <w:rPr>
          <w:rFonts w:ascii="Arial" w:hAnsi="Arial" w:cs="Arial"/>
          <w:b/>
          <w:bCs/>
          <w:sz w:val="20"/>
          <w:szCs w:val="20"/>
        </w:rPr>
        <w:t>moneda e</w:t>
      </w:r>
      <w:r w:rsidR="00591815" w:rsidRPr="002B0F58">
        <w:rPr>
          <w:rFonts w:ascii="Arial" w:hAnsi="Arial" w:cs="Arial"/>
          <w:b/>
          <w:bCs/>
          <w:sz w:val="20"/>
          <w:szCs w:val="20"/>
        </w:rPr>
        <w:t>xtranjera</w:t>
      </w:r>
      <w:r w:rsidR="00591815" w:rsidRPr="00AC4AEA">
        <w:rPr>
          <w:rFonts w:ascii="Arial" w:hAnsi="Arial" w:cs="Arial"/>
          <w:sz w:val="20"/>
          <w:szCs w:val="20"/>
        </w:rPr>
        <w:t xml:space="preserve">, </w:t>
      </w:r>
      <w:r w:rsidRPr="00AC4AEA">
        <w:rPr>
          <w:rFonts w:ascii="Arial" w:hAnsi="Arial" w:cs="Arial"/>
          <w:sz w:val="20"/>
          <w:szCs w:val="20"/>
        </w:rPr>
        <w:t xml:space="preserve">de </w:t>
      </w:r>
      <w:r w:rsidR="0052091A" w:rsidRPr="00AC4AEA">
        <w:rPr>
          <w:rFonts w:ascii="Arial" w:hAnsi="Arial" w:cs="Arial"/>
          <w:sz w:val="20"/>
          <w:szCs w:val="20"/>
        </w:rPr>
        <w:t>activos o pasivos; o</w:t>
      </w:r>
    </w:p>
    <w:p w:rsidR="0052091A" w:rsidRPr="00AC4AEA" w:rsidRDefault="007B7E5B"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efectivo en </w:t>
      </w:r>
      <w:r w:rsidRPr="002B0F58">
        <w:rPr>
          <w:rFonts w:ascii="Arial" w:hAnsi="Arial" w:cs="Arial"/>
          <w:b/>
          <w:bCs/>
          <w:sz w:val="20"/>
          <w:szCs w:val="20"/>
        </w:rPr>
        <w:t>moneda extranjera</w:t>
      </w:r>
      <w:r w:rsidRPr="00AC4AEA">
        <w:rPr>
          <w:rFonts w:ascii="Arial" w:hAnsi="Arial" w:cs="Arial"/>
          <w:sz w:val="20"/>
          <w:szCs w:val="20"/>
        </w:rPr>
        <w:t xml:space="preserve">, derechos a recibir una suma en </w:t>
      </w:r>
      <w:r w:rsidRPr="002B0F58">
        <w:rPr>
          <w:rFonts w:ascii="Arial" w:hAnsi="Arial" w:cs="Arial"/>
          <w:b/>
          <w:bCs/>
          <w:sz w:val="20"/>
          <w:szCs w:val="20"/>
        </w:rPr>
        <w:t>moneda extranjera</w:t>
      </w:r>
      <w:r w:rsidRPr="00AC4AEA">
        <w:rPr>
          <w:rFonts w:ascii="Arial" w:hAnsi="Arial" w:cs="Arial"/>
          <w:sz w:val="20"/>
          <w:szCs w:val="20"/>
        </w:rPr>
        <w:t xml:space="preserve"> y obligaciones de entregar una suma en </w:t>
      </w:r>
      <w:r w:rsidRPr="002B0F58">
        <w:rPr>
          <w:rFonts w:ascii="Arial" w:hAnsi="Arial" w:cs="Arial"/>
          <w:b/>
          <w:bCs/>
          <w:sz w:val="20"/>
          <w:szCs w:val="20"/>
        </w:rPr>
        <w:t>moneda extranjera</w:t>
      </w:r>
      <w:r w:rsidR="0052091A" w:rsidRPr="00AC4AEA">
        <w:rPr>
          <w:rFonts w:ascii="Arial" w:hAnsi="Arial" w:cs="Arial"/>
          <w:sz w:val="20"/>
          <w:szCs w:val="20"/>
        </w:rPr>
        <w:t>.</w:t>
      </w:r>
    </w:p>
    <w:p w:rsidR="0052091A" w:rsidRPr="00AC4AEA" w:rsidRDefault="0052091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las fechas de cada una de las transacciones, cuando contabilice compras, ventas, pagos, cobros u otras transacciones.</w:t>
      </w:r>
    </w:p>
    <w:p w:rsidR="005B3F73" w:rsidRPr="00AC4AEA" w:rsidRDefault="005B3F73" w:rsidP="00A318EA">
      <w:pPr>
        <w:jc w:val="both"/>
        <w:rPr>
          <w:rFonts w:ascii="Arial" w:hAnsi="Arial" w:cs="Arial"/>
          <w:sz w:val="20"/>
          <w:szCs w:val="20"/>
        </w:rPr>
      </w:pPr>
    </w:p>
    <w:p w:rsidR="005B3F73" w:rsidRPr="00AC4AEA" w:rsidRDefault="005B3F73" w:rsidP="00A318EA">
      <w:pPr>
        <w:pStyle w:val="Ttulo2"/>
        <w:rPr>
          <w:rFonts w:cs="Arial"/>
        </w:rPr>
      </w:pPr>
      <w:bookmarkStart w:id="161" w:name="_Toc101863749"/>
      <w:bookmarkStart w:id="162" w:name="_Toc139356612"/>
      <w:r w:rsidRPr="00AC4AEA">
        <w:rPr>
          <w:rFonts w:cs="Arial"/>
        </w:rPr>
        <w:t>Cuestiones particulares</w:t>
      </w:r>
      <w:bookmarkEnd w:id="161"/>
      <w:bookmarkEnd w:id="162"/>
    </w:p>
    <w:p w:rsidR="0019493B" w:rsidRPr="00AC4AEA" w:rsidRDefault="001F60E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Si existieran restricciones para el acceso al mercado oficial de cambios, y ciertos </w:t>
      </w:r>
      <w:r w:rsidR="00497590" w:rsidRPr="00AC4AEA">
        <w:rPr>
          <w:rFonts w:ascii="Arial" w:hAnsi="Arial" w:cs="Arial"/>
          <w:sz w:val="20"/>
          <w:szCs w:val="20"/>
        </w:rPr>
        <w:t>activos</w:t>
      </w:r>
      <w:r w:rsidRPr="00AC4AEA">
        <w:rPr>
          <w:rFonts w:ascii="Arial" w:hAnsi="Arial" w:cs="Arial"/>
          <w:sz w:val="20"/>
          <w:szCs w:val="20"/>
        </w:rPr>
        <w:t xml:space="preserve"> o </w:t>
      </w:r>
      <w:r w:rsidR="00497590" w:rsidRPr="00AC4AEA">
        <w:rPr>
          <w:rFonts w:ascii="Arial" w:hAnsi="Arial" w:cs="Arial"/>
          <w:sz w:val="20"/>
          <w:szCs w:val="20"/>
        </w:rPr>
        <w:t>pasivos</w:t>
      </w:r>
      <w:r w:rsidRPr="00AC4AEA">
        <w:rPr>
          <w:rFonts w:ascii="Arial" w:hAnsi="Arial" w:cs="Arial"/>
          <w:sz w:val="20"/>
          <w:szCs w:val="20"/>
        </w:rPr>
        <w:t xml:space="preserve"> en </w:t>
      </w:r>
      <w:r w:rsidRPr="002B0F58">
        <w:rPr>
          <w:rFonts w:ascii="Arial" w:hAnsi="Arial" w:cs="Arial"/>
          <w:b/>
          <w:bCs/>
          <w:sz w:val="20"/>
          <w:szCs w:val="20"/>
        </w:rPr>
        <w:t>moneda extranjera</w:t>
      </w:r>
      <w:r w:rsidRPr="00AC4AEA">
        <w:rPr>
          <w:rFonts w:ascii="Arial" w:hAnsi="Arial" w:cs="Arial"/>
          <w:sz w:val="20"/>
          <w:szCs w:val="20"/>
        </w:rPr>
        <w:t xml:space="preserve"> </w:t>
      </w:r>
      <w:r w:rsidR="00C33BBE" w:rsidRPr="00AC4AEA">
        <w:rPr>
          <w:rFonts w:ascii="Arial" w:hAnsi="Arial" w:cs="Arial"/>
          <w:sz w:val="20"/>
          <w:szCs w:val="20"/>
        </w:rPr>
        <w:t>tuvieran</w:t>
      </w:r>
      <w:r w:rsidRPr="00AC4AEA">
        <w:rPr>
          <w:rFonts w:ascii="Arial" w:hAnsi="Arial" w:cs="Arial"/>
          <w:sz w:val="20"/>
          <w:szCs w:val="20"/>
        </w:rPr>
        <w:t xml:space="preserve"> que liquidarse o cancelarse utilizando mercados alternativos válidos para tal fin, pero a valores sustancialmente distintos a los </w:t>
      </w:r>
      <w:r w:rsidR="00C33BBE" w:rsidRPr="00AC4AEA">
        <w:rPr>
          <w:rFonts w:ascii="Arial" w:hAnsi="Arial" w:cs="Arial"/>
          <w:sz w:val="20"/>
          <w:szCs w:val="20"/>
        </w:rPr>
        <w:t>importes</w:t>
      </w:r>
      <w:r w:rsidRPr="00AC4AEA">
        <w:rPr>
          <w:rFonts w:ascii="Arial" w:hAnsi="Arial" w:cs="Arial"/>
          <w:sz w:val="20"/>
          <w:szCs w:val="20"/>
        </w:rPr>
        <w:t xml:space="preserve"> informados en los </w:t>
      </w:r>
      <w:r w:rsidR="00135084" w:rsidRPr="00AC4AEA">
        <w:rPr>
          <w:rFonts w:ascii="Arial" w:hAnsi="Arial" w:cs="Arial"/>
          <w:b/>
          <w:bCs/>
          <w:sz w:val="20"/>
          <w:szCs w:val="20"/>
        </w:rPr>
        <w:t>estados contables</w:t>
      </w:r>
      <w:r w:rsidRPr="00AC4AEA">
        <w:rPr>
          <w:rFonts w:ascii="Arial" w:hAnsi="Arial" w:cs="Arial"/>
          <w:sz w:val="20"/>
          <w:szCs w:val="20"/>
        </w:rPr>
        <w:t>, o esto efectivamente haya ocurrido después de</w:t>
      </w:r>
      <w:r w:rsidR="00E55087" w:rsidRPr="00AC4AEA">
        <w:rPr>
          <w:rFonts w:ascii="Arial" w:hAnsi="Arial" w:cs="Arial"/>
          <w:sz w:val="20"/>
          <w:szCs w:val="20"/>
        </w:rPr>
        <w:t xml:space="preserve"> la </w:t>
      </w:r>
      <w:r w:rsidR="00E55087" w:rsidRPr="00AC4AEA">
        <w:rPr>
          <w:rFonts w:ascii="Arial" w:hAnsi="Arial" w:cs="Arial"/>
          <w:b/>
          <w:bCs/>
          <w:sz w:val="20"/>
          <w:szCs w:val="20"/>
        </w:rPr>
        <w:t>fecha de los estados contables</w:t>
      </w:r>
      <w:r w:rsidRPr="00AC4AEA">
        <w:rPr>
          <w:rFonts w:ascii="Arial" w:hAnsi="Arial" w:cs="Arial"/>
          <w:sz w:val="20"/>
          <w:szCs w:val="20"/>
        </w:rPr>
        <w:t xml:space="preserve"> y antes de la aprobación de los </w:t>
      </w:r>
      <w:r w:rsidR="00135084" w:rsidRPr="00AC4AEA">
        <w:rPr>
          <w:rFonts w:ascii="Arial" w:hAnsi="Arial" w:cs="Arial"/>
          <w:b/>
          <w:bCs/>
          <w:sz w:val="20"/>
          <w:szCs w:val="20"/>
        </w:rPr>
        <w:t>estados contables</w:t>
      </w:r>
      <w:r w:rsidRPr="00AC4AEA">
        <w:rPr>
          <w:rFonts w:ascii="Arial" w:hAnsi="Arial" w:cs="Arial"/>
          <w:sz w:val="20"/>
          <w:szCs w:val="20"/>
        </w:rPr>
        <w:t>, una entidad revelará tales circunstancias en la</w:t>
      </w:r>
      <w:r w:rsidR="00BA3798" w:rsidRPr="00AC4AEA">
        <w:rPr>
          <w:rFonts w:ascii="Arial" w:hAnsi="Arial" w:cs="Arial"/>
          <w:sz w:val="20"/>
          <w:szCs w:val="20"/>
        </w:rPr>
        <w:t>s</w:t>
      </w:r>
      <w:r w:rsidRPr="00AC4AEA">
        <w:rPr>
          <w:rFonts w:ascii="Arial" w:hAnsi="Arial" w:cs="Arial"/>
          <w:sz w:val="20"/>
          <w:szCs w:val="20"/>
        </w:rPr>
        <w:t xml:space="preserve"> </w:t>
      </w:r>
      <w:r w:rsidR="00BA3798" w:rsidRPr="00AC4AEA">
        <w:rPr>
          <w:rFonts w:ascii="Arial" w:hAnsi="Arial" w:cs="Arial"/>
          <w:sz w:val="20"/>
          <w:szCs w:val="20"/>
        </w:rPr>
        <w:t xml:space="preserve">notas a los </w:t>
      </w:r>
      <w:r w:rsidR="00135084" w:rsidRPr="00AC4AEA">
        <w:rPr>
          <w:rFonts w:ascii="Arial" w:hAnsi="Arial" w:cs="Arial"/>
          <w:b/>
          <w:bCs/>
          <w:sz w:val="20"/>
          <w:szCs w:val="20"/>
        </w:rPr>
        <w:t>estados contables</w:t>
      </w:r>
      <w:r w:rsidRPr="00AC4AEA">
        <w:rPr>
          <w:rFonts w:ascii="Arial" w:hAnsi="Arial" w:cs="Arial"/>
          <w:sz w:val="20"/>
          <w:szCs w:val="20"/>
        </w:rPr>
        <w:t>.</w:t>
      </w:r>
    </w:p>
    <w:p w:rsidR="001F60EE" w:rsidRPr="00AC4AEA" w:rsidRDefault="001F60EE" w:rsidP="00A318EA">
      <w:pPr>
        <w:pStyle w:val="Prrafodelista"/>
        <w:numPr>
          <w:ilvl w:val="0"/>
          <w:numId w:val="29"/>
        </w:numPr>
        <w:contextualSpacing w:val="0"/>
        <w:jc w:val="both"/>
        <w:rPr>
          <w:rFonts w:ascii="Arial" w:hAnsi="Arial" w:cs="Arial"/>
          <w:sz w:val="20"/>
          <w:szCs w:val="20"/>
        </w:rPr>
      </w:pPr>
      <w:bookmarkStart w:id="163" w:name="_Ref99459074"/>
      <w:r w:rsidRPr="00AC4AEA">
        <w:rPr>
          <w:rFonts w:ascii="Arial" w:hAnsi="Arial" w:cs="Arial"/>
          <w:sz w:val="20"/>
          <w:szCs w:val="20"/>
        </w:rPr>
        <w:t xml:space="preserve">Cuando se </w:t>
      </w:r>
      <w:r w:rsidR="00FE09C7" w:rsidRPr="00AC4AEA">
        <w:rPr>
          <w:rFonts w:ascii="Arial" w:hAnsi="Arial" w:cs="Arial"/>
          <w:sz w:val="20"/>
          <w:szCs w:val="20"/>
        </w:rPr>
        <w:t>pierda</w:t>
      </w:r>
      <w:r w:rsidRPr="00AC4AEA">
        <w:rPr>
          <w:rFonts w:ascii="Arial" w:hAnsi="Arial" w:cs="Arial"/>
          <w:sz w:val="20"/>
          <w:szCs w:val="20"/>
        </w:rPr>
        <w:t xml:space="preserve"> temporalmente la posibilidad de negociar dos monedas en condiciones de mercado, una entidad utilizará </w:t>
      </w:r>
      <w:r w:rsidR="008E2B21" w:rsidRPr="00AC4AEA">
        <w:rPr>
          <w:rFonts w:ascii="Arial" w:hAnsi="Arial" w:cs="Arial"/>
          <w:sz w:val="20"/>
          <w:szCs w:val="20"/>
        </w:rPr>
        <w:t>el tipo</w:t>
      </w:r>
      <w:r w:rsidRPr="00AC4AEA">
        <w:rPr>
          <w:rFonts w:ascii="Arial" w:hAnsi="Arial" w:cs="Arial"/>
          <w:sz w:val="20"/>
          <w:szCs w:val="20"/>
        </w:rPr>
        <w:t xml:space="preserve"> de cambio que se fije en </w:t>
      </w:r>
      <w:r w:rsidR="0041185C" w:rsidRPr="00AC4AEA">
        <w:rPr>
          <w:rFonts w:ascii="Arial" w:hAnsi="Arial" w:cs="Arial"/>
          <w:sz w:val="20"/>
          <w:szCs w:val="20"/>
        </w:rPr>
        <w:t xml:space="preserve">la primera fecha posterior </w:t>
      </w:r>
      <w:r w:rsidR="00FE09C7" w:rsidRPr="00AC4AEA">
        <w:rPr>
          <w:rFonts w:ascii="Arial" w:hAnsi="Arial" w:cs="Arial"/>
          <w:sz w:val="20"/>
          <w:szCs w:val="20"/>
        </w:rPr>
        <w:t>durante la cual</w:t>
      </w:r>
      <w:r w:rsidR="0041185C" w:rsidRPr="00AC4AEA">
        <w:rPr>
          <w:rFonts w:ascii="Arial" w:hAnsi="Arial" w:cs="Arial"/>
          <w:sz w:val="20"/>
          <w:szCs w:val="20"/>
        </w:rPr>
        <w:t xml:space="preserve"> resulte posible </w:t>
      </w:r>
      <w:r w:rsidRPr="00AC4AEA">
        <w:rPr>
          <w:rFonts w:ascii="Arial" w:hAnsi="Arial" w:cs="Arial"/>
          <w:sz w:val="20"/>
          <w:szCs w:val="20"/>
        </w:rPr>
        <w:t>negociar la</w:t>
      </w:r>
      <w:r w:rsidR="0041185C" w:rsidRPr="00AC4AEA">
        <w:rPr>
          <w:rFonts w:ascii="Arial" w:hAnsi="Arial" w:cs="Arial"/>
          <w:sz w:val="20"/>
          <w:szCs w:val="20"/>
        </w:rPr>
        <w:t>s</w:t>
      </w:r>
      <w:r w:rsidRPr="00AC4AEA">
        <w:rPr>
          <w:rFonts w:ascii="Arial" w:hAnsi="Arial" w:cs="Arial"/>
          <w:sz w:val="20"/>
          <w:szCs w:val="20"/>
        </w:rPr>
        <w:t xml:space="preserve"> divisas</w:t>
      </w:r>
      <w:r w:rsidR="0041185C" w:rsidRPr="00AC4AEA">
        <w:rPr>
          <w:rFonts w:ascii="Arial" w:hAnsi="Arial" w:cs="Arial"/>
          <w:sz w:val="20"/>
          <w:szCs w:val="20"/>
        </w:rPr>
        <w:t>,</w:t>
      </w:r>
      <w:r w:rsidRPr="00AC4AEA">
        <w:rPr>
          <w:rFonts w:ascii="Arial" w:hAnsi="Arial" w:cs="Arial"/>
          <w:sz w:val="20"/>
          <w:szCs w:val="20"/>
        </w:rPr>
        <w:t xml:space="preserve"> </w:t>
      </w:r>
      <w:r w:rsidR="00FE09C7" w:rsidRPr="00AC4AEA">
        <w:rPr>
          <w:rFonts w:ascii="Arial" w:hAnsi="Arial" w:cs="Arial"/>
          <w:sz w:val="20"/>
          <w:szCs w:val="20"/>
        </w:rPr>
        <w:t xml:space="preserve">de acuerdo </w:t>
      </w:r>
      <w:r w:rsidR="00B2178C" w:rsidRPr="00AC4AEA">
        <w:rPr>
          <w:rFonts w:ascii="Arial" w:hAnsi="Arial" w:cs="Arial"/>
          <w:sz w:val="20"/>
          <w:szCs w:val="20"/>
        </w:rPr>
        <w:t xml:space="preserve">con </w:t>
      </w:r>
      <w:r w:rsidR="00FE09C7" w:rsidRPr="00AC4AEA">
        <w:rPr>
          <w:rFonts w:ascii="Arial" w:hAnsi="Arial" w:cs="Arial"/>
          <w:sz w:val="20"/>
          <w:szCs w:val="20"/>
        </w:rPr>
        <w:t>las</w:t>
      </w:r>
      <w:r w:rsidRPr="00AC4AEA">
        <w:rPr>
          <w:rFonts w:ascii="Arial" w:hAnsi="Arial" w:cs="Arial"/>
          <w:sz w:val="20"/>
          <w:szCs w:val="20"/>
        </w:rPr>
        <w:t xml:space="preserve"> condiciones citadas.</w:t>
      </w:r>
      <w:bookmarkEnd w:id="163"/>
    </w:p>
    <w:p w:rsidR="00AE7883" w:rsidRPr="00AC4AEA" w:rsidRDefault="00AE7883" w:rsidP="00A318EA">
      <w:pPr>
        <w:pStyle w:val="Ttulo1"/>
        <w:rPr>
          <w:rFonts w:cs="Arial"/>
          <w:sz w:val="20"/>
          <w:szCs w:val="20"/>
        </w:rPr>
      </w:pPr>
      <w:bookmarkStart w:id="164" w:name="componentesFINANCIEROS"/>
      <w:bookmarkStart w:id="165" w:name="_Toc101863750"/>
      <w:bookmarkEnd w:id="164"/>
    </w:p>
    <w:p w:rsidR="00EE49CA" w:rsidRPr="00AC4AEA" w:rsidRDefault="00843E56" w:rsidP="00A318EA">
      <w:pPr>
        <w:pStyle w:val="Ttulo1"/>
        <w:rPr>
          <w:rFonts w:cs="Arial"/>
          <w:sz w:val="20"/>
          <w:szCs w:val="20"/>
        </w:rPr>
      </w:pPr>
      <w:bookmarkStart w:id="166" w:name="_Toc139356613"/>
      <w:r w:rsidRPr="00AC4AEA">
        <w:rPr>
          <w:rFonts w:cs="Arial"/>
          <w:sz w:val="20"/>
          <w:szCs w:val="20"/>
        </w:rPr>
        <w:t>TRATAMIENTO DE COMPONENTES FINANCIEROS</w:t>
      </w:r>
      <w:bookmarkEnd w:id="165"/>
      <w:bookmarkEnd w:id="166"/>
    </w:p>
    <w:p w:rsidR="007D1D72" w:rsidRPr="00AC4AEA" w:rsidRDefault="004527C8" w:rsidP="00A318EA">
      <w:pPr>
        <w:pStyle w:val="Ttulo2"/>
        <w:rPr>
          <w:rFonts w:cs="Arial"/>
        </w:rPr>
      </w:pPr>
      <w:bookmarkStart w:id="167" w:name="_Toc101863751"/>
      <w:bookmarkStart w:id="168" w:name="_Toc139356614"/>
      <w:r w:rsidRPr="00AC4AEA">
        <w:rPr>
          <w:rFonts w:cs="Arial"/>
        </w:rPr>
        <w:t>Tratamiento de c</w:t>
      </w:r>
      <w:r w:rsidR="007D1D72" w:rsidRPr="00AC4AEA">
        <w:rPr>
          <w:rFonts w:cs="Arial"/>
        </w:rPr>
        <w:t>omponentes financieros explícitos</w:t>
      </w:r>
      <w:bookmarkEnd w:id="167"/>
      <w:bookmarkEnd w:id="168"/>
    </w:p>
    <w:p w:rsidR="007D1D72" w:rsidRPr="00AC4AEA" w:rsidRDefault="007D1D72" w:rsidP="00A318EA">
      <w:pPr>
        <w:pStyle w:val="Prrafodelista"/>
        <w:numPr>
          <w:ilvl w:val="0"/>
          <w:numId w:val="29"/>
        </w:numPr>
        <w:contextualSpacing w:val="0"/>
        <w:jc w:val="both"/>
        <w:rPr>
          <w:rFonts w:ascii="Arial" w:hAnsi="Arial" w:cs="Arial"/>
          <w:sz w:val="20"/>
          <w:szCs w:val="20"/>
        </w:rPr>
      </w:pPr>
      <w:bookmarkStart w:id="169" w:name="_Ref99476587"/>
      <w:r w:rsidRPr="00AC4AEA">
        <w:rPr>
          <w:rFonts w:ascii="Arial" w:hAnsi="Arial" w:cs="Arial"/>
          <w:sz w:val="20"/>
          <w:szCs w:val="20"/>
        </w:rPr>
        <w:t>Una entidad tratará los componentes financieros explícitos, pactados en operaciones de financiamiento</w:t>
      </w:r>
      <w:r w:rsidR="004527C8" w:rsidRPr="00AC4AEA">
        <w:rPr>
          <w:rFonts w:ascii="Arial" w:hAnsi="Arial" w:cs="Arial"/>
          <w:sz w:val="20"/>
          <w:szCs w:val="20"/>
        </w:rPr>
        <w:t xml:space="preserve"> recibido u otorgado</w:t>
      </w:r>
      <w:r w:rsidRPr="00AC4AEA">
        <w:rPr>
          <w:rFonts w:ascii="Arial" w:hAnsi="Arial" w:cs="Arial"/>
          <w:sz w:val="20"/>
          <w:szCs w:val="20"/>
        </w:rPr>
        <w:t xml:space="preserve">, como </w:t>
      </w:r>
      <w:r w:rsidRPr="00AC4AEA">
        <w:rPr>
          <w:rFonts w:ascii="Arial" w:hAnsi="Arial" w:cs="Arial"/>
          <w:b/>
          <w:bCs/>
          <w:sz w:val="20"/>
          <w:szCs w:val="20"/>
        </w:rPr>
        <w:t>costos financieros</w:t>
      </w:r>
      <w:r w:rsidR="00C86D49" w:rsidRPr="00AC4AEA">
        <w:rPr>
          <w:rFonts w:ascii="Arial" w:hAnsi="Arial" w:cs="Arial"/>
          <w:b/>
          <w:bCs/>
          <w:sz w:val="20"/>
          <w:szCs w:val="20"/>
        </w:rPr>
        <w:t>,</w:t>
      </w:r>
      <w:r w:rsidRPr="00AC4AEA">
        <w:rPr>
          <w:rFonts w:ascii="Arial" w:hAnsi="Arial" w:cs="Arial"/>
          <w:sz w:val="20"/>
          <w:szCs w:val="20"/>
        </w:rPr>
        <w:t xml:space="preserve"> o </w:t>
      </w:r>
      <w:r w:rsidR="00EA699F" w:rsidRPr="00AC4AEA">
        <w:rPr>
          <w:rFonts w:ascii="Arial" w:hAnsi="Arial" w:cs="Arial"/>
          <w:b/>
          <w:bCs/>
          <w:sz w:val="20"/>
          <w:szCs w:val="20"/>
        </w:rPr>
        <w:t>ingresos financieros</w:t>
      </w:r>
      <w:r w:rsidRPr="00AC4AEA">
        <w:rPr>
          <w:rFonts w:ascii="Arial" w:hAnsi="Arial" w:cs="Arial"/>
          <w:sz w:val="20"/>
          <w:szCs w:val="20"/>
        </w:rPr>
        <w:t>, según corresponda</w:t>
      </w:r>
      <w:r w:rsidR="00955452" w:rsidRPr="00AC4AEA">
        <w:rPr>
          <w:rFonts w:ascii="Arial" w:hAnsi="Arial" w:cs="Arial"/>
          <w:sz w:val="20"/>
          <w:szCs w:val="20"/>
        </w:rPr>
        <w:t>.</w:t>
      </w:r>
      <w:bookmarkEnd w:id="169"/>
    </w:p>
    <w:p w:rsidR="007D1D72" w:rsidRPr="00AC4AEA" w:rsidRDefault="007D1D72" w:rsidP="00A318EA">
      <w:pPr>
        <w:ind w:left="284"/>
        <w:jc w:val="both"/>
        <w:rPr>
          <w:rFonts w:ascii="Arial" w:hAnsi="Arial" w:cs="Arial"/>
          <w:b/>
          <w:bCs/>
          <w:sz w:val="20"/>
          <w:szCs w:val="20"/>
        </w:rPr>
      </w:pPr>
    </w:p>
    <w:p w:rsidR="007D1D72" w:rsidRPr="00AC4AEA" w:rsidRDefault="004527C8" w:rsidP="00A318EA">
      <w:pPr>
        <w:pStyle w:val="Ttulo2"/>
        <w:rPr>
          <w:rFonts w:cs="Arial"/>
        </w:rPr>
      </w:pPr>
      <w:bookmarkStart w:id="170" w:name="_Toc101863752"/>
      <w:bookmarkStart w:id="171" w:name="_Toc139356615"/>
      <w:r w:rsidRPr="00AC4AEA">
        <w:rPr>
          <w:rFonts w:cs="Arial"/>
        </w:rPr>
        <w:t>Segregación de c</w:t>
      </w:r>
      <w:r w:rsidR="007D1D72" w:rsidRPr="00AC4AEA">
        <w:rPr>
          <w:rFonts w:cs="Arial"/>
        </w:rPr>
        <w:t>omponentes financieros implícitos</w:t>
      </w:r>
      <w:bookmarkEnd w:id="170"/>
      <w:bookmarkEnd w:id="171"/>
    </w:p>
    <w:p w:rsidR="00F64EBE" w:rsidRPr="00AC4AEA" w:rsidRDefault="00F64EBE" w:rsidP="00A318EA">
      <w:pPr>
        <w:pStyle w:val="Prrafodelista"/>
        <w:numPr>
          <w:ilvl w:val="0"/>
          <w:numId w:val="29"/>
        </w:numPr>
        <w:contextualSpacing w:val="0"/>
        <w:jc w:val="both"/>
        <w:rPr>
          <w:rFonts w:ascii="Arial" w:hAnsi="Arial" w:cs="Arial"/>
          <w:sz w:val="20"/>
          <w:szCs w:val="20"/>
        </w:rPr>
      </w:pPr>
      <w:bookmarkStart w:id="172" w:name="_Ref99469103"/>
      <w:r w:rsidRPr="00AC4AEA">
        <w:rPr>
          <w:rFonts w:ascii="Arial" w:hAnsi="Arial" w:cs="Arial"/>
          <w:sz w:val="20"/>
          <w:szCs w:val="20"/>
        </w:rPr>
        <w:t xml:space="preserve">Una entidad pequeña </w:t>
      </w:r>
      <w:r w:rsidR="00477A76" w:rsidRPr="00AC4AEA">
        <w:rPr>
          <w:rFonts w:ascii="Arial" w:hAnsi="Arial" w:cs="Arial"/>
          <w:sz w:val="20"/>
          <w:szCs w:val="20"/>
        </w:rPr>
        <w:t xml:space="preserve">podrá optar por </w:t>
      </w:r>
      <w:r w:rsidRPr="00AC4AEA">
        <w:rPr>
          <w:rFonts w:ascii="Arial" w:hAnsi="Arial" w:cs="Arial"/>
          <w:sz w:val="20"/>
          <w:szCs w:val="20"/>
        </w:rPr>
        <w:t xml:space="preserve">no </w:t>
      </w:r>
      <w:r w:rsidR="00837E3A" w:rsidRPr="00AC4AEA">
        <w:rPr>
          <w:rFonts w:ascii="Arial" w:hAnsi="Arial" w:cs="Arial"/>
          <w:sz w:val="20"/>
          <w:szCs w:val="20"/>
        </w:rPr>
        <w:t>segregar</w:t>
      </w:r>
      <w:r w:rsidRPr="00AC4AEA">
        <w:rPr>
          <w:rFonts w:ascii="Arial" w:hAnsi="Arial" w:cs="Arial"/>
          <w:sz w:val="20"/>
          <w:szCs w:val="20"/>
        </w:rPr>
        <w:t xml:space="preserve"> </w:t>
      </w:r>
      <w:r w:rsidRPr="00AC4AEA">
        <w:rPr>
          <w:rFonts w:ascii="Arial" w:hAnsi="Arial" w:cs="Arial"/>
          <w:b/>
          <w:bCs/>
          <w:sz w:val="20"/>
          <w:szCs w:val="20"/>
        </w:rPr>
        <w:t>componentes financieros implícitos</w:t>
      </w:r>
      <w:r w:rsidR="00F4181F" w:rsidRPr="00AC4AEA">
        <w:rPr>
          <w:rFonts w:ascii="Arial" w:hAnsi="Arial" w:cs="Arial"/>
          <w:sz w:val="20"/>
          <w:szCs w:val="20"/>
        </w:rPr>
        <w:t>.</w:t>
      </w:r>
      <w:bookmarkEnd w:id="172"/>
    </w:p>
    <w:p w:rsidR="007D1D72" w:rsidRPr="00AC4AEA" w:rsidRDefault="007D1D72" w:rsidP="00A318EA">
      <w:pPr>
        <w:pStyle w:val="Prrafodelista"/>
        <w:numPr>
          <w:ilvl w:val="0"/>
          <w:numId w:val="29"/>
        </w:numPr>
        <w:contextualSpacing w:val="0"/>
        <w:jc w:val="both"/>
        <w:rPr>
          <w:rFonts w:ascii="Arial" w:hAnsi="Arial" w:cs="Arial"/>
          <w:sz w:val="20"/>
          <w:szCs w:val="20"/>
        </w:rPr>
      </w:pPr>
      <w:bookmarkStart w:id="173" w:name="_Ref80967977"/>
      <w:r w:rsidRPr="00AC4AEA">
        <w:rPr>
          <w:rFonts w:ascii="Arial" w:hAnsi="Arial" w:cs="Arial"/>
          <w:sz w:val="20"/>
          <w:szCs w:val="20"/>
        </w:rPr>
        <w:t xml:space="preserve">Una entidad </w:t>
      </w:r>
      <w:r w:rsidR="00AE06F1" w:rsidRPr="00AC4AEA">
        <w:rPr>
          <w:rFonts w:ascii="Arial" w:hAnsi="Arial" w:cs="Arial"/>
          <w:sz w:val="20"/>
          <w:szCs w:val="20"/>
        </w:rPr>
        <w:t xml:space="preserve">que no es pequeña </w:t>
      </w:r>
      <w:r w:rsidRPr="00AC4AEA">
        <w:rPr>
          <w:rFonts w:ascii="Arial" w:hAnsi="Arial" w:cs="Arial"/>
          <w:sz w:val="20"/>
          <w:szCs w:val="20"/>
        </w:rPr>
        <w:t xml:space="preserve">segregará </w:t>
      </w:r>
      <w:r w:rsidRPr="00AC4AEA">
        <w:rPr>
          <w:rFonts w:ascii="Arial" w:hAnsi="Arial" w:cs="Arial"/>
          <w:b/>
          <w:bCs/>
          <w:sz w:val="20"/>
          <w:szCs w:val="20"/>
        </w:rPr>
        <w:t>componentes financieros implícitos</w:t>
      </w:r>
      <w:r w:rsidRPr="00AC4AEA">
        <w:rPr>
          <w:rFonts w:ascii="Arial" w:hAnsi="Arial" w:cs="Arial"/>
          <w:sz w:val="20"/>
          <w:szCs w:val="20"/>
        </w:rPr>
        <w:t>, en operaciones de cobro o pago diferido, cuando:</w:t>
      </w:r>
      <w:bookmarkEnd w:id="173"/>
    </w:p>
    <w:p w:rsidR="007D1D72" w:rsidRPr="00AC4AEA" w:rsidRDefault="009B08B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7D1D72" w:rsidRPr="00AC4AEA">
        <w:rPr>
          <w:rFonts w:ascii="Arial" w:hAnsi="Arial" w:cs="Arial"/>
          <w:sz w:val="20"/>
          <w:szCs w:val="20"/>
        </w:rPr>
        <w:t>l plazo de, por lo menos, una de las cuotas pactadas supere los doce meses</w:t>
      </w:r>
      <w:r w:rsidR="0011272D" w:rsidRPr="00AC4AEA">
        <w:rPr>
          <w:rFonts w:ascii="Arial" w:hAnsi="Arial" w:cs="Arial"/>
          <w:sz w:val="20"/>
          <w:szCs w:val="20"/>
        </w:rPr>
        <w:t>, contado desde la fecha de la operación</w:t>
      </w:r>
      <w:r w:rsidR="00C97BAB" w:rsidRPr="00AC4AEA">
        <w:rPr>
          <w:rFonts w:ascii="Arial" w:hAnsi="Arial" w:cs="Arial"/>
          <w:sz w:val="20"/>
          <w:szCs w:val="20"/>
        </w:rPr>
        <w:t>;</w:t>
      </w:r>
      <w:r w:rsidR="007D1D72" w:rsidRPr="00AC4AEA">
        <w:rPr>
          <w:rFonts w:ascii="Arial" w:hAnsi="Arial" w:cs="Arial"/>
          <w:sz w:val="20"/>
          <w:szCs w:val="20"/>
        </w:rPr>
        <w:t xml:space="preserve"> </w:t>
      </w:r>
      <w:r w:rsidR="00D903E2" w:rsidRPr="00AC4AEA">
        <w:rPr>
          <w:rFonts w:ascii="Arial" w:hAnsi="Arial" w:cs="Arial"/>
          <w:sz w:val="20"/>
          <w:szCs w:val="20"/>
        </w:rPr>
        <w:t>o</w:t>
      </w:r>
    </w:p>
    <w:p w:rsidR="004527C8" w:rsidRPr="00AC4AEA" w:rsidRDefault="009B08B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D903E2" w:rsidRPr="00AC4AEA">
        <w:rPr>
          <w:rFonts w:ascii="Arial" w:hAnsi="Arial" w:cs="Arial"/>
          <w:sz w:val="20"/>
          <w:szCs w:val="20"/>
        </w:rPr>
        <w:t>a entidad o</w:t>
      </w:r>
      <w:r w:rsidR="008A3B68" w:rsidRPr="00AC4AEA">
        <w:rPr>
          <w:rFonts w:ascii="Arial" w:hAnsi="Arial" w:cs="Arial"/>
          <w:sz w:val="20"/>
          <w:szCs w:val="20"/>
        </w:rPr>
        <w:t xml:space="preserve">pte </w:t>
      </w:r>
      <w:r w:rsidR="007D1D72" w:rsidRPr="00AC4AEA">
        <w:rPr>
          <w:rFonts w:ascii="Arial" w:hAnsi="Arial" w:cs="Arial"/>
          <w:sz w:val="20"/>
          <w:szCs w:val="20"/>
        </w:rPr>
        <w:t xml:space="preserve">por aplicar tal </w:t>
      </w:r>
      <w:r w:rsidR="00596F3F" w:rsidRPr="00AC4AEA">
        <w:rPr>
          <w:rFonts w:ascii="Arial" w:hAnsi="Arial" w:cs="Arial"/>
          <w:b/>
          <w:bCs/>
          <w:sz w:val="20"/>
          <w:szCs w:val="20"/>
        </w:rPr>
        <w:t>política contable</w:t>
      </w:r>
      <w:r w:rsidR="007D1D72" w:rsidRPr="00AC4AEA">
        <w:rPr>
          <w:rFonts w:ascii="Arial" w:hAnsi="Arial" w:cs="Arial"/>
          <w:sz w:val="20"/>
          <w:szCs w:val="20"/>
        </w:rPr>
        <w:t xml:space="preserve"> en el caso de operaciones </w:t>
      </w:r>
      <w:r w:rsidR="00C97BAB" w:rsidRPr="00AC4AEA">
        <w:rPr>
          <w:rFonts w:ascii="Arial" w:hAnsi="Arial" w:cs="Arial"/>
          <w:sz w:val="20"/>
          <w:szCs w:val="20"/>
        </w:rPr>
        <w:t xml:space="preserve">cuyo plazo no cumpla </w:t>
      </w:r>
      <w:r w:rsidR="000838A6" w:rsidRPr="00AC4AEA">
        <w:rPr>
          <w:rFonts w:ascii="Arial" w:hAnsi="Arial" w:cs="Arial"/>
          <w:sz w:val="20"/>
          <w:szCs w:val="20"/>
        </w:rPr>
        <w:t xml:space="preserve">con </w:t>
      </w:r>
      <w:r w:rsidR="00C97BAB" w:rsidRPr="00AC4AEA">
        <w:rPr>
          <w:rFonts w:ascii="Arial" w:hAnsi="Arial" w:cs="Arial"/>
          <w:sz w:val="20"/>
          <w:szCs w:val="20"/>
        </w:rPr>
        <w:t xml:space="preserve">las </w:t>
      </w:r>
      <w:r w:rsidR="000838A6" w:rsidRPr="00AC4AEA">
        <w:rPr>
          <w:rFonts w:ascii="Arial" w:hAnsi="Arial" w:cs="Arial"/>
          <w:sz w:val="20"/>
          <w:szCs w:val="20"/>
        </w:rPr>
        <w:t>características</w:t>
      </w:r>
      <w:r w:rsidR="00C97BAB" w:rsidRPr="00AC4AEA">
        <w:rPr>
          <w:rFonts w:ascii="Arial" w:hAnsi="Arial" w:cs="Arial"/>
          <w:sz w:val="20"/>
          <w:szCs w:val="20"/>
        </w:rPr>
        <w:t xml:space="preserve"> del inciso anterior</w:t>
      </w:r>
      <w:r w:rsidR="007D1D72" w:rsidRPr="00AC4AEA">
        <w:rPr>
          <w:rFonts w:ascii="Arial" w:hAnsi="Arial" w:cs="Arial"/>
          <w:sz w:val="20"/>
          <w:szCs w:val="20"/>
        </w:rPr>
        <w:t xml:space="preserve"> (</w:t>
      </w:r>
      <w:r w:rsidR="00841E33" w:rsidRPr="00AC4AEA">
        <w:rPr>
          <w:rFonts w:ascii="Arial" w:hAnsi="Arial" w:cs="Arial"/>
          <w:sz w:val="20"/>
          <w:szCs w:val="20"/>
        </w:rPr>
        <w:t xml:space="preserve">por ejemplo, porque las condiciones pactadas no reflejan los </w:t>
      </w:r>
      <w:r w:rsidR="00B358D7" w:rsidRPr="00AC4AEA">
        <w:rPr>
          <w:rFonts w:ascii="Arial" w:hAnsi="Arial" w:cs="Arial"/>
          <w:sz w:val="20"/>
          <w:szCs w:val="20"/>
        </w:rPr>
        <w:t>términos usuales</w:t>
      </w:r>
      <w:r w:rsidR="00E4292E" w:rsidRPr="00AC4AEA">
        <w:rPr>
          <w:rFonts w:ascii="Arial" w:hAnsi="Arial" w:cs="Arial"/>
          <w:sz w:val="20"/>
          <w:szCs w:val="20"/>
        </w:rPr>
        <w:t xml:space="preserve"> del mercado</w:t>
      </w:r>
      <w:r w:rsidR="007D1D72" w:rsidRPr="00AC4AEA">
        <w:rPr>
          <w:rFonts w:ascii="Arial" w:hAnsi="Arial" w:cs="Arial"/>
          <w:sz w:val="20"/>
          <w:szCs w:val="20"/>
        </w:rPr>
        <w:t>)</w:t>
      </w:r>
      <w:r w:rsidR="002466CE" w:rsidRPr="00AC4AEA">
        <w:rPr>
          <w:rFonts w:ascii="Arial" w:hAnsi="Arial" w:cs="Arial"/>
          <w:sz w:val="20"/>
          <w:szCs w:val="20"/>
        </w:rPr>
        <w:t>.</w:t>
      </w:r>
    </w:p>
    <w:p w:rsidR="004F4C30" w:rsidRPr="00AC4AEA" w:rsidRDefault="004F4C3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segregará los </w:t>
      </w:r>
      <w:r w:rsidRPr="00AC4AEA">
        <w:rPr>
          <w:rFonts w:ascii="Arial" w:hAnsi="Arial" w:cs="Arial"/>
          <w:b/>
          <w:bCs/>
          <w:sz w:val="20"/>
          <w:szCs w:val="20"/>
        </w:rPr>
        <w:t>componentes financieros implícitos</w:t>
      </w:r>
      <w:r w:rsidRPr="00AC4AEA">
        <w:rPr>
          <w:rFonts w:ascii="Arial" w:hAnsi="Arial" w:cs="Arial"/>
          <w:sz w:val="20"/>
          <w:szCs w:val="20"/>
        </w:rPr>
        <w:t xml:space="preserve"> de alguna de las siguientes formas:</w:t>
      </w:r>
    </w:p>
    <w:p w:rsidR="004F4C30" w:rsidRPr="00AC4AEA" w:rsidRDefault="004F4C3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descontando los flujos de efectivo futuros, mediante una tasa que refleje las evaluaciones del mercado sobre el valor tiempo del dinero y los riesgos específicos de la operación; o</w:t>
      </w:r>
    </w:p>
    <w:p w:rsidR="004F4C30" w:rsidRPr="00AC4AEA" w:rsidRDefault="004F4C3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utilizando el precio </w:t>
      </w:r>
      <w:r w:rsidR="004F6BAF" w:rsidRPr="00AC4AEA">
        <w:rPr>
          <w:rFonts w:ascii="Arial" w:hAnsi="Arial" w:cs="Arial"/>
          <w:sz w:val="20"/>
          <w:szCs w:val="20"/>
        </w:rPr>
        <w:t xml:space="preserve">de </w:t>
      </w:r>
      <w:r w:rsidRPr="00AC4AEA">
        <w:rPr>
          <w:rFonts w:ascii="Arial" w:hAnsi="Arial" w:cs="Arial"/>
          <w:sz w:val="20"/>
          <w:szCs w:val="20"/>
        </w:rPr>
        <w:t>contado de los bienes y/o servicios recibidos (entregados).</w:t>
      </w:r>
    </w:p>
    <w:p w:rsidR="007D1D72" w:rsidRPr="00AC4AEA" w:rsidRDefault="007D1D7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tratará </w:t>
      </w:r>
      <w:r w:rsidR="00DB37CA" w:rsidRPr="00AC4AEA">
        <w:rPr>
          <w:rFonts w:ascii="Arial" w:hAnsi="Arial" w:cs="Arial"/>
          <w:sz w:val="20"/>
          <w:szCs w:val="20"/>
        </w:rPr>
        <w:t>los</w:t>
      </w:r>
      <w:r w:rsidRPr="00AC4AEA">
        <w:rPr>
          <w:rFonts w:ascii="Arial" w:hAnsi="Arial" w:cs="Arial"/>
          <w:sz w:val="20"/>
          <w:szCs w:val="20"/>
        </w:rPr>
        <w:t xml:space="preserve"> componentes </w:t>
      </w:r>
      <w:r w:rsidR="00102EDA" w:rsidRPr="00AC4AEA">
        <w:rPr>
          <w:rFonts w:ascii="Arial" w:hAnsi="Arial" w:cs="Arial"/>
          <w:sz w:val="20"/>
          <w:szCs w:val="20"/>
        </w:rPr>
        <w:t xml:space="preserve">segregados </w:t>
      </w:r>
      <w:r w:rsidRPr="00AC4AEA">
        <w:rPr>
          <w:rFonts w:ascii="Arial" w:hAnsi="Arial" w:cs="Arial"/>
          <w:sz w:val="20"/>
          <w:szCs w:val="20"/>
        </w:rPr>
        <w:t xml:space="preserve">como </w:t>
      </w:r>
      <w:r w:rsidRPr="00AC4AEA">
        <w:rPr>
          <w:rFonts w:ascii="Arial" w:hAnsi="Arial" w:cs="Arial"/>
          <w:b/>
          <w:bCs/>
          <w:sz w:val="20"/>
          <w:szCs w:val="20"/>
        </w:rPr>
        <w:t>costos financieros</w:t>
      </w:r>
      <w:r w:rsidR="001B569A" w:rsidRPr="00AC4AEA">
        <w:rPr>
          <w:rFonts w:ascii="Arial" w:hAnsi="Arial" w:cs="Arial"/>
          <w:sz w:val="20"/>
          <w:szCs w:val="20"/>
        </w:rPr>
        <w:t>,</w:t>
      </w:r>
      <w:r w:rsidRPr="00AC4AEA">
        <w:rPr>
          <w:rFonts w:ascii="Arial" w:hAnsi="Arial" w:cs="Arial"/>
          <w:sz w:val="20"/>
          <w:szCs w:val="20"/>
        </w:rPr>
        <w:t xml:space="preserve"> o </w:t>
      </w:r>
      <w:r w:rsidR="00EA699F" w:rsidRPr="00AC4AEA">
        <w:rPr>
          <w:rFonts w:ascii="Arial" w:hAnsi="Arial" w:cs="Arial"/>
          <w:b/>
          <w:bCs/>
          <w:sz w:val="20"/>
          <w:szCs w:val="20"/>
        </w:rPr>
        <w:t>ingresos financieros</w:t>
      </w:r>
      <w:r w:rsidRPr="00AC4AEA">
        <w:rPr>
          <w:rFonts w:ascii="Arial" w:hAnsi="Arial" w:cs="Arial"/>
          <w:sz w:val="20"/>
          <w:szCs w:val="20"/>
        </w:rPr>
        <w:t>, según corresponda.</w:t>
      </w:r>
    </w:p>
    <w:p w:rsidR="00CF18DE" w:rsidRPr="00AC4AEA" w:rsidRDefault="002466CE" w:rsidP="00A318EA">
      <w:pPr>
        <w:pStyle w:val="Prrafodelista"/>
        <w:numPr>
          <w:ilvl w:val="0"/>
          <w:numId w:val="29"/>
        </w:numPr>
        <w:contextualSpacing w:val="0"/>
        <w:jc w:val="both"/>
        <w:rPr>
          <w:rFonts w:ascii="Arial" w:hAnsi="Arial" w:cs="Arial"/>
          <w:sz w:val="20"/>
          <w:szCs w:val="20"/>
        </w:rPr>
      </w:pPr>
      <w:bookmarkStart w:id="174" w:name="_Ref75853968"/>
      <w:r w:rsidRPr="00AC4AEA">
        <w:rPr>
          <w:rFonts w:ascii="Arial" w:hAnsi="Arial" w:cs="Arial"/>
          <w:sz w:val="20"/>
          <w:szCs w:val="20"/>
        </w:rPr>
        <w:t xml:space="preserve">Una entidad aplicará la misma política de segregación de </w:t>
      </w:r>
      <w:r w:rsidRPr="00AC4AEA">
        <w:rPr>
          <w:rFonts w:ascii="Arial" w:hAnsi="Arial" w:cs="Arial"/>
          <w:b/>
          <w:bCs/>
          <w:sz w:val="20"/>
          <w:szCs w:val="20"/>
        </w:rPr>
        <w:t>componentes financieros implícitos</w:t>
      </w:r>
      <w:bookmarkEnd w:id="174"/>
      <w:r w:rsidR="007D7512" w:rsidRPr="00AC4AEA">
        <w:rPr>
          <w:rFonts w:ascii="Arial" w:hAnsi="Arial" w:cs="Arial"/>
          <w:sz w:val="20"/>
          <w:szCs w:val="20"/>
        </w:rPr>
        <w:t>, tanto en el momento de la medición inicial como posterior, para</w:t>
      </w:r>
      <w:r w:rsidR="002A79D6" w:rsidRPr="00AC4AEA">
        <w:rPr>
          <w:rFonts w:ascii="Arial" w:hAnsi="Arial" w:cs="Arial"/>
          <w:sz w:val="20"/>
          <w:szCs w:val="20"/>
        </w:rPr>
        <w:t xml:space="preserve"> </w:t>
      </w:r>
      <w:r w:rsidR="0052091A" w:rsidRPr="00AC4AEA">
        <w:rPr>
          <w:rFonts w:ascii="Arial" w:hAnsi="Arial" w:cs="Arial"/>
          <w:sz w:val="20"/>
          <w:szCs w:val="20"/>
        </w:rPr>
        <w:t>cada una de</w:t>
      </w:r>
      <w:r w:rsidR="007D7512" w:rsidRPr="00AC4AEA">
        <w:rPr>
          <w:rFonts w:ascii="Arial" w:hAnsi="Arial" w:cs="Arial"/>
          <w:sz w:val="20"/>
          <w:szCs w:val="20"/>
        </w:rPr>
        <w:t xml:space="preserve"> las clases de activos y pasivos</w:t>
      </w:r>
      <w:r w:rsidR="0052091A" w:rsidRPr="00AC4AEA">
        <w:rPr>
          <w:rFonts w:ascii="Arial" w:hAnsi="Arial" w:cs="Arial"/>
          <w:sz w:val="20"/>
          <w:szCs w:val="20"/>
        </w:rPr>
        <w:t xml:space="preserve"> siguientes</w:t>
      </w:r>
      <w:r w:rsidR="007D7512" w:rsidRPr="00AC4AEA">
        <w:rPr>
          <w:rFonts w:ascii="Arial" w:hAnsi="Arial" w:cs="Arial"/>
          <w:sz w:val="20"/>
          <w:szCs w:val="20"/>
        </w:rPr>
        <w:t>:</w:t>
      </w:r>
    </w:p>
    <w:p w:rsidR="002466CE" w:rsidRPr="00AC4AEA" w:rsidRDefault="001B569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w:t>
      </w:r>
      <w:r w:rsidR="007D7512" w:rsidRPr="00AC4AEA">
        <w:rPr>
          <w:rFonts w:ascii="Arial" w:hAnsi="Arial" w:cs="Arial"/>
          <w:sz w:val="20"/>
          <w:szCs w:val="20"/>
        </w:rPr>
        <w:t>ctivos</w:t>
      </w:r>
      <w:r w:rsidR="00591815" w:rsidRPr="00AC4AEA">
        <w:rPr>
          <w:rFonts w:ascii="Arial" w:hAnsi="Arial" w:cs="Arial"/>
          <w:sz w:val="20"/>
          <w:szCs w:val="20"/>
        </w:rPr>
        <w:t xml:space="preserve"> por impuestos diferidos</w:t>
      </w:r>
      <w:r w:rsidR="007D7512" w:rsidRPr="00AC4AEA">
        <w:rPr>
          <w:rFonts w:ascii="Arial" w:hAnsi="Arial" w:cs="Arial"/>
          <w:sz w:val="20"/>
          <w:szCs w:val="20"/>
        </w:rPr>
        <w:t xml:space="preserve"> y pasivos </w:t>
      </w:r>
      <w:r w:rsidR="00591815" w:rsidRPr="00AC4AEA">
        <w:rPr>
          <w:rFonts w:ascii="Arial" w:hAnsi="Arial" w:cs="Arial"/>
          <w:sz w:val="20"/>
          <w:szCs w:val="20"/>
        </w:rPr>
        <w:t xml:space="preserve">por </w:t>
      </w:r>
      <w:r w:rsidR="005E679B" w:rsidRPr="00AC4AEA">
        <w:rPr>
          <w:rFonts w:ascii="Arial" w:hAnsi="Arial" w:cs="Arial"/>
          <w:sz w:val="20"/>
          <w:szCs w:val="20"/>
        </w:rPr>
        <w:t>impuestos diferidos</w:t>
      </w:r>
      <w:r w:rsidR="00A74921" w:rsidRPr="00AC4AEA">
        <w:rPr>
          <w:rFonts w:ascii="Arial" w:hAnsi="Arial" w:cs="Arial"/>
          <w:sz w:val="20"/>
          <w:szCs w:val="20"/>
        </w:rPr>
        <w:t>.</w:t>
      </w:r>
      <w:r w:rsidR="00F4181F" w:rsidRPr="00AC4AEA">
        <w:rPr>
          <w:rFonts w:ascii="Arial" w:hAnsi="Arial" w:cs="Arial"/>
          <w:sz w:val="20"/>
          <w:szCs w:val="20"/>
        </w:rPr>
        <w:t xml:space="preserve"> </w:t>
      </w:r>
    </w:p>
    <w:p w:rsidR="00CF18DE" w:rsidRPr="00AC4AEA" w:rsidRDefault="00A7492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w:t>
      </w:r>
      <w:r w:rsidR="007D7512" w:rsidRPr="00AC4AEA">
        <w:rPr>
          <w:rFonts w:ascii="Arial" w:hAnsi="Arial" w:cs="Arial"/>
          <w:sz w:val="20"/>
          <w:szCs w:val="20"/>
        </w:rPr>
        <w:t>réditos y deudas fiscales distintos de los referidos en a)</w:t>
      </w:r>
      <w:r w:rsidR="00591815" w:rsidRPr="00AC4AEA">
        <w:rPr>
          <w:rFonts w:ascii="Arial" w:hAnsi="Arial" w:cs="Arial"/>
          <w:sz w:val="20"/>
          <w:szCs w:val="20"/>
        </w:rPr>
        <w:t>.</w:t>
      </w:r>
    </w:p>
    <w:p w:rsidR="00CF18DE" w:rsidRPr="00AC4AEA" w:rsidRDefault="001B569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w:t>
      </w:r>
      <w:r w:rsidR="0052091A" w:rsidRPr="00AC4AEA">
        <w:rPr>
          <w:rFonts w:ascii="Arial" w:hAnsi="Arial" w:cs="Arial"/>
          <w:sz w:val="20"/>
          <w:szCs w:val="20"/>
        </w:rPr>
        <w:t xml:space="preserve">réditos y deudas originados por </w:t>
      </w:r>
      <w:r w:rsidR="00CF18DE" w:rsidRPr="00AC4AEA">
        <w:rPr>
          <w:rFonts w:ascii="Arial" w:hAnsi="Arial" w:cs="Arial"/>
          <w:sz w:val="20"/>
          <w:szCs w:val="20"/>
        </w:rPr>
        <w:t xml:space="preserve">servicios prestados por </w:t>
      </w:r>
      <w:r w:rsidR="0052091A" w:rsidRPr="00AC4AEA">
        <w:rPr>
          <w:rFonts w:ascii="Arial" w:hAnsi="Arial" w:cs="Arial"/>
          <w:sz w:val="20"/>
          <w:szCs w:val="20"/>
        </w:rPr>
        <w:t>los empleados, distintos de los tratados en la sección “</w:t>
      </w:r>
      <w:r w:rsidR="0052091A" w:rsidRPr="00AC4AEA">
        <w:rPr>
          <w:rFonts w:ascii="Arial" w:hAnsi="Arial" w:cs="Arial"/>
          <w:sz w:val="20"/>
          <w:szCs w:val="20"/>
          <w:u w:val="single"/>
        </w:rPr>
        <w:t>Beneficios a los empleados posteriores a la terminación laboral y otros beneficios a largo plazo</w:t>
      </w:r>
      <w:r w:rsidR="0052091A" w:rsidRPr="00AC4AEA">
        <w:rPr>
          <w:rFonts w:ascii="Arial" w:hAnsi="Arial" w:cs="Arial"/>
          <w:sz w:val="20"/>
          <w:szCs w:val="20"/>
        </w:rPr>
        <w:t>” [ver los párrafos</w:t>
      </w:r>
      <w:r w:rsidR="002F6991" w:rsidRPr="00AC4AEA">
        <w:rPr>
          <w:rFonts w:ascii="Arial" w:hAnsi="Arial" w:cs="Arial"/>
          <w:sz w:val="20"/>
          <w:szCs w:val="20"/>
        </w:rPr>
        <w:t xml:space="preserve"> </w:t>
      </w:r>
      <w:fldSimple w:instr=" REF _Ref132036558 \r \h  \* MERGEFORMAT ">
        <w:r w:rsidR="00D33A5D" w:rsidRPr="00D33A5D">
          <w:rPr>
            <w:rFonts w:ascii="Arial" w:hAnsi="Arial" w:cs="Arial"/>
            <w:sz w:val="20"/>
            <w:szCs w:val="20"/>
          </w:rPr>
          <w:t>872</w:t>
        </w:r>
      </w:fldSimple>
      <w:r w:rsidR="002F6991" w:rsidRPr="00AC4AEA">
        <w:rPr>
          <w:rFonts w:ascii="Arial" w:hAnsi="Arial" w:cs="Arial"/>
          <w:sz w:val="20"/>
          <w:szCs w:val="20"/>
        </w:rPr>
        <w:t xml:space="preserve"> a </w:t>
      </w:r>
      <w:fldSimple w:instr=" REF _Ref135045493 \r \h  \* MERGEFORMAT ">
        <w:r w:rsidR="00D33A5D" w:rsidRPr="00D33A5D">
          <w:rPr>
            <w:rFonts w:ascii="Arial" w:hAnsi="Arial" w:cs="Arial"/>
            <w:sz w:val="20"/>
            <w:szCs w:val="20"/>
          </w:rPr>
          <w:t>956</w:t>
        </w:r>
      </w:fldSimple>
      <w:r w:rsidR="008C1083" w:rsidRPr="00AC4AEA">
        <w:rPr>
          <w:rFonts w:ascii="Arial" w:hAnsi="Arial" w:cs="Arial"/>
          <w:sz w:val="20"/>
          <w:szCs w:val="20"/>
        </w:rPr>
        <w:t>]</w:t>
      </w:r>
      <w:r w:rsidRPr="00AC4AEA">
        <w:rPr>
          <w:rFonts w:ascii="Arial" w:hAnsi="Arial" w:cs="Arial"/>
          <w:sz w:val="20"/>
          <w:szCs w:val="20"/>
        </w:rPr>
        <w:t>.</w:t>
      </w:r>
    </w:p>
    <w:p w:rsidR="007D7512" w:rsidRPr="00AC4AEA" w:rsidRDefault="001B569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R</w:t>
      </w:r>
      <w:r w:rsidR="007D7512" w:rsidRPr="00AC4AEA">
        <w:rPr>
          <w:rFonts w:ascii="Arial" w:hAnsi="Arial" w:cs="Arial"/>
          <w:sz w:val="20"/>
          <w:szCs w:val="20"/>
        </w:rPr>
        <w:t>estantes activos y pasivos.</w:t>
      </w:r>
    </w:p>
    <w:p w:rsidR="00B47B5E" w:rsidRPr="00AC4AEA" w:rsidRDefault="00B47B5E" w:rsidP="00A318EA">
      <w:pPr>
        <w:pStyle w:val="Prrafodelista"/>
        <w:numPr>
          <w:ilvl w:val="0"/>
          <w:numId w:val="29"/>
        </w:numPr>
        <w:contextualSpacing w:val="0"/>
        <w:jc w:val="both"/>
        <w:rPr>
          <w:rFonts w:ascii="Arial" w:hAnsi="Arial" w:cs="Arial"/>
          <w:sz w:val="20"/>
          <w:szCs w:val="20"/>
        </w:rPr>
      </w:pPr>
      <w:bookmarkStart w:id="175" w:name="_Ref80967992"/>
      <w:r w:rsidRPr="00AC4AEA">
        <w:rPr>
          <w:rFonts w:ascii="Arial" w:hAnsi="Arial" w:cs="Arial"/>
          <w:sz w:val="20"/>
          <w:szCs w:val="20"/>
        </w:rPr>
        <w:t xml:space="preserve">Cuando opte por no segregar </w:t>
      </w:r>
      <w:r w:rsidRPr="00AC4AEA">
        <w:rPr>
          <w:rFonts w:ascii="Arial" w:hAnsi="Arial" w:cs="Arial"/>
          <w:b/>
          <w:bCs/>
          <w:sz w:val="20"/>
          <w:szCs w:val="20"/>
        </w:rPr>
        <w:t>componentes financieros implícitos</w:t>
      </w:r>
      <w:r w:rsidRPr="00AC4AEA">
        <w:rPr>
          <w:rFonts w:ascii="Arial" w:hAnsi="Arial" w:cs="Arial"/>
          <w:sz w:val="20"/>
          <w:szCs w:val="20"/>
        </w:rPr>
        <w:t xml:space="preserve">, </w:t>
      </w:r>
      <w:r w:rsidR="00D903E2" w:rsidRPr="00AC4AEA">
        <w:rPr>
          <w:rFonts w:ascii="Arial" w:hAnsi="Arial" w:cs="Arial"/>
          <w:sz w:val="20"/>
          <w:szCs w:val="20"/>
        </w:rPr>
        <w:t xml:space="preserve">una entidad </w:t>
      </w:r>
      <w:r w:rsidRPr="00AC4AEA">
        <w:rPr>
          <w:rFonts w:ascii="Arial" w:hAnsi="Arial" w:cs="Arial"/>
          <w:sz w:val="20"/>
          <w:szCs w:val="20"/>
        </w:rPr>
        <w:t>considerará que</w:t>
      </w:r>
      <w:r w:rsidR="003C6C87" w:rsidRPr="00AC4AEA">
        <w:rPr>
          <w:rFonts w:ascii="Arial" w:hAnsi="Arial" w:cs="Arial"/>
          <w:sz w:val="20"/>
          <w:szCs w:val="20"/>
        </w:rPr>
        <w:t xml:space="preserve">, a los fines de esta Resolución Técnica </w:t>
      </w:r>
      <w:r w:rsidR="00C33BBE" w:rsidRPr="00AC4AEA">
        <w:rPr>
          <w:rFonts w:ascii="Arial" w:hAnsi="Arial" w:cs="Arial"/>
          <w:sz w:val="20"/>
          <w:szCs w:val="20"/>
        </w:rPr>
        <w:t>u</w:t>
      </w:r>
      <w:r w:rsidR="003C6C87" w:rsidRPr="00AC4AEA">
        <w:rPr>
          <w:rFonts w:ascii="Arial" w:hAnsi="Arial" w:cs="Arial"/>
          <w:sz w:val="20"/>
          <w:szCs w:val="20"/>
        </w:rPr>
        <w:t xml:space="preserve"> </w:t>
      </w:r>
      <w:r w:rsidR="003C6C87" w:rsidRPr="00AC4AEA">
        <w:rPr>
          <w:rFonts w:ascii="Arial" w:hAnsi="Arial" w:cs="Arial"/>
          <w:b/>
          <w:bCs/>
          <w:sz w:val="20"/>
          <w:szCs w:val="20"/>
        </w:rPr>
        <w:t>otras normas contables</w:t>
      </w:r>
      <w:r w:rsidR="003C6C87" w:rsidRPr="00AC4AEA">
        <w:rPr>
          <w:rFonts w:ascii="Arial" w:hAnsi="Arial" w:cs="Arial"/>
          <w:sz w:val="20"/>
          <w:szCs w:val="20"/>
        </w:rPr>
        <w:t>,</w:t>
      </w:r>
      <w:r w:rsidRPr="00AC4AEA">
        <w:rPr>
          <w:rFonts w:ascii="Arial" w:hAnsi="Arial" w:cs="Arial"/>
          <w:sz w:val="20"/>
          <w:szCs w:val="20"/>
        </w:rPr>
        <w:t xml:space="preserve"> la medición efectuada </w:t>
      </w:r>
      <w:r w:rsidR="000838A6" w:rsidRPr="00AC4AEA">
        <w:rPr>
          <w:rFonts w:ascii="Arial" w:hAnsi="Arial" w:cs="Arial"/>
          <w:sz w:val="20"/>
          <w:szCs w:val="20"/>
        </w:rPr>
        <w:t xml:space="preserve">de ese modo </w:t>
      </w:r>
      <w:r w:rsidRPr="00AC4AEA">
        <w:rPr>
          <w:rFonts w:ascii="Arial" w:hAnsi="Arial" w:cs="Arial"/>
          <w:sz w:val="20"/>
          <w:szCs w:val="20"/>
        </w:rPr>
        <w:t xml:space="preserve">equivale a un precio </w:t>
      </w:r>
      <w:r w:rsidR="00432574" w:rsidRPr="00AC4AEA">
        <w:rPr>
          <w:rFonts w:ascii="Arial" w:hAnsi="Arial" w:cs="Arial"/>
          <w:sz w:val="20"/>
          <w:szCs w:val="20"/>
        </w:rPr>
        <w:t xml:space="preserve">de </w:t>
      </w:r>
      <w:r w:rsidRPr="00AC4AEA">
        <w:rPr>
          <w:rFonts w:ascii="Arial" w:hAnsi="Arial" w:cs="Arial"/>
          <w:sz w:val="20"/>
          <w:szCs w:val="20"/>
        </w:rPr>
        <w:t>contado.</w:t>
      </w:r>
      <w:bookmarkEnd w:id="175"/>
    </w:p>
    <w:p w:rsidR="007D1D72" w:rsidRPr="00AC4AEA" w:rsidRDefault="007D1D72" w:rsidP="00A318EA">
      <w:pPr>
        <w:ind w:left="284"/>
        <w:jc w:val="both"/>
        <w:rPr>
          <w:rFonts w:ascii="Arial" w:hAnsi="Arial" w:cs="Arial"/>
          <w:b/>
          <w:bCs/>
          <w:sz w:val="20"/>
          <w:szCs w:val="20"/>
        </w:rPr>
      </w:pPr>
    </w:p>
    <w:p w:rsidR="007D1D72" w:rsidRPr="00AC4AEA" w:rsidRDefault="002A79D6" w:rsidP="00A318EA">
      <w:pPr>
        <w:pStyle w:val="Ttulo2"/>
        <w:rPr>
          <w:rFonts w:cs="Arial"/>
        </w:rPr>
      </w:pPr>
      <w:bookmarkStart w:id="176" w:name="_Toc101863753"/>
      <w:bookmarkStart w:id="177" w:name="_Toc139356616"/>
      <w:r w:rsidRPr="00AC4AEA">
        <w:rPr>
          <w:rFonts w:cs="Arial"/>
        </w:rPr>
        <w:t>Tratamiento</w:t>
      </w:r>
      <w:r w:rsidR="007D1D72" w:rsidRPr="00AC4AEA">
        <w:rPr>
          <w:rFonts w:cs="Arial"/>
        </w:rPr>
        <w:t xml:space="preserve"> de </w:t>
      </w:r>
      <w:r w:rsidR="00B430DB" w:rsidRPr="00AC4AEA">
        <w:rPr>
          <w:rFonts w:cs="Arial"/>
        </w:rPr>
        <w:t xml:space="preserve">los </w:t>
      </w:r>
      <w:r w:rsidR="007D1D72" w:rsidRPr="00AC4AEA">
        <w:rPr>
          <w:rFonts w:cs="Arial"/>
        </w:rPr>
        <w:t>costos financieros</w:t>
      </w:r>
      <w:bookmarkEnd w:id="176"/>
      <w:bookmarkEnd w:id="177"/>
    </w:p>
    <w:p w:rsidR="002A79D6" w:rsidRPr="00AC4AEA" w:rsidRDefault="002A79D6" w:rsidP="00A318EA">
      <w:pPr>
        <w:pStyle w:val="Prrafodelista"/>
        <w:numPr>
          <w:ilvl w:val="0"/>
          <w:numId w:val="29"/>
        </w:numPr>
        <w:contextualSpacing w:val="0"/>
        <w:jc w:val="both"/>
        <w:rPr>
          <w:rFonts w:ascii="Arial" w:hAnsi="Arial" w:cs="Arial"/>
          <w:sz w:val="20"/>
          <w:szCs w:val="20"/>
        </w:rPr>
      </w:pPr>
      <w:bookmarkStart w:id="178" w:name="_Ref75511013"/>
      <w:r w:rsidRPr="00AC4AEA">
        <w:rPr>
          <w:rFonts w:ascii="Arial" w:hAnsi="Arial" w:cs="Arial"/>
          <w:sz w:val="20"/>
          <w:szCs w:val="20"/>
        </w:rPr>
        <w:t xml:space="preserve">Una entidad contabilizará los </w:t>
      </w:r>
      <w:r w:rsidRPr="00AC4AEA">
        <w:rPr>
          <w:rFonts w:ascii="Arial" w:hAnsi="Arial" w:cs="Arial"/>
          <w:b/>
          <w:bCs/>
          <w:sz w:val="20"/>
          <w:szCs w:val="20"/>
        </w:rPr>
        <w:t>costos financieros</w:t>
      </w:r>
      <w:r w:rsidR="008A3B68" w:rsidRPr="00AC4AEA">
        <w:rPr>
          <w:rFonts w:ascii="Arial" w:hAnsi="Arial" w:cs="Arial"/>
          <w:sz w:val="20"/>
          <w:szCs w:val="20"/>
        </w:rPr>
        <w:t>:</w:t>
      </w:r>
      <w:bookmarkEnd w:id="178"/>
    </w:p>
    <w:p w:rsidR="002A79D6" w:rsidRPr="00AC4AEA" w:rsidRDefault="00D903E2" w:rsidP="00A318EA">
      <w:pPr>
        <w:pStyle w:val="Prrafodelista"/>
        <w:numPr>
          <w:ilvl w:val="1"/>
          <w:numId w:val="7"/>
        </w:numPr>
        <w:ind w:left="1560" w:hanging="567"/>
        <w:contextualSpacing w:val="0"/>
        <w:jc w:val="both"/>
        <w:rPr>
          <w:rFonts w:ascii="Arial" w:hAnsi="Arial" w:cs="Arial"/>
          <w:sz w:val="20"/>
          <w:szCs w:val="20"/>
        </w:rPr>
      </w:pPr>
      <w:r w:rsidRPr="00AC4AEA">
        <w:rPr>
          <w:rFonts w:ascii="Arial" w:hAnsi="Arial" w:cs="Arial"/>
          <w:sz w:val="20"/>
          <w:szCs w:val="20"/>
        </w:rPr>
        <w:t>c</w:t>
      </w:r>
      <w:r w:rsidR="008A3B68" w:rsidRPr="00AC4AEA">
        <w:rPr>
          <w:rFonts w:ascii="Arial" w:hAnsi="Arial" w:cs="Arial"/>
          <w:sz w:val="20"/>
          <w:szCs w:val="20"/>
        </w:rPr>
        <w:t xml:space="preserve">omo </w:t>
      </w:r>
      <w:r w:rsidR="008A3B68" w:rsidRPr="00AC4AEA">
        <w:rPr>
          <w:rFonts w:ascii="Arial" w:hAnsi="Arial" w:cs="Arial"/>
          <w:b/>
          <w:bCs/>
          <w:sz w:val="20"/>
          <w:szCs w:val="20"/>
        </w:rPr>
        <w:t>g</w:t>
      </w:r>
      <w:r w:rsidR="002A79D6" w:rsidRPr="00AC4AEA">
        <w:rPr>
          <w:rFonts w:ascii="Arial" w:hAnsi="Arial" w:cs="Arial"/>
          <w:b/>
          <w:bCs/>
          <w:sz w:val="20"/>
          <w:szCs w:val="20"/>
        </w:rPr>
        <w:t>astos</w:t>
      </w:r>
      <w:r w:rsidR="002A79D6" w:rsidRPr="00AC4AEA">
        <w:rPr>
          <w:rFonts w:ascii="Arial" w:hAnsi="Arial" w:cs="Arial"/>
          <w:sz w:val="20"/>
          <w:szCs w:val="20"/>
        </w:rPr>
        <w:t xml:space="preserve"> del período durante el cual se devenguen</w:t>
      </w:r>
      <w:r w:rsidRPr="00AC4AEA">
        <w:rPr>
          <w:rFonts w:ascii="Arial" w:hAnsi="Arial" w:cs="Arial"/>
          <w:sz w:val="20"/>
          <w:szCs w:val="20"/>
        </w:rPr>
        <w:t>;</w:t>
      </w:r>
      <w:r w:rsidR="002A79D6" w:rsidRPr="00AC4AEA">
        <w:rPr>
          <w:rFonts w:ascii="Arial" w:hAnsi="Arial" w:cs="Arial"/>
          <w:sz w:val="20"/>
          <w:szCs w:val="20"/>
        </w:rPr>
        <w:t xml:space="preserve"> o</w:t>
      </w:r>
    </w:p>
    <w:p w:rsidR="00BD1BCC" w:rsidRPr="00AC4AEA" w:rsidRDefault="00D903E2" w:rsidP="00A318EA">
      <w:pPr>
        <w:numPr>
          <w:ilvl w:val="1"/>
          <w:numId w:val="7"/>
        </w:numPr>
        <w:ind w:left="1560" w:hanging="567"/>
        <w:jc w:val="both"/>
        <w:rPr>
          <w:rFonts w:ascii="Arial" w:hAnsi="Arial" w:cs="Arial"/>
          <w:sz w:val="20"/>
          <w:szCs w:val="20"/>
        </w:rPr>
      </w:pPr>
      <w:r w:rsidRPr="00AC4AEA">
        <w:rPr>
          <w:rFonts w:ascii="Arial" w:hAnsi="Arial" w:cs="Arial"/>
          <w:sz w:val="20"/>
          <w:szCs w:val="20"/>
        </w:rPr>
        <w:t>c</w:t>
      </w:r>
      <w:r w:rsidR="008A3B68" w:rsidRPr="00AC4AEA">
        <w:rPr>
          <w:rFonts w:ascii="Arial" w:hAnsi="Arial" w:cs="Arial"/>
          <w:sz w:val="20"/>
          <w:szCs w:val="20"/>
        </w:rPr>
        <w:t xml:space="preserve">omo parte </w:t>
      </w:r>
      <w:r w:rsidR="002A79D6" w:rsidRPr="00AC4AEA">
        <w:rPr>
          <w:rFonts w:ascii="Arial" w:hAnsi="Arial" w:cs="Arial"/>
          <w:sz w:val="20"/>
          <w:szCs w:val="20"/>
        </w:rPr>
        <w:t>del costo de</w:t>
      </w:r>
      <w:r w:rsidR="009937B4" w:rsidRPr="00AC4AEA">
        <w:rPr>
          <w:rFonts w:ascii="Arial" w:hAnsi="Arial" w:cs="Arial"/>
          <w:sz w:val="20"/>
          <w:szCs w:val="20"/>
        </w:rPr>
        <w:t xml:space="preserve"> un</w:t>
      </w:r>
      <w:r w:rsidR="002A79D6" w:rsidRPr="00AC4AEA">
        <w:rPr>
          <w:rFonts w:ascii="Arial" w:hAnsi="Arial" w:cs="Arial"/>
          <w:sz w:val="20"/>
          <w:szCs w:val="20"/>
        </w:rPr>
        <w:t xml:space="preserve"> </w:t>
      </w:r>
      <w:r w:rsidR="002A79D6" w:rsidRPr="00AC4AEA">
        <w:rPr>
          <w:rFonts w:ascii="Arial" w:hAnsi="Arial" w:cs="Arial"/>
          <w:b/>
          <w:bCs/>
          <w:sz w:val="20"/>
          <w:szCs w:val="20"/>
        </w:rPr>
        <w:t>activo</w:t>
      </w:r>
      <w:r w:rsidR="00BD1BCC" w:rsidRPr="00AC4AEA">
        <w:rPr>
          <w:rFonts w:ascii="Arial" w:hAnsi="Arial" w:cs="Arial"/>
          <w:b/>
          <w:bCs/>
          <w:sz w:val="20"/>
          <w:szCs w:val="20"/>
        </w:rPr>
        <w:t xml:space="preserve"> apto para activación de costos financieros</w:t>
      </w:r>
      <w:r w:rsidR="00C136CA" w:rsidRPr="00AC4AEA">
        <w:rPr>
          <w:rFonts w:ascii="Arial" w:hAnsi="Arial" w:cs="Arial"/>
          <w:b/>
          <w:bCs/>
          <w:sz w:val="20"/>
          <w:szCs w:val="20"/>
        </w:rPr>
        <w:t xml:space="preserve"> </w:t>
      </w:r>
      <w:r w:rsidR="00C136CA" w:rsidRPr="00AC4AEA">
        <w:rPr>
          <w:rFonts w:ascii="Arial" w:hAnsi="Arial" w:cs="Arial"/>
          <w:sz w:val="20"/>
          <w:szCs w:val="20"/>
        </w:rPr>
        <w:t xml:space="preserve">generados por </w:t>
      </w:r>
      <w:r w:rsidR="003C6C87" w:rsidRPr="00AC4AEA">
        <w:rPr>
          <w:rFonts w:ascii="Arial" w:hAnsi="Arial" w:cs="Arial"/>
          <w:b/>
          <w:bCs/>
          <w:sz w:val="20"/>
          <w:szCs w:val="20"/>
        </w:rPr>
        <w:t xml:space="preserve">deudas </w:t>
      </w:r>
      <w:r w:rsidR="00C33BBE" w:rsidRPr="00AC4AEA">
        <w:rPr>
          <w:rFonts w:ascii="Arial" w:hAnsi="Arial" w:cs="Arial"/>
          <w:b/>
          <w:bCs/>
          <w:sz w:val="20"/>
          <w:szCs w:val="20"/>
        </w:rPr>
        <w:t>computables</w:t>
      </w:r>
      <w:r w:rsidR="00C136CA" w:rsidRPr="00AC4AEA">
        <w:rPr>
          <w:rFonts w:ascii="Arial" w:hAnsi="Arial" w:cs="Arial"/>
          <w:sz w:val="20"/>
          <w:szCs w:val="20"/>
        </w:rPr>
        <w:t xml:space="preserve"> (por ejemplo, préstamos, obligaciones negociables, etc.)</w:t>
      </w:r>
      <w:r w:rsidR="00D336D5" w:rsidRPr="00AC4AEA">
        <w:rPr>
          <w:rFonts w:ascii="Arial" w:hAnsi="Arial" w:cs="Arial"/>
          <w:sz w:val="20"/>
          <w:szCs w:val="20"/>
        </w:rPr>
        <w:t>.</w:t>
      </w:r>
      <w:r w:rsidR="002A79D6" w:rsidRPr="00AC4AEA">
        <w:rPr>
          <w:rFonts w:ascii="Arial" w:hAnsi="Arial" w:cs="Arial"/>
          <w:sz w:val="20"/>
          <w:szCs w:val="20"/>
        </w:rPr>
        <w:t xml:space="preserve"> </w:t>
      </w:r>
    </w:p>
    <w:p w:rsidR="009937B4" w:rsidRPr="00AC4AEA" w:rsidRDefault="009937B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activará los </w:t>
      </w:r>
      <w:r w:rsidRPr="00AC4AEA">
        <w:rPr>
          <w:rFonts w:ascii="Arial" w:hAnsi="Arial" w:cs="Arial"/>
          <w:b/>
          <w:bCs/>
          <w:sz w:val="20"/>
          <w:szCs w:val="20"/>
        </w:rPr>
        <w:t>costos financieros</w:t>
      </w:r>
      <w:r w:rsidR="00C136CA" w:rsidRPr="00AC4AEA">
        <w:rPr>
          <w:rFonts w:ascii="Arial" w:hAnsi="Arial" w:cs="Arial"/>
          <w:b/>
          <w:bCs/>
          <w:sz w:val="20"/>
          <w:szCs w:val="20"/>
        </w:rPr>
        <w:t xml:space="preserve"> </w:t>
      </w:r>
      <w:r w:rsidRPr="00AC4AEA">
        <w:rPr>
          <w:rFonts w:ascii="Arial" w:hAnsi="Arial" w:cs="Arial"/>
          <w:sz w:val="20"/>
          <w:szCs w:val="20"/>
        </w:rPr>
        <w:t>cuando</w:t>
      </w:r>
      <w:r w:rsidR="002D572A" w:rsidRPr="00AC4AEA">
        <w:rPr>
          <w:rFonts w:ascii="Arial" w:hAnsi="Arial" w:cs="Arial"/>
          <w:sz w:val="20"/>
          <w:szCs w:val="20"/>
        </w:rPr>
        <w:t xml:space="preserve"> el proceso de producción, construcción, montaje o terminación:</w:t>
      </w:r>
    </w:p>
    <w:p w:rsidR="009937B4" w:rsidRPr="00AC4AEA" w:rsidRDefault="00F466C9" w:rsidP="00A318EA">
      <w:pPr>
        <w:pStyle w:val="Prrafodelista"/>
        <w:numPr>
          <w:ilvl w:val="1"/>
          <w:numId w:val="8"/>
        </w:numPr>
        <w:ind w:left="1560" w:hanging="567"/>
        <w:contextualSpacing w:val="0"/>
        <w:jc w:val="both"/>
        <w:rPr>
          <w:rFonts w:ascii="Arial" w:hAnsi="Arial" w:cs="Arial"/>
          <w:sz w:val="20"/>
          <w:szCs w:val="20"/>
        </w:rPr>
      </w:pPr>
      <w:r w:rsidRPr="00AC4AEA">
        <w:rPr>
          <w:rFonts w:ascii="Arial" w:hAnsi="Arial" w:cs="Arial"/>
          <w:sz w:val="20"/>
          <w:szCs w:val="20"/>
        </w:rPr>
        <w:t xml:space="preserve">se </w:t>
      </w:r>
      <w:r w:rsidR="009937B4" w:rsidRPr="00AC4AEA">
        <w:rPr>
          <w:rFonts w:ascii="Arial" w:hAnsi="Arial" w:cs="Arial"/>
          <w:sz w:val="20"/>
          <w:szCs w:val="20"/>
        </w:rPr>
        <w:t>prolong</w:t>
      </w:r>
      <w:r w:rsidR="00837E3A" w:rsidRPr="00AC4AEA">
        <w:rPr>
          <w:rFonts w:ascii="Arial" w:hAnsi="Arial" w:cs="Arial"/>
          <w:sz w:val="20"/>
          <w:szCs w:val="20"/>
        </w:rPr>
        <w:t>ue</w:t>
      </w:r>
      <w:r w:rsidR="009937B4" w:rsidRPr="00AC4AEA">
        <w:rPr>
          <w:rFonts w:ascii="Arial" w:hAnsi="Arial" w:cs="Arial"/>
          <w:sz w:val="20"/>
          <w:szCs w:val="20"/>
        </w:rPr>
        <w:t xml:space="preserve"> por un tiempo que exced</w:t>
      </w:r>
      <w:r w:rsidR="00837E3A" w:rsidRPr="00AC4AEA">
        <w:rPr>
          <w:rFonts w:ascii="Arial" w:hAnsi="Arial" w:cs="Arial"/>
          <w:sz w:val="20"/>
          <w:szCs w:val="20"/>
        </w:rPr>
        <w:t>a</w:t>
      </w:r>
      <w:r w:rsidR="009937B4" w:rsidRPr="00AC4AEA">
        <w:rPr>
          <w:rFonts w:ascii="Arial" w:hAnsi="Arial" w:cs="Arial"/>
          <w:sz w:val="20"/>
          <w:szCs w:val="20"/>
        </w:rPr>
        <w:t xml:space="preserve"> el técnicamente requerido</w:t>
      </w:r>
      <w:r w:rsidR="002D572A" w:rsidRPr="00AC4AEA">
        <w:rPr>
          <w:rFonts w:ascii="Arial" w:hAnsi="Arial" w:cs="Arial"/>
          <w:sz w:val="20"/>
          <w:szCs w:val="20"/>
        </w:rPr>
        <w:t xml:space="preserve"> de acuerdo </w:t>
      </w:r>
      <w:r w:rsidRPr="00AC4AEA">
        <w:rPr>
          <w:rFonts w:ascii="Arial" w:hAnsi="Arial" w:cs="Arial"/>
          <w:sz w:val="20"/>
          <w:szCs w:val="20"/>
        </w:rPr>
        <w:t xml:space="preserve">con </w:t>
      </w:r>
      <w:r w:rsidR="002D572A" w:rsidRPr="00AC4AEA">
        <w:rPr>
          <w:rFonts w:ascii="Arial" w:hAnsi="Arial" w:cs="Arial"/>
          <w:sz w:val="20"/>
          <w:szCs w:val="20"/>
        </w:rPr>
        <w:t>la naturaleza de dicho proceso</w:t>
      </w:r>
      <w:r w:rsidR="00B47B5E" w:rsidRPr="00AC4AEA">
        <w:rPr>
          <w:rFonts w:ascii="Arial" w:hAnsi="Arial" w:cs="Arial"/>
          <w:sz w:val="20"/>
          <w:szCs w:val="20"/>
        </w:rPr>
        <w:t>;</w:t>
      </w:r>
    </w:p>
    <w:p w:rsidR="002D572A" w:rsidRPr="00AC4AEA" w:rsidRDefault="00F466C9" w:rsidP="00A318EA">
      <w:pPr>
        <w:pStyle w:val="Prrafodelista"/>
        <w:numPr>
          <w:ilvl w:val="1"/>
          <w:numId w:val="8"/>
        </w:numPr>
        <w:ind w:left="1560" w:hanging="567"/>
        <w:contextualSpacing w:val="0"/>
        <w:jc w:val="both"/>
        <w:rPr>
          <w:rFonts w:ascii="Arial" w:hAnsi="Arial" w:cs="Arial"/>
          <w:sz w:val="20"/>
          <w:szCs w:val="20"/>
        </w:rPr>
      </w:pPr>
      <w:r w:rsidRPr="00AC4AEA">
        <w:rPr>
          <w:rFonts w:ascii="Arial" w:hAnsi="Arial" w:cs="Arial"/>
          <w:sz w:val="20"/>
          <w:szCs w:val="20"/>
        </w:rPr>
        <w:t xml:space="preserve">se </w:t>
      </w:r>
      <w:r w:rsidR="002D572A" w:rsidRPr="00AC4AEA">
        <w:rPr>
          <w:rFonts w:ascii="Arial" w:hAnsi="Arial" w:cs="Arial"/>
          <w:sz w:val="20"/>
          <w:szCs w:val="20"/>
        </w:rPr>
        <w:t>encuentr</w:t>
      </w:r>
      <w:r w:rsidR="00837E3A" w:rsidRPr="00AC4AEA">
        <w:rPr>
          <w:rFonts w:ascii="Arial" w:hAnsi="Arial" w:cs="Arial"/>
          <w:sz w:val="20"/>
          <w:szCs w:val="20"/>
        </w:rPr>
        <w:t>e</w:t>
      </w:r>
      <w:r w:rsidR="002D572A" w:rsidRPr="00AC4AEA">
        <w:rPr>
          <w:rFonts w:ascii="Arial" w:hAnsi="Arial" w:cs="Arial"/>
          <w:sz w:val="20"/>
          <w:szCs w:val="20"/>
        </w:rPr>
        <w:t xml:space="preserve"> interrumpido por razones que no </w:t>
      </w:r>
      <w:r w:rsidR="00837E3A" w:rsidRPr="00AC4AEA">
        <w:rPr>
          <w:rFonts w:ascii="Arial" w:hAnsi="Arial" w:cs="Arial"/>
          <w:sz w:val="20"/>
          <w:szCs w:val="20"/>
        </w:rPr>
        <w:t>resultan</w:t>
      </w:r>
      <w:r w:rsidR="002D572A" w:rsidRPr="00AC4AEA">
        <w:rPr>
          <w:rFonts w:ascii="Arial" w:hAnsi="Arial" w:cs="Arial"/>
          <w:sz w:val="20"/>
          <w:szCs w:val="20"/>
        </w:rPr>
        <w:t xml:space="preserve"> necesarias para preparar el</w:t>
      </w:r>
      <w:r w:rsidR="002D572A" w:rsidRPr="00847DC6">
        <w:rPr>
          <w:rFonts w:ascii="Arial" w:hAnsi="Arial" w:cs="Arial"/>
          <w:b/>
          <w:bCs/>
          <w:sz w:val="20"/>
          <w:szCs w:val="20"/>
        </w:rPr>
        <w:t xml:space="preserve"> activo </w:t>
      </w:r>
      <w:r w:rsidR="002D572A" w:rsidRPr="00AC4AEA">
        <w:rPr>
          <w:rFonts w:ascii="Arial" w:hAnsi="Arial" w:cs="Arial"/>
          <w:sz w:val="20"/>
          <w:szCs w:val="20"/>
        </w:rPr>
        <w:t>para su uso o venta</w:t>
      </w:r>
      <w:r w:rsidRPr="00AC4AEA">
        <w:rPr>
          <w:rFonts w:ascii="Arial" w:hAnsi="Arial" w:cs="Arial"/>
          <w:sz w:val="20"/>
          <w:szCs w:val="20"/>
        </w:rPr>
        <w:t>;</w:t>
      </w:r>
      <w:r w:rsidR="002D572A" w:rsidRPr="00AC4AEA">
        <w:rPr>
          <w:rFonts w:ascii="Arial" w:hAnsi="Arial" w:cs="Arial"/>
          <w:sz w:val="20"/>
          <w:szCs w:val="20"/>
        </w:rPr>
        <w:t xml:space="preserve"> o</w:t>
      </w:r>
    </w:p>
    <w:p w:rsidR="009937B4" w:rsidRPr="00AC4AEA" w:rsidRDefault="000F3B25" w:rsidP="00A318EA">
      <w:pPr>
        <w:pStyle w:val="Prrafodelista"/>
        <w:numPr>
          <w:ilvl w:val="1"/>
          <w:numId w:val="8"/>
        </w:numPr>
        <w:ind w:left="1560" w:hanging="567"/>
        <w:contextualSpacing w:val="0"/>
        <w:jc w:val="both"/>
        <w:rPr>
          <w:rFonts w:ascii="Arial" w:hAnsi="Arial" w:cs="Arial"/>
          <w:sz w:val="20"/>
          <w:szCs w:val="20"/>
        </w:rPr>
      </w:pPr>
      <w:r w:rsidRPr="00AC4AEA">
        <w:rPr>
          <w:rFonts w:ascii="Arial" w:hAnsi="Arial" w:cs="Arial"/>
          <w:sz w:val="20"/>
          <w:szCs w:val="20"/>
        </w:rPr>
        <w:t xml:space="preserve">ya </w:t>
      </w:r>
      <w:r w:rsidR="00F466C9" w:rsidRPr="00AC4AEA">
        <w:rPr>
          <w:rFonts w:ascii="Arial" w:hAnsi="Arial" w:cs="Arial"/>
          <w:sz w:val="20"/>
          <w:szCs w:val="20"/>
        </w:rPr>
        <w:t xml:space="preserve">concluyó </w:t>
      </w:r>
      <w:r w:rsidR="002D572A" w:rsidRPr="00AC4AEA">
        <w:rPr>
          <w:rFonts w:ascii="Arial" w:hAnsi="Arial" w:cs="Arial"/>
          <w:sz w:val="20"/>
          <w:szCs w:val="20"/>
        </w:rPr>
        <w:t>y, por lo tanto, el</w:t>
      </w:r>
      <w:r w:rsidR="002D572A" w:rsidRPr="00847DC6">
        <w:rPr>
          <w:rFonts w:ascii="Arial" w:hAnsi="Arial" w:cs="Arial"/>
          <w:b/>
          <w:bCs/>
          <w:sz w:val="20"/>
          <w:szCs w:val="20"/>
        </w:rPr>
        <w:t xml:space="preserve"> activo </w:t>
      </w:r>
      <w:r w:rsidR="002D572A" w:rsidRPr="00AC4AEA">
        <w:rPr>
          <w:rFonts w:ascii="Arial" w:hAnsi="Arial" w:cs="Arial"/>
          <w:sz w:val="20"/>
          <w:szCs w:val="20"/>
        </w:rPr>
        <w:t>está en condiciones de ser vendido o utilizado.</w:t>
      </w:r>
    </w:p>
    <w:p w:rsidR="002D572A" w:rsidRPr="00AC4AEA" w:rsidRDefault="002D572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que opte por activar los </w:t>
      </w:r>
      <w:r w:rsidRPr="00AC4AEA">
        <w:rPr>
          <w:rFonts w:ascii="Arial" w:hAnsi="Arial" w:cs="Arial"/>
          <w:b/>
          <w:bCs/>
          <w:sz w:val="20"/>
          <w:szCs w:val="20"/>
        </w:rPr>
        <w:t>costos financieros</w:t>
      </w:r>
      <w:r w:rsidRPr="00AC4AEA">
        <w:rPr>
          <w:rFonts w:ascii="Arial" w:hAnsi="Arial" w:cs="Arial"/>
          <w:sz w:val="20"/>
          <w:szCs w:val="20"/>
        </w:rPr>
        <w:t xml:space="preserve"> deberá</w:t>
      </w:r>
      <w:r w:rsidR="00724785" w:rsidRPr="00AC4AEA">
        <w:rPr>
          <w:rFonts w:ascii="Arial" w:hAnsi="Arial" w:cs="Arial"/>
          <w:sz w:val="20"/>
          <w:szCs w:val="20"/>
        </w:rPr>
        <w:t>:</w:t>
      </w:r>
    </w:p>
    <w:p w:rsidR="00337EE4" w:rsidRPr="00AC4AEA" w:rsidRDefault="00D903E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w:t>
      </w:r>
      <w:r w:rsidR="00D63401" w:rsidRPr="00AC4AEA">
        <w:rPr>
          <w:rFonts w:ascii="Arial" w:hAnsi="Arial" w:cs="Arial"/>
          <w:sz w:val="20"/>
          <w:szCs w:val="20"/>
        </w:rPr>
        <w:t xml:space="preserve">plicar </w:t>
      </w:r>
      <w:r w:rsidR="00337EE4" w:rsidRPr="00AC4AEA">
        <w:rPr>
          <w:rFonts w:ascii="Arial" w:hAnsi="Arial" w:cs="Arial"/>
          <w:sz w:val="20"/>
          <w:szCs w:val="20"/>
        </w:rPr>
        <w:t xml:space="preserve">esta </w:t>
      </w:r>
      <w:r w:rsidR="00596F3F" w:rsidRPr="00AC4AEA">
        <w:rPr>
          <w:rFonts w:ascii="Arial" w:hAnsi="Arial" w:cs="Arial"/>
          <w:b/>
          <w:bCs/>
          <w:sz w:val="20"/>
          <w:szCs w:val="20"/>
        </w:rPr>
        <w:t>política contable</w:t>
      </w:r>
      <w:r w:rsidR="00337EE4" w:rsidRPr="00AC4AEA">
        <w:rPr>
          <w:rFonts w:ascii="Arial" w:hAnsi="Arial" w:cs="Arial"/>
          <w:sz w:val="20"/>
          <w:szCs w:val="20"/>
        </w:rPr>
        <w:t xml:space="preserve"> de manera consistente, para todos los </w:t>
      </w:r>
      <w:r w:rsidR="00337EE4" w:rsidRPr="00AC4AEA">
        <w:rPr>
          <w:rFonts w:ascii="Arial" w:hAnsi="Arial" w:cs="Arial"/>
          <w:b/>
          <w:bCs/>
          <w:sz w:val="20"/>
          <w:szCs w:val="20"/>
        </w:rPr>
        <w:t>costos financieros</w:t>
      </w:r>
      <w:r w:rsidR="00C136CA" w:rsidRPr="00AC4AEA">
        <w:rPr>
          <w:rFonts w:ascii="Arial" w:hAnsi="Arial" w:cs="Arial"/>
          <w:b/>
          <w:bCs/>
          <w:sz w:val="20"/>
          <w:szCs w:val="20"/>
        </w:rPr>
        <w:t xml:space="preserve"> </w:t>
      </w:r>
      <w:r w:rsidR="00C136CA" w:rsidRPr="00AC4AEA">
        <w:rPr>
          <w:rFonts w:ascii="Arial" w:hAnsi="Arial" w:cs="Arial"/>
          <w:sz w:val="20"/>
          <w:szCs w:val="20"/>
        </w:rPr>
        <w:t xml:space="preserve">generados por </w:t>
      </w:r>
      <w:r w:rsidR="003C6C87" w:rsidRPr="00AC4AEA">
        <w:rPr>
          <w:rFonts w:ascii="Arial" w:hAnsi="Arial" w:cs="Arial"/>
          <w:b/>
          <w:bCs/>
          <w:sz w:val="20"/>
          <w:szCs w:val="20"/>
        </w:rPr>
        <w:t xml:space="preserve">deudas </w:t>
      </w:r>
      <w:r w:rsidR="002979E6" w:rsidRPr="00AC4AEA">
        <w:rPr>
          <w:rFonts w:ascii="Arial" w:hAnsi="Arial" w:cs="Arial"/>
          <w:b/>
          <w:bCs/>
          <w:sz w:val="20"/>
          <w:szCs w:val="20"/>
        </w:rPr>
        <w:t>computable</w:t>
      </w:r>
      <w:r w:rsidR="003C6C87" w:rsidRPr="00AC4AEA">
        <w:rPr>
          <w:rFonts w:ascii="Arial" w:hAnsi="Arial" w:cs="Arial"/>
          <w:b/>
          <w:bCs/>
          <w:sz w:val="20"/>
          <w:szCs w:val="20"/>
        </w:rPr>
        <w:t>s</w:t>
      </w:r>
      <w:r w:rsidR="00337EE4" w:rsidRPr="00AC4AEA">
        <w:rPr>
          <w:rFonts w:ascii="Arial" w:hAnsi="Arial" w:cs="Arial"/>
          <w:sz w:val="20"/>
          <w:szCs w:val="20"/>
        </w:rPr>
        <w:t xml:space="preserve"> y para todos los </w:t>
      </w:r>
      <w:r w:rsidR="00497590" w:rsidRPr="00AC4AEA">
        <w:rPr>
          <w:rFonts w:ascii="Arial" w:hAnsi="Arial" w:cs="Arial"/>
          <w:b/>
          <w:bCs/>
          <w:sz w:val="20"/>
          <w:szCs w:val="20"/>
        </w:rPr>
        <w:t>activos</w:t>
      </w:r>
      <w:r w:rsidR="00337EE4" w:rsidRPr="00AC4AEA">
        <w:rPr>
          <w:rFonts w:ascii="Arial" w:hAnsi="Arial" w:cs="Arial"/>
          <w:b/>
          <w:bCs/>
          <w:sz w:val="20"/>
          <w:szCs w:val="20"/>
        </w:rPr>
        <w:t xml:space="preserve"> aptos</w:t>
      </w:r>
      <w:r w:rsidR="00AC1320" w:rsidRPr="00AC4AEA">
        <w:rPr>
          <w:rFonts w:ascii="Arial" w:hAnsi="Arial" w:cs="Arial"/>
          <w:sz w:val="20"/>
          <w:szCs w:val="20"/>
        </w:rPr>
        <w:t xml:space="preserve"> </w:t>
      </w:r>
      <w:r w:rsidR="00BD1BCC" w:rsidRPr="00AC4AEA">
        <w:rPr>
          <w:rFonts w:ascii="Arial" w:hAnsi="Arial" w:cs="Arial"/>
          <w:b/>
          <w:bCs/>
          <w:sz w:val="20"/>
          <w:szCs w:val="20"/>
        </w:rPr>
        <w:t xml:space="preserve">para la activación de costos financieros </w:t>
      </w:r>
      <w:r w:rsidR="00AC1320" w:rsidRPr="00AC4AEA">
        <w:rPr>
          <w:rFonts w:ascii="Arial" w:hAnsi="Arial" w:cs="Arial"/>
          <w:sz w:val="20"/>
          <w:szCs w:val="20"/>
        </w:rPr>
        <w:t xml:space="preserve">dentro de un rubro o categoría determinada (bienes de cambio, bienes de uso, propiedades de inversión, </w:t>
      </w:r>
      <w:r w:rsidR="00497590" w:rsidRPr="00AC4AEA">
        <w:rPr>
          <w:rFonts w:ascii="Arial" w:hAnsi="Arial" w:cs="Arial"/>
          <w:sz w:val="20"/>
          <w:szCs w:val="20"/>
        </w:rPr>
        <w:t>activos</w:t>
      </w:r>
      <w:r w:rsidR="00AC1320" w:rsidRPr="00AC4AEA">
        <w:rPr>
          <w:rFonts w:ascii="Arial" w:hAnsi="Arial" w:cs="Arial"/>
          <w:sz w:val="20"/>
          <w:szCs w:val="20"/>
        </w:rPr>
        <w:t xml:space="preserve"> intangibles</w:t>
      </w:r>
      <w:r w:rsidR="008A3B68" w:rsidRPr="00AC4AEA">
        <w:rPr>
          <w:rFonts w:ascii="Arial" w:hAnsi="Arial" w:cs="Arial"/>
          <w:sz w:val="20"/>
          <w:szCs w:val="20"/>
        </w:rPr>
        <w:t>, etc.</w:t>
      </w:r>
      <w:r w:rsidR="000A4B06" w:rsidRPr="00AC4AEA">
        <w:rPr>
          <w:rFonts w:ascii="Arial" w:hAnsi="Arial" w:cs="Arial"/>
          <w:sz w:val="20"/>
          <w:szCs w:val="20"/>
        </w:rPr>
        <w:t>)</w:t>
      </w:r>
      <w:r w:rsidRPr="00AC4AEA">
        <w:rPr>
          <w:rFonts w:ascii="Arial" w:hAnsi="Arial" w:cs="Arial"/>
          <w:sz w:val="20"/>
          <w:szCs w:val="20"/>
        </w:rPr>
        <w:t>;</w:t>
      </w:r>
    </w:p>
    <w:p w:rsidR="00337EE4" w:rsidRPr="00AC4AEA" w:rsidRDefault="00D903E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337EE4" w:rsidRPr="00AC4AEA">
        <w:rPr>
          <w:rFonts w:ascii="Arial" w:hAnsi="Arial" w:cs="Arial"/>
          <w:sz w:val="20"/>
          <w:szCs w:val="20"/>
        </w:rPr>
        <w:t xml:space="preserve">valuar la </w:t>
      </w:r>
      <w:r w:rsidR="00337EE4" w:rsidRPr="00AC4AEA">
        <w:rPr>
          <w:rFonts w:ascii="Arial" w:hAnsi="Arial" w:cs="Arial"/>
          <w:b/>
          <w:bCs/>
          <w:sz w:val="20"/>
          <w:szCs w:val="20"/>
        </w:rPr>
        <w:t>activación</w:t>
      </w:r>
      <w:r w:rsidR="00337EE4" w:rsidRPr="00AC4AEA">
        <w:rPr>
          <w:rFonts w:ascii="Arial" w:hAnsi="Arial" w:cs="Arial"/>
          <w:sz w:val="20"/>
          <w:szCs w:val="20"/>
        </w:rPr>
        <w:t xml:space="preserve"> para cada </w:t>
      </w:r>
      <w:r w:rsidR="00354ACD" w:rsidRPr="00AC4AEA">
        <w:rPr>
          <w:rFonts w:ascii="Arial" w:hAnsi="Arial" w:cs="Arial"/>
          <w:sz w:val="20"/>
          <w:szCs w:val="20"/>
        </w:rPr>
        <w:t xml:space="preserve">bien </w:t>
      </w:r>
      <w:r w:rsidR="00337EE4" w:rsidRPr="00AC4AEA">
        <w:rPr>
          <w:rFonts w:ascii="Arial" w:hAnsi="Arial" w:cs="Arial"/>
          <w:sz w:val="20"/>
          <w:szCs w:val="20"/>
        </w:rPr>
        <w:t>en particular</w:t>
      </w:r>
      <w:r w:rsidR="00D63401" w:rsidRPr="00AC4AEA">
        <w:rPr>
          <w:rFonts w:ascii="Arial" w:hAnsi="Arial" w:cs="Arial"/>
          <w:sz w:val="20"/>
          <w:szCs w:val="20"/>
        </w:rPr>
        <w:t>,</w:t>
      </w:r>
      <w:r w:rsidR="00337EE4" w:rsidRPr="00AC4AEA">
        <w:rPr>
          <w:rFonts w:ascii="Arial" w:hAnsi="Arial" w:cs="Arial"/>
          <w:sz w:val="20"/>
          <w:szCs w:val="20"/>
        </w:rPr>
        <w:t xml:space="preserve"> aunque la producción, construcción, montaje o terminación forme parte de un grupo mayor de </w:t>
      </w:r>
      <w:r w:rsidR="00497590" w:rsidRPr="00AC4AEA">
        <w:rPr>
          <w:rFonts w:ascii="Arial" w:hAnsi="Arial" w:cs="Arial"/>
          <w:sz w:val="20"/>
          <w:szCs w:val="20"/>
        </w:rPr>
        <w:t>activos</w:t>
      </w:r>
      <w:r w:rsidR="00337EE4" w:rsidRPr="00AC4AEA">
        <w:rPr>
          <w:rFonts w:ascii="Arial" w:hAnsi="Arial" w:cs="Arial"/>
          <w:sz w:val="20"/>
          <w:szCs w:val="20"/>
        </w:rPr>
        <w:t>. En este caso,</w:t>
      </w:r>
      <w:r w:rsidR="00BD3731" w:rsidRPr="00AC4AEA">
        <w:rPr>
          <w:rFonts w:ascii="Arial" w:hAnsi="Arial" w:cs="Arial"/>
          <w:sz w:val="20"/>
          <w:szCs w:val="20"/>
        </w:rPr>
        <w:t xml:space="preserve"> limitará</w:t>
      </w:r>
      <w:r w:rsidR="00337EE4" w:rsidRPr="00AC4AEA">
        <w:rPr>
          <w:rFonts w:ascii="Arial" w:hAnsi="Arial" w:cs="Arial"/>
          <w:sz w:val="20"/>
          <w:szCs w:val="20"/>
        </w:rPr>
        <w:t xml:space="preserve"> la </w:t>
      </w:r>
      <w:r w:rsidR="00337EE4" w:rsidRPr="00AC4AEA">
        <w:rPr>
          <w:rFonts w:ascii="Arial" w:hAnsi="Arial" w:cs="Arial"/>
          <w:b/>
          <w:bCs/>
          <w:sz w:val="20"/>
          <w:szCs w:val="20"/>
        </w:rPr>
        <w:t>activación</w:t>
      </w:r>
      <w:r w:rsidR="00337EE4" w:rsidRPr="00AC4AEA">
        <w:rPr>
          <w:rFonts w:ascii="Arial" w:hAnsi="Arial" w:cs="Arial"/>
          <w:sz w:val="20"/>
          <w:szCs w:val="20"/>
        </w:rPr>
        <w:t xml:space="preserve"> de los </w:t>
      </w:r>
      <w:r w:rsidR="00337EE4" w:rsidRPr="00AC4AEA">
        <w:rPr>
          <w:rFonts w:ascii="Arial" w:hAnsi="Arial" w:cs="Arial"/>
          <w:b/>
          <w:bCs/>
          <w:sz w:val="20"/>
          <w:szCs w:val="20"/>
        </w:rPr>
        <w:t>costos financieros</w:t>
      </w:r>
      <w:r w:rsidR="00337EE4" w:rsidRPr="00AC4AEA">
        <w:rPr>
          <w:rFonts w:ascii="Arial" w:hAnsi="Arial" w:cs="Arial"/>
          <w:sz w:val="20"/>
          <w:szCs w:val="20"/>
        </w:rPr>
        <w:t xml:space="preserve"> a cada parte, </w:t>
      </w:r>
      <w:r w:rsidR="00802713" w:rsidRPr="00AC4AEA">
        <w:rPr>
          <w:rFonts w:ascii="Arial" w:hAnsi="Arial" w:cs="Arial"/>
          <w:sz w:val="20"/>
          <w:szCs w:val="20"/>
        </w:rPr>
        <w:t>una vez</w:t>
      </w:r>
      <w:r w:rsidR="00337EE4" w:rsidRPr="00AC4AEA">
        <w:rPr>
          <w:rFonts w:ascii="Arial" w:hAnsi="Arial" w:cs="Arial"/>
          <w:sz w:val="20"/>
          <w:szCs w:val="20"/>
        </w:rPr>
        <w:t xml:space="preserve"> terminada</w:t>
      </w:r>
      <w:r w:rsidRPr="00AC4AEA">
        <w:rPr>
          <w:rFonts w:ascii="Arial" w:hAnsi="Arial" w:cs="Arial"/>
          <w:sz w:val="20"/>
          <w:szCs w:val="20"/>
        </w:rPr>
        <w:t>;</w:t>
      </w:r>
    </w:p>
    <w:p w:rsidR="00337EE4" w:rsidRPr="00AC4AEA" w:rsidRDefault="00D903E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i</w:t>
      </w:r>
      <w:r w:rsidR="00D63401" w:rsidRPr="00AC4AEA">
        <w:rPr>
          <w:rFonts w:ascii="Arial" w:hAnsi="Arial" w:cs="Arial"/>
          <w:sz w:val="20"/>
          <w:szCs w:val="20"/>
        </w:rPr>
        <w:t xml:space="preserve">mputar </w:t>
      </w:r>
      <w:r w:rsidR="00337EE4" w:rsidRPr="00AC4AEA">
        <w:rPr>
          <w:rFonts w:ascii="Arial" w:hAnsi="Arial" w:cs="Arial"/>
          <w:sz w:val="20"/>
          <w:szCs w:val="20"/>
        </w:rPr>
        <w:t xml:space="preserve">los </w:t>
      </w:r>
      <w:r w:rsidR="00337EE4" w:rsidRPr="00AC4AEA">
        <w:rPr>
          <w:rFonts w:ascii="Arial" w:hAnsi="Arial" w:cs="Arial"/>
          <w:b/>
          <w:bCs/>
          <w:sz w:val="20"/>
          <w:szCs w:val="20"/>
        </w:rPr>
        <w:t>costos financieros</w:t>
      </w:r>
      <w:r w:rsidR="00337EE4" w:rsidRPr="00AC4AEA">
        <w:rPr>
          <w:rFonts w:ascii="Arial" w:hAnsi="Arial" w:cs="Arial"/>
          <w:sz w:val="20"/>
          <w:szCs w:val="20"/>
        </w:rPr>
        <w:t xml:space="preserve"> </w:t>
      </w:r>
      <w:r w:rsidR="00260ABA" w:rsidRPr="00AC4AEA">
        <w:rPr>
          <w:rFonts w:ascii="Arial" w:hAnsi="Arial" w:cs="Arial"/>
          <w:sz w:val="20"/>
          <w:szCs w:val="20"/>
        </w:rPr>
        <w:t xml:space="preserve">por mes o </w:t>
      </w:r>
      <w:r w:rsidR="00337EE4" w:rsidRPr="00AC4AEA">
        <w:rPr>
          <w:rFonts w:ascii="Arial" w:hAnsi="Arial" w:cs="Arial"/>
          <w:sz w:val="20"/>
          <w:szCs w:val="20"/>
        </w:rPr>
        <w:t>períodos más extensos, en tanto esta política</w:t>
      </w:r>
      <w:r w:rsidR="00802713" w:rsidRPr="00AC4AEA">
        <w:rPr>
          <w:rFonts w:ascii="Arial" w:hAnsi="Arial" w:cs="Arial"/>
          <w:sz w:val="20"/>
          <w:szCs w:val="20"/>
        </w:rPr>
        <w:t xml:space="preserve"> </w:t>
      </w:r>
      <w:r w:rsidR="000F3B25" w:rsidRPr="00AC4AEA">
        <w:rPr>
          <w:rFonts w:ascii="Arial" w:hAnsi="Arial" w:cs="Arial"/>
          <w:sz w:val="20"/>
          <w:szCs w:val="20"/>
        </w:rPr>
        <w:t xml:space="preserve">sea aplicada </w:t>
      </w:r>
      <w:r w:rsidR="004F4C30" w:rsidRPr="00AC4AEA">
        <w:rPr>
          <w:rFonts w:ascii="Arial" w:hAnsi="Arial" w:cs="Arial"/>
          <w:sz w:val="20"/>
          <w:szCs w:val="20"/>
        </w:rPr>
        <w:t>consistentemente</w:t>
      </w:r>
      <w:r w:rsidR="000F3B25" w:rsidRPr="00AC4AEA">
        <w:rPr>
          <w:rFonts w:ascii="Arial" w:hAnsi="Arial" w:cs="Arial"/>
          <w:sz w:val="20"/>
          <w:szCs w:val="20"/>
        </w:rPr>
        <w:t xml:space="preserve"> </w:t>
      </w:r>
      <w:r w:rsidR="00337EE4" w:rsidRPr="00AC4AEA">
        <w:rPr>
          <w:rFonts w:ascii="Arial" w:hAnsi="Arial" w:cs="Arial"/>
          <w:sz w:val="20"/>
          <w:szCs w:val="20"/>
        </w:rPr>
        <w:t>y no genere distorsiones significativas</w:t>
      </w:r>
      <w:r w:rsidRPr="00AC4AEA">
        <w:rPr>
          <w:rFonts w:ascii="Arial" w:hAnsi="Arial" w:cs="Arial"/>
          <w:sz w:val="20"/>
          <w:szCs w:val="20"/>
        </w:rPr>
        <w:t>;</w:t>
      </w:r>
    </w:p>
    <w:p w:rsidR="00337EE4" w:rsidRPr="00AC4AEA" w:rsidRDefault="00D903E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w:t>
      </w:r>
      <w:r w:rsidR="00D63401" w:rsidRPr="00AC4AEA">
        <w:rPr>
          <w:rFonts w:ascii="Arial" w:hAnsi="Arial" w:cs="Arial"/>
          <w:sz w:val="20"/>
          <w:szCs w:val="20"/>
        </w:rPr>
        <w:t xml:space="preserve">ctivar </w:t>
      </w:r>
      <w:r w:rsidR="00337EE4" w:rsidRPr="00AC4AEA">
        <w:rPr>
          <w:rFonts w:ascii="Arial" w:hAnsi="Arial" w:cs="Arial"/>
          <w:sz w:val="20"/>
          <w:szCs w:val="20"/>
        </w:rPr>
        <w:t xml:space="preserve">en primer lugar </w:t>
      </w:r>
      <w:r w:rsidR="00BD3731" w:rsidRPr="00AC4AEA">
        <w:rPr>
          <w:rFonts w:ascii="Arial" w:hAnsi="Arial" w:cs="Arial"/>
          <w:sz w:val="20"/>
          <w:szCs w:val="20"/>
        </w:rPr>
        <w:t xml:space="preserve">todos </w:t>
      </w:r>
      <w:r w:rsidR="00337EE4" w:rsidRPr="00AC4AEA">
        <w:rPr>
          <w:rFonts w:ascii="Arial" w:hAnsi="Arial" w:cs="Arial"/>
          <w:sz w:val="20"/>
          <w:szCs w:val="20"/>
        </w:rPr>
        <w:t xml:space="preserve">los </w:t>
      </w:r>
      <w:r w:rsidR="00337EE4" w:rsidRPr="00AC4AEA">
        <w:rPr>
          <w:rFonts w:ascii="Arial" w:hAnsi="Arial" w:cs="Arial"/>
          <w:b/>
          <w:bCs/>
          <w:sz w:val="20"/>
          <w:szCs w:val="20"/>
        </w:rPr>
        <w:t>costos financieros</w:t>
      </w:r>
      <w:r w:rsidR="00337EE4" w:rsidRPr="00AC4AEA">
        <w:rPr>
          <w:rFonts w:ascii="Arial" w:hAnsi="Arial" w:cs="Arial"/>
          <w:sz w:val="20"/>
          <w:szCs w:val="20"/>
        </w:rPr>
        <w:t xml:space="preserve"> incurridos por l</w:t>
      </w:r>
      <w:r w:rsidR="00C136CA" w:rsidRPr="00AC4AEA">
        <w:rPr>
          <w:rFonts w:ascii="Arial" w:hAnsi="Arial" w:cs="Arial"/>
          <w:sz w:val="20"/>
          <w:szCs w:val="20"/>
        </w:rPr>
        <w:t>a</w:t>
      </w:r>
      <w:r w:rsidR="00337EE4" w:rsidRPr="00AC4AEA">
        <w:rPr>
          <w:rFonts w:ascii="Arial" w:hAnsi="Arial" w:cs="Arial"/>
          <w:sz w:val="20"/>
          <w:szCs w:val="20"/>
        </w:rPr>
        <w:t xml:space="preserve">s </w:t>
      </w:r>
      <w:r w:rsidR="003C6C87" w:rsidRPr="00AC4AEA">
        <w:rPr>
          <w:rFonts w:ascii="Arial" w:hAnsi="Arial" w:cs="Arial"/>
          <w:b/>
          <w:bCs/>
          <w:sz w:val="20"/>
          <w:szCs w:val="20"/>
        </w:rPr>
        <w:t xml:space="preserve">deudas </w:t>
      </w:r>
      <w:r w:rsidR="00C33BBE" w:rsidRPr="00AC4AEA">
        <w:rPr>
          <w:rFonts w:ascii="Arial" w:hAnsi="Arial" w:cs="Arial"/>
          <w:b/>
          <w:bCs/>
          <w:sz w:val="20"/>
          <w:szCs w:val="20"/>
        </w:rPr>
        <w:t>computables</w:t>
      </w:r>
      <w:r w:rsidR="00C136CA" w:rsidRPr="00AC4AEA">
        <w:rPr>
          <w:rFonts w:ascii="Arial" w:hAnsi="Arial" w:cs="Arial"/>
          <w:sz w:val="20"/>
          <w:szCs w:val="20"/>
        </w:rPr>
        <w:t xml:space="preserve"> </w:t>
      </w:r>
      <w:r w:rsidR="00337EE4" w:rsidRPr="00AC4AEA">
        <w:rPr>
          <w:rFonts w:ascii="Arial" w:hAnsi="Arial" w:cs="Arial"/>
          <w:sz w:val="20"/>
          <w:szCs w:val="20"/>
        </w:rPr>
        <w:t>específicamente destinad</w:t>
      </w:r>
      <w:r w:rsidR="00C136CA" w:rsidRPr="00AC4AEA">
        <w:rPr>
          <w:rFonts w:ascii="Arial" w:hAnsi="Arial" w:cs="Arial"/>
          <w:sz w:val="20"/>
          <w:szCs w:val="20"/>
        </w:rPr>
        <w:t>a</w:t>
      </w:r>
      <w:r w:rsidR="00337EE4" w:rsidRPr="00AC4AEA">
        <w:rPr>
          <w:rFonts w:ascii="Arial" w:hAnsi="Arial" w:cs="Arial"/>
          <w:sz w:val="20"/>
          <w:szCs w:val="20"/>
        </w:rPr>
        <w:t>s al financiamiento</w:t>
      </w:r>
      <w:r w:rsidR="00BD3731" w:rsidRPr="00AC4AEA">
        <w:rPr>
          <w:rFonts w:ascii="Arial" w:hAnsi="Arial" w:cs="Arial"/>
          <w:sz w:val="20"/>
          <w:szCs w:val="20"/>
        </w:rPr>
        <w:t xml:space="preserve"> total o parcial</w:t>
      </w:r>
      <w:r w:rsidR="00354ACD" w:rsidRPr="00AC4AEA">
        <w:rPr>
          <w:rFonts w:ascii="Arial" w:hAnsi="Arial" w:cs="Arial"/>
          <w:sz w:val="20"/>
          <w:szCs w:val="20"/>
        </w:rPr>
        <w:t xml:space="preserve"> (</w:t>
      </w:r>
      <w:r w:rsidR="003C6C87" w:rsidRPr="00AC4AEA">
        <w:rPr>
          <w:rFonts w:ascii="Arial" w:hAnsi="Arial" w:cs="Arial"/>
          <w:b/>
          <w:bCs/>
          <w:sz w:val="20"/>
          <w:szCs w:val="20"/>
        </w:rPr>
        <w:t xml:space="preserve">deudas </w:t>
      </w:r>
      <w:r w:rsidR="00C33BBE" w:rsidRPr="00AC4AEA">
        <w:rPr>
          <w:rFonts w:ascii="Arial" w:hAnsi="Arial" w:cs="Arial"/>
          <w:b/>
          <w:bCs/>
          <w:sz w:val="20"/>
          <w:szCs w:val="20"/>
        </w:rPr>
        <w:t>computables</w:t>
      </w:r>
      <w:r w:rsidR="00C136CA" w:rsidRPr="00AC4AEA">
        <w:rPr>
          <w:rFonts w:ascii="Arial" w:hAnsi="Arial" w:cs="Arial"/>
          <w:sz w:val="20"/>
          <w:szCs w:val="20"/>
        </w:rPr>
        <w:t xml:space="preserve"> </w:t>
      </w:r>
      <w:r w:rsidR="00354ACD" w:rsidRPr="00AC4AEA">
        <w:rPr>
          <w:rFonts w:ascii="Arial" w:hAnsi="Arial" w:cs="Arial"/>
          <w:sz w:val="20"/>
          <w:szCs w:val="20"/>
        </w:rPr>
        <w:t>específic</w:t>
      </w:r>
      <w:r w:rsidR="00C136CA" w:rsidRPr="00AC4AEA">
        <w:rPr>
          <w:rFonts w:ascii="Arial" w:hAnsi="Arial" w:cs="Arial"/>
          <w:sz w:val="20"/>
          <w:szCs w:val="20"/>
        </w:rPr>
        <w:t>a</w:t>
      </w:r>
      <w:r w:rsidR="00354ACD" w:rsidRPr="00AC4AEA">
        <w:rPr>
          <w:rFonts w:ascii="Arial" w:hAnsi="Arial" w:cs="Arial"/>
          <w:sz w:val="20"/>
          <w:szCs w:val="20"/>
        </w:rPr>
        <w:t>s)</w:t>
      </w:r>
      <w:r w:rsidR="00BD3731" w:rsidRPr="00AC4AEA">
        <w:rPr>
          <w:rFonts w:ascii="Arial" w:hAnsi="Arial" w:cs="Arial"/>
          <w:sz w:val="20"/>
          <w:szCs w:val="20"/>
        </w:rPr>
        <w:t xml:space="preserve"> de</w:t>
      </w:r>
      <w:r w:rsidR="00802713" w:rsidRPr="00AC4AEA">
        <w:rPr>
          <w:rFonts w:ascii="Arial" w:hAnsi="Arial" w:cs="Arial"/>
          <w:sz w:val="20"/>
          <w:szCs w:val="20"/>
        </w:rPr>
        <w:t xml:space="preserve"> los </w:t>
      </w:r>
      <w:r w:rsidR="00497590" w:rsidRPr="00AC4AEA">
        <w:rPr>
          <w:rFonts w:ascii="Arial" w:hAnsi="Arial" w:cs="Arial"/>
          <w:b/>
          <w:bCs/>
          <w:sz w:val="20"/>
          <w:szCs w:val="20"/>
        </w:rPr>
        <w:t>activos</w:t>
      </w:r>
      <w:r w:rsidR="00802713" w:rsidRPr="00AC4AEA">
        <w:rPr>
          <w:rFonts w:ascii="Arial" w:hAnsi="Arial" w:cs="Arial"/>
          <w:b/>
          <w:bCs/>
          <w:sz w:val="20"/>
          <w:szCs w:val="20"/>
        </w:rPr>
        <w:t xml:space="preserve"> aptos</w:t>
      </w:r>
      <w:r w:rsidR="00260ABA" w:rsidRPr="00AC4AEA">
        <w:rPr>
          <w:rFonts w:ascii="Arial" w:hAnsi="Arial" w:cs="Arial"/>
          <w:sz w:val="20"/>
          <w:szCs w:val="20"/>
        </w:rPr>
        <w:t xml:space="preserve"> </w:t>
      </w:r>
      <w:r w:rsidR="00802713" w:rsidRPr="00AC4AEA">
        <w:rPr>
          <w:rFonts w:ascii="Arial" w:hAnsi="Arial" w:cs="Arial"/>
          <w:b/>
          <w:bCs/>
          <w:sz w:val="20"/>
          <w:szCs w:val="20"/>
        </w:rPr>
        <w:t>para la activación de costos financieros</w:t>
      </w:r>
      <w:r w:rsidRPr="00AC4AEA">
        <w:rPr>
          <w:rFonts w:ascii="Arial" w:hAnsi="Arial" w:cs="Arial"/>
          <w:sz w:val="20"/>
          <w:szCs w:val="20"/>
        </w:rPr>
        <w:t>; y</w:t>
      </w:r>
    </w:p>
    <w:p w:rsidR="00337EE4" w:rsidRPr="00AC4AEA" w:rsidRDefault="00D903E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w:t>
      </w:r>
      <w:r w:rsidR="00337EE4" w:rsidRPr="00AC4AEA">
        <w:rPr>
          <w:rFonts w:ascii="Arial" w:hAnsi="Arial" w:cs="Arial"/>
          <w:sz w:val="20"/>
          <w:szCs w:val="20"/>
        </w:rPr>
        <w:t xml:space="preserve">ctivar en segundo término los </w:t>
      </w:r>
      <w:r w:rsidR="00337EE4" w:rsidRPr="00AC4AEA">
        <w:rPr>
          <w:rFonts w:ascii="Arial" w:hAnsi="Arial" w:cs="Arial"/>
          <w:b/>
          <w:bCs/>
          <w:sz w:val="20"/>
          <w:szCs w:val="20"/>
        </w:rPr>
        <w:t>costos financieros</w:t>
      </w:r>
      <w:r w:rsidR="00337EE4" w:rsidRPr="00AC4AEA">
        <w:rPr>
          <w:rFonts w:ascii="Arial" w:hAnsi="Arial" w:cs="Arial"/>
          <w:sz w:val="20"/>
          <w:szCs w:val="20"/>
        </w:rPr>
        <w:t xml:space="preserve"> incurridos por </w:t>
      </w:r>
      <w:r w:rsidR="00C136CA" w:rsidRPr="00AC4AEA">
        <w:rPr>
          <w:rFonts w:ascii="Arial" w:hAnsi="Arial" w:cs="Arial"/>
          <w:sz w:val="20"/>
          <w:szCs w:val="20"/>
        </w:rPr>
        <w:t xml:space="preserve">las </w:t>
      </w:r>
      <w:r w:rsidR="003C6C87" w:rsidRPr="00AC4AEA">
        <w:rPr>
          <w:rFonts w:ascii="Arial" w:hAnsi="Arial" w:cs="Arial"/>
          <w:b/>
          <w:bCs/>
          <w:sz w:val="20"/>
          <w:szCs w:val="20"/>
        </w:rPr>
        <w:t xml:space="preserve">deudas </w:t>
      </w:r>
      <w:r w:rsidR="00C33BBE" w:rsidRPr="00AC4AEA">
        <w:rPr>
          <w:rFonts w:ascii="Arial" w:hAnsi="Arial" w:cs="Arial"/>
          <w:b/>
          <w:bCs/>
          <w:sz w:val="20"/>
          <w:szCs w:val="20"/>
        </w:rPr>
        <w:t xml:space="preserve">computables </w:t>
      </w:r>
      <w:r w:rsidR="00337EE4" w:rsidRPr="00AC4AEA">
        <w:rPr>
          <w:rFonts w:ascii="Arial" w:hAnsi="Arial" w:cs="Arial"/>
          <w:sz w:val="20"/>
          <w:szCs w:val="20"/>
        </w:rPr>
        <w:t>no destinad</w:t>
      </w:r>
      <w:r w:rsidR="00C136CA" w:rsidRPr="00AC4AEA">
        <w:rPr>
          <w:rFonts w:ascii="Arial" w:hAnsi="Arial" w:cs="Arial"/>
          <w:sz w:val="20"/>
          <w:szCs w:val="20"/>
        </w:rPr>
        <w:t>a</w:t>
      </w:r>
      <w:r w:rsidR="00337EE4" w:rsidRPr="00AC4AEA">
        <w:rPr>
          <w:rFonts w:ascii="Arial" w:hAnsi="Arial" w:cs="Arial"/>
          <w:sz w:val="20"/>
          <w:szCs w:val="20"/>
        </w:rPr>
        <w:t>s específicamente al financiamiento</w:t>
      </w:r>
      <w:r w:rsidR="00354ACD" w:rsidRPr="00AC4AEA">
        <w:rPr>
          <w:rFonts w:ascii="Arial" w:hAnsi="Arial" w:cs="Arial"/>
          <w:sz w:val="20"/>
          <w:szCs w:val="20"/>
        </w:rPr>
        <w:t xml:space="preserve"> (</w:t>
      </w:r>
      <w:r w:rsidR="003C6C87" w:rsidRPr="00AC4AEA">
        <w:rPr>
          <w:rFonts w:ascii="Arial" w:hAnsi="Arial" w:cs="Arial"/>
          <w:b/>
          <w:bCs/>
          <w:sz w:val="20"/>
          <w:szCs w:val="20"/>
        </w:rPr>
        <w:t xml:space="preserve">deudas </w:t>
      </w:r>
      <w:r w:rsidR="00C33BBE" w:rsidRPr="00AC4AEA">
        <w:rPr>
          <w:rFonts w:ascii="Arial" w:hAnsi="Arial" w:cs="Arial"/>
          <w:b/>
          <w:bCs/>
          <w:sz w:val="20"/>
          <w:szCs w:val="20"/>
        </w:rPr>
        <w:lastRenderedPageBreak/>
        <w:t>computables</w:t>
      </w:r>
      <w:r w:rsidR="00C136CA" w:rsidRPr="00AC4AEA">
        <w:rPr>
          <w:rFonts w:ascii="Arial" w:hAnsi="Arial" w:cs="Arial"/>
          <w:sz w:val="20"/>
          <w:szCs w:val="20"/>
        </w:rPr>
        <w:t xml:space="preserve"> </w:t>
      </w:r>
      <w:r w:rsidR="00354ACD" w:rsidRPr="00AC4AEA">
        <w:rPr>
          <w:rFonts w:ascii="Arial" w:hAnsi="Arial" w:cs="Arial"/>
          <w:sz w:val="20"/>
          <w:szCs w:val="20"/>
        </w:rPr>
        <w:t>no específic</w:t>
      </w:r>
      <w:r w:rsidR="00C136CA" w:rsidRPr="00AC4AEA">
        <w:rPr>
          <w:rFonts w:ascii="Arial" w:hAnsi="Arial" w:cs="Arial"/>
          <w:sz w:val="20"/>
          <w:szCs w:val="20"/>
        </w:rPr>
        <w:t>a</w:t>
      </w:r>
      <w:r w:rsidR="00354ACD" w:rsidRPr="00AC4AEA">
        <w:rPr>
          <w:rFonts w:ascii="Arial" w:hAnsi="Arial" w:cs="Arial"/>
          <w:sz w:val="20"/>
          <w:szCs w:val="20"/>
        </w:rPr>
        <w:t>s)</w:t>
      </w:r>
      <w:r w:rsidR="00337EE4" w:rsidRPr="00AC4AEA">
        <w:rPr>
          <w:rFonts w:ascii="Arial" w:hAnsi="Arial" w:cs="Arial"/>
          <w:sz w:val="20"/>
          <w:szCs w:val="20"/>
        </w:rPr>
        <w:t xml:space="preserve"> de </w:t>
      </w:r>
      <w:r w:rsidR="00497590" w:rsidRPr="00AC4AEA">
        <w:rPr>
          <w:rFonts w:ascii="Arial" w:hAnsi="Arial" w:cs="Arial"/>
          <w:b/>
          <w:bCs/>
          <w:sz w:val="20"/>
          <w:szCs w:val="20"/>
        </w:rPr>
        <w:t>activos</w:t>
      </w:r>
      <w:r w:rsidR="00BD1BCC" w:rsidRPr="00AC4AEA">
        <w:rPr>
          <w:rFonts w:ascii="Arial" w:hAnsi="Arial" w:cs="Arial"/>
          <w:b/>
          <w:bCs/>
          <w:sz w:val="20"/>
          <w:szCs w:val="20"/>
        </w:rPr>
        <w:t xml:space="preserve"> aptos</w:t>
      </w:r>
      <w:r w:rsidR="00BD1BCC" w:rsidRPr="00AC4AEA">
        <w:rPr>
          <w:rFonts w:ascii="Arial" w:hAnsi="Arial" w:cs="Arial"/>
          <w:sz w:val="20"/>
          <w:szCs w:val="20"/>
        </w:rPr>
        <w:t xml:space="preserve"> </w:t>
      </w:r>
      <w:r w:rsidR="00BD1BCC" w:rsidRPr="00AC4AEA">
        <w:rPr>
          <w:rFonts w:ascii="Arial" w:hAnsi="Arial" w:cs="Arial"/>
          <w:b/>
          <w:bCs/>
          <w:sz w:val="20"/>
          <w:szCs w:val="20"/>
        </w:rPr>
        <w:t>para la activación de costos financiero</w:t>
      </w:r>
      <w:r w:rsidR="00B47B5E" w:rsidRPr="00AC4AEA">
        <w:rPr>
          <w:rFonts w:ascii="Arial" w:hAnsi="Arial" w:cs="Arial"/>
          <w:b/>
          <w:bCs/>
          <w:sz w:val="20"/>
          <w:szCs w:val="20"/>
        </w:rPr>
        <w:t>s</w:t>
      </w:r>
      <w:r w:rsidR="00337EE4" w:rsidRPr="00AC4AEA">
        <w:rPr>
          <w:rFonts w:ascii="Arial" w:hAnsi="Arial" w:cs="Arial"/>
          <w:sz w:val="20"/>
          <w:szCs w:val="20"/>
        </w:rPr>
        <w:t>.</w:t>
      </w:r>
    </w:p>
    <w:p w:rsidR="00F969DE" w:rsidRPr="00AC4AEA" w:rsidRDefault="00F969D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determinará el importe susceptible de </w:t>
      </w:r>
      <w:r w:rsidRPr="00AC4AEA">
        <w:rPr>
          <w:rFonts w:ascii="Arial" w:hAnsi="Arial" w:cs="Arial"/>
          <w:b/>
          <w:bCs/>
          <w:sz w:val="20"/>
          <w:szCs w:val="20"/>
        </w:rPr>
        <w:t>activación</w:t>
      </w:r>
      <w:r w:rsidRPr="00AC4AEA">
        <w:rPr>
          <w:rFonts w:ascii="Arial" w:hAnsi="Arial" w:cs="Arial"/>
          <w:sz w:val="20"/>
          <w:szCs w:val="20"/>
        </w:rPr>
        <w:t xml:space="preserve">, procedente de </w:t>
      </w:r>
      <w:r w:rsidR="003C6C87" w:rsidRPr="00AC4AEA">
        <w:rPr>
          <w:rFonts w:ascii="Arial" w:hAnsi="Arial" w:cs="Arial"/>
          <w:b/>
          <w:bCs/>
          <w:sz w:val="20"/>
          <w:szCs w:val="20"/>
        </w:rPr>
        <w:t xml:space="preserve">deudas </w:t>
      </w:r>
      <w:r w:rsidR="00C33BBE" w:rsidRPr="00AC4AEA">
        <w:rPr>
          <w:rFonts w:ascii="Arial" w:hAnsi="Arial" w:cs="Arial"/>
          <w:b/>
          <w:bCs/>
          <w:sz w:val="20"/>
          <w:szCs w:val="20"/>
        </w:rPr>
        <w:t>computables</w:t>
      </w:r>
      <w:r w:rsidR="00C136CA" w:rsidRPr="00AC4AEA">
        <w:rPr>
          <w:rFonts w:ascii="Arial" w:hAnsi="Arial" w:cs="Arial"/>
          <w:sz w:val="20"/>
          <w:szCs w:val="20"/>
        </w:rPr>
        <w:t xml:space="preserve"> </w:t>
      </w:r>
      <w:r w:rsidRPr="00AC4AEA">
        <w:rPr>
          <w:rFonts w:ascii="Arial" w:hAnsi="Arial" w:cs="Arial"/>
          <w:sz w:val="20"/>
          <w:szCs w:val="20"/>
        </w:rPr>
        <w:t>específic</w:t>
      </w:r>
      <w:r w:rsidR="00C136CA" w:rsidRPr="00AC4AEA">
        <w:rPr>
          <w:rFonts w:ascii="Arial" w:hAnsi="Arial" w:cs="Arial"/>
          <w:sz w:val="20"/>
          <w:szCs w:val="20"/>
        </w:rPr>
        <w:t>a</w:t>
      </w:r>
      <w:r w:rsidRPr="00AC4AEA">
        <w:rPr>
          <w:rFonts w:ascii="Arial" w:hAnsi="Arial" w:cs="Arial"/>
          <w:sz w:val="20"/>
          <w:szCs w:val="20"/>
        </w:rPr>
        <w:t xml:space="preserve">s, detrayendo de los </w:t>
      </w:r>
      <w:r w:rsidRPr="00AC4AEA">
        <w:rPr>
          <w:rFonts w:ascii="Arial" w:hAnsi="Arial" w:cs="Arial"/>
          <w:b/>
          <w:bCs/>
          <w:sz w:val="20"/>
          <w:szCs w:val="20"/>
        </w:rPr>
        <w:t>costos financieros</w:t>
      </w:r>
      <w:r w:rsidRPr="00AC4AEA">
        <w:rPr>
          <w:rFonts w:ascii="Arial" w:hAnsi="Arial" w:cs="Arial"/>
          <w:sz w:val="20"/>
          <w:szCs w:val="20"/>
        </w:rPr>
        <w:t xml:space="preserve"> la suma de </w:t>
      </w:r>
      <w:r w:rsidR="00EA699F" w:rsidRPr="00AC4AEA">
        <w:rPr>
          <w:rFonts w:ascii="Arial" w:hAnsi="Arial" w:cs="Arial"/>
          <w:b/>
          <w:bCs/>
          <w:sz w:val="20"/>
          <w:szCs w:val="20"/>
        </w:rPr>
        <w:t>ingresos financieros</w:t>
      </w:r>
      <w:r w:rsidRPr="00AC4AEA">
        <w:rPr>
          <w:rFonts w:ascii="Arial" w:hAnsi="Arial" w:cs="Arial"/>
          <w:sz w:val="20"/>
          <w:szCs w:val="20"/>
        </w:rPr>
        <w:t xml:space="preserve"> generada por colocaciones transitorias de fondos provenientes de tales préstamos.</w:t>
      </w:r>
    </w:p>
    <w:p w:rsidR="00A716AE" w:rsidRPr="00AC4AEA" w:rsidRDefault="00A716A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determinará el importe susceptible de </w:t>
      </w:r>
      <w:r w:rsidRPr="00AC4AEA">
        <w:rPr>
          <w:rFonts w:ascii="Arial" w:hAnsi="Arial" w:cs="Arial"/>
          <w:b/>
          <w:bCs/>
          <w:sz w:val="20"/>
          <w:szCs w:val="20"/>
        </w:rPr>
        <w:t>activación</w:t>
      </w:r>
      <w:r w:rsidRPr="00AC4AEA">
        <w:rPr>
          <w:rFonts w:ascii="Arial" w:hAnsi="Arial" w:cs="Arial"/>
          <w:sz w:val="20"/>
          <w:szCs w:val="20"/>
        </w:rPr>
        <w:t xml:space="preserve">, procedente de </w:t>
      </w:r>
      <w:r w:rsidR="003C6C87" w:rsidRPr="00AC4AEA">
        <w:rPr>
          <w:rFonts w:ascii="Arial" w:hAnsi="Arial" w:cs="Arial"/>
          <w:b/>
          <w:bCs/>
          <w:sz w:val="20"/>
          <w:szCs w:val="20"/>
        </w:rPr>
        <w:t xml:space="preserve">deudas </w:t>
      </w:r>
      <w:r w:rsidR="00C33BBE" w:rsidRPr="00AC4AEA">
        <w:rPr>
          <w:rFonts w:ascii="Arial" w:hAnsi="Arial" w:cs="Arial"/>
          <w:b/>
          <w:bCs/>
          <w:sz w:val="20"/>
          <w:szCs w:val="20"/>
        </w:rPr>
        <w:t>computables</w:t>
      </w:r>
      <w:r w:rsidR="00C136CA" w:rsidRPr="00AC4AEA">
        <w:rPr>
          <w:rFonts w:ascii="Arial" w:hAnsi="Arial" w:cs="Arial"/>
          <w:sz w:val="20"/>
          <w:szCs w:val="20"/>
        </w:rPr>
        <w:t xml:space="preserve"> </w:t>
      </w:r>
      <w:r w:rsidRPr="00AC4AEA">
        <w:rPr>
          <w:rFonts w:ascii="Arial" w:hAnsi="Arial" w:cs="Arial"/>
          <w:sz w:val="20"/>
          <w:szCs w:val="20"/>
        </w:rPr>
        <w:t>no específic</w:t>
      </w:r>
      <w:r w:rsidR="00C136CA" w:rsidRPr="00AC4AEA">
        <w:rPr>
          <w:rFonts w:ascii="Arial" w:hAnsi="Arial" w:cs="Arial"/>
          <w:sz w:val="20"/>
          <w:szCs w:val="20"/>
        </w:rPr>
        <w:t>a</w:t>
      </w:r>
      <w:r w:rsidRPr="00AC4AEA">
        <w:rPr>
          <w:rFonts w:ascii="Arial" w:hAnsi="Arial" w:cs="Arial"/>
          <w:sz w:val="20"/>
          <w:szCs w:val="20"/>
        </w:rPr>
        <w:t>s, de la manera indicada a continuación:</w:t>
      </w:r>
    </w:p>
    <w:p w:rsidR="002A79D6" w:rsidRPr="00AC4AEA" w:rsidRDefault="008E1A63" w:rsidP="00A318EA">
      <w:pPr>
        <w:pStyle w:val="Prrafodelista"/>
        <w:numPr>
          <w:ilvl w:val="1"/>
          <w:numId w:val="40"/>
        </w:numPr>
        <w:ind w:left="1559" w:hanging="567"/>
        <w:contextualSpacing w:val="0"/>
        <w:jc w:val="both"/>
        <w:rPr>
          <w:rFonts w:ascii="Arial" w:hAnsi="Arial" w:cs="Arial"/>
          <w:sz w:val="20"/>
          <w:szCs w:val="20"/>
        </w:rPr>
      </w:pPr>
      <w:r w:rsidRPr="00AC4AEA">
        <w:rPr>
          <w:rFonts w:ascii="Arial" w:hAnsi="Arial" w:cs="Arial"/>
          <w:sz w:val="20"/>
          <w:szCs w:val="20"/>
        </w:rPr>
        <w:t xml:space="preserve">del </w:t>
      </w:r>
      <w:r w:rsidR="002A79D6" w:rsidRPr="00AC4AEA">
        <w:rPr>
          <w:rFonts w:ascii="Arial" w:hAnsi="Arial" w:cs="Arial"/>
          <w:sz w:val="20"/>
          <w:szCs w:val="20"/>
        </w:rPr>
        <w:t xml:space="preserve">total de </w:t>
      </w:r>
      <w:r w:rsidR="003C6C87" w:rsidRPr="00AC4AEA">
        <w:rPr>
          <w:rFonts w:ascii="Arial" w:hAnsi="Arial" w:cs="Arial"/>
          <w:b/>
          <w:bCs/>
          <w:sz w:val="20"/>
          <w:szCs w:val="20"/>
        </w:rPr>
        <w:t xml:space="preserve">deudas </w:t>
      </w:r>
      <w:r w:rsidR="00C33BBE" w:rsidRPr="00AC4AEA">
        <w:rPr>
          <w:rFonts w:ascii="Arial" w:hAnsi="Arial" w:cs="Arial"/>
          <w:b/>
          <w:bCs/>
          <w:sz w:val="20"/>
          <w:szCs w:val="20"/>
        </w:rPr>
        <w:t>computables</w:t>
      </w:r>
      <w:r w:rsidR="002A79D6" w:rsidRPr="00AC4AEA">
        <w:rPr>
          <w:rFonts w:ascii="Arial" w:hAnsi="Arial" w:cs="Arial"/>
          <w:sz w:val="20"/>
          <w:szCs w:val="20"/>
        </w:rPr>
        <w:t xml:space="preserve"> </w:t>
      </w:r>
      <w:r w:rsidR="00337EE4" w:rsidRPr="00AC4AEA">
        <w:rPr>
          <w:rFonts w:ascii="Arial" w:hAnsi="Arial" w:cs="Arial"/>
          <w:sz w:val="20"/>
          <w:szCs w:val="20"/>
        </w:rPr>
        <w:t>excluirá</w:t>
      </w:r>
      <w:r w:rsidR="002A79D6" w:rsidRPr="00AC4AEA">
        <w:rPr>
          <w:rFonts w:ascii="Arial" w:hAnsi="Arial" w:cs="Arial"/>
          <w:sz w:val="20"/>
          <w:szCs w:val="20"/>
        </w:rPr>
        <w:t xml:space="preserve"> </w:t>
      </w:r>
      <w:r w:rsidR="00C136CA" w:rsidRPr="00AC4AEA">
        <w:rPr>
          <w:rFonts w:ascii="Arial" w:hAnsi="Arial" w:cs="Arial"/>
          <w:sz w:val="20"/>
          <w:szCs w:val="20"/>
        </w:rPr>
        <w:t xml:space="preserve">las </w:t>
      </w:r>
      <w:r w:rsidR="003C6C87" w:rsidRPr="00AC4AEA">
        <w:rPr>
          <w:rFonts w:ascii="Arial" w:hAnsi="Arial" w:cs="Arial"/>
          <w:b/>
          <w:bCs/>
          <w:sz w:val="20"/>
          <w:szCs w:val="20"/>
        </w:rPr>
        <w:t xml:space="preserve">deudas </w:t>
      </w:r>
      <w:r w:rsidR="00C33BBE" w:rsidRPr="00AC4AEA">
        <w:rPr>
          <w:rFonts w:ascii="Arial" w:hAnsi="Arial" w:cs="Arial"/>
          <w:b/>
          <w:bCs/>
          <w:sz w:val="20"/>
          <w:szCs w:val="20"/>
        </w:rPr>
        <w:t>compu</w:t>
      </w:r>
      <w:r w:rsidR="002979E6" w:rsidRPr="00AC4AEA">
        <w:rPr>
          <w:rFonts w:ascii="Arial" w:hAnsi="Arial" w:cs="Arial"/>
          <w:b/>
          <w:bCs/>
          <w:sz w:val="20"/>
          <w:szCs w:val="20"/>
        </w:rPr>
        <w:t>t</w:t>
      </w:r>
      <w:r w:rsidR="00C33BBE" w:rsidRPr="00AC4AEA">
        <w:rPr>
          <w:rFonts w:ascii="Arial" w:hAnsi="Arial" w:cs="Arial"/>
          <w:b/>
          <w:bCs/>
          <w:sz w:val="20"/>
          <w:szCs w:val="20"/>
        </w:rPr>
        <w:t>ables</w:t>
      </w:r>
      <w:r w:rsidR="00C136CA" w:rsidRPr="00AC4AEA">
        <w:rPr>
          <w:rFonts w:ascii="Arial" w:hAnsi="Arial" w:cs="Arial"/>
          <w:sz w:val="20"/>
          <w:szCs w:val="20"/>
        </w:rPr>
        <w:t xml:space="preserve"> </w:t>
      </w:r>
      <w:r w:rsidR="00AD020A" w:rsidRPr="00AC4AEA">
        <w:rPr>
          <w:rFonts w:ascii="Arial" w:hAnsi="Arial" w:cs="Arial"/>
          <w:sz w:val="20"/>
          <w:szCs w:val="20"/>
        </w:rPr>
        <w:t>específic</w:t>
      </w:r>
      <w:r w:rsidR="00C136CA" w:rsidRPr="00AC4AEA">
        <w:rPr>
          <w:rFonts w:ascii="Arial" w:hAnsi="Arial" w:cs="Arial"/>
          <w:sz w:val="20"/>
          <w:szCs w:val="20"/>
        </w:rPr>
        <w:t>a</w:t>
      </w:r>
      <w:r w:rsidR="00AD020A" w:rsidRPr="00AC4AEA">
        <w:rPr>
          <w:rFonts w:ascii="Arial" w:hAnsi="Arial" w:cs="Arial"/>
          <w:sz w:val="20"/>
          <w:szCs w:val="20"/>
        </w:rPr>
        <w:t>s</w:t>
      </w:r>
      <w:r w:rsidR="002A79D6" w:rsidRPr="00AC4AEA">
        <w:rPr>
          <w:rFonts w:ascii="Arial" w:hAnsi="Arial" w:cs="Arial"/>
          <w:sz w:val="20"/>
          <w:szCs w:val="20"/>
        </w:rPr>
        <w:t xml:space="preserve"> cuyos </w:t>
      </w:r>
      <w:r w:rsidR="002A79D6" w:rsidRPr="00AC4AEA">
        <w:rPr>
          <w:rFonts w:ascii="Arial" w:hAnsi="Arial" w:cs="Arial"/>
          <w:b/>
          <w:sz w:val="20"/>
          <w:szCs w:val="20"/>
        </w:rPr>
        <w:t>costos financieros</w:t>
      </w:r>
      <w:r w:rsidR="002A79D6" w:rsidRPr="00AC4AEA">
        <w:rPr>
          <w:rFonts w:ascii="Arial" w:hAnsi="Arial" w:cs="Arial"/>
          <w:sz w:val="20"/>
          <w:szCs w:val="20"/>
        </w:rPr>
        <w:t xml:space="preserve"> </w:t>
      </w:r>
      <w:r w:rsidR="00802713" w:rsidRPr="00AC4AEA">
        <w:rPr>
          <w:rFonts w:ascii="Arial" w:hAnsi="Arial" w:cs="Arial"/>
          <w:sz w:val="20"/>
          <w:szCs w:val="20"/>
        </w:rPr>
        <w:t>asignó</w:t>
      </w:r>
      <w:r w:rsidR="00A716AE" w:rsidRPr="00AC4AEA">
        <w:rPr>
          <w:rFonts w:ascii="Arial" w:hAnsi="Arial" w:cs="Arial"/>
          <w:sz w:val="20"/>
          <w:szCs w:val="20"/>
        </w:rPr>
        <w:t xml:space="preserve"> previamente</w:t>
      </w:r>
      <w:r w:rsidR="003E066C" w:rsidRPr="00AC4AEA">
        <w:rPr>
          <w:rFonts w:ascii="Arial" w:hAnsi="Arial" w:cs="Arial"/>
          <w:sz w:val="20"/>
          <w:szCs w:val="20"/>
        </w:rPr>
        <w:t>;</w:t>
      </w:r>
    </w:p>
    <w:p w:rsidR="002A79D6" w:rsidRPr="00AC4AEA" w:rsidRDefault="008E1A63" w:rsidP="00A318EA">
      <w:pPr>
        <w:pStyle w:val="Prrafodelista"/>
        <w:numPr>
          <w:ilvl w:val="1"/>
          <w:numId w:val="40"/>
        </w:numPr>
        <w:ind w:left="1559" w:hanging="567"/>
        <w:contextualSpacing w:val="0"/>
        <w:jc w:val="both"/>
        <w:rPr>
          <w:rFonts w:ascii="Arial" w:hAnsi="Arial" w:cs="Arial"/>
          <w:sz w:val="20"/>
          <w:szCs w:val="20"/>
        </w:rPr>
      </w:pPr>
      <w:r w:rsidRPr="00AC4AEA">
        <w:rPr>
          <w:rFonts w:ascii="Arial" w:hAnsi="Arial" w:cs="Arial"/>
          <w:sz w:val="20"/>
          <w:szCs w:val="20"/>
        </w:rPr>
        <w:t xml:space="preserve">calculará </w:t>
      </w:r>
      <w:r w:rsidR="002A79D6" w:rsidRPr="00AC4AEA">
        <w:rPr>
          <w:rFonts w:ascii="Arial" w:hAnsi="Arial" w:cs="Arial"/>
          <w:sz w:val="20"/>
          <w:szCs w:val="20"/>
        </w:rPr>
        <w:t xml:space="preserve">una tasa promedio mensual de los </w:t>
      </w:r>
      <w:r w:rsidR="002A79D6" w:rsidRPr="00AC4AEA">
        <w:rPr>
          <w:rFonts w:ascii="Arial" w:hAnsi="Arial" w:cs="Arial"/>
          <w:b/>
          <w:bCs/>
          <w:sz w:val="20"/>
          <w:szCs w:val="20"/>
        </w:rPr>
        <w:t>costos financieros</w:t>
      </w:r>
      <w:r w:rsidR="002A79D6" w:rsidRPr="00AC4AEA">
        <w:rPr>
          <w:rFonts w:ascii="Arial" w:hAnsi="Arial" w:cs="Arial"/>
          <w:sz w:val="20"/>
          <w:szCs w:val="20"/>
        </w:rPr>
        <w:t xml:space="preserve"> correspondientes a l</w:t>
      </w:r>
      <w:r w:rsidR="00C136CA" w:rsidRPr="00AC4AEA">
        <w:rPr>
          <w:rFonts w:ascii="Arial" w:hAnsi="Arial" w:cs="Arial"/>
          <w:sz w:val="20"/>
          <w:szCs w:val="20"/>
        </w:rPr>
        <w:t xml:space="preserve">as </w:t>
      </w:r>
      <w:r w:rsidR="003C6C87" w:rsidRPr="00AC4AEA">
        <w:rPr>
          <w:rFonts w:ascii="Arial" w:hAnsi="Arial" w:cs="Arial"/>
          <w:b/>
          <w:bCs/>
          <w:sz w:val="20"/>
          <w:szCs w:val="20"/>
        </w:rPr>
        <w:t xml:space="preserve">deudas </w:t>
      </w:r>
      <w:r w:rsidR="002979E6" w:rsidRPr="00AC4AEA">
        <w:rPr>
          <w:rFonts w:ascii="Arial" w:hAnsi="Arial" w:cs="Arial"/>
          <w:b/>
          <w:bCs/>
          <w:sz w:val="20"/>
          <w:szCs w:val="20"/>
        </w:rPr>
        <w:t>computables</w:t>
      </w:r>
      <w:r w:rsidR="00C136CA" w:rsidRPr="00AC4AEA">
        <w:rPr>
          <w:rFonts w:ascii="Arial" w:hAnsi="Arial" w:cs="Arial"/>
          <w:sz w:val="20"/>
          <w:szCs w:val="20"/>
        </w:rPr>
        <w:t xml:space="preserve"> </w:t>
      </w:r>
      <w:r w:rsidR="00432574" w:rsidRPr="00AC4AEA">
        <w:rPr>
          <w:rFonts w:ascii="Arial" w:hAnsi="Arial" w:cs="Arial"/>
          <w:sz w:val="20"/>
          <w:szCs w:val="20"/>
        </w:rPr>
        <w:t>no específicas, determinadas según lo establecido en el inciso precedente</w:t>
      </w:r>
      <w:r w:rsidR="002A79D6" w:rsidRPr="00AC4AEA">
        <w:rPr>
          <w:rFonts w:ascii="Arial" w:hAnsi="Arial" w:cs="Arial"/>
          <w:sz w:val="20"/>
          <w:szCs w:val="20"/>
        </w:rPr>
        <w:t>;</w:t>
      </w:r>
    </w:p>
    <w:p w:rsidR="002A79D6" w:rsidRPr="00AC4AEA" w:rsidRDefault="008E1A63" w:rsidP="00A318EA">
      <w:pPr>
        <w:pStyle w:val="Prrafodelista"/>
        <w:numPr>
          <w:ilvl w:val="1"/>
          <w:numId w:val="40"/>
        </w:numPr>
        <w:ind w:left="1559" w:hanging="567"/>
        <w:contextualSpacing w:val="0"/>
        <w:jc w:val="both"/>
        <w:rPr>
          <w:rFonts w:ascii="Arial" w:hAnsi="Arial" w:cs="Arial"/>
          <w:sz w:val="20"/>
          <w:szCs w:val="20"/>
        </w:rPr>
      </w:pPr>
      <w:r w:rsidRPr="00AC4AEA">
        <w:rPr>
          <w:rFonts w:ascii="Arial" w:hAnsi="Arial" w:cs="Arial"/>
          <w:sz w:val="20"/>
          <w:szCs w:val="20"/>
        </w:rPr>
        <w:t xml:space="preserve">determinará </w:t>
      </w:r>
      <w:r w:rsidR="004C3CC8" w:rsidRPr="00AC4AEA">
        <w:rPr>
          <w:rFonts w:ascii="Arial" w:hAnsi="Arial" w:cs="Arial"/>
          <w:sz w:val="20"/>
          <w:szCs w:val="20"/>
        </w:rPr>
        <w:t>el promedio mensual</w:t>
      </w:r>
      <w:r w:rsidR="002A79D6" w:rsidRPr="00AC4AEA">
        <w:rPr>
          <w:rFonts w:ascii="Arial" w:hAnsi="Arial" w:cs="Arial"/>
          <w:sz w:val="20"/>
          <w:szCs w:val="20"/>
        </w:rPr>
        <w:t xml:space="preserve"> de los </w:t>
      </w:r>
      <w:r w:rsidR="00497590" w:rsidRPr="00AC4AEA">
        <w:rPr>
          <w:rFonts w:ascii="Arial" w:hAnsi="Arial" w:cs="Arial"/>
          <w:b/>
          <w:bCs/>
          <w:sz w:val="20"/>
          <w:szCs w:val="20"/>
        </w:rPr>
        <w:t>activos</w:t>
      </w:r>
      <w:r w:rsidR="00BD1BCC" w:rsidRPr="00AC4AEA">
        <w:rPr>
          <w:rFonts w:ascii="Arial" w:hAnsi="Arial" w:cs="Arial"/>
          <w:b/>
          <w:bCs/>
          <w:sz w:val="20"/>
          <w:szCs w:val="20"/>
        </w:rPr>
        <w:t xml:space="preserve"> aptos</w:t>
      </w:r>
      <w:r w:rsidR="00BD1BCC" w:rsidRPr="00AC4AEA">
        <w:rPr>
          <w:rFonts w:ascii="Arial" w:hAnsi="Arial" w:cs="Arial"/>
          <w:sz w:val="20"/>
          <w:szCs w:val="20"/>
        </w:rPr>
        <w:t xml:space="preserve"> </w:t>
      </w:r>
      <w:r w:rsidR="00BD1BCC" w:rsidRPr="00AC4AEA">
        <w:rPr>
          <w:rFonts w:ascii="Arial" w:hAnsi="Arial" w:cs="Arial"/>
          <w:b/>
          <w:bCs/>
          <w:sz w:val="20"/>
          <w:szCs w:val="20"/>
        </w:rPr>
        <w:t>para la activación de costos financiero</w:t>
      </w:r>
      <w:r w:rsidR="004C3CC8" w:rsidRPr="00AC4AEA">
        <w:rPr>
          <w:rFonts w:ascii="Arial" w:hAnsi="Arial" w:cs="Arial"/>
          <w:b/>
          <w:bCs/>
          <w:sz w:val="20"/>
          <w:szCs w:val="20"/>
        </w:rPr>
        <w:t>s</w:t>
      </w:r>
      <w:r w:rsidR="002A79D6" w:rsidRPr="00AC4AEA">
        <w:rPr>
          <w:rFonts w:ascii="Arial" w:hAnsi="Arial" w:cs="Arial"/>
          <w:sz w:val="20"/>
          <w:szCs w:val="20"/>
        </w:rPr>
        <w:t xml:space="preserve">, excluidos aquellos que </w:t>
      </w:r>
      <w:r w:rsidR="004C3CC8" w:rsidRPr="00AC4AEA">
        <w:rPr>
          <w:rFonts w:ascii="Arial" w:hAnsi="Arial" w:cs="Arial"/>
          <w:sz w:val="20"/>
          <w:szCs w:val="20"/>
        </w:rPr>
        <w:t>recibieron</w:t>
      </w:r>
      <w:r w:rsidR="002A79D6" w:rsidRPr="00AC4AEA">
        <w:rPr>
          <w:rFonts w:ascii="Arial" w:hAnsi="Arial" w:cs="Arial"/>
          <w:sz w:val="20"/>
          <w:szCs w:val="20"/>
        </w:rPr>
        <w:t xml:space="preserve"> </w:t>
      </w:r>
      <w:r w:rsidR="002A79D6" w:rsidRPr="00AC4AEA">
        <w:rPr>
          <w:rFonts w:ascii="Arial" w:hAnsi="Arial" w:cs="Arial"/>
          <w:b/>
          <w:bCs/>
          <w:sz w:val="20"/>
          <w:szCs w:val="20"/>
        </w:rPr>
        <w:t>costos financieros</w:t>
      </w:r>
      <w:r w:rsidR="002A79D6" w:rsidRPr="00AC4AEA">
        <w:rPr>
          <w:rFonts w:ascii="Arial" w:hAnsi="Arial" w:cs="Arial"/>
          <w:sz w:val="20"/>
          <w:szCs w:val="20"/>
        </w:rPr>
        <w:t xml:space="preserve"> </w:t>
      </w:r>
      <w:r w:rsidR="004C3CC8" w:rsidRPr="00AC4AEA">
        <w:rPr>
          <w:rFonts w:ascii="Arial" w:hAnsi="Arial" w:cs="Arial"/>
          <w:sz w:val="20"/>
          <w:szCs w:val="20"/>
        </w:rPr>
        <w:t>provenientes de una</w:t>
      </w:r>
      <w:r w:rsidR="002A79D6" w:rsidRPr="00AC4AEA">
        <w:rPr>
          <w:rFonts w:ascii="Arial" w:hAnsi="Arial" w:cs="Arial"/>
          <w:sz w:val="20"/>
          <w:szCs w:val="20"/>
        </w:rPr>
        <w:t xml:space="preserve"> financiación específica; </w:t>
      </w:r>
    </w:p>
    <w:p w:rsidR="00D219A5" w:rsidRPr="00AC4AEA" w:rsidRDefault="008E1A63" w:rsidP="00A318EA">
      <w:pPr>
        <w:pStyle w:val="Prrafodelista"/>
        <w:numPr>
          <w:ilvl w:val="1"/>
          <w:numId w:val="40"/>
        </w:numPr>
        <w:ind w:left="1559" w:hanging="567"/>
        <w:contextualSpacing w:val="0"/>
        <w:jc w:val="both"/>
        <w:rPr>
          <w:rFonts w:ascii="Arial" w:hAnsi="Arial" w:cs="Arial"/>
          <w:sz w:val="20"/>
          <w:szCs w:val="20"/>
        </w:rPr>
      </w:pPr>
      <w:r w:rsidRPr="00AC4AEA">
        <w:rPr>
          <w:rFonts w:ascii="Arial" w:hAnsi="Arial" w:cs="Arial"/>
          <w:sz w:val="20"/>
          <w:szCs w:val="20"/>
        </w:rPr>
        <w:t>aplicará</w:t>
      </w:r>
      <w:r w:rsidR="00FE09C7" w:rsidRPr="00AC4AEA">
        <w:rPr>
          <w:rFonts w:ascii="Arial" w:hAnsi="Arial" w:cs="Arial"/>
          <w:sz w:val="20"/>
          <w:szCs w:val="20"/>
        </w:rPr>
        <w:t>,</w:t>
      </w:r>
      <w:r w:rsidRPr="00AC4AEA">
        <w:rPr>
          <w:rFonts w:ascii="Arial" w:hAnsi="Arial" w:cs="Arial"/>
          <w:sz w:val="20"/>
          <w:szCs w:val="20"/>
        </w:rPr>
        <w:t xml:space="preserve"> </w:t>
      </w:r>
      <w:r w:rsidR="002A79D6" w:rsidRPr="00AC4AEA">
        <w:rPr>
          <w:rFonts w:ascii="Arial" w:hAnsi="Arial" w:cs="Arial"/>
          <w:sz w:val="20"/>
          <w:szCs w:val="20"/>
        </w:rPr>
        <w:t xml:space="preserve">a las mediciones contables de los </w:t>
      </w:r>
      <w:r w:rsidR="00497590" w:rsidRPr="00AC4AEA">
        <w:rPr>
          <w:rFonts w:ascii="Arial" w:hAnsi="Arial" w:cs="Arial"/>
          <w:sz w:val="20"/>
          <w:szCs w:val="20"/>
        </w:rPr>
        <w:t>activos</w:t>
      </w:r>
      <w:r w:rsidR="002A79D6" w:rsidRPr="00AC4AEA">
        <w:rPr>
          <w:rFonts w:ascii="Arial" w:hAnsi="Arial" w:cs="Arial"/>
          <w:sz w:val="20"/>
          <w:szCs w:val="20"/>
        </w:rPr>
        <w:t xml:space="preserve"> determinados en el inciso c)</w:t>
      </w:r>
      <w:r w:rsidR="00FE09C7" w:rsidRPr="00AC4AEA">
        <w:rPr>
          <w:rFonts w:ascii="Arial" w:hAnsi="Arial" w:cs="Arial"/>
          <w:sz w:val="20"/>
          <w:szCs w:val="20"/>
        </w:rPr>
        <w:t>,</w:t>
      </w:r>
      <w:r w:rsidR="002A79D6" w:rsidRPr="00AC4AEA">
        <w:rPr>
          <w:rFonts w:ascii="Arial" w:hAnsi="Arial" w:cs="Arial"/>
          <w:sz w:val="20"/>
          <w:szCs w:val="20"/>
        </w:rPr>
        <w:t xml:space="preserve"> la tasa de capitalización indicada en el inciso b)</w:t>
      </w:r>
      <w:r w:rsidRPr="00AC4AEA">
        <w:rPr>
          <w:rFonts w:ascii="Arial" w:hAnsi="Arial" w:cs="Arial"/>
          <w:sz w:val="20"/>
          <w:szCs w:val="20"/>
        </w:rPr>
        <w:t>;</w:t>
      </w:r>
      <w:r w:rsidR="00D60C72" w:rsidRPr="00AC4AEA">
        <w:rPr>
          <w:rFonts w:ascii="Arial" w:hAnsi="Arial" w:cs="Arial"/>
          <w:sz w:val="20"/>
          <w:szCs w:val="20"/>
        </w:rPr>
        <w:t xml:space="preserve"> y</w:t>
      </w:r>
    </w:p>
    <w:p w:rsidR="002A79D6" w:rsidRPr="00AC4AEA" w:rsidRDefault="008E1A63" w:rsidP="00A318EA">
      <w:pPr>
        <w:pStyle w:val="Prrafodelista"/>
        <w:numPr>
          <w:ilvl w:val="1"/>
          <w:numId w:val="40"/>
        </w:numPr>
        <w:ind w:left="1559" w:hanging="567"/>
        <w:contextualSpacing w:val="0"/>
        <w:jc w:val="both"/>
        <w:rPr>
          <w:rFonts w:ascii="Arial" w:hAnsi="Arial" w:cs="Arial"/>
          <w:sz w:val="20"/>
          <w:szCs w:val="20"/>
        </w:rPr>
      </w:pPr>
      <w:r w:rsidRPr="00AC4AEA">
        <w:rPr>
          <w:rFonts w:ascii="Arial" w:hAnsi="Arial" w:cs="Arial"/>
          <w:sz w:val="20"/>
          <w:szCs w:val="20"/>
        </w:rPr>
        <w:t xml:space="preserve">calculará </w:t>
      </w:r>
      <w:r w:rsidR="00AD020A" w:rsidRPr="00AC4AEA">
        <w:rPr>
          <w:rFonts w:ascii="Arial" w:hAnsi="Arial" w:cs="Arial"/>
          <w:sz w:val="20"/>
          <w:szCs w:val="20"/>
        </w:rPr>
        <w:t xml:space="preserve">la </w:t>
      </w:r>
      <w:r w:rsidR="00AD020A" w:rsidRPr="00AC4AEA">
        <w:rPr>
          <w:rFonts w:ascii="Arial" w:hAnsi="Arial" w:cs="Arial"/>
          <w:b/>
          <w:bCs/>
          <w:sz w:val="20"/>
          <w:szCs w:val="20"/>
        </w:rPr>
        <w:t>activación</w:t>
      </w:r>
      <w:r w:rsidR="00FE09C7" w:rsidRPr="00AC4AEA">
        <w:rPr>
          <w:rFonts w:ascii="Arial" w:hAnsi="Arial" w:cs="Arial"/>
          <w:sz w:val="20"/>
          <w:szCs w:val="20"/>
        </w:rPr>
        <w:t>,</w:t>
      </w:r>
      <w:r w:rsidR="00AD020A" w:rsidRPr="00AC4AEA">
        <w:rPr>
          <w:rFonts w:ascii="Arial" w:hAnsi="Arial" w:cs="Arial"/>
          <w:sz w:val="20"/>
          <w:szCs w:val="20"/>
        </w:rPr>
        <w:t xml:space="preserve"> referida en el inciso procedente</w:t>
      </w:r>
      <w:r w:rsidR="00FE09C7" w:rsidRPr="00AC4AEA">
        <w:rPr>
          <w:rFonts w:ascii="Arial" w:hAnsi="Arial" w:cs="Arial"/>
          <w:sz w:val="20"/>
          <w:szCs w:val="20"/>
        </w:rPr>
        <w:t>,</w:t>
      </w:r>
      <w:r w:rsidR="00AD020A" w:rsidRPr="00AC4AEA">
        <w:rPr>
          <w:rFonts w:ascii="Arial" w:hAnsi="Arial" w:cs="Arial"/>
          <w:sz w:val="20"/>
          <w:szCs w:val="20"/>
        </w:rPr>
        <w:t xml:space="preserve"> sobre la parte no financiada específicamente de los </w:t>
      </w:r>
      <w:r w:rsidR="00497590" w:rsidRPr="00AC4AEA">
        <w:rPr>
          <w:rFonts w:ascii="Arial" w:hAnsi="Arial" w:cs="Arial"/>
          <w:sz w:val="20"/>
          <w:szCs w:val="20"/>
        </w:rPr>
        <w:t>activos</w:t>
      </w:r>
      <w:r w:rsidR="00AD020A" w:rsidRPr="00AC4AEA">
        <w:rPr>
          <w:rFonts w:ascii="Arial" w:hAnsi="Arial" w:cs="Arial"/>
          <w:sz w:val="20"/>
          <w:szCs w:val="20"/>
        </w:rPr>
        <w:t xml:space="preserve"> parcialmente financiados </w:t>
      </w:r>
      <w:r w:rsidR="000838A6" w:rsidRPr="00AC4AEA">
        <w:rPr>
          <w:rFonts w:ascii="Arial" w:hAnsi="Arial" w:cs="Arial"/>
          <w:sz w:val="20"/>
          <w:szCs w:val="20"/>
        </w:rPr>
        <w:t xml:space="preserve">con </w:t>
      </w:r>
      <w:r w:rsidR="003C6C87" w:rsidRPr="00AC4AEA">
        <w:rPr>
          <w:rFonts w:ascii="Arial" w:hAnsi="Arial" w:cs="Arial"/>
          <w:b/>
          <w:bCs/>
          <w:sz w:val="20"/>
          <w:szCs w:val="20"/>
        </w:rPr>
        <w:t xml:space="preserve">deudas </w:t>
      </w:r>
      <w:r w:rsidR="00C33BBE" w:rsidRPr="00AC4AEA">
        <w:rPr>
          <w:rFonts w:ascii="Arial" w:hAnsi="Arial" w:cs="Arial"/>
          <w:b/>
          <w:bCs/>
          <w:sz w:val="20"/>
          <w:szCs w:val="20"/>
        </w:rPr>
        <w:t>computables</w:t>
      </w:r>
      <w:r w:rsidR="00B00B8C" w:rsidRPr="00AC4AEA">
        <w:rPr>
          <w:rFonts w:ascii="Arial" w:hAnsi="Arial" w:cs="Arial"/>
          <w:sz w:val="20"/>
          <w:szCs w:val="20"/>
        </w:rPr>
        <w:t xml:space="preserve"> </w:t>
      </w:r>
      <w:r w:rsidR="000838A6" w:rsidRPr="00AC4AEA">
        <w:rPr>
          <w:rFonts w:ascii="Arial" w:hAnsi="Arial" w:cs="Arial"/>
          <w:sz w:val="20"/>
          <w:szCs w:val="20"/>
        </w:rPr>
        <w:t>específic</w:t>
      </w:r>
      <w:r w:rsidR="00B00B8C" w:rsidRPr="00AC4AEA">
        <w:rPr>
          <w:rFonts w:ascii="Arial" w:hAnsi="Arial" w:cs="Arial"/>
          <w:sz w:val="20"/>
          <w:szCs w:val="20"/>
        </w:rPr>
        <w:t>a</w:t>
      </w:r>
      <w:r w:rsidR="000838A6" w:rsidRPr="00AC4AEA">
        <w:rPr>
          <w:rFonts w:ascii="Arial" w:hAnsi="Arial" w:cs="Arial"/>
          <w:sz w:val="20"/>
          <w:szCs w:val="20"/>
        </w:rPr>
        <w:t>s.</w:t>
      </w:r>
    </w:p>
    <w:p w:rsidR="00AD020A" w:rsidRPr="00AC4AEA" w:rsidRDefault="00AD020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podrá activar (o, en su caso, deducir) un importe que exceda el total de </w:t>
      </w:r>
      <w:r w:rsidRPr="00AC4AEA">
        <w:rPr>
          <w:rFonts w:ascii="Arial" w:hAnsi="Arial" w:cs="Arial"/>
          <w:b/>
          <w:bCs/>
          <w:sz w:val="20"/>
          <w:szCs w:val="20"/>
        </w:rPr>
        <w:t>costos financieros</w:t>
      </w:r>
      <w:r w:rsidRPr="00AC4AEA">
        <w:rPr>
          <w:rFonts w:ascii="Arial" w:hAnsi="Arial" w:cs="Arial"/>
          <w:sz w:val="20"/>
          <w:szCs w:val="20"/>
        </w:rPr>
        <w:t xml:space="preserve"> incurridos en el ejercicio.</w:t>
      </w:r>
    </w:p>
    <w:p w:rsidR="00955452" w:rsidRPr="00AC4AEA" w:rsidRDefault="00955452" w:rsidP="00A318EA">
      <w:pPr>
        <w:pStyle w:val="Prrafodelista"/>
        <w:numPr>
          <w:ilvl w:val="0"/>
          <w:numId w:val="29"/>
        </w:numPr>
        <w:contextualSpacing w:val="0"/>
        <w:jc w:val="both"/>
        <w:rPr>
          <w:rFonts w:ascii="Arial" w:hAnsi="Arial" w:cs="Arial"/>
          <w:sz w:val="20"/>
          <w:szCs w:val="20"/>
        </w:rPr>
      </w:pPr>
      <w:bookmarkStart w:id="179" w:name="_Ref99468983"/>
      <w:r w:rsidRPr="00AC4AEA">
        <w:rPr>
          <w:rFonts w:ascii="Arial" w:hAnsi="Arial" w:cs="Arial"/>
          <w:sz w:val="20"/>
          <w:szCs w:val="20"/>
        </w:rPr>
        <w:t xml:space="preserve">Cuando deba expresar sus </w:t>
      </w:r>
      <w:r w:rsidR="00135084" w:rsidRPr="00AC4AEA">
        <w:rPr>
          <w:rFonts w:ascii="Arial" w:hAnsi="Arial" w:cs="Arial"/>
          <w:b/>
          <w:bCs/>
          <w:sz w:val="20"/>
          <w:szCs w:val="20"/>
        </w:rPr>
        <w:t>estados contables</w:t>
      </w:r>
      <w:r w:rsidRPr="00AC4AEA">
        <w:rPr>
          <w:rFonts w:ascii="Arial" w:hAnsi="Arial" w:cs="Arial"/>
          <w:sz w:val="20"/>
          <w:szCs w:val="20"/>
        </w:rPr>
        <w:t xml:space="preserve"> en moneda </w:t>
      </w:r>
      <w:r w:rsidR="00496268" w:rsidRPr="00AC4AEA">
        <w:rPr>
          <w:rFonts w:ascii="Arial" w:hAnsi="Arial" w:cs="Arial"/>
          <w:sz w:val="20"/>
          <w:szCs w:val="20"/>
        </w:rPr>
        <w:t>de cierre</w:t>
      </w:r>
      <w:r w:rsidR="00C34B20" w:rsidRPr="00AC4AEA">
        <w:rPr>
          <w:rFonts w:ascii="Arial" w:hAnsi="Arial" w:cs="Arial"/>
          <w:sz w:val="20"/>
          <w:szCs w:val="20"/>
        </w:rPr>
        <w:t xml:space="preserve"> de acuerdo con lo establecido en la sección “</w:t>
      </w:r>
      <w:r w:rsidR="00C34B20" w:rsidRPr="00AC4AEA">
        <w:rPr>
          <w:rFonts w:ascii="Arial" w:hAnsi="Arial" w:cs="Arial"/>
          <w:sz w:val="20"/>
          <w:szCs w:val="20"/>
          <w:u w:val="single"/>
        </w:rPr>
        <w:t xml:space="preserve">Expresión de los estados contables en moneda </w:t>
      </w:r>
      <w:r w:rsidR="00F0601B">
        <w:rPr>
          <w:rFonts w:ascii="Arial" w:hAnsi="Arial" w:cs="Arial"/>
          <w:sz w:val="20"/>
          <w:szCs w:val="20"/>
          <w:u w:val="single"/>
        </w:rPr>
        <w:t>de cierre</w:t>
      </w:r>
      <w:r w:rsidR="00F0601B" w:rsidRPr="00AC4AEA">
        <w:rPr>
          <w:rFonts w:ascii="Arial" w:hAnsi="Arial" w:cs="Arial"/>
          <w:sz w:val="20"/>
          <w:szCs w:val="20"/>
          <w:u w:val="single"/>
        </w:rPr>
        <w:t xml:space="preserve"> </w:t>
      </w:r>
      <w:r w:rsidR="00C34B20" w:rsidRPr="00AC4AEA">
        <w:rPr>
          <w:rFonts w:ascii="Arial" w:hAnsi="Arial" w:cs="Arial"/>
          <w:sz w:val="20"/>
          <w:szCs w:val="20"/>
          <w:u w:val="single"/>
        </w:rPr>
        <w:t>en un contexto de inflación (ajuste por inflación de los estados contables)</w:t>
      </w:r>
      <w:r w:rsidR="00C34B20" w:rsidRPr="00AC4AEA">
        <w:rPr>
          <w:rFonts w:ascii="Arial" w:hAnsi="Arial" w:cs="Arial"/>
          <w:sz w:val="20"/>
          <w:szCs w:val="20"/>
        </w:rPr>
        <w:t xml:space="preserve">” [ver </w:t>
      </w:r>
      <w:r w:rsidR="001460EB">
        <w:rPr>
          <w:rFonts w:ascii="Arial" w:hAnsi="Arial" w:cs="Arial"/>
          <w:sz w:val="20"/>
          <w:szCs w:val="20"/>
        </w:rPr>
        <w:t xml:space="preserve">los </w:t>
      </w:r>
      <w:r w:rsidR="00C34B20" w:rsidRPr="00AC4AEA">
        <w:rPr>
          <w:rFonts w:ascii="Arial" w:hAnsi="Arial" w:cs="Arial"/>
          <w:sz w:val="20"/>
          <w:szCs w:val="20"/>
        </w:rPr>
        <w:t xml:space="preserve">párrafos </w:t>
      </w:r>
      <w:fldSimple w:instr=" REF _Ref99459117 \r \h  \* MERGEFORMAT ">
        <w:r w:rsidR="00D33A5D" w:rsidRPr="00D33A5D">
          <w:rPr>
            <w:rFonts w:ascii="Arial" w:hAnsi="Arial" w:cs="Arial"/>
            <w:sz w:val="20"/>
            <w:szCs w:val="20"/>
          </w:rPr>
          <w:t>176</w:t>
        </w:r>
      </w:fldSimple>
      <w:r w:rsidR="00C34B20"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00C34B20" w:rsidRPr="00AC4AEA">
        <w:rPr>
          <w:rFonts w:ascii="Arial" w:hAnsi="Arial" w:cs="Arial"/>
          <w:sz w:val="20"/>
          <w:szCs w:val="20"/>
        </w:rPr>
        <w:t>]</w:t>
      </w:r>
      <w:r w:rsidR="00496268" w:rsidRPr="00AC4AEA">
        <w:rPr>
          <w:rFonts w:ascii="Arial" w:hAnsi="Arial" w:cs="Arial"/>
          <w:sz w:val="20"/>
          <w:szCs w:val="20"/>
        </w:rPr>
        <w:t xml:space="preserve">, </w:t>
      </w:r>
      <w:r w:rsidRPr="00AC4AEA">
        <w:rPr>
          <w:rFonts w:ascii="Arial" w:hAnsi="Arial" w:cs="Arial"/>
          <w:sz w:val="20"/>
          <w:szCs w:val="20"/>
        </w:rPr>
        <w:t xml:space="preserve">y opte por la </w:t>
      </w:r>
      <w:r w:rsidR="00596F3F" w:rsidRPr="00AC4AEA">
        <w:rPr>
          <w:rFonts w:ascii="Arial" w:hAnsi="Arial" w:cs="Arial"/>
          <w:b/>
          <w:bCs/>
          <w:sz w:val="20"/>
          <w:szCs w:val="20"/>
        </w:rPr>
        <w:t>política contable</w:t>
      </w:r>
      <w:r w:rsidRPr="00AC4AEA">
        <w:rPr>
          <w:rFonts w:ascii="Arial" w:hAnsi="Arial" w:cs="Arial"/>
          <w:sz w:val="20"/>
          <w:szCs w:val="20"/>
        </w:rPr>
        <w:t xml:space="preserve"> del inciso b) del párrafo </w:t>
      </w:r>
      <w:fldSimple w:instr=" REF _Ref75511013 \r \h  \* MERGEFORMAT ">
        <w:r w:rsidR="00D33A5D" w:rsidRPr="00D33A5D">
          <w:rPr>
            <w:rFonts w:ascii="Arial" w:hAnsi="Arial" w:cs="Arial"/>
            <w:sz w:val="20"/>
            <w:szCs w:val="20"/>
          </w:rPr>
          <w:t>136</w:t>
        </w:r>
      </w:fldSimple>
      <w:r w:rsidRPr="00AC4AEA">
        <w:rPr>
          <w:rFonts w:ascii="Arial" w:hAnsi="Arial" w:cs="Arial"/>
          <w:sz w:val="20"/>
          <w:szCs w:val="20"/>
        </w:rPr>
        <w:t xml:space="preserve">, una entidad activará los </w:t>
      </w:r>
      <w:r w:rsidRPr="00AC4AEA">
        <w:rPr>
          <w:rFonts w:ascii="Arial" w:hAnsi="Arial" w:cs="Arial"/>
          <w:b/>
          <w:bCs/>
          <w:sz w:val="20"/>
          <w:szCs w:val="20"/>
        </w:rPr>
        <w:t>costos financieros</w:t>
      </w:r>
      <w:r w:rsidRPr="00AC4AEA">
        <w:rPr>
          <w:rFonts w:ascii="Arial" w:hAnsi="Arial" w:cs="Arial"/>
          <w:sz w:val="20"/>
          <w:szCs w:val="20"/>
        </w:rPr>
        <w:t xml:space="preserve"> netos del resultado por exposición al cambio </w:t>
      </w:r>
      <w:r w:rsidR="00A9032C" w:rsidRPr="00AC4AEA">
        <w:rPr>
          <w:rFonts w:ascii="Arial" w:hAnsi="Arial" w:cs="Arial"/>
          <w:sz w:val="20"/>
          <w:szCs w:val="20"/>
        </w:rPr>
        <w:t xml:space="preserve">en el </w:t>
      </w:r>
      <w:r w:rsidRPr="00AC4AEA">
        <w:rPr>
          <w:rFonts w:ascii="Arial" w:hAnsi="Arial" w:cs="Arial"/>
          <w:sz w:val="20"/>
          <w:szCs w:val="20"/>
        </w:rPr>
        <w:t>poder adquisitivo de la moneda.</w:t>
      </w:r>
      <w:bookmarkEnd w:id="179"/>
    </w:p>
    <w:p w:rsidR="00AE7883" w:rsidRPr="00AC4AEA" w:rsidRDefault="00AE7883" w:rsidP="00A318EA">
      <w:pPr>
        <w:pStyle w:val="Ttulo1"/>
        <w:rPr>
          <w:rFonts w:cs="Arial"/>
          <w:sz w:val="20"/>
          <w:szCs w:val="20"/>
        </w:rPr>
      </w:pPr>
      <w:bookmarkStart w:id="180" w:name="CONTINGENCIAS"/>
      <w:bookmarkStart w:id="181" w:name="_Toc101863754"/>
      <w:bookmarkEnd w:id="180"/>
    </w:p>
    <w:p w:rsidR="00467548" w:rsidRPr="00AC4AEA" w:rsidRDefault="008E1A63" w:rsidP="00A318EA">
      <w:pPr>
        <w:pStyle w:val="Ttulo1"/>
        <w:rPr>
          <w:rFonts w:cs="Arial"/>
          <w:sz w:val="20"/>
          <w:szCs w:val="20"/>
        </w:rPr>
      </w:pPr>
      <w:bookmarkStart w:id="182" w:name="_Toc139356617"/>
      <w:r w:rsidRPr="00AC4AEA">
        <w:rPr>
          <w:rFonts w:cs="Arial"/>
          <w:sz w:val="20"/>
          <w:szCs w:val="20"/>
        </w:rPr>
        <w:t>CONSIDERACIÓN DE HECHOS CONTINGENTES</w:t>
      </w:r>
      <w:bookmarkEnd w:id="181"/>
      <w:bookmarkEnd w:id="182"/>
      <w:r w:rsidRPr="00AC4AEA">
        <w:rPr>
          <w:rFonts w:cs="Arial"/>
          <w:sz w:val="20"/>
          <w:szCs w:val="20"/>
        </w:rPr>
        <w:t xml:space="preserve"> </w:t>
      </w:r>
    </w:p>
    <w:p w:rsidR="0045112F" w:rsidRPr="00AC4AEA" w:rsidRDefault="0045112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Hechos contingentes son aquellos cuya concreción o falta de concreción depende de hechos futuros</w:t>
      </w:r>
      <w:r w:rsidR="002979E6" w:rsidRPr="00AC4AEA">
        <w:rPr>
          <w:rFonts w:ascii="Arial" w:hAnsi="Arial" w:cs="Arial"/>
          <w:sz w:val="20"/>
          <w:szCs w:val="20"/>
        </w:rPr>
        <w:t xml:space="preserve">, </w:t>
      </w:r>
      <w:r w:rsidRPr="00AC4AEA">
        <w:rPr>
          <w:rFonts w:ascii="Arial" w:hAnsi="Arial" w:cs="Arial"/>
          <w:sz w:val="20"/>
          <w:szCs w:val="20"/>
        </w:rPr>
        <w:t>no controlables por la entidad.</w:t>
      </w:r>
    </w:p>
    <w:p w:rsidR="00467548" w:rsidRPr="00AC4AEA" w:rsidRDefault="0046754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tratará los efectos patrimoniales de hechos contingentes del siguiente modo:</w:t>
      </w:r>
    </w:p>
    <w:p w:rsidR="00467548" w:rsidRPr="00AC4AEA" w:rsidRDefault="0046754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Reconocerá los desfavorables cuando:</w:t>
      </w:r>
    </w:p>
    <w:p w:rsidR="00467548" w:rsidRPr="00AC4AEA" w:rsidRDefault="00FD5CF1" w:rsidP="00A318EA">
      <w:pPr>
        <w:pStyle w:val="Prrafodelista"/>
        <w:numPr>
          <w:ilvl w:val="2"/>
          <w:numId w:val="29"/>
        </w:numPr>
        <w:ind w:left="1985" w:hanging="142"/>
        <w:contextualSpacing w:val="0"/>
        <w:jc w:val="both"/>
        <w:rPr>
          <w:rFonts w:ascii="Arial" w:hAnsi="Arial" w:cs="Arial"/>
          <w:sz w:val="20"/>
          <w:szCs w:val="20"/>
        </w:rPr>
      </w:pPr>
      <w:r w:rsidRPr="00AC4AEA">
        <w:rPr>
          <w:rFonts w:ascii="Arial" w:hAnsi="Arial" w:cs="Arial"/>
          <w:sz w:val="20"/>
          <w:szCs w:val="20"/>
        </w:rPr>
        <w:t xml:space="preserve">deriven </w:t>
      </w:r>
      <w:r w:rsidR="00467548" w:rsidRPr="00AC4AEA">
        <w:rPr>
          <w:rFonts w:ascii="Arial" w:hAnsi="Arial" w:cs="Arial"/>
          <w:sz w:val="20"/>
          <w:szCs w:val="20"/>
        </w:rPr>
        <w:t xml:space="preserve">de situaciones o circunstancias existentes a la </w:t>
      </w:r>
      <w:r w:rsidR="00467548"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467548" w:rsidRPr="00AC4AEA">
        <w:rPr>
          <w:rFonts w:ascii="Arial" w:hAnsi="Arial" w:cs="Arial"/>
          <w:sz w:val="20"/>
          <w:szCs w:val="20"/>
        </w:rPr>
        <w:t>;</w:t>
      </w:r>
    </w:p>
    <w:p w:rsidR="00467548" w:rsidRPr="00AC4AEA" w:rsidRDefault="00FD5CF1" w:rsidP="00A318EA">
      <w:pPr>
        <w:pStyle w:val="Prrafodelista"/>
        <w:numPr>
          <w:ilvl w:val="2"/>
          <w:numId w:val="29"/>
        </w:numPr>
        <w:ind w:left="1985" w:hanging="142"/>
        <w:contextualSpacing w:val="0"/>
        <w:jc w:val="both"/>
        <w:rPr>
          <w:rFonts w:ascii="Arial" w:hAnsi="Arial" w:cs="Arial"/>
          <w:sz w:val="20"/>
          <w:szCs w:val="20"/>
        </w:rPr>
      </w:pPr>
      <w:r w:rsidRPr="00AC4AEA">
        <w:rPr>
          <w:rFonts w:ascii="Arial" w:hAnsi="Arial" w:cs="Arial"/>
          <w:sz w:val="20"/>
          <w:szCs w:val="20"/>
        </w:rPr>
        <w:lastRenderedPageBreak/>
        <w:t xml:space="preserve">su </w:t>
      </w:r>
      <w:r w:rsidR="00F10F74" w:rsidRPr="00AC4AEA">
        <w:rPr>
          <w:rFonts w:ascii="Arial" w:hAnsi="Arial" w:cs="Arial"/>
          <w:sz w:val="20"/>
          <w:szCs w:val="20"/>
        </w:rPr>
        <w:t xml:space="preserve">materialización </w:t>
      </w:r>
      <w:r w:rsidR="00BD5D4E" w:rsidRPr="00AC4AEA">
        <w:rPr>
          <w:rFonts w:ascii="Arial" w:hAnsi="Arial" w:cs="Arial"/>
          <w:sz w:val="20"/>
          <w:szCs w:val="20"/>
        </w:rPr>
        <w:t xml:space="preserve">sea </w:t>
      </w:r>
      <w:r w:rsidR="00596F3F" w:rsidRPr="00AC4AEA">
        <w:rPr>
          <w:rFonts w:ascii="Arial" w:hAnsi="Arial" w:cs="Arial"/>
          <w:b/>
          <w:bCs/>
          <w:sz w:val="20"/>
          <w:szCs w:val="20"/>
        </w:rPr>
        <w:t>probable</w:t>
      </w:r>
      <w:r w:rsidRPr="00AC4AEA">
        <w:rPr>
          <w:rFonts w:ascii="Arial" w:hAnsi="Arial" w:cs="Arial"/>
          <w:sz w:val="20"/>
          <w:szCs w:val="20"/>
        </w:rPr>
        <w:t>;</w:t>
      </w:r>
      <w:r w:rsidR="00765A83" w:rsidRPr="00AC4AEA">
        <w:rPr>
          <w:rFonts w:ascii="Arial" w:hAnsi="Arial" w:cs="Arial"/>
          <w:sz w:val="20"/>
          <w:szCs w:val="20"/>
        </w:rPr>
        <w:t xml:space="preserve"> </w:t>
      </w:r>
      <w:r w:rsidR="00467548" w:rsidRPr="00AC4AEA">
        <w:rPr>
          <w:rFonts w:ascii="Arial" w:hAnsi="Arial" w:cs="Arial"/>
          <w:sz w:val="20"/>
          <w:szCs w:val="20"/>
        </w:rPr>
        <w:t>y</w:t>
      </w:r>
    </w:p>
    <w:p w:rsidR="00467548" w:rsidRPr="00AC4AEA" w:rsidRDefault="00FD5CF1" w:rsidP="00A318EA">
      <w:pPr>
        <w:pStyle w:val="Prrafodelista"/>
        <w:numPr>
          <w:ilvl w:val="2"/>
          <w:numId w:val="29"/>
        </w:numPr>
        <w:ind w:left="1985" w:hanging="142"/>
        <w:contextualSpacing w:val="0"/>
        <w:jc w:val="both"/>
        <w:rPr>
          <w:rFonts w:ascii="Arial" w:hAnsi="Arial" w:cs="Arial"/>
          <w:sz w:val="20"/>
          <w:szCs w:val="20"/>
        </w:rPr>
      </w:pPr>
      <w:r w:rsidRPr="00AC4AEA">
        <w:rPr>
          <w:rFonts w:ascii="Arial" w:hAnsi="Arial" w:cs="Arial"/>
          <w:sz w:val="20"/>
          <w:szCs w:val="20"/>
        </w:rPr>
        <w:t xml:space="preserve">resulte </w:t>
      </w:r>
      <w:r w:rsidR="00467548" w:rsidRPr="00AC4AEA">
        <w:rPr>
          <w:rFonts w:ascii="Arial" w:hAnsi="Arial" w:cs="Arial"/>
          <w:sz w:val="20"/>
          <w:szCs w:val="20"/>
        </w:rPr>
        <w:t xml:space="preserve">posible cuantificarlos satisfaciendo el requisito de </w:t>
      </w:r>
      <w:r w:rsidR="00467548"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00467548" w:rsidRPr="00AC4AEA">
        <w:rPr>
          <w:rFonts w:ascii="Arial" w:hAnsi="Arial" w:cs="Arial"/>
          <w:sz w:val="20"/>
          <w:szCs w:val="20"/>
        </w:rPr>
        <w:t xml:space="preserve">. </w:t>
      </w:r>
    </w:p>
    <w:p w:rsidR="003F3162" w:rsidRPr="00AC4AEA" w:rsidRDefault="0046754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Reconocerá los favorables </w:t>
      </w:r>
      <w:r w:rsidR="00EF6147" w:rsidRPr="00AC4AEA">
        <w:rPr>
          <w:rFonts w:ascii="Arial" w:hAnsi="Arial" w:cs="Arial"/>
          <w:sz w:val="20"/>
          <w:szCs w:val="20"/>
        </w:rPr>
        <w:t>solo</w:t>
      </w:r>
      <w:r w:rsidR="00596F3F" w:rsidRPr="00AC4AEA">
        <w:rPr>
          <w:rFonts w:ascii="Arial" w:hAnsi="Arial" w:cs="Arial"/>
          <w:sz w:val="20"/>
          <w:szCs w:val="20"/>
        </w:rPr>
        <w:t xml:space="preserve"> </w:t>
      </w:r>
      <w:r w:rsidRPr="00AC4AEA">
        <w:rPr>
          <w:rFonts w:ascii="Arial" w:hAnsi="Arial" w:cs="Arial"/>
          <w:sz w:val="20"/>
          <w:szCs w:val="20"/>
        </w:rPr>
        <w:t>cuando</w:t>
      </w:r>
      <w:r w:rsidR="00B16F09" w:rsidRPr="00AC4AEA">
        <w:rPr>
          <w:rFonts w:ascii="Arial" w:hAnsi="Arial" w:cs="Arial"/>
          <w:sz w:val="20"/>
          <w:szCs w:val="20"/>
        </w:rPr>
        <w:t xml:space="preserve"> provengan del tratamiento de:</w:t>
      </w:r>
    </w:p>
    <w:p w:rsidR="00467548" w:rsidRPr="00AC4AEA" w:rsidRDefault="00467548" w:rsidP="00A318EA">
      <w:pPr>
        <w:pStyle w:val="Prrafodelista"/>
        <w:numPr>
          <w:ilvl w:val="2"/>
          <w:numId w:val="29"/>
        </w:numPr>
        <w:ind w:left="1985" w:hanging="142"/>
        <w:contextualSpacing w:val="0"/>
        <w:jc w:val="both"/>
        <w:rPr>
          <w:rFonts w:ascii="Arial" w:hAnsi="Arial" w:cs="Arial"/>
          <w:sz w:val="20"/>
          <w:szCs w:val="20"/>
        </w:rPr>
      </w:pPr>
      <w:r w:rsidRPr="00AC4AEA">
        <w:rPr>
          <w:rFonts w:ascii="Arial" w:hAnsi="Arial" w:cs="Arial"/>
          <w:sz w:val="20"/>
          <w:szCs w:val="20"/>
        </w:rPr>
        <w:t>impuestos diferidos</w:t>
      </w:r>
      <w:r w:rsidR="003F3162" w:rsidRPr="00AC4AEA">
        <w:rPr>
          <w:rFonts w:ascii="Arial" w:hAnsi="Arial" w:cs="Arial"/>
          <w:sz w:val="20"/>
          <w:szCs w:val="20"/>
        </w:rPr>
        <w:t>: o</w:t>
      </w:r>
    </w:p>
    <w:p w:rsidR="003F3162" w:rsidRPr="00AC4AEA" w:rsidRDefault="004B591C" w:rsidP="00A318EA">
      <w:pPr>
        <w:pStyle w:val="Prrafodelista"/>
        <w:numPr>
          <w:ilvl w:val="2"/>
          <w:numId w:val="29"/>
        </w:numPr>
        <w:ind w:left="1985" w:hanging="142"/>
        <w:contextualSpacing w:val="0"/>
        <w:jc w:val="both"/>
        <w:rPr>
          <w:rFonts w:ascii="Arial" w:hAnsi="Arial" w:cs="Arial"/>
          <w:sz w:val="20"/>
          <w:szCs w:val="20"/>
        </w:rPr>
      </w:pPr>
      <w:r w:rsidRPr="00AC4AEA">
        <w:rPr>
          <w:rFonts w:ascii="Arial" w:hAnsi="Arial" w:cs="Arial"/>
          <w:sz w:val="20"/>
          <w:szCs w:val="20"/>
        </w:rPr>
        <w:t xml:space="preserve">los </w:t>
      </w:r>
      <w:r w:rsidR="003F3162" w:rsidRPr="00AC4AEA">
        <w:rPr>
          <w:rFonts w:ascii="Arial" w:hAnsi="Arial" w:cs="Arial"/>
          <w:sz w:val="20"/>
          <w:szCs w:val="20"/>
        </w:rPr>
        <w:t>derechos de reembolso</w:t>
      </w:r>
      <w:r w:rsidRPr="00AC4AEA">
        <w:rPr>
          <w:rFonts w:ascii="Arial" w:hAnsi="Arial" w:cs="Arial"/>
          <w:sz w:val="20"/>
          <w:szCs w:val="20"/>
        </w:rPr>
        <w:t xml:space="preserve"> tratados en la sección “</w:t>
      </w:r>
      <w:r w:rsidRPr="00AC4AEA">
        <w:rPr>
          <w:rFonts w:ascii="Arial" w:hAnsi="Arial" w:cs="Arial"/>
          <w:sz w:val="20"/>
          <w:szCs w:val="20"/>
          <w:u w:val="single"/>
        </w:rPr>
        <w:t>Créditos en moneda</w:t>
      </w:r>
      <w:r w:rsidRPr="00AC4AEA">
        <w:rPr>
          <w:rFonts w:ascii="Arial" w:hAnsi="Arial" w:cs="Arial"/>
          <w:sz w:val="20"/>
          <w:szCs w:val="20"/>
        </w:rPr>
        <w:t xml:space="preserve">” [ver los párrafos </w:t>
      </w:r>
      <w:fldSimple w:instr=" REF _Ref103264795 \r \h  \* MERGEFORMAT ">
        <w:r w:rsidR="00D33A5D" w:rsidRPr="00D33A5D">
          <w:rPr>
            <w:rFonts w:ascii="Arial" w:hAnsi="Arial" w:cs="Arial"/>
            <w:sz w:val="20"/>
            <w:szCs w:val="20"/>
          </w:rPr>
          <w:t>236</w:t>
        </w:r>
      </w:fldSimple>
      <w:r w:rsidR="00E33963" w:rsidRPr="00AC4AEA">
        <w:rPr>
          <w:rFonts w:ascii="Arial" w:hAnsi="Arial" w:cs="Arial"/>
          <w:sz w:val="20"/>
          <w:szCs w:val="20"/>
        </w:rPr>
        <w:t xml:space="preserve"> a </w:t>
      </w:r>
      <w:fldSimple w:instr=" REF _Ref103264815 \r \h  \* MERGEFORMAT ">
        <w:r w:rsidR="00D33A5D" w:rsidRPr="00D33A5D">
          <w:rPr>
            <w:rFonts w:ascii="Arial" w:hAnsi="Arial" w:cs="Arial"/>
            <w:sz w:val="20"/>
            <w:szCs w:val="20"/>
          </w:rPr>
          <w:t>269</w:t>
        </w:r>
      </w:fldSimple>
      <w:r w:rsidR="00E33963" w:rsidRPr="00AC4AEA">
        <w:rPr>
          <w:rFonts w:ascii="Arial" w:hAnsi="Arial" w:cs="Arial"/>
          <w:sz w:val="20"/>
          <w:szCs w:val="20"/>
        </w:rPr>
        <w:t>]</w:t>
      </w:r>
      <w:r w:rsidR="003F3162" w:rsidRPr="00AC4AEA">
        <w:rPr>
          <w:rFonts w:ascii="Arial" w:hAnsi="Arial" w:cs="Arial"/>
          <w:sz w:val="20"/>
          <w:szCs w:val="20"/>
        </w:rPr>
        <w:t>.</w:t>
      </w:r>
    </w:p>
    <w:p w:rsidR="00AE7883" w:rsidRPr="00AC4AEA" w:rsidRDefault="00AE7883" w:rsidP="00A318EA">
      <w:pPr>
        <w:pStyle w:val="Ttulo1"/>
        <w:rPr>
          <w:rFonts w:cs="Arial"/>
          <w:sz w:val="20"/>
          <w:szCs w:val="20"/>
        </w:rPr>
      </w:pPr>
      <w:bookmarkStart w:id="183" w:name="VALORrecuperable"/>
      <w:bookmarkStart w:id="184" w:name="_Toc101863755"/>
      <w:bookmarkEnd w:id="183"/>
    </w:p>
    <w:p w:rsidR="0090400F" w:rsidRPr="00AC4AEA" w:rsidRDefault="00230013" w:rsidP="00A318EA">
      <w:pPr>
        <w:pStyle w:val="Ttulo1"/>
        <w:rPr>
          <w:rFonts w:cs="Arial"/>
          <w:sz w:val="20"/>
          <w:szCs w:val="20"/>
        </w:rPr>
      </w:pPr>
      <w:bookmarkStart w:id="185" w:name="_Toc139356618"/>
      <w:r w:rsidRPr="00AC4AEA">
        <w:rPr>
          <w:rFonts w:cs="Arial"/>
          <w:sz w:val="20"/>
          <w:szCs w:val="20"/>
        </w:rPr>
        <w:t xml:space="preserve">COMPARACIÓN DE LA MEDICIÓN DE CIERTOS </w:t>
      </w:r>
      <w:r w:rsidR="00497590" w:rsidRPr="00AC4AEA">
        <w:rPr>
          <w:rFonts w:cs="Arial"/>
          <w:sz w:val="20"/>
          <w:szCs w:val="20"/>
        </w:rPr>
        <w:t>ACTIVOS</w:t>
      </w:r>
      <w:r w:rsidRPr="00AC4AEA">
        <w:rPr>
          <w:rFonts w:cs="Arial"/>
          <w:sz w:val="20"/>
          <w:szCs w:val="20"/>
        </w:rPr>
        <w:t xml:space="preserve"> CON SU VALOR RECUPERABLE</w:t>
      </w:r>
      <w:bookmarkEnd w:id="184"/>
      <w:bookmarkEnd w:id="185"/>
    </w:p>
    <w:p w:rsidR="00EA6609" w:rsidRPr="00AC4AEA" w:rsidRDefault="007770E9" w:rsidP="00A318EA">
      <w:pPr>
        <w:pStyle w:val="Ttulo2"/>
        <w:rPr>
          <w:rFonts w:cs="Arial"/>
        </w:rPr>
      </w:pPr>
      <w:bookmarkStart w:id="186" w:name="_Toc101863756"/>
      <w:bookmarkStart w:id="187" w:name="_Toc139356619"/>
      <w:r w:rsidRPr="00AC4AEA">
        <w:rPr>
          <w:rFonts w:cs="Arial"/>
        </w:rPr>
        <w:t>Objetivo</w:t>
      </w:r>
      <w:bookmarkEnd w:id="186"/>
      <w:bookmarkEnd w:id="187"/>
    </w:p>
    <w:p w:rsidR="00EA6609" w:rsidRPr="00AC4AEA" w:rsidRDefault="00014D58" w:rsidP="00A318EA">
      <w:pPr>
        <w:pStyle w:val="A-Normal11"/>
        <w:numPr>
          <w:ilvl w:val="0"/>
          <w:numId w:val="29"/>
        </w:numPr>
        <w:jc w:val="both"/>
        <w:rPr>
          <w:rFonts w:ascii="Arial" w:hAnsi="Arial" w:cs="Arial"/>
          <w:sz w:val="20"/>
        </w:rPr>
      </w:pPr>
      <w:bookmarkStart w:id="188" w:name="_Ref99481071"/>
      <w:r w:rsidRPr="00AC4AEA">
        <w:rPr>
          <w:rFonts w:ascii="Arial" w:hAnsi="Arial" w:cs="Arial"/>
          <w:sz w:val="20"/>
        </w:rPr>
        <w:t xml:space="preserve">Una entidad no deberá </w:t>
      </w:r>
      <w:r w:rsidR="00D56504" w:rsidRPr="00AC4AEA">
        <w:rPr>
          <w:rFonts w:ascii="Arial" w:hAnsi="Arial" w:cs="Arial"/>
          <w:sz w:val="20"/>
        </w:rPr>
        <w:t>medir</w:t>
      </w:r>
      <w:r w:rsidRPr="00AC4AEA">
        <w:rPr>
          <w:rFonts w:ascii="Arial" w:hAnsi="Arial" w:cs="Arial"/>
          <w:sz w:val="20"/>
        </w:rPr>
        <w:t xml:space="preserve"> ningún</w:t>
      </w:r>
      <w:r w:rsidRPr="00847DC6">
        <w:rPr>
          <w:rFonts w:ascii="Arial" w:hAnsi="Arial" w:cs="Arial"/>
          <w:b/>
          <w:bCs/>
          <w:sz w:val="20"/>
        </w:rPr>
        <w:t xml:space="preserve"> activo </w:t>
      </w:r>
      <w:r w:rsidRPr="00AC4AEA">
        <w:rPr>
          <w:rFonts w:ascii="Arial" w:hAnsi="Arial" w:cs="Arial"/>
          <w:sz w:val="20"/>
        </w:rPr>
        <w:t xml:space="preserve">o grupo homogéneo de </w:t>
      </w:r>
      <w:r w:rsidR="00497590" w:rsidRPr="00AC4AEA">
        <w:rPr>
          <w:rFonts w:ascii="Arial" w:hAnsi="Arial" w:cs="Arial"/>
          <w:sz w:val="20"/>
        </w:rPr>
        <w:t>activos</w:t>
      </w:r>
      <w:r w:rsidRPr="00AC4AEA">
        <w:rPr>
          <w:rFonts w:ascii="Arial" w:hAnsi="Arial" w:cs="Arial"/>
          <w:sz w:val="20"/>
        </w:rPr>
        <w:t xml:space="preserve"> por un importe superior a su </w:t>
      </w:r>
      <w:r w:rsidRPr="00AC4AEA">
        <w:rPr>
          <w:rFonts w:ascii="Arial" w:hAnsi="Arial" w:cs="Arial"/>
          <w:b/>
          <w:bCs/>
          <w:sz w:val="20"/>
        </w:rPr>
        <w:t>valor recuperable</w:t>
      </w:r>
      <w:r w:rsidRPr="00AC4AEA">
        <w:rPr>
          <w:rFonts w:ascii="Arial" w:hAnsi="Arial" w:cs="Arial"/>
          <w:sz w:val="20"/>
        </w:rPr>
        <w:t>.</w:t>
      </w:r>
      <w:bookmarkEnd w:id="188"/>
      <w:r w:rsidRPr="00AC4AEA">
        <w:rPr>
          <w:rFonts w:ascii="Arial" w:hAnsi="Arial" w:cs="Arial"/>
          <w:sz w:val="20"/>
        </w:rPr>
        <w:t xml:space="preserve"> </w:t>
      </w:r>
      <w:bookmarkStart w:id="189" w:name="_Ref74131752"/>
    </w:p>
    <w:p w:rsidR="001529D1" w:rsidRPr="00AC4AEA" w:rsidRDefault="001529D1" w:rsidP="00A318EA">
      <w:pPr>
        <w:pStyle w:val="Ttulo2"/>
        <w:rPr>
          <w:rFonts w:cs="Arial"/>
        </w:rPr>
      </w:pPr>
      <w:bookmarkStart w:id="190" w:name="_Toc101863757"/>
      <w:bookmarkStart w:id="191" w:name="_Toc139356620"/>
      <w:bookmarkEnd w:id="189"/>
      <w:r w:rsidRPr="00AC4AEA">
        <w:rPr>
          <w:rFonts w:cs="Arial"/>
        </w:rPr>
        <w:t>Alcance</w:t>
      </w:r>
      <w:bookmarkEnd w:id="190"/>
      <w:bookmarkEnd w:id="191"/>
    </w:p>
    <w:p w:rsidR="00B3692A" w:rsidRPr="00AC4AEA" w:rsidRDefault="000F5AED" w:rsidP="00A318EA">
      <w:pPr>
        <w:pStyle w:val="A-Normal11"/>
        <w:numPr>
          <w:ilvl w:val="0"/>
          <w:numId w:val="29"/>
        </w:numPr>
        <w:jc w:val="both"/>
        <w:rPr>
          <w:rFonts w:ascii="Arial" w:hAnsi="Arial" w:cs="Arial"/>
          <w:sz w:val="20"/>
        </w:rPr>
      </w:pPr>
      <w:bookmarkStart w:id="192" w:name="_Ref103269834"/>
      <w:r w:rsidRPr="00AC4AEA">
        <w:rPr>
          <w:rFonts w:ascii="Arial" w:hAnsi="Arial" w:cs="Arial"/>
          <w:sz w:val="20"/>
        </w:rPr>
        <w:t>A efectos de dar cumplimiento al objetivo enunciado en el párrafo anterior, u</w:t>
      </w:r>
      <w:r w:rsidR="00B3692A" w:rsidRPr="00AC4AEA">
        <w:rPr>
          <w:rFonts w:ascii="Arial" w:hAnsi="Arial" w:cs="Arial"/>
          <w:sz w:val="20"/>
        </w:rPr>
        <w:t xml:space="preserve">na entidad aplicará los requerimientos establecidos en los párrafos </w:t>
      </w:r>
      <w:fldSimple w:instr=" REF _Ref101014555 \r \h  \* MERGEFORMAT ">
        <w:r w:rsidR="00D33A5D" w:rsidRPr="00D33A5D">
          <w:rPr>
            <w:rFonts w:ascii="Arial" w:hAnsi="Arial" w:cs="Arial"/>
            <w:sz w:val="20"/>
          </w:rPr>
          <w:t>148</w:t>
        </w:r>
      </w:fldSimple>
      <w:r w:rsidRPr="00AC4AEA">
        <w:rPr>
          <w:rFonts w:ascii="Arial" w:hAnsi="Arial" w:cs="Arial"/>
          <w:sz w:val="20"/>
        </w:rPr>
        <w:t xml:space="preserve"> a </w:t>
      </w:r>
      <w:fldSimple w:instr=" REF _Ref99481072 \r \h  \* MERGEFORMAT ">
        <w:r w:rsidR="00D33A5D" w:rsidRPr="00D33A5D">
          <w:rPr>
            <w:rFonts w:ascii="Arial" w:hAnsi="Arial" w:cs="Arial"/>
            <w:sz w:val="20"/>
          </w:rPr>
          <w:t>175</w:t>
        </w:r>
      </w:fldSimple>
      <w:r w:rsidR="00B3692A" w:rsidRPr="00AC4AEA">
        <w:rPr>
          <w:rFonts w:ascii="Arial" w:hAnsi="Arial" w:cs="Arial"/>
          <w:sz w:val="20"/>
        </w:rPr>
        <w:t xml:space="preserve"> a los </w:t>
      </w:r>
      <w:r w:rsidR="00497590" w:rsidRPr="00AC4AEA">
        <w:rPr>
          <w:rFonts w:ascii="Arial" w:hAnsi="Arial" w:cs="Arial"/>
          <w:sz w:val="20"/>
        </w:rPr>
        <w:t>activos</w:t>
      </w:r>
      <w:r w:rsidR="00B3692A" w:rsidRPr="00AC4AEA">
        <w:rPr>
          <w:rFonts w:ascii="Arial" w:hAnsi="Arial" w:cs="Arial"/>
          <w:sz w:val="20"/>
        </w:rPr>
        <w:t xml:space="preserve"> indicados a continuación:</w:t>
      </w:r>
      <w:bookmarkEnd w:id="192"/>
    </w:p>
    <w:p w:rsidR="00B3692A" w:rsidRPr="00AC4AEA" w:rsidRDefault="00B3692A" w:rsidP="00A318EA">
      <w:pPr>
        <w:pStyle w:val="A-Normal11"/>
        <w:numPr>
          <w:ilvl w:val="1"/>
          <w:numId w:val="29"/>
        </w:numPr>
        <w:ind w:left="1560"/>
        <w:jc w:val="both"/>
        <w:rPr>
          <w:rFonts w:ascii="Arial" w:hAnsi="Arial" w:cs="Arial"/>
          <w:sz w:val="20"/>
        </w:rPr>
      </w:pPr>
      <w:r w:rsidRPr="00AC4AEA">
        <w:rPr>
          <w:rFonts w:ascii="Arial" w:hAnsi="Arial" w:cs="Arial"/>
          <w:sz w:val="20"/>
        </w:rPr>
        <w:t>Bienes de uso.</w:t>
      </w:r>
    </w:p>
    <w:p w:rsidR="00B3692A" w:rsidRPr="00AC4AEA" w:rsidRDefault="00B3692A" w:rsidP="00A318EA">
      <w:pPr>
        <w:pStyle w:val="A-Normal11"/>
        <w:numPr>
          <w:ilvl w:val="1"/>
          <w:numId w:val="29"/>
        </w:numPr>
        <w:ind w:left="1560"/>
        <w:jc w:val="both"/>
        <w:rPr>
          <w:rFonts w:ascii="Arial" w:hAnsi="Arial" w:cs="Arial"/>
          <w:sz w:val="20"/>
        </w:rPr>
      </w:pPr>
      <w:r w:rsidRPr="00AC4AEA">
        <w:rPr>
          <w:rFonts w:ascii="Arial" w:hAnsi="Arial" w:cs="Arial"/>
          <w:sz w:val="20"/>
        </w:rPr>
        <w:t>Propiedades de inversión</w:t>
      </w:r>
      <w:r w:rsidR="00641FC5" w:rsidRPr="00AC4AEA">
        <w:rPr>
          <w:rFonts w:ascii="Arial" w:hAnsi="Arial" w:cs="Arial"/>
          <w:sz w:val="20"/>
        </w:rPr>
        <w:t xml:space="preserve">, cuando no se midan a </w:t>
      </w:r>
      <w:r w:rsidR="00641FC5" w:rsidRPr="00AC4AEA">
        <w:rPr>
          <w:rFonts w:ascii="Arial" w:hAnsi="Arial" w:cs="Arial"/>
          <w:b/>
          <w:bCs/>
          <w:sz w:val="20"/>
        </w:rPr>
        <w:t>valor razonable</w:t>
      </w:r>
      <w:r w:rsidR="00641FC5" w:rsidRPr="00AC4AEA">
        <w:rPr>
          <w:rFonts w:ascii="Arial" w:hAnsi="Arial" w:cs="Arial"/>
          <w:sz w:val="20"/>
        </w:rPr>
        <w:t xml:space="preserve"> con cambios en resul</w:t>
      </w:r>
      <w:r w:rsidR="00E912AC" w:rsidRPr="00AC4AEA">
        <w:rPr>
          <w:rFonts w:ascii="Arial" w:hAnsi="Arial" w:cs="Arial"/>
          <w:sz w:val="20"/>
        </w:rPr>
        <w:t>t</w:t>
      </w:r>
      <w:r w:rsidR="00641FC5" w:rsidRPr="00AC4AEA">
        <w:rPr>
          <w:rFonts w:ascii="Arial" w:hAnsi="Arial" w:cs="Arial"/>
          <w:sz w:val="20"/>
        </w:rPr>
        <w:t>ados</w:t>
      </w:r>
      <w:r w:rsidRPr="00AC4AEA">
        <w:rPr>
          <w:rFonts w:ascii="Arial" w:hAnsi="Arial" w:cs="Arial"/>
          <w:sz w:val="20"/>
        </w:rPr>
        <w:t>.</w:t>
      </w:r>
    </w:p>
    <w:p w:rsidR="00B3692A" w:rsidRPr="00AC4AEA" w:rsidRDefault="00497590" w:rsidP="00A318EA">
      <w:pPr>
        <w:pStyle w:val="A-Normal11"/>
        <w:numPr>
          <w:ilvl w:val="1"/>
          <w:numId w:val="29"/>
        </w:numPr>
        <w:ind w:left="1560"/>
        <w:jc w:val="both"/>
        <w:rPr>
          <w:rFonts w:ascii="Arial" w:hAnsi="Arial" w:cs="Arial"/>
          <w:sz w:val="20"/>
        </w:rPr>
      </w:pPr>
      <w:r w:rsidRPr="00AC4AEA">
        <w:rPr>
          <w:rFonts w:ascii="Arial" w:hAnsi="Arial" w:cs="Arial"/>
          <w:sz w:val="20"/>
        </w:rPr>
        <w:t>Activos</w:t>
      </w:r>
      <w:r w:rsidR="00B3692A" w:rsidRPr="00AC4AEA">
        <w:rPr>
          <w:rFonts w:ascii="Arial" w:hAnsi="Arial" w:cs="Arial"/>
          <w:sz w:val="20"/>
        </w:rPr>
        <w:t xml:space="preserve"> intangibles.</w:t>
      </w:r>
    </w:p>
    <w:p w:rsidR="00B3692A" w:rsidRPr="00AC4AEA" w:rsidRDefault="00B3692A" w:rsidP="00A318EA">
      <w:pPr>
        <w:pStyle w:val="A-Normal11"/>
        <w:numPr>
          <w:ilvl w:val="1"/>
          <w:numId w:val="29"/>
        </w:numPr>
        <w:ind w:left="1560"/>
        <w:jc w:val="both"/>
        <w:rPr>
          <w:rFonts w:ascii="Arial" w:hAnsi="Arial" w:cs="Arial"/>
          <w:sz w:val="20"/>
        </w:rPr>
      </w:pPr>
      <w:r w:rsidRPr="00AC4AEA">
        <w:rPr>
          <w:rFonts w:ascii="Arial" w:hAnsi="Arial" w:cs="Arial"/>
          <w:sz w:val="20"/>
        </w:rPr>
        <w:t>Llave de negocio surgida de una combinación de negocios.</w:t>
      </w:r>
    </w:p>
    <w:p w:rsidR="00B3692A" w:rsidRPr="00AC4AEA" w:rsidRDefault="00B3692A" w:rsidP="00A318EA">
      <w:pPr>
        <w:pStyle w:val="A-Normal11"/>
        <w:numPr>
          <w:ilvl w:val="1"/>
          <w:numId w:val="29"/>
        </w:numPr>
        <w:ind w:left="1560"/>
        <w:jc w:val="both"/>
        <w:rPr>
          <w:rFonts w:ascii="Arial" w:hAnsi="Arial" w:cs="Arial"/>
          <w:sz w:val="20"/>
        </w:rPr>
      </w:pPr>
      <w:r w:rsidRPr="00AC4AEA">
        <w:rPr>
          <w:rFonts w:ascii="Arial" w:hAnsi="Arial" w:cs="Arial"/>
          <w:sz w:val="20"/>
        </w:rPr>
        <w:t xml:space="preserve">Participaciones medidas utilizando el método del </w:t>
      </w:r>
      <w:r w:rsidRPr="00050219">
        <w:rPr>
          <w:rFonts w:ascii="Arial" w:hAnsi="Arial" w:cs="Arial"/>
          <w:b/>
          <w:bCs/>
          <w:sz w:val="20"/>
        </w:rPr>
        <w:t>valor patrimonial proporcional</w:t>
      </w:r>
      <w:r w:rsidR="00641FC5" w:rsidRPr="00AC4AEA">
        <w:rPr>
          <w:rFonts w:ascii="Arial" w:hAnsi="Arial" w:cs="Arial"/>
          <w:sz w:val="20"/>
        </w:rPr>
        <w:t xml:space="preserve">, para lo cual considerará, adicionalmente, lo indicado en </w:t>
      </w:r>
      <w:r w:rsidR="006A5700" w:rsidRPr="00AC4AEA">
        <w:rPr>
          <w:rFonts w:ascii="Arial" w:hAnsi="Arial" w:cs="Arial"/>
          <w:sz w:val="20"/>
        </w:rPr>
        <w:t>el apartado</w:t>
      </w:r>
      <w:r w:rsidR="00641FC5" w:rsidRPr="00AC4AEA">
        <w:rPr>
          <w:rFonts w:ascii="Arial" w:hAnsi="Arial" w:cs="Arial"/>
          <w:sz w:val="20"/>
        </w:rPr>
        <w:t xml:space="preserve"> “</w:t>
      </w:r>
      <w:r w:rsidR="00641FC5" w:rsidRPr="00AC4AEA">
        <w:rPr>
          <w:rFonts w:ascii="Arial" w:hAnsi="Arial" w:cs="Arial"/>
          <w:sz w:val="20"/>
          <w:u w:val="single"/>
        </w:rPr>
        <w:t>Comparación con el valor recuperable</w:t>
      </w:r>
      <w:r w:rsidR="00641FC5" w:rsidRPr="00AC4AEA">
        <w:rPr>
          <w:rFonts w:ascii="Arial" w:hAnsi="Arial" w:cs="Arial"/>
          <w:sz w:val="20"/>
        </w:rPr>
        <w:t>” de la sección “</w:t>
      </w:r>
      <w:r w:rsidR="00641FC5" w:rsidRPr="00AC4AEA">
        <w:rPr>
          <w:rFonts w:ascii="Arial" w:hAnsi="Arial" w:cs="Arial"/>
          <w:sz w:val="20"/>
          <w:u w:val="single"/>
        </w:rPr>
        <w:t>Participaciones en subsidiarias, asociadas y negocios conjuntos</w:t>
      </w:r>
      <w:r w:rsidR="003001F6" w:rsidRPr="00AC4AEA">
        <w:rPr>
          <w:rFonts w:ascii="Arial" w:hAnsi="Arial" w:cs="Arial"/>
          <w:sz w:val="20"/>
          <w:u w:val="single"/>
        </w:rPr>
        <w:t xml:space="preserve"> societarios</w:t>
      </w:r>
      <w:r w:rsidR="00641FC5" w:rsidRPr="00AC4AEA">
        <w:rPr>
          <w:rFonts w:ascii="Arial" w:hAnsi="Arial" w:cs="Arial"/>
          <w:sz w:val="20"/>
        </w:rPr>
        <w:t xml:space="preserve">” [ver los párrafos </w:t>
      </w:r>
      <w:fldSimple w:instr=" REF _Ref132051312 \r \h  \* MERGEFORMAT ">
        <w:r w:rsidR="00D33A5D" w:rsidRPr="00D33A5D">
          <w:rPr>
            <w:rFonts w:ascii="Arial" w:hAnsi="Arial" w:cs="Arial"/>
            <w:sz w:val="20"/>
          </w:rPr>
          <w:t>864</w:t>
        </w:r>
      </w:fldSimple>
      <w:r w:rsidR="00294AE3" w:rsidRPr="00AC4AEA">
        <w:rPr>
          <w:rFonts w:ascii="Arial" w:hAnsi="Arial" w:cs="Arial"/>
          <w:sz w:val="20"/>
        </w:rPr>
        <w:t xml:space="preserve"> y </w:t>
      </w:r>
      <w:fldSimple w:instr=" REF _Ref132051316 \r \h  \* MERGEFORMAT ">
        <w:r w:rsidR="00D33A5D" w:rsidRPr="00D33A5D">
          <w:rPr>
            <w:rFonts w:ascii="Arial" w:hAnsi="Arial" w:cs="Arial"/>
            <w:sz w:val="20"/>
          </w:rPr>
          <w:t>865</w:t>
        </w:r>
      </w:fldSimple>
      <w:r w:rsidR="00641FC5" w:rsidRPr="00AC4AEA">
        <w:rPr>
          <w:rFonts w:ascii="Arial" w:hAnsi="Arial" w:cs="Arial"/>
          <w:sz w:val="20"/>
        </w:rPr>
        <w:t>]</w:t>
      </w:r>
      <w:r w:rsidRPr="00AC4AEA">
        <w:rPr>
          <w:rFonts w:ascii="Arial" w:hAnsi="Arial" w:cs="Arial"/>
          <w:sz w:val="20"/>
        </w:rPr>
        <w:t>.</w:t>
      </w:r>
    </w:p>
    <w:p w:rsidR="000F5AED" w:rsidRPr="00AC4AEA" w:rsidRDefault="00497590" w:rsidP="00A318EA">
      <w:pPr>
        <w:pStyle w:val="A-Normal11"/>
        <w:numPr>
          <w:ilvl w:val="1"/>
          <w:numId w:val="29"/>
        </w:numPr>
        <w:ind w:left="1560"/>
        <w:jc w:val="both"/>
        <w:rPr>
          <w:rFonts w:ascii="Arial" w:hAnsi="Arial" w:cs="Arial"/>
          <w:sz w:val="20"/>
        </w:rPr>
      </w:pPr>
      <w:r w:rsidRPr="00AC4AEA">
        <w:rPr>
          <w:rFonts w:ascii="Arial" w:hAnsi="Arial" w:cs="Arial"/>
          <w:b/>
          <w:bCs/>
          <w:sz w:val="20"/>
        </w:rPr>
        <w:t>Activos</w:t>
      </w:r>
      <w:r w:rsidR="000F5AED" w:rsidRPr="00AC4AEA">
        <w:rPr>
          <w:rFonts w:ascii="Arial" w:hAnsi="Arial" w:cs="Arial"/>
          <w:b/>
          <w:bCs/>
          <w:sz w:val="20"/>
        </w:rPr>
        <w:t xml:space="preserve"> biológicos</w:t>
      </w:r>
      <w:r w:rsidR="00911DE7" w:rsidRPr="00AC4AEA">
        <w:rPr>
          <w:rFonts w:ascii="Arial" w:hAnsi="Arial" w:cs="Arial"/>
          <w:b/>
          <w:bCs/>
          <w:sz w:val="20"/>
        </w:rPr>
        <w:t xml:space="preserve"> utilizados como factor de producción en el curso normal de la</w:t>
      </w:r>
      <w:r w:rsidR="00124C5E" w:rsidRPr="00AC4AEA">
        <w:rPr>
          <w:rFonts w:ascii="Arial" w:hAnsi="Arial" w:cs="Arial"/>
          <w:b/>
          <w:bCs/>
          <w:sz w:val="20"/>
        </w:rPr>
        <w:t>s</w:t>
      </w:r>
      <w:r w:rsidR="00911DE7" w:rsidRPr="00AC4AEA">
        <w:rPr>
          <w:rFonts w:ascii="Arial" w:hAnsi="Arial" w:cs="Arial"/>
          <w:b/>
          <w:bCs/>
          <w:sz w:val="20"/>
        </w:rPr>
        <w:t xml:space="preserve"> operaci</w:t>
      </w:r>
      <w:r w:rsidR="00124C5E" w:rsidRPr="00AC4AEA">
        <w:rPr>
          <w:rFonts w:ascii="Arial" w:hAnsi="Arial" w:cs="Arial"/>
          <w:b/>
          <w:bCs/>
          <w:sz w:val="20"/>
        </w:rPr>
        <w:t>o</w:t>
      </w:r>
      <w:r w:rsidR="00911DE7" w:rsidRPr="00AC4AEA">
        <w:rPr>
          <w:rFonts w:ascii="Arial" w:hAnsi="Arial" w:cs="Arial"/>
          <w:b/>
          <w:bCs/>
          <w:sz w:val="20"/>
        </w:rPr>
        <w:t>n</w:t>
      </w:r>
      <w:r w:rsidR="00124C5E" w:rsidRPr="00AC4AEA">
        <w:rPr>
          <w:rFonts w:ascii="Arial" w:hAnsi="Arial" w:cs="Arial"/>
          <w:b/>
          <w:bCs/>
          <w:sz w:val="20"/>
        </w:rPr>
        <w:t>es</w:t>
      </w:r>
      <w:r w:rsidR="000F5AED" w:rsidRPr="00AC4AEA">
        <w:rPr>
          <w:rFonts w:ascii="Arial" w:hAnsi="Arial" w:cs="Arial"/>
          <w:sz w:val="20"/>
        </w:rPr>
        <w:t>.</w:t>
      </w:r>
    </w:p>
    <w:p w:rsidR="00AE3F0D" w:rsidRPr="00AC4AEA" w:rsidRDefault="00AE3F0D" w:rsidP="00A318EA">
      <w:pPr>
        <w:pStyle w:val="A-Normal11"/>
        <w:numPr>
          <w:ilvl w:val="0"/>
          <w:numId w:val="29"/>
        </w:numPr>
        <w:jc w:val="both"/>
        <w:rPr>
          <w:rFonts w:ascii="Arial" w:hAnsi="Arial" w:cs="Arial"/>
          <w:sz w:val="20"/>
        </w:rPr>
      </w:pPr>
      <w:r w:rsidRPr="00AC4AEA">
        <w:rPr>
          <w:rFonts w:ascii="Arial" w:hAnsi="Arial" w:cs="Arial"/>
          <w:sz w:val="20"/>
        </w:rPr>
        <w:t xml:space="preserve">Una entidad realizará la </w:t>
      </w:r>
      <w:r w:rsidR="000F5AED" w:rsidRPr="00AC4AEA">
        <w:rPr>
          <w:rFonts w:ascii="Arial" w:hAnsi="Arial" w:cs="Arial"/>
          <w:sz w:val="20"/>
        </w:rPr>
        <w:t xml:space="preserve">comparación </w:t>
      </w:r>
      <w:r w:rsidRPr="00AC4AEA">
        <w:rPr>
          <w:rFonts w:ascii="Arial" w:hAnsi="Arial" w:cs="Arial"/>
          <w:sz w:val="20"/>
        </w:rPr>
        <w:t xml:space="preserve">entre </w:t>
      </w:r>
      <w:r w:rsidR="00432574" w:rsidRPr="00AC4AEA">
        <w:rPr>
          <w:rFonts w:ascii="Arial" w:hAnsi="Arial" w:cs="Arial"/>
          <w:sz w:val="20"/>
        </w:rPr>
        <w:t xml:space="preserve">la </w:t>
      </w:r>
      <w:r w:rsidRPr="00AC4AEA">
        <w:rPr>
          <w:rFonts w:ascii="Arial" w:hAnsi="Arial" w:cs="Arial"/>
          <w:sz w:val="20"/>
        </w:rPr>
        <w:t xml:space="preserve">medición contable </w:t>
      </w:r>
      <w:r w:rsidR="00B3692A" w:rsidRPr="00AC4AEA">
        <w:rPr>
          <w:rFonts w:ascii="Arial" w:hAnsi="Arial" w:cs="Arial"/>
          <w:sz w:val="20"/>
        </w:rPr>
        <w:t xml:space="preserve">de </w:t>
      </w:r>
      <w:r w:rsidR="000F5AED" w:rsidRPr="00AC4AEA">
        <w:rPr>
          <w:rFonts w:ascii="Arial" w:hAnsi="Arial" w:cs="Arial"/>
          <w:sz w:val="20"/>
        </w:rPr>
        <w:t>otros</w:t>
      </w:r>
      <w:r w:rsidR="00B3692A" w:rsidRPr="00AC4AEA">
        <w:rPr>
          <w:rFonts w:ascii="Arial" w:hAnsi="Arial" w:cs="Arial"/>
          <w:sz w:val="20"/>
        </w:rPr>
        <w:t xml:space="preserve"> </w:t>
      </w:r>
      <w:r w:rsidR="00497590" w:rsidRPr="00AC4AEA">
        <w:rPr>
          <w:rFonts w:ascii="Arial" w:hAnsi="Arial" w:cs="Arial"/>
          <w:sz w:val="20"/>
        </w:rPr>
        <w:t>activos</w:t>
      </w:r>
      <w:r w:rsidR="00B3692A" w:rsidRPr="00AC4AEA">
        <w:rPr>
          <w:rFonts w:ascii="Arial" w:hAnsi="Arial" w:cs="Arial"/>
          <w:sz w:val="20"/>
        </w:rPr>
        <w:t xml:space="preserve"> </w:t>
      </w:r>
      <w:r w:rsidR="000F5AED" w:rsidRPr="00AC4AEA">
        <w:rPr>
          <w:rFonts w:ascii="Arial" w:hAnsi="Arial" w:cs="Arial"/>
          <w:sz w:val="20"/>
        </w:rPr>
        <w:t xml:space="preserve">distintos de los enunciados en el párrafo anterior </w:t>
      </w:r>
      <w:r w:rsidR="00B3692A" w:rsidRPr="00AC4AEA">
        <w:rPr>
          <w:rFonts w:ascii="Arial" w:hAnsi="Arial" w:cs="Arial"/>
          <w:sz w:val="20"/>
        </w:rPr>
        <w:t xml:space="preserve">con su correspondiente </w:t>
      </w:r>
      <w:r w:rsidR="00EC0123" w:rsidRPr="00AC4AEA">
        <w:rPr>
          <w:rFonts w:ascii="Arial" w:hAnsi="Arial" w:cs="Arial"/>
          <w:b/>
          <w:bCs/>
          <w:sz w:val="20"/>
        </w:rPr>
        <w:t>valor recuperable</w:t>
      </w:r>
      <w:r w:rsidRPr="00AC4AEA">
        <w:rPr>
          <w:rFonts w:ascii="Arial" w:hAnsi="Arial" w:cs="Arial"/>
          <w:sz w:val="20"/>
        </w:rPr>
        <w:t xml:space="preserve"> según lo establecido en la sección destinada al tratamiento de cada uno de ellos (en los capítulos 3 y 5). Tales </w:t>
      </w:r>
      <w:r w:rsidR="00497590" w:rsidRPr="00AC4AEA">
        <w:rPr>
          <w:rFonts w:ascii="Arial" w:hAnsi="Arial" w:cs="Arial"/>
          <w:sz w:val="20"/>
        </w:rPr>
        <w:t>activos</w:t>
      </w:r>
      <w:r w:rsidRPr="00AC4AEA">
        <w:rPr>
          <w:rFonts w:ascii="Arial" w:hAnsi="Arial" w:cs="Arial"/>
          <w:sz w:val="20"/>
        </w:rPr>
        <w:t xml:space="preserve"> incluyen</w:t>
      </w:r>
      <w:r w:rsidR="000F5AED" w:rsidRPr="00AC4AEA">
        <w:rPr>
          <w:rFonts w:ascii="Arial" w:hAnsi="Arial" w:cs="Arial"/>
          <w:sz w:val="20"/>
        </w:rPr>
        <w:t>, entre otros, a los siguientes</w:t>
      </w:r>
      <w:r w:rsidRPr="00AC4AEA">
        <w:rPr>
          <w:rFonts w:ascii="Arial" w:hAnsi="Arial" w:cs="Arial"/>
          <w:sz w:val="20"/>
        </w:rPr>
        <w:t>:</w:t>
      </w:r>
    </w:p>
    <w:p w:rsidR="00AE3F0D" w:rsidRPr="00AC4AEA" w:rsidRDefault="00AE3F0D" w:rsidP="00A318EA">
      <w:pPr>
        <w:pStyle w:val="A-Normal11"/>
        <w:numPr>
          <w:ilvl w:val="1"/>
          <w:numId w:val="29"/>
        </w:numPr>
        <w:ind w:left="1560"/>
        <w:jc w:val="both"/>
        <w:rPr>
          <w:rFonts w:ascii="Arial" w:hAnsi="Arial" w:cs="Arial"/>
          <w:sz w:val="20"/>
        </w:rPr>
      </w:pPr>
      <w:r w:rsidRPr="00AC4AEA">
        <w:rPr>
          <w:rFonts w:ascii="Arial" w:hAnsi="Arial" w:cs="Arial"/>
          <w:sz w:val="20"/>
        </w:rPr>
        <w:t>Créditos.</w:t>
      </w:r>
    </w:p>
    <w:p w:rsidR="00AE3F0D" w:rsidRPr="00AC4AEA" w:rsidRDefault="00AE3F0D" w:rsidP="00A318EA">
      <w:pPr>
        <w:pStyle w:val="A-Normal11"/>
        <w:numPr>
          <w:ilvl w:val="1"/>
          <w:numId w:val="29"/>
        </w:numPr>
        <w:ind w:left="1560"/>
        <w:jc w:val="both"/>
        <w:rPr>
          <w:rFonts w:ascii="Arial" w:hAnsi="Arial" w:cs="Arial"/>
          <w:sz w:val="20"/>
        </w:rPr>
      </w:pPr>
      <w:r w:rsidRPr="00AC4AEA">
        <w:rPr>
          <w:rFonts w:ascii="Arial" w:hAnsi="Arial" w:cs="Arial"/>
          <w:sz w:val="20"/>
        </w:rPr>
        <w:t>Bienes de cambio.</w:t>
      </w:r>
    </w:p>
    <w:p w:rsidR="00AE3F0D" w:rsidRPr="00AC4AEA" w:rsidRDefault="00497590" w:rsidP="00A318EA">
      <w:pPr>
        <w:pStyle w:val="A-Normal11"/>
        <w:numPr>
          <w:ilvl w:val="1"/>
          <w:numId w:val="29"/>
        </w:numPr>
        <w:ind w:left="1560"/>
        <w:jc w:val="both"/>
        <w:rPr>
          <w:rFonts w:ascii="Arial" w:hAnsi="Arial" w:cs="Arial"/>
          <w:sz w:val="20"/>
        </w:rPr>
      </w:pPr>
      <w:r w:rsidRPr="00AC4AEA">
        <w:rPr>
          <w:rFonts w:ascii="Arial" w:hAnsi="Arial" w:cs="Arial"/>
          <w:sz w:val="20"/>
        </w:rPr>
        <w:lastRenderedPageBreak/>
        <w:t>Activos</w:t>
      </w:r>
      <w:r w:rsidR="00AE3F0D" w:rsidRPr="00AC4AEA">
        <w:rPr>
          <w:rFonts w:ascii="Arial" w:hAnsi="Arial" w:cs="Arial"/>
          <w:sz w:val="20"/>
        </w:rPr>
        <w:t xml:space="preserve"> no corrientes mantenidos para la venta (incluyendo los retirados de servicios).</w:t>
      </w:r>
    </w:p>
    <w:p w:rsidR="00AE3F0D" w:rsidRPr="00AC4AEA" w:rsidRDefault="00497590" w:rsidP="00A318EA">
      <w:pPr>
        <w:pStyle w:val="A-Normal11"/>
        <w:numPr>
          <w:ilvl w:val="1"/>
          <w:numId w:val="29"/>
        </w:numPr>
        <w:ind w:left="1560"/>
        <w:jc w:val="both"/>
        <w:rPr>
          <w:rFonts w:ascii="Arial" w:hAnsi="Arial" w:cs="Arial"/>
          <w:sz w:val="20"/>
        </w:rPr>
      </w:pPr>
      <w:r w:rsidRPr="00AC4AEA">
        <w:rPr>
          <w:rFonts w:ascii="Arial" w:hAnsi="Arial" w:cs="Arial"/>
          <w:sz w:val="20"/>
        </w:rPr>
        <w:t>Activos</w:t>
      </w:r>
      <w:r w:rsidR="00AE3F0D" w:rsidRPr="00AC4AEA">
        <w:rPr>
          <w:rFonts w:ascii="Arial" w:hAnsi="Arial" w:cs="Arial"/>
          <w:sz w:val="20"/>
        </w:rPr>
        <w:t xml:space="preserve"> por impuestos diferidos.</w:t>
      </w:r>
    </w:p>
    <w:p w:rsidR="00735C23" w:rsidRPr="00AC4AEA" w:rsidRDefault="00735C23" w:rsidP="00A318EA">
      <w:pPr>
        <w:pStyle w:val="A-Normal11"/>
        <w:ind w:left="993"/>
        <w:jc w:val="both"/>
        <w:rPr>
          <w:rFonts w:ascii="Arial" w:hAnsi="Arial" w:cs="Arial"/>
          <w:sz w:val="20"/>
        </w:rPr>
      </w:pPr>
    </w:p>
    <w:p w:rsidR="00E72C15" w:rsidRPr="00AC4AEA" w:rsidRDefault="00D01845" w:rsidP="00A318EA">
      <w:pPr>
        <w:pStyle w:val="Ttulo2"/>
        <w:rPr>
          <w:rFonts w:cs="Arial"/>
        </w:rPr>
      </w:pPr>
      <w:bookmarkStart w:id="193" w:name="_Toc101863758"/>
      <w:bookmarkStart w:id="194" w:name="_Toc139356621"/>
      <w:r w:rsidRPr="00AC4AEA">
        <w:rPr>
          <w:rFonts w:cs="Arial"/>
        </w:rPr>
        <w:t>Procedimiento general</w:t>
      </w:r>
      <w:bookmarkEnd w:id="193"/>
      <w:bookmarkEnd w:id="194"/>
    </w:p>
    <w:p w:rsidR="00C74660" w:rsidRPr="00AC4AEA" w:rsidRDefault="0041313A" w:rsidP="00A318EA">
      <w:pPr>
        <w:pStyle w:val="A-Normal11"/>
        <w:numPr>
          <w:ilvl w:val="0"/>
          <w:numId w:val="29"/>
        </w:numPr>
        <w:jc w:val="both"/>
        <w:rPr>
          <w:rFonts w:ascii="Arial" w:hAnsi="Arial" w:cs="Arial"/>
          <w:sz w:val="20"/>
        </w:rPr>
      </w:pPr>
      <w:bookmarkStart w:id="195" w:name="_Ref101014555"/>
      <w:r w:rsidRPr="00AC4AEA">
        <w:rPr>
          <w:rFonts w:ascii="Arial" w:hAnsi="Arial" w:cs="Arial"/>
          <w:sz w:val="20"/>
        </w:rPr>
        <w:t>U</w:t>
      </w:r>
      <w:r w:rsidR="00C443A7" w:rsidRPr="00AC4AEA">
        <w:rPr>
          <w:rFonts w:ascii="Arial" w:hAnsi="Arial" w:cs="Arial"/>
          <w:sz w:val="20"/>
        </w:rPr>
        <w:t>na entidad</w:t>
      </w:r>
      <w:bookmarkEnd w:id="195"/>
      <w:r w:rsidR="00965883" w:rsidRPr="00AC4AEA">
        <w:rPr>
          <w:rFonts w:ascii="Arial" w:hAnsi="Arial" w:cs="Arial"/>
          <w:sz w:val="20"/>
        </w:rPr>
        <w:t xml:space="preserve"> que </w:t>
      </w:r>
      <w:r w:rsidR="00333F63" w:rsidRPr="00AC4AEA">
        <w:rPr>
          <w:rFonts w:ascii="Arial" w:hAnsi="Arial" w:cs="Arial"/>
          <w:sz w:val="20"/>
        </w:rPr>
        <w:t>es pequeña o mediana</w:t>
      </w:r>
      <w:r w:rsidRPr="00AC4AEA">
        <w:rPr>
          <w:rFonts w:ascii="Arial" w:hAnsi="Arial" w:cs="Arial"/>
          <w:sz w:val="20"/>
        </w:rPr>
        <w:t>:</w:t>
      </w:r>
    </w:p>
    <w:p w:rsidR="00AE3F0D" w:rsidRPr="00AC4AEA" w:rsidRDefault="0041313A" w:rsidP="00333F63">
      <w:pPr>
        <w:pStyle w:val="A-Normal11"/>
        <w:numPr>
          <w:ilvl w:val="1"/>
          <w:numId w:val="29"/>
        </w:numPr>
        <w:ind w:left="1560"/>
        <w:jc w:val="both"/>
        <w:rPr>
          <w:rFonts w:ascii="Arial" w:hAnsi="Arial" w:cs="Arial"/>
          <w:sz w:val="20"/>
        </w:rPr>
      </w:pPr>
      <w:r w:rsidRPr="00AC4AEA">
        <w:rPr>
          <w:rFonts w:ascii="Arial" w:hAnsi="Arial" w:cs="Arial"/>
          <w:sz w:val="20"/>
        </w:rPr>
        <w:t>Comprobará si el importe en libro</w:t>
      </w:r>
      <w:r w:rsidR="009D4FC7" w:rsidRPr="00AC4AEA">
        <w:rPr>
          <w:rFonts w:ascii="Arial" w:hAnsi="Arial" w:cs="Arial"/>
          <w:sz w:val="20"/>
        </w:rPr>
        <w:t>s</w:t>
      </w:r>
      <w:r w:rsidRPr="00AC4AEA">
        <w:rPr>
          <w:rFonts w:ascii="Arial" w:hAnsi="Arial" w:cs="Arial"/>
          <w:sz w:val="20"/>
        </w:rPr>
        <w:t xml:space="preserve"> de</w:t>
      </w:r>
      <w:r w:rsidR="002A1A93" w:rsidRPr="00AC4AEA">
        <w:rPr>
          <w:rFonts w:ascii="Arial" w:hAnsi="Arial" w:cs="Arial"/>
          <w:sz w:val="20"/>
        </w:rPr>
        <w:t xml:space="preserve"> </w:t>
      </w:r>
      <w:r w:rsidR="009D4FC7" w:rsidRPr="00AC4AEA">
        <w:rPr>
          <w:rFonts w:ascii="Arial" w:hAnsi="Arial" w:cs="Arial"/>
          <w:sz w:val="20"/>
        </w:rPr>
        <w:t>un</w:t>
      </w:r>
      <w:r w:rsidR="009D4FC7" w:rsidRPr="00847DC6">
        <w:rPr>
          <w:rFonts w:ascii="Arial" w:hAnsi="Arial" w:cs="Arial"/>
          <w:b/>
          <w:bCs/>
          <w:sz w:val="20"/>
        </w:rPr>
        <w:t xml:space="preserve"> </w:t>
      </w:r>
      <w:r w:rsidR="00497590" w:rsidRPr="00847DC6">
        <w:rPr>
          <w:rFonts w:ascii="Arial" w:hAnsi="Arial" w:cs="Arial"/>
          <w:b/>
          <w:bCs/>
          <w:sz w:val="20"/>
        </w:rPr>
        <w:t>activo</w:t>
      </w:r>
      <w:r w:rsidR="00AE3F0D" w:rsidRPr="00847DC6">
        <w:rPr>
          <w:rFonts w:ascii="Arial" w:hAnsi="Arial" w:cs="Arial"/>
          <w:b/>
          <w:bCs/>
          <w:sz w:val="20"/>
        </w:rPr>
        <w:t xml:space="preserve"> </w:t>
      </w:r>
      <w:r w:rsidR="00AE3F0D" w:rsidRPr="00AC4AEA">
        <w:rPr>
          <w:rFonts w:ascii="Arial" w:hAnsi="Arial" w:cs="Arial"/>
          <w:sz w:val="20"/>
        </w:rPr>
        <w:t>individual</w:t>
      </w:r>
      <w:r w:rsidRPr="00AC4AEA">
        <w:rPr>
          <w:rFonts w:ascii="Arial" w:hAnsi="Arial" w:cs="Arial"/>
          <w:sz w:val="20"/>
        </w:rPr>
        <w:t xml:space="preserve"> supera su </w:t>
      </w:r>
      <w:r w:rsidRPr="00AC4AEA">
        <w:rPr>
          <w:rFonts w:ascii="Arial" w:hAnsi="Arial" w:cs="Arial"/>
          <w:b/>
          <w:bCs/>
          <w:sz w:val="20"/>
        </w:rPr>
        <w:t>valor recuperable</w:t>
      </w:r>
      <w:r w:rsidRPr="00AC4AEA">
        <w:rPr>
          <w:rFonts w:ascii="Arial" w:hAnsi="Arial" w:cs="Arial"/>
          <w:sz w:val="20"/>
        </w:rPr>
        <w:t>, excepto cuando</w:t>
      </w:r>
      <w:r w:rsidR="00F554EF" w:rsidRPr="00AC4AEA">
        <w:rPr>
          <w:rFonts w:ascii="Arial" w:hAnsi="Arial" w:cs="Arial"/>
          <w:sz w:val="20"/>
        </w:rPr>
        <w:t xml:space="preserve">: </w:t>
      </w:r>
    </w:p>
    <w:p w:rsidR="00AE3F0D" w:rsidRPr="00AC4AEA" w:rsidRDefault="000C4C4E" w:rsidP="00AB36B4">
      <w:pPr>
        <w:pStyle w:val="A-Normal11"/>
        <w:numPr>
          <w:ilvl w:val="2"/>
          <w:numId w:val="29"/>
        </w:numPr>
        <w:ind w:left="1985" w:hanging="142"/>
        <w:jc w:val="both"/>
        <w:rPr>
          <w:rFonts w:ascii="Arial" w:hAnsi="Arial" w:cs="Arial"/>
          <w:sz w:val="20"/>
        </w:rPr>
      </w:pPr>
      <w:r w:rsidRPr="00AC4AEA">
        <w:rPr>
          <w:rFonts w:ascii="Arial" w:hAnsi="Arial" w:cs="Arial"/>
          <w:sz w:val="20"/>
        </w:rPr>
        <w:t>l</w:t>
      </w:r>
      <w:r w:rsidR="009D4FC7" w:rsidRPr="00AC4AEA">
        <w:rPr>
          <w:rFonts w:ascii="Arial" w:hAnsi="Arial" w:cs="Arial"/>
          <w:sz w:val="20"/>
        </w:rPr>
        <w:t xml:space="preserve">a medición del </w:t>
      </w:r>
      <w:r w:rsidR="009D4FC7" w:rsidRPr="00AC4AEA">
        <w:rPr>
          <w:rFonts w:ascii="Arial" w:hAnsi="Arial" w:cs="Arial"/>
          <w:b/>
          <w:bCs/>
          <w:sz w:val="20"/>
        </w:rPr>
        <w:t>activo</w:t>
      </w:r>
      <w:r w:rsidR="00C74660" w:rsidRPr="00AC4AEA">
        <w:rPr>
          <w:rFonts w:ascii="Arial" w:hAnsi="Arial" w:cs="Arial"/>
          <w:sz w:val="20"/>
        </w:rPr>
        <w:t xml:space="preserve"> </w:t>
      </w:r>
      <w:r w:rsidR="000A27ED" w:rsidRPr="00AC4AEA">
        <w:rPr>
          <w:rFonts w:ascii="Arial" w:hAnsi="Arial" w:cs="Arial"/>
          <w:sz w:val="20"/>
        </w:rPr>
        <w:t xml:space="preserve">se </w:t>
      </w:r>
      <w:r w:rsidR="00C74660" w:rsidRPr="00AC4AEA">
        <w:rPr>
          <w:rFonts w:ascii="Arial" w:hAnsi="Arial" w:cs="Arial"/>
          <w:sz w:val="20"/>
        </w:rPr>
        <w:t>bas</w:t>
      </w:r>
      <w:r w:rsidRPr="00AC4AEA">
        <w:rPr>
          <w:rFonts w:ascii="Arial" w:hAnsi="Arial" w:cs="Arial"/>
          <w:sz w:val="20"/>
        </w:rPr>
        <w:t>e</w:t>
      </w:r>
      <w:r w:rsidR="00C74660" w:rsidRPr="00AC4AEA">
        <w:rPr>
          <w:rFonts w:ascii="Arial" w:hAnsi="Arial" w:cs="Arial"/>
          <w:sz w:val="20"/>
        </w:rPr>
        <w:t xml:space="preserve"> en </w:t>
      </w:r>
      <w:r w:rsidR="00AE3F0D" w:rsidRPr="00AC4AEA">
        <w:rPr>
          <w:rFonts w:ascii="Arial" w:hAnsi="Arial" w:cs="Arial"/>
          <w:sz w:val="20"/>
        </w:rPr>
        <w:t xml:space="preserve">el </w:t>
      </w:r>
      <w:r w:rsidR="00AE3F0D" w:rsidRPr="00AC4AEA">
        <w:rPr>
          <w:rFonts w:ascii="Arial" w:hAnsi="Arial" w:cs="Arial"/>
          <w:b/>
          <w:bCs/>
          <w:sz w:val="20"/>
        </w:rPr>
        <w:t xml:space="preserve">valor razonable; </w:t>
      </w:r>
      <w:r w:rsidR="00AE3F0D" w:rsidRPr="00AC4AEA">
        <w:rPr>
          <w:rFonts w:ascii="Arial" w:hAnsi="Arial" w:cs="Arial"/>
          <w:sz w:val="20"/>
        </w:rPr>
        <w:t>y</w:t>
      </w:r>
    </w:p>
    <w:p w:rsidR="00C74660" w:rsidRPr="00AC4AEA" w:rsidRDefault="00AE3F0D" w:rsidP="00AB36B4">
      <w:pPr>
        <w:pStyle w:val="A-Normal11"/>
        <w:numPr>
          <w:ilvl w:val="2"/>
          <w:numId w:val="29"/>
        </w:numPr>
        <w:ind w:left="1985" w:hanging="142"/>
        <w:jc w:val="both"/>
        <w:rPr>
          <w:rFonts w:ascii="Arial" w:hAnsi="Arial" w:cs="Arial"/>
          <w:sz w:val="20"/>
        </w:rPr>
      </w:pPr>
      <w:r w:rsidRPr="00AC4AEA">
        <w:rPr>
          <w:rFonts w:ascii="Arial" w:hAnsi="Arial" w:cs="Arial"/>
          <w:sz w:val="20"/>
        </w:rPr>
        <w:t xml:space="preserve">sus costos directos de venta </w:t>
      </w:r>
      <w:r w:rsidR="00B569E5" w:rsidRPr="00AC4AEA">
        <w:rPr>
          <w:rFonts w:ascii="Arial" w:hAnsi="Arial" w:cs="Arial"/>
          <w:sz w:val="20"/>
        </w:rPr>
        <w:t xml:space="preserve">no </w:t>
      </w:r>
      <w:r w:rsidRPr="00AC4AEA">
        <w:rPr>
          <w:rFonts w:ascii="Arial" w:hAnsi="Arial" w:cs="Arial"/>
          <w:sz w:val="20"/>
        </w:rPr>
        <w:t>son significativos</w:t>
      </w:r>
      <w:r w:rsidR="001F21C8" w:rsidRPr="00AC4AEA">
        <w:rPr>
          <w:rFonts w:ascii="Arial" w:hAnsi="Arial" w:cs="Arial"/>
          <w:sz w:val="20"/>
        </w:rPr>
        <w:t>.</w:t>
      </w:r>
    </w:p>
    <w:p w:rsidR="00C74660" w:rsidRPr="00AC4AEA" w:rsidRDefault="00661215" w:rsidP="00333F63">
      <w:pPr>
        <w:pStyle w:val="A-Normal11"/>
        <w:numPr>
          <w:ilvl w:val="1"/>
          <w:numId w:val="29"/>
        </w:numPr>
        <w:ind w:left="1560"/>
        <w:jc w:val="both"/>
        <w:rPr>
          <w:rFonts w:ascii="Arial" w:hAnsi="Arial" w:cs="Arial"/>
          <w:sz w:val="20"/>
        </w:rPr>
      </w:pPr>
      <w:r w:rsidRPr="00AC4AEA">
        <w:rPr>
          <w:rFonts w:ascii="Arial" w:hAnsi="Arial" w:cs="Arial"/>
          <w:sz w:val="20"/>
        </w:rPr>
        <w:t>C</w:t>
      </w:r>
      <w:r w:rsidR="00F07CA1" w:rsidRPr="00AC4AEA">
        <w:rPr>
          <w:rFonts w:ascii="Arial" w:hAnsi="Arial" w:cs="Arial"/>
          <w:sz w:val="20"/>
        </w:rPr>
        <w:t>omprobará si el importe en libros de un grupo de activos super</w:t>
      </w:r>
      <w:r w:rsidR="008E5A3F" w:rsidRPr="00AC4AEA">
        <w:rPr>
          <w:rFonts w:ascii="Arial" w:hAnsi="Arial" w:cs="Arial"/>
          <w:sz w:val="20"/>
        </w:rPr>
        <w:t xml:space="preserve">a su </w:t>
      </w:r>
      <w:r w:rsidR="008E5A3F" w:rsidRPr="00AC4AEA">
        <w:rPr>
          <w:rFonts w:ascii="Arial" w:hAnsi="Arial" w:cs="Arial"/>
          <w:b/>
          <w:bCs/>
          <w:sz w:val="20"/>
        </w:rPr>
        <w:t>valor recuperable</w:t>
      </w:r>
      <w:r w:rsidR="008E5A3F" w:rsidRPr="00AC4AEA">
        <w:rPr>
          <w:rFonts w:ascii="Arial" w:hAnsi="Arial" w:cs="Arial"/>
          <w:sz w:val="20"/>
        </w:rPr>
        <w:t xml:space="preserve"> cuando</w:t>
      </w:r>
      <w:r w:rsidR="00FA4F01" w:rsidRPr="00AC4AEA">
        <w:rPr>
          <w:rFonts w:ascii="Arial" w:hAnsi="Arial" w:cs="Arial"/>
          <w:sz w:val="20"/>
        </w:rPr>
        <w:t xml:space="preserve"> exist</w:t>
      </w:r>
      <w:r w:rsidR="008E5A3F" w:rsidRPr="00AC4AEA">
        <w:rPr>
          <w:rFonts w:ascii="Arial" w:hAnsi="Arial" w:cs="Arial"/>
          <w:sz w:val="20"/>
        </w:rPr>
        <w:t>en</w:t>
      </w:r>
      <w:r w:rsidR="00FA4F01" w:rsidRPr="00AC4AEA">
        <w:rPr>
          <w:rFonts w:ascii="Arial" w:hAnsi="Arial" w:cs="Arial"/>
          <w:sz w:val="20"/>
        </w:rPr>
        <w:t xml:space="preserve"> indicios de deterioro [ver el párrafo </w:t>
      </w:r>
      <w:fldSimple w:instr=" REF _Ref101014914 \r \h  \* MERGEFORMAT ">
        <w:r w:rsidR="00D33A5D" w:rsidRPr="00D33A5D">
          <w:rPr>
            <w:rFonts w:ascii="Arial" w:hAnsi="Arial" w:cs="Arial"/>
            <w:sz w:val="20"/>
          </w:rPr>
          <w:t>151</w:t>
        </w:r>
      </w:fldSimple>
      <w:r w:rsidR="00FA4F01" w:rsidRPr="00AC4AEA">
        <w:rPr>
          <w:rFonts w:ascii="Arial" w:hAnsi="Arial" w:cs="Arial"/>
          <w:sz w:val="20"/>
        </w:rPr>
        <w:t>]</w:t>
      </w:r>
      <w:r w:rsidR="00515104" w:rsidRPr="00AC4AEA">
        <w:rPr>
          <w:rFonts w:ascii="Arial" w:hAnsi="Arial" w:cs="Arial"/>
          <w:sz w:val="20"/>
        </w:rPr>
        <w:t>.</w:t>
      </w:r>
      <w:r w:rsidR="000C588C" w:rsidRPr="00AC4AEA">
        <w:rPr>
          <w:rFonts w:ascii="Arial" w:hAnsi="Arial" w:cs="Arial"/>
          <w:sz w:val="20"/>
        </w:rPr>
        <w:t xml:space="preserve"> </w:t>
      </w:r>
      <w:r w:rsidR="00515104" w:rsidRPr="007B1E57">
        <w:rPr>
          <w:rFonts w:ascii="Arial" w:hAnsi="Arial" w:cs="Arial"/>
          <w:sz w:val="20"/>
        </w:rPr>
        <w:t>No</w:t>
      </w:r>
      <w:r w:rsidR="00075D60" w:rsidRPr="007B1E57">
        <w:rPr>
          <w:rFonts w:ascii="Arial" w:hAnsi="Arial" w:cs="Arial"/>
          <w:sz w:val="20"/>
        </w:rPr>
        <w:t xml:space="preserve"> obstante, no</w:t>
      </w:r>
      <w:r w:rsidR="00515104" w:rsidRPr="007B1E57">
        <w:rPr>
          <w:rFonts w:ascii="Arial" w:hAnsi="Arial" w:cs="Arial"/>
          <w:sz w:val="20"/>
        </w:rPr>
        <w:t xml:space="preserve"> se requiere que una entidad pequeña o mediana evalúe la existencia de indicios de deterioro</w:t>
      </w:r>
      <w:r w:rsidR="000C588C" w:rsidRPr="007B1E57">
        <w:rPr>
          <w:rFonts w:ascii="Arial" w:hAnsi="Arial" w:cs="Arial"/>
          <w:sz w:val="20"/>
        </w:rPr>
        <w:t xml:space="preserve"> cuando </w:t>
      </w:r>
      <w:r w:rsidR="002979E6" w:rsidRPr="007B1E57">
        <w:rPr>
          <w:rFonts w:ascii="Arial" w:hAnsi="Arial" w:cs="Arial"/>
          <w:sz w:val="20"/>
        </w:rPr>
        <w:t xml:space="preserve">el resultado obtenido en </w:t>
      </w:r>
      <w:r w:rsidR="00432FC1" w:rsidRPr="007B1E57">
        <w:rPr>
          <w:rFonts w:ascii="Arial" w:hAnsi="Arial" w:cs="Arial"/>
          <w:sz w:val="20"/>
        </w:rPr>
        <w:t>alguno</w:t>
      </w:r>
      <w:r w:rsidR="002979E6" w:rsidRPr="007B1E57">
        <w:rPr>
          <w:rFonts w:ascii="Arial" w:hAnsi="Arial" w:cs="Arial"/>
          <w:sz w:val="20"/>
        </w:rPr>
        <w:t xml:space="preserve"> de los últimos tres ejercicios (incluido el actual) sea </w:t>
      </w:r>
      <w:r w:rsidR="00515104" w:rsidRPr="007B1E57">
        <w:rPr>
          <w:rFonts w:ascii="Arial" w:hAnsi="Arial" w:cs="Arial"/>
          <w:sz w:val="20"/>
        </w:rPr>
        <w:t>positivo</w:t>
      </w:r>
      <w:r w:rsidR="000C588C" w:rsidRPr="007B1E57">
        <w:rPr>
          <w:rFonts w:ascii="Arial" w:hAnsi="Arial" w:cs="Arial"/>
          <w:sz w:val="20"/>
        </w:rPr>
        <w:t>.</w:t>
      </w:r>
      <w:r w:rsidR="00EC0123" w:rsidRPr="00AC4AEA">
        <w:rPr>
          <w:rFonts w:ascii="Arial" w:hAnsi="Arial" w:cs="Arial"/>
          <w:sz w:val="20"/>
        </w:rPr>
        <w:t xml:space="preserve"> </w:t>
      </w: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
        <w:gridCol w:w="7477"/>
      </w:tblGrid>
      <w:tr w:rsidR="00E618EF" w:rsidRPr="00AC4AEA" w:rsidTr="003529E3">
        <w:tc>
          <w:tcPr>
            <w:tcW w:w="572" w:type="dxa"/>
          </w:tcPr>
          <w:p w:rsidR="00CF2C79" w:rsidRPr="00AC4AEA" w:rsidRDefault="00CF2C79" w:rsidP="00CF2C79">
            <w:pPr>
              <w:pStyle w:val="A-Normal11"/>
              <w:rPr>
                <w:rFonts w:ascii="Arial" w:hAnsi="Arial" w:cs="Arial"/>
                <w:sz w:val="20"/>
              </w:rPr>
            </w:pPr>
            <w:r w:rsidRPr="00AC4AEA">
              <w:rPr>
                <w:rFonts w:ascii="Arial" w:hAnsi="Arial" w:cs="Arial"/>
                <w:sz w:val="20"/>
              </w:rPr>
              <w:t>148A.</w:t>
            </w:r>
          </w:p>
        </w:tc>
        <w:tc>
          <w:tcPr>
            <w:tcW w:w="7477" w:type="dxa"/>
          </w:tcPr>
          <w:p w:rsidR="00661215" w:rsidRPr="00AC4AEA" w:rsidRDefault="00661215" w:rsidP="00661215">
            <w:pPr>
              <w:pStyle w:val="A-Normal11"/>
              <w:rPr>
                <w:rFonts w:ascii="Arial" w:hAnsi="Arial" w:cs="Arial"/>
                <w:sz w:val="20"/>
              </w:rPr>
            </w:pPr>
            <w:r w:rsidRPr="00AC4AEA">
              <w:rPr>
                <w:rFonts w:ascii="Arial" w:hAnsi="Arial" w:cs="Arial"/>
                <w:sz w:val="20"/>
              </w:rPr>
              <w:t xml:space="preserve">Una entidad que </w:t>
            </w:r>
            <w:r w:rsidR="001F21C8" w:rsidRPr="00AC4AEA">
              <w:rPr>
                <w:rFonts w:ascii="Arial" w:hAnsi="Arial" w:cs="Arial"/>
                <w:sz w:val="20"/>
              </w:rPr>
              <w:t xml:space="preserve">no </w:t>
            </w:r>
            <w:r w:rsidRPr="00AC4AEA">
              <w:rPr>
                <w:rFonts w:ascii="Arial" w:hAnsi="Arial" w:cs="Arial"/>
                <w:sz w:val="20"/>
              </w:rPr>
              <w:t>es pequeña o mediana:</w:t>
            </w:r>
          </w:p>
          <w:p w:rsidR="00661215" w:rsidRPr="00AC4AEA" w:rsidRDefault="00661215" w:rsidP="00C01B25">
            <w:pPr>
              <w:pStyle w:val="A-Normal11"/>
              <w:numPr>
                <w:ilvl w:val="1"/>
                <w:numId w:val="653"/>
              </w:numPr>
              <w:ind w:left="431" w:hanging="431"/>
              <w:rPr>
                <w:rFonts w:ascii="Arial" w:hAnsi="Arial" w:cs="Arial"/>
                <w:sz w:val="20"/>
              </w:rPr>
            </w:pPr>
            <w:r w:rsidRPr="00AC4AEA">
              <w:rPr>
                <w:rFonts w:ascii="Arial" w:hAnsi="Arial" w:cs="Arial"/>
                <w:sz w:val="20"/>
              </w:rPr>
              <w:t xml:space="preserve">Comprobará si el importe en libros de un </w:t>
            </w:r>
            <w:r w:rsidRPr="00AC4AEA">
              <w:rPr>
                <w:rFonts w:ascii="Arial" w:hAnsi="Arial" w:cs="Arial"/>
                <w:b/>
                <w:bCs/>
                <w:sz w:val="20"/>
              </w:rPr>
              <w:t>activo</w:t>
            </w:r>
            <w:r w:rsidRPr="00AC4AEA">
              <w:rPr>
                <w:rFonts w:ascii="Arial" w:hAnsi="Arial" w:cs="Arial"/>
                <w:sz w:val="20"/>
              </w:rPr>
              <w:t xml:space="preserve"> individual supera su </w:t>
            </w:r>
            <w:r w:rsidRPr="00AC4AEA">
              <w:rPr>
                <w:rFonts w:ascii="Arial" w:hAnsi="Arial" w:cs="Arial"/>
                <w:b/>
                <w:bCs/>
                <w:sz w:val="20"/>
              </w:rPr>
              <w:t>valor recuperable</w:t>
            </w:r>
            <w:r w:rsidRPr="00AC4AEA">
              <w:rPr>
                <w:rFonts w:ascii="Arial" w:hAnsi="Arial" w:cs="Arial"/>
                <w:sz w:val="20"/>
              </w:rPr>
              <w:t xml:space="preserve">, excepto cuando: </w:t>
            </w:r>
          </w:p>
          <w:p w:rsidR="00661215" w:rsidRPr="00AC4AEA" w:rsidRDefault="00661215" w:rsidP="00E51AAC">
            <w:pPr>
              <w:pStyle w:val="A-Normal11"/>
              <w:numPr>
                <w:ilvl w:val="2"/>
                <w:numId w:val="29"/>
              </w:numPr>
              <w:ind w:left="857" w:right="-31" w:hanging="142"/>
              <w:rPr>
                <w:rFonts w:ascii="Arial" w:hAnsi="Arial" w:cs="Arial"/>
                <w:sz w:val="20"/>
              </w:rPr>
            </w:pPr>
            <w:r w:rsidRPr="00AC4AEA">
              <w:rPr>
                <w:rFonts w:ascii="Arial" w:hAnsi="Arial" w:cs="Arial"/>
                <w:sz w:val="20"/>
              </w:rPr>
              <w:t xml:space="preserve">la medición del </w:t>
            </w:r>
            <w:r w:rsidRPr="00AC4AEA">
              <w:rPr>
                <w:rFonts w:ascii="Arial" w:hAnsi="Arial" w:cs="Arial"/>
                <w:b/>
                <w:bCs/>
                <w:sz w:val="20"/>
              </w:rPr>
              <w:t>activo</w:t>
            </w:r>
            <w:r w:rsidRPr="00AC4AEA">
              <w:rPr>
                <w:rFonts w:ascii="Arial" w:hAnsi="Arial" w:cs="Arial"/>
                <w:sz w:val="20"/>
              </w:rPr>
              <w:t xml:space="preserve"> se base en el </w:t>
            </w:r>
            <w:r w:rsidRPr="00AC4AEA">
              <w:rPr>
                <w:rFonts w:ascii="Arial" w:hAnsi="Arial" w:cs="Arial"/>
                <w:b/>
                <w:bCs/>
                <w:sz w:val="20"/>
              </w:rPr>
              <w:t>valor razonable</w:t>
            </w:r>
            <w:r w:rsidRPr="00AC4AEA">
              <w:rPr>
                <w:rFonts w:ascii="Arial" w:hAnsi="Arial" w:cs="Arial"/>
                <w:sz w:val="20"/>
              </w:rPr>
              <w:t>; y</w:t>
            </w:r>
          </w:p>
          <w:p w:rsidR="00661215" w:rsidRPr="00AC4AEA" w:rsidRDefault="00661215" w:rsidP="00E51AAC">
            <w:pPr>
              <w:pStyle w:val="A-Normal11"/>
              <w:numPr>
                <w:ilvl w:val="2"/>
                <w:numId w:val="29"/>
              </w:numPr>
              <w:ind w:left="857" w:right="-31" w:hanging="142"/>
              <w:rPr>
                <w:rFonts w:ascii="Arial" w:hAnsi="Arial" w:cs="Arial"/>
                <w:sz w:val="20"/>
              </w:rPr>
            </w:pPr>
            <w:r w:rsidRPr="00AC4AEA">
              <w:rPr>
                <w:rFonts w:ascii="Arial" w:hAnsi="Arial" w:cs="Arial"/>
                <w:sz w:val="20"/>
              </w:rPr>
              <w:t>sus costos directos de venta no son significativos</w:t>
            </w:r>
            <w:r w:rsidR="001F21C8" w:rsidRPr="00AC4AEA">
              <w:rPr>
                <w:rFonts w:ascii="Arial" w:hAnsi="Arial" w:cs="Arial"/>
                <w:sz w:val="20"/>
              </w:rPr>
              <w:t>.</w:t>
            </w:r>
          </w:p>
          <w:p w:rsidR="00CF2C79" w:rsidRPr="00AC4AEA" w:rsidRDefault="00661215" w:rsidP="00C01B25">
            <w:pPr>
              <w:pStyle w:val="A-Normal11"/>
              <w:numPr>
                <w:ilvl w:val="0"/>
                <w:numId w:val="653"/>
              </w:numPr>
              <w:ind w:left="433" w:right="-31" w:hanging="433"/>
              <w:rPr>
                <w:rFonts w:ascii="Arial" w:hAnsi="Arial" w:cs="Arial"/>
                <w:sz w:val="20"/>
              </w:rPr>
            </w:pPr>
            <w:r w:rsidRPr="00AC4AEA">
              <w:rPr>
                <w:rFonts w:ascii="Arial" w:hAnsi="Arial" w:cs="Arial"/>
                <w:sz w:val="20"/>
              </w:rPr>
              <w:t xml:space="preserve">Comprobará si el importe en libros de un grupo de activos supera su </w:t>
            </w:r>
            <w:r w:rsidRPr="00AC4AEA">
              <w:rPr>
                <w:rFonts w:ascii="Arial" w:hAnsi="Arial" w:cs="Arial"/>
                <w:b/>
                <w:bCs/>
                <w:sz w:val="20"/>
              </w:rPr>
              <w:t>valor recuperable</w:t>
            </w:r>
            <w:r w:rsidRPr="00AC4AEA">
              <w:rPr>
                <w:rFonts w:ascii="Arial" w:hAnsi="Arial" w:cs="Arial"/>
                <w:sz w:val="20"/>
              </w:rPr>
              <w:t xml:space="preserve"> cuando existen indicios de deterioro [ver el párrafo </w:t>
            </w:r>
            <w:fldSimple w:instr=" REF _Ref101014914 \r \h  \* MERGEFORMAT ">
              <w:r w:rsidR="00D33A5D" w:rsidRPr="00D33A5D">
                <w:rPr>
                  <w:rFonts w:ascii="Arial" w:hAnsi="Arial" w:cs="Arial"/>
                  <w:sz w:val="20"/>
                </w:rPr>
                <w:t>151</w:t>
              </w:r>
            </w:fldSimple>
            <w:r w:rsidRPr="00AC4AEA">
              <w:rPr>
                <w:rFonts w:ascii="Arial" w:hAnsi="Arial" w:cs="Arial"/>
                <w:sz w:val="20"/>
              </w:rPr>
              <w:t xml:space="preserve">]. </w:t>
            </w:r>
          </w:p>
        </w:tc>
      </w:tr>
    </w:tbl>
    <w:p w:rsidR="00C74660" w:rsidRPr="00AC4AEA" w:rsidRDefault="00280222" w:rsidP="00A318EA">
      <w:pPr>
        <w:pStyle w:val="A-Normal11"/>
        <w:numPr>
          <w:ilvl w:val="0"/>
          <w:numId w:val="29"/>
        </w:numPr>
        <w:jc w:val="both"/>
        <w:rPr>
          <w:rFonts w:ascii="Arial" w:hAnsi="Arial" w:cs="Arial"/>
          <w:sz w:val="20"/>
        </w:rPr>
      </w:pPr>
      <w:bookmarkStart w:id="196" w:name="_Ref101015301"/>
      <w:r w:rsidRPr="00AC4AEA">
        <w:rPr>
          <w:rFonts w:ascii="Arial" w:hAnsi="Arial" w:cs="Arial"/>
          <w:sz w:val="20"/>
        </w:rPr>
        <w:t>U</w:t>
      </w:r>
      <w:r w:rsidR="008A7A2D" w:rsidRPr="00AC4AEA">
        <w:rPr>
          <w:rFonts w:ascii="Arial" w:hAnsi="Arial" w:cs="Arial"/>
          <w:sz w:val="20"/>
        </w:rPr>
        <w:t xml:space="preserve">na </w:t>
      </w:r>
      <w:r w:rsidR="00C74660" w:rsidRPr="00AC4AEA">
        <w:rPr>
          <w:rFonts w:ascii="Arial" w:hAnsi="Arial" w:cs="Arial"/>
          <w:sz w:val="20"/>
        </w:rPr>
        <w:t xml:space="preserve">entidad </w:t>
      </w:r>
      <w:r w:rsidR="00FD7822" w:rsidRPr="00AC4AEA">
        <w:rPr>
          <w:rFonts w:ascii="Arial" w:hAnsi="Arial" w:cs="Arial"/>
          <w:sz w:val="20"/>
        </w:rPr>
        <w:t xml:space="preserve">que no es pequeña o mediana </w:t>
      </w:r>
      <w:r w:rsidR="00C74660" w:rsidRPr="00AC4AEA">
        <w:rPr>
          <w:rFonts w:ascii="Arial" w:hAnsi="Arial" w:cs="Arial"/>
          <w:sz w:val="20"/>
        </w:rPr>
        <w:t xml:space="preserve">deberá </w:t>
      </w:r>
      <w:r w:rsidR="00FD7822" w:rsidRPr="00AC4AEA">
        <w:rPr>
          <w:rFonts w:ascii="Arial" w:hAnsi="Arial" w:cs="Arial"/>
          <w:sz w:val="20"/>
        </w:rPr>
        <w:t xml:space="preserve">efectuar </w:t>
      </w:r>
      <w:r w:rsidR="00C74660" w:rsidRPr="00AC4AEA">
        <w:rPr>
          <w:rFonts w:ascii="Arial" w:hAnsi="Arial" w:cs="Arial"/>
          <w:sz w:val="20"/>
        </w:rPr>
        <w:t xml:space="preserve">anualmente </w:t>
      </w:r>
      <w:r w:rsidR="00FD7822" w:rsidRPr="00AC4AEA">
        <w:rPr>
          <w:rFonts w:ascii="Arial" w:hAnsi="Arial" w:cs="Arial"/>
          <w:sz w:val="20"/>
        </w:rPr>
        <w:t xml:space="preserve">la comparación con </w:t>
      </w:r>
      <w:r w:rsidR="00C74660" w:rsidRPr="00AC4AEA">
        <w:rPr>
          <w:rFonts w:ascii="Arial" w:hAnsi="Arial" w:cs="Arial"/>
          <w:sz w:val="20"/>
        </w:rPr>
        <w:t xml:space="preserve">el </w:t>
      </w:r>
      <w:r w:rsidR="00C74660" w:rsidRPr="00AC4AEA">
        <w:rPr>
          <w:rFonts w:ascii="Arial" w:hAnsi="Arial" w:cs="Arial"/>
          <w:b/>
          <w:bCs/>
          <w:sz w:val="20"/>
        </w:rPr>
        <w:t>valor recuperable</w:t>
      </w:r>
      <w:r w:rsidR="00C74660" w:rsidRPr="00AC4AEA">
        <w:rPr>
          <w:rFonts w:ascii="Arial" w:hAnsi="Arial" w:cs="Arial"/>
          <w:sz w:val="20"/>
        </w:rPr>
        <w:t>:</w:t>
      </w:r>
      <w:bookmarkEnd w:id="196"/>
    </w:p>
    <w:p w:rsidR="00C74660" w:rsidRPr="00AC4AEA" w:rsidRDefault="00C74660" w:rsidP="00A318EA">
      <w:pPr>
        <w:pStyle w:val="A-Normal11"/>
        <w:numPr>
          <w:ilvl w:val="1"/>
          <w:numId w:val="29"/>
        </w:numPr>
        <w:ind w:left="1560"/>
        <w:jc w:val="both"/>
        <w:rPr>
          <w:rFonts w:ascii="Arial" w:hAnsi="Arial" w:cs="Arial"/>
          <w:sz w:val="20"/>
        </w:rPr>
      </w:pPr>
      <w:r w:rsidRPr="00AC4AEA">
        <w:rPr>
          <w:rFonts w:ascii="Arial" w:hAnsi="Arial" w:cs="Arial"/>
          <w:sz w:val="20"/>
        </w:rPr>
        <w:t>De los intangibles de vida útil indefinida</w:t>
      </w:r>
      <w:r w:rsidR="00FC2842" w:rsidRPr="00AC4AEA">
        <w:rPr>
          <w:rFonts w:ascii="Arial" w:hAnsi="Arial" w:cs="Arial"/>
          <w:sz w:val="20"/>
        </w:rPr>
        <w:t xml:space="preserve"> o de cualquier </w:t>
      </w:r>
      <w:r w:rsidR="008D0D5D" w:rsidRPr="00AC4AEA">
        <w:rPr>
          <w:rFonts w:ascii="Arial" w:hAnsi="Arial" w:cs="Arial"/>
          <w:sz w:val="20"/>
        </w:rPr>
        <w:t xml:space="preserve">grupo de </w:t>
      </w:r>
      <w:r w:rsidR="00497590" w:rsidRPr="00AC4AEA">
        <w:rPr>
          <w:rFonts w:ascii="Arial" w:hAnsi="Arial" w:cs="Arial"/>
          <w:sz w:val="20"/>
        </w:rPr>
        <w:t>activos</w:t>
      </w:r>
      <w:r w:rsidR="00FC2842" w:rsidRPr="00AC4AEA">
        <w:rPr>
          <w:rFonts w:ascii="Arial" w:hAnsi="Arial" w:cs="Arial"/>
          <w:sz w:val="20"/>
        </w:rPr>
        <w:t xml:space="preserve"> al que asigne </w:t>
      </w:r>
      <w:r w:rsidR="00547080" w:rsidRPr="00AC4AEA">
        <w:rPr>
          <w:rFonts w:ascii="Arial" w:hAnsi="Arial" w:cs="Arial"/>
          <w:sz w:val="20"/>
        </w:rPr>
        <w:t>un activo intangible con vida útil indefinida</w:t>
      </w:r>
      <w:r w:rsidRPr="00AC4AEA">
        <w:rPr>
          <w:rFonts w:ascii="Arial" w:hAnsi="Arial" w:cs="Arial"/>
          <w:sz w:val="20"/>
        </w:rPr>
        <w:t>.</w:t>
      </w:r>
    </w:p>
    <w:p w:rsidR="00C74660" w:rsidRPr="00AC4AEA" w:rsidRDefault="00C74660" w:rsidP="00A318EA">
      <w:pPr>
        <w:pStyle w:val="A-Normal11"/>
        <w:numPr>
          <w:ilvl w:val="1"/>
          <w:numId w:val="29"/>
        </w:numPr>
        <w:ind w:left="1560"/>
        <w:jc w:val="both"/>
        <w:rPr>
          <w:rFonts w:ascii="Arial" w:hAnsi="Arial" w:cs="Arial"/>
          <w:sz w:val="20"/>
        </w:rPr>
      </w:pPr>
      <w:r w:rsidRPr="00AC4AEA">
        <w:rPr>
          <w:rFonts w:ascii="Arial" w:hAnsi="Arial" w:cs="Arial"/>
          <w:sz w:val="20"/>
        </w:rPr>
        <w:t xml:space="preserve">De </w:t>
      </w:r>
      <w:r w:rsidR="000A27ED" w:rsidRPr="00AC4AEA">
        <w:rPr>
          <w:rFonts w:ascii="Arial" w:hAnsi="Arial" w:cs="Arial"/>
          <w:sz w:val="20"/>
        </w:rPr>
        <w:t xml:space="preserve">cualquier grupo de </w:t>
      </w:r>
      <w:r w:rsidR="00497590" w:rsidRPr="00AC4AEA">
        <w:rPr>
          <w:rFonts w:ascii="Arial" w:hAnsi="Arial" w:cs="Arial"/>
          <w:sz w:val="20"/>
        </w:rPr>
        <w:t>activos</w:t>
      </w:r>
      <w:r w:rsidR="000A27ED" w:rsidRPr="00AC4AEA">
        <w:rPr>
          <w:rFonts w:ascii="Arial" w:hAnsi="Arial" w:cs="Arial"/>
          <w:sz w:val="20"/>
        </w:rPr>
        <w:t xml:space="preserve"> al que se le asigne una </w:t>
      </w:r>
      <w:r w:rsidRPr="00AC4AEA">
        <w:rPr>
          <w:rFonts w:ascii="Arial" w:hAnsi="Arial" w:cs="Arial"/>
          <w:sz w:val="20"/>
        </w:rPr>
        <w:t xml:space="preserve">llave de negocio </w:t>
      </w:r>
      <w:r w:rsidR="00F0792D" w:rsidRPr="00AC4AEA">
        <w:rPr>
          <w:rFonts w:ascii="Arial" w:hAnsi="Arial" w:cs="Arial"/>
          <w:sz w:val="20"/>
        </w:rPr>
        <w:t xml:space="preserve">de vida útil </w:t>
      </w:r>
      <w:r w:rsidR="004537F1" w:rsidRPr="00AC4AEA">
        <w:rPr>
          <w:rFonts w:ascii="Arial" w:hAnsi="Arial" w:cs="Arial"/>
          <w:sz w:val="20"/>
        </w:rPr>
        <w:t>indefinida</w:t>
      </w:r>
      <w:r w:rsidR="00F0792D" w:rsidRPr="00AC4AEA">
        <w:rPr>
          <w:rFonts w:ascii="Arial" w:hAnsi="Arial" w:cs="Arial"/>
          <w:sz w:val="20"/>
        </w:rPr>
        <w:t>.</w:t>
      </w:r>
    </w:p>
    <w:p w:rsidR="005B4F11" w:rsidRPr="00AC4AEA" w:rsidRDefault="00F4181F" w:rsidP="00A318EA">
      <w:pPr>
        <w:pStyle w:val="A-Normal11"/>
        <w:numPr>
          <w:ilvl w:val="0"/>
          <w:numId w:val="29"/>
        </w:numPr>
        <w:jc w:val="both"/>
        <w:rPr>
          <w:rFonts w:ascii="Arial" w:hAnsi="Arial" w:cs="Arial"/>
          <w:sz w:val="20"/>
        </w:rPr>
      </w:pPr>
      <w:r w:rsidRPr="00AC4AEA">
        <w:rPr>
          <w:rFonts w:ascii="Arial" w:hAnsi="Arial" w:cs="Arial"/>
          <w:sz w:val="20"/>
        </w:rPr>
        <w:t xml:space="preserve">A los fines de cumplir el objetivo establecido en el párrafo </w:t>
      </w:r>
      <w:fldSimple w:instr=" REF _Ref74131752 \r \h  \* MERGEFORMAT ">
        <w:r w:rsidR="00D33A5D" w:rsidRPr="00D33A5D">
          <w:rPr>
            <w:rFonts w:ascii="Arial" w:hAnsi="Arial" w:cs="Arial"/>
            <w:sz w:val="20"/>
          </w:rPr>
          <w:t>145</w:t>
        </w:r>
      </w:fldSimple>
      <w:r w:rsidRPr="00AC4AEA">
        <w:rPr>
          <w:rFonts w:ascii="Arial" w:hAnsi="Arial" w:cs="Arial"/>
          <w:sz w:val="20"/>
        </w:rPr>
        <w:t xml:space="preserve">, una </w:t>
      </w:r>
      <w:r w:rsidR="00E72C15" w:rsidRPr="00AC4AEA">
        <w:rPr>
          <w:rFonts w:ascii="Arial" w:hAnsi="Arial" w:cs="Arial"/>
          <w:sz w:val="20"/>
        </w:rPr>
        <w:t>entidad</w:t>
      </w:r>
      <w:r w:rsidR="00D01845" w:rsidRPr="00AC4AEA">
        <w:rPr>
          <w:rFonts w:ascii="Arial" w:hAnsi="Arial" w:cs="Arial"/>
          <w:sz w:val="20"/>
        </w:rPr>
        <w:t>:</w:t>
      </w:r>
    </w:p>
    <w:p w:rsidR="00D01845" w:rsidRPr="00AC4AEA" w:rsidRDefault="00D01845" w:rsidP="00A318EA">
      <w:pPr>
        <w:pStyle w:val="A-Normal11"/>
        <w:numPr>
          <w:ilvl w:val="1"/>
          <w:numId w:val="29"/>
        </w:numPr>
        <w:ind w:left="1560"/>
        <w:jc w:val="both"/>
        <w:rPr>
          <w:rFonts w:ascii="Arial" w:hAnsi="Arial" w:cs="Arial"/>
          <w:sz w:val="20"/>
        </w:rPr>
      </w:pPr>
      <w:r w:rsidRPr="00AC4AEA">
        <w:rPr>
          <w:rFonts w:ascii="Arial" w:hAnsi="Arial" w:cs="Arial"/>
          <w:sz w:val="20"/>
        </w:rPr>
        <w:t>Comparará</w:t>
      </w:r>
      <w:r w:rsidR="00CA5593" w:rsidRPr="00AC4AEA">
        <w:rPr>
          <w:rFonts w:ascii="Arial" w:hAnsi="Arial" w:cs="Arial"/>
          <w:sz w:val="20"/>
        </w:rPr>
        <w:t xml:space="preserve">, cuando corresponda de acuerdo con los párrafos </w:t>
      </w:r>
      <w:fldSimple w:instr=" REF _Ref101014555 \r \h  \* MERGEFORMAT ">
        <w:r w:rsidR="00D33A5D" w:rsidRPr="00D33A5D">
          <w:rPr>
            <w:rFonts w:ascii="Arial" w:hAnsi="Arial" w:cs="Arial"/>
            <w:sz w:val="20"/>
          </w:rPr>
          <w:t>148</w:t>
        </w:r>
      </w:fldSimple>
      <w:r w:rsidR="009B1F48" w:rsidRPr="00AC4AEA">
        <w:rPr>
          <w:rFonts w:ascii="Arial" w:hAnsi="Arial" w:cs="Arial"/>
          <w:sz w:val="20"/>
        </w:rPr>
        <w:t xml:space="preserve"> </w:t>
      </w:r>
      <w:r w:rsidR="00175969" w:rsidRPr="00AC4AEA">
        <w:rPr>
          <w:rFonts w:ascii="Arial" w:hAnsi="Arial" w:cs="Arial"/>
          <w:sz w:val="20"/>
        </w:rPr>
        <w:t>a</w:t>
      </w:r>
      <w:r w:rsidR="009B1F48" w:rsidRPr="00AC4AEA">
        <w:rPr>
          <w:rFonts w:ascii="Arial" w:hAnsi="Arial" w:cs="Arial"/>
          <w:sz w:val="20"/>
        </w:rPr>
        <w:t xml:space="preserve"> </w:t>
      </w:r>
      <w:fldSimple w:instr=" REF _Ref101015301 \r \h  \* MERGEFORMAT ">
        <w:r w:rsidR="00D33A5D" w:rsidRPr="00D33A5D">
          <w:rPr>
            <w:rFonts w:ascii="Arial" w:hAnsi="Arial" w:cs="Arial"/>
            <w:sz w:val="20"/>
          </w:rPr>
          <w:t>149</w:t>
        </w:r>
      </w:fldSimple>
      <w:r w:rsidR="009B1F48" w:rsidRPr="00AC4AEA">
        <w:rPr>
          <w:rFonts w:ascii="Arial" w:hAnsi="Arial" w:cs="Arial"/>
          <w:sz w:val="20"/>
        </w:rPr>
        <w:t>,</w:t>
      </w:r>
      <w:r w:rsidRPr="00AC4AEA">
        <w:rPr>
          <w:rFonts w:ascii="Arial" w:hAnsi="Arial" w:cs="Arial"/>
          <w:sz w:val="20"/>
        </w:rPr>
        <w:t xml:space="preserve"> </w:t>
      </w:r>
      <w:r w:rsidR="006A5700" w:rsidRPr="00AC4AEA">
        <w:rPr>
          <w:rFonts w:ascii="Arial" w:hAnsi="Arial" w:cs="Arial"/>
          <w:sz w:val="20"/>
        </w:rPr>
        <w:t xml:space="preserve">la </w:t>
      </w:r>
      <w:r w:rsidR="00396917" w:rsidRPr="00AC4AEA">
        <w:rPr>
          <w:rFonts w:ascii="Arial" w:hAnsi="Arial" w:cs="Arial"/>
          <w:sz w:val="20"/>
        </w:rPr>
        <w:t>medición</w:t>
      </w:r>
      <w:r w:rsidR="00653E85" w:rsidRPr="00AC4AEA">
        <w:rPr>
          <w:rFonts w:ascii="Arial" w:hAnsi="Arial" w:cs="Arial"/>
          <w:sz w:val="20"/>
        </w:rPr>
        <w:t xml:space="preserve"> contable</w:t>
      </w:r>
      <w:r w:rsidRPr="00AC4AEA">
        <w:rPr>
          <w:rFonts w:ascii="Arial" w:hAnsi="Arial" w:cs="Arial"/>
          <w:sz w:val="20"/>
        </w:rPr>
        <w:t xml:space="preserve"> de los </w:t>
      </w:r>
      <w:r w:rsidR="00497590" w:rsidRPr="00AC4AEA">
        <w:rPr>
          <w:rFonts w:ascii="Arial" w:hAnsi="Arial" w:cs="Arial"/>
          <w:sz w:val="20"/>
        </w:rPr>
        <w:t>activos</w:t>
      </w:r>
      <w:r w:rsidRPr="00AC4AEA">
        <w:rPr>
          <w:rFonts w:ascii="Arial" w:hAnsi="Arial" w:cs="Arial"/>
          <w:sz w:val="20"/>
        </w:rPr>
        <w:t xml:space="preserve"> con su </w:t>
      </w:r>
      <w:r w:rsidRPr="00AC4AEA">
        <w:rPr>
          <w:rFonts w:ascii="Arial" w:hAnsi="Arial" w:cs="Arial"/>
          <w:b/>
          <w:bCs/>
          <w:sz w:val="20"/>
        </w:rPr>
        <w:t>valor recuperable.</w:t>
      </w:r>
    </w:p>
    <w:p w:rsidR="00D01845" w:rsidRPr="00AC4AEA" w:rsidRDefault="00D01845" w:rsidP="00A318EA">
      <w:pPr>
        <w:pStyle w:val="A-Normal11"/>
        <w:numPr>
          <w:ilvl w:val="1"/>
          <w:numId w:val="29"/>
        </w:numPr>
        <w:ind w:left="1560"/>
        <w:jc w:val="both"/>
        <w:rPr>
          <w:rFonts w:ascii="Arial" w:hAnsi="Arial" w:cs="Arial"/>
          <w:sz w:val="20"/>
        </w:rPr>
      </w:pPr>
      <w:r w:rsidRPr="00AC4AEA">
        <w:rPr>
          <w:rFonts w:ascii="Arial" w:hAnsi="Arial" w:cs="Arial"/>
          <w:sz w:val="20"/>
        </w:rPr>
        <w:t>Reconocerá</w:t>
      </w:r>
      <w:r w:rsidRPr="00AC4AEA">
        <w:rPr>
          <w:rFonts w:ascii="Arial" w:hAnsi="Arial" w:cs="Arial"/>
          <w:b/>
          <w:bCs/>
          <w:sz w:val="20"/>
        </w:rPr>
        <w:t>:</w:t>
      </w:r>
    </w:p>
    <w:p w:rsidR="00B73DFB" w:rsidRPr="00AC4AEA" w:rsidRDefault="00B73DFB" w:rsidP="00A318EA">
      <w:pPr>
        <w:pStyle w:val="A-Normal11"/>
        <w:numPr>
          <w:ilvl w:val="2"/>
          <w:numId w:val="29"/>
        </w:numPr>
        <w:ind w:left="1985" w:hanging="142"/>
        <w:jc w:val="both"/>
        <w:rPr>
          <w:rFonts w:ascii="Arial" w:hAnsi="Arial" w:cs="Arial"/>
          <w:sz w:val="20"/>
        </w:rPr>
      </w:pPr>
      <w:r w:rsidRPr="00AC4AEA">
        <w:rPr>
          <w:rFonts w:ascii="Arial" w:hAnsi="Arial" w:cs="Arial"/>
          <w:b/>
          <w:bCs/>
          <w:sz w:val="20"/>
        </w:rPr>
        <w:t>P</w:t>
      </w:r>
      <w:r w:rsidR="00A06C32" w:rsidRPr="00AC4AEA">
        <w:rPr>
          <w:rFonts w:ascii="Arial" w:hAnsi="Arial" w:cs="Arial"/>
          <w:b/>
          <w:bCs/>
          <w:sz w:val="20"/>
        </w:rPr>
        <w:t xml:space="preserve">érdidas por desvalorización </w:t>
      </w:r>
      <w:r w:rsidR="00281CDB" w:rsidRPr="00AC4AEA">
        <w:rPr>
          <w:rFonts w:ascii="Arial" w:hAnsi="Arial" w:cs="Arial"/>
          <w:sz w:val="20"/>
        </w:rPr>
        <w:t xml:space="preserve">cuando la </w:t>
      </w:r>
      <w:r w:rsidR="00396917" w:rsidRPr="00AC4AEA">
        <w:rPr>
          <w:rFonts w:ascii="Arial" w:hAnsi="Arial" w:cs="Arial"/>
          <w:sz w:val="20"/>
        </w:rPr>
        <w:t>medición</w:t>
      </w:r>
      <w:r w:rsidR="00281CDB" w:rsidRPr="00AC4AEA">
        <w:rPr>
          <w:rFonts w:ascii="Arial" w:hAnsi="Arial" w:cs="Arial"/>
          <w:sz w:val="20"/>
        </w:rPr>
        <w:t xml:space="preserve"> contable de un </w:t>
      </w:r>
      <w:r w:rsidR="00281CDB" w:rsidRPr="00AC4AEA">
        <w:rPr>
          <w:rFonts w:ascii="Arial" w:hAnsi="Arial" w:cs="Arial"/>
          <w:b/>
          <w:bCs/>
          <w:sz w:val="20"/>
        </w:rPr>
        <w:t>activo</w:t>
      </w:r>
      <w:r w:rsidR="00281CDB" w:rsidRPr="00AC4AEA">
        <w:rPr>
          <w:rFonts w:ascii="Arial" w:hAnsi="Arial" w:cs="Arial"/>
          <w:sz w:val="20"/>
        </w:rPr>
        <w:t xml:space="preserve"> sea </w:t>
      </w:r>
      <w:r w:rsidR="00FD7822" w:rsidRPr="00AC4AEA">
        <w:rPr>
          <w:rFonts w:ascii="Arial" w:hAnsi="Arial" w:cs="Arial"/>
          <w:sz w:val="20"/>
        </w:rPr>
        <w:t xml:space="preserve">superior </w:t>
      </w:r>
      <w:r w:rsidR="00281CDB" w:rsidRPr="00AC4AEA">
        <w:rPr>
          <w:rFonts w:ascii="Arial" w:hAnsi="Arial" w:cs="Arial"/>
          <w:sz w:val="20"/>
        </w:rPr>
        <w:t>a su</w:t>
      </w:r>
      <w:r w:rsidR="00313CB5" w:rsidRPr="00AC4AEA">
        <w:rPr>
          <w:rFonts w:ascii="Arial" w:hAnsi="Arial" w:cs="Arial"/>
          <w:sz w:val="20"/>
        </w:rPr>
        <w:t xml:space="preserve"> </w:t>
      </w:r>
      <w:r w:rsidR="00A06C32" w:rsidRPr="00AC4AEA">
        <w:rPr>
          <w:rFonts w:ascii="Arial" w:hAnsi="Arial" w:cs="Arial"/>
          <w:b/>
          <w:bCs/>
          <w:sz w:val="20"/>
        </w:rPr>
        <w:t xml:space="preserve">valor </w:t>
      </w:r>
      <w:r w:rsidRPr="00AC4AEA">
        <w:rPr>
          <w:rFonts w:ascii="Arial" w:hAnsi="Arial" w:cs="Arial"/>
          <w:b/>
          <w:bCs/>
          <w:sz w:val="20"/>
        </w:rPr>
        <w:t>recuperable.</w:t>
      </w:r>
    </w:p>
    <w:p w:rsidR="005B4F11" w:rsidRPr="00AC4AEA" w:rsidRDefault="00B73DFB" w:rsidP="00A318EA">
      <w:pPr>
        <w:pStyle w:val="A-Normal11"/>
        <w:numPr>
          <w:ilvl w:val="2"/>
          <w:numId w:val="29"/>
        </w:numPr>
        <w:ind w:left="1985" w:hanging="142"/>
        <w:jc w:val="both"/>
        <w:rPr>
          <w:rFonts w:ascii="Arial" w:hAnsi="Arial" w:cs="Arial"/>
          <w:sz w:val="20"/>
        </w:rPr>
      </w:pPr>
      <w:r w:rsidRPr="00AC4AEA">
        <w:rPr>
          <w:rFonts w:ascii="Arial" w:hAnsi="Arial" w:cs="Arial"/>
          <w:sz w:val="20"/>
        </w:rPr>
        <w:lastRenderedPageBreak/>
        <w:t>R</w:t>
      </w:r>
      <w:r w:rsidR="005B4F11" w:rsidRPr="00AC4AEA">
        <w:rPr>
          <w:rFonts w:ascii="Arial" w:hAnsi="Arial" w:cs="Arial"/>
          <w:sz w:val="20"/>
        </w:rPr>
        <w:t>eversiones</w:t>
      </w:r>
      <w:r w:rsidR="0062597F" w:rsidRPr="00AC4AEA">
        <w:rPr>
          <w:rFonts w:ascii="Arial" w:hAnsi="Arial" w:cs="Arial"/>
          <w:sz w:val="20"/>
        </w:rPr>
        <w:t xml:space="preserve"> de</w:t>
      </w:r>
      <w:r w:rsidR="005B4F11" w:rsidRPr="00AC4AEA">
        <w:rPr>
          <w:rFonts w:ascii="Arial" w:hAnsi="Arial" w:cs="Arial"/>
          <w:sz w:val="20"/>
        </w:rPr>
        <w:t xml:space="preserve"> </w:t>
      </w:r>
      <w:r w:rsidR="00A06C32" w:rsidRPr="00AC4AEA">
        <w:rPr>
          <w:rFonts w:ascii="Arial" w:hAnsi="Arial" w:cs="Arial"/>
          <w:b/>
          <w:bCs/>
          <w:sz w:val="20"/>
        </w:rPr>
        <w:t xml:space="preserve">pérdidas por desvalorización </w:t>
      </w:r>
      <w:r w:rsidR="0062597F" w:rsidRPr="00AC4AEA">
        <w:rPr>
          <w:rFonts w:ascii="Arial" w:hAnsi="Arial" w:cs="Arial"/>
          <w:sz w:val="20"/>
        </w:rPr>
        <w:t>previamente contabilizadas</w:t>
      </w:r>
      <w:r w:rsidR="000838A6" w:rsidRPr="00AC4AEA">
        <w:rPr>
          <w:rFonts w:ascii="Arial" w:hAnsi="Arial" w:cs="Arial"/>
          <w:sz w:val="20"/>
        </w:rPr>
        <w:t>,</w:t>
      </w:r>
      <w:r w:rsidR="0062597F" w:rsidRPr="00AC4AEA">
        <w:rPr>
          <w:rFonts w:ascii="Arial" w:hAnsi="Arial" w:cs="Arial"/>
          <w:sz w:val="20"/>
        </w:rPr>
        <w:t xml:space="preserve"> </w:t>
      </w:r>
      <w:r w:rsidR="005B4F11" w:rsidRPr="00AC4AEA">
        <w:rPr>
          <w:rFonts w:ascii="Arial" w:hAnsi="Arial" w:cs="Arial"/>
          <w:sz w:val="20"/>
        </w:rPr>
        <w:t xml:space="preserve">cuando </w:t>
      </w:r>
      <w:r w:rsidR="0062597F" w:rsidRPr="00AC4AEA">
        <w:rPr>
          <w:rFonts w:ascii="Arial" w:hAnsi="Arial" w:cs="Arial"/>
          <w:sz w:val="20"/>
        </w:rPr>
        <w:t xml:space="preserve">cambien las estimaciones efectuadas para determinar el </w:t>
      </w:r>
      <w:r w:rsidR="00A06C32" w:rsidRPr="00AC4AEA">
        <w:rPr>
          <w:rFonts w:ascii="Arial" w:hAnsi="Arial" w:cs="Arial"/>
          <w:b/>
          <w:bCs/>
          <w:sz w:val="20"/>
        </w:rPr>
        <w:t>valor recuperable</w:t>
      </w:r>
      <w:r w:rsidR="0062597F" w:rsidRPr="00AC4AEA">
        <w:rPr>
          <w:rFonts w:ascii="Arial" w:hAnsi="Arial" w:cs="Arial"/>
          <w:sz w:val="20"/>
        </w:rPr>
        <w:t>.</w:t>
      </w:r>
    </w:p>
    <w:p w:rsidR="00776A29" w:rsidRPr="00AC4AEA" w:rsidRDefault="00776A29" w:rsidP="00A318EA">
      <w:pPr>
        <w:pStyle w:val="A-Normal11"/>
        <w:ind w:left="360"/>
        <w:jc w:val="both"/>
        <w:rPr>
          <w:rFonts w:ascii="Arial" w:hAnsi="Arial" w:cs="Arial"/>
          <w:sz w:val="20"/>
        </w:rPr>
      </w:pPr>
    </w:p>
    <w:p w:rsidR="00E72C15" w:rsidRPr="00AC4AEA" w:rsidRDefault="00E72C15" w:rsidP="00A318EA">
      <w:pPr>
        <w:pStyle w:val="Ttulo2"/>
        <w:rPr>
          <w:rFonts w:cs="Arial"/>
        </w:rPr>
      </w:pPr>
      <w:bookmarkStart w:id="197" w:name="_Toc101863759"/>
      <w:bookmarkStart w:id="198" w:name="_Toc139356622"/>
      <w:r w:rsidRPr="00AC4AEA">
        <w:rPr>
          <w:rFonts w:cs="Arial"/>
        </w:rPr>
        <w:t>Indicios de deterior</w:t>
      </w:r>
      <w:r w:rsidR="00A102B4" w:rsidRPr="00AC4AEA">
        <w:rPr>
          <w:rFonts w:cs="Arial"/>
        </w:rPr>
        <w:t>o (</w:t>
      </w:r>
      <w:r w:rsidR="00FD7822" w:rsidRPr="00AC4AEA">
        <w:rPr>
          <w:rFonts w:cs="Arial"/>
        </w:rPr>
        <w:t>o de su reversión</w:t>
      </w:r>
      <w:r w:rsidR="00A102B4" w:rsidRPr="00AC4AEA">
        <w:rPr>
          <w:rFonts w:cs="Arial"/>
        </w:rPr>
        <w:t>)</w:t>
      </w:r>
      <w:bookmarkEnd w:id="197"/>
      <w:bookmarkEnd w:id="198"/>
    </w:p>
    <w:p w:rsidR="00287A3A" w:rsidRPr="00AC4AEA" w:rsidRDefault="00287A3A" w:rsidP="00A318EA">
      <w:pPr>
        <w:pStyle w:val="A-Normal11"/>
        <w:numPr>
          <w:ilvl w:val="0"/>
          <w:numId w:val="29"/>
        </w:numPr>
        <w:jc w:val="both"/>
        <w:rPr>
          <w:rFonts w:ascii="Arial" w:hAnsi="Arial" w:cs="Arial"/>
          <w:sz w:val="20"/>
        </w:rPr>
      </w:pPr>
      <w:bookmarkStart w:id="199" w:name="_Ref101014914"/>
      <w:r w:rsidRPr="00AC4AEA">
        <w:rPr>
          <w:rFonts w:ascii="Arial" w:hAnsi="Arial" w:cs="Arial"/>
          <w:sz w:val="20"/>
        </w:rPr>
        <w:t xml:space="preserve">A los fines de determinar la necesidad de </w:t>
      </w:r>
      <w:r w:rsidR="007E020E" w:rsidRPr="00AC4AEA">
        <w:rPr>
          <w:rFonts w:ascii="Arial" w:hAnsi="Arial" w:cs="Arial"/>
          <w:sz w:val="20"/>
        </w:rPr>
        <w:t>comparar</w:t>
      </w:r>
      <w:r w:rsidRPr="00AC4AEA">
        <w:rPr>
          <w:rFonts w:ascii="Arial" w:hAnsi="Arial" w:cs="Arial"/>
          <w:sz w:val="20"/>
        </w:rPr>
        <w:t xml:space="preserve"> la </w:t>
      </w:r>
      <w:r w:rsidR="00396917" w:rsidRPr="00AC4AEA">
        <w:rPr>
          <w:rFonts w:ascii="Arial" w:hAnsi="Arial" w:cs="Arial"/>
          <w:sz w:val="20"/>
        </w:rPr>
        <w:t>medición</w:t>
      </w:r>
      <w:r w:rsidRPr="00AC4AEA">
        <w:rPr>
          <w:rFonts w:ascii="Arial" w:hAnsi="Arial" w:cs="Arial"/>
          <w:sz w:val="20"/>
        </w:rPr>
        <w:t xml:space="preserve"> </w:t>
      </w:r>
      <w:r w:rsidR="00FF5A1D" w:rsidRPr="00AC4AEA">
        <w:rPr>
          <w:rFonts w:ascii="Arial" w:hAnsi="Arial" w:cs="Arial"/>
          <w:sz w:val="20"/>
        </w:rPr>
        <w:t>contable</w:t>
      </w:r>
      <w:r w:rsidR="001133BA" w:rsidRPr="00AC4AEA">
        <w:rPr>
          <w:rFonts w:ascii="Arial" w:hAnsi="Arial" w:cs="Arial"/>
          <w:sz w:val="20"/>
        </w:rPr>
        <w:t xml:space="preserve"> de</w:t>
      </w:r>
      <w:r w:rsidRPr="00AC4AEA">
        <w:rPr>
          <w:rFonts w:ascii="Arial" w:hAnsi="Arial" w:cs="Arial"/>
          <w:sz w:val="20"/>
        </w:rPr>
        <w:t xml:space="preserve"> </w:t>
      </w:r>
      <w:r w:rsidR="0057261F" w:rsidRPr="00AC4AEA">
        <w:rPr>
          <w:rFonts w:ascii="Arial" w:hAnsi="Arial" w:cs="Arial"/>
          <w:sz w:val="20"/>
        </w:rPr>
        <w:t xml:space="preserve">los </w:t>
      </w:r>
      <w:r w:rsidR="00497590" w:rsidRPr="00AC4AEA">
        <w:rPr>
          <w:rFonts w:ascii="Arial" w:hAnsi="Arial" w:cs="Arial"/>
          <w:sz w:val="20"/>
        </w:rPr>
        <w:t>activos</w:t>
      </w:r>
      <w:r w:rsidR="0057261F" w:rsidRPr="00AC4AEA">
        <w:rPr>
          <w:rFonts w:ascii="Arial" w:hAnsi="Arial" w:cs="Arial"/>
          <w:sz w:val="20"/>
        </w:rPr>
        <w:t xml:space="preserve"> indicados en el párrafo </w:t>
      </w:r>
      <w:fldSimple w:instr=" REF _Ref103269834 \r \h  \* MERGEFORMAT ">
        <w:r w:rsidR="00D33A5D" w:rsidRPr="00D33A5D">
          <w:rPr>
            <w:rFonts w:ascii="Arial" w:hAnsi="Arial" w:cs="Arial"/>
            <w:sz w:val="20"/>
          </w:rPr>
          <w:t>146</w:t>
        </w:r>
      </w:fldSimple>
      <w:r w:rsidRPr="00AC4AEA">
        <w:rPr>
          <w:rFonts w:ascii="Arial" w:hAnsi="Arial" w:cs="Arial"/>
          <w:sz w:val="20"/>
        </w:rPr>
        <w:t xml:space="preserve"> con su </w:t>
      </w:r>
      <w:r w:rsidR="00A06C32" w:rsidRPr="00AC4AEA">
        <w:rPr>
          <w:rFonts w:ascii="Arial" w:hAnsi="Arial" w:cs="Arial"/>
          <w:b/>
          <w:bCs/>
          <w:sz w:val="20"/>
        </w:rPr>
        <w:t>valor recuperable</w:t>
      </w:r>
      <w:r w:rsidRPr="00AC4AEA">
        <w:rPr>
          <w:rFonts w:ascii="Arial" w:hAnsi="Arial" w:cs="Arial"/>
          <w:sz w:val="20"/>
        </w:rPr>
        <w:t>, una entidad considerar</w:t>
      </w:r>
      <w:r w:rsidR="00D522DE" w:rsidRPr="00AC4AEA">
        <w:rPr>
          <w:rFonts w:ascii="Arial" w:hAnsi="Arial" w:cs="Arial"/>
          <w:sz w:val="20"/>
        </w:rPr>
        <w:t>á</w:t>
      </w:r>
      <w:r w:rsidRPr="00AC4AEA">
        <w:rPr>
          <w:rFonts w:ascii="Arial" w:hAnsi="Arial" w:cs="Arial"/>
          <w:sz w:val="20"/>
        </w:rPr>
        <w:t>, entre otros, los siguientes indicios de deterioro (o reversión de un deterioro):</w:t>
      </w:r>
      <w:bookmarkEnd w:id="199"/>
    </w:p>
    <w:p w:rsidR="00287A3A" w:rsidRPr="00AC4AEA" w:rsidRDefault="00761345" w:rsidP="00A318EA">
      <w:pPr>
        <w:pStyle w:val="A-Normal11"/>
        <w:numPr>
          <w:ilvl w:val="1"/>
          <w:numId w:val="29"/>
        </w:numPr>
        <w:ind w:left="1560"/>
        <w:jc w:val="both"/>
        <w:rPr>
          <w:rFonts w:ascii="Arial" w:hAnsi="Arial" w:cs="Arial"/>
          <w:sz w:val="20"/>
        </w:rPr>
      </w:pPr>
      <w:r w:rsidRPr="00AC4AEA">
        <w:rPr>
          <w:rFonts w:ascii="Arial" w:hAnsi="Arial" w:cs="Arial"/>
          <w:sz w:val="20"/>
        </w:rPr>
        <w:t>D</w:t>
      </w:r>
      <w:r w:rsidR="00BC2AE9" w:rsidRPr="00AC4AEA">
        <w:rPr>
          <w:rFonts w:ascii="Arial" w:hAnsi="Arial" w:cs="Arial"/>
          <w:sz w:val="20"/>
        </w:rPr>
        <w:t xml:space="preserve">e </w:t>
      </w:r>
      <w:r w:rsidR="00287A3A" w:rsidRPr="00AC4AEA">
        <w:rPr>
          <w:rFonts w:ascii="Arial" w:hAnsi="Arial" w:cs="Arial"/>
          <w:sz w:val="20"/>
        </w:rPr>
        <w:t>origen externo:</w:t>
      </w:r>
    </w:p>
    <w:p w:rsidR="00287A3A" w:rsidRPr="00AC4AEA" w:rsidRDefault="00AD020A" w:rsidP="00A318EA">
      <w:pPr>
        <w:pStyle w:val="A-Normal11"/>
        <w:numPr>
          <w:ilvl w:val="2"/>
          <w:numId w:val="29"/>
        </w:numPr>
        <w:ind w:left="1985" w:hanging="142"/>
        <w:jc w:val="both"/>
        <w:rPr>
          <w:rFonts w:ascii="Arial" w:hAnsi="Arial" w:cs="Arial"/>
          <w:sz w:val="20"/>
        </w:rPr>
      </w:pPr>
      <w:r w:rsidRPr="00AC4AEA">
        <w:rPr>
          <w:rFonts w:ascii="Arial" w:hAnsi="Arial" w:cs="Arial"/>
          <w:sz w:val="20"/>
        </w:rPr>
        <w:t>D</w:t>
      </w:r>
      <w:r w:rsidR="00287A3A" w:rsidRPr="00AC4AEA">
        <w:rPr>
          <w:rFonts w:ascii="Arial" w:hAnsi="Arial" w:cs="Arial"/>
          <w:sz w:val="20"/>
        </w:rPr>
        <w:t>eclinaciones (</w:t>
      </w:r>
      <w:r w:rsidR="002979E6" w:rsidRPr="00AC4AEA">
        <w:rPr>
          <w:rFonts w:ascii="Arial" w:hAnsi="Arial" w:cs="Arial"/>
          <w:sz w:val="20"/>
        </w:rPr>
        <w:t>aumentos</w:t>
      </w:r>
      <w:r w:rsidR="00287A3A" w:rsidRPr="00AC4AEA">
        <w:rPr>
          <w:rFonts w:ascii="Arial" w:hAnsi="Arial" w:cs="Arial"/>
          <w:sz w:val="20"/>
        </w:rPr>
        <w:t>) en los valores de mercado de los bienes superiores a las que deberían esperarse con motivo del mero transcurso del tiempo</w:t>
      </w:r>
      <w:r w:rsidR="00761345" w:rsidRPr="00AC4AEA">
        <w:rPr>
          <w:rFonts w:ascii="Arial" w:hAnsi="Arial" w:cs="Arial"/>
          <w:sz w:val="20"/>
        </w:rPr>
        <w:t>.</w:t>
      </w:r>
    </w:p>
    <w:p w:rsidR="00287A3A" w:rsidRPr="00AC4AEA" w:rsidRDefault="00AD020A" w:rsidP="00A318EA">
      <w:pPr>
        <w:pStyle w:val="A-Normal11"/>
        <w:numPr>
          <w:ilvl w:val="2"/>
          <w:numId w:val="29"/>
        </w:numPr>
        <w:ind w:left="1985" w:hanging="142"/>
        <w:jc w:val="both"/>
        <w:rPr>
          <w:rFonts w:ascii="Arial" w:hAnsi="Arial" w:cs="Arial"/>
          <w:sz w:val="20"/>
        </w:rPr>
      </w:pPr>
      <w:r w:rsidRPr="00AC4AEA">
        <w:rPr>
          <w:rFonts w:ascii="Arial" w:hAnsi="Arial" w:cs="Arial"/>
          <w:sz w:val="20"/>
        </w:rPr>
        <w:t>C</w:t>
      </w:r>
      <w:r w:rsidR="00287A3A" w:rsidRPr="00AC4AEA">
        <w:rPr>
          <w:rFonts w:ascii="Arial" w:hAnsi="Arial" w:cs="Arial"/>
          <w:sz w:val="20"/>
        </w:rPr>
        <w:t>ambios</w:t>
      </w:r>
      <w:r w:rsidR="00C11E9E" w:rsidRPr="00AC4AEA">
        <w:rPr>
          <w:rFonts w:ascii="Arial" w:hAnsi="Arial" w:cs="Arial"/>
          <w:sz w:val="20"/>
        </w:rPr>
        <w:t xml:space="preserve"> significativamente desfavorables (favorables) para la entidad,</w:t>
      </w:r>
      <w:r w:rsidR="00287A3A" w:rsidRPr="00AC4AEA">
        <w:rPr>
          <w:rFonts w:ascii="Arial" w:hAnsi="Arial" w:cs="Arial"/>
          <w:sz w:val="20"/>
        </w:rPr>
        <w:t xml:space="preserve"> ocurridos o </w:t>
      </w:r>
      <w:r w:rsidR="00C11E9E" w:rsidRPr="00AC4AEA">
        <w:rPr>
          <w:rFonts w:ascii="Arial" w:hAnsi="Arial" w:cs="Arial"/>
          <w:sz w:val="20"/>
        </w:rPr>
        <w:t>esperados</w:t>
      </w:r>
      <w:r w:rsidR="00287A3A" w:rsidRPr="00AC4AEA">
        <w:rPr>
          <w:rFonts w:ascii="Arial" w:hAnsi="Arial" w:cs="Arial"/>
          <w:sz w:val="20"/>
        </w:rPr>
        <w:t xml:space="preserve"> </w:t>
      </w:r>
      <w:r w:rsidR="00C11E9E" w:rsidRPr="00AC4AEA">
        <w:rPr>
          <w:rFonts w:ascii="Arial" w:hAnsi="Arial" w:cs="Arial"/>
          <w:sz w:val="20"/>
        </w:rPr>
        <w:t xml:space="preserve">próximamente </w:t>
      </w:r>
      <w:r w:rsidR="00287A3A" w:rsidRPr="00AC4AEA">
        <w:rPr>
          <w:rFonts w:ascii="Arial" w:hAnsi="Arial" w:cs="Arial"/>
          <w:sz w:val="20"/>
        </w:rPr>
        <w:t xml:space="preserve">en </w:t>
      </w:r>
      <w:r w:rsidR="00C11E9E" w:rsidRPr="00AC4AEA">
        <w:rPr>
          <w:rFonts w:ascii="Arial" w:hAnsi="Arial" w:cs="Arial"/>
          <w:sz w:val="20"/>
        </w:rPr>
        <w:t xml:space="preserve">sus entornos </w:t>
      </w:r>
      <w:r w:rsidR="004C3CC8" w:rsidRPr="00AC4AEA">
        <w:rPr>
          <w:rFonts w:ascii="Arial" w:hAnsi="Arial" w:cs="Arial"/>
          <w:sz w:val="20"/>
        </w:rPr>
        <w:t xml:space="preserve">económico, </w:t>
      </w:r>
      <w:r w:rsidR="00287A3A" w:rsidRPr="00AC4AEA">
        <w:rPr>
          <w:rFonts w:ascii="Arial" w:hAnsi="Arial" w:cs="Arial"/>
          <w:sz w:val="20"/>
        </w:rPr>
        <w:t>tecnológico o legal</w:t>
      </w:r>
      <w:r w:rsidR="00761345" w:rsidRPr="00AC4AEA">
        <w:rPr>
          <w:rFonts w:ascii="Arial" w:hAnsi="Arial" w:cs="Arial"/>
          <w:sz w:val="20"/>
        </w:rPr>
        <w:t>.</w:t>
      </w:r>
    </w:p>
    <w:p w:rsidR="00287A3A" w:rsidRPr="00AC4AEA" w:rsidRDefault="00AD020A" w:rsidP="00A318EA">
      <w:pPr>
        <w:pStyle w:val="A-Normal11"/>
        <w:numPr>
          <w:ilvl w:val="2"/>
          <w:numId w:val="29"/>
        </w:numPr>
        <w:ind w:left="1985" w:hanging="142"/>
        <w:jc w:val="both"/>
        <w:rPr>
          <w:rFonts w:ascii="Arial" w:hAnsi="Arial" w:cs="Arial"/>
          <w:sz w:val="20"/>
        </w:rPr>
      </w:pPr>
      <w:r w:rsidRPr="00AC4AEA">
        <w:rPr>
          <w:rFonts w:ascii="Arial" w:hAnsi="Arial" w:cs="Arial"/>
          <w:sz w:val="20"/>
        </w:rPr>
        <w:t>A</w:t>
      </w:r>
      <w:r w:rsidR="00287A3A" w:rsidRPr="00AC4AEA">
        <w:rPr>
          <w:rFonts w:ascii="Arial" w:hAnsi="Arial" w:cs="Arial"/>
          <w:sz w:val="20"/>
        </w:rPr>
        <w:t xml:space="preserve">umentos (disminuciones) en las tasas de interés que afecten la tasa de descuento utilizada para calcular el </w:t>
      </w:r>
      <w:r w:rsidR="00287A3A" w:rsidRPr="00AC4AEA">
        <w:rPr>
          <w:rFonts w:ascii="Arial" w:hAnsi="Arial" w:cs="Arial"/>
          <w:b/>
          <w:bCs/>
          <w:sz w:val="20"/>
        </w:rPr>
        <w:t>valor de uso</w:t>
      </w:r>
      <w:r w:rsidR="00287A3A" w:rsidRPr="00AC4AEA">
        <w:rPr>
          <w:rFonts w:ascii="Arial" w:hAnsi="Arial" w:cs="Arial"/>
          <w:sz w:val="20"/>
        </w:rPr>
        <w:t xml:space="preserve"> del </w:t>
      </w:r>
      <w:r w:rsidR="00287A3A" w:rsidRPr="00AC4AEA">
        <w:rPr>
          <w:rFonts w:ascii="Arial" w:hAnsi="Arial" w:cs="Arial"/>
          <w:b/>
          <w:bCs/>
          <w:sz w:val="20"/>
        </w:rPr>
        <w:t>activo</w:t>
      </w:r>
      <w:r w:rsidR="00287A3A" w:rsidRPr="00AC4AEA">
        <w:rPr>
          <w:rFonts w:ascii="Arial" w:hAnsi="Arial" w:cs="Arial"/>
          <w:sz w:val="20"/>
        </w:rPr>
        <w:t xml:space="preserve">, disminuyendo (aumentando) su </w:t>
      </w:r>
      <w:r w:rsidR="00A06C32" w:rsidRPr="00AC4AEA">
        <w:rPr>
          <w:rFonts w:ascii="Arial" w:hAnsi="Arial" w:cs="Arial"/>
          <w:b/>
          <w:bCs/>
          <w:sz w:val="20"/>
        </w:rPr>
        <w:t>valor recuperable</w:t>
      </w:r>
      <w:r w:rsidR="00C11E9E" w:rsidRPr="00AC4AEA">
        <w:rPr>
          <w:rFonts w:ascii="Arial" w:hAnsi="Arial" w:cs="Arial"/>
          <w:sz w:val="20"/>
        </w:rPr>
        <w:t xml:space="preserve"> </w:t>
      </w:r>
      <w:r w:rsidR="006A5700" w:rsidRPr="00AC4AEA">
        <w:rPr>
          <w:rFonts w:ascii="Arial" w:hAnsi="Arial" w:cs="Arial"/>
          <w:sz w:val="20"/>
        </w:rPr>
        <w:t>de forma</w:t>
      </w:r>
      <w:r w:rsidR="002979E6" w:rsidRPr="00AC4AEA">
        <w:rPr>
          <w:rFonts w:ascii="Arial" w:hAnsi="Arial" w:cs="Arial"/>
          <w:sz w:val="20"/>
        </w:rPr>
        <w:t xml:space="preserve"> </w:t>
      </w:r>
      <w:r w:rsidR="00287A3A" w:rsidRPr="00AC4AEA">
        <w:rPr>
          <w:rFonts w:ascii="Arial" w:hAnsi="Arial" w:cs="Arial"/>
          <w:sz w:val="20"/>
        </w:rPr>
        <w:t>significativa</w:t>
      </w:r>
      <w:r w:rsidR="00761345" w:rsidRPr="00AC4AEA">
        <w:rPr>
          <w:rFonts w:ascii="Arial" w:hAnsi="Arial" w:cs="Arial"/>
          <w:sz w:val="20"/>
        </w:rPr>
        <w:t>.</w:t>
      </w:r>
    </w:p>
    <w:p w:rsidR="00287A3A" w:rsidRPr="00AC4AEA" w:rsidRDefault="00AD020A" w:rsidP="00A318EA">
      <w:pPr>
        <w:pStyle w:val="A-Normal11"/>
        <w:numPr>
          <w:ilvl w:val="2"/>
          <w:numId w:val="29"/>
        </w:numPr>
        <w:ind w:left="1985" w:hanging="142"/>
        <w:jc w:val="both"/>
        <w:rPr>
          <w:rFonts w:ascii="Arial" w:hAnsi="Arial" w:cs="Arial"/>
          <w:sz w:val="20"/>
        </w:rPr>
      </w:pPr>
      <w:r w:rsidRPr="00AC4AEA">
        <w:rPr>
          <w:rFonts w:ascii="Arial" w:hAnsi="Arial" w:cs="Arial"/>
          <w:sz w:val="20"/>
        </w:rPr>
        <w:t>D</w:t>
      </w:r>
      <w:r w:rsidR="00287A3A" w:rsidRPr="00AC4AEA">
        <w:rPr>
          <w:rFonts w:ascii="Arial" w:hAnsi="Arial" w:cs="Arial"/>
          <w:sz w:val="20"/>
        </w:rPr>
        <w:t>isminución (aumento) del valor total de las acciones d</w:t>
      </w:r>
      <w:r w:rsidR="00C60041" w:rsidRPr="00AC4AEA">
        <w:rPr>
          <w:rFonts w:ascii="Arial" w:hAnsi="Arial" w:cs="Arial"/>
          <w:sz w:val="20"/>
        </w:rPr>
        <w:t>e la entidad</w:t>
      </w:r>
      <w:r w:rsidR="00287A3A" w:rsidRPr="00AC4AEA">
        <w:rPr>
          <w:rFonts w:ascii="Arial" w:hAnsi="Arial" w:cs="Arial"/>
          <w:sz w:val="20"/>
        </w:rPr>
        <w:t xml:space="preserve"> no atribuibles a las variaciones de su </w:t>
      </w:r>
      <w:r w:rsidR="00287A3A" w:rsidRPr="00AC4AEA">
        <w:rPr>
          <w:rFonts w:ascii="Arial" w:hAnsi="Arial" w:cs="Arial"/>
          <w:b/>
          <w:bCs/>
          <w:sz w:val="20"/>
        </w:rPr>
        <w:t xml:space="preserve">patrimonio </w:t>
      </w:r>
      <w:r w:rsidR="006467CE" w:rsidRPr="00AC4AEA">
        <w:rPr>
          <w:rFonts w:ascii="Arial" w:hAnsi="Arial" w:cs="Arial"/>
          <w:b/>
          <w:bCs/>
          <w:sz w:val="20"/>
        </w:rPr>
        <w:t>neto</w:t>
      </w:r>
      <w:r w:rsidR="006467CE" w:rsidRPr="00AC4AEA">
        <w:rPr>
          <w:rFonts w:ascii="Arial" w:hAnsi="Arial" w:cs="Arial"/>
          <w:sz w:val="20"/>
        </w:rPr>
        <w:t xml:space="preserve"> </w:t>
      </w:r>
      <w:r w:rsidR="00287A3A" w:rsidRPr="00AC4AEA">
        <w:rPr>
          <w:rFonts w:ascii="Arial" w:hAnsi="Arial" w:cs="Arial"/>
          <w:sz w:val="20"/>
        </w:rPr>
        <w:t>contable</w:t>
      </w:r>
      <w:r w:rsidR="00BD3731" w:rsidRPr="00AC4AEA">
        <w:rPr>
          <w:rFonts w:ascii="Arial" w:hAnsi="Arial" w:cs="Arial"/>
          <w:sz w:val="20"/>
        </w:rPr>
        <w:t>.</w:t>
      </w:r>
    </w:p>
    <w:p w:rsidR="00287A3A" w:rsidRPr="00AC4AEA" w:rsidRDefault="00AD020A" w:rsidP="00A318EA">
      <w:pPr>
        <w:pStyle w:val="A-Normal11"/>
        <w:numPr>
          <w:ilvl w:val="1"/>
          <w:numId w:val="29"/>
        </w:numPr>
        <w:ind w:left="1560"/>
        <w:jc w:val="both"/>
        <w:rPr>
          <w:rFonts w:ascii="Arial" w:hAnsi="Arial" w:cs="Arial"/>
          <w:sz w:val="20"/>
        </w:rPr>
      </w:pPr>
      <w:r w:rsidRPr="00AC4AEA">
        <w:rPr>
          <w:rFonts w:ascii="Arial" w:hAnsi="Arial" w:cs="Arial"/>
          <w:sz w:val="20"/>
        </w:rPr>
        <w:t>D</w:t>
      </w:r>
      <w:r w:rsidR="00287A3A" w:rsidRPr="00AC4AEA">
        <w:rPr>
          <w:rFonts w:ascii="Arial" w:hAnsi="Arial" w:cs="Arial"/>
          <w:sz w:val="20"/>
        </w:rPr>
        <w:t>e origen interno:</w:t>
      </w:r>
    </w:p>
    <w:p w:rsidR="00287A3A" w:rsidRPr="00AC4AEA" w:rsidRDefault="00AD020A" w:rsidP="00A318EA">
      <w:pPr>
        <w:pStyle w:val="A-Normal11"/>
        <w:numPr>
          <w:ilvl w:val="2"/>
          <w:numId w:val="29"/>
        </w:numPr>
        <w:ind w:left="1985" w:hanging="142"/>
        <w:jc w:val="both"/>
        <w:rPr>
          <w:rFonts w:ascii="Arial" w:hAnsi="Arial" w:cs="Arial"/>
          <w:sz w:val="20"/>
        </w:rPr>
      </w:pPr>
      <w:r w:rsidRPr="00AC4AEA">
        <w:rPr>
          <w:rFonts w:ascii="Arial" w:hAnsi="Arial" w:cs="Arial"/>
          <w:sz w:val="20"/>
        </w:rPr>
        <w:t>E</w:t>
      </w:r>
      <w:r w:rsidR="00287A3A" w:rsidRPr="00AC4AEA">
        <w:rPr>
          <w:rFonts w:ascii="Arial" w:hAnsi="Arial" w:cs="Arial"/>
          <w:sz w:val="20"/>
        </w:rPr>
        <w:t xml:space="preserve">videncias de obsolescencia o daño físico del </w:t>
      </w:r>
      <w:r w:rsidR="00287A3A" w:rsidRPr="00AC4AEA">
        <w:rPr>
          <w:rFonts w:ascii="Arial" w:hAnsi="Arial" w:cs="Arial"/>
          <w:b/>
          <w:bCs/>
          <w:sz w:val="20"/>
        </w:rPr>
        <w:t>activo</w:t>
      </w:r>
      <w:r w:rsidR="00761345" w:rsidRPr="00AC4AEA">
        <w:rPr>
          <w:rFonts w:ascii="Arial" w:hAnsi="Arial" w:cs="Arial"/>
          <w:sz w:val="20"/>
        </w:rPr>
        <w:t>.</w:t>
      </w:r>
    </w:p>
    <w:p w:rsidR="00287A3A" w:rsidRPr="00AC4AEA" w:rsidRDefault="00AD020A" w:rsidP="00A318EA">
      <w:pPr>
        <w:pStyle w:val="A-Normal11"/>
        <w:numPr>
          <w:ilvl w:val="2"/>
          <w:numId w:val="29"/>
        </w:numPr>
        <w:ind w:left="1985" w:hanging="142"/>
        <w:jc w:val="both"/>
        <w:rPr>
          <w:rFonts w:ascii="Arial" w:hAnsi="Arial" w:cs="Arial"/>
          <w:sz w:val="20"/>
        </w:rPr>
      </w:pPr>
      <w:r w:rsidRPr="00AC4AEA">
        <w:rPr>
          <w:rFonts w:ascii="Arial" w:hAnsi="Arial" w:cs="Arial"/>
          <w:sz w:val="20"/>
        </w:rPr>
        <w:t>C</w:t>
      </w:r>
      <w:r w:rsidR="00287A3A" w:rsidRPr="00AC4AEA">
        <w:rPr>
          <w:rFonts w:ascii="Arial" w:hAnsi="Arial" w:cs="Arial"/>
          <w:sz w:val="20"/>
        </w:rPr>
        <w:t xml:space="preserve">ambios ocurridos o </w:t>
      </w:r>
      <w:r w:rsidR="00C11E9E" w:rsidRPr="00AC4AEA">
        <w:rPr>
          <w:rFonts w:ascii="Arial" w:hAnsi="Arial" w:cs="Arial"/>
          <w:sz w:val="20"/>
        </w:rPr>
        <w:t>esperados</w:t>
      </w:r>
      <w:r w:rsidR="00287A3A" w:rsidRPr="00AC4AEA">
        <w:rPr>
          <w:rFonts w:ascii="Arial" w:hAnsi="Arial" w:cs="Arial"/>
          <w:sz w:val="20"/>
        </w:rPr>
        <w:t xml:space="preserve"> próximamente </w:t>
      </w:r>
      <w:r w:rsidR="00C11E9E" w:rsidRPr="00AC4AEA">
        <w:rPr>
          <w:rFonts w:ascii="Arial" w:hAnsi="Arial" w:cs="Arial"/>
          <w:sz w:val="20"/>
        </w:rPr>
        <w:t xml:space="preserve">por el modo de uso de </w:t>
      </w:r>
      <w:r w:rsidR="004C3CC8" w:rsidRPr="00AC4AEA">
        <w:rPr>
          <w:rFonts w:ascii="Arial" w:hAnsi="Arial" w:cs="Arial"/>
          <w:sz w:val="20"/>
        </w:rPr>
        <w:t xml:space="preserve">sus </w:t>
      </w:r>
      <w:r w:rsidR="00497590" w:rsidRPr="00AC4AEA">
        <w:rPr>
          <w:rFonts w:ascii="Arial" w:hAnsi="Arial" w:cs="Arial"/>
          <w:sz w:val="20"/>
        </w:rPr>
        <w:t>activos</w:t>
      </w:r>
      <w:r w:rsidR="00287A3A" w:rsidRPr="00AC4AEA">
        <w:rPr>
          <w:rFonts w:ascii="Arial" w:hAnsi="Arial" w:cs="Arial"/>
          <w:sz w:val="20"/>
        </w:rPr>
        <w:t xml:space="preserve">, como los motivados por planes de </w:t>
      </w:r>
      <w:r w:rsidR="00C11E9E" w:rsidRPr="00AC4AEA">
        <w:rPr>
          <w:rFonts w:ascii="Arial" w:hAnsi="Arial" w:cs="Arial"/>
          <w:sz w:val="20"/>
        </w:rPr>
        <w:t xml:space="preserve">discontinuación </w:t>
      </w:r>
      <w:r w:rsidR="00287A3A" w:rsidRPr="00AC4AEA">
        <w:rPr>
          <w:rFonts w:ascii="Arial" w:hAnsi="Arial" w:cs="Arial"/>
          <w:sz w:val="20"/>
        </w:rPr>
        <w:t xml:space="preserve">o reestructuración de operaciones o por </w:t>
      </w:r>
      <w:r w:rsidR="00C11E9E" w:rsidRPr="00AC4AEA">
        <w:rPr>
          <w:rFonts w:ascii="Arial" w:hAnsi="Arial" w:cs="Arial"/>
          <w:sz w:val="20"/>
        </w:rPr>
        <w:t xml:space="preserve">la decisión de venderlos </w:t>
      </w:r>
      <w:r w:rsidR="00287A3A" w:rsidRPr="00AC4AEA">
        <w:rPr>
          <w:rFonts w:ascii="Arial" w:hAnsi="Arial" w:cs="Arial"/>
          <w:sz w:val="20"/>
        </w:rPr>
        <w:t xml:space="preserve">antes de la fecha originalmente prevista (o </w:t>
      </w:r>
      <w:r w:rsidR="0062597F" w:rsidRPr="00AC4AEA">
        <w:rPr>
          <w:rFonts w:ascii="Arial" w:hAnsi="Arial" w:cs="Arial"/>
          <w:sz w:val="20"/>
        </w:rPr>
        <w:t>por efectuarse</w:t>
      </w:r>
      <w:r w:rsidR="00287A3A" w:rsidRPr="00AC4AEA">
        <w:rPr>
          <w:rFonts w:ascii="Arial" w:hAnsi="Arial" w:cs="Arial"/>
          <w:sz w:val="20"/>
        </w:rPr>
        <w:t xml:space="preserve"> mejoras que incrementan </w:t>
      </w:r>
      <w:r w:rsidR="00C11E9E" w:rsidRPr="00AC4AEA">
        <w:rPr>
          <w:rFonts w:ascii="Arial" w:hAnsi="Arial" w:cs="Arial"/>
          <w:sz w:val="20"/>
        </w:rPr>
        <w:t xml:space="preserve">sus </w:t>
      </w:r>
      <w:r w:rsidR="00287A3A" w:rsidRPr="00AC4AEA">
        <w:rPr>
          <w:rFonts w:ascii="Arial" w:hAnsi="Arial" w:cs="Arial"/>
          <w:sz w:val="20"/>
        </w:rPr>
        <w:t>prestaciones</w:t>
      </w:r>
      <w:r w:rsidR="00761345" w:rsidRPr="00AC4AEA">
        <w:rPr>
          <w:rFonts w:ascii="Arial" w:hAnsi="Arial" w:cs="Arial"/>
          <w:sz w:val="20"/>
        </w:rPr>
        <w:t>).</w:t>
      </w:r>
    </w:p>
    <w:p w:rsidR="00287A3A" w:rsidRPr="00AC4AEA" w:rsidRDefault="003E066C" w:rsidP="00A318EA">
      <w:pPr>
        <w:pStyle w:val="A-Normal11"/>
        <w:numPr>
          <w:ilvl w:val="2"/>
          <w:numId w:val="29"/>
        </w:numPr>
        <w:ind w:left="1985" w:hanging="142"/>
        <w:jc w:val="both"/>
        <w:rPr>
          <w:rFonts w:ascii="Arial" w:hAnsi="Arial" w:cs="Arial"/>
          <w:sz w:val="20"/>
        </w:rPr>
      </w:pPr>
      <w:r w:rsidRPr="00AC4AEA">
        <w:rPr>
          <w:rFonts w:ascii="Arial" w:hAnsi="Arial" w:cs="Arial"/>
          <w:sz w:val="20"/>
        </w:rPr>
        <w:t>E</w:t>
      </w:r>
      <w:r w:rsidR="00287A3A" w:rsidRPr="00AC4AEA">
        <w:rPr>
          <w:rFonts w:ascii="Arial" w:hAnsi="Arial" w:cs="Arial"/>
          <w:sz w:val="20"/>
        </w:rPr>
        <w:t xml:space="preserve">videncias de que las prestaciones de los </w:t>
      </w:r>
      <w:r w:rsidR="00497590" w:rsidRPr="00AC4AEA">
        <w:rPr>
          <w:rFonts w:ascii="Arial" w:hAnsi="Arial" w:cs="Arial"/>
          <w:sz w:val="20"/>
        </w:rPr>
        <w:t>activos</w:t>
      </w:r>
      <w:r w:rsidR="00287A3A" w:rsidRPr="00AC4AEA">
        <w:rPr>
          <w:rFonts w:ascii="Arial" w:hAnsi="Arial" w:cs="Arial"/>
          <w:sz w:val="20"/>
        </w:rPr>
        <w:t xml:space="preserve"> son peores (mejores) que las previstas</w:t>
      </w:r>
      <w:r w:rsidR="00260ABA" w:rsidRPr="00AC4AEA">
        <w:rPr>
          <w:rFonts w:ascii="Arial" w:hAnsi="Arial" w:cs="Arial"/>
          <w:sz w:val="20"/>
        </w:rPr>
        <w:t xml:space="preserve"> anteriormente</w:t>
      </w:r>
      <w:r w:rsidR="00761345" w:rsidRPr="00AC4AEA">
        <w:rPr>
          <w:rFonts w:ascii="Arial" w:hAnsi="Arial" w:cs="Arial"/>
          <w:sz w:val="20"/>
        </w:rPr>
        <w:t>.</w:t>
      </w:r>
    </w:p>
    <w:p w:rsidR="00287A3A" w:rsidRPr="00AC4AEA" w:rsidRDefault="003E066C" w:rsidP="00A318EA">
      <w:pPr>
        <w:pStyle w:val="A-Normal11"/>
        <w:numPr>
          <w:ilvl w:val="2"/>
          <w:numId w:val="29"/>
        </w:numPr>
        <w:ind w:left="1985" w:hanging="142"/>
        <w:jc w:val="both"/>
        <w:rPr>
          <w:rFonts w:ascii="Arial" w:hAnsi="Arial" w:cs="Arial"/>
          <w:sz w:val="20"/>
        </w:rPr>
      </w:pPr>
      <w:r w:rsidRPr="00AC4AEA">
        <w:rPr>
          <w:rFonts w:ascii="Arial" w:hAnsi="Arial" w:cs="Arial"/>
          <w:sz w:val="20"/>
        </w:rPr>
        <w:t>E</w:t>
      </w:r>
      <w:r w:rsidR="00287A3A" w:rsidRPr="00AC4AEA">
        <w:rPr>
          <w:rFonts w:ascii="Arial" w:hAnsi="Arial" w:cs="Arial"/>
          <w:sz w:val="20"/>
        </w:rPr>
        <w:t xml:space="preserve">xpectativas (desaparición de </w:t>
      </w:r>
      <w:r w:rsidR="007E020E" w:rsidRPr="00AC4AEA">
        <w:rPr>
          <w:rFonts w:ascii="Arial" w:hAnsi="Arial" w:cs="Arial"/>
          <w:sz w:val="20"/>
        </w:rPr>
        <w:t>expectativas</w:t>
      </w:r>
      <w:r w:rsidR="00287A3A" w:rsidRPr="00AC4AEA">
        <w:rPr>
          <w:rFonts w:ascii="Arial" w:hAnsi="Arial" w:cs="Arial"/>
          <w:sz w:val="20"/>
        </w:rPr>
        <w:t>) de pérdidas operativas futuras</w:t>
      </w:r>
      <w:r w:rsidR="00761345" w:rsidRPr="00AC4AEA">
        <w:rPr>
          <w:rFonts w:ascii="Arial" w:hAnsi="Arial" w:cs="Arial"/>
          <w:sz w:val="20"/>
        </w:rPr>
        <w:t>.</w:t>
      </w:r>
    </w:p>
    <w:p w:rsidR="00287A3A" w:rsidRPr="00AC4AEA" w:rsidRDefault="00AD020A" w:rsidP="00A318EA">
      <w:pPr>
        <w:pStyle w:val="A-Normal11"/>
        <w:numPr>
          <w:ilvl w:val="1"/>
          <w:numId w:val="29"/>
        </w:numPr>
        <w:ind w:left="1560"/>
        <w:jc w:val="both"/>
        <w:rPr>
          <w:rFonts w:ascii="Arial" w:hAnsi="Arial" w:cs="Arial"/>
          <w:sz w:val="20"/>
        </w:rPr>
      </w:pPr>
      <w:r w:rsidRPr="00AC4AEA">
        <w:rPr>
          <w:rFonts w:ascii="Arial" w:hAnsi="Arial" w:cs="Arial"/>
          <w:sz w:val="20"/>
        </w:rPr>
        <w:t>L</w:t>
      </w:r>
      <w:r w:rsidR="00287A3A" w:rsidRPr="00AC4AEA">
        <w:rPr>
          <w:rFonts w:ascii="Arial" w:hAnsi="Arial" w:cs="Arial"/>
          <w:sz w:val="20"/>
        </w:rPr>
        <w:t xml:space="preserve">as brechas observadas en anteriores comparaciones de las </w:t>
      </w:r>
      <w:r w:rsidR="00295953" w:rsidRPr="00AC4AEA">
        <w:rPr>
          <w:rFonts w:ascii="Arial" w:hAnsi="Arial" w:cs="Arial"/>
          <w:sz w:val="20"/>
        </w:rPr>
        <w:t>mediciones</w:t>
      </w:r>
      <w:r w:rsidR="00287A3A" w:rsidRPr="00AC4AEA">
        <w:rPr>
          <w:rFonts w:ascii="Arial" w:hAnsi="Arial" w:cs="Arial"/>
          <w:sz w:val="20"/>
        </w:rPr>
        <w:t xml:space="preserve"> contables con </w:t>
      </w:r>
      <w:r w:rsidR="00EC0123" w:rsidRPr="00AC4AEA">
        <w:rPr>
          <w:rFonts w:ascii="Arial" w:hAnsi="Arial" w:cs="Arial"/>
          <w:sz w:val="20"/>
        </w:rPr>
        <w:t xml:space="preserve">el </w:t>
      </w:r>
      <w:r w:rsidR="00EC0123" w:rsidRPr="00AC4AEA">
        <w:rPr>
          <w:rFonts w:ascii="Arial" w:hAnsi="Arial" w:cs="Arial"/>
          <w:b/>
          <w:bCs/>
          <w:sz w:val="20"/>
        </w:rPr>
        <w:t>valor recuperable</w:t>
      </w:r>
      <w:r w:rsidR="00287A3A" w:rsidRPr="00AC4AEA">
        <w:rPr>
          <w:rFonts w:ascii="Arial" w:hAnsi="Arial" w:cs="Arial"/>
          <w:sz w:val="20"/>
        </w:rPr>
        <w:t xml:space="preserve"> de los bienes.</w:t>
      </w:r>
    </w:p>
    <w:p w:rsidR="00FD7822" w:rsidRPr="00AC4AEA" w:rsidRDefault="00FD7822" w:rsidP="00A318EA">
      <w:pPr>
        <w:pStyle w:val="A-Normal11"/>
        <w:numPr>
          <w:ilvl w:val="0"/>
          <w:numId w:val="29"/>
        </w:numPr>
        <w:jc w:val="both"/>
        <w:rPr>
          <w:rFonts w:ascii="Arial" w:hAnsi="Arial" w:cs="Arial"/>
          <w:sz w:val="20"/>
        </w:rPr>
      </w:pPr>
      <w:r w:rsidRPr="00AC4AEA">
        <w:rPr>
          <w:rFonts w:ascii="Arial" w:hAnsi="Arial" w:cs="Arial"/>
          <w:sz w:val="20"/>
        </w:rPr>
        <w:t xml:space="preserve">Una entidad no necesitará volver a estimar el </w:t>
      </w:r>
      <w:r w:rsidRPr="00AC4AEA">
        <w:rPr>
          <w:rFonts w:ascii="Arial" w:hAnsi="Arial" w:cs="Arial"/>
          <w:b/>
          <w:bCs/>
          <w:sz w:val="20"/>
        </w:rPr>
        <w:t>valor recuperable</w:t>
      </w:r>
      <w:r w:rsidRPr="00AC4AEA">
        <w:rPr>
          <w:rFonts w:ascii="Arial" w:hAnsi="Arial" w:cs="Arial"/>
          <w:sz w:val="20"/>
        </w:rPr>
        <w:t xml:space="preserve"> (incluso en aquellos casos en que en que esta norma exija comparaciones anuales) cuando se cumplan simultáneamente, las siguientes condiciones:</w:t>
      </w:r>
    </w:p>
    <w:p w:rsidR="00FD7822" w:rsidRPr="00AC4AEA" w:rsidRDefault="00FD7822" w:rsidP="00A318EA">
      <w:pPr>
        <w:pStyle w:val="A-Normal11"/>
        <w:numPr>
          <w:ilvl w:val="1"/>
          <w:numId w:val="29"/>
        </w:numPr>
        <w:ind w:left="1560"/>
        <w:jc w:val="both"/>
        <w:rPr>
          <w:rFonts w:ascii="Arial" w:hAnsi="Arial" w:cs="Arial"/>
          <w:sz w:val="20"/>
        </w:rPr>
      </w:pPr>
      <w:r w:rsidRPr="00AC4AEA">
        <w:rPr>
          <w:rFonts w:ascii="Arial" w:hAnsi="Arial" w:cs="Arial"/>
          <w:sz w:val="20"/>
        </w:rPr>
        <w:lastRenderedPageBreak/>
        <w:t xml:space="preserve">el </w:t>
      </w:r>
      <w:r w:rsidRPr="00AC4AEA">
        <w:rPr>
          <w:rFonts w:ascii="Arial" w:hAnsi="Arial" w:cs="Arial"/>
          <w:b/>
          <w:bCs/>
          <w:sz w:val="20"/>
        </w:rPr>
        <w:t>valor recuperable</w:t>
      </w:r>
      <w:r w:rsidRPr="00AC4AEA">
        <w:rPr>
          <w:rFonts w:ascii="Arial" w:hAnsi="Arial" w:cs="Arial"/>
          <w:sz w:val="20"/>
        </w:rPr>
        <w:t xml:space="preserve"> resultó, al momento de efectuarse la última comparación, significativamente mayor que la </w:t>
      </w:r>
      <w:r w:rsidR="00396917" w:rsidRPr="00AC4AEA">
        <w:rPr>
          <w:rFonts w:ascii="Arial" w:hAnsi="Arial" w:cs="Arial"/>
          <w:sz w:val="20"/>
        </w:rPr>
        <w:t>medició</w:t>
      </w:r>
      <w:r w:rsidR="00295953" w:rsidRPr="00AC4AEA">
        <w:rPr>
          <w:rFonts w:ascii="Arial" w:hAnsi="Arial" w:cs="Arial"/>
          <w:sz w:val="20"/>
        </w:rPr>
        <w:t>n</w:t>
      </w:r>
      <w:r w:rsidRPr="00AC4AEA">
        <w:rPr>
          <w:rFonts w:ascii="Arial" w:hAnsi="Arial" w:cs="Arial"/>
          <w:sz w:val="20"/>
        </w:rPr>
        <w:t xml:space="preserve"> contable del </w:t>
      </w:r>
      <w:r w:rsidRPr="00AC4AEA">
        <w:rPr>
          <w:rFonts w:ascii="Arial" w:hAnsi="Arial" w:cs="Arial"/>
          <w:b/>
          <w:bCs/>
          <w:sz w:val="20"/>
        </w:rPr>
        <w:t>activo</w:t>
      </w:r>
      <w:r w:rsidRPr="00AC4AEA">
        <w:rPr>
          <w:rFonts w:ascii="Arial" w:hAnsi="Arial" w:cs="Arial"/>
          <w:sz w:val="20"/>
        </w:rPr>
        <w:t>; y</w:t>
      </w:r>
    </w:p>
    <w:p w:rsidR="00FD7822" w:rsidRPr="00AC4AEA" w:rsidRDefault="00FD7822" w:rsidP="00A318EA">
      <w:pPr>
        <w:pStyle w:val="A-Normal11"/>
        <w:numPr>
          <w:ilvl w:val="1"/>
          <w:numId w:val="29"/>
        </w:numPr>
        <w:ind w:left="1560"/>
        <w:jc w:val="both"/>
        <w:rPr>
          <w:rFonts w:ascii="Arial" w:hAnsi="Arial" w:cs="Arial"/>
          <w:sz w:val="20"/>
        </w:rPr>
      </w:pPr>
      <w:r w:rsidRPr="00AC4AEA">
        <w:rPr>
          <w:rFonts w:ascii="Arial" w:hAnsi="Arial" w:cs="Arial"/>
          <w:sz w:val="20"/>
        </w:rPr>
        <w:t xml:space="preserve">después de la última comparación no se identificaron hechos o eventos cuya </w:t>
      </w:r>
      <w:r w:rsidR="0011272D" w:rsidRPr="00AC4AEA">
        <w:rPr>
          <w:rFonts w:ascii="Arial" w:hAnsi="Arial" w:cs="Arial"/>
          <w:b/>
          <w:bCs/>
          <w:sz w:val="20"/>
        </w:rPr>
        <w:t>significación</w:t>
      </w:r>
      <w:r w:rsidRPr="00AC4AEA">
        <w:rPr>
          <w:rFonts w:ascii="Arial" w:hAnsi="Arial" w:cs="Arial"/>
          <w:sz w:val="20"/>
        </w:rPr>
        <w:t xml:space="preserve"> pudiera revertir la diferencia, de modo tal que el </w:t>
      </w:r>
      <w:r w:rsidRPr="00AC4AEA">
        <w:rPr>
          <w:rFonts w:ascii="Arial" w:hAnsi="Arial" w:cs="Arial"/>
          <w:b/>
          <w:bCs/>
          <w:sz w:val="20"/>
        </w:rPr>
        <w:t>valor recuperable</w:t>
      </w:r>
      <w:r w:rsidRPr="00AC4AEA">
        <w:rPr>
          <w:rFonts w:ascii="Arial" w:hAnsi="Arial" w:cs="Arial"/>
          <w:sz w:val="20"/>
        </w:rPr>
        <w:t xml:space="preserve"> sea inferior a la </w:t>
      </w:r>
      <w:r w:rsidR="00295953" w:rsidRPr="00AC4AEA">
        <w:rPr>
          <w:rFonts w:ascii="Arial" w:hAnsi="Arial" w:cs="Arial"/>
          <w:sz w:val="20"/>
        </w:rPr>
        <w:t>medición</w:t>
      </w:r>
      <w:r w:rsidRPr="00AC4AEA">
        <w:rPr>
          <w:rFonts w:ascii="Arial" w:hAnsi="Arial" w:cs="Arial"/>
          <w:sz w:val="20"/>
        </w:rPr>
        <w:t xml:space="preserve"> contable del</w:t>
      </w:r>
      <w:r w:rsidRPr="006F3AE5">
        <w:rPr>
          <w:rFonts w:ascii="Arial" w:hAnsi="Arial" w:cs="Arial"/>
          <w:b/>
          <w:bCs/>
          <w:sz w:val="20"/>
        </w:rPr>
        <w:t xml:space="preserve"> activo </w:t>
      </w:r>
      <w:r w:rsidRPr="00AC4AEA">
        <w:rPr>
          <w:rFonts w:ascii="Arial" w:hAnsi="Arial" w:cs="Arial"/>
          <w:sz w:val="20"/>
        </w:rPr>
        <w:t xml:space="preserve">o grupo de </w:t>
      </w:r>
      <w:r w:rsidR="00497590" w:rsidRPr="00AC4AEA">
        <w:rPr>
          <w:rFonts w:ascii="Arial" w:hAnsi="Arial" w:cs="Arial"/>
          <w:sz w:val="20"/>
        </w:rPr>
        <w:t>activos</w:t>
      </w:r>
      <w:r w:rsidRPr="00AC4AEA">
        <w:rPr>
          <w:rFonts w:ascii="Arial" w:hAnsi="Arial" w:cs="Arial"/>
          <w:sz w:val="20"/>
        </w:rPr>
        <w:t>.</w:t>
      </w:r>
    </w:p>
    <w:p w:rsidR="00FD7822" w:rsidRPr="00AC4AEA" w:rsidRDefault="00FD7822" w:rsidP="00A318EA">
      <w:pPr>
        <w:pStyle w:val="A-Normal11"/>
        <w:numPr>
          <w:ilvl w:val="0"/>
          <w:numId w:val="29"/>
        </w:numPr>
        <w:jc w:val="both"/>
        <w:rPr>
          <w:rFonts w:ascii="Arial" w:hAnsi="Arial" w:cs="Arial"/>
          <w:sz w:val="20"/>
        </w:rPr>
      </w:pPr>
      <w:r w:rsidRPr="00AC4AEA">
        <w:rPr>
          <w:rFonts w:ascii="Arial" w:hAnsi="Arial" w:cs="Arial"/>
          <w:sz w:val="20"/>
        </w:rPr>
        <w:t xml:space="preserve">A los fines de evaluar la </w:t>
      </w:r>
      <w:r w:rsidR="004559F6" w:rsidRPr="00AC4AEA">
        <w:rPr>
          <w:rFonts w:ascii="Arial" w:hAnsi="Arial" w:cs="Arial"/>
          <w:b/>
          <w:bCs/>
          <w:sz w:val="20"/>
        </w:rPr>
        <w:t>significación</w:t>
      </w:r>
      <w:r w:rsidRPr="00AC4AEA">
        <w:rPr>
          <w:rFonts w:ascii="Arial" w:hAnsi="Arial" w:cs="Arial"/>
          <w:sz w:val="20"/>
        </w:rPr>
        <w:t xml:space="preserve"> deben considerarse las </w:t>
      </w:r>
      <w:r w:rsidR="00A82EFF" w:rsidRPr="00AC4AEA">
        <w:rPr>
          <w:rFonts w:ascii="Arial" w:hAnsi="Arial" w:cs="Arial"/>
          <w:sz w:val="20"/>
        </w:rPr>
        <w:t>pautas establecidas</w:t>
      </w:r>
      <w:r w:rsidR="00FA7032" w:rsidRPr="00AC4AEA">
        <w:rPr>
          <w:rFonts w:ascii="Arial" w:hAnsi="Arial" w:cs="Arial"/>
          <w:sz w:val="20"/>
        </w:rPr>
        <w:t xml:space="preserve"> en el apartado referido a “</w:t>
      </w:r>
      <w:r w:rsidR="00FA7032" w:rsidRPr="00AC4AEA">
        <w:rPr>
          <w:rFonts w:ascii="Arial" w:hAnsi="Arial" w:cs="Arial"/>
          <w:sz w:val="20"/>
          <w:u w:val="single"/>
        </w:rPr>
        <w:t>Significación</w:t>
      </w:r>
      <w:r w:rsidR="00FA7032" w:rsidRPr="00AC4AEA">
        <w:rPr>
          <w:rFonts w:ascii="Arial" w:hAnsi="Arial" w:cs="Arial"/>
          <w:sz w:val="20"/>
        </w:rPr>
        <w:t xml:space="preserve">” [ver los párrafos </w:t>
      </w:r>
      <w:fldSimple w:instr=" REF _Ref101016209 \r \h  \* MERGEFORMAT ">
        <w:r w:rsidR="00D33A5D" w:rsidRPr="00D33A5D">
          <w:rPr>
            <w:rFonts w:ascii="Arial" w:hAnsi="Arial" w:cs="Arial"/>
            <w:sz w:val="20"/>
          </w:rPr>
          <w:t>81</w:t>
        </w:r>
      </w:fldSimple>
      <w:r w:rsidR="00FA7032" w:rsidRPr="00AC4AEA">
        <w:rPr>
          <w:rFonts w:ascii="Arial" w:hAnsi="Arial" w:cs="Arial"/>
          <w:sz w:val="20"/>
        </w:rPr>
        <w:t xml:space="preserve"> y </w:t>
      </w:r>
      <w:fldSimple w:instr=" REF _Ref75791953 \r \h  \* MERGEFORMAT ">
        <w:r w:rsidR="00D33A5D" w:rsidRPr="00D33A5D">
          <w:rPr>
            <w:rFonts w:ascii="Arial" w:hAnsi="Arial" w:cs="Arial"/>
            <w:sz w:val="20"/>
          </w:rPr>
          <w:t>82</w:t>
        </w:r>
      </w:fldSimple>
      <w:r w:rsidR="00FA7032" w:rsidRPr="00AC4AEA">
        <w:rPr>
          <w:rFonts w:ascii="Arial" w:hAnsi="Arial" w:cs="Arial"/>
          <w:sz w:val="20"/>
        </w:rPr>
        <w:t>].</w:t>
      </w:r>
    </w:p>
    <w:p w:rsidR="0062597F" w:rsidRPr="00AC4AEA" w:rsidRDefault="0062597F" w:rsidP="00A318EA">
      <w:pPr>
        <w:pStyle w:val="A-Normal11"/>
        <w:jc w:val="both"/>
        <w:rPr>
          <w:rFonts w:ascii="Arial" w:hAnsi="Arial" w:cs="Arial"/>
          <w:b/>
          <w:bCs/>
          <w:sz w:val="20"/>
        </w:rPr>
      </w:pPr>
    </w:p>
    <w:p w:rsidR="00B3773D" w:rsidRPr="00AC4AEA" w:rsidRDefault="00B3773D" w:rsidP="00A318EA">
      <w:pPr>
        <w:pStyle w:val="Ttulo2"/>
        <w:rPr>
          <w:rFonts w:cs="Arial"/>
        </w:rPr>
      </w:pPr>
      <w:bookmarkStart w:id="200" w:name="_Toc101863760"/>
      <w:bookmarkStart w:id="201" w:name="_Toc139356623"/>
      <w:r w:rsidRPr="00AC4AEA">
        <w:rPr>
          <w:rFonts w:cs="Arial"/>
        </w:rPr>
        <w:t>Medición del valor recuperable</w:t>
      </w:r>
      <w:bookmarkEnd w:id="200"/>
      <w:r w:rsidR="004140D8" w:rsidRPr="00AC4AEA">
        <w:rPr>
          <w:rFonts w:cs="Arial"/>
        </w:rPr>
        <w:t>: criterio general</w:t>
      </w:r>
      <w:bookmarkEnd w:id="201"/>
    </w:p>
    <w:p w:rsidR="00B3773D" w:rsidRPr="00AC4AEA" w:rsidRDefault="00B3773D" w:rsidP="00A318EA">
      <w:pPr>
        <w:pStyle w:val="A-Normal11"/>
        <w:numPr>
          <w:ilvl w:val="0"/>
          <w:numId w:val="29"/>
        </w:numPr>
        <w:jc w:val="both"/>
        <w:rPr>
          <w:rFonts w:ascii="Arial" w:hAnsi="Arial" w:cs="Arial"/>
          <w:sz w:val="20"/>
        </w:rPr>
      </w:pPr>
      <w:r w:rsidRPr="00AC4AEA">
        <w:rPr>
          <w:rFonts w:ascii="Arial" w:hAnsi="Arial" w:cs="Arial"/>
          <w:sz w:val="20"/>
        </w:rPr>
        <w:t xml:space="preserve">Una entidad medirá el </w:t>
      </w:r>
      <w:r w:rsidRPr="00AC4AEA">
        <w:rPr>
          <w:rFonts w:ascii="Arial" w:hAnsi="Arial" w:cs="Arial"/>
          <w:b/>
          <w:bCs/>
          <w:sz w:val="20"/>
        </w:rPr>
        <w:t>valor recuperable</w:t>
      </w:r>
      <w:r w:rsidRPr="00AC4AEA">
        <w:rPr>
          <w:rFonts w:ascii="Arial" w:hAnsi="Arial" w:cs="Arial"/>
          <w:sz w:val="20"/>
        </w:rPr>
        <w:t xml:space="preserve"> de un </w:t>
      </w:r>
      <w:r w:rsidRPr="00AC4AEA">
        <w:rPr>
          <w:rFonts w:ascii="Arial" w:hAnsi="Arial" w:cs="Arial"/>
          <w:b/>
          <w:bCs/>
          <w:sz w:val="20"/>
        </w:rPr>
        <w:t>activo</w:t>
      </w:r>
      <w:r w:rsidRPr="00AC4AEA">
        <w:rPr>
          <w:rFonts w:ascii="Arial" w:hAnsi="Arial" w:cs="Arial"/>
          <w:sz w:val="20"/>
        </w:rPr>
        <w:t xml:space="preserve"> </w:t>
      </w:r>
      <w:r w:rsidR="003A7591" w:rsidRPr="00AC4AEA">
        <w:rPr>
          <w:rFonts w:ascii="Arial" w:hAnsi="Arial" w:cs="Arial"/>
          <w:sz w:val="20"/>
        </w:rPr>
        <w:t xml:space="preserve">(o grupo de </w:t>
      </w:r>
      <w:r w:rsidR="00497590" w:rsidRPr="00AC4AEA">
        <w:rPr>
          <w:rFonts w:ascii="Arial" w:hAnsi="Arial" w:cs="Arial"/>
          <w:sz w:val="20"/>
        </w:rPr>
        <w:t>activos</w:t>
      </w:r>
      <w:r w:rsidR="008E12C5" w:rsidRPr="00AC4AEA">
        <w:rPr>
          <w:rFonts w:ascii="Arial" w:hAnsi="Arial" w:cs="Arial"/>
          <w:sz w:val="20"/>
        </w:rPr>
        <w:t>, según corresponda</w:t>
      </w:r>
      <w:r w:rsidR="003A7591" w:rsidRPr="00AC4AEA">
        <w:rPr>
          <w:rFonts w:ascii="Arial" w:hAnsi="Arial" w:cs="Arial"/>
          <w:sz w:val="20"/>
        </w:rPr>
        <w:t xml:space="preserve">) </w:t>
      </w:r>
      <w:r w:rsidRPr="00AC4AEA">
        <w:rPr>
          <w:rFonts w:ascii="Arial" w:hAnsi="Arial" w:cs="Arial"/>
          <w:sz w:val="20"/>
        </w:rPr>
        <w:t>como el mayor entre:</w:t>
      </w:r>
    </w:p>
    <w:p w:rsidR="00B3773D" w:rsidRPr="00AC4AEA" w:rsidRDefault="00B3773D" w:rsidP="00A318EA">
      <w:pPr>
        <w:pStyle w:val="A-Normal11"/>
        <w:numPr>
          <w:ilvl w:val="1"/>
          <w:numId w:val="29"/>
        </w:numPr>
        <w:ind w:left="1418" w:hanging="425"/>
        <w:jc w:val="both"/>
        <w:rPr>
          <w:rFonts w:ascii="Arial" w:hAnsi="Arial" w:cs="Arial"/>
          <w:sz w:val="20"/>
        </w:rPr>
      </w:pPr>
      <w:r w:rsidRPr="00AC4AEA">
        <w:rPr>
          <w:rFonts w:ascii="Arial" w:hAnsi="Arial" w:cs="Arial"/>
          <w:sz w:val="20"/>
        </w:rPr>
        <w:t xml:space="preserve">el </w:t>
      </w:r>
      <w:r w:rsidRPr="00AC4AEA">
        <w:rPr>
          <w:rFonts w:ascii="Arial" w:hAnsi="Arial" w:cs="Arial"/>
          <w:b/>
          <w:bCs/>
          <w:sz w:val="20"/>
        </w:rPr>
        <w:t>valor neto de realización</w:t>
      </w:r>
      <w:r w:rsidR="001133BA" w:rsidRPr="00AC4AEA">
        <w:rPr>
          <w:rFonts w:ascii="Arial" w:hAnsi="Arial" w:cs="Arial"/>
          <w:b/>
          <w:bCs/>
          <w:sz w:val="20"/>
        </w:rPr>
        <w:t xml:space="preserve">, </w:t>
      </w:r>
      <w:r w:rsidR="001133BA" w:rsidRPr="00AC4AEA">
        <w:rPr>
          <w:rFonts w:ascii="Arial" w:hAnsi="Arial" w:cs="Arial"/>
          <w:sz w:val="20"/>
        </w:rPr>
        <w:t>estimado de conformidad con el apartado “</w:t>
      </w:r>
      <w:r w:rsidR="001133BA" w:rsidRPr="00AC4AEA">
        <w:rPr>
          <w:rFonts w:ascii="Arial" w:hAnsi="Arial" w:cs="Arial"/>
          <w:sz w:val="20"/>
          <w:u w:val="single"/>
        </w:rPr>
        <w:t>Medición del valor neto de realización</w:t>
      </w:r>
      <w:r w:rsidR="001133BA" w:rsidRPr="00AC4AEA">
        <w:rPr>
          <w:rFonts w:ascii="Arial" w:hAnsi="Arial" w:cs="Arial"/>
          <w:sz w:val="20"/>
        </w:rPr>
        <w:t xml:space="preserve">” [ver el párrafo </w:t>
      </w:r>
      <w:fldSimple w:instr=" REF _Ref101016396 \r \h  \* MERGEFORMAT ">
        <w:r w:rsidR="00D33A5D" w:rsidRPr="00D33A5D">
          <w:rPr>
            <w:rFonts w:ascii="Arial" w:hAnsi="Arial" w:cs="Arial"/>
            <w:sz w:val="20"/>
          </w:rPr>
          <w:t>123</w:t>
        </w:r>
      </w:fldSimple>
      <w:r w:rsidR="001133BA" w:rsidRPr="00AC4AEA">
        <w:rPr>
          <w:rFonts w:ascii="Arial" w:hAnsi="Arial" w:cs="Arial"/>
          <w:sz w:val="20"/>
        </w:rPr>
        <w:t>]</w:t>
      </w:r>
      <w:r w:rsidRPr="00AC4AEA">
        <w:rPr>
          <w:rFonts w:ascii="Arial" w:hAnsi="Arial" w:cs="Arial"/>
          <w:sz w:val="20"/>
        </w:rPr>
        <w:t>; y</w:t>
      </w:r>
    </w:p>
    <w:p w:rsidR="00B3773D" w:rsidRPr="00AC4AEA" w:rsidRDefault="00B3773D" w:rsidP="00A318EA">
      <w:pPr>
        <w:pStyle w:val="A-Normal11"/>
        <w:numPr>
          <w:ilvl w:val="1"/>
          <w:numId w:val="29"/>
        </w:numPr>
        <w:ind w:left="1418" w:hanging="425"/>
        <w:jc w:val="both"/>
        <w:rPr>
          <w:rFonts w:ascii="Arial" w:hAnsi="Arial" w:cs="Arial"/>
          <w:sz w:val="20"/>
        </w:rPr>
      </w:pPr>
      <w:r w:rsidRPr="00AC4AEA">
        <w:rPr>
          <w:rFonts w:ascii="Arial" w:hAnsi="Arial" w:cs="Arial"/>
          <w:sz w:val="20"/>
        </w:rPr>
        <w:t xml:space="preserve">el </w:t>
      </w:r>
      <w:r w:rsidRPr="00AC4AEA">
        <w:rPr>
          <w:rFonts w:ascii="Arial" w:hAnsi="Arial" w:cs="Arial"/>
          <w:b/>
          <w:bCs/>
          <w:sz w:val="20"/>
        </w:rPr>
        <w:t>valor de uso.</w:t>
      </w:r>
    </w:p>
    <w:p w:rsidR="00D903E2" w:rsidRPr="00AC4AEA" w:rsidRDefault="00D903E2" w:rsidP="00A318EA">
      <w:pPr>
        <w:pStyle w:val="A-Normal11"/>
        <w:numPr>
          <w:ilvl w:val="0"/>
          <w:numId w:val="29"/>
        </w:numPr>
        <w:jc w:val="both"/>
        <w:rPr>
          <w:rFonts w:ascii="Arial" w:hAnsi="Arial" w:cs="Arial"/>
          <w:sz w:val="20"/>
        </w:rPr>
      </w:pPr>
      <w:r w:rsidRPr="00AC4AEA">
        <w:rPr>
          <w:rFonts w:ascii="Arial" w:hAnsi="Arial" w:cs="Arial"/>
          <w:sz w:val="20"/>
        </w:rPr>
        <w:t xml:space="preserve">Una entidad no </w:t>
      </w:r>
      <w:r w:rsidR="00AE3F0D" w:rsidRPr="00AC4AEA">
        <w:rPr>
          <w:rFonts w:ascii="Arial" w:hAnsi="Arial" w:cs="Arial"/>
          <w:sz w:val="20"/>
        </w:rPr>
        <w:t>calculará</w:t>
      </w:r>
      <w:r w:rsidRPr="00AC4AEA">
        <w:rPr>
          <w:rFonts w:ascii="Arial" w:hAnsi="Arial" w:cs="Arial"/>
          <w:sz w:val="20"/>
        </w:rPr>
        <w:t>:</w:t>
      </w:r>
    </w:p>
    <w:p w:rsidR="00D903E2" w:rsidRPr="00AC4AEA" w:rsidRDefault="000838A6" w:rsidP="00A318EA">
      <w:pPr>
        <w:pStyle w:val="A-Normal11"/>
        <w:numPr>
          <w:ilvl w:val="1"/>
          <w:numId w:val="29"/>
        </w:numPr>
        <w:ind w:left="1418" w:hanging="425"/>
        <w:jc w:val="both"/>
        <w:rPr>
          <w:rFonts w:ascii="Arial" w:hAnsi="Arial" w:cs="Arial"/>
          <w:sz w:val="20"/>
        </w:rPr>
      </w:pPr>
      <w:r w:rsidRPr="00AC4AEA">
        <w:rPr>
          <w:rFonts w:ascii="Arial" w:hAnsi="Arial" w:cs="Arial"/>
          <w:sz w:val="20"/>
        </w:rPr>
        <w:t>e</w:t>
      </w:r>
      <w:r w:rsidR="00D903E2" w:rsidRPr="00AC4AEA">
        <w:rPr>
          <w:rFonts w:ascii="Arial" w:hAnsi="Arial" w:cs="Arial"/>
          <w:sz w:val="20"/>
        </w:rPr>
        <w:t xml:space="preserve">l </w:t>
      </w:r>
      <w:r w:rsidR="00D903E2" w:rsidRPr="00AC4AEA">
        <w:rPr>
          <w:rFonts w:ascii="Arial" w:hAnsi="Arial" w:cs="Arial"/>
          <w:b/>
          <w:bCs/>
          <w:sz w:val="20"/>
        </w:rPr>
        <w:t xml:space="preserve">valor neto de realización </w:t>
      </w:r>
      <w:r w:rsidR="00D903E2" w:rsidRPr="00AC4AEA">
        <w:rPr>
          <w:rFonts w:ascii="Arial" w:hAnsi="Arial" w:cs="Arial"/>
          <w:sz w:val="20"/>
        </w:rPr>
        <w:t xml:space="preserve">si determinó el </w:t>
      </w:r>
      <w:r w:rsidR="00D903E2" w:rsidRPr="00AC4AEA">
        <w:rPr>
          <w:rFonts w:ascii="Arial" w:hAnsi="Arial" w:cs="Arial"/>
          <w:b/>
          <w:bCs/>
          <w:sz w:val="20"/>
        </w:rPr>
        <w:t xml:space="preserve">valor de uso </w:t>
      </w:r>
      <w:r w:rsidR="00D903E2" w:rsidRPr="00AC4AEA">
        <w:rPr>
          <w:rFonts w:ascii="Arial" w:hAnsi="Arial" w:cs="Arial"/>
          <w:sz w:val="20"/>
        </w:rPr>
        <w:t xml:space="preserve">y este es mayor que la </w:t>
      </w:r>
      <w:r w:rsidR="00295953" w:rsidRPr="00AC4AEA">
        <w:rPr>
          <w:rFonts w:ascii="Arial" w:hAnsi="Arial" w:cs="Arial"/>
          <w:sz w:val="20"/>
        </w:rPr>
        <w:t>medición</w:t>
      </w:r>
      <w:r w:rsidR="00D903E2" w:rsidRPr="00AC4AEA">
        <w:rPr>
          <w:rFonts w:ascii="Arial" w:hAnsi="Arial" w:cs="Arial"/>
          <w:sz w:val="20"/>
        </w:rPr>
        <w:t xml:space="preserve"> contable del </w:t>
      </w:r>
      <w:r w:rsidR="00D903E2" w:rsidRPr="00AC4AEA">
        <w:rPr>
          <w:rFonts w:ascii="Arial" w:hAnsi="Arial" w:cs="Arial"/>
          <w:b/>
          <w:bCs/>
          <w:sz w:val="20"/>
        </w:rPr>
        <w:t>activo</w:t>
      </w:r>
      <w:r w:rsidR="00D903E2" w:rsidRPr="00AC4AEA">
        <w:rPr>
          <w:rFonts w:ascii="Arial" w:hAnsi="Arial" w:cs="Arial"/>
          <w:sz w:val="20"/>
        </w:rPr>
        <w:t xml:space="preserve"> (o grupo de </w:t>
      </w:r>
      <w:r w:rsidR="00497590" w:rsidRPr="00AC4AEA">
        <w:rPr>
          <w:rFonts w:ascii="Arial" w:hAnsi="Arial" w:cs="Arial"/>
          <w:sz w:val="20"/>
        </w:rPr>
        <w:t>activos</w:t>
      </w:r>
      <w:r w:rsidR="008E12C5" w:rsidRPr="00AC4AEA">
        <w:rPr>
          <w:rFonts w:ascii="Arial" w:hAnsi="Arial" w:cs="Arial"/>
          <w:sz w:val="20"/>
        </w:rPr>
        <w:t>, según corresponda</w:t>
      </w:r>
      <w:r w:rsidR="00D903E2" w:rsidRPr="00AC4AEA">
        <w:rPr>
          <w:rFonts w:ascii="Arial" w:hAnsi="Arial" w:cs="Arial"/>
          <w:sz w:val="20"/>
        </w:rPr>
        <w:t>)</w:t>
      </w:r>
      <w:r w:rsidRPr="00AC4AEA">
        <w:rPr>
          <w:rFonts w:ascii="Arial" w:hAnsi="Arial" w:cs="Arial"/>
          <w:sz w:val="20"/>
        </w:rPr>
        <w:t>; o</w:t>
      </w:r>
    </w:p>
    <w:p w:rsidR="00D903E2" w:rsidRPr="00AC4AEA" w:rsidRDefault="000838A6" w:rsidP="00A318EA">
      <w:pPr>
        <w:pStyle w:val="A-Normal11"/>
        <w:numPr>
          <w:ilvl w:val="1"/>
          <w:numId w:val="29"/>
        </w:numPr>
        <w:ind w:left="1418" w:hanging="425"/>
        <w:jc w:val="both"/>
        <w:rPr>
          <w:rFonts w:ascii="Arial" w:hAnsi="Arial" w:cs="Arial"/>
          <w:sz w:val="20"/>
        </w:rPr>
      </w:pPr>
      <w:r w:rsidRPr="00AC4AEA">
        <w:rPr>
          <w:rFonts w:ascii="Arial" w:hAnsi="Arial" w:cs="Arial"/>
          <w:sz w:val="20"/>
        </w:rPr>
        <w:t>e</w:t>
      </w:r>
      <w:r w:rsidR="00D903E2" w:rsidRPr="00AC4AEA">
        <w:rPr>
          <w:rFonts w:ascii="Arial" w:hAnsi="Arial" w:cs="Arial"/>
          <w:sz w:val="20"/>
        </w:rPr>
        <w:t xml:space="preserve">l </w:t>
      </w:r>
      <w:r w:rsidR="00D903E2" w:rsidRPr="00AC4AEA">
        <w:rPr>
          <w:rFonts w:ascii="Arial" w:hAnsi="Arial" w:cs="Arial"/>
          <w:b/>
          <w:bCs/>
          <w:sz w:val="20"/>
        </w:rPr>
        <w:t xml:space="preserve">valor de uso </w:t>
      </w:r>
      <w:r w:rsidR="00D903E2" w:rsidRPr="00AC4AEA">
        <w:rPr>
          <w:rFonts w:ascii="Arial" w:hAnsi="Arial" w:cs="Arial"/>
          <w:sz w:val="20"/>
        </w:rPr>
        <w:t xml:space="preserve">si determinó el </w:t>
      </w:r>
      <w:r w:rsidR="00D903E2" w:rsidRPr="00AC4AEA">
        <w:rPr>
          <w:rFonts w:ascii="Arial" w:hAnsi="Arial" w:cs="Arial"/>
          <w:b/>
          <w:bCs/>
          <w:sz w:val="20"/>
        </w:rPr>
        <w:t xml:space="preserve">valor neto de realización </w:t>
      </w:r>
      <w:r w:rsidR="00D903E2" w:rsidRPr="00AC4AEA">
        <w:rPr>
          <w:rFonts w:ascii="Arial" w:hAnsi="Arial" w:cs="Arial"/>
          <w:sz w:val="20"/>
        </w:rPr>
        <w:t xml:space="preserve">y este es mayor que la </w:t>
      </w:r>
      <w:r w:rsidR="00054104" w:rsidRPr="00AC4AEA">
        <w:rPr>
          <w:rFonts w:ascii="Arial" w:hAnsi="Arial" w:cs="Arial"/>
          <w:sz w:val="20"/>
        </w:rPr>
        <w:t>medición</w:t>
      </w:r>
      <w:r w:rsidR="00D903E2" w:rsidRPr="00AC4AEA">
        <w:rPr>
          <w:rFonts w:ascii="Arial" w:hAnsi="Arial" w:cs="Arial"/>
          <w:sz w:val="20"/>
        </w:rPr>
        <w:t xml:space="preserve"> contable del </w:t>
      </w:r>
      <w:r w:rsidR="00D903E2" w:rsidRPr="00AC4AEA">
        <w:rPr>
          <w:rFonts w:ascii="Arial" w:hAnsi="Arial" w:cs="Arial"/>
          <w:b/>
          <w:bCs/>
          <w:sz w:val="20"/>
        </w:rPr>
        <w:t>activo</w:t>
      </w:r>
      <w:r w:rsidR="00D903E2" w:rsidRPr="00AC4AEA">
        <w:rPr>
          <w:rFonts w:ascii="Arial" w:hAnsi="Arial" w:cs="Arial"/>
          <w:sz w:val="20"/>
        </w:rPr>
        <w:t xml:space="preserve"> (o grupo de </w:t>
      </w:r>
      <w:r w:rsidR="00497590" w:rsidRPr="00AC4AEA">
        <w:rPr>
          <w:rFonts w:ascii="Arial" w:hAnsi="Arial" w:cs="Arial"/>
          <w:sz w:val="20"/>
        </w:rPr>
        <w:t>activos</w:t>
      </w:r>
      <w:r w:rsidR="008E12C5" w:rsidRPr="00AC4AEA">
        <w:rPr>
          <w:rFonts w:ascii="Arial" w:hAnsi="Arial" w:cs="Arial"/>
          <w:sz w:val="20"/>
        </w:rPr>
        <w:t>, según corresponda</w:t>
      </w:r>
      <w:r w:rsidR="00D903E2" w:rsidRPr="00AC4AEA">
        <w:rPr>
          <w:rFonts w:ascii="Arial" w:hAnsi="Arial" w:cs="Arial"/>
          <w:sz w:val="20"/>
        </w:rPr>
        <w:t>).</w:t>
      </w:r>
    </w:p>
    <w:p w:rsidR="00B3773D" w:rsidRPr="00AC4AEA" w:rsidRDefault="00B3773D" w:rsidP="00A318EA">
      <w:pPr>
        <w:pStyle w:val="A-Normal11"/>
        <w:jc w:val="both"/>
        <w:rPr>
          <w:rFonts w:ascii="Arial" w:hAnsi="Arial" w:cs="Arial"/>
          <w:sz w:val="20"/>
        </w:rPr>
      </w:pPr>
    </w:p>
    <w:p w:rsidR="003A7591" w:rsidRPr="00AC4AEA" w:rsidRDefault="003A7591" w:rsidP="00A318EA">
      <w:pPr>
        <w:pStyle w:val="Ttulo2"/>
        <w:rPr>
          <w:rFonts w:cs="Arial"/>
        </w:rPr>
      </w:pPr>
      <w:bookmarkStart w:id="202" w:name="_Toc101863761"/>
      <w:bookmarkStart w:id="203" w:name="_Toc139356624"/>
      <w:r w:rsidRPr="00AC4AEA">
        <w:rPr>
          <w:rFonts w:cs="Arial"/>
        </w:rPr>
        <w:t>Determinación del valor de uso</w:t>
      </w:r>
      <w:bookmarkEnd w:id="202"/>
      <w:bookmarkEnd w:id="203"/>
    </w:p>
    <w:p w:rsidR="00676B15" w:rsidRPr="00AC4AEA" w:rsidRDefault="002003BB" w:rsidP="00A318EA">
      <w:pPr>
        <w:pStyle w:val="Ttulo3"/>
      </w:pPr>
      <w:bookmarkStart w:id="204" w:name="_Toc139356625"/>
      <w:r w:rsidRPr="00AC4AEA">
        <w:t xml:space="preserve">Descripción de los factores que determinan </w:t>
      </w:r>
      <w:r w:rsidR="008541D3" w:rsidRPr="00AC4AEA">
        <w:t>el</w:t>
      </w:r>
      <w:r w:rsidRPr="00AC4AEA">
        <w:t xml:space="preserve"> cálculo</w:t>
      </w:r>
      <w:r w:rsidR="008541D3" w:rsidRPr="00AC4AEA">
        <w:t xml:space="preserve"> del valor de uso</w:t>
      </w:r>
      <w:bookmarkEnd w:id="204"/>
    </w:p>
    <w:p w:rsidR="003A7591" w:rsidRPr="00AC4AEA" w:rsidRDefault="003A7591" w:rsidP="00A318EA">
      <w:pPr>
        <w:pStyle w:val="A-Normal11"/>
        <w:numPr>
          <w:ilvl w:val="0"/>
          <w:numId w:val="29"/>
        </w:numPr>
        <w:jc w:val="both"/>
        <w:rPr>
          <w:rFonts w:ascii="Arial" w:hAnsi="Arial" w:cs="Arial"/>
          <w:sz w:val="20"/>
        </w:rPr>
      </w:pPr>
      <w:r w:rsidRPr="00AC4AEA">
        <w:rPr>
          <w:rFonts w:ascii="Arial" w:hAnsi="Arial" w:cs="Arial"/>
          <w:sz w:val="20"/>
        </w:rPr>
        <w:t xml:space="preserve">Para calcular el </w:t>
      </w:r>
      <w:r w:rsidRPr="00AC4AEA">
        <w:rPr>
          <w:rFonts w:ascii="Arial" w:hAnsi="Arial" w:cs="Arial"/>
          <w:b/>
          <w:bCs/>
          <w:sz w:val="20"/>
        </w:rPr>
        <w:t>valor de uso</w:t>
      </w:r>
      <w:r w:rsidRPr="00AC4AEA">
        <w:rPr>
          <w:rFonts w:ascii="Arial" w:hAnsi="Arial" w:cs="Arial"/>
          <w:sz w:val="20"/>
        </w:rPr>
        <w:t xml:space="preserve"> de un </w:t>
      </w:r>
      <w:r w:rsidRPr="00AC4AEA">
        <w:rPr>
          <w:rFonts w:ascii="Arial" w:hAnsi="Arial" w:cs="Arial"/>
          <w:b/>
          <w:bCs/>
          <w:sz w:val="20"/>
        </w:rPr>
        <w:t>activo</w:t>
      </w:r>
      <w:r w:rsidRPr="00AC4AEA">
        <w:rPr>
          <w:rFonts w:ascii="Arial" w:hAnsi="Arial" w:cs="Arial"/>
          <w:sz w:val="20"/>
        </w:rPr>
        <w:t xml:space="preserve"> (o grupo de </w:t>
      </w:r>
      <w:r w:rsidR="00497590" w:rsidRPr="00AC4AEA">
        <w:rPr>
          <w:rFonts w:ascii="Arial" w:hAnsi="Arial" w:cs="Arial"/>
          <w:sz w:val="20"/>
        </w:rPr>
        <w:t>activos</w:t>
      </w:r>
      <w:r w:rsidR="008E12C5" w:rsidRPr="00AC4AEA">
        <w:rPr>
          <w:rFonts w:ascii="Arial" w:hAnsi="Arial" w:cs="Arial"/>
          <w:sz w:val="20"/>
        </w:rPr>
        <w:t>, según corresponda</w:t>
      </w:r>
      <w:r w:rsidRPr="00AC4AEA">
        <w:rPr>
          <w:rFonts w:ascii="Arial" w:hAnsi="Arial" w:cs="Arial"/>
          <w:sz w:val="20"/>
        </w:rPr>
        <w:t>), una entidad deberá:</w:t>
      </w:r>
    </w:p>
    <w:p w:rsidR="003A7591" w:rsidRPr="00AC4AEA" w:rsidRDefault="009C5193" w:rsidP="00A318EA">
      <w:pPr>
        <w:pStyle w:val="A-Normal11"/>
        <w:numPr>
          <w:ilvl w:val="1"/>
          <w:numId w:val="29"/>
        </w:numPr>
        <w:ind w:left="1418" w:hanging="425"/>
        <w:jc w:val="both"/>
        <w:rPr>
          <w:rFonts w:ascii="Arial" w:hAnsi="Arial" w:cs="Arial"/>
          <w:sz w:val="20"/>
        </w:rPr>
      </w:pPr>
      <w:r w:rsidRPr="00AC4AEA">
        <w:rPr>
          <w:rFonts w:ascii="Arial" w:hAnsi="Arial" w:cs="Arial"/>
          <w:sz w:val="20"/>
        </w:rPr>
        <w:t>e</w:t>
      </w:r>
      <w:r w:rsidR="003A7591" w:rsidRPr="00AC4AEA">
        <w:rPr>
          <w:rFonts w:ascii="Arial" w:hAnsi="Arial" w:cs="Arial"/>
          <w:sz w:val="20"/>
        </w:rPr>
        <w:t xml:space="preserve">stimar los ingresos y egresos netos de efectivo derivados del uso continuado del </w:t>
      </w:r>
      <w:r w:rsidR="003A7591" w:rsidRPr="00AC4AEA">
        <w:rPr>
          <w:rFonts w:ascii="Arial" w:hAnsi="Arial" w:cs="Arial"/>
          <w:b/>
          <w:bCs/>
          <w:sz w:val="20"/>
        </w:rPr>
        <w:t>activo</w:t>
      </w:r>
      <w:r w:rsidR="003A7591" w:rsidRPr="00AC4AEA">
        <w:rPr>
          <w:rFonts w:ascii="Arial" w:hAnsi="Arial" w:cs="Arial"/>
          <w:sz w:val="20"/>
        </w:rPr>
        <w:t xml:space="preserve"> y su disposición o realización final</w:t>
      </w:r>
      <w:r w:rsidR="00EC0123" w:rsidRPr="00AC4AEA">
        <w:rPr>
          <w:rFonts w:ascii="Arial" w:hAnsi="Arial" w:cs="Arial"/>
          <w:sz w:val="20"/>
        </w:rPr>
        <w:t>;</w:t>
      </w:r>
      <w:r w:rsidR="003A7591" w:rsidRPr="00AC4AEA">
        <w:rPr>
          <w:rFonts w:ascii="Arial" w:hAnsi="Arial" w:cs="Arial"/>
          <w:sz w:val="20"/>
        </w:rPr>
        <w:t xml:space="preserve"> y</w:t>
      </w:r>
    </w:p>
    <w:p w:rsidR="003A7591" w:rsidRPr="00AC4AEA" w:rsidRDefault="009C5193" w:rsidP="00A318EA">
      <w:pPr>
        <w:pStyle w:val="A-Normal11"/>
        <w:numPr>
          <w:ilvl w:val="1"/>
          <w:numId w:val="29"/>
        </w:numPr>
        <w:ind w:left="1418" w:hanging="425"/>
        <w:jc w:val="both"/>
        <w:rPr>
          <w:rFonts w:ascii="Arial" w:hAnsi="Arial" w:cs="Arial"/>
          <w:sz w:val="20"/>
        </w:rPr>
      </w:pPr>
      <w:r w:rsidRPr="00AC4AEA">
        <w:rPr>
          <w:rFonts w:ascii="Arial" w:hAnsi="Arial" w:cs="Arial"/>
          <w:sz w:val="20"/>
        </w:rPr>
        <w:t>a</w:t>
      </w:r>
      <w:r w:rsidR="003A7591" w:rsidRPr="00AC4AEA">
        <w:rPr>
          <w:rFonts w:ascii="Arial" w:hAnsi="Arial" w:cs="Arial"/>
          <w:sz w:val="20"/>
        </w:rPr>
        <w:t>plicar una tasa de descuento adecuada para dichos flujos de efectivo.</w:t>
      </w:r>
    </w:p>
    <w:p w:rsidR="003A7591" w:rsidRPr="00AC4AEA" w:rsidRDefault="003A7591" w:rsidP="00A318EA">
      <w:pPr>
        <w:pStyle w:val="A-Normal11"/>
        <w:jc w:val="both"/>
        <w:rPr>
          <w:rFonts w:ascii="Arial" w:hAnsi="Arial" w:cs="Arial"/>
          <w:b/>
          <w:bCs/>
          <w:sz w:val="20"/>
        </w:rPr>
      </w:pPr>
    </w:p>
    <w:p w:rsidR="003A7591" w:rsidRPr="00AC4AEA" w:rsidRDefault="005C16D5" w:rsidP="00A318EA">
      <w:pPr>
        <w:pStyle w:val="Ttulo3"/>
      </w:pPr>
      <w:bookmarkStart w:id="205" w:name="_Toc101863762"/>
      <w:bookmarkStart w:id="206" w:name="_Toc139356626"/>
      <w:r w:rsidRPr="00AC4AEA">
        <w:t>P</w:t>
      </w:r>
      <w:r w:rsidR="003A7591" w:rsidRPr="00AC4AEA">
        <w:t>royección de los flujos de efectivo</w:t>
      </w:r>
      <w:bookmarkEnd w:id="205"/>
      <w:bookmarkEnd w:id="206"/>
    </w:p>
    <w:p w:rsidR="003A7591" w:rsidRPr="00AC4AEA" w:rsidRDefault="005C16D5" w:rsidP="00A318EA">
      <w:pPr>
        <w:pStyle w:val="A-Normal11"/>
        <w:numPr>
          <w:ilvl w:val="0"/>
          <w:numId w:val="29"/>
        </w:numPr>
        <w:jc w:val="both"/>
        <w:rPr>
          <w:rFonts w:ascii="Arial" w:hAnsi="Arial" w:cs="Arial"/>
          <w:sz w:val="20"/>
        </w:rPr>
      </w:pPr>
      <w:r w:rsidRPr="00AC4AEA">
        <w:rPr>
          <w:rFonts w:ascii="Arial" w:hAnsi="Arial" w:cs="Arial"/>
          <w:sz w:val="20"/>
        </w:rPr>
        <w:t xml:space="preserve">Al calcular el </w:t>
      </w:r>
      <w:r w:rsidRPr="00AC4AEA">
        <w:rPr>
          <w:rFonts w:ascii="Arial" w:hAnsi="Arial" w:cs="Arial"/>
          <w:b/>
          <w:bCs/>
          <w:sz w:val="20"/>
        </w:rPr>
        <w:t>valor de uso</w:t>
      </w:r>
      <w:r w:rsidRPr="00AC4AEA">
        <w:rPr>
          <w:rFonts w:ascii="Arial" w:hAnsi="Arial" w:cs="Arial"/>
          <w:sz w:val="20"/>
        </w:rPr>
        <w:t xml:space="preserve"> de un </w:t>
      </w:r>
      <w:r w:rsidRPr="00AC4AEA">
        <w:rPr>
          <w:rFonts w:ascii="Arial" w:hAnsi="Arial" w:cs="Arial"/>
          <w:b/>
          <w:bCs/>
          <w:sz w:val="20"/>
        </w:rPr>
        <w:t>activo</w:t>
      </w:r>
      <w:r w:rsidRPr="00AC4AEA">
        <w:rPr>
          <w:rFonts w:ascii="Arial" w:hAnsi="Arial" w:cs="Arial"/>
          <w:sz w:val="20"/>
        </w:rPr>
        <w:t xml:space="preserve"> (o grupo de </w:t>
      </w:r>
      <w:r w:rsidR="00497590" w:rsidRPr="00AC4AEA">
        <w:rPr>
          <w:rFonts w:ascii="Arial" w:hAnsi="Arial" w:cs="Arial"/>
          <w:sz w:val="20"/>
        </w:rPr>
        <w:t>activos</w:t>
      </w:r>
      <w:r w:rsidRPr="00AC4AEA">
        <w:rPr>
          <w:rFonts w:ascii="Arial" w:hAnsi="Arial" w:cs="Arial"/>
          <w:sz w:val="20"/>
        </w:rPr>
        <w:t>, según corresponda), para</w:t>
      </w:r>
      <w:r w:rsidR="003A7591" w:rsidRPr="00AC4AEA">
        <w:rPr>
          <w:rFonts w:ascii="Arial" w:hAnsi="Arial" w:cs="Arial"/>
          <w:sz w:val="20"/>
        </w:rPr>
        <w:t xml:space="preserve"> proyectar los flujos de efectivo futuros, una entidad deberá:</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e</w:t>
      </w:r>
      <w:r w:rsidR="003A7591" w:rsidRPr="00AC4AEA">
        <w:rPr>
          <w:rFonts w:ascii="Arial" w:hAnsi="Arial" w:cs="Arial"/>
          <w:sz w:val="20"/>
        </w:rPr>
        <w:t xml:space="preserve">xpresar los importes en moneda de la </w:t>
      </w:r>
      <w:r w:rsidR="003A7591" w:rsidRPr="00AC4AEA">
        <w:rPr>
          <w:rFonts w:ascii="Arial" w:hAnsi="Arial" w:cs="Arial"/>
          <w:b/>
          <w:bCs/>
          <w:sz w:val="20"/>
        </w:rPr>
        <w:t xml:space="preserve">fecha de los </w:t>
      </w:r>
      <w:r w:rsidR="00135084" w:rsidRPr="00AC4AEA">
        <w:rPr>
          <w:rFonts w:ascii="Arial" w:hAnsi="Arial" w:cs="Arial"/>
          <w:b/>
          <w:bCs/>
          <w:sz w:val="20"/>
        </w:rPr>
        <w:t>estados contables</w:t>
      </w:r>
      <w:r w:rsidR="003A7591" w:rsidRPr="00AC4AEA">
        <w:rPr>
          <w:rFonts w:ascii="Arial" w:hAnsi="Arial" w:cs="Arial"/>
          <w:sz w:val="20"/>
        </w:rPr>
        <w:t>;</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lastRenderedPageBreak/>
        <w:t>c</w:t>
      </w:r>
      <w:r w:rsidR="003A7591" w:rsidRPr="00AC4AEA">
        <w:rPr>
          <w:rFonts w:ascii="Arial" w:hAnsi="Arial" w:cs="Arial"/>
          <w:sz w:val="20"/>
        </w:rPr>
        <w:t xml:space="preserve">ubrir un período equivalente a la vida útil restante de los </w:t>
      </w:r>
      <w:r w:rsidR="00497590" w:rsidRPr="00AC4AEA">
        <w:rPr>
          <w:rFonts w:ascii="Arial" w:hAnsi="Arial" w:cs="Arial"/>
          <w:sz w:val="20"/>
        </w:rPr>
        <w:t>activos</w:t>
      </w:r>
      <w:r w:rsidR="003A7591" w:rsidRPr="00AC4AEA">
        <w:rPr>
          <w:rFonts w:ascii="Arial" w:hAnsi="Arial" w:cs="Arial"/>
          <w:sz w:val="20"/>
        </w:rPr>
        <w:t xml:space="preserve"> principales de cada </w:t>
      </w:r>
      <w:r w:rsidR="003A7591" w:rsidRPr="00AC4AEA">
        <w:rPr>
          <w:rFonts w:ascii="Arial" w:hAnsi="Arial" w:cs="Arial"/>
          <w:b/>
          <w:bCs/>
          <w:sz w:val="20"/>
        </w:rPr>
        <w:t>actividad generadora de efectivo</w:t>
      </w:r>
      <w:r w:rsidR="006F48B3" w:rsidRPr="00AC4AEA">
        <w:rPr>
          <w:rFonts w:ascii="Arial" w:hAnsi="Arial" w:cs="Arial"/>
          <w:sz w:val="20"/>
        </w:rPr>
        <w:t>,</w:t>
      </w:r>
      <w:r w:rsidR="00AA797B" w:rsidRPr="00AC4AEA">
        <w:rPr>
          <w:rFonts w:ascii="Arial" w:hAnsi="Arial" w:cs="Arial"/>
          <w:b/>
          <w:bCs/>
          <w:sz w:val="20"/>
        </w:rPr>
        <w:t xml:space="preserve"> </w:t>
      </w:r>
      <w:r w:rsidR="00E47FAC" w:rsidRPr="00AC4AEA">
        <w:rPr>
          <w:rFonts w:ascii="Arial" w:hAnsi="Arial" w:cs="Arial"/>
          <w:sz w:val="20"/>
        </w:rPr>
        <w:t xml:space="preserve">o una unidad más pequeña que una </w:t>
      </w:r>
      <w:r w:rsidR="00E47FAC" w:rsidRPr="00AC4AEA">
        <w:rPr>
          <w:rFonts w:ascii="Arial" w:hAnsi="Arial" w:cs="Arial"/>
          <w:b/>
          <w:bCs/>
          <w:sz w:val="20"/>
        </w:rPr>
        <w:t xml:space="preserve">actividad generadora de efectivo </w:t>
      </w:r>
      <w:r w:rsidR="00E47FAC" w:rsidRPr="00AC4AEA">
        <w:rPr>
          <w:rFonts w:ascii="Arial" w:hAnsi="Arial" w:cs="Arial"/>
          <w:sz w:val="20"/>
        </w:rPr>
        <w:t xml:space="preserve">[ver los párrafos </w:t>
      </w:r>
      <w:fldSimple w:instr=" REF _Ref99473003 \r \h  \* MERGEFORMAT ">
        <w:r w:rsidR="00D33A5D" w:rsidRPr="00D33A5D">
          <w:rPr>
            <w:rFonts w:ascii="Arial" w:hAnsi="Arial" w:cs="Arial"/>
            <w:sz w:val="20"/>
          </w:rPr>
          <w:t>164</w:t>
        </w:r>
      </w:fldSimple>
      <w:r w:rsidR="00E47FAC" w:rsidRPr="00AC4AEA">
        <w:rPr>
          <w:rFonts w:ascii="Arial" w:hAnsi="Arial" w:cs="Arial"/>
          <w:sz w:val="20"/>
        </w:rPr>
        <w:t xml:space="preserve"> y </w:t>
      </w:r>
      <w:fldSimple w:instr=" REF _Ref99470572 \r \h  \* MERGEFORMAT ">
        <w:r w:rsidR="00D33A5D" w:rsidRPr="00D33A5D">
          <w:rPr>
            <w:rFonts w:ascii="Arial" w:hAnsi="Arial" w:cs="Arial"/>
            <w:sz w:val="20"/>
          </w:rPr>
          <w:t>165</w:t>
        </w:r>
      </w:fldSimple>
      <w:r w:rsidR="00E47FAC" w:rsidRPr="00AC4AEA">
        <w:rPr>
          <w:rFonts w:ascii="Arial" w:hAnsi="Arial" w:cs="Arial"/>
          <w:sz w:val="20"/>
        </w:rPr>
        <w:t>]</w:t>
      </w:r>
      <w:r w:rsidR="003A7591" w:rsidRPr="00AC4AEA">
        <w:rPr>
          <w:rFonts w:ascii="Arial" w:hAnsi="Arial" w:cs="Arial"/>
          <w:sz w:val="20"/>
        </w:rPr>
        <w:t>;</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b</w:t>
      </w:r>
      <w:r w:rsidR="003A7591" w:rsidRPr="00AC4AEA">
        <w:rPr>
          <w:rFonts w:ascii="Arial" w:hAnsi="Arial" w:cs="Arial"/>
          <w:sz w:val="20"/>
        </w:rPr>
        <w:t xml:space="preserve">asarse en premisas que representen su mejor estimación acerca de las condiciones económicas esperadas durante la vida útil restante de los </w:t>
      </w:r>
      <w:r w:rsidR="00497590" w:rsidRPr="00AC4AEA">
        <w:rPr>
          <w:rFonts w:ascii="Arial" w:hAnsi="Arial" w:cs="Arial"/>
          <w:sz w:val="20"/>
        </w:rPr>
        <w:t>activos</w:t>
      </w:r>
      <w:r w:rsidR="003A7591" w:rsidRPr="00AC4AEA">
        <w:rPr>
          <w:rFonts w:ascii="Arial" w:hAnsi="Arial" w:cs="Arial"/>
          <w:sz w:val="20"/>
        </w:rPr>
        <w:t>;</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d</w:t>
      </w:r>
      <w:r w:rsidR="003A7591" w:rsidRPr="00AC4AEA">
        <w:rPr>
          <w:rFonts w:ascii="Arial" w:hAnsi="Arial" w:cs="Arial"/>
          <w:sz w:val="20"/>
        </w:rPr>
        <w:t>ar mayor peso a las evidencias externas;</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b</w:t>
      </w:r>
      <w:r w:rsidR="003A7591" w:rsidRPr="00AC4AEA">
        <w:rPr>
          <w:rFonts w:ascii="Arial" w:hAnsi="Arial" w:cs="Arial"/>
          <w:sz w:val="20"/>
        </w:rPr>
        <w:t>asarse</w:t>
      </w:r>
      <w:r w:rsidR="00F0792D" w:rsidRPr="00AC4AEA">
        <w:rPr>
          <w:rFonts w:ascii="Arial" w:hAnsi="Arial" w:cs="Arial"/>
          <w:sz w:val="20"/>
        </w:rPr>
        <w:t xml:space="preserve"> </w:t>
      </w:r>
      <w:r w:rsidR="003A7591" w:rsidRPr="00AC4AEA">
        <w:rPr>
          <w:rFonts w:ascii="Arial" w:hAnsi="Arial" w:cs="Arial"/>
          <w:sz w:val="20"/>
        </w:rPr>
        <w:t>en los presupuestos financieros más recientes que haya aprobado y contemplen un período máximo de cinco años;</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b</w:t>
      </w:r>
      <w:r w:rsidR="003A7591" w:rsidRPr="00AC4AEA">
        <w:rPr>
          <w:rFonts w:ascii="Arial" w:hAnsi="Arial" w:cs="Arial"/>
          <w:sz w:val="20"/>
        </w:rPr>
        <w:t>asarse, para los períodos no contemplados por dichos presupuestos, en extrapolaciones de las proyecciones contenidas en ellos, usando una tasa de crecimiento constante o declinante (incluso nula o menor a cero), a menos que pueda justificarse el empleo de una tasa creciente;</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n</w:t>
      </w:r>
      <w:r w:rsidR="003A7591" w:rsidRPr="00AC4AEA">
        <w:rPr>
          <w:rFonts w:ascii="Arial" w:hAnsi="Arial" w:cs="Arial"/>
          <w:sz w:val="20"/>
        </w:rPr>
        <w:t xml:space="preserve">o utilizar tasas de crecimiento que superen el promedio de crecimiento en el largo plazo para los productos, industrias o países correspondientes al entorno de la entidad o para los mercados donde emplea sus </w:t>
      </w:r>
      <w:r w:rsidR="00497590" w:rsidRPr="00AC4AEA">
        <w:rPr>
          <w:rFonts w:ascii="Arial" w:hAnsi="Arial" w:cs="Arial"/>
          <w:sz w:val="20"/>
        </w:rPr>
        <w:t>activos</w:t>
      </w:r>
      <w:r w:rsidR="003A7591" w:rsidRPr="00AC4AEA">
        <w:rPr>
          <w:rFonts w:ascii="Arial" w:hAnsi="Arial" w:cs="Arial"/>
          <w:sz w:val="20"/>
        </w:rPr>
        <w:t>, salvo que el uso de una tasa mayor pueda justificarse debidamente;</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c</w:t>
      </w:r>
      <w:r w:rsidR="003A7591" w:rsidRPr="00AC4AEA">
        <w:rPr>
          <w:rFonts w:ascii="Arial" w:hAnsi="Arial" w:cs="Arial"/>
          <w:sz w:val="20"/>
        </w:rPr>
        <w:t xml:space="preserve">onsiderar las condiciones actuales de los </w:t>
      </w:r>
      <w:r w:rsidR="00497590" w:rsidRPr="00AC4AEA">
        <w:rPr>
          <w:rFonts w:ascii="Arial" w:hAnsi="Arial" w:cs="Arial"/>
          <w:sz w:val="20"/>
        </w:rPr>
        <w:t>activos</w:t>
      </w:r>
      <w:r w:rsidR="003A7591" w:rsidRPr="00AC4AEA">
        <w:rPr>
          <w:rFonts w:ascii="Arial" w:hAnsi="Arial" w:cs="Arial"/>
          <w:sz w:val="20"/>
        </w:rPr>
        <w:t>;</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i</w:t>
      </w:r>
      <w:r w:rsidR="003A7591" w:rsidRPr="00AC4AEA">
        <w:rPr>
          <w:rFonts w:ascii="Arial" w:hAnsi="Arial" w:cs="Arial"/>
          <w:sz w:val="20"/>
        </w:rPr>
        <w:t>ncluir:</w:t>
      </w:r>
    </w:p>
    <w:p w:rsidR="003A7591" w:rsidRPr="00AC4AEA" w:rsidRDefault="001A5768" w:rsidP="00A318EA">
      <w:pPr>
        <w:pStyle w:val="A-Normal11"/>
        <w:numPr>
          <w:ilvl w:val="2"/>
          <w:numId w:val="29"/>
        </w:numPr>
        <w:ind w:left="1985" w:hanging="142"/>
        <w:jc w:val="both"/>
        <w:rPr>
          <w:rFonts w:ascii="Arial" w:hAnsi="Arial" w:cs="Arial"/>
          <w:sz w:val="20"/>
        </w:rPr>
      </w:pPr>
      <w:r w:rsidRPr="00AC4AEA">
        <w:rPr>
          <w:rFonts w:ascii="Arial" w:hAnsi="Arial" w:cs="Arial"/>
          <w:sz w:val="20"/>
        </w:rPr>
        <w:t>l</w:t>
      </w:r>
      <w:r w:rsidR="003A7591" w:rsidRPr="00AC4AEA">
        <w:rPr>
          <w:rFonts w:ascii="Arial" w:hAnsi="Arial" w:cs="Arial"/>
          <w:sz w:val="20"/>
        </w:rPr>
        <w:t xml:space="preserve">as proyecciones de entradas de efectivo atribuibles al uso de los </w:t>
      </w:r>
      <w:r w:rsidR="00497590" w:rsidRPr="00AC4AEA">
        <w:rPr>
          <w:rFonts w:ascii="Arial" w:hAnsi="Arial" w:cs="Arial"/>
          <w:sz w:val="20"/>
        </w:rPr>
        <w:t>activos</w:t>
      </w:r>
      <w:r w:rsidR="003A7591" w:rsidRPr="00AC4AEA">
        <w:rPr>
          <w:rFonts w:ascii="Arial" w:hAnsi="Arial" w:cs="Arial"/>
          <w:sz w:val="20"/>
        </w:rPr>
        <w:t>;</w:t>
      </w:r>
    </w:p>
    <w:p w:rsidR="003A7591" w:rsidRPr="00AC4AEA" w:rsidRDefault="001A5768" w:rsidP="00A318EA">
      <w:pPr>
        <w:pStyle w:val="A-Normal11"/>
        <w:numPr>
          <w:ilvl w:val="2"/>
          <w:numId w:val="29"/>
        </w:numPr>
        <w:ind w:left="1985" w:hanging="142"/>
        <w:jc w:val="both"/>
        <w:rPr>
          <w:rFonts w:ascii="Arial" w:hAnsi="Arial" w:cs="Arial"/>
          <w:sz w:val="20"/>
        </w:rPr>
      </w:pPr>
      <w:r w:rsidRPr="00AC4AEA">
        <w:rPr>
          <w:rFonts w:ascii="Arial" w:hAnsi="Arial" w:cs="Arial"/>
          <w:sz w:val="20"/>
        </w:rPr>
        <w:t>l</w:t>
      </w:r>
      <w:r w:rsidR="003A7591" w:rsidRPr="00AC4AEA">
        <w:rPr>
          <w:rFonts w:ascii="Arial" w:hAnsi="Arial" w:cs="Arial"/>
          <w:sz w:val="20"/>
        </w:rPr>
        <w:t xml:space="preserve">as salidas de fondos necesarias para la obtención de tales entradas que puedan atribuirse a los </w:t>
      </w:r>
      <w:r w:rsidR="00497590" w:rsidRPr="00AC4AEA">
        <w:rPr>
          <w:rFonts w:ascii="Arial" w:hAnsi="Arial" w:cs="Arial"/>
          <w:sz w:val="20"/>
        </w:rPr>
        <w:t>activos</w:t>
      </w:r>
      <w:r w:rsidR="003A7591" w:rsidRPr="00AC4AEA">
        <w:rPr>
          <w:rFonts w:ascii="Arial" w:hAnsi="Arial" w:cs="Arial"/>
          <w:sz w:val="20"/>
        </w:rPr>
        <w:t xml:space="preserve"> sobre bases razonables y consistentes, incluyendo los pagos futuros necesarios para mantener el nivel de rendimiento originalmente previsto;</w:t>
      </w:r>
      <w:r w:rsidR="00CD79CF" w:rsidRPr="00AC4AEA">
        <w:rPr>
          <w:rFonts w:ascii="Arial" w:hAnsi="Arial" w:cs="Arial"/>
          <w:sz w:val="20"/>
        </w:rPr>
        <w:t xml:space="preserve"> y</w:t>
      </w:r>
    </w:p>
    <w:p w:rsidR="003A7591" w:rsidRPr="00AC4AEA" w:rsidRDefault="003A7591" w:rsidP="00A318EA">
      <w:pPr>
        <w:pStyle w:val="A-Normal11"/>
        <w:numPr>
          <w:ilvl w:val="2"/>
          <w:numId w:val="29"/>
        </w:numPr>
        <w:ind w:left="1985" w:hanging="142"/>
        <w:jc w:val="both"/>
        <w:rPr>
          <w:rFonts w:ascii="Arial" w:hAnsi="Arial" w:cs="Arial"/>
          <w:sz w:val="20"/>
        </w:rPr>
      </w:pPr>
      <w:r w:rsidRPr="00AC4AEA">
        <w:rPr>
          <w:rFonts w:ascii="Arial" w:hAnsi="Arial" w:cs="Arial"/>
          <w:sz w:val="20"/>
        </w:rPr>
        <w:t xml:space="preserve">el </w:t>
      </w:r>
      <w:r w:rsidRPr="00AC4AEA">
        <w:rPr>
          <w:rFonts w:ascii="Arial" w:hAnsi="Arial" w:cs="Arial"/>
          <w:b/>
          <w:bCs/>
          <w:sz w:val="20"/>
        </w:rPr>
        <w:t>valor neto de realización</w:t>
      </w:r>
      <w:r w:rsidRPr="00AC4AEA">
        <w:rPr>
          <w:rFonts w:ascii="Arial" w:hAnsi="Arial" w:cs="Arial"/>
          <w:sz w:val="20"/>
        </w:rPr>
        <w:t xml:space="preserve"> por la disposición de los </w:t>
      </w:r>
      <w:r w:rsidR="00497590" w:rsidRPr="00AC4AEA">
        <w:rPr>
          <w:rFonts w:ascii="Arial" w:hAnsi="Arial" w:cs="Arial"/>
          <w:sz w:val="20"/>
        </w:rPr>
        <w:t>activos</w:t>
      </w:r>
      <w:r w:rsidR="00D903E2" w:rsidRPr="00AC4AEA">
        <w:rPr>
          <w:rFonts w:ascii="Arial" w:hAnsi="Arial" w:cs="Arial"/>
          <w:sz w:val="20"/>
        </w:rPr>
        <w:t>;</w:t>
      </w:r>
      <w:r w:rsidRPr="00AC4AEA">
        <w:rPr>
          <w:rFonts w:ascii="Arial" w:hAnsi="Arial" w:cs="Arial"/>
          <w:sz w:val="20"/>
        </w:rPr>
        <w:t xml:space="preserve"> y</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e</w:t>
      </w:r>
      <w:r w:rsidR="003A7591" w:rsidRPr="00AC4AEA">
        <w:rPr>
          <w:rFonts w:ascii="Arial" w:hAnsi="Arial" w:cs="Arial"/>
          <w:sz w:val="20"/>
        </w:rPr>
        <w:t>xcluir los flujos de efectivo esperados por:</w:t>
      </w:r>
    </w:p>
    <w:p w:rsidR="003A7591" w:rsidRPr="00AC4AEA" w:rsidRDefault="00D903E2" w:rsidP="00A318EA">
      <w:pPr>
        <w:pStyle w:val="A-Normal11"/>
        <w:numPr>
          <w:ilvl w:val="2"/>
          <w:numId w:val="29"/>
        </w:numPr>
        <w:ind w:left="1985" w:hanging="142"/>
        <w:jc w:val="both"/>
        <w:rPr>
          <w:rFonts w:ascii="Arial" w:hAnsi="Arial" w:cs="Arial"/>
          <w:sz w:val="20"/>
        </w:rPr>
      </w:pPr>
      <w:r w:rsidRPr="00AC4AEA">
        <w:rPr>
          <w:rFonts w:ascii="Arial" w:hAnsi="Arial" w:cs="Arial"/>
          <w:sz w:val="20"/>
        </w:rPr>
        <w:t>l</w:t>
      </w:r>
      <w:r w:rsidR="003A7591" w:rsidRPr="00AC4AEA">
        <w:rPr>
          <w:rFonts w:ascii="Arial" w:hAnsi="Arial" w:cs="Arial"/>
          <w:sz w:val="20"/>
        </w:rPr>
        <w:t xml:space="preserve">as cancelaciones de </w:t>
      </w:r>
      <w:r w:rsidR="00497590" w:rsidRPr="00AC4AEA">
        <w:rPr>
          <w:rFonts w:ascii="Arial" w:hAnsi="Arial" w:cs="Arial"/>
          <w:sz w:val="20"/>
        </w:rPr>
        <w:t>pasivos</w:t>
      </w:r>
      <w:r w:rsidR="003A7591" w:rsidRPr="00AC4AEA">
        <w:rPr>
          <w:rFonts w:ascii="Arial" w:hAnsi="Arial" w:cs="Arial"/>
          <w:sz w:val="20"/>
        </w:rPr>
        <w:t xml:space="preserve"> ya reconocidos a la fecha de la estimación;</w:t>
      </w:r>
    </w:p>
    <w:p w:rsidR="003A7591" w:rsidRPr="00AC4AEA" w:rsidRDefault="00D903E2" w:rsidP="00A318EA">
      <w:pPr>
        <w:pStyle w:val="A-Normal11"/>
        <w:numPr>
          <w:ilvl w:val="2"/>
          <w:numId w:val="29"/>
        </w:numPr>
        <w:ind w:left="1985" w:hanging="142"/>
        <w:jc w:val="both"/>
        <w:rPr>
          <w:rFonts w:ascii="Arial" w:hAnsi="Arial" w:cs="Arial"/>
          <w:sz w:val="20"/>
        </w:rPr>
      </w:pPr>
      <w:r w:rsidRPr="00AC4AEA">
        <w:rPr>
          <w:rFonts w:ascii="Arial" w:hAnsi="Arial" w:cs="Arial"/>
          <w:sz w:val="20"/>
        </w:rPr>
        <w:t>l</w:t>
      </w:r>
      <w:r w:rsidR="003A7591" w:rsidRPr="00AC4AEA">
        <w:rPr>
          <w:rFonts w:ascii="Arial" w:hAnsi="Arial" w:cs="Arial"/>
          <w:sz w:val="20"/>
        </w:rPr>
        <w:t>as reestructuraciones futuras todavía no comprometidas;</w:t>
      </w:r>
    </w:p>
    <w:p w:rsidR="003A7591" w:rsidRPr="00AC4AEA" w:rsidRDefault="00D903E2" w:rsidP="00A318EA">
      <w:pPr>
        <w:pStyle w:val="A-Normal11"/>
        <w:numPr>
          <w:ilvl w:val="2"/>
          <w:numId w:val="29"/>
        </w:numPr>
        <w:ind w:left="1985" w:hanging="142"/>
        <w:jc w:val="both"/>
        <w:rPr>
          <w:rFonts w:ascii="Arial" w:hAnsi="Arial" w:cs="Arial"/>
          <w:sz w:val="20"/>
        </w:rPr>
      </w:pPr>
      <w:r w:rsidRPr="00AC4AEA">
        <w:rPr>
          <w:rFonts w:ascii="Arial" w:hAnsi="Arial" w:cs="Arial"/>
          <w:sz w:val="20"/>
        </w:rPr>
        <w:t>l</w:t>
      </w:r>
      <w:r w:rsidR="003A7591" w:rsidRPr="00AC4AEA">
        <w:rPr>
          <w:rFonts w:ascii="Arial" w:hAnsi="Arial" w:cs="Arial"/>
          <w:sz w:val="20"/>
        </w:rPr>
        <w:t xml:space="preserve">as mejoras futuras de la capacidad de servicio de los </w:t>
      </w:r>
      <w:r w:rsidR="00497590" w:rsidRPr="00AC4AEA">
        <w:rPr>
          <w:rFonts w:ascii="Arial" w:hAnsi="Arial" w:cs="Arial"/>
          <w:sz w:val="20"/>
        </w:rPr>
        <w:t>activos</w:t>
      </w:r>
      <w:r w:rsidR="003A7591" w:rsidRPr="00AC4AEA">
        <w:rPr>
          <w:rFonts w:ascii="Arial" w:hAnsi="Arial" w:cs="Arial"/>
          <w:sz w:val="20"/>
        </w:rPr>
        <w:t>;</w:t>
      </w:r>
    </w:p>
    <w:p w:rsidR="003A7591" w:rsidRPr="00AC4AEA" w:rsidRDefault="00D903E2" w:rsidP="00A318EA">
      <w:pPr>
        <w:pStyle w:val="A-Normal11"/>
        <w:numPr>
          <w:ilvl w:val="2"/>
          <w:numId w:val="29"/>
        </w:numPr>
        <w:ind w:left="1985" w:hanging="142"/>
        <w:jc w:val="both"/>
        <w:rPr>
          <w:rFonts w:ascii="Arial" w:hAnsi="Arial" w:cs="Arial"/>
          <w:sz w:val="20"/>
        </w:rPr>
      </w:pPr>
      <w:r w:rsidRPr="00AC4AEA">
        <w:rPr>
          <w:rFonts w:ascii="Arial" w:hAnsi="Arial" w:cs="Arial"/>
          <w:sz w:val="20"/>
        </w:rPr>
        <w:t>l</w:t>
      </w:r>
      <w:r w:rsidR="003A7591" w:rsidRPr="00AC4AEA">
        <w:rPr>
          <w:rFonts w:ascii="Arial" w:hAnsi="Arial" w:cs="Arial"/>
          <w:sz w:val="20"/>
        </w:rPr>
        <w:t>os resultados de actividades financieras</w:t>
      </w:r>
      <w:r w:rsidR="00C61955" w:rsidRPr="00AC4AEA">
        <w:rPr>
          <w:rFonts w:ascii="Arial" w:hAnsi="Arial" w:cs="Arial"/>
          <w:sz w:val="20"/>
        </w:rPr>
        <w:t>;</w:t>
      </w:r>
      <w:r w:rsidR="003A7591" w:rsidRPr="00AC4AEA">
        <w:rPr>
          <w:rFonts w:ascii="Arial" w:hAnsi="Arial" w:cs="Arial"/>
          <w:sz w:val="20"/>
        </w:rPr>
        <w:t xml:space="preserve"> y</w:t>
      </w:r>
    </w:p>
    <w:p w:rsidR="003A7591" w:rsidRPr="00AC4AEA" w:rsidRDefault="00D903E2" w:rsidP="00A318EA">
      <w:pPr>
        <w:pStyle w:val="A-Normal11"/>
        <w:numPr>
          <w:ilvl w:val="2"/>
          <w:numId w:val="29"/>
        </w:numPr>
        <w:ind w:left="1985" w:hanging="142"/>
        <w:jc w:val="both"/>
        <w:rPr>
          <w:rFonts w:ascii="Arial" w:hAnsi="Arial" w:cs="Arial"/>
          <w:sz w:val="20"/>
        </w:rPr>
      </w:pPr>
      <w:r w:rsidRPr="00AC4AEA">
        <w:rPr>
          <w:rFonts w:ascii="Arial" w:hAnsi="Arial" w:cs="Arial"/>
          <w:sz w:val="20"/>
        </w:rPr>
        <w:t>l</w:t>
      </w:r>
      <w:r w:rsidR="003A7591" w:rsidRPr="00AC4AEA">
        <w:rPr>
          <w:rFonts w:ascii="Arial" w:hAnsi="Arial" w:cs="Arial"/>
          <w:sz w:val="20"/>
        </w:rPr>
        <w:t>os pagos o devoluciones del impuesto a las ganancias.</w:t>
      </w:r>
    </w:p>
    <w:p w:rsidR="00881379" w:rsidRPr="00AC4AEA" w:rsidRDefault="00881379" w:rsidP="00A318EA">
      <w:pPr>
        <w:pStyle w:val="A-Normal11"/>
        <w:numPr>
          <w:ilvl w:val="0"/>
          <w:numId w:val="29"/>
        </w:numPr>
        <w:jc w:val="both"/>
        <w:rPr>
          <w:rFonts w:ascii="Arial" w:hAnsi="Arial" w:cs="Arial"/>
          <w:sz w:val="20"/>
        </w:rPr>
      </w:pPr>
      <w:r w:rsidRPr="00AC4AEA">
        <w:rPr>
          <w:rFonts w:ascii="Arial" w:hAnsi="Arial" w:cs="Arial"/>
          <w:sz w:val="20"/>
        </w:rPr>
        <w:t xml:space="preserve">Una entidad pequeña </w:t>
      </w:r>
      <w:r w:rsidR="00017258" w:rsidRPr="00AC4AEA">
        <w:rPr>
          <w:rFonts w:ascii="Arial" w:hAnsi="Arial" w:cs="Arial"/>
          <w:sz w:val="20"/>
        </w:rPr>
        <w:t xml:space="preserve">o mediana </w:t>
      </w:r>
      <w:r w:rsidRPr="00AC4AEA">
        <w:rPr>
          <w:rFonts w:ascii="Arial" w:hAnsi="Arial" w:cs="Arial"/>
          <w:sz w:val="20"/>
        </w:rPr>
        <w:t>podrá reemplazar los presupuestos referidos en el inciso e) del párrafo anterior por una proyección basada en los resultados obtenidos en los últimos tres ejercicios (incluido el actual)</w:t>
      </w:r>
      <w:r w:rsidR="004537F1" w:rsidRPr="00AC4AEA">
        <w:rPr>
          <w:rFonts w:ascii="Arial" w:hAnsi="Arial" w:cs="Arial"/>
          <w:sz w:val="20"/>
        </w:rPr>
        <w:t>;</w:t>
      </w:r>
      <w:r w:rsidRPr="00AC4AEA">
        <w:rPr>
          <w:rFonts w:ascii="Arial" w:hAnsi="Arial" w:cs="Arial"/>
          <w:sz w:val="20"/>
        </w:rPr>
        <w:t xml:space="preserve"> </w:t>
      </w:r>
      <w:r w:rsidR="004537F1" w:rsidRPr="00AC4AEA">
        <w:rPr>
          <w:rFonts w:ascii="Arial" w:hAnsi="Arial" w:cs="Arial"/>
          <w:sz w:val="20"/>
        </w:rPr>
        <w:t>e</w:t>
      </w:r>
      <w:r w:rsidRPr="00AC4AEA">
        <w:rPr>
          <w:rFonts w:ascii="Arial" w:hAnsi="Arial" w:cs="Arial"/>
          <w:sz w:val="20"/>
        </w:rPr>
        <w:t>xcepto que evidencias externas demuestren que dicha premisa debe modificarse.</w:t>
      </w:r>
    </w:p>
    <w:p w:rsidR="003A7591" w:rsidRPr="00AC4AEA" w:rsidRDefault="003A7591" w:rsidP="00A318EA">
      <w:pPr>
        <w:pStyle w:val="A-Normal11"/>
        <w:jc w:val="both"/>
        <w:rPr>
          <w:rFonts w:ascii="Arial" w:hAnsi="Arial" w:cs="Arial"/>
          <w:b/>
          <w:bCs/>
          <w:sz w:val="20"/>
        </w:rPr>
      </w:pPr>
    </w:p>
    <w:p w:rsidR="003A7591" w:rsidRPr="00AC4AEA" w:rsidRDefault="008541D3" w:rsidP="00A318EA">
      <w:pPr>
        <w:pStyle w:val="Ttulo3"/>
      </w:pPr>
      <w:bookmarkStart w:id="207" w:name="_Toc101863763"/>
      <w:bookmarkStart w:id="208" w:name="_Toc139356627"/>
      <w:r w:rsidRPr="00AC4AEA">
        <w:lastRenderedPageBreak/>
        <w:t>S</w:t>
      </w:r>
      <w:r w:rsidR="003A7591" w:rsidRPr="00AC4AEA">
        <w:t>elección de la tasa de descuento</w:t>
      </w:r>
      <w:bookmarkEnd w:id="207"/>
      <w:bookmarkEnd w:id="208"/>
    </w:p>
    <w:p w:rsidR="003A7591" w:rsidRPr="00AC4AEA" w:rsidRDefault="008541D3" w:rsidP="00A318EA">
      <w:pPr>
        <w:pStyle w:val="A-Normal11"/>
        <w:numPr>
          <w:ilvl w:val="0"/>
          <w:numId w:val="29"/>
        </w:numPr>
        <w:jc w:val="both"/>
        <w:rPr>
          <w:rFonts w:ascii="Arial" w:hAnsi="Arial" w:cs="Arial"/>
          <w:sz w:val="20"/>
        </w:rPr>
      </w:pPr>
      <w:r w:rsidRPr="00AC4AEA">
        <w:rPr>
          <w:rFonts w:ascii="Arial" w:hAnsi="Arial" w:cs="Arial"/>
          <w:sz w:val="20"/>
        </w:rPr>
        <w:t xml:space="preserve">Al calcular el </w:t>
      </w:r>
      <w:r w:rsidRPr="00AC4AEA">
        <w:rPr>
          <w:rFonts w:ascii="Arial" w:hAnsi="Arial" w:cs="Arial"/>
          <w:b/>
          <w:bCs/>
          <w:sz w:val="20"/>
        </w:rPr>
        <w:t>valor de uso</w:t>
      </w:r>
      <w:r w:rsidRPr="00AC4AEA">
        <w:rPr>
          <w:rFonts w:ascii="Arial" w:hAnsi="Arial" w:cs="Arial"/>
          <w:sz w:val="20"/>
        </w:rPr>
        <w:t xml:space="preserve"> de un </w:t>
      </w:r>
      <w:r w:rsidRPr="00AC4AEA">
        <w:rPr>
          <w:rFonts w:ascii="Arial" w:hAnsi="Arial" w:cs="Arial"/>
          <w:b/>
          <w:bCs/>
          <w:sz w:val="20"/>
        </w:rPr>
        <w:t>activo</w:t>
      </w:r>
      <w:r w:rsidRPr="00AC4AEA">
        <w:rPr>
          <w:rFonts w:ascii="Arial" w:hAnsi="Arial" w:cs="Arial"/>
          <w:sz w:val="20"/>
        </w:rPr>
        <w:t xml:space="preserve"> (o grupo de </w:t>
      </w:r>
      <w:r w:rsidR="00497590" w:rsidRPr="00AC4AEA">
        <w:rPr>
          <w:rFonts w:ascii="Arial" w:hAnsi="Arial" w:cs="Arial"/>
          <w:sz w:val="20"/>
        </w:rPr>
        <w:t>activos</w:t>
      </w:r>
      <w:r w:rsidRPr="00AC4AEA">
        <w:rPr>
          <w:rFonts w:ascii="Arial" w:hAnsi="Arial" w:cs="Arial"/>
          <w:sz w:val="20"/>
        </w:rPr>
        <w:t xml:space="preserve">, según corresponda) </w:t>
      </w:r>
      <w:r w:rsidR="00C10E95" w:rsidRPr="00AC4AEA">
        <w:rPr>
          <w:rFonts w:ascii="Arial" w:hAnsi="Arial" w:cs="Arial"/>
          <w:sz w:val="20"/>
        </w:rPr>
        <w:t>u</w:t>
      </w:r>
      <w:r w:rsidR="003A7591" w:rsidRPr="00AC4AEA">
        <w:rPr>
          <w:rFonts w:ascii="Arial" w:hAnsi="Arial" w:cs="Arial"/>
          <w:sz w:val="20"/>
        </w:rPr>
        <w:t>na entidad aplicará tasas de descuento que:</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r</w:t>
      </w:r>
      <w:r w:rsidR="003A7591" w:rsidRPr="00AC4AEA">
        <w:rPr>
          <w:rFonts w:ascii="Arial" w:hAnsi="Arial" w:cs="Arial"/>
          <w:sz w:val="20"/>
        </w:rPr>
        <w:t xml:space="preserve">eflejen las evaluaciones del mercado acerca del valor tiempo del dinero y de los riesgos específicos </w:t>
      </w:r>
      <w:r w:rsidR="00141BB1" w:rsidRPr="00AC4AEA">
        <w:rPr>
          <w:rFonts w:ascii="Arial" w:hAnsi="Arial" w:cs="Arial"/>
          <w:sz w:val="20"/>
        </w:rPr>
        <w:t xml:space="preserve">de los </w:t>
      </w:r>
      <w:r w:rsidR="00497590" w:rsidRPr="00AC4AEA">
        <w:rPr>
          <w:rFonts w:ascii="Arial" w:hAnsi="Arial" w:cs="Arial"/>
          <w:sz w:val="20"/>
        </w:rPr>
        <w:t>activos</w:t>
      </w:r>
      <w:r w:rsidR="003A7591" w:rsidRPr="00AC4AEA">
        <w:rPr>
          <w:rFonts w:ascii="Arial" w:hAnsi="Arial" w:cs="Arial"/>
          <w:sz w:val="20"/>
        </w:rPr>
        <w:t xml:space="preserve"> no considerados al estimar los flujos de fondos;</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e</w:t>
      </w:r>
      <w:r w:rsidR="003A7591" w:rsidRPr="00AC4AEA">
        <w:rPr>
          <w:rFonts w:ascii="Arial" w:hAnsi="Arial" w:cs="Arial"/>
          <w:sz w:val="20"/>
        </w:rPr>
        <w:t>xcluyan los efectos de los cambios futuros en el poder adquisitivo de la moneda</w:t>
      </w:r>
      <w:r w:rsidRPr="00AC4AEA">
        <w:rPr>
          <w:rFonts w:ascii="Arial" w:hAnsi="Arial" w:cs="Arial"/>
          <w:sz w:val="20"/>
        </w:rPr>
        <w:t>;</w:t>
      </w:r>
      <w:r w:rsidR="003A7591" w:rsidRPr="00AC4AEA">
        <w:rPr>
          <w:rFonts w:ascii="Arial" w:hAnsi="Arial" w:cs="Arial"/>
          <w:sz w:val="20"/>
        </w:rPr>
        <w:t xml:space="preserve"> y</w:t>
      </w:r>
    </w:p>
    <w:p w:rsidR="003A7591" w:rsidRPr="00AC4AEA" w:rsidRDefault="00D903E2" w:rsidP="00A318EA">
      <w:pPr>
        <w:pStyle w:val="A-Normal11"/>
        <w:numPr>
          <w:ilvl w:val="1"/>
          <w:numId w:val="29"/>
        </w:numPr>
        <w:ind w:left="1560"/>
        <w:jc w:val="both"/>
        <w:rPr>
          <w:rFonts w:ascii="Arial" w:hAnsi="Arial" w:cs="Arial"/>
          <w:sz w:val="20"/>
        </w:rPr>
      </w:pPr>
      <w:r w:rsidRPr="00AC4AEA">
        <w:rPr>
          <w:rFonts w:ascii="Arial" w:hAnsi="Arial" w:cs="Arial"/>
          <w:sz w:val="20"/>
        </w:rPr>
        <w:t>n</w:t>
      </w:r>
      <w:r w:rsidR="003A7591" w:rsidRPr="00AC4AEA">
        <w:rPr>
          <w:rFonts w:ascii="Arial" w:hAnsi="Arial" w:cs="Arial"/>
          <w:sz w:val="20"/>
        </w:rPr>
        <w:t>o consideren el efecto del impuesto a las ganancias.</w:t>
      </w:r>
    </w:p>
    <w:p w:rsidR="003A7591" w:rsidRPr="00AC4AEA" w:rsidRDefault="003A7591" w:rsidP="00A318EA">
      <w:pPr>
        <w:pStyle w:val="A-Normal11"/>
        <w:jc w:val="both"/>
        <w:rPr>
          <w:rFonts w:ascii="Arial" w:hAnsi="Arial" w:cs="Arial"/>
          <w:sz w:val="20"/>
        </w:rPr>
      </w:pPr>
    </w:p>
    <w:p w:rsidR="00E72C15" w:rsidRPr="00AC4AEA" w:rsidRDefault="00E72C15" w:rsidP="00A318EA">
      <w:pPr>
        <w:pStyle w:val="Ttulo2"/>
        <w:rPr>
          <w:rFonts w:cs="Arial"/>
        </w:rPr>
      </w:pPr>
      <w:bookmarkStart w:id="209" w:name="_Toc101863764"/>
      <w:bookmarkStart w:id="210" w:name="_Toc139356628"/>
      <w:r w:rsidRPr="00AC4AEA">
        <w:rPr>
          <w:rFonts w:cs="Arial"/>
        </w:rPr>
        <w:t>Nivel</w:t>
      </w:r>
      <w:r w:rsidR="000A7E01" w:rsidRPr="00AC4AEA">
        <w:rPr>
          <w:rFonts w:cs="Arial"/>
        </w:rPr>
        <w:t>es</w:t>
      </w:r>
      <w:r w:rsidRPr="00AC4AEA">
        <w:rPr>
          <w:rFonts w:cs="Arial"/>
        </w:rPr>
        <w:t xml:space="preserve"> de comparación</w:t>
      </w:r>
      <w:bookmarkEnd w:id="209"/>
      <w:bookmarkEnd w:id="210"/>
    </w:p>
    <w:p w:rsidR="004140D8" w:rsidRPr="00AC4AEA" w:rsidRDefault="004140D8" w:rsidP="00A318EA">
      <w:pPr>
        <w:pStyle w:val="Ttulo3"/>
      </w:pPr>
      <w:bookmarkStart w:id="211" w:name="_Toc139356629"/>
      <w:bookmarkStart w:id="212" w:name="_Ref101017195"/>
      <w:r w:rsidRPr="00AC4AEA">
        <w:t>Tratamiento general</w:t>
      </w:r>
      <w:bookmarkEnd w:id="211"/>
    </w:p>
    <w:p w:rsidR="00BB5F52" w:rsidRPr="00AC4AEA" w:rsidRDefault="00E72C15" w:rsidP="00A318EA">
      <w:pPr>
        <w:pStyle w:val="A-Normal11"/>
        <w:numPr>
          <w:ilvl w:val="0"/>
          <w:numId w:val="29"/>
        </w:numPr>
        <w:jc w:val="both"/>
        <w:rPr>
          <w:rFonts w:ascii="Arial" w:hAnsi="Arial" w:cs="Arial"/>
          <w:sz w:val="20"/>
        </w:rPr>
      </w:pPr>
      <w:bookmarkStart w:id="213" w:name="_Ref106381049"/>
      <w:r w:rsidRPr="00AC4AEA">
        <w:rPr>
          <w:rFonts w:ascii="Arial" w:hAnsi="Arial" w:cs="Arial"/>
          <w:sz w:val="20"/>
        </w:rPr>
        <w:t>Una entidad realizará las comparaciones entre</w:t>
      </w:r>
      <w:r w:rsidR="00432574" w:rsidRPr="00AC4AEA">
        <w:rPr>
          <w:rFonts w:ascii="Arial" w:hAnsi="Arial" w:cs="Arial"/>
          <w:sz w:val="20"/>
        </w:rPr>
        <w:t xml:space="preserve"> </w:t>
      </w:r>
      <w:r w:rsidR="00A82EFF" w:rsidRPr="00AC4AEA">
        <w:rPr>
          <w:rFonts w:ascii="Arial" w:hAnsi="Arial" w:cs="Arial"/>
          <w:sz w:val="20"/>
        </w:rPr>
        <w:t xml:space="preserve">la </w:t>
      </w:r>
      <w:r w:rsidR="00D30925" w:rsidRPr="00AC4AEA">
        <w:rPr>
          <w:rFonts w:ascii="Arial" w:hAnsi="Arial" w:cs="Arial"/>
          <w:sz w:val="20"/>
        </w:rPr>
        <w:t>medición</w:t>
      </w:r>
      <w:r w:rsidRPr="00AC4AEA">
        <w:rPr>
          <w:rFonts w:ascii="Arial" w:hAnsi="Arial" w:cs="Arial"/>
          <w:sz w:val="20"/>
        </w:rPr>
        <w:t xml:space="preserve"> contable y</w:t>
      </w:r>
      <w:r w:rsidR="00432574" w:rsidRPr="00AC4AEA">
        <w:rPr>
          <w:rFonts w:ascii="Arial" w:hAnsi="Arial" w:cs="Arial"/>
          <w:sz w:val="20"/>
        </w:rPr>
        <w:t xml:space="preserve"> el</w:t>
      </w:r>
      <w:r w:rsidRPr="00AC4AEA">
        <w:rPr>
          <w:rFonts w:ascii="Arial" w:hAnsi="Arial" w:cs="Arial"/>
          <w:sz w:val="20"/>
        </w:rPr>
        <w:t xml:space="preserve"> </w:t>
      </w:r>
      <w:r w:rsidR="00EC0123" w:rsidRPr="00AC4AEA">
        <w:rPr>
          <w:rFonts w:ascii="Arial" w:hAnsi="Arial" w:cs="Arial"/>
          <w:b/>
          <w:bCs/>
          <w:sz w:val="20"/>
        </w:rPr>
        <w:t>valor recuperable</w:t>
      </w:r>
      <w:r w:rsidR="00BB5F52" w:rsidRPr="00AC4AEA">
        <w:rPr>
          <w:rFonts w:ascii="Arial" w:hAnsi="Arial" w:cs="Arial"/>
          <w:sz w:val="20"/>
        </w:rPr>
        <w:t>:</w:t>
      </w:r>
      <w:bookmarkEnd w:id="212"/>
      <w:bookmarkEnd w:id="213"/>
      <w:r w:rsidRPr="00AC4AEA">
        <w:rPr>
          <w:rFonts w:ascii="Arial" w:hAnsi="Arial" w:cs="Arial"/>
          <w:sz w:val="20"/>
        </w:rPr>
        <w:t xml:space="preserve"> </w:t>
      </w:r>
    </w:p>
    <w:p w:rsidR="00BB5F52" w:rsidRPr="00AC4AEA" w:rsidRDefault="00BB5F52" w:rsidP="00A318EA">
      <w:pPr>
        <w:pStyle w:val="A-Normal11"/>
        <w:numPr>
          <w:ilvl w:val="1"/>
          <w:numId w:val="29"/>
        </w:numPr>
        <w:ind w:left="1560"/>
        <w:jc w:val="both"/>
        <w:rPr>
          <w:rFonts w:ascii="Arial" w:hAnsi="Arial" w:cs="Arial"/>
          <w:sz w:val="20"/>
        </w:rPr>
      </w:pPr>
      <w:bookmarkStart w:id="214" w:name="_Ref99457114"/>
      <w:r w:rsidRPr="00AC4AEA">
        <w:rPr>
          <w:rFonts w:ascii="Arial" w:hAnsi="Arial" w:cs="Arial"/>
          <w:sz w:val="20"/>
        </w:rPr>
        <w:t>Si es pequeña</w:t>
      </w:r>
      <w:r w:rsidR="00017258" w:rsidRPr="00AC4AEA">
        <w:rPr>
          <w:rFonts w:ascii="Arial" w:hAnsi="Arial" w:cs="Arial"/>
          <w:sz w:val="20"/>
        </w:rPr>
        <w:t xml:space="preserve"> o</w:t>
      </w:r>
      <w:r w:rsidR="00B34D02" w:rsidRPr="00AC4AEA">
        <w:rPr>
          <w:rFonts w:ascii="Arial" w:hAnsi="Arial" w:cs="Arial"/>
          <w:sz w:val="20"/>
        </w:rPr>
        <w:t xml:space="preserve"> mediano</w:t>
      </w:r>
      <w:r w:rsidRPr="00AC4AEA">
        <w:rPr>
          <w:rFonts w:ascii="Arial" w:hAnsi="Arial" w:cs="Arial"/>
          <w:sz w:val="20"/>
        </w:rPr>
        <w:t>, a nivel global</w:t>
      </w:r>
      <w:r w:rsidR="00B34D02" w:rsidRPr="00AC4AEA">
        <w:rPr>
          <w:rFonts w:ascii="Arial" w:hAnsi="Arial" w:cs="Arial"/>
          <w:sz w:val="20"/>
        </w:rPr>
        <w:t>.</w:t>
      </w:r>
      <w:r w:rsidRPr="00AC4AEA">
        <w:rPr>
          <w:rFonts w:ascii="Arial" w:hAnsi="Arial" w:cs="Arial"/>
          <w:sz w:val="20"/>
        </w:rPr>
        <w:t xml:space="preserve"> </w:t>
      </w:r>
      <w:bookmarkEnd w:id="214"/>
    </w:p>
    <w:p w:rsidR="00E72C15" w:rsidRPr="00AC4AEA" w:rsidRDefault="00ED2FE1" w:rsidP="00A318EA">
      <w:pPr>
        <w:pStyle w:val="A-Normal11"/>
        <w:numPr>
          <w:ilvl w:val="1"/>
          <w:numId w:val="29"/>
        </w:numPr>
        <w:ind w:left="1560"/>
        <w:jc w:val="both"/>
        <w:rPr>
          <w:rFonts w:ascii="Arial" w:hAnsi="Arial" w:cs="Arial"/>
          <w:sz w:val="20"/>
        </w:rPr>
      </w:pPr>
      <w:r w:rsidRPr="00AC4AEA">
        <w:rPr>
          <w:rFonts w:ascii="Arial" w:hAnsi="Arial" w:cs="Arial"/>
          <w:sz w:val="20"/>
        </w:rPr>
        <w:t>En los restantes casos</w:t>
      </w:r>
      <w:r w:rsidR="00BB5F52" w:rsidRPr="00AC4AEA">
        <w:rPr>
          <w:rFonts w:ascii="Arial" w:hAnsi="Arial" w:cs="Arial"/>
          <w:sz w:val="20"/>
        </w:rPr>
        <w:t>,</w:t>
      </w:r>
      <w:r w:rsidR="00057A1B" w:rsidRPr="00AC4AEA">
        <w:rPr>
          <w:rFonts w:ascii="Arial" w:hAnsi="Arial" w:cs="Arial"/>
          <w:sz w:val="20"/>
        </w:rPr>
        <w:t xml:space="preserve"> a</w:t>
      </w:r>
      <w:r w:rsidR="00E72C15" w:rsidRPr="00AC4AEA">
        <w:rPr>
          <w:rFonts w:ascii="Arial" w:hAnsi="Arial" w:cs="Arial"/>
          <w:sz w:val="20"/>
        </w:rPr>
        <w:t xml:space="preserve"> nivel de cada </w:t>
      </w:r>
      <w:r w:rsidR="00E72C15" w:rsidRPr="00AC4AEA">
        <w:rPr>
          <w:rFonts w:ascii="Arial" w:hAnsi="Arial" w:cs="Arial"/>
          <w:b/>
          <w:bCs/>
          <w:sz w:val="20"/>
        </w:rPr>
        <w:t>activo</w:t>
      </w:r>
      <w:r w:rsidR="00E72C15" w:rsidRPr="00AC4AEA">
        <w:rPr>
          <w:rFonts w:ascii="Arial" w:hAnsi="Arial" w:cs="Arial"/>
          <w:sz w:val="20"/>
        </w:rPr>
        <w:t xml:space="preserve"> o, </w:t>
      </w:r>
      <w:r w:rsidR="00432574" w:rsidRPr="00AC4AEA">
        <w:rPr>
          <w:rFonts w:ascii="Arial" w:hAnsi="Arial" w:cs="Arial"/>
          <w:sz w:val="20"/>
        </w:rPr>
        <w:t>si esto no fuera posible</w:t>
      </w:r>
      <w:r w:rsidR="00E72C15" w:rsidRPr="00AC4AEA">
        <w:rPr>
          <w:rFonts w:ascii="Arial" w:hAnsi="Arial" w:cs="Arial"/>
          <w:sz w:val="20"/>
        </w:rPr>
        <w:t>,</w:t>
      </w:r>
      <w:r w:rsidR="00E93A98" w:rsidRPr="00AC4AEA">
        <w:rPr>
          <w:rFonts w:ascii="Arial" w:hAnsi="Arial" w:cs="Arial"/>
          <w:sz w:val="20"/>
        </w:rPr>
        <w:t xml:space="preserve"> a nivel de un</w:t>
      </w:r>
      <w:r w:rsidR="00E72C15" w:rsidRPr="00AC4AEA">
        <w:rPr>
          <w:rFonts w:ascii="Arial" w:hAnsi="Arial" w:cs="Arial"/>
          <w:sz w:val="20"/>
        </w:rPr>
        <w:t xml:space="preserve"> grupo de </w:t>
      </w:r>
      <w:r w:rsidR="00497590" w:rsidRPr="00AC4AEA">
        <w:rPr>
          <w:rFonts w:ascii="Arial" w:hAnsi="Arial" w:cs="Arial"/>
          <w:sz w:val="20"/>
        </w:rPr>
        <w:t>activos</w:t>
      </w:r>
      <w:r w:rsidR="00E93A98" w:rsidRPr="00AC4AEA">
        <w:rPr>
          <w:rFonts w:ascii="Arial" w:hAnsi="Arial" w:cs="Arial"/>
          <w:sz w:val="20"/>
        </w:rPr>
        <w:t xml:space="preserve"> [ver los párrafos </w:t>
      </w:r>
      <w:fldSimple w:instr=" REF _Ref99470566 \r \h  \* MERGEFORMAT ">
        <w:r w:rsidR="00D33A5D" w:rsidRPr="00D33A5D">
          <w:rPr>
            <w:rFonts w:ascii="Arial" w:hAnsi="Arial" w:cs="Arial"/>
            <w:sz w:val="20"/>
          </w:rPr>
          <w:t>161</w:t>
        </w:r>
      </w:fldSimple>
      <w:r w:rsidR="00E93A98" w:rsidRPr="00AC4AEA">
        <w:rPr>
          <w:rFonts w:ascii="Arial" w:hAnsi="Arial" w:cs="Arial"/>
          <w:sz w:val="20"/>
        </w:rPr>
        <w:t xml:space="preserve"> a </w:t>
      </w:r>
      <w:fldSimple w:instr=" REF _Ref99470572 \r \h  \* MERGEFORMAT ">
        <w:r w:rsidR="00D33A5D" w:rsidRPr="00D33A5D">
          <w:rPr>
            <w:rFonts w:ascii="Arial" w:hAnsi="Arial" w:cs="Arial"/>
            <w:sz w:val="20"/>
          </w:rPr>
          <w:t>165</w:t>
        </w:r>
      </w:fldSimple>
      <w:r w:rsidR="00E93A98" w:rsidRPr="00AC4AEA">
        <w:rPr>
          <w:rFonts w:ascii="Arial" w:hAnsi="Arial" w:cs="Arial"/>
          <w:sz w:val="20"/>
        </w:rPr>
        <w:t>]</w:t>
      </w:r>
      <w:r w:rsidR="00E72C15" w:rsidRPr="00AC4AEA">
        <w:rPr>
          <w:rFonts w:ascii="Arial" w:hAnsi="Arial" w:cs="Arial"/>
          <w:sz w:val="20"/>
        </w:rPr>
        <w:t>.</w:t>
      </w:r>
    </w:p>
    <w:p w:rsidR="005B3F73" w:rsidRPr="00AC4AEA" w:rsidRDefault="005B3F73" w:rsidP="00A318EA">
      <w:pPr>
        <w:jc w:val="both"/>
        <w:rPr>
          <w:rFonts w:ascii="Arial" w:hAnsi="Arial" w:cs="Arial"/>
          <w:sz w:val="20"/>
          <w:szCs w:val="20"/>
        </w:rPr>
      </w:pPr>
    </w:p>
    <w:p w:rsidR="00E72C15" w:rsidRPr="00AC4AEA" w:rsidRDefault="00A06C32" w:rsidP="00A318EA">
      <w:pPr>
        <w:pStyle w:val="Ttulo3"/>
      </w:pPr>
      <w:bookmarkStart w:id="215" w:name="_Toc101863765"/>
      <w:bookmarkStart w:id="216" w:name="_Toc139356630"/>
      <w:r w:rsidRPr="00AC4AEA">
        <w:t xml:space="preserve">Valor </w:t>
      </w:r>
      <w:r w:rsidR="007E020E" w:rsidRPr="00AC4AEA">
        <w:t>recuperable de</w:t>
      </w:r>
      <w:r w:rsidR="00E72C15" w:rsidRPr="00AC4AEA">
        <w:t xml:space="preserve"> </w:t>
      </w:r>
      <w:r w:rsidR="00497590" w:rsidRPr="00AC4AEA">
        <w:t>activos</w:t>
      </w:r>
      <w:r w:rsidR="00E72C15" w:rsidRPr="00AC4AEA">
        <w:t xml:space="preserve"> que no generan flujos de efectivo propio</w:t>
      </w:r>
      <w:bookmarkEnd w:id="215"/>
      <w:r w:rsidR="004140D8" w:rsidRPr="00AC4AEA">
        <w:t>s</w:t>
      </w:r>
      <w:bookmarkEnd w:id="216"/>
    </w:p>
    <w:p w:rsidR="00727012" w:rsidRPr="00AC4AEA" w:rsidRDefault="000A7E01" w:rsidP="00A318EA">
      <w:pPr>
        <w:pStyle w:val="A-Normal11"/>
        <w:numPr>
          <w:ilvl w:val="0"/>
          <w:numId w:val="29"/>
        </w:numPr>
        <w:jc w:val="both"/>
        <w:rPr>
          <w:rFonts w:ascii="Arial" w:hAnsi="Arial" w:cs="Arial"/>
          <w:sz w:val="20"/>
        </w:rPr>
      </w:pPr>
      <w:bookmarkStart w:id="217" w:name="_Ref99470566"/>
      <w:r w:rsidRPr="00AC4AEA">
        <w:rPr>
          <w:rFonts w:ascii="Arial" w:hAnsi="Arial" w:cs="Arial"/>
          <w:sz w:val="20"/>
        </w:rPr>
        <w:t xml:space="preserve">En el caso de </w:t>
      </w:r>
      <w:r w:rsidR="00CD79CF" w:rsidRPr="00AC4AEA">
        <w:rPr>
          <w:rFonts w:ascii="Arial" w:hAnsi="Arial" w:cs="Arial"/>
          <w:sz w:val="20"/>
        </w:rPr>
        <w:t xml:space="preserve">los </w:t>
      </w:r>
      <w:r w:rsidR="00497590" w:rsidRPr="00AC4AEA">
        <w:rPr>
          <w:rFonts w:ascii="Arial" w:hAnsi="Arial" w:cs="Arial"/>
          <w:sz w:val="20"/>
        </w:rPr>
        <w:t>activos</w:t>
      </w:r>
      <w:r w:rsidRPr="00AC4AEA">
        <w:rPr>
          <w:rFonts w:ascii="Arial" w:hAnsi="Arial" w:cs="Arial"/>
          <w:sz w:val="20"/>
        </w:rPr>
        <w:t xml:space="preserve"> que no generan flujos de efectivo propios, una entidad</w:t>
      </w:r>
      <w:r w:rsidR="002464A9" w:rsidRPr="00AC4AEA">
        <w:rPr>
          <w:rFonts w:ascii="Arial" w:hAnsi="Arial" w:cs="Arial"/>
          <w:sz w:val="20"/>
        </w:rPr>
        <w:t xml:space="preserve"> que </w:t>
      </w:r>
      <w:r w:rsidR="008457C3" w:rsidRPr="00AC4AEA">
        <w:rPr>
          <w:rFonts w:ascii="Arial" w:hAnsi="Arial" w:cs="Arial"/>
          <w:sz w:val="20"/>
        </w:rPr>
        <w:t xml:space="preserve">no </w:t>
      </w:r>
      <w:r w:rsidR="002464A9" w:rsidRPr="00AC4AEA">
        <w:rPr>
          <w:rFonts w:ascii="Arial" w:hAnsi="Arial" w:cs="Arial"/>
          <w:sz w:val="20"/>
        </w:rPr>
        <w:t xml:space="preserve">aplica el enfoque global establecido en el </w:t>
      </w:r>
      <w:r w:rsidR="00C10E95" w:rsidRPr="00AC4AEA">
        <w:rPr>
          <w:rFonts w:ascii="Arial" w:hAnsi="Arial" w:cs="Arial"/>
          <w:sz w:val="20"/>
        </w:rPr>
        <w:t xml:space="preserve">inciso a) del </w:t>
      </w:r>
      <w:r w:rsidR="002464A9" w:rsidRPr="00AC4AEA">
        <w:rPr>
          <w:rFonts w:ascii="Arial" w:hAnsi="Arial" w:cs="Arial"/>
          <w:sz w:val="20"/>
        </w:rPr>
        <w:t xml:space="preserve">párrafo </w:t>
      </w:r>
      <w:fldSimple w:instr=" REF _Ref106381049 \r \h  \* MERGEFORMAT ">
        <w:r w:rsidR="00D33A5D" w:rsidRPr="00D33A5D">
          <w:rPr>
            <w:rFonts w:ascii="Arial" w:hAnsi="Arial" w:cs="Arial"/>
            <w:sz w:val="20"/>
          </w:rPr>
          <w:t>160</w:t>
        </w:r>
      </w:fldSimple>
      <w:r w:rsidR="002464A9" w:rsidRPr="00AC4AEA">
        <w:rPr>
          <w:rFonts w:ascii="Arial" w:hAnsi="Arial" w:cs="Arial"/>
          <w:sz w:val="20"/>
        </w:rPr>
        <w:t xml:space="preserve"> </w:t>
      </w:r>
      <w:r w:rsidRPr="00AC4AEA">
        <w:rPr>
          <w:rFonts w:ascii="Arial" w:hAnsi="Arial" w:cs="Arial"/>
          <w:sz w:val="20"/>
        </w:rPr>
        <w:t>comparará</w:t>
      </w:r>
      <w:r w:rsidR="00040DA8" w:rsidRPr="00AC4AEA">
        <w:rPr>
          <w:rFonts w:ascii="Arial" w:hAnsi="Arial" w:cs="Arial"/>
          <w:sz w:val="20"/>
        </w:rPr>
        <w:t xml:space="preserve"> la medición de los activos con su </w:t>
      </w:r>
      <w:r w:rsidR="00040DA8" w:rsidRPr="00AC4AEA">
        <w:rPr>
          <w:rFonts w:ascii="Arial" w:hAnsi="Arial" w:cs="Arial"/>
          <w:b/>
          <w:bCs/>
          <w:sz w:val="20"/>
        </w:rPr>
        <w:t>valor recuperable</w:t>
      </w:r>
      <w:r w:rsidR="00727012" w:rsidRPr="00AC4AEA">
        <w:rPr>
          <w:rFonts w:ascii="Arial" w:hAnsi="Arial" w:cs="Arial"/>
          <w:sz w:val="20"/>
        </w:rPr>
        <w:t>:</w:t>
      </w:r>
      <w:r w:rsidRPr="00AC4AEA">
        <w:rPr>
          <w:rFonts w:ascii="Arial" w:hAnsi="Arial" w:cs="Arial"/>
          <w:sz w:val="20"/>
        </w:rPr>
        <w:t xml:space="preserve"> </w:t>
      </w:r>
    </w:p>
    <w:p w:rsidR="00040DA8" w:rsidRPr="00AC4AEA" w:rsidRDefault="00EB23AE" w:rsidP="00040DA8">
      <w:pPr>
        <w:pStyle w:val="A-Normal11"/>
        <w:numPr>
          <w:ilvl w:val="1"/>
          <w:numId w:val="29"/>
        </w:numPr>
        <w:ind w:left="1560"/>
        <w:jc w:val="both"/>
        <w:rPr>
          <w:rFonts w:ascii="Arial" w:hAnsi="Arial" w:cs="Arial"/>
          <w:sz w:val="20"/>
        </w:rPr>
      </w:pPr>
      <w:r w:rsidRPr="00AC4AEA">
        <w:rPr>
          <w:rFonts w:ascii="Arial" w:hAnsi="Arial" w:cs="Arial"/>
          <w:sz w:val="20"/>
        </w:rPr>
        <w:t xml:space="preserve">al nivel de cada </w:t>
      </w:r>
      <w:r w:rsidRPr="00AC4AEA">
        <w:rPr>
          <w:rFonts w:ascii="Arial" w:hAnsi="Arial" w:cs="Arial"/>
          <w:b/>
          <w:bCs/>
          <w:sz w:val="20"/>
        </w:rPr>
        <w:t>actividad generadora de efectivo</w:t>
      </w:r>
      <w:r w:rsidR="00BE7C55" w:rsidRPr="00AC4AEA">
        <w:rPr>
          <w:rFonts w:ascii="Arial" w:hAnsi="Arial" w:cs="Arial"/>
          <w:b/>
          <w:bCs/>
          <w:sz w:val="20"/>
        </w:rPr>
        <w:t xml:space="preserve"> </w:t>
      </w:r>
      <w:r w:rsidR="007271ED" w:rsidRPr="00AC4AEA">
        <w:rPr>
          <w:rFonts w:ascii="Arial" w:hAnsi="Arial" w:cs="Arial"/>
          <w:sz w:val="20"/>
        </w:rPr>
        <w:t xml:space="preserve">[ver los párrafos </w:t>
      </w:r>
      <w:fldSimple w:instr=" REF _Ref101018449 \r \h  \* MERGEFORMAT ">
        <w:r w:rsidR="00D33A5D" w:rsidRPr="00D33A5D">
          <w:rPr>
            <w:rFonts w:ascii="Arial" w:hAnsi="Arial" w:cs="Arial"/>
            <w:sz w:val="20"/>
          </w:rPr>
          <w:t>163</w:t>
        </w:r>
      </w:fldSimple>
      <w:r w:rsidR="007271ED" w:rsidRPr="00AC4AEA">
        <w:rPr>
          <w:rFonts w:ascii="Arial" w:hAnsi="Arial" w:cs="Arial"/>
          <w:sz w:val="20"/>
        </w:rPr>
        <w:t xml:space="preserve"> y </w:t>
      </w:r>
      <w:fldSimple w:instr=" REF _Ref99470572 \r \h  \* MERGEFORMAT ">
        <w:r w:rsidR="00D33A5D" w:rsidRPr="00D33A5D">
          <w:rPr>
            <w:rFonts w:ascii="Arial" w:hAnsi="Arial" w:cs="Arial"/>
            <w:sz w:val="20"/>
          </w:rPr>
          <w:t>165</w:t>
        </w:r>
      </w:fldSimple>
      <w:r w:rsidR="007271ED" w:rsidRPr="00AC4AEA">
        <w:rPr>
          <w:rFonts w:ascii="Arial" w:hAnsi="Arial" w:cs="Arial"/>
          <w:sz w:val="20"/>
        </w:rPr>
        <w:t>];</w:t>
      </w:r>
      <w:r w:rsidR="00040DA8" w:rsidRPr="00AC4AEA">
        <w:rPr>
          <w:rFonts w:ascii="Arial" w:hAnsi="Arial" w:cs="Arial"/>
          <w:sz w:val="20"/>
        </w:rPr>
        <w:t xml:space="preserve"> </w:t>
      </w:r>
      <w:r w:rsidR="00BE7C55" w:rsidRPr="00AC4AEA">
        <w:rPr>
          <w:rFonts w:ascii="Arial" w:hAnsi="Arial" w:cs="Arial"/>
          <w:sz w:val="20"/>
        </w:rPr>
        <w:t xml:space="preserve">o </w:t>
      </w:r>
    </w:p>
    <w:p w:rsidR="00EB23AE" w:rsidRPr="00AC4AEA" w:rsidRDefault="00040DA8" w:rsidP="00040DA8">
      <w:pPr>
        <w:pStyle w:val="A-Normal11"/>
        <w:numPr>
          <w:ilvl w:val="1"/>
          <w:numId w:val="29"/>
        </w:numPr>
        <w:ind w:left="1560"/>
        <w:jc w:val="both"/>
        <w:rPr>
          <w:rFonts w:ascii="Arial" w:hAnsi="Arial" w:cs="Arial"/>
          <w:sz w:val="20"/>
        </w:rPr>
      </w:pPr>
      <w:r w:rsidRPr="00AC4AEA">
        <w:rPr>
          <w:rFonts w:ascii="Arial" w:hAnsi="Arial" w:cs="Arial"/>
          <w:sz w:val="20"/>
        </w:rPr>
        <w:t xml:space="preserve">a nivel de </w:t>
      </w:r>
      <w:r w:rsidR="0012115A" w:rsidRPr="00AC4AEA">
        <w:rPr>
          <w:rFonts w:ascii="Arial" w:hAnsi="Arial" w:cs="Arial"/>
          <w:sz w:val="20"/>
        </w:rPr>
        <w:t xml:space="preserve">una unidad más pequeña que una </w:t>
      </w:r>
      <w:r w:rsidR="0012115A" w:rsidRPr="00AC4AEA">
        <w:rPr>
          <w:rFonts w:ascii="Arial" w:hAnsi="Arial" w:cs="Arial"/>
          <w:b/>
          <w:bCs/>
          <w:sz w:val="20"/>
        </w:rPr>
        <w:t xml:space="preserve">actividad generadora de efectivo </w:t>
      </w:r>
      <w:r w:rsidR="0012115A" w:rsidRPr="00AC4AEA">
        <w:rPr>
          <w:rFonts w:ascii="Arial" w:hAnsi="Arial" w:cs="Arial"/>
          <w:sz w:val="20"/>
        </w:rPr>
        <w:t xml:space="preserve">[ver los párrafos </w:t>
      </w:r>
      <w:fldSimple w:instr=" REF _Ref99473003 \r \h  \* MERGEFORMAT ">
        <w:r w:rsidR="00D33A5D" w:rsidRPr="00D33A5D">
          <w:rPr>
            <w:rFonts w:ascii="Arial" w:hAnsi="Arial" w:cs="Arial"/>
            <w:sz w:val="20"/>
          </w:rPr>
          <w:t>164</w:t>
        </w:r>
      </w:fldSimple>
      <w:r w:rsidR="0012115A" w:rsidRPr="00AC4AEA">
        <w:rPr>
          <w:rFonts w:ascii="Arial" w:hAnsi="Arial" w:cs="Arial"/>
          <w:sz w:val="20"/>
        </w:rPr>
        <w:t xml:space="preserve"> y </w:t>
      </w:r>
      <w:fldSimple w:instr=" REF _Ref99470572 \r \h  \* MERGEFORMAT ">
        <w:r w:rsidR="00D33A5D" w:rsidRPr="00D33A5D">
          <w:rPr>
            <w:rFonts w:ascii="Arial" w:hAnsi="Arial" w:cs="Arial"/>
            <w:sz w:val="20"/>
          </w:rPr>
          <w:t>165</w:t>
        </w:r>
      </w:fldSimple>
      <w:r w:rsidR="0012115A" w:rsidRPr="00AC4AEA">
        <w:rPr>
          <w:rFonts w:ascii="Arial" w:hAnsi="Arial" w:cs="Arial"/>
          <w:sz w:val="20"/>
        </w:rPr>
        <w:t>]</w:t>
      </w:r>
      <w:r w:rsidR="00EB23AE" w:rsidRPr="00AC4AEA">
        <w:rPr>
          <w:rFonts w:ascii="Arial" w:hAnsi="Arial" w:cs="Arial"/>
          <w:sz w:val="20"/>
        </w:rPr>
        <w:t xml:space="preserve">. </w:t>
      </w:r>
    </w:p>
    <w:p w:rsidR="00A31F64" w:rsidRPr="00AC4AEA" w:rsidRDefault="002979E6" w:rsidP="00A318EA">
      <w:pPr>
        <w:pStyle w:val="A-Normal11"/>
        <w:numPr>
          <w:ilvl w:val="0"/>
          <w:numId w:val="29"/>
        </w:numPr>
        <w:jc w:val="both"/>
        <w:rPr>
          <w:rFonts w:ascii="Arial" w:hAnsi="Arial" w:cs="Arial"/>
          <w:sz w:val="20"/>
        </w:rPr>
      </w:pPr>
      <w:r w:rsidRPr="00AC4AEA">
        <w:rPr>
          <w:rFonts w:ascii="Arial" w:hAnsi="Arial" w:cs="Arial"/>
          <w:sz w:val="20"/>
        </w:rPr>
        <w:t>De acuerdo</w:t>
      </w:r>
      <w:r w:rsidR="008457C3" w:rsidRPr="00AC4AEA">
        <w:rPr>
          <w:rFonts w:ascii="Arial" w:hAnsi="Arial" w:cs="Arial"/>
          <w:sz w:val="20"/>
        </w:rPr>
        <w:t xml:space="preserve"> con lo indicado en el </w:t>
      </w:r>
      <w:r w:rsidR="00353B97" w:rsidRPr="00AC4AEA">
        <w:rPr>
          <w:rFonts w:ascii="Arial" w:hAnsi="Arial" w:cs="Arial"/>
          <w:sz w:val="20"/>
        </w:rPr>
        <w:t xml:space="preserve">inciso b) del </w:t>
      </w:r>
      <w:r w:rsidR="008457C3" w:rsidRPr="00AC4AEA">
        <w:rPr>
          <w:rFonts w:ascii="Arial" w:hAnsi="Arial" w:cs="Arial"/>
          <w:sz w:val="20"/>
        </w:rPr>
        <w:t xml:space="preserve">párrafo </w:t>
      </w:r>
      <w:fldSimple w:instr=" REF _Ref101015301 \r \h  \* MERGEFORMAT ">
        <w:r w:rsidR="00D33A5D" w:rsidRPr="00D33A5D">
          <w:rPr>
            <w:rFonts w:ascii="Arial" w:hAnsi="Arial" w:cs="Arial"/>
            <w:sz w:val="20"/>
          </w:rPr>
          <w:t>149</w:t>
        </w:r>
      </w:fldSimple>
      <w:r w:rsidR="008457C3" w:rsidRPr="00AC4AEA">
        <w:rPr>
          <w:rFonts w:ascii="Arial" w:hAnsi="Arial" w:cs="Arial"/>
          <w:sz w:val="20"/>
        </w:rPr>
        <w:t>, u</w:t>
      </w:r>
      <w:r w:rsidR="00EB23AE" w:rsidRPr="00AC4AEA">
        <w:rPr>
          <w:rFonts w:ascii="Arial" w:hAnsi="Arial" w:cs="Arial"/>
          <w:sz w:val="20"/>
        </w:rPr>
        <w:t xml:space="preserve">na entidad considerará </w:t>
      </w:r>
      <w:r w:rsidR="00E707FD" w:rsidRPr="00AC4AEA">
        <w:rPr>
          <w:rFonts w:ascii="Arial" w:hAnsi="Arial" w:cs="Arial"/>
          <w:sz w:val="20"/>
        </w:rPr>
        <w:t xml:space="preserve">siempre </w:t>
      </w:r>
      <w:r w:rsidR="00EB23AE" w:rsidRPr="00AC4AEA">
        <w:rPr>
          <w:rFonts w:ascii="Arial" w:hAnsi="Arial" w:cs="Arial"/>
          <w:sz w:val="20"/>
        </w:rPr>
        <w:t xml:space="preserve">a la llave de negocio </w:t>
      </w:r>
      <w:r w:rsidR="00E707FD" w:rsidRPr="00AC4AEA">
        <w:rPr>
          <w:rFonts w:ascii="Arial" w:hAnsi="Arial" w:cs="Arial"/>
          <w:sz w:val="20"/>
        </w:rPr>
        <w:t>como</w:t>
      </w:r>
      <w:r w:rsidR="00EB23AE" w:rsidRPr="00AC4AEA">
        <w:rPr>
          <w:rFonts w:ascii="Arial" w:hAnsi="Arial" w:cs="Arial"/>
          <w:sz w:val="20"/>
        </w:rPr>
        <w:t xml:space="preserve"> un activo intangible que no genera </w:t>
      </w:r>
      <w:r w:rsidR="00E707FD" w:rsidRPr="00AC4AEA">
        <w:rPr>
          <w:rFonts w:ascii="Arial" w:hAnsi="Arial" w:cs="Arial"/>
          <w:sz w:val="20"/>
        </w:rPr>
        <w:t>flujos</w:t>
      </w:r>
      <w:r w:rsidR="00EB23AE" w:rsidRPr="00AC4AEA">
        <w:rPr>
          <w:rFonts w:ascii="Arial" w:hAnsi="Arial" w:cs="Arial"/>
          <w:sz w:val="20"/>
        </w:rPr>
        <w:t xml:space="preserve"> de efectivo </w:t>
      </w:r>
      <w:r w:rsidR="00E707FD" w:rsidRPr="00AC4AEA">
        <w:rPr>
          <w:rFonts w:ascii="Arial" w:hAnsi="Arial" w:cs="Arial"/>
          <w:sz w:val="20"/>
        </w:rPr>
        <w:t>propios</w:t>
      </w:r>
      <w:r w:rsidR="00A31F64" w:rsidRPr="00AC4AEA">
        <w:rPr>
          <w:rFonts w:ascii="Arial" w:hAnsi="Arial" w:cs="Arial"/>
          <w:sz w:val="20"/>
        </w:rPr>
        <w:t>, y deberá asignarla:</w:t>
      </w:r>
      <w:bookmarkEnd w:id="217"/>
    </w:p>
    <w:p w:rsidR="00A31F64" w:rsidRPr="00AC4AEA" w:rsidRDefault="00CB5353" w:rsidP="00A318EA">
      <w:pPr>
        <w:pStyle w:val="A-Normal11"/>
        <w:numPr>
          <w:ilvl w:val="1"/>
          <w:numId w:val="29"/>
        </w:numPr>
        <w:ind w:left="1560"/>
        <w:jc w:val="both"/>
        <w:rPr>
          <w:rFonts w:ascii="Arial" w:hAnsi="Arial" w:cs="Arial"/>
          <w:sz w:val="20"/>
        </w:rPr>
      </w:pPr>
      <w:r w:rsidRPr="00AC4AEA">
        <w:rPr>
          <w:rFonts w:ascii="Arial" w:hAnsi="Arial" w:cs="Arial"/>
          <w:sz w:val="20"/>
        </w:rPr>
        <w:t>a</w:t>
      </w:r>
      <w:r w:rsidR="00A31F64" w:rsidRPr="00AC4AEA">
        <w:rPr>
          <w:rFonts w:ascii="Arial" w:hAnsi="Arial" w:cs="Arial"/>
          <w:sz w:val="20"/>
        </w:rPr>
        <w:t xml:space="preserve"> una </w:t>
      </w:r>
      <w:r w:rsidR="00A31F64" w:rsidRPr="00AC4AEA">
        <w:rPr>
          <w:rFonts w:ascii="Arial" w:hAnsi="Arial" w:cs="Arial"/>
          <w:b/>
          <w:bCs/>
          <w:sz w:val="20"/>
        </w:rPr>
        <w:t>actividad generadora de efectivo</w:t>
      </w:r>
      <w:r w:rsidRPr="00AC4AEA">
        <w:rPr>
          <w:rFonts w:ascii="Arial" w:hAnsi="Arial" w:cs="Arial"/>
          <w:sz w:val="20"/>
        </w:rPr>
        <w:t xml:space="preserve"> [ver los párrafos </w:t>
      </w:r>
      <w:fldSimple w:instr=" REF _Ref101018449 \r \h  \* MERGEFORMAT ">
        <w:r w:rsidR="00D33A5D" w:rsidRPr="00D33A5D">
          <w:rPr>
            <w:rFonts w:ascii="Arial" w:hAnsi="Arial" w:cs="Arial"/>
            <w:sz w:val="20"/>
          </w:rPr>
          <w:t>163</w:t>
        </w:r>
      </w:fldSimple>
      <w:r w:rsidRPr="00AC4AEA">
        <w:rPr>
          <w:rFonts w:ascii="Arial" w:hAnsi="Arial" w:cs="Arial"/>
          <w:sz w:val="20"/>
        </w:rPr>
        <w:t xml:space="preserve"> y </w:t>
      </w:r>
      <w:fldSimple w:instr=" REF _Ref99470572 \r \h  \* MERGEFORMAT ">
        <w:r w:rsidR="00D33A5D" w:rsidRPr="00D33A5D">
          <w:rPr>
            <w:rFonts w:ascii="Arial" w:hAnsi="Arial" w:cs="Arial"/>
            <w:sz w:val="20"/>
          </w:rPr>
          <w:t>165</w:t>
        </w:r>
      </w:fldSimple>
      <w:r w:rsidRPr="00AC4AEA">
        <w:rPr>
          <w:rFonts w:ascii="Arial" w:hAnsi="Arial" w:cs="Arial"/>
          <w:sz w:val="20"/>
        </w:rPr>
        <w:t>]</w:t>
      </w:r>
      <w:r w:rsidR="00A31F64" w:rsidRPr="00AC4AEA">
        <w:rPr>
          <w:rFonts w:ascii="Arial" w:hAnsi="Arial" w:cs="Arial"/>
          <w:sz w:val="20"/>
        </w:rPr>
        <w:t>; o</w:t>
      </w:r>
    </w:p>
    <w:p w:rsidR="00E72C15" w:rsidRPr="00AC4AEA" w:rsidRDefault="00CB5353" w:rsidP="00A318EA">
      <w:pPr>
        <w:pStyle w:val="A-Normal11"/>
        <w:numPr>
          <w:ilvl w:val="1"/>
          <w:numId w:val="29"/>
        </w:numPr>
        <w:ind w:left="1560"/>
        <w:jc w:val="both"/>
        <w:rPr>
          <w:rFonts w:ascii="Arial" w:hAnsi="Arial" w:cs="Arial"/>
          <w:sz w:val="20"/>
        </w:rPr>
      </w:pPr>
      <w:r w:rsidRPr="00AC4AEA">
        <w:rPr>
          <w:rFonts w:ascii="Arial" w:hAnsi="Arial" w:cs="Arial"/>
          <w:sz w:val="20"/>
        </w:rPr>
        <w:t>a</w:t>
      </w:r>
      <w:r w:rsidR="00A31F64" w:rsidRPr="00AC4AEA">
        <w:rPr>
          <w:rFonts w:ascii="Arial" w:hAnsi="Arial" w:cs="Arial"/>
          <w:sz w:val="20"/>
        </w:rPr>
        <w:t xml:space="preserve"> una unidad más pequeña </w:t>
      </w:r>
      <w:r w:rsidR="00A102B4" w:rsidRPr="00AC4AEA">
        <w:rPr>
          <w:rFonts w:ascii="Arial" w:hAnsi="Arial" w:cs="Arial"/>
          <w:sz w:val="20"/>
        </w:rPr>
        <w:t xml:space="preserve">que una </w:t>
      </w:r>
      <w:r w:rsidR="00A102B4" w:rsidRPr="00AC4AEA">
        <w:rPr>
          <w:rFonts w:ascii="Arial" w:hAnsi="Arial" w:cs="Arial"/>
          <w:b/>
          <w:bCs/>
          <w:sz w:val="20"/>
        </w:rPr>
        <w:t>actividad generadora de efectivo</w:t>
      </w:r>
      <w:r w:rsidR="00F7363C" w:rsidRPr="00AC4AEA">
        <w:rPr>
          <w:rFonts w:ascii="Arial" w:hAnsi="Arial" w:cs="Arial"/>
          <w:b/>
          <w:bCs/>
          <w:sz w:val="20"/>
        </w:rPr>
        <w:t xml:space="preserve"> </w:t>
      </w:r>
      <w:r w:rsidR="00A31F64" w:rsidRPr="00AC4AEA">
        <w:rPr>
          <w:rFonts w:ascii="Arial" w:hAnsi="Arial" w:cs="Arial"/>
          <w:sz w:val="20"/>
        </w:rPr>
        <w:t xml:space="preserve">[ver </w:t>
      </w:r>
      <w:r w:rsidRPr="00AC4AEA">
        <w:rPr>
          <w:rFonts w:ascii="Arial" w:hAnsi="Arial" w:cs="Arial"/>
          <w:sz w:val="20"/>
        </w:rPr>
        <w:t xml:space="preserve">los </w:t>
      </w:r>
      <w:r w:rsidR="00A31F64" w:rsidRPr="00AC4AEA">
        <w:rPr>
          <w:rFonts w:ascii="Arial" w:hAnsi="Arial" w:cs="Arial"/>
          <w:sz w:val="20"/>
        </w:rPr>
        <w:t>párrafo</w:t>
      </w:r>
      <w:r w:rsidRPr="00AC4AEA">
        <w:rPr>
          <w:rFonts w:ascii="Arial" w:hAnsi="Arial" w:cs="Arial"/>
          <w:sz w:val="20"/>
        </w:rPr>
        <w:t xml:space="preserve">s </w:t>
      </w:r>
      <w:fldSimple w:instr=" REF _Ref99473003 \r \h  \* MERGEFORMAT ">
        <w:r w:rsidR="00D33A5D" w:rsidRPr="00D33A5D">
          <w:rPr>
            <w:rFonts w:ascii="Arial" w:hAnsi="Arial" w:cs="Arial"/>
            <w:sz w:val="20"/>
          </w:rPr>
          <w:t>164</w:t>
        </w:r>
      </w:fldSimple>
      <w:r w:rsidRPr="00AC4AEA">
        <w:rPr>
          <w:rFonts w:ascii="Arial" w:hAnsi="Arial" w:cs="Arial"/>
          <w:sz w:val="20"/>
        </w:rPr>
        <w:t xml:space="preserve"> y </w:t>
      </w:r>
      <w:fldSimple w:instr=" REF _Ref99470572 \r \h  \* MERGEFORMAT ">
        <w:r w:rsidR="00D33A5D" w:rsidRPr="00D33A5D">
          <w:rPr>
            <w:rFonts w:ascii="Arial" w:hAnsi="Arial" w:cs="Arial"/>
            <w:sz w:val="20"/>
          </w:rPr>
          <w:t>165</w:t>
        </w:r>
      </w:fldSimple>
      <w:r w:rsidR="00A31F64" w:rsidRPr="00AC4AEA">
        <w:rPr>
          <w:rFonts w:ascii="Arial" w:hAnsi="Arial" w:cs="Arial"/>
          <w:sz w:val="20"/>
        </w:rPr>
        <w:t>].</w:t>
      </w:r>
    </w:p>
    <w:p w:rsidR="000A7E01" w:rsidRPr="00AC4AEA" w:rsidRDefault="00D96960" w:rsidP="00A318EA">
      <w:pPr>
        <w:pStyle w:val="A-Normal11"/>
        <w:numPr>
          <w:ilvl w:val="0"/>
          <w:numId w:val="29"/>
        </w:numPr>
        <w:jc w:val="both"/>
        <w:rPr>
          <w:rFonts w:ascii="Arial" w:hAnsi="Arial" w:cs="Arial"/>
          <w:sz w:val="20"/>
        </w:rPr>
      </w:pPr>
      <w:bookmarkStart w:id="218" w:name="_Ref101018449"/>
      <w:r w:rsidRPr="00AC4AEA">
        <w:rPr>
          <w:rFonts w:ascii="Arial" w:hAnsi="Arial" w:cs="Arial"/>
          <w:sz w:val="20"/>
        </w:rPr>
        <w:t>Para definir</w:t>
      </w:r>
      <w:r w:rsidR="000A7E01" w:rsidRPr="00AC4AEA">
        <w:rPr>
          <w:rFonts w:ascii="Arial" w:hAnsi="Arial" w:cs="Arial"/>
          <w:sz w:val="20"/>
        </w:rPr>
        <w:t xml:space="preserve"> cada </w:t>
      </w:r>
      <w:r w:rsidR="00A06C32" w:rsidRPr="00AC4AEA">
        <w:rPr>
          <w:rFonts w:ascii="Arial" w:hAnsi="Arial" w:cs="Arial"/>
          <w:b/>
          <w:bCs/>
          <w:sz w:val="20"/>
        </w:rPr>
        <w:t>actividad generadora de efectivo</w:t>
      </w:r>
      <w:r w:rsidR="000A7E01" w:rsidRPr="00AC4AEA">
        <w:rPr>
          <w:rFonts w:ascii="Arial" w:hAnsi="Arial" w:cs="Arial"/>
          <w:sz w:val="20"/>
        </w:rPr>
        <w:t>, una entidad:</w:t>
      </w:r>
      <w:bookmarkEnd w:id="218"/>
    </w:p>
    <w:p w:rsidR="000A7E01" w:rsidRPr="00AC4AEA" w:rsidRDefault="006A0415" w:rsidP="00A318EA">
      <w:pPr>
        <w:pStyle w:val="A-Normal11"/>
        <w:numPr>
          <w:ilvl w:val="1"/>
          <w:numId w:val="29"/>
        </w:numPr>
        <w:ind w:left="1560"/>
        <w:jc w:val="both"/>
        <w:rPr>
          <w:rFonts w:ascii="Arial" w:hAnsi="Arial" w:cs="Arial"/>
          <w:sz w:val="20"/>
        </w:rPr>
      </w:pPr>
      <w:r w:rsidRPr="00AC4AEA">
        <w:rPr>
          <w:rFonts w:ascii="Arial" w:hAnsi="Arial" w:cs="Arial"/>
          <w:sz w:val="20"/>
        </w:rPr>
        <w:lastRenderedPageBreak/>
        <w:t>e</w:t>
      </w:r>
      <w:r w:rsidR="000B4545" w:rsidRPr="00AC4AEA">
        <w:rPr>
          <w:rFonts w:ascii="Arial" w:hAnsi="Arial" w:cs="Arial"/>
          <w:sz w:val="20"/>
        </w:rPr>
        <w:t xml:space="preserve">n primer lugar, </w:t>
      </w:r>
      <w:r w:rsidR="00D96960" w:rsidRPr="00AC4AEA">
        <w:rPr>
          <w:rFonts w:ascii="Arial" w:hAnsi="Arial" w:cs="Arial"/>
          <w:sz w:val="20"/>
        </w:rPr>
        <w:t xml:space="preserve">identificará </w:t>
      </w:r>
      <w:r w:rsidR="000A7E01" w:rsidRPr="00AC4AEA">
        <w:rPr>
          <w:rFonts w:ascii="Arial" w:hAnsi="Arial" w:cs="Arial"/>
          <w:b/>
          <w:bCs/>
          <w:sz w:val="20"/>
        </w:rPr>
        <w:t>actividades generadoras de efectivo</w:t>
      </w:r>
      <w:r w:rsidR="000A7E01" w:rsidRPr="00AC4AEA">
        <w:rPr>
          <w:rFonts w:ascii="Arial" w:hAnsi="Arial" w:cs="Arial"/>
          <w:sz w:val="20"/>
        </w:rPr>
        <w:t xml:space="preserve"> que no incluyan los </w:t>
      </w:r>
      <w:r w:rsidR="00497590" w:rsidRPr="00AC4AEA">
        <w:rPr>
          <w:rFonts w:ascii="Arial" w:hAnsi="Arial" w:cs="Arial"/>
          <w:b/>
          <w:bCs/>
          <w:sz w:val="20"/>
        </w:rPr>
        <w:t>activos</w:t>
      </w:r>
      <w:r w:rsidR="00A06C32" w:rsidRPr="00AC4AEA">
        <w:rPr>
          <w:rFonts w:ascii="Arial" w:hAnsi="Arial" w:cs="Arial"/>
          <w:b/>
          <w:bCs/>
          <w:sz w:val="20"/>
        </w:rPr>
        <w:t xml:space="preserve"> generales </w:t>
      </w:r>
      <w:r w:rsidR="000A7E01" w:rsidRPr="00AC4AEA">
        <w:rPr>
          <w:rFonts w:ascii="Arial" w:hAnsi="Arial" w:cs="Arial"/>
          <w:sz w:val="20"/>
        </w:rPr>
        <w:t>ni a la llave de negocio que estuviere contabilizada</w:t>
      </w:r>
      <w:r w:rsidRPr="00AC4AEA">
        <w:rPr>
          <w:rFonts w:ascii="Arial" w:hAnsi="Arial" w:cs="Arial"/>
          <w:sz w:val="20"/>
        </w:rPr>
        <w:t>;</w:t>
      </w:r>
    </w:p>
    <w:p w:rsidR="000A7E01" w:rsidRPr="00AC4AEA" w:rsidRDefault="006A0415" w:rsidP="00A318EA">
      <w:pPr>
        <w:pStyle w:val="A-Normal11"/>
        <w:numPr>
          <w:ilvl w:val="1"/>
          <w:numId w:val="29"/>
        </w:numPr>
        <w:ind w:left="1560"/>
        <w:jc w:val="both"/>
        <w:rPr>
          <w:rFonts w:ascii="Arial" w:hAnsi="Arial" w:cs="Arial"/>
          <w:sz w:val="20"/>
        </w:rPr>
      </w:pPr>
      <w:r w:rsidRPr="00AC4AEA">
        <w:rPr>
          <w:rFonts w:ascii="Arial" w:hAnsi="Arial" w:cs="Arial"/>
          <w:sz w:val="20"/>
        </w:rPr>
        <w:t>e</w:t>
      </w:r>
      <w:r w:rsidR="000B4545" w:rsidRPr="00AC4AEA">
        <w:rPr>
          <w:rFonts w:ascii="Arial" w:hAnsi="Arial" w:cs="Arial"/>
          <w:sz w:val="20"/>
        </w:rPr>
        <w:t xml:space="preserve">n segundo lugar, intentará </w:t>
      </w:r>
      <w:r w:rsidR="00D96960" w:rsidRPr="00AC4AEA">
        <w:rPr>
          <w:rFonts w:ascii="Arial" w:hAnsi="Arial" w:cs="Arial"/>
          <w:sz w:val="20"/>
        </w:rPr>
        <w:t>asignar</w:t>
      </w:r>
      <w:r w:rsidR="000B4545" w:rsidRPr="00AC4AEA">
        <w:rPr>
          <w:rFonts w:ascii="Arial" w:hAnsi="Arial" w:cs="Arial"/>
          <w:sz w:val="20"/>
        </w:rPr>
        <w:t xml:space="preserve"> los </w:t>
      </w:r>
      <w:r w:rsidR="00497590" w:rsidRPr="00AC4AEA">
        <w:rPr>
          <w:rFonts w:ascii="Arial" w:hAnsi="Arial" w:cs="Arial"/>
          <w:b/>
          <w:bCs/>
          <w:sz w:val="20"/>
        </w:rPr>
        <w:t>activos</w:t>
      </w:r>
      <w:r w:rsidR="00A06C32" w:rsidRPr="00AC4AEA">
        <w:rPr>
          <w:rFonts w:ascii="Arial" w:hAnsi="Arial" w:cs="Arial"/>
          <w:b/>
          <w:bCs/>
          <w:sz w:val="20"/>
        </w:rPr>
        <w:t xml:space="preserve"> generales</w:t>
      </w:r>
      <w:r w:rsidR="00A06C32" w:rsidRPr="00AC4AEA">
        <w:rPr>
          <w:rFonts w:ascii="Arial" w:hAnsi="Arial" w:cs="Arial"/>
          <w:sz w:val="20"/>
        </w:rPr>
        <w:t xml:space="preserve"> </w:t>
      </w:r>
      <w:r w:rsidR="000B4545" w:rsidRPr="00AC4AEA">
        <w:rPr>
          <w:rFonts w:ascii="Arial" w:hAnsi="Arial" w:cs="Arial"/>
          <w:sz w:val="20"/>
        </w:rPr>
        <w:t xml:space="preserve">y la llave de negocio a las </w:t>
      </w:r>
      <w:r w:rsidR="000B4545" w:rsidRPr="00AC4AEA">
        <w:rPr>
          <w:rFonts w:ascii="Arial" w:hAnsi="Arial" w:cs="Arial"/>
          <w:b/>
          <w:bCs/>
          <w:sz w:val="20"/>
        </w:rPr>
        <w:t>actividades generadoras de efectivo</w:t>
      </w:r>
      <w:r w:rsidR="000B4545" w:rsidRPr="00AC4AEA">
        <w:rPr>
          <w:rFonts w:ascii="Arial" w:hAnsi="Arial" w:cs="Arial"/>
          <w:sz w:val="20"/>
        </w:rPr>
        <w:t xml:space="preserve"> definidas o a grupos de ellas</w:t>
      </w:r>
      <w:r w:rsidR="00B11E2E" w:rsidRPr="00AC4AEA">
        <w:rPr>
          <w:rFonts w:ascii="Arial" w:hAnsi="Arial" w:cs="Arial"/>
          <w:sz w:val="20"/>
        </w:rPr>
        <w:t>, y:</w:t>
      </w:r>
    </w:p>
    <w:p w:rsidR="000B4545" w:rsidRPr="00AC4AEA" w:rsidRDefault="00B11E2E" w:rsidP="00A318EA">
      <w:pPr>
        <w:pStyle w:val="A-Normal11"/>
        <w:numPr>
          <w:ilvl w:val="2"/>
          <w:numId w:val="29"/>
        </w:numPr>
        <w:ind w:left="1985" w:hanging="142"/>
        <w:jc w:val="both"/>
        <w:rPr>
          <w:rFonts w:ascii="Arial" w:hAnsi="Arial" w:cs="Arial"/>
          <w:sz w:val="20"/>
        </w:rPr>
      </w:pPr>
      <w:r w:rsidRPr="00AC4AEA">
        <w:rPr>
          <w:rFonts w:ascii="Arial" w:hAnsi="Arial" w:cs="Arial"/>
          <w:sz w:val="20"/>
        </w:rPr>
        <w:t xml:space="preserve">Si </w:t>
      </w:r>
      <w:r w:rsidR="00FD356F" w:rsidRPr="00AC4AEA">
        <w:rPr>
          <w:rFonts w:ascii="Arial" w:hAnsi="Arial" w:cs="Arial"/>
          <w:sz w:val="20"/>
        </w:rPr>
        <w:t>la asignación referida</w:t>
      </w:r>
      <w:r w:rsidR="0062597F" w:rsidRPr="00AC4AEA">
        <w:rPr>
          <w:rFonts w:ascii="Arial" w:hAnsi="Arial" w:cs="Arial"/>
          <w:sz w:val="20"/>
        </w:rPr>
        <w:t xml:space="preserve"> en el inciso anterior</w:t>
      </w:r>
      <w:r w:rsidR="00FD356F" w:rsidRPr="00AC4AEA">
        <w:rPr>
          <w:rFonts w:ascii="Arial" w:hAnsi="Arial" w:cs="Arial"/>
          <w:sz w:val="20"/>
        </w:rPr>
        <w:t xml:space="preserve"> fuera posible, </w:t>
      </w:r>
      <w:r w:rsidR="00D96960" w:rsidRPr="00AC4AEA">
        <w:rPr>
          <w:rFonts w:ascii="Arial" w:hAnsi="Arial" w:cs="Arial"/>
          <w:sz w:val="20"/>
        </w:rPr>
        <w:t>efectuará la comparación</w:t>
      </w:r>
      <w:r w:rsidR="00FD356F" w:rsidRPr="00AC4AEA">
        <w:rPr>
          <w:rFonts w:ascii="Arial" w:hAnsi="Arial" w:cs="Arial"/>
          <w:sz w:val="20"/>
        </w:rPr>
        <w:t xml:space="preserve"> para cada </w:t>
      </w:r>
      <w:r w:rsidR="00A06C32" w:rsidRPr="00AC4AEA">
        <w:rPr>
          <w:rFonts w:ascii="Arial" w:hAnsi="Arial" w:cs="Arial"/>
          <w:b/>
          <w:bCs/>
          <w:sz w:val="20"/>
        </w:rPr>
        <w:t>actividad generadora de efectivo</w:t>
      </w:r>
      <w:r w:rsidR="00FD356F" w:rsidRPr="00AC4AEA">
        <w:rPr>
          <w:rFonts w:ascii="Arial" w:hAnsi="Arial" w:cs="Arial"/>
          <w:sz w:val="20"/>
        </w:rPr>
        <w:t xml:space="preserve">, incluyendo en </w:t>
      </w:r>
      <w:r w:rsidR="00D96960" w:rsidRPr="00AC4AEA">
        <w:rPr>
          <w:rFonts w:ascii="Arial" w:hAnsi="Arial" w:cs="Arial"/>
          <w:sz w:val="20"/>
        </w:rPr>
        <w:t>su</w:t>
      </w:r>
      <w:r w:rsidR="00FD356F" w:rsidRPr="00AC4AEA">
        <w:rPr>
          <w:rFonts w:ascii="Arial" w:hAnsi="Arial" w:cs="Arial"/>
          <w:sz w:val="20"/>
        </w:rPr>
        <w:t xml:space="preserve"> medición contable</w:t>
      </w:r>
      <w:r w:rsidR="00D96960" w:rsidRPr="00AC4AEA">
        <w:rPr>
          <w:rFonts w:ascii="Arial" w:hAnsi="Arial" w:cs="Arial"/>
          <w:sz w:val="20"/>
        </w:rPr>
        <w:t xml:space="preserve"> l</w:t>
      </w:r>
      <w:r w:rsidR="00FD356F" w:rsidRPr="00AC4AEA">
        <w:rPr>
          <w:rFonts w:ascii="Arial" w:hAnsi="Arial" w:cs="Arial"/>
          <w:sz w:val="20"/>
        </w:rPr>
        <w:t xml:space="preserve">a porción asignada de los </w:t>
      </w:r>
      <w:r w:rsidR="00497590" w:rsidRPr="00AC4AEA">
        <w:rPr>
          <w:rFonts w:ascii="Arial" w:hAnsi="Arial" w:cs="Arial"/>
          <w:b/>
          <w:bCs/>
          <w:sz w:val="20"/>
        </w:rPr>
        <w:t>activos</w:t>
      </w:r>
      <w:r w:rsidR="00A06C32" w:rsidRPr="00AC4AEA">
        <w:rPr>
          <w:rFonts w:ascii="Arial" w:hAnsi="Arial" w:cs="Arial"/>
          <w:b/>
          <w:bCs/>
          <w:sz w:val="20"/>
        </w:rPr>
        <w:t xml:space="preserve"> generales </w:t>
      </w:r>
      <w:r w:rsidR="00FD356F" w:rsidRPr="00AC4AEA">
        <w:rPr>
          <w:rFonts w:ascii="Arial" w:hAnsi="Arial" w:cs="Arial"/>
          <w:sz w:val="20"/>
        </w:rPr>
        <w:t>y de la llave</w:t>
      </w:r>
      <w:r w:rsidRPr="00AC4AEA">
        <w:rPr>
          <w:rFonts w:ascii="Arial" w:hAnsi="Arial" w:cs="Arial"/>
          <w:sz w:val="20"/>
        </w:rPr>
        <w:t xml:space="preserve">. </w:t>
      </w:r>
    </w:p>
    <w:p w:rsidR="000B4545" w:rsidRPr="00AC4AEA" w:rsidRDefault="00B11E2E" w:rsidP="00A318EA">
      <w:pPr>
        <w:pStyle w:val="A-Normal11"/>
        <w:numPr>
          <w:ilvl w:val="2"/>
          <w:numId w:val="29"/>
        </w:numPr>
        <w:ind w:left="1985" w:hanging="142"/>
        <w:jc w:val="both"/>
        <w:rPr>
          <w:rFonts w:ascii="Arial" w:hAnsi="Arial" w:cs="Arial"/>
          <w:sz w:val="20"/>
        </w:rPr>
      </w:pPr>
      <w:r w:rsidRPr="00AC4AEA">
        <w:rPr>
          <w:rFonts w:ascii="Arial" w:hAnsi="Arial" w:cs="Arial"/>
          <w:sz w:val="20"/>
        </w:rPr>
        <w:t xml:space="preserve">Si </w:t>
      </w:r>
      <w:r w:rsidR="00FD356F" w:rsidRPr="00AC4AEA">
        <w:rPr>
          <w:rFonts w:ascii="Arial" w:hAnsi="Arial" w:cs="Arial"/>
          <w:sz w:val="20"/>
        </w:rPr>
        <w:t>dicha asignación no fuera posible, hará dos comparaciones:</w:t>
      </w:r>
    </w:p>
    <w:p w:rsidR="00FD356F" w:rsidRPr="00AC4AEA" w:rsidRDefault="006A0415" w:rsidP="00A318EA">
      <w:pPr>
        <w:pStyle w:val="A-Normal11"/>
        <w:numPr>
          <w:ilvl w:val="3"/>
          <w:numId w:val="29"/>
        </w:numPr>
        <w:jc w:val="both"/>
        <w:rPr>
          <w:rFonts w:ascii="Arial" w:hAnsi="Arial" w:cs="Arial"/>
          <w:sz w:val="20"/>
        </w:rPr>
      </w:pPr>
      <w:r w:rsidRPr="00AC4AEA">
        <w:rPr>
          <w:rFonts w:ascii="Arial" w:hAnsi="Arial" w:cs="Arial"/>
          <w:sz w:val="20"/>
        </w:rPr>
        <w:t>l</w:t>
      </w:r>
      <w:r w:rsidR="00FD356F" w:rsidRPr="00AC4AEA">
        <w:rPr>
          <w:rFonts w:ascii="Arial" w:hAnsi="Arial" w:cs="Arial"/>
          <w:sz w:val="20"/>
        </w:rPr>
        <w:t xml:space="preserve">a primera, para cada </w:t>
      </w:r>
      <w:r w:rsidR="00A06C32" w:rsidRPr="00AC4AEA">
        <w:rPr>
          <w:rFonts w:ascii="Arial" w:hAnsi="Arial" w:cs="Arial"/>
          <w:b/>
          <w:bCs/>
          <w:sz w:val="20"/>
        </w:rPr>
        <w:t>actividad generadora de efectivo</w:t>
      </w:r>
      <w:r w:rsidR="00FD356F" w:rsidRPr="00AC4AEA">
        <w:rPr>
          <w:rFonts w:ascii="Arial" w:hAnsi="Arial" w:cs="Arial"/>
          <w:sz w:val="20"/>
        </w:rPr>
        <w:t xml:space="preserve">, sin incluir en </w:t>
      </w:r>
      <w:r w:rsidR="0062597F" w:rsidRPr="00AC4AEA">
        <w:rPr>
          <w:rFonts w:ascii="Arial" w:hAnsi="Arial" w:cs="Arial"/>
          <w:sz w:val="20"/>
        </w:rPr>
        <w:t>su</w:t>
      </w:r>
      <w:r w:rsidR="00FD356F" w:rsidRPr="00AC4AEA">
        <w:rPr>
          <w:rFonts w:ascii="Arial" w:hAnsi="Arial" w:cs="Arial"/>
          <w:sz w:val="20"/>
        </w:rPr>
        <w:t xml:space="preserve"> medición ninguna porción asignada </w:t>
      </w:r>
      <w:r w:rsidR="0062597F" w:rsidRPr="00AC4AEA">
        <w:rPr>
          <w:rFonts w:ascii="Arial" w:hAnsi="Arial" w:cs="Arial"/>
          <w:sz w:val="20"/>
        </w:rPr>
        <w:t>a</w:t>
      </w:r>
      <w:r w:rsidR="00FD356F" w:rsidRPr="00AC4AEA">
        <w:rPr>
          <w:rFonts w:ascii="Arial" w:hAnsi="Arial" w:cs="Arial"/>
          <w:sz w:val="20"/>
        </w:rPr>
        <w:t xml:space="preserve"> los </w:t>
      </w:r>
      <w:r w:rsidR="00497590" w:rsidRPr="00AC4AEA">
        <w:rPr>
          <w:rFonts w:ascii="Arial" w:hAnsi="Arial" w:cs="Arial"/>
          <w:b/>
          <w:bCs/>
          <w:sz w:val="20"/>
        </w:rPr>
        <w:t>activos</w:t>
      </w:r>
      <w:r w:rsidR="00A06C32" w:rsidRPr="00AC4AEA">
        <w:rPr>
          <w:rFonts w:ascii="Arial" w:hAnsi="Arial" w:cs="Arial"/>
          <w:b/>
          <w:bCs/>
          <w:sz w:val="20"/>
        </w:rPr>
        <w:t xml:space="preserve"> generales </w:t>
      </w:r>
      <w:r w:rsidR="00FD356F" w:rsidRPr="00AC4AEA">
        <w:rPr>
          <w:rFonts w:ascii="Arial" w:hAnsi="Arial" w:cs="Arial"/>
          <w:sz w:val="20"/>
        </w:rPr>
        <w:t>y la llave</w:t>
      </w:r>
      <w:r w:rsidRPr="00AC4AEA">
        <w:rPr>
          <w:rFonts w:ascii="Arial" w:hAnsi="Arial" w:cs="Arial"/>
          <w:sz w:val="20"/>
        </w:rPr>
        <w:t>; y</w:t>
      </w:r>
    </w:p>
    <w:p w:rsidR="00FD356F" w:rsidRPr="00AC4AEA" w:rsidRDefault="006A0415" w:rsidP="00A318EA">
      <w:pPr>
        <w:pStyle w:val="A-Normal11"/>
        <w:numPr>
          <w:ilvl w:val="3"/>
          <w:numId w:val="29"/>
        </w:numPr>
        <w:jc w:val="both"/>
        <w:rPr>
          <w:rFonts w:ascii="Arial" w:hAnsi="Arial" w:cs="Arial"/>
          <w:sz w:val="20"/>
        </w:rPr>
      </w:pPr>
      <w:r w:rsidRPr="00AC4AEA">
        <w:rPr>
          <w:rFonts w:ascii="Arial" w:hAnsi="Arial" w:cs="Arial"/>
          <w:sz w:val="20"/>
        </w:rPr>
        <w:t>l</w:t>
      </w:r>
      <w:r w:rsidR="00FD356F" w:rsidRPr="00AC4AEA">
        <w:rPr>
          <w:rFonts w:ascii="Arial" w:hAnsi="Arial" w:cs="Arial"/>
          <w:sz w:val="20"/>
        </w:rPr>
        <w:t xml:space="preserve">a segunda, al nivel del grupo de </w:t>
      </w:r>
      <w:r w:rsidR="00FD356F" w:rsidRPr="00AC4AEA">
        <w:rPr>
          <w:rFonts w:ascii="Arial" w:hAnsi="Arial" w:cs="Arial"/>
          <w:b/>
          <w:bCs/>
          <w:sz w:val="20"/>
        </w:rPr>
        <w:t>actividades generadora</w:t>
      </w:r>
      <w:r w:rsidR="0062597F" w:rsidRPr="00AC4AEA">
        <w:rPr>
          <w:rFonts w:ascii="Arial" w:hAnsi="Arial" w:cs="Arial"/>
          <w:b/>
          <w:bCs/>
          <w:sz w:val="20"/>
        </w:rPr>
        <w:t>s</w:t>
      </w:r>
      <w:r w:rsidR="00FD356F" w:rsidRPr="00AC4AEA">
        <w:rPr>
          <w:rFonts w:ascii="Arial" w:hAnsi="Arial" w:cs="Arial"/>
          <w:b/>
          <w:bCs/>
          <w:sz w:val="20"/>
        </w:rPr>
        <w:t xml:space="preserve"> de efectivo</w:t>
      </w:r>
      <w:r w:rsidR="00FD356F" w:rsidRPr="00AC4AEA">
        <w:rPr>
          <w:rFonts w:ascii="Arial" w:hAnsi="Arial" w:cs="Arial"/>
          <w:sz w:val="20"/>
        </w:rPr>
        <w:t xml:space="preserve"> más pequeña a la cual puedan asignarse la llave de negocio y los </w:t>
      </w:r>
      <w:r w:rsidR="00497590" w:rsidRPr="00AC4AEA">
        <w:rPr>
          <w:rFonts w:ascii="Arial" w:hAnsi="Arial" w:cs="Arial"/>
          <w:b/>
          <w:bCs/>
          <w:sz w:val="20"/>
        </w:rPr>
        <w:t>activos</w:t>
      </w:r>
      <w:r w:rsidR="00A06C32" w:rsidRPr="00AC4AEA">
        <w:rPr>
          <w:rFonts w:ascii="Arial" w:hAnsi="Arial" w:cs="Arial"/>
          <w:b/>
          <w:bCs/>
          <w:sz w:val="20"/>
        </w:rPr>
        <w:t xml:space="preserve"> generales </w:t>
      </w:r>
      <w:r w:rsidR="00FD356F" w:rsidRPr="00AC4AEA">
        <w:rPr>
          <w:rFonts w:ascii="Arial" w:hAnsi="Arial" w:cs="Arial"/>
          <w:sz w:val="20"/>
        </w:rPr>
        <w:t>sobre una base razonable y consistente.</w:t>
      </w:r>
    </w:p>
    <w:p w:rsidR="003A7591" w:rsidRPr="00AC4AEA" w:rsidRDefault="003A7591" w:rsidP="00A318EA">
      <w:pPr>
        <w:pStyle w:val="A-Normal11"/>
        <w:numPr>
          <w:ilvl w:val="0"/>
          <w:numId w:val="29"/>
        </w:numPr>
        <w:jc w:val="both"/>
        <w:rPr>
          <w:rFonts w:ascii="Arial" w:hAnsi="Arial" w:cs="Arial"/>
          <w:sz w:val="20"/>
        </w:rPr>
      </w:pPr>
      <w:bookmarkStart w:id="219" w:name="_Ref99473003"/>
      <w:r w:rsidRPr="00AC4AEA">
        <w:rPr>
          <w:rFonts w:ascii="Arial" w:hAnsi="Arial" w:cs="Arial"/>
          <w:sz w:val="20"/>
        </w:rPr>
        <w:t xml:space="preserve">Una entidad podrá subdividir una </w:t>
      </w:r>
      <w:r w:rsidRPr="00AC4AEA">
        <w:rPr>
          <w:rFonts w:ascii="Arial" w:hAnsi="Arial" w:cs="Arial"/>
          <w:b/>
          <w:bCs/>
          <w:sz w:val="20"/>
        </w:rPr>
        <w:t>actividad generadora de efectivo</w:t>
      </w:r>
      <w:r w:rsidR="00B73DFB" w:rsidRPr="00AC4AEA">
        <w:rPr>
          <w:rFonts w:ascii="Arial" w:hAnsi="Arial" w:cs="Arial"/>
          <w:sz w:val="20"/>
        </w:rPr>
        <w:t xml:space="preserve"> </w:t>
      </w:r>
      <w:r w:rsidR="00C61955" w:rsidRPr="00AC4AEA">
        <w:rPr>
          <w:rFonts w:ascii="Arial" w:hAnsi="Arial" w:cs="Arial"/>
          <w:sz w:val="20"/>
        </w:rPr>
        <w:t>en unidades más pequeñas</w:t>
      </w:r>
      <w:r w:rsidR="00820140" w:rsidRPr="00AC4AEA">
        <w:rPr>
          <w:rFonts w:ascii="Arial" w:hAnsi="Arial" w:cs="Arial"/>
          <w:sz w:val="20"/>
        </w:rPr>
        <w:t xml:space="preserve">, y efectuar la comparación con el </w:t>
      </w:r>
      <w:r w:rsidR="00820140" w:rsidRPr="00AC4AEA">
        <w:rPr>
          <w:rFonts w:ascii="Arial" w:hAnsi="Arial" w:cs="Arial"/>
          <w:b/>
          <w:bCs/>
          <w:sz w:val="20"/>
        </w:rPr>
        <w:t>valor recuperable</w:t>
      </w:r>
      <w:r w:rsidR="00820140" w:rsidRPr="00AC4AEA">
        <w:rPr>
          <w:rFonts w:ascii="Arial" w:hAnsi="Arial" w:cs="Arial"/>
          <w:sz w:val="20"/>
        </w:rPr>
        <w:t xml:space="preserve"> a ese nivel,</w:t>
      </w:r>
      <w:r w:rsidR="00C61955" w:rsidRPr="00AC4AEA">
        <w:rPr>
          <w:rFonts w:ascii="Arial" w:hAnsi="Arial" w:cs="Arial"/>
          <w:sz w:val="20"/>
        </w:rPr>
        <w:t xml:space="preserve"> </w:t>
      </w:r>
      <w:r w:rsidR="00B73DFB" w:rsidRPr="00AC4AEA">
        <w:rPr>
          <w:rFonts w:ascii="Arial" w:hAnsi="Arial" w:cs="Arial"/>
          <w:sz w:val="20"/>
        </w:rPr>
        <w:t xml:space="preserve">siempre que dicha </w:t>
      </w:r>
      <w:r w:rsidR="00E707FD" w:rsidRPr="00AC4AEA">
        <w:rPr>
          <w:rFonts w:ascii="Arial" w:hAnsi="Arial" w:cs="Arial"/>
          <w:sz w:val="20"/>
        </w:rPr>
        <w:t>unidad más pequeña</w:t>
      </w:r>
      <w:r w:rsidRPr="00AC4AEA">
        <w:rPr>
          <w:rFonts w:ascii="Arial" w:hAnsi="Arial" w:cs="Arial"/>
          <w:b/>
          <w:bCs/>
          <w:sz w:val="20"/>
        </w:rPr>
        <w:t>:</w:t>
      </w:r>
      <w:bookmarkEnd w:id="219"/>
    </w:p>
    <w:p w:rsidR="003A7591" w:rsidRPr="00AC4AEA" w:rsidRDefault="003A7591" w:rsidP="00A318EA">
      <w:pPr>
        <w:pStyle w:val="A-Normal11"/>
        <w:numPr>
          <w:ilvl w:val="1"/>
          <w:numId w:val="29"/>
        </w:numPr>
        <w:ind w:left="1560"/>
        <w:jc w:val="both"/>
        <w:rPr>
          <w:rFonts w:ascii="Arial" w:hAnsi="Arial" w:cs="Arial"/>
          <w:sz w:val="20"/>
        </w:rPr>
      </w:pPr>
      <w:r w:rsidRPr="00AC4AEA">
        <w:rPr>
          <w:rFonts w:ascii="Arial" w:hAnsi="Arial" w:cs="Arial"/>
          <w:sz w:val="20"/>
        </w:rPr>
        <w:t xml:space="preserve">genere entradas de efectivo que sean en buena </w:t>
      </w:r>
      <w:r w:rsidR="000403DD" w:rsidRPr="00AC4AEA">
        <w:rPr>
          <w:rFonts w:ascii="Arial" w:hAnsi="Arial" w:cs="Arial"/>
          <w:sz w:val="20"/>
        </w:rPr>
        <w:t>medida</w:t>
      </w:r>
      <w:r w:rsidRPr="00AC4AEA">
        <w:rPr>
          <w:rFonts w:ascii="Arial" w:hAnsi="Arial" w:cs="Arial"/>
          <w:sz w:val="20"/>
        </w:rPr>
        <w:t xml:space="preserve"> independientes de las producidas por </w:t>
      </w:r>
      <w:r w:rsidR="00432574" w:rsidRPr="00AC4AEA">
        <w:rPr>
          <w:rFonts w:ascii="Arial" w:hAnsi="Arial" w:cs="Arial"/>
          <w:sz w:val="20"/>
        </w:rPr>
        <w:t xml:space="preserve">otros </w:t>
      </w:r>
      <w:r w:rsidR="00CE13D7" w:rsidRPr="00CE13D7">
        <w:rPr>
          <w:rFonts w:ascii="Arial" w:hAnsi="Arial" w:cs="Arial"/>
          <w:bCs/>
          <w:sz w:val="20"/>
        </w:rPr>
        <w:t>activos</w:t>
      </w:r>
      <w:r w:rsidR="00432574" w:rsidRPr="00AC4AEA">
        <w:rPr>
          <w:rFonts w:ascii="Arial" w:hAnsi="Arial" w:cs="Arial"/>
          <w:sz w:val="20"/>
        </w:rPr>
        <w:t xml:space="preserve"> </w:t>
      </w:r>
      <w:r w:rsidR="00820140" w:rsidRPr="00AC4AEA">
        <w:rPr>
          <w:rFonts w:ascii="Arial" w:hAnsi="Arial" w:cs="Arial"/>
          <w:sz w:val="20"/>
        </w:rPr>
        <w:t>u otras</w:t>
      </w:r>
      <w:r w:rsidR="00E707FD" w:rsidRPr="00AC4AEA">
        <w:rPr>
          <w:rFonts w:ascii="Arial" w:hAnsi="Arial" w:cs="Arial"/>
          <w:sz w:val="20"/>
        </w:rPr>
        <w:t xml:space="preserve"> </w:t>
      </w:r>
      <w:r w:rsidRPr="00AC4AEA">
        <w:rPr>
          <w:rFonts w:ascii="Arial" w:hAnsi="Arial" w:cs="Arial"/>
          <w:b/>
          <w:bCs/>
          <w:sz w:val="20"/>
        </w:rPr>
        <w:t>actividades generadoras de efectivo</w:t>
      </w:r>
      <w:r w:rsidRPr="00AC4AEA">
        <w:rPr>
          <w:rFonts w:ascii="Arial" w:hAnsi="Arial" w:cs="Arial"/>
          <w:sz w:val="20"/>
        </w:rPr>
        <w:t>;</w:t>
      </w:r>
    </w:p>
    <w:p w:rsidR="003A7591" w:rsidRPr="00AC4AEA" w:rsidRDefault="003A7591" w:rsidP="00A318EA">
      <w:pPr>
        <w:pStyle w:val="A-Normal11"/>
        <w:numPr>
          <w:ilvl w:val="1"/>
          <w:numId w:val="29"/>
        </w:numPr>
        <w:ind w:left="1560"/>
        <w:jc w:val="both"/>
        <w:rPr>
          <w:rFonts w:ascii="Arial" w:hAnsi="Arial" w:cs="Arial"/>
          <w:sz w:val="20"/>
        </w:rPr>
      </w:pPr>
      <w:r w:rsidRPr="00AC4AEA">
        <w:rPr>
          <w:rFonts w:ascii="Arial" w:hAnsi="Arial" w:cs="Arial"/>
          <w:sz w:val="20"/>
        </w:rPr>
        <w:t xml:space="preserve">contenga solo los bienes que generan o se utilizan para generar </w:t>
      </w:r>
      <w:r w:rsidR="002F555B" w:rsidRPr="00AC4AEA">
        <w:rPr>
          <w:rFonts w:ascii="Arial" w:hAnsi="Arial" w:cs="Arial"/>
          <w:sz w:val="20"/>
        </w:rPr>
        <w:t>dichas</w:t>
      </w:r>
      <w:r w:rsidRPr="00AC4AEA">
        <w:rPr>
          <w:rFonts w:ascii="Arial" w:hAnsi="Arial" w:cs="Arial"/>
          <w:sz w:val="20"/>
        </w:rPr>
        <w:t xml:space="preserve"> entradas de efectivo;</w:t>
      </w:r>
    </w:p>
    <w:p w:rsidR="003A7591" w:rsidRPr="00AC4AEA" w:rsidRDefault="003A7591" w:rsidP="00A318EA">
      <w:pPr>
        <w:pStyle w:val="A-Normal11"/>
        <w:numPr>
          <w:ilvl w:val="1"/>
          <w:numId w:val="29"/>
        </w:numPr>
        <w:ind w:left="1560"/>
        <w:jc w:val="both"/>
        <w:rPr>
          <w:rFonts w:ascii="Arial" w:hAnsi="Arial" w:cs="Arial"/>
          <w:sz w:val="20"/>
        </w:rPr>
      </w:pPr>
      <w:r w:rsidRPr="00AC4AEA">
        <w:rPr>
          <w:rFonts w:ascii="Arial" w:hAnsi="Arial" w:cs="Arial"/>
          <w:sz w:val="20"/>
        </w:rPr>
        <w:t xml:space="preserve">no incluya </w:t>
      </w:r>
      <w:r w:rsidR="00497590" w:rsidRPr="00AC4AEA">
        <w:rPr>
          <w:rFonts w:ascii="Arial" w:hAnsi="Arial" w:cs="Arial"/>
          <w:sz w:val="20"/>
        </w:rPr>
        <w:t>activos</w:t>
      </w:r>
      <w:r w:rsidRPr="00AC4AEA">
        <w:rPr>
          <w:rFonts w:ascii="Arial" w:hAnsi="Arial" w:cs="Arial"/>
          <w:sz w:val="20"/>
        </w:rPr>
        <w:t xml:space="preserve"> sin relación entre sí, incorporados con el objeto de disimular las </w:t>
      </w:r>
      <w:r w:rsidRPr="00AC4AEA">
        <w:rPr>
          <w:rFonts w:ascii="Arial" w:hAnsi="Arial" w:cs="Arial"/>
          <w:b/>
          <w:bCs/>
          <w:sz w:val="20"/>
        </w:rPr>
        <w:t>pérdidas por desvalorización</w:t>
      </w:r>
      <w:r w:rsidRPr="00AC4AEA">
        <w:rPr>
          <w:rFonts w:ascii="Arial" w:hAnsi="Arial" w:cs="Arial"/>
          <w:sz w:val="20"/>
        </w:rPr>
        <w:t xml:space="preserve"> de algunos de ellos; y</w:t>
      </w:r>
    </w:p>
    <w:p w:rsidR="003A7591" w:rsidRPr="00AC4AEA" w:rsidRDefault="003A7591" w:rsidP="00A318EA">
      <w:pPr>
        <w:pStyle w:val="A-Normal11"/>
        <w:numPr>
          <w:ilvl w:val="1"/>
          <w:numId w:val="29"/>
        </w:numPr>
        <w:ind w:left="1560"/>
        <w:jc w:val="both"/>
        <w:rPr>
          <w:rFonts w:ascii="Arial" w:hAnsi="Arial" w:cs="Arial"/>
          <w:sz w:val="20"/>
        </w:rPr>
      </w:pPr>
      <w:r w:rsidRPr="00AC4AEA">
        <w:rPr>
          <w:rFonts w:ascii="Arial" w:hAnsi="Arial" w:cs="Arial"/>
          <w:sz w:val="20"/>
        </w:rPr>
        <w:t>se base en un criterio de agregación que se aplica uniformemente de un ejercicio a otro.</w:t>
      </w:r>
    </w:p>
    <w:p w:rsidR="00FD356F" w:rsidRPr="00AC4AEA" w:rsidRDefault="0062597F" w:rsidP="00A318EA">
      <w:pPr>
        <w:pStyle w:val="A-Normal11"/>
        <w:numPr>
          <w:ilvl w:val="0"/>
          <w:numId w:val="29"/>
        </w:numPr>
        <w:jc w:val="both"/>
        <w:rPr>
          <w:rFonts w:ascii="Arial" w:hAnsi="Arial" w:cs="Arial"/>
          <w:sz w:val="20"/>
        </w:rPr>
      </w:pPr>
      <w:bookmarkStart w:id="220" w:name="_Ref99470572"/>
      <w:r w:rsidRPr="00AC4AEA">
        <w:rPr>
          <w:rFonts w:ascii="Arial" w:hAnsi="Arial" w:cs="Arial"/>
          <w:sz w:val="20"/>
        </w:rPr>
        <w:t>A los fines indicados en los párrafos precedentes, u</w:t>
      </w:r>
      <w:r w:rsidR="00FD356F" w:rsidRPr="00AC4AEA">
        <w:rPr>
          <w:rFonts w:ascii="Arial" w:hAnsi="Arial" w:cs="Arial"/>
          <w:sz w:val="20"/>
        </w:rPr>
        <w:t>na entidad:</w:t>
      </w:r>
      <w:bookmarkEnd w:id="220"/>
    </w:p>
    <w:p w:rsidR="00612996" w:rsidRPr="00AC4AEA" w:rsidRDefault="003A7591" w:rsidP="00A318EA">
      <w:pPr>
        <w:pStyle w:val="A-Normal11"/>
        <w:numPr>
          <w:ilvl w:val="1"/>
          <w:numId w:val="29"/>
        </w:numPr>
        <w:ind w:left="1560"/>
        <w:jc w:val="both"/>
        <w:rPr>
          <w:rFonts w:ascii="Arial" w:hAnsi="Arial" w:cs="Arial"/>
          <w:sz w:val="20"/>
        </w:rPr>
      </w:pPr>
      <w:r w:rsidRPr="00AC4AEA">
        <w:rPr>
          <w:rFonts w:ascii="Arial" w:hAnsi="Arial" w:cs="Arial"/>
          <w:sz w:val="20"/>
        </w:rPr>
        <w:t>a</w:t>
      </w:r>
      <w:r w:rsidR="00612996" w:rsidRPr="00AC4AEA">
        <w:rPr>
          <w:rFonts w:ascii="Arial" w:hAnsi="Arial" w:cs="Arial"/>
          <w:sz w:val="20"/>
        </w:rPr>
        <w:t>plicar</w:t>
      </w:r>
      <w:r w:rsidRPr="00AC4AEA">
        <w:rPr>
          <w:rFonts w:ascii="Arial" w:hAnsi="Arial" w:cs="Arial"/>
          <w:sz w:val="20"/>
        </w:rPr>
        <w:t>á</w:t>
      </w:r>
      <w:r w:rsidR="00612996" w:rsidRPr="00AC4AEA">
        <w:rPr>
          <w:rFonts w:ascii="Arial" w:hAnsi="Arial" w:cs="Arial"/>
          <w:sz w:val="20"/>
        </w:rPr>
        <w:t xml:space="preserve"> los criterios para definir</w:t>
      </w:r>
      <w:r w:rsidR="00B11E2E" w:rsidRPr="00AC4AEA">
        <w:rPr>
          <w:rFonts w:ascii="Arial" w:hAnsi="Arial" w:cs="Arial"/>
          <w:sz w:val="20"/>
        </w:rPr>
        <w:t xml:space="preserve"> las</w:t>
      </w:r>
      <w:r w:rsidR="00612996" w:rsidRPr="00AC4AEA">
        <w:rPr>
          <w:rFonts w:ascii="Arial" w:hAnsi="Arial" w:cs="Arial"/>
          <w:sz w:val="20"/>
        </w:rPr>
        <w:t xml:space="preserve"> </w:t>
      </w:r>
      <w:r w:rsidR="00612996" w:rsidRPr="00AC4AEA">
        <w:rPr>
          <w:rFonts w:ascii="Arial" w:hAnsi="Arial" w:cs="Arial"/>
          <w:b/>
          <w:bCs/>
          <w:sz w:val="20"/>
        </w:rPr>
        <w:t>actividades generadoras de efectivo</w:t>
      </w:r>
      <w:r w:rsidR="00B11E2E" w:rsidRPr="00AC4AEA">
        <w:rPr>
          <w:rFonts w:ascii="Arial" w:hAnsi="Arial" w:cs="Arial"/>
          <w:b/>
          <w:bCs/>
          <w:sz w:val="20"/>
        </w:rPr>
        <w:t xml:space="preserve"> </w:t>
      </w:r>
      <w:r w:rsidR="00B11E2E" w:rsidRPr="00AC4AEA">
        <w:rPr>
          <w:rFonts w:ascii="Arial" w:hAnsi="Arial" w:cs="Arial"/>
          <w:sz w:val="20"/>
        </w:rPr>
        <w:t xml:space="preserve">o </w:t>
      </w:r>
      <w:r w:rsidR="00A31F64" w:rsidRPr="00AC4AEA">
        <w:rPr>
          <w:rFonts w:ascii="Arial" w:hAnsi="Arial" w:cs="Arial"/>
          <w:sz w:val="20"/>
        </w:rPr>
        <w:t xml:space="preserve">las </w:t>
      </w:r>
      <w:r w:rsidR="00B11E2E" w:rsidRPr="00AC4AEA">
        <w:rPr>
          <w:rFonts w:ascii="Arial" w:hAnsi="Arial" w:cs="Arial"/>
          <w:sz w:val="20"/>
        </w:rPr>
        <w:t>unidades más pequeñas</w:t>
      </w:r>
      <w:r w:rsidR="00612996" w:rsidRPr="00AC4AEA">
        <w:rPr>
          <w:rFonts w:ascii="Arial" w:hAnsi="Arial" w:cs="Arial"/>
          <w:sz w:val="20"/>
        </w:rPr>
        <w:t xml:space="preserve"> consistentemente, excepto que un cambio en su </w:t>
      </w:r>
      <w:r w:rsidR="00BD3731" w:rsidRPr="00AC4AEA">
        <w:rPr>
          <w:rFonts w:ascii="Arial" w:hAnsi="Arial" w:cs="Arial"/>
          <w:sz w:val="20"/>
        </w:rPr>
        <w:t xml:space="preserve">conformación </w:t>
      </w:r>
      <w:r w:rsidR="00612996" w:rsidRPr="00AC4AEA">
        <w:rPr>
          <w:rFonts w:ascii="Arial" w:hAnsi="Arial" w:cs="Arial"/>
          <w:sz w:val="20"/>
        </w:rPr>
        <w:t xml:space="preserve">represente un mejor cumplimiento </w:t>
      </w:r>
      <w:r w:rsidR="00911414" w:rsidRPr="00AC4AEA">
        <w:rPr>
          <w:rFonts w:ascii="Arial" w:hAnsi="Arial" w:cs="Arial"/>
          <w:sz w:val="20"/>
        </w:rPr>
        <w:t xml:space="preserve">de los </w:t>
      </w:r>
      <w:r w:rsidR="00911414" w:rsidRPr="00AC4AEA">
        <w:rPr>
          <w:rFonts w:ascii="Arial" w:hAnsi="Arial" w:cs="Arial"/>
          <w:b/>
          <w:bCs/>
          <w:sz w:val="20"/>
        </w:rPr>
        <w:t xml:space="preserve">requisitos de la información contenida en los </w:t>
      </w:r>
      <w:r w:rsidR="00135084" w:rsidRPr="00AC4AEA">
        <w:rPr>
          <w:rFonts w:ascii="Arial" w:hAnsi="Arial" w:cs="Arial"/>
          <w:b/>
          <w:bCs/>
          <w:sz w:val="20"/>
        </w:rPr>
        <w:t>estados contables</w:t>
      </w:r>
      <w:r w:rsidR="00D60C72" w:rsidRPr="00AC4AEA">
        <w:rPr>
          <w:rFonts w:ascii="Arial" w:hAnsi="Arial" w:cs="Arial"/>
          <w:sz w:val="20"/>
        </w:rPr>
        <w:t>;</w:t>
      </w:r>
    </w:p>
    <w:p w:rsidR="000B4545" w:rsidRPr="00AC4AEA" w:rsidRDefault="00316BB5" w:rsidP="00A318EA">
      <w:pPr>
        <w:pStyle w:val="A-Normal11"/>
        <w:numPr>
          <w:ilvl w:val="1"/>
          <w:numId w:val="29"/>
        </w:numPr>
        <w:ind w:left="1560"/>
        <w:jc w:val="both"/>
        <w:rPr>
          <w:rFonts w:ascii="Arial" w:hAnsi="Arial" w:cs="Arial"/>
          <w:sz w:val="20"/>
        </w:rPr>
      </w:pPr>
      <w:r w:rsidRPr="00AC4AEA">
        <w:rPr>
          <w:rFonts w:ascii="Arial" w:hAnsi="Arial" w:cs="Arial"/>
          <w:sz w:val="20"/>
        </w:rPr>
        <w:t>utilizar</w:t>
      </w:r>
      <w:r w:rsidR="003A7591" w:rsidRPr="00AC4AEA">
        <w:rPr>
          <w:rFonts w:ascii="Arial" w:hAnsi="Arial" w:cs="Arial"/>
          <w:sz w:val="20"/>
        </w:rPr>
        <w:t>á</w:t>
      </w:r>
      <w:r w:rsidR="00BF0E58" w:rsidRPr="00AC4AEA">
        <w:rPr>
          <w:rFonts w:ascii="Arial" w:hAnsi="Arial" w:cs="Arial"/>
          <w:sz w:val="20"/>
        </w:rPr>
        <w:t>, de corresponder,</w:t>
      </w:r>
      <w:r w:rsidRPr="00AC4AEA">
        <w:rPr>
          <w:rFonts w:ascii="Arial" w:hAnsi="Arial" w:cs="Arial"/>
          <w:sz w:val="20"/>
        </w:rPr>
        <w:t xml:space="preserve"> </w:t>
      </w:r>
      <w:r w:rsidR="000B4545" w:rsidRPr="00AC4AEA">
        <w:rPr>
          <w:rFonts w:ascii="Arial" w:hAnsi="Arial" w:cs="Arial"/>
          <w:sz w:val="20"/>
        </w:rPr>
        <w:t xml:space="preserve">el mismo criterio </w:t>
      </w:r>
      <w:r w:rsidR="00057A1B" w:rsidRPr="00AC4AEA">
        <w:rPr>
          <w:rFonts w:ascii="Arial" w:hAnsi="Arial" w:cs="Arial"/>
          <w:sz w:val="20"/>
        </w:rPr>
        <w:t xml:space="preserve">aplicado para presentar </w:t>
      </w:r>
      <w:r w:rsidR="004F78C3" w:rsidRPr="00AC4AEA">
        <w:rPr>
          <w:rFonts w:ascii="Arial" w:hAnsi="Arial" w:cs="Arial"/>
          <w:b/>
          <w:bCs/>
          <w:sz w:val="20"/>
        </w:rPr>
        <w:t>i</w:t>
      </w:r>
      <w:r w:rsidR="00057A1B" w:rsidRPr="00AC4AEA">
        <w:rPr>
          <w:rFonts w:ascii="Arial" w:hAnsi="Arial" w:cs="Arial"/>
          <w:b/>
          <w:bCs/>
          <w:sz w:val="20"/>
        </w:rPr>
        <w:t>nformación por segmentos</w:t>
      </w:r>
      <w:r w:rsidR="000838A6" w:rsidRPr="00AC4AEA">
        <w:rPr>
          <w:rFonts w:ascii="Arial" w:hAnsi="Arial" w:cs="Arial"/>
          <w:sz w:val="20"/>
        </w:rPr>
        <w:t>;</w:t>
      </w:r>
      <w:r w:rsidR="00D60C72" w:rsidRPr="00AC4AEA">
        <w:rPr>
          <w:rFonts w:ascii="Arial" w:hAnsi="Arial" w:cs="Arial"/>
          <w:sz w:val="20"/>
        </w:rPr>
        <w:t xml:space="preserve"> y</w:t>
      </w:r>
    </w:p>
    <w:p w:rsidR="00374DF2" w:rsidRPr="00AC4AEA" w:rsidRDefault="003A7591" w:rsidP="00A318EA">
      <w:pPr>
        <w:pStyle w:val="A-Normal11"/>
        <w:numPr>
          <w:ilvl w:val="1"/>
          <w:numId w:val="29"/>
        </w:numPr>
        <w:ind w:left="1560"/>
        <w:jc w:val="both"/>
        <w:rPr>
          <w:rFonts w:ascii="Arial" w:hAnsi="Arial" w:cs="Arial"/>
          <w:sz w:val="20"/>
        </w:rPr>
      </w:pPr>
      <w:r w:rsidRPr="00AC4AEA">
        <w:rPr>
          <w:rFonts w:ascii="Arial" w:hAnsi="Arial" w:cs="Arial"/>
          <w:sz w:val="20"/>
        </w:rPr>
        <w:lastRenderedPageBreak/>
        <w:t>e</w:t>
      </w:r>
      <w:r w:rsidR="000B4545" w:rsidRPr="00AC4AEA">
        <w:rPr>
          <w:rFonts w:ascii="Arial" w:hAnsi="Arial" w:cs="Arial"/>
          <w:sz w:val="20"/>
        </w:rPr>
        <w:t>xpon</w:t>
      </w:r>
      <w:r w:rsidRPr="00AC4AEA">
        <w:rPr>
          <w:rFonts w:ascii="Arial" w:hAnsi="Arial" w:cs="Arial"/>
          <w:sz w:val="20"/>
        </w:rPr>
        <w:t>drá</w:t>
      </w:r>
      <w:r w:rsidR="000B4545" w:rsidRPr="00AC4AEA">
        <w:rPr>
          <w:rFonts w:ascii="Arial" w:hAnsi="Arial" w:cs="Arial"/>
          <w:sz w:val="20"/>
        </w:rPr>
        <w:t xml:space="preserve"> en notas los criterios </w:t>
      </w:r>
      <w:r w:rsidR="00D96960" w:rsidRPr="00AC4AEA">
        <w:rPr>
          <w:rFonts w:ascii="Arial" w:hAnsi="Arial" w:cs="Arial"/>
          <w:sz w:val="20"/>
        </w:rPr>
        <w:t xml:space="preserve">utilizados </w:t>
      </w:r>
      <w:r w:rsidR="000B4545" w:rsidRPr="00AC4AEA">
        <w:rPr>
          <w:rFonts w:ascii="Arial" w:hAnsi="Arial" w:cs="Arial"/>
          <w:sz w:val="20"/>
        </w:rPr>
        <w:t xml:space="preserve">para la definición de </w:t>
      </w:r>
      <w:r w:rsidR="00A06C32" w:rsidRPr="00AC4AEA">
        <w:rPr>
          <w:rFonts w:ascii="Arial" w:hAnsi="Arial" w:cs="Arial"/>
          <w:b/>
          <w:bCs/>
          <w:sz w:val="20"/>
        </w:rPr>
        <w:t>actividad generadora de efectivo</w:t>
      </w:r>
      <w:r w:rsidR="00B11E2E" w:rsidRPr="00AC4AEA">
        <w:rPr>
          <w:rFonts w:ascii="Arial" w:hAnsi="Arial" w:cs="Arial"/>
          <w:sz w:val="20"/>
        </w:rPr>
        <w:t xml:space="preserve"> o </w:t>
      </w:r>
      <w:r w:rsidR="00A31F64" w:rsidRPr="00AC4AEA">
        <w:rPr>
          <w:rFonts w:ascii="Arial" w:hAnsi="Arial" w:cs="Arial"/>
          <w:sz w:val="20"/>
        </w:rPr>
        <w:t>de las</w:t>
      </w:r>
      <w:r w:rsidR="00B11E2E" w:rsidRPr="00AC4AEA">
        <w:rPr>
          <w:rFonts w:ascii="Arial" w:hAnsi="Arial" w:cs="Arial"/>
          <w:sz w:val="20"/>
        </w:rPr>
        <w:t xml:space="preserve"> unidad</w:t>
      </w:r>
      <w:r w:rsidR="00A31F64" w:rsidRPr="00AC4AEA">
        <w:rPr>
          <w:rFonts w:ascii="Arial" w:hAnsi="Arial" w:cs="Arial"/>
          <w:sz w:val="20"/>
        </w:rPr>
        <w:t>es</w:t>
      </w:r>
      <w:r w:rsidR="00B11E2E" w:rsidRPr="00AC4AEA">
        <w:rPr>
          <w:rFonts w:ascii="Arial" w:hAnsi="Arial" w:cs="Arial"/>
          <w:sz w:val="20"/>
        </w:rPr>
        <w:t xml:space="preserve"> más pequeña</w:t>
      </w:r>
      <w:r w:rsidR="00A31F64" w:rsidRPr="00AC4AEA">
        <w:rPr>
          <w:rFonts w:ascii="Arial" w:hAnsi="Arial" w:cs="Arial"/>
          <w:sz w:val="20"/>
        </w:rPr>
        <w:t>s</w:t>
      </w:r>
      <w:r w:rsidR="00B11E2E" w:rsidRPr="00AC4AEA">
        <w:rPr>
          <w:rFonts w:ascii="Arial" w:hAnsi="Arial" w:cs="Arial"/>
          <w:sz w:val="20"/>
        </w:rPr>
        <w:t xml:space="preserve"> [ver el párrafo</w:t>
      </w:r>
      <w:r w:rsidR="00CB5353" w:rsidRPr="00AC4AEA">
        <w:rPr>
          <w:rFonts w:ascii="Arial" w:hAnsi="Arial" w:cs="Arial"/>
          <w:sz w:val="20"/>
        </w:rPr>
        <w:t xml:space="preserve"> </w:t>
      </w:r>
      <w:fldSimple w:instr=" REF _Ref99473003 \r \h  \* MERGEFORMAT ">
        <w:r w:rsidR="00D33A5D" w:rsidRPr="00D33A5D">
          <w:rPr>
            <w:rFonts w:ascii="Arial" w:hAnsi="Arial" w:cs="Arial"/>
            <w:sz w:val="20"/>
          </w:rPr>
          <w:t>164</w:t>
        </w:r>
      </w:fldSimple>
      <w:r w:rsidR="00B11E2E" w:rsidRPr="00AC4AEA">
        <w:rPr>
          <w:rFonts w:ascii="Arial" w:hAnsi="Arial" w:cs="Arial"/>
          <w:sz w:val="20"/>
        </w:rPr>
        <w:t>].</w:t>
      </w:r>
    </w:p>
    <w:p w:rsidR="00AA7FE0" w:rsidRPr="00AC4AEA" w:rsidRDefault="00AA7FE0" w:rsidP="00A318EA">
      <w:pPr>
        <w:jc w:val="both"/>
        <w:rPr>
          <w:rFonts w:ascii="Arial" w:hAnsi="Arial" w:cs="Arial"/>
          <w:sz w:val="20"/>
          <w:szCs w:val="20"/>
        </w:rPr>
      </w:pPr>
    </w:p>
    <w:p w:rsidR="00950A64" w:rsidRPr="00AC4AEA" w:rsidRDefault="001F336E" w:rsidP="00A318EA">
      <w:pPr>
        <w:pStyle w:val="Ttulo2"/>
        <w:rPr>
          <w:rFonts w:cs="Arial"/>
        </w:rPr>
      </w:pPr>
      <w:bookmarkStart w:id="221" w:name="_Toc101863766"/>
      <w:bookmarkStart w:id="222" w:name="_Toc139356631"/>
      <w:r w:rsidRPr="00AC4AEA">
        <w:rPr>
          <w:rFonts w:cs="Arial"/>
        </w:rPr>
        <w:t xml:space="preserve">Perdidas </w:t>
      </w:r>
      <w:r w:rsidR="00AE3DC2" w:rsidRPr="00AC4AEA">
        <w:rPr>
          <w:rFonts w:cs="Arial"/>
        </w:rPr>
        <w:t>p</w:t>
      </w:r>
      <w:r w:rsidRPr="00AC4AEA">
        <w:rPr>
          <w:rFonts w:cs="Arial"/>
        </w:rPr>
        <w:t xml:space="preserve">or </w:t>
      </w:r>
      <w:r w:rsidR="00AE3DC2" w:rsidRPr="00AC4AEA">
        <w:rPr>
          <w:rFonts w:cs="Arial"/>
        </w:rPr>
        <w:t>d</w:t>
      </w:r>
      <w:r w:rsidRPr="00AC4AEA">
        <w:rPr>
          <w:rFonts w:cs="Arial"/>
        </w:rPr>
        <w:t>esvalorización</w:t>
      </w:r>
      <w:bookmarkEnd w:id="221"/>
      <w:bookmarkEnd w:id="222"/>
    </w:p>
    <w:p w:rsidR="00FD0B17" w:rsidRPr="00AC4AEA" w:rsidRDefault="00FD0B17" w:rsidP="00A318EA">
      <w:pPr>
        <w:pStyle w:val="Ttulo3"/>
      </w:pPr>
      <w:bookmarkStart w:id="223" w:name="_Toc101863767"/>
      <w:bookmarkStart w:id="224" w:name="_Toc139356632"/>
      <w:r w:rsidRPr="00AC4AEA">
        <w:t xml:space="preserve">Imputación de </w:t>
      </w:r>
      <w:r w:rsidR="00A06C32" w:rsidRPr="00AC4AEA">
        <w:t>pérdidas por desvalorización</w:t>
      </w:r>
      <w:bookmarkEnd w:id="223"/>
      <w:bookmarkEnd w:id="224"/>
    </w:p>
    <w:p w:rsidR="00FD0B17" w:rsidRPr="00AC4AEA" w:rsidRDefault="00FD0B17" w:rsidP="00A318EA">
      <w:pPr>
        <w:pStyle w:val="A-Normal11"/>
        <w:numPr>
          <w:ilvl w:val="0"/>
          <w:numId w:val="29"/>
        </w:numPr>
        <w:jc w:val="both"/>
        <w:rPr>
          <w:rFonts w:ascii="Arial" w:hAnsi="Arial" w:cs="Arial"/>
          <w:sz w:val="20"/>
        </w:rPr>
      </w:pPr>
      <w:r w:rsidRPr="00AC4AEA">
        <w:rPr>
          <w:rFonts w:ascii="Arial" w:hAnsi="Arial" w:cs="Arial"/>
          <w:sz w:val="20"/>
        </w:rPr>
        <w:t xml:space="preserve">Una entidad imputará las </w:t>
      </w:r>
      <w:r w:rsidR="00A06C32" w:rsidRPr="00AC4AEA">
        <w:rPr>
          <w:rFonts w:ascii="Arial" w:hAnsi="Arial" w:cs="Arial"/>
          <w:b/>
          <w:bCs/>
          <w:sz w:val="20"/>
        </w:rPr>
        <w:t>pérdidas por desvalorización</w:t>
      </w:r>
      <w:r w:rsidRPr="00AC4AEA">
        <w:rPr>
          <w:rFonts w:ascii="Arial" w:hAnsi="Arial" w:cs="Arial"/>
          <w:b/>
          <w:bCs/>
          <w:sz w:val="20"/>
        </w:rPr>
        <w:t xml:space="preserve">: </w:t>
      </w:r>
    </w:p>
    <w:p w:rsidR="00FD0B17" w:rsidRPr="00AC4AEA" w:rsidRDefault="00FD0B17" w:rsidP="00A318EA">
      <w:pPr>
        <w:pStyle w:val="A-Normal11"/>
        <w:numPr>
          <w:ilvl w:val="1"/>
          <w:numId w:val="29"/>
        </w:numPr>
        <w:ind w:left="1560"/>
        <w:jc w:val="both"/>
        <w:rPr>
          <w:rFonts w:ascii="Arial" w:hAnsi="Arial" w:cs="Arial"/>
          <w:sz w:val="20"/>
        </w:rPr>
      </w:pPr>
      <w:r w:rsidRPr="00AC4AEA">
        <w:rPr>
          <w:rFonts w:ascii="Arial" w:hAnsi="Arial" w:cs="Arial"/>
          <w:sz w:val="20"/>
        </w:rPr>
        <w:t xml:space="preserve">Al resultado del período, </w:t>
      </w:r>
      <w:r w:rsidR="00640562" w:rsidRPr="00AC4AEA">
        <w:rPr>
          <w:rFonts w:ascii="Arial" w:hAnsi="Arial" w:cs="Arial"/>
          <w:sz w:val="20"/>
        </w:rPr>
        <w:t>si</w:t>
      </w:r>
      <w:r w:rsidR="00E737DE" w:rsidRPr="00AC4AEA">
        <w:rPr>
          <w:rFonts w:ascii="Arial" w:hAnsi="Arial" w:cs="Arial"/>
          <w:sz w:val="20"/>
        </w:rPr>
        <w:t xml:space="preserve"> no se </w:t>
      </w:r>
      <w:r w:rsidR="00640562" w:rsidRPr="00AC4AEA">
        <w:rPr>
          <w:rFonts w:ascii="Arial" w:hAnsi="Arial" w:cs="Arial"/>
          <w:sz w:val="20"/>
        </w:rPr>
        <w:t>revirtieran</w:t>
      </w:r>
      <w:r w:rsidR="00E737DE" w:rsidRPr="00AC4AEA">
        <w:rPr>
          <w:rFonts w:ascii="Arial" w:hAnsi="Arial" w:cs="Arial"/>
          <w:sz w:val="20"/>
        </w:rPr>
        <w:t xml:space="preserve"> valorizaciones incluidas en</w:t>
      </w:r>
      <w:r w:rsidR="00111DFB" w:rsidRPr="00AC4AEA">
        <w:rPr>
          <w:rFonts w:ascii="Arial" w:hAnsi="Arial" w:cs="Arial"/>
          <w:sz w:val="20"/>
        </w:rPr>
        <w:t xml:space="preserve"> el</w:t>
      </w:r>
      <w:r w:rsidR="00E737DE" w:rsidRPr="00AC4AEA">
        <w:rPr>
          <w:rFonts w:ascii="Arial" w:hAnsi="Arial" w:cs="Arial"/>
          <w:sz w:val="20"/>
        </w:rPr>
        <w:t xml:space="preserve"> </w:t>
      </w:r>
      <w:r w:rsidR="00130CCF" w:rsidRPr="00AC4AEA">
        <w:rPr>
          <w:rFonts w:ascii="Arial" w:hAnsi="Arial" w:cs="Arial"/>
          <w:b/>
          <w:bCs/>
          <w:sz w:val="20"/>
        </w:rPr>
        <w:t>saldo por revaluación</w:t>
      </w:r>
      <w:r w:rsidR="006A0415" w:rsidRPr="00AC4AEA">
        <w:rPr>
          <w:rFonts w:ascii="Arial" w:hAnsi="Arial" w:cs="Arial"/>
          <w:sz w:val="20"/>
        </w:rPr>
        <w:t>.</w:t>
      </w:r>
      <w:r w:rsidR="00027642" w:rsidRPr="00AC4AEA">
        <w:rPr>
          <w:rFonts w:ascii="Arial" w:hAnsi="Arial" w:cs="Arial"/>
          <w:sz w:val="20"/>
        </w:rPr>
        <w:t xml:space="preserve"> </w:t>
      </w:r>
    </w:p>
    <w:p w:rsidR="002231CF" w:rsidRPr="00AC4AEA" w:rsidRDefault="002231CF" w:rsidP="00A318EA">
      <w:pPr>
        <w:pStyle w:val="A-Normal11"/>
        <w:numPr>
          <w:ilvl w:val="1"/>
          <w:numId w:val="29"/>
        </w:numPr>
        <w:ind w:left="1560"/>
        <w:jc w:val="both"/>
        <w:rPr>
          <w:rFonts w:ascii="Arial" w:hAnsi="Arial" w:cs="Arial"/>
          <w:sz w:val="20"/>
        </w:rPr>
      </w:pPr>
      <w:r w:rsidRPr="00AC4AEA">
        <w:rPr>
          <w:rFonts w:ascii="Arial" w:hAnsi="Arial" w:cs="Arial"/>
          <w:sz w:val="20"/>
        </w:rPr>
        <w:t>Como una disminución de</w:t>
      </w:r>
      <w:r w:rsidR="00111DFB" w:rsidRPr="00AC4AEA">
        <w:rPr>
          <w:rFonts w:ascii="Arial" w:hAnsi="Arial" w:cs="Arial"/>
          <w:sz w:val="20"/>
        </w:rPr>
        <w:t>l</w:t>
      </w:r>
      <w:r w:rsidRPr="00AC4AEA">
        <w:rPr>
          <w:rFonts w:ascii="Arial" w:hAnsi="Arial" w:cs="Arial"/>
          <w:sz w:val="20"/>
        </w:rPr>
        <w:t xml:space="preserve"> saldo de </w:t>
      </w:r>
      <w:r w:rsidR="00EC1893" w:rsidRPr="00AC4AEA">
        <w:rPr>
          <w:rFonts w:ascii="Arial" w:hAnsi="Arial" w:cs="Arial"/>
          <w:sz w:val="20"/>
        </w:rPr>
        <w:t>revaluación</w:t>
      </w:r>
      <w:r w:rsidRPr="00AC4AEA">
        <w:rPr>
          <w:rFonts w:ascii="Arial" w:hAnsi="Arial" w:cs="Arial"/>
          <w:sz w:val="20"/>
        </w:rPr>
        <w:t xml:space="preserve">, </w:t>
      </w:r>
      <w:r w:rsidR="00640562" w:rsidRPr="00AC4AEA">
        <w:rPr>
          <w:rFonts w:ascii="Arial" w:hAnsi="Arial" w:cs="Arial"/>
          <w:sz w:val="20"/>
        </w:rPr>
        <w:t>si</w:t>
      </w:r>
      <w:r w:rsidRPr="00AC4AEA">
        <w:rPr>
          <w:rFonts w:ascii="Arial" w:hAnsi="Arial" w:cs="Arial"/>
          <w:sz w:val="20"/>
        </w:rPr>
        <w:t xml:space="preserve"> se rev</w:t>
      </w:r>
      <w:r w:rsidR="00640562" w:rsidRPr="00AC4AEA">
        <w:rPr>
          <w:rFonts w:ascii="Arial" w:hAnsi="Arial" w:cs="Arial"/>
          <w:sz w:val="20"/>
        </w:rPr>
        <w:t>irtieran</w:t>
      </w:r>
      <w:r w:rsidRPr="00AC4AEA">
        <w:rPr>
          <w:rFonts w:ascii="Arial" w:hAnsi="Arial" w:cs="Arial"/>
          <w:sz w:val="20"/>
        </w:rPr>
        <w:t xml:space="preserve"> valorizaciones incluidas en </w:t>
      </w:r>
      <w:r w:rsidR="00130CCF" w:rsidRPr="00AC4AEA">
        <w:rPr>
          <w:rFonts w:ascii="Arial" w:hAnsi="Arial" w:cs="Arial"/>
          <w:sz w:val="20"/>
        </w:rPr>
        <w:t xml:space="preserve">el </w:t>
      </w:r>
      <w:r w:rsidR="00130CCF" w:rsidRPr="00AC4AEA">
        <w:rPr>
          <w:rFonts w:ascii="Arial" w:hAnsi="Arial" w:cs="Arial"/>
          <w:b/>
          <w:bCs/>
          <w:sz w:val="20"/>
        </w:rPr>
        <w:t>saldo por revaluación</w:t>
      </w:r>
      <w:r w:rsidRPr="00AC4AEA">
        <w:rPr>
          <w:rFonts w:ascii="Arial" w:hAnsi="Arial" w:cs="Arial"/>
          <w:sz w:val="20"/>
        </w:rPr>
        <w:t>.</w:t>
      </w:r>
    </w:p>
    <w:p w:rsidR="002231CF" w:rsidRPr="00AC4AEA" w:rsidRDefault="00E737DE" w:rsidP="00A318EA">
      <w:pPr>
        <w:pStyle w:val="A-Normal11"/>
        <w:numPr>
          <w:ilvl w:val="0"/>
          <w:numId w:val="29"/>
        </w:numPr>
        <w:jc w:val="both"/>
        <w:rPr>
          <w:rFonts w:ascii="Arial" w:hAnsi="Arial" w:cs="Arial"/>
          <w:sz w:val="20"/>
        </w:rPr>
      </w:pPr>
      <w:r w:rsidRPr="00AC4AEA">
        <w:rPr>
          <w:rFonts w:ascii="Arial" w:hAnsi="Arial" w:cs="Arial"/>
          <w:sz w:val="20"/>
        </w:rPr>
        <w:t>Cuando se produzca un</w:t>
      </w:r>
      <w:r w:rsidR="002231CF" w:rsidRPr="00AC4AEA">
        <w:rPr>
          <w:rFonts w:ascii="Arial" w:hAnsi="Arial" w:cs="Arial"/>
          <w:sz w:val="20"/>
        </w:rPr>
        <w:t xml:space="preserve">a disminución del valor de los </w:t>
      </w:r>
      <w:r w:rsidR="00497590" w:rsidRPr="00AC4AEA">
        <w:rPr>
          <w:rFonts w:ascii="Arial" w:hAnsi="Arial" w:cs="Arial"/>
          <w:sz w:val="20"/>
        </w:rPr>
        <w:t>activos</w:t>
      </w:r>
      <w:r w:rsidR="002231CF" w:rsidRPr="00AC4AEA">
        <w:rPr>
          <w:rFonts w:ascii="Arial" w:hAnsi="Arial" w:cs="Arial"/>
          <w:sz w:val="20"/>
        </w:rPr>
        <w:t xml:space="preserve"> </w:t>
      </w:r>
      <w:r w:rsidRPr="00AC4AEA">
        <w:rPr>
          <w:rFonts w:ascii="Arial" w:hAnsi="Arial" w:cs="Arial"/>
          <w:sz w:val="20"/>
        </w:rPr>
        <w:t>debido a</w:t>
      </w:r>
      <w:r w:rsidR="002231CF" w:rsidRPr="00AC4AEA">
        <w:rPr>
          <w:rFonts w:ascii="Arial" w:hAnsi="Arial" w:cs="Arial"/>
          <w:sz w:val="20"/>
        </w:rPr>
        <w:t xml:space="preserve"> </w:t>
      </w:r>
      <w:r w:rsidR="00A06C32" w:rsidRPr="00AC4AEA">
        <w:rPr>
          <w:rFonts w:ascii="Arial" w:hAnsi="Arial" w:cs="Arial"/>
          <w:b/>
          <w:bCs/>
          <w:sz w:val="20"/>
        </w:rPr>
        <w:t>pérdidas por desvalorización</w:t>
      </w:r>
      <w:r w:rsidRPr="00AC4AEA">
        <w:rPr>
          <w:rFonts w:ascii="Arial" w:hAnsi="Arial" w:cs="Arial"/>
          <w:b/>
          <w:bCs/>
          <w:sz w:val="20"/>
        </w:rPr>
        <w:t xml:space="preserve">, </w:t>
      </w:r>
      <w:r w:rsidRPr="00AC4AEA">
        <w:rPr>
          <w:rFonts w:ascii="Arial" w:hAnsi="Arial" w:cs="Arial"/>
          <w:sz w:val="20"/>
        </w:rPr>
        <w:t>una entidad imputará</w:t>
      </w:r>
      <w:r w:rsidR="00640562" w:rsidRPr="00AC4AEA">
        <w:rPr>
          <w:rFonts w:ascii="Arial" w:hAnsi="Arial" w:cs="Arial"/>
          <w:sz w:val="20"/>
        </w:rPr>
        <w:t xml:space="preserve"> dichas pérdidas</w:t>
      </w:r>
      <w:r w:rsidRPr="00AC4AEA">
        <w:rPr>
          <w:rFonts w:ascii="Arial" w:hAnsi="Arial" w:cs="Arial"/>
          <w:sz w:val="20"/>
        </w:rPr>
        <w:t>:</w:t>
      </w:r>
    </w:p>
    <w:p w:rsidR="00FD0B17" w:rsidRPr="00AC4AEA" w:rsidRDefault="006A0415" w:rsidP="00A318EA">
      <w:pPr>
        <w:pStyle w:val="A-Normal11"/>
        <w:numPr>
          <w:ilvl w:val="1"/>
          <w:numId w:val="29"/>
        </w:numPr>
        <w:ind w:left="1560"/>
        <w:jc w:val="both"/>
        <w:rPr>
          <w:rFonts w:ascii="Arial" w:hAnsi="Arial" w:cs="Arial"/>
          <w:sz w:val="20"/>
        </w:rPr>
      </w:pPr>
      <w:r w:rsidRPr="00AC4AEA">
        <w:rPr>
          <w:rFonts w:ascii="Arial" w:hAnsi="Arial" w:cs="Arial"/>
          <w:sz w:val="20"/>
        </w:rPr>
        <w:t>C</w:t>
      </w:r>
      <w:r w:rsidR="002231CF" w:rsidRPr="00AC4AEA">
        <w:rPr>
          <w:rFonts w:ascii="Arial" w:hAnsi="Arial" w:cs="Arial"/>
          <w:sz w:val="20"/>
        </w:rPr>
        <w:t xml:space="preserve">omo una reducción de la </w:t>
      </w:r>
      <w:r w:rsidR="00D30925" w:rsidRPr="00AC4AEA">
        <w:rPr>
          <w:rFonts w:ascii="Arial" w:hAnsi="Arial" w:cs="Arial"/>
          <w:sz w:val="20"/>
        </w:rPr>
        <w:t>medición</w:t>
      </w:r>
      <w:r w:rsidR="002231CF" w:rsidRPr="00AC4AEA">
        <w:rPr>
          <w:rFonts w:ascii="Arial" w:hAnsi="Arial" w:cs="Arial"/>
          <w:sz w:val="20"/>
        </w:rPr>
        <w:t xml:space="preserve"> del </w:t>
      </w:r>
      <w:r w:rsidR="002231CF" w:rsidRPr="00AC4AEA">
        <w:rPr>
          <w:rFonts w:ascii="Arial" w:hAnsi="Arial" w:cs="Arial"/>
          <w:b/>
          <w:bCs/>
          <w:sz w:val="20"/>
        </w:rPr>
        <w:t>activo</w:t>
      </w:r>
      <w:r w:rsidR="002231CF" w:rsidRPr="00AC4AEA">
        <w:rPr>
          <w:rFonts w:ascii="Arial" w:hAnsi="Arial" w:cs="Arial"/>
          <w:sz w:val="20"/>
        </w:rPr>
        <w:t xml:space="preserve"> que las originó</w:t>
      </w:r>
      <w:r w:rsidR="00E737DE" w:rsidRPr="00AC4AEA">
        <w:rPr>
          <w:rFonts w:ascii="Arial" w:hAnsi="Arial" w:cs="Arial"/>
          <w:sz w:val="20"/>
        </w:rPr>
        <w:t xml:space="preserve">, si </w:t>
      </w:r>
      <w:r w:rsidR="00EC1893" w:rsidRPr="00AC4AEA">
        <w:rPr>
          <w:rFonts w:ascii="Arial" w:hAnsi="Arial" w:cs="Arial"/>
          <w:sz w:val="20"/>
        </w:rPr>
        <w:t>provinieran</w:t>
      </w:r>
      <w:r w:rsidR="00BD3731" w:rsidRPr="00AC4AEA">
        <w:rPr>
          <w:rFonts w:ascii="Arial" w:hAnsi="Arial" w:cs="Arial"/>
          <w:sz w:val="20"/>
        </w:rPr>
        <w:t xml:space="preserve"> </w:t>
      </w:r>
      <w:r w:rsidR="00E737DE" w:rsidRPr="00AC4AEA">
        <w:rPr>
          <w:rFonts w:ascii="Arial" w:hAnsi="Arial" w:cs="Arial"/>
          <w:sz w:val="20"/>
        </w:rPr>
        <w:t xml:space="preserve">de comparaciones al nivel de cada </w:t>
      </w:r>
      <w:r w:rsidR="00E737DE" w:rsidRPr="00AC4AEA">
        <w:rPr>
          <w:rFonts w:ascii="Arial" w:hAnsi="Arial" w:cs="Arial"/>
          <w:b/>
          <w:sz w:val="20"/>
        </w:rPr>
        <w:t>activ</w:t>
      </w:r>
      <w:r w:rsidR="00D60C72" w:rsidRPr="00AC4AEA">
        <w:rPr>
          <w:rFonts w:ascii="Arial" w:hAnsi="Arial" w:cs="Arial"/>
          <w:b/>
          <w:sz w:val="20"/>
        </w:rPr>
        <w:t>o</w:t>
      </w:r>
      <w:r w:rsidRPr="00AC4AEA">
        <w:rPr>
          <w:rFonts w:ascii="Arial" w:hAnsi="Arial" w:cs="Arial"/>
          <w:sz w:val="20"/>
        </w:rPr>
        <w:t>.</w:t>
      </w:r>
      <w:r w:rsidR="00D60C72" w:rsidRPr="00AC4AEA">
        <w:rPr>
          <w:rFonts w:ascii="Arial" w:hAnsi="Arial" w:cs="Arial"/>
          <w:sz w:val="20"/>
        </w:rPr>
        <w:t xml:space="preserve"> </w:t>
      </w:r>
    </w:p>
    <w:p w:rsidR="002231CF" w:rsidRPr="00AC4AEA" w:rsidRDefault="00E737D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De acuerdo </w:t>
      </w:r>
      <w:r w:rsidR="00640562" w:rsidRPr="00AC4AEA">
        <w:rPr>
          <w:rFonts w:ascii="Arial" w:hAnsi="Arial" w:cs="Arial"/>
          <w:sz w:val="20"/>
        </w:rPr>
        <w:t>con el</w:t>
      </w:r>
      <w:r w:rsidRPr="00AC4AEA">
        <w:rPr>
          <w:rFonts w:ascii="Arial" w:hAnsi="Arial" w:cs="Arial"/>
          <w:sz w:val="20"/>
        </w:rPr>
        <w:t xml:space="preserve"> siguiente orden, si </w:t>
      </w:r>
      <w:r w:rsidR="00BD3731" w:rsidRPr="00AC4AEA">
        <w:rPr>
          <w:rFonts w:ascii="Arial" w:hAnsi="Arial" w:cs="Arial"/>
          <w:sz w:val="20"/>
        </w:rPr>
        <w:t xml:space="preserve">provinieran </w:t>
      </w:r>
      <w:r w:rsidRPr="00AC4AEA">
        <w:rPr>
          <w:rFonts w:ascii="Arial" w:hAnsi="Arial" w:cs="Arial"/>
          <w:sz w:val="20"/>
        </w:rPr>
        <w:t xml:space="preserve">de comparaciones al nivel de una </w:t>
      </w:r>
      <w:r w:rsidR="00A06C32" w:rsidRPr="00AC4AEA">
        <w:rPr>
          <w:rFonts w:ascii="Arial" w:hAnsi="Arial" w:cs="Arial"/>
          <w:b/>
          <w:bCs/>
          <w:sz w:val="20"/>
        </w:rPr>
        <w:t>actividad generadora de efectivo</w:t>
      </w:r>
      <w:r w:rsidR="00F0288D" w:rsidRPr="00AC4AEA">
        <w:rPr>
          <w:rFonts w:ascii="Arial" w:hAnsi="Arial" w:cs="Arial"/>
          <w:sz w:val="20"/>
        </w:rPr>
        <w:t xml:space="preserve"> o de una unidad más pequeña [ver el párrafo </w:t>
      </w:r>
      <w:fldSimple w:instr=" REF _Ref99473003 \r \h  \* MERGEFORMAT ">
        <w:r w:rsidR="00D33A5D" w:rsidRPr="00D33A5D">
          <w:rPr>
            <w:rFonts w:ascii="Arial" w:hAnsi="Arial" w:cs="Arial"/>
            <w:sz w:val="20"/>
          </w:rPr>
          <w:t>164</w:t>
        </w:r>
      </w:fldSimple>
      <w:r w:rsidR="00F0288D" w:rsidRPr="00AC4AEA">
        <w:rPr>
          <w:rFonts w:ascii="Arial" w:hAnsi="Arial" w:cs="Arial"/>
          <w:sz w:val="20"/>
        </w:rPr>
        <w:t>]:</w:t>
      </w:r>
    </w:p>
    <w:p w:rsidR="00FD0B17" w:rsidRPr="00AC4AEA" w:rsidRDefault="0093709E" w:rsidP="00A318EA">
      <w:pPr>
        <w:pStyle w:val="A-Normal11"/>
        <w:numPr>
          <w:ilvl w:val="2"/>
          <w:numId w:val="29"/>
        </w:numPr>
        <w:ind w:left="1985"/>
        <w:jc w:val="both"/>
        <w:rPr>
          <w:rFonts w:ascii="Arial" w:hAnsi="Arial" w:cs="Arial"/>
          <w:sz w:val="20"/>
        </w:rPr>
      </w:pPr>
      <w:r w:rsidRPr="00AC4AEA">
        <w:rPr>
          <w:rFonts w:ascii="Arial" w:hAnsi="Arial" w:cs="Arial"/>
          <w:sz w:val="20"/>
        </w:rPr>
        <w:t>a</w:t>
      </w:r>
      <w:r w:rsidR="00FD0B17" w:rsidRPr="00AC4AEA">
        <w:rPr>
          <w:rFonts w:ascii="Arial" w:hAnsi="Arial" w:cs="Arial"/>
          <w:sz w:val="20"/>
        </w:rPr>
        <w:t xml:space="preserve"> la llave de negocio asignada </w:t>
      </w:r>
      <w:r w:rsidR="0067150D" w:rsidRPr="00AC4AEA">
        <w:rPr>
          <w:rFonts w:ascii="Arial" w:hAnsi="Arial" w:cs="Arial"/>
          <w:sz w:val="20"/>
        </w:rPr>
        <w:t xml:space="preserve">a </w:t>
      </w:r>
      <w:r w:rsidR="00E737DE" w:rsidRPr="00AC4AEA">
        <w:rPr>
          <w:rFonts w:ascii="Arial" w:hAnsi="Arial" w:cs="Arial"/>
          <w:sz w:val="20"/>
        </w:rPr>
        <w:t>dicha actividad;</w:t>
      </w:r>
      <w:r w:rsidR="00857A7A" w:rsidRPr="00AC4AEA">
        <w:rPr>
          <w:rFonts w:ascii="Arial" w:hAnsi="Arial" w:cs="Arial"/>
          <w:sz w:val="20"/>
        </w:rPr>
        <w:t xml:space="preserve"> y</w:t>
      </w:r>
    </w:p>
    <w:p w:rsidR="00FD0B17" w:rsidRPr="00AC4AEA" w:rsidRDefault="0093709E" w:rsidP="00A318EA">
      <w:pPr>
        <w:pStyle w:val="A-Normal11"/>
        <w:numPr>
          <w:ilvl w:val="2"/>
          <w:numId w:val="29"/>
        </w:numPr>
        <w:ind w:left="1985"/>
        <w:jc w:val="both"/>
        <w:rPr>
          <w:rFonts w:ascii="Arial" w:hAnsi="Arial" w:cs="Arial"/>
          <w:sz w:val="20"/>
        </w:rPr>
      </w:pPr>
      <w:r w:rsidRPr="00AC4AEA">
        <w:rPr>
          <w:rFonts w:ascii="Arial" w:hAnsi="Arial" w:cs="Arial"/>
          <w:sz w:val="20"/>
        </w:rPr>
        <w:t>s</w:t>
      </w:r>
      <w:r w:rsidR="00781473" w:rsidRPr="00AC4AEA">
        <w:rPr>
          <w:rFonts w:ascii="Arial" w:hAnsi="Arial" w:cs="Arial"/>
          <w:sz w:val="20"/>
        </w:rPr>
        <w:t>i existiera un remanente, e</w:t>
      </w:r>
      <w:r w:rsidR="00FD0B17" w:rsidRPr="00AC4AEA">
        <w:rPr>
          <w:rFonts w:ascii="Arial" w:hAnsi="Arial" w:cs="Arial"/>
          <w:sz w:val="20"/>
        </w:rPr>
        <w:t xml:space="preserve">ntre los restantes </w:t>
      </w:r>
      <w:r w:rsidR="00497590" w:rsidRPr="00AC4AEA">
        <w:rPr>
          <w:rFonts w:ascii="Arial" w:hAnsi="Arial" w:cs="Arial"/>
          <w:sz w:val="20"/>
        </w:rPr>
        <w:t>activos</w:t>
      </w:r>
      <w:r w:rsidR="00FD0B17" w:rsidRPr="00AC4AEA">
        <w:rPr>
          <w:rFonts w:ascii="Arial" w:hAnsi="Arial" w:cs="Arial"/>
          <w:sz w:val="20"/>
        </w:rPr>
        <w:t xml:space="preserve"> incluidos en la </w:t>
      </w:r>
      <w:r w:rsidR="00D30925" w:rsidRPr="00AC4AEA">
        <w:rPr>
          <w:rFonts w:ascii="Arial" w:hAnsi="Arial" w:cs="Arial"/>
          <w:sz w:val="20"/>
        </w:rPr>
        <w:t>medición</w:t>
      </w:r>
      <w:r w:rsidR="00FD0B17" w:rsidRPr="00AC4AEA">
        <w:rPr>
          <w:rFonts w:ascii="Arial" w:hAnsi="Arial" w:cs="Arial"/>
          <w:sz w:val="20"/>
        </w:rPr>
        <w:t xml:space="preserve"> contable que se compara, en proporción a sus </w:t>
      </w:r>
      <w:r w:rsidR="00E40EAB" w:rsidRPr="00AC4AEA">
        <w:rPr>
          <w:rFonts w:ascii="Arial" w:hAnsi="Arial" w:cs="Arial"/>
          <w:sz w:val="20"/>
        </w:rPr>
        <w:t>mediciones</w:t>
      </w:r>
      <w:r w:rsidR="00FD0B17" w:rsidRPr="00AC4AEA">
        <w:rPr>
          <w:rFonts w:ascii="Arial" w:hAnsi="Arial" w:cs="Arial"/>
          <w:sz w:val="20"/>
        </w:rPr>
        <w:t xml:space="preserve"> </w:t>
      </w:r>
      <w:r w:rsidR="00640562" w:rsidRPr="00AC4AEA">
        <w:rPr>
          <w:rFonts w:ascii="Arial" w:hAnsi="Arial" w:cs="Arial"/>
          <w:sz w:val="20"/>
        </w:rPr>
        <w:t>previas</w:t>
      </w:r>
      <w:r w:rsidR="00FD0B17" w:rsidRPr="00AC4AEA">
        <w:rPr>
          <w:rFonts w:ascii="Arial" w:hAnsi="Arial" w:cs="Arial"/>
          <w:sz w:val="20"/>
        </w:rPr>
        <w:t xml:space="preserve"> al cómputo de la desvalorización.</w:t>
      </w:r>
    </w:p>
    <w:p w:rsidR="00911414" w:rsidRPr="00AC4AEA" w:rsidRDefault="00911414" w:rsidP="00A318EA">
      <w:pPr>
        <w:pStyle w:val="A-Normal11"/>
        <w:jc w:val="both"/>
        <w:rPr>
          <w:rFonts w:ascii="Arial" w:hAnsi="Arial" w:cs="Arial"/>
          <w:sz w:val="20"/>
        </w:rPr>
      </w:pPr>
    </w:p>
    <w:p w:rsidR="00E737DE" w:rsidRPr="00AC4AEA" w:rsidRDefault="00E737DE" w:rsidP="00A318EA">
      <w:pPr>
        <w:pStyle w:val="Ttulo3"/>
      </w:pPr>
      <w:bookmarkStart w:id="225" w:name="_Toc101863768"/>
      <w:bookmarkStart w:id="226" w:name="_Toc139356633"/>
      <w:r w:rsidRPr="00AC4AEA">
        <w:t xml:space="preserve">Reversión de </w:t>
      </w:r>
      <w:r w:rsidR="00A06C32" w:rsidRPr="00AC4AEA">
        <w:t>pérdidas por desvalorización</w:t>
      </w:r>
      <w:bookmarkEnd w:id="225"/>
      <w:bookmarkEnd w:id="226"/>
    </w:p>
    <w:p w:rsidR="00E737DE" w:rsidRPr="00AC4AEA" w:rsidRDefault="00E737DE" w:rsidP="00A318EA">
      <w:pPr>
        <w:pStyle w:val="A-Normal11"/>
        <w:numPr>
          <w:ilvl w:val="0"/>
          <w:numId w:val="29"/>
        </w:numPr>
        <w:jc w:val="both"/>
        <w:rPr>
          <w:rFonts w:ascii="Arial" w:hAnsi="Arial" w:cs="Arial"/>
          <w:sz w:val="20"/>
        </w:rPr>
      </w:pPr>
      <w:r w:rsidRPr="00AC4AEA">
        <w:rPr>
          <w:rFonts w:ascii="Arial" w:hAnsi="Arial" w:cs="Arial"/>
          <w:sz w:val="20"/>
        </w:rPr>
        <w:t xml:space="preserve">Una entidad revertirá </w:t>
      </w:r>
      <w:r w:rsidR="00A06C32" w:rsidRPr="00AC4AEA">
        <w:rPr>
          <w:rFonts w:ascii="Arial" w:hAnsi="Arial" w:cs="Arial"/>
          <w:b/>
          <w:bCs/>
          <w:sz w:val="20"/>
        </w:rPr>
        <w:t xml:space="preserve">pérdidas por desvalorización </w:t>
      </w:r>
      <w:r w:rsidRPr="00AC4AEA">
        <w:rPr>
          <w:rFonts w:ascii="Arial" w:hAnsi="Arial" w:cs="Arial"/>
          <w:sz w:val="20"/>
        </w:rPr>
        <w:t>reconocidas en períodos anteriores solo cuando,</w:t>
      </w:r>
      <w:r w:rsidR="006D66C5" w:rsidRPr="00AC4AEA">
        <w:rPr>
          <w:rFonts w:ascii="Arial" w:hAnsi="Arial" w:cs="Arial"/>
          <w:sz w:val="20"/>
        </w:rPr>
        <w:t xml:space="preserve"> con posterioridad a la fecha de su determinación, </w:t>
      </w:r>
      <w:r w:rsidR="00334C31" w:rsidRPr="00AC4AEA">
        <w:rPr>
          <w:rFonts w:ascii="Arial" w:hAnsi="Arial" w:cs="Arial"/>
          <w:sz w:val="20"/>
        </w:rPr>
        <w:t>cambien</w:t>
      </w:r>
      <w:r w:rsidR="006D66C5" w:rsidRPr="00AC4AEA">
        <w:rPr>
          <w:rFonts w:ascii="Arial" w:hAnsi="Arial" w:cs="Arial"/>
          <w:sz w:val="20"/>
        </w:rPr>
        <w:t xml:space="preserve"> las estimaciones efectuadas para determinar </w:t>
      </w:r>
      <w:r w:rsidR="00EC1893" w:rsidRPr="00AC4AEA">
        <w:rPr>
          <w:rFonts w:ascii="Arial" w:hAnsi="Arial" w:cs="Arial"/>
          <w:sz w:val="20"/>
        </w:rPr>
        <w:t>el</w:t>
      </w:r>
      <w:r w:rsidR="00BD3731" w:rsidRPr="00AC4AEA">
        <w:rPr>
          <w:rFonts w:ascii="Arial" w:hAnsi="Arial" w:cs="Arial"/>
          <w:sz w:val="20"/>
        </w:rPr>
        <w:t xml:space="preserve"> </w:t>
      </w:r>
      <w:r w:rsidR="00BD3731" w:rsidRPr="00AC4AEA">
        <w:rPr>
          <w:rFonts w:ascii="Arial" w:hAnsi="Arial" w:cs="Arial"/>
          <w:b/>
          <w:sz w:val="20"/>
        </w:rPr>
        <w:t>valor recuperable</w:t>
      </w:r>
      <w:r w:rsidR="006D66C5" w:rsidRPr="00AC4AEA">
        <w:rPr>
          <w:rFonts w:ascii="Arial" w:hAnsi="Arial" w:cs="Arial"/>
          <w:sz w:val="20"/>
        </w:rPr>
        <w:t xml:space="preserve">. En tal caso, aumentará la </w:t>
      </w:r>
      <w:r w:rsidR="00D30925" w:rsidRPr="00AC4AEA">
        <w:rPr>
          <w:rFonts w:ascii="Arial" w:hAnsi="Arial" w:cs="Arial"/>
          <w:sz w:val="20"/>
        </w:rPr>
        <w:t>medición</w:t>
      </w:r>
      <w:r w:rsidR="006D66C5" w:rsidRPr="00AC4AEA">
        <w:rPr>
          <w:rFonts w:ascii="Arial" w:hAnsi="Arial" w:cs="Arial"/>
          <w:sz w:val="20"/>
        </w:rPr>
        <w:t xml:space="preserve"> contable del </w:t>
      </w:r>
      <w:r w:rsidR="006D66C5" w:rsidRPr="00AC4AEA">
        <w:rPr>
          <w:rFonts w:ascii="Arial" w:hAnsi="Arial" w:cs="Arial"/>
          <w:b/>
          <w:bCs/>
          <w:sz w:val="20"/>
        </w:rPr>
        <w:t>activo</w:t>
      </w:r>
      <w:r w:rsidR="006D66C5" w:rsidRPr="00AC4AEA">
        <w:rPr>
          <w:rFonts w:ascii="Arial" w:hAnsi="Arial" w:cs="Arial"/>
          <w:sz w:val="20"/>
        </w:rPr>
        <w:t xml:space="preserve"> o </w:t>
      </w:r>
      <w:r w:rsidR="00497590" w:rsidRPr="00AC4AEA">
        <w:rPr>
          <w:rFonts w:ascii="Arial" w:hAnsi="Arial" w:cs="Arial"/>
          <w:sz w:val="20"/>
        </w:rPr>
        <w:t>activos</w:t>
      </w:r>
      <w:r w:rsidR="006D66C5" w:rsidRPr="00AC4AEA">
        <w:rPr>
          <w:rFonts w:ascii="Arial" w:hAnsi="Arial" w:cs="Arial"/>
          <w:sz w:val="20"/>
        </w:rPr>
        <w:t xml:space="preserve"> relacionados por un importe que sea el menor entre:</w:t>
      </w:r>
    </w:p>
    <w:p w:rsidR="006D66C5" w:rsidRPr="00AC4AEA" w:rsidRDefault="006A0415" w:rsidP="00A318EA">
      <w:pPr>
        <w:pStyle w:val="A-Normal11"/>
        <w:numPr>
          <w:ilvl w:val="1"/>
          <w:numId w:val="29"/>
        </w:numPr>
        <w:ind w:left="1560"/>
        <w:jc w:val="both"/>
        <w:rPr>
          <w:rFonts w:ascii="Arial" w:hAnsi="Arial" w:cs="Arial"/>
          <w:sz w:val="20"/>
        </w:rPr>
      </w:pPr>
      <w:r w:rsidRPr="00AC4AEA">
        <w:rPr>
          <w:rFonts w:ascii="Arial" w:hAnsi="Arial" w:cs="Arial"/>
          <w:sz w:val="20"/>
        </w:rPr>
        <w:t>l</w:t>
      </w:r>
      <w:r w:rsidR="006D66C5" w:rsidRPr="00AC4AEA">
        <w:rPr>
          <w:rFonts w:ascii="Arial" w:hAnsi="Arial" w:cs="Arial"/>
          <w:sz w:val="20"/>
        </w:rPr>
        <w:t xml:space="preserve">a </w:t>
      </w:r>
      <w:r w:rsidR="00D30925" w:rsidRPr="00AC4AEA">
        <w:rPr>
          <w:rFonts w:ascii="Arial" w:hAnsi="Arial" w:cs="Arial"/>
          <w:sz w:val="20"/>
        </w:rPr>
        <w:t>medición</w:t>
      </w:r>
      <w:r w:rsidR="006D66C5" w:rsidRPr="00AC4AEA">
        <w:rPr>
          <w:rFonts w:ascii="Arial" w:hAnsi="Arial" w:cs="Arial"/>
          <w:sz w:val="20"/>
        </w:rPr>
        <w:t xml:space="preserve"> contable que el </w:t>
      </w:r>
      <w:r w:rsidR="006D66C5" w:rsidRPr="00AC4AEA">
        <w:rPr>
          <w:rFonts w:ascii="Arial" w:hAnsi="Arial" w:cs="Arial"/>
          <w:b/>
          <w:bCs/>
          <w:sz w:val="20"/>
        </w:rPr>
        <w:t>activo</w:t>
      </w:r>
      <w:r w:rsidR="006D66C5" w:rsidRPr="00AC4AEA">
        <w:rPr>
          <w:rFonts w:ascii="Arial" w:hAnsi="Arial" w:cs="Arial"/>
          <w:sz w:val="20"/>
        </w:rPr>
        <w:t xml:space="preserve"> o grupo de </w:t>
      </w:r>
      <w:r w:rsidR="00497590" w:rsidRPr="00AC4AEA">
        <w:rPr>
          <w:rFonts w:ascii="Arial" w:hAnsi="Arial" w:cs="Arial"/>
          <w:sz w:val="20"/>
        </w:rPr>
        <w:t>activos</w:t>
      </w:r>
      <w:r w:rsidR="006D66C5" w:rsidRPr="00AC4AEA">
        <w:rPr>
          <w:rFonts w:ascii="Arial" w:hAnsi="Arial" w:cs="Arial"/>
          <w:sz w:val="20"/>
        </w:rPr>
        <w:t xml:space="preserve"> habría tenido si nunca se hubiese reconocido una </w:t>
      </w:r>
      <w:r w:rsidR="006D66C5" w:rsidRPr="00AC4AEA">
        <w:rPr>
          <w:rFonts w:ascii="Arial" w:hAnsi="Arial" w:cs="Arial"/>
          <w:b/>
          <w:bCs/>
          <w:sz w:val="20"/>
        </w:rPr>
        <w:t>pérdida por desvalorización</w:t>
      </w:r>
      <w:r w:rsidRPr="00AC4AEA">
        <w:rPr>
          <w:rFonts w:ascii="Arial" w:hAnsi="Arial" w:cs="Arial"/>
          <w:sz w:val="20"/>
        </w:rPr>
        <w:t>;</w:t>
      </w:r>
      <w:r w:rsidR="006D66C5" w:rsidRPr="00AC4AEA">
        <w:rPr>
          <w:rFonts w:ascii="Arial" w:hAnsi="Arial" w:cs="Arial"/>
          <w:sz w:val="20"/>
        </w:rPr>
        <w:t xml:space="preserve"> y</w:t>
      </w:r>
    </w:p>
    <w:p w:rsidR="006D66C5" w:rsidRPr="00AC4AEA" w:rsidRDefault="006A0415" w:rsidP="00A318EA">
      <w:pPr>
        <w:pStyle w:val="A-Normal11"/>
        <w:numPr>
          <w:ilvl w:val="1"/>
          <w:numId w:val="29"/>
        </w:numPr>
        <w:ind w:left="1560"/>
        <w:jc w:val="both"/>
        <w:rPr>
          <w:rFonts w:ascii="Arial" w:hAnsi="Arial" w:cs="Arial"/>
          <w:sz w:val="20"/>
        </w:rPr>
      </w:pPr>
      <w:r w:rsidRPr="00AC4AEA">
        <w:rPr>
          <w:rFonts w:ascii="Arial" w:hAnsi="Arial" w:cs="Arial"/>
          <w:sz w:val="20"/>
        </w:rPr>
        <w:t>s</w:t>
      </w:r>
      <w:r w:rsidR="006D66C5" w:rsidRPr="00AC4AEA">
        <w:rPr>
          <w:rFonts w:ascii="Arial" w:hAnsi="Arial" w:cs="Arial"/>
          <w:sz w:val="20"/>
        </w:rPr>
        <w:t>u</w:t>
      </w:r>
      <w:r w:rsidR="00835565" w:rsidRPr="00AC4AEA">
        <w:rPr>
          <w:rFonts w:ascii="Arial" w:hAnsi="Arial" w:cs="Arial"/>
          <w:sz w:val="20"/>
        </w:rPr>
        <w:t xml:space="preserve"> </w:t>
      </w:r>
      <w:r w:rsidRPr="00AC4AEA">
        <w:rPr>
          <w:rFonts w:ascii="Arial" w:hAnsi="Arial" w:cs="Arial"/>
          <w:sz w:val="20"/>
        </w:rPr>
        <w:t xml:space="preserve">nuevo </w:t>
      </w:r>
      <w:r w:rsidR="00A06C32" w:rsidRPr="00AC4AEA">
        <w:rPr>
          <w:rFonts w:ascii="Arial" w:hAnsi="Arial" w:cs="Arial"/>
          <w:b/>
          <w:bCs/>
          <w:sz w:val="20"/>
        </w:rPr>
        <w:t>valor recuperable</w:t>
      </w:r>
      <w:r w:rsidR="0067150D" w:rsidRPr="00AC4AEA">
        <w:rPr>
          <w:rFonts w:ascii="Arial" w:hAnsi="Arial" w:cs="Arial"/>
          <w:b/>
          <w:bCs/>
          <w:sz w:val="20"/>
        </w:rPr>
        <w:t>.</w:t>
      </w:r>
    </w:p>
    <w:p w:rsidR="006D66C5" w:rsidRPr="00AC4AEA" w:rsidRDefault="006D66C5" w:rsidP="00A318EA">
      <w:pPr>
        <w:pStyle w:val="A-Normal11"/>
        <w:numPr>
          <w:ilvl w:val="0"/>
          <w:numId w:val="29"/>
        </w:numPr>
        <w:jc w:val="both"/>
        <w:rPr>
          <w:rFonts w:ascii="Arial" w:hAnsi="Arial" w:cs="Arial"/>
          <w:sz w:val="20"/>
        </w:rPr>
      </w:pPr>
      <w:r w:rsidRPr="00AC4AEA">
        <w:rPr>
          <w:rFonts w:ascii="Arial" w:hAnsi="Arial" w:cs="Arial"/>
          <w:sz w:val="20"/>
        </w:rPr>
        <w:t xml:space="preserve">Una entidad imputará las reversiones de </w:t>
      </w:r>
      <w:r w:rsidR="00A06C32" w:rsidRPr="00AC4AEA">
        <w:rPr>
          <w:rFonts w:ascii="Arial" w:hAnsi="Arial" w:cs="Arial"/>
          <w:b/>
          <w:bCs/>
          <w:sz w:val="20"/>
        </w:rPr>
        <w:t>pérdidas por desvalorización</w:t>
      </w:r>
      <w:r w:rsidRPr="00AC4AEA">
        <w:rPr>
          <w:rFonts w:ascii="Arial" w:hAnsi="Arial" w:cs="Arial"/>
          <w:b/>
          <w:bCs/>
          <w:sz w:val="20"/>
        </w:rPr>
        <w:t xml:space="preserve">: </w:t>
      </w:r>
    </w:p>
    <w:p w:rsidR="006D66C5" w:rsidRPr="00AC4AEA" w:rsidRDefault="006D66C5" w:rsidP="00A318EA">
      <w:pPr>
        <w:pStyle w:val="A-Normal11"/>
        <w:numPr>
          <w:ilvl w:val="1"/>
          <w:numId w:val="29"/>
        </w:numPr>
        <w:ind w:left="1560"/>
        <w:jc w:val="both"/>
        <w:rPr>
          <w:rFonts w:ascii="Arial" w:hAnsi="Arial" w:cs="Arial"/>
          <w:sz w:val="20"/>
        </w:rPr>
      </w:pPr>
      <w:r w:rsidRPr="00AC4AEA">
        <w:rPr>
          <w:rFonts w:ascii="Arial" w:hAnsi="Arial" w:cs="Arial"/>
          <w:sz w:val="20"/>
        </w:rPr>
        <w:t xml:space="preserve">Cuando no se relacionen con </w:t>
      </w:r>
      <w:r w:rsidR="00497590" w:rsidRPr="00AC4AEA">
        <w:rPr>
          <w:rFonts w:ascii="Arial" w:hAnsi="Arial" w:cs="Arial"/>
          <w:sz w:val="20"/>
        </w:rPr>
        <w:t>activos</w:t>
      </w:r>
      <w:r w:rsidRPr="00AC4AEA">
        <w:rPr>
          <w:rFonts w:ascii="Arial" w:hAnsi="Arial" w:cs="Arial"/>
          <w:sz w:val="20"/>
        </w:rPr>
        <w:t xml:space="preserve"> revaluados, como un resultado del período</w:t>
      </w:r>
      <w:r w:rsidR="006A0415" w:rsidRPr="00AC4AEA">
        <w:rPr>
          <w:rFonts w:ascii="Arial" w:hAnsi="Arial" w:cs="Arial"/>
          <w:sz w:val="20"/>
        </w:rPr>
        <w:t>.</w:t>
      </w:r>
    </w:p>
    <w:p w:rsidR="00E737DE" w:rsidRPr="00AC4AEA" w:rsidRDefault="006D66C5" w:rsidP="00A318EA">
      <w:pPr>
        <w:pStyle w:val="A-Normal11"/>
        <w:numPr>
          <w:ilvl w:val="1"/>
          <w:numId w:val="29"/>
        </w:numPr>
        <w:ind w:left="1560"/>
        <w:jc w:val="both"/>
        <w:rPr>
          <w:rFonts w:ascii="Arial" w:hAnsi="Arial" w:cs="Arial"/>
          <w:sz w:val="20"/>
        </w:rPr>
      </w:pPr>
      <w:r w:rsidRPr="00AC4AEA">
        <w:rPr>
          <w:rFonts w:ascii="Arial" w:hAnsi="Arial" w:cs="Arial"/>
          <w:sz w:val="20"/>
        </w:rPr>
        <w:t xml:space="preserve">Cuando se relacionen con </w:t>
      </w:r>
      <w:r w:rsidR="00497590" w:rsidRPr="00AC4AEA">
        <w:rPr>
          <w:rFonts w:ascii="Arial" w:hAnsi="Arial" w:cs="Arial"/>
          <w:sz w:val="20"/>
        </w:rPr>
        <w:t>activos</w:t>
      </w:r>
      <w:r w:rsidRPr="00AC4AEA">
        <w:rPr>
          <w:rFonts w:ascii="Arial" w:hAnsi="Arial" w:cs="Arial"/>
          <w:sz w:val="20"/>
        </w:rPr>
        <w:t xml:space="preserve"> revaluados:</w:t>
      </w:r>
    </w:p>
    <w:p w:rsidR="006D66C5" w:rsidRPr="00AC4AEA" w:rsidRDefault="00F273E6" w:rsidP="00A318EA">
      <w:pPr>
        <w:pStyle w:val="A-Normal11"/>
        <w:numPr>
          <w:ilvl w:val="2"/>
          <w:numId w:val="29"/>
        </w:numPr>
        <w:ind w:left="1985"/>
        <w:jc w:val="both"/>
        <w:rPr>
          <w:rFonts w:ascii="Arial" w:hAnsi="Arial" w:cs="Arial"/>
          <w:sz w:val="20"/>
        </w:rPr>
      </w:pPr>
      <w:r w:rsidRPr="00AC4AEA">
        <w:rPr>
          <w:rFonts w:ascii="Arial" w:hAnsi="Arial" w:cs="Arial"/>
          <w:sz w:val="20"/>
        </w:rPr>
        <w:lastRenderedPageBreak/>
        <w:t>c</w:t>
      </w:r>
      <w:r w:rsidR="006D66C5" w:rsidRPr="00AC4AEA">
        <w:rPr>
          <w:rFonts w:ascii="Arial" w:hAnsi="Arial" w:cs="Arial"/>
          <w:sz w:val="20"/>
        </w:rPr>
        <w:t>omo una ganancia</w:t>
      </w:r>
      <w:r w:rsidR="009B7EFC" w:rsidRPr="00AC4AEA">
        <w:rPr>
          <w:rFonts w:ascii="Arial" w:hAnsi="Arial" w:cs="Arial"/>
          <w:sz w:val="20"/>
        </w:rPr>
        <w:t>,</w:t>
      </w:r>
      <w:r w:rsidR="006D66C5" w:rsidRPr="00AC4AEA">
        <w:rPr>
          <w:rFonts w:ascii="Arial" w:hAnsi="Arial" w:cs="Arial"/>
          <w:sz w:val="20"/>
        </w:rPr>
        <w:t xml:space="preserve"> hasta el importe que hubiese tenido</w:t>
      </w:r>
      <w:r w:rsidR="005B4F11" w:rsidRPr="00AC4AEA">
        <w:rPr>
          <w:rFonts w:ascii="Arial" w:hAnsi="Arial" w:cs="Arial"/>
          <w:sz w:val="20"/>
        </w:rPr>
        <w:t xml:space="preserve"> dicho </w:t>
      </w:r>
      <w:r w:rsidR="005B4F11" w:rsidRPr="00AC4AEA">
        <w:rPr>
          <w:rFonts w:ascii="Arial" w:hAnsi="Arial" w:cs="Arial"/>
          <w:b/>
          <w:bCs/>
          <w:sz w:val="20"/>
        </w:rPr>
        <w:t>activo</w:t>
      </w:r>
      <w:r w:rsidR="006D66C5" w:rsidRPr="00AC4AEA">
        <w:rPr>
          <w:rFonts w:ascii="Arial" w:hAnsi="Arial" w:cs="Arial"/>
          <w:sz w:val="20"/>
        </w:rPr>
        <w:t xml:space="preserve"> si nunca </w:t>
      </w:r>
      <w:r w:rsidR="0067150D" w:rsidRPr="00AC4AEA">
        <w:rPr>
          <w:rFonts w:ascii="Arial" w:hAnsi="Arial" w:cs="Arial"/>
          <w:sz w:val="20"/>
        </w:rPr>
        <w:t xml:space="preserve">se </w:t>
      </w:r>
      <w:r w:rsidR="006D66C5" w:rsidRPr="00AC4AEA">
        <w:rPr>
          <w:rFonts w:ascii="Arial" w:hAnsi="Arial" w:cs="Arial"/>
          <w:sz w:val="20"/>
        </w:rPr>
        <w:t>hubiese revaluado</w:t>
      </w:r>
      <w:r w:rsidR="00141BB1" w:rsidRPr="00AC4AEA">
        <w:rPr>
          <w:rFonts w:ascii="Arial" w:hAnsi="Arial" w:cs="Arial"/>
          <w:sz w:val="20"/>
        </w:rPr>
        <w:t>;</w:t>
      </w:r>
      <w:r w:rsidR="006D66C5" w:rsidRPr="00AC4AEA">
        <w:rPr>
          <w:rFonts w:ascii="Arial" w:hAnsi="Arial" w:cs="Arial"/>
          <w:sz w:val="20"/>
        </w:rPr>
        <w:t xml:space="preserve"> y</w:t>
      </w:r>
    </w:p>
    <w:p w:rsidR="006D66C5" w:rsidRPr="00AC4AEA" w:rsidRDefault="00F273E6" w:rsidP="00A318EA">
      <w:pPr>
        <w:pStyle w:val="A-Normal11"/>
        <w:numPr>
          <w:ilvl w:val="2"/>
          <w:numId w:val="29"/>
        </w:numPr>
        <w:ind w:left="1985"/>
        <w:jc w:val="both"/>
        <w:rPr>
          <w:rFonts w:ascii="Arial" w:hAnsi="Arial" w:cs="Arial"/>
          <w:sz w:val="20"/>
        </w:rPr>
      </w:pPr>
      <w:r w:rsidRPr="00AC4AEA">
        <w:rPr>
          <w:rFonts w:ascii="Arial" w:hAnsi="Arial" w:cs="Arial"/>
          <w:sz w:val="20"/>
        </w:rPr>
        <w:t>c</w:t>
      </w:r>
      <w:r w:rsidR="006D66C5" w:rsidRPr="00AC4AEA">
        <w:rPr>
          <w:rFonts w:ascii="Arial" w:hAnsi="Arial" w:cs="Arial"/>
          <w:sz w:val="20"/>
        </w:rPr>
        <w:t xml:space="preserve">omo un aumento del saldo de </w:t>
      </w:r>
      <w:r w:rsidR="00EC1893" w:rsidRPr="00AC4AEA">
        <w:rPr>
          <w:rFonts w:ascii="Arial" w:hAnsi="Arial" w:cs="Arial"/>
          <w:sz w:val="20"/>
        </w:rPr>
        <w:t>revaluación</w:t>
      </w:r>
      <w:r w:rsidR="006D66C5" w:rsidRPr="00AC4AEA">
        <w:rPr>
          <w:rFonts w:ascii="Arial" w:hAnsi="Arial" w:cs="Arial"/>
          <w:sz w:val="20"/>
        </w:rPr>
        <w:t>, por el importe restante.</w:t>
      </w:r>
    </w:p>
    <w:p w:rsidR="006D66C5" w:rsidRPr="00AC4AEA" w:rsidRDefault="006D66C5" w:rsidP="00A318EA">
      <w:pPr>
        <w:pStyle w:val="A-Normal11"/>
        <w:numPr>
          <w:ilvl w:val="0"/>
          <w:numId w:val="29"/>
        </w:numPr>
        <w:jc w:val="both"/>
        <w:rPr>
          <w:rFonts w:ascii="Arial" w:hAnsi="Arial" w:cs="Arial"/>
          <w:sz w:val="20"/>
        </w:rPr>
      </w:pPr>
      <w:r w:rsidRPr="00AC4AEA">
        <w:rPr>
          <w:rFonts w:ascii="Arial" w:hAnsi="Arial" w:cs="Arial"/>
          <w:sz w:val="20"/>
        </w:rPr>
        <w:t xml:space="preserve">Cuando se produzca un aumento del valor de los </w:t>
      </w:r>
      <w:r w:rsidR="00497590" w:rsidRPr="00AC4AEA">
        <w:rPr>
          <w:rFonts w:ascii="Arial" w:hAnsi="Arial" w:cs="Arial"/>
          <w:sz w:val="20"/>
        </w:rPr>
        <w:t>activos</w:t>
      </w:r>
      <w:r w:rsidR="00857A7A" w:rsidRPr="00AC4AEA">
        <w:rPr>
          <w:rFonts w:ascii="Arial" w:hAnsi="Arial" w:cs="Arial"/>
          <w:sz w:val="20"/>
        </w:rPr>
        <w:t xml:space="preserve"> distintos de la llave de negocio</w:t>
      </w:r>
      <w:r w:rsidRPr="00AC4AEA">
        <w:rPr>
          <w:rFonts w:ascii="Arial" w:hAnsi="Arial" w:cs="Arial"/>
          <w:sz w:val="20"/>
        </w:rPr>
        <w:t xml:space="preserve"> debido a reversiones de </w:t>
      </w:r>
      <w:r w:rsidR="00A06C32" w:rsidRPr="00AC4AEA">
        <w:rPr>
          <w:rFonts w:ascii="Arial" w:hAnsi="Arial" w:cs="Arial"/>
          <w:b/>
          <w:bCs/>
          <w:sz w:val="20"/>
        </w:rPr>
        <w:t>pérdidas por desvalorización</w:t>
      </w:r>
      <w:r w:rsidRPr="00AC4AEA">
        <w:rPr>
          <w:rFonts w:ascii="Arial" w:hAnsi="Arial" w:cs="Arial"/>
          <w:b/>
          <w:bCs/>
          <w:sz w:val="20"/>
        </w:rPr>
        <w:t xml:space="preserve">, </w:t>
      </w:r>
      <w:r w:rsidRPr="00AC4AEA">
        <w:rPr>
          <w:rFonts w:ascii="Arial" w:hAnsi="Arial" w:cs="Arial"/>
          <w:sz w:val="20"/>
        </w:rPr>
        <w:t>una entidad imputará</w:t>
      </w:r>
      <w:r w:rsidR="00640562" w:rsidRPr="00AC4AEA">
        <w:rPr>
          <w:rFonts w:ascii="Arial" w:hAnsi="Arial" w:cs="Arial"/>
          <w:sz w:val="20"/>
        </w:rPr>
        <w:t xml:space="preserve"> dichas ganancias</w:t>
      </w:r>
      <w:r w:rsidRPr="00AC4AEA">
        <w:rPr>
          <w:rFonts w:ascii="Arial" w:hAnsi="Arial" w:cs="Arial"/>
          <w:sz w:val="20"/>
        </w:rPr>
        <w:t>:</w:t>
      </w:r>
    </w:p>
    <w:p w:rsidR="006D66C5" w:rsidRPr="00AC4AEA" w:rsidRDefault="006D66C5" w:rsidP="00A318EA">
      <w:pPr>
        <w:pStyle w:val="A-Normal11"/>
        <w:numPr>
          <w:ilvl w:val="1"/>
          <w:numId w:val="29"/>
        </w:numPr>
        <w:ind w:left="1560"/>
        <w:jc w:val="both"/>
        <w:rPr>
          <w:rFonts w:ascii="Arial" w:hAnsi="Arial" w:cs="Arial"/>
          <w:sz w:val="20"/>
        </w:rPr>
      </w:pPr>
      <w:r w:rsidRPr="00AC4AEA">
        <w:rPr>
          <w:rFonts w:ascii="Arial" w:hAnsi="Arial" w:cs="Arial"/>
          <w:sz w:val="20"/>
        </w:rPr>
        <w:t xml:space="preserve">Como un aumento de la </w:t>
      </w:r>
      <w:r w:rsidR="00D30925" w:rsidRPr="00AC4AEA">
        <w:rPr>
          <w:rFonts w:ascii="Arial" w:hAnsi="Arial" w:cs="Arial"/>
          <w:sz w:val="20"/>
        </w:rPr>
        <w:t>medición</w:t>
      </w:r>
      <w:r w:rsidRPr="00AC4AEA">
        <w:rPr>
          <w:rFonts w:ascii="Arial" w:hAnsi="Arial" w:cs="Arial"/>
          <w:sz w:val="20"/>
        </w:rPr>
        <w:t xml:space="preserve"> del </w:t>
      </w:r>
      <w:r w:rsidRPr="00AC4AEA">
        <w:rPr>
          <w:rFonts w:ascii="Arial" w:hAnsi="Arial" w:cs="Arial"/>
          <w:b/>
          <w:bCs/>
          <w:sz w:val="20"/>
        </w:rPr>
        <w:t>activo</w:t>
      </w:r>
      <w:r w:rsidRPr="00AC4AEA">
        <w:rPr>
          <w:rFonts w:ascii="Arial" w:hAnsi="Arial" w:cs="Arial"/>
          <w:sz w:val="20"/>
        </w:rPr>
        <w:t xml:space="preserve"> que las originó, si provienen de comparaciones al nivel de cada </w:t>
      </w:r>
      <w:r w:rsidRPr="00AC4AEA">
        <w:rPr>
          <w:rFonts w:ascii="Arial" w:hAnsi="Arial" w:cs="Arial"/>
          <w:b/>
          <w:bCs/>
          <w:sz w:val="20"/>
        </w:rPr>
        <w:t>activo</w:t>
      </w:r>
      <w:r w:rsidR="006A0415" w:rsidRPr="00AC4AEA">
        <w:rPr>
          <w:rFonts w:ascii="Arial" w:hAnsi="Arial" w:cs="Arial"/>
          <w:sz w:val="20"/>
        </w:rPr>
        <w:t>.</w:t>
      </w:r>
    </w:p>
    <w:p w:rsidR="006D66C5" w:rsidRPr="00AC4AEA" w:rsidRDefault="006D66C5" w:rsidP="00A318EA">
      <w:pPr>
        <w:pStyle w:val="A-Normal11"/>
        <w:numPr>
          <w:ilvl w:val="1"/>
          <w:numId w:val="29"/>
        </w:numPr>
        <w:ind w:left="1560"/>
        <w:jc w:val="both"/>
        <w:rPr>
          <w:rFonts w:ascii="Arial" w:hAnsi="Arial" w:cs="Arial"/>
          <w:sz w:val="20"/>
        </w:rPr>
      </w:pPr>
      <w:r w:rsidRPr="00AC4AEA">
        <w:rPr>
          <w:rFonts w:ascii="Arial" w:hAnsi="Arial" w:cs="Arial"/>
          <w:sz w:val="20"/>
        </w:rPr>
        <w:t xml:space="preserve">De acuerdo </w:t>
      </w:r>
      <w:r w:rsidR="00AE597A" w:rsidRPr="00AC4AEA">
        <w:rPr>
          <w:rFonts w:ascii="Arial" w:hAnsi="Arial" w:cs="Arial"/>
          <w:sz w:val="20"/>
        </w:rPr>
        <w:t xml:space="preserve">con el </w:t>
      </w:r>
      <w:r w:rsidRPr="00AC4AEA">
        <w:rPr>
          <w:rFonts w:ascii="Arial" w:hAnsi="Arial" w:cs="Arial"/>
          <w:sz w:val="20"/>
        </w:rPr>
        <w:t xml:space="preserve">siguiente orden, si provienen de comparaciones al nivel de una </w:t>
      </w:r>
      <w:r w:rsidR="00A06C32" w:rsidRPr="00AC4AEA">
        <w:rPr>
          <w:rFonts w:ascii="Arial" w:hAnsi="Arial" w:cs="Arial"/>
          <w:b/>
          <w:bCs/>
          <w:sz w:val="20"/>
        </w:rPr>
        <w:t>actividad generadora de efectivo</w:t>
      </w:r>
      <w:r w:rsidR="00F0288D" w:rsidRPr="00AC4AEA">
        <w:rPr>
          <w:rFonts w:ascii="Arial" w:hAnsi="Arial" w:cs="Arial"/>
          <w:sz w:val="20"/>
        </w:rPr>
        <w:t xml:space="preserve"> o de una unidad más pequeña [ver el párrafo </w:t>
      </w:r>
      <w:fldSimple w:instr=" REF _Ref99473003 \r \h  \* MERGEFORMAT ">
        <w:r w:rsidR="00D33A5D" w:rsidRPr="00D33A5D">
          <w:rPr>
            <w:rFonts w:ascii="Arial" w:hAnsi="Arial" w:cs="Arial"/>
            <w:sz w:val="20"/>
          </w:rPr>
          <w:t>164</w:t>
        </w:r>
      </w:fldSimple>
      <w:r w:rsidR="00F0288D" w:rsidRPr="00AC4AEA">
        <w:rPr>
          <w:rFonts w:ascii="Arial" w:hAnsi="Arial" w:cs="Arial"/>
          <w:sz w:val="20"/>
        </w:rPr>
        <w:t>]:</w:t>
      </w:r>
    </w:p>
    <w:p w:rsidR="003938B1" w:rsidRPr="00AC4AEA" w:rsidRDefault="00857A7A" w:rsidP="00A318EA">
      <w:pPr>
        <w:pStyle w:val="A-Normal11"/>
        <w:numPr>
          <w:ilvl w:val="2"/>
          <w:numId w:val="29"/>
        </w:numPr>
        <w:ind w:left="1985"/>
        <w:jc w:val="both"/>
        <w:rPr>
          <w:rFonts w:ascii="Arial" w:hAnsi="Arial" w:cs="Arial"/>
          <w:sz w:val="20"/>
        </w:rPr>
      </w:pPr>
      <w:r w:rsidRPr="00AC4AEA">
        <w:rPr>
          <w:rFonts w:ascii="Arial" w:hAnsi="Arial" w:cs="Arial"/>
          <w:sz w:val="20"/>
        </w:rPr>
        <w:t>a</w:t>
      </w:r>
      <w:r w:rsidR="003938B1" w:rsidRPr="00AC4AEA">
        <w:rPr>
          <w:rFonts w:ascii="Arial" w:hAnsi="Arial" w:cs="Arial"/>
          <w:sz w:val="20"/>
        </w:rPr>
        <w:t xml:space="preserve"> los </w:t>
      </w:r>
      <w:r w:rsidR="00497590" w:rsidRPr="00AC4AEA">
        <w:rPr>
          <w:rFonts w:ascii="Arial" w:hAnsi="Arial" w:cs="Arial"/>
          <w:sz w:val="20"/>
        </w:rPr>
        <w:t>activos</w:t>
      </w:r>
      <w:r w:rsidR="003938B1" w:rsidRPr="00AC4AEA">
        <w:rPr>
          <w:rFonts w:ascii="Arial" w:hAnsi="Arial" w:cs="Arial"/>
          <w:sz w:val="20"/>
        </w:rPr>
        <w:t xml:space="preserve"> distintos de la llave de negocio que integran la </w:t>
      </w:r>
      <w:r w:rsidR="00A06C32" w:rsidRPr="00AC4AEA">
        <w:rPr>
          <w:rFonts w:ascii="Arial" w:hAnsi="Arial" w:cs="Arial"/>
          <w:b/>
          <w:bCs/>
          <w:sz w:val="20"/>
        </w:rPr>
        <w:t>actividad generadora de efectivo</w:t>
      </w:r>
      <w:r w:rsidR="00F0288D" w:rsidRPr="00AC4AEA">
        <w:rPr>
          <w:rFonts w:ascii="Arial" w:hAnsi="Arial" w:cs="Arial"/>
          <w:b/>
          <w:bCs/>
          <w:sz w:val="20"/>
        </w:rPr>
        <w:t xml:space="preserve"> </w:t>
      </w:r>
      <w:r w:rsidR="00F0288D" w:rsidRPr="00AC4AEA">
        <w:rPr>
          <w:rFonts w:ascii="Arial" w:hAnsi="Arial" w:cs="Arial"/>
          <w:sz w:val="20"/>
        </w:rPr>
        <w:t xml:space="preserve">o una unidad más pequeña [ver el párrafo </w:t>
      </w:r>
      <w:fldSimple w:instr=" REF _Ref99473003 \r \h  \* MERGEFORMAT ">
        <w:r w:rsidR="00D33A5D" w:rsidRPr="00D33A5D">
          <w:rPr>
            <w:rFonts w:ascii="Arial" w:hAnsi="Arial" w:cs="Arial"/>
            <w:sz w:val="20"/>
          </w:rPr>
          <w:t>164</w:t>
        </w:r>
      </w:fldSimple>
      <w:r w:rsidR="00F0288D" w:rsidRPr="00AC4AEA">
        <w:rPr>
          <w:rFonts w:ascii="Arial" w:hAnsi="Arial" w:cs="Arial"/>
          <w:sz w:val="20"/>
        </w:rPr>
        <w:t>]</w:t>
      </w:r>
      <w:r w:rsidR="003938B1" w:rsidRPr="00AC4AEA">
        <w:rPr>
          <w:rFonts w:ascii="Arial" w:hAnsi="Arial" w:cs="Arial"/>
          <w:sz w:val="20"/>
        </w:rPr>
        <w:t>,</w:t>
      </w:r>
      <w:r w:rsidR="003938B1" w:rsidRPr="00AC4AEA">
        <w:rPr>
          <w:rFonts w:ascii="Arial" w:hAnsi="Arial" w:cs="Arial"/>
          <w:b/>
          <w:bCs/>
          <w:sz w:val="20"/>
        </w:rPr>
        <w:t xml:space="preserve"> </w:t>
      </w:r>
      <w:r w:rsidR="003938B1" w:rsidRPr="00AC4AEA">
        <w:rPr>
          <w:rFonts w:ascii="Arial" w:hAnsi="Arial" w:cs="Arial"/>
          <w:sz w:val="20"/>
        </w:rPr>
        <w:t xml:space="preserve">en proporción a sus </w:t>
      </w:r>
      <w:r w:rsidR="00E40EAB" w:rsidRPr="00AC4AEA">
        <w:rPr>
          <w:rFonts w:ascii="Arial" w:hAnsi="Arial" w:cs="Arial"/>
          <w:sz w:val="20"/>
        </w:rPr>
        <w:t>mediciones</w:t>
      </w:r>
      <w:r w:rsidR="003938B1" w:rsidRPr="00AC4AEA">
        <w:rPr>
          <w:rFonts w:ascii="Arial" w:hAnsi="Arial" w:cs="Arial"/>
          <w:sz w:val="20"/>
        </w:rPr>
        <w:t xml:space="preserve"> contables y siempre que la </w:t>
      </w:r>
      <w:r w:rsidR="00D30925" w:rsidRPr="00AC4AEA">
        <w:rPr>
          <w:rFonts w:ascii="Arial" w:hAnsi="Arial" w:cs="Arial"/>
          <w:sz w:val="20"/>
        </w:rPr>
        <w:t>medición</w:t>
      </w:r>
      <w:r w:rsidR="003938B1" w:rsidRPr="00AC4AEA">
        <w:rPr>
          <w:rFonts w:ascii="Arial" w:hAnsi="Arial" w:cs="Arial"/>
          <w:sz w:val="20"/>
        </w:rPr>
        <w:t xml:space="preserve"> de ningún </w:t>
      </w:r>
      <w:r w:rsidR="003938B1" w:rsidRPr="00AC4AEA">
        <w:rPr>
          <w:rFonts w:ascii="Arial" w:hAnsi="Arial" w:cs="Arial"/>
          <w:b/>
          <w:bCs/>
          <w:sz w:val="20"/>
        </w:rPr>
        <w:t>activo</w:t>
      </w:r>
      <w:r w:rsidR="003938B1" w:rsidRPr="00AC4AEA">
        <w:rPr>
          <w:rFonts w:ascii="Arial" w:hAnsi="Arial" w:cs="Arial"/>
          <w:sz w:val="20"/>
        </w:rPr>
        <w:t xml:space="preserve"> sea superior al menor importe entre:</w:t>
      </w:r>
    </w:p>
    <w:p w:rsidR="003938B1" w:rsidRPr="00AC4AEA" w:rsidRDefault="006A0415" w:rsidP="00A318EA">
      <w:pPr>
        <w:pStyle w:val="A-Normal11"/>
        <w:numPr>
          <w:ilvl w:val="3"/>
          <w:numId w:val="29"/>
        </w:numPr>
        <w:jc w:val="both"/>
        <w:rPr>
          <w:rFonts w:ascii="Arial" w:hAnsi="Arial" w:cs="Arial"/>
          <w:sz w:val="20"/>
        </w:rPr>
      </w:pPr>
      <w:r w:rsidRPr="00AC4AEA">
        <w:rPr>
          <w:rFonts w:ascii="Arial" w:hAnsi="Arial" w:cs="Arial"/>
          <w:sz w:val="20"/>
        </w:rPr>
        <w:t>s</w:t>
      </w:r>
      <w:r w:rsidR="003938B1" w:rsidRPr="00AC4AEA">
        <w:rPr>
          <w:rFonts w:ascii="Arial" w:hAnsi="Arial" w:cs="Arial"/>
          <w:sz w:val="20"/>
        </w:rPr>
        <w:t xml:space="preserve">u </w:t>
      </w:r>
      <w:r w:rsidR="00A06C32" w:rsidRPr="00AC4AEA">
        <w:rPr>
          <w:rFonts w:ascii="Arial" w:hAnsi="Arial" w:cs="Arial"/>
          <w:b/>
          <w:bCs/>
          <w:sz w:val="20"/>
        </w:rPr>
        <w:t>valor recuperable</w:t>
      </w:r>
      <w:r w:rsidR="0067150D" w:rsidRPr="00AC4AEA">
        <w:rPr>
          <w:rFonts w:ascii="Arial" w:hAnsi="Arial" w:cs="Arial"/>
          <w:sz w:val="20"/>
        </w:rPr>
        <w:t xml:space="preserve"> </w:t>
      </w:r>
      <w:r w:rsidR="003938B1" w:rsidRPr="00AC4AEA">
        <w:rPr>
          <w:rFonts w:ascii="Arial" w:hAnsi="Arial" w:cs="Arial"/>
          <w:sz w:val="20"/>
        </w:rPr>
        <w:t>(si fuera determinable)</w:t>
      </w:r>
      <w:r w:rsidRPr="00AC4AEA">
        <w:rPr>
          <w:rFonts w:ascii="Arial" w:hAnsi="Arial" w:cs="Arial"/>
          <w:sz w:val="20"/>
        </w:rPr>
        <w:t>;</w:t>
      </w:r>
      <w:r w:rsidR="003938B1" w:rsidRPr="00AC4AEA">
        <w:rPr>
          <w:rFonts w:ascii="Arial" w:hAnsi="Arial" w:cs="Arial"/>
          <w:sz w:val="20"/>
        </w:rPr>
        <w:t xml:space="preserve"> y</w:t>
      </w:r>
    </w:p>
    <w:p w:rsidR="003938B1" w:rsidRPr="00AC4AEA" w:rsidRDefault="006A0415" w:rsidP="00A318EA">
      <w:pPr>
        <w:pStyle w:val="A-Normal11"/>
        <w:numPr>
          <w:ilvl w:val="3"/>
          <w:numId w:val="29"/>
        </w:numPr>
        <w:jc w:val="both"/>
        <w:rPr>
          <w:rFonts w:ascii="Arial" w:hAnsi="Arial" w:cs="Arial"/>
          <w:sz w:val="20"/>
        </w:rPr>
      </w:pPr>
      <w:r w:rsidRPr="00AC4AEA">
        <w:rPr>
          <w:rFonts w:ascii="Arial" w:hAnsi="Arial" w:cs="Arial"/>
          <w:sz w:val="20"/>
        </w:rPr>
        <w:t>l</w:t>
      </w:r>
      <w:r w:rsidR="003938B1" w:rsidRPr="00AC4AEA">
        <w:rPr>
          <w:rFonts w:ascii="Arial" w:hAnsi="Arial" w:cs="Arial"/>
          <w:sz w:val="20"/>
        </w:rPr>
        <w:t xml:space="preserve">a </w:t>
      </w:r>
      <w:r w:rsidR="00D30925" w:rsidRPr="00AC4AEA">
        <w:rPr>
          <w:rFonts w:ascii="Arial" w:hAnsi="Arial" w:cs="Arial"/>
          <w:sz w:val="20"/>
        </w:rPr>
        <w:t>medición</w:t>
      </w:r>
      <w:r w:rsidR="003938B1" w:rsidRPr="00AC4AEA">
        <w:rPr>
          <w:rFonts w:ascii="Arial" w:hAnsi="Arial" w:cs="Arial"/>
          <w:sz w:val="20"/>
        </w:rPr>
        <w:t xml:space="preserve"> contable que el </w:t>
      </w:r>
      <w:r w:rsidR="003938B1" w:rsidRPr="00AC4AEA">
        <w:rPr>
          <w:rFonts w:ascii="Arial" w:hAnsi="Arial" w:cs="Arial"/>
          <w:b/>
          <w:bCs/>
          <w:sz w:val="20"/>
        </w:rPr>
        <w:t>activo</w:t>
      </w:r>
      <w:r w:rsidR="003938B1" w:rsidRPr="00AC4AEA">
        <w:rPr>
          <w:rFonts w:ascii="Arial" w:hAnsi="Arial" w:cs="Arial"/>
          <w:sz w:val="20"/>
        </w:rPr>
        <w:t xml:space="preserve"> habría tenido si nunca se hubiese reconocido la desvalorización previa</w:t>
      </w:r>
      <w:r w:rsidR="00857A7A" w:rsidRPr="00AC4AEA">
        <w:rPr>
          <w:rFonts w:ascii="Arial" w:hAnsi="Arial" w:cs="Arial"/>
          <w:sz w:val="20"/>
        </w:rPr>
        <w:t>;</w:t>
      </w:r>
      <w:r w:rsidR="005D1798" w:rsidRPr="00AC4AEA">
        <w:rPr>
          <w:rFonts w:ascii="Arial" w:hAnsi="Arial" w:cs="Arial"/>
          <w:sz w:val="20"/>
        </w:rPr>
        <w:t xml:space="preserve"> y</w:t>
      </w:r>
    </w:p>
    <w:p w:rsidR="003938B1" w:rsidRPr="00AC4AEA" w:rsidRDefault="006A0415" w:rsidP="00A318EA">
      <w:pPr>
        <w:pStyle w:val="A-Normal11"/>
        <w:numPr>
          <w:ilvl w:val="2"/>
          <w:numId w:val="29"/>
        </w:numPr>
        <w:ind w:left="1985"/>
        <w:jc w:val="both"/>
        <w:rPr>
          <w:rFonts w:ascii="Arial" w:hAnsi="Arial" w:cs="Arial"/>
          <w:sz w:val="20"/>
        </w:rPr>
      </w:pPr>
      <w:r w:rsidRPr="00AC4AEA">
        <w:rPr>
          <w:rFonts w:ascii="Arial" w:hAnsi="Arial" w:cs="Arial"/>
          <w:sz w:val="20"/>
        </w:rPr>
        <w:t>s</w:t>
      </w:r>
      <w:r w:rsidR="003938B1" w:rsidRPr="00AC4AEA">
        <w:rPr>
          <w:rFonts w:ascii="Arial" w:hAnsi="Arial" w:cs="Arial"/>
          <w:sz w:val="20"/>
        </w:rPr>
        <w:t xml:space="preserve">i la asignación anterior </w:t>
      </w:r>
      <w:r w:rsidR="005B4F11" w:rsidRPr="00AC4AEA">
        <w:rPr>
          <w:rFonts w:ascii="Arial" w:hAnsi="Arial" w:cs="Arial"/>
          <w:sz w:val="20"/>
        </w:rPr>
        <w:t>resultara</w:t>
      </w:r>
      <w:r w:rsidR="003938B1" w:rsidRPr="00AC4AEA">
        <w:rPr>
          <w:rFonts w:ascii="Arial" w:hAnsi="Arial" w:cs="Arial"/>
          <w:sz w:val="20"/>
        </w:rPr>
        <w:t xml:space="preserve"> incompleta debido a la aplicación de los topes indicados, efectuará un nuevo prorrateo entre los bienes individuales de la </w:t>
      </w:r>
      <w:r w:rsidR="00A06C32" w:rsidRPr="00AC4AEA">
        <w:rPr>
          <w:rFonts w:ascii="Arial" w:hAnsi="Arial" w:cs="Arial"/>
          <w:b/>
          <w:bCs/>
          <w:sz w:val="20"/>
        </w:rPr>
        <w:t>actividad generadora de efectivo</w:t>
      </w:r>
      <w:r w:rsidR="003938B1" w:rsidRPr="00AC4AEA">
        <w:rPr>
          <w:rFonts w:ascii="Arial" w:hAnsi="Arial" w:cs="Arial"/>
          <w:sz w:val="20"/>
        </w:rPr>
        <w:t xml:space="preserve"> </w:t>
      </w:r>
      <w:r w:rsidR="00F0288D" w:rsidRPr="00AC4AEA">
        <w:rPr>
          <w:rFonts w:ascii="Arial" w:hAnsi="Arial" w:cs="Arial"/>
          <w:sz w:val="20"/>
        </w:rPr>
        <w:t xml:space="preserve">o de la unidad más pequeña [ver el párrafo </w:t>
      </w:r>
      <w:fldSimple w:instr=" REF _Ref99473003 \r \h  \* MERGEFORMAT ">
        <w:r w:rsidR="00D33A5D" w:rsidRPr="00D33A5D">
          <w:rPr>
            <w:rFonts w:ascii="Arial" w:hAnsi="Arial" w:cs="Arial"/>
            <w:sz w:val="20"/>
          </w:rPr>
          <w:t>164</w:t>
        </w:r>
      </w:fldSimple>
      <w:r w:rsidR="00F0288D" w:rsidRPr="00AC4AEA">
        <w:rPr>
          <w:rFonts w:ascii="Arial" w:hAnsi="Arial" w:cs="Arial"/>
          <w:sz w:val="20"/>
        </w:rPr>
        <w:t xml:space="preserve">] </w:t>
      </w:r>
      <w:r w:rsidR="003938B1" w:rsidRPr="00AC4AEA">
        <w:rPr>
          <w:rFonts w:ascii="Arial" w:hAnsi="Arial" w:cs="Arial"/>
          <w:sz w:val="20"/>
        </w:rPr>
        <w:t>que no haya</w:t>
      </w:r>
      <w:r w:rsidR="0067150D" w:rsidRPr="00AC4AEA">
        <w:rPr>
          <w:rFonts w:ascii="Arial" w:hAnsi="Arial" w:cs="Arial"/>
          <w:sz w:val="20"/>
        </w:rPr>
        <w:t>n</w:t>
      </w:r>
      <w:r w:rsidR="003938B1" w:rsidRPr="00AC4AEA">
        <w:rPr>
          <w:rFonts w:ascii="Arial" w:hAnsi="Arial" w:cs="Arial"/>
          <w:sz w:val="20"/>
        </w:rPr>
        <w:t xml:space="preserve"> alcanzado dichos límites</w:t>
      </w:r>
      <w:r w:rsidR="005D1798" w:rsidRPr="00AC4AEA">
        <w:rPr>
          <w:rFonts w:ascii="Arial" w:hAnsi="Arial" w:cs="Arial"/>
          <w:sz w:val="20"/>
        </w:rPr>
        <w:t>.</w:t>
      </w:r>
    </w:p>
    <w:p w:rsidR="005D1798" w:rsidRPr="00AC4AEA" w:rsidRDefault="005D1798" w:rsidP="00A318EA">
      <w:pPr>
        <w:pStyle w:val="A-Normal11"/>
        <w:numPr>
          <w:ilvl w:val="0"/>
          <w:numId w:val="29"/>
        </w:numPr>
        <w:jc w:val="both"/>
        <w:rPr>
          <w:rFonts w:ascii="Arial" w:hAnsi="Arial" w:cs="Arial"/>
          <w:sz w:val="20"/>
        </w:rPr>
      </w:pPr>
      <w:r w:rsidRPr="00AC4AEA">
        <w:rPr>
          <w:rFonts w:ascii="Arial" w:hAnsi="Arial" w:cs="Arial"/>
          <w:sz w:val="20"/>
        </w:rPr>
        <w:t xml:space="preserve">Una entidad no revertirá </w:t>
      </w:r>
      <w:r w:rsidRPr="00AC4AEA">
        <w:rPr>
          <w:rFonts w:ascii="Arial" w:hAnsi="Arial" w:cs="Arial"/>
          <w:b/>
          <w:bCs/>
          <w:sz w:val="20"/>
        </w:rPr>
        <w:t>pérdidas por desvalorización</w:t>
      </w:r>
      <w:r w:rsidRPr="00AC4AEA">
        <w:rPr>
          <w:rFonts w:ascii="Arial" w:hAnsi="Arial" w:cs="Arial"/>
          <w:sz w:val="20"/>
        </w:rPr>
        <w:t xml:space="preserve"> </w:t>
      </w:r>
      <w:r w:rsidR="000838A6" w:rsidRPr="00AC4AEA">
        <w:rPr>
          <w:rFonts w:ascii="Arial" w:hAnsi="Arial" w:cs="Arial"/>
          <w:sz w:val="20"/>
        </w:rPr>
        <w:t>de la</w:t>
      </w:r>
      <w:r w:rsidRPr="00AC4AEA">
        <w:rPr>
          <w:rFonts w:ascii="Arial" w:hAnsi="Arial" w:cs="Arial"/>
          <w:sz w:val="20"/>
        </w:rPr>
        <w:t xml:space="preserve"> llave de negocio.</w:t>
      </w:r>
    </w:p>
    <w:p w:rsidR="005B4F11" w:rsidRPr="00AC4AEA" w:rsidRDefault="005B4F11" w:rsidP="00A318EA">
      <w:pPr>
        <w:pStyle w:val="A-Normal11"/>
        <w:numPr>
          <w:ilvl w:val="0"/>
          <w:numId w:val="29"/>
        </w:numPr>
        <w:jc w:val="both"/>
        <w:rPr>
          <w:rFonts w:ascii="Arial" w:hAnsi="Arial" w:cs="Arial"/>
          <w:sz w:val="20"/>
        </w:rPr>
      </w:pPr>
      <w:r w:rsidRPr="00AC4AEA">
        <w:rPr>
          <w:rFonts w:ascii="Arial" w:hAnsi="Arial" w:cs="Arial"/>
          <w:sz w:val="20"/>
        </w:rPr>
        <w:t xml:space="preserve">Cuando una </w:t>
      </w:r>
      <w:r w:rsidRPr="00AC4AEA">
        <w:rPr>
          <w:rFonts w:ascii="Arial" w:hAnsi="Arial" w:cs="Arial"/>
          <w:b/>
          <w:bCs/>
          <w:sz w:val="20"/>
        </w:rPr>
        <w:t>pérdida por desvalorización</w:t>
      </w:r>
      <w:r w:rsidRPr="00AC4AEA">
        <w:rPr>
          <w:rFonts w:ascii="Arial" w:hAnsi="Arial" w:cs="Arial"/>
          <w:sz w:val="20"/>
        </w:rPr>
        <w:t xml:space="preserve"> reconocida </w:t>
      </w:r>
      <w:r w:rsidR="0067150D" w:rsidRPr="00AC4AEA">
        <w:rPr>
          <w:rFonts w:ascii="Arial" w:hAnsi="Arial" w:cs="Arial"/>
          <w:sz w:val="20"/>
        </w:rPr>
        <w:t>desaparezca</w:t>
      </w:r>
      <w:r w:rsidRPr="00AC4AEA">
        <w:rPr>
          <w:rFonts w:ascii="Arial" w:hAnsi="Arial" w:cs="Arial"/>
          <w:sz w:val="20"/>
        </w:rPr>
        <w:t xml:space="preserve"> total o parcialmente, una entidad </w:t>
      </w:r>
      <w:r w:rsidR="00640562" w:rsidRPr="00AC4AEA">
        <w:rPr>
          <w:rFonts w:ascii="Arial" w:hAnsi="Arial" w:cs="Arial"/>
          <w:sz w:val="20"/>
        </w:rPr>
        <w:t>evaluará</w:t>
      </w:r>
      <w:r w:rsidRPr="00AC4AEA">
        <w:rPr>
          <w:rFonts w:ascii="Arial" w:hAnsi="Arial" w:cs="Arial"/>
          <w:sz w:val="20"/>
        </w:rPr>
        <w:t xml:space="preserve"> </w:t>
      </w:r>
      <w:r w:rsidR="0067150D" w:rsidRPr="00AC4AEA">
        <w:rPr>
          <w:rFonts w:ascii="Arial" w:hAnsi="Arial" w:cs="Arial"/>
          <w:sz w:val="20"/>
        </w:rPr>
        <w:t xml:space="preserve">la pertinencia de </w:t>
      </w:r>
      <w:r w:rsidR="00C61955" w:rsidRPr="00AC4AEA">
        <w:rPr>
          <w:rFonts w:ascii="Arial" w:hAnsi="Arial" w:cs="Arial"/>
          <w:sz w:val="20"/>
        </w:rPr>
        <w:t xml:space="preserve">modificar </w:t>
      </w:r>
      <w:r w:rsidRPr="00AC4AEA">
        <w:rPr>
          <w:rFonts w:ascii="Arial" w:hAnsi="Arial" w:cs="Arial"/>
          <w:sz w:val="20"/>
        </w:rPr>
        <w:t xml:space="preserve">la vida útil restante, el método de amortización o el valor residual del </w:t>
      </w:r>
      <w:r w:rsidRPr="00AC4AEA">
        <w:rPr>
          <w:rFonts w:ascii="Arial" w:hAnsi="Arial" w:cs="Arial"/>
          <w:b/>
          <w:bCs/>
          <w:sz w:val="20"/>
        </w:rPr>
        <w:t>activo</w:t>
      </w:r>
      <w:r w:rsidRPr="00AC4AEA">
        <w:rPr>
          <w:rFonts w:ascii="Arial" w:hAnsi="Arial" w:cs="Arial"/>
          <w:sz w:val="20"/>
        </w:rPr>
        <w:t>.</w:t>
      </w:r>
    </w:p>
    <w:p w:rsidR="006D66C5" w:rsidRPr="00AC4AEA" w:rsidRDefault="006D66C5" w:rsidP="00A318EA">
      <w:pPr>
        <w:pStyle w:val="A-Normal11"/>
        <w:jc w:val="both"/>
        <w:rPr>
          <w:rFonts w:ascii="Arial" w:hAnsi="Arial" w:cs="Arial"/>
          <w:sz w:val="20"/>
        </w:rPr>
      </w:pPr>
    </w:p>
    <w:p w:rsidR="009615AE" w:rsidRPr="00AC4AEA" w:rsidRDefault="009615AE" w:rsidP="00A318EA">
      <w:pPr>
        <w:pStyle w:val="Ttulo2"/>
        <w:rPr>
          <w:rFonts w:cs="Arial"/>
        </w:rPr>
      </w:pPr>
      <w:bookmarkStart w:id="227" w:name="_Toc101863769"/>
      <w:bookmarkStart w:id="228" w:name="_Toc139356634"/>
      <w:r w:rsidRPr="00AC4AEA">
        <w:rPr>
          <w:rFonts w:cs="Arial"/>
        </w:rPr>
        <w:t>Presentación</w:t>
      </w:r>
      <w:bookmarkEnd w:id="227"/>
      <w:bookmarkEnd w:id="228"/>
    </w:p>
    <w:p w:rsidR="009615AE" w:rsidRPr="00AC4AEA" w:rsidRDefault="00415B9B" w:rsidP="00A318EA">
      <w:pPr>
        <w:pStyle w:val="A-Normal11"/>
        <w:numPr>
          <w:ilvl w:val="0"/>
          <w:numId w:val="29"/>
        </w:numPr>
        <w:jc w:val="both"/>
        <w:rPr>
          <w:rFonts w:ascii="Arial" w:hAnsi="Arial" w:cs="Arial"/>
          <w:b/>
          <w:bCs/>
          <w:sz w:val="20"/>
        </w:rPr>
      </w:pPr>
      <w:r w:rsidRPr="00AC4AEA">
        <w:rPr>
          <w:rFonts w:ascii="Arial" w:hAnsi="Arial" w:cs="Arial"/>
          <w:sz w:val="20"/>
        </w:rPr>
        <w:t>En el estado de resultados, u</w:t>
      </w:r>
      <w:r w:rsidR="009615AE" w:rsidRPr="00AC4AEA">
        <w:rPr>
          <w:rFonts w:ascii="Arial" w:hAnsi="Arial" w:cs="Arial"/>
          <w:sz w:val="20"/>
        </w:rPr>
        <w:t xml:space="preserve">na entidad presentará las </w:t>
      </w:r>
      <w:r w:rsidR="009615AE" w:rsidRPr="00AC4AEA">
        <w:rPr>
          <w:rFonts w:ascii="Arial" w:hAnsi="Arial" w:cs="Arial"/>
          <w:b/>
          <w:bCs/>
          <w:sz w:val="20"/>
        </w:rPr>
        <w:t xml:space="preserve">pérdidas por desvalorización </w:t>
      </w:r>
      <w:r w:rsidR="009615AE" w:rsidRPr="00AC4AEA">
        <w:rPr>
          <w:rFonts w:ascii="Arial" w:hAnsi="Arial" w:cs="Arial"/>
          <w:sz w:val="20"/>
        </w:rPr>
        <w:t xml:space="preserve">o la reversión de dichas pérdidas </w:t>
      </w:r>
      <w:r w:rsidR="003F0D13" w:rsidRPr="00AC4AEA">
        <w:rPr>
          <w:rFonts w:ascii="Arial" w:hAnsi="Arial" w:cs="Arial"/>
          <w:sz w:val="20"/>
        </w:rPr>
        <w:t>separada de los demás ingresos y gastos, bajo el título “pérdidas por desvalorización</w:t>
      </w:r>
      <w:r w:rsidR="00ED36C5" w:rsidRPr="00AC4AEA">
        <w:rPr>
          <w:rFonts w:ascii="Arial" w:hAnsi="Arial" w:cs="Arial"/>
          <w:sz w:val="20"/>
        </w:rPr>
        <w:t xml:space="preserve"> (o reversión de pérdidas)</w:t>
      </w:r>
      <w:r w:rsidR="003F0D13" w:rsidRPr="00AC4AEA">
        <w:rPr>
          <w:rFonts w:ascii="Arial" w:hAnsi="Arial" w:cs="Arial"/>
          <w:sz w:val="20"/>
        </w:rPr>
        <w:t>”.</w:t>
      </w:r>
    </w:p>
    <w:p w:rsidR="003F0D13" w:rsidRPr="00AC4AEA" w:rsidRDefault="003F0D13" w:rsidP="00A318EA">
      <w:pPr>
        <w:pStyle w:val="A-Normal11"/>
        <w:jc w:val="both"/>
        <w:rPr>
          <w:rFonts w:ascii="Arial" w:hAnsi="Arial" w:cs="Arial"/>
          <w:b/>
          <w:bCs/>
          <w:sz w:val="20"/>
        </w:rPr>
      </w:pPr>
    </w:p>
    <w:p w:rsidR="00120BE2" w:rsidRPr="00AC4AEA" w:rsidRDefault="00120BE2" w:rsidP="00A318EA">
      <w:pPr>
        <w:pStyle w:val="Ttulo2"/>
        <w:rPr>
          <w:rFonts w:cs="Arial"/>
        </w:rPr>
      </w:pPr>
      <w:bookmarkStart w:id="229" w:name="_Toc101863770"/>
      <w:bookmarkStart w:id="230" w:name="_Toc139356635"/>
      <w:r w:rsidRPr="00AC4AEA">
        <w:rPr>
          <w:rFonts w:cs="Arial"/>
        </w:rPr>
        <w:t>Revelación en notas</w:t>
      </w:r>
      <w:bookmarkEnd w:id="229"/>
      <w:bookmarkEnd w:id="230"/>
    </w:p>
    <w:p w:rsidR="00120BE2" w:rsidRPr="00AC4AEA" w:rsidRDefault="00120BE2" w:rsidP="00A318EA">
      <w:pPr>
        <w:pStyle w:val="A-Normal11"/>
        <w:numPr>
          <w:ilvl w:val="0"/>
          <w:numId w:val="29"/>
        </w:numPr>
        <w:jc w:val="both"/>
        <w:rPr>
          <w:rFonts w:ascii="Arial" w:hAnsi="Arial" w:cs="Arial"/>
          <w:sz w:val="20"/>
        </w:rPr>
      </w:pPr>
      <w:r w:rsidRPr="00AC4AEA">
        <w:rPr>
          <w:rFonts w:ascii="Arial" w:hAnsi="Arial" w:cs="Arial"/>
          <w:sz w:val="20"/>
        </w:rPr>
        <w:t xml:space="preserve">Cuando haya reconocido </w:t>
      </w:r>
      <w:r w:rsidRPr="00AC4AEA">
        <w:rPr>
          <w:rFonts w:ascii="Arial" w:hAnsi="Arial" w:cs="Arial"/>
          <w:b/>
          <w:bCs/>
          <w:sz w:val="20"/>
        </w:rPr>
        <w:t>pérdidas por desvalorización</w:t>
      </w:r>
      <w:r w:rsidR="00D6764B" w:rsidRPr="00AC4AEA">
        <w:rPr>
          <w:rFonts w:ascii="Arial" w:hAnsi="Arial" w:cs="Arial"/>
          <w:b/>
          <w:bCs/>
          <w:sz w:val="20"/>
        </w:rPr>
        <w:t xml:space="preserve"> </w:t>
      </w:r>
      <w:r w:rsidR="00D6764B" w:rsidRPr="00AC4AEA">
        <w:rPr>
          <w:rFonts w:ascii="Arial" w:hAnsi="Arial" w:cs="Arial"/>
          <w:sz w:val="20"/>
        </w:rPr>
        <w:t>(o reversión de pérdidas)</w:t>
      </w:r>
      <w:r w:rsidRPr="00AC4AEA">
        <w:rPr>
          <w:rFonts w:ascii="Arial" w:hAnsi="Arial" w:cs="Arial"/>
          <w:b/>
          <w:bCs/>
          <w:sz w:val="20"/>
        </w:rPr>
        <w:t xml:space="preserve">, </w:t>
      </w:r>
      <w:r w:rsidRPr="00AC4AEA">
        <w:rPr>
          <w:rFonts w:ascii="Arial" w:hAnsi="Arial" w:cs="Arial"/>
          <w:sz w:val="20"/>
        </w:rPr>
        <w:t>una entidad revelará:</w:t>
      </w:r>
    </w:p>
    <w:p w:rsidR="00120BE2" w:rsidRPr="00AC4AEA" w:rsidRDefault="00B61D0C" w:rsidP="00A318EA">
      <w:pPr>
        <w:pStyle w:val="A-Normal11"/>
        <w:numPr>
          <w:ilvl w:val="1"/>
          <w:numId w:val="29"/>
        </w:numPr>
        <w:ind w:left="1560"/>
        <w:jc w:val="both"/>
        <w:rPr>
          <w:rFonts w:ascii="Arial" w:hAnsi="Arial" w:cs="Arial"/>
          <w:sz w:val="20"/>
        </w:rPr>
      </w:pPr>
      <w:r w:rsidRPr="00AC4AEA">
        <w:rPr>
          <w:rFonts w:ascii="Arial" w:hAnsi="Arial" w:cs="Arial"/>
          <w:sz w:val="20"/>
        </w:rPr>
        <w:t>s</w:t>
      </w:r>
      <w:r w:rsidR="00120BE2" w:rsidRPr="00AC4AEA">
        <w:rPr>
          <w:rFonts w:ascii="Arial" w:hAnsi="Arial" w:cs="Arial"/>
          <w:sz w:val="20"/>
        </w:rPr>
        <w:t xml:space="preserve">i </w:t>
      </w:r>
      <w:r w:rsidR="00541573" w:rsidRPr="00AC4AEA">
        <w:rPr>
          <w:rFonts w:ascii="Arial" w:hAnsi="Arial" w:cs="Arial"/>
          <w:sz w:val="20"/>
        </w:rPr>
        <w:t>se trata de una</w:t>
      </w:r>
      <w:r w:rsidR="00120BE2" w:rsidRPr="00AC4AEA">
        <w:rPr>
          <w:rFonts w:ascii="Arial" w:hAnsi="Arial" w:cs="Arial"/>
          <w:sz w:val="20"/>
        </w:rPr>
        <w:t xml:space="preserve"> </w:t>
      </w:r>
      <w:r w:rsidR="00541573" w:rsidRPr="00AC4AEA">
        <w:rPr>
          <w:rFonts w:ascii="Arial" w:hAnsi="Arial" w:cs="Arial"/>
          <w:b/>
          <w:bCs/>
          <w:sz w:val="20"/>
        </w:rPr>
        <w:t>pérdida por desvalorización</w:t>
      </w:r>
      <w:r w:rsidR="00120BE2" w:rsidRPr="00AC4AEA">
        <w:rPr>
          <w:rFonts w:ascii="Arial" w:hAnsi="Arial" w:cs="Arial"/>
          <w:sz w:val="20"/>
        </w:rPr>
        <w:t xml:space="preserve"> </w:t>
      </w:r>
      <w:r w:rsidR="00541573" w:rsidRPr="00AC4AEA">
        <w:rPr>
          <w:rFonts w:ascii="Arial" w:hAnsi="Arial" w:cs="Arial"/>
          <w:sz w:val="20"/>
        </w:rPr>
        <w:t>(o reversión de pérdidas) de</w:t>
      </w:r>
      <w:r w:rsidR="00120BE2" w:rsidRPr="00AC4AEA">
        <w:rPr>
          <w:rFonts w:ascii="Arial" w:hAnsi="Arial" w:cs="Arial"/>
          <w:sz w:val="20"/>
        </w:rPr>
        <w:t xml:space="preserve"> </w:t>
      </w:r>
      <w:r w:rsidR="00497590" w:rsidRPr="00AC4AEA">
        <w:rPr>
          <w:rFonts w:ascii="Arial" w:hAnsi="Arial" w:cs="Arial"/>
          <w:sz w:val="20"/>
        </w:rPr>
        <w:t>activos</w:t>
      </w:r>
      <w:r w:rsidR="00120BE2" w:rsidRPr="00AC4AEA">
        <w:rPr>
          <w:rFonts w:ascii="Arial" w:hAnsi="Arial" w:cs="Arial"/>
          <w:sz w:val="20"/>
        </w:rPr>
        <w:t xml:space="preserve"> individuales: su naturaleza y una breve descripción de </w:t>
      </w:r>
      <w:r w:rsidR="00541573" w:rsidRPr="00AC4AEA">
        <w:rPr>
          <w:rFonts w:ascii="Arial" w:hAnsi="Arial" w:cs="Arial"/>
          <w:sz w:val="20"/>
        </w:rPr>
        <w:t xml:space="preserve">dichos </w:t>
      </w:r>
      <w:r w:rsidR="00497590" w:rsidRPr="00AC4AEA">
        <w:rPr>
          <w:rFonts w:ascii="Arial" w:hAnsi="Arial" w:cs="Arial"/>
          <w:sz w:val="20"/>
        </w:rPr>
        <w:t>activos</w:t>
      </w:r>
      <w:r w:rsidRPr="00AC4AEA">
        <w:rPr>
          <w:rFonts w:ascii="Arial" w:hAnsi="Arial" w:cs="Arial"/>
          <w:sz w:val="20"/>
        </w:rPr>
        <w:t>;</w:t>
      </w:r>
    </w:p>
    <w:p w:rsidR="00541573" w:rsidRPr="00AC4AEA" w:rsidRDefault="00B61D0C" w:rsidP="00A318EA">
      <w:pPr>
        <w:pStyle w:val="A-Normal11"/>
        <w:numPr>
          <w:ilvl w:val="1"/>
          <w:numId w:val="29"/>
        </w:numPr>
        <w:ind w:left="1560"/>
        <w:jc w:val="both"/>
        <w:rPr>
          <w:rFonts w:ascii="Arial" w:hAnsi="Arial" w:cs="Arial"/>
          <w:sz w:val="20"/>
        </w:rPr>
      </w:pPr>
      <w:r w:rsidRPr="00AC4AEA">
        <w:rPr>
          <w:rFonts w:ascii="Arial" w:hAnsi="Arial" w:cs="Arial"/>
          <w:sz w:val="20"/>
        </w:rPr>
        <w:lastRenderedPageBreak/>
        <w:t>s</w:t>
      </w:r>
      <w:r w:rsidR="00541573" w:rsidRPr="00AC4AEA">
        <w:rPr>
          <w:rFonts w:ascii="Arial" w:hAnsi="Arial" w:cs="Arial"/>
          <w:sz w:val="20"/>
        </w:rPr>
        <w:t xml:space="preserve">i se trata de una </w:t>
      </w:r>
      <w:r w:rsidR="00541573" w:rsidRPr="00AC4AEA">
        <w:rPr>
          <w:rFonts w:ascii="Arial" w:hAnsi="Arial" w:cs="Arial"/>
          <w:b/>
          <w:bCs/>
          <w:sz w:val="20"/>
        </w:rPr>
        <w:t>pérdida por desvalorización</w:t>
      </w:r>
      <w:r w:rsidR="00541573" w:rsidRPr="00AC4AEA">
        <w:rPr>
          <w:rFonts w:ascii="Arial" w:hAnsi="Arial" w:cs="Arial"/>
          <w:sz w:val="20"/>
        </w:rPr>
        <w:t xml:space="preserve"> (o reversión de </w:t>
      </w:r>
      <w:r w:rsidR="007E020E" w:rsidRPr="00AC4AEA">
        <w:rPr>
          <w:rFonts w:ascii="Arial" w:hAnsi="Arial" w:cs="Arial"/>
          <w:sz w:val="20"/>
        </w:rPr>
        <w:t>pérdidas</w:t>
      </w:r>
      <w:r w:rsidR="00541573" w:rsidRPr="00AC4AEA">
        <w:rPr>
          <w:rFonts w:ascii="Arial" w:hAnsi="Arial" w:cs="Arial"/>
          <w:sz w:val="20"/>
        </w:rPr>
        <w:t xml:space="preserve">) de </w:t>
      </w:r>
      <w:r w:rsidR="00120BE2" w:rsidRPr="00AC4AEA">
        <w:rPr>
          <w:rFonts w:ascii="Arial" w:hAnsi="Arial" w:cs="Arial"/>
          <w:b/>
          <w:bCs/>
          <w:sz w:val="20"/>
        </w:rPr>
        <w:t>actividades generadoras de efectivo</w:t>
      </w:r>
      <w:r w:rsidR="00F0288D" w:rsidRPr="00AC4AEA">
        <w:rPr>
          <w:rFonts w:ascii="Arial" w:hAnsi="Arial" w:cs="Arial"/>
          <w:b/>
          <w:bCs/>
          <w:sz w:val="20"/>
        </w:rPr>
        <w:t xml:space="preserve"> </w:t>
      </w:r>
      <w:r w:rsidR="00F0288D" w:rsidRPr="00AC4AEA">
        <w:rPr>
          <w:rFonts w:ascii="Arial" w:hAnsi="Arial" w:cs="Arial"/>
          <w:sz w:val="20"/>
        </w:rPr>
        <w:t xml:space="preserve">o de una unidad más pequeña [ver el párrafo </w:t>
      </w:r>
      <w:fldSimple w:instr=" REF _Ref99473003 \r \h  \* MERGEFORMAT ">
        <w:r w:rsidR="00D33A5D" w:rsidRPr="00D33A5D">
          <w:rPr>
            <w:rFonts w:ascii="Arial" w:hAnsi="Arial" w:cs="Arial"/>
            <w:sz w:val="20"/>
          </w:rPr>
          <w:t>164</w:t>
        </w:r>
      </w:fldSimple>
      <w:r w:rsidR="00F0288D" w:rsidRPr="00AC4AEA">
        <w:rPr>
          <w:rFonts w:ascii="Arial" w:hAnsi="Arial" w:cs="Arial"/>
          <w:sz w:val="20"/>
        </w:rPr>
        <w:t>]</w:t>
      </w:r>
      <w:r w:rsidR="00541573" w:rsidRPr="00AC4AEA">
        <w:rPr>
          <w:rFonts w:ascii="Arial" w:hAnsi="Arial" w:cs="Arial"/>
          <w:sz w:val="20"/>
        </w:rPr>
        <w:t>:</w:t>
      </w:r>
      <w:r w:rsidR="00120BE2" w:rsidRPr="00AC4AEA">
        <w:rPr>
          <w:rFonts w:ascii="Arial" w:hAnsi="Arial" w:cs="Arial"/>
          <w:sz w:val="20"/>
        </w:rPr>
        <w:t xml:space="preserve"> </w:t>
      </w:r>
    </w:p>
    <w:p w:rsidR="00541573" w:rsidRPr="00AC4AEA" w:rsidRDefault="00D41894" w:rsidP="00A318EA">
      <w:pPr>
        <w:pStyle w:val="A-Normal11"/>
        <w:numPr>
          <w:ilvl w:val="2"/>
          <w:numId w:val="29"/>
        </w:numPr>
        <w:ind w:left="1985" w:hanging="142"/>
        <w:jc w:val="both"/>
        <w:rPr>
          <w:rFonts w:ascii="Arial" w:hAnsi="Arial" w:cs="Arial"/>
          <w:sz w:val="20"/>
        </w:rPr>
      </w:pPr>
      <w:r w:rsidRPr="00AC4AEA">
        <w:rPr>
          <w:rFonts w:ascii="Arial" w:hAnsi="Arial" w:cs="Arial"/>
          <w:sz w:val="20"/>
        </w:rPr>
        <w:t>u</w:t>
      </w:r>
      <w:r w:rsidR="00541573" w:rsidRPr="00AC4AEA">
        <w:rPr>
          <w:rFonts w:ascii="Arial" w:hAnsi="Arial" w:cs="Arial"/>
          <w:sz w:val="20"/>
        </w:rPr>
        <w:t>na</w:t>
      </w:r>
      <w:r w:rsidR="00120BE2" w:rsidRPr="00AC4AEA">
        <w:rPr>
          <w:rFonts w:ascii="Arial" w:hAnsi="Arial" w:cs="Arial"/>
          <w:sz w:val="20"/>
        </w:rPr>
        <w:t xml:space="preserve"> descripción</w:t>
      </w:r>
      <w:r w:rsidR="00541573" w:rsidRPr="00AC4AEA">
        <w:rPr>
          <w:rFonts w:ascii="Arial" w:hAnsi="Arial" w:cs="Arial"/>
          <w:sz w:val="20"/>
        </w:rPr>
        <w:t xml:space="preserve"> de</w:t>
      </w:r>
      <w:r w:rsidR="00D67EC1" w:rsidRPr="00AC4AEA">
        <w:rPr>
          <w:rFonts w:ascii="Arial" w:hAnsi="Arial" w:cs="Arial"/>
          <w:sz w:val="20"/>
        </w:rPr>
        <w:t>l grupo de activos conside</w:t>
      </w:r>
      <w:r w:rsidR="00ED36C5" w:rsidRPr="00AC4AEA">
        <w:rPr>
          <w:rFonts w:ascii="Arial" w:hAnsi="Arial" w:cs="Arial"/>
          <w:sz w:val="20"/>
        </w:rPr>
        <w:t>rado</w:t>
      </w:r>
      <w:r w:rsidR="00141BB1" w:rsidRPr="00AC4AEA">
        <w:rPr>
          <w:rFonts w:ascii="Arial" w:hAnsi="Arial" w:cs="Arial"/>
          <w:sz w:val="20"/>
        </w:rPr>
        <w:t>;</w:t>
      </w:r>
      <w:r w:rsidR="003F7E57" w:rsidRPr="00AC4AEA">
        <w:rPr>
          <w:rFonts w:ascii="Arial" w:hAnsi="Arial" w:cs="Arial"/>
          <w:sz w:val="20"/>
        </w:rPr>
        <w:t xml:space="preserve"> y</w:t>
      </w:r>
    </w:p>
    <w:p w:rsidR="00120BE2" w:rsidRPr="00AC4AEA" w:rsidRDefault="00D41894" w:rsidP="00A318EA">
      <w:pPr>
        <w:pStyle w:val="A-Normal11"/>
        <w:numPr>
          <w:ilvl w:val="2"/>
          <w:numId w:val="29"/>
        </w:numPr>
        <w:ind w:left="1985" w:hanging="142"/>
        <w:jc w:val="both"/>
        <w:rPr>
          <w:rFonts w:ascii="Arial" w:hAnsi="Arial" w:cs="Arial"/>
          <w:sz w:val="20"/>
        </w:rPr>
      </w:pPr>
      <w:r w:rsidRPr="00AC4AEA">
        <w:rPr>
          <w:rFonts w:ascii="Arial" w:hAnsi="Arial" w:cs="Arial"/>
          <w:sz w:val="20"/>
        </w:rPr>
        <w:t>l</w:t>
      </w:r>
      <w:r w:rsidR="00541573" w:rsidRPr="00AC4AEA">
        <w:rPr>
          <w:rFonts w:ascii="Arial" w:hAnsi="Arial" w:cs="Arial"/>
          <w:sz w:val="20"/>
        </w:rPr>
        <w:t xml:space="preserve">os cambios, si los hubo, en </w:t>
      </w:r>
      <w:r w:rsidR="00C71978" w:rsidRPr="00AC4AEA">
        <w:rPr>
          <w:rFonts w:ascii="Arial" w:hAnsi="Arial" w:cs="Arial"/>
          <w:sz w:val="20"/>
        </w:rPr>
        <w:t xml:space="preserve">su </w:t>
      </w:r>
      <w:r w:rsidR="00541573" w:rsidRPr="00AC4AEA">
        <w:rPr>
          <w:rFonts w:ascii="Arial" w:hAnsi="Arial" w:cs="Arial"/>
          <w:sz w:val="20"/>
        </w:rPr>
        <w:t>confor</w:t>
      </w:r>
      <w:r w:rsidR="00120BE2" w:rsidRPr="00AC4AEA">
        <w:rPr>
          <w:rFonts w:ascii="Arial" w:hAnsi="Arial" w:cs="Arial"/>
          <w:sz w:val="20"/>
        </w:rPr>
        <w:t xml:space="preserve">mación desde la anterior estimación </w:t>
      </w:r>
      <w:r w:rsidR="00C71978" w:rsidRPr="00AC4AEA">
        <w:rPr>
          <w:rFonts w:ascii="Arial" w:hAnsi="Arial" w:cs="Arial"/>
          <w:sz w:val="20"/>
        </w:rPr>
        <w:t>del</w:t>
      </w:r>
      <w:r w:rsidR="00120BE2" w:rsidRPr="00AC4AEA">
        <w:rPr>
          <w:rFonts w:ascii="Arial" w:hAnsi="Arial" w:cs="Arial"/>
          <w:sz w:val="20"/>
        </w:rPr>
        <w:t xml:space="preserve"> </w:t>
      </w:r>
      <w:r w:rsidR="00120BE2" w:rsidRPr="00AC4AEA">
        <w:rPr>
          <w:rFonts w:ascii="Arial" w:hAnsi="Arial" w:cs="Arial"/>
          <w:b/>
          <w:bCs/>
          <w:sz w:val="20"/>
        </w:rPr>
        <w:t>valor recuperable</w:t>
      </w:r>
      <w:r w:rsidR="00541573" w:rsidRPr="00AC4AEA">
        <w:rPr>
          <w:rFonts w:ascii="Arial" w:hAnsi="Arial" w:cs="Arial"/>
          <w:b/>
          <w:bCs/>
          <w:sz w:val="20"/>
        </w:rPr>
        <w:t xml:space="preserve">, </w:t>
      </w:r>
      <w:r w:rsidR="00541573" w:rsidRPr="00AC4AEA">
        <w:rPr>
          <w:rFonts w:ascii="Arial" w:hAnsi="Arial" w:cs="Arial"/>
          <w:sz w:val="20"/>
        </w:rPr>
        <w:t xml:space="preserve">la conformación actual y anterior </w:t>
      </w:r>
      <w:r w:rsidR="00120BE2" w:rsidRPr="00AC4AEA">
        <w:rPr>
          <w:rFonts w:ascii="Arial" w:hAnsi="Arial" w:cs="Arial"/>
          <w:sz w:val="20"/>
        </w:rPr>
        <w:t>y las razones del cambio</w:t>
      </w:r>
      <w:r w:rsidR="00B61D0C" w:rsidRPr="00AC4AEA">
        <w:rPr>
          <w:rFonts w:ascii="Arial" w:hAnsi="Arial" w:cs="Arial"/>
          <w:sz w:val="20"/>
        </w:rPr>
        <w:t>;</w:t>
      </w:r>
    </w:p>
    <w:p w:rsidR="00120BE2" w:rsidRPr="00AC4AEA" w:rsidRDefault="00B61D0C" w:rsidP="00A318EA">
      <w:pPr>
        <w:pStyle w:val="A-Normal11"/>
        <w:numPr>
          <w:ilvl w:val="1"/>
          <w:numId w:val="29"/>
        </w:numPr>
        <w:ind w:left="1560"/>
        <w:jc w:val="both"/>
        <w:rPr>
          <w:rFonts w:ascii="Arial" w:hAnsi="Arial" w:cs="Arial"/>
          <w:sz w:val="20"/>
        </w:rPr>
      </w:pPr>
      <w:r w:rsidRPr="00AC4AEA">
        <w:rPr>
          <w:rFonts w:ascii="Arial" w:hAnsi="Arial" w:cs="Arial"/>
          <w:sz w:val="20"/>
        </w:rPr>
        <w:t>los</w:t>
      </w:r>
      <w:r w:rsidR="00120BE2" w:rsidRPr="00AC4AEA">
        <w:rPr>
          <w:rFonts w:ascii="Arial" w:hAnsi="Arial" w:cs="Arial"/>
          <w:sz w:val="20"/>
        </w:rPr>
        <w:t xml:space="preserve"> rubros </w:t>
      </w:r>
      <w:r w:rsidR="0057261F" w:rsidRPr="00AC4AEA">
        <w:rPr>
          <w:rFonts w:ascii="Arial" w:hAnsi="Arial" w:cs="Arial"/>
          <w:sz w:val="20"/>
        </w:rPr>
        <w:t xml:space="preserve">y </w:t>
      </w:r>
      <w:r w:rsidR="0057261F" w:rsidRPr="00AC4AEA">
        <w:rPr>
          <w:rFonts w:ascii="Arial" w:hAnsi="Arial" w:cs="Arial"/>
          <w:b/>
          <w:bCs/>
          <w:sz w:val="20"/>
        </w:rPr>
        <w:t>actividades generadoras de efectivo</w:t>
      </w:r>
      <w:r w:rsidR="00F0288D" w:rsidRPr="00AC4AEA">
        <w:rPr>
          <w:rFonts w:ascii="Arial" w:hAnsi="Arial" w:cs="Arial"/>
          <w:b/>
          <w:bCs/>
          <w:sz w:val="20"/>
        </w:rPr>
        <w:t xml:space="preserve">, </w:t>
      </w:r>
      <w:r w:rsidR="00F0288D" w:rsidRPr="00AC4AEA">
        <w:rPr>
          <w:rFonts w:ascii="Arial" w:hAnsi="Arial" w:cs="Arial"/>
          <w:sz w:val="20"/>
        </w:rPr>
        <w:t xml:space="preserve">o unidades más pequeñas [ver el párrafo </w:t>
      </w:r>
      <w:fldSimple w:instr=" REF _Ref99473003 \r \h  \* MERGEFORMAT ">
        <w:r w:rsidR="00D33A5D" w:rsidRPr="00D33A5D">
          <w:rPr>
            <w:rFonts w:ascii="Arial" w:hAnsi="Arial" w:cs="Arial"/>
            <w:sz w:val="20"/>
          </w:rPr>
          <w:t>164</w:t>
        </w:r>
      </w:fldSimple>
      <w:r w:rsidR="00F0288D" w:rsidRPr="00AC4AEA">
        <w:rPr>
          <w:rFonts w:ascii="Arial" w:hAnsi="Arial" w:cs="Arial"/>
          <w:sz w:val="20"/>
        </w:rPr>
        <w:t>],</w:t>
      </w:r>
      <w:r w:rsidR="0057261F" w:rsidRPr="00AC4AEA">
        <w:rPr>
          <w:rFonts w:ascii="Arial" w:hAnsi="Arial" w:cs="Arial"/>
          <w:sz w:val="20"/>
        </w:rPr>
        <w:t xml:space="preserve"> </w:t>
      </w:r>
      <w:r w:rsidR="00120BE2" w:rsidRPr="00AC4AEA">
        <w:rPr>
          <w:rFonts w:ascii="Arial" w:hAnsi="Arial" w:cs="Arial"/>
          <w:sz w:val="20"/>
        </w:rPr>
        <w:t>a los que pertenecen los</w:t>
      </w:r>
      <w:r w:rsidR="00EF0FD3" w:rsidRPr="00AC4AEA">
        <w:rPr>
          <w:rFonts w:ascii="Arial" w:hAnsi="Arial" w:cs="Arial"/>
          <w:sz w:val="20"/>
        </w:rPr>
        <w:t xml:space="preserve"> respectivos</w:t>
      </w:r>
      <w:r w:rsidR="00120BE2" w:rsidRPr="00AC4AEA">
        <w:rPr>
          <w:rFonts w:ascii="Arial" w:hAnsi="Arial" w:cs="Arial"/>
          <w:sz w:val="20"/>
        </w:rPr>
        <w:t xml:space="preserve"> </w:t>
      </w:r>
      <w:r w:rsidR="00497590" w:rsidRPr="00AC4AEA">
        <w:rPr>
          <w:rFonts w:ascii="Arial" w:hAnsi="Arial" w:cs="Arial"/>
          <w:sz w:val="20"/>
        </w:rPr>
        <w:t>activos</w:t>
      </w:r>
      <w:r w:rsidRPr="00AC4AEA">
        <w:rPr>
          <w:rFonts w:ascii="Arial" w:hAnsi="Arial" w:cs="Arial"/>
          <w:sz w:val="20"/>
        </w:rPr>
        <w:t>;</w:t>
      </w:r>
    </w:p>
    <w:p w:rsidR="00120BE2" w:rsidRPr="00AC4AEA" w:rsidRDefault="00B61D0C" w:rsidP="00A318EA">
      <w:pPr>
        <w:pStyle w:val="A-Normal11"/>
        <w:numPr>
          <w:ilvl w:val="1"/>
          <w:numId w:val="29"/>
        </w:numPr>
        <w:ind w:left="1560"/>
        <w:jc w:val="both"/>
        <w:rPr>
          <w:rFonts w:ascii="Arial" w:hAnsi="Arial" w:cs="Arial"/>
          <w:sz w:val="20"/>
        </w:rPr>
      </w:pPr>
      <w:r w:rsidRPr="00AC4AEA">
        <w:rPr>
          <w:rFonts w:ascii="Arial" w:hAnsi="Arial" w:cs="Arial"/>
          <w:sz w:val="20"/>
        </w:rPr>
        <w:t>s</w:t>
      </w:r>
      <w:r w:rsidR="005D1798" w:rsidRPr="00AC4AEA">
        <w:rPr>
          <w:rFonts w:ascii="Arial" w:hAnsi="Arial" w:cs="Arial"/>
          <w:sz w:val="20"/>
        </w:rPr>
        <w:t xml:space="preserve">i el </w:t>
      </w:r>
      <w:r w:rsidR="005D1798" w:rsidRPr="00AC4AEA">
        <w:rPr>
          <w:rFonts w:ascii="Arial" w:hAnsi="Arial" w:cs="Arial"/>
          <w:b/>
          <w:bCs/>
          <w:sz w:val="20"/>
        </w:rPr>
        <w:t>valor recuperable</w:t>
      </w:r>
      <w:r w:rsidR="00120BE2" w:rsidRPr="00AC4AEA">
        <w:rPr>
          <w:rFonts w:ascii="Arial" w:hAnsi="Arial" w:cs="Arial"/>
          <w:sz w:val="20"/>
        </w:rPr>
        <w:t xml:space="preserve"> considerado </w:t>
      </w:r>
      <w:r w:rsidR="005D1798" w:rsidRPr="00AC4AEA">
        <w:rPr>
          <w:rFonts w:ascii="Arial" w:hAnsi="Arial" w:cs="Arial"/>
          <w:sz w:val="20"/>
        </w:rPr>
        <w:t xml:space="preserve">es un </w:t>
      </w:r>
      <w:r w:rsidR="00120BE2" w:rsidRPr="00AC4AEA">
        <w:rPr>
          <w:rFonts w:ascii="Arial" w:hAnsi="Arial" w:cs="Arial"/>
          <w:b/>
          <w:bCs/>
          <w:sz w:val="20"/>
        </w:rPr>
        <w:t>valor neto de realización</w:t>
      </w:r>
      <w:r w:rsidR="00120BE2" w:rsidRPr="00AC4AEA">
        <w:rPr>
          <w:rFonts w:ascii="Arial" w:hAnsi="Arial" w:cs="Arial"/>
          <w:sz w:val="20"/>
        </w:rPr>
        <w:t xml:space="preserve"> o </w:t>
      </w:r>
      <w:r w:rsidR="00120BE2" w:rsidRPr="00AC4AEA">
        <w:rPr>
          <w:rFonts w:ascii="Arial" w:hAnsi="Arial" w:cs="Arial"/>
          <w:b/>
          <w:bCs/>
          <w:sz w:val="20"/>
        </w:rPr>
        <w:t>valores de uso</w:t>
      </w:r>
      <w:r w:rsidR="009615AE" w:rsidRPr="00AC4AEA">
        <w:rPr>
          <w:rFonts w:ascii="Arial" w:hAnsi="Arial" w:cs="Arial"/>
          <w:sz w:val="20"/>
        </w:rPr>
        <w:t>, informando:</w:t>
      </w:r>
    </w:p>
    <w:p w:rsidR="00120BE2" w:rsidRPr="00AC4AEA" w:rsidRDefault="000660A9" w:rsidP="00A318EA">
      <w:pPr>
        <w:pStyle w:val="A-Normal11"/>
        <w:numPr>
          <w:ilvl w:val="2"/>
          <w:numId w:val="29"/>
        </w:numPr>
        <w:ind w:left="1985" w:hanging="142"/>
        <w:jc w:val="both"/>
        <w:rPr>
          <w:rFonts w:ascii="Arial" w:hAnsi="Arial" w:cs="Arial"/>
          <w:sz w:val="20"/>
        </w:rPr>
      </w:pPr>
      <w:r w:rsidRPr="00AC4AEA">
        <w:rPr>
          <w:rFonts w:ascii="Arial" w:hAnsi="Arial" w:cs="Arial"/>
          <w:sz w:val="20"/>
        </w:rPr>
        <w:t xml:space="preserve">el </w:t>
      </w:r>
      <w:r w:rsidR="009615AE" w:rsidRPr="00AC4AEA">
        <w:rPr>
          <w:rFonts w:ascii="Arial" w:hAnsi="Arial" w:cs="Arial"/>
          <w:sz w:val="20"/>
        </w:rPr>
        <w:t>modo</w:t>
      </w:r>
      <w:r w:rsidR="00120BE2" w:rsidRPr="00AC4AEA">
        <w:rPr>
          <w:rFonts w:ascii="Arial" w:hAnsi="Arial" w:cs="Arial"/>
          <w:sz w:val="20"/>
        </w:rPr>
        <w:t xml:space="preserve"> </w:t>
      </w:r>
      <w:r w:rsidR="005408BC" w:rsidRPr="00AC4AEA">
        <w:rPr>
          <w:rFonts w:ascii="Arial" w:hAnsi="Arial" w:cs="Arial"/>
          <w:sz w:val="20"/>
        </w:rPr>
        <w:t>para estimar</w:t>
      </w:r>
      <w:r w:rsidR="00541573" w:rsidRPr="00AC4AEA">
        <w:rPr>
          <w:rFonts w:ascii="Arial" w:hAnsi="Arial" w:cs="Arial"/>
          <w:sz w:val="20"/>
        </w:rPr>
        <w:t xml:space="preserve"> </w:t>
      </w:r>
      <w:r w:rsidR="005408BC" w:rsidRPr="00AC4AEA">
        <w:rPr>
          <w:rFonts w:ascii="Arial" w:hAnsi="Arial" w:cs="Arial"/>
          <w:sz w:val="20"/>
        </w:rPr>
        <w:t xml:space="preserve">el </w:t>
      </w:r>
      <w:r w:rsidR="00541573" w:rsidRPr="00AC4AEA">
        <w:rPr>
          <w:rFonts w:ascii="Arial" w:hAnsi="Arial" w:cs="Arial"/>
          <w:b/>
          <w:bCs/>
          <w:sz w:val="20"/>
        </w:rPr>
        <w:t>valor neto de realización</w:t>
      </w:r>
      <w:r w:rsidR="00541573" w:rsidRPr="00AC4AEA">
        <w:rPr>
          <w:rFonts w:ascii="Arial" w:hAnsi="Arial" w:cs="Arial"/>
          <w:sz w:val="20"/>
        </w:rPr>
        <w:t xml:space="preserve"> utilizado para el cálculo del </w:t>
      </w:r>
      <w:r w:rsidR="00541573" w:rsidRPr="00AC4AEA">
        <w:rPr>
          <w:rFonts w:ascii="Arial" w:hAnsi="Arial" w:cs="Arial"/>
          <w:b/>
          <w:bCs/>
          <w:sz w:val="20"/>
        </w:rPr>
        <w:t>valor recuperable</w:t>
      </w:r>
      <w:r w:rsidR="00120BE2" w:rsidRPr="00AC4AEA">
        <w:rPr>
          <w:rFonts w:ascii="Arial" w:hAnsi="Arial" w:cs="Arial"/>
          <w:sz w:val="20"/>
        </w:rPr>
        <w:t xml:space="preserve"> (por ejemplo</w:t>
      </w:r>
      <w:r w:rsidR="009615AE" w:rsidRPr="00AC4AEA">
        <w:rPr>
          <w:rFonts w:ascii="Arial" w:hAnsi="Arial" w:cs="Arial"/>
          <w:sz w:val="20"/>
        </w:rPr>
        <w:t>,</w:t>
      </w:r>
      <w:r w:rsidR="00120BE2" w:rsidRPr="00AC4AEA">
        <w:rPr>
          <w:rFonts w:ascii="Arial" w:hAnsi="Arial" w:cs="Arial"/>
          <w:sz w:val="20"/>
        </w:rPr>
        <w:t xml:space="preserve"> si </w:t>
      </w:r>
      <w:r w:rsidR="009615AE" w:rsidRPr="00AC4AEA">
        <w:rPr>
          <w:rFonts w:ascii="Arial" w:hAnsi="Arial" w:cs="Arial"/>
          <w:sz w:val="20"/>
        </w:rPr>
        <w:t>adoptó</w:t>
      </w:r>
      <w:r w:rsidR="00120BE2" w:rsidRPr="00AC4AEA">
        <w:rPr>
          <w:rFonts w:ascii="Arial" w:hAnsi="Arial" w:cs="Arial"/>
          <w:sz w:val="20"/>
        </w:rPr>
        <w:t xml:space="preserve"> precios de un </w:t>
      </w:r>
      <w:r w:rsidR="00120BE2" w:rsidRPr="00AC4AEA">
        <w:rPr>
          <w:rFonts w:ascii="Arial" w:hAnsi="Arial" w:cs="Arial"/>
          <w:b/>
          <w:bCs/>
          <w:sz w:val="20"/>
        </w:rPr>
        <w:t>mercado activo</w:t>
      </w:r>
      <w:r w:rsidR="00120BE2" w:rsidRPr="00AC4AEA">
        <w:rPr>
          <w:rFonts w:ascii="Arial" w:hAnsi="Arial" w:cs="Arial"/>
          <w:sz w:val="20"/>
        </w:rPr>
        <w:t xml:space="preserve"> o los estimó de otra manera</w:t>
      </w:r>
      <w:r w:rsidRPr="00AC4AEA">
        <w:rPr>
          <w:rFonts w:ascii="Arial" w:hAnsi="Arial" w:cs="Arial"/>
          <w:sz w:val="20"/>
        </w:rPr>
        <w:t>); y</w:t>
      </w:r>
    </w:p>
    <w:p w:rsidR="00541573" w:rsidRPr="00AC4AEA" w:rsidRDefault="000660A9" w:rsidP="00A318EA">
      <w:pPr>
        <w:pStyle w:val="A-Normal11"/>
        <w:numPr>
          <w:ilvl w:val="2"/>
          <w:numId w:val="29"/>
        </w:numPr>
        <w:ind w:left="1985" w:hanging="142"/>
        <w:jc w:val="both"/>
        <w:rPr>
          <w:rFonts w:ascii="Arial" w:hAnsi="Arial" w:cs="Arial"/>
          <w:sz w:val="20"/>
        </w:rPr>
      </w:pPr>
      <w:r w:rsidRPr="00AC4AEA">
        <w:rPr>
          <w:rFonts w:ascii="Arial" w:hAnsi="Arial" w:cs="Arial"/>
          <w:sz w:val="20"/>
        </w:rPr>
        <w:t xml:space="preserve">la </w:t>
      </w:r>
      <w:r w:rsidR="00541573" w:rsidRPr="00AC4AEA">
        <w:rPr>
          <w:rFonts w:ascii="Arial" w:hAnsi="Arial" w:cs="Arial"/>
          <w:sz w:val="20"/>
        </w:rPr>
        <w:t xml:space="preserve">tasa de descuento </w:t>
      </w:r>
      <w:r w:rsidR="008C14F1" w:rsidRPr="00AC4AEA">
        <w:rPr>
          <w:rFonts w:ascii="Arial" w:hAnsi="Arial" w:cs="Arial"/>
          <w:sz w:val="20"/>
        </w:rPr>
        <w:t xml:space="preserve">empleada </w:t>
      </w:r>
      <w:r w:rsidR="00C71978" w:rsidRPr="00AC4AEA">
        <w:rPr>
          <w:rFonts w:ascii="Arial" w:hAnsi="Arial" w:cs="Arial"/>
          <w:sz w:val="20"/>
        </w:rPr>
        <w:t>para estimar</w:t>
      </w:r>
      <w:r w:rsidR="00F0288D" w:rsidRPr="00AC4AEA">
        <w:rPr>
          <w:rFonts w:ascii="Arial" w:hAnsi="Arial" w:cs="Arial"/>
          <w:sz w:val="20"/>
        </w:rPr>
        <w:t xml:space="preserve"> el</w:t>
      </w:r>
      <w:r w:rsidR="00541573" w:rsidRPr="00AC4AEA">
        <w:rPr>
          <w:rFonts w:ascii="Arial" w:hAnsi="Arial" w:cs="Arial"/>
          <w:sz w:val="20"/>
        </w:rPr>
        <w:t xml:space="preserve"> </w:t>
      </w:r>
      <w:r w:rsidR="00541573" w:rsidRPr="00AC4AEA">
        <w:rPr>
          <w:rFonts w:ascii="Arial" w:hAnsi="Arial" w:cs="Arial"/>
          <w:b/>
          <w:bCs/>
          <w:sz w:val="20"/>
        </w:rPr>
        <w:t xml:space="preserve">valor de uso </w:t>
      </w:r>
      <w:r w:rsidR="00541573" w:rsidRPr="00AC4AEA">
        <w:rPr>
          <w:rFonts w:ascii="Arial" w:hAnsi="Arial" w:cs="Arial"/>
          <w:sz w:val="20"/>
        </w:rPr>
        <w:t xml:space="preserve">en el período </w:t>
      </w:r>
      <w:r w:rsidR="003B380A" w:rsidRPr="00AC4AEA">
        <w:rPr>
          <w:rFonts w:ascii="Arial" w:hAnsi="Arial" w:cs="Arial"/>
          <w:sz w:val="20"/>
        </w:rPr>
        <w:t xml:space="preserve">actual </w:t>
      </w:r>
      <w:r w:rsidR="00541573" w:rsidRPr="00AC4AEA">
        <w:rPr>
          <w:rFonts w:ascii="Arial" w:hAnsi="Arial" w:cs="Arial"/>
          <w:sz w:val="20"/>
        </w:rPr>
        <w:t xml:space="preserve">y </w:t>
      </w:r>
      <w:r w:rsidR="00C71978" w:rsidRPr="00AC4AEA">
        <w:rPr>
          <w:rFonts w:ascii="Arial" w:hAnsi="Arial" w:cs="Arial"/>
          <w:sz w:val="20"/>
        </w:rPr>
        <w:t xml:space="preserve">en el </w:t>
      </w:r>
      <w:r w:rsidR="00541573" w:rsidRPr="00AC4AEA">
        <w:rPr>
          <w:rFonts w:ascii="Arial" w:hAnsi="Arial" w:cs="Arial"/>
          <w:sz w:val="20"/>
        </w:rPr>
        <w:t>anterior</w:t>
      </w:r>
      <w:r w:rsidR="00B61D0C" w:rsidRPr="00AC4AEA">
        <w:rPr>
          <w:rFonts w:ascii="Arial" w:hAnsi="Arial" w:cs="Arial"/>
          <w:sz w:val="20"/>
        </w:rPr>
        <w:t>;</w:t>
      </w:r>
    </w:p>
    <w:p w:rsidR="00120BE2" w:rsidRPr="00AC4AEA" w:rsidRDefault="00B61D0C" w:rsidP="00A318EA">
      <w:pPr>
        <w:pStyle w:val="A-Normal11"/>
        <w:numPr>
          <w:ilvl w:val="1"/>
          <w:numId w:val="29"/>
        </w:numPr>
        <w:ind w:left="1560"/>
        <w:jc w:val="both"/>
        <w:rPr>
          <w:rFonts w:ascii="Arial" w:hAnsi="Arial" w:cs="Arial"/>
          <w:sz w:val="20"/>
        </w:rPr>
      </w:pPr>
      <w:r w:rsidRPr="00AC4AEA">
        <w:rPr>
          <w:rFonts w:ascii="Arial" w:hAnsi="Arial" w:cs="Arial"/>
          <w:sz w:val="20"/>
        </w:rPr>
        <w:t xml:space="preserve">los </w:t>
      </w:r>
      <w:r w:rsidR="00120BE2" w:rsidRPr="00AC4AEA">
        <w:rPr>
          <w:rFonts w:ascii="Arial" w:hAnsi="Arial" w:cs="Arial"/>
          <w:sz w:val="20"/>
        </w:rPr>
        <w:t xml:space="preserve">hechos o circunstancias que motivaron el reconocimiento de </w:t>
      </w:r>
      <w:r w:rsidR="009615AE" w:rsidRPr="00AC4AEA">
        <w:rPr>
          <w:rFonts w:ascii="Arial" w:hAnsi="Arial" w:cs="Arial"/>
          <w:sz w:val="20"/>
        </w:rPr>
        <w:t>la</w:t>
      </w:r>
      <w:r w:rsidR="00ED36C5" w:rsidRPr="00AC4AEA">
        <w:rPr>
          <w:rFonts w:ascii="Arial" w:hAnsi="Arial" w:cs="Arial"/>
          <w:sz w:val="20"/>
        </w:rPr>
        <w:t>s</w:t>
      </w:r>
      <w:r w:rsidR="00120BE2" w:rsidRPr="00AC4AEA">
        <w:rPr>
          <w:rFonts w:ascii="Arial" w:hAnsi="Arial" w:cs="Arial"/>
          <w:sz w:val="20"/>
        </w:rPr>
        <w:t xml:space="preserve"> </w:t>
      </w:r>
      <w:r w:rsidR="00ED36C5" w:rsidRPr="008826C7">
        <w:rPr>
          <w:rFonts w:ascii="Arial" w:hAnsi="Arial" w:cs="Arial"/>
          <w:b/>
          <w:bCs/>
          <w:sz w:val="20"/>
        </w:rPr>
        <w:t>pérdidas por desvalorización</w:t>
      </w:r>
      <w:r w:rsidR="00ED36C5" w:rsidRPr="00AC4AEA">
        <w:rPr>
          <w:rFonts w:ascii="Arial" w:hAnsi="Arial" w:cs="Arial"/>
          <w:sz w:val="20"/>
        </w:rPr>
        <w:t xml:space="preserve"> (o reversión de pérdidas)</w:t>
      </w:r>
      <w:r w:rsidRPr="00AC4AEA">
        <w:rPr>
          <w:rFonts w:ascii="Arial" w:hAnsi="Arial" w:cs="Arial"/>
          <w:sz w:val="20"/>
        </w:rPr>
        <w:t>;</w:t>
      </w:r>
    </w:p>
    <w:p w:rsidR="00120BE2" w:rsidRPr="00AC4AEA" w:rsidRDefault="00B61D0C" w:rsidP="00A318EA">
      <w:pPr>
        <w:pStyle w:val="A-Normal11"/>
        <w:numPr>
          <w:ilvl w:val="1"/>
          <w:numId w:val="29"/>
        </w:numPr>
        <w:ind w:left="1560"/>
        <w:jc w:val="both"/>
        <w:rPr>
          <w:rFonts w:ascii="Arial" w:hAnsi="Arial" w:cs="Arial"/>
          <w:sz w:val="20"/>
        </w:rPr>
      </w:pPr>
      <w:r w:rsidRPr="00AC4AEA">
        <w:rPr>
          <w:rFonts w:ascii="Arial" w:hAnsi="Arial" w:cs="Arial"/>
          <w:sz w:val="20"/>
        </w:rPr>
        <w:t>l</w:t>
      </w:r>
      <w:r w:rsidR="00120BE2" w:rsidRPr="00AC4AEA">
        <w:rPr>
          <w:rFonts w:ascii="Arial" w:hAnsi="Arial" w:cs="Arial"/>
          <w:sz w:val="20"/>
        </w:rPr>
        <w:t xml:space="preserve">os efectos de las </w:t>
      </w:r>
      <w:r w:rsidR="00ED36C5" w:rsidRPr="008826C7">
        <w:rPr>
          <w:rFonts w:ascii="Arial" w:hAnsi="Arial" w:cs="Arial"/>
          <w:b/>
          <w:bCs/>
          <w:sz w:val="20"/>
        </w:rPr>
        <w:t>pérdidas por desvalorización</w:t>
      </w:r>
      <w:r w:rsidR="00ED36C5" w:rsidRPr="00AC4AEA">
        <w:rPr>
          <w:rFonts w:ascii="Arial" w:hAnsi="Arial" w:cs="Arial"/>
          <w:sz w:val="20"/>
        </w:rPr>
        <w:t xml:space="preserve"> (o reversión de pérdidas)</w:t>
      </w:r>
      <w:r w:rsidRPr="00AC4AEA">
        <w:rPr>
          <w:rFonts w:ascii="Arial" w:hAnsi="Arial" w:cs="Arial"/>
          <w:sz w:val="20"/>
        </w:rPr>
        <w:t>;</w:t>
      </w:r>
    </w:p>
    <w:p w:rsidR="009615AE" w:rsidRPr="00AC4AEA" w:rsidRDefault="00B61D0C" w:rsidP="00A318EA">
      <w:pPr>
        <w:pStyle w:val="A-Normal11"/>
        <w:numPr>
          <w:ilvl w:val="1"/>
          <w:numId w:val="29"/>
        </w:numPr>
        <w:ind w:left="1560"/>
        <w:jc w:val="both"/>
        <w:rPr>
          <w:rFonts w:ascii="Arial" w:hAnsi="Arial" w:cs="Arial"/>
          <w:sz w:val="20"/>
        </w:rPr>
      </w:pPr>
      <w:r w:rsidRPr="00AC4AEA">
        <w:rPr>
          <w:rFonts w:ascii="Arial" w:hAnsi="Arial" w:cs="Arial"/>
          <w:sz w:val="20"/>
        </w:rPr>
        <w:t>l</w:t>
      </w:r>
      <w:r w:rsidR="009615AE" w:rsidRPr="00AC4AEA">
        <w:rPr>
          <w:rFonts w:ascii="Arial" w:hAnsi="Arial" w:cs="Arial"/>
          <w:sz w:val="20"/>
        </w:rPr>
        <w:t xml:space="preserve">as razones que justifican la imposibilidad de comparar </w:t>
      </w:r>
      <w:r w:rsidR="005D1798" w:rsidRPr="00AC4AEA">
        <w:rPr>
          <w:rFonts w:ascii="Arial" w:hAnsi="Arial" w:cs="Arial"/>
          <w:sz w:val="20"/>
        </w:rPr>
        <w:t xml:space="preserve">el </w:t>
      </w:r>
      <w:r w:rsidR="005D1798" w:rsidRPr="00AC4AEA">
        <w:rPr>
          <w:rFonts w:ascii="Arial" w:hAnsi="Arial" w:cs="Arial"/>
          <w:b/>
          <w:bCs/>
          <w:sz w:val="20"/>
        </w:rPr>
        <w:t>valor recuperable</w:t>
      </w:r>
      <w:r w:rsidR="009615AE" w:rsidRPr="00AC4AEA">
        <w:rPr>
          <w:rFonts w:ascii="Arial" w:hAnsi="Arial" w:cs="Arial"/>
          <w:sz w:val="20"/>
        </w:rPr>
        <w:t xml:space="preserve"> al nivel de cada </w:t>
      </w:r>
      <w:r w:rsidR="009615AE" w:rsidRPr="00AC4AEA">
        <w:rPr>
          <w:rFonts w:ascii="Arial" w:hAnsi="Arial" w:cs="Arial"/>
          <w:b/>
          <w:bCs/>
          <w:sz w:val="20"/>
        </w:rPr>
        <w:t>activo</w:t>
      </w:r>
      <w:r w:rsidR="009615AE" w:rsidRPr="00AC4AEA">
        <w:rPr>
          <w:rFonts w:ascii="Arial" w:hAnsi="Arial" w:cs="Arial"/>
          <w:sz w:val="20"/>
        </w:rPr>
        <w:t xml:space="preserve"> </w:t>
      </w:r>
      <w:r w:rsidR="007E020E" w:rsidRPr="00AC4AEA">
        <w:rPr>
          <w:rFonts w:ascii="Arial" w:hAnsi="Arial" w:cs="Arial"/>
          <w:sz w:val="20"/>
        </w:rPr>
        <w:t>individual</w:t>
      </w:r>
      <w:r w:rsidR="009615AE" w:rsidRPr="00AC4AEA">
        <w:rPr>
          <w:rFonts w:ascii="Arial" w:hAnsi="Arial" w:cs="Arial"/>
          <w:sz w:val="20"/>
        </w:rPr>
        <w:t xml:space="preserve">, cuando la comparación se realizó al nivel de cada </w:t>
      </w:r>
      <w:r w:rsidR="009615AE" w:rsidRPr="00AC4AEA">
        <w:rPr>
          <w:rFonts w:ascii="Arial" w:hAnsi="Arial" w:cs="Arial"/>
          <w:b/>
          <w:bCs/>
          <w:sz w:val="20"/>
        </w:rPr>
        <w:t>actividad generadora de</w:t>
      </w:r>
      <w:r w:rsidR="00850B2E" w:rsidRPr="00AC4AEA">
        <w:rPr>
          <w:rFonts w:ascii="Arial" w:hAnsi="Arial" w:cs="Arial"/>
          <w:b/>
          <w:bCs/>
          <w:sz w:val="20"/>
        </w:rPr>
        <w:t xml:space="preserve"> efectivo</w:t>
      </w:r>
      <w:r w:rsidR="009615AE" w:rsidRPr="00AC4AEA">
        <w:rPr>
          <w:rFonts w:ascii="Arial" w:hAnsi="Arial" w:cs="Arial"/>
          <w:b/>
          <w:bCs/>
          <w:sz w:val="20"/>
        </w:rPr>
        <w:t xml:space="preserve"> </w:t>
      </w:r>
      <w:r w:rsidR="005408BC" w:rsidRPr="00AC4AEA">
        <w:rPr>
          <w:rFonts w:ascii="Arial" w:hAnsi="Arial" w:cs="Arial"/>
          <w:sz w:val="20"/>
        </w:rPr>
        <w:t xml:space="preserve">o de una unidad más pequeña [ver el párrafo </w:t>
      </w:r>
      <w:fldSimple w:instr=" REF _Ref99473003 \r \h  \* MERGEFORMAT ">
        <w:r w:rsidR="00D33A5D" w:rsidRPr="00D33A5D">
          <w:rPr>
            <w:rFonts w:ascii="Arial" w:hAnsi="Arial" w:cs="Arial"/>
            <w:sz w:val="20"/>
          </w:rPr>
          <w:t>164</w:t>
        </w:r>
      </w:fldSimple>
      <w:r w:rsidR="005408BC" w:rsidRPr="00AC4AEA">
        <w:rPr>
          <w:rFonts w:ascii="Arial" w:hAnsi="Arial" w:cs="Arial"/>
          <w:sz w:val="20"/>
        </w:rPr>
        <w:t>]</w:t>
      </w:r>
      <w:r w:rsidRPr="00AC4AEA">
        <w:rPr>
          <w:rFonts w:ascii="Arial" w:hAnsi="Arial" w:cs="Arial"/>
          <w:sz w:val="20"/>
        </w:rPr>
        <w:t>; y</w:t>
      </w:r>
    </w:p>
    <w:p w:rsidR="003F0D13" w:rsidRPr="00AC4AEA" w:rsidRDefault="00B61D0C" w:rsidP="00A318EA">
      <w:pPr>
        <w:pStyle w:val="A-Normal11"/>
        <w:numPr>
          <w:ilvl w:val="1"/>
          <w:numId w:val="29"/>
        </w:numPr>
        <w:ind w:left="1560"/>
        <w:jc w:val="both"/>
        <w:rPr>
          <w:rFonts w:ascii="Arial" w:hAnsi="Arial" w:cs="Arial"/>
          <w:sz w:val="20"/>
        </w:rPr>
      </w:pPr>
      <w:r w:rsidRPr="00AC4AEA">
        <w:rPr>
          <w:rFonts w:ascii="Arial" w:hAnsi="Arial" w:cs="Arial"/>
          <w:sz w:val="20"/>
        </w:rPr>
        <w:t>l</w:t>
      </w:r>
      <w:r w:rsidR="003F0D13" w:rsidRPr="00AC4AEA">
        <w:rPr>
          <w:rFonts w:ascii="Arial" w:hAnsi="Arial" w:cs="Arial"/>
          <w:sz w:val="20"/>
        </w:rPr>
        <w:t xml:space="preserve">a composición </w:t>
      </w:r>
      <w:r w:rsidR="002A6B1F" w:rsidRPr="00AC4AEA">
        <w:rPr>
          <w:rFonts w:ascii="Arial" w:hAnsi="Arial" w:cs="Arial"/>
          <w:sz w:val="20"/>
        </w:rPr>
        <w:t xml:space="preserve">de las </w:t>
      </w:r>
      <w:r w:rsidR="00CC35E1" w:rsidRPr="008826C7">
        <w:rPr>
          <w:rFonts w:ascii="Arial" w:hAnsi="Arial" w:cs="Arial"/>
          <w:b/>
          <w:bCs/>
          <w:sz w:val="20"/>
        </w:rPr>
        <w:t>pérdidas por desvalorización</w:t>
      </w:r>
      <w:r w:rsidR="00CC35E1" w:rsidRPr="00AC4AEA">
        <w:rPr>
          <w:rFonts w:ascii="Arial" w:hAnsi="Arial" w:cs="Arial"/>
          <w:sz w:val="20"/>
        </w:rPr>
        <w:t xml:space="preserve"> (o reversión de pérdidas)</w:t>
      </w:r>
      <w:r w:rsidR="002A6B1F" w:rsidRPr="00AC4AEA">
        <w:rPr>
          <w:rFonts w:ascii="Arial" w:hAnsi="Arial" w:cs="Arial"/>
          <w:sz w:val="20"/>
        </w:rPr>
        <w:t xml:space="preserve"> expuestas en el estado de resultados, clasificándolas en función </w:t>
      </w:r>
      <w:r w:rsidR="008C14F1" w:rsidRPr="00AC4AEA">
        <w:rPr>
          <w:rFonts w:ascii="Arial" w:hAnsi="Arial" w:cs="Arial"/>
          <w:sz w:val="20"/>
        </w:rPr>
        <w:t xml:space="preserve">del tipo de </w:t>
      </w:r>
      <w:r w:rsidR="008C14F1" w:rsidRPr="00AC4AEA">
        <w:rPr>
          <w:rFonts w:ascii="Arial" w:hAnsi="Arial" w:cs="Arial"/>
          <w:b/>
          <w:bCs/>
          <w:sz w:val="20"/>
        </w:rPr>
        <w:t>activo</w:t>
      </w:r>
      <w:r w:rsidR="008C14F1" w:rsidRPr="00AC4AEA">
        <w:rPr>
          <w:rFonts w:ascii="Arial" w:hAnsi="Arial" w:cs="Arial"/>
          <w:sz w:val="20"/>
        </w:rPr>
        <w:t xml:space="preserve"> que las origin</w:t>
      </w:r>
      <w:r w:rsidR="00C77DBA" w:rsidRPr="00AC4AEA">
        <w:rPr>
          <w:rFonts w:ascii="Arial" w:hAnsi="Arial" w:cs="Arial"/>
          <w:sz w:val="20"/>
        </w:rPr>
        <w:t>ó</w:t>
      </w:r>
      <w:r w:rsidR="008C14F1" w:rsidRPr="00AC4AEA">
        <w:rPr>
          <w:rFonts w:ascii="Arial" w:hAnsi="Arial" w:cs="Arial"/>
          <w:sz w:val="20"/>
        </w:rPr>
        <w:t>.</w:t>
      </w:r>
    </w:p>
    <w:p w:rsidR="00062FCE" w:rsidRPr="00AC4AEA" w:rsidRDefault="00062FCE" w:rsidP="00A318EA">
      <w:pPr>
        <w:pStyle w:val="A-Normal11"/>
        <w:numPr>
          <w:ilvl w:val="0"/>
          <w:numId w:val="29"/>
        </w:numPr>
        <w:jc w:val="both"/>
        <w:rPr>
          <w:rFonts w:ascii="Arial" w:hAnsi="Arial" w:cs="Arial"/>
          <w:sz w:val="20"/>
        </w:rPr>
      </w:pPr>
      <w:bookmarkStart w:id="231" w:name="_Ref99481072"/>
      <w:r w:rsidRPr="00AC4AEA">
        <w:rPr>
          <w:rFonts w:ascii="Arial" w:hAnsi="Arial" w:cs="Arial"/>
          <w:sz w:val="20"/>
        </w:rPr>
        <w:t>Una entidad pequeña</w:t>
      </w:r>
      <w:r w:rsidR="00535956" w:rsidRPr="00AC4AEA">
        <w:rPr>
          <w:rFonts w:ascii="Arial" w:hAnsi="Arial" w:cs="Arial"/>
          <w:sz w:val="20"/>
        </w:rPr>
        <w:t xml:space="preserve"> o mediana</w:t>
      </w:r>
      <w:r w:rsidRPr="00AC4AEA">
        <w:rPr>
          <w:rFonts w:ascii="Arial" w:hAnsi="Arial" w:cs="Arial"/>
          <w:sz w:val="20"/>
        </w:rPr>
        <w:t xml:space="preserve"> podrá no revelar la información requerida por los incisos a) y b) del párrafo anterior.</w:t>
      </w:r>
      <w:bookmarkEnd w:id="231"/>
    </w:p>
    <w:p w:rsidR="00AE7883" w:rsidRPr="00AC4AEA" w:rsidRDefault="00AE7883" w:rsidP="00A318EA">
      <w:pPr>
        <w:pStyle w:val="Ttulo1"/>
        <w:rPr>
          <w:rFonts w:cs="Arial"/>
          <w:sz w:val="20"/>
          <w:szCs w:val="20"/>
        </w:rPr>
      </w:pPr>
      <w:bookmarkStart w:id="232" w:name="MONEDAhomogenea"/>
      <w:bookmarkStart w:id="233" w:name="_Toc101863771"/>
      <w:bookmarkEnd w:id="232"/>
    </w:p>
    <w:p w:rsidR="00467548" w:rsidRPr="00AC4AEA" w:rsidRDefault="00863A2F" w:rsidP="00A318EA">
      <w:pPr>
        <w:pStyle w:val="Ttulo1"/>
        <w:rPr>
          <w:rFonts w:cs="Arial"/>
          <w:sz w:val="20"/>
          <w:szCs w:val="20"/>
        </w:rPr>
      </w:pPr>
      <w:bookmarkStart w:id="234" w:name="_Toc139356636"/>
      <w:r w:rsidRPr="00AC4AEA">
        <w:rPr>
          <w:rFonts w:cs="Arial"/>
          <w:sz w:val="20"/>
          <w:szCs w:val="20"/>
        </w:rPr>
        <w:t xml:space="preserve">EXPRESIÓN DE LOS </w:t>
      </w:r>
      <w:r w:rsidRPr="00AC4AEA">
        <w:rPr>
          <w:rFonts w:cs="Arial"/>
          <w:bCs/>
          <w:sz w:val="20"/>
          <w:szCs w:val="20"/>
        </w:rPr>
        <w:t>ESTADOS CONTABLES</w:t>
      </w:r>
      <w:r w:rsidRPr="00AC4AEA">
        <w:rPr>
          <w:rFonts w:cs="Arial"/>
          <w:sz w:val="20"/>
          <w:szCs w:val="20"/>
        </w:rPr>
        <w:t xml:space="preserve"> EN MONEDA </w:t>
      </w:r>
      <w:r w:rsidR="002139F0" w:rsidRPr="00AC4AEA">
        <w:rPr>
          <w:rFonts w:cs="Arial"/>
          <w:sz w:val="20"/>
          <w:szCs w:val="20"/>
        </w:rPr>
        <w:t>DE CIERRE</w:t>
      </w:r>
      <w:r w:rsidRPr="00AC4AEA">
        <w:rPr>
          <w:rFonts w:cs="Arial"/>
          <w:sz w:val="20"/>
          <w:szCs w:val="20"/>
        </w:rPr>
        <w:t xml:space="preserve"> EN UN CONTEXTO DE INFLACIÓN (AJUSTE POR INFLACIÓN DE LOS </w:t>
      </w:r>
      <w:r w:rsidRPr="00AC4AEA">
        <w:rPr>
          <w:rFonts w:cs="Arial"/>
          <w:bCs/>
          <w:sz w:val="20"/>
          <w:szCs w:val="20"/>
        </w:rPr>
        <w:t>ESTADOS CONTABLES</w:t>
      </w:r>
      <w:r w:rsidRPr="00AC4AEA">
        <w:rPr>
          <w:rFonts w:cs="Arial"/>
          <w:sz w:val="20"/>
          <w:szCs w:val="20"/>
        </w:rPr>
        <w:t>)</w:t>
      </w:r>
      <w:bookmarkEnd w:id="233"/>
      <w:bookmarkEnd w:id="234"/>
    </w:p>
    <w:p w:rsidR="00AD0B60" w:rsidRPr="00AC4AEA" w:rsidRDefault="00AD0B60" w:rsidP="00A318EA">
      <w:pPr>
        <w:pStyle w:val="Ttulo2"/>
        <w:rPr>
          <w:rFonts w:cs="Arial"/>
        </w:rPr>
      </w:pPr>
      <w:bookmarkStart w:id="235" w:name="_Toc101863772"/>
      <w:bookmarkStart w:id="236" w:name="_Toc139356637"/>
      <w:r w:rsidRPr="00AC4AEA">
        <w:rPr>
          <w:rFonts w:cs="Arial"/>
        </w:rPr>
        <w:t>Objetivo</w:t>
      </w:r>
      <w:bookmarkEnd w:id="235"/>
      <w:bookmarkEnd w:id="236"/>
    </w:p>
    <w:p w:rsidR="00AD0B60" w:rsidRPr="00AC4AEA" w:rsidRDefault="00AD0B60" w:rsidP="00A318EA">
      <w:pPr>
        <w:pStyle w:val="A-Normal11"/>
        <w:numPr>
          <w:ilvl w:val="0"/>
          <w:numId w:val="29"/>
        </w:numPr>
        <w:jc w:val="both"/>
        <w:rPr>
          <w:rFonts w:ascii="Arial" w:hAnsi="Arial" w:cs="Arial"/>
          <w:sz w:val="20"/>
        </w:rPr>
      </w:pPr>
      <w:bookmarkStart w:id="237" w:name="_Ref99459117"/>
      <w:r w:rsidRPr="00AC4AEA">
        <w:rPr>
          <w:rFonts w:ascii="Arial" w:hAnsi="Arial" w:cs="Arial"/>
          <w:sz w:val="20"/>
        </w:rPr>
        <w:t>En un contexto de inflación</w:t>
      </w:r>
      <w:r w:rsidR="009C712B" w:rsidRPr="00AC4AEA">
        <w:rPr>
          <w:rFonts w:ascii="Arial" w:hAnsi="Arial" w:cs="Arial"/>
          <w:sz w:val="20"/>
        </w:rPr>
        <w:t xml:space="preserve"> (para fines contables)</w:t>
      </w:r>
      <w:r w:rsidRPr="00AC4AEA">
        <w:rPr>
          <w:rFonts w:ascii="Arial" w:hAnsi="Arial" w:cs="Arial"/>
          <w:sz w:val="20"/>
        </w:rPr>
        <w:t xml:space="preserve">, la entidad emitirá sus </w:t>
      </w:r>
      <w:r w:rsidR="00135084" w:rsidRPr="00AC4AEA">
        <w:rPr>
          <w:rFonts w:ascii="Arial" w:hAnsi="Arial" w:cs="Arial"/>
          <w:b/>
          <w:bCs/>
          <w:sz w:val="20"/>
        </w:rPr>
        <w:t>estados contables</w:t>
      </w:r>
      <w:r w:rsidRPr="00AC4AEA">
        <w:rPr>
          <w:rFonts w:ascii="Arial" w:hAnsi="Arial" w:cs="Arial"/>
          <w:sz w:val="20"/>
        </w:rPr>
        <w:t xml:space="preserve"> </w:t>
      </w:r>
      <w:r w:rsidR="002139F0" w:rsidRPr="00AC4AEA">
        <w:rPr>
          <w:rFonts w:ascii="Arial" w:hAnsi="Arial" w:cs="Arial"/>
          <w:sz w:val="20"/>
        </w:rPr>
        <w:t>en</w:t>
      </w:r>
      <w:r w:rsidRPr="00AC4AEA">
        <w:rPr>
          <w:rFonts w:ascii="Arial" w:hAnsi="Arial" w:cs="Arial"/>
          <w:sz w:val="20"/>
        </w:rPr>
        <w:t xml:space="preserve"> moneda de poder adquisitivo correspondiente a la </w:t>
      </w:r>
      <w:r w:rsidRPr="00AC4AEA">
        <w:rPr>
          <w:rFonts w:ascii="Arial" w:hAnsi="Arial" w:cs="Arial"/>
          <w:b/>
          <w:bCs/>
          <w:sz w:val="20"/>
        </w:rPr>
        <w:t xml:space="preserve">fecha de los </w:t>
      </w:r>
      <w:r w:rsidR="00135084" w:rsidRPr="00AC4AEA">
        <w:rPr>
          <w:rFonts w:ascii="Arial" w:hAnsi="Arial" w:cs="Arial"/>
          <w:b/>
          <w:bCs/>
          <w:sz w:val="20"/>
        </w:rPr>
        <w:t>estados contables</w:t>
      </w:r>
      <w:r w:rsidRPr="00AC4AEA">
        <w:rPr>
          <w:rFonts w:ascii="Arial" w:hAnsi="Arial" w:cs="Arial"/>
          <w:sz w:val="20"/>
        </w:rPr>
        <w:t xml:space="preserve"> (moneda de cierre).</w:t>
      </w:r>
      <w:bookmarkEnd w:id="237"/>
      <w:r w:rsidRPr="00AC4AEA">
        <w:rPr>
          <w:rFonts w:ascii="Arial" w:hAnsi="Arial" w:cs="Arial"/>
          <w:sz w:val="20"/>
        </w:rPr>
        <w:t xml:space="preserve"> </w:t>
      </w:r>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t xml:space="preserve">La expresión de los </w:t>
      </w:r>
      <w:r w:rsidR="00135084" w:rsidRPr="00AC4AEA">
        <w:rPr>
          <w:rFonts w:ascii="Arial" w:hAnsi="Arial" w:cs="Arial"/>
          <w:b/>
          <w:bCs/>
          <w:sz w:val="20"/>
        </w:rPr>
        <w:t>estados contables</w:t>
      </w:r>
      <w:r w:rsidRPr="00AC4AEA">
        <w:rPr>
          <w:rFonts w:ascii="Arial" w:hAnsi="Arial" w:cs="Arial"/>
          <w:sz w:val="20"/>
        </w:rPr>
        <w:t xml:space="preserve"> </w:t>
      </w:r>
      <w:r w:rsidR="00B53CDA" w:rsidRPr="00AC4AEA">
        <w:rPr>
          <w:rFonts w:ascii="Arial" w:hAnsi="Arial" w:cs="Arial"/>
          <w:sz w:val="20"/>
        </w:rPr>
        <w:t>en</w:t>
      </w:r>
      <w:r w:rsidRPr="00AC4AEA">
        <w:rPr>
          <w:rFonts w:ascii="Arial" w:hAnsi="Arial" w:cs="Arial"/>
          <w:sz w:val="20"/>
        </w:rPr>
        <w:t xml:space="preserve"> moneda </w:t>
      </w:r>
      <w:r w:rsidR="00B53CDA" w:rsidRPr="00AC4AEA">
        <w:rPr>
          <w:rFonts w:ascii="Arial" w:hAnsi="Arial" w:cs="Arial"/>
          <w:sz w:val="20"/>
        </w:rPr>
        <w:t>de cierre</w:t>
      </w:r>
      <w:r w:rsidRPr="00AC4AEA">
        <w:rPr>
          <w:rFonts w:ascii="Arial" w:hAnsi="Arial" w:cs="Arial"/>
          <w:sz w:val="20"/>
        </w:rPr>
        <w:t xml:space="preserve"> tiene por objetivo </w:t>
      </w:r>
      <w:r w:rsidR="002979E6" w:rsidRPr="00AC4AEA">
        <w:rPr>
          <w:rFonts w:ascii="Arial" w:hAnsi="Arial" w:cs="Arial"/>
          <w:sz w:val="20"/>
        </w:rPr>
        <w:t>presentar todas</w:t>
      </w:r>
      <w:r w:rsidRPr="00AC4AEA">
        <w:rPr>
          <w:rFonts w:ascii="Arial" w:hAnsi="Arial" w:cs="Arial"/>
          <w:sz w:val="20"/>
        </w:rPr>
        <w:t xml:space="preserve"> </w:t>
      </w:r>
      <w:r w:rsidR="006C18D4" w:rsidRPr="00AC4AEA">
        <w:rPr>
          <w:rFonts w:ascii="Arial" w:hAnsi="Arial" w:cs="Arial"/>
          <w:sz w:val="20"/>
        </w:rPr>
        <w:t xml:space="preserve">sus </w:t>
      </w:r>
      <w:r w:rsidRPr="00AC4AEA">
        <w:rPr>
          <w:rFonts w:ascii="Arial" w:hAnsi="Arial" w:cs="Arial"/>
          <w:sz w:val="20"/>
        </w:rPr>
        <w:t xml:space="preserve">cifras, tanto las del período actual como las del período comparativo, en moneda </w:t>
      </w:r>
      <w:r w:rsidR="00CF2749" w:rsidRPr="00AC4AEA">
        <w:rPr>
          <w:rFonts w:ascii="Arial" w:hAnsi="Arial" w:cs="Arial"/>
          <w:sz w:val="20"/>
        </w:rPr>
        <w:t xml:space="preserve">correspondiente </w:t>
      </w:r>
      <w:r w:rsidRPr="00AC4AEA">
        <w:rPr>
          <w:rFonts w:ascii="Arial" w:hAnsi="Arial" w:cs="Arial"/>
          <w:sz w:val="20"/>
        </w:rPr>
        <w:t xml:space="preserve">a la </w:t>
      </w:r>
      <w:r w:rsidRPr="00AC4AEA">
        <w:rPr>
          <w:rFonts w:ascii="Arial" w:hAnsi="Arial" w:cs="Arial"/>
          <w:b/>
          <w:bCs/>
          <w:sz w:val="20"/>
        </w:rPr>
        <w:t xml:space="preserve">fecha de los </w:t>
      </w:r>
      <w:r w:rsidR="00135084" w:rsidRPr="00AC4AEA">
        <w:rPr>
          <w:rFonts w:ascii="Arial" w:hAnsi="Arial" w:cs="Arial"/>
          <w:b/>
          <w:bCs/>
          <w:sz w:val="20"/>
        </w:rPr>
        <w:t>estados contables</w:t>
      </w:r>
      <w:r w:rsidRPr="00AC4AEA">
        <w:rPr>
          <w:rFonts w:ascii="Arial" w:hAnsi="Arial" w:cs="Arial"/>
          <w:sz w:val="20"/>
        </w:rPr>
        <w:t>.</w:t>
      </w:r>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lastRenderedPageBreak/>
        <w:t xml:space="preserve">Para identificar cuándo corresponde practicar tal ajuste, una entidad considerará lo indicado en los párrafos </w:t>
      </w:r>
      <w:fldSimple w:instr=" REF _Ref73957015 \r \h  \* MERGEFORMAT ">
        <w:r w:rsidR="00D33A5D" w:rsidRPr="00D33A5D">
          <w:rPr>
            <w:rFonts w:ascii="Arial" w:hAnsi="Arial" w:cs="Arial"/>
            <w:sz w:val="20"/>
          </w:rPr>
          <w:t>97</w:t>
        </w:r>
      </w:fldSimple>
      <w:r w:rsidRPr="00AC4AEA">
        <w:rPr>
          <w:rFonts w:ascii="Arial" w:hAnsi="Arial" w:cs="Arial"/>
          <w:sz w:val="20"/>
        </w:rPr>
        <w:t xml:space="preserve"> a </w:t>
      </w:r>
      <w:fldSimple w:instr=" REF _Ref80968644 \r \h  \* MERGEFORMAT ">
        <w:r w:rsidR="00D33A5D" w:rsidRPr="00D33A5D">
          <w:rPr>
            <w:rFonts w:ascii="Arial" w:hAnsi="Arial" w:cs="Arial"/>
            <w:sz w:val="20"/>
          </w:rPr>
          <w:t>100</w:t>
        </w:r>
      </w:fldSimple>
      <w:r w:rsidRPr="00AC4AEA">
        <w:rPr>
          <w:rFonts w:ascii="Arial" w:hAnsi="Arial" w:cs="Arial"/>
          <w:sz w:val="20"/>
        </w:rPr>
        <w:t>.</w:t>
      </w:r>
    </w:p>
    <w:p w:rsidR="00AD0B60" w:rsidRPr="00AC4AEA" w:rsidRDefault="00AD0B60" w:rsidP="00A318EA">
      <w:pPr>
        <w:pStyle w:val="Ttulo2"/>
        <w:rPr>
          <w:rFonts w:cs="Arial"/>
        </w:rPr>
      </w:pPr>
      <w:bookmarkStart w:id="238" w:name="_Toc101863773"/>
      <w:bookmarkStart w:id="239" w:name="_Toc139356638"/>
      <w:r w:rsidRPr="00AC4AEA">
        <w:rPr>
          <w:rFonts w:cs="Arial"/>
        </w:rPr>
        <w:t>Índices a utilizar, coeficientes de ajuste y período de origen de las partidas</w:t>
      </w:r>
      <w:bookmarkEnd w:id="238"/>
      <w:bookmarkEnd w:id="239"/>
    </w:p>
    <w:p w:rsidR="00AD0B60" w:rsidRPr="00AC4AEA" w:rsidRDefault="00AD0B60" w:rsidP="00A318EA">
      <w:pPr>
        <w:pStyle w:val="A-Normal11"/>
        <w:numPr>
          <w:ilvl w:val="0"/>
          <w:numId w:val="29"/>
        </w:numPr>
        <w:jc w:val="both"/>
        <w:rPr>
          <w:rFonts w:ascii="Arial" w:hAnsi="Arial" w:cs="Arial"/>
          <w:sz w:val="20"/>
        </w:rPr>
      </w:pPr>
      <w:bookmarkStart w:id="240" w:name="_Ref80969127"/>
      <w:bookmarkStart w:id="241" w:name="_Ref80994454"/>
      <w:r w:rsidRPr="00AC4AEA">
        <w:rPr>
          <w:rFonts w:ascii="Arial" w:hAnsi="Arial" w:cs="Arial"/>
          <w:sz w:val="20"/>
        </w:rPr>
        <w:t xml:space="preserve">A los efectos de expresar los </w:t>
      </w:r>
      <w:r w:rsidR="00135084" w:rsidRPr="00AC4AEA">
        <w:rPr>
          <w:rFonts w:ascii="Arial" w:hAnsi="Arial" w:cs="Arial"/>
          <w:b/>
          <w:bCs/>
          <w:sz w:val="20"/>
        </w:rPr>
        <w:t>estados contables</w:t>
      </w:r>
      <w:r w:rsidRPr="00AC4AEA">
        <w:rPr>
          <w:rFonts w:ascii="Arial" w:hAnsi="Arial" w:cs="Arial"/>
          <w:sz w:val="20"/>
        </w:rPr>
        <w:t xml:space="preserve"> en moneda de cierre, una entidad utilizará </w:t>
      </w:r>
      <w:bookmarkEnd w:id="240"/>
      <w:bookmarkEnd w:id="241"/>
      <w:r w:rsidR="002979E6" w:rsidRPr="00AC4AEA">
        <w:rPr>
          <w:rFonts w:ascii="Arial" w:hAnsi="Arial" w:cs="Arial"/>
          <w:sz w:val="20"/>
        </w:rPr>
        <w:t xml:space="preserve">el </w:t>
      </w:r>
      <w:r w:rsidR="002979E6" w:rsidRPr="00AC4AEA">
        <w:rPr>
          <w:rFonts w:ascii="Arial" w:hAnsi="Arial" w:cs="Arial"/>
          <w:b/>
          <w:bCs/>
          <w:sz w:val="20"/>
        </w:rPr>
        <w:t>índice de precios FACPCE</w:t>
      </w:r>
      <w:r w:rsidR="002979E6" w:rsidRPr="00AC4AEA">
        <w:rPr>
          <w:rFonts w:ascii="Arial" w:hAnsi="Arial" w:cs="Arial"/>
          <w:sz w:val="20"/>
        </w:rPr>
        <w:t>.</w:t>
      </w:r>
      <w:r w:rsidR="00CE5264">
        <w:rPr>
          <w:rFonts w:ascii="Arial" w:hAnsi="Arial" w:cs="Arial"/>
          <w:sz w:val="20"/>
        </w:rPr>
        <w:t xml:space="preserve"> </w:t>
      </w:r>
      <w:r w:rsidR="00CE5264" w:rsidRPr="00CE5264">
        <w:rPr>
          <w:rFonts w:ascii="Arial" w:hAnsi="Arial" w:cs="Arial"/>
          <w:sz w:val="18"/>
          <w:szCs w:val="18"/>
        </w:rPr>
        <w:t xml:space="preserve">[Por Artículo 4° de Res. CD </w:t>
      </w:r>
      <w:r w:rsidR="0071408C">
        <w:rPr>
          <w:rFonts w:ascii="Arial" w:hAnsi="Arial" w:cs="Arial"/>
          <w:sz w:val="18"/>
          <w:szCs w:val="18"/>
        </w:rPr>
        <w:t xml:space="preserve">CPCEPBA </w:t>
      </w:r>
      <w:r w:rsidR="00CE5264" w:rsidRPr="00CE5264">
        <w:rPr>
          <w:rFonts w:ascii="Arial" w:hAnsi="Arial" w:cs="Arial"/>
          <w:sz w:val="18"/>
          <w:szCs w:val="18"/>
        </w:rPr>
        <w:t>N° 3944 se admite</w:t>
      </w:r>
      <w:r w:rsidR="00CE5264">
        <w:rPr>
          <w:rFonts w:ascii="Arial" w:hAnsi="Arial" w:cs="Arial"/>
          <w:sz w:val="18"/>
          <w:szCs w:val="18"/>
        </w:rPr>
        <w:t xml:space="preserve"> también la aplicación del índice determinado de acuerdo a la metodología indicada en el </w:t>
      </w:r>
      <w:r w:rsidR="0071408C">
        <w:rPr>
          <w:rFonts w:ascii="Arial" w:hAnsi="Arial" w:cs="Arial"/>
          <w:sz w:val="18"/>
          <w:szCs w:val="18"/>
        </w:rPr>
        <w:t xml:space="preserve"> </w:t>
      </w:r>
      <w:r w:rsidR="00CE5264">
        <w:rPr>
          <w:rFonts w:ascii="Arial" w:hAnsi="Arial" w:cs="Arial"/>
          <w:sz w:val="18"/>
          <w:szCs w:val="18"/>
        </w:rPr>
        <w:t>Art. 7° de la Res. MD</w:t>
      </w:r>
      <w:r w:rsidR="0071408C">
        <w:rPr>
          <w:rFonts w:ascii="Arial" w:hAnsi="Arial" w:cs="Arial"/>
          <w:sz w:val="18"/>
          <w:szCs w:val="18"/>
        </w:rPr>
        <w:t xml:space="preserve"> CPCEPBA N°</w:t>
      </w:r>
      <w:r w:rsidR="00CE5264">
        <w:rPr>
          <w:rFonts w:ascii="Arial" w:hAnsi="Arial" w:cs="Arial"/>
          <w:sz w:val="18"/>
          <w:szCs w:val="18"/>
        </w:rPr>
        <w:t xml:space="preserve"> 2883]</w:t>
      </w:r>
    </w:p>
    <w:p w:rsidR="005119B8" w:rsidRPr="00AC4AEA" w:rsidRDefault="002979E6" w:rsidP="00A318EA">
      <w:pPr>
        <w:pStyle w:val="A-Normal11"/>
        <w:numPr>
          <w:ilvl w:val="0"/>
          <w:numId w:val="29"/>
        </w:numPr>
        <w:jc w:val="both"/>
        <w:rPr>
          <w:rFonts w:ascii="Arial" w:hAnsi="Arial" w:cs="Arial"/>
          <w:sz w:val="20"/>
        </w:rPr>
      </w:pPr>
      <w:bookmarkStart w:id="242" w:name="_Ref80969112"/>
      <w:r w:rsidRPr="00AC4AEA">
        <w:rPr>
          <w:rFonts w:ascii="Arial" w:hAnsi="Arial" w:cs="Arial"/>
          <w:sz w:val="20"/>
        </w:rPr>
        <w:t>Para</w:t>
      </w:r>
      <w:r w:rsidR="005119B8" w:rsidRPr="00AC4AEA">
        <w:rPr>
          <w:rFonts w:ascii="Arial" w:hAnsi="Arial" w:cs="Arial"/>
          <w:sz w:val="20"/>
        </w:rPr>
        <w:t xml:space="preserve"> expresar partidas en moneda de cierre, una entidad:</w:t>
      </w:r>
      <w:bookmarkEnd w:id="242"/>
    </w:p>
    <w:p w:rsidR="005119B8" w:rsidRPr="00AC4AEA" w:rsidRDefault="005119B8" w:rsidP="00A318EA">
      <w:pPr>
        <w:pStyle w:val="A-Normal11"/>
        <w:numPr>
          <w:ilvl w:val="1"/>
          <w:numId w:val="29"/>
        </w:numPr>
        <w:ind w:left="1560"/>
        <w:jc w:val="both"/>
        <w:rPr>
          <w:rFonts w:ascii="Arial" w:hAnsi="Arial" w:cs="Arial"/>
          <w:sz w:val="20"/>
        </w:rPr>
      </w:pPr>
      <w:r w:rsidRPr="00AC4AEA">
        <w:rPr>
          <w:rFonts w:ascii="Arial" w:hAnsi="Arial" w:cs="Arial"/>
          <w:sz w:val="20"/>
        </w:rPr>
        <w:t xml:space="preserve">determinará la fecha de origen de cada saldo, descomponiéndolo en función de los períodos </w:t>
      </w:r>
      <w:r w:rsidR="00432574" w:rsidRPr="00AC4AEA">
        <w:rPr>
          <w:rFonts w:ascii="Arial" w:hAnsi="Arial" w:cs="Arial"/>
          <w:sz w:val="20"/>
        </w:rPr>
        <w:t>correspondientes al poder adquisitivo en que dicho saldo encuentra expresado</w:t>
      </w:r>
      <w:r w:rsidRPr="00AC4AEA">
        <w:rPr>
          <w:rFonts w:ascii="Arial" w:hAnsi="Arial" w:cs="Arial"/>
          <w:sz w:val="20"/>
        </w:rPr>
        <w:t>; y</w:t>
      </w:r>
    </w:p>
    <w:p w:rsidR="005119B8" w:rsidRPr="00AC4AEA" w:rsidRDefault="005119B8" w:rsidP="00A318EA">
      <w:pPr>
        <w:pStyle w:val="A-Normal11"/>
        <w:numPr>
          <w:ilvl w:val="1"/>
          <w:numId w:val="29"/>
        </w:numPr>
        <w:ind w:left="1560"/>
        <w:jc w:val="both"/>
        <w:rPr>
          <w:rFonts w:ascii="Arial" w:hAnsi="Arial" w:cs="Arial"/>
          <w:sz w:val="20"/>
        </w:rPr>
      </w:pPr>
      <w:r w:rsidRPr="00AC4AEA">
        <w:rPr>
          <w:rFonts w:ascii="Arial" w:hAnsi="Arial" w:cs="Arial"/>
          <w:sz w:val="20"/>
        </w:rPr>
        <w:t>agrupará las partidas:</w:t>
      </w:r>
    </w:p>
    <w:p w:rsidR="005119B8" w:rsidRPr="00AC4AEA" w:rsidRDefault="005119B8" w:rsidP="00A318EA">
      <w:pPr>
        <w:pStyle w:val="A-Normal11"/>
        <w:numPr>
          <w:ilvl w:val="2"/>
          <w:numId w:val="29"/>
        </w:numPr>
        <w:ind w:left="1985"/>
        <w:jc w:val="both"/>
        <w:rPr>
          <w:rFonts w:ascii="Arial" w:hAnsi="Arial" w:cs="Arial"/>
          <w:sz w:val="20"/>
        </w:rPr>
      </w:pPr>
      <w:r w:rsidRPr="00AC4AEA">
        <w:rPr>
          <w:rFonts w:ascii="Arial" w:hAnsi="Arial" w:cs="Arial"/>
          <w:sz w:val="20"/>
        </w:rPr>
        <w:t xml:space="preserve">por mes de origen; o </w:t>
      </w:r>
    </w:p>
    <w:p w:rsidR="005119B8" w:rsidRPr="00AC4AEA" w:rsidRDefault="005119B8" w:rsidP="00A318EA">
      <w:pPr>
        <w:pStyle w:val="A-Normal11"/>
        <w:numPr>
          <w:ilvl w:val="2"/>
          <w:numId w:val="29"/>
        </w:numPr>
        <w:ind w:left="1985"/>
        <w:jc w:val="both"/>
        <w:rPr>
          <w:rFonts w:ascii="Arial" w:hAnsi="Arial" w:cs="Arial"/>
          <w:sz w:val="20"/>
        </w:rPr>
      </w:pPr>
      <w:r w:rsidRPr="00AC4AEA">
        <w:rPr>
          <w:rFonts w:ascii="Arial" w:hAnsi="Arial" w:cs="Arial"/>
          <w:sz w:val="20"/>
        </w:rPr>
        <w:t xml:space="preserve"> excepcionalmente y en tanto no se generen distorsiones significativas, por períodos con una extensión superior a la mensual. </w:t>
      </w:r>
    </w:p>
    <w:p w:rsidR="00AD0B60" w:rsidRPr="00AC4AEA" w:rsidRDefault="00AD0B60" w:rsidP="00A318EA">
      <w:pPr>
        <w:pStyle w:val="A-Normal11"/>
        <w:numPr>
          <w:ilvl w:val="0"/>
          <w:numId w:val="29"/>
        </w:numPr>
        <w:jc w:val="both"/>
        <w:rPr>
          <w:rFonts w:ascii="Arial" w:hAnsi="Arial" w:cs="Arial"/>
          <w:sz w:val="20"/>
        </w:rPr>
      </w:pPr>
      <w:bookmarkStart w:id="243" w:name="_Ref80969178"/>
      <w:r w:rsidRPr="00AC4AEA">
        <w:rPr>
          <w:rFonts w:ascii="Arial" w:hAnsi="Arial" w:cs="Arial"/>
          <w:sz w:val="20"/>
        </w:rPr>
        <w:t xml:space="preserve">Para </w:t>
      </w:r>
      <w:r w:rsidR="00587591" w:rsidRPr="00AC4AEA">
        <w:rPr>
          <w:rFonts w:ascii="Arial" w:hAnsi="Arial" w:cs="Arial"/>
          <w:sz w:val="20"/>
        </w:rPr>
        <w:t xml:space="preserve">expresar </w:t>
      </w:r>
      <w:r w:rsidRPr="00AC4AEA">
        <w:rPr>
          <w:rFonts w:ascii="Arial" w:hAnsi="Arial" w:cs="Arial"/>
          <w:sz w:val="20"/>
        </w:rPr>
        <w:t xml:space="preserve">una suma </w:t>
      </w:r>
      <w:r w:rsidR="00A102B4" w:rsidRPr="00AC4AEA">
        <w:rPr>
          <w:rFonts w:ascii="Arial" w:hAnsi="Arial" w:cs="Arial"/>
          <w:sz w:val="20"/>
        </w:rPr>
        <w:t xml:space="preserve">contabilizada </w:t>
      </w:r>
      <w:r w:rsidRPr="00AC4AEA">
        <w:rPr>
          <w:rFonts w:ascii="Arial" w:hAnsi="Arial" w:cs="Arial"/>
          <w:sz w:val="20"/>
        </w:rPr>
        <w:t xml:space="preserve">en moneda de fecha anterior al cierre en un importe en moneda de cierre, una entidad aplicará </w:t>
      </w:r>
      <w:r w:rsidR="00A102B4" w:rsidRPr="00AC4AEA">
        <w:rPr>
          <w:rFonts w:ascii="Arial" w:hAnsi="Arial" w:cs="Arial"/>
          <w:sz w:val="20"/>
        </w:rPr>
        <w:t>el coeficiente</w:t>
      </w:r>
      <w:r w:rsidRPr="00AC4AEA">
        <w:rPr>
          <w:rFonts w:ascii="Arial" w:hAnsi="Arial" w:cs="Arial"/>
          <w:sz w:val="20"/>
        </w:rPr>
        <w:t xml:space="preserve"> que resulta de dividir el valor del </w:t>
      </w:r>
      <w:r w:rsidRPr="00AC4AEA">
        <w:rPr>
          <w:rFonts w:ascii="Arial" w:hAnsi="Arial" w:cs="Arial"/>
          <w:b/>
          <w:bCs/>
          <w:sz w:val="20"/>
        </w:rPr>
        <w:t>índice</w:t>
      </w:r>
      <w:r w:rsidR="00E83FA0" w:rsidRPr="00AC4AEA">
        <w:rPr>
          <w:rFonts w:ascii="Arial" w:hAnsi="Arial" w:cs="Arial"/>
          <w:b/>
          <w:bCs/>
          <w:sz w:val="20"/>
        </w:rPr>
        <w:t xml:space="preserve"> de precios FACPCE</w:t>
      </w:r>
      <w:r w:rsidRPr="00AC4AEA">
        <w:rPr>
          <w:rFonts w:ascii="Arial" w:hAnsi="Arial" w:cs="Arial"/>
          <w:sz w:val="20"/>
        </w:rPr>
        <w:t xml:space="preserve"> correspondiente a la </w:t>
      </w:r>
      <w:r w:rsidRPr="00AC4AEA">
        <w:rPr>
          <w:rFonts w:ascii="Arial" w:hAnsi="Arial" w:cs="Arial"/>
          <w:b/>
          <w:bCs/>
          <w:sz w:val="20"/>
        </w:rPr>
        <w:t xml:space="preserve">fecha de los </w:t>
      </w:r>
      <w:r w:rsidR="00135084" w:rsidRPr="00AC4AEA">
        <w:rPr>
          <w:rFonts w:ascii="Arial" w:hAnsi="Arial" w:cs="Arial"/>
          <w:b/>
          <w:bCs/>
          <w:sz w:val="20"/>
        </w:rPr>
        <w:t>estados contables</w:t>
      </w:r>
      <w:r w:rsidRPr="00AC4AEA">
        <w:rPr>
          <w:rFonts w:ascii="Arial" w:hAnsi="Arial" w:cs="Arial"/>
          <w:sz w:val="20"/>
        </w:rPr>
        <w:t xml:space="preserve"> por el valor del </w:t>
      </w:r>
      <w:r w:rsidRPr="00AC4AEA">
        <w:rPr>
          <w:rFonts w:ascii="Arial" w:hAnsi="Arial" w:cs="Arial"/>
          <w:b/>
          <w:bCs/>
          <w:sz w:val="20"/>
        </w:rPr>
        <w:t>índice</w:t>
      </w:r>
      <w:r w:rsidRPr="00AC4AEA">
        <w:rPr>
          <w:rFonts w:ascii="Arial" w:hAnsi="Arial" w:cs="Arial"/>
          <w:sz w:val="20"/>
        </w:rPr>
        <w:t xml:space="preserve"> </w:t>
      </w:r>
      <w:r w:rsidR="00E83FA0" w:rsidRPr="00AC4AEA">
        <w:rPr>
          <w:rFonts w:ascii="Arial" w:hAnsi="Arial" w:cs="Arial"/>
          <w:b/>
          <w:bCs/>
          <w:sz w:val="20"/>
        </w:rPr>
        <w:t>de precios FACPCE</w:t>
      </w:r>
      <w:r w:rsidR="00E83FA0" w:rsidRPr="00AC4AEA">
        <w:rPr>
          <w:rFonts w:ascii="Arial" w:hAnsi="Arial" w:cs="Arial"/>
          <w:sz w:val="20"/>
        </w:rPr>
        <w:t xml:space="preserve"> </w:t>
      </w:r>
      <w:r w:rsidRPr="00AC4AEA">
        <w:rPr>
          <w:rFonts w:ascii="Arial" w:hAnsi="Arial" w:cs="Arial"/>
          <w:sz w:val="20"/>
        </w:rPr>
        <w:t>referido a la fecha o período de origen de la partida.</w:t>
      </w:r>
      <w:bookmarkEnd w:id="243"/>
      <w:r w:rsidRPr="00AC4AEA">
        <w:rPr>
          <w:rFonts w:ascii="Arial" w:hAnsi="Arial" w:cs="Arial"/>
          <w:sz w:val="20"/>
        </w:rPr>
        <w:t xml:space="preserve"> </w:t>
      </w:r>
    </w:p>
    <w:p w:rsidR="00AD0B60" w:rsidRPr="00AC4AEA" w:rsidRDefault="00AD0B60" w:rsidP="00A318EA">
      <w:pPr>
        <w:pStyle w:val="A-Normal11"/>
        <w:numPr>
          <w:ilvl w:val="0"/>
          <w:numId w:val="29"/>
        </w:numPr>
        <w:jc w:val="both"/>
        <w:rPr>
          <w:rFonts w:ascii="Arial" w:hAnsi="Arial" w:cs="Arial"/>
          <w:sz w:val="20"/>
        </w:rPr>
      </w:pPr>
      <w:bookmarkStart w:id="244" w:name="_Ref80969135"/>
      <w:r w:rsidRPr="00AC4AEA">
        <w:rPr>
          <w:rFonts w:ascii="Arial" w:hAnsi="Arial" w:cs="Arial"/>
          <w:sz w:val="20"/>
        </w:rPr>
        <w:t xml:space="preserve">En el caso </w:t>
      </w:r>
      <w:r w:rsidR="00CF2749" w:rsidRPr="00AC4AEA">
        <w:rPr>
          <w:rFonts w:ascii="Arial" w:hAnsi="Arial" w:cs="Arial"/>
          <w:sz w:val="20"/>
        </w:rPr>
        <w:t>de que las</w:t>
      </w:r>
      <w:r w:rsidRPr="00AC4AEA">
        <w:rPr>
          <w:rFonts w:ascii="Arial" w:hAnsi="Arial" w:cs="Arial"/>
          <w:sz w:val="20"/>
        </w:rPr>
        <w:t xml:space="preserve"> partidas se agrupen en períodos de origen cuya extensión sea superior a un mes, una entidad aplicará el coeficiente de ajuste computando como denominador el promedio de los </w:t>
      </w:r>
      <w:r w:rsidRPr="00AC4AEA">
        <w:rPr>
          <w:rFonts w:ascii="Arial" w:hAnsi="Arial" w:cs="Arial"/>
          <w:b/>
          <w:bCs/>
          <w:sz w:val="20"/>
        </w:rPr>
        <w:t xml:space="preserve">índices </w:t>
      </w:r>
      <w:r w:rsidR="00E83FA0" w:rsidRPr="00AC4AEA">
        <w:rPr>
          <w:rFonts w:ascii="Arial" w:hAnsi="Arial" w:cs="Arial"/>
          <w:b/>
          <w:bCs/>
          <w:sz w:val="20"/>
        </w:rPr>
        <w:t xml:space="preserve">de precios FACPCE </w:t>
      </w:r>
      <w:r w:rsidRPr="00AC4AEA">
        <w:rPr>
          <w:rFonts w:ascii="Arial" w:hAnsi="Arial" w:cs="Arial"/>
          <w:sz w:val="20"/>
        </w:rPr>
        <w:t>correspondientes a los meses comprendidos en dicho período.</w:t>
      </w:r>
      <w:bookmarkEnd w:id="244"/>
      <w:r w:rsidRPr="00AC4AEA">
        <w:rPr>
          <w:rFonts w:ascii="Arial" w:hAnsi="Arial" w:cs="Arial"/>
          <w:sz w:val="20"/>
        </w:rPr>
        <w:t xml:space="preserve"> </w:t>
      </w:r>
    </w:p>
    <w:p w:rsidR="00AD0B60" w:rsidRPr="00AC4AEA" w:rsidRDefault="00AD0B60" w:rsidP="00A318EA">
      <w:pPr>
        <w:pStyle w:val="A-Normal11"/>
        <w:numPr>
          <w:ilvl w:val="0"/>
          <w:numId w:val="29"/>
        </w:numPr>
        <w:jc w:val="both"/>
        <w:rPr>
          <w:rFonts w:ascii="Arial" w:hAnsi="Arial" w:cs="Arial"/>
          <w:sz w:val="20"/>
        </w:rPr>
      </w:pPr>
      <w:bookmarkStart w:id="245" w:name="_Ref80969137"/>
      <w:r w:rsidRPr="00AC4AEA">
        <w:rPr>
          <w:rFonts w:ascii="Arial" w:hAnsi="Arial" w:cs="Arial"/>
          <w:sz w:val="20"/>
        </w:rPr>
        <w:t xml:space="preserve">Una entidad considerará que el índice referido al último mes del período por el cual se informa es representativo del </w:t>
      </w:r>
      <w:r w:rsidRPr="00AC4AEA">
        <w:rPr>
          <w:rFonts w:ascii="Arial" w:hAnsi="Arial" w:cs="Arial"/>
          <w:b/>
          <w:bCs/>
          <w:sz w:val="20"/>
        </w:rPr>
        <w:t xml:space="preserve">índice </w:t>
      </w:r>
      <w:r w:rsidR="006C18D4" w:rsidRPr="00AC4AEA">
        <w:rPr>
          <w:rFonts w:ascii="Arial" w:hAnsi="Arial" w:cs="Arial"/>
          <w:b/>
          <w:bCs/>
          <w:sz w:val="20"/>
        </w:rPr>
        <w:t>de precios FACPCE</w:t>
      </w:r>
      <w:r w:rsidR="006C18D4" w:rsidRPr="00AC4AEA">
        <w:rPr>
          <w:rFonts w:ascii="Arial" w:hAnsi="Arial" w:cs="Arial"/>
          <w:sz w:val="20"/>
        </w:rPr>
        <w:t xml:space="preserve"> </w:t>
      </w:r>
      <w:r w:rsidRPr="00AC4AEA">
        <w:rPr>
          <w:rFonts w:ascii="Arial" w:hAnsi="Arial" w:cs="Arial"/>
          <w:sz w:val="20"/>
        </w:rPr>
        <w:t xml:space="preserve">correspondiente a la </w:t>
      </w:r>
      <w:r w:rsidRPr="00AC4AEA">
        <w:rPr>
          <w:rFonts w:ascii="Arial" w:hAnsi="Arial" w:cs="Arial"/>
          <w:b/>
          <w:bCs/>
          <w:sz w:val="20"/>
        </w:rPr>
        <w:t xml:space="preserve">fecha de los </w:t>
      </w:r>
      <w:r w:rsidR="00135084" w:rsidRPr="00AC4AEA">
        <w:rPr>
          <w:rFonts w:ascii="Arial" w:hAnsi="Arial" w:cs="Arial"/>
          <w:b/>
          <w:bCs/>
          <w:sz w:val="20"/>
        </w:rPr>
        <w:t>estados contables</w:t>
      </w:r>
      <w:r w:rsidRPr="00AC4AEA">
        <w:rPr>
          <w:rFonts w:ascii="Arial" w:hAnsi="Arial" w:cs="Arial"/>
          <w:sz w:val="20"/>
        </w:rPr>
        <w:t>.</w:t>
      </w:r>
      <w:bookmarkEnd w:id="245"/>
      <w:r w:rsidRPr="00AC4AEA">
        <w:rPr>
          <w:rFonts w:ascii="Arial" w:hAnsi="Arial" w:cs="Arial"/>
          <w:sz w:val="20"/>
        </w:rPr>
        <w:t xml:space="preserve"> </w:t>
      </w:r>
    </w:p>
    <w:p w:rsidR="00AD0B60" w:rsidRPr="00AC4AEA" w:rsidRDefault="00AD0B60" w:rsidP="00A318EA">
      <w:pPr>
        <w:pStyle w:val="A-Normal11"/>
        <w:ind w:left="1985"/>
        <w:jc w:val="both"/>
        <w:rPr>
          <w:rFonts w:ascii="Arial" w:hAnsi="Arial" w:cs="Arial"/>
          <w:sz w:val="20"/>
        </w:rPr>
      </w:pPr>
    </w:p>
    <w:p w:rsidR="00AD0B60" w:rsidRPr="00AC4AEA" w:rsidRDefault="00AD0B60" w:rsidP="00A318EA">
      <w:pPr>
        <w:pStyle w:val="Ttulo2"/>
        <w:rPr>
          <w:rFonts w:cs="Arial"/>
        </w:rPr>
      </w:pPr>
      <w:bookmarkStart w:id="246" w:name="_Toc101863774"/>
      <w:bookmarkStart w:id="247" w:name="_Toc139356639"/>
      <w:r w:rsidRPr="00AC4AEA">
        <w:rPr>
          <w:rFonts w:cs="Arial"/>
        </w:rPr>
        <w:t>Procedimiento: cuestiones de aplicación general</w:t>
      </w:r>
      <w:bookmarkEnd w:id="246"/>
      <w:bookmarkEnd w:id="247"/>
      <w:r w:rsidRPr="00AC4AEA">
        <w:rPr>
          <w:rFonts w:cs="Arial"/>
        </w:rPr>
        <w:t xml:space="preserve"> </w:t>
      </w:r>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t xml:space="preserve">Al ajustar por inflación sus </w:t>
      </w:r>
      <w:r w:rsidR="00135084" w:rsidRPr="00AC4AEA">
        <w:rPr>
          <w:rFonts w:ascii="Arial" w:hAnsi="Arial" w:cs="Arial"/>
          <w:b/>
          <w:bCs/>
          <w:sz w:val="20"/>
        </w:rPr>
        <w:t>estados contables</w:t>
      </w:r>
      <w:r w:rsidRPr="00AC4AEA">
        <w:rPr>
          <w:rFonts w:ascii="Arial" w:hAnsi="Arial" w:cs="Arial"/>
          <w:sz w:val="20"/>
        </w:rPr>
        <w:t>, una entidad diferenciará:</w:t>
      </w:r>
    </w:p>
    <w:p w:rsidR="00AD0B60" w:rsidRPr="00AC4AEA" w:rsidRDefault="00AD0B60" w:rsidP="00A318EA">
      <w:pPr>
        <w:pStyle w:val="A-Normal11"/>
        <w:numPr>
          <w:ilvl w:val="0"/>
          <w:numId w:val="260"/>
        </w:numPr>
        <w:jc w:val="both"/>
        <w:rPr>
          <w:rFonts w:ascii="Arial" w:hAnsi="Arial" w:cs="Arial"/>
          <w:sz w:val="20"/>
        </w:rPr>
      </w:pPr>
      <w:r w:rsidRPr="00AC4AEA">
        <w:rPr>
          <w:rFonts w:ascii="Arial" w:hAnsi="Arial" w:cs="Arial"/>
          <w:sz w:val="20"/>
        </w:rPr>
        <w:t>la expresión de las cifras correspondientes al período actual en moneda de cierre; y</w:t>
      </w:r>
    </w:p>
    <w:p w:rsidR="00AD0B60" w:rsidRPr="00AC4AEA" w:rsidRDefault="00AD0B60" w:rsidP="00A318EA">
      <w:pPr>
        <w:pStyle w:val="A-Normal11"/>
        <w:numPr>
          <w:ilvl w:val="0"/>
          <w:numId w:val="260"/>
        </w:numPr>
        <w:jc w:val="both"/>
        <w:rPr>
          <w:rFonts w:ascii="Arial" w:hAnsi="Arial" w:cs="Arial"/>
          <w:sz w:val="20"/>
        </w:rPr>
      </w:pPr>
      <w:r w:rsidRPr="00AC4AEA">
        <w:rPr>
          <w:rFonts w:ascii="Arial" w:hAnsi="Arial" w:cs="Arial"/>
          <w:sz w:val="20"/>
        </w:rPr>
        <w:t>la expresión de las cifras comparativas en moneda de cierre (correspondiente al período actual).</w:t>
      </w:r>
    </w:p>
    <w:p w:rsidR="00AD0B60" w:rsidRPr="00AC4AEA" w:rsidRDefault="00AD0B60" w:rsidP="00A318EA">
      <w:pPr>
        <w:jc w:val="both"/>
        <w:rPr>
          <w:rFonts w:ascii="Arial" w:hAnsi="Arial" w:cs="Arial"/>
          <w:b/>
          <w:bCs/>
          <w:sz w:val="20"/>
          <w:szCs w:val="20"/>
        </w:rPr>
      </w:pPr>
    </w:p>
    <w:p w:rsidR="00AD0B60" w:rsidRPr="00AC4AEA" w:rsidRDefault="00AD0B60" w:rsidP="00A318EA">
      <w:pPr>
        <w:pStyle w:val="Ttulo2"/>
        <w:rPr>
          <w:rFonts w:cs="Arial"/>
        </w:rPr>
      </w:pPr>
      <w:bookmarkStart w:id="248" w:name="_Toc101863775"/>
      <w:bookmarkStart w:id="249" w:name="_Toc139356640"/>
      <w:r w:rsidRPr="00AC4AEA">
        <w:rPr>
          <w:rFonts w:cs="Arial"/>
        </w:rPr>
        <w:lastRenderedPageBreak/>
        <w:t>Ajuste de las cifras correspondientes al período actual en moneda de cierre</w:t>
      </w:r>
      <w:bookmarkEnd w:id="248"/>
      <w:bookmarkEnd w:id="249"/>
    </w:p>
    <w:p w:rsidR="006C18D4" w:rsidRPr="00AC4AEA" w:rsidRDefault="006C18D4" w:rsidP="00A318EA">
      <w:pPr>
        <w:pStyle w:val="Ttulo3"/>
      </w:pPr>
      <w:bookmarkStart w:id="250" w:name="_Toc101863776"/>
      <w:bookmarkStart w:id="251" w:name="_Toc139356641"/>
      <w:r w:rsidRPr="00AC4AEA">
        <w:t>Proceso secuencial</w:t>
      </w:r>
      <w:bookmarkEnd w:id="250"/>
      <w:bookmarkEnd w:id="251"/>
      <w:r w:rsidR="0015008A" w:rsidRPr="00AC4AEA">
        <w:t xml:space="preserve"> </w:t>
      </w:r>
    </w:p>
    <w:p w:rsidR="006C18D4" w:rsidRPr="00AC4AEA" w:rsidRDefault="006C18D4" w:rsidP="00A318EA">
      <w:pPr>
        <w:pStyle w:val="A-Normal11"/>
        <w:numPr>
          <w:ilvl w:val="0"/>
          <w:numId w:val="29"/>
        </w:numPr>
        <w:jc w:val="both"/>
        <w:rPr>
          <w:rFonts w:ascii="Arial" w:hAnsi="Arial" w:cs="Arial"/>
          <w:sz w:val="20"/>
        </w:rPr>
      </w:pPr>
      <w:bookmarkStart w:id="252" w:name="_Ref102120637"/>
      <w:r w:rsidRPr="00AC4AEA">
        <w:rPr>
          <w:rFonts w:ascii="Arial" w:hAnsi="Arial" w:cs="Arial"/>
          <w:sz w:val="20"/>
        </w:rPr>
        <w:t xml:space="preserve">Cuando emita sus </w:t>
      </w:r>
      <w:r w:rsidRPr="00AC4AEA">
        <w:rPr>
          <w:rFonts w:ascii="Arial" w:hAnsi="Arial" w:cs="Arial"/>
          <w:b/>
          <w:bCs/>
          <w:sz w:val="20"/>
        </w:rPr>
        <w:t xml:space="preserve">estados contables </w:t>
      </w:r>
      <w:r w:rsidRPr="00AC4AEA">
        <w:rPr>
          <w:rFonts w:ascii="Arial" w:hAnsi="Arial" w:cs="Arial"/>
          <w:sz w:val="20"/>
        </w:rPr>
        <w:t>en moneda homogénea en ejercicios posteriores al período durante el cual aplicó por primera vez o reanudó el aj</w:t>
      </w:r>
      <w:r w:rsidR="0015008A" w:rsidRPr="00AC4AEA">
        <w:rPr>
          <w:rFonts w:ascii="Arial" w:hAnsi="Arial" w:cs="Arial"/>
          <w:sz w:val="20"/>
        </w:rPr>
        <w:t xml:space="preserve">uste por inflación, una entidad, a efectos de determinar globalmente el resultado del período y el resultado por exposición al cambio en el poder adquisitivo de la moneda, o el resultado financiero y por tenencia –incluyendo </w:t>
      </w:r>
      <w:r w:rsidR="00A9032C" w:rsidRPr="00AC4AEA">
        <w:rPr>
          <w:rFonts w:ascii="Arial" w:hAnsi="Arial" w:cs="Arial"/>
          <w:sz w:val="20"/>
        </w:rPr>
        <w:t>al</w:t>
      </w:r>
      <w:r w:rsidR="0015008A" w:rsidRPr="00AC4AEA">
        <w:rPr>
          <w:rFonts w:ascii="Arial" w:hAnsi="Arial" w:cs="Arial"/>
          <w:sz w:val="20"/>
        </w:rPr>
        <w:t xml:space="preserve"> </w:t>
      </w:r>
      <w:r w:rsidR="00A9032C" w:rsidRPr="00AC4AEA">
        <w:rPr>
          <w:rFonts w:ascii="Arial" w:hAnsi="Arial" w:cs="Arial"/>
          <w:sz w:val="20"/>
        </w:rPr>
        <w:t>resultado por exposición al cambio en el poder adquisitivo de la moneda–</w:t>
      </w:r>
      <w:r w:rsidRPr="00AC4AEA">
        <w:rPr>
          <w:rFonts w:ascii="Arial" w:hAnsi="Arial" w:cs="Arial"/>
          <w:sz w:val="20"/>
        </w:rPr>
        <w:t>:</w:t>
      </w:r>
      <w:bookmarkEnd w:id="252"/>
    </w:p>
    <w:p w:rsidR="006C18D4" w:rsidRPr="00AC4AEA" w:rsidRDefault="00432574" w:rsidP="00A318EA">
      <w:pPr>
        <w:pStyle w:val="A-Normal11"/>
        <w:numPr>
          <w:ilvl w:val="0"/>
          <w:numId w:val="261"/>
        </w:numPr>
        <w:jc w:val="both"/>
        <w:rPr>
          <w:rFonts w:ascii="Arial" w:hAnsi="Arial" w:cs="Arial"/>
          <w:sz w:val="20"/>
        </w:rPr>
      </w:pPr>
      <w:r w:rsidRPr="00AC4AEA">
        <w:rPr>
          <w:rFonts w:ascii="Arial" w:hAnsi="Arial" w:cs="Arial"/>
          <w:sz w:val="20"/>
        </w:rPr>
        <w:t>e</w:t>
      </w:r>
      <w:r w:rsidR="002A7740" w:rsidRPr="00AC4AEA">
        <w:rPr>
          <w:rFonts w:ascii="Arial" w:hAnsi="Arial" w:cs="Arial"/>
          <w:sz w:val="20"/>
        </w:rPr>
        <w:t>xpresar</w:t>
      </w:r>
      <w:r w:rsidR="0015008A" w:rsidRPr="00AC4AEA">
        <w:rPr>
          <w:rFonts w:ascii="Arial" w:hAnsi="Arial" w:cs="Arial"/>
          <w:sz w:val="20"/>
        </w:rPr>
        <w:t xml:space="preserve">á </w:t>
      </w:r>
      <w:r w:rsidR="006C18D4" w:rsidRPr="00AC4AEA">
        <w:rPr>
          <w:rFonts w:ascii="Arial" w:hAnsi="Arial" w:cs="Arial"/>
          <w:sz w:val="20"/>
        </w:rPr>
        <w:t xml:space="preserve">el </w:t>
      </w:r>
      <w:r w:rsidR="006C18D4" w:rsidRPr="00AC4AEA">
        <w:rPr>
          <w:rFonts w:ascii="Arial" w:hAnsi="Arial" w:cs="Arial"/>
          <w:b/>
          <w:bCs/>
          <w:sz w:val="20"/>
        </w:rPr>
        <w:t>patrimonio neto</w:t>
      </w:r>
      <w:r w:rsidR="006C18D4" w:rsidRPr="00AC4AEA">
        <w:rPr>
          <w:rFonts w:ascii="Arial" w:hAnsi="Arial" w:cs="Arial"/>
          <w:sz w:val="20"/>
        </w:rPr>
        <w:t xml:space="preserve"> </w:t>
      </w:r>
      <w:r w:rsidR="002A7740" w:rsidRPr="00AC4AEA">
        <w:rPr>
          <w:rFonts w:ascii="Arial" w:hAnsi="Arial" w:cs="Arial"/>
          <w:sz w:val="20"/>
        </w:rPr>
        <w:t>determinado al cierre del ejercicio anterior en moneda de cierre del período actual,</w:t>
      </w:r>
      <w:r w:rsidR="006C18D4" w:rsidRPr="00AC4AEA">
        <w:rPr>
          <w:rFonts w:ascii="Arial" w:hAnsi="Arial" w:cs="Arial"/>
          <w:sz w:val="20"/>
        </w:rPr>
        <w:t xml:space="preserve"> mediante la aplicación del coeficiente anual;</w:t>
      </w:r>
    </w:p>
    <w:p w:rsidR="006C18D4" w:rsidRPr="00AC4AEA" w:rsidRDefault="006C18D4" w:rsidP="00A318EA">
      <w:pPr>
        <w:pStyle w:val="A-Normal11"/>
        <w:numPr>
          <w:ilvl w:val="0"/>
          <w:numId w:val="261"/>
        </w:numPr>
        <w:jc w:val="both"/>
        <w:rPr>
          <w:rFonts w:ascii="Arial" w:hAnsi="Arial" w:cs="Arial"/>
          <w:sz w:val="20"/>
        </w:rPr>
      </w:pPr>
      <w:r w:rsidRPr="00AC4AEA">
        <w:rPr>
          <w:rFonts w:ascii="Arial" w:hAnsi="Arial" w:cs="Arial"/>
          <w:sz w:val="20"/>
        </w:rPr>
        <w:t>medir</w:t>
      </w:r>
      <w:r w:rsidR="0015008A" w:rsidRPr="00AC4AEA">
        <w:rPr>
          <w:rFonts w:ascii="Arial" w:hAnsi="Arial" w:cs="Arial"/>
          <w:sz w:val="20"/>
        </w:rPr>
        <w:t>á</w:t>
      </w:r>
      <w:r w:rsidRPr="00AC4AEA">
        <w:rPr>
          <w:rFonts w:ascii="Arial" w:hAnsi="Arial" w:cs="Arial"/>
          <w:sz w:val="20"/>
        </w:rPr>
        <w:t xml:space="preserve"> los movimientos </w:t>
      </w:r>
      <w:r w:rsidR="0015008A" w:rsidRPr="00AC4AEA">
        <w:rPr>
          <w:rFonts w:ascii="Arial" w:hAnsi="Arial" w:cs="Arial"/>
          <w:sz w:val="20"/>
        </w:rPr>
        <w:t xml:space="preserve">cuantitativos </w:t>
      </w:r>
      <w:r w:rsidRPr="00AC4AEA">
        <w:rPr>
          <w:rFonts w:ascii="Arial" w:hAnsi="Arial" w:cs="Arial"/>
          <w:sz w:val="20"/>
        </w:rPr>
        <w:t xml:space="preserve">del </w:t>
      </w:r>
      <w:r w:rsidRPr="00AC4AEA">
        <w:rPr>
          <w:rFonts w:ascii="Arial" w:hAnsi="Arial" w:cs="Arial"/>
          <w:b/>
          <w:bCs/>
          <w:sz w:val="20"/>
        </w:rPr>
        <w:t>patrimonio neto</w:t>
      </w:r>
      <w:r w:rsidRPr="00AC4AEA">
        <w:rPr>
          <w:rFonts w:ascii="Arial" w:hAnsi="Arial" w:cs="Arial"/>
          <w:sz w:val="20"/>
        </w:rPr>
        <w:t xml:space="preserve"> ocurridos en el período, excluyendo los resultados de</w:t>
      </w:r>
      <w:r w:rsidR="00C10BA2" w:rsidRPr="00AC4AEA">
        <w:rPr>
          <w:rFonts w:ascii="Arial" w:hAnsi="Arial" w:cs="Arial"/>
          <w:sz w:val="20"/>
        </w:rPr>
        <w:t xml:space="preserve"> ese</w:t>
      </w:r>
      <w:r w:rsidRPr="00AC4AEA">
        <w:rPr>
          <w:rFonts w:ascii="Arial" w:hAnsi="Arial" w:cs="Arial"/>
          <w:sz w:val="20"/>
        </w:rPr>
        <w:t xml:space="preserve"> </w:t>
      </w:r>
      <w:r w:rsidR="00C10BA2" w:rsidRPr="00AC4AEA">
        <w:rPr>
          <w:rFonts w:ascii="Arial" w:hAnsi="Arial" w:cs="Arial"/>
          <w:sz w:val="20"/>
        </w:rPr>
        <w:t>período</w:t>
      </w:r>
      <w:r w:rsidRPr="00AC4AEA">
        <w:rPr>
          <w:rFonts w:ascii="Arial" w:hAnsi="Arial" w:cs="Arial"/>
          <w:sz w:val="20"/>
        </w:rPr>
        <w:t xml:space="preserve">, en moneda </w:t>
      </w:r>
      <w:r w:rsidR="00432574" w:rsidRPr="00AC4AEA">
        <w:rPr>
          <w:rFonts w:ascii="Arial" w:hAnsi="Arial" w:cs="Arial"/>
          <w:sz w:val="20"/>
        </w:rPr>
        <w:t>de cierre</w:t>
      </w:r>
      <w:r w:rsidRPr="00AC4AEA">
        <w:rPr>
          <w:rFonts w:ascii="Arial" w:hAnsi="Arial" w:cs="Arial"/>
          <w:sz w:val="20"/>
        </w:rPr>
        <w:t>;</w:t>
      </w:r>
    </w:p>
    <w:p w:rsidR="006C18D4" w:rsidRPr="00AC4AEA" w:rsidRDefault="006C18D4" w:rsidP="00A318EA">
      <w:pPr>
        <w:pStyle w:val="A-Normal11"/>
        <w:numPr>
          <w:ilvl w:val="0"/>
          <w:numId w:val="261"/>
        </w:numPr>
        <w:jc w:val="both"/>
        <w:rPr>
          <w:rFonts w:ascii="Arial" w:hAnsi="Arial" w:cs="Arial"/>
          <w:sz w:val="20"/>
        </w:rPr>
      </w:pPr>
      <w:r w:rsidRPr="00AC4AEA">
        <w:rPr>
          <w:rFonts w:ascii="Arial" w:hAnsi="Arial" w:cs="Arial"/>
          <w:sz w:val="20"/>
        </w:rPr>
        <w:t>medir</w:t>
      </w:r>
      <w:r w:rsidR="0015008A" w:rsidRPr="00AC4AEA">
        <w:rPr>
          <w:rFonts w:ascii="Arial" w:hAnsi="Arial" w:cs="Arial"/>
          <w:sz w:val="20"/>
        </w:rPr>
        <w:t>á</w:t>
      </w:r>
      <w:r w:rsidRPr="00AC4AEA">
        <w:rPr>
          <w:rFonts w:ascii="Arial" w:hAnsi="Arial" w:cs="Arial"/>
          <w:sz w:val="20"/>
        </w:rPr>
        <w:t xml:space="preserve"> en moneda homogénea de cierre el </w:t>
      </w:r>
      <w:r w:rsidRPr="00AC4AEA">
        <w:rPr>
          <w:rFonts w:ascii="Arial" w:hAnsi="Arial" w:cs="Arial"/>
          <w:b/>
          <w:bCs/>
          <w:sz w:val="20"/>
        </w:rPr>
        <w:t>activo</w:t>
      </w:r>
      <w:r w:rsidRPr="00AC4AEA">
        <w:rPr>
          <w:rFonts w:ascii="Arial" w:hAnsi="Arial" w:cs="Arial"/>
          <w:sz w:val="20"/>
        </w:rPr>
        <w:t xml:space="preserve"> y el </w:t>
      </w:r>
      <w:r w:rsidRPr="00AC4AEA">
        <w:rPr>
          <w:rFonts w:ascii="Arial" w:hAnsi="Arial" w:cs="Arial"/>
          <w:b/>
          <w:bCs/>
          <w:sz w:val="20"/>
        </w:rPr>
        <w:t>pasivo</w:t>
      </w:r>
      <w:r w:rsidRPr="00AC4AEA">
        <w:rPr>
          <w:rFonts w:ascii="Arial" w:hAnsi="Arial" w:cs="Arial"/>
          <w:sz w:val="20"/>
        </w:rPr>
        <w:t xml:space="preserve"> al final del período, ajustando las partidas que los componen;</w:t>
      </w:r>
    </w:p>
    <w:p w:rsidR="006C18D4" w:rsidRPr="00AC4AEA" w:rsidRDefault="0015008A" w:rsidP="00A318EA">
      <w:pPr>
        <w:pStyle w:val="A-Normal11"/>
        <w:numPr>
          <w:ilvl w:val="0"/>
          <w:numId w:val="261"/>
        </w:numPr>
        <w:jc w:val="both"/>
        <w:rPr>
          <w:rFonts w:ascii="Arial" w:hAnsi="Arial" w:cs="Arial"/>
          <w:sz w:val="20"/>
        </w:rPr>
      </w:pPr>
      <w:r w:rsidRPr="00AC4AEA">
        <w:rPr>
          <w:rFonts w:ascii="Arial" w:hAnsi="Arial" w:cs="Arial"/>
          <w:sz w:val="20"/>
        </w:rPr>
        <w:t>obtendrá</w:t>
      </w:r>
      <w:r w:rsidR="006C18D4" w:rsidRPr="00AC4AEA">
        <w:rPr>
          <w:rFonts w:ascii="Arial" w:hAnsi="Arial" w:cs="Arial"/>
          <w:sz w:val="20"/>
        </w:rPr>
        <w:t xml:space="preserve"> el </w:t>
      </w:r>
      <w:r w:rsidR="006C18D4" w:rsidRPr="00AC4AEA">
        <w:rPr>
          <w:rFonts w:ascii="Arial" w:hAnsi="Arial" w:cs="Arial"/>
          <w:b/>
          <w:bCs/>
          <w:sz w:val="20"/>
        </w:rPr>
        <w:t>patrimonio neto</w:t>
      </w:r>
      <w:r w:rsidR="006C18D4" w:rsidRPr="00AC4AEA">
        <w:rPr>
          <w:rFonts w:ascii="Arial" w:hAnsi="Arial" w:cs="Arial"/>
          <w:sz w:val="20"/>
        </w:rPr>
        <w:t xml:space="preserve"> al final del período objeto del ajuste en moneda de cierre, por diferencia entre el </w:t>
      </w:r>
      <w:r w:rsidR="006C18D4" w:rsidRPr="00AC4AEA">
        <w:rPr>
          <w:rFonts w:ascii="Arial" w:hAnsi="Arial" w:cs="Arial"/>
          <w:b/>
          <w:bCs/>
          <w:sz w:val="20"/>
        </w:rPr>
        <w:t>activo</w:t>
      </w:r>
      <w:r w:rsidR="006C18D4" w:rsidRPr="00AC4AEA">
        <w:rPr>
          <w:rFonts w:ascii="Arial" w:hAnsi="Arial" w:cs="Arial"/>
          <w:sz w:val="20"/>
        </w:rPr>
        <w:t xml:space="preserve"> y el </w:t>
      </w:r>
      <w:r w:rsidR="006C18D4" w:rsidRPr="00AC4AEA">
        <w:rPr>
          <w:rFonts w:ascii="Arial" w:hAnsi="Arial" w:cs="Arial"/>
          <w:b/>
          <w:bCs/>
          <w:sz w:val="20"/>
        </w:rPr>
        <w:t>pasivo</w:t>
      </w:r>
      <w:r w:rsidR="006C18D4" w:rsidRPr="00AC4AEA">
        <w:rPr>
          <w:rFonts w:ascii="Arial" w:hAnsi="Arial" w:cs="Arial"/>
          <w:sz w:val="20"/>
        </w:rPr>
        <w:t xml:space="preserve"> calculados en la etapa anterior;</w:t>
      </w:r>
    </w:p>
    <w:p w:rsidR="006C18D4" w:rsidRPr="00AC4AEA" w:rsidRDefault="006C18D4" w:rsidP="00A318EA">
      <w:pPr>
        <w:pStyle w:val="A-Normal11"/>
        <w:numPr>
          <w:ilvl w:val="0"/>
          <w:numId w:val="261"/>
        </w:numPr>
        <w:jc w:val="both"/>
        <w:rPr>
          <w:rFonts w:ascii="Arial" w:hAnsi="Arial" w:cs="Arial"/>
          <w:sz w:val="20"/>
        </w:rPr>
      </w:pPr>
      <w:r w:rsidRPr="00AC4AEA">
        <w:rPr>
          <w:rFonts w:ascii="Arial" w:hAnsi="Arial" w:cs="Arial"/>
          <w:sz w:val="20"/>
        </w:rPr>
        <w:t>determinar</w:t>
      </w:r>
      <w:r w:rsidR="0015008A" w:rsidRPr="00AC4AEA">
        <w:rPr>
          <w:rFonts w:ascii="Arial" w:hAnsi="Arial" w:cs="Arial"/>
          <w:sz w:val="20"/>
        </w:rPr>
        <w:t>á</w:t>
      </w:r>
      <w:r w:rsidRPr="00AC4AEA">
        <w:rPr>
          <w:rFonts w:ascii="Arial" w:hAnsi="Arial" w:cs="Arial"/>
          <w:sz w:val="20"/>
        </w:rPr>
        <w:t xml:space="preserve"> el </w:t>
      </w:r>
      <w:r w:rsidRPr="00AC4AEA">
        <w:rPr>
          <w:rFonts w:ascii="Arial" w:hAnsi="Arial" w:cs="Arial"/>
          <w:b/>
          <w:bCs/>
          <w:sz w:val="20"/>
        </w:rPr>
        <w:t>patrimonio neto</w:t>
      </w:r>
      <w:r w:rsidRPr="00AC4AEA">
        <w:rPr>
          <w:rFonts w:ascii="Arial" w:hAnsi="Arial" w:cs="Arial"/>
          <w:sz w:val="20"/>
        </w:rPr>
        <w:t xml:space="preserve"> al final del período en moneda de cierre, excluido el resultado de dicho período, mediante la suma de los importes obtenidos de acuerdo con lo establecido en los incisos a) y b);</w:t>
      </w:r>
    </w:p>
    <w:p w:rsidR="006C18D4" w:rsidRPr="00AC4AEA" w:rsidRDefault="006C18D4" w:rsidP="00A318EA">
      <w:pPr>
        <w:pStyle w:val="A-Normal11"/>
        <w:numPr>
          <w:ilvl w:val="0"/>
          <w:numId w:val="261"/>
        </w:numPr>
        <w:jc w:val="both"/>
        <w:rPr>
          <w:rFonts w:ascii="Arial" w:hAnsi="Arial" w:cs="Arial"/>
          <w:sz w:val="20"/>
        </w:rPr>
      </w:pPr>
      <w:r w:rsidRPr="00AC4AEA">
        <w:rPr>
          <w:rFonts w:ascii="Arial" w:hAnsi="Arial" w:cs="Arial"/>
          <w:sz w:val="20"/>
        </w:rPr>
        <w:t>medir</w:t>
      </w:r>
      <w:r w:rsidR="0015008A" w:rsidRPr="00AC4AEA">
        <w:rPr>
          <w:rFonts w:ascii="Arial" w:hAnsi="Arial" w:cs="Arial"/>
          <w:sz w:val="20"/>
        </w:rPr>
        <w:t>á</w:t>
      </w:r>
      <w:r w:rsidRPr="00AC4AEA">
        <w:rPr>
          <w:rFonts w:ascii="Arial" w:hAnsi="Arial" w:cs="Arial"/>
          <w:sz w:val="20"/>
        </w:rPr>
        <w:t xml:space="preserve"> el resultado del período en moneda de cierre, por diferencia entre los importes obtenidos por aplicación de los </w:t>
      </w:r>
      <w:r w:rsidR="008B2429">
        <w:rPr>
          <w:rFonts w:ascii="Arial" w:hAnsi="Arial" w:cs="Arial"/>
          <w:sz w:val="20"/>
        </w:rPr>
        <w:t>incisos</w:t>
      </w:r>
      <w:r w:rsidR="008B2429" w:rsidRPr="00AC4AEA">
        <w:rPr>
          <w:rFonts w:ascii="Arial" w:hAnsi="Arial" w:cs="Arial"/>
          <w:sz w:val="20"/>
        </w:rPr>
        <w:t xml:space="preserve"> </w:t>
      </w:r>
      <w:r w:rsidRPr="00AC4AEA">
        <w:rPr>
          <w:rFonts w:ascii="Arial" w:hAnsi="Arial" w:cs="Arial"/>
          <w:sz w:val="20"/>
        </w:rPr>
        <w:t>d) y e) anteriores;</w:t>
      </w:r>
    </w:p>
    <w:p w:rsidR="006C18D4" w:rsidRPr="00AC4AEA" w:rsidRDefault="006C18D4" w:rsidP="00A318EA">
      <w:pPr>
        <w:pStyle w:val="A-Normal11"/>
        <w:numPr>
          <w:ilvl w:val="0"/>
          <w:numId w:val="261"/>
        </w:numPr>
        <w:jc w:val="both"/>
        <w:rPr>
          <w:rFonts w:ascii="Arial" w:hAnsi="Arial" w:cs="Arial"/>
          <w:sz w:val="20"/>
        </w:rPr>
      </w:pPr>
      <w:r w:rsidRPr="00AC4AEA">
        <w:rPr>
          <w:rFonts w:ascii="Arial" w:hAnsi="Arial" w:cs="Arial"/>
          <w:sz w:val="20"/>
        </w:rPr>
        <w:t>expresar</w:t>
      </w:r>
      <w:r w:rsidR="0015008A" w:rsidRPr="00AC4AEA">
        <w:rPr>
          <w:rFonts w:ascii="Arial" w:hAnsi="Arial" w:cs="Arial"/>
          <w:sz w:val="20"/>
        </w:rPr>
        <w:t>á</w:t>
      </w:r>
      <w:r w:rsidRPr="00AC4AEA">
        <w:rPr>
          <w:rFonts w:ascii="Arial" w:hAnsi="Arial" w:cs="Arial"/>
          <w:sz w:val="20"/>
        </w:rPr>
        <w:t xml:space="preserve"> las partidas que componen el estado de resultados del período, excepto la indicada en el inciso siguiente; y</w:t>
      </w:r>
    </w:p>
    <w:p w:rsidR="006C18D4" w:rsidRPr="00AC4AEA" w:rsidRDefault="006C18D4" w:rsidP="00A318EA">
      <w:pPr>
        <w:pStyle w:val="A-Normal11"/>
        <w:numPr>
          <w:ilvl w:val="0"/>
          <w:numId w:val="261"/>
        </w:numPr>
        <w:jc w:val="both"/>
        <w:rPr>
          <w:rFonts w:ascii="Arial" w:hAnsi="Arial" w:cs="Arial"/>
          <w:sz w:val="20"/>
        </w:rPr>
      </w:pPr>
      <w:r w:rsidRPr="00AC4AEA">
        <w:rPr>
          <w:rFonts w:ascii="Arial" w:hAnsi="Arial" w:cs="Arial"/>
          <w:sz w:val="20"/>
        </w:rPr>
        <w:t>calcular</w:t>
      </w:r>
      <w:r w:rsidR="0015008A" w:rsidRPr="00AC4AEA">
        <w:rPr>
          <w:rFonts w:ascii="Arial" w:hAnsi="Arial" w:cs="Arial"/>
          <w:sz w:val="20"/>
        </w:rPr>
        <w:t>á</w:t>
      </w:r>
      <w:r w:rsidRPr="00AC4AEA">
        <w:rPr>
          <w:rFonts w:ascii="Arial" w:hAnsi="Arial" w:cs="Arial"/>
          <w:sz w:val="20"/>
        </w:rPr>
        <w:t xml:space="preserve"> el resultado por exposición al cambio en el poder adquisitivo de la moneda</w:t>
      </w:r>
      <w:r w:rsidR="002A7740" w:rsidRPr="00AC4AEA">
        <w:rPr>
          <w:rFonts w:ascii="Arial" w:hAnsi="Arial" w:cs="Arial"/>
          <w:sz w:val="20"/>
        </w:rPr>
        <w:t xml:space="preserve"> (o el resultado financiero y por tenencia –incluyendo </w:t>
      </w:r>
      <w:r w:rsidR="00A9032C" w:rsidRPr="00AC4AEA">
        <w:rPr>
          <w:rFonts w:ascii="Arial" w:hAnsi="Arial" w:cs="Arial"/>
          <w:sz w:val="20"/>
        </w:rPr>
        <w:t>el resultado por exposición al cambio en el poder adquisitivo de la moneda</w:t>
      </w:r>
      <w:r w:rsidR="002A7740" w:rsidRPr="00AC4AEA">
        <w:rPr>
          <w:rFonts w:ascii="Arial" w:hAnsi="Arial" w:cs="Arial"/>
          <w:sz w:val="20"/>
        </w:rPr>
        <w:t>, según el caso)</w:t>
      </w:r>
      <w:r w:rsidRPr="00AC4AEA">
        <w:rPr>
          <w:rFonts w:ascii="Arial" w:hAnsi="Arial" w:cs="Arial"/>
          <w:sz w:val="20"/>
        </w:rPr>
        <w:t xml:space="preserve">, por diferencia entre el importe obtenido en el </w:t>
      </w:r>
      <w:r w:rsidR="008B2429">
        <w:rPr>
          <w:rFonts w:ascii="Arial" w:hAnsi="Arial" w:cs="Arial"/>
          <w:sz w:val="20"/>
        </w:rPr>
        <w:t>inciso</w:t>
      </w:r>
      <w:r w:rsidR="008B2429" w:rsidRPr="00AC4AEA">
        <w:rPr>
          <w:rFonts w:ascii="Arial" w:hAnsi="Arial" w:cs="Arial"/>
          <w:sz w:val="20"/>
        </w:rPr>
        <w:t xml:space="preserve"> </w:t>
      </w:r>
      <w:r w:rsidRPr="00AC4AEA">
        <w:rPr>
          <w:rFonts w:ascii="Arial" w:hAnsi="Arial" w:cs="Arial"/>
          <w:sz w:val="20"/>
        </w:rPr>
        <w:t xml:space="preserve">f) y la suma algebraica de las partidas indicada en el </w:t>
      </w:r>
      <w:r w:rsidR="008B2429">
        <w:rPr>
          <w:rFonts w:ascii="Arial" w:hAnsi="Arial" w:cs="Arial"/>
          <w:sz w:val="20"/>
        </w:rPr>
        <w:t>inciso</w:t>
      </w:r>
      <w:r w:rsidR="008B2429" w:rsidRPr="00AC4AEA">
        <w:rPr>
          <w:rFonts w:ascii="Arial" w:hAnsi="Arial" w:cs="Arial"/>
          <w:sz w:val="20"/>
        </w:rPr>
        <w:t xml:space="preserve"> </w:t>
      </w:r>
      <w:r w:rsidRPr="00AC4AEA">
        <w:rPr>
          <w:rFonts w:ascii="Arial" w:hAnsi="Arial" w:cs="Arial"/>
          <w:sz w:val="20"/>
        </w:rPr>
        <w:t>g).</w:t>
      </w:r>
    </w:p>
    <w:p w:rsidR="006C18D4" w:rsidRPr="00AC4AEA" w:rsidRDefault="006C18D4" w:rsidP="00A318EA">
      <w:pPr>
        <w:rPr>
          <w:rFonts w:ascii="Arial" w:hAnsi="Arial" w:cs="Arial"/>
          <w:sz w:val="20"/>
          <w:szCs w:val="20"/>
        </w:rPr>
      </w:pPr>
    </w:p>
    <w:p w:rsidR="00AD0B60" w:rsidRPr="00AC4AEA" w:rsidRDefault="00AD0B60" w:rsidP="00A318EA">
      <w:pPr>
        <w:pStyle w:val="Ttulo3"/>
      </w:pPr>
      <w:bookmarkStart w:id="253" w:name="_Toc101863777"/>
      <w:bookmarkStart w:id="254" w:name="_Toc139356642"/>
      <w:r w:rsidRPr="00AC4AEA">
        <w:t xml:space="preserve">Ajuste de </w:t>
      </w:r>
      <w:r w:rsidR="00497590" w:rsidRPr="00AC4AEA">
        <w:t>activos</w:t>
      </w:r>
      <w:r w:rsidRPr="00AC4AEA">
        <w:t xml:space="preserve"> y </w:t>
      </w:r>
      <w:r w:rsidR="00497590" w:rsidRPr="00AC4AEA">
        <w:t>pasivos</w:t>
      </w:r>
      <w:r w:rsidRPr="00AC4AEA">
        <w:t xml:space="preserve"> al cierre del período actual</w:t>
      </w:r>
      <w:bookmarkEnd w:id="253"/>
      <w:bookmarkEnd w:id="254"/>
      <w:r w:rsidRPr="00AC4AEA">
        <w:t xml:space="preserve"> </w:t>
      </w:r>
    </w:p>
    <w:p w:rsidR="00AD0B60" w:rsidRPr="00AC4AEA" w:rsidRDefault="00AD0B60" w:rsidP="00A318EA">
      <w:pPr>
        <w:pStyle w:val="A-Normal11"/>
        <w:numPr>
          <w:ilvl w:val="0"/>
          <w:numId w:val="29"/>
        </w:numPr>
        <w:jc w:val="both"/>
        <w:rPr>
          <w:rFonts w:ascii="Arial" w:hAnsi="Arial" w:cs="Arial"/>
          <w:sz w:val="20"/>
        </w:rPr>
      </w:pPr>
      <w:bookmarkStart w:id="255" w:name="_Ref80968834"/>
      <w:r w:rsidRPr="00AC4AEA">
        <w:rPr>
          <w:rFonts w:ascii="Arial" w:hAnsi="Arial" w:cs="Arial"/>
          <w:sz w:val="20"/>
        </w:rPr>
        <w:t xml:space="preserve">A la </w:t>
      </w:r>
      <w:r w:rsidRPr="00AC4AEA">
        <w:rPr>
          <w:rFonts w:ascii="Arial" w:hAnsi="Arial" w:cs="Arial"/>
          <w:b/>
          <w:bCs/>
          <w:sz w:val="20"/>
        </w:rPr>
        <w:t xml:space="preserve">fecha de los </w:t>
      </w:r>
      <w:r w:rsidR="00135084" w:rsidRPr="00AC4AEA">
        <w:rPr>
          <w:rFonts w:ascii="Arial" w:hAnsi="Arial" w:cs="Arial"/>
          <w:b/>
          <w:bCs/>
          <w:sz w:val="20"/>
        </w:rPr>
        <w:t>estados contables</w:t>
      </w:r>
      <w:r w:rsidRPr="00AC4AEA">
        <w:rPr>
          <w:rFonts w:ascii="Arial" w:hAnsi="Arial" w:cs="Arial"/>
          <w:b/>
          <w:bCs/>
          <w:sz w:val="20"/>
        </w:rPr>
        <w:t>,</w:t>
      </w:r>
      <w:r w:rsidRPr="00AC4AEA">
        <w:rPr>
          <w:rFonts w:ascii="Arial" w:hAnsi="Arial" w:cs="Arial"/>
          <w:sz w:val="20"/>
        </w:rPr>
        <w:t xml:space="preserve"> una entidad identificará qué </w:t>
      </w:r>
      <w:r w:rsidR="00497590" w:rsidRPr="00AC4AEA">
        <w:rPr>
          <w:rFonts w:ascii="Arial" w:hAnsi="Arial" w:cs="Arial"/>
          <w:sz w:val="20"/>
        </w:rPr>
        <w:t>activos</w:t>
      </w:r>
      <w:r w:rsidRPr="00AC4AEA">
        <w:rPr>
          <w:rFonts w:ascii="Arial" w:hAnsi="Arial" w:cs="Arial"/>
          <w:sz w:val="20"/>
        </w:rPr>
        <w:t xml:space="preserve"> o </w:t>
      </w:r>
      <w:r w:rsidR="00497590" w:rsidRPr="00AC4AEA">
        <w:rPr>
          <w:rFonts w:ascii="Arial" w:hAnsi="Arial" w:cs="Arial"/>
          <w:sz w:val="20"/>
        </w:rPr>
        <w:t>pasivos</w:t>
      </w:r>
      <w:r w:rsidRPr="00AC4AEA">
        <w:rPr>
          <w:rFonts w:ascii="Arial" w:hAnsi="Arial" w:cs="Arial"/>
          <w:sz w:val="20"/>
        </w:rPr>
        <w:t xml:space="preserve"> se encuentran expresados en moneda de cierre y cuáles en moneda de </w:t>
      </w:r>
      <w:r w:rsidR="00CF2749" w:rsidRPr="00AC4AEA">
        <w:rPr>
          <w:rFonts w:ascii="Arial" w:hAnsi="Arial" w:cs="Arial"/>
          <w:sz w:val="20"/>
        </w:rPr>
        <w:t xml:space="preserve">una </w:t>
      </w:r>
      <w:r w:rsidRPr="00AC4AEA">
        <w:rPr>
          <w:rFonts w:ascii="Arial" w:hAnsi="Arial" w:cs="Arial"/>
          <w:sz w:val="20"/>
        </w:rPr>
        <w:t xml:space="preserve">fecha anterior </w:t>
      </w:r>
      <w:r w:rsidR="00CF2749" w:rsidRPr="00AC4AEA">
        <w:rPr>
          <w:rFonts w:ascii="Arial" w:hAnsi="Arial" w:cs="Arial"/>
          <w:sz w:val="20"/>
        </w:rPr>
        <w:t>a la de</w:t>
      </w:r>
      <w:r w:rsidRPr="00AC4AEA">
        <w:rPr>
          <w:rFonts w:ascii="Arial" w:hAnsi="Arial" w:cs="Arial"/>
          <w:sz w:val="20"/>
        </w:rPr>
        <w:t xml:space="preserve"> cierre.</w:t>
      </w:r>
      <w:bookmarkEnd w:id="255"/>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t>Una entidad no modificará el importe de las partidas cuya medición est</w:t>
      </w:r>
      <w:r w:rsidR="00CF2749" w:rsidRPr="00AC4AEA">
        <w:rPr>
          <w:rFonts w:ascii="Arial" w:hAnsi="Arial" w:cs="Arial"/>
          <w:sz w:val="20"/>
        </w:rPr>
        <w:t>é</w:t>
      </w:r>
      <w:r w:rsidRPr="00AC4AEA">
        <w:rPr>
          <w:rFonts w:ascii="Arial" w:hAnsi="Arial" w:cs="Arial"/>
          <w:sz w:val="20"/>
        </w:rPr>
        <w:t xml:space="preserve"> expresada en moneda de cierre (por ejemplo, efectivo, créditos y deudas en moneda o </w:t>
      </w:r>
      <w:r w:rsidR="00497590" w:rsidRPr="00AC4AEA">
        <w:rPr>
          <w:rFonts w:ascii="Arial" w:hAnsi="Arial" w:cs="Arial"/>
          <w:sz w:val="20"/>
        </w:rPr>
        <w:t>activos</w:t>
      </w:r>
      <w:r w:rsidRPr="00AC4AEA">
        <w:rPr>
          <w:rFonts w:ascii="Arial" w:hAnsi="Arial" w:cs="Arial"/>
          <w:sz w:val="20"/>
        </w:rPr>
        <w:t xml:space="preserve"> y </w:t>
      </w:r>
      <w:r w:rsidR="00497590" w:rsidRPr="00AC4AEA">
        <w:rPr>
          <w:rFonts w:ascii="Arial" w:hAnsi="Arial" w:cs="Arial"/>
          <w:sz w:val="20"/>
        </w:rPr>
        <w:t>pasivos</w:t>
      </w:r>
      <w:r w:rsidRPr="00AC4AEA">
        <w:rPr>
          <w:rFonts w:ascii="Arial" w:hAnsi="Arial" w:cs="Arial"/>
          <w:sz w:val="20"/>
        </w:rPr>
        <w:t xml:space="preserve"> que se miden a valores corrientes determinados a la </w:t>
      </w:r>
      <w:r w:rsidRPr="00AC4AEA">
        <w:rPr>
          <w:rFonts w:ascii="Arial" w:hAnsi="Arial" w:cs="Arial"/>
          <w:b/>
          <w:bCs/>
          <w:sz w:val="20"/>
        </w:rPr>
        <w:t xml:space="preserve">fecha de los </w:t>
      </w:r>
      <w:r w:rsidR="00135084" w:rsidRPr="00AC4AEA">
        <w:rPr>
          <w:rFonts w:ascii="Arial" w:hAnsi="Arial" w:cs="Arial"/>
          <w:b/>
          <w:bCs/>
          <w:sz w:val="20"/>
        </w:rPr>
        <w:t>estados contables</w:t>
      </w:r>
      <w:r w:rsidRPr="00AC4AEA">
        <w:rPr>
          <w:rFonts w:ascii="Arial" w:hAnsi="Arial" w:cs="Arial"/>
          <w:sz w:val="20"/>
        </w:rPr>
        <w:t>).</w:t>
      </w:r>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lastRenderedPageBreak/>
        <w:t xml:space="preserve">Una entidad expresará en moneda de cierre el importe de las partidas medido en una fecha anterior (por ejemplo, bienes de uso u otros </w:t>
      </w:r>
      <w:r w:rsidR="00497590" w:rsidRPr="00AC4AEA">
        <w:rPr>
          <w:rFonts w:ascii="Arial" w:hAnsi="Arial" w:cs="Arial"/>
          <w:sz w:val="20"/>
        </w:rPr>
        <w:t>activos</w:t>
      </w:r>
      <w:r w:rsidRPr="00AC4AEA">
        <w:rPr>
          <w:rFonts w:ascii="Arial" w:hAnsi="Arial" w:cs="Arial"/>
          <w:sz w:val="20"/>
        </w:rPr>
        <w:t xml:space="preserve"> </w:t>
      </w:r>
      <w:r w:rsidR="00A102B4" w:rsidRPr="00AC4AEA">
        <w:rPr>
          <w:rFonts w:ascii="Arial" w:hAnsi="Arial" w:cs="Arial"/>
          <w:sz w:val="20"/>
        </w:rPr>
        <w:t>cuya medición se</w:t>
      </w:r>
      <w:r w:rsidRPr="00AC4AEA">
        <w:rPr>
          <w:rFonts w:ascii="Arial" w:hAnsi="Arial" w:cs="Arial"/>
          <w:sz w:val="20"/>
        </w:rPr>
        <w:t xml:space="preserve"> </w:t>
      </w:r>
      <w:r w:rsidR="00A102B4" w:rsidRPr="00AC4AEA">
        <w:rPr>
          <w:rFonts w:ascii="Arial" w:hAnsi="Arial" w:cs="Arial"/>
          <w:sz w:val="20"/>
        </w:rPr>
        <w:t>basa en el</w:t>
      </w:r>
      <w:r w:rsidRPr="00AC4AEA">
        <w:rPr>
          <w:rFonts w:ascii="Arial" w:hAnsi="Arial" w:cs="Arial"/>
          <w:sz w:val="20"/>
        </w:rPr>
        <w:t xml:space="preserve"> costo</w:t>
      </w:r>
      <w:r w:rsidR="00A102B4" w:rsidRPr="00AC4AEA">
        <w:rPr>
          <w:rFonts w:ascii="Arial" w:hAnsi="Arial" w:cs="Arial"/>
          <w:sz w:val="20"/>
        </w:rPr>
        <w:t>). Para tal fin:</w:t>
      </w:r>
    </w:p>
    <w:p w:rsidR="00AD0B60" w:rsidRPr="00AC4AEA" w:rsidRDefault="00AD0B60" w:rsidP="00A318EA">
      <w:pPr>
        <w:pStyle w:val="A-Normal11"/>
        <w:numPr>
          <w:ilvl w:val="1"/>
          <w:numId w:val="259"/>
        </w:numPr>
        <w:ind w:left="1560"/>
        <w:jc w:val="both"/>
        <w:rPr>
          <w:rFonts w:ascii="Arial" w:hAnsi="Arial" w:cs="Arial"/>
          <w:sz w:val="20"/>
        </w:rPr>
      </w:pPr>
      <w:r w:rsidRPr="00AC4AEA">
        <w:rPr>
          <w:rFonts w:ascii="Arial" w:hAnsi="Arial" w:cs="Arial"/>
          <w:sz w:val="20"/>
        </w:rPr>
        <w:t xml:space="preserve">identificará el período de origen de las partidas de acuerdo con lo establecido en el párrafo </w:t>
      </w:r>
      <w:fldSimple w:instr=" REF _Ref80969112 \r \h  \* MERGEFORMAT ">
        <w:r w:rsidR="00D33A5D" w:rsidRPr="00D33A5D">
          <w:rPr>
            <w:rFonts w:ascii="Arial" w:hAnsi="Arial" w:cs="Arial"/>
            <w:sz w:val="20"/>
          </w:rPr>
          <w:t>180</w:t>
        </w:r>
      </w:fldSimple>
      <w:r w:rsidRPr="00AC4AEA">
        <w:rPr>
          <w:rFonts w:ascii="Arial" w:hAnsi="Arial" w:cs="Arial"/>
          <w:sz w:val="20"/>
        </w:rPr>
        <w:t>;</w:t>
      </w:r>
    </w:p>
    <w:p w:rsidR="00AD0B60" w:rsidRPr="00AC4AEA" w:rsidRDefault="00AD0B60" w:rsidP="00A318EA">
      <w:pPr>
        <w:pStyle w:val="A-Normal11"/>
        <w:numPr>
          <w:ilvl w:val="1"/>
          <w:numId w:val="259"/>
        </w:numPr>
        <w:ind w:left="1560"/>
        <w:jc w:val="both"/>
        <w:rPr>
          <w:rFonts w:ascii="Arial" w:hAnsi="Arial" w:cs="Arial"/>
          <w:sz w:val="20"/>
        </w:rPr>
      </w:pPr>
      <w:r w:rsidRPr="00AC4AEA">
        <w:rPr>
          <w:rFonts w:ascii="Arial" w:hAnsi="Arial" w:cs="Arial"/>
          <w:sz w:val="20"/>
        </w:rPr>
        <w:t xml:space="preserve">calculará los coeficientes de ajuste correspondientes, </w:t>
      </w:r>
      <w:r w:rsidR="00CF2749" w:rsidRPr="00AC4AEA">
        <w:rPr>
          <w:rFonts w:ascii="Arial" w:hAnsi="Arial" w:cs="Arial"/>
          <w:sz w:val="20"/>
        </w:rPr>
        <w:t>según</w:t>
      </w:r>
      <w:r w:rsidRPr="00AC4AEA">
        <w:rPr>
          <w:rFonts w:ascii="Arial" w:hAnsi="Arial" w:cs="Arial"/>
          <w:sz w:val="20"/>
        </w:rPr>
        <w:t xml:space="preserve"> lo establecido en los párrafos </w:t>
      </w:r>
      <w:fldSimple w:instr=" REF _Ref80969127 \r \h  \* MERGEFORMAT ">
        <w:r w:rsidR="00D33A5D" w:rsidRPr="00D33A5D">
          <w:rPr>
            <w:rFonts w:ascii="Arial" w:hAnsi="Arial" w:cs="Arial"/>
            <w:sz w:val="20"/>
          </w:rPr>
          <w:t>179</w:t>
        </w:r>
      </w:fldSimple>
      <w:r w:rsidR="00452FF9" w:rsidRPr="00AC4AEA">
        <w:rPr>
          <w:rFonts w:ascii="Arial" w:hAnsi="Arial" w:cs="Arial"/>
          <w:sz w:val="20"/>
        </w:rPr>
        <w:t xml:space="preserve">, </w:t>
      </w:r>
      <w:fldSimple w:instr=" REF _Ref80969135 \r \h  \* MERGEFORMAT ">
        <w:r w:rsidR="00D33A5D" w:rsidRPr="00D33A5D">
          <w:rPr>
            <w:rFonts w:ascii="Arial" w:hAnsi="Arial" w:cs="Arial"/>
            <w:sz w:val="20"/>
          </w:rPr>
          <w:t>182</w:t>
        </w:r>
      </w:fldSimple>
      <w:r w:rsidR="00452FF9" w:rsidRPr="00AC4AEA">
        <w:rPr>
          <w:rFonts w:ascii="Arial" w:hAnsi="Arial" w:cs="Arial"/>
          <w:sz w:val="20"/>
        </w:rPr>
        <w:t xml:space="preserve"> y </w:t>
      </w:r>
      <w:fldSimple w:instr=" REF _Ref80969137 \r \h  \* MERGEFORMAT ">
        <w:r w:rsidR="00D33A5D" w:rsidRPr="00D33A5D">
          <w:rPr>
            <w:rFonts w:ascii="Arial" w:hAnsi="Arial" w:cs="Arial"/>
            <w:sz w:val="20"/>
          </w:rPr>
          <w:t>183</w:t>
        </w:r>
      </w:fldSimple>
      <w:r w:rsidRPr="00AC4AEA">
        <w:rPr>
          <w:rFonts w:ascii="Arial" w:hAnsi="Arial" w:cs="Arial"/>
          <w:sz w:val="20"/>
        </w:rPr>
        <w:t>; y</w:t>
      </w:r>
    </w:p>
    <w:p w:rsidR="00AD0B60" w:rsidRPr="00AC4AEA" w:rsidRDefault="00AD0B60" w:rsidP="00A318EA">
      <w:pPr>
        <w:pStyle w:val="A-Normal11"/>
        <w:numPr>
          <w:ilvl w:val="1"/>
          <w:numId w:val="259"/>
        </w:numPr>
        <w:ind w:left="1560"/>
        <w:jc w:val="both"/>
        <w:rPr>
          <w:rFonts w:ascii="Arial" w:hAnsi="Arial" w:cs="Arial"/>
          <w:sz w:val="20"/>
        </w:rPr>
      </w:pPr>
      <w:r w:rsidRPr="00AC4AEA">
        <w:rPr>
          <w:rFonts w:ascii="Arial" w:hAnsi="Arial" w:cs="Arial"/>
          <w:sz w:val="20"/>
        </w:rPr>
        <w:t xml:space="preserve">multiplicará dichos coeficientes por los importes de las partidas clasificadas según lo establecido en el párrafo a), tal como se indica en el párrafo </w:t>
      </w:r>
      <w:fldSimple w:instr=" REF _Ref80969178 \r \h  \* MERGEFORMAT ">
        <w:r w:rsidR="00D33A5D" w:rsidRPr="00D33A5D">
          <w:rPr>
            <w:rFonts w:ascii="Arial" w:hAnsi="Arial" w:cs="Arial"/>
            <w:sz w:val="20"/>
          </w:rPr>
          <w:t>181</w:t>
        </w:r>
      </w:fldSimple>
      <w:r w:rsidRPr="00AC4AEA">
        <w:rPr>
          <w:rFonts w:ascii="Arial" w:hAnsi="Arial" w:cs="Arial"/>
          <w:sz w:val="20"/>
        </w:rPr>
        <w:t xml:space="preserve">. </w:t>
      </w:r>
    </w:p>
    <w:p w:rsidR="00AD0B60" w:rsidRPr="00AC4AEA" w:rsidRDefault="00AD0B60" w:rsidP="00A318EA">
      <w:pPr>
        <w:ind w:left="1080"/>
        <w:jc w:val="both"/>
        <w:rPr>
          <w:rFonts w:ascii="Arial" w:hAnsi="Arial" w:cs="Arial"/>
          <w:b/>
          <w:bCs/>
          <w:sz w:val="20"/>
          <w:szCs w:val="20"/>
        </w:rPr>
      </w:pPr>
    </w:p>
    <w:p w:rsidR="00AD0B60" w:rsidRPr="00AC4AEA" w:rsidRDefault="00AD0B60" w:rsidP="00A318EA">
      <w:pPr>
        <w:pStyle w:val="Ttulo3"/>
      </w:pPr>
      <w:bookmarkStart w:id="256" w:name="_Toc101863778"/>
      <w:bookmarkStart w:id="257" w:name="_Toc139356643"/>
      <w:r w:rsidRPr="00AC4AEA">
        <w:t>Ajuste de los componentes del patrimonio</w:t>
      </w:r>
      <w:r w:rsidR="006467CE" w:rsidRPr="00AC4AEA">
        <w:t xml:space="preserve"> neto</w:t>
      </w:r>
      <w:r w:rsidRPr="00AC4AEA">
        <w:t xml:space="preserve"> al cierre del período actual</w:t>
      </w:r>
      <w:bookmarkEnd w:id="256"/>
      <w:bookmarkEnd w:id="257"/>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t xml:space="preserve">Una entidad determinará el </w:t>
      </w:r>
      <w:r w:rsidRPr="00AC4AEA">
        <w:rPr>
          <w:rFonts w:ascii="Arial" w:hAnsi="Arial" w:cs="Arial"/>
          <w:b/>
          <w:bCs/>
          <w:sz w:val="20"/>
        </w:rPr>
        <w:t>patrimonio neto</w:t>
      </w:r>
      <w:r w:rsidRPr="00AC4AEA">
        <w:rPr>
          <w:rFonts w:ascii="Arial" w:hAnsi="Arial" w:cs="Arial"/>
          <w:sz w:val="20"/>
        </w:rPr>
        <w:t xml:space="preserve"> al final del período actual en moneda de cierre restando </w:t>
      </w:r>
      <w:r w:rsidR="00CF2749" w:rsidRPr="00AC4AEA">
        <w:rPr>
          <w:rFonts w:ascii="Arial" w:hAnsi="Arial" w:cs="Arial"/>
          <w:sz w:val="20"/>
        </w:rPr>
        <w:t>de</w:t>
      </w:r>
      <w:r w:rsidRPr="00AC4AEA">
        <w:rPr>
          <w:rFonts w:ascii="Arial" w:hAnsi="Arial" w:cs="Arial"/>
          <w:sz w:val="20"/>
        </w:rPr>
        <w:t xml:space="preserve"> los </w:t>
      </w:r>
      <w:r w:rsidR="00497590" w:rsidRPr="00AC4AEA">
        <w:rPr>
          <w:rFonts w:ascii="Arial" w:hAnsi="Arial" w:cs="Arial"/>
          <w:sz w:val="20"/>
        </w:rPr>
        <w:t>activos</w:t>
      </w:r>
      <w:r w:rsidRPr="00AC4AEA">
        <w:rPr>
          <w:rFonts w:ascii="Arial" w:hAnsi="Arial" w:cs="Arial"/>
          <w:sz w:val="20"/>
        </w:rPr>
        <w:t xml:space="preserve"> </w:t>
      </w:r>
      <w:r w:rsidR="00CF2749" w:rsidRPr="00AC4AEA">
        <w:rPr>
          <w:rFonts w:ascii="Arial" w:hAnsi="Arial" w:cs="Arial"/>
          <w:sz w:val="20"/>
        </w:rPr>
        <w:t>existentes a esa fecha</w:t>
      </w:r>
      <w:r w:rsidRPr="00AC4AEA">
        <w:rPr>
          <w:rFonts w:ascii="Arial" w:hAnsi="Arial" w:cs="Arial"/>
          <w:sz w:val="20"/>
        </w:rPr>
        <w:t xml:space="preserve">, expresados en moneda de cierre, los </w:t>
      </w:r>
      <w:r w:rsidR="00497590" w:rsidRPr="00AC4AEA">
        <w:rPr>
          <w:rFonts w:ascii="Arial" w:hAnsi="Arial" w:cs="Arial"/>
          <w:sz w:val="20"/>
        </w:rPr>
        <w:t>pasivos</w:t>
      </w:r>
      <w:r w:rsidRPr="00AC4AEA">
        <w:rPr>
          <w:rFonts w:ascii="Arial" w:hAnsi="Arial" w:cs="Arial"/>
          <w:sz w:val="20"/>
        </w:rPr>
        <w:t xml:space="preserve"> </w:t>
      </w:r>
      <w:r w:rsidR="00CF2749" w:rsidRPr="00AC4AEA">
        <w:rPr>
          <w:rFonts w:ascii="Arial" w:hAnsi="Arial" w:cs="Arial"/>
          <w:sz w:val="20"/>
        </w:rPr>
        <w:t>a esa fecha</w:t>
      </w:r>
      <w:r w:rsidRPr="00AC4AEA">
        <w:rPr>
          <w:rFonts w:ascii="Arial" w:hAnsi="Arial" w:cs="Arial"/>
          <w:sz w:val="20"/>
        </w:rPr>
        <w:t>, también expresados en moneda de cierre.</w:t>
      </w:r>
    </w:p>
    <w:p w:rsidR="002979E6" w:rsidRPr="00AC4AEA" w:rsidRDefault="002979E6" w:rsidP="00A318EA">
      <w:pPr>
        <w:pStyle w:val="A-Normal11"/>
        <w:numPr>
          <w:ilvl w:val="0"/>
          <w:numId w:val="29"/>
        </w:numPr>
        <w:jc w:val="both"/>
        <w:rPr>
          <w:rFonts w:ascii="Arial" w:hAnsi="Arial" w:cs="Arial"/>
          <w:sz w:val="20"/>
        </w:rPr>
      </w:pPr>
      <w:r w:rsidRPr="00AC4AEA">
        <w:rPr>
          <w:rFonts w:ascii="Arial" w:hAnsi="Arial" w:cs="Arial"/>
          <w:sz w:val="20"/>
        </w:rPr>
        <w:t xml:space="preserve">Para expresar en moneda de cierre las distintas partidas que integran el </w:t>
      </w:r>
      <w:r w:rsidRPr="00AC4AEA">
        <w:rPr>
          <w:rFonts w:ascii="Arial" w:hAnsi="Arial" w:cs="Arial"/>
          <w:b/>
          <w:bCs/>
          <w:sz w:val="20"/>
        </w:rPr>
        <w:t>patrimonio neto</w:t>
      </w:r>
      <w:r w:rsidRPr="00AC4AEA">
        <w:rPr>
          <w:rFonts w:ascii="Arial" w:hAnsi="Arial" w:cs="Arial"/>
          <w:sz w:val="20"/>
        </w:rPr>
        <w:t>, excluido el resultado del período actual, la entidad procederá de la siguiente manera:</w:t>
      </w:r>
    </w:p>
    <w:p w:rsidR="002979E6" w:rsidRPr="00AC4AEA" w:rsidRDefault="007D7512" w:rsidP="00A318EA">
      <w:pPr>
        <w:pStyle w:val="A-Normal11"/>
        <w:numPr>
          <w:ilvl w:val="0"/>
          <w:numId w:val="312"/>
        </w:numPr>
        <w:jc w:val="both"/>
        <w:rPr>
          <w:rFonts w:ascii="Arial" w:hAnsi="Arial" w:cs="Arial"/>
          <w:sz w:val="20"/>
        </w:rPr>
      </w:pPr>
      <w:r w:rsidRPr="00AC4AEA">
        <w:rPr>
          <w:rFonts w:ascii="Arial" w:hAnsi="Arial" w:cs="Arial"/>
          <w:sz w:val="20"/>
        </w:rPr>
        <w:t>E</w:t>
      </w:r>
      <w:r w:rsidR="002979E6" w:rsidRPr="00AC4AEA">
        <w:rPr>
          <w:rFonts w:ascii="Arial" w:hAnsi="Arial" w:cs="Arial"/>
          <w:sz w:val="20"/>
        </w:rPr>
        <w:t xml:space="preserve">xpresará en moneda de cierre el saldo inicial de cada partida, utilizando el coeficiente </w:t>
      </w:r>
      <w:r w:rsidRPr="00AC4AEA">
        <w:rPr>
          <w:rFonts w:ascii="Arial" w:hAnsi="Arial" w:cs="Arial"/>
          <w:sz w:val="20"/>
        </w:rPr>
        <w:t xml:space="preserve">que refleje la evolución del </w:t>
      </w:r>
      <w:r w:rsidRPr="00AC4AEA">
        <w:rPr>
          <w:rFonts w:ascii="Arial" w:hAnsi="Arial" w:cs="Arial"/>
          <w:b/>
          <w:bCs/>
          <w:sz w:val="20"/>
        </w:rPr>
        <w:t xml:space="preserve">índice de precios FACPCE </w:t>
      </w:r>
      <w:r w:rsidRPr="00AC4AEA">
        <w:rPr>
          <w:rFonts w:ascii="Arial" w:hAnsi="Arial" w:cs="Arial"/>
          <w:sz w:val="20"/>
        </w:rPr>
        <w:t xml:space="preserve">desde la fecha en que se determinó el saldo inicial hasta la </w:t>
      </w:r>
      <w:r w:rsidRPr="00AC4AEA">
        <w:rPr>
          <w:rFonts w:ascii="Arial" w:hAnsi="Arial" w:cs="Arial"/>
          <w:b/>
          <w:bCs/>
          <w:sz w:val="20"/>
        </w:rPr>
        <w:t>fecha de los estados contables</w:t>
      </w:r>
      <w:r w:rsidRPr="00AC4AEA">
        <w:rPr>
          <w:rFonts w:ascii="Arial" w:hAnsi="Arial" w:cs="Arial"/>
          <w:sz w:val="20"/>
        </w:rPr>
        <w:t>.</w:t>
      </w:r>
    </w:p>
    <w:p w:rsidR="002979E6" w:rsidRPr="00AC4AEA" w:rsidRDefault="007D7512" w:rsidP="00A318EA">
      <w:pPr>
        <w:pStyle w:val="A-Normal11"/>
        <w:numPr>
          <w:ilvl w:val="0"/>
          <w:numId w:val="312"/>
        </w:numPr>
        <w:jc w:val="both"/>
        <w:rPr>
          <w:rFonts w:ascii="Arial" w:hAnsi="Arial" w:cs="Arial"/>
          <w:sz w:val="20"/>
        </w:rPr>
      </w:pPr>
      <w:r w:rsidRPr="00AC4AEA">
        <w:rPr>
          <w:rFonts w:ascii="Arial" w:hAnsi="Arial" w:cs="Arial"/>
          <w:sz w:val="20"/>
        </w:rPr>
        <w:t>A</w:t>
      </w:r>
      <w:r w:rsidR="002979E6" w:rsidRPr="00AC4AEA">
        <w:rPr>
          <w:rFonts w:ascii="Arial" w:hAnsi="Arial" w:cs="Arial"/>
          <w:sz w:val="20"/>
        </w:rPr>
        <w:t>l importe obtenido en a), le sumará o restará, según corresponda,</w:t>
      </w:r>
      <w:r w:rsidR="00A82EFF" w:rsidRPr="00AC4AEA">
        <w:rPr>
          <w:rFonts w:ascii="Arial" w:hAnsi="Arial" w:cs="Arial"/>
          <w:sz w:val="20"/>
        </w:rPr>
        <w:t xml:space="preserve"> </w:t>
      </w:r>
      <w:r w:rsidR="002979E6" w:rsidRPr="00AC4AEA">
        <w:rPr>
          <w:rFonts w:ascii="Arial" w:hAnsi="Arial" w:cs="Arial"/>
          <w:sz w:val="20"/>
        </w:rPr>
        <w:t xml:space="preserve">las variaciones ocurridas durante el </w:t>
      </w:r>
      <w:r w:rsidR="00F065B7" w:rsidRPr="00AC4AEA">
        <w:rPr>
          <w:rFonts w:ascii="Arial" w:hAnsi="Arial" w:cs="Arial"/>
          <w:sz w:val="20"/>
        </w:rPr>
        <w:t>período</w:t>
      </w:r>
      <w:r w:rsidR="002979E6" w:rsidRPr="00AC4AEA">
        <w:rPr>
          <w:rFonts w:ascii="Arial" w:hAnsi="Arial" w:cs="Arial"/>
          <w:sz w:val="20"/>
        </w:rPr>
        <w:t xml:space="preserve">, también expresadas en moneda de cierre, considerando para ello las pautas establecidas en </w:t>
      </w:r>
      <w:r w:rsidR="001B690C" w:rsidRPr="00AC4AEA">
        <w:rPr>
          <w:rFonts w:ascii="Arial" w:hAnsi="Arial" w:cs="Arial"/>
          <w:sz w:val="20"/>
        </w:rPr>
        <w:t xml:space="preserve">los párrafos </w:t>
      </w:r>
      <w:fldSimple w:instr=" REF _Ref102159641 \r \h  \* MERGEFORMAT ">
        <w:r w:rsidR="00D33A5D" w:rsidRPr="00D33A5D">
          <w:rPr>
            <w:rFonts w:ascii="Arial" w:hAnsi="Arial" w:cs="Arial"/>
            <w:sz w:val="20"/>
          </w:rPr>
          <w:t>191</w:t>
        </w:r>
      </w:fldSimple>
      <w:r w:rsidR="00E66911" w:rsidRPr="00AC4AEA">
        <w:rPr>
          <w:rFonts w:ascii="Arial" w:hAnsi="Arial" w:cs="Arial"/>
          <w:sz w:val="20"/>
        </w:rPr>
        <w:t xml:space="preserve"> a </w:t>
      </w:r>
      <w:fldSimple w:instr=" REF _Ref102159649 \r \h  \* MERGEFORMAT ">
        <w:r w:rsidR="00D33A5D" w:rsidRPr="00D33A5D">
          <w:rPr>
            <w:rFonts w:ascii="Arial" w:hAnsi="Arial" w:cs="Arial"/>
            <w:sz w:val="20"/>
          </w:rPr>
          <w:t>195</w:t>
        </w:r>
      </w:fldSimple>
      <w:r w:rsidR="00E66911" w:rsidRPr="00AC4AEA">
        <w:rPr>
          <w:rFonts w:ascii="Arial" w:hAnsi="Arial" w:cs="Arial"/>
          <w:sz w:val="20"/>
        </w:rPr>
        <w:t>.</w:t>
      </w:r>
    </w:p>
    <w:p w:rsidR="00AD0B60" w:rsidRPr="00AC4AEA" w:rsidRDefault="00AD0B60" w:rsidP="00A318EA">
      <w:pPr>
        <w:ind w:left="1080"/>
        <w:jc w:val="both"/>
        <w:rPr>
          <w:rFonts w:ascii="Arial" w:hAnsi="Arial" w:cs="Arial"/>
          <w:b/>
          <w:bCs/>
          <w:sz w:val="20"/>
          <w:szCs w:val="20"/>
        </w:rPr>
      </w:pPr>
    </w:p>
    <w:p w:rsidR="00AD0B60" w:rsidRPr="00AC4AEA" w:rsidRDefault="00AD0B60" w:rsidP="00A318EA">
      <w:pPr>
        <w:pStyle w:val="Ttulo3"/>
      </w:pPr>
      <w:bookmarkStart w:id="258" w:name="_Toc101863779"/>
      <w:bookmarkStart w:id="259" w:name="_Toc139356644"/>
      <w:r w:rsidRPr="00AC4AEA">
        <w:t xml:space="preserve">Ajuste de las variaciones </w:t>
      </w:r>
      <w:r w:rsidR="005A44F0" w:rsidRPr="00AC4AEA">
        <w:t>del patrimonio neto</w:t>
      </w:r>
      <w:r w:rsidR="00CA0F7E" w:rsidRPr="00AC4AEA">
        <w:t xml:space="preserve"> </w:t>
      </w:r>
      <w:r w:rsidRPr="00AC4AEA">
        <w:t>ocurridas durante el período actual</w:t>
      </w:r>
      <w:bookmarkEnd w:id="258"/>
      <w:bookmarkEnd w:id="259"/>
    </w:p>
    <w:p w:rsidR="00AD0B60" w:rsidRPr="00AC4AEA" w:rsidRDefault="00AD0B60" w:rsidP="00A318EA">
      <w:pPr>
        <w:pStyle w:val="A-Normal11"/>
        <w:numPr>
          <w:ilvl w:val="0"/>
          <w:numId w:val="29"/>
        </w:numPr>
        <w:jc w:val="both"/>
        <w:rPr>
          <w:rFonts w:ascii="Arial" w:hAnsi="Arial" w:cs="Arial"/>
          <w:sz w:val="20"/>
        </w:rPr>
      </w:pPr>
      <w:bookmarkStart w:id="260" w:name="_Ref102159641"/>
      <w:r w:rsidRPr="00AC4AEA">
        <w:rPr>
          <w:rFonts w:ascii="Arial" w:hAnsi="Arial" w:cs="Arial"/>
          <w:sz w:val="20"/>
        </w:rPr>
        <w:t>Una entidad expresará las variaciones patrimoniales del siguiente modo:</w:t>
      </w:r>
      <w:bookmarkEnd w:id="260"/>
    </w:p>
    <w:p w:rsidR="00AD0B60" w:rsidRPr="00AC4AEA" w:rsidRDefault="00AD0B60" w:rsidP="00A318EA">
      <w:pPr>
        <w:pStyle w:val="A-Normal11"/>
        <w:numPr>
          <w:ilvl w:val="2"/>
          <w:numId w:val="259"/>
        </w:numPr>
        <w:ind w:left="1560" w:hanging="567"/>
        <w:jc w:val="both"/>
        <w:rPr>
          <w:rFonts w:ascii="Arial" w:hAnsi="Arial" w:cs="Arial"/>
          <w:sz w:val="20"/>
          <w:u w:val="single"/>
        </w:rPr>
      </w:pPr>
      <w:r w:rsidRPr="00AC4AEA">
        <w:rPr>
          <w:rFonts w:ascii="Arial" w:hAnsi="Arial" w:cs="Arial"/>
          <w:sz w:val="20"/>
          <w:u w:val="single"/>
        </w:rPr>
        <w:t xml:space="preserve">Resultados y </w:t>
      </w:r>
      <w:r w:rsidRPr="00AC4AEA">
        <w:rPr>
          <w:rFonts w:ascii="Arial" w:hAnsi="Arial" w:cs="Arial"/>
          <w:b/>
          <w:bCs/>
          <w:sz w:val="20"/>
          <w:u w:val="single"/>
        </w:rPr>
        <w:t>resultados diferidos</w:t>
      </w:r>
    </w:p>
    <w:p w:rsidR="00AD0B60" w:rsidRPr="00AC4AEA" w:rsidRDefault="00AD0B60" w:rsidP="00A318EA">
      <w:pPr>
        <w:pStyle w:val="A-Normal11"/>
        <w:ind w:left="1560"/>
        <w:jc w:val="both"/>
        <w:rPr>
          <w:rFonts w:ascii="Arial" w:hAnsi="Arial" w:cs="Arial"/>
          <w:sz w:val="20"/>
        </w:rPr>
      </w:pPr>
      <w:r w:rsidRPr="00AC4AEA">
        <w:rPr>
          <w:rFonts w:ascii="Arial" w:hAnsi="Arial" w:cs="Arial"/>
          <w:sz w:val="20"/>
        </w:rPr>
        <w:t xml:space="preserve">Para </w:t>
      </w:r>
      <w:r w:rsidR="00CF2749" w:rsidRPr="00AC4AEA">
        <w:rPr>
          <w:rFonts w:ascii="Arial" w:hAnsi="Arial" w:cs="Arial"/>
          <w:sz w:val="20"/>
        </w:rPr>
        <w:t>ajustar</w:t>
      </w:r>
      <w:r w:rsidRPr="00AC4AEA">
        <w:rPr>
          <w:rFonts w:ascii="Arial" w:hAnsi="Arial" w:cs="Arial"/>
          <w:sz w:val="20"/>
        </w:rPr>
        <w:t xml:space="preserve"> cada uno de los componentes del resultado del período y los </w:t>
      </w:r>
      <w:r w:rsidRPr="00AC4AEA">
        <w:rPr>
          <w:rFonts w:ascii="Arial" w:hAnsi="Arial" w:cs="Arial"/>
          <w:b/>
          <w:bCs/>
          <w:sz w:val="20"/>
        </w:rPr>
        <w:t>resultados diferidos</w:t>
      </w:r>
      <w:r w:rsidRPr="00AC4AEA">
        <w:rPr>
          <w:rFonts w:ascii="Arial" w:hAnsi="Arial" w:cs="Arial"/>
          <w:sz w:val="20"/>
        </w:rPr>
        <w:t xml:space="preserve"> del período, la entidad determinará la moneda en que tal componente se encuentra expresado. Para ello, la entidad clasificará y medirá los componentes del resultado del período y los </w:t>
      </w:r>
      <w:r w:rsidRPr="00AC4AEA">
        <w:rPr>
          <w:rFonts w:ascii="Arial" w:hAnsi="Arial" w:cs="Arial"/>
          <w:b/>
          <w:bCs/>
          <w:sz w:val="20"/>
        </w:rPr>
        <w:t>resultados diferidos</w:t>
      </w:r>
      <w:r w:rsidRPr="00AC4AEA">
        <w:rPr>
          <w:rFonts w:ascii="Arial" w:hAnsi="Arial" w:cs="Arial"/>
          <w:sz w:val="20"/>
        </w:rPr>
        <w:t xml:space="preserve"> del período del siguiente modo:</w:t>
      </w:r>
    </w:p>
    <w:tbl>
      <w:tblPr>
        <w:tblStyle w:val="Tablaconcuadrcula"/>
        <w:tblW w:w="8647" w:type="dxa"/>
        <w:tblInd w:w="279" w:type="dxa"/>
        <w:tblLook w:val="04A0"/>
      </w:tblPr>
      <w:tblGrid>
        <w:gridCol w:w="4323"/>
        <w:gridCol w:w="4324"/>
      </w:tblGrid>
      <w:tr w:rsidR="00E618EF" w:rsidRPr="00AC4AEA" w:rsidTr="00027642">
        <w:trPr>
          <w:tblHeader/>
        </w:trPr>
        <w:tc>
          <w:tcPr>
            <w:tcW w:w="4323" w:type="dxa"/>
            <w:shd w:val="clear" w:color="auto" w:fill="EEECE1" w:themeFill="background2"/>
            <w:vAlign w:val="center"/>
          </w:tcPr>
          <w:p w:rsidR="005A44F0" w:rsidRPr="00AC4AEA" w:rsidRDefault="00AD0B60" w:rsidP="00A318EA">
            <w:pPr>
              <w:pStyle w:val="A-Normal11"/>
              <w:jc w:val="center"/>
              <w:rPr>
                <w:rFonts w:ascii="Arial" w:hAnsi="Arial" w:cs="Arial"/>
                <w:b/>
                <w:bCs/>
                <w:sz w:val="20"/>
              </w:rPr>
            </w:pPr>
            <w:r w:rsidRPr="00AC4AEA">
              <w:rPr>
                <w:rFonts w:ascii="Arial" w:hAnsi="Arial" w:cs="Arial"/>
                <w:b/>
                <w:bCs/>
                <w:sz w:val="20"/>
              </w:rPr>
              <w:t>Clasificación de los componentes del resultado del período y de los resultados diferidos del período</w:t>
            </w:r>
          </w:p>
        </w:tc>
        <w:tc>
          <w:tcPr>
            <w:tcW w:w="4324" w:type="dxa"/>
            <w:shd w:val="clear" w:color="auto" w:fill="EEECE1" w:themeFill="background2"/>
            <w:vAlign w:val="center"/>
          </w:tcPr>
          <w:p w:rsidR="002979E6" w:rsidRPr="00AC4AEA" w:rsidRDefault="002979E6" w:rsidP="00A318EA">
            <w:pPr>
              <w:pStyle w:val="A-Normal11"/>
              <w:jc w:val="center"/>
              <w:rPr>
                <w:rFonts w:ascii="Arial" w:hAnsi="Arial" w:cs="Arial"/>
                <w:b/>
                <w:bCs/>
                <w:sz w:val="20"/>
              </w:rPr>
            </w:pPr>
            <w:r w:rsidRPr="00AC4AEA">
              <w:rPr>
                <w:rFonts w:ascii="Arial" w:hAnsi="Arial" w:cs="Arial"/>
                <w:b/>
                <w:bCs/>
                <w:sz w:val="20"/>
              </w:rPr>
              <w:t>Para medir el</w:t>
            </w:r>
            <w:r w:rsidR="00AD0B60" w:rsidRPr="00AC4AEA">
              <w:rPr>
                <w:rFonts w:ascii="Arial" w:hAnsi="Arial" w:cs="Arial"/>
                <w:b/>
                <w:bCs/>
                <w:sz w:val="20"/>
              </w:rPr>
              <w:t xml:space="preserve"> componente en moneda de cierre</w:t>
            </w:r>
            <w:r w:rsidRPr="00AC4AEA">
              <w:rPr>
                <w:rFonts w:ascii="Arial" w:hAnsi="Arial" w:cs="Arial"/>
                <w:b/>
                <w:bCs/>
                <w:sz w:val="20"/>
              </w:rPr>
              <w:t>, una entidad:</w:t>
            </w:r>
          </w:p>
        </w:tc>
      </w:tr>
      <w:tr w:rsidR="00E618EF" w:rsidRPr="00AC4AEA" w:rsidTr="00027642">
        <w:tc>
          <w:tcPr>
            <w:tcW w:w="4323" w:type="dxa"/>
          </w:tcPr>
          <w:p w:rsidR="00AD0B60" w:rsidRPr="00AC4AEA" w:rsidRDefault="00AD0B60" w:rsidP="00A318EA">
            <w:pPr>
              <w:pStyle w:val="A-Normal11"/>
              <w:rPr>
                <w:rFonts w:ascii="Arial" w:hAnsi="Arial" w:cs="Arial"/>
                <w:sz w:val="20"/>
              </w:rPr>
            </w:pPr>
            <w:r w:rsidRPr="00AC4AEA">
              <w:rPr>
                <w:rFonts w:ascii="Arial" w:hAnsi="Arial" w:cs="Arial"/>
                <w:sz w:val="20"/>
              </w:rPr>
              <w:t xml:space="preserve">Resultados generados por transacciones (por </w:t>
            </w:r>
            <w:r w:rsidRPr="00AC4AEA">
              <w:rPr>
                <w:rFonts w:ascii="Arial" w:hAnsi="Arial" w:cs="Arial"/>
                <w:sz w:val="20"/>
              </w:rPr>
              <w:lastRenderedPageBreak/>
              <w:t>ejemplo, ventas del período, gastos por sueldos, impuesto a las ganancias corriente)</w:t>
            </w:r>
            <w:r w:rsidR="00587591" w:rsidRPr="00AC4AEA">
              <w:rPr>
                <w:rFonts w:ascii="Arial" w:hAnsi="Arial" w:cs="Arial"/>
                <w:sz w:val="20"/>
              </w:rPr>
              <w:t>.</w:t>
            </w:r>
          </w:p>
        </w:tc>
        <w:tc>
          <w:tcPr>
            <w:tcW w:w="4324" w:type="dxa"/>
          </w:tcPr>
          <w:p w:rsidR="00AD0B60" w:rsidRPr="00AC4AEA" w:rsidRDefault="00AD0B60" w:rsidP="00A318EA">
            <w:pPr>
              <w:pStyle w:val="A-Normal11"/>
              <w:rPr>
                <w:rFonts w:ascii="Arial" w:hAnsi="Arial" w:cs="Arial"/>
                <w:sz w:val="20"/>
              </w:rPr>
            </w:pPr>
            <w:r w:rsidRPr="00AC4AEA">
              <w:rPr>
                <w:rFonts w:ascii="Arial" w:hAnsi="Arial" w:cs="Arial"/>
                <w:sz w:val="20"/>
              </w:rPr>
              <w:lastRenderedPageBreak/>
              <w:t xml:space="preserve">Multiplicará el valor nominal del resultado por </w:t>
            </w:r>
            <w:r w:rsidRPr="00AC4AEA">
              <w:rPr>
                <w:rFonts w:ascii="Arial" w:hAnsi="Arial" w:cs="Arial"/>
                <w:sz w:val="20"/>
              </w:rPr>
              <w:lastRenderedPageBreak/>
              <w:t xml:space="preserve">el coeficiente </w:t>
            </w:r>
            <w:r w:rsidR="00A102B4" w:rsidRPr="00AC4AEA">
              <w:rPr>
                <w:rFonts w:ascii="Arial" w:hAnsi="Arial" w:cs="Arial"/>
                <w:sz w:val="20"/>
              </w:rPr>
              <w:t>correspondiente</w:t>
            </w:r>
            <w:r w:rsidRPr="00AC4AEA">
              <w:rPr>
                <w:rFonts w:ascii="Arial" w:hAnsi="Arial" w:cs="Arial"/>
                <w:sz w:val="20"/>
              </w:rPr>
              <w:t xml:space="preserve"> a la fecha de origen de la medición de las transacciones reconocidas.</w:t>
            </w:r>
          </w:p>
        </w:tc>
      </w:tr>
      <w:tr w:rsidR="00E618EF" w:rsidRPr="00AC4AEA" w:rsidTr="00027642">
        <w:tc>
          <w:tcPr>
            <w:tcW w:w="4323" w:type="dxa"/>
          </w:tcPr>
          <w:p w:rsidR="00AD0B60" w:rsidRPr="00AC4AEA" w:rsidRDefault="00AD0B60" w:rsidP="00A318EA">
            <w:pPr>
              <w:pStyle w:val="A-Normal11"/>
              <w:rPr>
                <w:rFonts w:ascii="Arial" w:hAnsi="Arial" w:cs="Arial"/>
                <w:sz w:val="20"/>
              </w:rPr>
            </w:pPr>
            <w:r w:rsidRPr="00AC4AEA">
              <w:rPr>
                <w:rFonts w:ascii="Arial" w:hAnsi="Arial" w:cs="Arial"/>
                <w:sz w:val="20"/>
              </w:rPr>
              <w:lastRenderedPageBreak/>
              <w:t xml:space="preserve">Resultados generados por consumo de </w:t>
            </w:r>
            <w:r w:rsidR="00497590" w:rsidRPr="00AC4AEA">
              <w:rPr>
                <w:rFonts w:ascii="Arial" w:hAnsi="Arial" w:cs="Arial"/>
                <w:sz w:val="20"/>
              </w:rPr>
              <w:t>activos</w:t>
            </w:r>
            <w:r w:rsidRPr="00AC4AEA">
              <w:rPr>
                <w:rFonts w:ascii="Arial" w:hAnsi="Arial" w:cs="Arial"/>
                <w:sz w:val="20"/>
              </w:rPr>
              <w:t xml:space="preserve"> adquiridos en una fecha anterior a la de su consumo, y medidos a su costo</w:t>
            </w:r>
            <w:r w:rsidR="005A44F0" w:rsidRPr="00AC4AEA">
              <w:rPr>
                <w:rFonts w:ascii="Arial" w:hAnsi="Arial" w:cs="Arial"/>
                <w:sz w:val="20"/>
              </w:rPr>
              <w:t xml:space="preserve"> (por ejemplo, depreciaciones de bienes de uso y costo de lo vendido)</w:t>
            </w:r>
          </w:p>
        </w:tc>
        <w:tc>
          <w:tcPr>
            <w:tcW w:w="4324" w:type="dxa"/>
          </w:tcPr>
          <w:p w:rsidR="002979E6" w:rsidRPr="00AC4AEA" w:rsidRDefault="002979E6" w:rsidP="00A318EA">
            <w:pPr>
              <w:pStyle w:val="A-Normal11"/>
              <w:rPr>
                <w:rFonts w:ascii="Arial" w:hAnsi="Arial" w:cs="Arial"/>
                <w:sz w:val="20"/>
              </w:rPr>
            </w:pPr>
            <w:r w:rsidRPr="00AC4AEA">
              <w:rPr>
                <w:rFonts w:ascii="Arial" w:hAnsi="Arial" w:cs="Arial"/>
                <w:sz w:val="20"/>
              </w:rPr>
              <w:t xml:space="preserve">Multiplicará su valor nominal por el coeficiente correspondiente a la </w:t>
            </w:r>
            <w:r w:rsidRPr="0043099C">
              <w:rPr>
                <w:rFonts w:ascii="Arial" w:hAnsi="Arial" w:cs="Arial"/>
                <w:b/>
                <w:bCs/>
                <w:sz w:val="20"/>
              </w:rPr>
              <w:t xml:space="preserve">fecha de </w:t>
            </w:r>
            <w:r w:rsidR="0043099C" w:rsidRPr="00F57554">
              <w:rPr>
                <w:rFonts w:ascii="Arial" w:hAnsi="Arial" w:cs="Arial"/>
                <w:b/>
                <w:bCs/>
                <w:sz w:val="20"/>
              </w:rPr>
              <w:t>la</w:t>
            </w:r>
            <w:r w:rsidR="0043099C">
              <w:rPr>
                <w:rFonts w:ascii="Arial" w:hAnsi="Arial" w:cs="Arial"/>
                <w:b/>
                <w:bCs/>
                <w:sz w:val="20"/>
              </w:rPr>
              <w:t xml:space="preserve"> </w:t>
            </w:r>
            <w:r w:rsidR="005A44F0" w:rsidRPr="0043099C">
              <w:rPr>
                <w:rFonts w:ascii="Arial" w:hAnsi="Arial" w:cs="Arial"/>
                <w:b/>
                <w:bCs/>
                <w:sz w:val="20"/>
              </w:rPr>
              <w:t>medición</w:t>
            </w:r>
            <w:r w:rsidRPr="00AC4AEA">
              <w:rPr>
                <w:rFonts w:ascii="Arial" w:hAnsi="Arial" w:cs="Arial"/>
                <w:sz w:val="20"/>
              </w:rPr>
              <w:t xml:space="preserve"> de los </w:t>
            </w:r>
            <w:r w:rsidR="00497590" w:rsidRPr="00AC4AEA">
              <w:rPr>
                <w:rFonts w:ascii="Arial" w:hAnsi="Arial" w:cs="Arial"/>
                <w:sz w:val="20"/>
              </w:rPr>
              <w:t>activos</w:t>
            </w:r>
            <w:r w:rsidRPr="00AC4AEA">
              <w:rPr>
                <w:rFonts w:ascii="Arial" w:hAnsi="Arial" w:cs="Arial"/>
                <w:sz w:val="20"/>
              </w:rPr>
              <w:t xml:space="preserve"> consumidos</w:t>
            </w:r>
            <w:r w:rsidR="005C04BE" w:rsidRPr="00AC4AEA">
              <w:rPr>
                <w:rFonts w:ascii="Arial" w:hAnsi="Arial" w:cs="Arial"/>
                <w:sz w:val="20"/>
              </w:rPr>
              <w:t xml:space="preserve"> (que generalmente coincidirá con la fecha de reconocimiento)</w:t>
            </w:r>
            <w:r w:rsidR="005A44F0" w:rsidRPr="00AC4AEA">
              <w:rPr>
                <w:rFonts w:ascii="Arial" w:hAnsi="Arial" w:cs="Arial"/>
                <w:sz w:val="20"/>
              </w:rPr>
              <w:t>.</w:t>
            </w:r>
          </w:p>
          <w:p w:rsidR="00AD0B60" w:rsidRPr="00AC4AEA" w:rsidRDefault="00AD0B60" w:rsidP="00A318EA">
            <w:pPr>
              <w:pStyle w:val="A-Normal11"/>
              <w:rPr>
                <w:rFonts w:ascii="Arial" w:hAnsi="Arial" w:cs="Arial"/>
                <w:sz w:val="20"/>
              </w:rPr>
            </w:pPr>
            <w:r w:rsidRPr="00AC4AEA">
              <w:rPr>
                <w:rFonts w:ascii="Arial" w:hAnsi="Arial" w:cs="Arial"/>
                <w:sz w:val="20"/>
              </w:rPr>
              <w:t xml:space="preserve">El período de reconocimiento de los </w:t>
            </w:r>
            <w:r w:rsidR="00497590" w:rsidRPr="00AC4AEA">
              <w:rPr>
                <w:rFonts w:ascii="Arial" w:hAnsi="Arial" w:cs="Arial"/>
                <w:sz w:val="20"/>
              </w:rPr>
              <w:t>activos</w:t>
            </w:r>
            <w:r w:rsidRPr="00AC4AEA">
              <w:rPr>
                <w:rFonts w:ascii="Arial" w:hAnsi="Arial" w:cs="Arial"/>
                <w:sz w:val="20"/>
              </w:rPr>
              <w:t xml:space="preserve"> consumidos podrá estimarse en función del tiempo de permanencia promedio determinado por la rotación física de dichos </w:t>
            </w:r>
            <w:r w:rsidR="00497590" w:rsidRPr="00AC4AEA">
              <w:rPr>
                <w:rFonts w:ascii="Arial" w:hAnsi="Arial" w:cs="Arial"/>
                <w:sz w:val="20"/>
              </w:rPr>
              <w:t>activos</w:t>
            </w:r>
            <w:r w:rsidRPr="00AC4AEA">
              <w:rPr>
                <w:rFonts w:ascii="Arial" w:hAnsi="Arial" w:cs="Arial"/>
                <w:sz w:val="20"/>
              </w:rPr>
              <w:t xml:space="preserve">. </w:t>
            </w:r>
            <w:r w:rsidR="00A102B4" w:rsidRPr="00AC4AEA">
              <w:rPr>
                <w:rFonts w:ascii="Arial" w:hAnsi="Arial" w:cs="Arial"/>
                <w:sz w:val="20"/>
              </w:rPr>
              <w:t>Por ejemplo,</w:t>
            </w:r>
            <w:r w:rsidRPr="00AC4AEA">
              <w:rPr>
                <w:rFonts w:ascii="Arial" w:hAnsi="Arial" w:cs="Arial"/>
                <w:sz w:val="20"/>
              </w:rPr>
              <w:t xml:space="preserve"> </w:t>
            </w:r>
            <w:r w:rsidR="002C293E" w:rsidRPr="00AC4AEA">
              <w:rPr>
                <w:rFonts w:ascii="Arial" w:hAnsi="Arial" w:cs="Arial"/>
                <w:sz w:val="20"/>
              </w:rPr>
              <w:t xml:space="preserve">en el caso de </w:t>
            </w:r>
            <w:r w:rsidRPr="00AC4AEA">
              <w:rPr>
                <w:rFonts w:ascii="Arial" w:hAnsi="Arial" w:cs="Arial"/>
                <w:sz w:val="20"/>
              </w:rPr>
              <w:t>bienes de cambio que rotan en forma sistemática a lo largo del tiempo.</w:t>
            </w:r>
          </w:p>
          <w:p w:rsidR="002C293E" w:rsidRPr="00AC4AEA" w:rsidRDefault="002C293E" w:rsidP="00A318EA">
            <w:pPr>
              <w:pStyle w:val="A-Normal11"/>
              <w:rPr>
                <w:rFonts w:ascii="Arial" w:hAnsi="Arial" w:cs="Arial"/>
                <w:sz w:val="20"/>
              </w:rPr>
            </w:pPr>
            <w:r w:rsidRPr="00AC4AEA">
              <w:rPr>
                <w:rFonts w:ascii="Arial" w:hAnsi="Arial" w:cs="Arial"/>
                <w:sz w:val="20"/>
              </w:rPr>
              <w:t xml:space="preserve">Las depreciaciones podrán calcularse aplicando la cuota de depreciación del período </w:t>
            </w:r>
            <w:r w:rsidR="00432574" w:rsidRPr="00AC4AEA">
              <w:rPr>
                <w:rFonts w:ascii="Arial" w:hAnsi="Arial" w:cs="Arial"/>
                <w:sz w:val="20"/>
              </w:rPr>
              <w:t>sobre el valor de origen expresado en moneda de cierre</w:t>
            </w:r>
            <w:r w:rsidRPr="00AC4AEA">
              <w:rPr>
                <w:rFonts w:ascii="Arial" w:hAnsi="Arial" w:cs="Arial"/>
                <w:sz w:val="20"/>
              </w:rPr>
              <w:t>.</w:t>
            </w:r>
          </w:p>
        </w:tc>
      </w:tr>
      <w:tr w:rsidR="00E618EF" w:rsidRPr="00AC4AEA" w:rsidTr="00027642">
        <w:tc>
          <w:tcPr>
            <w:tcW w:w="4323" w:type="dxa"/>
          </w:tcPr>
          <w:p w:rsidR="00AD0B60" w:rsidRPr="00AC4AEA" w:rsidRDefault="00AD0B60" w:rsidP="00A318EA">
            <w:pPr>
              <w:pStyle w:val="A-Normal11"/>
              <w:rPr>
                <w:rFonts w:ascii="Arial" w:hAnsi="Arial" w:cs="Arial"/>
                <w:sz w:val="20"/>
              </w:rPr>
            </w:pPr>
            <w:r w:rsidRPr="00AC4AEA">
              <w:rPr>
                <w:rFonts w:ascii="Arial" w:hAnsi="Arial" w:cs="Arial"/>
                <w:sz w:val="20"/>
              </w:rPr>
              <w:t xml:space="preserve">Resultados generados por comparación de magnitudes, y al menos una de ellas se efectuó en una fecha diferentes a la del reconocimiento contable (por ejemplo: resultados por la venta de bienes de uso, resultados generados por comparación de un </w:t>
            </w:r>
            <w:r w:rsidRPr="00AC4AEA">
              <w:rPr>
                <w:rFonts w:ascii="Arial" w:hAnsi="Arial" w:cs="Arial"/>
                <w:b/>
                <w:bCs/>
                <w:sz w:val="20"/>
              </w:rPr>
              <w:t>activo</w:t>
            </w:r>
            <w:r w:rsidRPr="00AC4AEA">
              <w:rPr>
                <w:rFonts w:ascii="Arial" w:hAnsi="Arial" w:cs="Arial"/>
                <w:sz w:val="20"/>
              </w:rPr>
              <w:t xml:space="preserve"> con su </w:t>
            </w:r>
            <w:r w:rsidRPr="00AC4AEA">
              <w:rPr>
                <w:rFonts w:ascii="Arial" w:hAnsi="Arial" w:cs="Arial"/>
                <w:b/>
                <w:bCs/>
                <w:sz w:val="20"/>
              </w:rPr>
              <w:t>valor recuperable</w:t>
            </w:r>
            <w:r w:rsidRPr="00AC4AEA">
              <w:rPr>
                <w:rFonts w:ascii="Arial" w:hAnsi="Arial" w:cs="Arial"/>
                <w:sz w:val="20"/>
              </w:rPr>
              <w:t xml:space="preserve">, resultados de la </w:t>
            </w:r>
            <w:r w:rsidRPr="00847DC6">
              <w:rPr>
                <w:rFonts w:ascii="Arial" w:hAnsi="Arial" w:cs="Arial"/>
                <w:b/>
                <w:bCs/>
                <w:sz w:val="20"/>
              </w:rPr>
              <w:t>actividad agropecuaria</w:t>
            </w:r>
            <w:r w:rsidRPr="00AC4AEA">
              <w:rPr>
                <w:rFonts w:ascii="Arial" w:hAnsi="Arial" w:cs="Arial"/>
                <w:sz w:val="20"/>
              </w:rPr>
              <w:t>, resultados por tenencia, etc.).</w:t>
            </w:r>
          </w:p>
        </w:tc>
        <w:tc>
          <w:tcPr>
            <w:tcW w:w="4324" w:type="dxa"/>
          </w:tcPr>
          <w:p w:rsidR="00AD0B60" w:rsidRPr="00AC4AEA" w:rsidRDefault="00AD0B60" w:rsidP="00A318EA">
            <w:pPr>
              <w:pStyle w:val="A-Normal11"/>
              <w:rPr>
                <w:rFonts w:ascii="Arial" w:hAnsi="Arial" w:cs="Arial"/>
                <w:sz w:val="20"/>
              </w:rPr>
            </w:pPr>
            <w:r w:rsidRPr="00AC4AEA">
              <w:rPr>
                <w:rFonts w:ascii="Arial" w:hAnsi="Arial" w:cs="Arial"/>
                <w:sz w:val="20"/>
              </w:rPr>
              <w:t>Multiplicará cada una de las magnitudes de las partidas que se compararon en el cálculo original por el coeficiente correspondiente y, una vez expresadas en moneda de cierre, volverá a compararlas para determinar el resultado del período o el resultado diferido en moneda de cierre.</w:t>
            </w:r>
          </w:p>
        </w:tc>
      </w:tr>
      <w:tr w:rsidR="00AD0B60" w:rsidRPr="00AC4AEA" w:rsidTr="00027642">
        <w:tc>
          <w:tcPr>
            <w:tcW w:w="4323" w:type="dxa"/>
          </w:tcPr>
          <w:p w:rsidR="00AD0B60" w:rsidRPr="00AC4AEA" w:rsidRDefault="00AD0B60" w:rsidP="00A318EA">
            <w:pPr>
              <w:pStyle w:val="A-Normal11"/>
              <w:rPr>
                <w:rFonts w:ascii="Arial" w:hAnsi="Arial" w:cs="Arial"/>
                <w:sz w:val="20"/>
              </w:rPr>
            </w:pPr>
            <w:r w:rsidRPr="00AC4AEA">
              <w:rPr>
                <w:rFonts w:ascii="Arial" w:hAnsi="Arial" w:cs="Arial"/>
                <w:sz w:val="20"/>
              </w:rPr>
              <w:t>Resultados financieros</w:t>
            </w:r>
            <w:r w:rsidR="0039084C" w:rsidRPr="00AC4AEA">
              <w:rPr>
                <w:rFonts w:ascii="Arial" w:hAnsi="Arial" w:cs="Arial"/>
                <w:sz w:val="20"/>
              </w:rPr>
              <w:t xml:space="preserve"> (intereses y diferencias de cambio)</w:t>
            </w:r>
            <w:r w:rsidR="003450F8" w:rsidRPr="00AC4AEA">
              <w:rPr>
                <w:rFonts w:ascii="Arial" w:hAnsi="Arial" w:cs="Arial"/>
                <w:sz w:val="20"/>
              </w:rPr>
              <w:t>.</w:t>
            </w:r>
          </w:p>
          <w:p w:rsidR="00AD0B60" w:rsidRPr="00AC4AEA" w:rsidRDefault="00AD0B60" w:rsidP="00A318EA">
            <w:pPr>
              <w:pStyle w:val="A-Normal11"/>
              <w:rPr>
                <w:rFonts w:ascii="Arial" w:hAnsi="Arial" w:cs="Arial"/>
                <w:sz w:val="20"/>
              </w:rPr>
            </w:pPr>
          </w:p>
        </w:tc>
        <w:tc>
          <w:tcPr>
            <w:tcW w:w="4324" w:type="dxa"/>
          </w:tcPr>
          <w:p w:rsidR="007D60F6" w:rsidRPr="00AC4AEA" w:rsidRDefault="000329F8" w:rsidP="00A318EA">
            <w:pPr>
              <w:pStyle w:val="A-Normal11"/>
              <w:rPr>
                <w:rFonts w:ascii="Arial" w:hAnsi="Arial" w:cs="Arial"/>
                <w:sz w:val="20"/>
              </w:rPr>
            </w:pPr>
            <w:r w:rsidRPr="00AC4AEA">
              <w:rPr>
                <w:rFonts w:ascii="Arial" w:hAnsi="Arial" w:cs="Arial"/>
                <w:sz w:val="20"/>
              </w:rPr>
              <w:t>D</w:t>
            </w:r>
            <w:r w:rsidR="007D60F6" w:rsidRPr="00AC4AEA">
              <w:rPr>
                <w:rFonts w:ascii="Arial" w:hAnsi="Arial" w:cs="Arial"/>
                <w:sz w:val="20"/>
              </w:rPr>
              <w:t xml:space="preserve">e conformidad con el párrafo </w:t>
            </w:r>
            <w:fldSimple w:instr=" REF _Ref103700215 \r \h  \* MERGEFORMAT ">
              <w:r w:rsidR="00D33A5D" w:rsidRPr="00D33A5D">
                <w:rPr>
                  <w:rFonts w:ascii="Arial" w:hAnsi="Arial" w:cs="Arial"/>
                  <w:sz w:val="20"/>
                </w:rPr>
                <w:t>634</w:t>
              </w:r>
            </w:fldSimple>
            <w:r w:rsidR="007D60F6" w:rsidRPr="00AC4AEA">
              <w:rPr>
                <w:rFonts w:ascii="Arial" w:hAnsi="Arial" w:cs="Arial"/>
                <w:sz w:val="20"/>
              </w:rPr>
              <w:t>, la entidad los determinará:</w:t>
            </w:r>
            <w:r w:rsidR="00A10C58" w:rsidRPr="00AC4AEA">
              <w:rPr>
                <w:rFonts w:ascii="Arial" w:hAnsi="Arial" w:cs="Arial"/>
                <w:sz w:val="20"/>
              </w:rPr>
              <w:t xml:space="preserve"> </w:t>
            </w:r>
          </w:p>
          <w:p w:rsidR="00AD0B60" w:rsidRPr="00AC4AEA" w:rsidRDefault="003800F6" w:rsidP="00A318EA">
            <w:pPr>
              <w:pStyle w:val="A-Normal11"/>
              <w:rPr>
                <w:rFonts w:ascii="Arial" w:hAnsi="Arial" w:cs="Arial"/>
                <w:sz w:val="20"/>
              </w:rPr>
            </w:pPr>
            <w:r w:rsidRPr="00AC4AEA">
              <w:rPr>
                <w:rFonts w:ascii="Arial" w:hAnsi="Arial" w:cs="Arial"/>
                <w:sz w:val="20"/>
              </w:rPr>
              <w:t>a) e</w:t>
            </w:r>
            <w:r w:rsidR="007D60F6" w:rsidRPr="00AC4AEA">
              <w:rPr>
                <w:rFonts w:ascii="Arial" w:hAnsi="Arial" w:cs="Arial"/>
                <w:sz w:val="20"/>
              </w:rPr>
              <w:t>n términos reales; o</w:t>
            </w:r>
          </w:p>
          <w:p w:rsidR="007D60F6" w:rsidRPr="00AC4AEA" w:rsidRDefault="003800F6" w:rsidP="00A318EA">
            <w:pPr>
              <w:pStyle w:val="A-Normal11"/>
              <w:rPr>
                <w:rFonts w:ascii="Arial" w:hAnsi="Arial" w:cs="Arial"/>
                <w:sz w:val="20"/>
              </w:rPr>
            </w:pPr>
            <w:r w:rsidRPr="00AC4AEA">
              <w:rPr>
                <w:rFonts w:ascii="Arial" w:hAnsi="Arial" w:cs="Arial"/>
                <w:sz w:val="20"/>
              </w:rPr>
              <w:t xml:space="preserve">b) </w:t>
            </w:r>
            <w:r w:rsidR="000329F8" w:rsidRPr="00AC4AEA">
              <w:rPr>
                <w:rFonts w:ascii="Arial" w:hAnsi="Arial" w:cs="Arial"/>
                <w:sz w:val="20"/>
              </w:rPr>
              <w:t xml:space="preserve">multiplicando el valor nominal por el coeficiente correspondiente, para </w:t>
            </w:r>
            <w:r w:rsidRPr="00AC4AEA">
              <w:rPr>
                <w:rFonts w:ascii="Arial" w:hAnsi="Arial" w:cs="Arial"/>
                <w:sz w:val="20"/>
              </w:rPr>
              <w:t>ex</w:t>
            </w:r>
            <w:r w:rsidR="007D60F6" w:rsidRPr="00AC4AEA">
              <w:rPr>
                <w:rFonts w:ascii="Arial" w:hAnsi="Arial" w:cs="Arial"/>
                <w:sz w:val="20"/>
              </w:rPr>
              <w:t>presa</w:t>
            </w:r>
            <w:r w:rsidR="000329F8" w:rsidRPr="00AC4AEA">
              <w:rPr>
                <w:rFonts w:ascii="Arial" w:hAnsi="Arial" w:cs="Arial"/>
                <w:sz w:val="20"/>
              </w:rPr>
              <w:t>rlos</w:t>
            </w:r>
            <w:r w:rsidR="007D60F6" w:rsidRPr="00AC4AEA">
              <w:rPr>
                <w:rFonts w:ascii="Arial" w:hAnsi="Arial" w:cs="Arial"/>
                <w:sz w:val="20"/>
              </w:rPr>
              <w:t xml:space="preserve"> en moneda de cierre</w:t>
            </w:r>
            <w:r w:rsidRPr="00AC4AEA">
              <w:rPr>
                <w:rFonts w:ascii="Arial" w:hAnsi="Arial" w:cs="Arial"/>
                <w:sz w:val="20"/>
              </w:rPr>
              <w:t>.</w:t>
            </w:r>
          </w:p>
        </w:tc>
      </w:tr>
    </w:tbl>
    <w:p w:rsidR="00027642" w:rsidRPr="00AC4AEA" w:rsidRDefault="00027642" w:rsidP="00A318EA">
      <w:pPr>
        <w:pStyle w:val="A-Normal11"/>
        <w:ind w:left="1560"/>
        <w:jc w:val="both"/>
        <w:rPr>
          <w:rFonts w:ascii="Arial" w:hAnsi="Arial" w:cs="Arial"/>
          <w:sz w:val="20"/>
          <w:u w:val="single"/>
        </w:rPr>
      </w:pPr>
    </w:p>
    <w:p w:rsidR="00AD0B60" w:rsidRPr="00AC4AEA" w:rsidRDefault="00AD0B60" w:rsidP="00F57554">
      <w:pPr>
        <w:pStyle w:val="A-Normal11"/>
        <w:numPr>
          <w:ilvl w:val="2"/>
          <w:numId w:val="259"/>
        </w:numPr>
        <w:ind w:left="1418" w:hanging="425"/>
        <w:jc w:val="both"/>
        <w:rPr>
          <w:rFonts w:ascii="Arial" w:hAnsi="Arial" w:cs="Arial"/>
          <w:sz w:val="20"/>
          <w:u w:val="single"/>
        </w:rPr>
      </w:pPr>
      <w:r w:rsidRPr="00235B00">
        <w:rPr>
          <w:rFonts w:ascii="Arial" w:hAnsi="Arial" w:cs="Arial"/>
          <w:sz w:val="20"/>
          <w:u w:val="single"/>
        </w:rPr>
        <w:t xml:space="preserve">Aportes </w:t>
      </w:r>
      <w:r w:rsidRPr="00AC4AEA">
        <w:rPr>
          <w:rFonts w:ascii="Arial" w:hAnsi="Arial" w:cs="Arial"/>
          <w:sz w:val="20"/>
          <w:u w:val="single"/>
        </w:rPr>
        <w:t>y distribuciones</w:t>
      </w:r>
    </w:p>
    <w:p w:rsidR="00AD0B60" w:rsidRPr="00AC4AEA" w:rsidRDefault="00AD0B60" w:rsidP="00A318EA">
      <w:pPr>
        <w:pStyle w:val="A-Normal11"/>
        <w:ind w:left="1418"/>
        <w:jc w:val="both"/>
        <w:rPr>
          <w:rFonts w:ascii="Arial" w:hAnsi="Arial" w:cs="Arial"/>
          <w:sz w:val="20"/>
        </w:rPr>
      </w:pPr>
      <w:r w:rsidRPr="00AC4AEA">
        <w:rPr>
          <w:rFonts w:ascii="Arial" w:hAnsi="Arial" w:cs="Arial"/>
          <w:sz w:val="20"/>
        </w:rPr>
        <w:t xml:space="preserve">Una entidad medirá los aumentos de capital, otros aportes, distribuciones y otras reducciones del </w:t>
      </w:r>
      <w:r w:rsidRPr="00AC4AEA">
        <w:rPr>
          <w:rFonts w:ascii="Arial" w:hAnsi="Arial" w:cs="Arial"/>
          <w:b/>
          <w:bCs/>
          <w:sz w:val="20"/>
        </w:rPr>
        <w:t>patrimonio</w:t>
      </w:r>
      <w:r w:rsidR="006467CE" w:rsidRPr="00AC4AEA">
        <w:rPr>
          <w:rFonts w:ascii="Arial" w:hAnsi="Arial" w:cs="Arial"/>
          <w:b/>
          <w:bCs/>
          <w:sz w:val="20"/>
        </w:rPr>
        <w:t xml:space="preserve"> neto</w:t>
      </w:r>
      <w:r w:rsidRPr="00AC4AEA">
        <w:rPr>
          <w:rFonts w:ascii="Arial" w:hAnsi="Arial" w:cs="Arial"/>
          <w:sz w:val="20"/>
        </w:rPr>
        <w:t xml:space="preserve"> ocurridos durante el período del siguiente modo (el listado no es exhaustivo):</w:t>
      </w:r>
    </w:p>
    <w:tbl>
      <w:tblPr>
        <w:tblStyle w:val="Tablaconcuadrcula"/>
        <w:tblW w:w="8647" w:type="dxa"/>
        <w:tblInd w:w="279" w:type="dxa"/>
        <w:tblLook w:val="04A0"/>
      </w:tblPr>
      <w:tblGrid>
        <w:gridCol w:w="4674"/>
        <w:gridCol w:w="3973"/>
      </w:tblGrid>
      <w:tr w:rsidR="00E618EF" w:rsidRPr="00AC4AEA" w:rsidTr="002A009A">
        <w:trPr>
          <w:tblHeader/>
        </w:trPr>
        <w:tc>
          <w:tcPr>
            <w:tcW w:w="4674" w:type="dxa"/>
            <w:shd w:val="clear" w:color="auto" w:fill="EEECE1" w:themeFill="background2"/>
            <w:vAlign w:val="center"/>
          </w:tcPr>
          <w:p w:rsidR="00AD0B60" w:rsidRPr="00AC4AEA" w:rsidRDefault="00AD0B60" w:rsidP="00A318EA">
            <w:pPr>
              <w:pStyle w:val="A-Normal11"/>
              <w:jc w:val="center"/>
              <w:rPr>
                <w:rFonts w:ascii="Arial" w:hAnsi="Arial" w:cs="Arial"/>
                <w:b/>
                <w:bCs/>
                <w:sz w:val="20"/>
              </w:rPr>
            </w:pPr>
            <w:r w:rsidRPr="00AC4AEA">
              <w:rPr>
                <w:rFonts w:ascii="Arial" w:hAnsi="Arial" w:cs="Arial"/>
                <w:b/>
                <w:bCs/>
                <w:sz w:val="20"/>
              </w:rPr>
              <w:lastRenderedPageBreak/>
              <w:t>Clasificación de los componentes correspondientes a aumentos de capital, otros aportes de los propietarios, distribuciones y otras reducciones</w:t>
            </w:r>
          </w:p>
        </w:tc>
        <w:tc>
          <w:tcPr>
            <w:tcW w:w="3973" w:type="dxa"/>
            <w:shd w:val="clear" w:color="auto" w:fill="EEECE1" w:themeFill="background2"/>
            <w:vAlign w:val="center"/>
          </w:tcPr>
          <w:p w:rsidR="002979E6" w:rsidRPr="00AC4AEA" w:rsidRDefault="002979E6" w:rsidP="00A318EA">
            <w:pPr>
              <w:pStyle w:val="A-Normal11"/>
              <w:jc w:val="center"/>
              <w:rPr>
                <w:rFonts w:ascii="Arial" w:hAnsi="Arial" w:cs="Arial"/>
                <w:b/>
                <w:bCs/>
                <w:sz w:val="20"/>
              </w:rPr>
            </w:pPr>
            <w:r w:rsidRPr="00AC4AEA">
              <w:rPr>
                <w:rFonts w:ascii="Arial" w:hAnsi="Arial" w:cs="Arial"/>
                <w:b/>
                <w:bCs/>
                <w:sz w:val="20"/>
              </w:rPr>
              <w:t>Para medir el componente en moneda de cierre, una entidad:</w:t>
            </w:r>
            <w:r w:rsidRPr="00AC4AEA" w:rsidDel="002979E6">
              <w:rPr>
                <w:rFonts w:ascii="Arial" w:hAnsi="Arial" w:cs="Arial"/>
                <w:b/>
                <w:bCs/>
                <w:sz w:val="20"/>
              </w:rPr>
              <w:t xml:space="preserve"> </w:t>
            </w:r>
            <w:r w:rsidR="00CF2749" w:rsidRPr="00AC4AEA">
              <w:rPr>
                <w:rFonts w:ascii="Arial" w:hAnsi="Arial" w:cs="Arial"/>
                <w:b/>
                <w:bCs/>
                <w:sz w:val="20"/>
              </w:rPr>
              <w:t>…</w:t>
            </w:r>
          </w:p>
        </w:tc>
      </w:tr>
      <w:tr w:rsidR="00E618EF" w:rsidRPr="00AC4AEA" w:rsidTr="002A009A">
        <w:tc>
          <w:tcPr>
            <w:tcW w:w="4674" w:type="dxa"/>
          </w:tcPr>
          <w:p w:rsidR="00AD0B60" w:rsidRPr="00AC4AEA" w:rsidRDefault="00AD0B60" w:rsidP="00A318EA">
            <w:pPr>
              <w:pStyle w:val="A-Normal11"/>
              <w:rPr>
                <w:rFonts w:ascii="Arial" w:hAnsi="Arial" w:cs="Arial"/>
                <w:sz w:val="20"/>
              </w:rPr>
            </w:pPr>
            <w:r w:rsidRPr="00AC4AEA">
              <w:rPr>
                <w:rFonts w:ascii="Arial" w:hAnsi="Arial" w:cs="Arial"/>
                <w:sz w:val="20"/>
              </w:rPr>
              <w:t>Aumento de capital por suscripción de nuevas acciones</w:t>
            </w:r>
            <w:r w:rsidR="00CF2749" w:rsidRPr="00AC4AEA">
              <w:rPr>
                <w:rFonts w:ascii="Arial" w:hAnsi="Arial" w:cs="Arial"/>
                <w:sz w:val="20"/>
              </w:rPr>
              <w:t xml:space="preserve"> o cuotas sociales</w:t>
            </w:r>
            <w:r w:rsidRPr="00AC4AEA">
              <w:rPr>
                <w:rFonts w:ascii="Arial" w:hAnsi="Arial" w:cs="Arial"/>
                <w:sz w:val="20"/>
              </w:rPr>
              <w:t xml:space="preserve"> (incluyendo las primas de emisión relacionadas)</w:t>
            </w:r>
            <w:r w:rsidR="00587591" w:rsidRPr="00AC4AEA">
              <w:rPr>
                <w:rFonts w:ascii="Arial" w:hAnsi="Arial" w:cs="Arial"/>
                <w:sz w:val="20"/>
              </w:rPr>
              <w:t>.</w:t>
            </w:r>
          </w:p>
        </w:tc>
        <w:tc>
          <w:tcPr>
            <w:tcW w:w="3973" w:type="dxa"/>
          </w:tcPr>
          <w:p w:rsidR="00AD0B60" w:rsidRPr="00AC4AEA" w:rsidRDefault="00AD0B60" w:rsidP="00A318EA">
            <w:pPr>
              <w:pStyle w:val="A-Normal11"/>
              <w:rPr>
                <w:rFonts w:ascii="Arial" w:hAnsi="Arial" w:cs="Arial"/>
                <w:sz w:val="20"/>
              </w:rPr>
            </w:pPr>
            <w:r w:rsidRPr="00AC4AEA">
              <w:rPr>
                <w:rFonts w:ascii="Arial" w:hAnsi="Arial" w:cs="Arial"/>
                <w:sz w:val="20"/>
              </w:rPr>
              <w:t>Multiplicará el valor nominal las acciones emitidas por el coeficiente</w:t>
            </w:r>
            <w:r w:rsidR="00111DFB" w:rsidRPr="00AC4AEA">
              <w:rPr>
                <w:rFonts w:ascii="Arial" w:hAnsi="Arial" w:cs="Arial"/>
                <w:sz w:val="20"/>
              </w:rPr>
              <w:t xml:space="preserve"> </w:t>
            </w:r>
            <w:r w:rsidR="00A102B4" w:rsidRPr="00AC4AEA">
              <w:rPr>
                <w:rFonts w:ascii="Arial" w:hAnsi="Arial" w:cs="Arial"/>
                <w:sz w:val="20"/>
              </w:rPr>
              <w:t>correspondiente</w:t>
            </w:r>
            <w:r w:rsidR="00DC66B2" w:rsidRPr="00AC4AEA">
              <w:rPr>
                <w:rFonts w:ascii="Arial" w:hAnsi="Arial" w:cs="Arial"/>
                <w:sz w:val="20"/>
              </w:rPr>
              <w:t xml:space="preserve"> </w:t>
            </w:r>
            <w:r w:rsidRPr="00AC4AEA">
              <w:rPr>
                <w:rFonts w:ascii="Arial" w:hAnsi="Arial" w:cs="Arial"/>
                <w:sz w:val="20"/>
              </w:rPr>
              <w:t>a la fecha de la suscripción.</w:t>
            </w:r>
          </w:p>
        </w:tc>
      </w:tr>
      <w:tr w:rsidR="00E618EF" w:rsidRPr="00AC4AEA" w:rsidTr="002A009A">
        <w:tc>
          <w:tcPr>
            <w:tcW w:w="4674" w:type="dxa"/>
          </w:tcPr>
          <w:p w:rsidR="00AD0B60" w:rsidRPr="00AC4AEA" w:rsidRDefault="00AD0B60" w:rsidP="00A318EA">
            <w:pPr>
              <w:pStyle w:val="A-Normal11"/>
              <w:rPr>
                <w:rFonts w:ascii="Arial" w:hAnsi="Arial" w:cs="Arial"/>
                <w:sz w:val="20"/>
              </w:rPr>
            </w:pPr>
            <w:r w:rsidRPr="00AC4AEA">
              <w:rPr>
                <w:rFonts w:ascii="Arial" w:hAnsi="Arial" w:cs="Arial"/>
                <w:sz w:val="20"/>
              </w:rPr>
              <w:t xml:space="preserve">Aumento de capital por </w:t>
            </w:r>
            <w:r w:rsidR="002979E6" w:rsidRPr="00AC4AEA">
              <w:rPr>
                <w:rFonts w:ascii="Arial" w:hAnsi="Arial" w:cs="Arial"/>
                <w:sz w:val="20"/>
              </w:rPr>
              <w:t xml:space="preserve">suscripción de </w:t>
            </w:r>
            <w:r w:rsidRPr="00AC4AEA">
              <w:rPr>
                <w:rFonts w:ascii="Arial" w:hAnsi="Arial" w:cs="Arial"/>
                <w:sz w:val="20"/>
              </w:rPr>
              <w:t>aportes irrevocables</w:t>
            </w:r>
            <w:r w:rsidR="00587591" w:rsidRPr="00AC4AEA">
              <w:rPr>
                <w:rFonts w:ascii="Arial" w:hAnsi="Arial" w:cs="Arial"/>
                <w:sz w:val="20"/>
              </w:rPr>
              <w:t>.</w:t>
            </w:r>
          </w:p>
        </w:tc>
        <w:tc>
          <w:tcPr>
            <w:tcW w:w="3973" w:type="dxa"/>
          </w:tcPr>
          <w:p w:rsidR="00AD0B60" w:rsidRPr="00AC4AEA" w:rsidRDefault="00AD0B60" w:rsidP="00A318EA">
            <w:pPr>
              <w:pStyle w:val="A-Normal11"/>
              <w:rPr>
                <w:rFonts w:ascii="Arial" w:hAnsi="Arial" w:cs="Arial"/>
                <w:sz w:val="20"/>
              </w:rPr>
            </w:pPr>
            <w:r w:rsidRPr="00AC4AEA">
              <w:rPr>
                <w:rFonts w:ascii="Arial" w:hAnsi="Arial" w:cs="Arial"/>
                <w:sz w:val="20"/>
              </w:rPr>
              <w:t xml:space="preserve">Multiplicará el valor nominal de las acciones emitidas por el coeficiente </w:t>
            </w:r>
            <w:r w:rsidR="00A102B4" w:rsidRPr="00AC4AEA">
              <w:rPr>
                <w:rFonts w:ascii="Arial" w:hAnsi="Arial" w:cs="Arial"/>
                <w:sz w:val="20"/>
              </w:rPr>
              <w:t>correspondiente</w:t>
            </w:r>
            <w:r w:rsidR="00DC66B2" w:rsidRPr="00AC4AEA">
              <w:rPr>
                <w:rFonts w:ascii="Arial" w:hAnsi="Arial" w:cs="Arial"/>
                <w:sz w:val="20"/>
              </w:rPr>
              <w:t xml:space="preserve"> </w:t>
            </w:r>
            <w:r w:rsidRPr="00AC4AEA">
              <w:rPr>
                <w:rFonts w:ascii="Arial" w:hAnsi="Arial" w:cs="Arial"/>
                <w:sz w:val="20"/>
              </w:rPr>
              <w:t>a la fecha del aporte.</w:t>
            </w:r>
          </w:p>
        </w:tc>
      </w:tr>
      <w:tr w:rsidR="00E618EF" w:rsidRPr="00AC4AEA" w:rsidTr="002A009A">
        <w:tc>
          <w:tcPr>
            <w:tcW w:w="4674" w:type="dxa"/>
          </w:tcPr>
          <w:p w:rsidR="00AD0B60" w:rsidRPr="00AC4AEA" w:rsidRDefault="002979E6" w:rsidP="00A318EA">
            <w:pPr>
              <w:pStyle w:val="A-Normal11"/>
              <w:rPr>
                <w:rFonts w:ascii="Arial" w:hAnsi="Arial" w:cs="Arial"/>
                <w:sz w:val="20"/>
              </w:rPr>
            </w:pPr>
            <w:r w:rsidRPr="00AC4AEA">
              <w:rPr>
                <w:rFonts w:ascii="Arial" w:hAnsi="Arial" w:cs="Arial"/>
                <w:sz w:val="20"/>
              </w:rPr>
              <w:t>Aumento de capital por capitalización de resultados y otras variaciones cualitativas que afecten a los resultados acumulados, tales como constitución y desafectación de reservas y absorción de pérdidas acumuladas.</w:t>
            </w:r>
          </w:p>
        </w:tc>
        <w:tc>
          <w:tcPr>
            <w:tcW w:w="3973" w:type="dxa"/>
          </w:tcPr>
          <w:p w:rsidR="00AD0B60" w:rsidRPr="00AC4AEA" w:rsidRDefault="002979E6" w:rsidP="00A318EA">
            <w:pPr>
              <w:pStyle w:val="A-Normal11"/>
              <w:rPr>
                <w:rFonts w:ascii="Arial" w:hAnsi="Arial" w:cs="Arial"/>
                <w:sz w:val="20"/>
              </w:rPr>
            </w:pPr>
            <w:r w:rsidRPr="00AC4AEA">
              <w:rPr>
                <w:rFonts w:ascii="Arial" w:hAnsi="Arial" w:cs="Arial"/>
                <w:sz w:val="20"/>
              </w:rPr>
              <w:t xml:space="preserve">Multiplicará el valor nominal de la variación por el coeficiente </w:t>
            </w:r>
            <w:r w:rsidR="00D824B7" w:rsidRPr="00AC4AEA">
              <w:rPr>
                <w:rFonts w:ascii="Arial" w:hAnsi="Arial" w:cs="Arial"/>
                <w:sz w:val="20"/>
              </w:rPr>
              <w:t>correspondiente</w:t>
            </w:r>
            <w:r w:rsidR="00432574" w:rsidRPr="00AC4AEA">
              <w:rPr>
                <w:rFonts w:ascii="Arial" w:hAnsi="Arial" w:cs="Arial"/>
                <w:sz w:val="20"/>
              </w:rPr>
              <w:t xml:space="preserve"> </w:t>
            </w:r>
            <w:r w:rsidR="00A82EFF" w:rsidRPr="00AC4AEA">
              <w:rPr>
                <w:rFonts w:ascii="Arial" w:hAnsi="Arial" w:cs="Arial"/>
                <w:sz w:val="20"/>
              </w:rPr>
              <w:t>a la</w:t>
            </w:r>
            <w:r w:rsidRPr="00AC4AEA">
              <w:rPr>
                <w:rFonts w:ascii="Arial" w:hAnsi="Arial" w:cs="Arial"/>
                <w:sz w:val="20"/>
              </w:rPr>
              <w:t xml:space="preserve"> fecha de cierre del ejercicio anterior</w:t>
            </w:r>
            <w:r w:rsidR="00432574" w:rsidRPr="00AC4AEA">
              <w:rPr>
                <w:rFonts w:ascii="Arial" w:hAnsi="Arial" w:cs="Arial"/>
                <w:sz w:val="20"/>
              </w:rPr>
              <w:t>.</w:t>
            </w:r>
          </w:p>
        </w:tc>
      </w:tr>
      <w:tr w:rsidR="00E618EF" w:rsidRPr="00AC4AEA" w:rsidTr="002A009A">
        <w:tc>
          <w:tcPr>
            <w:tcW w:w="4674" w:type="dxa"/>
          </w:tcPr>
          <w:p w:rsidR="00AD0B60" w:rsidRPr="00AC4AEA" w:rsidRDefault="002979E6" w:rsidP="00A318EA">
            <w:pPr>
              <w:pStyle w:val="A-Normal11"/>
              <w:rPr>
                <w:rFonts w:ascii="Arial" w:hAnsi="Arial" w:cs="Arial"/>
                <w:sz w:val="20"/>
              </w:rPr>
            </w:pPr>
            <w:r w:rsidRPr="00AC4AEA">
              <w:rPr>
                <w:rFonts w:ascii="Arial" w:hAnsi="Arial" w:cs="Arial"/>
                <w:sz w:val="20"/>
              </w:rPr>
              <w:t>Aportes irrevocables</w:t>
            </w:r>
          </w:p>
        </w:tc>
        <w:tc>
          <w:tcPr>
            <w:tcW w:w="3973" w:type="dxa"/>
          </w:tcPr>
          <w:p w:rsidR="00432574" w:rsidRPr="00AC4AEA" w:rsidRDefault="00AD0B60" w:rsidP="00A318EA">
            <w:pPr>
              <w:pStyle w:val="A-Normal11"/>
              <w:rPr>
                <w:rFonts w:ascii="Arial" w:hAnsi="Arial" w:cs="Arial"/>
                <w:sz w:val="20"/>
              </w:rPr>
            </w:pPr>
            <w:r w:rsidRPr="00AC4AEA">
              <w:rPr>
                <w:rFonts w:ascii="Arial" w:hAnsi="Arial" w:cs="Arial"/>
                <w:sz w:val="20"/>
              </w:rPr>
              <w:t xml:space="preserve">Multiplicará el valor nominal aportado por el coeficiente </w:t>
            </w:r>
            <w:r w:rsidR="00A102B4" w:rsidRPr="00AC4AEA">
              <w:rPr>
                <w:rFonts w:ascii="Arial" w:hAnsi="Arial" w:cs="Arial"/>
                <w:sz w:val="20"/>
              </w:rPr>
              <w:t>correspondiente</w:t>
            </w:r>
            <w:r w:rsidR="00432574" w:rsidRPr="00AC4AEA">
              <w:rPr>
                <w:rFonts w:ascii="Arial" w:hAnsi="Arial" w:cs="Arial"/>
                <w:sz w:val="20"/>
              </w:rPr>
              <w:t>:</w:t>
            </w:r>
          </w:p>
          <w:p w:rsidR="00432574" w:rsidRPr="00AC4AEA" w:rsidRDefault="00AD0B60" w:rsidP="00A318EA">
            <w:pPr>
              <w:pStyle w:val="A-Normal11"/>
              <w:numPr>
                <w:ilvl w:val="1"/>
                <w:numId w:val="29"/>
              </w:numPr>
              <w:ind w:left="610"/>
              <w:rPr>
                <w:rFonts w:ascii="Arial" w:hAnsi="Arial" w:cs="Arial"/>
                <w:sz w:val="20"/>
              </w:rPr>
            </w:pPr>
            <w:r w:rsidRPr="00AC4AEA">
              <w:rPr>
                <w:rFonts w:ascii="Arial" w:hAnsi="Arial" w:cs="Arial"/>
                <w:sz w:val="20"/>
              </w:rPr>
              <w:t>a la fecha del aporte</w:t>
            </w:r>
            <w:r w:rsidR="00432574" w:rsidRPr="00AC4AEA">
              <w:rPr>
                <w:rFonts w:ascii="Arial" w:hAnsi="Arial" w:cs="Arial"/>
                <w:sz w:val="20"/>
              </w:rPr>
              <w:t xml:space="preserve">; o </w:t>
            </w:r>
          </w:p>
          <w:p w:rsidR="00AD0B60" w:rsidRPr="00AC4AEA" w:rsidRDefault="00432574" w:rsidP="00A318EA">
            <w:pPr>
              <w:pStyle w:val="A-Normal11"/>
              <w:numPr>
                <w:ilvl w:val="1"/>
                <w:numId w:val="29"/>
              </w:numPr>
              <w:ind w:left="610"/>
              <w:rPr>
                <w:rFonts w:ascii="Arial" w:hAnsi="Arial" w:cs="Arial"/>
                <w:sz w:val="20"/>
              </w:rPr>
            </w:pPr>
            <w:r w:rsidRPr="00AC4AEA">
              <w:rPr>
                <w:rFonts w:ascii="Arial" w:hAnsi="Arial" w:cs="Arial"/>
                <w:sz w:val="20"/>
              </w:rPr>
              <w:t xml:space="preserve">a la fecha en que se define la irrevocabilidad, si se tratara de la conversión de un </w:t>
            </w:r>
            <w:r w:rsidRPr="00AC4AEA">
              <w:rPr>
                <w:rFonts w:ascii="Arial" w:hAnsi="Arial" w:cs="Arial"/>
                <w:b/>
                <w:bCs/>
                <w:sz w:val="20"/>
              </w:rPr>
              <w:t xml:space="preserve">pasivo </w:t>
            </w:r>
            <w:r w:rsidRPr="00AC4AEA">
              <w:rPr>
                <w:rFonts w:ascii="Arial" w:hAnsi="Arial" w:cs="Arial"/>
                <w:sz w:val="20"/>
              </w:rPr>
              <w:t xml:space="preserve">en </w:t>
            </w:r>
            <w:r w:rsidRPr="00AC4AEA">
              <w:rPr>
                <w:rFonts w:ascii="Arial" w:hAnsi="Arial" w:cs="Arial"/>
                <w:b/>
                <w:bCs/>
                <w:sz w:val="20"/>
              </w:rPr>
              <w:t>patrimonio neto</w:t>
            </w:r>
            <w:r w:rsidR="00AD0B60" w:rsidRPr="00AC4AEA">
              <w:rPr>
                <w:rFonts w:ascii="Arial" w:hAnsi="Arial" w:cs="Arial"/>
                <w:sz w:val="20"/>
              </w:rPr>
              <w:t>.</w:t>
            </w:r>
          </w:p>
        </w:tc>
      </w:tr>
      <w:tr w:rsidR="00E618EF" w:rsidRPr="00AC4AEA" w:rsidTr="002A009A">
        <w:tc>
          <w:tcPr>
            <w:tcW w:w="4674" w:type="dxa"/>
          </w:tcPr>
          <w:p w:rsidR="00AD0B60" w:rsidRPr="00AC4AEA" w:rsidRDefault="00AD0B60" w:rsidP="00A318EA">
            <w:pPr>
              <w:pStyle w:val="A-Normal11"/>
              <w:rPr>
                <w:rFonts w:ascii="Arial" w:hAnsi="Arial" w:cs="Arial"/>
                <w:sz w:val="20"/>
              </w:rPr>
            </w:pPr>
            <w:r w:rsidRPr="00AC4AEA">
              <w:rPr>
                <w:rFonts w:ascii="Arial" w:hAnsi="Arial" w:cs="Arial"/>
                <w:sz w:val="20"/>
              </w:rPr>
              <w:t xml:space="preserve">Distribución de dividendos en efectivo </w:t>
            </w:r>
            <w:r w:rsidR="002979E6" w:rsidRPr="00AC4AEA">
              <w:rPr>
                <w:rFonts w:ascii="Arial" w:hAnsi="Arial" w:cs="Arial"/>
                <w:sz w:val="20"/>
              </w:rPr>
              <w:t>u</w:t>
            </w:r>
            <w:r w:rsidRPr="00AC4AEA">
              <w:rPr>
                <w:rFonts w:ascii="Arial" w:hAnsi="Arial" w:cs="Arial"/>
                <w:sz w:val="20"/>
              </w:rPr>
              <w:t xml:space="preserve"> otros </w:t>
            </w:r>
            <w:r w:rsidR="00497590" w:rsidRPr="00AC4AEA">
              <w:rPr>
                <w:rFonts w:ascii="Arial" w:hAnsi="Arial" w:cs="Arial"/>
                <w:sz w:val="20"/>
              </w:rPr>
              <w:t>activos</w:t>
            </w:r>
            <w:r w:rsidR="00587591" w:rsidRPr="00AC4AEA">
              <w:rPr>
                <w:rFonts w:ascii="Arial" w:hAnsi="Arial" w:cs="Arial"/>
                <w:sz w:val="20"/>
              </w:rPr>
              <w:t>.</w:t>
            </w:r>
          </w:p>
        </w:tc>
        <w:tc>
          <w:tcPr>
            <w:tcW w:w="3973" w:type="dxa"/>
          </w:tcPr>
          <w:p w:rsidR="00AD0B60" w:rsidRPr="00AC4AEA" w:rsidRDefault="00AD0B60" w:rsidP="00A318EA">
            <w:pPr>
              <w:pStyle w:val="A-Normal11"/>
              <w:rPr>
                <w:rFonts w:ascii="Arial" w:hAnsi="Arial" w:cs="Arial"/>
                <w:sz w:val="20"/>
              </w:rPr>
            </w:pPr>
            <w:r w:rsidRPr="00AC4AEA">
              <w:rPr>
                <w:rFonts w:ascii="Arial" w:hAnsi="Arial" w:cs="Arial"/>
                <w:sz w:val="20"/>
              </w:rPr>
              <w:t xml:space="preserve">Multiplicará el valor nominal de lo distribuido por el coeficiente </w:t>
            </w:r>
            <w:r w:rsidR="00A102B4" w:rsidRPr="00AC4AEA">
              <w:rPr>
                <w:rFonts w:ascii="Arial" w:hAnsi="Arial" w:cs="Arial"/>
                <w:sz w:val="20"/>
              </w:rPr>
              <w:t>correspondiente</w:t>
            </w:r>
            <w:r w:rsidR="00432574" w:rsidRPr="00AC4AEA">
              <w:rPr>
                <w:rFonts w:ascii="Arial" w:hAnsi="Arial" w:cs="Arial"/>
                <w:sz w:val="20"/>
              </w:rPr>
              <w:t xml:space="preserve"> </w:t>
            </w:r>
            <w:r w:rsidRPr="00AC4AEA">
              <w:rPr>
                <w:rFonts w:ascii="Arial" w:hAnsi="Arial" w:cs="Arial"/>
                <w:sz w:val="20"/>
              </w:rPr>
              <w:t>a la fecha de la asamblea que apruebe la distribución.</w:t>
            </w:r>
          </w:p>
        </w:tc>
      </w:tr>
      <w:tr w:rsidR="00AD0B60" w:rsidRPr="00AC4AEA" w:rsidTr="002A009A">
        <w:tc>
          <w:tcPr>
            <w:tcW w:w="4674" w:type="dxa"/>
          </w:tcPr>
          <w:p w:rsidR="00AD0B60" w:rsidRPr="00AC4AEA" w:rsidRDefault="00AD0B60" w:rsidP="00A318EA">
            <w:pPr>
              <w:pStyle w:val="A-Normal11"/>
              <w:rPr>
                <w:rFonts w:ascii="Arial" w:hAnsi="Arial" w:cs="Arial"/>
                <w:sz w:val="20"/>
              </w:rPr>
            </w:pPr>
            <w:r w:rsidRPr="00AC4AEA">
              <w:rPr>
                <w:rFonts w:ascii="Arial" w:hAnsi="Arial" w:cs="Arial"/>
                <w:sz w:val="20"/>
              </w:rPr>
              <w:t xml:space="preserve">Reducción del capital para </w:t>
            </w:r>
            <w:r w:rsidR="002A7740" w:rsidRPr="00AC4AEA">
              <w:rPr>
                <w:rFonts w:ascii="Arial" w:hAnsi="Arial" w:cs="Arial"/>
                <w:sz w:val="20"/>
              </w:rPr>
              <w:t xml:space="preserve">devolver </w:t>
            </w:r>
            <w:r w:rsidRPr="00AC4AEA">
              <w:rPr>
                <w:rFonts w:ascii="Arial" w:hAnsi="Arial" w:cs="Arial"/>
                <w:sz w:val="20"/>
              </w:rPr>
              <w:t>a los accionistas</w:t>
            </w:r>
            <w:r w:rsidR="00587591" w:rsidRPr="00AC4AEA">
              <w:rPr>
                <w:rFonts w:ascii="Arial" w:hAnsi="Arial" w:cs="Arial"/>
                <w:sz w:val="20"/>
              </w:rPr>
              <w:t>.</w:t>
            </w:r>
          </w:p>
        </w:tc>
        <w:tc>
          <w:tcPr>
            <w:tcW w:w="3973" w:type="dxa"/>
          </w:tcPr>
          <w:p w:rsidR="00AD0B60" w:rsidRPr="00AC4AEA" w:rsidRDefault="00AD0B60" w:rsidP="00A318EA">
            <w:pPr>
              <w:pStyle w:val="A-Normal11"/>
              <w:rPr>
                <w:rFonts w:ascii="Arial" w:hAnsi="Arial" w:cs="Arial"/>
                <w:sz w:val="20"/>
              </w:rPr>
            </w:pPr>
            <w:r w:rsidRPr="00AC4AEA">
              <w:rPr>
                <w:rFonts w:ascii="Arial" w:hAnsi="Arial" w:cs="Arial"/>
                <w:sz w:val="20"/>
              </w:rPr>
              <w:t xml:space="preserve">Multiplicará el valor nominal de la reducción por el coeficiente </w:t>
            </w:r>
            <w:r w:rsidR="00A82EFF" w:rsidRPr="00AC4AEA">
              <w:rPr>
                <w:rFonts w:ascii="Arial" w:hAnsi="Arial" w:cs="Arial"/>
                <w:sz w:val="20"/>
              </w:rPr>
              <w:t>correspondiente a</w:t>
            </w:r>
            <w:r w:rsidRPr="00AC4AEA">
              <w:rPr>
                <w:rFonts w:ascii="Arial" w:hAnsi="Arial" w:cs="Arial"/>
                <w:sz w:val="20"/>
              </w:rPr>
              <w:t xml:space="preserve"> la fecha de la aprobación.</w:t>
            </w:r>
          </w:p>
        </w:tc>
      </w:tr>
    </w:tbl>
    <w:p w:rsidR="00A96CD8" w:rsidRPr="00AC4AEA" w:rsidRDefault="00A96CD8" w:rsidP="00A318EA">
      <w:pPr>
        <w:pStyle w:val="A-Normal11"/>
        <w:ind w:left="1758"/>
        <w:jc w:val="both"/>
        <w:rPr>
          <w:rFonts w:ascii="Arial" w:hAnsi="Arial" w:cs="Arial"/>
          <w:sz w:val="20"/>
          <w:u w:val="single"/>
        </w:rPr>
      </w:pPr>
    </w:p>
    <w:p w:rsidR="00AD0B60" w:rsidRPr="00AC4AEA" w:rsidRDefault="00AD0B60" w:rsidP="00A318EA">
      <w:pPr>
        <w:pStyle w:val="Ttulo3"/>
      </w:pPr>
      <w:bookmarkStart w:id="261" w:name="_Toc101863780"/>
      <w:bookmarkStart w:id="262" w:name="_Toc139356645"/>
      <w:r w:rsidRPr="00AC4AEA">
        <w:t>Presentación de los resultados financieros y por tenencia (incluyendo el resultado por exposición al cambio en el poder adquisitivo</w:t>
      </w:r>
      <w:r w:rsidR="00A9032C" w:rsidRPr="00AC4AEA">
        <w:t xml:space="preserve"> de la moneda</w:t>
      </w:r>
      <w:r w:rsidRPr="00AC4AEA">
        <w:t>) del período actual</w:t>
      </w:r>
      <w:bookmarkEnd w:id="261"/>
      <w:bookmarkEnd w:id="262"/>
    </w:p>
    <w:p w:rsidR="00AD0B60" w:rsidRPr="00AC4AEA" w:rsidRDefault="00AD0B60" w:rsidP="00A318EA">
      <w:pPr>
        <w:pStyle w:val="A-Normal11"/>
        <w:numPr>
          <w:ilvl w:val="0"/>
          <w:numId w:val="29"/>
        </w:numPr>
        <w:jc w:val="both"/>
        <w:rPr>
          <w:rFonts w:ascii="Arial" w:hAnsi="Arial" w:cs="Arial"/>
          <w:sz w:val="20"/>
        </w:rPr>
      </w:pPr>
      <w:bookmarkStart w:id="263" w:name="_Ref80969211"/>
      <w:r w:rsidRPr="00AC4AEA">
        <w:rPr>
          <w:rFonts w:ascii="Arial" w:hAnsi="Arial" w:cs="Arial"/>
          <w:sz w:val="20"/>
        </w:rPr>
        <w:t>Una entidad presentar</w:t>
      </w:r>
      <w:r w:rsidR="008546A1" w:rsidRPr="00AC4AEA">
        <w:rPr>
          <w:rFonts w:ascii="Arial" w:hAnsi="Arial" w:cs="Arial"/>
          <w:sz w:val="20"/>
        </w:rPr>
        <w:t>á</w:t>
      </w:r>
      <w:r w:rsidR="00BB074E" w:rsidRPr="00AC4AEA">
        <w:rPr>
          <w:rFonts w:ascii="Arial" w:hAnsi="Arial" w:cs="Arial"/>
          <w:sz w:val="20"/>
        </w:rPr>
        <w:t>,</w:t>
      </w:r>
      <w:r w:rsidRPr="00AC4AEA">
        <w:rPr>
          <w:rFonts w:ascii="Arial" w:hAnsi="Arial" w:cs="Arial"/>
          <w:sz w:val="20"/>
        </w:rPr>
        <w:t xml:space="preserve"> </w:t>
      </w:r>
      <w:r w:rsidR="00826357" w:rsidRPr="00AC4AEA">
        <w:rPr>
          <w:rFonts w:ascii="Arial" w:hAnsi="Arial" w:cs="Arial"/>
          <w:sz w:val="20"/>
        </w:rPr>
        <w:t xml:space="preserve">en </w:t>
      </w:r>
      <w:r w:rsidRPr="00AC4AEA">
        <w:rPr>
          <w:rFonts w:ascii="Arial" w:hAnsi="Arial" w:cs="Arial"/>
          <w:sz w:val="20"/>
        </w:rPr>
        <w:t>el estado de resultados</w:t>
      </w:r>
      <w:r w:rsidR="007F0DB8" w:rsidRPr="00AC4AEA">
        <w:rPr>
          <w:rFonts w:ascii="Arial" w:hAnsi="Arial" w:cs="Arial"/>
          <w:sz w:val="20"/>
        </w:rPr>
        <w:t xml:space="preserve">, </w:t>
      </w:r>
      <w:r w:rsidR="00BB074E" w:rsidRPr="00AC4AEA">
        <w:rPr>
          <w:rFonts w:ascii="Arial" w:hAnsi="Arial" w:cs="Arial"/>
          <w:sz w:val="20"/>
        </w:rPr>
        <w:t xml:space="preserve">los resultados financieros y por tenencia (incluyendo el resultado por exposición al cambio en el poder adquisitivo) en función a alguno de los siguientes criterios, </w:t>
      </w:r>
      <w:r w:rsidR="007F0DB8" w:rsidRPr="00AC4AEA">
        <w:rPr>
          <w:rFonts w:ascii="Arial" w:hAnsi="Arial" w:cs="Arial"/>
          <w:sz w:val="20"/>
        </w:rPr>
        <w:t xml:space="preserve">de conformidad con los párrafos </w:t>
      </w:r>
      <w:fldSimple w:instr=" REF _Ref103700200 \r \h  \* MERGEFORMAT ">
        <w:r w:rsidR="00D33A5D" w:rsidRPr="00D33A5D">
          <w:rPr>
            <w:rFonts w:ascii="Arial" w:hAnsi="Arial" w:cs="Arial"/>
            <w:sz w:val="20"/>
          </w:rPr>
          <w:t>631</w:t>
        </w:r>
      </w:fldSimple>
      <w:r w:rsidR="002163BA" w:rsidRPr="00AC4AEA">
        <w:rPr>
          <w:rFonts w:ascii="Arial" w:hAnsi="Arial" w:cs="Arial"/>
          <w:sz w:val="20"/>
        </w:rPr>
        <w:t xml:space="preserve"> a </w:t>
      </w:r>
      <w:fldSimple w:instr=" REF _Ref103700215 \r \h  \* MERGEFORMAT ">
        <w:r w:rsidR="00D33A5D" w:rsidRPr="00D33A5D">
          <w:rPr>
            <w:rFonts w:ascii="Arial" w:hAnsi="Arial" w:cs="Arial"/>
            <w:sz w:val="20"/>
          </w:rPr>
          <w:t>634</w:t>
        </w:r>
      </w:fldSimple>
      <w:r w:rsidRPr="00AC4AEA">
        <w:rPr>
          <w:rFonts w:ascii="Arial" w:hAnsi="Arial" w:cs="Arial"/>
          <w:sz w:val="20"/>
        </w:rPr>
        <w:t>:</w:t>
      </w:r>
      <w:bookmarkEnd w:id="263"/>
    </w:p>
    <w:p w:rsidR="002E49D3" w:rsidRPr="00AC4AEA" w:rsidRDefault="002E49D3" w:rsidP="00A318EA">
      <w:pPr>
        <w:pStyle w:val="A-Normal11"/>
        <w:numPr>
          <w:ilvl w:val="0"/>
          <w:numId w:val="264"/>
        </w:numPr>
        <w:ind w:left="1560"/>
        <w:jc w:val="both"/>
        <w:rPr>
          <w:rFonts w:ascii="Arial" w:hAnsi="Arial" w:cs="Arial"/>
          <w:sz w:val="20"/>
        </w:rPr>
      </w:pPr>
      <w:r w:rsidRPr="00AC4AEA">
        <w:rPr>
          <w:rFonts w:ascii="Arial" w:hAnsi="Arial" w:cs="Arial"/>
          <w:sz w:val="20"/>
        </w:rPr>
        <w:t xml:space="preserve">presentando los resultados financieros y por tenencia, incluyendo el resultado por exposición al cambio en el poder adquisitivo de la moneda, en una sola línea (enfoque “menos depurado”) [ver el </w:t>
      </w:r>
      <w:r w:rsidR="00D4787F" w:rsidRPr="00AC4AEA">
        <w:rPr>
          <w:rFonts w:ascii="Arial" w:hAnsi="Arial" w:cs="Arial"/>
          <w:sz w:val="20"/>
        </w:rPr>
        <w:t xml:space="preserve">inciso a) del </w:t>
      </w:r>
      <w:r w:rsidRPr="00AC4AEA">
        <w:rPr>
          <w:rFonts w:ascii="Arial" w:hAnsi="Arial" w:cs="Arial"/>
          <w:sz w:val="20"/>
        </w:rPr>
        <w:t xml:space="preserve">párrafo </w:t>
      </w:r>
      <w:fldSimple w:instr=" REF _Ref103701465 \r \h  \* MERGEFORMAT ">
        <w:r w:rsidR="00D33A5D" w:rsidRPr="00D33A5D">
          <w:rPr>
            <w:rFonts w:ascii="Arial" w:hAnsi="Arial" w:cs="Arial"/>
            <w:sz w:val="20"/>
          </w:rPr>
          <w:t>632</w:t>
        </w:r>
      </w:fldSimple>
      <w:r w:rsidRPr="00AC4AEA">
        <w:rPr>
          <w:rFonts w:ascii="Arial" w:hAnsi="Arial" w:cs="Arial"/>
          <w:sz w:val="20"/>
        </w:rPr>
        <w:t>)]; o</w:t>
      </w:r>
    </w:p>
    <w:p w:rsidR="00AD0B60" w:rsidRPr="00AC4AEA" w:rsidRDefault="00AD0B60" w:rsidP="00A318EA">
      <w:pPr>
        <w:pStyle w:val="A-Normal11"/>
        <w:numPr>
          <w:ilvl w:val="0"/>
          <w:numId w:val="264"/>
        </w:numPr>
        <w:ind w:left="1560"/>
        <w:jc w:val="both"/>
        <w:rPr>
          <w:rFonts w:ascii="Arial" w:hAnsi="Arial" w:cs="Arial"/>
          <w:sz w:val="20"/>
        </w:rPr>
      </w:pPr>
      <w:r w:rsidRPr="00AC4AEA">
        <w:rPr>
          <w:rFonts w:ascii="Arial" w:hAnsi="Arial" w:cs="Arial"/>
          <w:sz w:val="20"/>
        </w:rPr>
        <w:lastRenderedPageBreak/>
        <w:t>segregando los resultados financieros, los resultados por tenencia y el resultado por exposición al cambio en el poder adquisitivo de la moneda y exponiendo cada una de tales partidas en moneda homogénea</w:t>
      </w:r>
      <w:r w:rsidR="002E49D3" w:rsidRPr="00AC4AEA">
        <w:rPr>
          <w:rFonts w:ascii="Arial" w:hAnsi="Arial" w:cs="Arial"/>
          <w:sz w:val="20"/>
        </w:rPr>
        <w:t xml:space="preserve"> [ver el </w:t>
      </w:r>
      <w:r w:rsidR="00D4787F" w:rsidRPr="00AC4AEA">
        <w:rPr>
          <w:rFonts w:ascii="Arial" w:hAnsi="Arial" w:cs="Arial"/>
          <w:sz w:val="20"/>
        </w:rPr>
        <w:t>inciso b) d</w:t>
      </w:r>
      <w:r w:rsidR="007715C0" w:rsidRPr="00AC4AEA">
        <w:rPr>
          <w:rFonts w:ascii="Arial" w:hAnsi="Arial" w:cs="Arial"/>
          <w:sz w:val="20"/>
        </w:rPr>
        <w:t xml:space="preserve">el </w:t>
      </w:r>
      <w:r w:rsidR="002E49D3" w:rsidRPr="00AC4AEA">
        <w:rPr>
          <w:rFonts w:ascii="Arial" w:hAnsi="Arial" w:cs="Arial"/>
          <w:sz w:val="20"/>
        </w:rPr>
        <w:t xml:space="preserve">párrafo </w:t>
      </w:r>
      <w:fldSimple w:instr=" REF _Ref103701465 \r \h  \* MERGEFORMAT ">
        <w:r w:rsidR="00D33A5D" w:rsidRPr="00D33A5D">
          <w:rPr>
            <w:rFonts w:ascii="Arial" w:hAnsi="Arial" w:cs="Arial"/>
            <w:sz w:val="20"/>
          </w:rPr>
          <w:t>632</w:t>
        </w:r>
      </w:fldSimple>
      <w:r w:rsidR="002E49D3" w:rsidRPr="00AC4AEA">
        <w:rPr>
          <w:rFonts w:ascii="Arial" w:hAnsi="Arial" w:cs="Arial"/>
          <w:sz w:val="20"/>
        </w:rPr>
        <w:t>)].</w:t>
      </w:r>
    </w:p>
    <w:p w:rsidR="00AD0B60" w:rsidRPr="00AC4AEA" w:rsidRDefault="00AD0B60" w:rsidP="00A318EA">
      <w:pPr>
        <w:ind w:left="1080"/>
        <w:jc w:val="both"/>
        <w:rPr>
          <w:rFonts w:ascii="Arial" w:hAnsi="Arial" w:cs="Arial"/>
          <w:b/>
          <w:bCs/>
          <w:sz w:val="20"/>
          <w:szCs w:val="20"/>
        </w:rPr>
      </w:pPr>
    </w:p>
    <w:p w:rsidR="00AD0B60" w:rsidRPr="00AC4AEA" w:rsidRDefault="00AD0B60" w:rsidP="00A318EA">
      <w:pPr>
        <w:pStyle w:val="Ttulo3"/>
      </w:pPr>
      <w:bookmarkStart w:id="264" w:name="_Toc101863781"/>
      <w:bookmarkStart w:id="265" w:name="_Toc139356646"/>
      <w:r w:rsidRPr="00AC4AEA">
        <w:t>Ajuste de las variaciones patrimoniales cualitativas del período actual</w:t>
      </w:r>
      <w:bookmarkEnd w:id="264"/>
      <w:bookmarkEnd w:id="265"/>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t xml:space="preserve">Sin perjuicio de lo establecido en el párrafo </w:t>
      </w:r>
      <w:fldSimple w:instr=" REF _Ref80969284 \r \h  \* MERGEFORMAT ">
        <w:r w:rsidR="00D33A5D" w:rsidRPr="00D33A5D">
          <w:rPr>
            <w:rFonts w:ascii="Arial" w:hAnsi="Arial" w:cs="Arial"/>
            <w:sz w:val="20"/>
          </w:rPr>
          <w:t>198</w:t>
        </w:r>
      </w:fldSimple>
      <w:r w:rsidRPr="00AC4AEA">
        <w:rPr>
          <w:rFonts w:ascii="Arial" w:hAnsi="Arial" w:cs="Arial"/>
          <w:sz w:val="20"/>
        </w:rPr>
        <w:t xml:space="preserve">, una entidad expresará las variaciones patrimoniales cualitativas utilizando un coeficiente </w:t>
      </w:r>
      <w:r w:rsidR="00432574" w:rsidRPr="00AC4AEA">
        <w:rPr>
          <w:rFonts w:ascii="Arial" w:hAnsi="Arial" w:cs="Arial"/>
          <w:sz w:val="20"/>
        </w:rPr>
        <w:t>basado en</w:t>
      </w:r>
      <w:r w:rsidR="007D7512" w:rsidRPr="00AC4AEA">
        <w:rPr>
          <w:rFonts w:ascii="Arial" w:hAnsi="Arial" w:cs="Arial"/>
          <w:sz w:val="20"/>
        </w:rPr>
        <w:t xml:space="preserve"> la</w:t>
      </w:r>
      <w:r w:rsidRPr="00AC4AEA">
        <w:rPr>
          <w:rFonts w:ascii="Arial" w:hAnsi="Arial" w:cs="Arial"/>
          <w:sz w:val="20"/>
        </w:rPr>
        <w:t xml:space="preserve"> fecha </w:t>
      </w:r>
      <w:r w:rsidR="00432574" w:rsidRPr="00AC4AEA">
        <w:rPr>
          <w:rFonts w:ascii="Arial" w:hAnsi="Arial" w:cs="Arial"/>
          <w:sz w:val="20"/>
        </w:rPr>
        <w:t xml:space="preserve">de </w:t>
      </w:r>
      <w:r w:rsidRPr="00AC4AEA">
        <w:rPr>
          <w:rFonts w:ascii="Arial" w:hAnsi="Arial" w:cs="Arial"/>
          <w:sz w:val="20"/>
        </w:rPr>
        <w:t xml:space="preserve">cierre </w:t>
      </w:r>
      <w:r w:rsidR="00432574" w:rsidRPr="00AC4AEA">
        <w:rPr>
          <w:rFonts w:ascii="Arial" w:hAnsi="Arial" w:cs="Arial"/>
          <w:sz w:val="20"/>
        </w:rPr>
        <w:t>del ejercicio anterior</w:t>
      </w:r>
      <w:r w:rsidRPr="00AC4AEA">
        <w:rPr>
          <w:rFonts w:ascii="Arial" w:hAnsi="Arial" w:cs="Arial"/>
          <w:sz w:val="20"/>
        </w:rPr>
        <w:t xml:space="preserve"> (por ejemplo, para expresar en moneda de cierre la constitución de reservas o la capitalización de resultados no asignados).</w:t>
      </w:r>
    </w:p>
    <w:p w:rsidR="00AD0B60" w:rsidRPr="00AC4AEA" w:rsidRDefault="00AD0B60" w:rsidP="00A318EA">
      <w:pPr>
        <w:ind w:left="1080"/>
        <w:jc w:val="both"/>
        <w:rPr>
          <w:rFonts w:ascii="Arial" w:hAnsi="Arial" w:cs="Arial"/>
          <w:b/>
          <w:bCs/>
          <w:sz w:val="20"/>
          <w:szCs w:val="20"/>
        </w:rPr>
      </w:pPr>
    </w:p>
    <w:p w:rsidR="00AD0B60" w:rsidRPr="00AC4AEA" w:rsidRDefault="00AD0B60" w:rsidP="00A318EA">
      <w:pPr>
        <w:pStyle w:val="Ttulo3"/>
      </w:pPr>
      <w:bookmarkStart w:id="266" w:name="_Toc101863782"/>
      <w:bookmarkStart w:id="267" w:name="_Toc139356647"/>
      <w:r w:rsidRPr="00AC4AEA">
        <w:t xml:space="preserve">Efectos fiscales del ajuste de los </w:t>
      </w:r>
      <w:r w:rsidR="00135084" w:rsidRPr="00AC4AEA">
        <w:t>estados contables</w:t>
      </w:r>
      <w:bookmarkEnd w:id="266"/>
      <w:bookmarkEnd w:id="267"/>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t>Una entidad que apli</w:t>
      </w:r>
      <w:r w:rsidR="00D73664" w:rsidRPr="00AC4AEA">
        <w:rPr>
          <w:rFonts w:ascii="Arial" w:hAnsi="Arial" w:cs="Arial"/>
          <w:sz w:val="20"/>
        </w:rPr>
        <w:t>que</w:t>
      </w:r>
      <w:r w:rsidRPr="00AC4AEA">
        <w:rPr>
          <w:rFonts w:ascii="Arial" w:hAnsi="Arial" w:cs="Arial"/>
          <w:sz w:val="20"/>
        </w:rPr>
        <w:t xml:space="preserve"> el método del impuesto diferido </w:t>
      </w:r>
      <w:r w:rsidR="00D73664" w:rsidRPr="00AC4AEA">
        <w:rPr>
          <w:rFonts w:ascii="Arial" w:hAnsi="Arial" w:cs="Arial"/>
          <w:sz w:val="20"/>
        </w:rPr>
        <w:t>reconocerá</w:t>
      </w:r>
      <w:r w:rsidRPr="00AC4AEA">
        <w:rPr>
          <w:rFonts w:ascii="Arial" w:hAnsi="Arial" w:cs="Arial"/>
          <w:sz w:val="20"/>
        </w:rPr>
        <w:t xml:space="preserve"> </w:t>
      </w:r>
      <w:r w:rsidR="006546E0" w:rsidRPr="00AC4AEA">
        <w:rPr>
          <w:rFonts w:ascii="Arial" w:hAnsi="Arial" w:cs="Arial"/>
          <w:sz w:val="20"/>
        </w:rPr>
        <w:t>los saldos</w:t>
      </w:r>
      <w:r w:rsidRPr="00AC4AEA">
        <w:rPr>
          <w:rFonts w:ascii="Arial" w:hAnsi="Arial" w:cs="Arial"/>
          <w:sz w:val="20"/>
        </w:rPr>
        <w:t xml:space="preserve"> por impuestos diferidos proveniente de la comparación entre </w:t>
      </w:r>
      <w:r w:rsidR="006165A1" w:rsidRPr="00AC4AEA">
        <w:rPr>
          <w:rFonts w:ascii="Arial" w:hAnsi="Arial" w:cs="Arial"/>
          <w:sz w:val="20"/>
        </w:rPr>
        <w:t xml:space="preserve">la </w:t>
      </w:r>
      <w:r w:rsidR="00D30925" w:rsidRPr="00AC4AEA">
        <w:rPr>
          <w:rFonts w:ascii="Arial" w:hAnsi="Arial" w:cs="Arial"/>
          <w:sz w:val="20"/>
        </w:rPr>
        <w:t>medición</w:t>
      </w:r>
      <w:r w:rsidRPr="00AC4AEA">
        <w:rPr>
          <w:rFonts w:ascii="Arial" w:hAnsi="Arial" w:cs="Arial"/>
          <w:sz w:val="20"/>
        </w:rPr>
        <w:t xml:space="preserve"> contable de </w:t>
      </w:r>
      <w:r w:rsidR="00497590" w:rsidRPr="00AC4AEA">
        <w:rPr>
          <w:rFonts w:ascii="Arial" w:hAnsi="Arial" w:cs="Arial"/>
          <w:sz w:val="20"/>
        </w:rPr>
        <w:t>activos</w:t>
      </w:r>
      <w:r w:rsidRPr="00AC4AEA">
        <w:rPr>
          <w:rFonts w:ascii="Arial" w:hAnsi="Arial" w:cs="Arial"/>
          <w:sz w:val="20"/>
        </w:rPr>
        <w:t xml:space="preserve"> </w:t>
      </w:r>
      <w:r w:rsidR="0011272D" w:rsidRPr="00AC4AEA">
        <w:rPr>
          <w:rFonts w:ascii="Arial" w:hAnsi="Arial" w:cs="Arial"/>
          <w:sz w:val="20"/>
        </w:rPr>
        <w:t xml:space="preserve">y pasivos </w:t>
      </w:r>
      <w:r w:rsidRPr="00AC4AEA">
        <w:rPr>
          <w:rFonts w:ascii="Arial" w:hAnsi="Arial" w:cs="Arial"/>
          <w:sz w:val="20"/>
        </w:rPr>
        <w:t>(en moneda de cierre) y su base fiscal, según lo establecido en la sección “</w:t>
      </w:r>
      <w:r w:rsidRPr="00AC4AEA">
        <w:rPr>
          <w:rFonts w:ascii="Arial" w:hAnsi="Arial" w:cs="Arial"/>
          <w:sz w:val="20"/>
          <w:u w:val="single"/>
        </w:rPr>
        <w:t>Reconocimiento, medición, presentación y revelación del impuesto a las ganancias diferido</w:t>
      </w:r>
      <w:r w:rsidRPr="00AC4AEA">
        <w:rPr>
          <w:rFonts w:ascii="Arial" w:hAnsi="Arial" w:cs="Arial"/>
          <w:sz w:val="20"/>
        </w:rPr>
        <w:t>”</w:t>
      </w:r>
      <w:r w:rsidR="00BF5900" w:rsidRPr="00AC4AEA">
        <w:rPr>
          <w:rFonts w:ascii="Arial" w:hAnsi="Arial" w:cs="Arial"/>
          <w:sz w:val="20"/>
        </w:rPr>
        <w:t xml:space="preserve"> [ver </w:t>
      </w:r>
      <w:r w:rsidR="005C06B3" w:rsidRPr="00AC4AEA">
        <w:rPr>
          <w:rFonts w:ascii="Arial" w:hAnsi="Arial" w:cs="Arial"/>
          <w:sz w:val="20"/>
        </w:rPr>
        <w:t xml:space="preserve">los </w:t>
      </w:r>
      <w:r w:rsidR="00BF5900" w:rsidRPr="00AC4AEA">
        <w:rPr>
          <w:rFonts w:ascii="Arial" w:hAnsi="Arial" w:cs="Arial"/>
          <w:sz w:val="20"/>
        </w:rPr>
        <w:t xml:space="preserve">párrafos </w:t>
      </w:r>
      <w:fldSimple w:instr=" REF _Ref99458612 \r \h  \* MERGEFORMAT ">
        <w:r w:rsidR="00D33A5D" w:rsidRPr="00D33A5D">
          <w:rPr>
            <w:rFonts w:ascii="Arial" w:hAnsi="Arial" w:cs="Arial"/>
            <w:sz w:val="20"/>
          </w:rPr>
          <w:t>578</w:t>
        </w:r>
      </w:fldSimple>
      <w:r w:rsidR="00BF5900" w:rsidRPr="00AC4AEA">
        <w:rPr>
          <w:rFonts w:ascii="Arial" w:hAnsi="Arial" w:cs="Arial"/>
          <w:sz w:val="20"/>
        </w:rPr>
        <w:t xml:space="preserve"> a </w:t>
      </w:r>
      <w:fldSimple w:instr=" REF _Ref99458625 \r \h  \* MERGEFORMAT ">
        <w:r w:rsidR="00D33A5D" w:rsidRPr="00D33A5D">
          <w:rPr>
            <w:rFonts w:ascii="Arial" w:hAnsi="Arial" w:cs="Arial"/>
            <w:sz w:val="20"/>
          </w:rPr>
          <w:t>599</w:t>
        </w:r>
      </w:fldSimple>
      <w:r w:rsidR="00BF5900" w:rsidRPr="00AC4AEA">
        <w:rPr>
          <w:rFonts w:ascii="Arial" w:hAnsi="Arial" w:cs="Arial"/>
          <w:sz w:val="20"/>
        </w:rPr>
        <w:t>]</w:t>
      </w:r>
      <w:r w:rsidRPr="00AC4AEA">
        <w:rPr>
          <w:rFonts w:ascii="Arial" w:hAnsi="Arial" w:cs="Arial"/>
          <w:sz w:val="20"/>
        </w:rPr>
        <w:t>.</w:t>
      </w:r>
    </w:p>
    <w:p w:rsidR="00AD0B60" w:rsidRPr="00AC4AEA" w:rsidRDefault="00AD0B60" w:rsidP="00A318EA">
      <w:pPr>
        <w:pStyle w:val="A-Normal11"/>
        <w:numPr>
          <w:ilvl w:val="0"/>
          <w:numId w:val="29"/>
        </w:numPr>
        <w:jc w:val="both"/>
        <w:rPr>
          <w:rFonts w:ascii="Arial" w:hAnsi="Arial" w:cs="Arial"/>
          <w:sz w:val="20"/>
        </w:rPr>
      </w:pPr>
      <w:bookmarkStart w:id="268" w:name="_Ref102159649"/>
      <w:r w:rsidRPr="00AC4AEA">
        <w:rPr>
          <w:rFonts w:ascii="Arial" w:hAnsi="Arial" w:cs="Arial"/>
          <w:sz w:val="20"/>
        </w:rPr>
        <w:t xml:space="preserve">Cuando </w:t>
      </w:r>
      <w:r w:rsidR="00D73664" w:rsidRPr="00AC4AEA">
        <w:rPr>
          <w:rFonts w:ascii="Arial" w:hAnsi="Arial" w:cs="Arial"/>
          <w:sz w:val="20"/>
        </w:rPr>
        <w:t>ajuste</w:t>
      </w:r>
      <w:r w:rsidRPr="00AC4AEA">
        <w:rPr>
          <w:rFonts w:ascii="Arial" w:hAnsi="Arial" w:cs="Arial"/>
          <w:sz w:val="20"/>
        </w:rPr>
        <w:t xml:space="preserve"> </w:t>
      </w:r>
      <w:r w:rsidR="00F81F82" w:rsidRPr="00AC4AEA">
        <w:rPr>
          <w:rFonts w:ascii="Arial" w:hAnsi="Arial" w:cs="Arial"/>
          <w:sz w:val="20"/>
        </w:rPr>
        <w:t xml:space="preserve">por inflación </w:t>
      </w:r>
      <w:r w:rsidRPr="00AC4AEA">
        <w:rPr>
          <w:rFonts w:ascii="Arial" w:hAnsi="Arial" w:cs="Arial"/>
          <w:sz w:val="20"/>
        </w:rPr>
        <w:t xml:space="preserve">sus </w:t>
      </w:r>
      <w:r w:rsidR="00135084" w:rsidRPr="00AC4AEA">
        <w:rPr>
          <w:rFonts w:ascii="Arial" w:hAnsi="Arial" w:cs="Arial"/>
          <w:b/>
          <w:bCs/>
          <w:sz w:val="20"/>
        </w:rPr>
        <w:t>estados contables</w:t>
      </w:r>
      <w:r w:rsidRPr="00AC4AEA">
        <w:rPr>
          <w:rFonts w:ascii="Arial" w:hAnsi="Arial" w:cs="Arial"/>
          <w:sz w:val="20"/>
        </w:rPr>
        <w:t xml:space="preserve">, una entidad podrá no revelar la conciliación entre el </w:t>
      </w:r>
      <w:r w:rsidRPr="00AC4AEA">
        <w:rPr>
          <w:rFonts w:ascii="Arial" w:hAnsi="Arial" w:cs="Arial"/>
          <w:b/>
          <w:bCs/>
          <w:sz w:val="20"/>
        </w:rPr>
        <w:t xml:space="preserve">gasto </w:t>
      </w:r>
      <w:r w:rsidRPr="00AC4AEA">
        <w:rPr>
          <w:rFonts w:ascii="Arial" w:hAnsi="Arial" w:cs="Arial"/>
          <w:sz w:val="20"/>
        </w:rPr>
        <w:t xml:space="preserve">(ingreso) imputado a resultados y el impuesto teórico, según lo establecido en </w:t>
      </w:r>
      <w:r w:rsidR="005C06B3" w:rsidRPr="00AC4AEA">
        <w:rPr>
          <w:rFonts w:ascii="Arial" w:hAnsi="Arial" w:cs="Arial"/>
          <w:sz w:val="20"/>
        </w:rPr>
        <w:t>el apartado</w:t>
      </w:r>
      <w:r w:rsidRPr="00AC4AEA">
        <w:rPr>
          <w:rFonts w:ascii="Arial" w:hAnsi="Arial" w:cs="Arial"/>
          <w:sz w:val="20"/>
        </w:rPr>
        <w:t xml:space="preserve"> “</w:t>
      </w:r>
      <w:r w:rsidRPr="00AC4AEA">
        <w:rPr>
          <w:rFonts w:ascii="Arial" w:hAnsi="Arial" w:cs="Arial"/>
          <w:sz w:val="20"/>
          <w:u w:val="single"/>
        </w:rPr>
        <w:t xml:space="preserve">Presentación y revelación de </w:t>
      </w:r>
      <w:r w:rsidR="00497590" w:rsidRPr="00AC4AEA">
        <w:rPr>
          <w:rFonts w:ascii="Arial" w:hAnsi="Arial" w:cs="Arial"/>
          <w:sz w:val="20"/>
          <w:u w:val="single"/>
        </w:rPr>
        <w:t>pasivos</w:t>
      </w:r>
      <w:r w:rsidRPr="00AC4AEA">
        <w:rPr>
          <w:rFonts w:ascii="Arial" w:hAnsi="Arial" w:cs="Arial"/>
          <w:sz w:val="20"/>
          <w:u w:val="single"/>
        </w:rPr>
        <w:t xml:space="preserve"> (</w:t>
      </w:r>
      <w:r w:rsidR="00497590" w:rsidRPr="00AC4AEA">
        <w:rPr>
          <w:rFonts w:ascii="Arial" w:hAnsi="Arial" w:cs="Arial"/>
          <w:sz w:val="20"/>
          <w:u w:val="single"/>
        </w:rPr>
        <w:t>activos</w:t>
      </w:r>
      <w:r w:rsidRPr="00AC4AEA">
        <w:rPr>
          <w:rFonts w:ascii="Arial" w:hAnsi="Arial" w:cs="Arial"/>
          <w:sz w:val="20"/>
          <w:u w:val="single"/>
        </w:rPr>
        <w:t>) y pérdidas (ganancias) por impuesto diferido</w:t>
      </w:r>
      <w:r w:rsidRPr="00AC4AEA">
        <w:rPr>
          <w:rFonts w:ascii="Arial" w:hAnsi="Arial" w:cs="Arial"/>
          <w:sz w:val="20"/>
        </w:rPr>
        <w:t>”</w:t>
      </w:r>
      <w:r w:rsidR="00BF5900" w:rsidRPr="00AC4AEA">
        <w:rPr>
          <w:rFonts w:ascii="Arial" w:hAnsi="Arial" w:cs="Arial"/>
          <w:sz w:val="20"/>
        </w:rPr>
        <w:t xml:space="preserve"> [ver</w:t>
      </w:r>
      <w:r w:rsidR="005C06B3" w:rsidRPr="00AC4AEA">
        <w:rPr>
          <w:rFonts w:ascii="Arial" w:hAnsi="Arial" w:cs="Arial"/>
          <w:sz w:val="20"/>
        </w:rPr>
        <w:t xml:space="preserve"> los</w:t>
      </w:r>
      <w:r w:rsidR="00BF5900" w:rsidRPr="00AC4AEA">
        <w:rPr>
          <w:rFonts w:ascii="Arial" w:hAnsi="Arial" w:cs="Arial"/>
          <w:sz w:val="20"/>
        </w:rPr>
        <w:t xml:space="preserve"> párrafos </w:t>
      </w:r>
      <w:fldSimple w:instr=" REF _Ref99458769 \r \h  \* MERGEFORMAT ">
        <w:r w:rsidR="00D33A5D" w:rsidRPr="00D33A5D">
          <w:rPr>
            <w:rFonts w:ascii="Arial" w:hAnsi="Arial" w:cs="Arial"/>
            <w:sz w:val="20"/>
          </w:rPr>
          <w:t>596</w:t>
        </w:r>
      </w:fldSimple>
      <w:r w:rsidR="00BF5900" w:rsidRPr="00AC4AEA">
        <w:rPr>
          <w:rFonts w:ascii="Arial" w:hAnsi="Arial" w:cs="Arial"/>
          <w:sz w:val="20"/>
        </w:rPr>
        <w:t xml:space="preserve"> a </w:t>
      </w:r>
      <w:fldSimple w:instr=" REF _Ref99458625 \r \h  \* MERGEFORMAT ">
        <w:r w:rsidR="00D33A5D" w:rsidRPr="00D33A5D">
          <w:rPr>
            <w:rFonts w:ascii="Arial" w:hAnsi="Arial" w:cs="Arial"/>
            <w:sz w:val="20"/>
          </w:rPr>
          <w:t>599</w:t>
        </w:r>
      </w:fldSimple>
      <w:r w:rsidR="00BF5900" w:rsidRPr="00AC4AEA">
        <w:rPr>
          <w:rFonts w:ascii="Arial" w:hAnsi="Arial" w:cs="Arial"/>
          <w:sz w:val="20"/>
        </w:rPr>
        <w:t>]</w:t>
      </w:r>
      <w:r w:rsidRPr="00AC4AEA">
        <w:rPr>
          <w:rFonts w:ascii="Arial" w:hAnsi="Arial" w:cs="Arial"/>
          <w:sz w:val="20"/>
        </w:rPr>
        <w:t>.</w:t>
      </w:r>
      <w:bookmarkEnd w:id="268"/>
    </w:p>
    <w:p w:rsidR="00AD0B60" w:rsidRPr="00AC4AEA" w:rsidRDefault="00AD0B60" w:rsidP="00A318EA">
      <w:pPr>
        <w:pStyle w:val="A-Normal11"/>
        <w:ind w:left="993"/>
        <w:jc w:val="both"/>
        <w:rPr>
          <w:rFonts w:ascii="Arial" w:hAnsi="Arial" w:cs="Arial"/>
          <w:sz w:val="20"/>
        </w:rPr>
      </w:pPr>
    </w:p>
    <w:p w:rsidR="00AD0B60" w:rsidRPr="00AC4AEA" w:rsidRDefault="00AD0B60" w:rsidP="00A318EA">
      <w:pPr>
        <w:pStyle w:val="Ttulo3"/>
      </w:pPr>
      <w:bookmarkStart w:id="269" w:name="_Toc101863783"/>
      <w:bookmarkStart w:id="270" w:name="_Toc139356648"/>
      <w:r w:rsidRPr="00AC4AEA">
        <w:t>Ajuste de los flujos de efectivo del período actual</w:t>
      </w:r>
      <w:bookmarkEnd w:id="269"/>
      <w:bookmarkEnd w:id="270"/>
    </w:p>
    <w:p w:rsidR="00AD0B60" w:rsidRPr="00AC4AEA" w:rsidRDefault="00AD0B60" w:rsidP="00A318EA">
      <w:pPr>
        <w:pStyle w:val="Prrafodelista"/>
        <w:numPr>
          <w:ilvl w:val="0"/>
          <w:numId w:val="29"/>
        </w:numPr>
        <w:contextualSpacing w:val="0"/>
        <w:jc w:val="both"/>
        <w:rPr>
          <w:rFonts w:ascii="Arial" w:hAnsi="Arial" w:cs="Arial"/>
          <w:b/>
          <w:bCs/>
          <w:sz w:val="20"/>
          <w:szCs w:val="20"/>
        </w:rPr>
      </w:pPr>
      <w:bookmarkStart w:id="271" w:name="_Ref80968877"/>
      <w:r w:rsidRPr="00AC4AEA">
        <w:rPr>
          <w:rFonts w:ascii="Arial" w:hAnsi="Arial" w:cs="Arial"/>
          <w:sz w:val="20"/>
          <w:szCs w:val="20"/>
        </w:rPr>
        <w:t xml:space="preserve">Al preparar sus </w:t>
      </w:r>
      <w:r w:rsidR="00135084" w:rsidRPr="00AC4AEA">
        <w:rPr>
          <w:rFonts w:ascii="Arial" w:hAnsi="Arial" w:cs="Arial"/>
          <w:b/>
          <w:bCs/>
          <w:sz w:val="20"/>
          <w:szCs w:val="20"/>
        </w:rPr>
        <w:t>estados contables</w:t>
      </w:r>
      <w:r w:rsidRPr="00AC4AEA">
        <w:rPr>
          <w:rFonts w:ascii="Arial" w:hAnsi="Arial" w:cs="Arial"/>
          <w:sz w:val="20"/>
          <w:szCs w:val="20"/>
        </w:rPr>
        <w:t xml:space="preserve"> en moneda de cierre, una entidad</w:t>
      </w:r>
      <w:bookmarkEnd w:id="271"/>
      <w:r w:rsidR="005C04BE" w:rsidRPr="00AC4AEA">
        <w:rPr>
          <w:rFonts w:ascii="Arial" w:hAnsi="Arial" w:cs="Arial"/>
          <w:sz w:val="20"/>
          <w:szCs w:val="20"/>
        </w:rPr>
        <w:t>:</w:t>
      </w:r>
    </w:p>
    <w:p w:rsidR="00AD0B60" w:rsidRPr="00AC4AEA" w:rsidRDefault="005C04BE" w:rsidP="00A318EA">
      <w:pPr>
        <w:pStyle w:val="A-Normal11"/>
        <w:numPr>
          <w:ilvl w:val="0"/>
          <w:numId w:val="263"/>
        </w:numPr>
        <w:ind w:left="1560"/>
        <w:jc w:val="both"/>
        <w:rPr>
          <w:rFonts w:ascii="Arial" w:hAnsi="Arial" w:cs="Arial"/>
          <w:sz w:val="20"/>
        </w:rPr>
      </w:pPr>
      <w:r w:rsidRPr="00AC4AEA">
        <w:rPr>
          <w:rFonts w:ascii="Arial" w:hAnsi="Arial" w:cs="Arial"/>
          <w:sz w:val="20"/>
        </w:rPr>
        <w:t>Expresará l</w:t>
      </w:r>
      <w:r w:rsidR="00AD0B60" w:rsidRPr="00AC4AEA">
        <w:rPr>
          <w:rFonts w:ascii="Arial" w:hAnsi="Arial" w:cs="Arial"/>
          <w:sz w:val="20"/>
        </w:rPr>
        <w:t xml:space="preserve">os cobros y los pagos </w:t>
      </w:r>
      <w:r w:rsidR="00F72119" w:rsidRPr="00AC4AEA">
        <w:rPr>
          <w:rFonts w:ascii="Arial" w:hAnsi="Arial" w:cs="Arial"/>
          <w:sz w:val="20"/>
        </w:rPr>
        <w:t xml:space="preserve">en moneda de cierre multiplicando las cifras </w:t>
      </w:r>
      <w:r w:rsidR="00AD0B60" w:rsidRPr="00AC4AEA">
        <w:rPr>
          <w:rFonts w:ascii="Arial" w:hAnsi="Arial" w:cs="Arial"/>
          <w:sz w:val="20"/>
        </w:rPr>
        <w:t>originalmente</w:t>
      </w:r>
      <w:r w:rsidR="00F72119" w:rsidRPr="00AC4AEA">
        <w:rPr>
          <w:rFonts w:ascii="Arial" w:hAnsi="Arial" w:cs="Arial"/>
          <w:sz w:val="20"/>
        </w:rPr>
        <w:t xml:space="preserve"> expresadas</w:t>
      </w:r>
      <w:r w:rsidR="00AD0B60" w:rsidRPr="00AC4AEA">
        <w:rPr>
          <w:rFonts w:ascii="Arial" w:hAnsi="Arial" w:cs="Arial"/>
          <w:sz w:val="20"/>
        </w:rPr>
        <w:t xml:space="preserve"> en la moneda </w:t>
      </w:r>
      <w:r w:rsidRPr="00AC4AEA">
        <w:rPr>
          <w:rFonts w:ascii="Arial" w:hAnsi="Arial" w:cs="Arial"/>
          <w:sz w:val="20"/>
        </w:rPr>
        <w:t>de</w:t>
      </w:r>
      <w:r w:rsidR="00F72119" w:rsidRPr="00AC4AEA">
        <w:rPr>
          <w:rFonts w:ascii="Arial" w:hAnsi="Arial" w:cs="Arial"/>
          <w:sz w:val="20"/>
        </w:rPr>
        <w:t xml:space="preserve"> la fecha de</w:t>
      </w:r>
      <w:r w:rsidR="00D73664" w:rsidRPr="00AC4AEA">
        <w:rPr>
          <w:rFonts w:ascii="Arial" w:hAnsi="Arial" w:cs="Arial"/>
          <w:sz w:val="20"/>
        </w:rPr>
        <w:t xml:space="preserve"> cobro o pago</w:t>
      </w:r>
      <w:r w:rsidR="00F72119" w:rsidRPr="00AC4AEA">
        <w:rPr>
          <w:rFonts w:ascii="Arial" w:hAnsi="Arial" w:cs="Arial"/>
          <w:sz w:val="20"/>
        </w:rPr>
        <w:t xml:space="preserve"> por el coeficiente que surge de dividir el </w:t>
      </w:r>
      <w:r w:rsidR="00F72119" w:rsidRPr="00AC4AEA">
        <w:rPr>
          <w:rFonts w:ascii="Arial" w:hAnsi="Arial" w:cs="Arial"/>
          <w:b/>
          <w:bCs/>
          <w:sz w:val="20"/>
        </w:rPr>
        <w:t>índice de precios</w:t>
      </w:r>
      <w:r w:rsidR="00F72119" w:rsidRPr="00AC4AEA">
        <w:rPr>
          <w:rFonts w:ascii="Arial" w:hAnsi="Arial" w:cs="Arial"/>
          <w:sz w:val="20"/>
        </w:rPr>
        <w:t xml:space="preserve"> </w:t>
      </w:r>
      <w:r w:rsidR="00F72119" w:rsidRPr="00AC4AEA">
        <w:rPr>
          <w:rFonts w:ascii="Arial" w:hAnsi="Arial" w:cs="Arial"/>
          <w:b/>
          <w:bCs/>
          <w:sz w:val="20"/>
        </w:rPr>
        <w:t xml:space="preserve">FACPCE </w:t>
      </w:r>
      <w:r w:rsidRPr="00AC4AEA">
        <w:rPr>
          <w:rFonts w:ascii="Arial" w:hAnsi="Arial" w:cs="Arial"/>
          <w:sz w:val="20"/>
        </w:rPr>
        <w:t xml:space="preserve">al </w:t>
      </w:r>
      <w:r w:rsidR="00F72119" w:rsidRPr="00AC4AEA">
        <w:rPr>
          <w:rFonts w:ascii="Arial" w:hAnsi="Arial" w:cs="Arial"/>
          <w:sz w:val="20"/>
        </w:rPr>
        <w:t>cierre por el de la fecha de cobro o pago.</w:t>
      </w:r>
    </w:p>
    <w:p w:rsidR="002979E6" w:rsidRPr="00AC4AEA" w:rsidRDefault="005C04BE" w:rsidP="00A318EA">
      <w:pPr>
        <w:pStyle w:val="A-Normal11"/>
        <w:numPr>
          <w:ilvl w:val="0"/>
          <w:numId w:val="263"/>
        </w:numPr>
        <w:ind w:left="1560"/>
        <w:jc w:val="both"/>
        <w:rPr>
          <w:rFonts w:ascii="Arial" w:hAnsi="Arial" w:cs="Arial"/>
          <w:sz w:val="20"/>
        </w:rPr>
      </w:pPr>
      <w:r w:rsidRPr="00AC4AEA">
        <w:rPr>
          <w:rFonts w:ascii="Arial" w:hAnsi="Arial" w:cs="Arial"/>
          <w:sz w:val="20"/>
        </w:rPr>
        <w:t>Incorporará</w:t>
      </w:r>
      <w:r w:rsidR="002979E6" w:rsidRPr="00AC4AEA">
        <w:rPr>
          <w:rFonts w:ascii="Arial" w:hAnsi="Arial" w:cs="Arial"/>
          <w:sz w:val="20"/>
        </w:rPr>
        <w:t xml:space="preserve"> el </w:t>
      </w:r>
      <w:r w:rsidR="00AD0B60" w:rsidRPr="00AC4AEA">
        <w:rPr>
          <w:rFonts w:ascii="Arial" w:hAnsi="Arial" w:cs="Arial"/>
          <w:sz w:val="20"/>
        </w:rPr>
        <w:t>resultado por cambios en el poder adquisitivo de la moneda generado por el efectivo y sus equivalentes</w:t>
      </w:r>
      <w:r w:rsidR="002979E6" w:rsidRPr="00AC4AEA">
        <w:rPr>
          <w:rFonts w:ascii="Arial" w:hAnsi="Arial" w:cs="Arial"/>
          <w:sz w:val="20"/>
        </w:rPr>
        <w:t xml:space="preserve"> según lo dispuesto en </w:t>
      </w:r>
      <w:r w:rsidR="005D22A2" w:rsidRPr="00AC4AEA">
        <w:rPr>
          <w:rFonts w:ascii="Arial" w:hAnsi="Arial" w:cs="Arial"/>
          <w:sz w:val="20"/>
        </w:rPr>
        <w:t>el apartado</w:t>
      </w:r>
      <w:r w:rsidR="002979E6" w:rsidRPr="00AC4AEA">
        <w:rPr>
          <w:rFonts w:ascii="Arial" w:hAnsi="Arial" w:cs="Arial"/>
          <w:sz w:val="20"/>
        </w:rPr>
        <w:t xml:space="preserve"> “</w:t>
      </w:r>
      <w:r w:rsidR="002979E6" w:rsidRPr="00AC4AEA">
        <w:rPr>
          <w:rFonts w:ascii="Arial" w:hAnsi="Arial" w:cs="Arial"/>
          <w:sz w:val="20"/>
          <w:u w:val="single"/>
        </w:rPr>
        <w:t>Resultados financieros y de tenencia del efectivo y sus equivalentes</w:t>
      </w:r>
      <w:r w:rsidR="002979E6" w:rsidRPr="00AC4AEA">
        <w:rPr>
          <w:rFonts w:ascii="Arial" w:hAnsi="Arial" w:cs="Arial"/>
          <w:sz w:val="20"/>
        </w:rPr>
        <w:t xml:space="preserve">” [ver </w:t>
      </w:r>
      <w:r w:rsidR="001460EB">
        <w:rPr>
          <w:rFonts w:ascii="Arial" w:hAnsi="Arial" w:cs="Arial"/>
          <w:sz w:val="20"/>
        </w:rPr>
        <w:t xml:space="preserve">los </w:t>
      </w:r>
      <w:r w:rsidR="002979E6" w:rsidRPr="00AC4AEA">
        <w:rPr>
          <w:rFonts w:ascii="Arial" w:hAnsi="Arial" w:cs="Arial"/>
          <w:sz w:val="20"/>
        </w:rPr>
        <w:t>párrafos</w:t>
      </w:r>
      <w:r w:rsidR="003601AF" w:rsidRPr="00AC4AEA">
        <w:rPr>
          <w:rFonts w:ascii="Arial" w:hAnsi="Arial" w:cs="Arial"/>
          <w:sz w:val="20"/>
        </w:rPr>
        <w:t xml:space="preserve"> </w:t>
      </w:r>
      <w:fldSimple w:instr=" REF _Ref102216740 \r \h  \* MERGEFORMAT ">
        <w:r w:rsidR="00D33A5D" w:rsidRPr="00D33A5D">
          <w:rPr>
            <w:rFonts w:ascii="Arial" w:hAnsi="Arial" w:cs="Arial"/>
            <w:sz w:val="20"/>
          </w:rPr>
          <w:t>659</w:t>
        </w:r>
      </w:fldSimple>
      <w:r w:rsidR="003601AF" w:rsidRPr="00AC4AEA">
        <w:rPr>
          <w:rFonts w:ascii="Arial" w:hAnsi="Arial" w:cs="Arial"/>
          <w:sz w:val="20"/>
        </w:rPr>
        <w:t xml:space="preserve"> a </w:t>
      </w:r>
      <w:fldSimple w:instr=" REF _Ref102216744 \r \h  \* MERGEFORMAT ">
        <w:r w:rsidR="00D33A5D" w:rsidRPr="00D33A5D">
          <w:rPr>
            <w:rFonts w:ascii="Arial" w:hAnsi="Arial" w:cs="Arial"/>
            <w:sz w:val="20"/>
          </w:rPr>
          <w:t>661</w:t>
        </w:r>
      </w:fldSimple>
      <w:r w:rsidR="003601AF" w:rsidRPr="00AC4AEA">
        <w:rPr>
          <w:rFonts w:ascii="Arial" w:hAnsi="Arial" w:cs="Arial"/>
          <w:sz w:val="20"/>
        </w:rPr>
        <w:t>].</w:t>
      </w:r>
    </w:p>
    <w:p w:rsidR="000B1EBE" w:rsidRPr="00AC4AEA" w:rsidRDefault="000B1EBE" w:rsidP="00A318EA">
      <w:pPr>
        <w:pStyle w:val="A-azul"/>
        <w:rPr>
          <w:rFonts w:ascii="Arial" w:hAnsi="Arial" w:cs="Arial"/>
          <w:i w:val="0"/>
          <w:color w:val="auto"/>
          <w:sz w:val="20"/>
          <w:szCs w:val="20"/>
          <w:lang w:val="es-AR"/>
        </w:rPr>
      </w:pPr>
      <w:bookmarkStart w:id="272" w:name="_Toc101863784"/>
    </w:p>
    <w:p w:rsidR="00AD0B60" w:rsidRPr="00AC4AEA" w:rsidRDefault="00D73664" w:rsidP="00A318EA">
      <w:pPr>
        <w:pStyle w:val="Ttulo3"/>
      </w:pPr>
      <w:bookmarkStart w:id="273" w:name="_Toc139356649"/>
      <w:r w:rsidRPr="00AC4AEA">
        <w:t>Ajuste</w:t>
      </w:r>
      <w:r w:rsidR="00AD0B60" w:rsidRPr="00AC4AEA">
        <w:t xml:space="preserve"> de las cifras correspondientes al período comparativo en moneda de cierre (actual)</w:t>
      </w:r>
      <w:bookmarkEnd w:id="272"/>
      <w:bookmarkEnd w:id="273"/>
    </w:p>
    <w:p w:rsidR="00AD0B60" w:rsidRPr="00AC4AEA" w:rsidRDefault="00AD0B60" w:rsidP="00A318EA">
      <w:pPr>
        <w:pStyle w:val="A-Normal11"/>
        <w:numPr>
          <w:ilvl w:val="0"/>
          <w:numId w:val="29"/>
        </w:numPr>
        <w:jc w:val="both"/>
        <w:rPr>
          <w:rFonts w:ascii="Arial" w:hAnsi="Arial" w:cs="Arial"/>
          <w:sz w:val="20"/>
        </w:rPr>
      </w:pPr>
      <w:bookmarkStart w:id="274" w:name="_Ref80968921"/>
      <w:r w:rsidRPr="00AC4AEA">
        <w:rPr>
          <w:rFonts w:ascii="Arial" w:hAnsi="Arial" w:cs="Arial"/>
          <w:sz w:val="20"/>
        </w:rPr>
        <w:t xml:space="preserve">Al presentar los </w:t>
      </w:r>
      <w:r w:rsidR="00135084" w:rsidRPr="00AC4AEA">
        <w:rPr>
          <w:rFonts w:ascii="Arial" w:hAnsi="Arial" w:cs="Arial"/>
          <w:b/>
          <w:bCs/>
          <w:sz w:val="20"/>
        </w:rPr>
        <w:t>estados contables</w:t>
      </w:r>
      <w:r w:rsidRPr="00AC4AEA">
        <w:rPr>
          <w:rFonts w:ascii="Arial" w:hAnsi="Arial" w:cs="Arial"/>
          <w:sz w:val="20"/>
        </w:rPr>
        <w:t xml:space="preserve"> en moneda de cierre, la entidad expresará todas las cifras comparativas, adecuadas –de corresponder– con los criterios de reconocimiento y medición utilizados en el período actual, aplicando el coeficiente </w:t>
      </w:r>
      <w:r w:rsidRPr="00AC4AEA">
        <w:rPr>
          <w:rFonts w:ascii="Arial" w:hAnsi="Arial" w:cs="Arial"/>
          <w:sz w:val="20"/>
        </w:rPr>
        <w:lastRenderedPageBreak/>
        <w:t xml:space="preserve">que resulte de dividir el valor del </w:t>
      </w:r>
      <w:r w:rsidRPr="00AC4AEA">
        <w:rPr>
          <w:rFonts w:ascii="Arial" w:hAnsi="Arial" w:cs="Arial"/>
          <w:b/>
          <w:bCs/>
          <w:sz w:val="20"/>
        </w:rPr>
        <w:t>índice</w:t>
      </w:r>
      <w:r w:rsidRPr="00AC4AEA">
        <w:rPr>
          <w:rFonts w:ascii="Arial" w:hAnsi="Arial" w:cs="Arial"/>
          <w:sz w:val="20"/>
        </w:rPr>
        <w:t xml:space="preserve"> correspondiente a la </w:t>
      </w:r>
      <w:r w:rsidRPr="00AC4AEA">
        <w:rPr>
          <w:rFonts w:ascii="Arial" w:hAnsi="Arial" w:cs="Arial"/>
          <w:b/>
          <w:bCs/>
          <w:sz w:val="20"/>
        </w:rPr>
        <w:t xml:space="preserve">fecha de los </w:t>
      </w:r>
      <w:r w:rsidR="00135084" w:rsidRPr="00AC4AEA">
        <w:rPr>
          <w:rFonts w:ascii="Arial" w:hAnsi="Arial" w:cs="Arial"/>
          <w:b/>
          <w:bCs/>
          <w:sz w:val="20"/>
        </w:rPr>
        <w:t>estados contables</w:t>
      </w:r>
      <w:r w:rsidRPr="00AC4AEA">
        <w:rPr>
          <w:rFonts w:ascii="Arial" w:hAnsi="Arial" w:cs="Arial"/>
          <w:sz w:val="20"/>
        </w:rPr>
        <w:t xml:space="preserve"> por el valor del </w:t>
      </w:r>
      <w:r w:rsidRPr="00AC4AEA">
        <w:rPr>
          <w:rFonts w:ascii="Arial" w:hAnsi="Arial" w:cs="Arial"/>
          <w:b/>
          <w:bCs/>
          <w:sz w:val="20"/>
        </w:rPr>
        <w:t xml:space="preserve">índice </w:t>
      </w:r>
      <w:r w:rsidRPr="00AC4AEA">
        <w:rPr>
          <w:rFonts w:ascii="Arial" w:hAnsi="Arial" w:cs="Arial"/>
          <w:sz w:val="20"/>
        </w:rPr>
        <w:t>referido a la fecha o período comparativo.</w:t>
      </w:r>
      <w:bookmarkEnd w:id="274"/>
    </w:p>
    <w:p w:rsidR="00AD0B60" w:rsidRPr="00AC4AEA" w:rsidRDefault="00AD0B60" w:rsidP="00A318EA">
      <w:pPr>
        <w:pStyle w:val="A-Normal11"/>
        <w:ind w:left="993"/>
        <w:jc w:val="both"/>
        <w:rPr>
          <w:rFonts w:ascii="Arial" w:hAnsi="Arial" w:cs="Arial"/>
          <w:sz w:val="20"/>
        </w:rPr>
      </w:pPr>
    </w:p>
    <w:p w:rsidR="00AD0B60" w:rsidRPr="00AC4AEA" w:rsidRDefault="00AD0B60" w:rsidP="00A318EA">
      <w:pPr>
        <w:pStyle w:val="Ttulo2"/>
        <w:rPr>
          <w:rFonts w:cs="Arial"/>
        </w:rPr>
      </w:pPr>
      <w:bookmarkStart w:id="275" w:name="_Toc101863785"/>
      <w:bookmarkStart w:id="276" w:name="_Toc139356650"/>
      <w:r w:rsidRPr="00AC4AEA">
        <w:rPr>
          <w:rFonts w:cs="Arial"/>
        </w:rPr>
        <w:t>Procedimiento: Cuestiones de aplicación particular</w:t>
      </w:r>
      <w:bookmarkEnd w:id="275"/>
      <w:bookmarkEnd w:id="276"/>
    </w:p>
    <w:p w:rsidR="00AD0B60" w:rsidRPr="00AC4AEA" w:rsidRDefault="00AD0B60" w:rsidP="00A318EA">
      <w:pPr>
        <w:pStyle w:val="Ttulo3"/>
      </w:pPr>
      <w:bookmarkStart w:id="277" w:name="_Toc101863786"/>
      <w:bookmarkStart w:id="278" w:name="_Toc139356651"/>
      <w:r w:rsidRPr="00AC4AEA">
        <w:t>Aplicación por primera vez o reanudación de su aplicación</w:t>
      </w:r>
      <w:bookmarkEnd w:id="277"/>
      <w:bookmarkEnd w:id="278"/>
    </w:p>
    <w:p w:rsidR="00AD0B60" w:rsidRPr="00AC4AEA" w:rsidRDefault="00AD0B60" w:rsidP="00A318EA">
      <w:pPr>
        <w:pStyle w:val="A-Normal11"/>
        <w:numPr>
          <w:ilvl w:val="0"/>
          <w:numId w:val="29"/>
        </w:numPr>
        <w:jc w:val="both"/>
        <w:rPr>
          <w:rFonts w:ascii="Arial" w:hAnsi="Arial" w:cs="Arial"/>
          <w:sz w:val="20"/>
        </w:rPr>
      </w:pPr>
      <w:bookmarkStart w:id="279" w:name="_Ref80969284"/>
      <w:r w:rsidRPr="00AC4AEA">
        <w:rPr>
          <w:rFonts w:ascii="Arial" w:hAnsi="Arial" w:cs="Arial"/>
          <w:sz w:val="20"/>
        </w:rPr>
        <w:t xml:space="preserve">Cuando aplique por primera vez o reanude la emisión de </w:t>
      </w:r>
      <w:r w:rsidR="00135084" w:rsidRPr="00AC4AEA">
        <w:rPr>
          <w:rFonts w:ascii="Arial" w:hAnsi="Arial" w:cs="Arial"/>
          <w:b/>
          <w:bCs/>
          <w:sz w:val="20"/>
        </w:rPr>
        <w:t>estados contables</w:t>
      </w:r>
      <w:r w:rsidRPr="00AC4AEA">
        <w:rPr>
          <w:rFonts w:ascii="Arial" w:hAnsi="Arial" w:cs="Arial"/>
          <w:sz w:val="20"/>
        </w:rPr>
        <w:t xml:space="preserve"> ajustados por inflación, luego de una interrupción, una entidad deberá:</w:t>
      </w:r>
      <w:bookmarkEnd w:id="279"/>
    </w:p>
    <w:p w:rsidR="00AD0B60" w:rsidRPr="00AC4AEA" w:rsidRDefault="00AD0B60" w:rsidP="00A318EA">
      <w:pPr>
        <w:pStyle w:val="A-Normal11"/>
        <w:numPr>
          <w:ilvl w:val="0"/>
          <w:numId w:val="311"/>
        </w:numPr>
        <w:jc w:val="both"/>
        <w:rPr>
          <w:rFonts w:ascii="Arial" w:hAnsi="Arial" w:cs="Arial"/>
          <w:sz w:val="20"/>
        </w:rPr>
      </w:pPr>
      <w:r w:rsidRPr="00AC4AEA">
        <w:rPr>
          <w:rFonts w:ascii="Arial" w:hAnsi="Arial" w:cs="Arial"/>
          <w:sz w:val="20"/>
        </w:rPr>
        <w:t xml:space="preserve">medir el </w:t>
      </w:r>
      <w:r w:rsidRPr="00AC4AEA">
        <w:rPr>
          <w:rFonts w:ascii="Arial" w:hAnsi="Arial" w:cs="Arial"/>
          <w:b/>
          <w:bCs/>
          <w:sz w:val="20"/>
        </w:rPr>
        <w:t>activo</w:t>
      </w:r>
      <w:r w:rsidRPr="00AC4AEA">
        <w:rPr>
          <w:rFonts w:ascii="Arial" w:hAnsi="Arial" w:cs="Arial"/>
          <w:sz w:val="20"/>
        </w:rPr>
        <w:t xml:space="preserve"> y el </w:t>
      </w:r>
      <w:r w:rsidRPr="00AC4AEA">
        <w:rPr>
          <w:rFonts w:ascii="Arial" w:hAnsi="Arial" w:cs="Arial"/>
          <w:b/>
          <w:bCs/>
          <w:sz w:val="20"/>
        </w:rPr>
        <w:t>pasivo</w:t>
      </w:r>
      <w:r w:rsidRPr="00AC4AEA">
        <w:rPr>
          <w:rFonts w:ascii="Arial" w:hAnsi="Arial" w:cs="Arial"/>
          <w:sz w:val="20"/>
        </w:rPr>
        <w:t xml:space="preserve"> al inicio del período objeto de ajuste, en moneda homogénea de dicha fecha, ajustando las partidas correspondientes;</w:t>
      </w:r>
    </w:p>
    <w:p w:rsidR="00AD0B60" w:rsidRPr="00AC4AEA" w:rsidRDefault="00AD0B60" w:rsidP="00A318EA">
      <w:pPr>
        <w:pStyle w:val="A-Normal11"/>
        <w:numPr>
          <w:ilvl w:val="0"/>
          <w:numId w:val="311"/>
        </w:numPr>
        <w:jc w:val="both"/>
        <w:rPr>
          <w:rFonts w:ascii="Arial" w:hAnsi="Arial" w:cs="Arial"/>
          <w:sz w:val="20"/>
        </w:rPr>
      </w:pPr>
      <w:r w:rsidRPr="00AC4AEA">
        <w:rPr>
          <w:rFonts w:ascii="Arial" w:hAnsi="Arial" w:cs="Arial"/>
          <w:sz w:val="20"/>
        </w:rPr>
        <w:t xml:space="preserve">obtener el </w:t>
      </w:r>
      <w:r w:rsidRPr="00AC4AEA">
        <w:rPr>
          <w:rFonts w:ascii="Arial" w:hAnsi="Arial" w:cs="Arial"/>
          <w:b/>
          <w:bCs/>
          <w:sz w:val="20"/>
        </w:rPr>
        <w:t>patrimonio neto</w:t>
      </w:r>
      <w:r w:rsidRPr="00AC4AEA">
        <w:rPr>
          <w:rFonts w:ascii="Arial" w:hAnsi="Arial" w:cs="Arial"/>
          <w:sz w:val="20"/>
        </w:rPr>
        <w:t xml:space="preserve"> al inicio del período objeto del ajuste, en moneda homogénea de dicha fecha, por diferencia entre el </w:t>
      </w:r>
      <w:r w:rsidRPr="00AC4AEA">
        <w:rPr>
          <w:rFonts w:ascii="Arial" w:hAnsi="Arial" w:cs="Arial"/>
          <w:b/>
          <w:bCs/>
          <w:sz w:val="20"/>
        </w:rPr>
        <w:t>activo</w:t>
      </w:r>
      <w:r w:rsidRPr="00AC4AEA">
        <w:rPr>
          <w:rFonts w:ascii="Arial" w:hAnsi="Arial" w:cs="Arial"/>
          <w:sz w:val="20"/>
        </w:rPr>
        <w:t xml:space="preserve"> y el </w:t>
      </w:r>
      <w:r w:rsidRPr="00AC4AEA">
        <w:rPr>
          <w:rFonts w:ascii="Arial" w:hAnsi="Arial" w:cs="Arial"/>
          <w:b/>
          <w:bCs/>
          <w:sz w:val="20"/>
        </w:rPr>
        <w:t>pasivo</w:t>
      </w:r>
      <w:r w:rsidRPr="00AC4AEA">
        <w:rPr>
          <w:rFonts w:ascii="Arial" w:hAnsi="Arial" w:cs="Arial"/>
          <w:sz w:val="20"/>
        </w:rPr>
        <w:t xml:space="preserve"> calculados según lo establecido en el inciso anterior;</w:t>
      </w:r>
    </w:p>
    <w:p w:rsidR="00AD0B60" w:rsidRPr="00AC4AEA" w:rsidRDefault="00AD0B60" w:rsidP="00A318EA">
      <w:pPr>
        <w:pStyle w:val="A-Normal11"/>
        <w:numPr>
          <w:ilvl w:val="0"/>
          <w:numId w:val="311"/>
        </w:numPr>
        <w:jc w:val="both"/>
        <w:rPr>
          <w:rFonts w:ascii="Arial" w:hAnsi="Arial" w:cs="Arial"/>
          <w:sz w:val="20"/>
        </w:rPr>
      </w:pPr>
      <w:r w:rsidRPr="00AC4AEA">
        <w:rPr>
          <w:rFonts w:ascii="Arial" w:hAnsi="Arial" w:cs="Arial"/>
          <w:sz w:val="20"/>
        </w:rPr>
        <w:t xml:space="preserve">medir en moneda homogénea a esa misma fecha cada componente del </w:t>
      </w:r>
      <w:r w:rsidRPr="00AC4AEA">
        <w:rPr>
          <w:rFonts w:ascii="Arial" w:hAnsi="Arial" w:cs="Arial"/>
          <w:b/>
          <w:bCs/>
          <w:sz w:val="20"/>
        </w:rPr>
        <w:t>patrimonio neto</w:t>
      </w:r>
      <w:r w:rsidRPr="00AC4AEA">
        <w:rPr>
          <w:rFonts w:ascii="Arial" w:hAnsi="Arial" w:cs="Arial"/>
          <w:sz w:val="20"/>
        </w:rPr>
        <w:t>, excluido el resultado acumulado;</w:t>
      </w:r>
    </w:p>
    <w:p w:rsidR="00AD0B60" w:rsidRPr="00AC4AEA" w:rsidRDefault="00AD0B60" w:rsidP="00A318EA">
      <w:pPr>
        <w:pStyle w:val="A-Normal11"/>
        <w:numPr>
          <w:ilvl w:val="0"/>
          <w:numId w:val="311"/>
        </w:numPr>
        <w:jc w:val="both"/>
        <w:rPr>
          <w:rFonts w:ascii="Arial" w:hAnsi="Arial" w:cs="Arial"/>
          <w:sz w:val="20"/>
        </w:rPr>
      </w:pPr>
      <w:r w:rsidRPr="00AC4AEA">
        <w:rPr>
          <w:rFonts w:ascii="Arial" w:hAnsi="Arial" w:cs="Arial"/>
          <w:sz w:val="20"/>
        </w:rPr>
        <w:t xml:space="preserve">determinar el resultado acumulado al inicio del período, en moneda del inicio, por diferencia entre el </w:t>
      </w:r>
      <w:r w:rsidRPr="00AC4AEA">
        <w:rPr>
          <w:rFonts w:ascii="Arial" w:hAnsi="Arial" w:cs="Arial"/>
          <w:b/>
          <w:bCs/>
          <w:sz w:val="20"/>
        </w:rPr>
        <w:t xml:space="preserve">patrimonio neto </w:t>
      </w:r>
      <w:r w:rsidRPr="00AC4AEA">
        <w:rPr>
          <w:rFonts w:ascii="Arial" w:hAnsi="Arial" w:cs="Arial"/>
          <w:sz w:val="20"/>
        </w:rPr>
        <w:t>del punto b), y los componentes medidos según el punto c);</w:t>
      </w:r>
    </w:p>
    <w:p w:rsidR="00AD0B60" w:rsidRPr="00AC4AEA" w:rsidRDefault="002A7740" w:rsidP="00A318EA">
      <w:pPr>
        <w:pStyle w:val="A-Normal11"/>
        <w:numPr>
          <w:ilvl w:val="0"/>
          <w:numId w:val="311"/>
        </w:numPr>
        <w:jc w:val="both"/>
        <w:rPr>
          <w:rFonts w:ascii="Arial" w:hAnsi="Arial" w:cs="Arial"/>
          <w:sz w:val="20"/>
        </w:rPr>
      </w:pPr>
      <w:r w:rsidRPr="00AC4AEA">
        <w:rPr>
          <w:rFonts w:ascii="Arial" w:hAnsi="Arial" w:cs="Arial"/>
          <w:sz w:val="20"/>
        </w:rPr>
        <w:t xml:space="preserve">completar el proceso de ajuste de acuerdo con lo establecido en </w:t>
      </w:r>
      <w:r w:rsidR="009B566C" w:rsidRPr="00AC4AEA">
        <w:rPr>
          <w:rFonts w:ascii="Arial" w:hAnsi="Arial" w:cs="Arial"/>
          <w:sz w:val="20"/>
        </w:rPr>
        <w:t xml:space="preserve">los párrafos </w:t>
      </w:r>
      <w:fldSimple w:instr=" REF _Ref102120637 \r \h  \* MERGEFORMAT ">
        <w:r w:rsidR="00D33A5D" w:rsidRPr="00D33A5D">
          <w:rPr>
            <w:rFonts w:ascii="Arial" w:hAnsi="Arial" w:cs="Arial"/>
            <w:sz w:val="20"/>
          </w:rPr>
          <w:t>185</w:t>
        </w:r>
      </w:fldSimple>
      <w:r w:rsidR="009B566C" w:rsidRPr="00AC4AEA">
        <w:rPr>
          <w:rFonts w:ascii="Arial" w:hAnsi="Arial" w:cs="Arial"/>
          <w:sz w:val="20"/>
        </w:rPr>
        <w:t xml:space="preserve"> al </w:t>
      </w:r>
      <w:fldSimple w:instr=" REF _Ref80968921 \r \h  \* MERGEFORMAT ">
        <w:r w:rsidR="00D33A5D" w:rsidRPr="00D33A5D">
          <w:rPr>
            <w:rFonts w:ascii="Arial" w:hAnsi="Arial" w:cs="Arial"/>
            <w:sz w:val="20"/>
          </w:rPr>
          <w:t>197</w:t>
        </w:r>
      </w:fldSimple>
      <w:r w:rsidRPr="00AC4AEA">
        <w:rPr>
          <w:rFonts w:ascii="Arial" w:hAnsi="Arial" w:cs="Arial"/>
          <w:sz w:val="20"/>
        </w:rPr>
        <w:t>.</w:t>
      </w:r>
    </w:p>
    <w:p w:rsidR="00AD0B60" w:rsidRPr="00AC4AEA" w:rsidRDefault="00AD0B60" w:rsidP="00A318EA">
      <w:pPr>
        <w:pStyle w:val="A-doctorado"/>
        <w:jc w:val="both"/>
        <w:rPr>
          <w:rFonts w:ascii="Arial" w:hAnsi="Arial"/>
          <w:color w:val="auto"/>
          <w:sz w:val="20"/>
          <w:szCs w:val="20"/>
        </w:rPr>
      </w:pPr>
    </w:p>
    <w:p w:rsidR="00AD0B60" w:rsidRPr="00AC4AEA" w:rsidRDefault="00AD0B60" w:rsidP="00A318EA">
      <w:pPr>
        <w:pStyle w:val="Ttulo3"/>
      </w:pPr>
      <w:bookmarkStart w:id="280" w:name="_Toc101863787"/>
      <w:bookmarkStart w:id="281" w:name="_Toc139356652"/>
      <w:r w:rsidRPr="00AC4AEA">
        <w:t>Interrupción y reanudación de los ajustes</w:t>
      </w:r>
      <w:bookmarkEnd w:id="280"/>
      <w:bookmarkEnd w:id="281"/>
      <w:r w:rsidRPr="00AC4AEA">
        <w:t xml:space="preserve"> </w:t>
      </w:r>
    </w:p>
    <w:p w:rsidR="00AD0B60" w:rsidRPr="00AC4AEA" w:rsidRDefault="00AD0B60" w:rsidP="00A318EA">
      <w:pPr>
        <w:pStyle w:val="A-Normal11"/>
        <w:numPr>
          <w:ilvl w:val="0"/>
          <w:numId w:val="29"/>
        </w:numPr>
        <w:jc w:val="both"/>
        <w:rPr>
          <w:rFonts w:ascii="Arial" w:hAnsi="Arial" w:cs="Arial"/>
          <w:sz w:val="20"/>
        </w:rPr>
      </w:pPr>
      <w:r w:rsidRPr="00AC4AEA">
        <w:rPr>
          <w:rFonts w:ascii="Arial" w:hAnsi="Arial" w:cs="Arial"/>
          <w:sz w:val="20"/>
        </w:rPr>
        <w:t xml:space="preserve">Si interrumpiera la emisión de sus </w:t>
      </w:r>
      <w:r w:rsidR="00135084" w:rsidRPr="00AC4AEA">
        <w:rPr>
          <w:rFonts w:ascii="Arial" w:hAnsi="Arial" w:cs="Arial"/>
          <w:b/>
          <w:bCs/>
          <w:sz w:val="20"/>
        </w:rPr>
        <w:t>estados contables</w:t>
      </w:r>
      <w:r w:rsidRPr="00AC4AEA">
        <w:rPr>
          <w:rFonts w:ascii="Arial" w:hAnsi="Arial" w:cs="Arial"/>
          <w:sz w:val="20"/>
        </w:rPr>
        <w:t xml:space="preserve"> en moneda homogénea, una entidad tratará a las cifras ajustadas al momento de interrupción como base para medir los elementos en los </w:t>
      </w:r>
      <w:r w:rsidR="00135084" w:rsidRPr="00AC4AEA">
        <w:rPr>
          <w:rFonts w:ascii="Arial" w:hAnsi="Arial" w:cs="Arial"/>
          <w:b/>
          <w:bCs/>
          <w:sz w:val="20"/>
        </w:rPr>
        <w:t>estados contables</w:t>
      </w:r>
      <w:r w:rsidRPr="00AC4AEA">
        <w:rPr>
          <w:rFonts w:ascii="Arial" w:hAnsi="Arial" w:cs="Arial"/>
          <w:sz w:val="20"/>
        </w:rPr>
        <w:t xml:space="preserve"> subsiguientes. </w:t>
      </w:r>
    </w:p>
    <w:p w:rsidR="00AD0B60" w:rsidRPr="00AC4AEA" w:rsidRDefault="00AD0B60" w:rsidP="00A318EA">
      <w:pPr>
        <w:pStyle w:val="A-Normal11"/>
        <w:numPr>
          <w:ilvl w:val="0"/>
          <w:numId w:val="29"/>
        </w:numPr>
        <w:jc w:val="both"/>
        <w:rPr>
          <w:rFonts w:ascii="Arial" w:hAnsi="Arial" w:cs="Arial"/>
          <w:sz w:val="20"/>
        </w:rPr>
      </w:pPr>
      <w:bookmarkStart w:id="282" w:name="_Ref99459144"/>
      <w:r w:rsidRPr="00AC4AEA">
        <w:rPr>
          <w:rFonts w:ascii="Arial" w:hAnsi="Arial" w:cs="Arial"/>
          <w:sz w:val="20"/>
        </w:rPr>
        <w:t>Si en un período posterior reanudara el ajuste, una entidad:</w:t>
      </w:r>
      <w:bookmarkEnd w:id="282"/>
    </w:p>
    <w:p w:rsidR="00AD0B60" w:rsidRPr="00AC4AEA" w:rsidRDefault="00432574" w:rsidP="00A318EA">
      <w:pPr>
        <w:pStyle w:val="A-Normal11"/>
        <w:numPr>
          <w:ilvl w:val="0"/>
          <w:numId w:val="262"/>
        </w:numPr>
        <w:jc w:val="both"/>
        <w:rPr>
          <w:rFonts w:ascii="Arial" w:hAnsi="Arial" w:cs="Arial"/>
          <w:sz w:val="20"/>
        </w:rPr>
      </w:pPr>
      <w:r w:rsidRPr="00AC4AEA">
        <w:rPr>
          <w:rFonts w:ascii="Arial" w:hAnsi="Arial" w:cs="Arial"/>
          <w:sz w:val="20"/>
        </w:rPr>
        <w:t>ajustará</w:t>
      </w:r>
      <w:r w:rsidR="00AD0B60" w:rsidRPr="00AC4AEA">
        <w:rPr>
          <w:rFonts w:ascii="Arial" w:hAnsi="Arial" w:cs="Arial"/>
          <w:sz w:val="20"/>
        </w:rPr>
        <w:t xml:space="preserve"> </w:t>
      </w:r>
      <w:r w:rsidRPr="00AC4AEA">
        <w:rPr>
          <w:rFonts w:ascii="Arial" w:hAnsi="Arial" w:cs="Arial"/>
          <w:sz w:val="20"/>
        </w:rPr>
        <w:t>al</w:t>
      </w:r>
      <w:r w:rsidR="00AD0B60" w:rsidRPr="00AC4AEA">
        <w:rPr>
          <w:rFonts w:ascii="Arial" w:hAnsi="Arial" w:cs="Arial"/>
          <w:sz w:val="20"/>
        </w:rPr>
        <w:t xml:space="preserve"> </w:t>
      </w:r>
      <w:r w:rsidRPr="00AC4AEA">
        <w:rPr>
          <w:rFonts w:ascii="Arial" w:hAnsi="Arial" w:cs="Arial"/>
          <w:sz w:val="20"/>
        </w:rPr>
        <w:t>inicio del ejercicio comparativo más antiguo</w:t>
      </w:r>
      <w:r w:rsidR="00AD0B60" w:rsidRPr="00AC4AEA">
        <w:rPr>
          <w:rFonts w:ascii="Arial" w:hAnsi="Arial" w:cs="Arial"/>
          <w:sz w:val="20"/>
        </w:rPr>
        <w:t xml:space="preserve"> en el cual se </w:t>
      </w:r>
      <w:r w:rsidRPr="00AC4AEA">
        <w:rPr>
          <w:rFonts w:ascii="Arial" w:hAnsi="Arial" w:cs="Arial"/>
          <w:sz w:val="20"/>
        </w:rPr>
        <w:t>determinó</w:t>
      </w:r>
      <w:r w:rsidR="00AD0B60" w:rsidRPr="00AC4AEA">
        <w:rPr>
          <w:rFonts w:ascii="Arial" w:hAnsi="Arial" w:cs="Arial"/>
          <w:sz w:val="20"/>
        </w:rPr>
        <w:t xml:space="preserve"> la existencia de </w:t>
      </w:r>
      <w:r w:rsidR="002A7740" w:rsidRPr="00AC4AEA">
        <w:rPr>
          <w:rFonts w:ascii="Arial" w:hAnsi="Arial" w:cs="Arial"/>
          <w:sz w:val="20"/>
        </w:rPr>
        <w:t>un contexto inflacionario</w:t>
      </w:r>
      <w:r w:rsidR="00AD0B60" w:rsidRPr="00AC4AEA">
        <w:rPr>
          <w:rFonts w:ascii="Arial" w:hAnsi="Arial" w:cs="Arial"/>
          <w:sz w:val="20"/>
        </w:rPr>
        <w:t>; y</w:t>
      </w:r>
    </w:p>
    <w:p w:rsidR="00AD0B60" w:rsidRPr="00AC4AEA" w:rsidRDefault="00AD0B60" w:rsidP="00A318EA">
      <w:pPr>
        <w:pStyle w:val="A-Normal11"/>
        <w:numPr>
          <w:ilvl w:val="0"/>
          <w:numId w:val="262"/>
        </w:numPr>
        <w:jc w:val="both"/>
        <w:rPr>
          <w:rFonts w:ascii="Arial" w:hAnsi="Arial" w:cs="Arial"/>
          <w:sz w:val="20"/>
        </w:rPr>
      </w:pPr>
      <w:r w:rsidRPr="00AC4AEA">
        <w:rPr>
          <w:rFonts w:ascii="Arial" w:hAnsi="Arial" w:cs="Arial"/>
          <w:sz w:val="20"/>
        </w:rPr>
        <w:t xml:space="preserve">computará, para tal fin, las variaciones del </w:t>
      </w:r>
      <w:r w:rsidRPr="00AC4AEA">
        <w:rPr>
          <w:rFonts w:ascii="Arial" w:hAnsi="Arial" w:cs="Arial"/>
          <w:b/>
          <w:bCs/>
          <w:sz w:val="20"/>
        </w:rPr>
        <w:t>índice de precios</w:t>
      </w:r>
      <w:r w:rsidRPr="00AC4AEA">
        <w:rPr>
          <w:rFonts w:ascii="Arial" w:hAnsi="Arial" w:cs="Arial"/>
          <w:sz w:val="20"/>
        </w:rPr>
        <w:t xml:space="preserve"> </w:t>
      </w:r>
      <w:r w:rsidR="00E83FA0" w:rsidRPr="00AC4AEA">
        <w:rPr>
          <w:rFonts w:ascii="Arial" w:hAnsi="Arial" w:cs="Arial"/>
          <w:b/>
          <w:bCs/>
          <w:sz w:val="20"/>
        </w:rPr>
        <w:t>FACPCE</w:t>
      </w:r>
      <w:r w:rsidR="00E83FA0" w:rsidRPr="00AC4AEA">
        <w:rPr>
          <w:rFonts w:ascii="Arial" w:hAnsi="Arial" w:cs="Arial"/>
          <w:sz w:val="20"/>
        </w:rPr>
        <w:t xml:space="preserve"> </w:t>
      </w:r>
      <w:r w:rsidRPr="00AC4AEA">
        <w:rPr>
          <w:rFonts w:ascii="Arial" w:hAnsi="Arial" w:cs="Arial"/>
          <w:sz w:val="20"/>
        </w:rPr>
        <w:t>desde el momento de la interrupción del ajuste</w:t>
      </w:r>
      <w:r w:rsidR="00432574" w:rsidRPr="00AC4AEA">
        <w:rPr>
          <w:rFonts w:ascii="Arial" w:hAnsi="Arial" w:cs="Arial"/>
          <w:sz w:val="20"/>
        </w:rPr>
        <w:t xml:space="preserve"> hasta la fecha mencionada en el inciso anterior</w:t>
      </w:r>
      <w:r w:rsidRPr="00AC4AEA">
        <w:rPr>
          <w:rFonts w:ascii="Arial" w:hAnsi="Arial" w:cs="Arial"/>
          <w:sz w:val="20"/>
        </w:rPr>
        <w:t xml:space="preserve">. </w:t>
      </w:r>
    </w:p>
    <w:p w:rsidR="003601AF" w:rsidRPr="00AC4AEA" w:rsidRDefault="003601AF" w:rsidP="00A318EA">
      <w:pPr>
        <w:spacing w:after="120" w:line="312" w:lineRule="auto"/>
        <w:ind w:left="1559" w:hanging="567"/>
        <w:jc w:val="both"/>
        <w:rPr>
          <w:rFonts w:ascii="Arial" w:hAnsi="Arial" w:cs="Arial"/>
          <w:b/>
          <w:caps/>
          <w:kern w:val="28"/>
          <w:sz w:val="20"/>
          <w:szCs w:val="20"/>
        </w:rPr>
      </w:pPr>
      <w:bookmarkStart w:id="283" w:name="CAPITULO3"/>
      <w:bookmarkStart w:id="284" w:name="_Toc101863788"/>
      <w:bookmarkEnd w:id="283"/>
      <w:r w:rsidRPr="00AC4AEA">
        <w:rPr>
          <w:rFonts w:ascii="Arial" w:hAnsi="Arial" w:cs="Arial"/>
          <w:sz w:val="20"/>
          <w:szCs w:val="20"/>
        </w:rPr>
        <w:br w:type="page"/>
      </w:r>
    </w:p>
    <w:p w:rsidR="00CD70D2" w:rsidRPr="00AC4AEA" w:rsidRDefault="00CD70D2" w:rsidP="00A318EA">
      <w:pPr>
        <w:pStyle w:val="Ttulo1"/>
        <w:rPr>
          <w:rFonts w:cs="Arial"/>
          <w:sz w:val="20"/>
          <w:szCs w:val="20"/>
        </w:rPr>
      </w:pPr>
    </w:p>
    <w:p w:rsidR="0090400F" w:rsidRPr="00AC4AEA" w:rsidRDefault="00850FE5" w:rsidP="00A318EA">
      <w:pPr>
        <w:pStyle w:val="Ttulo1"/>
        <w:rPr>
          <w:rFonts w:cs="Arial"/>
          <w:sz w:val="20"/>
          <w:szCs w:val="20"/>
        </w:rPr>
      </w:pPr>
      <w:bookmarkStart w:id="285" w:name="_Toc139356653"/>
      <w:r w:rsidRPr="00AC4AEA">
        <w:rPr>
          <w:rFonts w:cs="Arial"/>
          <w:sz w:val="20"/>
          <w:szCs w:val="20"/>
        </w:rPr>
        <w:t>CAPÍTULO 3</w:t>
      </w:r>
      <w:bookmarkEnd w:id="284"/>
      <w:bookmarkEnd w:id="285"/>
    </w:p>
    <w:p w:rsidR="0090400F" w:rsidRPr="00AC4AEA" w:rsidRDefault="00850FE5" w:rsidP="00A318EA">
      <w:pPr>
        <w:pStyle w:val="Ttulo1"/>
        <w:rPr>
          <w:rFonts w:cs="Arial"/>
          <w:sz w:val="20"/>
          <w:szCs w:val="20"/>
        </w:rPr>
      </w:pPr>
      <w:bookmarkStart w:id="286" w:name="_Toc101863789"/>
      <w:bookmarkStart w:id="287" w:name="_Toc139356654"/>
      <w:r w:rsidRPr="00AC4AEA">
        <w:rPr>
          <w:rFonts w:cs="Arial"/>
          <w:sz w:val="20"/>
          <w:szCs w:val="20"/>
        </w:rPr>
        <w:t>RECONOCIMIENTO, MEDICIÓN Y PRESENTACIÓN DE PARTIDAS DEL ACTIVO</w:t>
      </w:r>
      <w:bookmarkEnd w:id="286"/>
      <w:bookmarkEnd w:id="287"/>
    </w:p>
    <w:p w:rsidR="00AE7883" w:rsidRPr="00AC4AEA" w:rsidRDefault="00AE7883" w:rsidP="00A318EA">
      <w:pPr>
        <w:pStyle w:val="Ttulo1"/>
        <w:rPr>
          <w:rFonts w:cs="Arial"/>
          <w:sz w:val="20"/>
          <w:szCs w:val="20"/>
        </w:rPr>
      </w:pPr>
      <w:bookmarkStart w:id="288" w:name="_Toc101863790"/>
    </w:p>
    <w:p w:rsidR="00D0092A" w:rsidRPr="00AC4AEA" w:rsidRDefault="00D0092A" w:rsidP="00A318EA">
      <w:pPr>
        <w:pStyle w:val="Ttulo1"/>
        <w:rPr>
          <w:rFonts w:cs="Arial"/>
          <w:sz w:val="20"/>
          <w:szCs w:val="20"/>
          <w:u w:val="single"/>
        </w:rPr>
      </w:pPr>
      <w:bookmarkStart w:id="289" w:name="_Toc139356655"/>
      <w:r w:rsidRPr="00AC4AEA">
        <w:rPr>
          <w:rFonts w:cs="Arial"/>
          <w:sz w:val="20"/>
          <w:szCs w:val="20"/>
        </w:rPr>
        <w:t>INTRODUCCIÓN AL PRESENTE CAPÍTULO</w:t>
      </w:r>
      <w:bookmarkEnd w:id="288"/>
      <w:bookmarkEnd w:id="289"/>
      <w:r w:rsidRPr="00AC4AEA">
        <w:rPr>
          <w:rFonts w:cs="Arial"/>
          <w:sz w:val="20"/>
          <w:szCs w:val="20"/>
          <w:u w:val="single"/>
        </w:rPr>
        <w:t xml:space="preserve"> </w:t>
      </w:r>
    </w:p>
    <w:p w:rsidR="004768E4" w:rsidRPr="00AC4AEA" w:rsidRDefault="00D0092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este capítulo se describen</w:t>
      </w:r>
      <w:r w:rsidR="00E44A5E" w:rsidRPr="00AC4AEA">
        <w:rPr>
          <w:rFonts w:ascii="Arial" w:hAnsi="Arial" w:cs="Arial"/>
          <w:sz w:val="20"/>
          <w:szCs w:val="20"/>
        </w:rPr>
        <w:t xml:space="preserve"> requerimientos de </w:t>
      </w:r>
      <w:r w:rsidR="00C62C26" w:rsidRPr="00AC4AEA">
        <w:rPr>
          <w:rFonts w:ascii="Arial" w:hAnsi="Arial" w:cs="Arial"/>
          <w:sz w:val="20"/>
          <w:szCs w:val="20"/>
        </w:rPr>
        <w:t xml:space="preserve">clasificación, </w:t>
      </w:r>
      <w:r w:rsidR="00E44A5E" w:rsidRPr="00AC4AEA">
        <w:rPr>
          <w:rFonts w:ascii="Arial" w:hAnsi="Arial" w:cs="Arial"/>
          <w:sz w:val="20"/>
          <w:szCs w:val="20"/>
        </w:rPr>
        <w:t xml:space="preserve">reconocimiento, </w:t>
      </w:r>
      <w:r w:rsidR="00F82DBF" w:rsidRPr="00AC4AEA">
        <w:rPr>
          <w:rFonts w:ascii="Arial" w:hAnsi="Arial" w:cs="Arial"/>
          <w:sz w:val="20"/>
          <w:szCs w:val="20"/>
        </w:rPr>
        <w:t>medición</w:t>
      </w:r>
      <w:r w:rsidR="007D3C9C" w:rsidRPr="00AC4AEA">
        <w:rPr>
          <w:rFonts w:ascii="Arial" w:hAnsi="Arial" w:cs="Arial"/>
          <w:sz w:val="20"/>
          <w:szCs w:val="20"/>
        </w:rPr>
        <w:t>,</w:t>
      </w:r>
      <w:r w:rsidR="00F82DBF" w:rsidRPr="00AC4AEA">
        <w:rPr>
          <w:rFonts w:ascii="Arial" w:hAnsi="Arial" w:cs="Arial"/>
          <w:sz w:val="20"/>
          <w:szCs w:val="20"/>
        </w:rPr>
        <w:t xml:space="preserve"> presentación</w:t>
      </w:r>
      <w:r w:rsidR="007D3C9C" w:rsidRPr="00AC4AEA">
        <w:rPr>
          <w:rFonts w:ascii="Arial" w:hAnsi="Arial" w:cs="Arial"/>
          <w:sz w:val="20"/>
          <w:szCs w:val="20"/>
        </w:rPr>
        <w:t xml:space="preserve"> y revelación en notas</w:t>
      </w:r>
      <w:r w:rsidR="00F82DBF" w:rsidRPr="00AC4AEA">
        <w:rPr>
          <w:rFonts w:ascii="Arial" w:hAnsi="Arial" w:cs="Arial"/>
          <w:sz w:val="20"/>
          <w:szCs w:val="20"/>
        </w:rPr>
        <w:t xml:space="preserve"> </w:t>
      </w:r>
      <w:r w:rsidR="00527B63" w:rsidRPr="00AC4AEA">
        <w:rPr>
          <w:rFonts w:ascii="Arial" w:hAnsi="Arial" w:cs="Arial"/>
          <w:sz w:val="20"/>
          <w:szCs w:val="20"/>
        </w:rPr>
        <w:t xml:space="preserve">para </w:t>
      </w:r>
      <w:r w:rsidR="005C47FE" w:rsidRPr="00AC4AEA">
        <w:rPr>
          <w:rFonts w:ascii="Arial" w:hAnsi="Arial" w:cs="Arial"/>
          <w:sz w:val="20"/>
          <w:szCs w:val="20"/>
        </w:rPr>
        <w:t xml:space="preserve">ciertos </w:t>
      </w:r>
      <w:r w:rsidR="00497590" w:rsidRPr="00AC4AEA">
        <w:rPr>
          <w:rFonts w:ascii="Arial" w:hAnsi="Arial" w:cs="Arial"/>
          <w:sz w:val="20"/>
          <w:szCs w:val="20"/>
        </w:rPr>
        <w:t>activos</w:t>
      </w:r>
      <w:r w:rsidR="004768E4" w:rsidRPr="00AC4AEA">
        <w:rPr>
          <w:rFonts w:ascii="Arial" w:hAnsi="Arial" w:cs="Arial"/>
          <w:sz w:val="20"/>
          <w:szCs w:val="20"/>
        </w:rPr>
        <w:t xml:space="preserve">. </w:t>
      </w:r>
    </w:p>
    <w:p w:rsidR="00D0092A" w:rsidRPr="00AC4AEA" w:rsidRDefault="00A4121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Los temas en los que se concentra el presente capítulo son generalmente </w:t>
      </w:r>
      <w:r w:rsidRPr="00AC4AEA">
        <w:rPr>
          <w:rFonts w:ascii="Arial" w:hAnsi="Arial" w:cs="Arial"/>
          <w:b/>
          <w:bCs/>
          <w:sz w:val="20"/>
          <w:szCs w:val="20"/>
        </w:rPr>
        <w:t>temas de</w:t>
      </w:r>
      <w:r w:rsidRPr="00AC4AEA">
        <w:rPr>
          <w:rFonts w:ascii="Arial" w:hAnsi="Arial" w:cs="Arial"/>
          <w:sz w:val="20"/>
          <w:szCs w:val="20"/>
        </w:rPr>
        <w:t xml:space="preserve"> </w:t>
      </w:r>
      <w:r w:rsidRPr="00AC4AEA">
        <w:rPr>
          <w:rFonts w:ascii="Arial" w:hAnsi="Arial" w:cs="Arial"/>
          <w:b/>
          <w:bCs/>
          <w:sz w:val="20"/>
          <w:szCs w:val="20"/>
        </w:rPr>
        <w:t>baja complejidad contable</w:t>
      </w:r>
      <w:r w:rsidRPr="00AC4AEA">
        <w:rPr>
          <w:rFonts w:ascii="Arial" w:hAnsi="Arial" w:cs="Arial"/>
          <w:sz w:val="20"/>
          <w:szCs w:val="20"/>
        </w:rPr>
        <w:t>, y se espera que estén presente en cualquier tipo de entidad que utilice esta Resolución Técnica</w:t>
      </w:r>
      <w:r w:rsidR="0048161B" w:rsidRPr="00AC4AEA">
        <w:rPr>
          <w:rFonts w:ascii="Arial" w:hAnsi="Arial" w:cs="Arial"/>
          <w:sz w:val="20"/>
          <w:szCs w:val="20"/>
        </w:rPr>
        <w:t>.</w:t>
      </w:r>
    </w:p>
    <w:p w:rsidR="00AE7883" w:rsidRPr="00AC4AEA" w:rsidRDefault="00AE7883" w:rsidP="00A318EA">
      <w:pPr>
        <w:pStyle w:val="Ttulo1"/>
        <w:rPr>
          <w:rFonts w:cs="Arial"/>
          <w:sz w:val="20"/>
          <w:szCs w:val="20"/>
        </w:rPr>
      </w:pPr>
      <w:bookmarkStart w:id="290" w:name="_Toc101863791"/>
    </w:p>
    <w:p w:rsidR="0090400F" w:rsidRPr="00AC4AEA" w:rsidRDefault="003053D2" w:rsidP="00A318EA">
      <w:pPr>
        <w:pStyle w:val="Ttulo1"/>
        <w:rPr>
          <w:rFonts w:cs="Arial"/>
          <w:sz w:val="20"/>
          <w:szCs w:val="20"/>
        </w:rPr>
      </w:pPr>
      <w:bookmarkStart w:id="291" w:name="_Toc139356656"/>
      <w:r w:rsidRPr="00AC4AEA">
        <w:rPr>
          <w:rFonts w:cs="Arial"/>
          <w:sz w:val="20"/>
          <w:szCs w:val="20"/>
        </w:rPr>
        <w:t>CUESTIONES COMUNES A TODOS LOS RUBROS</w:t>
      </w:r>
      <w:bookmarkEnd w:id="290"/>
      <w:bookmarkEnd w:id="291"/>
    </w:p>
    <w:p w:rsidR="0090400F" w:rsidRPr="00AC4AEA" w:rsidRDefault="0090400F" w:rsidP="00A318EA">
      <w:pPr>
        <w:pStyle w:val="Ttulo2"/>
        <w:rPr>
          <w:rFonts w:cs="Arial"/>
        </w:rPr>
      </w:pPr>
      <w:bookmarkStart w:id="292" w:name="medicionINICIALbienes"/>
      <w:bookmarkStart w:id="293" w:name="_Toc101863792"/>
      <w:bookmarkStart w:id="294" w:name="_Toc139356657"/>
      <w:bookmarkEnd w:id="292"/>
      <w:r w:rsidRPr="00AC4AEA">
        <w:rPr>
          <w:rFonts w:cs="Arial"/>
        </w:rPr>
        <w:t>Medición inicial de bienes</w:t>
      </w:r>
      <w:r w:rsidR="003D3BFC" w:rsidRPr="00AC4AEA">
        <w:rPr>
          <w:rFonts w:cs="Arial"/>
        </w:rPr>
        <w:t xml:space="preserve"> y servicios</w:t>
      </w:r>
      <w:bookmarkEnd w:id="293"/>
      <w:bookmarkEnd w:id="294"/>
    </w:p>
    <w:p w:rsidR="00AA6DB0" w:rsidRPr="00AC4AEA" w:rsidRDefault="00AA6DB0" w:rsidP="00A318EA">
      <w:pPr>
        <w:pStyle w:val="Prrafodelista"/>
        <w:numPr>
          <w:ilvl w:val="0"/>
          <w:numId w:val="29"/>
        </w:numPr>
        <w:contextualSpacing w:val="0"/>
        <w:jc w:val="both"/>
        <w:rPr>
          <w:rFonts w:ascii="Arial" w:hAnsi="Arial" w:cs="Arial"/>
          <w:sz w:val="20"/>
          <w:szCs w:val="20"/>
        </w:rPr>
      </w:pPr>
      <w:bookmarkStart w:id="295" w:name="_Ref99460116"/>
      <w:r w:rsidRPr="00AC4AEA">
        <w:rPr>
          <w:rFonts w:ascii="Arial" w:hAnsi="Arial" w:cs="Arial"/>
          <w:sz w:val="20"/>
          <w:szCs w:val="20"/>
        </w:rPr>
        <w:t>Una entidad medirá inicialmente sus bienes y servicios según lo establecido en est</w:t>
      </w:r>
      <w:r w:rsidR="00A734C9" w:rsidRPr="00AC4AEA">
        <w:rPr>
          <w:rFonts w:ascii="Arial" w:hAnsi="Arial" w:cs="Arial"/>
          <w:sz w:val="20"/>
          <w:szCs w:val="20"/>
        </w:rPr>
        <w:t>a</w:t>
      </w:r>
      <w:r w:rsidRPr="00AC4AEA">
        <w:rPr>
          <w:rFonts w:ascii="Arial" w:hAnsi="Arial" w:cs="Arial"/>
          <w:sz w:val="20"/>
          <w:szCs w:val="20"/>
        </w:rPr>
        <w:t xml:space="preserve"> </w:t>
      </w:r>
      <w:r w:rsidR="00A734C9" w:rsidRPr="00AC4AEA">
        <w:rPr>
          <w:rFonts w:ascii="Arial" w:hAnsi="Arial" w:cs="Arial"/>
          <w:sz w:val="20"/>
          <w:szCs w:val="20"/>
        </w:rPr>
        <w:t>sección</w:t>
      </w:r>
      <w:r w:rsidRPr="00AC4AEA">
        <w:rPr>
          <w:rFonts w:ascii="Arial" w:hAnsi="Arial" w:cs="Arial"/>
          <w:sz w:val="20"/>
          <w:szCs w:val="20"/>
        </w:rPr>
        <w:t xml:space="preserve">, excepto </w:t>
      </w:r>
      <w:r w:rsidR="002D3F72" w:rsidRPr="00AC4AEA">
        <w:rPr>
          <w:rFonts w:ascii="Arial" w:hAnsi="Arial" w:cs="Arial"/>
          <w:sz w:val="20"/>
          <w:szCs w:val="20"/>
        </w:rPr>
        <w:t xml:space="preserve">que esta u </w:t>
      </w:r>
      <w:r w:rsidR="002D3F72" w:rsidRPr="00AC4AEA">
        <w:rPr>
          <w:rFonts w:ascii="Arial" w:hAnsi="Arial" w:cs="Arial"/>
          <w:b/>
          <w:sz w:val="20"/>
          <w:szCs w:val="20"/>
        </w:rPr>
        <w:t>otras normas contables</w:t>
      </w:r>
      <w:r w:rsidR="002D3F72" w:rsidRPr="00AC4AEA">
        <w:rPr>
          <w:rFonts w:ascii="Arial" w:hAnsi="Arial" w:cs="Arial"/>
          <w:sz w:val="20"/>
          <w:szCs w:val="20"/>
        </w:rPr>
        <w:t xml:space="preserve"> requieran o permitan un tratamiento diferente</w:t>
      </w:r>
      <w:r w:rsidR="006A0415" w:rsidRPr="00AC4AEA">
        <w:rPr>
          <w:rFonts w:ascii="Arial" w:hAnsi="Arial" w:cs="Arial"/>
          <w:sz w:val="20"/>
          <w:szCs w:val="20"/>
        </w:rPr>
        <w:t>.</w:t>
      </w:r>
      <w:bookmarkEnd w:id="295"/>
      <w:r w:rsidR="006A0415" w:rsidRPr="00AC4AEA">
        <w:rPr>
          <w:rFonts w:ascii="Arial" w:hAnsi="Arial" w:cs="Arial"/>
          <w:sz w:val="20"/>
          <w:szCs w:val="20"/>
        </w:rPr>
        <w:t xml:space="preserve"> </w:t>
      </w:r>
    </w:p>
    <w:p w:rsidR="0090400F" w:rsidRPr="00AC4AEA" w:rsidRDefault="00472A0A" w:rsidP="00A318EA">
      <w:pPr>
        <w:pStyle w:val="Prrafodelista"/>
        <w:numPr>
          <w:ilvl w:val="0"/>
          <w:numId w:val="29"/>
        </w:numPr>
        <w:contextualSpacing w:val="0"/>
        <w:jc w:val="both"/>
        <w:rPr>
          <w:rFonts w:ascii="Arial" w:hAnsi="Arial" w:cs="Arial"/>
          <w:sz w:val="20"/>
          <w:szCs w:val="20"/>
        </w:rPr>
      </w:pPr>
      <w:bookmarkStart w:id="296" w:name="_Ref81056357"/>
      <w:r w:rsidRPr="00AC4AEA">
        <w:rPr>
          <w:rFonts w:ascii="Arial" w:hAnsi="Arial" w:cs="Arial"/>
          <w:sz w:val="20"/>
          <w:szCs w:val="20"/>
        </w:rPr>
        <w:t xml:space="preserve">En el momento del reconocimiento, una </w:t>
      </w:r>
      <w:r w:rsidR="0090400F" w:rsidRPr="00AC4AEA">
        <w:rPr>
          <w:rFonts w:ascii="Arial" w:hAnsi="Arial" w:cs="Arial"/>
          <w:sz w:val="20"/>
          <w:szCs w:val="20"/>
        </w:rPr>
        <w:t>entidad medirá, los bienes y servicios de acuerdo con los criterios indicados a continuación:</w:t>
      </w:r>
      <w:bookmarkEnd w:id="296"/>
    </w:p>
    <w:p w:rsidR="0090400F" w:rsidRPr="00AC4AEA" w:rsidRDefault="0090400F" w:rsidP="00A318EA">
      <w:pPr>
        <w:pStyle w:val="Prrafodelista"/>
        <w:numPr>
          <w:ilvl w:val="1"/>
          <w:numId w:val="29"/>
        </w:numPr>
        <w:ind w:left="1418" w:hanging="425"/>
        <w:contextualSpacing w:val="0"/>
        <w:jc w:val="both"/>
        <w:rPr>
          <w:rFonts w:ascii="Arial" w:hAnsi="Arial" w:cs="Arial"/>
          <w:sz w:val="20"/>
          <w:szCs w:val="20"/>
        </w:rPr>
      </w:pPr>
      <w:r w:rsidRPr="00AC4AEA">
        <w:rPr>
          <w:rFonts w:ascii="Arial" w:hAnsi="Arial" w:cs="Arial"/>
          <w:sz w:val="20"/>
          <w:szCs w:val="20"/>
        </w:rPr>
        <w:t xml:space="preserve">Bienes o servicios adquiridos: sobre la base de su </w:t>
      </w:r>
      <w:r w:rsidRPr="00AC4AEA">
        <w:rPr>
          <w:rFonts w:ascii="Arial" w:hAnsi="Arial" w:cs="Arial"/>
          <w:b/>
          <w:bCs/>
          <w:sz w:val="20"/>
          <w:szCs w:val="20"/>
        </w:rPr>
        <w:t>costo de adquisición</w:t>
      </w:r>
      <w:r w:rsidRPr="00AC4AEA">
        <w:rPr>
          <w:rFonts w:ascii="Arial" w:hAnsi="Arial" w:cs="Arial"/>
          <w:sz w:val="20"/>
          <w:szCs w:val="20"/>
        </w:rPr>
        <w:t>.</w:t>
      </w:r>
    </w:p>
    <w:p w:rsidR="0090400F" w:rsidRPr="00AC4AEA" w:rsidRDefault="0090400F" w:rsidP="00A318EA">
      <w:pPr>
        <w:pStyle w:val="Prrafodelista"/>
        <w:numPr>
          <w:ilvl w:val="1"/>
          <w:numId w:val="29"/>
        </w:numPr>
        <w:ind w:left="1418" w:hanging="425"/>
        <w:contextualSpacing w:val="0"/>
        <w:jc w:val="both"/>
        <w:rPr>
          <w:rFonts w:ascii="Arial" w:hAnsi="Arial" w:cs="Arial"/>
          <w:b/>
          <w:bCs/>
          <w:sz w:val="20"/>
          <w:szCs w:val="20"/>
        </w:rPr>
      </w:pPr>
      <w:r w:rsidRPr="00AC4AEA">
        <w:rPr>
          <w:rFonts w:ascii="Arial" w:hAnsi="Arial" w:cs="Arial"/>
          <w:sz w:val="20"/>
          <w:szCs w:val="20"/>
        </w:rPr>
        <w:t xml:space="preserve">Bienes </w:t>
      </w:r>
      <w:r w:rsidR="00EF010E" w:rsidRPr="00AC4AEA">
        <w:rPr>
          <w:rFonts w:ascii="Arial" w:hAnsi="Arial" w:cs="Arial"/>
          <w:sz w:val="20"/>
          <w:szCs w:val="20"/>
        </w:rPr>
        <w:t xml:space="preserve">producidos </w:t>
      </w:r>
      <w:r w:rsidRPr="00AC4AEA">
        <w:rPr>
          <w:rFonts w:ascii="Arial" w:hAnsi="Arial" w:cs="Arial"/>
          <w:sz w:val="20"/>
          <w:szCs w:val="20"/>
        </w:rPr>
        <w:t xml:space="preserve">o construidos: en función del </w:t>
      </w:r>
      <w:r w:rsidRPr="00AC4AEA">
        <w:rPr>
          <w:rFonts w:ascii="Arial" w:hAnsi="Arial" w:cs="Arial"/>
          <w:b/>
          <w:bCs/>
          <w:sz w:val="20"/>
          <w:szCs w:val="20"/>
        </w:rPr>
        <w:t xml:space="preserve">costo de producción o </w:t>
      </w:r>
      <w:r w:rsidR="00153676" w:rsidRPr="00AC4AEA">
        <w:rPr>
          <w:rFonts w:ascii="Arial" w:hAnsi="Arial" w:cs="Arial"/>
          <w:b/>
          <w:bCs/>
          <w:sz w:val="20"/>
          <w:szCs w:val="20"/>
        </w:rPr>
        <w:t xml:space="preserve">costo de </w:t>
      </w:r>
      <w:r w:rsidRPr="00AC4AEA">
        <w:rPr>
          <w:rFonts w:ascii="Arial" w:hAnsi="Arial" w:cs="Arial"/>
          <w:b/>
          <w:bCs/>
          <w:sz w:val="20"/>
          <w:szCs w:val="20"/>
        </w:rPr>
        <w:t>construcción.</w:t>
      </w:r>
    </w:p>
    <w:p w:rsidR="0090400F" w:rsidRPr="00AC4AEA" w:rsidRDefault="0090400F" w:rsidP="00A318EA">
      <w:pPr>
        <w:pStyle w:val="Prrafodelista"/>
        <w:numPr>
          <w:ilvl w:val="1"/>
          <w:numId w:val="29"/>
        </w:numPr>
        <w:ind w:left="1418" w:hanging="425"/>
        <w:contextualSpacing w:val="0"/>
        <w:jc w:val="both"/>
        <w:rPr>
          <w:rFonts w:ascii="Arial" w:hAnsi="Arial" w:cs="Arial"/>
          <w:sz w:val="20"/>
          <w:szCs w:val="20"/>
        </w:rPr>
      </w:pPr>
      <w:bookmarkStart w:id="297" w:name="_Ref131761555"/>
      <w:r w:rsidRPr="00AC4AEA">
        <w:rPr>
          <w:rFonts w:ascii="Arial" w:hAnsi="Arial" w:cs="Arial"/>
          <w:sz w:val="20"/>
          <w:szCs w:val="20"/>
        </w:rPr>
        <w:t>Bienes o servicios incorporados mediante aportes</w:t>
      </w:r>
      <w:r w:rsidR="001A2717" w:rsidRPr="00AC4AEA">
        <w:rPr>
          <w:rFonts w:ascii="Arial" w:hAnsi="Arial" w:cs="Arial"/>
          <w:sz w:val="20"/>
          <w:szCs w:val="20"/>
        </w:rPr>
        <w:t>,</w:t>
      </w:r>
      <w:r w:rsidRPr="00AC4AEA">
        <w:rPr>
          <w:rFonts w:ascii="Arial" w:hAnsi="Arial" w:cs="Arial"/>
          <w:sz w:val="20"/>
          <w:szCs w:val="20"/>
        </w:rPr>
        <w:t xml:space="preserve"> donaciones</w:t>
      </w:r>
      <w:r w:rsidR="001A2717" w:rsidRPr="00AC4AEA">
        <w:rPr>
          <w:rFonts w:ascii="Arial" w:hAnsi="Arial" w:cs="Arial"/>
          <w:sz w:val="20"/>
          <w:szCs w:val="20"/>
        </w:rPr>
        <w:t xml:space="preserve"> o subsidios gubernamentales</w:t>
      </w:r>
      <w:r w:rsidRPr="00AC4AEA">
        <w:rPr>
          <w:rFonts w:ascii="Arial" w:hAnsi="Arial" w:cs="Arial"/>
          <w:sz w:val="20"/>
          <w:szCs w:val="20"/>
        </w:rPr>
        <w:t>:</w:t>
      </w:r>
      <w:bookmarkEnd w:id="297"/>
      <w:r w:rsidRPr="00AC4AEA">
        <w:rPr>
          <w:rFonts w:ascii="Arial" w:hAnsi="Arial" w:cs="Arial"/>
          <w:sz w:val="20"/>
          <w:szCs w:val="20"/>
        </w:rPr>
        <w:t xml:space="preserve"> </w:t>
      </w:r>
    </w:p>
    <w:p w:rsidR="007D7512" w:rsidRPr="00AC4AEA" w:rsidRDefault="00F423ED" w:rsidP="00A318EA">
      <w:pPr>
        <w:pStyle w:val="Prrafodelista"/>
        <w:numPr>
          <w:ilvl w:val="2"/>
          <w:numId w:val="5"/>
        </w:numPr>
        <w:ind w:left="1985" w:hanging="142"/>
        <w:contextualSpacing w:val="0"/>
        <w:jc w:val="both"/>
        <w:rPr>
          <w:rFonts w:ascii="Arial" w:hAnsi="Arial" w:cs="Arial"/>
          <w:sz w:val="20"/>
          <w:szCs w:val="20"/>
        </w:rPr>
      </w:pPr>
      <w:r w:rsidRPr="00AC4AEA">
        <w:rPr>
          <w:rFonts w:ascii="Arial" w:hAnsi="Arial" w:cs="Arial"/>
          <w:sz w:val="20"/>
          <w:szCs w:val="20"/>
        </w:rPr>
        <w:t xml:space="preserve">Por el importe establecido en la documentación que respalda la </w:t>
      </w:r>
      <w:r w:rsidR="005C6F46" w:rsidRPr="00AC4AEA">
        <w:rPr>
          <w:rFonts w:ascii="Arial" w:hAnsi="Arial" w:cs="Arial"/>
          <w:sz w:val="20"/>
          <w:szCs w:val="20"/>
        </w:rPr>
        <w:t>transacción</w:t>
      </w:r>
      <w:r w:rsidRPr="00AC4AEA">
        <w:rPr>
          <w:rFonts w:ascii="Arial" w:hAnsi="Arial" w:cs="Arial"/>
          <w:sz w:val="20"/>
          <w:szCs w:val="20"/>
        </w:rPr>
        <w:t>, cuando la entidad califica como entidad pequeña o mediana y el importe estuviera explicitado</w:t>
      </w:r>
      <w:r w:rsidR="007D7512" w:rsidRPr="00AC4AEA">
        <w:rPr>
          <w:rFonts w:ascii="Arial" w:hAnsi="Arial" w:cs="Arial"/>
          <w:sz w:val="20"/>
          <w:szCs w:val="20"/>
        </w:rPr>
        <w:t>.</w:t>
      </w:r>
    </w:p>
    <w:p w:rsidR="007B7E5B" w:rsidRPr="00AC4AEA" w:rsidRDefault="007B7E5B" w:rsidP="00A318EA">
      <w:pPr>
        <w:pStyle w:val="Prrafodelista"/>
        <w:numPr>
          <w:ilvl w:val="2"/>
          <w:numId w:val="5"/>
        </w:numPr>
        <w:ind w:left="1985" w:hanging="142"/>
        <w:contextualSpacing w:val="0"/>
        <w:jc w:val="both"/>
        <w:rPr>
          <w:rFonts w:ascii="Arial" w:hAnsi="Arial" w:cs="Arial"/>
          <w:sz w:val="20"/>
          <w:szCs w:val="20"/>
        </w:rPr>
      </w:pPr>
      <w:r w:rsidRPr="00AC4AEA">
        <w:rPr>
          <w:rFonts w:ascii="Arial" w:hAnsi="Arial" w:cs="Arial"/>
          <w:sz w:val="20"/>
          <w:szCs w:val="20"/>
        </w:rPr>
        <w:t>En los demás casos, de acuerdo con la siguiente jerarquía:</w:t>
      </w:r>
    </w:p>
    <w:p w:rsidR="0090400F" w:rsidRPr="00AC4AEA" w:rsidRDefault="007D7512" w:rsidP="00A318EA">
      <w:pPr>
        <w:pStyle w:val="Prrafodelista"/>
        <w:numPr>
          <w:ilvl w:val="6"/>
          <w:numId w:val="5"/>
        </w:numPr>
        <w:contextualSpacing w:val="0"/>
        <w:jc w:val="both"/>
        <w:rPr>
          <w:rFonts w:ascii="Arial" w:hAnsi="Arial" w:cs="Arial"/>
          <w:sz w:val="20"/>
          <w:szCs w:val="20"/>
        </w:rPr>
      </w:pPr>
      <w:r w:rsidRPr="00AC4AEA">
        <w:rPr>
          <w:rFonts w:ascii="Arial" w:hAnsi="Arial" w:cs="Arial"/>
          <w:sz w:val="20"/>
          <w:szCs w:val="20"/>
        </w:rPr>
        <w:t>Al</w:t>
      </w:r>
      <w:r w:rsidR="0090400F" w:rsidRPr="00AC4AEA">
        <w:rPr>
          <w:rFonts w:ascii="Arial" w:hAnsi="Arial" w:cs="Arial"/>
          <w:sz w:val="20"/>
          <w:szCs w:val="20"/>
        </w:rPr>
        <w:t xml:space="preserve"> </w:t>
      </w:r>
      <w:r w:rsidR="00A06C32" w:rsidRPr="00AC4AEA">
        <w:rPr>
          <w:rFonts w:ascii="Arial" w:hAnsi="Arial" w:cs="Arial"/>
          <w:b/>
          <w:bCs/>
          <w:sz w:val="20"/>
          <w:szCs w:val="20"/>
        </w:rPr>
        <w:t xml:space="preserve">valor </w:t>
      </w:r>
      <w:r w:rsidR="009D52A1" w:rsidRPr="00AC4AEA">
        <w:rPr>
          <w:rFonts w:ascii="Arial" w:hAnsi="Arial" w:cs="Arial"/>
          <w:b/>
          <w:bCs/>
          <w:sz w:val="20"/>
          <w:szCs w:val="20"/>
        </w:rPr>
        <w:t>razonable</w:t>
      </w:r>
      <w:r w:rsidRPr="00AC4AEA">
        <w:rPr>
          <w:rFonts w:ascii="Arial" w:hAnsi="Arial" w:cs="Arial"/>
          <w:sz w:val="20"/>
          <w:szCs w:val="20"/>
        </w:rPr>
        <w:t xml:space="preserve"> del </w:t>
      </w:r>
      <w:r w:rsidRPr="00AC4AEA">
        <w:rPr>
          <w:rFonts w:ascii="Arial" w:hAnsi="Arial" w:cs="Arial"/>
          <w:b/>
          <w:bCs/>
          <w:sz w:val="20"/>
          <w:szCs w:val="20"/>
        </w:rPr>
        <w:t xml:space="preserve">activo </w:t>
      </w:r>
      <w:r w:rsidRPr="00AC4AEA">
        <w:rPr>
          <w:rFonts w:ascii="Arial" w:hAnsi="Arial" w:cs="Arial"/>
          <w:sz w:val="20"/>
          <w:szCs w:val="20"/>
        </w:rPr>
        <w:t>recibido</w:t>
      </w:r>
      <w:r w:rsidR="0052091A" w:rsidRPr="00AC4AEA">
        <w:rPr>
          <w:rFonts w:ascii="Arial" w:hAnsi="Arial" w:cs="Arial"/>
          <w:sz w:val="20"/>
          <w:szCs w:val="20"/>
        </w:rPr>
        <w:t xml:space="preserve"> </w:t>
      </w:r>
      <w:r w:rsidRPr="00AC4AEA">
        <w:rPr>
          <w:rFonts w:ascii="Arial" w:hAnsi="Arial" w:cs="Arial"/>
          <w:sz w:val="20"/>
          <w:szCs w:val="20"/>
        </w:rPr>
        <w:t xml:space="preserve">siempre que pueda estimarse satisfaciendo el requisito de </w:t>
      </w:r>
      <w:r w:rsidRPr="00AC4AEA">
        <w:rPr>
          <w:rFonts w:ascii="Arial" w:hAnsi="Arial" w:cs="Arial"/>
          <w:b/>
          <w:bCs/>
          <w:sz w:val="20"/>
          <w:szCs w:val="20"/>
        </w:rPr>
        <w:t>confiabilidad (credibilidad).</w:t>
      </w:r>
    </w:p>
    <w:p w:rsidR="0052091A" w:rsidRPr="00AC4AEA" w:rsidRDefault="0052091A" w:rsidP="00A318EA">
      <w:pPr>
        <w:pStyle w:val="Prrafodelista"/>
        <w:numPr>
          <w:ilvl w:val="6"/>
          <w:numId w:val="5"/>
        </w:numPr>
        <w:contextualSpacing w:val="0"/>
        <w:jc w:val="both"/>
        <w:rPr>
          <w:rFonts w:ascii="Arial" w:hAnsi="Arial" w:cs="Arial"/>
          <w:sz w:val="20"/>
          <w:szCs w:val="20"/>
        </w:rPr>
      </w:pPr>
      <w:r w:rsidRPr="00AC4AEA">
        <w:rPr>
          <w:rFonts w:ascii="Arial" w:hAnsi="Arial" w:cs="Arial"/>
          <w:sz w:val="20"/>
          <w:szCs w:val="20"/>
        </w:rPr>
        <w:t xml:space="preserve">A la </w:t>
      </w:r>
      <w:r w:rsidR="00A017D0" w:rsidRPr="00AC4AEA">
        <w:rPr>
          <w:rFonts w:ascii="Arial" w:hAnsi="Arial" w:cs="Arial"/>
          <w:b/>
          <w:bCs/>
          <w:sz w:val="20"/>
          <w:szCs w:val="20"/>
        </w:rPr>
        <w:t>cotización sucedánea</w:t>
      </w:r>
      <w:r w:rsidRPr="00AC4AEA">
        <w:rPr>
          <w:rFonts w:ascii="Arial" w:hAnsi="Arial" w:cs="Arial"/>
          <w:sz w:val="20"/>
          <w:szCs w:val="20"/>
        </w:rPr>
        <w:t xml:space="preserve"> del </w:t>
      </w:r>
      <w:r w:rsidRPr="00AC4AEA">
        <w:rPr>
          <w:rFonts w:ascii="Arial" w:hAnsi="Arial" w:cs="Arial"/>
          <w:b/>
          <w:bCs/>
          <w:sz w:val="20"/>
          <w:szCs w:val="20"/>
        </w:rPr>
        <w:t>activo</w:t>
      </w:r>
      <w:r w:rsidRPr="00AC4AEA">
        <w:rPr>
          <w:rFonts w:ascii="Arial" w:hAnsi="Arial" w:cs="Arial"/>
          <w:sz w:val="20"/>
          <w:szCs w:val="20"/>
        </w:rPr>
        <w:t xml:space="preserve"> recibido</w:t>
      </w:r>
      <w:r w:rsidR="007B7E5B" w:rsidRPr="00AC4AEA">
        <w:rPr>
          <w:rFonts w:ascii="Arial" w:hAnsi="Arial" w:cs="Arial"/>
          <w:sz w:val="20"/>
          <w:szCs w:val="20"/>
        </w:rPr>
        <w:t>.</w:t>
      </w:r>
    </w:p>
    <w:p w:rsidR="0090400F" w:rsidRPr="00AC4AEA" w:rsidRDefault="0090400F" w:rsidP="00A318EA">
      <w:pPr>
        <w:pStyle w:val="Prrafodelista"/>
        <w:numPr>
          <w:ilvl w:val="1"/>
          <w:numId w:val="29"/>
        </w:numPr>
        <w:ind w:left="1418" w:hanging="425"/>
        <w:contextualSpacing w:val="0"/>
        <w:jc w:val="both"/>
        <w:rPr>
          <w:rFonts w:ascii="Arial" w:hAnsi="Arial" w:cs="Arial"/>
          <w:sz w:val="20"/>
          <w:szCs w:val="20"/>
        </w:rPr>
      </w:pPr>
      <w:r w:rsidRPr="00AC4AEA">
        <w:rPr>
          <w:rFonts w:ascii="Arial" w:hAnsi="Arial" w:cs="Arial"/>
          <w:sz w:val="20"/>
          <w:szCs w:val="20"/>
        </w:rPr>
        <w:t>Bienes o servicios incorporados mediante trueques o canjes</w:t>
      </w:r>
      <w:r w:rsidR="00486522" w:rsidRPr="00AC4AEA">
        <w:rPr>
          <w:rFonts w:ascii="Arial" w:hAnsi="Arial" w:cs="Arial"/>
          <w:sz w:val="20"/>
          <w:szCs w:val="20"/>
        </w:rPr>
        <w:t xml:space="preserve"> no </w:t>
      </w:r>
      <w:r w:rsidR="007D7512" w:rsidRPr="00AC4AEA">
        <w:rPr>
          <w:rFonts w:ascii="Arial" w:hAnsi="Arial" w:cs="Arial"/>
          <w:sz w:val="20"/>
          <w:szCs w:val="20"/>
        </w:rPr>
        <w:t>procedentes del</w:t>
      </w:r>
      <w:r w:rsidR="00486522" w:rsidRPr="00AC4AEA">
        <w:rPr>
          <w:rFonts w:ascii="Arial" w:hAnsi="Arial" w:cs="Arial"/>
          <w:sz w:val="20"/>
          <w:szCs w:val="20"/>
        </w:rPr>
        <w:t xml:space="preserve"> “</w:t>
      </w:r>
      <w:r w:rsidR="00486522" w:rsidRPr="00AC4AEA">
        <w:rPr>
          <w:rFonts w:ascii="Arial" w:hAnsi="Arial" w:cs="Arial"/>
          <w:sz w:val="20"/>
          <w:szCs w:val="20"/>
          <w:u w:val="single"/>
        </w:rPr>
        <w:t>Reconocimiento de ingresos de actividades ordinarias procedentes de transacciones (operaciones de intercambio)</w:t>
      </w:r>
      <w:r w:rsidR="00486522" w:rsidRPr="00AC4AEA">
        <w:rPr>
          <w:rFonts w:ascii="Arial" w:hAnsi="Arial" w:cs="Arial"/>
          <w:sz w:val="20"/>
          <w:szCs w:val="20"/>
        </w:rPr>
        <w:t>”</w:t>
      </w:r>
      <w:r w:rsidR="007D7512" w:rsidRPr="00AC4AEA">
        <w:rPr>
          <w:rFonts w:ascii="Arial" w:hAnsi="Arial" w:cs="Arial"/>
          <w:sz w:val="20"/>
          <w:szCs w:val="20"/>
        </w:rPr>
        <w:t xml:space="preserve"> [ver los párrafos </w:t>
      </w:r>
      <w:r w:rsidR="001C4138">
        <w:rPr>
          <w:rFonts w:ascii="Arial" w:hAnsi="Arial" w:cs="Arial"/>
          <w:sz w:val="20"/>
          <w:szCs w:val="20"/>
        </w:rPr>
        <w:fldChar w:fldCharType="begin"/>
      </w:r>
      <w:r w:rsidR="008B2429">
        <w:rPr>
          <w:rFonts w:ascii="Arial" w:hAnsi="Arial" w:cs="Arial"/>
          <w:sz w:val="20"/>
          <w:szCs w:val="20"/>
        </w:rPr>
        <w:instrText xml:space="preserve"> REF _Ref129077804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522</w:t>
      </w:r>
      <w:r w:rsidR="001C4138">
        <w:rPr>
          <w:rFonts w:ascii="Arial" w:hAnsi="Arial" w:cs="Arial"/>
          <w:sz w:val="20"/>
          <w:szCs w:val="20"/>
        </w:rPr>
        <w:fldChar w:fldCharType="end"/>
      </w:r>
      <w:r w:rsidR="007D7512" w:rsidRPr="00AC4AEA">
        <w:rPr>
          <w:rFonts w:ascii="Arial" w:hAnsi="Arial" w:cs="Arial"/>
          <w:sz w:val="20"/>
          <w:szCs w:val="20"/>
        </w:rPr>
        <w:t xml:space="preserve"> a </w:t>
      </w:r>
      <w:fldSimple w:instr=" REF _Ref104535952 \r \h  \* MERGEFORMAT ">
        <w:r w:rsidR="00D33A5D" w:rsidRPr="00D33A5D">
          <w:rPr>
            <w:rFonts w:ascii="Arial" w:hAnsi="Arial" w:cs="Arial"/>
            <w:sz w:val="20"/>
            <w:szCs w:val="20"/>
          </w:rPr>
          <w:t>526</w:t>
        </w:r>
      </w:fldSimple>
      <w:r w:rsidR="007D7512" w:rsidRPr="00AC4AEA">
        <w:rPr>
          <w:rFonts w:ascii="Arial" w:hAnsi="Arial" w:cs="Arial"/>
          <w:sz w:val="20"/>
          <w:szCs w:val="20"/>
        </w:rPr>
        <w:t>]</w:t>
      </w:r>
      <w:r w:rsidRPr="00AC4AEA">
        <w:rPr>
          <w:rFonts w:ascii="Arial" w:hAnsi="Arial" w:cs="Arial"/>
          <w:sz w:val="20"/>
          <w:szCs w:val="20"/>
        </w:rPr>
        <w:t xml:space="preserve">: </w:t>
      </w:r>
    </w:p>
    <w:p w:rsidR="00D9138E" w:rsidRPr="00AC4AEA" w:rsidRDefault="0090400F" w:rsidP="00A318EA">
      <w:pPr>
        <w:pStyle w:val="Prrafodelista"/>
        <w:numPr>
          <w:ilvl w:val="2"/>
          <w:numId w:val="6"/>
        </w:numPr>
        <w:ind w:left="1984" w:hanging="170"/>
        <w:contextualSpacing w:val="0"/>
        <w:jc w:val="both"/>
        <w:rPr>
          <w:rFonts w:ascii="Arial" w:hAnsi="Arial" w:cs="Arial"/>
          <w:sz w:val="20"/>
          <w:szCs w:val="20"/>
        </w:rPr>
      </w:pPr>
      <w:r w:rsidRPr="00AC4AEA">
        <w:rPr>
          <w:rFonts w:ascii="Arial" w:hAnsi="Arial" w:cs="Arial"/>
          <w:sz w:val="20"/>
          <w:szCs w:val="20"/>
        </w:rPr>
        <w:lastRenderedPageBreak/>
        <w:t xml:space="preserve">Por un importe equivalente a la medición </w:t>
      </w:r>
      <w:r w:rsidR="00E638FF" w:rsidRPr="00AC4AEA">
        <w:rPr>
          <w:rFonts w:ascii="Arial" w:hAnsi="Arial" w:cs="Arial"/>
          <w:sz w:val="20"/>
          <w:szCs w:val="20"/>
        </w:rPr>
        <w:t xml:space="preserve">contable </w:t>
      </w:r>
      <w:r w:rsidRPr="00AC4AEA">
        <w:rPr>
          <w:rFonts w:ascii="Arial" w:hAnsi="Arial" w:cs="Arial"/>
          <w:sz w:val="20"/>
          <w:szCs w:val="20"/>
        </w:rPr>
        <w:t xml:space="preserve">del </w:t>
      </w:r>
      <w:r w:rsidRPr="00AC4AEA">
        <w:rPr>
          <w:rFonts w:ascii="Arial" w:hAnsi="Arial" w:cs="Arial"/>
          <w:b/>
          <w:bCs/>
          <w:sz w:val="20"/>
          <w:szCs w:val="20"/>
        </w:rPr>
        <w:t>activo</w:t>
      </w:r>
      <w:r w:rsidRPr="00AC4AEA">
        <w:rPr>
          <w:rFonts w:ascii="Arial" w:hAnsi="Arial" w:cs="Arial"/>
          <w:sz w:val="20"/>
          <w:szCs w:val="20"/>
        </w:rPr>
        <w:t xml:space="preserve"> entregado, cuando se trate de bienes cuya naturaleza, destino o utilización dentro de una actividad</w:t>
      </w:r>
      <w:r w:rsidR="00835565" w:rsidRPr="00AC4AEA">
        <w:rPr>
          <w:rFonts w:ascii="Arial" w:hAnsi="Arial" w:cs="Arial"/>
          <w:sz w:val="20"/>
          <w:szCs w:val="20"/>
        </w:rPr>
        <w:t xml:space="preserve"> </w:t>
      </w:r>
      <w:r w:rsidRPr="00AC4AEA">
        <w:rPr>
          <w:rFonts w:ascii="Arial" w:hAnsi="Arial" w:cs="Arial"/>
          <w:sz w:val="20"/>
          <w:szCs w:val="20"/>
        </w:rPr>
        <w:t xml:space="preserve">y costos de reposición </w:t>
      </w:r>
      <w:r w:rsidR="00781473" w:rsidRPr="00AC4AEA">
        <w:rPr>
          <w:rFonts w:ascii="Arial" w:hAnsi="Arial" w:cs="Arial"/>
          <w:sz w:val="20"/>
          <w:szCs w:val="20"/>
        </w:rPr>
        <w:t xml:space="preserve">son </w:t>
      </w:r>
      <w:r w:rsidRPr="00AC4AEA">
        <w:rPr>
          <w:rFonts w:ascii="Arial" w:hAnsi="Arial" w:cs="Arial"/>
          <w:sz w:val="20"/>
          <w:szCs w:val="20"/>
        </w:rPr>
        <w:t>similares</w:t>
      </w:r>
      <w:r w:rsidR="005E5850" w:rsidRPr="00AC4AEA">
        <w:rPr>
          <w:rFonts w:ascii="Arial" w:hAnsi="Arial" w:cs="Arial"/>
          <w:sz w:val="20"/>
          <w:szCs w:val="20"/>
        </w:rPr>
        <w:t>.</w:t>
      </w:r>
    </w:p>
    <w:p w:rsidR="0057613A" w:rsidRPr="00AC4AEA" w:rsidRDefault="001934EA" w:rsidP="00A318EA">
      <w:pPr>
        <w:pStyle w:val="Prrafodelista"/>
        <w:numPr>
          <w:ilvl w:val="2"/>
          <w:numId w:val="6"/>
        </w:numPr>
        <w:ind w:left="1984" w:hanging="170"/>
        <w:contextualSpacing w:val="0"/>
        <w:jc w:val="both"/>
        <w:rPr>
          <w:rFonts w:ascii="Arial" w:hAnsi="Arial" w:cs="Arial"/>
          <w:sz w:val="20"/>
          <w:szCs w:val="20"/>
        </w:rPr>
      </w:pPr>
      <w:r w:rsidRPr="00AC4AEA">
        <w:rPr>
          <w:rFonts w:ascii="Arial" w:hAnsi="Arial" w:cs="Arial"/>
          <w:sz w:val="20"/>
          <w:szCs w:val="20"/>
        </w:rPr>
        <w:t>Cuando no sean transacciones consideradas en inciso d)</w:t>
      </w:r>
      <w:r w:rsidR="00414F2C" w:rsidRPr="00AC4AEA">
        <w:rPr>
          <w:rFonts w:ascii="Arial" w:hAnsi="Arial" w:cs="Arial"/>
          <w:sz w:val="20"/>
          <w:szCs w:val="20"/>
        </w:rPr>
        <w:t xml:space="preserve"> </w:t>
      </w:r>
      <w:r w:rsidRPr="00AC4AEA">
        <w:rPr>
          <w:rFonts w:ascii="Arial" w:hAnsi="Arial" w:cs="Arial"/>
          <w:sz w:val="20"/>
          <w:szCs w:val="20"/>
        </w:rPr>
        <w:t>(i) pre</w:t>
      </w:r>
      <w:r w:rsidR="003D38C6" w:rsidRPr="00AC4AEA">
        <w:rPr>
          <w:rFonts w:ascii="Arial" w:hAnsi="Arial" w:cs="Arial"/>
          <w:sz w:val="20"/>
          <w:szCs w:val="20"/>
        </w:rPr>
        <w:t>cedente</w:t>
      </w:r>
      <w:r w:rsidR="0057613A" w:rsidRPr="00AC4AEA">
        <w:rPr>
          <w:rFonts w:ascii="Arial" w:hAnsi="Arial" w:cs="Arial"/>
          <w:sz w:val="20"/>
          <w:szCs w:val="20"/>
        </w:rPr>
        <w:t>:</w:t>
      </w:r>
    </w:p>
    <w:p w:rsidR="0057613A" w:rsidRPr="00AC4AEA" w:rsidRDefault="0057613A" w:rsidP="00A318EA">
      <w:pPr>
        <w:pStyle w:val="Prrafodelista"/>
        <w:numPr>
          <w:ilvl w:val="6"/>
          <w:numId w:val="6"/>
        </w:numPr>
        <w:contextualSpacing w:val="0"/>
        <w:jc w:val="both"/>
        <w:rPr>
          <w:rFonts w:ascii="Arial" w:hAnsi="Arial" w:cs="Arial"/>
          <w:sz w:val="20"/>
          <w:szCs w:val="20"/>
        </w:rPr>
      </w:pPr>
      <w:r w:rsidRPr="00AC4AEA">
        <w:rPr>
          <w:rFonts w:ascii="Arial" w:hAnsi="Arial" w:cs="Arial"/>
          <w:sz w:val="20"/>
          <w:szCs w:val="20"/>
        </w:rPr>
        <w:t>Por el importe establecido en la documentación que respalda la operación, cuando la entidad califica como entidad pequeña o mediana y el importe estuviera explicitado</w:t>
      </w:r>
      <w:r w:rsidR="001934EA" w:rsidRPr="00AC4AEA">
        <w:rPr>
          <w:rFonts w:ascii="Arial" w:hAnsi="Arial" w:cs="Arial"/>
          <w:sz w:val="20"/>
          <w:szCs w:val="20"/>
        </w:rPr>
        <w:t>.</w:t>
      </w:r>
    </w:p>
    <w:p w:rsidR="00473219" w:rsidRPr="00AC4AEA" w:rsidRDefault="00473219" w:rsidP="00A318EA">
      <w:pPr>
        <w:pStyle w:val="Prrafodelista"/>
        <w:numPr>
          <w:ilvl w:val="6"/>
          <w:numId w:val="6"/>
        </w:numPr>
        <w:contextualSpacing w:val="0"/>
        <w:jc w:val="both"/>
        <w:rPr>
          <w:rFonts w:ascii="Arial" w:hAnsi="Arial" w:cs="Arial"/>
          <w:sz w:val="20"/>
          <w:szCs w:val="20"/>
        </w:rPr>
      </w:pPr>
      <w:r w:rsidRPr="00AC4AEA">
        <w:rPr>
          <w:rFonts w:ascii="Arial" w:hAnsi="Arial" w:cs="Arial"/>
          <w:sz w:val="20"/>
          <w:szCs w:val="20"/>
        </w:rPr>
        <w:t>E</w:t>
      </w:r>
      <w:r w:rsidR="003D38C6" w:rsidRPr="00AC4AEA">
        <w:rPr>
          <w:rFonts w:ascii="Arial" w:hAnsi="Arial" w:cs="Arial"/>
          <w:sz w:val="20"/>
          <w:szCs w:val="20"/>
        </w:rPr>
        <w:t xml:space="preserve">n los demás casos, </w:t>
      </w:r>
      <w:r w:rsidRPr="00AC4AEA">
        <w:rPr>
          <w:rFonts w:ascii="Arial" w:hAnsi="Arial" w:cs="Arial"/>
          <w:sz w:val="20"/>
          <w:szCs w:val="20"/>
        </w:rPr>
        <w:t>de acuerdo con la siguiente jerarquía:</w:t>
      </w:r>
    </w:p>
    <w:p w:rsidR="007B7E5B" w:rsidRPr="00AC4AEA" w:rsidRDefault="002A353C" w:rsidP="00A318EA">
      <w:pPr>
        <w:pStyle w:val="Prrafodelista"/>
        <w:numPr>
          <w:ilvl w:val="7"/>
          <w:numId w:val="6"/>
        </w:numPr>
        <w:contextualSpacing w:val="0"/>
        <w:jc w:val="both"/>
        <w:rPr>
          <w:rFonts w:ascii="Arial" w:hAnsi="Arial" w:cs="Arial"/>
          <w:sz w:val="20"/>
          <w:szCs w:val="20"/>
        </w:rPr>
      </w:pPr>
      <w:r w:rsidRPr="00AC4AEA">
        <w:rPr>
          <w:rFonts w:ascii="Arial" w:hAnsi="Arial" w:cs="Arial"/>
          <w:sz w:val="20"/>
          <w:szCs w:val="20"/>
        </w:rPr>
        <w:t xml:space="preserve">Al </w:t>
      </w:r>
      <w:r w:rsidRPr="00AC4AEA">
        <w:rPr>
          <w:rFonts w:ascii="Arial" w:hAnsi="Arial" w:cs="Arial"/>
          <w:b/>
          <w:bCs/>
          <w:sz w:val="20"/>
          <w:szCs w:val="20"/>
        </w:rPr>
        <w:t>valor razonable</w:t>
      </w:r>
      <w:r w:rsidR="007B7E5B" w:rsidRPr="00AC4AEA">
        <w:rPr>
          <w:rFonts w:ascii="Arial" w:hAnsi="Arial" w:cs="Arial"/>
          <w:sz w:val="20"/>
          <w:szCs w:val="20"/>
        </w:rPr>
        <w:t xml:space="preserve"> del </w:t>
      </w:r>
      <w:r w:rsidR="007B7E5B" w:rsidRPr="00AC4AEA">
        <w:rPr>
          <w:rFonts w:ascii="Arial" w:hAnsi="Arial" w:cs="Arial"/>
          <w:b/>
          <w:bCs/>
          <w:sz w:val="20"/>
          <w:szCs w:val="20"/>
        </w:rPr>
        <w:t>activo</w:t>
      </w:r>
      <w:r w:rsidR="007B7E5B" w:rsidRPr="00AC4AEA">
        <w:rPr>
          <w:rFonts w:ascii="Arial" w:hAnsi="Arial" w:cs="Arial"/>
          <w:sz w:val="20"/>
          <w:szCs w:val="20"/>
        </w:rPr>
        <w:t xml:space="preserve"> recibido </w:t>
      </w:r>
    </w:p>
    <w:p w:rsidR="002A353C" w:rsidRPr="00AC4AEA" w:rsidRDefault="007B7E5B" w:rsidP="00A318EA">
      <w:pPr>
        <w:pStyle w:val="Prrafodelista"/>
        <w:numPr>
          <w:ilvl w:val="7"/>
          <w:numId w:val="6"/>
        </w:numPr>
        <w:contextualSpacing w:val="0"/>
        <w:jc w:val="both"/>
        <w:rPr>
          <w:rFonts w:ascii="Arial" w:hAnsi="Arial" w:cs="Arial"/>
          <w:sz w:val="20"/>
          <w:szCs w:val="20"/>
        </w:rPr>
      </w:pPr>
      <w:r w:rsidRPr="00AC4AEA">
        <w:rPr>
          <w:rFonts w:ascii="Arial" w:hAnsi="Arial" w:cs="Arial"/>
          <w:sz w:val="20"/>
          <w:szCs w:val="20"/>
        </w:rPr>
        <w:t>A la</w:t>
      </w:r>
      <w:r w:rsidRPr="00AC4AEA">
        <w:rPr>
          <w:rFonts w:ascii="Arial" w:hAnsi="Arial" w:cs="Arial"/>
          <w:b/>
          <w:bCs/>
          <w:sz w:val="20"/>
          <w:szCs w:val="20"/>
        </w:rPr>
        <w:t xml:space="preserve"> </w:t>
      </w:r>
      <w:r w:rsidR="00A017D0" w:rsidRPr="00AC4AEA">
        <w:rPr>
          <w:rFonts w:ascii="Arial" w:hAnsi="Arial" w:cs="Arial"/>
          <w:b/>
          <w:bCs/>
          <w:sz w:val="20"/>
          <w:szCs w:val="20"/>
        </w:rPr>
        <w:t>cotización sucedánea</w:t>
      </w:r>
      <w:r w:rsidRPr="00AC4AEA">
        <w:rPr>
          <w:rFonts w:ascii="Arial" w:hAnsi="Arial" w:cs="Arial"/>
          <w:sz w:val="20"/>
          <w:szCs w:val="20"/>
        </w:rPr>
        <w:t xml:space="preserve"> del </w:t>
      </w:r>
      <w:r w:rsidRPr="00AC4AEA">
        <w:rPr>
          <w:rFonts w:ascii="Arial" w:hAnsi="Arial" w:cs="Arial"/>
          <w:b/>
          <w:bCs/>
          <w:sz w:val="20"/>
          <w:szCs w:val="20"/>
        </w:rPr>
        <w:t>activo</w:t>
      </w:r>
      <w:r w:rsidRPr="00AC4AEA">
        <w:rPr>
          <w:rFonts w:ascii="Arial" w:hAnsi="Arial" w:cs="Arial"/>
          <w:sz w:val="20"/>
          <w:szCs w:val="20"/>
        </w:rPr>
        <w:t xml:space="preserve"> recibido.</w:t>
      </w:r>
    </w:p>
    <w:p w:rsidR="0057613A" w:rsidRPr="00AC4AEA" w:rsidRDefault="00F72119" w:rsidP="00A318EA">
      <w:pPr>
        <w:pStyle w:val="Prrafodelista"/>
        <w:numPr>
          <w:ilvl w:val="7"/>
          <w:numId w:val="6"/>
        </w:numPr>
        <w:contextualSpacing w:val="0"/>
        <w:jc w:val="both"/>
        <w:rPr>
          <w:rFonts w:ascii="Arial" w:hAnsi="Arial" w:cs="Arial"/>
          <w:sz w:val="20"/>
          <w:szCs w:val="20"/>
        </w:rPr>
      </w:pPr>
      <w:r w:rsidRPr="00AC4AEA">
        <w:rPr>
          <w:rFonts w:ascii="Arial" w:hAnsi="Arial" w:cs="Arial"/>
          <w:sz w:val="20"/>
          <w:szCs w:val="20"/>
        </w:rPr>
        <w:t>A</w:t>
      </w:r>
      <w:r w:rsidR="002A353C" w:rsidRPr="00AC4AEA">
        <w:rPr>
          <w:rFonts w:ascii="Arial" w:hAnsi="Arial" w:cs="Arial"/>
          <w:sz w:val="20"/>
          <w:szCs w:val="20"/>
        </w:rPr>
        <w:t xml:space="preserve">l </w:t>
      </w:r>
      <w:r w:rsidR="002A353C" w:rsidRPr="00AC4AEA">
        <w:rPr>
          <w:rFonts w:ascii="Arial" w:hAnsi="Arial" w:cs="Arial"/>
          <w:b/>
          <w:bCs/>
          <w:sz w:val="20"/>
          <w:szCs w:val="20"/>
        </w:rPr>
        <w:t>valor razonable</w:t>
      </w:r>
      <w:r w:rsidR="002A353C" w:rsidRPr="00AC4AEA">
        <w:rPr>
          <w:rFonts w:ascii="Arial" w:hAnsi="Arial" w:cs="Arial"/>
          <w:sz w:val="20"/>
          <w:szCs w:val="20"/>
        </w:rPr>
        <w:t xml:space="preserve"> del </w:t>
      </w:r>
      <w:r w:rsidR="002A353C" w:rsidRPr="00AC4AEA">
        <w:rPr>
          <w:rFonts w:ascii="Arial" w:hAnsi="Arial" w:cs="Arial"/>
          <w:b/>
          <w:bCs/>
          <w:sz w:val="20"/>
          <w:szCs w:val="20"/>
        </w:rPr>
        <w:t>activo</w:t>
      </w:r>
      <w:r w:rsidR="001136CD" w:rsidRPr="00AC4AEA">
        <w:rPr>
          <w:rFonts w:ascii="Arial" w:hAnsi="Arial" w:cs="Arial"/>
          <w:sz w:val="20"/>
          <w:szCs w:val="20"/>
        </w:rPr>
        <w:t xml:space="preserve"> entregado</w:t>
      </w:r>
      <w:r w:rsidR="002A353C" w:rsidRPr="00AC4AEA">
        <w:rPr>
          <w:rFonts w:ascii="Arial" w:hAnsi="Arial" w:cs="Arial"/>
          <w:sz w:val="20"/>
          <w:szCs w:val="20"/>
        </w:rPr>
        <w:t xml:space="preserve">, </w:t>
      </w:r>
      <w:r w:rsidR="003D38C6" w:rsidRPr="00AC4AEA">
        <w:rPr>
          <w:rFonts w:ascii="Arial" w:hAnsi="Arial" w:cs="Arial"/>
          <w:sz w:val="20"/>
          <w:szCs w:val="20"/>
        </w:rPr>
        <w:t xml:space="preserve">reconociendo el correspondiente resultado por tenencia de </w:t>
      </w:r>
      <w:r w:rsidR="001136CD" w:rsidRPr="00AC4AEA">
        <w:rPr>
          <w:rFonts w:ascii="Arial" w:hAnsi="Arial" w:cs="Arial"/>
          <w:sz w:val="20"/>
          <w:szCs w:val="20"/>
        </w:rPr>
        <w:t>tal</w:t>
      </w:r>
      <w:r w:rsidR="003D38C6" w:rsidRPr="00AC4AEA">
        <w:rPr>
          <w:rFonts w:ascii="Arial" w:hAnsi="Arial" w:cs="Arial"/>
          <w:sz w:val="20"/>
          <w:szCs w:val="20"/>
        </w:rPr>
        <w:t xml:space="preserve"> </w:t>
      </w:r>
      <w:r w:rsidR="00497590" w:rsidRPr="00AC4AEA">
        <w:rPr>
          <w:rFonts w:ascii="Arial" w:hAnsi="Arial" w:cs="Arial"/>
          <w:b/>
          <w:bCs/>
          <w:sz w:val="20"/>
          <w:szCs w:val="20"/>
        </w:rPr>
        <w:t>activo</w:t>
      </w:r>
      <w:r w:rsidRPr="00AC4AEA">
        <w:rPr>
          <w:rFonts w:ascii="Arial" w:hAnsi="Arial" w:cs="Arial"/>
          <w:sz w:val="20"/>
          <w:szCs w:val="20"/>
        </w:rPr>
        <w:t>.</w:t>
      </w:r>
    </w:p>
    <w:p w:rsidR="007B7E5B" w:rsidRPr="00AC4AEA" w:rsidRDefault="007B7E5B" w:rsidP="00A318EA">
      <w:pPr>
        <w:pStyle w:val="Prrafodelista"/>
        <w:numPr>
          <w:ilvl w:val="7"/>
          <w:numId w:val="6"/>
        </w:numPr>
        <w:contextualSpacing w:val="0"/>
        <w:jc w:val="both"/>
        <w:rPr>
          <w:rFonts w:ascii="Arial" w:hAnsi="Arial" w:cs="Arial"/>
          <w:sz w:val="20"/>
          <w:szCs w:val="20"/>
        </w:rPr>
      </w:pPr>
      <w:r w:rsidRPr="00AC4AEA">
        <w:rPr>
          <w:rFonts w:ascii="Arial" w:hAnsi="Arial" w:cs="Arial"/>
          <w:sz w:val="20"/>
          <w:szCs w:val="20"/>
        </w:rPr>
        <w:t xml:space="preserve">A la </w:t>
      </w:r>
      <w:r w:rsidR="00A017D0" w:rsidRPr="00AC4AEA">
        <w:rPr>
          <w:rFonts w:ascii="Arial" w:hAnsi="Arial" w:cs="Arial"/>
          <w:b/>
          <w:bCs/>
          <w:sz w:val="20"/>
          <w:szCs w:val="20"/>
        </w:rPr>
        <w:t>cotización sucedánea</w:t>
      </w:r>
      <w:r w:rsidRPr="00AC4AEA">
        <w:rPr>
          <w:rFonts w:ascii="Arial" w:hAnsi="Arial" w:cs="Arial"/>
          <w:sz w:val="20"/>
          <w:szCs w:val="20"/>
        </w:rPr>
        <w:t xml:space="preserve"> del </w:t>
      </w:r>
      <w:r w:rsidRPr="00AC4AEA">
        <w:rPr>
          <w:rFonts w:ascii="Arial" w:hAnsi="Arial" w:cs="Arial"/>
          <w:b/>
          <w:bCs/>
          <w:sz w:val="20"/>
          <w:szCs w:val="20"/>
        </w:rPr>
        <w:t>activo</w:t>
      </w:r>
      <w:r w:rsidRPr="00AC4AEA">
        <w:rPr>
          <w:rFonts w:ascii="Arial" w:hAnsi="Arial" w:cs="Arial"/>
          <w:sz w:val="20"/>
          <w:szCs w:val="20"/>
        </w:rPr>
        <w:t xml:space="preserve"> entregado, reconociendo el correspondiente resultado por tenencia de los activos entregados</w:t>
      </w:r>
    </w:p>
    <w:p w:rsidR="006A1177" w:rsidRPr="00AC4AEA" w:rsidRDefault="00F72119" w:rsidP="00A318EA">
      <w:pPr>
        <w:pStyle w:val="Prrafodelista"/>
        <w:numPr>
          <w:ilvl w:val="7"/>
          <w:numId w:val="6"/>
        </w:numPr>
        <w:contextualSpacing w:val="0"/>
        <w:jc w:val="both"/>
        <w:rPr>
          <w:rFonts w:ascii="Arial" w:hAnsi="Arial" w:cs="Arial"/>
          <w:sz w:val="20"/>
          <w:szCs w:val="20"/>
        </w:rPr>
      </w:pPr>
      <w:r w:rsidRPr="00AC4AEA">
        <w:rPr>
          <w:rFonts w:ascii="Arial" w:hAnsi="Arial" w:cs="Arial"/>
          <w:sz w:val="20"/>
          <w:szCs w:val="20"/>
        </w:rPr>
        <w:t>D</w:t>
      </w:r>
      <w:r w:rsidR="005A50F5" w:rsidRPr="00AC4AEA">
        <w:rPr>
          <w:rFonts w:ascii="Arial" w:hAnsi="Arial" w:cs="Arial"/>
          <w:sz w:val="20"/>
          <w:szCs w:val="20"/>
        </w:rPr>
        <w:t xml:space="preserve">e acuerdo con lo establecido en el </w:t>
      </w:r>
      <w:r w:rsidR="005027B8" w:rsidRPr="00AC4AEA">
        <w:rPr>
          <w:rFonts w:ascii="Arial" w:hAnsi="Arial" w:cs="Arial"/>
          <w:sz w:val="20"/>
          <w:szCs w:val="20"/>
        </w:rPr>
        <w:t>punto d) (i) del presente párrafo</w:t>
      </w:r>
      <w:r w:rsidRPr="00AC4AEA">
        <w:rPr>
          <w:rFonts w:ascii="Arial" w:hAnsi="Arial" w:cs="Arial"/>
          <w:sz w:val="20"/>
          <w:szCs w:val="20"/>
        </w:rPr>
        <w:t xml:space="preserve">, cuando no pueda determinarse el </w:t>
      </w:r>
      <w:r w:rsidRPr="00AC4AEA">
        <w:rPr>
          <w:rFonts w:ascii="Arial" w:hAnsi="Arial" w:cs="Arial"/>
          <w:b/>
          <w:bCs/>
          <w:sz w:val="20"/>
          <w:szCs w:val="20"/>
        </w:rPr>
        <w:t>valor razonable</w:t>
      </w:r>
      <w:r w:rsidRPr="00AC4AEA">
        <w:rPr>
          <w:rFonts w:ascii="Arial" w:hAnsi="Arial" w:cs="Arial"/>
          <w:sz w:val="20"/>
          <w:szCs w:val="20"/>
        </w:rPr>
        <w:t xml:space="preserve"> </w:t>
      </w:r>
      <w:r w:rsidR="007B7E5B" w:rsidRPr="00AC4AEA">
        <w:rPr>
          <w:rFonts w:ascii="Arial" w:hAnsi="Arial" w:cs="Arial"/>
          <w:sz w:val="20"/>
          <w:szCs w:val="20"/>
        </w:rPr>
        <w:t xml:space="preserve">ni la </w:t>
      </w:r>
      <w:r w:rsidR="007B7E5B" w:rsidRPr="00AC4AEA">
        <w:rPr>
          <w:rFonts w:ascii="Arial" w:hAnsi="Arial" w:cs="Arial"/>
          <w:b/>
          <w:bCs/>
          <w:sz w:val="20"/>
          <w:szCs w:val="20"/>
        </w:rPr>
        <w:t xml:space="preserve">cotización </w:t>
      </w:r>
      <w:r w:rsidRPr="00AC4AEA">
        <w:rPr>
          <w:rFonts w:ascii="Arial" w:hAnsi="Arial" w:cs="Arial"/>
          <w:sz w:val="20"/>
          <w:szCs w:val="20"/>
        </w:rPr>
        <w:t xml:space="preserve">del </w:t>
      </w:r>
      <w:r w:rsidRPr="00AC4AEA">
        <w:rPr>
          <w:rFonts w:ascii="Arial" w:hAnsi="Arial" w:cs="Arial"/>
          <w:b/>
          <w:bCs/>
          <w:sz w:val="20"/>
          <w:szCs w:val="20"/>
        </w:rPr>
        <w:t>activo</w:t>
      </w:r>
      <w:r w:rsidRPr="00AC4AEA">
        <w:rPr>
          <w:rFonts w:ascii="Arial" w:hAnsi="Arial" w:cs="Arial"/>
          <w:sz w:val="20"/>
          <w:szCs w:val="20"/>
        </w:rPr>
        <w:t xml:space="preserve"> recibido ni del </w:t>
      </w:r>
      <w:r w:rsidRPr="00AC4AEA">
        <w:rPr>
          <w:rFonts w:ascii="Arial" w:hAnsi="Arial" w:cs="Arial"/>
          <w:b/>
          <w:bCs/>
          <w:sz w:val="20"/>
          <w:szCs w:val="20"/>
        </w:rPr>
        <w:t>activo</w:t>
      </w:r>
      <w:r w:rsidRPr="00AC4AEA">
        <w:rPr>
          <w:rFonts w:ascii="Arial" w:hAnsi="Arial" w:cs="Arial"/>
          <w:sz w:val="20"/>
          <w:szCs w:val="20"/>
        </w:rPr>
        <w:t xml:space="preserve"> entregado.</w:t>
      </w:r>
    </w:p>
    <w:p w:rsidR="00486522" w:rsidRPr="00AC4AEA" w:rsidRDefault="00486522" w:rsidP="00A318EA">
      <w:pPr>
        <w:pStyle w:val="Prrafodelista"/>
        <w:numPr>
          <w:ilvl w:val="1"/>
          <w:numId w:val="29"/>
        </w:numPr>
        <w:ind w:left="1418" w:hanging="425"/>
        <w:contextualSpacing w:val="0"/>
        <w:jc w:val="both"/>
        <w:rPr>
          <w:rFonts w:ascii="Arial" w:hAnsi="Arial" w:cs="Arial"/>
          <w:sz w:val="20"/>
          <w:szCs w:val="20"/>
        </w:rPr>
      </w:pPr>
      <w:r w:rsidRPr="00AC4AEA">
        <w:rPr>
          <w:rFonts w:ascii="Arial" w:hAnsi="Arial" w:cs="Arial"/>
          <w:sz w:val="20"/>
          <w:szCs w:val="20"/>
        </w:rPr>
        <w:t xml:space="preserve">Bienes o servicios incorporados mediante trueques o canjes </w:t>
      </w:r>
      <w:r w:rsidR="007D7512" w:rsidRPr="00AC4AEA">
        <w:rPr>
          <w:rFonts w:ascii="Arial" w:hAnsi="Arial" w:cs="Arial"/>
          <w:sz w:val="20"/>
          <w:szCs w:val="20"/>
        </w:rPr>
        <w:t>procedentes del</w:t>
      </w:r>
      <w:r w:rsidRPr="00AC4AEA">
        <w:rPr>
          <w:rFonts w:ascii="Arial" w:hAnsi="Arial" w:cs="Arial"/>
          <w:sz w:val="20"/>
          <w:szCs w:val="20"/>
        </w:rPr>
        <w:t xml:space="preserve"> “</w:t>
      </w:r>
      <w:r w:rsidRPr="00AC4AEA">
        <w:rPr>
          <w:rFonts w:ascii="Arial" w:hAnsi="Arial" w:cs="Arial"/>
          <w:sz w:val="20"/>
          <w:szCs w:val="20"/>
          <w:u w:val="single"/>
        </w:rPr>
        <w:t>Reconocimiento de ingresos de actividades ordinarias procedentes de transacciones (operaciones de intercambio</w:t>
      </w:r>
      <w:r w:rsidRPr="00AC4AEA">
        <w:rPr>
          <w:rFonts w:ascii="Arial" w:hAnsi="Arial" w:cs="Arial"/>
          <w:sz w:val="20"/>
          <w:szCs w:val="20"/>
        </w:rPr>
        <w:t>)”</w:t>
      </w:r>
      <w:r w:rsidR="007D7512" w:rsidRPr="00AC4AEA">
        <w:rPr>
          <w:rFonts w:ascii="Arial" w:hAnsi="Arial" w:cs="Arial"/>
          <w:sz w:val="20"/>
          <w:szCs w:val="20"/>
        </w:rPr>
        <w:t xml:space="preserve"> [ver los párrafos </w:t>
      </w:r>
      <w:r w:rsidR="001C4138">
        <w:rPr>
          <w:rFonts w:ascii="Arial" w:hAnsi="Arial" w:cs="Arial"/>
          <w:sz w:val="20"/>
          <w:szCs w:val="20"/>
        </w:rPr>
        <w:fldChar w:fldCharType="begin"/>
      </w:r>
      <w:r w:rsidR="008B2429">
        <w:rPr>
          <w:rFonts w:ascii="Arial" w:hAnsi="Arial" w:cs="Arial"/>
          <w:sz w:val="20"/>
          <w:szCs w:val="20"/>
        </w:rPr>
        <w:instrText xml:space="preserve"> REF _Ref129077804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522</w:t>
      </w:r>
      <w:r w:rsidR="001C4138">
        <w:rPr>
          <w:rFonts w:ascii="Arial" w:hAnsi="Arial" w:cs="Arial"/>
          <w:sz w:val="20"/>
          <w:szCs w:val="20"/>
        </w:rPr>
        <w:fldChar w:fldCharType="end"/>
      </w:r>
      <w:r w:rsidR="00D74DAB">
        <w:rPr>
          <w:rFonts w:ascii="Arial" w:hAnsi="Arial" w:cs="Arial"/>
          <w:sz w:val="20"/>
          <w:szCs w:val="20"/>
        </w:rPr>
        <w:t xml:space="preserve"> </w:t>
      </w:r>
      <w:r w:rsidR="007D7512" w:rsidRPr="00AC4AEA">
        <w:rPr>
          <w:rFonts w:ascii="Arial" w:hAnsi="Arial" w:cs="Arial"/>
          <w:sz w:val="20"/>
          <w:szCs w:val="20"/>
        </w:rPr>
        <w:t xml:space="preserve">a </w:t>
      </w:r>
      <w:fldSimple w:instr=" REF _Ref104535952 \r \h  \* MERGEFORMAT ">
        <w:r w:rsidR="00D33A5D" w:rsidRPr="00D33A5D">
          <w:rPr>
            <w:rFonts w:ascii="Arial" w:hAnsi="Arial" w:cs="Arial"/>
            <w:sz w:val="20"/>
            <w:szCs w:val="20"/>
          </w:rPr>
          <w:t>526</w:t>
        </w:r>
      </w:fldSimple>
      <w:r w:rsidR="007D7512" w:rsidRPr="00AC4AEA">
        <w:rPr>
          <w:rFonts w:ascii="Arial" w:hAnsi="Arial" w:cs="Arial"/>
          <w:sz w:val="20"/>
          <w:szCs w:val="20"/>
        </w:rPr>
        <w:t>]</w:t>
      </w:r>
      <w:r w:rsidRPr="00AC4AEA">
        <w:rPr>
          <w:rFonts w:ascii="Arial" w:hAnsi="Arial" w:cs="Arial"/>
          <w:sz w:val="20"/>
          <w:szCs w:val="20"/>
        </w:rPr>
        <w:t xml:space="preserve">: por el importe convenido con sus clientes, según lo establecido en el párrafo </w:t>
      </w:r>
      <w:fldSimple w:instr=" REF _Ref129405763 \r \h  \* MERGEFORMAT ">
        <w:r w:rsidR="00D33A5D" w:rsidRPr="00D33A5D">
          <w:rPr>
            <w:rFonts w:ascii="Arial" w:hAnsi="Arial" w:cs="Arial"/>
            <w:sz w:val="20"/>
            <w:szCs w:val="20"/>
          </w:rPr>
          <w:t>525</w:t>
        </w:r>
      </w:fldSimple>
      <w:r w:rsidRPr="00AC4AEA">
        <w:rPr>
          <w:rFonts w:ascii="Arial" w:hAnsi="Arial" w:cs="Arial"/>
          <w:sz w:val="20"/>
          <w:szCs w:val="20"/>
        </w:rPr>
        <w:t xml:space="preserve">. </w:t>
      </w:r>
    </w:p>
    <w:p w:rsidR="00AE7883" w:rsidRPr="00AC4AEA" w:rsidRDefault="00AE7883" w:rsidP="00A318EA">
      <w:pPr>
        <w:pStyle w:val="Ttulo1"/>
        <w:rPr>
          <w:rFonts w:cs="Arial"/>
          <w:sz w:val="20"/>
          <w:szCs w:val="20"/>
        </w:rPr>
      </w:pPr>
      <w:bookmarkStart w:id="298" w:name="_Toc101863793"/>
    </w:p>
    <w:p w:rsidR="0090400F" w:rsidRPr="00AC4AEA" w:rsidRDefault="00497590" w:rsidP="00A318EA">
      <w:pPr>
        <w:pStyle w:val="Ttulo1"/>
        <w:rPr>
          <w:rFonts w:cs="Arial"/>
          <w:sz w:val="20"/>
          <w:szCs w:val="20"/>
        </w:rPr>
      </w:pPr>
      <w:bookmarkStart w:id="299" w:name="_Toc139356658"/>
      <w:r w:rsidRPr="00AC4AEA">
        <w:rPr>
          <w:rFonts w:cs="Arial"/>
          <w:sz w:val="20"/>
          <w:szCs w:val="20"/>
        </w:rPr>
        <w:t>CAJA Y BANCOS</w:t>
      </w:r>
      <w:bookmarkEnd w:id="298"/>
      <w:bookmarkEnd w:id="299"/>
    </w:p>
    <w:p w:rsidR="0090400F" w:rsidRPr="00AC4AEA" w:rsidRDefault="0090400F" w:rsidP="00A318EA">
      <w:pPr>
        <w:pStyle w:val="Ttulo2"/>
        <w:rPr>
          <w:rFonts w:cs="Arial"/>
        </w:rPr>
      </w:pPr>
      <w:bookmarkStart w:id="300" w:name="_Toc101863794"/>
      <w:bookmarkStart w:id="301" w:name="_Toc139356659"/>
      <w:r w:rsidRPr="00AC4AEA">
        <w:rPr>
          <w:rFonts w:cs="Arial"/>
        </w:rPr>
        <w:t>Definición</w:t>
      </w:r>
      <w:bookmarkEnd w:id="300"/>
      <w:bookmarkEnd w:id="301"/>
      <w:r w:rsidRPr="00AC4AEA">
        <w:rPr>
          <w:rFonts w:cs="Arial"/>
        </w:rPr>
        <w:t xml:space="preserve"> </w:t>
      </w:r>
    </w:p>
    <w:p w:rsidR="00B43E33" w:rsidRPr="00AC4AEA" w:rsidRDefault="00B43E33" w:rsidP="00A318EA">
      <w:pPr>
        <w:pStyle w:val="Prrafodelista"/>
        <w:numPr>
          <w:ilvl w:val="0"/>
          <w:numId w:val="29"/>
        </w:numPr>
        <w:contextualSpacing w:val="0"/>
        <w:jc w:val="both"/>
        <w:rPr>
          <w:rFonts w:ascii="Arial" w:hAnsi="Arial" w:cs="Arial"/>
          <w:sz w:val="20"/>
          <w:szCs w:val="20"/>
        </w:rPr>
      </w:pPr>
      <w:bookmarkStart w:id="302" w:name="_Ref74756693"/>
      <w:r w:rsidRPr="00AC4AEA">
        <w:rPr>
          <w:rFonts w:ascii="Arial" w:hAnsi="Arial" w:cs="Arial"/>
          <w:sz w:val="20"/>
          <w:szCs w:val="20"/>
        </w:rPr>
        <w:t xml:space="preserve">A los fines </w:t>
      </w:r>
      <w:r w:rsidR="00990AC9" w:rsidRPr="00AC4AEA">
        <w:rPr>
          <w:rFonts w:ascii="Arial" w:hAnsi="Arial" w:cs="Arial"/>
          <w:sz w:val="20"/>
          <w:szCs w:val="20"/>
        </w:rPr>
        <w:t>de</w:t>
      </w:r>
      <w:r w:rsidR="00352FB6" w:rsidRPr="00AC4AEA">
        <w:rPr>
          <w:rFonts w:ascii="Arial" w:hAnsi="Arial" w:cs="Arial"/>
          <w:sz w:val="20"/>
          <w:szCs w:val="20"/>
        </w:rPr>
        <w:t xml:space="preserve"> esta sección</w:t>
      </w:r>
      <w:r w:rsidRPr="00AC4AEA">
        <w:rPr>
          <w:rFonts w:ascii="Arial" w:hAnsi="Arial" w:cs="Arial"/>
          <w:sz w:val="20"/>
          <w:szCs w:val="20"/>
        </w:rPr>
        <w:t>, una entidad deberá considerar la definici</w:t>
      </w:r>
      <w:r w:rsidR="00064949" w:rsidRPr="00AC4AEA">
        <w:rPr>
          <w:rFonts w:ascii="Arial" w:hAnsi="Arial" w:cs="Arial"/>
          <w:sz w:val="20"/>
          <w:szCs w:val="20"/>
        </w:rPr>
        <w:t>ón</w:t>
      </w:r>
      <w:r w:rsidRPr="00AC4AEA">
        <w:rPr>
          <w:rFonts w:ascii="Arial" w:hAnsi="Arial" w:cs="Arial"/>
          <w:sz w:val="20"/>
          <w:szCs w:val="20"/>
        </w:rPr>
        <w:t xml:space="preserve"> siguiente</w:t>
      </w:r>
      <w:r w:rsidR="00990AC9" w:rsidRPr="00AC4AEA">
        <w:rPr>
          <w:rFonts w:ascii="Arial" w:hAnsi="Arial" w:cs="Arial"/>
          <w:sz w:val="20"/>
          <w:szCs w:val="20"/>
        </w:rPr>
        <w:t>:</w:t>
      </w:r>
      <w:bookmarkEnd w:id="302"/>
    </w:p>
    <w:p w:rsidR="0090400F" w:rsidRPr="00AC4AEA" w:rsidRDefault="0090400F" w:rsidP="00EA7F45">
      <w:pPr>
        <w:ind w:left="1418"/>
        <w:jc w:val="both"/>
        <w:rPr>
          <w:rFonts w:ascii="Arial" w:hAnsi="Arial" w:cs="Arial"/>
          <w:sz w:val="20"/>
          <w:szCs w:val="20"/>
        </w:rPr>
      </w:pPr>
      <w:r w:rsidRPr="00AC4AEA">
        <w:rPr>
          <w:rFonts w:ascii="Arial" w:hAnsi="Arial" w:cs="Arial"/>
          <w:sz w:val="20"/>
          <w:szCs w:val="20"/>
          <w:u w:val="single"/>
        </w:rPr>
        <w:t>Caja y Bancos</w:t>
      </w:r>
      <w:r w:rsidR="00F500BD" w:rsidRPr="00AC4AEA">
        <w:rPr>
          <w:rFonts w:ascii="Arial" w:hAnsi="Arial" w:cs="Arial"/>
          <w:sz w:val="20"/>
          <w:szCs w:val="20"/>
        </w:rPr>
        <w:t>:</w:t>
      </w:r>
      <w:r w:rsidR="00F500BD" w:rsidRPr="00AC4AEA">
        <w:rPr>
          <w:rFonts w:ascii="Arial" w:hAnsi="Arial" w:cs="Arial"/>
          <w:b/>
          <w:bCs/>
          <w:sz w:val="20"/>
          <w:szCs w:val="20"/>
        </w:rPr>
        <w:t xml:space="preserve"> </w:t>
      </w:r>
      <w:r w:rsidR="0013455E" w:rsidRPr="00AC4AEA">
        <w:rPr>
          <w:rFonts w:ascii="Arial" w:hAnsi="Arial" w:cs="Arial"/>
          <w:sz w:val="20"/>
          <w:szCs w:val="20"/>
        </w:rPr>
        <w:t>I</w:t>
      </w:r>
      <w:r w:rsidRPr="00AC4AEA">
        <w:rPr>
          <w:rFonts w:ascii="Arial" w:hAnsi="Arial" w:cs="Arial"/>
          <w:sz w:val="20"/>
          <w:szCs w:val="20"/>
        </w:rPr>
        <w:t xml:space="preserve">ncluye el dinero en efectivo en caja y cuentas bancarias del país y del exterior y otros valores </w:t>
      </w:r>
      <w:r w:rsidR="00B61D0C" w:rsidRPr="00AC4AEA">
        <w:rPr>
          <w:rFonts w:ascii="Arial" w:hAnsi="Arial" w:cs="Arial"/>
          <w:sz w:val="20"/>
          <w:szCs w:val="20"/>
        </w:rPr>
        <w:t>con similar liquidez y capacidad para actuar como medios de pago.</w:t>
      </w:r>
    </w:p>
    <w:p w:rsidR="0090400F" w:rsidRPr="00AC4AEA" w:rsidRDefault="0090400F" w:rsidP="00A318EA">
      <w:pPr>
        <w:jc w:val="both"/>
        <w:rPr>
          <w:rFonts w:ascii="Arial" w:hAnsi="Arial" w:cs="Arial"/>
          <w:sz w:val="20"/>
          <w:szCs w:val="20"/>
        </w:rPr>
      </w:pPr>
    </w:p>
    <w:p w:rsidR="00F53E84" w:rsidRPr="00AC4AEA" w:rsidRDefault="00F53E84" w:rsidP="00A318EA">
      <w:pPr>
        <w:pStyle w:val="Ttulo2"/>
        <w:rPr>
          <w:rFonts w:cs="Arial"/>
        </w:rPr>
      </w:pPr>
      <w:bookmarkStart w:id="303" w:name="_Toc101863795"/>
      <w:bookmarkStart w:id="304" w:name="_Toc139356660"/>
      <w:r w:rsidRPr="00AC4AEA">
        <w:rPr>
          <w:rFonts w:cs="Arial"/>
        </w:rPr>
        <w:t>Reconocimiento</w:t>
      </w:r>
      <w:bookmarkEnd w:id="303"/>
      <w:bookmarkEnd w:id="304"/>
    </w:p>
    <w:p w:rsidR="008D6E61" w:rsidRPr="00AC4AEA" w:rsidRDefault="008D6E6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reconocerá un elemento como caja y bancos cuando</w:t>
      </w:r>
      <w:r w:rsidR="00F460EA" w:rsidRPr="00AC4AEA">
        <w:rPr>
          <w:rFonts w:ascii="Arial" w:hAnsi="Arial" w:cs="Arial"/>
          <w:sz w:val="20"/>
          <w:szCs w:val="20"/>
        </w:rPr>
        <w:t xml:space="preserve"> </w:t>
      </w:r>
      <w:r w:rsidR="00E660B2" w:rsidRPr="00AC4AEA">
        <w:rPr>
          <w:rFonts w:ascii="Arial" w:hAnsi="Arial" w:cs="Arial"/>
          <w:sz w:val="20"/>
          <w:szCs w:val="20"/>
        </w:rPr>
        <w:t xml:space="preserve">se </w:t>
      </w:r>
      <w:r w:rsidR="00982EC4" w:rsidRPr="00AC4AEA">
        <w:rPr>
          <w:rFonts w:ascii="Arial" w:hAnsi="Arial" w:cs="Arial"/>
          <w:sz w:val="20"/>
          <w:szCs w:val="20"/>
        </w:rPr>
        <w:t>c</w:t>
      </w:r>
      <w:r w:rsidRPr="00AC4AEA">
        <w:rPr>
          <w:rFonts w:ascii="Arial" w:hAnsi="Arial" w:cs="Arial"/>
          <w:sz w:val="20"/>
          <w:szCs w:val="20"/>
        </w:rPr>
        <w:t xml:space="preserve">umpla </w:t>
      </w:r>
      <w:r w:rsidR="00E1003C" w:rsidRPr="00AC4AEA">
        <w:rPr>
          <w:rFonts w:ascii="Arial" w:hAnsi="Arial" w:cs="Arial"/>
          <w:sz w:val="20"/>
          <w:szCs w:val="20"/>
        </w:rPr>
        <w:t>la definición general del párrafo</w:t>
      </w:r>
      <w:r w:rsidR="00D96FEF" w:rsidRPr="00AC4AEA">
        <w:rPr>
          <w:rFonts w:ascii="Arial" w:hAnsi="Arial" w:cs="Arial"/>
          <w:sz w:val="20"/>
          <w:szCs w:val="20"/>
        </w:rPr>
        <w:t xml:space="preserve"> </w:t>
      </w:r>
      <w:fldSimple w:instr=" REF _Ref74755232 \r \h  \* MERGEFORMAT ">
        <w:r w:rsidR="00D33A5D" w:rsidRPr="00D33A5D">
          <w:rPr>
            <w:rFonts w:ascii="Arial" w:hAnsi="Arial" w:cs="Arial"/>
            <w:sz w:val="20"/>
            <w:szCs w:val="20"/>
          </w:rPr>
          <w:t>22</w:t>
        </w:r>
      </w:fldSimple>
      <w:r w:rsidR="00064949" w:rsidRPr="00AC4AEA">
        <w:rPr>
          <w:rFonts w:ascii="Arial" w:hAnsi="Arial" w:cs="Arial"/>
          <w:sz w:val="20"/>
          <w:szCs w:val="20"/>
        </w:rPr>
        <w:t xml:space="preserve"> y</w:t>
      </w:r>
      <w:r w:rsidR="00E1003C" w:rsidRPr="00AC4AEA">
        <w:rPr>
          <w:rFonts w:ascii="Arial" w:hAnsi="Arial" w:cs="Arial"/>
          <w:sz w:val="20"/>
          <w:szCs w:val="20"/>
        </w:rPr>
        <w:t xml:space="preserve"> la definición específica contenida en el párrafo</w:t>
      </w:r>
      <w:r w:rsidR="00064949" w:rsidRPr="00AC4AEA">
        <w:rPr>
          <w:rFonts w:ascii="Arial" w:hAnsi="Arial" w:cs="Arial"/>
          <w:sz w:val="20"/>
          <w:szCs w:val="20"/>
        </w:rPr>
        <w:t xml:space="preserve"> </w:t>
      </w:r>
      <w:fldSimple w:instr=" REF _Ref74756693 \r \h  \* MERGEFORMAT ">
        <w:r w:rsidR="00D33A5D" w:rsidRPr="00D33A5D">
          <w:rPr>
            <w:rFonts w:ascii="Arial" w:hAnsi="Arial" w:cs="Arial"/>
            <w:sz w:val="20"/>
            <w:szCs w:val="20"/>
          </w:rPr>
          <w:t>205</w:t>
        </w:r>
      </w:fldSimple>
      <w:r w:rsidR="00F460EA" w:rsidRPr="00AC4AEA">
        <w:rPr>
          <w:rFonts w:ascii="Arial" w:hAnsi="Arial" w:cs="Arial"/>
          <w:sz w:val="20"/>
          <w:szCs w:val="20"/>
        </w:rPr>
        <w:t>.</w:t>
      </w:r>
    </w:p>
    <w:p w:rsidR="00D73884" w:rsidRPr="00AC4AEA" w:rsidRDefault="00D73884" w:rsidP="00A318EA">
      <w:pPr>
        <w:jc w:val="both"/>
        <w:rPr>
          <w:rFonts w:ascii="Arial" w:hAnsi="Arial" w:cs="Arial"/>
          <w:b/>
          <w:bCs/>
          <w:sz w:val="20"/>
          <w:szCs w:val="20"/>
        </w:rPr>
      </w:pPr>
    </w:p>
    <w:p w:rsidR="0090400F" w:rsidRPr="00AC4AEA" w:rsidRDefault="0090400F" w:rsidP="00A318EA">
      <w:pPr>
        <w:pStyle w:val="Ttulo2"/>
        <w:rPr>
          <w:rFonts w:cs="Arial"/>
        </w:rPr>
      </w:pPr>
      <w:bookmarkStart w:id="305" w:name="_Toc101863796"/>
      <w:bookmarkStart w:id="306" w:name="_Toc139356661"/>
      <w:r w:rsidRPr="00AC4AEA">
        <w:rPr>
          <w:rFonts w:cs="Arial"/>
        </w:rPr>
        <w:lastRenderedPageBreak/>
        <w:t>Medición inicial</w:t>
      </w:r>
      <w:bookmarkEnd w:id="305"/>
      <w:bookmarkEnd w:id="306"/>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w:t>
      </w:r>
      <w:r w:rsidR="007D3C9C" w:rsidRPr="00AC4AEA">
        <w:rPr>
          <w:rFonts w:ascii="Arial" w:hAnsi="Arial" w:cs="Arial"/>
          <w:sz w:val="20"/>
          <w:szCs w:val="20"/>
        </w:rPr>
        <w:t>las partidas de caja y bancos</w:t>
      </w:r>
      <w:r w:rsidRPr="00AC4AEA">
        <w:rPr>
          <w:rFonts w:ascii="Arial" w:hAnsi="Arial" w:cs="Arial"/>
          <w:sz w:val="20"/>
          <w:szCs w:val="20"/>
        </w:rPr>
        <w:t xml:space="preserve"> por su importe nominal. </w:t>
      </w:r>
    </w:p>
    <w:p w:rsidR="0090400F" w:rsidRPr="00AC4AEA" w:rsidRDefault="0090400F" w:rsidP="00A318EA">
      <w:pPr>
        <w:ind w:left="284"/>
        <w:jc w:val="both"/>
        <w:rPr>
          <w:rFonts w:ascii="Arial" w:hAnsi="Arial" w:cs="Arial"/>
          <w:b/>
          <w:bCs/>
          <w:sz w:val="20"/>
          <w:szCs w:val="20"/>
        </w:rPr>
      </w:pPr>
    </w:p>
    <w:p w:rsidR="0090400F" w:rsidRPr="00AC4AEA" w:rsidRDefault="0090400F" w:rsidP="00A318EA">
      <w:pPr>
        <w:pStyle w:val="Ttulo2"/>
        <w:rPr>
          <w:rFonts w:cs="Arial"/>
        </w:rPr>
      </w:pPr>
      <w:bookmarkStart w:id="307" w:name="_Toc101863797"/>
      <w:bookmarkStart w:id="308" w:name="_Toc139356662"/>
      <w:r w:rsidRPr="00AC4AEA">
        <w:rPr>
          <w:rFonts w:cs="Arial"/>
        </w:rPr>
        <w:t>Medición posterior</w:t>
      </w:r>
      <w:bookmarkEnd w:id="307"/>
      <w:bookmarkEnd w:id="308"/>
      <w:r w:rsidRPr="00AC4AEA">
        <w:rPr>
          <w:rFonts w:cs="Arial"/>
        </w:rPr>
        <w:t xml:space="preserve"> </w:t>
      </w:r>
    </w:p>
    <w:p w:rsidR="0090400F"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w:t>
      </w:r>
      <w:r w:rsidR="007D3C9C" w:rsidRPr="00AC4AEA">
        <w:rPr>
          <w:rFonts w:ascii="Arial" w:hAnsi="Arial" w:cs="Arial"/>
          <w:sz w:val="20"/>
          <w:szCs w:val="20"/>
        </w:rPr>
        <w:t>las partidas de caja y bancos</w:t>
      </w:r>
      <w:r w:rsidRPr="00AC4AEA">
        <w:rPr>
          <w:rFonts w:ascii="Arial" w:hAnsi="Arial" w:cs="Arial"/>
          <w:sz w:val="20"/>
          <w:szCs w:val="20"/>
        </w:rPr>
        <w:t xml:space="preserve"> por su importe nominal.</w:t>
      </w:r>
    </w:p>
    <w:p w:rsidR="0090400F" w:rsidRPr="00AC4AEA" w:rsidRDefault="0090400F" w:rsidP="00A318EA">
      <w:pPr>
        <w:ind w:left="284"/>
        <w:jc w:val="both"/>
        <w:rPr>
          <w:rFonts w:ascii="Arial" w:hAnsi="Arial" w:cs="Arial"/>
          <w:b/>
          <w:bCs/>
          <w:sz w:val="20"/>
          <w:szCs w:val="20"/>
        </w:rPr>
      </w:pPr>
    </w:p>
    <w:p w:rsidR="0090400F" w:rsidRPr="00AC4AEA" w:rsidRDefault="0090400F" w:rsidP="00A318EA">
      <w:pPr>
        <w:pStyle w:val="Ttulo2"/>
        <w:rPr>
          <w:rFonts w:cs="Arial"/>
        </w:rPr>
      </w:pPr>
      <w:bookmarkStart w:id="309" w:name="_Toc101863798"/>
      <w:bookmarkStart w:id="310" w:name="_Toc139356663"/>
      <w:r w:rsidRPr="00AC4AEA">
        <w:rPr>
          <w:rFonts w:cs="Arial"/>
        </w:rPr>
        <w:t xml:space="preserve">Presentación en los </w:t>
      </w:r>
      <w:r w:rsidR="00135084" w:rsidRPr="00AC4AEA">
        <w:rPr>
          <w:rFonts w:cs="Arial"/>
          <w:bCs/>
        </w:rPr>
        <w:t>estados contables</w:t>
      </w:r>
      <w:bookmarkEnd w:id="309"/>
      <w:bookmarkEnd w:id="310"/>
    </w:p>
    <w:p w:rsidR="0090400F" w:rsidRPr="00AC4AEA" w:rsidRDefault="00357CA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90400F" w:rsidRPr="00AC4AEA">
        <w:rPr>
          <w:rFonts w:ascii="Arial" w:hAnsi="Arial" w:cs="Arial"/>
          <w:sz w:val="20"/>
          <w:szCs w:val="20"/>
        </w:rPr>
        <w:t>na entidad presentará el saldo de caja y bancos como corriente.</w:t>
      </w:r>
    </w:p>
    <w:p w:rsidR="0090400F" w:rsidRPr="00AC4AEA" w:rsidRDefault="0090400F" w:rsidP="00A318EA">
      <w:pPr>
        <w:pStyle w:val="Prrafodelista"/>
        <w:ind w:left="360"/>
        <w:contextualSpacing w:val="0"/>
        <w:jc w:val="both"/>
        <w:rPr>
          <w:rFonts w:ascii="Arial" w:hAnsi="Arial" w:cs="Arial"/>
          <w:sz w:val="20"/>
          <w:szCs w:val="20"/>
        </w:rPr>
      </w:pPr>
    </w:p>
    <w:p w:rsidR="0090400F" w:rsidRPr="00AC4AEA" w:rsidRDefault="0090400F" w:rsidP="00A318EA">
      <w:pPr>
        <w:pStyle w:val="Ttulo2"/>
        <w:rPr>
          <w:rFonts w:cs="Arial"/>
        </w:rPr>
      </w:pPr>
      <w:bookmarkStart w:id="311" w:name="_Toc101863799"/>
      <w:bookmarkStart w:id="312" w:name="_Toc139356664"/>
      <w:r w:rsidRPr="00AC4AEA">
        <w:rPr>
          <w:rFonts w:cs="Arial"/>
        </w:rPr>
        <w:t>Revelación en notas</w:t>
      </w:r>
      <w:bookmarkEnd w:id="311"/>
      <w:bookmarkEnd w:id="312"/>
    </w:p>
    <w:p w:rsidR="00424298" w:rsidRPr="00AC4AEA" w:rsidRDefault="009040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informará</w:t>
      </w:r>
      <w:r w:rsidR="00424298" w:rsidRPr="00AC4AEA">
        <w:rPr>
          <w:rFonts w:ascii="Arial" w:hAnsi="Arial" w:cs="Arial"/>
          <w:sz w:val="20"/>
          <w:szCs w:val="20"/>
        </w:rPr>
        <w:t>:</w:t>
      </w:r>
      <w:r w:rsidRPr="00AC4AEA">
        <w:rPr>
          <w:rFonts w:ascii="Arial" w:hAnsi="Arial" w:cs="Arial"/>
          <w:sz w:val="20"/>
          <w:szCs w:val="20"/>
        </w:rPr>
        <w:t xml:space="preserve"> </w:t>
      </w:r>
    </w:p>
    <w:p w:rsidR="0090400F" w:rsidRPr="00AC4AEA" w:rsidRDefault="0042429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w:t>
      </w:r>
      <w:r w:rsidR="00FA37F0" w:rsidRPr="00AC4AEA">
        <w:rPr>
          <w:rFonts w:ascii="Arial" w:hAnsi="Arial" w:cs="Arial"/>
          <w:sz w:val="20"/>
          <w:szCs w:val="20"/>
        </w:rPr>
        <w:t xml:space="preserve">composición del rubro de acuerdo </w:t>
      </w:r>
      <w:r w:rsidR="00B61D0C" w:rsidRPr="00AC4AEA">
        <w:rPr>
          <w:rFonts w:ascii="Arial" w:hAnsi="Arial" w:cs="Arial"/>
          <w:sz w:val="20"/>
          <w:szCs w:val="20"/>
        </w:rPr>
        <w:t xml:space="preserve">con </w:t>
      </w:r>
      <w:r w:rsidR="00FA37F0" w:rsidRPr="00AC4AEA">
        <w:rPr>
          <w:rFonts w:ascii="Arial" w:hAnsi="Arial" w:cs="Arial"/>
          <w:sz w:val="20"/>
          <w:szCs w:val="20"/>
        </w:rPr>
        <w:t>la naturaleza de sus componentes (dinero en caja, saldos en cuentas corrientes bancarias, saldos en cajas de ahorro), distinguiendo entre saldos en moneda nacional y extranjera</w:t>
      </w:r>
      <w:r w:rsidR="0090400F" w:rsidRPr="00AC4AEA">
        <w:rPr>
          <w:rFonts w:ascii="Arial" w:hAnsi="Arial" w:cs="Arial"/>
          <w:sz w:val="20"/>
          <w:szCs w:val="20"/>
        </w:rPr>
        <w:t>.</w:t>
      </w:r>
    </w:p>
    <w:p w:rsidR="00D711FA" w:rsidRPr="00AC4AEA" w:rsidRDefault="00D711F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importes en </w:t>
      </w:r>
      <w:r w:rsidRPr="002B0F58">
        <w:rPr>
          <w:rFonts w:ascii="Arial" w:hAnsi="Arial" w:cs="Arial"/>
          <w:b/>
          <w:bCs/>
          <w:sz w:val="20"/>
          <w:szCs w:val="20"/>
        </w:rPr>
        <w:t>moneda extranjera</w:t>
      </w:r>
      <w:r w:rsidRPr="00AC4AEA">
        <w:rPr>
          <w:rFonts w:ascii="Arial" w:hAnsi="Arial" w:cs="Arial"/>
          <w:sz w:val="20"/>
          <w:szCs w:val="20"/>
        </w:rPr>
        <w:t xml:space="preserve"> y los tipos de cambio correspondientes a los saldos en </w:t>
      </w:r>
      <w:r w:rsidRPr="002B0F58">
        <w:rPr>
          <w:rFonts w:ascii="Arial" w:hAnsi="Arial" w:cs="Arial"/>
          <w:b/>
          <w:bCs/>
          <w:sz w:val="20"/>
          <w:szCs w:val="20"/>
        </w:rPr>
        <w:t>moneda extranjera</w:t>
      </w:r>
      <w:r w:rsidRPr="00AC4AEA">
        <w:rPr>
          <w:rFonts w:ascii="Arial" w:hAnsi="Arial" w:cs="Arial"/>
          <w:sz w:val="20"/>
          <w:szCs w:val="20"/>
        </w:rPr>
        <w:t>.</w:t>
      </w:r>
    </w:p>
    <w:p w:rsidR="00D711FA" w:rsidRPr="00AC4AEA" w:rsidRDefault="00D711F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La existencia de restricciones para el uso de saldos de caja y bancos.</w:t>
      </w:r>
    </w:p>
    <w:p w:rsidR="0090400F" w:rsidRPr="00AC4AEA" w:rsidRDefault="0090400F" w:rsidP="00A318EA">
      <w:pPr>
        <w:pStyle w:val="A-Normal11"/>
        <w:jc w:val="both"/>
        <w:rPr>
          <w:rFonts w:ascii="Arial" w:hAnsi="Arial" w:cs="Arial"/>
          <w:sz w:val="20"/>
        </w:rPr>
      </w:pPr>
    </w:p>
    <w:p w:rsidR="00371DFB" w:rsidRPr="00AC4AEA" w:rsidRDefault="00371DFB" w:rsidP="00A318EA">
      <w:pPr>
        <w:pStyle w:val="Ttulo2"/>
        <w:rPr>
          <w:rFonts w:cs="Arial"/>
        </w:rPr>
      </w:pPr>
      <w:bookmarkStart w:id="313" w:name="_Toc101863800"/>
      <w:bookmarkStart w:id="314" w:name="_Toc139356665"/>
      <w:r w:rsidRPr="00AC4AEA">
        <w:rPr>
          <w:rFonts w:cs="Arial"/>
        </w:rPr>
        <w:t>Otras normas aplicables</w:t>
      </w:r>
      <w:bookmarkEnd w:id="313"/>
      <w:bookmarkEnd w:id="314"/>
    </w:p>
    <w:p w:rsidR="00371DFB" w:rsidRPr="00AC4AEA" w:rsidRDefault="00371DF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el tratamiento contable de los componentes de caja y bancos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xml:space="preserve">. Por ejemplo, </w:t>
      </w:r>
      <w:r w:rsidR="00362A5E" w:rsidRPr="00AC4AEA">
        <w:rPr>
          <w:rFonts w:ascii="Arial" w:hAnsi="Arial" w:cs="Arial"/>
          <w:sz w:val="20"/>
          <w:szCs w:val="20"/>
        </w:rPr>
        <w:t xml:space="preserve">y sin ánimo de ser exhaustivos, </w:t>
      </w:r>
      <w:r w:rsidRPr="00AC4AEA">
        <w:rPr>
          <w:rFonts w:ascii="Arial" w:hAnsi="Arial" w:cs="Arial"/>
          <w:sz w:val="20"/>
          <w:szCs w:val="20"/>
        </w:rPr>
        <w:t>las referidas a:</w:t>
      </w:r>
    </w:p>
    <w:p w:rsidR="00371DFB" w:rsidRPr="00AC4AEA" w:rsidRDefault="009E6F0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00371DFB" w:rsidRPr="00AC4AEA">
        <w:rPr>
          <w:rFonts w:ascii="Arial" w:hAnsi="Arial" w:cs="Arial"/>
          <w:sz w:val="20"/>
          <w:szCs w:val="20"/>
          <w:u w:val="single"/>
        </w:rPr>
        <w:t>Mediciones en moneda extranjera</w:t>
      </w:r>
      <w:r w:rsidRPr="00AC4AEA">
        <w:rPr>
          <w:rFonts w:ascii="Arial" w:hAnsi="Arial" w:cs="Arial"/>
          <w:sz w:val="20"/>
          <w:szCs w:val="20"/>
        </w:rPr>
        <w:t>”</w:t>
      </w:r>
      <w:r w:rsidR="003763ED" w:rsidRPr="00AC4AEA">
        <w:rPr>
          <w:rFonts w:ascii="Arial" w:hAnsi="Arial" w:cs="Arial"/>
          <w:sz w:val="20"/>
          <w:szCs w:val="20"/>
        </w:rPr>
        <w:t xml:space="preserve"> [ver</w:t>
      </w:r>
      <w:r w:rsidR="001460EB">
        <w:rPr>
          <w:rFonts w:ascii="Arial" w:hAnsi="Arial" w:cs="Arial"/>
          <w:sz w:val="20"/>
          <w:szCs w:val="20"/>
        </w:rPr>
        <w:t xml:space="preserve"> los</w:t>
      </w:r>
      <w:r w:rsidR="003763ED" w:rsidRPr="00AC4AEA">
        <w:rPr>
          <w:rFonts w:ascii="Arial" w:hAnsi="Arial" w:cs="Arial"/>
          <w:sz w:val="20"/>
          <w:szCs w:val="20"/>
        </w:rPr>
        <w:t xml:space="preserve"> 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763ED" w:rsidRPr="00AC4AEA">
        <w:rPr>
          <w:rFonts w:ascii="Arial" w:hAnsi="Arial" w:cs="Arial"/>
          <w:sz w:val="20"/>
          <w:szCs w:val="20"/>
        </w:rPr>
        <w:t xml:space="preserve"> a </w:t>
      </w:r>
      <w:fldSimple w:instr=" REF _Ref99459074 \r \h  \* MERGEFORMAT ">
        <w:r w:rsidR="00D33A5D" w:rsidRPr="00D33A5D">
          <w:rPr>
            <w:rFonts w:ascii="Arial" w:hAnsi="Arial" w:cs="Arial"/>
            <w:sz w:val="20"/>
            <w:szCs w:val="20"/>
          </w:rPr>
          <w:t>128</w:t>
        </w:r>
      </w:fldSimple>
      <w:r w:rsidR="003763ED" w:rsidRPr="00AC4AEA">
        <w:rPr>
          <w:rFonts w:ascii="Arial" w:hAnsi="Arial" w:cs="Arial"/>
          <w:sz w:val="20"/>
          <w:szCs w:val="20"/>
        </w:rPr>
        <w:t>]</w:t>
      </w:r>
      <w:r w:rsidR="002F555B" w:rsidRPr="00AC4AEA">
        <w:rPr>
          <w:rFonts w:ascii="Arial" w:hAnsi="Arial" w:cs="Arial"/>
          <w:sz w:val="20"/>
          <w:szCs w:val="20"/>
        </w:rPr>
        <w:t>.</w:t>
      </w:r>
    </w:p>
    <w:p w:rsidR="00371DFB" w:rsidRPr="00AC4AEA" w:rsidRDefault="009E6F0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003763ED" w:rsidRPr="00AC4AEA">
        <w:rPr>
          <w:rFonts w:ascii="Arial" w:hAnsi="Arial" w:cs="Arial"/>
          <w:sz w:val="20"/>
          <w:szCs w:val="20"/>
          <w:u w:val="single"/>
        </w:rPr>
        <w:t xml:space="preserve">Expresión de los </w:t>
      </w:r>
      <w:r w:rsidR="00135084" w:rsidRPr="00AC4AEA">
        <w:rPr>
          <w:rFonts w:ascii="Arial" w:hAnsi="Arial" w:cs="Arial"/>
          <w:sz w:val="20"/>
          <w:szCs w:val="20"/>
          <w:u w:val="single"/>
        </w:rPr>
        <w:t>estados contables</w:t>
      </w:r>
      <w:r w:rsidR="003763ED" w:rsidRPr="00AC4AEA">
        <w:rPr>
          <w:rFonts w:ascii="Arial" w:hAnsi="Arial" w:cs="Arial"/>
          <w:sz w:val="20"/>
          <w:szCs w:val="20"/>
          <w:u w:val="single"/>
        </w:rPr>
        <w:t xml:space="preserve"> en moneda </w:t>
      </w:r>
      <w:r w:rsidR="00F0601B">
        <w:rPr>
          <w:rFonts w:ascii="Arial" w:hAnsi="Arial" w:cs="Arial"/>
          <w:sz w:val="20"/>
          <w:szCs w:val="20"/>
          <w:u w:val="single"/>
        </w:rPr>
        <w:t>de cierre</w:t>
      </w:r>
      <w:r w:rsidR="003763ED" w:rsidRPr="00AC4AEA">
        <w:rPr>
          <w:rFonts w:ascii="Arial" w:hAnsi="Arial" w:cs="Arial"/>
          <w:sz w:val="20"/>
          <w:szCs w:val="20"/>
          <w:u w:val="single"/>
        </w:rPr>
        <w:t xml:space="preserve"> en un contexto de inflación (ajuste por inflación de los </w:t>
      </w:r>
      <w:r w:rsidR="00135084" w:rsidRPr="00AC4AEA">
        <w:rPr>
          <w:rFonts w:ascii="Arial" w:hAnsi="Arial" w:cs="Arial"/>
          <w:sz w:val="20"/>
          <w:szCs w:val="20"/>
          <w:u w:val="single"/>
        </w:rPr>
        <w:t>estados contables</w:t>
      </w:r>
      <w:r w:rsidR="003763ED" w:rsidRPr="00AC4AEA">
        <w:rPr>
          <w:rFonts w:ascii="Arial" w:hAnsi="Arial" w:cs="Arial"/>
          <w:sz w:val="20"/>
          <w:szCs w:val="20"/>
          <w:u w:val="single"/>
        </w:rPr>
        <w:t>)</w:t>
      </w:r>
      <w:r w:rsidRPr="00AC4AEA">
        <w:rPr>
          <w:rFonts w:ascii="Arial" w:hAnsi="Arial" w:cs="Arial"/>
          <w:sz w:val="20"/>
          <w:szCs w:val="20"/>
        </w:rPr>
        <w:t>”</w:t>
      </w:r>
      <w:r w:rsidR="003763ED" w:rsidRPr="00AC4AEA">
        <w:rPr>
          <w:rFonts w:ascii="Arial" w:hAnsi="Arial" w:cs="Arial"/>
          <w:sz w:val="20"/>
          <w:szCs w:val="20"/>
        </w:rPr>
        <w:t xml:space="preserve"> [ver</w:t>
      </w:r>
      <w:r w:rsidR="001460EB">
        <w:rPr>
          <w:rFonts w:ascii="Arial" w:hAnsi="Arial" w:cs="Arial"/>
          <w:sz w:val="20"/>
          <w:szCs w:val="20"/>
        </w:rPr>
        <w:t xml:space="preserve"> los </w:t>
      </w:r>
      <w:r w:rsidR="003763ED" w:rsidRPr="00AC4AEA">
        <w:rPr>
          <w:rFonts w:ascii="Arial" w:hAnsi="Arial" w:cs="Arial"/>
          <w:sz w:val="20"/>
          <w:szCs w:val="20"/>
        </w:rPr>
        <w:t xml:space="preserve">párrafos </w:t>
      </w:r>
      <w:fldSimple w:instr=" REF _Ref99459117 \r \h  \* MERGEFORMAT ">
        <w:r w:rsidR="00D33A5D" w:rsidRPr="00D33A5D">
          <w:rPr>
            <w:rFonts w:ascii="Arial" w:hAnsi="Arial" w:cs="Arial"/>
            <w:sz w:val="20"/>
            <w:szCs w:val="20"/>
          </w:rPr>
          <w:t>176</w:t>
        </w:r>
      </w:fldSimple>
      <w:r w:rsidR="003763ED"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00C145B2" w:rsidRPr="00AC4AEA">
        <w:rPr>
          <w:rFonts w:ascii="Arial" w:hAnsi="Arial" w:cs="Arial"/>
          <w:sz w:val="20"/>
          <w:szCs w:val="20"/>
        </w:rPr>
        <w:t>]</w:t>
      </w:r>
      <w:r w:rsidR="002F555B" w:rsidRPr="00AC4AEA">
        <w:rPr>
          <w:rFonts w:ascii="Arial" w:hAnsi="Arial" w:cs="Arial"/>
          <w:sz w:val="20"/>
          <w:szCs w:val="20"/>
        </w:rPr>
        <w:t>.</w:t>
      </w:r>
    </w:p>
    <w:p w:rsidR="00AE7883" w:rsidRPr="00AC4AEA" w:rsidRDefault="00AE7883" w:rsidP="00A318EA">
      <w:pPr>
        <w:pStyle w:val="Ttulo1"/>
        <w:rPr>
          <w:rFonts w:cs="Arial"/>
          <w:sz w:val="20"/>
          <w:szCs w:val="20"/>
        </w:rPr>
      </w:pPr>
      <w:bookmarkStart w:id="315" w:name="inversiones"/>
      <w:bookmarkStart w:id="316" w:name="_Toc101863801"/>
    </w:p>
    <w:p w:rsidR="0090400F" w:rsidRPr="00AC4AEA" w:rsidRDefault="00497590" w:rsidP="00A318EA">
      <w:pPr>
        <w:pStyle w:val="Ttulo1"/>
        <w:rPr>
          <w:rFonts w:cs="Arial"/>
          <w:sz w:val="20"/>
          <w:szCs w:val="20"/>
        </w:rPr>
      </w:pPr>
      <w:bookmarkStart w:id="317" w:name="_Toc139356666"/>
      <w:r w:rsidRPr="00AC4AEA">
        <w:rPr>
          <w:rFonts w:cs="Arial"/>
          <w:sz w:val="20"/>
          <w:szCs w:val="20"/>
        </w:rPr>
        <w:t>INVERSIONES FINANCIERAS</w:t>
      </w:r>
      <w:bookmarkEnd w:id="315"/>
      <w:bookmarkEnd w:id="316"/>
      <w:bookmarkEnd w:id="317"/>
      <w:r w:rsidRPr="00AC4AEA">
        <w:rPr>
          <w:rFonts w:cs="Arial"/>
          <w:sz w:val="20"/>
          <w:szCs w:val="20"/>
        </w:rPr>
        <w:t xml:space="preserve"> </w:t>
      </w:r>
    </w:p>
    <w:p w:rsidR="00DB7F4F" w:rsidRPr="00AC4AEA" w:rsidRDefault="00DB7F4F" w:rsidP="00A318EA">
      <w:pPr>
        <w:pStyle w:val="Ttulo2"/>
        <w:rPr>
          <w:rFonts w:cs="Arial"/>
        </w:rPr>
      </w:pPr>
      <w:bookmarkStart w:id="318" w:name="_Toc101863802"/>
      <w:bookmarkStart w:id="319" w:name="_Toc139356667"/>
      <w:r w:rsidRPr="00097A0D">
        <w:rPr>
          <w:rFonts w:cs="Arial"/>
        </w:rPr>
        <w:t>Definici</w:t>
      </w:r>
      <w:r w:rsidR="00DF47B8" w:rsidRPr="00097A0D">
        <w:rPr>
          <w:rFonts w:cs="Arial"/>
        </w:rPr>
        <w:t>ó</w:t>
      </w:r>
      <w:r w:rsidRPr="00097A0D">
        <w:rPr>
          <w:rFonts w:cs="Arial"/>
        </w:rPr>
        <w:t>n</w:t>
      </w:r>
      <w:bookmarkEnd w:id="318"/>
      <w:bookmarkEnd w:id="319"/>
    </w:p>
    <w:p w:rsidR="00F500BD" w:rsidRPr="00AC4AEA" w:rsidRDefault="00F500BD" w:rsidP="00A318EA">
      <w:pPr>
        <w:pStyle w:val="Prrafodelista"/>
        <w:numPr>
          <w:ilvl w:val="0"/>
          <w:numId w:val="29"/>
        </w:numPr>
        <w:contextualSpacing w:val="0"/>
        <w:jc w:val="both"/>
        <w:rPr>
          <w:rFonts w:ascii="Arial" w:hAnsi="Arial" w:cs="Arial"/>
          <w:sz w:val="20"/>
          <w:szCs w:val="20"/>
        </w:rPr>
      </w:pPr>
      <w:bookmarkStart w:id="320" w:name="_Ref74756832"/>
      <w:bookmarkStart w:id="321" w:name="_Ref132052900"/>
      <w:r w:rsidRPr="00AC4AEA">
        <w:rPr>
          <w:rFonts w:ascii="Arial" w:hAnsi="Arial" w:cs="Arial"/>
          <w:sz w:val="20"/>
          <w:szCs w:val="20"/>
        </w:rPr>
        <w:t xml:space="preserve">A los fines del tratamiento de los </w:t>
      </w:r>
      <w:r w:rsidR="00497590" w:rsidRPr="00AC4AEA">
        <w:rPr>
          <w:rFonts w:ascii="Arial" w:hAnsi="Arial" w:cs="Arial"/>
          <w:sz w:val="20"/>
          <w:szCs w:val="20"/>
        </w:rPr>
        <w:t>activos</w:t>
      </w:r>
      <w:r w:rsidRPr="00AC4AEA">
        <w:rPr>
          <w:rFonts w:ascii="Arial" w:hAnsi="Arial" w:cs="Arial"/>
          <w:sz w:val="20"/>
          <w:szCs w:val="20"/>
        </w:rPr>
        <w:t xml:space="preserve"> referidos en esta sección, una entidad deberá considerar </w:t>
      </w:r>
      <w:r w:rsidR="003E4070" w:rsidRPr="00AC4AEA">
        <w:rPr>
          <w:rFonts w:ascii="Arial" w:hAnsi="Arial" w:cs="Arial"/>
          <w:sz w:val="20"/>
          <w:szCs w:val="20"/>
        </w:rPr>
        <w:t xml:space="preserve">la </w:t>
      </w:r>
      <w:r w:rsidR="00C145B2" w:rsidRPr="00AC4AEA">
        <w:rPr>
          <w:rFonts w:ascii="Arial" w:hAnsi="Arial" w:cs="Arial"/>
          <w:sz w:val="20"/>
          <w:szCs w:val="20"/>
        </w:rPr>
        <w:t xml:space="preserve">definición </w:t>
      </w:r>
      <w:r w:rsidR="003E4070" w:rsidRPr="00AC4AEA">
        <w:rPr>
          <w:rFonts w:ascii="Arial" w:hAnsi="Arial" w:cs="Arial"/>
          <w:sz w:val="20"/>
          <w:szCs w:val="20"/>
        </w:rPr>
        <w:t>siguiente</w:t>
      </w:r>
      <w:bookmarkEnd w:id="320"/>
      <w:r w:rsidR="00C52578" w:rsidRPr="00AC4AEA">
        <w:rPr>
          <w:rFonts w:ascii="Arial" w:hAnsi="Arial" w:cs="Arial"/>
          <w:sz w:val="20"/>
          <w:szCs w:val="20"/>
        </w:rPr>
        <w:t>:</w:t>
      </w:r>
      <w:bookmarkEnd w:id="321"/>
    </w:p>
    <w:p w:rsidR="00B43E33" w:rsidRPr="00AC4AEA" w:rsidRDefault="00B43E33" w:rsidP="00A318EA">
      <w:pPr>
        <w:pStyle w:val="A-Normal11"/>
        <w:ind w:left="1416"/>
        <w:jc w:val="both"/>
        <w:rPr>
          <w:rFonts w:ascii="Arial" w:hAnsi="Arial" w:cs="Arial"/>
          <w:sz w:val="20"/>
        </w:rPr>
      </w:pPr>
      <w:r w:rsidRPr="00AC4AEA">
        <w:rPr>
          <w:rFonts w:ascii="Arial" w:hAnsi="Arial" w:cs="Arial"/>
          <w:sz w:val="20"/>
          <w:u w:val="single"/>
        </w:rPr>
        <w:lastRenderedPageBreak/>
        <w:t>Inversiones financieras</w:t>
      </w:r>
      <w:r w:rsidR="00F500BD" w:rsidRPr="00AC4AEA">
        <w:rPr>
          <w:rFonts w:ascii="Arial" w:hAnsi="Arial" w:cs="Arial"/>
          <w:b/>
          <w:bCs/>
          <w:sz w:val="20"/>
        </w:rPr>
        <w:t xml:space="preserve">: </w:t>
      </w:r>
      <w:r w:rsidR="00B35EAD" w:rsidRPr="00AC4AEA">
        <w:rPr>
          <w:rFonts w:ascii="Arial" w:hAnsi="Arial" w:cs="Arial"/>
          <w:sz w:val="20"/>
        </w:rPr>
        <w:t>Son colocaciones de efectivo</w:t>
      </w:r>
      <w:r w:rsidR="00FA37F0" w:rsidRPr="00AC4AEA">
        <w:rPr>
          <w:rFonts w:ascii="Arial" w:hAnsi="Arial" w:cs="Arial"/>
          <w:sz w:val="20"/>
        </w:rPr>
        <w:t xml:space="preserve"> en</w:t>
      </w:r>
      <w:r w:rsidR="00CD06F2" w:rsidRPr="00AC4AEA">
        <w:rPr>
          <w:rFonts w:ascii="Arial" w:hAnsi="Arial" w:cs="Arial"/>
          <w:sz w:val="20"/>
        </w:rPr>
        <w:t xml:space="preserve"> </w:t>
      </w:r>
      <w:r w:rsidR="00B6019E" w:rsidRPr="00AC4AEA">
        <w:rPr>
          <w:rFonts w:ascii="Arial" w:hAnsi="Arial" w:cs="Arial"/>
          <w:sz w:val="20"/>
        </w:rPr>
        <w:t>otro</w:t>
      </w:r>
      <w:r w:rsidR="00D711FA" w:rsidRPr="00AC4AEA">
        <w:rPr>
          <w:rFonts w:ascii="Arial" w:hAnsi="Arial" w:cs="Arial"/>
          <w:sz w:val="20"/>
        </w:rPr>
        <w:t xml:space="preserve"> </w:t>
      </w:r>
      <w:r w:rsidR="00FA37F0" w:rsidRPr="00AC4AEA">
        <w:rPr>
          <w:rFonts w:ascii="Arial" w:hAnsi="Arial" w:cs="Arial"/>
          <w:b/>
          <w:bCs/>
          <w:sz w:val="20"/>
        </w:rPr>
        <w:t>activo</w:t>
      </w:r>
      <w:r w:rsidR="00CD06F2" w:rsidRPr="00AC4AEA">
        <w:rPr>
          <w:rFonts w:ascii="Arial" w:hAnsi="Arial" w:cs="Arial"/>
          <w:b/>
          <w:bCs/>
          <w:sz w:val="20"/>
        </w:rPr>
        <w:t xml:space="preserve"> financiero</w:t>
      </w:r>
      <w:r w:rsidR="00B35EAD" w:rsidRPr="00AC4AEA">
        <w:rPr>
          <w:rFonts w:ascii="Arial" w:hAnsi="Arial" w:cs="Arial"/>
          <w:sz w:val="20"/>
        </w:rPr>
        <w:t xml:space="preserve"> realizadas </w:t>
      </w:r>
      <w:r w:rsidR="00095176" w:rsidRPr="00AC4AEA">
        <w:rPr>
          <w:rFonts w:ascii="Arial" w:hAnsi="Arial" w:cs="Arial"/>
          <w:sz w:val="20"/>
        </w:rPr>
        <w:t xml:space="preserve">o mantenidas </w:t>
      </w:r>
      <w:r w:rsidR="00B35EAD" w:rsidRPr="00AC4AEA">
        <w:rPr>
          <w:rFonts w:ascii="Arial" w:hAnsi="Arial" w:cs="Arial"/>
          <w:sz w:val="20"/>
        </w:rPr>
        <w:t xml:space="preserve">con el </w:t>
      </w:r>
      <w:r w:rsidR="00FA73C4" w:rsidRPr="00AC4AEA">
        <w:rPr>
          <w:rFonts w:ascii="Arial" w:hAnsi="Arial" w:cs="Arial"/>
          <w:sz w:val="20"/>
        </w:rPr>
        <w:t>objetivo</w:t>
      </w:r>
      <w:r w:rsidR="00B35EAD" w:rsidRPr="00AC4AEA">
        <w:rPr>
          <w:rFonts w:ascii="Arial" w:hAnsi="Arial" w:cs="Arial"/>
          <w:sz w:val="20"/>
        </w:rPr>
        <w:t xml:space="preserve"> de obtener renta, ganancias de capital u otros beneficios, explícitos o implícitos</w:t>
      </w:r>
      <w:r w:rsidR="00FA37F0" w:rsidRPr="00AC4AEA">
        <w:rPr>
          <w:rFonts w:ascii="Arial" w:hAnsi="Arial" w:cs="Arial"/>
          <w:sz w:val="20"/>
        </w:rPr>
        <w:t>.</w:t>
      </w:r>
    </w:p>
    <w:p w:rsidR="00C145B2" w:rsidRPr="00AC4AEA" w:rsidRDefault="00B35EAD" w:rsidP="00A318EA">
      <w:pPr>
        <w:pStyle w:val="A-Normal11"/>
        <w:ind w:left="1416"/>
        <w:jc w:val="both"/>
        <w:rPr>
          <w:rFonts w:ascii="Arial" w:hAnsi="Arial" w:cs="Arial"/>
          <w:sz w:val="20"/>
        </w:rPr>
      </w:pPr>
      <w:r w:rsidRPr="00AC4AEA">
        <w:rPr>
          <w:rFonts w:ascii="Arial" w:hAnsi="Arial" w:cs="Arial"/>
          <w:sz w:val="20"/>
        </w:rPr>
        <w:t>Este rubro</w:t>
      </w:r>
      <w:r w:rsidR="00C145B2" w:rsidRPr="00AC4AEA">
        <w:rPr>
          <w:rFonts w:ascii="Arial" w:hAnsi="Arial" w:cs="Arial"/>
          <w:sz w:val="20"/>
        </w:rPr>
        <w:t>:</w:t>
      </w:r>
      <w:r w:rsidRPr="00AC4AEA">
        <w:rPr>
          <w:rFonts w:ascii="Arial" w:hAnsi="Arial" w:cs="Arial"/>
          <w:sz w:val="20"/>
        </w:rPr>
        <w:t xml:space="preserve"> </w:t>
      </w:r>
    </w:p>
    <w:p w:rsidR="00B35EAD" w:rsidRPr="00AC4AEA" w:rsidRDefault="00B35EAD" w:rsidP="00A318EA">
      <w:pPr>
        <w:pStyle w:val="A-Normal11"/>
        <w:numPr>
          <w:ilvl w:val="0"/>
          <w:numId w:val="17"/>
        </w:numPr>
        <w:ind w:left="1983" w:hanging="567"/>
        <w:jc w:val="both"/>
        <w:rPr>
          <w:rFonts w:ascii="Arial" w:hAnsi="Arial" w:cs="Arial"/>
          <w:sz w:val="20"/>
        </w:rPr>
      </w:pPr>
      <w:r w:rsidRPr="00AC4AEA">
        <w:rPr>
          <w:rFonts w:ascii="Arial" w:hAnsi="Arial" w:cs="Arial"/>
          <w:sz w:val="20"/>
        </w:rPr>
        <w:t>incluye</w:t>
      </w:r>
      <w:r w:rsidR="00FA37F0" w:rsidRPr="00AC4AEA">
        <w:rPr>
          <w:rFonts w:ascii="Arial" w:hAnsi="Arial" w:cs="Arial"/>
          <w:sz w:val="20"/>
        </w:rPr>
        <w:t>, entre otros</w:t>
      </w:r>
      <w:r w:rsidR="00D922B8" w:rsidRPr="00AC4AEA">
        <w:rPr>
          <w:rFonts w:ascii="Arial" w:hAnsi="Arial" w:cs="Arial"/>
          <w:sz w:val="20"/>
        </w:rPr>
        <w:t>:</w:t>
      </w:r>
    </w:p>
    <w:p w:rsidR="00B35EAD" w:rsidRPr="00AC4AEA" w:rsidRDefault="004246ED" w:rsidP="00A318EA">
      <w:pPr>
        <w:pStyle w:val="Prrafodelista"/>
        <w:numPr>
          <w:ilvl w:val="2"/>
          <w:numId w:val="29"/>
        </w:numPr>
        <w:ind w:left="2181"/>
        <w:contextualSpacing w:val="0"/>
        <w:jc w:val="both"/>
        <w:rPr>
          <w:rFonts w:ascii="Arial" w:hAnsi="Arial" w:cs="Arial"/>
          <w:sz w:val="20"/>
          <w:szCs w:val="20"/>
        </w:rPr>
      </w:pPr>
      <w:r w:rsidRPr="00AC4AEA">
        <w:rPr>
          <w:rFonts w:ascii="Arial" w:hAnsi="Arial" w:cs="Arial"/>
          <w:sz w:val="20"/>
          <w:szCs w:val="20"/>
        </w:rPr>
        <w:t>d</w:t>
      </w:r>
      <w:r w:rsidR="00601388" w:rsidRPr="00AC4AEA">
        <w:rPr>
          <w:rFonts w:ascii="Arial" w:hAnsi="Arial" w:cs="Arial"/>
          <w:sz w:val="20"/>
          <w:szCs w:val="20"/>
        </w:rPr>
        <w:t>epósitos a p</w:t>
      </w:r>
      <w:r w:rsidR="00B35EAD" w:rsidRPr="00AC4AEA">
        <w:rPr>
          <w:rFonts w:ascii="Arial" w:hAnsi="Arial" w:cs="Arial"/>
          <w:sz w:val="20"/>
          <w:szCs w:val="20"/>
        </w:rPr>
        <w:t xml:space="preserve">lazo fijo </w:t>
      </w:r>
      <w:r w:rsidR="00EF0FD3" w:rsidRPr="00AC4AEA">
        <w:rPr>
          <w:rFonts w:ascii="Arial" w:hAnsi="Arial" w:cs="Arial"/>
          <w:sz w:val="20"/>
          <w:szCs w:val="20"/>
        </w:rPr>
        <w:t xml:space="preserve">y colocaciones </w:t>
      </w:r>
      <w:r w:rsidR="00B35EAD" w:rsidRPr="00AC4AEA">
        <w:rPr>
          <w:rFonts w:ascii="Arial" w:hAnsi="Arial" w:cs="Arial"/>
          <w:sz w:val="20"/>
          <w:szCs w:val="20"/>
        </w:rPr>
        <w:t>similares</w:t>
      </w:r>
      <w:r w:rsidR="00DC2269" w:rsidRPr="00AC4AEA">
        <w:rPr>
          <w:rFonts w:ascii="Arial" w:hAnsi="Arial" w:cs="Arial"/>
          <w:sz w:val="20"/>
          <w:szCs w:val="20"/>
        </w:rPr>
        <w:t>;</w:t>
      </w:r>
    </w:p>
    <w:p w:rsidR="00B35EAD" w:rsidRPr="00AC4AEA" w:rsidRDefault="004246ED" w:rsidP="00A318EA">
      <w:pPr>
        <w:pStyle w:val="Prrafodelista"/>
        <w:numPr>
          <w:ilvl w:val="2"/>
          <w:numId w:val="29"/>
        </w:numPr>
        <w:ind w:left="2181"/>
        <w:contextualSpacing w:val="0"/>
        <w:jc w:val="both"/>
        <w:rPr>
          <w:rFonts w:ascii="Arial" w:hAnsi="Arial" w:cs="Arial"/>
          <w:sz w:val="20"/>
          <w:szCs w:val="20"/>
        </w:rPr>
      </w:pPr>
      <w:r w:rsidRPr="00AC4AEA">
        <w:rPr>
          <w:rFonts w:ascii="Arial" w:hAnsi="Arial" w:cs="Arial"/>
          <w:sz w:val="20"/>
          <w:szCs w:val="20"/>
        </w:rPr>
        <w:t>t</w:t>
      </w:r>
      <w:r w:rsidR="00B35EAD" w:rsidRPr="00AC4AEA">
        <w:rPr>
          <w:rFonts w:ascii="Arial" w:hAnsi="Arial" w:cs="Arial"/>
          <w:sz w:val="20"/>
          <w:szCs w:val="20"/>
        </w:rPr>
        <w:t>ítulos de deuda emitidos por otras entidades</w:t>
      </w:r>
      <w:r w:rsidR="00FA37F0" w:rsidRPr="00AC4AEA">
        <w:rPr>
          <w:rFonts w:ascii="Arial" w:hAnsi="Arial" w:cs="Arial"/>
          <w:sz w:val="20"/>
          <w:szCs w:val="20"/>
        </w:rPr>
        <w:t xml:space="preserve"> (públicas o privadas)</w:t>
      </w:r>
      <w:r w:rsidR="00DC2269" w:rsidRPr="00AC4AEA">
        <w:rPr>
          <w:rFonts w:ascii="Arial" w:hAnsi="Arial" w:cs="Arial"/>
          <w:sz w:val="20"/>
          <w:szCs w:val="20"/>
        </w:rPr>
        <w:t>;</w:t>
      </w:r>
    </w:p>
    <w:p w:rsidR="00B35EAD" w:rsidRPr="00AC4AEA" w:rsidRDefault="004246ED" w:rsidP="00A318EA">
      <w:pPr>
        <w:pStyle w:val="Prrafodelista"/>
        <w:numPr>
          <w:ilvl w:val="2"/>
          <w:numId w:val="29"/>
        </w:numPr>
        <w:ind w:left="2181"/>
        <w:contextualSpacing w:val="0"/>
        <w:jc w:val="both"/>
        <w:rPr>
          <w:rFonts w:ascii="Arial" w:hAnsi="Arial" w:cs="Arial"/>
          <w:sz w:val="20"/>
          <w:szCs w:val="20"/>
        </w:rPr>
      </w:pPr>
      <w:r w:rsidRPr="00AC4AEA">
        <w:rPr>
          <w:rFonts w:ascii="Arial" w:hAnsi="Arial" w:cs="Arial"/>
          <w:sz w:val="20"/>
          <w:szCs w:val="20"/>
        </w:rPr>
        <w:t>a</w:t>
      </w:r>
      <w:r w:rsidR="00B35EAD" w:rsidRPr="00AC4AEA">
        <w:rPr>
          <w:rFonts w:ascii="Arial" w:hAnsi="Arial" w:cs="Arial"/>
          <w:sz w:val="20"/>
          <w:szCs w:val="20"/>
        </w:rPr>
        <w:t>cciones y otros instrumentos de patrimonio emitidos por entidades sobre las que no se ejerce control, control conjunto ni influencia significativa</w:t>
      </w:r>
      <w:r w:rsidR="00DC2269" w:rsidRPr="00AC4AEA">
        <w:rPr>
          <w:rFonts w:ascii="Arial" w:hAnsi="Arial" w:cs="Arial"/>
          <w:sz w:val="20"/>
          <w:szCs w:val="20"/>
        </w:rPr>
        <w:t>;</w:t>
      </w:r>
    </w:p>
    <w:p w:rsidR="001410C7" w:rsidRPr="00AC4AEA" w:rsidRDefault="0052091A" w:rsidP="00A318EA">
      <w:pPr>
        <w:pStyle w:val="Prrafodelista"/>
        <w:numPr>
          <w:ilvl w:val="2"/>
          <w:numId w:val="29"/>
        </w:numPr>
        <w:ind w:left="2181"/>
        <w:contextualSpacing w:val="0"/>
        <w:jc w:val="both"/>
        <w:rPr>
          <w:rFonts w:ascii="Arial" w:hAnsi="Arial" w:cs="Arial"/>
          <w:sz w:val="20"/>
          <w:szCs w:val="20"/>
        </w:rPr>
      </w:pPr>
      <w:r w:rsidRPr="00AC4AEA">
        <w:rPr>
          <w:rFonts w:ascii="Arial" w:hAnsi="Arial" w:cs="Arial"/>
          <w:sz w:val="20"/>
          <w:szCs w:val="20"/>
        </w:rPr>
        <w:t>derechos a recibir</w:t>
      </w:r>
      <w:r w:rsidR="001410C7" w:rsidRPr="00AC4AEA">
        <w:rPr>
          <w:rFonts w:ascii="Arial" w:hAnsi="Arial" w:cs="Arial"/>
          <w:sz w:val="20"/>
          <w:szCs w:val="20"/>
        </w:rPr>
        <w:t xml:space="preserve"> </w:t>
      </w:r>
      <w:r w:rsidR="00032F0F" w:rsidRPr="00AC4AEA">
        <w:rPr>
          <w:rFonts w:ascii="Arial" w:hAnsi="Arial" w:cs="Arial"/>
          <w:sz w:val="20"/>
          <w:szCs w:val="20"/>
        </w:rPr>
        <w:t xml:space="preserve">cualquier </w:t>
      </w:r>
      <w:r w:rsidR="001410C7" w:rsidRPr="00AC4AEA">
        <w:rPr>
          <w:rFonts w:ascii="Arial" w:hAnsi="Arial" w:cs="Arial"/>
          <w:b/>
          <w:bCs/>
          <w:sz w:val="20"/>
          <w:szCs w:val="20"/>
        </w:rPr>
        <w:t>activo financiero</w:t>
      </w:r>
      <w:r w:rsidR="001410C7" w:rsidRPr="00AC4AEA">
        <w:rPr>
          <w:rFonts w:ascii="Arial" w:hAnsi="Arial" w:cs="Arial"/>
          <w:sz w:val="20"/>
          <w:szCs w:val="20"/>
        </w:rPr>
        <w:t xml:space="preserve"> distinto del efectivo, </w:t>
      </w:r>
      <w:r w:rsidR="007B7E5B" w:rsidRPr="00AC4AEA">
        <w:rPr>
          <w:rFonts w:ascii="Arial" w:hAnsi="Arial" w:cs="Arial"/>
          <w:sz w:val="20"/>
          <w:szCs w:val="20"/>
        </w:rPr>
        <w:t xml:space="preserve">de los </w:t>
      </w:r>
      <w:r w:rsidR="001410C7" w:rsidRPr="00AC4AEA">
        <w:rPr>
          <w:rFonts w:ascii="Arial" w:hAnsi="Arial" w:cs="Arial"/>
          <w:sz w:val="20"/>
          <w:szCs w:val="20"/>
        </w:rPr>
        <w:t>equivalentes de efectivo y de</w:t>
      </w:r>
      <w:r w:rsidR="007B7E5B" w:rsidRPr="00AC4AEA">
        <w:rPr>
          <w:rFonts w:ascii="Arial" w:hAnsi="Arial" w:cs="Arial"/>
          <w:sz w:val="20"/>
          <w:szCs w:val="20"/>
        </w:rPr>
        <w:t xml:space="preserve"> los</w:t>
      </w:r>
      <w:r w:rsidR="001410C7" w:rsidRPr="00AC4AEA">
        <w:rPr>
          <w:rFonts w:ascii="Arial" w:hAnsi="Arial" w:cs="Arial"/>
          <w:sz w:val="20"/>
          <w:szCs w:val="20"/>
        </w:rPr>
        <w:t xml:space="preserve"> créditos en moneda.</w:t>
      </w:r>
    </w:p>
    <w:p w:rsidR="00654D39" w:rsidRPr="00AC4AEA" w:rsidRDefault="00D73664" w:rsidP="00A318EA">
      <w:pPr>
        <w:pStyle w:val="A-Normal11"/>
        <w:numPr>
          <w:ilvl w:val="0"/>
          <w:numId w:val="17"/>
        </w:numPr>
        <w:ind w:left="1983" w:hanging="567"/>
        <w:jc w:val="both"/>
        <w:rPr>
          <w:rFonts w:ascii="Arial" w:hAnsi="Arial" w:cs="Arial"/>
          <w:sz w:val="20"/>
        </w:rPr>
      </w:pPr>
      <w:r w:rsidRPr="00AC4AEA">
        <w:rPr>
          <w:rFonts w:ascii="Arial" w:hAnsi="Arial" w:cs="Arial"/>
          <w:sz w:val="20"/>
        </w:rPr>
        <w:t>excluye</w:t>
      </w:r>
      <w:r w:rsidR="00654D39" w:rsidRPr="00AC4AEA">
        <w:rPr>
          <w:rFonts w:ascii="Arial" w:hAnsi="Arial" w:cs="Arial"/>
          <w:sz w:val="20"/>
        </w:rPr>
        <w:t>:</w:t>
      </w:r>
    </w:p>
    <w:p w:rsidR="002A7827" w:rsidRPr="00AC4AEA" w:rsidRDefault="002A7827" w:rsidP="00C01B25">
      <w:pPr>
        <w:pStyle w:val="Prrafodelista"/>
        <w:numPr>
          <w:ilvl w:val="0"/>
          <w:numId w:val="462"/>
        </w:numPr>
        <w:ind w:left="2268"/>
        <w:contextualSpacing w:val="0"/>
        <w:jc w:val="both"/>
        <w:rPr>
          <w:rFonts w:ascii="Arial" w:hAnsi="Arial" w:cs="Arial"/>
          <w:sz w:val="20"/>
          <w:szCs w:val="20"/>
        </w:rPr>
      </w:pPr>
      <w:r w:rsidRPr="00AC4AEA">
        <w:rPr>
          <w:rFonts w:ascii="Arial" w:hAnsi="Arial" w:cs="Arial"/>
          <w:sz w:val="20"/>
          <w:szCs w:val="20"/>
        </w:rPr>
        <w:t xml:space="preserve"> </w:t>
      </w:r>
      <w:r w:rsidR="00654D39" w:rsidRPr="00AC4AEA">
        <w:rPr>
          <w:rFonts w:ascii="Arial" w:hAnsi="Arial" w:cs="Arial"/>
          <w:sz w:val="20"/>
          <w:szCs w:val="20"/>
        </w:rPr>
        <w:t>A</w:t>
      </w:r>
      <w:r w:rsidR="00497590" w:rsidRPr="00AC4AEA">
        <w:rPr>
          <w:rFonts w:ascii="Arial" w:hAnsi="Arial" w:cs="Arial"/>
          <w:sz w:val="20"/>
          <w:szCs w:val="20"/>
        </w:rPr>
        <w:t>ctivos</w:t>
      </w:r>
      <w:r w:rsidRPr="00AC4AEA">
        <w:rPr>
          <w:rFonts w:ascii="Arial" w:hAnsi="Arial" w:cs="Arial"/>
          <w:sz w:val="20"/>
          <w:szCs w:val="20"/>
        </w:rPr>
        <w:t xml:space="preserve"> que no dan lugar, </w:t>
      </w:r>
      <w:r w:rsidR="005064D5" w:rsidRPr="00AC4AEA">
        <w:rPr>
          <w:rFonts w:ascii="Arial" w:hAnsi="Arial" w:cs="Arial"/>
          <w:sz w:val="20"/>
          <w:szCs w:val="20"/>
        </w:rPr>
        <w:t>de</w:t>
      </w:r>
      <w:r w:rsidRPr="00AC4AEA">
        <w:rPr>
          <w:rFonts w:ascii="Arial" w:hAnsi="Arial" w:cs="Arial"/>
          <w:sz w:val="20"/>
          <w:szCs w:val="20"/>
        </w:rPr>
        <w:t xml:space="preserve"> forma simultánea, a la asunción de un </w:t>
      </w:r>
      <w:r w:rsidRPr="00AC4AEA">
        <w:rPr>
          <w:rFonts w:ascii="Arial" w:hAnsi="Arial" w:cs="Arial"/>
          <w:b/>
          <w:bCs/>
          <w:sz w:val="20"/>
          <w:szCs w:val="20"/>
        </w:rPr>
        <w:t>pasivo financiero</w:t>
      </w:r>
      <w:r w:rsidRPr="00AC4AEA">
        <w:rPr>
          <w:rFonts w:ascii="Arial" w:hAnsi="Arial" w:cs="Arial"/>
          <w:sz w:val="20"/>
          <w:szCs w:val="20"/>
        </w:rPr>
        <w:t xml:space="preserve"> </w:t>
      </w:r>
      <w:r w:rsidR="00D711FA" w:rsidRPr="00AC4AEA">
        <w:rPr>
          <w:rFonts w:ascii="Arial" w:hAnsi="Arial" w:cs="Arial"/>
          <w:sz w:val="20"/>
          <w:szCs w:val="20"/>
        </w:rPr>
        <w:t xml:space="preserve">o la emisión de un instrumento de patrimonio por parte de otra entidad </w:t>
      </w:r>
      <w:r w:rsidRPr="00AC4AEA">
        <w:rPr>
          <w:rFonts w:ascii="Arial" w:hAnsi="Arial" w:cs="Arial"/>
          <w:sz w:val="20"/>
          <w:szCs w:val="20"/>
        </w:rPr>
        <w:t>(por ejemplo, tenencias de oro).</w:t>
      </w:r>
    </w:p>
    <w:p w:rsidR="00654D39" w:rsidRPr="00AC4AEA" w:rsidRDefault="00654D39" w:rsidP="00C01B25">
      <w:pPr>
        <w:pStyle w:val="Prrafodelista"/>
        <w:numPr>
          <w:ilvl w:val="0"/>
          <w:numId w:val="462"/>
        </w:numPr>
        <w:ind w:left="2268"/>
        <w:contextualSpacing w:val="0"/>
        <w:jc w:val="both"/>
        <w:rPr>
          <w:rFonts w:ascii="Arial" w:hAnsi="Arial" w:cs="Arial"/>
          <w:sz w:val="20"/>
          <w:szCs w:val="20"/>
        </w:rPr>
      </w:pPr>
      <w:r w:rsidRPr="00AC4AEA">
        <w:rPr>
          <w:rFonts w:ascii="Arial" w:hAnsi="Arial" w:cs="Arial"/>
          <w:sz w:val="20"/>
          <w:szCs w:val="20"/>
        </w:rPr>
        <w:t>Activos que cumpl</w:t>
      </w:r>
      <w:r w:rsidR="004B650E" w:rsidRPr="00AC4AEA">
        <w:rPr>
          <w:rFonts w:ascii="Arial" w:hAnsi="Arial" w:cs="Arial"/>
          <w:sz w:val="20"/>
          <w:szCs w:val="20"/>
        </w:rPr>
        <w:t>a</w:t>
      </w:r>
      <w:r w:rsidRPr="00AC4AEA">
        <w:rPr>
          <w:rFonts w:ascii="Arial" w:hAnsi="Arial" w:cs="Arial"/>
          <w:sz w:val="20"/>
          <w:szCs w:val="20"/>
        </w:rPr>
        <w:t>n la defin</w:t>
      </w:r>
      <w:r w:rsidR="009B4EFF" w:rsidRPr="00AC4AEA">
        <w:rPr>
          <w:rFonts w:ascii="Arial" w:hAnsi="Arial" w:cs="Arial"/>
          <w:sz w:val="20"/>
          <w:szCs w:val="20"/>
        </w:rPr>
        <w:t>i</w:t>
      </w:r>
      <w:r w:rsidRPr="00AC4AEA">
        <w:rPr>
          <w:rFonts w:ascii="Arial" w:hAnsi="Arial" w:cs="Arial"/>
          <w:sz w:val="20"/>
          <w:szCs w:val="20"/>
        </w:rPr>
        <w:t xml:space="preserve">ción de “activos del plan”, </w:t>
      </w:r>
      <w:r w:rsidR="00A7682D" w:rsidRPr="00AC4AEA">
        <w:rPr>
          <w:rFonts w:ascii="Arial" w:hAnsi="Arial" w:cs="Arial"/>
          <w:sz w:val="20"/>
          <w:szCs w:val="20"/>
        </w:rPr>
        <w:t>de acuerdo con la sección</w:t>
      </w:r>
      <w:r w:rsidRPr="00AC4AEA">
        <w:rPr>
          <w:rFonts w:ascii="Arial" w:hAnsi="Arial" w:cs="Arial"/>
          <w:sz w:val="20"/>
          <w:szCs w:val="20"/>
        </w:rPr>
        <w:t xml:space="preserve"> </w:t>
      </w:r>
      <w:r w:rsidRPr="00AC4AEA">
        <w:rPr>
          <w:rFonts w:ascii="Arial" w:eastAsia="Times New Roman" w:hAnsi="Arial" w:cs="Arial"/>
          <w:sz w:val="20"/>
          <w:szCs w:val="20"/>
          <w:lang w:eastAsia="es-ES"/>
        </w:rPr>
        <w:t>“</w:t>
      </w:r>
      <w:r w:rsidRPr="00AC4AEA">
        <w:rPr>
          <w:rFonts w:ascii="Arial" w:eastAsia="Times New Roman" w:hAnsi="Arial" w:cs="Arial"/>
          <w:sz w:val="20"/>
          <w:szCs w:val="20"/>
          <w:u w:val="single"/>
          <w:lang w:eastAsia="es-ES"/>
        </w:rPr>
        <w:t xml:space="preserve">Beneficios a los empleados posteriores a la terminación de la relación laboral y otros beneficios </w:t>
      </w:r>
      <w:r w:rsidR="0052091A" w:rsidRPr="00AC4AEA">
        <w:rPr>
          <w:rFonts w:ascii="Arial" w:eastAsia="Times New Roman" w:hAnsi="Arial" w:cs="Arial"/>
          <w:sz w:val="20"/>
          <w:szCs w:val="20"/>
          <w:u w:val="single"/>
          <w:lang w:eastAsia="es-ES"/>
        </w:rPr>
        <w:t xml:space="preserve">a </w:t>
      </w:r>
      <w:r w:rsidRPr="00AC4AEA">
        <w:rPr>
          <w:rFonts w:ascii="Arial" w:eastAsia="Times New Roman" w:hAnsi="Arial" w:cs="Arial"/>
          <w:sz w:val="20"/>
          <w:szCs w:val="20"/>
          <w:u w:val="single"/>
          <w:lang w:eastAsia="es-ES"/>
        </w:rPr>
        <w:t>largo plazo</w:t>
      </w:r>
      <w:r w:rsidRPr="00AC4AEA">
        <w:rPr>
          <w:rFonts w:ascii="Arial" w:eastAsia="Times New Roman" w:hAnsi="Arial" w:cs="Arial"/>
          <w:sz w:val="20"/>
          <w:szCs w:val="20"/>
          <w:lang w:eastAsia="es-ES"/>
        </w:rPr>
        <w:t>” [</w:t>
      </w:r>
      <w:r w:rsidR="005E57F6" w:rsidRPr="00AC4AEA">
        <w:rPr>
          <w:rFonts w:ascii="Arial" w:eastAsia="Times New Roman" w:hAnsi="Arial" w:cs="Arial"/>
          <w:sz w:val="20"/>
          <w:szCs w:val="20"/>
          <w:lang w:eastAsia="es-ES"/>
        </w:rPr>
        <w:t>v</w:t>
      </w:r>
      <w:r w:rsidRPr="00AC4AEA">
        <w:rPr>
          <w:rFonts w:ascii="Arial" w:eastAsia="Times New Roman" w:hAnsi="Arial" w:cs="Arial"/>
          <w:sz w:val="20"/>
          <w:szCs w:val="20"/>
          <w:lang w:eastAsia="es-ES"/>
        </w:rPr>
        <w:t xml:space="preserve">er </w:t>
      </w:r>
      <w:r w:rsidR="005E57F6" w:rsidRPr="00AC4AEA">
        <w:rPr>
          <w:rFonts w:ascii="Arial" w:eastAsia="Times New Roman" w:hAnsi="Arial" w:cs="Arial"/>
          <w:sz w:val="20"/>
          <w:szCs w:val="20"/>
          <w:lang w:eastAsia="es-ES"/>
        </w:rPr>
        <w:t xml:space="preserve">los </w:t>
      </w:r>
      <w:r w:rsidRPr="00AC4AEA">
        <w:rPr>
          <w:rFonts w:ascii="Arial" w:eastAsia="Times New Roman" w:hAnsi="Arial" w:cs="Arial"/>
          <w:sz w:val="20"/>
          <w:szCs w:val="20"/>
          <w:lang w:eastAsia="es-ES"/>
        </w:rPr>
        <w:t>párrafos</w:t>
      </w:r>
      <w:r w:rsidR="00677CFA" w:rsidRPr="00AC4AEA">
        <w:rPr>
          <w:rFonts w:ascii="Arial" w:eastAsia="Times New Roman" w:hAnsi="Arial" w:cs="Arial"/>
          <w:sz w:val="20"/>
          <w:szCs w:val="20"/>
          <w:lang w:eastAsia="es-ES"/>
        </w:rPr>
        <w:t xml:space="preserve"> </w:t>
      </w:r>
      <w:fldSimple w:instr=" REF _Ref132036558 \r \h  \* MERGEFORMAT ">
        <w:r w:rsidR="00D33A5D" w:rsidRPr="00D33A5D">
          <w:rPr>
            <w:rFonts w:ascii="Arial" w:eastAsia="Times New Roman" w:hAnsi="Arial" w:cs="Arial"/>
            <w:sz w:val="20"/>
            <w:szCs w:val="20"/>
            <w:lang w:eastAsia="es-ES"/>
          </w:rPr>
          <w:t>872</w:t>
        </w:r>
      </w:fldSimple>
      <w:r w:rsidR="004B650E" w:rsidRPr="00AC4AEA">
        <w:rPr>
          <w:rFonts w:ascii="Arial" w:eastAsia="Times New Roman" w:hAnsi="Arial" w:cs="Arial"/>
          <w:sz w:val="20"/>
          <w:szCs w:val="20"/>
          <w:lang w:eastAsia="es-ES"/>
        </w:rPr>
        <w:t xml:space="preserve"> al </w:t>
      </w:r>
      <w:fldSimple w:instr=" REF _Ref135045493 \r \h  \* MERGEFORMAT ">
        <w:r w:rsidR="00D33A5D" w:rsidRPr="00D33A5D">
          <w:rPr>
            <w:rFonts w:ascii="Arial" w:hAnsi="Arial" w:cs="Arial"/>
            <w:sz w:val="20"/>
            <w:szCs w:val="20"/>
          </w:rPr>
          <w:t>956</w:t>
        </w:r>
      </w:fldSimple>
      <w:r w:rsidRPr="00AC4AEA">
        <w:rPr>
          <w:rFonts w:ascii="Arial" w:eastAsia="Times New Roman" w:hAnsi="Arial" w:cs="Arial"/>
          <w:sz w:val="20"/>
          <w:szCs w:val="20"/>
          <w:lang w:eastAsia="es-ES"/>
        </w:rPr>
        <w:t>]</w:t>
      </w:r>
      <w:r w:rsidR="005E57F6" w:rsidRPr="00AC4AEA">
        <w:rPr>
          <w:rFonts w:ascii="Arial" w:hAnsi="Arial" w:cs="Arial"/>
          <w:sz w:val="20"/>
          <w:szCs w:val="20"/>
        </w:rPr>
        <w:t>.</w:t>
      </w:r>
    </w:p>
    <w:p w:rsidR="009B4EFF" w:rsidRPr="00AC4AEA" w:rsidRDefault="009B4EFF" w:rsidP="00C01B25">
      <w:pPr>
        <w:pStyle w:val="Prrafodelista"/>
        <w:numPr>
          <w:ilvl w:val="0"/>
          <w:numId w:val="462"/>
        </w:numPr>
        <w:ind w:left="2268"/>
        <w:contextualSpacing w:val="0"/>
        <w:jc w:val="both"/>
        <w:rPr>
          <w:rFonts w:ascii="Arial" w:hAnsi="Arial" w:cs="Arial"/>
          <w:sz w:val="20"/>
          <w:szCs w:val="20"/>
        </w:rPr>
      </w:pPr>
      <w:r w:rsidRPr="00AC4AEA">
        <w:rPr>
          <w:rFonts w:ascii="Arial" w:hAnsi="Arial" w:cs="Arial"/>
          <w:sz w:val="20"/>
          <w:szCs w:val="20"/>
        </w:rPr>
        <w:t xml:space="preserve">Activos que </w:t>
      </w:r>
      <w:r w:rsidR="0057362D" w:rsidRPr="00AC4AEA">
        <w:rPr>
          <w:rFonts w:ascii="Arial" w:hAnsi="Arial" w:cs="Arial"/>
          <w:sz w:val="20"/>
          <w:szCs w:val="20"/>
        </w:rPr>
        <w:t>se contabilicen</w:t>
      </w:r>
      <w:r w:rsidRPr="00AC4AEA">
        <w:rPr>
          <w:rFonts w:ascii="Arial" w:hAnsi="Arial" w:cs="Arial"/>
          <w:sz w:val="20"/>
          <w:szCs w:val="20"/>
        </w:rPr>
        <w:t xml:space="preserve"> </w:t>
      </w:r>
      <w:r w:rsidR="002C2589" w:rsidRPr="00AC4AEA">
        <w:rPr>
          <w:rFonts w:ascii="Arial" w:hAnsi="Arial" w:cs="Arial"/>
          <w:sz w:val="20"/>
          <w:szCs w:val="20"/>
        </w:rPr>
        <w:t>aplicando</w:t>
      </w:r>
      <w:r w:rsidRPr="00AC4AEA">
        <w:rPr>
          <w:rFonts w:ascii="Arial" w:hAnsi="Arial" w:cs="Arial"/>
          <w:sz w:val="20"/>
          <w:szCs w:val="20"/>
        </w:rPr>
        <w:t xml:space="preserve"> la sección </w:t>
      </w:r>
      <w:r w:rsidRPr="00AC4AEA">
        <w:rPr>
          <w:rFonts w:ascii="Arial" w:eastAsia="Times New Roman" w:hAnsi="Arial" w:cs="Arial"/>
          <w:sz w:val="20"/>
          <w:szCs w:val="20"/>
          <w:u w:val="single"/>
          <w:lang w:eastAsia="es-ES"/>
        </w:rPr>
        <w:t>“</w:t>
      </w:r>
      <w:r w:rsidR="00D55F1A" w:rsidRPr="00AC4AEA">
        <w:rPr>
          <w:rFonts w:ascii="Arial" w:eastAsia="Times New Roman" w:hAnsi="Arial" w:cs="Arial"/>
          <w:sz w:val="20"/>
          <w:szCs w:val="20"/>
          <w:u w:val="single"/>
          <w:lang w:eastAsia="es-ES"/>
        </w:rPr>
        <w:t>Instrumentos derivados y operaciones de cobertura</w:t>
      </w:r>
      <w:r w:rsidRPr="00AC4AEA">
        <w:rPr>
          <w:rFonts w:ascii="Arial" w:eastAsia="Times New Roman" w:hAnsi="Arial" w:cs="Arial"/>
          <w:sz w:val="20"/>
          <w:szCs w:val="20"/>
          <w:lang w:eastAsia="es-ES"/>
        </w:rPr>
        <w:t>” [ver los párrafos</w:t>
      </w:r>
      <w:r w:rsidR="00D55F1A" w:rsidRPr="00AC4AEA">
        <w:rPr>
          <w:rFonts w:ascii="Arial" w:eastAsia="Times New Roman" w:hAnsi="Arial" w:cs="Arial"/>
          <w:sz w:val="20"/>
          <w:szCs w:val="20"/>
          <w:lang w:eastAsia="es-ES"/>
        </w:rPr>
        <w:t xml:space="preserve"> </w:t>
      </w:r>
      <w:fldSimple w:instr=" REF _Ref132036276 \r \h  \* MERGEFORMAT ">
        <w:r w:rsidR="00D33A5D" w:rsidRPr="00D33A5D">
          <w:rPr>
            <w:rFonts w:ascii="Arial" w:eastAsia="Times New Roman" w:hAnsi="Arial" w:cs="Arial"/>
            <w:sz w:val="20"/>
            <w:szCs w:val="20"/>
            <w:lang w:eastAsia="es-ES"/>
          </w:rPr>
          <w:t>990</w:t>
        </w:r>
      </w:fldSimple>
      <w:r w:rsidR="004B650E" w:rsidRPr="00AC4AEA">
        <w:rPr>
          <w:rFonts w:ascii="Arial" w:eastAsia="Times New Roman" w:hAnsi="Arial" w:cs="Arial"/>
          <w:sz w:val="20"/>
          <w:szCs w:val="20"/>
          <w:lang w:eastAsia="es-ES"/>
        </w:rPr>
        <w:t xml:space="preserve"> </w:t>
      </w:r>
      <w:r w:rsidR="00D55F1A" w:rsidRPr="00AC4AEA">
        <w:rPr>
          <w:rFonts w:ascii="Arial" w:eastAsia="Times New Roman" w:hAnsi="Arial" w:cs="Arial"/>
          <w:sz w:val="20"/>
          <w:szCs w:val="20"/>
          <w:lang w:eastAsia="es-ES"/>
        </w:rPr>
        <w:t xml:space="preserve">al </w:t>
      </w:r>
      <w:fldSimple w:instr=" REF _Ref135045581 \r \h  \* MERGEFORMAT ">
        <w:r w:rsidR="00D33A5D" w:rsidRPr="00D33A5D">
          <w:rPr>
            <w:rFonts w:ascii="Arial" w:eastAsia="Times New Roman" w:hAnsi="Arial" w:cs="Arial"/>
            <w:sz w:val="20"/>
            <w:szCs w:val="20"/>
            <w:lang w:eastAsia="es-ES"/>
          </w:rPr>
          <w:t>1020</w:t>
        </w:r>
      </w:fldSimple>
      <w:r w:rsidRPr="00AC4AEA">
        <w:rPr>
          <w:rFonts w:ascii="Arial" w:eastAsia="Times New Roman" w:hAnsi="Arial" w:cs="Arial"/>
          <w:sz w:val="20"/>
          <w:szCs w:val="20"/>
          <w:lang w:eastAsia="es-ES"/>
        </w:rPr>
        <w:t>]</w:t>
      </w:r>
      <w:r w:rsidRPr="00AC4AEA">
        <w:rPr>
          <w:rFonts w:ascii="Arial" w:hAnsi="Arial" w:cs="Arial"/>
          <w:sz w:val="20"/>
          <w:szCs w:val="20"/>
        </w:rPr>
        <w:t>.</w:t>
      </w:r>
    </w:p>
    <w:p w:rsidR="00B43E33" w:rsidRPr="00AC4AEA" w:rsidRDefault="00B43E33" w:rsidP="00A318EA">
      <w:pPr>
        <w:pStyle w:val="A-Normal11"/>
        <w:jc w:val="both"/>
        <w:rPr>
          <w:rFonts w:ascii="Arial" w:hAnsi="Arial" w:cs="Arial"/>
          <w:b/>
          <w:bCs/>
          <w:sz w:val="20"/>
        </w:rPr>
      </w:pPr>
    </w:p>
    <w:p w:rsidR="00DB7F4F" w:rsidRPr="00AC4AEA" w:rsidRDefault="00DB7F4F" w:rsidP="00A318EA">
      <w:pPr>
        <w:pStyle w:val="Ttulo2"/>
        <w:rPr>
          <w:rFonts w:cs="Arial"/>
        </w:rPr>
      </w:pPr>
      <w:bookmarkStart w:id="322" w:name="_Toc101863803"/>
      <w:bookmarkStart w:id="323" w:name="_Toc139356668"/>
      <w:r w:rsidRPr="00AC4AEA">
        <w:rPr>
          <w:rFonts w:cs="Arial"/>
        </w:rPr>
        <w:t>Reconocimiento</w:t>
      </w:r>
      <w:bookmarkEnd w:id="322"/>
      <w:bookmarkEnd w:id="323"/>
    </w:p>
    <w:p w:rsidR="00F53E84" w:rsidRPr="00AC4AEA" w:rsidRDefault="00F53E8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w:t>
      </w:r>
      <w:r w:rsidR="000A33D6" w:rsidRPr="00AC4AEA">
        <w:rPr>
          <w:rFonts w:ascii="Arial" w:hAnsi="Arial" w:cs="Arial"/>
          <w:sz w:val="20"/>
          <w:szCs w:val="20"/>
        </w:rPr>
        <w:t xml:space="preserve">un elemento como una inversión financiera cuando </w:t>
      </w:r>
      <w:r w:rsidR="00E660B2" w:rsidRPr="00AC4AEA">
        <w:rPr>
          <w:rFonts w:ascii="Arial" w:hAnsi="Arial" w:cs="Arial"/>
          <w:sz w:val="20"/>
          <w:szCs w:val="20"/>
        </w:rPr>
        <w:t xml:space="preserve">se </w:t>
      </w:r>
      <w:r w:rsidR="000A33D6" w:rsidRPr="00AC4AEA">
        <w:rPr>
          <w:rFonts w:ascii="Arial" w:hAnsi="Arial" w:cs="Arial"/>
          <w:sz w:val="20"/>
          <w:szCs w:val="20"/>
        </w:rPr>
        <w:t xml:space="preserve">cumpla la definición general del párrafo </w:t>
      </w:r>
      <w:fldSimple w:instr=" REF _Ref106701972 \r \h  \* MERGEFORMAT ">
        <w:r w:rsidR="00D33A5D" w:rsidRPr="00D33A5D">
          <w:rPr>
            <w:rFonts w:ascii="Arial" w:hAnsi="Arial" w:cs="Arial"/>
            <w:sz w:val="20"/>
            <w:szCs w:val="20"/>
          </w:rPr>
          <w:t>22</w:t>
        </w:r>
      </w:fldSimple>
      <w:r w:rsidR="000A33D6" w:rsidRPr="00AC4AEA">
        <w:rPr>
          <w:rFonts w:ascii="Arial" w:hAnsi="Arial" w:cs="Arial"/>
          <w:sz w:val="20"/>
          <w:szCs w:val="20"/>
        </w:rPr>
        <w:t xml:space="preserve"> y la definición específica contenida en el párrafo </w:t>
      </w:r>
      <w:fldSimple w:instr=" REF _Ref74756832 \r \h  \* MERGEFORMAT ">
        <w:r w:rsidR="00D33A5D" w:rsidRPr="00D33A5D">
          <w:rPr>
            <w:rFonts w:ascii="Arial" w:hAnsi="Arial" w:cs="Arial"/>
            <w:sz w:val="20"/>
            <w:szCs w:val="20"/>
          </w:rPr>
          <w:t>212</w:t>
        </w:r>
      </w:fldSimple>
      <w:r w:rsidR="000A33D6" w:rsidRPr="00AC4AEA">
        <w:rPr>
          <w:rFonts w:ascii="Arial" w:hAnsi="Arial" w:cs="Arial"/>
          <w:sz w:val="20"/>
          <w:szCs w:val="20"/>
        </w:rPr>
        <w:t xml:space="preserve"> (por ejemplo, cuando una entidad compra una obligación negociable reconocerá una inversión financiera dado que cumple la definición de</w:t>
      </w:r>
      <w:r w:rsidR="000A33D6" w:rsidRPr="006F3AE5">
        <w:rPr>
          <w:rFonts w:ascii="Arial" w:hAnsi="Arial" w:cs="Arial"/>
          <w:b/>
          <w:bCs/>
          <w:sz w:val="20"/>
          <w:szCs w:val="20"/>
        </w:rPr>
        <w:t xml:space="preserve"> activo </w:t>
      </w:r>
      <w:r w:rsidR="000A33D6" w:rsidRPr="00AC4AEA">
        <w:rPr>
          <w:rFonts w:ascii="Arial" w:hAnsi="Arial" w:cs="Arial"/>
          <w:sz w:val="20"/>
          <w:szCs w:val="20"/>
        </w:rPr>
        <w:t xml:space="preserve">y obtiene los derechos a los flujos de efectivo contractuales de este </w:t>
      </w:r>
      <w:r w:rsidR="000A33D6" w:rsidRPr="00AC4AEA">
        <w:rPr>
          <w:rFonts w:ascii="Arial" w:hAnsi="Arial" w:cs="Arial"/>
          <w:b/>
          <w:bCs/>
          <w:sz w:val="20"/>
          <w:szCs w:val="20"/>
        </w:rPr>
        <w:t>activo financiero</w:t>
      </w:r>
      <w:r w:rsidR="000A33D6" w:rsidRPr="00AC4AEA">
        <w:rPr>
          <w:rFonts w:ascii="Arial" w:hAnsi="Arial" w:cs="Arial"/>
          <w:sz w:val="20"/>
          <w:szCs w:val="20"/>
        </w:rPr>
        <w:t>)</w:t>
      </w:r>
      <w:r w:rsidR="007237C0" w:rsidRPr="00AC4AEA">
        <w:rPr>
          <w:rFonts w:ascii="Arial" w:hAnsi="Arial" w:cs="Arial"/>
          <w:sz w:val="20"/>
          <w:szCs w:val="20"/>
        </w:rPr>
        <w:t xml:space="preserve">. </w:t>
      </w:r>
    </w:p>
    <w:p w:rsidR="009617A0" w:rsidRPr="00AC4AEA" w:rsidRDefault="009617A0" w:rsidP="00A318EA">
      <w:pPr>
        <w:pStyle w:val="A-Normal11"/>
        <w:ind w:left="360"/>
        <w:jc w:val="both"/>
        <w:rPr>
          <w:rFonts w:ascii="Arial" w:hAnsi="Arial" w:cs="Arial"/>
          <w:b/>
          <w:bCs/>
          <w:sz w:val="20"/>
        </w:rPr>
      </w:pPr>
    </w:p>
    <w:p w:rsidR="00F53E84" w:rsidRPr="00AC4AEA" w:rsidRDefault="007E020E" w:rsidP="00A318EA">
      <w:pPr>
        <w:pStyle w:val="Ttulo2"/>
        <w:rPr>
          <w:rFonts w:cs="Arial"/>
        </w:rPr>
      </w:pPr>
      <w:bookmarkStart w:id="324" w:name="_Toc101863804"/>
      <w:bookmarkStart w:id="325" w:name="_Toc139356669"/>
      <w:r w:rsidRPr="00AC4AEA">
        <w:rPr>
          <w:rFonts w:cs="Arial"/>
        </w:rPr>
        <w:t>Medición</w:t>
      </w:r>
      <w:r w:rsidR="00DB7F4F" w:rsidRPr="00AC4AEA">
        <w:rPr>
          <w:rFonts w:cs="Arial"/>
        </w:rPr>
        <w:t xml:space="preserve"> inicial</w:t>
      </w:r>
      <w:bookmarkEnd w:id="324"/>
      <w:bookmarkEnd w:id="325"/>
    </w:p>
    <w:p w:rsidR="009617A0" w:rsidRPr="00AC4AEA" w:rsidRDefault="009617A0" w:rsidP="00A318EA">
      <w:pPr>
        <w:keepNext/>
        <w:jc w:val="both"/>
        <w:outlineLvl w:val="2"/>
        <w:rPr>
          <w:rFonts w:ascii="Arial" w:hAnsi="Arial" w:cs="Arial"/>
          <w:b/>
          <w:bCs/>
          <w:sz w:val="20"/>
          <w:szCs w:val="20"/>
        </w:rPr>
      </w:pPr>
      <w:bookmarkStart w:id="326" w:name="_Toc139356670"/>
      <w:r w:rsidRPr="00AC4AEA">
        <w:rPr>
          <w:rFonts w:ascii="Arial" w:hAnsi="Arial" w:cs="Arial"/>
          <w:b/>
          <w:bCs/>
          <w:sz w:val="20"/>
          <w:szCs w:val="20"/>
        </w:rPr>
        <w:t>Criterio general</w:t>
      </w:r>
      <w:bookmarkEnd w:id="326"/>
    </w:p>
    <w:p w:rsidR="00A23BD6" w:rsidRPr="00AC4AEA" w:rsidRDefault="00FF0D6A" w:rsidP="00A318EA">
      <w:pPr>
        <w:pStyle w:val="Prrafodelista"/>
        <w:numPr>
          <w:ilvl w:val="0"/>
          <w:numId w:val="29"/>
        </w:numPr>
        <w:contextualSpacing w:val="0"/>
        <w:jc w:val="both"/>
        <w:rPr>
          <w:rFonts w:ascii="Arial" w:hAnsi="Arial" w:cs="Arial"/>
          <w:sz w:val="20"/>
          <w:szCs w:val="20"/>
        </w:rPr>
      </w:pPr>
      <w:bookmarkStart w:id="327" w:name="_Ref99459768"/>
      <w:r w:rsidRPr="00AC4AEA">
        <w:rPr>
          <w:rFonts w:ascii="Arial" w:hAnsi="Arial" w:cs="Arial"/>
          <w:sz w:val="20"/>
          <w:szCs w:val="20"/>
        </w:rPr>
        <w:t xml:space="preserve">Una entidad medirá inicialmente </w:t>
      </w:r>
      <w:r w:rsidR="00EE69C6" w:rsidRPr="00AC4AEA">
        <w:rPr>
          <w:rFonts w:ascii="Arial" w:hAnsi="Arial" w:cs="Arial"/>
          <w:sz w:val="20"/>
          <w:szCs w:val="20"/>
        </w:rPr>
        <w:t>las</w:t>
      </w:r>
      <w:r w:rsidRPr="00AC4AEA">
        <w:rPr>
          <w:rFonts w:ascii="Arial" w:hAnsi="Arial" w:cs="Arial"/>
          <w:sz w:val="20"/>
          <w:szCs w:val="20"/>
        </w:rPr>
        <w:t xml:space="preserve"> inversiones</w:t>
      </w:r>
      <w:r w:rsidR="00EE69C6" w:rsidRPr="00AC4AEA">
        <w:rPr>
          <w:rFonts w:ascii="Arial" w:hAnsi="Arial" w:cs="Arial"/>
          <w:sz w:val="20"/>
          <w:szCs w:val="20"/>
        </w:rPr>
        <w:t xml:space="preserve"> financieras</w:t>
      </w:r>
      <w:r w:rsidR="009617A0" w:rsidRPr="00AC4AEA">
        <w:rPr>
          <w:rFonts w:ascii="Arial" w:hAnsi="Arial" w:cs="Arial"/>
          <w:sz w:val="20"/>
          <w:szCs w:val="20"/>
        </w:rPr>
        <w:t xml:space="preserve"> que procedan de transacciones entre partes independientes</w:t>
      </w:r>
      <w:r w:rsidR="00A23BD6" w:rsidRPr="00AC4AEA">
        <w:rPr>
          <w:rFonts w:ascii="Arial" w:hAnsi="Arial" w:cs="Arial"/>
          <w:sz w:val="20"/>
          <w:szCs w:val="20"/>
        </w:rPr>
        <w:t>:</w:t>
      </w:r>
      <w:bookmarkEnd w:id="327"/>
      <w:r w:rsidRPr="00AC4AEA">
        <w:rPr>
          <w:rFonts w:ascii="Arial" w:hAnsi="Arial" w:cs="Arial"/>
          <w:sz w:val="20"/>
          <w:szCs w:val="20"/>
        </w:rPr>
        <w:t xml:space="preserve"> </w:t>
      </w:r>
    </w:p>
    <w:p w:rsidR="007237C0" w:rsidRPr="00AC4AEA" w:rsidRDefault="007237C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 xml:space="preserve">Cuando la medición posterior de los </w:t>
      </w:r>
      <w:r w:rsidR="00497590" w:rsidRPr="00AC4AEA">
        <w:rPr>
          <w:rFonts w:ascii="Arial" w:hAnsi="Arial" w:cs="Arial"/>
          <w:sz w:val="20"/>
          <w:szCs w:val="20"/>
        </w:rPr>
        <w:t>activos</w:t>
      </w:r>
      <w:r w:rsidRPr="00AC4AEA">
        <w:rPr>
          <w:rFonts w:ascii="Arial" w:hAnsi="Arial" w:cs="Arial"/>
          <w:sz w:val="20"/>
          <w:szCs w:val="20"/>
        </w:rPr>
        <w:t xml:space="preserve"> se ha</w:t>
      </w:r>
      <w:r w:rsidR="004929B4" w:rsidRPr="00AC4AEA">
        <w:rPr>
          <w:rFonts w:ascii="Arial" w:hAnsi="Arial" w:cs="Arial"/>
          <w:sz w:val="20"/>
          <w:szCs w:val="20"/>
        </w:rPr>
        <w:t>ga</w:t>
      </w:r>
      <w:r w:rsidRPr="00AC4AEA">
        <w:rPr>
          <w:rFonts w:ascii="Arial" w:hAnsi="Arial" w:cs="Arial"/>
          <w:sz w:val="20"/>
          <w:szCs w:val="20"/>
        </w:rPr>
        <w:t xml:space="preserve"> a </w:t>
      </w:r>
      <w:r w:rsidRPr="00AC4AEA">
        <w:rPr>
          <w:rFonts w:ascii="Arial" w:hAnsi="Arial" w:cs="Arial"/>
          <w:b/>
          <w:bCs/>
          <w:sz w:val="20"/>
          <w:szCs w:val="20"/>
        </w:rPr>
        <w:t>valor razonable</w:t>
      </w:r>
      <w:r w:rsidR="00C62C26" w:rsidRPr="00AC4AEA">
        <w:rPr>
          <w:rFonts w:ascii="Arial" w:hAnsi="Arial" w:cs="Arial"/>
          <w:b/>
          <w:bCs/>
          <w:sz w:val="20"/>
          <w:szCs w:val="20"/>
        </w:rPr>
        <w:t xml:space="preserve"> </w:t>
      </w:r>
      <w:r w:rsidR="00C62C26" w:rsidRPr="00AC4AEA">
        <w:rPr>
          <w:rFonts w:ascii="Arial" w:hAnsi="Arial" w:cs="Arial"/>
          <w:bCs/>
          <w:sz w:val="20"/>
          <w:szCs w:val="20"/>
        </w:rPr>
        <w:t xml:space="preserve">o a su </w:t>
      </w:r>
      <w:r w:rsidR="00C62C26" w:rsidRPr="00AC4AEA">
        <w:rPr>
          <w:rFonts w:ascii="Arial" w:hAnsi="Arial" w:cs="Arial"/>
          <w:b/>
          <w:sz w:val="20"/>
          <w:szCs w:val="20"/>
        </w:rPr>
        <w:t>cotización</w:t>
      </w:r>
      <w:r w:rsidR="007B7E5B" w:rsidRPr="00AC4AEA">
        <w:rPr>
          <w:rFonts w:ascii="Arial" w:hAnsi="Arial" w:cs="Arial"/>
          <w:bCs/>
          <w:sz w:val="20"/>
          <w:szCs w:val="20"/>
        </w:rPr>
        <w:t>:</w:t>
      </w:r>
    </w:p>
    <w:p w:rsidR="007237C0" w:rsidRPr="00AC4AEA" w:rsidRDefault="007237C0"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a su </w:t>
      </w:r>
      <w:r w:rsidRPr="00AC4AEA">
        <w:rPr>
          <w:rFonts w:ascii="Arial" w:hAnsi="Arial" w:cs="Arial"/>
          <w:b/>
          <w:bCs/>
          <w:sz w:val="20"/>
          <w:szCs w:val="20"/>
        </w:rPr>
        <w:t>valor razonable</w:t>
      </w:r>
      <w:r w:rsidRPr="00AC4AEA">
        <w:rPr>
          <w:rFonts w:ascii="Arial" w:hAnsi="Arial" w:cs="Arial"/>
          <w:sz w:val="20"/>
          <w:szCs w:val="20"/>
        </w:rPr>
        <w:t>; o</w:t>
      </w:r>
    </w:p>
    <w:p w:rsidR="007237C0" w:rsidRPr="00AC4AEA" w:rsidRDefault="007237C0"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a su </w:t>
      </w:r>
      <w:r w:rsidR="00A017D0" w:rsidRPr="00AC4AEA">
        <w:rPr>
          <w:rFonts w:ascii="Arial" w:hAnsi="Arial" w:cs="Arial"/>
          <w:b/>
          <w:bCs/>
          <w:sz w:val="20"/>
          <w:szCs w:val="20"/>
        </w:rPr>
        <w:t>cotización sucedánea</w:t>
      </w:r>
      <w:r w:rsidRPr="00AC4AEA">
        <w:rPr>
          <w:rFonts w:ascii="Arial" w:hAnsi="Arial" w:cs="Arial"/>
          <w:sz w:val="20"/>
          <w:szCs w:val="20"/>
        </w:rPr>
        <w:t>,</w:t>
      </w:r>
      <w:r w:rsidR="007B7E5B" w:rsidRPr="00AC4AEA">
        <w:rPr>
          <w:rFonts w:ascii="Arial" w:hAnsi="Arial" w:cs="Arial"/>
          <w:sz w:val="20"/>
          <w:szCs w:val="20"/>
        </w:rPr>
        <w:t xml:space="preserve"> cuando no pueda determinarse el </w:t>
      </w:r>
      <w:r w:rsidR="007B7E5B" w:rsidRPr="00AC4AEA">
        <w:rPr>
          <w:rFonts w:ascii="Arial" w:hAnsi="Arial" w:cs="Arial"/>
          <w:b/>
          <w:bCs/>
          <w:sz w:val="20"/>
          <w:szCs w:val="20"/>
        </w:rPr>
        <w:t>valor razonable</w:t>
      </w:r>
      <w:r w:rsidRPr="00AC4AEA">
        <w:rPr>
          <w:rFonts w:ascii="Arial" w:hAnsi="Arial" w:cs="Arial"/>
          <w:sz w:val="20"/>
          <w:szCs w:val="20"/>
        </w:rPr>
        <w:t>.</w:t>
      </w:r>
    </w:p>
    <w:p w:rsidR="007237C0" w:rsidRPr="00AC4AEA" w:rsidRDefault="007237C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Cuando la medición posterior de los </w:t>
      </w:r>
      <w:r w:rsidR="00CE13D7" w:rsidRPr="00CE13D7">
        <w:rPr>
          <w:rFonts w:ascii="Arial" w:hAnsi="Arial" w:cs="Arial"/>
          <w:bCs/>
          <w:sz w:val="20"/>
          <w:szCs w:val="20"/>
        </w:rPr>
        <w:t>activos</w:t>
      </w:r>
      <w:r w:rsidRPr="00AC4AEA">
        <w:rPr>
          <w:rFonts w:ascii="Arial" w:hAnsi="Arial" w:cs="Arial"/>
          <w:sz w:val="20"/>
          <w:szCs w:val="20"/>
        </w:rPr>
        <w:t xml:space="preserve"> no se efectúe a</w:t>
      </w:r>
      <w:r w:rsidR="0052091A" w:rsidRPr="00AC4AEA">
        <w:rPr>
          <w:rFonts w:ascii="Arial" w:hAnsi="Arial" w:cs="Arial"/>
          <w:sz w:val="20"/>
          <w:szCs w:val="20"/>
        </w:rPr>
        <w:t xml:space="preserve"> su</w:t>
      </w:r>
      <w:r w:rsidRPr="00AC4AEA">
        <w:rPr>
          <w:rFonts w:ascii="Arial" w:hAnsi="Arial" w:cs="Arial"/>
          <w:sz w:val="20"/>
          <w:szCs w:val="20"/>
        </w:rPr>
        <w:t xml:space="preserve"> </w:t>
      </w:r>
      <w:r w:rsidRPr="00AC4AEA">
        <w:rPr>
          <w:rFonts w:ascii="Arial" w:hAnsi="Arial" w:cs="Arial"/>
          <w:b/>
          <w:bCs/>
          <w:sz w:val="20"/>
          <w:szCs w:val="20"/>
        </w:rPr>
        <w:t>valor razonable</w:t>
      </w:r>
      <w:r w:rsidR="004929B4" w:rsidRPr="00AC4AEA">
        <w:rPr>
          <w:rFonts w:ascii="Arial" w:hAnsi="Arial" w:cs="Arial"/>
          <w:b/>
          <w:bCs/>
          <w:sz w:val="20"/>
          <w:szCs w:val="20"/>
        </w:rPr>
        <w:t xml:space="preserve"> </w:t>
      </w:r>
      <w:r w:rsidR="004929B4" w:rsidRPr="00AC4AEA">
        <w:rPr>
          <w:rFonts w:ascii="Arial" w:hAnsi="Arial" w:cs="Arial"/>
          <w:sz w:val="20"/>
          <w:szCs w:val="20"/>
        </w:rPr>
        <w:t xml:space="preserve">ni a su </w:t>
      </w:r>
      <w:r w:rsidR="00A017D0" w:rsidRPr="00AC4AEA">
        <w:rPr>
          <w:rFonts w:ascii="Arial" w:hAnsi="Arial" w:cs="Arial"/>
          <w:b/>
          <w:bCs/>
          <w:sz w:val="20"/>
          <w:szCs w:val="20"/>
        </w:rPr>
        <w:t>cotización sucedánea</w:t>
      </w:r>
      <w:r w:rsidRPr="00AC4AEA">
        <w:rPr>
          <w:rFonts w:ascii="Arial" w:hAnsi="Arial" w:cs="Arial"/>
          <w:sz w:val="20"/>
          <w:szCs w:val="20"/>
        </w:rPr>
        <w:t>, a su</w:t>
      </w:r>
      <w:r w:rsidRPr="00AC4AEA">
        <w:rPr>
          <w:rFonts w:ascii="Arial" w:hAnsi="Arial" w:cs="Arial"/>
          <w:b/>
          <w:bCs/>
          <w:sz w:val="20"/>
          <w:szCs w:val="20"/>
        </w:rPr>
        <w:t xml:space="preserve"> costo de adquisición</w:t>
      </w:r>
      <w:r w:rsidRPr="00AC4AEA">
        <w:rPr>
          <w:rFonts w:ascii="Arial" w:hAnsi="Arial" w:cs="Arial"/>
          <w:sz w:val="20"/>
          <w:szCs w:val="20"/>
        </w:rPr>
        <w:t xml:space="preserve"> menos los dividendos en efectivo o especie u otros beneficios declarados </w:t>
      </w:r>
      <w:r w:rsidR="00D711FA" w:rsidRPr="00AC4AEA">
        <w:rPr>
          <w:rFonts w:ascii="Arial" w:hAnsi="Arial" w:cs="Arial"/>
          <w:sz w:val="20"/>
          <w:szCs w:val="20"/>
        </w:rPr>
        <w:t>(y no pagados) hasta e</w:t>
      </w:r>
      <w:r w:rsidRPr="00AC4AEA">
        <w:rPr>
          <w:rFonts w:ascii="Arial" w:hAnsi="Arial" w:cs="Arial"/>
          <w:sz w:val="20"/>
          <w:szCs w:val="20"/>
        </w:rPr>
        <w:t>l momento del reconocimiento.</w:t>
      </w:r>
    </w:p>
    <w:p w:rsidR="00455BA2" w:rsidRPr="00AC4AEA" w:rsidRDefault="00455BA2" w:rsidP="00A318EA">
      <w:pPr>
        <w:pStyle w:val="Prrafodelista"/>
        <w:numPr>
          <w:ilvl w:val="0"/>
          <w:numId w:val="29"/>
        </w:numPr>
        <w:contextualSpacing w:val="0"/>
        <w:jc w:val="both"/>
        <w:rPr>
          <w:rFonts w:ascii="Arial" w:hAnsi="Arial" w:cs="Arial"/>
          <w:sz w:val="20"/>
          <w:szCs w:val="20"/>
        </w:rPr>
      </w:pPr>
      <w:bookmarkStart w:id="328" w:name="_Ref102993210"/>
      <w:bookmarkStart w:id="329" w:name="_Ref99459773"/>
      <w:r w:rsidRPr="00AC4AEA">
        <w:rPr>
          <w:rFonts w:ascii="Arial" w:hAnsi="Arial" w:cs="Arial"/>
          <w:sz w:val="20"/>
          <w:szCs w:val="20"/>
        </w:rPr>
        <w:t>Una entidad reconocerá los costos de transacción:</w:t>
      </w:r>
      <w:bookmarkEnd w:id="328"/>
    </w:p>
    <w:p w:rsidR="00455BA2" w:rsidRPr="00AC4AEA" w:rsidRDefault="00455BA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En resultados, cuando realice la medición inicial a </w:t>
      </w:r>
      <w:r w:rsidRPr="00AC4AEA">
        <w:rPr>
          <w:rFonts w:ascii="Arial" w:hAnsi="Arial" w:cs="Arial"/>
          <w:b/>
          <w:bCs/>
          <w:sz w:val="20"/>
          <w:szCs w:val="20"/>
        </w:rPr>
        <w:t>valor razonable</w:t>
      </w:r>
      <w:r w:rsidR="00A04B81" w:rsidRPr="00AC4AEA">
        <w:rPr>
          <w:rFonts w:ascii="Arial" w:hAnsi="Arial" w:cs="Arial"/>
          <w:sz w:val="20"/>
          <w:szCs w:val="20"/>
        </w:rPr>
        <w:t>.</w:t>
      </w:r>
      <w:bookmarkEnd w:id="329"/>
    </w:p>
    <w:p w:rsidR="005D589E" w:rsidRPr="00AC4AEA" w:rsidRDefault="00455BA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Como</w:t>
      </w:r>
      <w:r w:rsidR="00C63505" w:rsidRPr="00AC4AEA">
        <w:rPr>
          <w:rFonts w:ascii="Arial" w:hAnsi="Arial" w:cs="Arial"/>
          <w:sz w:val="20"/>
          <w:szCs w:val="20"/>
        </w:rPr>
        <w:t xml:space="preserve"> parte </w:t>
      </w:r>
      <w:r w:rsidRPr="00AC4AEA">
        <w:rPr>
          <w:rFonts w:ascii="Arial" w:hAnsi="Arial" w:cs="Arial"/>
          <w:sz w:val="20"/>
          <w:szCs w:val="20"/>
        </w:rPr>
        <w:t>del costo de</w:t>
      </w:r>
      <w:r w:rsidR="00C63505" w:rsidRPr="00AC4AEA">
        <w:rPr>
          <w:rFonts w:ascii="Arial" w:hAnsi="Arial" w:cs="Arial"/>
          <w:sz w:val="20"/>
          <w:szCs w:val="20"/>
        </w:rPr>
        <w:t xml:space="preserve"> inversión</w:t>
      </w:r>
      <w:r w:rsidRPr="00AC4AEA">
        <w:rPr>
          <w:rFonts w:ascii="Arial" w:hAnsi="Arial" w:cs="Arial"/>
          <w:sz w:val="20"/>
          <w:szCs w:val="20"/>
        </w:rPr>
        <w:t xml:space="preserve">, cuando realice la medición inicial a </w:t>
      </w:r>
      <w:r w:rsidRPr="00AC4AEA">
        <w:rPr>
          <w:rFonts w:ascii="Arial" w:hAnsi="Arial" w:cs="Arial"/>
          <w:b/>
          <w:bCs/>
          <w:sz w:val="20"/>
          <w:szCs w:val="20"/>
        </w:rPr>
        <w:t>costo de adquisición.</w:t>
      </w:r>
    </w:p>
    <w:p w:rsidR="009617A0" w:rsidRPr="00AC4AEA" w:rsidRDefault="009617A0" w:rsidP="00A318EA">
      <w:pPr>
        <w:pStyle w:val="A-doctorado"/>
        <w:rPr>
          <w:rFonts w:ascii="Arial" w:hAnsi="Arial"/>
          <w:color w:val="auto"/>
          <w:sz w:val="20"/>
          <w:szCs w:val="20"/>
        </w:rPr>
      </w:pPr>
    </w:p>
    <w:p w:rsidR="009617A0" w:rsidRPr="00AC4AEA" w:rsidRDefault="009617A0" w:rsidP="00A318EA">
      <w:pPr>
        <w:pStyle w:val="Ttulo3"/>
      </w:pPr>
      <w:bookmarkStart w:id="330" w:name="_Toc139356671"/>
      <w:r w:rsidRPr="00AC4AEA">
        <w:t>Inversiones financieras provenientes de transacciones entre partes relacionadas</w:t>
      </w:r>
      <w:bookmarkEnd w:id="330"/>
    </w:p>
    <w:p w:rsidR="009617A0" w:rsidRPr="00AC4AEA" w:rsidRDefault="009617A0" w:rsidP="00A318EA">
      <w:pPr>
        <w:pStyle w:val="Prrafodelista"/>
        <w:numPr>
          <w:ilvl w:val="0"/>
          <w:numId w:val="29"/>
        </w:numPr>
        <w:contextualSpacing w:val="0"/>
        <w:jc w:val="both"/>
        <w:rPr>
          <w:rFonts w:ascii="Arial" w:hAnsi="Arial" w:cs="Arial"/>
          <w:sz w:val="20"/>
          <w:szCs w:val="20"/>
        </w:rPr>
      </w:pPr>
      <w:bookmarkStart w:id="331" w:name="_Ref132036863"/>
      <w:r w:rsidRPr="00AC4AEA">
        <w:rPr>
          <w:rFonts w:ascii="Arial" w:hAnsi="Arial" w:cs="Arial"/>
          <w:sz w:val="20"/>
          <w:szCs w:val="20"/>
        </w:rPr>
        <w:t xml:space="preserve">Una entidad optará por medir las inversiones financieras provenientes de transacciones entre </w:t>
      </w:r>
      <w:r w:rsidRPr="00AC4AEA">
        <w:rPr>
          <w:rFonts w:ascii="Arial" w:hAnsi="Arial" w:cs="Arial"/>
          <w:b/>
          <w:sz w:val="20"/>
          <w:szCs w:val="20"/>
        </w:rPr>
        <w:t>partes relacionadas</w:t>
      </w:r>
      <w:r w:rsidRPr="00AC4AEA">
        <w:rPr>
          <w:rFonts w:ascii="Arial" w:hAnsi="Arial" w:cs="Arial"/>
          <w:sz w:val="20"/>
          <w:szCs w:val="20"/>
        </w:rPr>
        <w:t xml:space="preserve"> de acuerdo con alguno de los siguientes criterios:</w:t>
      </w:r>
      <w:bookmarkEnd w:id="331"/>
    </w:p>
    <w:p w:rsidR="009617A0" w:rsidRPr="00AC4AEA" w:rsidRDefault="009617A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según las condiciones pactadas; o</w:t>
      </w:r>
    </w:p>
    <w:p w:rsidR="009617A0" w:rsidRPr="00AC4AEA" w:rsidRDefault="009617A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según lo definido en los párrafos </w:t>
      </w:r>
      <w:fldSimple w:instr=" REF _Ref99459768 \r \h  \* MERGEFORMAT ">
        <w:r w:rsidR="00D33A5D" w:rsidRPr="00D33A5D">
          <w:rPr>
            <w:rFonts w:ascii="Arial" w:hAnsi="Arial" w:cs="Arial"/>
            <w:sz w:val="20"/>
            <w:szCs w:val="20"/>
          </w:rPr>
          <w:t>214</w:t>
        </w:r>
      </w:fldSimple>
      <w:r w:rsidRPr="00AC4AEA">
        <w:rPr>
          <w:rFonts w:ascii="Arial" w:hAnsi="Arial" w:cs="Arial"/>
          <w:sz w:val="20"/>
          <w:szCs w:val="20"/>
        </w:rPr>
        <w:t xml:space="preserve"> y </w:t>
      </w:r>
      <w:fldSimple w:instr=" REF _Ref102993210 \r \h  \* MERGEFORMAT ">
        <w:r w:rsidR="00D33A5D" w:rsidRPr="00D33A5D">
          <w:rPr>
            <w:rFonts w:ascii="Arial" w:hAnsi="Arial" w:cs="Arial"/>
            <w:sz w:val="20"/>
            <w:szCs w:val="20"/>
          </w:rPr>
          <w:t>215</w:t>
        </w:r>
      </w:fldSimple>
      <w:r w:rsidRPr="00AC4AEA">
        <w:rPr>
          <w:rFonts w:ascii="Arial" w:hAnsi="Arial" w:cs="Arial"/>
          <w:sz w:val="20"/>
          <w:szCs w:val="20"/>
        </w:rPr>
        <w:t xml:space="preserve"> para inversiones financieras que procedan de transacciones entre partes independientes.</w:t>
      </w:r>
    </w:p>
    <w:p w:rsidR="009617A0" w:rsidRPr="00AC4AEA" w:rsidRDefault="009617A0" w:rsidP="00A318EA">
      <w:pPr>
        <w:pStyle w:val="A-Normal11"/>
        <w:numPr>
          <w:ilvl w:val="0"/>
          <w:numId w:val="29"/>
        </w:numPr>
        <w:jc w:val="both"/>
        <w:rPr>
          <w:rFonts w:ascii="Arial" w:hAnsi="Arial" w:cs="Arial"/>
          <w:sz w:val="20"/>
        </w:rPr>
      </w:pPr>
      <w:r w:rsidRPr="00AC4AEA">
        <w:rPr>
          <w:rFonts w:ascii="Arial" w:hAnsi="Arial" w:cs="Arial"/>
          <w:sz w:val="20"/>
        </w:rPr>
        <w:t xml:space="preserve">Cuando una entidad opte por la </w:t>
      </w:r>
      <w:r w:rsidRPr="00AC4AEA">
        <w:rPr>
          <w:rFonts w:ascii="Arial" w:hAnsi="Arial" w:cs="Arial"/>
          <w:b/>
          <w:bCs/>
          <w:sz w:val="20"/>
        </w:rPr>
        <w:t xml:space="preserve">política contable </w:t>
      </w:r>
      <w:r w:rsidRPr="00AC4AEA">
        <w:rPr>
          <w:rFonts w:ascii="Arial" w:hAnsi="Arial" w:cs="Arial"/>
          <w:sz w:val="20"/>
        </w:rPr>
        <w:t xml:space="preserve">referida en </w:t>
      </w:r>
      <w:r w:rsidR="00414F2C" w:rsidRPr="00AC4AEA">
        <w:rPr>
          <w:rFonts w:ascii="Arial" w:hAnsi="Arial" w:cs="Arial"/>
          <w:sz w:val="20"/>
        </w:rPr>
        <w:t>el</w:t>
      </w:r>
      <w:r w:rsidRPr="00AC4AEA">
        <w:rPr>
          <w:rFonts w:ascii="Arial" w:hAnsi="Arial" w:cs="Arial"/>
          <w:sz w:val="20"/>
        </w:rPr>
        <w:t xml:space="preserve"> inciso b) del párrafo anterior, contabilizará la contrapartida</w:t>
      </w:r>
      <w:r w:rsidR="003E6FA2" w:rsidRPr="00AC4AEA">
        <w:rPr>
          <w:rFonts w:ascii="Arial" w:hAnsi="Arial" w:cs="Arial"/>
          <w:sz w:val="20"/>
        </w:rPr>
        <w:t>, de corresponder,</w:t>
      </w:r>
      <w:r w:rsidRPr="00AC4AEA">
        <w:rPr>
          <w:rFonts w:ascii="Arial" w:hAnsi="Arial" w:cs="Arial"/>
          <w:sz w:val="20"/>
        </w:rPr>
        <w:t xml:space="preserve"> de </w:t>
      </w:r>
      <w:r w:rsidR="0011272D" w:rsidRPr="00AC4AEA">
        <w:rPr>
          <w:rFonts w:ascii="Arial" w:hAnsi="Arial" w:cs="Arial"/>
          <w:sz w:val="20"/>
        </w:rPr>
        <w:t>forma similar a</w:t>
      </w:r>
      <w:r w:rsidRPr="00AC4AEA">
        <w:rPr>
          <w:rFonts w:ascii="Arial" w:hAnsi="Arial" w:cs="Arial"/>
          <w:sz w:val="20"/>
        </w:rPr>
        <w:t xml:space="preserve"> l</w:t>
      </w:r>
      <w:r w:rsidR="009F68DB" w:rsidRPr="00AC4AEA">
        <w:rPr>
          <w:rFonts w:ascii="Arial" w:hAnsi="Arial" w:cs="Arial"/>
          <w:sz w:val="20"/>
        </w:rPr>
        <w:t>a</w:t>
      </w:r>
      <w:r w:rsidRPr="00AC4AEA">
        <w:rPr>
          <w:rFonts w:ascii="Arial" w:hAnsi="Arial" w:cs="Arial"/>
          <w:sz w:val="20"/>
        </w:rPr>
        <w:t xml:space="preserve"> establecido en los párrafos </w:t>
      </w:r>
      <w:fldSimple w:instr=" REF _Ref104371390 \r \h  \* MERGEFORMAT ">
        <w:r w:rsidR="00D33A5D" w:rsidRPr="00D33A5D">
          <w:rPr>
            <w:rFonts w:ascii="Arial" w:hAnsi="Arial" w:cs="Arial"/>
            <w:sz w:val="20"/>
          </w:rPr>
          <w:t>509</w:t>
        </w:r>
      </w:fldSimple>
      <w:r w:rsidRPr="00AC4AEA">
        <w:rPr>
          <w:rFonts w:ascii="Arial" w:hAnsi="Arial" w:cs="Arial"/>
          <w:sz w:val="20"/>
        </w:rPr>
        <w:t xml:space="preserve"> y </w:t>
      </w:r>
      <w:fldSimple w:instr=" REF _Ref104371396 \r \h  \* MERGEFORMAT ">
        <w:r w:rsidR="00D33A5D">
          <w:rPr>
            <w:rFonts w:ascii="Arial" w:hAnsi="Arial" w:cs="Arial"/>
            <w:sz w:val="20"/>
          </w:rPr>
          <w:t>510</w:t>
        </w:r>
      </w:fldSimple>
      <w:r w:rsidRPr="00AC4AEA">
        <w:rPr>
          <w:rFonts w:ascii="Arial" w:hAnsi="Arial" w:cs="Arial"/>
          <w:sz w:val="20"/>
        </w:rPr>
        <w:t>.</w:t>
      </w:r>
    </w:p>
    <w:p w:rsidR="00FF0D6A" w:rsidRPr="00AC4AEA" w:rsidRDefault="00FF0D6A" w:rsidP="00A318EA">
      <w:pPr>
        <w:pStyle w:val="A-Normal11"/>
        <w:jc w:val="both"/>
        <w:rPr>
          <w:rFonts w:ascii="Arial" w:hAnsi="Arial" w:cs="Arial"/>
          <w:b/>
          <w:bCs/>
          <w:sz w:val="20"/>
        </w:rPr>
      </w:pPr>
    </w:p>
    <w:p w:rsidR="00DB7F4F" w:rsidRPr="00AC4AEA" w:rsidRDefault="00DB7F4F" w:rsidP="00A318EA">
      <w:pPr>
        <w:pStyle w:val="Ttulo2"/>
        <w:rPr>
          <w:rFonts w:cs="Arial"/>
        </w:rPr>
      </w:pPr>
      <w:bookmarkStart w:id="332" w:name="_Toc101863805"/>
      <w:bookmarkStart w:id="333" w:name="_Toc139356672"/>
      <w:r w:rsidRPr="00AC4AEA">
        <w:rPr>
          <w:rFonts w:cs="Arial"/>
        </w:rPr>
        <w:t>Medición posterior</w:t>
      </w:r>
      <w:bookmarkEnd w:id="332"/>
      <w:bookmarkEnd w:id="333"/>
    </w:p>
    <w:p w:rsidR="00FF0D6A" w:rsidRPr="00AC4AEA" w:rsidRDefault="00FF0D6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w:t>
      </w:r>
      <w:r w:rsidR="00EE69C6" w:rsidRPr="00AC4AEA">
        <w:rPr>
          <w:rFonts w:ascii="Arial" w:hAnsi="Arial" w:cs="Arial"/>
          <w:sz w:val="20"/>
          <w:szCs w:val="20"/>
        </w:rPr>
        <w:t>l</w:t>
      </w:r>
      <w:r w:rsidRPr="00AC4AEA">
        <w:rPr>
          <w:rFonts w:ascii="Arial" w:hAnsi="Arial" w:cs="Arial"/>
          <w:sz w:val="20"/>
          <w:szCs w:val="20"/>
        </w:rPr>
        <w:t>as inversiones</w:t>
      </w:r>
      <w:r w:rsidR="00EE69C6" w:rsidRPr="00AC4AEA">
        <w:rPr>
          <w:rFonts w:ascii="Arial" w:hAnsi="Arial" w:cs="Arial"/>
          <w:sz w:val="20"/>
          <w:szCs w:val="20"/>
        </w:rPr>
        <w:t xml:space="preserve"> financieras</w:t>
      </w:r>
      <w:r w:rsidRPr="00AC4AEA">
        <w:rPr>
          <w:rFonts w:ascii="Arial" w:hAnsi="Arial" w:cs="Arial"/>
          <w:sz w:val="20"/>
          <w:szCs w:val="20"/>
        </w:rPr>
        <w:t>:</w:t>
      </w:r>
    </w:p>
    <w:p w:rsidR="007237C0" w:rsidRPr="00AC4AEA" w:rsidRDefault="007237C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Cuando </w:t>
      </w:r>
      <w:r w:rsidR="00A047D1" w:rsidRPr="00AC4AEA">
        <w:rPr>
          <w:rFonts w:ascii="Arial" w:hAnsi="Arial" w:cs="Arial"/>
          <w:sz w:val="20"/>
          <w:szCs w:val="20"/>
        </w:rPr>
        <w:t>sean</w:t>
      </w:r>
      <w:r w:rsidRPr="00AC4AEA">
        <w:rPr>
          <w:rFonts w:ascii="Arial" w:hAnsi="Arial" w:cs="Arial"/>
          <w:sz w:val="20"/>
          <w:szCs w:val="20"/>
        </w:rPr>
        <w:t xml:space="preserve"> acciones u otros instrumentos de patrimonio emitidos por entidades sobre las que no se ejerce control, control conjunto ni influencia significativa: </w:t>
      </w:r>
    </w:p>
    <w:p w:rsidR="007237C0" w:rsidRPr="00AC4AEA" w:rsidRDefault="0052091A"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A</w:t>
      </w:r>
      <w:r w:rsidR="007237C0" w:rsidRPr="00AC4AEA">
        <w:rPr>
          <w:rFonts w:ascii="Arial" w:hAnsi="Arial" w:cs="Arial"/>
          <w:sz w:val="20"/>
          <w:szCs w:val="20"/>
        </w:rPr>
        <w:t xml:space="preserve">l </w:t>
      </w:r>
      <w:r w:rsidR="007237C0" w:rsidRPr="00AC4AEA">
        <w:rPr>
          <w:rFonts w:ascii="Arial" w:hAnsi="Arial" w:cs="Arial"/>
          <w:b/>
          <w:bCs/>
          <w:sz w:val="20"/>
          <w:szCs w:val="20"/>
        </w:rPr>
        <w:t>valor razonable</w:t>
      </w:r>
      <w:r w:rsidR="007237C0" w:rsidRPr="00AC4AEA">
        <w:rPr>
          <w:rFonts w:ascii="Arial" w:hAnsi="Arial" w:cs="Arial"/>
          <w:sz w:val="20"/>
          <w:szCs w:val="20"/>
        </w:rPr>
        <w:t xml:space="preserve">, cuando </w:t>
      </w:r>
      <w:r w:rsidR="00A82EFF" w:rsidRPr="00AC4AEA">
        <w:rPr>
          <w:rFonts w:ascii="Arial" w:hAnsi="Arial" w:cs="Arial"/>
          <w:sz w:val="20"/>
          <w:szCs w:val="20"/>
        </w:rPr>
        <w:t>los activos</w:t>
      </w:r>
      <w:r w:rsidR="007237C0" w:rsidRPr="00AC4AEA">
        <w:rPr>
          <w:rFonts w:ascii="Arial" w:hAnsi="Arial" w:cs="Arial"/>
          <w:sz w:val="20"/>
          <w:szCs w:val="20"/>
        </w:rPr>
        <w:t xml:space="preserve"> cotizan en un </w:t>
      </w:r>
      <w:r w:rsidR="007237C0" w:rsidRPr="00AC4AEA">
        <w:rPr>
          <w:rFonts w:ascii="Arial" w:hAnsi="Arial" w:cs="Arial"/>
          <w:b/>
          <w:bCs/>
          <w:sz w:val="20"/>
          <w:szCs w:val="20"/>
        </w:rPr>
        <w:t>mercado activo</w:t>
      </w:r>
      <w:r w:rsidR="00095DC8" w:rsidRPr="00AC4AEA">
        <w:rPr>
          <w:rFonts w:ascii="Arial" w:hAnsi="Arial" w:cs="Arial"/>
          <w:sz w:val="20"/>
          <w:szCs w:val="20"/>
        </w:rPr>
        <w:t>.</w:t>
      </w:r>
      <w:r w:rsidR="007237C0" w:rsidRPr="00AC4AEA">
        <w:rPr>
          <w:rFonts w:ascii="Arial" w:hAnsi="Arial" w:cs="Arial"/>
          <w:sz w:val="20"/>
          <w:szCs w:val="20"/>
        </w:rPr>
        <w:t xml:space="preserve"> </w:t>
      </w:r>
    </w:p>
    <w:p w:rsidR="007237C0" w:rsidRPr="00AC4AEA" w:rsidRDefault="0052091A"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A</w:t>
      </w:r>
      <w:r w:rsidR="007237C0" w:rsidRPr="00AC4AEA">
        <w:rPr>
          <w:rFonts w:ascii="Arial" w:hAnsi="Arial" w:cs="Arial"/>
          <w:sz w:val="20"/>
          <w:szCs w:val="20"/>
        </w:rPr>
        <w:t xml:space="preserve"> su </w:t>
      </w:r>
      <w:r w:rsidR="00A017D0" w:rsidRPr="00AC4AEA">
        <w:rPr>
          <w:rFonts w:ascii="Arial" w:hAnsi="Arial" w:cs="Arial"/>
          <w:b/>
          <w:bCs/>
          <w:sz w:val="20"/>
          <w:szCs w:val="20"/>
        </w:rPr>
        <w:t>cotización sucedánea</w:t>
      </w:r>
      <w:r w:rsidR="007237C0" w:rsidRPr="00AC4AEA">
        <w:rPr>
          <w:rFonts w:ascii="Arial" w:hAnsi="Arial" w:cs="Arial"/>
          <w:sz w:val="20"/>
          <w:szCs w:val="20"/>
        </w:rPr>
        <w:t xml:space="preserve">, cuando </w:t>
      </w:r>
      <w:r w:rsidR="007B7E5B" w:rsidRPr="00AC4AEA">
        <w:rPr>
          <w:rFonts w:ascii="Arial" w:hAnsi="Arial" w:cs="Arial"/>
          <w:sz w:val="20"/>
          <w:szCs w:val="20"/>
        </w:rPr>
        <w:t xml:space="preserve">no pueda determinarse el </w:t>
      </w:r>
      <w:r w:rsidR="007B7E5B" w:rsidRPr="00AC4AEA">
        <w:rPr>
          <w:rFonts w:ascii="Arial" w:hAnsi="Arial" w:cs="Arial"/>
          <w:b/>
          <w:bCs/>
          <w:sz w:val="20"/>
          <w:szCs w:val="20"/>
        </w:rPr>
        <w:t>valor razonable</w:t>
      </w:r>
      <w:r w:rsidRPr="00AC4AEA">
        <w:rPr>
          <w:rFonts w:ascii="Arial" w:hAnsi="Arial" w:cs="Arial"/>
          <w:sz w:val="20"/>
          <w:szCs w:val="20"/>
        </w:rPr>
        <w:t>.</w:t>
      </w:r>
    </w:p>
    <w:p w:rsidR="007237C0" w:rsidRPr="00AC4AEA" w:rsidRDefault="0052091A"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A</w:t>
      </w:r>
      <w:r w:rsidR="007237C0" w:rsidRPr="00AC4AEA">
        <w:rPr>
          <w:rFonts w:ascii="Arial" w:hAnsi="Arial" w:cs="Arial"/>
          <w:sz w:val="20"/>
          <w:szCs w:val="20"/>
        </w:rPr>
        <w:t xml:space="preserve">l </w:t>
      </w:r>
      <w:r w:rsidR="007237C0" w:rsidRPr="00AC4AEA">
        <w:rPr>
          <w:rFonts w:ascii="Arial" w:hAnsi="Arial" w:cs="Arial"/>
          <w:b/>
          <w:bCs/>
          <w:sz w:val="20"/>
          <w:szCs w:val="20"/>
        </w:rPr>
        <w:t>costo de adquisición</w:t>
      </w:r>
      <w:r w:rsidR="007237C0" w:rsidRPr="00AC4AEA">
        <w:rPr>
          <w:rFonts w:ascii="Arial" w:hAnsi="Arial" w:cs="Arial"/>
          <w:sz w:val="20"/>
          <w:szCs w:val="20"/>
        </w:rPr>
        <w:t xml:space="preserve"> menos los dividendos </w:t>
      </w:r>
      <w:r w:rsidR="00D711FA" w:rsidRPr="00AC4AEA">
        <w:rPr>
          <w:rFonts w:ascii="Arial" w:hAnsi="Arial" w:cs="Arial"/>
          <w:sz w:val="20"/>
          <w:szCs w:val="20"/>
        </w:rPr>
        <w:t xml:space="preserve">en </w:t>
      </w:r>
      <w:r w:rsidR="007237C0" w:rsidRPr="00AC4AEA">
        <w:rPr>
          <w:rFonts w:ascii="Arial" w:hAnsi="Arial" w:cs="Arial"/>
          <w:sz w:val="20"/>
          <w:szCs w:val="20"/>
        </w:rPr>
        <w:t xml:space="preserve">efectivo o </w:t>
      </w:r>
      <w:r w:rsidR="00D711FA" w:rsidRPr="00AC4AEA">
        <w:rPr>
          <w:rFonts w:ascii="Arial" w:hAnsi="Arial" w:cs="Arial"/>
          <w:sz w:val="20"/>
          <w:szCs w:val="20"/>
        </w:rPr>
        <w:t xml:space="preserve">en </w:t>
      </w:r>
      <w:r w:rsidR="007237C0" w:rsidRPr="00AC4AEA">
        <w:rPr>
          <w:rFonts w:ascii="Arial" w:hAnsi="Arial" w:cs="Arial"/>
          <w:sz w:val="20"/>
          <w:szCs w:val="20"/>
        </w:rPr>
        <w:t xml:space="preserve">especie u otros beneficios declarados </w:t>
      </w:r>
      <w:r w:rsidR="00D711FA" w:rsidRPr="00AC4AEA">
        <w:rPr>
          <w:rFonts w:ascii="Arial" w:hAnsi="Arial" w:cs="Arial"/>
          <w:sz w:val="20"/>
          <w:szCs w:val="20"/>
        </w:rPr>
        <w:t>(y no pagados) hasta el</w:t>
      </w:r>
      <w:r w:rsidR="007237C0" w:rsidRPr="00AC4AEA">
        <w:rPr>
          <w:rFonts w:ascii="Arial" w:hAnsi="Arial" w:cs="Arial"/>
          <w:sz w:val="20"/>
          <w:szCs w:val="20"/>
        </w:rPr>
        <w:t xml:space="preserve"> momento del reconocimiento, en los restantes casos.</w:t>
      </w:r>
    </w:p>
    <w:p w:rsidR="008310A3" w:rsidRPr="00AC4AEA" w:rsidRDefault="008310A3"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 xml:space="preserve">Cuando </w:t>
      </w:r>
      <w:r w:rsidR="00A922B4" w:rsidRPr="00AC4AEA">
        <w:rPr>
          <w:rFonts w:ascii="Arial" w:hAnsi="Arial" w:cs="Arial"/>
          <w:sz w:val="20"/>
          <w:szCs w:val="20"/>
        </w:rPr>
        <w:t>se trate de deudas</w:t>
      </w:r>
      <w:r w:rsidRPr="00AC4AEA">
        <w:rPr>
          <w:rFonts w:ascii="Arial" w:hAnsi="Arial" w:cs="Arial"/>
          <w:sz w:val="20"/>
          <w:szCs w:val="20"/>
        </w:rPr>
        <w:t xml:space="preserve"> emitid</w:t>
      </w:r>
      <w:r w:rsidR="00A922B4" w:rsidRPr="00AC4AEA">
        <w:rPr>
          <w:rFonts w:ascii="Arial" w:hAnsi="Arial" w:cs="Arial"/>
          <w:sz w:val="20"/>
          <w:szCs w:val="20"/>
        </w:rPr>
        <w:t>as</w:t>
      </w:r>
      <w:r w:rsidRPr="00AC4AEA">
        <w:rPr>
          <w:rFonts w:ascii="Arial" w:hAnsi="Arial" w:cs="Arial"/>
          <w:sz w:val="20"/>
          <w:szCs w:val="20"/>
        </w:rPr>
        <w:t xml:space="preserve"> por otras entidades (</w:t>
      </w:r>
      <w:r w:rsidR="00A922B4" w:rsidRPr="00AC4AEA">
        <w:rPr>
          <w:rFonts w:ascii="Arial" w:hAnsi="Arial" w:cs="Arial"/>
          <w:sz w:val="20"/>
          <w:szCs w:val="20"/>
        </w:rPr>
        <w:t>por ejemplo, títulos públicos o privados o plazos fijos</w:t>
      </w:r>
      <w:r w:rsidRPr="00AC4AEA">
        <w:rPr>
          <w:rFonts w:ascii="Arial" w:hAnsi="Arial" w:cs="Arial"/>
          <w:sz w:val="20"/>
          <w:szCs w:val="20"/>
        </w:rPr>
        <w:t>):</w:t>
      </w:r>
    </w:p>
    <w:p w:rsidR="00FF0D6A" w:rsidRPr="00AC4AEA" w:rsidRDefault="00C22A42" w:rsidP="00A318EA">
      <w:pPr>
        <w:pStyle w:val="Prrafodelista"/>
        <w:numPr>
          <w:ilvl w:val="2"/>
          <w:numId w:val="29"/>
        </w:numPr>
        <w:ind w:left="1984"/>
        <w:contextualSpacing w:val="0"/>
        <w:jc w:val="both"/>
        <w:rPr>
          <w:rFonts w:ascii="Arial" w:hAnsi="Arial" w:cs="Arial"/>
          <w:sz w:val="20"/>
          <w:szCs w:val="20"/>
        </w:rPr>
      </w:pPr>
      <w:r w:rsidRPr="00AC4AEA">
        <w:rPr>
          <w:rFonts w:ascii="Arial" w:hAnsi="Arial" w:cs="Arial"/>
          <w:sz w:val="20"/>
          <w:szCs w:val="20"/>
        </w:rPr>
        <w:t xml:space="preserve">Al </w:t>
      </w:r>
      <w:r w:rsidRPr="00AC4AEA">
        <w:rPr>
          <w:rFonts w:ascii="Arial" w:hAnsi="Arial" w:cs="Arial"/>
          <w:b/>
          <w:bCs/>
          <w:sz w:val="20"/>
          <w:szCs w:val="20"/>
        </w:rPr>
        <w:t>valor razonable</w:t>
      </w:r>
      <w:r w:rsidRPr="00AC4AEA">
        <w:rPr>
          <w:rFonts w:ascii="Arial" w:hAnsi="Arial" w:cs="Arial"/>
          <w:sz w:val="20"/>
          <w:szCs w:val="20"/>
        </w:rPr>
        <w:t xml:space="preserve">, </w:t>
      </w:r>
      <w:r w:rsidR="00A85EDC" w:rsidRPr="00AC4AEA">
        <w:rPr>
          <w:rFonts w:ascii="Arial" w:hAnsi="Arial" w:cs="Arial"/>
          <w:sz w:val="20"/>
          <w:szCs w:val="20"/>
        </w:rPr>
        <w:t>si</w:t>
      </w:r>
      <w:r w:rsidR="00FF0D6A" w:rsidRPr="00AC4AEA">
        <w:rPr>
          <w:rFonts w:ascii="Arial" w:hAnsi="Arial" w:cs="Arial"/>
          <w:sz w:val="20"/>
          <w:szCs w:val="20"/>
        </w:rPr>
        <w:t>:</w:t>
      </w:r>
    </w:p>
    <w:p w:rsidR="00FF0D6A" w:rsidRPr="00AC4AEA" w:rsidRDefault="00C94D03" w:rsidP="00A318EA">
      <w:pPr>
        <w:pStyle w:val="Prrafodelista"/>
        <w:numPr>
          <w:ilvl w:val="3"/>
          <w:numId w:val="29"/>
        </w:numPr>
        <w:ind w:left="2517" w:hanging="357"/>
        <w:contextualSpacing w:val="0"/>
        <w:jc w:val="both"/>
        <w:rPr>
          <w:rFonts w:ascii="Arial" w:hAnsi="Arial" w:cs="Arial"/>
          <w:sz w:val="20"/>
          <w:szCs w:val="20"/>
        </w:rPr>
      </w:pPr>
      <w:r w:rsidRPr="00AC4AEA">
        <w:rPr>
          <w:rFonts w:ascii="Arial" w:hAnsi="Arial" w:cs="Arial"/>
          <w:sz w:val="20"/>
          <w:szCs w:val="20"/>
        </w:rPr>
        <w:t xml:space="preserve">la entidad </w:t>
      </w:r>
      <w:r w:rsidR="006A0415" w:rsidRPr="00AC4AEA">
        <w:rPr>
          <w:rFonts w:ascii="Arial" w:hAnsi="Arial" w:cs="Arial"/>
          <w:sz w:val="20"/>
          <w:szCs w:val="20"/>
        </w:rPr>
        <w:t>t</w:t>
      </w:r>
      <w:r w:rsidR="00FF0D6A" w:rsidRPr="00AC4AEA">
        <w:rPr>
          <w:rFonts w:ascii="Arial" w:hAnsi="Arial" w:cs="Arial"/>
          <w:sz w:val="20"/>
          <w:szCs w:val="20"/>
        </w:rPr>
        <w:t>iene la intención y factibilidad de negociarlos, cederlos o transferirlos anticipadamente;</w:t>
      </w:r>
    </w:p>
    <w:p w:rsidR="00FF0D6A" w:rsidRPr="00AC4AEA" w:rsidRDefault="00C94D03" w:rsidP="00A318EA">
      <w:pPr>
        <w:pStyle w:val="Prrafodelista"/>
        <w:numPr>
          <w:ilvl w:val="3"/>
          <w:numId w:val="29"/>
        </w:numPr>
        <w:ind w:left="2517" w:hanging="357"/>
        <w:contextualSpacing w:val="0"/>
        <w:jc w:val="both"/>
        <w:rPr>
          <w:rFonts w:ascii="Arial" w:hAnsi="Arial" w:cs="Arial"/>
          <w:sz w:val="20"/>
          <w:szCs w:val="20"/>
        </w:rPr>
      </w:pPr>
      <w:r w:rsidRPr="00AC4AEA">
        <w:rPr>
          <w:rFonts w:ascii="Arial" w:hAnsi="Arial" w:cs="Arial"/>
          <w:sz w:val="20"/>
          <w:szCs w:val="20"/>
        </w:rPr>
        <w:t xml:space="preserve">la entidad </w:t>
      </w:r>
      <w:r w:rsidR="006A0415" w:rsidRPr="00AC4AEA">
        <w:rPr>
          <w:rFonts w:ascii="Arial" w:hAnsi="Arial" w:cs="Arial"/>
          <w:sz w:val="20"/>
          <w:szCs w:val="20"/>
        </w:rPr>
        <w:t>p</w:t>
      </w:r>
      <w:r w:rsidR="00FF0D6A" w:rsidRPr="00AC4AEA">
        <w:rPr>
          <w:rFonts w:ascii="Arial" w:hAnsi="Arial" w:cs="Arial"/>
          <w:sz w:val="20"/>
          <w:szCs w:val="20"/>
        </w:rPr>
        <w:t xml:space="preserve">uede </w:t>
      </w:r>
      <w:r w:rsidR="000709EC" w:rsidRPr="00AC4AEA">
        <w:rPr>
          <w:rFonts w:ascii="Arial" w:hAnsi="Arial" w:cs="Arial"/>
          <w:sz w:val="20"/>
          <w:szCs w:val="20"/>
        </w:rPr>
        <w:t xml:space="preserve">acceder a un </w:t>
      </w:r>
      <w:r w:rsidR="000709EC" w:rsidRPr="00AC4AEA">
        <w:rPr>
          <w:rFonts w:ascii="Arial" w:hAnsi="Arial" w:cs="Arial"/>
          <w:b/>
          <w:bCs/>
          <w:sz w:val="20"/>
          <w:szCs w:val="20"/>
        </w:rPr>
        <w:t>mercado activo</w:t>
      </w:r>
      <w:r w:rsidR="000709EC" w:rsidRPr="00AC4AEA">
        <w:rPr>
          <w:rFonts w:ascii="Arial" w:hAnsi="Arial" w:cs="Arial"/>
          <w:sz w:val="20"/>
          <w:szCs w:val="20"/>
        </w:rPr>
        <w:t xml:space="preserve"> para realizarlos anticipadamente</w:t>
      </w:r>
      <w:r w:rsidR="006A0415" w:rsidRPr="00AC4AEA">
        <w:rPr>
          <w:rFonts w:ascii="Arial" w:hAnsi="Arial" w:cs="Arial"/>
          <w:sz w:val="20"/>
          <w:szCs w:val="20"/>
        </w:rPr>
        <w:t>;</w:t>
      </w:r>
      <w:r w:rsidR="00FF0D6A" w:rsidRPr="00AC4AEA">
        <w:rPr>
          <w:rFonts w:ascii="Arial" w:hAnsi="Arial" w:cs="Arial"/>
          <w:sz w:val="20"/>
          <w:szCs w:val="20"/>
        </w:rPr>
        <w:t xml:space="preserve"> y</w:t>
      </w:r>
    </w:p>
    <w:p w:rsidR="00FF0D6A" w:rsidRPr="00AC4AEA" w:rsidRDefault="00C94D03" w:rsidP="00A318EA">
      <w:pPr>
        <w:pStyle w:val="Prrafodelista"/>
        <w:numPr>
          <w:ilvl w:val="3"/>
          <w:numId w:val="29"/>
        </w:numPr>
        <w:ind w:left="2517" w:hanging="357"/>
        <w:contextualSpacing w:val="0"/>
        <w:jc w:val="both"/>
        <w:rPr>
          <w:rFonts w:ascii="Arial" w:hAnsi="Arial" w:cs="Arial"/>
          <w:sz w:val="20"/>
          <w:szCs w:val="20"/>
        </w:rPr>
      </w:pPr>
      <w:r w:rsidRPr="00AC4AEA">
        <w:rPr>
          <w:rFonts w:ascii="Arial" w:hAnsi="Arial" w:cs="Arial"/>
          <w:sz w:val="20"/>
          <w:szCs w:val="20"/>
        </w:rPr>
        <w:t>la</w:t>
      </w:r>
      <w:r w:rsidR="00FF0D6A" w:rsidRPr="00AC4AEA">
        <w:rPr>
          <w:rFonts w:ascii="Arial" w:hAnsi="Arial" w:cs="Arial"/>
          <w:sz w:val="20"/>
          <w:szCs w:val="20"/>
        </w:rPr>
        <w:t xml:space="preserve"> conducta o modalidad operativa</w:t>
      </w:r>
      <w:r w:rsidRPr="00AC4AEA">
        <w:rPr>
          <w:rFonts w:ascii="Arial" w:hAnsi="Arial" w:cs="Arial"/>
          <w:sz w:val="20"/>
          <w:szCs w:val="20"/>
        </w:rPr>
        <w:t xml:space="preserve"> de la entidad</w:t>
      </w:r>
      <w:r w:rsidR="00FF0D6A" w:rsidRPr="00AC4AEA">
        <w:rPr>
          <w:rFonts w:ascii="Arial" w:hAnsi="Arial" w:cs="Arial"/>
          <w:sz w:val="20"/>
          <w:szCs w:val="20"/>
        </w:rPr>
        <w:t xml:space="preserve"> es revelada por hechos anteriores o posteriores a la </w:t>
      </w:r>
      <w:r w:rsidR="00FF0D6A"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FF0D6A" w:rsidRPr="00AC4AEA">
        <w:rPr>
          <w:rFonts w:ascii="Arial" w:hAnsi="Arial" w:cs="Arial"/>
          <w:sz w:val="20"/>
          <w:szCs w:val="20"/>
        </w:rPr>
        <w:t>.</w:t>
      </w:r>
    </w:p>
    <w:p w:rsidR="007237C0" w:rsidRPr="00AC4AEA" w:rsidRDefault="007237C0" w:rsidP="00A318EA">
      <w:pPr>
        <w:pStyle w:val="Prrafodelista"/>
        <w:numPr>
          <w:ilvl w:val="2"/>
          <w:numId w:val="29"/>
        </w:numPr>
        <w:ind w:left="1984"/>
        <w:contextualSpacing w:val="0"/>
        <w:jc w:val="both"/>
        <w:rPr>
          <w:rFonts w:ascii="Arial" w:hAnsi="Arial" w:cs="Arial"/>
          <w:sz w:val="20"/>
          <w:szCs w:val="20"/>
        </w:rPr>
      </w:pPr>
      <w:r w:rsidRPr="00AC4AEA">
        <w:rPr>
          <w:rFonts w:ascii="Arial" w:hAnsi="Arial" w:cs="Arial"/>
          <w:sz w:val="20"/>
          <w:szCs w:val="20"/>
        </w:rPr>
        <w:t xml:space="preserve">A su </w:t>
      </w:r>
      <w:r w:rsidRPr="00AC4AEA">
        <w:rPr>
          <w:rFonts w:ascii="Arial" w:hAnsi="Arial" w:cs="Arial"/>
          <w:b/>
          <w:bCs/>
          <w:sz w:val="20"/>
          <w:szCs w:val="20"/>
        </w:rPr>
        <w:t>cotización</w:t>
      </w:r>
      <w:r w:rsidRPr="00AC4AEA">
        <w:rPr>
          <w:rFonts w:ascii="Arial" w:hAnsi="Arial" w:cs="Arial"/>
          <w:sz w:val="20"/>
          <w:szCs w:val="20"/>
        </w:rPr>
        <w:t xml:space="preserve">, </w:t>
      </w:r>
      <w:r w:rsidR="009D10F7" w:rsidRPr="00AC4AEA">
        <w:rPr>
          <w:rFonts w:ascii="Arial" w:hAnsi="Arial" w:cs="Arial"/>
          <w:sz w:val="20"/>
          <w:szCs w:val="20"/>
        </w:rPr>
        <w:t>si</w:t>
      </w:r>
      <w:r w:rsidRPr="00AC4AEA">
        <w:rPr>
          <w:rFonts w:ascii="Arial" w:hAnsi="Arial" w:cs="Arial"/>
          <w:sz w:val="20"/>
          <w:szCs w:val="20"/>
        </w:rPr>
        <w:t>:</w:t>
      </w:r>
    </w:p>
    <w:p w:rsidR="007237C0" w:rsidRPr="00AC4AEA" w:rsidRDefault="009D10F7" w:rsidP="00A318EA">
      <w:pPr>
        <w:pStyle w:val="Prrafodelista"/>
        <w:numPr>
          <w:ilvl w:val="3"/>
          <w:numId w:val="29"/>
        </w:numPr>
        <w:contextualSpacing w:val="0"/>
        <w:jc w:val="both"/>
        <w:rPr>
          <w:rFonts w:ascii="Arial" w:hAnsi="Arial" w:cs="Arial"/>
          <w:sz w:val="20"/>
          <w:szCs w:val="20"/>
        </w:rPr>
      </w:pPr>
      <w:r w:rsidRPr="00AC4AEA">
        <w:rPr>
          <w:rFonts w:ascii="Arial" w:hAnsi="Arial" w:cs="Arial"/>
          <w:sz w:val="20"/>
          <w:szCs w:val="20"/>
        </w:rPr>
        <w:t xml:space="preserve">la entidad </w:t>
      </w:r>
      <w:r w:rsidR="007237C0" w:rsidRPr="00AC4AEA">
        <w:rPr>
          <w:rFonts w:ascii="Arial" w:hAnsi="Arial" w:cs="Arial"/>
          <w:sz w:val="20"/>
          <w:szCs w:val="20"/>
        </w:rPr>
        <w:t>tiene la intención y factibilidad de negociarlos, cederlos o transferirlos anticipadamente;</w:t>
      </w:r>
    </w:p>
    <w:p w:rsidR="007237C0" w:rsidRPr="00AC4AEA" w:rsidRDefault="009D10F7" w:rsidP="00A318EA">
      <w:pPr>
        <w:pStyle w:val="Prrafodelista"/>
        <w:numPr>
          <w:ilvl w:val="3"/>
          <w:numId w:val="29"/>
        </w:numPr>
        <w:contextualSpacing w:val="0"/>
        <w:jc w:val="both"/>
        <w:rPr>
          <w:rFonts w:ascii="Arial" w:hAnsi="Arial" w:cs="Arial"/>
          <w:sz w:val="20"/>
          <w:szCs w:val="20"/>
        </w:rPr>
      </w:pPr>
      <w:r w:rsidRPr="00AC4AEA">
        <w:rPr>
          <w:rFonts w:ascii="Arial" w:hAnsi="Arial" w:cs="Arial"/>
          <w:sz w:val="20"/>
          <w:szCs w:val="20"/>
        </w:rPr>
        <w:t xml:space="preserve">la entidad </w:t>
      </w:r>
      <w:r w:rsidR="007237C0" w:rsidRPr="00AC4AEA">
        <w:rPr>
          <w:rFonts w:ascii="Arial" w:hAnsi="Arial" w:cs="Arial"/>
          <w:sz w:val="20"/>
          <w:szCs w:val="20"/>
        </w:rPr>
        <w:t xml:space="preserve">puede acceder a un mercado que no reúne todas las características de un </w:t>
      </w:r>
      <w:r w:rsidR="007237C0" w:rsidRPr="00AC4AEA">
        <w:rPr>
          <w:rFonts w:ascii="Arial" w:hAnsi="Arial" w:cs="Arial"/>
          <w:b/>
          <w:bCs/>
          <w:sz w:val="20"/>
          <w:szCs w:val="20"/>
        </w:rPr>
        <w:t>mercado activo</w:t>
      </w:r>
      <w:r w:rsidR="007237C0" w:rsidRPr="00AC4AEA">
        <w:rPr>
          <w:rFonts w:ascii="Arial" w:hAnsi="Arial" w:cs="Arial"/>
          <w:sz w:val="20"/>
          <w:szCs w:val="20"/>
        </w:rPr>
        <w:t xml:space="preserve"> para realizarlos anticipadamente; y</w:t>
      </w:r>
    </w:p>
    <w:p w:rsidR="007237C0" w:rsidRPr="00AC4AEA" w:rsidRDefault="009D10F7" w:rsidP="00A318EA">
      <w:pPr>
        <w:pStyle w:val="Prrafodelista"/>
        <w:numPr>
          <w:ilvl w:val="3"/>
          <w:numId w:val="29"/>
        </w:numPr>
        <w:contextualSpacing w:val="0"/>
        <w:jc w:val="both"/>
        <w:rPr>
          <w:rFonts w:ascii="Arial" w:hAnsi="Arial" w:cs="Arial"/>
          <w:sz w:val="20"/>
          <w:szCs w:val="20"/>
        </w:rPr>
      </w:pPr>
      <w:r w:rsidRPr="00AC4AEA">
        <w:rPr>
          <w:rFonts w:ascii="Arial" w:hAnsi="Arial" w:cs="Arial"/>
          <w:sz w:val="20"/>
          <w:szCs w:val="20"/>
        </w:rPr>
        <w:t>la</w:t>
      </w:r>
      <w:r w:rsidR="007237C0" w:rsidRPr="00AC4AEA">
        <w:rPr>
          <w:rFonts w:ascii="Arial" w:hAnsi="Arial" w:cs="Arial"/>
          <w:sz w:val="20"/>
          <w:szCs w:val="20"/>
        </w:rPr>
        <w:t xml:space="preserve"> conducta o modalidad operativa </w:t>
      </w:r>
      <w:r w:rsidRPr="00AC4AEA">
        <w:rPr>
          <w:rFonts w:ascii="Arial" w:hAnsi="Arial" w:cs="Arial"/>
          <w:sz w:val="20"/>
          <w:szCs w:val="20"/>
        </w:rPr>
        <w:t xml:space="preserve">de la entidad </w:t>
      </w:r>
      <w:r w:rsidR="007237C0" w:rsidRPr="00AC4AEA">
        <w:rPr>
          <w:rFonts w:ascii="Arial" w:hAnsi="Arial" w:cs="Arial"/>
          <w:sz w:val="20"/>
          <w:szCs w:val="20"/>
        </w:rPr>
        <w:t xml:space="preserve">es revelada por hechos anteriores o posteriores a la </w:t>
      </w:r>
      <w:r w:rsidR="007237C0" w:rsidRPr="00AC4AEA">
        <w:rPr>
          <w:rFonts w:ascii="Arial" w:hAnsi="Arial" w:cs="Arial"/>
          <w:b/>
          <w:bCs/>
          <w:sz w:val="20"/>
          <w:szCs w:val="20"/>
        </w:rPr>
        <w:t>fecha de los estados contables</w:t>
      </w:r>
      <w:r w:rsidR="007237C0" w:rsidRPr="00AC4AEA">
        <w:rPr>
          <w:rFonts w:ascii="Arial" w:hAnsi="Arial" w:cs="Arial"/>
          <w:sz w:val="20"/>
          <w:szCs w:val="20"/>
        </w:rPr>
        <w:t>.</w:t>
      </w:r>
    </w:p>
    <w:p w:rsidR="00FF0D6A" w:rsidRPr="00AC4AEA" w:rsidRDefault="00033E0F" w:rsidP="00A318EA">
      <w:pPr>
        <w:pStyle w:val="Prrafodelista"/>
        <w:numPr>
          <w:ilvl w:val="2"/>
          <w:numId w:val="29"/>
        </w:numPr>
        <w:ind w:left="1984"/>
        <w:contextualSpacing w:val="0"/>
        <w:jc w:val="both"/>
        <w:rPr>
          <w:rFonts w:ascii="Arial" w:hAnsi="Arial" w:cs="Arial"/>
          <w:sz w:val="20"/>
          <w:szCs w:val="20"/>
        </w:rPr>
      </w:pPr>
      <w:r w:rsidRPr="00AC4AEA">
        <w:rPr>
          <w:rFonts w:ascii="Arial" w:hAnsi="Arial" w:cs="Arial"/>
          <w:sz w:val="20"/>
          <w:szCs w:val="20"/>
        </w:rPr>
        <w:t xml:space="preserve">Al </w:t>
      </w:r>
      <w:r w:rsidR="00FF0D6A" w:rsidRPr="00AC4AEA">
        <w:rPr>
          <w:rFonts w:ascii="Arial" w:hAnsi="Arial" w:cs="Arial"/>
          <w:b/>
          <w:bCs/>
          <w:sz w:val="20"/>
          <w:szCs w:val="20"/>
        </w:rPr>
        <w:t>costo amortizado</w:t>
      </w:r>
      <w:r w:rsidR="00067A1A" w:rsidRPr="00AC4AEA">
        <w:rPr>
          <w:rFonts w:ascii="Arial" w:hAnsi="Arial" w:cs="Arial"/>
          <w:b/>
          <w:bCs/>
          <w:sz w:val="20"/>
          <w:szCs w:val="20"/>
        </w:rPr>
        <w:t>,</w:t>
      </w:r>
      <w:r w:rsidR="00FF0D6A" w:rsidRPr="00AC4AEA">
        <w:rPr>
          <w:rFonts w:ascii="Arial" w:hAnsi="Arial" w:cs="Arial"/>
          <w:sz w:val="20"/>
          <w:szCs w:val="20"/>
        </w:rPr>
        <w:t xml:space="preserve"> </w:t>
      </w:r>
      <w:r w:rsidR="00067A1A" w:rsidRPr="00AC4AEA">
        <w:rPr>
          <w:rFonts w:ascii="Arial" w:hAnsi="Arial" w:cs="Arial"/>
          <w:sz w:val="20"/>
          <w:szCs w:val="20"/>
        </w:rPr>
        <w:t>en los restantes casos</w:t>
      </w:r>
      <w:r w:rsidR="00FF0D6A" w:rsidRPr="00AC4AEA">
        <w:rPr>
          <w:rFonts w:ascii="Arial" w:hAnsi="Arial" w:cs="Arial"/>
          <w:sz w:val="20"/>
          <w:szCs w:val="20"/>
        </w:rPr>
        <w:t>.</w:t>
      </w:r>
    </w:p>
    <w:p w:rsidR="008B4088" w:rsidRPr="00AC4AEA" w:rsidRDefault="007237C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reconocerá en el resultado del período</w:t>
      </w:r>
      <w:r w:rsidR="008B4088" w:rsidRPr="00AC4AEA">
        <w:rPr>
          <w:rFonts w:ascii="Arial" w:hAnsi="Arial" w:cs="Arial"/>
          <w:sz w:val="20"/>
          <w:szCs w:val="20"/>
        </w:rPr>
        <w:t>, según corresponda:</w:t>
      </w:r>
      <w:r w:rsidRPr="00AC4AEA">
        <w:rPr>
          <w:rFonts w:ascii="Arial" w:hAnsi="Arial" w:cs="Arial"/>
          <w:sz w:val="20"/>
          <w:szCs w:val="20"/>
        </w:rPr>
        <w:t xml:space="preserve"> </w:t>
      </w:r>
    </w:p>
    <w:p w:rsidR="008B4088" w:rsidRPr="00AC4AEA" w:rsidRDefault="007237C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cambios del </w:t>
      </w:r>
      <w:r w:rsidRPr="00AC4AEA">
        <w:rPr>
          <w:rFonts w:ascii="Arial" w:hAnsi="Arial" w:cs="Arial"/>
          <w:b/>
          <w:bCs/>
          <w:sz w:val="20"/>
          <w:szCs w:val="20"/>
        </w:rPr>
        <w:t>valor razonable</w:t>
      </w:r>
      <w:r w:rsidR="008B4088" w:rsidRPr="00AC4AEA">
        <w:rPr>
          <w:rFonts w:ascii="Arial" w:hAnsi="Arial" w:cs="Arial"/>
          <w:b/>
          <w:bCs/>
          <w:sz w:val="20"/>
          <w:szCs w:val="20"/>
        </w:rPr>
        <w:t>;</w:t>
      </w:r>
    </w:p>
    <w:p w:rsidR="008B4088" w:rsidRPr="00AC4AEA" w:rsidRDefault="008B408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los cambios</w:t>
      </w:r>
      <w:r w:rsidR="007237C0" w:rsidRPr="00AC4AEA">
        <w:rPr>
          <w:rFonts w:ascii="Arial" w:hAnsi="Arial" w:cs="Arial"/>
          <w:sz w:val="20"/>
          <w:szCs w:val="20"/>
        </w:rPr>
        <w:t xml:space="preserve"> de la </w:t>
      </w:r>
      <w:r w:rsidR="007237C0" w:rsidRPr="00AC4AEA">
        <w:rPr>
          <w:rFonts w:ascii="Arial" w:hAnsi="Arial" w:cs="Arial"/>
          <w:b/>
          <w:bCs/>
          <w:sz w:val="20"/>
          <w:szCs w:val="20"/>
        </w:rPr>
        <w:t>cotización</w:t>
      </w:r>
      <w:r w:rsidR="00A017D0" w:rsidRPr="00AC4AEA">
        <w:rPr>
          <w:rFonts w:ascii="Arial" w:hAnsi="Arial" w:cs="Arial"/>
          <w:b/>
          <w:bCs/>
          <w:sz w:val="20"/>
          <w:szCs w:val="20"/>
        </w:rPr>
        <w:t xml:space="preserve"> sucedánea</w:t>
      </w:r>
      <w:r w:rsidR="007237C0" w:rsidRPr="00AC4AEA">
        <w:rPr>
          <w:rFonts w:ascii="Arial" w:hAnsi="Arial" w:cs="Arial"/>
          <w:sz w:val="20"/>
          <w:szCs w:val="20"/>
        </w:rPr>
        <w:t xml:space="preserve"> de </w:t>
      </w:r>
      <w:r w:rsidR="00A047D1" w:rsidRPr="00AC4AEA">
        <w:rPr>
          <w:rFonts w:ascii="Arial" w:hAnsi="Arial" w:cs="Arial"/>
          <w:sz w:val="20"/>
          <w:szCs w:val="20"/>
        </w:rPr>
        <w:t>las</w:t>
      </w:r>
      <w:r w:rsidR="007237C0" w:rsidRPr="00AC4AEA">
        <w:rPr>
          <w:rFonts w:ascii="Arial" w:hAnsi="Arial" w:cs="Arial"/>
          <w:sz w:val="20"/>
          <w:szCs w:val="20"/>
        </w:rPr>
        <w:t xml:space="preserve"> inversiones</w:t>
      </w:r>
      <w:r w:rsidR="00A047D1" w:rsidRPr="00AC4AEA">
        <w:rPr>
          <w:rFonts w:ascii="Arial" w:hAnsi="Arial" w:cs="Arial"/>
          <w:sz w:val="20"/>
          <w:szCs w:val="20"/>
        </w:rPr>
        <w:t xml:space="preserve"> financieras</w:t>
      </w:r>
      <w:r w:rsidRPr="00AC4AEA">
        <w:rPr>
          <w:rFonts w:ascii="Arial" w:hAnsi="Arial" w:cs="Arial"/>
          <w:sz w:val="20"/>
          <w:szCs w:val="20"/>
        </w:rPr>
        <w:t>;</w:t>
      </w:r>
      <w:r w:rsidR="007237C0" w:rsidRPr="00AC4AEA">
        <w:rPr>
          <w:rFonts w:ascii="Arial" w:hAnsi="Arial" w:cs="Arial"/>
          <w:sz w:val="20"/>
          <w:szCs w:val="20"/>
        </w:rPr>
        <w:t xml:space="preserve"> </w:t>
      </w:r>
    </w:p>
    <w:p w:rsidR="007237C0" w:rsidRPr="00AC4AEA" w:rsidRDefault="007237C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ingresos financieros</w:t>
      </w:r>
      <w:r w:rsidRPr="00AC4AEA">
        <w:rPr>
          <w:rFonts w:ascii="Arial" w:hAnsi="Arial" w:cs="Arial"/>
          <w:sz w:val="20"/>
          <w:szCs w:val="20"/>
        </w:rPr>
        <w:t xml:space="preserve"> que generen</w:t>
      </w:r>
      <w:r w:rsidR="002D3F72" w:rsidRPr="00AC4AEA">
        <w:rPr>
          <w:rFonts w:ascii="Arial" w:hAnsi="Arial" w:cs="Arial"/>
          <w:sz w:val="20"/>
          <w:szCs w:val="20"/>
        </w:rPr>
        <w:t>; o</w:t>
      </w:r>
    </w:p>
    <w:p w:rsidR="002D3F72" w:rsidRPr="00AC4AEA" w:rsidRDefault="002D3F7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los dividendos declarados por los resultados obtenidos por la emisora de las acciones</w:t>
      </w:r>
      <w:r w:rsidR="009617A0" w:rsidRPr="00AC4AEA">
        <w:rPr>
          <w:rFonts w:ascii="Arial" w:hAnsi="Arial" w:cs="Arial"/>
          <w:sz w:val="20"/>
          <w:szCs w:val="20"/>
        </w:rPr>
        <w:t xml:space="preserve"> u otros instrumentos de patrimonio</w:t>
      </w:r>
      <w:r w:rsidRPr="00AC4AEA">
        <w:rPr>
          <w:rFonts w:ascii="Arial" w:hAnsi="Arial" w:cs="Arial"/>
          <w:sz w:val="20"/>
          <w:szCs w:val="20"/>
        </w:rPr>
        <w:t>.</w:t>
      </w:r>
    </w:p>
    <w:p w:rsidR="00FF0D6A" w:rsidRPr="00AC4AEA" w:rsidRDefault="00FF0D6A" w:rsidP="00A318EA">
      <w:pPr>
        <w:pStyle w:val="Prrafodelista"/>
        <w:ind w:left="360"/>
        <w:contextualSpacing w:val="0"/>
        <w:jc w:val="both"/>
        <w:rPr>
          <w:rFonts w:ascii="Arial" w:hAnsi="Arial" w:cs="Arial"/>
          <w:sz w:val="20"/>
          <w:szCs w:val="20"/>
        </w:rPr>
      </w:pPr>
    </w:p>
    <w:p w:rsidR="00A97964" w:rsidRPr="00AC4AEA" w:rsidRDefault="00A97964" w:rsidP="00A318EA">
      <w:pPr>
        <w:pStyle w:val="Ttulo2"/>
        <w:rPr>
          <w:rFonts w:cs="Arial"/>
        </w:rPr>
      </w:pPr>
      <w:bookmarkStart w:id="334" w:name="_Toc101863806"/>
      <w:bookmarkStart w:id="335" w:name="_Toc139356673"/>
      <w:r w:rsidRPr="00AC4AEA">
        <w:rPr>
          <w:rFonts w:cs="Arial"/>
        </w:rPr>
        <w:t>Comparación con el valor recuperable</w:t>
      </w:r>
      <w:bookmarkEnd w:id="334"/>
      <w:bookmarkEnd w:id="335"/>
    </w:p>
    <w:p w:rsidR="00FF0D6A" w:rsidRPr="00AC4AEA" w:rsidRDefault="00196A7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 la </w:t>
      </w:r>
      <w:r w:rsidRPr="00AC4AEA">
        <w:rPr>
          <w:rFonts w:ascii="Arial" w:hAnsi="Arial" w:cs="Arial"/>
          <w:b/>
          <w:bCs/>
          <w:sz w:val="20"/>
          <w:szCs w:val="20"/>
        </w:rPr>
        <w:t>fecha de los estados contables</w:t>
      </w:r>
      <w:r w:rsidRPr="00AC4AEA">
        <w:rPr>
          <w:rFonts w:ascii="Arial" w:hAnsi="Arial" w:cs="Arial"/>
          <w:sz w:val="20"/>
          <w:szCs w:val="20"/>
        </w:rPr>
        <w:t>, u</w:t>
      </w:r>
      <w:r w:rsidR="00FF0D6A" w:rsidRPr="00AC4AEA">
        <w:rPr>
          <w:rFonts w:ascii="Arial" w:hAnsi="Arial" w:cs="Arial"/>
          <w:sz w:val="20"/>
          <w:szCs w:val="20"/>
        </w:rPr>
        <w:t xml:space="preserve">na entidad evaluará si existen indicios </w:t>
      </w:r>
      <w:r w:rsidR="00601388" w:rsidRPr="00AC4AEA">
        <w:rPr>
          <w:rFonts w:ascii="Arial" w:hAnsi="Arial" w:cs="Arial"/>
          <w:sz w:val="20"/>
          <w:szCs w:val="20"/>
        </w:rPr>
        <w:t xml:space="preserve">de </w:t>
      </w:r>
      <w:r w:rsidR="00FF0D6A" w:rsidRPr="00AC4AEA">
        <w:rPr>
          <w:rFonts w:ascii="Arial" w:hAnsi="Arial" w:cs="Arial"/>
          <w:sz w:val="20"/>
          <w:szCs w:val="20"/>
        </w:rPr>
        <w:t>desvalorización de l</w:t>
      </w:r>
      <w:r w:rsidR="00601388" w:rsidRPr="00AC4AEA">
        <w:rPr>
          <w:rFonts w:ascii="Arial" w:hAnsi="Arial" w:cs="Arial"/>
          <w:sz w:val="20"/>
          <w:szCs w:val="20"/>
        </w:rPr>
        <w:t>a</w:t>
      </w:r>
      <w:r w:rsidR="00FF0D6A" w:rsidRPr="00AC4AEA">
        <w:rPr>
          <w:rFonts w:ascii="Arial" w:hAnsi="Arial" w:cs="Arial"/>
          <w:sz w:val="20"/>
          <w:szCs w:val="20"/>
        </w:rPr>
        <w:t xml:space="preserve">s inversiones financieras </w:t>
      </w:r>
      <w:r w:rsidR="00D30925" w:rsidRPr="00AC4AEA">
        <w:rPr>
          <w:rFonts w:ascii="Arial" w:hAnsi="Arial" w:cs="Arial"/>
          <w:sz w:val="20"/>
          <w:szCs w:val="20"/>
        </w:rPr>
        <w:t>medi</w:t>
      </w:r>
      <w:r w:rsidR="007C595C" w:rsidRPr="00AC4AEA">
        <w:rPr>
          <w:rFonts w:ascii="Arial" w:hAnsi="Arial" w:cs="Arial"/>
          <w:sz w:val="20"/>
          <w:szCs w:val="20"/>
        </w:rPr>
        <w:t>das</w:t>
      </w:r>
      <w:r w:rsidR="00FF0D6A" w:rsidRPr="00AC4AEA">
        <w:rPr>
          <w:rFonts w:ascii="Arial" w:hAnsi="Arial" w:cs="Arial"/>
          <w:sz w:val="20"/>
          <w:szCs w:val="20"/>
        </w:rPr>
        <w:t xml:space="preserve"> al </w:t>
      </w:r>
      <w:r w:rsidR="00FF0D6A" w:rsidRPr="00AC4AEA">
        <w:rPr>
          <w:rFonts w:ascii="Arial" w:hAnsi="Arial" w:cs="Arial"/>
          <w:b/>
          <w:bCs/>
          <w:sz w:val="20"/>
          <w:szCs w:val="20"/>
        </w:rPr>
        <w:t>costo amortizado</w:t>
      </w:r>
      <w:r w:rsidR="00835565" w:rsidRPr="00AC4AEA">
        <w:rPr>
          <w:rFonts w:ascii="Arial" w:hAnsi="Arial" w:cs="Arial"/>
          <w:b/>
          <w:bCs/>
          <w:sz w:val="20"/>
          <w:szCs w:val="20"/>
        </w:rPr>
        <w:t xml:space="preserve"> </w:t>
      </w:r>
      <w:r w:rsidR="00FF0D6A" w:rsidRPr="00AC4AEA">
        <w:rPr>
          <w:rFonts w:ascii="Arial" w:hAnsi="Arial" w:cs="Arial"/>
          <w:sz w:val="20"/>
          <w:szCs w:val="20"/>
        </w:rPr>
        <w:t>o</w:t>
      </w:r>
      <w:r w:rsidR="00033E0F" w:rsidRPr="00AC4AEA">
        <w:rPr>
          <w:rFonts w:ascii="Arial" w:hAnsi="Arial" w:cs="Arial"/>
          <w:sz w:val="20"/>
          <w:szCs w:val="20"/>
        </w:rPr>
        <w:t xml:space="preserve"> al</w:t>
      </w:r>
      <w:r w:rsidR="00FF0D6A" w:rsidRPr="00AC4AEA">
        <w:rPr>
          <w:rFonts w:ascii="Arial" w:hAnsi="Arial" w:cs="Arial"/>
          <w:sz w:val="20"/>
          <w:szCs w:val="20"/>
        </w:rPr>
        <w:t xml:space="preserve"> </w:t>
      </w:r>
      <w:r w:rsidR="00FF0D6A" w:rsidRPr="00AC4AEA">
        <w:rPr>
          <w:rFonts w:ascii="Arial" w:hAnsi="Arial" w:cs="Arial"/>
          <w:b/>
          <w:bCs/>
          <w:sz w:val="20"/>
          <w:szCs w:val="20"/>
        </w:rPr>
        <w:t>costo</w:t>
      </w:r>
      <w:r w:rsidR="00FF014F" w:rsidRPr="00AC4AEA">
        <w:rPr>
          <w:rFonts w:ascii="Arial" w:hAnsi="Arial" w:cs="Arial"/>
          <w:b/>
          <w:bCs/>
          <w:sz w:val="20"/>
          <w:szCs w:val="20"/>
        </w:rPr>
        <w:t xml:space="preserve"> de adquisición</w:t>
      </w:r>
      <w:r w:rsidR="00170499" w:rsidRPr="00AC4AEA">
        <w:rPr>
          <w:rFonts w:ascii="Arial" w:hAnsi="Arial" w:cs="Arial"/>
          <w:sz w:val="20"/>
          <w:szCs w:val="20"/>
        </w:rPr>
        <w:t xml:space="preserve">, excepto cuando </w:t>
      </w:r>
      <w:r w:rsidR="005633BC" w:rsidRPr="00AC4AEA">
        <w:rPr>
          <w:rFonts w:ascii="Arial" w:hAnsi="Arial" w:cs="Arial"/>
          <w:sz w:val="20"/>
          <w:szCs w:val="20"/>
        </w:rPr>
        <w:t xml:space="preserve">se trate de inversiones financieras contabilizadas usando la opción prevista en el inciso a) del párrafo </w:t>
      </w:r>
      <w:fldSimple w:instr=" REF _Ref132036863 \r \h  \* MERGEFORMAT ">
        <w:r w:rsidR="00D33A5D" w:rsidRPr="00D33A5D">
          <w:rPr>
            <w:rFonts w:ascii="Arial" w:hAnsi="Arial" w:cs="Arial"/>
            <w:sz w:val="20"/>
            <w:szCs w:val="20"/>
          </w:rPr>
          <w:t>216</w:t>
        </w:r>
      </w:fldSimple>
      <w:r w:rsidR="00FF0D6A" w:rsidRPr="00AC4AEA">
        <w:rPr>
          <w:rFonts w:ascii="Arial" w:hAnsi="Arial" w:cs="Arial"/>
          <w:sz w:val="20"/>
          <w:szCs w:val="20"/>
        </w:rPr>
        <w:t>.</w:t>
      </w:r>
    </w:p>
    <w:p w:rsidR="00FF0D6A" w:rsidRPr="00AC4AEA" w:rsidRDefault="00FF0D6A" w:rsidP="00A318EA">
      <w:pPr>
        <w:pStyle w:val="A-Normal11"/>
        <w:numPr>
          <w:ilvl w:val="0"/>
          <w:numId w:val="29"/>
        </w:numPr>
        <w:jc w:val="both"/>
        <w:rPr>
          <w:rFonts w:ascii="Arial" w:hAnsi="Arial" w:cs="Arial"/>
          <w:sz w:val="20"/>
        </w:rPr>
      </w:pPr>
      <w:r w:rsidRPr="00AC4AEA">
        <w:rPr>
          <w:rFonts w:ascii="Arial" w:hAnsi="Arial" w:cs="Arial"/>
          <w:sz w:val="20"/>
        </w:rPr>
        <w:t xml:space="preserve">A los fines de determinar la necesidad de </w:t>
      </w:r>
      <w:r w:rsidR="007E020E" w:rsidRPr="00AC4AEA">
        <w:rPr>
          <w:rFonts w:ascii="Arial" w:hAnsi="Arial" w:cs="Arial"/>
          <w:sz w:val="20"/>
        </w:rPr>
        <w:t>comparar</w:t>
      </w:r>
      <w:r w:rsidRPr="00AC4AEA">
        <w:rPr>
          <w:rFonts w:ascii="Arial" w:hAnsi="Arial" w:cs="Arial"/>
          <w:sz w:val="20"/>
        </w:rPr>
        <w:t xml:space="preserve"> la medición </w:t>
      </w:r>
      <w:r w:rsidR="00D77E3D" w:rsidRPr="00AC4AEA">
        <w:rPr>
          <w:rFonts w:ascii="Arial" w:hAnsi="Arial" w:cs="Arial"/>
          <w:sz w:val="20"/>
        </w:rPr>
        <w:t>contable</w:t>
      </w:r>
      <w:r w:rsidRPr="00AC4AEA">
        <w:rPr>
          <w:rFonts w:ascii="Arial" w:hAnsi="Arial" w:cs="Arial"/>
          <w:sz w:val="20"/>
        </w:rPr>
        <w:t xml:space="preserve"> de las inversiones financieras con su </w:t>
      </w:r>
      <w:r w:rsidRPr="00AC4AEA">
        <w:rPr>
          <w:rFonts w:ascii="Arial" w:hAnsi="Arial" w:cs="Arial"/>
          <w:b/>
          <w:bCs/>
          <w:sz w:val="20"/>
        </w:rPr>
        <w:t>valor recuperable</w:t>
      </w:r>
      <w:r w:rsidRPr="00AC4AEA">
        <w:rPr>
          <w:rFonts w:ascii="Arial" w:hAnsi="Arial" w:cs="Arial"/>
          <w:sz w:val="20"/>
        </w:rPr>
        <w:t>, una entidad considerará, entre otros, los siguientes indicios de deterioro:</w:t>
      </w:r>
    </w:p>
    <w:p w:rsidR="00FF0D6A" w:rsidRPr="00AC4AEA" w:rsidRDefault="007107D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D</w:t>
      </w:r>
      <w:r w:rsidR="00FF0D6A" w:rsidRPr="00AC4AEA">
        <w:rPr>
          <w:rFonts w:ascii="Arial" w:hAnsi="Arial" w:cs="Arial"/>
          <w:sz w:val="20"/>
          <w:szCs w:val="20"/>
        </w:rPr>
        <w:t>ificultades financieras significativas del emisor</w:t>
      </w:r>
      <w:r w:rsidRPr="00AC4AEA">
        <w:rPr>
          <w:rFonts w:ascii="Arial" w:hAnsi="Arial" w:cs="Arial"/>
          <w:sz w:val="20"/>
          <w:szCs w:val="20"/>
        </w:rPr>
        <w:t>.</w:t>
      </w:r>
    </w:p>
    <w:p w:rsidR="00FF0D6A" w:rsidRPr="00AC4AEA" w:rsidRDefault="007107D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I</w:t>
      </w:r>
      <w:r w:rsidR="00FF0D6A" w:rsidRPr="00AC4AEA">
        <w:rPr>
          <w:rFonts w:ascii="Arial" w:hAnsi="Arial" w:cs="Arial"/>
          <w:sz w:val="20"/>
          <w:szCs w:val="20"/>
        </w:rPr>
        <w:t>ncumplimientos o infracciones de l</w:t>
      </w:r>
      <w:r w:rsidR="005144B7" w:rsidRPr="00AC4AEA">
        <w:rPr>
          <w:rFonts w:ascii="Arial" w:hAnsi="Arial" w:cs="Arial"/>
          <w:sz w:val="20"/>
          <w:szCs w:val="20"/>
        </w:rPr>
        <w:t>a</w:t>
      </w:r>
      <w:r w:rsidR="00FF0D6A" w:rsidRPr="00AC4AEA">
        <w:rPr>
          <w:rFonts w:ascii="Arial" w:hAnsi="Arial" w:cs="Arial"/>
          <w:sz w:val="20"/>
          <w:szCs w:val="20"/>
        </w:rPr>
        <w:t xml:space="preserve">s </w:t>
      </w:r>
      <w:r w:rsidR="00FA37F0" w:rsidRPr="00AC4AEA">
        <w:rPr>
          <w:rFonts w:ascii="Arial" w:hAnsi="Arial" w:cs="Arial"/>
          <w:sz w:val="20"/>
          <w:szCs w:val="20"/>
        </w:rPr>
        <w:t xml:space="preserve">condiciones de emisión de los títulos o demás </w:t>
      </w:r>
      <w:r w:rsidR="00497590" w:rsidRPr="00AC4AEA">
        <w:rPr>
          <w:rFonts w:ascii="Arial" w:hAnsi="Arial" w:cs="Arial"/>
          <w:sz w:val="20"/>
          <w:szCs w:val="20"/>
        </w:rPr>
        <w:t>activos</w:t>
      </w:r>
      <w:r w:rsidRPr="00AC4AEA">
        <w:rPr>
          <w:rFonts w:ascii="Arial" w:hAnsi="Arial" w:cs="Arial"/>
          <w:sz w:val="20"/>
          <w:szCs w:val="20"/>
        </w:rPr>
        <w:t>.</w:t>
      </w:r>
    </w:p>
    <w:p w:rsidR="00FF0D6A" w:rsidRPr="00AC4AEA" w:rsidRDefault="007107D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w:t>
      </w:r>
      <w:r w:rsidR="00FF0D6A" w:rsidRPr="00AC4AEA">
        <w:rPr>
          <w:rFonts w:ascii="Arial" w:hAnsi="Arial" w:cs="Arial"/>
          <w:sz w:val="20"/>
          <w:szCs w:val="20"/>
        </w:rPr>
        <w:t xml:space="preserve">robabilidad de que el emisor inicie un proceso concursal o </w:t>
      </w:r>
      <w:r w:rsidR="00FA37F0" w:rsidRPr="00AC4AEA">
        <w:rPr>
          <w:rFonts w:ascii="Arial" w:hAnsi="Arial" w:cs="Arial"/>
          <w:sz w:val="20"/>
          <w:szCs w:val="20"/>
        </w:rPr>
        <w:t>quiebre</w:t>
      </w:r>
      <w:r w:rsidRPr="00AC4AEA">
        <w:rPr>
          <w:rFonts w:ascii="Arial" w:hAnsi="Arial" w:cs="Arial"/>
          <w:sz w:val="20"/>
          <w:szCs w:val="20"/>
        </w:rPr>
        <w:t>.</w:t>
      </w:r>
    </w:p>
    <w:p w:rsidR="00FF0D6A" w:rsidRPr="00AC4AEA" w:rsidRDefault="007107D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w:t>
      </w:r>
      <w:r w:rsidR="00FF0D6A" w:rsidRPr="00AC4AEA">
        <w:rPr>
          <w:rFonts w:ascii="Arial" w:hAnsi="Arial" w:cs="Arial"/>
          <w:sz w:val="20"/>
          <w:szCs w:val="20"/>
        </w:rPr>
        <w:t>ambios adversos en el entorno económico, tecnológico o legal.</w:t>
      </w:r>
    </w:p>
    <w:p w:rsidR="0046768A" w:rsidRPr="00AC4AEA" w:rsidRDefault="0046768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las </w:t>
      </w:r>
      <w:r w:rsidRPr="00AC4AEA">
        <w:rPr>
          <w:rFonts w:ascii="Arial" w:hAnsi="Arial" w:cs="Arial"/>
          <w:b/>
          <w:bCs/>
          <w:sz w:val="20"/>
          <w:szCs w:val="20"/>
        </w:rPr>
        <w:t xml:space="preserve">pérdidas por </w:t>
      </w:r>
      <w:r w:rsidR="007E020E" w:rsidRPr="00AC4AEA">
        <w:rPr>
          <w:rFonts w:ascii="Arial" w:hAnsi="Arial" w:cs="Arial"/>
          <w:b/>
          <w:bCs/>
          <w:sz w:val="20"/>
          <w:szCs w:val="20"/>
        </w:rPr>
        <w:t>desvalorización</w:t>
      </w:r>
      <w:r w:rsidR="00835565" w:rsidRPr="00AC4AEA">
        <w:rPr>
          <w:rFonts w:ascii="Arial" w:hAnsi="Arial" w:cs="Arial"/>
          <w:b/>
          <w:bCs/>
          <w:sz w:val="20"/>
          <w:szCs w:val="20"/>
        </w:rPr>
        <w:t xml:space="preserve"> </w:t>
      </w:r>
      <w:r w:rsidRPr="00AC4AEA">
        <w:rPr>
          <w:rFonts w:ascii="Arial" w:hAnsi="Arial" w:cs="Arial"/>
          <w:sz w:val="20"/>
          <w:szCs w:val="20"/>
        </w:rPr>
        <w:t xml:space="preserve">de las inversiones financieras que se miden a </w:t>
      </w:r>
      <w:r w:rsidRPr="00AC4AEA">
        <w:rPr>
          <w:rFonts w:ascii="Arial" w:hAnsi="Arial" w:cs="Arial"/>
          <w:b/>
          <w:bCs/>
          <w:sz w:val="20"/>
          <w:szCs w:val="20"/>
        </w:rPr>
        <w:t>costo amortizado</w:t>
      </w:r>
      <w:r w:rsidR="007E316A" w:rsidRPr="00AC4AEA">
        <w:rPr>
          <w:rFonts w:ascii="Arial" w:hAnsi="Arial" w:cs="Arial"/>
          <w:sz w:val="20"/>
          <w:szCs w:val="20"/>
        </w:rPr>
        <w:t xml:space="preserve">, como la </w:t>
      </w:r>
      <w:r w:rsidR="003A34C4" w:rsidRPr="00AC4AEA">
        <w:rPr>
          <w:rFonts w:ascii="Arial" w:hAnsi="Arial" w:cs="Arial"/>
          <w:sz w:val="20"/>
          <w:szCs w:val="20"/>
        </w:rPr>
        <w:t>diferencia</w:t>
      </w:r>
      <w:r w:rsidR="007E316A" w:rsidRPr="00AC4AEA">
        <w:rPr>
          <w:rFonts w:ascii="Arial" w:hAnsi="Arial" w:cs="Arial"/>
          <w:sz w:val="20"/>
          <w:szCs w:val="20"/>
        </w:rPr>
        <w:t xml:space="preserve"> entre los siguientes importes, siempre que el indicado en a) resulte mayor que el indicado en b)</w:t>
      </w:r>
      <w:r w:rsidRPr="00AC4AEA">
        <w:rPr>
          <w:rFonts w:ascii="Arial" w:hAnsi="Arial" w:cs="Arial"/>
          <w:sz w:val="20"/>
          <w:szCs w:val="20"/>
        </w:rPr>
        <w:t>:</w:t>
      </w:r>
    </w:p>
    <w:p w:rsidR="0046768A" w:rsidRPr="00AC4AEA" w:rsidRDefault="00077D0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46768A" w:rsidRPr="00AC4AEA">
        <w:rPr>
          <w:rFonts w:ascii="Arial" w:hAnsi="Arial" w:cs="Arial"/>
          <w:sz w:val="20"/>
          <w:szCs w:val="20"/>
        </w:rPr>
        <w:t xml:space="preserve">a medición contable del </w:t>
      </w:r>
      <w:r w:rsidR="0046768A" w:rsidRPr="00AC4AEA">
        <w:rPr>
          <w:rFonts w:ascii="Arial" w:hAnsi="Arial" w:cs="Arial"/>
          <w:b/>
          <w:bCs/>
          <w:sz w:val="20"/>
          <w:szCs w:val="20"/>
        </w:rPr>
        <w:t>activo</w:t>
      </w:r>
      <w:r w:rsidR="00163150" w:rsidRPr="00AC4AEA">
        <w:rPr>
          <w:rFonts w:ascii="Arial" w:hAnsi="Arial" w:cs="Arial"/>
          <w:sz w:val="20"/>
          <w:szCs w:val="20"/>
        </w:rPr>
        <w:t>;</w:t>
      </w:r>
      <w:r w:rsidR="0046768A" w:rsidRPr="00AC4AEA">
        <w:rPr>
          <w:rFonts w:ascii="Arial" w:hAnsi="Arial" w:cs="Arial"/>
          <w:sz w:val="20"/>
          <w:szCs w:val="20"/>
        </w:rPr>
        <w:t xml:space="preserve"> y</w:t>
      </w:r>
    </w:p>
    <w:p w:rsidR="00FA37F0" w:rsidRPr="00AC4AEA" w:rsidRDefault="00077D0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FA37F0" w:rsidRPr="00AC4AEA">
        <w:rPr>
          <w:rFonts w:ascii="Arial" w:hAnsi="Arial" w:cs="Arial"/>
          <w:sz w:val="20"/>
          <w:szCs w:val="20"/>
        </w:rPr>
        <w:t>l mayor de los siguientes importes:</w:t>
      </w:r>
    </w:p>
    <w:p w:rsidR="0046768A" w:rsidRPr="00AC4AEA" w:rsidRDefault="0046768A" w:rsidP="00A318EA">
      <w:pPr>
        <w:pStyle w:val="Prrafodelista"/>
        <w:numPr>
          <w:ilvl w:val="2"/>
          <w:numId w:val="29"/>
        </w:numPr>
        <w:ind w:left="1984"/>
        <w:contextualSpacing w:val="0"/>
        <w:jc w:val="both"/>
        <w:rPr>
          <w:rFonts w:ascii="Arial" w:hAnsi="Arial" w:cs="Arial"/>
          <w:sz w:val="20"/>
          <w:szCs w:val="20"/>
        </w:rPr>
      </w:pPr>
      <w:r w:rsidRPr="00AC4AEA">
        <w:rPr>
          <w:rFonts w:ascii="Arial" w:hAnsi="Arial" w:cs="Arial"/>
          <w:sz w:val="20"/>
          <w:szCs w:val="20"/>
        </w:rPr>
        <w:t>El valor de los flujos de efectivo esperados</w:t>
      </w:r>
      <w:r w:rsidR="00DA68A1" w:rsidRPr="00AC4AEA">
        <w:rPr>
          <w:rFonts w:ascii="Arial" w:hAnsi="Arial" w:cs="Arial"/>
          <w:sz w:val="20"/>
          <w:szCs w:val="20"/>
        </w:rPr>
        <w:t xml:space="preserve">, que deben ser consistentes </w:t>
      </w:r>
      <w:r w:rsidR="000D52F5" w:rsidRPr="00AC4AEA">
        <w:rPr>
          <w:rFonts w:ascii="Arial" w:hAnsi="Arial" w:cs="Arial"/>
          <w:sz w:val="20"/>
          <w:szCs w:val="20"/>
        </w:rPr>
        <w:t>con las incobrabilidades y moras que se consideren probables</w:t>
      </w:r>
      <w:r w:rsidR="00FA37F0" w:rsidRPr="00AC4AEA">
        <w:rPr>
          <w:rFonts w:ascii="Arial" w:hAnsi="Arial" w:cs="Arial"/>
          <w:sz w:val="20"/>
          <w:szCs w:val="20"/>
        </w:rPr>
        <w:t xml:space="preserve"> </w:t>
      </w:r>
      <w:r w:rsidR="000D52F5" w:rsidRPr="00AC4AEA">
        <w:rPr>
          <w:rFonts w:ascii="Arial" w:hAnsi="Arial" w:cs="Arial"/>
          <w:sz w:val="20"/>
          <w:szCs w:val="20"/>
        </w:rPr>
        <w:t>con relación a</w:t>
      </w:r>
      <w:r w:rsidR="00FA37F0" w:rsidRPr="00AC4AEA">
        <w:rPr>
          <w:rFonts w:ascii="Arial" w:hAnsi="Arial" w:cs="Arial"/>
          <w:sz w:val="20"/>
          <w:szCs w:val="20"/>
        </w:rPr>
        <w:t xml:space="preserve"> dicho </w:t>
      </w:r>
      <w:r w:rsidR="00FA37F0" w:rsidRPr="00AC4AEA">
        <w:rPr>
          <w:rFonts w:ascii="Arial" w:hAnsi="Arial" w:cs="Arial"/>
          <w:b/>
          <w:bCs/>
          <w:sz w:val="20"/>
          <w:szCs w:val="20"/>
        </w:rPr>
        <w:t>activo</w:t>
      </w:r>
      <w:r w:rsidR="000D52F5" w:rsidRPr="00AC4AEA">
        <w:rPr>
          <w:rFonts w:ascii="Arial" w:hAnsi="Arial" w:cs="Arial"/>
          <w:sz w:val="20"/>
          <w:szCs w:val="20"/>
        </w:rPr>
        <w:t>,</w:t>
      </w:r>
      <w:r w:rsidR="000D52F5" w:rsidRPr="00AC4AEA">
        <w:rPr>
          <w:rFonts w:ascii="Arial" w:hAnsi="Arial" w:cs="Arial"/>
          <w:b/>
          <w:bCs/>
          <w:sz w:val="20"/>
          <w:szCs w:val="20"/>
        </w:rPr>
        <w:t xml:space="preserve"> </w:t>
      </w:r>
      <w:r w:rsidRPr="00AC4AEA">
        <w:rPr>
          <w:rFonts w:ascii="Arial" w:hAnsi="Arial" w:cs="Arial"/>
          <w:sz w:val="20"/>
          <w:szCs w:val="20"/>
        </w:rPr>
        <w:t>descontados mediante:</w:t>
      </w:r>
    </w:p>
    <w:p w:rsidR="0046768A" w:rsidRPr="00AC4AEA" w:rsidRDefault="00E1003C" w:rsidP="00A318EA">
      <w:pPr>
        <w:pStyle w:val="Prrafodelista"/>
        <w:numPr>
          <w:ilvl w:val="3"/>
          <w:numId w:val="29"/>
        </w:numPr>
        <w:ind w:left="2517" w:hanging="357"/>
        <w:contextualSpacing w:val="0"/>
        <w:jc w:val="both"/>
        <w:rPr>
          <w:rFonts w:ascii="Arial" w:hAnsi="Arial" w:cs="Arial"/>
          <w:sz w:val="20"/>
          <w:szCs w:val="20"/>
        </w:rPr>
      </w:pPr>
      <w:r w:rsidRPr="00AC4AEA">
        <w:rPr>
          <w:rFonts w:ascii="Arial" w:hAnsi="Arial" w:cs="Arial"/>
          <w:sz w:val="20"/>
          <w:szCs w:val="20"/>
        </w:rPr>
        <w:t>L</w:t>
      </w:r>
      <w:r w:rsidR="0046768A" w:rsidRPr="00AC4AEA">
        <w:rPr>
          <w:rFonts w:ascii="Arial" w:hAnsi="Arial" w:cs="Arial"/>
          <w:sz w:val="20"/>
          <w:szCs w:val="20"/>
        </w:rPr>
        <w:t>a tasa de interés utilizada para la medición inicial, si el tipo pactado es fijo</w:t>
      </w:r>
      <w:r w:rsidRPr="00AC4AEA">
        <w:rPr>
          <w:rFonts w:ascii="Arial" w:hAnsi="Arial" w:cs="Arial"/>
          <w:sz w:val="20"/>
          <w:szCs w:val="20"/>
        </w:rPr>
        <w:t>.</w:t>
      </w:r>
    </w:p>
    <w:p w:rsidR="0046768A" w:rsidRPr="00AC4AEA" w:rsidRDefault="0046768A" w:rsidP="00A318EA">
      <w:pPr>
        <w:pStyle w:val="Prrafodelista"/>
        <w:numPr>
          <w:ilvl w:val="3"/>
          <w:numId w:val="29"/>
        </w:numPr>
        <w:ind w:left="2552" w:hanging="426"/>
        <w:contextualSpacing w:val="0"/>
        <w:jc w:val="both"/>
        <w:rPr>
          <w:rFonts w:ascii="Arial" w:hAnsi="Arial" w:cs="Arial"/>
          <w:sz w:val="20"/>
          <w:szCs w:val="20"/>
        </w:rPr>
      </w:pPr>
      <w:r w:rsidRPr="00AC4AEA">
        <w:rPr>
          <w:rFonts w:ascii="Arial" w:hAnsi="Arial" w:cs="Arial"/>
          <w:sz w:val="20"/>
          <w:szCs w:val="20"/>
        </w:rPr>
        <w:t xml:space="preserve">La tasa de interés efectiva </w:t>
      </w:r>
      <w:r w:rsidR="00D77E3D" w:rsidRPr="00AC4AEA">
        <w:rPr>
          <w:rFonts w:ascii="Arial" w:hAnsi="Arial" w:cs="Arial"/>
          <w:sz w:val="20"/>
          <w:szCs w:val="20"/>
        </w:rPr>
        <w:t xml:space="preserve">a la </w:t>
      </w:r>
      <w:r w:rsidR="00D73884"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xml:space="preserve">, de acuerdo </w:t>
      </w:r>
      <w:r w:rsidR="000F1209" w:rsidRPr="00AC4AEA">
        <w:rPr>
          <w:rFonts w:ascii="Arial" w:hAnsi="Arial" w:cs="Arial"/>
          <w:sz w:val="20"/>
          <w:szCs w:val="20"/>
        </w:rPr>
        <w:t xml:space="preserve">con </w:t>
      </w:r>
      <w:r w:rsidRPr="00AC4AEA">
        <w:rPr>
          <w:rFonts w:ascii="Arial" w:hAnsi="Arial" w:cs="Arial"/>
          <w:sz w:val="20"/>
          <w:szCs w:val="20"/>
        </w:rPr>
        <w:t xml:space="preserve">lo establecido en </w:t>
      </w:r>
      <w:r w:rsidR="00613E8E" w:rsidRPr="00AC4AEA">
        <w:rPr>
          <w:rFonts w:ascii="Arial" w:hAnsi="Arial" w:cs="Arial"/>
          <w:sz w:val="20"/>
          <w:szCs w:val="20"/>
        </w:rPr>
        <w:t>las condiciones de emisión</w:t>
      </w:r>
      <w:r w:rsidR="00FF014F" w:rsidRPr="00AC4AEA">
        <w:rPr>
          <w:rFonts w:ascii="Arial" w:hAnsi="Arial" w:cs="Arial"/>
          <w:sz w:val="20"/>
          <w:szCs w:val="20"/>
        </w:rPr>
        <w:t xml:space="preserve"> de los títulos</w:t>
      </w:r>
      <w:r w:rsidRPr="00AC4AEA">
        <w:rPr>
          <w:rFonts w:ascii="Arial" w:hAnsi="Arial" w:cs="Arial"/>
          <w:sz w:val="20"/>
          <w:szCs w:val="20"/>
        </w:rPr>
        <w:t>, si el tipo pactado es variable.</w:t>
      </w:r>
    </w:p>
    <w:p w:rsidR="00FA37F0" w:rsidRPr="00AC4AEA" w:rsidRDefault="00FA37F0"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Su </w:t>
      </w:r>
      <w:r w:rsidRPr="00AC4AEA">
        <w:rPr>
          <w:rFonts w:ascii="Arial" w:hAnsi="Arial" w:cs="Arial"/>
          <w:b/>
          <w:bCs/>
          <w:sz w:val="20"/>
          <w:szCs w:val="20"/>
        </w:rPr>
        <w:t>valor neto de realización</w:t>
      </w:r>
      <w:r w:rsidRPr="00AC4AEA">
        <w:rPr>
          <w:rFonts w:ascii="Arial" w:hAnsi="Arial" w:cs="Arial"/>
          <w:sz w:val="20"/>
          <w:szCs w:val="20"/>
        </w:rPr>
        <w:t>.</w:t>
      </w:r>
    </w:p>
    <w:p w:rsidR="00033E0F" w:rsidRPr="00AC4AEA" w:rsidRDefault="00033E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las </w:t>
      </w:r>
      <w:r w:rsidRPr="00AC4AEA">
        <w:rPr>
          <w:rFonts w:ascii="Arial" w:hAnsi="Arial" w:cs="Arial"/>
          <w:b/>
          <w:bCs/>
          <w:sz w:val="20"/>
          <w:szCs w:val="20"/>
        </w:rPr>
        <w:t xml:space="preserve">pérdidas por desvalorización </w:t>
      </w:r>
      <w:r w:rsidRPr="00AC4AEA">
        <w:rPr>
          <w:rFonts w:ascii="Arial" w:hAnsi="Arial" w:cs="Arial"/>
          <w:sz w:val="20"/>
          <w:szCs w:val="20"/>
        </w:rPr>
        <w:t xml:space="preserve">de las inversiones financieras que se miden a </w:t>
      </w:r>
      <w:r w:rsidRPr="00AC4AEA">
        <w:rPr>
          <w:rFonts w:ascii="Arial" w:hAnsi="Arial" w:cs="Arial"/>
          <w:b/>
          <w:bCs/>
          <w:sz w:val="20"/>
          <w:szCs w:val="20"/>
        </w:rPr>
        <w:t>costo de adquisición</w:t>
      </w:r>
      <w:r w:rsidR="007E316A" w:rsidRPr="00AC4AEA">
        <w:rPr>
          <w:rFonts w:ascii="Arial" w:hAnsi="Arial" w:cs="Arial"/>
          <w:sz w:val="20"/>
          <w:szCs w:val="20"/>
        </w:rPr>
        <w:t>,</w:t>
      </w:r>
      <w:r w:rsidRPr="00AC4AEA">
        <w:rPr>
          <w:rFonts w:ascii="Arial" w:hAnsi="Arial" w:cs="Arial"/>
          <w:sz w:val="20"/>
          <w:szCs w:val="20"/>
        </w:rPr>
        <w:t xml:space="preserve"> </w:t>
      </w:r>
      <w:r w:rsidR="007E316A" w:rsidRPr="00AC4AEA">
        <w:rPr>
          <w:rFonts w:ascii="Arial" w:hAnsi="Arial" w:cs="Arial"/>
          <w:sz w:val="20"/>
          <w:szCs w:val="20"/>
        </w:rPr>
        <w:t xml:space="preserve">como la </w:t>
      </w:r>
      <w:r w:rsidR="003A34C4" w:rsidRPr="00AC4AEA">
        <w:rPr>
          <w:rFonts w:ascii="Arial" w:hAnsi="Arial" w:cs="Arial"/>
          <w:sz w:val="20"/>
          <w:szCs w:val="20"/>
        </w:rPr>
        <w:t>diferencia</w:t>
      </w:r>
      <w:r w:rsidR="007E316A" w:rsidRPr="00AC4AEA">
        <w:rPr>
          <w:rFonts w:ascii="Arial" w:hAnsi="Arial" w:cs="Arial"/>
          <w:sz w:val="20"/>
          <w:szCs w:val="20"/>
        </w:rPr>
        <w:t xml:space="preserve"> entre los siguientes importes, siempre que el indicado en a) resulte mayor que el indicado en b)</w:t>
      </w:r>
      <w:r w:rsidRPr="00AC4AEA">
        <w:rPr>
          <w:rFonts w:ascii="Arial" w:hAnsi="Arial" w:cs="Arial"/>
          <w:sz w:val="20"/>
          <w:szCs w:val="20"/>
        </w:rPr>
        <w:t>:</w:t>
      </w:r>
    </w:p>
    <w:p w:rsidR="00033E0F" w:rsidRPr="00AC4AEA" w:rsidRDefault="00033E0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medición contable del </w:t>
      </w:r>
      <w:r w:rsidRPr="00AC4AEA">
        <w:rPr>
          <w:rFonts w:ascii="Arial" w:hAnsi="Arial" w:cs="Arial"/>
          <w:b/>
          <w:bCs/>
          <w:sz w:val="20"/>
          <w:szCs w:val="20"/>
        </w:rPr>
        <w:t>activo</w:t>
      </w:r>
      <w:r w:rsidRPr="00AC4AEA">
        <w:rPr>
          <w:rFonts w:ascii="Arial" w:hAnsi="Arial" w:cs="Arial"/>
          <w:sz w:val="20"/>
          <w:szCs w:val="20"/>
        </w:rPr>
        <w:t>; y</w:t>
      </w:r>
    </w:p>
    <w:p w:rsidR="00033E0F" w:rsidRPr="00AC4AEA" w:rsidRDefault="00033E0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mejor estimación </w:t>
      </w:r>
      <w:r w:rsidR="00B205BE" w:rsidRPr="00AC4AEA">
        <w:rPr>
          <w:rFonts w:ascii="Arial" w:hAnsi="Arial" w:cs="Arial"/>
          <w:sz w:val="20"/>
          <w:szCs w:val="20"/>
        </w:rPr>
        <w:t xml:space="preserve">(que necesariamente tendrá que ser una aproximación) del importe (que podría ser cero) que la entidad recibiría por el </w:t>
      </w:r>
      <w:r w:rsidR="00B205BE" w:rsidRPr="00AC4AEA">
        <w:rPr>
          <w:rFonts w:ascii="Arial" w:hAnsi="Arial" w:cs="Arial"/>
          <w:b/>
          <w:bCs/>
          <w:sz w:val="20"/>
          <w:szCs w:val="20"/>
        </w:rPr>
        <w:t>activo</w:t>
      </w:r>
      <w:r w:rsidR="00B205BE" w:rsidRPr="00AC4AEA">
        <w:rPr>
          <w:rFonts w:ascii="Arial" w:hAnsi="Arial" w:cs="Arial"/>
          <w:sz w:val="20"/>
          <w:szCs w:val="20"/>
        </w:rPr>
        <w:t xml:space="preserve"> si se vendiese en la </w:t>
      </w:r>
      <w:r w:rsidR="00B205BE"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DA68A1" w:rsidRPr="00AC4AEA">
        <w:rPr>
          <w:rFonts w:ascii="Arial" w:hAnsi="Arial" w:cs="Arial"/>
          <w:sz w:val="20"/>
          <w:szCs w:val="20"/>
        </w:rPr>
        <w:t>, que debe ser consistente con las nuevas condiciones crediticias del emisor.</w:t>
      </w:r>
    </w:p>
    <w:p w:rsidR="00936A88" w:rsidRPr="00AC4AEA" w:rsidRDefault="00936A88" w:rsidP="00A318EA">
      <w:pPr>
        <w:pStyle w:val="A-Normal11"/>
        <w:numPr>
          <w:ilvl w:val="0"/>
          <w:numId w:val="29"/>
        </w:numPr>
        <w:jc w:val="both"/>
        <w:rPr>
          <w:rFonts w:ascii="Arial" w:hAnsi="Arial" w:cs="Arial"/>
          <w:sz w:val="20"/>
        </w:rPr>
      </w:pPr>
      <w:r w:rsidRPr="00AC4AEA">
        <w:rPr>
          <w:rFonts w:ascii="Arial" w:hAnsi="Arial" w:cs="Arial"/>
          <w:sz w:val="20"/>
        </w:rPr>
        <w:t xml:space="preserve">Una entidad revertirá </w:t>
      </w:r>
      <w:r w:rsidRPr="00AC4AEA">
        <w:rPr>
          <w:rFonts w:ascii="Arial" w:hAnsi="Arial" w:cs="Arial"/>
          <w:b/>
          <w:bCs/>
          <w:sz w:val="20"/>
        </w:rPr>
        <w:t xml:space="preserve">pérdidas por desvalorización </w:t>
      </w:r>
      <w:r w:rsidRPr="00AC4AEA">
        <w:rPr>
          <w:rFonts w:ascii="Arial" w:hAnsi="Arial" w:cs="Arial"/>
          <w:sz w:val="20"/>
        </w:rPr>
        <w:t xml:space="preserve">reconocidas en períodos anteriores solo cuando, con posterioridad a la fecha </w:t>
      </w:r>
      <w:r w:rsidR="009617A0" w:rsidRPr="00AC4AEA">
        <w:rPr>
          <w:rFonts w:ascii="Arial" w:hAnsi="Arial" w:cs="Arial"/>
          <w:sz w:val="20"/>
        </w:rPr>
        <w:t>de su contabilización</w:t>
      </w:r>
      <w:r w:rsidRPr="00AC4AEA">
        <w:rPr>
          <w:rFonts w:ascii="Arial" w:hAnsi="Arial" w:cs="Arial"/>
          <w:sz w:val="20"/>
        </w:rPr>
        <w:t xml:space="preserve">, </w:t>
      </w:r>
      <w:r w:rsidR="00C67B1D" w:rsidRPr="00AC4AEA">
        <w:rPr>
          <w:rFonts w:ascii="Arial" w:hAnsi="Arial" w:cs="Arial"/>
          <w:sz w:val="20"/>
        </w:rPr>
        <w:t>se incremente</w:t>
      </w:r>
      <w:r w:rsidRPr="00AC4AEA">
        <w:rPr>
          <w:rFonts w:ascii="Arial" w:hAnsi="Arial" w:cs="Arial"/>
          <w:sz w:val="20"/>
        </w:rPr>
        <w:t xml:space="preserve"> </w:t>
      </w:r>
      <w:r w:rsidR="00EC0123" w:rsidRPr="00AC4AEA">
        <w:rPr>
          <w:rFonts w:ascii="Arial" w:hAnsi="Arial" w:cs="Arial"/>
          <w:sz w:val="20"/>
        </w:rPr>
        <w:t xml:space="preserve">el </w:t>
      </w:r>
      <w:r w:rsidR="00EC0123" w:rsidRPr="00AC4AEA">
        <w:rPr>
          <w:rFonts w:ascii="Arial" w:hAnsi="Arial" w:cs="Arial"/>
          <w:b/>
          <w:bCs/>
          <w:sz w:val="20"/>
        </w:rPr>
        <w:t>valor recuperable</w:t>
      </w:r>
      <w:r w:rsidR="00C67B1D" w:rsidRPr="00AC4AEA">
        <w:rPr>
          <w:rFonts w:ascii="Arial" w:hAnsi="Arial" w:cs="Arial"/>
          <w:sz w:val="20"/>
        </w:rPr>
        <w:t xml:space="preserve"> estimado</w:t>
      </w:r>
      <w:r w:rsidRPr="00AC4AEA">
        <w:rPr>
          <w:rFonts w:ascii="Arial" w:hAnsi="Arial" w:cs="Arial"/>
          <w:sz w:val="20"/>
        </w:rPr>
        <w:t xml:space="preserve">. En tal caso, </w:t>
      </w:r>
      <w:r w:rsidR="00C67B1D" w:rsidRPr="00AC4AEA">
        <w:rPr>
          <w:rFonts w:ascii="Arial" w:hAnsi="Arial" w:cs="Arial"/>
          <w:sz w:val="20"/>
        </w:rPr>
        <w:t xml:space="preserve">la entidad </w:t>
      </w:r>
      <w:r w:rsidRPr="00AC4AEA">
        <w:rPr>
          <w:rFonts w:ascii="Arial" w:hAnsi="Arial" w:cs="Arial"/>
          <w:sz w:val="20"/>
        </w:rPr>
        <w:t xml:space="preserve">aumentará la medición contable de las inversiones financieras </w:t>
      </w:r>
      <w:r w:rsidR="00C67B1D" w:rsidRPr="00AC4AEA">
        <w:rPr>
          <w:rFonts w:ascii="Arial" w:hAnsi="Arial" w:cs="Arial"/>
          <w:sz w:val="20"/>
        </w:rPr>
        <w:t>involucradas</w:t>
      </w:r>
      <w:r w:rsidRPr="00AC4AEA">
        <w:rPr>
          <w:rFonts w:ascii="Arial" w:hAnsi="Arial" w:cs="Arial"/>
          <w:sz w:val="20"/>
        </w:rPr>
        <w:t xml:space="preserve"> por un importe que sea el menor entre:</w:t>
      </w:r>
    </w:p>
    <w:p w:rsidR="00936A88" w:rsidRPr="00AC4AEA" w:rsidRDefault="00AE19EC" w:rsidP="00A318EA">
      <w:pPr>
        <w:pStyle w:val="A-Normal11"/>
        <w:numPr>
          <w:ilvl w:val="1"/>
          <w:numId w:val="29"/>
        </w:numPr>
        <w:ind w:left="1560"/>
        <w:jc w:val="both"/>
        <w:rPr>
          <w:rFonts w:ascii="Arial" w:hAnsi="Arial" w:cs="Arial"/>
          <w:sz w:val="20"/>
        </w:rPr>
      </w:pPr>
      <w:r w:rsidRPr="00AC4AEA">
        <w:rPr>
          <w:rFonts w:ascii="Arial" w:hAnsi="Arial" w:cs="Arial"/>
          <w:sz w:val="20"/>
        </w:rPr>
        <w:t>l</w:t>
      </w:r>
      <w:r w:rsidR="00936A88" w:rsidRPr="00AC4AEA">
        <w:rPr>
          <w:rFonts w:ascii="Arial" w:hAnsi="Arial" w:cs="Arial"/>
          <w:sz w:val="20"/>
        </w:rPr>
        <w:t xml:space="preserve">a medición contable que </w:t>
      </w:r>
      <w:r w:rsidR="000777F7" w:rsidRPr="00AC4AEA">
        <w:rPr>
          <w:rFonts w:ascii="Arial" w:hAnsi="Arial" w:cs="Arial"/>
          <w:sz w:val="20"/>
        </w:rPr>
        <w:t>las inversiones</w:t>
      </w:r>
      <w:r w:rsidR="00936A88" w:rsidRPr="00AC4AEA">
        <w:rPr>
          <w:rFonts w:ascii="Arial" w:hAnsi="Arial" w:cs="Arial"/>
          <w:sz w:val="20"/>
        </w:rPr>
        <w:t xml:space="preserve"> habría</w:t>
      </w:r>
      <w:r w:rsidR="000777F7" w:rsidRPr="00AC4AEA">
        <w:rPr>
          <w:rFonts w:ascii="Arial" w:hAnsi="Arial" w:cs="Arial"/>
          <w:sz w:val="20"/>
        </w:rPr>
        <w:t>n</w:t>
      </w:r>
      <w:r w:rsidR="00936A88" w:rsidRPr="00AC4AEA">
        <w:rPr>
          <w:rFonts w:ascii="Arial" w:hAnsi="Arial" w:cs="Arial"/>
          <w:sz w:val="20"/>
        </w:rPr>
        <w:t xml:space="preserve"> tenido si nunca se hubiese reconocido una </w:t>
      </w:r>
      <w:r w:rsidR="00936A88" w:rsidRPr="00AC4AEA">
        <w:rPr>
          <w:rFonts w:ascii="Arial" w:hAnsi="Arial" w:cs="Arial"/>
          <w:b/>
          <w:bCs/>
          <w:sz w:val="20"/>
        </w:rPr>
        <w:t>pérdida por desvalorización</w:t>
      </w:r>
      <w:r w:rsidRPr="00AC4AEA">
        <w:rPr>
          <w:rFonts w:ascii="Arial" w:hAnsi="Arial" w:cs="Arial"/>
          <w:b/>
          <w:bCs/>
          <w:sz w:val="20"/>
        </w:rPr>
        <w:t>;</w:t>
      </w:r>
      <w:r w:rsidR="00936A88" w:rsidRPr="00AC4AEA">
        <w:rPr>
          <w:rFonts w:ascii="Arial" w:hAnsi="Arial" w:cs="Arial"/>
          <w:sz w:val="20"/>
        </w:rPr>
        <w:t xml:space="preserve"> y</w:t>
      </w:r>
    </w:p>
    <w:p w:rsidR="00936A88" w:rsidRPr="00AC4AEA" w:rsidRDefault="00AE19EC" w:rsidP="00A318EA">
      <w:pPr>
        <w:pStyle w:val="A-Normal11"/>
        <w:numPr>
          <w:ilvl w:val="1"/>
          <w:numId w:val="29"/>
        </w:numPr>
        <w:ind w:left="1560"/>
        <w:jc w:val="both"/>
        <w:rPr>
          <w:rFonts w:ascii="Arial" w:hAnsi="Arial" w:cs="Arial"/>
          <w:sz w:val="20"/>
        </w:rPr>
      </w:pPr>
      <w:r w:rsidRPr="00AC4AEA">
        <w:rPr>
          <w:rFonts w:ascii="Arial" w:hAnsi="Arial" w:cs="Arial"/>
          <w:sz w:val="20"/>
        </w:rPr>
        <w:t>s</w:t>
      </w:r>
      <w:r w:rsidR="00936A88" w:rsidRPr="00AC4AEA">
        <w:rPr>
          <w:rFonts w:ascii="Arial" w:hAnsi="Arial" w:cs="Arial"/>
          <w:sz w:val="20"/>
        </w:rPr>
        <w:t xml:space="preserve">u nuevo </w:t>
      </w:r>
      <w:r w:rsidR="00936A88" w:rsidRPr="00AC4AEA">
        <w:rPr>
          <w:rFonts w:ascii="Arial" w:hAnsi="Arial" w:cs="Arial"/>
          <w:b/>
          <w:bCs/>
          <w:sz w:val="20"/>
        </w:rPr>
        <w:t>valor recuperable</w:t>
      </w:r>
      <w:r w:rsidR="00936A88" w:rsidRPr="00AC4AEA">
        <w:rPr>
          <w:rFonts w:ascii="Arial" w:hAnsi="Arial" w:cs="Arial"/>
          <w:sz w:val="20"/>
        </w:rPr>
        <w:t>.</w:t>
      </w:r>
    </w:p>
    <w:p w:rsidR="00A97964" w:rsidRPr="00AC4AEA" w:rsidRDefault="00A97964" w:rsidP="00A318EA">
      <w:pPr>
        <w:pStyle w:val="A-Normal11"/>
        <w:jc w:val="both"/>
        <w:rPr>
          <w:rFonts w:ascii="Arial" w:hAnsi="Arial" w:cs="Arial"/>
          <w:b/>
          <w:bCs/>
          <w:sz w:val="20"/>
        </w:rPr>
      </w:pPr>
    </w:p>
    <w:p w:rsidR="00873B1C" w:rsidRPr="00AC4AEA" w:rsidRDefault="00873B1C" w:rsidP="00A318EA">
      <w:pPr>
        <w:pStyle w:val="Ttulo2"/>
        <w:rPr>
          <w:rFonts w:cs="Arial"/>
        </w:rPr>
      </w:pPr>
      <w:bookmarkStart w:id="336" w:name="_Toc101863807"/>
      <w:bookmarkStart w:id="337" w:name="_Toc139356674"/>
      <w:r w:rsidRPr="00AC4AEA">
        <w:rPr>
          <w:rFonts w:cs="Arial"/>
        </w:rPr>
        <w:lastRenderedPageBreak/>
        <w:t>Baja en cuentas</w:t>
      </w:r>
      <w:bookmarkEnd w:id="336"/>
      <w:bookmarkEnd w:id="337"/>
    </w:p>
    <w:p w:rsidR="00873B1C" w:rsidRPr="00AC4AEA" w:rsidRDefault="00873B1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dará de baja una inversión financiera cuando:</w:t>
      </w:r>
    </w:p>
    <w:p w:rsidR="00367BEA" w:rsidRPr="00AC4AEA" w:rsidRDefault="00367BEA" w:rsidP="00A318EA">
      <w:pPr>
        <w:pStyle w:val="Prrafodelista"/>
        <w:numPr>
          <w:ilvl w:val="0"/>
          <w:numId w:val="66"/>
        </w:numPr>
        <w:ind w:left="1560"/>
        <w:contextualSpacing w:val="0"/>
        <w:jc w:val="both"/>
        <w:rPr>
          <w:rFonts w:ascii="Arial" w:hAnsi="Arial" w:cs="Arial"/>
          <w:sz w:val="20"/>
          <w:szCs w:val="20"/>
        </w:rPr>
      </w:pPr>
      <w:r w:rsidRPr="00AC4AEA">
        <w:rPr>
          <w:rFonts w:ascii="Arial" w:hAnsi="Arial" w:cs="Arial"/>
          <w:sz w:val="20"/>
          <w:szCs w:val="20"/>
        </w:rPr>
        <w:t xml:space="preserve">expiren o se liquiden todos los derechos contractuales sobre los flujos de efectivo </w:t>
      </w:r>
      <w:r w:rsidR="0011272D" w:rsidRPr="00AC4AEA">
        <w:rPr>
          <w:rFonts w:ascii="Arial" w:hAnsi="Arial" w:cs="Arial"/>
          <w:sz w:val="20"/>
          <w:szCs w:val="20"/>
        </w:rPr>
        <w:t>de la inversión financiera</w:t>
      </w:r>
      <w:r w:rsidRPr="00AC4AEA">
        <w:rPr>
          <w:rFonts w:ascii="Arial" w:hAnsi="Arial" w:cs="Arial"/>
          <w:sz w:val="20"/>
          <w:szCs w:val="20"/>
        </w:rPr>
        <w:t>;</w:t>
      </w:r>
    </w:p>
    <w:p w:rsidR="00873B1C" w:rsidRPr="00AC4AEA" w:rsidRDefault="00873B1C" w:rsidP="00A318EA">
      <w:pPr>
        <w:pStyle w:val="Prrafodelista"/>
        <w:numPr>
          <w:ilvl w:val="0"/>
          <w:numId w:val="66"/>
        </w:numPr>
        <w:ind w:left="1560"/>
        <w:contextualSpacing w:val="0"/>
        <w:jc w:val="both"/>
        <w:rPr>
          <w:rFonts w:ascii="Arial" w:hAnsi="Arial" w:cs="Arial"/>
          <w:sz w:val="20"/>
          <w:szCs w:val="20"/>
        </w:rPr>
      </w:pPr>
      <w:r w:rsidRPr="00AC4AEA">
        <w:rPr>
          <w:rFonts w:ascii="Arial" w:hAnsi="Arial" w:cs="Arial"/>
          <w:sz w:val="20"/>
          <w:szCs w:val="20"/>
        </w:rPr>
        <w:t>transfiera dicho</w:t>
      </w:r>
      <w:r w:rsidRPr="006F3AE5">
        <w:rPr>
          <w:rFonts w:ascii="Arial" w:hAnsi="Arial" w:cs="Arial"/>
          <w:b/>
          <w:bCs/>
          <w:sz w:val="20"/>
          <w:szCs w:val="20"/>
        </w:rPr>
        <w:t xml:space="preserve"> activo </w:t>
      </w:r>
      <w:r w:rsidRPr="00AC4AEA">
        <w:rPr>
          <w:rFonts w:ascii="Arial" w:hAnsi="Arial" w:cs="Arial"/>
          <w:sz w:val="20"/>
          <w:szCs w:val="20"/>
        </w:rPr>
        <w:t xml:space="preserve">junto con todos los riesgos y ventajas inherentes a la propiedad </w:t>
      </w:r>
      <w:r w:rsidR="0011272D" w:rsidRPr="00AC4AEA">
        <w:rPr>
          <w:rFonts w:ascii="Arial" w:hAnsi="Arial" w:cs="Arial"/>
          <w:sz w:val="20"/>
          <w:szCs w:val="20"/>
        </w:rPr>
        <w:t>de la inversión financiera</w:t>
      </w:r>
      <w:r w:rsidRPr="00AC4AEA">
        <w:rPr>
          <w:rFonts w:ascii="Arial" w:hAnsi="Arial" w:cs="Arial"/>
          <w:sz w:val="20"/>
          <w:szCs w:val="20"/>
        </w:rPr>
        <w:t xml:space="preserve">, en los términos del inciso b) del párrafo </w:t>
      </w:r>
      <w:fldSimple w:instr=" REF _Ref81210223 \r \h  \* MERGEFORMAT ">
        <w:r w:rsidR="00D33A5D" w:rsidRPr="00D33A5D">
          <w:rPr>
            <w:rFonts w:ascii="Arial" w:hAnsi="Arial" w:cs="Arial"/>
            <w:sz w:val="20"/>
            <w:szCs w:val="20"/>
          </w:rPr>
          <w:t>226</w:t>
        </w:r>
      </w:fldSimple>
      <w:r w:rsidRPr="00AC4AEA">
        <w:rPr>
          <w:rFonts w:ascii="Arial" w:hAnsi="Arial" w:cs="Arial"/>
          <w:sz w:val="20"/>
          <w:szCs w:val="20"/>
        </w:rPr>
        <w:t>;</w:t>
      </w:r>
      <w:r w:rsidR="00367BEA" w:rsidRPr="00AC4AEA">
        <w:rPr>
          <w:rFonts w:ascii="Arial" w:hAnsi="Arial" w:cs="Arial"/>
          <w:sz w:val="20"/>
          <w:szCs w:val="20"/>
        </w:rPr>
        <w:t xml:space="preserve"> o</w:t>
      </w:r>
    </w:p>
    <w:p w:rsidR="00873B1C" w:rsidRPr="00AC4AEA" w:rsidRDefault="00873B1C" w:rsidP="00A318EA">
      <w:pPr>
        <w:pStyle w:val="Prrafodelista"/>
        <w:numPr>
          <w:ilvl w:val="0"/>
          <w:numId w:val="66"/>
        </w:numPr>
        <w:ind w:left="1560"/>
        <w:contextualSpacing w:val="0"/>
        <w:jc w:val="both"/>
        <w:rPr>
          <w:rFonts w:ascii="Arial" w:hAnsi="Arial" w:cs="Arial"/>
          <w:sz w:val="20"/>
          <w:szCs w:val="20"/>
        </w:rPr>
      </w:pPr>
      <w:r w:rsidRPr="00AC4AEA">
        <w:rPr>
          <w:rFonts w:ascii="Arial" w:hAnsi="Arial" w:cs="Arial"/>
          <w:sz w:val="20"/>
          <w:szCs w:val="20"/>
        </w:rPr>
        <w:t xml:space="preserve">acuerde una refinanciación con las características descriptas en el párrafo </w:t>
      </w:r>
      <w:fldSimple w:instr=" REF _Ref102992957 \r \h  \* MERGEFORMAT ">
        <w:r w:rsidR="00D33A5D" w:rsidRPr="00D33A5D">
          <w:rPr>
            <w:rFonts w:ascii="Arial" w:hAnsi="Arial" w:cs="Arial"/>
            <w:sz w:val="20"/>
            <w:szCs w:val="20"/>
          </w:rPr>
          <w:t>227</w:t>
        </w:r>
      </w:fldSimple>
      <w:r w:rsidR="00367BEA" w:rsidRPr="00AC4AEA">
        <w:rPr>
          <w:rFonts w:ascii="Arial" w:hAnsi="Arial" w:cs="Arial"/>
          <w:sz w:val="20"/>
          <w:szCs w:val="20"/>
        </w:rPr>
        <w:t>.</w:t>
      </w:r>
      <w:r w:rsidRPr="00AC4AEA">
        <w:rPr>
          <w:rFonts w:ascii="Arial" w:hAnsi="Arial" w:cs="Arial"/>
          <w:sz w:val="20"/>
          <w:szCs w:val="20"/>
        </w:rPr>
        <w:t xml:space="preserve"> </w:t>
      </w:r>
    </w:p>
    <w:p w:rsidR="00873B1C" w:rsidRPr="00AC4AEA" w:rsidRDefault="00873B1C" w:rsidP="00A318EA">
      <w:pPr>
        <w:pStyle w:val="Prrafodelista"/>
        <w:numPr>
          <w:ilvl w:val="0"/>
          <w:numId w:val="29"/>
        </w:numPr>
        <w:contextualSpacing w:val="0"/>
        <w:jc w:val="both"/>
        <w:rPr>
          <w:rFonts w:ascii="Arial" w:hAnsi="Arial" w:cs="Arial"/>
          <w:sz w:val="20"/>
          <w:szCs w:val="20"/>
        </w:rPr>
      </w:pPr>
      <w:bookmarkStart w:id="338" w:name="_Ref81210223"/>
      <w:r w:rsidRPr="00AC4AEA">
        <w:rPr>
          <w:rFonts w:ascii="Arial" w:hAnsi="Arial" w:cs="Arial"/>
          <w:sz w:val="20"/>
          <w:szCs w:val="20"/>
        </w:rPr>
        <w:t>Si una entidad transfiere una inversión financiera y:</w:t>
      </w:r>
      <w:bookmarkEnd w:id="338"/>
    </w:p>
    <w:p w:rsidR="00873B1C" w:rsidRPr="00AC4AEA" w:rsidRDefault="00873B1C" w:rsidP="00A318EA">
      <w:pPr>
        <w:pStyle w:val="Prrafodelista"/>
        <w:numPr>
          <w:ilvl w:val="0"/>
          <w:numId w:val="67"/>
        </w:numPr>
        <w:ind w:left="1560"/>
        <w:contextualSpacing w:val="0"/>
        <w:jc w:val="both"/>
        <w:rPr>
          <w:rFonts w:ascii="Arial" w:hAnsi="Arial" w:cs="Arial"/>
          <w:sz w:val="20"/>
          <w:szCs w:val="20"/>
        </w:rPr>
      </w:pPr>
      <w:r w:rsidRPr="00AC4AEA">
        <w:rPr>
          <w:rFonts w:ascii="Arial" w:hAnsi="Arial" w:cs="Arial"/>
          <w:sz w:val="20"/>
          <w:szCs w:val="20"/>
        </w:rPr>
        <w:t xml:space="preserve">Conserva el riesgo de crédito: </w:t>
      </w:r>
    </w:p>
    <w:p w:rsidR="00873B1C" w:rsidRPr="00AC4AEA" w:rsidRDefault="00873B1C" w:rsidP="00A318EA">
      <w:pPr>
        <w:pStyle w:val="Prrafodelista"/>
        <w:numPr>
          <w:ilvl w:val="0"/>
          <w:numId w:val="84"/>
        </w:numPr>
        <w:ind w:left="1984"/>
        <w:contextualSpacing w:val="0"/>
        <w:jc w:val="both"/>
        <w:rPr>
          <w:rFonts w:ascii="Arial" w:hAnsi="Arial" w:cs="Arial"/>
          <w:sz w:val="20"/>
          <w:szCs w:val="20"/>
        </w:rPr>
      </w:pPr>
      <w:r w:rsidRPr="00AC4AEA">
        <w:rPr>
          <w:rFonts w:ascii="Arial" w:hAnsi="Arial" w:cs="Arial"/>
          <w:sz w:val="20"/>
          <w:szCs w:val="20"/>
        </w:rPr>
        <w:t xml:space="preserve">no dará de baja en cuentas a los </w:t>
      </w:r>
      <w:r w:rsidR="00497590" w:rsidRPr="00AC4AEA">
        <w:rPr>
          <w:rFonts w:ascii="Arial" w:hAnsi="Arial" w:cs="Arial"/>
          <w:sz w:val="20"/>
          <w:szCs w:val="20"/>
        </w:rPr>
        <w:t>activos</w:t>
      </w:r>
      <w:r w:rsidRPr="00AC4AEA">
        <w:rPr>
          <w:rFonts w:ascii="Arial" w:hAnsi="Arial" w:cs="Arial"/>
          <w:sz w:val="20"/>
          <w:szCs w:val="20"/>
        </w:rPr>
        <w:t xml:space="preserve"> transferidos; y </w:t>
      </w:r>
    </w:p>
    <w:p w:rsidR="00873B1C" w:rsidRPr="00AC4AEA" w:rsidRDefault="00873B1C" w:rsidP="00A318EA">
      <w:pPr>
        <w:pStyle w:val="Prrafodelista"/>
        <w:numPr>
          <w:ilvl w:val="0"/>
          <w:numId w:val="84"/>
        </w:numPr>
        <w:ind w:left="1984"/>
        <w:contextualSpacing w:val="0"/>
        <w:jc w:val="both"/>
        <w:rPr>
          <w:rFonts w:ascii="Arial" w:hAnsi="Arial" w:cs="Arial"/>
          <w:sz w:val="20"/>
          <w:szCs w:val="20"/>
        </w:rPr>
      </w:pPr>
      <w:r w:rsidRPr="00AC4AEA">
        <w:rPr>
          <w:rFonts w:ascii="Arial" w:hAnsi="Arial" w:cs="Arial"/>
          <w:sz w:val="20"/>
          <w:szCs w:val="20"/>
        </w:rPr>
        <w:t xml:space="preserve">contabilizará un </w:t>
      </w:r>
      <w:r w:rsidRPr="00AC4AEA">
        <w:rPr>
          <w:rFonts w:ascii="Arial" w:hAnsi="Arial" w:cs="Arial"/>
          <w:b/>
          <w:bCs/>
          <w:sz w:val="20"/>
          <w:szCs w:val="20"/>
        </w:rPr>
        <w:t xml:space="preserve">pasivo </w:t>
      </w:r>
      <w:r w:rsidRPr="00AC4AEA">
        <w:rPr>
          <w:rFonts w:ascii="Arial" w:hAnsi="Arial" w:cs="Arial"/>
          <w:sz w:val="20"/>
          <w:szCs w:val="20"/>
        </w:rPr>
        <w:t xml:space="preserve">como contrapartida de cualquier </w:t>
      </w:r>
      <w:r w:rsidRPr="00AC4AEA">
        <w:rPr>
          <w:rFonts w:ascii="Arial" w:hAnsi="Arial" w:cs="Arial"/>
          <w:b/>
          <w:bCs/>
          <w:sz w:val="20"/>
          <w:szCs w:val="20"/>
        </w:rPr>
        <w:t>activo</w:t>
      </w:r>
      <w:r w:rsidRPr="00AC4AEA">
        <w:rPr>
          <w:rFonts w:ascii="Arial" w:hAnsi="Arial" w:cs="Arial"/>
          <w:sz w:val="20"/>
          <w:szCs w:val="20"/>
        </w:rPr>
        <w:t xml:space="preserve"> recibido.</w:t>
      </w:r>
    </w:p>
    <w:p w:rsidR="00873B1C" w:rsidRPr="00AC4AEA" w:rsidRDefault="00873B1C" w:rsidP="00A318EA">
      <w:pPr>
        <w:pStyle w:val="Prrafodelista"/>
        <w:numPr>
          <w:ilvl w:val="0"/>
          <w:numId w:val="67"/>
        </w:numPr>
        <w:ind w:left="1560"/>
        <w:contextualSpacing w:val="0"/>
        <w:jc w:val="both"/>
        <w:rPr>
          <w:rFonts w:ascii="Arial" w:hAnsi="Arial" w:cs="Arial"/>
          <w:sz w:val="20"/>
          <w:szCs w:val="20"/>
        </w:rPr>
      </w:pPr>
      <w:r w:rsidRPr="00AC4AEA">
        <w:rPr>
          <w:rFonts w:ascii="Arial" w:hAnsi="Arial" w:cs="Arial"/>
          <w:sz w:val="20"/>
          <w:szCs w:val="20"/>
        </w:rPr>
        <w:t>Transfiere sustancialmente todos los riesgos y ventajas inherentes a la propiedad de la inversión financiera:</w:t>
      </w:r>
    </w:p>
    <w:p w:rsidR="00873B1C" w:rsidRPr="00AC4AEA" w:rsidRDefault="00873B1C" w:rsidP="00A318EA">
      <w:pPr>
        <w:pStyle w:val="Prrafodelista"/>
        <w:numPr>
          <w:ilvl w:val="0"/>
          <w:numId w:val="85"/>
        </w:numPr>
        <w:ind w:left="1984"/>
        <w:contextualSpacing w:val="0"/>
        <w:jc w:val="both"/>
        <w:rPr>
          <w:rFonts w:ascii="Arial" w:hAnsi="Arial" w:cs="Arial"/>
          <w:sz w:val="20"/>
          <w:szCs w:val="20"/>
        </w:rPr>
      </w:pPr>
      <w:r w:rsidRPr="00AC4AEA">
        <w:rPr>
          <w:rFonts w:ascii="Arial" w:hAnsi="Arial" w:cs="Arial"/>
          <w:sz w:val="20"/>
          <w:szCs w:val="20"/>
        </w:rPr>
        <w:t xml:space="preserve">reconocerá cualquier </w:t>
      </w:r>
      <w:r w:rsidRPr="00AC4AEA">
        <w:rPr>
          <w:rFonts w:ascii="Arial" w:hAnsi="Arial" w:cs="Arial"/>
          <w:b/>
          <w:bCs/>
          <w:sz w:val="20"/>
          <w:szCs w:val="20"/>
        </w:rPr>
        <w:t>activo</w:t>
      </w:r>
      <w:r w:rsidRPr="00AC4AEA">
        <w:rPr>
          <w:rFonts w:ascii="Arial" w:hAnsi="Arial" w:cs="Arial"/>
          <w:sz w:val="20"/>
          <w:szCs w:val="20"/>
        </w:rPr>
        <w:t xml:space="preserve"> recibido; </w:t>
      </w:r>
    </w:p>
    <w:p w:rsidR="00873B1C" w:rsidRPr="00AC4AEA" w:rsidRDefault="00873B1C" w:rsidP="00A318EA">
      <w:pPr>
        <w:pStyle w:val="Prrafodelista"/>
        <w:numPr>
          <w:ilvl w:val="0"/>
          <w:numId w:val="85"/>
        </w:numPr>
        <w:ind w:left="1984"/>
        <w:contextualSpacing w:val="0"/>
        <w:jc w:val="both"/>
        <w:rPr>
          <w:rFonts w:ascii="Arial" w:hAnsi="Arial" w:cs="Arial"/>
          <w:sz w:val="20"/>
          <w:szCs w:val="20"/>
        </w:rPr>
      </w:pPr>
      <w:r w:rsidRPr="00AC4AEA">
        <w:rPr>
          <w:rFonts w:ascii="Arial" w:hAnsi="Arial" w:cs="Arial"/>
          <w:sz w:val="20"/>
          <w:szCs w:val="20"/>
        </w:rPr>
        <w:t xml:space="preserve">dará de baja al </w:t>
      </w:r>
      <w:r w:rsidRPr="00AC4AEA">
        <w:rPr>
          <w:rFonts w:ascii="Arial" w:hAnsi="Arial" w:cs="Arial"/>
          <w:b/>
          <w:bCs/>
          <w:sz w:val="20"/>
          <w:szCs w:val="20"/>
        </w:rPr>
        <w:t>activo</w:t>
      </w:r>
      <w:r w:rsidRPr="00AC4AEA">
        <w:rPr>
          <w:rFonts w:ascii="Arial" w:hAnsi="Arial" w:cs="Arial"/>
          <w:sz w:val="20"/>
          <w:szCs w:val="20"/>
        </w:rPr>
        <w:t xml:space="preserve"> transferido; y </w:t>
      </w:r>
    </w:p>
    <w:p w:rsidR="00873B1C" w:rsidRPr="00AC4AEA" w:rsidRDefault="00873B1C" w:rsidP="00A318EA">
      <w:pPr>
        <w:pStyle w:val="Prrafodelista"/>
        <w:numPr>
          <w:ilvl w:val="0"/>
          <w:numId w:val="85"/>
        </w:numPr>
        <w:ind w:left="1984"/>
        <w:contextualSpacing w:val="0"/>
        <w:jc w:val="both"/>
        <w:rPr>
          <w:rFonts w:ascii="Arial" w:hAnsi="Arial" w:cs="Arial"/>
          <w:sz w:val="20"/>
          <w:szCs w:val="20"/>
        </w:rPr>
      </w:pPr>
      <w:r w:rsidRPr="00AC4AEA">
        <w:rPr>
          <w:rFonts w:ascii="Arial" w:hAnsi="Arial" w:cs="Arial"/>
          <w:sz w:val="20"/>
          <w:szCs w:val="20"/>
        </w:rPr>
        <w:t>reconocerá cualquier resultado puesto en evidencia por esta transacción.</w:t>
      </w:r>
    </w:p>
    <w:p w:rsidR="003350A7" w:rsidRPr="00AC4AEA" w:rsidRDefault="003350A7" w:rsidP="00A318EA">
      <w:pPr>
        <w:pStyle w:val="Prrafodelista"/>
        <w:numPr>
          <w:ilvl w:val="0"/>
          <w:numId w:val="29"/>
        </w:numPr>
        <w:contextualSpacing w:val="0"/>
        <w:jc w:val="both"/>
        <w:rPr>
          <w:rFonts w:ascii="Arial" w:hAnsi="Arial" w:cs="Arial"/>
          <w:sz w:val="20"/>
          <w:szCs w:val="20"/>
        </w:rPr>
      </w:pPr>
      <w:bookmarkStart w:id="339" w:name="_Ref102992957"/>
      <w:r w:rsidRPr="00AC4AEA">
        <w:rPr>
          <w:rFonts w:ascii="Arial" w:hAnsi="Arial" w:cs="Arial"/>
          <w:sz w:val="20"/>
          <w:szCs w:val="20"/>
        </w:rPr>
        <w:t>Si una entidad refinancia un</w:t>
      </w:r>
      <w:r w:rsidR="00367BEA" w:rsidRPr="00AC4AEA">
        <w:rPr>
          <w:rFonts w:ascii="Arial" w:hAnsi="Arial" w:cs="Arial"/>
          <w:sz w:val="20"/>
          <w:szCs w:val="20"/>
        </w:rPr>
        <w:t>a inversión financiera representativa de títulos de deuda emitidos por otras entidades (públicas o privadas)</w:t>
      </w:r>
      <w:r w:rsidRPr="00AC4AEA">
        <w:rPr>
          <w:rFonts w:ascii="Arial" w:hAnsi="Arial" w:cs="Arial"/>
          <w:sz w:val="20"/>
          <w:szCs w:val="20"/>
        </w:rPr>
        <w:t xml:space="preserve"> y </w:t>
      </w:r>
      <w:r w:rsidR="000B2C0D" w:rsidRPr="00AC4AEA">
        <w:rPr>
          <w:rFonts w:ascii="Arial" w:hAnsi="Arial" w:cs="Arial"/>
          <w:sz w:val="20"/>
          <w:szCs w:val="20"/>
        </w:rPr>
        <w:t>la referida inversión</w:t>
      </w:r>
      <w:r w:rsidRPr="00AC4AEA">
        <w:rPr>
          <w:rFonts w:ascii="Arial" w:hAnsi="Arial" w:cs="Arial"/>
          <w:sz w:val="20"/>
          <w:szCs w:val="20"/>
        </w:rPr>
        <w:t xml:space="preserve"> después de la refinanciación es sustancialmente diferente respecto de</w:t>
      </w:r>
      <w:r w:rsidR="000B2C0D" w:rsidRPr="00AC4AEA">
        <w:rPr>
          <w:rFonts w:ascii="Arial" w:hAnsi="Arial" w:cs="Arial"/>
          <w:sz w:val="20"/>
          <w:szCs w:val="20"/>
        </w:rPr>
        <w:t xml:space="preserve"> esa inversión</w:t>
      </w:r>
      <w:r w:rsidRPr="00AC4AEA">
        <w:rPr>
          <w:rFonts w:ascii="Arial" w:hAnsi="Arial" w:cs="Arial"/>
          <w:sz w:val="20"/>
          <w:szCs w:val="20"/>
        </w:rPr>
        <w:t xml:space="preserve"> antes de la refinanciación:</w:t>
      </w:r>
      <w:bookmarkEnd w:id="339"/>
    </w:p>
    <w:p w:rsidR="003350A7" w:rsidRPr="00AC4AEA" w:rsidRDefault="003350A7" w:rsidP="00A318EA">
      <w:pPr>
        <w:pStyle w:val="Prrafodelista"/>
        <w:numPr>
          <w:ilvl w:val="0"/>
          <w:numId w:val="329"/>
        </w:numPr>
        <w:ind w:left="1560"/>
        <w:contextualSpacing w:val="0"/>
        <w:jc w:val="both"/>
        <w:rPr>
          <w:rFonts w:ascii="Arial" w:hAnsi="Arial" w:cs="Arial"/>
          <w:sz w:val="20"/>
          <w:szCs w:val="20"/>
        </w:rPr>
      </w:pPr>
      <w:r w:rsidRPr="00AC4AEA">
        <w:rPr>
          <w:rFonts w:ascii="Arial" w:hAnsi="Arial" w:cs="Arial"/>
          <w:sz w:val="20"/>
          <w:szCs w:val="20"/>
        </w:rPr>
        <w:t xml:space="preserve">dará de baja al </w:t>
      </w:r>
      <w:r w:rsidRPr="00AC4AEA">
        <w:rPr>
          <w:rFonts w:ascii="Arial" w:hAnsi="Arial" w:cs="Arial"/>
          <w:b/>
          <w:bCs/>
          <w:sz w:val="20"/>
          <w:szCs w:val="20"/>
        </w:rPr>
        <w:t>activo</w:t>
      </w:r>
      <w:r w:rsidRPr="00AC4AEA">
        <w:rPr>
          <w:rFonts w:ascii="Arial" w:hAnsi="Arial" w:cs="Arial"/>
          <w:sz w:val="20"/>
          <w:szCs w:val="20"/>
        </w:rPr>
        <w:t xml:space="preserve"> preexistente; </w:t>
      </w:r>
    </w:p>
    <w:p w:rsidR="003350A7" w:rsidRPr="00AC4AEA" w:rsidRDefault="003350A7" w:rsidP="00A318EA">
      <w:pPr>
        <w:pStyle w:val="Prrafodelista"/>
        <w:numPr>
          <w:ilvl w:val="0"/>
          <w:numId w:val="329"/>
        </w:numPr>
        <w:ind w:left="1560"/>
        <w:contextualSpacing w:val="0"/>
        <w:jc w:val="both"/>
        <w:rPr>
          <w:rFonts w:ascii="Arial" w:hAnsi="Arial" w:cs="Arial"/>
          <w:sz w:val="20"/>
          <w:szCs w:val="20"/>
        </w:rPr>
      </w:pPr>
      <w:r w:rsidRPr="00AC4AEA">
        <w:rPr>
          <w:rFonts w:ascii="Arial" w:hAnsi="Arial" w:cs="Arial"/>
          <w:sz w:val="20"/>
          <w:szCs w:val="20"/>
        </w:rPr>
        <w:t>reconocerá un</w:t>
      </w:r>
      <w:r w:rsidR="000B2C0D" w:rsidRPr="00AC4AEA">
        <w:rPr>
          <w:rFonts w:ascii="Arial" w:hAnsi="Arial" w:cs="Arial"/>
          <w:sz w:val="20"/>
          <w:szCs w:val="20"/>
        </w:rPr>
        <w:t>a</w:t>
      </w:r>
      <w:r w:rsidRPr="00AC4AEA">
        <w:rPr>
          <w:rFonts w:ascii="Arial" w:hAnsi="Arial" w:cs="Arial"/>
          <w:sz w:val="20"/>
          <w:szCs w:val="20"/>
        </w:rPr>
        <w:t xml:space="preserve"> nuev</w:t>
      </w:r>
      <w:r w:rsidR="000B2C0D" w:rsidRPr="00AC4AEA">
        <w:rPr>
          <w:rFonts w:ascii="Arial" w:hAnsi="Arial" w:cs="Arial"/>
          <w:sz w:val="20"/>
          <w:szCs w:val="20"/>
        </w:rPr>
        <w:t>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 aplicando las normas sobre “</w:t>
      </w:r>
      <w:r w:rsidRPr="00AC4AEA">
        <w:rPr>
          <w:rFonts w:ascii="Arial" w:hAnsi="Arial" w:cs="Arial"/>
          <w:sz w:val="20"/>
          <w:szCs w:val="20"/>
          <w:u w:val="single"/>
        </w:rPr>
        <w:t>Medición inicial</w:t>
      </w:r>
      <w:r w:rsidRPr="00AC4AEA">
        <w:rPr>
          <w:rFonts w:ascii="Arial" w:hAnsi="Arial" w:cs="Arial"/>
          <w:sz w:val="20"/>
          <w:szCs w:val="20"/>
        </w:rPr>
        <w:t xml:space="preserve">” [ver los párrafos </w:t>
      </w:r>
      <w:fldSimple w:instr=" REF _Ref99459768 \r \h  \* MERGEFORMAT ">
        <w:r w:rsidR="00D33A5D" w:rsidRPr="00D33A5D">
          <w:rPr>
            <w:rFonts w:ascii="Arial" w:hAnsi="Arial" w:cs="Arial"/>
            <w:sz w:val="20"/>
            <w:szCs w:val="20"/>
          </w:rPr>
          <w:t>214</w:t>
        </w:r>
      </w:fldSimple>
      <w:r w:rsidR="000B2C0D" w:rsidRPr="00AC4AEA">
        <w:rPr>
          <w:rFonts w:ascii="Arial" w:hAnsi="Arial" w:cs="Arial"/>
          <w:sz w:val="20"/>
          <w:szCs w:val="20"/>
        </w:rPr>
        <w:t xml:space="preserve"> y </w:t>
      </w:r>
      <w:fldSimple w:instr=" REF _Ref102993210 \r \h  \* MERGEFORMAT ">
        <w:r w:rsidR="00D33A5D" w:rsidRPr="00D33A5D">
          <w:rPr>
            <w:rFonts w:ascii="Arial" w:hAnsi="Arial" w:cs="Arial"/>
            <w:sz w:val="20"/>
            <w:szCs w:val="20"/>
          </w:rPr>
          <w:t>215</w:t>
        </w:r>
      </w:fldSimple>
      <w:r w:rsidRPr="00AC4AEA">
        <w:rPr>
          <w:rFonts w:ascii="Arial" w:hAnsi="Arial" w:cs="Arial"/>
          <w:sz w:val="20"/>
          <w:szCs w:val="20"/>
        </w:rPr>
        <w:t xml:space="preserve">], contenidas </w:t>
      </w:r>
      <w:r w:rsidR="00C62C26" w:rsidRPr="00AC4AEA">
        <w:rPr>
          <w:rFonts w:ascii="Arial" w:hAnsi="Arial" w:cs="Arial"/>
          <w:sz w:val="20"/>
          <w:szCs w:val="20"/>
        </w:rPr>
        <w:t>en</w:t>
      </w:r>
      <w:r w:rsidRPr="00AC4AEA">
        <w:rPr>
          <w:rFonts w:ascii="Arial" w:hAnsi="Arial" w:cs="Arial"/>
          <w:sz w:val="20"/>
          <w:szCs w:val="20"/>
        </w:rPr>
        <w:t xml:space="preserve"> la presente sección; </w:t>
      </w:r>
    </w:p>
    <w:p w:rsidR="003350A7" w:rsidRPr="00AC4AEA" w:rsidRDefault="003350A7" w:rsidP="00A318EA">
      <w:pPr>
        <w:pStyle w:val="Prrafodelista"/>
        <w:numPr>
          <w:ilvl w:val="0"/>
          <w:numId w:val="329"/>
        </w:numPr>
        <w:ind w:left="1560"/>
        <w:contextualSpacing w:val="0"/>
        <w:jc w:val="both"/>
        <w:rPr>
          <w:rFonts w:ascii="Arial" w:hAnsi="Arial" w:cs="Arial"/>
          <w:sz w:val="20"/>
          <w:szCs w:val="20"/>
        </w:rPr>
      </w:pPr>
      <w:r w:rsidRPr="00AC4AEA">
        <w:rPr>
          <w:rFonts w:ascii="Arial" w:hAnsi="Arial" w:cs="Arial"/>
          <w:sz w:val="20"/>
          <w:szCs w:val="20"/>
        </w:rPr>
        <w:t xml:space="preserve">reconocerá en el resultado del ejercicio de la refinanciación: </w:t>
      </w:r>
    </w:p>
    <w:p w:rsidR="003350A7" w:rsidRPr="00AC4AEA" w:rsidRDefault="003350A7" w:rsidP="00A318EA">
      <w:pPr>
        <w:pStyle w:val="Prrafodelista"/>
        <w:numPr>
          <w:ilvl w:val="0"/>
          <w:numId w:val="341"/>
        </w:numPr>
        <w:ind w:left="1985" w:hanging="142"/>
        <w:contextualSpacing w:val="0"/>
        <w:jc w:val="both"/>
        <w:rPr>
          <w:rFonts w:ascii="Arial" w:hAnsi="Arial" w:cs="Arial"/>
          <w:sz w:val="20"/>
          <w:szCs w:val="20"/>
        </w:rPr>
      </w:pPr>
      <w:r w:rsidRPr="00AC4AEA">
        <w:rPr>
          <w:rFonts w:ascii="Arial" w:hAnsi="Arial" w:cs="Arial"/>
          <w:sz w:val="20"/>
          <w:szCs w:val="20"/>
        </w:rPr>
        <w:t>la diferencia entre los importes de</w:t>
      </w:r>
      <w:r w:rsidR="000B2C0D" w:rsidRPr="00AC4AEA">
        <w:rPr>
          <w:rFonts w:ascii="Arial" w:hAnsi="Arial" w:cs="Arial"/>
          <w:sz w:val="20"/>
          <w:szCs w:val="20"/>
        </w:rPr>
        <w:t xml:space="preserve"> </w:t>
      </w:r>
      <w:r w:rsidRPr="00AC4AEA">
        <w:rPr>
          <w:rFonts w:ascii="Arial" w:hAnsi="Arial" w:cs="Arial"/>
          <w:sz w:val="20"/>
          <w:szCs w:val="20"/>
        </w:rPr>
        <w:t>l</w:t>
      </w:r>
      <w:r w:rsidR="000B2C0D" w:rsidRPr="00AC4AEA">
        <w:rPr>
          <w:rFonts w:ascii="Arial" w:hAnsi="Arial" w:cs="Arial"/>
          <w:sz w:val="20"/>
          <w:szCs w:val="20"/>
        </w:rPr>
        <w:t>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 xml:space="preserve"> dad</w:t>
      </w:r>
      <w:r w:rsidR="000B2C0D" w:rsidRPr="00AC4AEA">
        <w:rPr>
          <w:rFonts w:ascii="Arial" w:hAnsi="Arial" w:cs="Arial"/>
          <w:sz w:val="20"/>
          <w:szCs w:val="20"/>
        </w:rPr>
        <w:t>a</w:t>
      </w:r>
      <w:r w:rsidRPr="00AC4AEA">
        <w:rPr>
          <w:rFonts w:ascii="Arial" w:hAnsi="Arial" w:cs="Arial"/>
          <w:sz w:val="20"/>
          <w:szCs w:val="20"/>
        </w:rPr>
        <w:t xml:space="preserve"> de baja y de</w:t>
      </w:r>
      <w:r w:rsidR="000B2C0D" w:rsidRPr="00AC4AEA">
        <w:rPr>
          <w:rFonts w:ascii="Arial" w:hAnsi="Arial" w:cs="Arial"/>
          <w:sz w:val="20"/>
          <w:szCs w:val="20"/>
        </w:rPr>
        <w:t xml:space="preserve"> </w:t>
      </w:r>
      <w:r w:rsidR="00A82EFF" w:rsidRPr="00AC4AEA">
        <w:rPr>
          <w:rFonts w:ascii="Arial" w:hAnsi="Arial" w:cs="Arial"/>
          <w:sz w:val="20"/>
          <w:szCs w:val="20"/>
        </w:rPr>
        <w:t>la nueva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 y</w:t>
      </w:r>
    </w:p>
    <w:p w:rsidR="003350A7" w:rsidRPr="00AC4AEA" w:rsidRDefault="003350A7" w:rsidP="00A318EA">
      <w:pPr>
        <w:pStyle w:val="Prrafodelista"/>
        <w:numPr>
          <w:ilvl w:val="0"/>
          <w:numId w:val="341"/>
        </w:numPr>
        <w:ind w:left="1985"/>
        <w:contextualSpacing w:val="0"/>
        <w:jc w:val="both"/>
        <w:rPr>
          <w:rFonts w:ascii="Arial" w:hAnsi="Arial" w:cs="Arial"/>
          <w:sz w:val="20"/>
          <w:szCs w:val="20"/>
        </w:rPr>
      </w:pPr>
      <w:r w:rsidRPr="00AC4AEA">
        <w:rPr>
          <w:rFonts w:ascii="Arial" w:hAnsi="Arial" w:cs="Arial"/>
          <w:sz w:val="20"/>
          <w:szCs w:val="20"/>
        </w:rPr>
        <w:t>cualquier costo incurrido en la refinanciación por la entidad.</w:t>
      </w:r>
    </w:p>
    <w:p w:rsidR="003350A7" w:rsidRPr="00AC4AEA" w:rsidRDefault="003350A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 condición de “sustancialmente diferente” establecida en el párrafo anterior se cumple si: </w:t>
      </w:r>
    </w:p>
    <w:p w:rsidR="003350A7" w:rsidRPr="00AC4AEA" w:rsidRDefault="003350A7" w:rsidP="00A318EA">
      <w:pPr>
        <w:pStyle w:val="Prrafodelista"/>
        <w:numPr>
          <w:ilvl w:val="0"/>
          <w:numId w:val="340"/>
        </w:numPr>
        <w:ind w:left="1560"/>
        <w:contextualSpacing w:val="0"/>
        <w:jc w:val="both"/>
        <w:rPr>
          <w:rFonts w:ascii="Arial" w:hAnsi="Arial" w:cs="Arial"/>
          <w:sz w:val="20"/>
          <w:szCs w:val="20"/>
        </w:rPr>
      </w:pPr>
      <w:r w:rsidRPr="00AC4AEA">
        <w:rPr>
          <w:rFonts w:ascii="Arial" w:hAnsi="Arial" w:cs="Arial"/>
          <w:sz w:val="20"/>
          <w:szCs w:val="20"/>
        </w:rPr>
        <w:t xml:space="preserve">el valor descontado de los flujos de efectivo posteriores a la refinanciación, utilizando la misma tasa empleada para medir </w:t>
      </w:r>
      <w:r w:rsidR="000B2C0D" w:rsidRPr="00AC4AEA">
        <w:rPr>
          <w:rFonts w:ascii="Arial" w:hAnsi="Arial" w:cs="Arial"/>
          <w:sz w:val="20"/>
          <w:szCs w:val="20"/>
        </w:rPr>
        <w:t>la inversión</w:t>
      </w:r>
      <w:r w:rsidRPr="00AC4AEA">
        <w:rPr>
          <w:rFonts w:ascii="Arial" w:hAnsi="Arial" w:cs="Arial"/>
          <w:sz w:val="20"/>
          <w:szCs w:val="20"/>
        </w:rPr>
        <w:t xml:space="preserve"> original, difiere en, por lo menos, un 10% respecto del valor contable de</w:t>
      </w:r>
      <w:r w:rsidR="000B2C0D" w:rsidRPr="00AC4AEA">
        <w:rPr>
          <w:rFonts w:ascii="Arial" w:hAnsi="Arial" w:cs="Arial"/>
          <w:sz w:val="20"/>
          <w:szCs w:val="20"/>
        </w:rPr>
        <w:t xml:space="preserve"> </w:t>
      </w:r>
      <w:r w:rsidRPr="00AC4AEA">
        <w:rPr>
          <w:rFonts w:ascii="Arial" w:hAnsi="Arial" w:cs="Arial"/>
          <w:sz w:val="20"/>
          <w:szCs w:val="20"/>
        </w:rPr>
        <w:t>l</w:t>
      </w:r>
      <w:r w:rsidR="000B2C0D" w:rsidRPr="00AC4AEA">
        <w:rPr>
          <w:rFonts w:ascii="Arial" w:hAnsi="Arial" w:cs="Arial"/>
          <w:sz w:val="20"/>
          <w:szCs w:val="20"/>
        </w:rPr>
        <w:t>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 xml:space="preserve"> refinanciad</w:t>
      </w:r>
      <w:r w:rsidR="000B2C0D" w:rsidRPr="00AC4AEA">
        <w:rPr>
          <w:rFonts w:ascii="Arial" w:hAnsi="Arial" w:cs="Arial"/>
          <w:sz w:val="20"/>
          <w:szCs w:val="20"/>
        </w:rPr>
        <w:t>a</w:t>
      </w:r>
      <w:r w:rsidRPr="00AC4AEA">
        <w:rPr>
          <w:rFonts w:ascii="Arial" w:hAnsi="Arial" w:cs="Arial"/>
          <w:sz w:val="20"/>
          <w:szCs w:val="20"/>
        </w:rPr>
        <w:t xml:space="preserve"> en la fecha de la refinanciación; o</w:t>
      </w:r>
    </w:p>
    <w:p w:rsidR="003350A7" w:rsidRPr="00AC4AEA" w:rsidRDefault="003350A7" w:rsidP="00A318EA">
      <w:pPr>
        <w:pStyle w:val="Prrafodelista"/>
        <w:numPr>
          <w:ilvl w:val="0"/>
          <w:numId w:val="340"/>
        </w:numPr>
        <w:ind w:left="1560"/>
        <w:contextualSpacing w:val="0"/>
        <w:jc w:val="both"/>
        <w:rPr>
          <w:rFonts w:ascii="Arial" w:hAnsi="Arial" w:cs="Arial"/>
          <w:sz w:val="20"/>
          <w:szCs w:val="20"/>
        </w:rPr>
      </w:pPr>
      <w:r w:rsidRPr="00AC4AEA">
        <w:rPr>
          <w:rFonts w:ascii="Arial" w:hAnsi="Arial" w:cs="Arial"/>
          <w:sz w:val="20"/>
          <w:szCs w:val="20"/>
        </w:rPr>
        <w:lastRenderedPageBreak/>
        <w:t xml:space="preserve">existen otros elementos de carácter cualitativo que permitan deducir que tal cambio es sustancial (por ejemplo, la constitución de nuevas garantías o la incorporación de </w:t>
      </w:r>
      <w:r w:rsidR="00A82EFF" w:rsidRPr="00AC4AEA">
        <w:rPr>
          <w:rFonts w:ascii="Arial" w:hAnsi="Arial" w:cs="Arial"/>
          <w:sz w:val="20"/>
          <w:szCs w:val="20"/>
        </w:rPr>
        <w:t>cláusulas</w:t>
      </w:r>
      <w:r w:rsidRPr="00AC4AEA">
        <w:rPr>
          <w:rFonts w:ascii="Arial" w:hAnsi="Arial" w:cs="Arial"/>
          <w:sz w:val="20"/>
          <w:szCs w:val="20"/>
        </w:rPr>
        <w:t xml:space="preserve"> de cumplimiento contingente para el </w:t>
      </w:r>
      <w:r w:rsidR="000B2C0D" w:rsidRPr="00AC4AEA">
        <w:rPr>
          <w:rFonts w:ascii="Arial" w:hAnsi="Arial" w:cs="Arial"/>
          <w:sz w:val="20"/>
          <w:szCs w:val="20"/>
        </w:rPr>
        <w:t>emisor</w:t>
      </w:r>
      <w:r w:rsidRPr="00AC4AEA">
        <w:rPr>
          <w:rFonts w:ascii="Arial" w:hAnsi="Arial" w:cs="Arial"/>
          <w:sz w:val="20"/>
          <w:szCs w:val="20"/>
        </w:rPr>
        <w:t>).</w:t>
      </w:r>
    </w:p>
    <w:p w:rsidR="003350A7" w:rsidRPr="00AC4AEA" w:rsidRDefault="003350A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Si la refinanciación no da lugar a la baja en cuentas de</w:t>
      </w:r>
      <w:r w:rsidR="000B2C0D" w:rsidRPr="00AC4AEA">
        <w:rPr>
          <w:rFonts w:ascii="Arial" w:hAnsi="Arial" w:cs="Arial"/>
          <w:sz w:val="20"/>
          <w:szCs w:val="20"/>
        </w:rPr>
        <w:t xml:space="preserve"> </w:t>
      </w:r>
      <w:r w:rsidRPr="00AC4AEA">
        <w:rPr>
          <w:rFonts w:ascii="Arial" w:hAnsi="Arial" w:cs="Arial"/>
          <w:sz w:val="20"/>
          <w:szCs w:val="20"/>
        </w:rPr>
        <w:t>l</w:t>
      </w:r>
      <w:r w:rsidR="000B2C0D" w:rsidRPr="00AC4AEA">
        <w:rPr>
          <w:rFonts w:ascii="Arial" w:hAnsi="Arial" w:cs="Arial"/>
          <w:sz w:val="20"/>
          <w:szCs w:val="20"/>
        </w:rPr>
        <w:t>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 xml:space="preserve"> original se considera que solo existe un cambio en la estimación de los cobros futuros. </w:t>
      </w:r>
      <w:r w:rsidR="00C879F8" w:rsidRPr="00AC4AEA">
        <w:rPr>
          <w:rFonts w:ascii="Arial" w:hAnsi="Arial" w:cs="Arial"/>
          <w:sz w:val="20"/>
          <w:szCs w:val="20"/>
        </w:rPr>
        <w:t>P</w:t>
      </w:r>
      <w:r w:rsidRPr="00AC4AEA">
        <w:rPr>
          <w:rFonts w:ascii="Arial" w:hAnsi="Arial" w:cs="Arial"/>
          <w:sz w:val="20"/>
          <w:szCs w:val="20"/>
        </w:rPr>
        <w:t>ara reflejar el cambio indicado, la entidad:</w:t>
      </w:r>
    </w:p>
    <w:p w:rsidR="003350A7" w:rsidRPr="00AC4AEA" w:rsidRDefault="003350A7" w:rsidP="00A318EA">
      <w:pPr>
        <w:pStyle w:val="Prrafodelista"/>
        <w:numPr>
          <w:ilvl w:val="0"/>
          <w:numId w:val="342"/>
        </w:numPr>
        <w:ind w:left="1560"/>
        <w:contextualSpacing w:val="0"/>
        <w:jc w:val="both"/>
        <w:rPr>
          <w:rFonts w:ascii="Arial" w:hAnsi="Arial" w:cs="Arial"/>
          <w:sz w:val="20"/>
          <w:szCs w:val="20"/>
        </w:rPr>
      </w:pPr>
      <w:r w:rsidRPr="00AC4AEA">
        <w:rPr>
          <w:rFonts w:ascii="Arial" w:hAnsi="Arial" w:cs="Arial"/>
          <w:sz w:val="20"/>
          <w:szCs w:val="20"/>
        </w:rPr>
        <w:t>recalculará el valor contable como el valor actual de los nuevos flujos de efectivo descontados a la tasa de interés efectiva de</w:t>
      </w:r>
      <w:r w:rsidR="000B2C0D" w:rsidRPr="00AC4AEA">
        <w:rPr>
          <w:rFonts w:ascii="Arial" w:hAnsi="Arial" w:cs="Arial"/>
          <w:sz w:val="20"/>
          <w:szCs w:val="20"/>
        </w:rPr>
        <w:t xml:space="preserve"> la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 xml:space="preserve"> original; </w:t>
      </w:r>
    </w:p>
    <w:p w:rsidR="003350A7" w:rsidRPr="00AC4AEA" w:rsidRDefault="003350A7" w:rsidP="00A318EA">
      <w:pPr>
        <w:pStyle w:val="Prrafodelista"/>
        <w:numPr>
          <w:ilvl w:val="0"/>
          <w:numId w:val="342"/>
        </w:numPr>
        <w:ind w:left="1560"/>
        <w:contextualSpacing w:val="0"/>
        <w:jc w:val="both"/>
        <w:rPr>
          <w:rFonts w:ascii="Arial" w:hAnsi="Arial" w:cs="Arial"/>
          <w:sz w:val="20"/>
          <w:szCs w:val="20"/>
        </w:rPr>
      </w:pPr>
      <w:r w:rsidRPr="00AC4AEA">
        <w:rPr>
          <w:rFonts w:ascii="Arial" w:hAnsi="Arial" w:cs="Arial"/>
          <w:sz w:val="20"/>
          <w:szCs w:val="20"/>
        </w:rPr>
        <w:t>reconocerá inmediatamente en el resultado del ejercicio de la refinanciación la diferencia entre el importe resultante de a) y el valor contable previo a la modificación contractual; y</w:t>
      </w:r>
    </w:p>
    <w:p w:rsidR="003350A7" w:rsidRPr="00AC4AEA" w:rsidRDefault="003350A7" w:rsidP="00A318EA">
      <w:pPr>
        <w:pStyle w:val="Prrafodelista"/>
        <w:numPr>
          <w:ilvl w:val="0"/>
          <w:numId w:val="342"/>
        </w:numPr>
        <w:ind w:left="1560"/>
        <w:contextualSpacing w:val="0"/>
        <w:jc w:val="both"/>
        <w:rPr>
          <w:rFonts w:ascii="Arial" w:hAnsi="Arial" w:cs="Arial"/>
          <w:sz w:val="20"/>
          <w:szCs w:val="20"/>
        </w:rPr>
      </w:pPr>
      <w:r w:rsidRPr="00AC4AEA">
        <w:rPr>
          <w:rFonts w:ascii="Arial" w:hAnsi="Arial" w:cs="Arial"/>
          <w:sz w:val="20"/>
          <w:szCs w:val="20"/>
        </w:rPr>
        <w:t>ajustará el importe de</w:t>
      </w:r>
      <w:r w:rsidR="000B2C0D" w:rsidRPr="00AC4AEA">
        <w:rPr>
          <w:rFonts w:ascii="Arial" w:hAnsi="Arial" w:cs="Arial"/>
          <w:sz w:val="20"/>
          <w:szCs w:val="20"/>
        </w:rPr>
        <w:t xml:space="preserve"> </w:t>
      </w:r>
      <w:r w:rsidRPr="00AC4AEA">
        <w:rPr>
          <w:rFonts w:ascii="Arial" w:hAnsi="Arial" w:cs="Arial"/>
          <w:sz w:val="20"/>
          <w:szCs w:val="20"/>
        </w:rPr>
        <w:t>l</w:t>
      </w:r>
      <w:r w:rsidR="000B2C0D" w:rsidRPr="00AC4AEA">
        <w:rPr>
          <w:rFonts w:ascii="Arial" w:hAnsi="Arial" w:cs="Arial"/>
          <w:sz w:val="20"/>
          <w:szCs w:val="20"/>
        </w:rPr>
        <w:t>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 xml:space="preserve"> adicionando cualquier costo incurrido en la refinanciación, y lo amortizará a lo largo de la duración de</w:t>
      </w:r>
      <w:r w:rsidR="000B2C0D" w:rsidRPr="00AC4AEA">
        <w:rPr>
          <w:rFonts w:ascii="Arial" w:hAnsi="Arial" w:cs="Arial"/>
          <w:sz w:val="20"/>
          <w:szCs w:val="20"/>
        </w:rPr>
        <w:t xml:space="preserve"> la</w:t>
      </w:r>
      <w:r w:rsidRPr="00AC4AEA">
        <w:rPr>
          <w:rFonts w:ascii="Arial" w:hAnsi="Arial" w:cs="Arial"/>
          <w:sz w:val="20"/>
          <w:szCs w:val="20"/>
        </w:rPr>
        <w:t xml:space="preserve"> nuev</w:t>
      </w:r>
      <w:r w:rsidR="000B2C0D" w:rsidRPr="00AC4AEA">
        <w:rPr>
          <w:rFonts w:ascii="Arial" w:hAnsi="Arial" w:cs="Arial"/>
          <w:sz w:val="20"/>
          <w:szCs w:val="20"/>
        </w:rPr>
        <w:t>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w:t>
      </w:r>
    </w:p>
    <w:p w:rsidR="003350A7" w:rsidRPr="00AC4AEA" w:rsidRDefault="003350A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se trate de una entidad que es pequeña o mediana podrá seguir el siguiente procedimiento en reemplazo del indicado en el párrafo anterior, en la fecha de la </w:t>
      </w:r>
      <w:r w:rsidR="00C879F8" w:rsidRPr="00AC4AEA">
        <w:rPr>
          <w:rFonts w:ascii="Arial" w:hAnsi="Arial" w:cs="Arial"/>
          <w:sz w:val="20"/>
          <w:szCs w:val="20"/>
        </w:rPr>
        <w:t>refinanciación</w:t>
      </w:r>
      <w:r w:rsidRPr="00AC4AEA">
        <w:rPr>
          <w:rFonts w:ascii="Arial" w:hAnsi="Arial" w:cs="Arial"/>
          <w:sz w:val="20"/>
          <w:szCs w:val="20"/>
        </w:rPr>
        <w:t>:</w:t>
      </w:r>
    </w:p>
    <w:p w:rsidR="003350A7" w:rsidRPr="00AC4AEA" w:rsidRDefault="003350A7" w:rsidP="00A318EA">
      <w:pPr>
        <w:pStyle w:val="Prrafodelista"/>
        <w:numPr>
          <w:ilvl w:val="0"/>
          <w:numId w:val="343"/>
        </w:numPr>
        <w:ind w:left="1560"/>
        <w:contextualSpacing w:val="0"/>
        <w:jc w:val="both"/>
        <w:rPr>
          <w:rFonts w:ascii="Arial" w:hAnsi="Arial" w:cs="Arial"/>
          <w:sz w:val="20"/>
          <w:szCs w:val="20"/>
        </w:rPr>
      </w:pPr>
      <w:r w:rsidRPr="00AC4AEA">
        <w:rPr>
          <w:rFonts w:ascii="Arial" w:hAnsi="Arial" w:cs="Arial"/>
          <w:sz w:val="20"/>
          <w:szCs w:val="20"/>
        </w:rPr>
        <w:t>mantendrá el valor contable de</w:t>
      </w:r>
      <w:r w:rsidR="000B2C0D" w:rsidRPr="00AC4AEA">
        <w:rPr>
          <w:rFonts w:ascii="Arial" w:hAnsi="Arial" w:cs="Arial"/>
          <w:sz w:val="20"/>
          <w:szCs w:val="20"/>
        </w:rPr>
        <w:t xml:space="preserve"> </w:t>
      </w:r>
      <w:r w:rsidRPr="00AC4AEA">
        <w:rPr>
          <w:rFonts w:ascii="Arial" w:hAnsi="Arial" w:cs="Arial"/>
          <w:sz w:val="20"/>
          <w:szCs w:val="20"/>
        </w:rPr>
        <w:t>l</w:t>
      </w:r>
      <w:r w:rsidR="000B2C0D" w:rsidRPr="00AC4AEA">
        <w:rPr>
          <w:rFonts w:ascii="Arial" w:hAnsi="Arial" w:cs="Arial"/>
          <w:sz w:val="20"/>
          <w:szCs w:val="20"/>
        </w:rPr>
        <w:t>a</w:t>
      </w:r>
      <w:r w:rsidRPr="00AC4AEA">
        <w:rPr>
          <w:rFonts w:ascii="Arial" w:hAnsi="Arial" w:cs="Arial"/>
          <w:sz w:val="20"/>
          <w:szCs w:val="20"/>
        </w:rPr>
        <w:t xml:space="preserve"> </w:t>
      </w:r>
      <w:r w:rsidR="000B2C0D" w:rsidRPr="00AC4AEA">
        <w:rPr>
          <w:rFonts w:ascii="Arial" w:hAnsi="Arial" w:cs="Arial"/>
          <w:sz w:val="20"/>
          <w:szCs w:val="20"/>
        </w:rPr>
        <w:t>inversión</w:t>
      </w:r>
      <w:r w:rsidRPr="00AC4AEA">
        <w:rPr>
          <w:rFonts w:ascii="Arial" w:hAnsi="Arial" w:cs="Arial"/>
          <w:sz w:val="20"/>
          <w:szCs w:val="20"/>
        </w:rPr>
        <w:t>, ajustado por los costos incurridos por la entidad a causa de la refinanciación; y</w:t>
      </w:r>
    </w:p>
    <w:p w:rsidR="003350A7" w:rsidRPr="00AC4AEA" w:rsidRDefault="003350A7" w:rsidP="00A318EA">
      <w:pPr>
        <w:pStyle w:val="Prrafodelista"/>
        <w:numPr>
          <w:ilvl w:val="0"/>
          <w:numId w:val="343"/>
        </w:numPr>
        <w:ind w:left="1560"/>
        <w:contextualSpacing w:val="0"/>
        <w:jc w:val="both"/>
        <w:rPr>
          <w:rFonts w:ascii="Arial" w:hAnsi="Arial" w:cs="Arial"/>
          <w:sz w:val="20"/>
          <w:szCs w:val="20"/>
        </w:rPr>
      </w:pPr>
      <w:r w:rsidRPr="00AC4AEA">
        <w:rPr>
          <w:rFonts w:ascii="Arial" w:hAnsi="Arial" w:cs="Arial"/>
          <w:sz w:val="20"/>
          <w:szCs w:val="20"/>
        </w:rPr>
        <w:t>modificará la tasa de interés de forma prospectiva, sin que dé lugar al reconocimiento de ningún resultado inmediato por la refinanciación</w:t>
      </w:r>
      <w:r w:rsidR="0033627C" w:rsidRPr="00AC4AEA">
        <w:rPr>
          <w:rFonts w:ascii="Arial" w:hAnsi="Arial" w:cs="Arial"/>
          <w:sz w:val="20"/>
          <w:szCs w:val="20"/>
        </w:rPr>
        <w:t>.</w:t>
      </w:r>
    </w:p>
    <w:p w:rsidR="00D711FA" w:rsidRPr="00AC4AEA" w:rsidRDefault="00D711FA" w:rsidP="00A318EA">
      <w:pPr>
        <w:pStyle w:val="A-Normal11"/>
        <w:jc w:val="both"/>
        <w:rPr>
          <w:rFonts w:ascii="Arial" w:hAnsi="Arial" w:cs="Arial"/>
          <w:sz w:val="20"/>
        </w:rPr>
      </w:pPr>
    </w:p>
    <w:p w:rsidR="00A97964" w:rsidRPr="00AC4AEA" w:rsidRDefault="00A97964" w:rsidP="00A318EA">
      <w:pPr>
        <w:pStyle w:val="Ttulo2"/>
        <w:rPr>
          <w:rFonts w:cs="Arial"/>
        </w:rPr>
      </w:pPr>
      <w:bookmarkStart w:id="340" w:name="_Toc101863808"/>
      <w:bookmarkStart w:id="341" w:name="_Toc139356675"/>
      <w:r w:rsidRPr="00AC4AEA">
        <w:rPr>
          <w:rFonts w:cs="Arial"/>
        </w:rPr>
        <w:t xml:space="preserve">Presentación en los </w:t>
      </w:r>
      <w:r w:rsidR="00135084" w:rsidRPr="00AC4AEA">
        <w:rPr>
          <w:rFonts w:cs="Arial"/>
          <w:bCs/>
        </w:rPr>
        <w:t>estados contables</w:t>
      </w:r>
      <w:bookmarkEnd w:id="340"/>
      <w:bookmarkEnd w:id="341"/>
    </w:p>
    <w:p w:rsidR="00613E8E" w:rsidRPr="00AC4AEA" w:rsidRDefault="00A417C9" w:rsidP="00A318EA">
      <w:pPr>
        <w:pStyle w:val="A-Normal11"/>
        <w:numPr>
          <w:ilvl w:val="0"/>
          <w:numId w:val="29"/>
        </w:numPr>
        <w:jc w:val="both"/>
        <w:rPr>
          <w:rFonts w:ascii="Arial" w:hAnsi="Arial" w:cs="Arial"/>
          <w:sz w:val="20"/>
        </w:rPr>
      </w:pPr>
      <w:r w:rsidRPr="00AC4AEA">
        <w:rPr>
          <w:rFonts w:ascii="Arial" w:hAnsi="Arial" w:cs="Arial"/>
          <w:sz w:val="20"/>
        </w:rPr>
        <w:t>En el estado de situación patrimonial, u</w:t>
      </w:r>
      <w:r w:rsidR="00613E8E" w:rsidRPr="00AC4AEA">
        <w:rPr>
          <w:rFonts w:ascii="Arial" w:hAnsi="Arial" w:cs="Arial"/>
          <w:sz w:val="20"/>
        </w:rPr>
        <w:t>na entidad presentará</w:t>
      </w:r>
      <w:r w:rsidR="00D73884" w:rsidRPr="00AC4AEA">
        <w:rPr>
          <w:rFonts w:ascii="Arial" w:hAnsi="Arial" w:cs="Arial"/>
          <w:sz w:val="20"/>
        </w:rPr>
        <w:t xml:space="preserve"> las inversiones financieras</w:t>
      </w:r>
      <w:r w:rsidR="00613E8E" w:rsidRPr="00AC4AEA">
        <w:rPr>
          <w:rFonts w:ascii="Arial" w:hAnsi="Arial" w:cs="Arial"/>
          <w:sz w:val="20"/>
        </w:rPr>
        <w:t xml:space="preserve"> separad</w:t>
      </w:r>
      <w:r w:rsidR="00D73884" w:rsidRPr="00AC4AEA">
        <w:rPr>
          <w:rFonts w:ascii="Arial" w:hAnsi="Arial" w:cs="Arial"/>
          <w:sz w:val="20"/>
        </w:rPr>
        <w:t>a</w:t>
      </w:r>
      <w:r w:rsidR="00613E8E" w:rsidRPr="00AC4AEA">
        <w:rPr>
          <w:rFonts w:ascii="Arial" w:hAnsi="Arial" w:cs="Arial"/>
          <w:sz w:val="20"/>
        </w:rPr>
        <w:t xml:space="preserve">s del resto de los </w:t>
      </w:r>
      <w:r w:rsidR="00497590" w:rsidRPr="00AC4AEA">
        <w:rPr>
          <w:rFonts w:ascii="Arial" w:hAnsi="Arial" w:cs="Arial"/>
          <w:sz w:val="20"/>
        </w:rPr>
        <w:t>activos</w:t>
      </w:r>
      <w:r w:rsidR="00613E8E" w:rsidRPr="00AC4AEA">
        <w:rPr>
          <w:rFonts w:ascii="Arial" w:hAnsi="Arial" w:cs="Arial"/>
          <w:sz w:val="20"/>
        </w:rPr>
        <w:t xml:space="preserve"> y distinguiendo, </w:t>
      </w:r>
      <w:r w:rsidR="00CA658E" w:rsidRPr="00AC4AEA">
        <w:rPr>
          <w:rFonts w:ascii="Arial" w:hAnsi="Arial" w:cs="Arial"/>
          <w:sz w:val="20"/>
        </w:rPr>
        <w:t>de</w:t>
      </w:r>
      <w:r w:rsidR="00613E8E" w:rsidRPr="00AC4AEA">
        <w:rPr>
          <w:rFonts w:ascii="Arial" w:hAnsi="Arial" w:cs="Arial"/>
          <w:sz w:val="20"/>
        </w:rPr>
        <w:t xml:space="preserve"> </w:t>
      </w:r>
      <w:r w:rsidR="00CA658E" w:rsidRPr="00AC4AEA">
        <w:rPr>
          <w:rFonts w:ascii="Arial" w:hAnsi="Arial" w:cs="Arial"/>
          <w:sz w:val="20"/>
        </w:rPr>
        <w:t>corresponder</w:t>
      </w:r>
      <w:r w:rsidR="00613E8E" w:rsidRPr="00AC4AEA">
        <w:rPr>
          <w:rFonts w:ascii="Arial" w:hAnsi="Arial" w:cs="Arial"/>
          <w:sz w:val="20"/>
        </w:rPr>
        <w:t xml:space="preserve">, entre </w:t>
      </w:r>
      <w:r w:rsidR="00497590" w:rsidRPr="00AC4AEA">
        <w:rPr>
          <w:rFonts w:ascii="Arial" w:hAnsi="Arial" w:cs="Arial"/>
          <w:bCs/>
          <w:sz w:val="20"/>
        </w:rPr>
        <w:t>activos</w:t>
      </w:r>
      <w:r w:rsidR="00613E8E" w:rsidRPr="00AC4AEA">
        <w:rPr>
          <w:rFonts w:ascii="Arial" w:hAnsi="Arial" w:cs="Arial"/>
          <w:bCs/>
          <w:sz w:val="20"/>
        </w:rPr>
        <w:t xml:space="preserve"> corrientes y </w:t>
      </w:r>
      <w:r w:rsidR="00497590" w:rsidRPr="00AC4AEA">
        <w:rPr>
          <w:rFonts w:ascii="Arial" w:hAnsi="Arial" w:cs="Arial"/>
          <w:bCs/>
          <w:sz w:val="20"/>
        </w:rPr>
        <w:t>activos</w:t>
      </w:r>
      <w:r w:rsidR="00D711FA" w:rsidRPr="00AC4AEA">
        <w:rPr>
          <w:rFonts w:ascii="Arial" w:hAnsi="Arial" w:cs="Arial"/>
          <w:bCs/>
          <w:sz w:val="20"/>
        </w:rPr>
        <w:t xml:space="preserve"> </w:t>
      </w:r>
      <w:r w:rsidR="00613E8E" w:rsidRPr="00AC4AEA">
        <w:rPr>
          <w:rFonts w:ascii="Arial" w:hAnsi="Arial" w:cs="Arial"/>
          <w:bCs/>
          <w:sz w:val="20"/>
        </w:rPr>
        <w:t>no corrientes</w:t>
      </w:r>
      <w:r w:rsidR="00613E8E" w:rsidRPr="00AC4AEA">
        <w:rPr>
          <w:rFonts w:ascii="Arial" w:hAnsi="Arial" w:cs="Arial"/>
          <w:sz w:val="20"/>
        </w:rPr>
        <w:t xml:space="preserve">. </w:t>
      </w:r>
    </w:p>
    <w:p w:rsidR="00A97964" w:rsidRPr="00AC4AEA" w:rsidRDefault="00A97964" w:rsidP="00A318EA">
      <w:pPr>
        <w:pStyle w:val="A-Normal11"/>
        <w:jc w:val="both"/>
        <w:rPr>
          <w:rFonts w:ascii="Arial" w:hAnsi="Arial" w:cs="Arial"/>
          <w:b/>
          <w:bCs/>
          <w:sz w:val="20"/>
        </w:rPr>
      </w:pPr>
    </w:p>
    <w:p w:rsidR="00A97964" w:rsidRPr="00AC4AEA" w:rsidRDefault="00A97964" w:rsidP="00A318EA">
      <w:pPr>
        <w:pStyle w:val="Ttulo2"/>
        <w:rPr>
          <w:rFonts w:cs="Arial"/>
        </w:rPr>
      </w:pPr>
      <w:bookmarkStart w:id="342" w:name="_Toc101863809"/>
      <w:bookmarkStart w:id="343" w:name="_Toc139356676"/>
      <w:r w:rsidRPr="00AC4AEA">
        <w:rPr>
          <w:rFonts w:cs="Arial"/>
        </w:rPr>
        <w:t>Revelación en notas</w:t>
      </w:r>
      <w:bookmarkEnd w:id="342"/>
      <w:bookmarkEnd w:id="343"/>
    </w:p>
    <w:p w:rsidR="000709EC" w:rsidRPr="00AC4AEA" w:rsidRDefault="000709E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describirá:</w:t>
      </w:r>
    </w:p>
    <w:p w:rsidR="000709EC" w:rsidRPr="00AC4AEA" w:rsidRDefault="00CF0C4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0709EC" w:rsidRPr="00AC4AEA">
        <w:rPr>
          <w:rFonts w:ascii="Arial" w:hAnsi="Arial" w:cs="Arial"/>
          <w:sz w:val="20"/>
          <w:szCs w:val="20"/>
        </w:rPr>
        <w:t xml:space="preserve">as </w:t>
      </w:r>
      <w:r w:rsidR="00135084" w:rsidRPr="00AC4AEA">
        <w:rPr>
          <w:rFonts w:ascii="Arial" w:hAnsi="Arial" w:cs="Arial"/>
          <w:b/>
          <w:bCs/>
          <w:sz w:val="20"/>
          <w:szCs w:val="20"/>
        </w:rPr>
        <w:t>políticas contables</w:t>
      </w:r>
      <w:r w:rsidR="00BF4A7C" w:rsidRPr="00AC4AEA">
        <w:rPr>
          <w:rFonts w:ascii="Arial" w:hAnsi="Arial" w:cs="Arial"/>
          <w:sz w:val="20"/>
          <w:szCs w:val="20"/>
        </w:rPr>
        <w:t xml:space="preserve"> empleadas</w:t>
      </w:r>
      <w:r w:rsidR="000709EC" w:rsidRPr="00AC4AEA">
        <w:rPr>
          <w:rFonts w:ascii="Arial" w:hAnsi="Arial" w:cs="Arial"/>
          <w:sz w:val="20"/>
          <w:szCs w:val="20"/>
        </w:rPr>
        <w:t xml:space="preserve"> y los criterios de medición aplicados para cada clase de inversiones financieras</w:t>
      </w:r>
      <w:r w:rsidR="00E1003C" w:rsidRPr="00AC4AEA">
        <w:rPr>
          <w:rFonts w:ascii="Arial" w:hAnsi="Arial" w:cs="Arial"/>
          <w:sz w:val="20"/>
          <w:szCs w:val="20"/>
        </w:rPr>
        <w:t>;</w:t>
      </w:r>
      <w:r w:rsidR="00CD54A4" w:rsidRPr="00AC4AEA">
        <w:rPr>
          <w:rFonts w:ascii="Arial" w:hAnsi="Arial" w:cs="Arial"/>
          <w:sz w:val="20"/>
          <w:szCs w:val="20"/>
        </w:rPr>
        <w:t xml:space="preserve"> y</w:t>
      </w:r>
    </w:p>
    <w:p w:rsidR="000709EC" w:rsidRPr="00AC4AEA" w:rsidRDefault="00CF0C4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0709EC" w:rsidRPr="00AC4AEA">
        <w:rPr>
          <w:rFonts w:ascii="Arial" w:hAnsi="Arial" w:cs="Arial"/>
          <w:sz w:val="20"/>
          <w:szCs w:val="20"/>
        </w:rPr>
        <w:t>as bases y métodos utilizados y los supuestos considerados en las mediciones basadas en valores corrientes.</w:t>
      </w:r>
    </w:p>
    <w:p w:rsidR="000709EC" w:rsidRPr="00AC4AEA" w:rsidRDefault="000709E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revelará información sobre la composición de las inversiones financieras que permita evaluar el importe, calendario e incertidumbre de los flujos de efectivo futuros, incluyendo:</w:t>
      </w:r>
    </w:p>
    <w:p w:rsidR="000709EC" w:rsidRPr="00AC4AEA" w:rsidRDefault="00CF0C4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s</w:t>
      </w:r>
      <w:r w:rsidR="000709EC" w:rsidRPr="00AC4AEA">
        <w:rPr>
          <w:rFonts w:ascii="Arial" w:hAnsi="Arial" w:cs="Arial"/>
          <w:sz w:val="20"/>
          <w:szCs w:val="20"/>
        </w:rPr>
        <w:t>u naturaleza e instrumentación jurídica</w:t>
      </w:r>
      <w:r w:rsidR="00033E0F" w:rsidRPr="00AC4AEA">
        <w:rPr>
          <w:rFonts w:ascii="Arial" w:hAnsi="Arial" w:cs="Arial"/>
          <w:sz w:val="20"/>
          <w:szCs w:val="20"/>
        </w:rPr>
        <w:t xml:space="preserve"> (por ejemplo, plazos fijos, acciones con cotización, acciones sin cotización, títulos de deuda con cotización, títulos </w:t>
      </w:r>
      <w:r w:rsidR="00033E0F" w:rsidRPr="00AC4AEA">
        <w:rPr>
          <w:rFonts w:ascii="Arial" w:hAnsi="Arial" w:cs="Arial"/>
          <w:sz w:val="20"/>
          <w:szCs w:val="20"/>
        </w:rPr>
        <w:lastRenderedPageBreak/>
        <w:t xml:space="preserve">de deuda sin cotización, títulos en </w:t>
      </w:r>
      <w:r w:rsidR="00033E0F" w:rsidRPr="002B0F58">
        <w:rPr>
          <w:rFonts w:ascii="Arial" w:hAnsi="Arial" w:cs="Arial"/>
          <w:b/>
          <w:bCs/>
          <w:sz w:val="20"/>
          <w:szCs w:val="20"/>
        </w:rPr>
        <w:t>moneda extranjera</w:t>
      </w:r>
      <w:r w:rsidR="00033E0F" w:rsidRPr="00AC4AEA">
        <w:rPr>
          <w:rFonts w:ascii="Arial" w:hAnsi="Arial" w:cs="Arial"/>
          <w:sz w:val="20"/>
          <w:szCs w:val="20"/>
        </w:rPr>
        <w:t xml:space="preserve"> con cotización,</w:t>
      </w:r>
      <w:r w:rsidR="0052091A" w:rsidRPr="00AC4AEA">
        <w:rPr>
          <w:rFonts w:ascii="Arial" w:hAnsi="Arial" w:cs="Arial"/>
          <w:sz w:val="20"/>
          <w:szCs w:val="20"/>
        </w:rPr>
        <w:t xml:space="preserve"> derechos a recibir activos financieros distintos del efectivo, </w:t>
      </w:r>
      <w:r w:rsidR="007B7E5B" w:rsidRPr="00AC4AEA">
        <w:rPr>
          <w:rFonts w:ascii="Arial" w:hAnsi="Arial" w:cs="Arial"/>
          <w:sz w:val="20"/>
          <w:szCs w:val="20"/>
        </w:rPr>
        <w:t xml:space="preserve">de los </w:t>
      </w:r>
      <w:r w:rsidR="0052091A" w:rsidRPr="00AC4AEA">
        <w:rPr>
          <w:rFonts w:ascii="Arial" w:hAnsi="Arial" w:cs="Arial"/>
          <w:sz w:val="20"/>
          <w:szCs w:val="20"/>
        </w:rPr>
        <w:t xml:space="preserve">equivalentes del efectivo o </w:t>
      </w:r>
      <w:r w:rsidR="007B7E5B" w:rsidRPr="00AC4AEA">
        <w:rPr>
          <w:rFonts w:ascii="Arial" w:hAnsi="Arial" w:cs="Arial"/>
          <w:sz w:val="20"/>
          <w:szCs w:val="20"/>
        </w:rPr>
        <w:t xml:space="preserve">los </w:t>
      </w:r>
      <w:r w:rsidR="0052091A" w:rsidRPr="00AC4AEA">
        <w:rPr>
          <w:rFonts w:ascii="Arial" w:hAnsi="Arial" w:cs="Arial"/>
          <w:sz w:val="20"/>
          <w:szCs w:val="20"/>
        </w:rPr>
        <w:t>créditos en moneda,</w:t>
      </w:r>
      <w:r w:rsidR="00033E0F" w:rsidRPr="00AC4AEA">
        <w:rPr>
          <w:rFonts w:ascii="Arial" w:hAnsi="Arial" w:cs="Arial"/>
          <w:sz w:val="20"/>
          <w:szCs w:val="20"/>
        </w:rPr>
        <w:t xml:space="preserve"> etc.)</w:t>
      </w:r>
      <w:r w:rsidR="000709EC" w:rsidRPr="00AC4AEA">
        <w:rPr>
          <w:rFonts w:ascii="Arial" w:hAnsi="Arial" w:cs="Arial"/>
          <w:sz w:val="20"/>
          <w:szCs w:val="20"/>
        </w:rPr>
        <w:t>;</w:t>
      </w:r>
    </w:p>
    <w:p w:rsidR="000709EC" w:rsidRPr="00AC4AEA" w:rsidRDefault="00CF0C4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0709EC" w:rsidRPr="00AC4AEA">
        <w:rPr>
          <w:rFonts w:ascii="Arial" w:hAnsi="Arial" w:cs="Arial"/>
          <w:sz w:val="20"/>
          <w:szCs w:val="20"/>
        </w:rPr>
        <w:t xml:space="preserve">l </w:t>
      </w:r>
      <w:r w:rsidR="000709EC" w:rsidRPr="00AC4AEA">
        <w:rPr>
          <w:rFonts w:ascii="Arial" w:hAnsi="Arial" w:cs="Arial"/>
          <w:b/>
          <w:bCs/>
          <w:sz w:val="20"/>
          <w:szCs w:val="20"/>
        </w:rPr>
        <w:t xml:space="preserve">valor </w:t>
      </w:r>
      <w:r w:rsidR="00DB5C3D" w:rsidRPr="00AC4AEA">
        <w:rPr>
          <w:rFonts w:ascii="Arial" w:hAnsi="Arial" w:cs="Arial"/>
          <w:b/>
          <w:bCs/>
          <w:sz w:val="20"/>
          <w:szCs w:val="20"/>
        </w:rPr>
        <w:t>razonable</w:t>
      </w:r>
      <w:r w:rsidR="000709EC" w:rsidRPr="00AC4AEA">
        <w:rPr>
          <w:rFonts w:ascii="Arial" w:hAnsi="Arial" w:cs="Arial"/>
          <w:b/>
          <w:bCs/>
          <w:sz w:val="20"/>
          <w:szCs w:val="20"/>
        </w:rPr>
        <w:t xml:space="preserve"> </w:t>
      </w:r>
      <w:r w:rsidR="000709EC" w:rsidRPr="00AC4AEA">
        <w:rPr>
          <w:rFonts w:ascii="Arial" w:hAnsi="Arial" w:cs="Arial"/>
          <w:sz w:val="20"/>
          <w:szCs w:val="20"/>
        </w:rPr>
        <w:t xml:space="preserve">de las inversiones que midió al </w:t>
      </w:r>
      <w:r w:rsidR="000709EC" w:rsidRPr="00AC4AEA">
        <w:rPr>
          <w:rFonts w:ascii="Arial" w:hAnsi="Arial" w:cs="Arial"/>
          <w:b/>
          <w:bCs/>
          <w:sz w:val="20"/>
          <w:szCs w:val="20"/>
        </w:rPr>
        <w:t>costo amortizado</w:t>
      </w:r>
      <w:r w:rsidR="000709EC" w:rsidRPr="00AC4AEA">
        <w:rPr>
          <w:rFonts w:ascii="Arial" w:hAnsi="Arial" w:cs="Arial"/>
          <w:sz w:val="20"/>
          <w:szCs w:val="20"/>
        </w:rPr>
        <w:t xml:space="preserve"> y cotizan en</w:t>
      </w:r>
      <w:r w:rsidR="00D73884" w:rsidRPr="00AC4AEA">
        <w:rPr>
          <w:rFonts w:ascii="Arial" w:hAnsi="Arial" w:cs="Arial"/>
          <w:sz w:val="20"/>
          <w:szCs w:val="20"/>
        </w:rPr>
        <w:t xml:space="preserve"> un</w:t>
      </w:r>
      <w:r w:rsidR="000709EC" w:rsidRPr="00AC4AEA">
        <w:rPr>
          <w:rFonts w:ascii="Arial" w:hAnsi="Arial" w:cs="Arial"/>
          <w:sz w:val="20"/>
          <w:szCs w:val="20"/>
        </w:rPr>
        <w:t xml:space="preserve"> </w:t>
      </w:r>
      <w:r w:rsidR="000709EC" w:rsidRPr="00AC4AEA">
        <w:rPr>
          <w:rFonts w:ascii="Arial" w:hAnsi="Arial" w:cs="Arial"/>
          <w:b/>
          <w:bCs/>
          <w:sz w:val="20"/>
          <w:szCs w:val="20"/>
        </w:rPr>
        <w:t>mercado activo</w:t>
      </w:r>
      <w:r w:rsidR="000709EC" w:rsidRPr="00AC4AEA">
        <w:rPr>
          <w:rFonts w:ascii="Arial" w:hAnsi="Arial" w:cs="Arial"/>
          <w:sz w:val="20"/>
          <w:szCs w:val="20"/>
        </w:rPr>
        <w:t xml:space="preserve">; </w:t>
      </w:r>
    </w:p>
    <w:p w:rsidR="000709EC" w:rsidRPr="00AC4AEA" w:rsidRDefault="00CF0C49"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0709EC" w:rsidRPr="00AC4AEA">
        <w:rPr>
          <w:rFonts w:ascii="Arial" w:hAnsi="Arial" w:cs="Arial"/>
          <w:sz w:val="20"/>
          <w:szCs w:val="20"/>
        </w:rPr>
        <w:t xml:space="preserve">os importes de inversiones en </w:t>
      </w:r>
      <w:r w:rsidR="000709EC" w:rsidRPr="002B0F58">
        <w:rPr>
          <w:rFonts w:ascii="Arial" w:hAnsi="Arial" w:cs="Arial"/>
          <w:b/>
          <w:bCs/>
          <w:sz w:val="20"/>
          <w:szCs w:val="20"/>
        </w:rPr>
        <w:t>moneda extranjera</w:t>
      </w:r>
      <w:r w:rsidR="000709EC" w:rsidRPr="00AC4AEA">
        <w:rPr>
          <w:rFonts w:ascii="Arial" w:hAnsi="Arial" w:cs="Arial"/>
          <w:sz w:val="20"/>
          <w:szCs w:val="20"/>
        </w:rPr>
        <w:t xml:space="preserve">, si las hubiere, y los tipos de cambio vigentes a la </w:t>
      </w:r>
      <w:r w:rsidR="00D73884"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0709EC" w:rsidRPr="00AC4AEA">
        <w:rPr>
          <w:rFonts w:ascii="Arial" w:hAnsi="Arial" w:cs="Arial"/>
          <w:sz w:val="20"/>
          <w:szCs w:val="20"/>
        </w:rPr>
        <w:t>;</w:t>
      </w:r>
    </w:p>
    <w:p w:rsidR="000709EC" w:rsidRPr="00AC4AEA" w:rsidRDefault="00F77C4B" w:rsidP="00A318EA">
      <w:pPr>
        <w:pStyle w:val="Prrafodelista"/>
        <w:numPr>
          <w:ilvl w:val="1"/>
          <w:numId w:val="29"/>
        </w:numPr>
        <w:ind w:left="1560"/>
        <w:contextualSpacing w:val="0"/>
        <w:jc w:val="both"/>
        <w:rPr>
          <w:rFonts w:ascii="Arial" w:hAnsi="Arial" w:cs="Arial"/>
          <w:sz w:val="20"/>
          <w:szCs w:val="20"/>
        </w:rPr>
      </w:pPr>
      <w:bookmarkStart w:id="344" w:name="_Ref75888655"/>
      <w:r w:rsidRPr="00AC4AEA">
        <w:rPr>
          <w:rFonts w:ascii="Arial" w:hAnsi="Arial" w:cs="Arial"/>
          <w:sz w:val="20"/>
          <w:szCs w:val="20"/>
        </w:rPr>
        <w:t>los importes,</w:t>
      </w:r>
      <w:r w:rsidR="000709EC" w:rsidRPr="00AC4AEA">
        <w:rPr>
          <w:rFonts w:ascii="Arial" w:hAnsi="Arial" w:cs="Arial"/>
          <w:sz w:val="20"/>
          <w:szCs w:val="20"/>
        </w:rPr>
        <w:t xml:space="preserve"> en función de los plazos de vencimiento o rescate, distinguiendo entre:</w:t>
      </w:r>
      <w:bookmarkEnd w:id="344"/>
    </w:p>
    <w:p w:rsidR="000709EC" w:rsidRPr="00AC4AEA" w:rsidRDefault="00CF0C49" w:rsidP="00A318EA">
      <w:pPr>
        <w:pStyle w:val="Prrafodelista"/>
        <w:numPr>
          <w:ilvl w:val="2"/>
          <w:numId w:val="29"/>
        </w:numPr>
        <w:ind w:left="1984"/>
        <w:contextualSpacing w:val="0"/>
        <w:jc w:val="both"/>
        <w:rPr>
          <w:rFonts w:ascii="Arial" w:hAnsi="Arial" w:cs="Arial"/>
          <w:sz w:val="20"/>
          <w:szCs w:val="20"/>
        </w:rPr>
      </w:pPr>
      <w:r w:rsidRPr="00AC4AEA">
        <w:rPr>
          <w:rFonts w:ascii="Arial" w:hAnsi="Arial" w:cs="Arial"/>
          <w:sz w:val="20"/>
          <w:szCs w:val="20"/>
        </w:rPr>
        <w:t>p</w:t>
      </w:r>
      <w:r w:rsidR="000709EC" w:rsidRPr="00AC4AEA">
        <w:rPr>
          <w:rFonts w:ascii="Arial" w:hAnsi="Arial" w:cs="Arial"/>
          <w:sz w:val="20"/>
          <w:szCs w:val="20"/>
        </w:rPr>
        <w:t>lazo vencido</w:t>
      </w:r>
      <w:r w:rsidR="000D6692" w:rsidRPr="00AC4AEA">
        <w:rPr>
          <w:rFonts w:ascii="Arial" w:hAnsi="Arial" w:cs="Arial"/>
          <w:sz w:val="20"/>
          <w:szCs w:val="20"/>
        </w:rPr>
        <w:t>;</w:t>
      </w:r>
    </w:p>
    <w:p w:rsidR="000709EC" w:rsidRPr="00AC4AEA" w:rsidRDefault="00CF0C49" w:rsidP="00A318EA">
      <w:pPr>
        <w:pStyle w:val="Prrafodelista"/>
        <w:numPr>
          <w:ilvl w:val="2"/>
          <w:numId w:val="29"/>
        </w:numPr>
        <w:ind w:left="1984"/>
        <w:contextualSpacing w:val="0"/>
        <w:jc w:val="both"/>
        <w:rPr>
          <w:rFonts w:ascii="Arial" w:hAnsi="Arial" w:cs="Arial"/>
          <w:sz w:val="20"/>
          <w:szCs w:val="20"/>
        </w:rPr>
      </w:pPr>
      <w:r w:rsidRPr="00AC4AEA">
        <w:rPr>
          <w:rFonts w:ascii="Arial" w:hAnsi="Arial" w:cs="Arial"/>
          <w:sz w:val="20"/>
          <w:szCs w:val="20"/>
        </w:rPr>
        <w:t>s</w:t>
      </w:r>
      <w:r w:rsidR="000709EC" w:rsidRPr="00AC4AEA">
        <w:rPr>
          <w:rFonts w:ascii="Arial" w:hAnsi="Arial" w:cs="Arial"/>
          <w:sz w:val="20"/>
          <w:szCs w:val="20"/>
        </w:rPr>
        <w:t>in plazo establecido;</w:t>
      </w:r>
    </w:p>
    <w:p w:rsidR="000709EC" w:rsidRPr="00AC4AEA" w:rsidRDefault="00CF0C49" w:rsidP="00A318EA">
      <w:pPr>
        <w:pStyle w:val="Prrafodelista"/>
        <w:numPr>
          <w:ilvl w:val="2"/>
          <w:numId w:val="29"/>
        </w:numPr>
        <w:ind w:left="1984"/>
        <w:contextualSpacing w:val="0"/>
        <w:jc w:val="both"/>
        <w:rPr>
          <w:rFonts w:ascii="Arial" w:hAnsi="Arial" w:cs="Arial"/>
          <w:sz w:val="20"/>
          <w:szCs w:val="20"/>
        </w:rPr>
      </w:pPr>
      <w:r w:rsidRPr="00AC4AEA">
        <w:rPr>
          <w:rFonts w:ascii="Arial" w:hAnsi="Arial" w:cs="Arial"/>
          <w:sz w:val="20"/>
          <w:szCs w:val="20"/>
        </w:rPr>
        <w:t>c</w:t>
      </w:r>
      <w:r w:rsidR="000709EC" w:rsidRPr="00AC4AEA">
        <w:rPr>
          <w:rFonts w:ascii="Arial" w:hAnsi="Arial" w:cs="Arial"/>
          <w:sz w:val="20"/>
          <w:szCs w:val="20"/>
        </w:rPr>
        <w:t>on vencimiento en cada uno de los trimestre</w:t>
      </w:r>
      <w:r w:rsidR="00D73884" w:rsidRPr="00AC4AEA">
        <w:rPr>
          <w:rFonts w:ascii="Arial" w:hAnsi="Arial" w:cs="Arial"/>
          <w:sz w:val="20"/>
          <w:szCs w:val="20"/>
        </w:rPr>
        <w:t>s</w:t>
      </w:r>
      <w:r w:rsidR="000709EC" w:rsidRPr="00AC4AEA">
        <w:rPr>
          <w:rFonts w:ascii="Arial" w:hAnsi="Arial" w:cs="Arial"/>
          <w:sz w:val="20"/>
          <w:szCs w:val="20"/>
        </w:rPr>
        <w:t xml:space="preserve"> del ejercicio subsiguiente</w:t>
      </w:r>
      <w:r w:rsidR="000D6692" w:rsidRPr="00AC4AEA">
        <w:rPr>
          <w:rFonts w:ascii="Arial" w:hAnsi="Arial" w:cs="Arial"/>
          <w:sz w:val="20"/>
          <w:szCs w:val="20"/>
        </w:rPr>
        <w:t>;</w:t>
      </w:r>
      <w:r w:rsidR="00CD54A4" w:rsidRPr="00AC4AEA">
        <w:rPr>
          <w:rFonts w:ascii="Arial" w:hAnsi="Arial" w:cs="Arial"/>
          <w:sz w:val="20"/>
          <w:szCs w:val="20"/>
        </w:rPr>
        <w:t xml:space="preserve"> y</w:t>
      </w:r>
    </w:p>
    <w:p w:rsidR="000709EC" w:rsidRPr="00AC4AEA" w:rsidRDefault="00CF0C49" w:rsidP="00A318EA">
      <w:pPr>
        <w:pStyle w:val="Prrafodelista"/>
        <w:numPr>
          <w:ilvl w:val="2"/>
          <w:numId w:val="29"/>
        </w:numPr>
        <w:ind w:left="1984"/>
        <w:contextualSpacing w:val="0"/>
        <w:jc w:val="both"/>
        <w:rPr>
          <w:rFonts w:ascii="Arial" w:hAnsi="Arial" w:cs="Arial"/>
          <w:sz w:val="20"/>
          <w:szCs w:val="20"/>
        </w:rPr>
      </w:pPr>
      <w:r w:rsidRPr="00AC4AEA">
        <w:rPr>
          <w:rFonts w:ascii="Arial" w:hAnsi="Arial" w:cs="Arial"/>
          <w:sz w:val="20"/>
          <w:szCs w:val="20"/>
        </w:rPr>
        <w:t>c</w:t>
      </w:r>
      <w:r w:rsidR="000709EC" w:rsidRPr="00AC4AEA">
        <w:rPr>
          <w:rFonts w:ascii="Arial" w:hAnsi="Arial" w:cs="Arial"/>
          <w:sz w:val="20"/>
          <w:szCs w:val="20"/>
        </w:rPr>
        <w:t>on vencimiento en cada uno de los ejercicios posteriores al subsiguiente</w:t>
      </w:r>
      <w:r w:rsidR="000D6692" w:rsidRPr="00AC4AEA">
        <w:rPr>
          <w:rFonts w:ascii="Arial" w:hAnsi="Arial" w:cs="Arial"/>
          <w:sz w:val="20"/>
          <w:szCs w:val="20"/>
        </w:rPr>
        <w:t>;</w:t>
      </w:r>
    </w:p>
    <w:p w:rsidR="000709EC" w:rsidRPr="00AC4AEA" w:rsidRDefault="0026048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0709EC" w:rsidRPr="00AC4AEA">
        <w:rPr>
          <w:rFonts w:ascii="Arial" w:hAnsi="Arial" w:cs="Arial"/>
          <w:sz w:val="20"/>
          <w:szCs w:val="20"/>
        </w:rPr>
        <w:t xml:space="preserve">as tasas de interés, explícitas o implícitas, por categoría de inversiones cuya medición se efectuó en función del </w:t>
      </w:r>
      <w:r w:rsidR="000709EC" w:rsidRPr="00AC4AEA">
        <w:rPr>
          <w:rFonts w:ascii="Arial" w:hAnsi="Arial" w:cs="Arial"/>
          <w:b/>
          <w:bCs/>
          <w:sz w:val="20"/>
          <w:szCs w:val="20"/>
        </w:rPr>
        <w:t xml:space="preserve">costo amortizado </w:t>
      </w:r>
      <w:r w:rsidR="000709EC" w:rsidRPr="00AC4AEA">
        <w:rPr>
          <w:rFonts w:ascii="Arial" w:hAnsi="Arial" w:cs="Arial"/>
          <w:sz w:val="20"/>
          <w:szCs w:val="20"/>
        </w:rPr>
        <w:t>(pudi</w:t>
      </w:r>
      <w:r w:rsidR="00496180" w:rsidRPr="00AC4AEA">
        <w:rPr>
          <w:rFonts w:ascii="Arial" w:hAnsi="Arial" w:cs="Arial"/>
          <w:sz w:val="20"/>
          <w:szCs w:val="20"/>
        </w:rPr>
        <w:t>e</w:t>
      </w:r>
      <w:r w:rsidR="000709EC" w:rsidRPr="00AC4AEA">
        <w:rPr>
          <w:rFonts w:ascii="Arial" w:hAnsi="Arial" w:cs="Arial"/>
          <w:sz w:val="20"/>
          <w:szCs w:val="20"/>
        </w:rPr>
        <w:t xml:space="preserve">ndo informar el promedio por categoría </w:t>
      </w:r>
      <w:r w:rsidR="00D73884" w:rsidRPr="00AC4AEA">
        <w:rPr>
          <w:rFonts w:ascii="Arial" w:hAnsi="Arial" w:cs="Arial"/>
          <w:sz w:val="20"/>
          <w:szCs w:val="20"/>
        </w:rPr>
        <w:t>cuando existe más</w:t>
      </w:r>
      <w:r w:rsidR="000709EC" w:rsidRPr="00AC4AEA">
        <w:rPr>
          <w:rFonts w:ascii="Arial" w:hAnsi="Arial" w:cs="Arial"/>
          <w:sz w:val="20"/>
          <w:szCs w:val="20"/>
        </w:rPr>
        <w:t xml:space="preserve"> de una tasa);</w:t>
      </w:r>
    </w:p>
    <w:p w:rsidR="000709EC" w:rsidRPr="00AC4AEA" w:rsidRDefault="0026048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0709EC" w:rsidRPr="00AC4AEA">
        <w:rPr>
          <w:rFonts w:ascii="Arial" w:hAnsi="Arial" w:cs="Arial"/>
          <w:sz w:val="20"/>
          <w:szCs w:val="20"/>
        </w:rPr>
        <w:t>as pautas de actualización, si las hubiere;</w:t>
      </w:r>
    </w:p>
    <w:p w:rsidR="000709EC" w:rsidRPr="00AC4AEA" w:rsidRDefault="0026048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0709EC" w:rsidRPr="00AC4AEA">
        <w:rPr>
          <w:rFonts w:ascii="Arial" w:hAnsi="Arial" w:cs="Arial"/>
          <w:sz w:val="20"/>
          <w:szCs w:val="20"/>
        </w:rPr>
        <w:t xml:space="preserve">as inversiones garantizadas por el emisor que </w:t>
      </w:r>
      <w:r w:rsidR="007E020E" w:rsidRPr="00AC4AEA">
        <w:rPr>
          <w:rFonts w:ascii="Arial" w:hAnsi="Arial" w:cs="Arial"/>
          <w:sz w:val="20"/>
          <w:szCs w:val="20"/>
        </w:rPr>
        <w:t>disminuyan</w:t>
      </w:r>
      <w:r w:rsidR="000709EC" w:rsidRPr="00AC4AEA">
        <w:rPr>
          <w:rFonts w:ascii="Arial" w:hAnsi="Arial" w:cs="Arial"/>
          <w:sz w:val="20"/>
          <w:szCs w:val="20"/>
        </w:rPr>
        <w:t xml:space="preserve"> el riesgo de la entidad</w:t>
      </w:r>
      <w:r w:rsidR="00E1003C" w:rsidRPr="00AC4AEA">
        <w:rPr>
          <w:rFonts w:ascii="Arial" w:hAnsi="Arial" w:cs="Arial"/>
          <w:sz w:val="20"/>
          <w:szCs w:val="20"/>
        </w:rPr>
        <w:t>;</w:t>
      </w:r>
      <w:r w:rsidR="00CD54A4" w:rsidRPr="00AC4AEA">
        <w:rPr>
          <w:rFonts w:ascii="Arial" w:hAnsi="Arial" w:cs="Arial"/>
          <w:sz w:val="20"/>
          <w:szCs w:val="20"/>
        </w:rPr>
        <w:t xml:space="preserve"> y</w:t>
      </w:r>
    </w:p>
    <w:p w:rsidR="00FF014F" w:rsidRPr="00AC4AEA" w:rsidRDefault="0026048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l</w:t>
      </w:r>
      <w:r w:rsidR="00FF014F" w:rsidRPr="00AC4AEA">
        <w:rPr>
          <w:rFonts w:ascii="Arial" w:hAnsi="Arial" w:cs="Arial"/>
          <w:sz w:val="20"/>
          <w:szCs w:val="20"/>
        </w:rPr>
        <w:t xml:space="preserve">as </w:t>
      </w:r>
      <w:r w:rsidR="00FF014F" w:rsidRPr="00AC4AEA">
        <w:rPr>
          <w:rFonts w:ascii="Arial" w:hAnsi="Arial" w:cs="Arial"/>
          <w:b/>
          <w:bCs/>
          <w:sz w:val="20"/>
          <w:szCs w:val="20"/>
        </w:rPr>
        <w:t>pérdidas por desvalorización</w:t>
      </w:r>
      <w:r w:rsidR="00FF014F" w:rsidRPr="00AC4AEA">
        <w:rPr>
          <w:rFonts w:ascii="Arial" w:hAnsi="Arial" w:cs="Arial"/>
          <w:sz w:val="20"/>
          <w:szCs w:val="20"/>
        </w:rPr>
        <w:t xml:space="preserve"> (o la</w:t>
      </w:r>
      <w:r w:rsidR="00D56858" w:rsidRPr="00AC4AEA">
        <w:rPr>
          <w:rFonts w:ascii="Arial" w:hAnsi="Arial" w:cs="Arial"/>
          <w:sz w:val="20"/>
          <w:szCs w:val="20"/>
        </w:rPr>
        <w:t>s</w:t>
      </w:r>
      <w:r w:rsidR="00FF014F" w:rsidRPr="00AC4AEA">
        <w:rPr>
          <w:rFonts w:ascii="Arial" w:hAnsi="Arial" w:cs="Arial"/>
          <w:sz w:val="20"/>
          <w:szCs w:val="20"/>
        </w:rPr>
        <w:t xml:space="preserve"> reversiones de dichas pérdidas) reconocidas y acumuladas.</w:t>
      </w:r>
    </w:p>
    <w:p w:rsidR="000709EC" w:rsidRPr="00AC4AEA" w:rsidRDefault="0027004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pequeña</w:t>
      </w:r>
      <w:r w:rsidR="000777F7" w:rsidRPr="00AC4AEA">
        <w:rPr>
          <w:rFonts w:ascii="Arial" w:hAnsi="Arial" w:cs="Arial"/>
          <w:sz w:val="20"/>
          <w:szCs w:val="20"/>
        </w:rPr>
        <w:t xml:space="preserve"> </w:t>
      </w:r>
      <w:r w:rsidR="008D5256" w:rsidRPr="00AC4AEA">
        <w:rPr>
          <w:rFonts w:ascii="Arial" w:hAnsi="Arial" w:cs="Arial"/>
          <w:sz w:val="20"/>
          <w:szCs w:val="20"/>
        </w:rPr>
        <w:t>o</w:t>
      </w:r>
      <w:r w:rsidR="000777F7" w:rsidRPr="00AC4AEA">
        <w:rPr>
          <w:rFonts w:ascii="Arial" w:hAnsi="Arial" w:cs="Arial"/>
          <w:sz w:val="20"/>
          <w:szCs w:val="20"/>
        </w:rPr>
        <w:t xml:space="preserve"> una entidad mediana </w:t>
      </w:r>
      <w:r w:rsidRPr="00AC4AEA">
        <w:rPr>
          <w:rFonts w:ascii="Arial" w:hAnsi="Arial" w:cs="Arial"/>
          <w:sz w:val="20"/>
          <w:szCs w:val="20"/>
        </w:rPr>
        <w:t xml:space="preserve">podrá no revelar la información requerida por </w:t>
      </w:r>
      <w:r w:rsidR="00053383" w:rsidRPr="00AC4AEA">
        <w:rPr>
          <w:rFonts w:ascii="Arial" w:hAnsi="Arial" w:cs="Arial"/>
          <w:sz w:val="20"/>
          <w:szCs w:val="20"/>
        </w:rPr>
        <w:t xml:space="preserve">los </w:t>
      </w:r>
      <w:r w:rsidRPr="00AC4AEA">
        <w:rPr>
          <w:rFonts w:ascii="Arial" w:hAnsi="Arial" w:cs="Arial"/>
          <w:sz w:val="20"/>
          <w:szCs w:val="20"/>
        </w:rPr>
        <w:t>inciso</w:t>
      </w:r>
      <w:r w:rsidR="00DC6011" w:rsidRPr="00AC4AEA">
        <w:rPr>
          <w:rFonts w:ascii="Arial" w:hAnsi="Arial" w:cs="Arial"/>
          <w:sz w:val="20"/>
          <w:szCs w:val="20"/>
        </w:rPr>
        <w:t>s b)</w:t>
      </w:r>
      <w:r w:rsidR="006056E5" w:rsidRPr="00AC4AEA">
        <w:rPr>
          <w:rFonts w:ascii="Arial" w:hAnsi="Arial" w:cs="Arial"/>
          <w:sz w:val="20"/>
          <w:szCs w:val="20"/>
        </w:rPr>
        <w:t>,</w:t>
      </w:r>
      <w:r w:rsidR="00DC6011" w:rsidRPr="00AC4AEA">
        <w:rPr>
          <w:rFonts w:ascii="Arial" w:hAnsi="Arial" w:cs="Arial"/>
          <w:sz w:val="20"/>
          <w:szCs w:val="20"/>
        </w:rPr>
        <w:t xml:space="preserve"> d)</w:t>
      </w:r>
      <w:r w:rsidR="006056E5" w:rsidRPr="00AC4AEA">
        <w:rPr>
          <w:rFonts w:ascii="Arial" w:hAnsi="Arial" w:cs="Arial"/>
          <w:sz w:val="20"/>
          <w:szCs w:val="20"/>
        </w:rPr>
        <w:t xml:space="preserve"> y e) </w:t>
      </w:r>
      <w:r w:rsidR="000777F7" w:rsidRPr="00AC4AEA">
        <w:rPr>
          <w:rFonts w:ascii="Arial" w:hAnsi="Arial" w:cs="Arial"/>
          <w:sz w:val="20"/>
          <w:szCs w:val="20"/>
        </w:rPr>
        <w:t>d</w:t>
      </w:r>
      <w:r w:rsidRPr="00AC4AEA">
        <w:rPr>
          <w:rFonts w:ascii="Arial" w:hAnsi="Arial" w:cs="Arial"/>
          <w:sz w:val="20"/>
          <w:szCs w:val="20"/>
        </w:rPr>
        <w:t>el párrafo anterior.</w:t>
      </w:r>
    </w:p>
    <w:p w:rsidR="000709EC" w:rsidRPr="00AC4AEA" w:rsidRDefault="000709EC" w:rsidP="00A318EA">
      <w:pPr>
        <w:jc w:val="both"/>
        <w:rPr>
          <w:rFonts w:ascii="Arial" w:hAnsi="Arial" w:cs="Arial"/>
          <w:sz w:val="20"/>
          <w:szCs w:val="20"/>
        </w:rPr>
      </w:pPr>
    </w:p>
    <w:p w:rsidR="00371DFB" w:rsidRPr="00AC4AEA" w:rsidRDefault="00371DFB" w:rsidP="00A318EA">
      <w:pPr>
        <w:pStyle w:val="Ttulo2"/>
        <w:rPr>
          <w:rFonts w:cs="Arial"/>
        </w:rPr>
      </w:pPr>
      <w:bookmarkStart w:id="345" w:name="_Toc101863810"/>
      <w:bookmarkStart w:id="346" w:name="_Toc139356677"/>
      <w:r w:rsidRPr="00AC4AEA">
        <w:rPr>
          <w:rFonts w:cs="Arial"/>
        </w:rPr>
        <w:t>Otras normas aplicables</w:t>
      </w:r>
      <w:bookmarkEnd w:id="345"/>
      <w:bookmarkEnd w:id="346"/>
    </w:p>
    <w:p w:rsidR="00371DFB" w:rsidRPr="00AC4AEA" w:rsidRDefault="00371DFB" w:rsidP="00A318EA">
      <w:pPr>
        <w:pStyle w:val="Prrafodelista"/>
        <w:numPr>
          <w:ilvl w:val="0"/>
          <w:numId w:val="29"/>
        </w:numPr>
        <w:contextualSpacing w:val="0"/>
        <w:jc w:val="both"/>
        <w:rPr>
          <w:rFonts w:ascii="Arial" w:hAnsi="Arial" w:cs="Arial"/>
          <w:sz w:val="20"/>
          <w:szCs w:val="20"/>
        </w:rPr>
      </w:pPr>
      <w:bookmarkStart w:id="347" w:name="_Ref99468272"/>
      <w:r w:rsidRPr="00AC4AEA">
        <w:rPr>
          <w:rFonts w:ascii="Arial" w:hAnsi="Arial" w:cs="Arial"/>
          <w:sz w:val="20"/>
          <w:szCs w:val="20"/>
        </w:rPr>
        <w:t xml:space="preserve">Para el tratamiento contable de </w:t>
      </w:r>
      <w:r w:rsidR="00033E0F" w:rsidRPr="00AC4AEA">
        <w:rPr>
          <w:rFonts w:ascii="Arial" w:hAnsi="Arial" w:cs="Arial"/>
          <w:sz w:val="20"/>
          <w:szCs w:val="20"/>
        </w:rPr>
        <w:t>las</w:t>
      </w:r>
      <w:r w:rsidRPr="00AC4AEA">
        <w:rPr>
          <w:rFonts w:ascii="Arial" w:hAnsi="Arial" w:cs="Arial"/>
          <w:sz w:val="20"/>
          <w:szCs w:val="20"/>
        </w:rPr>
        <w:t xml:space="preserve"> inversiones financieras</w:t>
      </w:r>
      <w:r w:rsidR="00033E0F" w:rsidRPr="00AC4AEA">
        <w:rPr>
          <w:rFonts w:ascii="Arial" w:hAnsi="Arial" w:cs="Arial"/>
          <w:sz w:val="20"/>
          <w:szCs w:val="20"/>
        </w:rPr>
        <w:t>,</w:t>
      </w:r>
      <w:r w:rsidRPr="00AC4AEA">
        <w:rPr>
          <w:rFonts w:ascii="Arial" w:hAnsi="Arial" w:cs="Arial"/>
          <w:sz w:val="20"/>
          <w:szCs w:val="20"/>
        </w:rPr>
        <w:t xml:space="preserve">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w:t>
      </w:r>
      <w:r w:rsidR="00362A5E" w:rsidRPr="00AC4AEA">
        <w:rPr>
          <w:rFonts w:ascii="Arial" w:hAnsi="Arial" w:cs="Arial"/>
          <w:sz w:val="20"/>
          <w:szCs w:val="20"/>
        </w:rPr>
        <w:t xml:space="preserve"> y sin ánimo de ser exhaustivos,</w:t>
      </w:r>
      <w:r w:rsidRPr="00AC4AEA">
        <w:rPr>
          <w:rFonts w:ascii="Arial" w:hAnsi="Arial" w:cs="Arial"/>
          <w:sz w:val="20"/>
          <w:szCs w:val="20"/>
        </w:rPr>
        <w:t xml:space="preserve"> las referidas a:</w:t>
      </w:r>
      <w:bookmarkEnd w:id="347"/>
      <w:r w:rsidRPr="00AC4AEA">
        <w:rPr>
          <w:rFonts w:ascii="Arial" w:hAnsi="Arial" w:cs="Arial"/>
          <w:sz w:val="20"/>
          <w:szCs w:val="20"/>
        </w:rPr>
        <w:t xml:space="preserve"> </w:t>
      </w:r>
    </w:p>
    <w:p w:rsidR="00371DFB" w:rsidRPr="00AC4AEA" w:rsidRDefault="009E6F0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00371DFB" w:rsidRPr="00AC4AEA">
        <w:rPr>
          <w:rFonts w:ascii="Arial" w:hAnsi="Arial" w:cs="Arial"/>
          <w:sz w:val="20"/>
          <w:szCs w:val="20"/>
          <w:u w:val="single"/>
        </w:rPr>
        <w:t>Medición de costos</w:t>
      </w:r>
      <w:r w:rsidRPr="00AC4AEA">
        <w:rPr>
          <w:rFonts w:ascii="Arial" w:hAnsi="Arial" w:cs="Arial"/>
          <w:sz w:val="20"/>
          <w:szCs w:val="20"/>
        </w:rPr>
        <w:t>”</w:t>
      </w:r>
      <w:r w:rsidR="00DB5C3D" w:rsidRPr="00AC4AEA">
        <w:rPr>
          <w:rFonts w:ascii="Arial" w:hAnsi="Arial" w:cs="Arial"/>
          <w:sz w:val="20"/>
          <w:szCs w:val="20"/>
        </w:rPr>
        <w:t xml:space="preserve"> [ver </w:t>
      </w:r>
      <w:r w:rsidR="00033E0F" w:rsidRPr="00AC4AEA">
        <w:rPr>
          <w:rFonts w:ascii="Arial" w:hAnsi="Arial" w:cs="Arial"/>
          <w:sz w:val="20"/>
          <w:szCs w:val="20"/>
        </w:rPr>
        <w:t xml:space="preserve">los </w:t>
      </w:r>
      <w:r w:rsidR="00DB5C3D" w:rsidRPr="00AC4AEA">
        <w:rPr>
          <w:rFonts w:ascii="Arial" w:hAnsi="Arial" w:cs="Arial"/>
          <w:sz w:val="20"/>
          <w:szCs w:val="20"/>
        </w:rPr>
        <w:t xml:space="preserve">párrafos </w:t>
      </w:r>
      <w:fldSimple w:instr=" REF _Ref99459939 \r \h  \* MERGEFORMAT ">
        <w:r w:rsidR="00D33A5D" w:rsidRPr="00D33A5D">
          <w:rPr>
            <w:rFonts w:ascii="Arial" w:hAnsi="Arial" w:cs="Arial"/>
            <w:sz w:val="20"/>
            <w:szCs w:val="20"/>
          </w:rPr>
          <w:t>102</w:t>
        </w:r>
      </w:fldSimple>
      <w:r w:rsidR="00DB5C3D"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00DB5C3D" w:rsidRPr="00AC4AEA">
        <w:rPr>
          <w:rFonts w:ascii="Arial" w:hAnsi="Arial" w:cs="Arial"/>
          <w:sz w:val="20"/>
          <w:szCs w:val="20"/>
        </w:rPr>
        <w:t>]</w:t>
      </w:r>
      <w:r w:rsidR="00033E0F" w:rsidRPr="00AC4AEA">
        <w:rPr>
          <w:rFonts w:ascii="Arial" w:hAnsi="Arial" w:cs="Arial"/>
          <w:sz w:val="20"/>
          <w:szCs w:val="20"/>
        </w:rPr>
        <w:t>,</w:t>
      </w:r>
      <w:r w:rsidR="00362A5E" w:rsidRPr="00AC4AEA">
        <w:rPr>
          <w:rFonts w:ascii="Arial" w:hAnsi="Arial" w:cs="Arial"/>
          <w:sz w:val="20"/>
          <w:szCs w:val="20"/>
        </w:rPr>
        <w:t xml:space="preserve"> y “</w:t>
      </w:r>
      <w:r w:rsidR="00362A5E" w:rsidRPr="00AC4AEA">
        <w:rPr>
          <w:rFonts w:ascii="Arial" w:hAnsi="Arial" w:cs="Arial"/>
          <w:sz w:val="20"/>
          <w:szCs w:val="20"/>
          <w:u w:val="single"/>
        </w:rPr>
        <w:t>Medición inicial de bienes o servicios</w:t>
      </w:r>
      <w:r w:rsidR="00362A5E" w:rsidRPr="00AC4AEA">
        <w:rPr>
          <w:rFonts w:ascii="Arial" w:hAnsi="Arial" w:cs="Arial"/>
          <w:sz w:val="20"/>
          <w:szCs w:val="20"/>
        </w:rPr>
        <w:t xml:space="preserve">” [ver </w:t>
      </w:r>
      <w:r w:rsidR="00033E0F" w:rsidRPr="00AC4AEA">
        <w:rPr>
          <w:rFonts w:ascii="Arial" w:hAnsi="Arial" w:cs="Arial"/>
          <w:sz w:val="20"/>
          <w:szCs w:val="20"/>
        </w:rPr>
        <w:t xml:space="preserve">los </w:t>
      </w:r>
      <w:r w:rsidR="00362A5E" w:rsidRPr="00AC4AEA">
        <w:rPr>
          <w:rFonts w:ascii="Arial" w:hAnsi="Arial" w:cs="Arial"/>
          <w:sz w:val="20"/>
          <w:szCs w:val="20"/>
        </w:rPr>
        <w:t xml:space="preserve">párrafos </w:t>
      </w:r>
      <w:fldSimple w:instr=" REF _Ref99460116 \r \h  \* MERGEFORMAT ">
        <w:r w:rsidR="00D33A5D" w:rsidRPr="00D33A5D">
          <w:rPr>
            <w:rFonts w:ascii="Arial" w:hAnsi="Arial" w:cs="Arial"/>
            <w:sz w:val="20"/>
            <w:szCs w:val="20"/>
          </w:rPr>
          <w:t>203</w:t>
        </w:r>
      </w:fldSimple>
      <w:r w:rsidR="00362A5E"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00362A5E" w:rsidRPr="00AC4AEA">
        <w:rPr>
          <w:rFonts w:ascii="Arial" w:hAnsi="Arial" w:cs="Arial"/>
          <w:sz w:val="20"/>
          <w:szCs w:val="20"/>
        </w:rPr>
        <w:t>]</w:t>
      </w:r>
    </w:p>
    <w:p w:rsidR="00371DFB" w:rsidRPr="00AC4AEA" w:rsidRDefault="009E6F0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00371DFB" w:rsidRPr="00AC4AEA">
        <w:rPr>
          <w:rFonts w:ascii="Arial" w:hAnsi="Arial" w:cs="Arial"/>
          <w:sz w:val="20"/>
          <w:szCs w:val="20"/>
          <w:u w:val="single"/>
        </w:rPr>
        <w:t>Medición de valores corrientes</w:t>
      </w:r>
      <w:r w:rsidRPr="00AC4AEA">
        <w:rPr>
          <w:rFonts w:ascii="Arial" w:hAnsi="Arial" w:cs="Arial"/>
          <w:sz w:val="20"/>
          <w:szCs w:val="20"/>
        </w:rPr>
        <w:t>”</w:t>
      </w:r>
      <w:r w:rsidR="00DB5C3D" w:rsidRPr="00AC4AEA">
        <w:rPr>
          <w:rFonts w:ascii="Arial" w:hAnsi="Arial" w:cs="Arial"/>
          <w:sz w:val="20"/>
          <w:szCs w:val="20"/>
        </w:rPr>
        <w:t xml:space="preserve"> [ver </w:t>
      </w:r>
      <w:r w:rsidR="00033E0F" w:rsidRPr="00AC4AEA">
        <w:rPr>
          <w:rFonts w:ascii="Arial" w:hAnsi="Arial" w:cs="Arial"/>
          <w:sz w:val="20"/>
          <w:szCs w:val="20"/>
        </w:rPr>
        <w:t xml:space="preserve">los </w:t>
      </w:r>
      <w:r w:rsidR="00DB5C3D" w:rsidRPr="00AC4AEA">
        <w:rPr>
          <w:rFonts w:ascii="Arial" w:hAnsi="Arial" w:cs="Arial"/>
          <w:sz w:val="20"/>
          <w:szCs w:val="20"/>
        </w:rPr>
        <w:t xml:space="preserve">párrafos </w:t>
      </w:r>
      <w:fldSimple w:instr=" REF _Ref99459999 \r \h  \* MERGEFORMAT ">
        <w:r w:rsidR="00D33A5D" w:rsidRPr="00D33A5D">
          <w:rPr>
            <w:rFonts w:ascii="Arial" w:hAnsi="Arial" w:cs="Arial"/>
            <w:sz w:val="20"/>
            <w:szCs w:val="20"/>
          </w:rPr>
          <w:t>117</w:t>
        </w:r>
      </w:fldSimple>
      <w:r w:rsidR="00DB5C3D"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00DB5C3D" w:rsidRPr="00AC4AEA">
        <w:rPr>
          <w:rFonts w:ascii="Arial" w:hAnsi="Arial" w:cs="Arial"/>
          <w:sz w:val="20"/>
          <w:szCs w:val="20"/>
        </w:rPr>
        <w:t>]</w:t>
      </w:r>
      <w:r w:rsidR="002F555B" w:rsidRPr="00AC4AEA">
        <w:rPr>
          <w:rFonts w:ascii="Arial" w:hAnsi="Arial" w:cs="Arial"/>
          <w:sz w:val="20"/>
          <w:szCs w:val="20"/>
        </w:rPr>
        <w:t>.</w:t>
      </w:r>
    </w:p>
    <w:p w:rsidR="00362A5E" w:rsidRPr="00AC4AEA" w:rsidRDefault="009E6F0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00371DFB" w:rsidRPr="00AC4AEA">
        <w:rPr>
          <w:rFonts w:ascii="Arial" w:hAnsi="Arial" w:cs="Arial"/>
          <w:sz w:val="20"/>
          <w:szCs w:val="20"/>
          <w:u w:val="single"/>
        </w:rPr>
        <w:t>Mediciones en moneda extranjera</w:t>
      </w:r>
      <w:r w:rsidR="00362A5E" w:rsidRPr="00AC4AEA">
        <w:rPr>
          <w:rFonts w:ascii="Arial" w:hAnsi="Arial" w:cs="Arial"/>
          <w:sz w:val="20"/>
          <w:szCs w:val="20"/>
        </w:rPr>
        <w:t xml:space="preserve">” [ver </w:t>
      </w:r>
      <w:r w:rsidR="00033E0F" w:rsidRPr="00AC4AEA">
        <w:rPr>
          <w:rFonts w:ascii="Arial" w:hAnsi="Arial" w:cs="Arial"/>
          <w:sz w:val="20"/>
          <w:szCs w:val="20"/>
        </w:rPr>
        <w:t xml:space="preserve">los </w:t>
      </w:r>
      <w:r w:rsidR="00362A5E" w:rsidRPr="00AC4AEA">
        <w:rPr>
          <w:rFonts w:ascii="Arial" w:hAnsi="Arial" w:cs="Arial"/>
          <w:sz w:val="20"/>
          <w:szCs w:val="20"/>
        </w:rPr>
        <w:t xml:space="preserve">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00362A5E"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00362A5E" w:rsidRPr="00AC4AEA">
        <w:rPr>
          <w:rFonts w:ascii="Arial" w:hAnsi="Arial" w:cs="Arial"/>
          <w:sz w:val="20"/>
          <w:szCs w:val="20"/>
        </w:rPr>
        <w:t>].</w:t>
      </w:r>
    </w:p>
    <w:p w:rsidR="00362A5E" w:rsidRPr="00AC4AEA" w:rsidRDefault="00362A5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w:t>
      </w:r>
      <w:r w:rsidRPr="00AC4AEA">
        <w:rPr>
          <w:rFonts w:ascii="Arial" w:hAnsi="Arial" w:cs="Arial"/>
          <w:sz w:val="20"/>
          <w:szCs w:val="20"/>
          <w:u w:val="single"/>
        </w:rPr>
        <w:t xml:space="preserve">Expresión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w:t>
      </w:r>
      <w:r w:rsidR="00033E0F" w:rsidRPr="00AC4AEA">
        <w:rPr>
          <w:rFonts w:ascii="Arial" w:hAnsi="Arial" w:cs="Arial"/>
          <w:sz w:val="20"/>
          <w:szCs w:val="20"/>
        </w:rPr>
        <w:t xml:space="preserve">los </w:t>
      </w:r>
      <w:r w:rsidRPr="00AC4AEA">
        <w:rPr>
          <w:rFonts w:ascii="Arial" w:hAnsi="Arial" w:cs="Arial"/>
          <w:sz w:val="20"/>
          <w:szCs w:val="20"/>
        </w:rPr>
        <w:t xml:space="preserve">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AE7883" w:rsidRPr="00AC4AEA" w:rsidRDefault="00AE7883" w:rsidP="00A318EA">
      <w:pPr>
        <w:pStyle w:val="Ttulo1"/>
        <w:rPr>
          <w:rFonts w:cs="Arial"/>
          <w:sz w:val="20"/>
          <w:szCs w:val="20"/>
        </w:rPr>
      </w:pPr>
      <w:bookmarkStart w:id="348" w:name="creditos"/>
      <w:bookmarkStart w:id="349" w:name="_Toc101863811"/>
      <w:bookmarkEnd w:id="348"/>
    </w:p>
    <w:p w:rsidR="006C71BA" w:rsidRPr="00AC4AEA" w:rsidRDefault="003053D2" w:rsidP="00A318EA">
      <w:pPr>
        <w:pStyle w:val="Ttulo1"/>
        <w:rPr>
          <w:rFonts w:cs="Arial"/>
          <w:sz w:val="20"/>
          <w:szCs w:val="20"/>
        </w:rPr>
      </w:pPr>
      <w:bookmarkStart w:id="350" w:name="_Toc139356678"/>
      <w:r w:rsidRPr="00AC4AEA">
        <w:rPr>
          <w:rFonts w:cs="Arial"/>
          <w:sz w:val="20"/>
          <w:szCs w:val="20"/>
        </w:rPr>
        <w:t>CRÉDITOS EN MONEDA</w:t>
      </w:r>
      <w:bookmarkEnd w:id="349"/>
      <w:bookmarkEnd w:id="350"/>
    </w:p>
    <w:p w:rsidR="006C71BA" w:rsidRPr="00AC4AEA" w:rsidRDefault="006C71BA" w:rsidP="00A318EA">
      <w:pPr>
        <w:pStyle w:val="Ttulo2"/>
        <w:rPr>
          <w:rFonts w:cs="Arial"/>
        </w:rPr>
      </w:pPr>
      <w:bookmarkStart w:id="351" w:name="_Toc101863812"/>
      <w:bookmarkStart w:id="352" w:name="_Toc139356679"/>
      <w:r w:rsidRPr="00AC4AEA">
        <w:rPr>
          <w:rFonts w:cs="Arial"/>
        </w:rPr>
        <w:t>Definiciones</w:t>
      </w:r>
      <w:bookmarkEnd w:id="351"/>
      <w:bookmarkEnd w:id="352"/>
    </w:p>
    <w:p w:rsidR="006C71BA" w:rsidRPr="00AC4AEA" w:rsidRDefault="006C71BA" w:rsidP="00A318EA">
      <w:pPr>
        <w:pStyle w:val="Prrafodelista"/>
        <w:numPr>
          <w:ilvl w:val="0"/>
          <w:numId w:val="29"/>
        </w:numPr>
        <w:contextualSpacing w:val="0"/>
        <w:jc w:val="both"/>
        <w:rPr>
          <w:rFonts w:ascii="Arial" w:hAnsi="Arial" w:cs="Arial"/>
          <w:sz w:val="20"/>
          <w:szCs w:val="20"/>
        </w:rPr>
      </w:pPr>
      <w:bookmarkStart w:id="353" w:name="_Ref103264795"/>
      <w:r w:rsidRPr="00AC4AEA">
        <w:rPr>
          <w:rFonts w:ascii="Arial" w:hAnsi="Arial" w:cs="Arial"/>
          <w:sz w:val="20"/>
          <w:szCs w:val="20"/>
        </w:rPr>
        <w:t xml:space="preserve">A los fines del tratamiento de los </w:t>
      </w:r>
      <w:r w:rsidR="00497590" w:rsidRPr="00AC4AEA">
        <w:rPr>
          <w:rFonts w:ascii="Arial" w:hAnsi="Arial" w:cs="Arial"/>
          <w:sz w:val="20"/>
          <w:szCs w:val="20"/>
        </w:rPr>
        <w:t>activos</w:t>
      </w:r>
      <w:r w:rsidRPr="00AC4AEA">
        <w:rPr>
          <w:rFonts w:ascii="Arial" w:hAnsi="Arial" w:cs="Arial"/>
          <w:sz w:val="20"/>
          <w:szCs w:val="20"/>
        </w:rPr>
        <w:t xml:space="preserve"> referidos en esta sección, una entidad deberá considerar las definiciones siguientes.</w:t>
      </w:r>
      <w:bookmarkEnd w:id="353"/>
    </w:p>
    <w:p w:rsidR="006C71BA" w:rsidRPr="00AC4AEA" w:rsidRDefault="006C71BA" w:rsidP="00A318EA">
      <w:pPr>
        <w:ind w:left="1416"/>
        <w:jc w:val="both"/>
        <w:rPr>
          <w:rFonts w:ascii="Arial" w:hAnsi="Arial" w:cs="Arial"/>
          <w:sz w:val="20"/>
          <w:szCs w:val="20"/>
        </w:rPr>
      </w:pPr>
      <w:r w:rsidRPr="00AC4AEA">
        <w:rPr>
          <w:rFonts w:ascii="Arial" w:hAnsi="Arial" w:cs="Arial"/>
          <w:sz w:val="20"/>
          <w:szCs w:val="20"/>
          <w:u w:val="single"/>
        </w:rPr>
        <w:t>Créditos en moneda</w:t>
      </w:r>
      <w:r w:rsidRPr="00AC4AEA">
        <w:rPr>
          <w:rFonts w:ascii="Arial" w:hAnsi="Arial" w:cs="Arial"/>
          <w:b/>
          <w:bCs/>
          <w:sz w:val="20"/>
          <w:szCs w:val="20"/>
        </w:rPr>
        <w:t xml:space="preserve">: </w:t>
      </w:r>
      <w:r w:rsidRPr="00AC4AEA">
        <w:rPr>
          <w:rFonts w:ascii="Arial" w:hAnsi="Arial" w:cs="Arial"/>
          <w:sz w:val="20"/>
          <w:szCs w:val="20"/>
        </w:rPr>
        <w:t xml:space="preserve">Son </w:t>
      </w:r>
      <w:r w:rsidR="00497590" w:rsidRPr="00AC4AEA">
        <w:rPr>
          <w:rFonts w:ascii="Arial" w:hAnsi="Arial" w:cs="Arial"/>
          <w:sz w:val="20"/>
          <w:szCs w:val="20"/>
        </w:rPr>
        <w:t>activos</w:t>
      </w:r>
      <w:r w:rsidRPr="00AC4AEA">
        <w:rPr>
          <w:rFonts w:ascii="Arial" w:hAnsi="Arial" w:cs="Arial"/>
          <w:sz w:val="20"/>
          <w:szCs w:val="20"/>
        </w:rPr>
        <w:t xml:space="preserve"> representativos de derechos</w:t>
      </w:r>
      <w:r w:rsidR="00610540" w:rsidRPr="00AC4AEA">
        <w:rPr>
          <w:rFonts w:ascii="Arial" w:hAnsi="Arial" w:cs="Arial"/>
          <w:sz w:val="20"/>
          <w:szCs w:val="20"/>
        </w:rPr>
        <w:t>, distintos de los incluidos en la sección “</w:t>
      </w:r>
      <w:r w:rsidR="00610540" w:rsidRPr="00AC4AEA">
        <w:rPr>
          <w:rFonts w:ascii="Arial" w:hAnsi="Arial" w:cs="Arial"/>
          <w:sz w:val="20"/>
          <w:szCs w:val="20"/>
          <w:u w:val="single"/>
        </w:rPr>
        <w:t>Inversiones financieras</w:t>
      </w:r>
      <w:r w:rsidR="00610540" w:rsidRPr="00AC4AEA">
        <w:rPr>
          <w:rFonts w:ascii="Arial" w:hAnsi="Arial" w:cs="Arial"/>
          <w:sz w:val="20"/>
          <w:szCs w:val="20"/>
        </w:rPr>
        <w:t>” [ver</w:t>
      </w:r>
      <w:r w:rsidR="00033E0F" w:rsidRPr="00AC4AEA">
        <w:rPr>
          <w:rFonts w:ascii="Arial" w:hAnsi="Arial" w:cs="Arial"/>
          <w:sz w:val="20"/>
          <w:szCs w:val="20"/>
        </w:rPr>
        <w:t xml:space="preserve"> los</w:t>
      </w:r>
      <w:r w:rsidR="00610540" w:rsidRPr="00AC4AEA">
        <w:rPr>
          <w:rFonts w:ascii="Arial" w:hAnsi="Arial" w:cs="Arial"/>
          <w:sz w:val="20"/>
          <w:szCs w:val="20"/>
        </w:rPr>
        <w:t xml:space="preserve"> párrafos </w:t>
      </w:r>
      <w:fldSimple w:instr=" REF _Ref74756832 \r \h  \* MERGEFORMAT ">
        <w:r w:rsidR="00D33A5D" w:rsidRPr="00D33A5D">
          <w:rPr>
            <w:rFonts w:ascii="Arial" w:hAnsi="Arial" w:cs="Arial"/>
            <w:sz w:val="20"/>
            <w:szCs w:val="20"/>
          </w:rPr>
          <w:t>212</w:t>
        </w:r>
      </w:fldSimple>
      <w:r w:rsidR="00610540" w:rsidRPr="00AC4AEA">
        <w:rPr>
          <w:rFonts w:ascii="Arial" w:hAnsi="Arial" w:cs="Arial"/>
          <w:sz w:val="20"/>
          <w:szCs w:val="20"/>
        </w:rPr>
        <w:t xml:space="preserve"> a </w:t>
      </w:r>
      <w:fldSimple w:instr=" REF _Ref99468272 \r \h  \* MERGEFORMAT ">
        <w:r w:rsidR="00D33A5D" w:rsidRPr="00D33A5D">
          <w:rPr>
            <w:rFonts w:ascii="Arial" w:hAnsi="Arial" w:cs="Arial"/>
            <w:sz w:val="20"/>
            <w:szCs w:val="20"/>
          </w:rPr>
          <w:t>235</w:t>
        </w:r>
      </w:fldSimple>
      <w:r w:rsidR="00610540" w:rsidRPr="00AC4AEA">
        <w:rPr>
          <w:rFonts w:ascii="Arial" w:hAnsi="Arial" w:cs="Arial"/>
          <w:sz w:val="20"/>
          <w:szCs w:val="20"/>
        </w:rPr>
        <w:t>]</w:t>
      </w:r>
      <w:r w:rsidR="00630171" w:rsidRPr="00AC4AEA">
        <w:rPr>
          <w:rFonts w:ascii="Arial" w:hAnsi="Arial" w:cs="Arial"/>
          <w:sz w:val="20"/>
          <w:szCs w:val="20"/>
        </w:rPr>
        <w:t xml:space="preserve"> y</w:t>
      </w:r>
      <w:r w:rsidR="00A87847" w:rsidRPr="00AC4AEA">
        <w:rPr>
          <w:rFonts w:ascii="Arial" w:hAnsi="Arial" w:cs="Arial"/>
          <w:sz w:val="20"/>
          <w:szCs w:val="20"/>
        </w:rPr>
        <w:t xml:space="preserve"> de los que </w:t>
      </w:r>
      <w:r w:rsidR="0057362D" w:rsidRPr="00AC4AEA">
        <w:rPr>
          <w:rFonts w:ascii="Arial" w:hAnsi="Arial" w:cs="Arial"/>
          <w:sz w:val="20"/>
          <w:szCs w:val="20"/>
        </w:rPr>
        <w:t>se contabilicen</w:t>
      </w:r>
      <w:r w:rsidR="00A87847" w:rsidRPr="00AC4AEA">
        <w:rPr>
          <w:rFonts w:ascii="Arial" w:hAnsi="Arial" w:cs="Arial"/>
          <w:sz w:val="20"/>
          <w:szCs w:val="20"/>
        </w:rPr>
        <w:t xml:space="preserve"> </w:t>
      </w:r>
      <w:r w:rsidR="002C2589" w:rsidRPr="00AC4AEA">
        <w:rPr>
          <w:rFonts w:ascii="Arial" w:hAnsi="Arial" w:cs="Arial"/>
          <w:sz w:val="20"/>
          <w:szCs w:val="20"/>
        </w:rPr>
        <w:t>aplicando</w:t>
      </w:r>
      <w:r w:rsidR="00A87847" w:rsidRPr="00AC4AEA">
        <w:rPr>
          <w:rFonts w:ascii="Arial" w:hAnsi="Arial" w:cs="Arial"/>
          <w:sz w:val="20"/>
          <w:szCs w:val="20"/>
        </w:rPr>
        <w:t xml:space="preserve"> la sección “</w:t>
      </w:r>
      <w:r w:rsidR="00A87847" w:rsidRPr="00AC4AEA">
        <w:rPr>
          <w:rFonts w:ascii="Arial" w:hAnsi="Arial" w:cs="Arial"/>
          <w:sz w:val="20"/>
          <w:szCs w:val="20"/>
          <w:u w:val="single"/>
        </w:rPr>
        <w:t>Instrumentos derivados y operaciones de cobertura</w:t>
      </w:r>
      <w:r w:rsidR="00A87847" w:rsidRPr="00AC4AEA">
        <w:rPr>
          <w:rFonts w:ascii="Arial" w:hAnsi="Arial" w:cs="Arial"/>
          <w:sz w:val="20"/>
          <w:szCs w:val="20"/>
        </w:rPr>
        <w:t>” [</w:t>
      </w:r>
      <w:r w:rsidR="006D2CB1" w:rsidRPr="00AC4AEA">
        <w:rPr>
          <w:rFonts w:ascii="Arial" w:eastAsia="Times New Roman" w:hAnsi="Arial" w:cs="Arial"/>
          <w:sz w:val="20"/>
          <w:szCs w:val="20"/>
          <w:lang w:eastAsia="es-ES"/>
        </w:rPr>
        <w:t xml:space="preserve">ver los párrafos </w:t>
      </w:r>
      <w:fldSimple w:instr=" REF _Ref132036276 \r \h  \* MERGEFORMAT ">
        <w:r w:rsidR="00D33A5D" w:rsidRPr="00D33A5D">
          <w:rPr>
            <w:rFonts w:ascii="Arial" w:eastAsia="Times New Roman" w:hAnsi="Arial" w:cs="Arial"/>
            <w:sz w:val="20"/>
            <w:szCs w:val="20"/>
            <w:lang w:eastAsia="es-ES"/>
          </w:rPr>
          <w:t>990</w:t>
        </w:r>
      </w:fldSimple>
      <w:r w:rsidR="006D2CB1" w:rsidRPr="00AC4AEA">
        <w:rPr>
          <w:rFonts w:ascii="Arial" w:eastAsia="Times New Roman" w:hAnsi="Arial" w:cs="Arial"/>
          <w:sz w:val="20"/>
          <w:szCs w:val="20"/>
          <w:lang w:eastAsia="es-ES"/>
        </w:rPr>
        <w:t xml:space="preserve"> al </w:t>
      </w:r>
      <w:fldSimple w:instr=" REF _Ref135045581 \r \h  \* MERGEFORMAT ">
        <w:r w:rsidR="00D33A5D" w:rsidRPr="00D33A5D">
          <w:rPr>
            <w:rFonts w:ascii="Arial" w:eastAsia="Times New Roman" w:hAnsi="Arial" w:cs="Arial"/>
            <w:sz w:val="20"/>
            <w:szCs w:val="20"/>
            <w:lang w:eastAsia="es-ES"/>
          </w:rPr>
          <w:t>1020</w:t>
        </w:r>
      </w:fldSimple>
      <w:r w:rsidR="00A87847" w:rsidRPr="00AC4AEA">
        <w:rPr>
          <w:rFonts w:ascii="Arial" w:hAnsi="Arial" w:cs="Arial"/>
          <w:sz w:val="20"/>
          <w:szCs w:val="20"/>
        </w:rPr>
        <w:t>],</w:t>
      </w:r>
      <w:r w:rsidRPr="00AC4AEA">
        <w:rPr>
          <w:rFonts w:ascii="Arial" w:hAnsi="Arial" w:cs="Arial"/>
          <w:sz w:val="20"/>
          <w:szCs w:val="20"/>
        </w:rPr>
        <w:t xml:space="preserve"> que una entidad posee contra terceros para:</w:t>
      </w:r>
    </w:p>
    <w:p w:rsidR="006C71BA" w:rsidRPr="00AC4AEA" w:rsidRDefault="006C71BA" w:rsidP="00A318EA">
      <w:pPr>
        <w:pStyle w:val="Prrafodelista"/>
        <w:numPr>
          <w:ilvl w:val="1"/>
          <w:numId w:val="29"/>
        </w:numPr>
        <w:ind w:left="1983"/>
        <w:contextualSpacing w:val="0"/>
        <w:jc w:val="both"/>
        <w:rPr>
          <w:rFonts w:ascii="Arial" w:hAnsi="Arial" w:cs="Arial"/>
          <w:sz w:val="20"/>
          <w:szCs w:val="20"/>
        </w:rPr>
      </w:pPr>
      <w:r w:rsidRPr="00AC4AEA">
        <w:rPr>
          <w:rFonts w:ascii="Arial" w:hAnsi="Arial" w:cs="Arial"/>
          <w:sz w:val="20"/>
          <w:szCs w:val="20"/>
        </w:rPr>
        <w:t xml:space="preserve">recibir sumas de </w:t>
      </w:r>
      <w:r w:rsidR="00857854" w:rsidRPr="00AC4AEA">
        <w:rPr>
          <w:rFonts w:ascii="Arial" w:hAnsi="Arial" w:cs="Arial"/>
          <w:sz w:val="20"/>
          <w:szCs w:val="20"/>
        </w:rPr>
        <w:t>efectivo</w:t>
      </w:r>
      <w:r w:rsidR="009F68DB" w:rsidRPr="00AC4AEA">
        <w:rPr>
          <w:rFonts w:ascii="Arial" w:hAnsi="Arial" w:cs="Arial"/>
          <w:sz w:val="20"/>
          <w:szCs w:val="20"/>
        </w:rPr>
        <w:t xml:space="preserve"> o</w:t>
      </w:r>
      <w:r w:rsidR="00510FF1" w:rsidRPr="00AC4AEA">
        <w:rPr>
          <w:rFonts w:ascii="Arial" w:hAnsi="Arial" w:cs="Arial"/>
          <w:sz w:val="20"/>
          <w:szCs w:val="20"/>
        </w:rPr>
        <w:t xml:space="preserve"> equivalentes de efectivo</w:t>
      </w:r>
      <w:r w:rsidRPr="00AC4AEA">
        <w:rPr>
          <w:rFonts w:ascii="Arial" w:hAnsi="Arial" w:cs="Arial"/>
          <w:sz w:val="20"/>
          <w:szCs w:val="20"/>
        </w:rPr>
        <w:t>; o</w:t>
      </w:r>
    </w:p>
    <w:p w:rsidR="006C71BA" w:rsidRPr="00AC4AEA" w:rsidRDefault="006C71BA" w:rsidP="00A318EA">
      <w:pPr>
        <w:pStyle w:val="Prrafodelista"/>
        <w:numPr>
          <w:ilvl w:val="1"/>
          <w:numId w:val="29"/>
        </w:numPr>
        <w:ind w:left="1983"/>
        <w:contextualSpacing w:val="0"/>
        <w:jc w:val="both"/>
        <w:rPr>
          <w:rFonts w:ascii="Arial" w:hAnsi="Arial" w:cs="Arial"/>
          <w:sz w:val="20"/>
          <w:szCs w:val="20"/>
        </w:rPr>
      </w:pPr>
      <w:r w:rsidRPr="00AC4AEA">
        <w:rPr>
          <w:rFonts w:ascii="Arial" w:hAnsi="Arial" w:cs="Arial"/>
          <w:sz w:val="20"/>
          <w:szCs w:val="20"/>
        </w:rPr>
        <w:t>compensar con obligaciones futuras</w:t>
      </w:r>
      <w:r w:rsidR="00AC0CA4" w:rsidRPr="00AC4AEA">
        <w:rPr>
          <w:rFonts w:ascii="Arial" w:hAnsi="Arial" w:cs="Arial"/>
          <w:sz w:val="20"/>
          <w:szCs w:val="20"/>
        </w:rPr>
        <w:t xml:space="preserve"> de entregar efectivo</w:t>
      </w:r>
      <w:r w:rsidR="004E36D5" w:rsidRPr="00AC4AEA">
        <w:rPr>
          <w:rFonts w:ascii="Arial" w:hAnsi="Arial" w:cs="Arial"/>
          <w:sz w:val="20"/>
          <w:szCs w:val="20"/>
        </w:rPr>
        <w:t xml:space="preserve"> o</w:t>
      </w:r>
      <w:r w:rsidR="00F97765" w:rsidRPr="00AC4AEA">
        <w:rPr>
          <w:rFonts w:ascii="Arial" w:hAnsi="Arial" w:cs="Arial"/>
          <w:sz w:val="20"/>
          <w:szCs w:val="20"/>
        </w:rPr>
        <w:t xml:space="preserve"> equivalentes de efectivo</w:t>
      </w:r>
      <w:r w:rsidRPr="00AC4AEA">
        <w:rPr>
          <w:rFonts w:ascii="Arial" w:hAnsi="Arial" w:cs="Arial"/>
          <w:sz w:val="20"/>
          <w:szCs w:val="20"/>
        </w:rPr>
        <w:t>.</w:t>
      </w:r>
    </w:p>
    <w:p w:rsidR="00AA7EBD" w:rsidRDefault="00E92356" w:rsidP="00A318EA">
      <w:pPr>
        <w:ind w:left="1416"/>
        <w:jc w:val="both"/>
        <w:rPr>
          <w:rFonts w:ascii="Arial" w:hAnsi="Arial" w:cs="Arial"/>
          <w:sz w:val="20"/>
          <w:szCs w:val="20"/>
        </w:rPr>
      </w:pPr>
      <w:r w:rsidRPr="00AC4AEA">
        <w:rPr>
          <w:rFonts w:ascii="Arial" w:hAnsi="Arial" w:cs="Arial"/>
          <w:sz w:val="20"/>
          <w:szCs w:val="20"/>
        </w:rPr>
        <w:t xml:space="preserve">Quedan </w:t>
      </w:r>
      <w:r w:rsidR="00082660" w:rsidRPr="00AC4AEA">
        <w:rPr>
          <w:rFonts w:ascii="Arial" w:hAnsi="Arial" w:cs="Arial"/>
          <w:sz w:val="20"/>
          <w:szCs w:val="20"/>
        </w:rPr>
        <w:t>exceptuados</w:t>
      </w:r>
      <w:r w:rsidR="00167D0C" w:rsidRPr="00AC4AEA">
        <w:rPr>
          <w:rFonts w:ascii="Arial" w:hAnsi="Arial" w:cs="Arial"/>
          <w:sz w:val="20"/>
          <w:szCs w:val="20"/>
        </w:rPr>
        <w:t xml:space="preserve"> de</w:t>
      </w:r>
      <w:r w:rsidR="001A51E0" w:rsidRPr="00AC4AEA">
        <w:rPr>
          <w:rFonts w:ascii="Arial" w:hAnsi="Arial" w:cs="Arial"/>
          <w:sz w:val="20"/>
          <w:szCs w:val="20"/>
        </w:rPr>
        <w:t>l inciso b) inmediato anterior</w:t>
      </w:r>
      <w:r w:rsidRPr="00AC4AEA">
        <w:rPr>
          <w:rFonts w:ascii="Arial" w:hAnsi="Arial" w:cs="Arial"/>
          <w:sz w:val="20"/>
          <w:szCs w:val="20"/>
        </w:rPr>
        <w:t xml:space="preserve"> los créditos procedentes de la aplicación del método del impuesto diferido</w:t>
      </w:r>
      <w:r w:rsidR="00167D0C" w:rsidRPr="00AC4AEA">
        <w:rPr>
          <w:rFonts w:ascii="Arial" w:hAnsi="Arial" w:cs="Arial"/>
          <w:sz w:val="20"/>
          <w:szCs w:val="20"/>
        </w:rPr>
        <w:t>, de acuerdo con lo definido en la sección “</w:t>
      </w:r>
      <w:r w:rsidR="00167D0C" w:rsidRPr="00AC4AEA">
        <w:rPr>
          <w:rFonts w:ascii="Arial" w:hAnsi="Arial" w:cs="Arial"/>
          <w:sz w:val="20"/>
          <w:szCs w:val="20"/>
          <w:u w:val="single"/>
        </w:rPr>
        <w:t>Contabilización del impuesto a las ganancias</w:t>
      </w:r>
      <w:r w:rsidR="00167D0C" w:rsidRPr="006D2CB1">
        <w:rPr>
          <w:rFonts w:ascii="Arial" w:hAnsi="Arial" w:cs="Arial"/>
          <w:sz w:val="20"/>
          <w:szCs w:val="20"/>
        </w:rPr>
        <w:t>”</w:t>
      </w:r>
      <w:r w:rsidR="00610540" w:rsidRPr="006D2CB1">
        <w:rPr>
          <w:rFonts w:ascii="Arial" w:hAnsi="Arial" w:cs="Arial"/>
          <w:sz w:val="20"/>
          <w:szCs w:val="20"/>
        </w:rPr>
        <w:t xml:space="preserve"> </w:t>
      </w:r>
      <w:r w:rsidR="001A460A" w:rsidRPr="00AA7EBD">
        <w:rPr>
          <w:rFonts w:ascii="Arial" w:hAnsi="Arial" w:cs="Arial"/>
          <w:sz w:val="20"/>
          <w:szCs w:val="20"/>
        </w:rPr>
        <w:t xml:space="preserve">[ver los párrafos </w:t>
      </w:r>
      <w:fldSimple w:instr=" REF _Ref99468407 \r \h  \* MERGEFORMAT ">
        <w:r w:rsidR="00D33A5D" w:rsidRPr="00D33A5D">
          <w:rPr>
            <w:rFonts w:ascii="Arial" w:hAnsi="Arial" w:cs="Arial"/>
            <w:sz w:val="20"/>
            <w:szCs w:val="20"/>
          </w:rPr>
          <w:t>571</w:t>
        </w:r>
      </w:fldSimple>
      <w:r w:rsidR="001A460A" w:rsidRPr="00EA7F45">
        <w:rPr>
          <w:rFonts w:ascii="Arial" w:hAnsi="Arial" w:cs="Arial"/>
          <w:sz w:val="20"/>
          <w:szCs w:val="20"/>
        </w:rPr>
        <w:t xml:space="preserve"> a </w:t>
      </w:r>
      <w:fldSimple w:instr=" REF _Ref135737673 \r \h  \* MERGEFORMAT ">
        <w:r w:rsidR="00D33A5D" w:rsidRPr="00D33A5D">
          <w:rPr>
            <w:rFonts w:ascii="Arial" w:hAnsi="Arial" w:cs="Arial"/>
            <w:sz w:val="20"/>
            <w:szCs w:val="20"/>
          </w:rPr>
          <w:t>600</w:t>
        </w:r>
      </w:fldSimple>
      <w:r w:rsidR="001A460A" w:rsidRPr="00EA7F45">
        <w:rPr>
          <w:rFonts w:ascii="Arial" w:hAnsi="Arial" w:cs="Arial"/>
          <w:sz w:val="20"/>
          <w:szCs w:val="20"/>
        </w:rPr>
        <w:t>].</w:t>
      </w:r>
    </w:p>
    <w:p w:rsidR="0069742B" w:rsidRPr="00AC4AEA" w:rsidRDefault="0069742B" w:rsidP="00A318EA">
      <w:pPr>
        <w:ind w:left="1416"/>
        <w:jc w:val="both"/>
        <w:rPr>
          <w:rFonts w:ascii="Arial" w:hAnsi="Arial" w:cs="Arial"/>
          <w:sz w:val="20"/>
          <w:szCs w:val="20"/>
        </w:rPr>
      </w:pPr>
      <w:r w:rsidRPr="00AC4AEA">
        <w:rPr>
          <w:rFonts w:ascii="Arial" w:hAnsi="Arial" w:cs="Arial"/>
          <w:sz w:val="20"/>
          <w:szCs w:val="20"/>
          <w:u w:val="single"/>
        </w:rPr>
        <w:t>Cuentas por cobrar a clientes</w:t>
      </w:r>
      <w:r w:rsidRPr="00AC4AEA">
        <w:rPr>
          <w:rFonts w:ascii="Arial" w:hAnsi="Arial" w:cs="Arial"/>
          <w:sz w:val="20"/>
          <w:szCs w:val="20"/>
        </w:rPr>
        <w:t>:</w:t>
      </w:r>
      <w:r w:rsidRPr="00AC4AEA">
        <w:rPr>
          <w:rFonts w:ascii="Arial" w:hAnsi="Arial" w:cs="Arial"/>
          <w:b/>
          <w:bCs/>
          <w:sz w:val="20"/>
          <w:szCs w:val="20"/>
        </w:rPr>
        <w:t xml:space="preserve"> </w:t>
      </w:r>
      <w:r w:rsidR="002A009A" w:rsidRPr="00AC4AEA">
        <w:rPr>
          <w:rFonts w:ascii="Arial" w:hAnsi="Arial" w:cs="Arial"/>
          <w:sz w:val="20"/>
          <w:szCs w:val="20"/>
        </w:rPr>
        <w:t>S</w:t>
      </w:r>
      <w:r w:rsidRPr="00AC4AEA">
        <w:rPr>
          <w:rFonts w:ascii="Arial" w:hAnsi="Arial" w:cs="Arial"/>
          <w:sz w:val="20"/>
          <w:szCs w:val="20"/>
        </w:rPr>
        <w:t>on créditos que:</w:t>
      </w:r>
    </w:p>
    <w:p w:rsidR="0069742B" w:rsidRPr="00AC4AEA" w:rsidRDefault="0069742B" w:rsidP="00A318EA">
      <w:pPr>
        <w:pStyle w:val="Prrafodelista"/>
        <w:numPr>
          <w:ilvl w:val="0"/>
          <w:numId w:val="327"/>
        </w:numPr>
        <w:ind w:left="1985"/>
        <w:contextualSpacing w:val="0"/>
        <w:jc w:val="both"/>
        <w:rPr>
          <w:rFonts w:ascii="Arial" w:hAnsi="Arial" w:cs="Arial"/>
          <w:sz w:val="20"/>
          <w:szCs w:val="20"/>
        </w:rPr>
      </w:pPr>
      <w:r w:rsidRPr="00AC4AEA">
        <w:rPr>
          <w:rFonts w:ascii="Arial" w:hAnsi="Arial" w:cs="Arial"/>
          <w:sz w:val="20"/>
          <w:szCs w:val="20"/>
        </w:rPr>
        <w:t xml:space="preserve">proceden </w:t>
      </w:r>
      <w:r w:rsidR="002A009A" w:rsidRPr="00AC4AEA">
        <w:rPr>
          <w:rFonts w:ascii="Arial" w:hAnsi="Arial" w:cs="Arial"/>
          <w:sz w:val="20"/>
          <w:szCs w:val="20"/>
        </w:rPr>
        <w:t>de reconocimiento de</w:t>
      </w:r>
      <w:r w:rsidRPr="00AC4AEA">
        <w:rPr>
          <w:rFonts w:ascii="Arial" w:hAnsi="Arial" w:cs="Arial"/>
          <w:sz w:val="20"/>
          <w:szCs w:val="20"/>
        </w:rPr>
        <w:t xml:space="preserve"> </w:t>
      </w:r>
      <w:r w:rsidRPr="00AC4AEA">
        <w:rPr>
          <w:rFonts w:ascii="Arial" w:hAnsi="Arial" w:cs="Arial"/>
          <w:b/>
          <w:bCs/>
          <w:sz w:val="20"/>
          <w:szCs w:val="20"/>
        </w:rPr>
        <w:t>ingresos de actividades ordinarias</w:t>
      </w:r>
      <w:r w:rsidR="00635D22" w:rsidRPr="00AC4AEA">
        <w:rPr>
          <w:rFonts w:ascii="Arial" w:hAnsi="Arial" w:cs="Arial"/>
          <w:b/>
          <w:bCs/>
          <w:sz w:val="20"/>
          <w:szCs w:val="20"/>
        </w:rPr>
        <w:t xml:space="preserve"> </w:t>
      </w:r>
      <w:r w:rsidR="00635D22" w:rsidRPr="00AC4AEA">
        <w:rPr>
          <w:rFonts w:ascii="Arial" w:hAnsi="Arial" w:cs="Arial"/>
          <w:sz w:val="20"/>
          <w:szCs w:val="20"/>
        </w:rPr>
        <w:t xml:space="preserve">por la venta de bienes, la prestación de servicios o la construcción de </w:t>
      </w:r>
      <w:r w:rsidR="00497590" w:rsidRPr="00AC4AEA">
        <w:rPr>
          <w:rFonts w:ascii="Arial" w:hAnsi="Arial" w:cs="Arial"/>
          <w:sz w:val="20"/>
          <w:szCs w:val="20"/>
        </w:rPr>
        <w:t>activos</w:t>
      </w:r>
      <w:r w:rsidR="00635D22" w:rsidRPr="00AC4AEA">
        <w:rPr>
          <w:rFonts w:ascii="Arial" w:hAnsi="Arial" w:cs="Arial"/>
          <w:sz w:val="20"/>
          <w:szCs w:val="20"/>
        </w:rPr>
        <w:t>;</w:t>
      </w:r>
      <w:r w:rsidRPr="00AC4AEA">
        <w:rPr>
          <w:rFonts w:ascii="Arial" w:hAnsi="Arial" w:cs="Arial"/>
          <w:sz w:val="20"/>
          <w:szCs w:val="20"/>
        </w:rPr>
        <w:t xml:space="preserve"> y</w:t>
      </w:r>
    </w:p>
    <w:p w:rsidR="000F2A16" w:rsidRPr="00AC4AEA" w:rsidRDefault="002A009A" w:rsidP="00A318EA">
      <w:pPr>
        <w:pStyle w:val="Prrafodelista"/>
        <w:numPr>
          <w:ilvl w:val="0"/>
          <w:numId w:val="327"/>
        </w:numPr>
        <w:ind w:left="1985"/>
        <w:contextualSpacing w:val="0"/>
        <w:jc w:val="both"/>
        <w:rPr>
          <w:rFonts w:ascii="Arial" w:hAnsi="Arial" w:cs="Arial"/>
          <w:sz w:val="20"/>
          <w:szCs w:val="20"/>
        </w:rPr>
      </w:pPr>
      <w:r w:rsidRPr="00AC4AEA">
        <w:rPr>
          <w:rFonts w:ascii="Arial" w:hAnsi="Arial" w:cs="Arial"/>
          <w:sz w:val="20"/>
          <w:szCs w:val="20"/>
        </w:rPr>
        <w:t>otorgan</w:t>
      </w:r>
      <w:r w:rsidR="0069742B" w:rsidRPr="00AC4AEA">
        <w:rPr>
          <w:rFonts w:ascii="Arial" w:hAnsi="Arial" w:cs="Arial"/>
          <w:sz w:val="20"/>
          <w:szCs w:val="20"/>
        </w:rPr>
        <w:t xml:space="preserve"> un derecho incondicional de cobro porque están respaldad</w:t>
      </w:r>
      <w:r w:rsidR="000F2A16" w:rsidRPr="00AC4AEA">
        <w:rPr>
          <w:rFonts w:ascii="Arial" w:hAnsi="Arial" w:cs="Arial"/>
          <w:sz w:val="20"/>
          <w:szCs w:val="20"/>
        </w:rPr>
        <w:t>a</w:t>
      </w:r>
      <w:r w:rsidR="0069742B" w:rsidRPr="00AC4AEA">
        <w:rPr>
          <w:rFonts w:ascii="Arial" w:hAnsi="Arial" w:cs="Arial"/>
          <w:sz w:val="20"/>
          <w:szCs w:val="20"/>
        </w:rPr>
        <w:t>s por facturas o documentos similares</w:t>
      </w:r>
      <w:r w:rsidR="000F2A16" w:rsidRPr="00AC4AEA">
        <w:rPr>
          <w:rFonts w:ascii="Arial" w:hAnsi="Arial" w:cs="Arial"/>
          <w:sz w:val="20"/>
          <w:szCs w:val="20"/>
        </w:rPr>
        <w:t>,</w:t>
      </w:r>
      <w:r w:rsidR="0069742B" w:rsidRPr="00AC4AEA">
        <w:rPr>
          <w:rFonts w:ascii="Arial" w:hAnsi="Arial" w:cs="Arial"/>
          <w:sz w:val="20"/>
          <w:szCs w:val="20"/>
        </w:rPr>
        <w:t xml:space="preserve"> y</w:t>
      </w:r>
      <w:r w:rsidR="000F2A16" w:rsidRPr="00AC4AEA">
        <w:rPr>
          <w:rFonts w:ascii="Arial" w:hAnsi="Arial" w:cs="Arial"/>
          <w:sz w:val="20"/>
          <w:szCs w:val="20"/>
        </w:rPr>
        <w:t>:</w:t>
      </w:r>
      <w:r w:rsidR="0069742B" w:rsidRPr="00AC4AEA">
        <w:rPr>
          <w:rFonts w:ascii="Arial" w:hAnsi="Arial" w:cs="Arial"/>
          <w:sz w:val="20"/>
          <w:szCs w:val="20"/>
        </w:rPr>
        <w:t xml:space="preserve"> </w:t>
      </w:r>
    </w:p>
    <w:p w:rsidR="000F2A16" w:rsidRPr="00AC4AEA" w:rsidRDefault="000F2A16" w:rsidP="00A318EA">
      <w:pPr>
        <w:pStyle w:val="Prrafodelista"/>
        <w:numPr>
          <w:ilvl w:val="2"/>
          <w:numId w:val="29"/>
        </w:numPr>
        <w:ind w:left="2268"/>
        <w:contextualSpacing w:val="0"/>
        <w:jc w:val="both"/>
        <w:rPr>
          <w:rFonts w:ascii="Arial" w:hAnsi="Arial" w:cs="Arial"/>
          <w:sz w:val="20"/>
          <w:szCs w:val="20"/>
        </w:rPr>
      </w:pPr>
      <w:r w:rsidRPr="00AC4AEA">
        <w:rPr>
          <w:rFonts w:ascii="Arial" w:hAnsi="Arial" w:cs="Arial"/>
          <w:sz w:val="20"/>
          <w:szCs w:val="20"/>
        </w:rPr>
        <w:t>son exigibles; o</w:t>
      </w:r>
    </w:p>
    <w:p w:rsidR="0069742B" w:rsidRPr="00AC4AEA" w:rsidRDefault="000F2A16" w:rsidP="00A318EA">
      <w:pPr>
        <w:pStyle w:val="Prrafodelista"/>
        <w:numPr>
          <w:ilvl w:val="2"/>
          <w:numId w:val="29"/>
        </w:numPr>
        <w:ind w:left="2268"/>
        <w:contextualSpacing w:val="0"/>
        <w:jc w:val="both"/>
        <w:rPr>
          <w:rFonts w:ascii="Arial" w:hAnsi="Arial" w:cs="Arial"/>
          <w:sz w:val="20"/>
          <w:szCs w:val="20"/>
        </w:rPr>
      </w:pPr>
      <w:r w:rsidRPr="00AC4AEA">
        <w:rPr>
          <w:rFonts w:ascii="Arial" w:hAnsi="Arial" w:cs="Arial"/>
          <w:sz w:val="20"/>
          <w:szCs w:val="20"/>
        </w:rPr>
        <w:t>falta</w:t>
      </w:r>
      <w:r w:rsidR="0069742B" w:rsidRPr="00AC4AEA">
        <w:rPr>
          <w:rFonts w:ascii="Arial" w:hAnsi="Arial" w:cs="Arial"/>
          <w:sz w:val="20"/>
          <w:szCs w:val="20"/>
        </w:rPr>
        <w:t xml:space="preserve"> </w:t>
      </w:r>
      <w:r w:rsidR="002A009A" w:rsidRPr="00AC4AEA">
        <w:rPr>
          <w:rFonts w:ascii="Arial" w:hAnsi="Arial" w:cs="Arial"/>
          <w:sz w:val="20"/>
          <w:szCs w:val="20"/>
        </w:rPr>
        <w:t xml:space="preserve">un </w:t>
      </w:r>
      <w:r w:rsidR="0069742B" w:rsidRPr="00AC4AEA">
        <w:rPr>
          <w:rFonts w:ascii="Arial" w:hAnsi="Arial" w:cs="Arial"/>
          <w:sz w:val="20"/>
          <w:szCs w:val="20"/>
        </w:rPr>
        <w:t xml:space="preserve">tiempo hasta </w:t>
      </w:r>
      <w:r w:rsidR="002A009A" w:rsidRPr="00AC4AEA">
        <w:rPr>
          <w:rFonts w:ascii="Arial" w:hAnsi="Arial" w:cs="Arial"/>
          <w:sz w:val="20"/>
          <w:szCs w:val="20"/>
        </w:rPr>
        <w:t xml:space="preserve">su </w:t>
      </w:r>
      <w:r w:rsidR="0069742B" w:rsidRPr="00AC4AEA">
        <w:rPr>
          <w:rFonts w:ascii="Arial" w:hAnsi="Arial" w:cs="Arial"/>
          <w:sz w:val="20"/>
          <w:szCs w:val="20"/>
        </w:rPr>
        <w:t>vencimiento.</w:t>
      </w:r>
    </w:p>
    <w:p w:rsidR="000C17E0" w:rsidRPr="00AC4AEA" w:rsidRDefault="000C17E0" w:rsidP="00A318EA">
      <w:pPr>
        <w:ind w:left="1416"/>
        <w:jc w:val="both"/>
        <w:rPr>
          <w:rFonts w:ascii="Arial" w:hAnsi="Arial" w:cs="Arial"/>
          <w:sz w:val="20"/>
          <w:szCs w:val="20"/>
        </w:rPr>
      </w:pPr>
      <w:r w:rsidRPr="00AC4AEA">
        <w:rPr>
          <w:rFonts w:ascii="Arial" w:hAnsi="Arial" w:cs="Arial"/>
          <w:sz w:val="20"/>
          <w:szCs w:val="20"/>
          <w:u w:val="single"/>
        </w:rPr>
        <w:t>Derechos de facturar a clientes</w:t>
      </w:r>
      <w:r w:rsidRPr="00AC4AEA">
        <w:rPr>
          <w:rFonts w:ascii="Arial" w:hAnsi="Arial" w:cs="Arial"/>
          <w:sz w:val="20"/>
          <w:szCs w:val="20"/>
        </w:rPr>
        <w:t>:</w:t>
      </w:r>
      <w:r w:rsidRPr="00AC4AEA">
        <w:rPr>
          <w:rFonts w:ascii="Arial" w:hAnsi="Arial" w:cs="Arial"/>
          <w:b/>
          <w:bCs/>
          <w:sz w:val="20"/>
          <w:szCs w:val="20"/>
        </w:rPr>
        <w:t xml:space="preserve"> </w:t>
      </w:r>
      <w:r w:rsidR="00EB68F5" w:rsidRPr="00AC4AEA">
        <w:rPr>
          <w:rFonts w:ascii="Arial" w:hAnsi="Arial" w:cs="Arial"/>
          <w:sz w:val="20"/>
          <w:szCs w:val="20"/>
        </w:rPr>
        <w:t>S</w:t>
      </w:r>
      <w:r w:rsidRPr="00AC4AEA">
        <w:rPr>
          <w:rFonts w:ascii="Arial" w:hAnsi="Arial" w:cs="Arial"/>
          <w:sz w:val="20"/>
          <w:szCs w:val="20"/>
        </w:rPr>
        <w:t xml:space="preserve">on </w:t>
      </w:r>
      <w:r w:rsidR="00497590" w:rsidRPr="00AC4AEA">
        <w:rPr>
          <w:rFonts w:ascii="Arial" w:hAnsi="Arial" w:cs="Arial"/>
          <w:sz w:val="20"/>
          <w:szCs w:val="20"/>
        </w:rPr>
        <w:t>activos</w:t>
      </w:r>
      <w:r w:rsidRPr="00AC4AEA">
        <w:rPr>
          <w:rFonts w:ascii="Arial" w:hAnsi="Arial" w:cs="Arial"/>
          <w:sz w:val="20"/>
          <w:szCs w:val="20"/>
        </w:rPr>
        <w:t xml:space="preserve"> representativos de derechos</w:t>
      </w:r>
      <w:r w:rsidR="00DA5CB5" w:rsidRPr="00AC4AEA">
        <w:rPr>
          <w:rFonts w:ascii="Arial" w:hAnsi="Arial" w:cs="Arial"/>
          <w:sz w:val="20"/>
          <w:szCs w:val="20"/>
        </w:rPr>
        <w:t xml:space="preserve"> no contingentes,</w:t>
      </w:r>
      <w:r w:rsidR="0039646B" w:rsidRPr="00AC4AEA">
        <w:rPr>
          <w:rFonts w:ascii="Arial" w:hAnsi="Arial" w:cs="Arial"/>
          <w:sz w:val="20"/>
          <w:szCs w:val="20"/>
        </w:rPr>
        <w:t xml:space="preserve"> emergentes del cumplimiento de obligaciones por parte de la entidad </w:t>
      </w:r>
      <w:r w:rsidRPr="00AC4AEA">
        <w:rPr>
          <w:rFonts w:ascii="Arial" w:hAnsi="Arial" w:cs="Arial"/>
          <w:sz w:val="20"/>
          <w:szCs w:val="20"/>
        </w:rPr>
        <w:t>que:</w:t>
      </w:r>
    </w:p>
    <w:p w:rsidR="000C17E0" w:rsidRPr="00AC4AEA" w:rsidRDefault="000C17E0" w:rsidP="00A318EA">
      <w:pPr>
        <w:pStyle w:val="Prrafodelista"/>
        <w:numPr>
          <w:ilvl w:val="0"/>
          <w:numId w:val="334"/>
        </w:numPr>
        <w:contextualSpacing w:val="0"/>
        <w:jc w:val="both"/>
        <w:rPr>
          <w:rFonts w:ascii="Arial" w:hAnsi="Arial" w:cs="Arial"/>
          <w:sz w:val="20"/>
          <w:szCs w:val="20"/>
        </w:rPr>
      </w:pPr>
      <w:r w:rsidRPr="00AC4AEA">
        <w:rPr>
          <w:rFonts w:ascii="Arial" w:hAnsi="Arial" w:cs="Arial"/>
          <w:sz w:val="20"/>
          <w:szCs w:val="20"/>
        </w:rPr>
        <w:t xml:space="preserve">proceden del reconocimiento de </w:t>
      </w:r>
      <w:r w:rsidRPr="00AC4AEA">
        <w:rPr>
          <w:rFonts w:ascii="Arial" w:hAnsi="Arial" w:cs="Arial"/>
          <w:b/>
          <w:bCs/>
          <w:sz w:val="20"/>
          <w:szCs w:val="20"/>
        </w:rPr>
        <w:t>ingresos de actividades ordinarias</w:t>
      </w:r>
      <w:r w:rsidRPr="00AC4AEA">
        <w:rPr>
          <w:rFonts w:ascii="Arial" w:hAnsi="Arial" w:cs="Arial"/>
          <w:sz w:val="20"/>
          <w:szCs w:val="20"/>
        </w:rPr>
        <w:t xml:space="preserve"> por la venta de bienes, la prestación de servicios o la construcción de </w:t>
      </w:r>
      <w:r w:rsidR="00497590" w:rsidRPr="00AC4AEA">
        <w:rPr>
          <w:rFonts w:ascii="Arial" w:hAnsi="Arial" w:cs="Arial"/>
          <w:sz w:val="20"/>
          <w:szCs w:val="20"/>
        </w:rPr>
        <w:t>activos</w:t>
      </w:r>
      <w:r w:rsidRPr="00AC4AEA">
        <w:rPr>
          <w:rFonts w:ascii="Arial" w:hAnsi="Arial" w:cs="Arial"/>
          <w:sz w:val="20"/>
          <w:szCs w:val="20"/>
        </w:rPr>
        <w:t xml:space="preserve"> (por ejemplo, cuando se contabilizan en función del grado de avance);</w:t>
      </w:r>
    </w:p>
    <w:p w:rsidR="000C17E0" w:rsidRPr="00AC4AEA" w:rsidRDefault="000C17E0" w:rsidP="00A318EA">
      <w:pPr>
        <w:pStyle w:val="Prrafodelista"/>
        <w:numPr>
          <w:ilvl w:val="0"/>
          <w:numId w:val="334"/>
        </w:numPr>
        <w:contextualSpacing w:val="0"/>
        <w:jc w:val="both"/>
        <w:rPr>
          <w:rFonts w:ascii="Arial" w:hAnsi="Arial" w:cs="Arial"/>
          <w:sz w:val="20"/>
          <w:szCs w:val="20"/>
        </w:rPr>
      </w:pPr>
      <w:r w:rsidRPr="00AC4AEA">
        <w:rPr>
          <w:rFonts w:ascii="Arial" w:hAnsi="Arial" w:cs="Arial"/>
          <w:sz w:val="20"/>
          <w:szCs w:val="20"/>
        </w:rPr>
        <w:t xml:space="preserve">son distintos de las cuentas por cobrar a clientes; </w:t>
      </w:r>
    </w:p>
    <w:p w:rsidR="000C17E0" w:rsidRPr="00AC4AEA" w:rsidRDefault="000C17E0" w:rsidP="00A318EA">
      <w:pPr>
        <w:pStyle w:val="Prrafodelista"/>
        <w:numPr>
          <w:ilvl w:val="0"/>
          <w:numId w:val="334"/>
        </w:numPr>
        <w:contextualSpacing w:val="0"/>
        <w:jc w:val="both"/>
        <w:rPr>
          <w:rFonts w:ascii="Arial" w:hAnsi="Arial" w:cs="Arial"/>
          <w:sz w:val="20"/>
          <w:szCs w:val="20"/>
        </w:rPr>
      </w:pPr>
      <w:r w:rsidRPr="00AC4AEA">
        <w:rPr>
          <w:rFonts w:ascii="Arial" w:hAnsi="Arial" w:cs="Arial"/>
          <w:sz w:val="20"/>
          <w:szCs w:val="20"/>
        </w:rPr>
        <w:lastRenderedPageBreak/>
        <w:t>su facturación</w:t>
      </w:r>
      <w:r w:rsidR="000F2A16" w:rsidRPr="00AC4AEA">
        <w:rPr>
          <w:rFonts w:ascii="Arial" w:hAnsi="Arial" w:cs="Arial"/>
          <w:sz w:val="20"/>
          <w:szCs w:val="20"/>
        </w:rPr>
        <w:t>, o emisión de documen</w:t>
      </w:r>
      <w:r w:rsidR="00C34C9C" w:rsidRPr="00AC4AEA">
        <w:rPr>
          <w:rFonts w:ascii="Arial" w:hAnsi="Arial" w:cs="Arial"/>
          <w:sz w:val="20"/>
          <w:szCs w:val="20"/>
        </w:rPr>
        <w:t>tos</w:t>
      </w:r>
      <w:r w:rsidR="000F2A16" w:rsidRPr="00AC4AEA">
        <w:rPr>
          <w:rFonts w:ascii="Arial" w:hAnsi="Arial" w:cs="Arial"/>
          <w:sz w:val="20"/>
          <w:szCs w:val="20"/>
        </w:rPr>
        <w:t xml:space="preserve"> similar</w:t>
      </w:r>
      <w:r w:rsidR="00C34C9C" w:rsidRPr="00AC4AEA">
        <w:rPr>
          <w:rFonts w:ascii="Arial" w:hAnsi="Arial" w:cs="Arial"/>
          <w:sz w:val="20"/>
          <w:szCs w:val="20"/>
        </w:rPr>
        <w:t>es</w:t>
      </w:r>
      <w:r w:rsidR="000F2A16" w:rsidRPr="00AC4AEA">
        <w:rPr>
          <w:rFonts w:ascii="Arial" w:hAnsi="Arial" w:cs="Arial"/>
          <w:sz w:val="20"/>
          <w:szCs w:val="20"/>
        </w:rPr>
        <w:t>,</w:t>
      </w:r>
      <w:r w:rsidRPr="00AC4AEA">
        <w:rPr>
          <w:rFonts w:ascii="Arial" w:hAnsi="Arial" w:cs="Arial"/>
          <w:sz w:val="20"/>
          <w:szCs w:val="20"/>
        </w:rPr>
        <w:t xml:space="preserve"> se difiere en el tiempo debido</w:t>
      </w:r>
      <w:r w:rsidR="00DA5CB5" w:rsidRPr="00AC4AEA">
        <w:rPr>
          <w:rFonts w:ascii="Arial" w:hAnsi="Arial" w:cs="Arial"/>
          <w:sz w:val="20"/>
          <w:szCs w:val="20"/>
        </w:rPr>
        <w:t xml:space="preserve"> a cuestiones tales como</w:t>
      </w:r>
      <w:r w:rsidRPr="00AC4AEA">
        <w:rPr>
          <w:rFonts w:ascii="Arial" w:hAnsi="Arial" w:cs="Arial"/>
          <w:sz w:val="20"/>
          <w:szCs w:val="20"/>
        </w:rPr>
        <w:t xml:space="preserve"> hitos acordados entre la entidad y su cliente; y</w:t>
      </w:r>
    </w:p>
    <w:p w:rsidR="0069742B" w:rsidRPr="00AC4AEA" w:rsidRDefault="000C17E0" w:rsidP="00A318EA">
      <w:pPr>
        <w:pStyle w:val="Prrafodelista"/>
        <w:numPr>
          <w:ilvl w:val="0"/>
          <w:numId w:val="334"/>
        </w:numPr>
        <w:contextualSpacing w:val="0"/>
        <w:jc w:val="both"/>
        <w:rPr>
          <w:rFonts w:ascii="Arial" w:hAnsi="Arial" w:cs="Arial"/>
          <w:sz w:val="20"/>
          <w:szCs w:val="20"/>
        </w:rPr>
      </w:pPr>
      <w:r w:rsidRPr="00AC4AEA">
        <w:rPr>
          <w:rFonts w:ascii="Arial" w:hAnsi="Arial" w:cs="Arial"/>
          <w:sz w:val="20"/>
          <w:szCs w:val="20"/>
        </w:rPr>
        <w:t>genera</w:t>
      </w:r>
      <w:r w:rsidR="00DA5CB5" w:rsidRPr="00AC4AEA">
        <w:rPr>
          <w:rFonts w:ascii="Arial" w:hAnsi="Arial" w:cs="Arial"/>
          <w:sz w:val="20"/>
          <w:szCs w:val="20"/>
        </w:rPr>
        <w:t>rá</w:t>
      </w:r>
      <w:r w:rsidRPr="00AC4AEA">
        <w:rPr>
          <w:rFonts w:ascii="Arial" w:hAnsi="Arial" w:cs="Arial"/>
          <w:sz w:val="20"/>
          <w:szCs w:val="20"/>
        </w:rPr>
        <w:t xml:space="preserve">n una </w:t>
      </w:r>
      <w:r w:rsidRPr="00AC4AEA">
        <w:rPr>
          <w:rFonts w:ascii="Arial" w:hAnsi="Arial" w:cs="Arial"/>
          <w:b/>
          <w:bCs/>
          <w:sz w:val="20"/>
          <w:szCs w:val="20"/>
        </w:rPr>
        <w:t>cuenta por cobrar a clientes</w:t>
      </w:r>
      <w:r w:rsidRPr="00AC4AEA">
        <w:rPr>
          <w:rFonts w:ascii="Arial" w:hAnsi="Arial" w:cs="Arial"/>
          <w:sz w:val="20"/>
          <w:szCs w:val="20"/>
        </w:rPr>
        <w:t xml:space="preserve"> luego de la emisión de la factura</w:t>
      </w:r>
      <w:r w:rsidR="000F2A16" w:rsidRPr="00AC4AEA">
        <w:rPr>
          <w:rFonts w:ascii="Arial" w:hAnsi="Arial" w:cs="Arial"/>
          <w:sz w:val="20"/>
          <w:szCs w:val="20"/>
        </w:rPr>
        <w:t xml:space="preserve"> o documentos similares</w:t>
      </w:r>
      <w:r w:rsidR="002A009A" w:rsidRPr="00AC4AEA">
        <w:rPr>
          <w:rFonts w:ascii="Arial" w:hAnsi="Arial" w:cs="Arial"/>
          <w:sz w:val="20"/>
          <w:szCs w:val="20"/>
        </w:rPr>
        <w:t>.</w:t>
      </w:r>
    </w:p>
    <w:tbl>
      <w:tblPr>
        <w:tblStyle w:val="Tablaconcuadrcula"/>
        <w:tblW w:w="8647" w:type="dxa"/>
        <w:tblInd w:w="-5" w:type="dxa"/>
        <w:tblLook w:val="04A0"/>
      </w:tblPr>
      <w:tblGrid>
        <w:gridCol w:w="8647"/>
      </w:tblGrid>
      <w:tr w:rsidR="0085247E" w:rsidRPr="00AC4AEA" w:rsidTr="00097A0D">
        <w:trPr>
          <w:tblHeader/>
        </w:trPr>
        <w:tc>
          <w:tcPr>
            <w:tcW w:w="8647" w:type="dxa"/>
          </w:tcPr>
          <w:p w:rsidR="0085247E" w:rsidRPr="00AC4AEA" w:rsidRDefault="0085247E" w:rsidP="00A318EA">
            <w:pPr>
              <w:rPr>
                <w:rFonts w:ascii="Arial" w:hAnsi="Arial" w:cs="Arial"/>
                <w:b/>
                <w:bCs/>
                <w:color w:val="00B050"/>
                <w:sz w:val="20"/>
                <w:szCs w:val="20"/>
                <w:u w:val="single"/>
              </w:rPr>
            </w:pPr>
            <w:r w:rsidRPr="00AC4AEA">
              <w:rPr>
                <w:rFonts w:ascii="Arial" w:hAnsi="Arial" w:cs="Arial"/>
                <w:b/>
                <w:bCs/>
                <w:color w:val="00B050"/>
                <w:sz w:val="20"/>
                <w:szCs w:val="20"/>
                <w:u w:val="single"/>
              </w:rPr>
              <w:t>Aclaración (texto no integrante de la presente Resolución Técnica)</w:t>
            </w:r>
          </w:p>
        </w:tc>
      </w:tr>
      <w:tr w:rsidR="0085247E" w:rsidRPr="00AC4AEA" w:rsidTr="00097A0D">
        <w:tc>
          <w:tcPr>
            <w:tcW w:w="8647" w:type="dxa"/>
          </w:tcPr>
          <w:p w:rsidR="00F23CA8" w:rsidRPr="00AC4AEA" w:rsidRDefault="00F23CA8" w:rsidP="0085247E">
            <w:pPr>
              <w:rPr>
                <w:rFonts w:ascii="Arial" w:hAnsi="Arial" w:cs="Arial"/>
                <w:color w:val="00B050"/>
                <w:sz w:val="20"/>
                <w:szCs w:val="20"/>
              </w:rPr>
            </w:pPr>
            <w:r w:rsidRPr="00AC4AEA">
              <w:rPr>
                <w:rFonts w:ascii="Arial" w:hAnsi="Arial" w:cs="Arial"/>
                <w:color w:val="00B050"/>
                <w:sz w:val="20"/>
                <w:szCs w:val="20"/>
              </w:rPr>
              <w:t>Las partidas que, de conformidad con las RT 17 y 41, se reconocían, medían y presentaban como “</w:t>
            </w:r>
            <w:r w:rsidRPr="00AC4AEA">
              <w:rPr>
                <w:rFonts w:ascii="Arial" w:hAnsi="Arial" w:cs="Arial"/>
                <w:color w:val="00B050"/>
                <w:sz w:val="20"/>
                <w:szCs w:val="20"/>
                <w:u w:val="single"/>
              </w:rPr>
              <w:t>bienes de cambio</w:t>
            </w:r>
            <w:r w:rsidRPr="00AC4AEA">
              <w:rPr>
                <w:rFonts w:ascii="Arial" w:hAnsi="Arial" w:cs="Arial"/>
                <w:color w:val="00B050"/>
                <w:sz w:val="20"/>
                <w:szCs w:val="20"/>
              </w:rPr>
              <w:t xml:space="preserve">”, esta Resolución Técnica requiere que se </w:t>
            </w:r>
            <w:r w:rsidR="00D17EDF" w:rsidRPr="00AC4AEA">
              <w:rPr>
                <w:rFonts w:ascii="Arial" w:hAnsi="Arial" w:cs="Arial"/>
                <w:color w:val="00B050"/>
                <w:sz w:val="20"/>
                <w:szCs w:val="20"/>
              </w:rPr>
              <w:t>contabilicen como</w:t>
            </w:r>
            <w:r w:rsidRPr="00AC4AEA">
              <w:rPr>
                <w:rFonts w:ascii="Arial" w:hAnsi="Arial" w:cs="Arial"/>
                <w:color w:val="00B050"/>
                <w:sz w:val="20"/>
                <w:szCs w:val="20"/>
              </w:rPr>
              <w:t xml:space="preserve"> “</w:t>
            </w:r>
            <w:r w:rsidRPr="00AC4AEA">
              <w:rPr>
                <w:rFonts w:ascii="Arial" w:hAnsi="Arial" w:cs="Arial"/>
                <w:color w:val="00B050"/>
                <w:sz w:val="20"/>
                <w:szCs w:val="20"/>
                <w:u w:val="single"/>
              </w:rPr>
              <w:t xml:space="preserve">Derechos </w:t>
            </w:r>
            <w:r w:rsidR="00D17EDF" w:rsidRPr="00AC4AEA">
              <w:rPr>
                <w:rFonts w:ascii="Arial" w:hAnsi="Arial" w:cs="Arial"/>
                <w:color w:val="00B050"/>
                <w:sz w:val="20"/>
                <w:szCs w:val="20"/>
                <w:u w:val="single"/>
              </w:rPr>
              <w:t>de</w:t>
            </w:r>
            <w:r w:rsidRPr="00AC4AEA">
              <w:rPr>
                <w:rFonts w:ascii="Arial" w:hAnsi="Arial" w:cs="Arial"/>
                <w:color w:val="00B050"/>
                <w:sz w:val="20"/>
                <w:szCs w:val="20"/>
                <w:u w:val="single"/>
              </w:rPr>
              <w:t xml:space="preserve"> facturar a cliente</w:t>
            </w:r>
            <w:r w:rsidR="00D17EDF" w:rsidRPr="00AC4AEA">
              <w:rPr>
                <w:rFonts w:ascii="Arial" w:hAnsi="Arial" w:cs="Arial"/>
                <w:color w:val="00B050"/>
                <w:sz w:val="20"/>
                <w:szCs w:val="20"/>
                <w:u w:val="single"/>
              </w:rPr>
              <w:t>s</w:t>
            </w:r>
            <w:r w:rsidRPr="00AC4AEA">
              <w:rPr>
                <w:rFonts w:ascii="Arial" w:hAnsi="Arial" w:cs="Arial"/>
                <w:color w:val="00B050"/>
                <w:sz w:val="20"/>
                <w:szCs w:val="20"/>
              </w:rPr>
              <w:t>”</w:t>
            </w:r>
            <w:r w:rsidR="00D17EDF" w:rsidRPr="00AC4AEA">
              <w:rPr>
                <w:rFonts w:ascii="Arial" w:hAnsi="Arial" w:cs="Arial"/>
                <w:color w:val="00B050"/>
                <w:sz w:val="20"/>
                <w:szCs w:val="20"/>
              </w:rPr>
              <w:t>, y se presenten junto con los créditos (en moneda o en especie, según corresponda).</w:t>
            </w:r>
          </w:p>
          <w:p w:rsidR="00D17EDF" w:rsidRPr="00AC4AEA" w:rsidRDefault="00D17EDF" w:rsidP="0085247E">
            <w:pPr>
              <w:rPr>
                <w:rFonts w:ascii="Arial" w:hAnsi="Arial" w:cs="Arial"/>
                <w:color w:val="00B050"/>
                <w:sz w:val="20"/>
                <w:szCs w:val="20"/>
              </w:rPr>
            </w:pPr>
            <w:r w:rsidRPr="00AC4AEA">
              <w:rPr>
                <w:rFonts w:ascii="Arial" w:hAnsi="Arial" w:cs="Arial"/>
                <w:color w:val="00B050"/>
                <w:sz w:val="20"/>
                <w:szCs w:val="20"/>
              </w:rPr>
              <w:t>Este cambio no afecta al resultado de la entidad, ni al total del activo, del pasivo o de su patrimonio</w:t>
            </w:r>
            <w:r w:rsidR="006100F5" w:rsidRPr="00AC4AEA">
              <w:rPr>
                <w:rFonts w:ascii="Arial" w:hAnsi="Arial" w:cs="Arial"/>
                <w:color w:val="00B050"/>
                <w:sz w:val="20"/>
                <w:szCs w:val="20"/>
              </w:rPr>
              <w:t xml:space="preserve"> neto</w:t>
            </w:r>
            <w:r w:rsidRPr="00AC4AEA">
              <w:rPr>
                <w:rFonts w:ascii="Arial" w:hAnsi="Arial" w:cs="Arial"/>
                <w:color w:val="00B050"/>
                <w:sz w:val="20"/>
                <w:szCs w:val="20"/>
              </w:rPr>
              <w:t xml:space="preserve">, pero explica de mejor manera las causas de los resultados y la naturaleza de las partidas de </w:t>
            </w:r>
            <w:r w:rsidR="00497590" w:rsidRPr="00AC4AEA">
              <w:rPr>
                <w:rFonts w:ascii="Arial" w:hAnsi="Arial" w:cs="Arial"/>
                <w:color w:val="00B050"/>
                <w:sz w:val="20"/>
                <w:szCs w:val="20"/>
              </w:rPr>
              <w:t>activos</w:t>
            </w:r>
            <w:r w:rsidRPr="00AC4AEA">
              <w:rPr>
                <w:rFonts w:ascii="Arial" w:hAnsi="Arial" w:cs="Arial"/>
                <w:color w:val="00B050"/>
                <w:sz w:val="20"/>
                <w:szCs w:val="20"/>
              </w:rPr>
              <w:t xml:space="preserve"> o </w:t>
            </w:r>
            <w:r w:rsidR="00497590" w:rsidRPr="00AC4AEA">
              <w:rPr>
                <w:rFonts w:ascii="Arial" w:hAnsi="Arial" w:cs="Arial"/>
                <w:color w:val="00B050"/>
                <w:sz w:val="20"/>
                <w:szCs w:val="20"/>
              </w:rPr>
              <w:t>pasivos</w:t>
            </w:r>
            <w:r w:rsidRPr="00AC4AEA">
              <w:rPr>
                <w:rFonts w:ascii="Arial" w:hAnsi="Arial" w:cs="Arial"/>
                <w:color w:val="00B050"/>
                <w:sz w:val="20"/>
                <w:szCs w:val="20"/>
              </w:rPr>
              <w:t xml:space="preserve"> involucradas en las transacciones relacionadas.</w:t>
            </w:r>
          </w:p>
          <w:p w:rsidR="00D17EDF" w:rsidRPr="00AC4AEA" w:rsidRDefault="00D17EDF" w:rsidP="0085247E">
            <w:pPr>
              <w:rPr>
                <w:rFonts w:ascii="Arial" w:hAnsi="Arial" w:cs="Arial"/>
                <w:color w:val="00B050"/>
                <w:sz w:val="20"/>
                <w:szCs w:val="20"/>
              </w:rPr>
            </w:pPr>
            <w:r w:rsidRPr="00AC4AEA">
              <w:rPr>
                <w:rFonts w:ascii="Arial" w:hAnsi="Arial" w:cs="Arial"/>
                <w:color w:val="00B050"/>
                <w:sz w:val="20"/>
                <w:szCs w:val="20"/>
              </w:rPr>
              <w:t xml:space="preserve">Para </w:t>
            </w:r>
            <w:r w:rsidR="0085247E" w:rsidRPr="00AC4AEA">
              <w:rPr>
                <w:rFonts w:ascii="Arial" w:hAnsi="Arial" w:cs="Arial"/>
                <w:color w:val="00B050"/>
                <w:sz w:val="20"/>
                <w:szCs w:val="20"/>
              </w:rPr>
              <w:t>más información</w:t>
            </w:r>
            <w:r w:rsidRPr="00AC4AEA">
              <w:rPr>
                <w:rFonts w:ascii="Arial" w:hAnsi="Arial" w:cs="Arial"/>
                <w:color w:val="00B050"/>
                <w:sz w:val="20"/>
                <w:szCs w:val="20"/>
              </w:rPr>
              <w:t xml:space="preserve">, remitimos al ejemplo incluido </w:t>
            </w:r>
            <w:r w:rsidR="006D6680" w:rsidRPr="00AC4AEA">
              <w:rPr>
                <w:rFonts w:ascii="Arial" w:hAnsi="Arial" w:cs="Arial"/>
                <w:color w:val="00B050"/>
                <w:sz w:val="20"/>
                <w:szCs w:val="20"/>
              </w:rPr>
              <w:t xml:space="preserve">en la aclaración incorporada </w:t>
            </w:r>
            <w:r w:rsidRPr="00AC4AEA">
              <w:rPr>
                <w:rFonts w:ascii="Arial" w:hAnsi="Arial" w:cs="Arial"/>
                <w:color w:val="00B050"/>
                <w:sz w:val="20"/>
                <w:szCs w:val="20"/>
              </w:rPr>
              <w:t xml:space="preserve">antes del párrafo </w:t>
            </w:r>
            <w:fldSimple w:instr=" REF _Ref103004758 \r \h  \* MERGEFORMAT ">
              <w:r w:rsidR="00D33A5D" w:rsidRPr="00D33A5D">
                <w:rPr>
                  <w:rFonts w:ascii="Arial" w:hAnsi="Arial" w:cs="Arial"/>
                  <w:color w:val="00B050"/>
                  <w:sz w:val="20"/>
                  <w:szCs w:val="20"/>
                </w:rPr>
                <w:t>295</w:t>
              </w:r>
            </w:fldSimple>
            <w:r w:rsidRPr="00AC4AEA">
              <w:rPr>
                <w:rFonts w:ascii="Arial" w:hAnsi="Arial" w:cs="Arial"/>
                <w:color w:val="00B050"/>
                <w:sz w:val="20"/>
                <w:szCs w:val="20"/>
              </w:rPr>
              <w:t xml:space="preserve"> de la presente Resolución Técnica.</w:t>
            </w:r>
          </w:p>
        </w:tc>
      </w:tr>
    </w:tbl>
    <w:p w:rsidR="006D6680" w:rsidRPr="00AC4AEA" w:rsidRDefault="006D6680" w:rsidP="00A318EA">
      <w:pPr>
        <w:ind w:left="1418"/>
        <w:jc w:val="both"/>
        <w:rPr>
          <w:rFonts w:ascii="Arial" w:hAnsi="Arial" w:cs="Arial"/>
          <w:sz w:val="20"/>
          <w:szCs w:val="20"/>
          <w:u w:val="single"/>
        </w:rPr>
      </w:pPr>
    </w:p>
    <w:p w:rsidR="006C71BA" w:rsidRPr="00AC4AEA" w:rsidRDefault="006C71BA" w:rsidP="00A318EA">
      <w:pPr>
        <w:ind w:left="1416"/>
        <w:jc w:val="both"/>
        <w:rPr>
          <w:rFonts w:ascii="Arial" w:hAnsi="Arial" w:cs="Arial"/>
          <w:b/>
          <w:bCs/>
          <w:sz w:val="20"/>
          <w:szCs w:val="20"/>
        </w:rPr>
      </w:pPr>
      <w:r w:rsidRPr="00AC4AEA">
        <w:rPr>
          <w:rFonts w:ascii="Arial" w:hAnsi="Arial" w:cs="Arial"/>
          <w:sz w:val="20"/>
          <w:szCs w:val="20"/>
          <w:u w:val="single"/>
        </w:rPr>
        <w:t>Otros créditos en moneda</w:t>
      </w:r>
      <w:r w:rsidRPr="00AC4AEA">
        <w:rPr>
          <w:rFonts w:ascii="Arial" w:hAnsi="Arial" w:cs="Arial"/>
          <w:b/>
          <w:bCs/>
          <w:sz w:val="20"/>
          <w:szCs w:val="20"/>
        </w:rPr>
        <w:t xml:space="preserve">: </w:t>
      </w:r>
      <w:r w:rsidR="00434A03" w:rsidRPr="00AC4AEA">
        <w:rPr>
          <w:rFonts w:ascii="Arial" w:hAnsi="Arial" w:cs="Arial"/>
          <w:sz w:val="20"/>
          <w:szCs w:val="20"/>
        </w:rPr>
        <w:t>S</w:t>
      </w:r>
      <w:r w:rsidRPr="00AC4AEA">
        <w:rPr>
          <w:rFonts w:ascii="Arial" w:hAnsi="Arial" w:cs="Arial"/>
          <w:sz w:val="20"/>
          <w:szCs w:val="20"/>
        </w:rPr>
        <w:t xml:space="preserve">on los procedentes de sucesos u operaciones que no dan lugar a </w:t>
      </w:r>
      <w:r w:rsidRPr="00AC4AEA">
        <w:rPr>
          <w:rFonts w:ascii="Arial" w:hAnsi="Arial" w:cs="Arial"/>
          <w:b/>
          <w:bCs/>
          <w:sz w:val="20"/>
          <w:szCs w:val="20"/>
        </w:rPr>
        <w:t>ingresos de actividades ordinarias.</w:t>
      </w:r>
    </w:p>
    <w:p w:rsidR="006C71BA" w:rsidRPr="00AC4AEA" w:rsidRDefault="006C71BA" w:rsidP="00A318EA">
      <w:pPr>
        <w:ind w:left="1416"/>
        <w:jc w:val="both"/>
        <w:rPr>
          <w:rFonts w:ascii="Arial" w:hAnsi="Arial" w:cs="Arial"/>
          <w:b/>
          <w:bCs/>
          <w:sz w:val="20"/>
          <w:szCs w:val="20"/>
        </w:rPr>
      </w:pPr>
      <w:r w:rsidRPr="00AC4AEA">
        <w:rPr>
          <w:rFonts w:ascii="Arial" w:hAnsi="Arial" w:cs="Arial"/>
          <w:sz w:val="20"/>
          <w:szCs w:val="20"/>
          <w:u w:val="single"/>
        </w:rPr>
        <w:t>Previsión para desvalorización de créditos/previsión para cuentas de cobro dudoso</w:t>
      </w:r>
      <w:r w:rsidRPr="00AC4AEA">
        <w:rPr>
          <w:rFonts w:ascii="Arial" w:hAnsi="Arial" w:cs="Arial"/>
          <w:sz w:val="20"/>
          <w:szCs w:val="20"/>
        </w:rPr>
        <w:t xml:space="preserve">: Son correcciones a la medición de los créditos originadas en </w:t>
      </w:r>
      <w:r w:rsidRPr="00AC4AEA">
        <w:rPr>
          <w:rFonts w:ascii="Arial" w:hAnsi="Arial" w:cs="Arial"/>
          <w:b/>
          <w:bCs/>
          <w:sz w:val="20"/>
          <w:szCs w:val="20"/>
        </w:rPr>
        <w:t xml:space="preserve">pérdidas por desvalorización </w:t>
      </w:r>
      <w:r w:rsidRPr="00AC4AEA">
        <w:rPr>
          <w:rFonts w:ascii="Arial" w:hAnsi="Arial" w:cs="Arial"/>
          <w:sz w:val="20"/>
          <w:szCs w:val="20"/>
        </w:rPr>
        <w:t>(generadas por incobrables y otras causas)</w:t>
      </w:r>
      <w:r w:rsidRPr="00AC4AEA">
        <w:rPr>
          <w:rFonts w:ascii="Arial" w:hAnsi="Arial" w:cs="Arial"/>
          <w:b/>
          <w:bCs/>
          <w:sz w:val="20"/>
          <w:szCs w:val="20"/>
        </w:rPr>
        <w:t>.</w:t>
      </w:r>
    </w:p>
    <w:p w:rsidR="006C71BA" w:rsidRPr="00AC4AEA" w:rsidRDefault="002A7740" w:rsidP="00A318EA">
      <w:pPr>
        <w:ind w:left="1416"/>
        <w:jc w:val="both"/>
        <w:rPr>
          <w:rFonts w:ascii="Arial" w:hAnsi="Arial" w:cs="Arial"/>
          <w:sz w:val="20"/>
          <w:szCs w:val="20"/>
        </w:rPr>
      </w:pPr>
      <w:r w:rsidRPr="00AC4AEA">
        <w:rPr>
          <w:rFonts w:ascii="Arial" w:hAnsi="Arial" w:cs="Arial"/>
          <w:sz w:val="20"/>
          <w:szCs w:val="20"/>
          <w:u w:val="single"/>
        </w:rPr>
        <w:t>Derechos de reembolso</w:t>
      </w:r>
      <w:r w:rsidRPr="00AC4AEA">
        <w:rPr>
          <w:rFonts w:ascii="Arial" w:hAnsi="Arial" w:cs="Arial"/>
          <w:sz w:val="20"/>
          <w:szCs w:val="20"/>
        </w:rPr>
        <w:t xml:space="preserve">: </w:t>
      </w:r>
      <w:r w:rsidR="00434A03" w:rsidRPr="00AC4AEA">
        <w:rPr>
          <w:rFonts w:ascii="Arial" w:hAnsi="Arial" w:cs="Arial"/>
          <w:sz w:val="20"/>
          <w:szCs w:val="20"/>
        </w:rPr>
        <w:t>I</w:t>
      </w:r>
      <w:r w:rsidRPr="00AC4AEA">
        <w:rPr>
          <w:rFonts w:ascii="Arial" w:hAnsi="Arial" w:cs="Arial"/>
          <w:sz w:val="20"/>
          <w:szCs w:val="20"/>
        </w:rPr>
        <w:t xml:space="preserve">mportes que una entidad esperar recuperar de terceros </w:t>
      </w:r>
      <w:r w:rsidR="00B21EF8" w:rsidRPr="00AC4AEA">
        <w:rPr>
          <w:rFonts w:ascii="Arial" w:hAnsi="Arial" w:cs="Arial"/>
          <w:sz w:val="20"/>
          <w:szCs w:val="20"/>
        </w:rPr>
        <w:t xml:space="preserve">relacionados con </w:t>
      </w:r>
      <w:r w:rsidR="00497590" w:rsidRPr="00AC4AEA">
        <w:rPr>
          <w:rFonts w:ascii="Arial" w:hAnsi="Arial" w:cs="Arial"/>
          <w:sz w:val="20"/>
          <w:szCs w:val="20"/>
        </w:rPr>
        <w:t>pasivos</w:t>
      </w:r>
      <w:r w:rsidR="00B21EF8" w:rsidRPr="00AC4AEA">
        <w:rPr>
          <w:rFonts w:ascii="Arial" w:hAnsi="Arial" w:cs="Arial"/>
          <w:sz w:val="20"/>
          <w:szCs w:val="20"/>
        </w:rPr>
        <w:t xml:space="preserve"> reconocidos</w:t>
      </w:r>
      <w:r w:rsidRPr="00AC4AEA">
        <w:rPr>
          <w:rFonts w:ascii="Arial" w:hAnsi="Arial" w:cs="Arial"/>
          <w:sz w:val="20"/>
          <w:szCs w:val="20"/>
        </w:rPr>
        <w:t>.</w:t>
      </w:r>
    </w:p>
    <w:p w:rsidR="002A7740" w:rsidRPr="00AC4AEA" w:rsidRDefault="002A7740" w:rsidP="00A318EA">
      <w:pPr>
        <w:rPr>
          <w:rFonts w:ascii="Arial" w:hAnsi="Arial" w:cs="Arial"/>
          <w:sz w:val="20"/>
          <w:szCs w:val="20"/>
        </w:rPr>
      </w:pPr>
      <w:bookmarkStart w:id="354" w:name="_Toc101863813"/>
    </w:p>
    <w:p w:rsidR="006C71BA" w:rsidRPr="00AC4AEA" w:rsidRDefault="006C71BA" w:rsidP="00A318EA">
      <w:pPr>
        <w:pStyle w:val="Ttulo2"/>
        <w:rPr>
          <w:rFonts w:cs="Arial"/>
        </w:rPr>
      </w:pPr>
      <w:bookmarkStart w:id="355" w:name="_Toc139356680"/>
      <w:r w:rsidRPr="00AC4AEA">
        <w:rPr>
          <w:rFonts w:cs="Arial"/>
        </w:rPr>
        <w:t>Reconocimiento</w:t>
      </w:r>
      <w:bookmarkEnd w:id="354"/>
      <w:bookmarkEnd w:id="355"/>
    </w:p>
    <w:p w:rsidR="003F1354" w:rsidRPr="00AC4AEA" w:rsidRDefault="0069742B" w:rsidP="00A318EA">
      <w:pPr>
        <w:pStyle w:val="Prrafodelista"/>
        <w:numPr>
          <w:ilvl w:val="0"/>
          <w:numId w:val="29"/>
        </w:numPr>
        <w:contextualSpacing w:val="0"/>
        <w:jc w:val="both"/>
        <w:rPr>
          <w:rFonts w:ascii="Arial" w:hAnsi="Arial" w:cs="Arial"/>
          <w:sz w:val="20"/>
          <w:szCs w:val="20"/>
        </w:rPr>
      </w:pPr>
      <w:bookmarkStart w:id="356" w:name="_Ref102839505"/>
      <w:r w:rsidRPr="00AC4AEA">
        <w:rPr>
          <w:rFonts w:ascii="Arial" w:hAnsi="Arial" w:cs="Arial"/>
          <w:sz w:val="20"/>
          <w:szCs w:val="20"/>
        </w:rPr>
        <w:t>Una entidad reconocerá una cuenta a cobrar a clientes</w:t>
      </w:r>
      <w:r w:rsidR="003F1354" w:rsidRPr="00AC4AEA">
        <w:rPr>
          <w:rFonts w:ascii="Arial" w:hAnsi="Arial" w:cs="Arial"/>
          <w:sz w:val="20"/>
          <w:szCs w:val="20"/>
        </w:rPr>
        <w:t xml:space="preserve"> como un </w:t>
      </w:r>
      <w:r w:rsidR="003F1354" w:rsidRPr="00AC4AEA">
        <w:rPr>
          <w:rFonts w:ascii="Arial" w:hAnsi="Arial" w:cs="Arial"/>
          <w:b/>
          <w:sz w:val="20"/>
          <w:szCs w:val="20"/>
        </w:rPr>
        <w:t>activo</w:t>
      </w:r>
      <w:r w:rsidR="003F1354" w:rsidRPr="00AC4AEA">
        <w:rPr>
          <w:rFonts w:ascii="Arial" w:hAnsi="Arial" w:cs="Arial"/>
          <w:sz w:val="20"/>
          <w:szCs w:val="20"/>
        </w:rPr>
        <w:t xml:space="preserve"> cuando:</w:t>
      </w:r>
      <w:r w:rsidRPr="00AC4AEA">
        <w:rPr>
          <w:rFonts w:ascii="Arial" w:hAnsi="Arial" w:cs="Arial"/>
          <w:sz w:val="20"/>
          <w:szCs w:val="20"/>
        </w:rPr>
        <w:t xml:space="preserve"> </w:t>
      </w:r>
    </w:p>
    <w:p w:rsidR="003F1354" w:rsidRPr="00AC4AEA" w:rsidRDefault="00483573" w:rsidP="00A318EA">
      <w:pPr>
        <w:pStyle w:val="Prrafodelista"/>
        <w:numPr>
          <w:ilvl w:val="0"/>
          <w:numId w:val="328"/>
        </w:numPr>
        <w:ind w:left="1560"/>
        <w:contextualSpacing w:val="0"/>
        <w:jc w:val="both"/>
        <w:rPr>
          <w:rFonts w:ascii="Arial" w:hAnsi="Arial" w:cs="Arial"/>
          <w:sz w:val="20"/>
          <w:szCs w:val="20"/>
        </w:rPr>
      </w:pPr>
      <w:r w:rsidRPr="00AC4AEA">
        <w:rPr>
          <w:rFonts w:ascii="Arial" w:hAnsi="Arial" w:cs="Arial"/>
          <w:sz w:val="20"/>
          <w:szCs w:val="20"/>
        </w:rPr>
        <w:t xml:space="preserve">se </w:t>
      </w:r>
      <w:r w:rsidR="00FC6A30" w:rsidRPr="00AC4AEA">
        <w:rPr>
          <w:rFonts w:ascii="Arial" w:hAnsi="Arial" w:cs="Arial"/>
          <w:sz w:val="20"/>
          <w:szCs w:val="20"/>
        </w:rPr>
        <w:t xml:space="preserve">cumple la definición general del párrafo </w:t>
      </w:r>
      <w:fldSimple w:instr=" REF _Ref106701972 \r \h  \* MERGEFORMAT ">
        <w:r w:rsidR="00D33A5D" w:rsidRPr="00D33A5D">
          <w:rPr>
            <w:rFonts w:ascii="Arial" w:hAnsi="Arial" w:cs="Arial"/>
            <w:sz w:val="20"/>
            <w:szCs w:val="20"/>
          </w:rPr>
          <w:t>22</w:t>
        </w:r>
      </w:fldSimple>
      <w:r w:rsidR="00FC6A30" w:rsidRPr="00AC4AEA">
        <w:rPr>
          <w:rFonts w:ascii="Arial" w:hAnsi="Arial" w:cs="Arial"/>
          <w:sz w:val="20"/>
          <w:szCs w:val="20"/>
        </w:rPr>
        <w:t xml:space="preserve"> y la definición específica contenida en el párrafo</w:t>
      </w:r>
      <w:r w:rsidR="0069742B" w:rsidRPr="00AC4AEA">
        <w:rPr>
          <w:rFonts w:ascii="Arial" w:hAnsi="Arial" w:cs="Arial"/>
          <w:sz w:val="20"/>
          <w:szCs w:val="20"/>
        </w:rPr>
        <w:t xml:space="preserve"> </w:t>
      </w:r>
      <w:fldSimple w:instr=" REF _Ref103264795 \r \h  \* MERGEFORMAT ">
        <w:r w:rsidR="00D33A5D" w:rsidRPr="00D33A5D">
          <w:rPr>
            <w:rFonts w:ascii="Arial" w:hAnsi="Arial" w:cs="Arial"/>
            <w:sz w:val="20"/>
            <w:szCs w:val="20"/>
          </w:rPr>
          <w:t>236</w:t>
        </w:r>
      </w:fldSimple>
      <w:r w:rsidR="00FC6A30" w:rsidRPr="00AC4AEA">
        <w:rPr>
          <w:rFonts w:ascii="Arial" w:hAnsi="Arial" w:cs="Arial"/>
          <w:sz w:val="20"/>
          <w:szCs w:val="20"/>
        </w:rPr>
        <w:t>;</w:t>
      </w:r>
      <w:r w:rsidR="003F1354" w:rsidRPr="00AC4AEA">
        <w:rPr>
          <w:rFonts w:ascii="Arial" w:hAnsi="Arial" w:cs="Arial"/>
          <w:sz w:val="20"/>
          <w:szCs w:val="20"/>
        </w:rPr>
        <w:t xml:space="preserve"> y</w:t>
      </w:r>
      <w:r w:rsidR="0069742B" w:rsidRPr="00AC4AEA">
        <w:rPr>
          <w:rFonts w:ascii="Arial" w:hAnsi="Arial" w:cs="Arial"/>
          <w:sz w:val="20"/>
          <w:szCs w:val="20"/>
        </w:rPr>
        <w:t xml:space="preserve"> </w:t>
      </w:r>
    </w:p>
    <w:bookmarkEnd w:id="356"/>
    <w:p w:rsidR="0069742B" w:rsidRPr="00AC4AEA" w:rsidRDefault="0069742B" w:rsidP="00A318EA">
      <w:pPr>
        <w:pStyle w:val="Prrafodelista"/>
        <w:numPr>
          <w:ilvl w:val="0"/>
          <w:numId w:val="328"/>
        </w:numPr>
        <w:ind w:left="1560"/>
        <w:contextualSpacing w:val="0"/>
        <w:jc w:val="both"/>
        <w:rPr>
          <w:rFonts w:ascii="Arial" w:hAnsi="Arial" w:cs="Arial"/>
          <w:sz w:val="20"/>
          <w:szCs w:val="20"/>
        </w:rPr>
      </w:pPr>
      <w:r w:rsidRPr="00AC4AEA">
        <w:rPr>
          <w:rFonts w:ascii="Arial" w:hAnsi="Arial" w:cs="Arial"/>
          <w:sz w:val="20"/>
          <w:szCs w:val="20"/>
        </w:rPr>
        <w:t>emit</w:t>
      </w:r>
      <w:r w:rsidR="00483573" w:rsidRPr="00AC4AEA">
        <w:rPr>
          <w:rFonts w:ascii="Arial" w:hAnsi="Arial" w:cs="Arial"/>
          <w:sz w:val="20"/>
          <w:szCs w:val="20"/>
        </w:rPr>
        <w:t>ió</w:t>
      </w:r>
      <w:r w:rsidRPr="00AC4AEA">
        <w:rPr>
          <w:rFonts w:ascii="Arial" w:hAnsi="Arial" w:cs="Arial"/>
          <w:sz w:val="20"/>
          <w:szCs w:val="20"/>
        </w:rPr>
        <w:t xml:space="preserve"> las facturas </w:t>
      </w:r>
      <w:r w:rsidR="009C2980" w:rsidRPr="00AC4AEA">
        <w:rPr>
          <w:rFonts w:ascii="Arial" w:hAnsi="Arial" w:cs="Arial"/>
          <w:sz w:val="20"/>
          <w:szCs w:val="20"/>
        </w:rPr>
        <w:t>o documentos similares</w:t>
      </w:r>
      <w:r w:rsidRPr="00AC4AEA">
        <w:rPr>
          <w:rFonts w:ascii="Arial" w:hAnsi="Arial" w:cs="Arial"/>
          <w:sz w:val="20"/>
          <w:szCs w:val="20"/>
        </w:rPr>
        <w:t>.</w:t>
      </w:r>
    </w:p>
    <w:p w:rsidR="0069742B" w:rsidRPr="00AC4AEA" w:rsidRDefault="0069742B" w:rsidP="00A318EA">
      <w:pPr>
        <w:pStyle w:val="Prrafodelista"/>
        <w:numPr>
          <w:ilvl w:val="0"/>
          <w:numId w:val="29"/>
        </w:numPr>
        <w:contextualSpacing w:val="0"/>
        <w:jc w:val="both"/>
        <w:rPr>
          <w:rFonts w:ascii="Arial" w:hAnsi="Arial" w:cs="Arial"/>
          <w:sz w:val="20"/>
          <w:szCs w:val="20"/>
        </w:rPr>
      </w:pPr>
      <w:bookmarkStart w:id="357" w:name="_Ref102839546"/>
      <w:r w:rsidRPr="00AC4AEA">
        <w:rPr>
          <w:rFonts w:ascii="Arial" w:hAnsi="Arial" w:cs="Arial"/>
          <w:sz w:val="20"/>
          <w:szCs w:val="20"/>
        </w:rPr>
        <w:t xml:space="preserve">Una entidad reconocerá un derecho </w:t>
      </w:r>
      <w:r w:rsidR="00C34C9C" w:rsidRPr="00AC4AEA">
        <w:rPr>
          <w:rFonts w:ascii="Arial" w:hAnsi="Arial" w:cs="Arial"/>
          <w:sz w:val="20"/>
          <w:szCs w:val="20"/>
        </w:rPr>
        <w:t>de</w:t>
      </w:r>
      <w:r w:rsidRPr="00AC4AEA">
        <w:rPr>
          <w:rFonts w:ascii="Arial" w:hAnsi="Arial" w:cs="Arial"/>
          <w:sz w:val="20"/>
          <w:szCs w:val="20"/>
        </w:rPr>
        <w:t xml:space="preserve"> facturar a clientes</w:t>
      </w:r>
      <w:r w:rsidR="003F1354" w:rsidRPr="00AC4AEA">
        <w:rPr>
          <w:rFonts w:ascii="Arial" w:hAnsi="Arial" w:cs="Arial"/>
          <w:sz w:val="20"/>
          <w:szCs w:val="20"/>
        </w:rPr>
        <w:t xml:space="preserve"> como un </w:t>
      </w:r>
      <w:r w:rsidR="003F1354" w:rsidRPr="00AC4AEA">
        <w:rPr>
          <w:rFonts w:ascii="Arial" w:hAnsi="Arial" w:cs="Arial"/>
          <w:b/>
          <w:bCs/>
          <w:sz w:val="20"/>
          <w:szCs w:val="20"/>
        </w:rPr>
        <w:t>activo</w:t>
      </w:r>
      <w:r w:rsidRPr="00AC4AEA">
        <w:rPr>
          <w:rFonts w:ascii="Arial" w:hAnsi="Arial" w:cs="Arial"/>
          <w:sz w:val="20"/>
          <w:szCs w:val="20"/>
        </w:rPr>
        <w:t xml:space="preserve"> cuando:</w:t>
      </w:r>
      <w:bookmarkEnd w:id="357"/>
    </w:p>
    <w:p w:rsidR="00483573" w:rsidRPr="00AC4AEA" w:rsidRDefault="00FC6A30" w:rsidP="00A318EA">
      <w:pPr>
        <w:pStyle w:val="Prrafodelista"/>
        <w:numPr>
          <w:ilvl w:val="0"/>
          <w:numId w:val="335"/>
        </w:numPr>
        <w:ind w:left="1560"/>
        <w:contextualSpacing w:val="0"/>
        <w:jc w:val="both"/>
        <w:rPr>
          <w:rFonts w:ascii="Arial" w:hAnsi="Arial" w:cs="Arial"/>
          <w:sz w:val="20"/>
          <w:szCs w:val="20"/>
        </w:rPr>
      </w:pPr>
      <w:r w:rsidRPr="00AC4AEA">
        <w:rPr>
          <w:rFonts w:ascii="Arial" w:hAnsi="Arial" w:cs="Arial"/>
          <w:sz w:val="20"/>
          <w:szCs w:val="20"/>
        </w:rPr>
        <w:t xml:space="preserve">se cumple la definición general del párrafo </w:t>
      </w:r>
      <w:fldSimple w:instr=" REF _Ref106701972 \r \h  \* MERGEFORMAT ">
        <w:r w:rsidR="00D33A5D" w:rsidRPr="00D33A5D">
          <w:rPr>
            <w:rFonts w:ascii="Arial" w:hAnsi="Arial" w:cs="Arial"/>
            <w:sz w:val="20"/>
            <w:szCs w:val="20"/>
          </w:rPr>
          <w:t>22</w:t>
        </w:r>
      </w:fldSimple>
      <w:r w:rsidRPr="00AC4AEA">
        <w:rPr>
          <w:rFonts w:ascii="Arial" w:hAnsi="Arial" w:cs="Arial"/>
          <w:sz w:val="20"/>
          <w:szCs w:val="20"/>
        </w:rPr>
        <w:t xml:space="preserve"> y la definición específica contenida en el párrafo </w:t>
      </w:r>
      <w:fldSimple w:instr=" REF _Ref103264795 \r \h  \* MERGEFORMAT ">
        <w:r w:rsidR="00D33A5D" w:rsidRPr="00D33A5D">
          <w:rPr>
            <w:rFonts w:ascii="Arial" w:hAnsi="Arial" w:cs="Arial"/>
            <w:sz w:val="20"/>
            <w:szCs w:val="20"/>
          </w:rPr>
          <w:t>236</w:t>
        </w:r>
      </w:fldSimple>
      <w:r w:rsidR="00483573" w:rsidRPr="00AC4AEA">
        <w:rPr>
          <w:rFonts w:ascii="Arial" w:hAnsi="Arial" w:cs="Arial"/>
          <w:sz w:val="20"/>
          <w:szCs w:val="20"/>
        </w:rPr>
        <w:t>;</w:t>
      </w:r>
    </w:p>
    <w:p w:rsidR="0069742B" w:rsidRPr="00AC4AEA" w:rsidRDefault="003F1354" w:rsidP="00A318EA">
      <w:pPr>
        <w:pStyle w:val="Prrafodelista"/>
        <w:numPr>
          <w:ilvl w:val="0"/>
          <w:numId w:val="335"/>
        </w:numPr>
        <w:ind w:left="1560"/>
        <w:contextualSpacing w:val="0"/>
        <w:jc w:val="both"/>
        <w:rPr>
          <w:rFonts w:ascii="Arial" w:hAnsi="Arial" w:cs="Arial"/>
          <w:sz w:val="20"/>
          <w:szCs w:val="20"/>
        </w:rPr>
      </w:pPr>
      <w:r w:rsidRPr="00AC4AEA">
        <w:rPr>
          <w:rFonts w:ascii="Arial" w:hAnsi="Arial" w:cs="Arial"/>
          <w:sz w:val="20"/>
          <w:szCs w:val="20"/>
        </w:rPr>
        <w:t xml:space="preserve">reconoció </w:t>
      </w:r>
      <w:r w:rsidRPr="00AC4AEA">
        <w:rPr>
          <w:rFonts w:ascii="Arial" w:hAnsi="Arial" w:cs="Arial"/>
          <w:b/>
          <w:bCs/>
          <w:sz w:val="20"/>
          <w:szCs w:val="20"/>
        </w:rPr>
        <w:t>ingresos de actividades ordinarias</w:t>
      </w:r>
      <w:r w:rsidR="00C67B1D" w:rsidRPr="00AC4AEA">
        <w:rPr>
          <w:rFonts w:ascii="Arial" w:hAnsi="Arial" w:cs="Arial"/>
          <w:bCs/>
          <w:sz w:val="20"/>
          <w:szCs w:val="20"/>
        </w:rPr>
        <w:t xml:space="preserve"> de acuerdo con lo indicado en los párrafos</w:t>
      </w:r>
      <w:r w:rsidR="00040B88">
        <w:rPr>
          <w:rFonts w:ascii="Arial" w:hAnsi="Arial" w:cs="Arial"/>
          <w:sz w:val="20"/>
          <w:szCs w:val="20"/>
        </w:rPr>
        <w:t xml:space="preserve"> </w:t>
      </w:r>
      <w:r w:rsidR="001C4138">
        <w:rPr>
          <w:rFonts w:ascii="Arial" w:hAnsi="Arial" w:cs="Arial"/>
          <w:sz w:val="20"/>
          <w:szCs w:val="20"/>
        </w:rPr>
        <w:fldChar w:fldCharType="begin"/>
      </w:r>
      <w:r w:rsidR="00040B88">
        <w:rPr>
          <w:rFonts w:ascii="Arial" w:hAnsi="Arial" w:cs="Arial"/>
          <w:sz w:val="20"/>
          <w:szCs w:val="20"/>
        </w:rPr>
        <w:instrText xml:space="preserve"> REF _Ref129077804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522</w:t>
      </w:r>
      <w:r w:rsidR="001C4138">
        <w:rPr>
          <w:rFonts w:ascii="Arial" w:hAnsi="Arial" w:cs="Arial"/>
          <w:sz w:val="20"/>
          <w:szCs w:val="20"/>
        </w:rPr>
        <w:fldChar w:fldCharType="end"/>
      </w:r>
      <w:r w:rsidR="00C67B1D" w:rsidRPr="00AC4AEA">
        <w:rPr>
          <w:rFonts w:ascii="Arial" w:hAnsi="Arial" w:cs="Arial"/>
          <w:sz w:val="20"/>
          <w:szCs w:val="20"/>
        </w:rPr>
        <w:t xml:space="preserve"> a </w:t>
      </w:r>
      <w:fldSimple w:instr=" REF _Ref104535952 \r \h  \* MERGEFORMAT ">
        <w:r w:rsidR="00D33A5D" w:rsidRPr="00D33A5D">
          <w:rPr>
            <w:rFonts w:ascii="Arial" w:hAnsi="Arial" w:cs="Arial"/>
            <w:sz w:val="20"/>
            <w:szCs w:val="20"/>
          </w:rPr>
          <w:t>526</w:t>
        </w:r>
      </w:fldSimple>
      <w:r w:rsidR="0069742B" w:rsidRPr="00AC4AEA">
        <w:rPr>
          <w:rFonts w:ascii="Arial" w:hAnsi="Arial" w:cs="Arial"/>
          <w:sz w:val="20"/>
          <w:szCs w:val="20"/>
        </w:rPr>
        <w:t>; y</w:t>
      </w:r>
    </w:p>
    <w:p w:rsidR="0069742B" w:rsidRPr="00AC4AEA" w:rsidRDefault="0069742B" w:rsidP="00A318EA">
      <w:pPr>
        <w:pStyle w:val="Prrafodelista"/>
        <w:numPr>
          <w:ilvl w:val="0"/>
          <w:numId w:val="335"/>
        </w:numPr>
        <w:ind w:left="1560"/>
        <w:contextualSpacing w:val="0"/>
        <w:jc w:val="both"/>
        <w:rPr>
          <w:rFonts w:ascii="Arial" w:hAnsi="Arial" w:cs="Arial"/>
          <w:sz w:val="20"/>
          <w:szCs w:val="20"/>
        </w:rPr>
      </w:pPr>
      <w:r w:rsidRPr="00AC4AEA">
        <w:rPr>
          <w:rFonts w:ascii="Arial" w:hAnsi="Arial" w:cs="Arial"/>
          <w:sz w:val="20"/>
          <w:szCs w:val="20"/>
        </w:rPr>
        <w:t xml:space="preserve">no emitió las facturas </w:t>
      </w:r>
      <w:r w:rsidR="003F1354" w:rsidRPr="00AC4AEA">
        <w:rPr>
          <w:rFonts w:ascii="Arial" w:hAnsi="Arial" w:cs="Arial"/>
          <w:sz w:val="20"/>
          <w:szCs w:val="20"/>
        </w:rPr>
        <w:t>o documentos similares</w:t>
      </w:r>
      <w:r w:rsidRPr="00AC4AEA">
        <w:rPr>
          <w:rFonts w:ascii="Arial" w:hAnsi="Arial" w:cs="Arial"/>
          <w:sz w:val="20"/>
          <w:szCs w:val="20"/>
        </w:rPr>
        <w:t>.</w:t>
      </w:r>
    </w:p>
    <w:p w:rsidR="009C2980" w:rsidRPr="00AC4AEA" w:rsidRDefault="009C2980" w:rsidP="00A318EA">
      <w:pPr>
        <w:pStyle w:val="Prrafodelista"/>
        <w:numPr>
          <w:ilvl w:val="0"/>
          <w:numId w:val="29"/>
        </w:numPr>
        <w:contextualSpacing w:val="0"/>
        <w:jc w:val="both"/>
        <w:rPr>
          <w:rFonts w:ascii="Arial" w:hAnsi="Arial" w:cs="Arial"/>
          <w:sz w:val="20"/>
          <w:szCs w:val="20"/>
        </w:rPr>
      </w:pPr>
      <w:bookmarkStart w:id="358" w:name="_Ref103004021"/>
      <w:bookmarkStart w:id="359" w:name="_Ref102839588"/>
      <w:r w:rsidRPr="00AC4AEA">
        <w:rPr>
          <w:rFonts w:ascii="Arial" w:hAnsi="Arial" w:cs="Arial"/>
          <w:sz w:val="20"/>
          <w:szCs w:val="20"/>
        </w:rPr>
        <w:lastRenderedPageBreak/>
        <w:t xml:space="preserve">Una entidad reconocerá otros créditos en moneda como un </w:t>
      </w:r>
      <w:r w:rsidRPr="00AC4AEA">
        <w:rPr>
          <w:rFonts w:ascii="Arial" w:hAnsi="Arial" w:cs="Arial"/>
          <w:b/>
          <w:bCs/>
          <w:sz w:val="20"/>
          <w:szCs w:val="20"/>
        </w:rPr>
        <w:t>activo</w:t>
      </w:r>
      <w:r w:rsidRPr="00AC4AEA">
        <w:rPr>
          <w:rFonts w:ascii="Arial" w:hAnsi="Arial" w:cs="Arial"/>
          <w:sz w:val="20"/>
          <w:szCs w:val="20"/>
        </w:rPr>
        <w:t xml:space="preserve"> cuando se cumpl</w:t>
      </w:r>
      <w:r w:rsidR="00483573" w:rsidRPr="00AC4AEA">
        <w:rPr>
          <w:rFonts w:ascii="Arial" w:hAnsi="Arial" w:cs="Arial"/>
          <w:sz w:val="20"/>
          <w:szCs w:val="20"/>
        </w:rPr>
        <w:t>e</w:t>
      </w:r>
      <w:r w:rsidRPr="00AC4AEA">
        <w:rPr>
          <w:rFonts w:ascii="Arial" w:hAnsi="Arial" w:cs="Arial"/>
          <w:sz w:val="20"/>
          <w:szCs w:val="20"/>
        </w:rPr>
        <w:t xml:space="preserve"> </w:t>
      </w:r>
      <w:r w:rsidR="00FC6A30" w:rsidRPr="00AC4AEA">
        <w:rPr>
          <w:rFonts w:ascii="Arial" w:hAnsi="Arial" w:cs="Arial"/>
          <w:sz w:val="20"/>
          <w:szCs w:val="20"/>
        </w:rPr>
        <w:t xml:space="preserve">la definición general del párrafo </w:t>
      </w:r>
      <w:fldSimple w:instr=" REF _Ref106701972 \r \h  \* MERGEFORMAT ">
        <w:r w:rsidR="00D33A5D" w:rsidRPr="00D33A5D">
          <w:rPr>
            <w:rFonts w:ascii="Arial" w:hAnsi="Arial" w:cs="Arial"/>
            <w:sz w:val="20"/>
            <w:szCs w:val="20"/>
          </w:rPr>
          <w:t>22</w:t>
        </w:r>
      </w:fldSimple>
      <w:r w:rsidR="00FC6A30" w:rsidRPr="00AC4AEA">
        <w:rPr>
          <w:rFonts w:ascii="Arial" w:hAnsi="Arial" w:cs="Arial"/>
          <w:sz w:val="20"/>
          <w:szCs w:val="20"/>
        </w:rPr>
        <w:t xml:space="preserve"> y la definición específica contenida en el párrafo </w:t>
      </w:r>
      <w:fldSimple w:instr=" REF _Ref103264795 \r \h  \* MERGEFORMAT ">
        <w:r w:rsidR="00D33A5D" w:rsidRPr="00D33A5D">
          <w:rPr>
            <w:rFonts w:ascii="Arial" w:hAnsi="Arial" w:cs="Arial"/>
            <w:sz w:val="20"/>
            <w:szCs w:val="20"/>
          </w:rPr>
          <w:t>236</w:t>
        </w:r>
      </w:fldSimple>
      <w:r w:rsidRPr="00AC4AEA">
        <w:rPr>
          <w:rFonts w:ascii="Arial" w:hAnsi="Arial" w:cs="Arial"/>
          <w:sz w:val="20"/>
          <w:szCs w:val="20"/>
        </w:rPr>
        <w:t>.</w:t>
      </w:r>
      <w:bookmarkEnd w:id="358"/>
    </w:p>
    <w:p w:rsidR="004D669C" w:rsidRPr="00AC4AEA" w:rsidRDefault="002A7740" w:rsidP="00A318EA">
      <w:pPr>
        <w:pStyle w:val="Prrafodelista"/>
        <w:numPr>
          <w:ilvl w:val="0"/>
          <w:numId w:val="29"/>
        </w:numPr>
        <w:contextualSpacing w:val="0"/>
        <w:jc w:val="both"/>
        <w:rPr>
          <w:rFonts w:ascii="Arial" w:hAnsi="Arial" w:cs="Arial"/>
          <w:sz w:val="20"/>
          <w:szCs w:val="20"/>
        </w:rPr>
      </w:pPr>
      <w:bookmarkStart w:id="360" w:name="_Ref129077514"/>
      <w:bookmarkStart w:id="361" w:name="_Ref103004044"/>
      <w:r w:rsidRPr="00AC4AEA">
        <w:rPr>
          <w:rFonts w:ascii="Arial" w:hAnsi="Arial" w:cs="Arial"/>
          <w:sz w:val="20"/>
          <w:szCs w:val="20"/>
        </w:rPr>
        <w:t xml:space="preserve">Una entidad reconocerá un derecho de reembolso como un </w:t>
      </w:r>
      <w:r w:rsidRPr="00AC4AEA">
        <w:rPr>
          <w:rFonts w:ascii="Arial" w:hAnsi="Arial" w:cs="Arial"/>
          <w:b/>
          <w:bCs/>
          <w:sz w:val="20"/>
          <w:szCs w:val="20"/>
        </w:rPr>
        <w:t>activo</w:t>
      </w:r>
      <w:r w:rsidRPr="00AC4AEA">
        <w:rPr>
          <w:rFonts w:ascii="Arial" w:hAnsi="Arial" w:cs="Arial"/>
          <w:sz w:val="20"/>
          <w:szCs w:val="20"/>
        </w:rPr>
        <w:t xml:space="preserve"> cuando</w:t>
      </w:r>
      <w:r w:rsidR="004D669C" w:rsidRPr="00AC4AEA">
        <w:rPr>
          <w:rFonts w:ascii="Arial" w:hAnsi="Arial" w:cs="Arial"/>
          <w:sz w:val="20"/>
          <w:szCs w:val="20"/>
        </w:rPr>
        <w:t>:</w:t>
      </w:r>
      <w:bookmarkEnd w:id="360"/>
      <w:r w:rsidRPr="00AC4AEA">
        <w:rPr>
          <w:rFonts w:ascii="Arial" w:hAnsi="Arial" w:cs="Arial"/>
          <w:sz w:val="20"/>
          <w:szCs w:val="20"/>
        </w:rPr>
        <w:t xml:space="preserve"> </w:t>
      </w:r>
    </w:p>
    <w:p w:rsidR="004D669C" w:rsidRPr="00AC4AEA" w:rsidRDefault="004D669C" w:rsidP="00A318EA">
      <w:pPr>
        <w:pStyle w:val="Prrafodelista"/>
        <w:numPr>
          <w:ilvl w:val="0"/>
          <w:numId w:val="351"/>
        </w:numPr>
        <w:ind w:left="1560"/>
        <w:contextualSpacing w:val="0"/>
        <w:jc w:val="both"/>
        <w:rPr>
          <w:rFonts w:ascii="Arial" w:hAnsi="Arial" w:cs="Arial"/>
          <w:sz w:val="20"/>
          <w:szCs w:val="20"/>
        </w:rPr>
      </w:pPr>
      <w:r w:rsidRPr="00AC4AEA">
        <w:rPr>
          <w:rFonts w:ascii="Arial" w:hAnsi="Arial" w:cs="Arial"/>
          <w:sz w:val="20"/>
          <w:szCs w:val="20"/>
        </w:rPr>
        <w:t xml:space="preserve">exista un </w:t>
      </w:r>
      <w:r w:rsidRPr="00AC4AEA">
        <w:rPr>
          <w:rFonts w:ascii="Arial" w:hAnsi="Arial" w:cs="Arial"/>
          <w:b/>
          <w:bCs/>
          <w:sz w:val="20"/>
          <w:szCs w:val="20"/>
        </w:rPr>
        <w:t xml:space="preserve">pasivo </w:t>
      </w:r>
      <w:r w:rsidRPr="00AC4AEA">
        <w:rPr>
          <w:rFonts w:ascii="Arial" w:hAnsi="Arial" w:cs="Arial"/>
          <w:sz w:val="20"/>
          <w:szCs w:val="20"/>
        </w:rPr>
        <w:t>previamente reconocido que se relacione con tal derecho; y</w:t>
      </w:r>
    </w:p>
    <w:p w:rsidR="002A7740" w:rsidRPr="00AC4AEA" w:rsidRDefault="002A7740" w:rsidP="00A318EA">
      <w:pPr>
        <w:pStyle w:val="Prrafodelista"/>
        <w:numPr>
          <w:ilvl w:val="0"/>
          <w:numId w:val="351"/>
        </w:numPr>
        <w:ind w:left="1560"/>
        <w:contextualSpacing w:val="0"/>
        <w:jc w:val="both"/>
        <w:rPr>
          <w:rFonts w:ascii="Arial" w:hAnsi="Arial" w:cs="Arial"/>
          <w:sz w:val="20"/>
          <w:szCs w:val="20"/>
        </w:rPr>
      </w:pPr>
      <w:r w:rsidRPr="00AC4AEA">
        <w:rPr>
          <w:rFonts w:ascii="Arial" w:hAnsi="Arial" w:cs="Arial"/>
          <w:sz w:val="20"/>
          <w:szCs w:val="20"/>
        </w:rPr>
        <w:t>sea prácticamente segura su recepción una vez cumplida su obligación de efectuar un desembolso o pago.</w:t>
      </w:r>
      <w:bookmarkEnd w:id="359"/>
      <w:bookmarkEnd w:id="361"/>
    </w:p>
    <w:p w:rsidR="006C71BA" w:rsidRPr="00AC4AEA" w:rsidRDefault="006C71BA" w:rsidP="00A318EA">
      <w:pPr>
        <w:ind w:left="284"/>
        <w:jc w:val="both"/>
        <w:rPr>
          <w:rFonts w:ascii="Arial" w:hAnsi="Arial" w:cs="Arial"/>
          <w:b/>
          <w:bCs/>
          <w:sz w:val="20"/>
          <w:szCs w:val="20"/>
        </w:rPr>
      </w:pPr>
    </w:p>
    <w:p w:rsidR="006C71BA" w:rsidRPr="00AC4AEA" w:rsidRDefault="006C71BA" w:rsidP="00A318EA">
      <w:pPr>
        <w:pStyle w:val="Ttulo2"/>
        <w:rPr>
          <w:rFonts w:cs="Arial"/>
        </w:rPr>
      </w:pPr>
      <w:bookmarkStart w:id="362" w:name="_Toc101863814"/>
      <w:bookmarkStart w:id="363" w:name="_Toc139356681"/>
      <w:r w:rsidRPr="00AC4AEA">
        <w:rPr>
          <w:rFonts w:cs="Arial"/>
        </w:rPr>
        <w:t>Medición inicial</w:t>
      </w:r>
      <w:bookmarkEnd w:id="362"/>
      <w:bookmarkEnd w:id="363"/>
    </w:p>
    <w:p w:rsidR="006C71BA" w:rsidRPr="00AC4AEA" w:rsidRDefault="006C71BA" w:rsidP="00A318EA">
      <w:pPr>
        <w:pStyle w:val="Ttulo3"/>
      </w:pPr>
      <w:bookmarkStart w:id="364" w:name="_Toc101863815"/>
      <w:bookmarkStart w:id="365" w:name="_Toc139356682"/>
      <w:r w:rsidRPr="00AC4AEA">
        <w:t>Créditos en moneda originados en operaciones que generan ingresos de actividades ordinarias</w:t>
      </w:r>
      <w:bookmarkEnd w:id="364"/>
      <w:bookmarkEnd w:id="365"/>
    </w:p>
    <w:p w:rsidR="006C71BA" w:rsidRPr="00AC4AEA" w:rsidRDefault="006C71BA" w:rsidP="00A318EA">
      <w:pPr>
        <w:pStyle w:val="Prrafodelista"/>
        <w:numPr>
          <w:ilvl w:val="0"/>
          <w:numId w:val="29"/>
        </w:numPr>
        <w:contextualSpacing w:val="0"/>
        <w:jc w:val="both"/>
        <w:rPr>
          <w:rFonts w:ascii="Arial" w:hAnsi="Arial" w:cs="Arial"/>
          <w:sz w:val="20"/>
          <w:szCs w:val="20"/>
        </w:rPr>
      </w:pPr>
      <w:bookmarkStart w:id="366" w:name="_Ref99476054"/>
      <w:r w:rsidRPr="00AC4AEA">
        <w:rPr>
          <w:rFonts w:ascii="Arial" w:hAnsi="Arial" w:cs="Arial"/>
          <w:sz w:val="20"/>
          <w:szCs w:val="20"/>
        </w:rPr>
        <w:t xml:space="preserve">Una entidad medirá inicialmente los créditos en moneda originados en ventas de bienes, prestaciones de servicios u otras operaciones </w:t>
      </w:r>
      <w:r w:rsidR="002D3F72" w:rsidRPr="00AC4AEA">
        <w:rPr>
          <w:rFonts w:ascii="Arial" w:hAnsi="Arial" w:cs="Arial"/>
          <w:sz w:val="20"/>
          <w:szCs w:val="20"/>
        </w:rPr>
        <w:t xml:space="preserve">entre partes independientes </w:t>
      </w:r>
      <w:r w:rsidRPr="00AC4AEA">
        <w:rPr>
          <w:rFonts w:ascii="Arial" w:hAnsi="Arial" w:cs="Arial"/>
          <w:sz w:val="20"/>
          <w:szCs w:val="20"/>
        </w:rPr>
        <w:t xml:space="preserve">que generan </w:t>
      </w:r>
      <w:r w:rsidRPr="00AC4AEA">
        <w:rPr>
          <w:rFonts w:ascii="Arial" w:hAnsi="Arial" w:cs="Arial"/>
          <w:b/>
          <w:bCs/>
          <w:sz w:val="20"/>
          <w:szCs w:val="20"/>
        </w:rPr>
        <w:t>ingresos de actividades ordinarias</w:t>
      </w:r>
      <w:r w:rsidRPr="00AC4AEA">
        <w:rPr>
          <w:rFonts w:ascii="Arial" w:hAnsi="Arial" w:cs="Arial"/>
          <w:sz w:val="20"/>
          <w:szCs w:val="20"/>
        </w:rPr>
        <w:t>:</w:t>
      </w:r>
      <w:bookmarkEnd w:id="366"/>
    </w:p>
    <w:p w:rsidR="006C71BA" w:rsidRPr="00AC4AEA" w:rsidRDefault="006C71BA" w:rsidP="00A318EA">
      <w:pPr>
        <w:pStyle w:val="Prrafodelista"/>
        <w:numPr>
          <w:ilvl w:val="0"/>
          <w:numId w:val="338"/>
        </w:numPr>
        <w:ind w:left="1560"/>
        <w:contextualSpacing w:val="0"/>
        <w:jc w:val="both"/>
        <w:rPr>
          <w:rFonts w:ascii="Arial" w:hAnsi="Arial" w:cs="Arial"/>
          <w:sz w:val="20"/>
          <w:szCs w:val="20"/>
        </w:rPr>
      </w:pPr>
      <w:r w:rsidRPr="00AC4AEA">
        <w:rPr>
          <w:rFonts w:ascii="Arial" w:hAnsi="Arial" w:cs="Arial"/>
          <w:sz w:val="20"/>
          <w:szCs w:val="20"/>
        </w:rPr>
        <w:t xml:space="preserve">Al valor contado de la operación, cuando </w:t>
      </w:r>
      <w:r w:rsidR="002A4C4E" w:rsidRPr="00AC4AEA">
        <w:rPr>
          <w:rFonts w:ascii="Arial" w:hAnsi="Arial" w:cs="Arial"/>
          <w:sz w:val="20"/>
          <w:szCs w:val="20"/>
        </w:rPr>
        <w:t xml:space="preserve">pacte </w:t>
      </w:r>
      <w:r w:rsidRPr="00AC4AEA">
        <w:rPr>
          <w:rFonts w:ascii="Arial" w:hAnsi="Arial" w:cs="Arial"/>
          <w:b/>
          <w:bCs/>
          <w:sz w:val="20"/>
          <w:szCs w:val="20"/>
        </w:rPr>
        <w:t>componentes financieros explícitos</w:t>
      </w:r>
      <w:r w:rsidRPr="00AC4AEA">
        <w:rPr>
          <w:rFonts w:ascii="Arial" w:hAnsi="Arial" w:cs="Arial"/>
          <w:sz w:val="20"/>
          <w:szCs w:val="20"/>
        </w:rPr>
        <w:t>.</w:t>
      </w:r>
    </w:p>
    <w:p w:rsidR="006C71BA" w:rsidRPr="00AC4AEA" w:rsidRDefault="006C71BA" w:rsidP="00A318EA">
      <w:pPr>
        <w:pStyle w:val="Prrafodelista"/>
        <w:numPr>
          <w:ilvl w:val="0"/>
          <w:numId w:val="338"/>
        </w:numPr>
        <w:ind w:left="1560"/>
        <w:contextualSpacing w:val="0"/>
        <w:jc w:val="both"/>
        <w:rPr>
          <w:rFonts w:ascii="Arial" w:hAnsi="Arial" w:cs="Arial"/>
          <w:sz w:val="20"/>
          <w:szCs w:val="20"/>
        </w:rPr>
      </w:pPr>
      <w:r w:rsidRPr="00AC4AEA">
        <w:rPr>
          <w:rFonts w:ascii="Arial" w:hAnsi="Arial" w:cs="Arial"/>
          <w:sz w:val="20"/>
          <w:szCs w:val="20"/>
        </w:rPr>
        <w:t xml:space="preserve">A su valor nominal, cuando no segregue </w:t>
      </w:r>
      <w:r w:rsidRPr="00AC4AEA">
        <w:rPr>
          <w:rFonts w:ascii="Arial" w:hAnsi="Arial" w:cs="Arial"/>
          <w:b/>
          <w:bCs/>
          <w:sz w:val="20"/>
          <w:szCs w:val="20"/>
        </w:rPr>
        <w:t>componentes financieros implícitos</w:t>
      </w:r>
      <w:r w:rsidRPr="00AC4AEA">
        <w:rPr>
          <w:rFonts w:ascii="Arial" w:hAnsi="Arial" w:cs="Arial"/>
          <w:sz w:val="20"/>
          <w:szCs w:val="20"/>
        </w:rPr>
        <w:t xml:space="preserve">, de acuerdo con lo establecido en </w:t>
      </w:r>
      <w:r w:rsidR="00E610AF" w:rsidRPr="00AC4AEA">
        <w:rPr>
          <w:rFonts w:ascii="Arial" w:hAnsi="Arial" w:cs="Arial"/>
          <w:sz w:val="20"/>
          <w:szCs w:val="20"/>
        </w:rPr>
        <w:t>el apartado</w:t>
      </w:r>
      <w:r w:rsidRPr="00AC4AEA">
        <w:rPr>
          <w:rFonts w:ascii="Arial" w:hAnsi="Arial" w:cs="Arial"/>
          <w:sz w:val="20"/>
          <w:szCs w:val="20"/>
        </w:rPr>
        <w:t xml:space="preserve"> “</w:t>
      </w:r>
      <w:r w:rsidRPr="00AC4AEA">
        <w:rPr>
          <w:rFonts w:ascii="Arial" w:hAnsi="Arial" w:cs="Arial"/>
          <w:sz w:val="20"/>
          <w:szCs w:val="20"/>
          <w:u w:val="single"/>
        </w:rPr>
        <w:t>Segregación de componentes financieros implícitos</w:t>
      </w:r>
      <w:r w:rsidRPr="00AC4AEA">
        <w:rPr>
          <w:rFonts w:ascii="Arial" w:hAnsi="Arial" w:cs="Arial"/>
          <w:sz w:val="20"/>
          <w:szCs w:val="20"/>
        </w:rPr>
        <w:t>”</w:t>
      </w:r>
      <w:r w:rsidR="00DF33FC"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00DF33FC"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00DF33FC" w:rsidRPr="00AC4AEA">
        <w:rPr>
          <w:rFonts w:ascii="Arial" w:hAnsi="Arial" w:cs="Arial"/>
          <w:sz w:val="20"/>
          <w:szCs w:val="20"/>
        </w:rPr>
        <w:t>]</w:t>
      </w:r>
      <w:r w:rsidRPr="00AC4AEA">
        <w:rPr>
          <w:rFonts w:ascii="Arial" w:hAnsi="Arial" w:cs="Arial"/>
          <w:sz w:val="20"/>
          <w:szCs w:val="20"/>
        </w:rPr>
        <w:t>.</w:t>
      </w:r>
    </w:p>
    <w:p w:rsidR="002A7740" w:rsidRPr="00AC4AEA" w:rsidRDefault="006C71BA" w:rsidP="00A318EA">
      <w:pPr>
        <w:pStyle w:val="Prrafodelista"/>
        <w:numPr>
          <w:ilvl w:val="0"/>
          <w:numId w:val="338"/>
        </w:numPr>
        <w:ind w:left="1560"/>
        <w:contextualSpacing w:val="0"/>
        <w:jc w:val="both"/>
        <w:rPr>
          <w:rFonts w:ascii="Arial" w:hAnsi="Arial" w:cs="Arial"/>
          <w:sz w:val="20"/>
          <w:szCs w:val="20"/>
        </w:rPr>
      </w:pPr>
      <w:r w:rsidRPr="00AC4AEA">
        <w:rPr>
          <w:rFonts w:ascii="Arial" w:hAnsi="Arial" w:cs="Arial"/>
          <w:sz w:val="20"/>
          <w:szCs w:val="20"/>
        </w:rPr>
        <w:t xml:space="preserve">Al valor descontado de los flujos de efectivo futuros o al precio contado cuando segregue </w:t>
      </w:r>
      <w:r w:rsidRPr="00AC4AEA">
        <w:rPr>
          <w:rFonts w:ascii="Arial" w:hAnsi="Arial" w:cs="Arial"/>
          <w:b/>
          <w:bCs/>
          <w:sz w:val="20"/>
          <w:szCs w:val="20"/>
        </w:rPr>
        <w:t>componentes financieros implícitos</w:t>
      </w:r>
      <w:r w:rsidRPr="00AC4AEA">
        <w:rPr>
          <w:rFonts w:ascii="Arial" w:hAnsi="Arial" w:cs="Arial"/>
          <w:sz w:val="20"/>
          <w:szCs w:val="20"/>
        </w:rPr>
        <w:t xml:space="preserve">, según lo establecido en </w:t>
      </w:r>
      <w:r w:rsidR="00E610AF" w:rsidRPr="00AC4AEA">
        <w:rPr>
          <w:rFonts w:ascii="Arial" w:hAnsi="Arial" w:cs="Arial"/>
          <w:sz w:val="20"/>
          <w:szCs w:val="20"/>
        </w:rPr>
        <w:t>el apartado</w:t>
      </w:r>
      <w:r w:rsidRPr="00AC4AEA">
        <w:rPr>
          <w:rFonts w:ascii="Arial" w:hAnsi="Arial" w:cs="Arial"/>
          <w:sz w:val="20"/>
          <w:szCs w:val="20"/>
        </w:rPr>
        <w:t xml:space="preserve"> “</w:t>
      </w:r>
      <w:r w:rsidRPr="00AC4AEA">
        <w:rPr>
          <w:rFonts w:ascii="Arial" w:hAnsi="Arial" w:cs="Arial"/>
          <w:sz w:val="20"/>
          <w:szCs w:val="20"/>
          <w:u w:val="single"/>
        </w:rPr>
        <w:t>Segregación de componentes financieros implícitos</w:t>
      </w:r>
      <w:r w:rsidRPr="00AC4AEA">
        <w:rPr>
          <w:rFonts w:ascii="Arial" w:hAnsi="Arial" w:cs="Arial"/>
          <w:sz w:val="20"/>
          <w:szCs w:val="20"/>
        </w:rPr>
        <w:t>”</w:t>
      </w:r>
      <w:r w:rsidR="00DF33FC"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00DF33FC"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00DF33FC" w:rsidRPr="00AC4AEA">
        <w:rPr>
          <w:rFonts w:ascii="Arial" w:hAnsi="Arial" w:cs="Arial"/>
          <w:sz w:val="20"/>
          <w:szCs w:val="20"/>
        </w:rPr>
        <w:t>].</w:t>
      </w:r>
    </w:p>
    <w:p w:rsidR="006C71BA" w:rsidRPr="00AC4AEA" w:rsidRDefault="006C71BA" w:rsidP="00A318EA">
      <w:pPr>
        <w:pStyle w:val="A-doctorado"/>
        <w:jc w:val="both"/>
        <w:rPr>
          <w:rFonts w:ascii="Arial" w:hAnsi="Arial"/>
          <w:color w:val="auto"/>
          <w:sz w:val="20"/>
          <w:szCs w:val="20"/>
        </w:rPr>
      </w:pPr>
    </w:p>
    <w:p w:rsidR="006C71BA" w:rsidRPr="00AC4AEA" w:rsidRDefault="006C71BA" w:rsidP="00A318EA">
      <w:pPr>
        <w:pStyle w:val="Ttulo3"/>
      </w:pPr>
      <w:bookmarkStart w:id="367" w:name="_Toc101863816"/>
      <w:bookmarkStart w:id="368" w:name="_Toc139356683"/>
      <w:r w:rsidRPr="00AC4AEA">
        <w:t>Créditos en moneda originados en transacciones financieras</w:t>
      </w:r>
      <w:bookmarkEnd w:id="367"/>
      <w:bookmarkEnd w:id="368"/>
    </w:p>
    <w:p w:rsidR="007F4786" w:rsidRPr="00AC4AEA" w:rsidRDefault="007F4786" w:rsidP="00A318EA">
      <w:pPr>
        <w:pStyle w:val="Prrafodelista"/>
        <w:numPr>
          <w:ilvl w:val="0"/>
          <w:numId w:val="29"/>
        </w:numPr>
        <w:contextualSpacing w:val="0"/>
        <w:jc w:val="both"/>
        <w:rPr>
          <w:rFonts w:ascii="Arial" w:hAnsi="Arial" w:cs="Arial"/>
          <w:sz w:val="20"/>
          <w:szCs w:val="20"/>
        </w:rPr>
      </w:pPr>
      <w:bookmarkStart w:id="369" w:name="_Ref132011942"/>
      <w:r w:rsidRPr="00AC4AEA">
        <w:rPr>
          <w:rFonts w:ascii="Arial" w:hAnsi="Arial" w:cs="Arial"/>
          <w:sz w:val="20"/>
          <w:szCs w:val="20"/>
        </w:rPr>
        <w:t xml:space="preserve">Una entidad medirá inicialmente los créditos en moneda originados en </w:t>
      </w:r>
      <w:r w:rsidRPr="00AC4AEA">
        <w:rPr>
          <w:rFonts w:ascii="Arial" w:hAnsi="Arial" w:cs="Arial"/>
          <w:b/>
          <w:bCs/>
          <w:sz w:val="20"/>
          <w:szCs w:val="20"/>
        </w:rPr>
        <w:t>transacciones financieras</w:t>
      </w:r>
      <w:r w:rsidR="00C67B1D" w:rsidRPr="00AC4AEA">
        <w:rPr>
          <w:rFonts w:ascii="Arial" w:hAnsi="Arial" w:cs="Arial"/>
          <w:b/>
          <w:bCs/>
          <w:sz w:val="20"/>
          <w:szCs w:val="20"/>
        </w:rPr>
        <w:t xml:space="preserve"> </w:t>
      </w:r>
      <w:r w:rsidR="00C67B1D" w:rsidRPr="00AC4AEA">
        <w:rPr>
          <w:rFonts w:ascii="Arial" w:hAnsi="Arial" w:cs="Arial"/>
          <w:sz w:val="20"/>
          <w:szCs w:val="20"/>
        </w:rPr>
        <w:t>entre partes independientes</w:t>
      </w:r>
      <w:r w:rsidRPr="00AC4AEA">
        <w:rPr>
          <w:rFonts w:ascii="Arial" w:hAnsi="Arial" w:cs="Arial"/>
          <w:sz w:val="20"/>
          <w:szCs w:val="20"/>
        </w:rPr>
        <w:t>:</w:t>
      </w:r>
      <w:bookmarkEnd w:id="369"/>
    </w:p>
    <w:p w:rsidR="007F4786" w:rsidRPr="00AC4AEA" w:rsidRDefault="007F4786" w:rsidP="00A318EA">
      <w:pPr>
        <w:pStyle w:val="Prrafodelista"/>
        <w:numPr>
          <w:ilvl w:val="0"/>
          <w:numId w:val="409"/>
        </w:numPr>
        <w:ind w:left="1560"/>
        <w:contextualSpacing w:val="0"/>
        <w:jc w:val="both"/>
        <w:rPr>
          <w:rFonts w:ascii="Arial" w:hAnsi="Arial" w:cs="Arial"/>
          <w:sz w:val="20"/>
          <w:szCs w:val="20"/>
        </w:rPr>
      </w:pPr>
      <w:r w:rsidRPr="00AC4AEA">
        <w:rPr>
          <w:rFonts w:ascii="Arial" w:hAnsi="Arial" w:cs="Arial"/>
          <w:sz w:val="20"/>
          <w:szCs w:val="20"/>
        </w:rPr>
        <w:t>Por el valor de las sumas entregadas (</w:t>
      </w:r>
      <w:r w:rsidR="00347C86" w:rsidRPr="00AC4AEA">
        <w:rPr>
          <w:rFonts w:ascii="Arial" w:hAnsi="Arial" w:cs="Arial"/>
          <w:sz w:val="20"/>
          <w:szCs w:val="20"/>
        </w:rPr>
        <w:t>considerando</w:t>
      </w:r>
      <w:r w:rsidRPr="00AC4AEA">
        <w:rPr>
          <w:rFonts w:ascii="Arial" w:hAnsi="Arial" w:cs="Arial"/>
          <w:sz w:val="20"/>
          <w:szCs w:val="20"/>
        </w:rPr>
        <w:t xml:space="preserve"> los gastos</w:t>
      </w:r>
      <w:r w:rsidR="00347C86" w:rsidRPr="00AC4AEA">
        <w:rPr>
          <w:rFonts w:ascii="Arial" w:hAnsi="Arial" w:cs="Arial"/>
          <w:sz w:val="20"/>
          <w:szCs w:val="20"/>
        </w:rPr>
        <w:t xml:space="preserve"> incrementales</w:t>
      </w:r>
      <w:r w:rsidRPr="00AC4AEA">
        <w:rPr>
          <w:rFonts w:ascii="Arial" w:hAnsi="Arial" w:cs="Arial"/>
          <w:sz w:val="20"/>
          <w:szCs w:val="20"/>
        </w:rPr>
        <w:t>), cuando:</w:t>
      </w:r>
    </w:p>
    <w:p w:rsidR="007F4786" w:rsidRPr="00AC4AEA" w:rsidRDefault="007F4786" w:rsidP="00A318EA">
      <w:pPr>
        <w:pStyle w:val="Prrafodelista"/>
        <w:numPr>
          <w:ilvl w:val="0"/>
          <w:numId w:val="410"/>
        </w:numPr>
        <w:ind w:left="1985"/>
        <w:contextualSpacing w:val="0"/>
        <w:jc w:val="both"/>
        <w:rPr>
          <w:rFonts w:ascii="Arial" w:hAnsi="Arial" w:cs="Arial"/>
          <w:sz w:val="20"/>
          <w:szCs w:val="20"/>
        </w:rPr>
      </w:pPr>
      <w:r w:rsidRPr="00AC4AEA">
        <w:rPr>
          <w:rFonts w:ascii="Arial" w:hAnsi="Arial" w:cs="Arial"/>
          <w:sz w:val="20"/>
          <w:szCs w:val="20"/>
        </w:rPr>
        <w:t>la entidad es pequeña</w:t>
      </w:r>
      <w:r w:rsidR="00C60495" w:rsidRPr="00AC4AEA">
        <w:rPr>
          <w:rFonts w:ascii="Arial" w:hAnsi="Arial" w:cs="Arial"/>
          <w:sz w:val="20"/>
          <w:szCs w:val="20"/>
        </w:rPr>
        <w:t xml:space="preserve">, excepto que opte por la </w:t>
      </w:r>
      <w:r w:rsidR="00C60495" w:rsidRPr="00AC4AEA">
        <w:rPr>
          <w:rFonts w:ascii="Arial" w:hAnsi="Arial" w:cs="Arial"/>
          <w:b/>
          <w:bCs/>
          <w:sz w:val="20"/>
          <w:szCs w:val="20"/>
        </w:rPr>
        <w:t>política contable</w:t>
      </w:r>
      <w:r w:rsidR="00C60495" w:rsidRPr="00AC4AEA">
        <w:rPr>
          <w:rFonts w:ascii="Arial" w:hAnsi="Arial" w:cs="Arial"/>
          <w:sz w:val="20"/>
          <w:szCs w:val="20"/>
        </w:rPr>
        <w:t xml:space="preserve"> referida en el inciso b) siguiente</w:t>
      </w:r>
      <w:r w:rsidRPr="00AC4AEA">
        <w:rPr>
          <w:rFonts w:ascii="Arial" w:hAnsi="Arial" w:cs="Arial"/>
          <w:sz w:val="20"/>
          <w:szCs w:val="20"/>
        </w:rPr>
        <w:t xml:space="preserve">; </w:t>
      </w:r>
    </w:p>
    <w:p w:rsidR="007F4786" w:rsidRPr="00AC4AEA" w:rsidRDefault="007F4786" w:rsidP="00A318EA">
      <w:pPr>
        <w:pStyle w:val="Prrafodelista"/>
        <w:numPr>
          <w:ilvl w:val="0"/>
          <w:numId w:val="410"/>
        </w:numPr>
        <w:ind w:left="1985"/>
        <w:contextualSpacing w:val="0"/>
        <w:jc w:val="both"/>
        <w:rPr>
          <w:rFonts w:ascii="Arial" w:hAnsi="Arial" w:cs="Arial"/>
          <w:sz w:val="20"/>
          <w:szCs w:val="20"/>
        </w:rPr>
      </w:pPr>
      <w:r w:rsidRPr="00AC4AEA">
        <w:rPr>
          <w:rFonts w:ascii="Arial" w:hAnsi="Arial" w:cs="Arial"/>
          <w:sz w:val="20"/>
          <w:szCs w:val="20"/>
        </w:rPr>
        <w:t xml:space="preserve">la tasa de interés pactada no difiere significativamente del tipo de mercado para transacciones similares; </w:t>
      </w:r>
      <w:r w:rsidR="009429CC" w:rsidRPr="00AC4AEA">
        <w:rPr>
          <w:rFonts w:ascii="Arial" w:hAnsi="Arial" w:cs="Arial"/>
          <w:sz w:val="20"/>
          <w:szCs w:val="20"/>
        </w:rPr>
        <w:t>o</w:t>
      </w:r>
    </w:p>
    <w:p w:rsidR="007F4786" w:rsidRPr="00AC4AEA" w:rsidRDefault="007F4786" w:rsidP="00A318EA">
      <w:pPr>
        <w:pStyle w:val="Prrafodelista"/>
        <w:numPr>
          <w:ilvl w:val="0"/>
          <w:numId w:val="410"/>
        </w:numPr>
        <w:ind w:left="1985"/>
        <w:contextualSpacing w:val="0"/>
        <w:jc w:val="both"/>
        <w:rPr>
          <w:rFonts w:ascii="Arial" w:hAnsi="Arial" w:cs="Arial"/>
          <w:sz w:val="20"/>
          <w:szCs w:val="20"/>
        </w:rPr>
      </w:pPr>
      <w:r w:rsidRPr="00AC4AEA">
        <w:rPr>
          <w:rFonts w:ascii="Arial" w:hAnsi="Arial" w:cs="Arial"/>
          <w:sz w:val="20"/>
          <w:szCs w:val="20"/>
        </w:rPr>
        <w:t xml:space="preserve">la totalidad de las cuotas pactadas vence en un plazo máximo de doce meses, contado desde la fecha de la operación, excepto que opte por la </w:t>
      </w:r>
      <w:r w:rsidRPr="00AC4AEA">
        <w:rPr>
          <w:rFonts w:ascii="Arial" w:hAnsi="Arial" w:cs="Arial"/>
          <w:b/>
          <w:bCs/>
          <w:sz w:val="20"/>
          <w:szCs w:val="20"/>
        </w:rPr>
        <w:t>política contable</w:t>
      </w:r>
      <w:r w:rsidRPr="00AC4AEA">
        <w:rPr>
          <w:rFonts w:ascii="Arial" w:hAnsi="Arial" w:cs="Arial"/>
          <w:sz w:val="20"/>
          <w:szCs w:val="20"/>
        </w:rPr>
        <w:t xml:space="preserve"> referida en el inciso siguiente (por ejemplo, porque las condiciones pactadas no reflejan los términos usuales del mercado).</w:t>
      </w:r>
    </w:p>
    <w:p w:rsidR="007F4786" w:rsidRPr="00AC4AEA" w:rsidRDefault="007F4786" w:rsidP="00A318EA">
      <w:pPr>
        <w:pStyle w:val="Prrafodelista"/>
        <w:numPr>
          <w:ilvl w:val="0"/>
          <w:numId w:val="409"/>
        </w:numPr>
        <w:ind w:left="1560"/>
        <w:contextualSpacing w:val="0"/>
        <w:jc w:val="both"/>
        <w:rPr>
          <w:rFonts w:ascii="Arial" w:hAnsi="Arial" w:cs="Arial"/>
          <w:sz w:val="20"/>
          <w:szCs w:val="20"/>
        </w:rPr>
      </w:pPr>
      <w:r w:rsidRPr="00AC4AEA">
        <w:rPr>
          <w:rFonts w:ascii="Arial" w:hAnsi="Arial" w:cs="Arial"/>
          <w:sz w:val="20"/>
          <w:szCs w:val="20"/>
        </w:rPr>
        <w:lastRenderedPageBreak/>
        <w:t>Al valor descontado de los flujos de efectivo futuros, cuando:</w:t>
      </w:r>
    </w:p>
    <w:p w:rsidR="007F4786" w:rsidRPr="00AC4AEA" w:rsidRDefault="007F4786" w:rsidP="00A318EA">
      <w:pPr>
        <w:pStyle w:val="Prrafodelista"/>
        <w:numPr>
          <w:ilvl w:val="0"/>
          <w:numId w:val="411"/>
        </w:numPr>
        <w:ind w:left="1984"/>
        <w:contextualSpacing w:val="0"/>
        <w:jc w:val="both"/>
        <w:rPr>
          <w:rFonts w:ascii="Arial" w:hAnsi="Arial" w:cs="Arial"/>
          <w:sz w:val="20"/>
          <w:szCs w:val="20"/>
        </w:rPr>
      </w:pPr>
      <w:r w:rsidRPr="00AC4AEA">
        <w:rPr>
          <w:rFonts w:ascii="Arial" w:hAnsi="Arial" w:cs="Arial"/>
          <w:sz w:val="20"/>
          <w:szCs w:val="20"/>
        </w:rPr>
        <w:t xml:space="preserve">la tasa de interés pactada difiere significativamente del tipo de mercado para transacciones similares; </w:t>
      </w:r>
      <w:r w:rsidR="009429CC" w:rsidRPr="00AC4AEA">
        <w:rPr>
          <w:rFonts w:ascii="Arial" w:hAnsi="Arial" w:cs="Arial"/>
          <w:sz w:val="20"/>
          <w:szCs w:val="20"/>
        </w:rPr>
        <w:t>y</w:t>
      </w:r>
    </w:p>
    <w:p w:rsidR="007F4786" w:rsidRPr="00AC4AEA" w:rsidRDefault="007F4786" w:rsidP="00A318EA">
      <w:pPr>
        <w:pStyle w:val="Prrafodelista"/>
        <w:numPr>
          <w:ilvl w:val="0"/>
          <w:numId w:val="411"/>
        </w:numPr>
        <w:ind w:left="1984"/>
        <w:contextualSpacing w:val="0"/>
        <w:jc w:val="both"/>
        <w:rPr>
          <w:rFonts w:ascii="Arial" w:hAnsi="Arial" w:cs="Arial"/>
          <w:sz w:val="20"/>
          <w:szCs w:val="20"/>
        </w:rPr>
      </w:pPr>
      <w:r w:rsidRPr="00AC4AEA">
        <w:rPr>
          <w:rFonts w:ascii="Arial" w:hAnsi="Arial" w:cs="Arial"/>
          <w:sz w:val="20"/>
          <w:szCs w:val="20"/>
        </w:rPr>
        <w:t>al menos una de las cuotas pactadas vence en un plazo mayor a doce meses, contado desde la fecha de la operación.</w:t>
      </w:r>
    </w:p>
    <w:p w:rsidR="006C71BA" w:rsidRPr="00AC4AEA" w:rsidRDefault="006C71BA" w:rsidP="00A318EA">
      <w:pPr>
        <w:pStyle w:val="A-Normal11"/>
        <w:jc w:val="both"/>
        <w:rPr>
          <w:rFonts w:ascii="Arial" w:hAnsi="Arial" w:cs="Arial"/>
          <w:sz w:val="20"/>
        </w:rPr>
      </w:pPr>
    </w:p>
    <w:p w:rsidR="006C71BA" w:rsidRPr="00AC4AEA" w:rsidRDefault="00734BDC" w:rsidP="00A318EA">
      <w:pPr>
        <w:pStyle w:val="Ttulo3"/>
      </w:pPr>
      <w:bookmarkStart w:id="370" w:name="_Toc101863817"/>
      <w:bookmarkStart w:id="371" w:name="_Toc139356684"/>
      <w:r w:rsidRPr="00AC4AEA">
        <w:t>Otros créditos en moneda</w:t>
      </w:r>
      <w:bookmarkEnd w:id="370"/>
      <w:bookmarkEnd w:id="371"/>
    </w:p>
    <w:p w:rsidR="0069742B" w:rsidRPr="00AC4AEA" w:rsidRDefault="0069742B" w:rsidP="00A318EA">
      <w:pPr>
        <w:pStyle w:val="Prrafodelista"/>
        <w:numPr>
          <w:ilvl w:val="0"/>
          <w:numId w:val="29"/>
        </w:numPr>
        <w:contextualSpacing w:val="0"/>
        <w:jc w:val="both"/>
        <w:rPr>
          <w:rFonts w:ascii="Arial" w:hAnsi="Arial" w:cs="Arial"/>
          <w:sz w:val="20"/>
          <w:szCs w:val="20"/>
        </w:rPr>
      </w:pPr>
      <w:bookmarkStart w:id="372" w:name="_Ref99476055"/>
      <w:r w:rsidRPr="00AC4AEA">
        <w:rPr>
          <w:rFonts w:ascii="Arial" w:hAnsi="Arial" w:cs="Arial"/>
          <w:sz w:val="20"/>
          <w:szCs w:val="20"/>
        </w:rPr>
        <w:t xml:space="preserve">Una entidad medirá inicialmente los demás créditos </w:t>
      </w:r>
      <w:r w:rsidR="00C67B1D" w:rsidRPr="00AC4AEA">
        <w:rPr>
          <w:rFonts w:ascii="Arial" w:hAnsi="Arial" w:cs="Arial"/>
          <w:sz w:val="20"/>
          <w:szCs w:val="20"/>
        </w:rPr>
        <w:t xml:space="preserve">entre partes independientes </w:t>
      </w:r>
      <w:r w:rsidRPr="00AC4AEA">
        <w:rPr>
          <w:rFonts w:ascii="Arial" w:hAnsi="Arial" w:cs="Arial"/>
          <w:sz w:val="20"/>
          <w:szCs w:val="20"/>
        </w:rPr>
        <w:t>en moneda del siguiente modo:</w:t>
      </w:r>
      <w:bookmarkEnd w:id="372"/>
    </w:p>
    <w:p w:rsidR="00027AE1" w:rsidRPr="00AC4AEA" w:rsidRDefault="00027AE1" w:rsidP="00A318EA">
      <w:pPr>
        <w:pStyle w:val="Prrafodelista"/>
        <w:numPr>
          <w:ilvl w:val="0"/>
          <w:numId w:val="339"/>
        </w:numPr>
        <w:contextualSpacing w:val="0"/>
        <w:jc w:val="both"/>
        <w:rPr>
          <w:rFonts w:ascii="Arial" w:hAnsi="Arial" w:cs="Arial"/>
          <w:sz w:val="20"/>
          <w:szCs w:val="20"/>
        </w:rPr>
      </w:pPr>
      <w:r w:rsidRPr="00AC4AEA">
        <w:rPr>
          <w:rFonts w:ascii="Arial" w:hAnsi="Arial" w:cs="Arial"/>
          <w:sz w:val="20"/>
          <w:szCs w:val="20"/>
        </w:rPr>
        <w:t xml:space="preserve">Al valor </w:t>
      </w:r>
      <w:r w:rsidR="00DD1315" w:rsidRPr="00AC4AEA">
        <w:rPr>
          <w:rFonts w:ascii="Arial" w:hAnsi="Arial" w:cs="Arial"/>
          <w:sz w:val="20"/>
          <w:szCs w:val="20"/>
        </w:rPr>
        <w:t xml:space="preserve">de </w:t>
      </w:r>
      <w:r w:rsidRPr="00AC4AEA">
        <w:rPr>
          <w:rFonts w:ascii="Arial" w:hAnsi="Arial" w:cs="Arial"/>
          <w:sz w:val="20"/>
          <w:szCs w:val="20"/>
        </w:rPr>
        <w:t>contado de la operación, cuando se pact</w:t>
      </w:r>
      <w:r w:rsidR="00656481" w:rsidRPr="00AC4AEA">
        <w:rPr>
          <w:rFonts w:ascii="Arial" w:hAnsi="Arial" w:cs="Arial"/>
          <w:sz w:val="20"/>
          <w:szCs w:val="20"/>
        </w:rPr>
        <w:t>e</w:t>
      </w:r>
      <w:r w:rsidRPr="00AC4AEA">
        <w:rPr>
          <w:rFonts w:ascii="Arial" w:hAnsi="Arial" w:cs="Arial"/>
          <w:sz w:val="20"/>
          <w:szCs w:val="20"/>
        </w:rPr>
        <w:t xml:space="preserve"> </w:t>
      </w:r>
      <w:r w:rsidRPr="00AC4AEA">
        <w:rPr>
          <w:rFonts w:ascii="Arial" w:hAnsi="Arial" w:cs="Arial"/>
          <w:b/>
          <w:bCs/>
          <w:sz w:val="20"/>
          <w:szCs w:val="20"/>
        </w:rPr>
        <w:t>componentes financieros explícitos</w:t>
      </w:r>
      <w:r w:rsidRPr="00AC4AEA">
        <w:rPr>
          <w:rFonts w:ascii="Arial" w:hAnsi="Arial" w:cs="Arial"/>
          <w:sz w:val="20"/>
          <w:szCs w:val="20"/>
        </w:rPr>
        <w:t>.</w:t>
      </w:r>
    </w:p>
    <w:p w:rsidR="00027AE1" w:rsidRPr="00AC4AEA" w:rsidRDefault="00027AE1" w:rsidP="00A318EA">
      <w:pPr>
        <w:pStyle w:val="Prrafodelista"/>
        <w:numPr>
          <w:ilvl w:val="0"/>
          <w:numId w:val="339"/>
        </w:numPr>
        <w:contextualSpacing w:val="0"/>
        <w:jc w:val="both"/>
        <w:rPr>
          <w:rFonts w:ascii="Arial" w:hAnsi="Arial" w:cs="Arial"/>
          <w:sz w:val="20"/>
          <w:szCs w:val="20"/>
        </w:rPr>
      </w:pPr>
      <w:r w:rsidRPr="00AC4AEA">
        <w:rPr>
          <w:rFonts w:ascii="Arial" w:hAnsi="Arial" w:cs="Arial"/>
          <w:sz w:val="20"/>
          <w:szCs w:val="20"/>
        </w:rPr>
        <w:t xml:space="preserve">A su valor nominal, cuando no segregue </w:t>
      </w:r>
      <w:r w:rsidRPr="00AC4AEA">
        <w:rPr>
          <w:rFonts w:ascii="Arial" w:hAnsi="Arial" w:cs="Arial"/>
          <w:b/>
          <w:bCs/>
          <w:sz w:val="20"/>
          <w:szCs w:val="20"/>
        </w:rPr>
        <w:t>componentes financieros implícitos</w:t>
      </w:r>
      <w:r w:rsidRPr="00AC4AEA">
        <w:rPr>
          <w:rFonts w:ascii="Arial" w:hAnsi="Arial" w:cs="Arial"/>
          <w:sz w:val="20"/>
          <w:szCs w:val="20"/>
        </w:rPr>
        <w:t>, de acuerdo con lo establecido en el apartado “</w:t>
      </w:r>
      <w:r w:rsidRPr="00AC4AEA">
        <w:rPr>
          <w:rFonts w:ascii="Arial" w:hAnsi="Arial" w:cs="Arial"/>
          <w:sz w:val="20"/>
          <w:szCs w:val="20"/>
          <w:u w:val="single"/>
        </w:rPr>
        <w:t>Segregación de componentes financieros implícitos</w:t>
      </w:r>
      <w:r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Pr="00AC4AEA">
        <w:rPr>
          <w:rFonts w:ascii="Arial" w:hAnsi="Arial" w:cs="Arial"/>
          <w:sz w:val="20"/>
          <w:szCs w:val="20"/>
        </w:rPr>
        <w:t>].</w:t>
      </w:r>
    </w:p>
    <w:p w:rsidR="00027AE1" w:rsidRPr="00AC4AEA" w:rsidRDefault="00027AE1" w:rsidP="00A318EA">
      <w:pPr>
        <w:pStyle w:val="Prrafodelista"/>
        <w:numPr>
          <w:ilvl w:val="0"/>
          <w:numId w:val="339"/>
        </w:numPr>
        <w:contextualSpacing w:val="0"/>
        <w:jc w:val="both"/>
        <w:rPr>
          <w:rFonts w:ascii="Arial" w:hAnsi="Arial" w:cs="Arial"/>
          <w:sz w:val="20"/>
          <w:szCs w:val="20"/>
        </w:rPr>
      </w:pPr>
      <w:r w:rsidRPr="00AC4AEA">
        <w:rPr>
          <w:rFonts w:ascii="Arial" w:hAnsi="Arial" w:cs="Arial"/>
          <w:sz w:val="20"/>
          <w:szCs w:val="20"/>
        </w:rPr>
        <w:t xml:space="preserve">Al valor descontado de los flujos de efectivo futuros o al precio contado cuando segregue </w:t>
      </w:r>
      <w:r w:rsidRPr="00AC4AEA">
        <w:rPr>
          <w:rFonts w:ascii="Arial" w:hAnsi="Arial" w:cs="Arial"/>
          <w:b/>
          <w:bCs/>
          <w:sz w:val="20"/>
          <w:szCs w:val="20"/>
        </w:rPr>
        <w:t>componentes financieros implícitos</w:t>
      </w:r>
      <w:r w:rsidRPr="00AC4AEA">
        <w:rPr>
          <w:rFonts w:ascii="Arial" w:hAnsi="Arial" w:cs="Arial"/>
          <w:sz w:val="20"/>
          <w:szCs w:val="20"/>
        </w:rPr>
        <w:t>, según lo establecido en el apartado “</w:t>
      </w:r>
      <w:r w:rsidRPr="00AC4AEA">
        <w:rPr>
          <w:rFonts w:ascii="Arial" w:hAnsi="Arial" w:cs="Arial"/>
          <w:sz w:val="20"/>
          <w:szCs w:val="20"/>
          <w:u w:val="single"/>
        </w:rPr>
        <w:t>Segregación de componentes financieros implícitos</w:t>
      </w:r>
      <w:r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Pr="00AC4AEA">
        <w:rPr>
          <w:rFonts w:ascii="Arial" w:hAnsi="Arial" w:cs="Arial"/>
          <w:sz w:val="20"/>
          <w:szCs w:val="20"/>
        </w:rPr>
        <w:t>].</w:t>
      </w:r>
    </w:p>
    <w:p w:rsidR="0048661E" w:rsidRPr="00AC4AEA" w:rsidRDefault="0048661E" w:rsidP="00A318EA">
      <w:pPr>
        <w:pStyle w:val="Prrafodelista"/>
        <w:ind w:left="1418"/>
        <w:contextualSpacing w:val="0"/>
        <w:jc w:val="both"/>
        <w:rPr>
          <w:rFonts w:ascii="Arial" w:hAnsi="Arial" w:cs="Arial"/>
          <w:sz w:val="20"/>
          <w:szCs w:val="20"/>
        </w:rPr>
      </w:pPr>
    </w:p>
    <w:p w:rsidR="00982B77" w:rsidRPr="00AC4AEA" w:rsidRDefault="00982B77" w:rsidP="00A318EA">
      <w:pPr>
        <w:pStyle w:val="Ttulo3"/>
      </w:pPr>
      <w:bookmarkStart w:id="373" w:name="_Toc139356685"/>
      <w:r w:rsidRPr="00AC4AEA">
        <w:t xml:space="preserve">Créditos en moneda </w:t>
      </w:r>
      <w:r w:rsidR="00D94BCC" w:rsidRPr="00AC4AEA">
        <w:t>provenientes</w:t>
      </w:r>
      <w:r w:rsidRPr="00AC4AEA">
        <w:t xml:space="preserve"> de transacciones entre partes relacionadas</w:t>
      </w:r>
      <w:bookmarkEnd w:id="373"/>
    </w:p>
    <w:p w:rsidR="00982B77" w:rsidRPr="00AC4AEA" w:rsidRDefault="00D94BCC" w:rsidP="00A318EA">
      <w:pPr>
        <w:pStyle w:val="Prrafodelista"/>
        <w:numPr>
          <w:ilvl w:val="0"/>
          <w:numId w:val="29"/>
        </w:numPr>
        <w:contextualSpacing w:val="0"/>
        <w:jc w:val="both"/>
        <w:rPr>
          <w:rFonts w:ascii="Arial" w:hAnsi="Arial" w:cs="Arial"/>
          <w:sz w:val="20"/>
          <w:szCs w:val="20"/>
        </w:rPr>
      </w:pPr>
      <w:bookmarkStart w:id="374" w:name="_Ref132037497"/>
      <w:r w:rsidRPr="00AC4AEA">
        <w:rPr>
          <w:rFonts w:ascii="Arial" w:hAnsi="Arial" w:cs="Arial"/>
          <w:sz w:val="20"/>
          <w:szCs w:val="20"/>
        </w:rPr>
        <w:t>Una enti</w:t>
      </w:r>
      <w:r w:rsidR="000A312F" w:rsidRPr="00AC4AEA">
        <w:rPr>
          <w:rFonts w:ascii="Arial" w:hAnsi="Arial" w:cs="Arial"/>
          <w:sz w:val="20"/>
          <w:szCs w:val="20"/>
        </w:rPr>
        <w:t>d</w:t>
      </w:r>
      <w:r w:rsidRPr="00AC4AEA">
        <w:rPr>
          <w:rFonts w:ascii="Arial" w:hAnsi="Arial" w:cs="Arial"/>
          <w:sz w:val="20"/>
          <w:szCs w:val="20"/>
        </w:rPr>
        <w:t xml:space="preserve">ad optará por medir los créditos en moneda provenientes de transacciones entre </w:t>
      </w:r>
      <w:r w:rsidRPr="00AC4AEA">
        <w:rPr>
          <w:rFonts w:ascii="Arial" w:hAnsi="Arial" w:cs="Arial"/>
          <w:b/>
          <w:sz w:val="20"/>
          <w:szCs w:val="20"/>
        </w:rPr>
        <w:t>partes relacionadas</w:t>
      </w:r>
      <w:r w:rsidRPr="00AC4AEA">
        <w:rPr>
          <w:rFonts w:ascii="Arial" w:hAnsi="Arial" w:cs="Arial"/>
          <w:sz w:val="20"/>
          <w:szCs w:val="20"/>
        </w:rPr>
        <w:t xml:space="preserve"> de acuerdo con alguno de los siguientes criterios:</w:t>
      </w:r>
      <w:bookmarkEnd w:id="374"/>
    </w:p>
    <w:p w:rsidR="00D94BCC" w:rsidRPr="00AC4AEA" w:rsidRDefault="00460D14" w:rsidP="00A318EA">
      <w:pPr>
        <w:pStyle w:val="Prrafodelista"/>
        <w:numPr>
          <w:ilvl w:val="0"/>
          <w:numId w:val="448"/>
        </w:numPr>
        <w:contextualSpacing w:val="0"/>
        <w:jc w:val="both"/>
        <w:rPr>
          <w:rFonts w:ascii="Arial" w:hAnsi="Arial" w:cs="Arial"/>
          <w:sz w:val="20"/>
          <w:szCs w:val="20"/>
        </w:rPr>
      </w:pPr>
      <w:r w:rsidRPr="00AC4AEA">
        <w:rPr>
          <w:rFonts w:ascii="Arial" w:hAnsi="Arial" w:cs="Arial"/>
          <w:sz w:val="20"/>
          <w:szCs w:val="20"/>
        </w:rPr>
        <w:t>según</w:t>
      </w:r>
      <w:r w:rsidR="00D94BCC" w:rsidRPr="00AC4AEA">
        <w:rPr>
          <w:rFonts w:ascii="Arial" w:hAnsi="Arial" w:cs="Arial"/>
          <w:sz w:val="20"/>
          <w:szCs w:val="20"/>
        </w:rPr>
        <w:t xml:space="preserve"> las condiciones pactadas;</w:t>
      </w:r>
    </w:p>
    <w:p w:rsidR="003B2209" w:rsidRPr="00AC4AEA" w:rsidRDefault="003B2209" w:rsidP="00A318EA">
      <w:pPr>
        <w:pStyle w:val="Prrafodelista"/>
        <w:numPr>
          <w:ilvl w:val="0"/>
          <w:numId w:val="448"/>
        </w:numPr>
        <w:contextualSpacing w:val="0"/>
        <w:jc w:val="both"/>
        <w:rPr>
          <w:rFonts w:ascii="Arial" w:hAnsi="Arial" w:cs="Arial"/>
          <w:sz w:val="20"/>
          <w:szCs w:val="20"/>
        </w:rPr>
      </w:pPr>
      <w:r w:rsidRPr="00AC4AEA">
        <w:rPr>
          <w:rFonts w:ascii="Arial" w:hAnsi="Arial" w:cs="Arial"/>
          <w:sz w:val="20"/>
          <w:szCs w:val="20"/>
        </w:rPr>
        <w:t xml:space="preserve">al valor descontado de los flujos de efectivo futuros o al precio contado cuando segregue </w:t>
      </w:r>
      <w:r w:rsidRPr="00AC4AEA">
        <w:rPr>
          <w:rFonts w:ascii="Arial" w:hAnsi="Arial" w:cs="Arial"/>
          <w:b/>
          <w:bCs/>
          <w:sz w:val="20"/>
          <w:szCs w:val="20"/>
        </w:rPr>
        <w:t>componentes financieros implícitos</w:t>
      </w:r>
      <w:r w:rsidRPr="00AC4AEA">
        <w:rPr>
          <w:rFonts w:ascii="Arial" w:hAnsi="Arial" w:cs="Arial"/>
          <w:sz w:val="20"/>
          <w:szCs w:val="20"/>
        </w:rPr>
        <w:t>, según lo establecido en el apartado “</w:t>
      </w:r>
      <w:r w:rsidRPr="00AC4AEA">
        <w:rPr>
          <w:rFonts w:ascii="Arial" w:hAnsi="Arial" w:cs="Arial"/>
          <w:sz w:val="20"/>
          <w:szCs w:val="20"/>
          <w:u w:val="single"/>
        </w:rPr>
        <w:t>Segregación de componentes financieros implícitos</w:t>
      </w:r>
      <w:r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Pr="00AC4AEA">
        <w:rPr>
          <w:rFonts w:ascii="Arial" w:hAnsi="Arial" w:cs="Arial"/>
          <w:sz w:val="20"/>
          <w:szCs w:val="20"/>
        </w:rPr>
        <w:t>]; o</w:t>
      </w:r>
    </w:p>
    <w:p w:rsidR="00D94BCC" w:rsidRPr="00AC4AEA" w:rsidRDefault="00D94BCC" w:rsidP="00A318EA">
      <w:pPr>
        <w:pStyle w:val="Prrafodelista"/>
        <w:numPr>
          <w:ilvl w:val="0"/>
          <w:numId w:val="409"/>
        </w:numPr>
        <w:ind w:left="1560"/>
        <w:contextualSpacing w:val="0"/>
        <w:jc w:val="both"/>
        <w:rPr>
          <w:rFonts w:ascii="Arial" w:hAnsi="Arial" w:cs="Arial"/>
          <w:sz w:val="20"/>
          <w:szCs w:val="20"/>
        </w:rPr>
      </w:pPr>
      <w:r w:rsidRPr="00AC4AEA">
        <w:rPr>
          <w:rFonts w:ascii="Arial" w:hAnsi="Arial" w:cs="Arial"/>
          <w:sz w:val="20"/>
          <w:szCs w:val="20"/>
        </w:rPr>
        <w:t>al valor descontado de los flujos de efectivo futuros, cuando:</w:t>
      </w:r>
    </w:p>
    <w:p w:rsidR="00D94BCC" w:rsidRPr="00AC4AEA" w:rsidRDefault="005674FD" w:rsidP="00A318EA">
      <w:pPr>
        <w:pStyle w:val="Prrafodelista"/>
        <w:numPr>
          <w:ilvl w:val="0"/>
          <w:numId w:val="412"/>
        </w:numPr>
        <w:ind w:left="1985"/>
        <w:contextualSpacing w:val="0"/>
        <w:jc w:val="both"/>
        <w:rPr>
          <w:rFonts w:ascii="Arial" w:hAnsi="Arial" w:cs="Arial"/>
          <w:sz w:val="20"/>
          <w:szCs w:val="20"/>
        </w:rPr>
      </w:pPr>
      <w:r w:rsidRPr="00AC4AEA">
        <w:rPr>
          <w:rFonts w:ascii="Arial" w:hAnsi="Arial" w:cs="Arial"/>
          <w:sz w:val="20"/>
          <w:szCs w:val="20"/>
        </w:rPr>
        <w:t>surge</w:t>
      </w:r>
      <w:r w:rsidR="00D94BCC" w:rsidRPr="00AC4AEA">
        <w:rPr>
          <w:rFonts w:ascii="Arial" w:hAnsi="Arial" w:cs="Arial"/>
          <w:sz w:val="20"/>
          <w:szCs w:val="20"/>
        </w:rPr>
        <w:t xml:space="preserve"> de </w:t>
      </w:r>
      <w:r w:rsidR="00D94BCC" w:rsidRPr="00AC4AEA">
        <w:rPr>
          <w:rFonts w:ascii="Arial" w:hAnsi="Arial" w:cs="Arial"/>
          <w:b/>
          <w:bCs/>
          <w:sz w:val="20"/>
          <w:szCs w:val="20"/>
        </w:rPr>
        <w:t>transacciones</w:t>
      </w:r>
      <w:r w:rsidRPr="00AC4AEA">
        <w:rPr>
          <w:rFonts w:ascii="Arial" w:hAnsi="Arial" w:cs="Arial"/>
          <w:b/>
          <w:bCs/>
          <w:sz w:val="20"/>
          <w:szCs w:val="20"/>
        </w:rPr>
        <w:t xml:space="preserve"> financieras</w:t>
      </w:r>
      <w:r w:rsidRPr="00AC4AEA">
        <w:rPr>
          <w:rFonts w:ascii="Arial" w:hAnsi="Arial" w:cs="Arial"/>
          <w:sz w:val="20"/>
          <w:szCs w:val="20"/>
        </w:rPr>
        <w:t>;</w:t>
      </w:r>
    </w:p>
    <w:p w:rsidR="00D94BCC" w:rsidRPr="00AC4AEA" w:rsidRDefault="00D94BCC" w:rsidP="00A318EA">
      <w:pPr>
        <w:pStyle w:val="Prrafodelista"/>
        <w:numPr>
          <w:ilvl w:val="0"/>
          <w:numId w:val="412"/>
        </w:numPr>
        <w:ind w:left="1985"/>
        <w:contextualSpacing w:val="0"/>
        <w:jc w:val="both"/>
        <w:rPr>
          <w:rFonts w:ascii="Arial" w:hAnsi="Arial" w:cs="Arial"/>
          <w:sz w:val="20"/>
          <w:szCs w:val="20"/>
        </w:rPr>
      </w:pPr>
      <w:r w:rsidRPr="00AC4AEA">
        <w:rPr>
          <w:rFonts w:ascii="Arial" w:hAnsi="Arial" w:cs="Arial"/>
          <w:sz w:val="20"/>
          <w:szCs w:val="20"/>
        </w:rPr>
        <w:t>la tasa de interés pactada difiere significativamente del tipo de mercado para transacciones similares; y</w:t>
      </w:r>
    </w:p>
    <w:p w:rsidR="00D94BCC" w:rsidRPr="00AC4AEA" w:rsidRDefault="00D94BCC" w:rsidP="00A318EA">
      <w:pPr>
        <w:pStyle w:val="Prrafodelista"/>
        <w:numPr>
          <w:ilvl w:val="0"/>
          <w:numId w:val="412"/>
        </w:numPr>
        <w:ind w:left="1985"/>
        <w:contextualSpacing w:val="0"/>
        <w:jc w:val="both"/>
        <w:rPr>
          <w:rFonts w:ascii="Arial" w:hAnsi="Arial" w:cs="Arial"/>
          <w:sz w:val="20"/>
          <w:szCs w:val="20"/>
        </w:rPr>
      </w:pPr>
      <w:r w:rsidRPr="00AC4AEA">
        <w:rPr>
          <w:rFonts w:ascii="Arial" w:hAnsi="Arial" w:cs="Arial"/>
          <w:sz w:val="20"/>
          <w:szCs w:val="20"/>
        </w:rPr>
        <w:t>al menos una de las cuotas pactadas vence en un plazo mayor a doce meses, contado desde la fecha de la operación.</w:t>
      </w:r>
    </w:p>
    <w:p w:rsidR="00D94BCC" w:rsidRPr="00AC4AEA" w:rsidRDefault="000A312F" w:rsidP="00A318EA">
      <w:pPr>
        <w:pStyle w:val="A-Normal11"/>
        <w:numPr>
          <w:ilvl w:val="0"/>
          <w:numId w:val="29"/>
        </w:numPr>
        <w:jc w:val="both"/>
        <w:rPr>
          <w:rFonts w:ascii="Arial" w:hAnsi="Arial" w:cs="Arial"/>
          <w:sz w:val="20"/>
        </w:rPr>
      </w:pPr>
      <w:r w:rsidRPr="00AC4AEA">
        <w:rPr>
          <w:rFonts w:ascii="Arial" w:hAnsi="Arial" w:cs="Arial"/>
          <w:sz w:val="20"/>
        </w:rPr>
        <w:t xml:space="preserve">Cuando una entidad opte por la </w:t>
      </w:r>
      <w:r w:rsidRPr="00AC4AEA">
        <w:rPr>
          <w:rFonts w:ascii="Arial" w:hAnsi="Arial" w:cs="Arial"/>
          <w:b/>
          <w:bCs/>
          <w:sz w:val="20"/>
        </w:rPr>
        <w:t xml:space="preserve">política contable </w:t>
      </w:r>
      <w:r w:rsidRPr="00AC4AEA">
        <w:rPr>
          <w:rFonts w:ascii="Arial" w:hAnsi="Arial" w:cs="Arial"/>
          <w:sz w:val="20"/>
        </w:rPr>
        <w:t xml:space="preserve">referida </w:t>
      </w:r>
      <w:r w:rsidR="00EE7683" w:rsidRPr="00AC4AEA">
        <w:rPr>
          <w:rFonts w:ascii="Arial" w:hAnsi="Arial" w:cs="Arial"/>
          <w:sz w:val="20"/>
        </w:rPr>
        <w:t>en</w:t>
      </w:r>
      <w:r w:rsidRPr="00AC4AEA">
        <w:rPr>
          <w:rFonts w:ascii="Arial" w:hAnsi="Arial" w:cs="Arial"/>
          <w:sz w:val="20"/>
        </w:rPr>
        <w:t xml:space="preserve"> los incisos b) o c) del párrafo anterior, contabilizará la contrapartida</w:t>
      </w:r>
      <w:r w:rsidR="00FF3A04" w:rsidRPr="00AC4AEA">
        <w:rPr>
          <w:rFonts w:ascii="Arial" w:hAnsi="Arial" w:cs="Arial"/>
          <w:sz w:val="20"/>
        </w:rPr>
        <w:t xml:space="preserve"> de forma similar</w:t>
      </w:r>
      <w:r w:rsidRPr="00AC4AEA">
        <w:rPr>
          <w:rFonts w:ascii="Arial" w:hAnsi="Arial" w:cs="Arial"/>
          <w:sz w:val="20"/>
        </w:rPr>
        <w:t xml:space="preserve"> </w:t>
      </w:r>
      <w:r w:rsidR="00FF3A04" w:rsidRPr="00AC4AEA">
        <w:rPr>
          <w:rFonts w:ascii="Arial" w:hAnsi="Arial" w:cs="Arial"/>
          <w:sz w:val="20"/>
        </w:rPr>
        <w:t>a</w:t>
      </w:r>
      <w:r w:rsidRPr="00AC4AEA">
        <w:rPr>
          <w:rFonts w:ascii="Arial" w:hAnsi="Arial" w:cs="Arial"/>
          <w:sz w:val="20"/>
        </w:rPr>
        <w:t xml:space="preserve"> l</w:t>
      </w:r>
      <w:r w:rsidR="009F68DB" w:rsidRPr="00AC4AEA">
        <w:rPr>
          <w:rFonts w:ascii="Arial" w:hAnsi="Arial" w:cs="Arial"/>
          <w:sz w:val="20"/>
        </w:rPr>
        <w:t>a</w:t>
      </w:r>
      <w:r w:rsidRPr="00AC4AEA">
        <w:rPr>
          <w:rFonts w:ascii="Arial" w:hAnsi="Arial" w:cs="Arial"/>
          <w:sz w:val="20"/>
        </w:rPr>
        <w:t xml:space="preserve"> establecido en los párrafos</w:t>
      </w:r>
      <w:r w:rsidR="00AB62D4" w:rsidRPr="00AC4AEA">
        <w:rPr>
          <w:rFonts w:ascii="Arial" w:hAnsi="Arial" w:cs="Arial"/>
          <w:sz w:val="20"/>
        </w:rPr>
        <w:t xml:space="preserve"> </w:t>
      </w:r>
      <w:fldSimple w:instr=" REF _Ref104371390 \r \h  \* MERGEFORMAT ">
        <w:r w:rsidR="00D33A5D" w:rsidRPr="00D33A5D">
          <w:rPr>
            <w:rFonts w:ascii="Arial" w:hAnsi="Arial" w:cs="Arial"/>
            <w:sz w:val="20"/>
          </w:rPr>
          <w:t>509</w:t>
        </w:r>
      </w:fldSimple>
      <w:r w:rsidR="00EE7683" w:rsidRPr="00AC4AEA">
        <w:rPr>
          <w:rFonts w:ascii="Arial" w:hAnsi="Arial" w:cs="Arial"/>
          <w:sz w:val="20"/>
        </w:rPr>
        <w:t xml:space="preserve"> </w:t>
      </w:r>
      <w:r w:rsidR="002C01C5" w:rsidRPr="00AC4AEA">
        <w:rPr>
          <w:rFonts w:ascii="Arial" w:hAnsi="Arial" w:cs="Arial"/>
          <w:sz w:val="20"/>
        </w:rPr>
        <w:t xml:space="preserve">y </w:t>
      </w:r>
      <w:fldSimple w:instr=" REF _Ref104371396 \r \h  \* MERGEFORMAT ">
        <w:r w:rsidR="00D33A5D" w:rsidRPr="00D33A5D">
          <w:rPr>
            <w:rFonts w:ascii="Arial" w:hAnsi="Arial" w:cs="Arial"/>
            <w:sz w:val="20"/>
          </w:rPr>
          <w:t>510</w:t>
        </w:r>
      </w:fldSimple>
      <w:r w:rsidR="002C01C5" w:rsidRPr="00AC4AEA">
        <w:rPr>
          <w:rFonts w:ascii="Arial" w:hAnsi="Arial" w:cs="Arial"/>
          <w:sz w:val="20"/>
        </w:rPr>
        <w:t>.</w:t>
      </w:r>
    </w:p>
    <w:p w:rsidR="00D94BCC" w:rsidRPr="00AC4AEA" w:rsidRDefault="00D94BCC" w:rsidP="00A318EA">
      <w:pPr>
        <w:pStyle w:val="A-doctorado"/>
        <w:rPr>
          <w:rFonts w:ascii="Arial" w:hAnsi="Arial"/>
          <w:color w:val="auto"/>
          <w:sz w:val="20"/>
          <w:szCs w:val="20"/>
        </w:rPr>
      </w:pPr>
    </w:p>
    <w:p w:rsidR="00041690" w:rsidRPr="00AC4AEA" w:rsidRDefault="00041690" w:rsidP="00A318EA">
      <w:pPr>
        <w:pStyle w:val="Ttulo3"/>
      </w:pPr>
      <w:bookmarkStart w:id="375" w:name="_Toc139356686"/>
      <w:r w:rsidRPr="00AC4AEA">
        <w:t>Derechos de reembolso</w:t>
      </w:r>
      <w:bookmarkEnd w:id="375"/>
    </w:p>
    <w:p w:rsidR="002A7740" w:rsidRPr="00AC4AEA" w:rsidRDefault="002A774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medirá inicialmente los derechos de reembolso</w:t>
      </w:r>
      <w:r w:rsidR="00FF3A04" w:rsidRPr="00AC4AEA">
        <w:rPr>
          <w:rFonts w:ascii="Arial" w:hAnsi="Arial" w:cs="Arial"/>
          <w:sz w:val="20"/>
          <w:szCs w:val="20"/>
        </w:rPr>
        <w:t xml:space="preserve">, que cumplan las condiciones establecidas en el párrafo </w:t>
      </w:r>
      <w:fldSimple w:instr=" REF _Ref129077514 \r \h  \* MERGEFORMAT ">
        <w:r w:rsidR="00D33A5D" w:rsidRPr="00D33A5D">
          <w:rPr>
            <w:rFonts w:ascii="Arial" w:hAnsi="Arial" w:cs="Arial"/>
            <w:sz w:val="20"/>
            <w:szCs w:val="20"/>
          </w:rPr>
          <w:t>240</w:t>
        </w:r>
      </w:fldSimple>
      <w:r w:rsidR="00FF3A04" w:rsidRPr="00AC4AEA">
        <w:rPr>
          <w:rFonts w:ascii="Arial" w:hAnsi="Arial" w:cs="Arial"/>
          <w:sz w:val="20"/>
          <w:szCs w:val="20"/>
        </w:rPr>
        <w:t>,</w:t>
      </w:r>
      <w:r w:rsidRPr="00AC4AEA">
        <w:rPr>
          <w:rFonts w:ascii="Arial" w:hAnsi="Arial" w:cs="Arial"/>
          <w:sz w:val="20"/>
          <w:szCs w:val="20"/>
        </w:rPr>
        <w:t xml:space="preserve"> por el menor de los siguientes importes:</w:t>
      </w:r>
    </w:p>
    <w:p w:rsidR="002A7740" w:rsidRPr="00AC4AEA" w:rsidRDefault="004B669C" w:rsidP="00A318EA">
      <w:pPr>
        <w:pStyle w:val="Prrafodelista"/>
        <w:numPr>
          <w:ilvl w:val="0"/>
          <w:numId w:val="352"/>
        </w:numPr>
        <w:contextualSpacing w:val="0"/>
        <w:jc w:val="both"/>
        <w:rPr>
          <w:rFonts w:ascii="Arial" w:hAnsi="Arial" w:cs="Arial"/>
          <w:sz w:val="20"/>
          <w:szCs w:val="20"/>
        </w:rPr>
      </w:pPr>
      <w:r w:rsidRPr="00AC4AEA">
        <w:rPr>
          <w:rFonts w:ascii="Arial" w:hAnsi="Arial" w:cs="Arial"/>
          <w:sz w:val="20"/>
          <w:szCs w:val="20"/>
        </w:rPr>
        <w:t xml:space="preserve">el correspondiente al </w:t>
      </w:r>
      <w:r w:rsidR="00A425E0" w:rsidRPr="00AC4AEA">
        <w:rPr>
          <w:rFonts w:ascii="Arial" w:hAnsi="Arial" w:cs="Arial"/>
          <w:b/>
          <w:bCs/>
          <w:sz w:val="20"/>
          <w:szCs w:val="20"/>
        </w:rPr>
        <w:t xml:space="preserve">pasivo </w:t>
      </w:r>
      <w:r w:rsidR="00A425E0" w:rsidRPr="00AC4AEA">
        <w:rPr>
          <w:rFonts w:ascii="Arial" w:hAnsi="Arial" w:cs="Arial"/>
          <w:sz w:val="20"/>
          <w:szCs w:val="20"/>
        </w:rPr>
        <w:t>reconocido</w:t>
      </w:r>
      <w:r w:rsidR="002A7740" w:rsidRPr="00AC4AEA">
        <w:rPr>
          <w:rFonts w:ascii="Arial" w:hAnsi="Arial" w:cs="Arial"/>
          <w:sz w:val="20"/>
          <w:szCs w:val="20"/>
        </w:rPr>
        <w:t xml:space="preserve">; </w:t>
      </w:r>
    </w:p>
    <w:p w:rsidR="002A7740" w:rsidRPr="00AC4AEA" w:rsidRDefault="004B669C" w:rsidP="00A318EA">
      <w:pPr>
        <w:pStyle w:val="Prrafodelista"/>
        <w:numPr>
          <w:ilvl w:val="0"/>
          <w:numId w:val="352"/>
        </w:numPr>
        <w:contextualSpacing w:val="0"/>
        <w:jc w:val="both"/>
        <w:rPr>
          <w:rFonts w:ascii="Arial" w:hAnsi="Arial" w:cs="Arial"/>
          <w:sz w:val="20"/>
          <w:szCs w:val="20"/>
        </w:rPr>
      </w:pPr>
      <w:r w:rsidRPr="00AC4AEA">
        <w:rPr>
          <w:rFonts w:ascii="Arial" w:hAnsi="Arial" w:cs="Arial"/>
          <w:sz w:val="20"/>
          <w:szCs w:val="20"/>
        </w:rPr>
        <w:t xml:space="preserve">la </w:t>
      </w:r>
      <w:r w:rsidR="002A7740" w:rsidRPr="00AC4AEA">
        <w:rPr>
          <w:rFonts w:ascii="Arial" w:hAnsi="Arial" w:cs="Arial"/>
          <w:sz w:val="20"/>
          <w:szCs w:val="20"/>
        </w:rPr>
        <w:t>suma que espera recuperar como consecuencia</w:t>
      </w:r>
      <w:r w:rsidR="005A2B38" w:rsidRPr="00AC4AEA">
        <w:rPr>
          <w:rFonts w:ascii="Arial" w:hAnsi="Arial" w:cs="Arial"/>
          <w:sz w:val="20"/>
          <w:szCs w:val="20"/>
        </w:rPr>
        <w:t xml:space="preserve"> del</w:t>
      </w:r>
      <w:r w:rsidR="002A7740" w:rsidRPr="00AC4AEA">
        <w:rPr>
          <w:rFonts w:ascii="Arial" w:hAnsi="Arial" w:cs="Arial"/>
          <w:sz w:val="20"/>
          <w:szCs w:val="20"/>
        </w:rPr>
        <w:t xml:space="preserve"> desembolso</w:t>
      </w:r>
      <w:r w:rsidR="002557D5" w:rsidRPr="00AC4AEA">
        <w:rPr>
          <w:rFonts w:ascii="Arial" w:hAnsi="Arial" w:cs="Arial"/>
          <w:sz w:val="20"/>
          <w:szCs w:val="20"/>
        </w:rPr>
        <w:t xml:space="preserve"> futuro</w:t>
      </w:r>
      <w:r w:rsidR="002A7740" w:rsidRPr="00AC4AEA">
        <w:rPr>
          <w:rFonts w:ascii="Arial" w:hAnsi="Arial" w:cs="Arial"/>
          <w:sz w:val="20"/>
          <w:szCs w:val="20"/>
        </w:rPr>
        <w:t>.</w:t>
      </w:r>
    </w:p>
    <w:p w:rsidR="00982B77" w:rsidRPr="00AC4AEA" w:rsidRDefault="00982B77" w:rsidP="00A318EA">
      <w:pPr>
        <w:pStyle w:val="Prrafodelista"/>
        <w:ind w:left="284"/>
        <w:contextualSpacing w:val="0"/>
        <w:jc w:val="center"/>
        <w:rPr>
          <w:rFonts w:ascii="Arial" w:hAnsi="Arial" w:cs="Arial"/>
          <w:b/>
          <w:bCs/>
          <w:sz w:val="20"/>
          <w:szCs w:val="20"/>
        </w:rPr>
      </w:pPr>
    </w:p>
    <w:p w:rsidR="006C71BA" w:rsidRPr="00AC4AEA" w:rsidRDefault="006C71BA" w:rsidP="00A318EA">
      <w:pPr>
        <w:pStyle w:val="Ttulo2"/>
        <w:rPr>
          <w:rFonts w:cs="Arial"/>
        </w:rPr>
      </w:pPr>
      <w:bookmarkStart w:id="376" w:name="_Toc101863818"/>
      <w:bookmarkStart w:id="377" w:name="_Toc139356687"/>
      <w:r w:rsidRPr="00AC4AEA">
        <w:rPr>
          <w:rFonts w:cs="Arial"/>
        </w:rPr>
        <w:t>Medición posterior</w:t>
      </w:r>
      <w:bookmarkEnd w:id="376"/>
      <w:bookmarkEnd w:id="377"/>
      <w:r w:rsidRPr="00AC4AEA">
        <w:rPr>
          <w:rFonts w:cs="Arial"/>
        </w:rPr>
        <w:t xml:space="preserve"> </w:t>
      </w:r>
    </w:p>
    <w:p w:rsidR="006C71BA" w:rsidRPr="00AC4AEA" w:rsidRDefault="006C71B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w:t>
      </w:r>
      <w:r w:rsidR="00E4239F" w:rsidRPr="00AC4AEA">
        <w:rPr>
          <w:rFonts w:ascii="Arial" w:hAnsi="Arial" w:cs="Arial"/>
          <w:sz w:val="20"/>
          <w:szCs w:val="20"/>
        </w:rPr>
        <w:t xml:space="preserve">los créditos en moneda, distintos de los derechos de facturar </w:t>
      </w:r>
      <w:r w:rsidR="00094AB6" w:rsidRPr="00AC4AEA">
        <w:rPr>
          <w:rFonts w:ascii="Arial" w:hAnsi="Arial" w:cs="Arial"/>
          <w:sz w:val="20"/>
          <w:szCs w:val="20"/>
        </w:rPr>
        <w:t>a clientes y de los derechos de reembolso</w:t>
      </w:r>
      <w:r w:rsidRPr="00AC4AEA">
        <w:rPr>
          <w:rFonts w:ascii="Arial" w:hAnsi="Arial" w:cs="Arial"/>
          <w:sz w:val="20"/>
          <w:szCs w:val="20"/>
        </w:rPr>
        <w:t>:</w:t>
      </w:r>
    </w:p>
    <w:p w:rsidR="006C71BA" w:rsidRPr="00AC4AEA" w:rsidRDefault="006C71BA" w:rsidP="00A318EA">
      <w:pPr>
        <w:pStyle w:val="Prrafodelista"/>
        <w:numPr>
          <w:ilvl w:val="0"/>
          <w:numId w:val="265"/>
        </w:numPr>
        <w:ind w:left="1560"/>
        <w:contextualSpacing w:val="0"/>
        <w:jc w:val="both"/>
        <w:rPr>
          <w:rFonts w:ascii="Arial" w:hAnsi="Arial" w:cs="Arial"/>
          <w:sz w:val="20"/>
          <w:szCs w:val="20"/>
        </w:rPr>
      </w:pPr>
      <w:r w:rsidRPr="00AC4AEA">
        <w:rPr>
          <w:rFonts w:ascii="Arial" w:hAnsi="Arial" w:cs="Arial"/>
          <w:sz w:val="20"/>
          <w:szCs w:val="20"/>
        </w:rPr>
        <w:t>Al valor nominal</w:t>
      </w:r>
      <w:r w:rsidR="00E610AF" w:rsidRPr="00AC4AEA">
        <w:rPr>
          <w:rFonts w:ascii="Arial" w:hAnsi="Arial" w:cs="Arial"/>
          <w:sz w:val="20"/>
          <w:szCs w:val="20"/>
        </w:rPr>
        <w:t>,</w:t>
      </w:r>
      <w:r w:rsidRPr="00AC4AEA">
        <w:rPr>
          <w:rFonts w:ascii="Arial" w:hAnsi="Arial" w:cs="Arial"/>
          <w:sz w:val="20"/>
          <w:szCs w:val="20"/>
        </w:rPr>
        <w:t xml:space="preserve"> cuando la entidad no segregó componentes financieros implícitos en </w:t>
      </w:r>
      <w:r w:rsidR="003015AE" w:rsidRPr="00AC4AEA">
        <w:rPr>
          <w:rFonts w:ascii="Arial" w:hAnsi="Arial" w:cs="Arial"/>
          <w:sz w:val="20"/>
          <w:szCs w:val="20"/>
        </w:rPr>
        <w:t>el momento de su</w:t>
      </w:r>
      <w:r w:rsidRPr="00AC4AEA">
        <w:rPr>
          <w:rFonts w:ascii="Arial" w:hAnsi="Arial" w:cs="Arial"/>
          <w:sz w:val="20"/>
          <w:szCs w:val="20"/>
        </w:rPr>
        <w:t xml:space="preserve"> reconocimiento</w:t>
      </w:r>
      <w:r w:rsidR="00E610AF" w:rsidRPr="00AC4AEA">
        <w:rPr>
          <w:rFonts w:ascii="Arial" w:hAnsi="Arial" w:cs="Arial"/>
          <w:sz w:val="20"/>
          <w:szCs w:val="20"/>
        </w:rPr>
        <w:t>, de acuerdo con lo establecido en el apartado “</w:t>
      </w:r>
      <w:r w:rsidR="00E610AF" w:rsidRPr="00AC4AEA">
        <w:rPr>
          <w:rFonts w:ascii="Arial" w:hAnsi="Arial" w:cs="Arial"/>
          <w:sz w:val="20"/>
          <w:szCs w:val="20"/>
          <w:u w:val="single"/>
        </w:rPr>
        <w:t>Segregación de componentes financieros implícitos</w:t>
      </w:r>
      <w:r w:rsidR="00E610AF"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00E610AF"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00E610AF" w:rsidRPr="00AC4AEA">
        <w:rPr>
          <w:rFonts w:ascii="Arial" w:hAnsi="Arial" w:cs="Arial"/>
          <w:sz w:val="20"/>
          <w:szCs w:val="20"/>
        </w:rPr>
        <w:t>]</w:t>
      </w:r>
      <w:r w:rsidRPr="00AC4AEA">
        <w:rPr>
          <w:rFonts w:ascii="Arial" w:hAnsi="Arial" w:cs="Arial"/>
          <w:sz w:val="20"/>
          <w:szCs w:val="20"/>
        </w:rPr>
        <w:t>.</w:t>
      </w:r>
    </w:p>
    <w:p w:rsidR="006C71BA" w:rsidRPr="00AC4AEA" w:rsidRDefault="006C71BA" w:rsidP="00A318EA">
      <w:pPr>
        <w:pStyle w:val="Prrafodelista"/>
        <w:numPr>
          <w:ilvl w:val="0"/>
          <w:numId w:val="265"/>
        </w:numPr>
        <w:ind w:left="1560"/>
        <w:contextualSpacing w:val="0"/>
        <w:jc w:val="both"/>
        <w:rPr>
          <w:rFonts w:ascii="Arial" w:hAnsi="Arial" w:cs="Arial"/>
          <w:sz w:val="20"/>
          <w:szCs w:val="20"/>
        </w:rPr>
      </w:pPr>
      <w:r w:rsidRPr="00AC4AEA">
        <w:rPr>
          <w:rFonts w:ascii="Arial" w:hAnsi="Arial" w:cs="Arial"/>
          <w:sz w:val="20"/>
          <w:szCs w:val="20"/>
        </w:rPr>
        <w:t xml:space="preserve">Al </w:t>
      </w:r>
      <w:r w:rsidRPr="00AC4AEA">
        <w:rPr>
          <w:rFonts w:ascii="Arial" w:hAnsi="Arial" w:cs="Arial"/>
          <w:b/>
          <w:bCs/>
          <w:sz w:val="20"/>
          <w:szCs w:val="20"/>
        </w:rPr>
        <w:t>costo amortizado</w:t>
      </w:r>
      <w:r w:rsidRPr="00AC4AEA">
        <w:rPr>
          <w:rFonts w:ascii="Arial" w:hAnsi="Arial" w:cs="Arial"/>
          <w:sz w:val="20"/>
          <w:szCs w:val="20"/>
        </w:rPr>
        <w:t xml:space="preserve">, en la medida en que no estén comprendidos en el párrafo siguiente, cuando: </w:t>
      </w:r>
    </w:p>
    <w:p w:rsidR="006C71BA" w:rsidRPr="00AC4AEA" w:rsidRDefault="006C71BA" w:rsidP="00A318EA">
      <w:pPr>
        <w:pStyle w:val="Prrafodelista"/>
        <w:numPr>
          <w:ilvl w:val="0"/>
          <w:numId w:val="266"/>
        </w:numPr>
        <w:ind w:left="1843"/>
        <w:contextualSpacing w:val="0"/>
        <w:jc w:val="both"/>
        <w:rPr>
          <w:rFonts w:ascii="Arial" w:hAnsi="Arial" w:cs="Arial"/>
          <w:sz w:val="20"/>
          <w:szCs w:val="20"/>
        </w:rPr>
      </w:pPr>
      <w:r w:rsidRPr="00AC4AEA">
        <w:rPr>
          <w:rFonts w:ascii="Arial" w:hAnsi="Arial" w:cs="Arial"/>
          <w:sz w:val="20"/>
          <w:szCs w:val="20"/>
        </w:rPr>
        <w:t xml:space="preserve">se pactaron componentes financieros explícitos; </w:t>
      </w:r>
    </w:p>
    <w:p w:rsidR="006C71BA" w:rsidRPr="00AC4AEA" w:rsidRDefault="006C71BA" w:rsidP="00A318EA">
      <w:pPr>
        <w:pStyle w:val="Prrafodelista"/>
        <w:numPr>
          <w:ilvl w:val="0"/>
          <w:numId w:val="266"/>
        </w:numPr>
        <w:ind w:left="1843"/>
        <w:contextualSpacing w:val="0"/>
        <w:jc w:val="both"/>
        <w:rPr>
          <w:rFonts w:ascii="Arial" w:hAnsi="Arial" w:cs="Arial"/>
          <w:sz w:val="20"/>
          <w:szCs w:val="20"/>
        </w:rPr>
      </w:pPr>
      <w:r w:rsidRPr="00AC4AEA">
        <w:rPr>
          <w:rFonts w:ascii="Arial" w:hAnsi="Arial" w:cs="Arial"/>
          <w:sz w:val="20"/>
          <w:szCs w:val="20"/>
        </w:rPr>
        <w:t xml:space="preserve">en el momento de la medición inicial la entidad segregó </w:t>
      </w:r>
      <w:r w:rsidRPr="00AC4AEA">
        <w:rPr>
          <w:rFonts w:ascii="Arial" w:hAnsi="Arial" w:cs="Arial"/>
          <w:b/>
          <w:bCs/>
          <w:sz w:val="20"/>
          <w:szCs w:val="20"/>
        </w:rPr>
        <w:t>componentes financieros implícitos</w:t>
      </w:r>
      <w:r w:rsidR="00E610AF" w:rsidRPr="00AC4AEA">
        <w:rPr>
          <w:rFonts w:ascii="Arial" w:hAnsi="Arial" w:cs="Arial"/>
          <w:sz w:val="20"/>
          <w:szCs w:val="20"/>
        </w:rPr>
        <w:t>, de acuerdo con lo establecido en el apartado “</w:t>
      </w:r>
      <w:r w:rsidR="00E610AF" w:rsidRPr="00AC4AEA">
        <w:rPr>
          <w:rFonts w:ascii="Arial" w:hAnsi="Arial" w:cs="Arial"/>
          <w:sz w:val="20"/>
          <w:szCs w:val="20"/>
          <w:u w:val="single"/>
        </w:rPr>
        <w:t>Segregación de componentes financieros implícitos</w:t>
      </w:r>
      <w:r w:rsidR="00E610AF"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00E610AF"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00E610AF" w:rsidRPr="00AC4AEA">
        <w:rPr>
          <w:rFonts w:ascii="Arial" w:hAnsi="Arial" w:cs="Arial"/>
          <w:sz w:val="20"/>
          <w:szCs w:val="20"/>
        </w:rPr>
        <w:t>]</w:t>
      </w:r>
      <w:r w:rsidR="00196685" w:rsidRPr="00AC4AEA">
        <w:rPr>
          <w:rFonts w:ascii="Arial" w:hAnsi="Arial" w:cs="Arial"/>
          <w:sz w:val="20"/>
          <w:szCs w:val="20"/>
        </w:rPr>
        <w:t>; o</w:t>
      </w:r>
    </w:p>
    <w:p w:rsidR="00196685" w:rsidRPr="00AC4AEA" w:rsidRDefault="00196685" w:rsidP="00A318EA">
      <w:pPr>
        <w:pStyle w:val="Prrafodelista"/>
        <w:numPr>
          <w:ilvl w:val="0"/>
          <w:numId w:val="266"/>
        </w:numPr>
        <w:ind w:left="1843"/>
        <w:contextualSpacing w:val="0"/>
        <w:jc w:val="both"/>
        <w:rPr>
          <w:rFonts w:ascii="Arial" w:hAnsi="Arial" w:cs="Arial"/>
          <w:sz w:val="20"/>
          <w:szCs w:val="20"/>
        </w:rPr>
      </w:pPr>
      <w:r w:rsidRPr="00AC4AEA">
        <w:rPr>
          <w:rFonts w:ascii="Arial" w:hAnsi="Arial" w:cs="Arial"/>
          <w:sz w:val="20"/>
          <w:szCs w:val="20"/>
        </w:rPr>
        <w:t xml:space="preserve">en el momento de la medición inicial la entidad aplicó el inciso b) del párrafo </w:t>
      </w:r>
      <w:fldSimple w:instr=" REF _Ref132011942 \r \h  \* MERGEFORMAT ">
        <w:r w:rsidR="00D33A5D" w:rsidRPr="00D33A5D">
          <w:rPr>
            <w:rFonts w:ascii="Arial" w:hAnsi="Arial" w:cs="Arial"/>
            <w:sz w:val="20"/>
            <w:szCs w:val="20"/>
          </w:rPr>
          <w:t>242</w:t>
        </w:r>
      </w:fldSimple>
      <w:r w:rsidRPr="00AC4AEA">
        <w:rPr>
          <w:rFonts w:ascii="Arial" w:hAnsi="Arial" w:cs="Arial"/>
          <w:sz w:val="20"/>
          <w:szCs w:val="20"/>
        </w:rPr>
        <w:t>.</w:t>
      </w:r>
    </w:p>
    <w:p w:rsidR="006C71BA" w:rsidRPr="00AC4AEA" w:rsidRDefault="006C71BA" w:rsidP="00A318EA">
      <w:pPr>
        <w:pStyle w:val="Prrafodelista"/>
        <w:numPr>
          <w:ilvl w:val="0"/>
          <w:numId w:val="265"/>
        </w:numPr>
        <w:ind w:left="1560"/>
        <w:contextualSpacing w:val="0"/>
        <w:jc w:val="both"/>
        <w:rPr>
          <w:rFonts w:ascii="Arial" w:hAnsi="Arial" w:cs="Arial"/>
          <w:sz w:val="20"/>
          <w:szCs w:val="20"/>
        </w:rPr>
      </w:pPr>
      <w:r w:rsidRPr="00AC4AEA">
        <w:rPr>
          <w:rFonts w:ascii="Arial" w:hAnsi="Arial" w:cs="Arial"/>
          <w:sz w:val="20"/>
          <w:szCs w:val="20"/>
        </w:rPr>
        <w:t xml:space="preserve">Al </w:t>
      </w:r>
      <w:r w:rsidRPr="00AC4AEA">
        <w:rPr>
          <w:rFonts w:ascii="Arial" w:hAnsi="Arial" w:cs="Arial"/>
          <w:b/>
          <w:bCs/>
          <w:sz w:val="20"/>
          <w:szCs w:val="20"/>
        </w:rPr>
        <w:t xml:space="preserve">valor </w:t>
      </w:r>
      <w:r w:rsidR="00CE1ACA" w:rsidRPr="00AC4AEA">
        <w:rPr>
          <w:rFonts w:ascii="Arial" w:hAnsi="Arial" w:cs="Arial"/>
          <w:b/>
          <w:bCs/>
          <w:sz w:val="20"/>
          <w:szCs w:val="20"/>
        </w:rPr>
        <w:t>razonable</w:t>
      </w:r>
      <w:r w:rsidR="00D54925" w:rsidRPr="00D54925">
        <w:rPr>
          <w:rFonts w:ascii="Arial" w:hAnsi="Arial" w:cs="Arial"/>
          <w:sz w:val="20"/>
          <w:szCs w:val="20"/>
        </w:rPr>
        <w:t>,</w:t>
      </w:r>
      <w:r w:rsidRPr="00AC4AEA">
        <w:rPr>
          <w:rFonts w:ascii="Arial" w:hAnsi="Arial" w:cs="Arial"/>
          <w:sz w:val="20"/>
          <w:szCs w:val="20"/>
        </w:rPr>
        <w:t xml:space="preserve"> cuando:</w:t>
      </w:r>
    </w:p>
    <w:p w:rsidR="006C71BA" w:rsidRPr="00AC4AEA" w:rsidRDefault="006C71BA" w:rsidP="00A318EA">
      <w:pPr>
        <w:pStyle w:val="Prrafodelista"/>
        <w:numPr>
          <w:ilvl w:val="0"/>
          <w:numId w:val="267"/>
        </w:numPr>
        <w:ind w:left="1843"/>
        <w:contextualSpacing w:val="0"/>
        <w:jc w:val="both"/>
        <w:rPr>
          <w:rFonts w:ascii="Arial" w:hAnsi="Arial" w:cs="Arial"/>
          <w:sz w:val="20"/>
          <w:szCs w:val="20"/>
        </w:rPr>
      </w:pPr>
      <w:r w:rsidRPr="00AC4AEA">
        <w:rPr>
          <w:rFonts w:ascii="Arial" w:hAnsi="Arial" w:cs="Arial"/>
          <w:sz w:val="20"/>
          <w:szCs w:val="20"/>
        </w:rPr>
        <w:t>la entidad no es pequeña ni mediana; y</w:t>
      </w:r>
    </w:p>
    <w:p w:rsidR="006C71BA" w:rsidRPr="00AC4AEA" w:rsidRDefault="006C71BA" w:rsidP="00A318EA">
      <w:pPr>
        <w:pStyle w:val="Prrafodelista"/>
        <w:numPr>
          <w:ilvl w:val="0"/>
          <w:numId w:val="267"/>
        </w:numPr>
        <w:ind w:left="1843"/>
        <w:contextualSpacing w:val="0"/>
        <w:jc w:val="both"/>
        <w:rPr>
          <w:rFonts w:ascii="Arial" w:hAnsi="Arial" w:cs="Arial"/>
          <w:sz w:val="20"/>
          <w:szCs w:val="20"/>
        </w:rPr>
      </w:pPr>
      <w:r w:rsidRPr="00AC4AEA">
        <w:rPr>
          <w:rFonts w:ascii="Arial" w:hAnsi="Arial" w:cs="Arial"/>
          <w:sz w:val="20"/>
          <w:szCs w:val="20"/>
        </w:rPr>
        <w:t>cumple los criterios siguientes:</w:t>
      </w:r>
    </w:p>
    <w:p w:rsidR="006C71BA" w:rsidRPr="00AC4AEA" w:rsidRDefault="006C71BA" w:rsidP="00A318EA">
      <w:pPr>
        <w:pStyle w:val="Prrafodelista"/>
        <w:numPr>
          <w:ilvl w:val="0"/>
          <w:numId w:val="268"/>
        </w:numPr>
        <w:ind w:left="2268" w:hanging="357"/>
        <w:contextualSpacing w:val="0"/>
        <w:jc w:val="both"/>
        <w:rPr>
          <w:rFonts w:ascii="Arial" w:hAnsi="Arial" w:cs="Arial"/>
          <w:sz w:val="20"/>
          <w:szCs w:val="20"/>
        </w:rPr>
      </w:pPr>
      <w:r w:rsidRPr="00AC4AEA">
        <w:rPr>
          <w:rFonts w:ascii="Arial" w:hAnsi="Arial" w:cs="Arial"/>
          <w:sz w:val="20"/>
          <w:szCs w:val="20"/>
        </w:rPr>
        <w:t>tiene la intención y factibilidad de negociarlos, cederlos o transferirlos anticipadamente;</w:t>
      </w:r>
    </w:p>
    <w:p w:rsidR="006C71BA" w:rsidRPr="00AC4AEA" w:rsidRDefault="006C71BA" w:rsidP="00A318EA">
      <w:pPr>
        <w:pStyle w:val="Prrafodelista"/>
        <w:numPr>
          <w:ilvl w:val="0"/>
          <w:numId w:val="268"/>
        </w:numPr>
        <w:ind w:left="2268"/>
        <w:contextualSpacing w:val="0"/>
        <w:jc w:val="both"/>
        <w:rPr>
          <w:rFonts w:ascii="Arial" w:hAnsi="Arial" w:cs="Arial"/>
          <w:sz w:val="20"/>
          <w:szCs w:val="20"/>
        </w:rPr>
      </w:pPr>
      <w:r w:rsidRPr="00AC4AEA">
        <w:rPr>
          <w:rFonts w:ascii="Arial" w:hAnsi="Arial" w:cs="Arial"/>
          <w:sz w:val="20"/>
          <w:szCs w:val="20"/>
        </w:rPr>
        <w:t xml:space="preserve">puede acceder a un mercado existente para la realización anticipada de sus créditos; </w:t>
      </w:r>
    </w:p>
    <w:p w:rsidR="006C71BA" w:rsidRPr="00AC4AEA" w:rsidRDefault="006C71BA" w:rsidP="00A318EA">
      <w:pPr>
        <w:pStyle w:val="Prrafodelista"/>
        <w:numPr>
          <w:ilvl w:val="0"/>
          <w:numId w:val="268"/>
        </w:numPr>
        <w:ind w:left="2268"/>
        <w:contextualSpacing w:val="0"/>
        <w:jc w:val="both"/>
        <w:rPr>
          <w:rFonts w:ascii="Arial" w:hAnsi="Arial" w:cs="Arial"/>
          <w:sz w:val="20"/>
          <w:szCs w:val="20"/>
        </w:rPr>
      </w:pPr>
      <w:r w:rsidRPr="00AC4AEA">
        <w:rPr>
          <w:rFonts w:ascii="Arial" w:hAnsi="Arial" w:cs="Arial"/>
          <w:sz w:val="20"/>
          <w:szCs w:val="20"/>
        </w:rPr>
        <w:t xml:space="preserve">su conducta o modalidad operativa es revelada por hechos anteriores o posteriores a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y</w:t>
      </w:r>
    </w:p>
    <w:p w:rsidR="006C71BA" w:rsidRPr="00AC4AEA" w:rsidRDefault="006C71BA" w:rsidP="00A318EA">
      <w:pPr>
        <w:pStyle w:val="Prrafodelista"/>
        <w:numPr>
          <w:ilvl w:val="0"/>
          <w:numId w:val="268"/>
        </w:numPr>
        <w:ind w:left="2268"/>
        <w:contextualSpacing w:val="0"/>
        <w:jc w:val="both"/>
        <w:rPr>
          <w:rFonts w:ascii="Arial" w:hAnsi="Arial" w:cs="Arial"/>
          <w:sz w:val="20"/>
          <w:szCs w:val="20"/>
        </w:rPr>
      </w:pPr>
      <w:r w:rsidRPr="00AC4AEA">
        <w:rPr>
          <w:rFonts w:ascii="Arial" w:hAnsi="Arial" w:cs="Arial"/>
          <w:sz w:val="20"/>
          <w:szCs w:val="20"/>
        </w:rPr>
        <w:t>la operación d</w:t>
      </w:r>
      <w:r w:rsidR="00233BD8">
        <w:rPr>
          <w:rFonts w:ascii="Arial" w:hAnsi="Arial" w:cs="Arial"/>
          <w:sz w:val="20"/>
          <w:szCs w:val="20"/>
        </w:rPr>
        <w:t>é</w:t>
      </w:r>
      <w:r w:rsidRPr="00AC4AEA">
        <w:rPr>
          <w:rFonts w:ascii="Arial" w:hAnsi="Arial" w:cs="Arial"/>
          <w:sz w:val="20"/>
          <w:szCs w:val="20"/>
        </w:rPr>
        <w:t xml:space="preserve"> lugar a la baja en cuentas según lo establecido por </w:t>
      </w:r>
      <w:r w:rsidR="00663E1C" w:rsidRPr="00AC4AEA">
        <w:rPr>
          <w:rFonts w:ascii="Arial" w:hAnsi="Arial" w:cs="Arial"/>
          <w:sz w:val="20"/>
          <w:szCs w:val="20"/>
        </w:rPr>
        <w:t xml:space="preserve">los </w:t>
      </w:r>
      <w:r w:rsidRPr="00AC4AEA">
        <w:rPr>
          <w:rFonts w:ascii="Arial" w:hAnsi="Arial" w:cs="Arial"/>
          <w:sz w:val="20"/>
          <w:szCs w:val="20"/>
        </w:rPr>
        <w:t>párrafo</w:t>
      </w:r>
      <w:r w:rsidR="00663E1C" w:rsidRPr="00AC4AEA">
        <w:rPr>
          <w:rFonts w:ascii="Arial" w:hAnsi="Arial" w:cs="Arial"/>
          <w:sz w:val="20"/>
          <w:szCs w:val="20"/>
        </w:rPr>
        <w:t>s</w:t>
      </w:r>
      <w:r w:rsidR="00644B0F" w:rsidRPr="00AC4AEA">
        <w:rPr>
          <w:rFonts w:ascii="Arial" w:hAnsi="Arial" w:cs="Arial"/>
          <w:sz w:val="20"/>
          <w:szCs w:val="20"/>
        </w:rPr>
        <w:t xml:space="preserve"> </w:t>
      </w:r>
      <w:fldSimple w:instr=" REF _Ref81210017 \r \h  \* MERGEFORMAT ">
        <w:r w:rsidR="00D33A5D" w:rsidRPr="00D33A5D">
          <w:rPr>
            <w:rFonts w:ascii="Arial" w:hAnsi="Arial" w:cs="Arial"/>
            <w:sz w:val="20"/>
            <w:szCs w:val="20"/>
          </w:rPr>
          <w:t>256</w:t>
        </w:r>
      </w:fldSimple>
      <w:r w:rsidR="00663E1C" w:rsidRPr="00AC4AEA">
        <w:rPr>
          <w:rFonts w:ascii="Arial" w:hAnsi="Arial" w:cs="Arial"/>
          <w:sz w:val="20"/>
          <w:szCs w:val="20"/>
        </w:rPr>
        <w:t xml:space="preserve"> </w:t>
      </w:r>
      <w:r w:rsidR="006A33AF" w:rsidRPr="00AC4AEA">
        <w:rPr>
          <w:rFonts w:ascii="Arial" w:hAnsi="Arial" w:cs="Arial"/>
          <w:sz w:val="20"/>
          <w:szCs w:val="20"/>
        </w:rPr>
        <w:t xml:space="preserve">a </w:t>
      </w:r>
      <w:fldSimple w:instr=" REF _Ref103265960 \r \h  \* MERGEFORMAT ">
        <w:r w:rsidR="00D33A5D" w:rsidRPr="00D33A5D">
          <w:rPr>
            <w:rFonts w:ascii="Arial" w:hAnsi="Arial" w:cs="Arial"/>
            <w:sz w:val="20"/>
            <w:szCs w:val="20"/>
          </w:rPr>
          <w:t>261</w:t>
        </w:r>
      </w:fldSimple>
      <w:r w:rsidRPr="00AC4AEA">
        <w:rPr>
          <w:rFonts w:ascii="Arial" w:hAnsi="Arial" w:cs="Arial"/>
          <w:sz w:val="20"/>
          <w:szCs w:val="20"/>
        </w:rPr>
        <w:t>.</w:t>
      </w:r>
    </w:p>
    <w:p w:rsidR="006C71BA" w:rsidRPr="00AC4AEA" w:rsidRDefault="00F0433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Cuando</w:t>
      </w:r>
      <w:r w:rsidR="003015AE" w:rsidRPr="00AC4AEA">
        <w:rPr>
          <w:rFonts w:ascii="Arial" w:hAnsi="Arial" w:cs="Arial"/>
          <w:sz w:val="20"/>
          <w:szCs w:val="20"/>
        </w:rPr>
        <w:t xml:space="preserve"> la medición posterior</w:t>
      </w:r>
      <w:r w:rsidRPr="00AC4AEA">
        <w:rPr>
          <w:rFonts w:ascii="Arial" w:hAnsi="Arial" w:cs="Arial"/>
          <w:sz w:val="20"/>
          <w:szCs w:val="20"/>
        </w:rPr>
        <w:t xml:space="preserve"> no se base en algún </w:t>
      </w:r>
      <w:r w:rsidRPr="00AC4AEA">
        <w:rPr>
          <w:rFonts w:ascii="Arial" w:hAnsi="Arial" w:cs="Arial"/>
          <w:b/>
          <w:bCs/>
          <w:sz w:val="20"/>
          <w:szCs w:val="20"/>
        </w:rPr>
        <w:t>valor corriente</w:t>
      </w:r>
      <w:r w:rsidR="003015AE" w:rsidRPr="00AC4AEA">
        <w:rPr>
          <w:rFonts w:ascii="Arial" w:hAnsi="Arial" w:cs="Arial"/>
          <w:sz w:val="20"/>
          <w:szCs w:val="20"/>
        </w:rPr>
        <w:t>, una entidad utilizará:</w:t>
      </w:r>
    </w:p>
    <w:p w:rsidR="006C71BA" w:rsidRPr="00AC4AEA" w:rsidRDefault="006C71BA" w:rsidP="00A318EA">
      <w:pPr>
        <w:pStyle w:val="Prrafodelista"/>
        <w:numPr>
          <w:ilvl w:val="0"/>
          <w:numId w:val="269"/>
        </w:numPr>
        <w:ind w:left="1560"/>
        <w:contextualSpacing w:val="0"/>
        <w:jc w:val="both"/>
        <w:rPr>
          <w:rFonts w:ascii="Arial" w:hAnsi="Arial" w:cs="Arial"/>
          <w:sz w:val="20"/>
          <w:szCs w:val="20"/>
        </w:rPr>
      </w:pPr>
      <w:r w:rsidRPr="00AC4AEA">
        <w:rPr>
          <w:rFonts w:ascii="Arial" w:hAnsi="Arial" w:cs="Arial"/>
          <w:sz w:val="20"/>
          <w:szCs w:val="20"/>
        </w:rPr>
        <w:t>La misma tasa de interés que utilizó en el momento de la medición inicial, si el tipo pactado fuera fijo.</w:t>
      </w:r>
    </w:p>
    <w:p w:rsidR="006C71BA" w:rsidRPr="00AC4AEA" w:rsidRDefault="006C71BA" w:rsidP="00A318EA">
      <w:pPr>
        <w:pStyle w:val="Prrafodelista"/>
        <w:numPr>
          <w:ilvl w:val="0"/>
          <w:numId w:val="269"/>
        </w:numPr>
        <w:ind w:left="1560"/>
        <w:contextualSpacing w:val="0"/>
        <w:jc w:val="both"/>
        <w:rPr>
          <w:rFonts w:ascii="Arial" w:hAnsi="Arial" w:cs="Arial"/>
          <w:sz w:val="20"/>
          <w:szCs w:val="20"/>
        </w:rPr>
      </w:pPr>
      <w:r w:rsidRPr="00AC4AEA">
        <w:rPr>
          <w:rFonts w:ascii="Arial" w:hAnsi="Arial" w:cs="Arial"/>
          <w:sz w:val="20"/>
          <w:szCs w:val="20"/>
        </w:rPr>
        <w:t xml:space="preserve">La tasa variable que corresponda aplicar a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xml:space="preserve"> según lo establecido en el </w:t>
      </w:r>
      <w:r w:rsidRPr="003A4B10">
        <w:rPr>
          <w:rFonts w:ascii="Arial" w:hAnsi="Arial" w:cs="Arial"/>
          <w:b/>
          <w:bCs/>
          <w:sz w:val="20"/>
          <w:szCs w:val="20"/>
        </w:rPr>
        <w:t>contrato</w:t>
      </w:r>
      <w:r w:rsidRPr="00AC4AEA">
        <w:rPr>
          <w:rFonts w:ascii="Arial" w:hAnsi="Arial" w:cs="Arial"/>
          <w:sz w:val="20"/>
          <w:szCs w:val="20"/>
        </w:rPr>
        <w:t>, si el tipo pactado fuera variable.</w:t>
      </w:r>
    </w:p>
    <w:p w:rsidR="00E4239F" w:rsidRPr="00AC4AEA" w:rsidRDefault="00E4239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los derechos de facturar a clientes por la </w:t>
      </w:r>
      <w:r w:rsidR="00A82EFF" w:rsidRPr="00AC4AEA">
        <w:rPr>
          <w:rFonts w:ascii="Arial" w:hAnsi="Arial" w:cs="Arial"/>
          <w:sz w:val="20"/>
          <w:szCs w:val="20"/>
        </w:rPr>
        <w:t>sumatoria de</w:t>
      </w:r>
      <w:r w:rsidRPr="00AC4AEA">
        <w:rPr>
          <w:rFonts w:ascii="Arial" w:hAnsi="Arial" w:cs="Arial"/>
          <w:sz w:val="20"/>
          <w:szCs w:val="20"/>
        </w:rPr>
        <w:t xml:space="preserve"> los importes reconocidos</w:t>
      </w:r>
      <w:r w:rsidR="001C3527" w:rsidRPr="00AC4AEA">
        <w:rPr>
          <w:rFonts w:ascii="Arial" w:hAnsi="Arial" w:cs="Arial"/>
          <w:sz w:val="20"/>
          <w:szCs w:val="20"/>
        </w:rPr>
        <w:t>, en el presente ejercicio o en ejercicios anteriores</w:t>
      </w:r>
      <w:r w:rsidR="00094AB6" w:rsidRPr="00AC4AEA">
        <w:rPr>
          <w:rFonts w:ascii="Arial" w:hAnsi="Arial" w:cs="Arial"/>
          <w:sz w:val="20"/>
          <w:szCs w:val="20"/>
        </w:rPr>
        <w:t>,</w:t>
      </w:r>
      <w:r w:rsidRPr="00AC4AEA">
        <w:rPr>
          <w:rFonts w:ascii="Arial" w:hAnsi="Arial" w:cs="Arial"/>
          <w:sz w:val="20"/>
          <w:szCs w:val="20"/>
        </w:rPr>
        <w:t xml:space="preserve"> </w:t>
      </w:r>
      <w:r w:rsidR="00FF3A04" w:rsidRPr="00AC4AEA">
        <w:rPr>
          <w:rFonts w:ascii="Arial" w:hAnsi="Arial" w:cs="Arial"/>
          <w:sz w:val="20"/>
          <w:szCs w:val="20"/>
        </w:rPr>
        <w:t>originados</w:t>
      </w:r>
      <w:r w:rsidRPr="00AC4AEA">
        <w:rPr>
          <w:rFonts w:ascii="Arial" w:hAnsi="Arial" w:cs="Arial"/>
          <w:sz w:val="20"/>
          <w:szCs w:val="20"/>
        </w:rPr>
        <w:t xml:space="preserve"> </w:t>
      </w:r>
      <w:r w:rsidR="00FF3A04" w:rsidRPr="00AC4AEA">
        <w:rPr>
          <w:rFonts w:ascii="Arial" w:hAnsi="Arial" w:cs="Arial"/>
          <w:sz w:val="20"/>
          <w:szCs w:val="20"/>
        </w:rPr>
        <w:t>en</w:t>
      </w:r>
      <w:r w:rsidRPr="00AC4AEA">
        <w:rPr>
          <w:rFonts w:ascii="Arial" w:hAnsi="Arial" w:cs="Arial"/>
          <w:sz w:val="20"/>
          <w:szCs w:val="20"/>
        </w:rPr>
        <w:t xml:space="preserve"> </w:t>
      </w:r>
      <w:r w:rsidRPr="00AC4AEA">
        <w:rPr>
          <w:rFonts w:ascii="Arial" w:hAnsi="Arial" w:cs="Arial"/>
          <w:b/>
          <w:bCs/>
          <w:sz w:val="20"/>
          <w:szCs w:val="20"/>
        </w:rPr>
        <w:t>ingresos de actividades ordinarias</w:t>
      </w:r>
      <w:r w:rsidRPr="00AC4AEA">
        <w:rPr>
          <w:rFonts w:ascii="Arial" w:hAnsi="Arial" w:cs="Arial"/>
          <w:sz w:val="20"/>
          <w:szCs w:val="20"/>
        </w:rPr>
        <w:t xml:space="preserve"> no facturados</w:t>
      </w:r>
      <w:r w:rsidR="00FF3A04" w:rsidRPr="00AC4AEA">
        <w:rPr>
          <w:rFonts w:ascii="Arial" w:hAnsi="Arial" w:cs="Arial"/>
          <w:sz w:val="20"/>
          <w:szCs w:val="20"/>
        </w:rPr>
        <w:t>, según lo establecido en la sección “</w:t>
      </w:r>
      <w:r w:rsidR="00FF3A04" w:rsidRPr="00AC4AEA">
        <w:rPr>
          <w:rFonts w:ascii="Arial" w:hAnsi="Arial" w:cs="Arial"/>
          <w:sz w:val="20"/>
          <w:szCs w:val="20"/>
          <w:u w:val="single"/>
        </w:rPr>
        <w:t xml:space="preserve">Reconocimiento de ingresos de actividades </w:t>
      </w:r>
      <w:r w:rsidR="00963389" w:rsidRPr="00AC4AEA">
        <w:rPr>
          <w:rFonts w:ascii="Arial" w:hAnsi="Arial" w:cs="Arial"/>
          <w:sz w:val="20"/>
          <w:szCs w:val="20"/>
          <w:u w:val="single"/>
        </w:rPr>
        <w:t>ordinarias</w:t>
      </w:r>
      <w:r w:rsidR="00FF3A04" w:rsidRPr="00AC4AEA">
        <w:rPr>
          <w:rFonts w:ascii="Arial" w:hAnsi="Arial" w:cs="Arial"/>
          <w:sz w:val="20"/>
          <w:szCs w:val="20"/>
          <w:u w:val="single"/>
        </w:rPr>
        <w:t xml:space="preserve"> procedentes de transacciones (operaciones de intercambio)</w:t>
      </w:r>
      <w:r w:rsidR="00FF3A04" w:rsidRPr="00AC4AEA">
        <w:rPr>
          <w:rFonts w:ascii="Arial" w:hAnsi="Arial" w:cs="Arial"/>
          <w:sz w:val="20"/>
          <w:szCs w:val="20"/>
        </w:rPr>
        <w:t xml:space="preserve">” </w:t>
      </w:r>
      <w:r w:rsidR="00416F65" w:rsidRPr="00AC4AEA">
        <w:rPr>
          <w:rFonts w:ascii="Arial" w:hAnsi="Arial" w:cs="Arial"/>
          <w:sz w:val="20"/>
          <w:szCs w:val="20"/>
        </w:rPr>
        <w:t>[</w:t>
      </w:r>
      <w:r w:rsidR="00FF3A04" w:rsidRPr="00AC4AEA">
        <w:rPr>
          <w:rFonts w:ascii="Arial" w:hAnsi="Arial" w:cs="Arial"/>
          <w:sz w:val="20"/>
          <w:szCs w:val="20"/>
        </w:rPr>
        <w:t xml:space="preserve">ver los párrafos </w:t>
      </w:r>
      <w:fldSimple w:instr=" REF _Ref129077804 \r \h  \* MERGEFORMAT ">
        <w:r w:rsidR="00D33A5D" w:rsidRPr="00D33A5D">
          <w:rPr>
            <w:rFonts w:ascii="Arial" w:hAnsi="Arial" w:cs="Arial"/>
            <w:sz w:val="20"/>
            <w:szCs w:val="20"/>
          </w:rPr>
          <w:t>522</w:t>
        </w:r>
      </w:fldSimple>
      <w:r w:rsidR="00FF3A04" w:rsidRPr="00AC4AEA">
        <w:rPr>
          <w:rFonts w:ascii="Arial" w:hAnsi="Arial" w:cs="Arial"/>
          <w:sz w:val="20"/>
          <w:szCs w:val="20"/>
        </w:rPr>
        <w:t xml:space="preserve"> a</w:t>
      </w:r>
      <w:r w:rsidR="00EA7F45">
        <w:rPr>
          <w:rFonts w:ascii="Arial" w:hAnsi="Arial" w:cs="Arial"/>
          <w:sz w:val="20"/>
          <w:szCs w:val="20"/>
        </w:rPr>
        <w:t xml:space="preserve"> </w:t>
      </w:r>
      <w:fldSimple w:instr=" REF _Ref104535952 \r \h  \* MERGEFORMAT ">
        <w:r w:rsidR="00D33A5D" w:rsidRPr="00D33A5D">
          <w:rPr>
            <w:rFonts w:ascii="Arial" w:hAnsi="Arial" w:cs="Arial"/>
            <w:sz w:val="20"/>
            <w:szCs w:val="20"/>
          </w:rPr>
          <w:t>526</w:t>
        </w:r>
      </w:fldSimple>
      <w:r w:rsidR="00040B88">
        <w:rPr>
          <w:rFonts w:ascii="Arial" w:hAnsi="Arial" w:cs="Arial"/>
          <w:sz w:val="20"/>
          <w:szCs w:val="20"/>
        </w:rPr>
        <w:t xml:space="preserve"> </w:t>
      </w:r>
      <w:r w:rsidR="00FF3A04" w:rsidRPr="00AC4AEA">
        <w:rPr>
          <w:rFonts w:ascii="Arial" w:hAnsi="Arial" w:cs="Arial"/>
          <w:sz w:val="20"/>
          <w:szCs w:val="20"/>
        </w:rPr>
        <w:t>]</w:t>
      </w:r>
      <w:r w:rsidR="00094AB6" w:rsidRPr="00AC4AEA">
        <w:rPr>
          <w:rFonts w:ascii="Arial" w:hAnsi="Arial" w:cs="Arial"/>
          <w:sz w:val="20"/>
          <w:szCs w:val="20"/>
        </w:rPr>
        <w:t>.</w:t>
      </w:r>
      <w:r w:rsidRPr="00AC4AEA">
        <w:rPr>
          <w:rFonts w:ascii="Arial" w:hAnsi="Arial" w:cs="Arial"/>
          <w:sz w:val="20"/>
          <w:szCs w:val="20"/>
        </w:rPr>
        <w:t xml:space="preserve"> </w:t>
      </w:r>
    </w:p>
    <w:p w:rsidR="002A7740" w:rsidRPr="00AC4AEA" w:rsidRDefault="002A774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medirá los derechos de reembolso por el menor de los siguientes:</w:t>
      </w:r>
    </w:p>
    <w:p w:rsidR="002A7740" w:rsidRPr="00AC4AEA" w:rsidRDefault="004B669C" w:rsidP="00A318EA">
      <w:pPr>
        <w:pStyle w:val="Prrafodelista"/>
        <w:numPr>
          <w:ilvl w:val="0"/>
          <w:numId w:val="336"/>
        </w:numPr>
        <w:contextualSpacing w:val="0"/>
        <w:jc w:val="both"/>
        <w:rPr>
          <w:rFonts w:ascii="Arial" w:hAnsi="Arial" w:cs="Arial"/>
          <w:sz w:val="20"/>
          <w:szCs w:val="20"/>
        </w:rPr>
      </w:pPr>
      <w:r w:rsidRPr="00AC4AEA">
        <w:rPr>
          <w:rFonts w:ascii="Arial" w:hAnsi="Arial" w:cs="Arial"/>
          <w:sz w:val="20"/>
          <w:szCs w:val="20"/>
        </w:rPr>
        <w:t xml:space="preserve">el </w:t>
      </w:r>
      <w:r w:rsidR="007E2B74" w:rsidRPr="00AC4AEA">
        <w:rPr>
          <w:rFonts w:ascii="Arial" w:hAnsi="Arial" w:cs="Arial"/>
          <w:sz w:val="20"/>
          <w:szCs w:val="20"/>
        </w:rPr>
        <w:t>importe</w:t>
      </w:r>
      <w:r w:rsidRPr="00AC4AEA">
        <w:rPr>
          <w:rFonts w:ascii="Arial" w:hAnsi="Arial" w:cs="Arial"/>
          <w:sz w:val="20"/>
          <w:szCs w:val="20"/>
        </w:rPr>
        <w:t xml:space="preserve"> originalmente reconocido</w:t>
      </w:r>
      <w:r w:rsidR="002A7740" w:rsidRPr="00AC4AEA">
        <w:rPr>
          <w:rFonts w:ascii="Arial" w:hAnsi="Arial" w:cs="Arial"/>
          <w:sz w:val="20"/>
          <w:szCs w:val="20"/>
        </w:rPr>
        <w:t xml:space="preserve">; </w:t>
      </w:r>
    </w:p>
    <w:p w:rsidR="002A7740" w:rsidRPr="00AC4AEA" w:rsidRDefault="004B669C" w:rsidP="00A318EA">
      <w:pPr>
        <w:pStyle w:val="Prrafodelista"/>
        <w:numPr>
          <w:ilvl w:val="0"/>
          <w:numId w:val="336"/>
        </w:numPr>
        <w:contextualSpacing w:val="0"/>
        <w:jc w:val="both"/>
        <w:rPr>
          <w:rFonts w:ascii="Arial" w:hAnsi="Arial" w:cs="Arial"/>
          <w:sz w:val="20"/>
          <w:szCs w:val="20"/>
        </w:rPr>
      </w:pPr>
      <w:r w:rsidRPr="00AC4AEA">
        <w:rPr>
          <w:rFonts w:ascii="Arial" w:hAnsi="Arial" w:cs="Arial"/>
          <w:sz w:val="20"/>
          <w:szCs w:val="20"/>
        </w:rPr>
        <w:t xml:space="preserve">la </w:t>
      </w:r>
      <w:r w:rsidR="002A7740" w:rsidRPr="00AC4AEA">
        <w:rPr>
          <w:rFonts w:ascii="Arial" w:hAnsi="Arial" w:cs="Arial"/>
          <w:sz w:val="20"/>
          <w:szCs w:val="20"/>
        </w:rPr>
        <w:t xml:space="preserve">suma que espera recuperar como consecuencia </w:t>
      </w:r>
      <w:r w:rsidR="005A2B38" w:rsidRPr="00AC4AEA">
        <w:rPr>
          <w:rFonts w:ascii="Arial" w:hAnsi="Arial" w:cs="Arial"/>
          <w:sz w:val="20"/>
          <w:szCs w:val="20"/>
        </w:rPr>
        <w:t xml:space="preserve">del </w:t>
      </w:r>
      <w:r w:rsidR="002A7740" w:rsidRPr="00AC4AEA">
        <w:rPr>
          <w:rFonts w:ascii="Arial" w:hAnsi="Arial" w:cs="Arial"/>
          <w:sz w:val="20"/>
          <w:szCs w:val="20"/>
        </w:rPr>
        <w:t>desembolso</w:t>
      </w:r>
      <w:r w:rsidRPr="00AC4AEA">
        <w:rPr>
          <w:rFonts w:ascii="Arial" w:hAnsi="Arial" w:cs="Arial"/>
          <w:sz w:val="20"/>
          <w:szCs w:val="20"/>
        </w:rPr>
        <w:t xml:space="preserve"> futuro</w:t>
      </w:r>
      <w:r w:rsidR="002A7740" w:rsidRPr="00AC4AEA">
        <w:rPr>
          <w:rFonts w:ascii="Arial" w:hAnsi="Arial" w:cs="Arial"/>
          <w:sz w:val="20"/>
          <w:szCs w:val="20"/>
        </w:rPr>
        <w:t>.</w:t>
      </w:r>
    </w:p>
    <w:p w:rsidR="006C71BA" w:rsidRPr="00AC4AEA" w:rsidRDefault="006C71BA" w:rsidP="00A318EA">
      <w:pPr>
        <w:ind w:left="360"/>
        <w:jc w:val="both"/>
        <w:rPr>
          <w:rFonts w:ascii="Arial" w:hAnsi="Arial" w:cs="Arial"/>
          <w:sz w:val="20"/>
          <w:szCs w:val="20"/>
        </w:rPr>
      </w:pPr>
    </w:p>
    <w:p w:rsidR="006C71BA" w:rsidRPr="00AC4AEA" w:rsidRDefault="006C71BA" w:rsidP="00A318EA">
      <w:pPr>
        <w:pStyle w:val="Ttulo2"/>
        <w:rPr>
          <w:rFonts w:cs="Arial"/>
        </w:rPr>
      </w:pPr>
      <w:bookmarkStart w:id="378" w:name="_Toc101863819"/>
      <w:bookmarkStart w:id="379" w:name="_Toc139356688"/>
      <w:r w:rsidRPr="00AC4AEA">
        <w:rPr>
          <w:rFonts w:cs="Arial"/>
        </w:rPr>
        <w:t>Comparación con el valor recuperable</w:t>
      </w:r>
      <w:bookmarkEnd w:id="378"/>
      <w:bookmarkEnd w:id="379"/>
    </w:p>
    <w:p w:rsidR="00094AB6" w:rsidRPr="00AC4AEA" w:rsidRDefault="00464B79" w:rsidP="00A318EA">
      <w:pPr>
        <w:pStyle w:val="Prrafodelista"/>
        <w:numPr>
          <w:ilvl w:val="0"/>
          <w:numId w:val="29"/>
        </w:numPr>
        <w:contextualSpacing w:val="0"/>
        <w:jc w:val="both"/>
        <w:rPr>
          <w:rFonts w:ascii="Arial" w:hAnsi="Arial" w:cs="Arial"/>
          <w:sz w:val="20"/>
          <w:szCs w:val="20"/>
        </w:rPr>
      </w:pPr>
      <w:bookmarkStart w:id="380" w:name="_Ref102987949"/>
      <w:r w:rsidRPr="00AC4AEA">
        <w:rPr>
          <w:rFonts w:ascii="Arial" w:hAnsi="Arial" w:cs="Arial"/>
          <w:sz w:val="20"/>
          <w:szCs w:val="20"/>
        </w:rPr>
        <w:t xml:space="preserve">A la </w:t>
      </w:r>
      <w:r w:rsidRPr="00AC4AEA">
        <w:rPr>
          <w:rFonts w:ascii="Arial" w:hAnsi="Arial" w:cs="Arial"/>
          <w:b/>
          <w:bCs/>
          <w:sz w:val="20"/>
          <w:szCs w:val="20"/>
        </w:rPr>
        <w:t>fecha de los estados contables</w:t>
      </w:r>
      <w:r w:rsidRPr="00AC4AEA">
        <w:rPr>
          <w:rFonts w:ascii="Arial" w:hAnsi="Arial" w:cs="Arial"/>
          <w:sz w:val="20"/>
          <w:szCs w:val="20"/>
        </w:rPr>
        <w:t>, u</w:t>
      </w:r>
      <w:r w:rsidR="006C71BA" w:rsidRPr="00AC4AEA">
        <w:rPr>
          <w:rFonts w:ascii="Arial" w:hAnsi="Arial" w:cs="Arial"/>
          <w:sz w:val="20"/>
          <w:szCs w:val="20"/>
        </w:rPr>
        <w:t>na entidad evaluará si existen indicios de desvalorización de</w:t>
      </w:r>
      <w:r w:rsidR="009668A3" w:rsidRPr="00AC4AEA">
        <w:rPr>
          <w:rFonts w:ascii="Arial" w:hAnsi="Arial" w:cs="Arial"/>
          <w:sz w:val="20"/>
          <w:szCs w:val="20"/>
        </w:rPr>
        <w:t xml:space="preserve"> los siguientes activos, excepto cuando se trate de </w:t>
      </w:r>
      <w:r w:rsidR="005174CB" w:rsidRPr="00AC4AEA">
        <w:rPr>
          <w:rFonts w:ascii="Arial" w:hAnsi="Arial" w:cs="Arial"/>
          <w:sz w:val="20"/>
          <w:szCs w:val="20"/>
        </w:rPr>
        <w:t>créditos en moneda</w:t>
      </w:r>
      <w:r w:rsidR="009668A3" w:rsidRPr="00AC4AEA">
        <w:rPr>
          <w:rFonts w:ascii="Arial" w:hAnsi="Arial" w:cs="Arial"/>
          <w:sz w:val="20"/>
          <w:szCs w:val="20"/>
        </w:rPr>
        <w:t xml:space="preserve"> contabilizad</w:t>
      </w:r>
      <w:r w:rsidR="005174CB" w:rsidRPr="00AC4AEA">
        <w:rPr>
          <w:rFonts w:ascii="Arial" w:hAnsi="Arial" w:cs="Arial"/>
          <w:sz w:val="20"/>
          <w:szCs w:val="20"/>
        </w:rPr>
        <w:t>o</w:t>
      </w:r>
      <w:r w:rsidR="009668A3" w:rsidRPr="00AC4AEA">
        <w:rPr>
          <w:rFonts w:ascii="Arial" w:hAnsi="Arial" w:cs="Arial"/>
          <w:sz w:val="20"/>
          <w:szCs w:val="20"/>
        </w:rPr>
        <w:t xml:space="preserve">s </w:t>
      </w:r>
      <w:r w:rsidR="005174CB" w:rsidRPr="00AC4AEA">
        <w:rPr>
          <w:rFonts w:ascii="Arial" w:hAnsi="Arial" w:cs="Arial"/>
          <w:sz w:val="20"/>
          <w:szCs w:val="20"/>
        </w:rPr>
        <w:t>según</w:t>
      </w:r>
      <w:r w:rsidR="009668A3" w:rsidRPr="00AC4AEA">
        <w:rPr>
          <w:rFonts w:ascii="Arial" w:hAnsi="Arial" w:cs="Arial"/>
          <w:sz w:val="20"/>
          <w:szCs w:val="20"/>
        </w:rPr>
        <w:t xml:space="preserve"> la opción prevista en el inciso a) del párrafo </w:t>
      </w:r>
      <w:fldSimple w:instr=" REF _Ref132037497 \r \h  \* MERGEFORMAT ">
        <w:r w:rsidR="00D33A5D" w:rsidRPr="00D33A5D">
          <w:rPr>
            <w:rFonts w:ascii="Arial" w:hAnsi="Arial" w:cs="Arial"/>
            <w:sz w:val="20"/>
            <w:szCs w:val="20"/>
          </w:rPr>
          <w:t>244</w:t>
        </w:r>
      </w:fldSimple>
      <w:r w:rsidR="00094AB6" w:rsidRPr="00AC4AEA">
        <w:rPr>
          <w:rFonts w:ascii="Arial" w:hAnsi="Arial" w:cs="Arial"/>
          <w:sz w:val="20"/>
          <w:szCs w:val="20"/>
        </w:rPr>
        <w:t>:</w:t>
      </w:r>
      <w:bookmarkEnd w:id="380"/>
      <w:r w:rsidR="006C71BA" w:rsidRPr="00AC4AEA">
        <w:rPr>
          <w:rFonts w:ascii="Arial" w:hAnsi="Arial" w:cs="Arial"/>
          <w:sz w:val="20"/>
          <w:szCs w:val="20"/>
        </w:rPr>
        <w:t xml:space="preserve"> </w:t>
      </w:r>
    </w:p>
    <w:p w:rsidR="006C71BA" w:rsidRPr="00AC4AEA" w:rsidRDefault="00797336" w:rsidP="00A318EA">
      <w:pPr>
        <w:pStyle w:val="Prrafodelista"/>
        <w:numPr>
          <w:ilvl w:val="0"/>
          <w:numId w:val="337"/>
        </w:numPr>
        <w:contextualSpacing w:val="0"/>
        <w:jc w:val="both"/>
        <w:rPr>
          <w:rFonts w:ascii="Arial" w:hAnsi="Arial" w:cs="Arial"/>
          <w:sz w:val="20"/>
          <w:szCs w:val="20"/>
        </w:rPr>
      </w:pPr>
      <w:r w:rsidRPr="00AC4AEA">
        <w:rPr>
          <w:rFonts w:ascii="Arial" w:hAnsi="Arial" w:cs="Arial"/>
          <w:sz w:val="20"/>
          <w:szCs w:val="20"/>
        </w:rPr>
        <w:t>C</w:t>
      </w:r>
      <w:r w:rsidR="006C71BA" w:rsidRPr="00AC4AEA">
        <w:rPr>
          <w:rFonts w:ascii="Arial" w:hAnsi="Arial" w:cs="Arial"/>
          <w:sz w:val="20"/>
          <w:szCs w:val="20"/>
        </w:rPr>
        <w:t xml:space="preserve">réditos </w:t>
      </w:r>
      <w:r w:rsidR="004C716A" w:rsidRPr="00AC4AEA">
        <w:rPr>
          <w:rFonts w:ascii="Arial" w:hAnsi="Arial" w:cs="Arial"/>
          <w:sz w:val="20"/>
          <w:szCs w:val="20"/>
        </w:rPr>
        <w:t xml:space="preserve">en moneda </w:t>
      </w:r>
      <w:r w:rsidR="006C71BA" w:rsidRPr="00AC4AEA">
        <w:rPr>
          <w:rFonts w:ascii="Arial" w:hAnsi="Arial" w:cs="Arial"/>
          <w:sz w:val="20"/>
          <w:szCs w:val="20"/>
        </w:rPr>
        <w:t xml:space="preserve">medidos al valor nominal o al </w:t>
      </w:r>
      <w:r w:rsidR="006C71BA" w:rsidRPr="00AC4AEA">
        <w:rPr>
          <w:rFonts w:ascii="Arial" w:hAnsi="Arial" w:cs="Arial"/>
          <w:b/>
          <w:bCs/>
          <w:sz w:val="20"/>
          <w:szCs w:val="20"/>
        </w:rPr>
        <w:t>costo amortizado</w:t>
      </w:r>
      <w:r w:rsidR="00094AB6" w:rsidRPr="00AC4AEA">
        <w:rPr>
          <w:rFonts w:ascii="Arial" w:hAnsi="Arial" w:cs="Arial"/>
          <w:sz w:val="20"/>
          <w:szCs w:val="20"/>
        </w:rPr>
        <w:t>;</w:t>
      </w:r>
    </w:p>
    <w:p w:rsidR="00094AB6" w:rsidRPr="00AC4AEA" w:rsidRDefault="00797336" w:rsidP="00A318EA">
      <w:pPr>
        <w:pStyle w:val="Prrafodelista"/>
        <w:numPr>
          <w:ilvl w:val="0"/>
          <w:numId w:val="337"/>
        </w:numPr>
        <w:contextualSpacing w:val="0"/>
        <w:jc w:val="both"/>
        <w:rPr>
          <w:rFonts w:ascii="Arial" w:hAnsi="Arial" w:cs="Arial"/>
          <w:sz w:val="20"/>
          <w:szCs w:val="20"/>
        </w:rPr>
      </w:pPr>
      <w:r w:rsidRPr="00AC4AEA">
        <w:rPr>
          <w:rFonts w:ascii="Arial" w:hAnsi="Arial" w:cs="Arial"/>
          <w:sz w:val="20"/>
          <w:szCs w:val="20"/>
        </w:rPr>
        <w:t>D</w:t>
      </w:r>
      <w:r w:rsidR="00094AB6" w:rsidRPr="00AC4AEA">
        <w:rPr>
          <w:rFonts w:ascii="Arial" w:hAnsi="Arial" w:cs="Arial"/>
          <w:sz w:val="20"/>
          <w:szCs w:val="20"/>
        </w:rPr>
        <w:t>erechos de facturar a clientes</w:t>
      </w:r>
      <w:r w:rsidRPr="00AC4AEA">
        <w:rPr>
          <w:rFonts w:ascii="Arial" w:hAnsi="Arial" w:cs="Arial"/>
          <w:sz w:val="20"/>
          <w:szCs w:val="20"/>
        </w:rPr>
        <w:t>.</w:t>
      </w:r>
    </w:p>
    <w:p w:rsidR="00094AB6" w:rsidRPr="00AC4AEA" w:rsidRDefault="00797336" w:rsidP="00A318EA">
      <w:pPr>
        <w:pStyle w:val="Prrafodelista"/>
        <w:numPr>
          <w:ilvl w:val="0"/>
          <w:numId w:val="337"/>
        </w:numPr>
        <w:contextualSpacing w:val="0"/>
        <w:jc w:val="both"/>
        <w:rPr>
          <w:rFonts w:ascii="Arial" w:hAnsi="Arial" w:cs="Arial"/>
          <w:sz w:val="20"/>
          <w:szCs w:val="20"/>
        </w:rPr>
      </w:pPr>
      <w:r w:rsidRPr="00AC4AEA">
        <w:rPr>
          <w:rFonts w:ascii="Arial" w:hAnsi="Arial" w:cs="Arial"/>
          <w:sz w:val="20"/>
          <w:szCs w:val="20"/>
        </w:rPr>
        <w:t>D</w:t>
      </w:r>
      <w:r w:rsidR="00094AB6" w:rsidRPr="00AC4AEA">
        <w:rPr>
          <w:rFonts w:ascii="Arial" w:hAnsi="Arial" w:cs="Arial"/>
          <w:sz w:val="20"/>
          <w:szCs w:val="20"/>
        </w:rPr>
        <w:t>erechos de reembolso.</w:t>
      </w:r>
    </w:p>
    <w:p w:rsidR="006C71BA" w:rsidRPr="00AC4AEA" w:rsidRDefault="006C71BA" w:rsidP="00A318EA">
      <w:pPr>
        <w:pStyle w:val="A-Normal11"/>
        <w:numPr>
          <w:ilvl w:val="0"/>
          <w:numId w:val="29"/>
        </w:numPr>
        <w:jc w:val="both"/>
        <w:rPr>
          <w:rFonts w:ascii="Arial" w:hAnsi="Arial" w:cs="Arial"/>
          <w:sz w:val="20"/>
        </w:rPr>
      </w:pPr>
      <w:r w:rsidRPr="00AC4AEA">
        <w:rPr>
          <w:rFonts w:ascii="Arial" w:hAnsi="Arial" w:cs="Arial"/>
          <w:sz w:val="20"/>
        </w:rPr>
        <w:t>A los fines de determinar la necesidad de comparar la medición contable de los créditos</w:t>
      </w:r>
      <w:r w:rsidR="00B068AA" w:rsidRPr="00AC4AEA">
        <w:rPr>
          <w:rFonts w:ascii="Arial" w:hAnsi="Arial" w:cs="Arial"/>
          <w:sz w:val="20"/>
        </w:rPr>
        <w:t xml:space="preserve"> indicados en el párrafo </w:t>
      </w:r>
      <w:fldSimple w:instr=" REF _Ref102987949 \r \h  \* MERGEFORMAT ">
        <w:r w:rsidR="00D33A5D" w:rsidRPr="00D33A5D">
          <w:rPr>
            <w:rFonts w:ascii="Arial" w:hAnsi="Arial" w:cs="Arial"/>
            <w:sz w:val="20"/>
          </w:rPr>
          <w:t>251</w:t>
        </w:r>
      </w:fldSimple>
      <w:r w:rsidRPr="00AC4AEA">
        <w:rPr>
          <w:rFonts w:ascii="Arial" w:hAnsi="Arial" w:cs="Arial"/>
          <w:sz w:val="20"/>
        </w:rPr>
        <w:t xml:space="preserve"> con su </w:t>
      </w:r>
      <w:r w:rsidRPr="00AC4AEA">
        <w:rPr>
          <w:rFonts w:ascii="Arial" w:hAnsi="Arial" w:cs="Arial"/>
          <w:b/>
          <w:bCs/>
          <w:sz w:val="20"/>
        </w:rPr>
        <w:t>valor recuperable</w:t>
      </w:r>
      <w:r w:rsidRPr="00AC4AEA">
        <w:rPr>
          <w:rFonts w:ascii="Arial" w:hAnsi="Arial" w:cs="Arial"/>
          <w:sz w:val="20"/>
        </w:rPr>
        <w:t>, una entidad considerará, entre otros, los siguientes indicios de deterioro:</w:t>
      </w:r>
    </w:p>
    <w:p w:rsidR="006C71BA" w:rsidRPr="00AC4AEA" w:rsidRDefault="006C71BA" w:rsidP="00A318EA">
      <w:pPr>
        <w:pStyle w:val="Prrafodelista"/>
        <w:numPr>
          <w:ilvl w:val="0"/>
          <w:numId w:val="80"/>
        </w:numPr>
        <w:ind w:left="1560"/>
        <w:contextualSpacing w:val="0"/>
        <w:jc w:val="both"/>
        <w:rPr>
          <w:rFonts w:ascii="Arial" w:hAnsi="Arial" w:cs="Arial"/>
          <w:sz w:val="20"/>
          <w:szCs w:val="20"/>
        </w:rPr>
      </w:pPr>
      <w:r w:rsidRPr="00AC4AEA">
        <w:rPr>
          <w:rFonts w:ascii="Arial" w:hAnsi="Arial" w:cs="Arial"/>
          <w:sz w:val="20"/>
          <w:szCs w:val="20"/>
        </w:rPr>
        <w:t>Dificultades financieras significativas del deudor.</w:t>
      </w:r>
    </w:p>
    <w:p w:rsidR="006C71BA" w:rsidRPr="00AC4AEA" w:rsidRDefault="006C71BA" w:rsidP="00A318EA">
      <w:pPr>
        <w:pStyle w:val="Prrafodelista"/>
        <w:numPr>
          <w:ilvl w:val="0"/>
          <w:numId w:val="80"/>
        </w:numPr>
        <w:ind w:left="1560"/>
        <w:contextualSpacing w:val="0"/>
        <w:jc w:val="both"/>
        <w:rPr>
          <w:rFonts w:ascii="Arial" w:hAnsi="Arial" w:cs="Arial"/>
          <w:sz w:val="20"/>
          <w:szCs w:val="20"/>
        </w:rPr>
      </w:pPr>
      <w:r w:rsidRPr="00AC4AEA">
        <w:rPr>
          <w:rFonts w:ascii="Arial" w:hAnsi="Arial" w:cs="Arial"/>
          <w:sz w:val="20"/>
          <w:szCs w:val="20"/>
        </w:rPr>
        <w:t>Incumplimientos o infracciones de los acuerdos o contratos celebrados.</w:t>
      </w:r>
    </w:p>
    <w:p w:rsidR="006C71BA" w:rsidRPr="00AC4AEA" w:rsidRDefault="006C71BA" w:rsidP="00A318EA">
      <w:pPr>
        <w:pStyle w:val="Prrafodelista"/>
        <w:numPr>
          <w:ilvl w:val="0"/>
          <w:numId w:val="80"/>
        </w:numPr>
        <w:ind w:left="1560"/>
        <w:contextualSpacing w:val="0"/>
        <w:jc w:val="both"/>
        <w:rPr>
          <w:rFonts w:ascii="Arial" w:hAnsi="Arial" w:cs="Arial"/>
          <w:sz w:val="20"/>
          <w:szCs w:val="20"/>
        </w:rPr>
      </w:pPr>
      <w:r w:rsidRPr="00AC4AEA">
        <w:rPr>
          <w:rFonts w:ascii="Arial" w:hAnsi="Arial" w:cs="Arial"/>
          <w:sz w:val="20"/>
          <w:szCs w:val="20"/>
        </w:rPr>
        <w:t>Probabilidad de que el deudor inicie un proceso concursal o quiebre.</w:t>
      </w:r>
    </w:p>
    <w:p w:rsidR="006C71BA" w:rsidRPr="00AC4AEA" w:rsidRDefault="006C71BA" w:rsidP="00A318EA">
      <w:pPr>
        <w:pStyle w:val="Prrafodelista"/>
        <w:numPr>
          <w:ilvl w:val="0"/>
          <w:numId w:val="80"/>
        </w:numPr>
        <w:ind w:left="1560"/>
        <w:contextualSpacing w:val="0"/>
        <w:jc w:val="both"/>
        <w:rPr>
          <w:rFonts w:ascii="Arial" w:hAnsi="Arial" w:cs="Arial"/>
          <w:sz w:val="20"/>
          <w:szCs w:val="20"/>
        </w:rPr>
      </w:pPr>
      <w:r w:rsidRPr="00AC4AEA">
        <w:rPr>
          <w:rFonts w:ascii="Arial" w:hAnsi="Arial" w:cs="Arial"/>
          <w:sz w:val="20"/>
          <w:szCs w:val="20"/>
        </w:rPr>
        <w:t>Cambios adversos en el entorno económico, tecnológico o legal.</w:t>
      </w:r>
    </w:p>
    <w:p w:rsidR="006C71BA" w:rsidRPr="00AC4AEA" w:rsidRDefault="006C71BA" w:rsidP="00A318EA">
      <w:pPr>
        <w:pStyle w:val="Prrafodelista"/>
        <w:numPr>
          <w:ilvl w:val="0"/>
          <w:numId w:val="80"/>
        </w:numPr>
        <w:ind w:left="1560"/>
        <w:contextualSpacing w:val="0"/>
        <w:jc w:val="both"/>
        <w:rPr>
          <w:rFonts w:ascii="Arial" w:hAnsi="Arial" w:cs="Arial"/>
          <w:sz w:val="20"/>
          <w:szCs w:val="20"/>
        </w:rPr>
      </w:pPr>
      <w:r w:rsidRPr="00AC4AEA">
        <w:rPr>
          <w:rFonts w:ascii="Arial" w:hAnsi="Arial" w:cs="Arial"/>
          <w:sz w:val="20"/>
          <w:szCs w:val="20"/>
        </w:rPr>
        <w:t>Probabilidad de compensar los créditos con obligaciones futuras.</w:t>
      </w:r>
    </w:p>
    <w:p w:rsidR="006C71BA" w:rsidRPr="00AC4AEA" w:rsidRDefault="006C71B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las </w:t>
      </w:r>
      <w:r w:rsidRPr="00AC4AEA">
        <w:rPr>
          <w:rFonts w:ascii="Arial" w:hAnsi="Arial" w:cs="Arial"/>
          <w:b/>
          <w:bCs/>
          <w:sz w:val="20"/>
          <w:szCs w:val="20"/>
        </w:rPr>
        <w:t xml:space="preserve">pérdidas por desvalorización </w:t>
      </w:r>
      <w:r w:rsidRPr="00AC4AEA">
        <w:rPr>
          <w:rFonts w:ascii="Arial" w:hAnsi="Arial" w:cs="Arial"/>
          <w:sz w:val="20"/>
          <w:szCs w:val="20"/>
        </w:rPr>
        <w:t xml:space="preserve">de </w:t>
      </w:r>
      <w:r w:rsidR="00B068AA" w:rsidRPr="00AC4AEA">
        <w:rPr>
          <w:rFonts w:ascii="Arial" w:hAnsi="Arial" w:cs="Arial"/>
          <w:sz w:val="20"/>
          <w:szCs w:val="20"/>
        </w:rPr>
        <w:t xml:space="preserve">los </w:t>
      </w:r>
      <w:r w:rsidRPr="00AC4AEA">
        <w:rPr>
          <w:rFonts w:ascii="Arial" w:hAnsi="Arial" w:cs="Arial"/>
          <w:sz w:val="20"/>
          <w:szCs w:val="20"/>
        </w:rPr>
        <w:t xml:space="preserve">créditos </w:t>
      </w:r>
      <w:r w:rsidR="00B068AA" w:rsidRPr="00AC4AEA">
        <w:rPr>
          <w:rFonts w:ascii="Arial" w:hAnsi="Arial" w:cs="Arial"/>
          <w:sz w:val="20"/>
          <w:szCs w:val="20"/>
        </w:rPr>
        <w:t xml:space="preserve">indicados en el párrafo </w:t>
      </w:r>
      <w:fldSimple w:instr=" REF _Ref102987949 \r \h  \* MERGEFORMAT ">
        <w:r w:rsidR="00D33A5D" w:rsidRPr="00D33A5D">
          <w:rPr>
            <w:rFonts w:ascii="Arial" w:hAnsi="Arial" w:cs="Arial"/>
            <w:sz w:val="20"/>
            <w:szCs w:val="20"/>
          </w:rPr>
          <w:t>251</w:t>
        </w:r>
      </w:fldSimple>
      <w:r w:rsidRPr="00AC4AEA">
        <w:rPr>
          <w:rFonts w:ascii="Arial" w:hAnsi="Arial" w:cs="Arial"/>
          <w:sz w:val="20"/>
          <w:szCs w:val="20"/>
        </w:rPr>
        <w:t xml:space="preserve">, </w:t>
      </w:r>
      <w:r w:rsidR="007E316A" w:rsidRPr="00AC4AEA">
        <w:rPr>
          <w:rFonts w:ascii="Arial" w:hAnsi="Arial" w:cs="Arial"/>
          <w:sz w:val="20"/>
          <w:szCs w:val="20"/>
        </w:rPr>
        <w:t xml:space="preserve">como la </w:t>
      </w:r>
      <w:r w:rsidR="003A34C4" w:rsidRPr="00AC4AEA">
        <w:rPr>
          <w:rFonts w:ascii="Arial" w:hAnsi="Arial" w:cs="Arial"/>
          <w:sz w:val="20"/>
          <w:szCs w:val="20"/>
        </w:rPr>
        <w:t>diferencia</w:t>
      </w:r>
      <w:r w:rsidR="007E316A" w:rsidRPr="00AC4AEA">
        <w:rPr>
          <w:rFonts w:ascii="Arial" w:hAnsi="Arial" w:cs="Arial"/>
          <w:sz w:val="20"/>
          <w:szCs w:val="20"/>
        </w:rPr>
        <w:t xml:space="preserve"> entre los siguientes importes, siempre que el indicado en a) resulte mayor que el indicado en b)</w:t>
      </w:r>
      <w:r w:rsidRPr="00AC4AEA">
        <w:rPr>
          <w:rFonts w:ascii="Arial" w:hAnsi="Arial" w:cs="Arial"/>
          <w:sz w:val="20"/>
          <w:szCs w:val="20"/>
        </w:rPr>
        <w:t>:</w:t>
      </w:r>
    </w:p>
    <w:p w:rsidR="006C71BA" w:rsidRPr="00AC4AEA" w:rsidRDefault="006C71BA" w:rsidP="00A318EA">
      <w:pPr>
        <w:pStyle w:val="Prrafodelista"/>
        <w:numPr>
          <w:ilvl w:val="0"/>
          <w:numId w:val="81"/>
        </w:numPr>
        <w:ind w:left="1560"/>
        <w:contextualSpacing w:val="0"/>
        <w:jc w:val="both"/>
        <w:rPr>
          <w:rFonts w:ascii="Arial" w:hAnsi="Arial" w:cs="Arial"/>
          <w:sz w:val="20"/>
          <w:szCs w:val="20"/>
        </w:rPr>
      </w:pPr>
      <w:r w:rsidRPr="00AC4AEA">
        <w:rPr>
          <w:rFonts w:ascii="Arial" w:hAnsi="Arial" w:cs="Arial"/>
          <w:sz w:val="20"/>
          <w:szCs w:val="20"/>
        </w:rPr>
        <w:t xml:space="preserve">la medición contable del </w:t>
      </w:r>
      <w:r w:rsidRPr="00AC4AEA">
        <w:rPr>
          <w:rFonts w:ascii="Arial" w:hAnsi="Arial" w:cs="Arial"/>
          <w:b/>
          <w:bCs/>
          <w:sz w:val="20"/>
          <w:szCs w:val="20"/>
        </w:rPr>
        <w:t>activo;</w:t>
      </w:r>
      <w:r w:rsidRPr="00AC4AEA">
        <w:rPr>
          <w:rFonts w:ascii="Arial" w:hAnsi="Arial" w:cs="Arial"/>
          <w:sz w:val="20"/>
          <w:szCs w:val="20"/>
        </w:rPr>
        <w:t xml:space="preserve"> y</w:t>
      </w:r>
    </w:p>
    <w:p w:rsidR="006C71BA" w:rsidRPr="00AC4AEA" w:rsidRDefault="006C71BA" w:rsidP="00A318EA">
      <w:pPr>
        <w:pStyle w:val="Prrafodelista"/>
        <w:numPr>
          <w:ilvl w:val="0"/>
          <w:numId w:val="81"/>
        </w:numPr>
        <w:ind w:left="1560"/>
        <w:contextualSpacing w:val="0"/>
        <w:jc w:val="both"/>
        <w:rPr>
          <w:rFonts w:ascii="Arial" w:hAnsi="Arial" w:cs="Arial"/>
          <w:sz w:val="20"/>
          <w:szCs w:val="20"/>
        </w:rPr>
      </w:pPr>
      <w:r w:rsidRPr="00AC4AEA">
        <w:rPr>
          <w:rFonts w:ascii="Arial" w:hAnsi="Arial" w:cs="Arial"/>
          <w:sz w:val="20"/>
          <w:szCs w:val="20"/>
        </w:rPr>
        <w:lastRenderedPageBreak/>
        <w:t>el valor de los flujos de efectivo esperados</w:t>
      </w:r>
      <w:r w:rsidR="00DA68A1" w:rsidRPr="00AC4AEA">
        <w:rPr>
          <w:rFonts w:ascii="Arial" w:hAnsi="Arial" w:cs="Arial"/>
          <w:sz w:val="20"/>
          <w:szCs w:val="20"/>
        </w:rPr>
        <w:t>, que deben ser</w:t>
      </w:r>
      <w:r w:rsidR="006C4313" w:rsidRPr="00AC4AEA">
        <w:rPr>
          <w:rFonts w:ascii="Arial" w:hAnsi="Arial" w:cs="Arial"/>
          <w:sz w:val="20"/>
          <w:szCs w:val="20"/>
        </w:rPr>
        <w:t xml:space="preserve"> consistentes con </w:t>
      </w:r>
      <w:r w:rsidR="00A82EFF" w:rsidRPr="00AC4AEA">
        <w:rPr>
          <w:rFonts w:ascii="Arial" w:hAnsi="Arial" w:cs="Arial"/>
          <w:sz w:val="20"/>
          <w:szCs w:val="20"/>
        </w:rPr>
        <w:t>las incobrabilidades</w:t>
      </w:r>
      <w:r w:rsidR="000D52F5" w:rsidRPr="00AC4AEA">
        <w:rPr>
          <w:rFonts w:ascii="Arial" w:hAnsi="Arial" w:cs="Arial"/>
          <w:sz w:val="20"/>
          <w:szCs w:val="20"/>
        </w:rPr>
        <w:t xml:space="preserve"> y moras que se consideren probables con relación a dicho </w:t>
      </w:r>
      <w:r w:rsidR="000D52F5" w:rsidRPr="00AC4AEA">
        <w:rPr>
          <w:rFonts w:ascii="Arial" w:hAnsi="Arial" w:cs="Arial"/>
          <w:b/>
          <w:bCs/>
          <w:sz w:val="20"/>
          <w:szCs w:val="20"/>
        </w:rPr>
        <w:t>activo</w:t>
      </w:r>
      <w:r w:rsidR="00DA68A1" w:rsidRPr="00AC4AEA">
        <w:rPr>
          <w:rFonts w:ascii="Arial" w:hAnsi="Arial" w:cs="Arial"/>
          <w:sz w:val="20"/>
          <w:szCs w:val="20"/>
        </w:rPr>
        <w:t>,</w:t>
      </w:r>
      <w:r w:rsidRPr="00AC4AEA">
        <w:rPr>
          <w:rFonts w:ascii="Arial" w:hAnsi="Arial" w:cs="Arial"/>
          <w:sz w:val="20"/>
          <w:szCs w:val="20"/>
        </w:rPr>
        <w:t xml:space="preserve"> descontados mediante:</w:t>
      </w:r>
    </w:p>
    <w:p w:rsidR="006C71BA" w:rsidRPr="00AC4AEA" w:rsidRDefault="006C71BA" w:rsidP="00A318EA">
      <w:pPr>
        <w:pStyle w:val="Prrafodelista"/>
        <w:numPr>
          <w:ilvl w:val="0"/>
          <w:numId w:val="82"/>
        </w:numPr>
        <w:ind w:left="1984"/>
        <w:contextualSpacing w:val="0"/>
        <w:jc w:val="both"/>
        <w:rPr>
          <w:rFonts w:ascii="Arial" w:hAnsi="Arial" w:cs="Arial"/>
          <w:sz w:val="20"/>
          <w:szCs w:val="20"/>
        </w:rPr>
      </w:pPr>
      <w:r w:rsidRPr="00AC4AEA">
        <w:rPr>
          <w:rFonts w:ascii="Arial" w:hAnsi="Arial" w:cs="Arial"/>
          <w:sz w:val="20"/>
          <w:szCs w:val="20"/>
        </w:rPr>
        <w:t>La tasa de interés utilizada para la medición inicial (que podría ser igual a cero en el caso de mediciones a valor nominal), si el tipo pactado fuera fijo.</w:t>
      </w:r>
    </w:p>
    <w:p w:rsidR="006C71BA" w:rsidRPr="00AC4AEA" w:rsidRDefault="006C71BA" w:rsidP="00A318EA">
      <w:pPr>
        <w:pStyle w:val="Prrafodelista"/>
        <w:numPr>
          <w:ilvl w:val="0"/>
          <w:numId w:val="82"/>
        </w:numPr>
        <w:ind w:left="1984"/>
        <w:contextualSpacing w:val="0"/>
        <w:jc w:val="both"/>
        <w:rPr>
          <w:rFonts w:ascii="Arial" w:hAnsi="Arial" w:cs="Arial"/>
          <w:sz w:val="20"/>
          <w:szCs w:val="20"/>
        </w:rPr>
      </w:pPr>
      <w:r w:rsidRPr="00AC4AEA">
        <w:rPr>
          <w:rFonts w:ascii="Arial" w:hAnsi="Arial" w:cs="Arial"/>
          <w:sz w:val="20"/>
          <w:szCs w:val="20"/>
        </w:rPr>
        <w:t xml:space="preserve">La tasa de interés efectiva al cierre, de acuerdo con lo establecido en el </w:t>
      </w:r>
      <w:r w:rsidRPr="003A4B10">
        <w:rPr>
          <w:rFonts w:ascii="Arial" w:hAnsi="Arial" w:cs="Arial"/>
          <w:b/>
          <w:bCs/>
          <w:sz w:val="20"/>
          <w:szCs w:val="20"/>
        </w:rPr>
        <w:t>contrato</w:t>
      </w:r>
      <w:r w:rsidRPr="00AC4AEA">
        <w:rPr>
          <w:rFonts w:ascii="Arial" w:hAnsi="Arial" w:cs="Arial"/>
          <w:sz w:val="20"/>
          <w:szCs w:val="20"/>
        </w:rPr>
        <w:t>, si el tipo pactado fuera variable.</w:t>
      </w:r>
    </w:p>
    <w:p w:rsidR="006C71BA" w:rsidRPr="00AC4AEA" w:rsidRDefault="006C71BA" w:rsidP="00A318EA">
      <w:pPr>
        <w:pStyle w:val="A-Normal11"/>
        <w:numPr>
          <w:ilvl w:val="0"/>
          <w:numId w:val="29"/>
        </w:numPr>
        <w:jc w:val="both"/>
        <w:rPr>
          <w:rFonts w:ascii="Arial" w:hAnsi="Arial" w:cs="Arial"/>
          <w:sz w:val="20"/>
        </w:rPr>
      </w:pPr>
      <w:r w:rsidRPr="00AC4AEA">
        <w:rPr>
          <w:rFonts w:ascii="Arial" w:hAnsi="Arial" w:cs="Arial"/>
          <w:sz w:val="20"/>
        </w:rPr>
        <w:t xml:space="preserve">Una entidad revertirá </w:t>
      </w:r>
      <w:r w:rsidRPr="00AC4AEA">
        <w:rPr>
          <w:rFonts w:ascii="Arial" w:hAnsi="Arial" w:cs="Arial"/>
          <w:b/>
          <w:bCs/>
          <w:sz w:val="20"/>
        </w:rPr>
        <w:t xml:space="preserve">pérdidas por desvalorización </w:t>
      </w:r>
      <w:r w:rsidRPr="00AC4AEA">
        <w:rPr>
          <w:rFonts w:ascii="Arial" w:hAnsi="Arial" w:cs="Arial"/>
          <w:sz w:val="20"/>
        </w:rPr>
        <w:t xml:space="preserve">reconocidas en períodos anteriores solo cuando, con posterioridad a la fecha de su </w:t>
      </w:r>
      <w:r w:rsidR="003E6FA2" w:rsidRPr="00AC4AEA">
        <w:rPr>
          <w:rFonts w:ascii="Arial" w:hAnsi="Arial" w:cs="Arial"/>
          <w:sz w:val="20"/>
        </w:rPr>
        <w:t>contabilización,</w:t>
      </w:r>
      <w:r w:rsidRPr="00AC4AEA">
        <w:rPr>
          <w:rFonts w:ascii="Arial" w:hAnsi="Arial" w:cs="Arial"/>
          <w:sz w:val="20"/>
        </w:rPr>
        <w:t xml:space="preserve"> se </w:t>
      </w:r>
      <w:r w:rsidR="003E6FA2" w:rsidRPr="00AC4AEA">
        <w:rPr>
          <w:rFonts w:ascii="Arial" w:hAnsi="Arial" w:cs="Arial"/>
          <w:sz w:val="20"/>
        </w:rPr>
        <w:t>incremente</w:t>
      </w:r>
      <w:r w:rsidRPr="00AC4AEA">
        <w:rPr>
          <w:rFonts w:ascii="Arial" w:hAnsi="Arial" w:cs="Arial"/>
          <w:sz w:val="20"/>
        </w:rPr>
        <w:t xml:space="preserve"> el </w:t>
      </w:r>
      <w:r w:rsidRPr="00AC4AEA">
        <w:rPr>
          <w:rFonts w:ascii="Arial" w:hAnsi="Arial" w:cs="Arial"/>
          <w:b/>
          <w:bCs/>
          <w:sz w:val="20"/>
        </w:rPr>
        <w:t>valor recuperable</w:t>
      </w:r>
      <w:r w:rsidR="003E6FA2" w:rsidRPr="00AC4AEA">
        <w:rPr>
          <w:rFonts w:ascii="Arial" w:hAnsi="Arial" w:cs="Arial"/>
          <w:sz w:val="20"/>
        </w:rPr>
        <w:t xml:space="preserve"> estimado</w:t>
      </w:r>
      <w:r w:rsidRPr="00AC4AEA">
        <w:rPr>
          <w:rFonts w:ascii="Arial" w:hAnsi="Arial" w:cs="Arial"/>
          <w:sz w:val="20"/>
        </w:rPr>
        <w:t xml:space="preserve">. En tal caso, aumentará la medición contable de los créditos </w:t>
      </w:r>
      <w:r w:rsidR="003E6FA2" w:rsidRPr="00AC4AEA">
        <w:rPr>
          <w:rFonts w:ascii="Arial" w:hAnsi="Arial" w:cs="Arial"/>
          <w:sz w:val="20"/>
        </w:rPr>
        <w:t>involucrados</w:t>
      </w:r>
      <w:r w:rsidRPr="00AC4AEA">
        <w:rPr>
          <w:rFonts w:ascii="Arial" w:hAnsi="Arial" w:cs="Arial"/>
          <w:sz w:val="20"/>
        </w:rPr>
        <w:t xml:space="preserve"> por un importe que sea el menor entre:</w:t>
      </w:r>
    </w:p>
    <w:p w:rsidR="006C71BA" w:rsidRPr="00AC4AEA" w:rsidRDefault="006C71BA" w:rsidP="00A318EA">
      <w:pPr>
        <w:pStyle w:val="A-Normal11"/>
        <w:numPr>
          <w:ilvl w:val="0"/>
          <w:numId w:val="83"/>
        </w:numPr>
        <w:ind w:left="1560"/>
        <w:jc w:val="both"/>
        <w:rPr>
          <w:rFonts w:ascii="Arial" w:hAnsi="Arial" w:cs="Arial"/>
          <w:sz w:val="20"/>
        </w:rPr>
      </w:pPr>
      <w:r w:rsidRPr="00AC4AEA">
        <w:rPr>
          <w:rFonts w:ascii="Arial" w:hAnsi="Arial" w:cs="Arial"/>
          <w:sz w:val="20"/>
        </w:rPr>
        <w:t xml:space="preserve">la medición contable que el crédito habría tenido si nunca se hubiese reconocido una </w:t>
      </w:r>
      <w:r w:rsidRPr="00AC4AEA">
        <w:rPr>
          <w:rFonts w:ascii="Arial" w:hAnsi="Arial" w:cs="Arial"/>
          <w:b/>
          <w:bCs/>
          <w:sz w:val="20"/>
        </w:rPr>
        <w:t>pérdida por desvalorización;</w:t>
      </w:r>
      <w:r w:rsidRPr="00AC4AEA">
        <w:rPr>
          <w:rFonts w:ascii="Arial" w:hAnsi="Arial" w:cs="Arial"/>
          <w:sz w:val="20"/>
        </w:rPr>
        <w:t xml:space="preserve"> y</w:t>
      </w:r>
    </w:p>
    <w:p w:rsidR="006C71BA" w:rsidRPr="00AC4AEA" w:rsidRDefault="006C71BA" w:rsidP="00A318EA">
      <w:pPr>
        <w:pStyle w:val="A-Normal11"/>
        <w:numPr>
          <w:ilvl w:val="0"/>
          <w:numId w:val="83"/>
        </w:numPr>
        <w:ind w:left="1560"/>
        <w:jc w:val="both"/>
        <w:rPr>
          <w:rFonts w:ascii="Arial" w:hAnsi="Arial" w:cs="Arial"/>
          <w:sz w:val="20"/>
        </w:rPr>
      </w:pPr>
      <w:r w:rsidRPr="00AC4AEA">
        <w:rPr>
          <w:rFonts w:ascii="Arial" w:hAnsi="Arial" w:cs="Arial"/>
          <w:sz w:val="20"/>
        </w:rPr>
        <w:t xml:space="preserve">su nuevo </w:t>
      </w:r>
      <w:r w:rsidRPr="00AC4AEA">
        <w:rPr>
          <w:rFonts w:ascii="Arial" w:hAnsi="Arial" w:cs="Arial"/>
          <w:b/>
          <w:bCs/>
          <w:sz w:val="20"/>
        </w:rPr>
        <w:t>valor recuperable</w:t>
      </w:r>
      <w:r w:rsidRPr="00AC4AEA">
        <w:rPr>
          <w:rFonts w:ascii="Arial" w:hAnsi="Arial" w:cs="Arial"/>
          <w:sz w:val="20"/>
        </w:rPr>
        <w:t>.</w:t>
      </w:r>
    </w:p>
    <w:p w:rsidR="0069742B" w:rsidRPr="00AC4AEA" w:rsidRDefault="0069742B" w:rsidP="00A318EA">
      <w:pPr>
        <w:pStyle w:val="A-Normal11"/>
        <w:numPr>
          <w:ilvl w:val="0"/>
          <w:numId w:val="29"/>
        </w:numPr>
        <w:jc w:val="both"/>
        <w:rPr>
          <w:rFonts w:ascii="Arial" w:hAnsi="Arial" w:cs="Arial"/>
          <w:sz w:val="20"/>
        </w:rPr>
      </w:pPr>
      <w:r w:rsidRPr="00AC4AEA">
        <w:rPr>
          <w:rFonts w:ascii="Arial" w:hAnsi="Arial" w:cs="Arial"/>
          <w:sz w:val="20"/>
        </w:rPr>
        <w:t xml:space="preserve">Una entidad imputará tanto las </w:t>
      </w:r>
      <w:r w:rsidRPr="00AC4AEA">
        <w:rPr>
          <w:rFonts w:ascii="Arial" w:hAnsi="Arial" w:cs="Arial"/>
          <w:b/>
          <w:bCs/>
          <w:sz w:val="20"/>
        </w:rPr>
        <w:t xml:space="preserve">pérdidas por desvalorización </w:t>
      </w:r>
      <w:r w:rsidRPr="00AC4AEA">
        <w:rPr>
          <w:rFonts w:ascii="Arial" w:hAnsi="Arial" w:cs="Arial"/>
          <w:sz w:val="20"/>
        </w:rPr>
        <w:t>como sus reversiones a los resultados del período</w:t>
      </w:r>
      <w:r w:rsidR="002A009A" w:rsidRPr="00AC4AEA">
        <w:rPr>
          <w:rFonts w:ascii="Arial" w:hAnsi="Arial" w:cs="Arial"/>
          <w:sz w:val="20"/>
        </w:rPr>
        <w:t>.</w:t>
      </w:r>
    </w:p>
    <w:p w:rsidR="006C71BA" w:rsidRPr="00AC4AEA" w:rsidRDefault="006C71BA" w:rsidP="00A318EA">
      <w:pPr>
        <w:pStyle w:val="A-doctorado"/>
        <w:jc w:val="both"/>
        <w:rPr>
          <w:rFonts w:ascii="Arial" w:hAnsi="Arial"/>
          <w:color w:val="auto"/>
          <w:sz w:val="20"/>
          <w:szCs w:val="20"/>
        </w:rPr>
      </w:pPr>
    </w:p>
    <w:p w:rsidR="006C71BA" w:rsidRPr="00AC4AEA" w:rsidRDefault="006C71BA" w:rsidP="00A318EA">
      <w:pPr>
        <w:pStyle w:val="Ttulo2"/>
        <w:rPr>
          <w:rFonts w:cs="Arial"/>
        </w:rPr>
      </w:pPr>
      <w:bookmarkStart w:id="381" w:name="_Toc101863820"/>
      <w:bookmarkStart w:id="382" w:name="_Toc139356689"/>
      <w:r w:rsidRPr="00AC4AEA">
        <w:rPr>
          <w:rFonts w:cs="Arial"/>
        </w:rPr>
        <w:t>Baja en cuentas</w:t>
      </w:r>
      <w:bookmarkEnd w:id="381"/>
      <w:bookmarkEnd w:id="382"/>
    </w:p>
    <w:p w:rsidR="0069742B" w:rsidRPr="00AC4AEA" w:rsidRDefault="0069742B" w:rsidP="00A318EA">
      <w:pPr>
        <w:pStyle w:val="Prrafodelista"/>
        <w:numPr>
          <w:ilvl w:val="0"/>
          <w:numId w:val="29"/>
        </w:numPr>
        <w:contextualSpacing w:val="0"/>
        <w:jc w:val="both"/>
        <w:rPr>
          <w:rFonts w:ascii="Arial" w:hAnsi="Arial" w:cs="Arial"/>
          <w:sz w:val="20"/>
          <w:szCs w:val="20"/>
        </w:rPr>
      </w:pPr>
      <w:bookmarkStart w:id="383" w:name="_Ref81210017"/>
      <w:bookmarkStart w:id="384" w:name="_Ref81210021"/>
      <w:r w:rsidRPr="00AC4AEA">
        <w:rPr>
          <w:rFonts w:ascii="Arial" w:hAnsi="Arial" w:cs="Arial"/>
          <w:sz w:val="20"/>
          <w:szCs w:val="20"/>
        </w:rPr>
        <w:t>Una entidad dará de baja un crédito en moneda cuando:</w:t>
      </w:r>
      <w:bookmarkEnd w:id="383"/>
    </w:p>
    <w:p w:rsidR="00DA68A1" w:rsidRPr="00AC4AEA" w:rsidRDefault="00DA68A1" w:rsidP="00A318EA">
      <w:pPr>
        <w:pStyle w:val="Prrafodelista"/>
        <w:numPr>
          <w:ilvl w:val="0"/>
          <w:numId w:val="270"/>
        </w:numPr>
        <w:ind w:left="1560"/>
        <w:contextualSpacing w:val="0"/>
        <w:jc w:val="both"/>
        <w:rPr>
          <w:rFonts w:ascii="Arial" w:hAnsi="Arial" w:cs="Arial"/>
          <w:sz w:val="20"/>
          <w:szCs w:val="20"/>
        </w:rPr>
      </w:pPr>
      <w:r w:rsidRPr="00AC4AEA">
        <w:rPr>
          <w:rFonts w:ascii="Arial" w:hAnsi="Arial" w:cs="Arial"/>
          <w:sz w:val="20"/>
          <w:szCs w:val="20"/>
        </w:rPr>
        <w:t>se cobre el crédito;</w:t>
      </w:r>
      <w:r w:rsidR="00A771FA" w:rsidRPr="00AC4AEA">
        <w:rPr>
          <w:rFonts w:ascii="Arial" w:hAnsi="Arial" w:cs="Arial"/>
          <w:sz w:val="20"/>
          <w:szCs w:val="20"/>
        </w:rPr>
        <w:t xml:space="preserve"> o, en el caso de los derechos de facturar a clientes, se emita factura o documento similar;</w:t>
      </w:r>
    </w:p>
    <w:p w:rsidR="0069742B" w:rsidRPr="00AC4AEA" w:rsidRDefault="0069742B" w:rsidP="00A318EA">
      <w:pPr>
        <w:pStyle w:val="Prrafodelista"/>
        <w:numPr>
          <w:ilvl w:val="0"/>
          <w:numId w:val="270"/>
        </w:numPr>
        <w:ind w:left="1560"/>
        <w:contextualSpacing w:val="0"/>
        <w:jc w:val="both"/>
        <w:rPr>
          <w:rFonts w:ascii="Arial" w:hAnsi="Arial" w:cs="Arial"/>
          <w:sz w:val="20"/>
          <w:szCs w:val="20"/>
        </w:rPr>
      </w:pPr>
      <w:r w:rsidRPr="00AC4AEA">
        <w:rPr>
          <w:rFonts w:ascii="Arial" w:hAnsi="Arial" w:cs="Arial"/>
          <w:sz w:val="20"/>
          <w:szCs w:val="20"/>
        </w:rPr>
        <w:t>expiren o liquiden todos los derechos contractuales sobre los flujos de efectivo del crédito en moneda</w:t>
      </w:r>
      <w:r w:rsidR="002A009A" w:rsidRPr="00AC4AEA">
        <w:rPr>
          <w:rFonts w:ascii="Arial" w:hAnsi="Arial" w:cs="Arial"/>
          <w:sz w:val="20"/>
          <w:szCs w:val="20"/>
        </w:rPr>
        <w:t>;</w:t>
      </w:r>
    </w:p>
    <w:p w:rsidR="0069742B" w:rsidRPr="00AC4AEA" w:rsidRDefault="0069742B" w:rsidP="00A318EA">
      <w:pPr>
        <w:pStyle w:val="Prrafodelista"/>
        <w:numPr>
          <w:ilvl w:val="0"/>
          <w:numId w:val="270"/>
        </w:numPr>
        <w:ind w:left="1560"/>
        <w:contextualSpacing w:val="0"/>
        <w:jc w:val="both"/>
        <w:rPr>
          <w:rFonts w:ascii="Arial" w:hAnsi="Arial" w:cs="Arial"/>
          <w:sz w:val="20"/>
          <w:szCs w:val="20"/>
        </w:rPr>
      </w:pPr>
      <w:r w:rsidRPr="00AC4AEA">
        <w:rPr>
          <w:rFonts w:ascii="Arial" w:hAnsi="Arial" w:cs="Arial"/>
          <w:sz w:val="20"/>
          <w:szCs w:val="20"/>
        </w:rPr>
        <w:t xml:space="preserve">transfiera dicho </w:t>
      </w:r>
      <w:r w:rsidRPr="00AC4AEA">
        <w:rPr>
          <w:rFonts w:ascii="Arial" w:hAnsi="Arial" w:cs="Arial"/>
          <w:b/>
          <w:bCs/>
          <w:sz w:val="20"/>
          <w:szCs w:val="20"/>
        </w:rPr>
        <w:t>activo</w:t>
      </w:r>
      <w:r w:rsidRPr="00AC4AEA">
        <w:rPr>
          <w:rFonts w:ascii="Arial" w:hAnsi="Arial" w:cs="Arial"/>
          <w:sz w:val="20"/>
          <w:szCs w:val="20"/>
        </w:rPr>
        <w:t xml:space="preserve"> junto con todos los riesgos y ventajas inherentes a la propiedad del crédito, en los términos del inciso b) del párrafo </w:t>
      </w:r>
      <w:fldSimple w:instr=" REF _Ref102989826 \r \h  \* MERGEFORMAT ">
        <w:r w:rsidR="00D33A5D" w:rsidRPr="00D33A5D">
          <w:rPr>
            <w:rFonts w:ascii="Arial" w:hAnsi="Arial" w:cs="Arial"/>
            <w:sz w:val="20"/>
            <w:szCs w:val="20"/>
          </w:rPr>
          <w:t>257</w:t>
        </w:r>
      </w:fldSimple>
      <w:r w:rsidRPr="00AC4AEA">
        <w:rPr>
          <w:rFonts w:ascii="Arial" w:hAnsi="Arial" w:cs="Arial"/>
          <w:sz w:val="20"/>
          <w:szCs w:val="20"/>
        </w:rPr>
        <w:t>; o</w:t>
      </w:r>
    </w:p>
    <w:p w:rsidR="0069742B" w:rsidRPr="00AC4AEA" w:rsidRDefault="0069742B" w:rsidP="00A318EA">
      <w:pPr>
        <w:pStyle w:val="Prrafodelista"/>
        <w:numPr>
          <w:ilvl w:val="0"/>
          <w:numId w:val="270"/>
        </w:numPr>
        <w:ind w:left="1560"/>
        <w:contextualSpacing w:val="0"/>
        <w:jc w:val="both"/>
        <w:rPr>
          <w:rFonts w:ascii="Arial" w:hAnsi="Arial" w:cs="Arial"/>
          <w:sz w:val="20"/>
          <w:szCs w:val="20"/>
        </w:rPr>
      </w:pPr>
      <w:r w:rsidRPr="00AC4AEA">
        <w:rPr>
          <w:rFonts w:ascii="Arial" w:hAnsi="Arial" w:cs="Arial"/>
          <w:sz w:val="20"/>
          <w:szCs w:val="20"/>
        </w:rPr>
        <w:t xml:space="preserve">acuerde una refinanciación con las características descriptas </w:t>
      </w:r>
      <w:r w:rsidR="002A009A" w:rsidRPr="00AC4AEA">
        <w:rPr>
          <w:rFonts w:ascii="Arial" w:hAnsi="Arial" w:cs="Arial"/>
          <w:sz w:val="20"/>
          <w:szCs w:val="20"/>
        </w:rPr>
        <w:t>en el</w:t>
      </w:r>
      <w:r w:rsidRPr="00AC4AEA">
        <w:rPr>
          <w:rFonts w:ascii="Arial" w:hAnsi="Arial" w:cs="Arial"/>
          <w:sz w:val="20"/>
          <w:szCs w:val="20"/>
        </w:rPr>
        <w:t xml:space="preserve"> párrafo</w:t>
      </w:r>
      <w:r w:rsidR="002A009A" w:rsidRPr="00AC4AEA">
        <w:rPr>
          <w:rFonts w:ascii="Arial" w:hAnsi="Arial" w:cs="Arial"/>
          <w:sz w:val="20"/>
          <w:szCs w:val="20"/>
        </w:rPr>
        <w:t xml:space="preserve"> </w:t>
      </w:r>
      <w:fldSimple w:instr=" REF _Ref102838843 \r \h  \* MERGEFORMAT ">
        <w:r w:rsidR="00D33A5D" w:rsidRPr="00D33A5D">
          <w:rPr>
            <w:rFonts w:ascii="Arial" w:hAnsi="Arial" w:cs="Arial"/>
            <w:sz w:val="20"/>
            <w:szCs w:val="20"/>
          </w:rPr>
          <w:t>258</w:t>
        </w:r>
      </w:fldSimple>
      <w:r w:rsidRPr="00AC4AEA">
        <w:rPr>
          <w:rFonts w:ascii="Arial" w:hAnsi="Arial" w:cs="Arial"/>
          <w:sz w:val="20"/>
          <w:szCs w:val="20"/>
        </w:rPr>
        <w:t>.</w:t>
      </w:r>
    </w:p>
    <w:p w:rsidR="006C71BA" w:rsidRPr="00AC4AEA" w:rsidRDefault="006C71BA" w:rsidP="00A318EA">
      <w:pPr>
        <w:pStyle w:val="Prrafodelista"/>
        <w:numPr>
          <w:ilvl w:val="0"/>
          <w:numId w:val="29"/>
        </w:numPr>
        <w:contextualSpacing w:val="0"/>
        <w:jc w:val="both"/>
        <w:rPr>
          <w:rFonts w:ascii="Arial" w:hAnsi="Arial" w:cs="Arial"/>
          <w:sz w:val="20"/>
          <w:szCs w:val="20"/>
        </w:rPr>
      </w:pPr>
      <w:bookmarkStart w:id="385" w:name="_Ref102989826"/>
      <w:r w:rsidRPr="00AC4AEA">
        <w:rPr>
          <w:rFonts w:ascii="Arial" w:hAnsi="Arial" w:cs="Arial"/>
          <w:sz w:val="20"/>
          <w:szCs w:val="20"/>
        </w:rPr>
        <w:t>Si una entidad transfiere créditos en moneda y:</w:t>
      </w:r>
      <w:bookmarkEnd w:id="384"/>
      <w:bookmarkEnd w:id="385"/>
    </w:p>
    <w:p w:rsidR="006C71BA" w:rsidRPr="00AC4AEA" w:rsidRDefault="006C71BA" w:rsidP="00A318EA">
      <w:pPr>
        <w:pStyle w:val="Prrafodelista"/>
        <w:numPr>
          <w:ilvl w:val="0"/>
          <w:numId w:val="271"/>
        </w:numPr>
        <w:ind w:left="1560"/>
        <w:contextualSpacing w:val="0"/>
        <w:jc w:val="both"/>
        <w:rPr>
          <w:rFonts w:ascii="Arial" w:hAnsi="Arial" w:cs="Arial"/>
          <w:sz w:val="20"/>
          <w:szCs w:val="20"/>
        </w:rPr>
      </w:pPr>
      <w:r w:rsidRPr="00AC4AEA">
        <w:rPr>
          <w:rFonts w:ascii="Arial" w:hAnsi="Arial" w:cs="Arial"/>
          <w:sz w:val="20"/>
          <w:szCs w:val="20"/>
        </w:rPr>
        <w:t>Conserva el riesgo de crédito</w:t>
      </w:r>
      <w:r w:rsidR="004C716A" w:rsidRPr="00AC4AEA">
        <w:rPr>
          <w:rFonts w:ascii="Arial" w:hAnsi="Arial" w:cs="Arial"/>
          <w:sz w:val="20"/>
          <w:szCs w:val="20"/>
        </w:rPr>
        <w:t>:</w:t>
      </w:r>
      <w:r w:rsidRPr="00AC4AEA">
        <w:rPr>
          <w:rFonts w:ascii="Arial" w:hAnsi="Arial" w:cs="Arial"/>
          <w:sz w:val="20"/>
          <w:szCs w:val="20"/>
        </w:rPr>
        <w:t xml:space="preserve"> </w:t>
      </w:r>
    </w:p>
    <w:p w:rsidR="006C71BA" w:rsidRPr="00AC4AEA" w:rsidRDefault="006C71BA" w:rsidP="00A318EA">
      <w:pPr>
        <w:pStyle w:val="Prrafodelista"/>
        <w:numPr>
          <w:ilvl w:val="0"/>
          <w:numId w:val="272"/>
        </w:numPr>
        <w:ind w:left="1984"/>
        <w:contextualSpacing w:val="0"/>
        <w:jc w:val="both"/>
        <w:rPr>
          <w:rFonts w:ascii="Arial" w:hAnsi="Arial" w:cs="Arial"/>
          <w:sz w:val="20"/>
          <w:szCs w:val="20"/>
        </w:rPr>
      </w:pPr>
      <w:r w:rsidRPr="00AC4AEA">
        <w:rPr>
          <w:rFonts w:ascii="Arial" w:hAnsi="Arial" w:cs="Arial"/>
          <w:sz w:val="20"/>
          <w:szCs w:val="20"/>
        </w:rPr>
        <w:t xml:space="preserve">no dará de baja en cuentas a los </w:t>
      </w:r>
      <w:r w:rsidR="00497590" w:rsidRPr="00AC4AEA">
        <w:rPr>
          <w:rFonts w:ascii="Arial" w:hAnsi="Arial" w:cs="Arial"/>
          <w:sz w:val="20"/>
          <w:szCs w:val="20"/>
        </w:rPr>
        <w:t>activos</w:t>
      </w:r>
      <w:r w:rsidRPr="00AC4AEA">
        <w:rPr>
          <w:rFonts w:ascii="Arial" w:hAnsi="Arial" w:cs="Arial"/>
          <w:sz w:val="20"/>
          <w:szCs w:val="20"/>
        </w:rPr>
        <w:t xml:space="preserve"> transferidos; y </w:t>
      </w:r>
    </w:p>
    <w:p w:rsidR="006C71BA" w:rsidRPr="00AC4AEA" w:rsidRDefault="006C71BA" w:rsidP="00A318EA">
      <w:pPr>
        <w:pStyle w:val="Prrafodelista"/>
        <w:numPr>
          <w:ilvl w:val="0"/>
          <w:numId w:val="272"/>
        </w:numPr>
        <w:ind w:left="1984"/>
        <w:contextualSpacing w:val="0"/>
        <w:jc w:val="both"/>
        <w:rPr>
          <w:rFonts w:ascii="Arial" w:hAnsi="Arial" w:cs="Arial"/>
          <w:sz w:val="20"/>
          <w:szCs w:val="20"/>
        </w:rPr>
      </w:pPr>
      <w:r w:rsidRPr="00AC4AEA">
        <w:rPr>
          <w:rFonts w:ascii="Arial" w:hAnsi="Arial" w:cs="Arial"/>
          <w:sz w:val="20"/>
          <w:szCs w:val="20"/>
        </w:rPr>
        <w:t xml:space="preserve">contabilizará un </w:t>
      </w:r>
      <w:r w:rsidRPr="00AC4AEA">
        <w:rPr>
          <w:rFonts w:ascii="Arial" w:hAnsi="Arial" w:cs="Arial"/>
          <w:b/>
          <w:bCs/>
          <w:sz w:val="20"/>
          <w:szCs w:val="20"/>
        </w:rPr>
        <w:t xml:space="preserve">pasivo </w:t>
      </w:r>
      <w:r w:rsidRPr="00AC4AEA">
        <w:rPr>
          <w:rFonts w:ascii="Arial" w:hAnsi="Arial" w:cs="Arial"/>
          <w:sz w:val="20"/>
          <w:szCs w:val="20"/>
        </w:rPr>
        <w:t xml:space="preserve">como contrapartida de cualquier </w:t>
      </w:r>
      <w:r w:rsidRPr="00AC4AEA">
        <w:rPr>
          <w:rFonts w:ascii="Arial" w:hAnsi="Arial" w:cs="Arial"/>
          <w:b/>
          <w:bCs/>
          <w:sz w:val="20"/>
          <w:szCs w:val="20"/>
        </w:rPr>
        <w:t>activo</w:t>
      </w:r>
      <w:r w:rsidRPr="00AC4AEA">
        <w:rPr>
          <w:rFonts w:ascii="Arial" w:hAnsi="Arial" w:cs="Arial"/>
          <w:sz w:val="20"/>
          <w:szCs w:val="20"/>
        </w:rPr>
        <w:t xml:space="preserve"> recibido.</w:t>
      </w:r>
    </w:p>
    <w:p w:rsidR="006C71BA" w:rsidRPr="00AC4AEA" w:rsidRDefault="006C71BA" w:rsidP="00A318EA">
      <w:pPr>
        <w:pStyle w:val="Prrafodelista"/>
        <w:numPr>
          <w:ilvl w:val="0"/>
          <w:numId w:val="271"/>
        </w:numPr>
        <w:ind w:left="1560"/>
        <w:contextualSpacing w:val="0"/>
        <w:jc w:val="both"/>
        <w:rPr>
          <w:rFonts w:ascii="Arial" w:hAnsi="Arial" w:cs="Arial"/>
          <w:sz w:val="20"/>
          <w:szCs w:val="20"/>
        </w:rPr>
      </w:pPr>
      <w:r w:rsidRPr="00AC4AEA">
        <w:rPr>
          <w:rFonts w:ascii="Arial" w:hAnsi="Arial" w:cs="Arial"/>
          <w:sz w:val="20"/>
          <w:szCs w:val="20"/>
        </w:rPr>
        <w:t>Transfiere sustancialmente todos los riesgos y ventajas inherentes a la propiedad del crédito</w:t>
      </w:r>
      <w:r w:rsidR="004C716A" w:rsidRPr="00AC4AEA">
        <w:rPr>
          <w:rFonts w:ascii="Arial" w:hAnsi="Arial" w:cs="Arial"/>
          <w:sz w:val="20"/>
          <w:szCs w:val="20"/>
        </w:rPr>
        <w:t xml:space="preserve"> en moneda</w:t>
      </w:r>
      <w:r w:rsidRPr="00AC4AEA">
        <w:rPr>
          <w:rFonts w:ascii="Arial" w:hAnsi="Arial" w:cs="Arial"/>
          <w:sz w:val="20"/>
          <w:szCs w:val="20"/>
        </w:rPr>
        <w:t>:</w:t>
      </w:r>
    </w:p>
    <w:p w:rsidR="006C71BA" w:rsidRPr="00AC4AEA" w:rsidRDefault="006C71BA" w:rsidP="00A318EA">
      <w:pPr>
        <w:pStyle w:val="Prrafodelista"/>
        <w:numPr>
          <w:ilvl w:val="0"/>
          <w:numId w:val="273"/>
        </w:numPr>
        <w:ind w:left="1985"/>
        <w:contextualSpacing w:val="0"/>
        <w:jc w:val="both"/>
        <w:rPr>
          <w:rFonts w:ascii="Arial" w:hAnsi="Arial" w:cs="Arial"/>
          <w:sz w:val="20"/>
          <w:szCs w:val="20"/>
        </w:rPr>
      </w:pPr>
      <w:r w:rsidRPr="00AC4AEA">
        <w:rPr>
          <w:rFonts w:ascii="Arial" w:hAnsi="Arial" w:cs="Arial"/>
          <w:sz w:val="20"/>
          <w:szCs w:val="20"/>
        </w:rPr>
        <w:t xml:space="preserve">reconocerá cualquier </w:t>
      </w:r>
      <w:r w:rsidRPr="00AC4AEA">
        <w:rPr>
          <w:rFonts w:ascii="Arial" w:hAnsi="Arial" w:cs="Arial"/>
          <w:b/>
          <w:bCs/>
          <w:sz w:val="20"/>
          <w:szCs w:val="20"/>
        </w:rPr>
        <w:t>activo</w:t>
      </w:r>
      <w:r w:rsidRPr="00AC4AEA">
        <w:rPr>
          <w:rFonts w:ascii="Arial" w:hAnsi="Arial" w:cs="Arial"/>
          <w:sz w:val="20"/>
          <w:szCs w:val="20"/>
        </w:rPr>
        <w:t xml:space="preserve"> recibido; </w:t>
      </w:r>
    </w:p>
    <w:p w:rsidR="006C71BA" w:rsidRPr="00AC4AEA" w:rsidRDefault="006C71BA" w:rsidP="00A318EA">
      <w:pPr>
        <w:pStyle w:val="Prrafodelista"/>
        <w:numPr>
          <w:ilvl w:val="0"/>
          <w:numId w:val="273"/>
        </w:numPr>
        <w:ind w:left="1985"/>
        <w:contextualSpacing w:val="0"/>
        <w:jc w:val="both"/>
        <w:rPr>
          <w:rFonts w:ascii="Arial" w:hAnsi="Arial" w:cs="Arial"/>
          <w:sz w:val="20"/>
          <w:szCs w:val="20"/>
        </w:rPr>
      </w:pPr>
      <w:r w:rsidRPr="00AC4AEA">
        <w:rPr>
          <w:rFonts w:ascii="Arial" w:hAnsi="Arial" w:cs="Arial"/>
          <w:sz w:val="20"/>
          <w:szCs w:val="20"/>
        </w:rPr>
        <w:lastRenderedPageBreak/>
        <w:t xml:space="preserve">dará de baja al </w:t>
      </w:r>
      <w:r w:rsidRPr="00AC4AEA">
        <w:rPr>
          <w:rFonts w:ascii="Arial" w:hAnsi="Arial" w:cs="Arial"/>
          <w:b/>
          <w:bCs/>
          <w:sz w:val="20"/>
          <w:szCs w:val="20"/>
        </w:rPr>
        <w:t>activo</w:t>
      </w:r>
      <w:r w:rsidRPr="00AC4AEA">
        <w:rPr>
          <w:rFonts w:ascii="Arial" w:hAnsi="Arial" w:cs="Arial"/>
          <w:sz w:val="20"/>
          <w:szCs w:val="20"/>
        </w:rPr>
        <w:t xml:space="preserve"> transferido; y </w:t>
      </w:r>
    </w:p>
    <w:p w:rsidR="006C71BA" w:rsidRPr="00AC4AEA" w:rsidRDefault="006C71BA" w:rsidP="00A318EA">
      <w:pPr>
        <w:pStyle w:val="Prrafodelista"/>
        <w:numPr>
          <w:ilvl w:val="0"/>
          <w:numId w:val="273"/>
        </w:numPr>
        <w:ind w:left="1985"/>
        <w:contextualSpacing w:val="0"/>
        <w:jc w:val="both"/>
        <w:rPr>
          <w:rFonts w:ascii="Arial" w:hAnsi="Arial" w:cs="Arial"/>
          <w:sz w:val="20"/>
          <w:szCs w:val="20"/>
        </w:rPr>
      </w:pPr>
      <w:r w:rsidRPr="00AC4AEA">
        <w:rPr>
          <w:rFonts w:ascii="Arial" w:hAnsi="Arial" w:cs="Arial"/>
          <w:sz w:val="20"/>
          <w:szCs w:val="20"/>
        </w:rPr>
        <w:t>reconocerá cualquier resultado puesto en evidencia por esta transacción.</w:t>
      </w:r>
    </w:p>
    <w:p w:rsidR="006C71BA" w:rsidRPr="00AC4AEA" w:rsidRDefault="006C71BA" w:rsidP="00A318EA">
      <w:pPr>
        <w:pStyle w:val="Prrafodelista"/>
        <w:numPr>
          <w:ilvl w:val="0"/>
          <w:numId w:val="29"/>
        </w:numPr>
        <w:contextualSpacing w:val="0"/>
        <w:jc w:val="both"/>
        <w:rPr>
          <w:rFonts w:ascii="Arial" w:hAnsi="Arial" w:cs="Arial"/>
          <w:sz w:val="20"/>
          <w:szCs w:val="20"/>
        </w:rPr>
      </w:pPr>
      <w:bookmarkStart w:id="386" w:name="_Ref102838843"/>
      <w:r w:rsidRPr="00AC4AEA">
        <w:rPr>
          <w:rFonts w:ascii="Arial" w:hAnsi="Arial" w:cs="Arial"/>
          <w:sz w:val="20"/>
          <w:szCs w:val="20"/>
        </w:rPr>
        <w:t xml:space="preserve">Si una entidad refinancia un crédito </w:t>
      </w:r>
      <w:r w:rsidR="004C716A" w:rsidRPr="00AC4AEA">
        <w:rPr>
          <w:rFonts w:ascii="Arial" w:hAnsi="Arial" w:cs="Arial"/>
          <w:sz w:val="20"/>
          <w:szCs w:val="20"/>
        </w:rPr>
        <w:t xml:space="preserve">en moneda </w:t>
      </w:r>
      <w:r w:rsidRPr="00AC4AEA">
        <w:rPr>
          <w:rFonts w:ascii="Arial" w:hAnsi="Arial" w:cs="Arial"/>
          <w:sz w:val="20"/>
          <w:szCs w:val="20"/>
        </w:rPr>
        <w:t xml:space="preserve">y </w:t>
      </w:r>
      <w:r w:rsidR="0048661E" w:rsidRPr="00AC4AEA">
        <w:rPr>
          <w:rFonts w:ascii="Arial" w:hAnsi="Arial" w:cs="Arial"/>
          <w:sz w:val="20"/>
          <w:szCs w:val="20"/>
        </w:rPr>
        <w:t>el crédito después de la refinanciación es sustancialmente diferente</w:t>
      </w:r>
      <w:r w:rsidRPr="00AC4AEA">
        <w:rPr>
          <w:rFonts w:ascii="Arial" w:hAnsi="Arial" w:cs="Arial"/>
          <w:sz w:val="20"/>
          <w:szCs w:val="20"/>
        </w:rPr>
        <w:t xml:space="preserve"> respecto del crédito </w:t>
      </w:r>
      <w:r w:rsidR="0048661E" w:rsidRPr="00AC4AEA">
        <w:rPr>
          <w:rFonts w:ascii="Arial" w:hAnsi="Arial" w:cs="Arial"/>
          <w:sz w:val="20"/>
          <w:szCs w:val="20"/>
        </w:rPr>
        <w:t>antes de la refinanciación</w:t>
      </w:r>
      <w:r w:rsidRPr="00AC4AEA">
        <w:rPr>
          <w:rFonts w:ascii="Arial" w:hAnsi="Arial" w:cs="Arial"/>
          <w:sz w:val="20"/>
          <w:szCs w:val="20"/>
        </w:rPr>
        <w:t>:</w:t>
      </w:r>
      <w:bookmarkEnd w:id="386"/>
    </w:p>
    <w:p w:rsidR="006C71BA" w:rsidRPr="00AC4AEA" w:rsidRDefault="006C71BA" w:rsidP="00A318EA">
      <w:pPr>
        <w:pStyle w:val="Prrafodelista"/>
        <w:numPr>
          <w:ilvl w:val="0"/>
          <w:numId w:val="353"/>
        </w:numPr>
        <w:contextualSpacing w:val="0"/>
        <w:jc w:val="both"/>
        <w:rPr>
          <w:rFonts w:ascii="Arial" w:hAnsi="Arial" w:cs="Arial"/>
          <w:sz w:val="20"/>
          <w:szCs w:val="20"/>
        </w:rPr>
      </w:pPr>
      <w:r w:rsidRPr="00AC4AEA">
        <w:rPr>
          <w:rFonts w:ascii="Arial" w:hAnsi="Arial" w:cs="Arial"/>
          <w:sz w:val="20"/>
          <w:szCs w:val="20"/>
        </w:rPr>
        <w:t xml:space="preserve">dará de baja al </w:t>
      </w:r>
      <w:r w:rsidRPr="00AC4AEA">
        <w:rPr>
          <w:rFonts w:ascii="Arial" w:hAnsi="Arial" w:cs="Arial"/>
          <w:b/>
          <w:bCs/>
          <w:sz w:val="20"/>
          <w:szCs w:val="20"/>
        </w:rPr>
        <w:t>activo</w:t>
      </w:r>
      <w:r w:rsidRPr="00AC4AEA">
        <w:rPr>
          <w:rFonts w:ascii="Arial" w:hAnsi="Arial" w:cs="Arial"/>
          <w:sz w:val="20"/>
          <w:szCs w:val="20"/>
        </w:rPr>
        <w:t xml:space="preserve"> preexistente; </w:t>
      </w:r>
    </w:p>
    <w:p w:rsidR="006C71BA" w:rsidRPr="00AC4AEA" w:rsidRDefault="006C71BA" w:rsidP="00A318EA">
      <w:pPr>
        <w:pStyle w:val="Prrafodelista"/>
        <w:numPr>
          <w:ilvl w:val="0"/>
          <w:numId w:val="353"/>
        </w:numPr>
        <w:contextualSpacing w:val="0"/>
        <w:jc w:val="both"/>
        <w:rPr>
          <w:rFonts w:ascii="Arial" w:hAnsi="Arial" w:cs="Arial"/>
          <w:sz w:val="20"/>
          <w:szCs w:val="20"/>
        </w:rPr>
      </w:pPr>
      <w:r w:rsidRPr="00AC4AEA">
        <w:rPr>
          <w:rFonts w:ascii="Arial" w:hAnsi="Arial" w:cs="Arial"/>
          <w:sz w:val="20"/>
          <w:szCs w:val="20"/>
        </w:rPr>
        <w:t>reconocerá un nuevo crédito, aplicando las normas sobre “</w:t>
      </w:r>
      <w:r w:rsidRPr="00AC4AEA">
        <w:rPr>
          <w:rFonts w:ascii="Arial" w:hAnsi="Arial" w:cs="Arial"/>
          <w:sz w:val="20"/>
          <w:szCs w:val="20"/>
          <w:u w:val="single"/>
        </w:rPr>
        <w:t>Medición inicial</w:t>
      </w:r>
      <w:r w:rsidRPr="00AC4AEA">
        <w:rPr>
          <w:rFonts w:ascii="Arial" w:hAnsi="Arial" w:cs="Arial"/>
          <w:sz w:val="20"/>
          <w:szCs w:val="20"/>
        </w:rPr>
        <w:t>”</w:t>
      </w:r>
      <w:r w:rsidR="00E610AF" w:rsidRPr="00AC4AEA">
        <w:rPr>
          <w:rFonts w:ascii="Arial" w:hAnsi="Arial" w:cs="Arial"/>
          <w:sz w:val="20"/>
          <w:szCs w:val="20"/>
        </w:rPr>
        <w:t xml:space="preserve"> [ver los párrafos </w:t>
      </w:r>
      <w:fldSimple w:instr=" REF _Ref99476054 \r \h  \* MERGEFORMAT ">
        <w:r w:rsidR="00D33A5D" w:rsidRPr="00D33A5D">
          <w:rPr>
            <w:rFonts w:ascii="Arial" w:hAnsi="Arial" w:cs="Arial"/>
            <w:sz w:val="20"/>
            <w:szCs w:val="20"/>
          </w:rPr>
          <w:t>241</w:t>
        </w:r>
      </w:fldSimple>
      <w:r w:rsidR="00E610AF" w:rsidRPr="00AC4AEA">
        <w:rPr>
          <w:rFonts w:ascii="Arial" w:hAnsi="Arial" w:cs="Arial"/>
          <w:sz w:val="20"/>
          <w:szCs w:val="20"/>
        </w:rPr>
        <w:t xml:space="preserve"> a </w:t>
      </w:r>
      <w:fldSimple w:instr=" REF _Ref99476055 \r \h  \* MERGEFORMAT ">
        <w:r w:rsidR="00D33A5D" w:rsidRPr="00D33A5D">
          <w:rPr>
            <w:rFonts w:ascii="Arial" w:hAnsi="Arial" w:cs="Arial"/>
            <w:sz w:val="20"/>
            <w:szCs w:val="20"/>
          </w:rPr>
          <w:t>243</w:t>
        </w:r>
      </w:fldSimple>
      <w:r w:rsidR="00E610AF" w:rsidRPr="00AC4AEA">
        <w:rPr>
          <w:rFonts w:ascii="Arial" w:hAnsi="Arial" w:cs="Arial"/>
          <w:sz w:val="20"/>
          <w:szCs w:val="20"/>
        </w:rPr>
        <w:t>]</w:t>
      </w:r>
      <w:r w:rsidRPr="00AC4AEA">
        <w:rPr>
          <w:rFonts w:ascii="Arial" w:hAnsi="Arial" w:cs="Arial"/>
          <w:sz w:val="20"/>
          <w:szCs w:val="20"/>
        </w:rPr>
        <w:t xml:space="preserve">, contenidas </w:t>
      </w:r>
      <w:r w:rsidR="00C62C26" w:rsidRPr="00AC4AEA">
        <w:rPr>
          <w:rFonts w:ascii="Arial" w:hAnsi="Arial" w:cs="Arial"/>
          <w:sz w:val="20"/>
          <w:szCs w:val="20"/>
        </w:rPr>
        <w:t>en</w:t>
      </w:r>
      <w:r w:rsidRPr="00AC4AEA">
        <w:rPr>
          <w:rFonts w:ascii="Arial" w:hAnsi="Arial" w:cs="Arial"/>
          <w:sz w:val="20"/>
          <w:szCs w:val="20"/>
        </w:rPr>
        <w:t xml:space="preserve"> la </w:t>
      </w:r>
      <w:r w:rsidR="00E610AF" w:rsidRPr="00AC4AEA">
        <w:rPr>
          <w:rFonts w:ascii="Arial" w:hAnsi="Arial" w:cs="Arial"/>
          <w:sz w:val="20"/>
          <w:szCs w:val="20"/>
        </w:rPr>
        <w:t xml:space="preserve">presente </w:t>
      </w:r>
      <w:r w:rsidRPr="00AC4AEA">
        <w:rPr>
          <w:rFonts w:ascii="Arial" w:hAnsi="Arial" w:cs="Arial"/>
          <w:sz w:val="20"/>
          <w:szCs w:val="20"/>
        </w:rPr>
        <w:t>sección</w:t>
      </w:r>
      <w:r w:rsidR="000A76D3" w:rsidRPr="00AC4AEA">
        <w:rPr>
          <w:rFonts w:ascii="Arial" w:hAnsi="Arial" w:cs="Arial"/>
          <w:sz w:val="20"/>
          <w:szCs w:val="20"/>
        </w:rPr>
        <w:t xml:space="preserve">; </w:t>
      </w:r>
    </w:p>
    <w:p w:rsidR="000A76D3" w:rsidRPr="00AC4AEA" w:rsidRDefault="000A76D3" w:rsidP="00A318EA">
      <w:pPr>
        <w:pStyle w:val="Prrafodelista"/>
        <w:numPr>
          <w:ilvl w:val="0"/>
          <w:numId w:val="353"/>
        </w:numPr>
        <w:contextualSpacing w:val="0"/>
        <w:jc w:val="both"/>
        <w:rPr>
          <w:rFonts w:ascii="Arial" w:hAnsi="Arial" w:cs="Arial"/>
          <w:sz w:val="20"/>
          <w:szCs w:val="20"/>
        </w:rPr>
      </w:pPr>
      <w:r w:rsidRPr="00AC4AEA">
        <w:rPr>
          <w:rFonts w:ascii="Arial" w:hAnsi="Arial" w:cs="Arial"/>
          <w:sz w:val="20"/>
          <w:szCs w:val="20"/>
        </w:rPr>
        <w:t xml:space="preserve">reconocerá en el resultado del ejercicio de la refinanciación: </w:t>
      </w:r>
    </w:p>
    <w:p w:rsidR="000A76D3" w:rsidRPr="00AC4AEA" w:rsidRDefault="000A76D3" w:rsidP="00A318EA">
      <w:pPr>
        <w:pStyle w:val="Prrafodelista"/>
        <w:numPr>
          <w:ilvl w:val="0"/>
          <w:numId w:val="354"/>
        </w:numPr>
        <w:ind w:left="1985"/>
        <w:contextualSpacing w:val="0"/>
        <w:jc w:val="both"/>
        <w:rPr>
          <w:rFonts w:ascii="Arial" w:hAnsi="Arial" w:cs="Arial"/>
          <w:sz w:val="20"/>
          <w:szCs w:val="20"/>
        </w:rPr>
      </w:pPr>
      <w:r w:rsidRPr="00AC4AEA">
        <w:rPr>
          <w:rFonts w:ascii="Arial" w:hAnsi="Arial" w:cs="Arial"/>
          <w:sz w:val="20"/>
          <w:szCs w:val="20"/>
        </w:rPr>
        <w:t>la diferencia entre los importes del crédito dado de baja y del nuevo crédito; y</w:t>
      </w:r>
    </w:p>
    <w:p w:rsidR="000A76D3" w:rsidRPr="00AC4AEA" w:rsidRDefault="000A76D3" w:rsidP="00A318EA">
      <w:pPr>
        <w:pStyle w:val="Prrafodelista"/>
        <w:numPr>
          <w:ilvl w:val="0"/>
          <w:numId w:val="354"/>
        </w:numPr>
        <w:ind w:left="1985"/>
        <w:contextualSpacing w:val="0"/>
        <w:jc w:val="both"/>
        <w:rPr>
          <w:rFonts w:ascii="Arial" w:hAnsi="Arial" w:cs="Arial"/>
          <w:sz w:val="20"/>
          <w:szCs w:val="20"/>
        </w:rPr>
      </w:pPr>
      <w:r w:rsidRPr="00AC4AEA">
        <w:rPr>
          <w:rFonts w:ascii="Arial" w:hAnsi="Arial" w:cs="Arial"/>
          <w:sz w:val="20"/>
          <w:szCs w:val="20"/>
        </w:rPr>
        <w:t xml:space="preserve">cualquier costo incurrido en la refinanciación por </w:t>
      </w:r>
      <w:r w:rsidR="00642428" w:rsidRPr="00AC4AEA">
        <w:rPr>
          <w:rFonts w:ascii="Arial" w:hAnsi="Arial" w:cs="Arial"/>
          <w:sz w:val="20"/>
          <w:szCs w:val="20"/>
        </w:rPr>
        <w:t>la entidad</w:t>
      </w:r>
      <w:r w:rsidRPr="00AC4AEA">
        <w:rPr>
          <w:rFonts w:ascii="Arial" w:hAnsi="Arial" w:cs="Arial"/>
          <w:sz w:val="20"/>
          <w:szCs w:val="20"/>
        </w:rPr>
        <w:t>.</w:t>
      </w:r>
    </w:p>
    <w:p w:rsidR="00E33DD4" w:rsidRPr="00AC4AEA" w:rsidRDefault="00E33DD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La condición de “sustancialmente diferente” establecida en el párrafo anterior se cumple si:</w:t>
      </w:r>
      <w:r w:rsidR="0048661E" w:rsidRPr="00AC4AEA">
        <w:rPr>
          <w:rFonts w:ascii="Arial" w:hAnsi="Arial" w:cs="Arial"/>
          <w:sz w:val="20"/>
          <w:szCs w:val="20"/>
        </w:rPr>
        <w:t xml:space="preserve"> </w:t>
      </w:r>
    </w:p>
    <w:p w:rsidR="0048661E" w:rsidRPr="00AC4AEA" w:rsidRDefault="0048661E" w:rsidP="00A318EA">
      <w:pPr>
        <w:pStyle w:val="Prrafodelista"/>
        <w:numPr>
          <w:ilvl w:val="0"/>
          <w:numId w:val="355"/>
        </w:numPr>
        <w:ind w:left="1560"/>
        <w:contextualSpacing w:val="0"/>
        <w:jc w:val="both"/>
        <w:rPr>
          <w:rFonts w:ascii="Arial" w:hAnsi="Arial" w:cs="Arial"/>
          <w:sz w:val="20"/>
          <w:szCs w:val="20"/>
        </w:rPr>
      </w:pPr>
      <w:r w:rsidRPr="00AC4AEA">
        <w:rPr>
          <w:rFonts w:ascii="Arial" w:hAnsi="Arial" w:cs="Arial"/>
          <w:sz w:val="20"/>
          <w:szCs w:val="20"/>
        </w:rPr>
        <w:t xml:space="preserve">el valor descontado de </w:t>
      </w:r>
      <w:r w:rsidR="00950C14" w:rsidRPr="00AC4AEA">
        <w:rPr>
          <w:rFonts w:ascii="Arial" w:hAnsi="Arial" w:cs="Arial"/>
          <w:sz w:val="20"/>
          <w:szCs w:val="20"/>
        </w:rPr>
        <w:t>los flujos de efectivo posteriores a la refinanciación, utilizando la misma tasa empleada para medir el crédito original,</w:t>
      </w:r>
      <w:r w:rsidRPr="00AC4AEA">
        <w:rPr>
          <w:rFonts w:ascii="Arial" w:hAnsi="Arial" w:cs="Arial"/>
          <w:sz w:val="20"/>
          <w:szCs w:val="20"/>
        </w:rPr>
        <w:t xml:space="preserve"> difiere en, por lo menos, un 10% respecto del valor </w:t>
      </w:r>
      <w:r w:rsidR="00950C14" w:rsidRPr="00AC4AEA">
        <w:rPr>
          <w:rFonts w:ascii="Arial" w:hAnsi="Arial" w:cs="Arial"/>
          <w:sz w:val="20"/>
          <w:szCs w:val="20"/>
        </w:rPr>
        <w:t>contable</w:t>
      </w:r>
      <w:r w:rsidRPr="00AC4AEA">
        <w:rPr>
          <w:rFonts w:ascii="Arial" w:hAnsi="Arial" w:cs="Arial"/>
          <w:sz w:val="20"/>
          <w:szCs w:val="20"/>
        </w:rPr>
        <w:t xml:space="preserve"> del crédito refinanciado</w:t>
      </w:r>
      <w:r w:rsidR="00950C14" w:rsidRPr="00AC4AEA">
        <w:rPr>
          <w:rFonts w:ascii="Arial" w:hAnsi="Arial" w:cs="Arial"/>
          <w:sz w:val="20"/>
          <w:szCs w:val="20"/>
        </w:rPr>
        <w:t xml:space="preserve"> en la fecha de la refinanciación</w:t>
      </w:r>
      <w:r w:rsidR="00E33DD4" w:rsidRPr="00AC4AEA">
        <w:rPr>
          <w:rFonts w:ascii="Arial" w:hAnsi="Arial" w:cs="Arial"/>
          <w:sz w:val="20"/>
          <w:szCs w:val="20"/>
        </w:rPr>
        <w:t>; o</w:t>
      </w:r>
    </w:p>
    <w:p w:rsidR="00E33DD4" w:rsidRPr="00AC4AEA" w:rsidRDefault="00E33DD4" w:rsidP="00A318EA">
      <w:pPr>
        <w:pStyle w:val="Prrafodelista"/>
        <w:numPr>
          <w:ilvl w:val="0"/>
          <w:numId w:val="355"/>
        </w:numPr>
        <w:ind w:left="1560"/>
        <w:contextualSpacing w:val="0"/>
        <w:jc w:val="both"/>
        <w:rPr>
          <w:rFonts w:ascii="Arial" w:hAnsi="Arial" w:cs="Arial"/>
          <w:sz w:val="20"/>
          <w:szCs w:val="20"/>
        </w:rPr>
      </w:pPr>
      <w:r w:rsidRPr="00AC4AEA">
        <w:rPr>
          <w:rFonts w:ascii="Arial" w:hAnsi="Arial" w:cs="Arial"/>
          <w:sz w:val="20"/>
          <w:szCs w:val="20"/>
        </w:rPr>
        <w:t xml:space="preserve">existen otros elementos de carácter cualitativo que permitan deducir </w:t>
      </w:r>
      <w:r w:rsidR="00950C14" w:rsidRPr="00AC4AEA">
        <w:rPr>
          <w:rFonts w:ascii="Arial" w:hAnsi="Arial" w:cs="Arial"/>
          <w:sz w:val="20"/>
          <w:szCs w:val="20"/>
        </w:rPr>
        <w:t xml:space="preserve">que </w:t>
      </w:r>
      <w:r w:rsidRPr="00AC4AEA">
        <w:rPr>
          <w:rFonts w:ascii="Arial" w:hAnsi="Arial" w:cs="Arial"/>
          <w:sz w:val="20"/>
          <w:szCs w:val="20"/>
        </w:rPr>
        <w:t xml:space="preserve">tal cambio </w:t>
      </w:r>
      <w:r w:rsidR="00950C14" w:rsidRPr="00AC4AEA">
        <w:rPr>
          <w:rFonts w:ascii="Arial" w:hAnsi="Arial" w:cs="Arial"/>
          <w:sz w:val="20"/>
          <w:szCs w:val="20"/>
        </w:rPr>
        <w:t xml:space="preserve">es </w:t>
      </w:r>
      <w:r w:rsidRPr="00AC4AEA">
        <w:rPr>
          <w:rFonts w:ascii="Arial" w:hAnsi="Arial" w:cs="Arial"/>
          <w:sz w:val="20"/>
          <w:szCs w:val="20"/>
        </w:rPr>
        <w:t xml:space="preserve">sustancial (por ejemplo, </w:t>
      </w:r>
      <w:r w:rsidR="00950C14" w:rsidRPr="00AC4AEA">
        <w:rPr>
          <w:rFonts w:ascii="Arial" w:hAnsi="Arial" w:cs="Arial"/>
          <w:sz w:val="20"/>
          <w:szCs w:val="20"/>
        </w:rPr>
        <w:t xml:space="preserve">la </w:t>
      </w:r>
      <w:r w:rsidRPr="00AC4AEA">
        <w:rPr>
          <w:rFonts w:ascii="Arial" w:hAnsi="Arial" w:cs="Arial"/>
          <w:sz w:val="20"/>
          <w:szCs w:val="20"/>
        </w:rPr>
        <w:t>constitución de nuevas garantías o</w:t>
      </w:r>
      <w:r w:rsidR="00950C14" w:rsidRPr="00AC4AEA">
        <w:rPr>
          <w:rFonts w:ascii="Arial" w:hAnsi="Arial" w:cs="Arial"/>
          <w:sz w:val="20"/>
          <w:szCs w:val="20"/>
        </w:rPr>
        <w:t xml:space="preserve"> la</w:t>
      </w:r>
      <w:r w:rsidRPr="00AC4AEA">
        <w:rPr>
          <w:rFonts w:ascii="Arial" w:hAnsi="Arial" w:cs="Arial"/>
          <w:sz w:val="20"/>
          <w:szCs w:val="20"/>
        </w:rPr>
        <w:t xml:space="preserve"> incorporación de </w:t>
      </w:r>
      <w:r w:rsidR="00A82EFF" w:rsidRPr="00AC4AEA">
        <w:rPr>
          <w:rFonts w:ascii="Arial" w:hAnsi="Arial" w:cs="Arial"/>
          <w:sz w:val="20"/>
          <w:szCs w:val="20"/>
        </w:rPr>
        <w:t>cláusulas</w:t>
      </w:r>
      <w:r w:rsidRPr="00AC4AEA">
        <w:rPr>
          <w:rFonts w:ascii="Arial" w:hAnsi="Arial" w:cs="Arial"/>
          <w:sz w:val="20"/>
          <w:szCs w:val="20"/>
        </w:rPr>
        <w:t xml:space="preserve"> de cumplimiento contingente para el deudor).</w:t>
      </w:r>
    </w:p>
    <w:p w:rsidR="00642428" w:rsidRPr="00AC4AEA" w:rsidRDefault="0064242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Si la refinanciación no da lugar a la baja en cuentas del crédito original</w:t>
      </w:r>
      <w:r w:rsidR="00684E6B" w:rsidRPr="00AC4AEA">
        <w:rPr>
          <w:rFonts w:ascii="Arial" w:hAnsi="Arial" w:cs="Arial"/>
          <w:sz w:val="20"/>
          <w:szCs w:val="20"/>
        </w:rPr>
        <w:t xml:space="preserve"> </w:t>
      </w:r>
      <w:r w:rsidRPr="00AC4AEA">
        <w:rPr>
          <w:rFonts w:ascii="Arial" w:hAnsi="Arial" w:cs="Arial"/>
          <w:sz w:val="20"/>
          <w:szCs w:val="20"/>
        </w:rPr>
        <w:t>se considera que solo existe un cambio en la estimación de los cobros futuros</w:t>
      </w:r>
      <w:r w:rsidR="00684E6B" w:rsidRPr="00AC4AEA">
        <w:rPr>
          <w:rFonts w:ascii="Arial" w:hAnsi="Arial" w:cs="Arial"/>
          <w:sz w:val="20"/>
          <w:szCs w:val="20"/>
        </w:rPr>
        <w:t xml:space="preserve">. </w:t>
      </w:r>
      <w:r w:rsidR="00C879F8" w:rsidRPr="00AC4AEA">
        <w:rPr>
          <w:rFonts w:ascii="Arial" w:hAnsi="Arial" w:cs="Arial"/>
          <w:sz w:val="20"/>
          <w:szCs w:val="20"/>
        </w:rPr>
        <w:t>P</w:t>
      </w:r>
      <w:r w:rsidR="00684E6B" w:rsidRPr="00AC4AEA">
        <w:rPr>
          <w:rFonts w:ascii="Arial" w:hAnsi="Arial" w:cs="Arial"/>
          <w:sz w:val="20"/>
          <w:szCs w:val="20"/>
        </w:rPr>
        <w:t>ara reflejar el cambio indicado, la entidad:</w:t>
      </w:r>
    </w:p>
    <w:p w:rsidR="00642428" w:rsidRPr="00AC4AEA" w:rsidRDefault="00642428" w:rsidP="00A318EA">
      <w:pPr>
        <w:pStyle w:val="Prrafodelista"/>
        <w:numPr>
          <w:ilvl w:val="0"/>
          <w:numId w:val="356"/>
        </w:numPr>
        <w:ind w:left="1560"/>
        <w:contextualSpacing w:val="0"/>
        <w:jc w:val="both"/>
        <w:rPr>
          <w:rFonts w:ascii="Arial" w:hAnsi="Arial" w:cs="Arial"/>
          <w:sz w:val="20"/>
          <w:szCs w:val="20"/>
        </w:rPr>
      </w:pPr>
      <w:r w:rsidRPr="00AC4AEA">
        <w:rPr>
          <w:rFonts w:ascii="Arial" w:hAnsi="Arial" w:cs="Arial"/>
          <w:sz w:val="20"/>
          <w:szCs w:val="20"/>
        </w:rPr>
        <w:t xml:space="preserve">recalculará </w:t>
      </w:r>
      <w:r w:rsidR="00684E6B" w:rsidRPr="00AC4AEA">
        <w:rPr>
          <w:rFonts w:ascii="Arial" w:hAnsi="Arial" w:cs="Arial"/>
          <w:sz w:val="20"/>
          <w:szCs w:val="20"/>
        </w:rPr>
        <w:t xml:space="preserve">el valor contable </w:t>
      </w:r>
      <w:r w:rsidRPr="00AC4AEA">
        <w:rPr>
          <w:rFonts w:ascii="Arial" w:hAnsi="Arial" w:cs="Arial"/>
          <w:sz w:val="20"/>
          <w:szCs w:val="20"/>
        </w:rPr>
        <w:t xml:space="preserve">como el valor actual de los nuevos flujos de efectivo descontados a la tasa de interés efectiva del crédito original; </w:t>
      </w:r>
    </w:p>
    <w:p w:rsidR="00642428" w:rsidRPr="00AC4AEA" w:rsidRDefault="00684E6B" w:rsidP="00A318EA">
      <w:pPr>
        <w:pStyle w:val="Prrafodelista"/>
        <w:numPr>
          <w:ilvl w:val="0"/>
          <w:numId w:val="356"/>
        </w:numPr>
        <w:ind w:left="1560"/>
        <w:contextualSpacing w:val="0"/>
        <w:jc w:val="both"/>
        <w:rPr>
          <w:rFonts w:ascii="Arial" w:hAnsi="Arial" w:cs="Arial"/>
          <w:sz w:val="20"/>
          <w:szCs w:val="20"/>
        </w:rPr>
      </w:pPr>
      <w:r w:rsidRPr="00AC4AEA">
        <w:rPr>
          <w:rFonts w:ascii="Arial" w:hAnsi="Arial" w:cs="Arial"/>
          <w:sz w:val="20"/>
          <w:szCs w:val="20"/>
        </w:rPr>
        <w:t xml:space="preserve">reconocerá inmediatamente en el resultado del ejercicio de la refinanciación </w:t>
      </w:r>
      <w:r w:rsidR="00642428" w:rsidRPr="00AC4AEA">
        <w:rPr>
          <w:rFonts w:ascii="Arial" w:hAnsi="Arial" w:cs="Arial"/>
          <w:sz w:val="20"/>
          <w:szCs w:val="20"/>
        </w:rPr>
        <w:t xml:space="preserve">la diferencia entre el importe resultante de </w:t>
      </w:r>
      <w:r w:rsidRPr="00AC4AEA">
        <w:rPr>
          <w:rFonts w:ascii="Arial" w:hAnsi="Arial" w:cs="Arial"/>
          <w:sz w:val="20"/>
          <w:szCs w:val="20"/>
        </w:rPr>
        <w:t>a</w:t>
      </w:r>
      <w:r w:rsidR="00642428" w:rsidRPr="00AC4AEA">
        <w:rPr>
          <w:rFonts w:ascii="Arial" w:hAnsi="Arial" w:cs="Arial"/>
          <w:sz w:val="20"/>
          <w:szCs w:val="20"/>
        </w:rPr>
        <w:t>) y el valor contable previo a la modificación; y</w:t>
      </w:r>
    </w:p>
    <w:p w:rsidR="00642428" w:rsidRPr="00AC4AEA" w:rsidRDefault="00684E6B" w:rsidP="00A318EA">
      <w:pPr>
        <w:pStyle w:val="Prrafodelista"/>
        <w:numPr>
          <w:ilvl w:val="0"/>
          <w:numId w:val="356"/>
        </w:numPr>
        <w:ind w:left="1560"/>
        <w:contextualSpacing w:val="0"/>
        <w:jc w:val="both"/>
        <w:rPr>
          <w:rFonts w:ascii="Arial" w:hAnsi="Arial" w:cs="Arial"/>
          <w:sz w:val="20"/>
          <w:szCs w:val="20"/>
        </w:rPr>
      </w:pPr>
      <w:r w:rsidRPr="00AC4AEA">
        <w:rPr>
          <w:rFonts w:ascii="Arial" w:hAnsi="Arial" w:cs="Arial"/>
          <w:sz w:val="20"/>
          <w:szCs w:val="20"/>
        </w:rPr>
        <w:t xml:space="preserve">ajustará el importe del crédito </w:t>
      </w:r>
      <w:r w:rsidR="006A4206" w:rsidRPr="00AC4AEA">
        <w:rPr>
          <w:rFonts w:ascii="Arial" w:hAnsi="Arial" w:cs="Arial"/>
          <w:sz w:val="20"/>
          <w:szCs w:val="20"/>
        </w:rPr>
        <w:t xml:space="preserve">adicionando </w:t>
      </w:r>
      <w:r w:rsidR="00642428" w:rsidRPr="00AC4AEA">
        <w:rPr>
          <w:rFonts w:ascii="Arial" w:hAnsi="Arial" w:cs="Arial"/>
          <w:sz w:val="20"/>
          <w:szCs w:val="20"/>
        </w:rPr>
        <w:t>cualquier costo incurrido en la refinanciación</w:t>
      </w:r>
      <w:r w:rsidRPr="00AC4AEA">
        <w:rPr>
          <w:rFonts w:ascii="Arial" w:hAnsi="Arial" w:cs="Arial"/>
          <w:sz w:val="20"/>
          <w:szCs w:val="20"/>
        </w:rPr>
        <w:t>,</w:t>
      </w:r>
      <w:r w:rsidR="00642428" w:rsidRPr="00AC4AEA">
        <w:rPr>
          <w:rFonts w:ascii="Arial" w:hAnsi="Arial" w:cs="Arial"/>
          <w:sz w:val="20"/>
          <w:szCs w:val="20"/>
        </w:rPr>
        <w:t xml:space="preserve"> </w:t>
      </w:r>
      <w:r w:rsidRPr="00AC4AEA">
        <w:rPr>
          <w:rFonts w:ascii="Arial" w:hAnsi="Arial" w:cs="Arial"/>
          <w:sz w:val="20"/>
          <w:szCs w:val="20"/>
        </w:rPr>
        <w:t>y lo</w:t>
      </w:r>
      <w:r w:rsidR="00642428" w:rsidRPr="00AC4AEA">
        <w:rPr>
          <w:rFonts w:ascii="Arial" w:hAnsi="Arial" w:cs="Arial"/>
          <w:sz w:val="20"/>
          <w:szCs w:val="20"/>
        </w:rPr>
        <w:t xml:space="preserve"> amortizará a lo largo de la duración </w:t>
      </w:r>
      <w:r w:rsidR="006A4206" w:rsidRPr="00AC4AEA">
        <w:rPr>
          <w:rFonts w:ascii="Arial" w:hAnsi="Arial" w:cs="Arial"/>
          <w:sz w:val="20"/>
          <w:szCs w:val="20"/>
        </w:rPr>
        <w:t>del nuevo crédito</w:t>
      </w:r>
      <w:r w:rsidR="00642428" w:rsidRPr="00AC4AEA">
        <w:rPr>
          <w:rFonts w:ascii="Arial" w:hAnsi="Arial" w:cs="Arial"/>
          <w:sz w:val="20"/>
          <w:szCs w:val="20"/>
        </w:rPr>
        <w:t>.</w:t>
      </w:r>
    </w:p>
    <w:p w:rsidR="006A4206" w:rsidRPr="00AC4AEA" w:rsidRDefault="00642428" w:rsidP="00A318EA">
      <w:pPr>
        <w:pStyle w:val="Prrafodelista"/>
        <w:numPr>
          <w:ilvl w:val="0"/>
          <w:numId w:val="29"/>
        </w:numPr>
        <w:contextualSpacing w:val="0"/>
        <w:jc w:val="both"/>
        <w:rPr>
          <w:rFonts w:ascii="Arial" w:hAnsi="Arial" w:cs="Arial"/>
          <w:sz w:val="20"/>
          <w:szCs w:val="20"/>
        </w:rPr>
      </w:pPr>
      <w:bookmarkStart w:id="387" w:name="_Ref103265960"/>
      <w:r w:rsidRPr="00AC4AEA">
        <w:rPr>
          <w:rFonts w:ascii="Arial" w:hAnsi="Arial" w:cs="Arial"/>
          <w:sz w:val="20"/>
          <w:szCs w:val="20"/>
        </w:rPr>
        <w:t xml:space="preserve">Cuando </w:t>
      </w:r>
      <w:r w:rsidR="00684E6B" w:rsidRPr="00AC4AEA">
        <w:rPr>
          <w:rFonts w:ascii="Arial" w:hAnsi="Arial" w:cs="Arial"/>
          <w:sz w:val="20"/>
          <w:szCs w:val="20"/>
        </w:rPr>
        <w:t xml:space="preserve">se trate de una entidad que es pequeña o mediana </w:t>
      </w:r>
      <w:r w:rsidR="006A4206" w:rsidRPr="00AC4AEA">
        <w:rPr>
          <w:rFonts w:ascii="Arial" w:hAnsi="Arial" w:cs="Arial"/>
          <w:sz w:val="20"/>
          <w:szCs w:val="20"/>
        </w:rPr>
        <w:t xml:space="preserve">podrá seguir el siguiente procedimiento en reemplazo del indicado en el párrafo anterior, en la fecha de la </w:t>
      </w:r>
      <w:r w:rsidR="00C879F8" w:rsidRPr="00AC4AEA">
        <w:rPr>
          <w:rFonts w:ascii="Arial" w:hAnsi="Arial" w:cs="Arial"/>
          <w:sz w:val="20"/>
          <w:szCs w:val="20"/>
        </w:rPr>
        <w:t>refinanciación</w:t>
      </w:r>
      <w:r w:rsidR="006A4206" w:rsidRPr="00AC4AEA">
        <w:rPr>
          <w:rFonts w:ascii="Arial" w:hAnsi="Arial" w:cs="Arial"/>
          <w:sz w:val="20"/>
          <w:szCs w:val="20"/>
        </w:rPr>
        <w:t>:</w:t>
      </w:r>
      <w:bookmarkEnd w:id="387"/>
    </w:p>
    <w:p w:rsidR="006A4206" w:rsidRPr="00AC4AEA" w:rsidRDefault="006A4206" w:rsidP="00A318EA">
      <w:pPr>
        <w:pStyle w:val="Prrafodelista"/>
        <w:numPr>
          <w:ilvl w:val="0"/>
          <w:numId w:val="357"/>
        </w:numPr>
        <w:ind w:left="1560"/>
        <w:contextualSpacing w:val="0"/>
        <w:jc w:val="both"/>
        <w:rPr>
          <w:rFonts w:ascii="Arial" w:hAnsi="Arial" w:cs="Arial"/>
          <w:sz w:val="20"/>
          <w:szCs w:val="20"/>
        </w:rPr>
      </w:pPr>
      <w:r w:rsidRPr="00AC4AEA">
        <w:rPr>
          <w:rFonts w:ascii="Arial" w:hAnsi="Arial" w:cs="Arial"/>
          <w:sz w:val="20"/>
          <w:szCs w:val="20"/>
        </w:rPr>
        <w:t>mantendrá el valor contable del crédito, ajustado por los costos incurridos por la entidad a causa de la refinanciación; y</w:t>
      </w:r>
    </w:p>
    <w:p w:rsidR="000A76D3" w:rsidRPr="00AC4AEA" w:rsidRDefault="00684E6B" w:rsidP="00A318EA">
      <w:pPr>
        <w:pStyle w:val="Prrafodelista"/>
        <w:numPr>
          <w:ilvl w:val="0"/>
          <w:numId w:val="357"/>
        </w:numPr>
        <w:ind w:left="1560"/>
        <w:contextualSpacing w:val="0"/>
        <w:jc w:val="both"/>
        <w:rPr>
          <w:rFonts w:ascii="Arial" w:hAnsi="Arial" w:cs="Arial"/>
          <w:sz w:val="20"/>
          <w:szCs w:val="20"/>
        </w:rPr>
      </w:pPr>
      <w:r w:rsidRPr="00AC4AEA">
        <w:rPr>
          <w:rFonts w:ascii="Arial" w:hAnsi="Arial" w:cs="Arial"/>
          <w:sz w:val="20"/>
          <w:szCs w:val="20"/>
        </w:rPr>
        <w:lastRenderedPageBreak/>
        <w:t>modificará la tasa de interés de forma prospectiva</w:t>
      </w:r>
      <w:r w:rsidR="006A4206" w:rsidRPr="00AC4AEA">
        <w:rPr>
          <w:rFonts w:ascii="Arial" w:hAnsi="Arial" w:cs="Arial"/>
          <w:sz w:val="20"/>
          <w:szCs w:val="20"/>
        </w:rPr>
        <w:t xml:space="preserve">, sin que dé lugar al reconocimiento de ningún resultado </w:t>
      </w:r>
      <w:r w:rsidR="003350A7" w:rsidRPr="00AC4AEA">
        <w:rPr>
          <w:rFonts w:ascii="Arial" w:hAnsi="Arial" w:cs="Arial"/>
          <w:sz w:val="20"/>
          <w:szCs w:val="20"/>
        </w:rPr>
        <w:t xml:space="preserve">inmediato </w:t>
      </w:r>
      <w:r w:rsidR="006A4206" w:rsidRPr="00AC4AEA">
        <w:rPr>
          <w:rFonts w:ascii="Arial" w:hAnsi="Arial" w:cs="Arial"/>
          <w:sz w:val="20"/>
          <w:szCs w:val="20"/>
        </w:rPr>
        <w:t xml:space="preserve">por </w:t>
      </w:r>
      <w:r w:rsidR="003350A7" w:rsidRPr="00AC4AEA">
        <w:rPr>
          <w:rFonts w:ascii="Arial" w:hAnsi="Arial" w:cs="Arial"/>
          <w:sz w:val="20"/>
          <w:szCs w:val="20"/>
        </w:rPr>
        <w:t>la refinanciación</w:t>
      </w:r>
      <w:r w:rsidR="00642428" w:rsidRPr="00AC4AEA">
        <w:rPr>
          <w:rFonts w:ascii="Arial" w:hAnsi="Arial" w:cs="Arial"/>
          <w:sz w:val="20"/>
          <w:szCs w:val="20"/>
        </w:rPr>
        <w:t>.</w:t>
      </w:r>
    </w:p>
    <w:p w:rsidR="006C71BA" w:rsidRPr="00AC4AEA" w:rsidRDefault="006C71BA" w:rsidP="00A318EA">
      <w:pPr>
        <w:jc w:val="both"/>
        <w:rPr>
          <w:rFonts w:ascii="Arial" w:hAnsi="Arial" w:cs="Arial"/>
          <w:sz w:val="20"/>
          <w:szCs w:val="20"/>
        </w:rPr>
      </w:pPr>
    </w:p>
    <w:p w:rsidR="006C71BA" w:rsidRPr="00AC4AEA" w:rsidRDefault="006C71BA" w:rsidP="00A318EA">
      <w:pPr>
        <w:pStyle w:val="Ttulo2"/>
        <w:rPr>
          <w:rFonts w:cs="Arial"/>
        </w:rPr>
      </w:pPr>
      <w:bookmarkStart w:id="388" w:name="_Toc101863821"/>
      <w:bookmarkStart w:id="389" w:name="_Toc139356690"/>
      <w:r w:rsidRPr="00AC4AEA">
        <w:rPr>
          <w:rFonts w:cs="Arial"/>
        </w:rPr>
        <w:t xml:space="preserve">Presentación en los </w:t>
      </w:r>
      <w:r w:rsidR="00135084" w:rsidRPr="00AC4AEA">
        <w:rPr>
          <w:rFonts w:cs="Arial"/>
          <w:bCs/>
        </w:rPr>
        <w:t>estados contables</w:t>
      </w:r>
      <w:bookmarkEnd w:id="388"/>
      <w:bookmarkEnd w:id="389"/>
    </w:p>
    <w:p w:rsidR="006C71BA" w:rsidRPr="00AC4AEA" w:rsidRDefault="00A417C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6C71BA" w:rsidRPr="00AC4AEA">
        <w:rPr>
          <w:rFonts w:ascii="Arial" w:hAnsi="Arial" w:cs="Arial"/>
          <w:sz w:val="20"/>
          <w:szCs w:val="20"/>
        </w:rPr>
        <w:t xml:space="preserve">na entidad presentará separados del resto de los </w:t>
      </w:r>
      <w:r w:rsidR="00497590" w:rsidRPr="00AC4AEA">
        <w:rPr>
          <w:rFonts w:ascii="Arial" w:hAnsi="Arial" w:cs="Arial"/>
          <w:sz w:val="20"/>
          <w:szCs w:val="20"/>
        </w:rPr>
        <w:t>activos</w:t>
      </w:r>
      <w:r w:rsidR="006C71BA" w:rsidRPr="00AC4AEA">
        <w:rPr>
          <w:rFonts w:ascii="Arial" w:hAnsi="Arial" w:cs="Arial"/>
          <w:sz w:val="20"/>
          <w:szCs w:val="20"/>
        </w:rPr>
        <w:t xml:space="preserve"> y distinguiendo, </w:t>
      </w:r>
      <w:r w:rsidR="000E568E" w:rsidRPr="00AC4AEA">
        <w:rPr>
          <w:rFonts w:ascii="Arial" w:hAnsi="Arial" w:cs="Arial"/>
          <w:sz w:val="20"/>
          <w:szCs w:val="20"/>
        </w:rPr>
        <w:t>de corresponder</w:t>
      </w:r>
      <w:r w:rsidR="006C71BA" w:rsidRPr="00AC4AEA">
        <w:rPr>
          <w:rFonts w:ascii="Arial" w:hAnsi="Arial" w:cs="Arial"/>
          <w:sz w:val="20"/>
          <w:szCs w:val="20"/>
        </w:rPr>
        <w:t xml:space="preserve">, entre </w:t>
      </w:r>
      <w:r w:rsidR="00497590" w:rsidRPr="00AC4AEA">
        <w:rPr>
          <w:rFonts w:ascii="Arial" w:hAnsi="Arial" w:cs="Arial"/>
          <w:bCs/>
          <w:sz w:val="20"/>
          <w:szCs w:val="20"/>
        </w:rPr>
        <w:t>activos</w:t>
      </w:r>
      <w:r w:rsidR="006C71BA" w:rsidRPr="00AC4AEA">
        <w:rPr>
          <w:rFonts w:ascii="Arial" w:hAnsi="Arial" w:cs="Arial"/>
          <w:bCs/>
          <w:sz w:val="20"/>
          <w:szCs w:val="20"/>
        </w:rPr>
        <w:t xml:space="preserve"> corrientes</w:t>
      </w:r>
      <w:r w:rsidR="006C71BA" w:rsidRPr="00AC4AEA">
        <w:rPr>
          <w:rFonts w:ascii="Arial" w:hAnsi="Arial" w:cs="Arial"/>
          <w:sz w:val="20"/>
          <w:szCs w:val="20"/>
        </w:rPr>
        <w:t xml:space="preserve"> y </w:t>
      </w:r>
      <w:r w:rsidR="006C71BA" w:rsidRPr="00AC4AEA">
        <w:rPr>
          <w:rFonts w:ascii="Arial" w:hAnsi="Arial" w:cs="Arial"/>
          <w:bCs/>
          <w:sz w:val="20"/>
          <w:szCs w:val="20"/>
        </w:rPr>
        <w:t>no corrientes</w:t>
      </w:r>
      <w:r w:rsidR="006C71BA" w:rsidRPr="00AC4AEA">
        <w:rPr>
          <w:rFonts w:ascii="Arial" w:hAnsi="Arial" w:cs="Arial"/>
          <w:sz w:val="20"/>
          <w:szCs w:val="20"/>
        </w:rPr>
        <w:t xml:space="preserve">: </w:t>
      </w:r>
    </w:p>
    <w:p w:rsidR="006C71BA" w:rsidRPr="00AC4AEA" w:rsidRDefault="006C71BA" w:rsidP="00A318EA">
      <w:pPr>
        <w:pStyle w:val="A-Normal11"/>
        <w:numPr>
          <w:ilvl w:val="0"/>
          <w:numId w:val="274"/>
        </w:numPr>
        <w:ind w:left="1560"/>
        <w:jc w:val="both"/>
        <w:rPr>
          <w:rFonts w:ascii="Arial" w:hAnsi="Arial" w:cs="Arial"/>
          <w:sz w:val="20"/>
        </w:rPr>
      </w:pPr>
      <w:r w:rsidRPr="00AC4AEA">
        <w:rPr>
          <w:rFonts w:ascii="Arial" w:hAnsi="Arial" w:cs="Arial"/>
          <w:sz w:val="20"/>
        </w:rPr>
        <w:t>las cuentas por cobrar a clientes</w:t>
      </w:r>
      <w:r w:rsidR="00196685" w:rsidRPr="00AC4AEA">
        <w:rPr>
          <w:rFonts w:ascii="Arial" w:hAnsi="Arial" w:cs="Arial"/>
          <w:sz w:val="20"/>
        </w:rPr>
        <w:t xml:space="preserve"> y</w:t>
      </w:r>
      <w:r w:rsidR="003F76F5" w:rsidRPr="00AC4AEA">
        <w:rPr>
          <w:rFonts w:ascii="Arial" w:hAnsi="Arial" w:cs="Arial"/>
          <w:sz w:val="20"/>
        </w:rPr>
        <w:t xml:space="preserve"> los derechos a facturar a clientes</w:t>
      </w:r>
      <w:r w:rsidR="00196685" w:rsidRPr="00AC4AEA">
        <w:rPr>
          <w:rFonts w:ascii="Arial" w:hAnsi="Arial" w:cs="Arial"/>
          <w:sz w:val="20"/>
        </w:rPr>
        <w:t>, identificando los importes correspondientes cada una de estas partidas</w:t>
      </w:r>
      <w:r w:rsidRPr="00AC4AEA">
        <w:rPr>
          <w:rFonts w:ascii="Arial" w:hAnsi="Arial" w:cs="Arial"/>
          <w:sz w:val="20"/>
        </w:rPr>
        <w:t>;</w:t>
      </w:r>
    </w:p>
    <w:p w:rsidR="003970C8" w:rsidRPr="00AC4AEA" w:rsidRDefault="003970C8" w:rsidP="00A318EA">
      <w:pPr>
        <w:pStyle w:val="A-Normal11"/>
        <w:numPr>
          <w:ilvl w:val="0"/>
          <w:numId w:val="274"/>
        </w:numPr>
        <w:ind w:left="1560"/>
        <w:jc w:val="both"/>
        <w:rPr>
          <w:rFonts w:ascii="Arial" w:hAnsi="Arial" w:cs="Arial"/>
          <w:sz w:val="20"/>
        </w:rPr>
      </w:pPr>
      <w:r w:rsidRPr="00AC4AEA">
        <w:rPr>
          <w:rFonts w:ascii="Arial" w:hAnsi="Arial" w:cs="Arial"/>
          <w:sz w:val="20"/>
        </w:rPr>
        <w:t>los créditos impositivos distintos a los que surgen de aplicar el método del impuesto diferido</w:t>
      </w:r>
      <w:r w:rsidR="000E62A2" w:rsidRPr="00AC4AEA">
        <w:rPr>
          <w:rFonts w:ascii="Arial" w:hAnsi="Arial" w:cs="Arial"/>
          <w:sz w:val="20"/>
        </w:rPr>
        <w:t xml:space="preserve">, </w:t>
      </w:r>
      <w:r w:rsidR="004B5564" w:rsidRPr="00AC4AEA">
        <w:rPr>
          <w:rFonts w:ascii="Arial" w:hAnsi="Arial" w:cs="Arial"/>
          <w:sz w:val="20"/>
        </w:rPr>
        <w:t xml:space="preserve">que se presentarán </w:t>
      </w:r>
      <w:r w:rsidR="000E62A2" w:rsidRPr="00AC4AEA">
        <w:rPr>
          <w:rFonts w:ascii="Arial" w:hAnsi="Arial" w:cs="Arial"/>
          <w:sz w:val="20"/>
        </w:rPr>
        <w:t xml:space="preserve">de acuerdo con las definiciones </w:t>
      </w:r>
      <w:r w:rsidR="00D14F79" w:rsidRPr="00AC4AEA">
        <w:rPr>
          <w:rFonts w:ascii="Arial" w:hAnsi="Arial" w:cs="Arial"/>
          <w:sz w:val="20"/>
        </w:rPr>
        <w:t xml:space="preserve">de la sección </w:t>
      </w:r>
      <w:r w:rsidR="00E610AF" w:rsidRPr="00AC4AEA">
        <w:rPr>
          <w:rFonts w:ascii="Arial" w:hAnsi="Arial" w:cs="Arial"/>
          <w:sz w:val="20"/>
        </w:rPr>
        <w:t>“</w:t>
      </w:r>
      <w:r w:rsidR="00E610AF" w:rsidRPr="00AC4AEA">
        <w:rPr>
          <w:rFonts w:ascii="Arial" w:hAnsi="Arial" w:cs="Arial"/>
          <w:sz w:val="20"/>
          <w:u w:val="single"/>
        </w:rPr>
        <w:t>Reconocimiento, medición, presentación y revelación del impuesto a las ganancias diferido</w:t>
      </w:r>
      <w:r w:rsidR="00E610AF" w:rsidRPr="00AC4AEA">
        <w:rPr>
          <w:rFonts w:ascii="Arial" w:hAnsi="Arial" w:cs="Arial"/>
          <w:sz w:val="20"/>
        </w:rPr>
        <w:t xml:space="preserve">” [ver los párrafos </w:t>
      </w:r>
      <w:fldSimple w:instr=" REF _Ref99458612 \r \h  \* MERGEFORMAT ">
        <w:r w:rsidR="00D33A5D" w:rsidRPr="00D33A5D">
          <w:rPr>
            <w:rFonts w:ascii="Arial" w:hAnsi="Arial" w:cs="Arial"/>
            <w:sz w:val="20"/>
          </w:rPr>
          <w:t>578</w:t>
        </w:r>
      </w:fldSimple>
      <w:r w:rsidR="00E610AF" w:rsidRPr="00AC4AEA">
        <w:rPr>
          <w:rFonts w:ascii="Arial" w:hAnsi="Arial" w:cs="Arial"/>
          <w:sz w:val="20"/>
        </w:rPr>
        <w:t xml:space="preserve"> a </w:t>
      </w:r>
      <w:fldSimple w:instr=" REF _Ref99458625 \r \h  \* MERGEFORMAT ">
        <w:r w:rsidR="00D33A5D" w:rsidRPr="00D33A5D">
          <w:rPr>
            <w:rFonts w:ascii="Arial" w:hAnsi="Arial" w:cs="Arial"/>
            <w:sz w:val="20"/>
          </w:rPr>
          <w:t>599</w:t>
        </w:r>
      </w:fldSimple>
      <w:r w:rsidR="00E610AF" w:rsidRPr="00AC4AEA">
        <w:rPr>
          <w:rFonts w:ascii="Arial" w:hAnsi="Arial" w:cs="Arial"/>
          <w:sz w:val="20"/>
        </w:rPr>
        <w:t>]</w:t>
      </w:r>
      <w:r w:rsidRPr="00AC4AEA">
        <w:rPr>
          <w:rFonts w:ascii="Arial" w:hAnsi="Arial" w:cs="Arial"/>
          <w:sz w:val="20"/>
        </w:rPr>
        <w:t>; y</w:t>
      </w:r>
    </w:p>
    <w:p w:rsidR="0069742B" w:rsidRPr="00AC4AEA" w:rsidRDefault="0069742B" w:rsidP="00A318EA">
      <w:pPr>
        <w:pStyle w:val="A-Normal11"/>
        <w:numPr>
          <w:ilvl w:val="0"/>
          <w:numId w:val="274"/>
        </w:numPr>
        <w:ind w:left="1560"/>
        <w:jc w:val="both"/>
        <w:rPr>
          <w:rFonts w:ascii="Arial" w:hAnsi="Arial" w:cs="Arial"/>
          <w:sz w:val="20"/>
        </w:rPr>
      </w:pPr>
      <w:r w:rsidRPr="00AC4AEA">
        <w:rPr>
          <w:rFonts w:ascii="Arial" w:hAnsi="Arial" w:cs="Arial"/>
          <w:sz w:val="20"/>
        </w:rPr>
        <w:t xml:space="preserve">los créditos con los propietarios y otras </w:t>
      </w:r>
      <w:r w:rsidRPr="00AC4AEA">
        <w:rPr>
          <w:rFonts w:ascii="Arial" w:hAnsi="Arial" w:cs="Arial"/>
          <w:b/>
          <w:sz w:val="20"/>
        </w:rPr>
        <w:t>partes relacionadas</w:t>
      </w:r>
      <w:r w:rsidRPr="00AC4AEA">
        <w:rPr>
          <w:rFonts w:ascii="Arial" w:hAnsi="Arial" w:cs="Arial"/>
          <w:sz w:val="20"/>
        </w:rPr>
        <w:t>; y</w:t>
      </w:r>
    </w:p>
    <w:p w:rsidR="006C71BA" w:rsidRPr="00AC4AEA" w:rsidRDefault="006C71BA" w:rsidP="00A318EA">
      <w:pPr>
        <w:pStyle w:val="A-Normal11"/>
        <w:numPr>
          <w:ilvl w:val="0"/>
          <w:numId w:val="274"/>
        </w:numPr>
        <w:ind w:left="1560"/>
        <w:jc w:val="both"/>
        <w:rPr>
          <w:rFonts w:ascii="Arial" w:hAnsi="Arial" w:cs="Arial"/>
          <w:sz w:val="20"/>
        </w:rPr>
      </w:pPr>
      <w:r w:rsidRPr="00AC4AEA">
        <w:rPr>
          <w:rFonts w:ascii="Arial" w:hAnsi="Arial" w:cs="Arial"/>
          <w:sz w:val="20"/>
        </w:rPr>
        <w:t>los otros créditos</w:t>
      </w:r>
      <w:r w:rsidR="003970C8" w:rsidRPr="00AC4AEA">
        <w:rPr>
          <w:rFonts w:ascii="Arial" w:hAnsi="Arial" w:cs="Arial"/>
          <w:sz w:val="20"/>
        </w:rPr>
        <w:t xml:space="preserve"> en moneda.</w:t>
      </w:r>
    </w:p>
    <w:p w:rsidR="009B23BE" w:rsidRPr="00AC4AEA" w:rsidRDefault="00A417C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resultados, u</w:t>
      </w:r>
      <w:r w:rsidR="006C71BA" w:rsidRPr="00AC4AEA">
        <w:rPr>
          <w:rFonts w:ascii="Arial" w:hAnsi="Arial" w:cs="Arial"/>
          <w:sz w:val="20"/>
          <w:szCs w:val="20"/>
        </w:rPr>
        <w:t>na entidad presentará por separado</w:t>
      </w:r>
      <w:r w:rsidR="00490316" w:rsidRPr="00AC4AEA">
        <w:rPr>
          <w:rFonts w:ascii="Arial" w:hAnsi="Arial" w:cs="Arial"/>
          <w:sz w:val="20"/>
          <w:szCs w:val="20"/>
        </w:rPr>
        <w:t xml:space="preserve"> las </w:t>
      </w:r>
      <w:r w:rsidR="00490316" w:rsidRPr="00AC4AEA">
        <w:rPr>
          <w:rFonts w:ascii="Arial" w:hAnsi="Arial" w:cs="Arial"/>
          <w:b/>
          <w:bCs/>
          <w:sz w:val="20"/>
          <w:szCs w:val="20"/>
        </w:rPr>
        <w:t>pérdidas por desvalorización</w:t>
      </w:r>
      <w:r w:rsidR="00490316" w:rsidRPr="00AC4AEA">
        <w:rPr>
          <w:rFonts w:ascii="Arial" w:hAnsi="Arial" w:cs="Arial"/>
          <w:sz w:val="20"/>
          <w:szCs w:val="20"/>
        </w:rPr>
        <w:t xml:space="preserve"> y las reversiones de dichas pérdidas (gastos por incobrables y similares)</w:t>
      </w:r>
      <w:r w:rsidR="008943A6" w:rsidRPr="00AC4AEA">
        <w:rPr>
          <w:rFonts w:ascii="Arial" w:hAnsi="Arial" w:cs="Arial"/>
          <w:sz w:val="20"/>
          <w:szCs w:val="20"/>
        </w:rPr>
        <w:t>.</w:t>
      </w:r>
      <w:r w:rsidR="00F95B37" w:rsidRPr="00AC4AEA">
        <w:rPr>
          <w:rFonts w:ascii="Arial" w:hAnsi="Arial" w:cs="Arial"/>
          <w:sz w:val="20"/>
          <w:szCs w:val="20"/>
        </w:rPr>
        <w:t xml:space="preserve"> </w:t>
      </w:r>
    </w:p>
    <w:p w:rsidR="00490316" w:rsidRPr="00AC4AEA" w:rsidRDefault="00F95B3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Los demás resultados relacionados se presentarán de conformidad con la definido en </w:t>
      </w:r>
      <w:r w:rsidR="009B23BE" w:rsidRPr="00AC4AEA">
        <w:rPr>
          <w:rFonts w:ascii="Arial" w:hAnsi="Arial" w:cs="Arial"/>
          <w:sz w:val="20"/>
          <w:szCs w:val="20"/>
        </w:rPr>
        <w:t>l</w:t>
      </w:r>
      <w:r w:rsidR="006E4E40" w:rsidRPr="00AC4AEA">
        <w:rPr>
          <w:rFonts w:ascii="Arial" w:hAnsi="Arial" w:cs="Arial"/>
          <w:sz w:val="20"/>
          <w:szCs w:val="20"/>
        </w:rPr>
        <w:t>a sección “</w:t>
      </w:r>
      <w:r w:rsidR="006E4E40" w:rsidRPr="00AC4AEA">
        <w:rPr>
          <w:rFonts w:ascii="Arial" w:hAnsi="Arial" w:cs="Arial"/>
          <w:sz w:val="20"/>
          <w:szCs w:val="20"/>
          <w:u w:val="single"/>
        </w:rPr>
        <w:t>Cuestiones referidas al estado de resultados</w:t>
      </w:r>
      <w:r w:rsidR="006E4E40"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00EB55CB" w:rsidRPr="00AC4AEA">
        <w:rPr>
          <w:rFonts w:ascii="Arial" w:hAnsi="Arial" w:cs="Arial"/>
          <w:sz w:val="20"/>
          <w:szCs w:val="20"/>
        </w:rPr>
        <w:t xml:space="preserve"> a</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006E4E40" w:rsidRPr="00AC4AEA">
        <w:rPr>
          <w:rFonts w:ascii="Arial" w:hAnsi="Arial" w:cs="Arial"/>
          <w:sz w:val="20"/>
          <w:szCs w:val="20"/>
        </w:rPr>
        <w:t>].</w:t>
      </w:r>
      <w:r w:rsidRPr="00AC4AEA">
        <w:rPr>
          <w:rFonts w:ascii="Arial" w:hAnsi="Arial" w:cs="Arial"/>
          <w:sz w:val="20"/>
          <w:szCs w:val="20"/>
        </w:rPr>
        <w:t xml:space="preserve"> </w:t>
      </w:r>
    </w:p>
    <w:p w:rsidR="006C71BA" w:rsidRPr="00AC4AEA" w:rsidRDefault="006C71BA" w:rsidP="00A318EA">
      <w:pPr>
        <w:jc w:val="both"/>
        <w:rPr>
          <w:rFonts w:ascii="Arial" w:hAnsi="Arial" w:cs="Arial"/>
          <w:b/>
          <w:bCs/>
          <w:sz w:val="20"/>
          <w:szCs w:val="20"/>
        </w:rPr>
      </w:pPr>
    </w:p>
    <w:p w:rsidR="006C71BA" w:rsidRPr="00AC4AEA" w:rsidRDefault="006C71BA" w:rsidP="00A318EA">
      <w:pPr>
        <w:pStyle w:val="Ttulo2"/>
        <w:rPr>
          <w:rFonts w:cs="Arial"/>
        </w:rPr>
      </w:pPr>
      <w:bookmarkStart w:id="390" w:name="_Toc101863822"/>
      <w:bookmarkStart w:id="391" w:name="_Toc139356691"/>
      <w:r w:rsidRPr="00AC4AEA">
        <w:rPr>
          <w:rFonts w:cs="Arial"/>
        </w:rPr>
        <w:t>Revelación en notas</w:t>
      </w:r>
      <w:bookmarkEnd w:id="390"/>
      <w:bookmarkEnd w:id="391"/>
    </w:p>
    <w:p w:rsidR="006C71BA" w:rsidRPr="00AC4AEA" w:rsidRDefault="006C71B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describirá:</w:t>
      </w:r>
    </w:p>
    <w:p w:rsidR="006C71BA" w:rsidRPr="00AC4AEA" w:rsidRDefault="006C71BA" w:rsidP="00A318EA">
      <w:pPr>
        <w:pStyle w:val="Prrafodelista"/>
        <w:numPr>
          <w:ilvl w:val="0"/>
          <w:numId w:val="275"/>
        </w:numPr>
        <w:ind w:left="1560"/>
        <w:contextualSpacing w:val="0"/>
        <w:jc w:val="both"/>
        <w:rPr>
          <w:rFonts w:ascii="Arial" w:hAnsi="Arial" w:cs="Arial"/>
          <w:sz w:val="20"/>
          <w:szCs w:val="20"/>
        </w:rPr>
      </w:pPr>
      <w:r w:rsidRPr="00AC4AEA">
        <w:rPr>
          <w:rFonts w:ascii="Arial" w:hAnsi="Arial" w:cs="Arial"/>
          <w:sz w:val="20"/>
          <w:szCs w:val="20"/>
        </w:rPr>
        <w:t xml:space="preserve">las </w:t>
      </w:r>
      <w:r w:rsidR="00135084" w:rsidRPr="00AC4AEA">
        <w:rPr>
          <w:rFonts w:ascii="Arial" w:hAnsi="Arial" w:cs="Arial"/>
          <w:b/>
          <w:bCs/>
          <w:sz w:val="20"/>
          <w:szCs w:val="20"/>
        </w:rPr>
        <w:t>políticas contables</w:t>
      </w:r>
      <w:r w:rsidRPr="00AC4AEA">
        <w:rPr>
          <w:rFonts w:ascii="Arial" w:hAnsi="Arial" w:cs="Arial"/>
          <w:sz w:val="20"/>
          <w:szCs w:val="20"/>
        </w:rPr>
        <w:t xml:space="preserve"> </w:t>
      </w:r>
      <w:r w:rsidR="003970C8" w:rsidRPr="00AC4AEA">
        <w:rPr>
          <w:rFonts w:ascii="Arial" w:hAnsi="Arial" w:cs="Arial"/>
          <w:sz w:val="20"/>
          <w:szCs w:val="20"/>
        </w:rPr>
        <w:t>empleadas</w:t>
      </w:r>
      <w:r w:rsidRPr="00AC4AEA">
        <w:rPr>
          <w:rFonts w:ascii="Arial" w:hAnsi="Arial" w:cs="Arial"/>
          <w:sz w:val="20"/>
          <w:szCs w:val="20"/>
        </w:rPr>
        <w:t xml:space="preserve"> y los criterios de medición aplicados para cada clase de créditos</w:t>
      </w:r>
      <w:r w:rsidR="003970C8" w:rsidRPr="00AC4AEA">
        <w:rPr>
          <w:rFonts w:ascii="Arial" w:hAnsi="Arial" w:cs="Arial"/>
          <w:sz w:val="20"/>
          <w:szCs w:val="20"/>
        </w:rPr>
        <w:t xml:space="preserve"> en moneda</w:t>
      </w:r>
      <w:r w:rsidRPr="00AC4AEA">
        <w:rPr>
          <w:rFonts w:ascii="Arial" w:hAnsi="Arial" w:cs="Arial"/>
          <w:sz w:val="20"/>
          <w:szCs w:val="20"/>
        </w:rPr>
        <w:t>; y</w:t>
      </w:r>
    </w:p>
    <w:p w:rsidR="006C71BA" w:rsidRPr="00AC4AEA" w:rsidRDefault="006C71BA" w:rsidP="00A318EA">
      <w:pPr>
        <w:pStyle w:val="Prrafodelista"/>
        <w:numPr>
          <w:ilvl w:val="0"/>
          <w:numId w:val="275"/>
        </w:numPr>
        <w:ind w:left="1560"/>
        <w:contextualSpacing w:val="0"/>
        <w:jc w:val="both"/>
        <w:rPr>
          <w:rFonts w:ascii="Arial" w:hAnsi="Arial" w:cs="Arial"/>
          <w:sz w:val="20"/>
          <w:szCs w:val="20"/>
        </w:rPr>
      </w:pPr>
      <w:r w:rsidRPr="00AC4AEA">
        <w:rPr>
          <w:rFonts w:ascii="Arial" w:hAnsi="Arial" w:cs="Arial"/>
          <w:sz w:val="20"/>
          <w:szCs w:val="20"/>
        </w:rPr>
        <w:t>las bases y métodos utilizados y los supuestos considerados en las mediciones basadas en valores corrientes.</w:t>
      </w:r>
    </w:p>
    <w:p w:rsidR="006C71BA" w:rsidRPr="00AC4AEA" w:rsidRDefault="006C71BA" w:rsidP="00A318EA">
      <w:pPr>
        <w:pStyle w:val="Prrafodelista"/>
        <w:numPr>
          <w:ilvl w:val="0"/>
          <w:numId w:val="29"/>
        </w:numPr>
        <w:contextualSpacing w:val="0"/>
        <w:jc w:val="both"/>
        <w:rPr>
          <w:rFonts w:ascii="Arial" w:hAnsi="Arial" w:cs="Arial"/>
          <w:sz w:val="20"/>
          <w:szCs w:val="20"/>
        </w:rPr>
      </w:pPr>
      <w:bookmarkStart w:id="392" w:name="_Ref105082071"/>
      <w:r w:rsidRPr="00AC4AEA">
        <w:rPr>
          <w:rFonts w:ascii="Arial" w:hAnsi="Arial" w:cs="Arial"/>
          <w:sz w:val="20"/>
          <w:szCs w:val="20"/>
        </w:rPr>
        <w:t>Una entidad revelará información sobre la composición de los créditos que permita evaluar el importe, calendario e incertidumbre de los flujos de efectivo futuros, incluyendo:</w:t>
      </w:r>
      <w:bookmarkEnd w:id="392"/>
    </w:p>
    <w:p w:rsidR="006C71BA" w:rsidRPr="00AC4AEA" w:rsidRDefault="006C71BA" w:rsidP="00A318EA">
      <w:pPr>
        <w:pStyle w:val="Prrafodelista"/>
        <w:numPr>
          <w:ilvl w:val="0"/>
          <w:numId w:val="276"/>
        </w:numPr>
        <w:ind w:left="1560"/>
        <w:contextualSpacing w:val="0"/>
        <w:jc w:val="both"/>
        <w:rPr>
          <w:rFonts w:ascii="Arial" w:hAnsi="Arial" w:cs="Arial"/>
          <w:sz w:val="20"/>
          <w:szCs w:val="20"/>
        </w:rPr>
      </w:pPr>
      <w:r w:rsidRPr="00AC4AEA">
        <w:rPr>
          <w:rFonts w:ascii="Arial" w:hAnsi="Arial" w:cs="Arial"/>
          <w:sz w:val="20"/>
          <w:szCs w:val="20"/>
        </w:rPr>
        <w:t>su naturaleza e instrumentación jurídica;</w:t>
      </w:r>
    </w:p>
    <w:p w:rsidR="006C71BA" w:rsidRPr="00AC4AEA" w:rsidRDefault="006C71BA" w:rsidP="00A318EA">
      <w:pPr>
        <w:pStyle w:val="Prrafodelista"/>
        <w:numPr>
          <w:ilvl w:val="0"/>
          <w:numId w:val="276"/>
        </w:numPr>
        <w:ind w:left="1560"/>
        <w:contextualSpacing w:val="0"/>
        <w:jc w:val="both"/>
        <w:rPr>
          <w:rFonts w:ascii="Arial" w:hAnsi="Arial" w:cs="Arial"/>
          <w:sz w:val="20"/>
          <w:szCs w:val="20"/>
        </w:rPr>
      </w:pPr>
      <w:r w:rsidRPr="00AC4AEA">
        <w:rPr>
          <w:rFonts w:ascii="Arial" w:hAnsi="Arial" w:cs="Arial"/>
          <w:sz w:val="20"/>
          <w:szCs w:val="20"/>
        </w:rPr>
        <w:t xml:space="preserve">los importes de las cuentas a cobrar en </w:t>
      </w:r>
      <w:r w:rsidRPr="002B0F58">
        <w:rPr>
          <w:rFonts w:ascii="Arial" w:hAnsi="Arial" w:cs="Arial"/>
          <w:b/>
          <w:bCs/>
          <w:sz w:val="20"/>
          <w:szCs w:val="20"/>
        </w:rPr>
        <w:t>moneda extranjera</w:t>
      </w:r>
      <w:r w:rsidRPr="00AC4AEA">
        <w:rPr>
          <w:rFonts w:ascii="Arial" w:hAnsi="Arial" w:cs="Arial"/>
          <w:sz w:val="20"/>
          <w:szCs w:val="20"/>
        </w:rPr>
        <w:t>, si las hubiere, y los tipos de cambio vigentes a la fecha de cierre;</w:t>
      </w:r>
    </w:p>
    <w:p w:rsidR="006C71BA" w:rsidRPr="00AC4AEA" w:rsidRDefault="00F77C4B" w:rsidP="00A318EA">
      <w:pPr>
        <w:pStyle w:val="Prrafodelista"/>
        <w:numPr>
          <w:ilvl w:val="0"/>
          <w:numId w:val="276"/>
        </w:numPr>
        <w:ind w:left="1560"/>
        <w:contextualSpacing w:val="0"/>
        <w:jc w:val="both"/>
        <w:rPr>
          <w:rFonts w:ascii="Arial" w:hAnsi="Arial" w:cs="Arial"/>
          <w:sz w:val="20"/>
          <w:szCs w:val="20"/>
        </w:rPr>
      </w:pPr>
      <w:r w:rsidRPr="00AC4AEA">
        <w:rPr>
          <w:rFonts w:ascii="Arial" w:hAnsi="Arial" w:cs="Arial"/>
          <w:sz w:val="20"/>
          <w:szCs w:val="20"/>
        </w:rPr>
        <w:t>los importes,</w:t>
      </w:r>
      <w:r w:rsidR="006C71BA" w:rsidRPr="00AC4AEA">
        <w:rPr>
          <w:rFonts w:ascii="Arial" w:hAnsi="Arial" w:cs="Arial"/>
          <w:sz w:val="20"/>
          <w:szCs w:val="20"/>
        </w:rPr>
        <w:t xml:space="preserve"> en función de los plazos de vencimiento de las cuotas pactadas, distinguiendo entre:</w:t>
      </w:r>
    </w:p>
    <w:p w:rsidR="006C71BA" w:rsidRPr="00AC4AEA" w:rsidRDefault="006C71BA" w:rsidP="00A318EA">
      <w:pPr>
        <w:pStyle w:val="Prrafodelista"/>
        <w:numPr>
          <w:ilvl w:val="0"/>
          <w:numId w:val="277"/>
        </w:numPr>
        <w:ind w:left="1985"/>
        <w:contextualSpacing w:val="0"/>
        <w:jc w:val="both"/>
        <w:rPr>
          <w:rFonts w:ascii="Arial" w:hAnsi="Arial" w:cs="Arial"/>
          <w:sz w:val="20"/>
          <w:szCs w:val="20"/>
        </w:rPr>
      </w:pPr>
      <w:r w:rsidRPr="00AC4AEA">
        <w:rPr>
          <w:rFonts w:ascii="Arial" w:hAnsi="Arial" w:cs="Arial"/>
          <w:sz w:val="20"/>
          <w:szCs w:val="20"/>
        </w:rPr>
        <w:lastRenderedPageBreak/>
        <w:t>plazo vencido;</w:t>
      </w:r>
    </w:p>
    <w:p w:rsidR="006C71BA" w:rsidRPr="00AC4AEA" w:rsidRDefault="006C71BA" w:rsidP="00A318EA">
      <w:pPr>
        <w:pStyle w:val="Prrafodelista"/>
        <w:numPr>
          <w:ilvl w:val="0"/>
          <w:numId w:val="277"/>
        </w:numPr>
        <w:ind w:left="1985"/>
        <w:contextualSpacing w:val="0"/>
        <w:jc w:val="both"/>
        <w:rPr>
          <w:rFonts w:ascii="Arial" w:hAnsi="Arial" w:cs="Arial"/>
          <w:sz w:val="20"/>
          <w:szCs w:val="20"/>
        </w:rPr>
      </w:pPr>
      <w:r w:rsidRPr="00AC4AEA">
        <w:rPr>
          <w:rFonts w:ascii="Arial" w:hAnsi="Arial" w:cs="Arial"/>
          <w:sz w:val="20"/>
          <w:szCs w:val="20"/>
        </w:rPr>
        <w:t>sin plazo establecido;</w:t>
      </w:r>
    </w:p>
    <w:p w:rsidR="006C71BA" w:rsidRPr="00AC4AEA" w:rsidRDefault="006C71BA" w:rsidP="00A318EA">
      <w:pPr>
        <w:pStyle w:val="Prrafodelista"/>
        <w:numPr>
          <w:ilvl w:val="0"/>
          <w:numId w:val="277"/>
        </w:numPr>
        <w:ind w:left="1985"/>
        <w:contextualSpacing w:val="0"/>
        <w:jc w:val="both"/>
        <w:rPr>
          <w:rFonts w:ascii="Arial" w:hAnsi="Arial" w:cs="Arial"/>
          <w:sz w:val="20"/>
          <w:szCs w:val="20"/>
        </w:rPr>
      </w:pPr>
      <w:r w:rsidRPr="00AC4AEA">
        <w:rPr>
          <w:rFonts w:ascii="Arial" w:hAnsi="Arial" w:cs="Arial"/>
          <w:sz w:val="20"/>
          <w:szCs w:val="20"/>
        </w:rPr>
        <w:t>con vencimiento en cada uno de los trimestres del ejercicio subsiguiente; y</w:t>
      </w:r>
    </w:p>
    <w:p w:rsidR="006C71BA" w:rsidRPr="00AC4AEA" w:rsidRDefault="006C71BA" w:rsidP="00A318EA">
      <w:pPr>
        <w:pStyle w:val="Prrafodelista"/>
        <w:numPr>
          <w:ilvl w:val="0"/>
          <w:numId w:val="277"/>
        </w:numPr>
        <w:ind w:left="1985"/>
        <w:contextualSpacing w:val="0"/>
        <w:jc w:val="both"/>
        <w:rPr>
          <w:rFonts w:ascii="Arial" w:hAnsi="Arial" w:cs="Arial"/>
          <w:sz w:val="20"/>
          <w:szCs w:val="20"/>
        </w:rPr>
      </w:pPr>
      <w:r w:rsidRPr="00AC4AEA">
        <w:rPr>
          <w:rFonts w:ascii="Arial" w:hAnsi="Arial" w:cs="Arial"/>
          <w:sz w:val="20"/>
          <w:szCs w:val="20"/>
        </w:rPr>
        <w:t>con vencimiento en cada uno de los ejercicios posteriores al subsiguiente.</w:t>
      </w:r>
    </w:p>
    <w:p w:rsidR="006C71BA" w:rsidRPr="00AC4AEA" w:rsidRDefault="006C71BA" w:rsidP="00A318EA">
      <w:pPr>
        <w:pStyle w:val="Prrafodelista"/>
        <w:numPr>
          <w:ilvl w:val="0"/>
          <w:numId w:val="276"/>
        </w:numPr>
        <w:ind w:left="1560"/>
        <w:contextualSpacing w:val="0"/>
        <w:jc w:val="both"/>
        <w:rPr>
          <w:rFonts w:ascii="Arial" w:hAnsi="Arial" w:cs="Arial"/>
          <w:sz w:val="20"/>
          <w:szCs w:val="20"/>
        </w:rPr>
      </w:pPr>
      <w:r w:rsidRPr="00AC4AEA">
        <w:rPr>
          <w:rFonts w:ascii="Arial" w:hAnsi="Arial" w:cs="Arial"/>
          <w:sz w:val="20"/>
          <w:szCs w:val="20"/>
        </w:rPr>
        <w:t>las tasas de interés, explícitas o implícitas, por categoría de crédito (pudiendo informar el promedio por categoría en el caso de existir más de una tasa);</w:t>
      </w:r>
    </w:p>
    <w:p w:rsidR="006C71BA" w:rsidRPr="00AC4AEA" w:rsidRDefault="006C71BA" w:rsidP="00A318EA">
      <w:pPr>
        <w:pStyle w:val="Prrafodelista"/>
        <w:numPr>
          <w:ilvl w:val="0"/>
          <w:numId w:val="276"/>
        </w:numPr>
        <w:ind w:left="1560"/>
        <w:contextualSpacing w:val="0"/>
        <w:jc w:val="both"/>
        <w:rPr>
          <w:rFonts w:ascii="Arial" w:hAnsi="Arial" w:cs="Arial"/>
          <w:sz w:val="20"/>
          <w:szCs w:val="20"/>
        </w:rPr>
      </w:pPr>
      <w:r w:rsidRPr="00AC4AEA">
        <w:rPr>
          <w:rFonts w:ascii="Arial" w:hAnsi="Arial" w:cs="Arial"/>
          <w:sz w:val="20"/>
          <w:szCs w:val="20"/>
        </w:rPr>
        <w:t>las pautas de actualización, si las hubiere;</w:t>
      </w:r>
    </w:p>
    <w:p w:rsidR="006C71BA" w:rsidRPr="00AC4AEA" w:rsidRDefault="006C71BA" w:rsidP="00A318EA">
      <w:pPr>
        <w:pStyle w:val="Prrafodelista"/>
        <w:numPr>
          <w:ilvl w:val="0"/>
          <w:numId w:val="276"/>
        </w:numPr>
        <w:ind w:left="1560"/>
        <w:contextualSpacing w:val="0"/>
        <w:jc w:val="both"/>
        <w:rPr>
          <w:rFonts w:ascii="Arial" w:hAnsi="Arial" w:cs="Arial"/>
          <w:sz w:val="20"/>
          <w:szCs w:val="20"/>
        </w:rPr>
      </w:pPr>
      <w:r w:rsidRPr="00AC4AEA">
        <w:rPr>
          <w:rFonts w:ascii="Arial" w:hAnsi="Arial" w:cs="Arial"/>
          <w:sz w:val="20"/>
          <w:szCs w:val="20"/>
        </w:rPr>
        <w:t>los saldos con garantías que disminuyan el riesgo de la entidad;</w:t>
      </w:r>
    </w:p>
    <w:p w:rsidR="006C71BA" w:rsidRPr="00AC4AEA" w:rsidRDefault="006C71BA" w:rsidP="00A318EA">
      <w:pPr>
        <w:pStyle w:val="Prrafodelista"/>
        <w:numPr>
          <w:ilvl w:val="0"/>
          <w:numId w:val="276"/>
        </w:numPr>
        <w:ind w:left="1560"/>
        <w:contextualSpacing w:val="0"/>
        <w:jc w:val="both"/>
        <w:rPr>
          <w:rFonts w:ascii="Arial" w:hAnsi="Arial" w:cs="Arial"/>
          <w:sz w:val="20"/>
          <w:szCs w:val="20"/>
        </w:rPr>
      </w:pPr>
      <w:r w:rsidRPr="00AC4AEA">
        <w:rPr>
          <w:rFonts w:ascii="Arial" w:hAnsi="Arial" w:cs="Arial"/>
          <w:sz w:val="20"/>
          <w:szCs w:val="20"/>
        </w:rPr>
        <w:t>los saldos con entidades sobre las cuales ejerce (o que ejercen sobre la entidad) control, control conjunto o influencia significativa</w:t>
      </w:r>
      <w:r w:rsidR="00000B6A" w:rsidRPr="00AC4AEA">
        <w:rPr>
          <w:rFonts w:ascii="Arial" w:hAnsi="Arial" w:cs="Arial"/>
          <w:sz w:val="20"/>
          <w:szCs w:val="20"/>
        </w:rPr>
        <w:t>;</w:t>
      </w:r>
      <w:r w:rsidRPr="00AC4AEA">
        <w:rPr>
          <w:rFonts w:ascii="Arial" w:hAnsi="Arial" w:cs="Arial"/>
          <w:sz w:val="20"/>
          <w:szCs w:val="20"/>
        </w:rPr>
        <w:t xml:space="preserve"> y</w:t>
      </w:r>
    </w:p>
    <w:p w:rsidR="006C71BA" w:rsidRPr="00AC4AEA" w:rsidRDefault="006C71BA" w:rsidP="00A318EA">
      <w:pPr>
        <w:pStyle w:val="Prrafodelista"/>
        <w:numPr>
          <w:ilvl w:val="0"/>
          <w:numId w:val="276"/>
        </w:numPr>
        <w:ind w:left="1560"/>
        <w:contextualSpacing w:val="0"/>
        <w:jc w:val="both"/>
        <w:rPr>
          <w:rFonts w:ascii="Arial" w:hAnsi="Arial" w:cs="Arial"/>
          <w:sz w:val="20"/>
          <w:szCs w:val="20"/>
        </w:rPr>
      </w:pPr>
      <w:r w:rsidRPr="00AC4AEA">
        <w:rPr>
          <w:rFonts w:ascii="Arial" w:hAnsi="Arial" w:cs="Arial"/>
          <w:sz w:val="20"/>
          <w:szCs w:val="20"/>
        </w:rPr>
        <w:t xml:space="preserve">las </w:t>
      </w:r>
      <w:r w:rsidRPr="00AC4AEA">
        <w:rPr>
          <w:rFonts w:ascii="Arial" w:hAnsi="Arial" w:cs="Arial"/>
          <w:b/>
          <w:bCs/>
          <w:sz w:val="20"/>
          <w:szCs w:val="20"/>
        </w:rPr>
        <w:t>pérdidas por desvalorización</w:t>
      </w:r>
      <w:r w:rsidRPr="00AC4AEA">
        <w:rPr>
          <w:rFonts w:ascii="Arial" w:hAnsi="Arial" w:cs="Arial"/>
          <w:sz w:val="20"/>
          <w:szCs w:val="20"/>
        </w:rPr>
        <w:t xml:space="preserve"> (o las reversiones de dichas pérdidas) reconocidas y acumuladas.</w:t>
      </w:r>
    </w:p>
    <w:p w:rsidR="0069742B" w:rsidRPr="00AC4AEA" w:rsidRDefault="0069742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pequeña o una entidad mediana podrá no revelar la información requerida por los inciso</w:t>
      </w:r>
      <w:r w:rsidR="002A009A" w:rsidRPr="00AC4AEA">
        <w:rPr>
          <w:rFonts w:ascii="Arial" w:hAnsi="Arial" w:cs="Arial"/>
          <w:sz w:val="20"/>
          <w:szCs w:val="20"/>
        </w:rPr>
        <w:t>s</w:t>
      </w:r>
      <w:r w:rsidRPr="00AC4AEA">
        <w:rPr>
          <w:rFonts w:ascii="Arial" w:hAnsi="Arial" w:cs="Arial"/>
          <w:sz w:val="20"/>
          <w:szCs w:val="20"/>
        </w:rPr>
        <w:t xml:space="preserve"> c) y d) del párrafo anterior.</w:t>
      </w:r>
    </w:p>
    <w:p w:rsidR="006C71BA" w:rsidRPr="00AC4AEA" w:rsidRDefault="006C71B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clasificará los otros créditos en</w:t>
      </w:r>
      <w:r w:rsidR="00613236" w:rsidRPr="00AC4AEA">
        <w:rPr>
          <w:rFonts w:ascii="Arial" w:hAnsi="Arial" w:cs="Arial"/>
          <w:sz w:val="20"/>
          <w:szCs w:val="20"/>
        </w:rPr>
        <w:t xml:space="preserve"> moneda</w:t>
      </w:r>
      <w:r w:rsidRPr="00AC4AEA">
        <w:rPr>
          <w:rFonts w:ascii="Arial" w:hAnsi="Arial" w:cs="Arial"/>
          <w:sz w:val="20"/>
          <w:szCs w:val="20"/>
        </w:rPr>
        <w:t xml:space="preserve"> </w:t>
      </w:r>
      <w:r w:rsidR="00854B0B" w:rsidRPr="00AC4AEA">
        <w:rPr>
          <w:rFonts w:ascii="Arial" w:hAnsi="Arial" w:cs="Arial"/>
          <w:sz w:val="20"/>
          <w:szCs w:val="20"/>
        </w:rPr>
        <w:t xml:space="preserve">en </w:t>
      </w:r>
      <w:r w:rsidRPr="00AC4AEA">
        <w:rPr>
          <w:rFonts w:ascii="Arial" w:hAnsi="Arial" w:cs="Arial"/>
          <w:sz w:val="20"/>
          <w:szCs w:val="20"/>
        </w:rPr>
        <w:t xml:space="preserve">función de su </w:t>
      </w:r>
      <w:r w:rsidR="00DC1A37" w:rsidRPr="00AC4AEA">
        <w:rPr>
          <w:rFonts w:ascii="Arial" w:hAnsi="Arial" w:cs="Arial"/>
          <w:sz w:val="20"/>
          <w:szCs w:val="20"/>
        </w:rPr>
        <w:t>naturaleza</w:t>
      </w:r>
      <w:r w:rsidRPr="00AC4AEA">
        <w:rPr>
          <w:rFonts w:ascii="Arial" w:hAnsi="Arial" w:cs="Arial"/>
          <w:sz w:val="20"/>
          <w:szCs w:val="20"/>
        </w:rPr>
        <w:t xml:space="preserve"> (por ejemplo, créditos </w:t>
      </w:r>
      <w:r w:rsidR="00613236" w:rsidRPr="00AC4AEA">
        <w:rPr>
          <w:rFonts w:ascii="Arial" w:hAnsi="Arial" w:cs="Arial"/>
          <w:sz w:val="20"/>
          <w:szCs w:val="20"/>
        </w:rPr>
        <w:t>por venta de bienes de uso</w:t>
      </w:r>
      <w:r w:rsidRPr="00AC4AEA">
        <w:rPr>
          <w:rFonts w:ascii="Arial" w:hAnsi="Arial" w:cs="Arial"/>
          <w:sz w:val="20"/>
          <w:szCs w:val="20"/>
        </w:rPr>
        <w:t xml:space="preserve">, </w:t>
      </w:r>
      <w:r w:rsidR="006D6680" w:rsidRPr="00AC4AEA">
        <w:rPr>
          <w:rFonts w:ascii="Arial" w:hAnsi="Arial" w:cs="Arial"/>
          <w:sz w:val="20"/>
          <w:szCs w:val="20"/>
        </w:rPr>
        <w:t xml:space="preserve">créditos por venta de propiedades de inversión, </w:t>
      </w:r>
      <w:r w:rsidRPr="00AC4AEA">
        <w:rPr>
          <w:rFonts w:ascii="Arial" w:hAnsi="Arial" w:cs="Arial"/>
          <w:sz w:val="20"/>
          <w:szCs w:val="20"/>
        </w:rPr>
        <w:t>etc.).</w:t>
      </w:r>
    </w:p>
    <w:p w:rsidR="006C71BA" w:rsidRPr="00AC4AEA" w:rsidRDefault="006C71BA" w:rsidP="00A318EA">
      <w:pPr>
        <w:ind w:left="284"/>
        <w:jc w:val="both"/>
        <w:rPr>
          <w:rFonts w:ascii="Arial" w:hAnsi="Arial" w:cs="Arial"/>
          <w:b/>
          <w:bCs/>
          <w:sz w:val="20"/>
          <w:szCs w:val="20"/>
        </w:rPr>
      </w:pPr>
    </w:p>
    <w:p w:rsidR="006C71BA" w:rsidRPr="00AC4AEA" w:rsidRDefault="006C71BA" w:rsidP="00A318EA">
      <w:pPr>
        <w:pStyle w:val="Ttulo2"/>
        <w:rPr>
          <w:rFonts w:cs="Arial"/>
        </w:rPr>
      </w:pPr>
      <w:bookmarkStart w:id="393" w:name="_Toc101863823"/>
      <w:bookmarkStart w:id="394" w:name="_Toc139356692"/>
      <w:r w:rsidRPr="00AC4AEA">
        <w:rPr>
          <w:rFonts w:cs="Arial"/>
        </w:rPr>
        <w:t>Otras normas aplicables</w:t>
      </w:r>
      <w:bookmarkEnd w:id="393"/>
      <w:bookmarkEnd w:id="394"/>
    </w:p>
    <w:p w:rsidR="006C71BA" w:rsidRPr="00AC4AEA" w:rsidRDefault="006C71BA" w:rsidP="00A318EA">
      <w:pPr>
        <w:pStyle w:val="Prrafodelista"/>
        <w:numPr>
          <w:ilvl w:val="0"/>
          <w:numId w:val="29"/>
        </w:numPr>
        <w:contextualSpacing w:val="0"/>
        <w:jc w:val="both"/>
        <w:rPr>
          <w:rFonts w:ascii="Arial" w:hAnsi="Arial" w:cs="Arial"/>
          <w:sz w:val="20"/>
          <w:szCs w:val="20"/>
        </w:rPr>
      </w:pPr>
      <w:bookmarkStart w:id="395" w:name="_Ref103264815"/>
      <w:r w:rsidRPr="00AC4AEA">
        <w:rPr>
          <w:rFonts w:ascii="Arial" w:hAnsi="Arial" w:cs="Arial"/>
          <w:sz w:val="20"/>
          <w:szCs w:val="20"/>
        </w:rPr>
        <w:t xml:space="preserve">Para el tratamiento contable de los componentes de créditos una entidad deberá contemplar, en tanto resulten pertinentes y no contradigan lo establecido en esta sección, otras </w:t>
      </w:r>
      <w:r w:rsidR="00DD7085" w:rsidRPr="00AC4AEA">
        <w:rPr>
          <w:rFonts w:ascii="Arial" w:hAnsi="Arial" w:cs="Arial"/>
          <w:sz w:val="20"/>
          <w:szCs w:val="20"/>
        </w:rPr>
        <w:t>disposiciones</w:t>
      </w:r>
      <w:r w:rsidRPr="00AC4AEA">
        <w:rPr>
          <w:rFonts w:ascii="Arial" w:hAnsi="Arial" w:cs="Arial"/>
          <w:sz w:val="20"/>
          <w:szCs w:val="20"/>
        </w:rPr>
        <w:t xml:space="preserve"> de esta</w:t>
      </w:r>
      <w:r w:rsidR="00A712FA" w:rsidRPr="00AC4AEA">
        <w:rPr>
          <w:rFonts w:ascii="Arial" w:hAnsi="Arial" w:cs="Arial"/>
          <w:sz w:val="20"/>
          <w:szCs w:val="20"/>
        </w:rPr>
        <w:t xml:space="preserve"> Resolución Técnica</w:t>
      </w:r>
      <w:r w:rsidRPr="00AC4AEA">
        <w:rPr>
          <w:rFonts w:ascii="Arial" w:hAnsi="Arial" w:cs="Arial"/>
          <w:sz w:val="20"/>
          <w:szCs w:val="20"/>
        </w:rPr>
        <w:t xml:space="preserve"> u </w:t>
      </w:r>
      <w:r w:rsidRPr="00AC4AEA">
        <w:rPr>
          <w:rFonts w:ascii="Arial" w:hAnsi="Arial" w:cs="Arial"/>
          <w:b/>
          <w:bCs/>
          <w:sz w:val="20"/>
          <w:szCs w:val="20"/>
        </w:rPr>
        <w:t xml:space="preserve">otras </w:t>
      </w:r>
      <w:r w:rsidR="00A712FA" w:rsidRPr="00AC4AEA">
        <w:rPr>
          <w:rFonts w:ascii="Arial" w:hAnsi="Arial" w:cs="Arial"/>
          <w:b/>
          <w:bCs/>
          <w:sz w:val="20"/>
          <w:szCs w:val="20"/>
        </w:rPr>
        <w:t>normas contables</w:t>
      </w:r>
      <w:r w:rsidRPr="00AC4AEA">
        <w:rPr>
          <w:rFonts w:ascii="Arial" w:hAnsi="Arial" w:cs="Arial"/>
          <w:sz w:val="20"/>
          <w:szCs w:val="20"/>
        </w:rPr>
        <w:t>. Por ejemplo,</w:t>
      </w:r>
      <w:r w:rsidR="008755B2" w:rsidRPr="00AC4AEA">
        <w:rPr>
          <w:rFonts w:ascii="Arial" w:hAnsi="Arial" w:cs="Arial"/>
          <w:sz w:val="20"/>
          <w:szCs w:val="20"/>
        </w:rPr>
        <w:t xml:space="preserve"> y sin ánimo de ser exhaustivos,</w:t>
      </w:r>
      <w:r w:rsidRPr="00AC4AEA">
        <w:rPr>
          <w:rFonts w:ascii="Arial" w:hAnsi="Arial" w:cs="Arial"/>
          <w:sz w:val="20"/>
          <w:szCs w:val="20"/>
        </w:rPr>
        <w:t xml:space="preserve"> las referidas a:</w:t>
      </w:r>
      <w:bookmarkEnd w:id="395"/>
      <w:r w:rsidRPr="00AC4AEA">
        <w:rPr>
          <w:rFonts w:ascii="Arial" w:hAnsi="Arial" w:cs="Arial"/>
          <w:sz w:val="20"/>
          <w:szCs w:val="20"/>
        </w:rPr>
        <w:t xml:space="preserve"> </w:t>
      </w:r>
    </w:p>
    <w:p w:rsidR="00F04337" w:rsidRPr="00AC4AEA" w:rsidRDefault="00F0433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w:t>
      </w:r>
      <w:r w:rsidR="00A75139" w:rsidRPr="00AC4AEA">
        <w:rPr>
          <w:rFonts w:ascii="Arial" w:hAnsi="Arial" w:cs="Arial"/>
          <w:sz w:val="20"/>
          <w:szCs w:val="20"/>
        </w:rPr>
        <w:t>.</w:t>
      </w:r>
    </w:p>
    <w:p w:rsidR="00F04337" w:rsidRPr="00AC4AEA" w:rsidRDefault="00F0433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F04337" w:rsidRPr="00AC4AEA" w:rsidRDefault="00F0433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[ver los párrafos</w:t>
      </w:r>
      <w:r w:rsidR="00420740">
        <w:rPr>
          <w:rFonts w:ascii="Arial" w:hAnsi="Arial" w:cs="Arial"/>
          <w:sz w:val="20"/>
          <w:szCs w:val="20"/>
        </w:rPr>
        <w:t xml:space="preserve">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8755B2" w:rsidRPr="00AC4AEA" w:rsidRDefault="008755B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F04337" w:rsidRPr="00AC4AEA" w:rsidRDefault="00F0433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AE7883" w:rsidRPr="00AC4AEA" w:rsidRDefault="00AE7883" w:rsidP="00A318EA">
      <w:pPr>
        <w:pStyle w:val="Ttulo1"/>
        <w:rPr>
          <w:rFonts w:cs="Arial"/>
          <w:sz w:val="20"/>
          <w:szCs w:val="20"/>
        </w:rPr>
      </w:pPr>
      <w:bookmarkStart w:id="396" w:name="creditosESPECIE"/>
      <w:bookmarkStart w:id="397" w:name="_Toc101863824"/>
      <w:bookmarkEnd w:id="396"/>
    </w:p>
    <w:p w:rsidR="007732C0" w:rsidRPr="00097A0D" w:rsidRDefault="003053D2" w:rsidP="00A318EA">
      <w:pPr>
        <w:pStyle w:val="Ttulo1"/>
        <w:rPr>
          <w:rFonts w:cs="Arial"/>
          <w:sz w:val="20"/>
          <w:szCs w:val="20"/>
        </w:rPr>
      </w:pPr>
      <w:bookmarkStart w:id="398" w:name="_Toc139356693"/>
      <w:r w:rsidRPr="00097A0D">
        <w:rPr>
          <w:rFonts w:cs="Arial"/>
          <w:sz w:val="20"/>
          <w:szCs w:val="20"/>
        </w:rPr>
        <w:t>CRÉDITOS EN ESPECIE</w:t>
      </w:r>
      <w:bookmarkEnd w:id="397"/>
      <w:bookmarkEnd w:id="398"/>
    </w:p>
    <w:p w:rsidR="007732C0" w:rsidRPr="00AC4AEA" w:rsidRDefault="007732C0" w:rsidP="00A318EA">
      <w:pPr>
        <w:pStyle w:val="Ttulo2"/>
        <w:rPr>
          <w:rFonts w:cs="Arial"/>
        </w:rPr>
      </w:pPr>
      <w:bookmarkStart w:id="399" w:name="_Toc101863825"/>
      <w:bookmarkStart w:id="400" w:name="_Toc139356694"/>
      <w:r w:rsidRPr="00097A0D">
        <w:rPr>
          <w:rFonts w:cs="Arial"/>
        </w:rPr>
        <w:t>Definici</w:t>
      </w:r>
      <w:bookmarkEnd w:id="399"/>
      <w:r w:rsidR="00DF47B8" w:rsidRPr="00097A0D">
        <w:rPr>
          <w:rFonts w:cs="Arial"/>
        </w:rPr>
        <w:t>ón</w:t>
      </w:r>
      <w:bookmarkEnd w:id="400"/>
    </w:p>
    <w:p w:rsidR="007732C0" w:rsidRPr="00AC4AEA" w:rsidRDefault="007732C0" w:rsidP="00A318EA">
      <w:pPr>
        <w:pStyle w:val="Prrafodelista"/>
        <w:numPr>
          <w:ilvl w:val="0"/>
          <w:numId w:val="29"/>
        </w:numPr>
        <w:contextualSpacing w:val="0"/>
        <w:jc w:val="both"/>
        <w:rPr>
          <w:rFonts w:ascii="Arial" w:hAnsi="Arial" w:cs="Arial"/>
          <w:sz w:val="20"/>
          <w:szCs w:val="20"/>
        </w:rPr>
      </w:pPr>
      <w:bookmarkStart w:id="401" w:name="_Ref105075927"/>
      <w:r w:rsidRPr="00AC4AEA">
        <w:rPr>
          <w:rFonts w:ascii="Arial" w:hAnsi="Arial" w:cs="Arial"/>
          <w:sz w:val="20"/>
          <w:szCs w:val="20"/>
        </w:rPr>
        <w:t xml:space="preserve">A los fines del tratamiento de los </w:t>
      </w:r>
      <w:r w:rsidR="00497590" w:rsidRPr="00AC4AEA">
        <w:rPr>
          <w:rFonts w:ascii="Arial" w:hAnsi="Arial" w:cs="Arial"/>
          <w:sz w:val="20"/>
          <w:szCs w:val="20"/>
        </w:rPr>
        <w:t>activos</w:t>
      </w:r>
      <w:r w:rsidRPr="00AC4AEA">
        <w:rPr>
          <w:rFonts w:ascii="Arial" w:hAnsi="Arial" w:cs="Arial"/>
          <w:sz w:val="20"/>
          <w:szCs w:val="20"/>
        </w:rPr>
        <w:t xml:space="preserve"> referidos en esta sección, una entidad deberá considerar la </w:t>
      </w:r>
      <w:r w:rsidR="008755B2" w:rsidRPr="00AC4AEA">
        <w:rPr>
          <w:rFonts w:ascii="Arial" w:hAnsi="Arial" w:cs="Arial"/>
          <w:sz w:val="20"/>
          <w:szCs w:val="20"/>
        </w:rPr>
        <w:t xml:space="preserve">siguiente </w:t>
      </w:r>
      <w:r w:rsidRPr="00AC4AEA">
        <w:rPr>
          <w:rFonts w:ascii="Arial" w:hAnsi="Arial" w:cs="Arial"/>
          <w:sz w:val="20"/>
          <w:szCs w:val="20"/>
        </w:rPr>
        <w:t>definici</w:t>
      </w:r>
      <w:r w:rsidR="008755B2" w:rsidRPr="00AC4AEA">
        <w:rPr>
          <w:rFonts w:ascii="Arial" w:hAnsi="Arial" w:cs="Arial"/>
          <w:sz w:val="20"/>
          <w:szCs w:val="20"/>
        </w:rPr>
        <w:t>ón:</w:t>
      </w:r>
      <w:bookmarkEnd w:id="401"/>
    </w:p>
    <w:p w:rsidR="007732C0" w:rsidRPr="00AC4AEA" w:rsidRDefault="007732C0" w:rsidP="00A318EA">
      <w:pPr>
        <w:ind w:left="1416"/>
        <w:jc w:val="both"/>
        <w:rPr>
          <w:rFonts w:ascii="Arial" w:hAnsi="Arial" w:cs="Arial"/>
          <w:sz w:val="20"/>
          <w:szCs w:val="20"/>
        </w:rPr>
      </w:pPr>
      <w:r w:rsidRPr="00AC4AEA">
        <w:rPr>
          <w:rFonts w:ascii="Arial" w:hAnsi="Arial" w:cs="Arial"/>
          <w:sz w:val="20"/>
          <w:szCs w:val="20"/>
          <w:u w:val="single"/>
        </w:rPr>
        <w:t>Créditos</w:t>
      </w:r>
      <w:r w:rsidR="00765256" w:rsidRPr="00AC4AEA">
        <w:rPr>
          <w:rFonts w:ascii="Arial" w:hAnsi="Arial" w:cs="Arial"/>
          <w:sz w:val="20"/>
          <w:szCs w:val="20"/>
          <w:u w:val="single"/>
        </w:rPr>
        <w:t xml:space="preserve"> en especie</w:t>
      </w:r>
      <w:r w:rsidRPr="00AC4AEA">
        <w:rPr>
          <w:rFonts w:ascii="Arial" w:hAnsi="Arial" w:cs="Arial"/>
          <w:b/>
          <w:bCs/>
          <w:sz w:val="20"/>
          <w:szCs w:val="20"/>
        </w:rPr>
        <w:t xml:space="preserve">: </w:t>
      </w:r>
      <w:r w:rsidR="00765256" w:rsidRPr="00AC4AEA">
        <w:rPr>
          <w:rFonts w:ascii="Arial" w:hAnsi="Arial" w:cs="Arial"/>
          <w:sz w:val="20"/>
          <w:szCs w:val="20"/>
        </w:rPr>
        <w:t>S</w:t>
      </w:r>
      <w:r w:rsidRPr="00AC4AEA">
        <w:rPr>
          <w:rFonts w:ascii="Arial" w:hAnsi="Arial" w:cs="Arial"/>
          <w:sz w:val="20"/>
          <w:szCs w:val="20"/>
        </w:rPr>
        <w:t xml:space="preserve">on </w:t>
      </w:r>
      <w:r w:rsidR="00497590" w:rsidRPr="00AC4AEA">
        <w:rPr>
          <w:rFonts w:ascii="Arial" w:hAnsi="Arial" w:cs="Arial"/>
          <w:sz w:val="20"/>
          <w:szCs w:val="20"/>
        </w:rPr>
        <w:t>activos</w:t>
      </w:r>
      <w:r w:rsidRPr="00AC4AEA">
        <w:rPr>
          <w:rFonts w:ascii="Arial" w:hAnsi="Arial" w:cs="Arial"/>
          <w:sz w:val="20"/>
          <w:szCs w:val="20"/>
        </w:rPr>
        <w:t xml:space="preserve"> representativos de derechos que una entidad posee contra terceros para</w:t>
      </w:r>
      <w:r w:rsidR="00765256" w:rsidRPr="00AC4AEA">
        <w:rPr>
          <w:rFonts w:ascii="Arial" w:hAnsi="Arial" w:cs="Arial"/>
          <w:sz w:val="20"/>
          <w:szCs w:val="20"/>
        </w:rPr>
        <w:t xml:space="preserve"> </w:t>
      </w:r>
      <w:r w:rsidRPr="00AC4AEA">
        <w:rPr>
          <w:rFonts w:ascii="Arial" w:hAnsi="Arial" w:cs="Arial"/>
          <w:sz w:val="20"/>
          <w:szCs w:val="20"/>
        </w:rPr>
        <w:t>obtener bienes</w:t>
      </w:r>
      <w:r w:rsidR="003015AE" w:rsidRPr="00AC4AEA">
        <w:rPr>
          <w:rFonts w:ascii="Arial" w:hAnsi="Arial" w:cs="Arial"/>
          <w:sz w:val="20"/>
          <w:szCs w:val="20"/>
        </w:rPr>
        <w:t xml:space="preserve"> o servicios</w:t>
      </w:r>
      <w:r w:rsidRPr="00AC4AEA">
        <w:rPr>
          <w:rFonts w:ascii="Arial" w:hAnsi="Arial" w:cs="Arial"/>
          <w:sz w:val="20"/>
          <w:szCs w:val="20"/>
        </w:rPr>
        <w:t xml:space="preserve"> </w:t>
      </w:r>
      <w:r w:rsidR="00765256" w:rsidRPr="00AC4AEA">
        <w:rPr>
          <w:rFonts w:ascii="Arial" w:hAnsi="Arial" w:cs="Arial"/>
          <w:sz w:val="20"/>
          <w:szCs w:val="20"/>
        </w:rPr>
        <w:t>distintos</w:t>
      </w:r>
      <w:r w:rsidRPr="00AC4AEA">
        <w:rPr>
          <w:rFonts w:ascii="Arial" w:hAnsi="Arial" w:cs="Arial"/>
          <w:sz w:val="20"/>
          <w:szCs w:val="20"/>
        </w:rPr>
        <w:t xml:space="preserve"> del efectivo</w:t>
      </w:r>
      <w:r w:rsidR="008755B2" w:rsidRPr="00AC4AEA">
        <w:rPr>
          <w:rFonts w:ascii="Arial" w:hAnsi="Arial" w:cs="Arial"/>
          <w:sz w:val="20"/>
          <w:szCs w:val="20"/>
        </w:rPr>
        <w:t xml:space="preserve"> o de las inversiones financieras, tal como se las define en la sección “</w:t>
      </w:r>
      <w:r w:rsidR="008755B2" w:rsidRPr="00AC4AEA">
        <w:rPr>
          <w:rFonts w:ascii="Arial" w:hAnsi="Arial" w:cs="Arial"/>
          <w:sz w:val="20"/>
          <w:szCs w:val="20"/>
          <w:u w:val="single"/>
        </w:rPr>
        <w:t>Inversiones financieras</w:t>
      </w:r>
      <w:r w:rsidR="008755B2" w:rsidRPr="00AC4AEA">
        <w:rPr>
          <w:rFonts w:ascii="Arial" w:hAnsi="Arial" w:cs="Arial"/>
          <w:sz w:val="20"/>
          <w:szCs w:val="20"/>
        </w:rPr>
        <w:t xml:space="preserve">” [ver los párrafos </w:t>
      </w:r>
      <w:fldSimple w:instr=" REF _Ref74756832 \r \h  \* MERGEFORMAT ">
        <w:r w:rsidR="00D33A5D" w:rsidRPr="00D33A5D">
          <w:rPr>
            <w:rFonts w:ascii="Arial" w:hAnsi="Arial" w:cs="Arial"/>
            <w:sz w:val="20"/>
            <w:szCs w:val="20"/>
          </w:rPr>
          <w:t>212</w:t>
        </w:r>
      </w:fldSimple>
      <w:r w:rsidR="008755B2" w:rsidRPr="00AC4AEA">
        <w:rPr>
          <w:rFonts w:ascii="Arial" w:hAnsi="Arial" w:cs="Arial"/>
          <w:sz w:val="20"/>
          <w:szCs w:val="20"/>
        </w:rPr>
        <w:t xml:space="preserve"> a </w:t>
      </w:r>
      <w:fldSimple w:instr=" REF _Ref99468272 \r \h  \* MERGEFORMAT ">
        <w:r w:rsidR="00D33A5D" w:rsidRPr="00D33A5D">
          <w:rPr>
            <w:rFonts w:ascii="Arial" w:hAnsi="Arial" w:cs="Arial"/>
            <w:sz w:val="20"/>
            <w:szCs w:val="20"/>
          </w:rPr>
          <w:t>235</w:t>
        </w:r>
      </w:fldSimple>
      <w:r w:rsidR="008755B2" w:rsidRPr="00AC4AEA">
        <w:rPr>
          <w:rFonts w:ascii="Arial" w:hAnsi="Arial" w:cs="Arial"/>
          <w:sz w:val="20"/>
          <w:szCs w:val="20"/>
        </w:rPr>
        <w:t>]</w:t>
      </w:r>
      <w:r w:rsidR="003015AE" w:rsidRPr="00AC4AEA">
        <w:rPr>
          <w:rFonts w:ascii="Arial" w:hAnsi="Arial" w:cs="Arial"/>
          <w:sz w:val="20"/>
          <w:szCs w:val="20"/>
        </w:rPr>
        <w:t xml:space="preserve"> </w:t>
      </w:r>
      <w:r w:rsidRPr="00AC4AEA">
        <w:rPr>
          <w:rFonts w:ascii="Arial" w:hAnsi="Arial" w:cs="Arial"/>
          <w:sz w:val="20"/>
          <w:szCs w:val="20"/>
        </w:rPr>
        <w:t>(por ejemplo</w:t>
      </w:r>
      <w:r w:rsidR="00DC4C92" w:rsidRPr="00AC4AEA">
        <w:rPr>
          <w:rFonts w:ascii="Arial" w:hAnsi="Arial" w:cs="Arial"/>
          <w:sz w:val="20"/>
          <w:szCs w:val="20"/>
        </w:rPr>
        <w:t>,</w:t>
      </w:r>
      <w:r w:rsidR="008755B2" w:rsidRPr="00AC4AEA">
        <w:rPr>
          <w:rFonts w:ascii="Arial" w:hAnsi="Arial" w:cs="Arial"/>
          <w:sz w:val="20"/>
          <w:szCs w:val="20"/>
        </w:rPr>
        <w:t xml:space="preserve"> derechos para obtener</w:t>
      </w:r>
      <w:r w:rsidRPr="00AC4AEA">
        <w:rPr>
          <w:rFonts w:ascii="Arial" w:hAnsi="Arial" w:cs="Arial"/>
          <w:sz w:val="20"/>
          <w:szCs w:val="20"/>
        </w:rPr>
        <w:t xml:space="preserve"> bienes de cambio</w:t>
      </w:r>
      <w:r w:rsidR="00000B6A" w:rsidRPr="00AC4AEA">
        <w:rPr>
          <w:rFonts w:ascii="Arial" w:hAnsi="Arial" w:cs="Arial"/>
          <w:sz w:val="20"/>
          <w:szCs w:val="20"/>
        </w:rPr>
        <w:t>;</w:t>
      </w:r>
      <w:r w:rsidRPr="00AC4AEA">
        <w:rPr>
          <w:rFonts w:ascii="Arial" w:hAnsi="Arial" w:cs="Arial"/>
          <w:sz w:val="20"/>
          <w:szCs w:val="20"/>
        </w:rPr>
        <w:t xml:space="preserve"> bienes de uso</w:t>
      </w:r>
      <w:r w:rsidR="00000B6A" w:rsidRPr="00AC4AEA">
        <w:rPr>
          <w:rFonts w:ascii="Arial" w:hAnsi="Arial" w:cs="Arial"/>
          <w:sz w:val="20"/>
          <w:szCs w:val="20"/>
        </w:rPr>
        <w:t>;</w:t>
      </w:r>
      <w:r w:rsidRPr="00AC4AEA">
        <w:rPr>
          <w:rFonts w:ascii="Arial" w:hAnsi="Arial" w:cs="Arial"/>
          <w:sz w:val="20"/>
          <w:szCs w:val="20"/>
        </w:rPr>
        <w:t xml:space="preserve"> intangibles</w:t>
      </w:r>
      <w:r w:rsidR="00000B6A" w:rsidRPr="00AC4AEA">
        <w:rPr>
          <w:rFonts w:ascii="Arial" w:hAnsi="Arial" w:cs="Arial"/>
          <w:sz w:val="20"/>
          <w:szCs w:val="20"/>
        </w:rPr>
        <w:t>;</w:t>
      </w:r>
      <w:r w:rsidRPr="00AC4AEA">
        <w:rPr>
          <w:rFonts w:ascii="Arial" w:hAnsi="Arial" w:cs="Arial"/>
          <w:sz w:val="20"/>
          <w:szCs w:val="20"/>
        </w:rPr>
        <w:t xml:space="preserve"> propiedades de inversión</w:t>
      </w:r>
      <w:r w:rsidR="00000B6A" w:rsidRPr="00AC4AEA">
        <w:rPr>
          <w:rFonts w:ascii="Arial" w:hAnsi="Arial" w:cs="Arial"/>
          <w:sz w:val="20"/>
          <w:szCs w:val="20"/>
        </w:rPr>
        <w:t>;</w:t>
      </w:r>
      <w:r w:rsidR="00DC4C92" w:rsidRPr="00AC4AEA">
        <w:rPr>
          <w:rFonts w:ascii="Arial" w:hAnsi="Arial" w:cs="Arial"/>
          <w:sz w:val="20"/>
          <w:szCs w:val="20"/>
        </w:rPr>
        <w:t xml:space="preserve"> </w:t>
      </w:r>
      <w:r w:rsidR="00000B6A" w:rsidRPr="00AC4AEA">
        <w:rPr>
          <w:rFonts w:ascii="Arial" w:hAnsi="Arial" w:cs="Arial"/>
          <w:sz w:val="20"/>
          <w:szCs w:val="20"/>
        </w:rPr>
        <w:t xml:space="preserve">para recibir </w:t>
      </w:r>
      <w:r w:rsidR="008755B2" w:rsidRPr="00AC4AEA">
        <w:rPr>
          <w:rFonts w:ascii="Arial" w:hAnsi="Arial" w:cs="Arial"/>
          <w:sz w:val="20"/>
          <w:szCs w:val="20"/>
        </w:rPr>
        <w:t xml:space="preserve">servicios que fueron </w:t>
      </w:r>
      <w:r w:rsidR="00DC4C92" w:rsidRPr="00AC4AEA">
        <w:rPr>
          <w:rFonts w:ascii="Arial" w:hAnsi="Arial" w:cs="Arial"/>
          <w:sz w:val="20"/>
          <w:szCs w:val="20"/>
        </w:rPr>
        <w:t>pagados por anticipado</w:t>
      </w:r>
      <w:r w:rsidR="008755B2" w:rsidRPr="00AC4AEA">
        <w:rPr>
          <w:rFonts w:ascii="Arial" w:hAnsi="Arial" w:cs="Arial"/>
          <w:sz w:val="20"/>
          <w:szCs w:val="20"/>
        </w:rPr>
        <w:t>; etc.</w:t>
      </w:r>
      <w:r w:rsidR="00DC4C92" w:rsidRPr="00AC4AEA">
        <w:rPr>
          <w:rFonts w:ascii="Arial" w:hAnsi="Arial" w:cs="Arial"/>
          <w:sz w:val="20"/>
          <w:szCs w:val="20"/>
        </w:rPr>
        <w:t>)</w:t>
      </w:r>
      <w:r w:rsidR="00C83854" w:rsidRPr="00AC4AEA">
        <w:rPr>
          <w:rFonts w:ascii="Arial" w:hAnsi="Arial" w:cs="Arial"/>
          <w:sz w:val="20"/>
          <w:szCs w:val="20"/>
        </w:rPr>
        <w:t xml:space="preserve">, y de los que </w:t>
      </w:r>
      <w:r w:rsidR="009273B4" w:rsidRPr="00AC4AEA">
        <w:rPr>
          <w:rFonts w:ascii="Arial" w:hAnsi="Arial" w:cs="Arial"/>
          <w:sz w:val="20"/>
          <w:szCs w:val="20"/>
        </w:rPr>
        <w:t xml:space="preserve">se </w:t>
      </w:r>
      <w:r w:rsidR="0057362D" w:rsidRPr="00AC4AEA">
        <w:rPr>
          <w:rFonts w:ascii="Arial" w:hAnsi="Arial" w:cs="Arial"/>
          <w:sz w:val="20"/>
          <w:szCs w:val="20"/>
        </w:rPr>
        <w:t>contabilicen</w:t>
      </w:r>
      <w:r w:rsidR="00C83854" w:rsidRPr="00AC4AEA">
        <w:rPr>
          <w:rFonts w:ascii="Arial" w:hAnsi="Arial" w:cs="Arial"/>
          <w:sz w:val="20"/>
          <w:szCs w:val="20"/>
        </w:rPr>
        <w:t xml:space="preserve"> </w:t>
      </w:r>
      <w:r w:rsidR="009273B4" w:rsidRPr="00AC4AEA">
        <w:rPr>
          <w:rFonts w:ascii="Arial" w:hAnsi="Arial" w:cs="Arial"/>
          <w:sz w:val="20"/>
          <w:szCs w:val="20"/>
        </w:rPr>
        <w:t>aplicando</w:t>
      </w:r>
      <w:r w:rsidR="00C83854" w:rsidRPr="00AC4AEA">
        <w:rPr>
          <w:rFonts w:ascii="Arial" w:hAnsi="Arial" w:cs="Arial"/>
          <w:sz w:val="20"/>
          <w:szCs w:val="20"/>
        </w:rPr>
        <w:t xml:space="preserve"> la sección “</w:t>
      </w:r>
      <w:r w:rsidR="00C83854" w:rsidRPr="00AC4AEA">
        <w:rPr>
          <w:rFonts w:ascii="Arial" w:hAnsi="Arial" w:cs="Arial"/>
          <w:sz w:val="20"/>
          <w:szCs w:val="20"/>
          <w:u w:val="single"/>
        </w:rPr>
        <w:t>Instrumentos derivados y operaciones de cobertura</w:t>
      </w:r>
      <w:r w:rsidR="00C83854" w:rsidRPr="00AC4AEA">
        <w:rPr>
          <w:rFonts w:ascii="Arial" w:hAnsi="Arial" w:cs="Arial"/>
          <w:sz w:val="20"/>
          <w:szCs w:val="20"/>
        </w:rPr>
        <w:t>” [</w:t>
      </w:r>
      <w:r w:rsidR="00040B88" w:rsidRPr="007A33D5">
        <w:rPr>
          <w:rFonts w:ascii="Arial" w:eastAsia="Times New Roman" w:hAnsi="Arial" w:cs="Arial"/>
          <w:sz w:val="20"/>
          <w:szCs w:val="20"/>
          <w:lang w:eastAsia="es-ES"/>
        </w:rPr>
        <w:t xml:space="preserve">ver los párrafos </w:t>
      </w:r>
      <w:fldSimple w:instr=" REF _Ref132036276 \r \h  \* MERGEFORMAT ">
        <w:r w:rsidR="00D33A5D" w:rsidRPr="00D33A5D">
          <w:rPr>
            <w:rFonts w:ascii="Arial" w:eastAsia="Times New Roman" w:hAnsi="Arial" w:cs="Arial"/>
            <w:sz w:val="20"/>
            <w:szCs w:val="20"/>
            <w:lang w:eastAsia="es-ES"/>
          </w:rPr>
          <w:t>990</w:t>
        </w:r>
      </w:fldSimple>
      <w:r w:rsidR="00040B88" w:rsidRPr="007A33D5">
        <w:rPr>
          <w:rFonts w:ascii="Arial" w:eastAsia="Times New Roman" w:hAnsi="Arial" w:cs="Arial"/>
          <w:sz w:val="20"/>
          <w:szCs w:val="20"/>
          <w:lang w:eastAsia="es-ES"/>
        </w:rPr>
        <w:t xml:space="preserve"> al </w:t>
      </w:r>
      <w:fldSimple w:instr=" REF _Ref135045581 \r \h  \* MERGEFORMAT ">
        <w:r w:rsidR="00D33A5D" w:rsidRPr="00D33A5D">
          <w:rPr>
            <w:rFonts w:ascii="Arial" w:eastAsia="Times New Roman" w:hAnsi="Arial" w:cs="Arial"/>
            <w:sz w:val="20"/>
            <w:szCs w:val="20"/>
            <w:lang w:eastAsia="es-ES"/>
          </w:rPr>
          <w:t>1020</w:t>
        </w:r>
      </w:fldSimple>
      <w:r w:rsidR="00C83854" w:rsidRPr="00AC4AEA">
        <w:rPr>
          <w:rFonts w:ascii="Arial" w:hAnsi="Arial" w:cs="Arial"/>
          <w:sz w:val="20"/>
          <w:szCs w:val="20"/>
        </w:rPr>
        <w:t>]</w:t>
      </w:r>
      <w:r w:rsidRPr="00AC4AEA">
        <w:rPr>
          <w:rFonts w:ascii="Arial" w:hAnsi="Arial" w:cs="Arial"/>
          <w:sz w:val="20"/>
          <w:szCs w:val="20"/>
        </w:rPr>
        <w:t>.</w:t>
      </w:r>
    </w:p>
    <w:p w:rsidR="007732C0" w:rsidRPr="00AC4AEA" w:rsidRDefault="007732C0" w:rsidP="00A318EA">
      <w:pPr>
        <w:jc w:val="both"/>
        <w:rPr>
          <w:rFonts w:ascii="Arial" w:hAnsi="Arial" w:cs="Arial"/>
          <w:b/>
          <w:bCs/>
          <w:sz w:val="20"/>
          <w:szCs w:val="20"/>
        </w:rPr>
      </w:pPr>
    </w:p>
    <w:p w:rsidR="007732C0" w:rsidRPr="00AC4AEA" w:rsidRDefault="007732C0" w:rsidP="00A318EA">
      <w:pPr>
        <w:pStyle w:val="Ttulo2"/>
        <w:rPr>
          <w:rFonts w:cs="Arial"/>
        </w:rPr>
      </w:pPr>
      <w:bookmarkStart w:id="402" w:name="_Toc101863826"/>
      <w:bookmarkStart w:id="403" w:name="_Toc139356695"/>
      <w:r w:rsidRPr="00AC4AEA">
        <w:rPr>
          <w:rFonts w:cs="Arial"/>
        </w:rPr>
        <w:t>Reconocimiento</w:t>
      </w:r>
      <w:bookmarkEnd w:id="402"/>
      <w:bookmarkEnd w:id="403"/>
    </w:p>
    <w:p w:rsidR="0069742B" w:rsidRPr="00AC4AEA" w:rsidRDefault="0069742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un crédito en especie </w:t>
      </w:r>
      <w:r w:rsidR="0057557F" w:rsidRPr="00AC4AEA">
        <w:rPr>
          <w:rFonts w:ascii="Arial" w:hAnsi="Arial" w:cs="Arial"/>
          <w:sz w:val="20"/>
          <w:szCs w:val="20"/>
        </w:rPr>
        <w:t xml:space="preserve">cuando </w:t>
      </w:r>
      <w:r w:rsidR="000F3913" w:rsidRPr="00AC4AEA">
        <w:rPr>
          <w:rFonts w:ascii="Arial" w:hAnsi="Arial" w:cs="Arial"/>
          <w:sz w:val="20"/>
          <w:szCs w:val="20"/>
        </w:rPr>
        <w:t xml:space="preserve">se cumpla la definición general del párrafo </w:t>
      </w:r>
      <w:fldSimple w:instr=" REF _Ref106701972 \r \h  \* MERGEFORMAT ">
        <w:r w:rsidR="00D33A5D" w:rsidRPr="00D33A5D">
          <w:rPr>
            <w:rFonts w:ascii="Arial" w:hAnsi="Arial" w:cs="Arial"/>
            <w:sz w:val="20"/>
            <w:szCs w:val="20"/>
          </w:rPr>
          <w:t>22</w:t>
        </w:r>
      </w:fldSimple>
      <w:r w:rsidR="000F3913" w:rsidRPr="00AC4AEA">
        <w:rPr>
          <w:rFonts w:ascii="Arial" w:hAnsi="Arial" w:cs="Arial"/>
          <w:sz w:val="20"/>
          <w:szCs w:val="20"/>
        </w:rPr>
        <w:t xml:space="preserve"> y la definición específica contenida en el párrafo </w:t>
      </w:r>
      <w:fldSimple w:instr=" REF _Ref105075927 \r \h  \* MERGEFORMAT ">
        <w:r w:rsidR="00D33A5D" w:rsidRPr="00D33A5D">
          <w:rPr>
            <w:rFonts w:ascii="Arial" w:hAnsi="Arial" w:cs="Arial"/>
            <w:sz w:val="20"/>
            <w:szCs w:val="20"/>
          </w:rPr>
          <w:t>270</w:t>
        </w:r>
      </w:fldSimple>
      <w:r w:rsidRPr="00AC4AEA">
        <w:rPr>
          <w:rFonts w:ascii="Arial" w:hAnsi="Arial" w:cs="Arial"/>
          <w:sz w:val="20"/>
          <w:szCs w:val="20"/>
        </w:rPr>
        <w:t>.</w:t>
      </w:r>
    </w:p>
    <w:p w:rsidR="002A009A" w:rsidRPr="00AC4AEA" w:rsidRDefault="000F391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efectos de dar cumplimiento a lo requerido en el párrafo anterior, u</w:t>
      </w:r>
      <w:r w:rsidR="0069742B" w:rsidRPr="00AC4AEA">
        <w:rPr>
          <w:rFonts w:ascii="Arial" w:hAnsi="Arial" w:cs="Arial"/>
          <w:sz w:val="20"/>
          <w:szCs w:val="20"/>
        </w:rPr>
        <w:t xml:space="preserve">na entidad </w:t>
      </w:r>
      <w:r w:rsidR="002A009A" w:rsidRPr="00AC4AEA">
        <w:rPr>
          <w:rFonts w:ascii="Arial" w:hAnsi="Arial" w:cs="Arial"/>
          <w:sz w:val="20"/>
          <w:szCs w:val="20"/>
        </w:rPr>
        <w:t>aplicará</w:t>
      </w:r>
      <w:r w:rsidR="00840D38" w:rsidRPr="00AC4AEA">
        <w:rPr>
          <w:rFonts w:ascii="Arial" w:hAnsi="Arial" w:cs="Arial"/>
          <w:sz w:val="20"/>
          <w:szCs w:val="20"/>
        </w:rPr>
        <w:t>, en todo lo que resulte pertinente,</w:t>
      </w:r>
      <w:r w:rsidR="002A009A" w:rsidRPr="00AC4AEA">
        <w:rPr>
          <w:rFonts w:ascii="Arial" w:hAnsi="Arial" w:cs="Arial"/>
          <w:sz w:val="20"/>
          <w:szCs w:val="20"/>
        </w:rPr>
        <w:t xml:space="preserve"> lo dispuesto en el apartado </w:t>
      </w:r>
      <w:r w:rsidR="00B40E57" w:rsidRPr="00AC4AEA">
        <w:rPr>
          <w:rFonts w:ascii="Arial" w:hAnsi="Arial" w:cs="Arial"/>
          <w:sz w:val="20"/>
          <w:szCs w:val="20"/>
        </w:rPr>
        <w:t>correspondiente</w:t>
      </w:r>
      <w:r w:rsidR="002A009A" w:rsidRPr="00AC4AEA">
        <w:rPr>
          <w:rFonts w:ascii="Arial" w:hAnsi="Arial" w:cs="Arial"/>
          <w:sz w:val="20"/>
          <w:szCs w:val="20"/>
        </w:rPr>
        <w:t xml:space="preserve"> de la sección “</w:t>
      </w:r>
      <w:r w:rsidR="002A009A" w:rsidRPr="00AC4AEA">
        <w:rPr>
          <w:rFonts w:ascii="Arial" w:hAnsi="Arial" w:cs="Arial"/>
          <w:sz w:val="20"/>
          <w:szCs w:val="20"/>
          <w:u w:val="single"/>
        </w:rPr>
        <w:t>Créditos en moneda</w:t>
      </w:r>
      <w:r w:rsidR="002A009A" w:rsidRPr="00AC4AEA">
        <w:rPr>
          <w:rFonts w:ascii="Arial" w:hAnsi="Arial" w:cs="Arial"/>
          <w:sz w:val="20"/>
          <w:szCs w:val="20"/>
        </w:rPr>
        <w:t>” para el reconocimiento de</w:t>
      </w:r>
      <w:r w:rsidR="00B40E57" w:rsidRPr="00AC4AEA">
        <w:rPr>
          <w:rFonts w:ascii="Arial" w:hAnsi="Arial" w:cs="Arial"/>
          <w:sz w:val="20"/>
          <w:szCs w:val="20"/>
        </w:rPr>
        <w:t xml:space="preserve"> créditos en especie representativos de</w:t>
      </w:r>
      <w:r w:rsidR="002A009A" w:rsidRPr="00AC4AEA">
        <w:rPr>
          <w:rFonts w:ascii="Arial" w:hAnsi="Arial" w:cs="Arial"/>
          <w:sz w:val="20"/>
          <w:szCs w:val="20"/>
        </w:rPr>
        <w:t>:</w:t>
      </w:r>
    </w:p>
    <w:p w:rsidR="002A009A" w:rsidRPr="00AC4AEA" w:rsidRDefault="002A009A" w:rsidP="00A318EA">
      <w:pPr>
        <w:pStyle w:val="Prrafodelista"/>
        <w:numPr>
          <w:ilvl w:val="0"/>
          <w:numId w:val="330"/>
        </w:numPr>
        <w:ind w:left="1560"/>
        <w:contextualSpacing w:val="0"/>
        <w:jc w:val="both"/>
        <w:rPr>
          <w:rFonts w:ascii="Arial" w:hAnsi="Arial" w:cs="Arial"/>
          <w:sz w:val="20"/>
          <w:szCs w:val="20"/>
        </w:rPr>
      </w:pPr>
      <w:r w:rsidRPr="00AC4AEA">
        <w:rPr>
          <w:rFonts w:ascii="Arial" w:hAnsi="Arial" w:cs="Arial"/>
          <w:sz w:val="20"/>
          <w:szCs w:val="20"/>
        </w:rPr>
        <w:t xml:space="preserve">Cuentas a cobrar a clientes [ver el párrafo </w:t>
      </w:r>
      <w:fldSimple w:instr=" REF _Ref102839505 \r \h  \* MERGEFORMAT ">
        <w:r w:rsidR="00D33A5D" w:rsidRPr="00D33A5D">
          <w:rPr>
            <w:rFonts w:ascii="Arial" w:hAnsi="Arial" w:cs="Arial"/>
            <w:sz w:val="20"/>
            <w:szCs w:val="20"/>
          </w:rPr>
          <w:t>237</w:t>
        </w:r>
      </w:fldSimple>
      <w:r w:rsidRPr="00AC4AEA">
        <w:rPr>
          <w:rFonts w:ascii="Arial" w:hAnsi="Arial" w:cs="Arial"/>
          <w:sz w:val="20"/>
          <w:szCs w:val="20"/>
        </w:rPr>
        <w:t>];</w:t>
      </w:r>
    </w:p>
    <w:p w:rsidR="002A009A" w:rsidRPr="00AC4AEA" w:rsidRDefault="002A009A" w:rsidP="00A318EA">
      <w:pPr>
        <w:pStyle w:val="Prrafodelista"/>
        <w:numPr>
          <w:ilvl w:val="0"/>
          <w:numId w:val="330"/>
        </w:numPr>
        <w:ind w:left="1559"/>
        <w:contextualSpacing w:val="0"/>
        <w:jc w:val="both"/>
        <w:rPr>
          <w:rFonts w:ascii="Arial" w:hAnsi="Arial" w:cs="Arial"/>
          <w:sz w:val="20"/>
          <w:szCs w:val="20"/>
        </w:rPr>
      </w:pPr>
      <w:r w:rsidRPr="00AC4AEA">
        <w:rPr>
          <w:rFonts w:ascii="Arial" w:hAnsi="Arial" w:cs="Arial"/>
          <w:sz w:val="20"/>
          <w:szCs w:val="20"/>
        </w:rPr>
        <w:t>Derechos de facturar a clientes [ver el párrafo</w:t>
      </w:r>
      <w:r w:rsidR="00276B00" w:rsidRPr="00AC4AEA">
        <w:rPr>
          <w:rFonts w:ascii="Arial" w:hAnsi="Arial" w:cs="Arial"/>
          <w:sz w:val="20"/>
          <w:szCs w:val="20"/>
        </w:rPr>
        <w:t xml:space="preserve"> </w:t>
      </w:r>
      <w:fldSimple w:instr=" REF _Ref102839546 \r \h  \* MERGEFORMAT ">
        <w:r w:rsidR="00D33A5D" w:rsidRPr="00D33A5D">
          <w:rPr>
            <w:rFonts w:ascii="Arial" w:hAnsi="Arial" w:cs="Arial"/>
            <w:sz w:val="20"/>
            <w:szCs w:val="20"/>
          </w:rPr>
          <w:t>238</w:t>
        </w:r>
      </w:fldSimple>
      <w:r w:rsidRPr="00AC4AEA">
        <w:rPr>
          <w:rFonts w:ascii="Arial" w:hAnsi="Arial" w:cs="Arial"/>
          <w:sz w:val="20"/>
          <w:szCs w:val="20"/>
        </w:rPr>
        <w:t>]; y</w:t>
      </w:r>
    </w:p>
    <w:p w:rsidR="00786ABE" w:rsidRPr="00AC4AEA" w:rsidRDefault="00786ABE" w:rsidP="00A318EA">
      <w:pPr>
        <w:pStyle w:val="Prrafodelista"/>
        <w:numPr>
          <w:ilvl w:val="0"/>
          <w:numId w:val="330"/>
        </w:numPr>
        <w:ind w:left="1559"/>
        <w:contextualSpacing w:val="0"/>
        <w:jc w:val="both"/>
        <w:rPr>
          <w:rFonts w:ascii="Arial" w:hAnsi="Arial" w:cs="Arial"/>
          <w:sz w:val="20"/>
          <w:szCs w:val="20"/>
        </w:rPr>
      </w:pPr>
      <w:r w:rsidRPr="00AC4AEA">
        <w:rPr>
          <w:rFonts w:ascii="Arial" w:hAnsi="Arial" w:cs="Arial"/>
          <w:sz w:val="20"/>
          <w:szCs w:val="20"/>
        </w:rPr>
        <w:t xml:space="preserve">Otros créditos [ver el párrafo </w:t>
      </w:r>
      <w:fldSimple w:instr=" REF _Ref103004021 \r \h  \* MERGEFORMAT ">
        <w:r w:rsidR="00D33A5D" w:rsidRPr="00D33A5D">
          <w:rPr>
            <w:rFonts w:ascii="Arial" w:hAnsi="Arial" w:cs="Arial"/>
            <w:sz w:val="20"/>
            <w:szCs w:val="20"/>
          </w:rPr>
          <w:t>239</w:t>
        </w:r>
      </w:fldSimple>
      <w:r w:rsidRPr="00AC4AEA">
        <w:rPr>
          <w:rFonts w:ascii="Arial" w:hAnsi="Arial" w:cs="Arial"/>
          <w:sz w:val="20"/>
          <w:szCs w:val="20"/>
        </w:rPr>
        <w:t>].</w:t>
      </w:r>
    </w:p>
    <w:p w:rsidR="002A009A" w:rsidRPr="00AC4AEA" w:rsidRDefault="002A009A" w:rsidP="00A318EA">
      <w:pPr>
        <w:pStyle w:val="Prrafodelista"/>
        <w:numPr>
          <w:ilvl w:val="0"/>
          <w:numId w:val="330"/>
        </w:numPr>
        <w:ind w:left="1559"/>
        <w:contextualSpacing w:val="0"/>
        <w:jc w:val="both"/>
        <w:rPr>
          <w:rFonts w:ascii="Arial" w:hAnsi="Arial" w:cs="Arial"/>
          <w:sz w:val="20"/>
          <w:szCs w:val="20"/>
        </w:rPr>
      </w:pPr>
      <w:r w:rsidRPr="00AC4AEA">
        <w:rPr>
          <w:rFonts w:ascii="Arial" w:hAnsi="Arial" w:cs="Arial"/>
          <w:sz w:val="20"/>
          <w:szCs w:val="20"/>
        </w:rPr>
        <w:t>Derechos de reembolso [ver el párrafo</w:t>
      </w:r>
      <w:r w:rsidR="001C4138">
        <w:rPr>
          <w:rFonts w:ascii="Arial" w:hAnsi="Arial" w:cs="Arial"/>
          <w:sz w:val="20"/>
          <w:szCs w:val="20"/>
        </w:rPr>
        <w:fldChar w:fldCharType="begin"/>
      </w:r>
      <w:r w:rsidR="006C0F33">
        <w:rPr>
          <w:rFonts w:ascii="Arial" w:hAnsi="Arial" w:cs="Arial"/>
          <w:sz w:val="20"/>
          <w:szCs w:val="20"/>
        </w:rPr>
        <w:instrText xml:space="preserve"> REF _Ref129077514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240</w:t>
      </w:r>
      <w:r w:rsidR="001C4138">
        <w:rPr>
          <w:rFonts w:ascii="Arial" w:hAnsi="Arial" w:cs="Arial"/>
          <w:sz w:val="20"/>
          <w:szCs w:val="20"/>
        </w:rPr>
        <w:fldChar w:fldCharType="end"/>
      </w:r>
      <w:r w:rsidRPr="00AC4AEA">
        <w:rPr>
          <w:rFonts w:ascii="Arial" w:hAnsi="Arial" w:cs="Arial"/>
          <w:sz w:val="20"/>
          <w:szCs w:val="20"/>
        </w:rPr>
        <w:t>].</w:t>
      </w:r>
    </w:p>
    <w:p w:rsidR="007732C0" w:rsidRPr="00AC4AEA" w:rsidRDefault="007732C0" w:rsidP="00A318EA">
      <w:pPr>
        <w:ind w:left="284"/>
        <w:jc w:val="both"/>
        <w:rPr>
          <w:rFonts w:ascii="Arial" w:hAnsi="Arial" w:cs="Arial"/>
          <w:b/>
          <w:bCs/>
          <w:sz w:val="20"/>
          <w:szCs w:val="20"/>
        </w:rPr>
      </w:pPr>
    </w:p>
    <w:p w:rsidR="007732C0" w:rsidRPr="00AC4AEA" w:rsidRDefault="007732C0" w:rsidP="00A318EA">
      <w:pPr>
        <w:pStyle w:val="Ttulo2"/>
        <w:rPr>
          <w:rFonts w:cs="Arial"/>
        </w:rPr>
      </w:pPr>
      <w:bookmarkStart w:id="404" w:name="_Toc101863827"/>
      <w:bookmarkStart w:id="405" w:name="_Toc139356696"/>
      <w:r w:rsidRPr="00AC4AEA">
        <w:rPr>
          <w:rFonts w:cs="Arial"/>
        </w:rPr>
        <w:t>Medición inicial</w:t>
      </w:r>
      <w:bookmarkEnd w:id="404"/>
      <w:bookmarkEnd w:id="405"/>
    </w:p>
    <w:p w:rsidR="007732C0" w:rsidRPr="00AC4AEA" w:rsidRDefault="007732C0" w:rsidP="00A318EA">
      <w:pPr>
        <w:pStyle w:val="Prrafodelista"/>
        <w:numPr>
          <w:ilvl w:val="0"/>
          <w:numId w:val="29"/>
        </w:numPr>
        <w:contextualSpacing w:val="0"/>
        <w:jc w:val="both"/>
        <w:rPr>
          <w:rFonts w:ascii="Arial" w:hAnsi="Arial" w:cs="Arial"/>
          <w:sz w:val="20"/>
          <w:szCs w:val="20"/>
        </w:rPr>
      </w:pPr>
      <w:bookmarkStart w:id="406" w:name="_Ref129097005"/>
      <w:r w:rsidRPr="00AC4AEA">
        <w:rPr>
          <w:rFonts w:ascii="Arial" w:hAnsi="Arial" w:cs="Arial"/>
          <w:sz w:val="20"/>
          <w:szCs w:val="20"/>
        </w:rPr>
        <w:t>Una entidad medirá inicialmente los derechos a recibir bienes o servicios:</w:t>
      </w:r>
      <w:bookmarkEnd w:id="406"/>
    </w:p>
    <w:p w:rsidR="007732C0" w:rsidRPr="00AC4AEA" w:rsidRDefault="00416F65" w:rsidP="00A318EA">
      <w:pPr>
        <w:pStyle w:val="Prrafodelista"/>
        <w:numPr>
          <w:ilvl w:val="0"/>
          <w:numId w:val="344"/>
        </w:numPr>
        <w:ind w:left="1560"/>
        <w:contextualSpacing w:val="0"/>
        <w:jc w:val="both"/>
        <w:rPr>
          <w:rFonts w:ascii="Arial" w:hAnsi="Arial" w:cs="Arial"/>
          <w:sz w:val="20"/>
          <w:szCs w:val="20"/>
        </w:rPr>
      </w:pPr>
      <w:r w:rsidRPr="00AC4AEA">
        <w:rPr>
          <w:rFonts w:ascii="Arial" w:hAnsi="Arial" w:cs="Arial"/>
          <w:sz w:val="20"/>
          <w:szCs w:val="20"/>
        </w:rPr>
        <w:t>C</w:t>
      </w:r>
      <w:r w:rsidR="007732C0" w:rsidRPr="00AC4AEA">
        <w:rPr>
          <w:rFonts w:ascii="Arial" w:hAnsi="Arial" w:cs="Arial"/>
          <w:sz w:val="20"/>
          <w:szCs w:val="20"/>
        </w:rPr>
        <w:t>uando se origine</w:t>
      </w:r>
      <w:r w:rsidRPr="00AC4AEA">
        <w:rPr>
          <w:rFonts w:ascii="Arial" w:hAnsi="Arial" w:cs="Arial"/>
          <w:sz w:val="20"/>
          <w:szCs w:val="20"/>
        </w:rPr>
        <w:t>n</w:t>
      </w:r>
      <w:r w:rsidR="007732C0" w:rsidRPr="00AC4AEA">
        <w:rPr>
          <w:rFonts w:ascii="Arial" w:hAnsi="Arial" w:cs="Arial"/>
          <w:sz w:val="20"/>
          <w:szCs w:val="20"/>
        </w:rPr>
        <w:t xml:space="preserve"> en un anticipo </w:t>
      </w:r>
      <w:r w:rsidR="00B73AE9" w:rsidRPr="00AC4AEA">
        <w:rPr>
          <w:rFonts w:ascii="Arial" w:hAnsi="Arial" w:cs="Arial"/>
          <w:sz w:val="20"/>
          <w:szCs w:val="20"/>
        </w:rPr>
        <w:t xml:space="preserve">parcial </w:t>
      </w:r>
      <w:r w:rsidR="007732C0" w:rsidRPr="00AC4AEA">
        <w:rPr>
          <w:rFonts w:ascii="Arial" w:hAnsi="Arial" w:cs="Arial"/>
          <w:sz w:val="20"/>
          <w:szCs w:val="20"/>
        </w:rPr>
        <w:t xml:space="preserve">o </w:t>
      </w:r>
      <w:r w:rsidR="00475175" w:rsidRPr="00AC4AEA">
        <w:rPr>
          <w:rFonts w:ascii="Arial" w:hAnsi="Arial" w:cs="Arial"/>
          <w:sz w:val="20"/>
          <w:szCs w:val="20"/>
        </w:rPr>
        <w:t xml:space="preserve">total </w:t>
      </w:r>
      <w:r w:rsidRPr="00AC4AEA">
        <w:rPr>
          <w:rFonts w:ascii="Arial" w:hAnsi="Arial" w:cs="Arial"/>
          <w:sz w:val="20"/>
          <w:szCs w:val="20"/>
        </w:rPr>
        <w:t>de efectivo o equivalentes de efectivo: por las sumas entregadas.</w:t>
      </w:r>
    </w:p>
    <w:p w:rsidR="00416F65" w:rsidRPr="00AC4AEA" w:rsidRDefault="00416F65" w:rsidP="00A318EA">
      <w:pPr>
        <w:pStyle w:val="Prrafodelista"/>
        <w:numPr>
          <w:ilvl w:val="0"/>
          <w:numId w:val="344"/>
        </w:numPr>
        <w:ind w:left="1560"/>
        <w:contextualSpacing w:val="0"/>
        <w:jc w:val="both"/>
        <w:rPr>
          <w:rFonts w:ascii="Arial" w:hAnsi="Arial" w:cs="Arial"/>
          <w:sz w:val="20"/>
          <w:szCs w:val="20"/>
        </w:rPr>
      </w:pPr>
      <w:r w:rsidRPr="00AC4AEA">
        <w:rPr>
          <w:rFonts w:ascii="Arial" w:hAnsi="Arial" w:cs="Arial"/>
          <w:sz w:val="20"/>
          <w:szCs w:val="20"/>
        </w:rPr>
        <w:t>Cuando se originen en trueques o canjes:</w:t>
      </w:r>
    </w:p>
    <w:p w:rsidR="00416F65" w:rsidRPr="00AC4AEA" w:rsidRDefault="00416F65" w:rsidP="00C01B25">
      <w:pPr>
        <w:pStyle w:val="Prrafodelista"/>
        <w:numPr>
          <w:ilvl w:val="0"/>
          <w:numId w:val="465"/>
        </w:numPr>
        <w:ind w:left="1843"/>
        <w:contextualSpacing w:val="0"/>
        <w:jc w:val="both"/>
        <w:rPr>
          <w:rFonts w:ascii="Arial" w:hAnsi="Arial" w:cs="Arial"/>
          <w:sz w:val="20"/>
          <w:szCs w:val="20"/>
        </w:rPr>
      </w:pPr>
      <w:r w:rsidRPr="00AC4AEA">
        <w:rPr>
          <w:rFonts w:ascii="Arial" w:hAnsi="Arial" w:cs="Arial"/>
          <w:sz w:val="20"/>
          <w:szCs w:val="20"/>
        </w:rPr>
        <w:t xml:space="preserve">Si no </w:t>
      </w:r>
      <w:r w:rsidR="007D7512" w:rsidRPr="00AC4AEA">
        <w:rPr>
          <w:rFonts w:ascii="Arial" w:hAnsi="Arial" w:cs="Arial"/>
          <w:sz w:val="20"/>
          <w:szCs w:val="20"/>
        </w:rPr>
        <w:t>proceden</w:t>
      </w:r>
      <w:r w:rsidR="00486522" w:rsidRPr="00AC4AEA">
        <w:rPr>
          <w:rFonts w:ascii="Arial" w:hAnsi="Arial" w:cs="Arial"/>
          <w:sz w:val="20"/>
          <w:szCs w:val="20"/>
        </w:rPr>
        <w:t xml:space="preserve"> </w:t>
      </w:r>
      <w:r w:rsidR="007D7512" w:rsidRPr="00AC4AEA">
        <w:rPr>
          <w:rFonts w:ascii="Arial" w:hAnsi="Arial" w:cs="Arial"/>
          <w:sz w:val="20"/>
          <w:szCs w:val="20"/>
        </w:rPr>
        <w:t>d</w:t>
      </w:r>
      <w:r w:rsidR="00486522" w:rsidRPr="00AC4AEA">
        <w:rPr>
          <w:rFonts w:ascii="Arial" w:hAnsi="Arial" w:cs="Arial"/>
          <w:sz w:val="20"/>
          <w:szCs w:val="20"/>
        </w:rPr>
        <w:t>el</w:t>
      </w:r>
      <w:r w:rsidRPr="00AC4AEA">
        <w:rPr>
          <w:rFonts w:ascii="Arial" w:hAnsi="Arial" w:cs="Arial"/>
          <w:sz w:val="20"/>
          <w:szCs w:val="20"/>
        </w:rPr>
        <w:t xml:space="preserve"> </w:t>
      </w:r>
      <w:r w:rsidR="00486522" w:rsidRPr="00AC4AEA">
        <w:rPr>
          <w:rFonts w:ascii="Arial" w:hAnsi="Arial" w:cs="Arial"/>
          <w:sz w:val="20"/>
          <w:szCs w:val="20"/>
        </w:rPr>
        <w:t>“</w:t>
      </w:r>
      <w:r w:rsidR="00486522" w:rsidRPr="00AC4AEA">
        <w:rPr>
          <w:rFonts w:ascii="Arial" w:hAnsi="Arial" w:cs="Arial"/>
          <w:sz w:val="20"/>
          <w:szCs w:val="20"/>
          <w:u w:val="single"/>
        </w:rPr>
        <w:t>Reconocimiento de ingresos de actividades ordinarias procedentes de transacciones (operaciones de intercambio)</w:t>
      </w:r>
      <w:r w:rsidR="00486522" w:rsidRPr="00AC4AEA">
        <w:rPr>
          <w:rFonts w:ascii="Arial" w:hAnsi="Arial" w:cs="Arial"/>
          <w:sz w:val="20"/>
          <w:szCs w:val="20"/>
        </w:rPr>
        <w:t>”</w:t>
      </w:r>
      <w:r w:rsidRPr="00AC4AEA">
        <w:rPr>
          <w:rFonts w:ascii="Arial" w:hAnsi="Arial" w:cs="Arial"/>
          <w:sz w:val="20"/>
          <w:szCs w:val="20"/>
        </w:rPr>
        <w:t xml:space="preserve">: de forma consistente con lo establecido en el inciso d) del párrafo </w:t>
      </w:r>
      <w:fldSimple w:instr=" REF _Ref81056357 \r \h  \* MERGEFORMAT ">
        <w:r w:rsidR="00D33A5D" w:rsidRPr="00D33A5D">
          <w:rPr>
            <w:rFonts w:ascii="Arial" w:hAnsi="Arial" w:cs="Arial"/>
            <w:sz w:val="20"/>
            <w:szCs w:val="20"/>
          </w:rPr>
          <w:t>204</w:t>
        </w:r>
      </w:fldSimple>
      <w:r w:rsidR="00914264" w:rsidRPr="00AC4AEA">
        <w:rPr>
          <w:rFonts w:ascii="Arial" w:hAnsi="Arial" w:cs="Arial"/>
          <w:sz w:val="20"/>
          <w:szCs w:val="20"/>
        </w:rPr>
        <w:t>.</w:t>
      </w:r>
      <w:r w:rsidR="007D7512" w:rsidRPr="00AC4AEA">
        <w:rPr>
          <w:rFonts w:ascii="Arial" w:hAnsi="Arial" w:cs="Arial"/>
          <w:sz w:val="20"/>
          <w:szCs w:val="20"/>
        </w:rPr>
        <w:t xml:space="preserve"> </w:t>
      </w:r>
    </w:p>
    <w:p w:rsidR="00416F65" w:rsidRPr="00AC4AEA" w:rsidRDefault="00416F65" w:rsidP="00C01B25">
      <w:pPr>
        <w:pStyle w:val="Prrafodelista"/>
        <w:numPr>
          <w:ilvl w:val="0"/>
          <w:numId w:val="465"/>
        </w:numPr>
        <w:ind w:left="1843"/>
        <w:contextualSpacing w:val="0"/>
        <w:jc w:val="both"/>
        <w:rPr>
          <w:rFonts w:ascii="Arial" w:hAnsi="Arial" w:cs="Arial"/>
          <w:sz w:val="20"/>
          <w:szCs w:val="20"/>
        </w:rPr>
      </w:pPr>
      <w:r w:rsidRPr="00AC4AEA">
        <w:rPr>
          <w:rFonts w:ascii="Arial" w:hAnsi="Arial" w:cs="Arial"/>
          <w:sz w:val="20"/>
          <w:szCs w:val="20"/>
        </w:rPr>
        <w:lastRenderedPageBreak/>
        <w:t xml:space="preserve">Si </w:t>
      </w:r>
      <w:r w:rsidR="007D7512" w:rsidRPr="00AC4AEA">
        <w:rPr>
          <w:rFonts w:ascii="Arial" w:hAnsi="Arial" w:cs="Arial"/>
          <w:sz w:val="20"/>
          <w:szCs w:val="20"/>
        </w:rPr>
        <w:t>proceden</w:t>
      </w:r>
      <w:r w:rsidRPr="00AC4AEA">
        <w:rPr>
          <w:rFonts w:ascii="Arial" w:hAnsi="Arial" w:cs="Arial"/>
          <w:sz w:val="20"/>
          <w:szCs w:val="20"/>
        </w:rPr>
        <w:t xml:space="preserve"> </w:t>
      </w:r>
      <w:r w:rsidR="007D7512" w:rsidRPr="00AC4AEA">
        <w:rPr>
          <w:rFonts w:ascii="Arial" w:hAnsi="Arial" w:cs="Arial"/>
          <w:sz w:val="20"/>
          <w:szCs w:val="20"/>
        </w:rPr>
        <w:t>d</w:t>
      </w:r>
      <w:r w:rsidRPr="00AC4AEA">
        <w:rPr>
          <w:rFonts w:ascii="Arial" w:hAnsi="Arial" w:cs="Arial"/>
          <w:sz w:val="20"/>
          <w:szCs w:val="20"/>
        </w:rPr>
        <w:t>el “</w:t>
      </w:r>
      <w:r w:rsidRPr="00AC4AEA">
        <w:rPr>
          <w:rFonts w:ascii="Arial" w:hAnsi="Arial" w:cs="Arial"/>
          <w:sz w:val="20"/>
          <w:szCs w:val="20"/>
          <w:u w:val="single"/>
        </w:rPr>
        <w:t>Reconocimiento de ingresos de actividades ordinarias procedentes de transacciones (operaciones de intercambio)</w:t>
      </w:r>
      <w:r w:rsidRPr="00AC4AEA">
        <w:rPr>
          <w:rFonts w:ascii="Arial" w:hAnsi="Arial" w:cs="Arial"/>
          <w:sz w:val="20"/>
          <w:szCs w:val="20"/>
        </w:rPr>
        <w:t xml:space="preserve">”: de acuerdo </w:t>
      </w:r>
      <w:r w:rsidR="00510408" w:rsidRPr="00AC4AEA">
        <w:rPr>
          <w:rFonts w:ascii="Arial" w:hAnsi="Arial" w:cs="Arial"/>
          <w:sz w:val="20"/>
          <w:szCs w:val="20"/>
        </w:rPr>
        <w:t>con</w:t>
      </w:r>
      <w:r w:rsidRPr="00AC4AEA">
        <w:rPr>
          <w:rFonts w:ascii="Arial" w:hAnsi="Arial" w:cs="Arial"/>
          <w:sz w:val="20"/>
          <w:szCs w:val="20"/>
        </w:rPr>
        <w:t xml:space="preserve"> lo establecido en el párrafo </w:t>
      </w:r>
      <w:fldSimple w:instr=" REF _Ref129405763 \r \h  \* MERGEFORMAT ">
        <w:r w:rsidR="00D33A5D" w:rsidRPr="00D33A5D">
          <w:rPr>
            <w:rFonts w:ascii="Arial" w:hAnsi="Arial" w:cs="Arial"/>
            <w:sz w:val="20"/>
            <w:szCs w:val="20"/>
          </w:rPr>
          <w:t>525</w:t>
        </w:r>
      </w:fldSimple>
      <w:r w:rsidRPr="00AC4AEA">
        <w:rPr>
          <w:rFonts w:ascii="Arial" w:hAnsi="Arial" w:cs="Arial"/>
          <w:sz w:val="20"/>
          <w:szCs w:val="20"/>
        </w:rPr>
        <w:t xml:space="preserve">. </w:t>
      </w:r>
    </w:p>
    <w:p w:rsidR="007732C0" w:rsidRPr="00AC4AEA" w:rsidRDefault="007732C0" w:rsidP="00A318EA">
      <w:pPr>
        <w:pStyle w:val="A-Normal11"/>
        <w:jc w:val="both"/>
        <w:rPr>
          <w:rFonts w:ascii="Arial" w:hAnsi="Arial" w:cs="Arial"/>
          <w:b/>
          <w:bCs/>
          <w:sz w:val="20"/>
        </w:rPr>
      </w:pPr>
    </w:p>
    <w:p w:rsidR="007732C0" w:rsidRPr="00AC4AEA" w:rsidRDefault="007732C0" w:rsidP="00A318EA">
      <w:pPr>
        <w:pStyle w:val="Ttulo2"/>
        <w:rPr>
          <w:rFonts w:cs="Arial"/>
        </w:rPr>
      </w:pPr>
      <w:bookmarkStart w:id="407" w:name="_Toc101863828"/>
      <w:bookmarkStart w:id="408" w:name="_Toc139356697"/>
      <w:r w:rsidRPr="00AC4AEA">
        <w:rPr>
          <w:rFonts w:cs="Arial"/>
        </w:rPr>
        <w:t>Medición posterior</w:t>
      </w:r>
      <w:bookmarkEnd w:id="407"/>
      <w:bookmarkEnd w:id="408"/>
      <w:r w:rsidRPr="00AC4AEA">
        <w:rPr>
          <w:rFonts w:cs="Arial"/>
        </w:rPr>
        <w:t xml:space="preserve"> </w:t>
      </w:r>
    </w:p>
    <w:p w:rsidR="007732C0" w:rsidRPr="00AC4AEA" w:rsidRDefault="00000B6A" w:rsidP="00A318EA">
      <w:pPr>
        <w:pStyle w:val="Prrafodelista"/>
        <w:numPr>
          <w:ilvl w:val="0"/>
          <w:numId w:val="29"/>
        </w:numPr>
        <w:contextualSpacing w:val="0"/>
        <w:jc w:val="both"/>
        <w:rPr>
          <w:rFonts w:ascii="Arial" w:hAnsi="Arial" w:cs="Arial"/>
          <w:sz w:val="20"/>
          <w:szCs w:val="20"/>
        </w:rPr>
      </w:pPr>
      <w:bookmarkStart w:id="409" w:name="_Ref129097165"/>
      <w:r w:rsidRPr="00AC4AEA">
        <w:rPr>
          <w:rFonts w:ascii="Arial" w:hAnsi="Arial" w:cs="Arial"/>
          <w:sz w:val="20"/>
          <w:szCs w:val="20"/>
        </w:rPr>
        <w:t xml:space="preserve">En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xml:space="preserve">, </w:t>
      </w:r>
      <w:bookmarkEnd w:id="409"/>
      <w:r w:rsidR="00486522" w:rsidRPr="00AC4AEA">
        <w:rPr>
          <w:rFonts w:ascii="Arial" w:hAnsi="Arial" w:cs="Arial"/>
          <w:sz w:val="20"/>
          <w:szCs w:val="20"/>
        </w:rPr>
        <w:t>una entidad medirá los derechos a recibir bienes o servicios mediante los criterios establecidos en el párrafo anterior.</w:t>
      </w:r>
    </w:p>
    <w:p w:rsidR="00486522" w:rsidRPr="00AC4AEA" w:rsidRDefault="00486522" w:rsidP="00A318EA">
      <w:pPr>
        <w:pStyle w:val="Prrafodelista"/>
        <w:ind w:left="993"/>
        <w:contextualSpacing w:val="0"/>
        <w:jc w:val="both"/>
        <w:rPr>
          <w:rFonts w:ascii="Arial" w:hAnsi="Arial" w:cs="Arial"/>
          <w:sz w:val="20"/>
          <w:szCs w:val="20"/>
        </w:rPr>
      </w:pPr>
    </w:p>
    <w:p w:rsidR="007732C0" w:rsidRPr="00AC4AEA" w:rsidRDefault="007732C0" w:rsidP="00A318EA">
      <w:pPr>
        <w:pStyle w:val="Ttulo2"/>
        <w:rPr>
          <w:rFonts w:cs="Arial"/>
        </w:rPr>
      </w:pPr>
      <w:bookmarkStart w:id="410" w:name="_Toc101863829"/>
      <w:bookmarkStart w:id="411" w:name="_Toc139356698"/>
      <w:r w:rsidRPr="00AC4AEA">
        <w:rPr>
          <w:rFonts w:cs="Arial"/>
        </w:rPr>
        <w:t>Comparación con el valor recuperable</w:t>
      </w:r>
      <w:bookmarkEnd w:id="410"/>
      <w:bookmarkEnd w:id="411"/>
    </w:p>
    <w:p w:rsidR="007732C0" w:rsidRPr="00AC4AEA" w:rsidRDefault="007732C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evaluará, a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xml:space="preserve">, si existen indicios de desvalorización de los créditos </w:t>
      </w:r>
      <w:r w:rsidR="00EE52FE" w:rsidRPr="00AC4AEA">
        <w:rPr>
          <w:rFonts w:ascii="Arial" w:hAnsi="Arial" w:cs="Arial"/>
          <w:sz w:val="20"/>
          <w:szCs w:val="20"/>
        </w:rPr>
        <w:t>en especie</w:t>
      </w:r>
      <w:r w:rsidRPr="00AC4AEA">
        <w:rPr>
          <w:rFonts w:ascii="Arial" w:hAnsi="Arial" w:cs="Arial"/>
          <w:sz w:val="20"/>
          <w:szCs w:val="20"/>
        </w:rPr>
        <w:t>.</w:t>
      </w:r>
    </w:p>
    <w:p w:rsidR="007732C0" w:rsidRPr="00AC4AEA" w:rsidRDefault="007732C0" w:rsidP="00A318EA">
      <w:pPr>
        <w:pStyle w:val="A-Normal11"/>
        <w:numPr>
          <w:ilvl w:val="0"/>
          <w:numId w:val="29"/>
        </w:numPr>
        <w:jc w:val="both"/>
        <w:rPr>
          <w:rFonts w:ascii="Arial" w:hAnsi="Arial" w:cs="Arial"/>
          <w:sz w:val="20"/>
        </w:rPr>
      </w:pPr>
      <w:r w:rsidRPr="00AC4AEA">
        <w:rPr>
          <w:rFonts w:ascii="Arial" w:hAnsi="Arial" w:cs="Arial"/>
          <w:sz w:val="20"/>
        </w:rPr>
        <w:t xml:space="preserve">A los fines de determinar la necesidad de comparar la medición contable de los créditos con su </w:t>
      </w:r>
      <w:r w:rsidRPr="00AC4AEA">
        <w:rPr>
          <w:rFonts w:ascii="Arial" w:hAnsi="Arial" w:cs="Arial"/>
          <w:b/>
          <w:bCs/>
          <w:sz w:val="20"/>
        </w:rPr>
        <w:t>valor recuperable</w:t>
      </w:r>
      <w:r w:rsidRPr="00AC4AEA">
        <w:rPr>
          <w:rFonts w:ascii="Arial" w:hAnsi="Arial" w:cs="Arial"/>
          <w:sz w:val="20"/>
        </w:rPr>
        <w:t>, una entidad considerará, entre otros, los siguientes indicios de deterioro:</w:t>
      </w:r>
    </w:p>
    <w:p w:rsidR="007732C0" w:rsidRPr="00AC4AEA" w:rsidRDefault="007732C0" w:rsidP="00A318EA">
      <w:pPr>
        <w:pStyle w:val="Prrafodelista"/>
        <w:numPr>
          <w:ilvl w:val="0"/>
          <w:numId w:val="278"/>
        </w:numPr>
        <w:ind w:left="1560"/>
        <w:contextualSpacing w:val="0"/>
        <w:jc w:val="both"/>
        <w:rPr>
          <w:rFonts w:ascii="Arial" w:hAnsi="Arial" w:cs="Arial"/>
          <w:sz w:val="20"/>
          <w:szCs w:val="20"/>
        </w:rPr>
      </w:pPr>
      <w:r w:rsidRPr="00AC4AEA">
        <w:rPr>
          <w:rFonts w:ascii="Arial" w:hAnsi="Arial" w:cs="Arial"/>
          <w:sz w:val="20"/>
          <w:szCs w:val="20"/>
        </w:rPr>
        <w:t>Dificultades financieras significativas del deudor.</w:t>
      </w:r>
    </w:p>
    <w:p w:rsidR="007732C0" w:rsidRPr="00AC4AEA" w:rsidRDefault="007732C0" w:rsidP="00A318EA">
      <w:pPr>
        <w:pStyle w:val="Prrafodelista"/>
        <w:numPr>
          <w:ilvl w:val="0"/>
          <w:numId w:val="278"/>
        </w:numPr>
        <w:ind w:left="1560"/>
        <w:contextualSpacing w:val="0"/>
        <w:jc w:val="both"/>
        <w:rPr>
          <w:rFonts w:ascii="Arial" w:hAnsi="Arial" w:cs="Arial"/>
          <w:sz w:val="20"/>
          <w:szCs w:val="20"/>
        </w:rPr>
      </w:pPr>
      <w:r w:rsidRPr="00AC4AEA">
        <w:rPr>
          <w:rFonts w:ascii="Arial" w:hAnsi="Arial" w:cs="Arial"/>
          <w:sz w:val="20"/>
          <w:szCs w:val="20"/>
        </w:rPr>
        <w:t>Incumplimientos o infracciones de los acuerdos o contratos celebrados.</w:t>
      </w:r>
    </w:p>
    <w:p w:rsidR="007732C0" w:rsidRPr="00AC4AEA" w:rsidRDefault="007732C0" w:rsidP="00A318EA">
      <w:pPr>
        <w:pStyle w:val="Prrafodelista"/>
        <w:numPr>
          <w:ilvl w:val="0"/>
          <w:numId w:val="278"/>
        </w:numPr>
        <w:ind w:left="1560"/>
        <w:contextualSpacing w:val="0"/>
        <w:jc w:val="both"/>
        <w:rPr>
          <w:rFonts w:ascii="Arial" w:hAnsi="Arial" w:cs="Arial"/>
          <w:sz w:val="20"/>
          <w:szCs w:val="20"/>
        </w:rPr>
      </w:pPr>
      <w:r w:rsidRPr="00AC4AEA">
        <w:rPr>
          <w:rFonts w:ascii="Arial" w:hAnsi="Arial" w:cs="Arial"/>
          <w:sz w:val="20"/>
          <w:szCs w:val="20"/>
        </w:rPr>
        <w:t>Probabilidad de que el deudor inicie un proceso concursal o quiebre.</w:t>
      </w:r>
    </w:p>
    <w:p w:rsidR="007732C0" w:rsidRPr="00AC4AEA" w:rsidRDefault="007732C0" w:rsidP="00A318EA">
      <w:pPr>
        <w:pStyle w:val="Prrafodelista"/>
        <w:numPr>
          <w:ilvl w:val="0"/>
          <w:numId w:val="278"/>
        </w:numPr>
        <w:ind w:left="1560"/>
        <w:contextualSpacing w:val="0"/>
        <w:jc w:val="both"/>
        <w:rPr>
          <w:rFonts w:ascii="Arial" w:hAnsi="Arial" w:cs="Arial"/>
          <w:sz w:val="20"/>
          <w:szCs w:val="20"/>
        </w:rPr>
      </w:pPr>
      <w:r w:rsidRPr="00AC4AEA">
        <w:rPr>
          <w:rFonts w:ascii="Arial" w:hAnsi="Arial" w:cs="Arial"/>
          <w:sz w:val="20"/>
          <w:szCs w:val="20"/>
        </w:rPr>
        <w:t>Cambios adversos en el entorno económico, tecnológico o legal.</w:t>
      </w:r>
    </w:p>
    <w:p w:rsidR="007732C0" w:rsidRPr="00AC4AEA" w:rsidRDefault="007732C0" w:rsidP="00A318EA">
      <w:pPr>
        <w:pStyle w:val="Prrafodelista"/>
        <w:numPr>
          <w:ilvl w:val="0"/>
          <w:numId w:val="278"/>
        </w:numPr>
        <w:ind w:left="1560"/>
        <w:contextualSpacing w:val="0"/>
        <w:jc w:val="both"/>
        <w:rPr>
          <w:rFonts w:ascii="Arial" w:hAnsi="Arial" w:cs="Arial"/>
          <w:sz w:val="20"/>
          <w:szCs w:val="20"/>
        </w:rPr>
      </w:pPr>
      <w:r w:rsidRPr="00AC4AEA">
        <w:rPr>
          <w:rFonts w:ascii="Arial" w:hAnsi="Arial" w:cs="Arial"/>
          <w:sz w:val="20"/>
          <w:szCs w:val="20"/>
        </w:rPr>
        <w:t>Probabilidad de compensar los créditos con obligaciones futuras.</w:t>
      </w:r>
    </w:p>
    <w:p w:rsidR="007732C0" w:rsidRPr="00AC4AEA" w:rsidRDefault="007732C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las </w:t>
      </w:r>
      <w:r w:rsidRPr="00AC4AEA">
        <w:rPr>
          <w:rFonts w:ascii="Arial" w:hAnsi="Arial" w:cs="Arial"/>
          <w:b/>
          <w:bCs/>
          <w:sz w:val="20"/>
          <w:szCs w:val="20"/>
        </w:rPr>
        <w:t xml:space="preserve">pérdidas por desvalorización </w:t>
      </w:r>
      <w:r w:rsidRPr="00AC4AEA">
        <w:rPr>
          <w:rFonts w:ascii="Arial" w:hAnsi="Arial" w:cs="Arial"/>
          <w:sz w:val="20"/>
          <w:szCs w:val="20"/>
        </w:rPr>
        <w:t xml:space="preserve">de créditos </w:t>
      </w:r>
      <w:r w:rsidR="0018547F" w:rsidRPr="00AC4AEA">
        <w:rPr>
          <w:rFonts w:ascii="Arial" w:hAnsi="Arial" w:cs="Arial"/>
          <w:sz w:val="20"/>
          <w:szCs w:val="20"/>
        </w:rPr>
        <w:t>en especie</w:t>
      </w:r>
      <w:r w:rsidRPr="00AC4AEA">
        <w:rPr>
          <w:rFonts w:ascii="Arial" w:hAnsi="Arial" w:cs="Arial"/>
          <w:sz w:val="20"/>
          <w:szCs w:val="20"/>
        </w:rPr>
        <w:t xml:space="preserve">, </w:t>
      </w:r>
      <w:r w:rsidR="00ED7A55" w:rsidRPr="00AC4AEA">
        <w:rPr>
          <w:rFonts w:ascii="Arial" w:hAnsi="Arial" w:cs="Arial"/>
          <w:sz w:val="20"/>
          <w:szCs w:val="20"/>
        </w:rPr>
        <w:t xml:space="preserve">como la </w:t>
      </w:r>
      <w:r w:rsidR="003A34C4" w:rsidRPr="00AC4AEA">
        <w:rPr>
          <w:rFonts w:ascii="Arial" w:hAnsi="Arial" w:cs="Arial"/>
          <w:sz w:val="20"/>
          <w:szCs w:val="20"/>
        </w:rPr>
        <w:t>diferencia</w:t>
      </w:r>
      <w:r w:rsidR="00ED7A55" w:rsidRPr="00AC4AEA">
        <w:rPr>
          <w:rFonts w:ascii="Arial" w:hAnsi="Arial" w:cs="Arial"/>
          <w:sz w:val="20"/>
          <w:szCs w:val="20"/>
        </w:rPr>
        <w:t xml:space="preserve"> entre los siguientes importes</w:t>
      </w:r>
      <w:r w:rsidR="007E316A" w:rsidRPr="00AC4AEA">
        <w:rPr>
          <w:rFonts w:ascii="Arial" w:hAnsi="Arial" w:cs="Arial"/>
          <w:sz w:val="20"/>
          <w:szCs w:val="20"/>
        </w:rPr>
        <w:t>,</w:t>
      </w:r>
      <w:r w:rsidR="00ED7A55" w:rsidRPr="00AC4AEA">
        <w:rPr>
          <w:rFonts w:ascii="Arial" w:hAnsi="Arial" w:cs="Arial"/>
          <w:sz w:val="20"/>
          <w:szCs w:val="20"/>
        </w:rPr>
        <w:t xml:space="preserve"> siempre que el indicado en a) resulte mayor que </w:t>
      </w:r>
      <w:r w:rsidR="007E316A" w:rsidRPr="00AC4AEA">
        <w:rPr>
          <w:rFonts w:ascii="Arial" w:hAnsi="Arial" w:cs="Arial"/>
          <w:sz w:val="20"/>
          <w:szCs w:val="20"/>
        </w:rPr>
        <w:t xml:space="preserve">el indicado </w:t>
      </w:r>
      <w:r w:rsidR="00ED7A55" w:rsidRPr="00AC4AEA">
        <w:rPr>
          <w:rFonts w:ascii="Arial" w:hAnsi="Arial" w:cs="Arial"/>
          <w:sz w:val="20"/>
          <w:szCs w:val="20"/>
        </w:rPr>
        <w:t>en b)</w:t>
      </w:r>
      <w:r w:rsidRPr="00AC4AEA">
        <w:rPr>
          <w:rFonts w:ascii="Arial" w:hAnsi="Arial" w:cs="Arial"/>
          <w:sz w:val="20"/>
          <w:szCs w:val="20"/>
        </w:rPr>
        <w:t>:</w:t>
      </w:r>
    </w:p>
    <w:p w:rsidR="007732C0" w:rsidRPr="00AC4AEA" w:rsidRDefault="007732C0" w:rsidP="00A318EA">
      <w:pPr>
        <w:pStyle w:val="Prrafodelista"/>
        <w:numPr>
          <w:ilvl w:val="0"/>
          <w:numId w:val="279"/>
        </w:numPr>
        <w:ind w:left="1560"/>
        <w:contextualSpacing w:val="0"/>
        <w:jc w:val="both"/>
        <w:rPr>
          <w:rFonts w:ascii="Arial" w:hAnsi="Arial" w:cs="Arial"/>
          <w:sz w:val="20"/>
          <w:szCs w:val="20"/>
        </w:rPr>
      </w:pPr>
      <w:r w:rsidRPr="00AC4AEA">
        <w:rPr>
          <w:rFonts w:ascii="Arial" w:hAnsi="Arial" w:cs="Arial"/>
          <w:sz w:val="20"/>
          <w:szCs w:val="20"/>
        </w:rPr>
        <w:t xml:space="preserve">la medición contable del </w:t>
      </w:r>
      <w:r w:rsidRPr="00AC4AEA">
        <w:rPr>
          <w:rFonts w:ascii="Arial" w:hAnsi="Arial" w:cs="Arial"/>
          <w:b/>
          <w:bCs/>
          <w:sz w:val="20"/>
          <w:szCs w:val="20"/>
        </w:rPr>
        <w:t>activo;</w:t>
      </w:r>
      <w:r w:rsidRPr="00AC4AEA">
        <w:rPr>
          <w:rFonts w:ascii="Arial" w:hAnsi="Arial" w:cs="Arial"/>
          <w:sz w:val="20"/>
          <w:szCs w:val="20"/>
        </w:rPr>
        <w:t xml:space="preserve"> y</w:t>
      </w:r>
    </w:p>
    <w:p w:rsidR="007732C0" w:rsidRPr="00AC4AEA" w:rsidRDefault="007732C0" w:rsidP="00A318EA">
      <w:pPr>
        <w:pStyle w:val="Prrafodelista"/>
        <w:numPr>
          <w:ilvl w:val="0"/>
          <w:numId w:val="279"/>
        </w:numPr>
        <w:ind w:left="1560"/>
        <w:contextualSpacing w:val="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 xml:space="preserve">valor </w:t>
      </w:r>
      <w:r w:rsidR="00D85EE4" w:rsidRPr="00AC4AEA">
        <w:rPr>
          <w:rFonts w:ascii="Arial" w:hAnsi="Arial" w:cs="Arial"/>
          <w:b/>
          <w:bCs/>
          <w:sz w:val="20"/>
          <w:szCs w:val="20"/>
        </w:rPr>
        <w:t>razonable</w:t>
      </w:r>
      <w:r w:rsidR="00D85EE4" w:rsidRPr="00AC4AEA">
        <w:rPr>
          <w:rFonts w:ascii="Arial" w:hAnsi="Arial" w:cs="Arial"/>
          <w:sz w:val="20"/>
          <w:szCs w:val="20"/>
        </w:rPr>
        <w:t xml:space="preserve"> de los bienes o servicios a recibir</w:t>
      </w:r>
      <w:r w:rsidRPr="00AC4AEA">
        <w:rPr>
          <w:rFonts w:ascii="Arial" w:hAnsi="Arial" w:cs="Arial"/>
          <w:sz w:val="20"/>
          <w:szCs w:val="20"/>
        </w:rPr>
        <w:t>.</w:t>
      </w:r>
    </w:p>
    <w:p w:rsidR="007732C0" w:rsidRPr="00AC4AEA" w:rsidRDefault="007732C0" w:rsidP="00A318EA">
      <w:pPr>
        <w:pStyle w:val="A-Normal11"/>
        <w:numPr>
          <w:ilvl w:val="0"/>
          <w:numId w:val="29"/>
        </w:numPr>
        <w:jc w:val="both"/>
        <w:rPr>
          <w:rFonts w:ascii="Arial" w:hAnsi="Arial" w:cs="Arial"/>
          <w:sz w:val="20"/>
        </w:rPr>
      </w:pPr>
      <w:r w:rsidRPr="00AC4AEA">
        <w:rPr>
          <w:rFonts w:ascii="Arial" w:hAnsi="Arial" w:cs="Arial"/>
          <w:sz w:val="20"/>
        </w:rPr>
        <w:t xml:space="preserve">Una entidad revertirá </w:t>
      </w:r>
      <w:r w:rsidRPr="00AC4AEA">
        <w:rPr>
          <w:rFonts w:ascii="Arial" w:hAnsi="Arial" w:cs="Arial"/>
          <w:b/>
          <w:bCs/>
          <w:sz w:val="20"/>
        </w:rPr>
        <w:t xml:space="preserve">pérdidas por desvalorización </w:t>
      </w:r>
      <w:r w:rsidRPr="00AC4AEA">
        <w:rPr>
          <w:rFonts w:ascii="Arial" w:hAnsi="Arial" w:cs="Arial"/>
          <w:sz w:val="20"/>
        </w:rPr>
        <w:t xml:space="preserve">reconocidas en períodos anteriores solo cuando, con posterioridad a la fecha de su </w:t>
      </w:r>
      <w:r w:rsidR="003E6FA2" w:rsidRPr="00AC4AEA">
        <w:rPr>
          <w:rFonts w:ascii="Arial" w:hAnsi="Arial" w:cs="Arial"/>
          <w:sz w:val="20"/>
        </w:rPr>
        <w:t>contabilización</w:t>
      </w:r>
      <w:r w:rsidRPr="00AC4AEA">
        <w:rPr>
          <w:rFonts w:ascii="Arial" w:hAnsi="Arial" w:cs="Arial"/>
          <w:sz w:val="20"/>
        </w:rPr>
        <w:t xml:space="preserve">, se </w:t>
      </w:r>
      <w:r w:rsidR="003E6FA2" w:rsidRPr="00AC4AEA">
        <w:rPr>
          <w:rFonts w:ascii="Arial" w:hAnsi="Arial" w:cs="Arial"/>
          <w:sz w:val="20"/>
        </w:rPr>
        <w:t>incremente</w:t>
      </w:r>
      <w:r w:rsidRPr="00AC4AEA">
        <w:rPr>
          <w:rFonts w:ascii="Arial" w:hAnsi="Arial" w:cs="Arial"/>
          <w:sz w:val="20"/>
        </w:rPr>
        <w:t xml:space="preserve"> el </w:t>
      </w:r>
      <w:r w:rsidRPr="00AC4AEA">
        <w:rPr>
          <w:rFonts w:ascii="Arial" w:hAnsi="Arial" w:cs="Arial"/>
          <w:b/>
          <w:bCs/>
          <w:sz w:val="20"/>
        </w:rPr>
        <w:t>valor recuperable</w:t>
      </w:r>
      <w:r w:rsidR="003E6FA2" w:rsidRPr="00AC4AEA">
        <w:rPr>
          <w:rFonts w:ascii="Arial" w:hAnsi="Arial" w:cs="Arial"/>
          <w:sz w:val="20"/>
        </w:rPr>
        <w:t xml:space="preserve"> estimado</w:t>
      </w:r>
      <w:r w:rsidRPr="00AC4AEA">
        <w:rPr>
          <w:rFonts w:ascii="Arial" w:hAnsi="Arial" w:cs="Arial"/>
          <w:sz w:val="20"/>
        </w:rPr>
        <w:t xml:space="preserve">. En tal caso, aumentará la medición contable de los créditos </w:t>
      </w:r>
      <w:r w:rsidR="003E6FA2" w:rsidRPr="00AC4AEA">
        <w:rPr>
          <w:rFonts w:ascii="Arial" w:hAnsi="Arial" w:cs="Arial"/>
          <w:sz w:val="20"/>
        </w:rPr>
        <w:t>involucrados</w:t>
      </w:r>
      <w:r w:rsidRPr="00AC4AEA">
        <w:rPr>
          <w:rFonts w:ascii="Arial" w:hAnsi="Arial" w:cs="Arial"/>
          <w:sz w:val="20"/>
        </w:rPr>
        <w:t xml:space="preserve"> por un importe que sea el menor entre:</w:t>
      </w:r>
    </w:p>
    <w:p w:rsidR="007732C0" w:rsidRPr="00AC4AEA" w:rsidRDefault="007732C0" w:rsidP="00A318EA">
      <w:pPr>
        <w:pStyle w:val="A-Normal11"/>
        <w:numPr>
          <w:ilvl w:val="0"/>
          <w:numId w:val="280"/>
        </w:numPr>
        <w:ind w:left="1560"/>
        <w:jc w:val="both"/>
        <w:rPr>
          <w:rFonts w:ascii="Arial" w:hAnsi="Arial" w:cs="Arial"/>
          <w:sz w:val="20"/>
        </w:rPr>
      </w:pPr>
      <w:r w:rsidRPr="00AC4AEA">
        <w:rPr>
          <w:rFonts w:ascii="Arial" w:hAnsi="Arial" w:cs="Arial"/>
          <w:sz w:val="20"/>
        </w:rPr>
        <w:t xml:space="preserve">la medición contable que el crédito habría tenido si nunca se hubiese reconocido una </w:t>
      </w:r>
      <w:r w:rsidRPr="00AC4AEA">
        <w:rPr>
          <w:rFonts w:ascii="Arial" w:hAnsi="Arial" w:cs="Arial"/>
          <w:b/>
          <w:bCs/>
          <w:sz w:val="20"/>
        </w:rPr>
        <w:t>pérdida por desvalorización;</w:t>
      </w:r>
      <w:r w:rsidRPr="00AC4AEA">
        <w:rPr>
          <w:rFonts w:ascii="Arial" w:hAnsi="Arial" w:cs="Arial"/>
          <w:sz w:val="20"/>
        </w:rPr>
        <w:t xml:space="preserve"> y</w:t>
      </w:r>
    </w:p>
    <w:p w:rsidR="007732C0" w:rsidRPr="00AC4AEA" w:rsidRDefault="007732C0" w:rsidP="00A318EA">
      <w:pPr>
        <w:pStyle w:val="A-Normal11"/>
        <w:numPr>
          <w:ilvl w:val="0"/>
          <w:numId w:val="280"/>
        </w:numPr>
        <w:ind w:left="1560"/>
        <w:jc w:val="both"/>
        <w:rPr>
          <w:rFonts w:ascii="Arial" w:hAnsi="Arial" w:cs="Arial"/>
          <w:sz w:val="20"/>
        </w:rPr>
      </w:pPr>
      <w:r w:rsidRPr="00AC4AEA">
        <w:rPr>
          <w:rFonts w:ascii="Arial" w:hAnsi="Arial" w:cs="Arial"/>
          <w:sz w:val="20"/>
        </w:rPr>
        <w:t xml:space="preserve">su nuevo </w:t>
      </w:r>
      <w:r w:rsidRPr="00AC4AEA">
        <w:rPr>
          <w:rFonts w:ascii="Arial" w:hAnsi="Arial" w:cs="Arial"/>
          <w:b/>
          <w:bCs/>
          <w:sz w:val="20"/>
        </w:rPr>
        <w:t>valor recuperable</w:t>
      </w:r>
      <w:r w:rsidRPr="00AC4AEA">
        <w:rPr>
          <w:rFonts w:ascii="Arial" w:hAnsi="Arial" w:cs="Arial"/>
          <w:sz w:val="20"/>
        </w:rPr>
        <w:t>.</w:t>
      </w:r>
    </w:p>
    <w:p w:rsidR="00622B06" w:rsidRPr="00AC4AEA" w:rsidRDefault="00622B06" w:rsidP="00A318EA">
      <w:pPr>
        <w:pStyle w:val="A-Normal11"/>
        <w:ind w:left="1560"/>
        <w:jc w:val="both"/>
        <w:rPr>
          <w:rFonts w:ascii="Arial" w:hAnsi="Arial" w:cs="Arial"/>
          <w:sz w:val="20"/>
        </w:rPr>
      </w:pPr>
    </w:p>
    <w:p w:rsidR="007732C0" w:rsidRPr="00AC4AEA" w:rsidRDefault="007732C0" w:rsidP="00A318EA">
      <w:pPr>
        <w:pStyle w:val="Ttulo2"/>
        <w:rPr>
          <w:rFonts w:cs="Arial"/>
        </w:rPr>
      </w:pPr>
      <w:bookmarkStart w:id="412" w:name="_Toc101863830"/>
      <w:bookmarkStart w:id="413" w:name="_Toc139356699"/>
      <w:r w:rsidRPr="00AC4AEA">
        <w:rPr>
          <w:rFonts w:cs="Arial"/>
        </w:rPr>
        <w:t>Baja en cuentas</w:t>
      </w:r>
      <w:bookmarkEnd w:id="412"/>
      <w:bookmarkEnd w:id="413"/>
    </w:p>
    <w:p w:rsidR="00840D38" w:rsidRPr="00AC4AEA" w:rsidRDefault="007732C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dará de baja un crédito </w:t>
      </w:r>
      <w:r w:rsidR="00840D38" w:rsidRPr="00AC4AEA">
        <w:rPr>
          <w:rFonts w:ascii="Arial" w:hAnsi="Arial" w:cs="Arial"/>
          <w:sz w:val="20"/>
          <w:szCs w:val="20"/>
        </w:rPr>
        <w:t>en especie:</w:t>
      </w:r>
    </w:p>
    <w:p w:rsidR="007732C0" w:rsidRPr="00AC4AEA" w:rsidRDefault="00840D38" w:rsidP="00A318EA">
      <w:pPr>
        <w:pStyle w:val="A-Normal11"/>
        <w:numPr>
          <w:ilvl w:val="0"/>
          <w:numId w:val="345"/>
        </w:numPr>
        <w:ind w:left="1560"/>
        <w:jc w:val="both"/>
        <w:rPr>
          <w:rFonts w:ascii="Arial" w:hAnsi="Arial" w:cs="Arial"/>
          <w:sz w:val="20"/>
        </w:rPr>
      </w:pPr>
      <w:r w:rsidRPr="00AC4AEA">
        <w:rPr>
          <w:rFonts w:ascii="Arial" w:hAnsi="Arial" w:cs="Arial"/>
          <w:sz w:val="20"/>
        </w:rPr>
        <w:lastRenderedPageBreak/>
        <w:t xml:space="preserve">distintos de los derechos a facturar a clientes, </w:t>
      </w:r>
      <w:r w:rsidR="007732C0" w:rsidRPr="00AC4AEA">
        <w:rPr>
          <w:rFonts w:ascii="Arial" w:hAnsi="Arial" w:cs="Arial"/>
          <w:sz w:val="20"/>
        </w:rPr>
        <w:t>cuando</w:t>
      </w:r>
      <w:r w:rsidR="002D49AA" w:rsidRPr="00AC4AEA">
        <w:rPr>
          <w:rFonts w:ascii="Arial" w:hAnsi="Arial" w:cs="Arial"/>
          <w:sz w:val="20"/>
        </w:rPr>
        <w:t xml:space="preserve"> </w:t>
      </w:r>
      <w:r w:rsidR="007732C0" w:rsidRPr="00AC4AEA">
        <w:rPr>
          <w:rFonts w:ascii="Arial" w:hAnsi="Arial" w:cs="Arial"/>
          <w:sz w:val="20"/>
        </w:rPr>
        <w:t>expire</w:t>
      </w:r>
      <w:r w:rsidR="002A009A" w:rsidRPr="00AC4AEA">
        <w:rPr>
          <w:rFonts w:ascii="Arial" w:hAnsi="Arial" w:cs="Arial"/>
          <w:sz w:val="20"/>
        </w:rPr>
        <w:t>n</w:t>
      </w:r>
      <w:r w:rsidR="007732C0" w:rsidRPr="00AC4AEA">
        <w:rPr>
          <w:rFonts w:ascii="Arial" w:hAnsi="Arial" w:cs="Arial"/>
          <w:sz w:val="20"/>
        </w:rPr>
        <w:t xml:space="preserve"> </w:t>
      </w:r>
      <w:r w:rsidR="002A009A" w:rsidRPr="00AC4AEA">
        <w:rPr>
          <w:rFonts w:ascii="Arial" w:hAnsi="Arial" w:cs="Arial"/>
          <w:sz w:val="20"/>
        </w:rPr>
        <w:t>sus</w:t>
      </w:r>
      <w:r w:rsidR="002D49AA" w:rsidRPr="00AC4AEA">
        <w:rPr>
          <w:rFonts w:ascii="Arial" w:hAnsi="Arial" w:cs="Arial"/>
          <w:sz w:val="20"/>
        </w:rPr>
        <w:t xml:space="preserve"> derecho</w:t>
      </w:r>
      <w:r w:rsidR="002A009A" w:rsidRPr="00AC4AEA">
        <w:rPr>
          <w:rFonts w:ascii="Arial" w:hAnsi="Arial" w:cs="Arial"/>
          <w:sz w:val="20"/>
        </w:rPr>
        <w:t>s</w:t>
      </w:r>
      <w:r w:rsidR="002D49AA" w:rsidRPr="00AC4AEA">
        <w:rPr>
          <w:rFonts w:ascii="Arial" w:hAnsi="Arial" w:cs="Arial"/>
          <w:sz w:val="20"/>
        </w:rPr>
        <w:t xml:space="preserve"> </w:t>
      </w:r>
      <w:r w:rsidR="007732C0" w:rsidRPr="00AC4AEA">
        <w:rPr>
          <w:rFonts w:ascii="Arial" w:hAnsi="Arial" w:cs="Arial"/>
          <w:sz w:val="20"/>
        </w:rPr>
        <w:t xml:space="preserve">o </w:t>
      </w:r>
      <w:r w:rsidR="002D49AA" w:rsidRPr="00AC4AEA">
        <w:rPr>
          <w:rFonts w:ascii="Arial" w:hAnsi="Arial" w:cs="Arial"/>
          <w:sz w:val="20"/>
        </w:rPr>
        <w:t>reciba los bienes o servicios comprometidos por la contraparte</w:t>
      </w:r>
    </w:p>
    <w:p w:rsidR="0069742B" w:rsidRPr="00AC4AEA" w:rsidRDefault="00840D38" w:rsidP="00A318EA">
      <w:pPr>
        <w:pStyle w:val="A-Normal11"/>
        <w:numPr>
          <w:ilvl w:val="0"/>
          <w:numId w:val="345"/>
        </w:numPr>
        <w:ind w:left="1560"/>
        <w:jc w:val="both"/>
        <w:rPr>
          <w:rFonts w:ascii="Arial" w:hAnsi="Arial" w:cs="Arial"/>
          <w:sz w:val="20"/>
        </w:rPr>
      </w:pPr>
      <w:r w:rsidRPr="00AC4AEA">
        <w:rPr>
          <w:rFonts w:ascii="Arial" w:hAnsi="Arial" w:cs="Arial"/>
          <w:sz w:val="20"/>
        </w:rPr>
        <w:t xml:space="preserve">que sea un </w:t>
      </w:r>
      <w:r w:rsidR="0069742B" w:rsidRPr="00AC4AEA">
        <w:rPr>
          <w:rFonts w:ascii="Arial" w:hAnsi="Arial" w:cs="Arial"/>
          <w:sz w:val="20"/>
        </w:rPr>
        <w:t>derecho a facturar a clientes</w:t>
      </w:r>
      <w:r w:rsidR="00F23CA8" w:rsidRPr="00AC4AEA">
        <w:rPr>
          <w:rFonts w:ascii="Arial" w:hAnsi="Arial" w:cs="Arial"/>
          <w:sz w:val="20"/>
        </w:rPr>
        <w:t>, cuando ocurra lo indicado en el inciso a) inmediato anterior, o se emita factura o documento similar, lo que ocurra antes</w:t>
      </w:r>
      <w:r w:rsidR="0069742B" w:rsidRPr="00AC4AEA">
        <w:rPr>
          <w:rFonts w:ascii="Arial" w:hAnsi="Arial" w:cs="Arial"/>
          <w:sz w:val="20"/>
        </w:rPr>
        <w:t>.</w:t>
      </w:r>
    </w:p>
    <w:p w:rsidR="007732C0" w:rsidRPr="00AC4AEA" w:rsidRDefault="007732C0" w:rsidP="00A318EA">
      <w:pPr>
        <w:jc w:val="both"/>
        <w:rPr>
          <w:rFonts w:ascii="Arial" w:hAnsi="Arial" w:cs="Arial"/>
          <w:sz w:val="20"/>
          <w:szCs w:val="20"/>
        </w:rPr>
      </w:pPr>
    </w:p>
    <w:p w:rsidR="007732C0" w:rsidRPr="00AC4AEA" w:rsidRDefault="007732C0" w:rsidP="00A318EA">
      <w:pPr>
        <w:pStyle w:val="Ttulo2"/>
        <w:rPr>
          <w:rFonts w:cs="Arial"/>
        </w:rPr>
      </w:pPr>
      <w:bookmarkStart w:id="414" w:name="_Toc101863831"/>
      <w:bookmarkStart w:id="415" w:name="_Toc139356700"/>
      <w:r w:rsidRPr="00AC4AEA">
        <w:rPr>
          <w:rFonts w:cs="Arial"/>
        </w:rPr>
        <w:t xml:space="preserve">Presentación en los </w:t>
      </w:r>
      <w:r w:rsidR="00135084" w:rsidRPr="00AC4AEA">
        <w:rPr>
          <w:rFonts w:cs="Arial"/>
          <w:bCs/>
        </w:rPr>
        <w:t>estados contables</w:t>
      </w:r>
      <w:bookmarkEnd w:id="414"/>
      <w:bookmarkEnd w:id="415"/>
    </w:p>
    <w:p w:rsidR="007732C0" w:rsidRPr="00AC4AEA" w:rsidRDefault="00A417C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69742B" w:rsidRPr="00AC4AEA">
        <w:rPr>
          <w:rFonts w:ascii="Arial" w:hAnsi="Arial" w:cs="Arial"/>
          <w:sz w:val="20"/>
          <w:szCs w:val="20"/>
        </w:rPr>
        <w:t xml:space="preserve">na entidad presentará los créditos en especie distinguiendo, </w:t>
      </w:r>
      <w:r w:rsidR="00DC67EB" w:rsidRPr="00AC4AEA">
        <w:rPr>
          <w:rFonts w:ascii="Arial" w:hAnsi="Arial" w:cs="Arial"/>
          <w:sz w:val="20"/>
          <w:szCs w:val="20"/>
        </w:rPr>
        <w:t>de corresponder</w:t>
      </w:r>
      <w:r w:rsidR="0069742B" w:rsidRPr="00AC4AEA">
        <w:rPr>
          <w:rFonts w:ascii="Arial" w:hAnsi="Arial" w:cs="Arial"/>
          <w:sz w:val="20"/>
          <w:szCs w:val="20"/>
        </w:rPr>
        <w:t xml:space="preserve">, entre </w:t>
      </w:r>
      <w:r w:rsidR="00497590" w:rsidRPr="00AC4AEA">
        <w:rPr>
          <w:rFonts w:ascii="Arial" w:hAnsi="Arial" w:cs="Arial"/>
          <w:bCs/>
          <w:sz w:val="20"/>
          <w:szCs w:val="20"/>
        </w:rPr>
        <w:t>activos</w:t>
      </w:r>
      <w:r w:rsidR="0069742B" w:rsidRPr="00AC4AEA">
        <w:rPr>
          <w:rFonts w:ascii="Arial" w:hAnsi="Arial" w:cs="Arial"/>
          <w:bCs/>
          <w:sz w:val="20"/>
          <w:szCs w:val="20"/>
        </w:rPr>
        <w:t xml:space="preserve"> corrientes</w:t>
      </w:r>
      <w:r w:rsidR="0069742B" w:rsidRPr="00AC4AEA">
        <w:rPr>
          <w:rFonts w:ascii="Arial" w:hAnsi="Arial" w:cs="Arial"/>
          <w:sz w:val="20"/>
          <w:szCs w:val="20"/>
        </w:rPr>
        <w:t xml:space="preserve"> </w:t>
      </w:r>
      <w:r w:rsidR="0069742B" w:rsidRPr="00AC4AEA">
        <w:rPr>
          <w:rFonts w:ascii="Arial" w:hAnsi="Arial" w:cs="Arial"/>
          <w:bCs/>
          <w:sz w:val="20"/>
          <w:szCs w:val="20"/>
        </w:rPr>
        <w:t xml:space="preserve">y </w:t>
      </w:r>
      <w:r w:rsidR="00497590" w:rsidRPr="00AC4AEA">
        <w:rPr>
          <w:rFonts w:ascii="Arial" w:hAnsi="Arial" w:cs="Arial"/>
          <w:bCs/>
          <w:sz w:val="20"/>
          <w:szCs w:val="20"/>
        </w:rPr>
        <w:t>activos</w:t>
      </w:r>
      <w:r w:rsidR="0069742B" w:rsidRPr="00AC4AEA">
        <w:rPr>
          <w:rFonts w:ascii="Arial" w:hAnsi="Arial" w:cs="Arial"/>
          <w:bCs/>
          <w:sz w:val="20"/>
          <w:szCs w:val="20"/>
        </w:rPr>
        <w:t xml:space="preserve"> no corrientes</w:t>
      </w:r>
      <w:r w:rsidR="0069742B" w:rsidRPr="00AC4AEA">
        <w:rPr>
          <w:rFonts w:ascii="Arial" w:hAnsi="Arial" w:cs="Arial"/>
          <w:sz w:val="20"/>
          <w:szCs w:val="20"/>
        </w:rPr>
        <w:t>:</w:t>
      </w:r>
    </w:p>
    <w:p w:rsidR="0069742B" w:rsidRPr="00AC4AEA" w:rsidRDefault="0069742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dentro de </w:t>
      </w:r>
      <w:r w:rsidR="00786ABE" w:rsidRPr="00AC4AEA">
        <w:rPr>
          <w:rFonts w:ascii="Arial" w:hAnsi="Arial" w:cs="Arial"/>
          <w:sz w:val="20"/>
          <w:szCs w:val="20"/>
        </w:rPr>
        <w:t>“</w:t>
      </w:r>
      <w:r w:rsidRPr="00AC4AEA">
        <w:rPr>
          <w:rFonts w:ascii="Arial" w:hAnsi="Arial" w:cs="Arial"/>
          <w:sz w:val="20"/>
          <w:szCs w:val="20"/>
          <w:u w:val="single"/>
        </w:rPr>
        <w:t>bienes de cambio</w:t>
      </w:r>
      <w:r w:rsidR="00786ABE" w:rsidRPr="00AC4AEA">
        <w:rPr>
          <w:rFonts w:ascii="Arial" w:hAnsi="Arial" w:cs="Arial"/>
          <w:sz w:val="20"/>
          <w:szCs w:val="20"/>
        </w:rPr>
        <w:t>”</w:t>
      </w:r>
      <w:r w:rsidRPr="00AC4AEA">
        <w:rPr>
          <w:rFonts w:ascii="Arial" w:hAnsi="Arial" w:cs="Arial"/>
          <w:sz w:val="20"/>
          <w:szCs w:val="20"/>
        </w:rPr>
        <w:t xml:space="preserve">, </w:t>
      </w:r>
      <w:r w:rsidR="00786ABE" w:rsidRPr="00AC4AEA">
        <w:rPr>
          <w:rFonts w:ascii="Arial" w:hAnsi="Arial" w:cs="Arial"/>
          <w:sz w:val="20"/>
          <w:szCs w:val="20"/>
        </w:rPr>
        <w:t>“</w:t>
      </w:r>
      <w:r w:rsidRPr="00AC4AEA">
        <w:rPr>
          <w:rFonts w:ascii="Arial" w:hAnsi="Arial" w:cs="Arial"/>
          <w:sz w:val="20"/>
          <w:szCs w:val="20"/>
          <w:u w:val="single"/>
        </w:rPr>
        <w:t>bienes de uso</w:t>
      </w:r>
      <w:r w:rsidR="00786ABE" w:rsidRPr="00AC4AEA">
        <w:rPr>
          <w:rFonts w:ascii="Arial" w:hAnsi="Arial" w:cs="Arial"/>
          <w:sz w:val="20"/>
          <w:szCs w:val="20"/>
        </w:rPr>
        <w:t>”</w:t>
      </w:r>
      <w:r w:rsidRPr="00AC4AEA">
        <w:rPr>
          <w:rFonts w:ascii="Arial" w:hAnsi="Arial" w:cs="Arial"/>
          <w:sz w:val="20"/>
          <w:szCs w:val="20"/>
        </w:rPr>
        <w:t xml:space="preserve">, </w:t>
      </w:r>
      <w:r w:rsidR="00786ABE" w:rsidRPr="00AC4AEA">
        <w:rPr>
          <w:rFonts w:ascii="Arial" w:hAnsi="Arial" w:cs="Arial"/>
          <w:sz w:val="20"/>
          <w:szCs w:val="20"/>
        </w:rPr>
        <w:t>“</w:t>
      </w:r>
      <w:r w:rsidR="00497590" w:rsidRPr="00AC4AEA">
        <w:rPr>
          <w:rFonts w:ascii="Arial" w:hAnsi="Arial" w:cs="Arial"/>
          <w:sz w:val="20"/>
          <w:szCs w:val="20"/>
          <w:u w:val="single"/>
        </w:rPr>
        <w:t>activos</w:t>
      </w:r>
      <w:r w:rsidRPr="00AC4AEA">
        <w:rPr>
          <w:rFonts w:ascii="Arial" w:hAnsi="Arial" w:cs="Arial"/>
          <w:sz w:val="20"/>
          <w:szCs w:val="20"/>
          <w:u w:val="single"/>
        </w:rPr>
        <w:t xml:space="preserve"> intangibles</w:t>
      </w:r>
      <w:r w:rsidR="00786ABE" w:rsidRPr="00AC4AEA">
        <w:rPr>
          <w:rFonts w:ascii="Arial" w:hAnsi="Arial" w:cs="Arial"/>
          <w:sz w:val="20"/>
          <w:szCs w:val="20"/>
        </w:rPr>
        <w:t>”</w:t>
      </w:r>
      <w:r w:rsidRPr="00AC4AEA">
        <w:rPr>
          <w:rFonts w:ascii="Arial" w:hAnsi="Arial" w:cs="Arial"/>
          <w:sz w:val="20"/>
          <w:szCs w:val="20"/>
        </w:rPr>
        <w:t xml:space="preserve"> o </w:t>
      </w:r>
      <w:r w:rsidR="00786ABE" w:rsidRPr="00AC4AEA">
        <w:rPr>
          <w:rFonts w:ascii="Arial" w:hAnsi="Arial" w:cs="Arial"/>
          <w:sz w:val="20"/>
          <w:szCs w:val="20"/>
        </w:rPr>
        <w:t>“</w:t>
      </w:r>
      <w:r w:rsidRPr="00AC4AEA">
        <w:rPr>
          <w:rFonts w:ascii="Arial" w:hAnsi="Arial" w:cs="Arial"/>
          <w:sz w:val="20"/>
          <w:szCs w:val="20"/>
          <w:u w:val="single"/>
        </w:rPr>
        <w:t>propiedades de inversión</w:t>
      </w:r>
      <w:r w:rsidR="00786ABE" w:rsidRPr="00AC4AEA">
        <w:rPr>
          <w:rFonts w:ascii="Arial" w:hAnsi="Arial" w:cs="Arial"/>
          <w:sz w:val="20"/>
          <w:szCs w:val="20"/>
        </w:rPr>
        <w:t>”</w:t>
      </w:r>
      <w:r w:rsidRPr="00AC4AEA">
        <w:rPr>
          <w:rFonts w:ascii="Arial" w:hAnsi="Arial" w:cs="Arial"/>
          <w:sz w:val="20"/>
          <w:szCs w:val="20"/>
        </w:rPr>
        <w:t xml:space="preserve"> si representa un derecho a recibir tales bienes; o</w:t>
      </w:r>
    </w:p>
    <w:p w:rsidR="0069742B" w:rsidRPr="00AC4AEA" w:rsidRDefault="0069742B"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como un rubro separado, en los demás casos.</w:t>
      </w:r>
    </w:p>
    <w:p w:rsidR="007732C0" w:rsidRPr="00AC4AEA" w:rsidRDefault="00A417C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resultados, u</w:t>
      </w:r>
      <w:r w:rsidR="007732C0" w:rsidRPr="00AC4AEA">
        <w:rPr>
          <w:rFonts w:ascii="Arial" w:hAnsi="Arial" w:cs="Arial"/>
          <w:sz w:val="20"/>
          <w:szCs w:val="20"/>
        </w:rPr>
        <w:t>na entidad presentará por separado</w:t>
      </w:r>
      <w:r w:rsidR="00DC67EB" w:rsidRPr="00AC4AEA">
        <w:rPr>
          <w:rFonts w:ascii="Arial" w:hAnsi="Arial" w:cs="Arial"/>
          <w:sz w:val="20"/>
          <w:szCs w:val="20"/>
        </w:rPr>
        <w:t xml:space="preserve"> las </w:t>
      </w:r>
      <w:r w:rsidR="00DC67EB" w:rsidRPr="00AC4AEA">
        <w:rPr>
          <w:rFonts w:ascii="Arial" w:hAnsi="Arial" w:cs="Arial"/>
          <w:b/>
          <w:bCs/>
          <w:sz w:val="20"/>
          <w:szCs w:val="20"/>
        </w:rPr>
        <w:t>pérdidas por desvalorización</w:t>
      </w:r>
      <w:r w:rsidR="00DC67EB" w:rsidRPr="00AC4AEA">
        <w:rPr>
          <w:rFonts w:ascii="Arial" w:hAnsi="Arial" w:cs="Arial"/>
          <w:sz w:val="20"/>
          <w:szCs w:val="20"/>
        </w:rPr>
        <w:t xml:space="preserve"> y las reversiones de dichas pérdidas (gastos por incobrables y similares).</w:t>
      </w:r>
    </w:p>
    <w:p w:rsidR="00DC67EB" w:rsidRPr="00AC4AEA" w:rsidRDefault="00DC67E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Los demás resultados relacionados se presentarán de conformidad con la definido en la sección “</w:t>
      </w:r>
      <w:r w:rsidRPr="00AC4AEA">
        <w:rPr>
          <w:rFonts w:ascii="Arial" w:hAnsi="Arial" w:cs="Arial"/>
          <w:sz w:val="20"/>
          <w:szCs w:val="20"/>
          <w:u w:val="single"/>
        </w:rPr>
        <w:t>Cuestiones referidas al estado de resultados</w:t>
      </w:r>
      <w:r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00E60D20"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Pr="00AC4AEA">
        <w:rPr>
          <w:rFonts w:ascii="Arial" w:hAnsi="Arial" w:cs="Arial"/>
          <w:sz w:val="20"/>
          <w:szCs w:val="20"/>
        </w:rPr>
        <w:t xml:space="preserve">]. </w:t>
      </w:r>
    </w:p>
    <w:p w:rsidR="007732C0" w:rsidRPr="00AC4AEA" w:rsidRDefault="007732C0" w:rsidP="00A318EA">
      <w:pPr>
        <w:jc w:val="both"/>
        <w:rPr>
          <w:rFonts w:ascii="Arial" w:hAnsi="Arial" w:cs="Arial"/>
          <w:b/>
          <w:bCs/>
          <w:sz w:val="20"/>
          <w:szCs w:val="20"/>
        </w:rPr>
      </w:pPr>
    </w:p>
    <w:p w:rsidR="007732C0" w:rsidRPr="00AC4AEA" w:rsidRDefault="007732C0" w:rsidP="00A318EA">
      <w:pPr>
        <w:pStyle w:val="Ttulo2"/>
        <w:rPr>
          <w:rFonts w:cs="Arial"/>
        </w:rPr>
      </w:pPr>
      <w:bookmarkStart w:id="416" w:name="_Toc101863832"/>
      <w:bookmarkStart w:id="417" w:name="_Toc139356701"/>
      <w:r w:rsidRPr="00AC4AEA">
        <w:rPr>
          <w:rFonts w:cs="Arial"/>
        </w:rPr>
        <w:t>Revelación en notas</w:t>
      </w:r>
      <w:bookmarkEnd w:id="416"/>
      <w:bookmarkEnd w:id="417"/>
    </w:p>
    <w:p w:rsidR="007732C0" w:rsidRPr="00AC4AEA" w:rsidRDefault="007732C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describirá:</w:t>
      </w:r>
    </w:p>
    <w:p w:rsidR="007732C0" w:rsidRPr="00AC4AEA" w:rsidRDefault="007732C0" w:rsidP="00A318EA">
      <w:pPr>
        <w:pStyle w:val="Prrafodelista"/>
        <w:numPr>
          <w:ilvl w:val="0"/>
          <w:numId w:val="68"/>
        </w:numPr>
        <w:ind w:left="1560"/>
        <w:contextualSpacing w:val="0"/>
        <w:jc w:val="both"/>
        <w:rPr>
          <w:rFonts w:ascii="Arial" w:hAnsi="Arial" w:cs="Arial"/>
          <w:sz w:val="20"/>
          <w:szCs w:val="20"/>
        </w:rPr>
      </w:pPr>
      <w:r w:rsidRPr="00AC4AEA">
        <w:rPr>
          <w:rFonts w:ascii="Arial" w:hAnsi="Arial" w:cs="Arial"/>
          <w:sz w:val="20"/>
          <w:szCs w:val="20"/>
        </w:rPr>
        <w:t xml:space="preserve">las </w:t>
      </w:r>
      <w:r w:rsidR="00135084" w:rsidRPr="00AC4AEA">
        <w:rPr>
          <w:rFonts w:ascii="Arial" w:hAnsi="Arial" w:cs="Arial"/>
          <w:b/>
          <w:bCs/>
          <w:sz w:val="20"/>
          <w:szCs w:val="20"/>
        </w:rPr>
        <w:t>políticas contables</w:t>
      </w:r>
      <w:r w:rsidRPr="00AC4AEA">
        <w:rPr>
          <w:rFonts w:ascii="Arial" w:hAnsi="Arial" w:cs="Arial"/>
          <w:sz w:val="20"/>
          <w:szCs w:val="20"/>
        </w:rPr>
        <w:t xml:space="preserve"> </w:t>
      </w:r>
      <w:r w:rsidR="00817570" w:rsidRPr="00AC4AEA">
        <w:rPr>
          <w:rFonts w:ascii="Arial" w:hAnsi="Arial" w:cs="Arial"/>
          <w:sz w:val="20"/>
          <w:szCs w:val="20"/>
        </w:rPr>
        <w:t>empleada</w:t>
      </w:r>
      <w:r w:rsidR="00860EB6" w:rsidRPr="00AC4AEA">
        <w:rPr>
          <w:rFonts w:ascii="Arial" w:hAnsi="Arial" w:cs="Arial"/>
          <w:sz w:val="20"/>
          <w:szCs w:val="20"/>
        </w:rPr>
        <w:t>s</w:t>
      </w:r>
      <w:r w:rsidRPr="00AC4AEA">
        <w:rPr>
          <w:rFonts w:ascii="Arial" w:hAnsi="Arial" w:cs="Arial"/>
          <w:sz w:val="20"/>
          <w:szCs w:val="20"/>
        </w:rPr>
        <w:t xml:space="preserve"> y los criterios de medición aplicados para cada clase de créditos</w:t>
      </w:r>
      <w:r w:rsidR="00817570" w:rsidRPr="00AC4AEA">
        <w:rPr>
          <w:rFonts w:ascii="Arial" w:hAnsi="Arial" w:cs="Arial"/>
          <w:sz w:val="20"/>
          <w:szCs w:val="20"/>
        </w:rPr>
        <w:t xml:space="preserve"> en especie</w:t>
      </w:r>
      <w:r w:rsidRPr="00AC4AEA">
        <w:rPr>
          <w:rFonts w:ascii="Arial" w:hAnsi="Arial" w:cs="Arial"/>
          <w:sz w:val="20"/>
          <w:szCs w:val="20"/>
        </w:rPr>
        <w:t>; y</w:t>
      </w:r>
    </w:p>
    <w:p w:rsidR="007732C0" w:rsidRPr="00AC4AEA" w:rsidRDefault="007732C0" w:rsidP="00A318EA">
      <w:pPr>
        <w:pStyle w:val="Prrafodelista"/>
        <w:numPr>
          <w:ilvl w:val="0"/>
          <w:numId w:val="68"/>
        </w:numPr>
        <w:ind w:left="1560"/>
        <w:contextualSpacing w:val="0"/>
        <w:jc w:val="both"/>
        <w:rPr>
          <w:rFonts w:ascii="Arial" w:hAnsi="Arial" w:cs="Arial"/>
          <w:sz w:val="20"/>
          <w:szCs w:val="20"/>
        </w:rPr>
      </w:pPr>
      <w:r w:rsidRPr="00AC4AEA">
        <w:rPr>
          <w:rFonts w:ascii="Arial" w:hAnsi="Arial" w:cs="Arial"/>
          <w:sz w:val="20"/>
          <w:szCs w:val="20"/>
        </w:rPr>
        <w:t>las bases y métodos utilizados y los supuestos considerados en las mediciones basadas en valores corrientes.</w:t>
      </w:r>
    </w:p>
    <w:p w:rsidR="007732C0" w:rsidRPr="00AC4AEA" w:rsidRDefault="007732C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revelará información sobre la composición de los créditos que permita evaluar el importe, calendario e incertidumbre de los flujos de efectivo futuros, incluyendo:</w:t>
      </w:r>
    </w:p>
    <w:p w:rsidR="007732C0" w:rsidRPr="00AC4AEA" w:rsidRDefault="007732C0" w:rsidP="00A318EA">
      <w:pPr>
        <w:pStyle w:val="Prrafodelista"/>
        <w:numPr>
          <w:ilvl w:val="0"/>
          <w:numId w:val="69"/>
        </w:numPr>
        <w:ind w:left="1560"/>
        <w:contextualSpacing w:val="0"/>
        <w:jc w:val="both"/>
        <w:rPr>
          <w:rFonts w:ascii="Arial" w:hAnsi="Arial" w:cs="Arial"/>
          <w:sz w:val="20"/>
          <w:szCs w:val="20"/>
        </w:rPr>
      </w:pPr>
      <w:r w:rsidRPr="00AC4AEA">
        <w:rPr>
          <w:rFonts w:ascii="Arial" w:hAnsi="Arial" w:cs="Arial"/>
          <w:sz w:val="20"/>
          <w:szCs w:val="20"/>
        </w:rPr>
        <w:t>su naturaleza e instrumentación jurídica;</w:t>
      </w:r>
    </w:p>
    <w:p w:rsidR="007732C0" w:rsidRPr="00AC4AEA" w:rsidRDefault="007732C0" w:rsidP="00A318EA">
      <w:pPr>
        <w:pStyle w:val="Prrafodelista"/>
        <w:numPr>
          <w:ilvl w:val="0"/>
          <w:numId w:val="69"/>
        </w:numPr>
        <w:ind w:left="1560"/>
        <w:contextualSpacing w:val="0"/>
        <w:jc w:val="both"/>
        <w:rPr>
          <w:rFonts w:ascii="Arial" w:hAnsi="Arial" w:cs="Arial"/>
          <w:sz w:val="20"/>
          <w:szCs w:val="20"/>
        </w:rPr>
      </w:pPr>
      <w:r w:rsidRPr="00AC4AEA">
        <w:rPr>
          <w:rFonts w:ascii="Arial" w:hAnsi="Arial" w:cs="Arial"/>
          <w:sz w:val="20"/>
          <w:szCs w:val="20"/>
        </w:rPr>
        <w:t>los saldos con garantías que disminuyan el riesgo de la entidad;</w:t>
      </w:r>
    </w:p>
    <w:p w:rsidR="007732C0" w:rsidRPr="00AC4AEA" w:rsidRDefault="007732C0" w:rsidP="00A318EA">
      <w:pPr>
        <w:pStyle w:val="Prrafodelista"/>
        <w:numPr>
          <w:ilvl w:val="0"/>
          <w:numId w:val="69"/>
        </w:numPr>
        <w:ind w:left="1560"/>
        <w:contextualSpacing w:val="0"/>
        <w:jc w:val="both"/>
        <w:rPr>
          <w:rFonts w:ascii="Arial" w:hAnsi="Arial" w:cs="Arial"/>
          <w:sz w:val="20"/>
          <w:szCs w:val="20"/>
        </w:rPr>
      </w:pPr>
      <w:r w:rsidRPr="00AC4AEA">
        <w:rPr>
          <w:rFonts w:ascii="Arial" w:hAnsi="Arial" w:cs="Arial"/>
          <w:sz w:val="20"/>
          <w:szCs w:val="20"/>
        </w:rPr>
        <w:t>los saldos con entidades sobre las cuales ejerce (o que ejercen sobre la entidad) control, control conjunto o influencia significativa y</w:t>
      </w:r>
    </w:p>
    <w:p w:rsidR="007732C0" w:rsidRPr="00AC4AEA" w:rsidRDefault="007732C0" w:rsidP="00A318EA">
      <w:pPr>
        <w:pStyle w:val="Prrafodelista"/>
        <w:numPr>
          <w:ilvl w:val="0"/>
          <w:numId w:val="69"/>
        </w:numPr>
        <w:ind w:left="1560"/>
        <w:contextualSpacing w:val="0"/>
        <w:jc w:val="both"/>
        <w:rPr>
          <w:rFonts w:ascii="Arial" w:hAnsi="Arial" w:cs="Arial"/>
          <w:sz w:val="20"/>
          <w:szCs w:val="20"/>
        </w:rPr>
      </w:pPr>
      <w:r w:rsidRPr="00AC4AEA">
        <w:rPr>
          <w:rFonts w:ascii="Arial" w:hAnsi="Arial" w:cs="Arial"/>
          <w:sz w:val="20"/>
          <w:szCs w:val="20"/>
        </w:rPr>
        <w:t xml:space="preserve">las </w:t>
      </w:r>
      <w:r w:rsidRPr="00AC4AEA">
        <w:rPr>
          <w:rFonts w:ascii="Arial" w:hAnsi="Arial" w:cs="Arial"/>
          <w:b/>
          <w:bCs/>
          <w:sz w:val="20"/>
          <w:szCs w:val="20"/>
        </w:rPr>
        <w:t>pérdidas por desvalorización</w:t>
      </w:r>
      <w:r w:rsidRPr="00AC4AEA">
        <w:rPr>
          <w:rFonts w:ascii="Arial" w:hAnsi="Arial" w:cs="Arial"/>
          <w:sz w:val="20"/>
          <w:szCs w:val="20"/>
        </w:rPr>
        <w:t xml:space="preserve"> (o las reversiones de dichas pérdidas) reconocidas y acumuladas.</w:t>
      </w:r>
    </w:p>
    <w:p w:rsidR="007732C0" w:rsidRPr="00AC4AEA" w:rsidRDefault="007732C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 xml:space="preserve">Una entidad clasificará los otros créditos en función de su </w:t>
      </w:r>
      <w:r w:rsidR="00002F2A" w:rsidRPr="00AC4AEA">
        <w:rPr>
          <w:rFonts w:ascii="Arial" w:hAnsi="Arial" w:cs="Arial"/>
          <w:sz w:val="20"/>
          <w:szCs w:val="20"/>
        </w:rPr>
        <w:t>naturaleza</w:t>
      </w:r>
      <w:r w:rsidRPr="00AC4AEA">
        <w:rPr>
          <w:rFonts w:ascii="Arial" w:hAnsi="Arial" w:cs="Arial"/>
          <w:sz w:val="20"/>
          <w:szCs w:val="20"/>
        </w:rPr>
        <w:t xml:space="preserve"> (por ejemplo, anticipos a proveedores no clasificables como bienes de cambio ni bienes de uso, </w:t>
      </w:r>
      <w:r w:rsidR="00860EB6" w:rsidRPr="00AC4AEA">
        <w:rPr>
          <w:rFonts w:ascii="Arial" w:hAnsi="Arial" w:cs="Arial"/>
          <w:sz w:val="20"/>
          <w:szCs w:val="20"/>
        </w:rPr>
        <w:t>seguros pagados por anticipado, etc.</w:t>
      </w:r>
      <w:r w:rsidRPr="00AC4AEA">
        <w:rPr>
          <w:rFonts w:ascii="Arial" w:hAnsi="Arial" w:cs="Arial"/>
          <w:sz w:val="20"/>
          <w:szCs w:val="20"/>
        </w:rPr>
        <w:t>).</w:t>
      </w:r>
    </w:p>
    <w:p w:rsidR="00000B6A" w:rsidRPr="00AC4AEA" w:rsidRDefault="00000B6A" w:rsidP="00A318EA">
      <w:pPr>
        <w:pStyle w:val="Prrafodelista"/>
        <w:ind w:left="993"/>
        <w:contextualSpacing w:val="0"/>
        <w:jc w:val="both"/>
        <w:rPr>
          <w:rFonts w:ascii="Arial" w:hAnsi="Arial" w:cs="Arial"/>
          <w:sz w:val="20"/>
          <w:szCs w:val="20"/>
        </w:rPr>
      </w:pPr>
    </w:p>
    <w:p w:rsidR="007732C0" w:rsidRPr="00AC4AEA" w:rsidRDefault="007732C0" w:rsidP="00A318EA">
      <w:pPr>
        <w:pStyle w:val="Ttulo2"/>
        <w:rPr>
          <w:rFonts w:cs="Arial"/>
        </w:rPr>
      </w:pPr>
      <w:bookmarkStart w:id="418" w:name="_Toc101863833"/>
      <w:bookmarkStart w:id="419" w:name="_Toc139356702"/>
      <w:r w:rsidRPr="00AC4AEA">
        <w:rPr>
          <w:rFonts w:cs="Arial"/>
        </w:rPr>
        <w:t>Otras normas aplicables</w:t>
      </w:r>
      <w:bookmarkEnd w:id="418"/>
      <w:bookmarkEnd w:id="419"/>
    </w:p>
    <w:p w:rsidR="007732C0" w:rsidRPr="00AC4AEA" w:rsidRDefault="007732C0" w:rsidP="00A318EA">
      <w:pPr>
        <w:pStyle w:val="Prrafodelista"/>
        <w:numPr>
          <w:ilvl w:val="0"/>
          <w:numId w:val="29"/>
        </w:numPr>
        <w:contextualSpacing w:val="0"/>
        <w:jc w:val="both"/>
        <w:rPr>
          <w:rFonts w:ascii="Arial" w:hAnsi="Arial" w:cs="Arial"/>
          <w:sz w:val="20"/>
          <w:szCs w:val="20"/>
        </w:rPr>
      </w:pPr>
      <w:bookmarkStart w:id="420" w:name="_Ref105075937"/>
      <w:r w:rsidRPr="00AC4AEA">
        <w:rPr>
          <w:rFonts w:ascii="Arial" w:hAnsi="Arial" w:cs="Arial"/>
          <w:sz w:val="20"/>
          <w:szCs w:val="20"/>
        </w:rPr>
        <w:t xml:space="preserve">Para el tratamiento contable de los </w:t>
      </w:r>
      <w:r w:rsidRPr="00AC4AEA">
        <w:rPr>
          <w:rFonts w:ascii="Arial" w:hAnsi="Arial" w:cs="Arial"/>
          <w:b/>
          <w:bCs/>
          <w:sz w:val="20"/>
          <w:szCs w:val="20"/>
        </w:rPr>
        <w:t xml:space="preserve">créditos </w:t>
      </w:r>
      <w:r w:rsidR="00000B6A" w:rsidRPr="00AC4AEA">
        <w:rPr>
          <w:rFonts w:ascii="Arial" w:hAnsi="Arial" w:cs="Arial"/>
          <w:b/>
          <w:bCs/>
          <w:sz w:val="20"/>
          <w:szCs w:val="20"/>
        </w:rPr>
        <w:t>en especie</w:t>
      </w:r>
      <w:r w:rsidR="00000B6A" w:rsidRPr="00AC4AEA">
        <w:rPr>
          <w:rFonts w:ascii="Arial" w:hAnsi="Arial" w:cs="Arial"/>
          <w:sz w:val="20"/>
          <w:szCs w:val="20"/>
        </w:rPr>
        <w:t xml:space="preserve">, </w:t>
      </w:r>
      <w:r w:rsidRPr="00AC4AEA">
        <w:rPr>
          <w:rFonts w:ascii="Arial" w:hAnsi="Arial" w:cs="Arial"/>
          <w:sz w:val="20"/>
          <w:szCs w:val="20"/>
        </w:rPr>
        <w:t xml:space="preserve">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w:t>
      </w:r>
      <w:r w:rsidR="00000B6A" w:rsidRPr="00AC4AEA">
        <w:rPr>
          <w:rFonts w:ascii="Arial" w:hAnsi="Arial" w:cs="Arial"/>
          <w:sz w:val="20"/>
          <w:szCs w:val="20"/>
        </w:rPr>
        <w:t xml:space="preserve"> y sin ánimo de ser exhaustivos,</w:t>
      </w:r>
      <w:r w:rsidRPr="00AC4AEA">
        <w:rPr>
          <w:rFonts w:ascii="Arial" w:hAnsi="Arial" w:cs="Arial"/>
          <w:sz w:val="20"/>
          <w:szCs w:val="20"/>
        </w:rPr>
        <w:t xml:space="preserve"> las referidas a:</w:t>
      </w:r>
      <w:bookmarkEnd w:id="420"/>
      <w:r w:rsidRPr="00AC4AEA">
        <w:rPr>
          <w:rFonts w:ascii="Arial" w:hAnsi="Arial" w:cs="Arial"/>
          <w:sz w:val="20"/>
          <w:szCs w:val="20"/>
        </w:rPr>
        <w:t xml:space="preserve"> </w:t>
      </w:r>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 y “</w:t>
      </w:r>
      <w:r w:rsidRPr="00AC4AEA">
        <w:rPr>
          <w:rFonts w:ascii="Arial" w:hAnsi="Arial" w:cs="Arial"/>
          <w:sz w:val="20"/>
          <w:szCs w:val="20"/>
          <w:u w:val="single"/>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r w:rsidRPr="00AC4AEA" w:rsidDel="00000B6A">
        <w:rPr>
          <w:rFonts w:ascii="Arial" w:hAnsi="Arial" w:cs="Arial"/>
          <w:sz w:val="20"/>
          <w:szCs w:val="20"/>
        </w:rPr>
        <w:t xml:space="preserve"> </w:t>
      </w:r>
    </w:p>
    <w:p w:rsidR="00AE7883" w:rsidRPr="00AC4AEA" w:rsidRDefault="00AE7883" w:rsidP="00A318EA">
      <w:pPr>
        <w:pStyle w:val="Ttulo1"/>
        <w:rPr>
          <w:rFonts w:cs="Arial"/>
          <w:sz w:val="20"/>
          <w:szCs w:val="20"/>
        </w:rPr>
      </w:pPr>
      <w:bookmarkStart w:id="421" w:name="BIENEScambio"/>
      <w:bookmarkStart w:id="422" w:name="_Toc101863834"/>
      <w:bookmarkEnd w:id="421"/>
    </w:p>
    <w:p w:rsidR="0090400F" w:rsidRPr="00AC4AEA" w:rsidRDefault="007373D4" w:rsidP="00A318EA">
      <w:pPr>
        <w:pStyle w:val="Ttulo1"/>
        <w:rPr>
          <w:rFonts w:cs="Arial"/>
          <w:sz w:val="20"/>
          <w:szCs w:val="20"/>
        </w:rPr>
      </w:pPr>
      <w:bookmarkStart w:id="423" w:name="_Toc139356703"/>
      <w:r w:rsidRPr="00AC4AEA">
        <w:rPr>
          <w:rFonts w:cs="Arial"/>
          <w:sz w:val="20"/>
          <w:szCs w:val="20"/>
        </w:rPr>
        <w:t>BIENES DE CAMBIO Y COSTO DE LOS BIENES VENDIDOS (O DE LOS SERVICIOS PRESTADOS)</w:t>
      </w:r>
      <w:bookmarkEnd w:id="422"/>
      <w:bookmarkEnd w:id="423"/>
    </w:p>
    <w:p w:rsidR="00FC6FAC" w:rsidRPr="00AC4AEA" w:rsidRDefault="00FC6FAC" w:rsidP="00A318EA">
      <w:pPr>
        <w:pStyle w:val="Ttulo2"/>
        <w:rPr>
          <w:rFonts w:cs="Arial"/>
        </w:rPr>
      </w:pPr>
      <w:bookmarkStart w:id="424" w:name="_Toc101863835"/>
      <w:bookmarkStart w:id="425" w:name="_Toc139356704"/>
      <w:r w:rsidRPr="00AC4AEA">
        <w:rPr>
          <w:rFonts w:cs="Arial"/>
        </w:rPr>
        <w:t>Definición</w:t>
      </w:r>
      <w:bookmarkEnd w:id="424"/>
      <w:bookmarkEnd w:id="425"/>
    </w:p>
    <w:p w:rsidR="00352FB6" w:rsidRPr="00AC4AEA" w:rsidRDefault="00352FB6" w:rsidP="00A318EA">
      <w:pPr>
        <w:pStyle w:val="Prrafodelista"/>
        <w:numPr>
          <w:ilvl w:val="0"/>
          <w:numId w:val="29"/>
        </w:numPr>
        <w:contextualSpacing w:val="0"/>
        <w:jc w:val="both"/>
        <w:rPr>
          <w:rFonts w:ascii="Arial" w:hAnsi="Arial" w:cs="Arial"/>
          <w:sz w:val="20"/>
          <w:szCs w:val="20"/>
        </w:rPr>
      </w:pPr>
      <w:bookmarkStart w:id="426" w:name="_Ref74757260"/>
      <w:r w:rsidRPr="00AC4AEA">
        <w:rPr>
          <w:rFonts w:ascii="Arial" w:hAnsi="Arial" w:cs="Arial"/>
          <w:sz w:val="20"/>
          <w:szCs w:val="20"/>
        </w:rPr>
        <w:t xml:space="preserve">A los fines del tratamiento de los </w:t>
      </w:r>
      <w:r w:rsidR="00497590" w:rsidRPr="00AC4AEA">
        <w:rPr>
          <w:rFonts w:ascii="Arial" w:hAnsi="Arial" w:cs="Arial"/>
          <w:sz w:val="20"/>
          <w:szCs w:val="20"/>
        </w:rPr>
        <w:t>activos</w:t>
      </w:r>
      <w:r w:rsidRPr="00AC4AEA">
        <w:rPr>
          <w:rFonts w:ascii="Arial" w:hAnsi="Arial" w:cs="Arial"/>
          <w:sz w:val="20"/>
          <w:szCs w:val="20"/>
        </w:rPr>
        <w:t xml:space="preserve"> referidos en esta sección, una entidad deberá considerar la</w:t>
      </w:r>
      <w:r w:rsidR="00ED77F9" w:rsidRPr="00AC4AEA">
        <w:rPr>
          <w:rFonts w:ascii="Arial" w:hAnsi="Arial" w:cs="Arial"/>
          <w:sz w:val="20"/>
          <w:szCs w:val="20"/>
        </w:rPr>
        <w:t xml:space="preserve"> siguiente</w:t>
      </w:r>
      <w:r w:rsidRPr="00AC4AEA">
        <w:rPr>
          <w:rFonts w:ascii="Arial" w:hAnsi="Arial" w:cs="Arial"/>
          <w:sz w:val="20"/>
          <w:szCs w:val="20"/>
        </w:rPr>
        <w:t xml:space="preserve"> definici</w:t>
      </w:r>
      <w:r w:rsidR="00ED77F9" w:rsidRPr="00AC4AEA">
        <w:rPr>
          <w:rFonts w:ascii="Arial" w:hAnsi="Arial" w:cs="Arial"/>
          <w:sz w:val="20"/>
          <w:szCs w:val="20"/>
        </w:rPr>
        <w:t>ón</w:t>
      </w:r>
      <w:r w:rsidR="00000B6A" w:rsidRPr="00AC4AEA">
        <w:rPr>
          <w:rFonts w:ascii="Arial" w:hAnsi="Arial" w:cs="Arial"/>
          <w:sz w:val="20"/>
          <w:szCs w:val="20"/>
        </w:rPr>
        <w:t>:</w:t>
      </w:r>
      <w:bookmarkEnd w:id="426"/>
    </w:p>
    <w:p w:rsidR="00352FB6" w:rsidRPr="00AC4AEA" w:rsidRDefault="00FC6FAC" w:rsidP="00A318EA">
      <w:pPr>
        <w:ind w:left="1416"/>
        <w:jc w:val="both"/>
        <w:rPr>
          <w:rFonts w:ascii="Arial" w:hAnsi="Arial" w:cs="Arial"/>
          <w:sz w:val="20"/>
          <w:szCs w:val="20"/>
        </w:rPr>
      </w:pPr>
      <w:r w:rsidRPr="00AC4AEA">
        <w:rPr>
          <w:rFonts w:ascii="Arial" w:hAnsi="Arial" w:cs="Arial"/>
          <w:sz w:val="20"/>
          <w:szCs w:val="20"/>
          <w:u w:val="single"/>
        </w:rPr>
        <w:t>Bienes de cambio</w:t>
      </w:r>
      <w:r w:rsidR="00352FB6" w:rsidRPr="00AC4AEA">
        <w:rPr>
          <w:rFonts w:ascii="Arial" w:hAnsi="Arial" w:cs="Arial"/>
          <w:b/>
          <w:bCs/>
          <w:sz w:val="20"/>
          <w:szCs w:val="20"/>
        </w:rPr>
        <w:t xml:space="preserve">: </w:t>
      </w:r>
      <w:r w:rsidRPr="00AC4AEA">
        <w:rPr>
          <w:rFonts w:ascii="Arial" w:hAnsi="Arial" w:cs="Arial"/>
          <w:sz w:val="20"/>
          <w:szCs w:val="20"/>
        </w:rPr>
        <w:t xml:space="preserve">Son los </w:t>
      </w:r>
      <w:r w:rsidR="00497590" w:rsidRPr="00AC4AEA">
        <w:rPr>
          <w:rFonts w:ascii="Arial" w:hAnsi="Arial" w:cs="Arial"/>
          <w:sz w:val="20"/>
          <w:szCs w:val="20"/>
        </w:rPr>
        <w:t>activos</w:t>
      </w:r>
      <w:r w:rsidRPr="00AC4AEA">
        <w:rPr>
          <w:rFonts w:ascii="Arial" w:hAnsi="Arial" w:cs="Arial"/>
          <w:sz w:val="20"/>
          <w:szCs w:val="20"/>
        </w:rPr>
        <w:t xml:space="preserve"> destinados a la venta en el curso habitual de la </w:t>
      </w:r>
      <w:r w:rsidRPr="00AC4AEA">
        <w:rPr>
          <w:rFonts w:ascii="Arial" w:hAnsi="Arial" w:cs="Arial"/>
          <w:b/>
          <w:bCs/>
          <w:sz w:val="20"/>
          <w:szCs w:val="20"/>
        </w:rPr>
        <w:t>actividad</w:t>
      </w:r>
      <w:r w:rsidR="00BD24E7" w:rsidRPr="00AC4AEA">
        <w:rPr>
          <w:rFonts w:ascii="Arial" w:hAnsi="Arial" w:cs="Arial"/>
          <w:b/>
          <w:bCs/>
          <w:sz w:val="20"/>
          <w:szCs w:val="20"/>
        </w:rPr>
        <w:t xml:space="preserve"> ordinaria</w:t>
      </w:r>
      <w:r w:rsidRPr="00AC4AEA">
        <w:rPr>
          <w:rFonts w:ascii="Arial" w:hAnsi="Arial" w:cs="Arial"/>
          <w:sz w:val="20"/>
          <w:szCs w:val="20"/>
        </w:rPr>
        <w:t xml:space="preserve"> d</w:t>
      </w:r>
      <w:r w:rsidR="00C60041" w:rsidRPr="00AC4AEA">
        <w:rPr>
          <w:rFonts w:ascii="Arial" w:hAnsi="Arial" w:cs="Arial"/>
          <w:sz w:val="20"/>
          <w:szCs w:val="20"/>
        </w:rPr>
        <w:t>e la entidad</w:t>
      </w:r>
      <w:r w:rsidR="00352FB6" w:rsidRPr="00AC4AEA">
        <w:rPr>
          <w:rFonts w:ascii="Arial" w:hAnsi="Arial" w:cs="Arial"/>
          <w:sz w:val="20"/>
          <w:szCs w:val="20"/>
        </w:rPr>
        <w:t>,</w:t>
      </w:r>
      <w:r w:rsidRPr="00AC4AEA">
        <w:rPr>
          <w:rFonts w:ascii="Arial" w:hAnsi="Arial" w:cs="Arial"/>
          <w:sz w:val="20"/>
          <w:szCs w:val="20"/>
        </w:rPr>
        <w:t xml:space="preserve"> que se encuentran en proceso de producción</w:t>
      </w:r>
      <w:r w:rsidR="00352FB6" w:rsidRPr="00AC4AEA">
        <w:rPr>
          <w:rFonts w:ascii="Arial" w:hAnsi="Arial" w:cs="Arial"/>
          <w:sz w:val="20"/>
          <w:szCs w:val="20"/>
        </w:rPr>
        <w:t xml:space="preserve"> o construcción</w:t>
      </w:r>
      <w:r w:rsidRPr="00AC4AEA">
        <w:rPr>
          <w:rFonts w:ascii="Arial" w:hAnsi="Arial" w:cs="Arial"/>
          <w:sz w:val="20"/>
          <w:szCs w:val="20"/>
        </w:rPr>
        <w:t xml:space="preserve"> para dicha venta o que resultan generalmente consumidos en la producción </w:t>
      </w:r>
      <w:r w:rsidR="00884BDA" w:rsidRPr="00AC4AEA">
        <w:rPr>
          <w:rFonts w:ascii="Arial" w:hAnsi="Arial" w:cs="Arial"/>
          <w:sz w:val="20"/>
          <w:szCs w:val="20"/>
        </w:rPr>
        <w:t xml:space="preserve">o construcción </w:t>
      </w:r>
      <w:r w:rsidRPr="00AC4AEA">
        <w:rPr>
          <w:rFonts w:ascii="Arial" w:hAnsi="Arial" w:cs="Arial"/>
          <w:sz w:val="20"/>
          <w:szCs w:val="20"/>
        </w:rPr>
        <w:t>de los bienes o servicios que se destinan a la venta</w:t>
      </w:r>
      <w:r w:rsidR="00352FB6" w:rsidRPr="00AC4AEA">
        <w:rPr>
          <w:rFonts w:ascii="Arial" w:hAnsi="Arial" w:cs="Arial"/>
          <w:sz w:val="20"/>
          <w:szCs w:val="20"/>
        </w:rPr>
        <w:t>.</w:t>
      </w:r>
      <w:r w:rsidRPr="00AC4AEA">
        <w:rPr>
          <w:rFonts w:ascii="Arial" w:hAnsi="Arial" w:cs="Arial"/>
          <w:sz w:val="20"/>
          <w:szCs w:val="20"/>
        </w:rPr>
        <w:t xml:space="preserve"> </w:t>
      </w:r>
    </w:p>
    <w:p w:rsidR="005C04BE" w:rsidRPr="00AC4AEA" w:rsidRDefault="005C04BE" w:rsidP="00A318EA">
      <w:pPr>
        <w:ind w:left="1416"/>
        <w:jc w:val="both"/>
        <w:rPr>
          <w:rFonts w:ascii="Arial" w:hAnsi="Arial" w:cs="Arial"/>
          <w:sz w:val="20"/>
          <w:szCs w:val="20"/>
        </w:rPr>
      </w:pPr>
      <w:r w:rsidRPr="00AC4AEA">
        <w:rPr>
          <w:rFonts w:ascii="Arial" w:hAnsi="Arial" w:cs="Arial"/>
          <w:sz w:val="20"/>
          <w:szCs w:val="20"/>
        </w:rPr>
        <w:t>Este rubro</w:t>
      </w:r>
      <w:r w:rsidR="007D7512" w:rsidRPr="00AC4AEA">
        <w:rPr>
          <w:rFonts w:ascii="Arial" w:hAnsi="Arial" w:cs="Arial"/>
          <w:sz w:val="20"/>
          <w:szCs w:val="20"/>
        </w:rPr>
        <w:t>:</w:t>
      </w:r>
    </w:p>
    <w:p w:rsidR="005C04BE" w:rsidRPr="00AC4AEA" w:rsidRDefault="007D7512" w:rsidP="00A318EA">
      <w:pPr>
        <w:pStyle w:val="Prrafodelista"/>
        <w:numPr>
          <w:ilvl w:val="1"/>
          <w:numId w:val="29"/>
        </w:numPr>
        <w:ind w:left="1985"/>
        <w:contextualSpacing w:val="0"/>
        <w:jc w:val="both"/>
        <w:rPr>
          <w:rFonts w:ascii="Arial" w:hAnsi="Arial" w:cs="Arial"/>
          <w:sz w:val="20"/>
          <w:szCs w:val="20"/>
        </w:rPr>
      </w:pPr>
      <w:r w:rsidRPr="00AC4AEA">
        <w:rPr>
          <w:rFonts w:ascii="Arial" w:hAnsi="Arial" w:cs="Arial"/>
          <w:sz w:val="20"/>
          <w:szCs w:val="20"/>
        </w:rPr>
        <w:t xml:space="preserve">incluye </w:t>
      </w:r>
      <w:r w:rsidR="00646EDD" w:rsidRPr="00AC4AEA">
        <w:rPr>
          <w:rFonts w:ascii="Arial" w:hAnsi="Arial" w:cs="Arial"/>
          <w:sz w:val="20"/>
          <w:szCs w:val="20"/>
        </w:rPr>
        <w:t>l</w:t>
      </w:r>
      <w:r w:rsidR="004C4909" w:rsidRPr="00AC4AEA">
        <w:rPr>
          <w:rFonts w:ascii="Arial" w:hAnsi="Arial" w:cs="Arial"/>
          <w:sz w:val="20"/>
          <w:szCs w:val="20"/>
        </w:rPr>
        <w:t>os</w:t>
      </w:r>
      <w:r w:rsidR="00646EDD" w:rsidRPr="00AC4AEA">
        <w:rPr>
          <w:rFonts w:ascii="Arial" w:hAnsi="Arial" w:cs="Arial"/>
          <w:sz w:val="20"/>
          <w:szCs w:val="20"/>
        </w:rPr>
        <w:t xml:space="preserve"> bienes de cambio</w:t>
      </w:r>
      <w:r w:rsidR="00634C55" w:rsidRPr="00AC4AEA">
        <w:rPr>
          <w:rFonts w:ascii="Arial" w:hAnsi="Arial" w:cs="Arial"/>
          <w:sz w:val="20"/>
          <w:szCs w:val="20"/>
        </w:rPr>
        <w:t>,</w:t>
      </w:r>
      <w:r w:rsidR="00646EDD" w:rsidRPr="00AC4AEA">
        <w:rPr>
          <w:rFonts w:ascii="Arial" w:hAnsi="Arial" w:cs="Arial"/>
          <w:sz w:val="20"/>
          <w:szCs w:val="20"/>
        </w:rPr>
        <w:t xml:space="preserve"> de naturaleza</w:t>
      </w:r>
      <w:r w:rsidR="004C4909" w:rsidRPr="00AC4AEA">
        <w:rPr>
          <w:rFonts w:ascii="Arial" w:hAnsi="Arial" w:cs="Arial"/>
          <w:sz w:val="20"/>
          <w:szCs w:val="20"/>
        </w:rPr>
        <w:t xml:space="preserve"> </w:t>
      </w:r>
      <w:r w:rsidR="00634C55" w:rsidRPr="00AC4AEA">
        <w:rPr>
          <w:rFonts w:ascii="Arial" w:hAnsi="Arial" w:cs="Arial"/>
          <w:sz w:val="20"/>
          <w:szCs w:val="20"/>
        </w:rPr>
        <w:t xml:space="preserve">tangible </w:t>
      </w:r>
      <w:r w:rsidR="00824A97" w:rsidRPr="00AC4AEA">
        <w:rPr>
          <w:rFonts w:ascii="Arial" w:hAnsi="Arial" w:cs="Arial"/>
          <w:sz w:val="20"/>
          <w:szCs w:val="20"/>
        </w:rPr>
        <w:t>o</w:t>
      </w:r>
      <w:r w:rsidR="00634C55" w:rsidRPr="00AC4AEA">
        <w:rPr>
          <w:rFonts w:ascii="Arial" w:hAnsi="Arial" w:cs="Arial"/>
          <w:sz w:val="20"/>
          <w:szCs w:val="20"/>
        </w:rPr>
        <w:t xml:space="preserve"> </w:t>
      </w:r>
      <w:r w:rsidR="005C04BE" w:rsidRPr="00AC4AEA">
        <w:rPr>
          <w:rFonts w:ascii="Arial" w:hAnsi="Arial" w:cs="Arial"/>
          <w:sz w:val="20"/>
          <w:szCs w:val="20"/>
        </w:rPr>
        <w:t>intangible</w:t>
      </w:r>
      <w:r w:rsidR="00634C55" w:rsidRPr="00AC4AEA">
        <w:rPr>
          <w:rFonts w:ascii="Arial" w:hAnsi="Arial" w:cs="Arial"/>
          <w:sz w:val="20"/>
          <w:szCs w:val="20"/>
        </w:rPr>
        <w:t>,</w:t>
      </w:r>
      <w:r w:rsidR="005C04BE" w:rsidRPr="00AC4AEA">
        <w:rPr>
          <w:rFonts w:ascii="Arial" w:hAnsi="Arial" w:cs="Arial"/>
          <w:sz w:val="20"/>
          <w:szCs w:val="20"/>
        </w:rPr>
        <w:t xml:space="preserve"> destinad</w:t>
      </w:r>
      <w:r w:rsidR="00D711FA" w:rsidRPr="00AC4AEA">
        <w:rPr>
          <w:rFonts w:ascii="Arial" w:hAnsi="Arial" w:cs="Arial"/>
          <w:sz w:val="20"/>
          <w:szCs w:val="20"/>
        </w:rPr>
        <w:t>os</w:t>
      </w:r>
      <w:r w:rsidR="005C04BE" w:rsidRPr="00AC4AEA">
        <w:rPr>
          <w:rFonts w:ascii="Arial" w:hAnsi="Arial" w:cs="Arial"/>
          <w:sz w:val="20"/>
          <w:szCs w:val="20"/>
        </w:rPr>
        <w:t xml:space="preserve"> a la venta en el curso habitual de la </w:t>
      </w:r>
      <w:r w:rsidR="00BD24E7" w:rsidRPr="00AC4AEA">
        <w:rPr>
          <w:rFonts w:ascii="Arial" w:hAnsi="Arial" w:cs="Arial"/>
          <w:b/>
          <w:bCs/>
          <w:sz w:val="20"/>
          <w:szCs w:val="20"/>
        </w:rPr>
        <w:t>actividad ordinaria</w:t>
      </w:r>
      <w:r w:rsidR="00BD24E7" w:rsidRPr="00AC4AEA">
        <w:rPr>
          <w:rFonts w:ascii="Arial" w:hAnsi="Arial" w:cs="Arial"/>
          <w:sz w:val="20"/>
          <w:szCs w:val="20"/>
        </w:rPr>
        <w:t>;</w:t>
      </w:r>
    </w:p>
    <w:p w:rsidR="005C04BE" w:rsidRPr="00AC4AEA" w:rsidRDefault="005C04BE" w:rsidP="00A318EA">
      <w:pPr>
        <w:pStyle w:val="Prrafodelista"/>
        <w:numPr>
          <w:ilvl w:val="1"/>
          <w:numId w:val="29"/>
        </w:numPr>
        <w:ind w:left="1985"/>
        <w:contextualSpacing w:val="0"/>
        <w:jc w:val="both"/>
        <w:rPr>
          <w:rFonts w:ascii="Arial" w:hAnsi="Arial" w:cs="Arial"/>
          <w:sz w:val="20"/>
          <w:szCs w:val="20"/>
        </w:rPr>
      </w:pPr>
      <w:r w:rsidRPr="00AC4AEA">
        <w:rPr>
          <w:rFonts w:ascii="Arial" w:hAnsi="Arial" w:cs="Arial"/>
          <w:sz w:val="20"/>
          <w:szCs w:val="20"/>
        </w:rPr>
        <w:t>excluye</w:t>
      </w:r>
      <w:r w:rsidR="004C4909" w:rsidRPr="00AC4AEA">
        <w:rPr>
          <w:rFonts w:ascii="Arial" w:hAnsi="Arial" w:cs="Arial"/>
          <w:sz w:val="20"/>
          <w:szCs w:val="20"/>
        </w:rPr>
        <w:t xml:space="preserve"> a</w:t>
      </w:r>
      <w:r w:rsidRPr="00AC4AEA">
        <w:rPr>
          <w:rFonts w:ascii="Arial" w:hAnsi="Arial" w:cs="Arial"/>
          <w:sz w:val="20"/>
          <w:szCs w:val="20"/>
        </w:rPr>
        <w:t xml:space="preserve">: </w:t>
      </w:r>
    </w:p>
    <w:p w:rsidR="005C04BE" w:rsidRPr="00AC4AEA" w:rsidRDefault="005C04BE" w:rsidP="00A318EA">
      <w:pPr>
        <w:pStyle w:val="Prrafodelista"/>
        <w:numPr>
          <w:ilvl w:val="0"/>
          <w:numId w:val="316"/>
        </w:numPr>
        <w:ind w:left="2268"/>
        <w:contextualSpacing w:val="0"/>
        <w:jc w:val="both"/>
        <w:rPr>
          <w:rFonts w:ascii="Arial" w:hAnsi="Arial" w:cs="Arial"/>
          <w:sz w:val="20"/>
          <w:szCs w:val="20"/>
        </w:rPr>
      </w:pPr>
      <w:r w:rsidRPr="00AC4AEA">
        <w:rPr>
          <w:rFonts w:ascii="Arial" w:hAnsi="Arial" w:cs="Arial"/>
          <w:sz w:val="20"/>
          <w:szCs w:val="20"/>
        </w:rPr>
        <w:t>las inversiones financieras; y</w:t>
      </w:r>
    </w:p>
    <w:p w:rsidR="005C04BE" w:rsidRPr="00AC4AEA" w:rsidRDefault="005C04BE" w:rsidP="00A318EA">
      <w:pPr>
        <w:pStyle w:val="Prrafodelista"/>
        <w:numPr>
          <w:ilvl w:val="0"/>
          <w:numId w:val="316"/>
        </w:numPr>
        <w:ind w:left="2268"/>
        <w:contextualSpacing w:val="0"/>
        <w:jc w:val="both"/>
        <w:rPr>
          <w:rFonts w:ascii="Arial" w:hAnsi="Arial" w:cs="Arial"/>
          <w:sz w:val="20"/>
          <w:szCs w:val="20"/>
        </w:rPr>
      </w:pPr>
      <w:r w:rsidRPr="00AC4AEA">
        <w:rPr>
          <w:rFonts w:ascii="Arial" w:hAnsi="Arial" w:cs="Arial"/>
          <w:sz w:val="20"/>
          <w:szCs w:val="20"/>
        </w:rPr>
        <w:t xml:space="preserve">los </w:t>
      </w:r>
      <w:r w:rsidR="00497590" w:rsidRPr="00AC4AEA">
        <w:rPr>
          <w:rFonts w:ascii="Arial" w:hAnsi="Arial" w:cs="Arial"/>
          <w:b/>
          <w:bCs/>
          <w:sz w:val="20"/>
          <w:szCs w:val="20"/>
        </w:rPr>
        <w:t>activos</w:t>
      </w:r>
      <w:r w:rsidRPr="00AC4AEA">
        <w:rPr>
          <w:rFonts w:ascii="Arial" w:hAnsi="Arial" w:cs="Arial"/>
          <w:b/>
          <w:bCs/>
          <w:sz w:val="20"/>
          <w:szCs w:val="20"/>
        </w:rPr>
        <w:t xml:space="preserve"> biológicos</w:t>
      </w:r>
      <w:r w:rsidR="00740DD4" w:rsidRPr="00AC4AEA">
        <w:rPr>
          <w:rFonts w:ascii="Arial" w:hAnsi="Arial" w:cs="Arial"/>
          <w:sz w:val="20"/>
          <w:szCs w:val="20"/>
        </w:rPr>
        <w:t xml:space="preserve"> destinados para la venta.</w:t>
      </w:r>
    </w:p>
    <w:p w:rsidR="007139C3" w:rsidRPr="00AC4AEA" w:rsidRDefault="007139C3" w:rsidP="00A318EA">
      <w:pPr>
        <w:jc w:val="both"/>
        <w:rPr>
          <w:rFonts w:ascii="Arial" w:hAnsi="Arial" w:cs="Arial"/>
          <w:sz w:val="20"/>
          <w:szCs w:val="20"/>
        </w:rPr>
      </w:pPr>
    </w:p>
    <w:p w:rsidR="007139C3" w:rsidRPr="00AC4AEA" w:rsidRDefault="007139C3" w:rsidP="00A318EA">
      <w:pPr>
        <w:pStyle w:val="Ttulo2"/>
        <w:rPr>
          <w:rFonts w:cs="Arial"/>
        </w:rPr>
      </w:pPr>
      <w:bookmarkStart w:id="427" w:name="_Toc101863836"/>
      <w:bookmarkStart w:id="428" w:name="_Toc139356705"/>
      <w:r w:rsidRPr="00AC4AEA">
        <w:rPr>
          <w:rFonts w:cs="Arial"/>
        </w:rPr>
        <w:lastRenderedPageBreak/>
        <w:t>Reconocimiento</w:t>
      </w:r>
      <w:bookmarkEnd w:id="427"/>
      <w:bookmarkEnd w:id="428"/>
    </w:p>
    <w:p w:rsidR="007139C3" w:rsidRPr="00AC4AEA" w:rsidRDefault="007139C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un elemento como bien de cambio cuando: </w:t>
      </w:r>
    </w:p>
    <w:p w:rsidR="003E4070" w:rsidRPr="00AC4AEA" w:rsidRDefault="003E4070" w:rsidP="00A318EA">
      <w:pPr>
        <w:pStyle w:val="Prrafodelista"/>
        <w:numPr>
          <w:ilvl w:val="0"/>
          <w:numId w:val="70"/>
        </w:numPr>
        <w:ind w:left="1560"/>
        <w:contextualSpacing w:val="0"/>
        <w:jc w:val="both"/>
        <w:rPr>
          <w:rFonts w:ascii="Arial" w:hAnsi="Arial" w:cs="Arial"/>
          <w:sz w:val="20"/>
          <w:szCs w:val="20"/>
        </w:rPr>
      </w:pPr>
      <w:r w:rsidRPr="00AC4AEA">
        <w:rPr>
          <w:rFonts w:ascii="Arial" w:hAnsi="Arial" w:cs="Arial"/>
          <w:sz w:val="20"/>
          <w:szCs w:val="20"/>
        </w:rPr>
        <w:t xml:space="preserve">cumpla </w:t>
      </w:r>
      <w:r w:rsidR="00860771" w:rsidRPr="00AC4AEA">
        <w:rPr>
          <w:rFonts w:ascii="Arial" w:hAnsi="Arial" w:cs="Arial"/>
          <w:sz w:val="20"/>
          <w:szCs w:val="20"/>
        </w:rPr>
        <w:t>con la definición general del párrafo</w:t>
      </w:r>
      <w:r w:rsidRPr="00AC4AEA">
        <w:rPr>
          <w:rFonts w:ascii="Arial" w:hAnsi="Arial" w:cs="Arial"/>
          <w:sz w:val="20"/>
          <w:szCs w:val="20"/>
        </w:rPr>
        <w:t xml:space="preserve"> </w:t>
      </w:r>
      <w:fldSimple w:instr=" REF _Ref74755232 \r \h  \* MERGEFORMAT ">
        <w:r w:rsidR="00D33A5D" w:rsidRPr="00D33A5D">
          <w:rPr>
            <w:rFonts w:ascii="Arial" w:hAnsi="Arial" w:cs="Arial"/>
            <w:sz w:val="20"/>
            <w:szCs w:val="20"/>
          </w:rPr>
          <w:t>22</w:t>
        </w:r>
      </w:fldSimple>
      <w:r w:rsidRPr="00AC4AEA">
        <w:rPr>
          <w:rFonts w:ascii="Arial" w:hAnsi="Arial" w:cs="Arial"/>
          <w:sz w:val="20"/>
          <w:szCs w:val="20"/>
        </w:rPr>
        <w:t xml:space="preserve"> y</w:t>
      </w:r>
      <w:r w:rsidR="00860771" w:rsidRPr="00AC4AEA">
        <w:rPr>
          <w:rFonts w:ascii="Arial" w:hAnsi="Arial" w:cs="Arial"/>
          <w:sz w:val="20"/>
          <w:szCs w:val="20"/>
        </w:rPr>
        <w:t xml:space="preserve"> la definición específica contenida en el párrafo</w:t>
      </w:r>
      <w:r w:rsidRPr="00AC4AEA">
        <w:rPr>
          <w:rFonts w:ascii="Arial" w:hAnsi="Arial" w:cs="Arial"/>
          <w:sz w:val="20"/>
          <w:szCs w:val="20"/>
        </w:rPr>
        <w:t xml:space="preserve"> </w:t>
      </w:r>
      <w:fldSimple w:instr=" REF _Ref74757260 \r \h  \* MERGEFORMAT ">
        <w:r w:rsidR="00D33A5D" w:rsidRPr="00D33A5D">
          <w:rPr>
            <w:rFonts w:ascii="Arial" w:hAnsi="Arial" w:cs="Arial"/>
            <w:sz w:val="20"/>
            <w:szCs w:val="20"/>
          </w:rPr>
          <w:t>287</w:t>
        </w:r>
      </w:fldSimple>
      <w:r w:rsidRPr="00AC4AEA">
        <w:rPr>
          <w:rFonts w:ascii="Arial" w:hAnsi="Arial" w:cs="Arial"/>
          <w:sz w:val="20"/>
          <w:szCs w:val="20"/>
        </w:rPr>
        <w:t>;</w:t>
      </w:r>
    </w:p>
    <w:p w:rsidR="00D14901" w:rsidRPr="00AC4AEA" w:rsidRDefault="00D14901" w:rsidP="00A318EA">
      <w:pPr>
        <w:pStyle w:val="Prrafodelista"/>
        <w:numPr>
          <w:ilvl w:val="0"/>
          <w:numId w:val="70"/>
        </w:numPr>
        <w:ind w:left="1560"/>
        <w:contextualSpacing w:val="0"/>
        <w:jc w:val="both"/>
        <w:rPr>
          <w:rFonts w:ascii="Arial" w:hAnsi="Arial" w:cs="Arial"/>
          <w:sz w:val="20"/>
          <w:szCs w:val="20"/>
        </w:rPr>
      </w:pPr>
      <w:r w:rsidRPr="00AC4AEA">
        <w:rPr>
          <w:rFonts w:ascii="Arial" w:hAnsi="Arial" w:cs="Arial"/>
          <w:sz w:val="20"/>
          <w:szCs w:val="20"/>
        </w:rPr>
        <w:t xml:space="preserve">su medición satisfaga el requisito de </w:t>
      </w:r>
      <w:r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00860771" w:rsidRPr="00AC4AEA">
        <w:rPr>
          <w:rFonts w:ascii="Arial" w:hAnsi="Arial" w:cs="Arial"/>
          <w:b/>
          <w:bCs/>
          <w:sz w:val="20"/>
          <w:szCs w:val="20"/>
        </w:rPr>
        <w:t>;</w:t>
      </w:r>
      <w:r w:rsidRPr="00AC4AEA">
        <w:rPr>
          <w:rFonts w:ascii="Arial" w:hAnsi="Arial" w:cs="Arial"/>
          <w:sz w:val="20"/>
          <w:szCs w:val="20"/>
        </w:rPr>
        <w:t xml:space="preserve"> y</w:t>
      </w:r>
    </w:p>
    <w:p w:rsidR="007139C3" w:rsidRPr="00AC4AEA" w:rsidRDefault="00D14901" w:rsidP="00A318EA">
      <w:pPr>
        <w:pStyle w:val="Prrafodelista"/>
        <w:numPr>
          <w:ilvl w:val="0"/>
          <w:numId w:val="70"/>
        </w:numPr>
        <w:ind w:left="1560"/>
        <w:contextualSpacing w:val="0"/>
        <w:jc w:val="both"/>
        <w:rPr>
          <w:rFonts w:ascii="Arial" w:hAnsi="Arial" w:cs="Arial"/>
          <w:sz w:val="20"/>
          <w:szCs w:val="20"/>
        </w:rPr>
      </w:pPr>
      <w:r w:rsidRPr="00AC4AEA">
        <w:rPr>
          <w:rFonts w:ascii="Arial" w:hAnsi="Arial" w:cs="Arial"/>
          <w:sz w:val="20"/>
          <w:szCs w:val="20"/>
        </w:rPr>
        <w:t xml:space="preserve">su contribución a los beneficios económicos futuros de la entidad </w:t>
      </w:r>
      <w:r w:rsidR="00F460EA" w:rsidRPr="00AC4AEA">
        <w:rPr>
          <w:rFonts w:ascii="Arial" w:hAnsi="Arial" w:cs="Arial"/>
          <w:sz w:val="20"/>
          <w:szCs w:val="20"/>
        </w:rPr>
        <w:t xml:space="preserve">resulte </w:t>
      </w:r>
      <w:r w:rsidR="00B645D7" w:rsidRPr="00AC4AEA">
        <w:rPr>
          <w:rFonts w:ascii="Arial" w:hAnsi="Arial" w:cs="Arial"/>
          <w:b/>
          <w:bCs/>
          <w:sz w:val="20"/>
          <w:szCs w:val="20"/>
        </w:rPr>
        <w:t>probable</w:t>
      </w:r>
      <w:r w:rsidRPr="00AC4AEA">
        <w:rPr>
          <w:rFonts w:ascii="Arial" w:hAnsi="Arial" w:cs="Arial"/>
          <w:sz w:val="20"/>
          <w:szCs w:val="20"/>
        </w:rPr>
        <w:t>.</w:t>
      </w:r>
      <w:r w:rsidR="007139C3" w:rsidRPr="00AC4AEA">
        <w:rPr>
          <w:rFonts w:ascii="Arial" w:hAnsi="Arial" w:cs="Arial"/>
          <w:sz w:val="20"/>
          <w:szCs w:val="20"/>
        </w:rPr>
        <w:t xml:space="preserve"> </w:t>
      </w:r>
    </w:p>
    <w:p w:rsidR="00F216F2" w:rsidRPr="00AC4AEA" w:rsidRDefault="00F216F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como </w:t>
      </w:r>
      <w:r w:rsidRPr="00AC4AEA">
        <w:rPr>
          <w:rFonts w:ascii="Arial" w:hAnsi="Arial" w:cs="Arial"/>
          <w:b/>
          <w:bCs/>
          <w:sz w:val="20"/>
          <w:szCs w:val="20"/>
        </w:rPr>
        <w:t>gasto</w:t>
      </w:r>
      <w:r w:rsidR="00A576D5" w:rsidRPr="00AC4AEA">
        <w:rPr>
          <w:rFonts w:ascii="Arial" w:hAnsi="Arial" w:cs="Arial"/>
          <w:sz w:val="20"/>
          <w:szCs w:val="20"/>
        </w:rPr>
        <w:t xml:space="preserve"> e</w:t>
      </w:r>
      <w:r w:rsidRPr="00AC4AEA">
        <w:rPr>
          <w:rFonts w:ascii="Arial" w:hAnsi="Arial" w:cs="Arial"/>
          <w:sz w:val="20"/>
          <w:szCs w:val="20"/>
        </w:rPr>
        <w:t>l costo de los bienes vendidos</w:t>
      </w:r>
      <w:r w:rsidR="00254874" w:rsidRPr="00AC4AEA">
        <w:rPr>
          <w:rFonts w:ascii="Arial" w:hAnsi="Arial" w:cs="Arial"/>
          <w:sz w:val="20"/>
          <w:szCs w:val="20"/>
        </w:rPr>
        <w:t xml:space="preserve"> o servicios prestados</w:t>
      </w:r>
      <w:r w:rsidRPr="00AC4AEA">
        <w:rPr>
          <w:rFonts w:ascii="Arial" w:hAnsi="Arial" w:cs="Arial"/>
          <w:sz w:val="20"/>
          <w:szCs w:val="20"/>
        </w:rPr>
        <w:t xml:space="preserve">, en el ejercicio </w:t>
      </w:r>
      <w:r w:rsidR="0036430A" w:rsidRPr="00AC4AEA">
        <w:rPr>
          <w:rFonts w:ascii="Arial" w:hAnsi="Arial" w:cs="Arial"/>
          <w:sz w:val="20"/>
          <w:szCs w:val="20"/>
        </w:rPr>
        <w:t>correspondiente a la</w:t>
      </w:r>
      <w:r w:rsidR="00A576D5" w:rsidRPr="00AC4AEA">
        <w:rPr>
          <w:rFonts w:ascii="Arial" w:hAnsi="Arial" w:cs="Arial"/>
          <w:sz w:val="20"/>
          <w:szCs w:val="20"/>
        </w:rPr>
        <w:t xml:space="preserve"> venta </w:t>
      </w:r>
      <w:r w:rsidR="00966B87" w:rsidRPr="00AC4AEA">
        <w:rPr>
          <w:rFonts w:ascii="Arial" w:hAnsi="Arial" w:cs="Arial"/>
          <w:sz w:val="20"/>
          <w:szCs w:val="20"/>
        </w:rPr>
        <w:t>o prestación</w:t>
      </w:r>
      <w:r w:rsidR="00502E94" w:rsidRPr="00AC4AEA">
        <w:rPr>
          <w:rFonts w:ascii="Arial" w:hAnsi="Arial" w:cs="Arial"/>
          <w:sz w:val="20"/>
          <w:szCs w:val="20"/>
        </w:rPr>
        <w:t>.</w:t>
      </w:r>
    </w:p>
    <w:p w:rsidR="007139C3" w:rsidRPr="00AC4AEA" w:rsidRDefault="007139C3" w:rsidP="00A318EA">
      <w:pPr>
        <w:pStyle w:val="A-Normal11"/>
        <w:jc w:val="both"/>
        <w:rPr>
          <w:rFonts w:ascii="Arial" w:hAnsi="Arial" w:cs="Arial"/>
          <w:sz w:val="20"/>
        </w:rPr>
      </w:pPr>
    </w:p>
    <w:p w:rsidR="00263E93" w:rsidRPr="00AC4AEA" w:rsidRDefault="00263E93" w:rsidP="00A318EA">
      <w:pPr>
        <w:pStyle w:val="Ttulo2"/>
        <w:rPr>
          <w:rFonts w:cs="Arial"/>
        </w:rPr>
      </w:pPr>
      <w:bookmarkStart w:id="429" w:name="_Toc101863837"/>
      <w:bookmarkStart w:id="430" w:name="_Toc139356706"/>
      <w:r w:rsidRPr="00AC4AEA">
        <w:rPr>
          <w:rFonts w:cs="Arial"/>
        </w:rPr>
        <w:t>Medición inicial</w:t>
      </w:r>
      <w:bookmarkEnd w:id="429"/>
      <w:bookmarkEnd w:id="430"/>
    </w:p>
    <w:p w:rsidR="008F0313" w:rsidRPr="00AC4AEA" w:rsidRDefault="00263E93" w:rsidP="00A318EA">
      <w:pPr>
        <w:pStyle w:val="Prrafodelista"/>
        <w:numPr>
          <w:ilvl w:val="0"/>
          <w:numId w:val="29"/>
        </w:numPr>
        <w:contextualSpacing w:val="0"/>
        <w:jc w:val="both"/>
        <w:rPr>
          <w:rFonts w:ascii="Arial" w:hAnsi="Arial" w:cs="Arial"/>
          <w:sz w:val="20"/>
          <w:szCs w:val="20"/>
        </w:rPr>
      </w:pPr>
      <w:bookmarkStart w:id="431" w:name="_Ref134176582"/>
      <w:r w:rsidRPr="00AC4AEA">
        <w:rPr>
          <w:rFonts w:ascii="Arial" w:hAnsi="Arial" w:cs="Arial"/>
          <w:sz w:val="20"/>
          <w:szCs w:val="20"/>
        </w:rPr>
        <w:t>Una entidad medirá sus bienes de cambio</w:t>
      </w:r>
      <w:r w:rsidR="008F0313" w:rsidRPr="00AC4AEA">
        <w:rPr>
          <w:rFonts w:ascii="Arial" w:hAnsi="Arial" w:cs="Arial"/>
          <w:sz w:val="20"/>
          <w:szCs w:val="20"/>
        </w:rPr>
        <w:t xml:space="preserve"> mediante alguno de los siguientes criterios:</w:t>
      </w:r>
      <w:bookmarkEnd w:id="431"/>
    </w:p>
    <w:p w:rsidR="006368CB" w:rsidRPr="00AC4AEA" w:rsidRDefault="006368CB" w:rsidP="00A318EA">
      <w:pPr>
        <w:pStyle w:val="Prrafodelista"/>
        <w:numPr>
          <w:ilvl w:val="0"/>
          <w:numId w:val="71"/>
        </w:numPr>
        <w:ind w:left="1560"/>
        <w:contextualSpacing w:val="0"/>
        <w:jc w:val="both"/>
        <w:rPr>
          <w:rFonts w:ascii="Arial" w:hAnsi="Arial" w:cs="Arial"/>
          <w:sz w:val="20"/>
          <w:szCs w:val="20"/>
        </w:rPr>
      </w:pPr>
      <w:r w:rsidRPr="00AC4AEA">
        <w:rPr>
          <w:rFonts w:ascii="Arial" w:hAnsi="Arial" w:cs="Arial"/>
          <w:sz w:val="20"/>
          <w:szCs w:val="20"/>
        </w:rPr>
        <w:t>Bienes</w:t>
      </w:r>
      <w:r w:rsidR="009F2202" w:rsidRPr="00AC4AEA">
        <w:rPr>
          <w:rFonts w:ascii="Arial" w:hAnsi="Arial" w:cs="Arial"/>
          <w:sz w:val="20"/>
          <w:szCs w:val="20"/>
        </w:rPr>
        <w:t xml:space="preserve"> de cambio</w:t>
      </w:r>
      <w:r w:rsidRPr="00AC4AEA">
        <w:rPr>
          <w:rFonts w:ascii="Arial" w:hAnsi="Arial" w:cs="Arial"/>
          <w:sz w:val="20"/>
          <w:szCs w:val="20"/>
        </w:rPr>
        <w:t xml:space="preserve"> adquiridos: sobre la base de su </w:t>
      </w:r>
      <w:r w:rsidRPr="00AC4AEA">
        <w:rPr>
          <w:rFonts w:ascii="Arial" w:hAnsi="Arial" w:cs="Arial"/>
          <w:b/>
          <w:bCs/>
          <w:sz w:val="20"/>
          <w:szCs w:val="20"/>
        </w:rPr>
        <w:t>costo de adquisición</w:t>
      </w:r>
      <w:r w:rsidRPr="00AC4AEA">
        <w:rPr>
          <w:rFonts w:ascii="Arial" w:hAnsi="Arial" w:cs="Arial"/>
          <w:sz w:val="20"/>
          <w:szCs w:val="20"/>
        </w:rPr>
        <w:t>, determinado según lo establecido en</w:t>
      </w:r>
      <w:r w:rsidR="00000B6A" w:rsidRPr="00AC4AEA">
        <w:rPr>
          <w:rFonts w:ascii="Arial" w:hAnsi="Arial" w:cs="Arial"/>
          <w:sz w:val="20"/>
          <w:szCs w:val="20"/>
        </w:rPr>
        <w:t xml:space="preserve"> el apartado </w:t>
      </w:r>
      <w:r w:rsidRPr="00AC4AEA">
        <w:rPr>
          <w:rFonts w:ascii="Arial" w:hAnsi="Arial" w:cs="Arial"/>
          <w:sz w:val="20"/>
          <w:szCs w:val="20"/>
        </w:rPr>
        <w:t>“</w:t>
      </w:r>
      <w:r w:rsidRPr="00AC4AEA">
        <w:rPr>
          <w:rFonts w:ascii="Arial" w:hAnsi="Arial" w:cs="Arial"/>
          <w:sz w:val="20"/>
          <w:szCs w:val="20"/>
          <w:u w:val="single"/>
        </w:rPr>
        <w:t>Medición de costos de adquisición</w:t>
      </w:r>
      <w:r w:rsidRPr="00AC4AEA">
        <w:rPr>
          <w:rFonts w:ascii="Arial" w:hAnsi="Arial" w:cs="Arial"/>
          <w:sz w:val="20"/>
          <w:szCs w:val="20"/>
        </w:rPr>
        <w:t>”</w:t>
      </w:r>
      <w:r w:rsidR="00000B6A" w:rsidRPr="00AC4AEA">
        <w:rPr>
          <w:rFonts w:ascii="Arial" w:hAnsi="Arial" w:cs="Arial"/>
          <w:sz w:val="20"/>
          <w:szCs w:val="20"/>
        </w:rPr>
        <w:t xml:space="preserve"> [ver </w:t>
      </w:r>
      <w:r w:rsidR="006C0F33">
        <w:rPr>
          <w:rFonts w:ascii="Arial" w:hAnsi="Arial" w:cs="Arial"/>
          <w:sz w:val="20"/>
          <w:szCs w:val="20"/>
        </w:rPr>
        <w:t xml:space="preserve">el párrafo </w:t>
      </w:r>
      <w:fldSimple w:instr=" REF _Ref99478351 \r \h  \* MERGEFORMAT ">
        <w:r w:rsidR="00D33A5D" w:rsidRPr="00D33A5D">
          <w:rPr>
            <w:rFonts w:ascii="Arial" w:hAnsi="Arial" w:cs="Arial"/>
            <w:sz w:val="20"/>
            <w:szCs w:val="20"/>
          </w:rPr>
          <w:t>103</w:t>
        </w:r>
      </w:fldSimple>
      <w:r w:rsidR="00000B6A" w:rsidRPr="00AC4AEA">
        <w:rPr>
          <w:rFonts w:ascii="Arial" w:hAnsi="Arial" w:cs="Arial"/>
          <w:sz w:val="20"/>
          <w:szCs w:val="20"/>
        </w:rPr>
        <w:t>].</w:t>
      </w:r>
    </w:p>
    <w:p w:rsidR="006368CB" w:rsidRPr="00AC4AEA" w:rsidRDefault="006368CB" w:rsidP="00A318EA">
      <w:pPr>
        <w:pStyle w:val="Prrafodelista"/>
        <w:numPr>
          <w:ilvl w:val="0"/>
          <w:numId w:val="3"/>
        </w:numPr>
        <w:ind w:left="1560" w:hanging="567"/>
        <w:contextualSpacing w:val="0"/>
        <w:jc w:val="both"/>
        <w:rPr>
          <w:rFonts w:ascii="Arial" w:hAnsi="Arial" w:cs="Arial"/>
          <w:sz w:val="20"/>
          <w:szCs w:val="20"/>
        </w:rPr>
      </w:pPr>
      <w:r w:rsidRPr="00AC4AEA">
        <w:rPr>
          <w:rFonts w:ascii="Arial" w:hAnsi="Arial" w:cs="Arial"/>
          <w:sz w:val="20"/>
          <w:szCs w:val="20"/>
        </w:rPr>
        <w:t xml:space="preserve">Bienes </w:t>
      </w:r>
      <w:r w:rsidR="00C5409A" w:rsidRPr="00AC4AEA">
        <w:rPr>
          <w:rFonts w:ascii="Arial" w:hAnsi="Arial" w:cs="Arial"/>
          <w:sz w:val="20"/>
          <w:szCs w:val="20"/>
        </w:rPr>
        <w:t xml:space="preserve">de cambio </w:t>
      </w:r>
      <w:r w:rsidRPr="00AC4AEA">
        <w:rPr>
          <w:rFonts w:ascii="Arial" w:hAnsi="Arial" w:cs="Arial"/>
          <w:sz w:val="20"/>
          <w:szCs w:val="20"/>
        </w:rPr>
        <w:t xml:space="preserve">producidos o construidos: en función del </w:t>
      </w:r>
      <w:r w:rsidRPr="00AC4AEA">
        <w:rPr>
          <w:rFonts w:ascii="Arial" w:hAnsi="Arial" w:cs="Arial"/>
          <w:b/>
          <w:bCs/>
          <w:sz w:val="20"/>
          <w:szCs w:val="20"/>
        </w:rPr>
        <w:t xml:space="preserve">costo de producción </w:t>
      </w:r>
      <w:r w:rsidRPr="00AC4AEA">
        <w:rPr>
          <w:rFonts w:ascii="Arial" w:hAnsi="Arial" w:cs="Arial"/>
          <w:sz w:val="20"/>
          <w:szCs w:val="20"/>
        </w:rPr>
        <w:t>o</w:t>
      </w:r>
      <w:r w:rsidR="00092610" w:rsidRPr="00AC4AEA">
        <w:rPr>
          <w:rFonts w:ascii="Arial" w:hAnsi="Arial" w:cs="Arial"/>
          <w:b/>
          <w:bCs/>
          <w:sz w:val="20"/>
          <w:szCs w:val="20"/>
        </w:rPr>
        <w:t xml:space="preserve"> </w:t>
      </w:r>
      <w:r w:rsidR="00092610" w:rsidRPr="00AC4AEA">
        <w:rPr>
          <w:rFonts w:ascii="Arial" w:hAnsi="Arial" w:cs="Arial"/>
          <w:sz w:val="20"/>
          <w:szCs w:val="20"/>
        </w:rPr>
        <w:t>del</w:t>
      </w:r>
      <w:r w:rsidRPr="00AC4AEA">
        <w:rPr>
          <w:rFonts w:ascii="Arial" w:hAnsi="Arial" w:cs="Arial"/>
          <w:b/>
          <w:bCs/>
          <w:sz w:val="20"/>
          <w:szCs w:val="20"/>
        </w:rPr>
        <w:t xml:space="preserve"> </w:t>
      </w:r>
      <w:r w:rsidR="00D711FA" w:rsidRPr="00AC4AEA">
        <w:rPr>
          <w:rFonts w:ascii="Arial" w:hAnsi="Arial" w:cs="Arial"/>
          <w:b/>
          <w:bCs/>
          <w:sz w:val="20"/>
          <w:szCs w:val="20"/>
        </w:rPr>
        <w:t xml:space="preserve">costo </w:t>
      </w:r>
      <w:r w:rsidRPr="00AC4AEA">
        <w:rPr>
          <w:rFonts w:ascii="Arial" w:hAnsi="Arial" w:cs="Arial"/>
          <w:b/>
          <w:bCs/>
          <w:sz w:val="20"/>
          <w:szCs w:val="20"/>
        </w:rPr>
        <w:t xml:space="preserve">construcción, </w:t>
      </w:r>
      <w:r w:rsidRPr="00AC4AEA">
        <w:rPr>
          <w:rFonts w:ascii="Arial" w:hAnsi="Arial" w:cs="Arial"/>
          <w:sz w:val="20"/>
          <w:szCs w:val="20"/>
        </w:rPr>
        <w:t>determinado según lo establecido en</w:t>
      </w:r>
      <w:r w:rsidR="00000B6A" w:rsidRPr="00AC4AEA">
        <w:rPr>
          <w:rFonts w:ascii="Arial" w:hAnsi="Arial" w:cs="Arial"/>
          <w:sz w:val="20"/>
          <w:szCs w:val="20"/>
        </w:rPr>
        <w:t xml:space="preserve"> el apartado</w:t>
      </w:r>
      <w:r w:rsidRPr="00AC4AEA">
        <w:rPr>
          <w:rFonts w:ascii="Arial" w:hAnsi="Arial" w:cs="Arial"/>
          <w:sz w:val="20"/>
          <w:szCs w:val="20"/>
        </w:rPr>
        <w:t xml:space="preserve"> “</w:t>
      </w:r>
      <w:r w:rsidRPr="00AC4AEA">
        <w:rPr>
          <w:rFonts w:ascii="Arial" w:hAnsi="Arial" w:cs="Arial"/>
          <w:sz w:val="20"/>
          <w:szCs w:val="20"/>
          <w:u w:val="single"/>
        </w:rPr>
        <w:t>Medición de</w:t>
      </w:r>
      <w:r w:rsidR="004C1F2C" w:rsidRPr="00AC4AEA">
        <w:rPr>
          <w:rFonts w:ascii="Arial" w:hAnsi="Arial" w:cs="Arial"/>
          <w:sz w:val="20"/>
          <w:szCs w:val="20"/>
          <w:u w:val="single"/>
        </w:rPr>
        <w:t>l</w:t>
      </w:r>
      <w:r w:rsidRPr="00AC4AEA">
        <w:rPr>
          <w:rFonts w:ascii="Arial" w:hAnsi="Arial" w:cs="Arial"/>
          <w:sz w:val="20"/>
          <w:szCs w:val="20"/>
          <w:u w:val="single"/>
        </w:rPr>
        <w:t xml:space="preserve"> costo de producción o </w:t>
      </w:r>
      <w:r w:rsidR="004C1F2C" w:rsidRPr="00AC4AEA">
        <w:rPr>
          <w:rFonts w:ascii="Arial" w:hAnsi="Arial" w:cs="Arial"/>
          <w:sz w:val="20"/>
          <w:szCs w:val="20"/>
          <w:u w:val="single"/>
        </w:rPr>
        <w:t xml:space="preserve">del costo de </w:t>
      </w:r>
      <w:r w:rsidRPr="00AC4AEA">
        <w:rPr>
          <w:rFonts w:ascii="Arial" w:hAnsi="Arial" w:cs="Arial"/>
          <w:sz w:val="20"/>
          <w:szCs w:val="20"/>
          <w:u w:val="single"/>
        </w:rPr>
        <w:t>construcción</w:t>
      </w:r>
      <w:r w:rsidRPr="00AC4AEA">
        <w:rPr>
          <w:rFonts w:ascii="Arial" w:hAnsi="Arial" w:cs="Arial"/>
          <w:sz w:val="20"/>
          <w:szCs w:val="20"/>
        </w:rPr>
        <w:t>”</w:t>
      </w:r>
      <w:r w:rsidR="00000B6A" w:rsidRPr="00AC4AEA">
        <w:rPr>
          <w:rFonts w:ascii="Arial" w:hAnsi="Arial" w:cs="Arial"/>
          <w:sz w:val="20"/>
          <w:szCs w:val="20"/>
        </w:rPr>
        <w:t xml:space="preserve"> [ver los párrafos </w:t>
      </w:r>
      <w:fldSimple w:instr=" REF _Ref99478357 \r \h  \* MERGEFORMAT ">
        <w:r w:rsidR="00D33A5D" w:rsidRPr="00D33A5D">
          <w:rPr>
            <w:rFonts w:ascii="Arial" w:hAnsi="Arial" w:cs="Arial"/>
            <w:sz w:val="20"/>
            <w:szCs w:val="20"/>
          </w:rPr>
          <w:t>104</w:t>
        </w:r>
      </w:fldSimple>
      <w:r w:rsidR="00000B6A"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00000B6A" w:rsidRPr="00AC4AEA">
        <w:rPr>
          <w:rFonts w:ascii="Arial" w:hAnsi="Arial" w:cs="Arial"/>
          <w:sz w:val="20"/>
          <w:szCs w:val="20"/>
        </w:rPr>
        <w:t>]</w:t>
      </w:r>
      <w:r w:rsidRPr="00AC4AEA">
        <w:rPr>
          <w:rFonts w:ascii="Arial" w:hAnsi="Arial" w:cs="Arial"/>
          <w:sz w:val="20"/>
          <w:szCs w:val="20"/>
        </w:rPr>
        <w:t>.</w:t>
      </w:r>
    </w:p>
    <w:p w:rsidR="00584D5C" w:rsidRPr="00AC4AEA" w:rsidRDefault="00584D5C" w:rsidP="00A318EA">
      <w:pPr>
        <w:pStyle w:val="Prrafodelista"/>
        <w:numPr>
          <w:ilvl w:val="0"/>
          <w:numId w:val="3"/>
        </w:numPr>
        <w:ind w:left="1560" w:hanging="567"/>
        <w:contextualSpacing w:val="0"/>
        <w:jc w:val="both"/>
        <w:rPr>
          <w:rFonts w:ascii="Arial" w:hAnsi="Arial" w:cs="Arial"/>
          <w:sz w:val="20"/>
          <w:szCs w:val="20"/>
        </w:rPr>
      </w:pPr>
      <w:r w:rsidRPr="00AC4AEA">
        <w:rPr>
          <w:rFonts w:ascii="Arial" w:hAnsi="Arial" w:cs="Arial"/>
          <w:sz w:val="20"/>
          <w:szCs w:val="20"/>
        </w:rPr>
        <w:t xml:space="preserve">Bienes de cambio recibidos mediante aportes o donaciones: de acuerdo con lo establecido en </w:t>
      </w:r>
      <w:r w:rsidR="009168EB" w:rsidRPr="00AC4AEA">
        <w:rPr>
          <w:rFonts w:ascii="Arial" w:hAnsi="Arial" w:cs="Arial"/>
          <w:sz w:val="20"/>
          <w:szCs w:val="20"/>
        </w:rPr>
        <w:t xml:space="preserve">el inciso c) del </w:t>
      </w:r>
      <w:r w:rsidRPr="00AC4AEA">
        <w:rPr>
          <w:rFonts w:ascii="Arial" w:hAnsi="Arial" w:cs="Arial"/>
          <w:sz w:val="20"/>
          <w:szCs w:val="20"/>
        </w:rPr>
        <w:t xml:space="preserve">párrafo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584D5C" w:rsidRPr="00AC4AEA" w:rsidRDefault="00584D5C" w:rsidP="00A318EA">
      <w:pPr>
        <w:pStyle w:val="Prrafodelista"/>
        <w:numPr>
          <w:ilvl w:val="0"/>
          <w:numId w:val="3"/>
        </w:numPr>
        <w:ind w:left="1560" w:hanging="567"/>
        <w:contextualSpacing w:val="0"/>
        <w:jc w:val="both"/>
        <w:rPr>
          <w:rFonts w:ascii="Arial" w:hAnsi="Arial" w:cs="Arial"/>
          <w:sz w:val="20"/>
          <w:szCs w:val="20"/>
        </w:rPr>
      </w:pPr>
      <w:r w:rsidRPr="00AC4AEA">
        <w:rPr>
          <w:rFonts w:ascii="Arial" w:hAnsi="Arial" w:cs="Arial"/>
          <w:sz w:val="20"/>
          <w:szCs w:val="20"/>
        </w:rPr>
        <w:t>Bienes de cambio recibidos mediante trueques o canjes: de acuerdo con lo establecido</w:t>
      </w:r>
      <w:r w:rsidR="009168EB" w:rsidRPr="00AC4AEA">
        <w:rPr>
          <w:rFonts w:ascii="Arial" w:hAnsi="Arial" w:cs="Arial"/>
          <w:sz w:val="20"/>
          <w:szCs w:val="20"/>
        </w:rPr>
        <w:t xml:space="preserve"> en el inciso d) del</w:t>
      </w:r>
      <w:r w:rsidRPr="00AC4AEA">
        <w:rPr>
          <w:rFonts w:ascii="Arial" w:hAnsi="Arial" w:cs="Arial"/>
          <w:sz w:val="20"/>
          <w:szCs w:val="20"/>
        </w:rPr>
        <w:t xml:space="preserve"> párrafo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824A97" w:rsidRPr="00AC4AEA" w:rsidRDefault="00EA556D" w:rsidP="00A318EA">
      <w:pPr>
        <w:pStyle w:val="Prrafodelista"/>
        <w:numPr>
          <w:ilvl w:val="0"/>
          <w:numId w:val="3"/>
        </w:numPr>
        <w:ind w:left="1560" w:hanging="567"/>
        <w:contextualSpacing w:val="0"/>
        <w:jc w:val="both"/>
        <w:rPr>
          <w:rFonts w:ascii="Arial" w:hAnsi="Arial" w:cs="Arial"/>
          <w:sz w:val="20"/>
          <w:szCs w:val="20"/>
        </w:rPr>
      </w:pPr>
      <w:r w:rsidRPr="00AD600B">
        <w:rPr>
          <w:rFonts w:ascii="Arial" w:hAnsi="Arial" w:cs="Arial"/>
          <w:b/>
          <w:bCs/>
          <w:sz w:val="20"/>
          <w:szCs w:val="20"/>
        </w:rPr>
        <w:t>Productos agropecuarios</w:t>
      </w:r>
      <w:r w:rsidRPr="00AC4AEA">
        <w:rPr>
          <w:rFonts w:ascii="Arial" w:hAnsi="Arial" w:cs="Arial"/>
          <w:sz w:val="20"/>
          <w:szCs w:val="20"/>
        </w:rPr>
        <w:t xml:space="preserve"> </w:t>
      </w:r>
      <w:r w:rsidR="004A42A5" w:rsidRPr="00AC4AEA">
        <w:rPr>
          <w:rFonts w:ascii="Arial" w:hAnsi="Arial" w:cs="Arial"/>
          <w:sz w:val="20"/>
          <w:szCs w:val="20"/>
        </w:rPr>
        <w:t xml:space="preserve">al concluir </w:t>
      </w:r>
      <w:r w:rsidRPr="00AC4AEA">
        <w:rPr>
          <w:rFonts w:ascii="Arial" w:hAnsi="Arial" w:cs="Arial"/>
          <w:sz w:val="20"/>
          <w:szCs w:val="20"/>
        </w:rPr>
        <w:t xml:space="preserve">la cosecha, recolección, obtención o faena: </w:t>
      </w:r>
      <w:r w:rsidR="00F90BB9" w:rsidRPr="00AC4AEA">
        <w:rPr>
          <w:rFonts w:ascii="Arial" w:hAnsi="Arial" w:cs="Arial"/>
          <w:sz w:val="20"/>
          <w:szCs w:val="20"/>
        </w:rPr>
        <w:t xml:space="preserve">sobre la base </w:t>
      </w:r>
      <w:r w:rsidR="004A42A5" w:rsidRPr="00AC4AEA">
        <w:rPr>
          <w:rFonts w:ascii="Arial" w:hAnsi="Arial" w:cs="Arial"/>
          <w:sz w:val="20"/>
          <w:szCs w:val="20"/>
        </w:rPr>
        <w:t>al</w:t>
      </w:r>
      <w:r w:rsidR="00F90BB9" w:rsidRPr="00AC4AEA">
        <w:rPr>
          <w:rFonts w:ascii="Arial" w:hAnsi="Arial" w:cs="Arial"/>
          <w:sz w:val="20"/>
          <w:szCs w:val="20"/>
        </w:rPr>
        <w:t xml:space="preserve"> </w:t>
      </w:r>
      <w:r w:rsidR="00F90BB9" w:rsidRPr="00AC4AEA">
        <w:rPr>
          <w:rFonts w:ascii="Arial" w:hAnsi="Arial" w:cs="Arial"/>
          <w:b/>
          <w:bCs/>
          <w:sz w:val="20"/>
          <w:szCs w:val="20"/>
        </w:rPr>
        <w:t>costo atribuido</w:t>
      </w:r>
      <w:r w:rsidR="00F90BB9" w:rsidRPr="00AC4AEA">
        <w:rPr>
          <w:rFonts w:ascii="Arial" w:hAnsi="Arial" w:cs="Arial"/>
          <w:sz w:val="20"/>
          <w:szCs w:val="20"/>
        </w:rPr>
        <w:t xml:space="preserve"> que surge </w:t>
      </w:r>
      <w:r w:rsidR="004A42A5" w:rsidRPr="00AC4AEA">
        <w:rPr>
          <w:rFonts w:ascii="Arial" w:hAnsi="Arial" w:cs="Arial"/>
          <w:sz w:val="20"/>
          <w:szCs w:val="20"/>
        </w:rPr>
        <w:t>de</w:t>
      </w:r>
      <w:r w:rsidR="00F90BB9" w:rsidRPr="00AC4AEA">
        <w:rPr>
          <w:rFonts w:ascii="Arial" w:hAnsi="Arial" w:cs="Arial"/>
          <w:sz w:val="20"/>
          <w:szCs w:val="20"/>
        </w:rPr>
        <w:t xml:space="preserve"> aplicar el párrafo </w:t>
      </w:r>
      <w:fldSimple w:instr=" REF _Ref133349299 \r \h  \* MERGEFORMAT ">
        <w:r w:rsidR="00D33A5D" w:rsidRPr="00D33A5D">
          <w:rPr>
            <w:rFonts w:ascii="Arial" w:hAnsi="Arial" w:cs="Arial"/>
            <w:sz w:val="20"/>
            <w:szCs w:val="20"/>
          </w:rPr>
          <w:t>1030</w:t>
        </w:r>
      </w:fldSimple>
      <w:r w:rsidR="00C762CC" w:rsidRPr="00AC4AEA">
        <w:rPr>
          <w:rFonts w:ascii="Arial" w:hAnsi="Arial" w:cs="Arial"/>
          <w:sz w:val="20"/>
          <w:szCs w:val="20"/>
        </w:rPr>
        <w:t>.</w:t>
      </w:r>
      <w:r w:rsidRPr="00AC4AEA">
        <w:rPr>
          <w:rFonts w:ascii="Arial" w:hAnsi="Arial" w:cs="Arial"/>
          <w:sz w:val="20"/>
          <w:szCs w:val="20"/>
        </w:rPr>
        <w:t xml:space="preserve"> </w:t>
      </w:r>
    </w:p>
    <w:p w:rsidR="00584D5C" w:rsidRPr="00AC4AEA" w:rsidRDefault="00584D5C" w:rsidP="00A318EA">
      <w:pPr>
        <w:pStyle w:val="A-Normal10"/>
        <w:rPr>
          <w:rFonts w:ascii="Arial" w:hAnsi="Arial" w:cs="Arial"/>
        </w:rPr>
      </w:pPr>
      <w:bookmarkStart w:id="432" w:name="_Toc101863838"/>
    </w:p>
    <w:p w:rsidR="00263E93" w:rsidRPr="00AC4AEA" w:rsidRDefault="00263E93" w:rsidP="00A318EA">
      <w:pPr>
        <w:pStyle w:val="Ttulo2"/>
        <w:rPr>
          <w:rFonts w:cs="Arial"/>
        </w:rPr>
      </w:pPr>
      <w:bookmarkStart w:id="433" w:name="_Toc139356707"/>
      <w:r w:rsidRPr="00AC4AEA">
        <w:rPr>
          <w:rFonts w:cs="Arial"/>
        </w:rPr>
        <w:t>Medición posterior</w:t>
      </w:r>
      <w:bookmarkEnd w:id="432"/>
      <w:bookmarkEnd w:id="433"/>
    </w:p>
    <w:p w:rsidR="001D0CAD" w:rsidRPr="00AC4AEA" w:rsidRDefault="001D0CAD" w:rsidP="00A318EA">
      <w:pPr>
        <w:pStyle w:val="Ttulo3"/>
      </w:pPr>
      <w:bookmarkStart w:id="434" w:name="_Toc101863839"/>
      <w:bookmarkStart w:id="435" w:name="_Toc139356708"/>
      <w:r w:rsidRPr="00AC4AEA">
        <w:t>Caso general</w:t>
      </w:r>
      <w:bookmarkEnd w:id="434"/>
      <w:bookmarkEnd w:id="435"/>
    </w:p>
    <w:p w:rsidR="001D0CAD" w:rsidRPr="00AC4AEA" w:rsidRDefault="001D0CAD" w:rsidP="00A318EA">
      <w:pPr>
        <w:pStyle w:val="Prrafodelista"/>
        <w:numPr>
          <w:ilvl w:val="0"/>
          <w:numId w:val="29"/>
        </w:numPr>
        <w:contextualSpacing w:val="0"/>
        <w:jc w:val="both"/>
        <w:rPr>
          <w:rFonts w:ascii="Arial" w:hAnsi="Arial" w:cs="Arial"/>
          <w:sz w:val="20"/>
          <w:szCs w:val="20"/>
        </w:rPr>
      </w:pPr>
      <w:bookmarkStart w:id="436" w:name="_Ref102160887"/>
      <w:r w:rsidRPr="00AC4AEA">
        <w:rPr>
          <w:rFonts w:ascii="Arial" w:hAnsi="Arial" w:cs="Arial"/>
          <w:sz w:val="20"/>
          <w:szCs w:val="20"/>
        </w:rPr>
        <w:t>Una entidad medirá los bienes de cambio adquiridos</w:t>
      </w:r>
      <w:r w:rsidR="00E918CD" w:rsidRPr="00AC4AEA">
        <w:rPr>
          <w:rFonts w:ascii="Arial" w:hAnsi="Arial" w:cs="Arial"/>
          <w:sz w:val="20"/>
          <w:szCs w:val="20"/>
        </w:rPr>
        <w:t>, o recibidos mediante aportes, donaciones, trueques o canjes</w:t>
      </w:r>
      <w:r w:rsidR="001720CD" w:rsidRPr="00AC4AEA">
        <w:rPr>
          <w:rFonts w:ascii="Arial" w:hAnsi="Arial" w:cs="Arial"/>
          <w:sz w:val="20"/>
          <w:szCs w:val="20"/>
        </w:rPr>
        <w:t xml:space="preserve"> –excepto</w:t>
      </w:r>
      <w:r w:rsidR="007F4FBA" w:rsidRPr="00AC4AEA">
        <w:rPr>
          <w:rFonts w:ascii="Arial" w:hAnsi="Arial" w:cs="Arial"/>
          <w:sz w:val="20"/>
          <w:szCs w:val="20"/>
        </w:rPr>
        <w:t xml:space="preserve"> los </w:t>
      </w:r>
      <w:r w:rsidR="001720CD" w:rsidRPr="00AC4AEA">
        <w:rPr>
          <w:rFonts w:ascii="Arial" w:hAnsi="Arial" w:cs="Arial"/>
          <w:sz w:val="20"/>
          <w:szCs w:val="20"/>
        </w:rPr>
        <w:t>comprendidos</w:t>
      </w:r>
      <w:r w:rsidR="007F4FBA" w:rsidRPr="00AC4AEA">
        <w:rPr>
          <w:rFonts w:ascii="Arial" w:hAnsi="Arial" w:cs="Arial"/>
          <w:sz w:val="20"/>
          <w:szCs w:val="20"/>
        </w:rPr>
        <w:t xml:space="preserve"> en el caso </w:t>
      </w:r>
      <w:r w:rsidR="001720CD" w:rsidRPr="00AC4AEA">
        <w:rPr>
          <w:rFonts w:ascii="Arial" w:hAnsi="Arial" w:cs="Arial"/>
          <w:sz w:val="20"/>
          <w:szCs w:val="20"/>
        </w:rPr>
        <w:t>particular</w:t>
      </w:r>
      <w:r w:rsidR="007F4FBA" w:rsidRPr="00AC4AEA">
        <w:rPr>
          <w:rFonts w:ascii="Arial" w:hAnsi="Arial" w:cs="Arial"/>
          <w:sz w:val="20"/>
          <w:szCs w:val="20"/>
        </w:rPr>
        <w:t xml:space="preserve"> [ver </w:t>
      </w:r>
      <w:r w:rsidR="00AA7E80" w:rsidRPr="00AC4AEA">
        <w:rPr>
          <w:rFonts w:ascii="Arial" w:hAnsi="Arial" w:cs="Arial"/>
          <w:sz w:val="20"/>
          <w:szCs w:val="20"/>
        </w:rPr>
        <w:t>el</w:t>
      </w:r>
      <w:r w:rsidR="00262EEF" w:rsidRPr="00AC4AEA">
        <w:rPr>
          <w:rFonts w:ascii="Arial" w:hAnsi="Arial" w:cs="Arial"/>
          <w:sz w:val="20"/>
          <w:szCs w:val="20"/>
        </w:rPr>
        <w:t xml:space="preserve"> </w:t>
      </w:r>
      <w:r w:rsidR="007F4FBA" w:rsidRPr="00AC4AEA">
        <w:rPr>
          <w:rFonts w:ascii="Arial" w:hAnsi="Arial" w:cs="Arial"/>
          <w:sz w:val="20"/>
          <w:szCs w:val="20"/>
        </w:rPr>
        <w:t xml:space="preserve">párrafo </w:t>
      </w:r>
      <w:fldSimple w:instr=" REF _Ref103004758 \r \h  \* MERGEFORMAT ">
        <w:r w:rsidR="00D33A5D" w:rsidRPr="00D33A5D">
          <w:rPr>
            <w:rFonts w:ascii="Arial" w:hAnsi="Arial" w:cs="Arial"/>
            <w:sz w:val="20"/>
            <w:szCs w:val="20"/>
          </w:rPr>
          <w:t>295</w:t>
        </w:r>
      </w:fldSimple>
      <w:r w:rsidR="001720CD" w:rsidRPr="00AC4AEA">
        <w:rPr>
          <w:rFonts w:ascii="Arial" w:hAnsi="Arial" w:cs="Arial"/>
          <w:sz w:val="20"/>
          <w:szCs w:val="20"/>
        </w:rPr>
        <w:t xml:space="preserve">]– </w:t>
      </w:r>
      <w:r w:rsidR="00E918CD" w:rsidRPr="00AC4AEA">
        <w:rPr>
          <w:rFonts w:ascii="Arial" w:hAnsi="Arial" w:cs="Arial"/>
          <w:sz w:val="20"/>
          <w:szCs w:val="20"/>
        </w:rPr>
        <w:t>de acuerdo con</w:t>
      </w:r>
      <w:r w:rsidRPr="00AC4AEA">
        <w:rPr>
          <w:rFonts w:ascii="Arial" w:hAnsi="Arial" w:cs="Arial"/>
          <w:sz w:val="20"/>
          <w:szCs w:val="20"/>
        </w:rPr>
        <w:t xml:space="preserve"> alguno de los criterios siguientes:</w:t>
      </w:r>
      <w:bookmarkEnd w:id="436"/>
    </w:p>
    <w:p w:rsidR="00941BCD" w:rsidRPr="00AC4AEA" w:rsidRDefault="00986B68" w:rsidP="00A318EA">
      <w:pPr>
        <w:pStyle w:val="Prrafodelista"/>
        <w:numPr>
          <w:ilvl w:val="0"/>
          <w:numId w:val="86"/>
        </w:numPr>
        <w:ind w:left="1560" w:hanging="567"/>
        <w:contextualSpacing w:val="0"/>
        <w:jc w:val="both"/>
        <w:rPr>
          <w:rFonts w:ascii="Arial" w:hAnsi="Arial" w:cs="Arial"/>
          <w:sz w:val="20"/>
          <w:szCs w:val="20"/>
        </w:rPr>
      </w:pPr>
      <w:r w:rsidRPr="00AC4AEA">
        <w:rPr>
          <w:rFonts w:ascii="Arial" w:hAnsi="Arial" w:cs="Arial"/>
          <w:b/>
          <w:bCs/>
          <w:sz w:val="20"/>
          <w:szCs w:val="20"/>
        </w:rPr>
        <w:t xml:space="preserve">costo </w:t>
      </w:r>
      <w:r w:rsidR="001D0CAD" w:rsidRPr="00AC4AEA">
        <w:rPr>
          <w:rFonts w:ascii="Arial" w:hAnsi="Arial" w:cs="Arial"/>
          <w:b/>
          <w:bCs/>
          <w:sz w:val="20"/>
          <w:szCs w:val="20"/>
        </w:rPr>
        <w:t>de adquisición</w:t>
      </w:r>
      <w:r w:rsidR="00E918CD" w:rsidRPr="00AC4AEA">
        <w:rPr>
          <w:rFonts w:ascii="Arial" w:hAnsi="Arial" w:cs="Arial"/>
          <w:sz w:val="20"/>
          <w:szCs w:val="20"/>
        </w:rPr>
        <w:t xml:space="preserve"> </w:t>
      </w:r>
      <w:r w:rsidR="00665369" w:rsidRPr="00AC4AEA">
        <w:rPr>
          <w:rFonts w:ascii="Arial" w:hAnsi="Arial" w:cs="Arial"/>
          <w:sz w:val="20"/>
          <w:szCs w:val="20"/>
        </w:rPr>
        <w:t>que resulte consistente con las t</w:t>
      </w:r>
      <w:r w:rsidR="00090F18" w:rsidRPr="00AC4AEA">
        <w:rPr>
          <w:rFonts w:ascii="Arial" w:hAnsi="Arial" w:cs="Arial"/>
          <w:sz w:val="20"/>
          <w:szCs w:val="20"/>
        </w:rPr>
        <w:t xml:space="preserve">écnicas referidas en el inciso a) del párrafo </w:t>
      </w:r>
      <w:fldSimple w:instr=" REF _Ref81211709 \r \h  \* MERGEFORMAT ">
        <w:r w:rsidR="00D33A5D" w:rsidRPr="00D33A5D">
          <w:rPr>
            <w:rFonts w:ascii="Arial" w:hAnsi="Arial" w:cs="Arial"/>
            <w:sz w:val="20"/>
            <w:szCs w:val="20"/>
          </w:rPr>
          <w:t>301</w:t>
        </w:r>
      </w:fldSimple>
      <w:r w:rsidR="00000B6A" w:rsidRPr="00AC4AEA">
        <w:rPr>
          <w:rFonts w:ascii="Arial" w:hAnsi="Arial" w:cs="Arial"/>
          <w:sz w:val="20"/>
          <w:szCs w:val="20"/>
        </w:rPr>
        <w:t>;</w:t>
      </w:r>
    </w:p>
    <w:p w:rsidR="001D0CAD" w:rsidRPr="00AC4AEA" w:rsidRDefault="00986B68" w:rsidP="00A318EA">
      <w:pPr>
        <w:pStyle w:val="Prrafodelista"/>
        <w:numPr>
          <w:ilvl w:val="0"/>
          <w:numId w:val="86"/>
        </w:numPr>
        <w:ind w:left="1560" w:hanging="567"/>
        <w:contextualSpacing w:val="0"/>
        <w:jc w:val="both"/>
        <w:rPr>
          <w:rFonts w:ascii="Arial" w:hAnsi="Arial" w:cs="Arial"/>
          <w:sz w:val="20"/>
          <w:szCs w:val="20"/>
        </w:rPr>
      </w:pPr>
      <w:r w:rsidRPr="00AC4AEA">
        <w:rPr>
          <w:rFonts w:ascii="Arial" w:hAnsi="Arial" w:cs="Arial"/>
          <w:b/>
          <w:bCs/>
          <w:sz w:val="20"/>
          <w:szCs w:val="20"/>
        </w:rPr>
        <w:t xml:space="preserve">costo </w:t>
      </w:r>
      <w:r w:rsidR="001D0CAD" w:rsidRPr="00AC4AEA">
        <w:rPr>
          <w:rFonts w:ascii="Arial" w:hAnsi="Arial" w:cs="Arial"/>
          <w:b/>
          <w:bCs/>
          <w:sz w:val="20"/>
          <w:szCs w:val="20"/>
        </w:rPr>
        <w:t>de reposición</w:t>
      </w:r>
      <w:r w:rsidR="00977BC1" w:rsidRPr="00AC4AEA">
        <w:rPr>
          <w:rFonts w:ascii="Arial" w:hAnsi="Arial" w:cs="Arial"/>
          <w:sz w:val="20"/>
          <w:szCs w:val="20"/>
        </w:rPr>
        <w:t>; o</w:t>
      </w:r>
    </w:p>
    <w:p w:rsidR="00977BC1" w:rsidRPr="00AC4AEA" w:rsidRDefault="00977BC1" w:rsidP="00A318EA">
      <w:pPr>
        <w:pStyle w:val="Prrafodelista"/>
        <w:numPr>
          <w:ilvl w:val="0"/>
          <w:numId w:val="86"/>
        </w:numPr>
        <w:ind w:left="1560" w:hanging="567"/>
        <w:contextualSpacing w:val="0"/>
        <w:jc w:val="both"/>
        <w:rPr>
          <w:rFonts w:ascii="Arial" w:hAnsi="Arial" w:cs="Arial"/>
          <w:sz w:val="20"/>
          <w:szCs w:val="20"/>
        </w:rPr>
      </w:pPr>
      <w:r w:rsidRPr="00AC4AEA">
        <w:rPr>
          <w:rFonts w:ascii="Arial" w:hAnsi="Arial" w:cs="Arial"/>
          <w:sz w:val="20"/>
          <w:szCs w:val="20"/>
        </w:rPr>
        <w:lastRenderedPageBreak/>
        <w:t>costo de la última compra.</w:t>
      </w:r>
    </w:p>
    <w:p w:rsidR="00E76550" w:rsidRPr="00AC4AEA" w:rsidRDefault="00E7655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utilizará el mismo criterio para todos los bienes de cambio comprendidos en el párrafo </w:t>
      </w:r>
      <w:fldSimple w:instr=" REF _Ref102160887 \r \h  \* MERGEFORMAT ">
        <w:r w:rsidR="00D33A5D" w:rsidRPr="00D33A5D">
          <w:rPr>
            <w:rFonts w:ascii="Arial" w:hAnsi="Arial" w:cs="Arial"/>
            <w:sz w:val="20"/>
            <w:szCs w:val="20"/>
          </w:rPr>
          <w:t>291</w:t>
        </w:r>
      </w:fldSimple>
      <w:r w:rsidRPr="00AC4AEA">
        <w:rPr>
          <w:rFonts w:ascii="Arial" w:hAnsi="Arial" w:cs="Arial"/>
          <w:sz w:val="20"/>
          <w:szCs w:val="20"/>
        </w:rPr>
        <w:t xml:space="preserve">, excepto que existan razones fundadas que justifiquen el uso de distintos criterios. </w:t>
      </w:r>
      <w:r w:rsidR="005A2B38" w:rsidRPr="00AC4AEA">
        <w:rPr>
          <w:rFonts w:ascii="Arial" w:hAnsi="Arial" w:cs="Arial"/>
          <w:sz w:val="20"/>
          <w:szCs w:val="20"/>
        </w:rPr>
        <w:t>En este caso</w:t>
      </w:r>
      <w:r w:rsidRPr="00AC4AEA">
        <w:rPr>
          <w:rFonts w:ascii="Arial" w:hAnsi="Arial" w:cs="Arial"/>
          <w:sz w:val="20"/>
          <w:szCs w:val="20"/>
        </w:rPr>
        <w:t>, la entidad informará en notas tal hecho y las razones que justifican el uso de criterios de medición distintos para los bienes de cambio comprendidos en el párrafo anterior</w:t>
      </w:r>
      <w:r w:rsidR="00D3622C" w:rsidRPr="00AC4AEA">
        <w:rPr>
          <w:rFonts w:ascii="Arial" w:hAnsi="Arial" w:cs="Arial"/>
          <w:sz w:val="20"/>
          <w:szCs w:val="20"/>
        </w:rPr>
        <w:t>.</w:t>
      </w:r>
    </w:p>
    <w:p w:rsidR="001D0CAD" w:rsidRPr="00AC4AEA" w:rsidRDefault="001D0CAD" w:rsidP="00A318EA">
      <w:pPr>
        <w:pStyle w:val="Prrafodelista"/>
        <w:numPr>
          <w:ilvl w:val="0"/>
          <w:numId w:val="29"/>
        </w:numPr>
        <w:contextualSpacing w:val="0"/>
        <w:jc w:val="both"/>
        <w:rPr>
          <w:rFonts w:ascii="Arial" w:hAnsi="Arial" w:cs="Arial"/>
          <w:sz w:val="20"/>
          <w:szCs w:val="20"/>
        </w:rPr>
      </w:pPr>
      <w:bookmarkStart w:id="437" w:name="_Ref102160945"/>
      <w:r w:rsidRPr="00AC4AEA">
        <w:rPr>
          <w:rFonts w:ascii="Arial" w:hAnsi="Arial" w:cs="Arial"/>
          <w:sz w:val="20"/>
          <w:szCs w:val="20"/>
        </w:rPr>
        <w:t xml:space="preserve">Una entidad medirá los bienes de cambio producidos o </w:t>
      </w:r>
      <w:r w:rsidR="007E020E" w:rsidRPr="00AC4AEA">
        <w:rPr>
          <w:rFonts w:ascii="Arial" w:hAnsi="Arial" w:cs="Arial"/>
          <w:sz w:val="20"/>
          <w:szCs w:val="20"/>
        </w:rPr>
        <w:t>construidos</w:t>
      </w:r>
      <w:r w:rsidR="00482565" w:rsidRPr="00AC4AEA">
        <w:rPr>
          <w:rFonts w:ascii="Arial" w:hAnsi="Arial" w:cs="Arial"/>
          <w:sz w:val="20"/>
          <w:szCs w:val="20"/>
        </w:rPr>
        <w:t xml:space="preserve"> </w:t>
      </w:r>
      <w:r w:rsidRPr="00AC4AEA">
        <w:rPr>
          <w:rFonts w:ascii="Arial" w:hAnsi="Arial" w:cs="Arial"/>
          <w:sz w:val="20"/>
          <w:szCs w:val="20"/>
        </w:rPr>
        <w:t>o que se encuentran en proceso de producción o construcción, mediante alguno de los criterios siguientes:</w:t>
      </w:r>
      <w:bookmarkEnd w:id="437"/>
    </w:p>
    <w:p w:rsidR="001D0CAD" w:rsidRPr="00AC4AEA" w:rsidRDefault="00860771" w:rsidP="00A318EA">
      <w:pPr>
        <w:pStyle w:val="Prrafodelista"/>
        <w:numPr>
          <w:ilvl w:val="0"/>
          <w:numId w:val="87"/>
        </w:numPr>
        <w:ind w:left="1560"/>
        <w:contextualSpacing w:val="0"/>
        <w:jc w:val="both"/>
        <w:rPr>
          <w:rFonts w:ascii="Arial" w:hAnsi="Arial" w:cs="Arial"/>
          <w:sz w:val="20"/>
          <w:szCs w:val="20"/>
        </w:rPr>
      </w:pPr>
      <w:r w:rsidRPr="00AC4AEA">
        <w:rPr>
          <w:rFonts w:ascii="Arial" w:hAnsi="Arial" w:cs="Arial"/>
          <w:b/>
          <w:bCs/>
          <w:sz w:val="20"/>
          <w:szCs w:val="20"/>
        </w:rPr>
        <w:t>c</w:t>
      </w:r>
      <w:r w:rsidR="001D0CAD" w:rsidRPr="00AC4AEA">
        <w:rPr>
          <w:rFonts w:ascii="Arial" w:hAnsi="Arial" w:cs="Arial"/>
          <w:b/>
          <w:bCs/>
          <w:sz w:val="20"/>
          <w:szCs w:val="20"/>
        </w:rPr>
        <w:t xml:space="preserve">osto de producción </w:t>
      </w:r>
      <w:r w:rsidR="00A82EFF" w:rsidRPr="00AC4AEA">
        <w:rPr>
          <w:rFonts w:ascii="Arial" w:hAnsi="Arial" w:cs="Arial"/>
          <w:b/>
          <w:bCs/>
          <w:sz w:val="20"/>
          <w:szCs w:val="20"/>
        </w:rPr>
        <w:t>o costo</w:t>
      </w:r>
      <w:r w:rsidR="00D711FA" w:rsidRPr="00AC4AEA">
        <w:rPr>
          <w:rFonts w:ascii="Arial" w:hAnsi="Arial" w:cs="Arial"/>
          <w:b/>
          <w:bCs/>
          <w:sz w:val="20"/>
          <w:szCs w:val="20"/>
        </w:rPr>
        <w:t xml:space="preserve"> </w:t>
      </w:r>
      <w:r w:rsidR="00BA4943" w:rsidRPr="00AC4AEA">
        <w:rPr>
          <w:rFonts w:ascii="Arial" w:hAnsi="Arial" w:cs="Arial"/>
          <w:b/>
          <w:bCs/>
          <w:sz w:val="20"/>
          <w:szCs w:val="20"/>
        </w:rPr>
        <w:t xml:space="preserve">de </w:t>
      </w:r>
      <w:r w:rsidR="001D0CAD" w:rsidRPr="00AC4AEA">
        <w:rPr>
          <w:rFonts w:ascii="Arial" w:hAnsi="Arial" w:cs="Arial"/>
          <w:b/>
          <w:bCs/>
          <w:sz w:val="20"/>
          <w:szCs w:val="20"/>
        </w:rPr>
        <w:t>construcción</w:t>
      </w:r>
      <w:r w:rsidRPr="00AC4AEA">
        <w:rPr>
          <w:rFonts w:ascii="Arial" w:hAnsi="Arial" w:cs="Arial"/>
          <w:b/>
          <w:bCs/>
          <w:sz w:val="20"/>
          <w:szCs w:val="20"/>
        </w:rPr>
        <w:t>;</w:t>
      </w:r>
      <w:r w:rsidR="001D0CAD" w:rsidRPr="00AC4AEA">
        <w:rPr>
          <w:rFonts w:ascii="Arial" w:hAnsi="Arial" w:cs="Arial"/>
          <w:sz w:val="20"/>
          <w:szCs w:val="20"/>
        </w:rPr>
        <w:t xml:space="preserve"> o</w:t>
      </w:r>
    </w:p>
    <w:p w:rsidR="001D0CAD" w:rsidRPr="00AC4AEA" w:rsidRDefault="00860771" w:rsidP="00A318EA">
      <w:pPr>
        <w:pStyle w:val="Prrafodelista"/>
        <w:numPr>
          <w:ilvl w:val="0"/>
          <w:numId w:val="87"/>
        </w:numPr>
        <w:ind w:left="1560"/>
        <w:contextualSpacing w:val="0"/>
        <w:jc w:val="both"/>
        <w:rPr>
          <w:rFonts w:ascii="Arial" w:hAnsi="Arial" w:cs="Arial"/>
          <w:sz w:val="20"/>
          <w:szCs w:val="20"/>
        </w:rPr>
      </w:pPr>
      <w:r w:rsidRPr="00AC4AEA">
        <w:rPr>
          <w:rFonts w:ascii="Arial" w:hAnsi="Arial" w:cs="Arial"/>
          <w:b/>
          <w:bCs/>
          <w:sz w:val="20"/>
          <w:szCs w:val="20"/>
        </w:rPr>
        <w:t>c</w:t>
      </w:r>
      <w:r w:rsidR="001D0CAD" w:rsidRPr="00AC4AEA">
        <w:rPr>
          <w:rFonts w:ascii="Arial" w:hAnsi="Arial" w:cs="Arial"/>
          <w:b/>
          <w:bCs/>
          <w:sz w:val="20"/>
          <w:szCs w:val="20"/>
        </w:rPr>
        <w:t xml:space="preserve">osto de </w:t>
      </w:r>
      <w:r w:rsidR="001D0CAD" w:rsidRPr="00047A3B">
        <w:rPr>
          <w:rFonts w:ascii="Arial" w:hAnsi="Arial" w:cs="Arial"/>
          <w:b/>
          <w:bCs/>
          <w:sz w:val="20"/>
          <w:szCs w:val="20"/>
        </w:rPr>
        <w:t xml:space="preserve">reproducción </w:t>
      </w:r>
      <w:r w:rsidR="00EC48D4" w:rsidRPr="00047A3B">
        <w:rPr>
          <w:rFonts w:ascii="Arial" w:hAnsi="Arial" w:cs="Arial"/>
          <w:b/>
          <w:bCs/>
          <w:sz w:val="20"/>
          <w:szCs w:val="20"/>
        </w:rPr>
        <w:t>y/</w:t>
      </w:r>
      <w:r w:rsidR="00FC62C5" w:rsidRPr="00047A3B">
        <w:rPr>
          <w:rFonts w:ascii="Arial" w:hAnsi="Arial" w:cs="Arial"/>
          <w:b/>
          <w:bCs/>
          <w:sz w:val="20"/>
          <w:szCs w:val="20"/>
        </w:rPr>
        <w:t>o</w:t>
      </w:r>
      <w:r w:rsidR="001D0CAD" w:rsidRPr="00047A3B">
        <w:rPr>
          <w:rFonts w:ascii="Arial" w:hAnsi="Arial" w:cs="Arial"/>
          <w:b/>
          <w:bCs/>
          <w:sz w:val="20"/>
          <w:szCs w:val="20"/>
        </w:rPr>
        <w:t xml:space="preserve"> reconstrucción</w:t>
      </w:r>
      <w:r w:rsidR="001D0CAD" w:rsidRPr="00AC4AEA">
        <w:rPr>
          <w:rFonts w:ascii="Arial" w:hAnsi="Arial" w:cs="Arial"/>
          <w:sz w:val="20"/>
          <w:szCs w:val="20"/>
        </w:rPr>
        <w:t>.</w:t>
      </w:r>
    </w:p>
    <w:p w:rsidR="00D3622C" w:rsidRPr="00AC4AEA" w:rsidRDefault="00D3622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utilizará el mismo criterio para todos los bienes de cambio comprendidos en el párrafo</w:t>
      </w:r>
      <w:r w:rsidR="00DB4B25" w:rsidRPr="00AC4AEA">
        <w:rPr>
          <w:rFonts w:ascii="Arial" w:hAnsi="Arial" w:cs="Arial"/>
          <w:sz w:val="20"/>
          <w:szCs w:val="20"/>
        </w:rPr>
        <w:t xml:space="preserve"> </w:t>
      </w:r>
      <w:fldSimple w:instr=" REF _Ref102160945 \r \h  \* MERGEFORMAT ">
        <w:r w:rsidR="00D33A5D" w:rsidRPr="00D33A5D">
          <w:rPr>
            <w:rFonts w:ascii="Arial" w:hAnsi="Arial" w:cs="Arial"/>
            <w:sz w:val="20"/>
            <w:szCs w:val="20"/>
          </w:rPr>
          <w:t>293</w:t>
        </w:r>
      </w:fldSimple>
      <w:r w:rsidRPr="00AC4AEA">
        <w:rPr>
          <w:rFonts w:ascii="Arial" w:hAnsi="Arial" w:cs="Arial"/>
          <w:sz w:val="20"/>
          <w:szCs w:val="20"/>
        </w:rPr>
        <w:t xml:space="preserve">, excepto que existan razones fundadas que justifiquen el uso de distintos criterios. </w:t>
      </w:r>
      <w:r w:rsidR="005A2B38" w:rsidRPr="00AC4AEA">
        <w:rPr>
          <w:rFonts w:ascii="Arial" w:hAnsi="Arial" w:cs="Arial"/>
          <w:sz w:val="20"/>
          <w:szCs w:val="20"/>
        </w:rPr>
        <w:t>En este caso</w:t>
      </w:r>
      <w:r w:rsidRPr="00AC4AEA">
        <w:rPr>
          <w:rFonts w:ascii="Arial" w:hAnsi="Arial" w:cs="Arial"/>
          <w:sz w:val="20"/>
          <w:szCs w:val="20"/>
        </w:rPr>
        <w:t>, la entidad informará en notas tal hecho y las razones que justifican el uso de criterios de medición distintos para los bienes de cambio comprendidos en el párrafo anterior.</w:t>
      </w:r>
    </w:p>
    <w:p w:rsidR="001D0CAD" w:rsidRPr="00AC4AEA" w:rsidRDefault="001D0CAD" w:rsidP="00A318EA">
      <w:pPr>
        <w:jc w:val="both"/>
        <w:rPr>
          <w:rFonts w:ascii="Arial" w:hAnsi="Arial" w:cs="Arial"/>
          <w:sz w:val="20"/>
          <w:szCs w:val="20"/>
        </w:rPr>
      </w:pPr>
    </w:p>
    <w:p w:rsidR="001D0CAD" w:rsidRPr="00AC4AEA" w:rsidRDefault="001D0CAD" w:rsidP="00A318EA">
      <w:pPr>
        <w:pStyle w:val="Ttulo3"/>
      </w:pPr>
      <w:bookmarkStart w:id="438" w:name="_Toc101863840"/>
      <w:bookmarkStart w:id="439" w:name="_Toc139356709"/>
      <w:r w:rsidRPr="00AC4AEA">
        <w:t>Caso</w:t>
      </w:r>
      <w:r w:rsidR="00482565" w:rsidRPr="00AC4AEA">
        <w:t xml:space="preserve"> </w:t>
      </w:r>
      <w:r w:rsidRPr="00AC4AEA">
        <w:t>particular</w:t>
      </w:r>
      <w:bookmarkEnd w:id="438"/>
      <w:bookmarkEnd w:id="439"/>
    </w:p>
    <w:tbl>
      <w:tblPr>
        <w:tblStyle w:val="Tablaconcuadrcula"/>
        <w:tblW w:w="0" w:type="auto"/>
        <w:tblLook w:val="04A0"/>
      </w:tblPr>
      <w:tblGrid>
        <w:gridCol w:w="8637"/>
      </w:tblGrid>
      <w:tr w:rsidR="00D65FB1" w:rsidRPr="00AC4AEA" w:rsidTr="00832EB5">
        <w:trPr>
          <w:tblHeader/>
        </w:trPr>
        <w:tc>
          <w:tcPr>
            <w:tcW w:w="8637" w:type="dxa"/>
          </w:tcPr>
          <w:p w:rsidR="0053501E" w:rsidRPr="00AC4AEA" w:rsidRDefault="0053501E" w:rsidP="00A318EA">
            <w:pPr>
              <w:rPr>
                <w:rFonts w:ascii="Arial" w:hAnsi="Arial" w:cs="Arial"/>
                <w:b/>
                <w:bCs/>
                <w:color w:val="00B050"/>
                <w:sz w:val="20"/>
                <w:szCs w:val="20"/>
                <w:u w:val="single"/>
              </w:rPr>
            </w:pPr>
            <w:r w:rsidRPr="00AC4AEA">
              <w:rPr>
                <w:rFonts w:ascii="Arial" w:hAnsi="Arial" w:cs="Arial"/>
                <w:b/>
                <w:bCs/>
                <w:color w:val="00B050"/>
                <w:sz w:val="20"/>
                <w:szCs w:val="20"/>
                <w:u w:val="single"/>
              </w:rPr>
              <w:t>Aclaración (texto no integrante de la presente Resolución Técnica)</w:t>
            </w:r>
          </w:p>
        </w:tc>
      </w:tr>
      <w:tr w:rsidR="00D65FB1" w:rsidRPr="00AC4AEA" w:rsidTr="008B097E">
        <w:tc>
          <w:tcPr>
            <w:tcW w:w="8637" w:type="dxa"/>
          </w:tcPr>
          <w:p w:rsidR="008B097E" w:rsidRPr="00AC4AEA" w:rsidRDefault="008B097E" w:rsidP="00A318EA">
            <w:pPr>
              <w:rPr>
                <w:rFonts w:ascii="Arial" w:hAnsi="Arial" w:cs="Arial"/>
                <w:color w:val="00B050"/>
                <w:sz w:val="20"/>
                <w:szCs w:val="20"/>
              </w:rPr>
            </w:pPr>
            <w:r w:rsidRPr="00AC4AEA">
              <w:rPr>
                <w:rFonts w:ascii="Arial" w:hAnsi="Arial" w:cs="Arial"/>
                <w:color w:val="00B050"/>
                <w:sz w:val="20"/>
                <w:szCs w:val="20"/>
              </w:rPr>
              <w:t xml:space="preserve">Las Resoluciones Técnicas N° 17 y </w:t>
            </w:r>
            <w:r w:rsidR="002E5B81" w:rsidRPr="00AC4AEA">
              <w:rPr>
                <w:rFonts w:ascii="Arial" w:hAnsi="Arial" w:cs="Arial"/>
                <w:color w:val="00B050"/>
                <w:sz w:val="20"/>
                <w:szCs w:val="20"/>
              </w:rPr>
              <w:t xml:space="preserve">N° </w:t>
            </w:r>
            <w:r w:rsidRPr="00AC4AEA">
              <w:rPr>
                <w:rFonts w:ascii="Arial" w:hAnsi="Arial" w:cs="Arial"/>
                <w:color w:val="00B050"/>
                <w:sz w:val="20"/>
                <w:szCs w:val="20"/>
              </w:rPr>
              <w:t xml:space="preserve">41 establecían como “casos particulares” de medición posteriores de partidas comprendidas en el rubro </w:t>
            </w:r>
            <w:r w:rsidR="00327D4F" w:rsidRPr="00AC4AEA">
              <w:rPr>
                <w:rFonts w:ascii="Arial" w:hAnsi="Arial" w:cs="Arial"/>
                <w:color w:val="00B050"/>
                <w:sz w:val="20"/>
                <w:szCs w:val="20"/>
              </w:rPr>
              <w:t>“</w:t>
            </w:r>
            <w:r w:rsidRPr="00AC4AEA">
              <w:rPr>
                <w:rFonts w:ascii="Arial" w:hAnsi="Arial" w:cs="Arial"/>
                <w:color w:val="00B050"/>
                <w:sz w:val="20"/>
                <w:szCs w:val="20"/>
                <w:u w:val="single"/>
              </w:rPr>
              <w:t>bienes de cambio</w:t>
            </w:r>
            <w:r w:rsidR="00327D4F" w:rsidRPr="00AC4AEA">
              <w:rPr>
                <w:rFonts w:ascii="Arial" w:hAnsi="Arial" w:cs="Arial"/>
                <w:color w:val="00B050"/>
                <w:sz w:val="20"/>
                <w:szCs w:val="20"/>
              </w:rPr>
              <w:t>”</w:t>
            </w:r>
            <w:r w:rsidRPr="00AC4AEA">
              <w:rPr>
                <w:rFonts w:ascii="Arial" w:hAnsi="Arial" w:cs="Arial"/>
                <w:color w:val="00B050"/>
                <w:sz w:val="20"/>
                <w:szCs w:val="20"/>
              </w:rPr>
              <w:t>, siempre que se hubieran satisfecho ciertas condiciones, a las siguientes:</w:t>
            </w:r>
          </w:p>
          <w:p w:rsidR="008B097E" w:rsidRPr="00AC4AEA" w:rsidRDefault="008B097E" w:rsidP="00A318EA">
            <w:pPr>
              <w:pStyle w:val="Prrafodelista"/>
              <w:numPr>
                <w:ilvl w:val="0"/>
                <w:numId w:val="314"/>
              </w:numPr>
              <w:contextualSpacing w:val="0"/>
              <w:rPr>
                <w:rFonts w:ascii="Arial" w:hAnsi="Arial" w:cs="Arial"/>
                <w:color w:val="00B050"/>
                <w:sz w:val="20"/>
                <w:szCs w:val="20"/>
              </w:rPr>
            </w:pPr>
            <w:r w:rsidRPr="00AC4AEA">
              <w:rPr>
                <w:rFonts w:ascii="Arial" w:hAnsi="Arial" w:cs="Arial"/>
                <w:color w:val="00B050"/>
                <w:sz w:val="20"/>
                <w:szCs w:val="20"/>
              </w:rPr>
              <w:t>Valor neto de realización, para los bienes de cambio sobre los que se hayan recibido anticipos que fijan precio y las condiciones contractuales de la operación aseguren la efectiva concreción de la venta y de la ganancia.</w:t>
            </w:r>
          </w:p>
          <w:p w:rsidR="008B097E" w:rsidRPr="00AC4AEA" w:rsidRDefault="00F76D84" w:rsidP="00A318EA">
            <w:pPr>
              <w:pStyle w:val="Prrafodelista"/>
              <w:numPr>
                <w:ilvl w:val="0"/>
                <w:numId w:val="314"/>
              </w:numPr>
              <w:contextualSpacing w:val="0"/>
              <w:rPr>
                <w:rFonts w:ascii="Arial" w:hAnsi="Arial" w:cs="Arial"/>
                <w:color w:val="00B050"/>
                <w:sz w:val="20"/>
                <w:szCs w:val="20"/>
              </w:rPr>
            </w:pPr>
            <w:r w:rsidRPr="00AC4AEA">
              <w:rPr>
                <w:rFonts w:ascii="Arial" w:hAnsi="Arial" w:cs="Arial"/>
                <w:color w:val="00B050"/>
                <w:sz w:val="20"/>
                <w:szCs w:val="20"/>
              </w:rPr>
              <w:t>Valor neto de realización proporcionado de acuerdo con el grado de avance de la producción o construcción y del correspondiente proceso de generación de resultados</w:t>
            </w:r>
            <w:r w:rsidR="00F63629" w:rsidRPr="00AC4AEA">
              <w:rPr>
                <w:rFonts w:ascii="Arial" w:hAnsi="Arial" w:cs="Arial"/>
                <w:color w:val="00B050"/>
                <w:sz w:val="20"/>
                <w:szCs w:val="20"/>
              </w:rPr>
              <w:t>, para bienes de cambio en producción o construcción mediante un proceso prolongado (excepto</w:t>
            </w:r>
            <w:r w:rsidR="00F63629" w:rsidRPr="00CD5A6B">
              <w:rPr>
                <w:rFonts w:ascii="Arial" w:hAnsi="Arial" w:cs="Arial"/>
                <w:b/>
                <w:bCs/>
                <w:color w:val="00B050"/>
                <w:sz w:val="20"/>
                <w:szCs w:val="20"/>
              </w:rPr>
              <w:t xml:space="preserve"> </w:t>
            </w:r>
            <w:r w:rsidR="00497590" w:rsidRPr="00CD5A6B">
              <w:rPr>
                <w:rFonts w:ascii="Arial" w:hAnsi="Arial" w:cs="Arial"/>
                <w:b/>
                <w:bCs/>
                <w:color w:val="00B050"/>
                <w:sz w:val="20"/>
                <w:szCs w:val="20"/>
              </w:rPr>
              <w:t>activos</w:t>
            </w:r>
            <w:r w:rsidR="00F63629" w:rsidRPr="00CD5A6B">
              <w:rPr>
                <w:rFonts w:ascii="Arial" w:hAnsi="Arial" w:cs="Arial"/>
                <w:b/>
                <w:bCs/>
                <w:color w:val="00B050"/>
                <w:sz w:val="20"/>
                <w:szCs w:val="20"/>
              </w:rPr>
              <w:t xml:space="preserve"> biológicos</w:t>
            </w:r>
            <w:r w:rsidR="00F63629" w:rsidRPr="00AC4AEA">
              <w:rPr>
                <w:rFonts w:ascii="Arial" w:hAnsi="Arial" w:cs="Arial"/>
                <w:color w:val="00B050"/>
                <w:sz w:val="20"/>
                <w:szCs w:val="20"/>
              </w:rPr>
              <w:t>) siempre que cumplan determinadas conclusiones.</w:t>
            </w:r>
          </w:p>
          <w:p w:rsidR="009E5EDC" w:rsidRPr="00AC4AEA" w:rsidRDefault="009E5EDC" w:rsidP="00A318EA">
            <w:pPr>
              <w:rPr>
                <w:rFonts w:ascii="Arial" w:hAnsi="Arial" w:cs="Arial"/>
                <w:color w:val="00B050"/>
                <w:sz w:val="20"/>
                <w:szCs w:val="20"/>
              </w:rPr>
            </w:pPr>
            <w:r w:rsidRPr="00AC4AEA">
              <w:rPr>
                <w:rFonts w:ascii="Arial" w:hAnsi="Arial" w:cs="Arial"/>
                <w:color w:val="00B050"/>
                <w:sz w:val="20"/>
                <w:szCs w:val="20"/>
              </w:rPr>
              <w:t>Durante el desarrollo de la presente Resolución Técnica, CENCyA concluyó que la aplicación de estos criterios genera información contraria a la intuición, dado que:</w:t>
            </w:r>
          </w:p>
          <w:p w:rsidR="009E5EDC" w:rsidRPr="00AC4AEA" w:rsidRDefault="009E5EDC" w:rsidP="00A318EA">
            <w:pPr>
              <w:pStyle w:val="Prrafodelista"/>
              <w:numPr>
                <w:ilvl w:val="0"/>
                <w:numId w:val="358"/>
              </w:numPr>
              <w:contextualSpacing w:val="0"/>
              <w:rPr>
                <w:rFonts w:ascii="Arial" w:hAnsi="Arial" w:cs="Arial"/>
                <w:color w:val="00B050"/>
                <w:sz w:val="20"/>
                <w:szCs w:val="20"/>
              </w:rPr>
            </w:pPr>
            <w:r w:rsidRPr="00AC4AEA">
              <w:rPr>
                <w:rFonts w:ascii="Arial" w:hAnsi="Arial" w:cs="Arial"/>
                <w:color w:val="00B050"/>
                <w:sz w:val="20"/>
                <w:szCs w:val="20"/>
              </w:rPr>
              <w:t xml:space="preserve">No existen argumentos </w:t>
            </w:r>
            <w:r w:rsidR="00327D4F" w:rsidRPr="00AC4AEA">
              <w:rPr>
                <w:rFonts w:ascii="Arial" w:hAnsi="Arial" w:cs="Arial"/>
                <w:color w:val="00B050"/>
                <w:sz w:val="20"/>
                <w:szCs w:val="20"/>
              </w:rPr>
              <w:t>de peso</w:t>
            </w:r>
            <w:r w:rsidRPr="00AC4AEA">
              <w:rPr>
                <w:rFonts w:ascii="Arial" w:hAnsi="Arial" w:cs="Arial"/>
                <w:color w:val="00B050"/>
                <w:sz w:val="20"/>
                <w:szCs w:val="20"/>
              </w:rPr>
              <w:t xml:space="preserve"> para sostener que el hecho de</w:t>
            </w:r>
            <w:r w:rsidR="002E5B81" w:rsidRPr="00AC4AEA">
              <w:rPr>
                <w:rFonts w:ascii="Arial" w:hAnsi="Arial" w:cs="Arial"/>
                <w:color w:val="00B050"/>
                <w:sz w:val="20"/>
                <w:szCs w:val="20"/>
              </w:rPr>
              <w:t xml:space="preserve"> que</w:t>
            </w:r>
            <w:r w:rsidRPr="00AC4AEA">
              <w:rPr>
                <w:rFonts w:ascii="Arial" w:hAnsi="Arial" w:cs="Arial"/>
                <w:color w:val="00B050"/>
                <w:sz w:val="20"/>
                <w:szCs w:val="20"/>
              </w:rPr>
              <w:t xml:space="preserve"> la en</w:t>
            </w:r>
            <w:r w:rsidR="002B3436" w:rsidRPr="00AC4AEA">
              <w:rPr>
                <w:rFonts w:ascii="Arial" w:hAnsi="Arial" w:cs="Arial"/>
                <w:color w:val="00B050"/>
                <w:sz w:val="20"/>
                <w:szCs w:val="20"/>
              </w:rPr>
              <w:t xml:space="preserve">tidad </w:t>
            </w:r>
            <w:r w:rsidRPr="00AC4AEA">
              <w:rPr>
                <w:rFonts w:ascii="Arial" w:hAnsi="Arial" w:cs="Arial"/>
                <w:color w:val="00B050"/>
                <w:sz w:val="20"/>
                <w:szCs w:val="20"/>
              </w:rPr>
              <w:t>haya recibido anticipos que fijan precio y las condiciones contractuales de la operación aseguren la efectiva concreción de la venta y de la ganancia</w:t>
            </w:r>
            <w:r w:rsidR="002B3436" w:rsidRPr="00AC4AEA">
              <w:rPr>
                <w:rFonts w:ascii="Arial" w:hAnsi="Arial" w:cs="Arial"/>
                <w:color w:val="00B050"/>
                <w:sz w:val="20"/>
                <w:szCs w:val="20"/>
              </w:rPr>
              <w:t xml:space="preserve"> debe cambiar la base de medición de los bienes de cambio.</w:t>
            </w:r>
          </w:p>
          <w:p w:rsidR="002B3436" w:rsidRPr="00AC4AEA" w:rsidRDefault="00F60CB1" w:rsidP="00A318EA">
            <w:pPr>
              <w:pStyle w:val="Prrafodelista"/>
              <w:numPr>
                <w:ilvl w:val="0"/>
                <w:numId w:val="358"/>
              </w:numPr>
              <w:contextualSpacing w:val="0"/>
              <w:rPr>
                <w:rFonts w:ascii="Arial" w:hAnsi="Arial" w:cs="Arial"/>
                <w:color w:val="00B050"/>
                <w:sz w:val="20"/>
                <w:szCs w:val="20"/>
              </w:rPr>
            </w:pPr>
            <w:r w:rsidRPr="00AC4AEA">
              <w:rPr>
                <w:rFonts w:ascii="Arial" w:hAnsi="Arial" w:cs="Arial"/>
                <w:color w:val="00B050"/>
                <w:sz w:val="20"/>
                <w:szCs w:val="20"/>
              </w:rPr>
              <w:t>Clasificar como bienes de cambio</w:t>
            </w:r>
            <w:r w:rsidR="00CB488A" w:rsidRPr="00AC4AEA">
              <w:rPr>
                <w:rFonts w:ascii="Arial" w:hAnsi="Arial" w:cs="Arial"/>
                <w:color w:val="00B050"/>
                <w:sz w:val="20"/>
                <w:szCs w:val="20"/>
              </w:rPr>
              <w:t xml:space="preserve"> ciertos elementos</w:t>
            </w:r>
            <w:r w:rsidR="006110FF" w:rsidRPr="00AC4AEA">
              <w:rPr>
                <w:rFonts w:ascii="Arial" w:hAnsi="Arial" w:cs="Arial"/>
                <w:color w:val="00B050"/>
                <w:sz w:val="20"/>
                <w:szCs w:val="20"/>
              </w:rPr>
              <w:t xml:space="preserve"> que no siempre cumplen con la definición de “bienes de cambio”, </w:t>
            </w:r>
            <w:r w:rsidR="00CB488A" w:rsidRPr="00AC4AEA">
              <w:rPr>
                <w:rFonts w:ascii="Arial" w:hAnsi="Arial" w:cs="Arial"/>
                <w:color w:val="00B050"/>
                <w:sz w:val="20"/>
                <w:szCs w:val="20"/>
              </w:rPr>
              <w:t xml:space="preserve">y </w:t>
            </w:r>
            <w:r w:rsidR="006110FF" w:rsidRPr="00AC4AEA">
              <w:rPr>
                <w:rFonts w:ascii="Arial" w:hAnsi="Arial" w:cs="Arial"/>
                <w:color w:val="00B050"/>
                <w:sz w:val="20"/>
                <w:szCs w:val="20"/>
              </w:rPr>
              <w:t xml:space="preserve">que </w:t>
            </w:r>
            <w:r w:rsidRPr="00AC4AEA">
              <w:rPr>
                <w:rFonts w:ascii="Arial" w:hAnsi="Arial" w:cs="Arial"/>
                <w:color w:val="00B050"/>
                <w:sz w:val="20"/>
                <w:szCs w:val="20"/>
              </w:rPr>
              <w:t>proceden de un proceso prolongado de</w:t>
            </w:r>
            <w:r w:rsidR="002B3436" w:rsidRPr="00AC4AEA">
              <w:rPr>
                <w:rFonts w:ascii="Arial" w:hAnsi="Arial" w:cs="Arial"/>
                <w:color w:val="00B050"/>
                <w:sz w:val="20"/>
                <w:szCs w:val="20"/>
              </w:rPr>
              <w:t xml:space="preserve"> </w:t>
            </w:r>
            <w:r w:rsidR="00DB0A1C" w:rsidRPr="00AC4AEA">
              <w:rPr>
                <w:rFonts w:ascii="Arial" w:hAnsi="Arial" w:cs="Arial"/>
                <w:color w:val="00B050"/>
                <w:sz w:val="20"/>
                <w:szCs w:val="20"/>
              </w:rPr>
              <w:t xml:space="preserve">producción o construcción utilizando al valor neto de realización proporcionado al grado de avance no permite representar la verdadera naturaleza de la operación (naturaleza </w:t>
            </w:r>
            <w:r w:rsidR="00DB0A1C" w:rsidRPr="00AC4AEA">
              <w:rPr>
                <w:rFonts w:ascii="Arial" w:hAnsi="Arial" w:cs="Arial"/>
                <w:color w:val="00B050"/>
                <w:sz w:val="20"/>
                <w:szCs w:val="20"/>
              </w:rPr>
              <w:lastRenderedPageBreak/>
              <w:t xml:space="preserve">transaccional), dado que el resultado </w:t>
            </w:r>
            <w:r w:rsidR="005A424D" w:rsidRPr="00AC4AEA">
              <w:rPr>
                <w:rFonts w:ascii="Arial" w:hAnsi="Arial" w:cs="Arial"/>
                <w:color w:val="00B050"/>
                <w:sz w:val="20"/>
                <w:szCs w:val="20"/>
              </w:rPr>
              <w:t xml:space="preserve">da cuenta de una </w:t>
            </w:r>
            <w:r w:rsidR="006110FF" w:rsidRPr="00AC4AEA">
              <w:rPr>
                <w:rFonts w:ascii="Arial" w:hAnsi="Arial" w:cs="Arial"/>
                <w:color w:val="00B050"/>
                <w:sz w:val="20"/>
                <w:szCs w:val="20"/>
              </w:rPr>
              <w:t xml:space="preserve">entidad </w:t>
            </w:r>
            <w:r w:rsidR="005A424D" w:rsidRPr="00AC4AEA">
              <w:rPr>
                <w:rFonts w:ascii="Arial" w:hAnsi="Arial" w:cs="Arial"/>
                <w:color w:val="00B050"/>
                <w:sz w:val="20"/>
                <w:szCs w:val="20"/>
              </w:rPr>
              <w:t>que “gana por la mera tenencia” en lugar de una entidad que gene</w:t>
            </w:r>
            <w:r w:rsidR="00762F0D" w:rsidRPr="00AC4AEA">
              <w:rPr>
                <w:rFonts w:ascii="Arial" w:hAnsi="Arial" w:cs="Arial"/>
                <w:color w:val="00B050"/>
                <w:sz w:val="20"/>
                <w:szCs w:val="20"/>
              </w:rPr>
              <w:t>r</w:t>
            </w:r>
            <w:r w:rsidR="005A424D" w:rsidRPr="00AC4AEA">
              <w:rPr>
                <w:rFonts w:ascii="Arial" w:hAnsi="Arial" w:cs="Arial"/>
                <w:color w:val="00B050"/>
                <w:sz w:val="20"/>
                <w:szCs w:val="20"/>
              </w:rPr>
              <w:t>a ingresos por ventas a los cuales se les asoc</w:t>
            </w:r>
            <w:r w:rsidR="006110FF" w:rsidRPr="00AC4AEA">
              <w:rPr>
                <w:rFonts w:ascii="Arial" w:hAnsi="Arial" w:cs="Arial"/>
                <w:color w:val="00B050"/>
                <w:sz w:val="20"/>
                <w:szCs w:val="20"/>
              </w:rPr>
              <w:t>ian costos para obtener tales ingresos.</w:t>
            </w:r>
          </w:p>
          <w:p w:rsidR="006110FF" w:rsidRPr="00AC4AEA" w:rsidRDefault="006110FF" w:rsidP="00A318EA">
            <w:pPr>
              <w:rPr>
                <w:rFonts w:ascii="Arial" w:hAnsi="Arial" w:cs="Arial"/>
                <w:color w:val="00B050"/>
                <w:sz w:val="20"/>
                <w:szCs w:val="20"/>
              </w:rPr>
            </w:pPr>
            <w:r w:rsidRPr="00AC4AEA">
              <w:rPr>
                <w:rFonts w:ascii="Arial" w:hAnsi="Arial" w:cs="Arial"/>
                <w:color w:val="00B050"/>
                <w:sz w:val="20"/>
                <w:szCs w:val="20"/>
              </w:rPr>
              <w:t xml:space="preserve">Esto no significa, bajo ningún aspecto, que los ingresos no puedan medirse en estos </w:t>
            </w:r>
            <w:r w:rsidR="00CB488A" w:rsidRPr="00AC4AEA">
              <w:rPr>
                <w:rFonts w:ascii="Arial" w:hAnsi="Arial" w:cs="Arial"/>
                <w:color w:val="00B050"/>
                <w:sz w:val="20"/>
                <w:szCs w:val="20"/>
              </w:rPr>
              <w:t xml:space="preserve">casos considerando </w:t>
            </w:r>
            <w:r w:rsidR="00395AE8" w:rsidRPr="00AC4AEA">
              <w:rPr>
                <w:rFonts w:ascii="Arial" w:hAnsi="Arial" w:cs="Arial"/>
                <w:color w:val="00B050"/>
                <w:sz w:val="20"/>
                <w:szCs w:val="20"/>
              </w:rPr>
              <w:t>el grado de avance de la producción o construcción y del correspondiente proceso de generación de resultados, sino que deben modificarse las contrapartidas.</w:t>
            </w:r>
          </w:p>
          <w:p w:rsidR="00395AE8" w:rsidRPr="00AC4AEA" w:rsidRDefault="00395AE8" w:rsidP="00A318EA">
            <w:pPr>
              <w:rPr>
                <w:rFonts w:ascii="Arial" w:hAnsi="Arial" w:cs="Arial"/>
                <w:b/>
                <w:bCs/>
                <w:color w:val="00B050"/>
                <w:sz w:val="20"/>
                <w:szCs w:val="20"/>
                <w:u w:val="single"/>
              </w:rPr>
            </w:pPr>
            <w:r w:rsidRPr="00AC4AEA">
              <w:rPr>
                <w:rFonts w:ascii="Arial" w:hAnsi="Arial" w:cs="Arial"/>
                <w:b/>
                <w:bCs/>
                <w:color w:val="00B050"/>
                <w:sz w:val="20"/>
                <w:szCs w:val="20"/>
                <w:u w:val="single"/>
              </w:rPr>
              <w:t>Ejemplo:</w:t>
            </w:r>
          </w:p>
          <w:p w:rsidR="00395AE8" w:rsidRPr="00AC4AEA" w:rsidRDefault="00395AE8" w:rsidP="00A318EA">
            <w:pPr>
              <w:rPr>
                <w:rFonts w:ascii="Arial" w:hAnsi="Arial" w:cs="Arial"/>
                <w:color w:val="00B050"/>
                <w:sz w:val="20"/>
                <w:szCs w:val="20"/>
              </w:rPr>
            </w:pPr>
            <w:r w:rsidRPr="00AC4AEA">
              <w:rPr>
                <w:rFonts w:ascii="Arial" w:hAnsi="Arial" w:cs="Arial"/>
                <w:color w:val="00B050"/>
                <w:sz w:val="20"/>
                <w:szCs w:val="20"/>
              </w:rPr>
              <w:t xml:space="preserve">Una entidad </w:t>
            </w:r>
            <w:r w:rsidR="00B728C9" w:rsidRPr="00AC4AEA">
              <w:rPr>
                <w:rFonts w:ascii="Arial" w:hAnsi="Arial" w:cs="Arial"/>
                <w:color w:val="00B050"/>
                <w:sz w:val="20"/>
                <w:szCs w:val="20"/>
              </w:rPr>
              <w:t>acuerda con un cliente la construcción de cierto</w:t>
            </w:r>
            <w:r w:rsidR="00B728C9" w:rsidRPr="006F3AE5">
              <w:rPr>
                <w:rFonts w:ascii="Arial" w:hAnsi="Arial" w:cs="Arial"/>
                <w:b/>
                <w:bCs/>
                <w:color w:val="00B050"/>
                <w:sz w:val="20"/>
                <w:szCs w:val="20"/>
              </w:rPr>
              <w:t xml:space="preserve"> activo </w:t>
            </w:r>
            <w:r w:rsidR="00B728C9" w:rsidRPr="00AC4AEA">
              <w:rPr>
                <w:rFonts w:ascii="Arial" w:hAnsi="Arial" w:cs="Arial"/>
                <w:color w:val="00B050"/>
                <w:sz w:val="20"/>
                <w:szCs w:val="20"/>
              </w:rPr>
              <w:t>en un terreno propiedad del cliente.</w:t>
            </w:r>
            <w:r w:rsidR="00894471" w:rsidRPr="00AC4AEA">
              <w:rPr>
                <w:rFonts w:ascii="Arial" w:hAnsi="Arial" w:cs="Arial"/>
                <w:color w:val="00B050"/>
                <w:sz w:val="20"/>
                <w:szCs w:val="20"/>
              </w:rPr>
              <w:t xml:space="preserve"> El plazo de construcción se estimó en 2 años.</w:t>
            </w:r>
          </w:p>
          <w:p w:rsidR="00EC0E9D" w:rsidRPr="00AC4AEA" w:rsidRDefault="00EC0E9D" w:rsidP="00A318EA">
            <w:pPr>
              <w:rPr>
                <w:rFonts w:ascii="Arial" w:hAnsi="Arial" w:cs="Arial"/>
                <w:color w:val="00B050"/>
                <w:sz w:val="20"/>
                <w:szCs w:val="20"/>
              </w:rPr>
            </w:pPr>
            <w:r w:rsidRPr="00AC4AEA">
              <w:rPr>
                <w:rFonts w:ascii="Arial" w:hAnsi="Arial" w:cs="Arial"/>
                <w:color w:val="00B050"/>
                <w:sz w:val="20"/>
                <w:szCs w:val="20"/>
              </w:rPr>
              <w:t>La entidad</w:t>
            </w:r>
            <w:r w:rsidR="00C019DE" w:rsidRPr="00AC4AEA">
              <w:rPr>
                <w:rFonts w:ascii="Arial" w:hAnsi="Arial" w:cs="Arial"/>
                <w:color w:val="00B050"/>
                <w:sz w:val="20"/>
                <w:szCs w:val="20"/>
              </w:rPr>
              <w:t>, que ha recibido anticipos que fijan precio</w:t>
            </w:r>
            <w:r w:rsidR="004D2348" w:rsidRPr="00AC4AEA">
              <w:rPr>
                <w:rFonts w:ascii="Arial" w:hAnsi="Arial" w:cs="Arial"/>
                <w:color w:val="00B050"/>
                <w:sz w:val="20"/>
                <w:szCs w:val="20"/>
              </w:rPr>
              <w:t xml:space="preserve"> (20% del precio total del acuerdo)</w:t>
            </w:r>
            <w:r w:rsidRPr="00AC4AEA">
              <w:rPr>
                <w:rFonts w:ascii="Arial" w:hAnsi="Arial" w:cs="Arial"/>
                <w:color w:val="00B050"/>
                <w:sz w:val="20"/>
                <w:szCs w:val="20"/>
              </w:rPr>
              <w:t xml:space="preserve"> tiene la capacidad financiera para finalizar la obra</w:t>
            </w:r>
            <w:r w:rsidR="00894471" w:rsidRPr="00AC4AEA">
              <w:rPr>
                <w:rFonts w:ascii="Arial" w:hAnsi="Arial" w:cs="Arial"/>
                <w:color w:val="00B050"/>
                <w:sz w:val="20"/>
                <w:szCs w:val="20"/>
              </w:rPr>
              <w:t>,</w:t>
            </w:r>
            <w:r w:rsidRPr="00AC4AEA">
              <w:rPr>
                <w:rFonts w:ascii="Arial" w:hAnsi="Arial" w:cs="Arial"/>
                <w:color w:val="00B050"/>
                <w:sz w:val="20"/>
                <w:szCs w:val="20"/>
              </w:rPr>
              <w:t xml:space="preserve"> y</w:t>
            </w:r>
            <w:r w:rsidR="00894471" w:rsidRPr="00AC4AEA">
              <w:rPr>
                <w:rFonts w:ascii="Arial" w:hAnsi="Arial" w:cs="Arial"/>
                <w:color w:val="00B050"/>
                <w:sz w:val="20"/>
                <w:szCs w:val="20"/>
              </w:rPr>
              <w:t xml:space="preserve"> e</w:t>
            </w:r>
            <w:r w:rsidRPr="00AC4AEA">
              <w:rPr>
                <w:rFonts w:ascii="Arial" w:hAnsi="Arial" w:cs="Arial"/>
                <w:color w:val="00B050"/>
                <w:sz w:val="20"/>
                <w:szCs w:val="20"/>
              </w:rPr>
              <w:t>xiste certidumbre respecto de la concreción de la ganancia.</w:t>
            </w:r>
          </w:p>
          <w:p w:rsidR="00894471" w:rsidRPr="00AC4AEA" w:rsidRDefault="004D327F" w:rsidP="00A318EA">
            <w:pPr>
              <w:rPr>
                <w:rFonts w:ascii="Arial" w:hAnsi="Arial" w:cs="Arial"/>
                <w:color w:val="00B050"/>
                <w:sz w:val="20"/>
                <w:szCs w:val="20"/>
              </w:rPr>
            </w:pPr>
            <w:r w:rsidRPr="00AC4AEA">
              <w:rPr>
                <w:rFonts w:ascii="Arial" w:hAnsi="Arial" w:cs="Arial"/>
                <w:color w:val="00B050"/>
                <w:sz w:val="20"/>
                <w:szCs w:val="20"/>
              </w:rPr>
              <w:t xml:space="preserve">Los importes involucrados en el </w:t>
            </w:r>
            <w:r w:rsidRPr="003A4B10">
              <w:rPr>
                <w:rFonts w:ascii="Arial" w:hAnsi="Arial" w:cs="Arial"/>
                <w:b/>
                <w:bCs/>
                <w:color w:val="00B050"/>
                <w:sz w:val="20"/>
                <w:szCs w:val="20"/>
              </w:rPr>
              <w:t>contrato</w:t>
            </w:r>
            <w:r w:rsidRPr="00AC4AEA">
              <w:rPr>
                <w:rFonts w:ascii="Arial" w:hAnsi="Arial" w:cs="Arial"/>
                <w:color w:val="00B050"/>
                <w:sz w:val="20"/>
                <w:szCs w:val="20"/>
              </w:rPr>
              <w:t xml:space="preserve"> son los siguientes:</w:t>
            </w:r>
          </w:p>
          <w:p w:rsidR="004D327F" w:rsidRPr="00AC4AEA" w:rsidRDefault="00A82EFF" w:rsidP="00A318EA">
            <w:pPr>
              <w:rPr>
                <w:rFonts w:ascii="Arial" w:hAnsi="Arial" w:cs="Arial"/>
                <w:color w:val="00B050"/>
                <w:sz w:val="20"/>
                <w:szCs w:val="20"/>
              </w:rPr>
            </w:pPr>
            <w:r w:rsidRPr="00AC4AEA">
              <w:rPr>
                <w:rFonts w:ascii="Arial" w:hAnsi="Arial" w:cs="Arial"/>
                <w:color w:val="00B050"/>
                <w:sz w:val="20"/>
                <w:szCs w:val="20"/>
              </w:rPr>
              <w:t xml:space="preserve">                    </w:t>
            </w:r>
            <w:r w:rsidR="004D327F" w:rsidRPr="00AC4AEA">
              <w:rPr>
                <w:rFonts w:ascii="Arial" w:hAnsi="Arial" w:cs="Arial"/>
                <w:color w:val="00B050"/>
                <w:sz w:val="20"/>
                <w:szCs w:val="20"/>
              </w:rPr>
              <w:t xml:space="preserve"> </w:t>
            </w:r>
            <w:r w:rsidR="0017106E" w:rsidRPr="00AC4AEA">
              <w:rPr>
                <w:rFonts w:ascii="Arial" w:hAnsi="Arial" w:cs="Arial"/>
                <w:color w:val="00B050"/>
                <w:sz w:val="20"/>
                <w:szCs w:val="20"/>
              </w:rPr>
              <w:t xml:space="preserve">              </w:t>
            </w:r>
            <w:r w:rsidR="004D327F" w:rsidRPr="00AC4AEA">
              <w:rPr>
                <w:rFonts w:ascii="Arial" w:hAnsi="Arial" w:cs="Arial"/>
                <w:color w:val="00B050"/>
                <w:sz w:val="20"/>
                <w:szCs w:val="20"/>
              </w:rPr>
              <w:t>Año 1</w:t>
            </w:r>
            <w:r w:rsidRPr="00AC4AEA">
              <w:rPr>
                <w:rFonts w:ascii="Arial" w:hAnsi="Arial" w:cs="Arial"/>
                <w:color w:val="00B050"/>
                <w:sz w:val="20"/>
                <w:szCs w:val="20"/>
              </w:rPr>
              <w:t xml:space="preserve">          </w:t>
            </w:r>
            <w:r w:rsidR="004D327F" w:rsidRPr="00AC4AEA">
              <w:rPr>
                <w:rFonts w:ascii="Arial" w:hAnsi="Arial" w:cs="Arial"/>
                <w:color w:val="00B050"/>
                <w:sz w:val="20"/>
                <w:szCs w:val="20"/>
              </w:rPr>
              <w:t xml:space="preserve"> Año 2</w:t>
            </w:r>
            <w:r w:rsidRPr="00AC4AEA">
              <w:rPr>
                <w:rFonts w:ascii="Arial" w:hAnsi="Arial" w:cs="Arial"/>
                <w:color w:val="00B050"/>
                <w:sz w:val="20"/>
                <w:szCs w:val="20"/>
              </w:rPr>
              <w:t xml:space="preserve">      </w:t>
            </w:r>
            <w:r w:rsidR="00852797" w:rsidRPr="00AC4AEA">
              <w:rPr>
                <w:rFonts w:ascii="Arial" w:hAnsi="Arial" w:cs="Arial"/>
                <w:color w:val="00B050"/>
                <w:sz w:val="20"/>
                <w:szCs w:val="20"/>
              </w:rPr>
              <w:t>Acumulado</w:t>
            </w:r>
          </w:p>
          <w:p w:rsidR="004D327F" w:rsidRPr="00AC4AEA" w:rsidRDefault="004D327F" w:rsidP="00A318EA">
            <w:pPr>
              <w:rPr>
                <w:rFonts w:ascii="Arial" w:hAnsi="Arial" w:cs="Arial"/>
                <w:color w:val="00B050"/>
                <w:sz w:val="20"/>
                <w:szCs w:val="20"/>
              </w:rPr>
            </w:pPr>
            <w:r w:rsidRPr="00AC4AEA">
              <w:rPr>
                <w:rFonts w:ascii="Arial" w:hAnsi="Arial" w:cs="Arial"/>
                <w:color w:val="00B050"/>
                <w:sz w:val="20"/>
                <w:szCs w:val="20"/>
              </w:rPr>
              <w:t>Costos incurridos:</w:t>
            </w:r>
            <w:r w:rsidR="00A82EFF" w:rsidRPr="00AC4AEA">
              <w:rPr>
                <w:rFonts w:ascii="Arial" w:hAnsi="Arial" w:cs="Arial"/>
                <w:color w:val="00B050"/>
                <w:sz w:val="20"/>
                <w:szCs w:val="20"/>
              </w:rPr>
              <w:t xml:space="preserve">       </w:t>
            </w:r>
            <w:r w:rsidRPr="00AC4AEA">
              <w:rPr>
                <w:rFonts w:ascii="Arial" w:hAnsi="Arial" w:cs="Arial"/>
                <w:color w:val="00B050"/>
                <w:sz w:val="20"/>
                <w:szCs w:val="20"/>
              </w:rPr>
              <w:t xml:space="preserve"> 150</w:t>
            </w:r>
            <w:r w:rsidR="00A82EFF" w:rsidRPr="00AC4AEA">
              <w:rPr>
                <w:rFonts w:ascii="Arial" w:hAnsi="Arial" w:cs="Arial"/>
                <w:color w:val="00B050"/>
                <w:sz w:val="20"/>
                <w:szCs w:val="20"/>
              </w:rPr>
              <w:t xml:space="preserve">            </w:t>
            </w:r>
            <w:r w:rsidR="007D43C5" w:rsidRPr="00AC4AEA">
              <w:rPr>
                <w:rFonts w:ascii="Arial" w:hAnsi="Arial" w:cs="Arial"/>
                <w:color w:val="00B050"/>
                <w:sz w:val="20"/>
                <w:szCs w:val="20"/>
              </w:rPr>
              <w:t xml:space="preserve"> 250</w:t>
            </w:r>
            <w:r w:rsidR="00A82EFF" w:rsidRPr="00AC4AEA">
              <w:rPr>
                <w:rFonts w:ascii="Arial" w:hAnsi="Arial" w:cs="Arial"/>
                <w:color w:val="00B050"/>
                <w:sz w:val="20"/>
                <w:szCs w:val="20"/>
              </w:rPr>
              <w:t xml:space="preserve">         </w:t>
            </w:r>
            <w:r w:rsidR="0017106E" w:rsidRPr="00AC4AEA">
              <w:rPr>
                <w:rFonts w:ascii="Arial" w:hAnsi="Arial" w:cs="Arial"/>
                <w:color w:val="00B050"/>
                <w:sz w:val="20"/>
                <w:szCs w:val="20"/>
              </w:rPr>
              <w:t xml:space="preserve">    </w:t>
            </w:r>
            <w:r w:rsidR="0056356C" w:rsidRPr="00AC4AEA">
              <w:rPr>
                <w:rFonts w:ascii="Arial" w:hAnsi="Arial" w:cs="Arial"/>
                <w:color w:val="00B050"/>
                <w:sz w:val="20"/>
                <w:szCs w:val="20"/>
              </w:rPr>
              <w:t xml:space="preserve"> </w:t>
            </w:r>
            <w:r w:rsidR="007D43C5" w:rsidRPr="00AC4AEA">
              <w:rPr>
                <w:rFonts w:ascii="Arial" w:hAnsi="Arial" w:cs="Arial"/>
                <w:color w:val="00B050"/>
                <w:sz w:val="20"/>
                <w:szCs w:val="20"/>
              </w:rPr>
              <w:t>400</w:t>
            </w:r>
          </w:p>
          <w:p w:rsidR="007D43C5" w:rsidRPr="00AC4AEA" w:rsidRDefault="007D43C5" w:rsidP="00A318EA">
            <w:pPr>
              <w:rPr>
                <w:rFonts w:ascii="Arial" w:hAnsi="Arial" w:cs="Arial"/>
                <w:color w:val="00B050"/>
                <w:sz w:val="20"/>
                <w:szCs w:val="20"/>
              </w:rPr>
            </w:pPr>
            <w:r w:rsidRPr="00AC4AEA">
              <w:rPr>
                <w:rFonts w:ascii="Arial" w:hAnsi="Arial" w:cs="Arial"/>
                <w:color w:val="00B050"/>
                <w:sz w:val="20"/>
                <w:szCs w:val="20"/>
              </w:rPr>
              <w:t>Grado de avance:</w:t>
            </w:r>
            <w:r w:rsidR="00A82EFF" w:rsidRPr="00AC4AEA">
              <w:rPr>
                <w:rFonts w:ascii="Arial" w:hAnsi="Arial" w:cs="Arial"/>
                <w:color w:val="00B050"/>
                <w:sz w:val="20"/>
                <w:szCs w:val="20"/>
              </w:rPr>
              <w:t xml:space="preserve">   </w:t>
            </w:r>
            <w:r w:rsidR="00367228" w:rsidRPr="00AC4AEA">
              <w:rPr>
                <w:rFonts w:ascii="Arial" w:hAnsi="Arial" w:cs="Arial"/>
                <w:color w:val="00B050"/>
                <w:sz w:val="20"/>
                <w:szCs w:val="20"/>
              </w:rPr>
              <w:t>37,5%</w:t>
            </w:r>
            <w:r w:rsidR="00A82EFF" w:rsidRPr="00AC4AEA">
              <w:rPr>
                <w:rFonts w:ascii="Arial" w:hAnsi="Arial" w:cs="Arial"/>
                <w:color w:val="00B050"/>
                <w:sz w:val="20"/>
                <w:szCs w:val="20"/>
              </w:rPr>
              <w:t xml:space="preserve">          </w:t>
            </w:r>
            <w:r w:rsidR="0017106E" w:rsidRPr="00AC4AEA">
              <w:rPr>
                <w:rFonts w:ascii="Arial" w:hAnsi="Arial" w:cs="Arial"/>
                <w:color w:val="00B050"/>
                <w:sz w:val="20"/>
                <w:szCs w:val="20"/>
              </w:rPr>
              <w:t xml:space="preserve">  </w:t>
            </w:r>
            <w:r w:rsidR="00852797" w:rsidRPr="00AC4AEA">
              <w:rPr>
                <w:rFonts w:ascii="Arial" w:hAnsi="Arial" w:cs="Arial"/>
                <w:color w:val="00B050"/>
                <w:sz w:val="20"/>
                <w:szCs w:val="20"/>
              </w:rPr>
              <w:t>62,5%</w:t>
            </w:r>
            <w:r w:rsidR="00A82EFF" w:rsidRPr="00AC4AEA">
              <w:rPr>
                <w:rFonts w:ascii="Arial" w:hAnsi="Arial" w:cs="Arial"/>
                <w:color w:val="00B050"/>
                <w:sz w:val="20"/>
                <w:szCs w:val="20"/>
              </w:rPr>
              <w:t xml:space="preserve">    </w:t>
            </w:r>
            <w:r w:rsidR="0017106E" w:rsidRPr="00AC4AEA">
              <w:rPr>
                <w:rFonts w:ascii="Arial" w:hAnsi="Arial" w:cs="Arial"/>
                <w:color w:val="00B050"/>
                <w:sz w:val="20"/>
                <w:szCs w:val="20"/>
              </w:rPr>
              <w:t xml:space="preserve">  </w:t>
            </w:r>
            <w:r w:rsidR="00A82EFF" w:rsidRPr="00AC4AEA">
              <w:rPr>
                <w:rFonts w:ascii="Arial" w:hAnsi="Arial" w:cs="Arial"/>
                <w:color w:val="00B050"/>
                <w:sz w:val="20"/>
                <w:szCs w:val="20"/>
              </w:rPr>
              <w:t xml:space="preserve">   </w:t>
            </w:r>
            <w:r w:rsidR="00852797" w:rsidRPr="00AC4AEA">
              <w:rPr>
                <w:rFonts w:ascii="Arial" w:hAnsi="Arial" w:cs="Arial"/>
                <w:color w:val="00B050"/>
                <w:sz w:val="20"/>
                <w:szCs w:val="20"/>
              </w:rPr>
              <w:t xml:space="preserve"> 100%</w:t>
            </w:r>
          </w:p>
          <w:p w:rsidR="00852797" w:rsidRPr="00AC4AEA" w:rsidRDefault="00852797" w:rsidP="00A318EA">
            <w:pPr>
              <w:rPr>
                <w:rFonts w:ascii="Arial" w:hAnsi="Arial" w:cs="Arial"/>
                <w:color w:val="00B050"/>
                <w:sz w:val="20"/>
                <w:szCs w:val="20"/>
              </w:rPr>
            </w:pPr>
            <w:r w:rsidRPr="00AC4AEA">
              <w:rPr>
                <w:rFonts w:ascii="Arial" w:hAnsi="Arial" w:cs="Arial"/>
                <w:color w:val="00B050"/>
                <w:sz w:val="20"/>
                <w:szCs w:val="20"/>
              </w:rPr>
              <w:t>Precio total</w:t>
            </w:r>
            <w:r w:rsidR="00A82EFF" w:rsidRPr="00AC4AEA">
              <w:rPr>
                <w:rFonts w:ascii="Arial" w:hAnsi="Arial" w:cs="Arial"/>
                <w:color w:val="00B050"/>
                <w:sz w:val="20"/>
                <w:szCs w:val="20"/>
              </w:rPr>
              <w:t xml:space="preserve">                                        </w:t>
            </w:r>
            <w:r w:rsidR="00B110D4" w:rsidRPr="00AC4AEA">
              <w:rPr>
                <w:rFonts w:ascii="Arial" w:hAnsi="Arial" w:cs="Arial"/>
                <w:color w:val="00B050"/>
                <w:sz w:val="20"/>
                <w:szCs w:val="20"/>
              </w:rPr>
              <w:t xml:space="preserve"> </w:t>
            </w:r>
            <w:r w:rsidR="0056356C" w:rsidRPr="00AC4AEA">
              <w:rPr>
                <w:rFonts w:ascii="Arial" w:hAnsi="Arial" w:cs="Arial"/>
                <w:color w:val="00B050"/>
                <w:sz w:val="20"/>
                <w:szCs w:val="20"/>
              </w:rPr>
              <w:t xml:space="preserve">                 </w:t>
            </w:r>
            <w:r w:rsidR="004D2348" w:rsidRPr="00AC4AEA">
              <w:rPr>
                <w:rFonts w:ascii="Arial" w:hAnsi="Arial" w:cs="Arial"/>
                <w:color w:val="00B050"/>
                <w:sz w:val="20"/>
                <w:szCs w:val="20"/>
              </w:rPr>
              <w:t>700</w:t>
            </w:r>
          </w:p>
          <w:p w:rsidR="004D2348" w:rsidRPr="00AC4AEA" w:rsidRDefault="004D2348" w:rsidP="00A318EA">
            <w:pPr>
              <w:rPr>
                <w:rFonts w:ascii="Arial" w:hAnsi="Arial" w:cs="Arial"/>
                <w:b/>
                <w:bCs/>
                <w:color w:val="00B050"/>
                <w:sz w:val="20"/>
                <w:szCs w:val="20"/>
                <w:u w:val="single"/>
              </w:rPr>
            </w:pPr>
            <w:r w:rsidRPr="00AC4AEA">
              <w:rPr>
                <w:rFonts w:ascii="Arial" w:hAnsi="Arial" w:cs="Arial"/>
                <w:b/>
                <w:bCs/>
                <w:color w:val="00B050"/>
                <w:sz w:val="20"/>
                <w:szCs w:val="20"/>
                <w:u w:val="single"/>
              </w:rPr>
              <w:t xml:space="preserve">Solución aplicando los </w:t>
            </w:r>
            <w:r w:rsidR="00B110D4" w:rsidRPr="00AC4AEA">
              <w:rPr>
                <w:rFonts w:ascii="Arial" w:hAnsi="Arial" w:cs="Arial"/>
                <w:b/>
                <w:bCs/>
                <w:color w:val="00B050"/>
                <w:sz w:val="20"/>
                <w:szCs w:val="20"/>
                <w:u w:val="single"/>
              </w:rPr>
              <w:t>requerimientos</w:t>
            </w:r>
            <w:r w:rsidRPr="00AC4AEA">
              <w:rPr>
                <w:rFonts w:ascii="Arial" w:hAnsi="Arial" w:cs="Arial"/>
                <w:b/>
                <w:bCs/>
                <w:color w:val="00B050"/>
                <w:sz w:val="20"/>
                <w:szCs w:val="20"/>
                <w:u w:val="single"/>
              </w:rPr>
              <w:t xml:space="preserve"> de la RT N° 17 / RT N° 41</w:t>
            </w:r>
          </w:p>
          <w:tbl>
            <w:tblPr>
              <w:tblStyle w:val="Tablaconcuadrcula"/>
              <w:tblW w:w="0" w:type="auto"/>
              <w:tblLook w:val="04A0"/>
            </w:tblPr>
            <w:tblGrid>
              <w:gridCol w:w="3139"/>
              <w:gridCol w:w="1318"/>
              <w:gridCol w:w="1318"/>
              <w:gridCol w:w="1318"/>
              <w:gridCol w:w="1318"/>
            </w:tblGrid>
            <w:tr w:rsidR="00D65FB1" w:rsidRPr="00AC4AEA" w:rsidTr="00E652D3">
              <w:tc>
                <w:tcPr>
                  <w:tcW w:w="3139" w:type="dxa"/>
                  <w:vAlign w:val="bottom"/>
                </w:tcPr>
                <w:p w:rsidR="00E652D3" w:rsidRPr="00AC4AEA" w:rsidRDefault="00E652D3" w:rsidP="00A318EA">
                  <w:pPr>
                    <w:jc w:val="center"/>
                    <w:rPr>
                      <w:rFonts w:ascii="Arial" w:hAnsi="Arial" w:cs="Arial"/>
                      <w:color w:val="00B050"/>
                      <w:sz w:val="20"/>
                      <w:szCs w:val="20"/>
                    </w:rPr>
                  </w:pPr>
                </w:p>
              </w:tc>
              <w:tc>
                <w:tcPr>
                  <w:tcW w:w="1318" w:type="dxa"/>
                </w:tcPr>
                <w:p w:rsidR="00E652D3" w:rsidRPr="00AC4AEA" w:rsidRDefault="00E652D3" w:rsidP="00A318EA">
                  <w:pPr>
                    <w:jc w:val="center"/>
                    <w:rPr>
                      <w:rFonts w:ascii="Arial" w:hAnsi="Arial" w:cs="Arial"/>
                      <w:color w:val="00B050"/>
                      <w:sz w:val="20"/>
                      <w:szCs w:val="20"/>
                    </w:rPr>
                  </w:pPr>
                  <w:r w:rsidRPr="00AC4AEA">
                    <w:rPr>
                      <w:rFonts w:ascii="Arial" w:hAnsi="Arial" w:cs="Arial"/>
                      <w:color w:val="00B050"/>
                      <w:sz w:val="20"/>
                      <w:szCs w:val="20"/>
                    </w:rPr>
                    <w:t>Año 1</w:t>
                  </w:r>
                </w:p>
              </w:tc>
              <w:tc>
                <w:tcPr>
                  <w:tcW w:w="1318" w:type="dxa"/>
                </w:tcPr>
                <w:p w:rsidR="00E652D3" w:rsidRPr="00AC4AEA" w:rsidRDefault="00E652D3" w:rsidP="00A318EA">
                  <w:pPr>
                    <w:jc w:val="center"/>
                    <w:rPr>
                      <w:rFonts w:ascii="Arial" w:hAnsi="Arial" w:cs="Arial"/>
                      <w:color w:val="00B050"/>
                      <w:sz w:val="20"/>
                      <w:szCs w:val="20"/>
                    </w:rPr>
                  </w:pPr>
                  <w:r w:rsidRPr="00AC4AEA">
                    <w:rPr>
                      <w:rFonts w:ascii="Arial" w:hAnsi="Arial" w:cs="Arial"/>
                      <w:color w:val="00B050"/>
                      <w:sz w:val="20"/>
                      <w:szCs w:val="20"/>
                    </w:rPr>
                    <w:t xml:space="preserve">Año 2 </w:t>
                  </w:r>
                  <w:r w:rsidRPr="00AC4AEA">
                    <w:rPr>
                      <w:rFonts w:ascii="Arial" w:hAnsi="Arial" w:cs="Arial"/>
                      <w:color w:val="00B050"/>
                      <w:sz w:val="20"/>
                      <w:szCs w:val="20"/>
                    </w:rPr>
                    <w:br/>
                    <w:t>(antes del “cierre de obra”)</w:t>
                  </w:r>
                </w:p>
              </w:tc>
              <w:tc>
                <w:tcPr>
                  <w:tcW w:w="1318" w:type="dxa"/>
                </w:tcPr>
                <w:p w:rsidR="00E652D3" w:rsidRPr="00AC4AEA" w:rsidRDefault="00E652D3" w:rsidP="00A318EA">
                  <w:pPr>
                    <w:jc w:val="center"/>
                    <w:rPr>
                      <w:rFonts w:ascii="Arial" w:hAnsi="Arial" w:cs="Arial"/>
                      <w:color w:val="00B050"/>
                      <w:sz w:val="20"/>
                      <w:szCs w:val="20"/>
                    </w:rPr>
                  </w:pPr>
                  <w:r w:rsidRPr="00AC4AEA">
                    <w:rPr>
                      <w:rFonts w:ascii="Arial" w:hAnsi="Arial" w:cs="Arial"/>
                      <w:color w:val="00B050"/>
                      <w:sz w:val="20"/>
                      <w:szCs w:val="20"/>
                    </w:rPr>
                    <w:t xml:space="preserve">Año 2 </w:t>
                  </w:r>
                  <w:r w:rsidRPr="00AC4AEA">
                    <w:rPr>
                      <w:rFonts w:ascii="Arial" w:hAnsi="Arial" w:cs="Arial"/>
                      <w:color w:val="00B050"/>
                      <w:sz w:val="20"/>
                      <w:szCs w:val="20"/>
                    </w:rPr>
                    <w:br/>
                    <w:t>(después del “cierre de obra”</w:t>
                  </w:r>
                </w:p>
              </w:tc>
              <w:tc>
                <w:tcPr>
                  <w:tcW w:w="1318" w:type="dxa"/>
                </w:tcPr>
                <w:p w:rsidR="00E652D3" w:rsidRPr="00AC4AEA" w:rsidRDefault="00E652D3" w:rsidP="00A318EA">
                  <w:pPr>
                    <w:jc w:val="center"/>
                    <w:rPr>
                      <w:rFonts w:ascii="Arial" w:hAnsi="Arial" w:cs="Arial"/>
                      <w:color w:val="00B050"/>
                      <w:sz w:val="20"/>
                      <w:szCs w:val="20"/>
                    </w:rPr>
                  </w:pPr>
                  <w:r w:rsidRPr="00AC4AEA">
                    <w:rPr>
                      <w:rFonts w:ascii="Arial" w:hAnsi="Arial" w:cs="Arial"/>
                      <w:color w:val="00B050"/>
                      <w:sz w:val="20"/>
                      <w:szCs w:val="20"/>
                    </w:rPr>
                    <w:t>Acumulado</w:t>
                  </w:r>
                </w:p>
              </w:tc>
            </w:tr>
            <w:tr w:rsidR="00D65FB1" w:rsidRPr="00AC4AEA" w:rsidTr="00576C5C">
              <w:trPr>
                <w:trHeight w:val="20"/>
              </w:trPr>
              <w:tc>
                <w:tcPr>
                  <w:tcW w:w="3139" w:type="dxa"/>
                  <w:vAlign w:val="bottom"/>
                </w:tcPr>
                <w:p w:rsidR="00E652D3" w:rsidRPr="00AC4AEA" w:rsidRDefault="00E652D3" w:rsidP="00A318EA">
                  <w:pPr>
                    <w:rPr>
                      <w:rFonts w:ascii="Arial" w:hAnsi="Arial" w:cs="Arial"/>
                      <w:color w:val="00B050"/>
                      <w:sz w:val="20"/>
                      <w:szCs w:val="20"/>
                    </w:rPr>
                  </w:pPr>
                  <w:r w:rsidRPr="00AC4AEA">
                    <w:rPr>
                      <w:rFonts w:ascii="Arial" w:hAnsi="Arial" w:cs="Arial"/>
                      <w:color w:val="00B050"/>
                      <w:sz w:val="20"/>
                      <w:szCs w:val="20"/>
                    </w:rPr>
                    <w:t xml:space="preserve">Bienes de cambio </w:t>
                  </w:r>
                  <w:r w:rsidR="0017106E" w:rsidRPr="00AC4AEA">
                    <w:rPr>
                      <w:rFonts w:ascii="Arial" w:hAnsi="Arial" w:cs="Arial"/>
                      <w:color w:val="00B050"/>
                      <w:sz w:val="20"/>
                      <w:szCs w:val="20"/>
                    </w:rPr>
                    <w:t>(1)</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262,5</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700</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w:t>
                  </w:r>
                </w:p>
              </w:tc>
            </w:tr>
            <w:tr w:rsidR="00D65FB1" w:rsidRPr="00AC4AEA" w:rsidTr="00576C5C">
              <w:trPr>
                <w:trHeight w:val="20"/>
              </w:trPr>
              <w:tc>
                <w:tcPr>
                  <w:tcW w:w="3139" w:type="dxa"/>
                  <w:vAlign w:val="bottom"/>
                </w:tcPr>
                <w:p w:rsidR="00E652D3" w:rsidRPr="00AC4AEA" w:rsidRDefault="00E652D3" w:rsidP="00A318EA">
                  <w:pPr>
                    <w:rPr>
                      <w:rFonts w:ascii="Arial" w:hAnsi="Arial" w:cs="Arial"/>
                      <w:color w:val="00B050"/>
                      <w:sz w:val="20"/>
                      <w:szCs w:val="20"/>
                    </w:rPr>
                  </w:pPr>
                  <w:r w:rsidRPr="00AC4AEA">
                    <w:rPr>
                      <w:rFonts w:ascii="Arial" w:hAnsi="Arial" w:cs="Arial"/>
                      <w:color w:val="00B050"/>
                      <w:sz w:val="20"/>
                      <w:szCs w:val="20"/>
                    </w:rPr>
                    <w:t>Resultado por medición a VNR</w:t>
                  </w:r>
                  <w:r w:rsidR="0017106E" w:rsidRPr="00AC4AEA">
                    <w:rPr>
                      <w:rFonts w:ascii="Arial" w:hAnsi="Arial" w:cs="Arial"/>
                      <w:color w:val="00B050"/>
                      <w:sz w:val="20"/>
                      <w:szCs w:val="20"/>
                    </w:rPr>
                    <w:t xml:space="preserve"> (2)</w:t>
                  </w:r>
                  <w:r w:rsidRPr="00AC4AEA">
                    <w:rPr>
                      <w:rFonts w:ascii="Arial" w:hAnsi="Arial" w:cs="Arial"/>
                      <w:color w:val="00B050"/>
                      <w:sz w:val="20"/>
                      <w:szCs w:val="20"/>
                    </w:rPr>
                    <w:t xml:space="preserve"> </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112,5</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187,5</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n/a</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300</w:t>
                  </w:r>
                </w:p>
              </w:tc>
            </w:tr>
            <w:tr w:rsidR="00D65FB1" w:rsidRPr="00AC4AEA" w:rsidTr="00576C5C">
              <w:trPr>
                <w:trHeight w:val="20"/>
              </w:trPr>
              <w:tc>
                <w:tcPr>
                  <w:tcW w:w="3139" w:type="dxa"/>
                  <w:vAlign w:val="bottom"/>
                </w:tcPr>
                <w:p w:rsidR="00E652D3" w:rsidRPr="00AC4AEA" w:rsidRDefault="00E652D3" w:rsidP="00A318EA">
                  <w:pPr>
                    <w:rPr>
                      <w:rFonts w:ascii="Arial" w:hAnsi="Arial" w:cs="Arial"/>
                      <w:color w:val="00B050"/>
                      <w:sz w:val="20"/>
                      <w:szCs w:val="20"/>
                    </w:rPr>
                  </w:pPr>
                  <w:r w:rsidRPr="00AC4AEA">
                    <w:rPr>
                      <w:rFonts w:ascii="Arial" w:hAnsi="Arial" w:cs="Arial"/>
                      <w:color w:val="00B050"/>
                      <w:sz w:val="20"/>
                      <w:szCs w:val="20"/>
                    </w:rPr>
                    <w:t>Ingresos por ventas</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n/a</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700</w:t>
                  </w:r>
                </w:p>
              </w:tc>
            </w:tr>
            <w:tr w:rsidR="00D65FB1" w:rsidRPr="00AC4AEA" w:rsidTr="00576C5C">
              <w:trPr>
                <w:trHeight w:val="20"/>
              </w:trPr>
              <w:tc>
                <w:tcPr>
                  <w:tcW w:w="3139" w:type="dxa"/>
                  <w:vAlign w:val="bottom"/>
                </w:tcPr>
                <w:p w:rsidR="00E652D3" w:rsidRPr="00AC4AEA" w:rsidRDefault="00E652D3" w:rsidP="00A318EA">
                  <w:pPr>
                    <w:rPr>
                      <w:rFonts w:ascii="Arial" w:hAnsi="Arial" w:cs="Arial"/>
                      <w:color w:val="00B050"/>
                      <w:sz w:val="20"/>
                      <w:szCs w:val="20"/>
                    </w:rPr>
                  </w:pPr>
                  <w:r w:rsidRPr="00AC4AEA">
                    <w:rPr>
                      <w:rFonts w:ascii="Arial" w:hAnsi="Arial" w:cs="Arial"/>
                      <w:color w:val="00B050"/>
                      <w:sz w:val="20"/>
                      <w:szCs w:val="20"/>
                    </w:rPr>
                    <w:t>Costo de ventas</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n/a</w:t>
                  </w:r>
                </w:p>
              </w:tc>
              <w:tc>
                <w:tcPr>
                  <w:tcW w:w="1318" w:type="dxa"/>
                  <w:vAlign w:val="bottom"/>
                </w:tcPr>
                <w:p w:rsidR="00E652D3" w:rsidRPr="00AC4AEA" w:rsidRDefault="00E652D3" w:rsidP="00A318EA">
                  <w:pPr>
                    <w:jc w:val="right"/>
                    <w:rPr>
                      <w:rFonts w:ascii="Arial" w:hAnsi="Arial" w:cs="Arial"/>
                      <w:color w:val="00B050"/>
                      <w:sz w:val="20"/>
                      <w:szCs w:val="20"/>
                    </w:rPr>
                  </w:pPr>
                  <w:r w:rsidRPr="00AC4AEA">
                    <w:rPr>
                      <w:rFonts w:ascii="Arial" w:hAnsi="Arial" w:cs="Arial"/>
                      <w:color w:val="00B050"/>
                      <w:sz w:val="20"/>
                      <w:szCs w:val="20"/>
                    </w:rPr>
                    <w:t>(700)</w:t>
                  </w:r>
                </w:p>
              </w:tc>
            </w:tr>
            <w:tr w:rsidR="00D65FB1" w:rsidRPr="00AC4AEA" w:rsidTr="00576C5C">
              <w:trPr>
                <w:trHeight w:val="20"/>
              </w:trPr>
              <w:tc>
                <w:tcPr>
                  <w:tcW w:w="3139" w:type="dxa"/>
                  <w:vAlign w:val="bottom"/>
                </w:tcPr>
                <w:p w:rsidR="00E652D3" w:rsidRPr="00AC4AEA" w:rsidRDefault="00E652D3" w:rsidP="00A318EA">
                  <w:pPr>
                    <w:rPr>
                      <w:rFonts w:ascii="Arial" w:hAnsi="Arial" w:cs="Arial"/>
                      <w:b/>
                      <w:bCs/>
                      <w:color w:val="00B050"/>
                      <w:sz w:val="20"/>
                      <w:szCs w:val="20"/>
                      <w:u w:val="single"/>
                    </w:rPr>
                  </w:pPr>
                  <w:r w:rsidRPr="00AC4AEA">
                    <w:rPr>
                      <w:rFonts w:ascii="Arial" w:hAnsi="Arial" w:cs="Arial"/>
                      <w:b/>
                      <w:bCs/>
                      <w:color w:val="00B050"/>
                      <w:sz w:val="20"/>
                      <w:szCs w:val="20"/>
                      <w:u w:val="single"/>
                    </w:rPr>
                    <w:t>Ganancia neta (3)</w:t>
                  </w:r>
                </w:p>
              </w:tc>
              <w:tc>
                <w:tcPr>
                  <w:tcW w:w="1318" w:type="dxa"/>
                  <w:vAlign w:val="bottom"/>
                </w:tcPr>
                <w:p w:rsidR="00E652D3" w:rsidRPr="00AC4AEA" w:rsidRDefault="00E652D3" w:rsidP="00A318EA">
                  <w:pPr>
                    <w:jc w:val="right"/>
                    <w:rPr>
                      <w:rFonts w:ascii="Arial" w:hAnsi="Arial" w:cs="Arial"/>
                      <w:b/>
                      <w:bCs/>
                      <w:color w:val="00B050"/>
                      <w:sz w:val="20"/>
                      <w:szCs w:val="20"/>
                      <w:u w:val="single"/>
                    </w:rPr>
                  </w:pPr>
                  <w:r w:rsidRPr="00AC4AEA">
                    <w:rPr>
                      <w:rFonts w:ascii="Arial" w:hAnsi="Arial" w:cs="Arial"/>
                      <w:b/>
                      <w:bCs/>
                      <w:color w:val="00B050"/>
                      <w:sz w:val="20"/>
                      <w:szCs w:val="20"/>
                      <w:u w:val="single"/>
                    </w:rPr>
                    <w:t>112,5</w:t>
                  </w:r>
                </w:p>
              </w:tc>
              <w:tc>
                <w:tcPr>
                  <w:tcW w:w="1318" w:type="dxa"/>
                  <w:vAlign w:val="bottom"/>
                </w:tcPr>
                <w:p w:rsidR="00E652D3" w:rsidRPr="00AC4AEA" w:rsidRDefault="00E652D3" w:rsidP="00A318EA">
                  <w:pPr>
                    <w:jc w:val="right"/>
                    <w:rPr>
                      <w:rFonts w:ascii="Arial" w:hAnsi="Arial" w:cs="Arial"/>
                      <w:b/>
                      <w:bCs/>
                      <w:color w:val="00B050"/>
                      <w:sz w:val="20"/>
                      <w:szCs w:val="20"/>
                      <w:u w:val="single"/>
                    </w:rPr>
                  </w:pPr>
                  <w:r w:rsidRPr="00AC4AEA">
                    <w:rPr>
                      <w:rFonts w:ascii="Arial" w:hAnsi="Arial" w:cs="Arial"/>
                      <w:b/>
                      <w:bCs/>
                      <w:color w:val="00B050"/>
                      <w:sz w:val="20"/>
                      <w:szCs w:val="20"/>
                      <w:u w:val="single"/>
                    </w:rPr>
                    <w:t>187,5</w:t>
                  </w:r>
                </w:p>
              </w:tc>
              <w:tc>
                <w:tcPr>
                  <w:tcW w:w="1318" w:type="dxa"/>
                  <w:vAlign w:val="bottom"/>
                </w:tcPr>
                <w:p w:rsidR="00E652D3" w:rsidRPr="00AC4AEA" w:rsidRDefault="00E652D3" w:rsidP="00A318EA">
                  <w:pPr>
                    <w:jc w:val="right"/>
                    <w:rPr>
                      <w:rFonts w:ascii="Arial" w:hAnsi="Arial" w:cs="Arial"/>
                      <w:b/>
                      <w:bCs/>
                      <w:color w:val="00B050"/>
                      <w:sz w:val="20"/>
                      <w:szCs w:val="20"/>
                      <w:u w:val="single"/>
                    </w:rPr>
                  </w:pPr>
                  <w:r w:rsidRPr="00AC4AEA">
                    <w:rPr>
                      <w:rFonts w:ascii="Arial" w:hAnsi="Arial" w:cs="Arial"/>
                      <w:b/>
                      <w:bCs/>
                      <w:color w:val="00B050"/>
                      <w:sz w:val="20"/>
                      <w:szCs w:val="20"/>
                      <w:u w:val="single"/>
                    </w:rPr>
                    <w:t>n/a</w:t>
                  </w:r>
                </w:p>
              </w:tc>
              <w:tc>
                <w:tcPr>
                  <w:tcW w:w="1318" w:type="dxa"/>
                  <w:vAlign w:val="bottom"/>
                </w:tcPr>
                <w:p w:rsidR="00E652D3" w:rsidRPr="00AC4AEA" w:rsidRDefault="00E652D3" w:rsidP="00A318EA">
                  <w:pPr>
                    <w:jc w:val="right"/>
                    <w:rPr>
                      <w:rFonts w:ascii="Arial" w:hAnsi="Arial" w:cs="Arial"/>
                      <w:b/>
                      <w:bCs/>
                      <w:color w:val="00B050"/>
                      <w:sz w:val="20"/>
                      <w:szCs w:val="20"/>
                      <w:u w:val="single"/>
                    </w:rPr>
                  </w:pPr>
                  <w:r w:rsidRPr="00AC4AEA">
                    <w:rPr>
                      <w:rFonts w:ascii="Arial" w:hAnsi="Arial" w:cs="Arial"/>
                      <w:b/>
                      <w:bCs/>
                      <w:color w:val="00B050"/>
                      <w:sz w:val="20"/>
                      <w:szCs w:val="20"/>
                      <w:u w:val="single"/>
                    </w:rPr>
                    <w:t>300</w:t>
                  </w:r>
                </w:p>
              </w:tc>
            </w:tr>
          </w:tbl>
          <w:p w:rsidR="002F0F38" w:rsidRDefault="002F0F38" w:rsidP="00A318EA">
            <w:pPr>
              <w:rPr>
                <w:rFonts w:ascii="Arial" w:hAnsi="Arial" w:cs="Arial"/>
                <w:b/>
                <w:bCs/>
                <w:color w:val="00B050"/>
                <w:sz w:val="20"/>
                <w:szCs w:val="20"/>
                <w:u w:val="single"/>
              </w:rPr>
            </w:pPr>
          </w:p>
          <w:p w:rsidR="00DC6F09" w:rsidRPr="00AC4AEA" w:rsidRDefault="00DC6F09" w:rsidP="00A318EA">
            <w:pPr>
              <w:rPr>
                <w:rFonts w:ascii="Arial" w:hAnsi="Arial" w:cs="Arial"/>
                <w:b/>
                <w:bCs/>
                <w:color w:val="00B050"/>
                <w:sz w:val="20"/>
                <w:szCs w:val="20"/>
                <w:u w:val="single"/>
              </w:rPr>
            </w:pPr>
            <w:r w:rsidRPr="00AC4AEA">
              <w:rPr>
                <w:rFonts w:ascii="Arial" w:hAnsi="Arial" w:cs="Arial"/>
                <w:b/>
                <w:bCs/>
                <w:color w:val="00B050"/>
                <w:sz w:val="20"/>
                <w:szCs w:val="20"/>
                <w:u w:val="single"/>
              </w:rPr>
              <w:t xml:space="preserve">Solución aplicando los </w:t>
            </w:r>
            <w:r w:rsidR="00B110D4" w:rsidRPr="00AC4AEA">
              <w:rPr>
                <w:rFonts w:ascii="Arial" w:hAnsi="Arial" w:cs="Arial"/>
                <w:b/>
                <w:bCs/>
                <w:color w:val="00B050"/>
                <w:sz w:val="20"/>
                <w:szCs w:val="20"/>
                <w:u w:val="single"/>
              </w:rPr>
              <w:t>requerimientos</w:t>
            </w:r>
            <w:r w:rsidRPr="00AC4AEA">
              <w:rPr>
                <w:rFonts w:ascii="Arial" w:hAnsi="Arial" w:cs="Arial"/>
                <w:b/>
                <w:bCs/>
                <w:color w:val="00B050"/>
                <w:sz w:val="20"/>
                <w:szCs w:val="20"/>
                <w:u w:val="single"/>
              </w:rPr>
              <w:t xml:space="preserve"> de la presente Resolución Técnica</w:t>
            </w:r>
          </w:p>
          <w:tbl>
            <w:tblPr>
              <w:tblStyle w:val="Tablaconcuadrcula"/>
              <w:tblW w:w="0" w:type="auto"/>
              <w:tblLook w:val="04A0"/>
            </w:tblPr>
            <w:tblGrid>
              <w:gridCol w:w="3139"/>
              <w:gridCol w:w="1318"/>
              <w:gridCol w:w="1318"/>
              <w:gridCol w:w="1318"/>
              <w:gridCol w:w="1318"/>
            </w:tblGrid>
            <w:tr w:rsidR="00D65FB1" w:rsidRPr="00AC4AEA" w:rsidTr="002D3F72">
              <w:tc>
                <w:tcPr>
                  <w:tcW w:w="3139" w:type="dxa"/>
                  <w:vAlign w:val="bottom"/>
                </w:tcPr>
                <w:p w:rsidR="007373D4" w:rsidRPr="00AC4AEA" w:rsidRDefault="007373D4" w:rsidP="00A318EA">
                  <w:pPr>
                    <w:jc w:val="center"/>
                    <w:rPr>
                      <w:rFonts w:ascii="Arial" w:hAnsi="Arial" w:cs="Arial"/>
                      <w:color w:val="00B050"/>
                      <w:sz w:val="20"/>
                      <w:szCs w:val="20"/>
                    </w:rPr>
                  </w:pPr>
                </w:p>
              </w:tc>
              <w:tc>
                <w:tcPr>
                  <w:tcW w:w="1318" w:type="dxa"/>
                </w:tcPr>
                <w:p w:rsidR="007373D4" w:rsidRPr="00AC4AEA" w:rsidRDefault="007373D4" w:rsidP="00A318EA">
                  <w:pPr>
                    <w:jc w:val="center"/>
                    <w:rPr>
                      <w:rFonts w:ascii="Arial" w:hAnsi="Arial" w:cs="Arial"/>
                      <w:color w:val="00B050"/>
                      <w:sz w:val="20"/>
                      <w:szCs w:val="20"/>
                    </w:rPr>
                  </w:pPr>
                  <w:r w:rsidRPr="00AC4AEA">
                    <w:rPr>
                      <w:rFonts w:ascii="Arial" w:hAnsi="Arial" w:cs="Arial"/>
                      <w:color w:val="00B050"/>
                      <w:sz w:val="20"/>
                      <w:szCs w:val="20"/>
                    </w:rPr>
                    <w:t>Año 1</w:t>
                  </w:r>
                </w:p>
              </w:tc>
              <w:tc>
                <w:tcPr>
                  <w:tcW w:w="1318" w:type="dxa"/>
                </w:tcPr>
                <w:p w:rsidR="007373D4" w:rsidRPr="00AC4AEA" w:rsidRDefault="007373D4" w:rsidP="00A318EA">
                  <w:pPr>
                    <w:jc w:val="center"/>
                    <w:rPr>
                      <w:rFonts w:ascii="Arial" w:hAnsi="Arial" w:cs="Arial"/>
                      <w:color w:val="00B050"/>
                      <w:sz w:val="20"/>
                      <w:szCs w:val="20"/>
                    </w:rPr>
                  </w:pPr>
                  <w:r w:rsidRPr="00AC4AEA">
                    <w:rPr>
                      <w:rFonts w:ascii="Arial" w:hAnsi="Arial" w:cs="Arial"/>
                      <w:color w:val="00B050"/>
                      <w:sz w:val="20"/>
                      <w:szCs w:val="20"/>
                    </w:rPr>
                    <w:t xml:space="preserve">Año 2 </w:t>
                  </w:r>
                  <w:r w:rsidRPr="00AC4AEA">
                    <w:rPr>
                      <w:rFonts w:ascii="Arial" w:hAnsi="Arial" w:cs="Arial"/>
                      <w:color w:val="00B050"/>
                      <w:sz w:val="20"/>
                      <w:szCs w:val="20"/>
                    </w:rPr>
                    <w:br/>
                    <w:t xml:space="preserve">(antes del “cierre de </w:t>
                  </w:r>
                  <w:r w:rsidRPr="00AC4AEA">
                    <w:rPr>
                      <w:rFonts w:ascii="Arial" w:hAnsi="Arial" w:cs="Arial"/>
                      <w:color w:val="00B050"/>
                      <w:sz w:val="20"/>
                      <w:szCs w:val="20"/>
                    </w:rPr>
                    <w:lastRenderedPageBreak/>
                    <w:t>obra”)</w:t>
                  </w:r>
                </w:p>
              </w:tc>
              <w:tc>
                <w:tcPr>
                  <w:tcW w:w="1318" w:type="dxa"/>
                </w:tcPr>
                <w:p w:rsidR="007373D4" w:rsidRPr="00AC4AEA" w:rsidRDefault="007373D4" w:rsidP="00A318EA">
                  <w:pPr>
                    <w:jc w:val="center"/>
                    <w:rPr>
                      <w:rFonts w:ascii="Arial" w:hAnsi="Arial" w:cs="Arial"/>
                      <w:color w:val="00B050"/>
                      <w:sz w:val="20"/>
                      <w:szCs w:val="20"/>
                    </w:rPr>
                  </w:pPr>
                  <w:r w:rsidRPr="00AC4AEA">
                    <w:rPr>
                      <w:rFonts w:ascii="Arial" w:hAnsi="Arial" w:cs="Arial"/>
                      <w:color w:val="00B050"/>
                      <w:sz w:val="20"/>
                      <w:szCs w:val="20"/>
                    </w:rPr>
                    <w:lastRenderedPageBreak/>
                    <w:t xml:space="preserve">Año 2 </w:t>
                  </w:r>
                  <w:r w:rsidRPr="00AC4AEA">
                    <w:rPr>
                      <w:rFonts w:ascii="Arial" w:hAnsi="Arial" w:cs="Arial"/>
                      <w:color w:val="00B050"/>
                      <w:sz w:val="20"/>
                      <w:szCs w:val="20"/>
                    </w:rPr>
                    <w:br/>
                    <w:t xml:space="preserve">(después del “cierre </w:t>
                  </w:r>
                  <w:r w:rsidRPr="00AC4AEA">
                    <w:rPr>
                      <w:rFonts w:ascii="Arial" w:hAnsi="Arial" w:cs="Arial"/>
                      <w:color w:val="00B050"/>
                      <w:sz w:val="20"/>
                      <w:szCs w:val="20"/>
                    </w:rPr>
                    <w:lastRenderedPageBreak/>
                    <w:t>de obra”</w:t>
                  </w:r>
                </w:p>
              </w:tc>
              <w:tc>
                <w:tcPr>
                  <w:tcW w:w="1318" w:type="dxa"/>
                </w:tcPr>
                <w:p w:rsidR="007373D4" w:rsidRPr="00AC4AEA" w:rsidRDefault="007373D4" w:rsidP="00A318EA">
                  <w:pPr>
                    <w:jc w:val="center"/>
                    <w:rPr>
                      <w:rFonts w:ascii="Arial" w:hAnsi="Arial" w:cs="Arial"/>
                      <w:color w:val="00B050"/>
                      <w:sz w:val="20"/>
                      <w:szCs w:val="20"/>
                    </w:rPr>
                  </w:pPr>
                  <w:r w:rsidRPr="00AC4AEA">
                    <w:rPr>
                      <w:rFonts w:ascii="Arial" w:hAnsi="Arial" w:cs="Arial"/>
                      <w:color w:val="00B050"/>
                      <w:sz w:val="20"/>
                      <w:szCs w:val="20"/>
                    </w:rPr>
                    <w:lastRenderedPageBreak/>
                    <w:t>Acumulado</w:t>
                  </w:r>
                </w:p>
              </w:tc>
            </w:tr>
            <w:tr w:rsidR="00D65FB1" w:rsidRPr="00AC4AEA" w:rsidTr="00576C5C">
              <w:trPr>
                <w:trHeight w:val="227"/>
              </w:trPr>
              <w:tc>
                <w:tcPr>
                  <w:tcW w:w="3139" w:type="dxa"/>
                  <w:vAlign w:val="bottom"/>
                </w:tcPr>
                <w:p w:rsidR="007373D4" w:rsidRPr="00AC4AEA" w:rsidRDefault="007373D4" w:rsidP="00A318EA">
                  <w:pPr>
                    <w:rPr>
                      <w:rFonts w:ascii="Arial" w:hAnsi="Arial" w:cs="Arial"/>
                      <w:color w:val="00B050"/>
                      <w:sz w:val="20"/>
                      <w:szCs w:val="20"/>
                    </w:rPr>
                  </w:pPr>
                  <w:r w:rsidRPr="00AC4AEA">
                    <w:rPr>
                      <w:rFonts w:ascii="Arial" w:hAnsi="Arial" w:cs="Arial"/>
                      <w:color w:val="00B050"/>
                      <w:sz w:val="20"/>
                      <w:szCs w:val="20"/>
                    </w:rPr>
                    <w:lastRenderedPageBreak/>
                    <w:t>Bienes de cambio (1)</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n/c</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n/c</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n/c</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n/c</w:t>
                  </w:r>
                </w:p>
              </w:tc>
            </w:tr>
            <w:tr w:rsidR="00D65FB1" w:rsidRPr="00AC4AEA" w:rsidTr="00576C5C">
              <w:trPr>
                <w:trHeight w:val="227"/>
              </w:trPr>
              <w:tc>
                <w:tcPr>
                  <w:tcW w:w="3139" w:type="dxa"/>
                  <w:vAlign w:val="bottom"/>
                </w:tcPr>
                <w:p w:rsidR="007373D4" w:rsidRPr="00AC4AEA" w:rsidRDefault="007373D4" w:rsidP="00A318EA">
                  <w:pPr>
                    <w:rPr>
                      <w:rFonts w:ascii="Arial" w:hAnsi="Arial" w:cs="Arial"/>
                      <w:color w:val="00B050"/>
                      <w:sz w:val="20"/>
                      <w:szCs w:val="20"/>
                    </w:rPr>
                  </w:pPr>
                  <w:r w:rsidRPr="00AC4AEA">
                    <w:rPr>
                      <w:rFonts w:ascii="Arial" w:hAnsi="Arial" w:cs="Arial"/>
                      <w:color w:val="00B050"/>
                      <w:sz w:val="20"/>
                      <w:szCs w:val="20"/>
                    </w:rPr>
                    <w:t>Derechos de facturar a clientes</w:t>
                  </w:r>
                  <w:r w:rsidR="00EA798A" w:rsidRPr="00AC4AEA">
                    <w:rPr>
                      <w:rFonts w:ascii="Arial" w:hAnsi="Arial" w:cs="Arial"/>
                      <w:color w:val="00B050"/>
                      <w:sz w:val="20"/>
                      <w:szCs w:val="20"/>
                    </w:rPr>
                    <w:t xml:space="preserve"> (4)</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262,5</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700</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w:t>
                  </w:r>
                </w:p>
              </w:tc>
            </w:tr>
            <w:tr w:rsidR="00D65FB1" w:rsidRPr="00AC4AEA" w:rsidTr="00576C5C">
              <w:trPr>
                <w:trHeight w:val="227"/>
              </w:trPr>
              <w:tc>
                <w:tcPr>
                  <w:tcW w:w="3139" w:type="dxa"/>
                  <w:vAlign w:val="bottom"/>
                </w:tcPr>
                <w:p w:rsidR="007373D4" w:rsidRPr="00AC4AEA" w:rsidRDefault="007373D4" w:rsidP="00A318EA">
                  <w:pPr>
                    <w:rPr>
                      <w:rFonts w:ascii="Arial" w:hAnsi="Arial" w:cs="Arial"/>
                      <w:color w:val="00B050"/>
                      <w:sz w:val="20"/>
                      <w:szCs w:val="20"/>
                    </w:rPr>
                  </w:pPr>
                  <w:r w:rsidRPr="00AC4AEA">
                    <w:rPr>
                      <w:rFonts w:ascii="Arial" w:hAnsi="Arial" w:cs="Arial"/>
                      <w:color w:val="00B050"/>
                      <w:sz w:val="20"/>
                      <w:szCs w:val="20"/>
                    </w:rPr>
                    <w:t>Resultado por medición a VNR (2)</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n/c</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n/c</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n/c</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n/c</w:t>
                  </w:r>
                </w:p>
              </w:tc>
            </w:tr>
            <w:tr w:rsidR="00D65FB1" w:rsidRPr="00AC4AEA" w:rsidTr="00576C5C">
              <w:trPr>
                <w:trHeight w:val="227"/>
              </w:trPr>
              <w:tc>
                <w:tcPr>
                  <w:tcW w:w="3139" w:type="dxa"/>
                  <w:vAlign w:val="bottom"/>
                </w:tcPr>
                <w:p w:rsidR="007373D4" w:rsidRPr="00AC4AEA" w:rsidRDefault="007373D4" w:rsidP="00A318EA">
                  <w:pPr>
                    <w:rPr>
                      <w:rFonts w:ascii="Arial" w:hAnsi="Arial" w:cs="Arial"/>
                      <w:color w:val="00B050"/>
                      <w:sz w:val="20"/>
                      <w:szCs w:val="20"/>
                    </w:rPr>
                  </w:pPr>
                  <w:r w:rsidRPr="00AC4AEA">
                    <w:rPr>
                      <w:rFonts w:ascii="Arial" w:hAnsi="Arial" w:cs="Arial"/>
                      <w:color w:val="00B050"/>
                      <w:sz w:val="20"/>
                      <w:szCs w:val="20"/>
                    </w:rPr>
                    <w:t>Ingresos por ventas</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262,5</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437,5</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n/a</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700</w:t>
                  </w:r>
                </w:p>
              </w:tc>
            </w:tr>
            <w:tr w:rsidR="00D65FB1" w:rsidRPr="00AC4AEA" w:rsidTr="00576C5C">
              <w:trPr>
                <w:trHeight w:val="227"/>
              </w:trPr>
              <w:tc>
                <w:tcPr>
                  <w:tcW w:w="3139" w:type="dxa"/>
                  <w:vAlign w:val="bottom"/>
                </w:tcPr>
                <w:p w:rsidR="007373D4" w:rsidRPr="00AC4AEA" w:rsidRDefault="007373D4" w:rsidP="00A318EA">
                  <w:pPr>
                    <w:rPr>
                      <w:rFonts w:ascii="Arial" w:hAnsi="Arial" w:cs="Arial"/>
                      <w:color w:val="00B050"/>
                      <w:sz w:val="20"/>
                      <w:szCs w:val="20"/>
                    </w:rPr>
                  </w:pPr>
                  <w:r w:rsidRPr="00AC4AEA">
                    <w:rPr>
                      <w:rFonts w:ascii="Arial" w:hAnsi="Arial" w:cs="Arial"/>
                      <w:color w:val="00B050"/>
                      <w:sz w:val="20"/>
                      <w:szCs w:val="20"/>
                    </w:rPr>
                    <w:t>Costo de ventas</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(150)</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(250)</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n/a</w:t>
                  </w:r>
                </w:p>
              </w:tc>
              <w:tc>
                <w:tcPr>
                  <w:tcW w:w="1318" w:type="dxa"/>
                  <w:vAlign w:val="bottom"/>
                </w:tcPr>
                <w:p w:rsidR="007373D4" w:rsidRPr="00AC4AEA" w:rsidRDefault="007373D4" w:rsidP="00A318EA">
                  <w:pPr>
                    <w:jc w:val="right"/>
                    <w:rPr>
                      <w:rFonts w:ascii="Arial" w:hAnsi="Arial" w:cs="Arial"/>
                      <w:color w:val="00B050"/>
                      <w:sz w:val="20"/>
                      <w:szCs w:val="20"/>
                    </w:rPr>
                  </w:pPr>
                  <w:r w:rsidRPr="00AC4AEA">
                    <w:rPr>
                      <w:rFonts w:ascii="Arial" w:hAnsi="Arial" w:cs="Arial"/>
                      <w:color w:val="00B050"/>
                      <w:sz w:val="20"/>
                      <w:szCs w:val="20"/>
                    </w:rPr>
                    <w:t>(400)</w:t>
                  </w:r>
                </w:p>
              </w:tc>
            </w:tr>
            <w:tr w:rsidR="00D65FB1" w:rsidRPr="00AC4AEA" w:rsidTr="00576C5C">
              <w:trPr>
                <w:trHeight w:val="227"/>
              </w:trPr>
              <w:tc>
                <w:tcPr>
                  <w:tcW w:w="3139" w:type="dxa"/>
                  <w:vAlign w:val="bottom"/>
                </w:tcPr>
                <w:p w:rsidR="007373D4" w:rsidRPr="00AC4AEA" w:rsidRDefault="007373D4" w:rsidP="00A318EA">
                  <w:pPr>
                    <w:rPr>
                      <w:rFonts w:ascii="Arial" w:hAnsi="Arial" w:cs="Arial"/>
                      <w:b/>
                      <w:bCs/>
                      <w:color w:val="00B050"/>
                      <w:sz w:val="20"/>
                      <w:szCs w:val="20"/>
                      <w:u w:val="single"/>
                    </w:rPr>
                  </w:pPr>
                  <w:r w:rsidRPr="00AC4AEA">
                    <w:rPr>
                      <w:rFonts w:ascii="Arial" w:hAnsi="Arial" w:cs="Arial"/>
                      <w:b/>
                      <w:bCs/>
                      <w:color w:val="00B050"/>
                      <w:sz w:val="20"/>
                      <w:szCs w:val="20"/>
                      <w:u w:val="single"/>
                    </w:rPr>
                    <w:t>Ganancia neta (3)</w:t>
                  </w:r>
                </w:p>
              </w:tc>
              <w:tc>
                <w:tcPr>
                  <w:tcW w:w="1318" w:type="dxa"/>
                  <w:vAlign w:val="bottom"/>
                </w:tcPr>
                <w:p w:rsidR="007373D4" w:rsidRPr="00AC4AEA" w:rsidRDefault="007373D4" w:rsidP="00A318EA">
                  <w:pPr>
                    <w:jc w:val="right"/>
                    <w:rPr>
                      <w:rFonts w:ascii="Arial" w:hAnsi="Arial" w:cs="Arial"/>
                      <w:b/>
                      <w:bCs/>
                      <w:color w:val="00B050"/>
                      <w:sz w:val="20"/>
                      <w:szCs w:val="20"/>
                      <w:u w:val="single"/>
                    </w:rPr>
                  </w:pPr>
                  <w:r w:rsidRPr="00AC4AEA">
                    <w:rPr>
                      <w:rFonts w:ascii="Arial" w:hAnsi="Arial" w:cs="Arial"/>
                      <w:b/>
                      <w:bCs/>
                      <w:color w:val="00B050"/>
                      <w:sz w:val="20"/>
                      <w:szCs w:val="20"/>
                      <w:u w:val="single"/>
                    </w:rPr>
                    <w:t>112,5</w:t>
                  </w:r>
                </w:p>
              </w:tc>
              <w:tc>
                <w:tcPr>
                  <w:tcW w:w="1318" w:type="dxa"/>
                  <w:vAlign w:val="bottom"/>
                </w:tcPr>
                <w:p w:rsidR="007373D4" w:rsidRPr="00AC4AEA" w:rsidRDefault="007373D4" w:rsidP="00A318EA">
                  <w:pPr>
                    <w:jc w:val="right"/>
                    <w:rPr>
                      <w:rFonts w:ascii="Arial" w:hAnsi="Arial" w:cs="Arial"/>
                      <w:b/>
                      <w:bCs/>
                      <w:color w:val="00B050"/>
                      <w:sz w:val="20"/>
                      <w:szCs w:val="20"/>
                      <w:u w:val="single"/>
                    </w:rPr>
                  </w:pPr>
                  <w:r w:rsidRPr="00AC4AEA">
                    <w:rPr>
                      <w:rFonts w:ascii="Arial" w:hAnsi="Arial" w:cs="Arial"/>
                      <w:b/>
                      <w:bCs/>
                      <w:color w:val="00B050"/>
                      <w:sz w:val="20"/>
                      <w:szCs w:val="20"/>
                      <w:u w:val="single"/>
                    </w:rPr>
                    <w:t>187,5</w:t>
                  </w:r>
                </w:p>
              </w:tc>
              <w:tc>
                <w:tcPr>
                  <w:tcW w:w="1318" w:type="dxa"/>
                  <w:vAlign w:val="bottom"/>
                </w:tcPr>
                <w:p w:rsidR="007373D4" w:rsidRPr="00AC4AEA" w:rsidRDefault="007373D4" w:rsidP="00A318EA">
                  <w:pPr>
                    <w:jc w:val="right"/>
                    <w:rPr>
                      <w:rFonts w:ascii="Arial" w:hAnsi="Arial" w:cs="Arial"/>
                      <w:b/>
                      <w:bCs/>
                      <w:color w:val="00B050"/>
                      <w:sz w:val="20"/>
                      <w:szCs w:val="20"/>
                      <w:u w:val="single"/>
                    </w:rPr>
                  </w:pPr>
                  <w:r w:rsidRPr="00AC4AEA">
                    <w:rPr>
                      <w:rFonts w:ascii="Arial" w:hAnsi="Arial" w:cs="Arial"/>
                      <w:b/>
                      <w:bCs/>
                      <w:color w:val="00B050"/>
                      <w:sz w:val="20"/>
                      <w:szCs w:val="20"/>
                      <w:u w:val="single"/>
                    </w:rPr>
                    <w:t>n/a</w:t>
                  </w:r>
                </w:p>
              </w:tc>
              <w:tc>
                <w:tcPr>
                  <w:tcW w:w="1318" w:type="dxa"/>
                  <w:vAlign w:val="bottom"/>
                </w:tcPr>
                <w:p w:rsidR="007373D4" w:rsidRPr="00AC4AEA" w:rsidRDefault="007373D4" w:rsidP="00A318EA">
                  <w:pPr>
                    <w:jc w:val="right"/>
                    <w:rPr>
                      <w:rFonts w:ascii="Arial" w:hAnsi="Arial" w:cs="Arial"/>
                      <w:b/>
                      <w:bCs/>
                      <w:color w:val="00B050"/>
                      <w:sz w:val="20"/>
                      <w:szCs w:val="20"/>
                      <w:u w:val="single"/>
                    </w:rPr>
                  </w:pPr>
                  <w:r w:rsidRPr="00AC4AEA">
                    <w:rPr>
                      <w:rFonts w:ascii="Arial" w:hAnsi="Arial" w:cs="Arial"/>
                      <w:b/>
                      <w:bCs/>
                      <w:color w:val="00B050"/>
                      <w:sz w:val="20"/>
                      <w:szCs w:val="20"/>
                      <w:u w:val="single"/>
                    </w:rPr>
                    <w:t>300</w:t>
                  </w:r>
                </w:p>
              </w:tc>
            </w:tr>
          </w:tbl>
          <w:p w:rsidR="003C2A32" w:rsidRPr="00AC4AEA" w:rsidRDefault="003C2A32" w:rsidP="00C01B25">
            <w:pPr>
              <w:pStyle w:val="Prrafodelista"/>
              <w:numPr>
                <w:ilvl w:val="3"/>
                <w:numId w:val="548"/>
              </w:numPr>
              <w:ind w:left="316"/>
              <w:contextualSpacing w:val="0"/>
              <w:rPr>
                <w:rFonts w:ascii="Arial" w:hAnsi="Arial" w:cs="Arial"/>
                <w:color w:val="00B050"/>
                <w:sz w:val="20"/>
                <w:szCs w:val="20"/>
              </w:rPr>
            </w:pPr>
            <w:r w:rsidRPr="00AC4AEA">
              <w:rPr>
                <w:rFonts w:ascii="Arial" w:hAnsi="Arial" w:cs="Arial"/>
                <w:b/>
                <w:bCs/>
                <w:color w:val="00B050"/>
                <w:sz w:val="20"/>
                <w:szCs w:val="20"/>
              </w:rPr>
              <w:t>Año 1:</w:t>
            </w:r>
            <w:r w:rsidRPr="00AC4AEA">
              <w:rPr>
                <w:rFonts w:ascii="Arial" w:hAnsi="Arial" w:cs="Arial"/>
                <w:color w:val="00B050"/>
                <w:sz w:val="20"/>
                <w:szCs w:val="20"/>
              </w:rPr>
              <w:t xml:space="preserve"> </w:t>
            </w:r>
            <w:r w:rsidR="001445AE" w:rsidRPr="00AC4AEA">
              <w:rPr>
                <w:rFonts w:ascii="Arial" w:hAnsi="Arial" w:cs="Arial"/>
                <w:color w:val="00B050"/>
                <w:sz w:val="20"/>
                <w:szCs w:val="20"/>
              </w:rPr>
              <w:t>$</w:t>
            </w:r>
            <w:r w:rsidRPr="00AC4AEA">
              <w:rPr>
                <w:rFonts w:ascii="Arial" w:hAnsi="Arial" w:cs="Arial"/>
                <w:color w:val="00B050"/>
                <w:sz w:val="20"/>
                <w:szCs w:val="20"/>
              </w:rPr>
              <w:t>700 x 37,5%</w:t>
            </w:r>
            <w:r w:rsidR="009C3DC4" w:rsidRPr="00AC4AEA">
              <w:rPr>
                <w:rFonts w:ascii="Arial" w:hAnsi="Arial" w:cs="Arial"/>
                <w:color w:val="00B050"/>
                <w:sz w:val="20"/>
                <w:szCs w:val="20"/>
              </w:rPr>
              <w:t xml:space="preserve"> = </w:t>
            </w:r>
            <w:r w:rsidR="00990799" w:rsidRPr="00AC4AEA">
              <w:rPr>
                <w:rFonts w:ascii="Arial" w:hAnsi="Arial" w:cs="Arial"/>
                <w:color w:val="00B050"/>
                <w:sz w:val="20"/>
                <w:szCs w:val="20"/>
                <w:u w:val="single"/>
              </w:rPr>
              <w:t>$262,5</w:t>
            </w:r>
            <w:r w:rsidRPr="00AC4AEA">
              <w:rPr>
                <w:rFonts w:ascii="Arial" w:hAnsi="Arial" w:cs="Arial"/>
                <w:color w:val="00B050"/>
                <w:sz w:val="20"/>
                <w:szCs w:val="20"/>
              </w:rPr>
              <w:t xml:space="preserve">. </w:t>
            </w:r>
            <w:r w:rsidRPr="00AC4AEA">
              <w:rPr>
                <w:rFonts w:ascii="Arial" w:hAnsi="Arial" w:cs="Arial"/>
                <w:b/>
                <w:bCs/>
                <w:color w:val="00B050"/>
                <w:sz w:val="20"/>
                <w:szCs w:val="20"/>
              </w:rPr>
              <w:t>Año 2</w:t>
            </w:r>
            <w:r w:rsidRPr="00AC4AEA">
              <w:rPr>
                <w:rFonts w:ascii="Arial" w:hAnsi="Arial" w:cs="Arial"/>
                <w:color w:val="00B050"/>
                <w:sz w:val="20"/>
                <w:szCs w:val="20"/>
              </w:rPr>
              <w:t xml:space="preserve">: </w:t>
            </w:r>
            <w:r w:rsidR="001445AE" w:rsidRPr="00AC4AEA">
              <w:rPr>
                <w:rFonts w:ascii="Arial" w:hAnsi="Arial" w:cs="Arial"/>
                <w:color w:val="00B050"/>
                <w:sz w:val="20"/>
                <w:szCs w:val="20"/>
              </w:rPr>
              <w:t>$700 x 100%</w:t>
            </w:r>
            <w:r w:rsidR="00990799" w:rsidRPr="00AC4AEA">
              <w:rPr>
                <w:rFonts w:ascii="Arial" w:hAnsi="Arial" w:cs="Arial"/>
                <w:color w:val="00B050"/>
                <w:sz w:val="20"/>
                <w:szCs w:val="20"/>
              </w:rPr>
              <w:t xml:space="preserve"> = </w:t>
            </w:r>
            <w:r w:rsidR="00990799" w:rsidRPr="00AC4AEA">
              <w:rPr>
                <w:rFonts w:ascii="Arial" w:hAnsi="Arial" w:cs="Arial"/>
                <w:color w:val="00B050"/>
                <w:sz w:val="20"/>
                <w:szCs w:val="20"/>
                <w:u w:val="single"/>
              </w:rPr>
              <w:t>$700</w:t>
            </w:r>
          </w:p>
          <w:p w:rsidR="001445AE" w:rsidRPr="00AC4AEA" w:rsidRDefault="009C3DC4" w:rsidP="00C01B25">
            <w:pPr>
              <w:pStyle w:val="Prrafodelista"/>
              <w:numPr>
                <w:ilvl w:val="3"/>
                <w:numId w:val="548"/>
              </w:numPr>
              <w:ind w:left="314"/>
              <w:contextualSpacing w:val="0"/>
              <w:rPr>
                <w:rFonts w:ascii="Arial" w:hAnsi="Arial" w:cs="Arial"/>
                <w:color w:val="00B050"/>
                <w:sz w:val="20"/>
                <w:szCs w:val="20"/>
              </w:rPr>
            </w:pPr>
            <w:r w:rsidRPr="00AC4AEA">
              <w:rPr>
                <w:rFonts w:ascii="Arial" w:hAnsi="Arial" w:cs="Arial"/>
                <w:b/>
                <w:bCs/>
                <w:color w:val="00B050"/>
                <w:sz w:val="20"/>
                <w:szCs w:val="20"/>
              </w:rPr>
              <w:t>Año 1:</w:t>
            </w:r>
            <w:r w:rsidRPr="00AC4AEA">
              <w:rPr>
                <w:rFonts w:ascii="Arial" w:hAnsi="Arial" w:cs="Arial"/>
                <w:color w:val="00B050"/>
                <w:sz w:val="20"/>
                <w:szCs w:val="20"/>
              </w:rPr>
              <w:t xml:space="preserve"> $262,5 - $150 = </w:t>
            </w:r>
            <w:r w:rsidRPr="00AC4AEA">
              <w:rPr>
                <w:rFonts w:ascii="Arial" w:hAnsi="Arial" w:cs="Arial"/>
                <w:color w:val="00B050"/>
                <w:sz w:val="20"/>
                <w:szCs w:val="20"/>
                <w:u w:val="single"/>
              </w:rPr>
              <w:t>$112,</w:t>
            </w:r>
            <w:r w:rsidR="00A82EFF" w:rsidRPr="00AC4AEA">
              <w:rPr>
                <w:rFonts w:ascii="Arial" w:hAnsi="Arial" w:cs="Arial"/>
                <w:color w:val="00B050"/>
                <w:sz w:val="20"/>
                <w:szCs w:val="20"/>
                <w:u w:val="single"/>
              </w:rPr>
              <w:t>5</w:t>
            </w:r>
            <w:r w:rsidR="00A82EFF" w:rsidRPr="00AC4AEA">
              <w:rPr>
                <w:rFonts w:ascii="Arial" w:hAnsi="Arial" w:cs="Arial"/>
                <w:color w:val="00B050"/>
                <w:sz w:val="20"/>
                <w:szCs w:val="20"/>
              </w:rPr>
              <w:t xml:space="preserve"> Año</w:t>
            </w:r>
            <w:r w:rsidR="00990799" w:rsidRPr="00AC4AEA">
              <w:rPr>
                <w:rFonts w:ascii="Arial" w:hAnsi="Arial" w:cs="Arial"/>
                <w:b/>
                <w:bCs/>
                <w:color w:val="00B050"/>
                <w:sz w:val="20"/>
                <w:szCs w:val="20"/>
              </w:rPr>
              <w:t xml:space="preserve"> 2</w:t>
            </w:r>
            <w:r w:rsidR="00990799" w:rsidRPr="00AC4AEA">
              <w:rPr>
                <w:rFonts w:ascii="Arial" w:hAnsi="Arial" w:cs="Arial"/>
                <w:color w:val="00B050"/>
                <w:sz w:val="20"/>
                <w:szCs w:val="20"/>
              </w:rPr>
              <w:t xml:space="preserve">: $700 </w:t>
            </w:r>
            <w:r w:rsidR="007C11EC" w:rsidRPr="00AC4AEA">
              <w:rPr>
                <w:rFonts w:ascii="Arial" w:hAnsi="Arial" w:cs="Arial"/>
                <w:color w:val="00B050"/>
                <w:sz w:val="20"/>
                <w:szCs w:val="20"/>
              </w:rPr>
              <w:t>– ($262,5 + $250)</w:t>
            </w:r>
            <w:r w:rsidR="00990799" w:rsidRPr="00AC4AEA">
              <w:rPr>
                <w:rFonts w:ascii="Arial" w:hAnsi="Arial" w:cs="Arial"/>
                <w:color w:val="00B050"/>
                <w:sz w:val="20"/>
                <w:szCs w:val="20"/>
              </w:rPr>
              <w:t xml:space="preserve"> = </w:t>
            </w:r>
            <w:r w:rsidR="00990799" w:rsidRPr="00AC4AEA">
              <w:rPr>
                <w:rFonts w:ascii="Arial" w:hAnsi="Arial" w:cs="Arial"/>
                <w:color w:val="00B050"/>
                <w:sz w:val="20"/>
                <w:szCs w:val="20"/>
                <w:u w:val="single"/>
              </w:rPr>
              <w:t>$</w:t>
            </w:r>
            <w:r w:rsidR="007C11EC" w:rsidRPr="00AC4AEA">
              <w:rPr>
                <w:rFonts w:ascii="Arial" w:hAnsi="Arial" w:cs="Arial"/>
                <w:color w:val="00B050"/>
                <w:sz w:val="20"/>
                <w:szCs w:val="20"/>
                <w:u w:val="single"/>
              </w:rPr>
              <w:t>187,5</w:t>
            </w:r>
          </w:p>
          <w:p w:rsidR="00F41B4D" w:rsidRPr="00AC4AEA" w:rsidRDefault="00F41B4D" w:rsidP="00C01B25">
            <w:pPr>
              <w:pStyle w:val="Prrafodelista"/>
              <w:numPr>
                <w:ilvl w:val="3"/>
                <w:numId w:val="548"/>
              </w:numPr>
              <w:ind w:left="314"/>
              <w:contextualSpacing w:val="0"/>
              <w:rPr>
                <w:rFonts w:ascii="Arial" w:hAnsi="Arial" w:cs="Arial"/>
                <w:color w:val="00B050"/>
                <w:sz w:val="20"/>
                <w:szCs w:val="20"/>
              </w:rPr>
            </w:pPr>
            <w:r w:rsidRPr="00AC4AEA">
              <w:rPr>
                <w:rFonts w:ascii="Arial" w:hAnsi="Arial" w:cs="Arial"/>
                <w:b/>
                <w:bCs/>
                <w:color w:val="00B050"/>
                <w:sz w:val="20"/>
                <w:szCs w:val="20"/>
              </w:rPr>
              <w:t>Sumatoria de los resultados.</w:t>
            </w:r>
          </w:p>
          <w:p w:rsidR="00AC35E8" w:rsidRPr="00AC4AEA" w:rsidRDefault="00AC35E8" w:rsidP="00C01B25">
            <w:pPr>
              <w:pStyle w:val="Prrafodelista"/>
              <w:numPr>
                <w:ilvl w:val="3"/>
                <w:numId w:val="548"/>
              </w:numPr>
              <w:ind w:left="314"/>
              <w:contextualSpacing w:val="0"/>
              <w:rPr>
                <w:rFonts w:ascii="Arial" w:hAnsi="Arial" w:cs="Arial"/>
                <w:color w:val="00B050"/>
                <w:sz w:val="20"/>
                <w:szCs w:val="20"/>
              </w:rPr>
            </w:pPr>
            <w:r w:rsidRPr="00AC4AEA">
              <w:rPr>
                <w:rFonts w:ascii="Arial" w:hAnsi="Arial" w:cs="Arial"/>
                <w:color w:val="00B050"/>
                <w:sz w:val="20"/>
                <w:szCs w:val="20"/>
              </w:rPr>
              <w:t>Partida tratad</w:t>
            </w:r>
            <w:r w:rsidR="00EA798A" w:rsidRPr="00AC4AEA">
              <w:rPr>
                <w:rFonts w:ascii="Arial" w:hAnsi="Arial" w:cs="Arial"/>
                <w:color w:val="00B050"/>
                <w:sz w:val="20"/>
                <w:szCs w:val="20"/>
              </w:rPr>
              <w:t>a</w:t>
            </w:r>
            <w:r w:rsidRPr="00AC4AEA">
              <w:rPr>
                <w:rFonts w:ascii="Arial" w:hAnsi="Arial" w:cs="Arial"/>
                <w:color w:val="00B050"/>
                <w:sz w:val="20"/>
                <w:szCs w:val="20"/>
              </w:rPr>
              <w:t xml:space="preserve"> en el </w:t>
            </w:r>
            <w:r w:rsidR="00A82EFF" w:rsidRPr="00AC4AEA">
              <w:rPr>
                <w:rFonts w:ascii="Arial" w:hAnsi="Arial" w:cs="Arial"/>
                <w:color w:val="00B050"/>
                <w:sz w:val="20"/>
                <w:szCs w:val="20"/>
              </w:rPr>
              <w:t>apartado</w:t>
            </w:r>
            <w:r w:rsidRPr="00AC4AEA">
              <w:rPr>
                <w:rFonts w:ascii="Arial" w:hAnsi="Arial" w:cs="Arial"/>
                <w:color w:val="00B050"/>
                <w:sz w:val="20"/>
                <w:szCs w:val="20"/>
              </w:rPr>
              <w:t xml:space="preserve"> </w:t>
            </w:r>
            <w:r w:rsidR="005F278F" w:rsidRPr="00AC4AEA">
              <w:rPr>
                <w:rFonts w:ascii="Arial" w:hAnsi="Arial" w:cs="Arial"/>
                <w:color w:val="00B050"/>
                <w:sz w:val="20"/>
                <w:szCs w:val="20"/>
              </w:rPr>
              <w:t>“</w:t>
            </w:r>
            <w:r w:rsidR="005F278F" w:rsidRPr="00AC4AEA">
              <w:rPr>
                <w:rFonts w:ascii="Arial" w:hAnsi="Arial" w:cs="Arial"/>
                <w:color w:val="00B050"/>
                <w:sz w:val="20"/>
                <w:szCs w:val="20"/>
                <w:u w:val="single"/>
              </w:rPr>
              <w:t>Créditos en moneda</w:t>
            </w:r>
            <w:r w:rsidR="005F278F" w:rsidRPr="00AC4AEA">
              <w:rPr>
                <w:rFonts w:ascii="Arial" w:hAnsi="Arial" w:cs="Arial"/>
                <w:color w:val="00B050"/>
                <w:sz w:val="20"/>
                <w:szCs w:val="20"/>
              </w:rPr>
              <w:t>”</w:t>
            </w:r>
            <w:r w:rsidRPr="00AC4AEA">
              <w:rPr>
                <w:rFonts w:ascii="Arial" w:hAnsi="Arial" w:cs="Arial"/>
                <w:color w:val="00B050"/>
                <w:sz w:val="20"/>
                <w:szCs w:val="20"/>
              </w:rPr>
              <w:t xml:space="preserve"> [ver </w:t>
            </w:r>
            <w:r w:rsidR="0026762A" w:rsidRPr="00AC4AEA">
              <w:rPr>
                <w:rFonts w:ascii="Arial" w:hAnsi="Arial" w:cs="Arial"/>
                <w:color w:val="00B050"/>
                <w:sz w:val="20"/>
                <w:szCs w:val="20"/>
              </w:rPr>
              <w:t xml:space="preserve">los </w:t>
            </w:r>
            <w:r w:rsidRPr="00AC4AEA">
              <w:rPr>
                <w:rFonts w:ascii="Arial" w:hAnsi="Arial" w:cs="Arial"/>
                <w:color w:val="00B050"/>
                <w:sz w:val="20"/>
                <w:szCs w:val="20"/>
              </w:rPr>
              <w:t xml:space="preserve">párrafos </w:t>
            </w:r>
            <w:fldSimple w:instr=" REF _Ref103264795 \r \h  \* MERGEFORMAT ">
              <w:r w:rsidR="00D33A5D" w:rsidRPr="00D33A5D">
                <w:rPr>
                  <w:rFonts w:ascii="Arial" w:hAnsi="Arial" w:cs="Arial"/>
                  <w:color w:val="00B050"/>
                  <w:sz w:val="20"/>
                  <w:szCs w:val="20"/>
                </w:rPr>
                <w:t>236</w:t>
              </w:r>
            </w:fldSimple>
            <w:r w:rsidR="0026762A" w:rsidRPr="00AC4AEA">
              <w:rPr>
                <w:rFonts w:ascii="Arial" w:hAnsi="Arial" w:cs="Arial"/>
                <w:color w:val="00B050"/>
                <w:sz w:val="20"/>
                <w:szCs w:val="20"/>
              </w:rPr>
              <w:t xml:space="preserve"> a </w:t>
            </w:r>
            <w:fldSimple w:instr=" REF _Ref103264815 \r \h  \* MERGEFORMAT ">
              <w:r w:rsidR="00D33A5D" w:rsidRPr="00D33A5D">
                <w:rPr>
                  <w:rFonts w:ascii="Arial" w:hAnsi="Arial" w:cs="Arial"/>
                  <w:color w:val="00B050"/>
                  <w:sz w:val="20"/>
                  <w:szCs w:val="20"/>
                </w:rPr>
                <w:t>269</w:t>
              </w:r>
            </w:fldSimple>
            <w:r w:rsidRPr="00AC4AEA">
              <w:rPr>
                <w:rFonts w:ascii="Arial" w:hAnsi="Arial" w:cs="Arial"/>
                <w:color w:val="00B050"/>
                <w:sz w:val="20"/>
                <w:szCs w:val="20"/>
              </w:rPr>
              <w:t>]</w:t>
            </w:r>
            <w:r w:rsidR="0026762A" w:rsidRPr="00AC4AEA">
              <w:rPr>
                <w:rFonts w:ascii="Arial" w:hAnsi="Arial" w:cs="Arial"/>
                <w:color w:val="00B050"/>
                <w:sz w:val="20"/>
                <w:szCs w:val="20"/>
              </w:rPr>
              <w:t>.</w:t>
            </w:r>
          </w:p>
          <w:p w:rsidR="007373D4" w:rsidRPr="00AC4AEA" w:rsidRDefault="007373D4" w:rsidP="00A318EA">
            <w:pPr>
              <w:ind w:left="-54"/>
              <w:rPr>
                <w:rFonts w:ascii="Arial" w:hAnsi="Arial" w:cs="Arial"/>
                <w:color w:val="00B050"/>
                <w:sz w:val="20"/>
                <w:szCs w:val="20"/>
                <w:lang w:val="pt-BR"/>
              </w:rPr>
            </w:pPr>
            <w:r w:rsidRPr="00AC4AEA">
              <w:rPr>
                <w:rFonts w:ascii="Arial" w:hAnsi="Arial" w:cs="Arial"/>
                <w:color w:val="00B050"/>
                <w:sz w:val="20"/>
                <w:szCs w:val="20"/>
                <w:lang w:val="pt-BR"/>
              </w:rPr>
              <w:t>n/a: no aplica; n/c: no corresponde.</w:t>
            </w:r>
          </w:p>
          <w:p w:rsidR="008B097E" w:rsidRPr="00AC4AEA" w:rsidRDefault="002F617D" w:rsidP="00A318EA">
            <w:pPr>
              <w:rPr>
                <w:rFonts w:ascii="Arial" w:hAnsi="Arial" w:cs="Arial"/>
                <w:color w:val="00B050"/>
                <w:sz w:val="20"/>
                <w:szCs w:val="20"/>
              </w:rPr>
            </w:pPr>
            <w:r w:rsidRPr="00AC4AEA">
              <w:rPr>
                <w:rFonts w:ascii="Arial" w:hAnsi="Arial" w:cs="Arial"/>
                <w:color w:val="00B050"/>
                <w:sz w:val="20"/>
                <w:szCs w:val="20"/>
              </w:rPr>
              <w:t>Como se puede observar,</w:t>
            </w:r>
            <w:r w:rsidR="00BF0C80" w:rsidRPr="00AC4AEA">
              <w:rPr>
                <w:rFonts w:ascii="Arial" w:hAnsi="Arial" w:cs="Arial"/>
                <w:color w:val="00B050"/>
                <w:sz w:val="20"/>
                <w:szCs w:val="20"/>
              </w:rPr>
              <w:t xml:space="preserve"> en ambos casos,</w:t>
            </w:r>
            <w:r w:rsidRPr="00AC4AEA">
              <w:rPr>
                <w:rFonts w:ascii="Arial" w:hAnsi="Arial" w:cs="Arial"/>
                <w:color w:val="00B050"/>
                <w:sz w:val="20"/>
                <w:szCs w:val="20"/>
              </w:rPr>
              <w:t xml:space="preserve"> la ganancia neta por el servicio de construcción es la misma cada año, al igual que la acumulada</w:t>
            </w:r>
            <w:r w:rsidR="00BF0C80" w:rsidRPr="00AC4AEA">
              <w:rPr>
                <w:rFonts w:ascii="Arial" w:hAnsi="Arial" w:cs="Arial"/>
                <w:color w:val="00B050"/>
                <w:sz w:val="20"/>
                <w:szCs w:val="20"/>
              </w:rPr>
              <w:t xml:space="preserve">, son iguales. No obstante, el modo de contabilizar </w:t>
            </w:r>
            <w:r w:rsidR="007373D4" w:rsidRPr="00AC4AEA">
              <w:rPr>
                <w:rFonts w:ascii="Arial" w:hAnsi="Arial" w:cs="Arial"/>
                <w:color w:val="00B050"/>
                <w:sz w:val="20"/>
                <w:szCs w:val="20"/>
              </w:rPr>
              <w:t>requerido por</w:t>
            </w:r>
            <w:r w:rsidR="00BF0C80" w:rsidRPr="00AC4AEA">
              <w:rPr>
                <w:rFonts w:ascii="Arial" w:hAnsi="Arial" w:cs="Arial"/>
                <w:color w:val="00B050"/>
                <w:sz w:val="20"/>
                <w:szCs w:val="20"/>
              </w:rPr>
              <w:t xml:space="preserve"> la presente Resolución Técnica genera información que </w:t>
            </w:r>
            <w:r w:rsidR="00854408" w:rsidRPr="00AC4AEA">
              <w:rPr>
                <w:rFonts w:ascii="Arial" w:hAnsi="Arial" w:cs="Arial"/>
                <w:color w:val="00B050"/>
                <w:sz w:val="20"/>
                <w:szCs w:val="20"/>
              </w:rPr>
              <w:t>es una mejor aproximación a la realidad transaccional de la entidad</w:t>
            </w:r>
            <w:r w:rsidR="00AC35E8" w:rsidRPr="00AC4AEA">
              <w:rPr>
                <w:rFonts w:ascii="Arial" w:hAnsi="Arial" w:cs="Arial"/>
                <w:color w:val="00B050"/>
                <w:sz w:val="20"/>
                <w:szCs w:val="20"/>
              </w:rPr>
              <w:t>.</w:t>
            </w:r>
          </w:p>
        </w:tc>
      </w:tr>
    </w:tbl>
    <w:p w:rsidR="00864A8E" w:rsidRPr="00AC4AEA" w:rsidRDefault="00864A8E" w:rsidP="00A318EA">
      <w:pPr>
        <w:jc w:val="both"/>
        <w:rPr>
          <w:rFonts w:ascii="Arial" w:hAnsi="Arial" w:cs="Arial"/>
          <w:sz w:val="20"/>
          <w:szCs w:val="20"/>
        </w:rPr>
      </w:pPr>
    </w:p>
    <w:p w:rsidR="0019669F" w:rsidRPr="00AC4AEA" w:rsidRDefault="00676E28" w:rsidP="00676E28">
      <w:pPr>
        <w:pStyle w:val="Prrafodelista"/>
        <w:numPr>
          <w:ilvl w:val="0"/>
          <w:numId w:val="29"/>
        </w:numPr>
        <w:contextualSpacing w:val="0"/>
        <w:jc w:val="both"/>
      </w:pPr>
      <w:bookmarkStart w:id="440" w:name="_Ref103004758"/>
      <w:r w:rsidRPr="00AC4AEA">
        <w:rPr>
          <w:rFonts w:ascii="Arial" w:hAnsi="Arial" w:cs="Arial"/>
          <w:sz w:val="20"/>
          <w:szCs w:val="20"/>
        </w:rPr>
        <w:t>Una entidad</w:t>
      </w:r>
      <w:r w:rsidR="0019669F" w:rsidRPr="00AC4AEA">
        <w:rPr>
          <w:rFonts w:ascii="Arial" w:hAnsi="Arial" w:cs="Arial"/>
          <w:sz w:val="20"/>
          <w:szCs w:val="20"/>
        </w:rPr>
        <w:t>:</w:t>
      </w:r>
      <w:r w:rsidRPr="00AC4AEA">
        <w:rPr>
          <w:rFonts w:ascii="Arial" w:hAnsi="Arial" w:cs="Arial"/>
          <w:sz w:val="20"/>
          <w:szCs w:val="20"/>
        </w:rPr>
        <w:t xml:space="preserve"> </w:t>
      </w:r>
    </w:p>
    <w:p w:rsidR="002D1041" w:rsidRPr="00AC4AEA" w:rsidRDefault="00676E28" w:rsidP="0019669F">
      <w:pPr>
        <w:pStyle w:val="Prrafodelista"/>
        <w:numPr>
          <w:ilvl w:val="1"/>
          <w:numId w:val="29"/>
        </w:numPr>
        <w:ind w:left="1560"/>
        <w:contextualSpacing w:val="0"/>
        <w:jc w:val="both"/>
      </w:pPr>
      <w:r w:rsidRPr="00AC4AEA">
        <w:rPr>
          <w:rFonts w:ascii="Arial" w:hAnsi="Arial" w:cs="Arial"/>
          <w:sz w:val="20"/>
          <w:szCs w:val="20"/>
        </w:rPr>
        <w:t xml:space="preserve">podrá medir los bienes de cambio fungibles con </w:t>
      </w:r>
      <w:r w:rsidRPr="002A73C3">
        <w:rPr>
          <w:rFonts w:ascii="Arial" w:hAnsi="Arial" w:cs="Arial"/>
          <w:b/>
          <w:bCs/>
          <w:sz w:val="20"/>
          <w:szCs w:val="20"/>
        </w:rPr>
        <w:t>mercado activo</w:t>
      </w:r>
      <w:r w:rsidRPr="00AC4AEA">
        <w:rPr>
          <w:rFonts w:ascii="Arial" w:hAnsi="Arial" w:cs="Arial"/>
          <w:sz w:val="20"/>
          <w:szCs w:val="20"/>
        </w:rPr>
        <w:t xml:space="preserve"> y comercializables sin esfuerzo significativo, incluyendo los </w:t>
      </w:r>
      <w:r w:rsidRPr="00AD600B">
        <w:rPr>
          <w:rFonts w:ascii="Arial" w:hAnsi="Arial" w:cs="Arial"/>
          <w:b/>
          <w:bCs/>
          <w:sz w:val="20"/>
          <w:szCs w:val="20"/>
        </w:rPr>
        <w:t>productos agropecuarios</w:t>
      </w:r>
      <w:r w:rsidRPr="00AC4AEA">
        <w:rPr>
          <w:rFonts w:ascii="Arial" w:hAnsi="Arial" w:cs="Arial"/>
          <w:sz w:val="20"/>
          <w:szCs w:val="20"/>
        </w:rPr>
        <w:t xml:space="preserve"> después de concluida la cosecha, recolección, obtención o faena, por </w:t>
      </w:r>
      <w:r w:rsidRPr="00AC4AEA">
        <w:rPr>
          <w:rFonts w:ascii="Arial" w:hAnsi="Arial" w:cs="Arial"/>
          <w:b/>
          <w:bCs/>
          <w:sz w:val="20"/>
          <w:szCs w:val="20"/>
        </w:rPr>
        <w:t>su valor neto de realización</w:t>
      </w:r>
      <w:r w:rsidRPr="00AC4AEA">
        <w:rPr>
          <w:rFonts w:ascii="Arial" w:hAnsi="Arial" w:cs="Arial"/>
          <w:sz w:val="20"/>
          <w:szCs w:val="20"/>
        </w:rPr>
        <w:t xml:space="preserve">, de acuerdo con prácticas bien consolidadas en cada sector </w:t>
      </w:r>
      <w:r w:rsidR="002D1041" w:rsidRPr="00AC4AEA">
        <w:rPr>
          <w:rFonts w:ascii="Arial" w:hAnsi="Arial" w:cs="Arial"/>
          <w:sz w:val="20"/>
          <w:szCs w:val="20"/>
        </w:rPr>
        <w:t>de actividad; y</w:t>
      </w:r>
      <w:r w:rsidRPr="00AC4AEA">
        <w:rPr>
          <w:rFonts w:ascii="Arial" w:hAnsi="Arial" w:cs="Arial"/>
          <w:sz w:val="20"/>
          <w:szCs w:val="20"/>
        </w:rPr>
        <w:t xml:space="preserve"> </w:t>
      </w:r>
    </w:p>
    <w:p w:rsidR="00676E28" w:rsidRPr="00AC4AEA" w:rsidRDefault="002D1041" w:rsidP="0019669F">
      <w:pPr>
        <w:pStyle w:val="Prrafodelista"/>
        <w:numPr>
          <w:ilvl w:val="1"/>
          <w:numId w:val="29"/>
        </w:numPr>
        <w:ind w:left="1560"/>
        <w:contextualSpacing w:val="0"/>
        <w:jc w:val="both"/>
      </w:pPr>
      <w:r w:rsidRPr="00AC4AEA">
        <w:rPr>
          <w:rFonts w:ascii="Arial" w:hAnsi="Arial" w:cs="Arial"/>
          <w:sz w:val="20"/>
          <w:szCs w:val="20"/>
        </w:rPr>
        <w:t>e</w:t>
      </w:r>
      <w:r w:rsidR="00676E28" w:rsidRPr="00AC4AEA">
        <w:rPr>
          <w:rFonts w:ascii="Arial" w:hAnsi="Arial" w:cs="Arial"/>
          <w:sz w:val="20"/>
          <w:szCs w:val="20"/>
        </w:rPr>
        <w:t xml:space="preserve">n el caso de que una entidad mida estos bienes de cambio por su </w:t>
      </w:r>
      <w:r w:rsidR="00676E28" w:rsidRPr="00AC4AEA">
        <w:rPr>
          <w:rFonts w:ascii="Arial" w:hAnsi="Arial" w:cs="Arial"/>
          <w:b/>
          <w:bCs/>
          <w:sz w:val="20"/>
          <w:szCs w:val="20"/>
        </w:rPr>
        <w:t>valor neto de realización</w:t>
      </w:r>
      <w:r w:rsidR="00676E28" w:rsidRPr="00AC4AEA">
        <w:rPr>
          <w:rFonts w:ascii="Arial" w:hAnsi="Arial" w:cs="Arial"/>
          <w:sz w:val="20"/>
          <w:szCs w:val="20"/>
        </w:rPr>
        <w:t>, imputará la contrapartida de las variaciones acaecidas en este valor en el resultado del periodo.</w:t>
      </w:r>
      <w:bookmarkEnd w:id="440"/>
    </w:p>
    <w:p w:rsidR="00FC62C5" w:rsidRPr="00AC4AEA" w:rsidRDefault="00FC62C5" w:rsidP="00A318EA">
      <w:pPr>
        <w:ind w:left="426"/>
        <w:jc w:val="both"/>
        <w:rPr>
          <w:rFonts w:ascii="Arial" w:hAnsi="Arial" w:cs="Arial"/>
          <w:sz w:val="20"/>
          <w:szCs w:val="20"/>
        </w:rPr>
      </w:pPr>
      <w:bookmarkStart w:id="441" w:name="_Toc101863841"/>
    </w:p>
    <w:p w:rsidR="008B56DD" w:rsidRPr="00AC4AEA" w:rsidRDefault="008B56DD" w:rsidP="00A318EA">
      <w:pPr>
        <w:pStyle w:val="Ttulo2"/>
        <w:rPr>
          <w:rFonts w:cs="Arial"/>
        </w:rPr>
      </w:pPr>
      <w:bookmarkStart w:id="442" w:name="_Toc139356710"/>
      <w:r w:rsidRPr="00AC4AEA">
        <w:rPr>
          <w:rFonts w:cs="Arial"/>
        </w:rPr>
        <w:t xml:space="preserve">Comparación con el </w:t>
      </w:r>
      <w:r w:rsidR="00A06C32" w:rsidRPr="00AC4AEA">
        <w:rPr>
          <w:rFonts w:cs="Arial"/>
        </w:rPr>
        <w:t>valor recuperable</w:t>
      </w:r>
      <w:bookmarkEnd w:id="441"/>
      <w:bookmarkEnd w:id="442"/>
    </w:p>
    <w:p w:rsidR="004F7CE2" w:rsidRPr="00AC4AEA" w:rsidRDefault="00DE768B" w:rsidP="00A318EA">
      <w:pPr>
        <w:pStyle w:val="Prrafodelista"/>
        <w:numPr>
          <w:ilvl w:val="0"/>
          <w:numId w:val="29"/>
        </w:numPr>
        <w:contextualSpacing w:val="0"/>
        <w:jc w:val="both"/>
        <w:rPr>
          <w:rFonts w:ascii="Arial" w:hAnsi="Arial" w:cs="Arial"/>
          <w:sz w:val="20"/>
          <w:szCs w:val="20"/>
        </w:rPr>
      </w:pPr>
      <w:bookmarkStart w:id="443" w:name="_Ref134185539"/>
      <w:r w:rsidRPr="00AC4AEA">
        <w:rPr>
          <w:rFonts w:ascii="Arial" w:hAnsi="Arial" w:cs="Arial"/>
          <w:sz w:val="20"/>
          <w:szCs w:val="20"/>
        </w:rPr>
        <w:t xml:space="preserve">A la </w:t>
      </w:r>
      <w:r w:rsidRPr="00AC4AEA">
        <w:rPr>
          <w:rFonts w:ascii="Arial" w:hAnsi="Arial" w:cs="Arial"/>
          <w:b/>
          <w:bCs/>
          <w:sz w:val="20"/>
          <w:szCs w:val="20"/>
        </w:rPr>
        <w:t>fecha de los estados contables</w:t>
      </w:r>
      <w:r w:rsidRPr="00AC4AEA">
        <w:rPr>
          <w:rFonts w:ascii="Arial" w:hAnsi="Arial" w:cs="Arial"/>
          <w:sz w:val="20"/>
          <w:szCs w:val="20"/>
        </w:rPr>
        <w:t>, u</w:t>
      </w:r>
      <w:r w:rsidR="007E020E" w:rsidRPr="00AC4AEA">
        <w:rPr>
          <w:rFonts w:ascii="Arial" w:hAnsi="Arial" w:cs="Arial"/>
          <w:sz w:val="20"/>
          <w:szCs w:val="20"/>
        </w:rPr>
        <w:t xml:space="preserve">na entidad comparará la medición contable de los bienes de cambio con su </w:t>
      </w:r>
      <w:r w:rsidR="007E020E" w:rsidRPr="00AC4AEA">
        <w:rPr>
          <w:rFonts w:ascii="Arial" w:hAnsi="Arial" w:cs="Arial"/>
          <w:b/>
          <w:bCs/>
          <w:sz w:val="20"/>
          <w:szCs w:val="20"/>
        </w:rPr>
        <w:t xml:space="preserve">valor </w:t>
      </w:r>
      <w:r w:rsidR="00AF4B70" w:rsidRPr="00AC4AEA">
        <w:rPr>
          <w:rFonts w:ascii="Arial" w:hAnsi="Arial" w:cs="Arial"/>
          <w:b/>
          <w:bCs/>
          <w:sz w:val="20"/>
          <w:szCs w:val="20"/>
        </w:rPr>
        <w:t>neto de realización</w:t>
      </w:r>
      <w:r w:rsidR="007E020E" w:rsidRPr="00AC4AEA">
        <w:rPr>
          <w:rFonts w:ascii="Arial" w:hAnsi="Arial" w:cs="Arial"/>
          <w:sz w:val="20"/>
          <w:szCs w:val="20"/>
        </w:rPr>
        <w:t>, considerando su forma de utilización o comercialización</w:t>
      </w:r>
      <w:r w:rsidR="004F7CE2" w:rsidRPr="00AC4AEA">
        <w:rPr>
          <w:rFonts w:ascii="Arial" w:hAnsi="Arial" w:cs="Arial"/>
          <w:sz w:val="20"/>
          <w:szCs w:val="20"/>
        </w:rPr>
        <w:t>. Por ejemplo:</w:t>
      </w:r>
      <w:bookmarkEnd w:id="443"/>
    </w:p>
    <w:p w:rsidR="004F7CE2" w:rsidRPr="00AC4AEA" w:rsidRDefault="004F7CE2" w:rsidP="00A318EA">
      <w:pPr>
        <w:pStyle w:val="Prrafodelista"/>
        <w:numPr>
          <w:ilvl w:val="0"/>
          <w:numId w:val="72"/>
        </w:numPr>
        <w:ind w:left="1560"/>
        <w:contextualSpacing w:val="0"/>
        <w:jc w:val="both"/>
        <w:rPr>
          <w:rFonts w:ascii="Arial" w:hAnsi="Arial" w:cs="Arial"/>
          <w:sz w:val="20"/>
          <w:szCs w:val="20"/>
        </w:rPr>
      </w:pPr>
      <w:r w:rsidRPr="00AC4AEA">
        <w:rPr>
          <w:rFonts w:ascii="Arial" w:hAnsi="Arial" w:cs="Arial"/>
          <w:sz w:val="20"/>
          <w:szCs w:val="20"/>
        </w:rPr>
        <w:lastRenderedPageBreak/>
        <w:t>Venta individual bien por bien.</w:t>
      </w:r>
    </w:p>
    <w:p w:rsidR="004F7CE2" w:rsidRPr="00AC4AEA" w:rsidRDefault="004F7CE2" w:rsidP="00A318EA">
      <w:pPr>
        <w:pStyle w:val="Prrafodelista"/>
        <w:numPr>
          <w:ilvl w:val="0"/>
          <w:numId w:val="72"/>
        </w:numPr>
        <w:ind w:left="1560"/>
        <w:contextualSpacing w:val="0"/>
        <w:jc w:val="both"/>
        <w:rPr>
          <w:rFonts w:ascii="Arial" w:hAnsi="Arial" w:cs="Arial"/>
          <w:sz w:val="20"/>
          <w:szCs w:val="20"/>
        </w:rPr>
      </w:pPr>
      <w:r w:rsidRPr="00AC4AEA">
        <w:rPr>
          <w:rFonts w:ascii="Arial" w:hAnsi="Arial" w:cs="Arial"/>
          <w:sz w:val="20"/>
          <w:szCs w:val="20"/>
        </w:rPr>
        <w:t>Bi</w:t>
      </w:r>
      <w:r w:rsidR="007E020E" w:rsidRPr="00AC4AEA">
        <w:rPr>
          <w:rFonts w:ascii="Arial" w:hAnsi="Arial" w:cs="Arial"/>
          <w:sz w:val="20"/>
          <w:szCs w:val="20"/>
        </w:rPr>
        <w:t>enes que se combinan para la producción de un nuevo bien</w:t>
      </w:r>
      <w:r w:rsidRPr="00AC4AEA">
        <w:rPr>
          <w:rFonts w:ascii="Arial" w:hAnsi="Arial" w:cs="Arial"/>
          <w:sz w:val="20"/>
          <w:szCs w:val="20"/>
        </w:rPr>
        <w:t>.</w:t>
      </w:r>
    </w:p>
    <w:p w:rsidR="004F7CE2" w:rsidRPr="00AC4AEA" w:rsidRDefault="004F7CE2" w:rsidP="00A318EA">
      <w:pPr>
        <w:pStyle w:val="Prrafodelista"/>
        <w:numPr>
          <w:ilvl w:val="0"/>
          <w:numId w:val="72"/>
        </w:numPr>
        <w:ind w:left="1560"/>
        <w:contextualSpacing w:val="0"/>
        <w:jc w:val="both"/>
        <w:rPr>
          <w:rFonts w:ascii="Arial" w:hAnsi="Arial" w:cs="Arial"/>
          <w:sz w:val="20"/>
          <w:szCs w:val="20"/>
        </w:rPr>
      </w:pPr>
      <w:r w:rsidRPr="00AC4AEA">
        <w:rPr>
          <w:rFonts w:ascii="Arial" w:hAnsi="Arial" w:cs="Arial"/>
          <w:sz w:val="20"/>
          <w:szCs w:val="20"/>
        </w:rPr>
        <w:t>V</w:t>
      </w:r>
      <w:r w:rsidR="007E020E" w:rsidRPr="00AC4AEA">
        <w:rPr>
          <w:rFonts w:ascii="Arial" w:hAnsi="Arial" w:cs="Arial"/>
          <w:sz w:val="20"/>
          <w:szCs w:val="20"/>
        </w:rPr>
        <w:t>enta a granel</w:t>
      </w:r>
      <w:r w:rsidRPr="00AC4AEA">
        <w:rPr>
          <w:rFonts w:ascii="Arial" w:hAnsi="Arial" w:cs="Arial"/>
          <w:sz w:val="20"/>
          <w:szCs w:val="20"/>
        </w:rPr>
        <w:t>.</w:t>
      </w:r>
      <w:r w:rsidR="007E020E" w:rsidRPr="00AC4AEA">
        <w:rPr>
          <w:rFonts w:ascii="Arial" w:hAnsi="Arial" w:cs="Arial"/>
          <w:sz w:val="20"/>
          <w:szCs w:val="20"/>
        </w:rPr>
        <w:t xml:space="preserve"> </w:t>
      </w:r>
    </w:p>
    <w:p w:rsidR="004F7CE2" w:rsidRPr="00AC4AEA" w:rsidRDefault="004F7CE2" w:rsidP="00A318EA">
      <w:pPr>
        <w:pStyle w:val="Prrafodelista"/>
        <w:numPr>
          <w:ilvl w:val="0"/>
          <w:numId w:val="72"/>
        </w:numPr>
        <w:ind w:left="1560"/>
        <w:contextualSpacing w:val="0"/>
        <w:jc w:val="both"/>
        <w:rPr>
          <w:rFonts w:ascii="Arial" w:hAnsi="Arial" w:cs="Arial"/>
          <w:sz w:val="20"/>
          <w:szCs w:val="20"/>
        </w:rPr>
      </w:pPr>
      <w:r w:rsidRPr="00AC4AEA">
        <w:rPr>
          <w:rFonts w:ascii="Arial" w:hAnsi="Arial" w:cs="Arial"/>
          <w:sz w:val="20"/>
          <w:szCs w:val="20"/>
        </w:rPr>
        <w:t xml:space="preserve">Agrupación </w:t>
      </w:r>
      <w:r w:rsidR="007E020E" w:rsidRPr="00AC4AEA">
        <w:rPr>
          <w:rFonts w:ascii="Arial" w:hAnsi="Arial" w:cs="Arial"/>
          <w:sz w:val="20"/>
          <w:szCs w:val="20"/>
        </w:rPr>
        <w:t>de productos complementarios en una única oferta</w:t>
      </w:r>
      <w:r w:rsidRPr="00AC4AEA">
        <w:rPr>
          <w:rFonts w:ascii="Arial" w:hAnsi="Arial" w:cs="Arial"/>
          <w:sz w:val="20"/>
          <w:szCs w:val="20"/>
        </w:rPr>
        <w:t>.</w:t>
      </w:r>
      <w:r w:rsidR="007E020E" w:rsidRPr="00AC4AEA">
        <w:rPr>
          <w:rFonts w:ascii="Arial" w:hAnsi="Arial" w:cs="Arial"/>
          <w:sz w:val="20"/>
          <w:szCs w:val="20"/>
        </w:rPr>
        <w:t xml:space="preserve"> </w:t>
      </w:r>
    </w:p>
    <w:p w:rsidR="0071063E" w:rsidRPr="00AC4AEA" w:rsidRDefault="004F7CE2" w:rsidP="00A318EA">
      <w:pPr>
        <w:pStyle w:val="Prrafodelista"/>
        <w:numPr>
          <w:ilvl w:val="0"/>
          <w:numId w:val="72"/>
        </w:numPr>
        <w:ind w:left="1560"/>
        <w:contextualSpacing w:val="0"/>
        <w:jc w:val="both"/>
        <w:rPr>
          <w:rFonts w:ascii="Arial" w:hAnsi="Arial" w:cs="Arial"/>
          <w:sz w:val="20"/>
          <w:szCs w:val="20"/>
        </w:rPr>
      </w:pPr>
      <w:r w:rsidRPr="00AC4AEA">
        <w:rPr>
          <w:rFonts w:ascii="Arial" w:hAnsi="Arial" w:cs="Arial"/>
          <w:sz w:val="20"/>
          <w:szCs w:val="20"/>
        </w:rPr>
        <w:t xml:space="preserve">Venta </w:t>
      </w:r>
      <w:r w:rsidR="007E020E" w:rsidRPr="00AC4AEA">
        <w:rPr>
          <w:rFonts w:ascii="Arial" w:hAnsi="Arial" w:cs="Arial"/>
          <w:sz w:val="20"/>
          <w:szCs w:val="20"/>
        </w:rPr>
        <w:t>de algunos productos por debajo de su costo para generar la venta de otros productos</w:t>
      </w:r>
      <w:r w:rsidRPr="00AC4AEA">
        <w:rPr>
          <w:rFonts w:ascii="Arial" w:hAnsi="Arial" w:cs="Arial"/>
          <w:sz w:val="20"/>
          <w:szCs w:val="20"/>
        </w:rPr>
        <w:t>.</w:t>
      </w:r>
    </w:p>
    <w:p w:rsidR="0071063E" w:rsidRPr="00AC4AEA" w:rsidRDefault="0071063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los fines indicados en el párrafo anterior, una entidad realizará la comparación:</w:t>
      </w:r>
    </w:p>
    <w:p w:rsidR="0071063E" w:rsidRPr="00AC4AEA" w:rsidRDefault="00B1261B" w:rsidP="00A318EA">
      <w:pPr>
        <w:pStyle w:val="Prrafodelista"/>
        <w:numPr>
          <w:ilvl w:val="0"/>
          <w:numId w:val="73"/>
        </w:numPr>
        <w:ind w:left="1560"/>
        <w:contextualSpacing w:val="0"/>
        <w:jc w:val="both"/>
        <w:rPr>
          <w:rFonts w:ascii="Arial" w:hAnsi="Arial" w:cs="Arial"/>
          <w:sz w:val="20"/>
          <w:szCs w:val="20"/>
        </w:rPr>
      </w:pPr>
      <w:r w:rsidRPr="00AC4AEA">
        <w:rPr>
          <w:rFonts w:ascii="Arial" w:hAnsi="Arial" w:cs="Arial"/>
          <w:sz w:val="20"/>
          <w:szCs w:val="20"/>
        </w:rPr>
        <w:t>p</w:t>
      </w:r>
      <w:r w:rsidR="0071063E" w:rsidRPr="00AC4AEA">
        <w:rPr>
          <w:rFonts w:ascii="Arial" w:hAnsi="Arial" w:cs="Arial"/>
          <w:sz w:val="20"/>
          <w:szCs w:val="20"/>
        </w:rPr>
        <w:t>artida por partida</w:t>
      </w:r>
      <w:r w:rsidR="00A51AA6" w:rsidRPr="00AC4AEA">
        <w:rPr>
          <w:rFonts w:ascii="Arial" w:hAnsi="Arial" w:cs="Arial"/>
          <w:sz w:val="20"/>
          <w:szCs w:val="20"/>
        </w:rPr>
        <w:t>;</w:t>
      </w:r>
      <w:r w:rsidR="0071063E" w:rsidRPr="00AC4AEA">
        <w:rPr>
          <w:rFonts w:ascii="Arial" w:hAnsi="Arial" w:cs="Arial"/>
          <w:sz w:val="20"/>
          <w:szCs w:val="20"/>
        </w:rPr>
        <w:t xml:space="preserve"> o</w:t>
      </w:r>
    </w:p>
    <w:p w:rsidR="0071063E" w:rsidRPr="00AC4AEA" w:rsidRDefault="00A51AA6" w:rsidP="00A318EA">
      <w:pPr>
        <w:pStyle w:val="Prrafodelista"/>
        <w:numPr>
          <w:ilvl w:val="0"/>
          <w:numId w:val="73"/>
        </w:numPr>
        <w:ind w:left="1560"/>
        <w:contextualSpacing w:val="0"/>
        <w:jc w:val="both"/>
        <w:rPr>
          <w:rFonts w:ascii="Arial" w:hAnsi="Arial" w:cs="Arial"/>
          <w:sz w:val="20"/>
          <w:szCs w:val="20"/>
        </w:rPr>
      </w:pPr>
      <w:r w:rsidRPr="00AC4AEA">
        <w:rPr>
          <w:rFonts w:ascii="Arial" w:hAnsi="Arial" w:cs="Arial"/>
          <w:sz w:val="20"/>
          <w:szCs w:val="20"/>
        </w:rPr>
        <w:t xml:space="preserve">si lo anterior fuera </w:t>
      </w:r>
      <w:r w:rsidRPr="00AC4AEA">
        <w:rPr>
          <w:rFonts w:ascii="Arial" w:hAnsi="Arial" w:cs="Arial"/>
          <w:b/>
          <w:bCs/>
          <w:sz w:val="20"/>
          <w:szCs w:val="20"/>
        </w:rPr>
        <w:t>impracticable</w:t>
      </w:r>
      <w:r w:rsidRPr="00AC4AEA">
        <w:rPr>
          <w:rFonts w:ascii="Arial" w:hAnsi="Arial" w:cs="Arial"/>
          <w:sz w:val="20"/>
          <w:szCs w:val="20"/>
        </w:rPr>
        <w:t xml:space="preserve">, </w:t>
      </w:r>
      <w:r w:rsidR="00B1261B" w:rsidRPr="00AC4AEA">
        <w:rPr>
          <w:rFonts w:ascii="Arial" w:hAnsi="Arial" w:cs="Arial"/>
          <w:sz w:val="20"/>
          <w:szCs w:val="20"/>
        </w:rPr>
        <w:t>a</w:t>
      </w:r>
      <w:r w:rsidR="0071063E" w:rsidRPr="00AC4AEA">
        <w:rPr>
          <w:rFonts w:ascii="Arial" w:hAnsi="Arial" w:cs="Arial"/>
          <w:sz w:val="20"/>
          <w:szCs w:val="20"/>
        </w:rPr>
        <w:t>grupando partidas relacionadas con una línea de productos cuyos componentes tengan propósito o uso similar y se produzcan y/o comercialicen en la misma zona geográfica.</w:t>
      </w:r>
    </w:p>
    <w:p w:rsidR="00125462" w:rsidRPr="00AC4AEA" w:rsidRDefault="0012546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reconocerá </w:t>
      </w:r>
      <w:r w:rsidRPr="00AC4AEA">
        <w:rPr>
          <w:rFonts w:ascii="Arial" w:hAnsi="Arial" w:cs="Arial"/>
          <w:b/>
          <w:bCs/>
          <w:sz w:val="20"/>
          <w:szCs w:val="20"/>
        </w:rPr>
        <w:t xml:space="preserve">pérdidas por desvalorización: </w:t>
      </w:r>
    </w:p>
    <w:p w:rsidR="00125462" w:rsidRPr="00AC4AEA" w:rsidRDefault="00125462" w:rsidP="00A318EA">
      <w:pPr>
        <w:pStyle w:val="Prrafodelista"/>
        <w:numPr>
          <w:ilvl w:val="0"/>
          <w:numId w:val="74"/>
        </w:numPr>
        <w:ind w:left="1560"/>
        <w:contextualSpacing w:val="0"/>
        <w:jc w:val="both"/>
        <w:rPr>
          <w:rFonts w:ascii="Arial" w:hAnsi="Arial" w:cs="Arial"/>
          <w:sz w:val="20"/>
          <w:szCs w:val="20"/>
        </w:rPr>
      </w:pPr>
      <w:r w:rsidRPr="00AC4AEA">
        <w:rPr>
          <w:rFonts w:ascii="Arial" w:hAnsi="Arial" w:cs="Arial"/>
          <w:sz w:val="20"/>
          <w:szCs w:val="20"/>
        </w:rPr>
        <w:t xml:space="preserve">De artículos que se venden junto con otros productos si el </w:t>
      </w:r>
      <w:r w:rsidRPr="00AC4AEA">
        <w:rPr>
          <w:rFonts w:ascii="Arial" w:hAnsi="Arial" w:cs="Arial"/>
          <w:b/>
          <w:bCs/>
          <w:sz w:val="20"/>
          <w:szCs w:val="20"/>
        </w:rPr>
        <w:t xml:space="preserve">valor recuperable </w:t>
      </w:r>
      <w:r w:rsidRPr="00AC4AEA">
        <w:rPr>
          <w:rFonts w:ascii="Arial" w:hAnsi="Arial" w:cs="Arial"/>
          <w:sz w:val="20"/>
          <w:szCs w:val="20"/>
        </w:rPr>
        <w:t>del conjunto de bienes que se agrupan o complementan es superior a la medición contable de todos ellos.</w:t>
      </w:r>
    </w:p>
    <w:p w:rsidR="00125462" w:rsidRPr="00AC4AEA" w:rsidRDefault="004630A4" w:rsidP="00A318EA">
      <w:pPr>
        <w:pStyle w:val="Prrafodelista"/>
        <w:numPr>
          <w:ilvl w:val="0"/>
          <w:numId w:val="74"/>
        </w:numPr>
        <w:ind w:left="1560"/>
        <w:contextualSpacing w:val="0"/>
        <w:jc w:val="both"/>
        <w:rPr>
          <w:rFonts w:ascii="Arial" w:hAnsi="Arial" w:cs="Arial"/>
          <w:sz w:val="20"/>
          <w:szCs w:val="20"/>
        </w:rPr>
      </w:pPr>
      <w:r w:rsidRPr="00AC4AEA">
        <w:rPr>
          <w:rFonts w:ascii="Arial" w:hAnsi="Arial" w:cs="Arial"/>
          <w:sz w:val="20"/>
          <w:szCs w:val="20"/>
        </w:rPr>
        <w:t xml:space="preserve">De materias primas y productos en proceso, si se estiman recuperables </w:t>
      </w:r>
      <w:r w:rsidR="005A2B38" w:rsidRPr="00AC4AEA">
        <w:rPr>
          <w:rFonts w:ascii="Arial" w:hAnsi="Arial" w:cs="Arial"/>
          <w:sz w:val="20"/>
          <w:szCs w:val="20"/>
        </w:rPr>
        <w:t>mediante la</w:t>
      </w:r>
      <w:r w:rsidRPr="00AC4AEA">
        <w:rPr>
          <w:rFonts w:ascii="Arial" w:hAnsi="Arial" w:cs="Arial"/>
          <w:sz w:val="20"/>
          <w:szCs w:val="20"/>
        </w:rPr>
        <w:t xml:space="preserve"> realización de los productos terminados de los cuales formarán parte</w:t>
      </w:r>
      <w:r w:rsidR="00125462" w:rsidRPr="00AC4AEA">
        <w:rPr>
          <w:rFonts w:ascii="Arial" w:hAnsi="Arial" w:cs="Arial"/>
          <w:sz w:val="20"/>
          <w:szCs w:val="20"/>
        </w:rPr>
        <w:t>.</w:t>
      </w:r>
    </w:p>
    <w:p w:rsidR="00007798" w:rsidRPr="00AC4AEA" w:rsidRDefault="00964F8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w:t>
      </w:r>
      <w:r w:rsidR="005A2B38" w:rsidRPr="00AC4AEA">
        <w:rPr>
          <w:rFonts w:ascii="Arial" w:hAnsi="Arial" w:cs="Arial"/>
          <w:sz w:val="20"/>
          <w:szCs w:val="20"/>
        </w:rPr>
        <w:t xml:space="preserve">tanto </w:t>
      </w:r>
      <w:r w:rsidRPr="00AC4AEA">
        <w:rPr>
          <w:rFonts w:ascii="Arial" w:hAnsi="Arial" w:cs="Arial"/>
          <w:sz w:val="20"/>
          <w:szCs w:val="20"/>
        </w:rPr>
        <w:t xml:space="preserve">las </w:t>
      </w:r>
      <w:r w:rsidRPr="00AC4AEA">
        <w:rPr>
          <w:rFonts w:ascii="Arial" w:hAnsi="Arial" w:cs="Arial"/>
          <w:b/>
          <w:bCs/>
          <w:sz w:val="20"/>
          <w:szCs w:val="20"/>
        </w:rPr>
        <w:t>pérdidas por desvalorización</w:t>
      </w:r>
      <w:r w:rsidR="005A2B38" w:rsidRPr="00AC4AEA">
        <w:rPr>
          <w:rFonts w:ascii="Arial" w:hAnsi="Arial" w:cs="Arial"/>
          <w:sz w:val="20"/>
          <w:szCs w:val="20"/>
        </w:rPr>
        <w:t xml:space="preserve"> como su reversión</w:t>
      </w:r>
      <w:r w:rsidRPr="00AC4AEA">
        <w:rPr>
          <w:rFonts w:ascii="Arial" w:hAnsi="Arial" w:cs="Arial"/>
          <w:sz w:val="20"/>
          <w:szCs w:val="20"/>
        </w:rPr>
        <w:t xml:space="preserve"> imputando al resultado </w:t>
      </w:r>
      <w:r w:rsidR="004E3FBF" w:rsidRPr="00AC4AEA">
        <w:rPr>
          <w:rFonts w:ascii="Arial" w:hAnsi="Arial" w:cs="Arial"/>
          <w:sz w:val="20"/>
          <w:szCs w:val="20"/>
        </w:rPr>
        <w:t>del período</w:t>
      </w:r>
      <w:r w:rsidRPr="00AC4AEA">
        <w:rPr>
          <w:rFonts w:ascii="Arial" w:hAnsi="Arial" w:cs="Arial"/>
          <w:sz w:val="20"/>
          <w:szCs w:val="20"/>
        </w:rPr>
        <w:t xml:space="preserve"> las diferencias entre la medición contable y </w:t>
      </w:r>
      <w:r w:rsidRPr="00AC4AEA">
        <w:rPr>
          <w:rFonts w:ascii="Arial" w:hAnsi="Arial" w:cs="Arial"/>
          <w:b/>
          <w:bCs/>
          <w:sz w:val="20"/>
          <w:szCs w:val="20"/>
        </w:rPr>
        <w:t>valor recuperable</w:t>
      </w:r>
      <w:r w:rsidR="005A2B38" w:rsidRPr="00AC4AEA">
        <w:rPr>
          <w:rFonts w:ascii="Arial" w:hAnsi="Arial" w:cs="Arial"/>
          <w:sz w:val="20"/>
          <w:szCs w:val="20"/>
        </w:rPr>
        <w:t>.</w:t>
      </w:r>
    </w:p>
    <w:p w:rsidR="00007798" w:rsidRPr="00AC4AEA" w:rsidRDefault="00007798" w:rsidP="00A318EA">
      <w:pPr>
        <w:pStyle w:val="A-Normal11"/>
        <w:numPr>
          <w:ilvl w:val="0"/>
          <w:numId w:val="29"/>
        </w:numPr>
        <w:jc w:val="both"/>
        <w:rPr>
          <w:rFonts w:ascii="Arial" w:hAnsi="Arial" w:cs="Arial"/>
          <w:sz w:val="20"/>
        </w:rPr>
      </w:pPr>
      <w:bookmarkStart w:id="444" w:name="_Ref102161197"/>
      <w:r w:rsidRPr="00AC4AEA">
        <w:rPr>
          <w:rFonts w:ascii="Arial" w:hAnsi="Arial" w:cs="Arial"/>
          <w:sz w:val="20"/>
        </w:rPr>
        <w:t xml:space="preserve">Una entidad revertirá </w:t>
      </w:r>
      <w:r w:rsidR="00A06C32" w:rsidRPr="00AC4AEA">
        <w:rPr>
          <w:rFonts w:ascii="Arial" w:hAnsi="Arial" w:cs="Arial"/>
          <w:b/>
          <w:bCs/>
          <w:sz w:val="20"/>
        </w:rPr>
        <w:t xml:space="preserve">pérdidas por desvalorización </w:t>
      </w:r>
      <w:r w:rsidRPr="00AC4AEA">
        <w:rPr>
          <w:rFonts w:ascii="Arial" w:hAnsi="Arial" w:cs="Arial"/>
          <w:sz w:val="20"/>
        </w:rPr>
        <w:t xml:space="preserve">reconocidas en períodos anteriores solo cuando, con posterioridad a la fecha de su determinación, se modifiquen las estimaciones efectuadas para determinar </w:t>
      </w:r>
      <w:r w:rsidR="00EC0123" w:rsidRPr="00AC4AEA">
        <w:rPr>
          <w:rFonts w:ascii="Arial" w:hAnsi="Arial" w:cs="Arial"/>
          <w:sz w:val="20"/>
        </w:rPr>
        <w:t xml:space="preserve">el </w:t>
      </w:r>
      <w:r w:rsidR="00EC0123" w:rsidRPr="00AC4AEA">
        <w:rPr>
          <w:rFonts w:ascii="Arial" w:hAnsi="Arial" w:cs="Arial"/>
          <w:b/>
          <w:bCs/>
          <w:sz w:val="20"/>
        </w:rPr>
        <w:t>valor recu</w:t>
      </w:r>
      <w:r w:rsidR="008741A6" w:rsidRPr="00AC4AEA">
        <w:rPr>
          <w:rFonts w:ascii="Arial" w:hAnsi="Arial" w:cs="Arial"/>
          <w:b/>
          <w:bCs/>
          <w:sz w:val="20"/>
        </w:rPr>
        <w:t>perable</w:t>
      </w:r>
      <w:r w:rsidRPr="00AC4AEA">
        <w:rPr>
          <w:rFonts w:ascii="Arial" w:hAnsi="Arial" w:cs="Arial"/>
          <w:sz w:val="20"/>
        </w:rPr>
        <w:t xml:space="preserve">. En tal caso, aumentará la medición contable de los bienes de cambio </w:t>
      </w:r>
      <w:r w:rsidR="005A2B38" w:rsidRPr="00AC4AEA">
        <w:rPr>
          <w:rFonts w:ascii="Arial" w:hAnsi="Arial" w:cs="Arial"/>
          <w:sz w:val="20"/>
        </w:rPr>
        <w:t>correspondientes</w:t>
      </w:r>
      <w:r w:rsidRPr="00AC4AEA">
        <w:rPr>
          <w:rFonts w:ascii="Arial" w:hAnsi="Arial" w:cs="Arial"/>
          <w:sz w:val="20"/>
        </w:rPr>
        <w:t xml:space="preserve"> por </w:t>
      </w:r>
      <w:r w:rsidR="005A2B38" w:rsidRPr="00AC4AEA">
        <w:rPr>
          <w:rFonts w:ascii="Arial" w:hAnsi="Arial" w:cs="Arial"/>
          <w:sz w:val="20"/>
        </w:rPr>
        <w:t>el menor de los siguientes importes</w:t>
      </w:r>
      <w:r w:rsidRPr="00AC4AEA">
        <w:rPr>
          <w:rFonts w:ascii="Arial" w:hAnsi="Arial" w:cs="Arial"/>
          <w:sz w:val="20"/>
        </w:rPr>
        <w:t>:</w:t>
      </w:r>
      <w:bookmarkEnd w:id="444"/>
    </w:p>
    <w:p w:rsidR="00007798" w:rsidRPr="00AC4AEA" w:rsidRDefault="000E2475" w:rsidP="00A318EA">
      <w:pPr>
        <w:pStyle w:val="A-Normal11"/>
        <w:numPr>
          <w:ilvl w:val="0"/>
          <w:numId w:val="75"/>
        </w:numPr>
        <w:ind w:left="1560"/>
        <w:jc w:val="both"/>
        <w:rPr>
          <w:rFonts w:ascii="Arial" w:hAnsi="Arial" w:cs="Arial"/>
          <w:sz w:val="20"/>
        </w:rPr>
      </w:pPr>
      <w:r w:rsidRPr="00AC4AEA">
        <w:rPr>
          <w:rFonts w:ascii="Arial" w:hAnsi="Arial" w:cs="Arial"/>
          <w:sz w:val="20"/>
        </w:rPr>
        <w:t>l</w:t>
      </w:r>
      <w:r w:rsidR="00007798" w:rsidRPr="00AC4AEA">
        <w:rPr>
          <w:rFonts w:ascii="Arial" w:hAnsi="Arial" w:cs="Arial"/>
          <w:sz w:val="20"/>
        </w:rPr>
        <w:t xml:space="preserve">a medición contable que el </w:t>
      </w:r>
      <w:r w:rsidR="00E61C50" w:rsidRPr="00AC4AEA">
        <w:rPr>
          <w:rFonts w:ascii="Arial" w:hAnsi="Arial" w:cs="Arial"/>
          <w:sz w:val="20"/>
        </w:rPr>
        <w:t>bien de cambio</w:t>
      </w:r>
      <w:r w:rsidR="00007798" w:rsidRPr="00AC4AEA">
        <w:rPr>
          <w:rFonts w:ascii="Arial" w:hAnsi="Arial" w:cs="Arial"/>
          <w:sz w:val="20"/>
        </w:rPr>
        <w:t xml:space="preserve"> o grupo de </w:t>
      </w:r>
      <w:r w:rsidR="00E61C50" w:rsidRPr="00AC4AEA">
        <w:rPr>
          <w:rFonts w:ascii="Arial" w:hAnsi="Arial" w:cs="Arial"/>
          <w:sz w:val="20"/>
        </w:rPr>
        <w:t>bienes de cambio</w:t>
      </w:r>
      <w:r w:rsidR="00007798" w:rsidRPr="00AC4AEA">
        <w:rPr>
          <w:rFonts w:ascii="Arial" w:hAnsi="Arial" w:cs="Arial"/>
          <w:sz w:val="20"/>
        </w:rPr>
        <w:t xml:space="preserve"> habría tenido si nunca se hubiese reconocido una </w:t>
      </w:r>
      <w:r w:rsidR="00007798" w:rsidRPr="00AC4AEA">
        <w:rPr>
          <w:rFonts w:ascii="Arial" w:hAnsi="Arial" w:cs="Arial"/>
          <w:b/>
          <w:bCs/>
          <w:sz w:val="20"/>
        </w:rPr>
        <w:t>pérdida por desvalorización</w:t>
      </w:r>
      <w:r w:rsidR="00180C5F" w:rsidRPr="00AC4AEA">
        <w:rPr>
          <w:rFonts w:ascii="Arial" w:hAnsi="Arial" w:cs="Arial"/>
          <w:sz w:val="20"/>
        </w:rPr>
        <w:t>;</w:t>
      </w:r>
      <w:r w:rsidR="00007798" w:rsidRPr="00AC4AEA">
        <w:rPr>
          <w:rFonts w:ascii="Arial" w:hAnsi="Arial" w:cs="Arial"/>
          <w:sz w:val="20"/>
        </w:rPr>
        <w:t xml:space="preserve"> y</w:t>
      </w:r>
    </w:p>
    <w:p w:rsidR="00007798" w:rsidRPr="00AC4AEA" w:rsidRDefault="000E2475" w:rsidP="00A318EA">
      <w:pPr>
        <w:pStyle w:val="A-Normal11"/>
        <w:numPr>
          <w:ilvl w:val="0"/>
          <w:numId w:val="75"/>
        </w:numPr>
        <w:ind w:left="1560"/>
        <w:jc w:val="both"/>
        <w:rPr>
          <w:rFonts w:ascii="Arial" w:hAnsi="Arial" w:cs="Arial"/>
          <w:sz w:val="20"/>
        </w:rPr>
      </w:pPr>
      <w:r w:rsidRPr="00AC4AEA">
        <w:rPr>
          <w:rFonts w:ascii="Arial" w:hAnsi="Arial" w:cs="Arial"/>
          <w:sz w:val="20"/>
        </w:rPr>
        <w:t>s</w:t>
      </w:r>
      <w:r w:rsidR="00007798" w:rsidRPr="00AC4AEA">
        <w:rPr>
          <w:rFonts w:ascii="Arial" w:hAnsi="Arial" w:cs="Arial"/>
          <w:sz w:val="20"/>
        </w:rPr>
        <w:t>u</w:t>
      </w:r>
      <w:r w:rsidR="00502E94" w:rsidRPr="00AC4AEA">
        <w:rPr>
          <w:rFonts w:ascii="Arial" w:hAnsi="Arial" w:cs="Arial"/>
          <w:sz w:val="20"/>
        </w:rPr>
        <w:t xml:space="preserve"> nuevo</w:t>
      </w:r>
      <w:r w:rsidR="00007798" w:rsidRPr="00AC4AEA">
        <w:rPr>
          <w:rFonts w:ascii="Arial" w:hAnsi="Arial" w:cs="Arial"/>
          <w:sz w:val="20"/>
        </w:rPr>
        <w:t xml:space="preserve"> </w:t>
      </w:r>
      <w:r w:rsidR="00A06C32" w:rsidRPr="00AC4AEA">
        <w:rPr>
          <w:rFonts w:ascii="Arial" w:hAnsi="Arial" w:cs="Arial"/>
          <w:b/>
          <w:bCs/>
          <w:sz w:val="20"/>
        </w:rPr>
        <w:t>valor recuperable</w:t>
      </w:r>
      <w:r w:rsidR="008F0313" w:rsidRPr="00AC4AEA">
        <w:rPr>
          <w:rFonts w:ascii="Arial" w:hAnsi="Arial" w:cs="Arial"/>
          <w:sz w:val="20"/>
        </w:rPr>
        <w:t>.</w:t>
      </w:r>
    </w:p>
    <w:p w:rsidR="00007798" w:rsidRPr="00AC4AEA" w:rsidRDefault="00007798" w:rsidP="00A318EA">
      <w:pPr>
        <w:jc w:val="both"/>
        <w:rPr>
          <w:rFonts w:ascii="Arial" w:hAnsi="Arial" w:cs="Arial"/>
          <w:b/>
          <w:bCs/>
          <w:sz w:val="20"/>
          <w:szCs w:val="20"/>
        </w:rPr>
      </w:pPr>
    </w:p>
    <w:p w:rsidR="00CE31EA" w:rsidRPr="00AC4AEA" w:rsidRDefault="00CE31EA" w:rsidP="00A318EA">
      <w:pPr>
        <w:pStyle w:val="Ttulo2"/>
        <w:rPr>
          <w:rFonts w:cs="Arial"/>
        </w:rPr>
      </w:pPr>
      <w:bookmarkStart w:id="445" w:name="_Toc101863842"/>
      <w:bookmarkStart w:id="446" w:name="_Toc139356711"/>
      <w:r w:rsidRPr="00AC4AEA">
        <w:rPr>
          <w:rFonts w:cs="Arial"/>
        </w:rPr>
        <w:t xml:space="preserve">Costo </w:t>
      </w:r>
      <w:r w:rsidR="00353C62" w:rsidRPr="00AC4AEA">
        <w:rPr>
          <w:rFonts w:cs="Arial"/>
        </w:rPr>
        <w:t>de</w:t>
      </w:r>
      <w:r w:rsidR="00BF0D0E" w:rsidRPr="00AC4AEA">
        <w:rPr>
          <w:rFonts w:cs="Arial"/>
        </w:rPr>
        <w:t xml:space="preserve"> bienes vendidos o servicios prestados</w:t>
      </w:r>
      <w:bookmarkEnd w:id="445"/>
      <w:bookmarkEnd w:id="446"/>
    </w:p>
    <w:p w:rsidR="00CE31EA" w:rsidRPr="00AC4AEA" w:rsidRDefault="00CE31EA" w:rsidP="00A318EA">
      <w:pPr>
        <w:pStyle w:val="A-Normal11"/>
        <w:numPr>
          <w:ilvl w:val="0"/>
          <w:numId w:val="29"/>
        </w:numPr>
        <w:jc w:val="both"/>
        <w:rPr>
          <w:rFonts w:ascii="Arial" w:hAnsi="Arial" w:cs="Arial"/>
          <w:sz w:val="20"/>
        </w:rPr>
      </w:pPr>
      <w:bookmarkStart w:id="447" w:name="_Ref81211709"/>
      <w:bookmarkStart w:id="448" w:name="_Ref102213700"/>
      <w:r w:rsidRPr="00AC4AEA">
        <w:rPr>
          <w:rFonts w:ascii="Arial" w:hAnsi="Arial" w:cs="Arial"/>
          <w:sz w:val="20"/>
        </w:rPr>
        <w:t xml:space="preserve">Una entidad podrá determinar el costo de </w:t>
      </w:r>
      <w:r w:rsidR="00254874" w:rsidRPr="00AC4AEA">
        <w:rPr>
          <w:rFonts w:ascii="Arial" w:hAnsi="Arial" w:cs="Arial"/>
          <w:sz w:val="20"/>
        </w:rPr>
        <w:t>bienes vendidos o servicios prestados</w:t>
      </w:r>
      <w:r w:rsidR="003B29B0" w:rsidRPr="00AC4AEA">
        <w:rPr>
          <w:rFonts w:ascii="Arial" w:hAnsi="Arial" w:cs="Arial"/>
          <w:sz w:val="20"/>
        </w:rPr>
        <w:t>, cuya medición</w:t>
      </w:r>
      <w:r w:rsidR="00353C62" w:rsidRPr="00AC4AEA">
        <w:rPr>
          <w:rFonts w:ascii="Arial" w:hAnsi="Arial" w:cs="Arial"/>
          <w:sz w:val="20"/>
        </w:rPr>
        <w:t xml:space="preserve"> posterior</w:t>
      </w:r>
      <w:r w:rsidR="003B29B0" w:rsidRPr="00AC4AEA">
        <w:rPr>
          <w:rFonts w:ascii="Arial" w:hAnsi="Arial" w:cs="Arial"/>
          <w:sz w:val="20"/>
        </w:rPr>
        <w:t xml:space="preserve"> </w:t>
      </w:r>
      <w:r w:rsidR="00353C62" w:rsidRPr="00AC4AEA">
        <w:rPr>
          <w:rFonts w:ascii="Arial" w:hAnsi="Arial" w:cs="Arial"/>
          <w:sz w:val="20"/>
        </w:rPr>
        <w:t>se basa en el</w:t>
      </w:r>
      <w:r w:rsidR="003B29B0" w:rsidRPr="00AC4AEA">
        <w:rPr>
          <w:rFonts w:ascii="Arial" w:hAnsi="Arial" w:cs="Arial"/>
          <w:sz w:val="20"/>
        </w:rPr>
        <w:t xml:space="preserve"> </w:t>
      </w:r>
      <w:r w:rsidR="003B29B0" w:rsidRPr="00AC4AEA">
        <w:rPr>
          <w:rFonts w:ascii="Arial" w:hAnsi="Arial" w:cs="Arial"/>
          <w:b/>
          <w:bCs/>
          <w:sz w:val="20"/>
        </w:rPr>
        <w:t>costo de adquisición, producción o construcción,</w:t>
      </w:r>
      <w:r w:rsidRPr="00AC4AEA">
        <w:rPr>
          <w:rFonts w:ascii="Arial" w:hAnsi="Arial" w:cs="Arial"/>
          <w:sz w:val="20"/>
        </w:rPr>
        <w:t xml:space="preserve"> mediante algun</w:t>
      </w:r>
      <w:r w:rsidR="009642A2" w:rsidRPr="00AC4AEA">
        <w:rPr>
          <w:rFonts w:ascii="Arial" w:hAnsi="Arial" w:cs="Arial"/>
          <w:sz w:val="20"/>
        </w:rPr>
        <w:t>a</w:t>
      </w:r>
      <w:r w:rsidRPr="00AC4AEA">
        <w:rPr>
          <w:rFonts w:ascii="Arial" w:hAnsi="Arial" w:cs="Arial"/>
          <w:sz w:val="20"/>
        </w:rPr>
        <w:t xml:space="preserve"> de l</w:t>
      </w:r>
      <w:r w:rsidR="00F72119" w:rsidRPr="00AC4AEA">
        <w:rPr>
          <w:rFonts w:ascii="Arial" w:hAnsi="Arial" w:cs="Arial"/>
          <w:sz w:val="20"/>
        </w:rPr>
        <w:t>a</w:t>
      </w:r>
      <w:r w:rsidRPr="00AC4AEA">
        <w:rPr>
          <w:rFonts w:ascii="Arial" w:hAnsi="Arial" w:cs="Arial"/>
          <w:sz w:val="20"/>
        </w:rPr>
        <w:t xml:space="preserve">s siguientes </w:t>
      </w:r>
      <w:bookmarkEnd w:id="447"/>
      <w:r w:rsidR="00F72119" w:rsidRPr="00AC4AEA">
        <w:rPr>
          <w:rFonts w:ascii="Arial" w:hAnsi="Arial" w:cs="Arial"/>
          <w:sz w:val="20"/>
        </w:rPr>
        <w:t>alternativas:</w:t>
      </w:r>
      <w:bookmarkEnd w:id="448"/>
    </w:p>
    <w:p w:rsidR="00363E4B" w:rsidRPr="00AC4AEA" w:rsidRDefault="004E77C9" w:rsidP="00A318EA">
      <w:pPr>
        <w:pStyle w:val="A-Normal11"/>
        <w:numPr>
          <w:ilvl w:val="0"/>
          <w:numId w:val="76"/>
        </w:numPr>
        <w:ind w:left="1560"/>
        <w:jc w:val="both"/>
        <w:rPr>
          <w:rFonts w:ascii="Arial" w:hAnsi="Arial" w:cs="Arial"/>
          <w:sz w:val="20"/>
        </w:rPr>
      </w:pPr>
      <w:r w:rsidRPr="0086335F">
        <w:rPr>
          <w:rFonts w:ascii="Arial" w:hAnsi="Arial" w:cs="Arial"/>
          <w:b/>
          <w:bCs/>
          <w:sz w:val="20"/>
        </w:rPr>
        <w:lastRenderedPageBreak/>
        <w:t>c</w:t>
      </w:r>
      <w:r w:rsidR="003B29B0" w:rsidRPr="0086335F">
        <w:rPr>
          <w:rFonts w:ascii="Arial" w:hAnsi="Arial" w:cs="Arial"/>
          <w:b/>
          <w:bCs/>
          <w:sz w:val="20"/>
        </w:rPr>
        <w:t>osto</w:t>
      </w:r>
      <w:r w:rsidR="003B29B0" w:rsidRPr="00AC4AEA">
        <w:rPr>
          <w:rFonts w:ascii="Arial" w:hAnsi="Arial" w:cs="Arial"/>
          <w:sz w:val="20"/>
        </w:rPr>
        <w:t xml:space="preserve"> </w:t>
      </w:r>
      <w:r w:rsidR="00353C62" w:rsidRPr="00AC4AEA">
        <w:rPr>
          <w:rFonts w:ascii="Arial" w:hAnsi="Arial" w:cs="Arial"/>
          <w:sz w:val="20"/>
        </w:rPr>
        <w:t>correspondiente al</w:t>
      </w:r>
      <w:r w:rsidR="003B29B0" w:rsidRPr="00AC4AEA">
        <w:rPr>
          <w:rFonts w:ascii="Arial" w:hAnsi="Arial" w:cs="Arial"/>
          <w:sz w:val="20"/>
        </w:rPr>
        <w:t xml:space="preserve"> momento del reconocimiento</w:t>
      </w:r>
      <w:r w:rsidR="00C127D8" w:rsidRPr="00AC4AEA">
        <w:rPr>
          <w:rFonts w:ascii="Arial" w:hAnsi="Arial" w:cs="Arial"/>
          <w:sz w:val="20"/>
        </w:rPr>
        <w:t xml:space="preserve"> (menos las </w:t>
      </w:r>
      <w:r w:rsidR="00C127D8" w:rsidRPr="00AC4AEA">
        <w:rPr>
          <w:rFonts w:ascii="Arial" w:hAnsi="Arial" w:cs="Arial"/>
          <w:b/>
          <w:bCs/>
          <w:sz w:val="20"/>
        </w:rPr>
        <w:t>pérdidas por desvalorización</w:t>
      </w:r>
      <w:r w:rsidR="00C127D8" w:rsidRPr="00AC4AEA">
        <w:rPr>
          <w:rFonts w:ascii="Arial" w:hAnsi="Arial" w:cs="Arial"/>
          <w:sz w:val="20"/>
        </w:rPr>
        <w:t xml:space="preserve"> contabilizadas)</w:t>
      </w:r>
      <w:r w:rsidR="00353C62" w:rsidRPr="00AC4AEA">
        <w:rPr>
          <w:rFonts w:ascii="Arial" w:hAnsi="Arial" w:cs="Arial"/>
          <w:sz w:val="20"/>
        </w:rPr>
        <w:t>,</w:t>
      </w:r>
      <w:r w:rsidR="003B29B0" w:rsidRPr="00AC4AEA">
        <w:rPr>
          <w:rFonts w:ascii="Arial" w:hAnsi="Arial" w:cs="Arial"/>
          <w:sz w:val="20"/>
        </w:rPr>
        <w:t xml:space="preserve"> determinado</w:t>
      </w:r>
      <w:r w:rsidR="00502E94" w:rsidRPr="00AC4AEA">
        <w:rPr>
          <w:rFonts w:ascii="Arial" w:hAnsi="Arial" w:cs="Arial"/>
          <w:sz w:val="20"/>
        </w:rPr>
        <w:t xml:space="preserve"> mediante algunas de las </w:t>
      </w:r>
      <w:r w:rsidR="00363E4B" w:rsidRPr="00AC4AEA">
        <w:rPr>
          <w:rFonts w:ascii="Arial" w:hAnsi="Arial" w:cs="Arial"/>
          <w:sz w:val="20"/>
        </w:rPr>
        <w:t>siguientes técnicas:</w:t>
      </w:r>
    </w:p>
    <w:p w:rsidR="00363E4B" w:rsidRPr="00AC4AEA" w:rsidRDefault="003B29B0" w:rsidP="00A318EA">
      <w:pPr>
        <w:pStyle w:val="A-Normal11"/>
        <w:numPr>
          <w:ilvl w:val="0"/>
          <w:numId w:val="77"/>
        </w:numPr>
        <w:ind w:left="1984"/>
        <w:jc w:val="both"/>
        <w:rPr>
          <w:rFonts w:ascii="Arial" w:hAnsi="Arial" w:cs="Arial"/>
          <w:sz w:val="20"/>
        </w:rPr>
      </w:pPr>
      <w:r w:rsidRPr="00AC4AEA">
        <w:rPr>
          <w:rFonts w:ascii="Arial" w:hAnsi="Arial" w:cs="Arial"/>
          <w:sz w:val="20"/>
        </w:rPr>
        <w:t xml:space="preserve"> </w:t>
      </w:r>
      <w:r w:rsidR="004C320F" w:rsidRPr="00AC4AEA">
        <w:rPr>
          <w:rFonts w:ascii="Arial" w:hAnsi="Arial" w:cs="Arial"/>
          <w:sz w:val="20"/>
        </w:rPr>
        <w:t>p</w:t>
      </w:r>
      <w:r w:rsidRPr="00AC4AEA">
        <w:rPr>
          <w:rFonts w:ascii="Arial" w:hAnsi="Arial" w:cs="Arial"/>
          <w:sz w:val="20"/>
        </w:rPr>
        <w:t>rimero entrado, primero salido</w:t>
      </w:r>
      <w:r w:rsidR="00CD54A4" w:rsidRPr="00AC4AEA">
        <w:rPr>
          <w:rFonts w:ascii="Arial" w:hAnsi="Arial" w:cs="Arial"/>
          <w:sz w:val="20"/>
        </w:rPr>
        <w:t>;</w:t>
      </w:r>
      <w:r w:rsidR="009D5982" w:rsidRPr="00AC4AEA">
        <w:rPr>
          <w:rFonts w:ascii="Arial" w:hAnsi="Arial" w:cs="Arial"/>
          <w:sz w:val="20"/>
        </w:rPr>
        <w:t xml:space="preserve"> </w:t>
      </w:r>
    </w:p>
    <w:p w:rsidR="00363E4B" w:rsidRPr="00AC4AEA" w:rsidRDefault="004C320F" w:rsidP="00A318EA">
      <w:pPr>
        <w:pStyle w:val="A-Normal11"/>
        <w:numPr>
          <w:ilvl w:val="0"/>
          <w:numId w:val="77"/>
        </w:numPr>
        <w:ind w:left="1984"/>
        <w:jc w:val="both"/>
        <w:rPr>
          <w:rFonts w:ascii="Arial" w:hAnsi="Arial" w:cs="Arial"/>
          <w:sz w:val="20"/>
        </w:rPr>
      </w:pPr>
      <w:r w:rsidRPr="00AC4AEA">
        <w:rPr>
          <w:rFonts w:ascii="Arial" w:hAnsi="Arial" w:cs="Arial"/>
          <w:sz w:val="20"/>
        </w:rPr>
        <w:t>i</w:t>
      </w:r>
      <w:r w:rsidR="009D5982" w:rsidRPr="00AC4AEA">
        <w:rPr>
          <w:rFonts w:ascii="Arial" w:hAnsi="Arial" w:cs="Arial"/>
          <w:sz w:val="20"/>
        </w:rPr>
        <w:t>dentificación específica</w:t>
      </w:r>
      <w:r w:rsidR="00180C5F" w:rsidRPr="00AC4AEA">
        <w:rPr>
          <w:rFonts w:ascii="Arial" w:hAnsi="Arial" w:cs="Arial"/>
          <w:sz w:val="20"/>
        </w:rPr>
        <w:t>;</w:t>
      </w:r>
      <w:r w:rsidR="0020299E" w:rsidRPr="00AC4AEA">
        <w:rPr>
          <w:rFonts w:ascii="Arial" w:hAnsi="Arial" w:cs="Arial"/>
          <w:sz w:val="20"/>
        </w:rPr>
        <w:t xml:space="preserve"> o</w:t>
      </w:r>
      <w:r w:rsidR="003B29B0" w:rsidRPr="00AC4AEA">
        <w:rPr>
          <w:rFonts w:ascii="Arial" w:hAnsi="Arial" w:cs="Arial"/>
          <w:sz w:val="20"/>
        </w:rPr>
        <w:t xml:space="preserve"> </w:t>
      </w:r>
    </w:p>
    <w:p w:rsidR="003B29B0" w:rsidRPr="00AC4AEA" w:rsidRDefault="00A3230D" w:rsidP="00A318EA">
      <w:pPr>
        <w:pStyle w:val="A-Normal11"/>
        <w:numPr>
          <w:ilvl w:val="0"/>
          <w:numId w:val="77"/>
        </w:numPr>
        <w:ind w:left="1984"/>
        <w:jc w:val="both"/>
        <w:rPr>
          <w:rFonts w:ascii="Arial" w:hAnsi="Arial" w:cs="Arial"/>
          <w:sz w:val="20"/>
        </w:rPr>
      </w:pPr>
      <w:r w:rsidRPr="00AC4AEA">
        <w:rPr>
          <w:rFonts w:ascii="Arial" w:hAnsi="Arial" w:cs="Arial"/>
          <w:sz w:val="20"/>
        </w:rPr>
        <w:t xml:space="preserve">costo </w:t>
      </w:r>
      <w:r w:rsidR="003B29B0" w:rsidRPr="00AC4AEA">
        <w:rPr>
          <w:rFonts w:ascii="Arial" w:hAnsi="Arial" w:cs="Arial"/>
          <w:sz w:val="20"/>
        </w:rPr>
        <w:t>promedio ponderado</w:t>
      </w:r>
      <w:r w:rsidR="00F72119" w:rsidRPr="00AC4AEA">
        <w:rPr>
          <w:rFonts w:ascii="Arial" w:hAnsi="Arial" w:cs="Arial"/>
          <w:sz w:val="20"/>
        </w:rPr>
        <w:t>; o</w:t>
      </w:r>
    </w:p>
    <w:p w:rsidR="005A2B38" w:rsidRPr="00AC4AEA" w:rsidRDefault="005A2B38" w:rsidP="00A318EA">
      <w:pPr>
        <w:pStyle w:val="A-Normal11"/>
        <w:numPr>
          <w:ilvl w:val="0"/>
          <w:numId w:val="76"/>
        </w:numPr>
        <w:ind w:left="1560"/>
        <w:jc w:val="both"/>
        <w:rPr>
          <w:rFonts w:ascii="Arial" w:hAnsi="Arial" w:cs="Arial"/>
          <w:sz w:val="20"/>
        </w:rPr>
      </w:pPr>
      <w:r w:rsidRPr="00AC4AEA">
        <w:rPr>
          <w:rFonts w:ascii="Arial" w:hAnsi="Arial" w:cs="Arial"/>
          <w:sz w:val="20"/>
        </w:rPr>
        <w:t xml:space="preserve">en forma simplificada, </w:t>
      </w:r>
      <w:r w:rsidR="0069742B" w:rsidRPr="00AC4AEA">
        <w:rPr>
          <w:rFonts w:ascii="Arial" w:hAnsi="Arial" w:cs="Arial"/>
          <w:sz w:val="20"/>
        </w:rPr>
        <w:t>mediante</w:t>
      </w:r>
      <w:r w:rsidR="00F375DC" w:rsidRPr="00AC4AEA">
        <w:rPr>
          <w:rFonts w:ascii="Arial" w:hAnsi="Arial" w:cs="Arial"/>
          <w:sz w:val="20"/>
        </w:rPr>
        <w:t xml:space="preserve"> </w:t>
      </w:r>
      <w:r w:rsidR="00F375DC" w:rsidRPr="00AC4AEA">
        <w:rPr>
          <w:rFonts w:ascii="Arial" w:hAnsi="Arial" w:cs="Arial"/>
          <w:b/>
          <w:bCs/>
          <w:sz w:val="20"/>
        </w:rPr>
        <w:t>diferencias de inventario</w:t>
      </w:r>
      <w:r w:rsidR="00F375DC" w:rsidRPr="00AC4AEA">
        <w:rPr>
          <w:rFonts w:ascii="Arial" w:hAnsi="Arial" w:cs="Arial"/>
          <w:sz w:val="20"/>
        </w:rPr>
        <w:t>.</w:t>
      </w:r>
    </w:p>
    <w:p w:rsidR="00F72119" w:rsidRPr="00AC4AEA" w:rsidRDefault="00F72119" w:rsidP="00A318EA">
      <w:pPr>
        <w:pStyle w:val="A-Normal11"/>
        <w:numPr>
          <w:ilvl w:val="0"/>
          <w:numId w:val="29"/>
        </w:numPr>
        <w:jc w:val="both"/>
        <w:rPr>
          <w:rFonts w:ascii="Arial" w:hAnsi="Arial" w:cs="Arial"/>
          <w:sz w:val="20"/>
        </w:rPr>
      </w:pPr>
      <w:bookmarkStart w:id="449" w:name="_Ref102213733"/>
      <w:r w:rsidRPr="00AC4AEA">
        <w:rPr>
          <w:rFonts w:ascii="Arial" w:hAnsi="Arial" w:cs="Arial"/>
          <w:sz w:val="20"/>
        </w:rPr>
        <w:t xml:space="preserve">Una entidad podrá determinar el costo de los bienes vendidos o servicios prestados, cuya medición posterior se basa en el </w:t>
      </w:r>
      <w:r w:rsidRPr="00AC4AEA">
        <w:rPr>
          <w:rFonts w:ascii="Arial" w:hAnsi="Arial" w:cs="Arial"/>
          <w:b/>
          <w:bCs/>
          <w:sz w:val="20"/>
        </w:rPr>
        <w:t xml:space="preserve">costo de reposición, </w:t>
      </w:r>
      <w:r w:rsidRPr="00AC4AEA">
        <w:rPr>
          <w:rFonts w:ascii="Arial" w:hAnsi="Arial" w:cs="Arial"/>
          <w:sz w:val="20"/>
        </w:rPr>
        <w:t>o</w:t>
      </w:r>
      <w:r w:rsidRPr="00AC4AEA">
        <w:rPr>
          <w:rFonts w:ascii="Arial" w:hAnsi="Arial" w:cs="Arial"/>
          <w:b/>
          <w:bCs/>
          <w:sz w:val="20"/>
        </w:rPr>
        <w:t xml:space="preserve"> costo de reproducción y/o reconstrucción</w:t>
      </w:r>
      <w:r w:rsidRPr="00AC4AEA">
        <w:rPr>
          <w:rFonts w:ascii="Arial" w:hAnsi="Arial" w:cs="Arial"/>
          <w:sz w:val="20"/>
        </w:rPr>
        <w:t>, mediante alguna de las siguientes alternativas:</w:t>
      </w:r>
      <w:bookmarkEnd w:id="449"/>
    </w:p>
    <w:p w:rsidR="00F72119" w:rsidRPr="00AC4AEA" w:rsidRDefault="00F72119" w:rsidP="00A318EA">
      <w:pPr>
        <w:pStyle w:val="A-Normal11"/>
        <w:numPr>
          <w:ilvl w:val="0"/>
          <w:numId w:val="78"/>
        </w:numPr>
        <w:jc w:val="both"/>
        <w:rPr>
          <w:rFonts w:ascii="Arial" w:hAnsi="Arial" w:cs="Arial"/>
          <w:sz w:val="20"/>
        </w:rPr>
      </w:pPr>
      <w:r w:rsidRPr="00AC4AEA">
        <w:rPr>
          <w:rFonts w:ascii="Arial" w:hAnsi="Arial" w:cs="Arial"/>
          <w:b/>
          <w:bCs/>
          <w:sz w:val="20"/>
        </w:rPr>
        <w:t>costo corriente en el momento de la venta</w:t>
      </w:r>
      <w:r w:rsidRPr="00AC4AEA">
        <w:rPr>
          <w:rFonts w:ascii="Arial" w:hAnsi="Arial" w:cs="Arial"/>
          <w:sz w:val="20"/>
        </w:rPr>
        <w:t xml:space="preserve"> de los bienes vendidos o servicios prestados;</w:t>
      </w:r>
      <w:r w:rsidR="005C04BE" w:rsidRPr="00AC4AEA">
        <w:rPr>
          <w:rFonts w:ascii="Arial" w:hAnsi="Arial" w:cs="Arial"/>
          <w:sz w:val="20"/>
        </w:rPr>
        <w:t xml:space="preserve"> o</w:t>
      </w:r>
    </w:p>
    <w:p w:rsidR="005A2B38" w:rsidRPr="00AC4AEA" w:rsidRDefault="005A2B38" w:rsidP="00A318EA">
      <w:pPr>
        <w:pStyle w:val="A-Normal11"/>
        <w:numPr>
          <w:ilvl w:val="0"/>
          <w:numId w:val="78"/>
        </w:numPr>
        <w:jc w:val="both"/>
        <w:rPr>
          <w:rFonts w:ascii="Arial" w:hAnsi="Arial" w:cs="Arial"/>
          <w:sz w:val="20"/>
        </w:rPr>
      </w:pPr>
      <w:r w:rsidRPr="00AC4AEA">
        <w:rPr>
          <w:rFonts w:ascii="Arial" w:hAnsi="Arial" w:cs="Arial"/>
          <w:sz w:val="20"/>
        </w:rPr>
        <w:t>en forma simplificada</w:t>
      </w:r>
      <w:r w:rsidRPr="00AC4AEA">
        <w:rPr>
          <w:rFonts w:ascii="Arial" w:hAnsi="Arial" w:cs="Arial"/>
          <w:b/>
          <w:bCs/>
          <w:sz w:val="20"/>
        </w:rPr>
        <w:t xml:space="preserve">, </w:t>
      </w:r>
      <w:r w:rsidR="0069742B" w:rsidRPr="00AC4AEA">
        <w:rPr>
          <w:rFonts w:ascii="Arial" w:hAnsi="Arial" w:cs="Arial"/>
          <w:sz w:val="20"/>
        </w:rPr>
        <w:t>mediante</w:t>
      </w:r>
      <w:r w:rsidRPr="00AC4AEA">
        <w:rPr>
          <w:rFonts w:ascii="Arial" w:hAnsi="Arial" w:cs="Arial"/>
          <w:sz w:val="20"/>
        </w:rPr>
        <w:t>:</w:t>
      </w:r>
    </w:p>
    <w:p w:rsidR="005A2B38" w:rsidRPr="00AC4AEA" w:rsidRDefault="005A2B38" w:rsidP="00A318EA">
      <w:pPr>
        <w:pStyle w:val="A-Normal11"/>
        <w:numPr>
          <w:ilvl w:val="0"/>
          <w:numId w:val="317"/>
        </w:numPr>
        <w:jc w:val="both"/>
        <w:rPr>
          <w:rFonts w:ascii="Arial" w:hAnsi="Arial" w:cs="Arial"/>
          <w:sz w:val="20"/>
        </w:rPr>
      </w:pPr>
      <w:r w:rsidRPr="00AC4AEA">
        <w:rPr>
          <w:rFonts w:ascii="Arial" w:hAnsi="Arial" w:cs="Arial"/>
          <w:b/>
          <w:bCs/>
          <w:sz w:val="20"/>
        </w:rPr>
        <w:t>diferencias de inventario</w:t>
      </w:r>
      <w:r w:rsidRPr="00AC4AEA">
        <w:rPr>
          <w:rFonts w:ascii="Arial" w:hAnsi="Arial" w:cs="Arial"/>
          <w:sz w:val="20"/>
        </w:rPr>
        <w:t>; o</w:t>
      </w:r>
    </w:p>
    <w:p w:rsidR="005C04BE" w:rsidRPr="00AC4AEA" w:rsidRDefault="005C04BE" w:rsidP="00A318EA">
      <w:pPr>
        <w:pStyle w:val="A-Normal11"/>
        <w:numPr>
          <w:ilvl w:val="0"/>
          <w:numId w:val="317"/>
        </w:numPr>
        <w:jc w:val="both"/>
        <w:rPr>
          <w:rFonts w:ascii="Arial" w:hAnsi="Arial" w:cs="Arial"/>
          <w:sz w:val="20"/>
        </w:rPr>
      </w:pPr>
      <w:r w:rsidRPr="00AC4AEA">
        <w:rPr>
          <w:rFonts w:ascii="Arial" w:hAnsi="Arial" w:cs="Arial"/>
          <w:sz w:val="20"/>
        </w:rPr>
        <w:t xml:space="preserve">costo estimado multiplicando el importe de las </w:t>
      </w:r>
      <w:r w:rsidR="00A82EFF" w:rsidRPr="00AC4AEA">
        <w:rPr>
          <w:rFonts w:ascii="Arial" w:hAnsi="Arial" w:cs="Arial"/>
          <w:sz w:val="20"/>
        </w:rPr>
        <w:t>ventas por</w:t>
      </w:r>
      <w:r w:rsidRPr="00AC4AEA">
        <w:rPr>
          <w:rFonts w:ascii="Arial" w:hAnsi="Arial" w:cs="Arial"/>
          <w:sz w:val="20"/>
        </w:rPr>
        <w:t xml:space="preserve"> un porcentaje calculado sobre bases confiables en función del margen bruto.</w:t>
      </w:r>
    </w:p>
    <w:p w:rsidR="006B022E" w:rsidRPr="00AC4AEA" w:rsidRDefault="006B022E" w:rsidP="00A318EA">
      <w:pPr>
        <w:pStyle w:val="A-Normal11"/>
        <w:numPr>
          <w:ilvl w:val="0"/>
          <w:numId w:val="29"/>
        </w:numPr>
        <w:jc w:val="both"/>
        <w:rPr>
          <w:rFonts w:ascii="Arial" w:hAnsi="Arial" w:cs="Arial"/>
          <w:sz w:val="20"/>
        </w:rPr>
      </w:pPr>
      <w:bookmarkStart w:id="450" w:name="_Ref104891690"/>
      <w:r w:rsidRPr="00AC4AEA">
        <w:rPr>
          <w:rFonts w:ascii="Arial" w:hAnsi="Arial" w:cs="Arial"/>
          <w:sz w:val="20"/>
        </w:rPr>
        <w:t xml:space="preserve">Una entidad podrá determinar el costo de los bienes vendidos o servicios prestados, cuya medición posterior se basa en el costo de la última compra, </w:t>
      </w:r>
      <w:r w:rsidR="00ED0C27" w:rsidRPr="00AC4AEA">
        <w:rPr>
          <w:rFonts w:ascii="Arial" w:hAnsi="Arial" w:cs="Arial"/>
          <w:sz w:val="20"/>
        </w:rPr>
        <w:t>establecido por</w:t>
      </w:r>
      <w:r w:rsidRPr="00AC4AEA">
        <w:rPr>
          <w:rFonts w:ascii="Arial" w:hAnsi="Arial" w:cs="Arial"/>
          <w:sz w:val="20"/>
        </w:rPr>
        <w:t xml:space="preserve"> el inciso c) del párrafo </w:t>
      </w:r>
      <w:fldSimple w:instr=" REF _Ref102160887 \r \h  \* MERGEFORMAT ">
        <w:r w:rsidR="00D33A5D" w:rsidRPr="00D33A5D">
          <w:rPr>
            <w:rFonts w:ascii="Arial" w:hAnsi="Arial" w:cs="Arial"/>
            <w:sz w:val="20"/>
          </w:rPr>
          <w:t>291</w:t>
        </w:r>
      </w:fldSimple>
      <w:r w:rsidRPr="00AC4AEA">
        <w:rPr>
          <w:rFonts w:ascii="Arial" w:hAnsi="Arial" w:cs="Arial"/>
          <w:sz w:val="20"/>
        </w:rPr>
        <w:t>, considerando:</w:t>
      </w:r>
      <w:bookmarkEnd w:id="450"/>
    </w:p>
    <w:p w:rsidR="006B022E" w:rsidRPr="00AC4AEA" w:rsidRDefault="006B022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lo establecido en los párrafos </w:t>
      </w:r>
      <w:fldSimple w:instr=" REF _Ref102213700 \r \h  \* MERGEFORMAT ">
        <w:r w:rsidR="00D33A5D" w:rsidRPr="00D33A5D">
          <w:rPr>
            <w:rFonts w:ascii="Arial" w:hAnsi="Arial" w:cs="Arial"/>
            <w:sz w:val="20"/>
          </w:rPr>
          <w:t>301</w:t>
        </w:r>
      </w:fldSimple>
      <w:r w:rsidRPr="00AC4AEA">
        <w:rPr>
          <w:rFonts w:ascii="Arial" w:hAnsi="Arial" w:cs="Arial"/>
          <w:sz w:val="20"/>
        </w:rPr>
        <w:t xml:space="preserve"> y </w:t>
      </w:r>
      <w:fldSimple w:instr=" REF _Ref102213733 \r \h  \* MERGEFORMAT ">
        <w:r w:rsidR="00D33A5D" w:rsidRPr="00D33A5D">
          <w:rPr>
            <w:rFonts w:ascii="Arial" w:hAnsi="Arial" w:cs="Arial"/>
            <w:sz w:val="20"/>
          </w:rPr>
          <w:t>302</w:t>
        </w:r>
      </w:fldSimple>
      <w:r w:rsidRPr="00AC4AEA">
        <w:rPr>
          <w:rFonts w:ascii="Arial" w:hAnsi="Arial" w:cs="Arial"/>
          <w:sz w:val="20"/>
        </w:rPr>
        <w:t>; y</w:t>
      </w:r>
    </w:p>
    <w:p w:rsidR="006B022E" w:rsidRPr="00AC4AEA" w:rsidRDefault="006B022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sus </w:t>
      </w:r>
      <w:r w:rsidRPr="00AC4AEA">
        <w:rPr>
          <w:rFonts w:ascii="Arial" w:hAnsi="Arial" w:cs="Arial"/>
          <w:b/>
          <w:bCs/>
          <w:sz w:val="20"/>
        </w:rPr>
        <w:t xml:space="preserve">políticas contables </w:t>
      </w:r>
      <w:r w:rsidRPr="00AC4AEA">
        <w:rPr>
          <w:rFonts w:ascii="Arial" w:hAnsi="Arial" w:cs="Arial"/>
          <w:sz w:val="20"/>
        </w:rPr>
        <w:t xml:space="preserve">referidas a bienes de cambio. </w:t>
      </w:r>
    </w:p>
    <w:p w:rsidR="005A2B38" w:rsidRPr="00AC4AEA" w:rsidRDefault="005A2B38" w:rsidP="00A318EA">
      <w:pPr>
        <w:pStyle w:val="A-Normal11"/>
        <w:numPr>
          <w:ilvl w:val="0"/>
          <w:numId w:val="29"/>
        </w:numPr>
        <w:jc w:val="both"/>
        <w:rPr>
          <w:rFonts w:ascii="Arial" w:hAnsi="Arial" w:cs="Arial"/>
          <w:sz w:val="20"/>
        </w:rPr>
      </w:pPr>
      <w:r w:rsidRPr="00AC4AEA">
        <w:rPr>
          <w:rFonts w:ascii="Arial" w:hAnsi="Arial" w:cs="Arial"/>
          <w:sz w:val="20"/>
        </w:rPr>
        <w:t xml:space="preserve">Al seleccionar sus </w:t>
      </w:r>
      <w:r w:rsidRPr="00AC4AEA">
        <w:rPr>
          <w:rFonts w:ascii="Arial" w:hAnsi="Arial" w:cs="Arial"/>
          <w:b/>
          <w:bCs/>
          <w:sz w:val="20"/>
        </w:rPr>
        <w:t>políticas contables</w:t>
      </w:r>
      <w:r w:rsidRPr="00AC4AEA">
        <w:rPr>
          <w:rFonts w:ascii="Arial" w:hAnsi="Arial" w:cs="Arial"/>
          <w:sz w:val="20"/>
        </w:rPr>
        <w:t>, una entidad considerará preferibles aquellos criterios que determinan el costo de bienes vendidos o servicios prestados en función de bases que resulten consistentes con las utilizadas para la medición posterior de bienes de cambio. Por ejemplo, son criterios preferibles para calcular el costo de los bienes vendidos o servicios prestados:</w:t>
      </w:r>
    </w:p>
    <w:p w:rsidR="005A2B38" w:rsidRPr="00AC4AEA" w:rsidRDefault="005A2B38" w:rsidP="00A318EA">
      <w:pPr>
        <w:pStyle w:val="Prrafodelista"/>
        <w:numPr>
          <w:ilvl w:val="0"/>
          <w:numId w:val="90"/>
        </w:numPr>
        <w:ind w:left="1560"/>
        <w:contextualSpacing w:val="0"/>
        <w:jc w:val="both"/>
        <w:rPr>
          <w:rFonts w:ascii="Arial" w:hAnsi="Arial" w:cs="Arial"/>
          <w:sz w:val="20"/>
          <w:szCs w:val="20"/>
        </w:rPr>
      </w:pPr>
      <w:r w:rsidRPr="00AC4AEA">
        <w:rPr>
          <w:rFonts w:ascii="Arial" w:hAnsi="Arial" w:cs="Arial"/>
          <w:b/>
          <w:bCs/>
          <w:sz w:val="20"/>
          <w:szCs w:val="20"/>
        </w:rPr>
        <w:t>Costo de adquisición</w:t>
      </w:r>
      <w:r w:rsidRPr="00AC4AEA">
        <w:rPr>
          <w:rFonts w:ascii="Arial" w:hAnsi="Arial" w:cs="Arial"/>
          <w:sz w:val="20"/>
          <w:szCs w:val="20"/>
        </w:rPr>
        <w:t>,</w:t>
      </w:r>
      <w:r w:rsidRPr="00AC4AEA">
        <w:rPr>
          <w:rFonts w:ascii="Arial" w:hAnsi="Arial" w:cs="Arial"/>
          <w:b/>
          <w:bCs/>
          <w:sz w:val="20"/>
          <w:szCs w:val="20"/>
        </w:rPr>
        <w:t xml:space="preserve"> </w:t>
      </w:r>
      <w:r w:rsidR="00D711FA" w:rsidRPr="00AC4AEA">
        <w:rPr>
          <w:rFonts w:ascii="Arial" w:hAnsi="Arial" w:cs="Arial"/>
          <w:b/>
          <w:bCs/>
          <w:sz w:val="20"/>
          <w:szCs w:val="20"/>
        </w:rPr>
        <w:t xml:space="preserve">costo </w:t>
      </w:r>
      <w:r w:rsidRPr="00AC4AEA">
        <w:rPr>
          <w:rFonts w:ascii="Arial" w:hAnsi="Arial" w:cs="Arial"/>
          <w:b/>
          <w:bCs/>
          <w:sz w:val="20"/>
          <w:szCs w:val="20"/>
        </w:rPr>
        <w:t xml:space="preserve">producción </w:t>
      </w:r>
      <w:r w:rsidR="00D711FA" w:rsidRPr="00AC4AEA">
        <w:rPr>
          <w:rFonts w:ascii="Arial" w:hAnsi="Arial" w:cs="Arial"/>
          <w:b/>
          <w:bCs/>
          <w:sz w:val="20"/>
          <w:szCs w:val="20"/>
        </w:rPr>
        <w:t>y/</w:t>
      </w:r>
      <w:r w:rsidRPr="00AC4AEA">
        <w:rPr>
          <w:rFonts w:ascii="Arial" w:hAnsi="Arial" w:cs="Arial"/>
          <w:b/>
          <w:bCs/>
          <w:sz w:val="20"/>
          <w:szCs w:val="20"/>
        </w:rPr>
        <w:t>o construcción</w:t>
      </w:r>
      <w:r w:rsidR="00D83E89" w:rsidRPr="00AC4AEA">
        <w:rPr>
          <w:rFonts w:ascii="Arial" w:hAnsi="Arial" w:cs="Arial"/>
          <w:sz w:val="20"/>
          <w:szCs w:val="20"/>
        </w:rPr>
        <w:t>,</w:t>
      </w:r>
      <w:r w:rsidRPr="00AC4AEA">
        <w:rPr>
          <w:rFonts w:ascii="Arial" w:hAnsi="Arial" w:cs="Arial"/>
          <w:sz w:val="20"/>
          <w:szCs w:val="20"/>
        </w:rPr>
        <w:t xml:space="preserve"> determinado en el momento del reconocimiento (menos </w:t>
      </w:r>
      <w:r w:rsidRPr="00AC4AEA">
        <w:rPr>
          <w:rFonts w:ascii="Arial" w:hAnsi="Arial" w:cs="Arial"/>
          <w:b/>
          <w:bCs/>
          <w:sz w:val="20"/>
          <w:szCs w:val="20"/>
        </w:rPr>
        <w:t>pérdidas por desvalorización</w:t>
      </w:r>
      <w:r w:rsidRPr="00AC4AEA">
        <w:rPr>
          <w:rFonts w:ascii="Arial" w:hAnsi="Arial" w:cs="Arial"/>
          <w:sz w:val="20"/>
          <w:szCs w:val="20"/>
        </w:rPr>
        <w:t xml:space="preserve"> reconocidas), si la medición de los bienes de cambio se realiza sobre la base del </w:t>
      </w:r>
      <w:r w:rsidRPr="00AC4AEA">
        <w:rPr>
          <w:rFonts w:ascii="Arial" w:hAnsi="Arial" w:cs="Arial"/>
          <w:b/>
          <w:bCs/>
          <w:sz w:val="20"/>
          <w:szCs w:val="20"/>
        </w:rPr>
        <w:t>costo de adquisición, producción o construcción</w:t>
      </w:r>
      <w:r w:rsidRPr="00AC4AEA">
        <w:rPr>
          <w:rFonts w:ascii="Arial" w:hAnsi="Arial" w:cs="Arial"/>
          <w:sz w:val="20"/>
          <w:szCs w:val="20"/>
        </w:rPr>
        <w:t>.</w:t>
      </w:r>
    </w:p>
    <w:p w:rsidR="005A2B38" w:rsidRPr="00AC4AEA" w:rsidRDefault="005A2B38" w:rsidP="00A318EA">
      <w:pPr>
        <w:pStyle w:val="Prrafodelista"/>
        <w:numPr>
          <w:ilvl w:val="0"/>
          <w:numId w:val="90"/>
        </w:numPr>
        <w:ind w:left="1560"/>
        <w:contextualSpacing w:val="0"/>
        <w:jc w:val="both"/>
        <w:rPr>
          <w:rFonts w:ascii="Arial" w:hAnsi="Arial" w:cs="Arial"/>
          <w:sz w:val="20"/>
          <w:szCs w:val="20"/>
        </w:rPr>
      </w:pPr>
      <w:r w:rsidRPr="00AC4AEA">
        <w:rPr>
          <w:rFonts w:ascii="Arial" w:hAnsi="Arial" w:cs="Arial"/>
          <w:b/>
          <w:bCs/>
          <w:sz w:val="20"/>
          <w:szCs w:val="20"/>
        </w:rPr>
        <w:t>Costo corriente</w:t>
      </w:r>
      <w:r w:rsidRPr="00AC4AEA">
        <w:rPr>
          <w:rFonts w:ascii="Arial" w:hAnsi="Arial" w:cs="Arial"/>
          <w:sz w:val="20"/>
          <w:szCs w:val="20"/>
        </w:rPr>
        <w:t xml:space="preserve"> </w:t>
      </w:r>
      <w:r w:rsidRPr="00AC4AEA">
        <w:rPr>
          <w:rFonts w:ascii="Arial" w:hAnsi="Arial" w:cs="Arial"/>
          <w:b/>
          <w:bCs/>
          <w:sz w:val="20"/>
          <w:szCs w:val="20"/>
        </w:rPr>
        <w:t>en el momento de la venta</w:t>
      </w:r>
      <w:r w:rsidRPr="00AC4AEA">
        <w:rPr>
          <w:rFonts w:ascii="Arial" w:hAnsi="Arial" w:cs="Arial"/>
          <w:sz w:val="20"/>
          <w:szCs w:val="20"/>
        </w:rPr>
        <w:t xml:space="preserve">, si la medición de los bienes de cambio se efectúa sobre la base del </w:t>
      </w:r>
      <w:r w:rsidRPr="00AC4AEA">
        <w:rPr>
          <w:rFonts w:ascii="Arial" w:hAnsi="Arial" w:cs="Arial"/>
          <w:b/>
          <w:sz w:val="20"/>
          <w:szCs w:val="20"/>
        </w:rPr>
        <w:t>costo de reposición</w:t>
      </w:r>
      <w:r w:rsidRPr="00AC4AEA">
        <w:rPr>
          <w:rFonts w:ascii="Arial" w:hAnsi="Arial" w:cs="Arial"/>
          <w:sz w:val="20"/>
          <w:szCs w:val="20"/>
        </w:rPr>
        <w:t xml:space="preserve">, o al </w:t>
      </w:r>
      <w:r w:rsidRPr="00AC4AEA">
        <w:rPr>
          <w:rFonts w:ascii="Arial" w:hAnsi="Arial" w:cs="Arial"/>
          <w:b/>
          <w:bCs/>
          <w:sz w:val="20"/>
          <w:szCs w:val="20"/>
        </w:rPr>
        <w:t xml:space="preserve">costo de reproducción </w:t>
      </w:r>
      <w:r w:rsidR="00D711FA" w:rsidRPr="00AC4AEA">
        <w:rPr>
          <w:rFonts w:ascii="Arial" w:hAnsi="Arial" w:cs="Arial"/>
          <w:b/>
          <w:bCs/>
          <w:sz w:val="20"/>
          <w:szCs w:val="20"/>
        </w:rPr>
        <w:t>y/</w:t>
      </w:r>
      <w:r w:rsidRPr="00AC4AEA">
        <w:rPr>
          <w:rFonts w:ascii="Arial" w:hAnsi="Arial" w:cs="Arial"/>
          <w:b/>
          <w:bCs/>
          <w:sz w:val="20"/>
          <w:szCs w:val="20"/>
        </w:rPr>
        <w:t>o reconstrucción</w:t>
      </w:r>
      <w:r w:rsidRPr="00AC4AEA">
        <w:rPr>
          <w:rFonts w:ascii="Arial" w:hAnsi="Arial" w:cs="Arial"/>
          <w:sz w:val="20"/>
          <w:szCs w:val="20"/>
        </w:rPr>
        <w:t>.</w:t>
      </w:r>
    </w:p>
    <w:p w:rsidR="002C4FC3" w:rsidRPr="00AC4AEA" w:rsidRDefault="002C4FC3" w:rsidP="00A318EA">
      <w:pPr>
        <w:pStyle w:val="A-Normal11"/>
        <w:numPr>
          <w:ilvl w:val="0"/>
          <w:numId w:val="29"/>
        </w:numPr>
        <w:jc w:val="both"/>
        <w:rPr>
          <w:rFonts w:ascii="Arial" w:hAnsi="Arial" w:cs="Arial"/>
          <w:sz w:val="20"/>
        </w:rPr>
      </w:pPr>
      <w:r w:rsidRPr="00AC4AEA">
        <w:rPr>
          <w:rFonts w:ascii="Arial" w:hAnsi="Arial" w:cs="Arial"/>
          <w:sz w:val="20"/>
        </w:rPr>
        <w:t xml:space="preserve">Una entidad determinará el costo de los bienes vendidos, cuya medición posterior se basa en el </w:t>
      </w:r>
      <w:r w:rsidRPr="00AC4AEA">
        <w:rPr>
          <w:rFonts w:ascii="Arial" w:hAnsi="Arial" w:cs="Arial"/>
          <w:b/>
          <w:bCs/>
          <w:sz w:val="20"/>
        </w:rPr>
        <w:t>valor neto de realización</w:t>
      </w:r>
      <w:r w:rsidR="00A04990" w:rsidRPr="00AC4AEA">
        <w:rPr>
          <w:rFonts w:ascii="Arial" w:hAnsi="Arial" w:cs="Arial"/>
          <w:sz w:val="20"/>
        </w:rPr>
        <w:t xml:space="preserve">, </w:t>
      </w:r>
      <w:r w:rsidRPr="00AC4AEA">
        <w:rPr>
          <w:rFonts w:ascii="Arial" w:hAnsi="Arial" w:cs="Arial"/>
          <w:sz w:val="20"/>
        </w:rPr>
        <w:t>mediante dicho criterio.</w:t>
      </w:r>
    </w:p>
    <w:p w:rsidR="005450D9" w:rsidRPr="00AC4AEA" w:rsidRDefault="005450D9" w:rsidP="00A318EA">
      <w:pPr>
        <w:pStyle w:val="A-Normal11"/>
        <w:jc w:val="both"/>
        <w:rPr>
          <w:rFonts w:ascii="Arial" w:hAnsi="Arial" w:cs="Arial"/>
          <w:sz w:val="20"/>
        </w:rPr>
      </w:pPr>
    </w:p>
    <w:p w:rsidR="005450D9" w:rsidRPr="00AC4AEA" w:rsidRDefault="005450D9" w:rsidP="00A318EA">
      <w:pPr>
        <w:pStyle w:val="Ttulo2"/>
        <w:rPr>
          <w:rFonts w:cs="Arial"/>
        </w:rPr>
      </w:pPr>
      <w:bookmarkStart w:id="451" w:name="_Toc101863843"/>
      <w:bookmarkStart w:id="452" w:name="_Toc139356712"/>
      <w:r w:rsidRPr="00AC4AEA">
        <w:rPr>
          <w:rFonts w:cs="Arial"/>
        </w:rPr>
        <w:lastRenderedPageBreak/>
        <w:t>Resultados de tenencia</w:t>
      </w:r>
      <w:bookmarkEnd w:id="451"/>
      <w:r w:rsidR="00D711FA" w:rsidRPr="00AC4AEA">
        <w:rPr>
          <w:rFonts w:cs="Arial"/>
        </w:rPr>
        <w:t xml:space="preserve"> y por cambios en el valor neto de realización</w:t>
      </w:r>
      <w:bookmarkEnd w:id="452"/>
      <w:r w:rsidR="00EE7B23" w:rsidRPr="00AC4AEA">
        <w:rPr>
          <w:rFonts w:cs="Arial"/>
        </w:rPr>
        <w:t xml:space="preserve"> </w:t>
      </w:r>
    </w:p>
    <w:p w:rsidR="005450D9" w:rsidRPr="00AC4AEA" w:rsidRDefault="005450D9" w:rsidP="00A318EA">
      <w:pPr>
        <w:pStyle w:val="A-Normal11"/>
        <w:numPr>
          <w:ilvl w:val="0"/>
          <w:numId w:val="29"/>
        </w:numPr>
        <w:jc w:val="both"/>
        <w:rPr>
          <w:rFonts w:ascii="Arial" w:hAnsi="Arial" w:cs="Arial"/>
          <w:sz w:val="20"/>
        </w:rPr>
      </w:pPr>
      <w:r w:rsidRPr="00AC4AEA">
        <w:rPr>
          <w:rFonts w:ascii="Arial" w:hAnsi="Arial" w:cs="Arial"/>
          <w:sz w:val="20"/>
        </w:rPr>
        <w:t>Una entidad</w:t>
      </w:r>
      <w:r w:rsidR="00011FC7" w:rsidRPr="00AC4AEA">
        <w:rPr>
          <w:rFonts w:ascii="Arial" w:hAnsi="Arial" w:cs="Arial"/>
          <w:sz w:val="20"/>
        </w:rPr>
        <w:t xml:space="preserve"> que mide sus bienes de cambio a </w:t>
      </w:r>
      <w:r w:rsidR="009D5982" w:rsidRPr="00AC4AEA">
        <w:rPr>
          <w:rFonts w:ascii="Arial" w:hAnsi="Arial" w:cs="Arial"/>
          <w:b/>
          <w:bCs/>
          <w:sz w:val="20"/>
        </w:rPr>
        <w:t>costo de reposición</w:t>
      </w:r>
      <w:r w:rsidR="00725D2D" w:rsidRPr="00AC4AEA">
        <w:rPr>
          <w:rFonts w:ascii="Arial" w:hAnsi="Arial" w:cs="Arial"/>
          <w:b/>
          <w:bCs/>
          <w:sz w:val="20"/>
        </w:rPr>
        <w:t xml:space="preserve"> </w:t>
      </w:r>
      <w:r w:rsidR="00725D2D" w:rsidRPr="00AC4AEA">
        <w:rPr>
          <w:rFonts w:ascii="Arial" w:hAnsi="Arial" w:cs="Arial"/>
          <w:sz w:val="20"/>
        </w:rPr>
        <w:t>o a</w:t>
      </w:r>
      <w:r w:rsidR="009D5982" w:rsidRPr="00AC4AEA">
        <w:rPr>
          <w:rFonts w:ascii="Arial" w:hAnsi="Arial" w:cs="Arial"/>
          <w:b/>
          <w:bCs/>
          <w:sz w:val="20"/>
        </w:rPr>
        <w:t xml:space="preserve"> </w:t>
      </w:r>
      <w:r w:rsidR="00725D2D" w:rsidRPr="00AC4AEA">
        <w:rPr>
          <w:rFonts w:ascii="Arial" w:hAnsi="Arial" w:cs="Arial"/>
          <w:b/>
          <w:bCs/>
          <w:sz w:val="20"/>
        </w:rPr>
        <w:t>costo de reproducción y/o reconstrucción</w:t>
      </w:r>
      <w:r w:rsidR="00EC1893" w:rsidRPr="00AC4AEA">
        <w:rPr>
          <w:rFonts w:ascii="Arial" w:hAnsi="Arial" w:cs="Arial"/>
          <w:sz w:val="20"/>
        </w:rPr>
        <w:t xml:space="preserve">: </w:t>
      </w:r>
    </w:p>
    <w:p w:rsidR="005450D9" w:rsidRPr="00AC4AEA" w:rsidRDefault="005450D9" w:rsidP="00A318EA">
      <w:pPr>
        <w:pStyle w:val="A-Normal11"/>
        <w:numPr>
          <w:ilvl w:val="1"/>
          <w:numId w:val="24"/>
        </w:numPr>
        <w:ind w:left="1560" w:hanging="567"/>
        <w:jc w:val="both"/>
        <w:rPr>
          <w:rFonts w:ascii="Arial" w:hAnsi="Arial" w:cs="Arial"/>
          <w:sz w:val="20"/>
        </w:rPr>
      </w:pPr>
      <w:r w:rsidRPr="00AC4AEA">
        <w:rPr>
          <w:rFonts w:ascii="Arial" w:hAnsi="Arial" w:cs="Arial"/>
          <w:sz w:val="20"/>
        </w:rPr>
        <w:t>No determinará resultados de tenencia cuando</w:t>
      </w:r>
      <w:r w:rsidR="00011FC7" w:rsidRPr="00AC4AEA">
        <w:rPr>
          <w:rFonts w:ascii="Arial" w:hAnsi="Arial" w:cs="Arial"/>
          <w:sz w:val="20"/>
        </w:rPr>
        <w:t xml:space="preserve"> calcul</w:t>
      </w:r>
      <w:r w:rsidR="005A2B38" w:rsidRPr="00AC4AEA">
        <w:rPr>
          <w:rFonts w:ascii="Arial" w:hAnsi="Arial" w:cs="Arial"/>
          <w:sz w:val="20"/>
        </w:rPr>
        <w:t>e</w:t>
      </w:r>
      <w:r w:rsidR="00011FC7" w:rsidRPr="00AC4AEA">
        <w:rPr>
          <w:rFonts w:ascii="Arial" w:hAnsi="Arial" w:cs="Arial"/>
          <w:sz w:val="20"/>
        </w:rPr>
        <w:t xml:space="preserve"> el costo de bienes vendidos o servicios prestados por </w:t>
      </w:r>
      <w:r w:rsidR="00011FC7" w:rsidRPr="00AC4AEA">
        <w:rPr>
          <w:rFonts w:ascii="Arial" w:hAnsi="Arial" w:cs="Arial"/>
          <w:b/>
          <w:bCs/>
          <w:sz w:val="20"/>
        </w:rPr>
        <w:t>diferencias de inventario.</w:t>
      </w:r>
    </w:p>
    <w:p w:rsidR="00011FC7" w:rsidRPr="00AC4AEA" w:rsidRDefault="003257C5" w:rsidP="00A318EA">
      <w:pPr>
        <w:pStyle w:val="A-Normal11"/>
        <w:numPr>
          <w:ilvl w:val="1"/>
          <w:numId w:val="91"/>
        </w:numPr>
        <w:ind w:left="1560"/>
        <w:jc w:val="both"/>
        <w:rPr>
          <w:rFonts w:ascii="Arial" w:hAnsi="Arial" w:cs="Arial"/>
          <w:sz w:val="20"/>
        </w:rPr>
      </w:pPr>
      <w:r w:rsidRPr="00AC4AEA">
        <w:rPr>
          <w:rFonts w:ascii="Arial" w:hAnsi="Arial" w:cs="Arial"/>
          <w:sz w:val="20"/>
        </w:rPr>
        <w:t xml:space="preserve">Determinará resultados de tenencia tanto de los bienes en existencia al cierre </w:t>
      </w:r>
      <w:r w:rsidR="004E3FBF" w:rsidRPr="00AC4AEA">
        <w:rPr>
          <w:rFonts w:ascii="Arial" w:hAnsi="Arial" w:cs="Arial"/>
          <w:sz w:val="20"/>
        </w:rPr>
        <w:t>del período</w:t>
      </w:r>
      <w:r w:rsidRPr="00AC4AEA">
        <w:rPr>
          <w:rFonts w:ascii="Arial" w:hAnsi="Arial" w:cs="Arial"/>
          <w:sz w:val="20"/>
        </w:rPr>
        <w:t xml:space="preserve"> como de los bienes vendidos cuando </w:t>
      </w:r>
      <w:r w:rsidR="005A2B38" w:rsidRPr="00AC4AEA">
        <w:rPr>
          <w:rFonts w:ascii="Arial" w:hAnsi="Arial" w:cs="Arial"/>
          <w:sz w:val="20"/>
        </w:rPr>
        <w:t xml:space="preserve">mida </w:t>
      </w:r>
      <w:r w:rsidRPr="00AC4AEA">
        <w:rPr>
          <w:rFonts w:ascii="Arial" w:hAnsi="Arial" w:cs="Arial"/>
          <w:sz w:val="20"/>
        </w:rPr>
        <w:t xml:space="preserve">el costo de bienes vendidos o servicios prestados </w:t>
      </w:r>
      <w:r w:rsidR="005A2B38" w:rsidRPr="00AC4AEA">
        <w:rPr>
          <w:rFonts w:ascii="Arial" w:hAnsi="Arial" w:cs="Arial"/>
          <w:sz w:val="20"/>
        </w:rPr>
        <w:t>en función del</w:t>
      </w:r>
      <w:r w:rsidRPr="00AC4AEA">
        <w:rPr>
          <w:rFonts w:ascii="Arial" w:hAnsi="Arial" w:cs="Arial"/>
          <w:sz w:val="20"/>
        </w:rPr>
        <w:t xml:space="preserve"> </w:t>
      </w:r>
      <w:r w:rsidRPr="00AC4AEA">
        <w:rPr>
          <w:rFonts w:ascii="Arial" w:hAnsi="Arial" w:cs="Arial"/>
          <w:b/>
          <w:bCs/>
          <w:sz w:val="20"/>
        </w:rPr>
        <w:t>costo corriente en el momento de la venta</w:t>
      </w:r>
      <w:r w:rsidR="00502E94" w:rsidRPr="00AC4AEA">
        <w:rPr>
          <w:rFonts w:ascii="Arial" w:hAnsi="Arial" w:cs="Arial"/>
          <w:sz w:val="20"/>
        </w:rPr>
        <w:t>.</w:t>
      </w:r>
    </w:p>
    <w:p w:rsidR="009D5982" w:rsidRPr="00AC4AEA" w:rsidRDefault="00D711FA" w:rsidP="00A318EA">
      <w:pPr>
        <w:pStyle w:val="A-Normal11"/>
        <w:numPr>
          <w:ilvl w:val="0"/>
          <w:numId w:val="29"/>
        </w:numPr>
        <w:jc w:val="both"/>
        <w:rPr>
          <w:rFonts w:ascii="Arial" w:hAnsi="Arial" w:cs="Arial"/>
          <w:sz w:val="20"/>
        </w:rPr>
      </w:pPr>
      <w:r w:rsidRPr="00AC4AEA">
        <w:rPr>
          <w:rFonts w:ascii="Arial" w:hAnsi="Arial" w:cs="Arial"/>
          <w:sz w:val="20"/>
        </w:rPr>
        <w:t xml:space="preserve">Una entidad que mide sus bienes de cambio al </w:t>
      </w:r>
      <w:r w:rsidRPr="00AC4AEA">
        <w:rPr>
          <w:rFonts w:ascii="Arial" w:hAnsi="Arial" w:cs="Arial"/>
          <w:b/>
          <w:bCs/>
          <w:sz w:val="20"/>
        </w:rPr>
        <w:t xml:space="preserve">valor neto de </w:t>
      </w:r>
      <w:r w:rsidR="00A724B6" w:rsidRPr="00AC4AEA">
        <w:rPr>
          <w:rFonts w:ascii="Arial" w:hAnsi="Arial" w:cs="Arial"/>
          <w:b/>
          <w:bCs/>
          <w:sz w:val="20"/>
        </w:rPr>
        <w:t xml:space="preserve">realización </w:t>
      </w:r>
      <w:r w:rsidR="00A724B6" w:rsidRPr="00AC4AEA">
        <w:rPr>
          <w:rFonts w:ascii="Arial" w:hAnsi="Arial" w:cs="Arial"/>
          <w:sz w:val="20"/>
        </w:rPr>
        <w:t>determinará</w:t>
      </w:r>
      <w:r w:rsidRPr="00AC4AEA">
        <w:rPr>
          <w:rFonts w:ascii="Arial" w:hAnsi="Arial" w:cs="Arial"/>
          <w:sz w:val="20"/>
        </w:rPr>
        <w:t xml:space="preserve"> el resultado de los cambios en dicho valor tanto en el momento de la medición como de la venta</w:t>
      </w:r>
      <w:r w:rsidR="009D5982" w:rsidRPr="00AC4AEA">
        <w:rPr>
          <w:rFonts w:ascii="Arial" w:hAnsi="Arial" w:cs="Arial"/>
          <w:sz w:val="20"/>
        </w:rPr>
        <w:t>.</w:t>
      </w:r>
    </w:p>
    <w:p w:rsidR="00CE31EA" w:rsidRPr="00AC4AEA" w:rsidRDefault="00CE31EA" w:rsidP="00A318EA">
      <w:pPr>
        <w:jc w:val="both"/>
        <w:rPr>
          <w:rFonts w:ascii="Arial" w:hAnsi="Arial" w:cs="Arial"/>
          <w:b/>
          <w:bCs/>
          <w:sz w:val="20"/>
          <w:szCs w:val="20"/>
        </w:rPr>
      </w:pPr>
    </w:p>
    <w:p w:rsidR="0071063E" w:rsidRPr="00AC4AEA" w:rsidRDefault="0071063E" w:rsidP="00A318EA">
      <w:pPr>
        <w:pStyle w:val="Ttulo2"/>
        <w:rPr>
          <w:rFonts w:cs="Arial"/>
        </w:rPr>
      </w:pPr>
      <w:bookmarkStart w:id="453" w:name="_Toc101863844"/>
      <w:bookmarkStart w:id="454" w:name="_Toc139356713"/>
      <w:r w:rsidRPr="00AC4AEA">
        <w:rPr>
          <w:rFonts w:cs="Arial"/>
        </w:rPr>
        <w:t xml:space="preserve">Presentación en los </w:t>
      </w:r>
      <w:r w:rsidR="00135084" w:rsidRPr="00AC4AEA">
        <w:rPr>
          <w:rFonts w:cs="Arial"/>
          <w:bCs/>
        </w:rPr>
        <w:t>estados contables</w:t>
      </w:r>
      <w:bookmarkEnd w:id="453"/>
      <w:bookmarkEnd w:id="454"/>
    </w:p>
    <w:p w:rsidR="007D7512" w:rsidRPr="00AC4AEA" w:rsidRDefault="00A417C9" w:rsidP="00A318EA">
      <w:pPr>
        <w:pStyle w:val="A-Normal11"/>
        <w:numPr>
          <w:ilvl w:val="0"/>
          <w:numId w:val="29"/>
        </w:numPr>
        <w:jc w:val="both"/>
        <w:rPr>
          <w:rFonts w:ascii="Arial" w:hAnsi="Arial" w:cs="Arial"/>
          <w:sz w:val="20"/>
        </w:rPr>
      </w:pPr>
      <w:r w:rsidRPr="00AC4AEA">
        <w:rPr>
          <w:rFonts w:ascii="Arial" w:hAnsi="Arial" w:cs="Arial"/>
          <w:sz w:val="20"/>
        </w:rPr>
        <w:t>En el estado de situación patrimonial, u</w:t>
      </w:r>
      <w:r w:rsidR="0071063E" w:rsidRPr="00AC4AEA">
        <w:rPr>
          <w:rFonts w:ascii="Arial" w:hAnsi="Arial" w:cs="Arial"/>
          <w:sz w:val="20"/>
        </w:rPr>
        <w:t>na entidad</w:t>
      </w:r>
      <w:r w:rsidR="007D7512" w:rsidRPr="00AC4AEA">
        <w:rPr>
          <w:rFonts w:ascii="Arial" w:hAnsi="Arial" w:cs="Arial"/>
          <w:sz w:val="20"/>
        </w:rPr>
        <w:t>:</w:t>
      </w:r>
      <w:r w:rsidR="00835565" w:rsidRPr="00AC4AEA">
        <w:rPr>
          <w:rFonts w:ascii="Arial" w:hAnsi="Arial" w:cs="Arial"/>
          <w:sz w:val="20"/>
        </w:rPr>
        <w:t xml:space="preserve"> </w:t>
      </w:r>
    </w:p>
    <w:p w:rsidR="007D7512" w:rsidRPr="00AC4AEA" w:rsidRDefault="007D7512" w:rsidP="00A318EA">
      <w:pPr>
        <w:pStyle w:val="A-Normal11"/>
        <w:numPr>
          <w:ilvl w:val="1"/>
          <w:numId w:val="29"/>
        </w:numPr>
        <w:ind w:left="1560"/>
        <w:jc w:val="both"/>
        <w:rPr>
          <w:rFonts w:ascii="Arial" w:hAnsi="Arial" w:cs="Arial"/>
          <w:sz w:val="20"/>
        </w:rPr>
      </w:pPr>
      <w:r w:rsidRPr="00AC4AEA">
        <w:rPr>
          <w:rFonts w:ascii="Arial" w:hAnsi="Arial" w:cs="Arial"/>
          <w:sz w:val="20"/>
        </w:rPr>
        <w:t>Presentará los</w:t>
      </w:r>
      <w:r w:rsidR="003656D5" w:rsidRPr="00AC4AEA">
        <w:rPr>
          <w:rFonts w:ascii="Arial" w:hAnsi="Arial" w:cs="Arial"/>
          <w:sz w:val="20"/>
        </w:rPr>
        <w:t xml:space="preserve"> bienes de cambio</w:t>
      </w:r>
      <w:r w:rsidR="0071063E" w:rsidRPr="00AC4AEA">
        <w:rPr>
          <w:rFonts w:ascii="Arial" w:hAnsi="Arial" w:cs="Arial"/>
          <w:sz w:val="20"/>
        </w:rPr>
        <w:t xml:space="preserve"> separados del resto de los </w:t>
      </w:r>
      <w:r w:rsidR="00497590" w:rsidRPr="00AC4AEA">
        <w:rPr>
          <w:rFonts w:ascii="Arial" w:hAnsi="Arial" w:cs="Arial"/>
          <w:sz w:val="20"/>
        </w:rPr>
        <w:t>activos</w:t>
      </w:r>
      <w:r w:rsidR="00007798" w:rsidRPr="00AC4AEA">
        <w:rPr>
          <w:rFonts w:ascii="Arial" w:hAnsi="Arial" w:cs="Arial"/>
          <w:sz w:val="20"/>
        </w:rPr>
        <w:t xml:space="preserve"> y disting</w:t>
      </w:r>
      <w:r w:rsidR="003656D5" w:rsidRPr="00AC4AEA">
        <w:rPr>
          <w:rFonts w:ascii="Arial" w:hAnsi="Arial" w:cs="Arial"/>
          <w:sz w:val="20"/>
        </w:rPr>
        <w:t>u</w:t>
      </w:r>
      <w:r w:rsidR="00007798" w:rsidRPr="00AC4AEA">
        <w:rPr>
          <w:rFonts w:ascii="Arial" w:hAnsi="Arial" w:cs="Arial"/>
          <w:sz w:val="20"/>
        </w:rPr>
        <w:t xml:space="preserve">iendo, </w:t>
      </w:r>
      <w:r w:rsidR="00775F45" w:rsidRPr="00AC4AEA">
        <w:rPr>
          <w:rFonts w:ascii="Arial" w:hAnsi="Arial" w:cs="Arial"/>
          <w:sz w:val="20"/>
        </w:rPr>
        <w:t>de corresponder</w:t>
      </w:r>
      <w:r w:rsidR="00007798" w:rsidRPr="00AC4AEA">
        <w:rPr>
          <w:rFonts w:ascii="Arial" w:hAnsi="Arial" w:cs="Arial"/>
          <w:sz w:val="20"/>
        </w:rPr>
        <w:t xml:space="preserve">, entre </w:t>
      </w:r>
      <w:r w:rsidR="00497590" w:rsidRPr="00AC4AEA">
        <w:rPr>
          <w:rFonts w:ascii="Arial" w:hAnsi="Arial" w:cs="Arial"/>
          <w:b/>
          <w:sz w:val="20"/>
        </w:rPr>
        <w:t>activos</w:t>
      </w:r>
      <w:r w:rsidR="00007798" w:rsidRPr="00AC4AEA">
        <w:rPr>
          <w:rFonts w:ascii="Arial" w:hAnsi="Arial" w:cs="Arial"/>
          <w:b/>
          <w:sz w:val="20"/>
        </w:rPr>
        <w:t xml:space="preserve"> corrientes</w:t>
      </w:r>
      <w:r w:rsidR="00007798" w:rsidRPr="00AC4AEA">
        <w:rPr>
          <w:rFonts w:ascii="Arial" w:hAnsi="Arial" w:cs="Arial"/>
          <w:bCs/>
          <w:sz w:val="20"/>
        </w:rPr>
        <w:t xml:space="preserve"> y </w:t>
      </w:r>
      <w:r w:rsidR="00497590" w:rsidRPr="00AC4AEA">
        <w:rPr>
          <w:rFonts w:ascii="Arial" w:hAnsi="Arial" w:cs="Arial"/>
          <w:b/>
          <w:sz w:val="20"/>
        </w:rPr>
        <w:t>activos</w:t>
      </w:r>
      <w:r w:rsidR="00D711FA" w:rsidRPr="00AC4AEA">
        <w:rPr>
          <w:rFonts w:ascii="Arial" w:hAnsi="Arial" w:cs="Arial"/>
          <w:b/>
          <w:sz w:val="20"/>
        </w:rPr>
        <w:t xml:space="preserve"> </w:t>
      </w:r>
      <w:r w:rsidR="00007798" w:rsidRPr="00AC4AEA">
        <w:rPr>
          <w:rFonts w:ascii="Arial" w:hAnsi="Arial" w:cs="Arial"/>
          <w:b/>
          <w:sz w:val="20"/>
        </w:rPr>
        <w:t>no corrientes</w:t>
      </w:r>
      <w:r w:rsidRPr="00AC4AEA">
        <w:rPr>
          <w:rFonts w:ascii="Arial" w:hAnsi="Arial" w:cs="Arial"/>
          <w:sz w:val="20"/>
        </w:rPr>
        <w:t>.</w:t>
      </w:r>
    </w:p>
    <w:p w:rsidR="0071063E" w:rsidRPr="00AC4AEA" w:rsidRDefault="007D7512" w:rsidP="00A318EA">
      <w:pPr>
        <w:pStyle w:val="A-Normal11"/>
        <w:numPr>
          <w:ilvl w:val="1"/>
          <w:numId w:val="29"/>
        </w:numPr>
        <w:ind w:left="1560"/>
        <w:jc w:val="both"/>
        <w:rPr>
          <w:rFonts w:ascii="Arial" w:hAnsi="Arial" w:cs="Arial"/>
          <w:sz w:val="20"/>
        </w:rPr>
      </w:pPr>
      <w:r w:rsidRPr="00AC4AEA">
        <w:rPr>
          <w:rFonts w:ascii="Arial" w:hAnsi="Arial" w:cs="Arial"/>
          <w:sz w:val="20"/>
        </w:rPr>
        <w:t xml:space="preserve">Incluirá los anticipos a proveedores de este tipo de </w:t>
      </w:r>
      <w:r w:rsidR="00CE13D7" w:rsidRPr="00CE13D7">
        <w:rPr>
          <w:rFonts w:ascii="Arial" w:hAnsi="Arial" w:cs="Arial"/>
          <w:bCs/>
          <w:sz w:val="20"/>
        </w:rPr>
        <w:t>activos</w:t>
      </w:r>
      <w:r w:rsidRPr="00AC4AEA">
        <w:rPr>
          <w:rFonts w:ascii="Arial" w:hAnsi="Arial" w:cs="Arial"/>
          <w:sz w:val="20"/>
        </w:rPr>
        <w:t xml:space="preserve"> dentro del rubro bienes de cambio.</w:t>
      </w:r>
    </w:p>
    <w:p w:rsidR="00E61C50" w:rsidRPr="00AC4AEA" w:rsidRDefault="00A417C9" w:rsidP="00A318EA">
      <w:pPr>
        <w:pStyle w:val="A-Normal11"/>
        <w:numPr>
          <w:ilvl w:val="0"/>
          <w:numId w:val="29"/>
        </w:numPr>
        <w:jc w:val="both"/>
        <w:rPr>
          <w:rFonts w:ascii="Arial" w:hAnsi="Arial" w:cs="Arial"/>
          <w:sz w:val="20"/>
        </w:rPr>
      </w:pPr>
      <w:r w:rsidRPr="00AC4AEA">
        <w:rPr>
          <w:rFonts w:ascii="Arial" w:hAnsi="Arial" w:cs="Arial"/>
          <w:sz w:val="20"/>
        </w:rPr>
        <w:t>En el estado de resultados, u</w:t>
      </w:r>
      <w:r w:rsidR="000645F9" w:rsidRPr="00AC4AEA">
        <w:rPr>
          <w:rFonts w:ascii="Arial" w:hAnsi="Arial" w:cs="Arial"/>
          <w:sz w:val="20"/>
        </w:rPr>
        <w:t>na entidad presentará</w:t>
      </w:r>
      <w:r w:rsidR="003F0D13" w:rsidRPr="00AC4AEA">
        <w:rPr>
          <w:rFonts w:ascii="Arial" w:hAnsi="Arial" w:cs="Arial"/>
          <w:sz w:val="20"/>
        </w:rPr>
        <w:t xml:space="preserve"> por separado</w:t>
      </w:r>
      <w:r w:rsidR="00E61C50" w:rsidRPr="00AC4AEA">
        <w:rPr>
          <w:rFonts w:ascii="Arial" w:hAnsi="Arial" w:cs="Arial"/>
          <w:sz w:val="20"/>
        </w:rPr>
        <w:t>:</w:t>
      </w:r>
    </w:p>
    <w:p w:rsidR="00E61C50" w:rsidRPr="00AC4AEA" w:rsidRDefault="00190077" w:rsidP="00A318EA">
      <w:pPr>
        <w:pStyle w:val="A-Normal11"/>
        <w:numPr>
          <w:ilvl w:val="1"/>
          <w:numId w:val="19"/>
        </w:numPr>
        <w:ind w:left="1559" w:hanging="567"/>
        <w:jc w:val="both"/>
        <w:rPr>
          <w:rFonts w:ascii="Arial" w:hAnsi="Arial" w:cs="Arial"/>
          <w:sz w:val="20"/>
        </w:rPr>
      </w:pPr>
      <w:r w:rsidRPr="00AC4AEA">
        <w:rPr>
          <w:rFonts w:ascii="Arial" w:hAnsi="Arial" w:cs="Arial"/>
          <w:sz w:val="20"/>
        </w:rPr>
        <w:t>e</w:t>
      </w:r>
      <w:r w:rsidR="00E61C50" w:rsidRPr="00AC4AEA">
        <w:rPr>
          <w:rFonts w:ascii="Arial" w:hAnsi="Arial" w:cs="Arial"/>
          <w:sz w:val="20"/>
        </w:rPr>
        <w:t>l costo de los bienes vendidos</w:t>
      </w:r>
      <w:r w:rsidR="00407D85" w:rsidRPr="00AC4AEA">
        <w:rPr>
          <w:rFonts w:ascii="Arial" w:hAnsi="Arial" w:cs="Arial"/>
          <w:sz w:val="20"/>
        </w:rPr>
        <w:t xml:space="preserve"> o servicios </w:t>
      </w:r>
      <w:r w:rsidR="00EC1893" w:rsidRPr="00AC4AEA">
        <w:rPr>
          <w:rFonts w:ascii="Arial" w:hAnsi="Arial" w:cs="Arial"/>
          <w:sz w:val="20"/>
        </w:rPr>
        <w:t>prestados</w:t>
      </w:r>
      <w:r w:rsidR="00E61C50" w:rsidRPr="00AC4AEA">
        <w:rPr>
          <w:rFonts w:ascii="Arial" w:hAnsi="Arial" w:cs="Arial"/>
          <w:sz w:val="20"/>
        </w:rPr>
        <w:t xml:space="preserve"> a continuación de los ingresos por ventas</w:t>
      </w:r>
      <w:r w:rsidR="003F0D13" w:rsidRPr="00AC4AEA">
        <w:rPr>
          <w:rFonts w:ascii="Arial" w:hAnsi="Arial" w:cs="Arial"/>
          <w:sz w:val="20"/>
        </w:rPr>
        <w:t>, con el fin de exponer el resultado bruto;</w:t>
      </w:r>
    </w:p>
    <w:p w:rsidR="00D711FA" w:rsidRPr="00AC4AEA" w:rsidRDefault="00D711FA" w:rsidP="00A318EA">
      <w:pPr>
        <w:pStyle w:val="A-Normal11"/>
        <w:numPr>
          <w:ilvl w:val="1"/>
          <w:numId w:val="19"/>
        </w:numPr>
        <w:ind w:left="1559" w:hanging="567"/>
        <w:jc w:val="both"/>
        <w:rPr>
          <w:rFonts w:ascii="Arial" w:hAnsi="Arial" w:cs="Arial"/>
          <w:sz w:val="20"/>
        </w:rPr>
      </w:pPr>
      <w:r w:rsidRPr="00AC4AEA">
        <w:rPr>
          <w:rFonts w:ascii="Arial" w:hAnsi="Arial" w:cs="Arial"/>
          <w:sz w:val="20"/>
        </w:rPr>
        <w:t xml:space="preserve">los resultados por cambios en el </w:t>
      </w:r>
      <w:r w:rsidRPr="00AC4AEA">
        <w:rPr>
          <w:rFonts w:ascii="Arial" w:hAnsi="Arial" w:cs="Arial"/>
          <w:b/>
          <w:bCs/>
          <w:sz w:val="20"/>
        </w:rPr>
        <w:t>valor neto de realización</w:t>
      </w:r>
      <w:r w:rsidRPr="00AC4AEA">
        <w:rPr>
          <w:rFonts w:ascii="Arial" w:hAnsi="Arial" w:cs="Arial"/>
          <w:sz w:val="20"/>
        </w:rPr>
        <w:t>,</w:t>
      </w:r>
      <w:r w:rsidRPr="00AC4AEA">
        <w:rPr>
          <w:rFonts w:ascii="Arial" w:hAnsi="Arial" w:cs="Arial"/>
          <w:b/>
          <w:bCs/>
          <w:sz w:val="20"/>
        </w:rPr>
        <w:t xml:space="preserve"> </w:t>
      </w:r>
      <w:r w:rsidRPr="00AC4AEA">
        <w:rPr>
          <w:rFonts w:ascii="Arial" w:hAnsi="Arial" w:cs="Arial"/>
          <w:sz w:val="20"/>
        </w:rPr>
        <w:t xml:space="preserve">distintos de los referidos en el inciso </w:t>
      </w:r>
      <w:fldSimple w:instr=" REF _Ref102472316 \r \h  \* MERGEFORMAT ">
        <w:r w:rsidR="00D33A5D" w:rsidRPr="00D33A5D">
          <w:rPr>
            <w:rFonts w:ascii="Arial" w:hAnsi="Arial" w:cs="Arial"/>
            <w:sz w:val="20"/>
          </w:rPr>
          <w:t>d)</w:t>
        </w:r>
      </w:fldSimple>
      <w:r w:rsidRPr="00AC4AEA">
        <w:rPr>
          <w:rFonts w:ascii="Arial" w:hAnsi="Arial" w:cs="Arial"/>
          <w:sz w:val="20"/>
        </w:rPr>
        <w:t xml:space="preserve"> siguiente, de este</w:t>
      </w:r>
      <w:r w:rsidR="00FC62C5" w:rsidRPr="00AC4AEA">
        <w:rPr>
          <w:rFonts w:ascii="Arial" w:hAnsi="Arial" w:cs="Arial"/>
          <w:sz w:val="20"/>
        </w:rPr>
        <w:t xml:space="preserve">; </w:t>
      </w:r>
    </w:p>
    <w:p w:rsidR="003F0D13" w:rsidRPr="00AC4AEA" w:rsidRDefault="00190077" w:rsidP="00A318EA">
      <w:pPr>
        <w:pStyle w:val="A-Normal11"/>
        <w:numPr>
          <w:ilvl w:val="1"/>
          <w:numId w:val="19"/>
        </w:numPr>
        <w:ind w:left="1559" w:hanging="567"/>
        <w:jc w:val="both"/>
        <w:rPr>
          <w:rFonts w:ascii="Arial" w:hAnsi="Arial" w:cs="Arial"/>
          <w:sz w:val="20"/>
        </w:rPr>
      </w:pPr>
      <w:r w:rsidRPr="00AC4AEA">
        <w:rPr>
          <w:rFonts w:ascii="Arial" w:hAnsi="Arial" w:cs="Arial"/>
          <w:sz w:val="20"/>
        </w:rPr>
        <w:t>l</w:t>
      </w:r>
      <w:r w:rsidR="00E61C50" w:rsidRPr="00AC4AEA">
        <w:rPr>
          <w:rFonts w:ascii="Arial" w:hAnsi="Arial" w:cs="Arial"/>
          <w:sz w:val="20"/>
        </w:rPr>
        <w:t xml:space="preserve">os resultados </w:t>
      </w:r>
      <w:r w:rsidR="002A6B1F" w:rsidRPr="00AC4AEA">
        <w:rPr>
          <w:rFonts w:ascii="Arial" w:hAnsi="Arial" w:cs="Arial"/>
          <w:sz w:val="20"/>
        </w:rPr>
        <w:t xml:space="preserve">de </w:t>
      </w:r>
      <w:r w:rsidR="00E61C50" w:rsidRPr="00AC4AEA">
        <w:rPr>
          <w:rFonts w:ascii="Arial" w:hAnsi="Arial" w:cs="Arial"/>
          <w:sz w:val="20"/>
        </w:rPr>
        <w:t>tenencia</w:t>
      </w:r>
      <w:r w:rsidR="003F0D13" w:rsidRPr="00AC4AEA">
        <w:rPr>
          <w:rFonts w:ascii="Arial" w:hAnsi="Arial" w:cs="Arial"/>
          <w:sz w:val="20"/>
        </w:rPr>
        <w:t xml:space="preserve">; </w:t>
      </w:r>
    </w:p>
    <w:p w:rsidR="00E61C50" w:rsidRPr="00AC4AEA" w:rsidRDefault="00190077" w:rsidP="00A318EA">
      <w:pPr>
        <w:pStyle w:val="A-Normal11"/>
        <w:numPr>
          <w:ilvl w:val="1"/>
          <w:numId w:val="19"/>
        </w:numPr>
        <w:ind w:left="1559" w:hanging="567"/>
        <w:jc w:val="both"/>
        <w:rPr>
          <w:rFonts w:ascii="Arial" w:hAnsi="Arial" w:cs="Arial"/>
          <w:sz w:val="20"/>
        </w:rPr>
      </w:pPr>
      <w:bookmarkStart w:id="455" w:name="_Ref102472316"/>
      <w:r w:rsidRPr="00AC4AEA">
        <w:rPr>
          <w:rFonts w:ascii="Arial" w:hAnsi="Arial" w:cs="Arial"/>
          <w:sz w:val="20"/>
        </w:rPr>
        <w:t>l</w:t>
      </w:r>
      <w:r w:rsidR="003F0D13" w:rsidRPr="00AC4AEA">
        <w:rPr>
          <w:rFonts w:ascii="Arial" w:hAnsi="Arial" w:cs="Arial"/>
          <w:sz w:val="20"/>
        </w:rPr>
        <w:t xml:space="preserve">as </w:t>
      </w:r>
      <w:r w:rsidR="00E61C50" w:rsidRPr="00AC4AEA">
        <w:rPr>
          <w:rFonts w:ascii="Arial" w:hAnsi="Arial" w:cs="Arial"/>
          <w:b/>
          <w:bCs/>
          <w:sz w:val="20"/>
        </w:rPr>
        <w:t>pérdidas por desvalorización</w:t>
      </w:r>
      <w:r w:rsidR="00E61C50" w:rsidRPr="00AC4AEA">
        <w:rPr>
          <w:rFonts w:ascii="Arial" w:hAnsi="Arial" w:cs="Arial"/>
          <w:sz w:val="20"/>
        </w:rPr>
        <w:t xml:space="preserve"> y las reversiones de dichas pérdidas</w:t>
      </w:r>
      <w:r w:rsidR="00FC62C5" w:rsidRPr="00AC4AEA">
        <w:rPr>
          <w:rFonts w:ascii="Arial" w:hAnsi="Arial" w:cs="Arial"/>
          <w:sz w:val="20"/>
        </w:rPr>
        <w:t>;</w:t>
      </w:r>
      <w:r w:rsidR="00502E94" w:rsidRPr="00AC4AEA">
        <w:rPr>
          <w:rFonts w:ascii="Arial" w:hAnsi="Arial" w:cs="Arial"/>
          <w:sz w:val="20"/>
        </w:rPr>
        <w:t xml:space="preserve"> y</w:t>
      </w:r>
      <w:bookmarkEnd w:id="455"/>
    </w:p>
    <w:p w:rsidR="00E61C50" w:rsidRPr="00AC4AEA" w:rsidRDefault="00190077" w:rsidP="00A318EA">
      <w:pPr>
        <w:pStyle w:val="A-Normal11"/>
        <w:numPr>
          <w:ilvl w:val="1"/>
          <w:numId w:val="19"/>
        </w:numPr>
        <w:ind w:left="1559" w:hanging="567"/>
        <w:jc w:val="both"/>
        <w:rPr>
          <w:rFonts w:ascii="Arial" w:hAnsi="Arial" w:cs="Arial"/>
          <w:sz w:val="20"/>
        </w:rPr>
      </w:pPr>
      <w:r w:rsidRPr="00AC4AEA">
        <w:rPr>
          <w:rFonts w:ascii="Arial" w:hAnsi="Arial" w:cs="Arial"/>
          <w:sz w:val="20"/>
        </w:rPr>
        <w:t>l</w:t>
      </w:r>
      <w:r w:rsidR="00E61C50" w:rsidRPr="00AC4AEA">
        <w:rPr>
          <w:rFonts w:ascii="Arial" w:hAnsi="Arial" w:cs="Arial"/>
          <w:sz w:val="20"/>
        </w:rPr>
        <w:t>as pérdidas derivadas de improductivid</w:t>
      </w:r>
      <w:r w:rsidR="00C97D5F" w:rsidRPr="00AC4AEA">
        <w:rPr>
          <w:rFonts w:ascii="Arial" w:hAnsi="Arial" w:cs="Arial"/>
          <w:sz w:val="20"/>
        </w:rPr>
        <w:t>ades físicas o ineficiencias en el uso de los factores y de la ociosidad por operar debajo del nivel de actividad normal dentro de otros gastos.</w:t>
      </w:r>
    </w:p>
    <w:p w:rsidR="000645F9" w:rsidRPr="00AC4AEA" w:rsidRDefault="000645F9" w:rsidP="00A318EA">
      <w:pPr>
        <w:pStyle w:val="A-Normal11"/>
        <w:jc w:val="both"/>
        <w:rPr>
          <w:rFonts w:ascii="Arial" w:hAnsi="Arial" w:cs="Arial"/>
          <w:sz w:val="20"/>
        </w:rPr>
      </w:pPr>
    </w:p>
    <w:p w:rsidR="0071063E" w:rsidRPr="00AC4AEA" w:rsidRDefault="0071063E" w:rsidP="00A318EA">
      <w:pPr>
        <w:pStyle w:val="Ttulo2"/>
        <w:rPr>
          <w:rFonts w:cs="Arial"/>
        </w:rPr>
      </w:pPr>
      <w:bookmarkStart w:id="456" w:name="_Toc101863845"/>
      <w:bookmarkStart w:id="457" w:name="_Toc139356714"/>
      <w:r w:rsidRPr="00AC4AEA">
        <w:rPr>
          <w:rFonts w:cs="Arial"/>
        </w:rPr>
        <w:t>Revelación en notas</w:t>
      </w:r>
      <w:bookmarkEnd w:id="456"/>
      <w:bookmarkEnd w:id="457"/>
    </w:p>
    <w:p w:rsidR="00927D7B" w:rsidRPr="00AC4AEA" w:rsidRDefault="00927D7B" w:rsidP="00A318EA">
      <w:pPr>
        <w:pStyle w:val="Ttulo3"/>
      </w:pPr>
      <w:bookmarkStart w:id="458" w:name="_Toc101863846"/>
      <w:bookmarkStart w:id="459" w:name="_Toc139356715"/>
      <w:r w:rsidRPr="00AC4AEA">
        <w:t>Revelaciones sobre los bienes de cambio</w:t>
      </w:r>
      <w:bookmarkEnd w:id="458"/>
      <w:bookmarkEnd w:id="459"/>
    </w:p>
    <w:p w:rsidR="00007798" w:rsidRPr="00AC4AEA" w:rsidRDefault="00007798" w:rsidP="00A318EA">
      <w:pPr>
        <w:pStyle w:val="A-Normal11"/>
        <w:numPr>
          <w:ilvl w:val="0"/>
          <w:numId w:val="29"/>
        </w:numPr>
        <w:jc w:val="both"/>
        <w:rPr>
          <w:rFonts w:ascii="Arial" w:hAnsi="Arial" w:cs="Arial"/>
          <w:sz w:val="20"/>
        </w:rPr>
      </w:pPr>
      <w:r w:rsidRPr="00AC4AEA">
        <w:rPr>
          <w:rFonts w:ascii="Arial" w:hAnsi="Arial" w:cs="Arial"/>
          <w:sz w:val="20"/>
        </w:rPr>
        <w:t xml:space="preserve">Una entidad revelará en notas: </w:t>
      </w:r>
    </w:p>
    <w:p w:rsidR="00960250" w:rsidRPr="00AC4AEA" w:rsidRDefault="0076494E" w:rsidP="00A318EA">
      <w:pPr>
        <w:pStyle w:val="Prrafodelista"/>
        <w:numPr>
          <w:ilvl w:val="1"/>
          <w:numId w:val="37"/>
        </w:numPr>
        <w:ind w:left="1559" w:hanging="567"/>
        <w:contextualSpacing w:val="0"/>
        <w:jc w:val="both"/>
        <w:rPr>
          <w:rFonts w:ascii="Arial" w:hAnsi="Arial" w:cs="Arial"/>
          <w:sz w:val="20"/>
          <w:szCs w:val="20"/>
        </w:rPr>
      </w:pPr>
      <w:r w:rsidRPr="00AC4AEA">
        <w:rPr>
          <w:rFonts w:ascii="Arial" w:hAnsi="Arial" w:cs="Arial"/>
          <w:sz w:val="20"/>
          <w:szCs w:val="20"/>
        </w:rPr>
        <w:t xml:space="preserve">la </w:t>
      </w:r>
      <w:r w:rsidR="00596F3F" w:rsidRPr="00AC4AEA">
        <w:rPr>
          <w:rFonts w:ascii="Arial" w:hAnsi="Arial" w:cs="Arial"/>
          <w:b/>
          <w:bCs/>
          <w:sz w:val="20"/>
          <w:szCs w:val="20"/>
        </w:rPr>
        <w:t>política contable</w:t>
      </w:r>
      <w:r w:rsidR="00960250" w:rsidRPr="00AC4AEA">
        <w:rPr>
          <w:rFonts w:ascii="Arial" w:hAnsi="Arial" w:cs="Arial"/>
          <w:sz w:val="20"/>
          <w:szCs w:val="20"/>
        </w:rPr>
        <w:t xml:space="preserve"> seleccionada para cada clase de </w:t>
      </w:r>
      <w:r w:rsidR="00926BE6" w:rsidRPr="00AC4AEA">
        <w:rPr>
          <w:rFonts w:ascii="Arial" w:hAnsi="Arial" w:cs="Arial"/>
          <w:sz w:val="20"/>
          <w:szCs w:val="20"/>
        </w:rPr>
        <w:t>bienes de cambio</w:t>
      </w:r>
      <w:r w:rsidR="00936A88" w:rsidRPr="00AC4AEA">
        <w:rPr>
          <w:rFonts w:ascii="Arial" w:hAnsi="Arial" w:cs="Arial"/>
          <w:sz w:val="20"/>
          <w:szCs w:val="20"/>
        </w:rPr>
        <w:t>;</w:t>
      </w:r>
    </w:p>
    <w:p w:rsidR="00960250" w:rsidRPr="00AC4AEA" w:rsidRDefault="00190077" w:rsidP="00A318EA">
      <w:pPr>
        <w:pStyle w:val="Prrafodelista"/>
        <w:numPr>
          <w:ilvl w:val="1"/>
          <w:numId w:val="37"/>
        </w:numPr>
        <w:ind w:left="1559" w:hanging="567"/>
        <w:contextualSpacing w:val="0"/>
        <w:jc w:val="both"/>
        <w:rPr>
          <w:rFonts w:ascii="Arial" w:hAnsi="Arial" w:cs="Arial"/>
          <w:sz w:val="20"/>
          <w:szCs w:val="20"/>
        </w:rPr>
      </w:pPr>
      <w:r w:rsidRPr="00AC4AEA">
        <w:rPr>
          <w:rFonts w:ascii="Arial" w:hAnsi="Arial" w:cs="Arial"/>
          <w:sz w:val="20"/>
          <w:szCs w:val="20"/>
        </w:rPr>
        <w:lastRenderedPageBreak/>
        <w:t>l</w:t>
      </w:r>
      <w:r w:rsidR="00960250" w:rsidRPr="00AC4AEA">
        <w:rPr>
          <w:rFonts w:ascii="Arial" w:hAnsi="Arial" w:cs="Arial"/>
          <w:sz w:val="20"/>
          <w:szCs w:val="20"/>
        </w:rPr>
        <w:t>as bases y métodos utilizados y los supuestos considerados en las mediciones basadas en valores corrientes</w:t>
      </w:r>
      <w:r w:rsidR="005D565D" w:rsidRPr="00AC4AEA">
        <w:rPr>
          <w:rFonts w:ascii="Arial" w:hAnsi="Arial" w:cs="Arial"/>
          <w:sz w:val="20"/>
          <w:szCs w:val="20"/>
        </w:rPr>
        <w:t>;</w:t>
      </w:r>
    </w:p>
    <w:p w:rsidR="00263E93" w:rsidRPr="00AC4AEA" w:rsidRDefault="00190077" w:rsidP="00A318EA">
      <w:pPr>
        <w:pStyle w:val="Prrafodelista"/>
        <w:numPr>
          <w:ilvl w:val="1"/>
          <w:numId w:val="37"/>
        </w:numPr>
        <w:ind w:left="1559" w:hanging="567"/>
        <w:contextualSpacing w:val="0"/>
        <w:jc w:val="both"/>
        <w:rPr>
          <w:rFonts w:ascii="Arial" w:hAnsi="Arial" w:cs="Arial"/>
          <w:sz w:val="20"/>
          <w:szCs w:val="20"/>
        </w:rPr>
      </w:pPr>
      <w:r w:rsidRPr="00AC4AEA">
        <w:rPr>
          <w:rFonts w:ascii="Arial" w:hAnsi="Arial" w:cs="Arial"/>
          <w:sz w:val="20"/>
          <w:szCs w:val="20"/>
        </w:rPr>
        <w:t>l</w:t>
      </w:r>
      <w:r w:rsidR="00007798" w:rsidRPr="00AC4AEA">
        <w:rPr>
          <w:rFonts w:ascii="Arial" w:hAnsi="Arial" w:cs="Arial"/>
          <w:sz w:val="20"/>
          <w:szCs w:val="20"/>
        </w:rPr>
        <w:t xml:space="preserve">os componentes principales del rubro bienes de cambio, considerando la naturaleza de cada uno de </w:t>
      </w:r>
      <w:r w:rsidR="00907F42" w:rsidRPr="00AC4AEA">
        <w:rPr>
          <w:rFonts w:ascii="Arial" w:hAnsi="Arial" w:cs="Arial"/>
          <w:sz w:val="20"/>
          <w:szCs w:val="20"/>
        </w:rPr>
        <w:t xml:space="preserve">sus </w:t>
      </w:r>
      <w:r w:rsidR="00007798" w:rsidRPr="00AC4AEA">
        <w:rPr>
          <w:rFonts w:ascii="Arial" w:hAnsi="Arial" w:cs="Arial"/>
          <w:sz w:val="20"/>
          <w:szCs w:val="20"/>
        </w:rPr>
        <w:t xml:space="preserve">componentes </w:t>
      </w:r>
      <w:r w:rsidR="00263E93" w:rsidRPr="00AC4AEA">
        <w:rPr>
          <w:rFonts w:ascii="Arial" w:hAnsi="Arial" w:cs="Arial"/>
          <w:sz w:val="20"/>
          <w:szCs w:val="20"/>
        </w:rPr>
        <w:t>(</w:t>
      </w:r>
      <w:r w:rsidR="0036430A" w:rsidRPr="00AC4AEA">
        <w:rPr>
          <w:rFonts w:ascii="Arial" w:hAnsi="Arial" w:cs="Arial"/>
          <w:sz w:val="20"/>
          <w:szCs w:val="20"/>
        </w:rPr>
        <w:t xml:space="preserve">por </w:t>
      </w:r>
      <w:r w:rsidR="00263E93" w:rsidRPr="00AC4AEA">
        <w:rPr>
          <w:rFonts w:ascii="Arial" w:hAnsi="Arial" w:cs="Arial"/>
          <w:sz w:val="20"/>
          <w:szCs w:val="20"/>
        </w:rPr>
        <w:t xml:space="preserve">ejemplo, materias primas, </w:t>
      </w:r>
      <w:r w:rsidR="00907F42" w:rsidRPr="00AC4AEA">
        <w:rPr>
          <w:rFonts w:ascii="Arial" w:hAnsi="Arial" w:cs="Arial"/>
          <w:sz w:val="20"/>
          <w:szCs w:val="20"/>
        </w:rPr>
        <w:t>productos en proceso</w:t>
      </w:r>
      <w:r w:rsidR="00263E93" w:rsidRPr="00AC4AEA">
        <w:rPr>
          <w:rFonts w:ascii="Arial" w:hAnsi="Arial" w:cs="Arial"/>
          <w:sz w:val="20"/>
          <w:szCs w:val="20"/>
        </w:rPr>
        <w:t>, productos terminados,</w:t>
      </w:r>
      <w:r w:rsidR="008F0313" w:rsidRPr="00AC4AEA">
        <w:rPr>
          <w:rFonts w:ascii="Arial" w:hAnsi="Arial" w:cs="Arial"/>
          <w:sz w:val="20"/>
          <w:szCs w:val="20"/>
        </w:rPr>
        <w:t xml:space="preserve"> mercaderías de reventa,</w:t>
      </w:r>
      <w:r w:rsidR="00E24ED1" w:rsidRPr="00AC4AEA">
        <w:rPr>
          <w:rFonts w:ascii="Arial" w:hAnsi="Arial" w:cs="Arial"/>
          <w:sz w:val="20"/>
          <w:szCs w:val="20"/>
        </w:rPr>
        <w:t xml:space="preserve"> bienes de cambio de naturaleza</w:t>
      </w:r>
      <w:r w:rsidR="00263E93" w:rsidRPr="00AC4AEA">
        <w:rPr>
          <w:rFonts w:ascii="Arial" w:hAnsi="Arial" w:cs="Arial"/>
          <w:sz w:val="20"/>
          <w:szCs w:val="20"/>
        </w:rPr>
        <w:t xml:space="preserve"> </w:t>
      </w:r>
      <w:r w:rsidR="00D711FA" w:rsidRPr="00AC4AEA">
        <w:rPr>
          <w:rFonts w:ascii="Arial" w:hAnsi="Arial" w:cs="Arial"/>
          <w:sz w:val="20"/>
          <w:szCs w:val="20"/>
        </w:rPr>
        <w:t>inta</w:t>
      </w:r>
      <w:r w:rsidR="00E24ED1" w:rsidRPr="00AC4AEA">
        <w:rPr>
          <w:rFonts w:ascii="Arial" w:hAnsi="Arial" w:cs="Arial"/>
          <w:sz w:val="20"/>
          <w:szCs w:val="20"/>
        </w:rPr>
        <w:t>n</w:t>
      </w:r>
      <w:r w:rsidR="00D711FA" w:rsidRPr="00AC4AEA">
        <w:rPr>
          <w:rFonts w:ascii="Arial" w:hAnsi="Arial" w:cs="Arial"/>
          <w:sz w:val="20"/>
          <w:szCs w:val="20"/>
        </w:rPr>
        <w:t xml:space="preserve">gible destinados a la venta en el curso habitual de la </w:t>
      </w:r>
      <w:r w:rsidR="00D711FA" w:rsidRPr="00AC4AEA">
        <w:rPr>
          <w:rFonts w:ascii="Arial" w:hAnsi="Arial" w:cs="Arial"/>
          <w:b/>
          <w:bCs/>
          <w:sz w:val="20"/>
          <w:szCs w:val="20"/>
        </w:rPr>
        <w:t>actividad</w:t>
      </w:r>
      <w:r w:rsidR="00E06230" w:rsidRPr="00AC4AEA">
        <w:rPr>
          <w:rFonts w:ascii="Arial" w:hAnsi="Arial" w:cs="Arial"/>
          <w:b/>
          <w:bCs/>
          <w:sz w:val="20"/>
          <w:szCs w:val="20"/>
        </w:rPr>
        <w:t xml:space="preserve"> ordinaria</w:t>
      </w:r>
      <w:r w:rsidR="00D711FA" w:rsidRPr="00AC4AEA">
        <w:rPr>
          <w:rFonts w:ascii="Arial" w:hAnsi="Arial" w:cs="Arial"/>
          <w:sz w:val="20"/>
          <w:szCs w:val="20"/>
        </w:rPr>
        <w:t xml:space="preserve">, productos en tránsito, </w:t>
      </w:r>
      <w:r w:rsidR="00263E93" w:rsidRPr="00AC4AEA">
        <w:rPr>
          <w:rFonts w:ascii="Arial" w:hAnsi="Arial" w:cs="Arial"/>
          <w:sz w:val="20"/>
          <w:szCs w:val="20"/>
        </w:rPr>
        <w:t>anticipos a proveedores de bienes de cambio)</w:t>
      </w:r>
      <w:r w:rsidR="008741A6" w:rsidRPr="00AC4AEA">
        <w:rPr>
          <w:rFonts w:ascii="Arial" w:hAnsi="Arial" w:cs="Arial"/>
          <w:sz w:val="20"/>
          <w:szCs w:val="20"/>
        </w:rPr>
        <w:t>;</w:t>
      </w:r>
      <w:r w:rsidR="00D60C72" w:rsidRPr="00AC4AEA">
        <w:rPr>
          <w:rFonts w:ascii="Arial" w:hAnsi="Arial" w:cs="Arial"/>
          <w:sz w:val="20"/>
          <w:szCs w:val="20"/>
        </w:rPr>
        <w:t xml:space="preserve"> y</w:t>
      </w:r>
    </w:p>
    <w:p w:rsidR="00007798" w:rsidRPr="00AC4AEA" w:rsidRDefault="00190077" w:rsidP="00A318EA">
      <w:pPr>
        <w:pStyle w:val="Prrafodelista"/>
        <w:numPr>
          <w:ilvl w:val="1"/>
          <w:numId w:val="37"/>
        </w:numPr>
        <w:ind w:left="1559" w:hanging="567"/>
        <w:contextualSpacing w:val="0"/>
        <w:jc w:val="both"/>
        <w:rPr>
          <w:rFonts w:ascii="Arial" w:hAnsi="Arial" w:cs="Arial"/>
          <w:sz w:val="20"/>
          <w:szCs w:val="20"/>
        </w:rPr>
      </w:pPr>
      <w:r w:rsidRPr="00AC4AEA">
        <w:rPr>
          <w:rFonts w:ascii="Arial" w:hAnsi="Arial" w:cs="Arial"/>
          <w:sz w:val="20"/>
          <w:szCs w:val="20"/>
        </w:rPr>
        <w:t>l</w:t>
      </w:r>
      <w:r w:rsidR="00007798" w:rsidRPr="00AC4AEA">
        <w:rPr>
          <w:rFonts w:ascii="Arial" w:hAnsi="Arial" w:cs="Arial"/>
          <w:sz w:val="20"/>
          <w:szCs w:val="20"/>
        </w:rPr>
        <w:t xml:space="preserve">as pérdidas (o reversión de pérdidas) por desvalorización reconocidas durante el </w:t>
      </w:r>
      <w:r w:rsidR="00D04154" w:rsidRPr="00AC4AEA">
        <w:rPr>
          <w:rFonts w:ascii="Arial" w:hAnsi="Arial" w:cs="Arial"/>
          <w:sz w:val="20"/>
          <w:szCs w:val="20"/>
        </w:rPr>
        <w:t>período</w:t>
      </w:r>
      <w:r w:rsidR="00007798" w:rsidRPr="00AC4AEA">
        <w:rPr>
          <w:rFonts w:ascii="Arial" w:hAnsi="Arial" w:cs="Arial"/>
          <w:sz w:val="20"/>
          <w:szCs w:val="20"/>
        </w:rPr>
        <w:t>, explicando sus causas principales</w:t>
      </w:r>
      <w:r w:rsidR="005D565D" w:rsidRPr="00AC4AEA">
        <w:rPr>
          <w:rFonts w:ascii="Arial" w:hAnsi="Arial" w:cs="Arial"/>
          <w:sz w:val="20"/>
          <w:szCs w:val="20"/>
        </w:rPr>
        <w:t>.</w:t>
      </w:r>
    </w:p>
    <w:p w:rsidR="00927D7B" w:rsidRPr="00AC4AEA" w:rsidRDefault="00927D7B" w:rsidP="00A318EA">
      <w:pPr>
        <w:pStyle w:val="A-Normal11"/>
        <w:jc w:val="both"/>
        <w:rPr>
          <w:rFonts w:ascii="Arial" w:hAnsi="Arial" w:cs="Arial"/>
          <w:b/>
          <w:bCs/>
          <w:sz w:val="20"/>
        </w:rPr>
      </w:pPr>
    </w:p>
    <w:p w:rsidR="00927D7B" w:rsidRPr="00AC4AEA" w:rsidRDefault="00927D7B" w:rsidP="00A318EA">
      <w:pPr>
        <w:pStyle w:val="Ttulo3"/>
      </w:pPr>
      <w:bookmarkStart w:id="460" w:name="_Toc101863847"/>
      <w:bookmarkStart w:id="461" w:name="_Toc139356716"/>
      <w:r w:rsidRPr="00AC4AEA">
        <w:t>Revelaciones sobre el costo de los bienes ven</w:t>
      </w:r>
      <w:r w:rsidR="005D3EBB" w:rsidRPr="00AC4AEA">
        <w:t>d</w:t>
      </w:r>
      <w:r w:rsidRPr="00AC4AEA">
        <w:t>idos</w:t>
      </w:r>
      <w:r w:rsidR="00407D85" w:rsidRPr="00AC4AEA">
        <w:t xml:space="preserve"> o servicios prestados</w:t>
      </w:r>
      <w:bookmarkEnd w:id="460"/>
      <w:bookmarkEnd w:id="461"/>
    </w:p>
    <w:p w:rsidR="00C97D5F" w:rsidRPr="00AC4AEA" w:rsidRDefault="00927D7B" w:rsidP="00A318EA">
      <w:pPr>
        <w:pStyle w:val="A-Normal11"/>
        <w:numPr>
          <w:ilvl w:val="0"/>
          <w:numId w:val="29"/>
        </w:numPr>
        <w:jc w:val="both"/>
        <w:rPr>
          <w:rFonts w:ascii="Arial" w:hAnsi="Arial" w:cs="Arial"/>
          <w:sz w:val="20"/>
        </w:rPr>
      </w:pPr>
      <w:r w:rsidRPr="00AC4AEA">
        <w:rPr>
          <w:rFonts w:ascii="Arial" w:hAnsi="Arial" w:cs="Arial"/>
          <w:sz w:val="20"/>
        </w:rPr>
        <w:t>Una entidad revelará en notas</w:t>
      </w:r>
      <w:r w:rsidR="00C97D5F" w:rsidRPr="00AC4AEA">
        <w:rPr>
          <w:rFonts w:ascii="Arial" w:hAnsi="Arial" w:cs="Arial"/>
          <w:sz w:val="20"/>
        </w:rPr>
        <w:t>:</w:t>
      </w:r>
    </w:p>
    <w:p w:rsidR="00C97D5F" w:rsidRPr="00AC4AEA" w:rsidRDefault="00190077" w:rsidP="00A318EA">
      <w:pPr>
        <w:pStyle w:val="Prrafodelista"/>
        <w:numPr>
          <w:ilvl w:val="1"/>
          <w:numId w:val="88"/>
        </w:numPr>
        <w:contextualSpacing w:val="0"/>
        <w:jc w:val="both"/>
        <w:rPr>
          <w:rFonts w:ascii="Arial" w:hAnsi="Arial" w:cs="Arial"/>
          <w:sz w:val="20"/>
          <w:szCs w:val="20"/>
        </w:rPr>
      </w:pPr>
      <w:r w:rsidRPr="00AC4AEA">
        <w:rPr>
          <w:rFonts w:ascii="Arial" w:hAnsi="Arial" w:cs="Arial"/>
          <w:sz w:val="20"/>
          <w:szCs w:val="20"/>
        </w:rPr>
        <w:t>e</w:t>
      </w:r>
      <w:r w:rsidR="00C97D5F" w:rsidRPr="00AC4AEA">
        <w:rPr>
          <w:rFonts w:ascii="Arial" w:hAnsi="Arial" w:cs="Arial"/>
          <w:sz w:val="20"/>
          <w:szCs w:val="20"/>
        </w:rPr>
        <w:t>l método utilizado para calcular del costo de los bienes vendidos</w:t>
      </w:r>
      <w:r w:rsidR="00407D85" w:rsidRPr="00AC4AEA">
        <w:rPr>
          <w:rFonts w:ascii="Arial" w:hAnsi="Arial" w:cs="Arial"/>
          <w:sz w:val="20"/>
          <w:szCs w:val="20"/>
        </w:rPr>
        <w:t xml:space="preserve"> o servicios prestados</w:t>
      </w:r>
      <w:r w:rsidR="001366EC" w:rsidRPr="00AC4AEA">
        <w:rPr>
          <w:rFonts w:ascii="Arial" w:hAnsi="Arial" w:cs="Arial"/>
          <w:sz w:val="20"/>
          <w:szCs w:val="20"/>
        </w:rPr>
        <w:t>;</w:t>
      </w:r>
    </w:p>
    <w:p w:rsidR="001366EC" w:rsidRPr="00AC4AEA" w:rsidRDefault="00190077" w:rsidP="00A318EA">
      <w:pPr>
        <w:pStyle w:val="Prrafodelista"/>
        <w:numPr>
          <w:ilvl w:val="1"/>
          <w:numId w:val="88"/>
        </w:numPr>
        <w:contextualSpacing w:val="0"/>
        <w:jc w:val="both"/>
        <w:rPr>
          <w:rFonts w:ascii="Arial" w:hAnsi="Arial" w:cs="Arial"/>
          <w:sz w:val="20"/>
          <w:szCs w:val="20"/>
        </w:rPr>
      </w:pPr>
      <w:r w:rsidRPr="00AC4AEA">
        <w:rPr>
          <w:rFonts w:ascii="Arial" w:hAnsi="Arial" w:cs="Arial"/>
          <w:sz w:val="20"/>
          <w:szCs w:val="20"/>
        </w:rPr>
        <w:t>e</w:t>
      </w:r>
      <w:r w:rsidR="001366EC" w:rsidRPr="00AC4AEA">
        <w:rPr>
          <w:rFonts w:ascii="Arial" w:hAnsi="Arial" w:cs="Arial"/>
          <w:sz w:val="20"/>
          <w:szCs w:val="20"/>
        </w:rPr>
        <w:t xml:space="preserve">l hecho de que el costo de los bienes vendidos o servicios prestados incluye mermas, faltantes y resultados de tenencia, si las bases utilizadas para medir los </w:t>
      </w:r>
      <w:r w:rsidR="00497590" w:rsidRPr="00AC4AEA">
        <w:rPr>
          <w:rFonts w:ascii="Arial" w:hAnsi="Arial" w:cs="Arial"/>
          <w:sz w:val="20"/>
          <w:szCs w:val="20"/>
        </w:rPr>
        <w:t>activos</w:t>
      </w:r>
      <w:r w:rsidR="001366EC" w:rsidRPr="00AC4AEA">
        <w:rPr>
          <w:rFonts w:ascii="Arial" w:hAnsi="Arial" w:cs="Arial"/>
          <w:sz w:val="20"/>
          <w:szCs w:val="20"/>
        </w:rPr>
        <w:t xml:space="preserve"> no son consistentes con las empleadas para determinar dicho costo</w:t>
      </w:r>
      <w:r w:rsidR="00000B6A" w:rsidRPr="00AC4AEA">
        <w:rPr>
          <w:rFonts w:ascii="Arial" w:hAnsi="Arial" w:cs="Arial"/>
          <w:sz w:val="20"/>
          <w:szCs w:val="20"/>
        </w:rPr>
        <w:t xml:space="preserve"> (por </w:t>
      </w:r>
      <w:r w:rsidR="001366EC" w:rsidRPr="00AC4AEA">
        <w:rPr>
          <w:rFonts w:ascii="Arial" w:hAnsi="Arial" w:cs="Arial"/>
          <w:sz w:val="20"/>
          <w:szCs w:val="20"/>
        </w:rPr>
        <w:t>ejemplo, porque e</w:t>
      </w:r>
      <w:r w:rsidR="00502E94" w:rsidRPr="00AC4AEA">
        <w:rPr>
          <w:rFonts w:ascii="Arial" w:hAnsi="Arial" w:cs="Arial"/>
          <w:sz w:val="20"/>
          <w:szCs w:val="20"/>
        </w:rPr>
        <w:t>ste</w:t>
      </w:r>
      <w:r w:rsidR="001366EC" w:rsidRPr="00AC4AEA">
        <w:rPr>
          <w:rFonts w:ascii="Arial" w:hAnsi="Arial" w:cs="Arial"/>
          <w:sz w:val="20"/>
          <w:szCs w:val="20"/>
        </w:rPr>
        <w:t xml:space="preserve"> último se calcul</w:t>
      </w:r>
      <w:r w:rsidR="00502E94" w:rsidRPr="00AC4AEA">
        <w:rPr>
          <w:rFonts w:ascii="Arial" w:hAnsi="Arial" w:cs="Arial"/>
          <w:sz w:val="20"/>
          <w:szCs w:val="20"/>
        </w:rPr>
        <w:t xml:space="preserve">ó </w:t>
      </w:r>
      <w:r w:rsidR="001366EC" w:rsidRPr="00AC4AEA">
        <w:rPr>
          <w:rFonts w:ascii="Arial" w:hAnsi="Arial" w:cs="Arial"/>
          <w:sz w:val="20"/>
          <w:szCs w:val="20"/>
        </w:rPr>
        <w:t xml:space="preserve">por </w:t>
      </w:r>
      <w:r w:rsidR="001366EC" w:rsidRPr="00AC4AEA">
        <w:rPr>
          <w:rFonts w:ascii="Arial" w:hAnsi="Arial" w:cs="Arial"/>
          <w:b/>
          <w:bCs/>
          <w:sz w:val="20"/>
          <w:szCs w:val="20"/>
        </w:rPr>
        <w:t>diferencias de inventario</w:t>
      </w:r>
      <w:r w:rsidR="00000B6A" w:rsidRPr="00AC4AEA">
        <w:rPr>
          <w:rFonts w:ascii="Arial" w:hAnsi="Arial" w:cs="Arial"/>
          <w:sz w:val="20"/>
          <w:szCs w:val="20"/>
        </w:rPr>
        <w:t>)</w:t>
      </w:r>
      <w:r w:rsidR="005D565D" w:rsidRPr="00AC4AEA">
        <w:rPr>
          <w:rFonts w:ascii="Arial" w:hAnsi="Arial" w:cs="Arial"/>
          <w:sz w:val="20"/>
          <w:szCs w:val="20"/>
        </w:rPr>
        <w:t>;</w:t>
      </w:r>
    </w:p>
    <w:p w:rsidR="00A576D5" w:rsidRPr="00AC4AEA" w:rsidRDefault="00190077" w:rsidP="00A318EA">
      <w:pPr>
        <w:pStyle w:val="Prrafodelista"/>
        <w:numPr>
          <w:ilvl w:val="1"/>
          <w:numId w:val="88"/>
        </w:numPr>
        <w:contextualSpacing w:val="0"/>
        <w:jc w:val="both"/>
        <w:rPr>
          <w:rFonts w:ascii="Arial" w:hAnsi="Arial" w:cs="Arial"/>
          <w:sz w:val="20"/>
          <w:szCs w:val="20"/>
        </w:rPr>
      </w:pPr>
      <w:r w:rsidRPr="00AC4AEA">
        <w:rPr>
          <w:rFonts w:ascii="Arial" w:hAnsi="Arial" w:cs="Arial"/>
          <w:sz w:val="20"/>
          <w:szCs w:val="20"/>
        </w:rPr>
        <w:t>l</w:t>
      </w:r>
      <w:r w:rsidR="00C97D5F" w:rsidRPr="00AC4AEA">
        <w:rPr>
          <w:rFonts w:ascii="Arial" w:hAnsi="Arial" w:cs="Arial"/>
          <w:sz w:val="20"/>
          <w:szCs w:val="20"/>
        </w:rPr>
        <w:t>a medición de las partidas que inciden en el costo de los bienes vendidos</w:t>
      </w:r>
      <w:r w:rsidR="00407D85" w:rsidRPr="00AC4AEA">
        <w:rPr>
          <w:rFonts w:ascii="Arial" w:hAnsi="Arial" w:cs="Arial"/>
          <w:sz w:val="20"/>
          <w:szCs w:val="20"/>
        </w:rPr>
        <w:t xml:space="preserve"> o servicios prestados</w:t>
      </w:r>
      <w:r w:rsidR="00C97D5F" w:rsidRPr="00AC4AEA">
        <w:rPr>
          <w:rFonts w:ascii="Arial" w:hAnsi="Arial" w:cs="Arial"/>
          <w:sz w:val="20"/>
          <w:szCs w:val="20"/>
        </w:rPr>
        <w:t>, distinguiendo:</w:t>
      </w:r>
    </w:p>
    <w:p w:rsidR="00A576D5" w:rsidRPr="00AC4AEA" w:rsidRDefault="006A05A4" w:rsidP="00A318EA">
      <w:pPr>
        <w:pStyle w:val="A-Normal11"/>
        <w:numPr>
          <w:ilvl w:val="0"/>
          <w:numId w:val="296"/>
        </w:numPr>
        <w:ind w:left="1984"/>
        <w:jc w:val="both"/>
        <w:rPr>
          <w:rFonts w:ascii="Arial" w:hAnsi="Arial" w:cs="Arial"/>
          <w:sz w:val="20"/>
        </w:rPr>
      </w:pPr>
      <w:r w:rsidRPr="00AC4AEA">
        <w:rPr>
          <w:rFonts w:ascii="Arial" w:hAnsi="Arial" w:cs="Arial"/>
          <w:sz w:val="20"/>
        </w:rPr>
        <w:t>l</w:t>
      </w:r>
      <w:r w:rsidR="00A576D5" w:rsidRPr="00AC4AEA">
        <w:rPr>
          <w:rFonts w:ascii="Arial" w:hAnsi="Arial" w:cs="Arial"/>
          <w:sz w:val="20"/>
        </w:rPr>
        <w:t>a existencia inicial de cada componente;</w:t>
      </w:r>
    </w:p>
    <w:p w:rsidR="00927D7B" w:rsidRPr="00AC4AEA" w:rsidRDefault="006A05A4" w:rsidP="00A318EA">
      <w:pPr>
        <w:pStyle w:val="A-Normal11"/>
        <w:numPr>
          <w:ilvl w:val="0"/>
          <w:numId w:val="296"/>
        </w:numPr>
        <w:ind w:left="1984"/>
        <w:jc w:val="both"/>
        <w:rPr>
          <w:rFonts w:ascii="Arial" w:hAnsi="Arial" w:cs="Arial"/>
          <w:sz w:val="20"/>
        </w:rPr>
      </w:pPr>
      <w:r w:rsidRPr="00AC4AEA">
        <w:rPr>
          <w:rFonts w:ascii="Arial" w:hAnsi="Arial" w:cs="Arial"/>
          <w:sz w:val="20"/>
        </w:rPr>
        <w:t>l</w:t>
      </w:r>
      <w:r w:rsidR="00A576D5" w:rsidRPr="00AC4AEA">
        <w:rPr>
          <w:rFonts w:ascii="Arial" w:hAnsi="Arial" w:cs="Arial"/>
          <w:sz w:val="20"/>
        </w:rPr>
        <w:t>os</w:t>
      </w:r>
      <w:r w:rsidR="00927D7B" w:rsidRPr="00AC4AEA">
        <w:rPr>
          <w:rFonts w:ascii="Arial" w:hAnsi="Arial" w:cs="Arial"/>
          <w:sz w:val="20"/>
        </w:rPr>
        <w:t xml:space="preserve"> costos de adquisición</w:t>
      </w:r>
      <w:r w:rsidR="0036430A" w:rsidRPr="00AC4AEA">
        <w:rPr>
          <w:rFonts w:ascii="Arial" w:hAnsi="Arial" w:cs="Arial"/>
          <w:sz w:val="20"/>
        </w:rPr>
        <w:t>,</w:t>
      </w:r>
      <w:r w:rsidR="00927D7B" w:rsidRPr="00AC4AEA">
        <w:rPr>
          <w:rFonts w:ascii="Arial" w:hAnsi="Arial" w:cs="Arial"/>
          <w:sz w:val="20"/>
        </w:rPr>
        <w:t xml:space="preserve"> </w:t>
      </w:r>
      <w:r w:rsidR="00A576D5" w:rsidRPr="00AC4AEA">
        <w:rPr>
          <w:rFonts w:ascii="Arial" w:hAnsi="Arial" w:cs="Arial"/>
          <w:sz w:val="20"/>
        </w:rPr>
        <w:t>producción</w:t>
      </w:r>
      <w:r w:rsidR="0036430A" w:rsidRPr="00AC4AEA">
        <w:rPr>
          <w:rFonts w:ascii="Arial" w:hAnsi="Arial" w:cs="Arial"/>
          <w:sz w:val="20"/>
        </w:rPr>
        <w:t xml:space="preserve"> o construcción</w:t>
      </w:r>
      <w:r w:rsidR="00A576D5" w:rsidRPr="00AC4AEA">
        <w:rPr>
          <w:rFonts w:ascii="Arial" w:hAnsi="Arial" w:cs="Arial"/>
          <w:sz w:val="20"/>
        </w:rPr>
        <w:t>,</w:t>
      </w:r>
      <w:r w:rsidR="00835565" w:rsidRPr="00AC4AEA">
        <w:rPr>
          <w:rFonts w:ascii="Arial" w:hAnsi="Arial" w:cs="Arial"/>
          <w:sz w:val="20"/>
        </w:rPr>
        <w:t xml:space="preserve"> </w:t>
      </w:r>
      <w:r w:rsidR="00A576D5" w:rsidRPr="00AC4AEA">
        <w:rPr>
          <w:rFonts w:ascii="Arial" w:hAnsi="Arial" w:cs="Arial"/>
          <w:sz w:val="20"/>
        </w:rPr>
        <w:t>clasificados según</w:t>
      </w:r>
      <w:r w:rsidR="00927D7B" w:rsidRPr="00AC4AEA">
        <w:rPr>
          <w:rFonts w:ascii="Arial" w:hAnsi="Arial" w:cs="Arial"/>
          <w:sz w:val="20"/>
        </w:rPr>
        <w:t xml:space="preserve"> la naturaleza de </w:t>
      </w:r>
      <w:r w:rsidR="00EC1893" w:rsidRPr="00AC4AEA">
        <w:rPr>
          <w:rFonts w:ascii="Arial" w:hAnsi="Arial" w:cs="Arial"/>
          <w:sz w:val="20"/>
        </w:rPr>
        <w:t>las</w:t>
      </w:r>
      <w:r w:rsidR="00927D7B" w:rsidRPr="00AC4AEA">
        <w:rPr>
          <w:rFonts w:ascii="Arial" w:hAnsi="Arial" w:cs="Arial"/>
          <w:sz w:val="20"/>
        </w:rPr>
        <w:t xml:space="preserve"> </w:t>
      </w:r>
      <w:r w:rsidR="00A576D5" w:rsidRPr="00AC4AEA">
        <w:rPr>
          <w:rFonts w:ascii="Arial" w:hAnsi="Arial" w:cs="Arial"/>
          <w:sz w:val="20"/>
        </w:rPr>
        <w:t>partidas</w:t>
      </w:r>
      <w:r w:rsidR="00BF0D0E" w:rsidRPr="00AC4AEA">
        <w:rPr>
          <w:rFonts w:ascii="Arial" w:hAnsi="Arial" w:cs="Arial"/>
          <w:sz w:val="20"/>
        </w:rPr>
        <w:t>;</w:t>
      </w:r>
    </w:p>
    <w:p w:rsidR="00BF0D0E" w:rsidRPr="00AC4AEA" w:rsidRDefault="006056E5" w:rsidP="00A318EA">
      <w:pPr>
        <w:pStyle w:val="A-Normal11"/>
        <w:numPr>
          <w:ilvl w:val="0"/>
          <w:numId w:val="296"/>
        </w:numPr>
        <w:ind w:left="1984"/>
        <w:jc w:val="both"/>
        <w:rPr>
          <w:rFonts w:ascii="Arial" w:hAnsi="Arial" w:cs="Arial"/>
          <w:sz w:val="20"/>
        </w:rPr>
      </w:pPr>
      <w:r w:rsidRPr="00AC4AEA">
        <w:rPr>
          <w:rFonts w:ascii="Arial" w:hAnsi="Arial" w:cs="Arial"/>
          <w:sz w:val="20"/>
        </w:rPr>
        <w:t>otras variaciones no consideradas en los incisos anteriores de este párrafo, debiendo indicar, en el caso en que presente esta partida, los conceptos incluidos en ella;</w:t>
      </w:r>
    </w:p>
    <w:p w:rsidR="00A576D5" w:rsidRPr="00AC4AEA" w:rsidRDefault="006A05A4" w:rsidP="00A318EA">
      <w:pPr>
        <w:pStyle w:val="A-Normal11"/>
        <w:numPr>
          <w:ilvl w:val="0"/>
          <w:numId w:val="296"/>
        </w:numPr>
        <w:ind w:left="1984"/>
        <w:jc w:val="both"/>
        <w:rPr>
          <w:rFonts w:ascii="Arial" w:hAnsi="Arial" w:cs="Arial"/>
          <w:sz w:val="20"/>
        </w:rPr>
      </w:pPr>
      <w:r w:rsidRPr="00AC4AEA">
        <w:rPr>
          <w:rFonts w:ascii="Arial" w:hAnsi="Arial" w:cs="Arial"/>
          <w:sz w:val="20"/>
        </w:rPr>
        <w:t>l</w:t>
      </w:r>
      <w:r w:rsidR="00A576D5" w:rsidRPr="00AC4AEA">
        <w:rPr>
          <w:rFonts w:ascii="Arial" w:hAnsi="Arial" w:cs="Arial"/>
          <w:sz w:val="20"/>
        </w:rPr>
        <w:t xml:space="preserve">os resultados </w:t>
      </w:r>
      <w:r w:rsidR="00EC1893" w:rsidRPr="00AC4AEA">
        <w:rPr>
          <w:rFonts w:ascii="Arial" w:hAnsi="Arial" w:cs="Arial"/>
          <w:sz w:val="20"/>
        </w:rPr>
        <w:t>de</w:t>
      </w:r>
      <w:r w:rsidR="00A576D5" w:rsidRPr="00AC4AEA">
        <w:rPr>
          <w:rFonts w:ascii="Arial" w:hAnsi="Arial" w:cs="Arial"/>
          <w:sz w:val="20"/>
        </w:rPr>
        <w:t xml:space="preserve"> tenencia reconocidos</w:t>
      </w:r>
      <w:r w:rsidR="000645F9" w:rsidRPr="00AC4AEA">
        <w:rPr>
          <w:rFonts w:ascii="Arial" w:hAnsi="Arial" w:cs="Arial"/>
          <w:sz w:val="20"/>
        </w:rPr>
        <w:t xml:space="preserve">, en el caso de </w:t>
      </w:r>
      <w:r w:rsidR="00497590" w:rsidRPr="00AC4AEA">
        <w:rPr>
          <w:rFonts w:ascii="Arial" w:hAnsi="Arial" w:cs="Arial"/>
          <w:sz w:val="20"/>
        </w:rPr>
        <w:t>activos</w:t>
      </w:r>
      <w:r w:rsidR="000645F9" w:rsidRPr="00AC4AEA">
        <w:rPr>
          <w:rFonts w:ascii="Arial" w:hAnsi="Arial" w:cs="Arial"/>
          <w:sz w:val="20"/>
        </w:rPr>
        <w:t xml:space="preserve"> que se miden a valores corrientes</w:t>
      </w:r>
      <w:r w:rsidR="00000B6A" w:rsidRPr="00AC4AEA">
        <w:rPr>
          <w:rFonts w:ascii="Arial" w:hAnsi="Arial" w:cs="Arial"/>
          <w:sz w:val="20"/>
        </w:rPr>
        <w:t>;</w:t>
      </w:r>
    </w:p>
    <w:p w:rsidR="0036430A" w:rsidRPr="00AC4AEA" w:rsidRDefault="006A05A4" w:rsidP="00A318EA">
      <w:pPr>
        <w:pStyle w:val="A-Normal11"/>
        <w:numPr>
          <w:ilvl w:val="0"/>
          <w:numId w:val="296"/>
        </w:numPr>
        <w:ind w:left="1984"/>
        <w:jc w:val="both"/>
        <w:rPr>
          <w:rFonts w:ascii="Arial" w:hAnsi="Arial" w:cs="Arial"/>
          <w:sz w:val="20"/>
        </w:rPr>
      </w:pPr>
      <w:r w:rsidRPr="00AC4AEA">
        <w:rPr>
          <w:rFonts w:ascii="Arial" w:hAnsi="Arial" w:cs="Arial"/>
          <w:sz w:val="20"/>
        </w:rPr>
        <w:t>l</w:t>
      </w:r>
      <w:r w:rsidR="0036430A" w:rsidRPr="00AC4AEA">
        <w:rPr>
          <w:rFonts w:ascii="Arial" w:hAnsi="Arial" w:cs="Arial"/>
          <w:sz w:val="20"/>
        </w:rPr>
        <w:t>as transferencias por reclasificación</w:t>
      </w:r>
      <w:r w:rsidR="008741A6" w:rsidRPr="00AC4AEA">
        <w:rPr>
          <w:rFonts w:ascii="Arial" w:hAnsi="Arial" w:cs="Arial"/>
          <w:sz w:val="20"/>
        </w:rPr>
        <w:t>;</w:t>
      </w:r>
      <w:r w:rsidR="00502E94" w:rsidRPr="00AC4AEA">
        <w:rPr>
          <w:rFonts w:ascii="Arial" w:hAnsi="Arial" w:cs="Arial"/>
          <w:sz w:val="20"/>
        </w:rPr>
        <w:t xml:space="preserve"> y</w:t>
      </w:r>
    </w:p>
    <w:p w:rsidR="00A576D5" w:rsidRPr="00AC4AEA" w:rsidRDefault="006A05A4" w:rsidP="00A318EA">
      <w:pPr>
        <w:pStyle w:val="A-Normal11"/>
        <w:numPr>
          <w:ilvl w:val="0"/>
          <w:numId w:val="296"/>
        </w:numPr>
        <w:ind w:left="1984"/>
        <w:jc w:val="both"/>
        <w:rPr>
          <w:rFonts w:ascii="Arial" w:hAnsi="Arial" w:cs="Arial"/>
          <w:sz w:val="20"/>
        </w:rPr>
      </w:pPr>
      <w:r w:rsidRPr="00AC4AEA">
        <w:rPr>
          <w:rFonts w:ascii="Arial" w:hAnsi="Arial" w:cs="Arial"/>
          <w:sz w:val="20"/>
        </w:rPr>
        <w:t>l</w:t>
      </w:r>
      <w:r w:rsidR="00A576D5" w:rsidRPr="00AC4AEA">
        <w:rPr>
          <w:rFonts w:ascii="Arial" w:hAnsi="Arial" w:cs="Arial"/>
          <w:sz w:val="20"/>
        </w:rPr>
        <w:t>a existencia final de cada componente.</w:t>
      </w:r>
    </w:p>
    <w:p w:rsidR="00263E93" w:rsidRPr="00AC4AEA" w:rsidRDefault="00263E93" w:rsidP="00A318EA">
      <w:pPr>
        <w:pStyle w:val="A-Normal11"/>
        <w:jc w:val="both"/>
        <w:rPr>
          <w:rFonts w:ascii="Arial" w:hAnsi="Arial" w:cs="Arial"/>
          <w:sz w:val="20"/>
        </w:rPr>
      </w:pPr>
    </w:p>
    <w:p w:rsidR="00371DFB" w:rsidRPr="00AC4AEA" w:rsidRDefault="00371DFB" w:rsidP="00A318EA">
      <w:pPr>
        <w:pStyle w:val="Ttulo2"/>
        <w:rPr>
          <w:rFonts w:cs="Arial"/>
        </w:rPr>
      </w:pPr>
      <w:bookmarkStart w:id="462" w:name="_Toc101863848"/>
      <w:bookmarkStart w:id="463" w:name="_Toc139356717"/>
      <w:r w:rsidRPr="00AC4AEA">
        <w:rPr>
          <w:rFonts w:cs="Arial"/>
        </w:rPr>
        <w:t>Otras normas aplicables</w:t>
      </w:r>
      <w:bookmarkEnd w:id="462"/>
      <w:bookmarkEnd w:id="463"/>
    </w:p>
    <w:p w:rsidR="00371DFB" w:rsidRPr="00AC4AEA" w:rsidRDefault="00371DFB" w:rsidP="00A318EA">
      <w:pPr>
        <w:pStyle w:val="A-Normal11"/>
        <w:numPr>
          <w:ilvl w:val="0"/>
          <w:numId w:val="29"/>
        </w:numPr>
        <w:jc w:val="both"/>
        <w:rPr>
          <w:rFonts w:ascii="Arial" w:hAnsi="Arial" w:cs="Arial"/>
          <w:sz w:val="20"/>
        </w:rPr>
      </w:pPr>
      <w:bookmarkStart w:id="464" w:name="_Ref135770785"/>
      <w:r w:rsidRPr="00AC4AEA">
        <w:rPr>
          <w:rFonts w:ascii="Arial" w:hAnsi="Arial" w:cs="Arial"/>
          <w:sz w:val="20"/>
        </w:rPr>
        <w:t xml:space="preserve">Para el tratamiento contable de los componentes de bienes de cambio una entidad deberá contemplar, en tanto resulten pertinentes y no contradigan lo establecido en </w:t>
      </w:r>
      <w:r w:rsidRPr="00AC4AEA">
        <w:rPr>
          <w:rFonts w:ascii="Arial" w:hAnsi="Arial" w:cs="Arial"/>
          <w:sz w:val="20"/>
        </w:rPr>
        <w:lastRenderedPageBreak/>
        <w:t xml:space="preserve">esta sección, </w:t>
      </w:r>
      <w:r w:rsidR="00DD7085" w:rsidRPr="00AC4AEA">
        <w:rPr>
          <w:rFonts w:ascii="Arial" w:hAnsi="Arial" w:cs="Arial"/>
          <w:sz w:val="20"/>
        </w:rPr>
        <w:t xml:space="preserve">otras disposiciones de esta Resolución Técnica u </w:t>
      </w:r>
      <w:r w:rsidR="00DD7085" w:rsidRPr="00AC4AEA">
        <w:rPr>
          <w:rFonts w:ascii="Arial" w:hAnsi="Arial" w:cs="Arial"/>
          <w:b/>
          <w:bCs/>
          <w:sz w:val="20"/>
        </w:rPr>
        <w:t>otras normas contables</w:t>
      </w:r>
      <w:r w:rsidRPr="00AC4AEA">
        <w:rPr>
          <w:rFonts w:ascii="Arial" w:hAnsi="Arial" w:cs="Arial"/>
          <w:sz w:val="20"/>
        </w:rPr>
        <w:t>. Por ejemplo, las referidas a:</w:t>
      </w:r>
      <w:bookmarkEnd w:id="464"/>
      <w:r w:rsidRPr="00AC4AEA">
        <w:rPr>
          <w:rFonts w:ascii="Arial" w:hAnsi="Arial" w:cs="Arial"/>
          <w:sz w:val="20"/>
        </w:rPr>
        <w:t xml:space="preserve"> </w:t>
      </w:r>
    </w:p>
    <w:p w:rsidR="00000B6A" w:rsidRPr="00AC4AEA" w:rsidRDefault="00000B6A" w:rsidP="00A318EA">
      <w:pPr>
        <w:pStyle w:val="Prrafodelista"/>
        <w:numPr>
          <w:ilvl w:val="1"/>
          <w:numId w:val="38"/>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 y “</w:t>
      </w:r>
      <w:r w:rsidRPr="00AC4AEA">
        <w:rPr>
          <w:rFonts w:ascii="Arial" w:hAnsi="Arial" w:cs="Arial"/>
          <w:sz w:val="20"/>
          <w:szCs w:val="20"/>
          <w:u w:val="single"/>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000B6A" w:rsidRPr="00AC4AEA" w:rsidRDefault="00000B6A" w:rsidP="00A318EA">
      <w:pPr>
        <w:pStyle w:val="Prrafodelista"/>
        <w:numPr>
          <w:ilvl w:val="1"/>
          <w:numId w:val="38"/>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000B6A" w:rsidRPr="00AC4AEA" w:rsidRDefault="00000B6A" w:rsidP="00A318EA">
      <w:pPr>
        <w:pStyle w:val="Prrafodelista"/>
        <w:numPr>
          <w:ilvl w:val="1"/>
          <w:numId w:val="38"/>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000B6A" w:rsidRPr="00AC4AEA" w:rsidRDefault="00000B6A" w:rsidP="00A318EA">
      <w:pPr>
        <w:pStyle w:val="Prrafodelista"/>
        <w:numPr>
          <w:ilvl w:val="1"/>
          <w:numId w:val="38"/>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2A009A" w:rsidRPr="00AC4AEA" w:rsidRDefault="002A009A" w:rsidP="00A318EA">
      <w:pPr>
        <w:pStyle w:val="Prrafodelista"/>
        <w:numPr>
          <w:ilvl w:val="1"/>
          <w:numId w:val="38"/>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Baja en cuentas</w:t>
      </w:r>
      <w:r w:rsidRPr="00AC4AEA">
        <w:rPr>
          <w:rFonts w:ascii="Arial" w:hAnsi="Arial" w:cs="Arial"/>
          <w:sz w:val="20"/>
          <w:szCs w:val="20"/>
        </w:rPr>
        <w:t xml:space="preserve">” [ver los párrafos </w:t>
      </w:r>
      <w:fldSimple w:instr=" REF _Ref102844986 \r \h  \* MERGEFORMAT ">
        <w:r w:rsidR="00D33A5D" w:rsidRPr="00D33A5D">
          <w:rPr>
            <w:rFonts w:ascii="Arial" w:hAnsi="Arial" w:cs="Arial"/>
            <w:sz w:val="20"/>
            <w:szCs w:val="20"/>
          </w:rPr>
          <w:t>46</w:t>
        </w:r>
      </w:fldSimple>
      <w:r w:rsidRPr="00AC4AEA">
        <w:rPr>
          <w:rFonts w:ascii="Arial" w:hAnsi="Arial" w:cs="Arial"/>
          <w:sz w:val="20"/>
          <w:szCs w:val="20"/>
        </w:rPr>
        <w:t xml:space="preserve"> a</w:t>
      </w:r>
      <w:r w:rsidR="001F0ABF" w:rsidRPr="00AC4AEA">
        <w:rPr>
          <w:rFonts w:ascii="Arial" w:hAnsi="Arial" w:cs="Arial"/>
          <w:sz w:val="20"/>
          <w:szCs w:val="20"/>
        </w:rPr>
        <w:t xml:space="preserve"> </w:t>
      </w:r>
      <w:fldSimple w:instr=" REF _Ref102845008 \r \h  \* MERGEFORMAT ">
        <w:r w:rsidR="00D33A5D" w:rsidRPr="00D33A5D">
          <w:rPr>
            <w:rFonts w:ascii="Arial" w:hAnsi="Arial" w:cs="Arial"/>
            <w:sz w:val="20"/>
            <w:szCs w:val="20"/>
          </w:rPr>
          <w:t>48</w:t>
        </w:r>
      </w:fldSimple>
      <w:r w:rsidRPr="00AC4AEA">
        <w:rPr>
          <w:rFonts w:ascii="Arial" w:hAnsi="Arial" w:cs="Arial"/>
          <w:sz w:val="20"/>
          <w:szCs w:val="20"/>
        </w:rPr>
        <w:t>].</w:t>
      </w:r>
    </w:p>
    <w:p w:rsidR="00000B6A" w:rsidRPr="00AC4AEA" w:rsidRDefault="00000B6A" w:rsidP="00A318EA">
      <w:pPr>
        <w:pStyle w:val="Prrafodelista"/>
        <w:numPr>
          <w:ilvl w:val="1"/>
          <w:numId w:val="38"/>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r w:rsidRPr="00AC4AEA" w:rsidDel="00000B6A">
        <w:rPr>
          <w:rFonts w:ascii="Arial" w:hAnsi="Arial" w:cs="Arial"/>
          <w:sz w:val="20"/>
          <w:szCs w:val="20"/>
        </w:rPr>
        <w:t xml:space="preserve"> </w:t>
      </w:r>
    </w:p>
    <w:p w:rsidR="00AE7883" w:rsidRPr="00AC4AEA" w:rsidRDefault="00AE7883" w:rsidP="00A318EA">
      <w:pPr>
        <w:pStyle w:val="Ttulo1"/>
        <w:rPr>
          <w:rFonts w:cs="Arial"/>
          <w:sz w:val="20"/>
          <w:szCs w:val="20"/>
        </w:rPr>
      </w:pPr>
      <w:bookmarkStart w:id="465" w:name="BIENESuso"/>
      <w:bookmarkStart w:id="466" w:name="_Toc101863849"/>
      <w:bookmarkEnd w:id="465"/>
    </w:p>
    <w:p w:rsidR="00D458D6" w:rsidRPr="00AC4AEA" w:rsidRDefault="007373D4" w:rsidP="00A318EA">
      <w:pPr>
        <w:pStyle w:val="Ttulo1"/>
        <w:rPr>
          <w:rFonts w:cs="Arial"/>
          <w:sz w:val="20"/>
          <w:szCs w:val="20"/>
        </w:rPr>
      </w:pPr>
      <w:bookmarkStart w:id="467" w:name="_Toc139356718"/>
      <w:r w:rsidRPr="00AC4AEA">
        <w:rPr>
          <w:rFonts w:cs="Arial"/>
          <w:sz w:val="20"/>
          <w:szCs w:val="20"/>
        </w:rPr>
        <w:t>BIENES DE USO Y DEPRECIACIONES</w:t>
      </w:r>
      <w:bookmarkEnd w:id="466"/>
      <w:bookmarkEnd w:id="467"/>
    </w:p>
    <w:p w:rsidR="00D458D6" w:rsidRPr="002F0F38" w:rsidRDefault="00D458D6" w:rsidP="00A318EA">
      <w:pPr>
        <w:pStyle w:val="Ttulo2"/>
        <w:rPr>
          <w:rFonts w:cs="Arial"/>
        </w:rPr>
      </w:pPr>
      <w:bookmarkStart w:id="468" w:name="_Toc101863850"/>
      <w:bookmarkStart w:id="469" w:name="_Toc139356719"/>
      <w:r w:rsidRPr="002F0F38">
        <w:rPr>
          <w:rFonts w:cs="Arial"/>
        </w:rPr>
        <w:t>Definici</w:t>
      </w:r>
      <w:r w:rsidR="00DF47B8" w:rsidRPr="002F0F38">
        <w:rPr>
          <w:rFonts w:cs="Arial"/>
        </w:rPr>
        <w:t>ó</w:t>
      </w:r>
      <w:r w:rsidR="0082777F" w:rsidRPr="002F0F38">
        <w:rPr>
          <w:rFonts w:cs="Arial"/>
        </w:rPr>
        <w:t>n</w:t>
      </w:r>
      <w:bookmarkEnd w:id="468"/>
      <w:bookmarkEnd w:id="469"/>
      <w:r w:rsidRPr="002F0F38">
        <w:rPr>
          <w:rFonts w:cs="Arial"/>
        </w:rPr>
        <w:t xml:space="preserve"> </w:t>
      </w:r>
    </w:p>
    <w:p w:rsidR="0082777F" w:rsidRPr="00AC4AEA" w:rsidRDefault="0082777F" w:rsidP="00A318EA">
      <w:pPr>
        <w:pStyle w:val="A-Normal11"/>
        <w:numPr>
          <w:ilvl w:val="0"/>
          <w:numId w:val="29"/>
        </w:numPr>
        <w:jc w:val="both"/>
        <w:rPr>
          <w:rFonts w:ascii="Arial" w:hAnsi="Arial" w:cs="Arial"/>
          <w:sz w:val="20"/>
        </w:rPr>
      </w:pPr>
      <w:bookmarkStart w:id="470" w:name="_Ref74757440"/>
      <w:r w:rsidRPr="002F0F38">
        <w:rPr>
          <w:rFonts w:ascii="Arial" w:hAnsi="Arial" w:cs="Arial"/>
          <w:sz w:val="20"/>
        </w:rPr>
        <w:t xml:space="preserve">A los fines del tratamiento de los </w:t>
      </w:r>
      <w:r w:rsidR="00497590" w:rsidRPr="002F0F38">
        <w:rPr>
          <w:rFonts w:ascii="Arial" w:hAnsi="Arial" w:cs="Arial"/>
          <w:sz w:val="20"/>
        </w:rPr>
        <w:t>activos</w:t>
      </w:r>
      <w:r w:rsidRPr="002F0F38">
        <w:rPr>
          <w:rFonts w:ascii="Arial" w:hAnsi="Arial" w:cs="Arial"/>
          <w:sz w:val="20"/>
        </w:rPr>
        <w:t xml:space="preserve"> referidos en esta sección, una entidad deberá</w:t>
      </w:r>
      <w:r w:rsidRPr="00AC4AEA">
        <w:rPr>
          <w:rFonts w:ascii="Arial" w:hAnsi="Arial" w:cs="Arial"/>
          <w:sz w:val="20"/>
        </w:rPr>
        <w:t xml:space="preserve"> considerar la </w:t>
      </w:r>
      <w:r w:rsidR="00000B6A" w:rsidRPr="00AC4AEA">
        <w:rPr>
          <w:rFonts w:ascii="Arial" w:hAnsi="Arial" w:cs="Arial"/>
          <w:sz w:val="20"/>
        </w:rPr>
        <w:t>siguiente definición</w:t>
      </w:r>
      <w:r w:rsidRPr="00AC4AEA">
        <w:rPr>
          <w:rFonts w:ascii="Arial" w:hAnsi="Arial" w:cs="Arial"/>
          <w:sz w:val="20"/>
        </w:rPr>
        <w:t>.</w:t>
      </w:r>
      <w:bookmarkEnd w:id="470"/>
    </w:p>
    <w:p w:rsidR="006614EE" w:rsidRPr="00AC4AEA" w:rsidRDefault="000602F6" w:rsidP="00A318EA">
      <w:pPr>
        <w:ind w:left="1416"/>
        <w:jc w:val="both"/>
        <w:rPr>
          <w:rFonts w:ascii="Arial" w:hAnsi="Arial" w:cs="Arial"/>
          <w:sz w:val="20"/>
          <w:szCs w:val="20"/>
        </w:rPr>
      </w:pPr>
      <w:r w:rsidRPr="00AC4AEA">
        <w:rPr>
          <w:rFonts w:ascii="Arial" w:hAnsi="Arial" w:cs="Arial"/>
          <w:sz w:val="20"/>
          <w:szCs w:val="20"/>
          <w:u w:val="single"/>
        </w:rPr>
        <w:t>Bienes de uso</w:t>
      </w:r>
      <w:r w:rsidRPr="00AC4AEA">
        <w:rPr>
          <w:rFonts w:ascii="Arial" w:hAnsi="Arial" w:cs="Arial"/>
          <w:b/>
          <w:bCs/>
          <w:sz w:val="20"/>
          <w:szCs w:val="20"/>
        </w:rPr>
        <w:t xml:space="preserve">: </w:t>
      </w:r>
      <w:r w:rsidR="00D458D6" w:rsidRPr="00AC4AEA">
        <w:rPr>
          <w:rFonts w:ascii="Arial" w:hAnsi="Arial" w:cs="Arial"/>
          <w:sz w:val="20"/>
          <w:szCs w:val="20"/>
        </w:rPr>
        <w:t xml:space="preserve">Son </w:t>
      </w:r>
      <w:r w:rsidR="00497590" w:rsidRPr="00AC4AEA">
        <w:rPr>
          <w:rFonts w:ascii="Arial" w:hAnsi="Arial" w:cs="Arial"/>
          <w:sz w:val="20"/>
          <w:szCs w:val="20"/>
        </w:rPr>
        <w:t>activos</w:t>
      </w:r>
      <w:r w:rsidR="00DF48BE" w:rsidRPr="00AC4AEA">
        <w:rPr>
          <w:rFonts w:ascii="Arial" w:hAnsi="Arial" w:cs="Arial"/>
          <w:sz w:val="20"/>
          <w:szCs w:val="20"/>
        </w:rPr>
        <w:t xml:space="preserve"> </w:t>
      </w:r>
      <w:r w:rsidR="00D458D6" w:rsidRPr="00AC4AEA">
        <w:rPr>
          <w:rFonts w:ascii="Arial" w:hAnsi="Arial" w:cs="Arial"/>
          <w:sz w:val="20"/>
          <w:szCs w:val="20"/>
        </w:rPr>
        <w:t>tangibles</w:t>
      </w:r>
      <w:r w:rsidR="006614EE" w:rsidRPr="00AC4AEA">
        <w:rPr>
          <w:rFonts w:ascii="Arial" w:hAnsi="Arial" w:cs="Arial"/>
          <w:sz w:val="20"/>
          <w:szCs w:val="20"/>
        </w:rPr>
        <w:t>:</w:t>
      </w:r>
      <w:r w:rsidR="00D458D6" w:rsidRPr="00AC4AEA">
        <w:rPr>
          <w:rFonts w:ascii="Arial" w:hAnsi="Arial" w:cs="Arial"/>
          <w:sz w:val="20"/>
          <w:szCs w:val="20"/>
        </w:rPr>
        <w:t xml:space="preserve"> </w:t>
      </w:r>
    </w:p>
    <w:p w:rsidR="006614EE" w:rsidRPr="00AC4AEA" w:rsidRDefault="00D458D6" w:rsidP="00A318EA">
      <w:pPr>
        <w:pStyle w:val="A-Normal11"/>
        <w:numPr>
          <w:ilvl w:val="0"/>
          <w:numId w:val="16"/>
        </w:numPr>
        <w:ind w:left="1982" w:hanging="567"/>
        <w:jc w:val="both"/>
        <w:rPr>
          <w:rFonts w:ascii="Arial" w:hAnsi="Arial" w:cs="Arial"/>
          <w:sz w:val="20"/>
        </w:rPr>
      </w:pPr>
      <w:r w:rsidRPr="00AC4AEA">
        <w:rPr>
          <w:rFonts w:ascii="Arial" w:hAnsi="Arial" w:cs="Arial"/>
          <w:sz w:val="20"/>
        </w:rPr>
        <w:t xml:space="preserve">destinados a ser utilizados en la </w:t>
      </w:r>
      <w:r w:rsidRPr="00AC4AEA">
        <w:rPr>
          <w:rFonts w:ascii="Arial" w:hAnsi="Arial" w:cs="Arial"/>
          <w:b/>
          <w:bCs/>
          <w:sz w:val="20"/>
        </w:rPr>
        <w:t xml:space="preserve">actividad </w:t>
      </w:r>
      <w:r w:rsidR="00031A71" w:rsidRPr="00AC4AEA">
        <w:rPr>
          <w:rFonts w:ascii="Arial" w:hAnsi="Arial" w:cs="Arial"/>
          <w:b/>
          <w:bCs/>
          <w:sz w:val="20"/>
        </w:rPr>
        <w:t>ordinaria</w:t>
      </w:r>
      <w:r w:rsidRPr="00AC4AEA">
        <w:rPr>
          <w:rFonts w:ascii="Arial" w:hAnsi="Arial" w:cs="Arial"/>
          <w:sz w:val="20"/>
        </w:rPr>
        <w:t xml:space="preserve"> de la entidad y no a la venta habitual</w:t>
      </w:r>
      <w:r w:rsidR="005559E7" w:rsidRPr="00AC4AEA">
        <w:rPr>
          <w:rFonts w:ascii="Arial" w:hAnsi="Arial" w:cs="Arial"/>
          <w:sz w:val="20"/>
        </w:rPr>
        <w:t xml:space="preserve"> (producción y suministro de bienes y servicios</w:t>
      </w:r>
      <w:r w:rsidR="00A77872" w:rsidRPr="00AC4AEA">
        <w:rPr>
          <w:rFonts w:ascii="Arial" w:hAnsi="Arial" w:cs="Arial"/>
          <w:sz w:val="20"/>
        </w:rPr>
        <w:t>, o para funciones relacionadas con la administración</w:t>
      </w:r>
      <w:r w:rsidR="008C744F" w:rsidRPr="00AC4AEA">
        <w:rPr>
          <w:rFonts w:ascii="Arial" w:hAnsi="Arial" w:cs="Arial"/>
          <w:sz w:val="20"/>
        </w:rPr>
        <w:t xml:space="preserve"> de la entidad); y </w:t>
      </w:r>
    </w:p>
    <w:p w:rsidR="0082777F" w:rsidRPr="00AC4AEA" w:rsidRDefault="00EB7CE2" w:rsidP="00A318EA">
      <w:pPr>
        <w:pStyle w:val="A-Normal11"/>
        <w:numPr>
          <w:ilvl w:val="0"/>
          <w:numId w:val="16"/>
        </w:numPr>
        <w:ind w:left="1982" w:hanging="567"/>
        <w:jc w:val="both"/>
        <w:rPr>
          <w:rFonts w:ascii="Arial" w:hAnsi="Arial" w:cs="Arial"/>
          <w:sz w:val="20"/>
        </w:rPr>
      </w:pPr>
      <w:r w:rsidRPr="00AC4AEA">
        <w:rPr>
          <w:rFonts w:ascii="Arial" w:hAnsi="Arial" w:cs="Arial"/>
          <w:sz w:val="20"/>
        </w:rPr>
        <w:t xml:space="preserve">que </w:t>
      </w:r>
      <w:r w:rsidR="008C744F" w:rsidRPr="00AC4AEA">
        <w:rPr>
          <w:rFonts w:ascii="Arial" w:hAnsi="Arial" w:cs="Arial"/>
          <w:sz w:val="20"/>
        </w:rPr>
        <w:t>se espera utilizar durante más de un período</w:t>
      </w:r>
      <w:r w:rsidR="0082777F" w:rsidRPr="00AC4AEA">
        <w:rPr>
          <w:rFonts w:ascii="Arial" w:hAnsi="Arial" w:cs="Arial"/>
          <w:sz w:val="20"/>
        </w:rPr>
        <w:t>.</w:t>
      </w:r>
    </w:p>
    <w:p w:rsidR="0082777F" w:rsidRPr="00AC4AEA" w:rsidRDefault="0082777F" w:rsidP="00A318EA">
      <w:pPr>
        <w:ind w:left="1416"/>
        <w:jc w:val="both"/>
        <w:rPr>
          <w:rFonts w:ascii="Arial" w:hAnsi="Arial" w:cs="Arial"/>
          <w:sz w:val="20"/>
          <w:szCs w:val="20"/>
        </w:rPr>
      </w:pPr>
      <w:r w:rsidRPr="00AC4AEA">
        <w:rPr>
          <w:rFonts w:ascii="Arial" w:hAnsi="Arial" w:cs="Arial"/>
          <w:sz w:val="20"/>
          <w:szCs w:val="20"/>
        </w:rPr>
        <w:t>Este rubro incluye</w:t>
      </w:r>
      <w:r w:rsidR="00D053BF" w:rsidRPr="00AC4AEA">
        <w:rPr>
          <w:rFonts w:ascii="Arial" w:hAnsi="Arial" w:cs="Arial"/>
          <w:sz w:val="20"/>
          <w:szCs w:val="20"/>
        </w:rPr>
        <w:t xml:space="preserve"> a</w:t>
      </w:r>
      <w:r w:rsidRPr="00AC4AEA">
        <w:rPr>
          <w:rFonts w:ascii="Arial" w:hAnsi="Arial" w:cs="Arial"/>
          <w:sz w:val="20"/>
          <w:szCs w:val="20"/>
        </w:rPr>
        <w:t>:</w:t>
      </w:r>
    </w:p>
    <w:p w:rsidR="0082777F" w:rsidRPr="00AC4AEA" w:rsidRDefault="006A05A4" w:rsidP="00A318EA">
      <w:pPr>
        <w:pStyle w:val="A-Normal11"/>
        <w:numPr>
          <w:ilvl w:val="0"/>
          <w:numId w:val="318"/>
        </w:numPr>
        <w:ind w:left="1985" w:hanging="567"/>
        <w:jc w:val="both"/>
        <w:rPr>
          <w:rFonts w:ascii="Arial" w:hAnsi="Arial" w:cs="Arial"/>
          <w:sz w:val="20"/>
        </w:rPr>
      </w:pPr>
      <w:r w:rsidRPr="00AC4AEA">
        <w:rPr>
          <w:rFonts w:ascii="Arial" w:hAnsi="Arial" w:cs="Arial"/>
          <w:sz w:val="20"/>
        </w:rPr>
        <w:t>l</w:t>
      </w:r>
      <w:r w:rsidR="0082777F" w:rsidRPr="00AC4AEA">
        <w:rPr>
          <w:rFonts w:ascii="Arial" w:hAnsi="Arial" w:cs="Arial"/>
          <w:sz w:val="20"/>
        </w:rPr>
        <w:t xml:space="preserve">os </w:t>
      </w:r>
      <w:r w:rsidR="00907F42" w:rsidRPr="00AC4AEA">
        <w:rPr>
          <w:rFonts w:ascii="Arial" w:hAnsi="Arial" w:cs="Arial"/>
          <w:sz w:val="20"/>
        </w:rPr>
        <w:t xml:space="preserve">bienes de uso </w:t>
      </w:r>
      <w:r w:rsidR="0082777F" w:rsidRPr="00AC4AEA">
        <w:rPr>
          <w:rFonts w:ascii="Arial" w:hAnsi="Arial" w:cs="Arial"/>
          <w:sz w:val="20"/>
        </w:rPr>
        <w:t>en proceso de producción, construcción, tránsito o montaje</w:t>
      </w:r>
      <w:r w:rsidR="008741A6" w:rsidRPr="00AC4AEA">
        <w:rPr>
          <w:rFonts w:ascii="Arial" w:hAnsi="Arial" w:cs="Arial"/>
          <w:sz w:val="20"/>
        </w:rPr>
        <w:t>;</w:t>
      </w:r>
    </w:p>
    <w:p w:rsidR="0082777F" w:rsidRPr="00AC4AEA" w:rsidRDefault="007D7512" w:rsidP="00A318EA">
      <w:pPr>
        <w:pStyle w:val="A-Normal11"/>
        <w:numPr>
          <w:ilvl w:val="0"/>
          <w:numId w:val="318"/>
        </w:numPr>
        <w:ind w:left="1982" w:hanging="567"/>
        <w:jc w:val="both"/>
        <w:rPr>
          <w:rFonts w:ascii="Arial" w:hAnsi="Arial" w:cs="Arial"/>
          <w:sz w:val="20"/>
        </w:rPr>
      </w:pPr>
      <w:r w:rsidRPr="00AC4AEA">
        <w:rPr>
          <w:rFonts w:ascii="Arial" w:hAnsi="Arial" w:cs="Arial"/>
          <w:sz w:val="20"/>
        </w:rPr>
        <w:t xml:space="preserve">los </w:t>
      </w:r>
      <w:r w:rsidRPr="00AC4AEA">
        <w:rPr>
          <w:rFonts w:ascii="Arial" w:hAnsi="Arial" w:cs="Arial"/>
          <w:b/>
          <w:bCs/>
          <w:sz w:val="20"/>
        </w:rPr>
        <w:t>activos biológicos utilizados como factor de producción en el curso normal de la</w:t>
      </w:r>
      <w:r w:rsidR="00124C5E" w:rsidRPr="00AC4AEA">
        <w:rPr>
          <w:rFonts w:ascii="Arial" w:hAnsi="Arial" w:cs="Arial"/>
          <w:b/>
          <w:bCs/>
          <w:sz w:val="20"/>
        </w:rPr>
        <w:t>s</w:t>
      </w:r>
      <w:r w:rsidRPr="00AC4AEA">
        <w:rPr>
          <w:rFonts w:ascii="Arial" w:hAnsi="Arial" w:cs="Arial"/>
          <w:b/>
          <w:bCs/>
          <w:sz w:val="20"/>
        </w:rPr>
        <w:t xml:space="preserve"> </w:t>
      </w:r>
      <w:r w:rsidR="00124C5E" w:rsidRPr="00AC4AEA">
        <w:rPr>
          <w:rFonts w:ascii="Arial" w:hAnsi="Arial" w:cs="Arial"/>
          <w:b/>
          <w:bCs/>
          <w:sz w:val="20"/>
        </w:rPr>
        <w:t>operaciones</w:t>
      </w:r>
      <w:r w:rsidR="00903E3A" w:rsidRPr="00AC4AEA">
        <w:rPr>
          <w:rFonts w:ascii="Arial" w:hAnsi="Arial" w:cs="Arial"/>
          <w:sz w:val="20"/>
        </w:rPr>
        <w:t>; y</w:t>
      </w:r>
    </w:p>
    <w:p w:rsidR="0082777F" w:rsidRPr="00AC4AEA" w:rsidRDefault="006A05A4" w:rsidP="00A318EA">
      <w:pPr>
        <w:pStyle w:val="A-Normal11"/>
        <w:numPr>
          <w:ilvl w:val="0"/>
          <w:numId w:val="318"/>
        </w:numPr>
        <w:ind w:left="1982" w:hanging="567"/>
        <w:jc w:val="both"/>
        <w:rPr>
          <w:rFonts w:ascii="Arial" w:hAnsi="Arial" w:cs="Arial"/>
          <w:sz w:val="20"/>
        </w:rPr>
      </w:pPr>
      <w:r w:rsidRPr="00AC4AEA">
        <w:rPr>
          <w:rFonts w:ascii="Arial" w:hAnsi="Arial" w:cs="Arial"/>
          <w:sz w:val="20"/>
        </w:rPr>
        <w:t>l</w:t>
      </w:r>
      <w:r w:rsidR="00C97D5F" w:rsidRPr="00AC4AEA">
        <w:rPr>
          <w:rFonts w:ascii="Arial" w:hAnsi="Arial" w:cs="Arial"/>
          <w:sz w:val="20"/>
        </w:rPr>
        <w:t>os b</w:t>
      </w:r>
      <w:r w:rsidR="0082777F" w:rsidRPr="00AC4AEA">
        <w:rPr>
          <w:rFonts w:ascii="Arial" w:hAnsi="Arial" w:cs="Arial"/>
          <w:sz w:val="20"/>
        </w:rPr>
        <w:t>ienes, distintos a propiedades de inversión, afectados a locación o arrendamiento</w:t>
      </w:r>
      <w:r w:rsidR="00C97D5F" w:rsidRPr="00AC4AEA">
        <w:rPr>
          <w:rFonts w:ascii="Arial" w:hAnsi="Arial" w:cs="Arial"/>
          <w:sz w:val="20"/>
        </w:rPr>
        <w:t>.</w:t>
      </w:r>
    </w:p>
    <w:p w:rsidR="00DF48BE" w:rsidRPr="00AC4AEA" w:rsidRDefault="00ED6C6E" w:rsidP="00A318EA">
      <w:pPr>
        <w:ind w:left="1416"/>
        <w:jc w:val="both"/>
        <w:rPr>
          <w:rFonts w:ascii="Arial" w:hAnsi="Arial" w:cs="Arial"/>
          <w:sz w:val="20"/>
          <w:szCs w:val="20"/>
        </w:rPr>
      </w:pPr>
      <w:r w:rsidRPr="00AC4AEA">
        <w:rPr>
          <w:rFonts w:ascii="Arial" w:hAnsi="Arial" w:cs="Arial"/>
          <w:sz w:val="20"/>
          <w:szCs w:val="20"/>
        </w:rPr>
        <w:t>Este rubro excluye</w:t>
      </w:r>
      <w:r w:rsidR="00D053BF" w:rsidRPr="00AC4AEA">
        <w:rPr>
          <w:rFonts w:ascii="Arial" w:hAnsi="Arial" w:cs="Arial"/>
          <w:sz w:val="20"/>
          <w:szCs w:val="20"/>
        </w:rPr>
        <w:t xml:space="preserve"> a</w:t>
      </w:r>
      <w:r w:rsidR="00DF48BE" w:rsidRPr="00AC4AEA">
        <w:rPr>
          <w:rFonts w:ascii="Arial" w:hAnsi="Arial" w:cs="Arial"/>
          <w:sz w:val="20"/>
          <w:szCs w:val="20"/>
        </w:rPr>
        <w:t>:</w:t>
      </w:r>
      <w:r w:rsidRPr="00AC4AEA">
        <w:rPr>
          <w:rFonts w:ascii="Arial" w:hAnsi="Arial" w:cs="Arial"/>
          <w:sz w:val="20"/>
          <w:szCs w:val="20"/>
        </w:rPr>
        <w:t xml:space="preserve"> </w:t>
      </w:r>
    </w:p>
    <w:p w:rsidR="00F65285" w:rsidRPr="00AC4AEA" w:rsidRDefault="00ED6C6E" w:rsidP="00A318EA">
      <w:pPr>
        <w:pStyle w:val="A-Normal11"/>
        <w:numPr>
          <w:ilvl w:val="0"/>
          <w:numId w:val="257"/>
        </w:numPr>
        <w:ind w:left="1982" w:hanging="567"/>
        <w:jc w:val="both"/>
        <w:rPr>
          <w:rFonts w:ascii="Arial" w:hAnsi="Arial" w:cs="Arial"/>
          <w:sz w:val="20"/>
        </w:rPr>
      </w:pPr>
      <w:r w:rsidRPr="00AC4AEA">
        <w:rPr>
          <w:rFonts w:ascii="Arial" w:hAnsi="Arial" w:cs="Arial"/>
          <w:sz w:val="20"/>
        </w:rPr>
        <w:t xml:space="preserve">los inmuebles que cumplen la definición de </w:t>
      </w:r>
      <w:r w:rsidRPr="00AC4AEA">
        <w:rPr>
          <w:rFonts w:ascii="Arial" w:hAnsi="Arial" w:cs="Arial"/>
          <w:b/>
          <w:bCs/>
          <w:sz w:val="20"/>
        </w:rPr>
        <w:t>“</w:t>
      </w:r>
      <w:r w:rsidR="00A5347B" w:rsidRPr="00AC4AEA">
        <w:rPr>
          <w:rFonts w:ascii="Arial" w:hAnsi="Arial" w:cs="Arial"/>
          <w:sz w:val="20"/>
          <w:u w:val="single"/>
        </w:rPr>
        <w:t>P</w:t>
      </w:r>
      <w:r w:rsidRPr="00AC4AEA">
        <w:rPr>
          <w:rFonts w:ascii="Arial" w:hAnsi="Arial" w:cs="Arial"/>
          <w:sz w:val="20"/>
          <w:u w:val="single"/>
        </w:rPr>
        <w:t>ropiedades de inversión</w:t>
      </w:r>
      <w:r w:rsidRPr="00AC4AEA">
        <w:rPr>
          <w:rFonts w:ascii="Arial" w:hAnsi="Arial" w:cs="Arial"/>
          <w:b/>
          <w:bCs/>
          <w:sz w:val="20"/>
        </w:rPr>
        <w:t>”</w:t>
      </w:r>
      <w:r w:rsidR="00000B6A" w:rsidRPr="00AC4AEA">
        <w:rPr>
          <w:rFonts w:ascii="Arial" w:hAnsi="Arial" w:cs="Arial"/>
          <w:b/>
          <w:bCs/>
          <w:sz w:val="20"/>
        </w:rPr>
        <w:t xml:space="preserve"> </w:t>
      </w:r>
      <w:r w:rsidR="00000B6A" w:rsidRPr="00AC4AEA">
        <w:rPr>
          <w:rFonts w:ascii="Arial" w:hAnsi="Arial" w:cs="Arial"/>
          <w:sz w:val="20"/>
        </w:rPr>
        <w:t xml:space="preserve">[ver el párrafo </w:t>
      </w:r>
      <w:fldSimple w:instr=" REF _Ref75786609 \r \h  \* MERGEFORMAT ">
        <w:r w:rsidR="00D33A5D" w:rsidRPr="00D33A5D">
          <w:rPr>
            <w:rFonts w:ascii="Arial" w:hAnsi="Arial" w:cs="Arial"/>
            <w:sz w:val="20"/>
          </w:rPr>
          <w:t>359</w:t>
        </w:r>
      </w:fldSimple>
      <w:r w:rsidR="00000B6A" w:rsidRPr="00AC4AEA">
        <w:rPr>
          <w:rFonts w:ascii="Arial" w:hAnsi="Arial" w:cs="Arial"/>
          <w:sz w:val="20"/>
        </w:rPr>
        <w:t>]</w:t>
      </w:r>
      <w:r w:rsidR="00DF48BE" w:rsidRPr="00AC4AEA">
        <w:rPr>
          <w:rFonts w:ascii="Arial" w:hAnsi="Arial" w:cs="Arial"/>
          <w:sz w:val="20"/>
        </w:rPr>
        <w:t xml:space="preserve">; </w:t>
      </w:r>
    </w:p>
    <w:p w:rsidR="00F65285" w:rsidRPr="00AC4AEA" w:rsidRDefault="00F65285" w:rsidP="00A318EA">
      <w:pPr>
        <w:pStyle w:val="A-Normal11"/>
        <w:numPr>
          <w:ilvl w:val="0"/>
          <w:numId w:val="257"/>
        </w:numPr>
        <w:ind w:left="1982" w:hanging="567"/>
        <w:jc w:val="both"/>
        <w:rPr>
          <w:rFonts w:ascii="Arial" w:hAnsi="Arial" w:cs="Arial"/>
          <w:sz w:val="20"/>
        </w:rPr>
      </w:pPr>
      <w:r w:rsidRPr="00AC4AEA">
        <w:rPr>
          <w:rFonts w:ascii="Arial" w:hAnsi="Arial" w:cs="Arial"/>
          <w:sz w:val="20"/>
        </w:rPr>
        <w:t>los bienes de uso</w:t>
      </w:r>
      <w:r w:rsidR="009E1E04" w:rsidRPr="00AC4AEA">
        <w:rPr>
          <w:rFonts w:ascii="Arial" w:hAnsi="Arial" w:cs="Arial"/>
          <w:sz w:val="20"/>
        </w:rPr>
        <w:t xml:space="preserve"> clasificados como “</w:t>
      </w:r>
      <w:r w:rsidR="00497590" w:rsidRPr="00AC4AEA">
        <w:rPr>
          <w:rFonts w:ascii="Arial" w:hAnsi="Arial" w:cs="Arial"/>
          <w:sz w:val="20"/>
          <w:u w:val="single"/>
        </w:rPr>
        <w:t>Activos</w:t>
      </w:r>
      <w:r w:rsidR="009E1E04" w:rsidRPr="00AC4AEA">
        <w:rPr>
          <w:rFonts w:ascii="Arial" w:hAnsi="Arial" w:cs="Arial"/>
          <w:sz w:val="20"/>
          <w:u w:val="single"/>
        </w:rPr>
        <w:t xml:space="preserve"> no corrientes mantenidos para la venta</w:t>
      </w:r>
      <w:r w:rsidR="009E1E04" w:rsidRPr="00AC4AEA">
        <w:rPr>
          <w:rFonts w:ascii="Arial" w:hAnsi="Arial" w:cs="Arial"/>
          <w:sz w:val="20"/>
        </w:rPr>
        <w:t>”</w:t>
      </w:r>
      <w:r w:rsidR="00000B6A" w:rsidRPr="00AC4AEA">
        <w:rPr>
          <w:rFonts w:ascii="Arial" w:hAnsi="Arial" w:cs="Arial"/>
          <w:sz w:val="20"/>
        </w:rPr>
        <w:t xml:space="preserve"> [ver el párrafo </w:t>
      </w:r>
      <w:fldSimple w:instr=" REF _Ref74758072 \r \h  \* MERGEFORMAT ">
        <w:r w:rsidR="00D33A5D" w:rsidRPr="00D33A5D">
          <w:rPr>
            <w:rFonts w:ascii="Arial" w:hAnsi="Arial" w:cs="Arial"/>
            <w:sz w:val="20"/>
          </w:rPr>
          <w:t>416</w:t>
        </w:r>
      </w:fldSimple>
      <w:r w:rsidR="00000B6A" w:rsidRPr="00AC4AEA">
        <w:rPr>
          <w:rFonts w:ascii="Arial" w:hAnsi="Arial" w:cs="Arial"/>
          <w:sz w:val="20"/>
        </w:rPr>
        <w:t>]</w:t>
      </w:r>
      <w:r w:rsidR="009E1E04" w:rsidRPr="00AC4AEA">
        <w:rPr>
          <w:rFonts w:ascii="Arial" w:hAnsi="Arial" w:cs="Arial"/>
          <w:sz w:val="20"/>
        </w:rPr>
        <w:t xml:space="preserve">; </w:t>
      </w:r>
      <w:r w:rsidR="007D7512" w:rsidRPr="00AC4AEA">
        <w:rPr>
          <w:rFonts w:ascii="Arial" w:hAnsi="Arial" w:cs="Arial"/>
          <w:sz w:val="20"/>
        </w:rPr>
        <w:t>y</w:t>
      </w:r>
    </w:p>
    <w:p w:rsidR="00AA4E9A" w:rsidRPr="00AC4AEA" w:rsidRDefault="00AA4E9A" w:rsidP="00A318EA">
      <w:pPr>
        <w:pStyle w:val="A-Normal11"/>
        <w:numPr>
          <w:ilvl w:val="0"/>
          <w:numId w:val="257"/>
        </w:numPr>
        <w:ind w:left="1982" w:hanging="567"/>
        <w:jc w:val="both"/>
        <w:rPr>
          <w:rFonts w:ascii="Arial" w:hAnsi="Arial" w:cs="Arial"/>
          <w:sz w:val="20"/>
        </w:rPr>
      </w:pPr>
      <w:r w:rsidRPr="00AC4AEA">
        <w:rPr>
          <w:rFonts w:ascii="Arial" w:hAnsi="Arial" w:cs="Arial"/>
          <w:sz w:val="20"/>
        </w:rPr>
        <w:lastRenderedPageBreak/>
        <w:t xml:space="preserve">los </w:t>
      </w:r>
      <w:r w:rsidR="00497590" w:rsidRPr="00AC4AEA">
        <w:rPr>
          <w:rFonts w:ascii="Arial" w:hAnsi="Arial" w:cs="Arial"/>
          <w:sz w:val="20"/>
        </w:rPr>
        <w:t>activos</w:t>
      </w:r>
      <w:r w:rsidR="00C46D8B" w:rsidRPr="00AC4AEA">
        <w:rPr>
          <w:rFonts w:ascii="Arial" w:hAnsi="Arial" w:cs="Arial"/>
          <w:sz w:val="20"/>
        </w:rPr>
        <w:t xml:space="preserve"> de naturaleza similar, pero </w:t>
      </w:r>
      <w:r w:rsidRPr="00AC4AEA">
        <w:rPr>
          <w:rFonts w:ascii="Arial" w:hAnsi="Arial" w:cs="Arial"/>
          <w:sz w:val="20"/>
        </w:rPr>
        <w:t>exp</w:t>
      </w:r>
      <w:r w:rsidR="005C52BE" w:rsidRPr="00AC4AEA">
        <w:rPr>
          <w:rFonts w:ascii="Arial" w:hAnsi="Arial" w:cs="Arial"/>
          <w:sz w:val="20"/>
        </w:rPr>
        <w:t xml:space="preserve">resamente incluidos en otra sección </w:t>
      </w:r>
      <w:r w:rsidR="00C46D8B" w:rsidRPr="00AC4AEA">
        <w:rPr>
          <w:rFonts w:ascii="Arial" w:hAnsi="Arial" w:cs="Arial"/>
          <w:sz w:val="20"/>
        </w:rPr>
        <w:t xml:space="preserve">o apartado </w:t>
      </w:r>
      <w:r w:rsidR="005C52BE" w:rsidRPr="00AC4AEA">
        <w:rPr>
          <w:rFonts w:ascii="Arial" w:hAnsi="Arial" w:cs="Arial"/>
          <w:sz w:val="20"/>
        </w:rPr>
        <w:t xml:space="preserve">de esta Resolución Técnica, o en </w:t>
      </w:r>
      <w:r w:rsidR="005C52BE" w:rsidRPr="00AC4AEA">
        <w:rPr>
          <w:rFonts w:ascii="Arial" w:hAnsi="Arial" w:cs="Arial"/>
          <w:b/>
          <w:bCs/>
          <w:sz w:val="20"/>
        </w:rPr>
        <w:t>otras normas contables</w:t>
      </w:r>
      <w:r w:rsidR="005C52BE" w:rsidRPr="00AC4AEA">
        <w:rPr>
          <w:rFonts w:ascii="Arial" w:hAnsi="Arial" w:cs="Arial"/>
          <w:sz w:val="20"/>
        </w:rPr>
        <w:t>.</w:t>
      </w:r>
    </w:p>
    <w:p w:rsidR="00ED6C6E" w:rsidRPr="00AC4AEA" w:rsidRDefault="00ED6C6E" w:rsidP="00A318EA">
      <w:pPr>
        <w:jc w:val="both"/>
        <w:rPr>
          <w:rFonts w:ascii="Arial" w:hAnsi="Arial" w:cs="Arial"/>
          <w:sz w:val="20"/>
          <w:szCs w:val="20"/>
        </w:rPr>
      </w:pPr>
    </w:p>
    <w:p w:rsidR="00D458D6" w:rsidRPr="00AC4AEA" w:rsidRDefault="00D458D6" w:rsidP="00A318EA">
      <w:pPr>
        <w:pStyle w:val="Ttulo2"/>
        <w:rPr>
          <w:rFonts w:cs="Arial"/>
        </w:rPr>
      </w:pPr>
      <w:bookmarkStart w:id="471" w:name="_Toc101863851"/>
      <w:bookmarkStart w:id="472" w:name="_Toc139356720"/>
      <w:r w:rsidRPr="00AC4AEA">
        <w:rPr>
          <w:rFonts w:cs="Arial"/>
        </w:rPr>
        <w:t>Reconocimiento</w:t>
      </w:r>
      <w:bookmarkEnd w:id="471"/>
      <w:bookmarkEnd w:id="472"/>
    </w:p>
    <w:p w:rsidR="00D458D6" w:rsidRPr="00AC4AEA" w:rsidRDefault="00D458D6" w:rsidP="00A318EA">
      <w:pPr>
        <w:pStyle w:val="A-Normal11"/>
        <w:numPr>
          <w:ilvl w:val="0"/>
          <w:numId w:val="29"/>
        </w:numPr>
        <w:jc w:val="both"/>
        <w:rPr>
          <w:rFonts w:ascii="Arial" w:hAnsi="Arial" w:cs="Arial"/>
          <w:sz w:val="20"/>
        </w:rPr>
      </w:pPr>
      <w:r w:rsidRPr="00AC4AEA">
        <w:rPr>
          <w:rFonts w:ascii="Arial" w:hAnsi="Arial" w:cs="Arial"/>
          <w:sz w:val="20"/>
        </w:rPr>
        <w:t xml:space="preserve">Una entidad reconocerá un elemento </w:t>
      </w:r>
      <w:r w:rsidR="007139C3" w:rsidRPr="00AC4AEA">
        <w:rPr>
          <w:rFonts w:ascii="Arial" w:hAnsi="Arial" w:cs="Arial"/>
          <w:sz w:val="20"/>
        </w:rPr>
        <w:t>como</w:t>
      </w:r>
      <w:r w:rsidRPr="00AC4AEA">
        <w:rPr>
          <w:rFonts w:ascii="Arial" w:hAnsi="Arial" w:cs="Arial"/>
          <w:sz w:val="20"/>
        </w:rPr>
        <w:t xml:space="preserve"> bien de uso cuando: </w:t>
      </w:r>
    </w:p>
    <w:p w:rsidR="003E4070" w:rsidRPr="00AC4AEA" w:rsidRDefault="003E4070" w:rsidP="00A318EA">
      <w:pPr>
        <w:pStyle w:val="Prrafodelista"/>
        <w:numPr>
          <w:ilvl w:val="0"/>
          <w:numId w:val="79"/>
        </w:numPr>
        <w:ind w:left="1559"/>
        <w:contextualSpacing w:val="0"/>
        <w:jc w:val="both"/>
        <w:rPr>
          <w:rFonts w:ascii="Arial" w:hAnsi="Arial" w:cs="Arial"/>
          <w:sz w:val="20"/>
          <w:szCs w:val="20"/>
        </w:rPr>
      </w:pPr>
      <w:r w:rsidRPr="00AC4AEA">
        <w:rPr>
          <w:rFonts w:ascii="Arial" w:hAnsi="Arial" w:cs="Arial"/>
          <w:sz w:val="20"/>
          <w:szCs w:val="20"/>
        </w:rPr>
        <w:t xml:space="preserve">cumpla con </w:t>
      </w:r>
      <w:r w:rsidR="00180C5F" w:rsidRPr="00AC4AEA">
        <w:rPr>
          <w:rFonts w:ascii="Arial" w:hAnsi="Arial" w:cs="Arial"/>
          <w:sz w:val="20"/>
          <w:szCs w:val="20"/>
        </w:rPr>
        <w:t>la definición general del párrafo</w:t>
      </w:r>
      <w:r w:rsidRPr="00AC4AEA">
        <w:rPr>
          <w:rFonts w:ascii="Arial" w:hAnsi="Arial" w:cs="Arial"/>
          <w:sz w:val="20"/>
          <w:szCs w:val="20"/>
        </w:rPr>
        <w:t xml:space="preserve"> </w:t>
      </w:r>
      <w:fldSimple w:instr=" REF _Ref74755232 \r \h  \* MERGEFORMAT ">
        <w:r w:rsidR="00D33A5D" w:rsidRPr="00D33A5D">
          <w:rPr>
            <w:rFonts w:ascii="Arial" w:hAnsi="Arial" w:cs="Arial"/>
            <w:sz w:val="20"/>
            <w:szCs w:val="20"/>
          </w:rPr>
          <w:t>22</w:t>
        </w:r>
      </w:fldSimple>
      <w:r w:rsidRPr="00AC4AEA">
        <w:rPr>
          <w:rFonts w:ascii="Arial" w:hAnsi="Arial" w:cs="Arial"/>
          <w:sz w:val="20"/>
          <w:szCs w:val="20"/>
        </w:rPr>
        <w:t xml:space="preserve"> y</w:t>
      </w:r>
      <w:r w:rsidR="00180C5F" w:rsidRPr="00AC4AEA">
        <w:rPr>
          <w:rFonts w:ascii="Arial" w:hAnsi="Arial" w:cs="Arial"/>
          <w:sz w:val="20"/>
          <w:szCs w:val="20"/>
        </w:rPr>
        <w:t xml:space="preserve"> la definición específica contenida en el párrafo</w:t>
      </w:r>
      <w:r w:rsidRPr="00AC4AEA">
        <w:rPr>
          <w:rFonts w:ascii="Arial" w:hAnsi="Arial" w:cs="Arial"/>
          <w:sz w:val="20"/>
          <w:szCs w:val="20"/>
        </w:rPr>
        <w:t xml:space="preserve"> </w:t>
      </w:r>
      <w:fldSimple w:instr=" REF _Ref74757440 \r \h  \* MERGEFORMAT ">
        <w:r w:rsidR="00D33A5D" w:rsidRPr="00D33A5D">
          <w:rPr>
            <w:rFonts w:ascii="Arial" w:hAnsi="Arial" w:cs="Arial"/>
            <w:sz w:val="20"/>
            <w:szCs w:val="20"/>
          </w:rPr>
          <w:t>313</w:t>
        </w:r>
      </w:fldSimple>
      <w:r w:rsidRPr="00AC4AEA">
        <w:rPr>
          <w:rFonts w:ascii="Arial" w:hAnsi="Arial" w:cs="Arial"/>
          <w:sz w:val="20"/>
          <w:szCs w:val="20"/>
        </w:rPr>
        <w:t>;</w:t>
      </w:r>
    </w:p>
    <w:p w:rsidR="00D14901" w:rsidRPr="00AC4AEA" w:rsidRDefault="00D14901" w:rsidP="00A318EA">
      <w:pPr>
        <w:pStyle w:val="Prrafodelista"/>
        <w:numPr>
          <w:ilvl w:val="0"/>
          <w:numId w:val="79"/>
        </w:numPr>
        <w:ind w:left="1559"/>
        <w:contextualSpacing w:val="0"/>
        <w:jc w:val="both"/>
        <w:rPr>
          <w:rFonts w:ascii="Arial" w:hAnsi="Arial" w:cs="Arial"/>
          <w:sz w:val="20"/>
          <w:szCs w:val="20"/>
        </w:rPr>
      </w:pPr>
      <w:r w:rsidRPr="00AC4AEA">
        <w:rPr>
          <w:rFonts w:ascii="Arial" w:hAnsi="Arial" w:cs="Arial"/>
          <w:sz w:val="20"/>
          <w:szCs w:val="20"/>
        </w:rPr>
        <w:t xml:space="preserve">su medición satisfaga el requisito de </w:t>
      </w:r>
      <w:r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00180C5F" w:rsidRPr="00AC4AEA">
        <w:rPr>
          <w:rFonts w:ascii="Arial" w:hAnsi="Arial" w:cs="Arial"/>
          <w:b/>
          <w:bCs/>
          <w:sz w:val="20"/>
          <w:szCs w:val="20"/>
        </w:rPr>
        <w:t>;</w:t>
      </w:r>
      <w:r w:rsidRPr="00AC4AEA">
        <w:rPr>
          <w:rFonts w:ascii="Arial" w:hAnsi="Arial" w:cs="Arial"/>
          <w:sz w:val="20"/>
          <w:szCs w:val="20"/>
        </w:rPr>
        <w:t xml:space="preserve"> y</w:t>
      </w:r>
    </w:p>
    <w:p w:rsidR="001F27A0" w:rsidRPr="00AC4AEA" w:rsidRDefault="00D14901" w:rsidP="00A318EA">
      <w:pPr>
        <w:pStyle w:val="Prrafodelista"/>
        <w:numPr>
          <w:ilvl w:val="0"/>
          <w:numId w:val="79"/>
        </w:numPr>
        <w:ind w:left="1559"/>
        <w:contextualSpacing w:val="0"/>
        <w:jc w:val="both"/>
        <w:rPr>
          <w:rFonts w:ascii="Arial" w:hAnsi="Arial" w:cs="Arial"/>
          <w:sz w:val="20"/>
          <w:szCs w:val="20"/>
        </w:rPr>
      </w:pPr>
      <w:r w:rsidRPr="00AC4AEA">
        <w:rPr>
          <w:rFonts w:ascii="Arial" w:hAnsi="Arial" w:cs="Arial"/>
          <w:sz w:val="20"/>
          <w:szCs w:val="20"/>
        </w:rPr>
        <w:t xml:space="preserve">su contribución a los beneficios económicos futuros de la entidad </w:t>
      </w:r>
      <w:r w:rsidR="00F460EA" w:rsidRPr="00AC4AEA">
        <w:rPr>
          <w:rFonts w:ascii="Arial" w:hAnsi="Arial" w:cs="Arial"/>
          <w:sz w:val="20"/>
          <w:szCs w:val="20"/>
        </w:rPr>
        <w:t xml:space="preserve">resulte </w:t>
      </w:r>
      <w:r w:rsidR="00B645D7" w:rsidRPr="00AC4AEA">
        <w:rPr>
          <w:rFonts w:ascii="Arial" w:hAnsi="Arial" w:cs="Arial"/>
          <w:b/>
          <w:bCs/>
          <w:sz w:val="20"/>
          <w:szCs w:val="20"/>
        </w:rPr>
        <w:t>probable</w:t>
      </w:r>
      <w:r w:rsidRPr="00AC4AEA">
        <w:rPr>
          <w:rFonts w:ascii="Arial" w:hAnsi="Arial" w:cs="Arial"/>
          <w:sz w:val="20"/>
          <w:szCs w:val="20"/>
        </w:rPr>
        <w:t>.</w:t>
      </w:r>
      <w:r w:rsidR="001F27A0" w:rsidRPr="00AC4AEA">
        <w:rPr>
          <w:rFonts w:ascii="Arial" w:hAnsi="Arial" w:cs="Arial"/>
          <w:sz w:val="20"/>
          <w:szCs w:val="20"/>
        </w:rPr>
        <w:t xml:space="preserve"> </w:t>
      </w:r>
    </w:p>
    <w:p w:rsidR="00D458D6" w:rsidRPr="00AC4AEA" w:rsidRDefault="00D458D6" w:rsidP="00A318EA">
      <w:pPr>
        <w:jc w:val="both"/>
        <w:rPr>
          <w:rFonts w:ascii="Arial" w:hAnsi="Arial" w:cs="Arial"/>
          <w:b/>
          <w:bCs/>
          <w:sz w:val="20"/>
          <w:szCs w:val="20"/>
        </w:rPr>
      </w:pPr>
    </w:p>
    <w:p w:rsidR="00D458D6" w:rsidRPr="00AC4AEA" w:rsidRDefault="00D458D6" w:rsidP="00A318EA">
      <w:pPr>
        <w:pStyle w:val="Ttulo2"/>
        <w:rPr>
          <w:rFonts w:cs="Arial"/>
        </w:rPr>
      </w:pPr>
      <w:bookmarkStart w:id="473" w:name="_Toc101863852"/>
      <w:bookmarkStart w:id="474" w:name="_Toc139356721"/>
      <w:r w:rsidRPr="00AC4AEA">
        <w:rPr>
          <w:rFonts w:cs="Arial"/>
        </w:rPr>
        <w:t>Medición inicial</w:t>
      </w:r>
      <w:bookmarkEnd w:id="473"/>
      <w:bookmarkEnd w:id="474"/>
    </w:p>
    <w:p w:rsidR="00D458D6" w:rsidRPr="00AC4AEA" w:rsidRDefault="00D458D6" w:rsidP="00A318EA">
      <w:pPr>
        <w:pStyle w:val="A-Normal11"/>
        <w:numPr>
          <w:ilvl w:val="0"/>
          <w:numId w:val="29"/>
        </w:numPr>
        <w:jc w:val="both"/>
        <w:rPr>
          <w:rFonts w:ascii="Arial" w:hAnsi="Arial" w:cs="Arial"/>
          <w:sz w:val="20"/>
        </w:rPr>
      </w:pPr>
      <w:r w:rsidRPr="00AC4AEA">
        <w:rPr>
          <w:rFonts w:ascii="Arial" w:hAnsi="Arial" w:cs="Arial"/>
          <w:sz w:val="20"/>
        </w:rPr>
        <w:t>Una entidad medirá, en el momento del reconocimiento, los bienes de uso de acuerdo con los criterios indicados a continuación:</w:t>
      </w:r>
    </w:p>
    <w:p w:rsidR="00D458D6" w:rsidRPr="00AC4AEA" w:rsidRDefault="00D458D6" w:rsidP="00A318EA">
      <w:pPr>
        <w:pStyle w:val="A-Normal11"/>
        <w:numPr>
          <w:ilvl w:val="0"/>
          <w:numId w:val="25"/>
        </w:numPr>
        <w:ind w:left="1559" w:hanging="567"/>
        <w:jc w:val="both"/>
        <w:rPr>
          <w:rFonts w:ascii="Arial" w:hAnsi="Arial" w:cs="Arial"/>
          <w:sz w:val="20"/>
        </w:rPr>
      </w:pPr>
      <w:r w:rsidRPr="00AC4AEA">
        <w:rPr>
          <w:rFonts w:ascii="Arial" w:hAnsi="Arial" w:cs="Arial"/>
          <w:sz w:val="20"/>
        </w:rPr>
        <w:t xml:space="preserve">Bienes </w:t>
      </w:r>
      <w:r w:rsidR="005E605E" w:rsidRPr="00AC4AEA">
        <w:rPr>
          <w:rFonts w:ascii="Arial" w:hAnsi="Arial" w:cs="Arial"/>
          <w:sz w:val="20"/>
        </w:rPr>
        <w:t xml:space="preserve">de uso </w:t>
      </w:r>
      <w:r w:rsidRPr="00AC4AEA">
        <w:rPr>
          <w:rFonts w:ascii="Arial" w:hAnsi="Arial" w:cs="Arial"/>
          <w:sz w:val="20"/>
        </w:rPr>
        <w:t xml:space="preserve">adquiridos: sobre la base de su </w:t>
      </w:r>
      <w:r w:rsidRPr="00AC4AEA">
        <w:rPr>
          <w:rFonts w:ascii="Arial" w:hAnsi="Arial" w:cs="Arial"/>
          <w:b/>
          <w:sz w:val="20"/>
        </w:rPr>
        <w:t>costo de adquisición</w:t>
      </w:r>
      <w:r w:rsidR="006368CB" w:rsidRPr="00AC4AEA">
        <w:rPr>
          <w:rFonts w:ascii="Arial" w:hAnsi="Arial" w:cs="Arial"/>
          <w:sz w:val="20"/>
        </w:rPr>
        <w:t>, determinado según lo establecido en</w:t>
      </w:r>
      <w:r w:rsidR="005D565D" w:rsidRPr="00AC4AEA">
        <w:rPr>
          <w:rFonts w:ascii="Arial" w:hAnsi="Arial" w:cs="Arial"/>
          <w:sz w:val="20"/>
        </w:rPr>
        <w:t xml:space="preserve"> </w:t>
      </w:r>
      <w:r w:rsidR="00000B6A" w:rsidRPr="00AC4AEA">
        <w:rPr>
          <w:rFonts w:ascii="Arial" w:hAnsi="Arial" w:cs="Arial"/>
          <w:sz w:val="20"/>
        </w:rPr>
        <w:t>el apartado</w:t>
      </w:r>
      <w:r w:rsidR="006368CB" w:rsidRPr="00AC4AEA">
        <w:rPr>
          <w:rFonts w:ascii="Arial" w:hAnsi="Arial" w:cs="Arial"/>
          <w:sz w:val="20"/>
        </w:rPr>
        <w:t xml:space="preserve"> </w:t>
      </w:r>
      <w:r w:rsidR="006368CB" w:rsidRPr="00AC4AEA">
        <w:rPr>
          <w:rFonts w:ascii="Arial" w:hAnsi="Arial" w:cs="Arial"/>
          <w:bCs/>
          <w:sz w:val="20"/>
        </w:rPr>
        <w:t>“</w:t>
      </w:r>
      <w:r w:rsidR="006368CB" w:rsidRPr="00AC4AEA">
        <w:rPr>
          <w:rFonts w:ascii="Arial" w:hAnsi="Arial" w:cs="Arial"/>
          <w:bCs/>
          <w:sz w:val="20"/>
          <w:u w:val="single"/>
        </w:rPr>
        <w:t>Medición de costos de adquisición</w:t>
      </w:r>
      <w:r w:rsidR="006368CB" w:rsidRPr="00AC4AEA">
        <w:rPr>
          <w:rFonts w:ascii="Arial" w:hAnsi="Arial" w:cs="Arial"/>
          <w:bCs/>
          <w:sz w:val="20"/>
        </w:rPr>
        <w:t>”</w:t>
      </w:r>
      <w:r w:rsidR="00000B6A" w:rsidRPr="00AC4AEA">
        <w:rPr>
          <w:rFonts w:ascii="Arial" w:hAnsi="Arial" w:cs="Arial"/>
          <w:bCs/>
          <w:sz w:val="20"/>
        </w:rPr>
        <w:t xml:space="preserve"> </w:t>
      </w:r>
      <w:r w:rsidR="00000B6A" w:rsidRPr="00AC4AEA">
        <w:rPr>
          <w:rFonts w:ascii="Arial" w:hAnsi="Arial" w:cs="Arial"/>
          <w:sz w:val="20"/>
        </w:rPr>
        <w:t>[</w:t>
      </w:r>
      <w:r w:rsidR="006C0F33" w:rsidRPr="00AC4AEA">
        <w:rPr>
          <w:rFonts w:ascii="Arial" w:hAnsi="Arial" w:cs="Arial"/>
          <w:sz w:val="20"/>
        </w:rPr>
        <w:t xml:space="preserve">ver </w:t>
      </w:r>
      <w:r w:rsidR="006C0F33">
        <w:rPr>
          <w:rFonts w:ascii="Arial" w:hAnsi="Arial" w:cs="Arial"/>
          <w:sz w:val="20"/>
        </w:rPr>
        <w:t xml:space="preserve">el párrafo </w:t>
      </w:r>
      <w:fldSimple w:instr=" REF _Ref99478351 \r \h  \* MERGEFORMAT ">
        <w:r w:rsidR="00D33A5D" w:rsidRPr="00D33A5D">
          <w:rPr>
            <w:rFonts w:ascii="Arial" w:hAnsi="Arial" w:cs="Arial"/>
            <w:sz w:val="20"/>
          </w:rPr>
          <w:t>103</w:t>
        </w:r>
      </w:fldSimple>
      <w:r w:rsidR="00000B6A" w:rsidRPr="00AC4AEA">
        <w:rPr>
          <w:rFonts w:ascii="Arial" w:hAnsi="Arial" w:cs="Arial"/>
          <w:sz w:val="20"/>
        </w:rPr>
        <w:t>]</w:t>
      </w:r>
      <w:r w:rsidRPr="00AC4AEA">
        <w:rPr>
          <w:rFonts w:ascii="Arial" w:hAnsi="Arial" w:cs="Arial"/>
          <w:bCs/>
          <w:sz w:val="20"/>
        </w:rPr>
        <w:t>.</w:t>
      </w:r>
    </w:p>
    <w:p w:rsidR="00D458D6" w:rsidRPr="00AC4AEA" w:rsidRDefault="00D458D6" w:rsidP="00A318EA">
      <w:pPr>
        <w:pStyle w:val="A-Normal11"/>
        <w:numPr>
          <w:ilvl w:val="0"/>
          <w:numId w:val="25"/>
        </w:numPr>
        <w:ind w:left="1559" w:hanging="567"/>
        <w:jc w:val="both"/>
        <w:rPr>
          <w:rFonts w:ascii="Arial" w:hAnsi="Arial" w:cs="Arial"/>
          <w:sz w:val="20"/>
        </w:rPr>
      </w:pPr>
      <w:r w:rsidRPr="00AC4AEA">
        <w:rPr>
          <w:rFonts w:ascii="Arial" w:hAnsi="Arial" w:cs="Arial"/>
          <w:sz w:val="20"/>
        </w:rPr>
        <w:t>Bienes</w:t>
      </w:r>
      <w:r w:rsidR="005E605E" w:rsidRPr="00AC4AEA">
        <w:rPr>
          <w:rFonts w:ascii="Arial" w:hAnsi="Arial" w:cs="Arial"/>
          <w:sz w:val="20"/>
        </w:rPr>
        <w:t xml:space="preserve"> de uso</w:t>
      </w:r>
      <w:r w:rsidRPr="00AC4AEA">
        <w:rPr>
          <w:rFonts w:ascii="Arial" w:hAnsi="Arial" w:cs="Arial"/>
          <w:sz w:val="20"/>
        </w:rPr>
        <w:t xml:space="preserve"> </w:t>
      </w:r>
      <w:r w:rsidR="000A4B06" w:rsidRPr="00AC4AEA">
        <w:rPr>
          <w:rFonts w:ascii="Arial" w:hAnsi="Arial" w:cs="Arial"/>
          <w:sz w:val="20"/>
        </w:rPr>
        <w:t>producidos</w:t>
      </w:r>
      <w:r w:rsidRPr="00AC4AEA">
        <w:rPr>
          <w:rFonts w:ascii="Arial" w:hAnsi="Arial" w:cs="Arial"/>
          <w:sz w:val="20"/>
        </w:rPr>
        <w:t xml:space="preserve"> o construidos: en función del </w:t>
      </w:r>
      <w:r w:rsidRPr="00AC4AEA">
        <w:rPr>
          <w:rFonts w:ascii="Arial" w:hAnsi="Arial" w:cs="Arial"/>
          <w:b/>
          <w:sz w:val="20"/>
        </w:rPr>
        <w:t xml:space="preserve">costo de producción </w:t>
      </w:r>
      <w:r w:rsidRPr="00AC4AEA">
        <w:rPr>
          <w:rFonts w:ascii="Arial" w:hAnsi="Arial" w:cs="Arial"/>
          <w:bCs/>
          <w:sz w:val="20"/>
        </w:rPr>
        <w:t>o</w:t>
      </w:r>
      <w:r w:rsidRPr="00AC4AEA">
        <w:rPr>
          <w:rFonts w:ascii="Arial" w:hAnsi="Arial" w:cs="Arial"/>
          <w:b/>
          <w:sz w:val="20"/>
        </w:rPr>
        <w:t xml:space="preserve"> </w:t>
      </w:r>
      <w:r w:rsidR="000A3277" w:rsidRPr="00AC4AEA">
        <w:rPr>
          <w:rFonts w:ascii="Arial" w:hAnsi="Arial" w:cs="Arial"/>
          <w:b/>
          <w:sz w:val="20"/>
        </w:rPr>
        <w:t xml:space="preserve">costo de </w:t>
      </w:r>
      <w:r w:rsidRPr="00AC4AEA">
        <w:rPr>
          <w:rFonts w:ascii="Arial" w:hAnsi="Arial" w:cs="Arial"/>
          <w:b/>
          <w:sz w:val="20"/>
        </w:rPr>
        <w:t>construcción</w:t>
      </w:r>
      <w:r w:rsidR="006368CB" w:rsidRPr="00AC4AEA">
        <w:rPr>
          <w:rFonts w:ascii="Arial" w:hAnsi="Arial" w:cs="Arial"/>
          <w:sz w:val="20"/>
        </w:rPr>
        <w:t>, determinado según lo establecido en</w:t>
      </w:r>
      <w:r w:rsidR="005D565D" w:rsidRPr="00AC4AEA">
        <w:rPr>
          <w:rFonts w:ascii="Arial" w:hAnsi="Arial" w:cs="Arial"/>
          <w:sz w:val="20"/>
        </w:rPr>
        <w:t xml:space="preserve"> </w:t>
      </w:r>
      <w:r w:rsidR="00000B6A" w:rsidRPr="00AC4AEA">
        <w:rPr>
          <w:rFonts w:ascii="Arial" w:hAnsi="Arial" w:cs="Arial"/>
          <w:sz w:val="20"/>
        </w:rPr>
        <w:t>el apartado</w:t>
      </w:r>
      <w:r w:rsidR="006368CB" w:rsidRPr="00AC4AEA">
        <w:rPr>
          <w:rFonts w:ascii="Arial" w:hAnsi="Arial" w:cs="Arial"/>
          <w:sz w:val="20"/>
        </w:rPr>
        <w:t xml:space="preserve"> </w:t>
      </w:r>
      <w:r w:rsidR="006368CB" w:rsidRPr="00AC4AEA">
        <w:rPr>
          <w:rFonts w:ascii="Arial" w:hAnsi="Arial" w:cs="Arial"/>
          <w:bCs/>
          <w:sz w:val="20"/>
        </w:rPr>
        <w:t>“</w:t>
      </w:r>
      <w:r w:rsidR="006368CB" w:rsidRPr="00AC4AEA">
        <w:rPr>
          <w:rFonts w:ascii="Arial" w:hAnsi="Arial" w:cs="Arial"/>
          <w:bCs/>
          <w:sz w:val="20"/>
          <w:u w:val="single"/>
        </w:rPr>
        <w:t>Medición de</w:t>
      </w:r>
      <w:r w:rsidR="00BA4943" w:rsidRPr="00AC4AEA">
        <w:rPr>
          <w:rFonts w:ascii="Arial" w:hAnsi="Arial" w:cs="Arial"/>
          <w:bCs/>
          <w:sz w:val="20"/>
          <w:u w:val="single"/>
        </w:rPr>
        <w:t>l</w:t>
      </w:r>
      <w:r w:rsidR="006368CB" w:rsidRPr="00AC4AEA">
        <w:rPr>
          <w:rFonts w:ascii="Arial" w:hAnsi="Arial" w:cs="Arial"/>
          <w:bCs/>
          <w:sz w:val="20"/>
          <w:u w:val="single"/>
        </w:rPr>
        <w:t xml:space="preserve"> costo de producción o </w:t>
      </w:r>
      <w:r w:rsidR="00BA4943" w:rsidRPr="00AC4AEA">
        <w:rPr>
          <w:rFonts w:ascii="Arial" w:hAnsi="Arial" w:cs="Arial"/>
          <w:bCs/>
          <w:sz w:val="20"/>
          <w:u w:val="single"/>
        </w:rPr>
        <w:t xml:space="preserve">del costo de </w:t>
      </w:r>
      <w:r w:rsidR="006368CB" w:rsidRPr="00AC4AEA">
        <w:rPr>
          <w:rFonts w:ascii="Arial" w:hAnsi="Arial" w:cs="Arial"/>
          <w:bCs/>
          <w:sz w:val="20"/>
          <w:u w:val="single"/>
        </w:rPr>
        <w:t>construcción</w:t>
      </w:r>
      <w:r w:rsidR="006368CB" w:rsidRPr="00AC4AEA">
        <w:rPr>
          <w:rFonts w:ascii="Arial" w:hAnsi="Arial" w:cs="Arial"/>
          <w:bCs/>
          <w:sz w:val="20"/>
        </w:rPr>
        <w:t>”</w:t>
      </w:r>
      <w:r w:rsidR="00000B6A" w:rsidRPr="00AC4AEA">
        <w:rPr>
          <w:rFonts w:ascii="Arial" w:hAnsi="Arial" w:cs="Arial"/>
          <w:bCs/>
          <w:sz w:val="20"/>
        </w:rPr>
        <w:t xml:space="preserve"> </w:t>
      </w:r>
      <w:r w:rsidR="00000B6A" w:rsidRPr="00AC4AEA">
        <w:rPr>
          <w:rFonts w:ascii="Arial" w:hAnsi="Arial" w:cs="Arial"/>
          <w:sz w:val="20"/>
        </w:rPr>
        <w:t xml:space="preserve">[ver los párrafos </w:t>
      </w:r>
      <w:fldSimple w:instr=" REF _Ref99478357 \r \h  \* MERGEFORMAT ">
        <w:r w:rsidR="00D33A5D" w:rsidRPr="00D33A5D">
          <w:rPr>
            <w:rFonts w:ascii="Arial" w:hAnsi="Arial" w:cs="Arial"/>
            <w:sz w:val="20"/>
          </w:rPr>
          <w:t>104</w:t>
        </w:r>
      </w:fldSimple>
      <w:r w:rsidR="00000B6A" w:rsidRPr="00AC4AEA">
        <w:rPr>
          <w:rFonts w:ascii="Arial" w:hAnsi="Arial" w:cs="Arial"/>
          <w:sz w:val="20"/>
        </w:rPr>
        <w:t xml:space="preserve"> a </w:t>
      </w:r>
      <w:fldSimple w:instr=" REF _Ref99459944 \r \h  \* MERGEFORMAT ">
        <w:r w:rsidR="00D33A5D" w:rsidRPr="00D33A5D">
          <w:rPr>
            <w:rFonts w:ascii="Arial" w:hAnsi="Arial" w:cs="Arial"/>
            <w:sz w:val="20"/>
          </w:rPr>
          <w:t>110</w:t>
        </w:r>
      </w:fldSimple>
      <w:r w:rsidR="00000B6A" w:rsidRPr="00AC4AEA">
        <w:rPr>
          <w:rFonts w:ascii="Arial" w:hAnsi="Arial" w:cs="Arial"/>
          <w:sz w:val="20"/>
        </w:rPr>
        <w:t>]</w:t>
      </w:r>
      <w:r w:rsidRPr="00AC4AEA">
        <w:rPr>
          <w:rFonts w:ascii="Arial" w:hAnsi="Arial" w:cs="Arial"/>
          <w:bCs/>
          <w:sz w:val="20"/>
        </w:rPr>
        <w:t>.</w:t>
      </w:r>
    </w:p>
    <w:p w:rsidR="00DB294B" w:rsidRPr="00AC4AEA" w:rsidRDefault="00DB294B" w:rsidP="00A318EA">
      <w:pPr>
        <w:pStyle w:val="A-Normal11"/>
        <w:numPr>
          <w:ilvl w:val="0"/>
          <w:numId w:val="25"/>
        </w:numPr>
        <w:ind w:left="1559" w:hanging="567"/>
        <w:jc w:val="both"/>
        <w:rPr>
          <w:rFonts w:ascii="Arial" w:hAnsi="Arial" w:cs="Arial"/>
          <w:sz w:val="20"/>
        </w:rPr>
      </w:pPr>
      <w:r w:rsidRPr="00AC4AEA">
        <w:rPr>
          <w:rFonts w:ascii="Arial" w:hAnsi="Arial" w:cs="Arial"/>
          <w:sz w:val="20"/>
        </w:rPr>
        <w:t xml:space="preserve">Bienes </w:t>
      </w:r>
      <w:r w:rsidR="005E605E" w:rsidRPr="00AC4AEA">
        <w:rPr>
          <w:rFonts w:ascii="Arial" w:hAnsi="Arial" w:cs="Arial"/>
          <w:sz w:val="20"/>
        </w:rPr>
        <w:t xml:space="preserve">de uso </w:t>
      </w:r>
      <w:r w:rsidRPr="00AC4AEA">
        <w:rPr>
          <w:rFonts w:ascii="Arial" w:hAnsi="Arial" w:cs="Arial"/>
          <w:sz w:val="20"/>
        </w:rPr>
        <w:t xml:space="preserve">recibidos mediante aportes o donaciones: de acuerdo con lo establecido </w:t>
      </w:r>
      <w:r w:rsidR="00C25F37" w:rsidRPr="00AC4AEA">
        <w:rPr>
          <w:rFonts w:ascii="Arial" w:hAnsi="Arial" w:cs="Arial"/>
          <w:sz w:val="20"/>
        </w:rPr>
        <w:t xml:space="preserve">en el inciso c) del </w:t>
      </w:r>
      <w:r w:rsidRPr="00AC4AEA">
        <w:rPr>
          <w:rFonts w:ascii="Arial" w:hAnsi="Arial" w:cs="Arial"/>
          <w:sz w:val="20"/>
        </w:rPr>
        <w:t xml:space="preserve">párrafo </w:t>
      </w:r>
      <w:fldSimple w:instr=" REF _Ref81056357 \r \h  \* MERGEFORMAT ">
        <w:r w:rsidR="00D33A5D" w:rsidRPr="00D33A5D">
          <w:rPr>
            <w:rFonts w:ascii="Arial" w:hAnsi="Arial" w:cs="Arial"/>
            <w:sz w:val="20"/>
          </w:rPr>
          <w:t>204</w:t>
        </w:r>
      </w:fldSimple>
      <w:r w:rsidRPr="00AC4AEA">
        <w:rPr>
          <w:rFonts w:ascii="Arial" w:hAnsi="Arial" w:cs="Arial"/>
          <w:sz w:val="20"/>
        </w:rPr>
        <w:t>.</w:t>
      </w:r>
    </w:p>
    <w:p w:rsidR="00DB294B" w:rsidRPr="00AC4AEA" w:rsidRDefault="00DB294B" w:rsidP="00A318EA">
      <w:pPr>
        <w:pStyle w:val="A-Normal11"/>
        <w:numPr>
          <w:ilvl w:val="0"/>
          <w:numId w:val="25"/>
        </w:numPr>
        <w:ind w:left="1559" w:hanging="567"/>
        <w:jc w:val="both"/>
        <w:rPr>
          <w:rFonts w:ascii="Arial" w:hAnsi="Arial" w:cs="Arial"/>
          <w:sz w:val="20"/>
        </w:rPr>
      </w:pPr>
      <w:r w:rsidRPr="00AC4AEA">
        <w:rPr>
          <w:rFonts w:ascii="Arial" w:hAnsi="Arial" w:cs="Arial"/>
          <w:sz w:val="20"/>
        </w:rPr>
        <w:t xml:space="preserve">Bienes </w:t>
      </w:r>
      <w:r w:rsidR="005E605E" w:rsidRPr="00AC4AEA">
        <w:rPr>
          <w:rFonts w:ascii="Arial" w:hAnsi="Arial" w:cs="Arial"/>
          <w:sz w:val="20"/>
        </w:rPr>
        <w:t>de uso</w:t>
      </w:r>
      <w:r w:rsidRPr="00AC4AEA">
        <w:rPr>
          <w:rFonts w:ascii="Arial" w:hAnsi="Arial" w:cs="Arial"/>
          <w:sz w:val="20"/>
        </w:rPr>
        <w:t xml:space="preserve"> recibidos mediante trueques o canjes: de acuerdo con lo establecido </w:t>
      </w:r>
      <w:r w:rsidR="00C25F37" w:rsidRPr="00AC4AEA">
        <w:rPr>
          <w:rFonts w:ascii="Arial" w:hAnsi="Arial" w:cs="Arial"/>
          <w:sz w:val="20"/>
        </w:rPr>
        <w:t xml:space="preserve">en el inciso d) del </w:t>
      </w:r>
      <w:r w:rsidRPr="00AC4AEA">
        <w:rPr>
          <w:rFonts w:ascii="Arial" w:hAnsi="Arial" w:cs="Arial"/>
          <w:sz w:val="20"/>
        </w:rPr>
        <w:t xml:space="preserve">párrafo </w:t>
      </w:r>
      <w:fldSimple w:instr=" REF _Ref81056357 \r \h  \* MERGEFORMAT ">
        <w:r w:rsidR="00D33A5D" w:rsidRPr="00D33A5D">
          <w:rPr>
            <w:rFonts w:ascii="Arial" w:hAnsi="Arial" w:cs="Arial"/>
            <w:sz w:val="20"/>
          </w:rPr>
          <w:t>204</w:t>
        </w:r>
      </w:fldSimple>
      <w:r w:rsidRPr="00AC4AEA">
        <w:rPr>
          <w:rFonts w:ascii="Arial" w:hAnsi="Arial" w:cs="Arial"/>
          <w:sz w:val="20"/>
        </w:rPr>
        <w:t>.</w:t>
      </w:r>
    </w:p>
    <w:p w:rsidR="00AB0D0D" w:rsidRPr="00AC4AEA" w:rsidRDefault="007D7512" w:rsidP="00A318EA">
      <w:pPr>
        <w:pStyle w:val="A-Normal11"/>
        <w:numPr>
          <w:ilvl w:val="0"/>
          <w:numId w:val="25"/>
        </w:numPr>
        <w:ind w:left="1559" w:hanging="567"/>
        <w:jc w:val="both"/>
        <w:rPr>
          <w:rFonts w:ascii="Arial" w:hAnsi="Arial" w:cs="Arial"/>
          <w:sz w:val="20"/>
        </w:rPr>
      </w:pPr>
      <w:r w:rsidRPr="00AC4AEA">
        <w:rPr>
          <w:rFonts w:ascii="Arial" w:hAnsi="Arial" w:cs="Arial"/>
          <w:b/>
          <w:sz w:val="20"/>
        </w:rPr>
        <w:t xml:space="preserve">Activos </w:t>
      </w:r>
      <w:r w:rsidR="00203E79" w:rsidRPr="00AC4AEA">
        <w:rPr>
          <w:rFonts w:ascii="Arial" w:hAnsi="Arial" w:cs="Arial"/>
          <w:b/>
          <w:sz w:val="20"/>
        </w:rPr>
        <w:t>biológicos</w:t>
      </w:r>
      <w:r w:rsidRPr="00AC4AEA">
        <w:rPr>
          <w:rFonts w:ascii="Arial" w:hAnsi="Arial" w:cs="Arial"/>
          <w:bCs/>
          <w:sz w:val="20"/>
        </w:rPr>
        <w:t xml:space="preserve"> </w:t>
      </w:r>
      <w:r w:rsidRPr="00AC4AEA">
        <w:rPr>
          <w:rFonts w:ascii="Arial" w:hAnsi="Arial" w:cs="Arial"/>
          <w:b/>
          <w:sz w:val="20"/>
        </w:rPr>
        <w:t>utilizados como factor de producción en el curso normal de la</w:t>
      </w:r>
      <w:r w:rsidR="00124C5E" w:rsidRPr="00AC4AEA">
        <w:rPr>
          <w:rFonts w:ascii="Arial" w:hAnsi="Arial" w:cs="Arial"/>
          <w:b/>
          <w:sz w:val="20"/>
        </w:rPr>
        <w:t>s</w:t>
      </w:r>
      <w:r w:rsidRPr="00AC4AEA">
        <w:rPr>
          <w:rFonts w:ascii="Arial" w:hAnsi="Arial" w:cs="Arial"/>
          <w:b/>
          <w:sz w:val="20"/>
        </w:rPr>
        <w:t xml:space="preserve"> </w:t>
      </w:r>
      <w:r w:rsidR="00124C5E" w:rsidRPr="00AC4AEA">
        <w:rPr>
          <w:rFonts w:ascii="Arial" w:hAnsi="Arial" w:cs="Arial"/>
          <w:b/>
          <w:sz w:val="20"/>
        </w:rPr>
        <w:t>operaciones</w:t>
      </w:r>
      <w:r w:rsidR="00AB0D0D" w:rsidRPr="00AC4AEA">
        <w:rPr>
          <w:rFonts w:ascii="Arial" w:hAnsi="Arial" w:cs="Arial"/>
          <w:bCs/>
          <w:sz w:val="20"/>
        </w:rPr>
        <w:t xml:space="preserve">: </w:t>
      </w:r>
      <w:r w:rsidR="008A0D46" w:rsidRPr="00AC4AEA">
        <w:rPr>
          <w:rFonts w:ascii="Arial" w:hAnsi="Arial" w:cs="Arial"/>
          <w:bCs/>
          <w:sz w:val="20"/>
        </w:rPr>
        <w:t>al</w:t>
      </w:r>
      <w:r w:rsidR="004A27F3" w:rsidRPr="00AC4AEA">
        <w:rPr>
          <w:rFonts w:ascii="Arial" w:hAnsi="Arial" w:cs="Arial"/>
          <w:bCs/>
          <w:sz w:val="20"/>
        </w:rPr>
        <w:t xml:space="preserve"> </w:t>
      </w:r>
      <w:r w:rsidR="004A27F3" w:rsidRPr="00AC4AEA">
        <w:rPr>
          <w:rFonts w:ascii="Arial" w:hAnsi="Arial" w:cs="Arial"/>
          <w:b/>
          <w:sz w:val="20"/>
        </w:rPr>
        <w:t>costo de adquisición</w:t>
      </w:r>
      <w:r w:rsidR="004A27F3" w:rsidRPr="00AC4AEA">
        <w:rPr>
          <w:rFonts w:ascii="Arial" w:hAnsi="Arial" w:cs="Arial"/>
          <w:bCs/>
          <w:sz w:val="20"/>
        </w:rPr>
        <w:t xml:space="preserve"> o</w:t>
      </w:r>
      <w:r w:rsidR="008A0D46" w:rsidRPr="00AC4AEA">
        <w:rPr>
          <w:rFonts w:ascii="Arial" w:hAnsi="Arial" w:cs="Arial"/>
          <w:bCs/>
          <w:sz w:val="20"/>
        </w:rPr>
        <w:t xml:space="preserve"> </w:t>
      </w:r>
      <w:r w:rsidR="00B81358" w:rsidRPr="00AC4AEA">
        <w:rPr>
          <w:rFonts w:ascii="Arial" w:hAnsi="Arial" w:cs="Arial"/>
          <w:sz w:val="20"/>
        </w:rPr>
        <w:t xml:space="preserve">sobre la base de su </w:t>
      </w:r>
      <w:r w:rsidR="00B81358" w:rsidRPr="00AC4AEA">
        <w:rPr>
          <w:rFonts w:ascii="Arial" w:hAnsi="Arial" w:cs="Arial"/>
          <w:b/>
          <w:bCs/>
          <w:sz w:val="20"/>
        </w:rPr>
        <w:t>costo atribuido</w:t>
      </w:r>
      <w:r w:rsidR="00B81358" w:rsidRPr="00AC4AEA">
        <w:rPr>
          <w:rFonts w:ascii="Arial" w:hAnsi="Arial" w:cs="Arial"/>
          <w:sz w:val="20"/>
        </w:rPr>
        <w:t xml:space="preserve">, determinado como el importe que surge al aplicar el párrafo </w:t>
      </w:r>
      <w:fldSimple w:instr=" REF _Ref133349299 \r \h  \* MERGEFORMAT ">
        <w:r w:rsidR="00D33A5D" w:rsidRPr="00D33A5D">
          <w:rPr>
            <w:rFonts w:ascii="Arial" w:hAnsi="Arial" w:cs="Arial"/>
            <w:sz w:val="20"/>
          </w:rPr>
          <w:t>1030</w:t>
        </w:r>
      </w:fldSimple>
      <w:r w:rsidR="004A27F3" w:rsidRPr="00AC4AEA">
        <w:rPr>
          <w:rFonts w:ascii="Arial" w:hAnsi="Arial" w:cs="Arial"/>
          <w:sz w:val="20"/>
        </w:rPr>
        <w:t>, según corresponda</w:t>
      </w:r>
      <w:r w:rsidR="00AB0D0D" w:rsidRPr="00AC4AEA">
        <w:rPr>
          <w:rFonts w:ascii="Arial" w:hAnsi="Arial" w:cs="Arial"/>
          <w:sz w:val="20"/>
        </w:rPr>
        <w:t>.</w:t>
      </w:r>
    </w:p>
    <w:p w:rsidR="00D033EC" w:rsidRPr="00AC4AEA" w:rsidRDefault="00D033E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la medición realizada según lo establecido en el párrafo anterior, una entidad:</w:t>
      </w:r>
    </w:p>
    <w:p w:rsidR="00D033EC" w:rsidRPr="00AC4AEA" w:rsidRDefault="00D033EC" w:rsidP="00A318EA">
      <w:pPr>
        <w:pStyle w:val="A-Normal11"/>
        <w:numPr>
          <w:ilvl w:val="0"/>
          <w:numId w:val="331"/>
        </w:numPr>
        <w:ind w:left="1560" w:hanging="567"/>
        <w:jc w:val="both"/>
        <w:rPr>
          <w:rFonts w:ascii="Arial" w:hAnsi="Arial" w:cs="Arial"/>
          <w:sz w:val="20"/>
        </w:rPr>
      </w:pPr>
      <w:r w:rsidRPr="00AC4AEA">
        <w:rPr>
          <w:rFonts w:ascii="Arial" w:hAnsi="Arial" w:cs="Arial"/>
          <w:sz w:val="20"/>
        </w:rPr>
        <w:t>sumará la estimación inicial de los costos de desmantelamiento y retiro del elemento y de rehabilitación del lugar sobre el que se asienta; y</w:t>
      </w:r>
    </w:p>
    <w:p w:rsidR="00D033EC" w:rsidRPr="00AC4AEA" w:rsidRDefault="00D033EC" w:rsidP="00A318EA">
      <w:pPr>
        <w:pStyle w:val="A-Normal11"/>
        <w:numPr>
          <w:ilvl w:val="0"/>
          <w:numId w:val="331"/>
        </w:numPr>
        <w:ind w:left="1559" w:hanging="567"/>
        <w:jc w:val="both"/>
        <w:rPr>
          <w:rFonts w:ascii="Arial" w:hAnsi="Arial" w:cs="Arial"/>
          <w:sz w:val="20"/>
        </w:rPr>
      </w:pPr>
      <w:r w:rsidRPr="00AC4AEA">
        <w:rPr>
          <w:rFonts w:ascii="Arial" w:hAnsi="Arial" w:cs="Arial"/>
          <w:sz w:val="20"/>
        </w:rPr>
        <w:t xml:space="preserve">estimará la obligación en la que incurre, debido a la adquisición del elemento o su utilización con propósitos distintos al de producción de bienes de cambio durante </w:t>
      </w:r>
      <w:r w:rsidR="004E3FBF" w:rsidRPr="00AC4AEA">
        <w:rPr>
          <w:rFonts w:ascii="Arial" w:hAnsi="Arial" w:cs="Arial"/>
          <w:sz w:val="20"/>
        </w:rPr>
        <w:t>tal período</w:t>
      </w:r>
      <w:r w:rsidRPr="00AC4AEA">
        <w:rPr>
          <w:rFonts w:ascii="Arial" w:hAnsi="Arial" w:cs="Arial"/>
          <w:sz w:val="20"/>
        </w:rPr>
        <w:t>, de conformidad con lo establecido en la sección “</w:t>
      </w:r>
      <w:r w:rsidRPr="00AC4AEA">
        <w:rPr>
          <w:rFonts w:ascii="Arial" w:hAnsi="Arial" w:cs="Arial"/>
          <w:sz w:val="20"/>
          <w:u w:val="single"/>
        </w:rPr>
        <w:t xml:space="preserve">Previsiones y otros </w:t>
      </w:r>
      <w:r w:rsidR="00497590" w:rsidRPr="00AC4AEA">
        <w:rPr>
          <w:rFonts w:ascii="Arial" w:hAnsi="Arial" w:cs="Arial"/>
          <w:sz w:val="20"/>
          <w:u w:val="single"/>
        </w:rPr>
        <w:t>pasivos</w:t>
      </w:r>
      <w:r w:rsidRPr="00AC4AEA">
        <w:rPr>
          <w:rFonts w:ascii="Arial" w:hAnsi="Arial" w:cs="Arial"/>
          <w:sz w:val="20"/>
          <w:u w:val="single"/>
        </w:rPr>
        <w:t xml:space="preserve"> contingentes</w:t>
      </w:r>
      <w:r w:rsidRPr="00AC4AEA">
        <w:rPr>
          <w:rFonts w:ascii="Arial" w:hAnsi="Arial" w:cs="Arial"/>
          <w:sz w:val="20"/>
        </w:rPr>
        <w:t xml:space="preserve">”, en los párrafos </w:t>
      </w:r>
      <w:fldSimple w:instr=" REF _Ref102746056 \r \h  \* MERGEFORMAT ">
        <w:r w:rsidR="00D33A5D" w:rsidRPr="00D33A5D">
          <w:rPr>
            <w:rFonts w:ascii="Arial" w:hAnsi="Arial" w:cs="Arial"/>
            <w:sz w:val="20"/>
          </w:rPr>
          <w:t>489</w:t>
        </w:r>
      </w:fldSimple>
      <w:r w:rsidRPr="00AC4AEA">
        <w:rPr>
          <w:rFonts w:ascii="Arial" w:hAnsi="Arial" w:cs="Arial"/>
          <w:sz w:val="20"/>
        </w:rPr>
        <w:t xml:space="preserve"> a </w:t>
      </w:r>
      <w:fldSimple w:instr=" REF _Ref102746060 \r \h  \* MERGEFORMAT ">
        <w:r w:rsidR="00D33A5D" w:rsidRPr="00D33A5D">
          <w:rPr>
            <w:rFonts w:ascii="Arial" w:hAnsi="Arial" w:cs="Arial"/>
            <w:sz w:val="20"/>
          </w:rPr>
          <w:t>492</w:t>
        </w:r>
      </w:fldSimple>
      <w:r w:rsidRPr="00AC4AEA">
        <w:rPr>
          <w:rFonts w:ascii="Arial" w:hAnsi="Arial" w:cs="Arial"/>
          <w:sz w:val="20"/>
        </w:rPr>
        <w:t xml:space="preserve">. </w:t>
      </w:r>
    </w:p>
    <w:p w:rsidR="00070B93" w:rsidRPr="00AC4AEA" w:rsidRDefault="00070B93" w:rsidP="00A318EA">
      <w:pPr>
        <w:pStyle w:val="A-Normal11"/>
        <w:ind w:left="1559"/>
        <w:jc w:val="both"/>
        <w:rPr>
          <w:rFonts w:ascii="Arial" w:hAnsi="Arial" w:cs="Arial"/>
          <w:sz w:val="20"/>
        </w:rPr>
      </w:pPr>
    </w:p>
    <w:p w:rsidR="00070B93" w:rsidRPr="00AC4AEA" w:rsidRDefault="00070B93" w:rsidP="00A318EA">
      <w:pPr>
        <w:pStyle w:val="Ttulo2"/>
        <w:rPr>
          <w:rFonts w:cs="Arial"/>
        </w:rPr>
      </w:pPr>
      <w:bookmarkStart w:id="475" w:name="_Toc139356722"/>
      <w:r w:rsidRPr="00AC4AEA">
        <w:rPr>
          <w:rFonts w:cs="Arial"/>
        </w:rPr>
        <w:t>Tratamiento de los desembolsos subsiguientes</w:t>
      </w:r>
      <w:bookmarkEnd w:id="475"/>
    </w:p>
    <w:p w:rsidR="00070B93" w:rsidRPr="00AC4AEA" w:rsidRDefault="00070B93" w:rsidP="00A318EA">
      <w:pPr>
        <w:pStyle w:val="A-Normal11"/>
        <w:numPr>
          <w:ilvl w:val="0"/>
          <w:numId w:val="29"/>
        </w:numPr>
        <w:jc w:val="both"/>
        <w:rPr>
          <w:rFonts w:ascii="Arial" w:hAnsi="Arial" w:cs="Arial"/>
          <w:sz w:val="20"/>
        </w:rPr>
      </w:pPr>
      <w:r w:rsidRPr="00AC4AEA">
        <w:rPr>
          <w:rFonts w:ascii="Arial" w:hAnsi="Arial" w:cs="Arial"/>
          <w:sz w:val="20"/>
        </w:rPr>
        <w:t>Con posterioridad a su puesta en marcha, una entidad sumará al costo l</w:t>
      </w:r>
      <w:r w:rsidR="00A34A6A" w:rsidRPr="00AC4AEA">
        <w:rPr>
          <w:rFonts w:ascii="Arial" w:hAnsi="Arial" w:cs="Arial"/>
          <w:sz w:val="20"/>
        </w:rPr>
        <w:t>o</w:t>
      </w:r>
      <w:r w:rsidRPr="00AC4AEA">
        <w:rPr>
          <w:rFonts w:ascii="Arial" w:hAnsi="Arial" w:cs="Arial"/>
          <w:sz w:val="20"/>
        </w:rPr>
        <w:t>s desembolsos subsiguientes</w:t>
      </w:r>
      <w:r w:rsidR="00BD7827" w:rsidRPr="00AC4AEA">
        <w:rPr>
          <w:rFonts w:ascii="Arial" w:hAnsi="Arial" w:cs="Arial"/>
          <w:sz w:val="20"/>
        </w:rPr>
        <w:t xml:space="preserve">, siempre </w:t>
      </w:r>
      <w:r w:rsidRPr="00AC4AEA">
        <w:rPr>
          <w:rFonts w:ascii="Arial" w:hAnsi="Arial" w:cs="Arial"/>
          <w:sz w:val="20"/>
        </w:rPr>
        <w:t>que:</w:t>
      </w:r>
    </w:p>
    <w:p w:rsidR="00070B93" w:rsidRPr="00AC4AEA" w:rsidRDefault="00070B93" w:rsidP="00A318EA">
      <w:pPr>
        <w:pStyle w:val="Prrafodelista"/>
        <w:numPr>
          <w:ilvl w:val="1"/>
          <w:numId w:val="89"/>
        </w:numPr>
        <w:ind w:left="1560"/>
        <w:contextualSpacing w:val="0"/>
        <w:jc w:val="both"/>
        <w:rPr>
          <w:rFonts w:ascii="Arial" w:hAnsi="Arial" w:cs="Arial"/>
          <w:sz w:val="20"/>
          <w:szCs w:val="20"/>
        </w:rPr>
      </w:pPr>
      <w:r w:rsidRPr="00AC4AEA">
        <w:rPr>
          <w:rFonts w:ascii="Arial" w:hAnsi="Arial" w:cs="Arial"/>
          <w:sz w:val="20"/>
          <w:szCs w:val="20"/>
        </w:rPr>
        <w:t xml:space="preserve">Constituyan una mejora e incrementen la capacidad del </w:t>
      </w:r>
      <w:r w:rsidRPr="00AC4AEA">
        <w:rPr>
          <w:rFonts w:ascii="Arial" w:hAnsi="Arial" w:cs="Arial"/>
          <w:b/>
          <w:bCs/>
          <w:sz w:val="20"/>
          <w:szCs w:val="20"/>
        </w:rPr>
        <w:t>activo</w:t>
      </w:r>
      <w:r w:rsidRPr="00AC4AEA">
        <w:rPr>
          <w:rFonts w:ascii="Arial" w:hAnsi="Arial" w:cs="Arial"/>
          <w:sz w:val="20"/>
          <w:szCs w:val="20"/>
        </w:rPr>
        <w:t xml:space="preserve"> para generar flujos de efectivo futuros; por ejemplo, debido a:</w:t>
      </w:r>
    </w:p>
    <w:p w:rsidR="00070B93" w:rsidRPr="00AC4AEA" w:rsidRDefault="00070B93" w:rsidP="00A318EA">
      <w:pPr>
        <w:pStyle w:val="A-Normal11"/>
        <w:numPr>
          <w:ilvl w:val="0"/>
          <w:numId w:val="283"/>
        </w:numPr>
        <w:ind w:left="1984"/>
        <w:jc w:val="both"/>
        <w:rPr>
          <w:rFonts w:ascii="Arial" w:hAnsi="Arial" w:cs="Arial"/>
          <w:sz w:val="20"/>
        </w:rPr>
      </w:pPr>
      <w:r w:rsidRPr="00AC4AEA">
        <w:rPr>
          <w:rFonts w:ascii="Arial" w:hAnsi="Arial" w:cs="Arial"/>
          <w:sz w:val="20"/>
        </w:rPr>
        <w:t xml:space="preserve">una extensión de la vida útil estimada (originalmente) del </w:t>
      </w:r>
      <w:r w:rsidRPr="00AC4AEA">
        <w:rPr>
          <w:rFonts w:ascii="Arial" w:hAnsi="Arial" w:cs="Arial"/>
          <w:b/>
          <w:bCs/>
          <w:sz w:val="20"/>
        </w:rPr>
        <w:t>activo</w:t>
      </w:r>
      <w:r w:rsidRPr="00AC4AEA">
        <w:rPr>
          <w:rFonts w:ascii="Arial" w:hAnsi="Arial" w:cs="Arial"/>
          <w:sz w:val="20"/>
        </w:rPr>
        <w:t>;</w:t>
      </w:r>
    </w:p>
    <w:p w:rsidR="00070B93" w:rsidRPr="00AC4AEA" w:rsidRDefault="00070B93" w:rsidP="00A318EA">
      <w:pPr>
        <w:pStyle w:val="A-Normal11"/>
        <w:numPr>
          <w:ilvl w:val="0"/>
          <w:numId w:val="283"/>
        </w:numPr>
        <w:ind w:left="1984"/>
        <w:jc w:val="both"/>
        <w:rPr>
          <w:rFonts w:ascii="Arial" w:hAnsi="Arial" w:cs="Arial"/>
          <w:sz w:val="20"/>
        </w:rPr>
      </w:pPr>
      <w:r w:rsidRPr="00AC4AEA">
        <w:rPr>
          <w:rFonts w:ascii="Arial" w:hAnsi="Arial" w:cs="Arial"/>
          <w:sz w:val="20"/>
        </w:rPr>
        <w:t>un aumento en su capacidad de servicio;</w:t>
      </w:r>
    </w:p>
    <w:p w:rsidR="00070B93" w:rsidRPr="00AC4AEA" w:rsidRDefault="00070B93" w:rsidP="00A318EA">
      <w:pPr>
        <w:pStyle w:val="A-Normal11"/>
        <w:numPr>
          <w:ilvl w:val="0"/>
          <w:numId w:val="283"/>
        </w:numPr>
        <w:ind w:left="1984"/>
        <w:jc w:val="both"/>
        <w:rPr>
          <w:rFonts w:ascii="Arial" w:hAnsi="Arial" w:cs="Arial"/>
          <w:sz w:val="20"/>
        </w:rPr>
      </w:pPr>
      <w:r w:rsidRPr="00AC4AEA">
        <w:rPr>
          <w:rFonts w:ascii="Arial" w:hAnsi="Arial" w:cs="Arial"/>
          <w:sz w:val="20"/>
        </w:rPr>
        <w:t>una mejora en la calidad de la producción; o</w:t>
      </w:r>
    </w:p>
    <w:p w:rsidR="00070B93" w:rsidRPr="00AC4AEA" w:rsidRDefault="00070B93" w:rsidP="00A318EA">
      <w:pPr>
        <w:pStyle w:val="A-Normal11"/>
        <w:numPr>
          <w:ilvl w:val="0"/>
          <w:numId w:val="283"/>
        </w:numPr>
        <w:ind w:left="1984"/>
        <w:jc w:val="both"/>
        <w:rPr>
          <w:rFonts w:ascii="Arial" w:hAnsi="Arial" w:cs="Arial"/>
          <w:sz w:val="20"/>
        </w:rPr>
      </w:pPr>
      <w:r w:rsidRPr="00AC4AEA">
        <w:rPr>
          <w:rFonts w:ascii="Arial" w:hAnsi="Arial" w:cs="Arial"/>
          <w:sz w:val="20"/>
        </w:rPr>
        <w:t>una reducción en los costos de operación.</w:t>
      </w:r>
    </w:p>
    <w:p w:rsidR="00070B93" w:rsidRPr="00AC4AEA" w:rsidRDefault="00070B93" w:rsidP="00A318EA">
      <w:pPr>
        <w:pStyle w:val="Prrafodelista"/>
        <w:numPr>
          <w:ilvl w:val="1"/>
          <w:numId w:val="89"/>
        </w:numPr>
        <w:ind w:left="1560"/>
        <w:contextualSpacing w:val="0"/>
        <w:jc w:val="both"/>
        <w:rPr>
          <w:rFonts w:ascii="Arial" w:hAnsi="Arial" w:cs="Arial"/>
          <w:sz w:val="20"/>
          <w:szCs w:val="20"/>
        </w:rPr>
      </w:pPr>
      <w:r w:rsidRPr="00AC4AEA">
        <w:rPr>
          <w:rFonts w:ascii="Arial" w:hAnsi="Arial" w:cs="Arial"/>
          <w:sz w:val="20"/>
          <w:szCs w:val="20"/>
        </w:rPr>
        <w:t xml:space="preserve">Se originen en tareas de mantenimiento o reacondicionamiento mayores que </w:t>
      </w:r>
      <w:r w:rsidR="00EF6147" w:rsidRPr="00AC4AEA">
        <w:rPr>
          <w:rFonts w:ascii="Arial" w:hAnsi="Arial" w:cs="Arial"/>
          <w:sz w:val="20"/>
          <w:szCs w:val="20"/>
        </w:rPr>
        <w:t>solo</w:t>
      </w:r>
      <w:r w:rsidRPr="00AC4AEA">
        <w:rPr>
          <w:rFonts w:ascii="Arial" w:hAnsi="Arial" w:cs="Arial"/>
          <w:sz w:val="20"/>
          <w:szCs w:val="20"/>
        </w:rPr>
        <w:t xml:space="preserve"> permitan recuperar la capacidad de servicio del </w:t>
      </w:r>
      <w:r w:rsidRPr="00AC4AEA">
        <w:rPr>
          <w:rFonts w:ascii="Arial" w:hAnsi="Arial" w:cs="Arial"/>
          <w:b/>
          <w:bCs/>
          <w:sz w:val="20"/>
          <w:szCs w:val="20"/>
        </w:rPr>
        <w:t>activo</w:t>
      </w:r>
      <w:r w:rsidRPr="00AC4AEA">
        <w:rPr>
          <w:rFonts w:ascii="Arial" w:hAnsi="Arial" w:cs="Arial"/>
          <w:sz w:val="20"/>
          <w:szCs w:val="20"/>
        </w:rPr>
        <w:t xml:space="preserve"> para lograr su uso continuo</w:t>
      </w:r>
      <w:r w:rsidR="00084C29" w:rsidRPr="00AC4AEA">
        <w:rPr>
          <w:rFonts w:ascii="Arial" w:hAnsi="Arial" w:cs="Arial"/>
          <w:sz w:val="20"/>
          <w:szCs w:val="20"/>
        </w:rPr>
        <w:t xml:space="preserve">. A este respecto, una entidad </w:t>
      </w:r>
      <w:r w:rsidR="00100E40" w:rsidRPr="00AC4AEA">
        <w:rPr>
          <w:rFonts w:ascii="Arial" w:hAnsi="Arial" w:cs="Arial"/>
          <w:sz w:val="20"/>
          <w:szCs w:val="20"/>
        </w:rPr>
        <w:t>evaluará si</w:t>
      </w:r>
      <w:r w:rsidRPr="00AC4AEA">
        <w:rPr>
          <w:rFonts w:ascii="Arial" w:hAnsi="Arial" w:cs="Arial"/>
          <w:sz w:val="20"/>
          <w:szCs w:val="20"/>
        </w:rPr>
        <w:t>:</w:t>
      </w:r>
    </w:p>
    <w:p w:rsidR="00070B93" w:rsidRPr="00AC4AEA" w:rsidRDefault="00070B93" w:rsidP="00A318EA">
      <w:pPr>
        <w:pStyle w:val="A-Normal11"/>
        <w:numPr>
          <w:ilvl w:val="0"/>
          <w:numId w:val="284"/>
        </w:numPr>
        <w:ind w:left="1984"/>
        <w:jc w:val="both"/>
        <w:rPr>
          <w:rFonts w:ascii="Arial" w:hAnsi="Arial" w:cs="Arial"/>
          <w:sz w:val="20"/>
        </w:rPr>
      </w:pPr>
      <w:r w:rsidRPr="00AC4AEA">
        <w:rPr>
          <w:rFonts w:ascii="Arial" w:hAnsi="Arial" w:cs="Arial"/>
          <w:sz w:val="20"/>
        </w:rPr>
        <w:t>una medición confiable indica que toda la erogación o parte de ella es atribuible al reemplazo o reacondicionamiento de uno o más componentes del</w:t>
      </w:r>
      <w:r w:rsidRPr="006F3AE5">
        <w:rPr>
          <w:rFonts w:ascii="Arial" w:hAnsi="Arial" w:cs="Arial"/>
          <w:b/>
          <w:bCs/>
          <w:sz w:val="20"/>
        </w:rPr>
        <w:t xml:space="preserve"> activo </w:t>
      </w:r>
      <w:r w:rsidRPr="00AC4AEA">
        <w:rPr>
          <w:rFonts w:ascii="Arial" w:hAnsi="Arial" w:cs="Arial"/>
          <w:sz w:val="20"/>
        </w:rPr>
        <w:t>identificados por la entidad;</w:t>
      </w:r>
    </w:p>
    <w:p w:rsidR="00070B93" w:rsidRPr="00AC4AEA" w:rsidRDefault="00070B93" w:rsidP="00A318EA">
      <w:pPr>
        <w:pStyle w:val="A-Normal11"/>
        <w:numPr>
          <w:ilvl w:val="0"/>
          <w:numId w:val="284"/>
        </w:numPr>
        <w:ind w:left="1984"/>
        <w:jc w:val="both"/>
        <w:rPr>
          <w:rFonts w:ascii="Arial" w:hAnsi="Arial" w:cs="Arial"/>
          <w:sz w:val="20"/>
        </w:rPr>
      </w:pPr>
      <w:r w:rsidRPr="00AC4AEA">
        <w:rPr>
          <w:rFonts w:ascii="Arial" w:hAnsi="Arial" w:cs="Arial"/>
          <w:sz w:val="20"/>
        </w:rPr>
        <w:t>la depreciación inmediatamente anterior de dichos componentes no fue calculada en función de la vida útil del</w:t>
      </w:r>
      <w:r w:rsidRPr="006F3AE5">
        <w:rPr>
          <w:rFonts w:ascii="Arial" w:hAnsi="Arial" w:cs="Arial"/>
          <w:b/>
          <w:bCs/>
          <w:sz w:val="20"/>
        </w:rPr>
        <w:t xml:space="preserve"> activo </w:t>
      </w:r>
      <w:r w:rsidRPr="00AC4AEA">
        <w:rPr>
          <w:rFonts w:ascii="Arial" w:hAnsi="Arial" w:cs="Arial"/>
          <w:sz w:val="20"/>
        </w:rPr>
        <w:t>del cual forman parte, sino de su propio desgaste o agotamiento y a efectos de reflejar el consumo de su capacidad para generar beneficios que se restablece con las mencionadas tareas de mantenimiento; y</w:t>
      </w:r>
    </w:p>
    <w:p w:rsidR="00070B93" w:rsidRPr="00AC4AEA" w:rsidRDefault="00070B93" w:rsidP="00A318EA">
      <w:pPr>
        <w:pStyle w:val="A-Normal11"/>
        <w:numPr>
          <w:ilvl w:val="0"/>
          <w:numId w:val="284"/>
        </w:numPr>
        <w:ind w:left="1984"/>
        <w:jc w:val="both"/>
        <w:rPr>
          <w:rFonts w:ascii="Arial" w:hAnsi="Arial" w:cs="Arial"/>
          <w:sz w:val="20"/>
        </w:rPr>
      </w:pPr>
      <w:r w:rsidRPr="00AC4AEA">
        <w:rPr>
          <w:rFonts w:ascii="Arial" w:hAnsi="Arial" w:cs="Arial"/>
          <w:sz w:val="20"/>
        </w:rPr>
        <w:t>es probable que, como consecuencia de la erogación, fluyan hacia la entidad los beneficios económicos futuros.</w:t>
      </w:r>
    </w:p>
    <w:p w:rsidR="00070B93" w:rsidRPr="00AC4AEA" w:rsidRDefault="00070B93" w:rsidP="00A318EA">
      <w:pPr>
        <w:pStyle w:val="A-Normal11"/>
        <w:numPr>
          <w:ilvl w:val="0"/>
          <w:numId w:val="29"/>
        </w:numPr>
        <w:jc w:val="both"/>
        <w:rPr>
          <w:rFonts w:ascii="Arial" w:hAnsi="Arial" w:cs="Arial"/>
          <w:sz w:val="20"/>
        </w:rPr>
      </w:pPr>
      <w:bookmarkStart w:id="476" w:name="_Ref99479326"/>
      <w:r w:rsidRPr="00AC4AEA">
        <w:rPr>
          <w:rFonts w:ascii="Arial" w:hAnsi="Arial" w:cs="Arial"/>
          <w:sz w:val="20"/>
        </w:rPr>
        <w:t xml:space="preserve">Una entidad imputará las demás erogaciones como </w:t>
      </w:r>
      <w:r w:rsidRPr="00AC4AEA">
        <w:rPr>
          <w:rFonts w:ascii="Arial" w:hAnsi="Arial" w:cs="Arial"/>
          <w:b/>
          <w:bCs/>
          <w:sz w:val="20"/>
        </w:rPr>
        <w:t>gasto</w:t>
      </w:r>
      <w:r w:rsidRPr="00AC4AEA">
        <w:rPr>
          <w:rFonts w:ascii="Arial" w:hAnsi="Arial" w:cs="Arial"/>
          <w:sz w:val="20"/>
        </w:rPr>
        <w:t xml:space="preserve"> del período.</w:t>
      </w:r>
      <w:bookmarkEnd w:id="476"/>
    </w:p>
    <w:p w:rsidR="00070B93" w:rsidRPr="00AC4AEA" w:rsidRDefault="00070B93" w:rsidP="00A318EA">
      <w:pPr>
        <w:jc w:val="both"/>
        <w:rPr>
          <w:rFonts w:ascii="Arial" w:hAnsi="Arial" w:cs="Arial"/>
          <w:b/>
          <w:bCs/>
          <w:sz w:val="20"/>
          <w:szCs w:val="20"/>
        </w:rPr>
      </w:pPr>
    </w:p>
    <w:p w:rsidR="00D458D6" w:rsidRPr="00AC4AEA" w:rsidRDefault="00D458D6" w:rsidP="00A318EA">
      <w:pPr>
        <w:pStyle w:val="Ttulo2"/>
        <w:rPr>
          <w:rFonts w:cs="Arial"/>
        </w:rPr>
      </w:pPr>
      <w:bookmarkStart w:id="477" w:name="_Toc101863853"/>
      <w:bookmarkStart w:id="478" w:name="_Toc139356723"/>
      <w:r w:rsidRPr="00AC4AEA">
        <w:rPr>
          <w:rFonts w:cs="Arial"/>
        </w:rPr>
        <w:t>Medición posterior</w:t>
      </w:r>
      <w:bookmarkEnd w:id="477"/>
      <w:bookmarkEnd w:id="478"/>
      <w:r w:rsidRPr="00AC4AEA">
        <w:rPr>
          <w:rFonts w:cs="Arial"/>
        </w:rPr>
        <w:t xml:space="preserve"> </w:t>
      </w:r>
    </w:p>
    <w:p w:rsidR="00D458D6" w:rsidRPr="00AC4AEA" w:rsidRDefault="00D458D6" w:rsidP="00A318EA">
      <w:pPr>
        <w:pStyle w:val="A-Normal11"/>
        <w:numPr>
          <w:ilvl w:val="0"/>
          <w:numId w:val="29"/>
        </w:numPr>
        <w:jc w:val="both"/>
        <w:rPr>
          <w:rFonts w:ascii="Arial" w:hAnsi="Arial" w:cs="Arial"/>
          <w:sz w:val="20"/>
        </w:rPr>
      </w:pPr>
      <w:r w:rsidRPr="00AC4AEA">
        <w:rPr>
          <w:rFonts w:ascii="Arial" w:hAnsi="Arial" w:cs="Arial"/>
          <w:sz w:val="20"/>
        </w:rPr>
        <w:t>Una entidad optará por medir contablemente los bienes de uso</w:t>
      </w:r>
      <w:r w:rsidR="00A82EFF" w:rsidRPr="00AC4AEA">
        <w:rPr>
          <w:rFonts w:ascii="Arial" w:hAnsi="Arial" w:cs="Arial"/>
          <w:sz w:val="20"/>
        </w:rPr>
        <w:t xml:space="preserve"> </w:t>
      </w:r>
      <w:r w:rsidRPr="00AC4AEA">
        <w:rPr>
          <w:rFonts w:ascii="Arial" w:hAnsi="Arial" w:cs="Arial"/>
          <w:sz w:val="20"/>
        </w:rPr>
        <w:t xml:space="preserve">de acuerdo con el </w:t>
      </w:r>
      <w:r w:rsidR="0036430A" w:rsidRPr="00AC4AEA">
        <w:rPr>
          <w:rFonts w:ascii="Arial" w:hAnsi="Arial" w:cs="Arial"/>
          <w:sz w:val="20"/>
          <w:u w:val="single"/>
        </w:rPr>
        <w:t>“</w:t>
      </w:r>
      <w:r w:rsidR="00A5347B" w:rsidRPr="00AC4AEA">
        <w:rPr>
          <w:rFonts w:ascii="Arial" w:hAnsi="Arial" w:cs="Arial"/>
          <w:sz w:val="20"/>
          <w:u w:val="single"/>
        </w:rPr>
        <w:t>M</w:t>
      </w:r>
      <w:r w:rsidRPr="00AC4AEA">
        <w:rPr>
          <w:rFonts w:ascii="Arial" w:hAnsi="Arial" w:cs="Arial"/>
          <w:sz w:val="20"/>
          <w:u w:val="single"/>
        </w:rPr>
        <w:t>odelo de costo</w:t>
      </w:r>
      <w:r w:rsidR="0036430A" w:rsidRPr="00AC4AEA">
        <w:rPr>
          <w:rFonts w:ascii="Arial" w:hAnsi="Arial" w:cs="Arial"/>
          <w:sz w:val="20"/>
          <w:u w:val="single"/>
        </w:rPr>
        <w:t>”</w:t>
      </w:r>
      <w:r w:rsidRPr="00AC4AEA">
        <w:rPr>
          <w:rFonts w:ascii="Arial" w:hAnsi="Arial" w:cs="Arial"/>
          <w:sz w:val="20"/>
        </w:rPr>
        <w:t xml:space="preserve"> </w:t>
      </w:r>
      <w:r w:rsidR="00000B6A" w:rsidRPr="00AC4AEA">
        <w:rPr>
          <w:rFonts w:ascii="Arial" w:hAnsi="Arial" w:cs="Arial"/>
          <w:sz w:val="20"/>
        </w:rPr>
        <w:t xml:space="preserve">[ver </w:t>
      </w:r>
      <w:r w:rsidR="009E1063" w:rsidRPr="00AC4AEA">
        <w:rPr>
          <w:rFonts w:ascii="Arial" w:hAnsi="Arial" w:cs="Arial"/>
          <w:sz w:val="20"/>
        </w:rPr>
        <w:t>el</w:t>
      </w:r>
      <w:r w:rsidR="00000B6A" w:rsidRPr="00AC4AEA">
        <w:rPr>
          <w:rFonts w:ascii="Arial" w:hAnsi="Arial" w:cs="Arial"/>
          <w:sz w:val="20"/>
        </w:rPr>
        <w:t xml:space="preserve"> párrafo </w:t>
      </w:r>
      <w:fldSimple w:instr=" REF _Ref99479322 \r \h  \* MERGEFORMAT ">
        <w:r w:rsidR="00D33A5D" w:rsidRPr="00D33A5D">
          <w:rPr>
            <w:rFonts w:ascii="Arial" w:hAnsi="Arial" w:cs="Arial"/>
            <w:sz w:val="20"/>
          </w:rPr>
          <w:t>321</w:t>
        </w:r>
      </w:fldSimple>
      <w:r w:rsidR="00000B6A" w:rsidRPr="00AC4AEA">
        <w:rPr>
          <w:rFonts w:ascii="Arial" w:hAnsi="Arial" w:cs="Arial"/>
          <w:sz w:val="20"/>
        </w:rPr>
        <w:t xml:space="preserve">] </w:t>
      </w:r>
      <w:r w:rsidRPr="00AC4AEA">
        <w:rPr>
          <w:rFonts w:ascii="Arial" w:hAnsi="Arial" w:cs="Arial"/>
          <w:sz w:val="20"/>
        </w:rPr>
        <w:t>o el</w:t>
      </w:r>
      <w:r w:rsidR="00835565" w:rsidRPr="00AC4AEA">
        <w:rPr>
          <w:rFonts w:ascii="Arial" w:hAnsi="Arial" w:cs="Arial"/>
          <w:sz w:val="20"/>
        </w:rPr>
        <w:t xml:space="preserve"> </w:t>
      </w:r>
      <w:r w:rsidR="0036430A" w:rsidRPr="00AC4AEA">
        <w:rPr>
          <w:rFonts w:ascii="Arial" w:hAnsi="Arial" w:cs="Arial"/>
          <w:sz w:val="20"/>
        </w:rPr>
        <w:t>“</w:t>
      </w:r>
      <w:r w:rsidR="00A5347B" w:rsidRPr="00AC4AEA">
        <w:rPr>
          <w:rFonts w:ascii="Arial" w:hAnsi="Arial" w:cs="Arial"/>
          <w:sz w:val="20"/>
          <w:u w:val="single"/>
        </w:rPr>
        <w:t>M</w:t>
      </w:r>
      <w:r w:rsidRPr="00AC4AEA">
        <w:rPr>
          <w:rFonts w:ascii="Arial" w:hAnsi="Arial" w:cs="Arial"/>
          <w:sz w:val="20"/>
          <w:u w:val="single"/>
        </w:rPr>
        <w:t>odelo de revaluación</w:t>
      </w:r>
      <w:r w:rsidR="0036430A" w:rsidRPr="00AC4AEA">
        <w:rPr>
          <w:rFonts w:ascii="Arial" w:hAnsi="Arial" w:cs="Arial"/>
          <w:sz w:val="20"/>
        </w:rPr>
        <w:t>”</w:t>
      </w:r>
      <w:r w:rsidR="00000B6A" w:rsidRPr="00AC4AEA">
        <w:rPr>
          <w:rFonts w:ascii="Arial" w:hAnsi="Arial" w:cs="Arial"/>
          <w:sz w:val="20"/>
        </w:rPr>
        <w:t xml:space="preserve"> [ver los párrafos </w:t>
      </w:r>
      <w:fldSimple w:instr=" REF _Ref99458042 \r \h  \* MERGEFORMAT ">
        <w:r w:rsidR="00D33A5D" w:rsidRPr="00D33A5D">
          <w:rPr>
            <w:rFonts w:ascii="Arial" w:hAnsi="Arial" w:cs="Arial"/>
            <w:sz w:val="20"/>
          </w:rPr>
          <w:t>322</w:t>
        </w:r>
      </w:fldSimple>
      <w:r w:rsidR="00000B6A" w:rsidRPr="00AC4AEA">
        <w:rPr>
          <w:rFonts w:ascii="Arial" w:hAnsi="Arial" w:cs="Arial"/>
          <w:sz w:val="20"/>
        </w:rPr>
        <w:t xml:space="preserve"> a </w:t>
      </w:r>
      <w:fldSimple w:instr=" REF _Ref99458064 \r \h  \* MERGEFORMAT ">
        <w:r w:rsidR="00D33A5D" w:rsidRPr="00D33A5D">
          <w:rPr>
            <w:rFonts w:ascii="Arial" w:hAnsi="Arial" w:cs="Arial"/>
            <w:sz w:val="20"/>
          </w:rPr>
          <w:t>338</w:t>
        </w:r>
      </w:fldSimple>
      <w:r w:rsidR="00000B6A" w:rsidRPr="00AC4AEA">
        <w:rPr>
          <w:rFonts w:ascii="Arial" w:hAnsi="Arial" w:cs="Arial"/>
          <w:sz w:val="20"/>
        </w:rPr>
        <w:t>]</w:t>
      </w:r>
      <w:r w:rsidRPr="00AC4AEA">
        <w:rPr>
          <w:rFonts w:ascii="Arial" w:hAnsi="Arial" w:cs="Arial"/>
          <w:sz w:val="20"/>
        </w:rPr>
        <w:t>.</w:t>
      </w:r>
    </w:p>
    <w:p w:rsidR="00D458D6" w:rsidRPr="00AC4AEA" w:rsidRDefault="00D458D6" w:rsidP="00A318EA">
      <w:pPr>
        <w:pStyle w:val="A-Normal11"/>
        <w:numPr>
          <w:ilvl w:val="0"/>
          <w:numId w:val="29"/>
        </w:numPr>
        <w:jc w:val="both"/>
        <w:rPr>
          <w:rFonts w:ascii="Arial" w:hAnsi="Arial" w:cs="Arial"/>
          <w:sz w:val="20"/>
        </w:rPr>
      </w:pPr>
      <w:r w:rsidRPr="00AC4AEA">
        <w:rPr>
          <w:rFonts w:ascii="Arial" w:hAnsi="Arial" w:cs="Arial"/>
          <w:sz w:val="20"/>
        </w:rPr>
        <w:t xml:space="preserve">Una entidad aplicará el mismo modelo al conjunto de </w:t>
      </w:r>
      <w:r w:rsidR="00497590" w:rsidRPr="00AC4AEA">
        <w:rPr>
          <w:rFonts w:ascii="Arial" w:hAnsi="Arial" w:cs="Arial"/>
          <w:sz w:val="20"/>
        </w:rPr>
        <w:t>activos</w:t>
      </w:r>
      <w:r w:rsidRPr="00AC4AEA">
        <w:rPr>
          <w:rFonts w:ascii="Arial" w:hAnsi="Arial" w:cs="Arial"/>
          <w:sz w:val="20"/>
        </w:rPr>
        <w:t xml:space="preserve"> de similar naturaleza y uso en las operaciones de una entidad (clase). Los siguientes son ejemplos </w:t>
      </w:r>
      <w:r w:rsidR="00191241" w:rsidRPr="00AC4AEA">
        <w:rPr>
          <w:rFonts w:ascii="Arial" w:hAnsi="Arial" w:cs="Arial"/>
          <w:sz w:val="20"/>
        </w:rPr>
        <w:t xml:space="preserve">de </w:t>
      </w:r>
      <w:r w:rsidR="00927D7B" w:rsidRPr="00AC4AEA">
        <w:rPr>
          <w:rFonts w:ascii="Arial" w:hAnsi="Arial" w:cs="Arial"/>
          <w:sz w:val="20"/>
        </w:rPr>
        <w:t>c</w:t>
      </w:r>
      <w:r w:rsidR="00191241" w:rsidRPr="00AC4AEA">
        <w:rPr>
          <w:rFonts w:ascii="Arial" w:hAnsi="Arial" w:cs="Arial"/>
          <w:sz w:val="20"/>
        </w:rPr>
        <w:t>l</w:t>
      </w:r>
      <w:r w:rsidR="00927D7B" w:rsidRPr="00AC4AEA">
        <w:rPr>
          <w:rFonts w:ascii="Arial" w:hAnsi="Arial" w:cs="Arial"/>
          <w:sz w:val="20"/>
        </w:rPr>
        <w:t>ase de bienes de uso</w:t>
      </w:r>
      <w:r w:rsidRPr="00AC4AEA">
        <w:rPr>
          <w:rFonts w:ascii="Arial" w:hAnsi="Arial" w:cs="Arial"/>
          <w:sz w:val="20"/>
        </w:rPr>
        <w:t>:</w:t>
      </w:r>
    </w:p>
    <w:p w:rsidR="00D458D6" w:rsidRPr="00AC4AEA" w:rsidRDefault="00DB7F4F"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t>T</w:t>
      </w:r>
      <w:r w:rsidR="00D458D6" w:rsidRPr="00AC4AEA">
        <w:rPr>
          <w:rFonts w:ascii="Arial" w:hAnsi="Arial" w:cs="Arial"/>
          <w:sz w:val="20"/>
          <w:szCs w:val="20"/>
        </w:rPr>
        <w:t>errenos</w:t>
      </w:r>
      <w:r w:rsidR="00645D70" w:rsidRPr="00AC4AEA">
        <w:rPr>
          <w:rFonts w:ascii="Arial" w:hAnsi="Arial" w:cs="Arial"/>
          <w:sz w:val="20"/>
          <w:szCs w:val="20"/>
        </w:rPr>
        <w:t>.</w:t>
      </w:r>
    </w:p>
    <w:p w:rsidR="00D458D6" w:rsidRPr="00AC4AEA" w:rsidRDefault="00191241"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t>E</w:t>
      </w:r>
      <w:r w:rsidR="00D458D6" w:rsidRPr="00AC4AEA">
        <w:rPr>
          <w:rFonts w:ascii="Arial" w:hAnsi="Arial" w:cs="Arial"/>
          <w:sz w:val="20"/>
          <w:szCs w:val="20"/>
        </w:rPr>
        <w:t>dificios</w:t>
      </w:r>
      <w:r w:rsidR="00645D70" w:rsidRPr="00AC4AEA">
        <w:rPr>
          <w:rFonts w:ascii="Arial" w:hAnsi="Arial" w:cs="Arial"/>
          <w:sz w:val="20"/>
          <w:szCs w:val="20"/>
        </w:rPr>
        <w:t>.</w:t>
      </w:r>
    </w:p>
    <w:p w:rsidR="00D458D6" w:rsidRPr="00AC4AEA" w:rsidRDefault="00191241"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t>M</w:t>
      </w:r>
      <w:r w:rsidR="00D458D6" w:rsidRPr="00AC4AEA">
        <w:rPr>
          <w:rFonts w:ascii="Arial" w:hAnsi="Arial" w:cs="Arial"/>
          <w:sz w:val="20"/>
          <w:szCs w:val="20"/>
        </w:rPr>
        <w:t>aquinaria</w:t>
      </w:r>
      <w:r w:rsidR="003727DE" w:rsidRPr="00AC4AEA">
        <w:rPr>
          <w:rFonts w:ascii="Arial" w:hAnsi="Arial" w:cs="Arial"/>
          <w:sz w:val="20"/>
          <w:szCs w:val="20"/>
        </w:rPr>
        <w:t>s</w:t>
      </w:r>
      <w:r w:rsidR="00645D70" w:rsidRPr="00AC4AEA">
        <w:rPr>
          <w:rFonts w:ascii="Arial" w:hAnsi="Arial" w:cs="Arial"/>
          <w:sz w:val="20"/>
          <w:szCs w:val="20"/>
        </w:rPr>
        <w:t>.</w:t>
      </w:r>
    </w:p>
    <w:p w:rsidR="00D458D6" w:rsidRPr="00AC4AEA" w:rsidRDefault="00DB7F4F"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lastRenderedPageBreak/>
        <w:t>I</w:t>
      </w:r>
      <w:r w:rsidR="00D458D6" w:rsidRPr="00AC4AEA">
        <w:rPr>
          <w:rFonts w:ascii="Arial" w:hAnsi="Arial" w:cs="Arial"/>
          <w:sz w:val="20"/>
          <w:szCs w:val="20"/>
        </w:rPr>
        <w:t>nstalaciones</w:t>
      </w:r>
      <w:r w:rsidR="00645D70" w:rsidRPr="00AC4AEA">
        <w:rPr>
          <w:rFonts w:ascii="Arial" w:hAnsi="Arial" w:cs="Arial"/>
          <w:sz w:val="20"/>
          <w:szCs w:val="20"/>
        </w:rPr>
        <w:t>.</w:t>
      </w:r>
    </w:p>
    <w:p w:rsidR="00D458D6" w:rsidRPr="00AC4AEA" w:rsidRDefault="00DB7F4F"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t>E</w:t>
      </w:r>
      <w:r w:rsidR="00D458D6" w:rsidRPr="00AC4AEA">
        <w:rPr>
          <w:rFonts w:ascii="Arial" w:hAnsi="Arial" w:cs="Arial"/>
          <w:sz w:val="20"/>
          <w:szCs w:val="20"/>
        </w:rPr>
        <w:t>quipo</w:t>
      </w:r>
      <w:r w:rsidR="003727DE" w:rsidRPr="00AC4AEA">
        <w:rPr>
          <w:rFonts w:ascii="Arial" w:hAnsi="Arial" w:cs="Arial"/>
          <w:sz w:val="20"/>
          <w:szCs w:val="20"/>
        </w:rPr>
        <w:t>s</w:t>
      </w:r>
      <w:r w:rsidR="00D458D6" w:rsidRPr="00AC4AEA">
        <w:rPr>
          <w:rFonts w:ascii="Arial" w:hAnsi="Arial" w:cs="Arial"/>
          <w:sz w:val="20"/>
          <w:szCs w:val="20"/>
        </w:rPr>
        <w:t xml:space="preserve"> de oficina</w:t>
      </w:r>
      <w:r w:rsidR="00645D70" w:rsidRPr="00AC4AEA">
        <w:rPr>
          <w:rFonts w:ascii="Arial" w:hAnsi="Arial" w:cs="Arial"/>
          <w:sz w:val="20"/>
          <w:szCs w:val="20"/>
        </w:rPr>
        <w:t>.</w:t>
      </w:r>
    </w:p>
    <w:p w:rsidR="00D458D6" w:rsidRPr="00AC4AEA" w:rsidRDefault="00DB7F4F"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t>M</w:t>
      </w:r>
      <w:r w:rsidR="00D458D6" w:rsidRPr="00AC4AEA">
        <w:rPr>
          <w:rFonts w:ascii="Arial" w:hAnsi="Arial" w:cs="Arial"/>
          <w:sz w:val="20"/>
          <w:szCs w:val="20"/>
        </w:rPr>
        <w:t>uebles y útiles</w:t>
      </w:r>
      <w:r w:rsidR="00645D70" w:rsidRPr="00AC4AEA">
        <w:rPr>
          <w:rFonts w:ascii="Arial" w:hAnsi="Arial" w:cs="Arial"/>
          <w:sz w:val="20"/>
          <w:szCs w:val="20"/>
        </w:rPr>
        <w:t>.</w:t>
      </w:r>
    </w:p>
    <w:p w:rsidR="00D458D6" w:rsidRPr="00AC4AEA" w:rsidRDefault="00DB7F4F"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t>R</w:t>
      </w:r>
      <w:r w:rsidR="00D458D6" w:rsidRPr="00AC4AEA">
        <w:rPr>
          <w:rFonts w:ascii="Arial" w:hAnsi="Arial" w:cs="Arial"/>
          <w:sz w:val="20"/>
          <w:szCs w:val="20"/>
        </w:rPr>
        <w:t>odados</w:t>
      </w:r>
      <w:r w:rsidR="00645D70" w:rsidRPr="00AC4AEA">
        <w:rPr>
          <w:rFonts w:ascii="Arial" w:hAnsi="Arial" w:cs="Arial"/>
          <w:sz w:val="20"/>
          <w:szCs w:val="20"/>
        </w:rPr>
        <w:t>.</w:t>
      </w:r>
    </w:p>
    <w:p w:rsidR="00D458D6" w:rsidRPr="00AC4AEA" w:rsidRDefault="00DB7F4F"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t>A</w:t>
      </w:r>
      <w:r w:rsidR="00D458D6" w:rsidRPr="00AC4AEA">
        <w:rPr>
          <w:rFonts w:ascii="Arial" w:hAnsi="Arial" w:cs="Arial"/>
          <w:sz w:val="20"/>
          <w:szCs w:val="20"/>
        </w:rPr>
        <w:t>eronaves</w:t>
      </w:r>
      <w:r w:rsidR="00645D70" w:rsidRPr="00AC4AEA">
        <w:rPr>
          <w:rFonts w:ascii="Arial" w:hAnsi="Arial" w:cs="Arial"/>
          <w:sz w:val="20"/>
          <w:szCs w:val="20"/>
        </w:rPr>
        <w:t>.</w:t>
      </w:r>
    </w:p>
    <w:p w:rsidR="00D458D6" w:rsidRPr="00AC4AEA" w:rsidRDefault="00DB7F4F"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sz w:val="20"/>
          <w:szCs w:val="20"/>
        </w:rPr>
        <w:t>E</w:t>
      </w:r>
      <w:r w:rsidR="00D458D6" w:rsidRPr="00AC4AEA">
        <w:rPr>
          <w:rFonts w:ascii="Arial" w:hAnsi="Arial" w:cs="Arial"/>
          <w:sz w:val="20"/>
          <w:szCs w:val="20"/>
        </w:rPr>
        <w:t>mbarcaciones.</w:t>
      </w:r>
    </w:p>
    <w:p w:rsidR="009E1E04" w:rsidRPr="00AC4AEA" w:rsidRDefault="007D7512" w:rsidP="00A318EA">
      <w:pPr>
        <w:pStyle w:val="Prrafodelista"/>
        <w:numPr>
          <w:ilvl w:val="1"/>
          <w:numId w:val="10"/>
        </w:numPr>
        <w:ind w:left="1560" w:hanging="567"/>
        <w:contextualSpacing w:val="0"/>
        <w:jc w:val="both"/>
        <w:rPr>
          <w:rFonts w:ascii="Arial" w:hAnsi="Arial" w:cs="Arial"/>
          <w:sz w:val="20"/>
          <w:szCs w:val="20"/>
        </w:rPr>
      </w:pPr>
      <w:r w:rsidRPr="00AC4AEA">
        <w:rPr>
          <w:rFonts w:ascii="Arial" w:hAnsi="Arial" w:cs="Arial"/>
          <w:b/>
          <w:bCs/>
          <w:sz w:val="20"/>
          <w:szCs w:val="20"/>
        </w:rPr>
        <w:t>Activos biológicos utilizados como factor de producción en el curso normal de la</w:t>
      </w:r>
      <w:r w:rsidR="00124C5E" w:rsidRPr="00AC4AEA">
        <w:rPr>
          <w:rFonts w:ascii="Arial" w:hAnsi="Arial" w:cs="Arial"/>
          <w:b/>
          <w:bCs/>
          <w:sz w:val="20"/>
          <w:szCs w:val="20"/>
        </w:rPr>
        <w:t>s</w:t>
      </w:r>
      <w:r w:rsidRPr="00AC4AEA">
        <w:rPr>
          <w:rFonts w:ascii="Arial" w:hAnsi="Arial" w:cs="Arial"/>
          <w:b/>
          <w:bCs/>
          <w:sz w:val="20"/>
          <w:szCs w:val="20"/>
        </w:rPr>
        <w:t xml:space="preserve"> </w:t>
      </w:r>
      <w:r w:rsidR="00124C5E" w:rsidRPr="00AC4AEA">
        <w:rPr>
          <w:rFonts w:ascii="Arial" w:hAnsi="Arial" w:cs="Arial"/>
          <w:b/>
          <w:bCs/>
          <w:sz w:val="20"/>
          <w:szCs w:val="20"/>
        </w:rPr>
        <w:t>operaciones</w:t>
      </w:r>
      <w:r w:rsidR="009E1E04" w:rsidRPr="00AC4AEA">
        <w:rPr>
          <w:rFonts w:ascii="Arial" w:hAnsi="Arial" w:cs="Arial"/>
          <w:sz w:val="20"/>
          <w:szCs w:val="20"/>
        </w:rPr>
        <w:t>.</w:t>
      </w:r>
    </w:p>
    <w:p w:rsidR="00D458D6" w:rsidRPr="00AC4AEA" w:rsidRDefault="00D458D6" w:rsidP="00A318EA">
      <w:pPr>
        <w:ind w:left="720"/>
        <w:jc w:val="both"/>
        <w:rPr>
          <w:rFonts w:ascii="Arial" w:hAnsi="Arial" w:cs="Arial"/>
          <w:b/>
          <w:bCs/>
          <w:sz w:val="20"/>
          <w:szCs w:val="20"/>
        </w:rPr>
      </w:pPr>
    </w:p>
    <w:p w:rsidR="00D458D6" w:rsidRPr="00AC4AEA" w:rsidRDefault="00D458D6" w:rsidP="00A318EA">
      <w:pPr>
        <w:pStyle w:val="Ttulo3"/>
      </w:pPr>
      <w:bookmarkStart w:id="479" w:name="_Toc101863854"/>
      <w:bookmarkStart w:id="480" w:name="_Toc139356724"/>
      <w:r w:rsidRPr="00AC4AEA">
        <w:t>Modelo de costo</w:t>
      </w:r>
      <w:bookmarkEnd w:id="479"/>
      <w:bookmarkEnd w:id="480"/>
    </w:p>
    <w:p w:rsidR="008A0D46" w:rsidRPr="00AC4AEA" w:rsidRDefault="00E169BE" w:rsidP="00A318EA">
      <w:pPr>
        <w:pStyle w:val="A-Normal11"/>
        <w:numPr>
          <w:ilvl w:val="0"/>
          <w:numId w:val="29"/>
        </w:numPr>
        <w:jc w:val="both"/>
        <w:rPr>
          <w:rFonts w:ascii="Arial" w:hAnsi="Arial" w:cs="Arial"/>
          <w:sz w:val="20"/>
        </w:rPr>
      </w:pPr>
      <w:bookmarkStart w:id="481" w:name="_Ref99479322"/>
      <w:r w:rsidRPr="00AC4AEA">
        <w:rPr>
          <w:rFonts w:ascii="Arial" w:hAnsi="Arial" w:cs="Arial"/>
          <w:sz w:val="20"/>
        </w:rPr>
        <w:t>Cuando u</w:t>
      </w:r>
      <w:r w:rsidR="00D458D6" w:rsidRPr="00AC4AEA">
        <w:rPr>
          <w:rFonts w:ascii="Arial" w:hAnsi="Arial" w:cs="Arial"/>
          <w:sz w:val="20"/>
        </w:rPr>
        <w:t xml:space="preserve">na entidad </w:t>
      </w:r>
      <w:r w:rsidRPr="00AC4AEA">
        <w:rPr>
          <w:rFonts w:ascii="Arial" w:hAnsi="Arial" w:cs="Arial"/>
          <w:sz w:val="20"/>
        </w:rPr>
        <w:t xml:space="preserve">utilice el modelo de costo, </w:t>
      </w:r>
      <w:r w:rsidR="00D458D6" w:rsidRPr="00AC4AEA">
        <w:rPr>
          <w:rFonts w:ascii="Arial" w:hAnsi="Arial" w:cs="Arial"/>
          <w:sz w:val="20"/>
        </w:rPr>
        <w:t>medir</w:t>
      </w:r>
      <w:r w:rsidRPr="00AC4AEA">
        <w:rPr>
          <w:rFonts w:ascii="Arial" w:hAnsi="Arial" w:cs="Arial"/>
          <w:sz w:val="20"/>
        </w:rPr>
        <w:t>á</w:t>
      </w:r>
      <w:r w:rsidR="00D458D6" w:rsidRPr="00AC4AEA">
        <w:rPr>
          <w:rFonts w:ascii="Arial" w:hAnsi="Arial" w:cs="Arial"/>
          <w:sz w:val="20"/>
        </w:rPr>
        <w:t xml:space="preserve"> sus bienes de uso al </w:t>
      </w:r>
      <w:r w:rsidR="00D458D6" w:rsidRPr="00AC4AEA">
        <w:rPr>
          <w:rFonts w:ascii="Arial" w:hAnsi="Arial" w:cs="Arial"/>
          <w:b/>
          <w:bCs/>
          <w:sz w:val="20"/>
        </w:rPr>
        <w:t>costo original</w:t>
      </w:r>
      <w:r w:rsidR="00D458D6" w:rsidRPr="00AC4AEA">
        <w:rPr>
          <w:rFonts w:ascii="Arial" w:hAnsi="Arial" w:cs="Arial"/>
          <w:sz w:val="20"/>
        </w:rPr>
        <w:t xml:space="preserve"> menos la depreciación acumulada</w:t>
      </w:r>
      <w:r w:rsidR="00455BA2" w:rsidRPr="00AC4AEA">
        <w:rPr>
          <w:rFonts w:ascii="Arial" w:hAnsi="Arial" w:cs="Arial"/>
          <w:sz w:val="20"/>
        </w:rPr>
        <w:t xml:space="preserve"> y </w:t>
      </w:r>
      <w:r w:rsidR="00FB56B2" w:rsidRPr="00AC4AEA">
        <w:rPr>
          <w:rFonts w:ascii="Arial" w:hAnsi="Arial" w:cs="Arial"/>
          <w:sz w:val="20"/>
        </w:rPr>
        <w:t xml:space="preserve">menos las </w:t>
      </w:r>
      <w:r w:rsidR="00455BA2" w:rsidRPr="00AC4AEA">
        <w:rPr>
          <w:rFonts w:ascii="Arial" w:hAnsi="Arial" w:cs="Arial"/>
          <w:b/>
          <w:bCs/>
          <w:sz w:val="20"/>
        </w:rPr>
        <w:t>pérdidas por desvalorización</w:t>
      </w:r>
      <w:r w:rsidR="004F6EEF" w:rsidRPr="00AC4AEA">
        <w:rPr>
          <w:rFonts w:ascii="Arial" w:hAnsi="Arial" w:cs="Arial"/>
          <w:sz w:val="20"/>
        </w:rPr>
        <w:t xml:space="preserve"> acumuladas</w:t>
      </w:r>
      <w:r w:rsidR="00D458D6" w:rsidRPr="00AC4AEA">
        <w:rPr>
          <w:rFonts w:ascii="Arial" w:hAnsi="Arial" w:cs="Arial"/>
          <w:sz w:val="20"/>
        </w:rPr>
        <w:t>.</w:t>
      </w:r>
      <w:bookmarkEnd w:id="481"/>
      <w:r w:rsidR="008A0D46" w:rsidRPr="00AC4AEA">
        <w:rPr>
          <w:rFonts w:ascii="Arial" w:hAnsi="Arial" w:cs="Arial"/>
          <w:sz w:val="20"/>
        </w:rPr>
        <w:t xml:space="preserve"> </w:t>
      </w:r>
    </w:p>
    <w:p w:rsidR="00D458D6" w:rsidRPr="00AC4AEA" w:rsidRDefault="00D458D6" w:rsidP="00A318EA">
      <w:pPr>
        <w:ind w:left="720"/>
        <w:jc w:val="both"/>
        <w:rPr>
          <w:rFonts w:ascii="Arial" w:hAnsi="Arial" w:cs="Arial"/>
          <w:b/>
          <w:bCs/>
          <w:sz w:val="20"/>
          <w:szCs w:val="20"/>
        </w:rPr>
      </w:pPr>
    </w:p>
    <w:p w:rsidR="00D458D6" w:rsidRPr="00AC4AEA" w:rsidRDefault="00D458D6" w:rsidP="00A318EA">
      <w:pPr>
        <w:pStyle w:val="Ttulo3"/>
      </w:pPr>
      <w:bookmarkStart w:id="482" w:name="_Toc101863855"/>
      <w:bookmarkStart w:id="483" w:name="_Toc139356725"/>
      <w:r w:rsidRPr="00AC4AEA">
        <w:t>Modelo de revaluación</w:t>
      </w:r>
      <w:bookmarkEnd w:id="482"/>
      <w:bookmarkEnd w:id="483"/>
      <w:r w:rsidR="006B0409" w:rsidRPr="00AC4AEA">
        <w:t xml:space="preserve"> </w:t>
      </w:r>
    </w:p>
    <w:p w:rsidR="00D458D6" w:rsidRPr="00AC4AEA" w:rsidRDefault="00B95FAB" w:rsidP="00A318EA">
      <w:pPr>
        <w:pStyle w:val="Ttulo4"/>
      </w:pPr>
      <w:r w:rsidRPr="00AC4AEA">
        <w:t>Descripción</w:t>
      </w:r>
      <w:r w:rsidR="00764D0E" w:rsidRPr="00AC4AEA">
        <w:t xml:space="preserve"> general del modelo</w:t>
      </w:r>
      <w:r w:rsidR="000C35FE" w:rsidRPr="00AC4AEA">
        <w:t xml:space="preserve"> de revaluación</w:t>
      </w:r>
    </w:p>
    <w:p w:rsidR="00BD7827" w:rsidRPr="00AC4AEA" w:rsidRDefault="00455162" w:rsidP="00A318EA">
      <w:pPr>
        <w:pStyle w:val="Prrafodelista"/>
        <w:numPr>
          <w:ilvl w:val="0"/>
          <w:numId w:val="29"/>
        </w:numPr>
        <w:contextualSpacing w:val="0"/>
        <w:jc w:val="both"/>
        <w:rPr>
          <w:rFonts w:ascii="Arial" w:hAnsi="Arial" w:cs="Arial"/>
          <w:sz w:val="20"/>
          <w:szCs w:val="20"/>
        </w:rPr>
      </w:pPr>
      <w:bookmarkStart w:id="484" w:name="_Ref99458042"/>
      <w:r w:rsidRPr="00AC4AEA">
        <w:rPr>
          <w:rFonts w:ascii="Arial" w:hAnsi="Arial" w:cs="Arial"/>
          <w:sz w:val="20"/>
          <w:szCs w:val="20"/>
        </w:rPr>
        <w:t>Cuando utilice el modelo de revaluación</w:t>
      </w:r>
      <w:r w:rsidR="00BD7827" w:rsidRPr="00AC4AEA">
        <w:rPr>
          <w:rFonts w:ascii="Arial" w:hAnsi="Arial" w:cs="Arial"/>
          <w:sz w:val="20"/>
          <w:szCs w:val="20"/>
        </w:rPr>
        <w:t>, una entidad:</w:t>
      </w:r>
      <w:r w:rsidRPr="00AC4AEA">
        <w:rPr>
          <w:rFonts w:ascii="Arial" w:hAnsi="Arial" w:cs="Arial"/>
          <w:sz w:val="20"/>
          <w:szCs w:val="20"/>
        </w:rPr>
        <w:t xml:space="preserve"> </w:t>
      </w:r>
    </w:p>
    <w:p w:rsidR="00BD7827" w:rsidRPr="00AC4AEA" w:rsidRDefault="00B95FAB" w:rsidP="00A318EA">
      <w:pPr>
        <w:pStyle w:val="Prrafodelista"/>
        <w:numPr>
          <w:ilvl w:val="1"/>
          <w:numId w:val="406"/>
        </w:numPr>
        <w:ind w:left="1418"/>
        <w:contextualSpacing w:val="0"/>
        <w:jc w:val="both"/>
        <w:rPr>
          <w:rFonts w:ascii="Arial" w:hAnsi="Arial" w:cs="Arial"/>
          <w:sz w:val="20"/>
          <w:szCs w:val="20"/>
        </w:rPr>
      </w:pPr>
      <w:r w:rsidRPr="00AC4AEA">
        <w:rPr>
          <w:rFonts w:ascii="Arial" w:hAnsi="Arial" w:cs="Arial"/>
          <w:sz w:val="20"/>
          <w:szCs w:val="20"/>
        </w:rPr>
        <w:t xml:space="preserve">medirá </w:t>
      </w:r>
      <w:r w:rsidR="00965A56" w:rsidRPr="00AC4AEA">
        <w:rPr>
          <w:rFonts w:ascii="Arial" w:hAnsi="Arial" w:cs="Arial"/>
          <w:sz w:val="20"/>
          <w:szCs w:val="20"/>
        </w:rPr>
        <w:t xml:space="preserve">un </w:t>
      </w:r>
      <w:r w:rsidRPr="00AC4AEA">
        <w:rPr>
          <w:rFonts w:ascii="Arial" w:hAnsi="Arial" w:cs="Arial"/>
          <w:sz w:val="20"/>
          <w:szCs w:val="20"/>
        </w:rPr>
        <w:t xml:space="preserve">elemento de </w:t>
      </w:r>
      <w:r w:rsidR="00C46A80" w:rsidRPr="00AC4AEA">
        <w:rPr>
          <w:rFonts w:ascii="Arial" w:hAnsi="Arial" w:cs="Arial"/>
          <w:sz w:val="20"/>
          <w:szCs w:val="20"/>
        </w:rPr>
        <w:t>bienes de uso</w:t>
      </w:r>
      <w:r w:rsidRPr="00AC4AEA">
        <w:rPr>
          <w:rFonts w:ascii="Arial" w:hAnsi="Arial" w:cs="Arial"/>
          <w:sz w:val="20"/>
          <w:szCs w:val="20"/>
        </w:rPr>
        <w:t xml:space="preserve"> por su valor revaluado, que es su </w:t>
      </w:r>
      <w:r w:rsidRPr="00AC4AEA">
        <w:rPr>
          <w:rFonts w:ascii="Arial" w:hAnsi="Arial" w:cs="Arial"/>
          <w:b/>
          <w:bCs/>
          <w:sz w:val="20"/>
          <w:szCs w:val="20"/>
        </w:rPr>
        <w:t>valor</w:t>
      </w:r>
      <w:r w:rsidR="00C0721F" w:rsidRPr="00AC4AEA">
        <w:rPr>
          <w:rFonts w:ascii="Arial" w:hAnsi="Arial" w:cs="Arial"/>
          <w:b/>
          <w:bCs/>
          <w:sz w:val="20"/>
          <w:szCs w:val="20"/>
        </w:rPr>
        <w:t xml:space="preserve"> </w:t>
      </w:r>
      <w:r w:rsidRPr="00AC4AEA">
        <w:rPr>
          <w:rFonts w:ascii="Arial" w:hAnsi="Arial" w:cs="Arial"/>
          <w:b/>
          <w:bCs/>
          <w:sz w:val="20"/>
          <w:szCs w:val="20"/>
        </w:rPr>
        <w:t>razonable</w:t>
      </w:r>
      <w:r w:rsidRPr="00AC4AEA">
        <w:rPr>
          <w:rFonts w:ascii="Arial" w:hAnsi="Arial" w:cs="Arial"/>
          <w:sz w:val="20"/>
          <w:szCs w:val="20"/>
        </w:rPr>
        <w:t>, en el momento de la revaluación, menos la depreciación acumulada</w:t>
      </w:r>
      <w:r w:rsidR="006B034D" w:rsidRPr="00AC4AEA">
        <w:rPr>
          <w:rFonts w:ascii="Arial" w:hAnsi="Arial" w:cs="Arial"/>
          <w:sz w:val="20"/>
          <w:szCs w:val="20"/>
        </w:rPr>
        <w:t>,</w:t>
      </w:r>
      <w:r w:rsidRPr="00AC4AEA">
        <w:rPr>
          <w:rFonts w:ascii="Arial" w:hAnsi="Arial" w:cs="Arial"/>
          <w:sz w:val="20"/>
          <w:szCs w:val="20"/>
        </w:rPr>
        <w:t xml:space="preserve"> y</w:t>
      </w:r>
      <w:r w:rsidR="00C0721F" w:rsidRPr="00AC4AEA">
        <w:rPr>
          <w:rFonts w:ascii="Arial" w:hAnsi="Arial" w:cs="Arial"/>
          <w:sz w:val="20"/>
          <w:szCs w:val="20"/>
        </w:rPr>
        <w:t xml:space="preserve"> </w:t>
      </w:r>
      <w:r w:rsidR="004A15FA" w:rsidRPr="00AC4AEA">
        <w:rPr>
          <w:rFonts w:ascii="Arial" w:hAnsi="Arial" w:cs="Arial"/>
          <w:sz w:val="20"/>
          <w:szCs w:val="20"/>
        </w:rPr>
        <w:t xml:space="preserve">menos </w:t>
      </w:r>
      <w:r w:rsidRPr="00AC4AEA">
        <w:rPr>
          <w:rFonts w:ascii="Arial" w:hAnsi="Arial" w:cs="Arial"/>
          <w:sz w:val="20"/>
          <w:szCs w:val="20"/>
        </w:rPr>
        <w:t xml:space="preserve">el importe acumulado de las </w:t>
      </w:r>
      <w:r w:rsidRPr="00AC4AEA">
        <w:rPr>
          <w:rFonts w:ascii="Arial" w:hAnsi="Arial" w:cs="Arial"/>
          <w:b/>
          <w:bCs/>
          <w:sz w:val="20"/>
          <w:szCs w:val="20"/>
        </w:rPr>
        <w:t xml:space="preserve">pérdidas por </w:t>
      </w:r>
      <w:r w:rsidR="00E57081" w:rsidRPr="00AC4AEA">
        <w:rPr>
          <w:rFonts w:ascii="Arial" w:hAnsi="Arial" w:cs="Arial"/>
          <w:b/>
          <w:bCs/>
          <w:sz w:val="20"/>
          <w:szCs w:val="20"/>
        </w:rPr>
        <w:t>desvalorización</w:t>
      </w:r>
      <w:r w:rsidR="00442D39" w:rsidRPr="00AC4AEA">
        <w:rPr>
          <w:rFonts w:ascii="Arial" w:hAnsi="Arial" w:cs="Arial"/>
          <w:sz w:val="20"/>
          <w:szCs w:val="20"/>
        </w:rPr>
        <w:t>;</w:t>
      </w:r>
      <w:r w:rsidRPr="00AC4AEA">
        <w:rPr>
          <w:rFonts w:ascii="Arial" w:hAnsi="Arial" w:cs="Arial"/>
          <w:sz w:val="20"/>
          <w:szCs w:val="20"/>
        </w:rPr>
        <w:t xml:space="preserve"> </w:t>
      </w:r>
    </w:p>
    <w:p w:rsidR="00BD7827" w:rsidRPr="00AC4AEA" w:rsidRDefault="00BD7827" w:rsidP="00A318EA">
      <w:pPr>
        <w:pStyle w:val="Prrafodelista"/>
        <w:numPr>
          <w:ilvl w:val="1"/>
          <w:numId w:val="406"/>
        </w:numPr>
        <w:ind w:left="1418"/>
        <w:contextualSpacing w:val="0"/>
        <w:jc w:val="both"/>
        <w:rPr>
          <w:rFonts w:ascii="Arial" w:hAnsi="Arial" w:cs="Arial"/>
          <w:sz w:val="20"/>
          <w:szCs w:val="20"/>
        </w:rPr>
      </w:pPr>
      <w:r w:rsidRPr="00AC4AEA">
        <w:rPr>
          <w:rFonts w:ascii="Arial" w:hAnsi="Arial" w:cs="Arial"/>
          <w:sz w:val="20"/>
          <w:szCs w:val="20"/>
        </w:rPr>
        <w:t xml:space="preserve">tendrá en cuenta las guías para determinar el </w:t>
      </w:r>
      <w:r w:rsidRPr="00AC4AEA">
        <w:rPr>
          <w:rFonts w:ascii="Arial" w:hAnsi="Arial" w:cs="Arial"/>
          <w:b/>
          <w:bCs/>
          <w:sz w:val="20"/>
          <w:szCs w:val="20"/>
        </w:rPr>
        <w:t>valor razonable</w:t>
      </w:r>
      <w:r w:rsidRPr="00AC4AEA">
        <w:rPr>
          <w:rFonts w:ascii="Arial" w:hAnsi="Arial" w:cs="Arial"/>
          <w:sz w:val="20"/>
          <w:szCs w:val="20"/>
        </w:rPr>
        <w:t xml:space="preserve"> proporcionadas en el apartado “</w:t>
      </w:r>
      <w:r w:rsidRPr="00AC4AEA">
        <w:rPr>
          <w:rFonts w:ascii="Arial" w:hAnsi="Arial" w:cs="Arial"/>
          <w:sz w:val="20"/>
          <w:szCs w:val="20"/>
          <w:u w:val="single"/>
        </w:rPr>
        <w:t>Medición del valor razonable</w:t>
      </w:r>
      <w:r w:rsidRPr="00AC4AEA">
        <w:rPr>
          <w:rFonts w:ascii="Arial" w:hAnsi="Arial" w:cs="Arial"/>
          <w:sz w:val="20"/>
          <w:szCs w:val="20"/>
        </w:rPr>
        <w:t>”</w:t>
      </w:r>
      <w:r w:rsidRPr="00AC4AEA">
        <w:rPr>
          <w:rFonts w:ascii="Arial" w:hAnsi="Arial" w:cs="Arial"/>
          <w:b/>
          <w:bCs/>
          <w:sz w:val="20"/>
          <w:szCs w:val="20"/>
        </w:rPr>
        <w:t xml:space="preserve"> </w:t>
      </w:r>
      <w:r w:rsidRPr="00AC4AEA">
        <w:rPr>
          <w:rFonts w:ascii="Arial" w:hAnsi="Arial" w:cs="Arial"/>
          <w:sz w:val="20"/>
          <w:szCs w:val="20"/>
        </w:rPr>
        <w:t xml:space="preserve">[ver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r w:rsidR="00442D39" w:rsidRPr="00AC4AEA">
        <w:rPr>
          <w:rFonts w:ascii="Arial" w:hAnsi="Arial" w:cs="Arial"/>
          <w:sz w:val="20"/>
          <w:szCs w:val="20"/>
        </w:rPr>
        <w:t>;</w:t>
      </w:r>
    </w:p>
    <w:p w:rsidR="00BD7827" w:rsidRPr="00AC4AEA" w:rsidRDefault="009B6366" w:rsidP="00A318EA">
      <w:pPr>
        <w:pStyle w:val="Prrafodelista"/>
        <w:numPr>
          <w:ilvl w:val="1"/>
          <w:numId w:val="406"/>
        </w:numPr>
        <w:ind w:left="1418"/>
        <w:contextualSpacing w:val="0"/>
        <w:jc w:val="both"/>
        <w:rPr>
          <w:rFonts w:ascii="Arial" w:hAnsi="Arial" w:cs="Arial"/>
          <w:sz w:val="20"/>
          <w:szCs w:val="20"/>
        </w:rPr>
      </w:pPr>
      <w:r w:rsidRPr="00AC4AEA">
        <w:rPr>
          <w:rFonts w:ascii="Arial" w:hAnsi="Arial" w:cs="Arial"/>
          <w:sz w:val="20"/>
          <w:szCs w:val="20"/>
        </w:rPr>
        <w:t xml:space="preserve">hará las revaluaciones con suficiente regularidad, para asegurar que la medición del </w:t>
      </w:r>
      <w:r w:rsidRPr="00AC4AEA">
        <w:rPr>
          <w:rFonts w:ascii="Arial" w:hAnsi="Arial" w:cs="Arial"/>
          <w:b/>
          <w:bCs/>
          <w:sz w:val="20"/>
          <w:szCs w:val="20"/>
        </w:rPr>
        <w:t>activo</w:t>
      </w:r>
      <w:r w:rsidRPr="00AC4AEA">
        <w:rPr>
          <w:rFonts w:ascii="Arial" w:hAnsi="Arial" w:cs="Arial"/>
          <w:sz w:val="20"/>
          <w:szCs w:val="20"/>
        </w:rPr>
        <w:t xml:space="preserve"> no difiera significativamente de la que podría determinarse aplicando el modelo de revaluación a la fecha de cierre</w:t>
      </w:r>
      <w:r w:rsidR="00BD7827" w:rsidRPr="00AC4AEA">
        <w:rPr>
          <w:rFonts w:ascii="Arial" w:hAnsi="Arial" w:cs="Arial"/>
          <w:sz w:val="20"/>
          <w:szCs w:val="20"/>
        </w:rPr>
        <w:t>; y</w:t>
      </w:r>
    </w:p>
    <w:p w:rsidR="00BD7827" w:rsidRPr="00AC4AEA" w:rsidRDefault="00BD7827" w:rsidP="00A318EA">
      <w:pPr>
        <w:pStyle w:val="Prrafodelista"/>
        <w:numPr>
          <w:ilvl w:val="1"/>
          <w:numId w:val="406"/>
        </w:numPr>
        <w:ind w:left="1418"/>
        <w:contextualSpacing w:val="0"/>
        <w:jc w:val="both"/>
        <w:rPr>
          <w:rFonts w:ascii="Arial" w:hAnsi="Arial" w:cs="Arial"/>
          <w:sz w:val="20"/>
          <w:szCs w:val="20"/>
        </w:rPr>
      </w:pPr>
      <w:r w:rsidRPr="00AC4AEA">
        <w:rPr>
          <w:rFonts w:ascii="Arial" w:hAnsi="Arial" w:cs="Arial"/>
          <w:sz w:val="20"/>
          <w:szCs w:val="20"/>
        </w:rPr>
        <w:t xml:space="preserve">revaluará todos los elementos que pertenezca a la misma clase de </w:t>
      </w:r>
      <w:r w:rsidR="00497590" w:rsidRPr="00AC4AEA">
        <w:rPr>
          <w:rFonts w:ascii="Arial" w:hAnsi="Arial" w:cs="Arial"/>
          <w:sz w:val="20"/>
          <w:szCs w:val="20"/>
        </w:rPr>
        <w:t>activos</w:t>
      </w:r>
      <w:r w:rsidRPr="00AC4AEA">
        <w:rPr>
          <w:rFonts w:ascii="Arial" w:hAnsi="Arial" w:cs="Arial"/>
          <w:sz w:val="20"/>
          <w:szCs w:val="20"/>
        </w:rPr>
        <w:t>.</w:t>
      </w:r>
    </w:p>
    <w:p w:rsidR="00605E1C" w:rsidRPr="00AC4AEA" w:rsidRDefault="00605E1C" w:rsidP="00A318EA">
      <w:pPr>
        <w:pStyle w:val="Prrafodelista"/>
        <w:numPr>
          <w:ilvl w:val="0"/>
          <w:numId w:val="29"/>
        </w:numPr>
        <w:contextualSpacing w:val="0"/>
        <w:jc w:val="both"/>
        <w:rPr>
          <w:rFonts w:ascii="Arial" w:hAnsi="Arial" w:cs="Arial"/>
          <w:sz w:val="20"/>
          <w:szCs w:val="20"/>
        </w:rPr>
      </w:pPr>
      <w:bookmarkStart w:id="485" w:name="_Ref103345085"/>
      <w:bookmarkEnd w:id="484"/>
      <w:r w:rsidRPr="00AC4AEA">
        <w:rPr>
          <w:rFonts w:ascii="Arial" w:hAnsi="Arial" w:cs="Arial"/>
          <w:sz w:val="20"/>
          <w:szCs w:val="20"/>
        </w:rPr>
        <w:t>Una entidad imputará la contrapartida de un aumento en la medición de un bien medid</w:t>
      </w:r>
      <w:r w:rsidR="00BD7827" w:rsidRPr="00AC4AEA">
        <w:rPr>
          <w:rFonts w:ascii="Arial" w:hAnsi="Arial" w:cs="Arial"/>
          <w:sz w:val="20"/>
          <w:szCs w:val="20"/>
        </w:rPr>
        <w:t>o</w:t>
      </w:r>
      <w:r w:rsidRPr="00AC4AEA">
        <w:rPr>
          <w:rFonts w:ascii="Arial" w:hAnsi="Arial" w:cs="Arial"/>
          <w:sz w:val="20"/>
          <w:szCs w:val="20"/>
        </w:rPr>
        <w:t xml:space="preserve"> según el modelo de revaluación:</w:t>
      </w:r>
      <w:bookmarkEnd w:id="485"/>
    </w:p>
    <w:p w:rsidR="00605E1C" w:rsidRPr="00AC4AEA" w:rsidRDefault="00605E1C" w:rsidP="00A318EA">
      <w:pPr>
        <w:pStyle w:val="Prrafodelista"/>
        <w:numPr>
          <w:ilvl w:val="0"/>
          <w:numId w:val="92"/>
        </w:numPr>
        <w:ind w:left="1560"/>
        <w:contextualSpacing w:val="0"/>
        <w:jc w:val="both"/>
        <w:rPr>
          <w:rFonts w:ascii="Arial" w:hAnsi="Arial" w:cs="Arial"/>
          <w:sz w:val="20"/>
          <w:szCs w:val="20"/>
        </w:rPr>
      </w:pPr>
      <w:r w:rsidRPr="00AC4AEA">
        <w:rPr>
          <w:rFonts w:ascii="Arial" w:hAnsi="Arial" w:cs="Arial"/>
          <w:sz w:val="20"/>
          <w:szCs w:val="20"/>
        </w:rPr>
        <w:t xml:space="preserve">cuando no reconoció pérdidas por disminución del </w:t>
      </w:r>
      <w:r w:rsidRPr="00AC4AEA">
        <w:rPr>
          <w:rFonts w:ascii="Arial" w:hAnsi="Arial" w:cs="Arial"/>
          <w:b/>
          <w:sz w:val="20"/>
          <w:szCs w:val="20"/>
        </w:rPr>
        <w:t>valor razonable</w:t>
      </w:r>
      <w:r w:rsidRPr="00AC4AEA">
        <w:rPr>
          <w:rFonts w:ascii="Arial" w:hAnsi="Arial" w:cs="Arial"/>
          <w:sz w:val="20"/>
          <w:szCs w:val="20"/>
        </w:rPr>
        <w:t xml:space="preserve"> en los resultados de ejercicios previos</w:t>
      </w:r>
      <w:r w:rsidR="002D5151" w:rsidRPr="00AC4AEA">
        <w:rPr>
          <w:rFonts w:ascii="Arial" w:hAnsi="Arial" w:cs="Arial"/>
          <w:sz w:val="20"/>
          <w:szCs w:val="20"/>
        </w:rPr>
        <w:t xml:space="preserve"> (incluyendo </w:t>
      </w:r>
      <w:r w:rsidR="002D5151" w:rsidRPr="00AC4AEA">
        <w:rPr>
          <w:rFonts w:ascii="Arial" w:hAnsi="Arial" w:cs="Arial"/>
          <w:b/>
          <w:bCs/>
          <w:sz w:val="20"/>
          <w:szCs w:val="20"/>
        </w:rPr>
        <w:t>pérdida</w:t>
      </w:r>
      <w:r w:rsidR="00573386" w:rsidRPr="00AC4AEA">
        <w:rPr>
          <w:rFonts w:ascii="Arial" w:hAnsi="Arial" w:cs="Arial"/>
          <w:b/>
          <w:bCs/>
          <w:sz w:val="20"/>
          <w:szCs w:val="20"/>
        </w:rPr>
        <w:t>s</w:t>
      </w:r>
      <w:r w:rsidR="002D5151" w:rsidRPr="00AC4AEA">
        <w:rPr>
          <w:rFonts w:ascii="Arial" w:hAnsi="Arial" w:cs="Arial"/>
          <w:b/>
          <w:bCs/>
          <w:sz w:val="20"/>
          <w:szCs w:val="20"/>
        </w:rPr>
        <w:t xml:space="preserve"> por desvalorización</w:t>
      </w:r>
      <w:r w:rsidR="00573386" w:rsidRPr="00AC4AEA">
        <w:rPr>
          <w:rFonts w:ascii="Arial" w:hAnsi="Arial" w:cs="Arial"/>
          <w:sz w:val="20"/>
          <w:szCs w:val="20"/>
        </w:rPr>
        <w:t xml:space="preserve"> reconocidas</w:t>
      </w:r>
      <w:r w:rsidR="002D5151" w:rsidRPr="00AC4AEA">
        <w:rPr>
          <w:rFonts w:ascii="Arial" w:hAnsi="Arial" w:cs="Arial"/>
          <w:sz w:val="20"/>
          <w:szCs w:val="20"/>
        </w:rPr>
        <w:t xml:space="preserve"> de acuerdo con los párrafos </w:t>
      </w:r>
      <w:fldSimple w:instr=" REF _Ref99481071 \r \h  \* MERGEFORMAT ">
        <w:r w:rsidR="00D33A5D" w:rsidRPr="00D33A5D">
          <w:rPr>
            <w:rFonts w:ascii="Arial" w:hAnsi="Arial" w:cs="Arial"/>
            <w:sz w:val="20"/>
            <w:szCs w:val="20"/>
          </w:rPr>
          <w:t>145</w:t>
        </w:r>
      </w:fldSimple>
      <w:r w:rsidR="002D5151" w:rsidRPr="00AC4AEA">
        <w:rPr>
          <w:rFonts w:ascii="Arial" w:hAnsi="Arial" w:cs="Arial"/>
          <w:sz w:val="20"/>
          <w:szCs w:val="20"/>
        </w:rPr>
        <w:t xml:space="preserve"> a </w:t>
      </w:r>
      <w:fldSimple w:instr=" REF _Ref99481072 \r \h  \* MERGEFORMAT ">
        <w:r w:rsidR="00D33A5D" w:rsidRPr="00D33A5D">
          <w:rPr>
            <w:rFonts w:ascii="Arial" w:hAnsi="Arial" w:cs="Arial"/>
            <w:sz w:val="20"/>
            <w:szCs w:val="20"/>
          </w:rPr>
          <w:t>175</w:t>
        </w:r>
      </w:fldSimple>
      <w:r w:rsidR="002D5151" w:rsidRPr="00AC4AEA">
        <w:rPr>
          <w:rFonts w:ascii="Arial" w:hAnsi="Arial" w:cs="Arial"/>
          <w:sz w:val="20"/>
          <w:szCs w:val="20"/>
        </w:rPr>
        <w:t>)</w:t>
      </w:r>
      <w:r w:rsidRPr="00AC4AEA">
        <w:rPr>
          <w:rFonts w:ascii="Arial" w:hAnsi="Arial" w:cs="Arial"/>
          <w:sz w:val="20"/>
          <w:szCs w:val="20"/>
        </w:rPr>
        <w:t xml:space="preserve">, al </w:t>
      </w:r>
      <w:r w:rsidRPr="00AC4AEA">
        <w:rPr>
          <w:rFonts w:ascii="Arial" w:hAnsi="Arial" w:cs="Arial"/>
          <w:b/>
          <w:bCs/>
          <w:sz w:val="20"/>
          <w:szCs w:val="20"/>
        </w:rPr>
        <w:t xml:space="preserve">saldo por revaluación </w:t>
      </w:r>
      <w:r w:rsidRPr="00AC4AEA">
        <w:rPr>
          <w:rFonts w:ascii="Arial" w:hAnsi="Arial" w:cs="Arial"/>
          <w:sz w:val="20"/>
          <w:szCs w:val="20"/>
        </w:rPr>
        <w:t xml:space="preserve">(que es parte de los </w:t>
      </w:r>
      <w:r w:rsidRPr="00AC4AEA">
        <w:rPr>
          <w:rFonts w:ascii="Arial" w:hAnsi="Arial" w:cs="Arial"/>
          <w:b/>
          <w:bCs/>
          <w:sz w:val="20"/>
          <w:szCs w:val="20"/>
        </w:rPr>
        <w:t>resultados diferidos</w:t>
      </w:r>
      <w:r w:rsidRPr="00AC4AEA">
        <w:rPr>
          <w:rFonts w:ascii="Arial" w:hAnsi="Arial" w:cs="Arial"/>
          <w:sz w:val="20"/>
          <w:szCs w:val="20"/>
        </w:rPr>
        <w:t>); y</w:t>
      </w:r>
    </w:p>
    <w:p w:rsidR="00605E1C" w:rsidRPr="00AC4AEA" w:rsidRDefault="00605E1C" w:rsidP="00A318EA">
      <w:pPr>
        <w:pStyle w:val="Prrafodelista"/>
        <w:numPr>
          <w:ilvl w:val="0"/>
          <w:numId w:val="92"/>
        </w:numPr>
        <w:ind w:left="1560"/>
        <w:contextualSpacing w:val="0"/>
        <w:jc w:val="both"/>
        <w:rPr>
          <w:rFonts w:ascii="Arial" w:hAnsi="Arial" w:cs="Arial"/>
          <w:sz w:val="20"/>
          <w:szCs w:val="20"/>
        </w:rPr>
      </w:pPr>
      <w:r w:rsidRPr="00AC4AEA">
        <w:rPr>
          <w:rFonts w:ascii="Arial" w:hAnsi="Arial" w:cs="Arial"/>
          <w:sz w:val="20"/>
          <w:szCs w:val="20"/>
        </w:rPr>
        <w:lastRenderedPageBreak/>
        <w:t xml:space="preserve">cuando reconoció pérdidas por disminución del </w:t>
      </w:r>
      <w:r w:rsidRPr="00AC4AEA">
        <w:rPr>
          <w:rFonts w:ascii="Arial" w:hAnsi="Arial" w:cs="Arial"/>
          <w:b/>
          <w:sz w:val="20"/>
          <w:szCs w:val="20"/>
        </w:rPr>
        <w:t>valor razonable</w:t>
      </w:r>
      <w:r w:rsidRPr="00AC4AEA">
        <w:rPr>
          <w:rFonts w:ascii="Arial" w:hAnsi="Arial" w:cs="Arial"/>
          <w:sz w:val="20"/>
          <w:szCs w:val="20"/>
        </w:rPr>
        <w:t xml:space="preserve"> en los resultados de ejercicios previos</w:t>
      </w:r>
      <w:r w:rsidR="00573386" w:rsidRPr="00AC4AEA">
        <w:rPr>
          <w:rFonts w:ascii="Arial" w:hAnsi="Arial" w:cs="Arial"/>
          <w:sz w:val="20"/>
          <w:szCs w:val="20"/>
        </w:rPr>
        <w:t xml:space="preserve"> (incluyendo </w:t>
      </w:r>
      <w:r w:rsidR="00573386" w:rsidRPr="00AC4AEA">
        <w:rPr>
          <w:rFonts w:ascii="Arial" w:hAnsi="Arial" w:cs="Arial"/>
          <w:b/>
          <w:bCs/>
          <w:sz w:val="20"/>
          <w:szCs w:val="20"/>
        </w:rPr>
        <w:t>pérdidas por desvalorización</w:t>
      </w:r>
      <w:r w:rsidR="00573386" w:rsidRPr="00AC4AEA">
        <w:rPr>
          <w:rFonts w:ascii="Arial" w:hAnsi="Arial" w:cs="Arial"/>
          <w:sz w:val="20"/>
          <w:szCs w:val="20"/>
        </w:rPr>
        <w:t xml:space="preserve"> reconocidas de acuerdo con los párrafos </w:t>
      </w:r>
      <w:fldSimple w:instr=" REF _Ref99481071 \r \h  \* MERGEFORMAT ">
        <w:r w:rsidR="00D33A5D" w:rsidRPr="00D33A5D">
          <w:rPr>
            <w:rFonts w:ascii="Arial" w:hAnsi="Arial" w:cs="Arial"/>
            <w:sz w:val="20"/>
            <w:szCs w:val="20"/>
          </w:rPr>
          <w:t>145</w:t>
        </w:r>
      </w:fldSimple>
      <w:r w:rsidR="00573386" w:rsidRPr="00AC4AEA">
        <w:rPr>
          <w:rFonts w:ascii="Arial" w:hAnsi="Arial" w:cs="Arial"/>
          <w:sz w:val="20"/>
          <w:szCs w:val="20"/>
        </w:rPr>
        <w:t xml:space="preserve"> a </w:t>
      </w:r>
      <w:fldSimple w:instr=" REF _Ref99481072 \r \h  \* MERGEFORMAT ">
        <w:r w:rsidR="00D33A5D" w:rsidRPr="00D33A5D">
          <w:rPr>
            <w:rFonts w:ascii="Arial" w:hAnsi="Arial" w:cs="Arial"/>
            <w:sz w:val="20"/>
            <w:szCs w:val="20"/>
          </w:rPr>
          <w:t>175</w:t>
        </w:r>
      </w:fldSimple>
      <w:r w:rsidR="00573386" w:rsidRPr="00AC4AEA">
        <w:rPr>
          <w:rFonts w:ascii="Arial" w:hAnsi="Arial" w:cs="Arial"/>
          <w:sz w:val="20"/>
          <w:szCs w:val="20"/>
        </w:rPr>
        <w:t>)</w:t>
      </w:r>
      <w:r w:rsidRPr="00AC4AEA">
        <w:rPr>
          <w:rFonts w:ascii="Arial" w:hAnsi="Arial" w:cs="Arial"/>
          <w:sz w:val="20"/>
          <w:szCs w:val="20"/>
        </w:rPr>
        <w:t>:</w:t>
      </w:r>
    </w:p>
    <w:p w:rsidR="00605E1C" w:rsidRPr="00AC4AEA" w:rsidRDefault="00605E1C" w:rsidP="00A318EA">
      <w:pPr>
        <w:pStyle w:val="Prrafodelista"/>
        <w:numPr>
          <w:ilvl w:val="0"/>
          <w:numId w:val="93"/>
        </w:numPr>
        <w:ind w:left="1985"/>
        <w:contextualSpacing w:val="0"/>
        <w:jc w:val="both"/>
        <w:rPr>
          <w:rFonts w:ascii="Arial" w:hAnsi="Arial" w:cs="Arial"/>
          <w:sz w:val="20"/>
          <w:szCs w:val="20"/>
        </w:rPr>
      </w:pPr>
      <w:r w:rsidRPr="00AC4AEA">
        <w:rPr>
          <w:rFonts w:ascii="Arial" w:hAnsi="Arial" w:cs="Arial"/>
          <w:sz w:val="20"/>
          <w:szCs w:val="20"/>
        </w:rPr>
        <w:t>al resultado del ejercicio por un importe equivalente -como máximo- al de las pérdidas previamente reconocidas (menos la depreciación adicional que hubiese contabilizado sin dicha desvalorización); y</w:t>
      </w:r>
    </w:p>
    <w:p w:rsidR="00605E1C" w:rsidRPr="00AC4AEA" w:rsidRDefault="00605E1C" w:rsidP="00A318EA">
      <w:pPr>
        <w:pStyle w:val="Prrafodelista"/>
        <w:numPr>
          <w:ilvl w:val="0"/>
          <w:numId w:val="93"/>
        </w:numPr>
        <w:ind w:left="1985"/>
        <w:contextualSpacing w:val="0"/>
        <w:jc w:val="both"/>
        <w:rPr>
          <w:rFonts w:ascii="Arial" w:hAnsi="Arial" w:cs="Arial"/>
          <w:sz w:val="20"/>
          <w:szCs w:val="20"/>
        </w:rPr>
      </w:pPr>
      <w:r w:rsidRPr="00AC4AEA">
        <w:rPr>
          <w:rFonts w:ascii="Arial" w:hAnsi="Arial" w:cs="Arial"/>
          <w:sz w:val="20"/>
          <w:szCs w:val="20"/>
        </w:rPr>
        <w:t xml:space="preserve">al </w:t>
      </w:r>
      <w:r w:rsidRPr="00AC4AEA">
        <w:rPr>
          <w:rFonts w:ascii="Arial" w:hAnsi="Arial" w:cs="Arial"/>
          <w:b/>
          <w:bCs/>
          <w:sz w:val="20"/>
          <w:szCs w:val="20"/>
        </w:rPr>
        <w:t>saldo por revaluación</w:t>
      </w:r>
      <w:r w:rsidRPr="00AC4AEA" w:rsidDel="00381FBC">
        <w:rPr>
          <w:rFonts w:ascii="Arial" w:hAnsi="Arial" w:cs="Arial"/>
          <w:sz w:val="20"/>
          <w:szCs w:val="20"/>
        </w:rPr>
        <w:t xml:space="preserve"> </w:t>
      </w:r>
      <w:r w:rsidRPr="00AC4AEA">
        <w:rPr>
          <w:rFonts w:ascii="Arial" w:hAnsi="Arial" w:cs="Arial"/>
          <w:sz w:val="20"/>
          <w:szCs w:val="20"/>
        </w:rPr>
        <w:t>por el exceso entre el mayor valor y la reversión referida en el inciso anterior.</w:t>
      </w:r>
    </w:p>
    <w:p w:rsidR="00605E1C" w:rsidRPr="00AC4AEA" w:rsidRDefault="00605E1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imputará una disminución en la medición de un bien medid</w:t>
      </w:r>
      <w:r w:rsidR="00BD7827" w:rsidRPr="00AC4AEA">
        <w:rPr>
          <w:rFonts w:ascii="Arial" w:hAnsi="Arial" w:cs="Arial"/>
          <w:sz w:val="20"/>
          <w:szCs w:val="20"/>
        </w:rPr>
        <w:t>o</w:t>
      </w:r>
      <w:r w:rsidRPr="00AC4AEA">
        <w:rPr>
          <w:rFonts w:ascii="Arial" w:hAnsi="Arial" w:cs="Arial"/>
          <w:sz w:val="20"/>
          <w:szCs w:val="20"/>
        </w:rPr>
        <w:t xml:space="preserve"> según el modelo de revaluación</w:t>
      </w:r>
      <w:r w:rsidR="00A857F6" w:rsidRPr="00AC4AEA">
        <w:rPr>
          <w:rFonts w:ascii="Arial" w:hAnsi="Arial" w:cs="Arial"/>
          <w:sz w:val="20"/>
          <w:szCs w:val="20"/>
        </w:rPr>
        <w:t xml:space="preserve">, incluyendo sus </w:t>
      </w:r>
      <w:r w:rsidR="00A857F6" w:rsidRPr="00AC4AEA">
        <w:rPr>
          <w:rFonts w:ascii="Arial" w:hAnsi="Arial" w:cs="Arial"/>
          <w:b/>
          <w:bCs/>
          <w:sz w:val="20"/>
          <w:szCs w:val="20"/>
        </w:rPr>
        <w:t>pérdidas por desvalorización</w:t>
      </w:r>
      <w:r w:rsidRPr="00AC4AEA">
        <w:rPr>
          <w:rFonts w:ascii="Arial" w:hAnsi="Arial" w:cs="Arial"/>
          <w:sz w:val="20"/>
          <w:szCs w:val="20"/>
        </w:rPr>
        <w:t>:</w:t>
      </w:r>
    </w:p>
    <w:p w:rsidR="00605E1C" w:rsidRPr="00AC4AEA" w:rsidRDefault="00965A56" w:rsidP="00A318EA">
      <w:pPr>
        <w:pStyle w:val="Prrafodelista"/>
        <w:numPr>
          <w:ilvl w:val="0"/>
          <w:numId w:val="94"/>
        </w:numPr>
        <w:ind w:left="1560"/>
        <w:contextualSpacing w:val="0"/>
        <w:jc w:val="both"/>
        <w:rPr>
          <w:rFonts w:ascii="Arial" w:hAnsi="Arial" w:cs="Arial"/>
          <w:sz w:val="20"/>
          <w:szCs w:val="20"/>
        </w:rPr>
      </w:pPr>
      <w:r w:rsidRPr="00AC4AEA">
        <w:rPr>
          <w:rFonts w:ascii="Arial" w:hAnsi="Arial" w:cs="Arial"/>
          <w:sz w:val="20"/>
          <w:szCs w:val="20"/>
        </w:rPr>
        <w:t>E</w:t>
      </w:r>
      <w:r w:rsidR="00DF69DA" w:rsidRPr="00AC4AEA">
        <w:rPr>
          <w:rFonts w:ascii="Arial" w:hAnsi="Arial" w:cs="Arial"/>
          <w:sz w:val="20"/>
          <w:szCs w:val="20"/>
        </w:rPr>
        <w:t xml:space="preserve">n la medida en que </w:t>
      </w:r>
      <w:r w:rsidR="009A45BF" w:rsidRPr="00AC4AEA">
        <w:rPr>
          <w:rFonts w:ascii="Arial" w:hAnsi="Arial" w:cs="Arial"/>
          <w:sz w:val="20"/>
          <w:szCs w:val="20"/>
        </w:rPr>
        <w:t xml:space="preserve">no </w:t>
      </w:r>
      <w:r w:rsidR="00DF69DA" w:rsidRPr="00AC4AEA">
        <w:rPr>
          <w:rFonts w:ascii="Arial" w:hAnsi="Arial" w:cs="Arial"/>
          <w:sz w:val="20"/>
          <w:szCs w:val="20"/>
        </w:rPr>
        <w:t>existiera</w:t>
      </w:r>
      <w:r w:rsidR="005645FD" w:rsidRPr="00AC4AEA">
        <w:rPr>
          <w:rFonts w:ascii="Arial" w:hAnsi="Arial" w:cs="Arial"/>
          <w:sz w:val="20"/>
          <w:szCs w:val="20"/>
        </w:rPr>
        <w:t xml:space="preserve"> en el </w:t>
      </w:r>
      <w:r w:rsidR="005645FD" w:rsidRPr="00AC4AEA">
        <w:rPr>
          <w:rFonts w:ascii="Arial" w:hAnsi="Arial" w:cs="Arial"/>
          <w:b/>
          <w:bCs/>
          <w:sz w:val="20"/>
          <w:szCs w:val="20"/>
        </w:rPr>
        <w:t>patrimonio neto</w:t>
      </w:r>
      <w:r w:rsidR="00DF69DA" w:rsidRPr="00AC4AEA">
        <w:rPr>
          <w:rFonts w:ascii="Arial" w:hAnsi="Arial" w:cs="Arial"/>
          <w:sz w:val="20"/>
          <w:szCs w:val="20"/>
        </w:rPr>
        <w:t xml:space="preserve"> </w:t>
      </w:r>
      <w:r w:rsidR="004F4B99" w:rsidRPr="00AC4AEA">
        <w:rPr>
          <w:rFonts w:ascii="Arial" w:hAnsi="Arial" w:cs="Arial"/>
          <w:sz w:val="20"/>
          <w:szCs w:val="20"/>
        </w:rPr>
        <w:t xml:space="preserve">un </w:t>
      </w:r>
      <w:r w:rsidR="00DF69DA" w:rsidRPr="00AC4AEA">
        <w:rPr>
          <w:rFonts w:ascii="Arial" w:hAnsi="Arial" w:cs="Arial"/>
          <w:b/>
          <w:bCs/>
          <w:sz w:val="20"/>
          <w:szCs w:val="20"/>
        </w:rPr>
        <w:t xml:space="preserve">saldo </w:t>
      </w:r>
      <w:r w:rsidR="004F4B99" w:rsidRPr="00AC4AEA">
        <w:rPr>
          <w:rFonts w:ascii="Arial" w:hAnsi="Arial" w:cs="Arial"/>
          <w:b/>
          <w:bCs/>
          <w:sz w:val="20"/>
          <w:szCs w:val="20"/>
        </w:rPr>
        <w:t>por revaluación</w:t>
      </w:r>
      <w:r w:rsidR="004F4B99" w:rsidRPr="00AC4AEA">
        <w:rPr>
          <w:rFonts w:ascii="Arial" w:hAnsi="Arial" w:cs="Arial"/>
          <w:sz w:val="20"/>
          <w:szCs w:val="20"/>
        </w:rPr>
        <w:t xml:space="preserve"> </w:t>
      </w:r>
      <w:r w:rsidR="005645FD" w:rsidRPr="00AC4AEA">
        <w:rPr>
          <w:rFonts w:ascii="Arial" w:hAnsi="Arial" w:cs="Arial"/>
          <w:sz w:val="20"/>
          <w:szCs w:val="20"/>
        </w:rPr>
        <w:t>vinculado con</w:t>
      </w:r>
      <w:r w:rsidR="00DF69DA" w:rsidRPr="00AC4AEA">
        <w:rPr>
          <w:rFonts w:ascii="Arial" w:hAnsi="Arial" w:cs="Arial"/>
          <w:sz w:val="20"/>
          <w:szCs w:val="20"/>
        </w:rPr>
        <w:t xml:space="preserve"> ese</w:t>
      </w:r>
      <w:r w:rsidR="004F4B99" w:rsidRPr="00AC4AEA">
        <w:rPr>
          <w:rFonts w:ascii="Arial" w:hAnsi="Arial" w:cs="Arial"/>
          <w:sz w:val="20"/>
          <w:szCs w:val="20"/>
        </w:rPr>
        <w:t xml:space="preserve"> </w:t>
      </w:r>
      <w:r w:rsidR="00DF69DA" w:rsidRPr="00AC4AEA">
        <w:rPr>
          <w:rFonts w:ascii="Arial" w:hAnsi="Arial" w:cs="Arial"/>
          <w:b/>
          <w:bCs/>
          <w:sz w:val="20"/>
          <w:szCs w:val="20"/>
        </w:rPr>
        <w:t>activo</w:t>
      </w:r>
      <w:r w:rsidRPr="00AC4AEA">
        <w:rPr>
          <w:rFonts w:ascii="Arial" w:hAnsi="Arial" w:cs="Arial"/>
          <w:sz w:val="20"/>
          <w:szCs w:val="20"/>
        </w:rPr>
        <w:t>, al resultado del período.</w:t>
      </w:r>
    </w:p>
    <w:p w:rsidR="00605E1C" w:rsidRPr="00AC4AEA" w:rsidRDefault="00082001" w:rsidP="00A318EA">
      <w:pPr>
        <w:pStyle w:val="Prrafodelista"/>
        <w:numPr>
          <w:ilvl w:val="0"/>
          <w:numId w:val="94"/>
        </w:numPr>
        <w:ind w:left="1560"/>
        <w:contextualSpacing w:val="0"/>
        <w:jc w:val="both"/>
        <w:rPr>
          <w:rFonts w:ascii="Arial" w:hAnsi="Arial" w:cs="Arial"/>
          <w:sz w:val="20"/>
          <w:szCs w:val="20"/>
        </w:rPr>
      </w:pPr>
      <w:r w:rsidRPr="00AC4AEA">
        <w:rPr>
          <w:rFonts w:ascii="Arial" w:hAnsi="Arial" w:cs="Arial"/>
          <w:sz w:val="20"/>
          <w:szCs w:val="20"/>
        </w:rPr>
        <w:t>C</w:t>
      </w:r>
      <w:r w:rsidR="009A45BF" w:rsidRPr="00AC4AEA">
        <w:rPr>
          <w:rFonts w:ascii="Arial" w:hAnsi="Arial" w:cs="Arial"/>
          <w:sz w:val="20"/>
          <w:szCs w:val="20"/>
        </w:rPr>
        <w:t xml:space="preserve">uando existiera </w:t>
      </w:r>
      <w:r w:rsidR="005645FD" w:rsidRPr="00AC4AEA">
        <w:rPr>
          <w:rFonts w:ascii="Arial" w:hAnsi="Arial" w:cs="Arial"/>
          <w:sz w:val="20"/>
          <w:szCs w:val="20"/>
        </w:rPr>
        <w:t xml:space="preserve">en el </w:t>
      </w:r>
      <w:r w:rsidR="005645FD" w:rsidRPr="00AC4AEA">
        <w:rPr>
          <w:rFonts w:ascii="Arial" w:hAnsi="Arial" w:cs="Arial"/>
          <w:b/>
          <w:bCs/>
          <w:sz w:val="20"/>
          <w:szCs w:val="20"/>
        </w:rPr>
        <w:t>patrimonio neto</w:t>
      </w:r>
      <w:r w:rsidR="005645FD" w:rsidRPr="00AC4AEA">
        <w:rPr>
          <w:rFonts w:ascii="Arial" w:hAnsi="Arial" w:cs="Arial"/>
          <w:sz w:val="20"/>
          <w:szCs w:val="20"/>
        </w:rPr>
        <w:t xml:space="preserve"> </w:t>
      </w:r>
      <w:r w:rsidR="009A45BF" w:rsidRPr="00AC4AEA">
        <w:rPr>
          <w:rFonts w:ascii="Arial" w:hAnsi="Arial" w:cs="Arial"/>
          <w:sz w:val="20"/>
          <w:szCs w:val="20"/>
        </w:rPr>
        <w:t xml:space="preserve">un </w:t>
      </w:r>
      <w:r w:rsidR="009A45BF" w:rsidRPr="00AC4AEA">
        <w:rPr>
          <w:rFonts w:ascii="Arial" w:hAnsi="Arial" w:cs="Arial"/>
          <w:b/>
          <w:bCs/>
          <w:sz w:val="20"/>
          <w:szCs w:val="20"/>
        </w:rPr>
        <w:t>saldo por revaluación</w:t>
      </w:r>
      <w:r w:rsidR="009A45BF" w:rsidRPr="00AC4AEA">
        <w:rPr>
          <w:rFonts w:ascii="Arial" w:hAnsi="Arial" w:cs="Arial"/>
          <w:sz w:val="20"/>
          <w:szCs w:val="20"/>
        </w:rPr>
        <w:t xml:space="preserve"> </w:t>
      </w:r>
      <w:r w:rsidR="005645FD" w:rsidRPr="00AC4AEA">
        <w:rPr>
          <w:rFonts w:ascii="Arial" w:hAnsi="Arial" w:cs="Arial"/>
          <w:sz w:val="20"/>
          <w:szCs w:val="20"/>
        </w:rPr>
        <w:t>vinculado</w:t>
      </w:r>
      <w:r w:rsidR="00BD7827" w:rsidRPr="00AC4AEA">
        <w:rPr>
          <w:rFonts w:ascii="Arial" w:hAnsi="Arial" w:cs="Arial"/>
          <w:sz w:val="20"/>
          <w:szCs w:val="20"/>
        </w:rPr>
        <w:t xml:space="preserve"> </w:t>
      </w:r>
      <w:r w:rsidR="009A45BF" w:rsidRPr="00AC4AEA">
        <w:rPr>
          <w:rFonts w:ascii="Arial" w:hAnsi="Arial" w:cs="Arial"/>
          <w:sz w:val="20"/>
          <w:szCs w:val="20"/>
        </w:rPr>
        <w:t xml:space="preserve">con ese </w:t>
      </w:r>
      <w:r w:rsidR="009A45BF" w:rsidRPr="00AC4AEA">
        <w:rPr>
          <w:rFonts w:ascii="Arial" w:hAnsi="Arial" w:cs="Arial"/>
          <w:b/>
          <w:bCs/>
          <w:sz w:val="20"/>
          <w:szCs w:val="20"/>
        </w:rPr>
        <w:t>activo</w:t>
      </w:r>
      <w:r w:rsidR="00605E1C" w:rsidRPr="00AC4AEA">
        <w:rPr>
          <w:rFonts w:ascii="Arial" w:hAnsi="Arial" w:cs="Arial"/>
          <w:sz w:val="20"/>
          <w:szCs w:val="20"/>
        </w:rPr>
        <w:t>:</w:t>
      </w:r>
    </w:p>
    <w:p w:rsidR="00323DAF" w:rsidRPr="00AC4AEA" w:rsidRDefault="00323DAF" w:rsidP="00A318EA">
      <w:pPr>
        <w:pStyle w:val="Prrafodelista"/>
        <w:numPr>
          <w:ilvl w:val="0"/>
          <w:numId w:val="95"/>
        </w:numPr>
        <w:ind w:left="1985"/>
        <w:contextualSpacing w:val="0"/>
        <w:jc w:val="both"/>
        <w:rPr>
          <w:rFonts w:ascii="Arial" w:hAnsi="Arial" w:cs="Arial"/>
          <w:sz w:val="20"/>
          <w:szCs w:val="20"/>
        </w:rPr>
      </w:pPr>
      <w:r w:rsidRPr="00AC4AEA">
        <w:rPr>
          <w:rFonts w:ascii="Arial" w:hAnsi="Arial" w:cs="Arial"/>
          <w:sz w:val="20"/>
          <w:szCs w:val="20"/>
        </w:rPr>
        <w:t xml:space="preserve">como una disminución del </w:t>
      </w:r>
      <w:r w:rsidRPr="00AC4AEA">
        <w:rPr>
          <w:rFonts w:ascii="Arial" w:hAnsi="Arial" w:cs="Arial"/>
          <w:b/>
          <w:bCs/>
          <w:sz w:val="20"/>
          <w:szCs w:val="20"/>
        </w:rPr>
        <w:t>saldo por revaluación</w:t>
      </w:r>
      <w:r w:rsidRPr="00AC4AEA">
        <w:rPr>
          <w:rFonts w:ascii="Arial" w:hAnsi="Arial" w:cs="Arial"/>
          <w:sz w:val="20"/>
          <w:szCs w:val="20"/>
        </w:rPr>
        <w:t>, por el menor entre:</w:t>
      </w:r>
    </w:p>
    <w:p w:rsidR="00323DAF" w:rsidRPr="00AC4AEA" w:rsidRDefault="00323DAF" w:rsidP="00A318EA">
      <w:pPr>
        <w:pStyle w:val="Prrafodelista"/>
        <w:numPr>
          <w:ilvl w:val="3"/>
          <w:numId w:val="95"/>
        </w:numPr>
        <w:contextualSpacing w:val="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saldo por revaluación</w:t>
      </w:r>
      <w:r w:rsidRPr="00AC4AEA">
        <w:rPr>
          <w:rFonts w:ascii="Arial" w:hAnsi="Arial" w:cs="Arial"/>
          <w:sz w:val="20"/>
          <w:szCs w:val="20"/>
        </w:rPr>
        <w:t xml:space="preserve"> propiamente dicho; y</w:t>
      </w:r>
    </w:p>
    <w:p w:rsidR="00323DAF" w:rsidRPr="00AC4AEA" w:rsidRDefault="00323DAF" w:rsidP="00A318EA">
      <w:pPr>
        <w:pStyle w:val="Prrafodelista"/>
        <w:numPr>
          <w:ilvl w:val="3"/>
          <w:numId w:val="95"/>
        </w:numPr>
        <w:contextualSpacing w:val="0"/>
        <w:jc w:val="both"/>
        <w:rPr>
          <w:rFonts w:ascii="Arial" w:hAnsi="Arial" w:cs="Arial"/>
          <w:sz w:val="20"/>
          <w:szCs w:val="20"/>
        </w:rPr>
      </w:pPr>
      <w:r w:rsidRPr="00AC4AEA">
        <w:rPr>
          <w:rFonts w:ascii="Arial" w:hAnsi="Arial" w:cs="Arial"/>
          <w:sz w:val="20"/>
          <w:szCs w:val="20"/>
        </w:rPr>
        <w:t xml:space="preserve">el monto de la revaluación neto de las depreciaciones acumuladas, contenido en la medición del </w:t>
      </w:r>
      <w:r w:rsidRPr="0086335F">
        <w:rPr>
          <w:rFonts w:ascii="Arial" w:hAnsi="Arial" w:cs="Arial"/>
          <w:b/>
          <w:bCs/>
          <w:sz w:val="20"/>
          <w:szCs w:val="20"/>
        </w:rPr>
        <w:t xml:space="preserve">activo </w:t>
      </w:r>
      <w:r w:rsidRPr="00AC4AEA">
        <w:rPr>
          <w:rFonts w:ascii="Arial" w:hAnsi="Arial" w:cs="Arial"/>
          <w:sz w:val="20"/>
          <w:szCs w:val="20"/>
        </w:rPr>
        <w:t>revaluado.</w:t>
      </w:r>
    </w:p>
    <w:p w:rsidR="00323DAF" w:rsidRPr="00AC4AEA" w:rsidRDefault="00323DAF" w:rsidP="00A318EA">
      <w:pPr>
        <w:pStyle w:val="Prrafodelista"/>
        <w:numPr>
          <w:ilvl w:val="0"/>
          <w:numId w:val="95"/>
        </w:numPr>
        <w:ind w:left="1985"/>
        <w:contextualSpacing w:val="0"/>
        <w:jc w:val="both"/>
        <w:rPr>
          <w:rFonts w:ascii="Arial" w:hAnsi="Arial" w:cs="Arial"/>
          <w:sz w:val="20"/>
          <w:szCs w:val="20"/>
          <w:u w:val="single"/>
        </w:rPr>
      </w:pPr>
      <w:r w:rsidRPr="00AC4AEA">
        <w:rPr>
          <w:rFonts w:ascii="Arial" w:hAnsi="Arial" w:cs="Arial"/>
          <w:sz w:val="20"/>
          <w:szCs w:val="20"/>
        </w:rPr>
        <w:t>como un resultado negativo del ejercicio, si existiere un remanente luego de la imputación referida en el inciso anterior.</w:t>
      </w:r>
    </w:p>
    <w:p w:rsidR="00D458D6" w:rsidRPr="00AC4AEA" w:rsidRDefault="00BD782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efectos de contabilizar la contrapartida (</w:t>
      </w:r>
      <w:r w:rsidRPr="00AC4AEA">
        <w:rPr>
          <w:rFonts w:ascii="Arial" w:hAnsi="Arial" w:cs="Arial"/>
          <w:b/>
          <w:bCs/>
          <w:sz w:val="20"/>
          <w:szCs w:val="20"/>
        </w:rPr>
        <w:t>saldo por revaluación</w:t>
      </w:r>
      <w:r w:rsidRPr="00AC4AEA" w:rsidDel="00381FBC">
        <w:rPr>
          <w:rFonts w:ascii="Arial" w:hAnsi="Arial" w:cs="Arial"/>
          <w:sz w:val="20"/>
          <w:szCs w:val="20"/>
        </w:rPr>
        <w:t xml:space="preserve"> </w:t>
      </w:r>
      <w:r w:rsidRPr="00AC4AEA">
        <w:rPr>
          <w:rFonts w:ascii="Arial" w:hAnsi="Arial" w:cs="Arial"/>
          <w:sz w:val="20"/>
          <w:szCs w:val="20"/>
        </w:rPr>
        <w:t>o resultados)</w:t>
      </w:r>
      <w:r w:rsidR="005645FD" w:rsidRPr="00AC4AEA">
        <w:rPr>
          <w:rFonts w:ascii="Arial" w:hAnsi="Arial" w:cs="Arial"/>
          <w:sz w:val="20"/>
          <w:szCs w:val="20"/>
        </w:rPr>
        <w:t xml:space="preserve"> de la disminución de la medición contable del </w:t>
      </w:r>
      <w:r w:rsidR="005645FD" w:rsidRPr="0086335F">
        <w:rPr>
          <w:rFonts w:ascii="Arial" w:hAnsi="Arial" w:cs="Arial"/>
          <w:b/>
          <w:bCs/>
          <w:sz w:val="20"/>
          <w:szCs w:val="20"/>
        </w:rPr>
        <w:t>activo</w:t>
      </w:r>
      <w:r w:rsidRPr="00AC4AEA">
        <w:rPr>
          <w:rFonts w:ascii="Arial" w:hAnsi="Arial" w:cs="Arial"/>
          <w:sz w:val="20"/>
          <w:szCs w:val="20"/>
        </w:rPr>
        <w:t xml:space="preserve">, tanto en el primer ejercicio de aplicación del modelo como en los posteriores, una </w:t>
      </w:r>
      <w:r w:rsidR="00605E1C" w:rsidRPr="00AC4AEA">
        <w:rPr>
          <w:rFonts w:ascii="Arial" w:hAnsi="Arial" w:cs="Arial"/>
          <w:sz w:val="20"/>
          <w:szCs w:val="20"/>
        </w:rPr>
        <w:t xml:space="preserve">entidad efectuará las comparaciones entre </w:t>
      </w:r>
      <w:r w:rsidR="005645FD" w:rsidRPr="00AC4AEA">
        <w:rPr>
          <w:rFonts w:ascii="Arial" w:hAnsi="Arial" w:cs="Arial"/>
          <w:sz w:val="20"/>
          <w:szCs w:val="20"/>
        </w:rPr>
        <w:t xml:space="preserve">el </w:t>
      </w:r>
      <w:r w:rsidR="00605E1C" w:rsidRPr="00AC4AEA">
        <w:rPr>
          <w:rFonts w:ascii="Arial" w:hAnsi="Arial" w:cs="Arial"/>
          <w:sz w:val="20"/>
          <w:szCs w:val="20"/>
        </w:rPr>
        <w:t>importe revaluado y</w:t>
      </w:r>
      <w:r w:rsidR="000C2760" w:rsidRPr="00AC4AEA">
        <w:rPr>
          <w:rFonts w:ascii="Arial" w:hAnsi="Arial" w:cs="Arial"/>
          <w:sz w:val="20"/>
          <w:szCs w:val="20"/>
        </w:rPr>
        <w:t xml:space="preserve"> el</w:t>
      </w:r>
      <w:r w:rsidR="00605E1C" w:rsidRPr="00AC4AEA">
        <w:rPr>
          <w:rFonts w:ascii="Arial" w:hAnsi="Arial" w:cs="Arial"/>
          <w:sz w:val="20"/>
          <w:szCs w:val="20"/>
        </w:rPr>
        <w:t xml:space="preserve"> </w:t>
      </w:r>
      <w:r w:rsidR="005645FD" w:rsidRPr="00AC4AEA">
        <w:rPr>
          <w:rFonts w:ascii="Arial" w:hAnsi="Arial" w:cs="Arial"/>
          <w:sz w:val="20"/>
          <w:szCs w:val="20"/>
        </w:rPr>
        <w:t xml:space="preserve">importe en libros del </w:t>
      </w:r>
      <w:r w:rsidR="005645FD" w:rsidRPr="00AC4AEA">
        <w:rPr>
          <w:rFonts w:ascii="Arial" w:hAnsi="Arial" w:cs="Arial"/>
          <w:b/>
          <w:bCs/>
          <w:sz w:val="20"/>
          <w:szCs w:val="20"/>
        </w:rPr>
        <w:t>activo</w:t>
      </w:r>
      <w:r w:rsidR="005645FD" w:rsidRPr="00AC4AEA">
        <w:rPr>
          <w:rFonts w:ascii="Arial" w:hAnsi="Arial" w:cs="Arial"/>
          <w:sz w:val="20"/>
          <w:szCs w:val="20"/>
        </w:rPr>
        <w:t xml:space="preserve"> a la fecha de la revaluación.</w:t>
      </w:r>
    </w:p>
    <w:p w:rsidR="00BD7827" w:rsidRPr="00AC4AEA" w:rsidRDefault="00BD7827" w:rsidP="00A318EA">
      <w:pPr>
        <w:pStyle w:val="A-azul"/>
        <w:rPr>
          <w:rFonts w:ascii="Arial" w:hAnsi="Arial" w:cs="Arial"/>
          <w:i w:val="0"/>
          <w:color w:val="auto"/>
          <w:sz w:val="20"/>
          <w:szCs w:val="20"/>
          <w:lang w:val="es-AR"/>
        </w:rPr>
      </w:pPr>
      <w:bookmarkStart w:id="486" w:name="_Toc101863859"/>
    </w:p>
    <w:p w:rsidR="00D458D6" w:rsidRPr="00AC4AEA" w:rsidRDefault="00D458D6" w:rsidP="00A318EA">
      <w:pPr>
        <w:pStyle w:val="Ttulo4"/>
      </w:pPr>
      <w:r w:rsidRPr="00AC4AEA">
        <w:t>Tratamiento de la depreciación acumulada</w:t>
      </w:r>
      <w:bookmarkEnd w:id="486"/>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Cuando revalúe un elemento integrante de bienes de uso, una entidad tratará la depreciación acumulada a la fecha de la revaluación de cualquiera de las siguientes maneras:</w:t>
      </w:r>
    </w:p>
    <w:p w:rsidR="00F44EF1" w:rsidRPr="00AC4AEA" w:rsidRDefault="00180C5F" w:rsidP="00A318EA">
      <w:pPr>
        <w:pStyle w:val="Prrafodelista"/>
        <w:numPr>
          <w:ilvl w:val="1"/>
          <w:numId w:val="41"/>
        </w:numPr>
        <w:ind w:left="1560" w:hanging="567"/>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 xml:space="preserve">a </w:t>
      </w:r>
      <w:r w:rsidR="00F56C57" w:rsidRPr="00AC4AEA">
        <w:rPr>
          <w:rFonts w:ascii="Arial" w:hAnsi="Arial" w:cs="Arial"/>
          <w:sz w:val="20"/>
          <w:szCs w:val="20"/>
        </w:rPr>
        <w:t xml:space="preserve">volverá a calcular en forma </w:t>
      </w:r>
      <w:r w:rsidR="00D458D6" w:rsidRPr="00AC4AEA">
        <w:rPr>
          <w:rFonts w:ascii="Arial" w:hAnsi="Arial" w:cs="Arial"/>
          <w:sz w:val="20"/>
          <w:szCs w:val="20"/>
        </w:rPr>
        <w:t xml:space="preserve">proporcional a la revaluación que se practique sobre </w:t>
      </w:r>
      <w:r w:rsidR="00BF0D0E" w:rsidRPr="00AC4AEA">
        <w:rPr>
          <w:rFonts w:ascii="Arial" w:hAnsi="Arial" w:cs="Arial"/>
          <w:sz w:val="20"/>
          <w:szCs w:val="20"/>
        </w:rPr>
        <w:t>la medición original</w:t>
      </w:r>
      <w:r w:rsidR="00D458D6" w:rsidRPr="00AC4AEA">
        <w:rPr>
          <w:rFonts w:ascii="Arial" w:hAnsi="Arial" w:cs="Arial"/>
          <w:sz w:val="20"/>
          <w:szCs w:val="20"/>
        </w:rPr>
        <w:t xml:space="preserve"> del bien, de manera que </w:t>
      </w:r>
      <w:r w:rsidR="00380B11" w:rsidRPr="00AC4AEA">
        <w:rPr>
          <w:rFonts w:ascii="Arial" w:hAnsi="Arial" w:cs="Arial"/>
          <w:sz w:val="20"/>
          <w:szCs w:val="20"/>
        </w:rPr>
        <w:t>su valor residual</w:t>
      </w:r>
      <w:r w:rsidR="00D458D6" w:rsidRPr="00AC4AEA">
        <w:rPr>
          <w:rFonts w:ascii="Arial" w:hAnsi="Arial" w:cs="Arial"/>
          <w:sz w:val="20"/>
          <w:szCs w:val="20"/>
        </w:rPr>
        <w:t xml:space="preserve"> después de la revaluación sea igual a su importe revaluado</w:t>
      </w:r>
      <w:r w:rsidRPr="00AC4AEA">
        <w:rPr>
          <w:rFonts w:ascii="Arial" w:hAnsi="Arial" w:cs="Arial"/>
          <w:sz w:val="20"/>
          <w:szCs w:val="20"/>
        </w:rPr>
        <w:t>;</w:t>
      </w:r>
      <w:r w:rsidR="00907F42" w:rsidRPr="00AC4AEA">
        <w:rPr>
          <w:rFonts w:ascii="Arial" w:hAnsi="Arial" w:cs="Arial"/>
          <w:sz w:val="20"/>
          <w:szCs w:val="20"/>
        </w:rPr>
        <w:t xml:space="preserve"> o</w:t>
      </w:r>
    </w:p>
    <w:p w:rsidR="00D458D6" w:rsidRPr="00AC4AEA" w:rsidRDefault="00180C5F" w:rsidP="00A318EA">
      <w:pPr>
        <w:pStyle w:val="Prrafodelista"/>
        <w:numPr>
          <w:ilvl w:val="1"/>
          <w:numId w:val="41"/>
        </w:numPr>
        <w:ind w:left="1560" w:hanging="567"/>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 xml:space="preserve">a eliminará contra </w:t>
      </w:r>
      <w:r w:rsidR="00BF0D0E" w:rsidRPr="00AC4AEA">
        <w:rPr>
          <w:rFonts w:ascii="Arial" w:hAnsi="Arial" w:cs="Arial"/>
          <w:sz w:val="20"/>
          <w:szCs w:val="20"/>
        </w:rPr>
        <w:t>la medición original del</w:t>
      </w:r>
      <w:r w:rsidR="00D458D6" w:rsidRPr="00AC4AEA">
        <w:rPr>
          <w:rFonts w:ascii="Arial" w:hAnsi="Arial" w:cs="Arial"/>
          <w:sz w:val="20"/>
          <w:szCs w:val="20"/>
        </w:rPr>
        <w:t xml:space="preserve"> </w:t>
      </w:r>
      <w:r w:rsidR="00D458D6" w:rsidRPr="00AC4AEA">
        <w:rPr>
          <w:rFonts w:ascii="Arial" w:hAnsi="Arial" w:cs="Arial"/>
          <w:b/>
          <w:bCs/>
          <w:sz w:val="20"/>
          <w:szCs w:val="20"/>
        </w:rPr>
        <w:t>activo</w:t>
      </w:r>
      <w:r w:rsidR="00D458D6" w:rsidRPr="00AC4AEA">
        <w:rPr>
          <w:rFonts w:ascii="Arial" w:hAnsi="Arial" w:cs="Arial"/>
          <w:sz w:val="20"/>
          <w:szCs w:val="20"/>
        </w:rPr>
        <w:t xml:space="preserve">, de manera que </w:t>
      </w:r>
      <w:r w:rsidR="009458C7" w:rsidRPr="00AC4AEA">
        <w:rPr>
          <w:rFonts w:ascii="Arial" w:hAnsi="Arial" w:cs="Arial"/>
          <w:sz w:val="20"/>
          <w:szCs w:val="20"/>
        </w:rPr>
        <w:t>la medición neta resultante sea equivalente al importe revaluado.</w:t>
      </w:r>
    </w:p>
    <w:p w:rsidR="00965A56" w:rsidRPr="00AC4AEA" w:rsidRDefault="00965A56" w:rsidP="00A318EA">
      <w:pPr>
        <w:pStyle w:val="A-Normal10"/>
        <w:rPr>
          <w:rFonts w:ascii="Arial" w:hAnsi="Arial" w:cs="Arial"/>
        </w:rPr>
      </w:pPr>
      <w:bookmarkStart w:id="487" w:name="_Toc101863862"/>
    </w:p>
    <w:p w:rsidR="00D458D6" w:rsidRPr="00AC4AEA" w:rsidRDefault="00D458D6" w:rsidP="00A318EA">
      <w:pPr>
        <w:pStyle w:val="Ttulo4"/>
      </w:pPr>
      <w:r w:rsidRPr="00AC4AEA">
        <w:lastRenderedPageBreak/>
        <w:t>Tratamiento del saldo por revaluación</w:t>
      </w:r>
      <w:bookmarkEnd w:id="487"/>
    </w:p>
    <w:p w:rsidR="00D458D6" w:rsidRPr="00AC4AEA" w:rsidRDefault="00D458D6" w:rsidP="00A318EA">
      <w:pPr>
        <w:pStyle w:val="Prrafodelista"/>
        <w:numPr>
          <w:ilvl w:val="0"/>
          <w:numId w:val="29"/>
        </w:numPr>
        <w:contextualSpacing w:val="0"/>
        <w:jc w:val="both"/>
        <w:rPr>
          <w:rFonts w:ascii="Arial" w:hAnsi="Arial" w:cs="Arial"/>
          <w:sz w:val="20"/>
          <w:szCs w:val="20"/>
        </w:rPr>
      </w:pPr>
      <w:bookmarkStart w:id="488" w:name="_Ref99481069"/>
      <w:r w:rsidRPr="00AC4AEA">
        <w:rPr>
          <w:rFonts w:ascii="Arial" w:hAnsi="Arial" w:cs="Arial"/>
          <w:sz w:val="20"/>
          <w:szCs w:val="20"/>
        </w:rPr>
        <w:t xml:space="preserve">Una entidad podrá transferir directamente a resultados no asignados el </w:t>
      </w:r>
      <w:r w:rsidR="00381FBC" w:rsidRPr="00AC4AEA">
        <w:rPr>
          <w:rFonts w:ascii="Arial" w:hAnsi="Arial" w:cs="Arial"/>
          <w:b/>
          <w:bCs/>
          <w:sz w:val="20"/>
          <w:szCs w:val="20"/>
        </w:rPr>
        <w:t>saldo por revaluación</w:t>
      </w:r>
      <w:r w:rsidRPr="00AC4AEA">
        <w:rPr>
          <w:rFonts w:ascii="Arial" w:hAnsi="Arial" w:cs="Arial"/>
          <w:sz w:val="20"/>
          <w:szCs w:val="20"/>
        </w:rPr>
        <w:t xml:space="preserve"> incluido en el </w:t>
      </w:r>
      <w:r w:rsidRPr="00AC4AEA">
        <w:rPr>
          <w:rFonts w:ascii="Arial" w:hAnsi="Arial" w:cs="Arial"/>
          <w:b/>
          <w:bCs/>
          <w:sz w:val="20"/>
          <w:szCs w:val="20"/>
        </w:rPr>
        <w:t>patrimonio neto</w:t>
      </w:r>
      <w:r w:rsidRPr="00AC4AEA">
        <w:rPr>
          <w:rFonts w:ascii="Arial" w:hAnsi="Arial" w:cs="Arial"/>
          <w:sz w:val="20"/>
          <w:szCs w:val="20"/>
        </w:rPr>
        <w:t>:</w:t>
      </w:r>
      <w:bookmarkEnd w:id="488"/>
      <w:r w:rsidRPr="00AC4AEA">
        <w:rPr>
          <w:rFonts w:ascii="Arial" w:hAnsi="Arial" w:cs="Arial"/>
          <w:sz w:val="20"/>
          <w:szCs w:val="20"/>
        </w:rPr>
        <w:t xml:space="preserve"> </w:t>
      </w:r>
    </w:p>
    <w:p w:rsidR="00D458D6" w:rsidRPr="00AC4AEA" w:rsidRDefault="00180C5F" w:rsidP="00A318EA">
      <w:pPr>
        <w:pStyle w:val="Prrafodelista"/>
        <w:numPr>
          <w:ilvl w:val="1"/>
          <w:numId w:val="42"/>
        </w:numPr>
        <w:ind w:left="1560"/>
        <w:contextualSpacing w:val="0"/>
        <w:jc w:val="both"/>
        <w:rPr>
          <w:rFonts w:ascii="Arial" w:hAnsi="Arial" w:cs="Arial"/>
          <w:sz w:val="20"/>
          <w:szCs w:val="20"/>
        </w:rPr>
      </w:pPr>
      <w:r w:rsidRPr="00AC4AEA">
        <w:rPr>
          <w:rFonts w:ascii="Arial" w:hAnsi="Arial" w:cs="Arial"/>
          <w:sz w:val="20"/>
          <w:szCs w:val="20"/>
        </w:rPr>
        <w:t>a</w:t>
      </w:r>
      <w:r w:rsidR="00D458D6" w:rsidRPr="00AC4AEA">
        <w:rPr>
          <w:rFonts w:ascii="Arial" w:hAnsi="Arial" w:cs="Arial"/>
          <w:sz w:val="20"/>
          <w:szCs w:val="20"/>
        </w:rPr>
        <w:t xml:space="preserve"> medida que se </w:t>
      </w:r>
      <w:r w:rsidR="005D565D" w:rsidRPr="00AC4AEA">
        <w:rPr>
          <w:rFonts w:ascii="Arial" w:hAnsi="Arial" w:cs="Arial"/>
          <w:sz w:val="20"/>
          <w:szCs w:val="20"/>
        </w:rPr>
        <w:t xml:space="preserve">consume </w:t>
      </w:r>
      <w:r w:rsidR="00D458D6" w:rsidRPr="00AC4AEA">
        <w:rPr>
          <w:rFonts w:ascii="Arial" w:hAnsi="Arial" w:cs="Arial"/>
          <w:sz w:val="20"/>
          <w:szCs w:val="20"/>
        </w:rPr>
        <w:t xml:space="preserve">el elemento (en cuyo caso el importe a transferir será igual a la diferencia entre la depreciación calculada según el valor revaluado del </w:t>
      </w:r>
      <w:r w:rsidR="00D458D6" w:rsidRPr="00AC4AEA">
        <w:rPr>
          <w:rFonts w:ascii="Arial" w:hAnsi="Arial" w:cs="Arial"/>
          <w:b/>
          <w:bCs/>
          <w:sz w:val="20"/>
          <w:szCs w:val="20"/>
        </w:rPr>
        <w:t>activo</w:t>
      </w:r>
      <w:r w:rsidR="00D458D6" w:rsidRPr="00AC4AEA">
        <w:rPr>
          <w:rFonts w:ascii="Arial" w:hAnsi="Arial" w:cs="Arial"/>
          <w:sz w:val="20"/>
          <w:szCs w:val="20"/>
        </w:rPr>
        <w:t xml:space="preserve"> y la depreciación que se hubiera computado </w:t>
      </w:r>
      <w:r w:rsidR="002C337D" w:rsidRPr="00AC4AEA">
        <w:rPr>
          <w:rFonts w:ascii="Arial" w:hAnsi="Arial" w:cs="Arial"/>
          <w:sz w:val="20"/>
          <w:szCs w:val="20"/>
        </w:rPr>
        <w:t>en función de</w:t>
      </w:r>
      <w:r w:rsidR="00D458D6" w:rsidRPr="00AC4AEA">
        <w:rPr>
          <w:rFonts w:ascii="Arial" w:hAnsi="Arial" w:cs="Arial"/>
          <w:sz w:val="20"/>
          <w:szCs w:val="20"/>
        </w:rPr>
        <w:t xml:space="preserve"> su </w:t>
      </w:r>
      <w:r w:rsidR="00D458D6" w:rsidRPr="00AC4AEA">
        <w:rPr>
          <w:rFonts w:ascii="Arial" w:hAnsi="Arial" w:cs="Arial"/>
          <w:b/>
          <w:bCs/>
          <w:sz w:val="20"/>
          <w:szCs w:val="20"/>
        </w:rPr>
        <w:t>costo original</w:t>
      </w:r>
      <w:r w:rsidR="00D458D6" w:rsidRPr="00AC4AEA">
        <w:rPr>
          <w:rFonts w:ascii="Arial" w:hAnsi="Arial" w:cs="Arial"/>
          <w:sz w:val="20"/>
          <w:szCs w:val="20"/>
        </w:rPr>
        <w:t>)</w:t>
      </w:r>
      <w:r w:rsidRPr="00AC4AEA">
        <w:rPr>
          <w:rFonts w:ascii="Arial" w:hAnsi="Arial" w:cs="Arial"/>
          <w:sz w:val="20"/>
          <w:szCs w:val="20"/>
        </w:rPr>
        <w:t>;</w:t>
      </w:r>
    </w:p>
    <w:p w:rsidR="00D458D6" w:rsidRPr="00AC4AEA" w:rsidRDefault="00180C5F" w:rsidP="00A318EA">
      <w:pPr>
        <w:pStyle w:val="Prrafodelista"/>
        <w:numPr>
          <w:ilvl w:val="1"/>
          <w:numId w:val="42"/>
        </w:numPr>
        <w:ind w:left="1560"/>
        <w:contextualSpacing w:val="0"/>
        <w:jc w:val="both"/>
        <w:rPr>
          <w:rFonts w:ascii="Arial" w:hAnsi="Arial" w:cs="Arial"/>
          <w:sz w:val="20"/>
          <w:szCs w:val="20"/>
        </w:rPr>
      </w:pPr>
      <w:r w:rsidRPr="00AC4AEA">
        <w:rPr>
          <w:rFonts w:ascii="Arial" w:hAnsi="Arial" w:cs="Arial"/>
          <w:sz w:val="20"/>
          <w:szCs w:val="20"/>
        </w:rPr>
        <w:t>c</w:t>
      </w:r>
      <w:r w:rsidR="00D458D6" w:rsidRPr="00AC4AEA">
        <w:rPr>
          <w:rFonts w:ascii="Arial" w:hAnsi="Arial" w:cs="Arial"/>
          <w:sz w:val="20"/>
          <w:szCs w:val="20"/>
        </w:rPr>
        <w:t xml:space="preserve">uando se </w:t>
      </w:r>
      <w:r w:rsidR="005D565D" w:rsidRPr="00AC4AEA">
        <w:rPr>
          <w:rFonts w:ascii="Arial" w:hAnsi="Arial" w:cs="Arial"/>
          <w:sz w:val="20"/>
          <w:szCs w:val="20"/>
        </w:rPr>
        <w:t xml:space="preserve">produce </w:t>
      </w:r>
      <w:r w:rsidR="00D458D6" w:rsidRPr="00AC4AEA">
        <w:rPr>
          <w:rFonts w:ascii="Arial" w:hAnsi="Arial" w:cs="Arial"/>
          <w:sz w:val="20"/>
          <w:szCs w:val="20"/>
        </w:rPr>
        <w:t xml:space="preserve">su baja, retiro, venta o disposición por </w:t>
      </w:r>
      <w:r w:rsidR="002C337D" w:rsidRPr="00AC4AEA">
        <w:rPr>
          <w:rFonts w:ascii="Arial" w:hAnsi="Arial" w:cs="Arial"/>
          <w:sz w:val="20"/>
          <w:szCs w:val="20"/>
        </w:rPr>
        <w:t>otro motivo</w:t>
      </w:r>
      <w:r w:rsidRPr="00AC4AEA">
        <w:rPr>
          <w:rFonts w:ascii="Arial" w:hAnsi="Arial" w:cs="Arial"/>
          <w:sz w:val="20"/>
          <w:szCs w:val="20"/>
        </w:rPr>
        <w:t>;</w:t>
      </w:r>
      <w:r w:rsidR="00D458D6" w:rsidRPr="00AC4AEA">
        <w:rPr>
          <w:rFonts w:ascii="Arial" w:hAnsi="Arial" w:cs="Arial"/>
          <w:sz w:val="20"/>
          <w:szCs w:val="20"/>
        </w:rPr>
        <w:t xml:space="preserve"> o</w:t>
      </w:r>
    </w:p>
    <w:p w:rsidR="00D458D6" w:rsidRPr="00AC4AEA" w:rsidRDefault="00180C5F" w:rsidP="00A318EA">
      <w:pPr>
        <w:pStyle w:val="Prrafodelista"/>
        <w:numPr>
          <w:ilvl w:val="1"/>
          <w:numId w:val="42"/>
        </w:numPr>
        <w:ind w:left="1560"/>
        <w:contextualSpacing w:val="0"/>
        <w:jc w:val="both"/>
        <w:rPr>
          <w:rFonts w:ascii="Arial" w:hAnsi="Arial" w:cs="Arial"/>
          <w:sz w:val="20"/>
          <w:szCs w:val="20"/>
        </w:rPr>
      </w:pPr>
      <w:r w:rsidRPr="00AC4AEA">
        <w:rPr>
          <w:rFonts w:ascii="Arial" w:hAnsi="Arial" w:cs="Arial"/>
          <w:sz w:val="20"/>
          <w:szCs w:val="20"/>
        </w:rPr>
        <w:t>e</w:t>
      </w:r>
      <w:r w:rsidR="00D458D6" w:rsidRPr="00AC4AEA">
        <w:rPr>
          <w:rFonts w:ascii="Arial" w:hAnsi="Arial" w:cs="Arial"/>
          <w:sz w:val="20"/>
          <w:szCs w:val="20"/>
        </w:rPr>
        <w:t xml:space="preserve">n </w:t>
      </w:r>
      <w:r w:rsidR="00596679" w:rsidRPr="00AC4AEA">
        <w:rPr>
          <w:rFonts w:ascii="Arial" w:hAnsi="Arial" w:cs="Arial"/>
          <w:sz w:val="20"/>
          <w:szCs w:val="20"/>
        </w:rPr>
        <w:t>cualquier</w:t>
      </w:r>
      <w:r w:rsidR="00D458D6" w:rsidRPr="00AC4AEA">
        <w:rPr>
          <w:rFonts w:ascii="Arial" w:hAnsi="Arial" w:cs="Arial"/>
          <w:sz w:val="20"/>
          <w:szCs w:val="20"/>
        </w:rPr>
        <w:t xml:space="preserve"> momento posterior. </w:t>
      </w:r>
    </w:p>
    <w:p w:rsidR="00CA5411" w:rsidRPr="00AC4AEA" w:rsidRDefault="00CA541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una entidad </w:t>
      </w:r>
      <w:r w:rsidR="00CD5CC6" w:rsidRPr="00AC4AEA">
        <w:rPr>
          <w:rFonts w:ascii="Arial" w:hAnsi="Arial" w:cs="Arial"/>
          <w:sz w:val="20"/>
          <w:szCs w:val="20"/>
        </w:rPr>
        <w:t>esté alcanzada por</w:t>
      </w:r>
      <w:r w:rsidRPr="00AC4AEA">
        <w:rPr>
          <w:rFonts w:ascii="Arial" w:hAnsi="Arial" w:cs="Arial"/>
          <w:sz w:val="20"/>
          <w:szCs w:val="20"/>
        </w:rPr>
        <w:t xml:space="preserve"> lo establecido en el párrafo </w:t>
      </w:r>
      <w:fldSimple w:instr=" REF _Ref103345085 \r \h  \* MERGEFORMAT ">
        <w:r w:rsidR="00D33A5D" w:rsidRPr="00D33A5D">
          <w:rPr>
            <w:rFonts w:ascii="Arial" w:hAnsi="Arial" w:cs="Arial"/>
            <w:sz w:val="20"/>
            <w:szCs w:val="20"/>
          </w:rPr>
          <w:t>323</w:t>
        </w:r>
      </w:fldSimple>
      <w:r w:rsidRPr="00AC4AEA">
        <w:rPr>
          <w:rFonts w:ascii="Arial" w:hAnsi="Arial" w:cs="Arial"/>
          <w:sz w:val="20"/>
          <w:szCs w:val="20"/>
        </w:rPr>
        <w:t xml:space="preserve">, </w:t>
      </w:r>
      <w:r w:rsidR="00CD5CC6" w:rsidRPr="00AC4AEA">
        <w:rPr>
          <w:rFonts w:ascii="Arial" w:hAnsi="Arial" w:cs="Arial"/>
          <w:sz w:val="20"/>
          <w:szCs w:val="20"/>
        </w:rPr>
        <w:t>para</w:t>
      </w:r>
      <w:r w:rsidRPr="00AC4AEA">
        <w:rPr>
          <w:rFonts w:ascii="Arial" w:hAnsi="Arial" w:cs="Arial"/>
          <w:sz w:val="20"/>
          <w:szCs w:val="20"/>
        </w:rPr>
        <w:t xml:space="preserve"> aplicar los requerimientos indicados en el párrafo anterior tendrá en cuenta lo siguiente:</w:t>
      </w:r>
    </w:p>
    <w:p w:rsidR="00CD5CC6" w:rsidRPr="00AC4AEA" w:rsidRDefault="00CD5CC6" w:rsidP="00A318EA">
      <w:pPr>
        <w:pStyle w:val="Prrafodelista"/>
        <w:numPr>
          <w:ilvl w:val="1"/>
          <w:numId w:val="359"/>
        </w:numPr>
        <w:ind w:left="1560"/>
        <w:contextualSpacing w:val="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saldo por revaluación</w:t>
      </w:r>
      <w:r w:rsidRPr="00AC4AEA">
        <w:rPr>
          <w:rFonts w:ascii="Arial" w:hAnsi="Arial" w:cs="Arial"/>
          <w:sz w:val="20"/>
          <w:szCs w:val="20"/>
        </w:rPr>
        <w:t xml:space="preserve"> se incrementará por </w:t>
      </w:r>
      <w:r w:rsidR="005645FD" w:rsidRPr="00AC4AEA">
        <w:rPr>
          <w:rFonts w:ascii="Arial" w:hAnsi="Arial" w:cs="Arial"/>
          <w:sz w:val="20"/>
          <w:szCs w:val="20"/>
        </w:rPr>
        <w:t>disminución de</w:t>
      </w:r>
      <w:r w:rsidRPr="00AC4AEA">
        <w:rPr>
          <w:rFonts w:ascii="Arial" w:hAnsi="Arial" w:cs="Arial"/>
          <w:sz w:val="20"/>
          <w:szCs w:val="20"/>
        </w:rPr>
        <w:t xml:space="preserve"> un </w:t>
      </w:r>
      <w:r w:rsidRPr="00AC4AEA">
        <w:rPr>
          <w:rFonts w:ascii="Arial" w:hAnsi="Arial" w:cs="Arial"/>
          <w:b/>
          <w:bCs/>
          <w:sz w:val="20"/>
          <w:szCs w:val="20"/>
        </w:rPr>
        <w:t xml:space="preserve">pasivo </w:t>
      </w:r>
      <w:r w:rsidRPr="00AC4AEA">
        <w:rPr>
          <w:rFonts w:ascii="Arial" w:hAnsi="Arial" w:cs="Arial"/>
          <w:sz w:val="20"/>
          <w:szCs w:val="20"/>
        </w:rPr>
        <w:t xml:space="preserve">por desmantelamiento y restauración relacionado con el </w:t>
      </w:r>
      <w:r w:rsidRPr="00AC4AEA">
        <w:rPr>
          <w:rFonts w:ascii="Arial" w:hAnsi="Arial" w:cs="Arial"/>
          <w:b/>
          <w:bCs/>
          <w:sz w:val="20"/>
          <w:szCs w:val="20"/>
        </w:rPr>
        <w:t>activo</w:t>
      </w:r>
      <w:r w:rsidRPr="00AC4AEA">
        <w:rPr>
          <w:rFonts w:ascii="Arial" w:hAnsi="Arial" w:cs="Arial"/>
          <w:sz w:val="20"/>
          <w:szCs w:val="20"/>
        </w:rPr>
        <w:t xml:space="preserve"> revaluado, salvo que </w:t>
      </w:r>
      <w:r w:rsidR="00BD7827" w:rsidRPr="00AC4AEA">
        <w:rPr>
          <w:rFonts w:ascii="Arial" w:hAnsi="Arial" w:cs="Arial"/>
          <w:sz w:val="20"/>
          <w:szCs w:val="20"/>
        </w:rPr>
        <w:t xml:space="preserve">deba </w:t>
      </w:r>
      <w:r w:rsidRPr="00AC4AEA">
        <w:rPr>
          <w:rFonts w:ascii="Arial" w:hAnsi="Arial" w:cs="Arial"/>
          <w:sz w:val="20"/>
          <w:szCs w:val="20"/>
        </w:rPr>
        <w:t>reconocer</w:t>
      </w:r>
      <w:r w:rsidR="00BD7827" w:rsidRPr="00AC4AEA">
        <w:rPr>
          <w:rFonts w:ascii="Arial" w:hAnsi="Arial" w:cs="Arial"/>
          <w:sz w:val="20"/>
          <w:szCs w:val="20"/>
        </w:rPr>
        <w:t>lo</w:t>
      </w:r>
      <w:r w:rsidRPr="00AC4AEA">
        <w:rPr>
          <w:rFonts w:ascii="Arial" w:hAnsi="Arial" w:cs="Arial"/>
          <w:sz w:val="20"/>
          <w:szCs w:val="20"/>
        </w:rPr>
        <w:t xml:space="preserve"> en el resultado del ejercicio por tratarse de la reversión</w:t>
      </w:r>
      <w:r w:rsidR="00A82EFF" w:rsidRPr="00AC4AEA">
        <w:rPr>
          <w:rFonts w:ascii="Arial" w:hAnsi="Arial" w:cs="Arial"/>
          <w:sz w:val="20"/>
          <w:szCs w:val="20"/>
        </w:rPr>
        <w:t xml:space="preserve"> </w:t>
      </w:r>
      <w:r w:rsidRPr="00AC4AEA">
        <w:rPr>
          <w:rFonts w:ascii="Arial" w:hAnsi="Arial" w:cs="Arial"/>
          <w:sz w:val="20"/>
          <w:szCs w:val="20"/>
        </w:rPr>
        <w:t xml:space="preserve">de un déficit de revaluación en el </w:t>
      </w:r>
      <w:r w:rsidRPr="00AC4AEA">
        <w:rPr>
          <w:rFonts w:ascii="Arial" w:hAnsi="Arial" w:cs="Arial"/>
          <w:b/>
          <w:bCs/>
          <w:sz w:val="20"/>
          <w:szCs w:val="20"/>
        </w:rPr>
        <w:t>activo</w:t>
      </w:r>
      <w:r w:rsidRPr="00AC4AEA">
        <w:rPr>
          <w:rFonts w:ascii="Arial" w:hAnsi="Arial" w:cs="Arial"/>
          <w:sz w:val="20"/>
          <w:szCs w:val="20"/>
        </w:rPr>
        <w:t xml:space="preserve"> que previamente reconoció en resultados; y </w:t>
      </w:r>
    </w:p>
    <w:p w:rsidR="00CA5411" w:rsidRPr="00AC4AEA" w:rsidRDefault="00CD5CC6" w:rsidP="00A318EA">
      <w:pPr>
        <w:pStyle w:val="Prrafodelista"/>
        <w:numPr>
          <w:ilvl w:val="1"/>
          <w:numId w:val="359"/>
        </w:numPr>
        <w:ind w:left="1560"/>
        <w:contextualSpacing w:val="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saldo por revaluación</w:t>
      </w:r>
      <w:r w:rsidRPr="00AC4AEA">
        <w:rPr>
          <w:rFonts w:ascii="Arial" w:hAnsi="Arial" w:cs="Arial"/>
          <w:sz w:val="20"/>
          <w:szCs w:val="20"/>
        </w:rPr>
        <w:t xml:space="preserve"> se reducirá por un incremento en un </w:t>
      </w:r>
      <w:r w:rsidRPr="00AC4AEA">
        <w:rPr>
          <w:rFonts w:ascii="Arial" w:hAnsi="Arial" w:cs="Arial"/>
          <w:b/>
          <w:bCs/>
          <w:sz w:val="20"/>
          <w:szCs w:val="20"/>
        </w:rPr>
        <w:t xml:space="preserve">pasivo </w:t>
      </w:r>
      <w:r w:rsidRPr="00AC4AEA">
        <w:rPr>
          <w:rFonts w:ascii="Arial" w:hAnsi="Arial" w:cs="Arial"/>
          <w:sz w:val="20"/>
          <w:szCs w:val="20"/>
        </w:rPr>
        <w:t xml:space="preserve">por desmantelamiento y restauración relacionado con el </w:t>
      </w:r>
      <w:r w:rsidRPr="00AC4AEA">
        <w:rPr>
          <w:rFonts w:ascii="Arial" w:hAnsi="Arial" w:cs="Arial"/>
          <w:b/>
          <w:bCs/>
          <w:sz w:val="20"/>
          <w:szCs w:val="20"/>
        </w:rPr>
        <w:t>activo</w:t>
      </w:r>
      <w:r w:rsidRPr="00AC4AEA">
        <w:rPr>
          <w:rFonts w:ascii="Arial" w:hAnsi="Arial" w:cs="Arial"/>
          <w:sz w:val="20"/>
          <w:szCs w:val="20"/>
        </w:rPr>
        <w:t xml:space="preserve"> revaluado.</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expondrá </w:t>
      </w:r>
      <w:r w:rsidR="00A0710A" w:rsidRPr="00AC4AEA">
        <w:rPr>
          <w:rFonts w:ascii="Arial" w:hAnsi="Arial" w:cs="Arial"/>
          <w:sz w:val="20"/>
          <w:szCs w:val="20"/>
        </w:rPr>
        <w:t>nunca en</w:t>
      </w:r>
      <w:r w:rsidRPr="00AC4AEA">
        <w:rPr>
          <w:rFonts w:ascii="Arial" w:hAnsi="Arial" w:cs="Arial"/>
          <w:sz w:val="20"/>
          <w:szCs w:val="20"/>
        </w:rPr>
        <w:t xml:space="preserve"> el resultado del ejercicio las transferencias desde el </w:t>
      </w:r>
      <w:r w:rsidR="00381FBC" w:rsidRPr="00AC4AEA">
        <w:rPr>
          <w:rFonts w:ascii="Arial" w:hAnsi="Arial" w:cs="Arial"/>
          <w:b/>
          <w:bCs/>
          <w:sz w:val="20"/>
          <w:szCs w:val="20"/>
        </w:rPr>
        <w:t>saldo por revaluación</w:t>
      </w:r>
      <w:r w:rsidR="00381FBC" w:rsidRPr="00AC4AEA" w:rsidDel="00381FBC">
        <w:rPr>
          <w:rFonts w:ascii="Arial" w:hAnsi="Arial" w:cs="Arial"/>
          <w:sz w:val="20"/>
          <w:szCs w:val="20"/>
        </w:rPr>
        <w:t xml:space="preserve"> </w:t>
      </w:r>
      <w:r w:rsidRPr="00AC4AEA">
        <w:rPr>
          <w:rFonts w:ascii="Arial" w:hAnsi="Arial" w:cs="Arial"/>
          <w:sz w:val="20"/>
          <w:szCs w:val="20"/>
        </w:rPr>
        <w:t xml:space="preserve">a los resultados no asignados. </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tratará un cambio entre las alternativas </w:t>
      </w:r>
      <w:r w:rsidR="003D0F0D" w:rsidRPr="00AC4AEA">
        <w:rPr>
          <w:rFonts w:ascii="Arial" w:hAnsi="Arial" w:cs="Arial"/>
          <w:sz w:val="20"/>
          <w:szCs w:val="20"/>
        </w:rPr>
        <w:t xml:space="preserve">de mantener o transferir el </w:t>
      </w:r>
      <w:r w:rsidR="003D0F0D" w:rsidRPr="00AC4AEA">
        <w:rPr>
          <w:rFonts w:ascii="Arial" w:hAnsi="Arial" w:cs="Arial"/>
          <w:b/>
          <w:bCs/>
          <w:sz w:val="20"/>
          <w:szCs w:val="20"/>
        </w:rPr>
        <w:t>saldo por revaluación</w:t>
      </w:r>
      <w:r w:rsidRPr="00AC4AEA">
        <w:rPr>
          <w:rFonts w:ascii="Arial" w:hAnsi="Arial" w:cs="Arial"/>
          <w:sz w:val="20"/>
          <w:szCs w:val="20"/>
        </w:rPr>
        <w:t xml:space="preserve"> como </w:t>
      </w:r>
      <w:r w:rsidR="002C337D" w:rsidRPr="00AC4AEA">
        <w:rPr>
          <w:rFonts w:ascii="Arial" w:hAnsi="Arial" w:cs="Arial"/>
          <w:sz w:val="20"/>
          <w:szCs w:val="20"/>
        </w:rPr>
        <w:t>una modificación</w:t>
      </w:r>
      <w:r w:rsidRPr="00AC4AEA">
        <w:rPr>
          <w:rFonts w:ascii="Arial" w:hAnsi="Arial" w:cs="Arial"/>
          <w:sz w:val="20"/>
          <w:szCs w:val="20"/>
        </w:rPr>
        <w:t xml:space="preserve"> de </w:t>
      </w:r>
      <w:r w:rsidR="00596F3F" w:rsidRPr="00AC4AEA">
        <w:rPr>
          <w:rFonts w:ascii="Arial" w:hAnsi="Arial" w:cs="Arial"/>
          <w:b/>
          <w:bCs/>
          <w:sz w:val="20"/>
          <w:szCs w:val="20"/>
        </w:rPr>
        <w:t>política contable</w:t>
      </w:r>
      <w:r w:rsidRPr="00AC4AEA">
        <w:rPr>
          <w:rFonts w:ascii="Arial" w:hAnsi="Arial" w:cs="Arial"/>
          <w:sz w:val="20"/>
          <w:szCs w:val="20"/>
        </w:rPr>
        <w:t xml:space="preserve"> y, por lo tanto, </w:t>
      </w:r>
      <w:r w:rsidR="00EC1893" w:rsidRPr="00AC4AEA">
        <w:rPr>
          <w:rFonts w:ascii="Arial" w:hAnsi="Arial" w:cs="Arial"/>
          <w:sz w:val="20"/>
          <w:szCs w:val="20"/>
        </w:rPr>
        <w:t>aplicará</w:t>
      </w:r>
      <w:r w:rsidR="005D565D" w:rsidRPr="00AC4AEA">
        <w:rPr>
          <w:rFonts w:ascii="Arial" w:hAnsi="Arial" w:cs="Arial"/>
          <w:sz w:val="20"/>
          <w:szCs w:val="20"/>
        </w:rPr>
        <w:t xml:space="preserve"> lo</w:t>
      </w:r>
      <w:r w:rsidRPr="00AC4AEA">
        <w:rPr>
          <w:rFonts w:ascii="Arial" w:hAnsi="Arial" w:cs="Arial"/>
          <w:sz w:val="20"/>
          <w:szCs w:val="20"/>
        </w:rPr>
        <w:t xml:space="preserve"> dispuesto en </w:t>
      </w:r>
      <w:r w:rsidR="00000B6A" w:rsidRPr="00AC4AEA">
        <w:rPr>
          <w:rFonts w:ascii="Arial" w:hAnsi="Arial" w:cs="Arial"/>
          <w:sz w:val="20"/>
          <w:szCs w:val="20"/>
        </w:rPr>
        <w:t>el apartado</w:t>
      </w:r>
      <w:r w:rsidRPr="00AC4AEA">
        <w:rPr>
          <w:rFonts w:ascii="Arial" w:hAnsi="Arial" w:cs="Arial"/>
          <w:sz w:val="20"/>
          <w:szCs w:val="20"/>
        </w:rPr>
        <w:t xml:space="preserve"> “</w:t>
      </w:r>
      <w:r w:rsidR="00A0710A" w:rsidRPr="00AC4AEA">
        <w:rPr>
          <w:rFonts w:ascii="Arial" w:hAnsi="Arial" w:cs="Arial"/>
          <w:sz w:val="20"/>
          <w:szCs w:val="20"/>
          <w:u w:val="single"/>
        </w:rPr>
        <w:t xml:space="preserve">Cambios en las </w:t>
      </w:r>
      <w:r w:rsidR="00135084" w:rsidRPr="00AC4AEA">
        <w:rPr>
          <w:rFonts w:ascii="Arial" w:hAnsi="Arial" w:cs="Arial"/>
          <w:sz w:val="20"/>
          <w:szCs w:val="20"/>
          <w:u w:val="single"/>
        </w:rPr>
        <w:t>políticas contables</w:t>
      </w:r>
      <w:r w:rsidRPr="00AC4AEA">
        <w:rPr>
          <w:rFonts w:ascii="Arial" w:hAnsi="Arial" w:cs="Arial"/>
          <w:sz w:val="20"/>
          <w:szCs w:val="20"/>
        </w:rPr>
        <w:t>”</w:t>
      </w:r>
      <w:r w:rsidR="00000B6A" w:rsidRPr="00AC4AEA">
        <w:rPr>
          <w:rFonts w:ascii="Arial" w:hAnsi="Arial" w:cs="Arial"/>
          <w:sz w:val="20"/>
          <w:szCs w:val="20"/>
        </w:rPr>
        <w:t xml:space="preserve"> [ver los párrafos </w:t>
      </w:r>
      <w:fldSimple w:instr=" REF _Ref77187714 \r \h  \* MERGEFORMAT ">
        <w:r w:rsidR="00D33A5D" w:rsidRPr="00D33A5D">
          <w:rPr>
            <w:rFonts w:ascii="Arial" w:hAnsi="Arial" w:cs="Arial"/>
            <w:sz w:val="20"/>
            <w:szCs w:val="20"/>
          </w:rPr>
          <w:t>84</w:t>
        </w:r>
      </w:fldSimple>
      <w:r w:rsidR="00000B6A" w:rsidRPr="00AC4AEA">
        <w:rPr>
          <w:rFonts w:ascii="Arial" w:hAnsi="Arial" w:cs="Arial"/>
          <w:sz w:val="20"/>
          <w:szCs w:val="20"/>
        </w:rPr>
        <w:t xml:space="preserve"> a </w:t>
      </w:r>
      <w:fldSimple w:instr=" REF _Ref99480171 \r \h  \* MERGEFORMAT ">
        <w:r w:rsidR="00D33A5D" w:rsidRPr="00D33A5D">
          <w:rPr>
            <w:rFonts w:ascii="Arial" w:hAnsi="Arial" w:cs="Arial"/>
            <w:sz w:val="20"/>
            <w:szCs w:val="20"/>
          </w:rPr>
          <w:t>89</w:t>
        </w:r>
      </w:fldSimple>
      <w:r w:rsidR="00000B6A" w:rsidRPr="00AC4AEA">
        <w:rPr>
          <w:rFonts w:ascii="Arial" w:hAnsi="Arial" w:cs="Arial"/>
          <w:sz w:val="20"/>
          <w:szCs w:val="20"/>
        </w:rPr>
        <w:t>]</w:t>
      </w:r>
      <w:r w:rsidRPr="00AC4AEA">
        <w:rPr>
          <w:rFonts w:ascii="Arial" w:hAnsi="Arial" w:cs="Arial"/>
          <w:sz w:val="20"/>
          <w:szCs w:val="20"/>
        </w:rPr>
        <w:t xml:space="preserve">. </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distribuirá ni capitalizará el </w:t>
      </w:r>
      <w:r w:rsidRPr="00AC4AEA">
        <w:rPr>
          <w:rFonts w:ascii="Arial" w:hAnsi="Arial" w:cs="Arial"/>
          <w:b/>
          <w:bCs/>
          <w:sz w:val="20"/>
          <w:szCs w:val="20"/>
        </w:rPr>
        <w:t>saldo por revaluación</w:t>
      </w:r>
      <w:r w:rsidRPr="00AC4AEA">
        <w:rPr>
          <w:rFonts w:ascii="Arial" w:hAnsi="Arial" w:cs="Arial"/>
          <w:sz w:val="20"/>
          <w:szCs w:val="20"/>
        </w:rPr>
        <w:t xml:space="preserve"> mientras permanezca como tal. </w:t>
      </w:r>
      <w:r w:rsidR="002C337D" w:rsidRPr="00AC4AEA">
        <w:rPr>
          <w:rFonts w:ascii="Arial" w:hAnsi="Arial" w:cs="Arial"/>
          <w:sz w:val="20"/>
          <w:szCs w:val="20"/>
        </w:rPr>
        <w:t>Incluso</w:t>
      </w:r>
      <w:r w:rsidRPr="00AC4AEA">
        <w:rPr>
          <w:rFonts w:ascii="Arial" w:hAnsi="Arial" w:cs="Arial"/>
          <w:sz w:val="20"/>
          <w:szCs w:val="20"/>
        </w:rPr>
        <w:t xml:space="preserve"> </w:t>
      </w:r>
      <w:r w:rsidR="00907F42" w:rsidRPr="00AC4AEA">
        <w:rPr>
          <w:rFonts w:ascii="Arial" w:hAnsi="Arial" w:cs="Arial"/>
          <w:sz w:val="20"/>
          <w:szCs w:val="20"/>
        </w:rPr>
        <w:t xml:space="preserve">si </w:t>
      </w:r>
      <w:r w:rsidRPr="00AC4AEA">
        <w:rPr>
          <w:rFonts w:ascii="Arial" w:hAnsi="Arial" w:cs="Arial"/>
          <w:sz w:val="20"/>
          <w:szCs w:val="20"/>
        </w:rPr>
        <w:t>la totalidad o una parte de</w:t>
      </w:r>
      <w:r w:rsidR="00A0710A" w:rsidRPr="00AC4AEA">
        <w:rPr>
          <w:rFonts w:ascii="Arial" w:hAnsi="Arial" w:cs="Arial"/>
          <w:sz w:val="20"/>
          <w:szCs w:val="20"/>
        </w:rPr>
        <w:t xml:space="preserve"> dicho</w:t>
      </w:r>
      <w:r w:rsidRPr="00AC4AEA">
        <w:rPr>
          <w:rFonts w:ascii="Arial" w:hAnsi="Arial" w:cs="Arial"/>
          <w:sz w:val="20"/>
          <w:szCs w:val="20"/>
        </w:rPr>
        <w:t xml:space="preserve"> saldo se </w:t>
      </w:r>
      <w:r w:rsidR="00907F42" w:rsidRPr="00AC4AEA">
        <w:rPr>
          <w:rFonts w:ascii="Arial" w:hAnsi="Arial" w:cs="Arial"/>
          <w:sz w:val="20"/>
          <w:szCs w:val="20"/>
        </w:rPr>
        <w:t xml:space="preserve">relacionara </w:t>
      </w:r>
      <w:r w:rsidRPr="00AC4AEA">
        <w:rPr>
          <w:rFonts w:ascii="Arial" w:hAnsi="Arial" w:cs="Arial"/>
          <w:sz w:val="20"/>
          <w:szCs w:val="20"/>
        </w:rPr>
        <w:t xml:space="preserve">con </w:t>
      </w:r>
      <w:r w:rsidR="00497590" w:rsidRPr="00AC4AEA">
        <w:rPr>
          <w:rFonts w:ascii="Arial" w:hAnsi="Arial" w:cs="Arial"/>
          <w:sz w:val="20"/>
          <w:szCs w:val="20"/>
        </w:rPr>
        <w:t>activos</w:t>
      </w:r>
      <w:r w:rsidRPr="00AC4AEA">
        <w:rPr>
          <w:rFonts w:ascii="Arial" w:hAnsi="Arial" w:cs="Arial"/>
          <w:sz w:val="20"/>
          <w:szCs w:val="20"/>
        </w:rPr>
        <w:t xml:space="preserve"> </w:t>
      </w:r>
      <w:r w:rsidR="00A0710A" w:rsidRPr="00AC4AEA">
        <w:rPr>
          <w:rFonts w:ascii="Arial" w:hAnsi="Arial" w:cs="Arial"/>
          <w:sz w:val="20"/>
          <w:szCs w:val="20"/>
        </w:rPr>
        <w:t>consumidos o</w:t>
      </w:r>
      <w:r w:rsidRPr="00AC4AEA">
        <w:rPr>
          <w:rFonts w:ascii="Arial" w:hAnsi="Arial" w:cs="Arial"/>
          <w:sz w:val="20"/>
          <w:szCs w:val="20"/>
        </w:rPr>
        <w:t xml:space="preserve"> dados de baja, </w:t>
      </w:r>
      <w:r w:rsidR="00EC1893" w:rsidRPr="00AC4AEA">
        <w:rPr>
          <w:rFonts w:ascii="Arial" w:hAnsi="Arial" w:cs="Arial"/>
          <w:sz w:val="20"/>
          <w:szCs w:val="20"/>
        </w:rPr>
        <w:t>solo</w:t>
      </w:r>
      <w:r w:rsidR="00CE3AFC" w:rsidRPr="00AC4AEA">
        <w:rPr>
          <w:rFonts w:ascii="Arial" w:hAnsi="Arial" w:cs="Arial"/>
          <w:sz w:val="20"/>
          <w:szCs w:val="20"/>
        </w:rPr>
        <w:t xml:space="preserve"> podrá distribuirlo o capitalizarlo</w:t>
      </w:r>
      <w:r w:rsidRPr="00AC4AEA">
        <w:rPr>
          <w:rFonts w:ascii="Arial" w:hAnsi="Arial" w:cs="Arial"/>
          <w:sz w:val="20"/>
          <w:szCs w:val="20"/>
        </w:rPr>
        <w:t xml:space="preserve"> </w:t>
      </w:r>
      <w:r w:rsidR="00936A88" w:rsidRPr="00AC4AEA">
        <w:rPr>
          <w:rFonts w:ascii="Arial" w:hAnsi="Arial" w:cs="Arial"/>
          <w:sz w:val="20"/>
          <w:szCs w:val="20"/>
        </w:rPr>
        <w:t xml:space="preserve">a partir del momento en que </w:t>
      </w:r>
      <w:r w:rsidRPr="00AC4AEA">
        <w:rPr>
          <w:rFonts w:ascii="Arial" w:hAnsi="Arial" w:cs="Arial"/>
          <w:sz w:val="20"/>
          <w:szCs w:val="20"/>
        </w:rPr>
        <w:t xml:space="preserve">decida </w:t>
      </w:r>
      <w:r w:rsidR="00A0710A" w:rsidRPr="00AC4AEA">
        <w:rPr>
          <w:rFonts w:ascii="Arial" w:hAnsi="Arial" w:cs="Arial"/>
          <w:sz w:val="20"/>
          <w:szCs w:val="20"/>
        </w:rPr>
        <w:t>transferirlo</w:t>
      </w:r>
      <w:r w:rsidRPr="00AC4AEA">
        <w:rPr>
          <w:rFonts w:ascii="Arial" w:hAnsi="Arial" w:cs="Arial"/>
          <w:sz w:val="20"/>
          <w:szCs w:val="20"/>
        </w:rPr>
        <w:t xml:space="preserve"> a resultados no asignados.</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saldo por revaluación</w:t>
      </w:r>
      <w:r w:rsidRPr="00AC4AEA">
        <w:rPr>
          <w:rFonts w:ascii="Arial" w:hAnsi="Arial" w:cs="Arial"/>
          <w:sz w:val="20"/>
          <w:szCs w:val="20"/>
        </w:rPr>
        <w:t xml:space="preserve"> representará, como mínimo, el valor residual de la revaluación practicada a cada elemento </w:t>
      </w:r>
      <w:r w:rsidR="002C337D" w:rsidRPr="00AC4AEA">
        <w:rPr>
          <w:rFonts w:ascii="Arial" w:hAnsi="Arial" w:cs="Arial"/>
          <w:sz w:val="20"/>
          <w:szCs w:val="20"/>
        </w:rPr>
        <w:t>revaluado</w:t>
      </w:r>
      <w:r w:rsidRPr="00AC4AEA">
        <w:rPr>
          <w:rFonts w:ascii="Arial" w:hAnsi="Arial" w:cs="Arial"/>
          <w:sz w:val="20"/>
          <w:szCs w:val="20"/>
        </w:rPr>
        <w:t xml:space="preserve">, neto del pasivo por impuesto diferido </w:t>
      </w:r>
      <w:r w:rsidR="00936A88" w:rsidRPr="00AC4AEA">
        <w:rPr>
          <w:rFonts w:ascii="Arial" w:hAnsi="Arial" w:cs="Arial"/>
          <w:sz w:val="20"/>
          <w:szCs w:val="20"/>
        </w:rPr>
        <w:t xml:space="preserve">determinado </w:t>
      </w:r>
      <w:r w:rsidR="001A2F95" w:rsidRPr="00AC4AEA">
        <w:rPr>
          <w:rFonts w:ascii="Arial" w:hAnsi="Arial" w:cs="Arial"/>
          <w:sz w:val="20"/>
          <w:szCs w:val="20"/>
        </w:rPr>
        <w:t xml:space="preserve">según lo establecido en </w:t>
      </w:r>
      <w:r w:rsidR="00DB6C34">
        <w:rPr>
          <w:rFonts w:ascii="Arial" w:hAnsi="Arial" w:cs="Arial"/>
          <w:sz w:val="20"/>
          <w:szCs w:val="20"/>
        </w:rPr>
        <w:t>el apartado</w:t>
      </w:r>
      <w:r w:rsidR="001A2F95" w:rsidRPr="00AC4AEA">
        <w:rPr>
          <w:rFonts w:ascii="Arial" w:hAnsi="Arial" w:cs="Arial"/>
          <w:sz w:val="20"/>
          <w:szCs w:val="20"/>
        </w:rPr>
        <w:t xml:space="preserve"> “</w:t>
      </w:r>
      <w:r w:rsidR="001A2F95" w:rsidRPr="00AC4AEA">
        <w:rPr>
          <w:rFonts w:ascii="Arial" w:hAnsi="Arial" w:cs="Arial"/>
          <w:sz w:val="20"/>
          <w:szCs w:val="20"/>
          <w:u w:val="single"/>
        </w:rPr>
        <w:t>Efecto de la revaluación sobre el impuesto a las ganancias</w:t>
      </w:r>
      <w:r w:rsidR="001A2F95" w:rsidRPr="00AC4AEA">
        <w:rPr>
          <w:rFonts w:ascii="Arial" w:hAnsi="Arial" w:cs="Arial"/>
          <w:sz w:val="20"/>
          <w:szCs w:val="20"/>
        </w:rPr>
        <w:t>”</w:t>
      </w:r>
      <w:r w:rsidR="00000B6A" w:rsidRPr="00AC4AEA">
        <w:rPr>
          <w:rFonts w:ascii="Arial" w:hAnsi="Arial" w:cs="Arial"/>
          <w:sz w:val="20"/>
          <w:szCs w:val="20"/>
        </w:rPr>
        <w:t xml:space="preserve"> [ver los párrafos </w:t>
      </w:r>
      <w:fldSimple w:instr=" REF _Ref99480615 \r \h  \* MERGEFORMAT ">
        <w:r w:rsidR="00D33A5D" w:rsidRPr="00D33A5D">
          <w:rPr>
            <w:rFonts w:ascii="Arial" w:hAnsi="Arial" w:cs="Arial"/>
            <w:sz w:val="20"/>
            <w:szCs w:val="20"/>
          </w:rPr>
          <w:t>334</w:t>
        </w:r>
      </w:fldSimple>
      <w:r w:rsidR="00000B6A" w:rsidRPr="00AC4AEA">
        <w:rPr>
          <w:rFonts w:ascii="Arial" w:hAnsi="Arial" w:cs="Arial"/>
          <w:sz w:val="20"/>
          <w:szCs w:val="20"/>
        </w:rPr>
        <w:t xml:space="preserve"> a </w:t>
      </w:r>
      <w:fldSimple w:instr=" REF _Ref99480619 \r \h  \* MERGEFORMAT ">
        <w:r w:rsidR="00D33A5D" w:rsidRPr="00D33A5D">
          <w:rPr>
            <w:rFonts w:ascii="Arial" w:hAnsi="Arial" w:cs="Arial"/>
            <w:sz w:val="20"/>
            <w:szCs w:val="20"/>
          </w:rPr>
          <w:t>336</w:t>
        </w:r>
      </w:fldSimple>
      <w:r w:rsidR="00000B6A" w:rsidRPr="00AC4AEA">
        <w:rPr>
          <w:rFonts w:ascii="Arial" w:hAnsi="Arial" w:cs="Arial"/>
          <w:sz w:val="20"/>
          <w:szCs w:val="20"/>
        </w:rPr>
        <w:t>]</w:t>
      </w:r>
      <w:r w:rsidR="005D41EF" w:rsidRPr="00AC4AEA">
        <w:rPr>
          <w:rFonts w:ascii="Arial" w:hAnsi="Arial" w:cs="Arial"/>
          <w:sz w:val="20"/>
          <w:szCs w:val="20"/>
        </w:rPr>
        <w:t xml:space="preserve"> (excepto que se trate de una entidad pequeña que opte por la </w:t>
      </w:r>
      <w:r w:rsidR="00596F3F" w:rsidRPr="00AC4AEA">
        <w:rPr>
          <w:rFonts w:ascii="Arial" w:hAnsi="Arial" w:cs="Arial"/>
          <w:b/>
          <w:bCs/>
          <w:sz w:val="20"/>
          <w:szCs w:val="20"/>
        </w:rPr>
        <w:t>política contable</w:t>
      </w:r>
      <w:r w:rsidR="005D41EF" w:rsidRPr="00AC4AEA">
        <w:rPr>
          <w:rFonts w:ascii="Arial" w:hAnsi="Arial" w:cs="Arial"/>
          <w:sz w:val="20"/>
          <w:szCs w:val="20"/>
        </w:rPr>
        <w:t xml:space="preserve"> del párrafo </w:t>
      </w:r>
      <w:fldSimple w:instr=" REF _Ref80952493 \r \h  \* MERGEFORMAT ">
        <w:r w:rsidR="00D33A5D" w:rsidRPr="00D33A5D">
          <w:rPr>
            <w:rFonts w:ascii="Arial" w:hAnsi="Arial" w:cs="Arial"/>
            <w:sz w:val="20"/>
            <w:szCs w:val="20"/>
          </w:rPr>
          <w:t>572</w:t>
        </w:r>
      </w:fldSimple>
      <w:r w:rsidR="005D41EF" w:rsidRPr="00AC4AEA">
        <w:rPr>
          <w:rFonts w:ascii="Arial" w:hAnsi="Arial" w:cs="Arial"/>
          <w:sz w:val="20"/>
          <w:szCs w:val="20"/>
        </w:rPr>
        <w:t>).</w:t>
      </w:r>
    </w:p>
    <w:p w:rsidR="00D458D6" w:rsidRPr="00AC4AEA" w:rsidRDefault="00D458D6" w:rsidP="00A318EA">
      <w:pPr>
        <w:pStyle w:val="Prrafodelista"/>
        <w:numPr>
          <w:ilvl w:val="0"/>
          <w:numId w:val="29"/>
        </w:numPr>
        <w:contextualSpacing w:val="0"/>
        <w:jc w:val="both"/>
        <w:rPr>
          <w:rFonts w:ascii="Arial" w:hAnsi="Arial" w:cs="Arial"/>
          <w:sz w:val="20"/>
          <w:szCs w:val="20"/>
        </w:rPr>
      </w:pPr>
      <w:bookmarkStart w:id="489" w:name="_Ref99481070"/>
      <w:r w:rsidRPr="00AC4AEA">
        <w:rPr>
          <w:rFonts w:ascii="Arial" w:hAnsi="Arial" w:cs="Arial"/>
          <w:sz w:val="20"/>
          <w:szCs w:val="20"/>
        </w:rPr>
        <w:t xml:space="preserve">Una entidad calculará la porción del </w:t>
      </w:r>
      <w:r w:rsidRPr="00AC4AEA">
        <w:rPr>
          <w:rFonts w:ascii="Arial" w:hAnsi="Arial" w:cs="Arial"/>
          <w:b/>
          <w:bCs/>
          <w:sz w:val="20"/>
          <w:szCs w:val="20"/>
        </w:rPr>
        <w:t>saldo por revaluación</w:t>
      </w:r>
      <w:r w:rsidRPr="00AC4AEA">
        <w:rPr>
          <w:rFonts w:ascii="Arial" w:hAnsi="Arial" w:cs="Arial"/>
          <w:sz w:val="20"/>
          <w:szCs w:val="20"/>
        </w:rPr>
        <w:t xml:space="preserve"> </w:t>
      </w:r>
      <w:r w:rsidR="00965A56" w:rsidRPr="00AC4AEA">
        <w:rPr>
          <w:rFonts w:ascii="Arial" w:hAnsi="Arial" w:cs="Arial"/>
          <w:sz w:val="20"/>
          <w:szCs w:val="20"/>
        </w:rPr>
        <w:t>contenida en el</w:t>
      </w:r>
      <w:r w:rsidRPr="00AC4AEA">
        <w:rPr>
          <w:rFonts w:ascii="Arial" w:hAnsi="Arial" w:cs="Arial"/>
          <w:sz w:val="20"/>
          <w:szCs w:val="20"/>
        </w:rPr>
        <w:t xml:space="preserve"> valor residual </w:t>
      </w:r>
      <w:r w:rsidR="002C337D" w:rsidRPr="00AC4AEA">
        <w:rPr>
          <w:rFonts w:ascii="Arial" w:hAnsi="Arial" w:cs="Arial"/>
          <w:sz w:val="20"/>
          <w:szCs w:val="20"/>
        </w:rPr>
        <w:t>de</w:t>
      </w:r>
      <w:r w:rsidRPr="00AC4AEA">
        <w:rPr>
          <w:rFonts w:ascii="Arial" w:hAnsi="Arial" w:cs="Arial"/>
          <w:sz w:val="20"/>
          <w:szCs w:val="20"/>
        </w:rPr>
        <w:t xml:space="preserve"> uno o más bienes revaluados para </w:t>
      </w:r>
      <w:r w:rsidR="002C337D" w:rsidRPr="00AC4AEA">
        <w:rPr>
          <w:rFonts w:ascii="Arial" w:hAnsi="Arial" w:cs="Arial"/>
          <w:sz w:val="20"/>
          <w:szCs w:val="20"/>
        </w:rPr>
        <w:t>disminuirlo</w:t>
      </w:r>
      <w:r w:rsidR="00CE3AFC" w:rsidRPr="00AC4AEA">
        <w:rPr>
          <w:rFonts w:ascii="Arial" w:hAnsi="Arial" w:cs="Arial"/>
          <w:sz w:val="20"/>
          <w:szCs w:val="20"/>
        </w:rPr>
        <w:t>,</w:t>
      </w:r>
      <w:r w:rsidRPr="00AC4AEA">
        <w:rPr>
          <w:rFonts w:ascii="Arial" w:hAnsi="Arial" w:cs="Arial"/>
          <w:sz w:val="20"/>
          <w:szCs w:val="20"/>
        </w:rPr>
        <w:t xml:space="preserve"> cuando corresponda.</w:t>
      </w:r>
      <w:bookmarkEnd w:id="489"/>
    </w:p>
    <w:p w:rsidR="00D458D6" w:rsidRPr="00AC4AEA" w:rsidRDefault="00D458D6" w:rsidP="00A318EA">
      <w:pPr>
        <w:jc w:val="both"/>
        <w:rPr>
          <w:rFonts w:ascii="Arial" w:hAnsi="Arial" w:cs="Arial"/>
          <w:sz w:val="20"/>
          <w:szCs w:val="20"/>
        </w:rPr>
      </w:pPr>
    </w:p>
    <w:p w:rsidR="00D458D6" w:rsidRPr="00AC4AEA" w:rsidRDefault="00D458D6" w:rsidP="00A318EA">
      <w:pPr>
        <w:pStyle w:val="Ttulo4"/>
      </w:pPr>
      <w:bookmarkStart w:id="490" w:name="_Toc101863863"/>
      <w:r w:rsidRPr="00AC4AEA">
        <w:lastRenderedPageBreak/>
        <w:t>Efecto de la revaluación sobre el impuesto a las ganancias</w:t>
      </w:r>
      <w:bookmarkEnd w:id="490"/>
    </w:p>
    <w:p w:rsidR="00D458D6" w:rsidRPr="00AC4AEA" w:rsidRDefault="00D458D6" w:rsidP="00A318EA">
      <w:pPr>
        <w:pStyle w:val="Prrafodelista"/>
        <w:numPr>
          <w:ilvl w:val="0"/>
          <w:numId w:val="29"/>
        </w:numPr>
        <w:contextualSpacing w:val="0"/>
        <w:jc w:val="both"/>
        <w:rPr>
          <w:rFonts w:ascii="Arial" w:hAnsi="Arial" w:cs="Arial"/>
          <w:sz w:val="20"/>
          <w:szCs w:val="20"/>
        </w:rPr>
      </w:pPr>
      <w:bookmarkStart w:id="491" w:name="_Ref99480615"/>
      <w:r w:rsidRPr="00AC4AEA">
        <w:rPr>
          <w:rFonts w:ascii="Arial" w:hAnsi="Arial" w:cs="Arial"/>
          <w:sz w:val="20"/>
          <w:szCs w:val="20"/>
        </w:rPr>
        <w:t xml:space="preserve">Una entidad contabilizará y expondrá los efectos de la revaluación de bienes de uso sobre el impuesto a las ganancias, </w:t>
      </w:r>
      <w:r w:rsidR="00596679" w:rsidRPr="00AC4AEA">
        <w:rPr>
          <w:rFonts w:ascii="Arial" w:hAnsi="Arial" w:cs="Arial"/>
          <w:sz w:val="20"/>
          <w:szCs w:val="20"/>
        </w:rPr>
        <w:t>derivadas de</w:t>
      </w:r>
      <w:r w:rsidRPr="00AC4AEA">
        <w:rPr>
          <w:rFonts w:ascii="Arial" w:hAnsi="Arial" w:cs="Arial"/>
          <w:sz w:val="20"/>
          <w:szCs w:val="20"/>
        </w:rPr>
        <w:t xml:space="preserve"> las diferencias entre </w:t>
      </w:r>
      <w:r w:rsidR="00596679" w:rsidRPr="00AC4AEA">
        <w:rPr>
          <w:rFonts w:ascii="Arial" w:hAnsi="Arial" w:cs="Arial"/>
          <w:sz w:val="20"/>
          <w:szCs w:val="20"/>
        </w:rPr>
        <w:t>la medición</w:t>
      </w:r>
      <w:r w:rsidRPr="00AC4AEA">
        <w:rPr>
          <w:rFonts w:ascii="Arial" w:hAnsi="Arial" w:cs="Arial"/>
          <w:sz w:val="20"/>
          <w:szCs w:val="20"/>
        </w:rPr>
        <w:t xml:space="preserve"> contable y la base impositiva de los bienes revaluados de acuerdo con </w:t>
      </w:r>
      <w:r w:rsidR="00DB6C34">
        <w:rPr>
          <w:rFonts w:ascii="Arial" w:hAnsi="Arial" w:cs="Arial"/>
          <w:sz w:val="20"/>
          <w:szCs w:val="20"/>
        </w:rPr>
        <w:t>el apartado</w:t>
      </w:r>
      <w:r w:rsidRPr="00AC4AEA">
        <w:rPr>
          <w:rFonts w:ascii="Arial" w:hAnsi="Arial" w:cs="Arial"/>
          <w:sz w:val="20"/>
          <w:szCs w:val="20"/>
        </w:rPr>
        <w:t xml:space="preserve"> “</w:t>
      </w:r>
      <w:r w:rsidRPr="00AC4AEA">
        <w:rPr>
          <w:rFonts w:ascii="Arial" w:hAnsi="Arial" w:cs="Arial"/>
          <w:sz w:val="20"/>
          <w:szCs w:val="20"/>
          <w:u w:val="single"/>
        </w:rPr>
        <w:t>Reconocimiento, medición, presentación y revelación del impuesto a las ganancias diferido</w:t>
      </w:r>
      <w:r w:rsidRPr="00AC4AEA">
        <w:rPr>
          <w:rFonts w:ascii="Arial" w:hAnsi="Arial" w:cs="Arial"/>
          <w:sz w:val="20"/>
          <w:szCs w:val="20"/>
        </w:rPr>
        <w:t>”</w:t>
      </w:r>
      <w:r w:rsidR="00000B6A" w:rsidRPr="00AC4AEA">
        <w:rPr>
          <w:rFonts w:ascii="Arial" w:hAnsi="Arial" w:cs="Arial"/>
          <w:sz w:val="20"/>
          <w:szCs w:val="20"/>
        </w:rPr>
        <w:t xml:space="preserve"> [ver los párrafos </w:t>
      </w:r>
      <w:fldSimple w:instr=" REF _Ref99458612 \r \h  \* MERGEFORMAT ">
        <w:r w:rsidR="00D33A5D" w:rsidRPr="00D33A5D">
          <w:rPr>
            <w:rFonts w:ascii="Arial" w:hAnsi="Arial" w:cs="Arial"/>
            <w:sz w:val="20"/>
            <w:szCs w:val="20"/>
          </w:rPr>
          <w:t>578</w:t>
        </w:r>
      </w:fldSimple>
      <w:r w:rsidR="00000B6A" w:rsidRPr="00AC4AEA">
        <w:rPr>
          <w:rFonts w:ascii="Arial" w:hAnsi="Arial" w:cs="Arial"/>
          <w:sz w:val="20"/>
          <w:szCs w:val="20"/>
        </w:rPr>
        <w:t xml:space="preserve"> a </w:t>
      </w:r>
      <w:fldSimple w:instr=" REF _Ref99458625 \r \h  \* MERGEFORMAT ">
        <w:r w:rsidR="00D33A5D" w:rsidRPr="00D33A5D">
          <w:rPr>
            <w:rFonts w:ascii="Arial" w:hAnsi="Arial" w:cs="Arial"/>
            <w:sz w:val="20"/>
            <w:szCs w:val="20"/>
          </w:rPr>
          <w:t>599</w:t>
        </w:r>
      </w:fldSimple>
      <w:r w:rsidR="00000B6A" w:rsidRPr="00AC4AEA">
        <w:rPr>
          <w:rFonts w:ascii="Arial" w:hAnsi="Arial" w:cs="Arial"/>
          <w:sz w:val="20"/>
          <w:szCs w:val="20"/>
        </w:rPr>
        <w:t>].</w:t>
      </w:r>
      <w:bookmarkEnd w:id="491"/>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imputará:</w:t>
      </w:r>
    </w:p>
    <w:p w:rsidR="00D458D6" w:rsidRPr="00AC4AEA" w:rsidRDefault="00180C5F" w:rsidP="00A318EA">
      <w:pPr>
        <w:pStyle w:val="Prrafodelista"/>
        <w:numPr>
          <w:ilvl w:val="1"/>
          <w:numId w:val="11"/>
        </w:numPr>
        <w:ind w:left="1560" w:hanging="567"/>
        <w:contextualSpacing w:val="0"/>
        <w:jc w:val="both"/>
        <w:rPr>
          <w:rFonts w:ascii="Arial" w:hAnsi="Arial" w:cs="Arial"/>
          <w:sz w:val="20"/>
          <w:szCs w:val="20"/>
        </w:rPr>
      </w:pPr>
      <w:r w:rsidRPr="00AC4AEA">
        <w:rPr>
          <w:rFonts w:ascii="Arial" w:hAnsi="Arial" w:cs="Arial"/>
          <w:sz w:val="20"/>
          <w:szCs w:val="20"/>
        </w:rPr>
        <w:t>c</w:t>
      </w:r>
      <w:r w:rsidR="00D458D6" w:rsidRPr="00AC4AEA">
        <w:rPr>
          <w:rFonts w:ascii="Arial" w:hAnsi="Arial" w:cs="Arial"/>
          <w:sz w:val="20"/>
          <w:szCs w:val="20"/>
        </w:rPr>
        <w:t xml:space="preserve">ontra el </w:t>
      </w:r>
      <w:r w:rsidR="00D458D6" w:rsidRPr="00AC4AEA">
        <w:rPr>
          <w:rFonts w:ascii="Arial" w:hAnsi="Arial" w:cs="Arial"/>
          <w:b/>
          <w:bCs/>
          <w:sz w:val="20"/>
          <w:szCs w:val="20"/>
        </w:rPr>
        <w:t>saldo por revaluación</w:t>
      </w:r>
      <w:r w:rsidR="00D458D6" w:rsidRPr="00AC4AEA">
        <w:rPr>
          <w:rFonts w:ascii="Arial" w:hAnsi="Arial" w:cs="Arial"/>
          <w:sz w:val="20"/>
          <w:szCs w:val="20"/>
        </w:rPr>
        <w:t>, el aumento en el pasivo por impuestos diferidos generado por cada revaluación</w:t>
      </w:r>
      <w:r w:rsidRPr="00AC4AEA">
        <w:rPr>
          <w:rFonts w:ascii="Arial" w:hAnsi="Arial" w:cs="Arial"/>
          <w:sz w:val="20"/>
          <w:szCs w:val="20"/>
        </w:rPr>
        <w:t xml:space="preserve">; </w:t>
      </w:r>
      <w:r w:rsidR="005D565D" w:rsidRPr="00AC4AEA">
        <w:rPr>
          <w:rFonts w:ascii="Arial" w:hAnsi="Arial" w:cs="Arial"/>
          <w:sz w:val="20"/>
          <w:szCs w:val="20"/>
        </w:rPr>
        <w:t>y</w:t>
      </w:r>
    </w:p>
    <w:p w:rsidR="00D458D6" w:rsidRPr="00AC4AEA" w:rsidRDefault="00180C5F" w:rsidP="00A318EA">
      <w:pPr>
        <w:pStyle w:val="Prrafodelista"/>
        <w:numPr>
          <w:ilvl w:val="1"/>
          <w:numId w:val="11"/>
        </w:numPr>
        <w:ind w:left="1560" w:hanging="567"/>
        <w:contextualSpacing w:val="0"/>
        <w:jc w:val="both"/>
        <w:rPr>
          <w:rFonts w:ascii="Arial" w:hAnsi="Arial" w:cs="Arial"/>
          <w:sz w:val="20"/>
          <w:szCs w:val="20"/>
        </w:rPr>
      </w:pPr>
      <w:r w:rsidRPr="00AC4AEA">
        <w:rPr>
          <w:rFonts w:ascii="Arial" w:hAnsi="Arial" w:cs="Arial"/>
          <w:sz w:val="20"/>
          <w:szCs w:val="20"/>
        </w:rPr>
        <w:t>c</w:t>
      </w:r>
      <w:r w:rsidR="00D458D6" w:rsidRPr="00AC4AEA">
        <w:rPr>
          <w:rFonts w:ascii="Arial" w:hAnsi="Arial" w:cs="Arial"/>
          <w:sz w:val="20"/>
          <w:szCs w:val="20"/>
        </w:rPr>
        <w:t>omo resultado del ejercicio, la reducción del pasivo por impuestos diferidos producido por la reversión de la diferencia temporaria que lo generó.</w:t>
      </w:r>
    </w:p>
    <w:p w:rsidR="00D458D6" w:rsidRPr="00AC4AEA" w:rsidRDefault="00D458D6" w:rsidP="00A318EA">
      <w:pPr>
        <w:pStyle w:val="Prrafodelista"/>
        <w:numPr>
          <w:ilvl w:val="0"/>
          <w:numId w:val="29"/>
        </w:numPr>
        <w:contextualSpacing w:val="0"/>
        <w:jc w:val="both"/>
        <w:rPr>
          <w:rFonts w:ascii="Arial" w:hAnsi="Arial" w:cs="Arial"/>
          <w:sz w:val="20"/>
          <w:szCs w:val="20"/>
        </w:rPr>
      </w:pPr>
      <w:bookmarkStart w:id="492" w:name="_Ref99480619"/>
      <w:r w:rsidRPr="00AC4AEA">
        <w:rPr>
          <w:rFonts w:ascii="Arial" w:hAnsi="Arial" w:cs="Arial"/>
          <w:sz w:val="20"/>
          <w:szCs w:val="20"/>
        </w:rPr>
        <w:t xml:space="preserve">Cuando opte por el criterio de transferir el </w:t>
      </w:r>
      <w:r w:rsidRPr="00AC4AEA">
        <w:rPr>
          <w:rFonts w:ascii="Arial" w:hAnsi="Arial" w:cs="Arial"/>
          <w:b/>
          <w:bCs/>
          <w:sz w:val="20"/>
          <w:szCs w:val="20"/>
        </w:rPr>
        <w:t>saldo por revaluación</w:t>
      </w:r>
      <w:r w:rsidRPr="00AC4AEA">
        <w:rPr>
          <w:rFonts w:ascii="Arial" w:hAnsi="Arial" w:cs="Arial"/>
          <w:sz w:val="20"/>
          <w:szCs w:val="20"/>
        </w:rPr>
        <w:t xml:space="preserve"> a resultados no asignados, según establece</w:t>
      </w:r>
      <w:r w:rsidR="00485BB9" w:rsidRPr="00AC4AEA">
        <w:rPr>
          <w:rFonts w:ascii="Arial" w:hAnsi="Arial" w:cs="Arial"/>
          <w:sz w:val="20"/>
          <w:szCs w:val="20"/>
        </w:rPr>
        <w:t xml:space="preserve"> </w:t>
      </w:r>
      <w:r w:rsidR="00DB6C34">
        <w:rPr>
          <w:rFonts w:ascii="Arial" w:hAnsi="Arial" w:cs="Arial"/>
          <w:sz w:val="20"/>
          <w:szCs w:val="20"/>
        </w:rPr>
        <w:t xml:space="preserve">el apartado </w:t>
      </w:r>
      <w:r w:rsidRPr="00AC4AEA">
        <w:rPr>
          <w:rFonts w:ascii="Arial" w:hAnsi="Arial" w:cs="Arial"/>
          <w:sz w:val="20"/>
          <w:szCs w:val="20"/>
        </w:rPr>
        <w:t>“</w:t>
      </w:r>
      <w:r w:rsidRPr="00AC4AEA">
        <w:rPr>
          <w:rFonts w:ascii="Arial" w:hAnsi="Arial" w:cs="Arial"/>
          <w:sz w:val="20"/>
          <w:szCs w:val="20"/>
          <w:u w:val="single"/>
        </w:rPr>
        <w:t>Tratamiento del saldo por revaluación</w:t>
      </w:r>
      <w:r w:rsidRPr="00AC4AEA">
        <w:rPr>
          <w:rFonts w:ascii="Arial" w:hAnsi="Arial" w:cs="Arial"/>
          <w:sz w:val="20"/>
          <w:szCs w:val="20"/>
        </w:rPr>
        <w:t>”</w:t>
      </w:r>
      <w:r w:rsidR="00000B6A" w:rsidRPr="00AC4AEA">
        <w:rPr>
          <w:rFonts w:ascii="Arial" w:hAnsi="Arial" w:cs="Arial"/>
          <w:sz w:val="20"/>
          <w:szCs w:val="20"/>
        </w:rPr>
        <w:t xml:space="preserve"> [ver los párrafos </w:t>
      </w:r>
      <w:fldSimple w:instr=" REF _Ref99481069 \r \h  \* MERGEFORMAT ">
        <w:r w:rsidR="00D33A5D" w:rsidRPr="00D33A5D">
          <w:rPr>
            <w:rFonts w:ascii="Arial" w:hAnsi="Arial" w:cs="Arial"/>
            <w:sz w:val="20"/>
            <w:szCs w:val="20"/>
          </w:rPr>
          <w:t>327</w:t>
        </w:r>
      </w:fldSimple>
      <w:r w:rsidR="00000B6A" w:rsidRPr="00AC4AEA">
        <w:rPr>
          <w:rFonts w:ascii="Arial" w:hAnsi="Arial" w:cs="Arial"/>
          <w:sz w:val="20"/>
          <w:szCs w:val="20"/>
        </w:rPr>
        <w:t xml:space="preserve"> a </w:t>
      </w:r>
      <w:fldSimple w:instr=" REF _Ref99481070 \r \h  \* MERGEFORMAT ">
        <w:r w:rsidR="00D33A5D" w:rsidRPr="00D33A5D">
          <w:rPr>
            <w:rFonts w:ascii="Arial" w:hAnsi="Arial" w:cs="Arial"/>
            <w:sz w:val="20"/>
            <w:szCs w:val="20"/>
          </w:rPr>
          <w:t>333</w:t>
        </w:r>
      </w:fldSimple>
      <w:r w:rsidR="00000B6A" w:rsidRPr="00AC4AEA">
        <w:rPr>
          <w:rFonts w:ascii="Arial" w:hAnsi="Arial" w:cs="Arial"/>
          <w:sz w:val="20"/>
          <w:szCs w:val="20"/>
        </w:rPr>
        <w:t>],</w:t>
      </w:r>
      <w:r w:rsidRPr="00AC4AEA">
        <w:rPr>
          <w:rFonts w:ascii="Arial" w:hAnsi="Arial" w:cs="Arial"/>
          <w:sz w:val="20"/>
          <w:szCs w:val="20"/>
        </w:rPr>
        <w:t xml:space="preserve"> una entidad efectuará tales transferencias netas del correspondiente impuesto diferido.</w:t>
      </w:r>
      <w:bookmarkEnd w:id="492"/>
    </w:p>
    <w:p w:rsidR="00D458D6" w:rsidRPr="00AC4AEA" w:rsidRDefault="00D458D6" w:rsidP="00A318EA">
      <w:pPr>
        <w:jc w:val="both"/>
        <w:rPr>
          <w:rFonts w:ascii="Arial" w:hAnsi="Arial" w:cs="Arial"/>
          <w:b/>
          <w:bCs/>
          <w:sz w:val="20"/>
          <w:szCs w:val="20"/>
        </w:rPr>
      </w:pPr>
    </w:p>
    <w:p w:rsidR="00D458D6" w:rsidRPr="00AC4AEA" w:rsidRDefault="00D458D6" w:rsidP="00A318EA">
      <w:pPr>
        <w:pStyle w:val="Ttulo4"/>
      </w:pPr>
      <w:bookmarkStart w:id="493" w:name="_Toc101863864"/>
      <w:r w:rsidRPr="00AC4AEA">
        <w:t>Requisitos para contabilizar las revaluaciones</w:t>
      </w:r>
      <w:bookmarkEnd w:id="493"/>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180C5F" w:rsidRPr="00AC4AEA">
        <w:rPr>
          <w:rFonts w:ascii="Arial" w:hAnsi="Arial" w:cs="Arial"/>
          <w:sz w:val="20"/>
          <w:szCs w:val="20"/>
        </w:rPr>
        <w:t xml:space="preserve">deberá </w:t>
      </w:r>
      <w:r w:rsidR="00381FBC" w:rsidRPr="00AC4AEA">
        <w:rPr>
          <w:rFonts w:ascii="Arial" w:hAnsi="Arial" w:cs="Arial"/>
          <w:sz w:val="20"/>
          <w:szCs w:val="20"/>
        </w:rPr>
        <w:t>tener</w:t>
      </w:r>
      <w:r w:rsidRPr="00AC4AEA">
        <w:rPr>
          <w:rFonts w:ascii="Arial" w:hAnsi="Arial" w:cs="Arial"/>
          <w:sz w:val="20"/>
          <w:szCs w:val="20"/>
        </w:rPr>
        <w:t xml:space="preserve"> la aprobación de</w:t>
      </w:r>
      <w:r w:rsidR="00596679" w:rsidRPr="00AC4AEA">
        <w:rPr>
          <w:rFonts w:ascii="Arial" w:hAnsi="Arial" w:cs="Arial"/>
          <w:sz w:val="20"/>
          <w:szCs w:val="20"/>
        </w:rPr>
        <w:t xml:space="preserve"> su</w:t>
      </w:r>
      <w:r w:rsidRPr="00AC4AEA">
        <w:rPr>
          <w:rFonts w:ascii="Arial" w:hAnsi="Arial" w:cs="Arial"/>
          <w:sz w:val="20"/>
          <w:szCs w:val="20"/>
        </w:rPr>
        <w:t xml:space="preserve"> respectivo órgano de administración para la contabilización de revaluaciones de bienes de uso.</w:t>
      </w:r>
    </w:p>
    <w:p w:rsidR="00D458D6" w:rsidRPr="00AC4AEA" w:rsidRDefault="00D458D6" w:rsidP="00A318EA">
      <w:pPr>
        <w:pStyle w:val="Prrafodelista"/>
        <w:numPr>
          <w:ilvl w:val="0"/>
          <w:numId w:val="29"/>
        </w:numPr>
        <w:contextualSpacing w:val="0"/>
        <w:jc w:val="both"/>
        <w:rPr>
          <w:rFonts w:ascii="Arial" w:hAnsi="Arial" w:cs="Arial"/>
          <w:sz w:val="20"/>
          <w:szCs w:val="20"/>
        </w:rPr>
      </w:pPr>
      <w:bookmarkStart w:id="494" w:name="_Ref99458064"/>
      <w:r w:rsidRPr="00AC4AEA">
        <w:rPr>
          <w:rFonts w:ascii="Arial" w:hAnsi="Arial" w:cs="Arial"/>
          <w:sz w:val="20"/>
          <w:szCs w:val="20"/>
        </w:rPr>
        <w:t xml:space="preserve">El órgano de administración de la entidad aprobará los </w:t>
      </w:r>
      <w:r w:rsidR="00135084" w:rsidRPr="00AC4AEA">
        <w:rPr>
          <w:rFonts w:ascii="Arial" w:hAnsi="Arial" w:cs="Arial"/>
          <w:b/>
          <w:bCs/>
          <w:sz w:val="20"/>
          <w:szCs w:val="20"/>
        </w:rPr>
        <w:t>estados contables</w:t>
      </w:r>
      <w:r w:rsidRPr="00AC4AEA">
        <w:rPr>
          <w:rFonts w:ascii="Arial" w:hAnsi="Arial" w:cs="Arial"/>
          <w:sz w:val="20"/>
          <w:szCs w:val="20"/>
        </w:rPr>
        <w:t xml:space="preserve"> que incluyan bienes </w:t>
      </w:r>
      <w:r w:rsidR="00A0710A" w:rsidRPr="00AC4AEA">
        <w:rPr>
          <w:rFonts w:ascii="Arial" w:hAnsi="Arial" w:cs="Arial"/>
          <w:sz w:val="20"/>
          <w:szCs w:val="20"/>
        </w:rPr>
        <w:t>cuya medición se basa en</w:t>
      </w:r>
      <w:r w:rsidRPr="00AC4AEA">
        <w:rPr>
          <w:rFonts w:ascii="Arial" w:hAnsi="Arial" w:cs="Arial"/>
          <w:sz w:val="20"/>
          <w:szCs w:val="20"/>
        </w:rPr>
        <w:t xml:space="preserve"> el modelo de la revaluación, siempre que </w:t>
      </w:r>
      <w:r w:rsidR="00A0710A" w:rsidRPr="00AC4AEA">
        <w:rPr>
          <w:rFonts w:ascii="Arial" w:hAnsi="Arial" w:cs="Arial"/>
          <w:sz w:val="20"/>
          <w:szCs w:val="20"/>
        </w:rPr>
        <w:t>exista</w:t>
      </w:r>
      <w:r w:rsidRPr="00AC4AEA">
        <w:rPr>
          <w:rFonts w:ascii="Arial" w:hAnsi="Arial" w:cs="Arial"/>
          <w:sz w:val="20"/>
          <w:szCs w:val="20"/>
        </w:rPr>
        <w:t>:</w:t>
      </w:r>
      <w:bookmarkEnd w:id="494"/>
    </w:p>
    <w:p w:rsidR="00D458D6" w:rsidRPr="00AC4AEA" w:rsidRDefault="00485BB9" w:rsidP="00A318EA">
      <w:pPr>
        <w:pStyle w:val="Prrafodelista"/>
        <w:numPr>
          <w:ilvl w:val="1"/>
          <w:numId w:val="43"/>
        </w:numPr>
        <w:ind w:left="1560" w:hanging="567"/>
        <w:contextualSpacing w:val="0"/>
        <w:jc w:val="both"/>
        <w:rPr>
          <w:rFonts w:ascii="Arial" w:hAnsi="Arial" w:cs="Arial"/>
          <w:sz w:val="20"/>
          <w:szCs w:val="20"/>
        </w:rPr>
      </w:pPr>
      <w:r w:rsidRPr="00AC4AEA">
        <w:rPr>
          <w:rFonts w:ascii="Arial" w:hAnsi="Arial" w:cs="Arial"/>
          <w:sz w:val="20"/>
          <w:szCs w:val="20"/>
        </w:rPr>
        <w:t>d</w:t>
      </w:r>
      <w:r w:rsidR="00D458D6" w:rsidRPr="00AC4AEA">
        <w:rPr>
          <w:rFonts w:ascii="Arial" w:hAnsi="Arial" w:cs="Arial"/>
          <w:sz w:val="20"/>
          <w:szCs w:val="20"/>
        </w:rPr>
        <w:t xml:space="preserve">ocumentación de respaldo </w:t>
      </w:r>
      <w:r w:rsidR="00A0710A" w:rsidRPr="00AC4AEA">
        <w:rPr>
          <w:rFonts w:ascii="Arial" w:hAnsi="Arial" w:cs="Arial"/>
          <w:sz w:val="20"/>
          <w:szCs w:val="20"/>
        </w:rPr>
        <w:t xml:space="preserve">apropiada para </w:t>
      </w:r>
      <w:r w:rsidR="00D458D6" w:rsidRPr="00AC4AEA">
        <w:rPr>
          <w:rFonts w:ascii="Arial" w:hAnsi="Arial" w:cs="Arial"/>
          <w:sz w:val="20"/>
          <w:szCs w:val="20"/>
        </w:rPr>
        <w:t>dicha medición</w:t>
      </w:r>
      <w:r w:rsidR="001A2F95" w:rsidRPr="00AC4AEA">
        <w:rPr>
          <w:rFonts w:ascii="Arial" w:hAnsi="Arial" w:cs="Arial"/>
          <w:sz w:val="20"/>
          <w:szCs w:val="20"/>
        </w:rPr>
        <w:t>;</w:t>
      </w:r>
    </w:p>
    <w:p w:rsidR="00D458D6" w:rsidRPr="00AC4AEA" w:rsidRDefault="00485BB9" w:rsidP="00A318EA">
      <w:pPr>
        <w:pStyle w:val="Prrafodelista"/>
        <w:numPr>
          <w:ilvl w:val="1"/>
          <w:numId w:val="43"/>
        </w:numPr>
        <w:ind w:left="1560" w:hanging="567"/>
        <w:contextualSpacing w:val="0"/>
        <w:jc w:val="both"/>
        <w:rPr>
          <w:rFonts w:ascii="Arial" w:hAnsi="Arial" w:cs="Arial"/>
          <w:sz w:val="20"/>
          <w:szCs w:val="20"/>
        </w:rPr>
      </w:pPr>
      <w:r w:rsidRPr="00AC4AEA">
        <w:rPr>
          <w:rFonts w:ascii="Arial" w:hAnsi="Arial" w:cs="Arial"/>
          <w:sz w:val="20"/>
          <w:szCs w:val="20"/>
        </w:rPr>
        <w:t>u</w:t>
      </w:r>
      <w:r w:rsidR="00D458D6" w:rsidRPr="00AC4AEA">
        <w:rPr>
          <w:rFonts w:ascii="Arial" w:hAnsi="Arial" w:cs="Arial"/>
          <w:sz w:val="20"/>
          <w:szCs w:val="20"/>
        </w:rPr>
        <w:t xml:space="preserve">na </w:t>
      </w:r>
      <w:r w:rsidR="00596F3F" w:rsidRPr="00AC4AEA">
        <w:rPr>
          <w:rFonts w:ascii="Arial" w:hAnsi="Arial" w:cs="Arial"/>
          <w:b/>
          <w:bCs/>
          <w:sz w:val="20"/>
          <w:szCs w:val="20"/>
        </w:rPr>
        <w:t>política contable</w:t>
      </w:r>
      <w:r w:rsidR="00D458D6" w:rsidRPr="00AC4AEA">
        <w:rPr>
          <w:rFonts w:ascii="Arial" w:hAnsi="Arial" w:cs="Arial"/>
          <w:sz w:val="20"/>
          <w:szCs w:val="20"/>
        </w:rPr>
        <w:t xml:space="preserve"> escrita y aprobada por el mismo órgano de administración, </w:t>
      </w:r>
      <w:r w:rsidR="003D0F0D" w:rsidRPr="00AC4AEA">
        <w:rPr>
          <w:rFonts w:ascii="Arial" w:hAnsi="Arial" w:cs="Arial"/>
          <w:sz w:val="20"/>
          <w:szCs w:val="20"/>
        </w:rPr>
        <w:t>mediante la cual se describa</w:t>
      </w:r>
      <w:r w:rsidR="00D458D6" w:rsidRPr="00AC4AEA">
        <w:rPr>
          <w:rFonts w:ascii="Arial" w:hAnsi="Arial" w:cs="Arial"/>
          <w:sz w:val="20"/>
          <w:szCs w:val="20"/>
        </w:rPr>
        <w:t xml:space="preserve"> el método o la técnica de valuación adoptada</w:t>
      </w:r>
      <w:r w:rsidR="00180C5F" w:rsidRPr="00AC4AEA">
        <w:rPr>
          <w:rFonts w:ascii="Arial" w:hAnsi="Arial" w:cs="Arial"/>
          <w:sz w:val="20"/>
          <w:szCs w:val="20"/>
        </w:rPr>
        <w:t>;</w:t>
      </w:r>
      <w:r w:rsidR="00D458D6" w:rsidRPr="00AC4AEA">
        <w:rPr>
          <w:rFonts w:ascii="Arial" w:hAnsi="Arial" w:cs="Arial"/>
          <w:sz w:val="20"/>
          <w:szCs w:val="20"/>
        </w:rPr>
        <w:t xml:space="preserve"> y</w:t>
      </w:r>
    </w:p>
    <w:p w:rsidR="00D458D6" w:rsidRPr="00AC4AEA" w:rsidRDefault="00485BB9" w:rsidP="00A318EA">
      <w:pPr>
        <w:pStyle w:val="Prrafodelista"/>
        <w:numPr>
          <w:ilvl w:val="1"/>
          <w:numId w:val="43"/>
        </w:numPr>
        <w:ind w:left="1560" w:hanging="567"/>
        <w:contextualSpacing w:val="0"/>
        <w:jc w:val="both"/>
        <w:rPr>
          <w:rFonts w:ascii="Arial" w:hAnsi="Arial" w:cs="Arial"/>
          <w:sz w:val="20"/>
          <w:szCs w:val="20"/>
        </w:rPr>
      </w:pPr>
      <w:r w:rsidRPr="00AC4AEA">
        <w:rPr>
          <w:rFonts w:ascii="Arial" w:hAnsi="Arial" w:cs="Arial"/>
          <w:sz w:val="20"/>
          <w:szCs w:val="20"/>
        </w:rPr>
        <w:t>m</w:t>
      </w:r>
      <w:r w:rsidR="00D458D6" w:rsidRPr="00AC4AEA">
        <w:rPr>
          <w:rFonts w:ascii="Arial" w:hAnsi="Arial" w:cs="Arial"/>
          <w:sz w:val="20"/>
          <w:szCs w:val="20"/>
        </w:rPr>
        <w:t xml:space="preserve">ecanismos de monitoreo y confirmación de que dicha </w:t>
      </w:r>
      <w:r w:rsidR="00596F3F" w:rsidRPr="00AC4AEA">
        <w:rPr>
          <w:rFonts w:ascii="Arial" w:hAnsi="Arial" w:cs="Arial"/>
          <w:b/>
          <w:bCs/>
          <w:sz w:val="20"/>
          <w:szCs w:val="20"/>
        </w:rPr>
        <w:t>política contable</w:t>
      </w:r>
      <w:r w:rsidR="00D458D6" w:rsidRPr="00AC4AEA">
        <w:rPr>
          <w:rFonts w:ascii="Arial" w:hAnsi="Arial" w:cs="Arial"/>
          <w:sz w:val="20"/>
          <w:szCs w:val="20"/>
        </w:rPr>
        <w:t xml:space="preserve"> </w:t>
      </w:r>
      <w:r w:rsidR="00596679" w:rsidRPr="00AC4AEA">
        <w:rPr>
          <w:rFonts w:ascii="Arial" w:hAnsi="Arial" w:cs="Arial"/>
          <w:sz w:val="20"/>
          <w:szCs w:val="20"/>
        </w:rPr>
        <w:t>fue</w:t>
      </w:r>
      <w:r w:rsidR="00D458D6" w:rsidRPr="00AC4AEA">
        <w:rPr>
          <w:rFonts w:ascii="Arial" w:hAnsi="Arial" w:cs="Arial"/>
          <w:sz w:val="20"/>
          <w:szCs w:val="20"/>
        </w:rPr>
        <w:t xml:space="preserve"> aplicada en la preparación de los </w:t>
      </w:r>
      <w:r w:rsidR="00135084" w:rsidRPr="00AC4AEA">
        <w:rPr>
          <w:rFonts w:ascii="Arial" w:hAnsi="Arial" w:cs="Arial"/>
          <w:b/>
          <w:bCs/>
          <w:sz w:val="20"/>
          <w:szCs w:val="20"/>
        </w:rPr>
        <w:t>estados contables</w:t>
      </w:r>
      <w:r w:rsidR="00D458D6" w:rsidRPr="00AC4AEA">
        <w:rPr>
          <w:rFonts w:ascii="Arial" w:hAnsi="Arial" w:cs="Arial"/>
          <w:sz w:val="20"/>
          <w:szCs w:val="20"/>
        </w:rPr>
        <w:t>.</w:t>
      </w:r>
    </w:p>
    <w:p w:rsidR="00D458D6" w:rsidRPr="00AC4AEA" w:rsidRDefault="00D458D6" w:rsidP="00A318EA">
      <w:pPr>
        <w:jc w:val="both"/>
        <w:rPr>
          <w:rFonts w:ascii="Arial" w:hAnsi="Arial" w:cs="Arial"/>
          <w:b/>
          <w:bCs/>
          <w:sz w:val="20"/>
          <w:szCs w:val="20"/>
        </w:rPr>
      </w:pPr>
    </w:p>
    <w:p w:rsidR="00D458D6" w:rsidRPr="00AC4AEA" w:rsidRDefault="00D458D6" w:rsidP="00A318EA">
      <w:pPr>
        <w:pStyle w:val="Ttulo2"/>
        <w:rPr>
          <w:rFonts w:cs="Arial"/>
        </w:rPr>
      </w:pPr>
      <w:bookmarkStart w:id="495" w:name="_Toc101863865"/>
      <w:bookmarkStart w:id="496" w:name="_Toc139356726"/>
      <w:r w:rsidRPr="00AC4AEA">
        <w:rPr>
          <w:rFonts w:cs="Arial"/>
        </w:rPr>
        <w:t>Depreciaciones</w:t>
      </w:r>
      <w:bookmarkEnd w:id="495"/>
      <w:bookmarkEnd w:id="496"/>
    </w:p>
    <w:p w:rsidR="00F2340A" w:rsidRPr="00AC4AEA" w:rsidRDefault="00F2340A" w:rsidP="00A318EA">
      <w:pPr>
        <w:pStyle w:val="Prrafodelista"/>
        <w:numPr>
          <w:ilvl w:val="0"/>
          <w:numId w:val="29"/>
        </w:numPr>
        <w:contextualSpacing w:val="0"/>
        <w:jc w:val="both"/>
        <w:rPr>
          <w:rFonts w:ascii="Arial" w:hAnsi="Arial" w:cs="Arial"/>
          <w:sz w:val="20"/>
          <w:szCs w:val="20"/>
        </w:rPr>
      </w:pPr>
      <w:bookmarkStart w:id="497" w:name="_Ref99481796"/>
      <w:r w:rsidRPr="00AC4AEA">
        <w:rPr>
          <w:rFonts w:ascii="Arial" w:hAnsi="Arial" w:cs="Arial"/>
          <w:sz w:val="20"/>
          <w:szCs w:val="20"/>
        </w:rPr>
        <w:t>Una entidad reconocerá el cargo por depreciación:</w:t>
      </w:r>
      <w:bookmarkEnd w:id="497"/>
    </w:p>
    <w:p w:rsidR="00F2340A" w:rsidRPr="00AC4AEA" w:rsidRDefault="00012DC8" w:rsidP="00A318EA">
      <w:pPr>
        <w:pStyle w:val="Prrafodelista"/>
        <w:numPr>
          <w:ilvl w:val="0"/>
          <w:numId w:val="96"/>
        </w:numPr>
        <w:ind w:left="1560"/>
        <w:contextualSpacing w:val="0"/>
        <w:jc w:val="both"/>
        <w:rPr>
          <w:rFonts w:ascii="Arial" w:hAnsi="Arial" w:cs="Arial"/>
          <w:sz w:val="20"/>
          <w:szCs w:val="20"/>
        </w:rPr>
      </w:pPr>
      <w:r w:rsidRPr="00AC4AEA">
        <w:rPr>
          <w:rFonts w:ascii="Arial" w:hAnsi="Arial" w:cs="Arial"/>
          <w:sz w:val="20"/>
          <w:szCs w:val="20"/>
        </w:rPr>
        <w:t>c</w:t>
      </w:r>
      <w:r w:rsidR="00F2340A" w:rsidRPr="00AC4AEA">
        <w:rPr>
          <w:rFonts w:ascii="Arial" w:hAnsi="Arial" w:cs="Arial"/>
          <w:sz w:val="20"/>
          <w:szCs w:val="20"/>
        </w:rPr>
        <w:t xml:space="preserve">omo </w:t>
      </w:r>
      <w:r w:rsidR="00F2340A" w:rsidRPr="00AC4AEA">
        <w:rPr>
          <w:rFonts w:ascii="Arial" w:hAnsi="Arial" w:cs="Arial"/>
          <w:b/>
          <w:bCs/>
          <w:sz w:val="20"/>
          <w:szCs w:val="20"/>
        </w:rPr>
        <w:t>gasto</w:t>
      </w:r>
      <w:r w:rsidR="00F2340A" w:rsidRPr="00AC4AEA">
        <w:rPr>
          <w:rFonts w:ascii="Arial" w:hAnsi="Arial" w:cs="Arial"/>
          <w:sz w:val="20"/>
          <w:szCs w:val="20"/>
        </w:rPr>
        <w:t xml:space="preserve"> del </w:t>
      </w:r>
      <w:r w:rsidR="00A531ED" w:rsidRPr="00AC4AEA">
        <w:rPr>
          <w:rFonts w:ascii="Arial" w:hAnsi="Arial" w:cs="Arial"/>
          <w:sz w:val="20"/>
          <w:szCs w:val="20"/>
        </w:rPr>
        <w:t>período</w:t>
      </w:r>
      <w:r w:rsidRPr="00AC4AEA">
        <w:rPr>
          <w:rFonts w:ascii="Arial" w:hAnsi="Arial" w:cs="Arial"/>
          <w:sz w:val="20"/>
          <w:szCs w:val="20"/>
        </w:rPr>
        <w:t>;</w:t>
      </w:r>
      <w:r w:rsidR="00F2340A" w:rsidRPr="00AC4AEA">
        <w:rPr>
          <w:rFonts w:ascii="Arial" w:hAnsi="Arial" w:cs="Arial"/>
          <w:sz w:val="20"/>
          <w:szCs w:val="20"/>
        </w:rPr>
        <w:t xml:space="preserve"> o</w:t>
      </w:r>
    </w:p>
    <w:p w:rsidR="00F2340A" w:rsidRPr="00AC4AEA" w:rsidRDefault="00012DC8" w:rsidP="00A318EA">
      <w:pPr>
        <w:pStyle w:val="Prrafodelista"/>
        <w:numPr>
          <w:ilvl w:val="0"/>
          <w:numId w:val="96"/>
        </w:numPr>
        <w:ind w:left="1560"/>
        <w:contextualSpacing w:val="0"/>
        <w:jc w:val="both"/>
        <w:rPr>
          <w:rFonts w:ascii="Arial" w:hAnsi="Arial" w:cs="Arial"/>
          <w:sz w:val="20"/>
          <w:szCs w:val="20"/>
        </w:rPr>
      </w:pPr>
      <w:r w:rsidRPr="00AC4AEA">
        <w:rPr>
          <w:rFonts w:ascii="Arial" w:hAnsi="Arial" w:cs="Arial"/>
          <w:sz w:val="20"/>
          <w:szCs w:val="20"/>
        </w:rPr>
        <w:t>c</w:t>
      </w:r>
      <w:r w:rsidR="00F2340A" w:rsidRPr="00AC4AEA">
        <w:rPr>
          <w:rFonts w:ascii="Arial" w:hAnsi="Arial" w:cs="Arial"/>
          <w:sz w:val="20"/>
          <w:szCs w:val="20"/>
        </w:rPr>
        <w:t xml:space="preserve">omo parte del costo de un </w:t>
      </w:r>
      <w:r w:rsidR="00F2340A" w:rsidRPr="00AC4AEA">
        <w:rPr>
          <w:rFonts w:ascii="Arial" w:hAnsi="Arial" w:cs="Arial"/>
          <w:b/>
          <w:bCs/>
          <w:sz w:val="20"/>
          <w:szCs w:val="20"/>
        </w:rPr>
        <w:t>activo</w:t>
      </w:r>
      <w:r w:rsidR="00EF010E" w:rsidRPr="00AC4AEA">
        <w:rPr>
          <w:rFonts w:ascii="Arial" w:hAnsi="Arial" w:cs="Arial"/>
          <w:sz w:val="20"/>
          <w:szCs w:val="20"/>
        </w:rPr>
        <w:t>,</w:t>
      </w:r>
      <w:r w:rsidR="00F2340A" w:rsidRPr="00AC4AEA">
        <w:rPr>
          <w:rFonts w:ascii="Arial" w:hAnsi="Arial" w:cs="Arial"/>
          <w:b/>
          <w:bCs/>
          <w:sz w:val="20"/>
          <w:szCs w:val="20"/>
        </w:rPr>
        <w:t xml:space="preserve"> </w:t>
      </w:r>
      <w:r w:rsidR="00EF010E" w:rsidRPr="00AC4AEA">
        <w:rPr>
          <w:rFonts w:ascii="Arial" w:hAnsi="Arial" w:cs="Arial"/>
          <w:sz w:val="20"/>
          <w:szCs w:val="20"/>
        </w:rPr>
        <w:t>cuando</w:t>
      </w:r>
      <w:r w:rsidR="00F2340A" w:rsidRPr="00AC4AEA">
        <w:rPr>
          <w:rFonts w:ascii="Arial" w:hAnsi="Arial" w:cs="Arial"/>
          <w:sz w:val="20"/>
          <w:szCs w:val="20"/>
        </w:rPr>
        <w:t xml:space="preserve"> deb</w:t>
      </w:r>
      <w:r w:rsidR="00EF010E" w:rsidRPr="00AC4AEA">
        <w:rPr>
          <w:rFonts w:ascii="Arial" w:hAnsi="Arial" w:cs="Arial"/>
          <w:sz w:val="20"/>
          <w:szCs w:val="20"/>
        </w:rPr>
        <w:t>a</w:t>
      </w:r>
      <w:r w:rsidR="00F2340A" w:rsidRPr="00AC4AEA">
        <w:rPr>
          <w:rFonts w:ascii="Arial" w:hAnsi="Arial" w:cs="Arial"/>
          <w:sz w:val="20"/>
          <w:szCs w:val="20"/>
        </w:rPr>
        <w:t xml:space="preserve"> </w:t>
      </w:r>
      <w:r w:rsidR="00EF010E" w:rsidRPr="00AC4AEA">
        <w:rPr>
          <w:rFonts w:ascii="Arial" w:hAnsi="Arial" w:cs="Arial"/>
          <w:sz w:val="20"/>
          <w:szCs w:val="20"/>
        </w:rPr>
        <w:t xml:space="preserve">computarla dentro del </w:t>
      </w:r>
      <w:r w:rsidR="006111C0" w:rsidRPr="00AC4AEA">
        <w:rPr>
          <w:rFonts w:ascii="Arial" w:hAnsi="Arial" w:cs="Arial"/>
          <w:b/>
          <w:bCs/>
          <w:sz w:val="20"/>
          <w:szCs w:val="20"/>
        </w:rPr>
        <w:t>costo</w:t>
      </w:r>
      <w:r w:rsidR="00EF010E" w:rsidRPr="00AC4AEA">
        <w:rPr>
          <w:rFonts w:ascii="Arial" w:hAnsi="Arial" w:cs="Arial"/>
          <w:b/>
          <w:bCs/>
          <w:sz w:val="20"/>
          <w:szCs w:val="20"/>
        </w:rPr>
        <w:t xml:space="preserve"> de producción</w:t>
      </w:r>
      <w:r w:rsidR="00BD7827" w:rsidRPr="00AC4AEA">
        <w:rPr>
          <w:rFonts w:ascii="Arial" w:hAnsi="Arial" w:cs="Arial"/>
          <w:sz w:val="20"/>
          <w:szCs w:val="20"/>
        </w:rPr>
        <w:t>,</w:t>
      </w:r>
      <w:r w:rsidR="00EF010E" w:rsidRPr="00AC4AEA">
        <w:rPr>
          <w:rFonts w:ascii="Arial" w:hAnsi="Arial" w:cs="Arial"/>
          <w:sz w:val="20"/>
          <w:szCs w:val="20"/>
        </w:rPr>
        <w:t xml:space="preserve"> </w:t>
      </w:r>
      <w:r w:rsidR="006111C0" w:rsidRPr="00AC4AEA">
        <w:rPr>
          <w:rFonts w:ascii="Arial" w:hAnsi="Arial" w:cs="Arial"/>
          <w:sz w:val="20"/>
          <w:szCs w:val="20"/>
        </w:rPr>
        <w:t xml:space="preserve">del </w:t>
      </w:r>
      <w:r w:rsidR="006111C0" w:rsidRPr="00AC4AEA">
        <w:rPr>
          <w:rFonts w:ascii="Arial" w:hAnsi="Arial" w:cs="Arial"/>
          <w:b/>
          <w:bCs/>
          <w:sz w:val="20"/>
          <w:szCs w:val="20"/>
        </w:rPr>
        <w:t xml:space="preserve">costo de </w:t>
      </w:r>
      <w:r w:rsidR="00EF010E" w:rsidRPr="00AC4AEA">
        <w:rPr>
          <w:rFonts w:ascii="Arial" w:hAnsi="Arial" w:cs="Arial"/>
          <w:b/>
          <w:bCs/>
          <w:sz w:val="20"/>
          <w:szCs w:val="20"/>
        </w:rPr>
        <w:t>construcción</w:t>
      </w:r>
      <w:r w:rsidR="00BD7827" w:rsidRPr="00AC4AEA">
        <w:rPr>
          <w:rFonts w:ascii="Arial" w:hAnsi="Arial" w:cs="Arial"/>
          <w:sz w:val="20"/>
          <w:szCs w:val="20"/>
        </w:rPr>
        <w:t xml:space="preserve"> o del </w:t>
      </w:r>
      <w:r w:rsidR="00BD7827" w:rsidRPr="00AC4AEA">
        <w:rPr>
          <w:rFonts w:ascii="Arial" w:hAnsi="Arial" w:cs="Arial"/>
          <w:b/>
          <w:bCs/>
          <w:sz w:val="20"/>
          <w:szCs w:val="20"/>
        </w:rPr>
        <w:t xml:space="preserve">costo de implantación </w:t>
      </w:r>
      <w:r w:rsidR="00A0710A" w:rsidRPr="00AC4AEA">
        <w:rPr>
          <w:rFonts w:ascii="Arial" w:hAnsi="Arial" w:cs="Arial"/>
          <w:sz w:val="20"/>
          <w:szCs w:val="20"/>
        </w:rPr>
        <w:t>de un bien</w:t>
      </w:r>
      <w:r w:rsidR="00EF010E" w:rsidRPr="00AC4AEA">
        <w:rPr>
          <w:rFonts w:ascii="Arial" w:hAnsi="Arial" w:cs="Arial"/>
          <w:sz w:val="20"/>
          <w:szCs w:val="20"/>
        </w:rPr>
        <w:t>.</w:t>
      </w:r>
    </w:p>
    <w:p w:rsidR="00000B6A" w:rsidRPr="00AC4AEA" w:rsidRDefault="00000B6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 xml:space="preserve">Una entidad comenzará a reconocer el cargo por depreciación a partir de la </w:t>
      </w:r>
      <w:r w:rsidRPr="00AC4AEA">
        <w:rPr>
          <w:rFonts w:ascii="Arial" w:hAnsi="Arial" w:cs="Arial"/>
          <w:b/>
          <w:bCs/>
          <w:sz w:val="20"/>
          <w:szCs w:val="20"/>
        </w:rPr>
        <w:t>puesta en marcha</w:t>
      </w:r>
      <w:r w:rsidRPr="00AC4AEA">
        <w:rPr>
          <w:rFonts w:ascii="Arial" w:hAnsi="Arial" w:cs="Arial"/>
          <w:sz w:val="20"/>
          <w:szCs w:val="20"/>
        </w:rPr>
        <w:t xml:space="preserve"> del elemento de bien de uso.</w:t>
      </w:r>
    </w:p>
    <w:p w:rsidR="00000B6A" w:rsidRPr="00AC4AEA" w:rsidRDefault="00000B6A" w:rsidP="00A318EA">
      <w:pPr>
        <w:pStyle w:val="A-Normal11"/>
        <w:numPr>
          <w:ilvl w:val="0"/>
          <w:numId w:val="29"/>
        </w:numPr>
        <w:jc w:val="both"/>
        <w:rPr>
          <w:rFonts w:ascii="Arial" w:hAnsi="Arial" w:cs="Arial"/>
          <w:sz w:val="20"/>
        </w:rPr>
      </w:pPr>
      <w:r w:rsidRPr="00AC4AEA">
        <w:rPr>
          <w:rFonts w:ascii="Arial" w:hAnsi="Arial" w:cs="Arial"/>
          <w:sz w:val="20"/>
        </w:rPr>
        <w:t>En el caso de l</w:t>
      </w:r>
      <w:r w:rsidR="00FF3951" w:rsidRPr="00AC4AEA">
        <w:rPr>
          <w:rFonts w:ascii="Arial" w:hAnsi="Arial" w:cs="Arial"/>
          <w:sz w:val="20"/>
        </w:rPr>
        <w:t>o</w:t>
      </w:r>
      <w:r w:rsidRPr="00AC4AEA">
        <w:rPr>
          <w:rFonts w:ascii="Arial" w:hAnsi="Arial" w:cs="Arial"/>
          <w:sz w:val="20"/>
        </w:rPr>
        <w:t xml:space="preserve">s </w:t>
      </w:r>
      <w:r w:rsidR="00FF3951" w:rsidRPr="00AC4AEA">
        <w:rPr>
          <w:rFonts w:ascii="Arial" w:hAnsi="Arial" w:cs="Arial"/>
          <w:b/>
          <w:bCs/>
          <w:sz w:val="20"/>
        </w:rPr>
        <w:t>activos biológicos utilizados como factor de producción en el curso normal de la</w:t>
      </w:r>
      <w:r w:rsidR="00E00863" w:rsidRPr="00AC4AEA">
        <w:rPr>
          <w:rFonts w:ascii="Arial" w:hAnsi="Arial" w:cs="Arial"/>
          <w:b/>
          <w:bCs/>
          <w:sz w:val="20"/>
        </w:rPr>
        <w:t>s</w:t>
      </w:r>
      <w:r w:rsidR="00FF3951" w:rsidRPr="00AC4AEA">
        <w:rPr>
          <w:rFonts w:ascii="Arial" w:hAnsi="Arial" w:cs="Arial"/>
          <w:b/>
          <w:bCs/>
          <w:sz w:val="20"/>
        </w:rPr>
        <w:t xml:space="preserve"> </w:t>
      </w:r>
      <w:r w:rsidR="00E00863" w:rsidRPr="00AC4AEA">
        <w:rPr>
          <w:rFonts w:ascii="Arial" w:hAnsi="Arial" w:cs="Arial"/>
          <w:b/>
          <w:bCs/>
          <w:sz w:val="20"/>
        </w:rPr>
        <w:t>operaciones</w:t>
      </w:r>
      <w:r w:rsidRPr="00AC4AEA">
        <w:rPr>
          <w:rFonts w:ascii="Arial" w:hAnsi="Arial" w:cs="Arial"/>
          <w:sz w:val="20"/>
        </w:rPr>
        <w:t xml:space="preserve">, una entidad determinará la fecha de </w:t>
      </w:r>
      <w:r w:rsidRPr="00AC4AEA">
        <w:rPr>
          <w:rFonts w:ascii="Arial" w:hAnsi="Arial" w:cs="Arial"/>
          <w:b/>
          <w:bCs/>
          <w:sz w:val="20"/>
        </w:rPr>
        <w:t>puesta en marcha</w:t>
      </w:r>
      <w:r w:rsidRPr="00AC4AEA">
        <w:rPr>
          <w:rFonts w:ascii="Arial" w:hAnsi="Arial" w:cs="Arial"/>
          <w:sz w:val="20"/>
        </w:rPr>
        <w:t xml:space="preserve"> como el momento en que el </w:t>
      </w:r>
      <w:r w:rsidRPr="00AC4AEA">
        <w:rPr>
          <w:rFonts w:ascii="Arial" w:hAnsi="Arial" w:cs="Arial"/>
          <w:b/>
          <w:bCs/>
          <w:sz w:val="20"/>
        </w:rPr>
        <w:t>activo</w:t>
      </w:r>
      <w:r w:rsidRPr="00AC4AEA">
        <w:rPr>
          <w:rFonts w:ascii="Arial" w:hAnsi="Arial" w:cs="Arial"/>
          <w:sz w:val="20"/>
        </w:rPr>
        <w:t xml:space="preserve"> comience la etapa de producción con volúmenes y calidad comercial.</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Para el cómputo de las depreciaciones, una entidad considerará, para cada bien:</w:t>
      </w:r>
    </w:p>
    <w:p w:rsidR="00D458D6" w:rsidRPr="00AC4AEA" w:rsidRDefault="00012DC8"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s</w:t>
      </w:r>
      <w:r w:rsidR="00D458D6" w:rsidRPr="00AC4AEA">
        <w:rPr>
          <w:rFonts w:ascii="Arial" w:hAnsi="Arial" w:cs="Arial"/>
          <w:sz w:val="20"/>
          <w:szCs w:val="20"/>
        </w:rPr>
        <w:t>u medición contable;</w:t>
      </w:r>
    </w:p>
    <w:p w:rsidR="00D458D6" w:rsidRPr="00AC4AEA" w:rsidRDefault="00012DC8"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s</w:t>
      </w:r>
      <w:r w:rsidR="00D458D6" w:rsidRPr="00AC4AEA">
        <w:rPr>
          <w:rFonts w:ascii="Arial" w:hAnsi="Arial" w:cs="Arial"/>
          <w:sz w:val="20"/>
          <w:szCs w:val="20"/>
        </w:rPr>
        <w:t>u naturaleza;</w:t>
      </w:r>
    </w:p>
    <w:p w:rsidR="00D458D6" w:rsidRPr="00AC4AEA" w:rsidRDefault="00012DC8"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s</w:t>
      </w:r>
      <w:r w:rsidR="00D458D6" w:rsidRPr="00AC4AEA">
        <w:rPr>
          <w:rFonts w:ascii="Arial" w:hAnsi="Arial" w:cs="Arial"/>
          <w:sz w:val="20"/>
          <w:szCs w:val="20"/>
        </w:rPr>
        <w:t xml:space="preserve">u fecha de </w:t>
      </w:r>
      <w:r w:rsidR="00D458D6" w:rsidRPr="00AC4AEA">
        <w:rPr>
          <w:rFonts w:ascii="Arial" w:hAnsi="Arial" w:cs="Arial"/>
          <w:b/>
          <w:sz w:val="20"/>
          <w:szCs w:val="20"/>
        </w:rPr>
        <w:t>puesta en marcha</w:t>
      </w:r>
      <w:r w:rsidR="00D458D6" w:rsidRPr="00AC4AEA">
        <w:rPr>
          <w:rFonts w:ascii="Arial" w:hAnsi="Arial" w:cs="Arial"/>
          <w:sz w:val="20"/>
          <w:szCs w:val="20"/>
        </w:rPr>
        <w:t>, que es el momento a partir del cual deben computarse depreciaciones;</w:t>
      </w:r>
    </w:p>
    <w:p w:rsidR="00D458D6" w:rsidRPr="00AC4AEA" w:rsidRDefault="00012DC8"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l</w:t>
      </w:r>
      <w:r w:rsidR="001A2F95" w:rsidRPr="00AC4AEA">
        <w:rPr>
          <w:rFonts w:ascii="Arial" w:hAnsi="Arial" w:cs="Arial"/>
          <w:sz w:val="20"/>
          <w:szCs w:val="20"/>
        </w:rPr>
        <w:t>a existencia de</w:t>
      </w:r>
      <w:r w:rsidR="00D458D6" w:rsidRPr="00AC4AEA">
        <w:rPr>
          <w:rFonts w:ascii="Arial" w:hAnsi="Arial" w:cs="Arial"/>
          <w:sz w:val="20"/>
          <w:szCs w:val="20"/>
        </w:rPr>
        <w:t xml:space="preserve"> evidencias de </w:t>
      </w:r>
      <w:r w:rsidR="00D458D6" w:rsidRPr="008826C7">
        <w:rPr>
          <w:rFonts w:ascii="Arial" w:hAnsi="Arial" w:cs="Arial"/>
          <w:b/>
          <w:bCs/>
          <w:sz w:val="20"/>
          <w:szCs w:val="20"/>
        </w:rPr>
        <w:t xml:space="preserve">pérdida </w:t>
      </w:r>
      <w:r w:rsidR="00D458D6" w:rsidRPr="00AC4AEA">
        <w:rPr>
          <w:rFonts w:ascii="Arial" w:hAnsi="Arial" w:cs="Arial"/>
          <w:sz w:val="20"/>
          <w:szCs w:val="20"/>
        </w:rPr>
        <w:t>de valor anteriores a la puesta en marcha,</w:t>
      </w:r>
      <w:r w:rsidR="00835565" w:rsidRPr="00AC4AEA">
        <w:rPr>
          <w:rFonts w:ascii="Arial" w:hAnsi="Arial" w:cs="Arial"/>
          <w:sz w:val="20"/>
          <w:szCs w:val="20"/>
        </w:rPr>
        <w:t xml:space="preserve"> </w:t>
      </w:r>
      <w:r w:rsidR="00F56C57" w:rsidRPr="00AC4AEA">
        <w:rPr>
          <w:rFonts w:ascii="Arial" w:hAnsi="Arial" w:cs="Arial"/>
          <w:sz w:val="20"/>
          <w:szCs w:val="20"/>
        </w:rPr>
        <w:t xml:space="preserve">que </w:t>
      </w:r>
      <w:r w:rsidR="001A2F95" w:rsidRPr="00AC4AEA">
        <w:rPr>
          <w:rFonts w:ascii="Arial" w:hAnsi="Arial" w:cs="Arial"/>
          <w:sz w:val="20"/>
          <w:szCs w:val="20"/>
        </w:rPr>
        <w:t>deberá reconocer</w:t>
      </w:r>
      <w:r w:rsidR="00D458D6" w:rsidRPr="00AC4AEA">
        <w:rPr>
          <w:rFonts w:ascii="Arial" w:hAnsi="Arial" w:cs="Arial"/>
          <w:sz w:val="20"/>
          <w:szCs w:val="20"/>
        </w:rPr>
        <w:t>;</w:t>
      </w:r>
    </w:p>
    <w:p w:rsidR="00D458D6" w:rsidRPr="00AC4AEA" w:rsidRDefault="00012DC8"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s</w:t>
      </w:r>
      <w:r w:rsidR="00D458D6" w:rsidRPr="00AC4AEA">
        <w:rPr>
          <w:rFonts w:ascii="Arial" w:hAnsi="Arial" w:cs="Arial"/>
          <w:sz w:val="20"/>
          <w:szCs w:val="20"/>
        </w:rPr>
        <w:t>u capacidad de servicio, que estimará considerando</w:t>
      </w:r>
      <w:r w:rsidR="001A2F95" w:rsidRPr="00AC4AEA">
        <w:rPr>
          <w:rFonts w:ascii="Arial" w:hAnsi="Arial" w:cs="Arial"/>
          <w:sz w:val="20"/>
          <w:szCs w:val="20"/>
        </w:rPr>
        <w:t>, entre otros factores</w:t>
      </w:r>
      <w:r w:rsidR="00D458D6" w:rsidRPr="00AC4AEA">
        <w:rPr>
          <w:rFonts w:ascii="Arial" w:hAnsi="Arial" w:cs="Arial"/>
          <w:sz w:val="20"/>
          <w:szCs w:val="20"/>
        </w:rPr>
        <w:t>:</w:t>
      </w:r>
    </w:p>
    <w:p w:rsidR="00D458D6" w:rsidRPr="00AC4AEA" w:rsidRDefault="007259DB" w:rsidP="00A318EA">
      <w:pPr>
        <w:pStyle w:val="Prrafodelista"/>
        <w:numPr>
          <w:ilvl w:val="0"/>
          <w:numId w:val="285"/>
        </w:numPr>
        <w:ind w:left="1985"/>
        <w:contextualSpacing w:val="0"/>
        <w:jc w:val="both"/>
        <w:rPr>
          <w:rFonts w:ascii="Arial" w:hAnsi="Arial" w:cs="Arial"/>
          <w:sz w:val="20"/>
          <w:szCs w:val="20"/>
        </w:rPr>
      </w:pPr>
      <w:r w:rsidRPr="00AC4AEA">
        <w:rPr>
          <w:rFonts w:ascii="Arial" w:hAnsi="Arial" w:cs="Arial"/>
          <w:sz w:val="20"/>
          <w:szCs w:val="20"/>
        </w:rPr>
        <w:t>e</w:t>
      </w:r>
      <w:r w:rsidR="00D458D6" w:rsidRPr="00AC4AEA">
        <w:rPr>
          <w:rFonts w:ascii="Arial" w:hAnsi="Arial" w:cs="Arial"/>
          <w:sz w:val="20"/>
          <w:szCs w:val="20"/>
        </w:rPr>
        <w:t xml:space="preserve">l tipo de explotación en </w:t>
      </w:r>
      <w:r w:rsidR="00A0710A" w:rsidRPr="00AC4AEA">
        <w:rPr>
          <w:rFonts w:ascii="Arial" w:hAnsi="Arial" w:cs="Arial"/>
          <w:sz w:val="20"/>
          <w:szCs w:val="20"/>
        </w:rPr>
        <w:t xml:space="preserve">la cual </w:t>
      </w:r>
      <w:r w:rsidR="00D458D6" w:rsidRPr="00AC4AEA">
        <w:rPr>
          <w:rFonts w:ascii="Arial" w:hAnsi="Arial" w:cs="Arial"/>
          <w:sz w:val="20"/>
          <w:szCs w:val="20"/>
        </w:rPr>
        <w:t>se utiliza el bien;</w:t>
      </w:r>
    </w:p>
    <w:p w:rsidR="00D458D6" w:rsidRPr="00AC4AEA" w:rsidRDefault="007259DB" w:rsidP="00A318EA">
      <w:pPr>
        <w:pStyle w:val="Prrafodelista"/>
        <w:numPr>
          <w:ilvl w:val="0"/>
          <w:numId w:val="285"/>
        </w:numPr>
        <w:ind w:left="1985"/>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 xml:space="preserve">a política de mantenimiento </w:t>
      </w:r>
      <w:r w:rsidR="00596679" w:rsidRPr="00AC4AEA">
        <w:rPr>
          <w:rFonts w:ascii="Arial" w:hAnsi="Arial" w:cs="Arial"/>
          <w:sz w:val="20"/>
          <w:szCs w:val="20"/>
        </w:rPr>
        <w:t>de</w:t>
      </w:r>
      <w:r w:rsidR="00D458D6" w:rsidRPr="00AC4AEA">
        <w:rPr>
          <w:rFonts w:ascii="Arial" w:hAnsi="Arial" w:cs="Arial"/>
          <w:sz w:val="20"/>
          <w:szCs w:val="20"/>
        </w:rPr>
        <w:t xml:space="preserve"> la entidad;</w:t>
      </w:r>
      <w:r w:rsidR="00F56C57" w:rsidRPr="00AC4AEA">
        <w:rPr>
          <w:rFonts w:ascii="Arial" w:hAnsi="Arial" w:cs="Arial"/>
          <w:sz w:val="20"/>
          <w:szCs w:val="20"/>
        </w:rPr>
        <w:t xml:space="preserve"> y</w:t>
      </w:r>
    </w:p>
    <w:p w:rsidR="00D458D6" w:rsidRPr="00AC4AEA" w:rsidRDefault="007259DB" w:rsidP="00A318EA">
      <w:pPr>
        <w:pStyle w:val="Prrafodelista"/>
        <w:numPr>
          <w:ilvl w:val="0"/>
          <w:numId w:val="285"/>
        </w:numPr>
        <w:ind w:left="1985"/>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 xml:space="preserve">a posible obsolescencia del </w:t>
      </w:r>
      <w:r w:rsidR="00596679" w:rsidRPr="00AC4AEA">
        <w:rPr>
          <w:rFonts w:ascii="Arial" w:hAnsi="Arial" w:cs="Arial"/>
          <w:b/>
          <w:bCs/>
          <w:sz w:val="20"/>
          <w:szCs w:val="20"/>
        </w:rPr>
        <w:t>activo</w:t>
      </w:r>
      <w:r w:rsidR="00D458D6" w:rsidRPr="00AC4AEA">
        <w:rPr>
          <w:rFonts w:ascii="Arial" w:hAnsi="Arial" w:cs="Arial"/>
          <w:sz w:val="20"/>
          <w:szCs w:val="20"/>
        </w:rPr>
        <w:t xml:space="preserve"> </w:t>
      </w:r>
      <w:r w:rsidR="00A0710A" w:rsidRPr="00AC4AEA">
        <w:rPr>
          <w:rFonts w:ascii="Arial" w:hAnsi="Arial" w:cs="Arial"/>
          <w:sz w:val="20"/>
          <w:szCs w:val="20"/>
        </w:rPr>
        <w:t>debida</w:t>
      </w:r>
      <w:r w:rsidR="00D458D6" w:rsidRPr="00AC4AEA">
        <w:rPr>
          <w:rFonts w:ascii="Arial" w:hAnsi="Arial" w:cs="Arial"/>
          <w:sz w:val="20"/>
          <w:szCs w:val="20"/>
        </w:rPr>
        <w:t>, por ejemplo, a cambios tecnológicos o en el mercado de los bienes producidos mediante su empleo;</w:t>
      </w:r>
    </w:p>
    <w:p w:rsidR="00D458D6" w:rsidRPr="00AC4AEA" w:rsidRDefault="00C36085"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 xml:space="preserve">a posibilidad de que algunas partes importantes </w:t>
      </w:r>
      <w:r w:rsidR="00596679" w:rsidRPr="00AC4AEA">
        <w:rPr>
          <w:rFonts w:ascii="Arial" w:hAnsi="Arial" w:cs="Arial"/>
          <w:sz w:val="20"/>
          <w:szCs w:val="20"/>
        </w:rPr>
        <w:t xml:space="preserve">del </w:t>
      </w:r>
      <w:r w:rsidR="00596679" w:rsidRPr="00AC4AEA">
        <w:rPr>
          <w:rFonts w:ascii="Arial" w:hAnsi="Arial" w:cs="Arial"/>
          <w:b/>
          <w:bCs/>
          <w:sz w:val="20"/>
          <w:szCs w:val="20"/>
        </w:rPr>
        <w:t>activo</w:t>
      </w:r>
      <w:r w:rsidR="00D458D6" w:rsidRPr="00AC4AEA">
        <w:rPr>
          <w:rFonts w:ascii="Arial" w:hAnsi="Arial" w:cs="Arial"/>
          <w:sz w:val="20"/>
          <w:szCs w:val="20"/>
        </w:rPr>
        <w:t xml:space="preserve"> sufran un desgaste o agotamiento distinto al </w:t>
      </w:r>
      <w:r w:rsidR="00A0710A" w:rsidRPr="00AC4AEA">
        <w:rPr>
          <w:rFonts w:ascii="Arial" w:hAnsi="Arial" w:cs="Arial"/>
          <w:sz w:val="20"/>
          <w:szCs w:val="20"/>
        </w:rPr>
        <w:t>de los demás</w:t>
      </w:r>
      <w:r w:rsidR="00D458D6" w:rsidRPr="00AC4AEA">
        <w:rPr>
          <w:rFonts w:ascii="Arial" w:hAnsi="Arial" w:cs="Arial"/>
          <w:sz w:val="20"/>
          <w:szCs w:val="20"/>
        </w:rPr>
        <w:t xml:space="preserve"> componentes;</w:t>
      </w:r>
    </w:p>
    <w:p w:rsidR="00D458D6" w:rsidRPr="00AC4AEA" w:rsidRDefault="00C36085"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e</w:t>
      </w:r>
      <w:r w:rsidR="00D458D6" w:rsidRPr="00AC4AEA">
        <w:rPr>
          <w:rFonts w:ascii="Arial" w:hAnsi="Arial" w:cs="Arial"/>
          <w:sz w:val="20"/>
          <w:szCs w:val="20"/>
        </w:rPr>
        <w:t xml:space="preserve">l </w:t>
      </w:r>
      <w:r w:rsidR="00D458D6" w:rsidRPr="00AC4AEA">
        <w:rPr>
          <w:rFonts w:ascii="Arial" w:hAnsi="Arial" w:cs="Arial"/>
          <w:b/>
          <w:bCs/>
          <w:sz w:val="20"/>
          <w:szCs w:val="20"/>
        </w:rPr>
        <w:t>valor neto de realización</w:t>
      </w:r>
      <w:r w:rsidR="00D458D6" w:rsidRPr="00AC4AEA">
        <w:rPr>
          <w:rFonts w:ascii="Arial" w:hAnsi="Arial" w:cs="Arial"/>
          <w:sz w:val="20"/>
          <w:szCs w:val="20"/>
        </w:rPr>
        <w:t xml:space="preserve"> que </w:t>
      </w:r>
      <w:r w:rsidR="001A2F95" w:rsidRPr="00AC4AEA">
        <w:rPr>
          <w:rFonts w:ascii="Arial" w:hAnsi="Arial" w:cs="Arial"/>
          <w:sz w:val="20"/>
          <w:szCs w:val="20"/>
        </w:rPr>
        <w:t>estima tendrá</w:t>
      </w:r>
      <w:r w:rsidR="00D458D6" w:rsidRPr="00AC4AEA">
        <w:rPr>
          <w:rFonts w:ascii="Arial" w:hAnsi="Arial" w:cs="Arial"/>
          <w:sz w:val="20"/>
          <w:szCs w:val="20"/>
        </w:rPr>
        <w:t xml:space="preserve"> el bien cuando se agote su capacidad de servicio;</w:t>
      </w:r>
    </w:p>
    <w:p w:rsidR="00D458D6" w:rsidRPr="00AC4AEA" w:rsidRDefault="00C36085"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a capacidad de servicio del bien ya utilizada debido al desgaste o agotamiento normal</w:t>
      </w:r>
      <w:r w:rsidR="00180C5F" w:rsidRPr="00AC4AEA">
        <w:rPr>
          <w:rFonts w:ascii="Arial" w:hAnsi="Arial" w:cs="Arial"/>
          <w:sz w:val="20"/>
          <w:szCs w:val="20"/>
        </w:rPr>
        <w:t>;</w:t>
      </w:r>
      <w:r w:rsidR="00EA4A21" w:rsidRPr="00AC4AEA">
        <w:rPr>
          <w:rFonts w:ascii="Arial" w:hAnsi="Arial" w:cs="Arial"/>
          <w:sz w:val="20"/>
          <w:szCs w:val="20"/>
        </w:rPr>
        <w:t xml:space="preserve"> y</w:t>
      </w:r>
    </w:p>
    <w:p w:rsidR="00D458D6" w:rsidRPr="00AC4AEA" w:rsidRDefault="00C36085" w:rsidP="00A318EA">
      <w:pPr>
        <w:pStyle w:val="Prrafodelista"/>
        <w:numPr>
          <w:ilvl w:val="1"/>
          <w:numId w:val="12"/>
        </w:numPr>
        <w:ind w:left="1560" w:hanging="567"/>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os deterioros que pudiere haber sufrido el bien por averías u otras razones.</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Tras el reconocimiento de un</w:t>
      </w:r>
      <w:r w:rsidR="00CE3AFC" w:rsidRPr="00AC4AEA">
        <w:rPr>
          <w:rFonts w:ascii="Arial" w:hAnsi="Arial" w:cs="Arial"/>
          <w:sz w:val="20"/>
          <w:szCs w:val="20"/>
        </w:rPr>
        <w:t>a</w:t>
      </w:r>
      <w:r w:rsidRPr="00AC4AEA">
        <w:rPr>
          <w:rFonts w:ascii="Arial" w:hAnsi="Arial" w:cs="Arial"/>
          <w:sz w:val="20"/>
          <w:szCs w:val="20"/>
        </w:rPr>
        <w:t xml:space="preserve"> </w:t>
      </w:r>
      <w:r w:rsidR="002F3290" w:rsidRPr="00AC4AEA">
        <w:rPr>
          <w:rFonts w:ascii="Arial" w:hAnsi="Arial" w:cs="Arial"/>
          <w:b/>
          <w:bCs/>
          <w:sz w:val="20"/>
          <w:szCs w:val="20"/>
        </w:rPr>
        <w:t>pérdida por desvalorización</w:t>
      </w:r>
      <w:r w:rsidRPr="00AC4AEA">
        <w:rPr>
          <w:rFonts w:ascii="Arial" w:hAnsi="Arial" w:cs="Arial"/>
          <w:sz w:val="20"/>
          <w:szCs w:val="20"/>
        </w:rPr>
        <w:t xml:space="preserve"> o de una reversión de la pérdida de valor </w:t>
      </w:r>
      <w:r w:rsidR="003D0F0D" w:rsidRPr="00AC4AEA">
        <w:rPr>
          <w:rFonts w:ascii="Arial" w:hAnsi="Arial" w:cs="Arial"/>
          <w:sz w:val="20"/>
          <w:szCs w:val="20"/>
        </w:rPr>
        <w:t>debido a la</w:t>
      </w:r>
      <w:r w:rsidRPr="00AC4AEA">
        <w:rPr>
          <w:rFonts w:ascii="Arial" w:hAnsi="Arial" w:cs="Arial"/>
          <w:sz w:val="20"/>
          <w:szCs w:val="20"/>
        </w:rPr>
        <w:t xml:space="preserve"> </w:t>
      </w:r>
      <w:r w:rsidR="00343DFA" w:rsidRPr="00B063AF">
        <w:rPr>
          <w:rFonts w:ascii="Arial" w:hAnsi="Arial" w:cs="Arial"/>
          <w:sz w:val="20"/>
          <w:szCs w:val="20"/>
        </w:rPr>
        <w:t>c</w:t>
      </w:r>
      <w:r w:rsidRPr="00B063AF">
        <w:rPr>
          <w:rFonts w:ascii="Arial" w:hAnsi="Arial" w:cs="Arial"/>
          <w:sz w:val="20"/>
          <w:szCs w:val="20"/>
        </w:rPr>
        <w:t>omparación con el valor recuperable</w:t>
      </w:r>
      <w:r w:rsidR="00000B6A" w:rsidRPr="00AC4AEA">
        <w:rPr>
          <w:rFonts w:ascii="Arial" w:hAnsi="Arial" w:cs="Arial"/>
          <w:sz w:val="20"/>
          <w:szCs w:val="20"/>
        </w:rPr>
        <w:t xml:space="preserve"> [ver los párrafos </w:t>
      </w:r>
      <w:fldSimple w:instr=" REF _Ref99481071 \r \h  \* MERGEFORMAT ">
        <w:r w:rsidR="00D33A5D" w:rsidRPr="00D33A5D">
          <w:rPr>
            <w:rFonts w:ascii="Arial" w:hAnsi="Arial" w:cs="Arial"/>
            <w:sz w:val="20"/>
            <w:szCs w:val="20"/>
          </w:rPr>
          <w:t>145</w:t>
        </w:r>
      </w:fldSimple>
      <w:r w:rsidR="00000B6A" w:rsidRPr="00AC4AEA">
        <w:rPr>
          <w:rFonts w:ascii="Arial" w:hAnsi="Arial" w:cs="Arial"/>
          <w:sz w:val="20"/>
          <w:szCs w:val="20"/>
        </w:rPr>
        <w:t xml:space="preserve"> a </w:t>
      </w:r>
      <w:fldSimple w:instr=" REF _Ref99481072 \r \h  \* MERGEFORMAT ">
        <w:r w:rsidR="00D33A5D" w:rsidRPr="00D33A5D">
          <w:rPr>
            <w:rFonts w:ascii="Arial" w:hAnsi="Arial" w:cs="Arial"/>
            <w:sz w:val="20"/>
            <w:szCs w:val="20"/>
          </w:rPr>
          <w:t>175</w:t>
        </w:r>
      </w:fldSimple>
      <w:r w:rsidR="00000B6A" w:rsidRPr="00AC4AEA">
        <w:rPr>
          <w:rFonts w:ascii="Arial" w:hAnsi="Arial" w:cs="Arial"/>
          <w:sz w:val="20"/>
          <w:szCs w:val="20"/>
        </w:rPr>
        <w:t>]</w:t>
      </w:r>
      <w:r w:rsidRPr="00AC4AEA">
        <w:rPr>
          <w:rFonts w:ascii="Arial" w:hAnsi="Arial" w:cs="Arial"/>
          <w:sz w:val="20"/>
          <w:szCs w:val="20"/>
        </w:rPr>
        <w:t>, una entidad adecuará los cargos por depreciación para distribuir la nueva medición contable del</w:t>
      </w:r>
      <w:r w:rsidRPr="006F3AE5">
        <w:rPr>
          <w:rFonts w:ascii="Arial" w:hAnsi="Arial" w:cs="Arial"/>
          <w:b/>
          <w:bCs/>
          <w:sz w:val="20"/>
          <w:szCs w:val="20"/>
        </w:rPr>
        <w:t xml:space="preserve"> activo </w:t>
      </w:r>
      <w:r w:rsidRPr="00AC4AEA">
        <w:rPr>
          <w:rFonts w:ascii="Arial" w:hAnsi="Arial" w:cs="Arial"/>
          <w:sz w:val="20"/>
          <w:szCs w:val="20"/>
        </w:rPr>
        <w:t xml:space="preserve">(menos su </w:t>
      </w:r>
      <w:r w:rsidRPr="00AC4AEA">
        <w:rPr>
          <w:rFonts w:ascii="Arial" w:hAnsi="Arial" w:cs="Arial"/>
          <w:b/>
          <w:bCs/>
          <w:sz w:val="20"/>
          <w:szCs w:val="20"/>
        </w:rPr>
        <w:t>valor recuperable</w:t>
      </w:r>
      <w:r w:rsidRPr="00AC4AEA">
        <w:rPr>
          <w:rFonts w:ascii="Arial" w:hAnsi="Arial" w:cs="Arial"/>
          <w:sz w:val="20"/>
          <w:szCs w:val="20"/>
        </w:rPr>
        <w:t xml:space="preserve"> final), de una forma sistemática a lo largo de la vida útil restante del bien.</w:t>
      </w:r>
    </w:p>
    <w:p w:rsidR="00BD7827" w:rsidRPr="00AC4AEA" w:rsidRDefault="00EC189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Cuando haya incorporado un</w:t>
      </w:r>
      <w:r w:rsidRPr="006F3AE5">
        <w:rPr>
          <w:rFonts w:ascii="Arial" w:hAnsi="Arial" w:cs="Arial"/>
          <w:b/>
          <w:bCs/>
          <w:sz w:val="20"/>
          <w:szCs w:val="20"/>
        </w:rPr>
        <w:t xml:space="preserve"> activo </w:t>
      </w:r>
      <w:r w:rsidRPr="00AC4AEA">
        <w:rPr>
          <w:rFonts w:ascii="Arial" w:hAnsi="Arial" w:cs="Arial"/>
          <w:sz w:val="20"/>
          <w:szCs w:val="20"/>
        </w:rPr>
        <w:t>mediante un arrendamiento financiero de acuerdo con la sección “</w:t>
      </w:r>
      <w:r w:rsidRPr="00AC4AEA">
        <w:rPr>
          <w:rFonts w:ascii="Arial" w:hAnsi="Arial" w:cs="Arial"/>
          <w:sz w:val="20"/>
          <w:szCs w:val="20"/>
          <w:u w:val="single"/>
        </w:rPr>
        <w:t>Arrendamientos</w:t>
      </w:r>
      <w:r w:rsidRPr="00AC4AEA">
        <w:rPr>
          <w:rFonts w:ascii="Arial" w:hAnsi="Arial" w:cs="Arial"/>
          <w:sz w:val="20"/>
          <w:szCs w:val="20"/>
        </w:rPr>
        <w:t xml:space="preserve">” </w:t>
      </w:r>
      <w:r w:rsidR="00000B6A" w:rsidRPr="00AC4AEA">
        <w:rPr>
          <w:rFonts w:ascii="Arial" w:hAnsi="Arial" w:cs="Arial"/>
          <w:sz w:val="20"/>
          <w:szCs w:val="20"/>
        </w:rPr>
        <w:t xml:space="preserve">[ver los párrafos </w:t>
      </w:r>
      <w:fldSimple w:instr=" REF _Ref99481228 \r \h  \* MERGEFORMAT ">
        <w:r w:rsidR="00D33A5D" w:rsidRPr="00D33A5D">
          <w:rPr>
            <w:rFonts w:ascii="Arial" w:hAnsi="Arial" w:cs="Arial"/>
            <w:sz w:val="20"/>
            <w:szCs w:val="20"/>
          </w:rPr>
          <w:t>532</w:t>
        </w:r>
      </w:fldSimple>
      <w:r w:rsidR="008F3F5F" w:rsidRPr="00AC4AEA">
        <w:rPr>
          <w:rFonts w:ascii="Arial" w:hAnsi="Arial" w:cs="Arial"/>
          <w:sz w:val="20"/>
          <w:szCs w:val="20"/>
        </w:rPr>
        <w:t xml:space="preserve"> a</w:t>
      </w:r>
      <w:r w:rsidR="00343DFA">
        <w:rPr>
          <w:rFonts w:ascii="Arial" w:hAnsi="Arial" w:cs="Arial"/>
          <w:sz w:val="20"/>
          <w:szCs w:val="20"/>
        </w:rPr>
        <w:t xml:space="preserve"> </w:t>
      </w:r>
      <w:r w:rsidR="001C4138">
        <w:rPr>
          <w:rFonts w:ascii="Arial" w:hAnsi="Arial" w:cs="Arial"/>
          <w:sz w:val="20"/>
          <w:szCs w:val="20"/>
        </w:rPr>
        <w:fldChar w:fldCharType="begin"/>
      </w:r>
      <w:r w:rsidR="00343DFA">
        <w:rPr>
          <w:rFonts w:ascii="Arial" w:hAnsi="Arial" w:cs="Arial"/>
          <w:sz w:val="20"/>
          <w:szCs w:val="20"/>
        </w:rPr>
        <w:instrText xml:space="preserve"> REF _Ref138943352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559</w:t>
      </w:r>
      <w:r w:rsidR="001C4138">
        <w:rPr>
          <w:rFonts w:ascii="Arial" w:hAnsi="Arial" w:cs="Arial"/>
          <w:sz w:val="20"/>
          <w:szCs w:val="20"/>
        </w:rPr>
        <w:fldChar w:fldCharType="end"/>
      </w:r>
      <w:r w:rsidR="008F3F5F" w:rsidRPr="00AC4AEA">
        <w:rPr>
          <w:rFonts w:ascii="Arial" w:hAnsi="Arial" w:cs="Arial"/>
          <w:sz w:val="20"/>
          <w:szCs w:val="20"/>
        </w:rPr>
        <w:t xml:space="preserve">] </w:t>
      </w:r>
      <w:r w:rsidRPr="00AC4AEA">
        <w:rPr>
          <w:rFonts w:ascii="Arial" w:hAnsi="Arial" w:cs="Arial"/>
          <w:sz w:val="20"/>
          <w:szCs w:val="20"/>
        </w:rPr>
        <w:t xml:space="preserve">y la obtención de su propiedad por parte del arrendatario no esté razonablemente asegurada, una entidad depreciará totalmente dicho </w:t>
      </w:r>
      <w:r w:rsidRPr="00AC4AEA">
        <w:rPr>
          <w:rFonts w:ascii="Arial" w:hAnsi="Arial" w:cs="Arial"/>
          <w:b/>
          <w:bCs/>
          <w:sz w:val="20"/>
          <w:szCs w:val="20"/>
        </w:rPr>
        <w:t>activo</w:t>
      </w:r>
      <w:r w:rsidRPr="00AC4AEA">
        <w:rPr>
          <w:rFonts w:ascii="Arial" w:hAnsi="Arial" w:cs="Arial"/>
          <w:sz w:val="20"/>
          <w:szCs w:val="20"/>
        </w:rPr>
        <w:t xml:space="preserve"> durante el</w:t>
      </w:r>
      <w:r w:rsidR="00BD7827" w:rsidRPr="00AC4AEA">
        <w:rPr>
          <w:rFonts w:ascii="Arial" w:hAnsi="Arial" w:cs="Arial"/>
          <w:sz w:val="20"/>
          <w:szCs w:val="20"/>
        </w:rPr>
        <w:t xml:space="preserve"> menor de los siguientes </w:t>
      </w:r>
      <w:r w:rsidRPr="00AC4AEA">
        <w:rPr>
          <w:rFonts w:ascii="Arial" w:hAnsi="Arial" w:cs="Arial"/>
          <w:sz w:val="20"/>
          <w:szCs w:val="20"/>
        </w:rPr>
        <w:t>plazo</w:t>
      </w:r>
      <w:r w:rsidR="00BD7827" w:rsidRPr="00AC4AEA">
        <w:rPr>
          <w:rFonts w:ascii="Arial" w:hAnsi="Arial" w:cs="Arial"/>
          <w:sz w:val="20"/>
          <w:szCs w:val="20"/>
        </w:rPr>
        <w:t>s:</w:t>
      </w:r>
      <w:r w:rsidRPr="00AC4AEA">
        <w:rPr>
          <w:rFonts w:ascii="Arial" w:hAnsi="Arial" w:cs="Arial"/>
          <w:sz w:val="20"/>
          <w:szCs w:val="20"/>
        </w:rPr>
        <w:t xml:space="preserve"> </w:t>
      </w:r>
    </w:p>
    <w:p w:rsidR="00BD7827" w:rsidRPr="00AC4AEA" w:rsidRDefault="00BD782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el </w:t>
      </w:r>
      <w:r w:rsidR="00EC1893" w:rsidRPr="00AC4AEA">
        <w:rPr>
          <w:rFonts w:ascii="Arial" w:hAnsi="Arial" w:cs="Arial"/>
          <w:sz w:val="20"/>
          <w:szCs w:val="20"/>
        </w:rPr>
        <w:t xml:space="preserve">del </w:t>
      </w:r>
      <w:r w:rsidR="00EC1893" w:rsidRPr="003A4B10">
        <w:rPr>
          <w:rFonts w:ascii="Arial" w:hAnsi="Arial" w:cs="Arial"/>
          <w:b/>
          <w:bCs/>
          <w:sz w:val="20"/>
          <w:szCs w:val="20"/>
        </w:rPr>
        <w:t>contrato</w:t>
      </w:r>
      <w:r w:rsidRPr="00AC4AEA">
        <w:rPr>
          <w:rFonts w:ascii="Arial" w:hAnsi="Arial" w:cs="Arial"/>
          <w:sz w:val="20"/>
          <w:szCs w:val="20"/>
        </w:rPr>
        <w:t>;</w:t>
      </w:r>
      <w:r w:rsidR="00EC1893" w:rsidRPr="00AC4AEA">
        <w:rPr>
          <w:rFonts w:ascii="Arial" w:hAnsi="Arial" w:cs="Arial"/>
          <w:sz w:val="20"/>
          <w:szCs w:val="20"/>
        </w:rPr>
        <w:t xml:space="preserve"> </w:t>
      </w:r>
      <w:r w:rsidRPr="00AC4AEA">
        <w:rPr>
          <w:rFonts w:ascii="Arial" w:hAnsi="Arial" w:cs="Arial"/>
          <w:sz w:val="20"/>
          <w:szCs w:val="20"/>
        </w:rPr>
        <w:t>o</w:t>
      </w:r>
    </w:p>
    <w:p w:rsidR="00D458D6" w:rsidRPr="00AC4AEA" w:rsidRDefault="00BD782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el</w:t>
      </w:r>
      <w:r w:rsidR="00EC1893" w:rsidRPr="00AC4AEA">
        <w:rPr>
          <w:rFonts w:ascii="Arial" w:hAnsi="Arial" w:cs="Arial"/>
          <w:sz w:val="20"/>
          <w:szCs w:val="20"/>
        </w:rPr>
        <w:t xml:space="preserve"> de su capacidad de servicio</w:t>
      </w:r>
      <w:r w:rsidRPr="00AC4AEA">
        <w:rPr>
          <w:rFonts w:ascii="Arial" w:hAnsi="Arial" w:cs="Arial"/>
          <w:sz w:val="20"/>
          <w:szCs w:val="20"/>
        </w:rPr>
        <w:t>.</w:t>
      </w:r>
    </w:p>
    <w:p w:rsidR="00D458D6" w:rsidRPr="00AC4AEA" w:rsidRDefault="00D458D6" w:rsidP="00A318EA">
      <w:pPr>
        <w:pStyle w:val="Prrafodelista"/>
        <w:numPr>
          <w:ilvl w:val="0"/>
          <w:numId w:val="29"/>
        </w:numPr>
        <w:contextualSpacing w:val="0"/>
        <w:jc w:val="both"/>
        <w:rPr>
          <w:rFonts w:ascii="Arial" w:hAnsi="Arial" w:cs="Arial"/>
          <w:sz w:val="20"/>
          <w:szCs w:val="20"/>
        </w:rPr>
      </w:pPr>
      <w:bookmarkStart w:id="498" w:name="_Ref99481801"/>
      <w:r w:rsidRPr="00AC4AEA">
        <w:rPr>
          <w:rFonts w:ascii="Arial" w:hAnsi="Arial" w:cs="Arial"/>
          <w:sz w:val="20"/>
          <w:szCs w:val="20"/>
        </w:rPr>
        <w:t xml:space="preserve">Si apareciesen nuevas estimaciones -debidamente fundadas- acerca de la capacidad de servicio de los bienes, de su </w:t>
      </w:r>
      <w:r w:rsidRPr="00AC4AEA">
        <w:rPr>
          <w:rFonts w:ascii="Arial" w:hAnsi="Arial" w:cs="Arial"/>
          <w:b/>
          <w:bCs/>
          <w:sz w:val="20"/>
          <w:szCs w:val="20"/>
        </w:rPr>
        <w:t>valor recuperable</w:t>
      </w:r>
      <w:r w:rsidRPr="00AC4AEA">
        <w:rPr>
          <w:rFonts w:ascii="Arial" w:hAnsi="Arial" w:cs="Arial"/>
          <w:sz w:val="20"/>
          <w:szCs w:val="20"/>
        </w:rPr>
        <w:t xml:space="preserve"> final o de cualquier otro elemento considerado para el cálculo de las depreciaciones, una entidad adecuará las depreciaciones posteriores en función de las nuevas evidencias, a la fecha de exteriorización de tales elementos.</w:t>
      </w:r>
      <w:bookmarkEnd w:id="498"/>
    </w:p>
    <w:p w:rsidR="00D458D6" w:rsidRPr="00AC4AEA" w:rsidRDefault="00D458D6" w:rsidP="00A318EA">
      <w:pPr>
        <w:jc w:val="both"/>
        <w:rPr>
          <w:rFonts w:ascii="Arial" w:hAnsi="Arial" w:cs="Arial"/>
          <w:b/>
          <w:bCs/>
          <w:sz w:val="20"/>
          <w:szCs w:val="20"/>
        </w:rPr>
      </w:pPr>
    </w:p>
    <w:p w:rsidR="00D458D6" w:rsidRPr="00AC4AEA" w:rsidRDefault="00D458D6" w:rsidP="00A318EA">
      <w:pPr>
        <w:pStyle w:val="Ttulo2"/>
        <w:rPr>
          <w:rFonts w:cs="Arial"/>
        </w:rPr>
      </w:pPr>
      <w:bookmarkStart w:id="499" w:name="_Toc101863866"/>
      <w:bookmarkStart w:id="500" w:name="_Toc139356727"/>
      <w:r w:rsidRPr="00AC4AEA">
        <w:rPr>
          <w:rFonts w:cs="Arial"/>
        </w:rPr>
        <w:t>Comparación con el valor recuperable</w:t>
      </w:r>
      <w:bookmarkEnd w:id="499"/>
      <w:bookmarkEnd w:id="500"/>
    </w:p>
    <w:p w:rsidR="00E1484A" w:rsidRPr="00AC4AEA" w:rsidRDefault="00E1484A" w:rsidP="00A318EA">
      <w:pPr>
        <w:pStyle w:val="A-Normal11"/>
        <w:numPr>
          <w:ilvl w:val="0"/>
          <w:numId w:val="29"/>
        </w:numPr>
        <w:jc w:val="both"/>
        <w:rPr>
          <w:rFonts w:ascii="Arial" w:hAnsi="Arial" w:cs="Arial"/>
          <w:sz w:val="20"/>
        </w:rPr>
      </w:pPr>
      <w:r w:rsidRPr="00AC4AEA">
        <w:rPr>
          <w:rFonts w:ascii="Arial" w:hAnsi="Arial" w:cs="Arial"/>
          <w:sz w:val="20"/>
        </w:rPr>
        <w:t xml:space="preserve">A los fines indicados en </w:t>
      </w:r>
      <w:r w:rsidR="0036472C" w:rsidRPr="00AC4AEA">
        <w:rPr>
          <w:rFonts w:ascii="Arial" w:hAnsi="Arial" w:cs="Arial"/>
          <w:sz w:val="20"/>
        </w:rPr>
        <w:t>este</w:t>
      </w:r>
      <w:r w:rsidRPr="00AC4AEA">
        <w:rPr>
          <w:rFonts w:ascii="Arial" w:hAnsi="Arial" w:cs="Arial"/>
          <w:sz w:val="20"/>
        </w:rPr>
        <w:t xml:space="preserve"> título, una entidad aplicará lo establecido en la sección “</w:t>
      </w:r>
      <w:r w:rsidRPr="00AC4AEA">
        <w:rPr>
          <w:rFonts w:ascii="Arial" w:hAnsi="Arial" w:cs="Arial"/>
          <w:sz w:val="20"/>
          <w:u w:val="single"/>
        </w:rPr>
        <w:t xml:space="preserve">Comparación de la medición de ciertos </w:t>
      </w:r>
      <w:r w:rsidR="00497590" w:rsidRPr="00AC4AEA">
        <w:rPr>
          <w:rFonts w:ascii="Arial" w:hAnsi="Arial" w:cs="Arial"/>
          <w:sz w:val="20"/>
          <w:u w:val="single"/>
        </w:rPr>
        <w:t>activos</w:t>
      </w:r>
      <w:r w:rsidRPr="00AC4AEA">
        <w:rPr>
          <w:rFonts w:ascii="Arial" w:hAnsi="Arial" w:cs="Arial"/>
          <w:sz w:val="20"/>
          <w:u w:val="single"/>
        </w:rPr>
        <w:t xml:space="preserve"> con su valor recuperable</w:t>
      </w:r>
      <w:r w:rsidRPr="00AC4AEA">
        <w:rPr>
          <w:rFonts w:ascii="Arial" w:hAnsi="Arial" w:cs="Arial"/>
          <w:sz w:val="20"/>
        </w:rPr>
        <w:t>”</w:t>
      </w:r>
      <w:r w:rsidR="008F3F5F" w:rsidRPr="00AC4AEA">
        <w:rPr>
          <w:rFonts w:ascii="Arial" w:hAnsi="Arial" w:cs="Arial"/>
          <w:sz w:val="20"/>
        </w:rPr>
        <w:t xml:space="preserve"> [ver los párrafos </w:t>
      </w:r>
      <w:fldSimple w:instr=" REF _Ref99481071 \r \h  \* MERGEFORMAT ">
        <w:r w:rsidR="00D33A5D" w:rsidRPr="00D33A5D">
          <w:rPr>
            <w:rFonts w:ascii="Arial" w:hAnsi="Arial" w:cs="Arial"/>
            <w:sz w:val="20"/>
          </w:rPr>
          <w:t>145</w:t>
        </w:r>
      </w:fldSimple>
      <w:r w:rsidR="008F3F5F" w:rsidRPr="00AC4AEA">
        <w:rPr>
          <w:rFonts w:ascii="Arial" w:hAnsi="Arial" w:cs="Arial"/>
          <w:sz w:val="20"/>
        </w:rPr>
        <w:t xml:space="preserve"> a </w:t>
      </w:r>
      <w:fldSimple w:instr=" REF _Ref99481072 \r \h  \* MERGEFORMAT ">
        <w:r w:rsidR="00D33A5D" w:rsidRPr="00D33A5D">
          <w:rPr>
            <w:rFonts w:ascii="Arial" w:hAnsi="Arial" w:cs="Arial"/>
            <w:sz w:val="20"/>
          </w:rPr>
          <w:t>175</w:t>
        </w:r>
      </w:fldSimple>
      <w:r w:rsidR="008F3F5F" w:rsidRPr="00AC4AEA">
        <w:rPr>
          <w:rFonts w:ascii="Arial" w:hAnsi="Arial" w:cs="Arial"/>
          <w:sz w:val="20"/>
        </w:rPr>
        <w:t>]</w:t>
      </w:r>
      <w:r w:rsidRPr="00AC4AEA">
        <w:rPr>
          <w:rFonts w:ascii="Arial" w:hAnsi="Arial" w:cs="Arial"/>
          <w:sz w:val="20"/>
        </w:rPr>
        <w:t>.</w:t>
      </w:r>
    </w:p>
    <w:p w:rsidR="0047534D" w:rsidRPr="00AC4AEA" w:rsidRDefault="0047534D" w:rsidP="00A318EA">
      <w:pPr>
        <w:pStyle w:val="A-Normal11"/>
        <w:jc w:val="both"/>
        <w:rPr>
          <w:rFonts w:ascii="Arial" w:eastAsiaTheme="minorHAnsi" w:hAnsi="Arial" w:cs="Arial"/>
          <w:b/>
          <w:sz w:val="20"/>
          <w:lang w:eastAsia="en-US"/>
        </w:rPr>
      </w:pPr>
    </w:p>
    <w:p w:rsidR="0047534D" w:rsidRPr="00AC4AEA" w:rsidRDefault="0047534D" w:rsidP="00A318EA">
      <w:pPr>
        <w:pStyle w:val="Ttulo2"/>
        <w:rPr>
          <w:rFonts w:cs="Arial"/>
        </w:rPr>
      </w:pPr>
      <w:bookmarkStart w:id="501" w:name="_Toc139356728"/>
      <w:r w:rsidRPr="00AC4AEA">
        <w:rPr>
          <w:rFonts w:cs="Arial"/>
        </w:rPr>
        <w:t>Compensación por desvalorización</w:t>
      </w:r>
      <w:r w:rsidR="00FC62C5" w:rsidRPr="00AC4AEA">
        <w:rPr>
          <w:rFonts w:cs="Arial"/>
        </w:rPr>
        <w:t>, pérdida o abandono</w:t>
      </w:r>
      <w:bookmarkEnd w:id="501"/>
    </w:p>
    <w:p w:rsidR="00E90A43" w:rsidRPr="00AC4AEA" w:rsidRDefault="00D40743" w:rsidP="00A318EA">
      <w:pPr>
        <w:pStyle w:val="A-Normal11"/>
        <w:numPr>
          <w:ilvl w:val="0"/>
          <w:numId w:val="29"/>
        </w:numPr>
        <w:jc w:val="both"/>
        <w:rPr>
          <w:rFonts w:ascii="Arial" w:hAnsi="Arial" w:cs="Arial"/>
          <w:sz w:val="20"/>
        </w:rPr>
      </w:pPr>
      <w:r w:rsidRPr="00AC4AEA">
        <w:rPr>
          <w:rFonts w:ascii="Arial" w:hAnsi="Arial" w:cs="Arial"/>
          <w:sz w:val="20"/>
        </w:rPr>
        <w:t xml:space="preserve">Una entidad incluirá en el resultado del período, y cuando tales </w:t>
      </w:r>
      <w:r w:rsidR="00E90A43" w:rsidRPr="00AC4AEA">
        <w:rPr>
          <w:rFonts w:ascii="Arial" w:hAnsi="Arial" w:cs="Arial"/>
          <w:sz w:val="20"/>
        </w:rPr>
        <w:t>conceptos sean exigibles</w:t>
      </w:r>
      <w:r w:rsidR="003A0E71" w:rsidRPr="00AC4AEA">
        <w:rPr>
          <w:rFonts w:ascii="Arial" w:hAnsi="Arial" w:cs="Arial"/>
          <w:sz w:val="20"/>
        </w:rPr>
        <w:t>, las compensaciones procedentes de terceros por elementos de bienes de uso que</w:t>
      </w:r>
      <w:r w:rsidR="00E90A43" w:rsidRPr="00AC4AEA">
        <w:rPr>
          <w:rFonts w:ascii="Arial" w:hAnsi="Arial" w:cs="Arial"/>
          <w:sz w:val="20"/>
        </w:rPr>
        <w:t>:</w:t>
      </w:r>
    </w:p>
    <w:p w:rsidR="003A0E71" w:rsidRPr="00AC4AEA" w:rsidRDefault="0047534D" w:rsidP="00A318EA">
      <w:pPr>
        <w:pStyle w:val="A-Normal11"/>
        <w:numPr>
          <w:ilvl w:val="1"/>
          <w:numId w:val="29"/>
        </w:numPr>
        <w:ind w:left="1560"/>
        <w:jc w:val="both"/>
        <w:rPr>
          <w:rFonts w:ascii="Arial" w:hAnsi="Arial" w:cs="Arial"/>
          <w:sz w:val="20"/>
        </w:rPr>
      </w:pPr>
      <w:r w:rsidRPr="00AC4AEA">
        <w:rPr>
          <w:rFonts w:ascii="Arial" w:hAnsi="Arial" w:cs="Arial"/>
          <w:sz w:val="20"/>
        </w:rPr>
        <w:t xml:space="preserve">hayan experimentado una </w:t>
      </w:r>
      <w:r w:rsidR="006D37F8" w:rsidRPr="00AC4AEA">
        <w:rPr>
          <w:rFonts w:ascii="Arial" w:hAnsi="Arial" w:cs="Arial"/>
          <w:sz w:val="20"/>
        </w:rPr>
        <w:t>desvalorización</w:t>
      </w:r>
      <w:r w:rsidR="003A0E71" w:rsidRPr="00AC4AEA">
        <w:rPr>
          <w:rFonts w:ascii="Arial" w:hAnsi="Arial" w:cs="Arial"/>
          <w:sz w:val="20"/>
        </w:rPr>
        <w:t>;</w:t>
      </w:r>
      <w:r w:rsidRPr="00AC4AEA">
        <w:rPr>
          <w:rFonts w:ascii="Arial" w:hAnsi="Arial" w:cs="Arial"/>
          <w:sz w:val="20"/>
        </w:rPr>
        <w:t xml:space="preserve"> </w:t>
      </w:r>
    </w:p>
    <w:p w:rsidR="003A0E71" w:rsidRPr="00AC4AEA" w:rsidRDefault="0047534D" w:rsidP="00A318EA">
      <w:pPr>
        <w:pStyle w:val="A-Normal11"/>
        <w:numPr>
          <w:ilvl w:val="1"/>
          <w:numId w:val="29"/>
        </w:numPr>
        <w:ind w:left="1560"/>
        <w:jc w:val="both"/>
        <w:rPr>
          <w:rFonts w:ascii="Arial" w:hAnsi="Arial" w:cs="Arial"/>
          <w:sz w:val="20"/>
        </w:rPr>
      </w:pPr>
      <w:r w:rsidRPr="00AC4AEA">
        <w:rPr>
          <w:rFonts w:ascii="Arial" w:hAnsi="Arial" w:cs="Arial"/>
          <w:sz w:val="20"/>
        </w:rPr>
        <w:t>se hayan perdido</w:t>
      </w:r>
      <w:r w:rsidR="003A0E71" w:rsidRPr="00AC4AEA">
        <w:rPr>
          <w:rFonts w:ascii="Arial" w:hAnsi="Arial" w:cs="Arial"/>
          <w:sz w:val="20"/>
        </w:rPr>
        <w:t>;</w:t>
      </w:r>
      <w:r w:rsidRPr="00AC4AEA">
        <w:rPr>
          <w:rFonts w:ascii="Arial" w:hAnsi="Arial" w:cs="Arial"/>
          <w:sz w:val="20"/>
        </w:rPr>
        <w:t xml:space="preserve"> o </w:t>
      </w:r>
    </w:p>
    <w:p w:rsidR="0047534D" w:rsidRPr="00AC4AEA" w:rsidRDefault="0047534D" w:rsidP="00A318EA">
      <w:pPr>
        <w:pStyle w:val="A-Normal11"/>
        <w:numPr>
          <w:ilvl w:val="1"/>
          <w:numId w:val="29"/>
        </w:numPr>
        <w:ind w:left="1560"/>
        <w:jc w:val="both"/>
        <w:rPr>
          <w:rFonts w:ascii="Arial" w:hAnsi="Arial" w:cs="Arial"/>
          <w:sz w:val="20"/>
        </w:rPr>
      </w:pPr>
      <w:r w:rsidRPr="00AC4AEA">
        <w:rPr>
          <w:rFonts w:ascii="Arial" w:hAnsi="Arial" w:cs="Arial"/>
          <w:sz w:val="20"/>
        </w:rPr>
        <w:t>haya abandonado.</w:t>
      </w:r>
    </w:p>
    <w:p w:rsidR="00D458D6" w:rsidRPr="00AC4AEA" w:rsidRDefault="00D458D6" w:rsidP="00A318EA">
      <w:pPr>
        <w:jc w:val="both"/>
        <w:rPr>
          <w:rFonts w:ascii="Arial" w:hAnsi="Arial" w:cs="Arial"/>
          <w:b/>
          <w:bCs/>
          <w:sz w:val="20"/>
          <w:szCs w:val="20"/>
        </w:rPr>
      </w:pPr>
    </w:p>
    <w:p w:rsidR="00D458D6" w:rsidRPr="00AC4AEA" w:rsidRDefault="00D458D6" w:rsidP="00A318EA">
      <w:pPr>
        <w:pStyle w:val="Ttulo2"/>
        <w:rPr>
          <w:rFonts w:cs="Arial"/>
        </w:rPr>
      </w:pPr>
      <w:bookmarkStart w:id="502" w:name="_Toc101863867"/>
      <w:bookmarkStart w:id="503" w:name="_Toc139356729"/>
      <w:r w:rsidRPr="00AC4AEA">
        <w:rPr>
          <w:rFonts w:cs="Arial"/>
        </w:rPr>
        <w:t xml:space="preserve">Presentación en los </w:t>
      </w:r>
      <w:r w:rsidR="00135084" w:rsidRPr="00AC4AEA">
        <w:rPr>
          <w:rFonts w:cs="Arial"/>
          <w:bCs/>
        </w:rPr>
        <w:t>estados contables</w:t>
      </w:r>
      <w:bookmarkEnd w:id="502"/>
      <w:bookmarkEnd w:id="503"/>
    </w:p>
    <w:p w:rsidR="007D7512" w:rsidRPr="00AC4AEA" w:rsidRDefault="007D7512" w:rsidP="00A318EA">
      <w:pPr>
        <w:pStyle w:val="A-Normal11"/>
        <w:numPr>
          <w:ilvl w:val="0"/>
          <w:numId w:val="29"/>
        </w:numPr>
        <w:jc w:val="both"/>
        <w:rPr>
          <w:rFonts w:ascii="Arial" w:hAnsi="Arial" w:cs="Arial"/>
          <w:sz w:val="20"/>
        </w:rPr>
      </w:pPr>
      <w:r w:rsidRPr="00AC4AEA">
        <w:rPr>
          <w:rFonts w:ascii="Arial" w:hAnsi="Arial" w:cs="Arial"/>
          <w:sz w:val="20"/>
        </w:rPr>
        <w:t xml:space="preserve">En el estado de situación patrimonial, una entidad: </w:t>
      </w:r>
    </w:p>
    <w:p w:rsidR="007D7512" w:rsidRPr="00AC4AEA" w:rsidRDefault="007D7512" w:rsidP="00A318EA">
      <w:pPr>
        <w:pStyle w:val="A-Normal11"/>
        <w:numPr>
          <w:ilvl w:val="1"/>
          <w:numId w:val="29"/>
        </w:numPr>
        <w:ind w:left="1560"/>
        <w:jc w:val="both"/>
        <w:rPr>
          <w:rFonts w:ascii="Arial" w:hAnsi="Arial" w:cs="Arial"/>
          <w:sz w:val="20"/>
        </w:rPr>
      </w:pPr>
      <w:r w:rsidRPr="00AC4AEA">
        <w:rPr>
          <w:rFonts w:ascii="Arial" w:hAnsi="Arial" w:cs="Arial"/>
          <w:sz w:val="20"/>
        </w:rPr>
        <w:t>Presentará bienes de uso separados del resto de los activos, como</w:t>
      </w:r>
      <w:r w:rsidRPr="00AC4AEA">
        <w:rPr>
          <w:rFonts w:ascii="Arial" w:hAnsi="Arial" w:cs="Arial"/>
          <w:bCs/>
          <w:sz w:val="20"/>
        </w:rPr>
        <w:t xml:space="preserve"> activos no corrientes</w:t>
      </w:r>
      <w:r w:rsidRPr="00AC4AEA">
        <w:rPr>
          <w:rFonts w:ascii="Arial" w:hAnsi="Arial" w:cs="Arial"/>
          <w:sz w:val="20"/>
        </w:rPr>
        <w:t>.</w:t>
      </w:r>
    </w:p>
    <w:p w:rsidR="007D7512" w:rsidRPr="00AC4AEA" w:rsidRDefault="007D7512" w:rsidP="00A318EA">
      <w:pPr>
        <w:pStyle w:val="A-Normal11"/>
        <w:numPr>
          <w:ilvl w:val="1"/>
          <w:numId w:val="29"/>
        </w:numPr>
        <w:ind w:left="1560"/>
        <w:jc w:val="both"/>
        <w:rPr>
          <w:rFonts w:ascii="Arial" w:hAnsi="Arial" w:cs="Arial"/>
          <w:sz w:val="20"/>
        </w:rPr>
      </w:pPr>
      <w:r w:rsidRPr="00AC4AEA">
        <w:rPr>
          <w:rFonts w:ascii="Arial" w:hAnsi="Arial" w:cs="Arial"/>
          <w:sz w:val="20"/>
        </w:rPr>
        <w:t xml:space="preserve">Incluirá los anticipos a proveedores de este tipo de </w:t>
      </w:r>
      <w:r w:rsidR="00CE13D7" w:rsidRPr="00CE13D7">
        <w:rPr>
          <w:rFonts w:ascii="Arial" w:hAnsi="Arial" w:cs="Arial"/>
          <w:bCs/>
          <w:sz w:val="20"/>
        </w:rPr>
        <w:t>activos</w:t>
      </w:r>
      <w:r w:rsidRPr="00AC4AEA">
        <w:rPr>
          <w:rFonts w:ascii="Arial" w:hAnsi="Arial" w:cs="Arial"/>
          <w:sz w:val="20"/>
        </w:rPr>
        <w:t xml:space="preserve"> dentro del rubro bienes de uso.</w:t>
      </w:r>
    </w:p>
    <w:p w:rsidR="002F3290" w:rsidRPr="00AC4AEA" w:rsidRDefault="009545A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Excepto cuando </w:t>
      </w:r>
      <w:r w:rsidR="00330F77" w:rsidRPr="00AC4AEA">
        <w:rPr>
          <w:rFonts w:ascii="Arial" w:hAnsi="Arial" w:cs="Arial"/>
          <w:sz w:val="20"/>
          <w:szCs w:val="20"/>
        </w:rPr>
        <w:t xml:space="preserve">esta Resolución Técnica u </w:t>
      </w:r>
      <w:r w:rsidR="00330F77" w:rsidRPr="00AC4AEA">
        <w:rPr>
          <w:rFonts w:ascii="Arial" w:hAnsi="Arial" w:cs="Arial"/>
          <w:b/>
          <w:bCs/>
          <w:sz w:val="20"/>
          <w:szCs w:val="20"/>
        </w:rPr>
        <w:t>otras normas contables</w:t>
      </w:r>
      <w:r w:rsidR="00330F77" w:rsidRPr="00AC4AEA">
        <w:rPr>
          <w:rFonts w:ascii="Arial" w:hAnsi="Arial" w:cs="Arial"/>
          <w:sz w:val="20"/>
          <w:szCs w:val="20"/>
        </w:rPr>
        <w:t xml:space="preserve"> requieran y permitan algo diferente, u</w:t>
      </w:r>
      <w:r w:rsidR="003656D5" w:rsidRPr="00AC4AEA">
        <w:rPr>
          <w:rFonts w:ascii="Arial" w:hAnsi="Arial" w:cs="Arial"/>
          <w:sz w:val="20"/>
          <w:szCs w:val="20"/>
        </w:rPr>
        <w:t>na entidad presentará el</w:t>
      </w:r>
      <w:r w:rsidR="00305AEE" w:rsidRPr="00AC4AEA">
        <w:rPr>
          <w:rFonts w:ascii="Arial" w:hAnsi="Arial" w:cs="Arial"/>
          <w:b/>
          <w:bCs/>
          <w:sz w:val="20"/>
          <w:szCs w:val="20"/>
        </w:rPr>
        <w:t xml:space="preserve"> </w:t>
      </w:r>
      <w:r w:rsidR="00305AEE" w:rsidRPr="00AC4AEA">
        <w:rPr>
          <w:rFonts w:ascii="Arial" w:hAnsi="Arial" w:cs="Arial"/>
          <w:sz w:val="20"/>
          <w:szCs w:val="20"/>
        </w:rPr>
        <w:t>cargo</w:t>
      </w:r>
      <w:r w:rsidR="003656D5" w:rsidRPr="00AC4AEA">
        <w:rPr>
          <w:rFonts w:ascii="Arial" w:hAnsi="Arial" w:cs="Arial"/>
          <w:sz w:val="20"/>
          <w:szCs w:val="20"/>
        </w:rPr>
        <w:t xml:space="preserve"> por depreciaciones dentro</w:t>
      </w:r>
      <w:r w:rsidR="002F3290" w:rsidRPr="00AC4AEA">
        <w:rPr>
          <w:rFonts w:ascii="Arial" w:hAnsi="Arial" w:cs="Arial"/>
          <w:sz w:val="20"/>
          <w:szCs w:val="20"/>
        </w:rPr>
        <w:t>:</w:t>
      </w:r>
    </w:p>
    <w:p w:rsidR="002F3290" w:rsidRPr="00AC4AEA" w:rsidRDefault="00505A13" w:rsidP="00A318EA">
      <w:pPr>
        <w:pStyle w:val="Prrafodelista"/>
        <w:numPr>
          <w:ilvl w:val="0"/>
          <w:numId w:val="97"/>
        </w:numPr>
        <w:ind w:left="1560"/>
        <w:contextualSpacing w:val="0"/>
        <w:jc w:val="both"/>
        <w:rPr>
          <w:rFonts w:ascii="Arial" w:hAnsi="Arial" w:cs="Arial"/>
          <w:sz w:val="20"/>
          <w:szCs w:val="20"/>
        </w:rPr>
      </w:pPr>
      <w:r w:rsidRPr="00AC4AEA">
        <w:rPr>
          <w:rFonts w:ascii="Arial" w:hAnsi="Arial" w:cs="Arial"/>
          <w:sz w:val="20"/>
          <w:szCs w:val="20"/>
        </w:rPr>
        <w:t>d</w:t>
      </w:r>
      <w:r w:rsidR="003656D5" w:rsidRPr="00AC4AEA">
        <w:rPr>
          <w:rFonts w:ascii="Arial" w:hAnsi="Arial" w:cs="Arial"/>
          <w:sz w:val="20"/>
          <w:szCs w:val="20"/>
        </w:rPr>
        <w:t>el costo de lo</w:t>
      </w:r>
      <w:r w:rsidR="00FF57F6" w:rsidRPr="00AC4AEA">
        <w:rPr>
          <w:rFonts w:ascii="Arial" w:hAnsi="Arial" w:cs="Arial"/>
          <w:sz w:val="20"/>
          <w:szCs w:val="20"/>
        </w:rPr>
        <w:t>s</w:t>
      </w:r>
      <w:r w:rsidR="003656D5" w:rsidRPr="00AC4AEA">
        <w:rPr>
          <w:rFonts w:ascii="Arial" w:hAnsi="Arial" w:cs="Arial"/>
          <w:sz w:val="20"/>
          <w:szCs w:val="20"/>
        </w:rPr>
        <w:t xml:space="preserve"> bienes </w:t>
      </w:r>
      <w:r w:rsidR="007E020E" w:rsidRPr="00AC4AEA">
        <w:rPr>
          <w:rFonts w:ascii="Arial" w:hAnsi="Arial" w:cs="Arial"/>
          <w:sz w:val="20"/>
          <w:szCs w:val="20"/>
        </w:rPr>
        <w:t>vendidos</w:t>
      </w:r>
      <w:r w:rsidR="00407D85" w:rsidRPr="00AC4AEA">
        <w:rPr>
          <w:rFonts w:ascii="Arial" w:hAnsi="Arial" w:cs="Arial"/>
          <w:sz w:val="20"/>
          <w:szCs w:val="20"/>
        </w:rPr>
        <w:t xml:space="preserve"> o servicios prestados</w:t>
      </w:r>
      <w:r w:rsidR="007E020E" w:rsidRPr="00AC4AEA">
        <w:rPr>
          <w:rFonts w:ascii="Arial" w:hAnsi="Arial" w:cs="Arial"/>
          <w:sz w:val="20"/>
          <w:szCs w:val="20"/>
        </w:rPr>
        <w:t>, cuando</w:t>
      </w:r>
      <w:r w:rsidR="003656D5" w:rsidRPr="00AC4AEA">
        <w:rPr>
          <w:rFonts w:ascii="Arial" w:hAnsi="Arial" w:cs="Arial"/>
          <w:sz w:val="20"/>
          <w:szCs w:val="20"/>
        </w:rPr>
        <w:t xml:space="preserve"> las depreciaciones forman parte del </w:t>
      </w:r>
      <w:r w:rsidR="003656D5" w:rsidRPr="00AC4AEA">
        <w:rPr>
          <w:rFonts w:ascii="Arial" w:hAnsi="Arial" w:cs="Arial"/>
          <w:b/>
          <w:bCs/>
          <w:sz w:val="20"/>
          <w:szCs w:val="20"/>
        </w:rPr>
        <w:t>costo de producción</w:t>
      </w:r>
      <w:r w:rsidR="003656D5" w:rsidRPr="00AC4AEA">
        <w:rPr>
          <w:rFonts w:ascii="Arial" w:hAnsi="Arial" w:cs="Arial"/>
          <w:sz w:val="20"/>
          <w:szCs w:val="20"/>
        </w:rPr>
        <w:t xml:space="preserve"> o </w:t>
      </w:r>
      <w:r w:rsidR="00AB3E19" w:rsidRPr="00AC4AEA">
        <w:rPr>
          <w:rFonts w:ascii="Arial" w:hAnsi="Arial" w:cs="Arial"/>
          <w:sz w:val="20"/>
          <w:szCs w:val="20"/>
        </w:rPr>
        <w:t xml:space="preserve">del </w:t>
      </w:r>
      <w:r w:rsidR="00AB3E19" w:rsidRPr="00AC4AEA">
        <w:rPr>
          <w:rFonts w:ascii="Arial" w:hAnsi="Arial" w:cs="Arial"/>
          <w:b/>
          <w:bCs/>
          <w:sz w:val="20"/>
          <w:szCs w:val="20"/>
        </w:rPr>
        <w:t xml:space="preserve">costo de </w:t>
      </w:r>
      <w:r w:rsidR="003656D5" w:rsidRPr="00AC4AEA">
        <w:rPr>
          <w:rFonts w:ascii="Arial" w:hAnsi="Arial" w:cs="Arial"/>
          <w:b/>
          <w:bCs/>
          <w:sz w:val="20"/>
          <w:szCs w:val="20"/>
        </w:rPr>
        <w:t>construcción</w:t>
      </w:r>
      <w:r w:rsidR="00180C5F" w:rsidRPr="00AC4AEA">
        <w:rPr>
          <w:rFonts w:ascii="Arial" w:hAnsi="Arial" w:cs="Arial"/>
          <w:sz w:val="20"/>
          <w:szCs w:val="20"/>
        </w:rPr>
        <w:t>;</w:t>
      </w:r>
      <w:r w:rsidR="003656D5" w:rsidRPr="00AC4AEA">
        <w:rPr>
          <w:rFonts w:ascii="Arial" w:hAnsi="Arial" w:cs="Arial"/>
          <w:sz w:val="20"/>
          <w:szCs w:val="20"/>
        </w:rPr>
        <w:t xml:space="preserve"> y </w:t>
      </w:r>
    </w:p>
    <w:p w:rsidR="003656D5" w:rsidRPr="00AC4AEA" w:rsidRDefault="00505A13" w:rsidP="00A318EA">
      <w:pPr>
        <w:pStyle w:val="Prrafodelista"/>
        <w:numPr>
          <w:ilvl w:val="0"/>
          <w:numId w:val="97"/>
        </w:numPr>
        <w:ind w:left="1560"/>
        <w:contextualSpacing w:val="0"/>
        <w:jc w:val="both"/>
        <w:rPr>
          <w:rFonts w:ascii="Arial" w:hAnsi="Arial" w:cs="Arial"/>
          <w:sz w:val="20"/>
          <w:szCs w:val="20"/>
        </w:rPr>
      </w:pPr>
      <w:r w:rsidRPr="00AC4AEA">
        <w:rPr>
          <w:rFonts w:ascii="Arial" w:hAnsi="Arial" w:cs="Arial"/>
          <w:sz w:val="20"/>
          <w:szCs w:val="20"/>
        </w:rPr>
        <w:t>d</w:t>
      </w:r>
      <w:r w:rsidR="002F3290" w:rsidRPr="00AC4AEA">
        <w:rPr>
          <w:rFonts w:ascii="Arial" w:hAnsi="Arial" w:cs="Arial"/>
          <w:sz w:val="20"/>
          <w:szCs w:val="20"/>
        </w:rPr>
        <w:t xml:space="preserve">e </w:t>
      </w:r>
      <w:r w:rsidR="003656D5" w:rsidRPr="00AC4AEA">
        <w:rPr>
          <w:rFonts w:ascii="Arial" w:hAnsi="Arial" w:cs="Arial"/>
          <w:sz w:val="20"/>
          <w:szCs w:val="20"/>
        </w:rPr>
        <w:t>los demás gastos (comerciales, administrativos, etc.)</w:t>
      </w:r>
      <w:r w:rsidR="002F3290" w:rsidRPr="00AC4AEA">
        <w:rPr>
          <w:rFonts w:ascii="Arial" w:hAnsi="Arial" w:cs="Arial"/>
          <w:sz w:val="20"/>
          <w:szCs w:val="20"/>
        </w:rPr>
        <w:t xml:space="preserve">, en los </w:t>
      </w:r>
      <w:r w:rsidR="003D0F0D" w:rsidRPr="00AC4AEA">
        <w:rPr>
          <w:rFonts w:ascii="Arial" w:hAnsi="Arial" w:cs="Arial"/>
          <w:sz w:val="20"/>
          <w:szCs w:val="20"/>
        </w:rPr>
        <w:t>restantes</w:t>
      </w:r>
      <w:r w:rsidR="002F3290" w:rsidRPr="00AC4AEA">
        <w:rPr>
          <w:rFonts w:ascii="Arial" w:hAnsi="Arial" w:cs="Arial"/>
          <w:sz w:val="20"/>
          <w:szCs w:val="20"/>
        </w:rPr>
        <w:t xml:space="preserve"> casos.</w:t>
      </w:r>
    </w:p>
    <w:p w:rsidR="003656D5" w:rsidRPr="00AC4AEA" w:rsidRDefault="003656D5" w:rsidP="00A318EA">
      <w:pPr>
        <w:pStyle w:val="A-Normal11"/>
        <w:numPr>
          <w:ilvl w:val="0"/>
          <w:numId w:val="29"/>
        </w:numPr>
        <w:jc w:val="both"/>
        <w:rPr>
          <w:rFonts w:ascii="Arial" w:hAnsi="Arial" w:cs="Arial"/>
          <w:sz w:val="20"/>
        </w:rPr>
      </w:pPr>
      <w:r w:rsidRPr="00AC4AEA">
        <w:rPr>
          <w:rFonts w:ascii="Arial" w:hAnsi="Arial" w:cs="Arial"/>
          <w:sz w:val="20"/>
        </w:rPr>
        <w:t>Una entidad presentará</w:t>
      </w:r>
      <w:r w:rsidR="00BD7827" w:rsidRPr="00AC4AEA">
        <w:rPr>
          <w:rFonts w:ascii="Arial" w:hAnsi="Arial" w:cs="Arial"/>
          <w:sz w:val="20"/>
        </w:rPr>
        <w:t xml:space="preserve"> </w:t>
      </w:r>
      <w:r w:rsidRPr="00AC4AEA">
        <w:rPr>
          <w:rFonts w:ascii="Arial" w:hAnsi="Arial" w:cs="Arial"/>
          <w:sz w:val="20"/>
        </w:rPr>
        <w:t xml:space="preserve">las </w:t>
      </w:r>
      <w:r w:rsidRPr="00AC4AEA">
        <w:rPr>
          <w:rFonts w:ascii="Arial" w:hAnsi="Arial" w:cs="Arial"/>
          <w:b/>
          <w:bCs/>
          <w:sz w:val="20"/>
        </w:rPr>
        <w:t>pérdidas por desvalorización</w:t>
      </w:r>
      <w:r w:rsidRPr="00AC4AEA">
        <w:rPr>
          <w:rFonts w:ascii="Arial" w:hAnsi="Arial" w:cs="Arial"/>
          <w:sz w:val="20"/>
        </w:rPr>
        <w:t xml:space="preserve"> y las reversiones de </w:t>
      </w:r>
      <w:r w:rsidR="002A6B1F" w:rsidRPr="00AC4AEA">
        <w:rPr>
          <w:rFonts w:ascii="Arial" w:hAnsi="Arial" w:cs="Arial"/>
          <w:sz w:val="20"/>
        </w:rPr>
        <w:t xml:space="preserve">dichas pérdidas </w:t>
      </w:r>
      <w:r w:rsidR="00BD7827" w:rsidRPr="00AC4AEA">
        <w:rPr>
          <w:rFonts w:ascii="Arial" w:hAnsi="Arial" w:cs="Arial"/>
          <w:sz w:val="20"/>
        </w:rPr>
        <w:t xml:space="preserve">en el estado de resultados, </w:t>
      </w:r>
      <w:r w:rsidR="002A6B1F" w:rsidRPr="00AC4AEA">
        <w:rPr>
          <w:rFonts w:ascii="Arial" w:hAnsi="Arial" w:cs="Arial"/>
          <w:sz w:val="20"/>
        </w:rPr>
        <w:t>bajo un título específico para tales conceptos.</w:t>
      </w:r>
    </w:p>
    <w:p w:rsidR="002A009A" w:rsidRPr="00AC4AEA" w:rsidRDefault="002A009A" w:rsidP="00A318EA">
      <w:pPr>
        <w:pStyle w:val="A-Normal11"/>
        <w:numPr>
          <w:ilvl w:val="0"/>
          <w:numId w:val="29"/>
        </w:numPr>
        <w:jc w:val="both"/>
        <w:rPr>
          <w:rFonts w:ascii="Arial" w:hAnsi="Arial" w:cs="Arial"/>
          <w:b/>
          <w:bCs/>
          <w:sz w:val="20"/>
        </w:rPr>
      </w:pPr>
      <w:r w:rsidRPr="00AC4AEA">
        <w:rPr>
          <w:rFonts w:ascii="Arial" w:hAnsi="Arial" w:cs="Arial"/>
          <w:sz w:val="20"/>
        </w:rPr>
        <w:lastRenderedPageBreak/>
        <w:t>Una entidad presentará</w:t>
      </w:r>
      <w:r w:rsidR="00BD7827" w:rsidRPr="00AC4AEA">
        <w:rPr>
          <w:rFonts w:ascii="Arial" w:hAnsi="Arial" w:cs="Arial"/>
          <w:sz w:val="20"/>
        </w:rPr>
        <w:t xml:space="preserve"> </w:t>
      </w:r>
      <w:r w:rsidRPr="00AC4AEA">
        <w:rPr>
          <w:rFonts w:ascii="Arial" w:hAnsi="Arial" w:cs="Arial"/>
          <w:sz w:val="20"/>
        </w:rPr>
        <w:t xml:space="preserve">los resultados </w:t>
      </w:r>
      <w:r w:rsidR="0047534D" w:rsidRPr="00AC4AEA">
        <w:rPr>
          <w:rFonts w:ascii="Arial" w:hAnsi="Arial" w:cs="Arial"/>
          <w:sz w:val="20"/>
        </w:rPr>
        <w:t>surgidos</w:t>
      </w:r>
      <w:r w:rsidRPr="00AC4AEA">
        <w:rPr>
          <w:rFonts w:ascii="Arial" w:hAnsi="Arial" w:cs="Arial"/>
          <w:sz w:val="20"/>
        </w:rPr>
        <w:t xml:space="preserve"> de la baja en cuentas de estos </w:t>
      </w:r>
      <w:r w:rsidR="00497590" w:rsidRPr="00AC4AEA">
        <w:rPr>
          <w:rFonts w:ascii="Arial" w:hAnsi="Arial" w:cs="Arial"/>
          <w:sz w:val="20"/>
        </w:rPr>
        <w:t>activos</w:t>
      </w:r>
      <w:r w:rsidRPr="00AC4AEA">
        <w:rPr>
          <w:rFonts w:ascii="Arial" w:hAnsi="Arial" w:cs="Arial"/>
          <w:sz w:val="20"/>
        </w:rPr>
        <w:t>, por su disposición, bajo el título otros ingresos y gastos</w:t>
      </w:r>
      <w:r w:rsidR="00BD7827" w:rsidRPr="00AC4AEA">
        <w:rPr>
          <w:rFonts w:ascii="Arial" w:hAnsi="Arial" w:cs="Arial"/>
          <w:sz w:val="20"/>
        </w:rPr>
        <w:t xml:space="preserve"> en el estado de resultados</w:t>
      </w:r>
      <w:r w:rsidRPr="00AC4AEA">
        <w:rPr>
          <w:rFonts w:ascii="Arial" w:hAnsi="Arial" w:cs="Arial"/>
          <w:sz w:val="20"/>
        </w:rPr>
        <w:t xml:space="preserve">, separado de los resultados provenientes de los </w:t>
      </w:r>
      <w:r w:rsidRPr="00AC4AEA">
        <w:rPr>
          <w:rFonts w:ascii="Arial" w:hAnsi="Arial" w:cs="Arial"/>
          <w:b/>
          <w:bCs/>
          <w:sz w:val="20"/>
        </w:rPr>
        <w:t>ingresos por actividades ordinarias.</w:t>
      </w:r>
    </w:p>
    <w:p w:rsidR="000645F9" w:rsidRPr="00AC4AEA" w:rsidRDefault="000645F9" w:rsidP="00A318EA">
      <w:pPr>
        <w:jc w:val="both"/>
        <w:rPr>
          <w:rFonts w:ascii="Arial" w:hAnsi="Arial" w:cs="Arial"/>
          <w:b/>
          <w:bCs/>
          <w:sz w:val="20"/>
          <w:szCs w:val="20"/>
        </w:rPr>
      </w:pPr>
    </w:p>
    <w:p w:rsidR="00D458D6" w:rsidRPr="00AC4AEA" w:rsidRDefault="00D458D6" w:rsidP="00A318EA">
      <w:pPr>
        <w:pStyle w:val="Ttulo2"/>
        <w:rPr>
          <w:rFonts w:cs="Arial"/>
        </w:rPr>
      </w:pPr>
      <w:bookmarkStart w:id="504" w:name="_Toc101863868"/>
      <w:bookmarkStart w:id="505" w:name="_Toc139356730"/>
      <w:r w:rsidRPr="00AC4AEA">
        <w:rPr>
          <w:rFonts w:cs="Arial"/>
        </w:rPr>
        <w:t>Revelación en notas</w:t>
      </w:r>
      <w:bookmarkEnd w:id="504"/>
      <w:bookmarkEnd w:id="505"/>
    </w:p>
    <w:p w:rsidR="00927D7B" w:rsidRPr="00AC4AEA" w:rsidRDefault="00927D7B" w:rsidP="00A318EA">
      <w:pPr>
        <w:pStyle w:val="Ttulo3"/>
      </w:pPr>
      <w:bookmarkStart w:id="506" w:name="_Toc101863869"/>
      <w:bookmarkStart w:id="507" w:name="_Toc139356731"/>
      <w:r w:rsidRPr="00AC4AEA">
        <w:t>Revelaciones de carácter general</w:t>
      </w:r>
      <w:bookmarkEnd w:id="506"/>
      <w:bookmarkEnd w:id="507"/>
    </w:p>
    <w:p w:rsidR="00960250" w:rsidRPr="00AC4AEA" w:rsidRDefault="0096025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en notas: </w:t>
      </w:r>
    </w:p>
    <w:p w:rsidR="00960250" w:rsidRPr="00AC4AEA" w:rsidRDefault="00180C5F" w:rsidP="00A318EA">
      <w:pPr>
        <w:pStyle w:val="Prrafodelista"/>
        <w:numPr>
          <w:ilvl w:val="0"/>
          <w:numId w:val="98"/>
        </w:numPr>
        <w:ind w:left="1560"/>
        <w:contextualSpacing w:val="0"/>
        <w:jc w:val="both"/>
        <w:rPr>
          <w:rFonts w:ascii="Arial" w:hAnsi="Arial" w:cs="Arial"/>
          <w:sz w:val="20"/>
          <w:szCs w:val="20"/>
        </w:rPr>
      </w:pPr>
      <w:r w:rsidRPr="00AC4AEA">
        <w:rPr>
          <w:rFonts w:ascii="Arial" w:hAnsi="Arial" w:cs="Arial"/>
          <w:sz w:val="20"/>
          <w:szCs w:val="20"/>
        </w:rPr>
        <w:t>l</w:t>
      </w:r>
      <w:r w:rsidR="00960250" w:rsidRPr="00AC4AEA">
        <w:rPr>
          <w:rFonts w:ascii="Arial" w:hAnsi="Arial" w:cs="Arial"/>
          <w:sz w:val="20"/>
          <w:szCs w:val="20"/>
        </w:rPr>
        <w:t xml:space="preserve">as </w:t>
      </w:r>
      <w:r w:rsidR="00135084" w:rsidRPr="00AC4AEA">
        <w:rPr>
          <w:rFonts w:ascii="Arial" w:hAnsi="Arial" w:cs="Arial"/>
          <w:b/>
          <w:bCs/>
          <w:sz w:val="20"/>
          <w:szCs w:val="20"/>
        </w:rPr>
        <w:t>políticas contables</w:t>
      </w:r>
      <w:r w:rsidR="00BF4A7C" w:rsidRPr="00AC4AEA">
        <w:rPr>
          <w:rFonts w:ascii="Arial" w:hAnsi="Arial" w:cs="Arial"/>
          <w:sz w:val="20"/>
          <w:szCs w:val="20"/>
        </w:rPr>
        <w:t xml:space="preserve"> empleadas</w:t>
      </w:r>
      <w:r w:rsidR="00960250" w:rsidRPr="00AC4AEA">
        <w:rPr>
          <w:rFonts w:ascii="Arial" w:hAnsi="Arial" w:cs="Arial"/>
          <w:sz w:val="20"/>
          <w:szCs w:val="20"/>
        </w:rPr>
        <w:t xml:space="preserve"> y los criterios de medición aplicados para cada clase de bienes de uso;</w:t>
      </w:r>
      <w:r w:rsidRPr="00AC4AEA">
        <w:rPr>
          <w:rFonts w:ascii="Arial" w:hAnsi="Arial" w:cs="Arial"/>
          <w:sz w:val="20"/>
          <w:szCs w:val="20"/>
        </w:rPr>
        <w:t xml:space="preserve"> y</w:t>
      </w:r>
    </w:p>
    <w:p w:rsidR="00960250" w:rsidRPr="00AC4AEA" w:rsidRDefault="00180C5F" w:rsidP="00A318EA">
      <w:pPr>
        <w:pStyle w:val="Prrafodelista"/>
        <w:numPr>
          <w:ilvl w:val="0"/>
          <w:numId w:val="98"/>
        </w:numPr>
        <w:ind w:left="1560"/>
        <w:contextualSpacing w:val="0"/>
        <w:jc w:val="both"/>
        <w:rPr>
          <w:rFonts w:ascii="Arial" w:hAnsi="Arial" w:cs="Arial"/>
          <w:sz w:val="20"/>
          <w:szCs w:val="20"/>
        </w:rPr>
      </w:pPr>
      <w:r w:rsidRPr="00AC4AEA">
        <w:rPr>
          <w:rFonts w:ascii="Arial" w:hAnsi="Arial" w:cs="Arial"/>
          <w:sz w:val="20"/>
          <w:szCs w:val="20"/>
        </w:rPr>
        <w:t>l</w:t>
      </w:r>
      <w:r w:rsidR="00960250" w:rsidRPr="00AC4AEA">
        <w:rPr>
          <w:rFonts w:ascii="Arial" w:hAnsi="Arial" w:cs="Arial"/>
          <w:sz w:val="20"/>
          <w:szCs w:val="20"/>
        </w:rPr>
        <w:t xml:space="preserve">as bases y métodos utilizados </w:t>
      </w:r>
      <w:r w:rsidR="00927D7B" w:rsidRPr="00AC4AEA">
        <w:rPr>
          <w:rFonts w:ascii="Arial" w:hAnsi="Arial" w:cs="Arial"/>
          <w:sz w:val="20"/>
          <w:szCs w:val="20"/>
        </w:rPr>
        <w:t>para la determinación de las depreciaciones.</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para cada clase de bienes de uso, separando valores originales de </w:t>
      </w:r>
      <w:r w:rsidR="007E020E" w:rsidRPr="00AC4AEA">
        <w:rPr>
          <w:rFonts w:ascii="Arial" w:hAnsi="Arial" w:cs="Arial"/>
          <w:sz w:val="20"/>
          <w:szCs w:val="20"/>
        </w:rPr>
        <w:t>depreciaciones</w:t>
      </w:r>
      <w:r w:rsidRPr="00AC4AEA">
        <w:rPr>
          <w:rFonts w:ascii="Arial" w:hAnsi="Arial" w:cs="Arial"/>
          <w:sz w:val="20"/>
          <w:szCs w:val="20"/>
        </w:rPr>
        <w:t xml:space="preserve"> acumulad</w:t>
      </w:r>
      <w:r w:rsidR="005E3FA4" w:rsidRPr="00AC4AEA">
        <w:rPr>
          <w:rFonts w:ascii="Arial" w:hAnsi="Arial" w:cs="Arial"/>
          <w:sz w:val="20"/>
          <w:szCs w:val="20"/>
        </w:rPr>
        <w:t>a</w:t>
      </w:r>
      <w:r w:rsidRPr="00AC4AEA">
        <w:rPr>
          <w:rFonts w:ascii="Arial" w:hAnsi="Arial" w:cs="Arial"/>
          <w:sz w:val="20"/>
          <w:szCs w:val="20"/>
        </w:rPr>
        <w:t xml:space="preserve">s, los siguientes importes: </w:t>
      </w:r>
    </w:p>
    <w:p w:rsidR="00D458D6" w:rsidRPr="00AC4AEA" w:rsidRDefault="00180C5F"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s</w:t>
      </w:r>
      <w:r w:rsidR="00D458D6" w:rsidRPr="00AC4AEA">
        <w:rPr>
          <w:rFonts w:ascii="Arial" w:hAnsi="Arial" w:cs="Arial"/>
          <w:sz w:val="20"/>
          <w:szCs w:val="20"/>
        </w:rPr>
        <w:t>aldos iniciales</w:t>
      </w:r>
      <w:r w:rsidRPr="00AC4AEA">
        <w:rPr>
          <w:rFonts w:ascii="Arial" w:hAnsi="Arial" w:cs="Arial"/>
          <w:sz w:val="20"/>
          <w:szCs w:val="20"/>
        </w:rPr>
        <w:t>;</w:t>
      </w:r>
    </w:p>
    <w:p w:rsidR="00D458D6" w:rsidRPr="00AC4AEA" w:rsidRDefault="00461F90"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altas (adiciones)</w:t>
      </w:r>
      <w:r w:rsidR="00180C5F" w:rsidRPr="00AC4AEA">
        <w:rPr>
          <w:rFonts w:ascii="Arial" w:hAnsi="Arial" w:cs="Arial"/>
          <w:sz w:val="20"/>
          <w:szCs w:val="20"/>
        </w:rPr>
        <w:t>;</w:t>
      </w:r>
    </w:p>
    <w:p w:rsidR="00D458D6" w:rsidRPr="00AC4AEA" w:rsidRDefault="00180C5F"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r</w:t>
      </w:r>
      <w:r w:rsidR="00D458D6" w:rsidRPr="00AC4AEA">
        <w:rPr>
          <w:rFonts w:ascii="Arial" w:hAnsi="Arial" w:cs="Arial"/>
          <w:sz w:val="20"/>
          <w:szCs w:val="20"/>
        </w:rPr>
        <w:t>evaluaciones</w:t>
      </w:r>
      <w:r w:rsidRPr="00AC4AEA">
        <w:rPr>
          <w:rFonts w:ascii="Arial" w:hAnsi="Arial" w:cs="Arial"/>
          <w:sz w:val="20"/>
          <w:szCs w:val="20"/>
        </w:rPr>
        <w:t>;</w:t>
      </w:r>
      <w:r w:rsidR="00D458D6" w:rsidRPr="00AC4AEA">
        <w:rPr>
          <w:rFonts w:ascii="Arial" w:hAnsi="Arial" w:cs="Arial"/>
          <w:sz w:val="20"/>
          <w:szCs w:val="20"/>
        </w:rPr>
        <w:t xml:space="preserve"> </w:t>
      </w:r>
    </w:p>
    <w:p w:rsidR="00D458D6" w:rsidRPr="00AC4AEA" w:rsidRDefault="00180C5F"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b</w:t>
      </w:r>
      <w:r w:rsidR="00D458D6" w:rsidRPr="00AC4AEA">
        <w:rPr>
          <w:rFonts w:ascii="Arial" w:hAnsi="Arial" w:cs="Arial"/>
          <w:sz w:val="20"/>
          <w:szCs w:val="20"/>
        </w:rPr>
        <w:t>ajas</w:t>
      </w:r>
      <w:r w:rsidRPr="00AC4AEA">
        <w:rPr>
          <w:rFonts w:ascii="Arial" w:hAnsi="Arial" w:cs="Arial"/>
          <w:sz w:val="20"/>
          <w:szCs w:val="20"/>
        </w:rPr>
        <w:t>;</w:t>
      </w:r>
    </w:p>
    <w:p w:rsidR="00D458D6" w:rsidRPr="00AC4AEA" w:rsidRDefault="00180C5F"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d</w:t>
      </w:r>
      <w:r w:rsidR="00D458D6" w:rsidRPr="00AC4AEA">
        <w:rPr>
          <w:rFonts w:ascii="Arial" w:hAnsi="Arial" w:cs="Arial"/>
          <w:sz w:val="20"/>
          <w:szCs w:val="20"/>
        </w:rPr>
        <w:t>epreciaciones</w:t>
      </w:r>
      <w:r w:rsidRPr="00AC4AEA">
        <w:rPr>
          <w:rFonts w:ascii="Arial" w:hAnsi="Arial" w:cs="Arial"/>
          <w:sz w:val="20"/>
          <w:szCs w:val="20"/>
        </w:rPr>
        <w:t>;</w:t>
      </w:r>
    </w:p>
    <w:p w:rsidR="00D458D6" w:rsidRPr="00AC4AEA" w:rsidRDefault="00305AEE"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b/>
          <w:bCs/>
          <w:sz w:val="20"/>
          <w:szCs w:val="20"/>
        </w:rPr>
        <w:t xml:space="preserve">pérdidas por </w:t>
      </w:r>
      <w:r w:rsidR="00180C5F" w:rsidRPr="00AC4AEA">
        <w:rPr>
          <w:rFonts w:ascii="Arial" w:hAnsi="Arial" w:cs="Arial"/>
          <w:b/>
          <w:bCs/>
          <w:sz w:val="20"/>
          <w:szCs w:val="20"/>
        </w:rPr>
        <w:t>d</w:t>
      </w:r>
      <w:r w:rsidR="00D458D6" w:rsidRPr="00AC4AEA">
        <w:rPr>
          <w:rFonts w:ascii="Arial" w:hAnsi="Arial" w:cs="Arial"/>
          <w:b/>
          <w:bCs/>
          <w:sz w:val="20"/>
          <w:szCs w:val="20"/>
        </w:rPr>
        <w:t>esvalorizaci</w:t>
      </w:r>
      <w:r w:rsidRPr="00AC4AEA">
        <w:rPr>
          <w:rFonts w:ascii="Arial" w:hAnsi="Arial" w:cs="Arial"/>
          <w:b/>
          <w:bCs/>
          <w:sz w:val="20"/>
          <w:szCs w:val="20"/>
        </w:rPr>
        <w:t>ón</w:t>
      </w:r>
      <w:r w:rsidR="00180C5F" w:rsidRPr="00AC4AEA">
        <w:rPr>
          <w:rFonts w:ascii="Arial" w:hAnsi="Arial" w:cs="Arial"/>
          <w:sz w:val="20"/>
          <w:szCs w:val="20"/>
        </w:rPr>
        <w:t>;</w:t>
      </w:r>
    </w:p>
    <w:p w:rsidR="00D458D6" w:rsidRPr="00AC4AEA" w:rsidRDefault="00180C5F"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r</w:t>
      </w:r>
      <w:r w:rsidR="00D458D6" w:rsidRPr="00AC4AEA">
        <w:rPr>
          <w:rFonts w:ascii="Arial" w:hAnsi="Arial" w:cs="Arial"/>
          <w:sz w:val="20"/>
          <w:szCs w:val="20"/>
        </w:rPr>
        <w:t xml:space="preserve">ecuperación de </w:t>
      </w:r>
      <w:r w:rsidR="00D458D6" w:rsidRPr="00AC4AEA">
        <w:rPr>
          <w:rFonts w:ascii="Arial" w:hAnsi="Arial" w:cs="Arial"/>
          <w:b/>
          <w:bCs/>
          <w:sz w:val="20"/>
          <w:szCs w:val="20"/>
        </w:rPr>
        <w:t>pérdidas por desvalorización</w:t>
      </w:r>
      <w:r w:rsidRPr="00AC4AEA">
        <w:rPr>
          <w:rFonts w:ascii="Arial" w:hAnsi="Arial" w:cs="Arial"/>
          <w:sz w:val="20"/>
          <w:szCs w:val="20"/>
        </w:rPr>
        <w:t>;</w:t>
      </w:r>
    </w:p>
    <w:p w:rsidR="002F3290" w:rsidRPr="00AC4AEA" w:rsidRDefault="00180C5F"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t</w:t>
      </w:r>
      <w:r w:rsidR="002F3290" w:rsidRPr="00AC4AEA">
        <w:rPr>
          <w:rFonts w:ascii="Arial" w:hAnsi="Arial" w:cs="Arial"/>
          <w:sz w:val="20"/>
          <w:szCs w:val="20"/>
        </w:rPr>
        <w:t>ransferencias por reclasificaciones;</w:t>
      </w:r>
    </w:p>
    <w:p w:rsidR="00D458D6" w:rsidRPr="00AC4AEA" w:rsidRDefault="006056E5"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otras variaciones no consideradas</w:t>
      </w:r>
      <w:r w:rsidR="000F1610" w:rsidRPr="00AC4AEA">
        <w:rPr>
          <w:rFonts w:ascii="Arial" w:hAnsi="Arial" w:cs="Arial"/>
          <w:sz w:val="20"/>
          <w:szCs w:val="20"/>
        </w:rPr>
        <w:t xml:space="preserve"> en </w:t>
      </w:r>
      <w:r w:rsidR="00F41900" w:rsidRPr="00AC4AEA">
        <w:rPr>
          <w:rFonts w:ascii="Arial" w:hAnsi="Arial" w:cs="Arial"/>
          <w:sz w:val="20"/>
          <w:szCs w:val="20"/>
        </w:rPr>
        <w:t>los incisos anteriores de este párrafo</w:t>
      </w:r>
      <w:r w:rsidR="00AB7E68" w:rsidRPr="00AC4AEA">
        <w:rPr>
          <w:rFonts w:ascii="Arial" w:hAnsi="Arial" w:cs="Arial"/>
          <w:sz w:val="20"/>
          <w:szCs w:val="20"/>
        </w:rPr>
        <w:t>, debiendo in</w:t>
      </w:r>
      <w:r w:rsidR="004F2A85" w:rsidRPr="00AC4AEA">
        <w:rPr>
          <w:rFonts w:ascii="Arial" w:hAnsi="Arial" w:cs="Arial"/>
          <w:sz w:val="20"/>
          <w:szCs w:val="20"/>
        </w:rPr>
        <w:t>d</w:t>
      </w:r>
      <w:r w:rsidR="00AB7E68" w:rsidRPr="00AC4AEA">
        <w:rPr>
          <w:rFonts w:ascii="Arial" w:hAnsi="Arial" w:cs="Arial"/>
          <w:sz w:val="20"/>
          <w:szCs w:val="20"/>
        </w:rPr>
        <w:t>icar, en el caso e</w:t>
      </w:r>
      <w:r w:rsidR="003A1100" w:rsidRPr="00AC4AEA">
        <w:rPr>
          <w:rFonts w:ascii="Arial" w:hAnsi="Arial" w:cs="Arial"/>
          <w:sz w:val="20"/>
          <w:szCs w:val="20"/>
        </w:rPr>
        <w:t xml:space="preserve">n </w:t>
      </w:r>
      <w:r w:rsidR="00AB7E68" w:rsidRPr="00AC4AEA">
        <w:rPr>
          <w:rFonts w:ascii="Arial" w:hAnsi="Arial" w:cs="Arial"/>
          <w:sz w:val="20"/>
          <w:szCs w:val="20"/>
        </w:rPr>
        <w:t>que presente esta partida</w:t>
      </w:r>
      <w:r w:rsidR="003A1100" w:rsidRPr="00AC4AEA">
        <w:rPr>
          <w:rFonts w:ascii="Arial" w:hAnsi="Arial" w:cs="Arial"/>
          <w:sz w:val="20"/>
          <w:szCs w:val="20"/>
        </w:rPr>
        <w:t>,</w:t>
      </w:r>
      <w:r w:rsidR="00AB7E68" w:rsidRPr="00AC4AEA">
        <w:rPr>
          <w:rFonts w:ascii="Arial" w:hAnsi="Arial" w:cs="Arial"/>
          <w:sz w:val="20"/>
          <w:szCs w:val="20"/>
        </w:rPr>
        <w:t xml:space="preserve"> </w:t>
      </w:r>
      <w:r w:rsidRPr="00AC4AEA">
        <w:rPr>
          <w:rFonts w:ascii="Arial" w:hAnsi="Arial" w:cs="Arial"/>
          <w:sz w:val="20"/>
          <w:szCs w:val="20"/>
        </w:rPr>
        <w:t>los</w:t>
      </w:r>
      <w:r w:rsidR="00AB7E68" w:rsidRPr="00AC4AEA">
        <w:rPr>
          <w:rFonts w:ascii="Arial" w:hAnsi="Arial" w:cs="Arial"/>
          <w:sz w:val="20"/>
          <w:szCs w:val="20"/>
        </w:rPr>
        <w:t xml:space="preserve"> conceptos </w:t>
      </w:r>
      <w:r w:rsidRPr="00AC4AEA">
        <w:rPr>
          <w:rFonts w:ascii="Arial" w:hAnsi="Arial" w:cs="Arial"/>
          <w:sz w:val="20"/>
          <w:szCs w:val="20"/>
        </w:rPr>
        <w:t>incluidos</w:t>
      </w:r>
      <w:r w:rsidR="00AB7E68" w:rsidRPr="00AC4AEA">
        <w:rPr>
          <w:rFonts w:ascii="Arial" w:hAnsi="Arial" w:cs="Arial"/>
          <w:sz w:val="20"/>
          <w:szCs w:val="20"/>
        </w:rPr>
        <w:t xml:space="preserve"> en ella</w:t>
      </w:r>
      <w:r w:rsidR="00180C5F" w:rsidRPr="00AC4AEA">
        <w:rPr>
          <w:rFonts w:ascii="Arial" w:hAnsi="Arial" w:cs="Arial"/>
          <w:sz w:val="20"/>
          <w:szCs w:val="20"/>
        </w:rPr>
        <w:t>;</w:t>
      </w:r>
      <w:r w:rsidR="00D458D6" w:rsidRPr="00AC4AEA">
        <w:rPr>
          <w:rFonts w:ascii="Arial" w:hAnsi="Arial" w:cs="Arial"/>
          <w:sz w:val="20"/>
          <w:szCs w:val="20"/>
        </w:rPr>
        <w:t xml:space="preserve"> y </w:t>
      </w:r>
    </w:p>
    <w:p w:rsidR="00D458D6" w:rsidRPr="00AC4AEA" w:rsidRDefault="00180C5F" w:rsidP="00A318EA">
      <w:pPr>
        <w:pStyle w:val="Prrafodelista"/>
        <w:numPr>
          <w:ilvl w:val="1"/>
          <w:numId w:val="14"/>
        </w:numPr>
        <w:ind w:left="1560" w:hanging="567"/>
        <w:contextualSpacing w:val="0"/>
        <w:jc w:val="both"/>
        <w:rPr>
          <w:rFonts w:ascii="Arial" w:hAnsi="Arial" w:cs="Arial"/>
          <w:sz w:val="20"/>
          <w:szCs w:val="20"/>
        </w:rPr>
      </w:pPr>
      <w:r w:rsidRPr="00AC4AEA">
        <w:rPr>
          <w:rFonts w:ascii="Arial" w:hAnsi="Arial" w:cs="Arial"/>
          <w:sz w:val="20"/>
          <w:szCs w:val="20"/>
        </w:rPr>
        <w:t>s</w:t>
      </w:r>
      <w:r w:rsidR="00D458D6" w:rsidRPr="00AC4AEA">
        <w:rPr>
          <w:rFonts w:ascii="Arial" w:hAnsi="Arial" w:cs="Arial"/>
          <w:sz w:val="20"/>
          <w:szCs w:val="20"/>
        </w:rPr>
        <w:t>aldos finales</w:t>
      </w:r>
      <w:r w:rsidR="000F237A" w:rsidRPr="00AC4AEA">
        <w:rPr>
          <w:rFonts w:ascii="Arial" w:hAnsi="Arial" w:cs="Arial"/>
          <w:sz w:val="20"/>
          <w:szCs w:val="20"/>
        </w:rPr>
        <w:t>.</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individualizará, dentro de cada </w:t>
      </w:r>
      <w:r w:rsidR="003D0F0D" w:rsidRPr="00AC4AEA">
        <w:rPr>
          <w:rFonts w:ascii="Arial" w:hAnsi="Arial" w:cs="Arial"/>
          <w:sz w:val="20"/>
          <w:szCs w:val="20"/>
        </w:rPr>
        <w:t>clase</w:t>
      </w:r>
      <w:r w:rsidR="00596679" w:rsidRPr="00AC4AEA">
        <w:rPr>
          <w:rFonts w:ascii="Arial" w:hAnsi="Arial" w:cs="Arial"/>
          <w:sz w:val="20"/>
          <w:szCs w:val="20"/>
        </w:rPr>
        <w:t xml:space="preserve"> de bienes de uso</w:t>
      </w:r>
      <w:r w:rsidRPr="00AC4AEA">
        <w:rPr>
          <w:rFonts w:ascii="Arial" w:hAnsi="Arial" w:cs="Arial"/>
          <w:sz w:val="20"/>
          <w:szCs w:val="20"/>
        </w:rPr>
        <w:t>, los importes correspondientes a los incorporados mediante arrendamientos financieros.</w:t>
      </w:r>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revelará los bienes de disponibilidad restringida individualizando:</w:t>
      </w:r>
    </w:p>
    <w:p w:rsidR="00D458D6" w:rsidRPr="00AC4AEA" w:rsidRDefault="007E2A61" w:rsidP="00A318EA">
      <w:pPr>
        <w:pStyle w:val="Prrafodelista"/>
        <w:numPr>
          <w:ilvl w:val="1"/>
          <w:numId w:val="15"/>
        </w:numPr>
        <w:ind w:left="1560" w:hanging="567"/>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as causas (legales, contractuales o situaciones de hecho) que limitan su disponibilidad y las mediciones contables correspondientes</w:t>
      </w:r>
      <w:r w:rsidRPr="00AC4AEA">
        <w:rPr>
          <w:rFonts w:ascii="Arial" w:hAnsi="Arial" w:cs="Arial"/>
          <w:sz w:val="20"/>
          <w:szCs w:val="20"/>
        </w:rPr>
        <w:t>;</w:t>
      </w:r>
      <w:r w:rsidR="00CE3AFC" w:rsidRPr="00AC4AEA">
        <w:rPr>
          <w:rFonts w:ascii="Arial" w:hAnsi="Arial" w:cs="Arial"/>
          <w:sz w:val="20"/>
          <w:szCs w:val="20"/>
        </w:rPr>
        <w:t xml:space="preserve"> y</w:t>
      </w:r>
    </w:p>
    <w:p w:rsidR="00D458D6" w:rsidRPr="00AC4AEA" w:rsidRDefault="007E2A61" w:rsidP="00A318EA">
      <w:pPr>
        <w:pStyle w:val="Prrafodelista"/>
        <w:numPr>
          <w:ilvl w:val="1"/>
          <w:numId w:val="15"/>
        </w:numPr>
        <w:ind w:left="1560" w:hanging="567"/>
        <w:contextualSpacing w:val="0"/>
        <w:jc w:val="both"/>
        <w:rPr>
          <w:rFonts w:ascii="Arial" w:hAnsi="Arial" w:cs="Arial"/>
          <w:sz w:val="20"/>
          <w:szCs w:val="20"/>
        </w:rPr>
      </w:pPr>
      <w:r w:rsidRPr="00AC4AEA">
        <w:rPr>
          <w:rFonts w:ascii="Arial" w:hAnsi="Arial" w:cs="Arial"/>
          <w:sz w:val="20"/>
          <w:szCs w:val="20"/>
        </w:rPr>
        <w:t>l</w:t>
      </w:r>
      <w:r w:rsidR="00D458D6" w:rsidRPr="00AC4AEA">
        <w:rPr>
          <w:rFonts w:ascii="Arial" w:hAnsi="Arial" w:cs="Arial"/>
          <w:sz w:val="20"/>
          <w:szCs w:val="20"/>
        </w:rPr>
        <w:t xml:space="preserve">os componentes que no podrán ser enajenados hasta tanto se cancelen determinados </w:t>
      </w:r>
      <w:r w:rsidR="00497590" w:rsidRPr="00AC4AEA">
        <w:rPr>
          <w:rFonts w:ascii="Arial" w:hAnsi="Arial" w:cs="Arial"/>
          <w:sz w:val="20"/>
          <w:szCs w:val="20"/>
        </w:rPr>
        <w:t>pasivos</w:t>
      </w:r>
      <w:r w:rsidR="00D458D6" w:rsidRPr="00AC4AEA">
        <w:rPr>
          <w:rFonts w:ascii="Arial" w:hAnsi="Arial" w:cs="Arial"/>
          <w:sz w:val="20"/>
          <w:szCs w:val="20"/>
        </w:rPr>
        <w:t xml:space="preserve">, indicándose su medición contable y </w:t>
      </w:r>
      <w:r w:rsidR="002F3290" w:rsidRPr="00AC4AEA">
        <w:rPr>
          <w:rFonts w:ascii="Arial" w:hAnsi="Arial" w:cs="Arial"/>
          <w:sz w:val="20"/>
          <w:szCs w:val="20"/>
        </w:rPr>
        <w:t>la medición</w:t>
      </w:r>
      <w:r w:rsidR="00D458D6" w:rsidRPr="00AC4AEA">
        <w:rPr>
          <w:rFonts w:ascii="Arial" w:hAnsi="Arial" w:cs="Arial"/>
          <w:sz w:val="20"/>
          <w:szCs w:val="20"/>
        </w:rPr>
        <w:t xml:space="preserve"> de los </w:t>
      </w:r>
      <w:r w:rsidR="00497590" w:rsidRPr="00AC4AEA">
        <w:rPr>
          <w:rFonts w:ascii="Arial" w:hAnsi="Arial" w:cs="Arial"/>
          <w:sz w:val="20"/>
          <w:szCs w:val="20"/>
        </w:rPr>
        <w:t>pasivos</w:t>
      </w:r>
      <w:r w:rsidR="00D458D6" w:rsidRPr="00AC4AEA">
        <w:rPr>
          <w:rFonts w:ascii="Arial" w:hAnsi="Arial" w:cs="Arial"/>
          <w:sz w:val="20"/>
          <w:szCs w:val="20"/>
        </w:rPr>
        <w:t xml:space="preserve"> relacionados.</w:t>
      </w:r>
    </w:p>
    <w:p w:rsidR="000645F9" w:rsidRPr="00AC4AEA" w:rsidRDefault="000645F9" w:rsidP="00A318EA">
      <w:pPr>
        <w:pStyle w:val="A-Normal11"/>
        <w:jc w:val="both"/>
        <w:rPr>
          <w:rFonts w:ascii="Arial" w:hAnsi="Arial" w:cs="Arial"/>
          <w:sz w:val="20"/>
        </w:rPr>
      </w:pPr>
    </w:p>
    <w:p w:rsidR="00927D7B" w:rsidRPr="00AC4AEA" w:rsidRDefault="000645F9" w:rsidP="00A318EA">
      <w:pPr>
        <w:pStyle w:val="Ttulo3"/>
      </w:pPr>
      <w:bookmarkStart w:id="508" w:name="_Toc101863870"/>
      <w:bookmarkStart w:id="509" w:name="_Toc139356732"/>
      <w:r w:rsidRPr="00AC4AEA">
        <w:t>Revelaciones sobre depreciaciones</w:t>
      </w:r>
      <w:bookmarkEnd w:id="508"/>
      <w:bookmarkEnd w:id="509"/>
    </w:p>
    <w:p w:rsidR="000645F9" w:rsidRPr="00AC4AEA" w:rsidRDefault="000645F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presentará el importe de las depreciaciones del </w:t>
      </w:r>
      <w:r w:rsidR="006E2FE7" w:rsidRPr="00AC4AEA">
        <w:rPr>
          <w:rFonts w:ascii="Arial" w:hAnsi="Arial" w:cs="Arial"/>
          <w:sz w:val="20"/>
          <w:szCs w:val="20"/>
        </w:rPr>
        <w:t>período</w:t>
      </w:r>
      <w:r w:rsidRPr="00AC4AEA">
        <w:rPr>
          <w:rFonts w:ascii="Arial" w:hAnsi="Arial" w:cs="Arial"/>
          <w:sz w:val="20"/>
          <w:szCs w:val="20"/>
        </w:rPr>
        <w:t>, clasificándolas de acuerdo</w:t>
      </w:r>
      <w:r w:rsidR="00BA1B0F" w:rsidRPr="00AC4AEA">
        <w:rPr>
          <w:rFonts w:ascii="Arial" w:hAnsi="Arial" w:cs="Arial"/>
          <w:sz w:val="20"/>
          <w:szCs w:val="20"/>
        </w:rPr>
        <w:t xml:space="preserve"> </w:t>
      </w:r>
      <w:r w:rsidR="002D08D4" w:rsidRPr="00AC4AEA">
        <w:rPr>
          <w:rFonts w:ascii="Arial" w:hAnsi="Arial" w:cs="Arial"/>
          <w:sz w:val="20"/>
          <w:szCs w:val="20"/>
        </w:rPr>
        <w:t>con</w:t>
      </w:r>
      <w:r w:rsidRPr="00AC4AEA">
        <w:rPr>
          <w:rFonts w:ascii="Arial" w:hAnsi="Arial" w:cs="Arial"/>
          <w:sz w:val="20"/>
          <w:szCs w:val="20"/>
        </w:rPr>
        <w:t xml:space="preserve"> la función asignada a los bienes que las originaron; por ejemplo:</w:t>
      </w:r>
    </w:p>
    <w:p w:rsidR="000645F9" w:rsidRPr="00AC4AEA" w:rsidRDefault="00E24003" w:rsidP="00A318EA">
      <w:pPr>
        <w:pStyle w:val="Prrafodelista"/>
        <w:numPr>
          <w:ilvl w:val="0"/>
          <w:numId w:val="286"/>
        </w:numPr>
        <w:ind w:left="1560"/>
        <w:contextualSpacing w:val="0"/>
        <w:jc w:val="both"/>
        <w:rPr>
          <w:rFonts w:ascii="Arial" w:hAnsi="Arial" w:cs="Arial"/>
          <w:sz w:val="20"/>
          <w:szCs w:val="20"/>
        </w:rPr>
      </w:pPr>
      <w:r w:rsidRPr="00AC4AEA">
        <w:rPr>
          <w:rFonts w:ascii="Arial" w:hAnsi="Arial" w:cs="Arial"/>
          <w:b/>
          <w:bCs/>
          <w:sz w:val="20"/>
          <w:szCs w:val="20"/>
        </w:rPr>
        <w:t>c</w:t>
      </w:r>
      <w:r w:rsidR="000645F9" w:rsidRPr="00AC4AEA">
        <w:rPr>
          <w:rFonts w:ascii="Arial" w:hAnsi="Arial" w:cs="Arial"/>
          <w:b/>
          <w:bCs/>
          <w:sz w:val="20"/>
          <w:szCs w:val="20"/>
        </w:rPr>
        <w:t>osto de producción</w:t>
      </w:r>
      <w:r w:rsidR="000645F9" w:rsidRPr="00AC4AEA">
        <w:rPr>
          <w:rFonts w:ascii="Arial" w:hAnsi="Arial" w:cs="Arial"/>
          <w:sz w:val="20"/>
          <w:szCs w:val="20"/>
        </w:rPr>
        <w:t xml:space="preserve"> o </w:t>
      </w:r>
      <w:r w:rsidR="007C14B3" w:rsidRPr="00AC4AEA">
        <w:rPr>
          <w:rFonts w:ascii="Arial" w:hAnsi="Arial" w:cs="Arial"/>
          <w:b/>
          <w:bCs/>
          <w:sz w:val="20"/>
          <w:szCs w:val="20"/>
        </w:rPr>
        <w:t xml:space="preserve">costo de </w:t>
      </w:r>
      <w:r w:rsidR="000645F9" w:rsidRPr="00AC4AEA">
        <w:rPr>
          <w:rFonts w:ascii="Arial" w:hAnsi="Arial" w:cs="Arial"/>
          <w:b/>
          <w:bCs/>
          <w:sz w:val="20"/>
          <w:szCs w:val="20"/>
        </w:rPr>
        <w:t>construcción</w:t>
      </w:r>
      <w:r w:rsidR="00CE3AFC" w:rsidRPr="00AC4AEA">
        <w:rPr>
          <w:rFonts w:ascii="Arial" w:hAnsi="Arial" w:cs="Arial"/>
          <w:sz w:val="20"/>
          <w:szCs w:val="20"/>
        </w:rPr>
        <w:t>;</w:t>
      </w:r>
    </w:p>
    <w:p w:rsidR="000645F9" w:rsidRPr="00AC4AEA" w:rsidRDefault="00E24003" w:rsidP="00A318EA">
      <w:pPr>
        <w:pStyle w:val="Prrafodelista"/>
        <w:numPr>
          <w:ilvl w:val="0"/>
          <w:numId w:val="286"/>
        </w:numPr>
        <w:ind w:left="1560"/>
        <w:contextualSpacing w:val="0"/>
        <w:jc w:val="both"/>
        <w:rPr>
          <w:rFonts w:ascii="Arial" w:hAnsi="Arial" w:cs="Arial"/>
          <w:sz w:val="20"/>
          <w:szCs w:val="20"/>
        </w:rPr>
      </w:pPr>
      <w:r w:rsidRPr="00AC4AEA">
        <w:rPr>
          <w:rFonts w:ascii="Arial" w:hAnsi="Arial" w:cs="Arial"/>
          <w:sz w:val="20"/>
          <w:szCs w:val="20"/>
        </w:rPr>
        <w:t>g</w:t>
      </w:r>
      <w:r w:rsidR="000645F9" w:rsidRPr="00AC4AEA">
        <w:rPr>
          <w:rFonts w:ascii="Arial" w:hAnsi="Arial" w:cs="Arial"/>
          <w:sz w:val="20"/>
          <w:szCs w:val="20"/>
        </w:rPr>
        <w:t>astos de administración</w:t>
      </w:r>
      <w:r w:rsidR="00E75CCE" w:rsidRPr="00AC4AEA">
        <w:rPr>
          <w:rFonts w:ascii="Arial" w:hAnsi="Arial" w:cs="Arial"/>
          <w:sz w:val="20"/>
          <w:szCs w:val="20"/>
        </w:rPr>
        <w:t>;</w:t>
      </w:r>
      <w:r w:rsidR="00CE3AFC" w:rsidRPr="00AC4AEA">
        <w:rPr>
          <w:rFonts w:ascii="Arial" w:hAnsi="Arial" w:cs="Arial"/>
          <w:sz w:val="20"/>
          <w:szCs w:val="20"/>
        </w:rPr>
        <w:t xml:space="preserve"> o</w:t>
      </w:r>
    </w:p>
    <w:p w:rsidR="000645F9" w:rsidRPr="00AC4AEA" w:rsidRDefault="00E24003" w:rsidP="00A318EA">
      <w:pPr>
        <w:pStyle w:val="Prrafodelista"/>
        <w:numPr>
          <w:ilvl w:val="0"/>
          <w:numId w:val="286"/>
        </w:numPr>
        <w:ind w:left="1560"/>
        <w:contextualSpacing w:val="0"/>
        <w:jc w:val="both"/>
        <w:rPr>
          <w:rFonts w:ascii="Arial" w:hAnsi="Arial" w:cs="Arial"/>
          <w:sz w:val="20"/>
          <w:szCs w:val="20"/>
        </w:rPr>
      </w:pPr>
      <w:r w:rsidRPr="00AC4AEA">
        <w:rPr>
          <w:rFonts w:ascii="Arial" w:hAnsi="Arial" w:cs="Arial"/>
          <w:sz w:val="20"/>
          <w:szCs w:val="20"/>
        </w:rPr>
        <w:t>g</w:t>
      </w:r>
      <w:r w:rsidR="000645F9" w:rsidRPr="00AC4AEA">
        <w:rPr>
          <w:rFonts w:ascii="Arial" w:hAnsi="Arial" w:cs="Arial"/>
          <w:sz w:val="20"/>
          <w:szCs w:val="20"/>
        </w:rPr>
        <w:t>astos de comercialización.</w:t>
      </w:r>
    </w:p>
    <w:p w:rsidR="000645F9" w:rsidRPr="00AC4AEA" w:rsidRDefault="000645F9" w:rsidP="00A318EA">
      <w:pPr>
        <w:pStyle w:val="A-Normal11"/>
        <w:jc w:val="both"/>
        <w:rPr>
          <w:rFonts w:ascii="Arial" w:hAnsi="Arial" w:cs="Arial"/>
          <w:sz w:val="20"/>
        </w:rPr>
      </w:pPr>
    </w:p>
    <w:p w:rsidR="00927D7B" w:rsidRPr="00AC4AEA" w:rsidRDefault="00927D7B" w:rsidP="00A318EA">
      <w:pPr>
        <w:pStyle w:val="Ttulo3"/>
      </w:pPr>
      <w:bookmarkStart w:id="510" w:name="_Toc101863871"/>
      <w:bookmarkStart w:id="511" w:name="_Toc139356733"/>
      <w:r w:rsidRPr="00AC4AEA">
        <w:t>Revelaciones sobre la aplicación del modelo de revaluación</w:t>
      </w:r>
      <w:bookmarkEnd w:id="510"/>
      <w:bookmarkEnd w:id="511"/>
    </w:p>
    <w:p w:rsidR="00D458D6" w:rsidRPr="00AC4AEA" w:rsidRDefault="00D458D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expondrá la siguiente información en el caso </w:t>
      </w:r>
      <w:r w:rsidR="003D0F0D" w:rsidRPr="00AC4AEA">
        <w:rPr>
          <w:rFonts w:ascii="Arial" w:hAnsi="Arial" w:cs="Arial"/>
          <w:sz w:val="20"/>
          <w:szCs w:val="20"/>
        </w:rPr>
        <w:t>de optar</w:t>
      </w:r>
      <w:r w:rsidRPr="00AC4AEA">
        <w:rPr>
          <w:rFonts w:ascii="Arial" w:hAnsi="Arial" w:cs="Arial"/>
          <w:sz w:val="20"/>
          <w:szCs w:val="20"/>
        </w:rPr>
        <w:t xml:space="preserve"> por el modelo de revaluación:</w:t>
      </w:r>
    </w:p>
    <w:p w:rsidR="00D458D6" w:rsidRPr="00AC4AEA" w:rsidRDefault="0004353A" w:rsidP="00A318EA">
      <w:pPr>
        <w:pStyle w:val="Prrafodelista"/>
        <w:numPr>
          <w:ilvl w:val="1"/>
          <w:numId w:val="13"/>
        </w:numPr>
        <w:ind w:left="1560" w:hanging="567"/>
        <w:contextualSpacing w:val="0"/>
        <w:jc w:val="both"/>
        <w:rPr>
          <w:rFonts w:ascii="Arial" w:hAnsi="Arial" w:cs="Arial"/>
          <w:sz w:val="20"/>
          <w:szCs w:val="20"/>
        </w:rPr>
      </w:pPr>
      <w:r w:rsidRPr="00AC4AEA">
        <w:rPr>
          <w:rFonts w:ascii="Arial" w:hAnsi="Arial" w:cs="Arial"/>
          <w:sz w:val="20"/>
          <w:szCs w:val="20"/>
        </w:rPr>
        <w:t>f</w:t>
      </w:r>
      <w:r w:rsidR="00D458D6" w:rsidRPr="00AC4AEA">
        <w:rPr>
          <w:rFonts w:ascii="Arial" w:hAnsi="Arial" w:cs="Arial"/>
          <w:sz w:val="20"/>
          <w:szCs w:val="20"/>
        </w:rPr>
        <w:t xml:space="preserve">echas </w:t>
      </w:r>
      <w:r w:rsidR="002F3290" w:rsidRPr="00AC4AEA">
        <w:rPr>
          <w:rFonts w:ascii="Arial" w:hAnsi="Arial" w:cs="Arial"/>
          <w:sz w:val="20"/>
          <w:szCs w:val="20"/>
        </w:rPr>
        <w:t xml:space="preserve">en </w:t>
      </w:r>
      <w:r w:rsidR="00D458D6" w:rsidRPr="00AC4AEA">
        <w:rPr>
          <w:rFonts w:ascii="Arial" w:hAnsi="Arial" w:cs="Arial"/>
          <w:sz w:val="20"/>
          <w:szCs w:val="20"/>
        </w:rPr>
        <w:t xml:space="preserve">las cuales </w:t>
      </w:r>
      <w:r w:rsidR="00C10949" w:rsidRPr="00AC4AEA">
        <w:rPr>
          <w:rFonts w:ascii="Arial" w:hAnsi="Arial" w:cs="Arial"/>
          <w:sz w:val="20"/>
          <w:szCs w:val="20"/>
        </w:rPr>
        <w:t>revaluó</w:t>
      </w:r>
      <w:r w:rsidR="00D458D6" w:rsidRPr="00AC4AEA">
        <w:rPr>
          <w:rFonts w:ascii="Arial" w:hAnsi="Arial" w:cs="Arial"/>
          <w:sz w:val="20"/>
          <w:szCs w:val="20"/>
        </w:rPr>
        <w:t xml:space="preserve"> cada una de las clases</w:t>
      </w:r>
      <w:r w:rsidR="00C10949" w:rsidRPr="00AC4AEA">
        <w:rPr>
          <w:rFonts w:ascii="Arial" w:hAnsi="Arial" w:cs="Arial"/>
          <w:sz w:val="20"/>
          <w:szCs w:val="20"/>
        </w:rPr>
        <w:t xml:space="preserve"> de bienes de uso</w:t>
      </w:r>
      <w:r w:rsidR="00D458D6" w:rsidRPr="00AC4AEA">
        <w:rPr>
          <w:rFonts w:ascii="Arial" w:hAnsi="Arial" w:cs="Arial"/>
          <w:sz w:val="20"/>
          <w:szCs w:val="20"/>
        </w:rPr>
        <w:t>;</w:t>
      </w:r>
    </w:p>
    <w:p w:rsidR="00D458D6" w:rsidRPr="00AC4AEA" w:rsidRDefault="0004353A" w:rsidP="00A318EA">
      <w:pPr>
        <w:pStyle w:val="Prrafodelista"/>
        <w:numPr>
          <w:ilvl w:val="1"/>
          <w:numId w:val="13"/>
        </w:numPr>
        <w:ind w:left="1560" w:hanging="567"/>
        <w:contextualSpacing w:val="0"/>
        <w:jc w:val="both"/>
        <w:rPr>
          <w:rFonts w:ascii="Arial" w:hAnsi="Arial" w:cs="Arial"/>
          <w:sz w:val="20"/>
          <w:szCs w:val="20"/>
        </w:rPr>
      </w:pPr>
      <w:r w:rsidRPr="00AC4AEA">
        <w:rPr>
          <w:rFonts w:ascii="Arial" w:hAnsi="Arial" w:cs="Arial"/>
          <w:sz w:val="20"/>
          <w:szCs w:val="20"/>
        </w:rPr>
        <w:t>i</w:t>
      </w:r>
      <w:r w:rsidR="00D458D6" w:rsidRPr="00AC4AEA">
        <w:rPr>
          <w:rFonts w:ascii="Arial" w:hAnsi="Arial" w:cs="Arial"/>
          <w:sz w:val="20"/>
          <w:szCs w:val="20"/>
        </w:rPr>
        <w:t xml:space="preserve">ndicación acerca de si la revaluación se </w:t>
      </w:r>
      <w:r w:rsidR="00596679" w:rsidRPr="00AC4AEA">
        <w:rPr>
          <w:rFonts w:ascii="Arial" w:hAnsi="Arial" w:cs="Arial"/>
          <w:sz w:val="20"/>
          <w:szCs w:val="20"/>
        </w:rPr>
        <w:t>practicó</w:t>
      </w:r>
      <w:r w:rsidR="00D458D6" w:rsidRPr="00AC4AEA">
        <w:rPr>
          <w:rFonts w:ascii="Arial" w:hAnsi="Arial" w:cs="Arial"/>
          <w:sz w:val="20"/>
          <w:szCs w:val="20"/>
        </w:rPr>
        <w:t xml:space="preserve"> con personal propio o los servicios de un tasador o especialista en valuaciones</w:t>
      </w:r>
      <w:r w:rsidR="003D0F0D" w:rsidRPr="00AC4AEA">
        <w:rPr>
          <w:rFonts w:ascii="Arial" w:hAnsi="Arial" w:cs="Arial"/>
          <w:sz w:val="20"/>
          <w:szCs w:val="20"/>
        </w:rPr>
        <w:t>,</w:t>
      </w:r>
      <w:r w:rsidR="00D458D6" w:rsidRPr="00AC4AEA">
        <w:rPr>
          <w:rFonts w:ascii="Arial" w:hAnsi="Arial" w:cs="Arial"/>
          <w:sz w:val="20"/>
          <w:szCs w:val="20"/>
        </w:rPr>
        <w:t xml:space="preserve"> </w:t>
      </w:r>
      <w:r w:rsidR="002F3290" w:rsidRPr="00AC4AEA">
        <w:rPr>
          <w:rFonts w:ascii="Arial" w:hAnsi="Arial" w:cs="Arial"/>
          <w:sz w:val="20"/>
          <w:szCs w:val="20"/>
        </w:rPr>
        <w:t>idóneo</w:t>
      </w:r>
      <w:r w:rsidR="00D458D6" w:rsidRPr="00AC4AEA">
        <w:rPr>
          <w:rFonts w:ascii="Arial" w:hAnsi="Arial" w:cs="Arial"/>
          <w:sz w:val="20"/>
          <w:szCs w:val="20"/>
        </w:rPr>
        <w:t xml:space="preserve"> </w:t>
      </w:r>
      <w:r w:rsidR="002F3290" w:rsidRPr="00AC4AEA">
        <w:rPr>
          <w:rFonts w:ascii="Arial" w:hAnsi="Arial" w:cs="Arial"/>
          <w:sz w:val="20"/>
          <w:szCs w:val="20"/>
        </w:rPr>
        <w:t>e</w:t>
      </w:r>
      <w:r w:rsidR="00D458D6" w:rsidRPr="00AC4AEA">
        <w:rPr>
          <w:rFonts w:ascii="Arial" w:hAnsi="Arial" w:cs="Arial"/>
          <w:sz w:val="20"/>
          <w:szCs w:val="20"/>
        </w:rPr>
        <w:t xml:space="preserve"> </w:t>
      </w:r>
      <w:r w:rsidR="002F3290" w:rsidRPr="00AC4AEA">
        <w:rPr>
          <w:rFonts w:ascii="Arial" w:hAnsi="Arial" w:cs="Arial"/>
          <w:sz w:val="20"/>
          <w:szCs w:val="20"/>
        </w:rPr>
        <w:t xml:space="preserve">independiente </w:t>
      </w:r>
      <w:r w:rsidR="00D458D6" w:rsidRPr="00AC4AEA">
        <w:rPr>
          <w:rFonts w:ascii="Arial" w:hAnsi="Arial" w:cs="Arial"/>
          <w:sz w:val="20"/>
          <w:szCs w:val="20"/>
        </w:rPr>
        <w:t>respecto de la entidad;</w:t>
      </w:r>
    </w:p>
    <w:p w:rsidR="00D458D6" w:rsidRPr="00AC4AEA" w:rsidRDefault="0004353A" w:rsidP="00A318EA">
      <w:pPr>
        <w:pStyle w:val="Prrafodelista"/>
        <w:numPr>
          <w:ilvl w:val="1"/>
          <w:numId w:val="13"/>
        </w:numPr>
        <w:ind w:left="1560" w:hanging="567"/>
        <w:contextualSpacing w:val="0"/>
        <w:jc w:val="both"/>
        <w:rPr>
          <w:rFonts w:ascii="Arial" w:hAnsi="Arial" w:cs="Arial"/>
          <w:sz w:val="20"/>
          <w:szCs w:val="20"/>
        </w:rPr>
      </w:pPr>
      <w:r w:rsidRPr="00AC4AEA">
        <w:rPr>
          <w:rFonts w:ascii="Arial" w:hAnsi="Arial" w:cs="Arial"/>
          <w:sz w:val="20"/>
          <w:szCs w:val="20"/>
        </w:rPr>
        <w:t>d</w:t>
      </w:r>
      <w:r w:rsidR="00D458D6" w:rsidRPr="00AC4AEA">
        <w:rPr>
          <w:rFonts w:ascii="Arial" w:hAnsi="Arial" w:cs="Arial"/>
          <w:sz w:val="20"/>
          <w:szCs w:val="20"/>
        </w:rPr>
        <w:t xml:space="preserve">etalle de los métodos </w:t>
      </w:r>
      <w:r w:rsidR="002F3290" w:rsidRPr="00AC4AEA">
        <w:rPr>
          <w:rFonts w:ascii="Arial" w:hAnsi="Arial" w:cs="Arial"/>
          <w:sz w:val="20"/>
          <w:szCs w:val="20"/>
        </w:rPr>
        <w:t>e</w:t>
      </w:r>
      <w:r w:rsidR="00D458D6" w:rsidRPr="00AC4AEA">
        <w:rPr>
          <w:rFonts w:ascii="Arial" w:hAnsi="Arial" w:cs="Arial"/>
          <w:sz w:val="20"/>
          <w:szCs w:val="20"/>
        </w:rPr>
        <w:t xml:space="preserve"> hipótesis significativas utilizadas en la estimación del </w:t>
      </w:r>
      <w:r w:rsidR="00D458D6" w:rsidRPr="00AC4AEA">
        <w:rPr>
          <w:rFonts w:ascii="Arial" w:hAnsi="Arial" w:cs="Arial"/>
          <w:b/>
          <w:bCs/>
          <w:sz w:val="20"/>
          <w:szCs w:val="20"/>
        </w:rPr>
        <w:t>valor razonable</w:t>
      </w:r>
      <w:r w:rsidR="00D458D6" w:rsidRPr="00AC4AEA">
        <w:rPr>
          <w:rFonts w:ascii="Arial" w:hAnsi="Arial" w:cs="Arial"/>
          <w:sz w:val="20"/>
          <w:szCs w:val="20"/>
        </w:rPr>
        <w:t xml:space="preserve"> de los bienes revaluados;</w:t>
      </w:r>
    </w:p>
    <w:p w:rsidR="00D458D6" w:rsidRPr="00AC4AEA" w:rsidRDefault="0004353A" w:rsidP="00A318EA">
      <w:pPr>
        <w:pStyle w:val="Prrafodelista"/>
        <w:numPr>
          <w:ilvl w:val="1"/>
          <w:numId w:val="13"/>
        </w:numPr>
        <w:ind w:left="1560" w:hanging="567"/>
        <w:contextualSpacing w:val="0"/>
        <w:jc w:val="both"/>
        <w:rPr>
          <w:rFonts w:ascii="Arial" w:hAnsi="Arial" w:cs="Arial"/>
          <w:sz w:val="20"/>
          <w:szCs w:val="20"/>
        </w:rPr>
      </w:pPr>
      <w:r w:rsidRPr="00AC4AEA">
        <w:rPr>
          <w:rFonts w:ascii="Arial" w:hAnsi="Arial" w:cs="Arial"/>
          <w:sz w:val="20"/>
          <w:szCs w:val="20"/>
        </w:rPr>
        <w:t>m</w:t>
      </w:r>
      <w:r w:rsidR="00D458D6" w:rsidRPr="00AC4AEA">
        <w:rPr>
          <w:rFonts w:ascii="Arial" w:hAnsi="Arial" w:cs="Arial"/>
          <w:sz w:val="20"/>
          <w:szCs w:val="20"/>
        </w:rPr>
        <w:t xml:space="preserve">anifestación acerca de </w:t>
      </w:r>
      <w:r w:rsidR="00C10949" w:rsidRPr="00AC4AEA">
        <w:rPr>
          <w:rFonts w:ascii="Arial" w:hAnsi="Arial" w:cs="Arial"/>
          <w:sz w:val="20"/>
          <w:szCs w:val="20"/>
        </w:rPr>
        <w:t xml:space="preserve">las bases utilizadas para determinar el </w:t>
      </w:r>
      <w:r w:rsidR="00C10949" w:rsidRPr="00AC4AEA">
        <w:rPr>
          <w:rFonts w:ascii="Arial" w:hAnsi="Arial" w:cs="Arial"/>
          <w:b/>
          <w:bCs/>
          <w:sz w:val="20"/>
          <w:szCs w:val="20"/>
        </w:rPr>
        <w:t>valor razonable (</w:t>
      </w:r>
      <w:r w:rsidR="00D458D6" w:rsidRPr="00AC4AEA">
        <w:rPr>
          <w:rFonts w:ascii="Arial" w:hAnsi="Arial" w:cs="Arial"/>
          <w:sz w:val="20"/>
          <w:szCs w:val="20"/>
        </w:rPr>
        <w:t xml:space="preserve">precios observables en un </w:t>
      </w:r>
      <w:r w:rsidR="00D458D6" w:rsidRPr="00AC4AEA">
        <w:rPr>
          <w:rFonts w:ascii="Arial" w:hAnsi="Arial" w:cs="Arial"/>
          <w:b/>
          <w:bCs/>
          <w:sz w:val="20"/>
          <w:szCs w:val="20"/>
        </w:rPr>
        <w:t>mercado activo</w:t>
      </w:r>
      <w:r w:rsidR="00C10949" w:rsidRPr="00AC4AEA">
        <w:rPr>
          <w:rFonts w:ascii="Arial" w:hAnsi="Arial" w:cs="Arial"/>
          <w:sz w:val="20"/>
          <w:szCs w:val="20"/>
        </w:rPr>
        <w:t>, transacciones de mercado recientes</w:t>
      </w:r>
      <w:r w:rsidR="00D458D6" w:rsidRPr="00AC4AEA">
        <w:rPr>
          <w:rFonts w:ascii="Arial" w:hAnsi="Arial" w:cs="Arial"/>
          <w:sz w:val="20"/>
          <w:szCs w:val="20"/>
        </w:rPr>
        <w:t xml:space="preserve"> o </w:t>
      </w:r>
      <w:r w:rsidR="00C10949" w:rsidRPr="00AC4AEA">
        <w:rPr>
          <w:rFonts w:ascii="Arial" w:hAnsi="Arial" w:cs="Arial"/>
          <w:sz w:val="20"/>
          <w:szCs w:val="20"/>
        </w:rPr>
        <w:t>técnicas de valuación)</w:t>
      </w:r>
      <w:r w:rsidR="00F20B38" w:rsidRPr="00AC4AEA">
        <w:rPr>
          <w:rFonts w:ascii="Arial" w:hAnsi="Arial" w:cs="Arial"/>
          <w:sz w:val="20"/>
          <w:szCs w:val="20"/>
        </w:rPr>
        <w:t>;</w:t>
      </w:r>
    </w:p>
    <w:p w:rsidR="00D458D6" w:rsidRPr="00AC4AEA" w:rsidRDefault="0004353A" w:rsidP="00A318EA">
      <w:pPr>
        <w:pStyle w:val="Prrafodelista"/>
        <w:numPr>
          <w:ilvl w:val="1"/>
          <w:numId w:val="13"/>
        </w:numPr>
        <w:ind w:left="1560" w:hanging="567"/>
        <w:contextualSpacing w:val="0"/>
        <w:jc w:val="both"/>
        <w:rPr>
          <w:rFonts w:ascii="Arial" w:hAnsi="Arial" w:cs="Arial"/>
          <w:sz w:val="20"/>
          <w:szCs w:val="20"/>
        </w:rPr>
      </w:pPr>
      <w:r w:rsidRPr="00AC4AEA">
        <w:rPr>
          <w:rFonts w:ascii="Arial" w:hAnsi="Arial" w:cs="Arial"/>
          <w:sz w:val="20"/>
          <w:szCs w:val="20"/>
        </w:rPr>
        <w:t>i</w:t>
      </w:r>
      <w:r w:rsidR="002F3290" w:rsidRPr="00AC4AEA">
        <w:rPr>
          <w:rFonts w:ascii="Arial" w:hAnsi="Arial" w:cs="Arial"/>
          <w:sz w:val="20"/>
          <w:szCs w:val="20"/>
        </w:rPr>
        <w:t>mporte que hubiera correspondido informar en el estado de situación</w:t>
      </w:r>
      <w:r w:rsidR="00C10949" w:rsidRPr="00AC4AEA">
        <w:rPr>
          <w:rFonts w:ascii="Arial" w:hAnsi="Arial" w:cs="Arial"/>
          <w:sz w:val="20"/>
          <w:szCs w:val="20"/>
        </w:rPr>
        <w:t xml:space="preserve"> patrimonial para cada clase de bienes de uso revaluada,</w:t>
      </w:r>
      <w:r w:rsidR="002F3290" w:rsidRPr="00AC4AEA">
        <w:rPr>
          <w:rFonts w:ascii="Arial" w:hAnsi="Arial" w:cs="Arial"/>
          <w:sz w:val="20"/>
          <w:szCs w:val="20"/>
        </w:rPr>
        <w:t xml:space="preserve"> si no </w:t>
      </w:r>
      <w:r w:rsidR="0051782B" w:rsidRPr="00AC4AEA">
        <w:rPr>
          <w:rFonts w:ascii="Arial" w:hAnsi="Arial" w:cs="Arial"/>
          <w:sz w:val="20"/>
          <w:szCs w:val="20"/>
        </w:rPr>
        <w:t xml:space="preserve">hubiese </w:t>
      </w:r>
      <w:r w:rsidR="00C10949" w:rsidRPr="00AC4AEA">
        <w:rPr>
          <w:rFonts w:ascii="Arial" w:hAnsi="Arial" w:cs="Arial"/>
          <w:sz w:val="20"/>
          <w:szCs w:val="20"/>
        </w:rPr>
        <w:t xml:space="preserve">revaluado tales </w:t>
      </w:r>
      <w:r w:rsidR="00497590" w:rsidRPr="00AC4AEA">
        <w:rPr>
          <w:rFonts w:ascii="Arial" w:hAnsi="Arial" w:cs="Arial"/>
          <w:sz w:val="20"/>
          <w:szCs w:val="20"/>
        </w:rPr>
        <w:t>activos</w:t>
      </w:r>
      <w:r w:rsidR="00D458D6" w:rsidRPr="00AC4AEA">
        <w:rPr>
          <w:rFonts w:ascii="Arial" w:hAnsi="Arial" w:cs="Arial"/>
          <w:sz w:val="20"/>
          <w:szCs w:val="20"/>
        </w:rPr>
        <w:t>;</w:t>
      </w:r>
    </w:p>
    <w:p w:rsidR="00D458D6" w:rsidRPr="00AC4AEA" w:rsidRDefault="0004353A" w:rsidP="00A318EA">
      <w:pPr>
        <w:pStyle w:val="Prrafodelista"/>
        <w:numPr>
          <w:ilvl w:val="1"/>
          <w:numId w:val="13"/>
        </w:numPr>
        <w:ind w:left="1560" w:hanging="567"/>
        <w:contextualSpacing w:val="0"/>
        <w:jc w:val="both"/>
        <w:rPr>
          <w:rFonts w:ascii="Arial" w:hAnsi="Arial" w:cs="Arial"/>
          <w:sz w:val="20"/>
          <w:szCs w:val="20"/>
        </w:rPr>
      </w:pPr>
      <w:r w:rsidRPr="00AC4AEA">
        <w:rPr>
          <w:rFonts w:ascii="Arial" w:hAnsi="Arial" w:cs="Arial"/>
          <w:sz w:val="20"/>
          <w:szCs w:val="20"/>
        </w:rPr>
        <w:t>m</w:t>
      </w:r>
      <w:r w:rsidR="00D458D6" w:rsidRPr="00AC4AEA">
        <w:rPr>
          <w:rFonts w:ascii="Arial" w:hAnsi="Arial" w:cs="Arial"/>
          <w:sz w:val="20"/>
          <w:szCs w:val="20"/>
        </w:rPr>
        <w:t xml:space="preserve">ovimientos del </w:t>
      </w:r>
      <w:r w:rsidR="00D458D6" w:rsidRPr="00AC4AEA">
        <w:rPr>
          <w:rFonts w:ascii="Arial" w:hAnsi="Arial" w:cs="Arial"/>
          <w:b/>
          <w:bCs/>
          <w:sz w:val="20"/>
          <w:szCs w:val="20"/>
        </w:rPr>
        <w:t>saldo por revaluación</w:t>
      </w:r>
      <w:r w:rsidR="00D458D6" w:rsidRPr="00AC4AEA">
        <w:rPr>
          <w:rFonts w:ascii="Arial" w:hAnsi="Arial" w:cs="Arial"/>
          <w:sz w:val="20"/>
          <w:szCs w:val="20"/>
        </w:rPr>
        <w:t xml:space="preserve"> registrados durante el ejercicio, así como la </w:t>
      </w:r>
      <w:r w:rsidR="00596679" w:rsidRPr="00AC4AEA">
        <w:rPr>
          <w:rFonts w:ascii="Arial" w:hAnsi="Arial" w:cs="Arial"/>
          <w:sz w:val="20"/>
          <w:szCs w:val="20"/>
        </w:rPr>
        <w:t>afirmación</w:t>
      </w:r>
      <w:r w:rsidR="00D458D6" w:rsidRPr="00AC4AEA">
        <w:rPr>
          <w:rFonts w:ascii="Arial" w:hAnsi="Arial" w:cs="Arial"/>
          <w:sz w:val="20"/>
          <w:szCs w:val="20"/>
        </w:rPr>
        <w:t xml:space="preserve"> de que su saldo no es distribuible ni capitalizable mientras permanezca como tal;</w:t>
      </w:r>
    </w:p>
    <w:p w:rsidR="00D458D6" w:rsidRPr="00AC4AEA" w:rsidRDefault="0004353A" w:rsidP="00A318EA">
      <w:pPr>
        <w:pStyle w:val="Prrafodelista"/>
        <w:numPr>
          <w:ilvl w:val="1"/>
          <w:numId w:val="13"/>
        </w:numPr>
        <w:ind w:left="1560" w:hanging="567"/>
        <w:contextualSpacing w:val="0"/>
        <w:jc w:val="both"/>
        <w:rPr>
          <w:rFonts w:ascii="Arial" w:hAnsi="Arial" w:cs="Arial"/>
          <w:sz w:val="20"/>
          <w:szCs w:val="20"/>
        </w:rPr>
      </w:pPr>
      <w:r w:rsidRPr="00AC4AEA">
        <w:rPr>
          <w:rFonts w:ascii="Arial" w:hAnsi="Arial" w:cs="Arial"/>
          <w:sz w:val="20"/>
          <w:szCs w:val="20"/>
        </w:rPr>
        <w:t>p</w:t>
      </w:r>
      <w:r w:rsidR="00D458D6" w:rsidRPr="00AC4AEA">
        <w:rPr>
          <w:rFonts w:ascii="Arial" w:hAnsi="Arial" w:cs="Arial"/>
          <w:sz w:val="20"/>
          <w:szCs w:val="20"/>
        </w:rPr>
        <w:t xml:space="preserve">roporción de vida útil consumida correspondiente a dichos </w:t>
      </w:r>
      <w:r w:rsidR="00497590" w:rsidRPr="00AC4AEA">
        <w:rPr>
          <w:rFonts w:ascii="Arial" w:hAnsi="Arial" w:cs="Arial"/>
          <w:sz w:val="20"/>
          <w:szCs w:val="20"/>
        </w:rPr>
        <w:t>activos</w:t>
      </w:r>
      <w:r w:rsidR="00D458D6" w:rsidRPr="00AC4AEA">
        <w:rPr>
          <w:rFonts w:ascii="Arial" w:hAnsi="Arial" w:cs="Arial"/>
          <w:sz w:val="20"/>
          <w:szCs w:val="20"/>
        </w:rPr>
        <w:t xml:space="preserve"> y el importe que la entidad podría haber transferido a resultados no asignados a la </w:t>
      </w:r>
      <w:r w:rsidR="002F3290"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51782B" w:rsidRPr="00AC4AEA">
        <w:rPr>
          <w:rFonts w:ascii="Arial" w:hAnsi="Arial" w:cs="Arial"/>
          <w:sz w:val="20"/>
          <w:szCs w:val="20"/>
        </w:rPr>
        <w:t xml:space="preserve">, cuando opte por no transferir el </w:t>
      </w:r>
      <w:r w:rsidR="0051782B" w:rsidRPr="00AC4AEA">
        <w:rPr>
          <w:rFonts w:ascii="Arial" w:hAnsi="Arial" w:cs="Arial"/>
          <w:b/>
          <w:bCs/>
          <w:sz w:val="20"/>
          <w:szCs w:val="20"/>
        </w:rPr>
        <w:t>saldo por revaluación</w:t>
      </w:r>
      <w:r w:rsidR="0051782B" w:rsidRPr="00AC4AEA">
        <w:rPr>
          <w:rFonts w:ascii="Arial" w:hAnsi="Arial" w:cs="Arial"/>
          <w:sz w:val="20"/>
          <w:szCs w:val="20"/>
        </w:rPr>
        <w:t xml:space="preserve"> a los resultados no asignados en función al consumo o a la baja de los </w:t>
      </w:r>
      <w:r w:rsidR="00497590" w:rsidRPr="00AC4AEA">
        <w:rPr>
          <w:rFonts w:ascii="Arial" w:hAnsi="Arial" w:cs="Arial"/>
          <w:sz w:val="20"/>
          <w:szCs w:val="20"/>
        </w:rPr>
        <w:t>activos</w:t>
      </w:r>
      <w:r w:rsidR="0051782B" w:rsidRPr="00AC4AEA">
        <w:rPr>
          <w:rFonts w:ascii="Arial" w:hAnsi="Arial" w:cs="Arial"/>
          <w:sz w:val="20"/>
          <w:szCs w:val="20"/>
        </w:rPr>
        <w:t xml:space="preserve"> revaluados</w:t>
      </w:r>
      <w:r w:rsidR="00F56C57" w:rsidRPr="00AC4AEA">
        <w:rPr>
          <w:rFonts w:ascii="Arial" w:hAnsi="Arial" w:cs="Arial"/>
          <w:sz w:val="20"/>
          <w:szCs w:val="20"/>
        </w:rPr>
        <w:t>;</w:t>
      </w:r>
      <w:r w:rsidR="00CE3AFC" w:rsidRPr="00AC4AEA">
        <w:rPr>
          <w:rFonts w:ascii="Arial" w:hAnsi="Arial" w:cs="Arial"/>
          <w:sz w:val="20"/>
          <w:szCs w:val="20"/>
        </w:rPr>
        <w:t xml:space="preserve"> y</w:t>
      </w:r>
    </w:p>
    <w:p w:rsidR="00D458D6" w:rsidRPr="00AC4AEA" w:rsidRDefault="0004353A" w:rsidP="00A318EA">
      <w:pPr>
        <w:pStyle w:val="Prrafodelista"/>
        <w:numPr>
          <w:ilvl w:val="1"/>
          <w:numId w:val="13"/>
        </w:numPr>
        <w:ind w:left="1560" w:hanging="567"/>
        <w:contextualSpacing w:val="0"/>
        <w:jc w:val="both"/>
        <w:rPr>
          <w:rFonts w:ascii="Arial" w:hAnsi="Arial" w:cs="Arial"/>
          <w:sz w:val="20"/>
          <w:szCs w:val="20"/>
        </w:rPr>
      </w:pPr>
      <w:r w:rsidRPr="00AC4AEA">
        <w:rPr>
          <w:rFonts w:ascii="Arial" w:hAnsi="Arial" w:cs="Arial"/>
          <w:sz w:val="20"/>
          <w:szCs w:val="20"/>
        </w:rPr>
        <w:t>f</w:t>
      </w:r>
      <w:r w:rsidR="0051782B" w:rsidRPr="00AC4AEA">
        <w:rPr>
          <w:rFonts w:ascii="Arial" w:hAnsi="Arial" w:cs="Arial"/>
          <w:sz w:val="20"/>
          <w:szCs w:val="20"/>
        </w:rPr>
        <w:t xml:space="preserve">echa de aprobación </w:t>
      </w:r>
      <w:r w:rsidR="00D458D6" w:rsidRPr="00AC4AEA">
        <w:rPr>
          <w:rFonts w:ascii="Arial" w:hAnsi="Arial" w:cs="Arial"/>
          <w:sz w:val="20"/>
          <w:szCs w:val="20"/>
        </w:rPr>
        <w:t xml:space="preserve">por organismos de control, </w:t>
      </w:r>
      <w:r w:rsidR="0051782B" w:rsidRPr="00AC4AEA">
        <w:rPr>
          <w:rFonts w:ascii="Arial" w:hAnsi="Arial" w:cs="Arial"/>
          <w:sz w:val="20"/>
          <w:szCs w:val="20"/>
        </w:rPr>
        <w:t>cuando es requerida por</w:t>
      </w:r>
      <w:r w:rsidR="00D458D6" w:rsidRPr="00AC4AEA">
        <w:rPr>
          <w:rFonts w:ascii="Arial" w:hAnsi="Arial" w:cs="Arial"/>
          <w:sz w:val="20"/>
          <w:szCs w:val="20"/>
        </w:rPr>
        <w:t xml:space="preserve"> regulaciones administrativas o legales</w:t>
      </w:r>
      <w:r w:rsidR="0051782B" w:rsidRPr="00AC4AEA">
        <w:rPr>
          <w:rFonts w:ascii="Arial" w:hAnsi="Arial" w:cs="Arial"/>
          <w:sz w:val="20"/>
          <w:szCs w:val="20"/>
        </w:rPr>
        <w:t>.</w:t>
      </w:r>
    </w:p>
    <w:p w:rsidR="00D458D6" w:rsidRPr="00AC4AEA" w:rsidRDefault="00D458D6" w:rsidP="00A318EA">
      <w:pPr>
        <w:jc w:val="both"/>
        <w:rPr>
          <w:rFonts w:ascii="Arial" w:hAnsi="Arial" w:cs="Arial"/>
          <w:sz w:val="20"/>
          <w:szCs w:val="20"/>
        </w:rPr>
      </w:pPr>
    </w:p>
    <w:p w:rsidR="00371DFB" w:rsidRPr="00AC4AEA" w:rsidRDefault="00371DFB" w:rsidP="00A318EA">
      <w:pPr>
        <w:pStyle w:val="A-Normal11"/>
        <w:jc w:val="both"/>
        <w:outlineLvl w:val="1"/>
        <w:rPr>
          <w:rFonts w:ascii="Arial" w:hAnsi="Arial" w:cs="Arial"/>
          <w:b/>
          <w:bCs/>
          <w:sz w:val="20"/>
        </w:rPr>
      </w:pPr>
      <w:bookmarkStart w:id="512" w:name="_Toc101863872"/>
      <w:bookmarkStart w:id="513" w:name="_Toc139356734"/>
      <w:r w:rsidRPr="00AC4AEA">
        <w:rPr>
          <w:rFonts w:ascii="Arial" w:hAnsi="Arial" w:cs="Arial"/>
          <w:b/>
          <w:bCs/>
          <w:sz w:val="20"/>
        </w:rPr>
        <w:t>Otras normas aplicables</w:t>
      </w:r>
      <w:bookmarkEnd w:id="512"/>
      <w:bookmarkEnd w:id="513"/>
    </w:p>
    <w:p w:rsidR="00371DFB" w:rsidRPr="00AC4AEA" w:rsidRDefault="00371DFB" w:rsidP="00A318EA">
      <w:pPr>
        <w:pStyle w:val="Prrafodelista"/>
        <w:numPr>
          <w:ilvl w:val="0"/>
          <w:numId w:val="29"/>
        </w:numPr>
        <w:contextualSpacing w:val="0"/>
        <w:jc w:val="both"/>
        <w:rPr>
          <w:rFonts w:ascii="Arial" w:hAnsi="Arial" w:cs="Arial"/>
          <w:sz w:val="20"/>
          <w:szCs w:val="20"/>
        </w:rPr>
      </w:pPr>
      <w:bookmarkStart w:id="514" w:name="_Ref99481656"/>
      <w:r w:rsidRPr="00AC4AEA">
        <w:rPr>
          <w:rFonts w:ascii="Arial" w:hAnsi="Arial" w:cs="Arial"/>
          <w:sz w:val="20"/>
          <w:szCs w:val="20"/>
        </w:rPr>
        <w:lastRenderedPageBreak/>
        <w:t xml:space="preserve">Para el tratamiento contable de los componentes de bienes de uso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xml:space="preserve">. Por ejemplo, </w:t>
      </w:r>
      <w:r w:rsidR="00000B6A" w:rsidRPr="00AC4AEA">
        <w:rPr>
          <w:rFonts w:ascii="Arial" w:hAnsi="Arial" w:cs="Arial"/>
          <w:sz w:val="20"/>
          <w:szCs w:val="20"/>
        </w:rPr>
        <w:t xml:space="preserve">y sin ánimo de ser exhaustivos, </w:t>
      </w:r>
      <w:r w:rsidRPr="00AC4AEA">
        <w:rPr>
          <w:rFonts w:ascii="Arial" w:hAnsi="Arial" w:cs="Arial"/>
          <w:sz w:val="20"/>
          <w:szCs w:val="20"/>
        </w:rPr>
        <w:t>las referidas a:</w:t>
      </w:r>
      <w:bookmarkEnd w:id="514"/>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 y “</w:t>
      </w:r>
      <w:r w:rsidRPr="00AC4AEA">
        <w:rPr>
          <w:rFonts w:ascii="Arial" w:hAnsi="Arial" w:cs="Arial"/>
          <w:sz w:val="20"/>
          <w:szCs w:val="20"/>
          <w:u w:val="single"/>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2A009A" w:rsidRPr="00AC4AEA" w:rsidRDefault="002A009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Baja en cuentas</w:t>
      </w:r>
      <w:r w:rsidRPr="00AC4AEA">
        <w:rPr>
          <w:rFonts w:ascii="Arial" w:hAnsi="Arial" w:cs="Arial"/>
          <w:sz w:val="20"/>
          <w:szCs w:val="20"/>
        </w:rPr>
        <w:t xml:space="preserve">” [ver los párrafos </w:t>
      </w:r>
      <w:fldSimple w:instr=" REF _Ref102844986 \r \h  \* MERGEFORMAT ">
        <w:r w:rsidR="00D33A5D" w:rsidRPr="00D33A5D">
          <w:rPr>
            <w:rFonts w:ascii="Arial" w:hAnsi="Arial" w:cs="Arial"/>
            <w:sz w:val="20"/>
            <w:szCs w:val="20"/>
          </w:rPr>
          <w:t>46</w:t>
        </w:r>
      </w:fldSimple>
      <w:r w:rsidRPr="00AC4AEA">
        <w:rPr>
          <w:rFonts w:ascii="Arial" w:hAnsi="Arial" w:cs="Arial"/>
          <w:sz w:val="20"/>
          <w:szCs w:val="20"/>
        </w:rPr>
        <w:t xml:space="preserve"> a</w:t>
      </w:r>
      <w:r w:rsidR="0074720A" w:rsidRPr="00AC4AEA">
        <w:rPr>
          <w:rFonts w:ascii="Arial" w:hAnsi="Arial" w:cs="Arial"/>
          <w:sz w:val="20"/>
          <w:szCs w:val="20"/>
        </w:rPr>
        <w:t xml:space="preserve"> </w:t>
      </w:r>
      <w:fldSimple w:instr=" REF _Ref102845008 \r \h  \* MERGEFORMAT ">
        <w:r w:rsidR="00D33A5D" w:rsidRPr="00D33A5D">
          <w:rPr>
            <w:rFonts w:ascii="Arial" w:hAnsi="Arial" w:cs="Arial"/>
            <w:sz w:val="20"/>
            <w:szCs w:val="20"/>
          </w:rPr>
          <w:t>48</w:t>
        </w:r>
      </w:fldSimple>
      <w:r w:rsidRPr="00AC4AEA">
        <w:rPr>
          <w:rFonts w:ascii="Arial" w:hAnsi="Arial" w:cs="Arial"/>
          <w:sz w:val="20"/>
          <w:szCs w:val="20"/>
        </w:rPr>
        <w:t>].</w:t>
      </w:r>
    </w:p>
    <w:p w:rsidR="00000B6A" w:rsidRPr="00AC4AEA" w:rsidRDefault="00000B6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r w:rsidRPr="00AC4AEA" w:rsidDel="00000B6A">
        <w:rPr>
          <w:rFonts w:ascii="Arial" w:hAnsi="Arial" w:cs="Arial"/>
          <w:sz w:val="20"/>
          <w:szCs w:val="20"/>
        </w:rPr>
        <w:t xml:space="preserve"> </w:t>
      </w:r>
    </w:p>
    <w:p w:rsidR="008F3F5F" w:rsidRPr="00AC4AEA" w:rsidRDefault="008F3F5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Arrendamientos</w:t>
      </w:r>
      <w:r w:rsidRPr="00AC4AEA">
        <w:rPr>
          <w:rFonts w:ascii="Arial" w:hAnsi="Arial" w:cs="Arial"/>
          <w:sz w:val="20"/>
          <w:szCs w:val="20"/>
        </w:rPr>
        <w:t xml:space="preserve">” [ver los párrafos </w:t>
      </w:r>
      <w:fldSimple w:instr=" REF _Ref99481228 \r \h  \* MERGEFORMAT ">
        <w:r w:rsidR="00D33A5D" w:rsidRPr="00D33A5D">
          <w:rPr>
            <w:rFonts w:ascii="Arial" w:hAnsi="Arial" w:cs="Arial"/>
            <w:sz w:val="20"/>
            <w:szCs w:val="20"/>
          </w:rPr>
          <w:t>532</w:t>
        </w:r>
      </w:fldSimple>
      <w:r w:rsidRPr="00AC4AEA">
        <w:rPr>
          <w:rFonts w:ascii="Arial" w:hAnsi="Arial" w:cs="Arial"/>
          <w:sz w:val="20"/>
          <w:szCs w:val="20"/>
        </w:rPr>
        <w:t xml:space="preserve"> a </w:t>
      </w:r>
      <w:r w:rsidR="001C4138">
        <w:rPr>
          <w:rFonts w:ascii="Arial" w:hAnsi="Arial" w:cs="Arial"/>
          <w:sz w:val="20"/>
          <w:szCs w:val="20"/>
        </w:rPr>
        <w:fldChar w:fldCharType="begin"/>
      </w:r>
      <w:r w:rsidR="00343DFA">
        <w:rPr>
          <w:rFonts w:ascii="Arial" w:hAnsi="Arial" w:cs="Arial"/>
          <w:sz w:val="20"/>
          <w:szCs w:val="20"/>
        </w:rPr>
        <w:instrText xml:space="preserve"> REF _Ref138943352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559</w:t>
      </w:r>
      <w:r w:rsidR="001C4138">
        <w:rPr>
          <w:rFonts w:ascii="Arial" w:hAnsi="Arial" w:cs="Arial"/>
          <w:sz w:val="20"/>
          <w:szCs w:val="20"/>
        </w:rPr>
        <w:fldChar w:fldCharType="end"/>
      </w:r>
      <w:r w:rsidRPr="00AC4AEA">
        <w:rPr>
          <w:rFonts w:ascii="Arial" w:hAnsi="Arial" w:cs="Arial"/>
          <w:sz w:val="20"/>
          <w:szCs w:val="20"/>
        </w:rPr>
        <w:t>].</w:t>
      </w:r>
    </w:p>
    <w:p w:rsidR="00AE7883" w:rsidRPr="00AC4AEA" w:rsidRDefault="00AE7883" w:rsidP="00A318EA">
      <w:pPr>
        <w:pStyle w:val="Ttulo1"/>
        <w:rPr>
          <w:rFonts w:cs="Arial"/>
          <w:sz w:val="20"/>
          <w:szCs w:val="20"/>
        </w:rPr>
      </w:pPr>
      <w:bookmarkStart w:id="515" w:name="_Toc101863873"/>
      <w:bookmarkStart w:id="516" w:name="propiedadesINVERSION"/>
    </w:p>
    <w:p w:rsidR="00FD2CCE" w:rsidRPr="002F0F38" w:rsidRDefault="007373D4" w:rsidP="00A318EA">
      <w:pPr>
        <w:pStyle w:val="Ttulo1"/>
        <w:rPr>
          <w:rFonts w:cs="Arial"/>
          <w:sz w:val="20"/>
          <w:szCs w:val="20"/>
        </w:rPr>
      </w:pPr>
      <w:bookmarkStart w:id="517" w:name="_Toc139356735"/>
      <w:r w:rsidRPr="002F0F38">
        <w:rPr>
          <w:rFonts w:cs="Arial"/>
          <w:sz w:val="20"/>
          <w:szCs w:val="20"/>
        </w:rPr>
        <w:t>PROPIEDADES DE INVERSIÓN</w:t>
      </w:r>
      <w:bookmarkEnd w:id="515"/>
      <w:bookmarkEnd w:id="517"/>
    </w:p>
    <w:p w:rsidR="00FD2CCE" w:rsidRPr="00AC4AEA" w:rsidRDefault="00FD2CCE" w:rsidP="00A318EA">
      <w:pPr>
        <w:pStyle w:val="Ttulo2"/>
        <w:rPr>
          <w:rFonts w:cs="Arial"/>
        </w:rPr>
      </w:pPr>
      <w:bookmarkStart w:id="518" w:name="_Toc101863874"/>
      <w:bookmarkStart w:id="519" w:name="_Toc139356736"/>
      <w:bookmarkEnd w:id="516"/>
      <w:r w:rsidRPr="002F0F38">
        <w:rPr>
          <w:rFonts w:cs="Arial"/>
        </w:rPr>
        <w:t>Definici</w:t>
      </w:r>
      <w:r w:rsidR="00DF47B8" w:rsidRPr="002F0F38">
        <w:rPr>
          <w:rFonts w:cs="Arial"/>
        </w:rPr>
        <w:t>ó</w:t>
      </w:r>
      <w:r w:rsidRPr="002F0F38">
        <w:rPr>
          <w:rFonts w:cs="Arial"/>
        </w:rPr>
        <w:t>n</w:t>
      </w:r>
      <w:bookmarkEnd w:id="518"/>
      <w:bookmarkEnd w:id="519"/>
      <w:r w:rsidRPr="00AC4AEA">
        <w:rPr>
          <w:rFonts w:cs="Arial"/>
        </w:rPr>
        <w:t xml:space="preserve"> </w:t>
      </w:r>
    </w:p>
    <w:p w:rsidR="00FD2CCE" w:rsidRPr="00AC4AEA" w:rsidRDefault="00FD2CCE" w:rsidP="00A318EA">
      <w:pPr>
        <w:pStyle w:val="Prrafodelista"/>
        <w:numPr>
          <w:ilvl w:val="0"/>
          <w:numId w:val="29"/>
        </w:numPr>
        <w:contextualSpacing w:val="0"/>
        <w:jc w:val="both"/>
        <w:rPr>
          <w:rFonts w:ascii="Arial" w:hAnsi="Arial" w:cs="Arial"/>
          <w:sz w:val="20"/>
          <w:szCs w:val="20"/>
        </w:rPr>
      </w:pPr>
      <w:bookmarkStart w:id="520" w:name="_Ref75786609"/>
      <w:r w:rsidRPr="00AC4AEA">
        <w:rPr>
          <w:rFonts w:ascii="Arial" w:hAnsi="Arial" w:cs="Arial"/>
          <w:sz w:val="20"/>
          <w:szCs w:val="20"/>
        </w:rPr>
        <w:t xml:space="preserve">A los fines del tratamiento de los </w:t>
      </w:r>
      <w:r w:rsidR="00497590" w:rsidRPr="00AC4AEA">
        <w:rPr>
          <w:rFonts w:ascii="Arial" w:hAnsi="Arial" w:cs="Arial"/>
          <w:sz w:val="20"/>
          <w:szCs w:val="20"/>
        </w:rPr>
        <w:t>activos</w:t>
      </w:r>
      <w:r w:rsidRPr="00AC4AEA">
        <w:rPr>
          <w:rFonts w:ascii="Arial" w:hAnsi="Arial" w:cs="Arial"/>
          <w:sz w:val="20"/>
          <w:szCs w:val="20"/>
        </w:rPr>
        <w:t xml:space="preserve"> referidos en esta sección, una entidad deberá considerar la</w:t>
      </w:r>
      <w:r w:rsidR="008F3F5F" w:rsidRPr="00AC4AEA">
        <w:rPr>
          <w:rFonts w:ascii="Arial" w:hAnsi="Arial" w:cs="Arial"/>
          <w:sz w:val="20"/>
          <w:szCs w:val="20"/>
        </w:rPr>
        <w:t xml:space="preserve"> siguiente</w:t>
      </w:r>
      <w:r w:rsidRPr="00AC4AEA">
        <w:rPr>
          <w:rFonts w:ascii="Arial" w:hAnsi="Arial" w:cs="Arial"/>
          <w:sz w:val="20"/>
          <w:szCs w:val="20"/>
        </w:rPr>
        <w:t xml:space="preserve"> </w:t>
      </w:r>
      <w:r w:rsidR="008F3F5F" w:rsidRPr="00AC4AEA">
        <w:rPr>
          <w:rFonts w:ascii="Arial" w:hAnsi="Arial" w:cs="Arial"/>
          <w:sz w:val="20"/>
          <w:szCs w:val="20"/>
        </w:rPr>
        <w:t>definición</w:t>
      </w:r>
      <w:r w:rsidRPr="00AC4AEA">
        <w:rPr>
          <w:rFonts w:ascii="Arial" w:hAnsi="Arial" w:cs="Arial"/>
          <w:sz w:val="20"/>
          <w:szCs w:val="20"/>
        </w:rPr>
        <w:t>.</w:t>
      </w:r>
      <w:bookmarkEnd w:id="520"/>
    </w:p>
    <w:p w:rsidR="00FD2CCE" w:rsidRPr="00AC4AEA" w:rsidRDefault="00FD2CCE" w:rsidP="00A318EA">
      <w:pPr>
        <w:ind w:left="1416"/>
        <w:jc w:val="both"/>
        <w:rPr>
          <w:rFonts w:ascii="Arial" w:hAnsi="Arial" w:cs="Arial"/>
          <w:sz w:val="20"/>
          <w:szCs w:val="20"/>
        </w:rPr>
      </w:pPr>
      <w:r w:rsidRPr="00AC4AEA">
        <w:rPr>
          <w:rFonts w:ascii="Arial" w:hAnsi="Arial" w:cs="Arial"/>
          <w:sz w:val="20"/>
          <w:szCs w:val="20"/>
          <w:u w:val="single"/>
        </w:rPr>
        <w:t>Propiedades de inversión</w:t>
      </w:r>
      <w:r w:rsidR="003F6F33" w:rsidRPr="00AC4AEA">
        <w:rPr>
          <w:rFonts w:ascii="Arial" w:hAnsi="Arial" w:cs="Arial"/>
          <w:b/>
          <w:bCs/>
          <w:sz w:val="20"/>
          <w:szCs w:val="20"/>
        </w:rPr>
        <w:t>:</w:t>
      </w:r>
      <w:r w:rsidR="003F6F33" w:rsidRPr="00AC4AEA">
        <w:rPr>
          <w:rFonts w:ascii="Arial" w:hAnsi="Arial" w:cs="Arial"/>
          <w:sz w:val="20"/>
          <w:szCs w:val="20"/>
        </w:rPr>
        <w:t xml:space="preserve"> </w:t>
      </w:r>
      <w:r w:rsidRPr="00AC4AEA">
        <w:rPr>
          <w:rFonts w:ascii="Arial" w:hAnsi="Arial" w:cs="Arial"/>
          <w:sz w:val="20"/>
          <w:szCs w:val="20"/>
        </w:rPr>
        <w:t>Son los inmuebles (terrenos y/o construcciones) destinados a obtener renta (locación o arrendamiento) o acrecentamiento de su valor, con independencia de si esa actividad constituye o no alguna de las actividades principales de la entidad.</w:t>
      </w:r>
      <w:r w:rsidR="0083395F" w:rsidRPr="00AC4AEA">
        <w:rPr>
          <w:rFonts w:ascii="Arial" w:hAnsi="Arial" w:cs="Arial"/>
          <w:sz w:val="20"/>
          <w:szCs w:val="20"/>
        </w:rPr>
        <w:t xml:space="preserve"> </w:t>
      </w:r>
    </w:p>
    <w:p w:rsidR="00FD2CCE" w:rsidRPr="00AC4AEA" w:rsidRDefault="00FD2CCE" w:rsidP="00A318EA">
      <w:pPr>
        <w:jc w:val="both"/>
        <w:rPr>
          <w:rFonts w:ascii="Arial" w:hAnsi="Arial" w:cs="Arial"/>
          <w:b/>
          <w:bCs/>
          <w:sz w:val="20"/>
          <w:szCs w:val="20"/>
        </w:rPr>
      </w:pPr>
    </w:p>
    <w:p w:rsidR="00FD2CCE" w:rsidRPr="00AC4AEA" w:rsidRDefault="00FD2CCE" w:rsidP="00A318EA">
      <w:pPr>
        <w:pStyle w:val="Ttulo2"/>
        <w:rPr>
          <w:rFonts w:cs="Arial"/>
        </w:rPr>
      </w:pPr>
      <w:bookmarkStart w:id="521" w:name="_Toc101863875"/>
      <w:bookmarkStart w:id="522" w:name="_Toc139356737"/>
      <w:r w:rsidRPr="00AC4AEA">
        <w:rPr>
          <w:rFonts w:cs="Arial"/>
        </w:rPr>
        <w:t>Reconocimiento</w:t>
      </w:r>
      <w:bookmarkEnd w:id="521"/>
      <w:bookmarkEnd w:id="522"/>
    </w:p>
    <w:p w:rsidR="00FD2CCE" w:rsidRPr="00AC4AEA" w:rsidRDefault="00FD2CCE" w:rsidP="00A318EA">
      <w:pPr>
        <w:pStyle w:val="Prrafodelista"/>
        <w:numPr>
          <w:ilvl w:val="0"/>
          <w:numId w:val="29"/>
        </w:numPr>
        <w:contextualSpacing w:val="0"/>
        <w:jc w:val="both"/>
        <w:rPr>
          <w:rFonts w:ascii="Arial" w:hAnsi="Arial" w:cs="Arial"/>
          <w:sz w:val="20"/>
          <w:szCs w:val="20"/>
        </w:rPr>
      </w:pPr>
      <w:bookmarkStart w:id="523" w:name="_Ref74757867"/>
      <w:r w:rsidRPr="00AC4AEA">
        <w:rPr>
          <w:rFonts w:ascii="Arial" w:hAnsi="Arial" w:cs="Arial"/>
          <w:sz w:val="20"/>
          <w:szCs w:val="20"/>
        </w:rPr>
        <w:t>Una entidad reconocerá un elemento como propiedades de inversión cuando:</w:t>
      </w:r>
      <w:bookmarkEnd w:id="523"/>
      <w:r w:rsidRPr="00AC4AEA">
        <w:rPr>
          <w:rFonts w:ascii="Arial" w:hAnsi="Arial" w:cs="Arial"/>
          <w:sz w:val="20"/>
          <w:szCs w:val="20"/>
        </w:rPr>
        <w:t xml:space="preserve"> </w:t>
      </w:r>
    </w:p>
    <w:p w:rsidR="0089561E" w:rsidRPr="00AC4AEA" w:rsidRDefault="0089561E" w:rsidP="00A318EA">
      <w:pPr>
        <w:pStyle w:val="Prrafodelista"/>
        <w:numPr>
          <w:ilvl w:val="0"/>
          <w:numId w:val="99"/>
        </w:numPr>
        <w:ind w:left="1560"/>
        <w:contextualSpacing w:val="0"/>
        <w:jc w:val="both"/>
        <w:rPr>
          <w:rFonts w:ascii="Arial" w:hAnsi="Arial" w:cs="Arial"/>
          <w:sz w:val="20"/>
          <w:szCs w:val="20"/>
        </w:rPr>
      </w:pPr>
      <w:r w:rsidRPr="00AC4AEA">
        <w:rPr>
          <w:rFonts w:ascii="Arial" w:hAnsi="Arial" w:cs="Arial"/>
          <w:sz w:val="20"/>
          <w:szCs w:val="20"/>
        </w:rPr>
        <w:t xml:space="preserve">cumpla con </w:t>
      </w:r>
      <w:r w:rsidR="007E2A61" w:rsidRPr="00AC4AEA">
        <w:rPr>
          <w:rFonts w:ascii="Arial" w:hAnsi="Arial" w:cs="Arial"/>
          <w:sz w:val="20"/>
          <w:szCs w:val="20"/>
        </w:rPr>
        <w:t>la definición general del párrafo</w:t>
      </w:r>
      <w:r w:rsidRPr="00AC4AEA">
        <w:rPr>
          <w:rFonts w:ascii="Arial" w:hAnsi="Arial" w:cs="Arial"/>
          <w:sz w:val="20"/>
          <w:szCs w:val="20"/>
        </w:rPr>
        <w:t xml:space="preserve"> </w:t>
      </w:r>
      <w:fldSimple w:instr=" REF _Ref74755232 \r \h  \* MERGEFORMAT ">
        <w:r w:rsidR="00D33A5D" w:rsidRPr="00D33A5D">
          <w:rPr>
            <w:rFonts w:ascii="Arial" w:hAnsi="Arial" w:cs="Arial"/>
            <w:sz w:val="20"/>
            <w:szCs w:val="20"/>
          </w:rPr>
          <w:t>22</w:t>
        </w:r>
      </w:fldSimple>
      <w:r w:rsidRPr="00AC4AEA">
        <w:rPr>
          <w:rFonts w:ascii="Arial" w:hAnsi="Arial" w:cs="Arial"/>
          <w:sz w:val="20"/>
          <w:szCs w:val="20"/>
        </w:rPr>
        <w:t xml:space="preserve"> y</w:t>
      </w:r>
      <w:r w:rsidR="007E2A61" w:rsidRPr="00AC4AEA">
        <w:rPr>
          <w:rFonts w:ascii="Arial" w:hAnsi="Arial" w:cs="Arial"/>
          <w:sz w:val="20"/>
          <w:szCs w:val="20"/>
        </w:rPr>
        <w:t xml:space="preserve"> la definición específica contenida en el párrafo</w:t>
      </w:r>
      <w:r w:rsidRPr="00AC4AEA">
        <w:rPr>
          <w:rFonts w:ascii="Arial" w:hAnsi="Arial" w:cs="Arial"/>
          <w:sz w:val="20"/>
          <w:szCs w:val="20"/>
        </w:rPr>
        <w:t xml:space="preserve"> </w:t>
      </w:r>
      <w:fldSimple w:instr=" REF _Ref75786609 \r \h  \* MERGEFORMAT ">
        <w:r w:rsidR="00D33A5D" w:rsidRPr="00D33A5D">
          <w:rPr>
            <w:rFonts w:ascii="Arial" w:hAnsi="Arial" w:cs="Arial"/>
            <w:sz w:val="20"/>
            <w:szCs w:val="20"/>
          </w:rPr>
          <w:t>359</w:t>
        </w:r>
      </w:fldSimple>
      <w:r w:rsidR="002D08D4" w:rsidRPr="00AC4AEA">
        <w:rPr>
          <w:rFonts w:ascii="Arial" w:hAnsi="Arial" w:cs="Arial"/>
          <w:sz w:val="20"/>
          <w:szCs w:val="20"/>
        </w:rPr>
        <w:t>;</w:t>
      </w:r>
    </w:p>
    <w:p w:rsidR="00D14901" w:rsidRPr="00AC4AEA" w:rsidRDefault="00D14901" w:rsidP="00A318EA">
      <w:pPr>
        <w:pStyle w:val="Prrafodelista"/>
        <w:numPr>
          <w:ilvl w:val="0"/>
          <w:numId w:val="99"/>
        </w:numPr>
        <w:ind w:left="1560"/>
        <w:contextualSpacing w:val="0"/>
        <w:jc w:val="both"/>
        <w:rPr>
          <w:rFonts w:ascii="Arial" w:hAnsi="Arial" w:cs="Arial"/>
          <w:sz w:val="20"/>
          <w:szCs w:val="20"/>
        </w:rPr>
      </w:pPr>
      <w:r w:rsidRPr="00AC4AEA">
        <w:rPr>
          <w:rFonts w:ascii="Arial" w:hAnsi="Arial" w:cs="Arial"/>
          <w:sz w:val="20"/>
          <w:szCs w:val="20"/>
        </w:rPr>
        <w:t xml:space="preserve">su medición satisfaga el requisito de </w:t>
      </w:r>
      <w:r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Pr="00AC4AEA">
        <w:rPr>
          <w:rFonts w:ascii="Arial" w:hAnsi="Arial" w:cs="Arial"/>
          <w:sz w:val="20"/>
          <w:szCs w:val="20"/>
        </w:rPr>
        <w:t xml:space="preserve"> y</w:t>
      </w:r>
    </w:p>
    <w:p w:rsidR="00872D55" w:rsidRPr="00AC4AEA" w:rsidRDefault="00872D55" w:rsidP="00A318EA">
      <w:pPr>
        <w:pStyle w:val="Prrafodelista"/>
        <w:numPr>
          <w:ilvl w:val="0"/>
          <w:numId w:val="99"/>
        </w:numPr>
        <w:ind w:left="1560"/>
        <w:contextualSpacing w:val="0"/>
        <w:jc w:val="both"/>
        <w:rPr>
          <w:rFonts w:ascii="Arial" w:hAnsi="Arial" w:cs="Arial"/>
          <w:sz w:val="20"/>
          <w:szCs w:val="20"/>
        </w:rPr>
      </w:pPr>
      <w:r w:rsidRPr="00AC4AEA">
        <w:rPr>
          <w:rFonts w:ascii="Arial" w:hAnsi="Arial" w:cs="Arial"/>
          <w:sz w:val="20"/>
          <w:szCs w:val="20"/>
        </w:rPr>
        <w:t xml:space="preserve">su contribución a los beneficios económicos futuros de la entidad </w:t>
      </w:r>
      <w:r w:rsidR="00B645D7" w:rsidRPr="00AC4AEA">
        <w:rPr>
          <w:rFonts w:ascii="Arial" w:hAnsi="Arial" w:cs="Arial"/>
          <w:sz w:val="20"/>
          <w:szCs w:val="20"/>
        </w:rPr>
        <w:t xml:space="preserve">resulte </w:t>
      </w:r>
      <w:r w:rsidR="00B645D7" w:rsidRPr="00AC4AEA">
        <w:rPr>
          <w:rFonts w:ascii="Arial" w:hAnsi="Arial" w:cs="Arial"/>
          <w:b/>
          <w:bCs/>
          <w:sz w:val="20"/>
          <w:szCs w:val="20"/>
        </w:rPr>
        <w:t>probable</w:t>
      </w:r>
      <w:r w:rsidRPr="00AC4AEA">
        <w:rPr>
          <w:rFonts w:ascii="Arial" w:hAnsi="Arial" w:cs="Arial"/>
          <w:sz w:val="20"/>
          <w:szCs w:val="20"/>
        </w:rPr>
        <w:t xml:space="preserve">. </w:t>
      </w:r>
    </w:p>
    <w:p w:rsidR="00FD2CCE" w:rsidRPr="00AC4AEA" w:rsidRDefault="00FD2CCE" w:rsidP="00A318EA">
      <w:pPr>
        <w:jc w:val="both"/>
        <w:rPr>
          <w:rFonts w:ascii="Arial" w:hAnsi="Arial" w:cs="Arial"/>
          <w:b/>
          <w:bCs/>
          <w:sz w:val="20"/>
          <w:szCs w:val="20"/>
        </w:rPr>
      </w:pPr>
    </w:p>
    <w:p w:rsidR="00FD2CCE" w:rsidRPr="00AC4AEA" w:rsidRDefault="00FD2CCE" w:rsidP="00A318EA">
      <w:pPr>
        <w:pStyle w:val="Ttulo2"/>
        <w:rPr>
          <w:rFonts w:cs="Arial"/>
        </w:rPr>
      </w:pPr>
      <w:bookmarkStart w:id="524" w:name="_Toc101863876"/>
      <w:bookmarkStart w:id="525" w:name="_Toc139356738"/>
      <w:r w:rsidRPr="00AC4AEA">
        <w:rPr>
          <w:rFonts w:cs="Arial"/>
        </w:rPr>
        <w:lastRenderedPageBreak/>
        <w:t>Medición inicial</w:t>
      </w:r>
      <w:bookmarkEnd w:id="524"/>
      <w:bookmarkEnd w:id="525"/>
    </w:p>
    <w:p w:rsidR="00FD2CCE"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medirá, en el momento del reconocimiento, las propiedades de inversión de acuerdo con los criterios indicados a continuación:</w:t>
      </w:r>
    </w:p>
    <w:p w:rsidR="008F3F5F" w:rsidRPr="00AC4AEA" w:rsidRDefault="00B91994" w:rsidP="00A318EA">
      <w:pPr>
        <w:pStyle w:val="A-Normal11"/>
        <w:numPr>
          <w:ilvl w:val="0"/>
          <w:numId w:val="299"/>
        </w:numPr>
        <w:ind w:left="1559" w:hanging="567"/>
        <w:jc w:val="both"/>
        <w:rPr>
          <w:rFonts w:ascii="Arial" w:hAnsi="Arial" w:cs="Arial"/>
          <w:sz w:val="20"/>
        </w:rPr>
      </w:pPr>
      <w:r w:rsidRPr="00AC4AEA">
        <w:rPr>
          <w:rFonts w:ascii="Arial" w:hAnsi="Arial" w:cs="Arial"/>
          <w:sz w:val="20"/>
        </w:rPr>
        <w:t>Propiedades de inversión</w:t>
      </w:r>
      <w:r w:rsidR="006368CB" w:rsidRPr="00AC4AEA">
        <w:rPr>
          <w:rFonts w:ascii="Arial" w:hAnsi="Arial" w:cs="Arial"/>
          <w:sz w:val="20"/>
        </w:rPr>
        <w:t xml:space="preserve"> adquirid</w:t>
      </w:r>
      <w:r w:rsidRPr="00AC4AEA">
        <w:rPr>
          <w:rFonts w:ascii="Arial" w:hAnsi="Arial" w:cs="Arial"/>
          <w:sz w:val="20"/>
        </w:rPr>
        <w:t>a</w:t>
      </w:r>
      <w:r w:rsidR="006368CB" w:rsidRPr="00AC4AEA">
        <w:rPr>
          <w:rFonts w:ascii="Arial" w:hAnsi="Arial" w:cs="Arial"/>
          <w:sz w:val="20"/>
        </w:rPr>
        <w:t xml:space="preserve">s: sobre la base de su </w:t>
      </w:r>
      <w:r w:rsidR="006368CB" w:rsidRPr="00AC4AEA">
        <w:rPr>
          <w:rFonts w:ascii="Arial" w:hAnsi="Arial" w:cs="Arial"/>
          <w:b/>
          <w:bCs/>
          <w:sz w:val="20"/>
        </w:rPr>
        <w:t>costo de adquisición</w:t>
      </w:r>
      <w:r w:rsidR="006368CB" w:rsidRPr="00AC4AEA">
        <w:rPr>
          <w:rFonts w:ascii="Arial" w:hAnsi="Arial" w:cs="Arial"/>
          <w:sz w:val="20"/>
        </w:rPr>
        <w:t>, determinado según lo establecido en “</w:t>
      </w:r>
      <w:r w:rsidR="006368CB" w:rsidRPr="00AC4AEA">
        <w:rPr>
          <w:rFonts w:ascii="Arial" w:hAnsi="Arial" w:cs="Arial"/>
          <w:sz w:val="20"/>
          <w:u w:val="single"/>
        </w:rPr>
        <w:t>Medición de costos de adquisición</w:t>
      </w:r>
      <w:r w:rsidR="006368CB" w:rsidRPr="00AC4AEA">
        <w:rPr>
          <w:rFonts w:ascii="Arial" w:hAnsi="Arial" w:cs="Arial"/>
          <w:sz w:val="20"/>
        </w:rPr>
        <w:t>”</w:t>
      </w:r>
      <w:r w:rsidR="008F3F5F" w:rsidRPr="00AC4AEA">
        <w:rPr>
          <w:rFonts w:ascii="Arial" w:hAnsi="Arial" w:cs="Arial"/>
          <w:bCs/>
          <w:sz w:val="20"/>
        </w:rPr>
        <w:t xml:space="preserve"> </w:t>
      </w:r>
      <w:r w:rsidR="008F3F5F" w:rsidRPr="00AC4AEA">
        <w:rPr>
          <w:rFonts w:ascii="Arial" w:hAnsi="Arial" w:cs="Arial"/>
          <w:sz w:val="20"/>
        </w:rPr>
        <w:t>[</w:t>
      </w:r>
      <w:r w:rsidR="006C0F33" w:rsidRPr="00AC4AEA">
        <w:rPr>
          <w:rFonts w:ascii="Arial" w:hAnsi="Arial" w:cs="Arial"/>
          <w:sz w:val="20"/>
        </w:rPr>
        <w:t xml:space="preserve">ver </w:t>
      </w:r>
      <w:r w:rsidR="006C0F33">
        <w:rPr>
          <w:rFonts w:ascii="Arial" w:hAnsi="Arial" w:cs="Arial"/>
          <w:sz w:val="20"/>
        </w:rPr>
        <w:t xml:space="preserve">el párrafo </w:t>
      </w:r>
      <w:fldSimple w:instr=" REF _Ref99478351 \r \h  \* MERGEFORMAT ">
        <w:r w:rsidR="00D33A5D" w:rsidRPr="00D33A5D">
          <w:rPr>
            <w:rFonts w:ascii="Arial" w:hAnsi="Arial" w:cs="Arial"/>
            <w:sz w:val="20"/>
          </w:rPr>
          <w:t>103</w:t>
        </w:r>
      </w:fldSimple>
      <w:r w:rsidR="008F3F5F" w:rsidRPr="00AC4AEA">
        <w:rPr>
          <w:rFonts w:ascii="Arial" w:hAnsi="Arial" w:cs="Arial"/>
          <w:sz w:val="20"/>
        </w:rPr>
        <w:t>]</w:t>
      </w:r>
      <w:r w:rsidR="008F3F5F" w:rsidRPr="00AC4AEA">
        <w:rPr>
          <w:rFonts w:ascii="Arial" w:hAnsi="Arial" w:cs="Arial"/>
          <w:bCs/>
          <w:sz w:val="20"/>
        </w:rPr>
        <w:t>.</w:t>
      </w:r>
    </w:p>
    <w:p w:rsidR="008F3F5F" w:rsidRPr="00AC4AEA" w:rsidRDefault="00B91994" w:rsidP="00A318EA">
      <w:pPr>
        <w:pStyle w:val="A-Normal11"/>
        <w:numPr>
          <w:ilvl w:val="0"/>
          <w:numId w:val="299"/>
        </w:numPr>
        <w:ind w:left="1559" w:hanging="567"/>
        <w:jc w:val="both"/>
        <w:rPr>
          <w:rFonts w:ascii="Arial" w:hAnsi="Arial" w:cs="Arial"/>
          <w:sz w:val="20"/>
        </w:rPr>
      </w:pPr>
      <w:r w:rsidRPr="00AC4AEA">
        <w:rPr>
          <w:rFonts w:ascii="Arial" w:hAnsi="Arial" w:cs="Arial"/>
          <w:sz w:val="20"/>
        </w:rPr>
        <w:t>Propiedades de inversión</w:t>
      </w:r>
      <w:r w:rsidR="008F3F5F" w:rsidRPr="00AC4AEA">
        <w:rPr>
          <w:rFonts w:ascii="Arial" w:hAnsi="Arial" w:cs="Arial"/>
          <w:sz w:val="20"/>
        </w:rPr>
        <w:t xml:space="preserve"> producid</w:t>
      </w:r>
      <w:r w:rsidRPr="00AC4AEA">
        <w:rPr>
          <w:rFonts w:ascii="Arial" w:hAnsi="Arial" w:cs="Arial"/>
          <w:sz w:val="20"/>
        </w:rPr>
        <w:t>a</w:t>
      </w:r>
      <w:r w:rsidR="008F3F5F" w:rsidRPr="00AC4AEA">
        <w:rPr>
          <w:rFonts w:ascii="Arial" w:hAnsi="Arial" w:cs="Arial"/>
          <w:sz w:val="20"/>
        </w:rPr>
        <w:t>s o construid</w:t>
      </w:r>
      <w:r w:rsidRPr="00AC4AEA">
        <w:rPr>
          <w:rFonts w:ascii="Arial" w:hAnsi="Arial" w:cs="Arial"/>
          <w:sz w:val="20"/>
        </w:rPr>
        <w:t>a</w:t>
      </w:r>
      <w:r w:rsidR="008F3F5F" w:rsidRPr="00AC4AEA">
        <w:rPr>
          <w:rFonts w:ascii="Arial" w:hAnsi="Arial" w:cs="Arial"/>
          <w:sz w:val="20"/>
        </w:rPr>
        <w:t xml:space="preserve">s: en función del </w:t>
      </w:r>
      <w:r w:rsidR="008F3F5F" w:rsidRPr="00AC4AEA">
        <w:rPr>
          <w:rFonts w:ascii="Arial" w:hAnsi="Arial" w:cs="Arial"/>
          <w:b/>
          <w:sz w:val="20"/>
        </w:rPr>
        <w:t xml:space="preserve">costo de producción </w:t>
      </w:r>
      <w:r w:rsidR="008F3F5F" w:rsidRPr="00AC4AEA">
        <w:rPr>
          <w:rFonts w:ascii="Arial" w:hAnsi="Arial" w:cs="Arial"/>
          <w:bCs/>
          <w:sz w:val="20"/>
        </w:rPr>
        <w:t>o</w:t>
      </w:r>
      <w:r w:rsidRPr="00AC4AEA">
        <w:rPr>
          <w:rFonts w:ascii="Arial" w:hAnsi="Arial" w:cs="Arial"/>
          <w:bCs/>
          <w:sz w:val="20"/>
        </w:rPr>
        <w:t xml:space="preserve"> del </w:t>
      </w:r>
      <w:r w:rsidRPr="00AC4AEA">
        <w:rPr>
          <w:rFonts w:ascii="Arial" w:hAnsi="Arial" w:cs="Arial"/>
          <w:b/>
          <w:sz w:val="20"/>
        </w:rPr>
        <w:t>costo de</w:t>
      </w:r>
      <w:r w:rsidR="008F3F5F" w:rsidRPr="00AC4AEA">
        <w:rPr>
          <w:rFonts w:ascii="Arial" w:hAnsi="Arial" w:cs="Arial"/>
          <w:b/>
          <w:sz w:val="20"/>
        </w:rPr>
        <w:t xml:space="preserve"> construcción</w:t>
      </w:r>
      <w:r w:rsidR="008F3F5F" w:rsidRPr="00AC4AEA">
        <w:rPr>
          <w:rFonts w:ascii="Arial" w:hAnsi="Arial" w:cs="Arial"/>
          <w:sz w:val="20"/>
        </w:rPr>
        <w:t xml:space="preserve">, determinado según lo establecido en el apartado </w:t>
      </w:r>
      <w:r w:rsidR="008F3F5F" w:rsidRPr="00AC4AEA">
        <w:rPr>
          <w:rFonts w:ascii="Arial" w:hAnsi="Arial" w:cs="Arial"/>
          <w:bCs/>
          <w:sz w:val="20"/>
        </w:rPr>
        <w:t>“</w:t>
      </w:r>
      <w:r w:rsidR="008F3F5F" w:rsidRPr="00AC4AEA">
        <w:rPr>
          <w:rFonts w:ascii="Arial" w:hAnsi="Arial" w:cs="Arial"/>
          <w:bCs/>
          <w:sz w:val="20"/>
          <w:u w:val="single"/>
        </w:rPr>
        <w:t>Medición de</w:t>
      </w:r>
      <w:r w:rsidR="007C14B3" w:rsidRPr="00AC4AEA">
        <w:rPr>
          <w:rFonts w:ascii="Arial" w:hAnsi="Arial" w:cs="Arial"/>
          <w:bCs/>
          <w:sz w:val="20"/>
          <w:u w:val="single"/>
        </w:rPr>
        <w:t>l</w:t>
      </w:r>
      <w:r w:rsidR="008F3F5F" w:rsidRPr="00AC4AEA">
        <w:rPr>
          <w:rFonts w:ascii="Arial" w:hAnsi="Arial" w:cs="Arial"/>
          <w:bCs/>
          <w:sz w:val="20"/>
          <w:u w:val="single"/>
        </w:rPr>
        <w:t xml:space="preserve"> costo de producción o</w:t>
      </w:r>
      <w:r w:rsidR="007C14B3" w:rsidRPr="00AC4AEA">
        <w:rPr>
          <w:rFonts w:ascii="Arial" w:hAnsi="Arial" w:cs="Arial"/>
          <w:bCs/>
          <w:sz w:val="20"/>
          <w:u w:val="single"/>
        </w:rPr>
        <w:t xml:space="preserve"> del costo de</w:t>
      </w:r>
      <w:r w:rsidR="008F3F5F" w:rsidRPr="00AC4AEA">
        <w:rPr>
          <w:rFonts w:ascii="Arial" w:hAnsi="Arial" w:cs="Arial"/>
          <w:bCs/>
          <w:sz w:val="20"/>
          <w:u w:val="single"/>
        </w:rPr>
        <w:t xml:space="preserve"> construcción</w:t>
      </w:r>
      <w:r w:rsidR="008F3F5F" w:rsidRPr="00AC4AEA">
        <w:rPr>
          <w:rFonts w:ascii="Arial" w:hAnsi="Arial" w:cs="Arial"/>
          <w:bCs/>
          <w:sz w:val="20"/>
        </w:rPr>
        <w:t xml:space="preserve">” </w:t>
      </w:r>
      <w:r w:rsidR="008F3F5F" w:rsidRPr="00AC4AEA">
        <w:rPr>
          <w:rFonts w:ascii="Arial" w:hAnsi="Arial" w:cs="Arial"/>
          <w:sz w:val="20"/>
        </w:rPr>
        <w:t xml:space="preserve">[ver los párrafos </w:t>
      </w:r>
      <w:fldSimple w:instr=" REF _Ref99478357 \r \h  \* MERGEFORMAT ">
        <w:r w:rsidR="00D33A5D" w:rsidRPr="00D33A5D">
          <w:rPr>
            <w:rFonts w:ascii="Arial" w:hAnsi="Arial" w:cs="Arial"/>
            <w:sz w:val="20"/>
          </w:rPr>
          <w:t>104</w:t>
        </w:r>
      </w:fldSimple>
      <w:r w:rsidR="008F3F5F" w:rsidRPr="00AC4AEA">
        <w:rPr>
          <w:rFonts w:ascii="Arial" w:hAnsi="Arial" w:cs="Arial"/>
          <w:sz w:val="20"/>
        </w:rPr>
        <w:t xml:space="preserve"> a </w:t>
      </w:r>
      <w:fldSimple w:instr=" REF _Ref99459944 \r \h  \* MERGEFORMAT ">
        <w:r w:rsidR="00D33A5D" w:rsidRPr="00D33A5D">
          <w:rPr>
            <w:rFonts w:ascii="Arial" w:hAnsi="Arial" w:cs="Arial"/>
            <w:sz w:val="20"/>
          </w:rPr>
          <w:t>110</w:t>
        </w:r>
      </w:fldSimple>
      <w:r w:rsidR="008F3F5F" w:rsidRPr="00AC4AEA">
        <w:rPr>
          <w:rFonts w:ascii="Arial" w:hAnsi="Arial" w:cs="Arial"/>
          <w:sz w:val="20"/>
        </w:rPr>
        <w:t>]</w:t>
      </w:r>
      <w:r w:rsidR="008F3F5F" w:rsidRPr="00AC4AEA">
        <w:rPr>
          <w:rFonts w:ascii="Arial" w:hAnsi="Arial" w:cs="Arial"/>
          <w:bCs/>
          <w:sz w:val="20"/>
        </w:rPr>
        <w:t>.</w:t>
      </w:r>
    </w:p>
    <w:p w:rsidR="00475A50" w:rsidRPr="00AC4AEA" w:rsidRDefault="00475A50" w:rsidP="00A318EA">
      <w:pPr>
        <w:pStyle w:val="A-Normal11"/>
        <w:numPr>
          <w:ilvl w:val="0"/>
          <w:numId w:val="299"/>
        </w:numPr>
        <w:ind w:left="1560" w:hanging="502"/>
        <w:jc w:val="both"/>
        <w:rPr>
          <w:rFonts w:ascii="Arial" w:hAnsi="Arial" w:cs="Arial"/>
          <w:sz w:val="20"/>
        </w:rPr>
      </w:pPr>
      <w:r w:rsidRPr="00AC4AEA">
        <w:rPr>
          <w:rFonts w:ascii="Arial" w:hAnsi="Arial" w:cs="Arial"/>
          <w:sz w:val="20"/>
        </w:rPr>
        <w:t xml:space="preserve">Propiedades de inversión recibidas mediante aportes o donaciones: de acuerdo con lo establecido en el </w:t>
      </w:r>
      <w:r w:rsidR="00604A9A" w:rsidRPr="00AC4AEA">
        <w:rPr>
          <w:rFonts w:ascii="Arial" w:hAnsi="Arial" w:cs="Arial"/>
          <w:sz w:val="20"/>
        </w:rPr>
        <w:t xml:space="preserve">inciso c) del </w:t>
      </w:r>
      <w:r w:rsidRPr="00AC4AEA">
        <w:rPr>
          <w:rFonts w:ascii="Arial" w:hAnsi="Arial" w:cs="Arial"/>
          <w:sz w:val="20"/>
        </w:rPr>
        <w:t xml:space="preserve">párrafo </w:t>
      </w:r>
      <w:fldSimple w:instr=" REF _Ref81056357 \r \h  \* MERGEFORMAT ">
        <w:r w:rsidR="00D33A5D" w:rsidRPr="00D33A5D">
          <w:rPr>
            <w:rFonts w:ascii="Arial" w:hAnsi="Arial" w:cs="Arial"/>
            <w:sz w:val="20"/>
          </w:rPr>
          <w:t>204</w:t>
        </w:r>
      </w:fldSimple>
      <w:r w:rsidRPr="00AC4AEA">
        <w:rPr>
          <w:rFonts w:ascii="Arial" w:hAnsi="Arial" w:cs="Arial"/>
          <w:sz w:val="20"/>
        </w:rPr>
        <w:t>.</w:t>
      </w:r>
    </w:p>
    <w:p w:rsidR="00475A50" w:rsidRPr="00AC4AEA" w:rsidRDefault="00475A50" w:rsidP="00A318EA">
      <w:pPr>
        <w:pStyle w:val="A-Normal11"/>
        <w:numPr>
          <w:ilvl w:val="0"/>
          <w:numId w:val="299"/>
        </w:numPr>
        <w:ind w:left="1560" w:hanging="502"/>
        <w:jc w:val="both"/>
        <w:rPr>
          <w:rFonts w:ascii="Arial" w:hAnsi="Arial" w:cs="Arial"/>
          <w:sz w:val="20"/>
        </w:rPr>
      </w:pPr>
      <w:r w:rsidRPr="00AC4AEA">
        <w:rPr>
          <w:rFonts w:ascii="Arial" w:hAnsi="Arial" w:cs="Arial"/>
          <w:sz w:val="20"/>
        </w:rPr>
        <w:t xml:space="preserve">Propiedades de inversión recibidas mediante trueques o canjes: de acuerdo con lo establecido </w:t>
      </w:r>
      <w:r w:rsidR="009168EB" w:rsidRPr="00AC4AEA">
        <w:rPr>
          <w:rFonts w:ascii="Arial" w:hAnsi="Arial" w:cs="Arial"/>
          <w:sz w:val="20"/>
        </w:rPr>
        <w:t>en el inciso d) del</w:t>
      </w:r>
      <w:r w:rsidRPr="00AC4AEA">
        <w:rPr>
          <w:rFonts w:ascii="Arial" w:hAnsi="Arial" w:cs="Arial"/>
          <w:sz w:val="20"/>
        </w:rPr>
        <w:t xml:space="preserve"> párrafo </w:t>
      </w:r>
      <w:fldSimple w:instr=" REF _Ref81056357 \r \h  \* MERGEFORMAT ">
        <w:r w:rsidR="00D33A5D" w:rsidRPr="00D33A5D">
          <w:rPr>
            <w:rFonts w:ascii="Arial" w:hAnsi="Arial" w:cs="Arial"/>
            <w:sz w:val="20"/>
          </w:rPr>
          <w:t>204</w:t>
        </w:r>
      </w:fldSimple>
      <w:r w:rsidRPr="00AC4AEA">
        <w:rPr>
          <w:rFonts w:ascii="Arial" w:hAnsi="Arial" w:cs="Arial"/>
          <w:sz w:val="20"/>
        </w:rPr>
        <w:t>.</w:t>
      </w:r>
    </w:p>
    <w:p w:rsidR="00FD2CCE" w:rsidRPr="00AC4AEA" w:rsidRDefault="00FD2CCE" w:rsidP="00A318EA">
      <w:pPr>
        <w:pStyle w:val="Prrafodelista"/>
        <w:ind w:left="1560"/>
        <w:contextualSpacing w:val="0"/>
        <w:jc w:val="both"/>
        <w:rPr>
          <w:rFonts w:ascii="Arial" w:hAnsi="Arial" w:cs="Arial"/>
          <w:b/>
          <w:bCs/>
          <w:sz w:val="20"/>
          <w:szCs w:val="20"/>
        </w:rPr>
      </w:pPr>
    </w:p>
    <w:p w:rsidR="00FD2CCE" w:rsidRPr="00AC4AEA" w:rsidRDefault="00FD2CCE" w:rsidP="00A318EA">
      <w:pPr>
        <w:pStyle w:val="Ttulo2"/>
        <w:rPr>
          <w:rFonts w:cs="Arial"/>
        </w:rPr>
      </w:pPr>
      <w:bookmarkStart w:id="526" w:name="_Toc101863877"/>
      <w:bookmarkStart w:id="527" w:name="_Toc139356739"/>
      <w:r w:rsidRPr="00AC4AEA">
        <w:rPr>
          <w:rFonts w:cs="Arial"/>
        </w:rPr>
        <w:t>Medición posterior</w:t>
      </w:r>
      <w:bookmarkEnd w:id="526"/>
      <w:bookmarkEnd w:id="527"/>
      <w:r w:rsidRPr="00AC4AEA">
        <w:rPr>
          <w:rFonts w:cs="Arial"/>
        </w:rPr>
        <w:t xml:space="preserve"> </w:t>
      </w:r>
    </w:p>
    <w:p w:rsidR="00FD2CCE" w:rsidRPr="00AC4AEA" w:rsidRDefault="00FD2CCE" w:rsidP="00A318EA">
      <w:pPr>
        <w:pStyle w:val="Prrafodelista"/>
        <w:numPr>
          <w:ilvl w:val="0"/>
          <w:numId w:val="29"/>
        </w:numPr>
        <w:contextualSpacing w:val="0"/>
        <w:jc w:val="both"/>
        <w:rPr>
          <w:rFonts w:ascii="Arial" w:hAnsi="Arial" w:cs="Arial"/>
          <w:sz w:val="20"/>
          <w:szCs w:val="20"/>
        </w:rPr>
      </w:pPr>
      <w:bookmarkStart w:id="528" w:name="_Ref75787064"/>
      <w:r w:rsidRPr="00AC4AEA">
        <w:rPr>
          <w:rFonts w:ascii="Arial" w:hAnsi="Arial" w:cs="Arial"/>
          <w:sz w:val="20"/>
          <w:szCs w:val="20"/>
        </w:rPr>
        <w:t>Una entidad medirá sus propiedades de inversión de acuerdo con alguno de los siguientes criterios:</w:t>
      </w:r>
      <w:bookmarkEnd w:id="528"/>
      <w:r w:rsidRPr="00AC4AEA">
        <w:rPr>
          <w:rFonts w:ascii="Arial" w:hAnsi="Arial" w:cs="Arial"/>
          <w:sz w:val="20"/>
          <w:szCs w:val="20"/>
        </w:rPr>
        <w:t xml:space="preserve"> </w:t>
      </w:r>
    </w:p>
    <w:p w:rsidR="00FD2CCE" w:rsidRPr="00AC4AEA" w:rsidRDefault="00456116" w:rsidP="00A318EA">
      <w:pPr>
        <w:pStyle w:val="Prrafodelista"/>
        <w:numPr>
          <w:ilvl w:val="0"/>
          <w:numId w:val="100"/>
        </w:numPr>
        <w:ind w:left="1560"/>
        <w:contextualSpacing w:val="0"/>
        <w:jc w:val="both"/>
        <w:rPr>
          <w:rFonts w:ascii="Arial" w:hAnsi="Arial" w:cs="Arial"/>
          <w:sz w:val="20"/>
          <w:szCs w:val="20"/>
        </w:rPr>
      </w:pPr>
      <w:r w:rsidRPr="00AC4AEA">
        <w:rPr>
          <w:rFonts w:ascii="Arial" w:hAnsi="Arial" w:cs="Arial"/>
          <w:sz w:val="20"/>
          <w:szCs w:val="20"/>
        </w:rPr>
        <w:t>a</w:t>
      </w:r>
      <w:r w:rsidR="00FD2CCE" w:rsidRPr="00AC4AEA">
        <w:rPr>
          <w:rFonts w:ascii="Arial" w:hAnsi="Arial" w:cs="Arial"/>
          <w:sz w:val="20"/>
          <w:szCs w:val="20"/>
        </w:rPr>
        <w:t>l costo menos su depreciación acumulada</w:t>
      </w:r>
      <w:r w:rsidR="000177F1" w:rsidRPr="00AC4AEA">
        <w:rPr>
          <w:rFonts w:ascii="Arial" w:hAnsi="Arial" w:cs="Arial"/>
          <w:sz w:val="20"/>
          <w:szCs w:val="20"/>
        </w:rPr>
        <w:t xml:space="preserve"> (modelo de costo)</w:t>
      </w:r>
      <w:r w:rsidRPr="00AC4AEA">
        <w:rPr>
          <w:rFonts w:ascii="Arial" w:hAnsi="Arial" w:cs="Arial"/>
          <w:sz w:val="20"/>
          <w:szCs w:val="20"/>
        </w:rPr>
        <w:t>;</w:t>
      </w:r>
      <w:r w:rsidR="00FD2CCE" w:rsidRPr="00AC4AEA">
        <w:rPr>
          <w:rFonts w:ascii="Arial" w:hAnsi="Arial" w:cs="Arial"/>
          <w:sz w:val="20"/>
          <w:szCs w:val="20"/>
        </w:rPr>
        <w:t xml:space="preserve"> o</w:t>
      </w:r>
    </w:p>
    <w:p w:rsidR="00FD2CCE" w:rsidRPr="00AC4AEA" w:rsidRDefault="00456116" w:rsidP="00A318EA">
      <w:pPr>
        <w:pStyle w:val="Prrafodelista"/>
        <w:numPr>
          <w:ilvl w:val="0"/>
          <w:numId w:val="100"/>
        </w:numPr>
        <w:ind w:left="1560"/>
        <w:contextualSpacing w:val="0"/>
        <w:jc w:val="both"/>
        <w:rPr>
          <w:rFonts w:ascii="Arial" w:hAnsi="Arial" w:cs="Arial"/>
          <w:sz w:val="20"/>
          <w:szCs w:val="20"/>
        </w:rPr>
      </w:pPr>
      <w:r w:rsidRPr="00AC4AEA">
        <w:rPr>
          <w:rFonts w:ascii="Arial" w:hAnsi="Arial" w:cs="Arial"/>
          <w:sz w:val="20"/>
          <w:szCs w:val="20"/>
        </w:rPr>
        <w:t>a</w:t>
      </w:r>
      <w:r w:rsidR="00FD2CCE" w:rsidRPr="00AC4AEA">
        <w:rPr>
          <w:rFonts w:ascii="Arial" w:hAnsi="Arial" w:cs="Arial"/>
          <w:sz w:val="20"/>
          <w:szCs w:val="20"/>
        </w:rPr>
        <w:t xml:space="preserve"> su </w:t>
      </w:r>
      <w:r w:rsidR="00C10949" w:rsidRPr="00AC4AEA">
        <w:rPr>
          <w:rFonts w:ascii="Arial" w:hAnsi="Arial" w:cs="Arial"/>
          <w:b/>
          <w:bCs/>
          <w:sz w:val="20"/>
          <w:szCs w:val="20"/>
        </w:rPr>
        <w:t xml:space="preserve">valor </w:t>
      </w:r>
      <w:r w:rsidR="00791B80" w:rsidRPr="00AC4AEA">
        <w:rPr>
          <w:rFonts w:ascii="Arial" w:hAnsi="Arial" w:cs="Arial"/>
          <w:b/>
          <w:bCs/>
          <w:sz w:val="20"/>
          <w:szCs w:val="20"/>
        </w:rPr>
        <w:t>razonable</w:t>
      </w:r>
      <w:r w:rsidR="000177F1" w:rsidRPr="00AC4AEA">
        <w:rPr>
          <w:rFonts w:ascii="Arial" w:hAnsi="Arial" w:cs="Arial"/>
          <w:b/>
          <w:bCs/>
          <w:sz w:val="20"/>
          <w:szCs w:val="20"/>
        </w:rPr>
        <w:t xml:space="preserve"> </w:t>
      </w:r>
      <w:r w:rsidR="000177F1" w:rsidRPr="00AC4AEA">
        <w:rPr>
          <w:rFonts w:ascii="Arial" w:hAnsi="Arial" w:cs="Arial"/>
          <w:sz w:val="20"/>
          <w:szCs w:val="20"/>
        </w:rPr>
        <w:t>(modelo de valor razonable)</w:t>
      </w:r>
      <w:r w:rsidR="00FD2CCE" w:rsidRPr="00AC4AEA">
        <w:rPr>
          <w:rFonts w:ascii="Arial" w:hAnsi="Arial" w:cs="Arial"/>
          <w:sz w:val="20"/>
          <w:szCs w:val="20"/>
        </w:rPr>
        <w:t xml:space="preserve">. </w:t>
      </w:r>
    </w:p>
    <w:p w:rsidR="00FD2CCE"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aplicará el criterio elegido uniformemente para todos los componentes del rubro.</w:t>
      </w:r>
    </w:p>
    <w:p w:rsidR="00FD2CCE" w:rsidRPr="00AC4AEA" w:rsidRDefault="00FD2CCE" w:rsidP="00A318EA">
      <w:pPr>
        <w:pStyle w:val="Prrafodelista"/>
        <w:numPr>
          <w:ilvl w:val="0"/>
          <w:numId w:val="29"/>
        </w:numPr>
        <w:contextualSpacing w:val="0"/>
        <w:jc w:val="both"/>
        <w:rPr>
          <w:rFonts w:ascii="Arial" w:hAnsi="Arial" w:cs="Arial"/>
          <w:sz w:val="20"/>
          <w:szCs w:val="20"/>
        </w:rPr>
      </w:pPr>
      <w:bookmarkStart w:id="529" w:name="_Ref99482010"/>
      <w:r w:rsidRPr="00AC4AEA">
        <w:rPr>
          <w:rFonts w:ascii="Arial" w:hAnsi="Arial" w:cs="Arial"/>
          <w:sz w:val="20"/>
          <w:szCs w:val="20"/>
        </w:rPr>
        <w:t xml:space="preserve">Una entidad </w:t>
      </w:r>
      <w:r w:rsidR="00516D82" w:rsidRPr="00AC4AEA">
        <w:rPr>
          <w:rFonts w:ascii="Arial" w:hAnsi="Arial" w:cs="Arial"/>
          <w:sz w:val="20"/>
          <w:szCs w:val="20"/>
        </w:rPr>
        <w:t xml:space="preserve">que aplique la </w:t>
      </w:r>
      <w:r w:rsidR="00596F3F" w:rsidRPr="00AC4AEA">
        <w:rPr>
          <w:rFonts w:ascii="Arial" w:hAnsi="Arial" w:cs="Arial"/>
          <w:b/>
          <w:bCs/>
          <w:sz w:val="20"/>
          <w:szCs w:val="20"/>
        </w:rPr>
        <w:t>política contable</w:t>
      </w:r>
      <w:r w:rsidR="00516D82" w:rsidRPr="00AC4AEA">
        <w:rPr>
          <w:rFonts w:ascii="Arial" w:hAnsi="Arial" w:cs="Arial"/>
          <w:sz w:val="20"/>
          <w:szCs w:val="20"/>
        </w:rPr>
        <w:t xml:space="preserve"> del inciso a), del párrafo </w:t>
      </w:r>
      <w:fldSimple w:instr=" REF _Ref75787064 \r \h  \* MERGEFORMAT ">
        <w:r w:rsidR="00D33A5D" w:rsidRPr="00D33A5D">
          <w:rPr>
            <w:rFonts w:ascii="Arial" w:hAnsi="Arial" w:cs="Arial"/>
            <w:sz w:val="20"/>
            <w:szCs w:val="20"/>
          </w:rPr>
          <w:t>362</w:t>
        </w:r>
      </w:fldSimple>
      <w:r w:rsidR="00516D82" w:rsidRPr="00AC4AEA">
        <w:rPr>
          <w:rFonts w:ascii="Arial" w:hAnsi="Arial" w:cs="Arial"/>
          <w:sz w:val="20"/>
          <w:szCs w:val="20"/>
        </w:rPr>
        <w:t>, considerará</w:t>
      </w:r>
      <w:r w:rsidRPr="00AC4AEA">
        <w:rPr>
          <w:rFonts w:ascii="Arial" w:hAnsi="Arial" w:cs="Arial"/>
          <w:sz w:val="20"/>
          <w:szCs w:val="20"/>
        </w:rPr>
        <w:t xml:space="preserve"> los lineamientos descriptos </w:t>
      </w:r>
      <w:r w:rsidR="0002272E" w:rsidRPr="00AC4AEA">
        <w:rPr>
          <w:rFonts w:ascii="Arial" w:hAnsi="Arial" w:cs="Arial"/>
          <w:sz w:val="20"/>
          <w:szCs w:val="20"/>
        </w:rPr>
        <w:t>en el apartado</w:t>
      </w:r>
      <w:r w:rsidR="00835565" w:rsidRPr="00AC4AEA">
        <w:rPr>
          <w:rFonts w:ascii="Arial" w:hAnsi="Arial" w:cs="Arial"/>
          <w:sz w:val="20"/>
          <w:szCs w:val="20"/>
        </w:rPr>
        <w:t xml:space="preserve"> </w:t>
      </w:r>
      <w:r w:rsidR="00EF4051" w:rsidRPr="00AC4AEA">
        <w:rPr>
          <w:rFonts w:ascii="Arial" w:hAnsi="Arial" w:cs="Arial"/>
          <w:sz w:val="20"/>
          <w:szCs w:val="20"/>
        </w:rPr>
        <w:t>“</w:t>
      </w:r>
      <w:r w:rsidR="00EF4051" w:rsidRPr="00AC4AEA">
        <w:rPr>
          <w:rFonts w:ascii="Arial" w:hAnsi="Arial" w:cs="Arial"/>
          <w:sz w:val="20"/>
          <w:szCs w:val="20"/>
          <w:u w:val="single"/>
        </w:rPr>
        <w:t>Modelo de costo</w:t>
      </w:r>
      <w:r w:rsidR="00EF4051" w:rsidRPr="00AC4AEA">
        <w:rPr>
          <w:rFonts w:ascii="Arial" w:hAnsi="Arial" w:cs="Arial"/>
          <w:sz w:val="20"/>
          <w:szCs w:val="20"/>
        </w:rPr>
        <w:t xml:space="preserve">” </w:t>
      </w:r>
      <w:r w:rsidR="008F3F5F" w:rsidRPr="00AC4AEA">
        <w:rPr>
          <w:rFonts w:ascii="Arial" w:hAnsi="Arial" w:cs="Arial"/>
          <w:sz w:val="20"/>
          <w:szCs w:val="20"/>
        </w:rPr>
        <w:t xml:space="preserve">[ver </w:t>
      </w:r>
      <w:r w:rsidR="00CD7803" w:rsidRPr="00AC4AEA">
        <w:rPr>
          <w:rFonts w:ascii="Arial" w:hAnsi="Arial" w:cs="Arial"/>
          <w:sz w:val="20"/>
          <w:szCs w:val="20"/>
        </w:rPr>
        <w:t>el</w:t>
      </w:r>
      <w:r w:rsidR="008F3F5F" w:rsidRPr="00AC4AEA">
        <w:rPr>
          <w:rFonts w:ascii="Arial" w:hAnsi="Arial" w:cs="Arial"/>
          <w:sz w:val="20"/>
          <w:szCs w:val="20"/>
        </w:rPr>
        <w:t xml:space="preserve"> párrafos </w:t>
      </w:r>
      <w:fldSimple w:instr=" REF _Ref99479322 \r \h  \* MERGEFORMAT ">
        <w:r w:rsidR="00D33A5D" w:rsidRPr="00D33A5D">
          <w:rPr>
            <w:rFonts w:ascii="Arial" w:hAnsi="Arial" w:cs="Arial"/>
            <w:sz w:val="20"/>
            <w:szCs w:val="20"/>
          </w:rPr>
          <w:t>321</w:t>
        </w:r>
      </w:fldSimple>
      <w:r w:rsidR="00CD7803" w:rsidRPr="00AC4AEA">
        <w:rPr>
          <w:rFonts w:ascii="Arial" w:hAnsi="Arial" w:cs="Arial"/>
          <w:sz w:val="20"/>
          <w:szCs w:val="20"/>
        </w:rPr>
        <w:t>]</w:t>
      </w:r>
      <w:r w:rsidR="008F3F5F" w:rsidRPr="00AC4AEA">
        <w:rPr>
          <w:rFonts w:ascii="Arial" w:hAnsi="Arial" w:cs="Arial"/>
          <w:sz w:val="20"/>
          <w:szCs w:val="20"/>
        </w:rPr>
        <w:t xml:space="preserve"> </w:t>
      </w:r>
      <w:r w:rsidR="00EF4051" w:rsidRPr="00AC4AEA">
        <w:rPr>
          <w:rFonts w:ascii="Arial" w:hAnsi="Arial" w:cs="Arial"/>
          <w:sz w:val="20"/>
          <w:szCs w:val="20"/>
        </w:rPr>
        <w:t>de</w:t>
      </w:r>
      <w:r w:rsidRPr="00AC4AEA">
        <w:rPr>
          <w:rFonts w:ascii="Arial" w:hAnsi="Arial" w:cs="Arial"/>
          <w:sz w:val="20"/>
          <w:szCs w:val="20"/>
        </w:rPr>
        <w:t xml:space="preserve"> la sección correspondiente a “</w:t>
      </w:r>
      <w:r w:rsidRPr="00AC4AEA">
        <w:rPr>
          <w:rFonts w:ascii="Arial" w:hAnsi="Arial" w:cs="Arial"/>
          <w:sz w:val="20"/>
          <w:szCs w:val="20"/>
          <w:u w:val="single"/>
        </w:rPr>
        <w:t>Bienes de uso y depreciaciones</w:t>
      </w:r>
      <w:r w:rsidRPr="00AC4AEA">
        <w:rPr>
          <w:rFonts w:ascii="Arial" w:hAnsi="Arial" w:cs="Arial"/>
          <w:sz w:val="20"/>
          <w:szCs w:val="20"/>
        </w:rPr>
        <w:t>”</w:t>
      </w:r>
      <w:r w:rsidR="008F3F5F" w:rsidRPr="00AC4AEA">
        <w:rPr>
          <w:rFonts w:ascii="Arial" w:hAnsi="Arial" w:cs="Arial"/>
          <w:sz w:val="20"/>
          <w:szCs w:val="20"/>
        </w:rPr>
        <w:t xml:space="preserve"> [ver los párrafos </w:t>
      </w:r>
      <w:fldSimple w:instr=" REF _Ref74757440 \r \h  \* MERGEFORMAT ">
        <w:r w:rsidR="00D33A5D" w:rsidRPr="00D33A5D">
          <w:rPr>
            <w:rFonts w:ascii="Arial" w:hAnsi="Arial" w:cs="Arial"/>
            <w:sz w:val="20"/>
            <w:szCs w:val="20"/>
          </w:rPr>
          <w:t>313</w:t>
        </w:r>
      </w:fldSimple>
      <w:r w:rsidR="008F3F5F" w:rsidRPr="00AC4AEA">
        <w:rPr>
          <w:rFonts w:ascii="Arial" w:hAnsi="Arial" w:cs="Arial"/>
          <w:sz w:val="20"/>
          <w:szCs w:val="20"/>
        </w:rPr>
        <w:t xml:space="preserve"> a </w:t>
      </w:r>
      <w:fldSimple w:instr=" REF _Ref99481656 \r \h  \* MERGEFORMAT ">
        <w:r w:rsidR="00D33A5D" w:rsidRPr="00D33A5D">
          <w:rPr>
            <w:rFonts w:ascii="Arial" w:hAnsi="Arial" w:cs="Arial"/>
            <w:sz w:val="20"/>
            <w:szCs w:val="20"/>
          </w:rPr>
          <w:t>358</w:t>
        </w:r>
      </w:fldSimple>
      <w:r w:rsidR="008F3F5F" w:rsidRPr="00AC4AEA">
        <w:rPr>
          <w:rFonts w:ascii="Arial" w:hAnsi="Arial" w:cs="Arial"/>
          <w:sz w:val="20"/>
          <w:szCs w:val="20"/>
        </w:rPr>
        <w:t>]</w:t>
      </w:r>
      <w:r w:rsidRPr="00AC4AEA">
        <w:rPr>
          <w:rFonts w:ascii="Arial" w:hAnsi="Arial" w:cs="Arial"/>
          <w:sz w:val="20"/>
          <w:szCs w:val="20"/>
        </w:rPr>
        <w:t>.</w:t>
      </w:r>
      <w:bookmarkEnd w:id="529"/>
    </w:p>
    <w:p w:rsidR="00516D82" w:rsidRPr="00AC4AEA" w:rsidRDefault="00EF4051" w:rsidP="00A318EA">
      <w:pPr>
        <w:pStyle w:val="Prrafodelista"/>
        <w:numPr>
          <w:ilvl w:val="0"/>
          <w:numId w:val="29"/>
        </w:numPr>
        <w:contextualSpacing w:val="0"/>
        <w:jc w:val="both"/>
        <w:rPr>
          <w:rFonts w:ascii="Arial" w:hAnsi="Arial" w:cs="Arial"/>
          <w:sz w:val="20"/>
          <w:szCs w:val="20"/>
        </w:rPr>
      </w:pPr>
      <w:bookmarkStart w:id="530" w:name="_Ref99482161"/>
      <w:r w:rsidRPr="00AC4AEA">
        <w:rPr>
          <w:rFonts w:ascii="Arial" w:hAnsi="Arial" w:cs="Arial"/>
          <w:sz w:val="20"/>
          <w:szCs w:val="20"/>
        </w:rPr>
        <w:t xml:space="preserve">Una entidad </w:t>
      </w:r>
      <w:r w:rsidR="00516D82" w:rsidRPr="00AC4AEA">
        <w:rPr>
          <w:rFonts w:ascii="Arial" w:hAnsi="Arial" w:cs="Arial"/>
          <w:sz w:val="20"/>
          <w:szCs w:val="20"/>
        </w:rPr>
        <w:t xml:space="preserve">que </w:t>
      </w:r>
      <w:r w:rsidR="00DD30FB" w:rsidRPr="00AC4AEA">
        <w:rPr>
          <w:rFonts w:ascii="Arial" w:hAnsi="Arial" w:cs="Arial"/>
          <w:sz w:val="20"/>
          <w:szCs w:val="20"/>
        </w:rPr>
        <w:t>apli</w:t>
      </w:r>
      <w:r w:rsidR="00516D82" w:rsidRPr="00AC4AEA">
        <w:rPr>
          <w:rFonts w:ascii="Arial" w:hAnsi="Arial" w:cs="Arial"/>
          <w:sz w:val="20"/>
          <w:szCs w:val="20"/>
        </w:rPr>
        <w:t>que</w:t>
      </w:r>
      <w:r w:rsidR="00DD30FB" w:rsidRPr="00AC4AEA">
        <w:rPr>
          <w:rFonts w:ascii="Arial" w:hAnsi="Arial" w:cs="Arial"/>
          <w:sz w:val="20"/>
          <w:szCs w:val="20"/>
        </w:rPr>
        <w:t xml:space="preserve"> </w:t>
      </w:r>
      <w:r w:rsidR="00516D82" w:rsidRPr="00AC4AEA">
        <w:rPr>
          <w:rFonts w:ascii="Arial" w:hAnsi="Arial" w:cs="Arial"/>
          <w:sz w:val="20"/>
          <w:szCs w:val="20"/>
        </w:rPr>
        <w:t xml:space="preserve">la </w:t>
      </w:r>
      <w:r w:rsidR="00596F3F" w:rsidRPr="00AC4AEA">
        <w:rPr>
          <w:rFonts w:ascii="Arial" w:hAnsi="Arial" w:cs="Arial"/>
          <w:b/>
          <w:bCs/>
          <w:sz w:val="20"/>
          <w:szCs w:val="20"/>
        </w:rPr>
        <w:t>política contable</w:t>
      </w:r>
      <w:r w:rsidR="00DD30FB" w:rsidRPr="00AC4AEA">
        <w:rPr>
          <w:rFonts w:ascii="Arial" w:hAnsi="Arial" w:cs="Arial"/>
          <w:sz w:val="20"/>
          <w:szCs w:val="20"/>
        </w:rPr>
        <w:t xml:space="preserve"> del inciso b)</w:t>
      </w:r>
      <w:r w:rsidR="00516D82" w:rsidRPr="00AC4AEA">
        <w:rPr>
          <w:rFonts w:ascii="Arial" w:hAnsi="Arial" w:cs="Arial"/>
          <w:sz w:val="20"/>
          <w:szCs w:val="20"/>
        </w:rPr>
        <w:t>,</w:t>
      </w:r>
      <w:r w:rsidR="00DD30FB" w:rsidRPr="00AC4AEA">
        <w:rPr>
          <w:rFonts w:ascii="Arial" w:hAnsi="Arial" w:cs="Arial"/>
          <w:sz w:val="20"/>
          <w:szCs w:val="20"/>
        </w:rPr>
        <w:t xml:space="preserve"> del párrafo </w:t>
      </w:r>
      <w:fldSimple w:instr=" REF _Ref75787064 \r \h  \* MERGEFORMAT ">
        <w:r w:rsidR="00D33A5D" w:rsidRPr="00D33A5D">
          <w:rPr>
            <w:rFonts w:ascii="Arial" w:hAnsi="Arial" w:cs="Arial"/>
            <w:sz w:val="20"/>
            <w:szCs w:val="20"/>
          </w:rPr>
          <w:t>362</w:t>
        </w:r>
      </w:fldSimple>
      <w:r w:rsidR="0056456F" w:rsidRPr="00AC4AEA">
        <w:rPr>
          <w:rFonts w:ascii="Arial" w:hAnsi="Arial" w:cs="Arial"/>
          <w:sz w:val="20"/>
          <w:szCs w:val="20"/>
        </w:rPr>
        <w:t xml:space="preserve"> (modelo de valor razonable)</w:t>
      </w:r>
      <w:r w:rsidR="00516D82" w:rsidRPr="00AC4AEA">
        <w:rPr>
          <w:rFonts w:ascii="Arial" w:hAnsi="Arial" w:cs="Arial"/>
          <w:sz w:val="20"/>
          <w:szCs w:val="20"/>
        </w:rPr>
        <w:t>,</w:t>
      </w:r>
      <w:r w:rsidRPr="00AC4AEA">
        <w:rPr>
          <w:rFonts w:ascii="Arial" w:hAnsi="Arial" w:cs="Arial"/>
          <w:sz w:val="20"/>
          <w:szCs w:val="20"/>
        </w:rPr>
        <w:t xml:space="preserve"> </w:t>
      </w:r>
      <w:r w:rsidR="00516D82" w:rsidRPr="00AC4AEA">
        <w:rPr>
          <w:rFonts w:ascii="Arial" w:hAnsi="Arial" w:cs="Arial"/>
          <w:sz w:val="20"/>
          <w:szCs w:val="20"/>
        </w:rPr>
        <w:t>deberá:</w:t>
      </w:r>
      <w:bookmarkEnd w:id="530"/>
    </w:p>
    <w:p w:rsidR="00EF4051" w:rsidRPr="00AC4AEA" w:rsidRDefault="00516D82" w:rsidP="00A318EA">
      <w:pPr>
        <w:pStyle w:val="Prrafodelista"/>
        <w:numPr>
          <w:ilvl w:val="0"/>
          <w:numId w:val="101"/>
        </w:numPr>
        <w:ind w:left="1560"/>
        <w:contextualSpacing w:val="0"/>
        <w:jc w:val="both"/>
        <w:rPr>
          <w:rFonts w:ascii="Arial" w:hAnsi="Arial" w:cs="Arial"/>
          <w:sz w:val="20"/>
          <w:szCs w:val="20"/>
        </w:rPr>
      </w:pPr>
      <w:r w:rsidRPr="00AC4AEA">
        <w:rPr>
          <w:rFonts w:ascii="Arial" w:hAnsi="Arial" w:cs="Arial"/>
          <w:sz w:val="20"/>
          <w:szCs w:val="20"/>
        </w:rPr>
        <w:t xml:space="preserve">considerar los </w:t>
      </w:r>
      <w:r w:rsidR="00EF4051" w:rsidRPr="00AC4AEA">
        <w:rPr>
          <w:rFonts w:ascii="Arial" w:hAnsi="Arial" w:cs="Arial"/>
          <w:sz w:val="20"/>
          <w:szCs w:val="20"/>
        </w:rPr>
        <w:t xml:space="preserve">lineamientos descriptos </w:t>
      </w:r>
      <w:r w:rsidR="00DD30FB" w:rsidRPr="00AC4AEA">
        <w:rPr>
          <w:rFonts w:ascii="Arial" w:hAnsi="Arial" w:cs="Arial"/>
          <w:sz w:val="20"/>
          <w:szCs w:val="20"/>
        </w:rPr>
        <w:t xml:space="preserve">en </w:t>
      </w:r>
      <w:r w:rsidR="000F0D95" w:rsidRPr="00AC4AEA">
        <w:rPr>
          <w:rFonts w:ascii="Arial" w:hAnsi="Arial" w:cs="Arial"/>
          <w:sz w:val="20"/>
          <w:szCs w:val="20"/>
        </w:rPr>
        <w:t>el apartado</w:t>
      </w:r>
      <w:r w:rsidR="00EF4051" w:rsidRPr="00AC4AEA">
        <w:rPr>
          <w:rFonts w:ascii="Arial" w:hAnsi="Arial" w:cs="Arial"/>
          <w:sz w:val="20"/>
          <w:szCs w:val="20"/>
        </w:rPr>
        <w:t xml:space="preserve"> “</w:t>
      </w:r>
      <w:r w:rsidR="00DD30FB" w:rsidRPr="00AC4AEA">
        <w:rPr>
          <w:rFonts w:ascii="Arial" w:hAnsi="Arial" w:cs="Arial"/>
          <w:sz w:val="20"/>
          <w:szCs w:val="20"/>
          <w:u w:val="single"/>
        </w:rPr>
        <w:t xml:space="preserve">Medición </w:t>
      </w:r>
      <w:r w:rsidRPr="00AC4AEA">
        <w:rPr>
          <w:rFonts w:ascii="Arial" w:hAnsi="Arial" w:cs="Arial"/>
          <w:sz w:val="20"/>
          <w:szCs w:val="20"/>
          <w:u w:val="single"/>
        </w:rPr>
        <w:t>del valor razonable</w:t>
      </w:r>
      <w:r w:rsidR="00EF4051" w:rsidRPr="00AC4AEA">
        <w:rPr>
          <w:rFonts w:ascii="Arial" w:hAnsi="Arial" w:cs="Arial"/>
          <w:sz w:val="20"/>
          <w:szCs w:val="20"/>
        </w:rPr>
        <w:t>”</w:t>
      </w:r>
      <w:r w:rsidR="006B3995" w:rsidRPr="00AC4AEA">
        <w:rPr>
          <w:rFonts w:ascii="Arial" w:hAnsi="Arial" w:cs="Arial"/>
          <w:sz w:val="20"/>
          <w:szCs w:val="20"/>
        </w:rPr>
        <w:t xml:space="preserve"> [ver los p</w:t>
      </w:r>
      <w:r w:rsidR="00791A32" w:rsidRPr="00AC4AEA">
        <w:rPr>
          <w:rFonts w:ascii="Arial" w:hAnsi="Arial" w:cs="Arial"/>
          <w:sz w:val="20"/>
          <w:szCs w:val="20"/>
        </w:rPr>
        <w:t xml:space="preserve">árrafos </w:t>
      </w:r>
      <w:fldSimple w:instr=" REF _Ref99459999 \r \h  \* MERGEFORMAT ">
        <w:r w:rsidR="00D33A5D" w:rsidRPr="00D33A5D">
          <w:rPr>
            <w:rFonts w:ascii="Arial" w:hAnsi="Arial" w:cs="Arial"/>
            <w:sz w:val="20"/>
            <w:szCs w:val="20"/>
          </w:rPr>
          <w:t>117</w:t>
        </w:r>
      </w:fldSimple>
      <w:r w:rsidR="00791A32"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00791A32" w:rsidRPr="00AC4AEA">
        <w:rPr>
          <w:rFonts w:ascii="Arial" w:hAnsi="Arial" w:cs="Arial"/>
          <w:sz w:val="20"/>
          <w:szCs w:val="20"/>
        </w:rPr>
        <w:t>]</w:t>
      </w:r>
      <w:r w:rsidRPr="00AC4AEA">
        <w:rPr>
          <w:rFonts w:ascii="Arial" w:hAnsi="Arial" w:cs="Arial"/>
          <w:sz w:val="20"/>
          <w:szCs w:val="20"/>
        </w:rPr>
        <w:t xml:space="preserve">; </w:t>
      </w:r>
    </w:p>
    <w:p w:rsidR="00516D82" w:rsidRPr="00AC4AEA" w:rsidRDefault="00516D82" w:rsidP="00A318EA">
      <w:pPr>
        <w:pStyle w:val="Prrafodelista"/>
        <w:numPr>
          <w:ilvl w:val="0"/>
          <w:numId w:val="101"/>
        </w:numPr>
        <w:ind w:left="1560"/>
        <w:contextualSpacing w:val="0"/>
        <w:jc w:val="both"/>
        <w:rPr>
          <w:rFonts w:ascii="Arial" w:hAnsi="Arial" w:cs="Arial"/>
          <w:sz w:val="20"/>
          <w:szCs w:val="20"/>
        </w:rPr>
      </w:pPr>
      <w:r w:rsidRPr="00AC4AEA">
        <w:rPr>
          <w:rFonts w:ascii="Arial" w:hAnsi="Arial" w:cs="Arial"/>
          <w:sz w:val="20"/>
          <w:szCs w:val="20"/>
        </w:rPr>
        <w:t xml:space="preserve">reflejar, además de los supuestos </w:t>
      </w:r>
      <w:r w:rsidR="002B5779" w:rsidRPr="00AC4AEA">
        <w:rPr>
          <w:rFonts w:ascii="Arial" w:hAnsi="Arial" w:cs="Arial"/>
          <w:sz w:val="20"/>
          <w:szCs w:val="20"/>
        </w:rPr>
        <w:t>que resultan de aplicar</w:t>
      </w:r>
      <w:r w:rsidRPr="00AC4AEA">
        <w:rPr>
          <w:rFonts w:ascii="Arial" w:hAnsi="Arial" w:cs="Arial"/>
          <w:sz w:val="20"/>
          <w:szCs w:val="20"/>
        </w:rPr>
        <w:t xml:space="preserve"> el inciso anterior, los ingresos de los arrendamientos actuales; y</w:t>
      </w:r>
    </w:p>
    <w:p w:rsidR="00516D82" w:rsidRPr="00AC4AEA" w:rsidRDefault="000F0D95" w:rsidP="00A318EA">
      <w:pPr>
        <w:pStyle w:val="Prrafodelista"/>
        <w:numPr>
          <w:ilvl w:val="0"/>
          <w:numId w:val="101"/>
        </w:numPr>
        <w:ind w:left="1560"/>
        <w:contextualSpacing w:val="0"/>
        <w:jc w:val="both"/>
        <w:rPr>
          <w:rFonts w:ascii="Arial" w:hAnsi="Arial" w:cs="Arial"/>
          <w:sz w:val="20"/>
          <w:szCs w:val="20"/>
        </w:rPr>
      </w:pPr>
      <w:r w:rsidRPr="00AC4AEA">
        <w:rPr>
          <w:rFonts w:ascii="Arial" w:hAnsi="Arial" w:cs="Arial"/>
          <w:sz w:val="20"/>
          <w:szCs w:val="20"/>
        </w:rPr>
        <w:t>imputar</w:t>
      </w:r>
      <w:r w:rsidR="00516D82" w:rsidRPr="00AC4AEA">
        <w:rPr>
          <w:rFonts w:ascii="Arial" w:hAnsi="Arial" w:cs="Arial"/>
          <w:sz w:val="20"/>
          <w:szCs w:val="20"/>
        </w:rPr>
        <w:t xml:space="preserve"> las diferencias de medición </w:t>
      </w:r>
      <w:r w:rsidRPr="00AC4AEA">
        <w:rPr>
          <w:rFonts w:ascii="Arial" w:hAnsi="Arial" w:cs="Arial"/>
          <w:sz w:val="20"/>
          <w:szCs w:val="20"/>
        </w:rPr>
        <w:t>en el</w:t>
      </w:r>
      <w:r w:rsidR="00516D82" w:rsidRPr="00AC4AEA">
        <w:rPr>
          <w:rFonts w:ascii="Arial" w:hAnsi="Arial" w:cs="Arial"/>
          <w:sz w:val="20"/>
          <w:szCs w:val="20"/>
        </w:rPr>
        <w:t xml:space="preserve"> resultado del </w:t>
      </w:r>
      <w:r w:rsidR="006E2FE7" w:rsidRPr="00AC4AEA">
        <w:rPr>
          <w:rFonts w:ascii="Arial" w:hAnsi="Arial" w:cs="Arial"/>
          <w:sz w:val="20"/>
          <w:szCs w:val="20"/>
        </w:rPr>
        <w:t>período</w:t>
      </w:r>
      <w:r w:rsidR="00516D82" w:rsidRPr="00AC4AEA">
        <w:rPr>
          <w:rFonts w:ascii="Arial" w:hAnsi="Arial" w:cs="Arial"/>
          <w:sz w:val="20"/>
          <w:szCs w:val="20"/>
        </w:rPr>
        <w:t>.</w:t>
      </w:r>
    </w:p>
    <w:p w:rsidR="00D033EC" w:rsidRPr="00AC4AEA" w:rsidRDefault="00D033E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Cuando utilice el modelo de valor razonable, una entidad:</w:t>
      </w:r>
    </w:p>
    <w:p w:rsidR="00D033EC" w:rsidRPr="00AC4AEA" w:rsidRDefault="00D033EC" w:rsidP="00A318EA">
      <w:pPr>
        <w:pStyle w:val="Prrafodelista"/>
        <w:numPr>
          <w:ilvl w:val="0"/>
          <w:numId w:val="332"/>
        </w:numPr>
        <w:ind w:left="1560"/>
        <w:contextualSpacing w:val="0"/>
        <w:jc w:val="both"/>
        <w:rPr>
          <w:rFonts w:ascii="Arial" w:hAnsi="Arial" w:cs="Arial"/>
          <w:sz w:val="20"/>
          <w:szCs w:val="20"/>
        </w:rPr>
      </w:pPr>
      <w:r w:rsidRPr="00AC4AEA">
        <w:rPr>
          <w:rFonts w:ascii="Arial" w:hAnsi="Arial" w:cs="Arial"/>
          <w:sz w:val="20"/>
          <w:szCs w:val="20"/>
        </w:rPr>
        <w:t xml:space="preserve">Aplicará la presunción refutable de que podrá medir, de forma fiable y continua, el </w:t>
      </w:r>
      <w:r w:rsidRPr="00AC4AEA">
        <w:rPr>
          <w:rFonts w:ascii="Arial" w:hAnsi="Arial" w:cs="Arial"/>
          <w:b/>
          <w:bCs/>
          <w:sz w:val="20"/>
          <w:szCs w:val="20"/>
        </w:rPr>
        <w:t>valor razonable</w:t>
      </w:r>
      <w:r w:rsidRPr="00AC4AEA">
        <w:rPr>
          <w:rFonts w:ascii="Arial" w:hAnsi="Arial" w:cs="Arial"/>
          <w:sz w:val="20"/>
          <w:szCs w:val="20"/>
        </w:rPr>
        <w:t xml:space="preserve"> de una propiedad de inversión. </w:t>
      </w:r>
    </w:p>
    <w:p w:rsidR="00D033EC" w:rsidRPr="00AC4AEA" w:rsidRDefault="00D033EC" w:rsidP="00A318EA">
      <w:pPr>
        <w:pStyle w:val="Prrafodelista"/>
        <w:numPr>
          <w:ilvl w:val="0"/>
          <w:numId w:val="332"/>
        </w:numPr>
        <w:ind w:left="1560"/>
        <w:contextualSpacing w:val="0"/>
        <w:jc w:val="both"/>
        <w:rPr>
          <w:rFonts w:ascii="Arial" w:hAnsi="Arial" w:cs="Arial"/>
          <w:sz w:val="20"/>
          <w:szCs w:val="20"/>
        </w:rPr>
      </w:pPr>
      <w:r w:rsidRPr="00AC4AEA">
        <w:rPr>
          <w:rFonts w:ascii="Arial" w:hAnsi="Arial" w:cs="Arial"/>
          <w:sz w:val="20"/>
          <w:szCs w:val="20"/>
        </w:rPr>
        <w:lastRenderedPageBreak/>
        <w:t>Excepcionalmente, podrá medir una propiedad de inversión de acuerdo con lo descripto en el apartado "</w:t>
      </w:r>
      <w:r w:rsidRPr="00AC4AEA">
        <w:rPr>
          <w:rFonts w:ascii="Arial" w:hAnsi="Arial" w:cs="Arial"/>
          <w:sz w:val="20"/>
          <w:szCs w:val="20"/>
          <w:u w:val="single"/>
        </w:rPr>
        <w:t>Modelo de costo</w:t>
      </w:r>
      <w:r w:rsidRPr="00AC4AEA">
        <w:rPr>
          <w:rFonts w:ascii="Arial" w:hAnsi="Arial" w:cs="Arial"/>
          <w:sz w:val="20"/>
          <w:szCs w:val="20"/>
        </w:rPr>
        <w:t xml:space="preserve">" [ver </w:t>
      </w:r>
      <w:r w:rsidR="004F2A85" w:rsidRPr="00AC4AEA">
        <w:rPr>
          <w:rFonts w:ascii="Arial" w:hAnsi="Arial" w:cs="Arial"/>
          <w:sz w:val="20"/>
          <w:szCs w:val="20"/>
        </w:rPr>
        <w:t>el</w:t>
      </w:r>
      <w:r w:rsidRPr="00AC4AEA">
        <w:rPr>
          <w:rFonts w:ascii="Arial" w:hAnsi="Arial" w:cs="Arial"/>
          <w:sz w:val="20"/>
          <w:szCs w:val="20"/>
        </w:rPr>
        <w:t xml:space="preserve"> párrafo </w:t>
      </w:r>
      <w:fldSimple w:instr=" REF _Ref99479322 \r \h  \* MERGEFORMAT ">
        <w:r w:rsidR="00D33A5D" w:rsidRPr="00D33A5D">
          <w:rPr>
            <w:rFonts w:ascii="Arial" w:hAnsi="Arial" w:cs="Arial"/>
            <w:sz w:val="20"/>
            <w:szCs w:val="20"/>
          </w:rPr>
          <w:t>321</w:t>
        </w:r>
      </w:fldSimple>
      <w:r w:rsidRPr="00AC4AEA">
        <w:rPr>
          <w:rFonts w:ascii="Arial" w:hAnsi="Arial" w:cs="Arial"/>
          <w:sz w:val="20"/>
          <w:szCs w:val="20"/>
        </w:rPr>
        <w:t>] de la sección correspondiente a "</w:t>
      </w:r>
      <w:r w:rsidRPr="00AC4AEA">
        <w:rPr>
          <w:rFonts w:ascii="Arial" w:hAnsi="Arial" w:cs="Arial"/>
          <w:sz w:val="20"/>
          <w:szCs w:val="20"/>
          <w:u w:val="single"/>
        </w:rPr>
        <w:t>Bienes de uso y depreciaciones</w:t>
      </w:r>
      <w:r w:rsidRPr="00AC4AEA">
        <w:rPr>
          <w:rFonts w:ascii="Arial" w:hAnsi="Arial" w:cs="Arial"/>
          <w:sz w:val="20"/>
          <w:szCs w:val="20"/>
        </w:rPr>
        <w:t>", cuando</w:t>
      </w:r>
      <w:r w:rsidR="00A33E20" w:rsidRPr="00AC4AEA">
        <w:rPr>
          <w:rFonts w:ascii="Arial" w:hAnsi="Arial" w:cs="Arial"/>
          <w:sz w:val="20"/>
          <w:szCs w:val="20"/>
        </w:rPr>
        <w:t xml:space="preserve"> se presenten las siguientes condiciones</w:t>
      </w:r>
      <w:r w:rsidRPr="00AC4AEA">
        <w:rPr>
          <w:rFonts w:ascii="Arial" w:hAnsi="Arial" w:cs="Arial"/>
          <w:sz w:val="20"/>
          <w:szCs w:val="20"/>
        </w:rPr>
        <w:t>:</w:t>
      </w:r>
    </w:p>
    <w:p w:rsidR="00D033EC" w:rsidRPr="00AC4AEA" w:rsidRDefault="00D033EC" w:rsidP="00A318EA">
      <w:pPr>
        <w:pStyle w:val="Prrafodelista"/>
        <w:numPr>
          <w:ilvl w:val="2"/>
          <w:numId w:val="29"/>
        </w:numPr>
        <w:contextualSpacing w:val="0"/>
        <w:jc w:val="both"/>
        <w:rPr>
          <w:rFonts w:ascii="Arial" w:hAnsi="Arial" w:cs="Arial"/>
          <w:sz w:val="20"/>
          <w:szCs w:val="20"/>
        </w:rPr>
      </w:pPr>
      <w:r w:rsidRPr="00AC4AEA">
        <w:rPr>
          <w:rFonts w:ascii="Arial" w:hAnsi="Arial" w:cs="Arial"/>
          <w:sz w:val="20"/>
          <w:szCs w:val="20"/>
        </w:rPr>
        <w:t>adquiera por primera vez una propiedad de inversión, un inmueble existente</w:t>
      </w:r>
      <w:r w:rsidR="00A33E20" w:rsidRPr="00AC4AEA">
        <w:rPr>
          <w:rFonts w:ascii="Arial" w:hAnsi="Arial" w:cs="Arial"/>
          <w:sz w:val="20"/>
          <w:szCs w:val="20"/>
        </w:rPr>
        <w:t xml:space="preserve"> previamente clasificado como “</w:t>
      </w:r>
      <w:r w:rsidR="00A33E20" w:rsidRPr="00AC4AEA">
        <w:rPr>
          <w:rFonts w:ascii="Arial" w:hAnsi="Arial" w:cs="Arial"/>
          <w:sz w:val="20"/>
          <w:szCs w:val="20"/>
          <w:u w:val="single"/>
        </w:rPr>
        <w:t>Bienes de cambio</w:t>
      </w:r>
      <w:r w:rsidR="00A33E20" w:rsidRPr="00AC4AEA">
        <w:rPr>
          <w:rFonts w:ascii="Arial" w:hAnsi="Arial" w:cs="Arial"/>
          <w:sz w:val="20"/>
          <w:szCs w:val="20"/>
        </w:rPr>
        <w:t>” o “</w:t>
      </w:r>
      <w:r w:rsidR="00A33E20" w:rsidRPr="00AC4AEA">
        <w:rPr>
          <w:rFonts w:ascii="Arial" w:hAnsi="Arial" w:cs="Arial"/>
          <w:sz w:val="20"/>
          <w:szCs w:val="20"/>
          <w:u w:val="single"/>
        </w:rPr>
        <w:t>Bienes de uso</w:t>
      </w:r>
      <w:r w:rsidR="00A33E20" w:rsidRPr="00AC4AEA">
        <w:rPr>
          <w:rFonts w:ascii="Arial" w:hAnsi="Arial" w:cs="Arial"/>
          <w:sz w:val="20"/>
          <w:szCs w:val="20"/>
        </w:rPr>
        <w:t>”</w:t>
      </w:r>
      <w:r w:rsidRPr="00AC4AEA">
        <w:rPr>
          <w:rFonts w:ascii="Arial" w:hAnsi="Arial" w:cs="Arial"/>
          <w:sz w:val="20"/>
          <w:szCs w:val="20"/>
        </w:rPr>
        <w:t xml:space="preserve"> se convierta en propiedad de inversión o se trate de una obra en construcción;</w:t>
      </w:r>
    </w:p>
    <w:p w:rsidR="00D033EC" w:rsidRPr="00AC4AEA" w:rsidRDefault="00D033EC" w:rsidP="00A318EA">
      <w:pPr>
        <w:pStyle w:val="Prrafodelista"/>
        <w:numPr>
          <w:ilvl w:val="2"/>
          <w:numId w:val="29"/>
        </w:numPr>
        <w:contextualSpacing w:val="0"/>
        <w:jc w:val="both"/>
        <w:rPr>
          <w:rFonts w:ascii="Arial" w:hAnsi="Arial" w:cs="Arial"/>
          <w:sz w:val="20"/>
          <w:szCs w:val="20"/>
        </w:rPr>
      </w:pPr>
      <w:r w:rsidRPr="00AC4AEA">
        <w:rPr>
          <w:rFonts w:ascii="Arial" w:hAnsi="Arial" w:cs="Arial"/>
          <w:sz w:val="20"/>
          <w:szCs w:val="20"/>
        </w:rPr>
        <w:t>el mercado para propiedades similares está inactivo (porque existen pocas transacciones recientes, las cotizaciones no son actuales o los precios observados reflejan transacciones forzadas); y</w:t>
      </w:r>
    </w:p>
    <w:p w:rsidR="00D033EC" w:rsidRPr="00AC4AEA" w:rsidRDefault="00D033EC" w:rsidP="00A318EA">
      <w:pPr>
        <w:pStyle w:val="Prrafodelista"/>
        <w:numPr>
          <w:ilvl w:val="2"/>
          <w:numId w:val="29"/>
        </w:numPr>
        <w:contextualSpacing w:val="0"/>
        <w:jc w:val="both"/>
        <w:rPr>
          <w:rFonts w:ascii="Arial" w:hAnsi="Arial" w:cs="Arial"/>
          <w:sz w:val="20"/>
          <w:szCs w:val="20"/>
        </w:rPr>
      </w:pPr>
      <w:r w:rsidRPr="00AC4AEA">
        <w:rPr>
          <w:rFonts w:ascii="Arial" w:hAnsi="Arial" w:cs="Arial"/>
          <w:sz w:val="20"/>
          <w:szCs w:val="20"/>
        </w:rPr>
        <w:t xml:space="preserve">no puede aplicar técnicas de valuación para obtener el </w:t>
      </w:r>
      <w:r w:rsidRPr="00AC4AEA">
        <w:rPr>
          <w:rFonts w:ascii="Arial" w:hAnsi="Arial" w:cs="Arial"/>
          <w:b/>
          <w:bCs/>
          <w:sz w:val="20"/>
          <w:szCs w:val="20"/>
        </w:rPr>
        <w:t xml:space="preserve">valor razonable </w:t>
      </w:r>
      <w:r w:rsidRPr="00AC4AEA">
        <w:rPr>
          <w:rFonts w:ascii="Arial" w:hAnsi="Arial" w:cs="Arial"/>
          <w:sz w:val="20"/>
          <w:szCs w:val="20"/>
        </w:rPr>
        <w:t xml:space="preserve">de acuerdo con lo establecido en el párrafo </w:t>
      </w:r>
      <w:fldSimple w:instr=" REF _Ref103346802 \r \h  \* MERGEFORMAT ">
        <w:r w:rsidR="00D33A5D" w:rsidRPr="00D33A5D">
          <w:rPr>
            <w:rFonts w:ascii="Arial" w:hAnsi="Arial" w:cs="Arial"/>
            <w:sz w:val="20"/>
            <w:szCs w:val="20"/>
          </w:rPr>
          <w:t>120</w:t>
        </w:r>
      </w:fldSimple>
      <w:r w:rsidRPr="00AC4AEA">
        <w:rPr>
          <w:rFonts w:ascii="Arial" w:hAnsi="Arial" w:cs="Arial"/>
          <w:sz w:val="20"/>
          <w:szCs w:val="20"/>
        </w:rPr>
        <w:t xml:space="preserve"> (por ejemplo, a partir de las proyecciones de flujos de efectivo descontados).</w:t>
      </w:r>
    </w:p>
    <w:p w:rsidR="00FD2CCE" w:rsidRPr="00AC4AEA" w:rsidRDefault="00FD2CCE" w:rsidP="00A318EA">
      <w:pPr>
        <w:jc w:val="both"/>
        <w:rPr>
          <w:rFonts w:ascii="Arial" w:hAnsi="Arial" w:cs="Arial"/>
          <w:b/>
          <w:bCs/>
          <w:sz w:val="20"/>
          <w:szCs w:val="20"/>
        </w:rPr>
      </w:pPr>
    </w:p>
    <w:p w:rsidR="00FD2CCE" w:rsidRPr="00AC4AEA" w:rsidRDefault="00FD2CCE" w:rsidP="00A318EA">
      <w:pPr>
        <w:pStyle w:val="Ttulo2"/>
        <w:rPr>
          <w:rFonts w:cs="Arial"/>
        </w:rPr>
      </w:pPr>
      <w:bookmarkStart w:id="531" w:name="_Toc101863878"/>
      <w:bookmarkStart w:id="532" w:name="_Toc139356740"/>
      <w:r w:rsidRPr="00AC4AEA">
        <w:rPr>
          <w:rFonts w:cs="Arial"/>
        </w:rPr>
        <w:t>Depreciaciones</w:t>
      </w:r>
      <w:bookmarkEnd w:id="531"/>
      <w:bookmarkEnd w:id="532"/>
    </w:p>
    <w:p w:rsidR="00FD2CCE"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w:t>
      </w:r>
      <w:r w:rsidR="00516D82" w:rsidRPr="00AC4AEA">
        <w:rPr>
          <w:rFonts w:ascii="Arial" w:hAnsi="Arial" w:cs="Arial"/>
          <w:sz w:val="20"/>
          <w:szCs w:val="20"/>
        </w:rPr>
        <w:t xml:space="preserve"> que aplique la </w:t>
      </w:r>
      <w:r w:rsidR="00596F3F" w:rsidRPr="00AC4AEA">
        <w:rPr>
          <w:rFonts w:ascii="Arial" w:hAnsi="Arial" w:cs="Arial"/>
          <w:b/>
          <w:bCs/>
          <w:sz w:val="20"/>
          <w:szCs w:val="20"/>
        </w:rPr>
        <w:t>política contable</w:t>
      </w:r>
      <w:r w:rsidR="00516D82" w:rsidRPr="00AC4AEA">
        <w:rPr>
          <w:rFonts w:ascii="Arial" w:hAnsi="Arial" w:cs="Arial"/>
          <w:sz w:val="20"/>
          <w:szCs w:val="20"/>
        </w:rPr>
        <w:t xml:space="preserve"> del inciso a), del párrafo </w:t>
      </w:r>
      <w:fldSimple w:instr=" REF _Ref75787064 \r \h  \* MERGEFORMAT ">
        <w:r w:rsidR="00D33A5D" w:rsidRPr="00D33A5D">
          <w:rPr>
            <w:rFonts w:ascii="Arial" w:hAnsi="Arial" w:cs="Arial"/>
            <w:sz w:val="20"/>
            <w:szCs w:val="20"/>
          </w:rPr>
          <w:t>362</w:t>
        </w:r>
      </w:fldSimple>
      <w:r w:rsidR="00516D82" w:rsidRPr="00AC4AEA">
        <w:rPr>
          <w:rFonts w:ascii="Arial" w:hAnsi="Arial" w:cs="Arial"/>
          <w:sz w:val="20"/>
          <w:szCs w:val="20"/>
        </w:rPr>
        <w:t>,</w:t>
      </w:r>
      <w:r w:rsidRPr="00AC4AEA">
        <w:rPr>
          <w:rFonts w:ascii="Arial" w:hAnsi="Arial" w:cs="Arial"/>
          <w:sz w:val="20"/>
          <w:szCs w:val="20"/>
        </w:rPr>
        <w:t xml:space="preserve"> reconocerá el cargo por depreciación de propiedades de inversión mediante los criterios establecidos </w:t>
      </w:r>
      <w:r w:rsidR="0002272E" w:rsidRPr="00AC4AEA">
        <w:rPr>
          <w:rFonts w:ascii="Arial" w:hAnsi="Arial" w:cs="Arial"/>
          <w:sz w:val="20"/>
          <w:szCs w:val="20"/>
        </w:rPr>
        <w:t>en el apartado</w:t>
      </w:r>
      <w:r w:rsidRPr="00AC4AEA">
        <w:rPr>
          <w:rFonts w:ascii="Arial" w:hAnsi="Arial" w:cs="Arial"/>
          <w:sz w:val="20"/>
          <w:szCs w:val="20"/>
        </w:rPr>
        <w:t xml:space="preserve"> “</w:t>
      </w:r>
      <w:r w:rsidRPr="00AC4AEA">
        <w:rPr>
          <w:rFonts w:ascii="Arial" w:hAnsi="Arial" w:cs="Arial"/>
          <w:sz w:val="20"/>
          <w:szCs w:val="20"/>
          <w:u w:val="single"/>
        </w:rPr>
        <w:t>Depreciaciones</w:t>
      </w:r>
      <w:r w:rsidRPr="00AC4AEA">
        <w:rPr>
          <w:rFonts w:ascii="Arial" w:hAnsi="Arial" w:cs="Arial"/>
          <w:sz w:val="20"/>
          <w:szCs w:val="20"/>
        </w:rPr>
        <w:t>”</w:t>
      </w:r>
      <w:r w:rsidR="0015078B" w:rsidRPr="00AC4AEA">
        <w:rPr>
          <w:rFonts w:ascii="Arial" w:hAnsi="Arial" w:cs="Arial"/>
          <w:sz w:val="20"/>
          <w:szCs w:val="20"/>
        </w:rPr>
        <w:t xml:space="preserve"> [ver los párrafos </w:t>
      </w:r>
      <w:fldSimple w:instr=" REF _Ref99481796 \r \h  \* MERGEFORMAT ">
        <w:r w:rsidR="00D33A5D" w:rsidRPr="00D33A5D">
          <w:rPr>
            <w:rFonts w:ascii="Arial" w:hAnsi="Arial" w:cs="Arial"/>
            <w:sz w:val="20"/>
            <w:szCs w:val="20"/>
          </w:rPr>
          <w:t>339</w:t>
        </w:r>
      </w:fldSimple>
      <w:r w:rsidR="0015078B" w:rsidRPr="00AC4AEA">
        <w:rPr>
          <w:rFonts w:ascii="Arial" w:hAnsi="Arial" w:cs="Arial"/>
          <w:sz w:val="20"/>
          <w:szCs w:val="20"/>
        </w:rPr>
        <w:t xml:space="preserve"> a </w:t>
      </w:r>
      <w:fldSimple w:instr=" REF _Ref99481801 \r \h  \* MERGEFORMAT ">
        <w:r w:rsidR="00D33A5D" w:rsidRPr="00D33A5D">
          <w:rPr>
            <w:rFonts w:ascii="Arial" w:hAnsi="Arial" w:cs="Arial"/>
            <w:sz w:val="20"/>
            <w:szCs w:val="20"/>
          </w:rPr>
          <w:t>345</w:t>
        </w:r>
      </w:fldSimple>
      <w:r w:rsidR="0015078B" w:rsidRPr="00AC4AEA">
        <w:rPr>
          <w:rFonts w:ascii="Arial" w:hAnsi="Arial" w:cs="Arial"/>
          <w:sz w:val="20"/>
          <w:szCs w:val="20"/>
        </w:rPr>
        <w:t xml:space="preserve">] </w:t>
      </w:r>
      <w:r w:rsidRPr="00AC4AEA">
        <w:rPr>
          <w:rFonts w:ascii="Arial" w:hAnsi="Arial" w:cs="Arial"/>
          <w:sz w:val="20"/>
          <w:szCs w:val="20"/>
        </w:rPr>
        <w:t>de</w:t>
      </w:r>
      <w:r w:rsidR="00EF4051" w:rsidRPr="00AC4AEA">
        <w:rPr>
          <w:rFonts w:ascii="Arial" w:hAnsi="Arial" w:cs="Arial"/>
          <w:sz w:val="20"/>
          <w:szCs w:val="20"/>
        </w:rPr>
        <w:t xml:space="preserve"> </w:t>
      </w:r>
      <w:r w:rsidRPr="00AC4AEA">
        <w:rPr>
          <w:rFonts w:ascii="Arial" w:hAnsi="Arial" w:cs="Arial"/>
          <w:sz w:val="20"/>
          <w:szCs w:val="20"/>
        </w:rPr>
        <w:t>l</w:t>
      </w:r>
      <w:r w:rsidR="00EF4051" w:rsidRPr="00AC4AEA">
        <w:rPr>
          <w:rFonts w:ascii="Arial" w:hAnsi="Arial" w:cs="Arial"/>
          <w:sz w:val="20"/>
          <w:szCs w:val="20"/>
        </w:rPr>
        <w:t>a</w:t>
      </w:r>
      <w:r w:rsidRPr="00AC4AEA">
        <w:rPr>
          <w:rFonts w:ascii="Arial" w:hAnsi="Arial" w:cs="Arial"/>
          <w:sz w:val="20"/>
          <w:szCs w:val="20"/>
        </w:rPr>
        <w:t xml:space="preserve"> </w:t>
      </w:r>
      <w:r w:rsidR="00EF4051" w:rsidRPr="00AC4AEA">
        <w:rPr>
          <w:rFonts w:ascii="Arial" w:hAnsi="Arial" w:cs="Arial"/>
          <w:sz w:val="20"/>
          <w:szCs w:val="20"/>
        </w:rPr>
        <w:t xml:space="preserve">sección correspondiente a </w:t>
      </w:r>
      <w:r w:rsidRPr="00AC4AEA">
        <w:rPr>
          <w:rFonts w:ascii="Arial" w:hAnsi="Arial" w:cs="Arial"/>
          <w:sz w:val="20"/>
          <w:szCs w:val="20"/>
        </w:rPr>
        <w:t>“</w:t>
      </w:r>
      <w:r w:rsidRPr="00AC4AEA">
        <w:rPr>
          <w:rFonts w:ascii="Arial" w:hAnsi="Arial" w:cs="Arial"/>
          <w:sz w:val="20"/>
          <w:szCs w:val="20"/>
          <w:u w:val="single"/>
        </w:rPr>
        <w:t>Bienes de uso y depreciaciones</w:t>
      </w:r>
      <w:r w:rsidRPr="00AC4AEA">
        <w:rPr>
          <w:rFonts w:ascii="Arial" w:hAnsi="Arial" w:cs="Arial"/>
          <w:sz w:val="20"/>
          <w:szCs w:val="20"/>
        </w:rPr>
        <w:t>”</w:t>
      </w:r>
      <w:r w:rsidR="0002272E" w:rsidRPr="00AC4AEA">
        <w:rPr>
          <w:rFonts w:ascii="Arial" w:hAnsi="Arial" w:cs="Arial"/>
          <w:sz w:val="20"/>
          <w:szCs w:val="20"/>
        </w:rPr>
        <w:t xml:space="preserve"> [ver los párrafos </w:t>
      </w:r>
      <w:fldSimple w:instr=" REF _Ref74757440 \r \h  \* MERGEFORMAT ">
        <w:r w:rsidR="00D33A5D" w:rsidRPr="00D33A5D">
          <w:rPr>
            <w:rFonts w:ascii="Arial" w:hAnsi="Arial" w:cs="Arial"/>
            <w:sz w:val="20"/>
            <w:szCs w:val="20"/>
          </w:rPr>
          <w:t>313</w:t>
        </w:r>
      </w:fldSimple>
      <w:r w:rsidR="0002272E" w:rsidRPr="00AC4AEA">
        <w:rPr>
          <w:rFonts w:ascii="Arial" w:hAnsi="Arial" w:cs="Arial"/>
          <w:sz w:val="20"/>
          <w:szCs w:val="20"/>
        </w:rPr>
        <w:t xml:space="preserve"> a </w:t>
      </w:r>
      <w:fldSimple w:instr=" REF _Ref99481656 \r \h  \* MERGEFORMAT ">
        <w:r w:rsidR="00D33A5D" w:rsidRPr="00D33A5D">
          <w:rPr>
            <w:rFonts w:ascii="Arial" w:hAnsi="Arial" w:cs="Arial"/>
            <w:sz w:val="20"/>
            <w:szCs w:val="20"/>
          </w:rPr>
          <w:t>358</w:t>
        </w:r>
      </w:fldSimple>
      <w:r w:rsidR="0002272E" w:rsidRPr="00AC4AEA">
        <w:rPr>
          <w:rFonts w:ascii="Arial" w:hAnsi="Arial" w:cs="Arial"/>
          <w:sz w:val="20"/>
          <w:szCs w:val="20"/>
        </w:rPr>
        <w:t>]</w:t>
      </w:r>
      <w:r w:rsidRPr="00AC4AEA">
        <w:rPr>
          <w:rFonts w:ascii="Arial" w:hAnsi="Arial" w:cs="Arial"/>
          <w:sz w:val="20"/>
          <w:szCs w:val="20"/>
        </w:rPr>
        <w:t>.</w:t>
      </w:r>
    </w:p>
    <w:p w:rsidR="00FD2CCE" w:rsidRPr="00AC4AEA" w:rsidRDefault="00FD2CCE" w:rsidP="00A318EA">
      <w:pPr>
        <w:jc w:val="both"/>
        <w:rPr>
          <w:rFonts w:ascii="Arial" w:hAnsi="Arial" w:cs="Arial"/>
          <w:b/>
          <w:bCs/>
          <w:sz w:val="20"/>
          <w:szCs w:val="20"/>
        </w:rPr>
      </w:pPr>
    </w:p>
    <w:p w:rsidR="00FD2CCE" w:rsidRPr="00AC4AEA" w:rsidRDefault="00FD2CCE" w:rsidP="00A318EA">
      <w:pPr>
        <w:pStyle w:val="Ttulo2"/>
        <w:rPr>
          <w:rFonts w:cs="Arial"/>
        </w:rPr>
      </w:pPr>
      <w:bookmarkStart w:id="533" w:name="_Toc101863879"/>
      <w:bookmarkStart w:id="534" w:name="_Toc139356741"/>
      <w:r w:rsidRPr="00AC4AEA">
        <w:rPr>
          <w:rFonts w:cs="Arial"/>
        </w:rPr>
        <w:t>Comparación con el valor recuperable</w:t>
      </w:r>
      <w:bookmarkEnd w:id="533"/>
      <w:bookmarkEnd w:id="534"/>
    </w:p>
    <w:p w:rsidR="00E1484A" w:rsidRPr="00AC4AEA" w:rsidRDefault="00E1484A" w:rsidP="00A318EA">
      <w:pPr>
        <w:pStyle w:val="A-Normal11"/>
        <w:numPr>
          <w:ilvl w:val="0"/>
          <w:numId w:val="29"/>
        </w:numPr>
        <w:jc w:val="both"/>
        <w:rPr>
          <w:rFonts w:ascii="Arial" w:hAnsi="Arial" w:cs="Arial"/>
          <w:sz w:val="20"/>
        </w:rPr>
      </w:pPr>
      <w:r w:rsidRPr="00AC4AEA">
        <w:rPr>
          <w:rFonts w:ascii="Arial" w:hAnsi="Arial" w:cs="Arial"/>
          <w:sz w:val="20"/>
        </w:rPr>
        <w:t xml:space="preserve">A los fines indicados en </w:t>
      </w:r>
      <w:r w:rsidR="0036472C" w:rsidRPr="00AC4AEA">
        <w:rPr>
          <w:rFonts w:ascii="Arial" w:hAnsi="Arial" w:cs="Arial"/>
          <w:sz w:val="20"/>
        </w:rPr>
        <w:t xml:space="preserve">este </w:t>
      </w:r>
      <w:r w:rsidR="009D19FF">
        <w:rPr>
          <w:rFonts w:ascii="Arial" w:hAnsi="Arial" w:cs="Arial"/>
          <w:sz w:val="20"/>
        </w:rPr>
        <w:t>apartado</w:t>
      </w:r>
      <w:r w:rsidRPr="00AC4AEA">
        <w:rPr>
          <w:rFonts w:ascii="Arial" w:hAnsi="Arial" w:cs="Arial"/>
          <w:sz w:val="20"/>
        </w:rPr>
        <w:t>, una entidad aplicará lo establecido en la sección “</w:t>
      </w:r>
      <w:r w:rsidRPr="00AC4AEA">
        <w:rPr>
          <w:rFonts w:ascii="Arial" w:hAnsi="Arial" w:cs="Arial"/>
          <w:sz w:val="20"/>
          <w:u w:val="single"/>
        </w:rPr>
        <w:t xml:space="preserve">Comparación de la medición de ciertos </w:t>
      </w:r>
      <w:r w:rsidR="00497590" w:rsidRPr="00AC4AEA">
        <w:rPr>
          <w:rFonts w:ascii="Arial" w:hAnsi="Arial" w:cs="Arial"/>
          <w:sz w:val="20"/>
          <w:u w:val="single"/>
        </w:rPr>
        <w:t>activos</w:t>
      </w:r>
      <w:r w:rsidRPr="00AC4AEA">
        <w:rPr>
          <w:rFonts w:ascii="Arial" w:hAnsi="Arial" w:cs="Arial"/>
          <w:sz w:val="20"/>
          <w:u w:val="single"/>
        </w:rPr>
        <w:t xml:space="preserve"> con su valor recuperable</w:t>
      </w:r>
      <w:r w:rsidRPr="00AC4AEA">
        <w:rPr>
          <w:rFonts w:ascii="Arial" w:hAnsi="Arial" w:cs="Arial"/>
          <w:sz w:val="20"/>
        </w:rPr>
        <w:t>”</w:t>
      </w:r>
      <w:r w:rsidR="0002272E" w:rsidRPr="00AC4AEA">
        <w:rPr>
          <w:rFonts w:ascii="Arial" w:hAnsi="Arial" w:cs="Arial"/>
          <w:sz w:val="20"/>
        </w:rPr>
        <w:t xml:space="preserve"> [ver los párrafos </w:t>
      </w:r>
      <w:fldSimple w:instr=" REF _Ref99481071 \r \h  \* MERGEFORMAT ">
        <w:r w:rsidR="00D33A5D" w:rsidRPr="00D33A5D">
          <w:rPr>
            <w:rFonts w:ascii="Arial" w:hAnsi="Arial" w:cs="Arial"/>
            <w:sz w:val="20"/>
          </w:rPr>
          <w:t>145</w:t>
        </w:r>
      </w:fldSimple>
      <w:r w:rsidR="0002272E" w:rsidRPr="00AC4AEA">
        <w:rPr>
          <w:rFonts w:ascii="Arial" w:hAnsi="Arial" w:cs="Arial"/>
          <w:sz w:val="20"/>
        </w:rPr>
        <w:t xml:space="preserve"> a </w:t>
      </w:r>
      <w:fldSimple w:instr=" REF _Ref99481072 \r \h  \* MERGEFORMAT ">
        <w:r w:rsidR="00D33A5D" w:rsidRPr="00D33A5D">
          <w:rPr>
            <w:rFonts w:ascii="Arial" w:hAnsi="Arial" w:cs="Arial"/>
            <w:sz w:val="20"/>
          </w:rPr>
          <w:t>175</w:t>
        </w:r>
      </w:fldSimple>
      <w:r w:rsidR="0002272E" w:rsidRPr="00AC4AEA">
        <w:rPr>
          <w:rFonts w:ascii="Arial" w:hAnsi="Arial" w:cs="Arial"/>
          <w:sz w:val="20"/>
        </w:rPr>
        <w:t>].</w:t>
      </w:r>
      <w:r w:rsidR="00333942" w:rsidRPr="00AC4AEA">
        <w:rPr>
          <w:rFonts w:ascii="Arial" w:hAnsi="Arial" w:cs="Arial"/>
          <w:sz w:val="20"/>
        </w:rPr>
        <w:t xml:space="preserve"> A</w:t>
      </w:r>
      <w:r w:rsidR="00FE5C16" w:rsidRPr="00AC4AEA">
        <w:rPr>
          <w:rFonts w:ascii="Arial" w:hAnsi="Arial" w:cs="Arial"/>
          <w:sz w:val="20"/>
        </w:rPr>
        <w:t>l</w:t>
      </w:r>
      <w:r w:rsidR="00333942" w:rsidRPr="00AC4AEA">
        <w:rPr>
          <w:rFonts w:ascii="Arial" w:hAnsi="Arial" w:cs="Arial"/>
          <w:sz w:val="20"/>
        </w:rPr>
        <w:t xml:space="preserve"> </w:t>
      </w:r>
      <w:r w:rsidR="006446EF" w:rsidRPr="00AC4AEA">
        <w:rPr>
          <w:rFonts w:ascii="Arial" w:hAnsi="Arial" w:cs="Arial"/>
          <w:sz w:val="20"/>
        </w:rPr>
        <w:t>aplicar este requerimiento</w:t>
      </w:r>
      <w:r w:rsidR="00333942" w:rsidRPr="00AC4AEA">
        <w:rPr>
          <w:rFonts w:ascii="Arial" w:hAnsi="Arial" w:cs="Arial"/>
          <w:sz w:val="20"/>
        </w:rPr>
        <w:t>, deber</w:t>
      </w:r>
      <w:r w:rsidR="006446EF" w:rsidRPr="00AC4AEA">
        <w:rPr>
          <w:rFonts w:ascii="Arial" w:hAnsi="Arial" w:cs="Arial"/>
          <w:sz w:val="20"/>
        </w:rPr>
        <w:t xml:space="preserve">á considerar la excepción establecida en el inciso b) del párrafo </w:t>
      </w:r>
      <w:fldSimple w:instr=" REF _Ref103269834 \r \h  \* MERGEFORMAT ">
        <w:r w:rsidR="00D33A5D" w:rsidRPr="00D33A5D">
          <w:rPr>
            <w:rFonts w:ascii="Arial" w:hAnsi="Arial" w:cs="Arial"/>
            <w:sz w:val="20"/>
          </w:rPr>
          <w:t>146</w:t>
        </w:r>
      </w:fldSimple>
      <w:r w:rsidR="006446EF" w:rsidRPr="00AC4AEA">
        <w:rPr>
          <w:rFonts w:ascii="Arial" w:hAnsi="Arial" w:cs="Arial"/>
          <w:sz w:val="20"/>
        </w:rPr>
        <w:t>.</w:t>
      </w:r>
    </w:p>
    <w:p w:rsidR="0052091A" w:rsidRPr="00AC4AEA" w:rsidRDefault="0052091A" w:rsidP="00A318EA">
      <w:pPr>
        <w:pStyle w:val="A-Normal11"/>
        <w:jc w:val="both"/>
        <w:rPr>
          <w:rFonts w:ascii="Arial" w:eastAsiaTheme="minorHAnsi" w:hAnsi="Arial" w:cs="Arial"/>
          <w:b/>
          <w:sz w:val="20"/>
          <w:lang w:eastAsia="en-US"/>
        </w:rPr>
      </w:pPr>
    </w:p>
    <w:p w:rsidR="00FC62C5" w:rsidRPr="00AC4AEA" w:rsidRDefault="00FC62C5" w:rsidP="00A318EA">
      <w:pPr>
        <w:pStyle w:val="Ttulo2"/>
        <w:rPr>
          <w:rFonts w:cs="Arial"/>
        </w:rPr>
      </w:pPr>
      <w:bookmarkStart w:id="535" w:name="_Toc139356742"/>
      <w:r w:rsidRPr="00AC4AEA">
        <w:rPr>
          <w:rFonts w:cs="Arial"/>
        </w:rPr>
        <w:t>Compensación por desvalorización, pérdida o abandono</w:t>
      </w:r>
      <w:bookmarkEnd w:id="535"/>
    </w:p>
    <w:p w:rsidR="00016A8E" w:rsidRPr="00AC4AEA" w:rsidRDefault="00016A8E" w:rsidP="00A318EA">
      <w:pPr>
        <w:pStyle w:val="A-Normal11"/>
        <w:numPr>
          <w:ilvl w:val="0"/>
          <w:numId w:val="29"/>
        </w:numPr>
        <w:jc w:val="both"/>
        <w:rPr>
          <w:rFonts w:ascii="Arial" w:hAnsi="Arial" w:cs="Arial"/>
          <w:sz w:val="20"/>
        </w:rPr>
      </w:pPr>
      <w:r w:rsidRPr="00AC4AEA">
        <w:rPr>
          <w:rFonts w:ascii="Arial" w:hAnsi="Arial" w:cs="Arial"/>
          <w:sz w:val="20"/>
        </w:rPr>
        <w:t>Una entidad incluirá en el resultado del período, y cuando tales conceptos sean exigibles, las compensaciones procedentes de terceros por elementos de propiedades de inversión que:</w:t>
      </w:r>
    </w:p>
    <w:p w:rsidR="00016A8E" w:rsidRPr="00AC4AEA" w:rsidRDefault="00016A8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hayan experimentado una desvalorización; </w:t>
      </w:r>
    </w:p>
    <w:p w:rsidR="00016A8E" w:rsidRPr="00AC4AEA" w:rsidRDefault="00016A8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se hayan perdido; o </w:t>
      </w:r>
    </w:p>
    <w:p w:rsidR="006566EB" w:rsidRPr="00AC4AEA" w:rsidRDefault="00016A8E" w:rsidP="00A318EA">
      <w:pPr>
        <w:pStyle w:val="A-Normal11"/>
        <w:numPr>
          <w:ilvl w:val="1"/>
          <w:numId w:val="29"/>
        </w:numPr>
        <w:ind w:left="1560"/>
        <w:jc w:val="both"/>
        <w:rPr>
          <w:rFonts w:ascii="Arial" w:hAnsi="Arial" w:cs="Arial"/>
          <w:sz w:val="20"/>
        </w:rPr>
      </w:pPr>
      <w:r w:rsidRPr="00AC4AEA">
        <w:rPr>
          <w:rFonts w:ascii="Arial" w:hAnsi="Arial" w:cs="Arial"/>
          <w:sz w:val="20"/>
        </w:rPr>
        <w:t>haya abandonado</w:t>
      </w:r>
      <w:r w:rsidR="006566EB" w:rsidRPr="00AC4AEA">
        <w:rPr>
          <w:rFonts w:ascii="Arial" w:hAnsi="Arial" w:cs="Arial"/>
          <w:sz w:val="20"/>
        </w:rPr>
        <w:t>.</w:t>
      </w:r>
    </w:p>
    <w:p w:rsidR="006566EB" w:rsidRPr="00AC4AEA" w:rsidRDefault="006566EB" w:rsidP="00A318EA">
      <w:pPr>
        <w:pStyle w:val="A-Normal11"/>
        <w:ind w:left="993"/>
        <w:jc w:val="both"/>
        <w:rPr>
          <w:rFonts w:ascii="Arial" w:hAnsi="Arial" w:cs="Arial"/>
          <w:sz w:val="20"/>
        </w:rPr>
      </w:pPr>
    </w:p>
    <w:p w:rsidR="00BF00E4" w:rsidRPr="00AC4AEA" w:rsidRDefault="00D32693" w:rsidP="00A318EA">
      <w:pPr>
        <w:pStyle w:val="Ttulo2"/>
        <w:rPr>
          <w:rFonts w:cs="Arial"/>
        </w:rPr>
      </w:pPr>
      <w:bookmarkStart w:id="536" w:name="_Toc139356743"/>
      <w:r w:rsidRPr="00AC4AEA">
        <w:rPr>
          <w:rFonts w:cs="Arial"/>
        </w:rPr>
        <w:lastRenderedPageBreak/>
        <w:t>Transferencia</w:t>
      </w:r>
      <w:r w:rsidR="002A009A" w:rsidRPr="00AC4AEA">
        <w:rPr>
          <w:rFonts w:cs="Arial"/>
        </w:rPr>
        <w:t>s</w:t>
      </w:r>
      <w:bookmarkEnd w:id="536"/>
    </w:p>
    <w:p w:rsidR="00F67DF0" w:rsidRPr="00AC4AEA" w:rsidRDefault="004A31ED" w:rsidP="00A318EA">
      <w:pPr>
        <w:pStyle w:val="A-Normal11"/>
        <w:numPr>
          <w:ilvl w:val="0"/>
          <w:numId w:val="29"/>
        </w:numPr>
        <w:jc w:val="both"/>
        <w:rPr>
          <w:rFonts w:ascii="Arial" w:hAnsi="Arial" w:cs="Arial"/>
          <w:sz w:val="20"/>
        </w:rPr>
      </w:pPr>
      <w:r w:rsidRPr="00AC4AEA">
        <w:rPr>
          <w:rFonts w:ascii="Arial" w:hAnsi="Arial" w:cs="Arial"/>
          <w:sz w:val="20"/>
        </w:rPr>
        <w:t>Una entidad realizará transferencias a, o de</w:t>
      </w:r>
      <w:r w:rsidR="002A009A" w:rsidRPr="00AC4AEA">
        <w:rPr>
          <w:rFonts w:ascii="Arial" w:hAnsi="Arial" w:cs="Arial"/>
          <w:sz w:val="20"/>
        </w:rPr>
        <w:t>sde</w:t>
      </w:r>
      <w:r w:rsidRPr="00AC4AEA">
        <w:rPr>
          <w:rFonts w:ascii="Arial" w:hAnsi="Arial" w:cs="Arial"/>
          <w:sz w:val="20"/>
        </w:rPr>
        <w:t>, propiedad de inversión cuando</w:t>
      </w:r>
      <w:r w:rsidR="00F67DF0" w:rsidRPr="00AC4AEA">
        <w:rPr>
          <w:rFonts w:ascii="Arial" w:hAnsi="Arial" w:cs="Arial"/>
          <w:sz w:val="20"/>
        </w:rPr>
        <w:t>:</w:t>
      </w:r>
      <w:r w:rsidRPr="00AC4AEA">
        <w:rPr>
          <w:rFonts w:ascii="Arial" w:hAnsi="Arial" w:cs="Arial"/>
          <w:sz w:val="20"/>
        </w:rPr>
        <w:t xml:space="preserve"> </w:t>
      </w:r>
    </w:p>
    <w:p w:rsidR="00F67DF0" w:rsidRPr="00AC4AEA" w:rsidRDefault="00F67DF0" w:rsidP="00A318EA">
      <w:pPr>
        <w:pStyle w:val="Prrafodelista"/>
        <w:numPr>
          <w:ilvl w:val="0"/>
          <w:numId w:val="360"/>
        </w:numPr>
        <w:ind w:left="1560"/>
        <w:contextualSpacing w:val="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activo</w:t>
      </w:r>
      <w:r w:rsidRPr="00AC4AEA">
        <w:rPr>
          <w:rFonts w:ascii="Arial" w:hAnsi="Arial" w:cs="Arial"/>
          <w:sz w:val="20"/>
          <w:szCs w:val="20"/>
        </w:rPr>
        <w:t xml:space="preserve"> empieza a cumplir o deja de cumplir la definición de propiedades de inversión; y</w:t>
      </w:r>
    </w:p>
    <w:p w:rsidR="00F67DF0" w:rsidRPr="00AC4AEA" w:rsidRDefault="00F67DF0" w:rsidP="00A318EA">
      <w:pPr>
        <w:pStyle w:val="Prrafodelista"/>
        <w:numPr>
          <w:ilvl w:val="0"/>
          <w:numId w:val="360"/>
        </w:numPr>
        <w:ind w:left="1560"/>
        <w:contextualSpacing w:val="0"/>
        <w:jc w:val="both"/>
        <w:rPr>
          <w:rFonts w:ascii="Arial" w:hAnsi="Arial" w:cs="Arial"/>
          <w:sz w:val="20"/>
          <w:szCs w:val="20"/>
        </w:rPr>
      </w:pPr>
      <w:r w:rsidRPr="00AC4AEA">
        <w:rPr>
          <w:rFonts w:ascii="Arial" w:hAnsi="Arial" w:cs="Arial"/>
          <w:sz w:val="20"/>
          <w:szCs w:val="20"/>
        </w:rPr>
        <w:t xml:space="preserve">existen evidencias de cambio </w:t>
      </w:r>
      <w:r w:rsidR="00297307" w:rsidRPr="00AC4AEA">
        <w:rPr>
          <w:rFonts w:ascii="Arial" w:hAnsi="Arial" w:cs="Arial"/>
          <w:sz w:val="20"/>
          <w:szCs w:val="20"/>
        </w:rPr>
        <w:t>de uso.</w:t>
      </w:r>
    </w:p>
    <w:p w:rsidR="004A31ED" w:rsidRPr="00AC4AEA" w:rsidRDefault="00F67DF0" w:rsidP="00A318EA">
      <w:pPr>
        <w:pStyle w:val="A-Normal11"/>
        <w:numPr>
          <w:ilvl w:val="0"/>
          <w:numId w:val="29"/>
        </w:numPr>
        <w:jc w:val="both"/>
        <w:rPr>
          <w:rFonts w:ascii="Arial" w:hAnsi="Arial" w:cs="Arial"/>
          <w:sz w:val="20"/>
        </w:rPr>
      </w:pPr>
      <w:r w:rsidRPr="00AC4AEA">
        <w:rPr>
          <w:rFonts w:ascii="Arial" w:hAnsi="Arial" w:cs="Arial"/>
          <w:sz w:val="20"/>
        </w:rPr>
        <w:t xml:space="preserve">A los fines de evaluar la existencia de </w:t>
      </w:r>
      <w:r w:rsidR="00297307" w:rsidRPr="00AC4AEA">
        <w:rPr>
          <w:rFonts w:ascii="Arial" w:hAnsi="Arial" w:cs="Arial"/>
          <w:sz w:val="20"/>
        </w:rPr>
        <w:t>las evidencias indicadas en el inciso b) del párrafo anterior,</w:t>
      </w:r>
      <w:r w:rsidRPr="00AC4AEA">
        <w:rPr>
          <w:rFonts w:ascii="Arial" w:hAnsi="Arial" w:cs="Arial"/>
          <w:sz w:val="20"/>
        </w:rPr>
        <w:t xml:space="preserve"> una entidad podrá considerar l</w:t>
      </w:r>
      <w:r w:rsidR="00297307" w:rsidRPr="00AC4AEA">
        <w:rPr>
          <w:rFonts w:ascii="Arial" w:hAnsi="Arial" w:cs="Arial"/>
          <w:sz w:val="20"/>
        </w:rPr>
        <w:t>o</w:t>
      </w:r>
      <w:r w:rsidRPr="00AC4AEA">
        <w:rPr>
          <w:rFonts w:ascii="Arial" w:hAnsi="Arial" w:cs="Arial"/>
          <w:sz w:val="20"/>
        </w:rPr>
        <w:t xml:space="preserve"> siguiente:</w:t>
      </w:r>
    </w:p>
    <w:p w:rsidR="004A31ED" w:rsidRPr="00AC4AEA" w:rsidRDefault="004A31ED" w:rsidP="00351CB7">
      <w:pPr>
        <w:pStyle w:val="A-Normal11"/>
        <w:numPr>
          <w:ilvl w:val="1"/>
          <w:numId w:val="29"/>
        </w:numPr>
        <w:ind w:left="1418" w:hanging="425"/>
        <w:jc w:val="both"/>
        <w:rPr>
          <w:rFonts w:ascii="Arial" w:hAnsi="Arial" w:cs="Arial"/>
          <w:sz w:val="20"/>
        </w:rPr>
      </w:pPr>
      <w:r w:rsidRPr="00AC4AEA">
        <w:rPr>
          <w:rFonts w:ascii="Arial" w:hAnsi="Arial" w:cs="Arial"/>
          <w:sz w:val="20"/>
        </w:rPr>
        <w:t>el comienzo de la ocupación o del desarrollo con</w:t>
      </w:r>
      <w:r w:rsidR="00086F4C" w:rsidRPr="00AC4AEA">
        <w:rPr>
          <w:rFonts w:ascii="Arial" w:hAnsi="Arial" w:cs="Arial"/>
          <w:sz w:val="20"/>
        </w:rPr>
        <w:t xml:space="preserve"> </w:t>
      </w:r>
      <w:r w:rsidRPr="00AC4AEA">
        <w:rPr>
          <w:rFonts w:ascii="Arial" w:hAnsi="Arial" w:cs="Arial"/>
          <w:sz w:val="20"/>
        </w:rPr>
        <w:t xml:space="preserve">intención de ocupación </w:t>
      </w:r>
      <w:r w:rsidR="00F67DF0" w:rsidRPr="00AC4AEA">
        <w:rPr>
          <w:rFonts w:ascii="Arial" w:hAnsi="Arial" w:cs="Arial"/>
          <w:sz w:val="20"/>
        </w:rPr>
        <w:t>por parte de la misma entidad</w:t>
      </w:r>
      <w:r w:rsidRPr="00AC4AEA">
        <w:rPr>
          <w:rFonts w:ascii="Arial" w:hAnsi="Arial" w:cs="Arial"/>
          <w:sz w:val="20"/>
        </w:rPr>
        <w:t>, en el caso de una</w:t>
      </w:r>
      <w:r w:rsidR="00086F4C" w:rsidRPr="00AC4AEA">
        <w:rPr>
          <w:rFonts w:ascii="Arial" w:hAnsi="Arial" w:cs="Arial"/>
          <w:sz w:val="20"/>
        </w:rPr>
        <w:t xml:space="preserve"> </w:t>
      </w:r>
      <w:r w:rsidRPr="00AC4AEA">
        <w:rPr>
          <w:rFonts w:ascii="Arial" w:hAnsi="Arial" w:cs="Arial"/>
          <w:sz w:val="20"/>
        </w:rPr>
        <w:t>transferencia de</w:t>
      </w:r>
      <w:r w:rsidR="00E65D46" w:rsidRPr="00AC4AEA">
        <w:rPr>
          <w:rFonts w:ascii="Arial" w:hAnsi="Arial" w:cs="Arial"/>
          <w:sz w:val="20"/>
        </w:rPr>
        <w:t>sde</w:t>
      </w:r>
      <w:r w:rsidRPr="00AC4AEA">
        <w:rPr>
          <w:rFonts w:ascii="Arial" w:hAnsi="Arial" w:cs="Arial"/>
          <w:sz w:val="20"/>
        </w:rPr>
        <w:t xml:space="preserve"> propiedad</w:t>
      </w:r>
      <w:r w:rsidR="00E65D46" w:rsidRPr="00AC4AEA">
        <w:rPr>
          <w:rFonts w:ascii="Arial" w:hAnsi="Arial" w:cs="Arial"/>
          <w:sz w:val="20"/>
        </w:rPr>
        <w:t>es</w:t>
      </w:r>
      <w:r w:rsidRPr="00AC4AEA">
        <w:rPr>
          <w:rFonts w:ascii="Arial" w:hAnsi="Arial" w:cs="Arial"/>
          <w:sz w:val="20"/>
        </w:rPr>
        <w:t xml:space="preserve"> de inversión a </w:t>
      </w:r>
      <w:r w:rsidR="00E65D46" w:rsidRPr="00AC4AEA">
        <w:rPr>
          <w:rFonts w:ascii="Arial" w:hAnsi="Arial" w:cs="Arial"/>
          <w:sz w:val="20"/>
        </w:rPr>
        <w:t>“</w:t>
      </w:r>
      <w:r w:rsidR="00185F10" w:rsidRPr="00AC4AEA">
        <w:rPr>
          <w:rFonts w:ascii="Arial" w:hAnsi="Arial" w:cs="Arial"/>
          <w:sz w:val="20"/>
          <w:u w:val="single"/>
        </w:rPr>
        <w:t>bienes de uso</w:t>
      </w:r>
      <w:r w:rsidR="00E65D46" w:rsidRPr="00AC4AEA">
        <w:rPr>
          <w:rFonts w:ascii="Arial" w:hAnsi="Arial" w:cs="Arial"/>
          <w:sz w:val="20"/>
        </w:rPr>
        <w:t>”</w:t>
      </w:r>
      <w:r w:rsidRPr="00AC4AEA">
        <w:rPr>
          <w:rFonts w:ascii="Arial" w:hAnsi="Arial" w:cs="Arial"/>
          <w:sz w:val="20"/>
        </w:rPr>
        <w:t>;</w:t>
      </w:r>
    </w:p>
    <w:p w:rsidR="004A31ED" w:rsidRPr="00AC4AEA" w:rsidRDefault="004A31ED" w:rsidP="00351CB7">
      <w:pPr>
        <w:pStyle w:val="A-Normal11"/>
        <w:numPr>
          <w:ilvl w:val="1"/>
          <w:numId w:val="29"/>
        </w:numPr>
        <w:ind w:left="1418" w:hanging="425"/>
        <w:jc w:val="both"/>
        <w:rPr>
          <w:rFonts w:ascii="Arial" w:hAnsi="Arial" w:cs="Arial"/>
          <w:sz w:val="20"/>
        </w:rPr>
      </w:pPr>
      <w:r w:rsidRPr="00AC4AEA">
        <w:rPr>
          <w:rFonts w:ascii="Arial" w:hAnsi="Arial" w:cs="Arial"/>
          <w:sz w:val="20"/>
        </w:rPr>
        <w:t>el inicio de un desarrollo con intención de venta, en el caso de una</w:t>
      </w:r>
      <w:r w:rsidR="00086F4C" w:rsidRPr="00AC4AEA">
        <w:rPr>
          <w:rFonts w:ascii="Arial" w:hAnsi="Arial" w:cs="Arial"/>
          <w:sz w:val="20"/>
        </w:rPr>
        <w:t xml:space="preserve"> </w:t>
      </w:r>
      <w:r w:rsidRPr="00AC4AEA">
        <w:rPr>
          <w:rFonts w:ascii="Arial" w:hAnsi="Arial" w:cs="Arial"/>
          <w:sz w:val="20"/>
        </w:rPr>
        <w:t>transferencia de</w:t>
      </w:r>
      <w:r w:rsidR="00E65D46" w:rsidRPr="00AC4AEA">
        <w:rPr>
          <w:rFonts w:ascii="Arial" w:hAnsi="Arial" w:cs="Arial"/>
          <w:sz w:val="20"/>
        </w:rPr>
        <w:t>sde</w:t>
      </w:r>
      <w:r w:rsidRPr="00AC4AEA">
        <w:rPr>
          <w:rFonts w:ascii="Arial" w:hAnsi="Arial" w:cs="Arial"/>
          <w:sz w:val="20"/>
        </w:rPr>
        <w:t xml:space="preserve"> propiedad</w:t>
      </w:r>
      <w:r w:rsidR="00E65D46" w:rsidRPr="00AC4AEA">
        <w:rPr>
          <w:rFonts w:ascii="Arial" w:hAnsi="Arial" w:cs="Arial"/>
          <w:sz w:val="20"/>
        </w:rPr>
        <w:t>es</w:t>
      </w:r>
      <w:r w:rsidRPr="00AC4AEA">
        <w:rPr>
          <w:rFonts w:ascii="Arial" w:hAnsi="Arial" w:cs="Arial"/>
          <w:sz w:val="20"/>
        </w:rPr>
        <w:t xml:space="preserve"> de inversión a </w:t>
      </w:r>
      <w:r w:rsidR="00E65D46" w:rsidRPr="00AC4AEA">
        <w:rPr>
          <w:rFonts w:ascii="Arial" w:hAnsi="Arial" w:cs="Arial"/>
          <w:sz w:val="20"/>
        </w:rPr>
        <w:t>“</w:t>
      </w:r>
      <w:r w:rsidR="00185F10" w:rsidRPr="00AC4AEA">
        <w:rPr>
          <w:rFonts w:ascii="Arial" w:hAnsi="Arial" w:cs="Arial"/>
          <w:sz w:val="20"/>
          <w:u w:val="single"/>
        </w:rPr>
        <w:t>bienes de cambio</w:t>
      </w:r>
      <w:r w:rsidR="00E65D46" w:rsidRPr="00AC4AEA">
        <w:rPr>
          <w:rFonts w:ascii="Arial" w:hAnsi="Arial" w:cs="Arial"/>
          <w:sz w:val="20"/>
        </w:rPr>
        <w:t>”</w:t>
      </w:r>
      <w:r w:rsidRPr="00AC4AEA">
        <w:rPr>
          <w:rFonts w:ascii="Arial" w:hAnsi="Arial" w:cs="Arial"/>
          <w:sz w:val="20"/>
        </w:rPr>
        <w:t>;</w:t>
      </w:r>
    </w:p>
    <w:p w:rsidR="004A31ED" w:rsidRPr="00AC4AEA" w:rsidRDefault="004A31ED" w:rsidP="00351CB7">
      <w:pPr>
        <w:pStyle w:val="A-Normal11"/>
        <w:numPr>
          <w:ilvl w:val="1"/>
          <w:numId w:val="29"/>
        </w:numPr>
        <w:ind w:left="1418" w:hanging="425"/>
        <w:jc w:val="both"/>
        <w:rPr>
          <w:rFonts w:ascii="Arial" w:hAnsi="Arial" w:cs="Arial"/>
          <w:sz w:val="20"/>
        </w:rPr>
      </w:pPr>
      <w:r w:rsidRPr="00AC4AEA">
        <w:rPr>
          <w:rFonts w:ascii="Arial" w:hAnsi="Arial" w:cs="Arial"/>
          <w:sz w:val="20"/>
        </w:rPr>
        <w:t xml:space="preserve">el fin de la ocupación por parte </w:t>
      </w:r>
      <w:r w:rsidR="00F67DF0" w:rsidRPr="00AC4AEA">
        <w:rPr>
          <w:rFonts w:ascii="Arial" w:hAnsi="Arial" w:cs="Arial"/>
          <w:sz w:val="20"/>
        </w:rPr>
        <w:t>de la entidad</w:t>
      </w:r>
      <w:r w:rsidRPr="00AC4AEA">
        <w:rPr>
          <w:rFonts w:ascii="Arial" w:hAnsi="Arial" w:cs="Arial"/>
          <w:sz w:val="20"/>
        </w:rPr>
        <w:t>, en el caso de la</w:t>
      </w:r>
      <w:r w:rsidR="00086F4C" w:rsidRPr="00AC4AEA">
        <w:rPr>
          <w:rFonts w:ascii="Arial" w:hAnsi="Arial" w:cs="Arial"/>
          <w:sz w:val="20"/>
        </w:rPr>
        <w:t xml:space="preserve"> </w:t>
      </w:r>
      <w:r w:rsidRPr="00AC4AEA">
        <w:rPr>
          <w:rFonts w:ascii="Arial" w:hAnsi="Arial" w:cs="Arial"/>
          <w:sz w:val="20"/>
        </w:rPr>
        <w:t>transferencia de</w:t>
      </w:r>
      <w:r w:rsidR="00E65D46" w:rsidRPr="00AC4AEA">
        <w:rPr>
          <w:rFonts w:ascii="Arial" w:hAnsi="Arial" w:cs="Arial"/>
          <w:sz w:val="20"/>
        </w:rPr>
        <w:t>sde</w:t>
      </w:r>
      <w:r w:rsidRPr="00AC4AEA">
        <w:rPr>
          <w:rFonts w:ascii="Arial" w:hAnsi="Arial" w:cs="Arial"/>
          <w:sz w:val="20"/>
        </w:rPr>
        <w:t xml:space="preserve"> </w:t>
      </w:r>
      <w:r w:rsidR="00E65D46" w:rsidRPr="00AC4AEA">
        <w:rPr>
          <w:rFonts w:ascii="Arial" w:hAnsi="Arial" w:cs="Arial"/>
          <w:sz w:val="20"/>
        </w:rPr>
        <w:t>“</w:t>
      </w:r>
      <w:r w:rsidR="00185F10" w:rsidRPr="00AC4AEA">
        <w:rPr>
          <w:rFonts w:ascii="Arial" w:hAnsi="Arial" w:cs="Arial"/>
          <w:sz w:val="20"/>
          <w:u w:val="single"/>
        </w:rPr>
        <w:t xml:space="preserve">bienes </w:t>
      </w:r>
      <w:r w:rsidR="002033F7" w:rsidRPr="00AC4AEA">
        <w:rPr>
          <w:rFonts w:ascii="Arial" w:hAnsi="Arial" w:cs="Arial"/>
          <w:sz w:val="20"/>
          <w:u w:val="single"/>
        </w:rPr>
        <w:t>de uso</w:t>
      </w:r>
      <w:r w:rsidR="00E65D46" w:rsidRPr="00AC4AEA">
        <w:rPr>
          <w:rFonts w:ascii="Arial" w:hAnsi="Arial" w:cs="Arial"/>
          <w:sz w:val="20"/>
        </w:rPr>
        <w:t>”</w:t>
      </w:r>
      <w:r w:rsidR="002033F7" w:rsidRPr="00AC4AEA">
        <w:rPr>
          <w:rFonts w:ascii="Arial" w:hAnsi="Arial" w:cs="Arial"/>
          <w:sz w:val="20"/>
        </w:rPr>
        <w:t xml:space="preserve"> </w:t>
      </w:r>
      <w:r w:rsidRPr="00AC4AEA">
        <w:rPr>
          <w:rFonts w:ascii="Arial" w:hAnsi="Arial" w:cs="Arial"/>
          <w:sz w:val="20"/>
        </w:rPr>
        <w:t>a propiedad</w:t>
      </w:r>
      <w:r w:rsidR="00E65D46" w:rsidRPr="00AC4AEA">
        <w:rPr>
          <w:rFonts w:ascii="Arial" w:hAnsi="Arial" w:cs="Arial"/>
          <w:sz w:val="20"/>
        </w:rPr>
        <w:t>es</w:t>
      </w:r>
      <w:r w:rsidRPr="00AC4AEA">
        <w:rPr>
          <w:rFonts w:ascii="Arial" w:hAnsi="Arial" w:cs="Arial"/>
          <w:sz w:val="20"/>
        </w:rPr>
        <w:t xml:space="preserve"> de inversión; </w:t>
      </w:r>
      <w:r w:rsidR="002033F7" w:rsidRPr="00AC4AEA">
        <w:rPr>
          <w:rFonts w:ascii="Arial" w:hAnsi="Arial" w:cs="Arial"/>
          <w:sz w:val="20"/>
        </w:rPr>
        <w:t>o</w:t>
      </w:r>
    </w:p>
    <w:p w:rsidR="002C3FB9" w:rsidRPr="00AC4AEA" w:rsidRDefault="002033F7" w:rsidP="00351CB7">
      <w:pPr>
        <w:pStyle w:val="A-Normal11"/>
        <w:numPr>
          <w:ilvl w:val="1"/>
          <w:numId w:val="29"/>
        </w:numPr>
        <w:ind w:left="1418" w:hanging="425"/>
        <w:jc w:val="both"/>
        <w:rPr>
          <w:rFonts w:ascii="Arial" w:hAnsi="Arial" w:cs="Arial"/>
          <w:sz w:val="20"/>
        </w:rPr>
      </w:pPr>
      <w:r w:rsidRPr="00AC4AEA">
        <w:rPr>
          <w:rFonts w:ascii="Arial" w:hAnsi="Arial" w:cs="Arial"/>
          <w:sz w:val="20"/>
        </w:rPr>
        <w:t>el inicio de una operación de arrendamiento operativo a un tercero, en el caso de una transferencia de</w:t>
      </w:r>
      <w:r w:rsidR="00E65D46" w:rsidRPr="00AC4AEA">
        <w:rPr>
          <w:rFonts w:ascii="Arial" w:hAnsi="Arial" w:cs="Arial"/>
          <w:sz w:val="20"/>
        </w:rPr>
        <w:t>sde</w:t>
      </w:r>
      <w:r w:rsidRPr="00AC4AEA">
        <w:rPr>
          <w:rFonts w:ascii="Arial" w:hAnsi="Arial" w:cs="Arial"/>
          <w:sz w:val="20"/>
        </w:rPr>
        <w:t xml:space="preserve"> </w:t>
      </w:r>
      <w:r w:rsidR="00E65D46" w:rsidRPr="00AC4AEA">
        <w:rPr>
          <w:rFonts w:ascii="Arial" w:hAnsi="Arial" w:cs="Arial"/>
          <w:sz w:val="20"/>
        </w:rPr>
        <w:t>“</w:t>
      </w:r>
      <w:r w:rsidRPr="00AC4AEA">
        <w:rPr>
          <w:rFonts w:ascii="Arial" w:hAnsi="Arial" w:cs="Arial"/>
          <w:sz w:val="20"/>
          <w:u w:val="single"/>
        </w:rPr>
        <w:t>bienes de cambio</w:t>
      </w:r>
      <w:r w:rsidR="00E65D46" w:rsidRPr="00AC4AEA">
        <w:rPr>
          <w:rFonts w:ascii="Arial" w:hAnsi="Arial" w:cs="Arial"/>
          <w:sz w:val="20"/>
        </w:rPr>
        <w:t>”</w:t>
      </w:r>
      <w:r w:rsidRPr="00AC4AEA">
        <w:rPr>
          <w:rFonts w:ascii="Arial" w:hAnsi="Arial" w:cs="Arial"/>
          <w:sz w:val="20"/>
        </w:rPr>
        <w:t xml:space="preserve"> a propiedad</w:t>
      </w:r>
      <w:r w:rsidR="00E65D46" w:rsidRPr="00AC4AEA">
        <w:rPr>
          <w:rFonts w:ascii="Arial" w:hAnsi="Arial" w:cs="Arial"/>
          <w:sz w:val="20"/>
        </w:rPr>
        <w:t>es</w:t>
      </w:r>
      <w:r w:rsidRPr="00AC4AEA">
        <w:rPr>
          <w:rFonts w:ascii="Arial" w:hAnsi="Arial" w:cs="Arial"/>
          <w:sz w:val="20"/>
        </w:rPr>
        <w:t xml:space="preserve"> de inversión.</w:t>
      </w:r>
    </w:p>
    <w:p w:rsidR="004372F0" w:rsidRPr="00AC4AEA" w:rsidRDefault="004372F0" w:rsidP="00A318EA">
      <w:pPr>
        <w:pStyle w:val="A-Normal11"/>
        <w:numPr>
          <w:ilvl w:val="0"/>
          <w:numId w:val="29"/>
        </w:numPr>
        <w:jc w:val="both"/>
        <w:rPr>
          <w:rFonts w:ascii="Arial" w:hAnsi="Arial" w:cs="Arial"/>
          <w:sz w:val="20"/>
        </w:rPr>
      </w:pPr>
      <w:r w:rsidRPr="00AC4AEA">
        <w:rPr>
          <w:rFonts w:ascii="Arial" w:hAnsi="Arial" w:cs="Arial"/>
          <w:sz w:val="20"/>
        </w:rPr>
        <w:t>Una entidad no reclasificará un inmueble y, por lo tanto, lo mantendrá dentro de propiedades de inversión cuando decida:</w:t>
      </w:r>
    </w:p>
    <w:p w:rsidR="002A009A" w:rsidRPr="00AC4AEA" w:rsidRDefault="004372F0" w:rsidP="00351CB7">
      <w:pPr>
        <w:pStyle w:val="A-Normal11"/>
        <w:numPr>
          <w:ilvl w:val="1"/>
          <w:numId w:val="29"/>
        </w:numPr>
        <w:ind w:left="1560"/>
        <w:jc w:val="both"/>
        <w:rPr>
          <w:rFonts w:ascii="Arial" w:hAnsi="Arial" w:cs="Arial"/>
          <w:sz w:val="20"/>
        </w:rPr>
      </w:pPr>
      <w:r w:rsidRPr="00AC4AEA">
        <w:rPr>
          <w:rFonts w:ascii="Arial" w:hAnsi="Arial" w:cs="Arial"/>
          <w:sz w:val="20"/>
        </w:rPr>
        <w:t>Su venta o disposición.</w:t>
      </w:r>
    </w:p>
    <w:p w:rsidR="002A009A" w:rsidRPr="00AC4AEA" w:rsidRDefault="004372F0" w:rsidP="00351CB7">
      <w:pPr>
        <w:pStyle w:val="A-Normal11"/>
        <w:numPr>
          <w:ilvl w:val="1"/>
          <w:numId w:val="29"/>
        </w:numPr>
        <w:ind w:left="1560"/>
        <w:jc w:val="both"/>
        <w:rPr>
          <w:rFonts w:ascii="Arial" w:hAnsi="Arial" w:cs="Arial"/>
          <w:sz w:val="20"/>
        </w:rPr>
      </w:pPr>
      <w:r w:rsidRPr="00AC4AEA">
        <w:rPr>
          <w:rFonts w:ascii="Arial" w:hAnsi="Arial" w:cs="Arial"/>
          <w:sz w:val="20"/>
        </w:rPr>
        <w:t>El reinicio de su</w:t>
      </w:r>
      <w:r w:rsidR="002A009A" w:rsidRPr="00AC4AEA">
        <w:rPr>
          <w:rFonts w:ascii="Arial" w:hAnsi="Arial" w:cs="Arial"/>
          <w:sz w:val="20"/>
        </w:rPr>
        <w:t xml:space="preserve"> desarrollo </w:t>
      </w:r>
      <w:r w:rsidRPr="00AC4AEA">
        <w:rPr>
          <w:rFonts w:ascii="Arial" w:hAnsi="Arial" w:cs="Arial"/>
          <w:sz w:val="20"/>
        </w:rPr>
        <w:t>con el fin de</w:t>
      </w:r>
      <w:r w:rsidR="002A009A" w:rsidRPr="00AC4AEA">
        <w:rPr>
          <w:rFonts w:ascii="Arial" w:hAnsi="Arial" w:cs="Arial"/>
          <w:sz w:val="20"/>
        </w:rPr>
        <w:t xml:space="preserve"> para mantenerl</w:t>
      </w:r>
      <w:r w:rsidRPr="00AC4AEA">
        <w:rPr>
          <w:rFonts w:ascii="Arial" w:hAnsi="Arial" w:cs="Arial"/>
          <w:sz w:val="20"/>
        </w:rPr>
        <w:t>o como propiedad de inversión</w:t>
      </w:r>
      <w:r w:rsidR="002A009A" w:rsidRPr="00AC4AEA">
        <w:rPr>
          <w:rFonts w:ascii="Arial" w:hAnsi="Arial" w:cs="Arial"/>
          <w:sz w:val="20"/>
        </w:rPr>
        <w:t xml:space="preserve"> en el futuro</w:t>
      </w:r>
      <w:r w:rsidRPr="00AC4AEA">
        <w:rPr>
          <w:rFonts w:ascii="Arial" w:hAnsi="Arial" w:cs="Arial"/>
          <w:sz w:val="20"/>
        </w:rPr>
        <w:t>.</w:t>
      </w:r>
    </w:p>
    <w:p w:rsidR="00851763" w:rsidRPr="00AC4AEA" w:rsidRDefault="002A009A" w:rsidP="00A318EA">
      <w:pPr>
        <w:pStyle w:val="A-Normal11"/>
        <w:numPr>
          <w:ilvl w:val="0"/>
          <w:numId w:val="29"/>
        </w:numPr>
        <w:jc w:val="both"/>
        <w:rPr>
          <w:rFonts w:ascii="Arial" w:hAnsi="Arial" w:cs="Arial"/>
          <w:sz w:val="20"/>
        </w:rPr>
      </w:pPr>
      <w:r w:rsidRPr="00AC4AEA">
        <w:rPr>
          <w:rFonts w:ascii="Arial" w:hAnsi="Arial" w:cs="Arial"/>
          <w:sz w:val="20"/>
        </w:rPr>
        <w:t>Cuando</w:t>
      </w:r>
      <w:r w:rsidR="00851763" w:rsidRPr="00AC4AEA">
        <w:rPr>
          <w:rFonts w:ascii="Arial" w:hAnsi="Arial" w:cs="Arial"/>
          <w:sz w:val="20"/>
        </w:rPr>
        <w:t xml:space="preserve"> </w:t>
      </w:r>
      <w:r w:rsidRPr="00AC4AEA">
        <w:rPr>
          <w:rFonts w:ascii="Arial" w:hAnsi="Arial" w:cs="Arial"/>
          <w:sz w:val="20"/>
        </w:rPr>
        <w:t>transfiera</w:t>
      </w:r>
      <w:r w:rsidR="00851763" w:rsidRPr="00AC4AEA">
        <w:rPr>
          <w:rFonts w:ascii="Arial" w:hAnsi="Arial" w:cs="Arial"/>
          <w:sz w:val="20"/>
        </w:rPr>
        <w:t xml:space="preserve"> propiedades de inversión, contabilizadas según su </w:t>
      </w:r>
      <w:r w:rsidR="00851763" w:rsidRPr="00AC4AEA">
        <w:rPr>
          <w:rFonts w:ascii="Arial" w:hAnsi="Arial" w:cs="Arial"/>
          <w:b/>
          <w:bCs/>
          <w:sz w:val="20"/>
        </w:rPr>
        <w:t>valor razonable</w:t>
      </w:r>
      <w:r w:rsidR="00851763" w:rsidRPr="00AC4AEA">
        <w:rPr>
          <w:rFonts w:ascii="Arial" w:hAnsi="Arial" w:cs="Arial"/>
          <w:sz w:val="20"/>
        </w:rPr>
        <w:t>, a “</w:t>
      </w:r>
      <w:r w:rsidR="00851763" w:rsidRPr="00AC4AEA">
        <w:rPr>
          <w:rFonts w:ascii="Arial" w:hAnsi="Arial" w:cs="Arial"/>
          <w:sz w:val="20"/>
          <w:u w:val="single"/>
        </w:rPr>
        <w:t>bienes de uso</w:t>
      </w:r>
      <w:r w:rsidR="00851763" w:rsidRPr="00AC4AEA">
        <w:rPr>
          <w:rFonts w:ascii="Arial" w:hAnsi="Arial" w:cs="Arial"/>
          <w:sz w:val="20"/>
        </w:rPr>
        <w:t>” o a “</w:t>
      </w:r>
      <w:r w:rsidR="00851763" w:rsidRPr="00AC4AEA">
        <w:rPr>
          <w:rFonts w:ascii="Arial" w:hAnsi="Arial" w:cs="Arial"/>
          <w:sz w:val="20"/>
          <w:u w:val="single"/>
        </w:rPr>
        <w:t>bienes de cambio</w:t>
      </w:r>
      <w:r w:rsidR="00851763" w:rsidRPr="00AC4AEA">
        <w:rPr>
          <w:rFonts w:ascii="Arial" w:hAnsi="Arial" w:cs="Arial"/>
          <w:sz w:val="20"/>
        </w:rPr>
        <w:t>”</w:t>
      </w:r>
      <w:r w:rsidRPr="00AC4AEA">
        <w:rPr>
          <w:rFonts w:ascii="Arial" w:hAnsi="Arial" w:cs="Arial"/>
          <w:sz w:val="20"/>
        </w:rPr>
        <w:t xml:space="preserve"> cuya medición se basa en el costo, una entidad le asignará al </w:t>
      </w:r>
      <w:r w:rsidR="00851763" w:rsidRPr="00AC4AEA">
        <w:rPr>
          <w:rFonts w:ascii="Arial" w:hAnsi="Arial" w:cs="Arial"/>
          <w:b/>
          <w:bCs/>
          <w:sz w:val="20"/>
        </w:rPr>
        <w:t>valor razonable</w:t>
      </w:r>
      <w:r w:rsidR="00851763" w:rsidRPr="00AC4AEA">
        <w:rPr>
          <w:rFonts w:ascii="Arial" w:hAnsi="Arial" w:cs="Arial"/>
          <w:sz w:val="20"/>
        </w:rPr>
        <w:t xml:space="preserve"> en la fecha </w:t>
      </w:r>
      <w:r w:rsidRPr="00AC4AEA">
        <w:rPr>
          <w:rFonts w:ascii="Arial" w:hAnsi="Arial" w:cs="Arial"/>
          <w:sz w:val="20"/>
        </w:rPr>
        <w:t xml:space="preserve">de la transferencia el carácter de </w:t>
      </w:r>
      <w:r w:rsidRPr="00AC4AEA">
        <w:rPr>
          <w:rFonts w:ascii="Arial" w:hAnsi="Arial" w:cs="Arial"/>
          <w:b/>
          <w:bCs/>
          <w:sz w:val="20"/>
        </w:rPr>
        <w:t>costo atribuido</w:t>
      </w:r>
      <w:r w:rsidR="00851763" w:rsidRPr="00AC4AEA">
        <w:rPr>
          <w:rFonts w:ascii="Arial" w:hAnsi="Arial" w:cs="Arial"/>
          <w:sz w:val="20"/>
        </w:rPr>
        <w:t>.</w:t>
      </w:r>
    </w:p>
    <w:p w:rsidR="002A009A" w:rsidRPr="00AC4AEA" w:rsidRDefault="002A009A" w:rsidP="00A318EA">
      <w:pPr>
        <w:pStyle w:val="A-Normal11"/>
        <w:numPr>
          <w:ilvl w:val="0"/>
          <w:numId w:val="29"/>
        </w:numPr>
        <w:jc w:val="both"/>
        <w:rPr>
          <w:rFonts w:ascii="Arial" w:hAnsi="Arial" w:cs="Arial"/>
          <w:sz w:val="20"/>
        </w:rPr>
      </w:pPr>
      <w:r w:rsidRPr="00AC4AEA">
        <w:rPr>
          <w:rFonts w:ascii="Arial" w:hAnsi="Arial" w:cs="Arial"/>
          <w:sz w:val="20"/>
        </w:rPr>
        <w:t>Cuando transfiera inmuebles clasificados como</w:t>
      </w:r>
      <w:r w:rsidR="00851763" w:rsidRPr="00AC4AEA">
        <w:rPr>
          <w:rFonts w:ascii="Arial" w:hAnsi="Arial" w:cs="Arial"/>
          <w:sz w:val="20"/>
        </w:rPr>
        <w:t xml:space="preserve"> “</w:t>
      </w:r>
      <w:r w:rsidR="00851763" w:rsidRPr="00AC4AEA">
        <w:rPr>
          <w:rFonts w:ascii="Arial" w:hAnsi="Arial" w:cs="Arial"/>
          <w:sz w:val="20"/>
          <w:u w:val="single"/>
        </w:rPr>
        <w:t>bienes de uso</w:t>
      </w:r>
      <w:r w:rsidR="00851763" w:rsidRPr="00AC4AEA">
        <w:rPr>
          <w:rFonts w:ascii="Arial" w:hAnsi="Arial" w:cs="Arial"/>
          <w:sz w:val="20"/>
        </w:rPr>
        <w:t xml:space="preserve">” </w:t>
      </w:r>
      <w:r w:rsidRPr="00AC4AEA">
        <w:rPr>
          <w:rFonts w:ascii="Arial" w:hAnsi="Arial" w:cs="Arial"/>
          <w:sz w:val="20"/>
        </w:rPr>
        <w:t>a</w:t>
      </w:r>
      <w:r w:rsidR="00851763" w:rsidRPr="00AC4AEA">
        <w:rPr>
          <w:rFonts w:ascii="Arial" w:hAnsi="Arial" w:cs="Arial"/>
          <w:sz w:val="20"/>
        </w:rPr>
        <w:t xml:space="preserve"> propiedad</w:t>
      </w:r>
      <w:r w:rsidRPr="00AC4AEA">
        <w:rPr>
          <w:rFonts w:ascii="Arial" w:hAnsi="Arial" w:cs="Arial"/>
          <w:sz w:val="20"/>
        </w:rPr>
        <w:t>es</w:t>
      </w:r>
      <w:r w:rsidR="00851763" w:rsidRPr="00AC4AEA">
        <w:rPr>
          <w:rFonts w:ascii="Arial" w:hAnsi="Arial" w:cs="Arial"/>
          <w:sz w:val="20"/>
        </w:rPr>
        <w:t xml:space="preserve"> de inversión</w:t>
      </w:r>
      <w:r w:rsidRPr="00AC4AEA">
        <w:rPr>
          <w:rFonts w:ascii="Arial" w:hAnsi="Arial" w:cs="Arial"/>
          <w:sz w:val="20"/>
        </w:rPr>
        <w:t xml:space="preserve"> </w:t>
      </w:r>
      <w:r w:rsidR="00851763" w:rsidRPr="00AC4AEA">
        <w:rPr>
          <w:rFonts w:ascii="Arial" w:hAnsi="Arial" w:cs="Arial"/>
          <w:sz w:val="20"/>
        </w:rPr>
        <w:t>que se contabiliza</w:t>
      </w:r>
      <w:r w:rsidRPr="00AC4AEA">
        <w:rPr>
          <w:rFonts w:ascii="Arial" w:hAnsi="Arial" w:cs="Arial"/>
          <w:sz w:val="20"/>
        </w:rPr>
        <w:t>rán</w:t>
      </w:r>
      <w:r w:rsidR="00851763" w:rsidRPr="00AC4AEA">
        <w:rPr>
          <w:rFonts w:ascii="Arial" w:hAnsi="Arial" w:cs="Arial"/>
          <w:sz w:val="20"/>
        </w:rPr>
        <w:t xml:space="preserve"> por su </w:t>
      </w:r>
      <w:r w:rsidR="00851763" w:rsidRPr="00AC4AEA">
        <w:rPr>
          <w:rFonts w:ascii="Arial" w:hAnsi="Arial" w:cs="Arial"/>
          <w:b/>
          <w:bCs/>
          <w:sz w:val="20"/>
        </w:rPr>
        <w:t>valor razonable</w:t>
      </w:r>
      <w:r w:rsidR="00851763" w:rsidRPr="00AC4AEA">
        <w:rPr>
          <w:rFonts w:ascii="Arial" w:hAnsi="Arial" w:cs="Arial"/>
          <w:sz w:val="20"/>
        </w:rPr>
        <w:t>, una entidad</w:t>
      </w:r>
      <w:r w:rsidRPr="00AC4AEA">
        <w:rPr>
          <w:rFonts w:ascii="Arial" w:hAnsi="Arial" w:cs="Arial"/>
          <w:sz w:val="20"/>
        </w:rPr>
        <w:t>:</w:t>
      </w:r>
    </w:p>
    <w:p w:rsidR="002A009A" w:rsidRPr="00AC4AEA" w:rsidRDefault="00851763" w:rsidP="00351CB7">
      <w:pPr>
        <w:pStyle w:val="A-Normal11"/>
        <w:numPr>
          <w:ilvl w:val="1"/>
          <w:numId w:val="29"/>
        </w:numPr>
        <w:ind w:left="1418" w:hanging="425"/>
        <w:jc w:val="both"/>
        <w:rPr>
          <w:rFonts w:ascii="Arial" w:hAnsi="Arial" w:cs="Arial"/>
          <w:sz w:val="20"/>
        </w:rPr>
      </w:pPr>
      <w:r w:rsidRPr="00AC4AEA">
        <w:rPr>
          <w:rFonts w:ascii="Arial" w:hAnsi="Arial" w:cs="Arial"/>
          <w:sz w:val="20"/>
        </w:rPr>
        <w:t xml:space="preserve">aplicará </w:t>
      </w:r>
      <w:r w:rsidR="002A009A" w:rsidRPr="00AC4AEA">
        <w:rPr>
          <w:rFonts w:ascii="Arial" w:hAnsi="Arial" w:cs="Arial"/>
          <w:sz w:val="20"/>
        </w:rPr>
        <w:t>las normas</w:t>
      </w:r>
      <w:r w:rsidRPr="00AC4AEA">
        <w:rPr>
          <w:rFonts w:ascii="Arial" w:hAnsi="Arial" w:cs="Arial"/>
          <w:sz w:val="20"/>
        </w:rPr>
        <w:t xml:space="preserve"> </w:t>
      </w:r>
      <w:r w:rsidR="002A009A" w:rsidRPr="00AC4AEA">
        <w:rPr>
          <w:rFonts w:ascii="Arial" w:hAnsi="Arial" w:cs="Arial"/>
          <w:sz w:val="20"/>
        </w:rPr>
        <w:t>referidas a</w:t>
      </w:r>
      <w:r w:rsidRPr="00AC4AEA">
        <w:rPr>
          <w:rFonts w:ascii="Arial" w:hAnsi="Arial" w:cs="Arial"/>
          <w:sz w:val="20"/>
        </w:rPr>
        <w:t xml:space="preserve"> “</w:t>
      </w:r>
      <w:r w:rsidRPr="00AC4AEA">
        <w:rPr>
          <w:rFonts w:ascii="Arial" w:hAnsi="Arial" w:cs="Arial"/>
          <w:sz w:val="20"/>
          <w:u w:val="single"/>
        </w:rPr>
        <w:t>bienes de uso</w:t>
      </w:r>
      <w:r w:rsidRPr="00AC4AEA">
        <w:rPr>
          <w:rFonts w:ascii="Arial" w:hAnsi="Arial" w:cs="Arial"/>
          <w:sz w:val="20"/>
        </w:rPr>
        <w:t xml:space="preserve">” hasta la fecha del cambio de </w:t>
      </w:r>
      <w:r w:rsidR="002A009A" w:rsidRPr="00AC4AEA">
        <w:rPr>
          <w:rFonts w:ascii="Arial" w:hAnsi="Arial" w:cs="Arial"/>
          <w:sz w:val="20"/>
        </w:rPr>
        <w:t>destino; y</w:t>
      </w:r>
    </w:p>
    <w:p w:rsidR="00851763" w:rsidRPr="00AC4AEA" w:rsidRDefault="00851763" w:rsidP="00351CB7">
      <w:pPr>
        <w:pStyle w:val="A-Normal11"/>
        <w:numPr>
          <w:ilvl w:val="1"/>
          <w:numId w:val="29"/>
        </w:numPr>
        <w:ind w:left="1418" w:hanging="425"/>
        <w:jc w:val="both"/>
        <w:rPr>
          <w:rFonts w:ascii="Arial" w:hAnsi="Arial" w:cs="Arial"/>
          <w:sz w:val="20"/>
        </w:rPr>
      </w:pPr>
      <w:r w:rsidRPr="00AC4AEA">
        <w:rPr>
          <w:rFonts w:ascii="Arial" w:hAnsi="Arial" w:cs="Arial"/>
          <w:sz w:val="20"/>
        </w:rPr>
        <w:t xml:space="preserve">tratará cualquier diferencia, a esa fecha, entre </w:t>
      </w:r>
      <w:r w:rsidR="002A009A" w:rsidRPr="00AC4AEA">
        <w:rPr>
          <w:rFonts w:ascii="Arial" w:hAnsi="Arial" w:cs="Arial"/>
          <w:sz w:val="20"/>
        </w:rPr>
        <w:t>la medición</w:t>
      </w:r>
      <w:r w:rsidRPr="00AC4AEA">
        <w:rPr>
          <w:rFonts w:ascii="Arial" w:hAnsi="Arial" w:cs="Arial"/>
          <w:sz w:val="20"/>
        </w:rPr>
        <w:t xml:space="preserve"> contable de la propiedad y </w:t>
      </w:r>
      <w:r w:rsidR="002A009A" w:rsidRPr="00AC4AEA">
        <w:rPr>
          <w:rFonts w:ascii="Arial" w:hAnsi="Arial" w:cs="Arial"/>
          <w:sz w:val="20"/>
        </w:rPr>
        <w:t>su</w:t>
      </w:r>
      <w:r w:rsidRPr="00AC4AEA">
        <w:rPr>
          <w:rFonts w:ascii="Arial" w:hAnsi="Arial" w:cs="Arial"/>
          <w:sz w:val="20"/>
        </w:rPr>
        <w:t xml:space="preserve"> </w:t>
      </w:r>
      <w:r w:rsidRPr="00AC4AEA">
        <w:rPr>
          <w:rFonts w:ascii="Arial" w:hAnsi="Arial" w:cs="Arial"/>
          <w:b/>
          <w:bCs/>
          <w:sz w:val="20"/>
        </w:rPr>
        <w:t>valor razonable</w:t>
      </w:r>
      <w:r w:rsidRPr="00AC4AEA">
        <w:rPr>
          <w:rFonts w:ascii="Arial" w:hAnsi="Arial" w:cs="Arial"/>
          <w:sz w:val="20"/>
        </w:rPr>
        <w:t xml:space="preserve">, </w:t>
      </w:r>
      <w:r w:rsidR="002A009A" w:rsidRPr="00AC4AEA">
        <w:rPr>
          <w:rFonts w:ascii="Arial" w:hAnsi="Arial" w:cs="Arial"/>
          <w:sz w:val="20"/>
        </w:rPr>
        <w:t>como</w:t>
      </w:r>
      <w:r w:rsidRPr="00AC4AEA">
        <w:rPr>
          <w:rFonts w:ascii="Arial" w:hAnsi="Arial" w:cs="Arial"/>
          <w:sz w:val="20"/>
        </w:rPr>
        <w:t xml:space="preserve"> una revaluación </w:t>
      </w:r>
      <w:r w:rsidR="002A009A" w:rsidRPr="00AC4AEA">
        <w:rPr>
          <w:rFonts w:ascii="Arial" w:hAnsi="Arial" w:cs="Arial"/>
          <w:sz w:val="20"/>
        </w:rPr>
        <w:t>según</w:t>
      </w:r>
      <w:r w:rsidRPr="00AC4AEA">
        <w:rPr>
          <w:rFonts w:ascii="Arial" w:hAnsi="Arial" w:cs="Arial"/>
          <w:sz w:val="20"/>
        </w:rPr>
        <w:t xml:space="preserve"> lo dispuesto en los párrafos </w:t>
      </w:r>
      <w:fldSimple w:instr=" REF _Ref99458042 \r \h  \* MERGEFORMAT ">
        <w:r w:rsidR="00D33A5D" w:rsidRPr="00D33A5D">
          <w:rPr>
            <w:rFonts w:ascii="Arial" w:hAnsi="Arial" w:cs="Arial"/>
            <w:sz w:val="20"/>
          </w:rPr>
          <w:t>322</w:t>
        </w:r>
      </w:fldSimple>
      <w:r w:rsidRPr="00AC4AEA">
        <w:rPr>
          <w:rFonts w:ascii="Arial" w:hAnsi="Arial" w:cs="Arial"/>
          <w:sz w:val="20"/>
        </w:rPr>
        <w:t xml:space="preserve"> a </w:t>
      </w:r>
      <w:fldSimple w:instr=" REF _Ref99458064 \r \h  \* MERGEFORMAT ">
        <w:r w:rsidR="00D33A5D" w:rsidRPr="00D33A5D">
          <w:rPr>
            <w:rFonts w:ascii="Arial" w:hAnsi="Arial" w:cs="Arial"/>
            <w:sz w:val="20"/>
          </w:rPr>
          <w:t>338</w:t>
        </w:r>
      </w:fldSimple>
      <w:r w:rsidRPr="00AC4AEA">
        <w:rPr>
          <w:rFonts w:ascii="Arial" w:hAnsi="Arial" w:cs="Arial"/>
          <w:sz w:val="20"/>
        </w:rPr>
        <w:t>.</w:t>
      </w:r>
    </w:p>
    <w:p w:rsidR="002A009A" w:rsidRPr="00AC4AEA" w:rsidRDefault="002A009A" w:rsidP="00A318EA">
      <w:pPr>
        <w:pStyle w:val="A-Normal11"/>
        <w:numPr>
          <w:ilvl w:val="0"/>
          <w:numId w:val="29"/>
        </w:numPr>
        <w:jc w:val="both"/>
        <w:rPr>
          <w:rFonts w:ascii="Arial" w:hAnsi="Arial" w:cs="Arial"/>
          <w:sz w:val="20"/>
        </w:rPr>
      </w:pPr>
      <w:r w:rsidRPr="00AC4AEA">
        <w:rPr>
          <w:rFonts w:ascii="Arial" w:hAnsi="Arial" w:cs="Arial"/>
          <w:sz w:val="20"/>
        </w:rPr>
        <w:t>Cuando transfiera inmuebles</w:t>
      </w:r>
      <w:r w:rsidR="00670F61" w:rsidRPr="00AC4AEA">
        <w:rPr>
          <w:rFonts w:ascii="Arial" w:hAnsi="Arial" w:cs="Arial"/>
          <w:sz w:val="20"/>
        </w:rPr>
        <w:t xml:space="preserve"> desde “</w:t>
      </w:r>
      <w:r w:rsidR="00670F61" w:rsidRPr="00AC4AEA">
        <w:rPr>
          <w:rFonts w:ascii="Arial" w:hAnsi="Arial" w:cs="Arial"/>
          <w:sz w:val="20"/>
          <w:u w:val="single"/>
        </w:rPr>
        <w:t>bienes de cambio</w:t>
      </w:r>
      <w:r w:rsidR="00670F61" w:rsidRPr="00AC4AEA">
        <w:rPr>
          <w:rFonts w:ascii="Arial" w:hAnsi="Arial" w:cs="Arial"/>
          <w:sz w:val="20"/>
        </w:rPr>
        <w:t>” a propiedades de inversión</w:t>
      </w:r>
      <w:r w:rsidR="00E23908" w:rsidRPr="00AC4AEA">
        <w:rPr>
          <w:rFonts w:ascii="Arial" w:hAnsi="Arial" w:cs="Arial"/>
          <w:sz w:val="20"/>
        </w:rPr>
        <w:t xml:space="preserve"> que </w:t>
      </w:r>
      <w:r w:rsidRPr="00AC4AEA">
        <w:rPr>
          <w:rFonts w:ascii="Arial" w:hAnsi="Arial" w:cs="Arial"/>
          <w:sz w:val="20"/>
        </w:rPr>
        <w:t>se contabilizarán</w:t>
      </w:r>
      <w:r w:rsidR="00670F61" w:rsidRPr="00AC4AEA">
        <w:rPr>
          <w:rFonts w:ascii="Arial" w:hAnsi="Arial" w:cs="Arial"/>
          <w:sz w:val="20"/>
        </w:rPr>
        <w:t xml:space="preserve"> por su </w:t>
      </w:r>
      <w:r w:rsidR="00670F61" w:rsidRPr="00AC4AEA">
        <w:rPr>
          <w:rFonts w:ascii="Arial" w:hAnsi="Arial" w:cs="Arial"/>
          <w:b/>
          <w:bCs/>
          <w:sz w:val="20"/>
        </w:rPr>
        <w:t>valor razonable</w:t>
      </w:r>
      <w:r w:rsidR="00670F61" w:rsidRPr="00AC4AEA">
        <w:rPr>
          <w:rFonts w:ascii="Arial" w:hAnsi="Arial" w:cs="Arial"/>
          <w:sz w:val="20"/>
        </w:rPr>
        <w:t xml:space="preserve">, </w:t>
      </w:r>
      <w:r w:rsidRPr="00AC4AEA">
        <w:rPr>
          <w:rFonts w:ascii="Arial" w:hAnsi="Arial" w:cs="Arial"/>
          <w:sz w:val="20"/>
        </w:rPr>
        <w:t xml:space="preserve">una entidad: </w:t>
      </w:r>
    </w:p>
    <w:p w:rsidR="00670F61" w:rsidRPr="00AC4AEA" w:rsidRDefault="002A009A" w:rsidP="00351CB7">
      <w:pPr>
        <w:pStyle w:val="A-Normal11"/>
        <w:numPr>
          <w:ilvl w:val="1"/>
          <w:numId w:val="29"/>
        </w:numPr>
        <w:ind w:left="1560"/>
        <w:jc w:val="both"/>
        <w:rPr>
          <w:rFonts w:ascii="Arial" w:hAnsi="Arial" w:cs="Arial"/>
          <w:sz w:val="20"/>
        </w:rPr>
      </w:pPr>
      <w:r w:rsidRPr="00AC4AEA">
        <w:rPr>
          <w:rFonts w:ascii="Arial" w:hAnsi="Arial" w:cs="Arial"/>
          <w:sz w:val="20"/>
        </w:rPr>
        <w:t xml:space="preserve">reconocerá en el resultado del período </w:t>
      </w:r>
      <w:r w:rsidR="00670F61" w:rsidRPr="00AC4AEA">
        <w:rPr>
          <w:rFonts w:ascii="Arial" w:hAnsi="Arial" w:cs="Arial"/>
          <w:sz w:val="20"/>
        </w:rPr>
        <w:t xml:space="preserve">cualquier diferencia entre el </w:t>
      </w:r>
      <w:r w:rsidR="00670F61" w:rsidRPr="00AC4AEA">
        <w:rPr>
          <w:rFonts w:ascii="Arial" w:hAnsi="Arial" w:cs="Arial"/>
          <w:b/>
          <w:bCs/>
          <w:sz w:val="20"/>
        </w:rPr>
        <w:t>valor razonable</w:t>
      </w:r>
      <w:r w:rsidR="00670F61" w:rsidRPr="00AC4AEA">
        <w:rPr>
          <w:rFonts w:ascii="Arial" w:hAnsi="Arial" w:cs="Arial"/>
          <w:sz w:val="20"/>
        </w:rPr>
        <w:t xml:space="preserve"> de la propiedad y su </w:t>
      </w:r>
      <w:r w:rsidRPr="00AC4AEA">
        <w:rPr>
          <w:rFonts w:ascii="Arial" w:hAnsi="Arial" w:cs="Arial"/>
          <w:sz w:val="20"/>
        </w:rPr>
        <w:t>medición contable a la fecha del cambio de destino; y</w:t>
      </w:r>
    </w:p>
    <w:p w:rsidR="002A009A" w:rsidRPr="00AC4AEA" w:rsidRDefault="002A009A" w:rsidP="00351CB7">
      <w:pPr>
        <w:pStyle w:val="A-Normal11"/>
        <w:numPr>
          <w:ilvl w:val="1"/>
          <w:numId w:val="29"/>
        </w:numPr>
        <w:ind w:left="1560"/>
        <w:jc w:val="both"/>
        <w:rPr>
          <w:rFonts w:ascii="Arial" w:hAnsi="Arial" w:cs="Arial"/>
          <w:sz w:val="20"/>
        </w:rPr>
      </w:pPr>
      <w:r w:rsidRPr="00AC4AEA">
        <w:rPr>
          <w:rFonts w:ascii="Arial" w:hAnsi="Arial" w:cs="Arial"/>
          <w:sz w:val="20"/>
        </w:rPr>
        <w:lastRenderedPageBreak/>
        <w:t xml:space="preserve">contabilizará la transferencia de modo consistente con el tratamiento de una venta de bienes de cambio. </w:t>
      </w:r>
    </w:p>
    <w:p w:rsidR="00670F61" w:rsidRPr="00AC4AEA" w:rsidRDefault="00670F61" w:rsidP="00A318EA">
      <w:pPr>
        <w:pStyle w:val="A-Normal11"/>
        <w:numPr>
          <w:ilvl w:val="0"/>
          <w:numId w:val="29"/>
        </w:numPr>
        <w:jc w:val="both"/>
        <w:rPr>
          <w:rFonts w:ascii="Arial" w:hAnsi="Arial" w:cs="Arial"/>
          <w:sz w:val="20"/>
        </w:rPr>
      </w:pPr>
      <w:r w:rsidRPr="00AC4AEA">
        <w:rPr>
          <w:rFonts w:ascii="Arial" w:hAnsi="Arial" w:cs="Arial"/>
          <w:sz w:val="20"/>
        </w:rPr>
        <w:t xml:space="preserve">Cuando termine la construcción o desarrollo de una propiedad de inversión construida por la propia entidad, que vaya a ser contabilizada por su </w:t>
      </w:r>
      <w:r w:rsidRPr="00AC4AEA">
        <w:rPr>
          <w:rFonts w:ascii="Arial" w:hAnsi="Arial" w:cs="Arial"/>
          <w:b/>
          <w:bCs/>
          <w:sz w:val="20"/>
        </w:rPr>
        <w:t>valor razonable</w:t>
      </w:r>
      <w:r w:rsidRPr="00AC4AEA">
        <w:rPr>
          <w:rFonts w:ascii="Arial" w:hAnsi="Arial" w:cs="Arial"/>
          <w:sz w:val="20"/>
        </w:rPr>
        <w:t xml:space="preserve">, </w:t>
      </w:r>
      <w:r w:rsidR="002A009A" w:rsidRPr="00AC4AEA">
        <w:rPr>
          <w:rFonts w:ascii="Arial" w:hAnsi="Arial" w:cs="Arial"/>
          <w:sz w:val="20"/>
        </w:rPr>
        <w:t xml:space="preserve">una entidad reconocerá en el resultado del período </w:t>
      </w:r>
      <w:r w:rsidRPr="00AC4AEA">
        <w:rPr>
          <w:rFonts w:ascii="Arial" w:hAnsi="Arial" w:cs="Arial"/>
          <w:sz w:val="20"/>
        </w:rPr>
        <w:t xml:space="preserve">cualquier diferencia entre el </w:t>
      </w:r>
      <w:r w:rsidRPr="00AC4AEA">
        <w:rPr>
          <w:rFonts w:ascii="Arial" w:hAnsi="Arial" w:cs="Arial"/>
          <w:b/>
          <w:bCs/>
          <w:sz w:val="20"/>
        </w:rPr>
        <w:t>valor razonable</w:t>
      </w:r>
      <w:r w:rsidRPr="00AC4AEA">
        <w:rPr>
          <w:rFonts w:ascii="Arial" w:hAnsi="Arial" w:cs="Arial"/>
          <w:sz w:val="20"/>
        </w:rPr>
        <w:t xml:space="preserve"> de la propiedad a esa fecha y su </w:t>
      </w:r>
      <w:r w:rsidR="002A009A" w:rsidRPr="00AC4AEA">
        <w:rPr>
          <w:rFonts w:ascii="Arial" w:hAnsi="Arial" w:cs="Arial"/>
          <w:sz w:val="20"/>
        </w:rPr>
        <w:t xml:space="preserve">medición </w:t>
      </w:r>
      <w:r w:rsidRPr="00AC4AEA">
        <w:rPr>
          <w:rFonts w:ascii="Arial" w:hAnsi="Arial" w:cs="Arial"/>
          <w:sz w:val="20"/>
        </w:rPr>
        <w:t>contable anterior</w:t>
      </w:r>
      <w:r w:rsidR="002A009A" w:rsidRPr="00AC4AEA">
        <w:rPr>
          <w:rFonts w:ascii="Arial" w:hAnsi="Arial" w:cs="Arial"/>
          <w:sz w:val="20"/>
        </w:rPr>
        <w:t>.</w:t>
      </w:r>
    </w:p>
    <w:p w:rsidR="00BF00E4" w:rsidRPr="00AC4AEA" w:rsidRDefault="00BF00E4" w:rsidP="00A318EA">
      <w:pPr>
        <w:pStyle w:val="A-Normal11"/>
        <w:ind w:left="360"/>
        <w:jc w:val="both"/>
        <w:rPr>
          <w:rFonts w:ascii="Arial" w:hAnsi="Arial" w:cs="Arial"/>
          <w:sz w:val="20"/>
        </w:rPr>
      </w:pPr>
    </w:p>
    <w:p w:rsidR="00FD2CCE" w:rsidRPr="00AC4AEA" w:rsidRDefault="00FD2CCE" w:rsidP="00A318EA">
      <w:pPr>
        <w:pStyle w:val="Ttulo2"/>
        <w:rPr>
          <w:rFonts w:cs="Arial"/>
        </w:rPr>
      </w:pPr>
      <w:bookmarkStart w:id="537" w:name="_Toc101863880"/>
      <w:bookmarkStart w:id="538" w:name="_Toc139356744"/>
      <w:r w:rsidRPr="00AC4AEA">
        <w:rPr>
          <w:rFonts w:cs="Arial"/>
        </w:rPr>
        <w:t xml:space="preserve">Presentación en los </w:t>
      </w:r>
      <w:r w:rsidR="00135084" w:rsidRPr="00AC4AEA">
        <w:rPr>
          <w:rFonts w:cs="Arial"/>
          <w:bCs/>
        </w:rPr>
        <w:t>estados contables</w:t>
      </w:r>
      <w:bookmarkEnd w:id="537"/>
      <w:bookmarkEnd w:id="538"/>
    </w:p>
    <w:p w:rsidR="007D7512" w:rsidRPr="00AC4AEA" w:rsidRDefault="00A417C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FD2CCE" w:rsidRPr="00AC4AEA">
        <w:rPr>
          <w:rFonts w:ascii="Arial" w:hAnsi="Arial" w:cs="Arial"/>
          <w:sz w:val="20"/>
          <w:szCs w:val="20"/>
        </w:rPr>
        <w:t>na entidad</w:t>
      </w:r>
      <w:r w:rsidR="007D7512" w:rsidRPr="00AC4AEA">
        <w:rPr>
          <w:rFonts w:ascii="Arial" w:hAnsi="Arial" w:cs="Arial"/>
          <w:sz w:val="20"/>
          <w:szCs w:val="20"/>
        </w:rPr>
        <w:t>:</w:t>
      </w:r>
      <w:r w:rsidR="00FD2CCE" w:rsidRPr="00AC4AEA">
        <w:rPr>
          <w:rFonts w:ascii="Arial" w:hAnsi="Arial" w:cs="Arial"/>
          <w:sz w:val="20"/>
          <w:szCs w:val="20"/>
        </w:rPr>
        <w:t xml:space="preserve"> </w:t>
      </w:r>
    </w:p>
    <w:p w:rsidR="00FD2CCE" w:rsidRPr="00AC4AEA" w:rsidRDefault="007D751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Presentará las</w:t>
      </w:r>
      <w:r w:rsidR="00FD2CCE" w:rsidRPr="00AC4AEA">
        <w:rPr>
          <w:rFonts w:ascii="Arial" w:hAnsi="Arial" w:cs="Arial"/>
          <w:sz w:val="20"/>
          <w:szCs w:val="20"/>
        </w:rPr>
        <w:t xml:space="preserve"> propiedades de inversión</w:t>
      </w:r>
      <w:r w:rsidRPr="00AC4AEA">
        <w:rPr>
          <w:rFonts w:ascii="Arial" w:hAnsi="Arial" w:cs="Arial"/>
          <w:sz w:val="20"/>
          <w:szCs w:val="20"/>
        </w:rPr>
        <w:t xml:space="preserve"> separadas del resto de los activos,</w:t>
      </w:r>
      <w:r w:rsidR="00FD2CCE" w:rsidRPr="00AC4AEA">
        <w:rPr>
          <w:rFonts w:ascii="Arial" w:hAnsi="Arial" w:cs="Arial"/>
          <w:sz w:val="20"/>
          <w:szCs w:val="20"/>
        </w:rPr>
        <w:t xml:space="preserve"> como un activo no corriente.</w:t>
      </w:r>
    </w:p>
    <w:p w:rsidR="007D7512" w:rsidRPr="00AC4AEA" w:rsidRDefault="007D751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Incluirá los anticipos a proveedores de este tipo de activos dentro del rubro propiedades de inversión.</w:t>
      </w:r>
    </w:p>
    <w:p w:rsidR="0051782B" w:rsidRPr="00AC4AEA" w:rsidRDefault="006F1F47" w:rsidP="00A318EA">
      <w:pPr>
        <w:pStyle w:val="A-Normal11"/>
        <w:numPr>
          <w:ilvl w:val="0"/>
          <w:numId w:val="29"/>
        </w:numPr>
        <w:jc w:val="both"/>
        <w:rPr>
          <w:rFonts w:ascii="Arial" w:hAnsi="Arial" w:cs="Arial"/>
          <w:sz w:val="20"/>
        </w:rPr>
      </w:pPr>
      <w:r w:rsidRPr="00AC4AEA">
        <w:rPr>
          <w:rFonts w:ascii="Arial" w:hAnsi="Arial" w:cs="Arial"/>
          <w:sz w:val="20"/>
        </w:rPr>
        <w:t>En el estado de resultados, u</w:t>
      </w:r>
      <w:r w:rsidR="00FD2CCE" w:rsidRPr="00AC4AEA">
        <w:rPr>
          <w:rFonts w:ascii="Arial" w:hAnsi="Arial" w:cs="Arial"/>
          <w:sz w:val="20"/>
        </w:rPr>
        <w:t>na entidad presentará las locaciones o arrendamientos devengados como</w:t>
      </w:r>
      <w:r w:rsidR="0051782B" w:rsidRPr="00AC4AEA">
        <w:rPr>
          <w:rFonts w:ascii="Arial" w:hAnsi="Arial" w:cs="Arial"/>
          <w:sz w:val="20"/>
        </w:rPr>
        <w:t>:</w:t>
      </w:r>
    </w:p>
    <w:p w:rsidR="0051782B" w:rsidRPr="00AC4AEA" w:rsidRDefault="00C4455D" w:rsidP="00A318EA">
      <w:pPr>
        <w:pStyle w:val="A-Normal11"/>
        <w:numPr>
          <w:ilvl w:val="0"/>
          <w:numId w:val="102"/>
        </w:numPr>
        <w:ind w:left="1560"/>
        <w:jc w:val="both"/>
        <w:rPr>
          <w:rFonts w:ascii="Arial" w:hAnsi="Arial" w:cs="Arial"/>
          <w:sz w:val="20"/>
        </w:rPr>
      </w:pPr>
      <w:r w:rsidRPr="00AC4AEA">
        <w:rPr>
          <w:rFonts w:ascii="Arial" w:hAnsi="Arial" w:cs="Arial"/>
          <w:b/>
          <w:bCs/>
          <w:sz w:val="20"/>
        </w:rPr>
        <w:t>i</w:t>
      </w:r>
      <w:r w:rsidR="00FD2CCE" w:rsidRPr="00AC4AEA">
        <w:rPr>
          <w:rFonts w:ascii="Arial" w:hAnsi="Arial" w:cs="Arial"/>
          <w:b/>
          <w:bCs/>
          <w:sz w:val="20"/>
        </w:rPr>
        <w:t xml:space="preserve">ngresos </w:t>
      </w:r>
      <w:r w:rsidR="0051782B" w:rsidRPr="00AC4AEA">
        <w:rPr>
          <w:rFonts w:ascii="Arial" w:hAnsi="Arial" w:cs="Arial"/>
          <w:b/>
          <w:bCs/>
          <w:sz w:val="20"/>
        </w:rPr>
        <w:t>de actividades ordinarias</w:t>
      </w:r>
      <w:r w:rsidR="00FD2CCE" w:rsidRPr="00AC4AEA">
        <w:rPr>
          <w:rFonts w:ascii="Arial" w:hAnsi="Arial" w:cs="Arial"/>
          <w:sz w:val="20"/>
        </w:rPr>
        <w:t xml:space="preserve"> cuando provengan de la actividad principal</w:t>
      </w:r>
      <w:r w:rsidR="000177F1" w:rsidRPr="00AC4AEA">
        <w:rPr>
          <w:rFonts w:ascii="Arial" w:hAnsi="Arial" w:cs="Arial"/>
          <w:sz w:val="20"/>
        </w:rPr>
        <w:t>;</w:t>
      </w:r>
      <w:r w:rsidR="00FD2CCE" w:rsidRPr="00AC4AEA">
        <w:rPr>
          <w:rFonts w:ascii="Arial" w:hAnsi="Arial" w:cs="Arial"/>
          <w:sz w:val="20"/>
        </w:rPr>
        <w:t xml:space="preserve"> y </w:t>
      </w:r>
    </w:p>
    <w:p w:rsidR="00FD2CCE" w:rsidRPr="00AC4AEA" w:rsidRDefault="00C4455D" w:rsidP="00A318EA">
      <w:pPr>
        <w:pStyle w:val="A-Normal11"/>
        <w:numPr>
          <w:ilvl w:val="0"/>
          <w:numId w:val="102"/>
        </w:numPr>
        <w:ind w:left="1560"/>
        <w:jc w:val="both"/>
        <w:rPr>
          <w:rFonts w:ascii="Arial" w:hAnsi="Arial" w:cs="Arial"/>
          <w:sz w:val="20"/>
        </w:rPr>
      </w:pPr>
      <w:r w:rsidRPr="00AC4AEA">
        <w:rPr>
          <w:rFonts w:ascii="Arial" w:hAnsi="Arial" w:cs="Arial"/>
          <w:sz w:val="20"/>
        </w:rPr>
        <w:t>o</w:t>
      </w:r>
      <w:r w:rsidR="00FD2CCE" w:rsidRPr="00AC4AEA">
        <w:rPr>
          <w:rFonts w:ascii="Arial" w:hAnsi="Arial" w:cs="Arial"/>
          <w:sz w:val="20"/>
        </w:rPr>
        <w:t xml:space="preserve">tros ingresos y egresos cuando </w:t>
      </w:r>
      <w:r w:rsidR="0051782B" w:rsidRPr="00AC4AEA">
        <w:rPr>
          <w:rFonts w:ascii="Arial" w:hAnsi="Arial" w:cs="Arial"/>
          <w:sz w:val="20"/>
        </w:rPr>
        <w:t>constituyan</w:t>
      </w:r>
      <w:r w:rsidR="00FD2CCE" w:rsidRPr="00AC4AEA">
        <w:rPr>
          <w:rFonts w:ascii="Arial" w:hAnsi="Arial" w:cs="Arial"/>
          <w:sz w:val="20"/>
        </w:rPr>
        <w:t xml:space="preserve"> una actividad secundaria.</w:t>
      </w:r>
    </w:p>
    <w:p w:rsidR="0051782B"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w:t>
      </w:r>
      <w:r w:rsidR="000177F1" w:rsidRPr="00AC4AEA">
        <w:rPr>
          <w:rFonts w:ascii="Arial" w:hAnsi="Arial" w:cs="Arial"/>
          <w:sz w:val="20"/>
          <w:szCs w:val="20"/>
        </w:rPr>
        <w:t xml:space="preserve"> que mida sus propiedades de inversión de acuerdo con el “</w:t>
      </w:r>
      <w:r w:rsidR="00A5347B" w:rsidRPr="00AC4AEA">
        <w:rPr>
          <w:rFonts w:ascii="Arial" w:hAnsi="Arial" w:cs="Arial"/>
          <w:sz w:val="20"/>
          <w:szCs w:val="20"/>
          <w:u w:val="single"/>
        </w:rPr>
        <w:t>M</w:t>
      </w:r>
      <w:r w:rsidR="000177F1" w:rsidRPr="00AC4AEA">
        <w:rPr>
          <w:rFonts w:ascii="Arial" w:hAnsi="Arial" w:cs="Arial"/>
          <w:sz w:val="20"/>
          <w:szCs w:val="20"/>
          <w:u w:val="single"/>
        </w:rPr>
        <w:t>odelo de costo</w:t>
      </w:r>
      <w:r w:rsidR="000177F1" w:rsidRPr="00AC4AEA">
        <w:rPr>
          <w:rFonts w:ascii="Arial" w:hAnsi="Arial" w:cs="Arial"/>
          <w:sz w:val="20"/>
          <w:szCs w:val="20"/>
        </w:rPr>
        <w:t>”</w:t>
      </w:r>
      <w:r w:rsidR="008B6161" w:rsidRPr="00AC4AEA">
        <w:rPr>
          <w:rFonts w:ascii="Arial" w:hAnsi="Arial" w:cs="Arial"/>
          <w:sz w:val="20"/>
          <w:szCs w:val="20"/>
        </w:rPr>
        <w:t xml:space="preserve"> [ver los párrafos </w:t>
      </w:r>
      <w:fldSimple w:instr=" REF _Ref99479322 \r \h  \* MERGEFORMAT ">
        <w:r w:rsidR="00D33A5D" w:rsidRPr="00D33A5D">
          <w:rPr>
            <w:rFonts w:ascii="Arial" w:hAnsi="Arial" w:cs="Arial"/>
            <w:sz w:val="20"/>
            <w:szCs w:val="20"/>
          </w:rPr>
          <w:t>321</w:t>
        </w:r>
      </w:fldSimple>
      <w:r w:rsidR="008B6161" w:rsidRPr="00AC4AEA">
        <w:rPr>
          <w:rFonts w:ascii="Arial" w:hAnsi="Arial" w:cs="Arial"/>
          <w:sz w:val="20"/>
          <w:szCs w:val="20"/>
        </w:rPr>
        <w:t xml:space="preserve"> y </w:t>
      </w:r>
      <w:fldSimple w:instr=" REF _Ref99482010 \r \h  \* MERGEFORMAT ">
        <w:r w:rsidR="00D33A5D" w:rsidRPr="00D33A5D">
          <w:rPr>
            <w:rFonts w:ascii="Arial" w:hAnsi="Arial" w:cs="Arial"/>
            <w:sz w:val="20"/>
            <w:szCs w:val="20"/>
          </w:rPr>
          <w:t>364</w:t>
        </w:r>
      </w:fldSimple>
      <w:r w:rsidR="008B6161" w:rsidRPr="00AC4AEA">
        <w:rPr>
          <w:rFonts w:ascii="Arial" w:hAnsi="Arial" w:cs="Arial"/>
          <w:sz w:val="20"/>
          <w:szCs w:val="20"/>
        </w:rPr>
        <w:t>]</w:t>
      </w:r>
      <w:r w:rsidR="000177F1" w:rsidRPr="00AC4AEA">
        <w:rPr>
          <w:rFonts w:ascii="Arial" w:hAnsi="Arial" w:cs="Arial"/>
          <w:sz w:val="20"/>
          <w:szCs w:val="20"/>
        </w:rPr>
        <w:t xml:space="preserve"> </w:t>
      </w:r>
      <w:r w:rsidRPr="00AC4AEA">
        <w:rPr>
          <w:rFonts w:ascii="Arial" w:hAnsi="Arial" w:cs="Arial"/>
          <w:sz w:val="20"/>
          <w:szCs w:val="20"/>
        </w:rPr>
        <w:t xml:space="preserve">presentará el </w:t>
      </w:r>
      <w:r w:rsidR="00E06541" w:rsidRPr="00AC4AEA">
        <w:rPr>
          <w:rFonts w:ascii="Arial" w:hAnsi="Arial" w:cs="Arial"/>
          <w:sz w:val="20"/>
          <w:szCs w:val="20"/>
        </w:rPr>
        <w:t xml:space="preserve">cargo </w:t>
      </w:r>
      <w:r w:rsidRPr="00AC4AEA">
        <w:rPr>
          <w:rFonts w:ascii="Arial" w:hAnsi="Arial" w:cs="Arial"/>
          <w:sz w:val="20"/>
          <w:szCs w:val="20"/>
        </w:rPr>
        <w:t>por depreciaciones</w:t>
      </w:r>
      <w:r w:rsidR="0051782B" w:rsidRPr="00AC4AEA">
        <w:rPr>
          <w:rFonts w:ascii="Arial" w:hAnsi="Arial" w:cs="Arial"/>
          <w:sz w:val="20"/>
          <w:szCs w:val="20"/>
        </w:rPr>
        <w:t>:</w:t>
      </w:r>
    </w:p>
    <w:p w:rsidR="0051782B" w:rsidRPr="00AC4AEA" w:rsidRDefault="00872D55" w:rsidP="00A318EA">
      <w:pPr>
        <w:pStyle w:val="Prrafodelista"/>
        <w:numPr>
          <w:ilvl w:val="0"/>
          <w:numId w:val="103"/>
        </w:numPr>
        <w:ind w:left="1560"/>
        <w:contextualSpacing w:val="0"/>
        <w:jc w:val="both"/>
        <w:rPr>
          <w:rFonts w:ascii="Arial" w:hAnsi="Arial" w:cs="Arial"/>
          <w:sz w:val="20"/>
          <w:szCs w:val="20"/>
        </w:rPr>
      </w:pPr>
      <w:r w:rsidRPr="00AC4AEA">
        <w:rPr>
          <w:rFonts w:ascii="Arial" w:hAnsi="Arial" w:cs="Arial"/>
          <w:sz w:val="20"/>
          <w:szCs w:val="20"/>
        </w:rPr>
        <w:t xml:space="preserve">dentro </w:t>
      </w:r>
      <w:r w:rsidR="008F5EFB" w:rsidRPr="00AC4AEA">
        <w:rPr>
          <w:rFonts w:ascii="Arial" w:hAnsi="Arial" w:cs="Arial"/>
          <w:sz w:val="20"/>
          <w:szCs w:val="20"/>
        </w:rPr>
        <w:t>d</w:t>
      </w:r>
      <w:r w:rsidR="00FD2CCE" w:rsidRPr="00AC4AEA">
        <w:rPr>
          <w:rFonts w:ascii="Arial" w:hAnsi="Arial" w:cs="Arial"/>
          <w:sz w:val="20"/>
          <w:szCs w:val="20"/>
        </w:rPr>
        <w:t>el costo de los servicios prestados</w:t>
      </w:r>
      <w:r w:rsidR="0051782B" w:rsidRPr="00AC4AEA">
        <w:rPr>
          <w:rFonts w:ascii="Arial" w:hAnsi="Arial" w:cs="Arial"/>
          <w:sz w:val="20"/>
          <w:szCs w:val="20"/>
        </w:rPr>
        <w:t xml:space="preserve">, </w:t>
      </w:r>
      <w:r w:rsidR="00FD2CCE" w:rsidRPr="00AC4AEA">
        <w:rPr>
          <w:rFonts w:ascii="Arial" w:hAnsi="Arial" w:cs="Arial"/>
          <w:sz w:val="20"/>
          <w:szCs w:val="20"/>
        </w:rPr>
        <w:t>cuando las depreciaciones forman parte del costo de la actividad principal</w:t>
      </w:r>
      <w:r w:rsidR="000177F1" w:rsidRPr="00AC4AEA">
        <w:rPr>
          <w:rFonts w:ascii="Arial" w:hAnsi="Arial" w:cs="Arial"/>
          <w:sz w:val="20"/>
          <w:szCs w:val="20"/>
        </w:rPr>
        <w:t xml:space="preserve">; </w:t>
      </w:r>
      <w:r w:rsidR="00FD2CCE" w:rsidRPr="00AC4AEA">
        <w:rPr>
          <w:rFonts w:ascii="Arial" w:hAnsi="Arial" w:cs="Arial"/>
          <w:sz w:val="20"/>
          <w:szCs w:val="20"/>
        </w:rPr>
        <w:t xml:space="preserve">o </w:t>
      </w:r>
    </w:p>
    <w:p w:rsidR="00FD2CCE" w:rsidRPr="00AC4AEA" w:rsidRDefault="00872D55" w:rsidP="00A318EA">
      <w:pPr>
        <w:pStyle w:val="Prrafodelista"/>
        <w:numPr>
          <w:ilvl w:val="0"/>
          <w:numId w:val="103"/>
        </w:numPr>
        <w:ind w:left="1560"/>
        <w:contextualSpacing w:val="0"/>
        <w:jc w:val="both"/>
        <w:rPr>
          <w:rFonts w:ascii="Arial" w:hAnsi="Arial" w:cs="Arial"/>
          <w:sz w:val="20"/>
          <w:szCs w:val="20"/>
        </w:rPr>
      </w:pPr>
      <w:r w:rsidRPr="00AC4AEA">
        <w:rPr>
          <w:rFonts w:ascii="Arial" w:hAnsi="Arial" w:cs="Arial"/>
          <w:sz w:val="20"/>
          <w:szCs w:val="20"/>
        </w:rPr>
        <w:t xml:space="preserve">como parte </w:t>
      </w:r>
      <w:r w:rsidR="00FD2CCE" w:rsidRPr="00AC4AEA">
        <w:rPr>
          <w:rFonts w:ascii="Arial" w:hAnsi="Arial" w:cs="Arial"/>
          <w:sz w:val="20"/>
          <w:szCs w:val="20"/>
        </w:rPr>
        <w:t>de otros ingresos y egresos no operativos</w:t>
      </w:r>
      <w:r w:rsidR="0051782B" w:rsidRPr="00AC4AEA">
        <w:rPr>
          <w:rFonts w:ascii="Arial" w:hAnsi="Arial" w:cs="Arial"/>
          <w:sz w:val="20"/>
          <w:szCs w:val="20"/>
        </w:rPr>
        <w:t xml:space="preserve">, </w:t>
      </w:r>
      <w:r w:rsidR="00FD2CCE" w:rsidRPr="00AC4AEA">
        <w:rPr>
          <w:rFonts w:ascii="Arial" w:hAnsi="Arial" w:cs="Arial"/>
          <w:sz w:val="20"/>
          <w:szCs w:val="20"/>
        </w:rPr>
        <w:t>cuando las depreciaciones no forman parte del costo de la actividad principal.</w:t>
      </w:r>
    </w:p>
    <w:p w:rsidR="002A6B1F" w:rsidRPr="00AC4AEA" w:rsidRDefault="006F1F4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resultados, u</w:t>
      </w:r>
      <w:r w:rsidR="002A6B1F" w:rsidRPr="00AC4AEA">
        <w:rPr>
          <w:rFonts w:ascii="Arial" w:hAnsi="Arial" w:cs="Arial"/>
          <w:sz w:val="20"/>
          <w:szCs w:val="20"/>
        </w:rPr>
        <w:t xml:space="preserve">na entidad presentará las </w:t>
      </w:r>
      <w:r w:rsidR="002A6B1F" w:rsidRPr="00AC4AEA">
        <w:rPr>
          <w:rFonts w:ascii="Arial" w:hAnsi="Arial" w:cs="Arial"/>
          <w:b/>
          <w:bCs/>
          <w:sz w:val="20"/>
          <w:szCs w:val="20"/>
        </w:rPr>
        <w:t>pérdidas por desvalorización</w:t>
      </w:r>
      <w:r w:rsidR="002A6B1F" w:rsidRPr="00AC4AEA">
        <w:rPr>
          <w:rFonts w:ascii="Arial" w:hAnsi="Arial" w:cs="Arial"/>
          <w:sz w:val="20"/>
          <w:szCs w:val="20"/>
        </w:rPr>
        <w:t xml:space="preserve"> y las reversiones de dichas pérdidas bajo un título específico para tales conceptos.</w:t>
      </w:r>
    </w:p>
    <w:p w:rsidR="000177F1" w:rsidRPr="00AC4AEA" w:rsidRDefault="006F1F4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resultados, u</w:t>
      </w:r>
      <w:r w:rsidR="000177F1" w:rsidRPr="00AC4AEA">
        <w:rPr>
          <w:rFonts w:ascii="Arial" w:hAnsi="Arial" w:cs="Arial"/>
          <w:sz w:val="20"/>
          <w:szCs w:val="20"/>
        </w:rPr>
        <w:t xml:space="preserve">na entidad presentará las ganancias o pérdidas </w:t>
      </w:r>
      <w:r w:rsidR="00E06541" w:rsidRPr="00AC4AEA">
        <w:rPr>
          <w:rFonts w:ascii="Arial" w:hAnsi="Arial" w:cs="Arial"/>
          <w:sz w:val="20"/>
          <w:szCs w:val="20"/>
        </w:rPr>
        <w:t>procedentes</w:t>
      </w:r>
      <w:r w:rsidR="000177F1" w:rsidRPr="00AC4AEA">
        <w:rPr>
          <w:rFonts w:ascii="Arial" w:hAnsi="Arial" w:cs="Arial"/>
          <w:sz w:val="20"/>
          <w:szCs w:val="20"/>
        </w:rPr>
        <w:t xml:space="preserve"> de cambios en el </w:t>
      </w:r>
      <w:r w:rsidR="000177F1" w:rsidRPr="00AC4AEA">
        <w:rPr>
          <w:rFonts w:ascii="Arial" w:hAnsi="Arial" w:cs="Arial"/>
          <w:b/>
          <w:bCs/>
          <w:sz w:val="20"/>
          <w:szCs w:val="20"/>
        </w:rPr>
        <w:t>valor razonable</w:t>
      </w:r>
      <w:r w:rsidR="001B1A24" w:rsidRPr="00AC4AEA">
        <w:rPr>
          <w:rFonts w:ascii="Arial" w:hAnsi="Arial" w:cs="Arial"/>
          <w:sz w:val="20"/>
          <w:szCs w:val="20"/>
        </w:rPr>
        <w:t xml:space="preserve"> </w:t>
      </w:r>
      <w:r w:rsidR="00BD7827" w:rsidRPr="00AC4AEA">
        <w:rPr>
          <w:rFonts w:ascii="Arial" w:hAnsi="Arial" w:cs="Arial"/>
          <w:sz w:val="20"/>
          <w:szCs w:val="20"/>
        </w:rPr>
        <w:t>como</w:t>
      </w:r>
      <w:r w:rsidR="001B1A24" w:rsidRPr="00AC4AEA">
        <w:rPr>
          <w:rFonts w:ascii="Arial" w:hAnsi="Arial" w:cs="Arial"/>
          <w:sz w:val="20"/>
          <w:szCs w:val="20"/>
        </w:rPr>
        <w:t xml:space="preserve"> una partida separada</w:t>
      </w:r>
      <w:r w:rsidR="000177F1" w:rsidRPr="00AC4AEA">
        <w:rPr>
          <w:rFonts w:ascii="Arial" w:hAnsi="Arial" w:cs="Arial"/>
          <w:sz w:val="20"/>
          <w:szCs w:val="20"/>
        </w:rPr>
        <w:t>.</w:t>
      </w:r>
    </w:p>
    <w:p w:rsidR="00FD2CCE" w:rsidRPr="00AC4AEA" w:rsidRDefault="00FD2CCE" w:rsidP="00A318EA">
      <w:pPr>
        <w:jc w:val="both"/>
        <w:rPr>
          <w:rFonts w:ascii="Arial" w:hAnsi="Arial" w:cs="Arial"/>
          <w:b/>
          <w:sz w:val="20"/>
          <w:szCs w:val="20"/>
        </w:rPr>
      </w:pPr>
    </w:p>
    <w:p w:rsidR="00FD2CCE" w:rsidRPr="00AC4AEA" w:rsidRDefault="00FD2CCE" w:rsidP="00A318EA">
      <w:pPr>
        <w:pStyle w:val="Ttulo2"/>
        <w:rPr>
          <w:rFonts w:cs="Arial"/>
        </w:rPr>
      </w:pPr>
      <w:bookmarkStart w:id="539" w:name="_Toc101863881"/>
      <w:bookmarkStart w:id="540" w:name="_Toc139356745"/>
      <w:r w:rsidRPr="00AC4AEA">
        <w:rPr>
          <w:rFonts w:cs="Arial"/>
        </w:rPr>
        <w:t>Revelación en notas</w:t>
      </w:r>
      <w:bookmarkEnd w:id="539"/>
      <w:bookmarkEnd w:id="540"/>
    </w:p>
    <w:p w:rsidR="00FD2CCE" w:rsidRPr="00AC4AEA" w:rsidRDefault="00FD2CCE" w:rsidP="00A318EA">
      <w:pPr>
        <w:pStyle w:val="Ttulo3"/>
      </w:pPr>
      <w:bookmarkStart w:id="541" w:name="_Toc101863882"/>
      <w:bookmarkStart w:id="542" w:name="_Toc139356746"/>
      <w:r w:rsidRPr="00AC4AEA">
        <w:t>Revelaciones de carácter general</w:t>
      </w:r>
      <w:bookmarkEnd w:id="541"/>
      <w:bookmarkEnd w:id="542"/>
    </w:p>
    <w:p w:rsidR="00FD2CCE"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en notas: </w:t>
      </w:r>
    </w:p>
    <w:p w:rsidR="00FD2CCE" w:rsidRPr="00AC4AEA" w:rsidRDefault="00C4455D" w:rsidP="00A318EA">
      <w:pPr>
        <w:pStyle w:val="Prrafodelista"/>
        <w:numPr>
          <w:ilvl w:val="0"/>
          <w:numId w:val="104"/>
        </w:numPr>
        <w:ind w:left="1560"/>
        <w:contextualSpacing w:val="0"/>
        <w:jc w:val="both"/>
        <w:rPr>
          <w:rFonts w:ascii="Arial" w:hAnsi="Arial" w:cs="Arial"/>
          <w:sz w:val="20"/>
          <w:szCs w:val="20"/>
        </w:rPr>
      </w:pPr>
      <w:r w:rsidRPr="00AC4AEA">
        <w:rPr>
          <w:rFonts w:ascii="Arial" w:hAnsi="Arial" w:cs="Arial"/>
          <w:sz w:val="20"/>
          <w:szCs w:val="20"/>
        </w:rPr>
        <w:t>l</w:t>
      </w:r>
      <w:r w:rsidR="00FD2CCE" w:rsidRPr="00AC4AEA">
        <w:rPr>
          <w:rFonts w:ascii="Arial" w:hAnsi="Arial" w:cs="Arial"/>
          <w:sz w:val="20"/>
          <w:szCs w:val="20"/>
        </w:rPr>
        <w:t xml:space="preserve">as </w:t>
      </w:r>
      <w:r w:rsidR="00135084" w:rsidRPr="00AC4AEA">
        <w:rPr>
          <w:rFonts w:ascii="Arial" w:hAnsi="Arial" w:cs="Arial"/>
          <w:b/>
          <w:bCs/>
          <w:sz w:val="20"/>
          <w:szCs w:val="20"/>
        </w:rPr>
        <w:t>políticas contables</w:t>
      </w:r>
      <w:r w:rsidR="00BF4A7C" w:rsidRPr="00AC4AEA">
        <w:rPr>
          <w:rFonts w:ascii="Arial" w:hAnsi="Arial" w:cs="Arial"/>
          <w:sz w:val="20"/>
          <w:szCs w:val="20"/>
        </w:rPr>
        <w:t xml:space="preserve"> empleadas</w:t>
      </w:r>
      <w:r w:rsidR="00FD2CCE" w:rsidRPr="00AC4AEA">
        <w:rPr>
          <w:rFonts w:ascii="Arial" w:hAnsi="Arial" w:cs="Arial"/>
          <w:sz w:val="20"/>
          <w:szCs w:val="20"/>
        </w:rPr>
        <w:t xml:space="preserve"> y los criterios de medición aplicados a las propiedades de inversión;</w:t>
      </w:r>
      <w:r w:rsidR="007E2A61" w:rsidRPr="00AC4AEA">
        <w:rPr>
          <w:rFonts w:ascii="Arial" w:hAnsi="Arial" w:cs="Arial"/>
          <w:sz w:val="20"/>
          <w:szCs w:val="20"/>
        </w:rPr>
        <w:t xml:space="preserve"> y</w:t>
      </w:r>
    </w:p>
    <w:p w:rsidR="00FD2CCE" w:rsidRPr="00AC4AEA" w:rsidRDefault="000177F1" w:rsidP="00A318EA">
      <w:pPr>
        <w:pStyle w:val="Prrafodelista"/>
        <w:numPr>
          <w:ilvl w:val="0"/>
          <w:numId w:val="104"/>
        </w:numPr>
        <w:ind w:left="1560"/>
        <w:contextualSpacing w:val="0"/>
        <w:jc w:val="both"/>
        <w:rPr>
          <w:rFonts w:ascii="Arial" w:hAnsi="Arial" w:cs="Arial"/>
          <w:sz w:val="20"/>
          <w:szCs w:val="20"/>
        </w:rPr>
      </w:pPr>
      <w:r w:rsidRPr="00AC4AEA">
        <w:rPr>
          <w:rFonts w:ascii="Arial" w:hAnsi="Arial" w:cs="Arial"/>
          <w:sz w:val="20"/>
          <w:szCs w:val="20"/>
        </w:rPr>
        <w:lastRenderedPageBreak/>
        <w:t>cuando aplica el “</w:t>
      </w:r>
      <w:r w:rsidR="00A5347B" w:rsidRPr="00AC4AEA">
        <w:rPr>
          <w:rFonts w:ascii="Arial" w:hAnsi="Arial" w:cs="Arial"/>
          <w:sz w:val="20"/>
          <w:szCs w:val="20"/>
          <w:u w:val="single"/>
        </w:rPr>
        <w:t>M</w:t>
      </w:r>
      <w:r w:rsidRPr="00AC4AEA">
        <w:rPr>
          <w:rFonts w:ascii="Arial" w:hAnsi="Arial" w:cs="Arial"/>
          <w:sz w:val="20"/>
          <w:szCs w:val="20"/>
          <w:u w:val="single"/>
        </w:rPr>
        <w:t>odelo de costo</w:t>
      </w:r>
      <w:r w:rsidRPr="00AC4AEA">
        <w:rPr>
          <w:rFonts w:ascii="Arial" w:hAnsi="Arial" w:cs="Arial"/>
          <w:sz w:val="20"/>
          <w:szCs w:val="20"/>
        </w:rPr>
        <w:t>”</w:t>
      </w:r>
      <w:r w:rsidR="008B6161" w:rsidRPr="00AC4AEA">
        <w:rPr>
          <w:rFonts w:ascii="Arial" w:hAnsi="Arial" w:cs="Arial"/>
          <w:sz w:val="20"/>
          <w:szCs w:val="20"/>
        </w:rPr>
        <w:t xml:space="preserve"> [ver los párrafos </w:t>
      </w:r>
      <w:fldSimple w:instr=" REF _Ref99479322 \r \h  \* MERGEFORMAT ">
        <w:r w:rsidR="00D33A5D" w:rsidRPr="00D33A5D">
          <w:rPr>
            <w:rFonts w:ascii="Arial" w:hAnsi="Arial" w:cs="Arial"/>
            <w:sz w:val="20"/>
            <w:szCs w:val="20"/>
          </w:rPr>
          <w:t>321</w:t>
        </w:r>
      </w:fldSimple>
      <w:r w:rsidR="008B6161" w:rsidRPr="00AC4AEA">
        <w:rPr>
          <w:rFonts w:ascii="Arial" w:hAnsi="Arial" w:cs="Arial"/>
          <w:sz w:val="20"/>
          <w:szCs w:val="20"/>
        </w:rPr>
        <w:t xml:space="preserve"> y </w:t>
      </w:r>
      <w:fldSimple w:instr=" REF _Ref99482010 \r \h  \* MERGEFORMAT ">
        <w:r w:rsidR="00D33A5D" w:rsidRPr="00D33A5D">
          <w:rPr>
            <w:rFonts w:ascii="Arial" w:hAnsi="Arial" w:cs="Arial"/>
            <w:sz w:val="20"/>
            <w:szCs w:val="20"/>
          </w:rPr>
          <w:t>364</w:t>
        </w:r>
      </w:fldSimple>
      <w:r w:rsidR="008B6161" w:rsidRPr="00AC4AEA">
        <w:rPr>
          <w:rFonts w:ascii="Arial" w:hAnsi="Arial" w:cs="Arial"/>
          <w:sz w:val="20"/>
          <w:szCs w:val="20"/>
        </w:rPr>
        <w:t>]</w:t>
      </w:r>
      <w:r w:rsidRPr="00AC4AEA">
        <w:rPr>
          <w:rFonts w:ascii="Arial" w:hAnsi="Arial" w:cs="Arial"/>
          <w:sz w:val="20"/>
          <w:szCs w:val="20"/>
        </w:rPr>
        <w:t xml:space="preserve">, </w:t>
      </w:r>
      <w:r w:rsidR="00C4455D" w:rsidRPr="00AC4AEA">
        <w:rPr>
          <w:rFonts w:ascii="Arial" w:hAnsi="Arial" w:cs="Arial"/>
          <w:sz w:val="20"/>
          <w:szCs w:val="20"/>
        </w:rPr>
        <w:t>l</w:t>
      </w:r>
      <w:r w:rsidR="00FD2CCE" w:rsidRPr="00AC4AEA">
        <w:rPr>
          <w:rFonts w:ascii="Arial" w:hAnsi="Arial" w:cs="Arial"/>
          <w:sz w:val="20"/>
          <w:szCs w:val="20"/>
        </w:rPr>
        <w:t>as bases y métodos utilizados para la determinación de las depreciaciones.</w:t>
      </w:r>
    </w:p>
    <w:p w:rsidR="00FD2CCE"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para cada clase de propiedades de inversión los siguientes importes: </w:t>
      </w:r>
    </w:p>
    <w:p w:rsidR="00B05D66" w:rsidRPr="00AC4AEA" w:rsidRDefault="00872D55" w:rsidP="00A318EA">
      <w:pPr>
        <w:pStyle w:val="Prrafodelista"/>
        <w:numPr>
          <w:ilvl w:val="0"/>
          <w:numId w:val="105"/>
        </w:numPr>
        <w:ind w:left="1560"/>
        <w:contextualSpacing w:val="0"/>
        <w:jc w:val="both"/>
        <w:rPr>
          <w:rFonts w:ascii="Arial" w:hAnsi="Arial" w:cs="Arial"/>
          <w:sz w:val="20"/>
          <w:szCs w:val="20"/>
        </w:rPr>
      </w:pPr>
      <w:r w:rsidRPr="00AC4AEA">
        <w:rPr>
          <w:rFonts w:ascii="Arial" w:hAnsi="Arial" w:cs="Arial"/>
          <w:sz w:val="20"/>
          <w:szCs w:val="20"/>
        </w:rPr>
        <w:t>c</w:t>
      </w:r>
      <w:r w:rsidR="00B05D66" w:rsidRPr="00AC4AEA">
        <w:rPr>
          <w:rFonts w:ascii="Arial" w:hAnsi="Arial" w:cs="Arial"/>
          <w:sz w:val="20"/>
          <w:szCs w:val="20"/>
        </w:rPr>
        <w:t>ualquiera sea la política seleccionada para la medición:</w:t>
      </w:r>
    </w:p>
    <w:p w:rsidR="00FD2CCE" w:rsidRPr="00AC4AEA" w:rsidRDefault="00C4455D" w:rsidP="00A318EA">
      <w:pPr>
        <w:pStyle w:val="Prrafodelista"/>
        <w:numPr>
          <w:ilvl w:val="0"/>
          <w:numId w:val="287"/>
        </w:numPr>
        <w:ind w:left="1985"/>
        <w:contextualSpacing w:val="0"/>
        <w:jc w:val="both"/>
        <w:rPr>
          <w:rFonts w:ascii="Arial" w:hAnsi="Arial" w:cs="Arial"/>
          <w:sz w:val="20"/>
          <w:szCs w:val="20"/>
        </w:rPr>
      </w:pPr>
      <w:r w:rsidRPr="00AC4AEA">
        <w:rPr>
          <w:rFonts w:ascii="Arial" w:hAnsi="Arial" w:cs="Arial"/>
          <w:sz w:val="20"/>
          <w:szCs w:val="20"/>
        </w:rPr>
        <w:t>s</w:t>
      </w:r>
      <w:r w:rsidR="00FD2CCE" w:rsidRPr="00AC4AEA">
        <w:rPr>
          <w:rFonts w:ascii="Arial" w:hAnsi="Arial" w:cs="Arial"/>
          <w:sz w:val="20"/>
          <w:szCs w:val="20"/>
        </w:rPr>
        <w:t>aldos iniciales</w:t>
      </w:r>
      <w:r w:rsidR="00B05D66" w:rsidRPr="00AC4AEA">
        <w:rPr>
          <w:rFonts w:ascii="Arial" w:hAnsi="Arial" w:cs="Arial"/>
          <w:sz w:val="20"/>
          <w:szCs w:val="20"/>
        </w:rPr>
        <w:t>;</w:t>
      </w:r>
    </w:p>
    <w:p w:rsidR="00FD2CCE" w:rsidRPr="00AC4AEA" w:rsidRDefault="002F53B3" w:rsidP="00A318EA">
      <w:pPr>
        <w:pStyle w:val="Prrafodelista"/>
        <w:numPr>
          <w:ilvl w:val="0"/>
          <w:numId w:val="287"/>
        </w:numPr>
        <w:ind w:left="1985"/>
        <w:contextualSpacing w:val="0"/>
        <w:jc w:val="both"/>
        <w:rPr>
          <w:rFonts w:ascii="Arial" w:hAnsi="Arial" w:cs="Arial"/>
          <w:sz w:val="20"/>
          <w:szCs w:val="20"/>
        </w:rPr>
      </w:pPr>
      <w:r w:rsidRPr="00AC4AEA">
        <w:rPr>
          <w:rFonts w:ascii="Arial" w:hAnsi="Arial" w:cs="Arial"/>
          <w:sz w:val="20"/>
          <w:szCs w:val="20"/>
        </w:rPr>
        <w:t>altas (</w:t>
      </w:r>
      <w:r w:rsidR="00C4455D" w:rsidRPr="00AC4AEA">
        <w:rPr>
          <w:rFonts w:ascii="Arial" w:hAnsi="Arial" w:cs="Arial"/>
          <w:sz w:val="20"/>
          <w:szCs w:val="20"/>
        </w:rPr>
        <w:t>a</w:t>
      </w:r>
      <w:r w:rsidR="00FD2CCE" w:rsidRPr="00AC4AEA">
        <w:rPr>
          <w:rFonts w:ascii="Arial" w:hAnsi="Arial" w:cs="Arial"/>
          <w:sz w:val="20"/>
          <w:szCs w:val="20"/>
        </w:rPr>
        <w:t>diciones</w:t>
      </w:r>
      <w:r w:rsidRPr="00AC4AEA">
        <w:rPr>
          <w:rFonts w:ascii="Arial" w:hAnsi="Arial" w:cs="Arial"/>
          <w:sz w:val="20"/>
          <w:szCs w:val="20"/>
        </w:rPr>
        <w:t>)</w:t>
      </w:r>
      <w:r w:rsidR="00B05D66" w:rsidRPr="00AC4AEA">
        <w:rPr>
          <w:rFonts w:ascii="Arial" w:hAnsi="Arial" w:cs="Arial"/>
          <w:sz w:val="20"/>
          <w:szCs w:val="20"/>
        </w:rPr>
        <w:t>;</w:t>
      </w:r>
    </w:p>
    <w:p w:rsidR="00FD2CCE" w:rsidRPr="00AC4AEA" w:rsidRDefault="00C4455D" w:rsidP="00A318EA">
      <w:pPr>
        <w:pStyle w:val="Prrafodelista"/>
        <w:numPr>
          <w:ilvl w:val="0"/>
          <w:numId w:val="287"/>
        </w:numPr>
        <w:ind w:left="1985"/>
        <w:contextualSpacing w:val="0"/>
        <w:jc w:val="both"/>
        <w:rPr>
          <w:rFonts w:ascii="Arial" w:hAnsi="Arial" w:cs="Arial"/>
          <w:sz w:val="20"/>
          <w:szCs w:val="20"/>
        </w:rPr>
      </w:pPr>
      <w:r w:rsidRPr="00AC4AEA">
        <w:rPr>
          <w:rFonts w:ascii="Arial" w:hAnsi="Arial" w:cs="Arial"/>
          <w:sz w:val="20"/>
          <w:szCs w:val="20"/>
        </w:rPr>
        <w:t>b</w:t>
      </w:r>
      <w:r w:rsidR="00FD2CCE" w:rsidRPr="00AC4AEA">
        <w:rPr>
          <w:rFonts w:ascii="Arial" w:hAnsi="Arial" w:cs="Arial"/>
          <w:sz w:val="20"/>
          <w:szCs w:val="20"/>
        </w:rPr>
        <w:t>ajas</w:t>
      </w:r>
      <w:r w:rsidR="00B05D66" w:rsidRPr="00AC4AEA">
        <w:rPr>
          <w:rFonts w:ascii="Arial" w:hAnsi="Arial" w:cs="Arial"/>
          <w:sz w:val="20"/>
          <w:szCs w:val="20"/>
        </w:rPr>
        <w:t>;</w:t>
      </w:r>
    </w:p>
    <w:p w:rsidR="00B05D66" w:rsidRPr="00AC4AEA" w:rsidRDefault="00B05D66" w:rsidP="00A318EA">
      <w:pPr>
        <w:pStyle w:val="Prrafodelista"/>
        <w:numPr>
          <w:ilvl w:val="0"/>
          <w:numId w:val="287"/>
        </w:numPr>
        <w:ind w:left="1985"/>
        <w:contextualSpacing w:val="0"/>
        <w:jc w:val="both"/>
        <w:rPr>
          <w:rFonts w:ascii="Arial" w:hAnsi="Arial" w:cs="Arial"/>
          <w:sz w:val="20"/>
          <w:szCs w:val="20"/>
        </w:rPr>
      </w:pPr>
      <w:r w:rsidRPr="00AC4AEA">
        <w:rPr>
          <w:rFonts w:ascii="Arial" w:hAnsi="Arial" w:cs="Arial"/>
          <w:sz w:val="20"/>
          <w:szCs w:val="20"/>
        </w:rPr>
        <w:t>transferencias por reclasificaciones;</w:t>
      </w:r>
    </w:p>
    <w:p w:rsidR="00B05D66" w:rsidRPr="00AC4AEA" w:rsidRDefault="006056E5" w:rsidP="00A318EA">
      <w:pPr>
        <w:pStyle w:val="Prrafodelista"/>
        <w:numPr>
          <w:ilvl w:val="0"/>
          <w:numId w:val="287"/>
        </w:numPr>
        <w:ind w:left="1985"/>
        <w:contextualSpacing w:val="0"/>
        <w:jc w:val="both"/>
        <w:rPr>
          <w:rFonts w:ascii="Arial" w:hAnsi="Arial" w:cs="Arial"/>
          <w:sz w:val="20"/>
          <w:szCs w:val="20"/>
        </w:rPr>
      </w:pPr>
      <w:r w:rsidRPr="00AC4AEA">
        <w:rPr>
          <w:rFonts w:ascii="Arial" w:hAnsi="Arial" w:cs="Arial"/>
          <w:sz w:val="20"/>
          <w:szCs w:val="20"/>
        </w:rPr>
        <w:t>otras variaciones no consideradas en los incisos anteriores de este párrafo, debiendo indicar, en el caso en que presente esta partida, los conceptos incluidos en ella</w:t>
      </w:r>
      <w:r w:rsidR="00B05D66" w:rsidRPr="00AC4AEA">
        <w:rPr>
          <w:rFonts w:ascii="Arial" w:hAnsi="Arial" w:cs="Arial"/>
          <w:sz w:val="20"/>
          <w:szCs w:val="20"/>
        </w:rPr>
        <w:t xml:space="preserve">; y </w:t>
      </w:r>
    </w:p>
    <w:p w:rsidR="00B05D66" w:rsidRPr="00AC4AEA" w:rsidRDefault="00B05D66" w:rsidP="00A318EA">
      <w:pPr>
        <w:pStyle w:val="Prrafodelista"/>
        <w:numPr>
          <w:ilvl w:val="0"/>
          <w:numId w:val="287"/>
        </w:numPr>
        <w:ind w:left="1985"/>
        <w:contextualSpacing w:val="0"/>
        <w:jc w:val="both"/>
        <w:rPr>
          <w:rFonts w:ascii="Arial" w:hAnsi="Arial" w:cs="Arial"/>
          <w:sz w:val="20"/>
          <w:szCs w:val="20"/>
        </w:rPr>
      </w:pPr>
      <w:r w:rsidRPr="00AC4AEA">
        <w:rPr>
          <w:rFonts w:ascii="Arial" w:hAnsi="Arial" w:cs="Arial"/>
          <w:sz w:val="20"/>
          <w:szCs w:val="20"/>
        </w:rPr>
        <w:t>saldos finales</w:t>
      </w:r>
      <w:r w:rsidR="00860EB6" w:rsidRPr="00AC4AEA">
        <w:rPr>
          <w:rFonts w:ascii="Arial" w:hAnsi="Arial" w:cs="Arial"/>
          <w:sz w:val="20"/>
          <w:szCs w:val="20"/>
        </w:rPr>
        <w:t>.</w:t>
      </w:r>
    </w:p>
    <w:p w:rsidR="00B05D66" w:rsidRPr="00AC4AEA" w:rsidRDefault="00872D55" w:rsidP="00A318EA">
      <w:pPr>
        <w:pStyle w:val="Prrafodelista"/>
        <w:numPr>
          <w:ilvl w:val="0"/>
          <w:numId w:val="105"/>
        </w:numPr>
        <w:ind w:left="1560"/>
        <w:contextualSpacing w:val="0"/>
        <w:jc w:val="both"/>
        <w:rPr>
          <w:rFonts w:ascii="Arial" w:hAnsi="Arial" w:cs="Arial"/>
          <w:sz w:val="20"/>
          <w:szCs w:val="20"/>
        </w:rPr>
      </w:pPr>
      <w:r w:rsidRPr="00AC4AEA">
        <w:rPr>
          <w:rFonts w:ascii="Arial" w:hAnsi="Arial" w:cs="Arial"/>
          <w:sz w:val="20"/>
          <w:szCs w:val="20"/>
        </w:rPr>
        <w:t>S</w:t>
      </w:r>
      <w:r w:rsidR="00B05D66" w:rsidRPr="00AC4AEA">
        <w:rPr>
          <w:rFonts w:ascii="Arial" w:hAnsi="Arial" w:cs="Arial"/>
          <w:sz w:val="20"/>
          <w:szCs w:val="20"/>
        </w:rPr>
        <w:t>i aplica el “</w:t>
      </w:r>
      <w:r w:rsidR="00A5347B" w:rsidRPr="00AC4AEA">
        <w:rPr>
          <w:rFonts w:ascii="Arial" w:hAnsi="Arial" w:cs="Arial"/>
          <w:sz w:val="20"/>
          <w:szCs w:val="20"/>
          <w:u w:val="single"/>
        </w:rPr>
        <w:t>M</w:t>
      </w:r>
      <w:r w:rsidR="00B05D66" w:rsidRPr="00AC4AEA">
        <w:rPr>
          <w:rFonts w:ascii="Arial" w:hAnsi="Arial" w:cs="Arial"/>
          <w:sz w:val="20"/>
          <w:szCs w:val="20"/>
          <w:u w:val="single"/>
        </w:rPr>
        <w:t>odelo de costo</w:t>
      </w:r>
      <w:r w:rsidR="00B05D66" w:rsidRPr="00AC4AEA">
        <w:rPr>
          <w:rFonts w:ascii="Arial" w:hAnsi="Arial" w:cs="Arial"/>
          <w:sz w:val="20"/>
          <w:szCs w:val="20"/>
        </w:rPr>
        <w:t xml:space="preserve">” </w:t>
      </w:r>
      <w:r w:rsidR="008B6161" w:rsidRPr="00AC4AEA">
        <w:rPr>
          <w:rFonts w:ascii="Arial" w:hAnsi="Arial" w:cs="Arial"/>
          <w:sz w:val="20"/>
          <w:szCs w:val="20"/>
        </w:rPr>
        <w:t xml:space="preserve">[ver los párrafos </w:t>
      </w:r>
      <w:fldSimple w:instr=" REF _Ref99479322 \r \h  \* MERGEFORMAT ">
        <w:r w:rsidR="00D33A5D" w:rsidRPr="00D33A5D">
          <w:rPr>
            <w:rFonts w:ascii="Arial" w:hAnsi="Arial" w:cs="Arial"/>
            <w:sz w:val="20"/>
            <w:szCs w:val="20"/>
          </w:rPr>
          <w:t>321</w:t>
        </w:r>
      </w:fldSimple>
      <w:r w:rsidR="008B6161" w:rsidRPr="00AC4AEA">
        <w:rPr>
          <w:rFonts w:ascii="Arial" w:hAnsi="Arial" w:cs="Arial"/>
          <w:sz w:val="20"/>
          <w:szCs w:val="20"/>
        </w:rPr>
        <w:t xml:space="preserve"> y </w:t>
      </w:r>
      <w:fldSimple w:instr=" REF _Ref99482010 \r \h  \* MERGEFORMAT ">
        <w:r w:rsidR="00D33A5D" w:rsidRPr="00D33A5D">
          <w:rPr>
            <w:rFonts w:ascii="Arial" w:hAnsi="Arial" w:cs="Arial"/>
            <w:sz w:val="20"/>
            <w:szCs w:val="20"/>
          </w:rPr>
          <w:t>364</w:t>
        </w:r>
      </w:fldSimple>
      <w:r w:rsidR="008B6161" w:rsidRPr="00AC4AEA">
        <w:rPr>
          <w:rFonts w:ascii="Arial" w:hAnsi="Arial" w:cs="Arial"/>
          <w:sz w:val="20"/>
          <w:szCs w:val="20"/>
        </w:rPr>
        <w:t xml:space="preserve">] </w:t>
      </w:r>
      <w:r w:rsidR="00B05D66" w:rsidRPr="00AC4AEA">
        <w:rPr>
          <w:rFonts w:ascii="Arial" w:hAnsi="Arial" w:cs="Arial"/>
          <w:sz w:val="20"/>
          <w:szCs w:val="20"/>
        </w:rPr>
        <w:t>además deberá informar sobre:</w:t>
      </w:r>
    </w:p>
    <w:p w:rsidR="00FD2CCE" w:rsidRPr="00AC4AEA" w:rsidRDefault="00C4455D" w:rsidP="00A318EA">
      <w:pPr>
        <w:pStyle w:val="Prrafodelista"/>
        <w:numPr>
          <w:ilvl w:val="0"/>
          <w:numId w:val="288"/>
        </w:numPr>
        <w:ind w:left="1985"/>
        <w:contextualSpacing w:val="0"/>
        <w:jc w:val="both"/>
        <w:rPr>
          <w:rFonts w:ascii="Arial" w:hAnsi="Arial" w:cs="Arial"/>
          <w:sz w:val="20"/>
          <w:szCs w:val="20"/>
        </w:rPr>
      </w:pPr>
      <w:r w:rsidRPr="00AC4AEA">
        <w:rPr>
          <w:rFonts w:ascii="Arial" w:hAnsi="Arial" w:cs="Arial"/>
          <w:sz w:val="20"/>
          <w:szCs w:val="20"/>
        </w:rPr>
        <w:t>d</w:t>
      </w:r>
      <w:r w:rsidR="00FD2CCE" w:rsidRPr="00AC4AEA">
        <w:rPr>
          <w:rFonts w:ascii="Arial" w:hAnsi="Arial" w:cs="Arial"/>
          <w:sz w:val="20"/>
          <w:szCs w:val="20"/>
        </w:rPr>
        <w:t>epreciaciones</w:t>
      </w:r>
      <w:r w:rsidR="00B05D66" w:rsidRPr="00AC4AEA">
        <w:rPr>
          <w:rFonts w:ascii="Arial" w:hAnsi="Arial" w:cs="Arial"/>
          <w:sz w:val="20"/>
          <w:szCs w:val="20"/>
        </w:rPr>
        <w:t xml:space="preserve"> del </w:t>
      </w:r>
      <w:r w:rsidR="006E2FE7" w:rsidRPr="00AC4AEA">
        <w:rPr>
          <w:rFonts w:ascii="Arial" w:hAnsi="Arial" w:cs="Arial"/>
          <w:sz w:val="20"/>
          <w:szCs w:val="20"/>
        </w:rPr>
        <w:t>período</w:t>
      </w:r>
      <w:r w:rsidR="00B05D66" w:rsidRPr="00AC4AEA">
        <w:rPr>
          <w:rFonts w:ascii="Arial" w:hAnsi="Arial" w:cs="Arial"/>
          <w:sz w:val="20"/>
          <w:szCs w:val="20"/>
        </w:rPr>
        <w:t>;</w:t>
      </w:r>
    </w:p>
    <w:p w:rsidR="00B05D66" w:rsidRPr="00AC4AEA" w:rsidRDefault="00E06541" w:rsidP="00A318EA">
      <w:pPr>
        <w:pStyle w:val="Prrafodelista"/>
        <w:numPr>
          <w:ilvl w:val="0"/>
          <w:numId w:val="288"/>
        </w:numPr>
        <w:ind w:left="1985"/>
        <w:contextualSpacing w:val="0"/>
        <w:jc w:val="both"/>
        <w:rPr>
          <w:rFonts w:ascii="Arial" w:hAnsi="Arial" w:cs="Arial"/>
          <w:sz w:val="20"/>
          <w:szCs w:val="20"/>
        </w:rPr>
      </w:pPr>
      <w:r w:rsidRPr="00AC4AEA">
        <w:rPr>
          <w:rFonts w:ascii="Arial" w:hAnsi="Arial" w:cs="Arial"/>
          <w:b/>
          <w:bCs/>
          <w:sz w:val="20"/>
          <w:szCs w:val="20"/>
        </w:rPr>
        <w:t xml:space="preserve">pérdidas por </w:t>
      </w:r>
      <w:r w:rsidR="00C4455D" w:rsidRPr="00AC4AEA">
        <w:rPr>
          <w:rFonts w:ascii="Arial" w:hAnsi="Arial" w:cs="Arial"/>
          <w:b/>
          <w:bCs/>
          <w:sz w:val="20"/>
          <w:szCs w:val="20"/>
        </w:rPr>
        <w:t>d</w:t>
      </w:r>
      <w:r w:rsidR="00FD2CCE" w:rsidRPr="00AC4AEA">
        <w:rPr>
          <w:rFonts w:ascii="Arial" w:hAnsi="Arial" w:cs="Arial"/>
          <w:b/>
          <w:bCs/>
          <w:sz w:val="20"/>
          <w:szCs w:val="20"/>
        </w:rPr>
        <w:t>esvalorizaci</w:t>
      </w:r>
      <w:r w:rsidRPr="00AC4AEA">
        <w:rPr>
          <w:rFonts w:ascii="Arial" w:hAnsi="Arial" w:cs="Arial"/>
          <w:b/>
          <w:bCs/>
          <w:sz w:val="20"/>
          <w:szCs w:val="20"/>
        </w:rPr>
        <w:t>ón</w:t>
      </w:r>
      <w:r w:rsidR="00EC0123" w:rsidRPr="00AC4AEA">
        <w:rPr>
          <w:rFonts w:ascii="Arial" w:hAnsi="Arial" w:cs="Arial"/>
          <w:sz w:val="20"/>
          <w:szCs w:val="20"/>
        </w:rPr>
        <w:t>; y</w:t>
      </w:r>
    </w:p>
    <w:p w:rsidR="00B05D66" w:rsidRPr="00AC4AEA" w:rsidRDefault="00FB4810" w:rsidP="00A318EA">
      <w:pPr>
        <w:pStyle w:val="Prrafodelista"/>
        <w:numPr>
          <w:ilvl w:val="0"/>
          <w:numId w:val="288"/>
        </w:numPr>
        <w:ind w:left="1985"/>
        <w:contextualSpacing w:val="0"/>
        <w:jc w:val="both"/>
        <w:rPr>
          <w:rFonts w:ascii="Arial" w:hAnsi="Arial" w:cs="Arial"/>
          <w:sz w:val="20"/>
          <w:szCs w:val="20"/>
        </w:rPr>
      </w:pPr>
      <w:r w:rsidRPr="00AC4AEA">
        <w:rPr>
          <w:rFonts w:ascii="Arial" w:hAnsi="Arial" w:cs="Arial"/>
          <w:sz w:val="20"/>
          <w:szCs w:val="20"/>
        </w:rPr>
        <w:t xml:space="preserve">recuperación de </w:t>
      </w:r>
      <w:r w:rsidRPr="00AC4AEA">
        <w:rPr>
          <w:rFonts w:ascii="Arial" w:hAnsi="Arial" w:cs="Arial"/>
          <w:b/>
          <w:bCs/>
          <w:sz w:val="20"/>
          <w:szCs w:val="20"/>
        </w:rPr>
        <w:t>pérdidas por desvalorización</w:t>
      </w:r>
      <w:r w:rsidR="00B05D66" w:rsidRPr="00AC4AEA">
        <w:rPr>
          <w:rFonts w:ascii="Arial" w:hAnsi="Arial" w:cs="Arial"/>
          <w:sz w:val="20"/>
          <w:szCs w:val="20"/>
        </w:rPr>
        <w:t>.</w:t>
      </w:r>
    </w:p>
    <w:p w:rsidR="001A6F81" w:rsidRPr="00AC4AEA" w:rsidRDefault="001A6F81" w:rsidP="00A318EA">
      <w:pPr>
        <w:pStyle w:val="Prrafodelista"/>
        <w:numPr>
          <w:ilvl w:val="0"/>
          <w:numId w:val="105"/>
        </w:numPr>
        <w:ind w:left="1560"/>
        <w:contextualSpacing w:val="0"/>
        <w:jc w:val="both"/>
        <w:rPr>
          <w:rFonts w:ascii="Arial" w:hAnsi="Arial" w:cs="Arial"/>
          <w:sz w:val="20"/>
          <w:szCs w:val="20"/>
        </w:rPr>
      </w:pPr>
      <w:r w:rsidRPr="00AC4AEA">
        <w:rPr>
          <w:rFonts w:ascii="Arial" w:hAnsi="Arial" w:cs="Arial"/>
          <w:sz w:val="20"/>
          <w:szCs w:val="20"/>
        </w:rPr>
        <w:t>Si aplica el “</w:t>
      </w:r>
      <w:r w:rsidRPr="00AC4AEA">
        <w:rPr>
          <w:rFonts w:ascii="Arial" w:hAnsi="Arial" w:cs="Arial"/>
          <w:sz w:val="20"/>
          <w:szCs w:val="20"/>
          <w:u w:val="single"/>
        </w:rPr>
        <w:t>Modelo de costo</w:t>
      </w:r>
      <w:r w:rsidRPr="00AC4AEA">
        <w:rPr>
          <w:rFonts w:ascii="Arial" w:hAnsi="Arial" w:cs="Arial"/>
          <w:sz w:val="20"/>
          <w:szCs w:val="20"/>
        </w:rPr>
        <w:t xml:space="preserve">” [ver los párrafos </w:t>
      </w:r>
      <w:fldSimple w:instr=" REF _Ref99479322 \r \h  \* MERGEFORMAT ">
        <w:r w:rsidR="00D33A5D" w:rsidRPr="00D33A5D">
          <w:rPr>
            <w:rFonts w:ascii="Arial" w:hAnsi="Arial" w:cs="Arial"/>
            <w:sz w:val="20"/>
            <w:szCs w:val="20"/>
          </w:rPr>
          <w:t>321</w:t>
        </w:r>
      </w:fldSimple>
      <w:r w:rsidRPr="00AC4AEA">
        <w:rPr>
          <w:rFonts w:ascii="Arial" w:hAnsi="Arial" w:cs="Arial"/>
          <w:sz w:val="20"/>
          <w:szCs w:val="20"/>
        </w:rPr>
        <w:t xml:space="preserve"> y </w:t>
      </w:r>
      <w:fldSimple w:instr=" REF _Ref99482010 \r \h  \* MERGEFORMAT ">
        <w:r w:rsidR="00D33A5D" w:rsidRPr="00D33A5D">
          <w:rPr>
            <w:rFonts w:ascii="Arial" w:hAnsi="Arial" w:cs="Arial"/>
            <w:sz w:val="20"/>
            <w:szCs w:val="20"/>
          </w:rPr>
          <w:t>364</w:t>
        </w:r>
      </w:fldSimple>
      <w:r w:rsidRPr="00AC4AEA">
        <w:rPr>
          <w:rFonts w:ascii="Arial" w:hAnsi="Arial" w:cs="Arial"/>
          <w:sz w:val="20"/>
          <w:szCs w:val="20"/>
        </w:rPr>
        <w:t>]</w:t>
      </w:r>
      <w:r w:rsidR="00FA03B7" w:rsidRPr="00AC4AEA">
        <w:rPr>
          <w:rFonts w:ascii="Arial" w:hAnsi="Arial" w:cs="Arial"/>
          <w:sz w:val="20"/>
          <w:szCs w:val="20"/>
        </w:rPr>
        <w:t>,</w:t>
      </w:r>
      <w:r w:rsidRPr="00AC4AEA">
        <w:rPr>
          <w:rFonts w:ascii="Arial" w:hAnsi="Arial" w:cs="Arial"/>
          <w:sz w:val="20"/>
          <w:szCs w:val="20"/>
        </w:rPr>
        <w:t xml:space="preserve"> </w:t>
      </w:r>
      <w:r w:rsidR="00FA03B7" w:rsidRPr="00AC4AEA">
        <w:rPr>
          <w:rFonts w:ascii="Arial" w:hAnsi="Arial" w:cs="Arial"/>
          <w:sz w:val="20"/>
          <w:szCs w:val="20"/>
        </w:rPr>
        <w:t xml:space="preserve">revelará el </w:t>
      </w:r>
      <w:r w:rsidR="00FA03B7" w:rsidRPr="00AC4AEA">
        <w:rPr>
          <w:rFonts w:ascii="Arial" w:hAnsi="Arial" w:cs="Arial"/>
          <w:b/>
          <w:bCs/>
          <w:sz w:val="20"/>
          <w:szCs w:val="20"/>
        </w:rPr>
        <w:t>valor razonable</w:t>
      </w:r>
      <w:r w:rsidR="00FA03B7" w:rsidRPr="00AC4AEA">
        <w:rPr>
          <w:rFonts w:ascii="Arial" w:hAnsi="Arial" w:cs="Arial"/>
          <w:sz w:val="20"/>
          <w:szCs w:val="20"/>
        </w:rPr>
        <w:t xml:space="preserve"> de las propiedades de inversión, excepto que la entidad</w:t>
      </w:r>
      <w:r w:rsidR="000223E5" w:rsidRPr="00AC4AEA">
        <w:rPr>
          <w:rFonts w:ascii="Arial" w:hAnsi="Arial" w:cs="Arial"/>
          <w:sz w:val="20"/>
          <w:szCs w:val="20"/>
        </w:rPr>
        <w:t xml:space="preserve"> sea pequeña o mediana.</w:t>
      </w:r>
    </w:p>
    <w:p w:rsidR="00FD2CCE"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individualizará, dentro de cada grupo de propiedades de inversión, los importes correspondientes a los incorporados mediante arrendamientos financieros.</w:t>
      </w:r>
    </w:p>
    <w:p w:rsidR="00FD2CCE"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revelará los bienes de disponibilidad restringida individualizando:</w:t>
      </w:r>
    </w:p>
    <w:p w:rsidR="00FD2CCE" w:rsidRPr="00AC4AEA" w:rsidRDefault="00872D55" w:rsidP="00A318EA">
      <w:pPr>
        <w:pStyle w:val="Prrafodelista"/>
        <w:numPr>
          <w:ilvl w:val="1"/>
          <w:numId w:val="44"/>
        </w:numPr>
        <w:ind w:left="1560" w:hanging="567"/>
        <w:contextualSpacing w:val="0"/>
        <w:jc w:val="both"/>
        <w:rPr>
          <w:rFonts w:ascii="Arial" w:hAnsi="Arial" w:cs="Arial"/>
          <w:sz w:val="20"/>
          <w:szCs w:val="20"/>
        </w:rPr>
      </w:pPr>
      <w:r w:rsidRPr="00AC4AEA">
        <w:rPr>
          <w:rFonts w:ascii="Arial" w:hAnsi="Arial" w:cs="Arial"/>
          <w:sz w:val="20"/>
          <w:szCs w:val="20"/>
        </w:rPr>
        <w:t>L</w:t>
      </w:r>
      <w:r w:rsidR="00FD2CCE" w:rsidRPr="00AC4AEA">
        <w:rPr>
          <w:rFonts w:ascii="Arial" w:hAnsi="Arial" w:cs="Arial"/>
          <w:sz w:val="20"/>
          <w:szCs w:val="20"/>
        </w:rPr>
        <w:t>as causas (legales, contractuales o situaciones de hecho) que limitan su disponibilidad y las mediciones contables correspondientes</w:t>
      </w:r>
      <w:r w:rsidRPr="00AC4AEA">
        <w:rPr>
          <w:rFonts w:ascii="Arial" w:hAnsi="Arial" w:cs="Arial"/>
          <w:sz w:val="20"/>
          <w:szCs w:val="20"/>
        </w:rPr>
        <w:t>.</w:t>
      </w:r>
    </w:p>
    <w:p w:rsidR="00FD2CCE" w:rsidRPr="00AC4AEA" w:rsidRDefault="00872D55" w:rsidP="00A318EA">
      <w:pPr>
        <w:pStyle w:val="Prrafodelista"/>
        <w:numPr>
          <w:ilvl w:val="1"/>
          <w:numId w:val="44"/>
        </w:numPr>
        <w:ind w:left="1560" w:hanging="567"/>
        <w:contextualSpacing w:val="0"/>
        <w:jc w:val="both"/>
        <w:rPr>
          <w:rFonts w:ascii="Arial" w:hAnsi="Arial" w:cs="Arial"/>
          <w:sz w:val="20"/>
          <w:szCs w:val="20"/>
        </w:rPr>
      </w:pPr>
      <w:r w:rsidRPr="00AC4AEA">
        <w:rPr>
          <w:rFonts w:ascii="Arial" w:hAnsi="Arial" w:cs="Arial"/>
          <w:sz w:val="20"/>
          <w:szCs w:val="20"/>
        </w:rPr>
        <w:t>L</w:t>
      </w:r>
      <w:r w:rsidR="00FD2CCE" w:rsidRPr="00AC4AEA">
        <w:rPr>
          <w:rFonts w:ascii="Arial" w:hAnsi="Arial" w:cs="Arial"/>
          <w:sz w:val="20"/>
          <w:szCs w:val="20"/>
        </w:rPr>
        <w:t xml:space="preserve">os componentes que no podrán ser enajenados hasta tanto se cancelen determinados </w:t>
      </w:r>
      <w:r w:rsidR="00497590" w:rsidRPr="00AC4AEA">
        <w:rPr>
          <w:rFonts w:ascii="Arial" w:hAnsi="Arial" w:cs="Arial"/>
          <w:sz w:val="20"/>
          <w:szCs w:val="20"/>
        </w:rPr>
        <w:t>pasivos</w:t>
      </w:r>
      <w:r w:rsidR="00FD2CCE" w:rsidRPr="00AC4AEA">
        <w:rPr>
          <w:rFonts w:ascii="Arial" w:hAnsi="Arial" w:cs="Arial"/>
          <w:sz w:val="20"/>
          <w:szCs w:val="20"/>
        </w:rPr>
        <w:t xml:space="preserve">, indicándose su medición contable y la de los </w:t>
      </w:r>
      <w:r w:rsidR="00497590" w:rsidRPr="00AC4AEA">
        <w:rPr>
          <w:rFonts w:ascii="Arial" w:hAnsi="Arial" w:cs="Arial"/>
          <w:sz w:val="20"/>
          <w:szCs w:val="20"/>
        </w:rPr>
        <w:t>pasivos</w:t>
      </w:r>
      <w:r w:rsidR="00FD2CCE" w:rsidRPr="00AC4AEA">
        <w:rPr>
          <w:rFonts w:ascii="Arial" w:hAnsi="Arial" w:cs="Arial"/>
          <w:sz w:val="20"/>
          <w:szCs w:val="20"/>
        </w:rPr>
        <w:t xml:space="preserve"> relacionados.</w:t>
      </w:r>
    </w:p>
    <w:p w:rsidR="00FD2CCE" w:rsidRPr="00AC4AEA" w:rsidRDefault="00FD2CCE" w:rsidP="00A318EA">
      <w:pPr>
        <w:pStyle w:val="A-Normal11"/>
        <w:jc w:val="both"/>
        <w:rPr>
          <w:rFonts w:ascii="Arial" w:hAnsi="Arial" w:cs="Arial"/>
          <w:sz w:val="20"/>
        </w:rPr>
      </w:pPr>
    </w:p>
    <w:p w:rsidR="00FD2CCE" w:rsidRPr="00AC4AEA" w:rsidRDefault="00FD2CCE" w:rsidP="00A318EA">
      <w:pPr>
        <w:pStyle w:val="Ttulo3"/>
      </w:pPr>
      <w:bookmarkStart w:id="543" w:name="_Toc101863883"/>
      <w:bookmarkStart w:id="544" w:name="_Toc139356747"/>
      <w:r w:rsidRPr="00AC4AEA">
        <w:t>Revelaciones sobre depreciaciones</w:t>
      </w:r>
      <w:bookmarkEnd w:id="543"/>
      <w:bookmarkEnd w:id="544"/>
    </w:p>
    <w:p w:rsidR="00FD2CCE" w:rsidRPr="00AC4AEA" w:rsidRDefault="00FD2CC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w:t>
      </w:r>
      <w:r w:rsidR="00B05D66" w:rsidRPr="00AC4AEA">
        <w:rPr>
          <w:rFonts w:ascii="Arial" w:hAnsi="Arial" w:cs="Arial"/>
          <w:sz w:val="20"/>
          <w:szCs w:val="20"/>
        </w:rPr>
        <w:t xml:space="preserve"> que aplica el “</w:t>
      </w:r>
      <w:r w:rsidR="00A5347B" w:rsidRPr="00AC4AEA">
        <w:rPr>
          <w:rFonts w:ascii="Arial" w:hAnsi="Arial" w:cs="Arial"/>
          <w:sz w:val="20"/>
          <w:szCs w:val="20"/>
          <w:u w:val="single"/>
        </w:rPr>
        <w:t>Mo</w:t>
      </w:r>
      <w:r w:rsidR="00B05D66" w:rsidRPr="00AC4AEA">
        <w:rPr>
          <w:rFonts w:ascii="Arial" w:hAnsi="Arial" w:cs="Arial"/>
          <w:sz w:val="20"/>
          <w:szCs w:val="20"/>
          <w:u w:val="single"/>
        </w:rPr>
        <w:t>delo de costo</w:t>
      </w:r>
      <w:r w:rsidR="00B05D66" w:rsidRPr="00AC4AEA">
        <w:rPr>
          <w:rFonts w:ascii="Arial" w:hAnsi="Arial" w:cs="Arial"/>
          <w:sz w:val="20"/>
          <w:szCs w:val="20"/>
        </w:rPr>
        <w:t>”</w:t>
      </w:r>
      <w:r w:rsidRPr="00AC4AEA">
        <w:rPr>
          <w:rFonts w:ascii="Arial" w:hAnsi="Arial" w:cs="Arial"/>
          <w:sz w:val="20"/>
          <w:szCs w:val="20"/>
        </w:rPr>
        <w:t xml:space="preserve"> </w:t>
      </w:r>
      <w:r w:rsidR="00EC06DB" w:rsidRPr="00AC4AEA">
        <w:rPr>
          <w:rFonts w:ascii="Arial" w:hAnsi="Arial" w:cs="Arial"/>
          <w:sz w:val="20"/>
          <w:szCs w:val="20"/>
        </w:rPr>
        <w:t xml:space="preserve">[ver los párrafos </w:t>
      </w:r>
      <w:fldSimple w:instr=" REF _Ref99479322 \r \h  \* MERGEFORMAT ">
        <w:r w:rsidR="00D33A5D" w:rsidRPr="00D33A5D">
          <w:rPr>
            <w:rFonts w:ascii="Arial" w:hAnsi="Arial" w:cs="Arial"/>
            <w:sz w:val="20"/>
            <w:szCs w:val="20"/>
          </w:rPr>
          <w:t>321</w:t>
        </w:r>
      </w:fldSimple>
      <w:r w:rsidR="00EC06DB" w:rsidRPr="00AC4AEA">
        <w:rPr>
          <w:rFonts w:ascii="Arial" w:hAnsi="Arial" w:cs="Arial"/>
          <w:sz w:val="20"/>
          <w:szCs w:val="20"/>
        </w:rPr>
        <w:t xml:space="preserve"> y </w:t>
      </w:r>
      <w:fldSimple w:instr=" REF _Ref99482010 \r \h  \* MERGEFORMAT ">
        <w:r w:rsidR="00D33A5D" w:rsidRPr="00D33A5D">
          <w:rPr>
            <w:rFonts w:ascii="Arial" w:hAnsi="Arial" w:cs="Arial"/>
            <w:sz w:val="20"/>
            <w:szCs w:val="20"/>
          </w:rPr>
          <w:t>364</w:t>
        </w:r>
      </w:fldSimple>
      <w:r w:rsidR="00EC06DB" w:rsidRPr="00AC4AEA">
        <w:rPr>
          <w:rFonts w:ascii="Arial" w:hAnsi="Arial" w:cs="Arial"/>
          <w:sz w:val="20"/>
          <w:szCs w:val="20"/>
        </w:rPr>
        <w:t xml:space="preserve">] </w:t>
      </w:r>
      <w:r w:rsidRPr="00AC4AEA">
        <w:rPr>
          <w:rFonts w:ascii="Arial" w:hAnsi="Arial" w:cs="Arial"/>
          <w:sz w:val="20"/>
          <w:szCs w:val="20"/>
        </w:rPr>
        <w:t xml:space="preserve">presentará el importe de las depreciaciones del </w:t>
      </w:r>
      <w:r w:rsidR="009B7B74" w:rsidRPr="00AC4AEA">
        <w:rPr>
          <w:rFonts w:ascii="Arial" w:hAnsi="Arial" w:cs="Arial"/>
          <w:sz w:val="20"/>
          <w:szCs w:val="20"/>
        </w:rPr>
        <w:t>período</w:t>
      </w:r>
      <w:r w:rsidRPr="00AC4AEA">
        <w:rPr>
          <w:rFonts w:ascii="Arial" w:hAnsi="Arial" w:cs="Arial"/>
          <w:sz w:val="20"/>
          <w:szCs w:val="20"/>
        </w:rPr>
        <w:t xml:space="preserve">, clasificándolas de acuerdo </w:t>
      </w:r>
      <w:r w:rsidR="00A5347B" w:rsidRPr="00AC4AEA">
        <w:rPr>
          <w:rFonts w:ascii="Arial" w:hAnsi="Arial" w:cs="Arial"/>
          <w:sz w:val="20"/>
          <w:szCs w:val="20"/>
        </w:rPr>
        <w:t>con</w:t>
      </w:r>
      <w:r w:rsidRPr="00AC4AEA">
        <w:rPr>
          <w:rFonts w:ascii="Arial" w:hAnsi="Arial" w:cs="Arial"/>
          <w:sz w:val="20"/>
          <w:szCs w:val="20"/>
        </w:rPr>
        <w:t xml:space="preserve"> la función asignada a los bienes que las originaron</w:t>
      </w:r>
      <w:r w:rsidR="00DE7C7E" w:rsidRPr="00AC4AEA">
        <w:rPr>
          <w:rFonts w:ascii="Arial" w:hAnsi="Arial" w:cs="Arial"/>
          <w:sz w:val="20"/>
          <w:szCs w:val="20"/>
        </w:rPr>
        <w:t>,</w:t>
      </w:r>
      <w:r w:rsidRPr="00AC4AEA">
        <w:rPr>
          <w:rFonts w:ascii="Arial" w:hAnsi="Arial" w:cs="Arial"/>
          <w:sz w:val="20"/>
          <w:szCs w:val="20"/>
        </w:rPr>
        <w:t xml:space="preserve"> </w:t>
      </w:r>
      <w:r w:rsidR="00DE7C7E" w:rsidRPr="00AC4AEA">
        <w:rPr>
          <w:rFonts w:ascii="Arial" w:hAnsi="Arial" w:cs="Arial"/>
          <w:sz w:val="20"/>
          <w:szCs w:val="20"/>
        </w:rPr>
        <w:t>como</w:t>
      </w:r>
      <w:r w:rsidRPr="00AC4AEA">
        <w:rPr>
          <w:rFonts w:ascii="Arial" w:hAnsi="Arial" w:cs="Arial"/>
          <w:sz w:val="20"/>
          <w:szCs w:val="20"/>
        </w:rPr>
        <w:t>:</w:t>
      </w:r>
    </w:p>
    <w:p w:rsidR="00FD2CCE" w:rsidRPr="00AC4AEA" w:rsidRDefault="00DE7C7E" w:rsidP="00A318EA">
      <w:pPr>
        <w:pStyle w:val="Prrafodelista"/>
        <w:numPr>
          <w:ilvl w:val="0"/>
          <w:numId w:val="106"/>
        </w:numPr>
        <w:ind w:left="1560"/>
        <w:contextualSpacing w:val="0"/>
        <w:jc w:val="both"/>
        <w:rPr>
          <w:rFonts w:ascii="Arial" w:hAnsi="Arial" w:cs="Arial"/>
          <w:sz w:val="20"/>
          <w:szCs w:val="20"/>
        </w:rPr>
      </w:pPr>
      <w:r w:rsidRPr="00AC4AEA">
        <w:rPr>
          <w:rFonts w:ascii="Arial" w:hAnsi="Arial" w:cs="Arial"/>
          <w:sz w:val="20"/>
          <w:szCs w:val="20"/>
        </w:rPr>
        <w:lastRenderedPageBreak/>
        <w:t>c</w:t>
      </w:r>
      <w:r w:rsidR="00FD2CCE" w:rsidRPr="00AC4AEA">
        <w:rPr>
          <w:rFonts w:ascii="Arial" w:hAnsi="Arial" w:cs="Arial"/>
          <w:sz w:val="20"/>
          <w:szCs w:val="20"/>
        </w:rPr>
        <w:t>osto de los servicios prestados</w:t>
      </w:r>
      <w:r w:rsidR="00C43352" w:rsidRPr="00AC4AEA">
        <w:rPr>
          <w:rFonts w:ascii="Arial" w:hAnsi="Arial" w:cs="Arial"/>
          <w:sz w:val="20"/>
          <w:szCs w:val="20"/>
        </w:rPr>
        <w:t xml:space="preserve"> que aplique </w:t>
      </w:r>
      <w:r w:rsidR="00BD2718" w:rsidRPr="00AC4AEA">
        <w:rPr>
          <w:rFonts w:ascii="Arial" w:hAnsi="Arial" w:cs="Arial"/>
          <w:sz w:val="20"/>
          <w:szCs w:val="20"/>
        </w:rPr>
        <w:t>cuando los ingresos p</w:t>
      </w:r>
      <w:r w:rsidR="00B612D0" w:rsidRPr="00AC4AEA">
        <w:rPr>
          <w:rFonts w:ascii="Arial" w:hAnsi="Arial" w:cs="Arial"/>
          <w:sz w:val="20"/>
          <w:szCs w:val="20"/>
        </w:rPr>
        <w:t>roce</w:t>
      </w:r>
      <w:r w:rsidR="00C43352" w:rsidRPr="00AC4AEA">
        <w:rPr>
          <w:rFonts w:ascii="Arial" w:hAnsi="Arial" w:cs="Arial"/>
          <w:sz w:val="20"/>
          <w:szCs w:val="20"/>
        </w:rPr>
        <w:t>de</w:t>
      </w:r>
      <w:r w:rsidR="00B612D0" w:rsidRPr="00AC4AEA">
        <w:rPr>
          <w:rFonts w:ascii="Arial" w:hAnsi="Arial" w:cs="Arial"/>
          <w:sz w:val="20"/>
          <w:szCs w:val="20"/>
        </w:rPr>
        <w:t xml:space="preserve">ntes de estos </w:t>
      </w:r>
      <w:r w:rsidR="00497590" w:rsidRPr="00AC4AEA">
        <w:rPr>
          <w:rFonts w:ascii="Arial" w:hAnsi="Arial" w:cs="Arial"/>
          <w:sz w:val="20"/>
          <w:szCs w:val="20"/>
        </w:rPr>
        <w:t>activos</w:t>
      </w:r>
      <w:r w:rsidR="00B612D0" w:rsidRPr="00AC4AEA">
        <w:rPr>
          <w:rFonts w:ascii="Arial" w:hAnsi="Arial" w:cs="Arial"/>
          <w:sz w:val="20"/>
          <w:szCs w:val="20"/>
        </w:rPr>
        <w:t xml:space="preserve"> se presenten como </w:t>
      </w:r>
      <w:r w:rsidR="00B612D0" w:rsidRPr="00AC4AEA">
        <w:rPr>
          <w:rFonts w:ascii="Arial" w:hAnsi="Arial" w:cs="Arial"/>
          <w:b/>
          <w:bCs/>
          <w:sz w:val="20"/>
          <w:szCs w:val="20"/>
        </w:rPr>
        <w:t>ingresos de actividades ordinarias</w:t>
      </w:r>
      <w:r w:rsidRPr="00AC4AEA">
        <w:rPr>
          <w:rFonts w:ascii="Arial" w:hAnsi="Arial" w:cs="Arial"/>
          <w:sz w:val="20"/>
          <w:szCs w:val="20"/>
        </w:rPr>
        <w:t>; o</w:t>
      </w:r>
    </w:p>
    <w:p w:rsidR="00FD2CCE" w:rsidRPr="00AC4AEA" w:rsidRDefault="00DE7C7E" w:rsidP="00A318EA">
      <w:pPr>
        <w:pStyle w:val="Prrafodelista"/>
        <w:numPr>
          <w:ilvl w:val="0"/>
          <w:numId w:val="106"/>
        </w:numPr>
        <w:ind w:left="1560"/>
        <w:contextualSpacing w:val="0"/>
        <w:jc w:val="both"/>
        <w:rPr>
          <w:rFonts w:ascii="Arial" w:hAnsi="Arial" w:cs="Arial"/>
          <w:sz w:val="20"/>
          <w:szCs w:val="20"/>
        </w:rPr>
      </w:pPr>
      <w:r w:rsidRPr="00AC4AEA">
        <w:rPr>
          <w:rFonts w:ascii="Arial" w:hAnsi="Arial" w:cs="Arial"/>
          <w:sz w:val="20"/>
          <w:szCs w:val="20"/>
        </w:rPr>
        <w:t>o</w:t>
      </w:r>
      <w:r w:rsidR="00FD2CCE" w:rsidRPr="00AC4AEA">
        <w:rPr>
          <w:rFonts w:ascii="Arial" w:hAnsi="Arial" w:cs="Arial"/>
          <w:sz w:val="20"/>
          <w:szCs w:val="20"/>
        </w:rPr>
        <w:t>tros ingresos y egresos</w:t>
      </w:r>
      <w:r w:rsidR="00B612D0" w:rsidRPr="00AC4AEA">
        <w:rPr>
          <w:rFonts w:ascii="Arial" w:hAnsi="Arial" w:cs="Arial"/>
          <w:sz w:val="20"/>
          <w:szCs w:val="20"/>
        </w:rPr>
        <w:t>, en los restantes casos</w:t>
      </w:r>
      <w:r w:rsidR="00FD2CCE" w:rsidRPr="00AC4AEA">
        <w:rPr>
          <w:rFonts w:ascii="Arial" w:hAnsi="Arial" w:cs="Arial"/>
          <w:sz w:val="20"/>
          <w:szCs w:val="20"/>
        </w:rPr>
        <w:t>.</w:t>
      </w:r>
    </w:p>
    <w:p w:rsidR="00FD2CCE" w:rsidRPr="00AC4AEA" w:rsidRDefault="00FD2CCE" w:rsidP="00A318EA">
      <w:pPr>
        <w:jc w:val="both"/>
        <w:rPr>
          <w:rFonts w:ascii="Arial" w:hAnsi="Arial" w:cs="Arial"/>
          <w:sz w:val="20"/>
          <w:szCs w:val="20"/>
        </w:rPr>
      </w:pPr>
    </w:p>
    <w:p w:rsidR="00FD2CCE" w:rsidRPr="00AC4AEA" w:rsidRDefault="00FD2CCE" w:rsidP="00A318EA">
      <w:pPr>
        <w:pStyle w:val="Ttulo3"/>
      </w:pPr>
      <w:bookmarkStart w:id="545" w:name="_Toc101863884"/>
      <w:bookmarkStart w:id="546" w:name="_Toc139356748"/>
      <w:r w:rsidRPr="00AC4AEA">
        <w:t xml:space="preserve">Revelaciones sobre valores </w:t>
      </w:r>
      <w:r w:rsidR="005E41B3" w:rsidRPr="00AC4AEA">
        <w:t>razonables</w:t>
      </w:r>
      <w:bookmarkEnd w:id="545"/>
      <w:bookmarkEnd w:id="546"/>
    </w:p>
    <w:p w:rsidR="00347E24" w:rsidRPr="00AC4AEA" w:rsidRDefault="00347E2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expondrá la siguiente información en el caso de optar por el </w:t>
      </w:r>
      <w:r w:rsidR="009D19FF" w:rsidRPr="00B063AF">
        <w:rPr>
          <w:rFonts w:ascii="Arial" w:hAnsi="Arial" w:cs="Arial"/>
          <w:sz w:val="20"/>
          <w:szCs w:val="20"/>
        </w:rPr>
        <w:t>m</w:t>
      </w:r>
      <w:r w:rsidRPr="00B063AF">
        <w:rPr>
          <w:rFonts w:ascii="Arial" w:hAnsi="Arial" w:cs="Arial"/>
          <w:sz w:val="20"/>
          <w:szCs w:val="20"/>
        </w:rPr>
        <w:t>odelo de valor razonable</w:t>
      </w:r>
      <w:r w:rsidR="00EC06DB" w:rsidRPr="00AC4AEA">
        <w:rPr>
          <w:rFonts w:ascii="Arial" w:hAnsi="Arial" w:cs="Arial"/>
          <w:sz w:val="20"/>
          <w:szCs w:val="20"/>
        </w:rPr>
        <w:t xml:space="preserve"> [ver </w:t>
      </w:r>
      <w:r w:rsidR="00D922C4">
        <w:rPr>
          <w:rFonts w:ascii="Arial" w:hAnsi="Arial" w:cs="Arial"/>
          <w:sz w:val="20"/>
          <w:szCs w:val="20"/>
        </w:rPr>
        <w:t xml:space="preserve">el </w:t>
      </w:r>
      <w:r w:rsidR="00EC06DB" w:rsidRPr="00AC4AEA">
        <w:rPr>
          <w:rFonts w:ascii="Arial" w:hAnsi="Arial" w:cs="Arial"/>
          <w:sz w:val="20"/>
          <w:szCs w:val="20"/>
        </w:rPr>
        <w:t xml:space="preserve">párrafo </w:t>
      </w:r>
      <w:fldSimple w:instr=" REF _Ref99482161 \r \h  \* MERGEFORMAT ">
        <w:r w:rsidR="00D33A5D" w:rsidRPr="00D33A5D">
          <w:rPr>
            <w:rFonts w:ascii="Arial" w:hAnsi="Arial" w:cs="Arial"/>
            <w:sz w:val="20"/>
            <w:szCs w:val="20"/>
          </w:rPr>
          <w:t>365</w:t>
        </w:r>
      </w:fldSimple>
      <w:r w:rsidR="00EC06DB" w:rsidRPr="00AC4AEA">
        <w:rPr>
          <w:rFonts w:ascii="Arial" w:hAnsi="Arial" w:cs="Arial"/>
          <w:sz w:val="20"/>
          <w:szCs w:val="20"/>
        </w:rPr>
        <w:t>]</w:t>
      </w:r>
      <w:r w:rsidRPr="00AC4AEA">
        <w:rPr>
          <w:rFonts w:ascii="Arial" w:hAnsi="Arial" w:cs="Arial"/>
          <w:sz w:val="20"/>
          <w:szCs w:val="20"/>
        </w:rPr>
        <w:t>:</w:t>
      </w:r>
    </w:p>
    <w:p w:rsidR="00347E24" w:rsidRPr="00AC4AEA" w:rsidRDefault="00372DDE" w:rsidP="00A318EA">
      <w:pPr>
        <w:pStyle w:val="Prrafodelista"/>
        <w:numPr>
          <w:ilvl w:val="1"/>
          <w:numId w:val="48"/>
        </w:numPr>
        <w:ind w:left="1560" w:hanging="567"/>
        <w:contextualSpacing w:val="0"/>
        <w:jc w:val="both"/>
        <w:rPr>
          <w:rFonts w:ascii="Arial" w:hAnsi="Arial" w:cs="Arial"/>
          <w:sz w:val="20"/>
          <w:szCs w:val="20"/>
        </w:rPr>
      </w:pPr>
      <w:r w:rsidRPr="00AC4AEA">
        <w:rPr>
          <w:rFonts w:ascii="Arial" w:hAnsi="Arial" w:cs="Arial"/>
          <w:sz w:val="20"/>
          <w:szCs w:val="20"/>
        </w:rPr>
        <w:t xml:space="preserve">el </w:t>
      </w:r>
      <w:r w:rsidR="00347E24" w:rsidRPr="00AC4AEA">
        <w:rPr>
          <w:rFonts w:ascii="Arial" w:hAnsi="Arial" w:cs="Arial"/>
          <w:sz w:val="20"/>
          <w:szCs w:val="20"/>
        </w:rPr>
        <w:t xml:space="preserve">detalle de los métodos e hipótesis significativas utilizadas en la estimación del </w:t>
      </w:r>
      <w:r w:rsidR="00347E24" w:rsidRPr="00AC4AEA">
        <w:rPr>
          <w:rFonts w:ascii="Arial" w:hAnsi="Arial" w:cs="Arial"/>
          <w:b/>
          <w:bCs/>
          <w:sz w:val="20"/>
          <w:szCs w:val="20"/>
        </w:rPr>
        <w:t>valor razonable</w:t>
      </w:r>
      <w:r w:rsidR="00347E24" w:rsidRPr="00AC4AEA">
        <w:rPr>
          <w:rFonts w:ascii="Arial" w:hAnsi="Arial" w:cs="Arial"/>
          <w:sz w:val="20"/>
          <w:szCs w:val="20"/>
        </w:rPr>
        <w:t>;</w:t>
      </w:r>
    </w:p>
    <w:p w:rsidR="00347E24" w:rsidRPr="00AC4AEA" w:rsidRDefault="00372DDE" w:rsidP="00A318EA">
      <w:pPr>
        <w:pStyle w:val="Prrafodelista"/>
        <w:numPr>
          <w:ilvl w:val="1"/>
          <w:numId w:val="48"/>
        </w:numPr>
        <w:ind w:left="1560" w:hanging="567"/>
        <w:contextualSpacing w:val="0"/>
        <w:jc w:val="both"/>
        <w:rPr>
          <w:rFonts w:ascii="Arial" w:hAnsi="Arial" w:cs="Arial"/>
          <w:sz w:val="20"/>
          <w:szCs w:val="20"/>
        </w:rPr>
      </w:pPr>
      <w:r w:rsidRPr="00AC4AEA">
        <w:rPr>
          <w:rFonts w:ascii="Arial" w:hAnsi="Arial" w:cs="Arial"/>
          <w:sz w:val="20"/>
          <w:szCs w:val="20"/>
        </w:rPr>
        <w:t xml:space="preserve">una </w:t>
      </w:r>
      <w:r w:rsidR="00347E24" w:rsidRPr="00AC4AEA">
        <w:rPr>
          <w:rFonts w:ascii="Arial" w:hAnsi="Arial" w:cs="Arial"/>
          <w:sz w:val="20"/>
          <w:szCs w:val="20"/>
        </w:rPr>
        <w:t xml:space="preserve">manifestación acerca de las bases utilizadas para determinar el </w:t>
      </w:r>
      <w:r w:rsidR="00347E24" w:rsidRPr="00AC4AEA">
        <w:rPr>
          <w:rFonts w:ascii="Arial" w:hAnsi="Arial" w:cs="Arial"/>
          <w:b/>
          <w:bCs/>
          <w:sz w:val="20"/>
          <w:szCs w:val="20"/>
        </w:rPr>
        <w:t>valor razonable</w:t>
      </w:r>
      <w:r w:rsidR="00347E24" w:rsidRPr="00AC4AEA">
        <w:rPr>
          <w:rFonts w:ascii="Arial" w:hAnsi="Arial" w:cs="Arial"/>
          <w:sz w:val="20"/>
          <w:szCs w:val="20"/>
        </w:rPr>
        <w:t xml:space="preserve"> (precios observables en un </w:t>
      </w:r>
      <w:r w:rsidR="00347E24" w:rsidRPr="00AC4AEA">
        <w:rPr>
          <w:rFonts w:ascii="Arial" w:hAnsi="Arial" w:cs="Arial"/>
          <w:b/>
          <w:bCs/>
          <w:sz w:val="20"/>
          <w:szCs w:val="20"/>
        </w:rPr>
        <w:t>mercado activo</w:t>
      </w:r>
      <w:r w:rsidR="00347E24" w:rsidRPr="00AC4AEA">
        <w:rPr>
          <w:rFonts w:ascii="Arial" w:hAnsi="Arial" w:cs="Arial"/>
          <w:sz w:val="20"/>
          <w:szCs w:val="20"/>
        </w:rPr>
        <w:t>, transacciones de mercado recientes o técnicas de valuación);</w:t>
      </w:r>
      <w:r w:rsidR="002B23A4" w:rsidRPr="00AC4AEA">
        <w:rPr>
          <w:rFonts w:ascii="Arial" w:hAnsi="Arial" w:cs="Arial"/>
          <w:sz w:val="20"/>
          <w:szCs w:val="20"/>
        </w:rPr>
        <w:t xml:space="preserve"> y</w:t>
      </w:r>
    </w:p>
    <w:p w:rsidR="00347E24" w:rsidRPr="00AC4AEA" w:rsidRDefault="00372DDE" w:rsidP="00A318EA">
      <w:pPr>
        <w:pStyle w:val="Prrafodelista"/>
        <w:numPr>
          <w:ilvl w:val="1"/>
          <w:numId w:val="48"/>
        </w:numPr>
        <w:ind w:left="1560" w:hanging="567"/>
        <w:contextualSpacing w:val="0"/>
        <w:jc w:val="both"/>
        <w:rPr>
          <w:rFonts w:ascii="Arial" w:hAnsi="Arial" w:cs="Arial"/>
          <w:sz w:val="20"/>
          <w:szCs w:val="20"/>
        </w:rPr>
      </w:pPr>
      <w:r w:rsidRPr="00AC4AEA">
        <w:rPr>
          <w:rFonts w:ascii="Arial" w:hAnsi="Arial" w:cs="Arial"/>
          <w:sz w:val="20"/>
          <w:szCs w:val="20"/>
        </w:rPr>
        <w:t xml:space="preserve">una </w:t>
      </w:r>
      <w:r w:rsidR="00347E24" w:rsidRPr="00AC4AEA">
        <w:rPr>
          <w:rFonts w:ascii="Arial" w:hAnsi="Arial" w:cs="Arial"/>
          <w:sz w:val="20"/>
          <w:szCs w:val="20"/>
        </w:rPr>
        <w:t xml:space="preserve">indicación acerca de si la </w:t>
      </w:r>
      <w:r w:rsidR="00993EEA" w:rsidRPr="00AC4AEA">
        <w:rPr>
          <w:rFonts w:ascii="Arial" w:hAnsi="Arial" w:cs="Arial"/>
          <w:sz w:val="20"/>
          <w:szCs w:val="20"/>
        </w:rPr>
        <w:t xml:space="preserve">estimación del </w:t>
      </w:r>
      <w:r w:rsidR="00993EEA" w:rsidRPr="00AC4AEA">
        <w:rPr>
          <w:rFonts w:ascii="Arial" w:hAnsi="Arial" w:cs="Arial"/>
          <w:b/>
          <w:bCs/>
          <w:sz w:val="20"/>
          <w:szCs w:val="20"/>
        </w:rPr>
        <w:t>valor razonable</w:t>
      </w:r>
      <w:r w:rsidR="00347E24" w:rsidRPr="00AC4AEA">
        <w:rPr>
          <w:rFonts w:ascii="Arial" w:hAnsi="Arial" w:cs="Arial"/>
          <w:sz w:val="20"/>
          <w:szCs w:val="20"/>
        </w:rPr>
        <w:t xml:space="preserve"> se practicó con personal propio o los servicios de un tasador o especialista en valuaciones, idóneo e independiente respecto de la entidad</w:t>
      </w:r>
      <w:r w:rsidR="002B23A4" w:rsidRPr="00AC4AEA">
        <w:rPr>
          <w:rFonts w:ascii="Arial" w:hAnsi="Arial" w:cs="Arial"/>
          <w:sz w:val="20"/>
          <w:szCs w:val="20"/>
        </w:rPr>
        <w:t>.</w:t>
      </w:r>
    </w:p>
    <w:p w:rsidR="00835565" w:rsidRPr="00AC4AEA" w:rsidRDefault="00835565" w:rsidP="00A318EA">
      <w:pPr>
        <w:jc w:val="both"/>
        <w:rPr>
          <w:rFonts w:ascii="Arial" w:hAnsi="Arial" w:cs="Arial"/>
          <w:b/>
          <w:bCs/>
          <w:sz w:val="20"/>
          <w:szCs w:val="20"/>
        </w:rPr>
      </w:pPr>
    </w:p>
    <w:p w:rsidR="00371DFB" w:rsidRPr="00AC4AEA" w:rsidRDefault="00371DFB" w:rsidP="00A318EA">
      <w:pPr>
        <w:pStyle w:val="Ttulo2"/>
        <w:rPr>
          <w:rFonts w:cs="Arial"/>
        </w:rPr>
      </w:pPr>
      <w:bookmarkStart w:id="547" w:name="_Toc101863885"/>
      <w:bookmarkStart w:id="548" w:name="_Toc139356749"/>
      <w:r w:rsidRPr="00AC4AEA">
        <w:rPr>
          <w:rFonts w:cs="Arial"/>
        </w:rPr>
        <w:t>Otras normas aplicables</w:t>
      </w:r>
      <w:bookmarkEnd w:id="547"/>
      <w:bookmarkEnd w:id="548"/>
    </w:p>
    <w:p w:rsidR="00371DFB" w:rsidRPr="00AC4AEA" w:rsidRDefault="00371DF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el tratamiento contable de los componentes de propiedades de inversión una entidad deberá </w:t>
      </w:r>
      <w:r w:rsidR="00872D55" w:rsidRPr="00AC4AEA">
        <w:rPr>
          <w:rFonts w:ascii="Arial" w:hAnsi="Arial" w:cs="Arial"/>
          <w:sz w:val="20"/>
          <w:szCs w:val="20"/>
        </w:rPr>
        <w:t>considerar</w:t>
      </w:r>
      <w:r w:rsidRPr="00AC4AEA">
        <w:rPr>
          <w:rFonts w:ascii="Arial" w:hAnsi="Arial" w:cs="Arial"/>
          <w:sz w:val="20"/>
          <w:szCs w:val="20"/>
        </w:rPr>
        <w:t xml:space="preserve">,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 las referidas a:</w:t>
      </w:r>
    </w:p>
    <w:p w:rsidR="008F3F5F" w:rsidRPr="00AC4AEA" w:rsidRDefault="008F3F5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 y “</w:t>
      </w:r>
      <w:r w:rsidRPr="00AC4AEA">
        <w:rPr>
          <w:rFonts w:ascii="Arial" w:hAnsi="Arial" w:cs="Arial"/>
          <w:sz w:val="20"/>
          <w:szCs w:val="20"/>
          <w:u w:val="single"/>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8F3F5F" w:rsidRPr="00AC4AEA" w:rsidRDefault="008F3F5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8F3F5F" w:rsidRPr="00AC4AEA" w:rsidRDefault="008F3F5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8F3F5F" w:rsidRPr="00AC4AEA" w:rsidRDefault="008F3F5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8F3F5F" w:rsidRPr="00AC4AEA" w:rsidRDefault="008F3F5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r w:rsidRPr="00AC4AEA" w:rsidDel="00000B6A">
        <w:rPr>
          <w:rFonts w:ascii="Arial" w:hAnsi="Arial" w:cs="Arial"/>
          <w:sz w:val="20"/>
          <w:szCs w:val="20"/>
        </w:rPr>
        <w:t xml:space="preserve"> </w:t>
      </w:r>
    </w:p>
    <w:p w:rsidR="002A009A" w:rsidRPr="00AC4AEA" w:rsidRDefault="002A009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Baja en cuentas</w:t>
      </w:r>
      <w:r w:rsidRPr="00AC4AEA">
        <w:rPr>
          <w:rFonts w:ascii="Arial" w:hAnsi="Arial" w:cs="Arial"/>
          <w:sz w:val="20"/>
          <w:szCs w:val="20"/>
        </w:rPr>
        <w:t xml:space="preserve">” [ver los párrafos </w:t>
      </w:r>
      <w:fldSimple w:instr=" REF _Ref102844986 \r \h  \* MERGEFORMAT ">
        <w:r w:rsidR="00D33A5D" w:rsidRPr="00D33A5D">
          <w:rPr>
            <w:rFonts w:ascii="Arial" w:hAnsi="Arial" w:cs="Arial"/>
            <w:sz w:val="20"/>
            <w:szCs w:val="20"/>
          </w:rPr>
          <w:t>46</w:t>
        </w:r>
      </w:fldSimple>
      <w:r w:rsidRPr="00AC4AEA">
        <w:rPr>
          <w:rFonts w:ascii="Arial" w:hAnsi="Arial" w:cs="Arial"/>
          <w:sz w:val="20"/>
          <w:szCs w:val="20"/>
        </w:rPr>
        <w:t xml:space="preserve"> a</w:t>
      </w:r>
      <w:r w:rsidR="0074720A" w:rsidRPr="00AC4AEA">
        <w:rPr>
          <w:rFonts w:ascii="Arial" w:hAnsi="Arial" w:cs="Arial"/>
          <w:sz w:val="20"/>
          <w:szCs w:val="20"/>
        </w:rPr>
        <w:t xml:space="preserve"> </w:t>
      </w:r>
      <w:fldSimple w:instr=" REF _Ref102845008 \r \h  \* MERGEFORMAT ">
        <w:r w:rsidR="00D33A5D" w:rsidRPr="00D33A5D">
          <w:rPr>
            <w:rFonts w:ascii="Arial" w:hAnsi="Arial" w:cs="Arial"/>
            <w:sz w:val="20"/>
            <w:szCs w:val="20"/>
          </w:rPr>
          <w:t>48</w:t>
        </w:r>
      </w:fldSimple>
      <w:r w:rsidRPr="00AC4AEA">
        <w:rPr>
          <w:rFonts w:ascii="Arial" w:hAnsi="Arial" w:cs="Arial"/>
          <w:sz w:val="20"/>
          <w:szCs w:val="20"/>
        </w:rPr>
        <w:t>].</w:t>
      </w:r>
    </w:p>
    <w:p w:rsidR="008F3F5F" w:rsidRPr="00AC4AEA" w:rsidRDefault="008F3F5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Arrendamientos</w:t>
      </w:r>
      <w:r w:rsidRPr="00AC4AEA">
        <w:rPr>
          <w:rFonts w:ascii="Arial" w:hAnsi="Arial" w:cs="Arial"/>
          <w:sz w:val="20"/>
          <w:szCs w:val="20"/>
        </w:rPr>
        <w:t xml:space="preserve">” [ver los párrafos </w:t>
      </w:r>
      <w:fldSimple w:instr=" REF _Ref99481228 \r \h  \* MERGEFORMAT ">
        <w:r w:rsidR="00D33A5D" w:rsidRPr="00D33A5D">
          <w:rPr>
            <w:rFonts w:ascii="Arial" w:hAnsi="Arial" w:cs="Arial"/>
            <w:sz w:val="20"/>
            <w:szCs w:val="20"/>
          </w:rPr>
          <w:t>532</w:t>
        </w:r>
      </w:fldSimple>
      <w:r w:rsidRPr="00AC4AEA">
        <w:rPr>
          <w:rFonts w:ascii="Arial" w:hAnsi="Arial" w:cs="Arial"/>
          <w:sz w:val="20"/>
          <w:szCs w:val="20"/>
        </w:rPr>
        <w:t xml:space="preserve"> a </w:t>
      </w:r>
      <w:r w:rsidR="001C4138">
        <w:rPr>
          <w:rFonts w:ascii="Arial" w:hAnsi="Arial" w:cs="Arial"/>
          <w:sz w:val="20"/>
          <w:szCs w:val="20"/>
        </w:rPr>
        <w:fldChar w:fldCharType="begin"/>
      </w:r>
      <w:r w:rsidR="00343DFA">
        <w:rPr>
          <w:rFonts w:ascii="Arial" w:hAnsi="Arial" w:cs="Arial"/>
          <w:sz w:val="20"/>
          <w:szCs w:val="20"/>
        </w:rPr>
        <w:instrText xml:space="preserve"> REF _Ref138943352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559</w:t>
      </w:r>
      <w:r w:rsidR="001C4138">
        <w:rPr>
          <w:rFonts w:ascii="Arial" w:hAnsi="Arial" w:cs="Arial"/>
          <w:sz w:val="20"/>
          <w:szCs w:val="20"/>
        </w:rPr>
        <w:fldChar w:fldCharType="end"/>
      </w:r>
      <w:r w:rsidRPr="00AC4AEA">
        <w:rPr>
          <w:rFonts w:ascii="Arial" w:hAnsi="Arial" w:cs="Arial"/>
          <w:sz w:val="20"/>
          <w:szCs w:val="20"/>
        </w:rPr>
        <w:t>].</w:t>
      </w:r>
    </w:p>
    <w:p w:rsidR="00AE7883" w:rsidRPr="00AC4AEA" w:rsidRDefault="00AE7883" w:rsidP="00A318EA">
      <w:pPr>
        <w:pStyle w:val="Ttulo1"/>
        <w:rPr>
          <w:rFonts w:cs="Arial"/>
          <w:sz w:val="20"/>
          <w:szCs w:val="20"/>
        </w:rPr>
      </w:pPr>
      <w:bookmarkStart w:id="549" w:name="intangibles"/>
      <w:bookmarkStart w:id="550" w:name="_Toc101863886"/>
      <w:bookmarkEnd w:id="549"/>
    </w:p>
    <w:p w:rsidR="0090400F" w:rsidRPr="002F0F38" w:rsidRDefault="00497590" w:rsidP="00A318EA">
      <w:pPr>
        <w:pStyle w:val="Ttulo1"/>
        <w:rPr>
          <w:rFonts w:cs="Arial"/>
          <w:sz w:val="20"/>
          <w:szCs w:val="20"/>
        </w:rPr>
      </w:pPr>
      <w:bookmarkStart w:id="551" w:name="_Toc139356750"/>
      <w:r w:rsidRPr="002F0F38">
        <w:rPr>
          <w:rFonts w:cs="Arial"/>
          <w:sz w:val="20"/>
          <w:szCs w:val="20"/>
        </w:rPr>
        <w:t>ACTIVOS</w:t>
      </w:r>
      <w:r w:rsidR="007373D4" w:rsidRPr="002F0F38">
        <w:rPr>
          <w:rFonts w:cs="Arial"/>
          <w:sz w:val="20"/>
          <w:szCs w:val="20"/>
        </w:rPr>
        <w:t xml:space="preserve"> INTANGIBLES (DISTINTOS DE LA LLAVE DE NEGOCIO)</w:t>
      </w:r>
      <w:bookmarkEnd w:id="550"/>
      <w:bookmarkEnd w:id="551"/>
    </w:p>
    <w:p w:rsidR="005D3EBB" w:rsidRPr="00AC4AEA" w:rsidRDefault="005D3EBB" w:rsidP="00A318EA">
      <w:pPr>
        <w:pStyle w:val="Ttulo2"/>
        <w:rPr>
          <w:rFonts w:cs="Arial"/>
        </w:rPr>
      </w:pPr>
      <w:bookmarkStart w:id="552" w:name="_Toc101863887"/>
      <w:bookmarkStart w:id="553" w:name="_Toc139356751"/>
      <w:r w:rsidRPr="002F0F38">
        <w:rPr>
          <w:rFonts w:cs="Arial"/>
        </w:rPr>
        <w:t>Definici</w:t>
      </w:r>
      <w:r w:rsidR="00AB4B8C" w:rsidRPr="002F0F38">
        <w:rPr>
          <w:rFonts w:cs="Arial"/>
        </w:rPr>
        <w:t>ó</w:t>
      </w:r>
      <w:r w:rsidRPr="002F0F38">
        <w:rPr>
          <w:rFonts w:cs="Arial"/>
        </w:rPr>
        <w:t>n</w:t>
      </w:r>
      <w:bookmarkEnd w:id="552"/>
      <w:bookmarkEnd w:id="553"/>
      <w:r w:rsidRPr="00AC4AEA">
        <w:rPr>
          <w:rFonts w:cs="Arial"/>
        </w:rPr>
        <w:t xml:space="preserve"> </w:t>
      </w:r>
    </w:p>
    <w:p w:rsidR="005D3EBB" w:rsidRPr="00AC4AEA" w:rsidRDefault="005D3EBB" w:rsidP="00A318EA">
      <w:pPr>
        <w:pStyle w:val="Prrafodelista"/>
        <w:numPr>
          <w:ilvl w:val="0"/>
          <w:numId w:val="29"/>
        </w:numPr>
        <w:contextualSpacing w:val="0"/>
        <w:jc w:val="both"/>
        <w:rPr>
          <w:rFonts w:ascii="Arial" w:hAnsi="Arial" w:cs="Arial"/>
          <w:sz w:val="20"/>
          <w:szCs w:val="20"/>
        </w:rPr>
      </w:pPr>
      <w:bookmarkStart w:id="554" w:name="_Ref74757987"/>
      <w:r w:rsidRPr="00AC4AEA">
        <w:rPr>
          <w:rFonts w:ascii="Arial" w:hAnsi="Arial" w:cs="Arial"/>
          <w:sz w:val="20"/>
          <w:szCs w:val="20"/>
        </w:rPr>
        <w:t xml:space="preserve">A los fines del tratamiento de los </w:t>
      </w:r>
      <w:r w:rsidR="00497590" w:rsidRPr="00AC4AEA">
        <w:rPr>
          <w:rFonts w:ascii="Arial" w:hAnsi="Arial" w:cs="Arial"/>
          <w:sz w:val="20"/>
          <w:szCs w:val="20"/>
        </w:rPr>
        <w:t>activos</w:t>
      </w:r>
      <w:r w:rsidRPr="00AC4AEA">
        <w:rPr>
          <w:rFonts w:ascii="Arial" w:hAnsi="Arial" w:cs="Arial"/>
          <w:sz w:val="20"/>
          <w:szCs w:val="20"/>
        </w:rPr>
        <w:t xml:space="preserve"> referidos en esta sección, una entidad deberá considerar la</w:t>
      </w:r>
      <w:r w:rsidR="005D079E" w:rsidRPr="00AC4AEA">
        <w:rPr>
          <w:rFonts w:ascii="Arial" w:hAnsi="Arial" w:cs="Arial"/>
          <w:sz w:val="20"/>
          <w:szCs w:val="20"/>
        </w:rPr>
        <w:t xml:space="preserve"> siguiente</w:t>
      </w:r>
      <w:r w:rsidRPr="00AC4AEA">
        <w:rPr>
          <w:rFonts w:ascii="Arial" w:hAnsi="Arial" w:cs="Arial"/>
          <w:sz w:val="20"/>
          <w:szCs w:val="20"/>
        </w:rPr>
        <w:t xml:space="preserve"> </w:t>
      </w:r>
      <w:r w:rsidR="005D079E" w:rsidRPr="00AC4AEA">
        <w:rPr>
          <w:rFonts w:ascii="Arial" w:hAnsi="Arial" w:cs="Arial"/>
          <w:sz w:val="20"/>
          <w:szCs w:val="20"/>
        </w:rPr>
        <w:t>definición</w:t>
      </w:r>
      <w:r w:rsidRPr="00AC4AEA">
        <w:rPr>
          <w:rFonts w:ascii="Arial" w:hAnsi="Arial" w:cs="Arial"/>
          <w:sz w:val="20"/>
          <w:szCs w:val="20"/>
        </w:rPr>
        <w:t>.</w:t>
      </w:r>
      <w:bookmarkEnd w:id="554"/>
    </w:p>
    <w:p w:rsidR="005D3EBB" w:rsidRPr="00AC4AEA" w:rsidRDefault="00497590" w:rsidP="00A318EA">
      <w:pPr>
        <w:ind w:left="1416"/>
        <w:jc w:val="both"/>
        <w:rPr>
          <w:rFonts w:ascii="Arial" w:hAnsi="Arial" w:cs="Arial"/>
          <w:sz w:val="20"/>
          <w:szCs w:val="20"/>
        </w:rPr>
      </w:pPr>
      <w:r w:rsidRPr="00AC4AEA">
        <w:rPr>
          <w:rFonts w:ascii="Arial" w:hAnsi="Arial" w:cs="Arial"/>
          <w:sz w:val="20"/>
          <w:szCs w:val="20"/>
          <w:u w:val="single"/>
        </w:rPr>
        <w:t>Activos</w:t>
      </w:r>
      <w:r w:rsidR="005D3EBB" w:rsidRPr="00AC4AEA">
        <w:rPr>
          <w:rFonts w:ascii="Arial" w:hAnsi="Arial" w:cs="Arial"/>
          <w:sz w:val="20"/>
          <w:szCs w:val="20"/>
          <w:u w:val="single"/>
        </w:rPr>
        <w:t xml:space="preserve"> intangibles</w:t>
      </w:r>
      <w:r w:rsidR="005D3EBB" w:rsidRPr="00AC4AEA">
        <w:rPr>
          <w:rFonts w:ascii="Arial" w:hAnsi="Arial" w:cs="Arial"/>
          <w:b/>
          <w:bCs/>
          <w:sz w:val="20"/>
          <w:szCs w:val="20"/>
          <w:u w:val="single"/>
        </w:rPr>
        <w:t xml:space="preserve"> </w:t>
      </w:r>
      <w:r w:rsidR="005D3EBB" w:rsidRPr="00AC4AEA">
        <w:rPr>
          <w:rFonts w:ascii="Arial" w:hAnsi="Arial" w:cs="Arial"/>
          <w:sz w:val="20"/>
          <w:szCs w:val="20"/>
          <w:u w:val="single"/>
        </w:rPr>
        <w:t>(distintos de la llave de negocio)</w:t>
      </w:r>
      <w:r w:rsidR="005D3EBB" w:rsidRPr="00AC4AEA">
        <w:rPr>
          <w:rFonts w:ascii="Arial" w:hAnsi="Arial" w:cs="Arial"/>
          <w:sz w:val="20"/>
          <w:szCs w:val="20"/>
        </w:rPr>
        <w:t>:</w:t>
      </w:r>
      <w:r w:rsidR="005D3EBB" w:rsidRPr="00AC4AEA">
        <w:rPr>
          <w:rFonts w:ascii="Arial" w:hAnsi="Arial" w:cs="Arial"/>
          <w:b/>
          <w:bCs/>
          <w:sz w:val="20"/>
          <w:szCs w:val="20"/>
        </w:rPr>
        <w:t xml:space="preserve"> </w:t>
      </w:r>
      <w:r w:rsidR="00697E63" w:rsidRPr="00AC4AEA">
        <w:rPr>
          <w:rFonts w:ascii="Arial" w:hAnsi="Arial" w:cs="Arial"/>
          <w:sz w:val="20"/>
          <w:szCs w:val="20"/>
        </w:rPr>
        <w:t xml:space="preserve">Son </w:t>
      </w:r>
      <w:r w:rsidRPr="00AC4AEA">
        <w:rPr>
          <w:rFonts w:ascii="Arial" w:hAnsi="Arial" w:cs="Arial"/>
          <w:b/>
          <w:bCs/>
          <w:sz w:val="20"/>
          <w:szCs w:val="20"/>
        </w:rPr>
        <w:t>activos</w:t>
      </w:r>
      <w:r w:rsidR="00697E63" w:rsidRPr="00AC4AEA">
        <w:rPr>
          <w:rFonts w:ascii="Arial" w:hAnsi="Arial" w:cs="Arial"/>
          <w:sz w:val="20"/>
          <w:szCs w:val="20"/>
        </w:rPr>
        <w:t xml:space="preserve"> </w:t>
      </w:r>
      <w:r w:rsidR="00697E63" w:rsidRPr="00AC4AEA">
        <w:rPr>
          <w:rFonts w:ascii="Arial" w:hAnsi="Arial" w:cs="Arial"/>
          <w:b/>
          <w:bCs/>
          <w:sz w:val="20"/>
          <w:szCs w:val="20"/>
        </w:rPr>
        <w:t>identificables</w:t>
      </w:r>
      <w:r w:rsidR="00697E63" w:rsidRPr="00AC4AEA">
        <w:rPr>
          <w:rFonts w:ascii="Arial" w:hAnsi="Arial" w:cs="Arial"/>
          <w:sz w:val="20"/>
          <w:szCs w:val="20"/>
        </w:rPr>
        <w:t xml:space="preserve">, de carácter no monetario y sin sustancia física, que no corresponde que sean tratados aplicando otros requerimientos contenidos en esta Resolución Técnica o en </w:t>
      </w:r>
      <w:r w:rsidR="00697E63" w:rsidRPr="00AC4AEA">
        <w:rPr>
          <w:rFonts w:ascii="Arial" w:hAnsi="Arial" w:cs="Arial"/>
          <w:b/>
          <w:bCs/>
          <w:sz w:val="20"/>
          <w:szCs w:val="20"/>
        </w:rPr>
        <w:t>otras normas contables</w:t>
      </w:r>
      <w:r w:rsidR="00E20A5F" w:rsidRPr="00AC4AEA">
        <w:rPr>
          <w:rFonts w:ascii="Arial" w:hAnsi="Arial" w:cs="Arial"/>
          <w:sz w:val="20"/>
          <w:szCs w:val="20"/>
        </w:rPr>
        <w:t>.</w:t>
      </w:r>
    </w:p>
    <w:p w:rsidR="005D3EBB" w:rsidRPr="00AC4AEA" w:rsidRDefault="005D3EBB" w:rsidP="00A318EA">
      <w:pPr>
        <w:ind w:left="1416"/>
        <w:jc w:val="both"/>
        <w:rPr>
          <w:rFonts w:ascii="Arial" w:hAnsi="Arial" w:cs="Arial"/>
          <w:sz w:val="20"/>
          <w:szCs w:val="20"/>
        </w:rPr>
      </w:pPr>
      <w:r w:rsidRPr="00AC4AEA">
        <w:rPr>
          <w:rFonts w:ascii="Arial" w:hAnsi="Arial" w:cs="Arial"/>
          <w:sz w:val="20"/>
          <w:szCs w:val="20"/>
        </w:rPr>
        <w:t>Este rubro incluye</w:t>
      </w:r>
      <w:r w:rsidR="00E20A5F" w:rsidRPr="00AC4AEA">
        <w:rPr>
          <w:rFonts w:ascii="Arial" w:hAnsi="Arial" w:cs="Arial"/>
          <w:sz w:val="20"/>
          <w:szCs w:val="20"/>
        </w:rPr>
        <w:t>, entre otros:</w:t>
      </w:r>
    </w:p>
    <w:p w:rsidR="0036472C" w:rsidRPr="00AC4AEA" w:rsidRDefault="0036472C" w:rsidP="00A318EA">
      <w:pPr>
        <w:pStyle w:val="A-Normal11"/>
        <w:numPr>
          <w:ilvl w:val="0"/>
          <w:numId w:val="18"/>
        </w:numPr>
        <w:ind w:left="1982" w:hanging="567"/>
        <w:jc w:val="both"/>
        <w:rPr>
          <w:rFonts w:ascii="Arial" w:hAnsi="Arial" w:cs="Arial"/>
          <w:sz w:val="20"/>
        </w:rPr>
      </w:pPr>
      <w:r w:rsidRPr="00AC4AEA">
        <w:rPr>
          <w:rFonts w:ascii="Arial" w:hAnsi="Arial" w:cs="Arial"/>
          <w:sz w:val="20"/>
        </w:rPr>
        <w:t>Derechos de propiedad intelectual, patentes, marcas, licencias y similares.</w:t>
      </w:r>
    </w:p>
    <w:p w:rsidR="00BD7827" w:rsidRPr="00AC4AEA" w:rsidRDefault="00BD7827" w:rsidP="00A318EA">
      <w:pPr>
        <w:pStyle w:val="A-Normal11"/>
        <w:numPr>
          <w:ilvl w:val="0"/>
          <w:numId w:val="18"/>
        </w:numPr>
        <w:ind w:left="1982" w:hanging="567"/>
        <w:jc w:val="both"/>
        <w:rPr>
          <w:rFonts w:ascii="Arial" w:hAnsi="Arial" w:cs="Arial"/>
          <w:sz w:val="20"/>
        </w:rPr>
      </w:pPr>
      <w:r w:rsidRPr="00AC4AEA">
        <w:rPr>
          <w:rFonts w:ascii="Arial" w:hAnsi="Arial" w:cs="Arial"/>
          <w:sz w:val="20"/>
        </w:rPr>
        <w:t>Costos de desarrollo.</w:t>
      </w:r>
    </w:p>
    <w:p w:rsidR="00BD7827" w:rsidRPr="00AC4AEA" w:rsidRDefault="00BD7827" w:rsidP="00A318EA">
      <w:pPr>
        <w:pStyle w:val="A-Normal11"/>
        <w:numPr>
          <w:ilvl w:val="0"/>
          <w:numId w:val="18"/>
        </w:numPr>
        <w:ind w:left="1982" w:hanging="567"/>
        <w:jc w:val="both"/>
        <w:rPr>
          <w:rFonts w:ascii="Arial" w:hAnsi="Arial" w:cs="Arial"/>
          <w:sz w:val="20"/>
        </w:rPr>
      </w:pPr>
      <w:r w:rsidRPr="00AC4AEA">
        <w:rPr>
          <w:rFonts w:ascii="Arial" w:hAnsi="Arial" w:cs="Arial"/>
          <w:sz w:val="20"/>
        </w:rPr>
        <w:t xml:space="preserve">Excepcionalmente, </w:t>
      </w:r>
      <w:r w:rsidR="00B42A5A" w:rsidRPr="00AC4AEA">
        <w:rPr>
          <w:rFonts w:ascii="Arial" w:hAnsi="Arial" w:cs="Arial"/>
          <w:sz w:val="20"/>
        </w:rPr>
        <w:t>aunque no cumplan</w:t>
      </w:r>
      <w:r w:rsidRPr="00AC4AEA">
        <w:rPr>
          <w:rFonts w:ascii="Arial" w:hAnsi="Arial" w:cs="Arial"/>
          <w:sz w:val="20"/>
        </w:rPr>
        <w:t xml:space="preserve"> los requisitos de la definición anterior, los costos de organización </w:t>
      </w:r>
      <w:r w:rsidR="00F8589E" w:rsidRPr="00AC4AEA">
        <w:rPr>
          <w:rFonts w:ascii="Arial" w:hAnsi="Arial" w:cs="Arial"/>
          <w:sz w:val="20"/>
        </w:rPr>
        <w:t>y los costos</w:t>
      </w:r>
      <w:r w:rsidRPr="00AC4AEA">
        <w:rPr>
          <w:rFonts w:ascii="Arial" w:hAnsi="Arial" w:cs="Arial"/>
          <w:sz w:val="20"/>
        </w:rPr>
        <w:t xml:space="preserve"> preop</w:t>
      </w:r>
      <w:r w:rsidR="00901DD2" w:rsidRPr="00AC4AEA">
        <w:rPr>
          <w:rFonts w:ascii="Arial" w:hAnsi="Arial" w:cs="Arial"/>
          <w:sz w:val="20"/>
        </w:rPr>
        <w:t>e</w:t>
      </w:r>
      <w:r w:rsidRPr="00AC4AEA">
        <w:rPr>
          <w:rFonts w:ascii="Arial" w:hAnsi="Arial" w:cs="Arial"/>
          <w:sz w:val="20"/>
        </w:rPr>
        <w:t>rativos.</w:t>
      </w:r>
    </w:p>
    <w:p w:rsidR="006056E5" w:rsidRPr="00AC4AEA" w:rsidRDefault="006056E5" w:rsidP="006056E5">
      <w:pPr>
        <w:pStyle w:val="A-Normal11"/>
        <w:numPr>
          <w:ilvl w:val="0"/>
          <w:numId w:val="18"/>
        </w:numPr>
        <w:ind w:left="1985" w:hanging="567"/>
        <w:jc w:val="both"/>
        <w:rPr>
          <w:rFonts w:ascii="Arial" w:hAnsi="Arial" w:cs="Arial"/>
          <w:sz w:val="20"/>
        </w:rPr>
      </w:pPr>
      <w:r w:rsidRPr="00AC4AEA">
        <w:rPr>
          <w:rFonts w:ascii="Arial" w:hAnsi="Arial" w:cs="Arial"/>
          <w:sz w:val="20"/>
        </w:rPr>
        <w:t>Los criptoactivos cuy</w:t>
      </w:r>
      <w:r w:rsidR="00EE3398">
        <w:rPr>
          <w:rFonts w:ascii="Arial" w:hAnsi="Arial" w:cs="Arial"/>
          <w:sz w:val="20"/>
        </w:rPr>
        <w:t>o</w:t>
      </w:r>
      <w:r w:rsidRPr="00AC4AEA">
        <w:rPr>
          <w:rFonts w:ascii="Arial" w:hAnsi="Arial" w:cs="Arial"/>
          <w:sz w:val="20"/>
        </w:rPr>
        <w:t xml:space="preserve"> </w:t>
      </w:r>
      <w:r w:rsidR="00EE3398">
        <w:rPr>
          <w:rFonts w:ascii="Arial" w:hAnsi="Arial" w:cs="Arial"/>
          <w:sz w:val="20"/>
        </w:rPr>
        <w:t>precio</w:t>
      </w:r>
      <w:r w:rsidRPr="00AC4AEA">
        <w:rPr>
          <w:rFonts w:ascii="Arial" w:hAnsi="Arial" w:cs="Arial"/>
          <w:sz w:val="20"/>
        </w:rPr>
        <w:t xml:space="preserve"> depende</w:t>
      </w:r>
      <w:r w:rsidR="00EE3398">
        <w:rPr>
          <w:rFonts w:ascii="Arial" w:hAnsi="Arial" w:cs="Arial"/>
          <w:sz w:val="20"/>
        </w:rPr>
        <w:t>,</w:t>
      </w:r>
      <w:r w:rsidRPr="00AC4AEA">
        <w:rPr>
          <w:rFonts w:ascii="Arial" w:hAnsi="Arial" w:cs="Arial"/>
          <w:sz w:val="20"/>
        </w:rPr>
        <w:t xml:space="preserve"> exclusivamente</w:t>
      </w:r>
      <w:r w:rsidR="00EE3398">
        <w:rPr>
          <w:rFonts w:ascii="Arial" w:hAnsi="Arial" w:cs="Arial"/>
          <w:sz w:val="20"/>
        </w:rPr>
        <w:t>,</w:t>
      </w:r>
      <w:r w:rsidRPr="00AC4AEA">
        <w:rPr>
          <w:rFonts w:ascii="Arial" w:hAnsi="Arial" w:cs="Arial"/>
          <w:sz w:val="20"/>
        </w:rPr>
        <w:t xml:space="preserve"> de la aceptación de los participantes de</w:t>
      </w:r>
      <w:r w:rsidR="00EE3398">
        <w:rPr>
          <w:rFonts w:ascii="Arial" w:hAnsi="Arial" w:cs="Arial"/>
          <w:sz w:val="20"/>
        </w:rPr>
        <w:t>l</w:t>
      </w:r>
      <w:r w:rsidRPr="00AC4AEA">
        <w:rPr>
          <w:rFonts w:ascii="Arial" w:hAnsi="Arial" w:cs="Arial"/>
          <w:sz w:val="20"/>
        </w:rPr>
        <w:t xml:space="preserve"> mercado.</w:t>
      </w:r>
    </w:p>
    <w:p w:rsidR="006056E5" w:rsidRPr="00AC4AEA" w:rsidRDefault="006056E5" w:rsidP="006056E5">
      <w:pPr>
        <w:pStyle w:val="A-Normal11"/>
        <w:ind w:left="1982"/>
        <w:jc w:val="both"/>
        <w:rPr>
          <w:rFonts w:ascii="Arial" w:hAnsi="Arial" w:cs="Arial"/>
          <w:sz w:val="20"/>
        </w:rPr>
      </w:pPr>
    </w:p>
    <w:p w:rsidR="005D3EBB" w:rsidRPr="00AC4AEA" w:rsidRDefault="005D3EBB" w:rsidP="00A318EA">
      <w:pPr>
        <w:ind w:left="1416"/>
        <w:jc w:val="both"/>
        <w:rPr>
          <w:rFonts w:ascii="Arial" w:hAnsi="Arial" w:cs="Arial"/>
          <w:sz w:val="20"/>
          <w:szCs w:val="20"/>
        </w:rPr>
      </w:pPr>
      <w:r w:rsidRPr="00AC4AEA">
        <w:rPr>
          <w:rFonts w:ascii="Arial" w:hAnsi="Arial" w:cs="Arial"/>
          <w:sz w:val="20"/>
          <w:szCs w:val="20"/>
        </w:rPr>
        <w:t xml:space="preserve">Las siguientes partidas no se tratarán como </w:t>
      </w:r>
      <w:r w:rsidR="00497590" w:rsidRPr="00AC4AEA">
        <w:rPr>
          <w:rFonts w:ascii="Arial" w:hAnsi="Arial" w:cs="Arial"/>
          <w:sz w:val="20"/>
          <w:szCs w:val="20"/>
        </w:rPr>
        <w:t>activos</w:t>
      </w:r>
      <w:r w:rsidRPr="00AC4AEA">
        <w:rPr>
          <w:rFonts w:ascii="Arial" w:hAnsi="Arial" w:cs="Arial"/>
          <w:sz w:val="20"/>
          <w:szCs w:val="20"/>
        </w:rPr>
        <w:t xml:space="preserve"> intangibles y, por lo tanto, deberán imputarse como un </w:t>
      </w:r>
      <w:r w:rsidRPr="00AC4AEA">
        <w:rPr>
          <w:rFonts w:ascii="Arial" w:hAnsi="Arial" w:cs="Arial"/>
          <w:b/>
          <w:bCs/>
          <w:sz w:val="20"/>
          <w:szCs w:val="20"/>
        </w:rPr>
        <w:t xml:space="preserve">gasto </w:t>
      </w:r>
      <w:r w:rsidRPr="00AC4AEA">
        <w:rPr>
          <w:rFonts w:ascii="Arial" w:hAnsi="Arial" w:cs="Arial"/>
          <w:sz w:val="20"/>
          <w:szCs w:val="20"/>
        </w:rPr>
        <w:t xml:space="preserve">del </w:t>
      </w:r>
      <w:r w:rsidR="009B7B74" w:rsidRPr="00AC4AEA">
        <w:rPr>
          <w:rFonts w:ascii="Arial" w:hAnsi="Arial" w:cs="Arial"/>
          <w:sz w:val="20"/>
          <w:szCs w:val="20"/>
        </w:rPr>
        <w:t>período</w:t>
      </w:r>
      <w:r w:rsidRPr="00AC4AEA">
        <w:rPr>
          <w:rFonts w:ascii="Arial" w:hAnsi="Arial" w:cs="Arial"/>
          <w:sz w:val="20"/>
          <w:szCs w:val="20"/>
        </w:rPr>
        <w:t>:</w:t>
      </w:r>
    </w:p>
    <w:p w:rsidR="005D3EBB" w:rsidRPr="00AC4AEA" w:rsidRDefault="007E2A61" w:rsidP="00A318EA">
      <w:pPr>
        <w:pStyle w:val="A-Normal11"/>
        <w:numPr>
          <w:ilvl w:val="0"/>
          <w:numId w:val="26"/>
        </w:numPr>
        <w:ind w:left="1982" w:hanging="567"/>
        <w:jc w:val="both"/>
        <w:rPr>
          <w:rFonts w:ascii="Arial" w:hAnsi="Arial" w:cs="Arial"/>
          <w:sz w:val="20"/>
        </w:rPr>
      </w:pPr>
      <w:r w:rsidRPr="00AC4AEA">
        <w:rPr>
          <w:rFonts w:ascii="Arial" w:hAnsi="Arial" w:cs="Arial"/>
          <w:sz w:val="20"/>
        </w:rPr>
        <w:t>l</w:t>
      </w:r>
      <w:r w:rsidR="00EA4A21" w:rsidRPr="00AC4AEA">
        <w:rPr>
          <w:rFonts w:ascii="Arial" w:hAnsi="Arial" w:cs="Arial"/>
          <w:sz w:val="20"/>
        </w:rPr>
        <w:t xml:space="preserve">os </w:t>
      </w:r>
      <w:r w:rsidR="00744A34" w:rsidRPr="00AC4AEA">
        <w:rPr>
          <w:rFonts w:ascii="Arial" w:hAnsi="Arial" w:cs="Arial"/>
          <w:sz w:val="20"/>
        </w:rPr>
        <w:t>desembolsos</w:t>
      </w:r>
      <w:r w:rsidR="005D3EBB" w:rsidRPr="00AC4AEA">
        <w:rPr>
          <w:rFonts w:ascii="Arial" w:hAnsi="Arial" w:cs="Arial"/>
          <w:sz w:val="20"/>
        </w:rPr>
        <w:t xml:space="preserve"> de investigaciones efectuadas con el propósito de obtener nuevos conocimientos científicos y técnicos;</w:t>
      </w:r>
    </w:p>
    <w:p w:rsidR="005D3EBB" w:rsidRPr="00AC4AEA" w:rsidRDefault="007E2A61" w:rsidP="00A318EA">
      <w:pPr>
        <w:pStyle w:val="A-Normal11"/>
        <w:numPr>
          <w:ilvl w:val="0"/>
          <w:numId w:val="26"/>
        </w:numPr>
        <w:ind w:left="1982" w:hanging="567"/>
        <w:jc w:val="both"/>
        <w:rPr>
          <w:rFonts w:ascii="Arial" w:hAnsi="Arial" w:cs="Arial"/>
          <w:sz w:val="20"/>
        </w:rPr>
      </w:pPr>
      <w:r w:rsidRPr="00AC4AEA">
        <w:rPr>
          <w:rFonts w:ascii="Arial" w:hAnsi="Arial" w:cs="Arial"/>
          <w:sz w:val="20"/>
        </w:rPr>
        <w:t>l</w:t>
      </w:r>
      <w:r w:rsidR="00EA4A21" w:rsidRPr="00AC4AEA">
        <w:rPr>
          <w:rFonts w:ascii="Arial" w:hAnsi="Arial" w:cs="Arial"/>
          <w:sz w:val="20"/>
        </w:rPr>
        <w:t xml:space="preserve">os </w:t>
      </w:r>
      <w:r w:rsidR="00744A34" w:rsidRPr="00AC4AEA">
        <w:rPr>
          <w:rFonts w:ascii="Arial" w:hAnsi="Arial" w:cs="Arial"/>
          <w:sz w:val="20"/>
        </w:rPr>
        <w:t>desembolsos</w:t>
      </w:r>
      <w:r w:rsidR="005D3EBB" w:rsidRPr="00AC4AEA">
        <w:rPr>
          <w:rFonts w:ascii="Arial" w:hAnsi="Arial" w:cs="Arial"/>
          <w:sz w:val="20"/>
        </w:rPr>
        <w:t xml:space="preserve"> erogados en el desarrollo interno del valor llave, marcas, listas de clientes y otros que, en sustancia, no puedan </w:t>
      </w:r>
      <w:r w:rsidR="00325369" w:rsidRPr="00AC4AEA">
        <w:rPr>
          <w:rFonts w:ascii="Arial" w:hAnsi="Arial" w:cs="Arial"/>
          <w:sz w:val="20"/>
        </w:rPr>
        <w:t>distinguirse</w:t>
      </w:r>
      <w:r w:rsidR="005D3EBB" w:rsidRPr="00AC4AEA">
        <w:rPr>
          <w:rFonts w:ascii="Arial" w:hAnsi="Arial" w:cs="Arial"/>
          <w:sz w:val="20"/>
        </w:rPr>
        <w:t xml:space="preserve"> del costo de desarrollar un negocio tomado en su conjunto (o un segmento de negocio); </w:t>
      </w:r>
    </w:p>
    <w:p w:rsidR="006846D9" w:rsidRPr="00AC4AEA" w:rsidRDefault="007E2A61" w:rsidP="00A318EA">
      <w:pPr>
        <w:pStyle w:val="A-Normal11"/>
        <w:numPr>
          <w:ilvl w:val="0"/>
          <w:numId w:val="26"/>
        </w:numPr>
        <w:ind w:left="1982" w:hanging="567"/>
        <w:jc w:val="both"/>
        <w:rPr>
          <w:rFonts w:ascii="Arial" w:hAnsi="Arial" w:cs="Arial"/>
          <w:sz w:val="20"/>
        </w:rPr>
      </w:pPr>
      <w:r w:rsidRPr="00AC4AEA">
        <w:rPr>
          <w:rFonts w:ascii="Arial" w:hAnsi="Arial" w:cs="Arial"/>
          <w:sz w:val="20"/>
        </w:rPr>
        <w:t>l</w:t>
      </w:r>
      <w:r w:rsidR="00EA4A21" w:rsidRPr="00AC4AEA">
        <w:rPr>
          <w:rFonts w:ascii="Arial" w:hAnsi="Arial" w:cs="Arial"/>
          <w:sz w:val="20"/>
        </w:rPr>
        <w:t xml:space="preserve">os </w:t>
      </w:r>
      <w:r w:rsidR="00744A34" w:rsidRPr="00AC4AEA">
        <w:rPr>
          <w:rFonts w:ascii="Arial" w:hAnsi="Arial" w:cs="Arial"/>
          <w:sz w:val="20"/>
        </w:rPr>
        <w:t>desembolsos</w:t>
      </w:r>
      <w:r w:rsidR="005D3EBB" w:rsidRPr="00AC4AEA">
        <w:rPr>
          <w:rFonts w:ascii="Arial" w:hAnsi="Arial" w:cs="Arial"/>
          <w:sz w:val="20"/>
        </w:rPr>
        <w:t xml:space="preserve"> de publicidad, promoción y reubicación o reorganización de una empresa</w:t>
      </w:r>
      <w:r w:rsidRPr="00AC4AEA">
        <w:rPr>
          <w:rFonts w:ascii="Arial" w:hAnsi="Arial" w:cs="Arial"/>
          <w:sz w:val="20"/>
        </w:rPr>
        <w:t>;</w:t>
      </w:r>
      <w:r w:rsidR="00EA4A21" w:rsidRPr="00AC4AEA">
        <w:rPr>
          <w:rFonts w:ascii="Arial" w:hAnsi="Arial" w:cs="Arial"/>
          <w:sz w:val="20"/>
        </w:rPr>
        <w:t xml:space="preserve"> </w:t>
      </w:r>
    </w:p>
    <w:p w:rsidR="005D3EBB" w:rsidRPr="00AC4AEA" w:rsidRDefault="006846D9" w:rsidP="00A318EA">
      <w:pPr>
        <w:pStyle w:val="A-Normal11"/>
        <w:numPr>
          <w:ilvl w:val="0"/>
          <w:numId w:val="26"/>
        </w:numPr>
        <w:ind w:left="1982" w:hanging="567"/>
        <w:jc w:val="both"/>
        <w:rPr>
          <w:rFonts w:ascii="Arial" w:hAnsi="Arial" w:cs="Arial"/>
          <w:sz w:val="20"/>
        </w:rPr>
      </w:pPr>
      <w:r w:rsidRPr="00AC4AEA">
        <w:rPr>
          <w:rFonts w:ascii="Arial" w:hAnsi="Arial" w:cs="Arial"/>
          <w:sz w:val="20"/>
        </w:rPr>
        <w:t xml:space="preserve">los desembolsos realizados en una fase de desarrollo que no cumplen las condiciones para ser activados; </w:t>
      </w:r>
      <w:r w:rsidR="006056E5" w:rsidRPr="00AC4AEA">
        <w:rPr>
          <w:rFonts w:ascii="Arial" w:hAnsi="Arial" w:cs="Arial"/>
          <w:sz w:val="20"/>
        </w:rPr>
        <w:t>y</w:t>
      </w:r>
    </w:p>
    <w:p w:rsidR="005D3EBB" w:rsidRPr="00AC4AEA" w:rsidRDefault="007E2A61" w:rsidP="00A318EA">
      <w:pPr>
        <w:pStyle w:val="A-Normal11"/>
        <w:numPr>
          <w:ilvl w:val="0"/>
          <w:numId w:val="26"/>
        </w:numPr>
        <w:ind w:left="1982" w:hanging="567"/>
        <w:jc w:val="both"/>
        <w:rPr>
          <w:rFonts w:ascii="Arial" w:hAnsi="Arial" w:cs="Arial"/>
          <w:sz w:val="20"/>
        </w:rPr>
      </w:pPr>
      <w:r w:rsidRPr="00AC4AEA">
        <w:rPr>
          <w:rFonts w:ascii="Arial" w:hAnsi="Arial" w:cs="Arial"/>
          <w:sz w:val="20"/>
        </w:rPr>
        <w:t>l</w:t>
      </w:r>
      <w:r w:rsidR="00EA4A21" w:rsidRPr="00AC4AEA">
        <w:rPr>
          <w:rFonts w:ascii="Arial" w:hAnsi="Arial" w:cs="Arial"/>
          <w:sz w:val="20"/>
        </w:rPr>
        <w:t xml:space="preserve">os </w:t>
      </w:r>
      <w:r w:rsidR="00EC1893" w:rsidRPr="00AC4AEA">
        <w:rPr>
          <w:rFonts w:ascii="Arial" w:hAnsi="Arial" w:cs="Arial"/>
          <w:sz w:val="20"/>
        </w:rPr>
        <w:t>costos</w:t>
      </w:r>
      <w:r w:rsidR="005D3EBB" w:rsidRPr="00AC4AEA">
        <w:rPr>
          <w:rFonts w:ascii="Arial" w:hAnsi="Arial" w:cs="Arial"/>
          <w:sz w:val="20"/>
        </w:rPr>
        <w:t xml:space="preserve"> de entrenamiento</w:t>
      </w:r>
      <w:r w:rsidR="00744A34" w:rsidRPr="00AC4AEA">
        <w:rPr>
          <w:rFonts w:ascii="Arial" w:hAnsi="Arial" w:cs="Arial"/>
          <w:sz w:val="20"/>
        </w:rPr>
        <w:t xml:space="preserve">, excepto aquellos que por sus características </w:t>
      </w:r>
      <w:r w:rsidR="00BD7827" w:rsidRPr="00AC4AEA">
        <w:rPr>
          <w:rFonts w:ascii="Arial" w:hAnsi="Arial" w:cs="Arial"/>
          <w:sz w:val="20"/>
        </w:rPr>
        <w:t>puedan</w:t>
      </w:r>
      <w:r w:rsidR="00744A34" w:rsidRPr="00AC4AEA">
        <w:rPr>
          <w:rFonts w:ascii="Arial" w:hAnsi="Arial" w:cs="Arial"/>
          <w:sz w:val="20"/>
        </w:rPr>
        <w:t xml:space="preserve"> activarse </w:t>
      </w:r>
      <w:r w:rsidR="00BD7827" w:rsidRPr="00AC4AEA">
        <w:rPr>
          <w:rFonts w:ascii="Arial" w:hAnsi="Arial" w:cs="Arial"/>
          <w:sz w:val="20"/>
        </w:rPr>
        <w:t>como</w:t>
      </w:r>
      <w:r w:rsidR="00744A34" w:rsidRPr="00AC4AEA">
        <w:rPr>
          <w:rFonts w:ascii="Arial" w:hAnsi="Arial" w:cs="Arial"/>
          <w:sz w:val="20"/>
        </w:rPr>
        <w:t xml:space="preserve"> </w:t>
      </w:r>
      <w:r w:rsidR="00F8589E" w:rsidRPr="00AC4AEA">
        <w:rPr>
          <w:rFonts w:ascii="Arial" w:hAnsi="Arial" w:cs="Arial"/>
          <w:sz w:val="20"/>
        </w:rPr>
        <w:t>costos de organización o como costos preoperativos</w:t>
      </w:r>
      <w:r w:rsidR="006056E5" w:rsidRPr="00AC4AEA">
        <w:rPr>
          <w:rFonts w:ascii="Arial" w:hAnsi="Arial" w:cs="Arial"/>
          <w:sz w:val="20"/>
        </w:rPr>
        <w:t>.</w:t>
      </w:r>
    </w:p>
    <w:p w:rsidR="00B363C0" w:rsidRPr="00AC4AEA" w:rsidRDefault="00B363C0" w:rsidP="00A318EA">
      <w:pPr>
        <w:jc w:val="both"/>
        <w:rPr>
          <w:rFonts w:ascii="Arial" w:hAnsi="Arial" w:cs="Arial"/>
          <w:sz w:val="20"/>
          <w:szCs w:val="20"/>
        </w:rPr>
      </w:pPr>
    </w:p>
    <w:p w:rsidR="005D3EBB" w:rsidRPr="00AC4AEA" w:rsidRDefault="005D3EBB" w:rsidP="00A318EA">
      <w:pPr>
        <w:pStyle w:val="Ttulo2"/>
        <w:rPr>
          <w:rFonts w:cs="Arial"/>
        </w:rPr>
      </w:pPr>
      <w:bookmarkStart w:id="555" w:name="_Toc101863888"/>
      <w:bookmarkStart w:id="556" w:name="_Toc139356752"/>
      <w:r w:rsidRPr="00AC4AEA">
        <w:rPr>
          <w:rFonts w:cs="Arial"/>
        </w:rPr>
        <w:lastRenderedPageBreak/>
        <w:t>Reconocimiento</w:t>
      </w:r>
      <w:bookmarkEnd w:id="555"/>
      <w:bookmarkEnd w:id="556"/>
    </w:p>
    <w:p w:rsidR="005D3EBB" w:rsidRPr="00AC4AEA" w:rsidRDefault="005D3EB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un elemento como </w:t>
      </w:r>
      <w:r w:rsidR="00B363C0" w:rsidRPr="00AC4AEA">
        <w:rPr>
          <w:rFonts w:ascii="Arial" w:hAnsi="Arial" w:cs="Arial"/>
          <w:sz w:val="20"/>
          <w:szCs w:val="20"/>
        </w:rPr>
        <w:t>un activo intangible (distinto de la llave de negocio)</w:t>
      </w:r>
      <w:r w:rsidRPr="00AC4AEA">
        <w:rPr>
          <w:rFonts w:ascii="Arial" w:hAnsi="Arial" w:cs="Arial"/>
          <w:sz w:val="20"/>
          <w:szCs w:val="20"/>
        </w:rPr>
        <w:t xml:space="preserve"> cuando: </w:t>
      </w:r>
    </w:p>
    <w:p w:rsidR="0089561E" w:rsidRPr="00AC4AEA" w:rsidRDefault="0089561E" w:rsidP="00A318EA">
      <w:pPr>
        <w:pStyle w:val="Prrafodelista"/>
        <w:numPr>
          <w:ilvl w:val="0"/>
          <w:numId w:val="107"/>
        </w:numPr>
        <w:ind w:left="1560"/>
        <w:contextualSpacing w:val="0"/>
        <w:jc w:val="both"/>
        <w:rPr>
          <w:rFonts w:ascii="Arial" w:hAnsi="Arial" w:cs="Arial"/>
          <w:sz w:val="20"/>
          <w:szCs w:val="20"/>
        </w:rPr>
      </w:pPr>
      <w:r w:rsidRPr="00AC4AEA">
        <w:rPr>
          <w:rFonts w:ascii="Arial" w:hAnsi="Arial" w:cs="Arial"/>
          <w:sz w:val="20"/>
          <w:szCs w:val="20"/>
        </w:rPr>
        <w:t xml:space="preserve">cumpla con </w:t>
      </w:r>
      <w:r w:rsidR="007E2A61" w:rsidRPr="00AC4AEA">
        <w:rPr>
          <w:rFonts w:ascii="Arial" w:hAnsi="Arial" w:cs="Arial"/>
          <w:sz w:val="20"/>
          <w:szCs w:val="20"/>
        </w:rPr>
        <w:t>la definición general del párrafo</w:t>
      </w:r>
      <w:r w:rsidRPr="00AC4AEA">
        <w:rPr>
          <w:rFonts w:ascii="Arial" w:hAnsi="Arial" w:cs="Arial"/>
          <w:sz w:val="20"/>
          <w:szCs w:val="20"/>
        </w:rPr>
        <w:t xml:space="preserve"> </w:t>
      </w:r>
      <w:fldSimple w:instr=" REF _Ref74755232 \r \h  \* MERGEFORMAT ">
        <w:r w:rsidR="00D33A5D" w:rsidRPr="00D33A5D">
          <w:rPr>
            <w:rFonts w:ascii="Arial" w:hAnsi="Arial" w:cs="Arial"/>
            <w:sz w:val="20"/>
            <w:szCs w:val="20"/>
          </w:rPr>
          <w:t>22</w:t>
        </w:r>
      </w:fldSimple>
      <w:r w:rsidRPr="00AC4AEA">
        <w:rPr>
          <w:rFonts w:ascii="Arial" w:hAnsi="Arial" w:cs="Arial"/>
          <w:sz w:val="20"/>
          <w:szCs w:val="20"/>
        </w:rPr>
        <w:t xml:space="preserve"> y</w:t>
      </w:r>
      <w:r w:rsidR="007E2A61" w:rsidRPr="00AC4AEA">
        <w:rPr>
          <w:rFonts w:ascii="Arial" w:hAnsi="Arial" w:cs="Arial"/>
          <w:sz w:val="20"/>
          <w:szCs w:val="20"/>
        </w:rPr>
        <w:t xml:space="preserve"> la definición específica contenida en el párrafo</w:t>
      </w:r>
      <w:r w:rsidRPr="00AC4AEA">
        <w:rPr>
          <w:rFonts w:ascii="Arial" w:hAnsi="Arial" w:cs="Arial"/>
          <w:sz w:val="20"/>
          <w:szCs w:val="20"/>
        </w:rPr>
        <w:t xml:space="preserve"> </w:t>
      </w:r>
      <w:fldSimple w:instr=" REF _Ref74757987 \r \h  \* MERGEFORMAT ">
        <w:r w:rsidR="00D33A5D" w:rsidRPr="00D33A5D">
          <w:rPr>
            <w:rFonts w:ascii="Arial" w:hAnsi="Arial" w:cs="Arial"/>
            <w:sz w:val="20"/>
            <w:szCs w:val="20"/>
          </w:rPr>
          <w:t>389</w:t>
        </w:r>
      </w:fldSimple>
      <w:r w:rsidR="007E2A61" w:rsidRPr="00AC4AEA">
        <w:rPr>
          <w:rFonts w:ascii="Arial" w:hAnsi="Arial" w:cs="Arial"/>
          <w:sz w:val="20"/>
          <w:szCs w:val="20"/>
        </w:rPr>
        <w:t>;</w:t>
      </w:r>
    </w:p>
    <w:p w:rsidR="00D14901" w:rsidRPr="00AC4AEA" w:rsidRDefault="00D14901" w:rsidP="00A318EA">
      <w:pPr>
        <w:pStyle w:val="Prrafodelista"/>
        <w:numPr>
          <w:ilvl w:val="0"/>
          <w:numId w:val="107"/>
        </w:numPr>
        <w:ind w:left="1560"/>
        <w:contextualSpacing w:val="0"/>
        <w:jc w:val="both"/>
        <w:rPr>
          <w:rFonts w:ascii="Arial" w:hAnsi="Arial" w:cs="Arial"/>
          <w:sz w:val="20"/>
          <w:szCs w:val="20"/>
        </w:rPr>
      </w:pPr>
      <w:r w:rsidRPr="00AC4AEA">
        <w:rPr>
          <w:rFonts w:ascii="Arial" w:hAnsi="Arial" w:cs="Arial"/>
          <w:sz w:val="20"/>
          <w:szCs w:val="20"/>
        </w:rPr>
        <w:t xml:space="preserve">su medición satisfaga el requisito de </w:t>
      </w:r>
      <w:r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007E2A61" w:rsidRPr="00AC4AEA">
        <w:rPr>
          <w:rFonts w:ascii="Arial" w:hAnsi="Arial" w:cs="Arial"/>
          <w:b/>
          <w:bCs/>
          <w:sz w:val="20"/>
          <w:szCs w:val="20"/>
        </w:rPr>
        <w:t>;</w:t>
      </w:r>
      <w:r w:rsidRPr="00AC4AEA">
        <w:rPr>
          <w:rFonts w:ascii="Arial" w:hAnsi="Arial" w:cs="Arial"/>
          <w:sz w:val="20"/>
          <w:szCs w:val="20"/>
        </w:rPr>
        <w:t xml:space="preserve"> </w:t>
      </w:r>
      <w:r w:rsidR="0017400F" w:rsidRPr="00AC4AEA">
        <w:rPr>
          <w:rFonts w:ascii="Arial" w:hAnsi="Arial" w:cs="Arial"/>
          <w:sz w:val="20"/>
          <w:szCs w:val="20"/>
        </w:rPr>
        <w:t>y</w:t>
      </w:r>
    </w:p>
    <w:p w:rsidR="00386CA7" w:rsidRPr="00AC4AEA" w:rsidRDefault="00386CA7" w:rsidP="00A318EA">
      <w:pPr>
        <w:pStyle w:val="Prrafodelista"/>
        <w:numPr>
          <w:ilvl w:val="0"/>
          <w:numId w:val="107"/>
        </w:numPr>
        <w:ind w:left="1560"/>
        <w:contextualSpacing w:val="0"/>
        <w:jc w:val="both"/>
        <w:rPr>
          <w:rFonts w:ascii="Arial" w:hAnsi="Arial" w:cs="Arial"/>
          <w:sz w:val="20"/>
          <w:szCs w:val="20"/>
        </w:rPr>
      </w:pPr>
      <w:r w:rsidRPr="00AC4AEA">
        <w:rPr>
          <w:rFonts w:ascii="Arial" w:hAnsi="Arial" w:cs="Arial"/>
          <w:sz w:val="20"/>
          <w:szCs w:val="20"/>
        </w:rPr>
        <w:t xml:space="preserve">su contribución a los beneficios económicos futuros de la entidad </w:t>
      </w:r>
      <w:r w:rsidR="00B645D7" w:rsidRPr="00AC4AEA">
        <w:rPr>
          <w:rFonts w:ascii="Arial" w:hAnsi="Arial" w:cs="Arial"/>
          <w:sz w:val="20"/>
          <w:szCs w:val="20"/>
        </w:rPr>
        <w:t xml:space="preserve">resulte </w:t>
      </w:r>
      <w:r w:rsidR="00B645D7" w:rsidRPr="00AC4AEA">
        <w:rPr>
          <w:rFonts w:ascii="Arial" w:hAnsi="Arial" w:cs="Arial"/>
          <w:b/>
          <w:bCs/>
          <w:sz w:val="20"/>
          <w:szCs w:val="20"/>
        </w:rPr>
        <w:t>probable</w:t>
      </w:r>
      <w:r w:rsidR="0017400F" w:rsidRPr="00AC4AEA">
        <w:rPr>
          <w:rFonts w:ascii="Arial" w:hAnsi="Arial" w:cs="Arial"/>
          <w:sz w:val="20"/>
          <w:szCs w:val="20"/>
        </w:rPr>
        <w:t>.</w:t>
      </w:r>
    </w:p>
    <w:p w:rsidR="00DB616B" w:rsidRPr="00AC4AEA" w:rsidRDefault="00DB616B" w:rsidP="00A318EA">
      <w:pPr>
        <w:pStyle w:val="Prrafodelista"/>
        <w:numPr>
          <w:ilvl w:val="0"/>
          <w:numId w:val="29"/>
        </w:numPr>
        <w:contextualSpacing w:val="0"/>
        <w:jc w:val="both"/>
        <w:rPr>
          <w:rFonts w:ascii="Arial" w:hAnsi="Arial" w:cs="Arial"/>
          <w:sz w:val="20"/>
          <w:szCs w:val="20"/>
        </w:rPr>
      </w:pPr>
      <w:bookmarkStart w:id="557" w:name="_Ref102768555"/>
      <w:r w:rsidRPr="00AC4AEA">
        <w:rPr>
          <w:rFonts w:ascii="Arial" w:hAnsi="Arial" w:cs="Arial"/>
          <w:sz w:val="20"/>
          <w:szCs w:val="20"/>
        </w:rPr>
        <w:t xml:space="preserve">En tanto se cumplan las condiciones indicadas </w:t>
      </w:r>
      <w:r w:rsidR="0031738D" w:rsidRPr="00AC4AEA">
        <w:rPr>
          <w:rFonts w:ascii="Arial" w:hAnsi="Arial" w:cs="Arial"/>
          <w:sz w:val="20"/>
          <w:szCs w:val="20"/>
        </w:rPr>
        <w:t>en el párrafo anterior</w:t>
      </w:r>
      <w:r w:rsidRPr="00AC4AEA">
        <w:rPr>
          <w:rFonts w:ascii="Arial" w:hAnsi="Arial" w:cs="Arial"/>
          <w:sz w:val="20"/>
          <w:szCs w:val="20"/>
        </w:rPr>
        <w:t xml:space="preserve">, </w:t>
      </w:r>
      <w:r w:rsidR="0031738D" w:rsidRPr="00AC4AEA">
        <w:rPr>
          <w:rFonts w:ascii="Arial" w:hAnsi="Arial" w:cs="Arial"/>
          <w:sz w:val="20"/>
          <w:szCs w:val="20"/>
        </w:rPr>
        <w:t xml:space="preserve">una entidad </w:t>
      </w:r>
      <w:r w:rsidRPr="00AC4AEA">
        <w:rPr>
          <w:rFonts w:ascii="Arial" w:hAnsi="Arial" w:cs="Arial"/>
          <w:sz w:val="20"/>
          <w:szCs w:val="20"/>
        </w:rPr>
        <w:t xml:space="preserve">podrá </w:t>
      </w:r>
      <w:r w:rsidR="0031738D" w:rsidRPr="00AC4AEA">
        <w:rPr>
          <w:rFonts w:ascii="Arial" w:hAnsi="Arial" w:cs="Arial"/>
          <w:sz w:val="20"/>
          <w:szCs w:val="20"/>
        </w:rPr>
        <w:t xml:space="preserve">reconocer como un </w:t>
      </w:r>
      <w:r w:rsidRPr="00AC4AEA">
        <w:rPr>
          <w:rFonts w:ascii="Arial" w:hAnsi="Arial" w:cs="Arial"/>
          <w:sz w:val="20"/>
          <w:szCs w:val="20"/>
        </w:rPr>
        <w:t>activo intangible a l</w:t>
      </w:r>
      <w:r w:rsidR="00744A34" w:rsidRPr="00AC4AEA">
        <w:rPr>
          <w:rFonts w:ascii="Arial" w:hAnsi="Arial" w:cs="Arial"/>
          <w:sz w:val="20"/>
          <w:szCs w:val="20"/>
        </w:rPr>
        <w:t>o</w:t>
      </w:r>
      <w:r w:rsidRPr="00AC4AEA">
        <w:rPr>
          <w:rFonts w:ascii="Arial" w:hAnsi="Arial" w:cs="Arial"/>
          <w:sz w:val="20"/>
          <w:szCs w:val="20"/>
        </w:rPr>
        <w:t xml:space="preserve">s </w:t>
      </w:r>
      <w:r w:rsidR="00744A34" w:rsidRPr="00AC4AEA">
        <w:rPr>
          <w:rFonts w:ascii="Arial" w:hAnsi="Arial" w:cs="Arial"/>
          <w:sz w:val="20"/>
          <w:szCs w:val="20"/>
        </w:rPr>
        <w:t>desembolsos</w:t>
      </w:r>
      <w:r w:rsidRPr="00AC4AEA">
        <w:rPr>
          <w:rFonts w:ascii="Arial" w:hAnsi="Arial" w:cs="Arial"/>
          <w:sz w:val="20"/>
          <w:szCs w:val="20"/>
        </w:rPr>
        <w:t xml:space="preserve"> que respondan a:</w:t>
      </w:r>
      <w:bookmarkEnd w:id="557"/>
    </w:p>
    <w:p w:rsidR="00DB616B" w:rsidRPr="00AC4AEA" w:rsidRDefault="00DB616B" w:rsidP="00A318EA">
      <w:pPr>
        <w:pStyle w:val="Prrafodelista"/>
        <w:numPr>
          <w:ilvl w:val="0"/>
          <w:numId w:val="319"/>
        </w:numPr>
        <w:contextualSpacing w:val="0"/>
        <w:jc w:val="both"/>
        <w:rPr>
          <w:rFonts w:ascii="Arial" w:hAnsi="Arial" w:cs="Arial"/>
          <w:sz w:val="20"/>
          <w:szCs w:val="20"/>
        </w:rPr>
      </w:pPr>
      <w:r w:rsidRPr="00AC4AEA">
        <w:rPr>
          <w:rFonts w:ascii="Arial" w:hAnsi="Arial" w:cs="Arial"/>
          <w:sz w:val="20"/>
          <w:szCs w:val="20"/>
        </w:rPr>
        <w:t>costos para lograr la constitución de un</w:t>
      </w:r>
      <w:r w:rsidR="0031738D" w:rsidRPr="00AC4AEA">
        <w:rPr>
          <w:rFonts w:ascii="Arial" w:hAnsi="Arial" w:cs="Arial"/>
          <w:sz w:val="20"/>
          <w:szCs w:val="20"/>
        </w:rPr>
        <w:t>a</w:t>
      </w:r>
      <w:r w:rsidRPr="00AC4AEA">
        <w:rPr>
          <w:rFonts w:ascii="Arial" w:hAnsi="Arial" w:cs="Arial"/>
          <w:sz w:val="20"/>
          <w:szCs w:val="20"/>
        </w:rPr>
        <w:t xml:space="preserve"> nuev</w:t>
      </w:r>
      <w:r w:rsidR="0031738D" w:rsidRPr="00AC4AEA">
        <w:rPr>
          <w:rFonts w:ascii="Arial" w:hAnsi="Arial" w:cs="Arial"/>
          <w:sz w:val="20"/>
          <w:szCs w:val="20"/>
        </w:rPr>
        <w:t>a</w:t>
      </w:r>
      <w:r w:rsidRPr="00AC4AEA">
        <w:rPr>
          <w:rFonts w:ascii="Arial" w:hAnsi="Arial" w:cs="Arial"/>
          <w:sz w:val="20"/>
          <w:szCs w:val="20"/>
        </w:rPr>
        <w:t xml:space="preserve"> ent</w:t>
      </w:r>
      <w:r w:rsidR="0031738D" w:rsidRPr="00AC4AEA">
        <w:rPr>
          <w:rFonts w:ascii="Arial" w:hAnsi="Arial" w:cs="Arial"/>
          <w:sz w:val="20"/>
          <w:szCs w:val="20"/>
        </w:rPr>
        <w:t>idad</w:t>
      </w:r>
      <w:r w:rsidRPr="00AC4AEA">
        <w:rPr>
          <w:rFonts w:ascii="Arial" w:hAnsi="Arial" w:cs="Arial"/>
          <w:sz w:val="20"/>
          <w:szCs w:val="20"/>
        </w:rPr>
        <w:t xml:space="preserve"> y darle existencia legal</w:t>
      </w:r>
      <w:r w:rsidR="0031738D" w:rsidRPr="00AC4AEA">
        <w:rPr>
          <w:rFonts w:ascii="Arial" w:hAnsi="Arial" w:cs="Arial"/>
          <w:sz w:val="20"/>
          <w:szCs w:val="20"/>
        </w:rPr>
        <w:t xml:space="preserve"> </w:t>
      </w:r>
      <w:r w:rsidRPr="00AC4AEA">
        <w:rPr>
          <w:rFonts w:ascii="Arial" w:hAnsi="Arial" w:cs="Arial"/>
          <w:sz w:val="20"/>
          <w:szCs w:val="20"/>
        </w:rPr>
        <w:t>(costos de organización);</w:t>
      </w:r>
    </w:p>
    <w:p w:rsidR="00DB616B" w:rsidRPr="00AC4AEA" w:rsidRDefault="00DB616B" w:rsidP="00A318EA">
      <w:pPr>
        <w:pStyle w:val="Prrafodelista"/>
        <w:numPr>
          <w:ilvl w:val="0"/>
          <w:numId w:val="319"/>
        </w:numPr>
        <w:contextualSpacing w:val="0"/>
        <w:jc w:val="both"/>
        <w:rPr>
          <w:rFonts w:ascii="Arial" w:hAnsi="Arial" w:cs="Arial"/>
          <w:sz w:val="20"/>
          <w:szCs w:val="20"/>
        </w:rPr>
      </w:pPr>
      <w:r w:rsidRPr="00AC4AEA">
        <w:rPr>
          <w:rFonts w:ascii="Arial" w:hAnsi="Arial" w:cs="Arial"/>
          <w:sz w:val="20"/>
          <w:szCs w:val="20"/>
        </w:rPr>
        <w:t xml:space="preserve">costos </w:t>
      </w:r>
      <w:r w:rsidR="00744A34" w:rsidRPr="00AC4AEA">
        <w:rPr>
          <w:rFonts w:ascii="Arial" w:hAnsi="Arial" w:cs="Arial"/>
          <w:sz w:val="20"/>
          <w:szCs w:val="20"/>
        </w:rPr>
        <w:t xml:space="preserve">en </w:t>
      </w:r>
      <w:r w:rsidRPr="00AC4AEA">
        <w:rPr>
          <w:rFonts w:ascii="Arial" w:hAnsi="Arial" w:cs="Arial"/>
          <w:sz w:val="20"/>
          <w:szCs w:val="20"/>
        </w:rPr>
        <w:t>que un</w:t>
      </w:r>
      <w:r w:rsidR="0031738D" w:rsidRPr="00AC4AEA">
        <w:rPr>
          <w:rFonts w:ascii="Arial" w:hAnsi="Arial" w:cs="Arial"/>
          <w:sz w:val="20"/>
          <w:szCs w:val="20"/>
        </w:rPr>
        <w:t>a</w:t>
      </w:r>
      <w:r w:rsidRPr="00AC4AEA">
        <w:rPr>
          <w:rFonts w:ascii="Arial" w:hAnsi="Arial" w:cs="Arial"/>
          <w:sz w:val="20"/>
          <w:szCs w:val="20"/>
        </w:rPr>
        <w:t xml:space="preserve"> nuev</w:t>
      </w:r>
      <w:r w:rsidR="0031738D" w:rsidRPr="00AC4AEA">
        <w:rPr>
          <w:rFonts w:ascii="Arial" w:hAnsi="Arial" w:cs="Arial"/>
          <w:sz w:val="20"/>
          <w:szCs w:val="20"/>
        </w:rPr>
        <w:t>a</w:t>
      </w:r>
      <w:r w:rsidRPr="00AC4AEA">
        <w:rPr>
          <w:rFonts w:ascii="Arial" w:hAnsi="Arial" w:cs="Arial"/>
          <w:sz w:val="20"/>
          <w:szCs w:val="20"/>
        </w:rPr>
        <w:t xml:space="preserve"> ent</w:t>
      </w:r>
      <w:r w:rsidR="0031738D" w:rsidRPr="00AC4AEA">
        <w:rPr>
          <w:rFonts w:ascii="Arial" w:hAnsi="Arial" w:cs="Arial"/>
          <w:sz w:val="20"/>
          <w:szCs w:val="20"/>
        </w:rPr>
        <w:t>idad</w:t>
      </w:r>
      <w:r w:rsidRPr="00AC4AEA">
        <w:rPr>
          <w:rFonts w:ascii="Arial" w:hAnsi="Arial" w:cs="Arial"/>
          <w:sz w:val="20"/>
          <w:szCs w:val="20"/>
        </w:rPr>
        <w:t xml:space="preserve"> o un</w:t>
      </w:r>
      <w:r w:rsidR="0031738D" w:rsidRPr="00AC4AEA">
        <w:rPr>
          <w:rFonts w:ascii="Arial" w:hAnsi="Arial" w:cs="Arial"/>
          <w:sz w:val="20"/>
          <w:szCs w:val="20"/>
        </w:rPr>
        <w:t>a</w:t>
      </w:r>
      <w:r w:rsidRPr="00AC4AEA">
        <w:rPr>
          <w:rFonts w:ascii="Arial" w:hAnsi="Arial" w:cs="Arial"/>
          <w:sz w:val="20"/>
          <w:szCs w:val="20"/>
        </w:rPr>
        <w:t xml:space="preserve"> ent</w:t>
      </w:r>
      <w:r w:rsidR="0031738D" w:rsidRPr="00AC4AEA">
        <w:rPr>
          <w:rFonts w:ascii="Arial" w:hAnsi="Arial" w:cs="Arial"/>
          <w:sz w:val="20"/>
          <w:szCs w:val="20"/>
        </w:rPr>
        <w:t>idad</w:t>
      </w:r>
      <w:r w:rsidRPr="00AC4AEA">
        <w:rPr>
          <w:rFonts w:ascii="Arial" w:hAnsi="Arial" w:cs="Arial"/>
          <w:sz w:val="20"/>
          <w:szCs w:val="20"/>
        </w:rPr>
        <w:t xml:space="preserve"> existente deban incurrir en forma previa</w:t>
      </w:r>
      <w:r w:rsidR="0031738D" w:rsidRPr="00AC4AEA">
        <w:rPr>
          <w:rFonts w:ascii="Arial" w:hAnsi="Arial" w:cs="Arial"/>
          <w:sz w:val="20"/>
          <w:szCs w:val="20"/>
        </w:rPr>
        <w:t xml:space="preserve"> </w:t>
      </w:r>
      <w:r w:rsidRPr="00AC4AEA">
        <w:rPr>
          <w:rFonts w:ascii="Arial" w:hAnsi="Arial" w:cs="Arial"/>
          <w:sz w:val="20"/>
          <w:szCs w:val="20"/>
        </w:rPr>
        <w:t>al inicio de una nueva actividad u operación (costos preoperativos), siempre</w:t>
      </w:r>
      <w:r w:rsidR="0031738D" w:rsidRPr="00AC4AEA">
        <w:rPr>
          <w:rFonts w:ascii="Arial" w:hAnsi="Arial" w:cs="Arial"/>
          <w:sz w:val="20"/>
          <w:szCs w:val="20"/>
        </w:rPr>
        <w:t xml:space="preserve"> </w:t>
      </w:r>
      <w:r w:rsidRPr="00AC4AEA">
        <w:rPr>
          <w:rFonts w:ascii="Arial" w:hAnsi="Arial" w:cs="Arial"/>
          <w:sz w:val="20"/>
          <w:szCs w:val="20"/>
        </w:rPr>
        <w:t>que:</w:t>
      </w:r>
    </w:p>
    <w:p w:rsidR="00DB616B" w:rsidRPr="00AC4AEA" w:rsidRDefault="00DB616B" w:rsidP="00A318EA">
      <w:pPr>
        <w:pStyle w:val="Prrafodelista"/>
        <w:numPr>
          <w:ilvl w:val="0"/>
          <w:numId w:val="320"/>
        </w:numPr>
        <w:contextualSpacing w:val="0"/>
        <w:jc w:val="both"/>
        <w:rPr>
          <w:rFonts w:ascii="Arial" w:hAnsi="Arial" w:cs="Arial"/>
          <w:sz w:val="20"/>
          <w:szCs w:val="20"/>
        </w:rPr>
      </w:pPr>
      <w:r w:rsidRPr="00AC4AEA">
        <w:rPr>
          <w:rFonts w:ascii="Arial" w:hAnsi="Arial" w:cs="Arial"/>
          <w:sz w:val="20"/>
          <w:szCs w:val="20"/>
        </w:rPr>
        <w:t>sean costos directos atribuibles a la nueva actividad u operación y</w:t>
      </w:r>
      <w:r w:rsidR="0031738D" w:rsidRPr="00AC4AEA">
        <w:rPr>
          <w:rFonts w:ascii="Arial" w:hAnsi="Arial" w:cs="Arial"/>
          <w:sz w:val="20"/>
          <w:szCs w:val="20"/>
        </w:rPr>
        <w:t xml:space="preserve"> </w:t>
      </w:r>
      <w:r w:rsidRPr="00AC4AEA">
        <w:rPr>
          <w:rFonts w:ascii="Arial" w:hAnsi="Arial" w:cs="Arial"/>
          <w:sz w:val="20"/>
          <w:szCs w:val="20"/>
        </w:rPr>
        <w:t>claramente incrementales respecto de los costos de</w:t>
      </w:r>
      <w:r w:rsidR="0031738D" w:rsidRPr="00AC4AEA">
        <w:rPr>
          <w:rFonts w:ascii="Arial" w:hAnsi="Arial" w:cs="Arial"/>
          <w:sz w:val="20"/>
          <w:szCs w:val="20"/>
        </w:rPr>
        <w:t xml:space="preserve"> </w:t>
      </w:r>
      <w:r w:rsidRPr="00AC4AEA">
        <w:rPr>
          <w:rFonts w:ascii="Arial" w:hAnsi="Arial" w:cs="Arial"/>
          <w:sz w:val="20"/>
          <w:szCs w:val="20"/>
        </w:rPr>
        <w:t>l</w:t>
      </w:r>
      <w:r w:rsidR="0031738D" w:rsidRPr="00AC4AEA">
        <w:rPr>
          <w:rFonts w:ascii="Arial" w:hAnsi="Arial" w:cs="Arial"/>
          <w:sz w:val="20"/>
          <w:szCs w:val="20"/>
        </w:rPr>
        <w:t xml:space="preserve">a </w:t>
      </w:r>
      <w:r w:rsidRPr="00AC4AEA">
        <w:rPr>
          <w:rFonts w:ascii="Arial" w:hAnsi="Arial" w:cs="Arial"/>
          <w:sz w:val="20"/>
          <w:szCs w:val="20"/>
        </w:rPr>
        <w:t>ent</w:t>
      </w:r>
      <w:r w:rsidR="0031738D" w:rsidRPr="00AC4AEA">
        <w:rPr>
          <w:rFonts w:ascii="Arial" w:hAnsi="Arial" w:cs="Arial"/>
          <w:sz w:val="20"/>
          <w:szCs w:val="20"/>
        </w:rPr>
        <w:t>idad</w:t>
      </w:r>
      <w:r w:rsidRPr="00AC4AEA">
        <w:rPr>
          <w:rFonts w:ascii="Arial" w:hAnsi="Arial" w:cs="Arial"/>
          <w:sz w:val="20"/>
          <w:szCs w:val="20"/>
        </w:rPr>
        <w:t xml:space="preserve"> si la nueva actividad</w:t>
      </w:r>
      <w:r w:rsidR="0031738D" w:rsidRPr="00AC4AEA">
        <w:rPr>
          <w:rFonts w:ascii="Arial" w:hAnsi="Arial" w:cs="Arial"/>
          <w:sz w:val="20"/>
          <w:szCs w:val="20"/>
        </w:rPr>
        <w:t xml:space="preserve"> </w:t>
      </w:r>
      <w:r w:rsidRPr="00AC4AEA">
        <w:rPr>
          <w:rFonts w:ascii="Arial" w:hAnsi="Arial" w:cs="Arial"/>
          <w:sz w:val="20"/>
          <w:szCs w:val="20"/>
        </w:rPr>
        <w:t>u operación no se hubiera desarrollado; y</w:t>
      </w:r>
    </w:p>
    <w:p w:rsidR="00DB616B" w:rsidRPr="00AC4AEA" w:rsidRDefault="00DB616B" w:rsidP="00A318EA">
      <w:pPr>
        <w:pStyle w:val="Prrafodelista"/>
        <w:numPr>
          <w:ilvl w:val="0"/>
          <w:numId w:val="320"/>
        </w:numPr>
        <w:contextualSpacing w:val="0"/>
        <w:jc w:val="both"/>
        <w:rPr>
          <w:rFonts w:ascii="Arial" w:hAnsi="Arial" w:cs="Arial"/>
          <w:sz w:val="20"/>
          <w:szCs w:val="20"/>
        </w:rPr>
      </w:pPr>
      <w:r w:rsidRPr="00AC4AEA">
        <w:rPr>
          <w:rFonts w:ascii="Arial" w:hAnsi="Arial" w:cs="Arial"/>
          <w:sz w:val="20"/>
          <w:szCs w:val="20"/>
        </w:rPr>
        <w:t>no corresponda incluir las erogaciones efectuadas como un componente del</w:t>
      </w:r>
      <w:r w:rsidR="0031738D" w:rsidRPr="00AC4AEA">
        <w:rPr>
          <w:rFonts w:ascii="Arial" w:hAnsi="Arial" w:cs="Arial"/>
          <w:sz w:val="20"/>
          <w:szCs w:val="20"/>
        </w:rPr>
        <w:t xml:space="preserve"> </w:t>
      </w:r>
      <w:r w:rsidRPr="00AC4AEA">
        <w:rPr>
          <w:rFonts w:ascii="Arial" w:hAnsi="Arial" w:cs="Arial"/>
          <w:sz w:val="20"/>
          <w:szCs w:val="20"/>
        </w:rPr>
        <w:t>costo de los bienes de uso</w:t>
      </w:r>
      <w:r w:rsidR="0031738D" w:rsidRPr="00AC4AEA">
        <w:rPr>
          <w:rFonts w:ascii="Arial" w:hAnsi="Arial" w:cs="Arial"/>
          <w:sz w:val="20"/>
          <w:szCs w:val="20"/>
        </w:rPr>
        <w:t>.</w:t>
      </w:r>
      <w:r w:rsidRPr="00AC4AEA">
        <w:rPr>
          <w:rFonts w:ascii="Arial" w:hAnsi="Arial" w:cs="Arial"/>
          <w:sz w:val="20"/>
          <w:szCs w:val="20"/>
        </w:rPr>
        <w:t xml:space="preserve"> </w:t>
      </w:r>
    </w:p>
    <w:p w:rsidR="00DB616B" w:rsidRPr="00AC4AEA" w:rsidRDefault="00DB616B" w:rsidP="00A318EA">
      <w:pPr>
        <w:ind w:left="284"/>
        <w:jc w:val="both"/>
        <w:rPr>
          <w:rFonts w:ascii="Arial" w:hAnsi="Arial" w:cs="Arial"/>
          <w:b/>
          <w:bCs/>
          <w:sz w:val="20"/>
          <w:szCs w:val="20"/>
        </w:rPr>
      </w:pPr>
    </w:p>
    <w:p w:rsidR="00927D7B" w:rsidRPr="00AC4AEA" w:rsidRDefault="00927D7B" w:rsidP="00A318EA">
      <w:pPr>
        <w:pStyle w:val="Ttulo2"/>
        <w:rPr>
          <w:rFonts w:cs="Arial"/>
        </w:rPr>
      </w:pPr>
      <w:bookmarkStart w:id="558" w:name="_Toc101863889"/>
      <w:bookmarkStart w:id="559" w:name="_Toc139356753"/>
      <w:r w:rsidRPr="00AC4AEA">
        <w:rPr>
          <w:rFonts w:cs="Arial"/>
        </w:rPr>
        <w:t>Medición inicial</w:t>
      </w:r>
      <w:bookmarkEnd w:id="558"/>
      <w:bookmarkEnd w:id="559"/>
    </w:p>
    <w:p w:rsidR="006368CB" w:rsidRPr="00AC4AEA" w:rsidRDefault="00B363C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inicialmente los </w:t>
      </w:r>
      <w:r w:rsidR="00497590" w:rsidRPr="00AC4AEA">
        <w:rPr>
          <w:rFonts w:ascii="Arial" w:hAnsi="Arial" w:cs="Arial"/>
          <w:sz w:val="20"/>
          <w:szCs w:val="20"/>
        </w:rPr>
        <w:t>activos</w:t>
      </w:r>
      <w:r w:rsidRPr="00AC4AEA">
        <w:rPr>
          <w:rFonts w:ascii="Arial" w:hAnsi="Arial" w:cs="Arial"/>
          <w:sz w:val="20"/>
          <w:szCs w:val="20"/>
        </w:rPr>
        <w:t xml:space="preserve"> intangibles</w:t>
      </w:r>
      <w:r w:rsidR="007215C2" w:rsidRPr="00AC4AEA">
        <w:rPr>
          <w:rFonts w:ascii="Arial" w:hAnsi="Arial" w:cs="Arial"/>
          <w:sz w:val="20"/>
          <w:szCs w:val="20"/>
        </w:rPr>
        <w:t>:</w:t>
      </w:r>
    </w:p>
    <w:p w:rsidR="00CD62F6" w:rsidRPr="00AC4AEA" w:rsidRDefault="007D359D" w:rsidP="00A318EA">
      <w:pPr>
        <w:pStyle w:val="Prrafodelista"/>
        <w:numPr>
          <w:ilvl w:val="0"/>
          <w:numId w:val="108"/>
        </w:numPr>
        <w:ind w:left="1560"/>
        <w:contextualSpacing w:val="0"/>
        <w:jc w:val="both"/>
        <w:rPr>
          <w:rFonts w:ascii="Arial" w:hAnsi="Arial" w:cs="Arial"/>
          <w:sz w:val="20"/>
          <w:szCs w:val="20"/>
        </w:rPr>
      </w:pPr>
      <w:r w:rsidRPr="00AC4AEA">
        <w:rPr>
          <w:rFonts w:ascii="Arial" w:hAnsi="Arial" w:cs="Arial"/>
          <w:sz w:val="20"/>
          <w:szCs w:val="20"/>
        </w:rPr>
        <w:t xml:space="preserve">Si se trata de </w:t>
      </w:r>
      <w:r w:rsidR="00497590" w:rsidRPr="00AC4AEA">
        <w:rPr>
          <w:rFonts w:ascii="Arial" w:hAnsi="Arial" w:cs="Arial"/>
          <w:sz w:val="20"/>
          <w:szCs w:val="20"/>
        </w:rPr>
        <w:t>activos</w:t>
      </w:r>
      <w:r w:rsidRPr="00AC4AEA">
        <w:rPr>
          <w:rFonts w:ascii="Arial" w:hAnsi="Arial" w:cs="Arial"/>
          <w:sz w:val="20"/>
          <w:szCs w:val="20"/>
        </w:rPr>
        <w:t xml:space="preserve"> </w:t>
      </w:r>
      <w:r w:rsidR="00EC6E08" w:rsidRPr="00AC4AEA">
        <w:rPr>
          <w:rFonts w:ascii="Arial" w:hAnsi="Arial" w:cs="Arial"/>
          <w:sz w:val="20"/>
          <w:szCs w:val="20"/>
        </w:rPr>
        <w:t xml:space="preserve">intangibles </w:t>
      </w:r>
      <w:r w:rsidR="006368CB" w:rsidRPr="00AC4AEA">
        <w:rPr>
          <w:rFonts w:ascii="Arial" w:hAnsi="Arial" w:cs="Arial"/>
          <w:sz w:val="20"/>
          <w:szCs w:val="20"/>
        </w:rPr>
        <w:t>adquiridos</w:t>
      </w:r>
      <w:r w:rsidRPr="00AC4AEA">
        <w:rPr>
          <w:rFonts w:ascii="Arial" w:hAnsi="Arial" w:cs="Arial"/>
          <w:sz w:val="20"/>
          <w:szCs w:val="20"/>
        </w:rPr>
        <w:t xml:space="preserve">, </w:t>
      </w:r>
      <w:r w:rsidR="006368CB" w:rsidRPr="00AC4AEA">
        <w:rPr>
          <w:rFonts w:ascii="Arial" w:hAnsi="Arial" w:cs="Arial"/>
          <w:sz w:val="20"/>
          <w:szCs w:val="20"/>
        </w:rPr>
        <w:t xml:space="preserve">sobre la base de su </w:t>
      </w:r>
      <w:r w:rsidR="006368CB" w:rsidRPr="00AC4AEA">
        <w:rPr>
          <w:rFonts w:ascii="Arial" w:hAnsi="Arial" w:cs="Arial"/>
          <w:b/>
          <w:bCs/>
          <w:sz w:val="20"/>
          <w:szCs w:val="20"/>
        </w:rPr>
        <w:t>costo de adquisición</w:t>
      </w:r>
      <w:r w:rsidR="006368CB" w:rsidRPr="00AC4AEA">
        <w:rPr>
          <w:rFonts w:ascii="Arial" w:hAnsi="Arial" w:cs="Arial"/>
          <w:sz w:val="20"/>
          <w:szCs w:val="20"/>
        </w:rPr>
        <w:t>, determinado según lo establecido en “</w:t>
      </w:r>
      <w:r w:rsidR="006368CB" w:rsidRPr="00AC4AEA">
        <w:rPr>
          <w:rFonts w:ascii="Arial" w:hAnsi="Arial" w:cs="Arial"/>
          <w:sz w:val="20"/>
          <w:szCs w:val="20"/>
          <w:u w:val="single"/>
        </w:rPr>
        <w:t>Medición de costos de adquisición</w:t>
      </w:r>
      <w:r w:rsidR="003606FE" w:rsidRPr="00AC4AEA">
        <w:rPr>
          <w:rFonts w:ascii="Arial" w:hAnsi="Arial" w:cs="Arial"/>
          <w:sz w:val="20"/>
          <w:szCs w:val="20"/>
        </w:rPr>
        <w:t>” [</w:t>
      </w:r>
      <w:r w:rsidR="006C0F33" w:rsidRPr="00AC4AEA">
        <w:rPr>
          <w:rFonts w:ascii="Arial" w:hAnsi="Arial" w:cs="Arial"/>
          <w:sz w:val="20"/>
          <w:szCs w:val="20"/>
        </w:rPr>
        <w:t xml:space="preserve">ver </w:t>
      </w:r>
      <w:r w:rsidR="006C0F33">
        <w:rPr>
          <w:rFonts w:ascii="Arial" w:hAnsi="Arial" w:cs="Arial"/>
          <w:sz w:val="20"/>
          <w:szCs w:val="20"/>
        </w:rPr>
        <w:t xml:space="preserve">el párrafo </w:t>
      </w:r>
      <w:fldSimple w:instr=" REF _Ref99478351 \r \h  \* MERGEFORMAT ">
        <w:r w:rsidR="00D33A5D" w:rsidRPr="00D33A5D">
          <w:rPr>
            <w:rFonts w:ascii="Arial" w:hAnsi="Arial" w:cs="Arial"/>
            <w:sz w:val="20"/>
            <w:szCs w:val="20"/>
          </w:rPr>
          <w:t>103</w:t>
        </w:r>
      </w:fldSimple>
      <w:r w:rsidR="003606FE" w:rsidRPr="00AC4AEA">
        <w:rPr>
          <w:rFonts w:ascii="Arial" w:hAnsi="Arial" w:cs="Arial"/>
          <w:sz w:val="20"/>
          <w:szCs w:val="20"/>
        </w:rPr>
        <w:t>]</w:t>
      </w:r>
      <w:r w:rsidR="003606FE" w:rsidRPr="00AC4AEA">
        <w:rPr>
          <w:rFonts w:ascii="Arial" w:hAnsi="Arial" w:cs="Arial"/>
          <w:bCs/>
          <w:sz w:val="20"/>
          <w:szCs w:val="20"/>
        </w:rPr>
        <w:t>.</w:t>
      </w:r>
    </w:p>
    <w:p w:rsidR="006368CB" w:rsidRPr="00AC4AEA" w:rsidRDefault="007D359D" w:rsidP="00A318EA">
      <w:pPr>
        <w:pStyle w:val="Prrafodelista"/>
        <w:numPr>
          <w:ilvl w:val="0"/>
          <w:numId w:val="108"/>
        </w:numPr>
        <w:ind w:left="1560"/>
        <w:contextualSpacing w:val="0"/>
        <w:jc w:val="both"/>
        <w:rPr>
          <w:rFonts w:ascii="Arial" w:hAnsi="Arial" w:cs="Arial"/>
          <w:sz w:val="20"/>
          <w:szCs w:val="20"/>
        </w:rPr>
      </w:pPr>
      <w:r w:rsidRPr="00AC4AEA">
        <w:rPr>
          <w:rFonts w:ascii="Arial" w:hAnsi="Arial" w:cs="Arial"/>
          <w:sz w:val="20"/>
          <w:szCs w:val="20"/>
        </w:rPr>
        <w:t xml:space="preserve">Si se trata de </w:t>
      </w:r>
      <w:r w:rsidR="00497590" w:rsidRPr="00AC4AEA">
        <w:rPr>
          <w:rFonts w:ascii="Arial" w:hAnsi="Arial" w:cs="Arial"/>
          <w:sz w:val="20"/>
          <w:szCs w:val="20"/>
        </w:rPr>
        <w:t>activos</w:t>
      </w:r>
      <w:r w:rsidRPr="00AC4AEA">
        <w:rPr>
          <w:rFonts w:ascii="Arial" w:hAnsi="Arial" w:cs="Arial"/>
          <w:sz w:val="20"/>
          <w:szCs w:val="20"/>
        </w:rPr>
        <w:t xml:space="preserve"> </w:t>
      </w:r>
      <w:r w:rsidR="00EC6E08" w:rsidRPr="00AC4AEA">
        <w:rPr>
          <w:rFonts w:ascii="Arial" w:hAnsi="Arial" w:cs="Arial"/>
          <w:sz w:val="20"/>
          <w:szCs w:val="20"/>
        </w:rPr>
        <w:t xml:space="preserve">intangibles </w:t>
      </w:r>
      <w:r w:rsidR="006368CB" w:rsidRPr="00AC4AEA">
        <w:rPr>
          <w:rFonts w:ascii="Arial" w:hAnsi="Arial" w:cs="Arial"/>
          <w:sz w:val="20"/>
          <w:szCs w:val="20"/>
        </w:rPr>
        <w:t>desarrollados</w:t>
      </w:r>
      <w:r w:rsidRPr="00AC4AEA">
        <w:rPr>
          <w:rFonts w:ascii="Arial" w:hAnsi="Arial" w:cs="Arial"/>
          <w:sz w:val="20"/>
          <w:szCs w:val="20"/>
        </w:rPr>
        <w:t xml:space="preserve">, </w:t>
      </w:r>
      <w:r w:rsidR="006368CB" w:rsidRPr="00AC4AEA">
        <w:rPr>
          <w:rFonts w:ascii="Arial" w:hAnsi="Arial" w:cs="Arial"/>
          <w:sz w:val="20"/>
          <w:szCs w:val="20"/>
        </w:rPr>
        <w:t xml:space="preserve">en función del </w:t>
      </w:r>
      <w:r w:rsidR="006368CB" w:rsidRPr="00AC4AEA">
        <w:rPr>
          <w:rFonts w:ascii="Arial" w:hAnsi="Arial" w:cs="Arial"/>
          <w:b/>
          <w:bCs/>
          <w:sz w:val="20"/>
          <w:szCs w:val="20"/>
        </w:rPr>
        <w:t xml:space="preserve">costo de desarrollo, </w:t>
      </w:r>
      <w:r w:rsidR="006368CB" w:rsidRPr="00AC4AEA">
        <w:rPr>
          <w:rFonts w:ascii="Arial" w:hAnsi="Arial" w:cs="Arial"/>
          <w:sz w:val="20"/>
          <w:szCs w:val="20"/>
        </w:rPr>
        <w:t>determinado según lo establecido en “</w:t>
      </w:r>
      <w:r w:rsidR="006368CB" w:rsidRPr="00AC4AEA">
        <w:rPr>
          <w:rFonts w:ascii="Arial" w:hAnsi="Arial" w:cs="Arial"/>
          <w:sz w:val="20"/>
          <w:szCs w:val="20"/>
          <w:u w:val="single"/>
        </w:rPr>
        <w:t>Medición de</w:t>
      </w:r>
      <w:r w:rsidR="009D19FF">
        <w:rPr>
          <w:rFonts w:ascii="Arial" w:hAnsi="Arial" w:cs="Arial"/>
          <w:sz w:val="20"/>
          <w:szCs w:val="20"/>
          <w:u w:val="single"/>
        </w:rPr>
        <w:t>l</w:t>
      </w:r>
      <w:r w:rsidR="006368CB" w:rsidRPr="00AC4AEA">
        <w:rPr>
          <w:rFonts w:ascii="Arial" w:hAnsi="Arial" w:cs="Arial"/>
          <w:sz w:val="20"/>
          <w:szCs w:val="20"/>
          <w:u w:val="single"/>
        </w:rPr>
        <w:t xml:space="preserve"> costo de desarrollo</w:t>
      </w:r>
      <w:r w:rsidR="006368CB" w:rsidRPr="00AC4AEA">
        <w:rPr>
          <w:rFonts w:ascii="Arial" w:hAnsi="Arial" w:cs="Arial"/>
          <w:sz w:val="20"/>
          <w:szCs w:val="20"/>
        </w:rPr>
        <w:t>”</w:t>
      </w:r>
      <w:r w:rsidR="003606FE" w:rsidRPr="00AC4AEA">
        <w:rPr>
          <w:rFonts w:ascii="Arial" w:hAnsi="Arial" w:cs="Arial"/>
          <w:sz w:val="20"/>
          <w:szCs w:val="20"/>
        </w:rPr>
        <w:t xml:space="preserve"> </w:t>
      </w:r>
      <w:r w:rsidR="00312E43" w:rsidRPr="00AC4AEA">
        <w:rPr>
          <w:rFonts w:ascii="Arial" w:hAnsi="Arial" w:cs="Arial"/>
          <w:sz w:val="20"/>
          <w:szCs w:val="20"/>
        </w:rPr>
        <w:t>[</w:t>
      </w:r>
      <w:r w:rsidR="003606FE" w:rsidRPr="00AC4AEA">
        <w:rPr>
          <w:rFonts w:ascii="Arial" w:hAnsi="Arial" w:cs="Arial"/>
          <w:sz w:val="20"/>
          <w:szCs w:val="20"/>
        </w:rPr>
        <w:t xml:space="preserve">ver </w:t>
      </w:r>
      <w:r w:rsidR="00312E43" w:rsidRPr="00AC4AEA">
        <w:rPr>
          <w:rFonts w:ascii="Arial" w:hAnsi="Arial" w:cs="Arial"/>
          <w:sz w:val="20"/>
          <w:szCs w:val="20"/>
        </w:rPr>
        <w:t>el</w:t>
      </w:r>
      <w:r w:rsidR="003606FE" w:rsidRPr="00AC4AEA">
        <w:rPr>
          <w:rFonts w:ascii="Arial" w:hAnsi="Arial" w:cs="Arial"/>
          <w:sz w:val="20"/>
          <w:szCs w:val="20"/>
        </w:rPr>
        <w:t xml:space="preserve"> párrafo </w:t>
      </w:r>
      <w:fldSimple w:instr=" REF _Ref99482478 \r \h  \* MERGEFORMAT ">
        <w:r w:rsidR="00D33A5D" w:rsidRPr="00D33A5D">
          <w:rPr>
            <w:rFonts w:ascii="Arial" w:hAnsi="Arial" w:cs="Arial"/>
            <w:sz w:val="20"/>
            <w:szCs w:val="20"/>
          </w:rPr>
          <w:t>111</w:t>
        </w:r>
      </w:fldSimple>
      <w:r w:rsidR="00312E43" w:rsidRPr="00AC4AEA">
        <w:rPr>
          <w:rFonts w:ascii="Arial" w:hAnsi="Arial" w:cs="Arial"/>
          <w:sz w:val="20"/>
          <w:szCs w:val="20"/>
        </w:rPr>
        <w:t>].</w:t>
      </w:r>
    </w:p>
    <w:p w:rsidR="00EC6E08" w:rsidRPr="00AC4AEA" w:rsidRDefault="006A301B" w:rsidP="00A318EA">
      <w:pPr>
        <w:pStyle w:val="A-Normal11"/>
        <w:numPr>
          <w:ilvl w:val="0"/>
          <w:numId w:val="108"/>
        </w:numPr>
        <w:ind w:left="1560"/>
        <w:jc w:val="both"/>
        <w:rPr>
          <w:rFonts w:ascii="Arial" w:hAnsi="Arial" w:cs="Arial"/>
          <w:sz w:val="20"/>
        </w:rPr>
      </w:pPr>
      <w:r w:rsidRPr="00AC4AEA">
        <w:rPr>
          <w:rFonts w:ascii="Arial" w:hAnsi="Arial" w:cs="Arial"/>
          <w:sz w:val="20"/>
        </w:rPr>
        <w:t xml:space="preserve">Si se trata de </w:t>
      </w:r>
      <w:r w:rsidR="00497590" w:rsidRPr="00AC4AEA">
        <w:rPr>
          <w:rFonts w:ascii="Arial" w:hAnsi="Arial" w:cs="Arial"/>
          <w:sz w:val="20"/>
        </w:rPr>
        <w:t>activos</w:t>
      </w:r>
      <w:r w:rsidRPr="00AC4AEA">
        <w:rPr>
          <w:rFonts w:ascii="Arial" w:hAnsi="Arial" w:cs="Arial"/>
          <w:sz w:val="20"/>
        </w:rPr>
        <w:t xml:space="preserve"> intangibles</w:t>
      </w:r>
      <w:r w:rsidR="00EC6E08" w:rsidRPr="00AC4AEA">
        <w:rPr>
          <w:rFonts w:ascii="Arial" w:hAnsi="Arial" w:cs="Arial"/>
          <w:sz w:val="20"/>
        </w:rPr>
        <w:t xml:space="preserve"> recibid</w:t>
      </w:r>
      <w:r w:rsidRPr="00AC4AEA">
        <w:rPr>
          <w:rFonts w:ascii="Arial" w:hAnsi="Arial" w:cs="Arial"/>
          <w:sz w:val="20"/>
        </w:rPr>
        <w:t>o</w:t>
      </w:r>
      <w:r w:rsidR="00EC6E08" w:rsidRPr="00AC4AEA">
        <w:rPr>
          <w:rFonts w:ascii="Arial" w:hAnsi="Arial" w:cs="Arial"/>
          <w:sz w:val="20"/>
        </w:rPr>
        <w:t xml:space="preserve">s mediante aportes o donaciones: de acuerdo con lo establecido en el </w:t>
      </w:r>
      <w:r w:rsidR="0022612C" w:rsidRPr="00AC4AEA">
        <w:rPr>
          <w:rFonts w:ascii="Arial" w:hAnsi="Arial" w:cs="Arial"/>
          <w:sz w:val="20"/>
        </w:rPr>
        <w:t xml:space="preserve">inciso c) del </w:t>
      </w:r>
      <w:r w:rsidR="00EC6E08" w:rsidRPr="00AC4AEA">
        <w:rPr>
          <w:rFonts w:ascii="Arial" w:hAnsi="Arial" w:cs="Arial"/>
          <w:sz w:val="20"/>
        </w:rPr>
        <w:t xml:space="preserve">párrafo </w:t>
      </w:r>
      <w:fldSimple w:instr=" REF _Ref81056357 \r \h  \* MERGEFORMAT ">
        <w:r w:rsidR="00D33A5D" w:rsidRPr="00D33A5D">
          <w:rPr>
            <w:rFonts w:ascii="Arial" w:hAnsi="Arial" w:cs="Arial"/>
            <w:sz w:val="20"/>
          </w:rPr>
          <w:t>204</w:t>
        </w:r>
      </w:fldSimple>
      <w:r w:rsidR="00EC6E08" w:rsidRPr="00AC4AEA">
        <w:rPr>
          <w:rFonts w:ascii="Arial" w:hAnsi="Arial" w:cs="Arial"/>
          <w:sz w:val="20"/>
        </w:rPr>
        <w:t>.</w:t>
      </w:r>
    </w:p>
    <w:p w:rsidR="00EC6E08" w:rsidRPr="00AC4AEA" w:rsidRDefault="006A301B" w:rsidP="00A318EA">
      <w:pPr>
        <w:pStyle w:val="A-Normal11"/>
        <w:numPr>
          <w:ilvl w:val="0"/>
          <w:numId w:val="108"/>
        </w:numPr>
        <w:ind w:left="1560"/>
        <w:jc w:val="both"/>
        <w:rPr>
          <w:rFonts w:ascii="Arial" w:hAnsi="Arial" w:cs="Arial"/>
          <w:sz w:val="20"/>
        </w:rPr>
      </w:pPr>
      <w:r w:rsidRPr="00AC4AEA">
        <w:rPr>
          <w:rFonts w:ascii="Arial" w:hAnsi="Arial" w:cs="Arial"/>
          <w:sz w:val="20"/>
        </w:rPr>
        <w:t xml:space="preserve">Si se trata de </w:t>
      </w:r>
      <w:r w:rsidR="00497590" w:rsidRPr="00AC4AEA">
        <w:rPr>
          <w:rFonts w:ascii="Arial" w:hAnsi="Arial" w:cs="Arial"/>
          <w:sz w:val="20"/>
        </w:rPr>
        <w:t>activos</w:t>
      </w:r>
      <w:r w:rsidRPr="00AC4AEA">
        <w:rPr>
          <w:rFonts w:ascii="Arial" w:hAnsi="Arial" w:cs="Arial"/>
          <w:sz w:val="20"/>
        </w:rPr>
        <w:t xml:space="preserve"> intangibles</w:t>
      </w:r>
      <w:r w:rsidR="00EC6E08" w:rsidRPr="00AC4AEA">
        <w:rPr>
          <w:rFonts w:ascii="Arial" w:hAnsi="Arial" w:cs="Arial"/>
          <w:sz w:val="20"/>
        </w:rPr>
        <w:t xml:space="preserve"> recibid</w:t>
      </w:r>
      <w:r w:rsidRPr="00AC4AEA">
        <w:rPr>
          <w:rFonts w:ascii="Arial" w:hAnsi="Arial" w:cs="Arial"/>
          <w:sz w:val="20"/>
        </w:rPr>
        <w:t>o</w:t>
      </w:r>
      <w:r w:rsidR="00EC6E08" w:rsidRPr="00AC4AEA">
        <w:rPr>
          <w:rFonts w:ascii="Arial" w:hAnsi="Arial" w:cs="Arial"/>
          <w:sz w:val="20"/>
        </w:rPr>
        <w:t xml:space="preserve">s mediante trueques o canjes: de acuerdo con lo establecido </w:t>
      </w:r>
      <w:r w:rsidR="00604A9A" w:rsidRPr="00AC4AEA">
        <w:rPr>
          <w:rFonts w:ascii="Arial" w:hAnsi="Arial" w:cs="Arial"/>
          <w:sz w:val="20"/>
        </w:rPr>
        <w:t>en el inciso d) d</w:t>
      </w:r>
      <w:r w:rsidR="00EC6E08" w:rsidRPr="00AC4AEA">
        <w:rPr>
          <w:rFonts w:ascii="Arial" w:hAnsi="Arial" w:cs="Arial"/>
          <w:sz w:val="20"/>
        </w:rPr>
        <w:t xml:space="preserve">el párrafo </w:t>
      </w:r>
      <w:fldSimple w:instr=" REF _Ref81056357 \r \h  \* MERGEFORMAT ">
        <w:r w:rsidR="00D33A5D" w:rsidRPr="00D33A5D">
          <w:rPr>
            <w:rFonts w:ascii="Arial" w:hAnsi="Arial" w:cs="Arial"/>
            <w:sz w:val="20"/>
          </w:rPr>
          <w:t>204</w:t>
        </w:r>
      </w:fldSimple>
      <w:r w:rsidR="00EC6E08" w:rsidRPr="00AC4AEA">
        <w:rPr>
          <w:rFonts w:ascii="Arial" w:hAnsi="Arial" w:cs="Arial"/>
          <w:sz w:val="20"/>
        </w:rPr>
        <w:t>.</w:t>
      </w:r>
    </w:p>
    <w:p w:rsidR="003B7A50" w:rsidRPr="00AC4AEA" w:rsidRDefault="003B7A5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Cuando los</w:t>
      </w:r>
      <w:r w:rsidR="00835565" w:rsidRPr="00AC4AEA">
        <w:rPr>
          <w:rFonts w:ascii="Arial" w:hAnsi="Arial" w:cs="Arial"/>
          <w:sz w:val="20"/>
          <w:szCs w:val="20"/>
        </w:rPr>
        <w:t xml:space="preserve"> </w:t>
      </w:r>
      <w:r w:rsidRPr="00AC4AEA">
        <w:rPr>
          <w:rFonts w:ascii="Arial" w:hAnsi="Arial" w:cs="Arial"/>
          <w:sz w:val="20"/>
          <w:szCs w:val="20"/>
        </w:rPr>
        <w:t>costos se relacionan con la aplicación de conocimientos a un plan o diseño para la producción de materiales, dispositivos, productos, procesos, sistemas o servicios nuevos o sustancialmente mejorados</w:t>
      </w:r>
      <w:r w:rsidR="00351245" w:rsidRPr="00AC4AEA">
        <w:rPr>
          <w:rFonts w:ascii="Arial" w:hAnsi="Arial" w:cs="Arial"/>
          <w:sz w:val="20"/>
          <w:szCs w:val="20"/>
        </w:rPr>
        <w:t xml:space="preserve"> (fase de desarrollo)</w:t>
      </w:r>
      <w:r w:rsidRPr="00AC4AEA">
        <w:rPr>
          <w:rFonts w:ascii="Arial" w:hAnsi="Arial" w:cs="Arial"/>
          <w:sz w:val="20"/>
          <w:szCs w:val="20"/>
        </w:rPr>
        <w:t>, una entidad deberá:</w:t>
      </w:r>
    </w:p>
    <w:p w:rsidR="00FB5BCA" w:rsidRPr="00AC4AEA" w:rsidRDefault="007E2A61" w:rsidP="00A318EA">
      <w:pPr>
        <w:pStyle w:val="Prrafodelista"/>
        <w:numPr>
          <w:ilvl w:val="0"/>
          <w:numId w:val="109"/>
        </w:numPr>
        <w:ind w:left="1560"/>
        <w:contextualSpacing w:val="0"/>
        <w:jc w:val="both"/>
        <w:rPr>
          <w:rFonts w:ascii="Arial" w:hAnsi="Arial" w:cs="Arial"/>
          <w:sz w:val="20"/>
          <w:szCs w:val="20"/>
        </w:rPr>
      </w:pPr>
      <w:r w:rsidRPr="00AC4AEA">
        <w:rPr>
          <w:rFonts w:ascii="Arial" w:hAnsi="Arial" w:cs="Arial"/>
          <w:sz w:val="20"/>
          <w:szCs w:val="20"/>
        </w:rPr>
        <w:lastRenderedPageBreak/>
        <w:t>p</w:t>
      </w:r>
      <w:r w:rsidR="003B7A50" w:rsidRPr="00AC4AEA">
        <w:rPr>
          <w:rFonts w:ascii="Arial" w:hAnsi="Arial" w:cs="Arial"/>
          <w:sz w:val="20"/>
          <w:szCs w:val="20"/>
        </w:rPr>
        <w:t>robar su intención, factibilidad y capacidad para completar el desarrollo del intangible</w:t>
      </w:r>
      <w:r w:rsidRPr="00AC4AEA">
        <w:rPr>
          <w:rFonts w:ascii="Arial" w:hAnsi="Arial" w:cs="Arial"/>
          <w:sz w:val="20"/>
          <w:szCs w:val="20"/>
        </w:rPr>
        <w:t>;</w:t>
      </w:r>
    </w:p>
    <w:p w:rsidR="00FB5BCA" w:rsidRPr="00AC4AEA" w:rsidRDefault="007E2A61" w:rsidP="00A318EA">
      <w:pPr>
        <w:pStyle w:val="Prrafodelista"/>
        <w:numPr>
          <w:ilvl w:val="0"/>
          <w:numId w:val="109"/>
        </w:numPr>
        <w:ind w:left="1560"/>
        <w:contextualSpacing w:val="0"/>
        <w:jc w:val="both"/>
        <w:rPr>
          <w:rFonts w:ascii="Arial" w:hAnsi="Arial" w:cs="Arial"/>
          <w:sz w:val="20"/>
          <w:szCs w:val="20"/>
        </w:rPr>
      </w:pPr>
      <w:r w:rsidRPr="00AC4AEA">
        <w:rPr>
          <w:rFonts w:ascii="Arial" w:hAnsi="Arial" w:cs="Arial"/>
          <w:sz w:val="20"/>
          <w:szCs w:val="20"/>
        </w:rPr>
        <w:t>d</w:t>
      </w:r>
      <w:r w:rsidR="003B7A50" w:rsidRPr="00AC4AEA">
        <w:rPr>
          <w:rFonts w:ascii="Arial" w:hAnsi="Arial" w:cs="Arial"/>
          <w:sz w:val="20"/>
          <w:szCs w:val="20"/>
        </w:rPr>
        <w:t>emostrar</w:t>
      </w:r>
      <w:r w:rsidR="00FB5BCA" w:rsidRPr="00AC4AEA">
        <w:rPr>
          <w:rFonts w:ascii="Arial" w:hAnsi="Arial" w:cs="Arial"/>
          <w:sz w:val="20"/>
          <w:szCs w:val="20"/>
        </w:rPr>
        <w:t>:</w:t>
      </w:r>
      <w:r w:rsidR="003B7A50" w:rsidRPr="00AC4AEA">
        <w:rPr>
          <w:rFonts w:ascii="Arial" w:hAnsi="Arial" w:cs="Arial"/>
          <w:sz w:val="20"/>
          <w:szCs w:val="20"/>
        </w:rPr>
        <w:t xml:space="preserve"> </w:t>
      </w:r>
    </w:p>
    <w:p w:rsidR="003B7A50" w:rsidRPr="00AC4AEA" w:rsidRDefault="003B7A50" w:rsidP="00A318EA">
      <w:pPr>
        <w:pStyle w:val="Prrafodelista"/>
        <w:numPr>
          <w:ilvl w:val="0"/>
          <w:numId w:val="361"/>
        </w:numPr>
        <w:contextualSpacing w:val="0"/>
        <w:jc w:val="both"/>
        <w:rPr>
          <w:rFonts w:ascii="Arial" w:hAnsi="Arial" w:cs="Arial"/>
          <w:sz w:val="20"/>
          <w:szCs w:val="20"/>
        </w:rPr>
      </w:pPr>
      <w:r w:rsidRPr="00AC4AEA">
        <w:rPr>
          <w:rFonts w:ascii="Arial" w:hAnsi="Arial" w:cs="Arial"/>
          <w:sz w:val="20"/>
          <w:szCs w:val="20"/>
        </w:rPr>
        <w:t xml:space="preserve">la capacidad del </w:t>
      </w:r>
      <w:r w:rsidRPr="00AC4AEA">
        <w:rPr>
          <w:rFonts w:ascii="Arial" w:hAnsi="Arial" w:cs="Arial"/>
          <w:b/>
          <w:bCs/>
          <w:sz w:val="20"/>
          <w:szCs w:val="20"/>
        </w:rPr>
        <w:t>activo</w:t>
      </w:r>
      <w:r w:rsidRPr="00AC4AEA">
        <w:rPr>
          <w:rFonts w:ascii="Arial" w:hAnsi="Arial" w:cs="Arial"/>
          <w:sz w:val="20"/>
          <w:szCs w:val="20"/>
        </w:rPr>
        <w:t xml:space="preserve"> para generar beneficios económicos futuros</w:t>
      </w:r>
      <w:r w:rsidR="00FB5BCA" w:rsidRPr="00AC4AEA">
        <w:rPr>
          <w:rFonts w:ascii="Arial" w:hAnsi="Arial" w:cs="Arial"/>
          <w:sz w:val="20"/>
          <w:szCs w:val="20"/>
        </w:rPr>
        <w:t>; y</w:t>
      </w:r>
    </w:p>
    <w:p w:rsidR="00FB5BCA" w:rsidRPr="00AC4AEA" w:rsidRDefault="00FB5BCA" w:rsidP="00A318EA">
      <w:pPr>
        <w:pStyle w:val="Prrafodelista"/>
        <w:numPr>
          <w:ilvl w:val="0"/>
          <w:numId w:val="361"/>
        </w:numPr>
        <w:contextualSpacing w:val="0"/>
        <w:jc w:val="both"/>
        <w:rPr>
          <w:rFonts w:ascii="Arial" w:hAnsi="Arial" w:cs="Arial"/>
          <w:sz w:val="20"/>
          <w:szCs w:val="20"/>
        </w:rPr>
      </w:pPr>
      <w:r w:rsidRPr="00AC4AEA">
        <w:rPr>
          <w:rFonts w:ascii="Arial" w:hAnsi="Arial" w:cs="Arial"/>
          <w:sz w:val="20"/>
          <w:szCs w:val="20"/>
        </w:rPr>
        <w:t xml:space="preserve">su capacidad para medir de forma fiable </w:t>
      </w:r>
      <w:r w:rsidR="00351245" w:rsidRPr="00AC4AEA">
        <w:rPr>
          <w:rFonts w:ascii="Arial" w:hAnsi="Arial" w:cs="Arial"/>
          <w:sz w:val="20"/>
          <w:szCs w:val="20"/>
        </w:rPr>
        <w:t xml:space="preserve">el desembolso atribuible al </w:t>
      </w:r>
      <w:r w:rsidR="00351245" w:rsidRPr="00AC4AEA">
        <w:rPr>
          <w:rFonts w:ascii="Arial" w:hAnsi="Arial" w:cs="Arial"/>
          <w:b/>
          <w:bCs/>
          <w:sz w:val="20"/>
          <w:szCs w:val="20"/>
        </w:rPr>
        <w:t>activo</w:t>
      </w:r>
      <w:r w:rsidR="00351245" w:rsidRPr="00AC4AEA">
        <w:rPr>
          <w:rFonts w:ascii="Arial" w:hAnsi="Arial" w:cs="Arial"/>
          <w:sz w:val="20"/>
          <w:szCs w:val="20"/>
        </w:rPr>
        <w:t xml:space="preserve"> durante su desarrollo.</w:t>
      </w:r>
    </w:p>
    <w:p w:rsidR="00A7129F" w:rsidRPr="00AC4AEA" w:rsidRDefault="00A7129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p>
    <w:p w:rsidR="003B7A50" w:rsidRPr="00AC4AEA" w:rsidRDefault="007E2A61" w:rsidP="00A318EA">
      <w:pPr>
        <w:pStyle w:val="Prrafodelista"/>
        <w:numPr>
          <w:ilvl w:val="0"/>
          <w:numId w:val="110"/>
        </w:numPr>
        <w:ind w:left="1560"/>
        <w:contextualSpacing w:val="0"/>
        <w:jc w:val="both"/>
        <w:rPr>
          <w:rFonts w:ascii="Arial" w:hAnsi="Arial" w:cs="Arial"/>
          <w:sz w:val="20"/>
          <w:szCs w:val="20"/>
        </w:rPr>
      </w:pPr>
      <w:r w:rsidRPr="00AC4AEA">
        <w:rPr>
          <w:rFonts w:ascii="Arial" w:hAnsi="Arial" w:cs="Arial"/>
          <w:sz w:val="20"/>
          <w:szCs w:val="20"/>
        </w:rPr>
        <w:t>c</w:t>
      </w:r>
      <w:r w:rsidR="00A7129F" w:rsidRPr="00AC4AEA">
        <w:rPr>
          <w:rFonts w:ascii="Arial" w:hAnsi="Arial" w:cs="Arial"/>
          <w:sz w:val="20"/>
          <w:szCs w:val="20"/>
        </w:rPr>
        <w:t>ontabilizará como un</w:t>
      </w:r>
      <w:r w:rsidR="00A7129F" w:rsidRPr="00AC4AEA">
        <w:rPr>
          <w:rFonts w:ascii="Arial" w:hAnsi="Arial" w:cs="Arial"/>
          <w:b/>
          <w:bCs/>
          <w:sz w:val="20"/>
          <w:szCs w:val="20"/>
        </w:rPr>
        <w:t xml:space="preserve"> gasto </w:t>
      </w:r>
      <w:r w:rsidR="00A7129F" w:rsidRPr="00AC4AEA">
        <w:rPr>
          <w:rFonts w:ascii="Arial" w:hAnsi="Arial" w:cs="Arial"/>
          <w:sz w:val="20"/>
          <w:szCs w:val="20"/>
        </w:rPr>
        <w:t>aquellas</w:t>
      </w:r>
      <w:r w:rsidR="003B7A50" w:rsidRPr="00AC4AEA">
        <w:rPr>
          <w:rFonts w:ascii="Arial" w:hAnsi="Arial" w:cs="Arial"/>
          <w:sz w:val="20"/>
          <w:szCs w:val="20"/>
        </w:rPr>
        <w:t xml:space="preserve"> erogaciones que no cumpl</w:t>
      </w:r>
      <w:r w:rsidR="0036472C" w:rsidRPr="00AC4AEA">
        <w:rPr>
          <w:rFonts w:ascii="Arial" w:hAnsi="Arial" w:cs="Arial"/>
          <w:sz w:val="20"/>
          <w:szCs w:val="20"/>
        </w:rPr>
        <w:t>a</w:t>
      </w:r>
      <w:r w:rsidR="003B7A50" w:rsidRPr="00AC4AEA">
        <w:rPr>
          <w:rFonts w:ascii="Arial" w:hAnsi="Arial" w:cs="Arial"/>
          <w:sz w:val="20"/>
          <w:szCs w:val="20"/>
        </w:rPr>
        <w:t xml:space="preserve">n las condiciones para </w:t>
      </w:r>
      <w:r w:rsidR="00A7129F" w:rsidRPr="00AC4AEA">
        <w:rPr>
          <w:rFonts w:ascii="Arial" w:hAnsi="Arial" w:cs="Arial"/>
          <w:sz w:val="20"/>
          <w:szCs w:val="20"/>
        </w:rPr>
        <w:t xml:space="preserve">computarse como costo de un </w:t>
      </w:r>
      <w:r w:rsidR="00A7129F" w:rsidRPr="00AC4AEA">
        <w:rPr>
          <w:rFonts w:ascii="Arial" w:hAnsi="Arial" w:cs="Arial"/>
          <w:b/>
          <w:bCs/>
          <w:sz w:val="20"/>
          <w:szCs w:val="20"/>
        </w:rPr>
        <w:t>activo</w:t>
      </w:r>
      <w:r w:rsidRPr="00AC4AEA">
        <w:rPr>
          <w:rFonts w:ascii="Arial" w:hAnsi="Arial" w:cs="Arial"/>
          <w:b/>
          <w:bCs/>
          <w:sz w:val="20"/>
          <w:szCs w:val="20"/>
        </w:rPr>
        <w:t>;</w:t>
      </w:r>
      <w:r w:rsidR="00A7129F" w:rsidRPr="00AC4AEA">
        <w:rPr>
          <w:rFonts w:ascii="Arial" w:hAnsi="Arial" w:cs="Arial"/>
          <w:sz w:val="20"/>
          <w:szCs w:val="20"/>
        </w:rPr>
        <w:t xml:space="preserve"> y</w:t>
      </w:r>
    </w:p>
    <w:p w:rsidR="00A7129F" w:rsidRPr="00AC4AEA" w:rsidRDefault="007E2A61" w:rsidP="00A318EA">
      <w:pPr>
        <w:pStyle w:val="Prrafodelista"/>
        <w:numPr>
          <w:ilvl w:val="0"/>
          <w:numId w:val="110"/>
        </w:numPr>
        <w:ind w:left="1560"/>
        <w:contextualSpacing w:val="0"/>
        <w:jc w:val="both"/>
        <w:rPr>
          <w:rFonts w:ascii="Arial" w:hAnsi="Arial" w:cs="Arial"/>
          <w:sz w:val="20"/>
          <w:szCs w:val="20"/>
        </w:rPr>
      </w:pPr>
      <w:r w:rsidRPr="00AC4AEA">
        <w:rPr>
          <w:rFonts w:ascii="Arial" w:hAnsi="Arial" w:cs="Arial"/>
          <w:sz w:val="20"/>
          <w:szCs w:val="20"/>
        </w:rPr>
        <w:t>n</w:t>
      </w:r>
      <w:r w:rsidR="00A7129F" w:rsidRPr="00AC4AEA">
        <w:rPr>
          <w:rFonts w:ascii="Arial" w:hAnsi="Arial" w:cs="Arial"/>
          <w:sz w:val="20"/>
          <w:szCs w:val="20"/>
        </w:rPr>
        <w:t xml:space="preserve">o podrá activar posteriormente dicho </w:t>
      </w:r>
      <w:r w:rsidR="00312E43" w:rsidRPr="00AC4AEA">
        <w:rPr>
          <w:rFonts w:ascii="Arial" w:hAnsi="Arial" w:cs="Arial"/>
          <w:b/>
          <w:bCs/>
          <w:sz w:val="20"/>
          <w:szCs w:val="20"/>
        </w:rPr>
        <w:t>gasto</w:t>
      </w:r>
      <w:r w:rsidR="00312E43" w:rsidRPr="00AC4AEA">
        <w:rPr>
          <w:rFonts w:ascii="Arial" w:hAnsi="Arial" w:cs="Arial"/>
          <w:sz w:val="20"/>
          <w:szCs w:val="20"/>
        </w:rPr>
        <w:t>,</w:t>
      </w:r>
      <w:r w:rsidR="00082937" w:rsidRPr="00AC4AEA">
        <w:rPr>
          <w:rFonts w:ascii="Arial" w:hAnsi="Arial" w:cs="Arial"/>
          <w:sz w:val="20"/>
          <w:szCs w:val="20"/>
        </w:rPr>
        <w:t xml:space="preserve"> aunque cambien las circunstancias previamente imperantes</w:t>
      </w:r>
      <w:r w:rsidR="00A7129F" w:rsidRPr="00AC4AEA">
        <w:rPr>
          <w:rFonts w:ascii="Arial" w:hAnsi="Arial" w:cs="Arial"/>
          <w:sz w:val="20"/>
          <w:szCs w:val="20"/>
        </w:rPr>
        <w:t>.</w:t>
      </w:r>
    </w:p>
    <w:p w:rsidR="00351245" w:rsidRPr="00AC4AEA" w:rsidRDefault="00351245" w:rsidP="00A318EA">
      <w:pPr>
        <w:jc w:val="both"/>
        <w:rPr>
          <w:rFonts w:ascii="Arial" w:hAnsi="Arial" w:cs="Arial"/>
          <w:sz w:val="20"/>
          <w:szCs w:val="20"/>
        </w:rPr>
      </w:pPr>
    </w:p>
    <w:p w:rsidR="00351245" w:rsidRPr="00AC4AEA" w:rsidRDefault="00351245" w:rsidP="00A318EA">
      <w:pPr>
        <w:pStyle w:val="Ttulo2"/>
        <w:rPr>
          <w:rFonts w:cs="Arial"/>
        </w:rPr>
      </w:pPr>
      <w:bookmarkStart w:id="560" w:name="_Toc139356754"/>
      <w:r w:rsidRPr="00AC4AEA">
        <w:rPr>
          <w:rFonts w:cs="Arial"/>
        </w:rPr>
        <w:t>Tratamiento de los desembolsos subsiguientes</w:t>
      </w:r>
      <w:bookmarkEnd w:id="560"/>
    </w:p>
    <w:p w:rsidR="00351245" w:rsidRPr="00AC4AEA" w:rsidRDefault="00351245" w:rsidP="00A318EA">
      <w:pPr>
        <w:pStyle w:val="A-Normal11"/>
        <w:numPr>
          <w:ilvl w:val="0"/>
          <w:numId w:val="29"/>
        </w:numPr>
        <w:jc w:val="both"/>
        <w:rPr>
          <w:rFonts w:ascii="Arial" w:hAnsi="Arial" w:cs="Arial"/>
          <w:sz w:val="20"/>
        </w:rPr>
      </w:pPr>
      <w:r w:rsidRPr="00AC4AEA">
        <w:rPr>
          <w:rFonts w:ascii="Arial" w:hAnsi="Arial" w:cs="Arial"/>
          <w:sz w:val="20"/>
        </w:rPr>
        <w:t>Con posterioridad a su reconocimiento, una entidad sumará al costo de</w:t>
      </w:r>
      <w:r w:rsidR="00FD3947" w:rsidRPr="00AC4AEA">
        <w:rPr>
          <w:rFonts w:ascii="Arial" w:hAnsi="Arial" w:cs="Arial"/>
          <w:sz w:val="20"/>
        </w:rPr>
        <w:t xml:space="preserve"> un activo </w:t>
      </w:r>
      <w:r w:rsidR="000C2760" w:rsidRPr="00AC4AEA">
        <w:rPr>
          <w:rFonts w:ascii="Arial" w:hAnsi="Arial" w:cs="Arial"/>
          <w:sz w:val="20"/>
        </w:rPr>
        <w:t>intangible</w:t>
      </w:r>
      <w:r w:rsidRPr="00AC4AEA">
        <w:rPr>
          <w:rFonts w:ascii="Arial" w:hAnsi="Arial" w:cs="Arial"/>
          <w:sz w:val="20"/>
        </w:rPr>
        <w:t xml:space="preserve"> los desembolsos subsiguientes cuando:</w:t>
      </w:r>
    </w:p>
    <w:p w:rsidR="00351245" w:rsidRPr="00AC4AEA" w:rsidRDefault="00FD3947" w:rsidP="00A318EA">
      <w:pPr>
        <w:pStyle w:val="Prrafodelista"/>
        <w:numPr>
          <w:ilvl w:val="1"/>
          <w:numId w:val="362"/>
        </w:numPr>
        <w:ind w:left="1560"/>
        <w:contextualSpacing w:val="0"/>
        <w:jc w:val="both"/>
        <w:rPr>
          <w:rFonts w:ascii="Arial" w:hAnsi="Arial" w:cs="Arial"/>
          <w:sz w:val="20"/>
          <w:szCs w:val="20"/>
        </w:rPr>
      </w:pPr>
      <w:r w:rsidRPr="00AC4AEA">
        <w:rPr>
          <w:rFonts w:ascii="Arial" w:hAnsi="Arial" w:cs="Arial"/>
          <w:sz w:val="20"/>
          <w:szCs w:val="20"/>
        </w:rPr>
        <w:t>p</w:t>
      </w:r>
      <w:r w:rsidR="00351245" w:rsidRPr="00AC4AEA">
        <w:rPr>
          <w:rFonts w:ascii="Arial" w:hAnsi="Arial" w:cs="Arial"/>
          <w:sz w:val="20"/>
          <w:szCs w:val="20"/>
        </w:rPr>
        <w:t xml:space="preserve">ueda probarse que mejorarán el flujo de </w:t>
      </w:r>
      <w:r w:rsidRPr="00AC4AEA">
        <w:rPr>
          <w:rFonts w:ascii="Arial" w:hAnsi="Arial" w:cs="Arial"/>
          <w:sz w:val="20"/>
          <w:szCs w:val="20"/>
        </w:rPr>
        <w:t xml:space="preserve">los </w:t>
      </w:r>
      <w:r w:rsidR="00351245" w:rsidRPr="00AC4AEA">
        <w:rPr>
          <w:rFonts w:ascii="Arial" w:hAnsi="Arial" w:cs="Arial"/>
          <w:sz w:val="20"/>
          <w:szCs w:val="20"/>
        </w:rPr>
        <w:t>beneficios económicos futuros; y</w:t>
      </w:r>
    </w:p>
    <w:p w:rsidR="00351245" w:rsidRPr="00AC4AEA" w:rsidRDefault="00FD3947" w:rsidP="00A318EA">
      <w:pPr>
        <w:pStyle w:val="Prrafodelista"/>
        <w:numPr>
          <w:ilvl w:val="1"/>
          <w:numId w:val="362"/>
        </w:numPr>
        <w:ind w:left="1560"/>
        <w:contextualSpacing w:val="0"/>
        <w:jc w:val="both"/>
        <w:rPr>
          <w:rFonts w:ascii="Arial" w:hAnsi="Arial" w:cs="Arial"/>
          <w:sz w:val="20"/>
          <w:szCs w:val="20"/>
        </w:rPr>
      </w:pPr>
      <w:r w:rsidRPr="00AC4AEA">
        <w:rPr>
          <w:rFonts w:ascii="Arial" w:hAnsi="Arial" w:cs="Arial"/>
          <w:sz w:val="20"/>
          <w:szCs w:val="20"/>
        </w:rPr>
        <w:t>p</w:t>
      </w:r>
      <w:r w:rsidR="00351245" w:rsidRPr="00AC4AEA">
        <w:rPr>
          <w:rFonts w:ascii="Arial" w:hAnsi="Arial" w:cs="Arial"/>
          <w:sz w:val="20"/>
          <w:szCs w:val="20"/>
        </w:rPr>
        <w:t>uedan ser medidos sobre bases fiables</w:t>
      </w:r>
      <w:r w:rsidRPr="00AC4AEA">
        <w:rPr>
          <w:rFonts w:ascii="Arial" w:hAnsi="Arial" w:cs="Arial"/>
          <w:sz w:val="20"/>
          <w:szCs w:val="20"/>
        </w:rPr>
        <w:t>.</w:t>
      </w:r>
    </w:p>
    <w:p w:rsidR="00351245" w:rsidRPr="00AC4AEA" w:rsidRDefault="00351245" w:rsidP="00A318EA">
      <w:pPr>
        <w:pStyle w:val="A-Normal11"/>
        <w:numPr>
          <w:ilvl w:val="0"/>
          <w:numId w:val="29"/>
        </w:numPr>
        <w:jc w:val="both"/>
        <w:rPr>
          <w:rFonts w:ascii="Arial" w:hAnsi="Arial" w:cs="Arial"/>
          <w:sz w:val="20"/>
        </w:rPr>
      </w:pPr>
      <w:r w:rsidRPr="00AC4AEA">
        <w:rPr>
          <w:rFonts w:ascii="Arial" w:hAnsi="Arial" w:cs="Arial"/>
          <w:sz w:val="20"/>
        </w:rPr>
        <w:t xml:space="preserve">Una entidad imputará las demás erogaciones como </w:t>
      </w:r>
      <w:r w:rsidRPr="00AC4AEA">
        <w:rPr>
          <w:rFonts w:ascii="Arial" w:hAnsi="Arial" w:cs="Arial"/>
          <w:b/>
          <w:bCs/>
          <w:sz w:val="20"/>
        </w:rPr>
        <w:t>gasto</w:t>
      </w:r>
      <w:r w:rsidRPr="00AC4AEA">
        <w:rPr>
          <w:rFonts w:ascii="Arial" w:hAnsi="Arial" w:cs="Arial"/>
          <w:sz w:val="20"/>
        </w:rPr>
        <w:t xml:space="preserve"> del período.</w:t>
      </w:r>
    </w:p>
    <w:p w:rsidR="003B7A50" w:rsidRPr="00AC4AEA" w:rsidRDefault="003B7A50" w:rsidP="00A318EA">
      <w:pPr>
        <w:jc w:val="both"/>
        <w:rPr>
          <w:rFonts w:ascii="Arial" w:hAnsi="Arial" w:cs="Arial"/>
          <w:b/>
          <w:bCs/>
          <w:sz w:val="20"/>
          <w:szCs w:val="20"/>
        </w:rPr>
      </w:pPr>
    </w:p>
    <w:p w:rsidR="00927D7B" w:rsidRPr="00AC4AEA" w:rsidRDefault="00927D7B" w:rsidP="00A318EA">
      <w:pPr>
        <w:pStyle w:val="Ttulo2"/>
        <w:rPr>
          <w:rFonts w:cs="Arial"/>
        </w:rPr>
      </w:pPr>
      <w:bookmarkStart w:id="561" w:name="_Toc101863890"/>
      <w:bookmarkStart w:id="562" w:name="_Toc139356755"/>
      <w:r w:rsidRPr="00AC4AEA">
        <w:rPr>
          <w:rFonts w:cs="Arial"/>
        </w:rPr>
        <w:t>Medición posterior</w:t>
      </w:r>
      <w:bookmarkEnd w:id="561"/>
      <w:bookmarkEnd w:id="562"/>
    </w:p>
    <w:p w:rsidR="004C11BF" w:rsidRPr="00AC4AEA" w:rsidRDefault="004C11B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estos </w:t>
      </w:r>
      <w:r w:rsidR="00497590" w:rsidRPr="00AC4AEA">
        <w:rPr>
          <w:rFonts w:ascii="Arial" w:hAnsi="Arial" w:cs="Arial"/>
          <w:sz w:val="20"/>
          <w:szCs w:val="20"/>
        </w:rPr>
        <w:t>activos</w:t>
      </w:r>
      <w:r w:rsidRPr="00AC4AEA">
        <w:rPr>
          <w:rFonts w:ascii="Arial" w:hAnsi="Arial" w:cs="Arial"/>
          <w:sz w:val="20"/>
          <w:szCs w:val="20"/>
        </w:rPr>
        <w:t>:</w:t>
      </w:r>
    </w:p>
    <w:p w:rsidR="004C11BF" w:rsidRPr="00AC4AEA" w:rsidRDefault="004C11BF" w:rsidP="00A318EA">
      <w:pPr>
        <w:pStyle w:val="Prrafodelista"/>
        <w:numPr>
          <w:ilvl w:val="0"/>
          <w:numId w:val="111"/>
        </w:numPr>
        <w:ind w:left="1560"/>
        <w:contextualSpacing w:val="0"/>
        <w:jc w:val="both"/>
        <w:rPr>
          <w:rFonts w:ascii="Arial" w:hAnsi="Arial" w:cs="Arial"/>
          <w:sz w:val="20"/>
          <w:szCs w:val="20"/>
        </w:rPr>
      </w:pPr>
      <w:r w:rsidRPr="00AC4AEA">
        <w:rPr>
          <w:rFonts w:ascii="Arial" w:hAnsi="Arial" w:cs="Arial"/>
          <w:sz w:val="20"/>
          <w:szCs w:val="20"/>
        </w:rPr>
        <w:t xml:space="preserve">Al </w:t>
      </w:r>
      <w:r w:rsidRPr="00AC4AEA">
        <w:rPr>
          <w:rFonts w:ascii="Arial" w:hAnsi="Arial" w:cs="Arial"/>
          <w:b/>
          <w:bCs/>
          <w:sz w:val="20"/>
          <w:szCs w:val="20"/>
        </w:rPr>
        <w:t xml:space="preserve">costo </w:t>
      </w:r>
      <w:r w:rsidR="00AE0EA4" w:rsidRPr="00AC4AEA">
        <w:rPr>
          <w:rFonts w:ascii="Arial" w:hAnsi="Arial" w:cs="Arial"/>
          <w:b/>
          <w:bCs/>
          <w:sz w:val="20"/>
          <w:szCs w:val="20"/>
        </w:rPr>
        <w:t>original</w:t>
      </w:r>
      <w:r w:rsidRPr="00AC4AEA">
        <w:rPr>
          <w:rFonts w:ascii="Arial" w:hAnsi="Arial" w:cs="Arial"/>
          <w:b/>
          <w:bCs/>
          <w:sz w:val="20"/>
          <w:szCs w:val="20"/>
        </w:rPr>
        <w:t xml:space="preserve">, </w:t>
      </w:r>
      <w:r w:rsidRPr="00AC4AEA">
        <w:rPr>
          <w:rFonts w:ascii="Arial" w:hAnsi="Arial" w:cs="Arial"/>
          <w:sz w:val="20"/>
          <w:szCs w:val="20"/>
        </w:rPr>
        <w:t>si tuvieran una vida útil indefinida</w:t>
      </w:r>
      <w:r w:rsidR="007E2A61" w:rsidRPr="00AC4AEA">
        <w:rPr>
          <w:rFonts w:ascii="Arial" w:hAnsi="Arial" w:cs="Arial"/>
          <w:sz w:val="20"/>
          <w:szCs w:val="20"/>
        </w:rPr>
        <w:t>.</w:t>
      </w:r>
    </w:p>
    <w:p w:rsidR="004C11BF" w:rsidRPr="00AC4AEA" w:rsidRDefault="004C11BF" w:rsidP="00A318EA">
      <w:pPr>
        <w:pStyle w:val="Prrafodelista"/>
        <w:numPr>
          <w:ilvl w:val="0"/>
          <w:numId w:val="111"/>
        </w:numPr>
        <w:ind w:left="1560"/>
        <w:contextualSpacing w:val="0"/>
        <w:jc w:val="both"/>
        <w:rPr>
          <w:rFonts w:ascii="Arial" w:hAnsi="Arial" w:cs="Arial"/>
          <w:sz w:val="20"/>
          <w:szCs w:val="20"/>
        </w:rPr>
      </w:pPr>
      <w:r w:rsidRPr="00AC4AEA">
        <w:rPr>
          <w:rFonts w:ascii="Arial" w:hAnsi="Arial" w:cs="Arial"/>
          <w:sz w:val="20"/>
          <w:szCs w:val="20"/>
        </w:rPr>
        <w:t xml:space="preserve">Al </w:t>
      </w:r>
      <w:r w:rsidRPr="00AC4AEA">
        <w:rPr>
          <w:rFonts w:ascii="Arial" w:hAnsi="Arial" w:cs="Arial"/>
          <w:b/>
          <w:bCs/>
          <w:sz w:val="20"/>
          <w:szCs w:val="20"/>
        </w:rPr>
        <w:t>costo</w:t>
      </w:r>
      <w:r w:rsidR="003B7A50" w:rsidRPr="00AC4AEA">
        <w:rPr>
          <w:rFonts w:ascii="Arial" w:hAnsi="Arial" w:cs="Arial"/>
          <w:b/>
          <w:bCs/>
          <w:sz w:val="20"/>
          <w:szCs w:val="20"/>
        </w:rPr>
        <w:t xml:space="preserve"> </w:t>
      </w:r>
      <w:r w:rsidR="0003553E" w:rsidRPr="00AC4AEA">
        <w:rPr>
          <w:rFonts w:ascii="Arial" w:hAnsi="Arial" w:cs="Arial"/>
          <w:b/>
          <w:bCs/>
          <w:sz w:val="20"/>
          <w:szCs w:val="20"/>
        </w:rPr>
        <w:t>original</w:t>
      </w:r>
      <w:r w:rsidR="003B7A50" w:rsidRPr="00AC4AEA">
        <w:rPr>
          <w:rFonts w:ascii="Arial" w:hAnsi="Arial" w:cs="Arial"/>
          <w:sz w:val="20"/>
          <w:szCs w:val="20"/>
        </w:rPr>
        <w:t xml:space="preserve"> menos </w:t>
      </w:r>
      <w:r w:rsidR="00A7129F" w:rsidRPr="00AC4AEA">
        <w:rPr>
          <w:rFonts w:ascii="Arial" w:hAnsi="Arial" w:cs="Arial"/>
          <w:sz w:val="20"/>
          <w:szCs w:val="20"/>
        </w:rPr>
        <w:t>amortizaciones</w:t>
      </w:r>
      <w:r w:rsidR="003B7A50" w:rsidRPr="00AC4AEA">
        <w:rPr>
          <w:rFonts w:ascii="Arial" w:hAnsi="Arial" w:cs="Arial"/>
          <w:sz w:val="20"/>
          <w:szCs w:val="20"/>
        </w:rPr>
        <w:t xml:space="preserve"> acumuladas, si tuviera</w:t>
      </w:r>
      <w:r w:rsidR="00082937" w:rsidRPr="00AC4AEA">
        <w:rPr>
          <w:rFonts w:ascii="Arial" w:hAnsi="Arial" w:cs="Arial"/>
          <w:sz w:val="20"/>
          <w:szCs w:val="20"/>
        </w:rPr>
        <w:t>n</w:t>
      </w:r>
      <w:r w:rsidR="003B7A50" w:rsidRPr="00AC4AEA">
        <w:rPr>
          <w:rFonts w:ascii="Arial" w:hAnsi="Arial" w:cs="Arial"/>
          <w:sz w:val="20"/>
          <w:szCs w:val="20"/>
        </w:rPr>
        <w:t xml:space="preserve"> una vida útil definida.</w:t>
      </w:r>
    </w:p>
    <w:p w:rsidR="0003553E" w:rsidRPr="00AC4AEA" w:rsidRDefault="0003553E" w:rsidP="00A318EA">
      <w:pPr>
        <w:jc w:val="both"/>
        <w:rPr>
          <w:rFonts w:ascii="Arial" w:hAnsi="Arial" w:cs="Arial"/>
          <w:sz w:val="20"/>
          <w:szCs w:val="20"/>
        </w:rPr>
      </w:pPr>
      <w:bookmarkStart w:id="563" w:name="_Toc101863891"/>
    </w:p>
    <w:p w:rsidR="00A7129F" w:rsidRPr="00AC4AEA" w:rsidRDefault="00A7129F" w:rsidP="00A318EA">
      <w:pPr>
        <w:pStyle w:val="Ttulo2"/>
        <w:rPr>
          <w:rFonts w:cs="Arial"/>
        </w:rPr>
      </w:pPr>
      <w:bookmarkStart w:id="564" w:name="_Toc139356756"/>
      <w:r w:rsidRPr="00AC4AEA">
        <w:rPr>
          <w:rFonts w:cs="Arial"/>
        </w:rPr>
        <w:t>Amortizaciones</w:t>
      </w:r>
      <w:bookmarkEnd w:id="563"/>
      <w:bookmarkEnd w:id="564"/>
    </w:p>
    <w:p w:rsidR="00A576D5" w:rsidRPr="00AC4AEA" w:rsidRDefault="00A576D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reconocerá el cargo por amortización:</w:t>
      </w:r>
    </w:p>
    <w:p w:rsidR="00A576D5" w:rsidRPr="00AC4AEA" w:rsidRDefault="007E2A61" w:rsidP="00A318EA">
      <w:pPr>
        <w:pStyle w:val="Prrafodelista"/>
        <w:numPr>
          <w:ilvl w:val="0"/>
          <w:numId w:val="112"/>
        </w:numPr>
        <w:ind w:left="1560"/>
        <w:contextualSpacing w:val="0"/>
        <w:jc w:val="both"/>
        <w:rPr>
          <w:rFonts w:ascii="Arial" w:hAnsi="Arial" w:cs="Arial"/>
          <w:sz w:val="20"/>
          <w:szCs w:val="20"/>
        </w:rPr>
      </w:pPr>
      <w:r w:rsidRPr="00AC4AEA">
        <w:rPr>
          <w:rFonts w:ascii="Arial" w:hAnsi="Arial" w:cs="Arial"/>
          <w:sz w:val="20"/>
          <w:szCs w:val="20"/>
        </w:rPr>
        <w:t>c</w:t>
      </w:r>
      <w:r w:rsidR="00A576D5" w:rsidRPr="00AC4AEA">
        <w:rPr>
          <w:rFonts w:ascii="Arial" w:hAnsi="Arial" w:cs="Arial"/>
          <w:sz w:val="20"/>
          <w:szCs w:val="20"/>
        </w:rPr>
        <w:t xml:space="preserve">omo </w:t>
      </w:r>
      <w:r w:rsidR="00A576D5" w:rsidRPr="00AC4AEA">
        <w:rPr>
          <w:rFonts w:ascii="Arial" w:hAnsi="Arial" w:cs="Arial"/>
          <w:b/>
          <w:bCs/>
          <w:sz w:val="20"/>
          <w:szCs w:val="20"/>
        </w:rPr>
        <w:t>gasto</w:t>
      </w:r>
      <w:r w:rsidR="00A576D5" w:rsidRPr="00AC4AEA">
        <w:rPr>
          <w:rFonts w:ascii="Arial" w:hAnsi="Arial" w:cs="Arial"/>
          <w:sz w:val="20"/>
          <w:szCs w:val="20"/>
        </w:rPr>
        <w:t xml:space="preserve"> del </w:t>
      </w:r>
      <w:r w:rsidR="009B7B74" w:rsidRPr="00AC4AEA">
        <w:rPr>
          <w:rFonts w:ascii="Arial" w:hAnsi="Arial" w:cs="Arial"/>
          <w:sz w:val="20"/>
          <w:szCs w:val="20"/>
        </w:rPr>
        <w:t>período</w:t>
      </w:r>
      <w:r w:rsidRPr="00AC4AEA">
        <w:rPr>
          <w:rFonts w:ascii="Arial" w:hAnsi="Arial" w:cs="Arial"/>
          <w:sz w:val="20"/>
          <w:szCs w:val="20"/>
        </w:rPr>
        <w:t>;</w:t>
      </w:r>
      <w:r w:rsidR="00A576D5" w:rsidRPr="00AC4AEA">
        <w:rPr>
          <w:rFonts w:ascii="Arial" w:hAnsi="Arial" w:cs="Arial"/>
          <w:sz w:val="20"/>
          <w:szCs w:val="20"/>
        </w:rPr>
        <w:t xml:space="preserve"> o</w:t>
      </w:r>
    </w:p>
    <w:p w:rsidR="00A576D5" w:rsidRPr="00AC4AEA" w:rsidRDefault="007E2A61" w:rsidP="00A318EA">
      <w:pPr>
        <w:pStyle w:val="Prrafodelista"/>
        <w:numPr>
          <w:ilvl w:val="0"/>
          <w:numId w:val="112"/>
        </w:numPr>
        <w:ind w:left="1560"/>
        <w:contextualSpacing w:val="0"/>
        <w:jc w:val="both"/>
        <w:rPr>
          <w:rFonts w:ascii="Arial" w:hAnsi="Arial" w:cs="Arial"/>
          <w:sz w:val="20"/>
          <w:szCs w:val="20"/>
        </w:rPr>
      </w:pPr>
      <w:r w:rsidRPr="00AC4AEA">
        <w:rPr>
          <w:rFonts w:ascii="Arial" w:hAnsi="Arial" w:cs="Arial"/>
          <w:sz w:val="20"/>
          <w:szCs w:val="20"/>
        </w:rPr>
        <w:t>c</w:t>
      </w:r>
      <w:r w:rsidR="00A576D5" w:rsidRPr="00AC4AEA">
        <w:rPr>
          <w:rFonts w:ascii="Arial" w:hAnsi="Arial" w:cs="Arial"/>
          <w:sz w:val="20"/>
          <w:szCs w:val="20"/>
        </w:rPr>
        <w:t xml:space="preserve">omo parte del costo de un </w:t>
      </w:r>
      <w:r w:rsidR="00A576D5" w:rsidRPr="00AC4AEA">
        <w:rPr>
          <w:rFonts w:ascii="Arial" w:hAnsi="Arial" w:cs="Arial"/>
          <w:b/>
          <w:bCs/>
          <w:sz w:val="20"/>
          <w:szCs w:val="20"/>
        </w:rPr>
        <w:t>activo</w:t>
      </w:r>
      <w:r w:rsidR="00A576D5" w:rsidRPr="00AC4AEA">
        <w:rPr>
          <w:rFonts w:ascii="Arial" w:hAnsi="Arial" w:cs="Arial"/>
          <w:sz w:val="20"/>
          <w:szCs w:val="20"/>
        </w:rPr>
        <w:t>,</w:t>
      </w:r>
      <w:r w:rsidR="00A576D5" w:rsidRPr="00AC4AEA">
        <w:rPr>
          <w:rFonts w:ascii="Arial" w:hAnsi="Arial" w:cs="Arial"/>
          <w:b/>
          <w:bCs/>
          <w:sz w:val="20"/>
          <w:szCs w:val="20"/>
        </w:rPr>
        <w:t xml:space="preserve"> </w:t>
      </w:r>
      <w:r w:rsidR="00A576D5" w:rsidRPr="00AC4AEA">
        <w:rPr>
          <w:rFonts w:ascii="Arial" w:hAnsi="Arial" w:cs="Arial"/>
          <w:sz w:val="20"/>
          <w:szCs w:val="20"/>
        </w:rPr>
        <w:t>cuando deba computarla dentro del gasto de producción o construcción</w:t>
      </w:r>
      <w:r w:rsidR="007D359D" w:rsidRPr="00AC4AEA">
        <w:rPr>
          <w:rFonts w:ascii="Arial" w:hAnsi="Arial" w:cs="Arial"/>
          <w:sz w:val="20"/>
          <w:szCs w:val="20"/>
        </w:rPr>
        <w:t xml:space="preserve"> de otro bien</w:t>
      </w:r>
      <w:r w:rsidR="00A576D5" w:rsidRPr="00AC4AEA">
        <w:rPr>
          <w:rFonts w:ascii="Arial" w:hAnsi="Arial" w:cs="Arial"/>
          <w:sz w:val="20"/>
          <w:szCs w:val="20"/>
        </w:rPr>
        <w:t>.</w:t>
      </w:r>
    </w:p>
    <w:p w:rsidR="00A7129F" w:rsidRPr="00AC4AEA" w:rsidRDefault="00A7129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computará las amortizaciones de estos </w:t>
      </w:r>
      <w:r w:rsidR="00497590" w:rsidRPr="00AC4AEA">
        <w:rPr>
          <w:rFonts w:ascii="Arial" w:hAnsi="Arial" w:cs="Arial"/>
          <w:sz w:val="20"/>
          <w:szCs w:val="20"/>
        </w:rPr>
        <w:t>activos</w:t>
      </w:r>
      <w:r w:rsidRPr="00AC4AEA">
        <w:rPr>
          <w:rFonts w:ascii="Arial" w:hAnsi="Arial" w:cs="Arial"/>
          <w:sz w:val="20"/>
          <w:szCs w:val="20"/>
        </w:rPr>
        <w:t xml:space="preserve"> considerando, respecto de cada bien:</w:t>
      </w:r>
    </w:p>
    <w:p w:rsidR="00A7129F" w:rsidRPr="00AC4AEA" w:rsidRDefault="0036472C" w:rsidP="00A318EA">
      <w:pPr>
        <w:pStyle w:val="Prrafodelista"/>
        <w:numPr>
          <w:ilvl w:val="0"/>
          <w:numId w:val="113"/>
        </w:numPr>
        <w:ind w:left="1560"/>
        <w:contextualSpacing w:val="0"/>
        <w:jc w:val="both"/>
        <w:rPr>
          <w:rFonts w:ascii="Arial" w:hAnsi="Arial" w:cs="Arial"/>
          <w:sz w:val="20"/>
          <w:szCs w:val="20"/>
        </w:rPr>
      </w:pPr>
      <w:r w:rsidRPr="00AC4AEA">
        <w:rPr>
          <w:rFonts w:ascii="Arial" w:hAnsi="Arial" w:cs="Arial"/>
          <w:sz w:val="20"/>
          <w:szCs w:val="20"/>
        </w:rPr>
        <w:lastRenderedPageBreak/>
        <w:t>s</w:t>
      </w:r>
      <w:r w:rsidR="00A7129F" w:rsidRPr="00AC4AEA">
        <w:rPr>
          <w:rFonts w:ascii="Arial" w:hAnsi="Arial" w:cs="Arial"/>
          <w:sz w:val="20"/>
          <w:szCs w:val="20"/>
        </w:rPr>
        <w:t>u costo</w:t>
      </w:r>
      <w:r w:rsidRPr="00AC4AEA">
        <w:rPr>
          <w:rFonts w:ascii="Arial" w:hAnsi="Arial" w:cs="Arial"/>
          <w:sz w:val="20"/>
          <w:szCs w:val="20"/>
        </w:rPr>
        <w:t>;</w:t>
      </w:r>
    </w:p>
    <w:p w:rsidR="00A7129F" w:rsidRPr="00AC4AEA" w:rsidRDefault="0036472C" w:rsidP="00A318EA">
      <w:pPr>
        <w:pStyle w:val="Prrafodelista"/>
        <w:numPr>
          <w:ilvl w:val="0"/>
          <w:numId w:val="113"/>
        </w:numPr>
        <w:ind w:left="1560"/>
        <w:contextualSpacing w:val="0"/>
        <w:jc w:val="both"/>
        <w:rPr>
          <w:rFonts w:ascii="Arial" w:hAnsi="Arial" w:cs="Arial"/>
          <w:sz w:val="20"/>
          <w:szCs w:val="20"/>
        </w:rPr>
      </w:pPr>
      <w:r w:rsidRPr="00AC4AEA">
        <w:rPr>
          <w:rFonts w:ascii="Arial" w:hAnsi="Arial" w:cs="Arial"/>
          <w:sz w:val="20"/>
          <w:szCs w:val="20"/>
        </w:rPr>
        <w:t>s</w:t>
      </w:r>
      <w:r w:rsidR="00A7129F" w:rsidRPr="00AC4AEA">
        <w:rPr>
          <w:rFonts w:ascii="Arial" w:hAnsi="Arial" w:cs="Arial"/>
          <w:sz w:val="20"/>
          <w:szCs w:val="20"/>
        </w:rPr>
        <w:t>u naturaleza y forma de explotación</w:t>
      </w:r>
      <w:r w:rsidRPr="00AC4AEA">
        <w:rPr>
          <w:rFonts w:ascii="Arial" w:hAnsi="Arial" w:cs="Arial"/>
          <w:sz w:val="20"/>
          <w:szCs w:val="20"/>
        </w:rPr>
        <w:t>;</w:t>
      </w:r>
    </w:p>
    <w:p w:rsidR="00A7129F" w:rsidRPr="00AC4AEA" w:rsidRDefault="0036472C" w:rsidP="00A318EA">
      <w:pPr>
        <w:pStyle w:val="Prrafodelista"/>
        <w:numPr>
          <w:ilvl w:val="0"/>
          <w:numId w:val="113"/>
        </w:numPr>
        <w:ind w:left="1560"/>
        <w:contextualSpacing w:val="0"/>
        <w:jc w:val="both"/>
        <w:rPr>
          <w:rFonts w:ascii="Arial" w:hAnsi="Arial" w:cs="Arial"/>
          <w:sz w:val="20"/>
          <w:szCs w:val="20"/>
        </w:rPr>
      </w:pPr>
      <w:r w:rsidRPr="00AC4AEA">
        <w:rPr>
          <w:rFonts w:ascii="Arial" w:hAnsi="Arial" w:cs="Arial"/>
          <w:sz w:val="20"/>
          <w:szCs w:val="20"/>
        </w:rPr>
        <w:t>l</w:t>
      </w:r>
      <w:r w:rsidR="00A7129F" w:rsidRPr="00AC4AEA">
        <w:rPr>
          <w:rFonts w:ascii="Arial" w:hAnsi="Arial" w:cs="Arial"/>
          <w:sz w:val="20"/>
          <w:szCs w:val="20"/>
        </w:rPr>
        <w:t xml:space="preserve">a fecha de comienzo de su utilización o la que </w:t>
      </w:r>
      <w:r w:rsidR="00325369" w:rsidRPr="00AC4AEA">
        <w:rPr>
          <w:rFonts w:ascii="Arial" w:hAnsi="Arial" w:cs="Arial"/>
          <w:sz w:val="20"/>
          <w:szCs w:val="20"/>
        </w:rPr>
        <w:t>refleje</w:t>
      </w:r>
      <w:r w:rsidR="00A7129F" w:rsidRPr="00AC4AEA">
        <w:rPr>
          <w:rFonts w:ascii="Arial" w:hAnsi="Arial" w:cs="Arial"/>
          <w:sz w:val="20"/>
          <w:szCs w:val="20"/>
        </w:rPr>
        <w:t xml:space="preserve"> su pérdida de valor, que es el momento a partir del cual deben computarse </w:t>
      </w:r>
      <w:r w:rsidR="00082937" w:rsidRPr="00AC4AEA">
        <w:rPr>
          <w:rFonts w:ascii="Arial" w:hAnsi="Arial" w:cs="Arial"/>
          <w:sz w:val="20"/>
          <w:szCs w:val="20"/>
        </w:rPr>
        <w:t>amortizaciones</w:t>
      </w:r>
      <w:r w:rsidRPr="00AC4AEA">
        <w:rPr>
          <w:rFonts w:ascii="Arial" w:hAnsi="Arial" w:cs="Arial"/>
          <w:sz w:val="20"/>
          <w:szCs w:val="20"/>
        </w:rPr>
        <w:t>;</w:t>
      </w:r>
    </w:p>
    <w:p w:rsidR="00A7129F" w:rsidRPr="00AC4AEA" w:rsidRDefault="0036472C" w:rsidP="00A318EA">
      <w:pPr>
        <w:pStyle w:val="Prrafodelista"/>
        <w:numPr>
          <w:ilvl w:val="0"/>
          <w:numId w:val="113"/>
        </w:numPr>
        <w:ind w:left="1560"/>
        <w:contextualSpacing w:val="0"/>
        <w:jc w:val="both"/>
        <w:rPr>
          <w:rFonts w:ascii="Arial" w:hAnsi="Arial" w:cs="Arial"/>
          <w:sz w:val="20"/>
          <w:szCs w:val="20"/>
        </w:rPr>
      </w:pPr>
      <w:r w:rsidRPr="00AC4AEA">
        <w:rPr>
          <w:rFonts w:ascii="Arial" w:hAnsi="Arial" w:cs="Arial"/>
          <w:sz w:val="20"/>
          <w:szCs w:val="20"/>
        </w:rPr>
        <w:t>s</w:t>
      </w:r>
      <w:r w:rsidR="00A7129F" w:rsidRPr="00AC4AEA">
        <w:rPr>
          <w:rFonts w:ascii="Arial" w:hAnsi="Arial" w:cs="Arial"/>
          <w:sz w:val="20"/>
          <w:szCs w:val="20"/>
        </w:rPr>
        <w:t xml:space="preserve">i existen evidencias de </w:t>
      </w:r>
      <w:r w:rsidR="00082937" w:rsidRPr="00AC4AEA">
        <w:rPr>
          <w:rFonts w:ascii="Arial" w:hAnsi="Arial" w:cs="Arial"/>
          <w:b/>
          <w:bCs/>
          <w:sz w:val="20"/>
          <w:szCs w:val="20"/>
        </w:rPr>
        <w:t>pérdidas por desvalorización</w:t>
      </w:r>
      <w:r w:rsidR="00082937" w:rsidRPr="00AC4AEA">
        <w:rPr>
          <w:rFonts w:ascii="Arial" w:hAnsi="Arial" w:cs="Arial"/>
          <w:sz w:val="20"/>
          <w:szCs w:val="20"/>
        </w:rPr>
        <w:t xml:space="preserve"> previas</w:t>
      </w:r>
      <w:r w:rsidR="00A7129F" w:rsidRPr="00AC4AEA">
        <w:rPr>
          <w:rFonts w:ascii="Arial" w:hAnsi="Arial" w:cs="Arial"/>
          <w:sz w:val="20"/>
          <w:szCs w:val="20"/>
        </w:rPr>
        <w:t xml:space="preserve"> a su utilización, caso en el cual debe reconoc</w:t>
      </w:r>
      <w:r w:rsidR="00082937" w:rsidRPr="00AC4AEA">
        <w:rPr>
          <w:rFonts w:ascii="Arial" w:hAnsi="Arial" w:cs="Arial"/>
          <w:sz w:val="20"/>
          <w:szCs w:val="20"/>
        </w:rPr>
        <w:t>erl</w:t>
      </w:r>
      <w:r w:rsidR="00A7129F" w:rsidRPr="00AC4AEA">
        <w:rPr>
          <w:rFonts w:ascii="Arial" w:hAnsi="Arial" w:cs="Arial"/>
          <w:sz w:val="20"/>
          <w:szCs w:val="20"/>
        </w:rPr>
        <w:t>as</w:t>
      </w:r>
      <w:r w:rsidRPr="00AC4AEA">
        <w:rPr>
          <w:rFonts w:ascii="Arial" w:hAnsi="Arial" w:cs="Arial"/>
          <w:sz w:val="20"/>
          <w:szCs w:val="20"/>
        </w:rPr>
        <w:t>;</w:t>
      </w:r>
      <w:r w:rsidR="00EA4A21" w:rsidRPr="00AC4AEA">
        <w:rPr>
          <w:rFonts w:ascii="Arial" w:hAnsi="Arial" w:cs="Arial"/>
          <w:sz w:val="20"/>
          <w:szCs w:val="20"/>
        </w:rPr>
        <w:t xml:space="preserve"> y</w:t>
      </w:r>
    </w:p>
    <w:p w:rsidR="00A7129F" w:rsidRPr="00AC4AEA" w:rsidRDefault="0036472C" w:rsidP="00A318EA">
      <w:pPr>
        <w:pStyle w:val="Prrafodelista"/>
        <w:numPr>
          <w:ilvl w:val="0"/>
          <w:numId w:val="113"/>
        </w:numPr>
        <w:ind w:left="1560"/>
        <w:contextualSpacing w:val="0"/>
        <w:jc w:val="both"/>
        <w:rPr>
          <w:rFonts w:ascii="Arial" w:hAnsi="Arial" w:cs="Arial"/>
          <w:sz w:val="20"/>
          <w:szCs w:val="20"/>
        </w:rPr>
      </w:pPr>
      <w:r w:rsidRPr="00AC4AEA">
        <w:rPr>
          <w:rFonts w:ascii="Arial" w:hAnsi="Arial" w:cs="Arial"/>
          <w:sz w:val="20"/>
          <w:szCs w:val="20"/>
        </w:rPr>
        <w:t xml:space="preserve">la </w:t>
      </w:r>
      <w:r w:rsidR="00A7129F" w:rsidRPr="00AC4AEA">
        <w:rPr>
          <w:rFonts w:ascii="Arial" w:hAnsi="Arial" w:cs="Arial"/>
          <w:sz w:val="20"/>
          <w:szCs w:val="20"/>
        </w:rPr>
        <w:t xml:space="preserve">capacidad de servicio estimada del </w:t>
      </w:r>
      <w:r w:rsidR="00F216F2" w:rsidRPr="00AC4AEA">
        <w:rPr>
          <w:rFonts w:ascii="Arial" w:hAnsi="Arial" w:cs="Arial"/>
          <w:b/>
          <w:bCs/>
          <w:sz w:val="20"/>
          <w:szCs w:val="20"/>
        </w:rPr>
        <w:t>activo</w:t>
      </w:r>
      <w:r w:rsidR="00A7129F" w:rsidRPr="00AC4AEA">
        <w:rPr>
          <w:rFonts w:ascii="Arial" w:hAnsi="Arial" w:cs="Arial"/>
          <w:sz w:val="20"/>
          <w:szCs w:val="20"/>
        </w:rPr>
        <w:t>, dada por:</w:t>
      </w:r>
    </w:p>
    <w:p w:rsidR="00A7129F" w:rsidRPr="00AC4AEA" w:rsidRDefault="00CA5488" w:rsidP="00A318EA">
      <w:pPr>
        <w:pStyle w:val="Prrafodelista"/>
        <w:numPr>
          <w:ilvl w:val="0"/>
          <w:numId w:val="114"/>
        </w:numPr>
        <w:ind w:left="1985"/>
        <w:contextualSpacing w:val="0"/>
        <w:jc w:val="both"/>
        <w:rPr>
          <w:rFonts w:ascii="Arial" w:hAnsi="Arial" w:cs="Arial"/>
          <w:sz w:val="20"/>
          <w:szCs w:val="20"/>
        </w:rPr>
      </w:pPr>
      <w:r w:rsidRPr="00AC4AEA">
        <w:rPr>
          <w:rFonts w:ascii="Arial" w:hAnsi="Arial" w:cs="Arial"/>
          <w:sz w:val="20"/>
          <w:szCs w:val="20"/>
        </w:rPr>
        <w:t>l</w:t>
      </w:r>
      <w:r w:rsidR="00A7129F" w:rsidRPr="00AC4AEA">
        <w:rPr>
          <w:rFonts w:ascii="Arial" w:hAnsi="Arial" w:cs="Arial"/>
          <w:sz w:val="20"/>
          <w:szCs w:val="20"/>
        </w:rPr>
        <w:t xml:space="preserve">as unidades de producción a ser obtenidas </w:t>
      </w:r>
      <w:r w:rsidR="00F216F2" w:rsidRPr="00AC4AEA">
        <w:rPr>
          <w:rFonts w:ascii="Arial" w:hAnsi="Arial" w:cs="Arial"/>
          <w:sz w:val="20"/>
          <w:szCs w:val="20"/>
        </w:rPr>
        <w:t>mediante su empleo</w:t>
      </w:r>
      <w:r w:rsidR="0036472C" w:rsidRPr="00AC4AEA">
        <w:rPr>
          <w:rFonts w:ascii="Arial" w:hAnsi="Arial" w:cs="Arial"/>
          <w:sz w:val="20"/>
          <w:szCs w:val="20"/>
        </w:rPr>
        <w:t>;</w:t>
      </w:r>
      <w:r w:rsidR="00A7129F" w:rsidRPr="00AC4AEA">
        <w:rPr>
          <w:rFonts w:ascii="Arial" w:hAnsi="Arial" w:cs="Arial"/>
          <w:sz w:val="20"/>
          <w:szCs w:val="20"/>
        </w:rPr>
        <w:t xml:space="preserve"> </w:t>
      </w:r>
    </w:p>
    <w:p w:rsidR="00A7129F" w:rsidRPr="00AC4AEA" w:rsidRDefault="00CA5488" w:rsidP="00A318EA">
      <w:pPr>
        <w:pStyle w:val="Prrafodelista"/>
        <w:numPr>
          <w:ilvl w:val="0"/>
          <w:numId w:val="114"/>
        </w:numPr>
        <w:ind w:left="1985"/>
        <w:contextualSpacing w:val="0"/>
        <w:jc w:val="both"/>
        <w:rPr>
          <w:rFonts w:ascii="Arial" w:hAnsi="Arial" w:cs="Arial"/>
          <w:sz w:val="20"/>
          <w:szCs w:val="20"/>
        </w:rPr>
      </w:pPr>
      <w:r w:rsidRPr="00AC4AEA">
        <w:rPr>
          <w:rFonts w:ascii="Arial" w:hAnsi="Arial" w:cs="Arial"/>
          <w:sz w:val="20"/>
          <w:szCs w:val="20"/>
        </w:rPr>
        <w:t>e</w:t>
      </w:r>
      <w:r w:rsidR="00A7129F" w:rsidRPr="00AC4AEA">
        <w:rPr>
          <w:rFonts w:ascii="Arial" w:hAnsi="Arial" w:cs="Arial"/>
          <w:sz w:val="20"/>
          <w:szCs w:val="20"/>
        </w:rPr>
        <w:t>l período durante el cual se espera utilizarlo;</w:t>
      </w:r>
    </w:p>
    <w:p w:rsidR="00A7129F" w:rsidRPr="00AC4AEA" w:rsidRDefault="00CA5488" w:rsidP="00A318EA">
      <w:pPr>
        <w:pStyle w:val="Prrafodelista"/>
        <w:numPr>
          <w:ilvl w:val="0"/>
          <w:numId w:val="114"/>
        </w:numPr>
        <w:ind w:left="1985"/>
        <w:contextualSpacing w:val="0"/>
        <w:jc w:val="both"/>
        <w:rPr>
          <w:rFonts w:ascii="Arial" w:hAnsi="Arial" w:cs="Arial"/>
          <w:sz w:val="20"/>
          <w:szCs w:val="20"/>
        </w:rPr>
      </w:pPr>
      <w:r w:rsidRPr="00AC4AEA">
        <w:rPr>
          <w:rFonts w:ascii="Arial" w:hAnsi="Arial" w:cs="Arial"/>
          <w:sz w:val="20"/>
          <w:szCs w:val="20"/>
        </w:rPr>
        <w:t>l</w:t>
      </w:r>
      <w:r w:rsidR="00A7129F" w:rsidRPr="00AC4AEA">
        <w:rPr>
          <w:rFonts w:ascii="Arial" w:hAnsi="Arial" w:cs="Arial"/>
          <w:sz w:val="20"/>
          <w:szCs w:val="20"/>
        </w:rPr>
        <w:t xml:space="preserve">a existencia de algún plazo legal para </w:t>
      </w:r>
      <w:r w:rsidR="00F216F2" w:rsidRPr="00AC4AEA">
        <w:rPr>
          <w:rFonts w:ascii="Arial" w:hAnsi="Arial" w:cs="Arial"/>
          <w:sz w:val="20"/>
          <w:szCs w:val="20"/>
        </w:rPr>
        <w:t xml:space="preserve">su </w:t>
      </w:r>
      <w:r w:rsidR="00A7129F" w:rsidRPr="00AC4AEA">
        <w:rPr>
          <w:rFonts w:ascii="Arial" w:hAnsi="Arial" w:cs="Arial"/>
          <w:sz w:val="20"/>
          <w:szCs w:val="20"/>
        </w:rPr>
        <w:t xml:space="preserve">utilización, que marcará el límite de su capacidad de servicio, excepto cuando </w:t>
      </w:r>
      <w:r w:rsidR="00325369" w:rsidRPr="00AC4AEA">
        <w:rPr>
          <w:rFonts w:ascii="Arial" w:hAnsi="Arial" w:cs="Arial"/>
          <w:sz w:val="20"/>
          <w:szCs w:val="20"/>
        </w:rPr>
        <w:t>dicho</w:t>
      </w:r>
      <w:r w:rsidR="00A7129F" w:rsidRPr="00AC4AEA">
        <w:rPr>
          <w:rFonts w:ascii="Arial" w:hAnsi="Arial" w:cs="Arial"/>
          <w:sz w:val="20"/>
          <w:szCs w:val="20"/>
        </w:rPr>
        <w:t xml:space="preserve"> plazo fuera renovable y la renovación fuese virtualmente cierta;</w:t>
      </w:r>
      <w:r w:rsidR="0036472C" w:rsidRPr="00AC4AEA">
        <w:rPr>
          <w:rFonts w:ascii="Arial" w:hAnsi="Arial" w:cs="Arial"/>
          <w:sz w:val="20"/>
          <w:szCs w:val="20"/>
        </w:rPr>
        <w:t xml:space="preserve"> y</w:t>
      </w:r>
    </w:p>
    <w:p w:rsidR="00A7129F" w:rsidRPr="00AC4AEA" w:rsidRDefault="00CA5488" w:rsidP="00A318EA">
      <w:pPr>
        <w:pStyle w:val="Prrafodelista"/>
        <w:numPr>
          <w:ilvl w:val="0"/>
          <w:numId w:val="114"/>
        </w:numPr>
        <w:ind w:left="1985"/>
        <w:contextualSpacing w:val="0"/>
        <w:jc w:val="both"/>
        <w:rPr>
          <w:rFonts w:ascii="Arial" w:hAnsi="Arial" w:cs="Arial"/>
          <w:sz w:val="20"/>
          <w:szCs w:val="20"/>
        </w:rPr>
      </w:pPr>
      <w:r w:rsidRPr="00AC4AEA">
        <w:rPr>
          <w:rFonts w:ascii="Arial" w:hAnsi="Arial" w:cs="Arial"/>
          <w:sz w:val="20"/>
          <w:szCs w:val="20"/>
        </w:rPr>
        <w:t>l</w:t>
      </w:r>
      <w:r w:rsidR="00A7129F" w:rsidRPr="00AC4AEA">
        <w:rPr>
          <w:rFonts w:ascii="Arial" w:hAnsi="Arial" w:cs="Arial"/>
          <w:sz w:val="20"/>
          <w:szCs w:val="20"/>
        </w:rPr>
        <w:t>a capacidad de servicio ya utilizada.</w:t>
      </w:r>
    </w:p>
    <w:p w:rsidR="0041221A" w:rsidRPr="00AC4AEA" w:rsidRDefault="006C528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Si del análisis de las cuestiones a considerar para el cómputo de las amortizaciones resulta que la vida útil de un activo intangible es indefinida, </w:t>
      </w:r>
      <w:r w:rsidR="008052B6" w:rsidRPr="00AC4AEA">
        <w:rPr>
          <w:rFonts w:ascii="Arial" w:hAnsi="Arial" w:cs="Arial"/>
          <w:sz w:val="20"/>
          <w:szCs w:val="20"/>
        </w:rPr>
        <w:t xml:space="preserve">la entidad </w:t>
      </w:r>
      <w:r w:rsidRPr="00AC4AEA">
        <w:rPr>
          <w:rFonts w:ascii="Arial" w:hAnsi="Arial" w:cs="Arial"/>
          <w:sz w:val="20"/>
          <w:szCs w:val="20"/>
        </w:rPr>
        <w:t>no</w:t>
      </w:r>
      <w:r w:rsidR="008052B6" w:rsidRPr="00AC4AEA">
        <w:rPr>
          <w:rFonts w:ascii="Arial" w:hAnsi="Arial" w:cs="Arial"/>
          <w:sz w:val="20"/>
          <w:szCs w:val="20"/>
        </w:rPr>
        <w:t xml:space="preserve"> </w:t>
      </w:r>
      <w:r w:rsidRPr="00AC4AEA">
        <w:rPr>
          <w:rFonts w:ascii="Arial" w:hAnsi="Arial" w:cs="Arial"/>
          <w:sz w:val="20"/>
          <w:szCs w:val="20"/>
        </w:rPr>
        <w:t xml:space="preserve">computará su </w:t>
      </w:r>
      <w:r w:rsidR="008052B6" w:rsidRPr="00AC4AEA">
        <w:rPr>
          <w:rFonts w:ascii="Arial" w:hAnsi="Arial" w:cs="Arial"/>
          <w:sz w:val="20"/>
          <w:szCs w:val="20"/>
        </w:rPr>
        <w:t>amortización</w:t>
      </w:r>
      <w:r w:rsidRPr="00AC4AEA">
        <w:rPr>
          <w:rFonts w:ascii="Arial" w:hAnsi="Arial" w:cs="Arial"/>
          <w:sz w:val="20"/>
          <w:szCs w:val="20"/>
        </w:rPr>
        <w:t xml:space="preserve">, y realizará la comparación con su </w:t>
      </w:r>
      <w:r w:rsidRPr="00AC4AEA">
        <w:rPr>
          <w:rFonts w:ascii="Arial" w:hAnsi="Arial" w:cs="Arial"/>
          <w:b/>
          <w:bCs/>
          <w:sz w:val="20"/>
          <w:szCs w:val="20"/>
        </w:rPr>
        <w:t>valor</w:t>
      </w:r>
      <w:r w:rsidR="008052B6" w:rsidRPr="00AC4AEA">
        <w:rPr>
          <w:rFonts w:ascii="Arial" w:hAnsi="Arial" w:cs="Arial"/>
          <w:b/>
          <w:bCs/>
          <w:sz w:val="20"/>
          <w:szCs w:val="20"/>
        </w:rPr>
        <w:t xml:space="preserve"> </w:t>
      </w:r>
      <w:r w:rsidRPr="00AC4AEA">
        <w:rPr>
          <w:rFonts w:ascii="Arial" w:hAnsi="Arial" w:cs="Arial"/>
          <w:b/>
          <w:bCs/>
          <w:sz w:val="20"/>
          <w:szCs w:val="20"/>
        </w:rPr>
        <w:t>recuperable</w:t>
      </w:r>
      <w:r w:rsidRPr="00AC4AEA">
        <w:rPr>
          <w:rFonts w:ascii="Arial" w:hAnsi="Arial" w:cs="Arial"/>
          <w:sz w:val="20"/>
          <w:szCs w:val="20"/>
        </w:rPr>
        <w:t xml:space="preserve"> en cada cierre de ejercicio</w:t>
      </w:r>
      <w:r w:rsidR="00163A13" w:rsidRPr="00AC4AEA">
        <w:rPr>
          <w:rFonts w:ascii="Arial" w:hAnsi="Arial" w:cs="Arial"/>
          <w:sz w:val="20"/>
          <w:szCs w:val="20"/>
        </w:rPr>
        <w:t>, excepto cuando sea una entidad pequeña o mediana</w:t>
      </w:r>
      <w:r w:rsidR="0085601D" w:rsidRPr="00AC4AEA">
        <w:rPr>
          <w:rFonts w:ascii="Arial" w:hAnsi="Arial" w:cs="Arial"/>
          <w:sz w:val="20"/>
          <w:szCs w:val="20"/>
        </w:rPr>
        <w:t xml:space="preserve"> que procede de acuerdo con lo</w:t>
      </w:r>
      <w:r w:rsidR="00163A13" w:rsidRPr="00AC4AEA">
        <w:rPr>
          <w:rFonts w:ascii="Arial" w:hAnsi="Arial" w:cs="Arial"/>
          <w:sz w:val="20"/>
          <w:szCs w:val="20"/>
        </w:rPr>
        <w:t xml:space="preserve"> </w:t>
      </w:r>
      <w:r w:rsidR="0085601D" w:rsidRPr="00AC4AEA">
        <w:rPr>
          <w:rFonts w:ascii="Arial" w:hAnsi="Arial" w:cs="Arial"/>
          <w:sz w:val="20"/>
          <w:szCs w:val="20"/>
        </w:rPr>
        <w:t>e</w:t>
      </w:r>
      <w:r w:rsidR="009C719D" w:rsidRPr="00AC4AEA">
        <w:rPr>
          <w:rFonts w:ascii="Arial" w:hAnsi="Arial" w:cs="Arial"/>
          <w:sz w:val="20"/>
          <w:szCs w:val="20"/>
        </w:rPr>
        <w:t>stablecid</w:t>
      </w:r>
      <w:r w:rsidR="0085601D" w:rsidRPr="00AC4AEA">
        <w:rPr>
          <w:rFonts w:ascii="Arial" w:hAnsi="Arial" w:cs="Arial"/>
          <w:sz w:val="20"/>
          <w:szCs w:val="20"/>
        </w:rPr>
        <w:t>o</w:t>
      </w:r>
      <w:r w:rsidR="009C719D" w:rsidRPr="00AC4AEA">
        <w:rPr>
          <w:rFonts w:ascii="Arial" w:hAnsi="Arial" w:cs="Arial"/>
          <w:sz w:val="20"/>
          <w:szCs w:val="20"/>
        </w:rPr>
        <w:t xml:space="preserve"> en el párrafo </w:t>
      </w:r>
      <w:fldSimple w:instr=" REF _Ref101014555 \r \h  \* MERGEFORMAT ">
        <w:r w:rsidR="00D33A5D" w:rsidRPr="00D33A5D">
          <w:rPr>
            <w:rFonts w:ascii="Arial" w:hAnsi="Arial" w:cs="Arial"/>
            <w:sz w:val="20"/>
            <w:szCs w:val="20"/>
          </w:rPr>
          <w:t>148</w:t>
        </w:r>
      </w:fldSimple>
      <w:r w:rsidRPr="00AC4AEA">
        <w:rPr>
          <w:rFonts w:ascii="Arial" w:hAnsi="Arial" w:cs="Arial"/>
          <w:sz w:val="20"/>
          <w:szCs w:val="20"/>
        </w:rPr>
        <w:t>.</w:t>
      </w:r>
    </w:p>
    <w:p w:rsidR="00E31A64" w:rsidRPr="00AC4AEA" w:rsidRDefault="00E31A6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existan </w:t>
      </w:r>
      <w:r w:rsidR="00497590" w:rsidRPr="00AC4AEA">
        <w:rPr>
          <w:rFonts w:ascii="Arial" w:hAnsi="Arial" w:cs="Arial"/>
          <w:sz w:val="20"/>
          <w:szCs w:val="20"/>
        </w:rPr>
        <w:t>activos</w:t>
      </w:r>
      <w:r w:rsidRPr="00AC4AEA">
        <w:rPr>
          <w:rFonts w:ascii="Arial" w:hAnsi="Arial" w:cs="Arial"/>
          <w:sz w:val="20"/>
          <w:szCs w:val="20"/>
        </w:rPr>
        <w:t xml:space="preserve"> intangibles con vida útil indefinida, la entidad analizará en cada cierre de ejercicio que los eventos y circunstancias que soportan esta definición continúan para esos </w:t>
      </w:r>
      <w:r w:rsidR="00497590" w:rsidRPr="00AC4AEA">
        <w:rPr>
          <w:rFonts w:ascii="Arial" w:hAnsi="Arial" w:cs="Arial"/>
          <w:sz w:val="20"/>
          <w:szCs w:val="20"/>
        </w:rPr>
        <w:t>activos</w:t>
      </w:r>
      <w:r w:rsidRPr="00AC4AEA">
        <w:rPr>
          <w:rFonts w:ascii="Arial" w:hAnsi="Arial" w:cs="Arial"/>
          <w:sz w:val="20"/>
          <w:szCs w:val="20"/>
        </w:rPr>
        <w:t xml:space="preserve">. Si </w:t>
      </w:r>
      <w:r w:rsidR="006433E0" w:rsidRPr="00AC4AEA">
        <w:rPr>
          <w:rFonts w:ascii="Arial" w:hAnsi="Arial" w:cs="Arial"/>
          <w:sz w:val="20"/>
          <w:szCs w:val="20"/>
        </w:rPr>
        <w:t>detectar</w:t>
      </w:r>
      <w:r w:rsidR="00BD7827" w:rsidRPr="00AC4AEA">
        <w:rPr>
          <w:rFonts w:ascii="Arial" w:hAnsi="Arial" w:cs="Arial"/>
          <w:sz w:val="20"/>
          <w:szCs w:val="20"/>
        </w:rPr>
        <w:t>a</w:t>
      </w:r>
      <w:r w:rsidR="006433E0" w:rsidRPr="00AC4AEA">
        <w:rPr>
          <w:rFonts w:ascii="Arial" w:hAnsi="Arial" w:cs="Arial"/>
          <w:sz w:val="20"/>
          <w:szCs w:val="20"/>
        </w:rPr>
        <w:t xml:space="preserve"> que </w:t>
      </w:r>
      <w:r w:rsidR="00BD7827" w:rsidRPr="00AC4AEA">
        <w:rPr>
          <w:rFonts w:ascii="Arial" w:hAnsi="Arial" w:cs="Arial"/>
          <w:sz w:val="20"/>
          <w:szCs w:val="20"/>
        </w:rPr>
        <w:t xml:space="preserve">un </w:t>
      </w:r>
      <w:r w:rsidRPr="00AC4AEA">
        <w:rPr>
          <w:rFonts w:ascii="Arial" w:hAnsi="Arial" w:cs="Arial"/>
          <w:b/>
          <w:bCs/>
          <w:sz w:val="20"/>
          <w:szCs w:val="20"/>
        </w:rPr>
        <w:t>activo</w:t>
      </w:r>
      <w:r w:rsidRPr="00AC4AEA">
        <w:rPr>
          <w:rFonts w:ascii="Arial" w:hAnsi="Arial" w:cs="Arial"/>
          <w:sz w:val="20"/>
          <w:szCs w:val="20"/>
        </w:rPr>
        <w:t xml:space="preserve"> con vida útil indefinida </w:t>
      </w:r>
      <w:r w:rsidR="00BD7827" w:rsidRPr="00AC4AEA">
        <w:rPr>
          <w:rFonts w:ascii="Arial" w:hAnsi="Arial" w:cs="Arial"/>
          <w:sz w:val="20"/>
          <w:szCs w:val="20"/>
        </w:rPr>
        <w:t>se transformó en</w:t>
      </w:r>
      <w:r w:rsidRPr="00AC4AEA">
        <w:rPr>
          <w:rFonts w:ascii="Arial" w:hAnsi="Arial" w:cs="Arial"/>
          <w:sz w:val="20"/>
          <w:szCs w:val="20"/>
        </w:rPr>
        <w:t xml:space="preserve"> un </w:t>
      </w:r>
      <w:r w:rsidRPr="00AC4AEA">
        <w:rPr>
          <w:rFonts w:ascii="Arial" w:hAnsi="Arial" w:cs="Arial"/>
          <w:b/>
          <w:bCs/>
          <w:sz w:val="20"/>
          <w:szCs w:val="20"/>
        </w:rPr>
        <w:t>activo</w:t>
      </w:r>
      <w:r w:rsidRPr="00AC4AEA">
        <w:rPr>
          <w:rFonts w:ascii="Arial" w:hAnsi="Arial" w:cs="Arial"/>
          <w:sz w:val="20"/>
          <w:szCs w:val="20"/>
        </w:rPr>
        <w:t xml:space="preserve"> con vida útil definida, </w:t>
      </w:r>
      <w:r w:rsidR="00BD7827" w:rsidRPr="00AC4AEA">
        <w:rPr>
          <w:rFonts w:ascii="Arial" w:hAnsi="Arial" w:cs="Arial"/>
          <w:sz w:val="20"/>
          <w:szCs w:val="20"/>
        </w:rPr>
        <w:t xml:space="preserve">la entidad </w:t>
      </w:r>
      <w:r w:rsidRPr="00AC4AEA">
        <w:rPr>
          <w:rFonts w:ascii="Arial" w:hAnsi="Arial" w:cs="Arial"/>
          <w:sz w:val="20"/>
          <w:szCs w:val="20"/>
        </w:rPr>
        <w:t xml:space="preserve">tratará </w:t>
      </w:r>
      <w:r w:rsidR="00BD7827" w:rsidRPr="00AC4AEA">
        <w:rPr>
          <w:rFonts w:ascii="Arial" w:hAnsi="Arial" w:cs="Arial"/>
          <w:sz w:val="20"/>
          <w:szCs w:val="20"/>
        </w:rPr>
        <w:t xml:space="preserve">dicha situación </w:t>
      </w:r>
      <w:r w:rsidRPr="00AC4AEA">
        <w:rPr>
          <w:rFonts w:ascii="Arial" w:hAnsi="Arial" w:cs="Arial"/>
          <w:sz w:val="20"/>
          <w:szCs w:val="20"/>
        </w:rPr>
        <w:t xml:space="preserve">como un cambio en </w:t>
      </w:r>
      <w:r w:rsidR="008839AD" w:rsidRPr="00AC4AEA">
        <w:rPr>
          <w:rFonts w:ascii="Arial" w:hAnsi="Arial" w:cs="Arial"/>
          <w:sz w:val="20"/>
          <w:szCs w:val="20"/>
        </w:rPr>
        <w:t>una</w:t>
      </w:r>
      <w:r w:rsidRPr="00AC4AEA">
        <w:rPr>
          <w:rFonts w:ascii="Arial" w:hAnsi="Arial" w:cs="Arial"/>
          <w:sz w:val="20"/>
          <w:szCs w:val="20"/>
        </w:rPr>
        <w:t xml:space="preserve"> estimación contable </w:t>
      </w:r>
      <w:r w:rsidR="00BD7827" w:rsidRPr="00AC4AEA">
        <w:rPr>
          <w:rFonts w:ascii="Arial" w:hAnsi="Arial" w:cs="Arial"/>
          <w:sz w:val="20"/>
          <w:szCs w:val="20"/>
        </w:rPr>
        <w:t xml:space="preserve">debido a </w:t>
      </w:r>
      <w:r w:rsidRPr="00AC4AEA">
        <w:rPr>
          <w:rFonts w:ascii="Arial" w:hAnsi="Arial" w:cs="Arial"/>
          <w:sz w:val="20"/>
          <w:szCs w:val="20"/>
        </w:rPr>
        <w:t>la obtención de nuevos elementos de juicio</w:t>
      </w:r>
      <w:r w:rsidR="006433E0" w:rsidRPr="00AC4AEA">
        <w:rPr>
          <w:rFonts w:ascii="Arial" w:hAnsi="Arial" w:cs="Arial"/>
          <w:sz w:val="20"/>
          <w:szCs w:val="20"/>
        </w:rPr>
        <w:t>, de acuerdo con la sección “</w:t>
      </w:r>
      <w:r w:rsidR="006433E0" w:rsidRPr="00AC4AEA">
        <w:rPr>
          <w:rFonts w:ascii="Arial" w:hAnsi="Arial" w:cs="Arial"/>
          <w:sz w:val="20"/>
          <w:szCs w:val="20"/>
          <w:u w:val="single"/>
        </w:rPr>
        <w:t xml:space="preserve">Cambios en </w:t>
      </w:r>
      <w:r w:rsidR="0041221A" w:rsidRPr="00AC4AEA">
        <w:rPr>
          <w:rFonts w:ascii="Arial" w:hAnsi="Arial" w:cs="Arial"/>
          <w:sz w:val="20"/>
          <w:szCs w:val="20"/>
          <w:u w:val="single"/>
        </w:rPr>
        <w:t xml:space="preserve">las </w:t>
      </w:r>
      <w:r w:rsidR="006433E0" w:rsidRPr="00AC4AEA">
        <w:rPr>
          <w:rFonts w:ascii="Arial" w:hAnsi="Arial" w:cs="Arial"/>
          <w:sz w:val="20"/>
          <w:szCs w:val="20"/>
          <w:u w:val="single"/>
        </w:rPr>
        <w:t>estimaciones contables</w:t>
      </w:r>
      <w:r w:rsidR="006433E0" w:rsidRPr="00AC4AEA">
        <w:rPr>
          <w:rFonts w:ascii="Arial" w:hAnsi="Arial" w:cs="Arial"/>
          <w:sz w:val="20"/>
          <w:szCs w:val="20"/>
        </w:rPr>
        <w:t xml:space="preserve">” </w:t>
      </w:r>
      <w:r w:rsidR="0041221A" w:rsidRPr="00AC4AEA">
        <w:rPr>
          <w:rFonts w:ascii="Arial" w:hAnsi="Arial" w:cs="Arial"/>
          <w:sz w:val="20"/>
          <w:szCs w:val="20"/>
        </w:rPr>
        <w:t xml:space="preserve">[ver el párrafo </w:t>
      </w:r>
      <w:fldSimple w:instr=" REF _Ref102769342 \r \h  \* MERGEFORMAT ">
        <w:r w:rsidR="00D33A5D" w:rsidRPr="00D33A5D">
          <w:rPr>
            <w:rFonts w:ascii="Arial" w:hAnsi="Arial" w:cs="Arial"/>
            <w:sz w:val="20"/>
            <w:szCs w:val="20"/>
          </w:rPr>
          <w:t>90</w:t>
        </w:r>
      </w:fldSimple>
      <w:r w:rsidR="0041221A" w:rsidRPr="00AC4AEA">
        <w:rPr>
          <w:rFonts w:ascii="Arial" w:hAnsi="Arial" w:cs="Arial"/>
          <w:sz w:val="20"/>
          <w:szCs w:val="20"/>
        </w:rPr>
        <w:t xml:space="preserve">]. </w:t>
      </w:r>
    </w:p>
    <w:p w:rsidR="00A7129F" w:rsidRPr="00AC4AEA" w:rsidRDefault="00A7129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asignará la amortización</w:t>
      </w:r>
      <w:r w:rsidR="00F216F2" w:rsidRPr="00AC4AEA">
        <w:rPr>
          <w:rFonts w:ascii="Arial" w:hAnsi="Arial" w:cs="Arial"/>
          <w:sz w:val="20"/>
          <w:szCs w:val="20"/>
        </w:rPr>
        <w:t>:</w:t>
      </w:r>
    </w:p>
    <w:p w:rsidR="00F216F2" w:rsidRPr="00AC4AEA" w:rsidRDefault="00CA5488" w:rsidP="00A318EA">
      <w:pPr>
        <w:pStyle w:val="Prrafodelista"/>
        <w:numPr>
          <w:ilvl w:val="0"/>
          <w:numId w:val="115"/>
        </w:numPr>
        <w:ind w:left="1560"/>
        <w:contextualSpacing w:val="0"/>
        <w:jc w:val="both"/>
        <w:rPr>
          <w:rFonts w:ascii="Arial" w:hAnsi="Arial" w:cs="Arial"/>
          <w:sz w:val="20"/>
          <w:szCs w:val="20"/>
        </w:rPr>
      </w:pPr>
      <w:r w:rsidRPr="00AC4AEA">
        <w:rPr>
          <w:rFonts w:ascii="Arial" w:hAnsi="Arial" w:cs="Arial"/>
          <w:sz w:val="20"/>
          <w:szCs w:val="20"/>
        </w:rPr>
        <w:t>s</w:t>
      </w:r>
      <w:r w:rsidR="00F216F2" w:rsidRPr="00AC4AEA">
        <w:rPr>
          <w:rFonts w:ascii="Arial" w:hAnsi="Arial" w:cs="Arial"/>
          <w:sz w:val="20"/>
          <w:szCs w:val="20"/>
        </w:rPr>
        <w:t xml:space="preserve">i fuera posible, a los períodos de vida útil del bien sobre una base sistemática que refleje el modo en que se consumen los beneficios producidos por el </w:t>
      </w:r>
      <w:r w:rsidR="00F216F2" w:rsidRPr="00AC4AEA">
        <w:rPr>
          <w:rFonts w:ascii="Arial" w:hAnsi="Arial" w:cs="Arial"/>
          <w:b/>
          <w:bCs/>
          <w:sz w:val="20"/>
          <w:szCs w:val="20"/>
        </w:rPr>
        <w:t>activo</w:t>
      </w:r>
      <w:r w:rsidR="007E2A61" w:rsidRPr="00AC4AEA">
        <w:rPr>
          <w:rFonts w:ascii="Arial" w:hAnsi="Arial" w:cs="Arial"/>
          <w:sz w:val="20"/>
          <w:szCs w:val="20"/>
        </w:rPr>
        <w:t>;</w:t>
      </w:r>
      <w:r w:rsidR="00F216F2" w:rsidRPr="00AC4AEA">
        <w:rPr>
          <w:rFonts w:ascii="Arial" w:hAnsi="Arial" w:cs="Arial"/>
          <w:sz w:val="20"/>
          <w:szCs w:val="20"/>
        </w:rPr>
        <w:t xml:space="preserve"> o</w:t>
      </w:r>
    </w:p>
    <w:p w:rsidR="00F216F2" w:rsidRPr="00AC4AEA" w:rsidRDefault="00CA5488" w:rsidP="00A318EA">
      <w:pPr>
        <w:pStyle w:val="Prrafodelista"/>
        <w:numPr>
          <w:ilvl w:val="0"/>
          <w:numId w:val="115"/>
        </w:numPr>
        <w:ind w:left="1560"/>
        <w:contextualSpacing w:val="0"/>
        <w:jc w:val="both"/>
        <w:rPr>
          <w:rFonts w:ascii="Arial" w:hAnsi="Arial" w:cs="Arial"/>
          <w:sz w:val="20"/>
          <w:szCs w:val="20"/>
        </w:rPr>
      </w:pPr>
      <w:r w:rsidRPr="00AC4AEA">
        <w:rPr>
          <w:rFonts w:ascii="Arial" w:hAnsi="Arial" w:cs="Arial"/>
          <w:sz w:val="20"/>
          <w:szCs w:val="20"/>
        </w:rPr>
        <w:t>m</w:t>
      </w:r>
      <w:r w:rsidR="00F216F2" w:rsidRPr="00AC4AEA">
        <w:rPr>
          <w:rFonts w:ascii="Arial" w:hAnsi="Arial" w:cs="Arial"/>
          <w:sz w:val="20"/>
          <w:szCs w:val="20"/>
        </w:rPr>
        <w:t>ediante el método de la línea recta.</w:t>
      </w:r>
    </w:p>
    <w:p w:rsidR="00BD7827" w:rsidRPr="00AC4AEA" w:rsidRDefault="00481B7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opte por reconocer </w:t>
      </w:r>
      <w:r w:rsidR="00497590" w:rsidRPr="00AC4AEA">
        <w:rPr>
          <w:rFonts w:ascii="Arial" w:hAnsi="Arial" w:cs="Arial"/>
          <w:sz w:val="20"/>
          <w:szCs w:val="20"/>
        </w:rPr>
        <w:t>activos</w:t>
      </w:r>
      <w:r w:rsidRPr="00AC4AEA">
        <w:rPr>
          <w:rFonts w:ascii="Arial" w:hAnsi="Arial" w:cs="Arial"/>
          <w:sz w:val="20"/>
          <w:szCs w:val="20"/>
        </w:rPr>
        <w:t xml:space="preserve"> intangibles de conformidad con el párrafo </w:t>
      </w:r>
      <w:fldSimple w:instr=" REF _Ref102768555 \r \h  \* MERGEFORMAT ">
        <w:r w:rsidR="00D33A5D" w:rsidRPr="00D33A5D">
          <w:rPr>
            <w:rFonts w:ascii="Arial" w:hAnsi="Arial" w:cs="Arial"/>
            <w:sz w:val="20"/>
            <w:szCs w:val="20"/>
          </w:rPr>
          <w:t>391</w:t>
        </w:r>
      </w:fldSimple>
      <w:r w:rsidR="009D367D" w:rsidRPr="00AC4AEA">
        <w:rPr>
          <w:rFonts w:ascii="Arial" w:hAnsi="Arial" w:cs="Arial"/>
          <w:sz w:val="20"/>
          <w:szCs w:val="20"/>
        </w:rPr>
        <w:t>, a</w:t>
      </w:r>
      <w:r w:rsidRPr="00AC4AEA">
        <w:rPr>
          <w:rFonts w:ascii="Arial" w:hAnsi="Arial" w:cs="Arial"/>
          <w:sz w:val="20"/>
          <w:szCs w:val="20"/>
        </w:rPr>
        <w:t xml:space="preserve"> los fines del cálculo de las </w:t>
      </w:r>
      <w:r w:rsidR="009D367D" w:rsidRPr="00AC4AEA">
        <w:rPr>
          <w:rFonts w:ascii="Arial" w:hAnsi="Arial" w:cs="Arial"/>
          <w:sz w:val="20"/>
          <w:szCs w:val="20"/>
        </w:rPr>
        <w:t>amortizaciones</w:t>
      </w:r>
      <w:r w:rsidRPr="00AC4AEA">
        <w:rPr>
          <w:rFonts w:ascii="Arial" w:hAnsi="Arial" w:cs="Arial"/>
          <w:sz w:val="20"/>
          <w:szCs w:val="20"/>
        </w:rPr>
        <w:t xml:space="preserve">, </w:t>
      </w:r>
      <w:r w:rsidR="00BD7827" w:rsidRPr="00AC4AEA">
        <w:rPr>
          <w:rFonts w:ascii="Arial" w:hAnsi="Arial" w:cs="Arial"/>
          <w:sz w:val="20"/>
          <w:szCs w:val="20"/>
        </w:rPr>
        <w:t xml:space="preserve">una entidad: </w:t>
      </w:r>
    </w:p>
    <w:p w:rsidR="00481B7C" w:rsidRPr="00AC4AEA" w:rsidRDefault="00481B7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presum</w:t>
      </w:r>
      <w:r w:rsidR="009D367D" w:rsidRPr="00AC4AEA">
        <w:rPr>
          <w:rFonts w:ascii="Arial" w:hAnsi="Arial" w:cs="Arial"/>
          <w:sz w:val="20"/>
          <w:szCs w:val="20"/>
        </w:rPr>
        <w:t>irá</w:t>
      </w:r>
      <w:r w:rsidRPr="00AC4AEA">
        <w:rPr>
          <w:rFonts w:ascii="Arial" w:hAnsi="Arial" w:cs="Arial"/>
          <w:sz w:val="20"/>
          <w:szCs w:val="20"/>
        </w:rPr>
        <w:t xml:space="preserve"> sin admitir prueba en</w:t>
      </w:r>
      <w:r w:rsidR="009D367D" w:rsidRPr="00AC4AEA">
        <w:rPr>
          <w:rFonts w:ascii="Arial" w:hAnsi="Arial" w:cs="Arial"/>
          <w:sz w:val="20"/>
          <w:szCs w:val="20"/>
        </w:rPr>
        <w:t xml:space="preserve"> </w:t>
      </w:r>
      <w:r w:rsidRPr="00AC4AEA">
        <w:rPr>
          <w:rFonts w:ascii="Arial" w:hAnsi="Arial" w:cs="Arial"/>
          <w:sz w:val="20"/>
          <w:szCs w:val="20"/>
        </w:rPr>
        <w:t xml:space="preserve">contrario que la vida </w:t>
      </w:r>
      <w:r w:rsidR="008F6117" w:rsidRPr="00AC4AEA">
        <w:rPr>
          <w:rFonts w:ascii="Arial" w:hAnsi="Arial" w:cs="Arial"/>
          <w:sz w:val="20"/>
          <w:szCs w:val="20"/>
        </w:rPr>
        <w:t>útil</w:t>
      </w:r>
      <w:r w:rsidRPr="00AC4AEA">
        <w:rPr>
          <w:rFonts w:ascii="Arial" w:hAnsi="Arial" w:cs="Arial"/>
          <w:sz w:val="20"/>
          <w:szCs w:val="20"/>
        </w:rPr>
        <w:t xml:space="preserve"> de los costos de organización y costos</w:t>
      </w:r>
      <w:r w:rsidR="009D367D" w:rsidRPr="00AC4AEA">
        <w:rPr>
          <w:rFonts w:ascii="Arial" w:hAnsi="Arial" w:cs="Arial"/>
          <w:sz w:val="20"/>
          <w:szCs w:val="20"/>
        </w:rPr>
        <w:t xml:space="preserve"> </w:t>
      </w:r>
      <w:r w:rsidRPr="00AC4AEA">
        <w:rPr>
          <w:rFonts w:ascii="Arial" w:hAnsi="Arial" w:cs="Arial"/>
          <w:sz w:val="20"/>
          <w:szCs w:val="20"/>
        </w:rPr>
        <w:t>preoperativos no es superior a los cinco años</w:t>
      </w:r>
      <w:r w:rsidR="00BD7827" w:rsidRPr="00AC4AEA">
        <w:rPr>
          <w:rFonts w:ascii="Arial" w:hAnsi="Arial" w:cs="Arial"/>
          <w:sz w:val="20"/>
          <w:szCs w:val="20"/>
        </w:rPr>
        <w:t>; y</w:t>
      </w:r>
    </w:p>
    <w:p w:rsidR="00BD7827" w:rsidRPr="00AC4AEA" w:rsidRDefault="00BD782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no podrá admitir ni aportar pruebas en contrario.</w:t>
      </w:r>
    </w:p>
    <w:p w:rsidR="00A7129F" w:rsidRPr="00AC4AEA" w:rsidRDefault="00A7129F" w:rsidP="00A318EA">
      <w:pPr>
        <w:jc w:val="both"/>
        <w:rPr>
          <w:rFonts w:ascii="Arial" w:hAnsi="Arial" w:cs="Arial"/>
          <w:b/>
          <w:bCs/>
          <w:sz w:val="20"/>
          <w:szCs w:val="20"/>
        </w:rPr>
      </w:pPr>
    </w:p>
    <w:p w:rsidR="00927D7B" w:rsidRPr="00AC4AEA" w:rsidRDefault="00927D7B" w:rsidP="00A318EA">
      <w:pPr>
        <w:pStyle w:val="Ttulo2"/>
        <w:rPr>
          <w:rFonts w:cs="Arial"/>
        </w:rPr>
      </w:pPr>
      <w:bookmarkStart w:id="565" w:name="_Toc101863892"/>
      <w:bookmarkStart w:id="566" w:name="_Toc139356757"/>
      <w:r w:rsidRPr="00AC4AEA">
        <w:rPr>
          <w:rFonts w:cs="Arial"/>
        </w:rPr>
        <w:lastRenderedPageBreak/>
        <w:t>Comparaci</w:t>
      </w:r>
      <w:r w:rsidR="0036472C" w:rsidRPr="00AC4AEA">
        <w:rPr>
          <w:rFonts w:cs="Arial"/>
        </w:rPr>
        <w:t>ón</w:t>
      </w:r>
      <w:r w:rsidRPr="00AC4AEA">
        <w:rPr>
          <w:rFonts w:cs="Arial"/>
        </w:rPr>
        <w:t xml:space="preserve"> con el valor recuperable</w:t>
      </w:r>
      <w:bookmarkEnd w:id="565"/>
      <w:bookmarkEnd w:id="566"/>
    </w:p>
    <w:p w:rsidR="00E1484A" w:rsidRPr="00AC4AEA" w:rsidRDefault="00E1484A" w:rsidP="00A318EA">
      <w:pPr>
        <w:pStyle w:val="A-Normal11"/>
        <w:numPr>
          <w:ilvl w:val="0"/>
          <w:numId w:val="29"/>
        </w:numPr>
        <w:jc w:val="both"/>
        <w:rPr>
          <w:rFonts w:ascii="Arial" w:hAnsi="Arial" w:cs="Arial"/>
          <w:sz w:val="20"/>
        </w:rPr>
      </w:pPr>
      <w:r w:rsidRPr="00AC4AEA">
        <w:rPr>
          <w:rFonts w:ascii="Arial" w:hAnsi="Arial" w:cs="Arial"/>
          <w:sz w:val="20"/>
        </w:rPr>
        <w:t xml:space="preserve">A los fines indicados en </w:t>
      </w:r>
      <w:r w:rsidR="0036472C" w:rsidRPr="00AC4AEA">
        <w:rPr>
          <w:rFonts w:ascii="Arial" w:hAnsi="Arial" w:cs="Arial"/>
          <w:sz w:val="20"/>
        </w:rPr>
        <w:t xml:space="preserve">este </w:t>
      </w:r>
      <w:r w:rsidR="009D19FF">
        <w:rPr>
          <w:rFonts w:ascii="Arial" w:hAnsi="Arial" w:cs="Arial"/>
          <w:sz w:val="20"/>
        </w:rPr>
        <w:t>apartado</w:t>
      </w:r>
      <w:r w:rsidRPr="00AC4AEA">
        <w:rPr>
          <w:rFonts w:ascii="Arial" w:hAnsi="Arial" w:cs="Arial"/>
          <w:sz w:val="20"/>
        </w:rPr>
        <w:t>, una entidad aplicará lo establecido en la sección “</w:t>
      </w:r>
      <w:r w:rsidRPr="00AC4AEA">
        <w:rPr>
          <w:rFonts w:ascii="Arial" w:hAnsi="Arial" w:cs="Arial"/>
          <w:sz w:val="20"/>
          <w:u w:val="single"/>
        </w:rPr>
        <w:t xml:space="preserve">Comparación de la medición de ciertos </w:t>
      </w:r>
      <w:r w:rsidR="00497590" w:rsidRPr="00AC4AEA">
        <w:rPr>
          <w:rFonts w:ascii="Arial" w:hAnsi="Arial" w:cs="Arial"/>
          <w:sz w:val="20"/>
          <w:u w:val="single"/>
        </w:rPr>
        <w:t>activos</w:t>
      </w:r>
      <w:r w:rsidRPr="00AC4AEA">
        <w:rPr>
          <w:rFonts w:ascii="Arial" w:hAnsi="Arial" w:cs="Arial"/>
          <w:sz w:val="20"/>
          <w:u w:val="single"/>
        </w:rPr>
        <w:t xml:space="preserve"> con su valor recuperable</w:t>
      </w:r>
      <w:r w:rsidR="003606FE" w:rsidRPr="00AC4AEA">
        <w:rPr>
          <w:rFonts w:ascii="Arial" w:hAnsi="Arial" w:cs="Arial"/>
          <w:sz w:val="20"/>
        </w:rPr>
        <w:t xml:space="preserve">” [ver los párrafos </w:t>
      </w:r>
      <w:fldSimple w:instr=" REF _Ref99481071 \r \h  \* MERGEFORMAT ">
        <w:r w:rsidR="00D33A5D" w:rsidRPr="00D33A5D">
          <w:rPr>
            <w:rFonts w:ascii="Arial" w:hAnsi="Arial" w:cs="Arial"/>
            <w:sz w:val="20"/>
          </w:rPr>
          <w:t>145</w:t>
        </w:r>
      </w:fldSimple>
      <w:r w:rsidR="003606FE" w:rsidRPr="00AC4AEA">
        <w:rPr>
          <w:rFonts w:ascii="Arial" w:hAnsi="Arial" w:cs="Arial"/>
          <w:sz w:val="20"/>
        </w:rPr>
        <w:t xml:space="preserve"> a </w:t>
      </w:r>
      <w:fldSimple w:instr=" REF _Ref99481072 \r \h  \* MERGEFORMAT ">
        <w:r w:rsidR="00D33A5D" w:rsidRPr="00D33A5D">
          <w:rPr>
            <w:rFonts w:ascii="Arial" w:hAnsi="Arial" w:cs="Arial"/>
            <w:sz w:val="20"/>
          </w:rPr>
          <w:t>175</w:t>
        </w:r>
      </w:fldSimple>
      <w:r w:rsidR="003606FE" w:rsidRPr="00AC4AEA">
        <w:rPr>
          <w:rFonts w:ascii="Arial" w:hAnsi="Arial" w:cs="Arial"/>
          <w:sz w:val="20"/>
        </w:rPr>
        <w:t>].</w:t>
      </w:r>
    </w:p>
    <w:p w:rsidR="00927D7B" w:rsidRPr="00AC4AEA" w:rsidRDefault="00927D7B" w:rsidP="00A318EA">
      <w:pPr>
        <w:jc w:val="both"/>
        <w:rPr>
          <w:rFonts w:ascii="Arial" w:hAnsi="Arial" w:cs="Arial"/>
          <w:sz w:val="20"/>
          <w:szCs w:val="20"/>
        </w:rPr>
      </w:pPr>
    </w:p>
    <w:p w:rsidR="00FC62C5" w:rsidRPr="00AC4AEA" w:rsidRDefault="00FC62C5" w:rsidP="00A318EA">
      <w:pPr>
        <w:pStyle w:val="Ttulo2"/>
        <w:rPr>
          <w:rFonts w:cs="Arial"/>
        </w:rPr>
      </w:pPr>
      <w:bookmarkStart w:id="567" w:name="_Toc139356758"/>
      <w:r w:rsidRPr="00AC4AEA">
        <w:rPr>
          <w:rFonts w:cs="Arial"/>
        </w:rPr>
        <w:t>Compensación por desvalorización, pérdida o abandono</w:t>
      </w:r>
      <w:bookmarkEnd w:id="567"/>
    </w:p>
    <w:p w:rsidR="00731B8E" w:rsidRPr="00AC4AEA" w:rsidRDefault="00731B8E" w:rsidP="00A318EA">
      <w:pPr>
        <w:pStyle w:val="A-Normal11"/>
        <w:numPr>
          <w:ilvl w:val="0"/>
          <w:numId w:val="29"/>
        </w:numPr>
        <w:jc w:val="both"/>
        <w:rPr>
          <w:rFonts w:ascii="Arial" w:hAnsi="Arial" w:cs="Arial"/>
          <w:sz w:val="20"/>
        </w:rPr>
      </w:pPr>
      <w:r w:rsidRPr="00AC4AEA">
        <w:rPr>
          <w:rFonts w:ascii="Arial" w:hAnsi="Arial" w:cs="Arial"/>
          <w:sz w:val="20"/>
        </w:rPr>
        <w:t>Una entidad incluirá en el resultado del período, y cuando tales conceptos sean exigibles, las compensaciones procedentes de terceros por activos intangibles que:</w:t>
      </w:r>
    </w:p>
    <w:p w:rsidR="00731B8E" w:rsidRPr="00AC4AEA" w:rsidRDefault="00731B8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hayan experimentado una desvalorización; </w:t>
      </w:r>
    </w:p>
    <w:p w:rsidR="00731B8E" w:rsidRPr="00AC4AEA" w:rsidRDefault="00731B8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se hayan perdido; o </w:t>
      </w:r>
    </w:p>
    <w:p w:rsidR="00FD3947" w:rsidRPr="00AC4AEA" w:rsidRDefault="00731B8E" w:rsidP="00A318EA">
      <w:pPr>
        <w:pStyle w:val="A-Normal11"/>
        <w:numPr>
          <w:ilvl w:val="1"/>
          <w:numId w:val="29"/>
        </w:numPr>
        <w:ind w:left="1560"/>
        <w:jc w:val="both"/>
        <w:rPr>
          <w:rFonts w:ascii="Arial" w:hAnsi="Arial" w:cs="Arial"/>
          <w:sz w:val="20"/>
        </w:rPr>
      </w:pPr>
      <w:r w:rsidRPr="00AC4AEA">
        <w:rPr>
          <w:rFonts w:ascii="Arial" w:hAnsi="Arial" w:cs="Arial"/>
          <w:sz w:val="20"/>
        </w:rPr>
        <w:t>haya abandonado</w:t>
      </w:r>
      <w:r w:rsidR="00FD3947" w:rsidRPr="00AC4AEA">
        <w:rPr>
          <w:rFonts w:ascii="Arial" w:hAnsi="Arial" w:cs="Arial"/>
          <w:sz w:val="20"/>
        </w:rPr>
        <w:t>.</w:t>
      </w:r>
    </w:p>
    <w:p w:rsidR="00FD3947" w:rsidRPr="00AC4AEA" w:rsidRDefault="00FD3947" w:rsidP="00A318EA">
      <w:pPr>
        <w:jc w:val="both"/>
        <w:rPr>
          <w:rFonts w:ascii="Arial" w:hAnsi="Arial" w:cs="Arial"/>
          <w:sz w:val="20"/>
          <w:szCs w:val="20"/>
        </w:rPr>
      </w:pPr>
    </w:p>
    <w:p w:rsidR="00927D7B" w:rsidRPr="00AC4AEA" w:rsidRDefault="00927D7B" w:rsidP="00A318EA">
      <w:pPr>
        <w:pStyle w:val="Ttulo2"/>
        <w:rPr>
          <w:rFonts w:cs="Arial"/>
        </w:rPr>
      </w:pPr>
      <w:bookmarkStart w:id="568" w:name="_Toc101863893"/>
      <w:bookmarkStart w:id="569" w:name="_Toc139356759"/>
      <w:r w:rsidRPr="00AC4AEA">
        <w:rPr>
          <w:rFonts w:cs="Arial"/>
        </w:rPr>
        <w:t>Presentación</w:t>
      </w:r>
      <w:bookmarkEnd w:id="568"/>
      <w:r w:rsidR="00575AD4" w:rsidRPr="00AC4AEA">
        <w:rPr>
          <w:rFonts w:cs="Arial"/>
        </w:rPr>
        <w:t xml:space="preserve"> en los estados contables</w:t>
      </w:r>
      <w:bookmarkEnd w:id="569"/>
    </w:p>
    <w:p w:rsidR="007D7512" w:rsidRPr="00AC4AEA" w:rsidRDefault="006F1F4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A576D5" w:rsidRPr="00AC4AEA">
        <w:rPr>
          <w:rFonts w:ascii="Arial" w:hAnsi="Arial" w:cs="Arial"/>
          <w:sz w:val="20"/>
          <w:szCs w:val="20"/>
        </w:rPr>
        <w:t>na entidad</w:t>
      </w:r>
      <w:r w:rsidR="007D7512" w:rsidRPr="00AC4AEA">
        <w:rPr>
          <w:rFonts w:ascii="Arial" w:hAnsi="Arial" w:cs="Arial"/>
          <w:sz w:val="20"/>
          <w:szCs w:val="20"/>
        </w:rPr>
        <w:t>:</w:t>
      </w:r>
    </w:p>
    <w:p w:rsidR="00A576D5" w:rsidRPr="00AC4AEA" w:rsidRDefault="007D751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w:t>
      </w:r>
      <w:r w:rsidR="00A576D5" w:rsidRPr="00AC4AEA">
        <w:rPr>
          <w:rFonts w:ascii="Arial" w:hAnsi="Arial" w:cs="Arial"/>
          <w:sz w:val="20"/>
          <w:szCs w:val="20"/>
        </w:rPr>
        <w:t xml:space="preserve">resentará </w:t>
      </w:r>
      <w:r w:rsidRPr="00AC4AEA">
        <w:rPr>
          <w:rFonts w:ascii="Arial" w:hAnsi="Arial" w:cs="Arial"/>
          <w:sz w:val="20"/>
          <w:szCs w:val="20"/>
        </w:rPr>
        <w:t>los</w:t>
      </w:r>
      <w:r w:rsidR="00A576D5" w:rsidRPr="00AC4AEA">
        <w:rPr>
          <w:rFonts w:ascii="Arial" w:hAnsi="Arial" w:cs="Arial"/>
          <w:sz w:val="20"/>
          <w:szCs w:val="20"/>
        </w:rPr>
        <w:t xml:space="preserve"> </w:t>
      </w:r>
      <w:r w:rsidR="00497590" w:rsidRPr="00AC4AEA">
        <w:rPr>
          <w:rFonts w:ascii="Arial" w:hAnsi="Arial" w:cs="Arial"/>
          <w:sz w:val="20"/>
          <w:szCs w:val="20"/>
        </w:rPr>
        <w:t>activos</w:t>
      </w:r>
      <w:r w:rsidR="003656D5" w:rsidRPr="00AC4AEA">
        <w:rPr>
          <w:rFonts w:ascii="Arial" w:hAnsi="Arial" w:cs="Arial"/>
          <w:sz w:val="20"/>
          <w:szCs w:val="20"/>
        </w:rPr>
        <w:t xml:space="preserve"> intangibles</w:t>
      </w:r>
      <w:r w:rsidR="00A576D5" w:rsidRPr="00AC4AEA">
        <w:rPr>
          <w:rFonts w:ascii="Arial" w:hAnsi="Arial" w:cs="Arial"/>
          <w:sz w:val="20"/>
          <w:szCs w:val="20"/>
        </w:rPr>
        <w:t xml:space="preserve"> </w:t>
      </w:r>
      <w:r w:rsidRPr="00AC4AEA">
        <w:rPr>
          <w:rFonts w:ascii="Arial" w:hAnsi="Arial" w:cs="Arial"/>
          <w:sz w:val="20"/>
          <w:szCs w:val="20"/>
        </w:rPr>
        <w:t xml:space="preserve">separados del resto de los activos, </w:t>
      </w:r>
      <w:r w:rsidR="00A576D5" w:rsidRPr="00AC4AEA">
        <w:rPr>
          <w:rFonts w:ascii="Arial" w:hAnsi="Arial" w:cs="Arial"/>
          <w:sz w:val="20"/>
          <w:szCs w:val="20"/>
        </w:rPr>
        <w:t>como un activo no corriente</w:t>
      </w:r>
      <w:r w:rsidRPr="00AC4AEA">
        <w:rPr>
          <w:rFonts w:ascii="Arial" w:hAnsi="Arial" w:cs="Arial"/>
          <w:sz w:val="20"/>
          <w:szCs w:val="20"/>
        </w:rPr>
        <w:t>.</w:t>
      </w:r>
    </w:p>
    <w:p w:rsidR="007D7512" w:rsidRPr="00AC4AEA" w:rsidRDefault="007D7512"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Incluirá los anticipos a proveedores de este tipo de activos dentro del rubro activos intangibles.</w:t>
      </w:r>
    </w:p>
    <w:p w:rsidR="003656D5" w:rsidRPr="00AC4AEA" w:rsidRDefault="003656D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presentará el</w:t>
      </w:r>
      <w:r w:rsidR="00FD3947" w:rsidRPr="00AC4AEA">
        <w:rPr>
          <w:rFonts w:ascii="Arial" w:hAnsi="Arial" w:cs="Arial"/>
          <w:sz w:val="20"/>
          <w:szCs w:val="20"/>
        </w:rPr>
        <w:t xml:space="preserve"> cargo</w:t>
      </w:r>
      <w:r w:rsidRPr="00AC4AEA">
        <w:rPr>
          <w:rFonts w:ascii="Arial" w:hAnsi="Arial" w:cs="Arial"/>
          <w:sz w:val="20"/>
          <w:szCs w:val="20"/>
        </w:rPr>
        <w:t xml:space="preserve"> por amortizaciones dentro del costo de </w:t>
      </w:r>
      <w:r w:rsidR="00BE79DC" w:rsidRPr="00AC4AEA">
        <w:rPr>
          <w:rFonts w:ascii="Arial" w:hAnsi="Arial" w:cs="Arial"/>
          <w:sz w:val="20"/>
          <w:szCs w:val="20"/>
        </w:rPr>
        <w:t>los</w:t>
      </w:r>
      <w:r w:rsidRPr="00AC4AEA">
        <w:rPr>
          <w:rFonts w:ascii="Arial" w:hAnsi="Arial" w:cs="Arial"/>
          <w:sz w:val="20"/>
          <w:szCs w:val="20"/>
        </w:rPr>
        <w:t xml:space="preserve"> bienes vendidos</w:t>
      </w:r>
      <w:r w:rsidR="00407D85" w:rsidRPr="00AC4AEA">
        <w:rPr>
          <w:rFonts w:ascii="Arial" w:hAnsi="Arial" w:cs="Arial"/>
          <w:sz w:val="20"/>
          <w:szCs w:val="20"/>
        </w:rPr>
        <w:t xml:space="preserve"> o serv</w:t>
      </w:r>
      <w:r w:rsidR="00307B75" w:rsidRPr="00AC4AEA">
        <w:rPr>
          <w:rFonts w:ascii="Arial" w:hAnsi="Arial" w:cs="Arial"/>
          <w:sz w:val="20"/>
          <w:szCs w:val="20"/>
        </w:rPr>
        <w:t>i</w:t>
      </w:r>
      <w:r w:rsidR="00407D85" w:rsidRPr="00AC4AEA">
        <w:rPr>
          <w:rFonts w:ascii="Arial" w:hAnsi="Arial" w:cs="Arial"/>
          <w:sz w:val="20"/>
          <w:szCs w:val="20"/>
        </w:rPr>
        <w:t>cios prestados</w:t>
      </w:r>
      <w:r w:rsidRPr="00AC4AEA">
        <w:rPr>
          <w:rFonts w:ascii="Arial" w:hAnsi="Arial" w:cs="Arial"/>
          <w:sz w:val="20"/>
          <w:szCs w:val="20"/>
        </w:rPr>
        <w:t xml:space="preserve"> (cuando las amortizaciones forman parte del </w:t>
      </w:r>
      <w:r w:rsidRPr="00AC4AEA">
        <w:rPr>
          <w:rFonts w:ascii="Arial" w:hAnsi="Arial" w:cs="Arial"/>
          <w:b/>
          <w:bCs/>
          <w:sz w:val="20"/>
          <w:szCs w:val="20"/>
        </w:rPr>
        <w:t>costo de producción</w:t>
      </w:r>
      <w:r w:rsidRPr="00AC4AEA">
        <w:rPr>
          <w:rFonts w:ascii="Arial" w:hAnsi="Arial" w:cs="Arial"/>
          <w:sz w:val="20"/>
          <w:szCs w:val="20"/>
        </w:rPr>
        <w:t xml:space="preserve"> o </w:t>
      </w:r>
      <w:r w:rsidR="00440D39" w:rsidRPr="00AC4AEA">
        <w:rPr>
          <w:rFonts w:ascii="Arial" w:hAnsi="Arial" w:cs="Arial"/>
          <w:b/>
          <w:bCs/>
          <w:sz w:val="20"/>
          <w:szCs w:val="20"/>
        </w:rPr>
        <w:t xml:space="preserve">costo de </w:t>
      </w:r>
      <w:r w:rsidRPr="00AC4AEA">
        <w:rPr>
          <w:rFonts w:ascii="Arial" w:hAnsi="Arial" w:cs="Arial"/>
          <w:b/>
          <w:bCs/>
          <w:sz w:val="20"/>
          <w:szCs w:val="20"/>
        </w:rPr>
        <w:t>construcción</w:t>
      </w:r>
      <w:r w:rsidRPr="00AC4AEA">
        <w:rPr>
          <w:rFonts w:ascii="Arial" w:hAnsi="Arial" w:cs="Arial"/>
          <w:sz w:val="20"/>
          <w:szCs w:val="20"/>
        </w:rPr>
        <w:t>) y los demás gastos (comerciales, administrativos, etc.).</w:t>
      </w:r>
    </w:p>
    <w:p w:rsidR="002A6B1F" w:rsidRPr="00AC4AEA" w:rsidRDefault="006F1F47" w:rsidP="00A318EA">
      <w:pPr>
        <w:pStyle w:val="A-Normal11"/>
        <w:numPr>
          <w:ilvl w:val="0"/>
          <w:numId w:val="29"/>
        </w:numPr>
        <w:jc w:val="both"/>
        <w:rPr>
          <w:rFonts w:ascii="Arial" w:hAnsi="Arial" w:cs="Arial"/>
          <w:sz w:val="20"/>
        </w:rPr>
      </w:pPr>
      <w:r w:rsidRPr="00AC4AEA">
        <w:rPr>
          <w:rFonts w:ascii="Arial" w:hAnsi="Arial" w:cs="Arial"/>
          <w:sz w:val="20"/>
        </w:rPr>
        <w:t>En el estado de resultados, u</w:t>
      </w:r>
      <w:r w:rsidR="002A6B1F" w:rsidRPr="00AC4AEA">
        <w:rPr>
          <w:rFonts w:ascii="Arial" w:hAnsi="Arial" w:cs="Arial"/>
          <w:sz w:val="20"/>
        </w:rPr>
        <w:t xml:space="preserve">na entidad presentará las </w:t>
      </w:r>
      <w:r w:rsidR="002A6B1F" w:rsidRPr="00AC4AEA">
        <w:rPr>
          <w:rFonts w:ascii="Arial" w:hAnsi="Arial" w:cs="Arial"/>
          <w:b/>
          <w:bCs/>
          <w:sz w:val="20"/>
        </w:rPr>
        <w:t>pérdidas por desvalorización</w:t>
      </w:r>
      <w:r w:rsidR="002A6B1F" w:rsidRPr="00AC4AEA">
        <w:rPr>
          <w:rFonts w:ascii="Arial" w:hAnsi="Arial" w:cs="Arial"/>
          <w:sz w:val="20"/>
        </w:rPr>
        <w:t xml:space="preserve"> y las reversiones de dichas pérdidas bajo un título específico para tales conceptos.</w:t>
      </w:r>
    </w:p>
    <w:p w:rsidR="002A009A" w:rsidRPr="00AC4AEA" w:rsidRDefault="006F1F47" w:rsidP="00A318EA">
      <w:pPr>
        <w:pStyle w:val="A-Normal11"/>
        <w:numPr>
          <w:ilvl w:val="0"/>
          <w:numId w:val="29"/>
        </w:numPr>
        <w:jc w:val="both"/>
        <w:rPr>
          <w:rFonts w:ascii="Arial" w:hAnsi="Arial" w:cs="Arial"/>
          <w:b/>
          <w:bCs/>
          <w:sz w:val="20"/>
        </w:rPr>
      </w:pPr>
      <w:r w:rsidRPr="00AC4AEA">
        <w:rPr>
          <w:rFonts w:ascii="Arial" w:hAnsi="Arial" w:cs="Arial"/>
          <w:sz w:val="20"/>
        </w:rPr>
        <w:t>En el estado de resultados, u</w:t>
      </w:r>
      <w:r w:rsidR="002A009A" w:rsidRPr="00AC4AEA">
        <w:rPr>
          <w:rFonts w:ascii="Arial" w:hAnsi="Arial" w:cs="Arial"/>
          <w:sz w:val="20"/>
        </w:rPr>
        <w:t xml:space="preserve">na entidad presentará los resultados derivados de la baja en cuentas de estos </w:t>
      </w:r>
      <w:r w:rsidR="00497590" w:rsidRPr="00AC4AEA">
        <w:rPr>
          <w:rFonts w:ascii="Arial" w:hAnsi="Arial" w:cs="Arial"/>
          <w:sz w:val="20"/>
        </w:rPr>
        <w:t>activos</w:t>
      </w:r>
      <w:r w:rsidR="002A009A" w:rsidRPr="00AC4AEA">
        <w:rPr>
          <w:rFonts w:ascii="Arial" w:hAnsi="Arial" w:cs="Arial"/>
          <w:sz w:val="20"/>
        </w:rPr>
        <w:t xml:space="preserve"> por su disposición bajo el título otros ingresos y gastos</w:t>
      </w:r>
      <w:r w:rsidRPr="00AC4AEA">
        <w:rPr>
          <w:rFonts w:ascii="Arial" w:hAnsi="Arial" w:cs="Arial"/>
          <w:sz w:val="20"/>
        </w:rPr>
        <w:t>,</w:t>
      </w:r>
      <w:r w:rsidR="00BD7827" w:rsidRPr="00AC4AEA">
        <w:rPr>
          <w:rFonts w:ascii="Arial" w:hAnsi="Arial" w:cs="Arial"/>
          <w:sz w:val="20"/>
        </w:rPr>
        <w:t xml:space="preserve"> </w:t>
      </w:r>
      <w:r w:rsidR="002A009A" w:rsidRPr="00AC4AEA">
        <w:rPr>
          <w:rFonts w:ascii="Arial" w:hAnsi="Arial" w:cs="Arial"/>
          <w:sz w:val="20"/>
        </w:rPr>
        <w:t xml:space="preserve">separado de los </w:t>
      </w:r>
      <w:r w:rsidR="002A009A" w:rsidRPr="00AC4AEA">
        <w:rPr>
          <w:rFonts w:ascii="Arial" w:hAnsi="Arial" w:cs="Arial"/>
          <w:b/>
          <w:bCs/>
          <w:sz w:val="20"/>
        </w:rPr>
        <w:t>ingresos por actividades ordinarias.</w:t>
      </w:r>
    </w:p>
    <w:p w:rsidR="00927D7B" w:rsidRPr="00AC4AEA" w:rsidRDefault="00927D7B" w:rsidP="00A318EA">
      <w:pPr>
        <w:ind w:left="284"/>
        <w:jc w:val="both"/>
        <w:rPr>
          <w:rFonts w:ascii="Arial" w:hAnsi="Arial" w:cs="Arial"/>
          <w:b/>
          <w:bCs/>
          <w:sz w:val="20"/>
          <w:szCs w:val="20"/>
        </w:rPr>
      </w:pPr>
    </w:p>
    <w:p w:rsidR="00927D7B" w:rsidRPr="00AC4AEA" w:rsidRDefault="0004435F" w:rsidP="00A318EA">
      <w:pPr>
        <w:pStyle w:val="Ttulo2"/>
        <w:rPr>
          <w:rFonts w:cs="Arial"/>
        </w:rPr>
      </w:pPr>
      <w:bookmarkStart w:id="570" w:name="_Toc101863894"/>
      <w:bookmarkStart w:id="571" w:name="_Toc139356760"/>
      <w:r w:rsidRPr="00AC4AEA">
        <w:rPr>
          <w:rFonts w:cs="Arial"/>
        </w:rPr>
        <w:t>R</w:t>
      </w:r>
      <w:r w:rsidR="00927D7B" w:rsidRPr="00AC4AEA">
        <w:rPr>
          <w:rFonts w:cs="Arial"/>
        </w:rPr>
        <w:t>evela</w:t>
      </w:r>
      <w:bookmarkEnd w:id="570"/>
      <w:r w:rsidRPr="00AC4AEA">
        <w:rPr>
          <w:rFonts w:cs="Arial"/>
        </w:rPr>
        <w:t>ciones en notas</w:t>
      </w:r>
      <w:bookmarkEnd w:id="571"/>
    </w:p>
    <w:p w:rsidR="000645F9" w:rsidRPr="00AC4AEA" w:rsidRDefault="000645F9" w:rsidP="00A318EA">
      <w:pPr>
        <w:pStyle w:val="Ttulo3"/>
      </w:pPr>
      <w:bookmarkStart w:id="572" w:name="_Toc101863895"/>
      <w:bookmarkStart w:id="573" w:name="_Toc139356761"/>
      <w:r w:rsidRPr="00AC4AEA">
        <w:t>Revelaciones de carácter general</w:t>
      </w:r>
      <w:bookmarkEnd w:id="572"/>
      <w:bookmarkEnd w:id="573"/>
    </w:p>
    <w:p w:rsidR="00A576D5" w:rsidRPr="00AC4AEA" w:rsidRDefault="00A576D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en notas: </w:t>
      </w:r>
    </w:p>
    <w:p w:rsidR="00A576D5" w:rsidRPr="00AC4AEA" w:rsidRDefault="007E2A61" w:rsidP="00A318EA">
      <w:pPr>
        <w:pStyle w:val="Prrafodelista"/>
        <w:numPr>
          <w:ilvl w:val="0"/>
          <w:numId w:val="116"/>
        </w:numPr>
        <w:ind w:left="1560"/>
        <w:contextualSpacing w:val="0"/>
        <w:jc w:val="both"/>
        <w:rPr>
          <w:rFonts w:ascii="Arial" w:hAnsi="Arial" w:cs="Arial"/>
          <w:sz w:val="20"/>
          <w:szCs w:val="20"/>
        </w:rPr>
      </w:pPr>
      <w:r w:rsidRPr="00AC4AEA">
        <w:rPr>
          <w:rFonts w:ascii="Arial" w:hAnsi="Arial" w:cs="Arial"/>
          <w:sz w:val="20"/>
          <w:szCs w:val="20"/>
        </w:rPr>
        <w:t>l</w:t>
      </w:r>
      <w:r w:rsidR="00A576D5" w:rsidRPr="00AC4AEA">
        <w:rPr>
          <w:rFonts w:ascii="Arial" w:hAnsi="Arial" w:cs="Arial"/>
          <w:sz w:val="20"/>
          <w:szCs w:val="20"/>
        </w:rPr>
        <w:t xml:space="preserve">as </w:t>
      </w:r>
      <w:r w:rsidR="00135084" w:rsidRPr="00AC4AEA">
        <w:rPr>
          <w:rFonts w:ascii="Arial" w:hAnsi="Arial" w:cs="Arial"/>
          <w:b/>
          <w:bCs/>
          <w:sz w:val="20"/>
          <w:szCs w:val="20"/>
        </w:rPr>
        <w:t>políticas contables</w:t>
      </w:r>
      <w:r w:rsidR="00A576D5" w:rsidRPr="00AC4AEA">
        <w:rPr>
          <w:rFonts w:ascii="Arial" w:hAnsi="Arial" w:cs="Arial"/>
          <w:sz w:val="20"/>
          <w:szCs w:val="20"/>
        </w:rPr>
        <w:t xml:space="preserve"> </w:t>
      </w:r>
      <w:r w:rsidR="002424CB" w:rsidRPr="00AC4AEA">
        <w:rPr>
          <w:rFonts w:ascii="Arial" w:hAnsi="Arial" w:cs="Arial"/>
          <w:sz w:val="20"/>
          <w:szCs w:val="20"/>
        </w:rPr>
        <w:t xml:space="preserve">empleadas </w:t>
      </w:r>
      <w:r w:rsidR="00A576D5" w:rsidRPr="00AC4AEA">
        <w:rPr>
          <w:rFonts w:ascii="Arial" w:hAnsi="Arial" w:cs="Arial"/>
          <w:sz w:val="20"/>
          <w:szCs w:val="20"/>
        </w:rPr>
        <w:t xml:space="preserve">y los criterios de medición aplicados para cada clase de </w:t>
      </w:r>
      <w:r w:rsidR="00497590" w:rsidRPr="00AC4AEA">
        <w:rPr>
          <w:rFonts w:ascii="Arial" w:hAnsi="Arial" w:cs="Arial"/>
          <w:sz w:val="20"/>
          <w:szCs w:val="20"/>
        </w:rPr>
        <w:t>activos</w:t>
      </w:r>
      <w:r w:rsidR="00A576D5" w:rsidRPr="00AC4AEA">
        <w:rPr>
          <w:rFonts w:ascii="Arial" w:hAnsi="Arial" w:cs="Arial"/>
          <w:sz w:val="20"/>
          <w:szCs w:val="20"/>
        </w:rPr>
        <w:t xml:space="preserve"> intangibles;</w:t>
      </w:r>
      <w:r w:rsidRPr="00AC4AEA">
        <w:rPr>
          <w:rFonts w:ascii="Arial" w:hAnsi="Arial" w:cs="Arial"/>
          <w:sz w:val="20"/>
          <w:szCs w:val="20"/>
        </w:rPr>
        <w:t xml:space="preserve"> y</w:t>
      </w:r>
    </w:p>
    <w:p w:rsidR="00A576D5" w:rsidRPr="00AC4AEA" w:rsidRDefault="007E2A61" w:rsidP="00A318EA">
      <w:pPr>
        <w:pStyle w:val="Prrafodelista"/>
        <w:numPr>
          <w:ilvl w:val="0"/>
          <w:numId w:val="116"/>
        </w:numPr>
        <w:ind w:left="1560"/>
        <w:contextualSpacing w:val="0"/>
        <w:jc w:val="both"/>
        <w:rPr>
          <w:rFonts w:ascii="Arial" w:hAnsi="Arial" w:cs="Arial"/>
          <w:sz w:val="20"/>
          <w:szCs w:val="20"/>
        </w:rPr>
      </w:pPr>
      <w:r w:rsidRPr="00AC4AEA">
        <w:rPr>
          <w:rFonts w:ascii="Arial" w:hAnsi="Arial" w:cs="Arial"/>
          <w:sz w:val="20"/>
          <w:szCs w:val="20"/>
        </w:rPr>
        <w:lastRenderedPageBreak/>
        <w:t>l</w:t>
      </w:r>
      <w:r w:rsidR="00A576D5" w:rsidRPr="00AC4AEA">
        <w:rPr>
          <w:rFonts w:ascii="Arial" w:hAnsi="Arial" w:cs="Arial"/>
          <w:sz w:val="20"/>
          <w:szCs w:val="20"/>
        </w:rPr>
        <w:t>as bases y métodos utilizados para la determinación de las amortizaciones.</w:t>
      </w:r>
    </w:p>
    <w:p w:rsidR="00A576D5" w:rsidRPr="00AC4AEA" w:rsidRDefault="00A576D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para cada clase de </w:t>
      </w:r>
      <w:r w:rsidR="00497590" w:rsidRPr="00AC4AEA">
        <w:rPr>
          <w:rFonts w:ascii="Arial" w:hAnsi="Arial" w:cs="Arial"/>
          <w:sz w:val="20"/>
          <w:szCs w:val="20"/>
        </w:rPr>
        <w:t>activos</w:t>
      </w:r>
      <w:r w:rsidRPr="00AC4AEA">
        <w:rPr>
          <w:rFonts w:ascii="Arial" w:hAnsi="Arial" w:cs="Arial"/>
          <w:sz w:val="20"/>
          <w:szCs w:val="20"/>
        </w:rPr>
        <w:t xml:space="preserve"> intangibles, separando valores originales de amortizaciones acumuladas, los siguientes importes: </w:t>
      </w:r>
    </w:p>
    <w:p w:rsidR="00A576D5" w:rsidRPr="00AC4AEA" w:rsidRDefault="00CA5488" w:rsidP="00A318EA">
      <w:pPr>
        <w:pStyle w:val="Prrafodelista"/>
        <w:numPr>
          <w:ilvl w:val="1"/>
          <w:numId w:val="20"/>
        </w:numPr>
        <w:ind w:left="1560" w:hanging="567"/>
        <w:contextualSpacing w:val="0"/>
        <w:jc w:val="both"/>
        <w:rPr>
          <w:rFonts w:ascii="Arial" w:hAnsi="Arial" w:cs="Arial"/>
          <w:sz w:val="20"/>
          <w:szCs w:val="20"/>
        </w:rPr>
      </w:pPr>
      <w:r w:rsidRPr="00AC4AEA">
        <w:rPr>
          <w:rFonts w:ascii="Arial" w:hAnsi="Arial" w:cs="Arial"/>
          <w:sz w:val="20"/>
          <w:szCs w:val="20"/>
        </w:rPr>
        <w:t>s</w:t>
      </w:r>
      <w:r w:rsidR="00A576D5" w:rsidRPr="00AC4AEA">
        <w:rPr>
          <w:rFonts w:ascii="Arial" w:hAnsi="Arial" w:cs="Arial"/>
          <w:sz w:val="20"/>
          <w:szCs w:val="20"/>
        </w:rPr>
        <w:t>aldos iniciales</w:t>
      </w:r>
      <w:r w:rsidR="007E2A61" w:rsidRPr="00AC4AEA">
        <w:rPr>
          <w:rFonts w:ascii="Arial" w:hAnsi="Arial" w:cs="Arial"/>
          <w:sz w:val="20"/>
          <w:szCs w:val="20"/>
        </w:rPr>
        <w:t>;</w:t>
      </w:r>
    </w:p>
    <w:p w:rsidR="00A576D5" w:rsidRPr="00AC4AEA" w:rsidRDefault="00E44C9B" w:rsidP="00A318EA">
      <w:pPr>
        <w:pStyle w:val="Prrafodelista"/>
        <w:numPr>
          <w:ilvl w:val="1"/>
          <w:numId w:val="20"/>
        </w:numPr>
        <w:ind w:left="1560" w:hanging="567"/>
        <w:contextualSpacing w:val="0"/>
        <w:jc w:val="both"/>
        <w:rPr>
          <w:rFonts w:ascii="Arial" w:hAnsi="Arial" w:cs="Arial"/>
          <w:sz w:val="20"/>
          <w:szCs w:val="20"/>
        </w:rPr>
      </w:pPr>
      <w:r w:rsidRPr="00AC4AEA">
        <w:rPr>
          <w:rFonts w:ascii="Arial" w:hAnsi="Arial" w:cs="Arial"/>
          <w:sz w:val="20"/>
          <w:szCs w:val="20"/>
        </w:rPr>
        <w:t>alta (</w:t>
      </w:r>
      <w:r w:rsidR="00CA5488" w:rsidRPr="00AC4AEA">
        <w:rPr>
          <w:rFonts w:ascii="Arial" w:hAnsi="Arial" w:cs="Arial"/>
          <w:sz w:val="20"/>
          <w:szCs w:val="20"/>
        </w:rPr>
        <w:t>a</w:t>
      </w:r>
      <w:r w:rsidR="00A576D5" w:rsidRPr="00AC4AEA">
        <w:rPr>
          <w:rFonts w:ascii="Arial" w:hAnsi="Arial" w:cs="Arial"/>
          <w:sz w:val="20"/>
          <w:szCs w:val="20"/>
        </w:rPr>
        <w:t>diciones</w:t>
      </w:r>
      <w:r w:rsidRPr="00AC4AEA">
        <w:rPr>
          <w:rFonts w:ascii="Arial" w:hAnsi="Arial" w:cs="Arial"/>
          <w:sz w:val="20"/>
          <w:szCs w:val="20"/>
        </w:rPr>
        <w:t>)</w:t>
      </w:r>
      <w:r w:rsidR="007E2A61" w:rsidRPr="00AC4AEA">
        <w:rPr>
          <w:rFonts w:ascii="Arial" w:hAnsi="Arial" w:cs="Arial"/>
          <w:sz w:val="20"/>
          <w:szCs w:val="20"/>
        </w:rPr>
        <w:t>;</w:t>
      </w:r>
    </w:p>
    <w:p w:rsidR="00A576D5" w:rsidRPr="00AC4AEA" w:rsidRDefault="00CA5488" w:rsidP="00A318EA">
      <w:pPr>
        <w:pStyle w:val="Prrafodelista"/>
        <w:numPr>
          <w:ilvl w:val="1"/>
          <w:numId w:val="20"/>
        </w:numPr>
        <w:ind w:left="1560" w:hanging="567"/>
        <w:contextualSpacing w:val="0"/>
        <w:jc w:val="both"/>
        <w:rPr>
          <w:rFonts w:ascii="Arial" w:hAnsi="Arial" w:cs="Arial"/>
          <w:sz w:val="20"/>
          <w:szCs w:val="20"/>
        </w:rPr>
      </w:pPr>
      <w:r w:rsidRPr="00AC4AEA">
        <w:rPr>
          <w:rFonts w:ascii="Arial" w:hAnsi="Arial" w:cs="Arial"/>
          <w:sz w:val="20"/>
          <w:szCs w:val="20"/>
        </w:rPr>
        <w:t>b</w:t>
      </w:r>
      <w:r w:rsidR="00A576D5" w:rsidRPr="00AC4AEA">
        <w:rPr>
          <w:rFonts w:ascii="Arial" w:hAnsi="Arial" w:cs="Arial"/>
          <w:sz w:val="20"/>
          <w:szCs w:val="20"/>
        </w:rPr>
        <w:t>ajas</w:t>
      </w:r>
      <w:r w:rsidR="007E2A61" w:rsidRPr="00AC4AEA">
        <w:rPr>
          <w:rFonts w:ascii="Arial" w:hAnsi="Arial" w:cs="Arial"/>
          <w:sz w:val="20"/>
          <w:szCs w:val="20"/>
        </w:rPr>
        <w:t>;</w:t>
      </w:r>
      <w:r w:rsidR="00A576D5" w:rsidRPr="00AC4AEA">
        <w:rPr>
          <w:rFonts w:ascii="Arial" w:hAnsi="Arial" w:cs="Arial"/>
          <w:sz w:val="20"/>
          <w:szCs w:val="20"/>
        </w:rPr>
        <w:t xml:space="preserve"> </w:t>
      </w:r>
    </w:p>
    <w:p w:rsidR="00A576D5" w:rsidRPr="00AC4AEA" w:rsidRDefault="00CA5488" w:rsidP="00A318EA">
      <w:pPr>
        <w:pStyle w:val="Prrafodelista"/>
        <w:numPr>
          <w:ilvl w:val="1"/>
          <w:numId w:val="20"/>
        </w:numPr>
        <w:ind w:left="1560" w:hanging="567"/>
        <w:contextualSpacing w:val="0"/>
        <w:jc w:val="both"/>
        <w:rPr>
          <w:rFonts w:ascii="Arial" w:hAnsi="Arial" w:cs="Arial"/>
          <w:sz w:val="20"/>
          <w:szCs w:val="20"/>
        </w:rPr>
      </w:pPr>
      <w:r w:rsidRPr="00AC4AEA">
        <w:rPr>
          <w:rFonts w:ascii="Arial" w:hAnsi="Arial" w:cs="Arial"/>
          <w:sz w:val="20"/>
          <w:szCs w:val="20"/>
        </w:rPr>
        <w:t>a</w:t>
      </w:r>
      <w:r w:rsidR="00A40755" w:rsidRPr="00AC4AEA">
        <w:rPr>
          <w:rFonts w:ascii="Arial" w:hAnsi="Arial" w:cs="Arial"/>
          <w:sz w:val="20"/>
          <w:szCs w:val="20"/>
        </w:rPr>
        <w:t>mortizaciones</w:t>
      </w:r>
      <w:r w:rsidR="007E2A61" w:rsidRPr="00AC4AEA">
        <w:rPr>
          <w:rFonts w:ascii="Arial" w:hAnsi="Arial" w:cs="Arial"/>
          <w:sz w:val="20"/>
          <w:szCs w:val="20"/>
        </w:rPr>
        <w:t>;</w:t>
      </w:r>
    </w:p>
    <w:p w:rsidR="00A576D5" w:rsidRPr="00AC4AEA" w:rsidRDefault="000A06F1" w:rsidP="00A318EA">
      <w:pPr>
        <w:pStyle w:val="Prrafodelista"/>
        <w:numPr>
          <w:ilvl w:val="1"/>
          <w:numId w:val="20"/>
        </w:numPr>
        <w:ind w:left="1560" w:hanging="567"/>
        <w:contextualSpacing w:val="0"/>
        <w:jc w:val="both"/>
        <w:rPr>
          <w:rFonts w:ascii="Arial" w:hAnsi="Arial" w:cs="Arial"/>
          <w:sz w:val="20"/>
          <w:szCs w:val="20"/>
        </w:rPr>
      </w:pPr>
      <w:r w:rsidRPr="00AC4AEA">
        <w:rPr>
          <w:rFonts w:ascii="Arial" w:hAnsi="Arial" w:cs="Arial"/>
          <w:b/>
          <w:bCs/>
          <w:sz w:val="20"/>
          <w:szCs w:val="20"/>
        </w:rPr>
        <w:t xml:space="preserve">pérdidas por </w:t>
      </w:r>
      <w:r w:rsidR="00CA5488" w:rsidRPr="00AC4AEA">
        <w:rPr>
          <w:rFonts w:ascii="Arial" w:hAnsi="Arial" w:cs="Arial"/>
          <w:b/>
          <w:bCs/>
          <w:sz w:val="20"/>
          <w:szCs w:val="20"/>
        </w:rPr>
        <w:t>d</w:t>
      </w:r>
      <w:r w:rsidR="00A576D5" w:rsidRPr="00AC4AEA">
        <w:rPr>
          <w:rFonts w:ascii="Arial" w:hAnsi="Arial" w:cs="Arial"/>
          <w:b/>
          <w:bCs/>
          <w:sz w:val="20"/>
          <w:szCs w:val="20"/>
        </w:rPr>
        <w:t>esvalorizaci</w:t>
      </w:r>
      <w:r w:rsidRPr="00AC4AEA">
        <w:rPr>
          <w:rFonts w:ascii="Arial" w:hAnsi="Arial" w:cs="Arial"/>
          <w:b/>
          <w:bCs/>
          <w:sz w:val="20"/>
          <w:szCs w:val="20"/>
        </w:rPr>
        <w:t>ón</w:t>
      </w:r>
      <w:r w:rsidR="007E2A61" w:rsidRPr="00AC4AEA">
        <w:rPr>
          <w:rFonts w:ascii="Arial" w:hAnsi="Arial" w:cs="Arial"/>
          <w:sz w:val="20"/>
          <w:szCs w:val="20"/>
        </w:rPr>
        <w:t>;</w:t>
      </w:r>
    </w:p>
    <w:p w:rsidR="00A576D5" w:rsidRPr="00AC4AEA" w:rsidRDefault="00CA5488" w:rsidP="00A318EA">
      <w:pPr>
        <w:pStyle w:val="Prrafodelista"/>
        <w:numPr>
          <w:ilvl w:val="1"/>
          <w:numId w:val="20"/>
        </w:numPr>
        <w:ind w:left="1560" w:hanging="567"/>
        <w:contextualSpacing w:val="0"/>
        <w:jc w:val="both"/>
        <w:rPr>
          <w:rFonts w:ascii="Arial" w:hAnsi="Arial" w:cs="Arial"/>
          <w:sz w:val="20"/>
          <w:szCs w:val="20"/>
        </w:rPr>
      </w:pPr>
      <w:r w:rsidRPr="00AC4AEA">
        <w:rPr>
          <w:rFonts w:ascii="Arial" w:hAnsi="Arial" w:cs="Arial"/>
          <w:sz w:val="20"/>
          <w:szCs w:val="20"/>
        </w:rPr>
        <w:t>r</w:t>
      </w:r>
      <w:r w:rsidR="00A576D5" w:rsidRPr="00AC4AEA">
        <w:rPr>
          <w:rFonts w:ascii="Arial" w:hAnsi="Arial" w:cs="Arial"/>
          <w:sz w:val="20"/>
          <w:szCs w:val="20"/>
        </w:rPr>
        <w:t xml:space="preserve">ecuperación de </w:t>
      </w:r>
      <w:r w:rsidR="00A576D5" w:rsidRPr="00AC4AEA">
        <w:rPr>
          <w:rFonts w:ascii="Arial" w:hAnsi="Arial" w:cs="Arial"/>
          <w:b/>
          <w:bCs/>
          <w:sz w:val="20"/>
          <w:szCs w:val="20"/>
        </w:rPr>
        <w:t>pérdidas por desvalorización</w:t>
      </w:r>
      <w:r w:rsidR="007E2A61" w:rsidRPr="00AC4AEA">
        <w:rPr>
          <w:rFonts w:ascii="Arial" w:hAnsi="Arial" w:cs="Arial"/>
          <w:sz w:val="20"/>
          <w:szCs w:val="20"/>
        </w:rPr>
        <w:t>;</w:t>
      </w:r>
      <w:r w:rsidR="00A576D5" w:rsidRPr="00AC4AEA">
        <w:rPr>
          <w:rFonts w:ascii="Arial" w:hAnsi="Arial" w:cs="Arial"/>
          <w:sz w:val="20"/>
          <w:szCs w:val="20"/>
        </w:rPr>
        <w:t xml:space="preserve"> </w:t>
      </w:r>
    </w:p>
    <w:p w:rsidR="00A576D5" w:rsidRPr="00AC4AEA" w:rsidRDefault="006056E5" w:rsidP="00A318EA">
      <w:pPr>
        <w:pStyle w:val="Prrafodelista"/>
        <w:numPr>
          <w:ilvl w:val="1"/>
          <w:numId w:val="20"/>
        </w:numPr>
        <w:ind w:left="1560" w:hanging="567"/>
        <w:contextualSpacing w:val="0"/>
        <w:jc w:val="both"/>
        <w:rPr>
          <w:rFonts w:ascii="Arial" w:hAnsi="Arial" w:cs="Arial"/>
          <w:sz w:val="20"/>
          <w:szCs w:val="20"/>
        </w:rPr>
      </w:pPr>
      <w:r w:rsidRPr="00AC4AEA">
        <w:rPr>
          <w:rFonts w:ascii="Arial" w:hAnsi="Arial" w:cs="Arial"/>
          <w:sz w:val="20"/>
          <w:szCs w:val="20"/>
        </w:rPr>
        <w:t>otras variaciones no consideradas en los incisos anteriores de este párrafo, debiendo indicar, en el caso en que presente esta partida, los conceptos incluidos en ella</w:t>
      </w:r>
      <w:r w:rsidR="007E2A61" w:rsidRPr="00AC4AEA">
        <w:rPr>
          <w:rFonts w:ascii="Arial" w:hAnsi="Arial" w:cs="Arial"/>
          <w:sz w:val="20"/>
          <w:szCs w:val="20"/>
        </w:rPr>
        <w:t>;</w:t>
      </w:r>
      <w:r w:rsidR="00A576D5" w:rsidRPr="00AC4AEA">
        <w:rPr>
          <w:rFonts w:ascii="Arial" w:hAnsi="Arial" w:cs="Arial"/>
          <w:sz w:val="20"/>
          <w:szCs w:val="20"/>
        </w:rPr>
        <w:t xml:space="preserve"> y </w:t>
      </w:r>
    </w:p>
    <w:p w:rsidR="00A576D5" w:rsidRPr="00AC4AEA" w:rsidRDefault="00CA5488" w:rsidP="00A318EA">
      <w:pPr>
        <w:pStyle w:val="Prrafodelista"/>
        <w:numPr>
          <w:ilvl w:val="1"/>
          <w:numId w:val="20"/>
        </w:numPr>
        <w:ind w:left="1560" w:hanging="567"/>
        <w:contextualSpacing w:val="0"/>
        <w:jc w:val="both"/>
        <w:rPr>
          <w:rFonts w:ascii="Arial" w:hAnsi="Arial" w:cs="Arial"/>
          <w:sz w:val="20"/>
          <w:szCs w:val="20"/>
        </w:rPr>
      </w:pPr>
      <w:r w:rsidRPr="00AC4AEA">
        <w:rPr>
          <w:rFonts w:ascii="Arial" w:hAnsi="Arial" w:cs="Arial"/>
          <w:sz w:val="20"/>
          <w:szCs w:val="20"/>
        </w:rPr>
        <w:t>s</w:t>
      </w:r>
      <w:r w:rsidR="00A576D5" w:rsidRPr="00AC4AEA">
        <w:rPr>
          <w:rFonts w:ascii="Arial" w:hAnsi="Arial" w:cs="Arial"/>
          <w:sz w:val="20"/>
          <w:szCs w:val="20"/>
        </w:rPr>
        <w:t>aldos finales</w:t>
      </w:r>
      <w:r w:rsidR="007E2A61" w:rsidRPr="00AC4AEA">
        <w:rPr>
          <w:rFonts w:ascii="Arial" w:hAnsi="Arial" w:cs="Arial"/>
          <w:sz w:val="20"/>
          <w:szCs w:val="20"/>
        </w:rPr>
        <w:t>.</w:t>
      </w:r>
    </w:p>
    <w:p w:rsidR="00A576D5" w:rsidRPr="00AC4AEA" w:rsidRDefault="00A576D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individualizará, dentro de cada uno de los grupos de </w:t>
      </w:r>
      <w:r w:rsidR="00497590" w:rsidRPr="00AC4AEA">
        <w:rPr>
          <w:rFonts w:ascii="Arial" w:hAnsi="Arial" w:cs="Arial"/>
          <w:sz w:val="20"/>
          <w:szCs w:val="20"/>
        </w:rPr>
        <w:t>activos</w:t>
      </w:r>
      <w:r w:rsidRPr="00AC4AEA">
        <w:rPr>
          <w:rFonts w:ascii="Arial" w:hAnsi="Arial" w:cs="Arial"/>
          <w:sz w:val="20"/>
          <w:szCs w:val="20"/>
        </w:rPr>
        <w:t>, los importes correspondientes a los bienes incorporados mediante arrendamientos financieros</w:t>
      </w:r>
      <w:r w:rsidR="00EA4A21" w:rsidRPr="00AC4AEA">
        <w:rPr>
          <w:rFonts w:ascii="Arial" w:hAnsi="Arial" w:cs="Arial"/>
          <w:sz w:val="20"/>
          <w:szCs w:val="20"/>
        </w:rPr>
        <w:t>.</w:t>
      </w:r>
    </w:p>
    <w:p w:rsidR="00A576D5" w:rsidRPr="00AC4AEA" w:rsidRDefault="00A576D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los </w:t>
      </w:r>
      <w:r w:rsidR="00497590" w:rsidRPr="00AC4AEA">
        <w:rPr>
          <w:rFonts w:ascii="Arial" w:hAnsi="Arial" w:cs="Arial"/>
          <w:sz w:val="20"/>
          <w:szCs w:val="20"/>
        </w:rPr>
        <w:t>activos</w:t>
      </w:r>
      <w:r w:rsidRPr="00AC4AEA">
        <w:rPr>
          <w:rFonts w:ascii="Arial" w:hAnsi="Arial" w:cs="Arial"/>
          <w:sz w:val="20"/>
          <w:szCs w:val="20"/>
        </w:rPr>
        <w:t xml:space="preserve"> intangibles de disponibilidad restringida individualizando:</w:t>
      </w:r>
    </w:p>
    <w:p w:rsidR="00A576D5" w:rsidRPr="00AC4AEA" w:rsidRDefault="00A576D5" w:rsidP="00A318EA">
      <w:pPr>
        <w:pStyle w:val="Prrafodelista"/>
        <w:numPr>
          <w:ilvl w:val="1"/>
          <w:numId w:val="45"/>
        </w:numPr>
        <w:ind w:left="1560" w:hanging="567"/>
        <w:contextualSpacing w:val="0"/>
        <w:jc w:val="both"/>
        <w:rPr>
          <w:rFonts w:ascii="Arial" w:hAnsi="Arial" w:cs="Arial"/>
          <w:sz w:val="20"/>
          <w:szCs w:val="20"/>
        </w:rPr>
      </w:pPr>
      <w:r w:rsidRPr="00AC4AEA">
        <w:rPr>
          <w:rFonts w:ascii="Arial" w:hAnsi="Arial" w:cs="Arial"/>
          <w:sz w:val="20"/>
          <w:szCs w:val="20"/>
        </w:rPr>
        <w:t xml:space="preserve">Las causas (legales, contractuales o situaciones de hecho) que limitan su </w:t>
      </w:r>
      <w:r w:rsidR="002D08D4" w:rsidRPr="00AC4AEA">
        <w:rPr>
          <w:rFonts w:ascii="Arial" w:hAnsi="Arial" w:cs="Arial"/>
          <w:sz w:val="20"/>
          <w:szCs w:val="20"/>
        </w:rPr>
        <w:t>d</w:t>
      </w:r>
      <w:r w:rsidRPr="00AC4AEA">
        <w:rPr>
          <w:rFonts w:ascii="Arial" w:hAnsi="Arial" w:cs="Arial"/>
          <w:sz w:val="20"/>
          <w:szCs w:val="20"/>
        </w:rPr>
        <w:t>isponibilidad y las mediciones contables correspondientes</w:t>
      </w:r>
      <w:r w:rsidR="00EA4A21" w:rsidRPr="00AC4AEA">
        <w:rPr>
          <w:rFonts w:ascii="Arial" w:hAnsi="Arial" w:cs="Arial"/>
          <w:sz w:val="20"/>
          <w:szCs w:val="20"/>
        </w:rPr>
        <w:t xml:space="preserve"> y</w:t>
      </w:r>
    </w:p>
    <w:p w:rsidR="00A576D5" w:rsidRPr="00AC4AEA" w:rsidRDefault="00A576D5" w:rsidP="00A318EA">
      <w:pPr>
        <w:pStyle w:val="Prrafodelista"/>
        <w:numPr>
          <w:ilvl w:val="1"/>
          <w:numId w:val="45"/>
        </w:numPr>
        <w:ind w:left="1560" w:hanging="567"/>
        <w:contextualSpacing w:val="0"/>
        <w:jc w:val="both"/>
        <w:rPr>
          <w:rFonts w:ascii="Arial" w:hAnsi="Arial" w:cs="Arial"/>
          <w:sz w:val="20"/>
          <w:szCs w:val="20"/>
        </w:rPr>
      </w:pPr>
      <w:r w:rsidRPr="00AC4AEA">
        <w:rPr>
          <w:rFonts w:ascii="Arial" w:hAnsi="Arial" w:cs="Arial"/>
          <w:sz w:val="20"/>
          <w:szCs w:val="20"/>
        </w:rPr>
        <w:t xml:space="preserve">Los componentes que no podrán ser enajenados hasta tanto se cancelen determinados </w:t>
      </w:r>
      <w:r w:rsidR="00497590" w:rsidRPr="00AC4AEA">
        <w:rPr>
          <w:rFonts w:ascii="Arial" w:hAnsi="Arial" w:cs="Arial"/>
          <w:sz w:val="20"/>
          <w:szCs w:val="20"/>
        </w:rPr>
        <w:t>pasivos</w:t>
      </w:r>
      <w:r w:rsidRPr="00AC4AEA">
        <w:rPr>
          <w:rFonts w:ascii="Arial" w:hAnsi="Arial" w:cs="Arial"/>
          <w:sz w:val="20"/>
          <w:szCs w:val="20"/>
        </w:rPr>
        <w:t>, indicándose su medición contable y</w:t>
      </w:r>
      <w:r w:rsidR="00835565" w:rsidRPr="00AC4AEA">
        <w:rPr>
          <w:rFonts w:ascii="Arial" w:hAnsi="Arial" w:cs="Arial"/>
          <w:sz w:val="20"/>
          <w:szCs w:val="20"/>
        </w:rPr>
        <w:t xml:space="preserve"> </w:t>
      </w:r>
      <w:r w:rsidRPr="00AC4AEA">
        <w:rPr>
          <w:rFonts w:ascii="Arial" w:hAnsi="Arial" w:cs="Arial"/>
          <w:sz w:val="20"/>
          <w:szCs w:val="20"/>
        </w:rPr>
        <w:t xml:space="preserve">de los </w:t>
      </w:r>
      <w:r w:rsidR="00497590" w:rsidRPr="00AC4AEA">
        <w:rPr>
          <w:rFonts w:ascii="Arial" w:hAnsi="Arial" w:cs="Arial"/>
          <w:sz w:val="20"/>
          <w:szCs w:val="20"/>
        </w:rPr>
        <w:t>pasivos</w:t>
      </w:r>
      <w:r w:rsidRPr="00AC4AEA">
        <w:rPr>
          <w:rFonts w:ascii="Arial" w:hAnsi="Arial" w:cs="Arial"/>
          <w:sz w:val="20"/>
          <w:szCs w:val="20"/>
        </w:rPr>
        <w:t xml:space="preserve"> relacionados.</w:t>
      </w:r>
    </w:p>
    <w:p w:rsidR="00292CE2" w:rsidRPr="00AC4AEA" w:rsidRDefault="00292CE2" w:rsidP="00A318EA">
      <w:pPr>
        <w:pStyle w:val="A-doctorado"/>
        <w:jc w:val="both"/>
        <w:rPr>
          <w:rFonts w:ascii="Arial" w:hAnsi="Arial"/>
          <w:color w:val="auto"/>
          <w:sz w:val="20"/>
          <w:szCs w:val="20"/>
        </w:rPr>
      </w:pPr>
    </w:p>
    <w:p w:rsidR="000645F9" w:rsidRPr="00AC4AEA" w:rsidRDefault="000645F9" w:rsidP="00A318EA">
      <w:pPr>
        <w:pStyle w:val="Ttulo3"/>
      </w:pPr>
      <w:bookmarkStart w:id="574" w:name="_Toc101863896"/>
      <w:bookmarkStart w:id="575" w:name="_Toc139356762"/>
      <w:r w:rsidRPr="00AC4AEA">
        <w:t>Revelaciones sobre amortizaciones</w:t>
      </w:r>
      <w:bookmarkEnd w:id="574"/>
      <w:bookmarkEnd w:id="575"/>
    </w:p>
    <w:p w:rsidR="000645F9" w:rsidRPr="00AC4AEA" w:rsidRDefault="000645F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presentará el importe de las amortizaciones del </w:t>
      </w:r>
      <w:r w:rsidR="009B7B74" w:rsidRPr="00AC4AEA">
        <w:rPr>
          <w:rFonts w:ascii="Arial" w:hAnsi="Arial" w:cs="Arial"/>
          <w:sz w:val="20"/>
          <w:szCs w:val="20"/>
        </w:rPr>
        <w:t>período</w:t>
      </w:r>
      <w:r w:rsidRPr="00AC4AEA">
        <w:rPr>
          <w:rFonts w:ascii="Arial" w:hAnsi="Arial" w:cs="Arial"/>
          <w:sz w:val="20"/>
          <w:szCs w:val="20"/>
        </w:rPr>
        <w:t xml:space="preserve">, clasificándolas de acuerdo </w:t>
      </w:r>
      <w:r w:rsidR="002424CB" w:rsidRPr="00AC4AEA">
        <w:rPr>
          <w:rFonts w:ascii="Arial" w:hAnsi="Arial" w:cs="Arial"/>
          <w:sz w:val="20"/>
          <w:szCs w:val="20"/>
        </w:rPr>
        <w:t xml:space="preserve">con </w:t>
      </w:r>
      <w:r w:rsidRPr="00AC4AEA">
        <w:rPr>
          <w:rFonts w:ascii="Arial" w:hAnsi="Arial" w:cs="Arial"/>
          <w:sz w:val="20"/>
          <w:szCs w:val="20"/>
        </w:rPr>
        <w:t>la función asignada a los bienes que las originaron; por ejemplo:</w:t>
      </w:r>
    </w:p>
    <w:p w:rsidR="000645F9" w:rsidRPr="00AC4AEA" w:rsidRDefault="000645F9" w:rsidP="00A318EA">
      <w:pPr>
        <w:pStyle w:val="Prrafodelista"/>
        <w:numPr>
          <w:ilvl w:val="0"/>
          <w:numId w:val="117"/>
        </w:numPr>
        <w:ind w:left="1560"/>
        <w:contextualSpacing w:val="0"/>
        <w:jc w:val="both"/>
        <w:rPr>
          <w:rFonts w:ascii="Arial" w:hAnsi="Arial" w:cs="Arial"/>
          <w:sz w:val="20"/>
          <w:szCs w:val="20"/>
        </w:rPr>
      </w:pPr>
      <w:r w:rsidRPr="00AC4AEA">
        <w:rPr>
          <w:rFonts w:ascii="Arial" w:hAnsi="Arial" w:cs="Arial"/>
          <w:b/>
          <w:bCs/>
          <w:sz w:val="20"/>
          <w:szCs w:val="20"/>
        </w:rPr>
        <w:t xml:space="preserve">Costo de producción </w:t>
      </w:r>
      <w:r w:rsidRPr="00AC4AEA">
        <w:rPr>
          <w:rFonts w:ascii="Arial" w:hAnsi="Arial" w:cs="Arial"/>
          <w:sz w:val="20"/>
          <w:szCs w:val="20"/>
        </w:rPr>
        <w:t>o</w:t>
      </w:r>
      <w:r w:rsidRPr="00AC4AEA">
        <w:rPr>
          <w:rFonts w:ascii="Arial" w:hAnsi="Arial" w:cs="Arial"/>
          <w:b/>
          <w:bCs/>
          <w:sz w:val="20"/>
          <w:szCs w:val="20"/>
        </w:rPr>
        <w:t xml:space="preserve"> </w:t>
      </w:r>
      <w:r w:rsidR="006A022A" w:rsidRPr="00AC4AEA">
        <w:rPr>
          <w:rFonts w:ascii="Arial" w:hAnsi="Arial" w:cs="Arial"/>
          <w:b/>
          <w:bCs/>
          <w:sz w:val="20"/>
          <w:szCs w:val="20"/>
        </w:rPr>
        <w:t xml:space="preserve">costo de </w:t>
      </w:r>
      <w:r w:rsidRPr="00AC4AEA">
        <w:rPr>
          <w:rFonts w:ascii="Arial" w:hAnsi="Arial" w:cs="Arial"/>
          <w:b/>
          <w:bCs/>
          <w:sz w:val="20"/>
          <w:szCs w:val="20"/>
        </w:rPr>
        <w:t>construcción</w:t>
      </w:r>
      <w:r w:rsidR="007E2A61" w:rsidRPr="00AC4AEA">
        <w:rPr>
          <w:rFonts w:ascii="Arial" w:hAnsi="Arial" w:cs="Arial"/>
          <w:sz w:val="20"/>
          <w:szCs w:val="20"/>
        </w:rPr>
        <w:t>.</w:t>
      </w:r>
    </w:p>
    <w:p w:rsidR="000645F9" w:rsidRPr="00AC4AEA" w:rsidRDefault="000645F9" w:rsidP="00A318EA">
      <w:pPr>
        <w:pStyle w:val="Prrafodelista"/>
        <w:numPr>
          <w:ilvl w:val="0"/>
          <w:numId w:val="117"/>
        </w:numPr>
        <w:ind w:left="1560"/>
        <w:contextualSpacing w:val="0"/>
        <w:jc w:val="both"/>
        <w:rPr>
          <w:rFonts w:ascii="Arial" w:hAnsi="Arial" w:cs="Arial"/>
          <w:sz w:val="20"/>
          <w:szCs w:val="20"/>
        </w:rPr>
      </w:pPr>
      <w:r w:rsidRPr="00AC4AEA">
        <w:rPr>
          <w:rFonts w:ascii="Arial" w:hAnsi="Arial" w:cs="Arial"/>
          <w:sz w:val="20"/>
          <w:szCs w:val="20"/>
        </w:rPr>
        <w:t>Gastos de administración</w:t>
      </w:r>
      <w:r w:rsidR="007E2A61" w:rsidRPr="00AC4AEA">
        <w:rPr>
          <w:rFonts w:ascii="Arial" w:hAnsi="Arial" w:cs="Arial"/>
          <w:sz w:val="20"/>
          <w:szCs w:val="20"/>
        </w:rPr>
        <w:t>.</w:t>
      </w:r>
    </w:p>
    <w:p w:rsidR="000645F9" w:rsidRPr="00AC4AEA" w:rsidRDefault="000645F9" w:rsidP="00A318EA">
      <w:pPr>
        <w:pStyle w:val="Prrafodelista"/>
        <w:numPr>
          <w:ilvl w:val="0"/>
          <w:numId w:val="117"/>
        </w:numPr>
        <w:ind w:left="1560"/>
        <w:contextualSpacing w:val="0"/>
        <w:jc w:val="both"/>
        <w:rPr>
          <w:rFonts w:ascii="Arial" w:hAnsi="Arial" w:cs="Arial"/>
          <w:sz w:val="20"/>
          <w:szCs w:val="20"/>
        </w:rPr>
      </w:pPr>
      <w:r w:rsidRPr="00AC4AEA">
        <w:rPr>
          <w:rFonts w:ascii="Arial" w:hAnsi="Arial" w:cs="Arial"/>
          <w:sz w:val="20"/>
          <w:szCs w:val="20"/>
        </w:rPr>
        <w:t>Gastos de comercialización.</w:t>
      </w:r>
    </w:p>
    <w:p w:rsidR="00927D7B" w:rsidRPr="00AC4AEA" w:rsidRDefault="00927D7B" w:rsidP="00A318EA">
      <w:pPr>
        <w:ind w:left="284"/>
        <w:jc w:val="both"/>
        <w:rPr>
          <w:rFonts w:ascii="Arial" w:hAnsi="Arial" w:cs="Arial"/>
          <w:b/>
          <w:bCs/>
          <w:sz w:val="20"/>
          <w:szCs w:val="20"/>
        </w:rPr>
      </w:pPr>
    </w:p>
    <w:p w:rsidR="00371DFB" w:rsidRPr="00AC4AEA" w:rsidRDefault="00371DFB" w:rsidP="00A318EA">
      <w:pPr>
        <w:pStyle w:val="Ttulo2"/>
        <w:rPr>
          <w:rFonts w:cs="Arial"/>
        </w:rPr>
      </w:pPr>
      <w:bookmarkStart w:id="576" w:name="_Toc101863897"/>
      <w:bookmarkStart w:id="577" w:name="_Toc139356763"/>
      <w:r w:rsidRPr="00AC4AEA">
        <w:rPr>
          <w:rFonts w:cs="Arial"/>
        </w:rPr>
        <w:lastRenderedPageBreak/>
        <w:t>Otras normas aplicables</w:t>
      </w:r>
      <w:bookmarkEnd w:id="576"/>
      <w:bookmarkEnd w:id="577"/>
    </w:p>
    <w:p w:rsidR="00371DFB" w:rsidRPr="00AC4AEA" w:rsidRDefault="00371DF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el tratamiento contable de los componentes de </w:t>
      </w:r>
      <w:r w:rsidR="00497590" w:rsidRPr="00AC4AEA">
        <w:rPr>
          <w:rFonts w:ascii="Arial" w:hAnsi="Arial" w:cs="Arial"/>
          <w:sz w:val="20"/>
          <w:szCs w:val="20"/>
        </w:rPr>
        <w:t>activos</w:t>
      </w:r>
      <w:r w:rsidRPr="00AC4AEA">
        <w:rPr>
          <w:rFonts w:ascii="Arial" w:hAnsi="Arial" w:cs="Arial"/>
          <w:sz w:val="20"/>
          <w:szCs w:val="20"/>
        </w:rPr>
        <w:t xml:space="preserve"> intangibles (distintos de la llave de negocio)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 las referidas a:</w:t>
      </w:r>
    </w:p>
    <w:p w:rsidR="003606FE" w:rsidRPr="00AC4AEA" w:rsidRDefault="003606F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 y “</w:t>
      </w:r>
      <w:r w:rsidRPr="00AC4AEA">
        <w:rPr>
          <w:rFonts w:ascii="Arial" w:hAnsi="Arial" w:cs="Arial"/>
          <w:sz w:val="20"/>
          <w:szCs w:val="20"/>
          <w:u w:val="single"/>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3606FE" w:rsidRPr="00AC4AEA" w:rsidRDefault="003606F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3606FE" w:rsidRPr="00AC4AEA" w:rsidRDefault="003606F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3606FE" w:rsidRPr="00AC4AEA" w:rsidRDefault="003606F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2A009A" w:rsidRPr="00AC4AEA" w:rsidRDefault="002A009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Baja en cuentas</w:t>
      </w:r>
      <w:r w:rsidRPr="00AC4AEA">
        <w:rPr>
          <w:rFonts w:ascii="Arial" w:hAnsi="Arial" w:cs="Arial"/>
          <w:sz w:val="20"/>
          <w:szCs w:val="20"/>
        </w:rPr>
        <w:t xml:space="preserve">” [ver los párrafos </w:t>
      </w:r>
      <w:fldSimple w:instr=" REF _Ref102844986 \r \h  \* MERGEFORMAT ">
        <w:r w:rsidR="00D33A5D" w:rsidRPr="00D33A5D">
          <w:rPr>
            <w:rFonts w:ascii="Arial" w:hAnsi="Arial" w:cs="Arial"/>
            <w:sz w:val="20"/>
            <w:szCs w:val="20"/>
          </w:rPr>
          <w:t>46</w:t>
        </w:r>
      </w:fldSimple>
      <w:r w:rsidRPr="00AC4AEA">
        <w:rPr>
          <w:rFonts w:ascii="Arial" w:hAnsi="Arial" w:cs="Arial"/>
          <w:sz w:val="20"/>
          <w:szCs w:val="20"/>
        </w:rPr>
        <w:t xml:space="preserve"> a</w:t>
      </w:r>
      <w:r w:rsidR="0074720A" w:rsidRPr="00AC4AEA">
        <w:rPr>
          <w:rFonts w:ascii="Arial" w:hAnsi="Arial" w:cs="Arial"/>
          <w:sz w:val="20"/>
          <w:szCs w:val="20"/>
        </w:rPr>
        <w:t xml:space="preserve"> </w:t>
      </w:r>
      <w:fldSimple w:instr=" REF _Ref102845008 \r \h  \* MERGEFORMAT ">
        <w:r w:rsidR="00D33A5D" w:rsidRPr="00D33A5D">
          <w:rPr>
            <w:rFonts w:ascii="Arial" w:hAnsi="Arial" w:cs="Arial"/>
            <w:sz w:val="20"/>
            <w:szCs w:val="20"/>
          </w:rPr>
          <w:t>48</w:t>
        </w:r>
      </w:fldSimple>
      <w:r w:rsidRPr="00AC4AEA">
        <w:rPr>
          <w:rFonts w:ascii="Arial" w:hAnsi="Arial" w:cs="Arial"/>
          <w:sz w:val="20"/>
          <w:szCs w:val="20"/>
        </w:rPr>
        <w:t>].</w:t>
      </w:r>
    </w:p>
    <w:p w:rsidR="000717D5" w:rsidRPr="00AC4AEA" w:rsidRDefault="003606F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3606FE" w:rsidRPr="00AC4AEA" w:rsidRDefault="000717D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Arrendamientos</w:t>
      </w:r>
      <w:r w:rsidRPr="00AC4AEA">
        <w:rPr>
          <w:rFonts w:ascii="Arial" w:hAnsi="Arial" w:cs="Arial"/>
          <w:sz w:val="20"/>
          <w:szCs w:val="20"/>
        </w:rPr>
        <w:t xml:space="preserve">” [ver los párrafos </w:t>
      </w:r>
      <w:fldSimple w:instr=" REF _Ref99481228 \r \h  \* MERGEFORMAT ">
        <w:r w:rsidR="00D33A5D" w:rsidRPr="00D33A5D">
          <w:rPr>
            <w:rFonts w:ascii="Arial" w:hAnsi="Arial" w:cs="Arial"/>
            <w:sz w:val="20"/>
            <w:szCs w:val="20"/>
          </w:rPr>
          <w:t>532</w:t>
        </w:r>
      </w:fldSimple>
      <w:r w:rsidRPr="00AC4AEA">
        <w:rPr>
          <w:rFonts w:ascii="Arial" w:hAnsi="Arial" w:cs="Arial"/>
          <w:sz w:val="20"/>
          <w:szCs w:val="20"/>
        </w:rPr>
        <w:t xml:space="preserve"> a </w:t>
      </w:r>
      <w:r w:rsidR="001C4138">
        <w:rPr>
          <w:rFonts w:ascii="Arial" w:hAnsi="Arial" w:cs="Arial"/>
          <w:sz w:val="20"/>
          <w:szCs w:val="20"/>
        </w:rPr>
        <w:fldChar w:fldCharType="begin"/>
      </w:r>
      <w:r w:rsidR="00343DFA">
        <w:rPr>
          <w:rFonts w:ascii="Arial" w:hAnsi="Arial" w:cs="Arial"/>
          <w:sz w:val="20"/>
          <w:szCs w:val="20"/>
        </w:rPr>
        <w:instrText xml:space="preserve"> REF _Ref138943352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559</w:t>
      </w:r>
      <w:r w:rsidR="001C4138">
        <w:rPr>
          <w:rFonts w:ascii="Arial" w:hAnsi="Arial" w:cs="Arial"/>
          <w:sz w:val="20"/>
          <w:szCs w:val="20"/>
        </w:rPr>
        <w:fldChar w:fldCharType="end"/>
      </w:r>
      <w:r w:rsidRPr="00AC4AEA">
        <w:rPr>
          <w:rFonts w:ascii="Arial" w:hAnsi="Arial" w:cs="Arial"/>
          <w:sz w:val="20"/>
          <w:szCs w:val="20"/>
        </w:rPr>
        <w:t>].</w:t>
      </w:r>
      <w:r w:rsidR="003606FE" w:rsidRPr="00AC4AEA" w:rsidDel="00000B6A">
        <w:rPr>
          <w:rFonts w:ascii="Arial" w:hAnsi="Arial" w:cs="Arial"/>
          <w:sz w:val="20"/>
          <w:szCs w:val="20"/>
        </w:rPr>
        <w:t xml:space="preserve"> </w:t>
      </w:r>
    </w:p>
    <w:p w:rsidR="00AE7883" w:rsidRPr="00AC4AEA" w:rsidRDefault="00AE7883" w:rsidP="00A318EA">
      <w:pPr>
        <w:pStyle w:val="Ttulo1"/>
        <w:rPr>
          <w:rFonts w:cs="Arial"/>
          <w:sz w:val="20"/>
          <w:szCs w:val="20"/>
        </w:rPr>
      </w:pPr>
      <w:bookmarkStart w:id="578" w:name="ANCMV"/>
      <w:bookmarkStart w:id="579" w:name="_Toc101863898"/>
      <w:bookmarkEnd w:id="578"/>
    </w:p>
    <w:p w:rsidR="00442BC7" w:rsidRPr="00737A0B" w:rsidRDefault="00497590" w:rsidP="00A318EA">
      <w:pPr>
        <w:pStyle w:val="Ttulo1"/>
        <w:rPr>
          <w:rFonts w:cs="Arial"/>
          <w:sz w:val="20"/>
          <w:szCs w:val="20"/>
        </w:rPr>
      </w:pPr>
      <w:bookmarkStart w:id="580" w:name="_Toc139356764"/>
      <w:r w:rsidRPr="00737A0B">
        <w:rPr>
          <w:rFonts w:cs="Arial"/>
          <w:sz w:val="20"/>
          <w:szCs w:val="20"/>
        </w:rPr>
        <w:t>ACTIVOS</w:t>
      </w:r>
      <w:r w:rsidR="008809C0" w:rsidRPr="00737A0B">
        <w:rPr>
          <w:rFonts w:cs="Arial"/>
          <w:sz w:val="20"/>
          <w:szCs w:val="20"/>
        </w:rPr>
        <w:t xml:space="preserve"> NO CORRIENTES MANTENIDOS PARA LA VENTA</w:t>
      </w:r>
      <w:bookmarkEnd w:id="580"/>
      <w:r w:rsidR="008809C0" w:rsidRPr="00737A0B">
        <w:rPr>
          <w:rFonts w:cs="Arial"/>
          <w:sz w:val="20"/>
          <w:szCs w:val="20"/>
        </w:rPr>
        <w:t xml:space="preserve"> </w:t>
      </w:r>
      <w:bookmarkEnd w:id="579"/>
    </w:p>
    <w:p w:rsidR="00442BC7" w:rsidRPr="00AC4AEA" w:rsidRDefault="00442BC7" w:rsidP="00A318EA">
      <w:pPr>
        <w:pStyle w:val="Ttulo2"/>
        <w:rPr>
          <w:rFonts w:cs="Arial"/>
        </w:rPr>
      </w:pPr>
      <w:bookmarkStart w:id="581" w:name="_Toc101863899"/>
      <w:bookmarkStart w:id="582" w:name="_Toc139356765"/>
      <w:r w:rsidRPr="00737A0B">
        <w:rPr>
          <w:rFonts w:cs="Arial"/>
        </w:rPr>
        <w:t>Definici</w:t>
      </w:r>
      <w:r w:rsidR="00AB4B8C" w:rsidRPr="00737A0B">
        <w:rPr>
          <w:rFonts w:cs="Arial"/>
        </w:rPr>
        <w:t>ó</w:t>
      </w:r>
      <w:r w:rsidRPr="00737A0B">
        <w:rPr>
          <w:rFonts w:cs="Arial"/>
        </w:rPr>
        <w:t>n</w:t>
      </w:r>
      <w:bookmarkEnd w:id="581"/>
      <w:bookmarkEnd w:id="582"/>
      <w:r w:rsidRPr="00AC4AEA">
        <w:rPr>
          <w:rFonts w:cs="Arial"/>
        </w:rPr>
        <w:t xml:space="preserve"> </w:t>
      </w:r>
    </w:p>
    <w:p w:rsidR="00442BC7" w:rsidRPr="00AC4AEA" w:rsidRDefault="00442BC7" w:rsidP="00A318EA">
      <w:pPr>
        <w:pStyle w:val="Prrafodelista"/>
        <w:numPr>
          <w:ilvl w:val="0"/>
          <w:numId w:val="29"/>
        </w:numPr>
        <w:contextualSpacing w:val="0"/>
        <w:jc w:val="both"/>
        <w:rPr>
          <w:rFonts w:ascii="Arial" w:hAnsi="Arial" w:cs="Arial"/>
          <w:sz w:val="20"/>
          <w:szCs w:val="20"/>
        </w:rPr>
      </w:pPr>
      <w:bookmarkStart w:id="583" w:name="_Ref74758072"/>
      <w:r w:rsidRPr="00AC4AEA">
        <w:rPr>
          <w:rFonts w:ascii="Arial" w:hAnsi="Arial" w:cs="Arial"/>
          <w:sz w:val="20"/>
          <w:szCs w:val="20"/>
        </w:rPr>
        <w:t xml:space="preserve">A los fines del tratamiento de los </w:t>
      </w:r>
      <w:r w:rsidR="00497590" w:rsidRPr="00AC4AEA">
        <w:rPr>
          <w:rFonts w:ascii="Arial" w:hAnsi="Arial" w:cs="Arial"/>
          <w:sz w:val="20"/>
          <w:szCs w:val="20"/>
        </w:rPr>
        <w:t>activos</w:t>
      </w:r>
      <w:r w:rsidRPr="00AC4AEA">
        <w:rPr>
          <w:rFonts w:ascii="Arial" w:hAnsi="Arial" w:cs="Arial"/>
          <w:sz w:val="20"/>
          <w:szCs w:val="20"/>
        </w:rPr>
        <w:t xml:space="preserve"> referidos en esta sección, una entidad deberá considerar la</w:t>
      </w:r>
      <w:r w:rsidR="00523CCA" w:rsidRPr="00AC4AEA">
        <w:rPr>
          <w:rFonts w:ascii="Arial" w:hAnsi="Arial" w:cs="Arial"/>
          <w:sz w:val="20"/>
          <w:szCs w:val="20"/>
        </w:rPr>
        <w:t xml:space="preserve"> siguiente</w:t>
      </w:r>
      <w:r w:rsidRPr="00AC4AEA">
        <w:rPr>
          <w:rFonts w:ascii="Arial" w:hAnsi="Arial" w:cs="Arial"/>
          <w:sz w:val="20"/>
          <w:szCs w:val="20"/>
        </w:rPr>
        <w:t xml:space="preserve"> </w:t>
      </w:r>
      <w:r w:rsidR="00523CCA" w:rsidRPr="00AC4AEA">
        <w:rPr>
          <w:rFonts w:ascii="Arial" w:hAnsi="Arial" w:cs="Arial"/>
          <w:sz w:val="20"/>
          <w:szCs w:val="20"/>
        </w:rPr>
        <w:t>definición</w:t>
      </w:r>
      <w:r w:rsidRPr="00AC4AEA">
        <w:rPr>
          <w:rFonts w:ascii="Arial" w:hAnsi="Arial" w:cs="Arial"/>
          <w:sz w:val="20"/>
          <w:szCs w:val="20"/>
        </w:rPr>
        <w:t>.</w:t>
      </w:r>
      <w:bookmarkEnd w:id="583"/>
    </w:p>
    <w:p w:rsidR="00442BC7" w:rsidRPr="00AC4AEA" w:rsidRDefault="00497590" w:rsidP="00A318EA">
      <w:pPr>
        <w:ind w:left="1416"/>
        <w:jc w:val="both"/>
        <w:rPr>
          <w:rFonts w:ascii="Arial" w:hAnsi="Arial" w:cs="Arial"/>
          <w:b/>
          <w:bCs/>
          <w:sz w:val="20"/>
          <w:szCs w:val="20"/>
        </w:rPr>
      </w:pPr>
      <w:r w:rsidRPr="00AC4AEA">
        <w:rPr>
          <w:rFonts w:ascii="Arial" w:hAnsi="Arial" w:cs="Arial"/>
          <w:sz w:val="20"/>
          <w:szCs w:val="20"/>
          <w:u w:val="single"/>
        </w:rPr>
        <w:t>Activos</w:t>
      </w:r>
      <w:r w:rsidR="00442BC7" w:rsidRPr="00AC4AEA">
        <w:rPr>
          <w:rFonts w:ascii="Arial" w:hAnsi="Arial" w:cs="Arial"/>
          <w:sz w:val="20"/>
          <w:szCs w:val="20"/>
          <w:u w:val="single"/>
        </w:rPr>
        <w:t xml:space="preserve"> no corrientes mantenidos para la venta</w:t>
      </w:r>
      <w:r w:rsidR="00C95D30" w:rsidRPr="00AC4AEA">
        <w:rPr>
          <w:rFonts w:ascii="Arial" w:hAnsi="Arial" w:cs="Arial"/>
          <w:sz w:val="20"/>
          <w:szCs w:val="20"/>
        </w:rPr>
        <w:t>:</w:t>
      </w:r>
      <w:r w:rsidR="00442BC7" w:rsidRPr="00AC4AEA">
        <w:rPr>
          <w:rFonts w:ascii="Arial" w:hAnsi="Arial" w:cs="Arial"/>
          <w:b/>
          <w:bCs/>
          <w:sz w:val="20"/>
          <w:szCs w:val="20"/>
        </w:rPr>
        <w:t xml:space="preserve"> </w:t>
      </w:r>
      <w:r w:rsidR="00442BC7" w:rsidRPr="00AC4AEA">
        <w:rPr>
          <w:rFonts w:ascii="Arial" w:hAnsi="Arial" w:cs="Arial"/>
          <w:sz w:val="20"/>
          <w:szCs w:val="20"/>
        </w:rPr>
        <w:t xml:space="preserve">Incluye </w:t>
      </w:r>
      <w:r w:rsidRPr="00AC4AEA">
        <w:rPr>
          <w:rFonts w:ascii="Arial" w:hAnsi="Arial" w:cs="Arial"/>
          <w:bCs/>
          <w:sz w:val="20"/>
          <w:szCs w:val="20"/>
        </w:rPr>
        <w:t>activos</w:t>
      </w:r>
      <w:r w:rsidR="00442BC7" w:rsidRPr="00AC4AEA">
        <w:rPr>
          <w:rFonts w:ascii="Arial" w:hAnsi="Arial" w:cs="Arial"/>
          <w:sz w:val="20"/>
          <w:szCs w:val="20"/>
        </w:rPr>
        <w:t xml:space="preserve"> </w:t>
      </w:r>
      <w:r w:rsidR="00362386" w:rsidRPr="00AC4AEA">
        <w:rPr>
          <w:rFonts w:ascii="Arial" w:hAnsi="Arial" w:cs="Arial"/>
          <w:sz w:val="20"/>
          <w:szCs w:val="20"/>
        </w:rPr>
        <w:t xml:space="preserve">originalmente clasificados como </w:t>
      </w:r>
      <w:r w:rsidR="00442BC7" w:rsidRPr="00AC4AEA">
        <w:rPr>
          <w:rFonts w:ascii="Arial" w:hAnsi="Arial" w:cs="Arial"/>
          <w:sz w:val="20"/>
          <w:szCs w:val="20"/>
        </w:rPr>
        <w:t xml:space="preserve">no corrientes </w:t>
      </w:r>
      <w:r w:rsidR="007D359D" w:rsidRPr="00AC4AEA">
        <w:rPr>
          <w:rFonts w:ascii="Arial" w:hAnsi="Arial" w:cs="Arial"/>
          <w:sz w:val="20"/>
          <w:szCs w:val="20"/>
        </w:rPr>
        <w:t xml:space="preserve">cuyo destino fue modificado con el fin de mantenerlos </w:t>
      </w:r>
      <w:r w:rsidR="00442BC7" w:rsidRPr="00AC4AEA">
        <w:rPr>
          <w:rFonts w:ascii="Arial" w:hAnsi="Arial" w:cs="Arial"/>
          <w:sz w:val="20"/>
          <w:szCs w:val="20"/>
        </w:rPr>
        <w:t>para la venta</w:t>
      </w:r>
      <w:r w:rsidR="0064464C" w:rsidRPr="00AC4AEA">
        <w:rPr>
          <w:rFonts w:ascii="Arial" w:hAnsi="Arial" w:cs="Arial"/>
          <w:sz w:val="20"/>
          <w:szCs w:val="20"/>
        </w:rPr>
        <w:t>,</w:t>
      </w:r>
      <w:r w:rsidR="00442BC7" w:rsidRPr="00AC4AEA">
        <w:rPr>
          <w:rFonts w:ascii="Arial" w:hAnsi="Arial" w:cs="Arial"/>
          <w:sz w:val="20"/>
          <w:szCs w:val="20"/>
        </w:rPr>
        <w:t xml:space="preserve"> que cumplen con las siguientes condiciones: </w:t>
      </w:r>
    </w:p>
    <w:p w:rsidR="00442BC7" w:rsidRPr="00AC4AEA" w:rsidRDefault="00E1484A" w:rsidP="00A318EA">
      <w:pPr>
        <w:pStyle w:val="Prrafodelista"/>
        <w:numPr>
          <w:ilvl w:val="0"/>
          <w:numId w:val="118"/>
        </w:numPr>
        <w:ind w:left="1841" w:hanging="425"/>
        <w:contextualSpacing w:val="0"/>
        <w:jc w:val="both"/>
        <w:rPr>
          <w:rFonts w:ascii="Arial" w:hAnsi="Arial" w:cs="Arial"/>
          <w:sz w:val="20"/>
          <w:szCs w:val="20"/>
        </w:rPr>
      </w:pPr>
      <w:r w:rsidRPr="00AC4AEA">
        <w:rPr>
          <w:rFonts w:ascii="Arial" w:hAnsi="Arial" w:cs="Arial"/>
          <w:sz w:val="20"/>
          <w:szCs w:val="20"/>
        </w:rPr>
        <w:t>e</w:t>
      </w:r>
      <w:r w:rsidR="00442BC7" w:rsidRPr="00AC4AEA">
        <w:rPr>
          <w:rFonts w:ascii="Arial" w:hAnsi="Arial" w:cs="Arial"/>
          <w:sz w:val="20"/>
          <w:szCs w:val="20"/>
        </w:rPr>
        <w:t xml:space="preserve">l </w:t>
      </w:r>
      <w:r w:rsidR="00442BC7" w:rsidRPr="00AC4AEA">
        <w:rPr>
          <w:rFonts w:ascii="Arial" w:hAnsi="Arial" w:cs="Arial"/>
          <w:b/>
          <w:bCs/>
          <w:sz w:val="20"/>
          <w:szCs w:val="20"/>
        </w:rPr>
        <w:t>activo</w:t>
      </w:r>
      <w:r w:rsidR="00442BC7" w:rsidRPr="00AC4AEA">
        <w:rPr>
          <w:rFonts w:ascii="Arial" w:hAnsi="Arial" w:cs="Arial"/>
          <w:sz w:val="20"/>
          <w:szCs w:val="20"/>
        </w:rPr>
        <w:t xml:space="preserve"> debe estar disponible, en sus condiciones actuales, para su venta inmediata, en los términos usuales</w:t>
      </w:r>
      <w:r w:rsidR="003F0D13" w:rsidRPr="00AC4AEA">
        <w:rPr>
          <w:rFonts w:ascii="Arial" w:hAnsi="Arial" w:cs="Arial"/>
          <w:sz w:val="20"/>
          <w:szCs w:val="20"/>
        </w:rPr>
        <w:t>;</w:t>
      </w:r>
    </w:p>
    <w:p w:rsidR="00442BC7" w:rsidRPr="00AC4AEA" w:rsidRDefault="00E1484A" w:rsidP="00A318EA">
      <w:pPr>
        <w:pStyle w:val="Prrafodelista"/>
        <w:numPr>
          <w:ilvl w:val="0"/>
          <w:numId w:val="118"/>
        </w:numPr>
        <w:ind w:left="1841" w:hanging="425"/>
        <w:contextualSpacing w:val="0"/>
        <w:jc w:val="both"/>
        <w:rPr>
          <w:rFonts w:ascii="Arial" w:hAnsi="Arial" w:cs="Arial"/>
          <w:sz w:val="20"/>
          <w:szCs w:val="20"/>
        </w:rPr>
      </w:pPr>
      <w:r w:rsidRPr="00AC4AEA">
        <w:rPr>
          <w:rFonts w:ascii="Arial" w:hAnsi="Arial" w:cs="Arial"/>
          <w:sz w:val="20"/>
          <w:szCs w:val="20"/>
        </w:rPr>
        <w:t>s</w:t>
      </w:r>
      <w:r w:rsidR="00442BC7" w:rsidRPr="00AC4AEA">
        <w:rPr>
          <w:rFonts w:ascii="Arial" w:hAnsi="Arial" w:cs="Arial"/>
          <w:sz w:val="20"/>
          <w:szCs w:val="20"/>
        </w:rPr>
        <w:t>u venta debe ser altamente probable</w:t>
      </w:r>
      <w:r w:rsidR="00B358D7" w:rsidRPr="00AC4AEA">
        <w:rPr>
          <w:rFonts w:ascii="Arial" w:hAnsi="Arial" w:cs="Arial"/>
          <w:sz w:val="20"/>
          <w:szCs w:val="20"/>
        </w:rPr>
        <w:t>;</w:t>
      </w:r>
      <w:r w:rsidR="00442BC7" w:rsidRPr="00AC4AEA">
        <w:rPr>
          <w:rFonts w:ascii="Arial" w:hAnsi="Arial" w:cs="Arial"/>
          <w:sz w:val="20"/>
          <w:szCs w:val="20"/>
        </w:rPr>
        <w:t xml:space="preserve"> y</w:t>
      </w:r>
    </w:p>
    <w:p w:rsidR="00442BC7" w:rsidRPr="00AC4AEA" w:rsidRDefault="00E1484A" w:rsidP="00A318EA">
      <w:pPr>
        <w:pStyle w:val="Prrafodelista"/>
        <w:numPr>
          <w:ilvl w:val="0"/>
          <w:numId w:val="118"/>
        </w:numPr>
        <w:ind w:left="1841" w:hanging="425"/>
        <w:contextualSpacing w:val="0"/>
        <w:jc w:val="both"/>
        <w:rPr>
          <w:rFonts w:ascii="Arial" w:hAnsi="Arial" w:cs="Arial"/>
          <w:sz w:val="20"/>
          <w:szCs w:val="20"/>
        </w:rPr>
      </w:pPr>
      <w:r w:rsidRPr="00AC4AEA">
        <w:rPr>
          <w:rFonts w:ascii="Arial" w:hAnsi="Arial" w:cs="Arial"/>
          <w:sz w:val="20"/>
          <w:szCs w:val="20"/>
        </w:rPr>
        <w:t>d</w:t>
      </w:r>
      <w:r w:rsidR="00442BC7" w:rsidRPr="00AC4AEA">
        <w:rPr>
          <w:rFonts w:ascii="Arial" w:hAnsi="Arial" w:cs="Arial"/>
          <w:sz w:val="20"/>
          <w:szCs w:val="20"/>
        </w:rPr>
        <w:t>ebe esperarse que dicha venta se produzca dentro del año de la fecha de la clasificación.</w:t>
      </w:r>
    </w:p>
    <w:p w:rsidR="00A01961" w:rsidRPr="00AC4AEA" w:rsidRDefault="00A01961" w:rsidP="00A01961">
      <w:pPr>
        <w:ind w:left="1416"/>
        <w:jc w:val="both"/>
        <w:rPr>
          <w:rFonts w:ascii="Arial" w:hAnsi="Arial" w:cs="Arial"/>
          <w:sz w:val="20"/>
          <w:szCs w:val="20"/>
        </w:rPr>
      </w:pPr>
      <w:r w:rsidRPr="00AC4AEA">
        <w:rPr>
          <w:rFonts w:ascii="Arial" w:hAnsi="Arial" w:cs="Arial"/>
          <w:sz w:val="20"/>
          <w:szCs w:val="20"/>
        </w:rPr>
        <w:t xml:space="preserve">Se excluyen de esta sección las participaciones en otras entidades que se contabilicen </w:t>
      </w:r>
      <w:r w:rsidR="00CA0D40" w:rsidRPr="00AC4AEA">
        <w:rPr>
          <w:rFonts w:ascii="Arial" w:hAnsi="Arial" w:cs="Arial"/>
          <w:sz w:val="20"/>
          <w:szCs w:val="20"/>
        </w:rPr>
        <w:t>aplicando</w:t>
      </w:r>
      <w:r w:rsidRPr="00AC4AEA">
        <w:rPr>
          <w:rFonts w:ascii="Arial" w:hAnsi="Arial" w:cs="Arial"/>
          <w:sz w:val="20"/>
          <w:szCs w:val="20"/>
        </w:rPr>
        <w:t xml:space="preserve"> el párrafo </w:t>
      </w:r>
      <w:fldSimple w:instr=" REF _Ref135054353 \r \h  \* MERGEFORMAT ">
        <w:r w:rsidR="00D33A5D" w:rsidRPr="00D33A5D">
          <w:rPr>
            <w:rFonts w:ascii="Arial" w:hAnsi="Arial" w:cs="Arial"/>
            <w:sz w:val="20"/>
            <w:szCs w:val="20"/>
          </w:rPr>
          <w:t>769</w:t>
        </w:r>
      </w:fldSimple>
      <w:r w:rsidR="00CA0D40" w:rsidRPr="00AC4AEA">
        <w:rPr>
          <w:rFonts w:ascii="Arial" w:hAnsi="Arial" w:cs="Arial"/>
          <w:sz w:val="20"/>
          <w:szCs w:val="20"/>
        </w:rPr>
        <w:t>.</w:t>
      </w:r>
    </w:p>
    <w:p w:rsidR="00D17E94" w:rsidRPr="00AC4AEA" w:rsidRDefault="00D17E94" w:rsidP="00A318EA">
      <w:pPr>
        <w:pStyle w:val="Prrafodelista"/>
        <w:numPr>
          <w:ilvl w:val="0"/>
          <w:numId w:val="29"/>
        </w:numPr>
        <w:contextualSpacing w:val="0"/>
        <w:jc w:val="both"/>
        <w:rPr>
          <w:rFonts w:ascii="Arial" w:hAnsi="Arial" w:cs="Arial"/>
          <w:sz w:val="20"/>
          <w:szCs w:val="20"/>
        </w:rPr>
      </w:pPr>
      <w:bookmarkStart w:id="584" w:name="_Ref102775546"/>
      <w:r w:rsidRPr="00AC4AEA">
        <w:rPr>
          <w:rFonts w:ascii="Arial" w:hAnsi="Arial" w:cs="Arial"/>
          <w:sz w:val="20"/>
          <w:szCs w:val="20"/>
        </w:rPr>
        <w:t xml:space="preserve">Con relación al requisito establecido en el inciso c) del párrafo anterior, </w:t>
      </w:r>
      <w:r w:rsidR="00882E08" w:rsidRPr="00AC4AEA">
        <w:rPr>
          <w:rFonts w:ascii="Arial" w:hAnsi="Arial" w:cs="Arial"/>
          <w:sz w:val="20"/>
          <w:szCs w:val="20"/>
        </w:rPr>
        <w:t>cuando exista un retraso en la venta que</w:t>
      </w:r>
      <w:r w:rsidRPr="00AC4AEA">
        <w:rPr>
          <w:rFonts w:ascii="Arial" w:hAnsi="Arial" w:cs="Arial"/>
          <w:sz w:val="20"/>
          <w:szCs w:val="20"/>
        </w:rPr>
        <w:t xml:space="preserve"> est</w:t>
      </w:r>
      <w:r w:rsidR="00882E08" w:rsidRPr="00AC4AEA">
        <w:rPr>
          <w:rFonts w:ascii="Arial" w:hAnsi="Arial" w:cs="Arial"/>
          <w:sz w:val="20"/>
          <w:szCs w:val="20"/>
        </w:rPr>
        <w:t>é</w:t>
      </w:r>
      <w:r w:rsidRPr="00AC4AEA">
        <w:rPr>
          <w:rFonts w:ascii="Arial" w:hAnsi="Arial" w:cs="Arial"/>
          <w:sz w:val="20"/>
          <w:szCs w:val="20"/>
        </w:rPr>
        <w:t xml:space="preserve"> causado por hechos o circunstancias fuera del control de la entidad y existen evidencias suficientes de que la entidad sigue comprometida con su plan de venta del </w:t>
      </w:r>
      <w:r w:rsidRPr="00AC4AEA">
        <w:rPr>
          <w:rFonts w:ascii="Arial" w:hAnsi="Arial" w:cs="Arial"/>
          <w:b/>
          <w:bCs/>
          <w:sz w:val="20"/>
          <w:szCs w:val="20"/>
        </w:rPr>
        <w:t>activo</w:t>
      </w:r>
      <w:r w:rsidRPr="00AC4AEA">
        <w:rPr>
          <w:rFonts w:ascii="Arial" w:hAnsi="Arial" w:cs="Arial"/>
          <w:sz w:val="20"/>
          <w:szCs w:val="20"/>
        </w:rPr>
        <w:t xml:space="preserve">, </w:t>
      </w:r>
      <w:r w:rsidR="00BD7827" w:rsidRPr="00AC4AEA">
        <w:rPr>
          <w:rFonts w:ascii="Arial" w:hAnsi="Arial" w:cs="Arial"/>
          <w:sz w:val="20"/>
          <w:szCs w:val="20"/>
        </w:rPr>
        <w:t xml:space="preserve">una entidad estará eximida de </w:t>
      </w:r>
      <w:r w:rsidRPr="00AC4AEA">
        <w:rPr>
          <w:rFonts w:ascii="Arial" w:hAnsi="Arial" w:cs="Arial"/>
          <w:sz w:val="20"/>
          <w:szCs w:val="20"/>
        </w:rPr>
        <w:t>aplicar el requisito de un año</w:t>
      </w:r>
      <w:r w:rsidR="00B96A4B" w:rsidRPr="00AC4AEA">
        <w:rPr>
          <w:rFonts w:ascii="Arial" w:hAnsi="Arial" w:cs="Arial"/>
          <w:sz w:val="20"/>
          <w:szCs w:val="20"/>
        </w:rPr>
        <w:t>,</w:t>
      </w:r>
      <w:r w:rsidRPr="00AC4AEA">
        <w:rPr>
          <w:rFonts w:ascii="Arial" w:hAnsi="Arial" w:cs="Arial"/>
          <w:sz w:val="20"/>
          <w:szCs w:val="20"/>
        </w:rPr>
        <w:t xml:space="preserve"> </w:t>
      </w:r>
      <w:r w:rsidR="00B96A4B" w:rsidRPr="00AC4AEA">
        <w:rPr>
          <w:rFonts w:ascii="Arial" w:hAnsi="Arial" w:cs="Arial"/>
          <w:sz w:val="20"/>
          <w:szCs w:val="20"/>
        </w:rPr>
        <w:t>si</w:t>
      </w:r>
      <w:r w:rsidRPr="00AC4AEA">
        <w:rPr>
          <w:rFonts w:ascii="Arial" w:hAnsi="Arial" w:cs="Arial"/>
          <w:sz w:val="20"/>
          <w:szCs w:val="20"/>
        </w:rPr>
        <w:t>:</w:t>
      </w:r>
      <w:bookmarkEnd w:id="584"/>
    </w:p>
    <w:p w:rsidR="00D17E94" w:rsidRPr="00AC4AEA" w:rsidRDefault="00BD7827" w:rsidP="00351CB7">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E</w:t>
      </w:r>
      <w:r w:rsidR="00D17E94" w:rsidRPr="00AC4AEA">
        <w:rPr>
          <w:rFonts w:ascii="Arial" w:hAnsi="Arial" w:cs="Arial"/>
          <w:sz w:val="20"/>
          <w:szCs w:val="20"/>
        </w:rPr>
        <w:t>n la fecha en que la entidad se compromet</w:t>
      </w:r>
      <w:r w:rsidRPr="00AC4AEA">
        <w:rPr>
          <w:rFonts w:ascii="Arial" w:hAnsi="Arial" w:cs="Arial"/>
          <w:sz w:val="20"/>
          <w:szCs w:val="20"/>
        </w:rPr>
        <w:t xml:space="preserve">e </w:t>
      </w:r>
      <w:r w:rsidR="00D17E94" w:rsidRPr="00AC4AEA">
        <w:rPr>
          <w:rFonts w:ascii="Arial" w:hAnsi="Arial" w:cs="Arial"/>
          <w:sz w:val="20"/>
          <w:szCs w:val="20"/>
        </w:rPr>
        <w:t xml:space="preserve">con un plan para vender </w:t>
      </w:r>
      <w:r w:rsidR="00B96A4B" w:rsidRPr="00AC4AEA">
        <w:rPr>
          <w:rFonts w:ascii="Arial" w:hAnsi="Arial" w:cs="Arial"/>
          <w:sz w:val="20"/>
          <w:szCs w:val="20"/>
        </w:rPr>
        <w:t>el</w:t>
      </w:r>
      <w:r w:rsidR="00D17E94" w:rsidRPr="00AC4AEA">
        <w:rPr>
          <w:rFonts w:ascii="Arial" w:hAnsi="Arial" w:cs="Arial"/>
          <w:sz w:val="20"/>
          <w:szCs w:val="20"/>
        </w:rPr>
        <w:t xml:space="preserve"> </w:t>
      </w:r>
      <w:r w:rsidR="00D17E94" w:rsidRPr="00AC4AEA">
        <w:rPr>
          <w:rFonts w:ascii="Arial" w:hAnsi="Arial" w:cs="Arial"/>
          <w:b/>
          <w:bCs/>
          <w:sz w:val="20"/>
          <w:szCs w:val="20"/>
        </w:rPr>
        <w:t>activo</w:t>
      </w:r>
      <w:r w:rsidR="00D17E94" w:rsidRPr="00AC4AEA">
        <w:rPr>
          <w:rFonts w:ascii="Arial" w:hAnsi="Arial" w:cs="Arial"/>
          <w:sz w:val="20"/>
          <w:szCs w:val="20"/>
        </w:rPr>
        <w:t>, exist</w:t>
      </w:r>
      <w:r w:rsidRPr="00AC4AEA">
        <w:rPr>
          <w:rFonts w:ascii="Arial" w:hAnsi="Arial" w:cs="Arial"/>
          <w:sz w:val="20"/>
          <w:szCs w:val="20"/>
        </w:rPr>
        <w:t>e</w:t>
      </w:r>
      <w:r w:rsidR="00D17E94" w:rsidRPr="00AC4AEA">
        <w:rPr>
          <w:rFonts w:ascii="Arial" w:hAnsi="Arial" w:cs="Arial"/>
          <w:sz w:val="20"/>
          <w:szCs w:val="20"/>
        </w:rPr>
        <w:t xml:space="preserve"> una expectativa razonable de que otros terceros (distintos del comprador) impondrán condiciones sobre la transferencia del </w:t>
      </w:r>
      <w:r w:rsidR="00D17E94" w:rsidRPr="00AC4AEA">
        <w:rPr>
          <w:rFonts w:ascii="Arial" w:hAnsi="Arial" w:cs="Arial"/>
          <w:b/>
          <w:bCs/>
          <w:sz w:val="20"/>
          <w:szCs w:val="20"/>
        </w:rPr>
        <w:t>activo</w:t>
      </w:r>
      <w:r w:rsidR="00D17E94" w:rsidRPr="00AC4AEA">
        <w:rPr>
          <w:rFonts w:ascii="Arial" w:hAnsi="Arial" w:cs="Arial"/>
          <w:sz w:val="20"/>
          <w:szCs w:val="20"/>
        </w:rPr>
        <w:t xml:space="preserve"> que ampliarán </w:t>
      </w:r>
      <w:r w:rsidR="004E3FBF" w:rsidRPr="00AC4AEA">
        <w:rPr>
          <w:rFonts w:ascii="Arial" w:hAnsi="Arial" w:cs="Arial"/>
          <w:sz w:val="20"/>
          <w:szCs w:val="20"/>
        </w:rPr>
        <w:t>el período</w:t>
      </w:r>
      <w:r w:rsidR="00D17E94" w:rsidRPr="00AC4AEA">
        <w:rPr>
          <w:rFonts w:ascii="Arial" w:hAnsi="Arial" w:cs="Arial"/>
          <w:sz w:val="20"/>
          <w:szCs w:val="20"/>
        </w:rPr>
        <w:t xml:space="preserve"> necesario para completar la venta, y:</w:t>
      </w:r>
    </w:p>
    <w:p w:rsidR="00D17E94" w:rsidRPr="00AC4AEA" w:rsidRDefault="00D17E94" w:rsidP="00351CB7">
      <w:pPr>
        <w:pStyle w:val="Prrafodelista"/>
        <w:numPr>
          <w:ilvl w:val="0"/>
          <w:numId w:val="321"/>
        </w:numPr>
        <w:ind w:left="2127"/>
        <w:contextualSpacing w:val="0"/>
        <w:jc w:val="both"/>
        <w:rPr>
          <w:rFonts w:ascii="Arial" w:hAnsi="Arial" w:cs="Arial"/>
          <w:sz w:val="20"/>
          <w:szCs w:val="20"/>
        </w:rPr>
      </w:pPr>
      <w:r w:rsidRPr="00AC4AEA">
        <w:rPr>
          <w:rFonts w:ascii="Arial" w:hAnsi="Arial" w:cs="Arial"/>
          <w:sz w:val="20"/>
          <w:szCs w:val="20"/>
        </w:rPr>
        <w:t>las acciones necesarias para responder a esas condiciones no puedan ser iniciadas hasta después de que se haya obtenido el compromiso firme de compra; y</w:t>
      </w:r>
    </w:p>
    <w:p w:rsidR="00D17E94" w:rsidRPr="00AC4AEA" w:rsidRDefault="00BD7827" w:rsidP="00351CB7">
      <w:pPr>
        <w:pStyle w:val="Prrafodelista"/>
        <w:numPr>
          <w:ilvl w:val="0"/>
          <w:numId w:val="321"/>
        </w:numPr>
        <w:ind w:left="2127"/>
        <w:contextualSpacing w:val="0"/>
        <w:jc w:val="both"/>
        <w:rPr>
          <w:rFonts w:ascii="Arial" w:hAnsi="Arial" w:cs="Arial"/>
          <w:sz w:val="20"/>
          <w:szCs w:val="20"/>
        </w:rPr>
      </w:pPr>
      <w:r w:rsidRPr="00AC4AEA">
        <w:rPr>
          <w:rFonts w:ascii="Arial" w:hAnsi="Arial" w:cs="Arial"/>
          <w:sz w:val="20"/>
          <w:szCs w:val="20"/>
        </w:rPr>
        <w:t>es</w:t>
      </w:r>
      <w:r w:rsidR="00D17E94" w:rsidRPr="00AC4AEA">
        <w:rPr>
          <w:rFonts w:ascii="Arial" w:hAnsi="Arial" w:cs="Arial"/>
          <w:sz w:val="20"/>
          <w:szCs w:val="20"/>
        </w:rPr>
        <w:t xml:space="preserve"> altamente probable un compromiso firme de compra en el plazo de un año.</w:t>
      </w:r>
    </w:p>
    <w:p w:rsidR="00D17E94" w:rsidRPr="00AC4AEA" w:rsidRDefault="00D17E94" w:rsidP="00351CB7">
      <w:pPr>
        <w:pStyle w:val="Prrafodelista"/>
        <w:numPr>
          <w:ilvl w:val="1"/>
          <w:numId w:val="29"/>
        </w:numPr>
        <w:ind w:left="1418"/>
        <w:contextualSpacing w:val="0"/>
        <w:jc w:val="both"/>
        <w:rPr>
          <w:rFonts w:ascii="Arial" w:hAnsi="Arial" w:cs="Arial"/>
          <w:sz w:val="20"/>
          <w:szCs w:val="20"/>
        </w:rPr>
      </w:pPr>
      <w:r w:rsidRPr="00AC4AEA">
        <w:rPr>
          <w:rFonts w:ascii="Arial" w:hAnsi="Arial" w:cs="Arial"/>
          <w:sz w:val="20"/>
          <w:szCs w:val="20"/>
        </w:rPr>
        <w:t xml:space="preserve">La entidad </w:t>
      </w:r>
      <w:r w:rsidR="00BD7827" w:rsidRPr="00AC4AEA">
        <w:rPr>
          <w:rFonts w:ascii="Arial" w:hAnsi="Arial" w:cs="Arial"/>
          <w:sz w:val="20"/>
          <w:szCs w:val="20"/>
        </w:rPr>
        <w:t xml:space="preserve">obtuvo </w:t>
      </w:r>
      <w:r w:rsidRPr="00AC4AEA">
        <w:rPr>
          <w:rFonts w:ascii="Arial" w:hAnsi="Arial" w:cs="Arial"/>
          <w:sz w:val="20"/>
          <w:szCs w:val="20"/>
        </w:rPr>
        <w:t xml:space="preserve">un compromiso firme de compra y, como resultado, el comprador u otros terceros </w:t>
      </w:r>
      <w:r w:rsidR="00BD7827" w:rsidRPr="00AC4AEA">
        <w:rPr>
          <w:rFonts w:ascii="Arial" w:hAnsi="Arial" w:cs="Arial"/>
          <w:sz w:val="20"/>
          <w:szCs w:val="20"/>
        </w:rPr>
        <w:t xml:space="preserve">impusieron </w:t>
      </w:r>
      <w:r w:rsidRPr="00AC4AEA">
        <w:rPr>
          <w:rFonts w:ascii="Arial" w:hAnsi="Arial" w:cs="Arial"/>
          <w:sz w:val="20"/>
          <w:szCs w:val="20"/>
        </w:rPr>
        <w:t xml:space="preserve">de forma inesperada condiciones sobre la transferencia del </w:t>
      </w:r>
      <w:r w:rsidRPr="00AC4AEA">
        <w:rPr>
          <w:rFonts w:ascii="Arial" w:hAnsi="Arial" w:cs="Arial"/>
          <w:b/>
          <w:bCs/>
          <w:sz w:val="20"/>
          <w:szCs w:val="20"/>
        </w:rPr>
        <w:t>activo</w:t>
      </w:r>
      <w:r w:rsidRPr="00AC4AEA">
        <w:rPr>
          <w:rFonts w:ascii="Arial" w:hAnsi="Arial" w:cs="Arial"/>
          <w:sz w:val="20"/>
          <w:szCs w:val="20"/>
        </w:rPr>
        <w:t xml:space="preserve"> clasificado previamente como mantenido para la venta, que extenderán </w:t>
      </w:r>
      <w:r w:rsidR="004E3FBF" w:rsidRPr="00AC4AEA">
        <w:rPr>
          <w:rFonts w:ascii="Arial" w:hAnsi="Arial" w:cs="Arial"/>
          <w:sz w:val="20"/>
          <w:szCs w:val="20"/>
        </w:rPr>
        <w:t>el período</w:t>
      </w:r>
      <w:r w:rsidRPr="00AC4AEA">
        <w:rPr>
          <w:rFonts w:ascii="Arial" w:hAnsi="Arial" w:cs="Arial"/>
          <w:sz w:val="20"/>
          <w:szCs w:val="20"/>
        </w:rPr>
        <w:t xml:space="preserve"> exigido para completar la venta, y:</w:t>
      </w:r>
    </w:p>
    <w:p w:rsidR="00D17E94" w:rsidRPr="00AC4AEA" w:rsidRDefault="007C4FDB" w:rsidP="00351CB7">
      <w:pPr>
        <w:pStyle w:val="Prrafodelista"/>
        <w:numPr>
          <w:ilvl w:val="0"/>
          <w:numId w:val="322"/>
        </w:numPr>
        <w:ind w:left="1985"/>
        <w:contextualSpacing w:val="0"/>
        <w:jc w:val="both"/>
        <w:rPr>
          <w:rFonts w:ascii="Arial" w:hAnsi="Arial" w:cs="Arial"/>
          <w:sz w:val="20"/>
          <w:szCs w:val="20"/>
        </w:rPr>
      </w:pPr>
      <w:r w:rsidRPr="00AC4AEA">
        <w:rPr>
          <w:rFonts w:ascii="Arial" w:hAnsi="Arial" w:cs="Arial"/>
          <w:sz w:val="20"/>
          <w:szCs w:val="20"/>
        </w:rPr>
        <w:t>t</w:t>
      </w:r>
      <w:r w:rsidR="00BD7827" w:rsidRPr="00AC4AEA">
        <w:rPr>
          <w:rFonts w:ascii="Arial" w:hAnsi="Arial" w:cs="Arial"/>
          <w:sz w:val="20"/>
          <w:szCs w:val="20"/>
        </w:rPr>
        <w:t>omó</w:t>
      </w:r>
      <w:r w:rsidRPr="00AC4AEA">
        <w:rPr>
          <w:rFonts w:ascii="Arial" w:hAnsi="Arial" w:cs="Arial"/>
          <w:sz w:val="20"/>
          <w:szCs w:val="20"/>
        </w:rPr>
        <w:t xml:space="preserve"> </w:t>
      </w:r>
      <w:r w:rsidR="00D17E94" w:rsidRPr="00AC4AEA">
        <w:rPr>
          <w:rFonts w:ascii="Arial" w:hAnsi="Arial" w:cs="Arial"/>
          <w:sz w:val="20"/>
          <w:szCs w:val="20"/>
        </w:rPr>
        <w:t>a tiempo las acciones necesarias para responder a las condiciones impuestas; y</w:t>
      </w:r>
    </w:p>
    <w:p w:rsidR="00D17E94" w:rsidRPr="00AC4AEA" w:rsidRDefault="00D17E94" w:rsidP="00351CB7">
      <w:pPr>
        <w:pStyle w:val="Prrafodelista"/>
        <w:numPr>
          <w:ilvl w:val="0"/>
          <w:numId w:val="322"/>
        </w:numPr>
        <w:ind w:left="1985"/>
        <w:contextualSpacing w:val="0"/>
        <w:jc w:val="both"/>
        <w:rPr>
          <w:rFonts w:ascii="Arial" w:hAnsi="Arial" w:cs="Arial"/>
          <w:sz w:val="20"/>
          <w:szCs w:val="20"/>
        </w:rPr>
      </w:pPr>
      <w:r w:rsidRPr="00AC4AEA">
        <w:rPr>
          <w:rFonts w:ascii="Arial" w:hAnsi="Arial" w:cs="Arial"/>
          <w:sz w:val="20"/>
          <w:szCs w:val="20"/>
        </w:rPr>
        <w:t>espera una resolución favorable de los factores que originan el retraso.</w:t>
      </w:r>
    </w:p>
    <w:p w:rsidR="00D17E94" w:rsidRPr="00AC4AEA" w:rsidRDefault="00D17E94" w:rsidP="00351CB7">
      <w:pPr>
        <w:pStyle w:val="Prrafodelista"/>
        <w:numPr>
          <w:ilvl w:val="1"/>
          <w:numId w:val="29"/>
        </w:numPr>
        <w:ind w:left="1418"/>
        <w:contextualSpacing w:val="0"/>
        <w:jc w:val="both"/>
        <w:rPr>
          <w:rFonts w:ascii="Arial" w:hAnsi="Arial" w:cs="Arial"/>
          <w:sz w:val="20"/>
          <w:szCs w:val="20"/>
        </w:rPr>
      </w:pPr>
      <w:r w:rsidRPr="00AC4AEA">
        <w:rPr>
          <w:rFonts w:ascii="Arial" w:hAnsi="Arial" w:cs="Arial"/>
          <w:sz w:val="20"/>
          <w:szCs w:val="20"/>
        </w:rPr>
        <w:t xml:space="preserve">Durante </w:t>
      </w:r>
      <w:r w:rsidR="004E3FBF" w:rsidRPr="00AC4AEA">
        <w:rPr>
          <w:rFonts w:ascii="Arial" w:hAnsi="Arial" w:cs="Arial"/>
          <w:sz w:val="20"/>
          <w:szCs w:val="20"/>
        </w:rPr>
        <w:t>el período</w:t>
      </w:r>
      <w:r w:rsidRPr="00AC4AEA">
        <w:rPr>
          <w:rFonts w:ascii="Arial" w:hAnsi="Arial" w:cs="Arial"/>
          <w:sz w:val="20"/>
          <w:szCs w:val="20"/>
        </w:rPr>
        <w:t xml:space="preserve"> inicial de un año, surgen circunstancias que previamente fueron consideradas improbables y, como resultado, el </w:t>
      </w:r>
      <w:r w:rsidRPr="00AC4AEA">
        <w:rPr>
          <w:rFonts w:ascii="Arial" w:hAnsi="Arial" w:cs="Arial"/>
          <w:b/>
          <w:bCs/>
          <w:sz w:val="20"/>
          <w:szCs w:val="20"/>
        </w:rPr>
        <w:t>activo</w:t>
      </w:r>
      <w:r w:rsidRPr="00AC4AEA">
        <w:rPr>
          <w:rFonts w:ascii="Arial" w:hAnsi="Arial" w:cs="Arial"/>
          <w:sz w:val="20"/>
          <w:szCs w:val="20"/>
        </w:rPr>
        <w:t xml:space="preserve"> previamente clasificado como mantenido para la venta no se ha vendido al final de </w:t>
      </w:r>
      <w:r w:rsidR="004E3FBF" w:rsidRPr="00AC4AEA">
        <w:rPr>
          <w:rFonts w:ascii="Arial" w:hAnsi="Arial" w:cs="Arial"/>
          <w:sz w:val="20"/>
          <w:szCs w:val="20"/>
        </w:rPr>
        <w:t>ese período</w:t>
      </w:r>
      <w:r w:rsidRPr="00AC4AEA">
        <w:rPr>
          <w:rFonts w:ascii="Arial" w:hAnsi="Arial" w:cs="Arial"/>
          <w:sz w:val="20"/>
          <w:szCs w:val="20"/>
        </w:rPr>
        <w:t>, y:</w:t>
      </w:r>
    </w:p>
    <w:p w:rsidR="00D17E94" w:rsidRPr="00AC4AEA" w:rsidRDefault="00D17E94" w:rsidP="00351CB7">
      <w:pPr>
        <w:pStyle w:val="Prrafodelista"/>
        <w:numPr>
          <w:ilvl w:val="0"/>
          <w:numId w:val="323"/>
        </w:numPr>
        <w:ind w:left="1985"/>
        <w:contextualSpacing w:val="0"/>
        <w:jc w:val="both"/>
        <w:rPr>
          <w:rFonts w:ascii="Arial" w:hAnsi="Arial" w:cs="Arial"/>
          <w:sz w:val="20"/>
          <w:szCs w:val="20"/>
        </w:rPr>
      </w:pPr>
      <w:r w:rsidRPr="00AC4AEA">
        <w:rPr>
          <w:rFonts w:ascii="Arial" w:hAnsi="Arial" w:cs="Arial"/>
          <w:sz w:val="20"/>
          <w:szCs w:val="20"/>
        </w:rPr>
        <w:t xml:space="preserve">durante </w:t>
      </w:r>
      <w:r w:rsidR="004E3FBF" w:rsidRPr="00AC4AEA">
        <w:rPr>
          <w:rFonts w:ascii="Arial" w:hAnsi="Arial" w:cs="Arial"/>
          <w:sz w:val="20"/>
          <w:szCs w:val="20"/>
        </w:rPr>
        <w:t>el período</w:t>
      </w:r>
      <w:r w:rsidRPr="00AC4AEA">
        <w:rPr>
          <w:rFonts w:ascii="Arial" w:hAnsi="Arial" w:cs="Arial"/>
          <w:sz w:val="20"/>
          <w:szCs w:val="20"/>
        </w:rPr>
        <w:t xml:space="preserve"> inicial de un año, la entidad emprendió las acciones necesarias para responder al cambio de las circunstancias,</w:t>
      </w:r>
    </w:p>
    <w:p w:rsidR="00D17E94" w:rsidRPr="00AC4AEA" w:rsidRDefault="00D17E94" w:rsidP="00351CB7">
      <w:pPr>
        <w:pStyle w:val="Prrafodelista"/>
        <w:numPr>
          <w:ilvl w:val="0"/>
          <w:numId w:val="323"/>
        </w:numPr>
        <w:ind w:left="1985"/>
        <w:contextualSpacing w:val="0"/>
        <w:jc w:val="both"/>
        <w:rPr>
          <w:rFonts w:ascii="Arial" w:hAnsi="Arial" w:cs="Arial"/>
          <w:sz w:val="20"/>
          <w:szCs w:val="20"/>
        </w:rPr>
      </w:pPr>
      <w:r w:rsidRPr="00AC4AEA">
        <w:rPr>
          <w:rFonts w:ascii="Arial" w:hAnsi="Arial" w:cs="Arial"/>
          <w:sz w:val="20"/>
          <w:szCs w:val="20"/>
        </w:rPr>
        <w:t xml:space="preserve">los </w:t>
      </w:r>
      <w:r w:rsidR="00497590" w:rsidRPr="00AC4AEA">
        <w:rPr>
          <w:rFonts w:ascii="Arial" w:hAnsi="Arial" w:cs="Arial"/>
          <w:sz w:val="20"/>
          <w:szCs w:val="20"/>
        </w:rPr>
        <w:t>activos</w:t>
      </w:r>
      <w:r w:rsidRPr="00AC4AEA">
        <w:rPr>
          <w:rFonts w:ascii="Arial" w:hAnsi="Arial" w:cs="Arial"/>
          <w:sz w:val="20"/>
          <w:szCs w:val="20"/>
        </w:rPr>
        <w:t xml:space="preserve"> no corrientes están siendo comercializados de forma activa a un precio razonable, dado el cambio en las circunstancias; y</w:t>
      </w:r>
    </w:p>
    <w:p w:rsidR="00565258" w:rsidRPr="00AC4AEA" w:rsidRDefault="00D17E94" w:rsidP="00351CB7">
      <w:pPr>
        <w:pStyle w:val="Prrafodelista"/>
        <w:numPr>
          <w:ilvl w:val="0"/>
          <w:numId w:val="323"/>
        </w:numPr>
        <w:ind w:left="1985"/>
        <w:contextualSpacing w:val="0"/>
        <w:jc w:val="both"/>
        <w:rPr>
          <w:rFonts w:ascii="Arial" w:hAnsi="Arial" w:cs="Arial"/>
          <w:sz w:val="20"/>
          <w:szCs w:val="20"/>
        </w:rPr>
      </w:pPr>
      <w:r w:rsidRPr="00AC4AEA">
        <w:rPr>
          <w:rFonts w:ascii="Arial" w:hAnsi="Arial" w:cs="Arial"/>
          <w:sz w:val="20"/>
          <w:szCs w:val="20"/>
        </w:rPr>
        <w:t xml:space="preserve">se cumplen los criterios establecidos en </w:t>
      </w:r>
      <w:r w:rsidR="005E2E2F" w:rsidRPr="00AC4AEA">
        <w:rPr>
          <w:rFonts w:ascii="Arial" w:hAnsi="Arial" w:cs="Arial"/>
          <w:sz w:val="20"/>
          <w:szCs w:val="20"/>
        </w:rPr>
        <w:t>los incisos a) y b) del párrafo</w:t>
      </w:r>
      <w:r w:rsidR="00A82EFF" w:rsidRPr="00AC4AEA">
        <w:rPr>
          <w:rFonts w:ascii="Arial" w:hAnsi="Arial" w:cs="Arial"/>
          <w:sz w:val="20"/>
          <w:szCs w:val="20"/>
        </w:rPr>
        <w:t xml:space="preserve"> </w:t>
      </w:r>
      <w:fldSimple w:instr=" REF _Ref74758072 \r \h  \* MERGEFORMAT ">
        <w:r w:rsidR="00D33A5D" w:rsidRPr="00D33A5D">
          <w:rPr>
            <w:rFonts w:ascii="Arial" w:hAnsi="Arial" w:cs="Arial"/>
            <w:sz w:val="20"/>
            <w:szCs w:val="20"/>
          </w:rPr>
          <w:t>416</w:t>
        </w:r>
      </w:fldSimple>
      <w:r w:rsidRPr="00AC4AEA">
        <w:rPr>
          <w:rFonts w:ascii="Arial" w:hAnsi="Arial" w:cs="Arial"/>
          <w:sz w:val="20"/>
          <w:szCs w:val="20"/>
        </w:rPr>
        <w:t>.</w:t>
      </w:r>
    </w:p>
    <w:p w:rsidR="004F7CE2" w:rsidRPr="00AC4AEA" w:rsidRDefault="004F7CE2" w:rsidP="00A318EA">
      <w:pPr>
        <w:pStyle w:val="A-doctorado"/>
        <w:jc w:val="both"/>
        <w:rPr>
          <w:rFonts w:ascii="Arial" w:hAnsi="Arial"/>
          <w:color w:val="auto"/>
          <w:sz w:val="20"/>
          <w:szCs w:val="20"/>
        </w:rPr>
      </w:pPr>
    </w:p>
    <w:p w:rsidR="00442BC7" w:rsidRPr="00AC4AEA" w:rsidRDefault="00DE4388" w:rsidP="00A318EA">
      <w:pPr>
        <w:pStyle w:val="Ttulo2"/>
        <w:rPr>
          <w:rFonts w:cs="Arial"/>
        </w:rPr>
      </w:pPr>
      <w:bookmarkStart w:id="585" w:name="_Toc139356766"/>
      <w:r w:rsidRPr="00AC4AEA">
        <w:rPr>
          <w:rFonts w:cs="Arial"/>
        </w:rPr>
        <w:t>Clasificación</w:t>
      </w:r>
      <w:bookmarkEnd w:id="585"/>
    </w:p>
    <w:p w:rsidR="00D17C27" w:rsidRDefault="00442BC7" w:rsidP="00D17C27">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E66459" w:rsidRPr="00AC4AEA">
        <w:rPr>
          <w:rFonts w:ascii="Arial" w:hAnsi="Arial" w:cs="Arial"/>
          <w:sz w:val="20"/>
          <w:szCs w:val="20"/>
        </w:rPr>
        <w:t>clasificará</w:t>
      </w:r>
      <w:r w:rsidRPr="00AC4AEA">
        <w:rPr>
          <w:rFonts w:ascii="Arial" w:hAnsi="Arial" w:cs="Arial"/>
          <w:sz w:val="20"/>
          <w:szCs w:val="20"/>
        </w:rPr>
        <w:t xml:space="preserve"> un elemento como activo no corriente mantenido para la venta cuando</w:t>
      </w:r>
      <w:r w:rsidR="00DE4388" w:rsidRPr="00AC4AEA">
        <w:rPr>
          <w:rFonts w:ascii="Arial" w:hAnsi="Arial" w:cs="Arial"/>
          <w:sz w:val="20"/>
          <w:szCs w:val="20"/>
        </w:rPr>
        <w:t xml:space="preserve"> </w:t>
      </w:r>
      <w:r w:rsidR="00E660B2" w:rsidRPr="00AC4AEA">
        <w:rPr>
          <w:rFonts w:ascii="Arial" w:hAnsi="Arial" w:cs="Arial"/>
          <w:sz w:val="20"/>
          <w:szCs w:val="20"/>
        </w:rPr>
        <w:t xml:space="preserve">se </w:t>
      </w:r>
      <w:r w:rsidR="00DE4388" w:rsidRPr="00AC4AEA">
        <w:rPr>
          <w:rFonts w:ascii="Arial" w:hAnsi="Arial" w:cs="Arial"/>
          <w:sz w:val="20"/>
          <w:szCs w:val="20"/>
        </w:rPr>
        <w:t xml:space="preserve">cumpla lo establecido en los párrafos </w:t>
      </w:r>
      <w:fldSimple w:instr=" REF _Ref74758072 \r \h  \* MERGEFORMAT ">
        <w:r w:rsidR="00D33A5D" w:rsidRPr="00D33A5D">
          <w:rPr>
            <w:rFonts w:ascii="Arial" w:hAnsi="Arial" w:cs="Arial"/>
            <w:sz w:val="20"/>
            <w:szCs w:val="20"/>
          </w:rPr>
          <w:t>416</w:t>
        </w:r>
      </w:fldSimple>
      <w:r w:rsidR="00DE4388" w:rsidRPr="00AC4AEA">
        <w:rPr>
          <w:rFonts w:ascii="Arial" w:hAnsi="Arial" w:cs="Arial"/>
          <w:sz w:val="20"/>
          <w:szCs w:val="20"/>
        </w:rPr>
        <w:t xml:space="preserve"> y </w:t>
      </w:r>
      <w:fldSimple w:instr=" REF _Ref102775546 \r \h  \* MERGEFORMAT ">
        <w:r w:rsidR="00D33A5D" w:rsidRPr="00D33A5D">
          <w:rPr>
            <w:rFonts w:ascii="Arial" w:hAnsi="Arial" w:cs="Arial"/>
            <w:sz w:val="20"/>
            <w:szCs w:val="20"/>
          </w:rPr>
          <w:t>417</w:t>
        </w:r>
      </w:fldSimple>
      <w:r w:rsidR="00DE4388" w:rsidRPr="00AC4AEA">
        <w:rPr>
          <w:rFonts w:ascii="Arial" w:hAnsi="Arial" w:cs="Arial"/>
          <w:sz w:val="20"/>
          <w:szCs w:val="20"/>
        </w:rPr>
        <w:t>.</w:t>
      </w:r>
      <w:r w:rsidR="009E5D3C" w:rsidRPr="00AC4AEA">
        <w:rPr>
          <w:rFonts w:ascii="Arial" w:hAnsi="Arial" w:cs="Arial"/>
          <w:sz w:val="20"/>
          <w:szCs w:val="20"/>
        </w:rPr>
        <w:t xml:space="preserve"> </w:t>
      </w:r>
      <w:bookmarkStart w:id="586" w:name="_Ref103350510"/>
    </w:p>
    <w:p w:rsidR="00A93743" w:rsidRPr="00D17C27" w:rsidRDefault="007C5CB7" w:rsidP="00D17C27">
      <w:pPr>
        <w:pStyle w:val="Prrafodelista"/>
        <w:numPr>
          <w:ilvl w:val="0"/>
          <w:numId w:val="29"/>
        </w:numPr>
        <w:contextualSpacing w:val="0"/>
        <w:jc w:val="both"/>
        <w:rPr>
          <w:rFonts w:ascii="Arial" w:hAnsi="Arial" w:cs="Arial"/>
          <w:sz w:val="20"/>
          <w:szCs w:val="20"/>
        </w:rPr>
      </w:pPr>
      <w:r w:rsidRPr="00D17C27">
        <w:rPr>
          <w:rFonts w:ascii="Arial" w:hAnsi="Arial" w:cs="Arial"/>
          <w:sz w:val="20"/>
          <w:szCs w:val="20"/>
        </w:rPr>
        <w:t xml:space="preserve">Cuando una entidad </w:t>
      </w:r>
      <w:r w:rsidR="00BD1F1D" w:rsidRPr="00D17C27">
        <w:rPr>
          <w:rFonts w:ascii="Arial" w:hAnsi="Arial" w:cs="Arial"/>
          <w:sz w:val="20"/>
          <w:szCs w:val="20"/>
        </w:rPr>
        <w:t>obtenga el control</w:t>
      </w:r>
      <w:r w:rsidRPr="00D17C27">
        <w:rPr>
          <w:rFonts w:ascii="Arial" w:hAnsi="Arial" w:cs="Arial"/>
          <w:sz w:val="20"/>
          <w:szCs w:val="20"/>
        </w:rPr>
        <w:t xml:space="preserve"> </w:t>
      </w:r>
      <w:r w:rsidR="00FB1DAA" w:rsidRPr="00D17C27">
        <w:rPr>
          <w:rFonts w:ascii="Arial" w:hAnsi="Arial" w:cs="Arial"/>
          <w:sz w:val="20"/>
          <w:szCs w:val="20"/>
        </w:rPr>
        <w:t xml:space="preserve">de </w:t>
      </w:r>
      <w:r w:rsidRPr="00D17C27">
        <w:rPr>
          <w:rFonts w:ascii="Arial" w:hAnsi="Arial" w:cs="Arial"/>
          <w:sz w:val="20"/>
          <w:szCs w:val="20"/>
        </w:rPr>
        <w:t xml:space="preserve">un </w:t>
      </w:r>
      <w:r w:rsidRPr="00D17C27">
        <w:rPr>
          <w:rFonts w:ascii="Arial" w:hAnsi="Arial" w:cs="Arial"/>
          <w:b/>
          <w:bCs/>
          <w:sz w:val="20"/>
          <w:szCs w:val="20"/>
        </w:rPr>
        <w:t>activo</w:t>
      </w:r>
      <w:r w:rsidRPr="00D17C27">
        <w:rPr>
          <w:rFonts w:ascii="Arial" w:hAnsi="Arial" w:cs="Arial"/>
          <w:sz w:val="20"/>
          <w:szCs w:val="20"/>
        </w:rPr>
        <w:t xml:space="preserve"> que</w:t>
      </w:r>
      <w:r w:rsidR="00BD1F1D" w:rsidRPr="00D17C27">
        <w:rPr>
          <w:rFonts w:ascii="Arial" w:hAnsi="Arial" w:cs="Arial"/>
          <w:sz w:val="20"/>
          <w:szCs w:val="20"/>
        </w:rPr>
        <w:t>,</w:t>
      </w:r>
      <w:r w:rsidRPr="00D17C27">
        <w:rPr>
          <w:rFonts w:ascii="Arial" w:hAnsi="Arial" w:cs="Arial"/>
          <w:sz w:val="20"/>
          <w:szCs w:val="20"/>
        </w:rPr>
        <w:t xml:space="preserve"> </w:t>
      </w:r>
      <w:r w:rsidR="00F265EB" w:rsidRPr="00D17C27">
        <w:rPr>
          <w:rFonts w:ascii="Arial" w:hAnsi="Arial" w:cs="Arial"/>
          <w:sz w:val="20"/>
          <w:szCs w:val="20"/>
        </w:rPr>
        <w:t>bajo otras circunstancias</w:t>
      </w:r>
      <w:r w:rsidR="00BD1F1D" w:rsidRPr="00D17C27">
        <w:rPr>
          <w:rFonts w:ascii="Arial" w:hAnsi="Arial" w:cs="Arial"/>
          <w:sz w:val="20"/>
          <w:szCs w:val="20"/>
        </w:rPr>
        <w:t>,</w:t>
      </w:r>
      <w:r w:rsidR="00F265EB" w:rsidRPr="00D17C27">
        <w:rPr>
          <w:rFonts w:ascii="Arial" w:hAnsi="Arial" w:cs="Arial"/>
          <w:sz w:val="20"/>
          <w:szCs w:val="20"/>
        </w:rPr>
        <w:t xml:space="preserve"> habría clasificado como parte de algún rubro del activo </w:t>
      </w:r>
      <w:r w:rsidRPr="00D17C27">
        <w:rPr>
          <w:rFonts w:ascii="Arial" w:hAnsi="Arial" w:cs="Arial"/>
          <w:sz w:val="20"/>
          <w:szCs w:val="20"/>
        </w:rPr>
        <w:t>no corriente</w:t>
      </w:r>
      <w:r w:rsidR="00BD1F1D" w:rsidRPr="00D17C27">
        <w:rPr>
          <w:rFonts w:ascii="Arial" w:hAnsi="Arial" w:cs="Arial"/>
          <w:sz w:val="20"/>
          <w:szCs w:val="20"/>
        </w:rPr>
        <w:t>,</w:t>
      </w:r>
      <w:r w:rsidRPr="00D17C27">
        <w:rPr>
          <w:rFonts w:ascii="Arial" w:hAnsi="Arial" w:cs="Arial"/>
          <w:sz w:val="20"/>
          <w:szCs w:val="20"/>
        </w:rPr>
        <w:t xml:space="preserve"> exclusivamente con el propósito de su posterior venta, clasificará dicho </w:t>
      </w:r>
      <w:r w:rsidRPr="00D17C27">
        <w:rPr>
          <w:rFonts w:ascii="Arial" w:hAnsi="Arial" w:cs="Arial"/>
          <w:b/>
          <w:bCs/>
          <w:sz w:val="20"/>
          <w:szCs w:val="20"/>
        </w:rPr>
        <w:t>activo</w:t>
      </w:r>
      <w:r w:rsidRPr="00D17C27">
        <w:rPr>
          <w:rFonts w:ascii="Arial" w:hAnsi="Arial" w:cs="Arial"/>
          <w:sz w:val="20"/>
          <w:szCs w:val="20"/>
        </w:rPr>
        <w:t xml:space="preserve"> como mantenido para la venta, en la fecha de adquisición, </w:t>
      </w:r>
      <w:r w:rsidR="00EF6147" w:rsidRPr="00D17C27">
        <w:rPr>
          <w:rFonts w:ascii="Arial" w:hAnsi="Arial" w:cs="Arial"/>
          <w:sz w:val="20"/>
          <w:szCs w:val="20"/>
        </w:rPr>
        <w:t>solo</w:t>
      </w:r>
      <w:r w:rsidRPr="00D17C27">
        <w:rPr>
          <w:rFonts w:ascii="Arial" w:hAnsi="Arial" w:cs="Arial"/>
          <w:sz w:val="20"/>
          <w:szCs w:val="20"/>
        </w:rPr>
        <w:t xml:space="preserve"> si</w:t>
      </w:r>
      <w:r w:rsidR="00A93743" w:rsidRPr="00D17C27">
        <w:rPr>
          <w:rFonts w:ascii="Arial" w:hAnsi="Arial" w:cs="Arial"/>
          <w:sz w:val="20"/>
          <w:szCs w:val="20"/>
        </w:rPr>
        <w:t>:</w:t>
      </w:r>
      <w:bookmarkEnd w:id="586"/>
      <w:r w:rsidRPr="00D17C27">
        <w:rPr>
          <w:rFonts w:ascii="Arial" w:hAnsi="Arial" w:cs="Arial"/>
          <w:sz w:val="20"/>
          <w:szCs w:val="20"/>
        </w:rPr>
        <w:t xml:space="preserve"> </w:t>
      </w:r>
    </w:p>
    <w:p w:rsidR="00A93743" w:rsidRPr="00AC4AEA" w:rsidRDefault="00A93743" w:rsidP="005C29C7">
      <w:pPr>
        <w:pStyle w:val="Prrafodelista"/>
        <w:numPr>
          <w:ilvl w:val="1"/>
          <w:numId w:val="29"/>
        </w:numPr>
        <w:ind w:left="1418" w:hanging="426"/>
        <w:contextualSpacing w:val="0"/>
        <w:jc w:val="both"/>
        <w:rPr>
          <w:rFonts w:ascii="Arial" w:hAnsi="Arial" w:cs="Arial"/>
          <w:sz w:val="20"/>
          <w:szCs w:val="20"/>
        </w:rPr>
      </w:pPr>
      <w:r w:rsidRPr="00AC4AEA">
        <w:rPr>
          <w:rFonts w:ascii="Arial" w:hAnsi="Arial" w:cs="Arial"/>
          <w:sz w:val="20"/>
          <w:szCs w:val="20"/>
        </w:rPr>
        <w:t>cumple los requisitos e</w:t>
      </w:r>
      <w:r w:rsidR="00252F36" w:rsidRPr="00AC4AEA">
        <w:rPr>
          <w:rFonts w:ascii="Arial" w:hAnsi="Arial" w:cs="Arial"/>
          <w:sz w:val="20"/>
          <w:szCs w:val="20"/>
        </w:rPr>
        <w:t>stablecido</w:t>
      </w:r>
      <w:r w:rsidRPr="00AC4AEA">
        <w:rPr>
          <w:rFonts w:ascii="Arial" w:hAnsi="Arial" w:cs="Arial"/>
          <w:sz w:val="20"/>
          <w:szCs w:val="20"/>
        </w:rPr>
        <w:t>s</w:t>
      </w:r>
      <w:r w:rsidR="00252F36" w:rsidRPr="00AC4AEA">
        <w:rPr>
          <w:rFonts w:ascii="Arial" w:hAnsi="Arial" w:cs="Arial"/>
          <w:sz w:val="20"/>
          <w:szCs w:val="20"/>
        </w:rPr>
        <w:t xml:space="preserve"> en los párrafos </w:t>
      </w:r>
      <w:fldSimple w:instr=" REF _Ref74758072 \r \h  \* MERGEFORMAT ">
        <w:r w:rsidR="00D33A5D" w:rsidRPr="00D33A5D">
          <w:rPr>
            <w:rFonts w:ascii="Arial" w:hAnsi="Arial" w:cs="Arial"/>
            <w:sz w:val="20"/>
            <w:szCs w:val="20"/>
          </w:rPr>
          <w:t>416</w:t>
        </w:r>
      </w:fldSimple>
      <w:r w:rsidR="00252F36" w:rsidRPr="00AC4AEA">
        <w:rPr>
          <w:rFonts w:ascii="Arial" w:hAnsi="Arial" w:cs="Arial"/>
          <w:sz w:val="20"/>
          <w:szCs w:val="20"/>
        </w:rPr>
        <w:t xml:space="preserve"> y </w:t>
      </w:r>
      <w:fldSimple w:instr=" REF _Ref102775546 \r \h  \* MERGEFORMAT ">
        <w:r w:rsidR="00D33A5D" w:rsidRPr="00D33A5D">
          <w:rPr>
            <w:rFonts w:ascii="Arial" w:hAnsi="Arial" w:cs="Arial"/>
            <w:sz w:val="20"/>
            <w:szCs w:val="20"/>
          </w:rPr>
          <w:t>417</w:t>
        </w:r>
      </w:fldSimple>
      <w:r w:rsidR="007C5CB7" w:rsidRPr="00AC4AEA">
        <w:rPr>
          <w:rFonts w:ascii="Arial" w:hAnsi="Arial" w:cs="Arial"/>
          <w:sz w:val="20"/>
          <w:szCs w:val="20"/>
        </w:rPr>
        <w:t xml:space="preserve"> en esa fecha</w:t>
      </w:r>
      <w:r w:rsidRPr="00AC4AEA">
        <w:rPr>
          <w:rFonts w:ascii="Arial" w:hAnsi="Arial" w:cs="Arial"/>
          <w:sz w:val="20"/>
          <w:szCs w:val="20"/>
        </w:rPr>
        <w:t>;</w:t>
      </w:r>
      <w:r w:rsidR="007C5CB7" w:rsidRPr="00AC4AEA">
        <w:rPr>
          <w:rFonts w:ascii="Arial" w:hAnsi="Arial" w:cs="Arial"/>
          <w:sz w:val="20"/>
          <w:szCs w:val="20"/>
        </w:rPr>
        <w:t xml:space="preserve"> </w:t>
      </w:r>
      <w:r w:rsidR="001056A1" w:rsidRPr="00AC4AEA">
        <w:rPr>
          <w:rFonts w:ascii="Arial" w:hAnsi="Arial" w:cs="Arial"/>
          <w:sz w:val="20"/>
          <w:szCs w:val="20"/>
        </w:rPr>
        <w:t>o</w:t>
      </w:r>
    </w:p>
    <w:p w:rsidR="00292CE2" w:rsidRPr="00AC4AEA" w:rsidRDefault="00A93743" w:rsidP="005C29C7">
      <w:pPr>
        <w:pStyle w:val="Prrafodelista"/>
        <w:numPr>
          <w:ilvl w:val="1"/>
          <w:numId w:val="29"/>
        </w:numPr>
        <w:ind w:left="1418" w:hanging="426"/>
        <w:contextualSpacing w:val="0"/>
        <w:jc w:val="both"/>
        <w:rPr>
          <w:rFonts w:ascii="Arial" w:hAnsi="Arial" w:cs="Arial"/>
          <w:sz w:val="20"/>
          <w:szCs w:val="20"/>
        </w:rPr>
      </w:pPr>
      <w:r w:rsidRPr="00AC4AEA">
        <w:rPr>
          <w:rFonts w:ascii="Arial" w:hAnsi="Arial" w:cs="Arial"/>
          <w:sz w:val="20"/>
          <w:szCs w:val="20"/>
        </w:rPr>
        <w:t>es</w:t>
      </w:r>
      <w:r w:rsidR="001C1594" w:rsidRPr="00AC4AEA">
        <w:rPr>
          <w:rFonts w:ascii="Arial" w:hAnsi="Arial" w:cs="Arial"/>
          <w:sz w:val="20"/>
          <w:szCs w:val="20"/>
        </w:rPr>
        <w:t xml:space="preserve"> altamente probable que </w:t>
      </w:r>
      <w:r w:rsidRPr="00AC4AEA">
        <w:rPr>
          <w:rFonts w:ascii="Arial" w:hAnsi="Arial" w:cs="Arial"/>
          <w:sz w:val="20"/>
          <w:szCs w:val="20"/>
        </w:rPr>
        <w:t xml:space="preserve">los requisitos establecidos en los párrafos </w:t>
      </w:r>
      <w:fldSimple w:instr=" REF _Ref74758072 \r \h  \* MERGEFORMAT ">
        <w:r w:rsidR="00D33A5D" w:rsidRPr="00D33A5D">
          <w:rPr>
            <w:rFonts w:ascii="Arial" w:hAnsi="Arial" w:cs="Arial"/>
            <w:sz w:val="20"/>
            <w:szCs w:val="20"/>
          </w:rPr>
          <w:t>416</w:t>
        </w:r>
      </w:fldSimple>
      <w:r w:rsidRPr="00AC4AEA">
        <w:rPr>
          <w:rFonts w:ascii="Arial" w:hAnsi="Arial" w:cs="Arial"/>
          <w:sz w:val="20"/>
          <w:szCs w:val="20"/>
        </w:rPr>
        <w:t xml:space="preserve"> y </w:t>
      </w:r>
      <w:fldSimple w:instr=" REF _Ref102775546 \r \h  \* MERGEFORMAT ">
        <w:r w:rsidR="00D33A5D" w:rsidRPr="00D33A5D">
          <w:rPr>
            <w:rFonts w:ascii="Arial" w:hAnsi="Arial" w:cs="Arial"/>
            <w:sz w:val="20"/>
            <w:szCs w:val="20"/>
          </w:rPr>
          <w:t>417</w:t>
        </w:r>
      </w:fldSimple>
      <w:r w:rsidR="001C1594" w:rsidRPr="00AC4AEA">
        <w:rPr>
          <w:rFonts w:ascii="Arial" w:hAnsi="Arial" w:cs="Arial"/>
          <w:sz w:val="20"/>
          <w:szCs w:val="20"/>
        </w:rPr>
        <w:t xml:space="preserve"> </w:t>
      </w:r>
      <w:r w:rsidR="00BD7827" w:rsidRPr="00AC4AEA">
        <w:rPr>
          <w:rFonts w:ascii="Arial" w:hAnsi="Arial" w:cs="Arial"/>
          <w:sz w:val="20"/>
          <w:szCs w:val="20"/>
        </w:rPr>
        <w:t>no cumplidos a esa fecha</w:t>
      </w:r>
      <w:r w:rsidR="007C4FDB" w:rsidRPr="00AC4AEA">
        <w:rPr>
          <w:rFonts w:ascii="Arial" w:hAnsi="Arial" w:cs="Arial"/>
          <w:sz w:val="20"/>
          <w:szCs w:val="20"/>
        </w:rPr>
        <w:t xml:space="preserve"> </w:t>
      </w:r>
      <w:r w:rsidR="00BD7827" w:rsidRPr="00AC4AEA">
        <w:rPr>
          <w:rFonts w:ascii="Arial" w:hAnsi="Arial" w:cs="Arial"/>
          <w:sz w:val="20"/>
          <w:szCs w:val="20"/>
        </w:rPr>
        <w:t xml:space="preserve">se cumpla </w:t>
      </w:r>
      <w:r w:rsidR="007C5CB7" w:rsidRPr="00AC4AEA">
        <w:rPr>
          <w:rFonts w:ascii="Arial" w:hAnsi="Arial" w:cs="Arial"/>
          <w:sz w:val="20"/>
          <w:szCs w:val="20"/>
        </w:rPr>
        <w:t xml:space="preserve">dentro de un </w:t>
      </w:r>
      <w:r w:rsidR="004E3FBF" w:rsidRPr="00AC4AEA">
        <w:rPr>
          <w:rFonts w:ascii="Arial" w:hAnsi="Arial" w:cs="Arial"/>
          <w:sz w:val="20"/>
          <w:szCs w:val="20"/>
        </w:rPr>
        <w:t>corto período</w:t>
      </w:r>
      <w:r w:rsidR="007C5CB7" w:rsidRPr="00AC4AEA">
        <w:rPr>
          <w:rFonts w:ascii="Arial" w:hAnsi="Arial" w:cs="Arial"/>
          <w:sz w:val="20"/>
          <w:szCs w:val="20"/>
        </w:rPr>
        <w:t xml:space="preserve"> tras la adquisición (por lo general, en los tres meses siguientes).</w:t>
      </w:r>
    </w:p>
    <w:p w:rsidR="005F68B8" w:rsidRPr="00AC4AEA" w:rsidRDefault="005F68B8" w:rsidP="00A318EA">
      <w:pPr>
        <w:pStyle w:val="Prrafodelista"/>
        <w:ind w:left="1843"/>
        <w:contextualSpacing w:val="0"/>
        <w:jc w:val="both"/>
        <w:rPr>
          <w:rFonts w:ascii="Arial" w:hAnsi="Arial" w:cs="Arial"/>
          <w:sz w:val="20"/>
          <w:szCs w:val="20"/>
        </w:rPr>
      </w:pPr>
    </w:p>
    <w:p w:rsidR="004D07BD" w:rsidRPr="00AC4AEA" w:rsidRDefault="004D07BD" w:rsidP="00A318EA">
      <w:pPr>
        <w:pStyle w:val="Ttulo2"/>
        <w:rPr>
          <w:rFonts w:cs="Arial"/>
        </w:rPr>
      </w:pPr>
      <w:bookmarkStart w:id="587" w:name="_Toc139356767"/>
      <w:bookmarkStart w:id="588" w:name="_Toc101863902"/>
      <w:r w:rsidRPr="00AC4AEA">
        <w:rPr>
          <w:rFonts w:cs="Arial"/>
        </w:rPr>
        <w:t>Medición inicial</w:t>
      </w:r>
      <w:bookmarkEnd w:id="587"/>
    </w:p>
    <w:p w:rsidR="004D07BD" w:rsidRPr="00AC4AEA" w:rsidRDefault="004D07B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medirá inicialmente sus activos no corrientes mantenidos para la venta, desde el momento de su clasificación como tal,</w:t>
      </w:r>
      <w:r w:rsidR="00A82EFF" w:rsidRPr="00AC4AEA">
        <w:rPr>
          <w:rFonts w:ascii="Arial" w:hAnsi="Arial" w:cs="Arial"/>
          <w:sz w:val="20"/>
          <w:szCs w:val="20"/>
        </w:rPr>
        <w:t xml:space="preserve"> </w:t>
      </w:r>
      <w:r w:rsidR="00EE7D76" w:rsidRPr="00AC4AEA">
        <w:rPr>
          <w:rFonts w:ascii="Arial" w:hAnsi="Arial" w:cs="Arial"/>
          <w:sz w:val="20"/>
          <w:szCs w:val="20"/>
        </w:rPr>
        <w:t>por el menor de los siguientes importes:</w:t>
      </w:r>
    </w:p>
    <w:p w:rsidR="004D07BD" w:rsidRPr="00AC4AEA" w:rsidRDefault="002177C7" w:rsidP="00A318EA">
      <w:pPr>
        <w:pStyle w:val="Prrafodelista"/>
        <w:numPr>
          <w:ilvl w:val="0"/>
          <w:numId w:val="119"/>
        </w:numPr>
        <w:ind w:left="1560"/>
        <w:contextualSpacing w:val="0"/>
        <w:jc w:val="both"/>
        <w:rPr>
          <w:rFonts w:ascii="Arial" w:hAnsi="Arial" w:cs="Arial"/>
          <w:sz w:val="20"/>
          <w:szCs w:val="20"/>
        </w:rPr>
      </w:pPr>
      <w:r w:rsidRPr="00AC4AEA">
        <w:rPr>
          <w:rFonts w:ascii="Arial" w:hAnsi="Arial" w:cs="Arial"/>
          <w:sz w:val="20"/>
          <w:szCs w:val="20"/>
        </w:rPr>
        <w:t xml:space="preserve">la medición </w:t>
      </w:r>
      <w:r w:rsidR="00E741F7" w:rsidRPr="00AC4AEA">
        <w:rPr>
          <w:rFonts w:ascii="Arial" w:hAnsi="Arial" w:cs="Arial"/>
          <w:sz w:val="20"/>
          <w:szCs w:val="20"/>
        </w:rPr>
        <w:t xml:space="preserve">de acuerdo con la </w:t>
      </w:r>
      <w:r w:rsidR="00E741F7" w:rsidRPr="00AC4AEA">
        <w:rPr>
          <w:rFonts w:ascii="Arial" w:hAnsi="Arial" w:cs="Arial"/>
          <w:b/>
          <w:bCs/>
          <w:sz w:val="20"/>
          <w:szCs w:val="20"/>
        </w:rPr>
        <w:t xml:space="preserve">política contable </w:t>
      </w:r>
      <w:r w:rsidR="00E741F7" w:rsidRPr="00AC4AEA">
        <w:rPr>
          <w:rFonts w:ascii="Arial" w:hAnsi="Arial" w:cs="Arial"/>
          <w:sz w:val="20"/>
          <w:szCs w:val="20"/>
        </w:rPr>
        <w:t>aplicada hasta el momento de la reclasificación</w:t>
      </w:r>
      <w:r w:rsidR="004D07BD" w:rsidRPr="00AC4AEA">
        <w:rPr>
          <w:rFonts w:ascii="Arial" w:hAnsi="Arial" w:cs="Arial"/>
          <w:sz w:val="20"/>
          <w:szCs w:val="20"/>
        </w:rPr>
        <w:t xml:space="preserve">; y </w:t>
      </w:r>
    </w:p>
    <w:p w:rsidR="004D07BD" w:rsidRPr="00AC4AEA" w:rsidRDefault="004D07BD" w:rsidP="00A318EA">
      <w:pPr>
        <w:pStyle w:val="Prrafodelista"/>
        <w:numPr>
          <w:ilvl w:val="0"/>
          <w:numId w:val="119"/>
        </w:numPr>
        <w:ind w:left="1560"/>
        <w:contextualSpacing w:val="0"/>
        <w:jc w:val="both"/>
        <w:rPr>
          <w:rFonts w:ascii="Arial" w:hAnsi="Arial" w:cs="Arial"/>
          <w:sz w:val="20"/>
          <w:szCs w:val="20"/>
        </w:rPr>
      </w:pPr>
      <w:r w:rsidRPr="00AC4AEA">
        <w:rPr>
          <w:rFonts w:ascii="Arial" w:hAnsi="Arial" w:cs="Arial"/>
          <w:sz w:val="20"/>
          <w:szCs w:val="20"/>
        </w:rPr>
        <w:t>su</w:t>
      </w:r>
      <w:r w:rsidRPr="00AC4AEA">
        <w:rPr>
          <w:rFonts w:ascii="Arial" w:hAnsi="Arial" w:cs="Arial"/>
          <w:b/>
          <w:bCs/>
          <w:sz w:val="20"/>
          <w:szCs w:val="20"/>
        </w:rPr>
        <w:t xml:space="preserve"> valor neto de realización</w:t>
      </w:r>
      <w:r w:rsidRPr="00AC4AEA">
        <w:rPr>
          <w:rFonts w:ascii="Arial" w:hAnsi="Arial" w:cs="Arial"/>
          <w:sz w:val="20"/>
          <w:szCs w:val="20"/>
        </w:rPr>
        <w:t>.</w:t>
      </w:r>
    </w:p>
    <w:p w:rsidR="004D07BD" w:rsidRPr="00AC4AEA" w:rsidRDefault="004D07BD" w:rsidP="00A318EA">
      <w:pPr>
        <w:pStyle w:val="A-azul"/>
        <w:rPr>
          <w:rFonts w:ascii="Arial" w:hAnsi="Arial" w:cs="Arial"/>
          <w:i w:val="0"/>
          <w:color w:val="auto"/>
          <w:sz w:val="20"/>
          <w:szCs w:val="20"/>
          <w:lang w:val="es-AR"/>
        </w:rPr>
      </w:pPr>
    </w:p>
    <w:p w:rsidR="00442BC7" w:rsidRPr="00AC4AEA" w:rsidRDefault="00442BC7" w:rsidP="00A318EA">
      <w:pPr>
        <w:pStyle w:val="Ttulo2"/>
        <w:rPr>
          <w:rFonts w:cs="Arial"/>
        </w:rPr>
      </w:pPr>
      <w:bookmarkStart w:id="589" w:name="_Toc139356768"/>
      <w:r w:rsidRPr="00AC4AEA">
        <w:rPr>
          <w:rFonts w:cs="Arial"/>
        </w:rPr>
        <w:t>Medición</w:t>
      </w:r>
      <w:bookmarkEnd w:id="588"/>
      <w:r w:rsidRPr="00AC4AEA">
        <w:rPr>
          <w:rFonts w:cs="Arial"/>
        </w:rPr>
        <w:t xml:space="preserve"> </w:t>
      </w:r>
      <w:r w:rsidR="004D07BD" w:rsidRPr="00AC4AEA">
        <w:rPr>
          <w:rFonts w:cs="Arial"/>
        </w:rPr>
        <w:t>posterior</w:t>
      </w:r>
      <w:bookmarkEnd w:id="589"/>
    </w:p>
    <w:p w:rsidR="00EE7D76" w:rsidRPr="00AC4AEA" w:rsidRDefault="00442BC7" w:rsidP="00A318EA">
      <w:pPr>
        <w:pStyle w:val="Prrafodelista"/>
        <w:numPr>
          <w:ilvl w:val="0"/>
          <w:numId w:val="29"/>
        </w:numPr>
        <w:contextualSpacing w:val="0"/>
        <w:jc w:val="both"/>
        <w:rPr>
          <w:rFonts w:ascii="Arial" w:hAnsi="Arial" w:cs="Arial"/>
          <w:sz w:val="20"/>
          <w:szCs w:val="20"/>
        </w:rPr>
      </w:pPr>
      <w:bookmarkStart w:id="590" w:name="_Ref74136891"/>
      <w:r w:rsidRPr="00AC4AEA">
        <w:rPr>
          <w:rFonts w:ascii="Arial" w:hAnsi="Arial" w:cs="Arial"/>
          <w:sz w:val="20"/>
          <w:szCs w:val="20"/>
        </w:rPr>
        <w:t xml:space="preserve">Una entidad medirá </w:t>
      </w:r>
      <w:r w:rsidR="004D07BD" w:rsidRPr="00AC4AEA">
        <w:rPr>
          <w:rFonts w:ascii="Arial" w:hAnsi="Arial" w:cs="Arial"/>
          <w:sz w:val="20"/>
          <w:szCs w:val="20"/>
        </w:rPr>
        <w:t xml:space="preserve">posteriormente </w:t>
      </w:r>
      <w:r w:rsidRPr="00AC4AEA">
        <w:rPr>
          <w:rFonts w:ascii="Arial" w:hAnsi="Arial" w:cs="Arial"/>
          <w:sz w:val="20"/>
          <w:szCs w:val="20"/>
        </w:rPr>
        <w:t xml:space="preserve">sus </w:t>
      </w:r>
      <w:r w:rsidR="00497590" w:rsidRPr="00AC4AEA">
        <w:rPr>
          <w:rFonts w:ascii="Arial" w:hAnsi="Arial" w:cs="Arial"/>
          <w:sz w:val="20"/>
          <w:szCs w:val="20"/>
        </w:rPr>
        <w:t>activos</w:t>
      </w:r>
      <w:r w:rsidRPr="00AC4AEA">
        <w:rPr>
          <w:rFonts w:ascii="Arial" w:hAnsi="Arial" w:cs="Arial"/>
          <w:sz w:val="20"/>
          <w:szCs w:val="20"/>
        </w:rPr>
        <w:t xml:space="preserve"> no corrientes mantenidos para la venta</w:t>
      </w:r>
      <w:r w:rsidR="00235A4B" w:rsidRPr="00AC4AEA">
        <w:rPr>
          <w:rFonts w:ascii="Arial" w:hAnsi="Arial" w:cs="Arial"/>
          <w:sz w:val="20"/>
          <w:szCs w:val="20"/>
        </w:rPr>
        <w:t>, desde el momento de su clasificación como tal,</w:t>
      </w:r>
      <w:r w:rsidR="00A82EFF" w:rsidRPr="00AC4AEA">
        <w:rPr>
          <w:rFonts w:ascii="Arial" w:hAnsi="Arial" w:cs="Arial"/>
          <w:sz w:val="20"/>
          <w:szCs w:val="20"/>
        </w:rPr>
        <w:t xml:space="preserve"> </w:t>
      </w:r>
      <w:r w:rsidR="00EE7D76" w:rsidRPr="00AC4AEA">
        <w:rPr>
          <w:rFonts w:ascii="Arial" w:hAnsi="Arial" w:cs="Arial"/>
          <w:sz w:val="20"/>
          <w:szCs w:val="20"/>
        </w:rPr>
        <w:t>por el menor de los siguientes importes:</w:t>
      </w:r>
    </w:p>
    <w:bookmarkEnd w:id="590"/>
    <w:p w:rsidR="00442BC7" w:rsidRPr="00AC4AEA" w:rsidRDefault="00EA090D" w:rsidP="00A318EA">
      <w:pPr>
        <w:pStyle w:val="Prrafodelista"/>
        <w:numPr>
          <w:ilvl w:val="0"/>
          <w:numId w:val="408"/>
        </w:numPr>
        <w:ind w:left="1560"/>
        <w:contextualSpacing w:val="0"/>
        <w:jc w:val="both"/>
        <w:rPr>
          <w:rFonts w:ascii="Arial" w:hAnsi="Arial" w:cs="Arial"/>
          <w:sz w:val="20"/>
          <w:szCs w:val="20"/>
        </w:rPr>
      </w:pPr>
      <w:r w:rsidRPr="00AC4AEA">
        <w:rPr>
          <w:rFonts w:ascii="Arial" w:hAnsi="Arial" w:cs="Arial"/>
          <w:sz w:val="20"/>
          <w:szCs w:val="20"/>
        </w:rPr>
        <w:t xml:space="preserve">su </w:t>
      </w:r>
      <w:r w:rsidR="004D07BD" w:rsidRPr="00AC4AEA">
        <w:rPr>
          <w:rFonts w:ascii="Arial" w:hAnsi="Arial" w:cs="Arial"/>
          <w:sz w:val="20"/>
          <w:szCs w:val="20"/>
        </w:rPr>
        <w:t>última medición contable</w:t>
      </w:r>
      <w:r w:rsidR="007E2A61" w:rsidRPr="00AC4AEA">
        <w:rPr>
          <w:rFonts w:ascii="Arial" w:hAnsi="Arial" w:cs="Arial"/>
          <w:sz w:val="20"/>
          <w:szCs w:val="20"/>
        </w:rPr>
        <w:t>;</w:t>
      </w:r>
      <w:r w:rsidR="00442BC7" w:rsidRPr="00AC4AEA">
        <w:rPr>
          <w:rFonts w:ascii="Arial" w:hAnsi="Arial" w:cs="Arial"/>
          <w:sz w:val="20"/>
          <w:szCs w:val="20"/>
        </w:rPr>
        <w:t xml:space="preserve"> </w:t>
      </w:r>
      <w:r w:rsidR="007E2A61" w:rsidRPr="00AC4AEA">
        <w:rPr>
          <w:rFonts w:ascii="Arial" w:hAnsi="Arial" w:cs="Arial"/>
          <w:sz w:val="20"/>
          <w:szCs w:val="20"/>
        </w:rPr>
        <w:t>y</w:t>
      </w:r>
      <w:r w:rsidR="00442BC7" w:rsidRPr="00AC4AEA">
        <w:rPr>
          <w:rFonts w:ascii="Arial" w:hAnsi="Arial" w:cs="Arial"/>
          <w:sz w:val="20"/>
          <w:szCs w:val="20"/>
        </w:rPr>
        <w:t xml:space="preserve"> </w:t>
      </w:r>
    </w:p>
    <w:p w:rsidR="00442BC7" w:rsidRPr="00AC4AEA" w:rsidRDefault="009E5D3C" w:rsidP="00A318EA">
      <w:pPr>
        <w:pStyle w:val="Prrafodelista"/>
        <w:numPr>
          <w:ilvl w:val="0"/>
          <w:numId w:val="408"/>
        </w:numPr>
        <w:ind w:left="1560"/>
        <w:contextualSpacing w:val="0"/>
        <w:jc w:val="both"/>
        <w:rPr>
          <w:rFonts w:ascii="Arial" w:hAnsi="Arial" w:cs="Arial"/>
          <w:sz w:val="20"/>
          <w:szCs w:val="20"/>
        </w:rPr>
      </w:pPr>
      <w:r w:rsidRPr="00AC4AEA">
        <w:rPr>
          <w:rFonts w:ascii="Arial" w:hAnsi="Arial" w:cs="Arial"/>
          <w:sz w:val="20"/>
          <w:szCs w:val="20"/>
        </w:rPr>
        <w:t>su</w:t>
      </w:r>
      <w:r w:rsidRPr="00AC4AEA">
        <w:rPr>
          <w:rFonts w:ascii="Arial" w:hAnsi="Arial" w:cs="Arial"/>
          <w:b/>
          <w:bCs/>
          <w:sz w:val="20"/>
          <w:szCs w:val="20"/>
        </w:rPr>
        <w:t xml:space="preserve"> </w:t>
      </w:r>
      <w:r w:rsidR="007E2A61" w:rsidRPr="00AC4AEA">
        <w:rPr>
          <w:rFonts w:ascii="Arial" w:hAnsi="Arial" w:cs="Arial"/>
          <w:b/>
          <w:bCs/>
          <w:sz w:val="20"/>
          <w:szCs w:val="20"/>
        </w:rPr>
        <w:t>v</w:t>
      </w:r>
      <w:r w:rsidR="00442BC7" w:rsidRPr="00AC4AEA">
        <w:rPr>
          <w:rFonts w:ascii="Arial" w:hAnsi="Arial" w:cs="Arial"/>
          <w:b/>
          <w:bCs/>
          <w:sz w:val="20"/>
          <w:szCs w:val="20"/>
        </w:rPr>
        <w:t>alor neto de realización</w:t>
      </w:r>
      <w:r w:rsidR="00442BC7" w:rsidRPr="00AC4AEA">
        <w:rPr>
          <w:rFonts w:ascii="Arial" w:hAnsi="Arial" w:cs="Arial"/>
          <w:sz w:val="20"/>
          <w:szCs w:val="20"/>
        </w:rPr>
        <w:t>.</w:t>
      </w:r>
    </w:p>
    <w:p w:rsidR="00235A4B" w:rsidRPr="00AC4AEA" w:rsidRDefault="00235A4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 entidad reconocerá una </w:t>
      </w:r>
      <w:r w:rsidRPr="00AC4AEA">
        <w:rPr>
          <w:rFonts w:ascii="Arial" w:hAnsi="Arial" w:cs="Arial"/>
          <w:b/>
          <w:bCs/>
          <w:sz w:val="20"/>
          <w:szCs w:val="20"/>
        </w:rPr>
        <w:t xml:space="preserve">ganancia </w:t>
      </w:r>
      <w:r w:rsidRPr="00AC4AEA">
        <w:rPr>
          <w:rFonts w:ascii="Arial" w:hAnsi="Arial" w:cs="Arial"/>
          <w:sz w:val="20"/>
          <w:szCs w:val="20"/>
        </w:rPr>
        <w:t xml:space="preserve">por cualquier incremento en el </w:t>
      </w:r>
      <w:r w:rsidRPr="00AC4AEA">
        <w:rPr>
          <w:rFonts w:ascii="Arial" w:hAnsi="Arial" w:cs="Arial"/>
          <w:b/>
          <w:bCs/>
          <w:sz w:val="20"/>
          <w:szCs w:val="20"/>
        </w:rPr>
        <w:t>valor neto de realización</w:t>
      </w:r>
      <w:r w:rsidRPr="00AC4AEA">
        <w:rPr>
          <w:rFonts w:ascii="Arial" w:hAnsi="Arial" w:cs="Arial"/>
          <w:sz w:val="20"/>
          <w:szCs w:val="20"/>
        </w:rPr>
        <w:t xml:space="preserve"> hasta el límite de la </w:t>
      </w:r>
      <w:r w:rsidRPr="008826C7">
        <w:rPr>
          <w:rFonts w:ascii="Arial" w:hAnsi="Arial" w:cs="Arial"/>
          <w:b/>
          <w:bCs/>
          <w:sz w:val="20"/>
          <w:szCs w:val="20"/>
        </w:rPr>
        <w:t>pérdida por desvalorización</w:t>
      </w:r>
      <w:r w:rsidRPr="00AC4AEA">
        <w:rPr>
          <w:rFonts w:ascii="Arial" w:hAnsi="Arial" w:cs="Arial"/>
          <w:sz w:val="20"/>
          <w:szCs w:val="20"/>
        </w:rPr>
        <w:t xml:space="preserve"> reconocida a partir de la clasificación del activo no corriente como mantenido para la venta o antes de dicha clasificación.</w:t>
      </w:r>
    </w:p>
    <w:p w:rsidR="005F68B8" w:rsidRPr="00AC4AEA" w:rsidRDefault="005F68B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una entidad esté alcanzada por lo establecido en el párrafo </w:t>
      </w:r>
      <w:fldSimple w:instr=" REF _Ref103350510 \r \h  \* MERGEFORMAT ">
        <w:r w:rsidR="00D33A5D" w:rsidRPr="00D33A5D">
          <w:rPr>
            <w:rFonts w:ascii="Arial" w:hAnsi="Arial" w:cs="Arial"/>
            <w:sz w:val="20"/>
            <w:szCs w:val="20"/>
          </w:rPr>
          <w:t>418</w:t>
        </w:r>
      </w:fldSimple>
      <w:r w:rsidR="000F5F68" w:rsidRPr="00AC4AEA">
        <w:rPr>
          <w:rFonts w:ascii="Arial" w:hAnsi="Arial" w:cs="Arial"/>
          <w:sz w:val="20"/>
          <w:szCs w:val="20"/>
        </w:rPr>
        <w:t xml:space="preserve">, medirá inicialmente al </w:t>
      </w:r>
      <w:r w:rsidR="000F5F68" w:rsidRPr="00AC4AEA">
        <w:rPr>
          <w:rFonts w:ascii="Arial" w:hAnsi="Arial" w:cs="Arial"/>
          <w:b/>
          <w:bCs/>
          <w:sz w:val="20"/>
          <w:szCs w:val="20"/>
        </w:rPr>
        <w:t>activo</w:t>
      </w:r>
      <w:r w:rsidR="000F5F68" w:rsidRPr="00AC4AEA">
        <w:rPr>
          <w:rFonts w:ascii="Arial" w:hAnsi="Arial" w:cs="Arial"/>
          <w:sz w:val="20"/>
          <w:szCs w:val="20"/>
        </w:rPr>
        <w:t xml:space="preserve"> por su </w:t>
      </w:r>
      <w:r w:rsidR="000F5F68" w:rsidRPr="00AC4AEA">
        <w:rPr>
          <w:rFonts w:ascii="Arial" w:hAnsi="Arial" w:cs="Arial"/>
          <w:b/>
          <w:bCs/>
          <w:sz w:val="20"/>
          <w:szCs w:val="20"/>
        </w:rPr>
        <w:t>valor neto de realización</w:t>
      </w:r>
      <w:r w:rsidR="000F5F68" w:rsidRPr="00AC4AEA">
        <w:rPr>
          <w:rFonts w:ascii="Arial" w:hAnsi="Arial" w:cs="Arial"/>
          <w:sz w:val="20"/>
          <w:szCs w:val="20"/>
        </w:rPr>
        <w:t>.</w:t>
      </w:r>
    </w:p>
    <w:p w:rsidR="00442BC7" w:rsidRPr="00AC4AEA" w:rsidRDefault="00442BC7" w:rsidP="00A318EA">
      <w:pPr>
        <w:jc w:val="both"/>
        <w:rPr>
          <w:rFonts w:ascii="Arial" w:hAnsi="Arial" w:cs="Arial"/>
          <w:b/>
          <w:bCs/>
          <w:sz w:val="20"/>
          <w:szCs w:val="20"/>
        </w:rPr>
      </w:pPr>
    </w:p>
    <w:p w:rsidR="00235A4B" w:rsidRPr="00AC4AEA" w:rsidRDefault="00235A4B" w:rsidP="00A318EA">
      <w:pPr>
        <w:pStyle w:val="Ttulo2"/>
        <w:rPr>
          <w:rFonts w:cs="Arial"/>
        </w:rPr>
      </w:pPr>
      <w:bookmarkStart w:id="591" w:name="_Toc139356769"/>
      <w:r w:rsidRPr="00AC4AEA">
        <w:rPr>
          <w:rFonts w:cs="Arial"/>
        </w:rPr>
        <w:t>Cambios en un plan de ventas</w:t>
      </w:r>
      <w:bookmarkEnd w:id="591"/>
      <w:r w:rsidRPr="00AC4AEA">
        <w:rPr>
          <w:rFonts w:cs="Arial"/>
        </w:rPr>
        <w:t xml:space="preserve"> </w:t>
      </w:r>
    </w:p>
    <w:p w:rsidR="00235A4B" w:rsidRPr="00AC4AEA" w:rsidRDefault="00235A4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Si un elemento clasificado como activo no corriente mantenido para la venta deja de cumplir con lo establecido en los párrafos </w:t>
      </w:r>
      <w:fldSimple w:instr=" REF _Ref74758072 \r \h  \* MERGEFORMAT ">
        <w:r w:rsidR="00D33A5D" w:rsidRPr="00D33A5D">
          <w:rPr>
            <w:rFonts w:ascii="Arial" w:hAnsi="Arial" w:cs="Arial"/>
            <w:sz w:val="20"/>
            <w:szCs w:val="20"/>
          </w:rPr>
          <w:t>416</w:t>
        </w:r>
      </w:fldSimple>
      <w:r w:rsidR="00A463AC" w:rsidRPr="00AC4AEA">
        <w:rPr>
          <w:rFonts w:ascii="Arial" w:hAnsi="Arial" w:cs="Arial"/>
          <w:sz w:val="20"/>
          <w:szCs w:val="20"/>
        </w:rPr>
        <w:t xml:space="preserve"> y </w:t>
      </w:r>
      <w:fldSimple w:instr=" REF _Ref102775546 \r \h  \* MERGEFORMAT ">
        <w:r w:rsidR="00D33A5D" w:rsidRPr="00D33A5D">
          <w:rPr>
            <w:rFonts w:ascii="Arial" w:hAnsi="Arial" w:cs="Arial"/>
            <w:sz w:val="20"/>
            <w:szCs w:val="20"/>
          </w:rPr>
          <w:t>417</w:t>
        </w:r>
      </w:fldSimple>
      <w:r w:rsidRPr="00AC4AEA">
        <w:rPr>
          <w:rFonts w:ascii="Arial" w:hAnsi="Arial" w:cs="Arial"/>
          <w:sz w:val="20"/>
          <w:szCs w:val="20"/>
        </w:rPr>
        <w:t>, la entidad deberá medirlo al menor importe entre:</w:t>
      </w:r>
    </w:p>
    <w:p w:rsidR="00235A4B" w:rsidRPr="00AC4AEA" w:rsidRDefault="00235A4B" w:rsidP="005C29C7">
      <w:pPr>
        <w:pStyle w:val="Prrafodelista"/>
        <w:widowControl w:val="0"/>
        <w:numPr>
          <w:ilvl w:val="0"/>
          <w:numId w:val="364"/>
        </w:numPr>
        <w:ind w:left="1276"/>
        <w:contextualSpacing w:val="0"/>
        <w:jc w:val="both"/>
        <w:rPr>
          <w:rFonts w:ascii="Arial" w:hAnsi="Arial" w:cs="Arial"/>
          <w:sz w:val="20"/>
          <w:szCs w:val="20"/>
        </w:rPr>
      </w:pPr>
      <w:r w:rsidRPr="00AC4AEA">
        <w:rPr>
          <w:rFonts w:ascii="Arial" w:hAnsi="Arial" w:cs="Arial"/>
          <w:sz w:val="20"/>
          <w:szCs w:val="20"/>
        </w:rPr>
        <w:t>su medición contable determinada antes de que el elemento fue clasificado como mantenido para la venta, ajustado por cualquier depreciación, amortización o revaluación que se hubiera reconocido si el elemento no se hubiera clasificado como mantenido para la venta, y</w:t>
      </w:r>
    </w:p>
    <w:p w:rsidR="00235A4B" w:rsidRPr="00AC4AEA" w:rsidRDefault="00235A4B" w:rsidP="005C29C7">
      <w:pPr>
        <w:pStyle w:val="Prrafodelista"/>
        <w:widowControl w:val="0"/>
        <w:numPr>
          <w:ilvl w:val="0"/>
          <w:numId w:val="364"/>
        </w:numPr>
        <w:ind w:left="1276"/>
        <w:contextualSpacing w:val="0"/>
        <w:jc w:val="both"/>
        <w:rPr>
          <w:rFonts w:ascii="Arial" w:hAnsi="Arial" w:cs="Arial"/>
          <w:sz w:val="20"/>
          <w:szCs w:val="20"/>
        </w:rPr>
      </w:pPr>
      <w:r w:rsidRPr="00AC4AEA">
        <w:rPr>
          <w:rFonts w:ascii="Arial" w:hAnsi="Arial" w:cs="Arial"/>
          <w:sz w:val="20"/>
          <w:szCs w:val="20"/>
        </w:rPr>
        <w:t>su importe recuperable en la fecha de la decisión posterior de no venderlo.</w:t>
      </w:r>
    </w:p>
    <w:p w:rsidR="00235A4B" w:rsidRPr="00AC4AEA" w:rsidRDefault="00235A4B" w:rsidP="00A318EA">
      <w:pPr>
        <w:pStyle w:val="Prrafodelista"/>
        <w:numPr>
          <w:ilvl w:val="0"/>
          <w:numId w:val="29"/>
        </w:numPr>
        <w:contextualSpacing w:val="0"/>
        <w:jc w:val="both"/>
        <w:rPr>
          <w:rFonts w:ascii="Arial" w:hAnsi="Arial" w:cs="Arial"/>
          <w:b/>
          <w:bCs/>
          <w:sz w:val="20"/>
          <w:szCs w:val="20"/>
        </w:rPr>
      </w:pPr>
      <w:r w:rsidRPr="00AC4AEA">
        <w:rPr>
          <w:rFonts w:ascii="Arial" w:hAnsi="Arial" w:cs="Arial"/>
          <w:sz w:val="20"/>
          <w:szCs w:val="20"/>
        </w:rPr>
        <w:t>Una entidad incluirá cualquier ajuste requerido a la medición contable de un activo no corriente que deje</w:t>
      </w:r>
      <w:r w:rsidR="00A82EFF" w:rsidRPr="00AC4AEA">
        <w:rPr>
          <w:rFonts w:ascii="Arial" w:hAnsi="Arial" w:cs="Arial"/>
          <w:sz w:val="20"/>
          <w:szCs w:val="20"/>
        </w:rPr>
        <w:t xml:space="preserve"> </w:t>
      </w:r>
      <w:r w:rsidRPr="00AC4AEA">
        <w:rPr>
          <w:rFonts w:ascii="Arial" w:hAnsi="Arial" w:cs="Arial"/>
          <w:sz w:val="20"/>
          <w:szCs w:val="20"/>
        </w:rPr>
        <w:t xml:space="preserve">de estar clasificado como mantenido para la venta, dentro de los resultados del período en el cual dejan de </w:t>
      </w:r>
      <w:r w:rsidR="00DB5A36" w:rsidRPr="00AC4AEA">
        <w:rPr>
          <w:rFonts w:ascii="Arial" w:hAnsi="Arial" w:cs="Arial"/>
          <w:sz w:val="20"/>
          <w:szCs w:val="20"/>
        </w:rPr>
        <w:t xml:space="preserve">cumplir </w:t>
      </w:r>
      <w:r w:rsidR="00FC3608" w:rsidRPr="00AC4AEA">
        <w:rPr>
          <w:rFonts w:ascii="Arial" w:hAnsi="Arial" w:cs="Arial"/>
          <w:sz w:val="20"/>
          <w:szCs w:val="20"/>
        </w:rPr>
        <w:t xml:space="preserve">con lo establecido en los párrafos </w:t>
      </w:r>
      <w:fldSimple w:instr=" REF _Ref74758072 \r \h  \* MERGEFORMAT ">
        <w:r w:rsidR="00D33A5D" w:rsidRPr="00D33A5D">
          <w:rPr>
            <w:rFonts w:ascii="Arial" w:hAnsi="Arial" w:cs="Arial"/>
            <w:sz w:val="20"/>
            <w:szCs w:val="20"/>
          </w:rPr>
          <w:t>416</w:t>
        </w:r>
      </w:fldSimple>
      <w:r w:rsidR="00FC3608" w:rsidRPr="00AC4AEA">
        <w:rPr>
          <w:rFonts w:ascii="Arial" w:hAnsi="Arial" w:cs="Arial"/>
          <w:sz w:val="20"/>
          <w:szCs w:val="20"/>
        </w:rPr>
        <w:t xml:space="preserve"> y </w:t>
      </w:r>
      <w:fldSimple w:instr=" REF _Ref102775546 \r \h  \* MERGEFORMAT ">
        <w:r w:rsidR="00D33A5D" w:rsidRPr="00D33A5D">
          <w:rPr>
            <w:rFonts w:ascii="Arial" w:hAnsi="Arial" w:cs="Arial"/>
            <w:sz w:val="20"/>
            <w:szCs w:val="20"/>
          </w:rPr>
          <w:t>417</w:t>
        </w:r>
      </w:fldSimple>
      <w:r w:rsidRPr="00AC4AEA">
        <w:rPr>
          <w:rFonts w:ascii="Arial" w:hAnsi="Arial" w:cs="Arial"/>
          <w:sz w:val="20"/>
          <w:szCs w:val="20"/>
        </w:rPr>
        <w:t>, a menos que se trate</w:t>
      </w:r>
      <w:r w:rsidR="00A82EFF" w:rsidRPr="00AC4AEA">
        <w:rPr>
          <w:rFonts w:ascii="Arial" w:hAnsi="Arial" w:cs="Arial"/>
          <w:sz w:val="20"/>
          <w:szCs w:val="20"/>
        </w:rPr>
        <w:t xml:space="preserve"> </w:t>
      </w:r>
      <w:r w:rsidRPr="00AC4AEA">
        <w:rPr>
          <w:rFonts w:ascii="Arial" w:hAnsi="Arial" w:cs="Arial"/>
          <w:sz w:val="20"/>
          <w:szCs w:val="20"/>
        </w:rPr>
        <w:t xml:space="preserve">de un bien de uso, revaluado de acuerdo con la sección </w:t>
      </w:r>
      <w:r w:rsidR="001E3D2C" w:rsidRPr="00AC4AEA">
        <w:rPr>
          <w:rFonts w:ascii="Arial" w:hAnsi="Arial" w:cs="Arial"/>
          <w:sz w:val="20"/>
          <w:szCs w:val="20"/>
        </w:rPr>
        <w:t>“</w:t>
      </w:r>
      <w:r w:rsidR="001E3D2C" w:rsidRPr="00AC4AEA">
        <w:rPr>
          <w:rFonts w:ascii="Arial" w:hAnsi="Arial" w:cs="Arial"/>
          <w:sz w:val="20"/>
          <w:szCs w:val="20"/>
          <w:u w:val="single"/>
        </w:rPr>
        <w:t>Bienes de uso y depreciaciones</w:t>
      </w:r>
      <w:r w:rsidR="001E3D2C" w:rsidRPr="00AC4AEA">
        <w:rPr>
          <w:rFonts w:ascii="Arial" w:hAnsi="Arial" w:cs="Arial"/>
          <w:sz w:val="20"/>
          <w:szCs w:val="20"/>
        </w:rPr>
        <w:t xml:space="preserve">” [ver los párrafos </w:t>
      </w:r>
      <w:fldSimple w:instr=" REF _Ref74757440 \r \h  \* MERGEFORMAT ">
        <w:r w:rsidR="00D33A5D" w:rsidRPr="00D33A5D">
          <w:rPr>
            <w:rFonts w:ascii="Arial" w:hAnsi="Arial" w:cs="Arial"/>
            <w:sz w:val="20"/>
            <w:szCs w:val="20"/>
          </w:rPr>
          <w:t>313</w:t>
        </w:r>
      </w:fldSimple>
      <w:r w:rsidR="007E40E5" w:rsidRPr="00AC4AEA">
        <w:rPr>
          <w:rFonts w:ascii="Arial" w:hAnsi="Arial" w:cs="Arial"/>
          <w:sz w:val="20"/>
          <w:szCs w:val="20"/>
        </w:rPr>
        <w:t xml:space="preserve"> a </w:t>
      </w:r>
      <w:fldSimple w:instr=" REF _Ref99481656 \r \h  \* MERGEFORMAT ">
        <w:r w:rsidR="00D33A5D" w:rsidRPr="00D33A5D">
          <w:rPr>
            <w:rFonts w:ascii="Arial" w:hAnsi="Arial" w:cs="Arial"/>
            <w:sz w:val="20"/>
            <w:szCs w:val="20"/>
          </w:rPr>
          <w:t>358</w:t>
        </w:r>
      </w:fldSimple>
      <w:r w:rsidR="007E40E5" w:rsidRPr="00AC4AEA">
        <w:rPr>
          <w:rFonts w:ascii="Arial" w:hAnsi="Arial" w:cs="Arial"/>
          <w:sz w:val="20"/>
          <w:szCs w:val="20"/>
        </w:rPr>
        <w:t>]</w:t>
      </w:r>
      <w:r w:rsidRPr="00AC4AEA">
        <w:rPr>
          <w:rFonts w:ascii="Arial" w:hAnsi="Arial" w:cs="Arial"/>
          <w:sz w:val="20"/>
          <w:szCs w:val="20"/>
        </w:rPr>
        <w:t xml:space="preserve"> antes </w:t>
      </w:r>
      <w:r w:rsidRPr="00AC4AEA">
        <w:rPr>
          <w:rFonts w:ascii="Arial" w:hAnsi="Arial" w:cs="Arial"/>
          <w:sz w:val="20"/>
          <w:szCs w:val="20"/>
        </w:rPr>
        <w:lastRenderedPageBreak/>
        <w:t xml:space="preserve">de su clasificación como mantenido para la venta, en cuyo caso el ajuste se tratará como un incremento o reducción </w:t>
      </w:r>
      <w:r w:rsidR="00FC62C5" w:rsidRPr="00AC4AEA">
        <w:rPr>
          <w:rFonts w:ascii="Arial" w:hAnsi="Arial" w:cs="Arial"/>
          <w:sz w:val="20"/>
          <w:szCs w:val="20"/>
        </w:rPr>
        <w:t xml:space="preserve">del </w:t>
      </w:r>
      <w:r w:rsidR="00FC62C5" w:rsidRPr="0092294B">
        <w:rPr>
          <w:rFonts w:ascii="Arial" w:hAnsi="Arial" w:cs="Arial"/>
          <w:b/>
          <w:bCs/>
          <w:sz w:val="20"/>
          <w:szCs w:val="20"/>
        </w:rPr>
        <w:t>saldo por revaluación</w:t>
      </w:r>
      <w:r w:rsidRPr="00AC4AEA">
        <w:rPr>
          <w:rFonts w:ascii="Arial" w:hAnsi="Arial" w:cs="Arial"/>
          <w:sz w:val="20"/>
          <w:szCs w:val="20"/>
        </w:rPr>
        <w:t>.</w:t>
      </w:r>
    </w:p>
    <w:p w:rsidR="00235A4B" w:rsidRPr="00AC4AEA" w:rsidRDefault="00235A4B" w:rsidP="00A318EA">
      <w:pPr>
        <w:pStyle w:val="A-Normal11"/>
        <w:rPr>
          <w:rFonts w:ascii="Arial" w:hAnsi="Arial" w:cs="Arial"/>
          <w:sz w:val="20"/>
        </w:rPr>
      </w:pPr>
      <w:bookmarkStart w:id="592" w:name="_Toc101863903"/>
    </w:p>
    <w:p w:rsidR="00442BC7" w:rsidRPr="00AC4AEA" w:rsidRDefault="00442BC7" w:rsidP="00A318EA">
      <w:pPr>
        <w:pStyle w:val="Ttulo2"/>
        <w:rPr>
          <w:rFonts w:cs="Arial"/>
        </w:rPr>
      </w:pPr>
      <w:bookmarkStart w:id="593" w:name="_Toc139356770"/>
      <w:r w:rsidRPr="00AC4AEA">
        <w:rPr>
          <w:rFonts w:cs="Arial"/>
        </w:rPr>
        <w:t>Comparación con el valor recuperable</w:t>
      </w:r>
      <w:bookmarkEnd w:id="592"/>
      <w:bookmarkEnd w:id="593"/>
    </w:p>
    <w:p w:rsidR="00442BC7" w:rsidRPr="00AC4AEA" w:rsidRDefault="00AE19E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Debido a la aplicación del</w:t>
      </w:r>
      <w:r w:rsidR="004F7CE2" w:rsidRPr="00AC4AEA">
        <w:rPr>
          <w:rFonts w:ascii="Arial" w:hAnsi="Arial" w:cs="Arial"/>
          <w:sz w:val="20"/>
          <w:szCs w:val="20"/>
        </w:rPr>
        <w:t xml:space="preserve"> párrafo </w:t>
      </w:r>
      <w:fldSimple w:instr=" REF _Ref74136891 \r \h  \* MERGEFORMAT ">
        <w:r w:rsidR="00D33A5D" w:rsidRPr="00D33A5D">
          <w:rPr>
            <w:rFonts w:ascii="Arial" w:hAnsi="Arial" w:cs="Arial"/>
            <w:sz w:val="20"/>
            <w:szCs w:val="20"/>
          </w:rPr>
          <w:t>421</w:t>
        </w:r>
      </w:fldSimple>
      <w:r w:rsidRPr="00AC4AEA">
        <w:rPr>
          <w:rFonts w:ascii="Arial" w:hAnsi="Arial" w:cs="Arial"/>
          <w:sz w:val="20"/>
          <w:szCs w:val="20"/>
        </w:rPr>
        <w:t xml:space="preserve">, una entidad no necesitará comparar la medición contable con el </w:t>
      </w:r>
      <w:r w:rsidRPr="00AC4AEA">
        <w:rPr>
          <w:rFonts w:ascii="Arial" w:hAnsi="Arial" w:cs="Arial"/>
          <w:b/>
          <w:bCs/>
          <w:sz w:val="20"/>
          <w:szCs w:val="20"/>
        </w:rPr>
        <w:t>valor recuperable</w:t>
      </w:r>
      <w:r w:rsidRPr="00AC4AEA">
        <w:rPr>
          <w:rFonts w:ascii="Arial" w:hAnsi="Arial" w:cs="Arial"/>
          <w:sz w:val="20"/>
          <w:szCs w:val="20"/>
        </w:rPr>
        <w:t xml:space="preserve"> de estos </w:t>
      </w:r>
      <w:r w:rsidR="00497590" w:rsidRPr="00AC4AEA">
        <w:rPr>
          <w:rFonts w:ascii="Arial" w:hAnsi="Arial" w:cs="Arial"/>
          <w:sz w:val="20"/>
          <w:szCs w:val="20"/>
        </w:rPr>
        <w:t>activos</w:t>
      </w:r>
      <w:r w:rsidRPr="00AC4AEA">
        <w:rPr>
          <w:rFonts w:ascii="Arial" w:hAnsi="Arial" w:cs="Arial"/>
          <w:sz w:val="20"/>
          <w:szCs w:val="20"/>
        </w:rPr>
        <w:t>.</w:t>
      </w:r>
    </w:p>
    <w:p w:rsidR="00442BC7" w:rsidRPr="00AC4AEA" w:rsidRDefault="00442BC7" w:rsidP="00A318EA">
      <w:pPr>
        <w:pStyle w:val="A-Normal11"/>
        <w:ind w:left="360"/>
        <w:jc w:val="both"/>
        <w:rPr>
          <w:rFonts w:ascii="Arial" w:hAnsi="Arial" w:cs="Arial"/>
          <w:sz w:val="20"/>
        </w:rPr>
      </w:pPr>
    </w:p>
    <w:p w:rsidR="00442BC7" w:rsidRPr="00AC4AEA" w:rsidRDefault="00442BC7" w:rsidP="00A318EA">
      <w:pPr>
        <w:pStyle w:val="Ttulo2"/>
        <w:rPr>
          <w:rFonts w:cs="Arial"/>
        </w:rPr>
      </w:pPr>
      <w:bookmarkStart w:id="594" w:name="_Toc101863904"/>
      <w:bookmarkStart w:id="595" w:name="_Toc139356771"/>
      <w:r w:rsidRPr="00AC4AEA">
        <w:rPr>
          <w:rFonts w:cs="Arial"/>
        </w:rPr>
        <w:t xml:space="preserve">Presentación en los </w:t>
      </w:r>
      <w:r w:rsidR="00135084" w:rsidRPr="00AC4AEA">
        <w:rPr>
          <w:rFonts w:cs="Arial"/>
          <w:bCs/>
        </w:rPr>
        <w:t>estados contables</w:t>
      </w:r>
      <w:bookmarkEnd w:id="594"/>
      <w:bookmarkEnd w:id="595"/>
    </w:p>
    <w:p w:rsidR="00FE1A71" w:rsidRPr="00AC4AEA" w:rsidRDefault="006F1F4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442BC7" w:rsidRPr="00AC4AEA">
        <w:rPr>
          <w:rFonts w:ascii="Arial" w:hAnsi="Arial" w:cs="Arial"/>
          <w:sz w:val="20"/>
          <w:szCs w:val="20"/>
        </w:rPr>
        <w:t>na entidad presentará</w:t>
      </w:r>
      <w:r w:rsidR="00FE1A71" w:rsidRPr="00AC4AEA">
        <w:rPr>
          <w:rFonts w:ascii="Arial" w:hAnsi="Arial" w:cs="Arial"/>
          <w:sz w:val="20"/>
          <w:szCs w:val="20"/>
        </w:rPr>
        <w:t>:</w:t>
      </w:r>
      <w:r w:rsidR="00442BC7" w:rsidRPr="00AC4AEA">
        <w:rPr>
          <w:rFonts w:ascii="Arial" w:hAnsi="Arial" w:cs="Arial"/>
          <w:sz w:val="20"/>
          <w:szCs w:val="20"/>
        </w:rPr>
        <w:t xml:space="preserve"> </w:t>
      </w:r>
    </w:p>
    <w:p w:rsidR="00A91216" w:rsidRPr="00AC4AEA" w:rsidRDefault="006F1F4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w:t>
      </w:r>
      <w:r w:rsidR="00FE1A71" w:rsidRPr="00AC4AEA">
        <w:rPr>
          <w:rFonts w:ascii="Arial" w:hAnsi="Arial" w:cs="Arial"/>
          <w:sz w:val="20"/>
          <w:szCs w:val="20"/>
        </w:rPr>
        <w:t xml:space="preserve">l </w:t>
      </w:r>
      <w:r w:rsidR="00442BC7" w:rsidRPr="00AC4AEA">
        <w:rPr>
          <w:rFonts w:ascii="Arial" w:hAnsi="Arial" w:cs="Arial"/>
          <w:sz w:val="20"/>
          <w:szCs w:val="20"/>
        </w:rPr>
        <w:t xml:space="preserve">saldo de </w:t>
      </w:r>
      <w:r w:rsidR="00497590" w:rsidRPr="00AC4AEA">
        <w:rPr>
          <w:rFonts w:ascii="Arial" w:hAnsi="Arial" w:cs="Arial"/>
          <w:sz w:val="20"/>
          <w:szCs w:val="20"/>
        </w:rPr>
        <w:t>activos</w:t>
      </w:r>
      <w:r w:rsidR="00442BC7" w:rsidRPr="00AC4AEA">
        <w:rPr>
          <w:rFonts w:ascii="Arial" w:hAnsi="Arial" w:cs="Arial"/>
          <w:sz w:val="20"/>
          <w:szCs w:val="20"/>
        </w:rPr>
        <w:t xml:space="preserve"> no corrientes mantenidos para la venta</w:t>
      </w:r>
      <w:r w:rsidR="00A91216" w:rsidRPr="00AC4AEA">
        <w:rPr>
          <w:rFonts w:ascii="Arial" w:hAnsi="Arial" w:cs="Arial"/>
          <w:sz w:val="20"/>
          <w:szCs w:val="20"/>
        </w:rPr>
        <w:t>:</w:t>
      </w:r>
      <w:r w:rsidR="00FE1A71" w:rsidRPr="00AC4AEA">
        <w:rPr>
          <w:rFonts w:ascii="Arial" w:hAnsi="Arial" w:cs="Arial"/>
          <w:sz w:val="20"/>
          <w:szCs w:val="20"/>
        </w:rPr>
        <w:t xml:space="preserve"> </w:t>
      </w:r>
    </w:p>
    <w:p w:rsidR="00FE1A71" w:rsidRPr="00AC4AEA" w:rsidRDefault="00FE1A71"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dentro del rubro “</w:t>
      </w:r>
      <w:r w:rsidR="001A2082" w:rsidRPr="00AC4AEA">
        <w:rPr>
          <w:rFonts w:ascii="Arial" w:hAnsi="Arial" w:cs="Arial"/>
          <w:sz w:val="20"/>
          <w:szCs w:val="20"/>
        </w:rPr>
        <w:t xml:space="preserve">otros </w:t>
      </w:r>
      <w:r w:rsidR="00497590" w:rsidRPr="00AC4AEA">
        <w:rPr>
          <w:rFonts w:ascii="Arial" w:hAnsi="Arial" w:cs="Arial"/>
          <w:sz w:val="20"/>
          <w:szCs w:val="20"/>
        </w:rPr>
        <w:t>activos</w:t>
      </w:r>
      <w:r w:rsidRPr="00AC4AEA">
        <w:rPr>
          <w:rFonts w:ascii="Arial" w:hAnsi="Arial" w:cs="Arial"/>
          <w:sz w:val="20"/>
          <w:szCs w:val="20"/>
        </w:rPr>
        <w:t>”</w:t>
      </w:r>
      <w:r w:rsidR="008F6117" w:rsidRPr="00AC4AEA">
        <w:rPr>
          <w:rFonts w:ascii="Arial" w:hAnsi="Arial" w:cs="Arial"/>
          <w:sz w:val="20"/>
          <w:szCs w:val="20"/>
        </w:rPr>
        <w:t xml:space="preserve"> –corrientes o no corrientes, según </w:t>
      </w:r>
      <w:r w:rsidR="00FC62C5" w:rsidRPr="00AC4AEA">
        <w:rPr>
          <w:rFonts w:ascii="Arial" w:hAnsi="Arial" w:cs="Arial"/>
          <w:sz w:val="20"/>
          <w:szCs w:val="20"/>
        </w:rPr>
        <w:t xml:space="preserve">lo establecido en los párrafos </w:t>
      </w:r>
      <w:fldSimple w:instr=" REF _Ref74758072 \r \h  \* MERGEFORMAT ">
        <w:r w:rsidR="00D33A5D" w:rsidRPr="00D33A5D">
          <w:rPr>
            <w:rFonts w:ascii="Arial" w:hAnsi="Arial" w:cs="Arial"/>
            <w:sz w:val="20"/>
            <w:szCs w:val="20"/>
          </w:rPr>
          <w:t>416</w:t>
        </w:r>
      </w:fldSimple>
      <w:r w:rsidR="00FC62C5" w:rsidRPr="00AC4AEA">
        <w:rPr>
          <w:rFonts w:ascii="Arial" w:hAnsi="Arial" w:cs="Arial"/>
          <w:sz w:val="20"/>
          <w:szCs w:val="20"/>
        </w:rPr>
        <w:t xml:space="preserve"> y </w:t>
      </w:r>
      <w:fldSimple w:instr=" REF _Ref102775546 \r \h  \* MERGEFORMAT ">
        <w:r w:rsidR="00D33A5D" w:rsidRPr="00D33A5D">
          <w:rPr>
            <w:rFonts w:ascii="Arial" w:hAnsi="Arial" w:cs="Arial"/>
            <w:sz w:val="20"/>
            <w:szCs w:val="20"/>
          </w:rPr>
          <w:t>417</w:t>
        </w:r>
      </w:fldSimple>
      <w:r w:rsidR="008F6117" w:rsidRPr="00AC4AEA">
        <w:rPr>
          <w:rFonts w:ascii="Arial" w:hAnsi="Arial" w:cs="Arial"/>
          <w:sz w:val="20"/>
          <w:szCs w:val="20"/>
        </w:rPr>
        <w:t>–</w:t>
      </w:r>
      <w:r w:rsidRPr="00AC4AEA">
        <w:rPr>
          <w:rFonts w:ascii="Arial" w:hAnsi="Arial" w:cs="Arial"/>
          <w:sz w:val="20"/>
          <w:szCs w:val="20"/>
        </w:rPr>
        <w:t xml:space="preserve">, </w:t>
      </w:r>
      <w:r w:rsidR="00317CF7" w:rsidRPr="00AC4AEA">
        <w:rPr>
          <w:rFonts w:ascii="Arial" w:hAnsi="Arial" w:cs="Arial"/>
          <w:sz w:val="20"/>
          <w:szCs w:val="20"/>
        </w:rPr>
        <w:t>e identificarlos de forma separada de otros elementos incluidos en ese rubro en las notas</w:t>
      </w:r>
      <w:r w:rsidR="00A91216" w:rsidRPr="00AC4AEA">
        <w:rPr>
          <w:rFonts w:ascii="Arial" w:hAnsi="Arial" w:cs="Arial"/>
          <w:sz w:val="20"/>
          <w:szCs w:val="20"/>
        </w:rPr>
        <w:t xml:space="preserve">; </w:t>
      </w:r>
    </w:p>
    <w:p w:rsidR="00A91216" w:rsidRPr="00AC4AEA" w:rsidRDefault="00A91216"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sin compensar con un </w:t>
      </w:r>
      <w:r w:rsidRPr="00AC4AEA">
        <w:rPr>
          <w:rFonts w:ascii="Arial" w:hAnsi="Arial" w:cs="Arial"/>
          <w:b/>
          <w:bCs/>
          <w:sz w:val="20"/>
          <w:szCs w:val="20"/>
        </w:rPr>
        <w:t xml:space="preserve">pasivo </w:t>
      </w:r>
      <w:r w:rsidR="00D14000" w:rsidRPr="00AC4AEA">
        <w:rPr>
          <w:rFonts w:ascii="Arial" w:hAnsi="Arial" w:cs="Arial"/>
          <w:sz w:val="20"/>
          <w:szCs w:val="20"/>
        </w:rPr>
        <w:t xml:space="preserve">relacionado con dichos activos, el cual se expondrá como </w:t>
      </w:r>
      <w:r w:rsidR="00D14000" w:rsidRPr="00AC4AEA">
        <w:rPr>
          <w:rFonts w:ascii="Arial" w:hAnsi="Arial" w:cs="Arial"/>
          <w:bCs/>
          <w:sz w:val="20"/>
          <w:szCs w:val="20"/>
        </w:rPr>
        <w:t>corriente.</w:t>
      </w:r>
    </w:p>
    <w:p w:rsidR="00FE1A71" w:rsidRPr="00AC4AEA" w:rsidRDefault="00FE1A7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El saldo de los </w:t>
      </w:r>
      <w:r w:rsidR="00497590" w:rsidRPr="00AC4AEA">
        <w:rPr>
          <w:rFonts w:ascii="Arial" w:hAnsi="Arial" w:cs="Arial"/>
          <w:sz w:val="20"/>
          <w:szCs w:val="20"/>
        </w:rPr>
        <w:t>activos</w:t>
      </w:r>
      <w:r w:rsidRPr="00AC4AEA">
        <w:rPr>
          <w:rFonts w:ascii="Arial" w:hAnsi="Arial" w:cs="Arial"/>
          <w:sz w:val="20"/>
          <w:szCs w:val="20"/>
        </w:rPr>
        <w:t xml:space="preserve"> retirados de servicio dentro del rubro “otros </w:t>
      </w:r>
      <w:r w:rsidR="00497590" w:rsidRPr="00AC4AEA">
        <w:rPr>
          <w:rFonts w:ascii="Arial" w:hAnsi="Arial" w:cs="Arial"/>
          <w:sz w:val="20"/>
          <w:szCs w:val="20"/>
        </w:rPr>
        <w:t>activos</w:t>
      </w:r>
      <w:r w:rsidRPr="00AC4AEA">
        <w:rPr>
          <w:rFonts w:ascii="Arial" w:hAnsi="Arial" w:cs="Arial"/>
          <w:sz w:val="20"/>
          <w:szCs w:val="20"/>
        </w:rPr>
        <w:t xml:space="preserve">”, distinguiendo, según corresponda, entre </w:t>
      </w:r>
      <w:r w:rsidR="00497590" w:rsidRPr="00AC4AEA">
        <w:rPr>
          <w:rFonts w:ascii="Arial" w:hAnsi="Arial" w:cs="Arial"/>
          <w:bCs/>
          <w:sz w:val="20"/>
          <w:szCs w:val="20"/>
        </w:rPr>
        <w:t>activos</w:t>
      </w:r>
      <w:r w:rsidRPr="00AC4AEA">
        <w:rPr>
          <w:rFonts w:ascii="Arial" w:hAnsi="Arial" w:cs="Arial"/>
          <w:bCs/>
          <w:sz w:val="20"/>
          <w:szCs w:val="20"/>
        </w:rPr>
        <w:t xml:space="preserve"> corrientes y no corrientes</w:t>
      </w:r>
      <w:r w:rsidR="00267392" w:rsidRPr="00AC4AEA">
        <w:rPr>
          <w:rFonts w:ascii="Arial" w:hAnsi="Arial" w:cs="Arial"/>
          <w:sz w:val="20"/>
          <w:szCs w:val="20"/>
        </w:rPr>
        <w:t>, e identificarlos de forma separada de otros elementos incluidos en ese rubro en las notas.</w:t>
      </w:r>
    </w:p>
    <w:p w:rsidR="007B7E5B" w:rsidRPr="00AC4AEA" w:rsidRDefault="006F1F47" w:rsidP="00A318EA">
      <w:pPr>
        <w:pStyle w:val="A-Normal11"/>
        <w:numPr>
          <w:ilvl w:val="0"/>
          <w:numId w:val="29"/>
        </w:numPr>
        <w:jc w:val="both"/>
        <w:rPr>
          <w:rFonts w:ascii="Arial" w:hAnsi="Arial" w:cs="Arial"/>
          <w:sz w:val="20"/>
        </w:rPr>
      </w:pPr>
      <w:bookmarkStart w:id="596" w:name="_Ref132040843"/>
      <w:bookmarkStart w:id="597" w:name="_Ref102775383"/>
      <w:r w:rsidRPr="00AC4AEA">
        <w:rPr>
          <w:rFonts w:ascii="Arial" w:hAnsi="Arial" w:cs="Arial"/>
          <w:sz w:val="20"/>
        </w:rPr>
        <w:t>En el estado de resultados, u</w:t>
      </w:r>
      <w:r w:rsidR="002A6B1F" w:rsidRPr="00AC4AEA">
        <w:rPr>
          <w:rFonts w:ascii="Arial" w:hAnsi="Arial" w:cs="Arial"/>
          <w:sz w:val="20"/>
        </w:rPr>
        <w:t xml:space="preserve">na entidad presentará las </w:t>
      </w:r>
      <w:r w:rsidR="002A6B1F" w:rsidRPr="00AC4AEA">
        <w:rPr>
          <w:rFonts w:ascii="Arial" w:hAnsi="Arial" w:cs="Arial"/>
          <w:bCs/>
          <w:sz w:val="20"/>
        </w:rPr>
        <w:t xml:space="preserve">pérdidas </w:t>
      </w:r>
      <w:r w:rsidR="008F6117" w:rsidRPr="00AC4AEA">
        <w:rPr>
          <w:rFonts w:ascii="Arial" w:hAnsi="Arial" w:cs="Arial"/>
          <w:bCs/>
          <w:sz w:val="20"/>
        </w:rPr>
        <w:t>ocasionadas por la</w:t>
      </w:r>
      <w:r w:rsidR="002A6B1F" w:rsidRPr="00AC4AEA">
        <w:rPr>
          <w:rFonts w:ascii="Arial" w:hAnsi="Arial" w:cs="Arial"/>
          <w:bCs/>
          <w:sz w:val="20"/>
        </w:rPr>
        <w:t xml:space="preserve"> </w:t>
      </w:r>
      <w:r w:rsidR="008F6117" w:rsidRPr="00AC4AEA">
        <w:rPr>
          <w:rFonts w:ascii="Arial" w:hAnsi="Arial" w:cs="Arial"/>
          <w:bCs/>
          <w:sz w:val="20"/>
        </w:rPr>
        <w:t>medición</w:t>
      </w:r>
      <w:r w:rsidR="002A6B1F" w:rsidRPr="00AC4AEA">
        <w:rPr>
          <w:rFonts w:ascii="Arial" w:hAnsi="Arial" w:cs="Arial"/>
          <w:sz w:val="20"/>
        </w:rPr>
        <w:t xml:space="preserve"> y las reversiones de dichas pérdidas</w:t>
      </w:r>
      <w:r w:rsidR="007B7E5B" w:rsidRPr="00AC4AEA">
        <w:rPr>
          <w:rFonts w:ascii="Arial" w:hAnsi="Arial" w:cs="Arial"/>
          <w:sz w:val="20"/>
        </w:rPr>
        <w:t>:</w:t>
      </w:r>
      <w:bookmarkEnd w:id="596"/>
      <w:r w:rsidR="00BD7827" w:rsidRPr="00AC4AEA">
        <w:rPr>
          <w:rFonts w:ascii="Arial" w:hAnsi="Arial" w:cs="Arial"/>
          <w:sz w:val="20"/>
        </w:rPr>
        <w:t xml:space="preserve"> </w:t>
      </w:r>
    </w:p>
    <w:p w:rsidR="002A6B1F" w:rsidRPr="00AC4AEA" w:rsidRDefault="007B7E5B" w:rsidP="00A318EA">
      <w:pPr>
        <w:pStyle w:val="A-Normal11"/>
        <w:numPr>
          <w:ilvl w:val="1"/>
          <w:numId w:val="29"/>
        </w:numPr>
        <w:ind w:left="1560"/>
        <w:jc w:val="both"/>
        <w:rPr>
          <w:rFonts w:ascii="Arial" w:hAnsi="Arial" w:cs="Arial"/>
          <w:sz w:val="20"/>
        </w:rPr>
      </w:pPr>
      <w:r w:rsidRPr="00AC4AEA">
        <w:rPr>
          <w:rFonts w:ascii="Arial" w:hAnsi="Arial" w:cs="Arial"/>
          <w:sz w:val="20"/>
        </w:rPr>
        <w:t xml:space="preserve">Dentro de los “Resultados procedentes de actividades u operaciones discontinuadas (o en discontinuación) [ver los párrafos </w:t>
      </w:r>
      <w:fldSimple w:instr=" REF _Ref103716599 \r \h  \* MERGEFORMAT ">
        <w:r w:rsidR="00D33A5D" w:rsidRPr="00D33A5D">
          <w:rPr>
            <w:rFonts w:ascii="Arial" w:hAnsi="Arial" w:cs="Arial"/>
            <w:sz w:val="20"/>
          </w:rPr>
          <w:t>635</w:t>
        </w:r>
      </w:fldSimple>
      <w:r w:rsidR="00703714" w:rsidRPr="00AC4AEA">
        <w:rPr>
          <w:rFonts w:ascii="Arial" w:hAnsi="Arial" w:cs="Arial"/>
          <w:sz w:val="20"/>
        </w:rPr>
        <w:t xml:space="preserve"> a </w:t>
      </w:r>
      <w:fldSimple w:instr=" REF _Ref132039902 \r \h  \* MERGEFORMAT ">
        <w:r w:rsidR="00D33A5D" w:rsidRPr="00D33A5D">
          <w:rPr>
            <w:rFonts w:ascii="Arial" w:hAnsi="Arial" w:cs="Arial"/>
            <w:sz w:val="20"/>
          </w:rPr>
          <w:t>641</w:t>
        </w:r>
      </w:fldSimple>
      <w:r w:rsidRPr="00AC4AEA">
        <w:rPr>
          <w:rFonts w:ascii="Arial" w:hAnsi="Arial" w:cs="Arial"/>
          <w:sz w:val="20"/>
        </w:rPr>
        <w:t>]</w:t>
      </w:r>
      <w:bookmarkEnd w:id="597"/>
      <w:r w:rsidRPr="00AC4AEA">
        <w:rPr>
          <w:rFonts w:ascii="Arial" w:hAnsi="Arial" w:cs="Arial"/>
          <w:sz w:val="20"/>
        </w:rPr>
        <w:t>, cuando se relacionan con tales resultados.</w:t>
      </w:r>
    </w:p>
    <w:p w:rsidR="007B7E5B" w:rsidRPr="00AC4AEA" w:rsidRDefault="007B7E5B" w:rsidP="00A318EA">
      <w:pPr>
        <w:pStyle w:val="A-Normal11"/>
        <w:numPr>
          <w:ilvl w:val="1"/>
          <w:numId w:val="29"/>
        </w:numPr>
        <w:ind w:left="1560"/>
        <w:jc w:val="both"/>
        <w:rPr>
          <w:rFonts w:ascii="Arial" w:hAnsi="Arial" w:cs="Arial"/>
          <w:sz w:val="20"/>
        </w:rPr>
      </w:pPr>
      <w:r w:rsidRPr="00AC4AEA">
        <w:rPr>
          <w:rFonts w:ascii="Arial" w:hAnsi="Arial" w:cs="Arial"/>
          <w:sz w:val="20"/>
        </w:rPr>
        <w:t>Bajo un título específico para tales conceptos, en los demás casos.</w:t>
      </w:r>
    </w:p>
    <w:p w:rsidR="002A009A" w:rsidRPr="00AC4AEA" w:rsidRDefault="002A009A" w:rsidP="00A318EA">
      <w:pPr>
        <w:pStyle w:val="A-Normal11"/>
        <w:numPr>
          <w:ilvl w:val="0"/>
          <w:numId w:val="29"/>
        </w:numPr>
        <w:jc w:val="both"/>
        <w:rPr>
          <w:rFonts w:ascii="Arial" w:hAnsi="Arial" w:cs="Arial"/>
          <w:b/>
          <w:bCs/>
          <w:sz w:val="20"/>
        </w:rPr>
      </w:pPr>
      <w:bookmarkStart w:id="598" w:name="_Ref132040847"/>
      <w:r w:rsidRPr="00AC4AEA">
        <w:rPr>
          <w:rFonts w:ascii="Arial" w:hAnsi="Arial" w:cs="Arial"/>
          <w:sz w:val="20"/>
        </w:rPr>
        <w:t xml:space="preserve">Una entidad presentará los resultados </w:t>
      </w:r>
      <w:r w:rsidR="00930234" w:rsidRPr="00AC4AEA">
        <w:rPr>
          <w:rFonts w:ascii="Arial" w:hAnsi="Arial" w:cs="Arial"/>
          <w:sz w:val="20"/>
        </w:rPr>
        <w:t>procedentes</w:t>
      </w:r>
      <w:r w:rsidRPr="00AC4AEA">
        <w:rPr>
          <w:rFonts w:ascii="Arial" w:hAnsi="Arial" w:cs="Arial"/>
          <w:sz w:val="20"/>
        </w:rPr>
        <w:t xml:space="preserve"> de la baja en cuentas de estos </w:t>
      </w:r>
      <w:r w:rsidR="00497590" w:rsidRPr="00AC4AEA">
        <w:rPr>
          <w:rFonts w:ascii="Arial" w:hAnsi="Arial" w:cs="Arial"/>
          <w:sz w:val="20"/>
        </w:rPr>
        <w:t>activos</w:t>
      </w:r>
      <w:r w:rsidRPr="00AC4AEA">
        <w:rPr>
          <w:rFonts w:ascii="Arial" w:hAnsi="Arial" w:cs="Arial"/>
          <w:sz w:val="20"/>
        </w:rPr>
        <w:t xml:space="preserve"> por su disposición</w:t>
      </w:r>
      <w:r w:rsidR="008F6117" w:rsidRPr="00AC4AEA">
        <w:rPr>
          <w:rFonts w:ascii="Arial" w:hAnsi="Arial" w:cs="Arial"/>
          <w:sz w:val="20"/>
        </w:rPr>
        <w:t xml:space="preserve"> por</w:t>
      </w:r>
      <w:r w:rsidRPr="00AC4AEA">
        <w:rPr>
          <w:rFonts w:ascii="Arial" w:hAnsi="Arial" w:cs="Arial"/>
          <w:sz w:val="20"/>
        </w:rPr>
        <w:t xml:space="preserve"> separado de los </w:t>
      </w:r>
      <w:r w:rsidRPr="00AC4AEA">
        <w:rPr>
          <w:rFonts w:ascii="Arial" w:hAnsi="Arial" w:cs="Arial"/>
          <w:b/>
          <w:bCs/>
          <w:sz w:val="20"/>
        </w:rPr>
        <w:t>ingresos por actividades ordinarias</w:t>
      </w:r>
      <w:r w:rsidR="007B7E5B" w:rsidRPr="00AC4AEA">
        <w:rPr>
          <w:rFonts w:ascii="Arial" w:hAnsi="Arial" w:cs="Arial"/>
          <w:sz w:val="20"/>
        </w:rPr>
        <w:t>:</w:t>
      </w:r>
      <w:bookmarkEnd w:id="598"/>
    </w:p>
    <w:p w:rsidR="007B7E5B" w:rsidRPr="00AC4AEA" w:rsidRDefault="007B7E5B" w:rsidP="00A318EA">
      <w:pPr>
        <w:pStyle w:val="A-Normal11"/>
        <w:numPr>
          <w:ilvl w:val="1"/>
          <w:numId w:val="29"/>
        </w:numPr>
        <w:ind w:left="1560"/>
        <w:jc w:val="both"/>
        <w:rPr>
          <w:rFonts w:ascii="Arial" w:hAnsi="Arial" w:cs="Arial"/>
          <w:sz w:val="20"/>
        </w:rPr>
      </w:pPr>
      <w:r w:rsidRPr="00AC4AEA">
        <w:rPr>
          <w:rFonts w:ascii="Arial" w:hAnsi="Arial" w:cs="Arial"/>
          <w:sz w:val="20"/>
        </w:rPr>
        <w:t xml:space="preserve">Dentro de los “Resultados procedentes de actividades u operaciones discontinuadas (o en discontinuación) </w:t>
      </w:r>
      <w:r w:rsidR="007B6591" w:rsidRPr="00AC4AEA">
        <w:rPr>
          <w:rFonts w:ascii="Arial" w:hAnsi="Arial" w:cs="Arial"/>
          <w:sz w:val="20"/>
        </w:rPr>
        <w:t xml:space="preserve">[ver los párrafos </w:t>
      </w:r>
      <w:fldSimple w:instr=" REF _Ref103716599 \r \h  \* MERGEFORMAT ">
        <w:r w:rsidR="00D33A5D" w:rsidRPr="00D33A5D">
          <w:rPr>
            <w:rFonts w:ascii="Arial" w:hAnsi="Arial" w:cs="Arial"/>
            <w:sz w:val="20"/>
          </w:rPr>
          <w:t>635</w:t>
        </w:r>
      </w:fldSimple>
      <w:r w:rsidR="007B6591" w:rsidRPr="00AC4AEA">
        <w:rPr>
          <w:rFonts w:ascii="Arial" w:hAnsi="Arial" w:cs="Arial"/>
          <w:sz w:val="20"/>
        </w:rPr>
        <w:t xml:space="preserve"> a </w:t>
      </w:r>
      <w:fldSimple w:instr=" REF _Ref132039902 \r \h  \* MERGEFORMAT ">
        <w:r w:rsidR="00D33A5D" w:rsidRPr="00D33A5D">
          <w:rPr>
            <w:rFonts w:ascii="Arial" w:hAnsi="Arial" w:cs="Arial"/>
            <w:sz w:val="20"/>
          </w:rPr>
          <w:t>641</w:t>
        </w:r>
      </w:fldSimple>
      <w:r w:rsidR="007B6591" w:rsidRPr="00AC4AEA">
        <w:rPr>
          <w:rFonts w:ascii="Arial" w:hAnsi="Arial" w:cs="Arial"/>
          <w:sz w:val="20"/>
        </w:rPr>
        <w:t>]</w:t>
      </w:r>
      <w:r w:rsidRPr="00AC4AEA">
        <w:rPr>
          <w:rFonts w:ascii="Arial" w:hAnsi="Arial" w:cs="Arial"/>
          <w:sz w:val="20"/>
        </w:rPr>
        <w:t>, cuando se relacionan con tales resultados.</w:t>
      </w:r>
    </w:p>
    <w:p w:rsidR="007B7E5B" w:rsidRPr="00AC4AEA" w:rsidRDefault="007B7E5B" w:rsidP="00A318EA">
      <w:pPr>
        <w:pStyle w:val="A-Normal11"/>
        <w:numPr>
          <w:ilvl w:val="1"/>
          <w:numId w:val="29"/>
        </w:numPr>
        <w:ind w:left="1560"/>
        <w:jc w:val="both"/>
        <w:rPr>
          <w:rFonts w:ascii="Arial" w:hAnsi="Arial" w:cs="Arial"/>
          <w:sz w:val="20"/>
        </w:rPr>
      </w:pPr>
      <w:r w:rsidRPr="00AC4AEA">
        <w:rPr>
          <w:rFonts w:ascii="Arial" w:hAnsi="Arial" w:cs="Arial"/>
          <w:sz w:val="20"/>
        </w:rPr>
        <w:t>Bajo un título específico para tales conceptos, en los demás casos.</w:t>
      </w:r>
    </w:p>
    <w:p w:rsidR="00442BC7" w:rsidRPr="00AC4AEA" w:rsidRDefault="00442BC7" w:rsidP="00A318EA">
      <w:pPr>
        <w:jc w:val="both"/>
        <w:rPr>
          <w:rFonts w:ascii="Arial" w:hAnsi="Arial" w:cs="Arial"/>
          <w:b/>
          <w:bCs/>
          <w:sz w:val="20"/>
          <w:szCs w:val="20"/>
        </w:rPr>
      </w:pPr>
    </w:p>
    <w:p w:rsidR="00442BC7" w:rsidRPr="00AC4AEA" w:rsidRDefault="00442BC7" w:rsidP="00A318EA">
      <w:pPr>
        <w:pStyle w:val="Ttulo2"/>
        <w:rPr>
          <w:rFonts w:cs="Arial"/>
        </w:rPr>
      </w:pPr>
      <w:bookmarkStart w:id="599" w:name="_Toc101863905"/>
      <w:bookmarkStart w:id="600" w:name="_Toc139356772"/>
      <w:r w:rsidRPr="00AC4AEA">
        <w:rPr>
          <w:rFonts w:cs="Arial"/>
        </w:rPr>
        <w:lastRenderedPageBreak/>
        <w:t>Revelación en notas</w:t>
      </w:r>
      <w:bookmarkEnd w:id="599"/>
      <w:bookmarkEnd w:id="600"/>
    </w:p>
    <w:p w:rsidR="00442BC7" w:rsidRPr="00AC4AEA" w:rsidRDefault="00442BC7" w:rsidP="00A318EA">
      <w:pPr>
        <w:pStyle w:val="Ttulo3"/>
      </w:pPr>
      <w:bookmarkStart w:id="601" w:name="_Toc101863906"/>
      <w:bookmarkStart w:id="602" w:name="_Toc139356773"/>
      <w:r w:rsidRPr="00AC4AEA">
        <w:t>Revelaciones de carácter general</w:t>
      </w:r>
      <w:bookmarkEnd w:id="601"/>
      <w:bookmarkEnd w:id="602"/>
    </w:p>
    <w:p w:rsidR="00442BC7" w:rsidRPr="00AC4AEA" w:rsidRDefault="00442BC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revelará en notas</w:t>
      </w:r>
      <w:r w:rsidR="00E1484A" w:rsidRPr="00AC4AEA">
        <w:rPr>
          <w:rFonts w:ascii="Arial" w:hAnsi="Arial" w:cs="Arial"/>
          <w:sz w:val="20"/>
          <w:szCs w:val="20"/>
        </w:rPr>
        <w:t xml:space="preserve"> </w:t>
      </w:r>
      <w:r w:rsidR="007E2A61" w:rsidRPr="00AC4AEA">
        <w:rPr>
          <w:rFonts w:ascii="Arial" w:hAnsi="Arial" w:cs="Arial"/>
          <w:sz w:val="20"/>
          <w:szCs w:val="20"/>
        </w:rPr>
        <w:t>l</w:t>
      </w:r>
      <w:r w:rsidRPr="00AC4AEA">
        <w:rPr>
          <w:rFonts w:ascii="Arial" w:hAnsi="Arial" w:cs="Arial"/>
          <w:sz w:val="20"/>
          <w:szCs w:val="20"/>
        </w:rPr>
        <w:t xml:space="preserve">as opciones de </w:t>
      </w:r>
      <w:r w:rsidR="00596F3F" w:rsidRPr="00AC4AEA">
        <w:rPr>
          <w:rFonts w:ascii="Arial" w:hAnsi="Arial" w:cs="Arial"/>
          <w:b/>
          <w:bCs/>
          <w:sz w:val="20"/>
          <w:szCs w:val="20"/>
        </w:rPr>
        <w:t>política contable</w:t>
      </w:r>
      <w:r w:rsidRPr="00AC4AEA">
        <w:rPr>
          <w:rFonts w:ascii="Arial" w:hAnsi="Arial" w:cs="Arial"/>
          <w:sz w:val="20"/>
          <w:szCs w:val="20"/>
        </w:rPr>
        <w:t xml:space="preserve"> </w:t>
      </w:r>
      <w:r w:rsidR="00FE1A71" w:rsidRPr="00AC4AEA">
        <w:rPr>
          <w:rFonts w:ascii="Arial" w:hAnsi="Arial" w:cs="Arial"/>
          <w:sz w:val="20"/>
          <w:szCs w:val="20"/>
        </w:rPr>
        <w:t xml:space="preserve">utilizada </w:t>
      </w:r>
      <w:r w:rsidRPr="00AC4AEA">
        <w:rPr>
          <w:rFonts w:ascii="Arial" w:hAnsi="Arial" w:cs="Arial"/>
          <w:sz w:val="20"/>
          <w:szCs w:val="20"/>
        </w:rPr>
        <w:t>y los criterios de medición aplicados a l</w:t>
      </w:r>
      <w:r w:rsidR="000C0590" w:rsidRPr="00AC4AEA">
        <w:rPr>
          <w:rFonts w:ascii="Arial" w:hAnsi="Arial" w:cs="Arial"/>
          <w:sz w:val="20"/>
          <w:szCs w:val="20"/>
        </w:rPr>
        <w:t>o</w:t>
      </w:r>
      <w:r w:rsidRPr="00AC4AEA">
        <w:rPr>
          <w:rFonts w:ascii="Arial" w:hAnsi="Arial" w:cs="Arial"/>
          <w:sz w:val="20"/>
          <w:szCs w:val="20"/>
        </w:rPr>
        <w:t xml:space="preserve">s </w:t>
      </w:r>
      <w:r w:rsidR="00497590" w:rsidRPr="00AC4AEA">
        <w:rPr>
          <w:rFonts w:ascii="Arial" w:hAnsi="Arial" w:cs="Arial"/>
          <w:sz w:val="20"/>
          <w:szCs w:val="20"/>
        </w:rPr>
        <w:t>activos</w:t>
      </w:r>
      <w:r w:rsidRPr="00AC4AEA">
        <w:rPr>
          <w:rFonts w:ascii="Arial" w:hAnsi="Arial" w:cs="Arial"/>
          <w:sz w:val="20"/>
          <w:szCs w:val="20"/>
        </w:rPr>
        <w:t xml:space="preserve"> no corrientes mantenidos para la venta (incluyendo los retirados de servicio)</w:t>
      </w:r>
      <w:r w:rsidR="00E1484A" w:rsidRPr="00AC4AEA">
        <w:rPr>
          <w:rFonts w:ascii="Arial" w:hAnsi="Arial" w:cs="Arial"/>
          <w:sz w:val="20"/>
          <w:szCs w:val="20"/>
        </w:rPr>
        <w:t>.</w:t>
      </w:r>
    </w:p>
    <w:p w:rsidR="00442BC7" w:rsidRPr="00AC4AEA" w:rsidRDefault="00442BC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C02E79">
        <w:rPr>
          <w:rFonts w:ascii="Arial" w:hAnsi="Arial" w:cs="Arial"/>
          <w:sz w:val="20"/>
          <w:szCs w:val="20"/>
        </w:rPr>
        <w:t>lo siguiente</w:t>
      </w:r>
      <w:r w:rsidRPr="00AC4AEA">
        <w:rPr>
          <w:rFonts w:ascii="Arial" w:hAnsi="Arial" w:cs="Arial"/>
          <w:sz w:val="20"/>
          <w:szCs w:val="20"/>
        </w:rPr>
        <w:t xml:space="preserve">: </w:t>
      </w:r>
    </w:p>
    <w:p w:rsidR="00DF6091" w:rsidRPr="00AC4AEA" w:rsidRDefault="000F5F68" w:rsidP="00A318EA">
      <w:pPr>
        <w:pStyle w:val="Prrafodelista"/>
        <w:numPr>
          <w:ilvl w:val="1"/>
          <w:numId w:val="21"/>
        </w:numPr>
        <w:ind w:left="1560" w:hanging="567"/>
        <w:contextualSpacing w:val="0"/>
        <w:jc w:val="both"/>
        <w:rPr>
          <w:rFonts w:ascii="Arial" w:hAnsi="Arial" w:cs="Arial"/>
          <w:sz w:val="20"/>
          <w:szCs w:val="20"/>
        </w:rPr>
      </w:pPr>
      <w:r w:rsidRPr="00AC4AEA">
        <w:rPr>
          <w:rFonts w:ascii="Arial" w:hAnsi="Arial" w:cs="Arial"/>
          <w:sz w:val="20"/>
          <w:szCs w:val="20"/>
        </w:rPr>
        <w:t>U</w:t>
      </w:r>
      <w:r w:rsidR="00DF6091" w:rsidRPr="00AC4AEA">
        <w:rPr>
          <w:rFonts w:ascii="Arial" w:hAnsi="Arial" w:cs="Arial"/>
          <w:sz w:val="20"/>
          <w:szCs w:val="20"/>
        </w:rPr>
        <w:t>na descripción de</w:t>
      </w:r>
      <w:r w:rsidR="00460FEE" w:rsidRPr="00AC4AEA">
        <w:rPr>
          <w:rFonts w:ascii="Arial" w:hAnsi="Arial" w:cs="Arial"/>
          <w:sz w:val="20"/>
          <w:szCs w:val="20"/>
        </w:rPr>
        <w:t xml:space="preserve"> cada</w:t>
      </w:r>
      <w:r w:rsidR="00DF6091" w:rsidRPr="00AC4AEA">
        <w:rPr>
          <w:rFonts w:ascii="Arial" w:hAnsi="Arial" w:cs="Arial"/>
          <w:sz w:val="20"/>
          <w:szCs w:val="20"/>
        </w:rPr>
        <w:t xml:space="preserve"> activo no corriente </w:t>
      </w:r>
      <w:r w:rsidR="002F69A6" w:rsidRPr="00AC4AEA">
        <w:rPr>
          <w:rFonts w:ascii="Arial" w:hAnsi="Arial" w:cs="Arial"/>
          <w:sz w:val="20"/>
          <w:szCs w:val="20"/>
        </w:rPr>
        <w:t>clasificado como:</w:t>
      </w:r>
    </w:p>
    <w:p w:rsidR="002F69A6" w:rsidRPr="00AC4AEA" w:rsidRDefault="002F69A6" w:rsidP="00351CB7">
      <w:pPr>
        <w:pStyle w:val="Prrafodelista"/>
        <w:numPr>
          <w:ilvl w:val="0"/>
          <w:numId w:val="324"/>
        </w:numPr>
        <w:ind w:left="1418" w:firstLine="425"/>
        <w:contextualSpacing w:val="0"/>
        <w:jc w:val="both"/>
        <w:rPr>
          <w:rFonts w:ascii="Arial" w:hAnsi="Arial" w:cs="Arial"/>
          <w:sz w:val="20"/>
          <w:szCs w:val="20"/>
        </w:rPr>
      </w:pPr>
      <w:r w:rsidRPr="00AC4AEA">
        <w:rPr>
          <w:rFonts w:ascii="Arial" w:hAnsi="Arial" w:cs="Arial"/>
          <w:sz w:val="20"/>
          <w:szCs w:val="20"/>
        </w:rPr>
        <w:t>mantenido para la venta; o</w:t>
      </w:r>
    </w:p>
    <w:p w:rsidR="002F69A6" w:rsidRPr="00AC4AEA" w:rsidRDefault="00460FEE" w:rsidP="00351CB7">
      <w:pPr>
        <w:pStyle w:val="Prrafodelista"/>
        <w:numPr>
          <w:ilvl w:val="0"/>
          <w:numId w:val="324"/>
        </w:numPr>
        <w:ind w:left="1418" w:firstLine="425"/>
        <w:contextualSpacing w:val="0"/>
        <w:jc w:val="both"/>
        <w:rPr>
          <w:rFonts w:ascii="Arial" w:hAnsi="Arial" w:cs="Arial"/>
          <w:sz w:val="20"/>
          <w:szCs w:val="20"/>
        </w:rPr>
      </w:pPr>
      <w:r w:rsidRPr="00AC4AEA">
        <w:rPr>
          <w:rFonts w:ascii="Arial" w:hAnsi="Arial" w:cs="Arial"/>
          <w:sz w:val="20"/>
          <w:szCs w:val="20"/>
        </w:rPr>
        <w:t>retirado del servicio</w:t>
      </w:r>
      <w:r w:rsidR="000F5F68" w:rsidRPr="00AC4AEA">
        <w:rPr>
          <w:rFonts w:ascii="Arial" w:hAnsi="Arial" w:cs="Arial"/>
          <w:sz w:val="20"/>
          <w:szCs w:val="20"/>
        </w:rPr>
        <w:t>.</w:t>
      </w:r>
    </w:p>
    <w:p w:rsidR="00460FEE" w:rsidRPr="00AC4AEA" w:rsidRDefault="000F5F68" w:rsidP="00A318EA">
      <w:pPr>
        <w:pStyle w:val="Prrafodelista"/>
        <w:numPr>
          <w:ilvl w:val="1"/>
          <w:numId w:val="21"/>
        </w:numPr>
        <w:ind w:left="1560" w:hanging="567"/>
        <w:contextualSpacing w:val="0"/>
        <w:jc w:val="both"/>
        <w:rPr>
          <w:rFonts w:ascii="Arial" w:hAnsi="Arial" w:cs="Arial"/>
          <w:sz w:val="20"/>
          <w:szCs w:val="20"/>
        </w:rPr>
      </w:pPr>
      <w:r w:rsidRPr="00AC4AEA">
        <w:rPr>
          <w:rFonts w:ascii="Arial" w:hAnsi="Arial" w:cs="Arial"/>
          <w:sz w:val="20"/>
          <w:szCs w:val="20"/>
        </w:rPr>
        <w:t>U</w:t>
      </w:r>
      <w:r w:rsidR="00DF6091" w:rsidRPr="00AC4AEA">
        <w:rPr>
          <w:rFonts w:ascii="Arial" w:hAnsi="Arial" w:cs="Arial"/>
          <w:sz w:val="20"/>
          <w:szCs w:val="20"/>
        </w:rPr>
        <w:t>na descripción</w:t>
      </w:r>
      <w:r w:rsidR="0098672F" w:rsidRPr="00AC4AEA">
        <w:rPr>
          <w:rFonts w:ascii="Arial" w:hAnsi="Arial" w:cs="Arial"/>
          <w:sz w:val="20"/>
          <w:szCs w:val="20"/>
        </w:rPr>
        <w:t>, según corresponda,</w:t>
      </w:r>
      <w:r w:rsidR="00DF6091" w:rsidRPr="00AC4AEA">
        <w:rPr>
          <w:rFonts w:ascii="Arial" w:hAnsi="Arial" w:cs="Arial"/>
          <w:sz w:val="20"/>
          <w:szCs w:val="20"/>
        </w:rPr>
        <w:t xml:space="preserve"> de</w:t>
      </w:r>
      <w:r w:rsidR="00460FEE" w:rsidRPr="00AC4AEA">
        <w:rPr>
          <w:rFonts w:ascii="Arial" w:hAnsi="Arial" w:cs="Arial"/>
          <w:sz w:val="20"/>
          <w:szCs w:val="20"/>
        </w:rPr>
        <w:t>:</w:t>
      </w:r>
      <w:r w:rsidR="00DF6091" w:rsidRPr="00AC4AEA">
        <w:rPr>
          <w:rFonts w:ascii="Arial" w:hAnsi="Arial" w:cs="Arial"/>
          <w:sz w:val="20"/>
          <w:szCs w:val="20"/>
        </w:rPr>
        <w:t xml:space="preserve"> </w:t>
      </w:r>
    </w:p>
    <w:p w:rsidR="00DF6091" w:rsidRPr="00AC4AEA" w:rsidRDefault="00DF6091" w:rsidP="00351CB7">
      <w:pPr>
        <w:pStyle w:val="Prrafodelista"/>
        <w:numPr>
          <w:ilvl w:val="0"/>
          <w:numId w:val="325"/>
        </w:numPr>
        <w:ind w:left="1985"/>
        <w:contextualSpacing w:val="0"/>
        <w:jc w:val="both"/>
        <w:rPr>
          <w:rFonts w:ascii="Arial" w:hAnsi="Arial" w:cs="Arial"/>
          <w:sz w:val="20"/>
          <w:szCs w:val="20"/>
        </w:rPr>
      </w:pPr>
      <w:r w:rsidRPr="00AC4AEA">
        <w:rPr>
          <w:rFonts w:ascii="Arial" w:hAnsi="Arial" w:cs="Arial"/>
          <w:sz w:val="20"/>
          <w:szCs w:val="20"/>
        </w:rPr>
        <w:t>los hechos y circunstancias de la venta, o de los que hayan llevado a decidir la venta o disposición esperada, así como la forma y momento esperados para dicha disposición;</w:t>
      </w:r>
      <w:r w:rsidR="00460FEE" w:rsidRPr="00AC4AEA">
        <w:rPr>
          <w:rFonts w:ascii="Arial" w:hAnsi="Arial" w:cs="Arial"/>
          <w:sz w:val="20"/>
          <w:szCs w:val="20"/>
        </w:rPr>
        <w:t xml:space="preserve"> o</w:t>
      </w:r>
    </w:p>
    <w:p w:rsidR="00460FEE" w:rsidRPr="00AC4AEA" w:rsidRDefault="0098672F" w:rsidP="00351CB7">
      <w:pPr>
        <w:pStyle w:val="Prrafodelista"/>
        <w:numPr>
          <w:ilvl w:val="0"/>
          <w:numId w:val="325"/>
        </w:numPr>
        <w:ind w:left="1985"/>
        <w:contextualSpacing w:val="0"/>
        <w:jc w:val="both"/>
        <w:rPr>
          <w:rFonts w:ascii="Arial" w:hAnsi="Arial" w:cs="Arial"/>
          <w:sz w:val="20"/>
          <w:szCs w:val="20"/>
        </w:rPr>
      </w:pPr>
      <w:r w:rsidRPr="00AC4AEA">
        <w:rPr>
          <w:rFonts w:ascii="Arial" w:hAnsi="Arial" w:cs="Arial"/>
          <w:sz w:val="20"/>
          <w:szCs w:val="20"/>
        </w:rPr>
        <w:t>los hechos o circunstancias que motivaron el retiro del servicio</w:t>
      </w:r>
      <w:r w:rsidR="000F5F68" w:rsidRPr="00AC4AEA">
        <w:rPr>
          <w:rFonts w:ascii="Arial" w:hAnsi="Arial" w:cs="Arial"/>
          <w:sz w:val="20"/>
          <w:szCs w:val="20"/>
        </w:rPr>
        <w:t>.</w:t>
      </w:r>
    </w:p>
    <w:p w:rsidR="00442BC7" w:rsidRPr="00AC4AEA" w:rsidRDefault="000F5F68" w:rsidP="00A318EA">
      <w:pPr>
        <w:pStyle w:val="Prrafodelista"/>
        <w:numPr>
          <w:ilvl w:val="1"/>
          <w:numId w:val="21"/>
        </w:numPr>
        <w:ind w:left="1560" w:hanging="567"/>
        <w:contextualSpacing w:val="0"/>
        <w:jc w:val="both"/>
        <w:rPr>
          <w:rFonts w:ascii="Arial" w:hAnsi="Arial" w:cs="Arial"/>
          <w:sz w:val="20"/>
          <w:szCs w:val="20"/>
        </w:rPr>
      </w:pPr>
      <w:r w:rsidRPr="00AC4AEA">
        <w:rPr>
          <w:rFonts w:ascii="Arial" w:hAnsi="Arial" w:cs="Arial"/>
          <w:sz w:val="20"/>
          <w:szCs w:val="20"/>
        </w:rPr>
        <w:t>L</w:t>
      </w:r>
      <w:r w:rsidR="00DF6091" w:rsidRPr="00AC4AEA">
        <w:rPr>
          <w:rFonts w:ascii="Arial" w:hAnsi="Arial" w:cs="Arial"/>
          <w:sz w:val="20"/>
          <w:szCs w:val="20"/>
        </w:rPr>
        <w:t xml:space="preserve">a </w:t>
      </w:r>
      <w:r w:rsidR="00DF6091" w:rsidRPr="00AC4AEA">
        <w:rPr>
          <w:rFonts w:ascii="Arial" w:hAnsi="Arial" w:cs="Arial"/>
          <w:b/>
          <w:bCs/>
          <w:sz w:val="20"/>
          <w:szCs w:val="20"/>
        </w:rPr>
        <w:t xml:space="preserve">ganancia </w:t>
      </w:r>
      <w:r w:rsidR="00DF6091" w:rsidRPr="00AC4AEA">
        <w:rPr>
          <w:rFonts w:ascii="Arial" w:hAnsi="Arial" w:cs="Arial"/>
          <w:sz w:val="20"/>
          <w:szCs w:val="20"/>
        </w:rPr>
        <w:t xml:space="preserve">o </w:t>
      </w:r>
      <w:r w:rsidR="00DF6091" w:rsidRPr="00AC4AEA">
        <w:rPr>
          <w:rFonts w:ascii="Arial" w:hAnsi="Arial" w:cs="Arial"/>
          <w:b/>
          <w:bCs/>
          <w:sz w:val="20"/>
          <w:szCs w:val="20"/>
        </w:rPr>
        <w:t xml:space="preserve">pérdida </w:t>
      </w:r>
      <w:r w:rsidR="00DD1BD4">
        <w:rPr>
          <w:rFonts w:ascii="Arial" w:hAnsi="Arial" w:cs="Arial"/>
          <w:sz w:val="20"/>
          <w:szCs w:val="20"/>
        </w:rPr>
        <w:t>presentadas</w:t>
      </w:r>
      <w:r w:rsidR="00DF6091" w:rsidRPr="00AC4AEA">
        <w:rPr>
          <w:rFonts w:ascii="Arial" w:hAnsi="Arial" w:cs="Arial"/>
          <w:sz w:val="20"/>
          <w:szCs w:val="20"/>
        </w:rPr>
        <w:t xml:space="preserve"> de acuerdo con </w:t>
      </w:r>
      <w:r w:rsidR="0098672F" w:rsidRPr="00AC4AEA">
        <w:rPr>
          <w:rFonts w:ascii="Arial" w:hAnsi="Arial" w:cs="Arial"/>
          <w:sz w:val="20"/>
          <w:szCs w:val="20"/>
        </w:rPr>
        <w:t>el</w:t>
      </w:r>
      <w:r w:rsidR="00DF6091" w:rsidRPr="00AC4AEA">
        <w:rPr>
          <w:rFonts w:ascii="Arial" w:hAnsi="Arial" w:cs="Arial"/>
          <w:sz w:val="20"/>
          <w:szCs w:val="20"/>
        </w:rPr>
        <w:t xml:space="preserve"> párrafo </w:t>
      </w:r>
      <w:fldSimple w:instr=" REF _Ref102775383 \r \h  \* MERGEFORMAT ">
        <w:r w:rsidR="00D33A5D" w:rsidRPr="00D33A5D">
          <w:rPr>
            <w:rFonts w:ascii="Arial" w:hAnsi="Arial" w:cs="Arial"/>
            <w:sz w:val="20"/>
            <w:szCs w:val="20"/>
          </w:rPr>
          <w:t>428</w:t>
        </w:r>
      </w:fldSimple>
      <w:r w:rsidR="007E2A61" w:rsidRPr="00AC4AEA">
        <w:rPr>
          <w:rFonts w:ascii="Arial" w:hAnsi="Arial" w:cs="Arial"/>
          <w:sz w:val="20"/>
          <w:szCs w:val="20"/>
        </w:rPr>
        <w:t>.</w:t>
      </w:r>
    </w:p>
    <w:p w:rsidR="00442BC7" w:rsidRPr="00AC4AEA" w:rsidRDefault="00C02E79" w:rsidP="00A318EA">
      <w:pPr>
        <w:pStyle w:val="Prrafodelista"/>
        <w:numPr>
          <w:ilvl w:val="0"/>
          <w:numId w:val="29"/>
        </w:numPr>
        <w:contextualSpacing w:val="0"/>
        <w:jc w:val="both"/>
        <w:rPr>
          <w:rFonts w:ascii="Arial" w:hAnsi="Arial" w:cs="Arial"/>
          <w:sz w:val="20"/>
          <w:szCs w:val="20"/>
        </w:rPr>
      </w:pPr>
      <w:r>
        <w:rPr>
          <w:rFonts w:ascii="Arial" w:hAnsi="Arial" w:cs="Arial"/>
          <w:sz w:val="20"/>
          <w:szCs w:val="20"/>
        </w:rPr>
        <w:t>Además, u</w:t>
      </w:r>
      <w:r w:rsidR="00442BC7" w:rsidRPr="00AC4AEA">
        <w:rPr>
          <w:rFonts w:ascii="Arial" w:hAnsi="Arial" w:cs="Arial"/>
          <w:sz w:val="20"/>
          <w:szCs w:val="20"/>
        </w:rPr>
        <w:t xml:space="preserve">na entidad revelará los bienes </w:t>
      </w:r>
      <w:r w:rsidR="005E7161" w:rsidRPr="00AC4AEA">
        <w:rPr>
          <w:rFonts w:ascii="Arial" w:hAnsi="Arial" w:cs="Arial"/>
          <w:sz w:val="20"/>
          <w:szCs w:val="20"/>
        </w:rPr>
        <w:t>retirados del servicio con</w:t>
      </w:r>
      <w:r w:rsidR="00442BC7" w:rsidRPr="00AC4AEA">
        <w:rPr>
          <w:rFonts w:ascii="Arial" w:hAnsi="Arial" w:cs="Arial"/>
          <w:sz w:val="20"/>
          <w:szCs w:val="20"/>
        </w:rPr>
        <w:t xml:space="preserve"> disponibilidad restringida</w:t>
      </w:r>
      <w:r w:rsidR="005E7161" w:rsidRPr="00AC4AEA">
        <w:rPr>
          <w:rFonts w:ascii="Arial" w:hAnsi="Arial" w:cs="Arial"/>
          <w:sz w:val="20"/>
          <w:szCs w:val="20"/>
        </w:rPr>
        <w:t>,</w:t>
      </w:r>
      <w:r w:rsidR="00442BC7" w:rsidRPr="00AC4AEA">
        <w:rPr>
          <w:rFonts w:ascii="Arial" w:hAnsi="Arial" w:cs="Arial"/>
          <w:sz w:val="20"/>
          <w:szCs w:val="20"/>
        </w:rPr>
        <w:t xml:space="preserve"> individualizando:</w:t>
      </w:r>
    </w:p>
    <w:p w:rsidR="00442BC7" w:rsidRPr="00AC4AEA" w:rsidRDefault="007E2A61" w:rsidP="00A318EA">
      <w:pPr>
        <w:pStyle w:val="Prrafodelista"/>
        <w:numPr>
          <w:ilvl w:val="1"/>
          <w:numId w:val="442"/>
        </w:numPr>
        <w:ind w:left="1560" w:hanging="567"/>
        <w:contextualSpacing w:val="0"/>
        <w:jc w:val="both"/>
        <w:rPr>
          <w:rFonts w:ascii="Arial" w:hAnsi="Arial" w:cs="Arial"/>
          <w:sz w:val="20"/>
          <w:szCs w:val="20"/>
        </w:rPr>
      </w:pPr>
      <w:r w:rsidRPr="00AC4AEA">
        <w:rPr>
          <w:rFonts w:ascii="Arial" w:hAnsi="Arial" w:cs="Arial"/>
          <w:sz w:val="20"/>
          <w:szCs w:val="20"/>
        </w:rPr>
        <w:t>l</w:t>
      </w:r>
      <w:r w:rsidR="00442BC7" w:rsidRPr="00AC4AEA">
        <w:rPr>
          <w:rFonts w:ascii="Arial" w:hAnsi="Arial" w:cs="Arial"/>
          <w:sz w:val="20"/>
          <w:szCs w:val="20"/>
        </w:rPr>
        <w:t>as causas (legales, contractuales o situaciones de hecho) que limitan su disponibilidad y las mediciones contables correspondientes</w:t>
      </w:r>
      <w:r w:rsidRPr="00AC4AEA">
        <w:rPr>
          <w:rFonts w:ascii="Arial" w:hAnsi="Arial" w:cs="Arial"/>
          <w:sz w:val="20"/>
          <w:szCs w:val="20"/>
        </w:rPr>
        <w:t>;</w:t>
      </w:r>
      <w:r w:rsidR="00EA4A21" w:rsidRPr="00AC4AEA">
        <w:rPr>
          <w:rFonts w:ascii="Arial" w:hAnsi="Arial" w:cs="Arial"/>
          <w:sz w:val="20"/>
          <w:szCs w:val="20"/>
        </w:rPr>
        <w:t xml:space="preserve"> y</w:t>
      </w:r>
    </w:p>
    <w:p w:rsidR="00442BC7" w:rsidRPr="00AC4AEA" w:rsidRDefault="007E2A61" w:rsidP="00A318EA">
      <w:pPr>
        <w:pStyle w:val="Prrafodelista"/>
        <w:numPr>
          <w:ilvl w:val="1"/>
          <w:numId w:val="442"/>
        </w:numPr>
        <w:ind w:left="1560" w:hanging="567"/>
        <w:contextualSpacing w:val="0"/>
        <w:jc w:val="both"/>
        <w:rPr>
          <w:rFonts w:ascii="Arial" w:hAnsi="Arial" w:cs="Arial"/>
          <w:sz w:val="20"/>
          <w:szCs w:val="20"/>
        </w:rPr>
      </w:pPr>
      <w:r w:rsidRPr="00AC4AEA">
        <w:rPr>
          <w:rFonts w:ascii="Arial" w:hAnsi="Arial" w:cs="Arial"/>
          <w:sz w:val="20"/>
          <w:szCs w:val="20"/>
        </w:rPr>
        <w:t>l</w:t>
      </w:r>
      <w:r w:rsidR="00442BC7" w:rsidRPr="00AC4AEA">
        <w:rPr>
          <w:rFonts w:ascii="Arial" w:hAnsi="Arial" w:cs="Arial"/>
          <w:sz w:val="20"/>
          <w:szCs w:val="20"/>
        </w:rPr>
        <w:t xml:space="preserve">os componentes que no podrán ser enajenados hasta tanto se cancelen determinados </w:t>
      </w:r>
      <w:r w:rsidR="00497590" w:rsidRPr="00AC4AEA">
        <w:rPr>
          <w:rFonts w:ascii="Arial" w:hAnsi="Arial" w:cs="Arial"/>
          <w:sz w:val="20"/>
          <w:szCs w:val="20"/>
        </w:rPr>
        <w:t>pasivos</w:t>
      </w:r>
      <w:r w:rsidR="00442BC7" w:rsidRPr="00AC4AEA">
        <w:rPr>
          <w:rFonts w:ascii="Arial" w:hAnsi="Arial" w:cs="Arial"/>
          <w:sz w:val="20"/>
          <w:szCs w:val="20"/>
        </w:rPr>
        <w:t xml:space="preserve">, indicándose su medición contable y la de los </w:t>
      </w:r>
      <w:r w:rsidR="00497590" w:rsidRPr="00AC4AEA">
        <w:rPr>
          <w:rFonts w:ascii="Arial" w:hAnsi="Arial" w:cs="Arial"/>
          <w:sz w:val="20"/>
          <w:szCs w:val="20"/>
        </w:rPr>
        <w:t>pasivos</w:t>
      </w:r>
      <w:r w:rsidR="00442BC7" w:rsidRPr="00AC4AEA">
        <w:rPr>
          <w:rFonts w:ascii="Arial" w:hAnsi="Arial" w:cs="Arial"/>
          <w:sz w:val="20"/>
          <w:szCs w:val="20"/>
        </w:rPr>
        <w:t xml:space="preserve"> relacionados.</w:t>
      </w:r>
    </w:p>
    <w:p w:rsidR="004F7CE2" w:rsidRPr="00AC4AEA" w:rsidRDefault="004F7CE2" w:rsidP="00A318EA">
      <w:pPr>
        <w:pStyle w:val="A-doctorado"/>
        <w:rPr>
          <w:rStyle w:val="Textoennegrita"/>
          <w:rFonts w:ascii="Arial" w:hAnsi="Arial"/>
          <w:color w:val="auto"/>
          <w:sz w:val="20"/>
          <w:szCs w:val="20"/>
        </w:rPr>
      </w:pPr>
    </w:p>
    <w:p w:rsidR="00442BC7" w:rsidRPr="00AC4AEA" w:rsidRDefault="00442BC7" w:rsidP="00A318EA">
      <w:pPr>
        <w:pStyle w:val="Ttulo3"/>
      </w:pPr>
      <w:bookmarkStart w:id="603" w:name="_Toc101863907"/>
      <w:bookmarkStart w:id="604" w:name="_Toc139356774"/>
      <w:r w:rsidRPr="00AC4AEA">
        <w:t xml:space="preserve">Revelaciones sobre </w:t>
      </w:r>
      <w:r w:rsidR="00DA6405" w:rsidRPr="00AC4AEA">
        <w:t xml:space="preserve">valor </w:t>
      </w:r>
      <w:r w:rsidR="00FE1A71" w:rsidRPr="00AC4AEA">
        <w:t>neto de realización</w:t>
      </w:r>
      <w:bookmarkEnd w:id="603"/>
      <w:bookmarkEnd w:id="604"/>
    </w:p>
    <w:p w:rsidR="00442BC7" w:rsidRPr="00AC4AEA" w:rsidRDefault="00442BC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los casos de medición sobre la base de</w:t>
      </w:r>
      <w:r w:rsidR="00FE1A71" w:rsidRPr="00AC4AEA">
        <w:rPr>
          <w:rFonts w:ascii="Arial" w:hAnsi="Arial" w:cs="Arial"/>
          <w:sz w:val="20"/>
          <w:szCs w:val="20"/>
        </w:rPr>
        <w:t xml:space="preserve">l </w:t>
      </w:r>
      <w:r w:rsidR="00FE1A71" w:rsidRPr="00AC4AEA">
        <w:rPr>
          <w:rFonts w:ascii="Arial" w:hAnsi="Arial" w:cs="Arial"/>
          <w:b/>
          <w:bCs/>
          <w:sz w:val="20"/>
          <w:szCs w:val="20"/>
        </w:rPr>
        <w:t>valor neto de realización</w:t>
      </w:r>
      <w:r w:rsidRPr="00AC4AEA">
        <w:rPr>
          <w:rFonts w:ascii="Arial" w:hAnsi="Arial" w:cs="Arial"/>
          <w:sz w:val="20"/>
          <w:szCs w:val="20"/>
        </w:rPr>
        <w:t xml:space="preserve">, una entidad </w:t>
      </w:r>
      <w:r w:rsidR="00FE1A71" w:rsidRPr="00AC4AEA">
        <w:rPr>
          <w:rFonts w:ascii="Arial" w:hAnsi="Arial" w:cs="Arial"/>
          <w:sz w:val="20"/>
          <w:szCs w:val="20"/>
        </w:rPr>
        <w:t xml:space="preserve">revelará </w:t>
      </w:r>
      <w:r w:rsidRPr="00AC4AEA">
        <w:rPr>
          <w:rFonts w:ascii="Arial" w:hAnsi="Arial" w:cs="Arial"/>
          <w:sz w:val="20"/>
          <w:szCs w:val="20"/>
        </w:rPr>
        <w:t>la siguiente información:</w:t>
      </w:r>
      <w:r w:rsidR="00835565" w:rsidRPr="00AC4AEA">
        <w:rPr>
          <w:rFonts w:ascii="Arial" w:hAnsi="Arial" w:cs="Arial"/>
          <w:sz w:val="20"/>
          <w:szCs w:val="20"/>
        </w:rPr>
        <w:t xml:space="preserve"> </w:t>
      </w:r>
    </w:p>
    <w:p w:rsidR="00442BC7" w:rsidRPr="00AC4AEA" w:rsidRDefault="007E2A61" w:rsidP="00A318EA">
      <w:pPr>
        <w:pStyle w:val="Prrafodelista"/>
        <w:numPr>
          <w:ilvl w:val="0"/>
          <w:numId w:val="120"/>
        </w:numPr>
        <w:ind w:left="1560"/>
        <w:contextualSpacing w:val="0"/>
        <w:jc w:val="both"/>
        <w:rPr>
          <w:rFonts w:ascii="Arial" w:hAnsi="Arial" w:cs="Arial"/>
          <w:sz w:val="20"/>
          <w:szCs w:val="20"/>
        </w:rPr>
      </w:pPr>
      <w:r w:rsidRPr="00AC4AEA">
        <w:rPr>
          <w:rFonts w:ascii="Arial" w:hAnsi="Arial" w:cs="Arial"/>
          <w:sz w:val="20"/>
          <w:szCs w:val="20"/>
        </w:rPr>
        <w:t>f</w:t>
      </w:r>
      <w:r w:rsidR="00442BC7" w:rsidRPr="00AC4AEA">
        <w:rPr>
          <w:rFonts w:ascii="Arial" w:hAnsi="Arial" w:cs="Arial"/>
          <w:sz w:val="20"/>
          <w:szCs w:val="20"/>
        </w:rPr>
        <w:t xml:space="preserve">echas en las cuales </w:t>
      </w:r>
      <w:r w:rsidR="00082937" w:rsidRPr="00AC4AEA">
        <w:rPr>
          <w:rFonts w:ascii="Arial" w:hAnsi="Arial" w:cs="Arial"/>
          <w:sz w:val="20"/>
          <w:szCs w:val="20"/>
        </w:rPr>
        <w:t>midió</w:t>
      </w:r>
      <w:r w:rsidR="00442BC7" w:rsidRPr="00AC4AEA">
        <w:rPr>
          <w:rFonts w:ascii="Arial" w:hAnsi="Arial" w:cs="Arial"/>
          <w:sz w:val="20"/>
          <w:szCs w:val="20"/>
        </w:rPr>
        <w:t xml:space="preserve"> cada uno de los </w:t>
      </w:r>
      <w:r w:rsidR="00497590" w:rsidRPr="00AC4AEA">
        <w:rPr>
          <w:rFonts w:ascii="Arial" w:hAnsi="Arial" w:cs="Arial"/>
          <w:sz w:val="20"/>
          <w:szCs w:val="20"/>
        </w:rPr>
        <w:t>activos</w:t>
      </w:r>
      <w:r w:rsidR="00442BC7" w:rsidRPr="00AC4AEA">
        <w:rPr>
          <w:rFonts w:ascii="Arial" w:hAnsi="Arial" w:cs="Arial"/>
          <w:sz w:val="20"/>
          <w:szCs w:val="20"/>
        </w:rPr>
        <w:t xml:space="preserve"> no corrientes mantenidos para la venta (incluyendo los retirados de servicio);</w:t>
      </w:r>
      <w:r w:rsidR="00835565" w:rsidRPr="00AC4AEA">
        <w:rPr>
          <w:rFonts w:ascii="Arial" w:hAnsi="Arial" w:cs="Arial"/>
          <w:sz w:val="20"/>
          <w:szCs w:val="20"/>
        </w:rPr>
        <w:t xml:space="preserve"> </w:t>
      </w:r>
    </w:p>
    <w:p w:rsidR="00442BC7" w:rsidRPr="00AC4AEA" w:rsidRDefault="007E2A61" w:rsidP="00A318EA">
      <w:pPr>
        <w:pStyle w:val="Prrafodelista"/>
        <w:numPr>
          <w:ilvl w:val="0"/>
          <w:numId w:val="120"/>
        </w:numPr>
        <w:ind w:left="1560"/>
        <w:contextualSpacing w:val="0"/>
        <w:jc w:val="both"/>
        <w:rPr>
          <w:rFonts w:ascii="Arial" w:hAnsi="Arial" w:cs="Arial"/>
          <w:sz w:val="20"/>
          <w:szCs w:val="20"/>
        </w:rPr>
      </w:pPr>
      <w:r w:rsidRPr="00AC4AEA">
        <w:rPr>
          <w:rFonts w:ascii="Arial" w:hAnsi="Arial" w:cs="Arial"/>
          <w:sz w:val="20"/>
          <w:szCs w:val="20"/>
        </w:rPr>
        <w:t>i</w:t>
      </w:r>
      <w:r w:rsidR="00442BC7" w:rsidRPr="00AC4AEA">
        <w:rPr>
          <w:rFonts w:ascii="Arial" w:hAnsi="Arial" w:cs="Arial"/>
          <w:sz w:val="20"/>
          <w:szCs w:val="20"/>
        </w:rPr>
        <w:t>ndicación acerca de</w:t>
      </w:r>
      <w:r w:rsidR="00307B75" w:rsidRPr="00AC4AEA">
        <w:rPr>
          <w:rFonts w:ascii="Arial" w:hAnsi="Arial" w:cs="Arial"/>
          <w:sz w:val="20"/>
          <w:szCs w:val="20"/>
        </w:rPr>
        <w:t xml:space="preserve"> si</w:t>
      </w:r>
      <w:r w:rsidR="00442BC7" w:rsidRPr="00AC4AEA">
        <w:rPr>
          <w:rFonts w:ascii="Arial" w:hAnsi="Arial" w:cs="Arial"/>
          <w:sz w:val="20"/>
          <w:szCs w:val="20"/>
        </w:rPr>
        <w:t xml:space="preserve"> </w:t>
      </w:r>
      <w:r w:rsidR="00082937" w:rsidRPr="00AC4AEA">
        <w:rPr>
          <w:rFonts w:ascii="Arial" w:hAnsi="Arial" w:cs="Arial"/>
          <w:sz w:val="20"/>
          <w:szCs w:val="20"/>
        </w:rPr>
        <w:t>practicó la medición con</w:t>
      </w:r>
      <w:r w:rsidR="00442BC7" w:rsidRPr="00AC4AEA">
        <w:rPr>
          <w:rFonts w:ascii="Arial" w:hAnsi="Arial" w:cs="Arial"/>
          <w:sz w:val="20"/>
          <w:szCs w:val="20"/>
        </w:rPr>
        <w:t xml:space="preserve"> personal propio o mediante los servicios de un tasador o especialista en valuaciones</w:t>
      </w:r>
      <w:r w:rsidR="004E3F29" w:rsidRPr="00AC4AEA">
        <w:rPr>
          <w:rFonts w:ascii="Arial" w:hAnsi="Arial" w:cs="Arial"/>
          <w:sz w:val="20"/>
          <w:szCs w:val="20"/>
        </w:rPr>
        <w:t>,</w:t>
      </w:r>
      <w:r w:rsidR="00442BC7" w:rsidRPr="00AC4AEA">
        <w:rPr>
          <w:rFonts w:ascii="Arial" w:hAnsi="Arial" w:cs="Arial"/>
          <w:sz w:val="20"/>
          <w:szCs w:val="20"/>
        </w:rPr>
        <w:t xml:space="preserve"> </w:t>
      </w:r>
      <w:r w:rsidR="00082937" w:rsidRPr="00AC4AEA">
        <w:rPr>
          <w:rFonts w:ascii="Arial" w:hAnsi="Arial" w:cs="Arial"/>
          <w:sz w:val="20"/>
          <w:szCs w:val="20"/>
        </w:rPr>
        <w:t>idóneo e independiente</w:t>
      </w:r>
      <w:r w:rsidR="00442BC7" w:rsidRPr="00AC4AEA">
        <w:rPr>
          <w:rFonts w:ascii="Arial" w:hAnsi="Arial" w:cs="Arial"/>
          <w:sz w:val="20"/>
          <w:szCs w:val="20"/>
        </w:rPr>
        <w:t xml:space="preserve"> respecto de la entidad;</w:t>
      </w:r>
      <w:r w:rsidR="00835565" w:rsidRPr="00AC4AEA">
        <w:rPr>
          <w:rFonts w:ascii="Arial" w:hAnsi="Arial" w:cs="Arial"/>
          <w:sz w:val="20"/>
          <w:szCs w:val="20"/>
        </w:rPr>
        <w:t xml:space="preserve"> </w:t>
      </w:r>
    </w:p>
    <w:p w:rsidR="00442BC7" w:rsidRPr="00AC4AEA" w:rsidRDefault="007E2A61" w:rsidP="00A318EA">
      <w:pPr>
        <w:pStyle w:val="Prrafodelista"/>
        <w:numPr>
          <w:ilvl w:val="0"/>
          <w:numId w:val="120"/>
        </w:numPr>
        <w:ind w:left="1560"/>
        <w:contextualSpacing w:val="0"/>
        <w:jc w:val="both"/>
        <w:rPr>
          <w:rFonts w:ascii="Arial" w:hAnsi="Arial" w:cs="Arial"/>
          <w:sz w:val="20"/>
          <w:szCs w:val="20"/>
        </w:rPr>
      </w:pPr>
      <w:r w:rsidRPr="00AC4AEA">
        <w:rPr>
          <w:rFonts w:ascii="Arial" w:hAnsi="Arial" w:cs="Arial"/>
          <w:sz w:val="20"/>
          <w:szCs w:val="20"/>
        </w:rPr>
        <w:t>d</w:t>
      </w:r>
      <w:r w:rsidR="00442BC7" w:rsidRPr="00AC4AEA">
        <w:rPr>
          <w:rFonts w:ascii="Arial" w:hAnsi="Arial" w:cs="Arial"/>
          <w:sz w:val="20"/>
          <w:szCs w:val="20"/>
        </w:rPr>
        <w:t xml:space="preserve">etalle de los métodos </w:t>
      </w:r>
      <w:r w:rsidR="00082937" w:rsidRPr="00AC4AEA">
        <w:rPr>
          <w:rFonts w:ascii="Arial" w:hAnsi="Arial" w:cs="Arial"/>
          <w:sz w:val="20"/>
          <w:szCs w:val="20"/>
        </w:rPr>
        <w:t>e</w:t>
      </w:r>
      <w:r w:rsidR="00442BC7" w:rsidRPr="00AC4AEA">
        <w:rPr>
          <w:rFonts w:ascii="Arial" w:hAnsi="Arial" w:cs="Arial"/>
          <w:sz w:val="20"/>
          <w:szCs w:val="20"/>
        </w:rPr>
        <w:t xml:space="preserve"> hipótesis significativas utilizadas en la estimación de</w:t>
      </w:r>
      <w:r w:rsidR="00082937" w:rsidRPr="00AC4AEA">
        <w:rPr>
          <w:rFonts w:ascii="Arial" w:hAnsi="Arial" w:cs="Arial"/>
          <w:sz w:val="20"/>
          <w:szCs w:val="20"/>
        </w:rPr>
        <w:t>l</w:t>
      </w:r>
      <w:r w:rsidR="00442BC7" w:rsidRPr="00AC4AEA">
        <w:rPr>
          <w:rFonts w:ascii="Arial" w:hAnsi="Arial" w:cs="Arial"/>
          <w:sz w:val="20"/>
          <w:szCs w:val="20"/>
        </w:rPr>
        <w:t xml:space="preserve"> </w:t>
      </w:r>
      <w:r w:rsidR="00DA6405" w:rsidRPr="00AC4AEA">
        <w:rPr>
          <w:rFonts w:ascii="Arial" w:hAnsi="Arial" w:cs="Arial"/>
          <w:b/>
          <w:bCs/>
          <w:sz w:val="20"/>
          <w:szCs w:val="20"/>
        </w:rPr>
        <w:t xml:space="preserve">valor </w:t>
      </w:r>
      <w:r w:rsidR="00FE1A71" w:rsidRPr="00AC4AEA">
        <w:rPr>
          <w:rFonts w:ascii="Arial" w:hAnsi="Arial" w:cs="Arial"/>
          <w:b/>
          <w:bCs/>
          <w:sz w:val="20"/>
          <w:szCs w:val="20"/>
        </w:rPr>
        <w:t>neto de realización</w:t>
      </w:r>
      <w:r w:rsidR="00442BC7" w:rsidRPr="00AC4AEA">
        <w:rPr>
          <w:rFonts w:ascii="Arial" w:hAnsi="Arial" w:cs="Arial"/>
          <w:sz w:val="20"/>
          <w:szCs w:val="20"/>
        </w:rPr>
        <w:t>;</w:t>
      </w:r>
    </w:p>
    <w:p w:rsidR="00442BC7" w:rsidRPr="00AC4AEA" w:rsidRDefault="007E2A61" w:rsidP="00A318EA">
      <w:pPr>
        <w:pStyle w:val="Prrafodelista"/>
        <w:numPr>
          <w:ilvl w:val="0"/>
          <w:numId w:val="120"/>
        </w:numPr>
        <w:ind w:left="1560"/>
        <w:contextualSpacing w:val="0"/>
        <w:jc w:val="both"/>
        <w:rPr>
          <w:rFonts w:ascii="Arial" w:hAnsi="Arial" w:cs="Arial"/>
          <w:sz w:val="20"/>
          <w:szCs w:val="20"/>
        </w:rPr>
      </w:pPr>
      <w:r w:rsidRPr="00AC4AEA">
        <w:rPr>
          <w:rFonts w:ascii="Arial" w:hAnsi="Arial" w:cs="Arial"/>
          <w:sz w:val="20"/>
          <w:szCs w:val="20"/>
        </w:rPr>
        <w:lastRenderedPageBreak/>
        <w:t>m</w:t>
      </w:r>
      <w:r w:rsidR="00442BC7" w:rsidRPr="00AC4AEA">
        <w:rPr>
          <w:rFonts w:ascii="Arial" w:hAnsi="Arial" w:cs="Arial"/>
          <w:sz w:val="20"/>
          <w:szCs w:val="20"/>
        </w:rPr>
        <w:t xml:space="preserve">anifestación acerca de </w:t>
      </w:r>
      <w:r w:rsidR="00082937" w:rsidRPr="00AC4AEA">
        <w:rPr>
          <w:rFonts w:ascii="Arial" w:hAnsi="Arial" w:cs="Arial"/>
          <w:sz w:val="20"/>
          <w:szCs w:val="20"/>
        </w:rPr>
        <w:t>las bases utilizadas para medir el</w:t>
      </w:r>
      <w:r w:rsidR="00442BC7" w:rsidRPr="00AC4AEA">
        <w:rPr>
          <w:rFonts w:ascii="Arial" w:hAnsi="Arial" w:cs="Arial"/>
          <w:sz w:val="20"/>
          <w:szCs w:val="20"/>
        </w:rPr>
        <w:t xml:space="preserve"> </w:t>
      </w:r>
      <w:r w:rsidR="00DA6405" w:rsidRPr="00AC4AEA">
        <w:rPr>
          <w:rFonts w:ascii="Arial" w:hAnsi="Arial" w:cs="Arial"/>
          <w:b/>
          <w:bCs/>
          <w:sz w:val="20"/>
          <w:szCs w:val="20"/>
        </w:rPr>
        <w:t xml:space="preserve">valor </w:t>
      </w:r>
      <w:r w:rsidR="00FE1A71" w:rsidRPr="00AC4AEA">
        <w:rPr>
          <w:rFonts w:ascii="Arial" w:hAnsi="Arial" w:cs="Arial"/>
          <w:b/>
          <w:bCs/>
          <w:sz w:val="20"/>
          <w:szCs w:val="20"/>
        </w:rPr>
        <w:t>neto de realización</w:t>
      </w:r>
      <w:r w:rsidR="00442BC7" w:rsidRPr="00AC4AEA">
        <w:rPr>
          <w:rFonts w:ascii="Arial" w:hAnsi="Arial" w:cs="Arial"/>
          <w:sz w:val="20"/>
          <w:szCs w:val="20"/>
        </w:rPr>
        <w:t xml:space="preserve"> </w:t>
      </w:r>
      <w:r w:rsidR="00BE0E82" w:rsidRPr="00AC4AEA">
        <w:rPr>
          <w:rFonts w:ascii="Arial" w:hAnsi="Arial" w:cs="Arial"/>
          <w:sz w:val="20"/>
          <w:szCs w:val="20"/>
        </w:rPr>
        <w:t xml:space="preserve">(precios observables en un </w:t>
      </w:r>
      <w:r w:rsidR="00BE0E82" w:rsidRPr="00AC4AEA">
        <w:rPr>
          <w:rFonts w:ascii="Arial" w:hAnsi="Arial" w:cs="Arial"/>
          <w:b/>
          <w:bCs/>
          <w:sz w:val="20"/>
          <w:szCs w:val="20"/>
        </w:rPr>
        <w:t>mercado activo</w:t>
      </w:r>
      <w:r w:rsidR="00BE0E82" w:rsidRPr="00AC4AEA">
        <w:rPr>
          <w:rFonts w:ascii="Arial" w:hAnsi="Arial" w:cs="Arial"/>
          <w:sz w:val="20"/>
          <w:szCs w:val="20"/>
        </w:rPr>
        <w:t>, transacciones de mercado recientes o técnicas de valuación)</w:t>
      </w:r>
      <w:r w:rsidRPr="00AC4AEA">
        <w:rPr>
          <w:rFonts w:ascii="Arial" w:hAnsi="Arial" w:cs="Arial"/>
          <w:sz w:val="20"/>
          <w:szCs w:val="20"/>
        </w:rPr>
        <w:t>;</w:t>
      </w:r>
      <w:r w:rsidR="00EA4A21" w:rsidRPr="00AC4AEA">
        <w:rPr>
          <w:rFonts w:ascii="Arial" w:hAnsi="Arial" w:cs="Arial"/>
          <w:sz w:val="20"/>
          <w:szCs w:val="20"/>
        </w:rPr>
        <w:t xml:space="preserve"> y</w:t>
      </w:r>
    </w:p>
    <w:p w:rsidR="00442BC7" w:rsidRPr="00AC4AEA" w:rsidRDefault="007E2A61" w:rsidP="00A318EA">
      <w:pPr>
        <w:pStyle w:val="Prrafodelista"/>
        <w:numPr>
          <w:ilvl w:val="0"/>
          <w:numId w:val="120"/>
        </w:numPr>
        <w:ind w:left="1560"/>
        <w:contextualSpacing w:val="0"/>
        <w:jc w:val="both"/>
        <w:rPr>
          <w:rFonts w:ascii="Arial" w:hAnsi="Arial" w:cs="Arial"/>
          <w:sz w:val="20"/>
          <w:szCs w:val="20"/>
        </w:rPr>
      </w:pPr>
      <w:r w:rsidRPr="00AC4AEA">
        <w:rPr>
          <w:rFonts w:ascii="Arial" w:hAnsi="Arial" w:cs="Arial"/>
          <w:sz w:val="20"/>
          <w:szCs w:val="20"/>
        </w:rPr>
        <w:t>s</w:t>
      </w:r>
      <w:r w:rsidR="00EA4A21" w:rsidRPr="00AC4AEA">
        <w:rPr>
          <w:rFonts w:ascii="Arial" w:hAnsi="Arial" w:cs="Arial"/>
          <w:sz w:val="20"/>
          <w:szCs w:val="20"/>
        </w:rPr>
        <w:t xml:space="preserve">umas </w:t>
      </w:r>
      <w:r w:rsidR="00442BC7" w:rsidRPr="00AC4AEA">
        <w:rPr>
          <w:rFonts w:ascii="Arial" w:hAnsi="Arial" w:cs="Arial"/>
          <w:sz w:val="20"/>
          <w:szCs w:val="20"/>
        </w:rPr>
        <w:t>reconocid</w:t>
      </w:r>
      <w:r w:rsidR="00EA4A21" w:rsidRPr="00AC4AEA">
        <w:rPr>
          <w:rFonts w:ascii="Arial" w:hAnsi="Arial" w:cs="Arial"/>
          <w:sz w:val="20"/>
          <w:szCs w:val="20"/>
        </w:rPr>
        <w:t>a</w:t>
      </w:r>
      <w:r w:rsidR="00442BC7" w:rsidRPr="00AC4AEA">
        <w:rPr>
          <w:rFonts w:ascii="Arial" w:hAnsi="Arial" w:cs="Arial"/>
          <w:sz w:val="20"/>
          <w:szCs w:val="20"/>
        </w:rPr>
        <w:t xml:space="preserve">s en resultados como consecuencia de la medición a </w:t>
      </w:r>
      <w:r w:rsidR="00DA6405" w:rsidRPr="00AC4AEA">
        <w:rPr>
          <w:rFonts w:ascii="Arial" w:hAnsi="Arial" w:cs="Arial"/>
          <w:b/>
          <w:sz w:val="20"/>
          <w:szCs w:val="20"/>
        </w:rPr>
        <w:t xml:space="preserve">valor </w:t>
      </w:r>
      <w:r w:rsidR="00FE1A71" w:rsidRPr="00AC4AEA">
        <w:rPr>
          <w:rFonts w:ascii="Arial" w:hAnsi="Arial" w:cs="Arial"/>
          <w:b/>
          <w:sz w:val="20"/>
          <w:szCs w:val="20"/>
        </w:rPr>
        <w:t>neto de realización</w:t>
      </w:r>
      <w:r w:rsidR="00442BC7" w:rsidRPr="00AC4AEA">
        <w:rPr>
          <w:rFonts w:ascii="Arial" w:hAnsi="Arial" w:cs="Arial"/>
          <w:sz w:val="20"/>
          <w:szCs w:val="20"/>
        </w:rPr>
        <w:t xml:space="preserve"> o por el consumo de los </w:t>
      </w:r>
      <w:r w:rsidR="00497590" w:rsidRPr="00AC4AEA">
        <w:rPr>
          <w:rFonts w:ascii="Arial" w:hAnsi="Arial" w:cs="Arial"/>
          <w:sz w:val="20"/>
          <w:szCs w:val="20"/>
        </w:rPr>
        <w:t>activos</w:t>
      </w:r>
      <w:r w:rsidR="00442BC7" w:rsidRPr="00AC4AEA">
        <w:rPr>
          <w:rFonts w:ascii="Arial" w:hAnsi="Arial" w:cs="Arial"/>
          <w:sz w:val="20"/>
          <w:szCs w:val="20"/>
        </w:rPr>
        <w:t xml:space="preserve"> no corrientes mantenidos para la venta (incluyendo los retirados de servicio).</w:t>
      </w:r>
      <w:r w:rsidR="00835565" w:rsidRPr="00AC4AEA">
        <w:rPr>
          <w:rFonts w:ascii="Arial" w:hAnsi="Arial" w:cs="Arial"/>
          <w:sz w:val="20"/>
          <w:szCs w:val="20"/>
        </w:rPr>
        <w:t xml:space="preserve"> </w:t>
      </w:r>
    </w:p>
    <w:p w:rsidR="0090400F" w:rsidRPr="00AC4AEA" w:rsidRDefault="0090400F" w:rsidP="00A318EA">
      <w:pPr>
        <w:jc w:val="both"/>
        <w:rPr>
          <w:rFonts w:ascii="Arial" w:hAnsi="Arial" w:cs="Arial"/>
          <w:b/>
          <w:bCs/>
          <w:sz w:val="20"/>
          <w:szCs w:val="20"/>
        </w:rPr>
      </w:pPr>
    </w:p>
    <w:p w:rsidR="00371DFB" w:rsidRPr="00AC4AEA" w:rsidRDefault="00371DFB" w:rsidP="00A318EA">
      <w:pPr>
        <w:pStyle w:val="Ttulo2"/>
        <w:rPr>
          <w:rFonts w:cs="Arial"/>
        </w:rPr>
      </w:pPr>
      <w:bookmarkStart w:id="605" w:name="_Toc101863908"/>
      <w:bookmarkStart w:id="606" w:name="_Toc139356775"/>
      <w:r w:rsidRPr="00AC4AEA">
        <w:rPr>
          <w:rFonts w:cs="Arial"/>
        </w:rPr>
        <w:t>Otras normas aplicables</w:t>
      </w:r>
      <w:bookmarkEnd w:id="605"/>
      <w:bookmarkEnd w:id="606"/>
    </w:p>
    <w:p w:rsidR="00371DFB" w:rsidRPr="00AC4AEA" w:rsidRDefault="00371DFB" w:rsidP="00A318EA">
      <w:pPr>
        <w:pStyle w:val="Prrafodelista"/>
        <w:numPr>
          <w:ilvl w:val="0"/>
          <w:numId w:val="29"/>
        </w:numPr>
        <w:contextualSpacing w:val="0"/>
        <w:jc w:val="both"/>
        <w:rPr>
          <w:rFonts w:ascii="Arial" w:hAnsi="Arial" w:cs="Arial"/>
          <w:sz w:val="20"/>
          <w:szCs w:val="20"/>
        </w:rPr>
      </w:pPr>
      <w:bookmarkStart w:id="607" w:name="_Ref104370269"/>
      <w:r w:rsidRPr="00AC4AEA">
        <w:rPr>
          <w:rFonts w:ascii="Arial" w:hAnsi="Arial" w:cs="Arial"/>
          <w:sz w:val="20"/>
          <w:szCs w:val="20"/>
        </w:rPr>
        <w:t xml:space="preserve">Para el tratamiento contable de los componentes de </w:t>
      </w:r>
      <w:r w:rsidR="00497590" w:rsidRPr="00AC4AEA">
        <w:rPr>
          <w:rFonts w:ascii="Arial" w:hAnsi="Arial" w:cs="Arial"/>
          <w:sz w:val="20"/>
          <w:szCs w:val="20"/>
        </w:rPr>
        <w:t>activos</w:t>
      </w:r>
      <w:r w:rsidRPr="00AC4AEA">
        <w:rPr>
          <w:rFonts w:ascii="Arial" w:hAnsi="Arial" w:cs="Arial"/>
          <w:sz w:val="20"/>
          <w:szCs w:val="20"/>
        </w:rPr>
        <w:t xml:space="preserve"> no corrientes mantenidos para la venta (incluyendo </w:t>
      </w:r>
      <w:r w:rsidR="00497590" w:rsidRPr="00AC4AEA">
        <w:rPr>
          <w:rFonts w:ascii="Arial" w:hAnsi="Arial" w:cs="Arial"/>
          <w:sz w:val="20"/>
          <w:szCs w:val="20"/>
        </w:rPr>
        <w:t>activos</w:t>
      </w:r>
      <w:r w:rsidRPr="00AC4AEA">
        <w:rPr>
          <w:rFonts w:ascii="Arial" w:hAnsi="Arial" w:cs="Arial"/>
          <w:sz w:val="20"/>
          <w:szCs w:val="20"/>
        </w:rPr>
        <w:t xml:space="preserve"> retirados de servicio)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w:t>
      </w:r>
      <w:r w:rsidR="001069B8" w:rsidRPr="00AC4AEA">
        <w:rPr>
          <w:rFonts w:ascii="Arial" w:hAnsi="Arial" w:cs="Arial"/>
          <w:sz w:val="20"/>
          <w:szCs w:val="20"/>
        </w:rPr>
        <w:t xml:space="preserve"> y sin ánimo de ser exhaustivos,</w:t>
      </w:r>
      <w:r w:rsidRPr="00AC4AEA">
        <w:rPr>
          <w:rFonts w:ascii="Arial" w:hAnsi="Arial" w:cs="Arial"/>
          <w:sz w:val="20"/>
          <w:szCs w:val="20"/>
        </w:rPr>
        <w:t xml:space="preserve"> las referidas a:</w:t>
      </w:r>
      <w:bookmarkEnd w:id="607"/>
    </w:p>
    <w:p w:rsidR="001069B8" w:rsidRPr="00AC4AEA" w:rsidRDefault="001069B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 y “</w:t>
      </w:r>
      <w:r w:rsidRPr="00AC4AEA">
        <w:rPr>
          <w:rFonts w:ascii="Arial" w:hAnsi="Arial" w:cs="Arial"/>
          <w:sz w:val="20"/>
          <w:szCs w:val="20"/>
          <w:u w:val="single"/>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1069B8" w:rsidRPr="00AC4AEA" w:rsidRDefault="001069B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1069B8" w:rsidRPr="00AC4AEA" w:rsidRDefault="001069B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1069B8" w:rsidRPr="00AC4AEA" w:rsidRDefault="001069B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2A009A" w:rsidRPr="00AC4AEA" w:rsidRDefault="002A009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Baja en cuentas</w:t>
      </w:r>
      <w:r w:rsidRPr="00AC4AEA">
        <w:rPr>
          <w:rFonts w:ascii="Arial" w:hAnsi="Arial" w:cs="Arial"/>
          <w:sz w:val="20"/>
          <w:szCs w:val="20"/>
        </w:rPr>
        <w:t xml:space="preserve">” [ver los párrafos </w:t>
      </w:r>
      <w:fldSimple w:instr=" REF _Ref102844986 \r \h  \* MERGEFORMAT ">
        <w:r w:rsidR="00D33A5D" w:rsidRPr="00D33A5D">
          <w:rPr>
            <w:rFonts w:ascii="Arial" w:hAnsi="Arial" w:cs="Arial"/>
            <w:sz w:val="20"/>
            <w:szCs w:val="20"/>
          </w:rPr>
          <w:t>46</w:t>
        </w:r>
      </w:fldSimple>
      <w:r w:rsidRPr="00AC4AEA">
        <w:rPr>
          <w:rFonts w:ascii="Arial" w:hAnsi="Arial" w:cs="Arial"/>
          <w:sz w:val="20"/>
          <w:szCs w:val="20"/>
        </w:rPr>
        <w:t xml:space="preserve"> a</w:t>
      </w:r>
      <w:r w:rsidR="007E4412" w:rsidRPr="00AC4AEA">
        <w:rPr>
          <w:rFonts w:ascii="Arial" w:hAnsi="Arial" w:cs="Arial"/>
          <w:sz w:val="20"/>
          <w:szCs w:val="20"/>
        </w:rPr>
        <w:t xml:space="preserve"> </w:t>
      </w:r>
      <w:fldSimple w:instr=" REF _Ref102845008 \r \h  \* MERGEFORMAT ">
        <w:r w:rsidR="00D33A5D" w:rsidRPr="00D33A5D">
          <w:rPr>
            <w:rFonts w:ascii="Arial" w:hAnsi="Arial" w:cs="Arial"/>
            <w:sz w:val="20"/>
            <w:szCs w:val="20"/>
          </w:rPr>
          <w:t>48</w:t>
        </w:r>
      </w:fldSimple>
      <w:r w:rsidRPr="00AC4AEA">
        <w:rPr>
          <w:rFonts w:ascii="Arial" w:hAnsi="Arial" w:cs="Arial"/>
          <w:sz w:val="20"/>
          <w:szCs w:val="20"/>
        </w:rPr>
        <w:t>].</w:t>
      </w:r>
    </w:p>
    <w:p w:rsidR="001069B8" w:rsidRPr="00AC4AEA" w:rsidRDefault="001069B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1069B8" w:rsidRPr="00AC4AEA" w:rsidRDefault="001069B8"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Arrendamientos</w:t>
      </w:r>
      <w:r w:rsidRPr="00AC4AEA">
        <w:rPr>
          <w:rFonts w:ascii="Arial" w:hAnsi="Arial" w:cs="Arial"/>
          <w:sz w:val="20"/>
          <w:szCs w:val="20"/>
        </w:rPr>
        <w:t xml:space="preserve">” [ver los párrafos </w:t>
      </w:r>
      <w:fldSimple w:instr=" REF _Ref99481228 \r \h  \* MERGEFORMAT ">
        <w:r w:rsidR="00D33A5D" w:rsidRPr="00D33A5D">
          <w:rPr>
            <w:rFonts w:ascii="Arial" w:hAnsi="Arial" w:cs="Arial"/>
            <w:sz w:val="20"/>
            <w:szCs w:val="20"/>
          </w:rPr>
          <w:t>532</w:t>
        </w:r>
      </w:fldSimple>
      <w:r w:rsidRPr="00AC4AEA">
        <w:rPr>
          <w:rFonts w:ascii="Arial" w:hAnsi="Arial" w:cs="Arial"/>
          <w:sz w:val="20"/>
          <w:szCs w:val="20"/>
        </w:rPr>
        <w:t xml:space="preserve"> a </w:t>
      </w:r>
      <w:r w:rsidR="001C4138">
        <w:rPr>
          <w:rFonts w:ascii="Arial" w:hAnsi="Arial" w:cs="Arial"/>
          <w:sz w:val="20"/>
          <w:szCs w:val="20"/>
        </w:rPr>
        <w:fldChar w:fldCharType="begin"/>
      </w:r>
      <w:r w:rsidR="00343DFA">
        <w:rPr>
          <w:rFonts w:ascii="Arial" w:hAnsi="Arial" w:cs="Arial"/>
          <w:sz w:val="20"/>
          <w:szCs w:val="20"/>
        </w:rPr>
        <w:instrText xml:space="preserve"> REF _Ref138943352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559</w:t>
      </w:r>
      <w:r w:rsidR="001C4138">
        <w:rPr>
          <w:rFonts w:ascii="Arial" w:hAnsi="Arial" w:cs="Arial"/>
          <w:sz w:val="20"/>
          <w:szCs w:val="20"/>
        </w:rPr>
        <w:fldChar w:fldCharType="end"/>
      </w:r>
      <w:r w:rsidRPr="00AC4AEA">
        <w:rPr>
          <w:rFonts w:ascii="Arial" w:hAnsi="Arial" w:cs="Arial"/>
          <w:sz w:val="20"/>
          <w:szCs w:val="20"/>
        </w:rPr>
        <w:t>]</w:t>
      </w:r>
      <w:r w:rsidR="007E4412" w:rsidRPr="00AC4AEA">
        <w:rPr>
          <w:rFonts w:ascii="Arial" w:hAnsi="Arial" w:cs="Arial"/>
          <w:sz w:val="20"/>
          <w:szCs w:val="20"/>
        </w:rPr>
        <w:t>.</w:t>
      </w:r>
    </w:p>
    <w:p w:rsidR="00AE7883" w:rsidRPr="00AC4AEA" w:rsidRDefault="00AE7883" w:rsidP="00A318EA">
      <w:pPr>
        <w:pStyle w:val="Ttulo1"/>
        <w:rPr>
          <w:rFonts w:cs="Arial"/>
          <w:sz w:val="20"/>
          <w:szCs w:val="20"/>
        </w:rPr>
      </w:pPr>
    </w:p>
    <w:p w:rsidR="00804242" w:rsidRPr="00497C1F" w:rsidRDefault="00804242" w:rsidP="00A318EA">
      <w:pPr>
        <w:pStyle w:val="Ttulo1"/>
        <w:rPr>
          <w:rFonts w:cs="Arial"/>
          <w:sz w:val="20"/>
          <w:szCs w:val="20"/>
        </w:rPr>
      </w:pPr>
      <w:bookmarkStart w:id="608" w:name="_Toc139356776"/>
      <w:r w:rsidRPr="00497C1F">
        <w:rPr>
          <w:rFonts w:cs="Arial"/>
          <w:sz w:val="20"/>
          <w:szCs w:val="20"/>
        </w:rPr>
        <w:t>OTRAS INVERSIONES</w:t>
      </w:r>
      <w:bookmarkEnd w:id="608"/>
    </w:p>
    <w:p w:rsidR="00804242" w:rsidRPr="00AC4AEA" w:rsidRDefault="00804242" w:rsidP="00A318EA">
      <w:pPr>
        <w:pStyle w:val="Ttulo2"/>
        <w:rPr>
          <w:rFonts w:cs="Arial"/>
        </w:rPr>
      </w:pPr>
      <w:bookmarkStart w:id="609" w:name="_Toc139356777"/>
      <w:r w:rsidRPr="00497C1F">
        <w:rPr>
          <w:rFonts w:cs="Arial"/>
        </w:rPr>
        <w:t>Definici</w:t>
      </w:r>
      <w:r w:rsidR="00AB4B8C" w:rsidRPr="00497C1F">
        <w:rPr>
          <w:rFonts w:cs="Arial"/>
        </w:rPr>
        <w:t>ó</w:t>
      </w:r>
      <w:r w:rsidRPr="00497C1F">
        <w:rPr>
          <w:rFonts w:cs="Arial"/>
        </w:rPr>
        <w:t>n</w:t>
      </w:r>
      <w:bookmarkEnd w:id="609"/>
    </w:p>
    <w:p w:rsidR="00804242" w:rsidRPr="00AC4AEA" w:rsidRDefault="00804242" w:rsidP="00A318EA">
      <w:pPr>
        <w:pStyle w:val="Prrafodelista"/>
        <w:numPr>
          <w:ilvl w:val="0"/>
          <w:numId w:val="29"/>
        </w:numPr>
        <w:contextualSpacing w:val="0"/>
        <w:jc w:val="both"/>
        <w:rPr>
          <w:rFonts w:ascii="Arial" w:hAnsi="Arial" w:cs="Arial"/>
          <w:sz w:val="20"/>
          <w:szCs w:val="20"/>
        </w:rPr>
      </w:pPr>
      <w:bookmarkStart w:id="610" w:name="_Ref104910439"/>
      <w:r w:rsidRPr="00AC4AEA">
        <w:rPr>
          <w:rFonts w:ascii="Arial" w:hAnsi="Arial" w:cs="Arial"/>
          <w:sz w:val="20"/>
          <w:szCs w:val="20"/>
        </w:rPr>
        <w:t xml:space="preserve">A los fines del tratamiento de los </w:t>
      </w:r>
      <w:r w:rsidR="00497590" w:rsidRPr="00AC4AEA">
        <w:rPr>
          <w:rFonts w:ascii="Arial" w:hAnsi="Arial" w:cs="Arial"/>
          <w:sz w:val="20"/>
          <w:szCs w:val="20"/>
        </w:rPr>
        <w:t>activos</w:t>
      </w:r>
      <w:r w:rsidRPr="00AC4AEA">
        <w:rPr>
          <w:rFonts w:ascii="Arial" w:hAnsi="Arial" w:cs="Arial"/>
          <w:sz w:val="20"/>
          <w:szCs w:val="20"/>
        </w:rPr>
        <w:t xml:space="preserve"> referidos en esta sección, una entidad deberá considerar la siguiente definición:</w:t>
      </w:r>
      <w:bookmarkEnd w:id="610"/>
    </w:p>
    <w:p w:rsidR="00804242" w:rsidRPr="00AC4AEA" w:rsidRDefault="00804242" w:rsidP="00A318EA">
      <w:pPr>
        <w:pStyle w:val="A-Normal11"/>
        <w:ind w:left="1416"/>
        <w:jc w:val="both"/>
        <w:rPr>
          <w:rFonts w:ascii="Arial" w:hAnsi="Arial" w:cs="Arial"/>
          <w:sz w:val="20"/>
        </w:rPr>
      </w:pPr>
      <w:r w:rsidRPr="00AC4AEA">
        <w:rPr>
          <w:rFonts w:ascii="Arial" w:hAnsi="Arial" w:cs="Arial"/>
          <w:sz w:val="20"/>
          <w:u w:val="single"/>
        </w:rPr>
        <w:t>Otras inversiones</w:t>
      </w:r>
      <w:r w:rsidRPr="00AC4AEA">
        <w:rPr>
          <w:rFonts w:ascii="Arial" w:hAnsi="Arial" w:cs="Arial"/>
          <w:b/>
          <w:bCs/>
          <w:sz w:val="20"/>
        </w:rPr>
        <w:t xml:space="preserve">: </w:t>
      </w:r>
      <w:r w:rsidRPr="00AC4AEA">
        <w:rPr>
          <w:rFonts w:ascii="Arial" w:hAnsi="Arial" w:cs="Arial"/>
          <w:sz w:val="20"/>
        </w:rPr>
        <w:t xml:space="preserve">Son colocaciones realizadas con el </w:t>
      </w:r>
      <w:r w:rsidR="00DE768B" w:rsidRPr="00AC4AEA">
        <w:rPr>
          <w:rFonts w:ascii="Arial" w:hAnsi="Arial" w:cs="Arial"/>
          <w:sz w:val="20"/>
        </w:rPr>
        <w:t>objetivo</w:t>
      </w:r>
      <w:r w:rsidRPr="00AC4AEA">
        <w:rPr>
          <w:rFonts w:ascii="Arial" w:hAnsi="Arial" w:cs="Arial"/>
          <w:sz w:val="20"/>
        </w:rPr>
        <w:t xml:space="preserve"> de obtener renta, ganancias de capital u otros beneficios, explícitos o implícitos, en </w:t>
      </w:r>
      <w:r w:rsidR="00497590" w:rsidRPr="00AC4AEA">
        <w:rPr>
          <w:rFonts w:ascii="Arial" w:hAnsi="Arial" w:cs="Arial"/>
          <w:sz w:val="20"/>
        </w:rPr>
        <w:t>activos</w:t>
      </w:r>
      <w:r w:rsidRPr="00AC4AEA">
        <w:rPr>
          <w:rFonts w:ascii="Arial" w:hAnsi="Arial" w:cs="Arial"/>
          <w:sz w:val="20"/>
        </w:rPr>
        <w:t xml:space="preserve"> que:</w:t>
      </w:r>
    </w:p>
    <w:p w:rsidR="00804242" w:rsidRPr="00AC4AEA" w:rsidRDefault="00804242" w:rsidP="00A318EA">
      <w:pPr>
        <w:pStyle w:val="Prrafodelista"/>
        <w:numPr>
          <w:ilvl w:val="1"/>
          <w:numId w:val="29"/>
        </w:numPr>
        <w:ind w:left="1983"/>
        <w:contextualSpacing w:val="0"/>
        <w:jc w:val="both"/>
        <w:rPr>
          <w:rFonts w:ascii="Arial" w:hAnsi="Arial" w:cs="Arial"/>
          <w:sz w:val="20"/>
          <w:szCs w:val="20"/>
        </w:rPr>
      </w:pPr>
      <w:r w:rsidRPr="00AC4AEA">
        <w:rPr>
          <w:rFonts w:ascii="Arial" w:hAnsi="Arial" w:cs="Arial"/>
          <w:sz w:val="20"/>
          <w:szCs w:val="20"/>
        </w:rPr>
        <w:t xml:space="preserve">no </w:t>
      </w:r>
      <w:r w:rsidR="00BD7827" w:rsidRPr="00AC4AEA">
        <w:rPr>
          <w:rFonts w:ascii="Arial" w:hAnsi="Arial" w:cs="Arial"/>
          <w:sz w:val="20"/>
          <w:szCs w:val="20"/>
        </w:rPr>
        <w:t xml:space="preserve">corresponda incluir </w:t>
      </w:r>
      <w:r w:rsidR="008809C0" w:rsidRPr="00AC4AEA">
        <w:rPr>
          <w:rFonts w:ascii="Arial" w:hAnsi="Arial" w:cs="Arial"/>
          <w:sz w:val="20"/>
          <w:szCs w:val="20"/>
        </w:rPr>
        <w:t xml:space="preserve">en </w:t>
      </w:r>
      <w:r w:rsidR="0028095E" w:rsidRPr="00AC4AEA">
        <w:rPr>
          <w:rFonts w:ascii="Arial" w:hAnsi="Arial" w:cs="Arial"/>
          <w:sz w:val="20"/>
          <w:szCs w:val="20"/>
        </w:rPr>
        <w:t xml:space="preserve">un </w:t>
      </w:r>
      <w:r w:rsidR="008809C0" w:rsidRPr="00AC4AEA">
        <w:rPr>
          <w:rFonts w:ascii="Arial" w:hAnsi="Arial" w:cs="Arial"/>
          <w:sz w:val="20"/>
          <w:szCs w:val="20"/>
        </w:rPr>
        <w:t xml:space="preserve">rubro específico tratado en esta Resolución Técnica o en </w:t>
      </w:r>
      <w:r w:rsidR="008809C0" w:rsidRPr="00AC4AEA">
        <w:rPr>
          <w:rFonts w:ascii="Arial" w:hAnsi="Arial" w:cs="Arial"/>
          <w:b/>
          <w:bCs/>
          <w:sz w:val="20"/>
          <w:szCs w:val="20"/>
        </w:rPr>
        <w:t>otras normas contables</w:t>
      </w:r>
      <w:r w:rsidRPr="00AC4AEA">
        <w:rPr>
          <w:rFonts w:ascii="Arial" w:hAnsi="Arial" w:cs="Arial"/>
          <w:sz w:val="20"/>
          <w:szCs w:val="20"/>
        </w:rPr>
        <w:t>; y</w:t>
      </w:r>
    </w:p>
    <w:p w:rsidR="00804242" w:rsidRPr="00AC4AEA" w:rsidRDefault="00804242" w:rsidP="00A318EA">
      <w:pPr>
        <w:pStyle w:val="Prrafodelista"/>
        <w:numPr>
          <w:ilvl w:val="1"/>
          <w:numId w:val="29"/>
        </w:numPr>
        <w:ind w:left="1983"/>
        <w:contextualSpacing w:val="0"/>
        <w:jc w:val="both"/>
        <w:rPr>
          <w:rFonts w:ascii="Arial" w:hAnsi="Arial" w:cs="Arial"/>
          <w:sz w:val="20"/>
          <w:szCs w:val="20"/>
        </w:rPr>
      </w:pPr>
      <w:r w:rsidRPr="00AC4AEA">
        <w:rPr>
          <w:rFonts w:ascii="Arial" w:hAnsi="Arial" w:cs="Arial"/>
          <w:sz w:val="20"/>
          <w:szCs w:val="20"/>
        </w:rPr>
        <w:t xml:space="preserve">no están afectados a la generación de </w:t>
      </w:r>
      <w:r w:rsidRPr="00AC4AEA">
        <w:rPr>
          <w:rFonts w:ascii="Arial" w:hAnsi="Arial" w:cs="Arial"/>
          <w:b/>
          <w:bCs/>
          <w:sz w:val="20"/>
          <w:szCs w:val="20"/>
        </w:rPr>
        <w:t>ingresos de actividades ordinarias.</w:t>
      </w:r>
    </w:p>
    <w:p w:rsidR="00804242" w:rsidRPr="00AC4AEA" w:rsidRDefault="00804242" w:rsidP="00A318EA">
      <w:pPr>
        <w:pStyle w:val="A-Normal11"/>
        <w:ind w:left="1416"/>
        <w:jc w:val="both"/>
        <w:rPr>
          <w:rFonts w:ascii="Arial" w:hAnsi="Arial" w:cs="Arial"/>
          <w:sz w:val="20"/>
        </w:rPr>
      </w:pPr>
      <w:r w:rsidRPr="00AC4AEA">
        <w:rPr>
          <w:rFonts w:ascii="Arial" w:hAnsi="Arial" w:cs="Arial"/>
          <w:sz w:val="20"/>
        </w:rPr>
        <w:t>Este rubro incluye, entre otros:</w:t>
      </w:r>
    </w:p>
    <w:p w:rsidR="00804242" w:rsidRPr="00AC4AEA" w:rsidRDefault="00804242" w:rsidP="00A318EA">
      <w:pPr>
        <w:pStyle w:val="Prrafodelista"/>
        <w:numPr>
          <w:ilvl w:val="0"/>
          <w:numId w:val="346"/>
        </w:numPr>
        <w:ind w:left="1985"/>
        <w:contextualSpacing w:val="0"/>
        <w:jc w:val="both"/>
        <w:rPr>
          <w:rFonts w:ascii="Arial" w:hAnsi="Arial" w:cs="Arial"/>
          <w:sz w:val="20"/>
          <w:szCs w:val="20"/>
        </w:rPr>
      </w:pPr>
      <w:r w:rsidRPr="00AC4AEA">
        <w:rPr>
          <w:rFonts w:ascii="Arial" w:hAnsi="Arial" w:cs="Arial"/>
          <w:sz w:val="20"/>
          <w:szCs w:val="20"/>
        </w:rPr>
        <w:lastRenderedPageBreak/>
        <w:t>Obras de arte</w:t>
      </w:r>
      <w:r w:rsidR="008809C0" w:rsidRPr="00AC4AEA">
        <w:rPr>
          <w:rFonts w:ascii="Arial" w:hAnsi="Arial" w:cs="Arial"/>
          <w:sz w:val="20"/>
          <w:szCs w:val="20"/>
        </w:rPr>
        <w:t>.</w:t>
      </w:r>
    </w:p>
    <w:p w:rsidR="00804242" w:rsidRPr="00AC4AEA" w:rsidRDefault="00804242" w:rsidP="00A318EA">
      <w:pPr>
        <w:pStyle w:val="Prrafodelista"/>
        <w:numPr>
          <w:ilvl w:val="0"/>
          <w:numId w:val="346"/>
        </w:numPr>
        <w:ind w:left="1985"/>
        <w:contextualSpacing w:val="0"/>
        <w:jc w:val="both"/>
        <w:rPr>
          <w:rFonts w:ascii="Arial" w:hAnsi="Arial" w:cs="Arial"/>
          <w:sz w:val="20"/>
          <w:szCs w:val="20"/>
        </w:rPr>
      </w:pPr>
      <w:r w:rsidRPr="00AC4AEA">
        <w:rPr>
          <w:rFonts w:ascii="Arial" w:hAnsi="Arial" w:cs="Arial"/>
          <w:sz w:val="20"/>
          <w:szCs w:val="20"/>
        </w:rPr>
        <w:t>Tenencias de oro.</w:t>
      </w:r>
    </w:p>
    <w:p w:rsidR="006056E5" w:rsidRPr="00AC4AEA" w:rsidRDefault="00167624" w:rsidP="006056E5">
      <w:pPr>
        <w:pStyle w:val="A-Normal11"/>
        <w:ind w:left="1416"/>
        <w:jc w:val="both"/>
        <w:rPr>
          <w:rFonts w:ascii="Arial" w:hAnsi="Arial" w:cs="Arial"/>
          <w:sz w:val="20"/>
        </w:rPr>
      </w:pPr>
      <w:r w:rsidRPr="00AC4AEA">
        <w:rPr>
          <w:rFonts w:ascii="Arial" w:hAnsi="Arial" w:cs="Arial"/>
          <w:sz w:val="20"/>
        </w:rPr>
        <w:t>Este rubro</w:t>
      </w:r>
      <w:r w:rsidR="00043C33" w:rsidRPr="00AC4AEA">
        <w:rPr>
          <w:rFonts w:ascii="Arial" w:hAnsi="Arial" w:cs="Arial"/>
          <w:sz w:val="20"/>
        </w:rPr>
        <w:t xml:space="preserve"> </w:t>
      </w:r>
      <w:r w:rsidR="006056E5" w:rsidRPr="00AC4AEA">
        <w:rPr>
          <w:rFonts w:ascii="Arial" w:hAnsi="Arial" w:cs="Arial"/>
          <w:sz w:val="20"/>
        </w:rPr>
        <w:t>excluye</w:t>
      </w:r>
      <w:r w:rsidRPr="00AC4AEA">
        <w:rPr>
          <w:rFonts w:ascii="Arial" w:hAnsi="Arial" w:cs="Arial"/>
          <w:sz w:val="20"/>
        </w:rPr>
        <w:t xml:space="preserve"> las tenencias de </w:t>
      </w:r>
      <w:r w:rsidR="006056E5" w:rsidRPr="00AC4AEA">
        <w:rPr>
          <w:rFonts w:ascii="Arial" w:hAnsi="Arial" w:cs="Arial"/>
          <w:sz w:val="20"/>
        </w:rPr>
        <w:t>criptoactivos cuyo valor depende exclusivamente de la aceptación de los participantes del mercado.</w:t>
      </w:r>
    </w:p>
    <w:p w:rsidR="006056E5" w:rsidRPr="00AC4AEA" w:rsidRDefault="006056E5" w:rsidP="006056E5">
      <w:pPr>
        <w:pStyle w:val="A-Normal11"/>
        <w:ind w:left="1416"/>
        <w:jc w:val="both"/>
        <w:rPr>
          <w:rFonts w:ascii="Arial" w:hAnsi="Arial" w:cs="Arial"/>
          <w:sz w:val="20"/>
        </w:rPr>
      </w:pPr>
    </w:p>
    <w:p w:rsidR="00804242" w:rsidRPr="00AC4AEA" w:rsidRDefault="00804242" w:rsidP="00A318EA">
      <w:pPr>
        <w:pStyle w:val="Ttulo2"/>
        <w:rPr>
          <w:rFonts w:cs="Arial"/>
        </w:rPr>
      </w:pPr>
      <w:bookmarkStart w:id="611" w:name="_Toc139356778"/>
      <w:r w:rsidRPr="00AC4AEA">
        <w:rPr>
          <w:rFonts w:cs="Arial"/>
        </w:rPr>
        <w:t>Reconocimiento</w:t>
      </w:r>
      <w:bookmarkEnd w:id="611"/>
    </w:p>
    <w:p w:rsidR="00804242" w:rsidRPr="00AC4AEA" w:rsidRDefault="0080424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un elemento como otra inversión cuando: </w:t>
      </w:r>
    </w:p>
    <w:p w:rsidR="00804242" w:rsidRPr="00AC4AEA" w:rsidRDefault="00804242" w:rsidP="00A318EA">
      <w:pPr>
        <w:pStyle w:val="Prrafodelista"/>
        <w:numPr>
          <w:ilvl w:val="0"/>
          <w:numId w:val="347"/>
        </w:numPr>
        <w:ind w:left="1560"/>
        <w:contextualSpacing w:val="0"/>
        <w:jc w:val="both"/>
        <w:rPr>
          <w:rFonts w:ascii="Arial" w:hAnsi="Arial" w:cs="Arial"/>
          <w:sz w:val="20"/>
          <w:szCs w:val="20"/>
        </w:rPr>
      </w:pPr>
      <w:r w:rsidRPr="00AC4AEA">
        <w:rPr>
          <w:rFonts w:ascii="Arial" w:hAnsi="Arial" w:cs="Arial"/>
          <w:sz w:val="20"/>
          <w:szCs w:val="20"/>
        </w:rPr>
        <w:t xml:space="preserve">cumpla con la definición general del párrafo </w:t>
      </w:r>
      <w:fldSimple w:instr=" REF _Ref74755232 \r \h  \* MERGEFORMAT ">
        <w:r w:rsidR="00D33A5D" w:rsidRPr="00D33A5D">
          <w:rPr>
            <w:rFonts w:ascii="Arial" w:hAnsi="Arial" w:cs="Arial"/>
            <w:sz w:val="20"/>
            <w:szCs w:val="20"/>
          </w:rPr>
          <w:t>22</w:t>
        </w:r>
      </w:fldSimple>
      <w:r w:rsidRPr="00AC4AEA">
        <w:rPr>
          <w:rFonts w:ascii="Arial" w:hAnsi="Arial" w:cs="Arial"/>
          <w:sz w:val="20"/>
          <w:szCs w:val="20"/>
        </w:rPr>
        <w:t xml:space="preserve"> y la definición específica contenida en el párrafo </w:t>
      </w:r>
      <w:fldSimple w:instr=" REF _Ref104910439 \r \h  \* MERGEFORMAT ">
        <w:r w:rsidR="00D33A5D" w:rsidRPr="00D33A5D">
          <w:rPr>
            <w:rFonts w:ascii="Arial" w:hAnsi="Arial" w:cs="Arial"/>
            <w:sz w:val="20"/>
            <w:szCs w:val="20"/>
          </w:rPr>
          <w:t>435</w:t>
        </w:r>
      </w:fldSimple>
      <w:r w:rsidRPr="00AC4AEA">
        <w:rPr>
          <w:rFonts w:ascii="Arial" w:hAnsi="Arial" w:cs="Arial"/>
          <w:sz w:val="20"/>
          <w:szCs w:val="20"/>
        </w:rPr>
        <w:t>;</w:t>
      </w:r>
    </w:p>
    <w:p w:rsidR="00804242" w:rsidRPr="00AC4AEA" w:rsidRDefault="00804242" w:rsidP="00A318EA">
      <w:pPr>
        <w:pStyle w:val="Prrafodelista"/>
        <w:numPr>
          <w:ilvl w:val="0"/>
          <w:numId w:val="347"/>
        </w:numPr>
        <w:ind w:left="1560"/>
        <w:contextualSpacing w:val="0"/>
        <w:jc w:val="both"/>
        <w:rPr>
          <w:rFonts w:ascii="Arial" w:hAnsi="Arial" w:cs="Arial"/>
          <w:sz w:val="20"/>
          <w:szCs w:val="20"/>
        </w:rPr>
      </w:pPr>
      <w:r w:rsidRPr="00AC4AEA">
        <w:rPr>
          <w:rFonts w:ascii="Arial" w:hAnsi="Arial" w:cs="Arial"/>
          <w:sz w:val="20"/>
          <w:szCs w:val="20"/>
        </w:rPr>
        <w:t xml:space="preserve">su medición satisfaga el requisito de </w:t>
      </w:r>
      <w:r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Pr="00AC4AEA">
        <w:rPr>
          <w:rFonts w:ascii="Arial" w:hAnsi="Arial" w:cs="Arial"/>
          <w:b/>
          <w:bCs/>
          <w:sz w:val="20"/>
          <w:szCs w:val="20"/>
        </w:rPr>
        <w:t>;</w:t>
      </w:r>
      <w:r w:rsidRPr="00AC4AEA">
        <w:rPr>
          <w:rFonts w:ascii="Arial" w:hAnsi="Arial" w:cs="Arial"/>
          <w:sz w:val="20"/>
          <w:szCs w:val="20"/>
        </w:rPr>
        <w:t xml:space="preserve"> y</w:t>
      </w:r>
    </w:p>
    <w:p w:rsidR="00804242" w:rsidRPr="00AC4AEA" w:rsidRDefault="00804242" w:rsidP="00A318EA">
      <w:pPr>
        <w:pStyle w:val="Prrafodelista"/>
        <w:numPr>
          <w:ilvl w:val="0"/>
          <w:numId w:val="347"/>
        </w:numPr>
        <w:ind w:left="1560"/>
        <w:contextualSpacing w:val="0"/>
        <w:jc w:val="both"/>
        <w:rPr>
          <w:rFonts w:ascii="Arial" w:hAnsi="Arial" w:cs="Arial"/>
          <w:sz w:val="20"/>
          <w:szCs w:val="20"/>
        </w:rPr>
      </w:pPr>
      <w:r w:rsidRPr="00AC4AEA">
        <w:rPr>
          <w:rFonts w:ascii="Arial" w:hAnsi="Arial" w:cs="Arial"/>
          <w:sz w:val="20"/>
          <w:szCs w:val="20"/>
        </w:rPr>
        <w:t xml:space="preserve">su contribución a los beneficios económicos futuros de la entidad resulte </w:t>
      </w:r>
      <w:r w:rsidRPr="00AC4AEA">
        <w:rPr>
          <w:rFonts w:ascii="Arial" w:hAnsi="Arial" w:cs="Arial"/>
          <w:b/>
          <w:bCs/>
          <w:sz w:val="20"/>
          <w:szCs w:val="20"/>
        </w:rPr>
        <w:t>probable</w:t>
      </w:r>
      <w:r w:rsidRPr="00AC4AEA">
        <w:rPr>
          <w:rFonts w:ascii="Arial" w:hAnsi="Arial" w:cs="Arial"/>
          <w:sz w:val="20"/>
          <w:szCs w:val="20"/>
        </w:rPr>
        <w:t xml:space="preserve">. </w:t>
      </w:r>
    </w:p>
    <w:p w:rsidR="00804242" w:rsidRPr="00AC4AEA" w:rsidRDefault="00804242" w:rsidP="00A318EA">
      <w:pPr>
        <w:jc w:val="both"/>
        <w:rPr>
          <w:rFonts w:ascii="Arial" w:hAnsi="Arial" w:cs="Arial"/>
          <w:b/>
          <w:bCs/>
          <w:sz w:val="20"/>
          <w:szCs w:val="20"/>
        </w:rPr>
      </w:pPr>
    </w:p>
    <w:p w:rsidR="00804242" w:rsidRPr="00AC4AEA" w:rsidRDefault="00804242" w:rsidP="00A318EA">
      <w:pPr>
        <w:pStyle w:val="Ttulo2"/>
        <w:rPr>
          <w:rFonts w:cs="Arial"/>
        </w:rPr>
      </w:pPr>
      <w:bookmarkStart w:id="612" w:name="_Toc139356779"/>
      <w:r w:rsidRPr="00AC4AEA">
        <w:rPr>
          <w:rFonts w:cs="Arial"/>
        </w:rPr>
        <w:t>Medición inicial</w:t>
      </w:r>
      <w:bookmarkEnd w:id="612"/>
    </w:p>
    <w:p w:rsidR="00804242" w:rsidRPr="00AC4AEA" w:rsidRDefault="0080424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medirá, en el momento del reconocimiento, las otras inversiones de acuerdo con los criterios indicados a continuación:</w:t>
      </w:r>
    </w:p>
    <w:p w:rsidR="004079FA" w:rsidRPr="00AC4AEA" w:rsidRDefault="004079FA" w:rsidP="00A318EA">
      <w:pPr>
        <w:pStyle w:val="Prrafodelista"/>
        <w:numPr>
          <w:ilvl w:val="0"/>
          <w:numId w:val="348"/>
        </w:numPr>
        <w:ind w:left="1560"/>
        <w:contextualSpacing w:val="0"/>
        <w:jc w:val="both"/>
        <w:rPr>
          <w:rFonts w:ascii="Arial" w:hAnsi="Arial" w:cs="Arial"/>
          <w:sz w:val="20"/>
          <w:szCs w:val="20"/>
        </w:rPr>
      </w:pPr>
      <w:r w:rsidRPr="00AC4AEA">
        <w:rPr>
          <w:rFonts w:ascii="Arial" w:hAnsi="Arial" w:cs="Arial"/>
          <w:sz w:val="20"/>
          <w:szCs w:val="20"/>
        </w:rPr>
        <w:t xml:space="preserve">Cuando sean </w:t>
      </w:r>
      <w:r w:rsidR="00497590" w:rsidRPr="00AC4AEA">
        <w:rPr>
          <w:rFonts w:ascii="Arial" w:hAnsi="Arial" w:cs="Arial"/>
          <w:sz w:val="20"/>
          <w:szCs w:val="20"/>
        </w:rPr>
        <w:t>activos</w:t>
      </w:r>
      <w:r w:rsidRPr="00AC4AEA">
        <w:rPr>
          <w:rFonts w:ascii="Arial" w:hAnsi="Arial" w:cs="Arial"/>
          <w:sz w:val="20"/>
          <w:szCs w:val="20"/>
        </w:rPr>
        <w:t xml:space="preserve"> con un precio directamente observable:</w:t>
      </w:r>
    </w:p>
    <w:p w:rsidR="00804242" w:rsidRPr="00AC4AEA" w:rsidRDefault="00804242" w:rsidP="005C29C7">
      <w:pPr>
        <w:pStyle w:val="Prrafodelista"/>
        <w:numPr>
          <w:ilvl w:val="0"/>
          <w:numId w:val="349"/>
        </w:numPr>
        <w:ind w:left="1843"/>
        <w:contextualSpacing w:val="0"/>
        <w:jc w:val="both"/>
        <w:rPr>
          <w:rFonts w:ascii="Arial" w:hAnsi="Arial" w:cs="Arial"/>
          <w:sz w:val="20"/>
          <w:szCs w:val="20"/>
        </w:rPr>
      </w:pPr>
      <w:r w:rsidRPr="00AC4AEA">
        <w:rPr>
          <w:rFonts w:ascii="Arial" w:hAnsi="Arial" w:cs="Arial"/>
          <w:sz w:val="20"/>
          <w:szCs w:val="20"/>
        </w:rPr>
        <w:t xml:space="preserve">a su </w:t>
      </w:r>
      <w:r w:rsidRPr="00AC4AEA">
        <w:rPr>
          <w:rFonts w:ascii="Arial" w:hAnsi="Arial" w:cs="Arial"/>
          <w:b/>
          <w:bCs/>
          <w:sz w:val="20"/>
          <w:szCs w:val="20"/>
        </w:rPr>
        <w:t>valor razonable</w:t>
      </w:r>
      <w:r w:rsidRPr="00AC4AEA">
        <w:rPr>
          <w:rFonts w:ascii="Arial" w:hAnsi="Arial" w:cs="Arial"/>
          <w:sz w:val="20"/>
          <w:szCs w:val="20"/>
        </w:rPr>
        <w:t>; o</w:t>
      </w:r>
    </w:p>
    <w:p w:rsidR="00804242" w:rsidRPr="00AC4AEA" w:rsidRDefault="00804242" w:rsidP="005C29C7">
      <w:pPr>
        <w:pStyle w:val="Prrafodelista"/>
        <w:numPr>
          <w:ilvl w:val="0"/>
          <w:numId w:val="349"/>
        </w:numPr>
        <w:ind w:left="1843"/>
        <w:contextualSpacing w:val="0"/>
        <w:jc w:val="both"/>
        <w:rPr>
          <w:rFonts w:ascii="Arial" w:hAnsi="Arial" w:cs="Arial"/>
          <w:sz w:val="20"/>
          <w:szCs w:val="20"/>
        </w:rPr>
      </w:pPr>
      <w:r w:rsidRPr="00AC4AEA">
        <w:rPr>
          <w:rFonts w:ascii="Arial" w:hAnsi="Arial" w:cs="Arial"/>
          <w:sz w:val="20"/>
          <w:szCs w:val="20"/>
        </w:rPr>
        <w:t xml:space="preserve">a su </w:t>
      </w:r>
      <w:r w:rsidRPr="00AC4AEA">
        <w:rPr>
          <w:rFonts w:ascii="Arial" w:hAnsi="Arial" w:cs="Arial"/>
          <w:b/>
          <w:bCs/>
          <w:sz w:val="20"/>
          <w:szCs w:val="20"/>
        </w:rPr>
        <w:t>cotización</w:t>
      </w:r>
      <w:r w:rsidR="00A017D0" w:rsidRPr="00AC4AEA">
        <w:rPr>
          <w:rFonts w:ascii="Arial" w:hAnsi="Arial" w:cs="Arial"/>
          <w:b/>
          <w:bCs/>
          <w:sz w:val="20"/>
          <w:szCs w:val="20"/>
        </w:rPr>
        <w:t xml:space="preserve"> sucedánea</w:t>
      </w:r>
      <w:r w:rsidRPr="00AC4AEA">
        <w:rPr>
          <w:rFonts w:ascii="Arial" w:hAnsi="Arial" w:cs="Arial"/>
          <w:sz w:val="20"/>
          <w:szCs w:val="20"/>
        </w:rPr>
        <w:t xml:space="preserve">, cuando </w:t>
      </w:r>
      <w:r w:rsidR="007B7E5B" w:rsidRPr="00AC4AEA">
        <w:rPr>
          <w:rFonts w:ascii="Arial" w:hAnsi="Arial" w:cs="Arial"/>
          <w:sz w:val="20"/>
          <w:szCs w:val="20"/>
        </w:rPr>
        <w:t xml:space="preserve">no pueda determinarse el </w:t>
      </w:r>
      <w:r w:rsidR="007B7E5B" w:rsidRPr="00AC4AEA">
        <w:rPr>
          <w:rFonts w:ascii="Arial" w:hAnsi="Arial" w:cs="Arial"/>
          <w:b/>
          <w:bCs/>
          <w:sz w:val="20"/>
          <w:szCs w:val="20"/>
        </w:rPr>
        <w:t>valor razonable</w:t>
      </w:r>
      <w:r w:rsidR="004079FA" w:rsidRPr="00AC4AEA">
        <w:rPr>
          <w:rFonts w:ascii="Arial" w:hAnsi="Arial" w:cs="Arial"/>
          <w:sz w:val="20"/>
          <w:szCs w:val="20"/>
        </w:rPr>
        <w:t>.</w:t>
      </w:r>
    </w:p>
    <w:p w:rsidR="00804242" w:rsidRPr="00AC4AEA" w:rsidRDefault="004079FA" w:rsidP="00A318EA">
      <w:pPr>
        <w:pStyle w:val="Prrafodelista"/>
        <w:numPr>
          <w:ilvl w:val="0"/>
          <w:numId w:val="348"/>
        </w:numPr>
        <w:ind w:left="1560"/>
        <w:contextualSpacing w:val="0"/>
        <w:jc w:val="both"/>
        <w:rPr>
          <w:rFonts w:ascii="Arial" w:hAnsi="Arial" w:cs="Arial"/>
          <w:sz w:val="20"/>
          <w:szCs w:val="20"/>
        </w:rPr>
      </w:pPr>
      <w:r w:rsidRPr="00AC4AEA">
        <w:rPr>
          <w:rFonts w:ascii="Arial" w:hAnsi="Arial" w:cs="Arial"/>
          <w:sz w:val="20"/>
          <w:szCs w:val="20"/>
        </w:rPr>
        <w:t>A</w:t>
      </w:r>
      <w:r w:rsidR="00804242" w:rsidRPr="00AC4AEA">
        <w:rPr>
          <w:rFonts w:ascii="Arial" w:hAnsi="Arial" w:cs="Arial"/>
          <w:sz w:val="20"/>
          <w:szCs w:val="20"/>
        </w:rPr>
        <w:t xml:space="preserve"> su </w:t>
      </w:r>
      <w:r w:rsidR="00804242" w:rsidRPr="00AC4AEA">
        <w:rPr>
          <w:rFonts w:ascii="Arial" w:hAnsi="Arial" w:cs="Arial"/>
          <w:b/>
          <w:bCs/>
          <w:sz w:val="20"/>
          <w:szCs w:val="20"/>
        </w:rPr>
        <w:t>costo de adquisición,</w:t>
      </w:r>
      <w:r w:rsidR="00804242" w:rsidRPr="00AC4AEA">
        <w:rPr>
          <w:rFonts w:ascii="Arial" w:hAnsi="Arial" w:cs="Arial"/>
          <w:sz w:val="20"/>
          <w:szCs w:val="20"/>
        </w:rPr>
        <w:t xml:space="preserve"> </w:t>
      </w:r>
      <w:r w:rsidRPr="00AC4AEA">
        <w:rPr>
          <w:rFonts w:ascii="Arial" w:hAnsi="Arial" w:cs="Arial"/>
          <w:sz w:val="20"/>
          <w:szCs w:val="20"/>
        </w:rPr>
        <w:t>en los restantes casos</w:t>
      </w:r>
      <w:r w:rsidR="00804242" w:rsidRPr="00AC4AEA">
        <w:rPr>
          <w:rFonts w:ascii="Arial" w:hAnsi="Arial" w:cs="Arial"/>
          <w:sz w:val="20"/>
          <w:szCs w:val="20"/>
        </w:rPr>
        <w:t>.</w:t>
      </w:r>
    </w:p>
    <w:p w:rsidR="004079FA" w:rsidRPr="00AC4AEA" w:rsidRDefault="004079FA" w:rsidP="00A318EA">
      <w:pPr>
        <w:pStyle w:val="Prrafodelista"/>
        <w:numPr>
          <w:ilvl w:val="0"/>
          <w:numId w:val="29"/>
        </w:numPr>
        <w:contextualSpacing w:val="0"/>
        <w:jc w:val="both"/>
        <w:rPr>
          <w:rFonts w:ascii="Arial" w:hAnsi="Arial" w:cs="Arial"/>
          <w:sz w:val="20"/>
          <w:szCs w:val="20"/>
        </w:rPr>
      </w:pPr>
      <w:bookmarkStart w:id="613" w:name="_Ref103007171"/>
      <w:r w:rsidRPr="00AC4AEA">
        <w:rPr>
          <w:rFonts w:ascii="Arial" w:hAnsi="Arial" w:cs="Arial"/>
          <w:sz w:val="20"/>
          <w:szCs w:val="20"/>
        </w:rPr>
        <w:t xml:space="preserve">Cuando utilice alguno de los criterios indicados en el inciso a) del párrafo anterior para medir estos </w:t>
      </w:r>
      <w:r w:rsidR="00497590" w:rsidRPr="00AC4AEA">
        <w:rPr>
          <w:rFonts w:ascii="Arial" w:hAnsi="Arial" w:cs="Arial"/>
          <w:sz w:val="20"/>
          <w:szCs w:val="20"/>
        </w:rPr>
        <w:t>activos</w:t>
      </w:r>
      <w:r w:rsidRPr="00AC4AEA">
        <w:rPr>
          <w:rFonts w:ascii="Arial" w:hAnsi="Arial" w:cs="Arial"/>
          <w:sz w:val="20"/>
          <w:szCs w:val="20"/>
        </w:rPr>
        <w:t xml:space="preserve"> en el reconocimiento, </w:t>
      </w:r>
      <w:r w:rsidR="00BD7827" w:rsidRPr="00AC4AEA">
        <w:rPr>
          <w:rFonts w:ascii="Arial" w:hAnsi="Arial" w:cs="Arial"/>
          <w:sz w:val="20"/>
          <w:szCs w:val="20"/>
        </w:rPr>
        <w:t xml:space="preserve">una entidad imputará a resultados </w:t>
      </w:r>
      <w:r w:rsidRPr="00AC4AEA">
        <w:rPr>
          <w:rFonts w:ascii="Arial" w:hAnsi="Arial" w:cs="Arial"/>
          <w:sz w:val="20"/>
          <w:szCs w:val="20"/>
        </w:rPr>
        <w:t xml:space="preserve">los </w:t>
      </w:r>
      <w:r w:rsidR="001505F0" w:rsidRPr="00AC4AEA">
        <w:rPr>
          <w:rFonts w:ascii="Arial" w:hAnsi="Arial" w:cs="Arial"/>
          <w:sz w:val="20"/>
          <w:szCs w:val="20"/>
        </w:rPr>
        <w:t>desembolsos ocasionados por la compra.</w:t>
      </w:r>
      <w:bookmarkEnd w:id="613"/>
    </w:p>
    <w:p w:rsidR="00804242" w:rsidRPr="00AC4AEA" w:rsidRDefault="00804242" w:rsidP="00A318EA">
      <w:pPr>
        <w:jc w:val="both"/>
        <w:rPr>
          <w:rFonts w:ascii="Arial" w:hAnsi="Arial" w:cs="Arial"/>
          <w:b/>
          <w:bCs/>
          <w:sz w:val="20"/>
          <w:szCs w:val="20"/>
        </w:rPr>
      </w:pPr>
    </w:p>
    <w:p w:rsidR="00804242" w:rsidRPr="00AC4AEA" w:rsidRDefault="00804242" w:rsidP="00A318EA">
      <w:pPr>
        <w:pStyle w:val="Ttulo2"/>
        <w:rPr>
          <w:rFonts w:cs="Arial"/>
        </w:rPr>
      </w:pPr>
      <w:bookmarkStart w:id="614" w:name="_Toc139356780"/>
      <w:r w:rsidRPr="00AC4AEA">
        <w:rPr>
          <w:rFonts w:cs="Arial"/>
        </w:rPr>
        <w:t>Medición posterior</w:t>
      </w:r>
      <w:bookmarkEnd w:id="614"/>
    </w:p>
    <w:p w:rsidR="00804242" w:rsidRPr="00AC4AEA" w:rsidRDefault="0080424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estas inversiones, de manera consistente con lo establecido en el párrafo anterior, de acuerdo con los criterios </w:t>
      </w:r>
      <w:r w:rsidR="001505F0" w:rsidRPr="00AC4AEA">
        <w:rPr>
          <w:rFonts w:ascii="Arial" w:hAnsi="Arial" w:cs="Arial"/>
          <w:sz w:val="20"/>
          <w:szCs w:val="20"/>
        </w:rPr>
        <w:t xml:space="preserve">que se </w:t>
      </w:r>
      <w:r w:rsidRPr="00AC4AEA">
        <w:rPr>
          <w:rFonts w:ascii="Arial" w:hAnsi="Arial" w:cs="Arial"/>
          <w:sz w:val="20"/>
          <w:szCs w:val="20"/>
        </w:rPr>
        <w:t>indica</w:t>
      </w:r>
      <w:r w:rsidR="001505F0" w:rsidRPr="00AC4AEA">
        <w:rPr>
          <w:rFonts w:ascii="Arial" w:hAnsi="Arial" w:cs="Arial"/>
          <w:sz w:val="20"/>
          <w:szCs w:val="20"/>
        </w:rPr>
        <w:t>n</w:t>
      </w:r>
      <w:r w:rsidRPr="00AC4AEA">
        <w:rPr>
          <w:rFonts w:ascii="Arial" w:hAnsi="Arial" w:cs="Arial"/>
          <w:sz w:val="20"/>
          <w:szCs w:val="20"/>
        </w:rPr>
        <w:t xml:space="preserve"> a continuación:</w:t>
      </w:r>
    </w:p>
    <w:p w:rsidR="001505F0" w:rsidRPr="00AC4AEA" w:rsidRDefault="001505F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Cuando sean </w:t>
      </w:r>
      <w:r w:rsidR="00497590" w:rsidRPr="00AC4AEA">
        <w:rPr>
          <w:rFonts w:ascii="Arial" w:hAnsi="Arial" w:cs="Arial"/>
          <w:sz w:val="20"/>
          <w:szCs w:val="20"/>
        </w:rPr>
        <w:t>activos</w:t>
      </w:r>
      <w:r w:rsidRPr="00AC4AEA">
        <w:rPr>
          <w:rFonts w:ascii="Arial" w:hAnsi="Arial" w:cs="Arial"/>
          <w:sz w:val="20"/>
          <w:szCs w:val="20"/>
        </w:rPr>
        <w:t xml:space="preserve"> con un precio directamente observable:</w:t>
      </w:r>
    </w:p>
    <w:p w:rsidR="00804242" w:rsidRPr="00AC4AEA" w:rsidRDefault="00804242" w:rsidP="005C29C7">
      <w:pPr>
        <w:pStyle w:val="Prrafodelista"/>
        <w:numPr>
          <w:ilvl w:val="2"/>
          <w:numId w:val="29"/>
        </w:numPr>
        <w:ind w:left="2127" w:hanging="312"/>
        <w:contextualSpacing w:val="0"/>
        <w:jc w:val="both"/>
        <w:rPr>
          <w:rFonts w:ascii="Arial" w:hAnsi="Arial" w:cs="Arial"/>
          <w:sz w:val="20"/>
          <w:szCs w:val="20"/>
        </w:rPr>
      </w:pPr>
      <w:r w:rsidRPr="00AC4AEA">
        <w:rPr>
          <w:rFonts w:ascii="Arial" w:hAnsi="Arial" w:cs="Arial"/>
          <w:sz w:val="20"/>
          <w:szCs w:val="20"/>
        </w:rPr>
        <w:t xml:space="preserve">a su </w:t>
      </w:r>
      <w:r w:rsidRPr="00AC4AEA">
        <w:rPr>
          <w:rFonts w:ascii="Arial" w:hAnsi="Arial" w:cs="Arial"/>
          <w:b/>
          <w:bCs/>
          <w:sz w:val="20"/>
          <w:szCs w:val="20"/>
        </w:rPr>
        <w:t>valor razonable</w:t>
      </w:r>
      <w:r w:rsidRPr="00AC4AEA">
        <w:rPr>
          <w:rFonts w:ascii="Arial" w:hAnsi="Arial" w:cs="Arial"/>
          <w:sz w:val="20"/>
          <w:szCs w:val="20"/>
        </w:rPr>
        <w:t>; o</w:t>
      </w:r>
    </w:p>
    <w:p w:rsidR="00804242" w:rsidRPr="00AC4AEA" w:rsidRDefault="00804242" w:rsidP="005C29C7">
      <w:pPr>
        <w:pStyle w:val="Prrafodelista"/>
        <w:numPr>
          <w:ilvl w:val="2"/>
          <w:numId w:val="29"/>
        </w:numPr>
        <w:ind w:left="2127" w:hanging="312"/>
        <w:contextualSpacing w:val="0"/>
        <w:jc w:val="both"/>
        <w:rPr>
          <w:rFonts w:ascii="Arial" w:hAnsi="Arial" w:cs="Arial"/>
          <w:sz w:val="20"/>
          <w:szCs w:val="20"/>
        </w:rPr>
      </w:pPr>
      <w:r w:rsidRPr="00AC4AEA">
        <w:rPr>
          <w:rFonts w:ascii="Arial" w:hAnsi="Arial" w:cs="Arial"/>
          <w:sz w:val="20"/>
          <w:szCs w:val="20"/>
        </w:rPr>
        <w:t xml:space="preserve">a su </w:t>
      </w:r>
      <w:r w:rsidRPr="00AC4AEA">
        <w:rPr>
          <w:rFonts w:ascii="Arial" w:hAnsi="Arial" w:cs="Arial"/>
          <w:b/>
          <w:bCs/>
          <w:sz w:val="20"/>
          <w:szCs w:val="20"/>
        </w:rPr>
        <w:t>cotización</w:t>
      </w:r>
      <w:r w:rsidR="00A017D0" w:rsidRPr="00AC4AEA">
        <w:rPr>
          <w:rFonts w:ascii="Arial" w:hAnsi="Arial" w:cs="Arial"/>
          <w:b/>
          <w:bCs/>
          <w:sz w:val="20"/>
          <w:szCs w:val="20"/>
        </w:rPr>
        <w:t xml:space="preserve"> sucedánea</w:t>
      </w:r>
      <w:r w:rsidRPr="00AC4AEA">
        <w:rPr>
          <w:rFonts w:ascii="Arial" w:hAnsi="Arial" w:cs="Arial"/>
          <w:b/>
          <w:bCs/>
          <w:sz w:val="20"/>
          <w:szCs w:val="20"/>
        </w:rPr>
        <w:t>,</w:t>
      </w:r>
      <w:r w:rsidRPr="00AC4AEA">
        <w:rPr>
          <w:rFonts w:ascii="Arial" w:hAnsi="Arial" w:cs="Arial"/>
          <w:sz w:val="20"/>
          <w:szCs w:val="20"/>
        </w:rPr>
        <w:t xml:space="preserve"> cuando </w:t>
      </w:r>
      <w:r w:rsidR="007B7E5B" w:rsidRPr="00AC4AEA">
        <w:rPr>
          <w:rFonts w:ascii="Arial" w:hAnsi="Arial" w:cs="Arial"/>
          <w:sz w:val="20"/>
          <w:szCs w:val="20"/>
        </w:rPr>
        <w:t xml:space="preserve">no pueda determinarse el </w:t>
      </w:r>
      <w:r w:rsidR="007B7E5B" w:rsidRPr="00AC4AEA">
        <w:rPr>
          <w:rFonts w:ascii="Arial" w:hAnsi="Arial" w:cs="Arial"/>
          <w:b/>
          <w:bCs/>
          <w:sz w:val="20"/>
          <w:szCs w:val="20"/>
        </w:rPr>
        <w:t>valor razonable</w:t>
      </w:r>
      <w:r w:rsidR="001505F0" w:rsidRPr="00AC4AEA">
        <w:rPr>
          <w:rFonts w:ascii="Arial" w:hAnsi="Arial" w:cs="Arial"/>
          <w:sz w:val="20"/>
          <w:szCs w:val="20"/>
        </w:rPr>
        <w:t>.</w:t>
      </w:r>
    </w:p>
    <w:p w:rsidR="00804242" w:rsidRPr="00AC4AEA" w:rsidRDefault="001505F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w:t>
      </w:r>
      <w:r w:rsidR="00804242" w:rsidRPr="00AC4AEA">
        <w:rPr>
          <w:rFonts w:ascii="Arial" w:hAnsi="Arial" w:cs="Arial"/>
          <w:sz w:val="20"/>
          <w:szCs w:val="20"/>
        </w:rPr>
        <w:t xml:space="preserve"> su </w:t>
      </w:r>
      <w:r w:rsidR="00804242" w:rsidRPr="00AC4AEA">
        <w:rPr>
          <w:rFonts w:ascii="Arial" w:hAnsi="Arial" w:cs="Arial"/>
          <w:b/>
          <w:bCs/>
          <w:sz w:val="20"/>
          <w:szCs w:val="20"/>
        </w:rPr>
        <w:t xml:space="preserve">costo </w:t>
      </w:r>
      <w:r w:rsidRPr="00AC4AEA">
        <w:rPr>
          <w:rFonts w:ascii="Arial" w:hAnsi="Arial" w:cs="Arial"/>
          <w:b/>
          <w:bCs/>
          <w:sz w:val="20"/>
          <w:szCs w:val="20"/>
        </w:rPr>
        <w:t>de adquisición</w:t>
      </w:r>
      <w:r w:rsidR="00804242" w:rsidRPr="00AC4AEA">
        <w:rPr>
          <w:rFonts w:ascii="Arial" w:hAnsi="Arial" w:cs="Arial"/>
          <w:b/>
          <w:bCs/>
          <w:sz w:val="20"/>
          <w:szCs w:val="20"/>
        </w:rPr>
        <w:t>,</w:t>
      </w:r>
      <w:r w:rsidR="00804242" w:rsidRPr="00AC4AEA">
        <w:rPr>
          <w:rFonts w:ascii="Arial" w:hAnsi="Arial" w:cs="Arial"/>
          <w:sz w:val="20"/>
          <w:szCs w:val="20"/>
        </w:rPr>
        <w:t xml:space="preserve"> </w:t>
      </w:r>
      <w:r w:rsidRPr="00AC4AEA">
        <w:rPr>
          <w:rFonts w:ascii="Arial" w:hAnsi="Arial" w:cs="Arial"/>
          <w:sz w:val="20"/>
          <w:szCs w:val="20"/>
        </w:rPr>
        <w:t>en los restantes casos</w:t>
      </w:r>
      <w:r w:rsidR="00804242" w:rsidRPr="00AC4AEA">
        <w:rPr>
          <w:rFonts w:ascii="Arial" w:hAnsi="Arial" w:cs="Arial"/>
          <w:sz w:val="20"/>
          <w:szCs w:val="20"/>
        </w:rPr>
        <w:t>.</w:t>
      </w:r>
    </w:p>
    <w:p w:rsidR="00804242" w:rsidRPr="00AC4AEA" w:rsidRDefault="00804242" w:rsidP="00A318EA">
      <w:pPr>
        <w:jc w:val="both"/>
        <w:rPr>
          <w:rFonts w:ascii="Arial" w:hAnsi="Arial" w:cs="Arial"/>
          <w:sz w:val="20"/>
          <w:szCs w:val="20"/>
        </w:rPr>
      </w:pPr>
    </w:p>
    <w:p w:rsidR="00804242" w:rsidRPr="00AC4AEA" w:rsidRDefault="00804242" w:rsidP="00A318EA">
      <w:pPr>
        <w:pStyle w:val="Ttulo2"/>
        <w:rPr>
          <w:rFonts w:cs="Arial"/>
        </w:rPr>
      </w:pPr>
      <w:bookmarkStart w:id="615" w:name="_Toc139356781"/>
      <w:r w:rsidRPr="00AC4AEA">
        <w:rPr>
          <w:rFonts w:cs="Arial"/>
        </w:rPr>
        <w:t>Comparación con el valor recuperable</w:t>
      </w:r>
      <w:bookmarkEnd w:id="615"/>
    </w:p>
    <w:p w:rsidR="00804242" w:rsidRPr="00AC4AEA" w:rsidRDefault="0080424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evaluará, a la </w:t>
      </w:r>
      <w:r w:rsidRPr="00AC4AEA">
        <w:rPr>
          <w:rFonts w:ascii="Arial" w:hAnsi="Arial" w:cs="Arial"/>
          <w:b/>
          <w:bCs/>
          <w:sz w:val="20"/>
          <w:szCs w:val="20"/>
        </w:rPr>
        <w:t>fecha de los estados contables</w:t>
      </w:r>
      <w:r w:rsidRPr="00AC4AEA">
        <w:rPr>
          <w:rFonts w:ascii="Arial" w:hAnsi="Arial" w:cs="Arial"/>
          <w:sz w:val="20"/>
          <w:szCs w:val="20"/>
        </w:rPr>
        <w:t>, si existen indicios de desvalorización de las otras inversiones medidas</w:t>
      </w:r>
      <w:r w:rsidR="001505F0" w:rsidRPr="00AC4AEA">
        <w:rPr>
          <w:rFonts w:ascii="Arial" w:hAnsi="Arial" w:cs="Arial"/>
          <w:sz w:val="20"/>
          <w:szCs w:val="20"/>
        </w:rPr>
        <w:t xml:space="preserve"> por su</w:t>
      </w:r>
      <w:r w:rsidRPr="00AC4AEA">
        <w:rPr>
          <w:rFonts w:ascii="Arial" w:hAnsi="Arial" w:cs="Arial"/>
          <w:sz w:val="20"/>
          <w:szCs w:val="20"/>
        </w:rPr>
        <w:t xml:space="preserve"> </w:t>
      </w:r>
      <w:r w:rsidRPr="00AC4AEA">
        <w:rPr>
          <w:rFonts w:ascii="Arial" w:hAnsi="Arial" w:cs="Arial"/>
          <w:b/>
          <w:bCs/>
          <w:sz w:val="20"/>
          <w:szCs w:val="20"/>
        </w:rPr>
        <w:t>costo de adquisición</w:t>
      </w:r>
      <w:r w:rsidRPr="00AC4AEA">
        <w:rPr>
          <w:rFonts w:ascii="Arial" w:hAnsi="Arial" w:cs="Arial"/>
          <w:sz w:val="20"/>
          <w:szCs w:val="20"/>
        </w:rPr>
        <w:t>.</w:t>
      </w:r>
    </w:p>
    <w:p w:rsidR="004372F0" w:rsidRPr="00AC4AEA" w:rsidRDefault="004372F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el caso de las otras inversiones que se miden al </w:t>
      </w:r>
      <w:r w:rsidRPr="00AC4AEA">
        <w:rPr>
          <w:rFonts w:ascii="Arial" w:hAnsi="Arial" w:cs="Arial"/>
          <w:b/>
          <w:bCs/>
          <w:sz w:val="20"/>
          <w:szCs w:val="20"/>
        </w:rPr>
        <w:t xml:space="preserve">costo de adquisición, </w:t>
      </w:r>
      <w:r w:rsidRPr="00AC4AEA">
        <w:rPr>
          <w:rFonts w:ascii="Arial" w:hAnsi="Arial" w:cs="Arial"/>
          <w:sz w:val="20"/>
          <w:szCs w:val="20"/>
        </w:rPr>
        <w:t>una entidad:</w:t>
      </w:r>
    </w:p>
    <w:p w:rsidR="004372F0" w:rsidRPr="00AC4AEA" w:rsidRDefault="000C276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considera</w:t>
      </w:r>
      <w:r w:rsidR="004372F0" w:rsidRPr="00AC4AEA">
        <w:rPr>
          <w:rFonts w:ascii="Arial" w:hAnsi="Arial" w:cs="Arial"/>
          <w:sz w:val="20"/>
          <w:szCs w:val="20"/>
        </w:rPr>
        <w:t xml:space="preserve"> que su </w:t>
      </w:r>
      <w:r w:rsidR="004372F0" w:rsidRPr="00AC4AEA">
        <w:rPr>
          <w:rFonts w:ascii="Arial" w:hAnsi="Arial" w:cs="Arial"/>
          <w:b/>
          <w:bCs/>
          <w:sz w:val="20"/>
          <w:szCs w:val="20"/>
        </w:rPr>
        <w:t>valor recuperable</w:t>
      </w:r>
      <w:r w:rsidR="004372F0" w:rsidRPr="00AC4AEA">
        <w:rPr>
          <w:rFonts w:ascii="Arial" w:hAnsi="Arial" w:cs="Arial"/>
          <w:sz w:val="20"/>
          <w:szCs w:val="20"/>
        </w:rPr>
        <w:t xml:space="preserve"> es equivalente al</w:t>
      </w:r>
      <w:r w:rsidR="00A82EFF" w:rsidRPr="00AC4AEA">
        <w:rPr>
          <w:rFonts w:ascii="Arial" w:hAnsi="Arial" w:cs="Arial"/>
          <w:sz w:val="20"/>
          <w:szCs w:val="20"/>
        </w:rPr>
        <w:t xml:space="preserve"> </w:t>
      </w:r>
      <w:r w:rsidR="004372F0" w:rsidRPr="00AC4AEA">
        <w:rPr>
          <w:rFonts w:ascii="Arial" w:hAnsi="Arial" w:cs="Arial"/>
          <w:b/>
          <w:bCs/>
          <w:sz w:val="20"/>
          <w:szCs w:val="20"/>
        </w:rPr>
        <w:t>valor neto de realización</w:t>
      </w:r>
      <w:r w:rsidR="004372F0" w:rsidRPr="00AC4AEA">
        <w:rPr>
          <w:rFonts w:ascii="Arial" w:hAnsi="Arial" w:cs="Arial"/>
          <w:sz w:val="20"/>
          <w:szCs w:val="20"/>
        </w:rPr>
        <w:t>; y</w:t>
      </w:r>
    </w:p>
    <w:p w:rsidR="004372F0" w:rsidRPr="00AC4AEA" w:rsidRDefault="004372F0"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determinará </w:t>
      </w:r>
      <w:r w:rsidRPr="00AC4AEA">
        <w:rPr>
          <w:rFonts w:ascii="Arial" w:hAnsi="Arial" w:cs="Arial"/>
          <w:b/>
          <w:bCs/>
          <w:sz w:val="20"/>
          <w:szCs w:val="20"/>
        </w:rPr>
        <w:t xml:space="preserve">pérdidas por desvalorización </w:t>
      </w:r>
      <w:r w:rsidRPr="00AC4AEA">
        <w:rPr>
          <w:rFonts w:ascii="Arial" w:hAnsi="Arial" w:cs="Arial"/>
          <w:sz w:val="20"/>
          <w:szCs w:val="20"/>
        </w:rPr>
        <w:t>cuando el importe indicado en el inciso anterior es inferior a su medición contable.</w:t>
      </w:r>
    </w:p>
    <w:p w:rsidR="00804242" w:rsidRPr="00AC4AEA" w:rsidRDefault="00804242" w:rsidP="00A318EA">
      <w:pPr>
        <w:pStyle w:val="A-Normal11"/>
        <w:numPr>
          <w:ilvl w:val="0"/>
          <w:numId w:val="29"/>
        </w:numPr>
        <w:jc w:val="both"/>
        <w:rPr>
          <w:rFonts w:ascii="Arial" w:hAnsi="Arial" w:cs="Arial"/>
          <w:sz w:val="20"/>
        </w:rPr>
      </w:pPr>
      <w:r w:rsidRPr="00AC4AEA">
        <w:rPr>
          <w:rFonts w:ascii="Arial" w:hAnsi="Arial" w:cs="Arial"/>
          <w:sz w:val="20"/>
        </w:rPr>
        <w:t xml:space="preserve">Una entidad revertirá </w:t>
      </w:r>
      <w:r w:rsidRPr="00AC4AEA">
        <w:rPr>
          <w:rFonts w:ascii="Arial" w:hAnsi="Arial" w:cs="Arial"/>
          <w:b/>
          <w:bCs/>
          <w:sz w:val="20"/>
        </w:rPr>
        <w:t xml:space="preserve">pérdidas por desvalorización </w:t>
      </w:r>
      <w:r w:rsidRPr="00AC4AEA">
        <w:rPr>
          <w:rFonts w:ascii="Arial" w:hAnsi="Arial" w:cs="Arial"/>
          <w:sz w:val="20"/>
        </w:rPr>
        <w:t xml:space="preserve">reconocidas en períodos anteriores solo cuando, con posterioridad a la fecha de su determinación, se modifiquen las estimaciones efectuadas para determinar el </w:t>
      </w:r>
      <w:r w:rsidRPr="00AC4AEA">
        <w:rPr>
          <w:rFonts w:ascii="Arial" w:hAnsi="Arial" w:cs="Arial"/>
          <w:b/>
          <w:bCs/>
          <w:sz w:val="20"/>
        </w:rPr>
        <w:t>valor recuperable</w:t>
      </w:r>
      <w:r w:rsidRPr="00AC4AEA">
        <w:rPr>
          <w:rFonts w:ascii="Arial" w:hAnsi="Arial" w:cs="Arial"/>
          <w:sz w:val="20"/>
        </w:rPr>
        <w:t>. En tal caso, aumentará la medición contable de las otras inversiones por un importe que sea el menor entre:</w:t>
      </w:r>
    </w:p>
    <w:p w:rsidR="00804242" w:rsidRPr="00AC4AEA" w:rsidRDefault="00804242" w:rsidP="00A318EA">
      <w:pPr>
        <w:pStyle w:val="A-Normal11"/>
        <w:numPr>
          <w:ilvl w:val="1"/>
          <w:numId w:val="29"/>
        </w:numPr>
        <w:ind w:left="1560"/>
        <w:jc w:val="both"/>
        <w:rPr>
          <w:rFonts w:ascii="Arial" w:hAnsi="Arial" w:cs="Arial"/>
          <w:sz w:val="20"/>
        </w:rPr>
      </w:pPr>
      <w:r w:rsidRPr="00AC4AEA">
        <w:rPr>
          <w:rFonts w:ascii="Arial" w:hAnsi="Arial" w:cs="Arial"/>
          <w:sz w:val="20"/>
        </w:rPr>
        <w:t xml:space="preserve">la medición contable que las inversiones habrían tenido si nunca se hubiese reconocido una </w:t>
      </w:r>
      <w:r w:rsidRPr="00AC4AEA">
        <w:rPr>
          <w:rFonts w:ascii="Arial" w:hAnsi="Arial" w:cs="Arial"/>
          <w:b/>
          <w:bCs/>
          <w:sz w:val="20"/>
        </w:rPr>
        <w:t>pérdida por desvalorización;</w:t>
      </w:r>
      <w:r w:rsidRPr="00AC4AEA">
        <w:rPr>
          <w:rFonts w:ascii="Arial" w:hAnsi="Arial" w:cs="Arial"/>
          <w:sz w:val="20"/>
        </w:rPr>
        <w:t xml:space="preserve"> y</w:t>
      </w:r>
    </w:p>
    <w:p w:rsidR="00804242" w:rsidRPr="00AC4AEA" w:rsidRDefault="00804242" w:rsidP="00A318EA">
      <w:pPr>
        <w:pStyle w:val="A-Normal11"/>
        <w:numPr>
          <w:ilvl w:val="1"/>
          <w:numId w:val="29"/>
        </w:numPr>
        <w:ind w:left="1560"/>
        <w:jc w:val="both"/>
        <w:rPr>
          <w:rFonts w:ascii="Arial" w:hAnsi="Arial" w:cs="Arial"/>
          <w:sz w:val="20"/>
        </w:rPr>
      </w:pPr>
      <w:r w:rsidRPr="00AC4AEA">
        <w:rPr>
          <w:rFonts w:ascii="Arial" w:hAnsi="Arial" w:cs="Arial"/>
          <w:sz w:val="20"/>
        </w:rPr>
        <w:t xml:space="preserve">su nuevo </w:t>
      </w:r>
      <w:r w:rsidRPr="00AC4AEA">
        <w:rPr>
          <w:rFonts w:ascii="Arial" w:hAnsi="Arial" w:cs="Arial"/>
          <w:b/>
          <w:bCs/>
          <w:sz w:val="20"/>
        </w:rPr>
        <w:t>valor recuperable</w:t>
      </w:r>
      <w:r w:rsidRPr="00AC4AEA">
        <w:rPr>
          <w:rFonts w:ascii="Arial" w:hAnsi="Arial" w:cs="Arial"/>
          <w:sz w:val="20"/>
        </w:rPr>
        <w:t>.</w:t>
      </w:r>
    </w:p>
    <w:p w:rsidR="00804242" w:rsidRPr="00AC4AEA" w:rsidRDefault="00804242" w:rsidP="00A318EA">
      <w:pPr>
        <w:jc w:val="both"/>
        <w:rPr>
          <w:rFonts w:ascii="Arial" w:hAnsi="Arial" w:cs="Arial"/>
          <w:sz w:val="20"/>
          <w:szCs w:val="20"/>
        </w:rPr>
      </w:pPr>
    </w:p>
    <w:p w:rsidR="00804242" w:rsidRPr="00AC4AEA" w:rsidRDefault="00804242" w:rsidP="00A318EA">
      <w:pPr>
        <w:pStyle w:val="Ttulo2"/>
        <w:rPr>
          <w:rFonts w:cs="Arial"/>
        </w:rPr>
      </w:pPr>
      <w:bookmarkStart w:id="616" w:name="_Toc139356782"/>
      <w:r w:rsidRPr="00AC4AEA">
        <w:rPr>
          <w:rFonts w:cs="Arial"/>
        </w:rPr>
        <w:t xml:space="preserve">Presentación en los </w:t>
      </w:r>
      <w:r w:rsidRPr="00AC4AEA">
        <w:rPr>
          <w:rFonts w:cs="Arial"/>
          <w:bCs/>
        </w:rPr>
        <w:t>estados contables</w:t>
      </w:r>
      <w:bookmarkEnd w:id="616"/>
    </w:p>
    <w:p w:rsidR="00804242" w:rsidRPr="00AC4AEA" w:rsidRDefault="006F1F4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804242" w:rsidRPr="00AC4AEA">
        <w:rPr>
          <w:rFonts w:ascii="Arial" w:hAnsi="Arial" w:cs="Arial"/>
          <w:sz w:val="20"/>
          <w:szCs w:val="20"/>
        </w:rPr>
        <w:t xml:space="preserve">na entidad presentará el saldo de otras inversiones como </w:t>
      </w:r>
      <w:r w:rsidR="00497590" w:rsidRPr="00AC4AEA">
        <w:rPr>
          <w:rFonts w:ascii="Arial" w:hAnsi="Arial" w:cs="Arial"/>
          <w:bCs/>
          <w:sz w:val="20"/>
          <w:szCs w:val="20"/>
        </w:rPr>
        <w:t>activos</w:t>
      </w:r>
      <w:r w:rsidR="00804242" w:rsidRPr="00AC4AEA">
        <w:rPr>
          <w:rFonts w:ascii="Arial" w:hAnsi="Arial" w:cs="Arial"/>
          <w:bCs/>
          <w:sz w:val="20"/>
          <w:szCs w:val="20"/>
        </w:rPr>
        <w:t xml:space="preserve"> corrientes </w:t>
      </w:r>
      <w:r w:rsidR="00804242" w:rsidRPr="00AC4AEA">
        <w:rPr>
          <w:rFonts w:ascii="Arial" w:hAnsi="Arial" w:cs="Arial"/>
          <w:sz w:val="20"/>
          <w:szCs w:val="20"/>
        </w:rPr>
        <w:t xml:space="preserve">o </w:t>
      </w:r>
      <w:r w:rsidR="00497590" w:rsidRPr="00AC4AEA">
        <w:rPr>
          <w:rFonts w:ascii="Arial" w:hAnsi="Arial" w:cs="Arial"/>
          <w:bCs/>
          <w:sz w:val="20"/>
          <w:szCs w:val="20"/>
        </w:rPr>
        <w:t>activos</w:t>
      </w:r>
      <w:r w:rsidR="00804242" w:rsidRPr="00AC4AEA">
        <w:rPr>
          <w:rFonts w:ascii="Arial" w:hAnsi="Arial" w:cs="Arial"/>
          <w:bCs/>
          <w:sz w:val="20"/>
          <w:szCs w:val="20"/>
        </w:rPr>
        <w:t xml:space="preserve"> no corrientes</w:t>
      </w:r>
      <w:r w:rsidR="00804242" w:rsidRPr="00AC4AEA">
        <w:rPr>
          <w:rFonts w:ascii="Arial" w:hAnsi="Arial" w:cs="Arial"/>
          <w:sz w:val="20"/>
          <w:szCs w:val="20"/>
        </w:rPr>
        <w:t>, según corresponda.</w:t>
      </w:r>
    </w:p>
    <w:p w:rsidR="00804242" w:rsidRPr="00AC4AEA" w:rsidRDefault="006F1F4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resultados, u</w:t>
      </w:r>
      <w:r w:rsidR="00804242" w:rsidRPr="00AC4AEA">
        <w:rPr>
          <w:rFonts w:ascii="Arial" w:hAnsi="Arial" w:cs="Arial"/>
          <w:sz w:val="20"/>
          <w:szCs w:val="20"/>
        </w:rPr>
        <w:t xml:space="preserve">na entidad presentará las </w:t>
      </w:r>
      <w:r w:rsidR="00804242" w:rsidRPr="00AC4AEA">
        <w:rPr>
          <w:rFonts w:ascii="Arial" w:hAnsi="Arial" w:cs="Arial"/>
          <w:b/>
          <w:bCs/>
          <w:sz w:val="20"/>
          <w:szCs w:val="20"/>
        </w:rPr>
        <w:t>pérdidas por desvalorización</w:t>
      </w:r>
      <w:r w:rsidR="00804242" w:rsidRPr="00AC4AEA">
        <w:rPr>
          <w:rFonts w:ascii="Arial" w:hAnsi="Arial" w:cs="Arial"/>
          <w:sz w:val="20"/>
          <w:szCs w:val="20"/>
        </w:rPr>
        <w:t xml:space="preserve"> y las reversiones de dichas pérdidas bajo un título específico para tales conceptos.</w:t>
      </w:r>
    </w:p>
    <w:p w:rsidR="00804242" w:rsidRPr="00AC4AEA" w:rsidRDefault="00357CA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resultados, u</w:t>
      </w:r>
      <w:r w:rsidR="00804242" w:rsidRPr="00AC4AEA">
        <w:rPr>
          <w:rFonts w:ascii="Arial" w:hAnsi="Arial" w:cs="Arial"/>
          <w:sz w:val="20"/>
          <w:szCs w:val="20"/>
        </w:rPr>
        <w:t xml:space="preserve">na entidad presentará </w:t>
      </w:r>
      <w:r w:rsidR="004F2B86" w:rsidRPr="00AC4AEA">
        <w:rPr>
          <w:rFonts w:ascii="Arial" w:hAnsi="Arial" w:cs="Arial"/>
          <w:sz w:val="20"/>
          <w:szCs w:val="20"/>
        </w:rPr>
        <w:t>los gastos asociados a la compra reconocidos de acuerdo co</w:t>
      </w:r>
      <w:r w:rsidR="006F1F47" w:rsidRPr="00AC4AEA">
        <w:rPr>
          <w:rFonts w:ascii="Arial" w:hAnsi="Arial" w:cs="Arial"/>
          <w:sz w:val="20"/>
          <w:szCs w:val="20"/>
        </w:rPr>
        <w:t>n</w:t>
      </w:r>
      <w:r w:rsidR="004F2B86" w:rsidRPr="00AC4AEA">
        <w:rPr>
          <w:rFonts w:ascii="Arial" w:hAnsi="Arial" w:cs="Arial"/>
          <w:sz w:val="20"/>
          <w:szCs w:val="20"/>
        </w:rPr>
        <w:t xml:space="preserve"> el párrafo </w:t>
      </w:r>
      <w:fldSimple w:instr=" REF _Ref103007171 \r \h  \* MERGEFORMAT ">
        <w:r w:rsidR="00D33A5D" w:rsidRPr="00D33A5D">
          <w:rPr>
            <w:rFonts w:ascii="Arial" w:hAnsi="Arial" w:cs="Arial"/>
            <w:sz w:val="20"/>
            <w:szCs w:val="20"/>
          </w:rPr>
          <w:t>438</w:t>
        </w:r>
      </w:fldSimple>
      <w:r w:rsidR="004F2B86" w:rsidRPr="00AC4AEA">
        <w:rPr>
          <w:rFonts w:ascii="Arial" w:hAnsi="Arial" w:cs="Arial"/>
          <w:sz w:val="20"/>
          <w:szCs w:val="20"/>
        </w:rPr>
        <w:t xml:space="preserve"> y </w:t>
      </w:r>
      <w:r w:rsidR="00804242" w:rsidRPr="00AC4AEA">
        <w:rPr>
          <w:rFonts w:ascii="Arial" w:hAnsi="Arial" w:cs="Arial"/>
          <w:sz w:val="20"/>
          <w:szCs w:val="20"/>
        </w:rPr>
        <w:t xml:space="preserve">las ganancias o pérdidas derivadas de cambios en el </w:t>
      </w:r>
      <w:r w:rsidR="00804242" w:rsidRPr="00AC4AEA">
        <w:rPr>
          <w:rFonts w:ascii="Arial" w:hAnsi="Arial" w:cs="Arial"/>
          <w:b/>
          <w:bCs/>
          <w:sz w:val="20"/>
          <w:szCs w:val="20"/>
        </w:rPr>
        <w:t>valor razonable</w:t>
      </w:r>
      <w:r w:rsidR="00804242" w:rsidRPr="00AC4AEA">
        <w:rPr>
          <w:rFonts w:ascii="Arial" w:hAnsi="Arial" w:cs="Arial"/>
          <w:sz w:val="20"/>
          <w:szCs w:val="20"/>
        </w:rPr>
        <w:t xml:space="preserve"> o la </w:t>
      </w:r>
      <w:r w:rsidR="00804242" w:rsidRPr="00AC4AEA">
        <w:rPr>
          <w:rFonts w:ascii="Arial" w:hAnsi="Arial" w:cs="Arial"/>
          <w:b/>
          <w:bCs/>
          <w:sz w:val="20"/>
          <w:szCs w:val="20"/>
        </w:rPr>
        <w:t>cotización</w:t>
      </w:r>
      <w:r w:rsidR="00A017D0" w:rsidRPr="00AC4AEA">
        <w:rPr>
          <w:rFonts w:ascii="Arial" w:hAnsi="Arial" w:cs="Arial"/>
          <w:b/>
          <w:bCs/>
          <w:sz w:val="20"/>
          <w:szCs w:val="20"/>
        </w:rPr>
        <w:t xml:space="preserve"> sucedánea</w:t>
      </w:r>
      <w:r w:rsidR="00804242" w:rsidRPr="00AC4AEA">
        <w:rPr>
          <w:rFonts w:ascii="Arial" w:hAnsi="Arial" w:cs="Arial"/>
          <w:sz w:val="20"/>
          <w:szCs w:val="20"/>
        </w:rPr>
        <w:t xml:space="preserve"> en una partida separada.</w:t>
      </w:r>
    </w:p>
    <w:p w:rsidR="00804242" w:rsidRPr="00AC4AEA" w:rsidRDefault="00804242" w:rsidP="00A318EA">
      <w:pPr>
        <w:pStyle w:val="A-Normal11"/>
        <w:numPr>
          <w:ilvl w:val="0"/>
          <w:numId w:val="29"/>
        </w:numPr>
        <w:jc w:val="both"/>
        <w:rPr>
          <w:rFonts w:ascii="Arial" w:hAnsi="Arial" w:cs="Arial"/>
          <w:b/>
          <w:bCs/>
          <w:sz w:val="20"/>
        </w:rPr>
      </w:pPr>
      <w:r w:rsidRPr="00AC4AEA">
        <w:rPr>
          <w:rFonts w:ascii="Arial" w:hAnsi="Arial" w:cs="Arial"/>
          <w:sz w:val="20"/>
        </w:rPr>
        <w:t xml:space="preserve">Una entidad presentará los resultados derivados de la baja en cuentas de estos </w:t>
      </w:r>
      <w:r w:rsidR="00497590" w:rsidRPr="00AC4AEA">
        <w:rPr>
          <w:rFonts w:ascii="Arial" w:hAnsi="Arial" w:cs="Arial"/>
          <w:sz w:val="20"/>
        </w:rPr>
        <w:t>activos</w:t>
      </w:r>
      <w:r w:rsidRPr="00AC4AEA">
        <w:rPr>
          <w:rFonts w:ascii="Arial" w:hAnsi="Arial" w:cs="Arial"/>
          <w:sz w:val="20"/>
        </w:rPr>
        <w:t xml:space="preserve"> por su disposición bajo el título otros ingresos y gastos, separado de los resultados provenientes de los </w:t>
      </w:r>
      <w:r w:rsidRPr="00AC4AEA">
        <w:rPr>
          <w:rFonts w:ascii="Arial" w:hAnsi="Arial" w:cs="Arial"/>
          <w:b/>
          <w:bCs/>
          <w:sz w:val="20"/>
        </w:rPr>
        <w:t>ingresos por actividades ordinarias.</w:t>
      </w:r>
    </w:p>
    <w:p w:rsidR="00804242" w:rsidRPr="00AC4AEA" w:rsidRDefault="00804242" w:rsidP="00A318EA">
      <w:pPr>
        <w:jc w:val="both"/>
        <w:rPr>
          <w:rFonts w:ascii="Arial" w:hAnsi="Arial" w:cs="Arial"/>
          <w:sz w:val="20"/>
          <w:szCs w:val="20"/>
        </w:rPr>
      </w:pPr>
    </w:p>
    <w:p w:rsidR="00804242" w:rsidRPr="00AC4AEA" w:rsidRDefault="00804242" w:rsidP="00A318EA">
      <w:pPr>
        <w:pStyle w:val="Ttulo2"/>
        <w:rPr>
          <w:rFonts w:cs="Arial"/>
        </w:rPr>
      </w:pPr>
      <w:bookmarkStart w:id="617" w:name="_Toc139356783"/>
      <w:r w:rsidRPr="00AC4AEA">
        <w:rPr>
          <w:rFonts w:cs="Arial"/>
        </w:rPr>
        <w:t>Revelación en notas</w:t>
      </w:r>
      <w:bookmarkEnd w:id="617"/>
    </w:p>
    <w:p w:rsidR="00804242" w:rsidRPr="00AC4AEA" w:rsidRDefault="00804242" w:rsidP="00A318EA">
      <w:pPr>
        <w:pStyle w:val="A-Normal11"/>
        <w:numPr>
          <w:ilvl w:val="0"/>
          <w:numId w:val="29"/>
        </w:numPr>
        <w:jc w:val="both"/>
        <w:rPr>
          <w:rFonts w:ascii="Arial" w:hAnsi="Arial" w:cs="Arial"/>
          <w:sz w:val="20"/>
        </w:rPr>
      </w:pPr>
      <w:r w:rsidRPr="00AC4AEA">
        <w:rPr>
          <w:rFonts w:ascii="Arial" w:hAnsi="Arial" w:cs="Arial"/>
          <w:sz w:val="20"/>
        </w:rPr>
        <w:t xml:space="preserve">Una entidad revelará en notas: </w:t>
      </w:r>
    </w:p>
    <w:p w:rsidR="00804242" w:rsidRPr="00AC4AEA" w:rsidRDefault="00804242" w:rsidP="00A318EA">
      <w:pPr>
        <w:pStyle w:val="Prrafodelista"/>
        <w:numPr>
          <w:ilvl w:val="1"/>
          <w:numId w:val="350"/>
        </w:numPr>
        <w:ind w:left="1560" w:hanging="567"/>
        <w:contextualSpacing w:val="0"/>
        <w:jc w:val="both"/>
        <w:rPr>
          <w:rFonts w:ascii="Arial" w:hAnsi="Arial" w:cs="Arial"/>
          <w:sz w:val="20"/>
          <w:szCs w:val="20"/>
        </w:rPr>
      </w:pPr>
      <w:r w:rsidRPr="00AC4AEA">
        <w:rPr>
          <w:rFonts w:ascii="Arial" w:hAnsi="Arial" w:cs="Arial"/>
          <w:sz w:val="20"/>
          <w:szCs w:val="20"/>
        </w:rPr>
        <w:t xml:space="preserve">la </w:t>
      </w:r>
      <w:r w:rsidRPr="00AC4AEA">
        <w:rPr>
          <w:rFonts w:ascii="Arial" w:hAnsi="Arial" w:cs="Arial"/>
          <w:b/>
          <w:bCs/>
          <w:sz w:val="20"/>
          <w:szCs w:val="20"/>
        </w:rPr>
        <w:t>política contable</w:t>
      </w:r>
      <w:r w:rsidRPr="00AC4AEA">
        <w:rPr>
          <w:rFonts w:ascii="Arial" w:hAnsi="Arial" w:cs="Arial"/>
          <w:sz w:val="20"/>
          <w:szCs w:val="20"/>
        </w:rPr>
        <w:t xml:space="preserve"> seleccionada para cada clase de otras inversiones;</w:t>
      </w:r>
    </w:p>
    <w:p w:rsidR="00804242" w:rsidRPr="00AC4AEA" w:rsidRDefault="00804242" w:rsidP="00A318EA">
      <w:pPr>
        <w:pStyle w:val="Prrafodelista"/>
        <w:numPr>
          <w:ilvl w:val="1"/>
          <w:numId w:val="350"/>
        </w:numPr>
        <w:ind w:left="1559" w:hanging="567"/>
        <w:contextualSpacing w:val="0"/>
        <w:jc w:val="both"/>
        <w:rPr>
          <w:rFonts w:ascii="Arial" w:hAnsi="Arial" w:cs="Arial"/>
          <w:sz w:val="20"/>
          <w:szCs w:val="20"/>
        </w:rPr>
      </w:pPr>
      <w:r w:rsidRPr="00AC4AEA">
        <w:rPr>
          <w:rFonts w:ascii="Arial" w:hAnsi="Arial" w:cs="Arial"/>
          <w:sz w:val="20"/>
          <w:szCs w:val="20"/>
        </w:rPr>
        <w:lastRenderedPageBreak/>
        <w:t>las bases y métodos utilizados y los supuestos considerados en las mediciones basadas en valores corrientes;</w:t>
      </w:r>
    </w:p>
    <w:p w:rsidR="00804242" w:rsidRPr="00AC4AEA" w:rsidRDefault="00804242" w:rsidP="00A318EA">
      <w:pPr>
        <w:pStyle w:val="Prrafodelista"/>
        <w:numPr>
          <w:ilvl w:val="1"/>
          <w:numId w:val="350"/>
        </w:numPr>
        <w:ind w:left="1559" w:hanging="567"/>
        <w:contextualSpacing w:val="0"/>
        <w:jc w:val="both"/>
        <w:rPr>
          <w:rFonts w:ascii="Arial" w:hAnsi="Arial" w:cs="Arial"/>
          <w:sz w:val="20"/>
          <w:szCs w:val="20"/>
        </w:rPr>
      </w:pPr>
      <w:r w:rsidRPr="00AC4AEA">
        <w:rPr>
          <w:rFonts w:ascii="Arial" w:hAnsi="Arial" w:cs="Arial"/>
          <w:sz w:val="20"/>
          <w:szCs w:val="20"/>
        </w:rPr>
        <w:t>los componentes principales del rubro otras inversiones; y</w:t>
      </w:r>
    </w:p>
    <w:p w:rsidR="00804242" w:rsidRPr="00AC4AEA" w:rsidRDefault="00804242" w:rsidP="00A318EA">
      <w:pPr>
        <w:pStyle w:val="Prrafodelista"/>
        <w:numPr>
          <w:ilvl w:val="1"/>
          <w:numId w:val="350"/>
        </w:numPr>
        <w:ind w:left="1559" w:hanging="567"/>
        <w:contextualSpacing w:val="0"/>
        <w:jc w:val="both"/>
        <w:rPr>
          <w:rFonts w:ascii="Arial" w:hAnsi="Arial" w:cs="Arial"/>
          <w:sz w:val="20"/>
          <w:szCs w:val="20"/>
        </w:rPr>
      </w:pPr>
      <w:r w:rsidRPr="00AC4AEA">
        <w:rPr>
          <w:rFonts w:ascii="Arial" w:hAnsi="Arial" w:cs="Arial"/>
          <w:sz w:val="20"/>
          <w:szCs w:val="20"/>
        </w:rPr>
        <w:t>las pérdidas (o reversión de pérdidas) por desvalorización reconocidas durante el período, explicando sus causas principales.</w:t>
      </w:r>
    </w:p>
    <w:p w:rsidR="00804242" w:rsidRPr="00AC4AEA" w:rsidRDefault="00804242" w:rsidP="00A318EA">
      <w:pPr>
        <w:jc w:val="both"/>
        <w:rPr>
          <w:rFonts w:ascii="Arial" w:hAnsi="Arial" w:cs="Arial"/>
          <w:sz w:val="20"/>
          <w:szCs w:val="20"/>
        </w:rPr>
      </w:pPr>
    </w:p>
    <w:p w:rsidR="00804242" w:rsidRPr="00AC4AEA" w:rsidRDefault="00804242" w:rsidP="00A318EA">
      <w:pPr>
        <w:pStyle w:val="A-Normal11"/>
        <w:jc w:val="both"/>
        <w:outlineLvl w:val="1"/>
        <w:rPr>
          <w:rFonts w:ascii="Arial" w:hAnsi="Arial" w:cs="Arial"/>
          <w:b/>
          <w:bCs/>
          <w:sz w:val="20"/>
        </w:rPr>
      </w:pPr>
      <w:bookmarkStart w:id="618" w:name="_Toc139356784"/>
      <w:r w:rsidRPr="00AC4AEA">
        <w:rPr>
          <w:rFonts w:ascii="Arial" w:hAnsi="Arial" w:cs="Arial"/>
          <w:b/>
          <w:bCs/>
          <w:sz w:val="20"/>
        </w:rPr>
        <w:t>Otras normas aplicables</w:t>
      </w:r>
      <w:bookmarkEnd w:id="618"/>
    </w:p>
    <w:p w:rsidR="00804242" w:rsidRPr="00AC4AEA" w:rsidRDefault="0080424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el tratamiento contable de los componentes de </w:t>
      </w:r>
      <w:r w:rsidR="00863881" w:rsidRPr="00AC4AEA">
        <w:rPr>
          <w:rFonts w:ascii="Arial" w:hAnsi="Arial" w:cs="Arial"/>
          <w:sz w:val="20"/>
          <w:szCs w:val="20"/>
        </w:rPr>
        <w:t>otras inversiones</w:t>
      </w:r>
      <w:r w:rsidRPr="00AC4AEA">
        <w:rPr>
          <w:rFonts w:ascii="Arial" w:hAnsi="Arial" w:cs="Arial"/>
          <w:sz w:val="20"/>
          <w:szCs w:val="20"/>
        </w:rPr>
        <w:t xml:space="preserve">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 y sin ánimo de ser exhaustivos, las referidas a:</w:t>
      </w:r>
    </w:p>
    <w:p w:rsidR="00804242" w:rsidRPr="00AC4AEA" w:rsidRDefault="00804242" w:rsidP="00A318EA">
      <w:pPr>
        <w:pStyle w:val="Prrafodelista"/>
        <w:numPr>
          <w:ilvl w:val="1"/>
          <w:numId w:val="326"/>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 y “</w:t>
      </w:r>
      <w:r w:rsidRPr="00AC4AEA">
        <w:rPr>
          <w:rFonts w:ascii="Arial" w:hAnsi="Arial" w:cs="Arial"/>
          <w:sz w:val="20"/>
          <w:szCs w:val="20"/>
          <w:u w:val="single"/>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804242" w:rsidRPr="00AC4AEA" w:rsidRDefault="00804242" w:rsidP="00A318EA">
      <w:pPr>
        <w:pStyle w:val="Prrafodelista"/>
        <w:numPr>
          <w:ilvl w:val="1"/>
          <w:numId w:val="326"/>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804242" w:rsidRPr="00AC4AEA" w:rsidRDefault="00804242" w:rsidP="00A318EA">
      <w:pPr>
        <w:pStyle w:val="Prrafodelista"/>
        <w:numPr>
          <w:ilvl w:val="1"/>
          <w:numId w:val="326"/>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420740">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420740"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804242" w:rsidRPr="00AC4AEA" w:rsidRDefault="00804242" w:rsidP="00A318EA">
      <w:pPr>
        <w:pStyle w:val="Prrafodelista"/>
        <w:numPr>
          <w:ilvl w:val="1"/>
          <w:numId w:val="326"/>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804242" w:rsidRPr="00AC4AEA" w:rsidRDefault="00804242" w:rsidP="00A318EA">
      <w:pPr>
        <w:pStyle w:val="Prrafodelista"/>
        <w:numPr>
          <w:ilvl w:val="1"/>
          <w:numId w:val="326"/>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Baja en cuentas</w:t>
      </w:r>
      <w:r w:rsidRPr="00AC4AEA">
        <w:rPr>
          <w:rFonts w:ascii="Arial" w:hAnsi="Arial" w:cs="Arial"/>
          <w:sz w:val="20"/>
          <w:szCs w:val="20"/>
        </w:rPr>
        <w:t xml:space="preserve">” [ver los párrafos </w:t>
      </w:r>
      <w:fldSimple w:instr=" REF _Ref102844986 \r \h  \* MERGEFORMAT ">
        <w:r w:rsidR="00D33A5D" w:rsidRPr="00D33A5D">
          <w:rPr>
            <w:rFonts w:ascii="Arial" w:hAnsi="Arial" w:cs="Arial"/>
            <w:sz w:val="20"/>
            <w:szCs w:val="20"/>
          </w:rPr>
          <w:t>46</w:t>
        </w:r>
      </w:fldSimple>
      <w:r w:rsidRPr="00AC4AEA">
        <w:rPr>
          <w:rFonts w:ascii="Arial" w:hAnsi="Arial" w:cs="Arial"/>
          <w:sz w:val="20"/>
          <w:szCs w:val="20"/>
        </w:rPr>
        <w:t xml:space="preserve"> a</w:t>
      </w:r>
      <w:r w:rsidR="007E4412" w:rsidRPr="00AC4AEA">
        <w:rPr>
          <w:rFonts w:ascii="Arial" w:hAnsi="Arial" w:cs="Arial"/>
          <w:sz w:val="20"/>
          <w:szCs w:val="20"/>
        </w:rPr>
        <w:t xml:space="preserve"> </w:t>
      </w:r>
      <w:fldSimple w:instr=" REF _Ref102845008 \r \h  \* MERGEFORMAT ">
        <w:r w:rsidR="00D33A5D" w:rsidRPr="00D33A5D">
          <w:rPr>
            <w:rFonts w:ascii="Arial" w:hAnsi="Arial" w:cs="Arial"/>
            <w:sz w:val="20"/>
            <w:szCs w:val="20"/>
          </w:rPr>
          <w:t>48</w:t>
        </w:r>
      </w:fldSimple>
      <w:r w:rsidRPr="00AC4AEA">
        <w:rPr>
          <w:rFonts w:ascii="Arial" w:hAnsi="Arial" w:cs="Arial"/>
          <w:sz w:val="20"/>
          <w:szCs w:val="20"/>
        </w:rPr>
        <w:t>].</w:t>
      </w:r>
    </w:p>
    <w:p w:rsidR="00804242" w:rsidRPr="00AC4AEA" w:rsidRDefault="00804242" w:rsidP="00A318EA">
      <w:pPr>
        <w:pStyle w:val="Prrafodelista"/>
        <w:numPr>
          <w:ilvl w:val="1"/>
          <w:numId w:val="326"/>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r w:rsidRPr="00AC4AEA" w:rsidDel="00000B6A">
        <w:rPr>
          <w:rFonts w:ascii="Arial" w:hAnsi="Arial" w:cs="Arial"/>
          <w:sz w:val="20"/>
          <w:szCs w:val="20"/>
        </w:rPr>
        <w:t xml:space="preserve"> </w:t>
      </w:r>
    </w:p>
    <w:p w:rsidR="00804242" w:rsidRPr="00AC4AEA" w:rsidRDefault="00804242" w:rsidP="00A318EA">
      <w:pPr>
        <w:jc w:val="both"/>
        <w:rPr>
          <w:rFonts w:ascii="Arial" w:hAnsi="Arial" w:cs="Arial"/>
          <w:b/>
          <w:bCs/>
          <w:sz w:val="20"/>
          <w:szCs w:val="20"/>
        </w:rPr>
      </w:pPr>
    </w:p>
    <w:p w:rsidR="00A13F64" w:rsidRPr="00AC4AEA" w:rsidRDefault="00A13F64" w:rsidP="00A318EA">
      <w:pPr>
        <w:jc w:val="both"/>
        <w:rPr>
          <w:rFonts w:ascii="Arial" w:hAnsi="Arial" w:cs="Arial"/>
          <w:b/>
          <w:caps/>
          <w:kern w:val="28"/>
          <w:sz w:val="20"/>
          <w:szCs w:val="20"/>
        </w:rPr>
      </w:pPr>
      <w:r w:rsidRPr="00AC4AEA">
        <w:rPr>
          <w:rFonts w:ascii="Arial" w:hAnsi="Arial" w:cs="Arial"/>
          <w:sz w:val="20"/>
          <w:szCs w:val="20"/>
        </w:rPr>
        <w:br w:type="page"/>
      </w:r>
    </w:p>
    <w:p w:rsidR="004F2B86" w:rsidRPr="00AC4AEA" w:rsidRDefault="004F2B86" w:rsidP="00A318EA">
      <w:pPr>
        <w:pStyle w:val="Ttulo1"/>
        <w:rPr>
          <w:rFonts w:cs="Arial"/>
          <w:sz w:val="20"/>
          <w:szCs w:val="20"/>
        </w:rPr>
      </w:pPr>
      <w:bookmarkStart w:id="619" w:name="_Toc101863909"/>
    </w:p>
    <w:p w:rsidR="0090400F" w:rsidRPr="00AC4AEA" w:rsidRDefault="00F46157" w:rsidP="00A318EA">
      <w:pPr>
        <w:pStyle w:val="Ttulo1"/>
        <w:rPr>
          <w:rFonts w:cs="Arial"/>
          <w:sz w:val="20"/>
          <w:szCs w:val="20"/>
        </w:rPr>
      </w:pPr>
      <w:bookmarkStart w:id="620" w:name="_Toc139356785"/>
      <w:r w:rsidRPr="00AC4AEA">
        <w:rPr>
          <w:rFonts w:cs="Arial"/>
          <w:sz w:val="20"/>
          <w:szCs w:val="20"/>
        </w:rPr>
        <w:t>CAPÍTULO 4</w:t>
      </w:r>
      <w:bookmarkEnd w:id="619"/>
      <w:bookmarkEnd w:id="620"/>
    </w:p>
    <w:p w:rsidR="0090400F" w:rsidRPr="00AC4AEA" w:rsidRDefault="00F46157" w:rsidP="00A318EA">
      <w:pPr>
        <w:pStyle w:val="Ttulo1"/>
        <w:rPr>
          <w:rFonts w:cs="Arial"/>
          <w:sz w:val="20"/>
          <w:szCs w:val="20"/>
        </w:rPr>
      </w:pPr>
      <w:bookmarkStart w:id="621" w:name="_Toc101863910"/>
      <w:bookmarkStart w:id="622" w:name="_Toc139356786"/>
      <w:r w:rsidRPr="00AC4AEA">
        <w:rPr>
          <w:rFonts w:cs="Arial"/>
          <w:sz w:val="20"/>
          <w:szCs w:val="20"/>
        </w:rPr>
        <w:t>RECONOCIMIENTO, MEDICIÓN Y PRESENTACIÓN DE PARTIDAS DEL PASIVO Y DEL PATRIMONIO</w:t>
      </w:r>
      <w:bookmarkEnd w:id="621"/>
      <w:r w:rsidR="00BD7827" w:rsidRPr="00AC4AEA">
        <w:rPr>
          <w:rFonts w:cs="Arial"/>
          <w:sz w:val="20"/>
          <w:szCs w:val="20"/>
        </w:rPr>
        <w:t xml:space="preserve"> neto</w:t>
      </w:r>
      <w:bookmarkEnd w:id="622"/>
    </w:p>
    <w:p w:rsidR="00AE7883" w:rsidRPr="00AC4AEA" w:rsidRDefault="00AE7883" w:rsidP="00A318EA">
      <w:pPr>
        <w:pStyle w:val="Ttulo1"/>
        <w:rPr>
          <w:rFonts w:cs="Arial"/>
          <w:sz w:val="20"/>
          <w:szCs w:val="20"/>
        </w:rPr>
      </w:pPr>
      <w:bookmarkStart w:id="623" w:name="_Toc101863911"/>
    </w:p>
    <w:p w:rsidR="004D4843" w:rsidRPr="00AC4AEA" w:rsidRDefault="004D4843" w:rsidP="00A318EA">
      <w:pPr>
        <w:pStyle w:val="Ttulo1"/>
        <w:rPr>
          <w:rFonts w:cs="Arial"/>
          <w:sz w:val="20"/>
          <w:szCs w:val="20"/>
          <w:u w:val="single"/>
        </w:rPr>
      </w:pPr>
      <w:bookmarkStart w:id="624" w:name="_Toc139356787"/>
      <w:r w:rsidRPr="00AC4AEA">
        <w:rPr>
          <w:rFonts w:cs="Arial"/>
          <w:sz w:val="20"/>
          <w:szCs w:val="20"/>
        </w:rPr>
        <w:t>INTRODUCCIÓN AL PRESENTE CAPÍTULO</w:t>
      </w:r>
      <w:bookmarkEnd w:id="623"/>
      <w:bookmarkEnd w:id="624"/>
      <w:r w:rsidRPr="00AC4AEA">
        <w:rPr>
          <w:rFonts w:cs="Arial"/>
          <w:sz w:val="20"/>
          <w:szCs w:val="20"/>
          <w:u w:val="single"/>
        </w:rPr>
        <w:t xml:space="preserve"> </w:t>
      </w:r>
    </w:p>
    <w:p w:rsidR="004D4843" w:rsidRPr="00AC4AEA" w:rsidRDefault="004D484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este capítulo se describen </w:t>
      </w:r>
      <w:r w:rsidR="00FB401A" w:rsidRPr="00AC4AEA">
        <w:rPr>
          <w:rFonts w:ascii="Arial" w:hAnsi="Arial" w:cs="Arial"/>
          <w:sz w:val="20"/>
          <w:szCs w:val="20"/>
        </w:rPr>
        <w:t xml:space="preserve">los </w:t>
      </w:r>
      <w:r w:rsidRPr="00AC4AEA">
        <w:rPr>
          <w:rFonts w:ascii="Arial" w:hAnsi="Arial" w:cs="Arial"/>
          <w:sz w:val="20"/>
          <w:szCs w:val="20"/>
        </w:rPr>
        <w:t xml:space="preserve">requerimientos de </w:t>
      </w:r>
      <w:r w:rsidR="00FB401A" w:rsidRPr="00AC4AEA">
        <w:rPr>
          <w:rFonts w:ascii="Arial" w:hAnsi="Arial" w:cs="Arial"/>
          <w:sz w:val="20"/>
          <w:szCs w:val="20"/>
        </w:rPr>
        <w:t>clasificación</w:t>
      </w:r>
      <w:r w:rsidR="00CA125E" w:rsidRPr="00AC4AEA">
        <w:rPr>
          <w:rFonts w:ascii="Arial" w:hAnsi="Arial" w:cs="Arial"/>
          <w:sz w:val="20"/>
          <w:szCs w:val="20"/>
        </w:rPr>
        <w:t>,</w:t>
      </w:r>
      <w:r w:rsidR="00FB401A" w:rsidRPr="00AC4AEA">
        <w:rPr>
          <w:rFonts w:ascii="Arial" w:hAnsi="Arial" w:cs="Arial"/>
          <w:sz w:val="20"/>
          <w:szCs w:val="20"/>
        </w:rPr>
        <w:t xml:space="preserve"> </w:t>
      </w:r>
      <w:r w:rsidRPr="00AC4AEA">
        <w:rPr>
          <w:rFonts w:ascii="Arial" w:hAnsi="Arial" w:cs="Arial"/>
          <w:sz w:val="20"/>
          <w:szCs w:val="20"/>
        </w:rPr>
        <w:t>reconocimiento</w:t>
      </w:r>
      <w:r w:rsidR="00CA125E" w:rsidRPr="00AC4AEA">
        <w:rPr>
          <w:rFonts w:ascii="Arial" w:hAnsi="Arial" w:cs="Arial"/>
          <w:sz w:val="20"/>
          <w:szCs w:val="20"/>
        </w:rPr>
        <w:t>,</w:t>
      </w:r>
      <w:r w:rsidR="00FB401A" w:rsidRPr="00AC4AEA">
        <w:rPr>
          <w:rFonts w:ascii="Arial" w:hAnsi="Arial" w:cs="Arial"/>
          <w:sz w:val="20"/>
          <w:szCs w:val="20"/>
        </w:rPr>
        <w:t xml:space="preserve"> </w:t>
      </w:r>
      <w:r w:rsidR="000C2760" w:rsidRPr="00AC4AEA">
        <w:rPr>
          <w:rFonts w:ascii="Arial" w:hAnsi="Arial" w:cs="Arial"/>
          <w:sz w:val="20"/>
          <w:szCs w:val="20"/>
        </w:rPr>
        <w:t>medición</w:t>
      </w:r>
      <w:r w:rsidR="00567540" w:rsidRPr="00AC4AEA">
        <w:rPr>
          <w:rFonts w:ascii="Arial" w:hAnsi="Arial" w:cs="Arial"/>
          <w:sz w:val="20"/>
          <w:szCs w:val="20"/>
        </w:rPr>
        <w:t>,</w:t>
      </w:r>
      <w:r w:rsidRPr="00AC4AEA">
        <w:rPr>
          <w:rFonts w:ascii="Arial" w:hAnsi="Arial" w:cs="Arial"/>
          <w:sz w:val="20"/>
          <w:szCs w:val="20"/>
        </w:rPr>
        <w:t xml:space="preserve"> presentación</w:t>
      </w:r>
      <w:r w:rsidR="00567540" w:rsidRPr="00AC4AEA">
        <w:rPr>
          <w:rFonts w:ascii="Arial" w:hAnsi="Arial" w:cs="Arial"/>
          <w:sz w:val="20"/>
          <w:szCs w:val="20"/>
        </w:rPr>
        <w:t xml:space="preserve"> y revelación</w:t>
      </w:r>
      <w:r w:rsidR="00C62C26" w:rsidRPr="00AC4AEA">
        <w:rPr>
          <w:rFonts w:ascii="Arial" w:hAnsi="Arial" w:cs="Arial"/>
          <w:sz w:val="20"/>
          <w:szCs w:val="20"/>
        </w:rPr>
        <w:t xml:space="preserve"> en notas</w:t>
      </w:r>
      <w:r w:rsidRPr="00AC4AEA">
        <w:rPr>
          <w:rFonts w:ascii="Arial" w:hAnsi="Arial" w:cs="Arial"/>
          <w:sz w:val="20"/>
          <w:szCs w:val="20"/>
        </w:rPr>
        <w:t xml:space="preserve"> de ciert</w:t>
      </w:r>
      <w:r w:rsidR="00CA125E" w:rsidRPr="00AC4AEA">
        <w:rPr>
          <w:rFonts w:ascii="Arial" w:hAnsi="Arial" w:cs="Arial"/>
          <w:sz w:val="20"/>
          <w:szCs w:val="20"/>
        </w:rPr>
        <w:t>as partidas de</w:t>
      </w:r>
      <w:r w:rsidR="004F2B86" w:rsidRPr="00AC4AEA">
        <w:rPr>
          <w:rFonts w:ascii="Arial" w:hAnsi="Arial" w:cs="Arial"/>
          <w:sz w:val="20"/>
          <w:szCs w:val="20"/>
        </w:rPr>
        <w:t>l</w:t>
      </w:r>
      <w:r w:rsidR="00CA125E" w:rsidRPr="00AC4AEA">
        <w:rPr>
          <w:rFonts w:ascii="Arial" w:hAnsi="Arial" w:cs="Arial"/>
          <w:sz w:val="20"/>
          <w:szCs w:val="20"/>
        </w:rPr>
        <w:t xml:space="preserve"> </w:t>
      </w:r>
      <w:r w:rsidR="00CA125E" w:rsidRPr="00AC4AEA">
        <w:rPr>
          <w:rFonts w:ascii="Arial" w:hAnsi="Arial" w:cs="Arial"/>
          <w:b/>
          <w:bCs/>
          <w:sz w:val="20"/>
          <w:szCs w:val="20"/>
        </w:rPr>
        <w:t>pasivo</w:t>
      </w:r>
      <w:r w:rsidR="00CA125E" w:rsidRPr="00AC4AEA">
        <w:rPr>
          <w:rFonts w:ascii="Arial" w:hAnsi="Arial" w:cs="Arial"/>
          <w:sz w:val="20"/>
          <w:szCs w:val="20"/>
        </w:rPr>
        <w:t xml:space="preserve"> y del </w:t>
      </w:r>
      <w:r w:rsidR="00CA125E" w:rsidRPr="00AC4AEA">
        <w:rPr>
          <w:rFonts w:ascii="Arial" w:hAnsi="Arial" w:cs="Arial"/>
          <w:b/>
          <w:bCs/>
          <w:sz w:val="20"/>
          <w:szCs w:val="20"/>
        </w:rPr>
        <w:t>patrimonio neto</w:t>
      </w:r>
      <w:r w:rsidRPr="00AC4AEA">
        <w:rPr>
          <w:rFonts w:ascii="Arial" w:hAnsi="Arial" w:cs="Arial"/>
          <w:sz w:val="20"/>
          <w:szCs w:val="20"/>
        </w:rPr>
        <w:t xml:space="preserve">. </w:t>
      </w:r>
    </w:p>
    <w:p w:rsidR="004D4843" w:rsidRPr="00AC4AEA" w:rsidRDefault="004D484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Los </w:t>
      </w:r>
      <w:r w:rsidR="005927A1" w:rsidRPr="00AC4AEA">
        <w:rPr>
          <w:rFonts w:ascii="Arial" w:hAnsi="Arial" w:cs="Arial"/>
          <w:sz w:val="20"/>
          <w:szCs w:val="20"/>
        </w:rPr>
        <w:t>temas</w:t>
      </w:r>
      <w:r w:rsidR="00F6478C" w:rsidRPr="00AC4AEA">
        <w:rPr>
          <w:rFonts w:ascii="Arial" w:hAnsi="Arial" w:cs="Arial"/>
          <w:sz w:val="20"/>
          <w:szCs w:val="20"/>
        </w:rPr>
        <w:t xml:space="preserve"> </w:t>
      </w:r>
      <w:r w:rsidRPr="00AC4AEA">
        <w:rPr>
          <w:rFonts w:ascii="Arial" w:hAnsi="Arial" w:cs="Arial"/>
          <w:sz w:val="20"/>
          <w:szCs w:val="20"/>
        </w:rPr>
        <w:t xml:space="preserve">en los que se concentra el presente capítulo son generalmente </w:t>
      </w:r>
      <w:r w:rsidR="005927A1" w:rsidRPr="00AC4AEA">
        <w:rPr>
          <w:rFonts w:ascii="Arial" w:hAnsi="Arial" w:cs="Arial"/>
          <w:b/>
          <w:bCs/>
          <w:sz w:val="20"/>
          <w:szCs w:val="20"/>
        </w:rPr>
        <w:t>temas</w:t>
      </w:r>
      <w:r w:rsidRPr="00AC4AEA">
        <w:rPr>
          <w:rFonts w:ascii="Arial" w:hAnsi="Arial" w:cs="Arial"/>
          <w:b/>
          <w:bCs/>
          <w:sz w:val="20"/>
          <w:szCs w:val="20"/>
        </w:rPr>
        <w:t xml:space="preserve"> de</w:t>
      </w:r>
      <w:r w:rsidRPr="00AC4AEA">
        <w:rPr>
          <w:rFonts w:ascii="Arial" w:hAnsi="Arial" w:cs="Arial"/>
          <w:sz w:val="20"/>
          <w:szCs w:val="20"/>
        </w:rPr>
        <w:t xml:space="preserve"> </w:t>
      </w:r>
      <w:r w:rsidRPr="00AC4AEA">
        <w:rPr>
          <w:rFonts w:ascii="Arial" w:hAnsi="Arial" w:cs="Arial"/>
          <w:b/>
          <w:bCs/>
          <w:sz w:val="20"/>
          <w:szCs w:val="20"/>
        </w:rPr>
        <w:t>baja complejidad contable</w:t>
      </w:r>
      <w:r w:rsidR="00347237" w:rsidRPr="00AC4AEA">
        <w:rPr>
          <w:rFonts w:ascii="Arial" w:hAnsi="Arial" w:cs="Arial"/>
          <w:sz w:val="20"/>
          <w:szCs w:val="20"/>
        </w:rPr>
        <w:t xml:space="preserve">, </w:t>
      </w:r>
      <w:r w:rsidR="00511558" w:rsidRPr="00AC4AEA">
        <w:rPr>
          <w:rFonts w:ascii="Arial" w:hAnsi="Arial" w:cs="Arial"/>
          <w:sz w:val="20"/>
          <w:szCs w:val="20"/>
        </w:rPr>
        <w:t>y se espera que estén</w:t>
      </w:r>
      <w:r w:rsidR="00347237" w:rsidRPr="00AC4AEA">
        <w:rPr>
          <w:rFonts w:ascii="Arial" w:hAnsi="Arial" w:cs="Arial"/>
          <w:sz w:val="20"/>
          <w:szCs w:val="20"/>
        </w:rPr>
        <w:t xml:space="preserve"> presente en cualquier </w:t>
      </w:r>
      <w:r w:rsidRPr="00AC4AEA">
        <w:rPr>
          <w:rFonts w:ascii="Arial" w:hAnsi="Arial" w:cs="Arial"/>
          <w:sz w:val="20"/>
          <w:szCs w:val="20"/>
        </w:rPr>
        <w:t xml:space="preserve">tipo de entidad que utilice </w:t>
      </w:r>
      <w:r w:rsidR="007E2A61" w:rsidRPr="00AC4AEA">
        <w:rPr>
          <w:rFonts w:ascii="Arial" w:hAnsi="Arial" w:cs="Arial"/>
          <w:sz w:val="20"/>
          <w:szCs w:val="20"/>
        </w:rPr>
        <w:t>esta</w:t>
      </w:r>
      <w:r w:rsidRPr="00AC4AEA">
        <w:rPr>
          <w:rFonts w:ascii="Arial" w:hAnsi="Arial" w:cs="Arial"/>
          <w:sz w:val="20"/>
          <w:szCs w:val="20"/>
        </w:rPr>
        <w:t xml:space="preserve"> Resolución Técnica</w:t>
      </w:r>
      <w:r w:rsidR="007E2A61" w:rsidRPr="00AC4AEA">
        <w:rPr>
          <w:rFonts w:ascii="Arial" w:hAnsi="Arial" w:cs="Arial"/>
          <w:sz w:val="20"/>
          <w:szCs w:val="20"/>
        </w:rPr>
        <w:t>.</w:t>
      </w:r>
    </w:p>
    <w:p w:rsidR="00AE7883" w:rsidRPr="00AC4AEA" w:rsidRDefault="00AE7883" w:rsidP="00A318EA">
      <w:pPr>
        <w:pStyle w:val="Ttulo1"/>
        <w:rPr>
          <w:rFonts w:cs="Arial"/>
          <w:sz w:val="20"/>
          <w:szCs w:val="20"/>
        </w:rPr>
      </w:pPr>
      <w:bookmarkStart w:id="625" w:name="_Toc101863912"/>
    </w:p>
    <w:p w:rsidR="0090400F" w:rsidRPr="00AC4AEA" w:rsidRDefault="004F2B86" w:rsidP="00A318EA">
      <w:pPr>
        <w:pStyle w:val="Ttulo1"/>
        <w:rPr>
          <w:rFonts w:cs="Arial"/>
          <w:sz w:val="20"/>
          <w:szCs w:val="20"/>
        </w:rPr>
      </w:pPr>
      <w:bookmarkStart w:id="626" w:name="_Toc139356788"/>
      <w:r w:rsidRPr="00AC4AEA">
        <w:rPr>
          <w:rFonts w:cs="Arial"/>
          <w:sz w:val="20"/>
          <w:szCs w:val="20"/>
        </w:rPr>
        <w:t>DISTINCIÓN ENTRE PASIVO Y PATRIMONIO</w:t>
      </w:r>
      <w:bookmarkEnd w:id="625"/>
      <w:r w:rsidRPr="00AC4AEA">
        <w:rPr>
          <w:rFonts w:cs="Arial"/>
          <w:sz w:val="20"/>
          <w:szCs w:val="20"/>
        </w:rPr>
        <w:t xml:space="preserve"> NETO</w:t>
      </w:r>
      <w:bookmarkEnd w:id="626"/>
    </w:p>
    <w:p w:rsidR="003D70AA" w:rsidRPr="00AC4AEA" w:rsidRDefault="003D70AA" w:rsidP="00A318EA">
      <w:pPr>
        <w:pStyle w:val="Ttulo2"/>
        <w:rPr>
          <w:rFonts w:cs="Arial"/>
        </w:rPr>
      </w:pPr>
      <w:bookmarkStart w:id="627" w:name="_Toc101863913"/>
      <w:bookmarkStart w:id="628" w:name="_Toc139356789"/>
      <w:r w:rsidRPr="00AC4AEA">
        <w:rPr>
          <w:rFonts w:cs="Arial"/>
        </w:rPr>
        <w:t>Criterio general</w:t>
      </w:r>
      <w:bookmarkEnd w:id="627"/>
      <w:bookmarkEnd w:id="628"/>
    </w:p>
    <w:p w:rsidR="003D70AA" w:rsidRPr="00AC4AEA" w:rsidRDefault="003D70A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7C52C5" w:rsidRPr="00AC4AEA">
        <w:rPr>
          <w:rFonts w:ascii="Arial" w:hAnsi="Arial" w:cs="Arial"/>
          <w:sz w:val="20"/>
          <w:szCs w:val="20"/>
        </w:rPr>
        <w:t xml:space="preserve">clasificará cualquier </w:t>
      </w:r>
      <w:r w:rsidRPr="002A73C3">
        <w:rPr>
          <w:rFonts w:ascii="Arial" w:hAnsi="Arial" w:cs="Arial"/>
          <w:b/>
          <w:bCs/>
          <w:sz w:val="20"/>
          <w:szCs w:val="20"/>
        </w:rPr>
        <w:t xml:space="preserve">instrumento </w:t>
      </w:r>
      <w:r w:rsidR="00C61C88" w:rsidRPr="002A73C3">
        <w:rPr>
          <w:rFonts w:ascii="Arial" w:hAnsi="Arial" w:cs="Arial"/>
          <w:b/>
          <w:bCs/>
          <w:sz w:val="20"/>
          <w:szCs w:val="20"/>
        </w:rPr>
        <w:t>financiero</w:t>
      </w:r>
      <w:r w:rsidR="00C61C88" w:rsidRPr="00AC4AEA">
        <w:rPr>
          <w:rFonts w:ascii="Arial" w:hAnsi="Arial" w:cs="Arial"/>
          <w:sz w:val="20"/>
          <w:szCs w:val="20"/>
        </w:rPr>
        <w:t xml:space="preserve"> </w:t>
      </w:r>
      <w:r w:rsidRPr="00AC4AEA">
        <w:rPr>
          <w:rFonts w:ascii="Arial" w:hAnsi="Arial" w:cs="Arial"/>
          <w:sz w:val="20"/>
          <w:szCs w:val="20"/>
        </w:rPr>
        <w:t xml:space="preserve">emitido (o sus partes componentes) entre el </w:t>
      </w:r>
      <w:r w:rsidRPr="00AC4AEA">
        <w:rPr>
          <w:rFonts w:ascii="Arial" w:hAnsi="Arial" w:cs="Arial"/>
          <w:b/>
          <w:bCs/>
          <w:sz w:val="20"/>
          <w:szCs w:val="20"/>
        </w:rPr>
        <w:t>pasivo</w:t>
      </w:r>
      <w:r w:rsidRPr="00AC4AEA">
        <w:rPr>
          <w:rFonts w:ascii="Arial" w:hAnsi="Arial" w:cs="Arial"/>
          <w:sz w:val="20"/>
          <w:szCs w:val="20"/>
        </w:rPr>
        <w:t xml:space="preserve"> y el </w:t>
      </w:r>
      <w:r w:rsidRPr="00AC4AEA">
        <w:rPr>
          <w:rFonts w:ascii="Arial" w:hAnsi="Arial" w:cs="Arial"/>
          <w:b/>
          <w:bCs/>
          <w:sz w:val="20"/>
          <w:szCs w:val="20"/>
        </w:rPr>
        <w:t>patrimonio neto</w:t>
      </w:r>
      <w:r w:rsidRPr="00AC4AEA">
        <w:rPr>
          <w:rFonts w:ascii="Arial" w:hAnsi="Arial" w:cs="Arial"/>
          <w:sz w:val="20"/>
          <w:szCs w:val="20"/>
        </w:rPr>
        <w:t xml:space="preserve"> basándose en la realidad económica</w:t>
      </w:r>
      <w:r w:rsidR="00567540" w:rsidRPr="00AC4AEA">
        <w:rPr>
          <w:rFonts w:ascii="Arial" w:hAnsi="Arial" w:cs="Arial"/>
          <w:sz w:val="20"/>
          <w:szCs w:val="20"/>
        </w:rPr>
        <w:t xml:space="preserve"> y en las características </w:t>
      </w:r>
      <w:r w:rsidRPr="00AC4AEA">
        <w:rPr>
          <w:rFonts w:ascii="Arial" w:hAnsi="Arial" w:cs="Arial"/>
          <w:sz w:val="20"/>
          <w:szCs w:val="20"/>
        </w:rPr>
        <w:t xml:space="preserve">y </w:t>
      </w:r>
      <w:r w:rsidR="007E020E" w:rsidRPr="00AC4AEA">
        <w:rPr>
          <w:rFonts w:ascii="Arial" w:hAnsi="Arial" w:cs="Arial"/>
          <w:sz w:val="20"/>
          <w:szCs w:val="20"/>
        </w:rPr>
        <w:t>definiciones de</w:t>
      </w:r>
      <w:r w:rsidR="00C24EF0" w:rsidRPr="00AC4AEA">
        <w:rPr>
          <w:rFonts w:ascii="Arial" w:hAnsi="Arial" w:cs="Arial"/>
          <w:sz w:val="20"/>
          <w:szCs w:val="20"/>
        </w:rPr>
        <w:t xml:space="preserve"> tales</w:t>
      </w:r>
      <w:r w:rsidRPr="00AC4AEA">
        <w:rPr>
          <w:rFonts w:ascii="Arial" w:hAnsi="Arial" w:cs="Arial"/>
          <w:sz w:val="20"/>
          <w:szCs w:val="20"/>
        </w:rPr>
        <w:t xml:space="preserve"> elementos</w:t>
      </w:r>
      <w:r w:rsidR="004E3F29" w:rsidRPr="00AC4AEA">
        <w:rPr>
          <w:rFonts w:ascii="Arial" w:hAnsi="Arial" w:cs="Arial"/>
          <w:sz w:val="20"/>
          <w:szCs w:val="20"/>
        </w:rPr>
        <w:t>.</w:t>
      </w:r>
    </w:p>
    <w:p w:rsidR="003D70AA" w:rsidRPr="00AC4AEA" w:rsidRDefault="003D70A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un </w:t>
      </w:r>
      <w:r w:rsidRPr="002A73C3">
        <w:rPr>
          <w:rFonts w:ascii="Arial" w:hAnsi="Arial" w:cs="Arial"/>
          <w:b/>
          <w:bCs/>
          <w:sz w:val="20"/>
          <w:szCs w:val="20"/>
        </w:rPr>
        <w:t>instrumento financiero</w:t>
      </w:r>
      <w:r w:rsidRPr="00AC4AEA">
        <w:rPr>
          <w:rFonts w:ascii="Arial" w:hAnsi="Arial" w:cs="Arial"/>
          <w:sz w:val="20"/>
          <w:szCs w:val="20"/>
        </w:rPr>
        <w:t xml:space="preserve"> contenga tanto elementos integrantes del </w:t>
      </w:r>
      <w:r w:rsidRPr="00AC4AEA">
        <w:rPr>
          <w:rFonts w:ascii="Arial" w:hAnsi="Arial" w:cs="Arial"/>
          <w:b/>
          <w:bCs/>
          <w:sz w:val="20"/>
          <w:szCs w:val="20"/>
        </w:rPr>
        <w:t>pasivo</w:t>
      </w:r>
      <w:r w:rsidRPr="00AC4AEA">
        <w:rPr>
          <w:rFonts w:ascii="Arial" w:hAnsi="Arial" w:cs="Arial"/>
          <w:sz w:val="20"/>
          <w:szCs w:val="20"/>
        </w:rPr>
        <w:t xml:space="preserve"> como del </w:t>
      </w:r>
      <w:r w:rsidRPr="00AC4AEA">
        <w:rPr>
          <w:rFonts w:ascii="Arial" w:hAnsi="Arial" w:cs="Arial"/>
          <w:b/>
          <w:bCs/>
          <w:sz w:val="20"/>
          <w:szCs w:val="20"/>
        </w:rPr>
        <w:t>patrimonio neto</w:t>
      </w:r>
      <w:r w:rsidR="00E57573" w:rsidRPr="00AC4AEA">
        <w:rPr>
          <w:rFonts w:ascii="Arial" w:hAnsi="Arial" w:cs="Arial"/>
          <w:b/>
          <w:bCs/>
          <w:sz w:val="20"/>
          <w:szCs w:val="20"/>
        </w:rPr>
        <w:t xml:space="preserve"> </w:t>
      </w:r>
      <w:r w:rsidR="00E57573" w:rsidRPr="00AC4AEA">
        <w:rPr>
          <w:rFonts w:ascii="Arial" w:hAnsi="Arial" w:cs="Arial"/>
          <w:sz w:val="20"/>
          <w:szCs w:val="20"/>
        </w:rPr>
        <w:t>(por ejemplo, una obligación negociable convertible en una cantidad fija de acciones a cambio de una suma fija de efectivo en moneda nacional)</w:t>
      </w:r>
      <w:r w:rsidRPr="00AC4AEA">
        <w:rPr>
          <w:rFonts w:ascii="Arial" w:hAnsi="Arial" w:cs="Arial"/>
          <w:sz w:val="20"/>
          <w:szCs w:val="20"/>
        </w:rPr>
        <w:t xml:space="preserve">, </w:t>
      </w:r>
      <w:r w:rsidR="00C24EF0" w:rsidRPr="00AC4AEA">
        <w:rPr>
          <w:rFonts w:ascii="Arial" w:hAnsi="Arial" w:cs="Arial"/>
          <w:sz w:val="20"/>
          <w:szCs w:val="20"/>
        </w:rPr>
        <w:t>u</w:t>
      </w:r>
      <w:r w:rsidRPr="00AC4AEA">
        <w:rPr>
          <w:rFonts w:ascii="Arial" w:hAnsi="Arial" w:cs="Arial"/>
          <w:sz w:val="20"/>
          <w:szCs w:val="20"/>
        </w:rPr>
        <w:t>na entidad los desagregará y tratará separadamente.</w:t>
      </w:r>
    </w:p>
    <w:p w:rsidR="00455BA2" w:rsidRPr="00AC4AEA" w:rsidRDefault="00455BA2" w:rsidP="00A318EA">
      <w:pPr>
        <w:pStyle w:val="A-Normal11"/>
        <w:jc w:val="both"/>
        <w:rPr>
          <w:rFonts w:ascii="Arial" w:hAnsi="Arial" w:cs="Arial"/>
          <w:b/>
          <w:bCs/>
          <w:sz w:val="20"/>
        </w:rPr>
      </w:pPr>
    </w:p>
    <w:p w:rsidR="003D70AA" w:rsidRPr="00AC4AEA" w:rsidRDefault="002F32A5" w:rsidP="00A318EA">
      <w:pPr>
        <w:pStyle w:val="Ttulo2"/>
        <w:rPr>
          <w:rFonts w:cs="Arial"/>
        </w:rPr>
      </w:pPr>
      <w:bookmarkStart w:id="629" w:name="_Toc139356790"/>
      <w:r w:rsidRPr="00AC4AEA">
        <w:rPr>
          <w:rFonts w:cs="Arial"/>
        </w:rPr>
        <w:t>Acciones preferidas rescatables</w:t>
      </w:r>
      <w:bookmarkEnd w:id="629"/>
    </w:p>
    <w:p w:rsidR="00EE659E" w:rsidRPr="00AC4AEA" w:rsidRDefault="00EE659E" w:rsidP="00A318EA">
      <w:pPr>
        <w:pStyle w:val="A-Normal11"/>
        <w:numPr>
          <w:ilvl w:val="0"/>
          <w:numId w:val="29"/>
        </w:numPr>
        <w:jc w:val="both"/>
        <w:rPr>
          <w:rFonts w:ascii="Arial" w:hAnsi="Arial" w:cs="Arial"/>
          <w:sz w:val="20"/>
        </w:rPr>
      </w:pPr>
      <w:r w:rsidRPr="00AC4AEA">
        <w:rPr>
          <w:rFonts w:ascii="Arial" w:hAnsi="Arial" w:cs="Arial"/>
          <w:sz w:val="20"/>
        </w:rPr>
        <w:t xml:space="preserve">Una entidad considerará que las acciones preferidas emitidas integran el </w:t>
      </w:r>
      <w:r w:rsidRPr="00AC4AEA">
        <w:rPr>
          <w:rFonts w:ascii="Arial" w:hAnsi="Arial" w:cs="Arial"/>
          <w:b/>
          <w:bCs/>
          <w:sz w:val="20"/>
        </w:rPr>
        <w:t xml:space="preserve">pasivo </w:t>
      </w:r>
      <w:r w:rsidRPr="00AC4AEA">
        <w:rPr>
          <w:rFonts w:ascii="Arial" w:hAnsi="Arial" w:cs="Arial"/>
          <w:sz w:val="20"/>
        </w:rPr>
        <w:t>cuando sus cláusulas de emisión, directa o indirectamente:</w:t>
      </w:r>
    </w:p>
    <w:p w:rsidR="00EE659E" w:rsidRPr="00AC4AEA" w:rsidRDefault="00EE659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obligan al emisor a su rescate; o bien</w:t>
      </w:r>
    </w:p>
    <w:p w:rsidR="002F32A5" w:rsidRPr="00AC4AEA" w:rsidRDefault="00EE659E"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otorgan al tenedor el derecho a solicitar su rescate, por un importe determinado o determinable y en una fecha fija o determinable.</w:t>
      </w:r>
    </w:p>
    <w:p w:rsidR="00B164C2" w:rsidRPr="00AC4AEA" w:rsidRDefault="00B164C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Los intereses o dividendos correspondientes a las acciones preferidas que forman parte del </w:t>
      </w:r>
      <w:r w:rsidRPr="00AC4AEA">
        <w:rPr>
          <w:rFonts w:ascii="Arial" w:hAnsi="Arial" w:cs="Arial"/>
          <w:b/>
          <w:bCs/>
          <w:sz w:val="20"/>
          <w:szCs w:val="20"/>
        </w:rPr>
        <w:t xml:space="preserve">pasivo </w:t>
      </w:r>
      <w:r w:rsidRPr="00AC4AEA">
        <w:rPr>
          <w:rFonts w:ascii="Arial" w:hAnsi="Arial" w:cs="Arial"/>
          <w:sz w:val="20"/>
          <w:szCs w:val="20"/>
        </w:rPr>
        <w:t xml:space="preserve">integran los </w:t>
      </w:r>
      <w:r w:rsidRPr="00AC4AEA">
        <w:rPr>
          <w:rFonts w:ascii="Arial" w:hAnsi="Arial" w:cs="Arial"/>
          <w:b/>
          <w:bCs/>
          <w:sz w:val="20"/>
          <w:szCs w:val="20"/>
        </w:rPr>
        <w:t>costos financieros</w:t>
      </w:r>
      <w:r w:rsidRPr="00AC4AEA">
        <w:rPr>
          <w:rFonts w:ascii="Arial" w:hAnsi="Arial" w:cs="Arial"/>
          <w:sz w:val="20"/>
          <w:szCs w:val="20"/>
        </w:rPr>
        <w:t xml:space="preserve"> a cuyo tratamiento se refiere la sección </w:t>
      </w:r>
      <w:r w:rsidR="004C17EA" w:rsidRPr="00AC4AEA">
        <w:rPr>
          <w:rFonts w:ascii="Arial" w:hAnsi="Arial" w:cs="Arial"/>
          <w:sz w:val="20"/>
          <w:szCs w:val="20"/>
        </w:rPr>
        <w:t>“</w:t>
      </w:r>
      <w:r w:rsidRPr="00AC4AEA">
        <w:rPr>
          <w:rFonts w:ascii="Arial" w:hAnsi="Arial" w:cs="Arial"/>
          <w:sz w:val="20"/>
          <w:szCs w:val="20"/>
          <w:u w:val="single"/>
        </w:rPr>
        <w:t>Tratamiento de costos financieros</w:t>
      </w:r>
      <w:r w:rsidR="004C17EA" w:rsidRPr="00AC4AEA">
        <w:rPr>
          <w:rFonts w:ascii="Arial" w:hAnsi="Arial" w:cs="Arial"/>
          <w:sz w:val="20"/>
          <w:szCs w:val="20"/>
        </w:rPr>
        <w:t>”</w:t>
      </w:r>
      <w:r w:rsidRPr="00AC4AEA">
        <w:rPr>
          <w:rFonts w:ascii="Arial" w:hAnsi="Arial" w:cs="Arial"/>
          <w:sz w:val="20"/>
          <w:szCs w:val="20"/>
        </w:rPr>
        <w:t xml:space="preserve"> [ver </w:t>
      </w:r>
      <w:r w:rsidR="001460EB">
        <w:rPr>
          <w:rFonts w:ascii="Arial" w:hAnsi="Arial" w:cs="Arial"/>
          <w:sz w:val="20"/>
          <w:szCs w:val="20"/>
        </w:rPr>
        <w:t xml:space="preserve">los </w:t>
      </w:r>
      <w:r w:rsidRPr="00AC4AEA">
        <w:rPr>
          <w:rFonts w:ascii="Arial" w:hAnsi="Arial" w:cs="Arial"/>
          <w:sz w:val="20"/>
          <w:szCs w:val="20"/>
        </w:rPr>
        <w:t xml:space="preserve">párrafos </w:t>
      </w:r>
      <w:fldSimple w:instr=" REF _Ref99476587 \r \h  \* MERGEFORMAT ">
        <w:r w:rsidR="00D33A5D" w:rsidRPr="00D33A5D">
          <w:rPr>
            <w:rFonts w:ascii="Arial" w:hAnsi="Arial" w:cs="Arial"/>
            <w:sz w:val="20"/>
            <w:szCs w:val="20"/>
          </w:rPr>
          <w:t>129</w:t>
        </w:r>
      </w:fldSimple>
      <w:r w:rsidR="004C17EA"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004C17EA" w:rsidRPr="00AC4AEA">
        <w:rPr>
          <w:rFonts w:ascii="Arial" w:hAnsi="Arial" w:cs="Arial"/>
          <w:sz w:val="20"/>
          <w:szCs w:val="20"/>
        </w:rPr>
        <w:t>]</w:t>
      </w:r>
      <w:r w:rsidRPr="00AC4AEA">
        <w:rPr>
          <w:rFonts w:ascii="Arial" w:hAnsi="Arial" w:cs="Arial"/>
          <w:sz w:val="20"/>
          <w:szCs w:val="20"/>
        </w:rPr>
        <w:t>.</w:t>
      </w:r>
    </w:p>
    <w:p w:rsidR="0023175D" w:rsidRPr="00AC4AEA" w:rsidRDefault="00B164C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Las acciones preferidas rescatables a opción del emisor integran el </w:t>
      </w:r>
      <w:r w:rsidRPr="00AC4AEA">
        <w:rPr>
          <w:rFonts w:ascii="Arial" w:hAnsi="Arial" w:cs="Arial"/>
          <w:b/>
          <w:bCs/>
          <w:sz w:val="20"/>
          <w:szCs w:val="20"/>
        </w:rPr>
        <w:t>patrimonio</w:t>
      </w:r>
      <w:r w:rsidR="0023175D" w:rsidRPr="00AC4AEA">
        <w:rPr>
          <w:rFonts w:ascii="Arial" w:hAnsi="Arial" w:cs="Arial"/>
          <w:b/>
          <w:bCs/>
          <w:sz w:val="20"/>
          <w:szCs w:val="20"/>
        </w:rPr>
        <w:t xml:space="preserve"> neto</w:t>
      </w:r>
      <w:r w:rsidR="0023175D" w:rsidRPr="00AC4AEA">
        <w:rPr>
          <w:rFonts w:ascii="Arial" w:hAnsi="Arial" w:cs="Arial"/>
          <w:sz w:val="20"/>
          <w:szCs w:val="20"/>
        </w:rPr>
        <w:t xml:space="preserve"> mientras la opción no haya sido decidida o no pueda ser efectivamente</w:t>
      </w:r>
      <w:r w:rsidR="00CA0F7E" w:rsidRPr="00AC4AEA">
        <w:rPr>
          <w:rFonts w:ascii="Arial" w:hAnsi="Arial" w:cs="Arial"/>
          <w:sz w:val="20"/>
          <w:szCs w:val="20"/>
        </w:rPr>
        <w:t xml:space="preserve"> ejercida</w:t>
      </w:r>
      <w:r w:rsidR="0007783A" w:rsidRPr="00AC4AEA">
        <w:rPr>
          <w:rFonts w:ascii="Arial" w:hAnsi="Arial" w:cs="Arial"/>
          <w:sz w:val="20"/>
          <w:szCs w:val="20"/>
        </w:rPr>
        <w:t>.</w:t>
      </w:r>
    </w:p>
    <w:p w:rsidR="00455BA2" w:rsidRPr="00AC4AEA" w:rsidRDefault="00455BA2" w:rsidP="00A318EA">
      <w:pPr>
        <w:pStyle w:val="A-Normal11"/>
        <w:jc w:val="both"/>
        <w:rPr>
          <w:rFonts w:ascii="Arial" w:hAnsi="Arial" w:cs="Arial"/>
          <w:sz w:val="20"/>
        </w:rPr>
      </w:pPr>
    </w:p>
    <w:p w:rsidR="00FF69E3" w:rsidRPr="00AC4AEA" w:rsidRDefault="00FF69E3" w:rsidP="00A318EA">
      <w:pPr>
        <w:pStyle w:val="Ttulo2"/>
        <w:rPr>
          <w:rFonts w:cs="Arial"/>
        </w:rPr>
      </w:pPr>
      <w:bookmarkStart w:id="630" w:name="_Toc139356791"/>
      <w:r w:rsidRPr="00AC4AEA">
        <w:rPr>
          <w:rFonts w:cs="Arial"/>
        </w:rPr>
        <w:lastRenderedPageBreak/>
        <w:t>Aportes irrevocables para futuras suscripciones de acciones</w:t>
      </w:r>
      <w:bookmarkEnd w:id="630"/>
    </w:p>
    <w:p w:rsidR="00FF69E3" w:rsidRPr="00AC4AEA" w:rsidRDefault="00FF69E3" w:rsidP="00A318EA">
      <w:pPr>
        <w:pStyle w:val="A-Normal11"/>
        <w:numPr>
          <w:ilvl w:val="0"/>
          <w:numId w:val="29"/>
        </w:numPr>
        <w:jc w:val="both"/>
        <w:rPr>
          <w:rFonts w:ascii="Arial" w:hAnsi="Arial" w:cs="Arial"/>
          <w:sz w:val="20"/>
        </w:rPr>
      </w:pPr>
      <w:r w:rsidRPr="00AC4AEA">
        <w:rPr>
          <w:rFonts w:ascii="Arial" w:hAnsi="Arial" w:cs="Arial"/>
          <w:sz w:val="20"/>
        </w:rPr>
        <w:t xml:space="preserve">Una entidad clasificará los aportes irrevocables para futuras suscripciones de acciones como </w:t>
      </w:r>
      <w:r w:rsidRPr="00AC4AEA">
        <w:rPr>
          <w:rFonts w:ascii="Arial" w:hAnsi="Arial" w:cs="Arial"/>
          <w:b/>
          <w:bCs/>
          <w:sz w:val="20"/>
        </w:rPr>
        <w:t xml:space="preserve">pasivo </w:t>
      </w:r>
      <w:r w:rsidRPr="00AC4AEA">
        <w:rPr>
          <w:rFonts w:ascii="Arial" w:hAnsi="Arial" w:cs="Arial"/>
          <w:sz w:val="20"/>
        </w:rPr>
        <w:t xml:space="preserve">o </w:t>
      </w:r>
      <w:r w:rsidRPr="00AC4AEA">
        <w:rPr>
          <w:rFonts w:ascii="Arial" w:hAnsi="Arial" w:cs="Arial"/>
          <w:b/>
          <w:bCs/>
          <w:sz w:val="20"/>
        </w:rPr>
        <w:t>patrimonio neto</w:t>
      </w:r>
      <w:r w:rsidRPr="00AC4AEA">
        <w:rPr>
          <w:rFonts w:ascii="Arial" w:hAnsi="Arial" w:cs="Arial"/>
          <w:sz w:val="20"/>
        </w:rPr>
        <w:t xml:space="preserve"> de conformidad con lo establecido en </w:t>
      </w:r>
      <w:r w:rsidR="002310C6" w:rsidRPr="00AC4AEA">
        <w:rPr>
          <w:rFonts w:ascii="Arial" w:hAnsi="Arial" w:cs="Arial"/>
          <w:sz w:val="20"/>
        </w:rPr>
        <w:t>los</w:t>
      </w:r>
      <w:r w:rsidRPr="00AC4AEA">
        <w:rPr>
          <w:rFonts w:ascii="Arial" w:hAnsi="Arial" w:cs="Arial"/>
          <w:sz w:val="20"/>
        </w:rPr>
        <w:t xml:space="preserve"> párrafo</w:t>
      </w:r>
      <w:r w:rsidR="002310C6" w:rsidRPr="00AC4AEA">
        <w:rPr>
          <w:rFonts w:ascii="Arial" w:hAnsi="Arial" w:cs="Arial"/>
          <w:sz w:val="20"/>
        </w:rPr>
        <w:t xml:space="preserve">s </w:t>
      </w:r>
      <w:fldSimple w:instr=" REF _Ref104913969 \r \h  \* MERGEFORMAT ">
        <w:r w:rsidR="00D33A5D" w:rsidRPr="00D33A5D">
          <w:rPr>
            <w:rFonts w:ascii="Arial" w:hAnsi="Arial" w:cs="Arial"/>
            <w:sz w:val="20"/>
          </w:rPr>
          <w:t>504</w:t>
        </w:r>
      </w:fldSimple>
      <w:r w:rsidR="002310C6" w:rsidRPr="00AC4AEA">
        <w:rPr>
          <w:rFonts w:ascii="Arial" w:hAnsi="Arial" w:cs="Arial"/>
          <w:sz w:val="20"/>
        </w:rPr>
        <w:t xml:space="preserve"> y </w:t>
      </w:r>
      <w:fldSimple w:instr=" REF _Ref103882847 \r \h  \* MERGEFORMAT ">
        <w:r w:rsidR="00D33A5D" w:rsidRPr="00D33A5D">
          <w:rPr>
            <w:rFonts w:ascii="Arial" w:hAnsi="Arial" w:cs="Arial"/>
            <w:sz w:val="20"/>
          </w:rPr>
          <w:t>505</w:t>
        </w:r>
      </w:fldSimple>
      <w:r w:rsidR="002310C6" w:rsidRPr="00AC4AEA">
        <w:rPr>
          <w:rFonts w:ascii="Arial" w:hAnsi="Arial" w:cs="Arial"/>
          <w:sz w:val="20"/>
        </w:rPr>
        <w:t>.</w:t>
      </w:r>
    </w:p>
    <w:p w:rsidR="00AE7883" w:rsidRPr="00AC4AEA" w:rsidRDefault="00AE7883" w:rsidP="00A318EA">
      <w:pPr>
        <w:pStyle w:val="Ttulo1"/>
        <w:rPr>
          <w:rFonts w:cs="Arial"/>
          <w:sz w:val="20"/>
          <w:szCs w:val="20"/>
        </w:rPr>
      </w:pPr>
      <w:bookmarkStart w:id="631" w:name="medicionINICIALpasivos"/>
      <w:bookmarkStart w:id="632" w:name="PASIVOSciertos"/>
      <w:bookmarkStart w:id="633" w:name="_Toc101863914"/>
      <w:bookmarkEnd w:id="631"/>
      <w:bookmarkEnd w:id="632"/>
    </w:p>
    <w:p w:rsidR="006D4E6A" w:rsidRPr="00497C1F" w:rsidRDefault="00497590" w:rsidP="00A318EA">
      <w:pPr>
        <w:pStyle w:val="Ttulo1"/>
        <w:rPr>
          <w:rFonts w:cs="Arial"/>
          <w:sz w:val="20"/>
          <w:szCs w:val="20"/>
        </w:rPr>
      </w:pPr>
      <w:bookmarkStart w:id="634" w:name="_Toc139356792"/>
      <w:r w:rsidRPr="00497C1F">
        <w:rPr>
          <w:rFonts w:cs="Arial"/>
          <w:sz w:val="20"/>
          <w:szCs w:val="20"/>
        </w:rPr>
        <w:t>PASIVOS</w:t>
      </w:r>
      <w:r w:rsidR="004F2B86" w:rsidRPr="00497C1F">
        <w:rPr>
          <w:rFonts w:cs="Arial"/>
          <w:sz w:val="20"/>
          <w:szCs w:val="20"/>
        </w:rPr>
        <w:t xml:space="preserve"> CIERTOS (DEUDAS) EN MONEDA</w:t>
      </w:r>
      <w:bookmarkEnd w:id="633"/>
      <w:bookmarkEnd w:id="634"/>
    </w:p>
    <w:p w:rsidR="00341D48" w:rsidRPr="00497C1F" w:rsidRDefault="00341D48" w:rsidP="00A318EA">
      <w:pPr>
        <w:pStyle w:val="Ttulo2"/>
        <w:rPr>
          <w:rFonts w:cs="Arial"/>
        </w:rPr>
      </w:pPr>
      <w:bookmarkStart w:id="635" w:name="_Toc101863915"/>
      <w:bookmarkStart w:id="636" w:name="_Toc139356793"/>
      <w:r w:rsidRPr="00497C1F">
        <w:rPr>
          <w:rFonts w:cs="Arial"/>
        </w:rPr>
        <w:t>Definici</w:t>
      </w:r>
      <w:r w:rsidR="00AB4B8C" w:rsidRPr="00497C1F">
        <w:rPr>
          <w:rFonts w:cs="Arial"/>
        </w:rPr>
        <w:t>ó</w:t>
      </w:r>
      <w:r w:rsidR="0082777F" w:rsidRPr="00497C1F">
        <w:rPr>
          <w:rFonts w:cs="Arial"/>
        </w:rPr>
        <w:t>n</w:t>
      </w:r>
      <w:bookmarkEnd w:id="635"/>
      <w:bookmarkEnd w:id="636"/>
    </w:p>
    <w:p w:rsidR="0082777F" w:rsidRPr="00AC4AEA" w:rsidRDefault="0082777F" w:rsidP="00A318EA">
      <w:pPr>
        <w:pStyle w:val="Prrafodelista"/>
        <w:numPr>
          <w:ilvl w:val="0"/>
          <w:numId w:val="29"/>
        </w:numPr>
        <w:contextualSpacing w:val="0"/>
        <w:jc w:val="both"/>
        <w:rPr>
          <w:rFonts w:ascii="Arial" w:hAnsi="Arial" w:cs="Arial"/>
          <w:sz w:val="20"/>
          <w:szCs w:val="20"/>
        </w:rPr>
      </w:pPr>
      <w:bookmarkStart w:id="637" w:name="_Ref74758120"/>
      <w:bookmarkStart w:id="638" w:name="_Ref105076075"/>
      <w:r w:rsidRPr="00497C1F">
        <w:rPr>
          <w:rFonts w:ascii="Arial" w:hAnsi="Arial" w:cs="Arial"/>
          <w:sz w:val="20"/>
          <w:szCs w:val="20"/>
        </w:rPr>
        <w:t xml:space="preserve">A los fines del tratamiento de los </w:t>
      </w:r>
      <w:r w:rsidR="00497590" w:rsidRPr="00497C1F">
        <w:rPr>
          <w:rFonts w:ascii="Arial" w:hAnsi="Arial" w:cs="Arial"/>
          <w:sz w:val="20"/>
          <w:szCs w:val="20"/>
        </w:rPr>
        <w:t>pasivos</w:t>
      </w:r>
      <w:r w:rsidRPr="00497C1F">
        <w:rPr>
          <w:rFonts w:ascii="Arial" w:hAnsi="Arial" w:cs="Arial"/>
          <w:sz w:val="20"/>
          <w:szCs w:val="20"/>
        </w:rPr>
        <w:t xml:space="preserve"> referidos en esta sección, una entidad</w:t>
      </w:r>
      <w:r w:rsidRPr="00AC4AEA">
        <w:rPr>
          <w:rFonts w:ascii="Arial" w:hAnsi="Arial" w:cs="Arial"/>
          <w:sz w:val="20"/>
          <w:szCs w:val="20"/>
        </w:rPr>
        <w:t xml:space="preserve"> deberá considerar la</w:t>
      </w:r>
      <w:r w:rsidR="004217DF" w:rsidRPr="00AC4AEA">
        <w:rPr>
          <w:rFonts w:ascii="Arial" w:hAnsi="Arial" w:cs="Arial"/>
          <w:sz w:val="20"/>
          <w:szCs w:val="20"/>
        </w:rPr>
        <w:t xml:space="preserve"> siguiente</w:t>
      </w:r>
      <w:r w:rsidRPr="00AC4AEA">
        <w:rPr>
          <w:rFonts w:ascii="Arial" w:hAnsi="Arial" w:cs="Arial"/>
          <w:sz w:val="20"/>
          <w:szCs w:val="20"/>
        </w:rPr>
        <w:t xml:space="preserve"> </w:t>
      </w:r>
      <w:r w:rsidR="004217DF" w:rsidRPr="00AC4AEA">
        <w:rPr>
          <w:rFonts w:ascii="Arial" w:hAnsi="Arial" w:cs="Arial"/>
          <w:sz w:val="20"/>
          <w:szCs w:val="20"/>
        </w:rPr>
        <w:t>definición</w:t>
      </w:r>
      <w:bookmarkEnd w:id="637"/>
      <w:r w:rsidR="00B46571" w:rsidRPr="00AC4AEA">
        <w:rPr>
          <w:rFonts w:ascii="Arial" w:hAnsi="Arial" w:cs="Arial"/>
          <w:sz w:val="20"/>
          <w:szCs w:val="20"/>
        </w:rPr>
        <w:t>:</w:t>
      </w:r>
      <w:bookmarkEnd w:id="638"/>
    </w:p>
    <w:p w:rsidR="00D17827" w:rsidRPr="00AC4AEA" w:rsidRDefault="00497590" w:rsidP="00A318EA">
      <w:pPr>
        <w:ind w:left="1416"/>
        <w:jc w:val="both"/>
        <w:rPr>
          <w:rFonts w:ascii="Arial" w:hAnsi="Arial" w:cs="Arial"/>
          <w:strike/>
          <w:sz w:val="20"/>
          <w:szCs w:val="20"/>
        </w:rPr>
      </w:pPr>
      <w:r w:rsidRPr="00AC4AEA">
        <w:rPr>
          <w:rFonts w:ascii="Arial" w:hAnsi="Arial" w:cs="Arial"/>
          <w:sz w:val="20"/>
          <w:szCs w:val="20"/>
          <w:u w:val="single"/>
        </w:rPr>
        <w:t>Pasivos</w:t>
      </w:r>
      <w:r w:rsidR="00D17827" w:rsidRPr="00AC4AEA">
        <w:rPr>
          <w:rFonts w:ascii="Arial" w:hAnsi="Arial" w:cs="Arial"/>
          <w:sz w:val="20"/>
          <w:szCs w:val="20"/>
          <w:u w:val="single"/>
        </w:rPr>
        <w:t xml:space="preserve"> ciertos</w:t>
      </w:r>
      <w:r w:rsidR="00F07430" w:rsidRPr="00AC4AEA">
        <w:rPr>
          <w:rFonts w:ascii="Arial" w:hAnsi="Arial" w:cs="Arial"/>
          <w:sz w:val="20"/>
          <w:szCs w:val="20"/>
          <w:u w:val="single"/>
        </w:rPr>
        <w:t xml:space="preserve"> (deudas)</w:t>
      </w:r>
      <w:r w:rsidR="006D4E6A" w:rsidRPr="00AC4AEA">
        <w:rPr>
          <w:rFonts w:ascii="Arial" w:hAnsi="Arial" w:cs="Arial"/>
          <w:sz w:val="20"/>
          <w:szCs w:val="20"/>
          <w:u w:val="single"/>
        </w:rPr>
        <w:t xml:space="preserve"> en moneda</w:t>
      </w:r>
      <w:r w:rsidR="00D17827" w:rsidRPr="00AC4AEA">
        <w:rPr>
          <w:rFonts w:ascii="Arial" w:hAnsi="Arial" w:cs="Arial"/>
          <w:sz w:val="20"/>
          <w:szCs w:val="20"/>
        </w:rPr>
        <w:t xml:space="preserve">: Son </w:t>
      </w:r>
      <w:r w:rsidRPr="00AC4AEA">
        <w:rPr>
          <w:rFonts w:ascii="Arial" w:hAnsi="Arial" w:cs="Arial"/>
          <w:sz w:val="20"/>
          <w:szCs w:val="20"/>
        </w:rPr>
        <w:t>pasivos</w:t>
      </w:r>
      <w:r w:rsidR="00D17827" w:rsidRPr="00AC4AEA">
        <w:rPr>
          <w:rFonts w:ascii="Arial" w:hAnsi="Arial" w:cs="Arial"/>
          <w:sz w:val="20"/>
          <w:szCs w:val="20"/>
        </w:rPr>
        <w:t xml:space="preserve"> caracterizados por la inexistencia de incertidumbre sobre su cuantía y vencimiento</w:t>
      </w:r>
      <w:r w:rsidR="006D4E6A" w:rsidRPr="00AC4AEA">
        <w:rPr>
          <w:rFonts w:ascii="Arial" w:hAnsi="Arial" w:cs="Arial"/>
          <w:sz w:val="20"/>
          <w:szCs w:val="20"/>
        </w:rPr>
        <w:t>, que representan una obligación de entregar sumas de efectivo</w:t>
      </w:r>
      <w:r w:rsidR="00D668C0" w:rsidRPr="00AC4AEA">
        <w:rPr>
          <w:rFonts w:ascii="Arial" w:hAnsi="Arial" w:cs="Arial"/>
          <w:sz w:val="20"/>
          <w:szCs w:val="20"/>
        </w:rPr>
        <w:t>,</w:t>
      </w:r>
      <w:r w:rsidR="00567540" w:rsidRPr="00AC4AEA">
        <w:rPr>
          <w:rFonts w:ascii="Arial" w:hAnsi="Arial" w:cs="Arial"/>
          <w:sz w:val="20"/>
          <w:szCs w:val="20"/>
        </w:rPr>
        <w:t xml:space="preserve"> equivalentes de </w:t>
      </w:r>
      <w:r w:rsidR="00D668C0" w:rsidRPr="00AC4AEA">
        <w:rPr>
          <w:rFonts w:ascii="Arial" w:hAnsi="Arial" w:cs="Arial"/>
          <w:sz w:val="20"/>
          <w:szCs w:val="20"/>
        </w:rPr>
        <w:t>efectivo o créditos ciertos en moneda</w:t>
      </w:r>
      <w:r w:rsidR="00721EB8" w:rsidRPr="00AC4AEA">
        <w:rPr>
          <w:rFonts w:ascii="Arial" w:hAnsi="Arial" w:cs="Arial"/>
          <w:sz w:val="20"/>
          <w:szCs w:val="20"/>
        </w:rPr>
        <w:t xml:space="preserve">, </w:t>
      </w:r>
      <w:r w:rsidR="00C90550" w:rsidRPr="00AC4AEA">
        <w:rPr>
          <w:rFonts w:ascii="Arial" w:hAnsi="Arial" w:cs="Arial"/>
          <w:sz w:val="20"/>
          <w:szCs w:val="20"/>
        </w:rPr>
        <w:t>siendo ineludible la salida tales recursos económicos.</w:t>
      </w:r>
      <w:r w:rsidR="005F4420" w:rsidRPr="00AC4AEA">
        <w:rPr>
          <w:rFonts w:ascii="Arial" w:hAnsi="Arial" w:cs="Arial"/>
          <w:sz w:val="20"/>
          <w:szCs w:val="20"/>
        </w:rPr>
        <w:t xml:space="preserve"> </w:t>
      </w:r>
      <w:r w:rsidR="002C6170" w:rsidRPr="00AC4AEA">
        <w:rPr>
          <w:rFonts w:ascii="Arial" w:hAnsi="Arial" w:cs="Arial"/>
          <w:sz w:val="20"/>
          <w:szCs w:val="20"/>
        </w:rPr>
        <w:t xml:space="preserve">Se excluyen los pasivos que se contabilicen aplicando la sección </w:t>
      </w:r>
      <w:r w:rsidR="002C6170" w:rsidRPr="00AC4AEA">
        <w:rPr>
          <w:rFonts w:ascii="Arial" w:eastAsia="Times New Roman" w:hAnsi="Arial" w:cs="Arial"/>
          <w:sz w:val="20"/>
          <w:szCs w:val="20"/>
          <w:lang w:eastAsia="es-ES"/>
        </w:rPr>
        <w:t>“</w:t>
      </w:r>
      <w:r w:rsidR="002C6170" w:rsidRPr="00AC4AEA">
        <w:rPr>
          <w:rFonts w:ascii="Arial" w:eastAsia="Times New Roman" w:hAnsi="Arial" w:cs="Arial"/>
          <w:sz w:val="20"/>
          <w:szCs w:val="20"/>
          <w:u w:val="single"/>
          <w:lang w:eastAsia="es-ES"/>
        </w:rPr>
        <w:t>Instrumentos derivados y operaciones de cobertura</w:t>
      </w:r>
      <w:r w:rsidR="002C6170" w:rsidRPr="00AC4AEA">
        <w:rPr>
          <w:rFonts w:ascii="Arial" w:eastAsia="Times New Roman" w:hAnsi="Arial" w:cs="Arial"/>
          <w:sz w:val="20"/>
          <w:szCs w:val="20"/>
          <w:lang w:eastAsia="es-ES"/>
        </w:rPr>
        <w:t xml:space="preserve">” [ver los párrafos </w:t>
      </w:r>
      <w:fldSimple w:instr=" REF _Ref132036276 \r \h  \* MERGEFORMAT ">
        <w:r w:rsidR="00D33A5D" w:rsidRPr="00D33A5D">
          <w:rPr>
            <w:rFonts w:ascii="Arial" w:eastAsia="Times New Roman" w:hAnsi="Arial" w:cs="Arial"/>
            <w:sz w:val="20"/>
            <w:szCs w:val="20"/>
            <w:lang w:eastAsia="es-ES"/>
          </w:rPr>
          <w:t>990</w:t>
        </w:r>
      </w:fldSimple>
      <w:r w:rsidR="002C6170" w:rsidRPr="00AC4AEA">
        <w:rPr>
          <w:rFonts w:ascii="Arial" w:eastAsia="Times New Roman" w:hAnsi="Arial" w:cs="Arial"/>
          <w:sz w:val="20"/>
          <w:szCs w:val="20"/>
          <w:lang w:eastAsia="es-ES"/>
        </w:rPr>
        <w:t xml:space="preserve"> al </w:t>
      </w:r>
      <w:fldSimple w:instr=" REF _Ref135045581 \r \h  \* MERGEFORMAT ">
        <w:r w:rsidR="00D33A5D" w:rsidRPr="00D33A5D">
          <w:rPr>
            <w:rFonts w:ascii="Arial" w:eastAsia="Times New Roman" w:hAnsi="Arial" w:cs="Arial"/>
            <w:sz w:val="20"/>
            <w:szCs w:val="20"/>
            <w:lang w:eastAsia="es-ES"/>
          </w:rPr>
          <w:t>1020</w:t>
        </w:r>
      </w:fldSimple>
      <w:r w:rsidR="002C6170" w:rsidRPr="00AC4AEA">
        <w:rPr>
          <w:rFonts w:ascii="Arial" w:eastAsia="Times New Roman" w:hAnsi="Arial" w:cs="Arial"/>
          <w:sz w:val="20"/>
          <w:szCs w:val="20"/>
          <w:lang w:eastAsia="es-ES"/>
        </w:rPr>
        <w:t>]</w:t>
      </w:r>
      <w:r w:rsidR="002C6170" w:rsidRPr="00AC4AEA">
        <w:rPr>
          <w:rFonts w:ascii="Arial" w:hAnsi="Arial" w:cs="Arial"/>
          <w:sz w:val="20"/>
          <w:szCs w:val="20"/>
        </w:rPr>
        <w:t>.</w:t>
      </w:r>
    </w:p>
    <w:p w:rsidR="00341D48" w:rsidRPr="00AC4AEA" w:rsidRDefault="00341D48" w:rsidP="00A318EA">
      <w:pPr>
        <w:jc w:val="both"/>
        <w:rPr>
          <w:rFonts w:ascii="Arial" w:hAnsi="Arial" w:cs="Arial"/>
          <w:b/>
          <w:bCs/>
          <w:sz w:val="20"/>
          <w:szCs w:val="20"/>
        </w:rPr>
      </w:pPr>
    </w:p>
    <w:p w:rsidR="00DB7F4F" w:rsidRPr="00AC4AEA" w:rsidRDefault="00DB7F4F" w:rsidP="00A318EA">
      <w:pPr>
        <w:pStyle w:val="Ttulo2"/>
        <w:rPr>
          <w:rFonts w:cs="Arial"/>
        </w:rPr>
      </w:pPr>
      <w:bookmarkStart w:id="639" w:name="_Toc101863916"/>
      <w:bookmarkStart w:id="640" w:name="_Toc139356794"/>
      <w:r w:rsidRPr="00AC4AEA">
        <w:rPr>
          <w:rFonts w:cs="Arial"/>
        </w:rPr>
        <w:t>Reconocimiento</w:t>
      </w:r>
      <w:bookmarkEnd w:id="639"/>
      <w:bookmarkEnd w:id="640"/>
    </w:p>
    <w:p w:rsidR="00DE5C24" w:rsidRPr="00AC4AEA" w:rsidRDefault="00DB7F4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un elemento como </w:t>
      </w:r>
      <w:r w:rsidR="003656D5" w:rsidRPr="00AC4AEA">
        <w:rPr>
          <w:rFonts w:ascii="Arial" w:hAnsi="Arial" w:cs="Arial"/>
          <w:b/>
          <w:bCs/>
          <w:sz w:val="20"/>
          <w:szCs w:val="20"/>
        </w:rPr>
        <w:t xml:space="preserve">pasivo </w:t>
      </w:r>
      <w:r w:rsidR="003656D5" w:rsidRPr="00AC4AEA">
        <w:rPr>
          <w:rFonts w:ascii="Arial" w:hAnsi="Arial" w:cs="Arial"/>
          <w:sz w:val="20"/>
          <w:szCs w:val="20"/>
        </w:rPr>
        <w:t>cierto</w:t>
      </w:r>
      <w:r w:rsidR="00310A44" w:rsidRPr="00AC4AEA">
        <w:rPr>
          <w:rFonts w:ascii="Arial" w:hAnsi="Arial" w:cs="Arial"/>
          <w:sz w:val="20"/>
          <w:szCs w:val="20"/>
        </w:rPr>
        <w:t xml:space="preserve"> (deuda) en moneda</w:t>
      </w:r>
      <w:r w:rsidRPr="00AC4AEA">
        <w:rPr>
          <w:rFonts w:ascii="Arial" w:hAnsi="Arial" w:cs="Arial"/>
          <w:sz w:val="20"/>
          <w:szCs w:val="20"/>
        </w:rPr>
        <w:t xml:space="preserve"> </w:t>
      </w:r>
      <w:r w:rsidR="00C7347B" w:rsidRPr="00AC4AEA">
        <w:rPr>
          <w:rFonts w:ascii="Arial" w:hAnsi="Arial" w:cs="Arial"/>
          <w:sz w:val="20"/>
          <w:szCs w:val="20"/>
        </w:rPr>
        <w:t xml:space="preserve">cuando </w:t>
      </w:r>
      <w:r w:rsidR="00DE768B" w:rsidRPr="00AC4AEA">
        <w:rPr>
          <w:rFonts w:ascii="Arial" w:hAnsi="Arial" w:cs="Arial"/>
          <w:sz w:val="20"/>
          <w:szCs w:val="20"/>
        </w:rPr>
        <w:t xml:space="preserve">se cumple la definición general del párrafo </w:t>
      </w:r>
      <w:fldSimple w:instr=" REF _Ref74818851 \r \h  \* MERGEFORMAT ">
        <w:r w:rsidR="00D33A5D" w:rsidRPr="00D33A5D">
          <w:rPr>
            <w:rFonts w:ascii="Arial" w:hAnsi="Arial" w:cs="Arial"/>
            <w:sz w:val="20"/>
            <w:szCs w:val="20"/>
          </w:rPr>
          <w:t>23</w:t>
        </w:r>
      </w:fldSimple>
      <w:r w:rsidR="00DE768B" w:rsidRPr="00AC4AEA">
        <w:rPr>
          <w:rFonts w:ascii="Arial" w:hAnsi="Arial" w:cs="Arial"/>
          <w:sz w:val="20"/>
          <w:szCs w:val="20"/>
        </w:rPr>
        <w:t xml:space="preserve"> y la definición específica contenida en el párrafo </w:t>
      </w:r>
      <w:fldSimple w:instr=" REF _Ref105076075 \r \h  \* MERGEFORMAT ">
        <w:r w:rsidR="00D33A5D" w:rsidRPr="00D33A5D">
          <w:rPr>
            <w:rFonts w:ascii="Arial" w:hAnsi="Arial" w:cs="Arial"/>
            <w:sz w:val="20"/>
            <w:szCs w:val="20"/>
          </w:rPr>
          <w:t>457</w:t>
        </w:r>
      </w:fldSimple>
      <w:r w:rsidR="00DE768B" w:rsidRPr="00AC4AEA">
        <w:rPr>
          <w:rFonts w:ascii="Arial" w:hAnsi="Arial" w:cs="Arial"/>
          <w:sz w:val="20"/>
          <w:szCs w:val="20"/>
        </w:rPr>
        <w:t xml:space="preserve"> (por ejemplo, cuando </w:t>
      </w:r>
      <w:r w:rsidR="00C7347B" w:rsidRPr="00AC4AEA">
        <w:rPr>
          <w:rFonts w:ascii="Arial" w:hAnsi="Arial" w:cs="Arial"/>
          <w:sz w:val="20"/>
          <w:szCs w:val="20"/>
        </w:rPr>
        <w:t xml:space="preserve">se produzca el evento contemplado en alguna ley o reglamentación que origine una obligación de entregar sumas de efectivo, equivalentes de efectivo u otro </w:t>
      </w:r>
      <w:r w:rsidR="00C7347B" w:rsidRPr="00AC4AEA">
        <w:rPr>
          <w:rFonts w:ascii="Arial" w:hAnsi="Arial" w:cs="Arial"/>
          <w:b/>
          <w:bCs/>
          <w:sz w:val="20"/>
          <w:szCs w:val="20"/>
        </w:rPr>
        <w:t>activo financiero</w:t>
      </w:r>
      <w:r w:rsidR="009F55BB" w:rsidRPr="00AC4AEA">
        <w:rPr>
          <w:rFonts w:ascii="Arial" w:hAnsi="Arial" w:cs="Arial"/>
          <w:sz w:val="20"/>
          <w:szCs w:val="20"/>
        </w:rPr>
        <w:t>)</w:t>
      </w:r>
      <w:r w:rsidR="00F25515" w:rsidRPr="00AC4AEA">
        <w:rPr>
          <w:rFonts w:ascii="Arial" w:hAnsi="Arial" w:cs="Arial"/>
          <w:sz w:val="20"/>
          <w:szCs w:val="20"/>
        </w:rPr>
        <w:t>.</w:t>
      </w:r>
    </w:p>
    <w:p w:rsidR="00DB7F4F" w:rsidRPr="00AC4AEA" w:rsidRDefault="00DB7F4F" w:rsidP="00A318EA">
      <w:pPr>
        <w:jc w:val="both"/>
        <w:rPr>
          <w:rFonts w:ascii="Arial" w:hAnsi="Arial" w:cs="Arial"/>
          <w:b/>
          <w:bCs/>
          <w:sz w:val="20"/>
          <w:szCs w:val="20"/>
        </w:rPr>
      </w:pPr>
    </w:p>
    <w:p w:rsidR="00341D48" w:rsidRPr="00AC4AEA" w:rsidRDefault="00341D48" w:rsidP="00A318EA">
      <w:pPr>
        <w:pStyle w:val="Ttulo2"/>
        <w:rPr>
          <w:rFonts w:cs="Arial"/>
        </w:rPr>
      </w:pPr>
      <w:bookmarkStart w:id="641" w:name="_Toc101863917"/>
      <w:bookmarkStart w:id="642" w:name="_Toc139356795"/>
      <w:r w:rsidRPr="00AC4AEA">
        <w:rPr>
          <w:rFonts w:cs="Arial"/>
        </w:rPr>
        <w:t>Medición inicial</w:t>
      </w:r>
      <w:bookmarkEnd w:id="641"/>
      <w:bookmarkEnd w:id="642"/>
    </w:p>
    <w:p w:rsidR="00A734C9" w:rsidRPr="00AC4AEA" w:rsidRDefault="00497590" w:rsidP="00A318EA">
      <w:pPr>
        <w:pStyle w:val="Ttulo3"/>
      </w:pPr>
      <w:bookmarkStart w:id="643" w:name="_Toc101863918"/>
      <w:bookmarkStart w:id="644" w:name="_Toc139356796"/>
      <w:r w:rsidRPr="00AC4AEA">
        <w:t>Pasivos</w:t>
      </w:r>
      <w:r w:rsidR="00A734C9" w:rsidRPr="00AC4AEA">
        <w:t xml:space="preserve"> </w:t>
      </w:r>
      <w:r w:rsidR="00E31FF4" w:rsidRPr="00AC4AEA">
        <w:t xml:space="preserve">ciertos (deudas) </w:t>
      </w:r>
      <w:r w:rsidR="00D74FC9" w:rsidRPr="00AC4AEA">
        <w:t>en moneda</w:t>
      </w:r>
      <w:r w:rsidR="00341D48" w:rsidRPr="00AC4AEA">
        <w:t xml:space="preserve"> originados en la compra de bienes o servicios</w:t>
      </w:r>
      <w:bookmarkEnd w:id="643"/>
      <w:bookmarkEnd w:id="644"/>
    </w:p>
    <w:p w:rsidR="00AA6DB0" w:rsidRPr="00AC4AEA" w:rsidRDefault="00AA6DB0" w:rsidP="00A318EA">
      <w:pPr>
        <w:pStyle w:val="Prrafodelista"/>
        <w:numPr>
          <w:ilvl w:val="0"/>
          <w:numId w:val="29"/>
        </w:numPr>
        <w:contextualSpacing w:val="0"/>
        <w:jc w:val="both"/>
        <w:rPr>
          <w:rFonts w:ascii="Arial" w:hAnsi="Arial" w:cs="Arial"/>
          <w:sz w:val="20"/>
          <w:szCs w:val="20"/>
        </w:rPr>
      </w:pPr>
      <w:bookmarkStart w:id="645" w:name="_Ref99483922"/>
      <w:r w:rsidRPr="00AC4AEA">
        <w:rPr>
          <w:rFonts w:ascii="Arial" w:hAnsi="Arial" w:cs="Arial"/>
          <w:sz w:val="20"/>
          <w:szCs w:val="20"/>
        </w:rPr>
        <w:t xml:space="preserve">Una entidad medirá inicialmente los </w:t>
      </w:r>
      <w:r w:rsidR="00497590" w:rsidRPr="00AC4AEA">
        <w:rPr>
          <w:rFonts w:ascii="Arial" w:hAnsi="Arial" w:cs="Arial"/>
          <w:sz w:val="20"/>
          <w:szCs w:val="20"/>
        </w:rPr>
        <w:t>pasivos</w:t>
      </w:r>
      <w:r w:rsidRPr="00AC4AEA">
        <w:rPr>
          <w:rFonts w:ascii="Arial" w:hAnsi="Arial" w:cs="Arial"/>
          <w:sz w:val="20"/>
          <w:szCs w:val="20"/>
        </w:rPr>
        <w:t xml:space="preserve"> </w:t>
      </w:r>
      <w:r w:rsidR="00E31FF4" w:rsidRPr="00AC4AEA">
        <w:rPr>
          <w:rFonts w:ascii="Arial" w:hAnsi="Arial" w:cs="Arial"/>
          <w:sz w:val="20"/>
          <w:szCs w:val="20"/>
        </w:rPr>
        <w:t xml:space="preserve">ciertos (deudas) </w:t>
      </w:r>
      <w:r w:rsidRPr="00AC4AEA">
        <w:rPr>
          <w:rFonts w:ascii="Arial" w:hAnsi="Arial" w:cs="Arial"/>
          <w:sz w:val="20"/>
          <w:szCs w:val="20"/>
        </w:rPr>
        <w:t>en moneda originad</w:t>
      </w:r>
      <w:r w:rsidR="00D74FC9" w:rsidRPr="00AC4AEA">
        <w:rPr>
          <w:rFonts w:ascii="Arial" w:hAnsi="Arial" w:cs="Arial"/>
          <w:sz w:val="20"/>
          <w:szCs w:val="20"/>
        </w:rPr>
        <w:t>o</w:t>
      </w:r>
      <w:r w:rsidRPr="00AC4AEA">
        <w:rPr>
          <w:rFonts w:ascii="Arial" w:hAnsi="Arial" w:cs="Arial"/>
          <w:sz w:val="20"/>
          <w:szCs w:val="20"/>
        </w:rPr>
        <w:t xml:space="preserve">s en compra de </w:t>
      </w:r>
      <w:r w:rsidR="002E57F3" w:rsidRPr="00AC4AEA">
        <w:rPr>
          <w:rFonts w:ascii="Arial" w:hAnsi="Arial" w:cs="Arial"/>
          <w:sz w:val="20"/>
          <w:szCs w:val="20"/>
        </w:rPr>
        <w:t>bienes o servicios</w:t>
      </w:r>
      <w:r w:rsidR="00E62EB3" w:rsidRPr="00AC4AEA">
        <w:rPr>
          <w:rFonts w:ascii="Arial" w:hAnsi="Arial" w:cs="Arial"/>
          <w:sz w:val="20"/>
          <w:szCs w:val="20"/>
        </w:rPr>
        <w:t xml:space="preserve"> entre partes independientes</w:t>
      </w:r>
      <w:r w:rsidR="002E57F3" w:rsidRPr="00AC4AEA">
        <w:rPr>
          <w:rFonts w:ascii="Arial" w:hAnsi="Arial" w:cs="Arial"/>
          <w:sz w:val="20"/>
          <w:szCs w:val="20"/>
        </w:rPr>
        <w:t>:</w:t>
      </w:r>
      <w:bookmarkEnd w:id="645"/>
      <w:r w:rsidRPr="00AC4AEA">
        <w:rPr>
          <w:rFonts w:ascii="Arial" w:hAnsi="Arial" w:cs="Arial"/>
          <w:sz w:val="20"/>
          <w:szCs w:val="20"/>
        </w:rPr>
        <w:t xml:space="preserve"> </w:t>
      </w:r>
    </w:p>
    <w:p w:rsidR="00812401" w:rsidRPr="00497C1F" w:rsidRDefault="00812401" w:rsidP="00A318EA">
      <w:pPr>
        <w:pStyle w:val="Prrafodelista"/>
        <w:numPr>
          <w:ilvl w:val="1"/>
          <w:numId w:val="29"/>
        </w:numPr>
        <w:ind w:left="1560"/>
        <w:contextualSpacing w:val="0"/>
        <w:jc w:val="both"/>
        <w:rPr>
          <w:rFonts w:ascii="Arial" w:hAnsi="Arial" w:cs="Arial"/>
          <w:sz w:val="20"/>
          <w:szCs w:val="20"/>
        </w:rPr>
      </w:pPr>
      <w:r w:rsidRPr="00497C1F">
        <w:rPr>
          <w:rFonts w:ascii="Arial" w:hAnsi="Arial" w:cs="Arial"/>
          <w:sz w:val="20"/>
          <w:szCs w:val="20"/>
        </w:rPr>
        <w:t xml:space="preserve">Al valor </w:t>
      </w:r>
      <w:r w:rsidR="004820D2" w:rsidRPr="00497C1F">
        <w:rPr>
          <w:rFonts w:ascii="Arial" w:hAnsi="Arial" w:cs="Arial"/>
          <w:sz w:val="20"/>
          <w:szCs w:val="20"/>
        </w:rPr>
        <w:t xml:space="preserve">de </w:t>
      </w:r>
      <w:r w:rsidRPr="00497C1F">
        <w:rPr>
          <w:rFonts w:ascii="Arial" w:hAnsi="Arial" w:cs="Arial"/>
          <w:sz w:val="20"/>
          <w:szCs w:val="20"/>
        </w:rPr>
        <w:t xml:space="preserve">contado de la operación, cuando </w:t>
      </w:r>
      <w:r w:rsidR="002A4C4E" w:rsidRPr="00497C1F">
        <w:rPr>
          <w:rFonts w:ascii="Arial" w:hAnsi="Arial" w:cs="Arial"/>
          <w:sz w:val="20"/>
          <w:szCs w:val="20"/>
        </w:rPr>
        <w:t xml:space="preserve">pacte </w:t>
      </w:r>
      <w:r w:rsidRPr="00497C1F">
        <w:rPr>
          <w:rFonts w:ascii="Arial" w:hAnsi="Arial" w:cs="Arial"/>
          <w:b/>
          <w:bCs/>
          <w:sz w:val="20"/>
          <w:szCs w:val="20"/>
        </w:rPr>
        <w:t>componentes financieros explícitos</w:t>
      </w:r>
      <w:r w:rsidRPr="00497C1F">
        <w:rPr>
          <w:rFonts w:ascii="Arial" w:hAnsi="Arial" w:cs="Arial"/>
          <w:sz w:val="20"/>
          <w:szCs w:val="20"/>
        </w:rPr>
        <w:t>.</w:t>
      </w:r>
    </w:p>
    <w:p w:rsidR="00812401" w:rsidRPr="00AC4AEA" w:rsidRDefault="0081240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 su valor nomina</w:t>
      </w:r>
      <w:r w:rsidR="00654D39" w:rsidRPr="00AC4AEA">
        <w:rPr>
          <w:rFonts w:ascii="Arial" w:hAnsi="Arial" w:cs="Arial"/>
          <w:sz w:val="20"/>
          <w:szCs w:val="20"/>
        </w:rPr>
        <w:t>l, cuando</w:t>
      </w:r>
      <w:r w:rsidR="007D7512" w:rsidRPr="00AC4AEA">
        <w:rPr>
          <w:rFonts w:ascii="Arial" w:hAnsi="Arial" w:cs="Arial"/>
          <w:sz w:val="20"/>
          <w:szCs w:val="20"/>
        </w:rPr>
        <w:t xml:space="preserve"> n</w:t>
      </w:r>
      <w:r w:rsidRPr="00AC4AEA">
        <w:rPr>
          <w:rFonts w:ascii="Arial" w:hAnsi="Arial" w:cs="Arial"/>
          <w:sz w:val="20"/>
          <w:szCs w:val="20"/>
        </w:rPr>
        <w:t xml:space="preserve">o segregue </w:t>
      </w:r>
      <w:r w:rsidRPr="00AC4AEA">
        <w:rPr>
          <w:rFonts w:ascii="Arial" w:hAnsi="Arial" w:cs="Arial"/>
          <w:b/>
          <w:bCs/>
          <w:sz w:val="20"/>
          <w:szCs w:val="20"/>
        </w:rPr>
        <w:t>componentes financieros implícitos</w:t>
      </w:r>
      <w:r w:rsidRPr="00AC4AEA">
        <w:rPr>
          <w:rFonts w:ascii="Arial" w:hAnsi="Arial" w:cs="Arial"/>
          <w:sz w:val="20"/>
          <w:szCs w:val="20"/>
        </w:rPr>
        <w:t xml:space="preserve">, de acuerdo con lo establecido en </w:t>
      </w:r>
      <w:r w:rsidR="00B23147" w:rsidRPr="00AC4AEA">
        <w:rPr>
          <w:rFonts w:ascii="Arial" w:hAnsi="Arial" w:cs="Arial"/>
          <w:sz w:val="20"/>
          <w:szCs w:val="20"/>
        </w:rPr>
        <w:t>el apartado</w:t>
      </w:r>
      <w:r w:rsidRPr="00AC4AEA">
        <w:rPr>
          <w:rFonts w:ascii="Arial" w:hAnsi="Arial" w:cs="Arial"/>
          <w:sz w:val="20"/>
          <w:szCs w:val="20"/>
        </w:rPr>
        <w:t xml:space="preserve"> “</w:t>
      </w:r>
      <w:r w:rsidRPr="00AC4AEA">
        <w:rPr>
          <w:rFonts w:ascii="Arial" w:hAnsi="Arial" w:cs="Arial"/>
          <w:sz w:val="20"/>
          <w:szCs w:val="20"/>
          <w:u w:val="single"/>
        </w:rPr>
        <w:t>Segregación de componentes financieros implícitos</w:t>
      </w:r>
      <w:r w:rsidRPr="00AC4AEA">
        <w:rPr>
          <w:rFonts w:ascii="Arial" w:hAnsi="Arial" w:cs="Arial"/>
          <w:sz w:val="20"/>
          <w:szCs w:val="20"/>
        </w:rPr>
        <w:t>”</w:t>
      </w:r>
      <w:r w:rsidR="00CE7B0F"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00CE7B0F"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00CE7B0F" w:rsidRPr="00AC4AEA">
        <w:rPr>
          <w:rFonts w:ascii="Arial" w:hAnsi="Arial" w:cs="Arial"/>
          <w:sz w:val="20"/>
          <w:szCs w:val="20"/>
        </w:rPr>
        <w:t>]</w:t>
      </w:r>
      <w:r w:rsidR="007D7512" w:rsidRPr="00AC4AEA">
        <w:rPr>
          <w:rFonts w:ascii="Arial" w:hAnsi="Arial" w:cs="Arial"/>
          <w:sz w:val="20"/>
          <w:szCs w:val="20"/>
        </w:rPr>
        <w:t>; o</w:t>
      </w:r>
    </w:p>
    <w:p w:rsidR="00AA6DB0" w:rsidRPr="00AC4AEA" w:rsidRDefault="00812401" w:rsidP="00A318EA">
      <w:pPr>
        <w:pStyle w:val="Prrafodelista"/>
        <w:numPr>
          <w:ilvl w:val="0"/>
          <w:numId w:val="297"/>
        </w:numPr>
        <w:ind w:left="1559"/>
        <w:contextualSpacing w:val="0"/>
        <w:jc w:val="both"/>
        <w:rPr>
          <w:rFonts w:ascii="Arial" w:hAnsi="Arial" w:cs="Arial"/>
          <w:sz w:val="20"/>
          <w:szCs w:val="20"/>
        </w:rPr>
      </w:pPr>
      <w:r w:rsidRPr="00AC4AEA">
        <w:rPr>
          <w:rFonts w:ascii="Arial" w:hAnsi="Arial" w:cs="Arial"/>
          <w:sz w:val="20"/>
          <w:szCs w:val="20"/>
        </w:rPr>
        <w:t xml:space="preserve">Al valor descontado de los flujos de efectivo futuros o al precio contado cuando segregue </w:t>
      </w:r>
      <w:r w:rsidRPr="00AC4AEA">
        <w:rPr>
          <w:rFonts w:ascii="Arial" w:hAnsi="Arial" w:cs="Arial"/>
          <w:b/>
          <w:bCs/>
          <w:sz w:val="20"/>
          <w:szCs w:val="20"/>
        </w:rPr>
        <w:t>componentes financieros implícitos</w:t>
      </w:r>
      <w:r w:rsidRPr="00AC4AEA">
        <w:rPr>
          <w:rFonts w:ascii="Arial" w:hAnsi="Arial" w:cs="Arial"/>
          <w:sz w:val="20"/>
          <w:szCs w:val="20"/>
        </w:rPr>
        <w:t xml:space="preserve">, según lo establecido </w:t>
      </w:r>
      <w:r w:rsidR="00B23147" w:rsidRPr="00AC4AEA">
        <w:rPr>
          <w:rFonts w:ascii="Arial" w:hAnsi="Arial" w:cs="Arial"/>
          <w:sz w:val="20"/>
          <w:szCs w:val="20"/>
        </w:rPr>
        <w:t>en el apartado</w:t>
      </w:r>
      <w:r w:rsidR="00A82EFF" w:rsidRPr="00AC4AEA">
        <w:rPr>
          <w:rFonts w:ascii="Arial" w:hAnsi="Arial" w:cs="Arial"/>
          <w:sz w:val="20"/>
          <w:szCs w:val="20"/>
        </w:rPr>
        <w:t xml:space="preserve"> </w:t>
      </w:r>
      <w:r w:rsidRPr="00AC4AEA">
        <w:rPr>
          <w:rFonts w:ascii="Arial" w:hAnsi="Arial" w:cs="Arial"/>
          <w:sz w:val="20"/>
          <w:szCs w:val="20"/>
        </w:rPr>
        <w:t>“</w:t>
      </w:r>
      <w:r w:rsidRPr="00AC4AEA">
        <w:rPr>
          <w:rFonts w:ascii="Arial" w:hAnsi="Arial" w:cs="Arial"/>
          <w:sz w:val="20"/>
          <w:szCs w:val="20"/>
          <w:u w:val="single"/>
        </w:rPr>
        <w:t>Segregación de componentes financieros implícitos</w:t>
      </w:r>
      <w:r w:rsidR="00CE7B0F"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00CE7B0F"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00CE7B0F" w:rsidRPr="00AC4AEA">
        <w:rPr>
          <w:rFonts w:ascii="Arial" w:hAnsi="Arial" w:cs="Arial"/>
          <w:sz w:val="20"/>
          <w:szCs w:val="20"/>
        </w:rPr>
        <w:t xml:space="preserve">]. </w:t>
      </w:r>
    </w:p>
    <w:p w:rsidR="00A734C9" w:rsidRPr="00AC4AEA" w:rsidRDefault="00A734C9" w:rsidP="00A318EA">
      <w:pPr>
        <w:pStyle w:val="A-doctorado"/>
        <w:jc w:val="both"/>
        <w:rPr>
          <w:rFonts w:ascii="Arial" w:hAnsi="Arial"/>
          <w:color w:val="auto"/>
          <w:sz w:val="20"/>
          <w:szCs w:val="20"/>
        </w:rPr>
      </w:pPr>
    </w:p>
    <w:p w:rsidR="00A734C9" w:rsidRPr="00AC4AEA" w:rsidRDefault="00497590" w:rsidP="00A318EA">
      <w:pPr>
        <w:pStyle w:val="Ttulo3"/>
      </w:pPr>
      <w:bookmarkStart w:id="646" w:name="_Toc101863919"/>
      <w:bookmarkStart w:id="647" w:name="_Toc139356797"/>
      <w:r w:rsidRPr="00AC4AEA">
        <w:t>Pasivos</w:t>
      </w:r>
      <w:r w:rsidR="00A734C9" w:rsidRPr="00AC4AEA">
        <w:t xml:space="preserve"> </w:t>
      </w:r>
      <w:r w:rsidR="002545BE" w:rsidRPr="00AC4AEA">
        <w:t xml:space="preserve">ciertos (deudas) </w:t>
      </w:r>
      <w:r w:rsidR="00567540" w:rsidRPr="00AC4AEA">
        <w:t xml:space="preserve">en moneda </w:t>
      </w:r>
      <w:r w:rsidR="00341D48" w:rsidRPr="00AC4AEA">
        <w:t>originados en transacciones financieras</w:t>
      </w:r>
      <w:bookmarkEnd w:id="646"/>
      <w:bookmarkEnd w:id="647"/>
    </w:p>
    <w:p w:rsidR="00A518BA" w:rsidRPr="00AC4AEA" w:rsidRDefault="00A518BA" w:rsidP="00A318EA">
      <w:pPr>
        <w:pStyle w:val="Prrafodelista"/>
        <w:numPr>
          <w:ilvl w:val="0"/>
          <w:numId w:val="29"/>
        </w:numPr>
        <w:contextualSpacing w:val="0"/>
        <w:jc w:val="both"/>
        <w:rPr>
          <w:rFonts w:ascii="Arial" w:hAnsi="Arial" w:cs="Arial"/>
          <w:sz w:val="20"/>
          <w:szCs w:val="20"/>
        </w:rPr>
      </w:pPr>
      <w:bookmarkStart w:id="648" w:name="_Ref132012524"/>
      <w:r w:rsidRPr="00AC4AEA">
        <w:rPr>
          <w:rFonts w:ascii="Arial" w:hAnsi="Arial" w:cs="Arial"/>
          <w:sz w:val="20"/>
          <w:szCs w:val="20"/>
        </w:rPr>
        <w:t xml:space="preserve">Una entidad medirá inicialmente los pasivos </w:t>
      </w:r>
      <w:r w:rsidR="009F55BB" w:rsidRPr="00AC4AEA">
        <w:rPr>
          <w:rFonts w:ascii="Arial" w:hAnsi="Arial" w:cs="Arial"/>
          <w:sz w:val="20"/>
          <w:szCs w:val="20"/>
        </w:rPr>
        <w:t xml:space="preserve">ciertos (deudas) </w:t>
      </w:r>
      <w:r w:rsidRPr="00AC4AEA">
        <w:rPr>
          <w:rFonts w:ascii="Arial" w:hAnsi="Arial" w:cs="Arial"/>
          <w:sz w:val="20"/>
          <w:szCs w:val="20"/>
        </w:rPr>
        <w:t xml:space="preserve">en moneda originados en </w:t>
      </w:r>
      <w:r w:rsidRPr="00AC4AEA">
        <w:rPr>
          <w:rFonts w:ascii="Arial" w:hAnsi="Arial" w:cs="Arial"/>
          <w:b/>
          <w:bCs/>
          <w:sz w:val="20"/>
          <w:szCs w:val="20"/>
        </w:rPr>
        <w:t>transacciones financieras</w:t>
      </w:r>
      <w:r w:rsidR="00E62EB3" w:rsidRPr="00AC4AEA">
        <w:rPr>
          <w:rFonts w:ascii="Arial" w:hAnsi="Arial" w:cs="Arial"/>
          <w:b/>
          <w:bCs/>
          <w:sz w:val="20"/>
          <w:szCs w:val="20"/>
        </w:rPr>
        <w:t xml:space="preserve"> </w:t>
      </w:r>
      <w:r w:rsidR="00E62EB3" w:rsidRPr="00AC4AEA">
        <w:rPr>
          <w:rFonts w:ascii="Arial" w:hAnsi="Arial" w:cs="Arial"/>
          <w:sz w:val="20"/>
          <w:szCs w:val="20"/>
        </w:rPr>
        <w:t>entre partes independientes</w:t>
      </w:r>
      <w:r w:rsidRPr="00AC4AEA">
        <w:rPr>
          <w:rFonts w:ascii="Arial" w:hAnsi="Arial" w:cs="Arial"/>
          <w:sz w:val="20"/>
          <w:szCs w:val="20"/>
        </w:rPr>
        <w:t>:</w:t>
      </w:r>
      <w:bookmarkEnd w:id="648"/>
    </w:p>
    <w:p w:rsidR="00A518BA" w:rsidRPr="00AC4AEA" w:rsidRDefault="00A518BA" w:rsidP="00A318EA">
      <w:pPr>
        <w:pStyle w:val="Prrafodelista"/>
        <w:numPr>
          <w:ilvl w:val="0"/>
          <w:numId w:val="413"/>
        </w:numPr>
        <w:ind w:left="1560"/>
        <w:contextualSpacing w:val="0"/>
        <w:jc w:val="both"/>
        <w:rPr>
          <w:rFonts w:ascii="Arial" w:hAnsi="Arial" w:cs="Arial"/>
          <w:sz w:val="20"/>
          <w:szCs w:val="20"/>
        </w:rPr>
      </w:pPr>
      <w:r w:rsidRPr="00AC4AEA">
        <w:rPr>
          <w:rFonts w:ascii="Arial" w:hAnsi="Arial" w:cs="Arial"/>
          <w:sz w:val="20"/>
          <w:szCs w:val="20"/>
        </w:rPr>
        <w:t xml:space="preserve">Por el valor de las sumas </w:t>
      </w:r>
      <w:r w:rsidR="0052091A" w:rsidRPr="00AC4AEA">
        <w:rPr>
          <w:rFonts w:ascii="Arial" w:hAnsi="Arial" w:cs="Arial"/>
          <w:sz w:val="20"/>
          <w:szCs w:val="20"/>
        </w:rPr>
        <w:t>recibidas</w:t>
      </w:r>
      <w:r w:rsidRPr="00AC4AEA">
        <w:rPr>
          <w:rFonts w:ascii="Arial" w:hAnsi="Arial" w:cs="Arial"/>
          <w:sz w:val="20"/>
          <w:szCs w:val="20"/>
        </w:rPr>
        <w:t xml:space="preserve"> (neto de los gastos </w:t>
      </w:r>
      <w:r w:rsidR="00347C86" w:rsidRPr="00AC4AEA">
        <w:rPr>
          <w:rFonts w:ascii="Arial" w:hAnsi="Arial" w:cs="Arial"/>
          <w:sz w:val="20"/>
          <w:szCs w:val="20"/>
        </w:rPr>
        <w:t>deducidos</w:t>
      </w:r>
      <w:r w:rsidRPr="00AC4AEA">
        <w:rPr>
          <w:rFonts w:ascii="Arial" w:hAnsi="Arial" w:cs="Arial"/>
          <w:sz w:val="20"/>
          <w:szCs w:val="20"/>
        </w:rPr>
        <w:t>), cuando:</w:t>
      </w:r>
    </w:p>
    <w:p w:rsidR="00A518BA" w:rsidRPr="00AC4AEA" w:rsidRDefault="00A518BA" w:rsidP="00A318EA">
      <w:pPr>
        <w:pStyle w:val="Prrafodelista"/>
        <w:numPr>
          <w:ilvl w:val="0"/>
          <w:numId w:val="443"/>
        </w:numPr>
        <w:ind w:left="1985"/>
        <w:contextualSpacing w:val="0"/>
        <w:jc w:val="both"/>
        <w:rPr>
          <w:rFonts w:ascii="Arial" w:hAnsi="Arial" w:cs="Arial"/>
          <w:sz w:val="20"/>
          <w:szCs w:val="20"/>
        </w:rPr>
      </w:pPr>
      <w:r w:rsidRPr="00AC4AEA">
        <w:rPr>
          <w:rFonts w:ascii="Arial" w:hAnsi="Arial" w:cs="Arial"/>
          <w:sz w:val="20"/>
          <w:szCs w:val="20"/>
        </w:rPr>
        <w:t xml:space="preserve">la entidad es pequeña, excepto que opte por la </w:t>
      </w:r>
      <w:r w:rsidRPr="00AC4AEA">
        <w:rPr>
          <w:rFonts w:ascii="Arial" w:hAnsi="Arial" w:cs="Arial"/>
          <w:b/>
          <w:bCs/>
          <w:sz w:val="20"/>
          <w:szCs w:val="20"/>
        </w:rPr>
        <w:t>política contable</w:t>
      </w:r>
      <w:r w:rsidRPr="00AC4AEA">
        <w:rPr>
          <w:rFonts w:ascii="Arial" w:hAnsi="Arial" w:cs="Arial"/>
          <w:sz w:val="20"/>
          <w:szCs w:val="20"/>
        </w:rPr>
        <w:t xml:space="preserve"> referida en el inciso b) siguiente; </w:t>
      </w:r>
    </w:p>
    <w:p w:rsidR="00A518BA" w:rsidRPr="00AC4AEA" w:rsidRDefault="00A518BA" w:rsidP="00A318EA">
      <w:pPr>
        <w:pStyle w:val="Prrafodelista"/>
        <w:numPr>
          <w:ilvl w:val="0"/>
          <w:numId w:val="443"/>
        </w:numPr>
        <w:ind w:left="1985"/>
        <w:contextualSpacing w:val="0"/>
        <w:jc w:val="both"/>
        <w:rPr>
          <w:rFonts w:ascii="Arial" w:hAnsi="Arial" w:cs="Arial"/>
          <w:sz w:val="20"/>
          <w:szCs w:val="20"/>
        </w:rPr>
      </w:pPr>
      <w:r w:rsidRPr="00AC4AEA">
        <w:rPr>
          <w:rFonts w:ascii="Arial" w:hAnsi="Arial" w:cs="Arial"/>
          <w:sz w:val="20"/>
          <w:szCs w:val="20"/>
        </w:rPr>
        <w:t xml:space="preserve">la tasa de interés pactada no difiere significativamente del tipo de mercado para transacciones similares; </w:t>
      </w:r>
      <w:r w:rsidR="009429CC" w:rsidRPr="00AC4AEA">
        <w:rPr>
          <w:rFonts w:ascii="Arial" w:hAnsi="Arial" w:cs="Arial"/>
          <w:sz w:val="20"/>
          <w:szCs w:val="20"/>
        </w:rPr>
        <w:t>o</w:t>
      </w:r>
    </w:p>
    <w:p w:rsidR="00A518BA" w:rsidRPr="00AC4AEA" w:rsidRDefault="00A518BA" w:rsidP="00A318EA">
      <w:pPr>
        <w:pStyle w:val="Prrafodelista"/>
        <w:numPr>
          <w:ilvl w:val="0"/>
          <w:numId w:val="443"/>
        </w:numPr>
        <w:ind w:left="1985"/>
        <w:contextualSpacing w:val="0"/>
        <w:jc w:val="both"/>
        <w:rPr>
          <w:rFonts w:ascii="Arial" w:hAnsi="Arial" w:cs="Arial"/>
          <w:sz w:val="20"/>
          <w:szCs w:val="20"/>
        </w:rPr>
      </w:pPr>
      <w:r w:rsidRPr="00AC4AEA">
        <w:rPr>
          <w:rFonts w:ascii="Arial" w:hAnsi="Arial" w:cs="Arial"/>
          <w:sz w:val="20"/>
          <w:szCs w:val="20"/>
        </w:rPr>
        <w:t xml:space="preserve">la totalidad de las cuotas pactadas vence en un plazo máximo de doce meses, contado desde la fecha de la operación, excepto que opte por la </w:t>
      </w:r>
      <w:r w:rsidRPr="00AC4AEA">
        <w:rPr>
          <w:rFonts w:ascii="Arial" w:hAnsi="Arial" w:cs="Arial"/>
          <w:b/>
          <w:bCs/>
          <w:sz w:val="20"/>
          <w:szCs w:val="20"/>
        </w:rPr>
        <w:t>política contable</w:t>
      </w:r>
      <w:r w:rsidRPr="00AC4AEA">
        <w:rPr>
          <w:rFonts w:ascii="Arial" w:hAnsi="Arial" w:cs="Arial"/>
          <w:sz w:val="20"/>
          <w:szCs w:val="20"/>
        </w:rPr>
        <w:t xml:space="preserve"> referida en el inciso siguiente (por ejemplo, porque las condiciones pactadas no reflejan los términos usuales del mercado).</w:t>
      </w:r>
    </w:p>
    <w:p w:rsidR="00A518BA" w:rsidRPr="00AC4AEA" w:rsidRDefault="00A518BA" w:rsidP="00A318EA">
      <w:pPr>
        <w:pStyle w:val="Prrafodelista"/>
        <w:numPr>
          <w:ilvl w:val="0"/>
          <w:numId w:val="413"/>
        </w:numPr>
        <w:ind w:left="1418" w:hanging="425"/>
        <w:contextualSpacing w:val="0"/>
        <w:jc w:val="both"/>
        <w:rPr>
          <w:rFonts w:ascii="Arial" w:hAnsi="Arial" w:cs="Arial"/>
          <w:sz w:val="20"/>
          <w:szCs w:val="20"/>
        </w:rPr>
      </w:pPr>
      <w:r w:rsidRPr="00AC4AEA">
        <w:rPr>
          <w:rFonts w:ascii="Arial" w:hAnsi="Arial" w:cs="Arial"/>
          <w:sz w:val="20"/>
          <w:szCs w:val="20"/>
        </w:rPr>
        <w:t>Al valor descontado de los flujos de efectivo futuros, cuando:</w:t>
      </w:r>
    </w:p>
    <w:p w:rsidR="00A518BA" w:rsidRPr="00AC4AEA" w:rsidRDefault="00A518BA" w:rsidP="00A318EA">
      <w:pPr>
        <w:pStyle w:val="Prrafodelista"/>
        <w:numPr>
          <w:ilvl w:val="0"/>
          <w:numId w:val="444"/>
        </w:numPr>
        <w:ind w:left="1985"/>
        <w:contextualSpacing w:val="0"/>
        <w:jc w:val="both"/>
        <w:rPr>
          <w:rFonts w:ascii="Arial" w:hAnsi="Arial" w:cs="Arial"/>
          <w:sz w:val="20"/>
          <w:szCs w:val="20"/>
        </w:rPr>
      </w:pPr>
      <w:r w:rsidRPr="00AC4AEA">
        <w:rPr>
          <w:rFonts w:ascii="Arial" w:hAnsi="Arial" w:cs="Arial"/>
          <w:sz w:val="20"/>
          <w:szCs w:val="20"/>
        </w:rPr>
        <w:t xml:space="preserve">la tasa de interés pactada difiere significativamente del tipo de mercado para transacciones similares; </w:t>
      </w:r>
      <w:r w:rsidR="009429CC" w:rsidRPr="00AC4AEA">
        <w:rPr>
          <w:rFonts w:ascii="Arial" w:hAnsi="Arial" w:cs="Arial"/>
          <w:sz w:val="20"/>
          <w:szCs w:val="20"/>
        </w:rPr>
        <w:t>y</w:t>
      </w:r>
    </w:p>
    <w:p w:rsidR="00A518BA" w:rsidRPr="00AC4AEA" w:rsidRDefault="00A518BA" w:rsidP="00A318EA">
      <w:pPr>
        <w:pStyle w:val="Prrafodelista"/>
        <w:numPr>
          <w:ilvl w:val="0"/>
          <w:numId w:val="444"/>
        </w:numPr>
        <w:ind w:left="1984"/>
        <w:contextualSpacing w:val="0"/>
        <w:jc w:val="both"/>
        <w:rPr>
          <w:rFonts w:ascii="Arial" w:hAnsi="Arial" w:cs="Arial"/>
          <w:sz w:val="20"/>
          <w:szCs w:val="20"/>
        </w:rPr>
      </w:pPr>
      <w:r w:rsidRPr="00AC4AEA">
        <w:rPr>
          <w:rFonts w:ascii="Arial" w:hAnsi="Arial" w:cs="Arial"/>
          <w:sz w:val="20"/>
          <w:szCs w:val="20"/>
        </w:rPr>
        <w:t>al menos una de las cuotas pactadas vence en un plazo mayor a doce meses, contado desde la fecha de la operación.</w:t>
      </w:r>
    </w:p>
    <w:p w:rsidR="00A734C9" w:rsidRPr="00AC4AEA" w:rsidRDefault="00A734C9" w:rsidP="00A318EA">
      <w:pPr>
        <w:jc w:val="both"/>
        <w:rPr>
          <w:rFonts w:ascii="Arial" w:hAnsi="Arial" w:cs="Arial"/>
          <w:sz w:val="20"/>
          <w:szCs w:val="20"/>
        </w:rPr>
      </w:pPr>
    </w:p>
    <w:p w:rsidR="00A734C9" w:rsidRPr="00AC4AEA" w:rsidRDefault="00A734C9" w:rsidP="00A318EA">
      <w:pPr>
        <w:pStyle w:val="Ttulo3"/>
      </w:pPr>
      <w:bookmarkStart w:id="649" w:name="_Toc101863920"/>
      <w:bookmarkStart w:id="650" w:name="_Toc139356798"/>
      <w:r w:rsidRPr="00AC4AEA">
        <w:t xml:space="preserve">Otros </w:t>
      </w:r>
      <w:r w:rsidR="00497590" w:rsidRPr="00AC4AEA">
        <w:t>pasivos</w:t>
      </w:r>
      <w:bookmarkEnd w:id="649"/>
      <w:r w:rsidR="003C6AF0" w:rsidRPr="00AC4AEA">
        <w:t xml:space="preserve"> ciertos (deudas)</w:t>
      </w:r>
      <w:r w:rsidR="00567540" w:rsidRPr="00AC4AEA">
        <w:t xml:space="preserve"> en moneda</w:t>
      </w:r>
      <w:bookmarkEnd w:id="650"/>
    </w:p>
    <w:p w:rsidR="00BC651C" w:rsidRPr="00AC4AEA" w:rsidRDefault="00BC651C" w:rsidP="00A318EA">
      <w:pPr>
        <w:pStyle w:val="Prrafodelista"/>
        <w:numPr>
          <w:ilvl w:val="0"/>
          <w:numId w:val="29"/>
        </w:numPr>
        <w:contextualSpacing w:val="0"/>
        <w:jc w:val="both"/>
        <w:rPr>
          <w:rFonts w:ascii="Arial" w:hAnsi="Arial" w:cs="Arial"/>
          <w:sz w:val="20"/>
          <w:szCs w:val="20"/>
        </w:rPr>
      </w:pPr>
      <w:bookmarkStart w:id="651" w:name="_Ref99483928"/>
      <w:r w:rsidRPr="00AC4AEA">
        <w:rPr>
          <w:rFonts w:ascii="Arial" w:hAnsi="Arial" w:cs="Arial"/>
          <w:sz w:val="20"/>
          <w:szCs w:val="20"/>
        </w:rPr>
        <w:t xml:space="preserve">Una entidad medirá los demás </w:t>
      </w:r>
      <w:r w:rsidR="00497590" w:rsidRPr="00AC4AEA">
        <w:rPr>
          <w:rFonts w:ascii="Arial" w:hAnsi="Arial" w:cs="Arial"/>
          <w:sz w:val="20"/>
          <w:szCs w:val="20"/>
        </w:rPr>
        <w:t>pasivos</w:t>
      </w:r>
      <w:r w:rsidRPr="00AC4AEA">
        <w:rPr>
          <w:rFonts w:ascii="Arial" w:hAnsi="Arial" w:cs="Arial"/>
          <w:sz w:val="20"/>
          <w:szCs w:val="20"/>
        </w:rPr>
        <w:t xml:space="preserve"> ciertos (deudas) en moneda</w:t>
      </w:r>
      <w:r w:rsidR="00E62EB3" w:rsidRPr="00AC4AEA">
        <w:rPr>
          <w:rFonts w:ascii="Arial" w:hAnsi="Arial" w:cs="Arial"/>
          <w:sz w:val="20"/>
          <w:szCs w:val="20"/>
        </w:rPr>
        <w:t xml:space="preserve"> entre partes independientes</w:t>
      </w:r>
      <w:r w:rsidRPr="00AC4AEA">
        <w:rPr>
          <w:rFonts w:ascii="Arial" w:hAnsi="Arial" w:cs="Arial"/>
          <w:sz w:val="20"/>
          <w:szCs w:val="20"/>
        </w:rPr>
        <w:t>, del siguiente modo:</w:t>
      </w:r>
      <w:bookmarkEnd w:id="651"/>
    </w:p>
    <w:p w:rsidR="00DD1315" w:rsidRPr="00AC4AEA" w:rsidRDefault="00DD1315" w:rsidP="00A318EA">
      <w:pPr>
        <w:pStyle w:val="Prrafodelista"/>
        <w:numPr>
          <w:ilvl w:val="0"/>
          <w:numId w:val="121"/>
        </w:numPr>
        <w:ind w:left="1560"/>
        <w:contextualSpacing w:val="0"/>
        <w:jc w:val="both"/>
        <w:rPr>
          <w:rFonts w:ascii="Arial" w:hAnsi="Arial" w:cs="Arial"/>
          <w:sz w:val="20"/>
          <w:szCs w:val="20"/>
        </w:rPr>
      </w:pPr>
      <w:r w:rsidRPr="00AC4AEA">
        <w:rPr>
          <w:rFonts w:ascii="Arial" w:hAnsi="Arial" w:cs="Arial"/>
          <w:sz w:val="20"/>
          <w:szCs w:val="20"/>
        </w:rPr>
        <w:t xml:space="preserve">Al valor de contado de la operación, cuando pacte </w:t>
      </w:r>
      <w:r w:rsidRPr="00AC4AEA">
        <w:rPr>
          <w:rFonts w:ascii="Arial" w:hAnsi="Arial" w:cs="Arial"/>
          <w:b/>
          <w:bCs/>
          <w:sz w:val="20"/>
          <w:szCs w:val="20"/>
        </w:rPr>
        <w:t>componentes financieros explícitos</w:t>
      </w:r>
      <w:r w:rsidRPr="00AC4AEA">
        <w:rPr>
          <w:rFonts w:ascii="Arial" w:hAnsi="Arial" w:cs="Arial"/>
          <w:sz w:val="20"/>
          <w:szCs w:val="20"/>
        </w:rPr>
        <w:t>.</w:t>
      </w:r>
    </w:p>
    <w:p w:rsidR="00DD1315" w:rsidRPr="00AC4AEA" w:rsidRDefault="00DD1315" w:rsidP="00A318EA">
      <w:pPr>
        <w:pStyle w:val="Prrafodelista"/>
        <w:numPr>
          <w:ilvl w:val="0"/>
          <w:numId w:val="121"/>
        </w:numPr>
        <w:ind w:left="1560"/>
        <w:contextualSpacing w:val="0"/>
        <w:jc w:val="both"/>
        <w:rPr>
          <w:rFonts w:ascii="Arial" w:hAnsi="Arial" w:cs="Arial"/>
          <w:sz w:val="20"/>
          <w:szCs w:val="20"/>
        </w:rPr>
      </w:pPr>
      <w:r w:rsidRPr="00AC4AEA">
        <w:rPr>
          <w:rFonts w:ascii="Arial" w:hAnsi="Arial" w:cs="Arial"/>
          <w:sz w:val="20"/>
          <w:szCs w:val="20"/>
        </w:rPr>
        <w:t>A su valor nominal cuando</w:t>
      </w:r>
      <w:r w:rsidR="007D7512" w:rsidRPr="00AC4AEA">
        <w:rPr>
          <w:rFonts w:ascii="Arial" w:hAnsi="Arial" w:cs="Arial"/>
          <w:sz w:val="20"/>
          <w:szCs w:val="20"/>
        </w:rPr>
        <w:t xml:space="preserve"> </w:t>
      </w:r>
      <w:r w:rsidRPr="00AC4AEA">
        <w:rPr>
          <w:rFonts w:ascii="Arial" w:hAnsi="Arial" w:cs="Arial"/>
          <w:sz w:val="20"/>
          <w:szCs w:val="20"/>
        </w:rPr>
        <w:t xml:space="preserve">no segregue </w:t>
      </w:r>
      <w:r w:rsidRPr="00AC4AEA">
        <w:rPr>
          <w:rFonts w:ascii="Arial" w:hAnsi="Arial" w:cs="Arial"/>
          <w:b/>
          <w:bCs/>
          <w:sz w:val="20"/>
          <w:szCs w:val="20"/>
        </w:rPr>
        <w:t>componentes financieros implícitos</w:t>
      </w:r>
      <w:r w:rsidRPr="00AC4AEA">
        <w:rPr>
          <w:rFonts w:ascii="Arial" w:hAnsi="Arial" w:cs="Arial"/>
          <w:sz w:val="20"/>
          <w:szCs w:val="20"/>
        </w:rPr>
        <w:t>, de acuerdo con lo establecido en el apartado “</w:t>
      </w:r>
      <w:r w:rsidRPr="00AC4AEA">
        <w:rPr>
          <w:rFonts w:ascii="Arial" w:hAnsi="Arial" w:cs="Arial"/>
          <w:sz w:val="20"/>
          <w:szCs w:val="20"/>
          <w:u w:val="single"/>
        </w:rPr>
        <w:t>Segregación de componentes financieros implícitos</w:t>
      </w:r>
      <w:r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Pr="00AC4AEA">
        <w:rPr>
          <w:rFonts w:ascii="Arial" w:hAnsi="Arial" w:cs="Arial"/>
          <w:sz w:val="20"/>
          <w:szCs w:val="20"/>
        </w:rPr>
        <w:t>].</w:t>
      </w:r>
    </w:p>
    <w:p w:rsidR="00AA6DB0" w:rsidRPr="00AC4AEA" w:rsidRDefault="00DD1315" w:rsidP="00A318EA">
      <w:pPr>
        <w:pStyle w:val="Prrafodelista"/>
        <w:numPr>
          <w:ilvl w:val="0"/>
          <w:numId w:val="121"/>
        </w:numPr>
        <w:ind w:left="1560"/>
        <w:contextualSpacing w:val="0"/>
        <w:jc w:val="both"/>
        <w:rPr>
          <w:rFonts w:ascii="Arial" w:hAnsi="Arial" w:cs="Arial"/>
          <w:b/>
          <w:bCs/>
          <w:sz w:val="20"/>
          <w:szCs w:val="20"/>
        </w:rPr>
      </w:pPr>
      <w:r w:rsidRPr="00AC4AEA">
        <w:rPr>
          <w:rFonts w:ascii="Arial" w:hAnsi="Arial" w:cs="Arial"/>
          <w:sz w:val="20"/>
          <w:szCs w:val="20"/>
        </w:rPr>
        <w:t xml:space="preserve">Al valor descontado de los flujos de efectivo futuros o al precio contado cuando segregue </w:t>
      </w:r>
      <w:r w:rsidRPr="00AC4AEA">
        <w:rPr>
          <w:rFonts w:ascii="Arial" w:hAnsi="Arial" w:cs="Arial"/>
          <w:b/>
          <w:bCs/>
          <w:sz w:val="20"/>
          <w:szCs w:val="20"/>
        </w:rPr>
        <w:t>componentes financieros implícitos</w:t>
      </w:r>
      <w:r w:rsidRPr="00AC4AEA">
        <w:rPr>
          <w:rFonts w:ascii="Arial" w:hAnsi="Arial" w:cs="Arial"/>
          <w:sz w:val="20"/>
          <w:szCs w:val="20"/>
        </w:rPr>
        <w:t>, según lo establecido en el apartado “</w:t>
      </w:r>
      <w:r w:rsidRPr="00AC4AEA">
        <w:rPr>
          <w:rFonts w:ascii="Arial" w:hAnsi="Arial" w:cs="Arial"/>
          <w:sz w:val="20"/>
          <w:szCs w:val="20"/>
          <w:u w:val="single"/>
        </w:rPr>
        <w:t>Segregación de componentes financieros implícitos</w:t>
      </w:r>
      <w:r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Pr="00AC4AEA">
        <w:rPr>
          <w:rFonts w:ascii="Arial" w:hAnsi="Arial" w:cs="Arial"/>
          <w:sz w:val="20"/>
          <w:szCs w:val="20"/>
        </w:rPr>
        <w:t>].</w:t>
      </w:r>
    </w:p>
    <w:p w:rsidR="00DD1315" w:rsidRPr="00AC4AEA" w:rsidRDefault="00DD1315" w:rsidP="00A318EA">
      <w:pPr>
        <w:pStyle w:val="Prrafodelista"/>
        <w:ind w:left="1560"/>
        <w:contextualSpacing w:val="0"/>
        <w:jc w:val="both"/>
        <w:rPr>
          <w:rFonts w:ascii="Arial" w:hAnsi="Arial" w:cs="Arial"/>
          <w:b/>
          <w:bCs/>
          <w:sz w:val="20"/>
          <w:szCs w:val="20"/>
        </w:rPr>
      </w:pPr>
    </w:p>
    <w:p w:rsidR="004174CF" w:rsidRPr="00AC4AEA" w:rsidRDefault="004174CF" w:rsidP="00A318EA">
      <w:pPr>
        <w:pStyle w:val="Ttulo2"/>
        <w:rPr>
          <w:rFonts w:cs="Arial"/>
        </w:rPr>
      </w:pPr>
      <w:bookmarkStart w:id="652" w:name="_Toc139356799"/>
      <w:r w:rsidRPr="00AC4AEA">
        <w:rPr>
          <w:rFonts w:cs="Arial"/>
        </w:rPr>
        <w:lastRenderedPageBreak/>
        <w:t>Pasivos (deudas) ciertas en moneda provenientes de transacciones entre partes relacionadas</w:t>
      </w:r>
      <w:bookmarkEnd w:id="652"/>
    </w:p>
    <w:p w:rsidR="004174CF" w:rsidRPr="00AC4AEA" w:rsidRDefault="004174C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optará por medir los pasivos </w:t>
      </w:r>
      <w:r w:rsidR="009F55BB" w:rsidRPr="00AC4AEA">
        <w:rPr>
          <w:rFonts w:ascii="Arial" w:hAnsi="Arial" w:cs="Arial"/>
          <w:sz w:val="20"/>
          <w:szCs w:val="20"/>
        </w:rPr>
        <w:t xml:space="preserve">ciertos </w:t>
      </w:r>
      <w:r w:rsidRPr="00AC4AEA">
        <w:rPr>
          <w:rFonts w:ascii="Arial" w:hAnsi="Arial" w:cs="Arial"/>
          <w:sz w:val="20"/>
          <w:szCs w:val="20"/>
        </w:rPr>
        <w:t xml:space="preserve">(deudas) en moneda provenientes de transacciones entre </w:t>
      </w:r>
      <w:r w:rsidRPr="00AC4AEA">
        <w:rPr>
          <w:rFonts w:ascii="Arial" w:hAnsi="Arial" w:cs="Arial"/>
          <w:b/>
          <w:sz w:val="20"/>
          <w:szCs w:val="20"/>
        </w:rPr>
        <w:t>partes relacionadas</w:t>
      </w:r>
      <w:r w:rsidRPr="00AC4AEA">
        <w:rPr>
          <w:rFonts w:ascii="Arial" w:hAnsi="Arial" w:cs="Arial"/>
          <w:sz w:val="20"/>
          <w:szCs w:val="20"/>
        </w:rPr>
        <w:t xml:space="preserve"> de acuerdo con alguno de los siguientes criterios:</w:t>
      </w:r>
    </w:p>
    <w:p w:rsidR="004174CF" w:rsidRPr="00AC4AEA" w:rsidRDefault="00460D14"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según</w:t>
      </w:r>
      <w:r w:rsidR="004174CF" w:rsidRPr="00AC4AEA">
        <w:rPr>
          <w:rFonts w:ascii="Arial" w:hAnsi="Arial" w:cs="Arial"/>
          <w:sz w:val="20"/>
          <w:szCs w:val="20"/>
        </w:rPr>
        <w:t xml:space="preserve"> las condiciones pactadas;</w:t>
      </w:r>
    </w:p>
    <w:p w:rsidR="004174CF" w:rsidRPr="00AC4AEA" w:rsidRDefault="004174C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al valor descontado de los flujos de efectivo futuros o al precio contado cuando segregue </w:t>
      </w:r>
      <w:r w:rsidRPr="00AC4AEA">
        <w:rPr>
          <w:rFonts w:ascii="Arial" w:hAnsi="Arial" w:cs="Arial"/>
          <w:b/>
          <w:bCs/>
          <w:sz w:val="20"/>
          <w:szCs w:val="20"/>
        </w:rPr>
        <w:t>componentes financieros implícitos</w:t>
      </w:r>
      <w:r w:rsidRPr="00AC4AEA">
        <w:rPr>
          <w:rFonts w:ascii="Arial" w:hAnsi="Arial" w:cs="Arial"/>
          <w:sz w:val="20"/>
          <w:szCs w:val="20"/>
        </w:rPr>
        <w:t>, según lo establecido en el apartado “</w:t>
      </w:r>
      <w:r w:rsidRPr="00AC4AEA">
        <w:rPr>
          <w:rFonts w:ascii="Arial" w:hAnsi="Arial" w:cs="Arial"/>
          <w:sz w:val="20"/>
          <w:szCs w:val="20"/>
          <w:u w:val="single"/>
        </w:rPr>
        <w:t>Segregación de componentes financieros implícitos</w:t>
      </w:r>
      <w:r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Pr="00AC4AEA">
        <w:rPr>
          <w:rFonts w:ascii="Arial" w:hAnsi="Arial" w:cs="Arial"/>
          <w:sz w:val="20"/>
          <w:szCs w:val="20"/>
        </w:rPr>
        <w:t>]; o</w:t>
      </w:r>
    </w:p>
    <w:p w:rsidR="004174CF" w:rsidRPr="00AC4AEA" w:rsidRDefault="004174C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al valor descontado de los flujos de efectivo futuros, cuando:</w:t>
      </w:r>
    </w:p>
    <w:p w:rsidR="004174CF" w:rsidRPr="00AC4AEA" w:rsidRDefault="004174CF" w:rsidP="00A318EA">
      <w:pPr>
        <w:pStyle w:val="Prrafodelista"/>
        <w:numPr>
          <w:ilvl w:val="0"/>
          <w:numId w:val="445"/>
        </w:numPr>
        <w:ind w:left="1985"/>
        <w:contextualSpacing w:val="0"/>
        <w:jc w:val="both"/>
        <w:rPr>
          <w:rFonts w:ascii="Arial" w:hAnsi="Arial" w:cs="Arial"/>
          <w:sz w:val="20"/>
          <w:szCs w:val="20"/>
        </w:rPr>
      </w:pPr>
      <w:r w:rsidRPr="00AC4AEA">
        <w:rPr>
          <w:rFonts w:ascii="Arial" w:hAnsi="Arial" w:cs="Arial"/>
          <w:sz w:val="20"/>
          <w:szCs w:val="20"/>
        </w:rPr>
        <w:t xml:space="preserve">surge de </w:t>
      </w:r>
      <w:r w:rsidRPr="00AC4AEA">
        <w:rPr>
          <w:rFonts w:ascii="Arial" w:hAnsi="Arial" w:cs="Arial"/>
          <w:b/>
          <w:bCs/>
          <w:sz w:val="20"/>
          <w:szCs w:val="20"/>
        </w:rPr>
        <w:t>transacciones financieras</w:t>
      </w:r>
      <w:r w:rsidRPr="00AC4AEA">
        <w:rPr>
          <w:rFonts w:ascii="Arial" w:hAnsi="Arial" w:cs="Arial"/>
          <w:sz w:val="20"/>
          <w:szCs w:val="20"/>
        </w:rPr>
        <w:t>;</w:t>
      </w:r>
    </w:p>
    <w:p w:rsidR="004174CF" w:rsidRPr="00AC4AEA" w:rsidRDefault="004174CF" w:rsidP="00A318EA">
      <w:pPr>
        <w:pStyle w:val="Prrafodelista"/>
        <w:numPr>
          <w:ilvl w:val="0"/>
          <w:numId w:val="445"/>
        </w:numPr>
        <w:ind w:left="1985"/>
        <w:contextualSpacing w:val="0"/>
        <w:jc w:val="both"/>
        <w:rPr>
          <w:rFonts w:ascii="Arial" w:hAnsi="Arial" w:cs="Arial"/>
          <w:sz w:val="20"/>
          <w:szCs w:val="20"/>
        </w:rPr>
      </w:pPr>
      <w:r w:rsidRPr="00AC4AEA">
        <w:rPr>
          <w:rFonts w:ascii="Arial" w:hAnsi="Arial" w:cs="Arial"/>
          <w:sz w:val="20"/>
          <w:szCs w:val="20"/>
        </w:rPr>
        <w:t>la tasa de interés pactada difiere significativamente del tipo de mercado para transacciones similares; y</w:t>
      </w:r>
    </w:p>
    <w:p w:rsidR="004174CF" w:rsidRPr="00AC4AEA" w:rsidRDefault="004174CF" w:rsidP="00A318EA">
      <w:pPr>
        <w:pStyle w:val="Prrafodelista"/>
        <w:numPr>
          <w:ilvl w:val="0"/>
          <w:numId w:val="445"/>
        </w:numPr>
        <w:ind w:left="1985"/>
        <w:contextualSpacing w:val="0"/>
        <w:jc w:val="both"/>
        <w:rPr>
          <w:rFonts w:ascii="Arial" w:hAnsi="Arial" w:cs="Arial"/>
          <w:sz w:val="20"/>
          <w:szCs w:val="20"/>
        </w:rPr>
      </w:pPr>
      <w:r w:rsidRPr="00AC4AEA">
        <w:rPr>
          <w:rFonts w:ascii="Arial" w:hAnsi="Arial" w:cs="Arial"/>
          <w:sz w:val="20"/>
          <w:szCs w:val="20"/>
        </w:rPr>
        <w:t>al menos una de las cuotas pactadas vence en un plazo mayor a doce meses, contado desde la fecha de la operación.</w:t>
      </w:r>
    </w:p>
    <w:p w:rsidR="004174CF" w:rsidRPr="00AC4AEA" w:rsidRDefault="004174CF" w:rsidP="00A318EA">
      <w:pPr>
        <w:pStyle w:val="A-Normal11"/>
        <w:numPr>
          <w:ilvl w:val="0"/>
          <w:numId w:val="29"/>
        </w:numPr>
        <w:jc w:val="both"/>
        <w:rPr>
          <w:rFonts w:ascii="Arial" w:hAnsi="Arial" w:cs="Arial"/>
          <w:sz w:val="20"/>
        </w:rPr>
      </w:pPr>
      <w:r w:rsidRPr="00AC4AEA">
        <w:rPr>
          <w:rFonts w:ascii="Arial" w:hAnsi="Arial" w:cs="Arial"/>
          <w:sz w:val="20"/>
        </w:rPr>
        <w:t xml:space="preserve">Cuando una entidad opte por la </w:t>
      </w:r>
      <w:r w:rsidRPr="00AC4AEA">
        <w:rPr>
          <w:rFonts w:ascii="Arial" w:hAnsi="Arial" w:cs="Arial"/>
          <w:b/>
          <w:bCs/>
          <w:sz w:val="20"/>
        </w:rPr>
        <w:t xml:space="preserve">política contable </w:t>
      </w:r>
      <w:r w:rsidRPr="00AC4AEA">
        <w:rPr>
          <w:rFonts w:ascii="Arial" w:hAnsi="Arial" w:cs="Arial"/>
          <w:sz w:val="20"/>
        </w:rPr>
        <w:t xml:space="preserve">referida en los incisos b) o c) del párrafo anterior, contabilizará la contrapartida de </w:t>
      </w:r>
      <w:r w:rsidR="009F68DB" w:rsidRPr="00AC4AEA">
        <w:rPr>
          <w:rFonts w:ascii="Arial" w:hAnsi="Arial" w:cs="Arial"/>
          <w:sz w:val="20"/>
        </w:rPr>
        <w:t>forma similar a la</w:t>
      </w:r>
      <w:r w:rsidRPr="00AC4AEA">
        <w:rPr>
          <w:rFonts w:ascii="Arial" w:hAnsi="Arial" w:cs="Arial"/>
          <w:sz w:val="20"/>
        </w:rPr>
        <w:t xml:space="preserve"> establecid</w:t>
      </w:r>
      <w:r w:rsidR="009F68DB" w:rsidRPr="00AC4AEA">
        <w:rPr>
          <w:rFonts w:ascii="Arial" w:hAnsi="Arial" w:cs="Arial"/>
          <w:sz w:val="20"/>
        </w:rPr>
        <w:t>a</w:t>
      </w:r>
      <w:r w:rsidRPr="00AC4AEA">
        <w:rPr>
          <w:rFonts w:ascii="Arial" w:hAnsi="Arial" w:cs="Arial"/>
          <w:sz w:val="20"/>
        </w:rPr>
        <w:t xml:space="preserve"> en los párrafos </w:t>
      </w:r>
      <w:fldSimple w:instr=" REF _Ref104371390 \r \h  \* MERGEFORMAT ">
        <w:r w:rsidR="00D33A5D" w:rsidRPr="00D33A5D">
          <w:rPr>
            <w:rFonts w:ascii="Arial" w:hAnsi="Arial" w:cs="Arial"/>
            <w:sz w:val="20"/>
          </w:rPr>
          <w:t>509</w:t>
        </w:r>
      </w:fldSimple>
      <w:r w:rsidRPr="00AC4AEA">
        <w:rPr>
          <w:rFonts w:ascii="Arial" w:hAnsi="Arial" w:cs="Arial"/>
          <w:sz w:val="20"/>
        </w:rPr>
        <w:t xml:space="preserve"> y </w:t>
      </w:r>
      <w:fldSimple w:instr=" REF _Ref104371396 \r \h  \* MERGEFORMAT ">
        <w:r w:rsidR="00D33A5D" w:rsidRPr="00D33A5D">
          <w:rPr>
            <w:rFonts w:ascii="Arial" w:hAnsi="Arial" w:cs="Arial"/>
            <w:sz w:val="20"/>
          </w:rPr>
          <w:t>510</w:t>
        </w:r>
      </w:fldSimple>
      <w:r w:rsidRPr="00AC4AEA">
        <w:rPr>
          <w:rFonts w:ascii="Arial" w:hAnsi="Arial" w:cs="Arial"/>
          <w:sz w:val="20"/>
        </w:rPr>
        <w:t>.</w:t>
      </w:r>
    </w:p>
    <w:p w:rsidR="004174CF" w:rsidRPr="00AC4AEA" w:rsidRDefault="004174CF" w:rsidP="00A318EA">
      <w:pPr>
        <w:pStyle w:val="Prrafodelista"/>
        <w:ind w:left="1560"/>
        <w:contextualSpacing w:val="0"/>
        <w:jc w:val="both"/>
        <w:rPr>
          <w:rFonts w:ascii="Arial" w:hAnsi="Arial" w:cs="Arial"/>
          <w:b/>
          <w:bCs/>
          <w:sz w:val="20"/>
          <w:szCs w:val="20"/>
        </w:rPr>
      </w:pPr>
    </w:p>
    <w:p w:rsidR="000507CF" w:rsidRPr="00AC4AEA" w:rsidRDefault="000507CF" w:rsidP="00A318EA">
      <w:pPr>
        <w:pStyle w:val="Ttulo2"/>
        <w:rPr>
          <w:rFonts w:cs="Arial"/>
        </w:rPr>
      </w:pPr>
      <w:bookmarkStart w:id="653" w:name="_Toc101863921"/>
      <w:bookmarkStart w:id="654" w:name="_Toc139356800"/>
      <w:r w:rsidRPr="00AC4AEA">
        <w:rPr>
          <w:rFonts w:cs="Arial"/>
        </w:rPr>
        <w:t>Medición poster</w:t>
      </w:r>
      <w:bookmarkStart w:id="655" w:name="medicionPOSTERIORpasivos"/>
      <w:bookmarkEnd w:id="655"/>
      <w:r w:rsidRPr="00AC4AEA">
        <w:rPr>
          <w:rFonts w:cs="Arial"/>
        </w:rPr>
        <w:t>ior</w:t>
      </w:r>
      <w:bookmarkEnd w:id="653"/>
      <w:bookmarkEnd w:id="654"/>
      <w:r w:rsidRPr="00AC4AEA">
        <w:rPr>
          <w:rFonts w:cs="Arial"/>
        </w:rPr>
        <w:t xml:space="preserve"> </w:t>
      </w:r>
    </w:p>
    <w:p w:rsidR="00095C0B" w:rsidRPr="00AC4AEA" w:rsidRDefault="00095C0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w:t>
      </w:r>
      <w:r w:rsidR="009F55BB" w:rsidRPr="00AC4AEA">
        <w:rPr>
          <w:rFonts w:ascii="Arial" w:hAnsi="Arial" w:cs="Arial"/>
          <w:sz w:val="20"/>
          <w:szCs w:val="20"/>
        </w:rPr>
        <w:t>los</w:t>
      </w:r>
      <w:r w:rsidRPr="00AC4AEA">
        <w:rPr>
          <w:rFonts w:ascii="Arial" w:hAnsi="Arial" w:cs="Arial"/>
          <w:sz w:val="20"/>
          <w:szCs w:val="20"/>
        </w:rPr>
        <w:t xml:space="preserve"> </w:t>
      </w:r>
      <w:r w:rsidR="00497590" w:rsidRPr="00AC4AEA">
        <w:rPr>
          <w:rFonts w:ascii="Arial" w:hAnsi="Arial" w:cs="Arial"/>
          <w:sz w:val="20"/>
          <w:szCs w:val="20"/>
        </w:rPr>
        <w:t>pasivos</w:t>
      </w:r>
      <w:r w:rsidR="009F55BB" w:rsidRPr="00AC4AEA">
        <w:rPr>
          <w:rFonts w:ascii="Arial" w:hAnsi="Arial" w:cs="Arial"/>
          <w:sz w:val="20"/>
          <w:szCs w:val="20"/>
        </w:rPr>
        <w:t xml:space="preserve"> ciertos (deudas) en moneda</w:t>
      </w:r>
      <w:r w:rsidRPr="00AC4AEA">
        <w:rPr>
          <w:rFonts w:ascii="Arial" w:hAnsi="Arial" w:cs="Arial"/>
          <w:sz w:val="20"/>
          <w:szCs w:val="20"/>
        </w:rPr>
        <w:t>:</w:t>
      </w:r>
    </w:p>
    <w:p w:rsidR="00D65BFF" w:rsidRPr="00AC4AEA" w:rsidRDefault="00095C0B" w:rsidP="00A318EA">
      <w:pPr>
        <w:pStyle w:val="Prrafodelista"/>
        <w:numPr>
          <w:ilvl w:val="0"/>
          <w:numId w:val="392"/>
        </w:numPr>
        <w:ind w:left="1560"/>
        <w:contextualSpacing w:val="0"/>
        <w:jc w:val="both"/>
        <w:rPr>
          <w:rFonts w:ascii="Arial" w:hAnsi="Arial" w:cs="Arial"/>
          <w:sz w:val="20"/>
          <w:szCs w:val="20"/>
        </w:rPr>
      </w:pPr>
      <w:r w:rsidRPr="00AC4AEA">
        <w:rPr>
          <w:rFonts w:ascii="Arial" w:hAnsi="Arial" w:cs="Arial"/>
          <w:sz w:val="20"/>
          <w:szCs w:val="20"/>
        </w:rPr>
        <w:t xml:space="preserve">Al </w:t>
      </w:r>
      <w:r w:rsidRPr="00AC4AEA">
        <w:rPr>
          <w:rFonts w:ascii="Arial" w:hAnsi="Arial" w:cs="Arial"/>
          <w:b/>
          <w:bCs/>
          <w:sz w:val="20"/>
          <w:szCs w:val="20"/>
        </w:rPr>
        <w:t>costo amortizado</w:t>
      </w:r>
      <w:r w:rsidR="002315BC" w:rsidRPr="00AC4AEA">
        <w:rPr>
          <w:rFonts w:ascii="Arial" w:hAnsi="Arial" w:cs="Arial"/>
          <w:sz w:val="20"/>
          <w:szCs w:val="20"/>
        </w:rPr>
        <w:t>,</w:t>
      </w:r>
      <w:r w:rsidR="002A4C4E" w:rsidRPr="00AC4AEA">
        <w:rPr>
          <w:rFonts w:ascii="Arial" w:hAnsi="Arial" w:cs="Arial"/>
          <w:sz w:val="20"/>
          <w:szCs w:val="20"/>
        </w:rPr>
        <w:t xml:space="preserve"> cuando</w:t>
      </w:r>
      <w:r w:rsidR="00D65BFF" w:rsidRPr="00AC4AEA">
        <w:rPr>
          <w:rFonts w:ascii="Arial" w:hAnsi="Arial" w:cs="Arial"/>
          <w:sz w:val="20"/>
          <w:szCs w:val="20"/>
        </w:rPr>
        <w:t xml:space="preserve">: </w:t>
      </w:r>
    </w:p>
    <w:p w:rsidR="00F93D73" w:rsidRPr="00AC4AEA" w:rsidRDefault="002A4C4E" w:rsidP="00A318EA">
      <w:pPr>
        <w:pStyle w:val="Prrafodelista"/>
        <w:numPr>
          <w:ilvl w:val="0"/>
          <w:numId w:val="281"/>
        </w:numPr>
        <w:ind w:left="1984"/>
        <w:contextualSpacing w:val="0"/>
        <w:jc w:val="both"/>
        <w:rPr>
          <w:rFonts w:ascii="Arial" w:hAnsi="Arial" w:cs="Arial"/>
          <w:sz w:val="20"/>
          <w:szCs w:val="20"/>
        </w:rPr>
      </w:pPr>
      <w:r w:rsidRPr="00AC4AEA">
        <w:rPr>
          <w:rFonts w:ascii="Arial" w:hAnsi="Arial" w:cs="Arial"/>
          <w:sz w:val="20"/>
          <w:szCs w:val="20"/>
        </w:rPr>
        <w:t>pactó</w:t>
      </w:r>
      <w:r w:rsidR="00D65BFF" w:rsidRPr="00AC4AEA">
        <w:rPr>
          <w:rFonts w:ascii="Arial" w:hAnsi="Arial" w:cs="Arial"/>
          <w:sz w:val="20"/>
          <w:szCs w:val="20"/>
        </w:rPr>
        <w:t xml:space="preserve"> </w:t>
      </w:r>
      <w:r w:rsidR="00D65BFF" w:rsidRPr="00AC4AEA">
        <w:rPr>
          <w:rFonts w:ascii="Arial" w:hAnsi="Arial" w:cs="Arial"/>
          <w:b/>
          <w:bCs/>
          <w:sz w:val="20"/>
          <w:szCs w:val="20"/>
        </w:rPr>
        <w:t>componentes financi</w:t>
      </w:r>
      <w:r w:rsidR="005F6587" w:rsidRPr="00AC4AEA">
        <w:rPr>
          <w:rFonts w:ascii="Arial" w:hAnsi="Arial" w:cs="Arial"/>
          <w:b/>
          <w:bCs/>
          <w:sz w:val="20"/>
          <w:szCs w:val="20"/>
        </w:rPr>
        <w:t>eros explícitos</w:t>
      </w:r>
      <w:r w:rsidR="005F6587" w:rsidRPr="00AC4AEA">
        <w:rPr>
          <w:rFonts w:ascii="Arial" w:hAnsi="Arial" w:cs="Arial"/>
          <w:sz w:val="20"/>
          <w:szCs w:val="20"/>
        </w:rPr>
        <w:t xml:space="preserve">; </w:t>
      </w:r>
      <w:r w:rsidR="007C4EC5" w:rsidRPr="00AC4AEA">
        <w:rPr>
          <w:rFonts w:ascii="Arial" w:hAnsi="Arial" w:cs="Arial"/>
          <w:sz w:val="20"/>
          <w:szCs w:val="20"/>
        </w:rPr>
        <w:t>o</w:t>
      </w:r>
    </w:p>
    <w:p w:rsidR="007C4EC5" w:rsidRPr="00AC4AEA" w:rsidRDefault="007C4EC5" w:rsidP="00A318EA">
      <w:pPr>
        <w:pStyle w:val="Prrafodelista"/>
        <w:numPr>
          <w:ilvl w:val="0"/>
          <w:numId w:val="281"/>
        </w:numPr>
        <w:ind w:left="1984"/>
        <w:contextualSpacing w:val="0"/>
        <w:jc w:val="both"/>
        <w:rPr>
          <w:rFonts w:ascii="Arial" w:hAnsi="Arial" w:cs="Arial"/>
          <w:sz w:val="20"/>
          <w:szCs w:val="20"/>
        </w:rPr>
      </w:pPr>
      <w:r w:rsidRPr="00AC4AEA">
        <w:rPr>
          <w:rFonts w:ascii="Arial" w:hAnsi="Arial" w:cs="Arial"/>
          <w:sz w:val="20"/>
          <w:szCs w:val="20"/>
        </w:rPr>
        <w:t xml:space="preserve">segregó </w:t>
      </w:r>
      <w:r w:rsidRPr="00AC4AEA">
        <w:rPr>
          <w:rFonts w:ascii="Arial" w:hAnsi="Arial" w:cs="Arial"/>
          <w:b/>
          <w:bCs/>
          <w:sz w:val="20"/>
          <w:szCs w:val="20"/>
        </w:rPr>
        <w:t>componentes financieros implícitos</w:t>
      </w:r>
      <w:r w:rsidRPr="00AC4AEA">
        <w:rPr>
          <w:rFonts w:ascii="Arial" w:hAnsi="Arial" w:cs="Arial"/>
          <w:sz w:val="20"/>
          <w:szCs w:val="20"/>
        </w:rPr>
        <w:t xml:space="preserve"> en el </w:t>
      </w:r>
      <w:r w:rsidR="002A4C4E" w:rsidRPr="00AC4AEA">
        <w:rPr>
          <w:rFonts w:ascii="Arial" w:hAnsi="Arial" w:cs="Arial"/>
          <w:sz w:val="20"/>
          <w:szCs w:val="20"/>
        </w:rPr>
        <w:t>mo</w:t>
      </w:r>
      <w:r w:rsidR="002315BC" w:rsidRPr="00AC4AEA">
        <w:rPr>
          <w:rFonts w:ascii="Arial" w:hAnsi="Arial" w:cs="Arial"/>
          <w:sz w:val="20"/>
          <w:szCs w:val="20"/>
        </w:rPr>
        <w:t>me</w:t>
      </w:r>
      <w:r w:rsidR="00BB10F7" w:rsidRPr="00AC4AEA">
        <w:rPr>
          <w:rFonts w:ascii="Arial" w:hAnsi="Arial" w:cs="Arial"/>
          <w:sz w:val="20"/>
          <w:szCs w:val="20"/>
        </w:rPr>
        <w:t>n</w:t>
      </w:r>
      <w:r w:rsidR="002A4C4E" w:rsidRPr="00AC4AEA">
        <w:rPr>
          <w:rFonts w:ascii="Arial" w:hAnsi="Arial" w:cs="Arial"/>
          <w:sz w:val="20"/>
          <w:szCs w:val="20"/>
        </w:rPr>
        <w:t>to de</w:t>
      </w:r>
      <w:r w:rsidR="00BB10F7" w:rsidRPr="00AC4AEA">
        <w:rPr>
          <w:rFonts w:ascii="Arial" w:hAnsi="Arial" w:cs="Arial"/>
          <w:sz w:val="20"/>
          <w:szCs w:val="20"/>
        </w:rPr>
        <w:t xml:space="preserve"> su</w:t>
      </w:r>
      <w:r w:rsidR="002A4C4E" w:rsidRPr="00AC4AEA">
        <w:rPr>
          <w:rFonts w:ascii="Arial" w:hAnsi="Arial" w:cs="Arial"/>
          <w:sz w:val="20"/>
          <w:szCs w:val="20"/>
        </w:rPr>
        <w:t xml:space="preserve"> </w:t>
      </w:r>
      <w:r w:rsidRPr="00AC4AEA">
        <w:rPr>
          <w:rFonts w:ascii="Arial" w:hAnsi="Arial" w:cs="Arial"/>
          <w:sz w:val="20"/>
          <w:szCs w:val="20"/>
        </w:rPr>
        <w:t>reconocimiento</w:t>
      </w:r>
      <w:r w:rsidR="003A3791" w:rsidRPr="00AC4AEA">
        <w:rPr>
          <w:rFonts w:ascii="Arial" w:hAnsi="Arial" w:cs="Arial"/>
          <w:sz w:val="20"/>
          <w:szCs w:val="20"/>
        </w:rPr>
        <w:t>, según lo establecido en el apartado</w:t>
      </w:r>
      <w:r w:rsidR="003A3791" w:rsidRPr="00AC4AEA" w:rsidDel="00B23147">
        <w:rPr>
          <w:rFonts w:ascii="Arial" w:hAnsi="Arial" w:cs="Arial"/>
          <w:sz w:val="20"/>
          <w:szCs w:val="20"/>
        </w:rPr>
        <w:t xml:space="preserve"> </w:t>
      </w:r>
      <w:r w:rsidR="003A3791" w:rsidRPr="00AC4AEA">
        <w:rPr>
          <w:rFonts w:ascii="Arial" w:hAnsi="Arial" w:cs="Arial"/>
          <w:sz w:val="20"/>
          <w:szCs w:val="20"/>
        </w:rPr>
        <w:t>“</w:t>
      </w:r>
      <w:r w:rsidR="003A3791" w:rsidRPr="00AC4AEA">
        <w:rPr>
          <w:rFonts w:ascii="Arial" w:hAnsi="Arial" w:cs="Arial"/>
          <w:sz w:val="20"/>
          <w:szCs w:val="20"/>
          <w:u w:val="single"/>
        </w:rPr>
        <w:t>Segregación de componentes financieros implícitos</w:t>
      </w:r>
      <w:r w:rsidR="003A3791" w:rsidRPr="00AC4AEA">
        <w:rPr>
          <w:rFonts w:ascii="Arial" w:hAnsi="Arial" w:cs="Arial"/>
          <w:sz w:val="20"/>
          <w:szCs w:val="20"/>
        </w:rPr>
        <w:t xml:space="preserve">” [ver los párrafos </w:t>
      </w:r>
      <w:fldSimple w:instr=" REF _Ref99469103 \r \h  \* MERGEFORMAT ">
        <w:r w:rsidR="00D33A5D" w:rsidRPr="00D33A5D">
          <w:rPr>
            <w:rFonts w:ascii="Arial" w:hAnsi="Arial" w:cs="Arial"/>
            <w:sz w:val="20"/>
            <w:szCs w:val="20"/>
          </w:rPr>
          <w:t>130</w:t>
        </w:r>
      </w:fldSimple>
      <w:r w:rsidR="003A3791" w:rsidRPr="00AC4AEA">
        <w:rPr>
          <w:rFonts w:ascii="Arial" w:hAnsi="Arial" w:cs="Arial"/>
          <w:sz w:val="20"/>
          <w:szCs w:val="20"/>
        </w:rPr>
        <w:t xml:space="preserve"> a </w:t>
      </w:r>
      <w:fldSimple w:instr=" REF _Ref80967992 \r \h  \* MERGEFORMAT ">
        <w:r w:rsidR="00D33A5D" w:rsidRPr="00D33A5D">
          <w:rPr>
            <w:rFonts w:ascii="Arial" w:hAnsi="Arial" w:cs="Arial"/>
            <w:sz w:val="20"/>
            <w:szCs w:val="20"/>
          </w:rPr>
          <w:t>135</w:t>
        </w:r>
      </w:fldSimple>
      <w:r w:rsidR="003A3791" w:rsidRPr="00AC4AEA">
        <w:rPr>
          <w:rFonts w:ascii="Arial" w:hAnsi="Arial" w:cs="Arial"/>
          <w:sz w:val="20"/>
          <w:szCs w:val="20"/>
        </w:rPr>
        <w:t>].</w:t>
      </w:r>
    </w:p>
    <w:p w:rsidR="00196685" w:rsidRPr="00AC4AEA" w:rsidRDefault="00196685" w:rsidP="00A318EA">
      <w:pPr>
        <w:pStyle w:val="Prrafodelista"/>
        <w:numPr>
          <w:ilvl w:val="0"/>
          <w:numId w:val="281"/>
        </w:numPr>
        <w:ind w:left="1985"/>
        <w:contextualSpacing w:val="0"/>
        <w:jc w:val="both"/>
        <w:rPr>
          <w:rFonts w:ascii="Arial" w:hAnsi="Arial" w:cs="Arial"/>
          <w:sz w:val="20"/>
          <w:szCs w:val="20"/>
        </w:rPr>
      </w:pPr>
      <w:r w:rsidRPr="00AC4AEA">
        <w:rPr>
          <w:rFonts w:ascii="Arial" w:hAnsi="Arial" w:cs="Arial"/>
          <w:sz w:val="20"/>
          <w:szCs w:val="20"/>
        </w:rPr>
        <w:t xml:space="preserve">en el momento de la medición inicial la entidad aplicó el inciso b) del párrafo </w:t>
      </w:r>
      <w:fldSimple w:instr=" REF _Ref132012524 \r \h  \* MERGEFORMAT ">
        <w:r w:rsidR="00D33A5D" w:rsidRPr="00D33A5D">
          <w:rPr>
            <w:rFonts w:ascii="Arial" w:hAnsi="Arial" w:cs="Arial"/>
            <w:sz w:val="20"/>
            <w:szCs w:val="20"/>
          </w:rPr>
          <w:t>460</w:t>
        </w:r>
      </w:fldSimple>
      <w:r w:rsidRPr="00AC4AEA">
        <w:rPr>
          <w:rFonts w:ascii="Arial" w:hAnsi="Arial" w:cs="Arial"/>
          <w:sz w:val="20"/>
          <w:szCs w:val="20"/>
        </w:rPr>
        <w:t>.</w:t>
      </w:r>
    </w:p>
    <w:p w:rsidR="00095C0B" w:rsidRPr="00AC4AEA" w:rsidRDefault="00095C0B" w:rsidP="00A318EA">
      <w:pPr>
        <w:pStyle w:val="Prrafodelista"/>
        <w:numPr>
          <w:ilvl w:val="0"/>
          <w:numId w:val="392"/>
        </w:numPr>
        <w:ind w:left="1560"/>
        <w:contextualSpacing w:val="0"/>
        <w:jc w:val="both"/>
        <w:rPr>
          <w:rFonts w:ascii="Arial" w:hAnsi="Arial" w:cs="Arial"/>
          <w:sz w:val="20"/>
          <w:szCs w:val="20"/>
        </w:rPr>
      </w:pPr>
      <w:r w:rsidRPr="00AC4AEA">
        <w:rPr>
          <w:rFonts w:ascii="Arial" w:hAnsi="Arial" w:cs="Arial"/>
          <w:sz w:val="20"/>
          <w:szCs w:val="20"/>
        </w:rPr>
        <w:t xml:space="preserve">Al </w:t>
      </w:r>
      <w:r w:rsidR="007C4EC5" w:rsidRPr="00AC4AEA">
        <w:rPr>
          <w:rFonts w:ascii="Arial" w:hAnsi="Arial" w:cs="Arial"/>
          <w:b/>
          <w:bCs/>
          <w:sz w:val="20"/>
          <w:szCs w:val="20"/>
        </w:rPr>
        <w:t>valor nominal</w:t>
      </w:r>
      <w:r w:rsidRPr="00AC4AEA">
        <w:rPr>
          <w:rFonts w:ascii="Arial" w:hAnsi="Arial" w:cs="Arial"/>
          <w:sz w:val="20"/>
          <w:szCs w:val="20"/>
        </w:rPr>
        <w:t xml:space="preserve">, </w:t>
      </w:r>
      <w:r w:rsidR="007C4EC5" w:rsidRPr="00AC4AEA">
        <w:rPr>
          <w:rFonts w:ascii="Arial" w:hAnsi="Arial" w:cs="Arial"/>
          <w:sz w:val="20"/>
          <w:szCs w:val="20"/>
        </w:rPr>
        <w:t>en los restantes casos</w:t>
      </w:r>
      <w:r w:rsidRPr="00AC4AEA">
        <w:rPr>
          <w:rFonts w:ascii="Arial" w:hAnsi="Arial" w:cs="Arial"/>
          <w:sz w:val="20"/>
          <w:szCs w:val="20"/>
        </w:rPr>
        <w:t>.</w:t>
      </w:r>
    </w:p>
    <w:p w:rsidR="00307B75" w:rsidRPr="00AC4AEA" w:rsidRDefault="0029250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Para la medición posterior</w:t>
      </w:r>
      <w:r w:rsidR="009F55BB" w:rsidRPr="00AC4AEA">
        <w:rPr>
          <w:rFonts w:ascii="Arial" w:hAnsi="Arial" w:cs="Arial"/>
          <w:sz w:val="20"/>
          <w:szCs w:val="20"/>
        </w:rPr>
        <w:t xml:space="preserve"> de los pasivos ciertos (deudas) en moneda</w:t>
      </w:r>
      <w:r w:rsidRPr="00AC4AEA">
        <w:rPr>
          <w:rFonts w:ascii="Arial" w:hAnsi="Arial" w:cs="Arial"/>
          <w:sz w:val="20"/>
          <w:szCs w:val="20"/>
        </w:rPr>
        <w:t xml:space="preserve">, una </w:t>
      </w:r>
      <w:r w:rsidR="00307B75" w:rsidRPr="00AC4AEA">
        <w:rPr>
          <w:rFonts w:ascii="Arial" w:hAnsi="Arial" w:cs="Arial"/>
          <w:sz w:val="20"/>
          <w:szCs w:val="20"/>
        </w:rPr>
        <w:t>entidad utilizará:</w:t>
      </w:r>
    </w:p>
    <w:p w:rsidR="00307B75" w:rsidRPr="00AC4AEA" w:rsidRDefault="00307B75" w:rsidP="00A318EA">
      <w:pPr>
        <w:pStyle w:val="Prrafodelista"/>
        <w:numPr>
          <w:ilvl w:val="0"/>
          <w:numId w:val="122"/>
        </w:numPr>
        <w:ind w:left="1560"/>
        <w:contextualSpacing w:val="0"/>
        <w:jc w:val="both"/>
        <w:rPr>
          <w:rFonts w:ascii="Arial" w:hAnsi="Arial" w:cs="Arial"/>
          <w:sz w:val="20"/>
          <w:szCs w:val="20"/>
        </w:rPr>
      </w:pPr>
      <w:r w:rsidRPr="00AC4AEA">
        <w:rPr>
          <w:rFonts w:ascii="Arial" w:hAnsi="Arial" w:cs="Arial"/>
          <w:sz w:val="20"/>
          <w:szCs w:val="20"/>
        </w:rPr>
        <w:t>La misma tasa de interés que utilizó utilizar en el momento de la medición inicial, si el tipo pactado fuera fijo</w:t>
      </w:r>
      <w:r w:rsidR="007E2A61" w:rsidRPr="00AC4AEA">
        <w:rPr>
          <w:rFonts w:ascii="Arial" w:hAnsi="Arial" w:cs="Arial"/>
          <w:sz w:val="20"/>
          <w:szCs w:val="20"/>
        </w:rPr>
        <w:t>.</w:t>
      </w:r>
    </w:p>
    <w:p w:rsidR="00307B75" w:rsidRPr="00AC4AEA" w:rsidRDefault="00307B75" w:rsidP="00A318EA">
      <w:pPr>
        <w:pStyle w:val="Prrafodelista"/>
        <w:numPr>
          <w:ilvl w:val="0"/>
          <w:numId w:val="122"/>
        </w:numPr>
        <w:ind w:left="1560"/>
        <w:contextualSpacing w:val="0"/>
        <w:jc w:val="both"/>
        <w:rPr>
          <w:rFonts w:ascii="Arial" w:hAnsi="Arial" w:cs="Arial"/>
          <w:sz w:val="20"/>
          <w:szCs w:val="20"/>
        </w:rPr>
      </w:pPr>
      <w:r w:rsidRPr="00AC4AEA">
        <w:rPr>
          <w:rFonts w:ascii="Arial" w:hAnsi="Arial" w:cs="Arial"/>
          <w:sz w:val="20"/>
          <w:szCs w:val="20"/>
        </w:rPr>
        <w:lastRenderedPageBreak/>
        <w:t xml:space="preserve">La tasa variable que corresponda aplicar a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xml:space="preserve"> según lo establecido en el </w:t>
      </w:r>
      <w:r w:rsidRPr="003A4B10">
        <w:rPr>
          <w:rFonts w:ascii="Arial" w:hAnsi="Arial" w:cs="Arial"/>
          <w:b/>
          <w:bCs/>
          <w:sz w:val="20"/>
          <w:szCs w:val="20"/>
        </w:rPr>
        <w:t>contrato</w:t>
      </w:r>
      <w:r w:rsidRPr="00AC4AEA">
        <w:rPr>
          <w:rFonts w:ascii="Arial" w:hAnsi="Arial" w:cs="Arial"/>
          <w:sz w:val="20"/>
          <w:szCs w:val="20"/>
        </w:rPr>
        <w:t>, si el tipo pactado fuera variable.</w:t>
      </w:r>
    </w:p>
    <w:p w:rsidR="00307B75" w:rsidRPr="00AC4AEA" w:rsidRDefault="00307B75" w:rsidP="00A318EA">
      <w:pPr>
        <w:pStyle w:val="A-Norgra"/>
        <w:jc w:val="both"/>
        <w:rPr>
          <w:rFonts w:ascii="Arial" w:hAnsi="Arial" w:cs="Arial"/>
          <w:color w:val="auto"/>
          <w:sz w:val="20"/>
          <w:szCs w:val="20"/>
        </w:rPr>
      </w:pPr>
    </w:p>
    <w:p w:rsidR="007D7989" w:rsidRPr="00AC4AEA" w:rsidRDefault="00C6097E" w:rsidP="00A318EA">
      <w:pPr>
        <w:pStyle w:val="Ttulo2"/>
        <w:rPr>
          <w:rFonts w:cs="Arial"/>
        </w:rPr>
      </w:pPr>
      <w:bookmarkStart w:id="656" w:name="_Toc101863922"/>
      <w:bookmarkStart w:id="657" w:name="_Toc139356801"/>
      <w:r w:rsidRPr="00AC4AEA">
        <w:rPr>
          <w:rFonts w:cs="Arial"/>
        </w:rPr>
        <w:t>Baja en cuentas</w:t>
      </w:r>
      <w:bookmarkEnd w:id="656"/>
      <w:bookmarkEnd w:id="657"/>
    </w:p>
    <w:p w:rsidR="002A4C4E" w:rsidRPr="00AC4AEA" w:rsidRDefault="00784AC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solo dará de baja en cuentas un </w:t>
      </w:r>
      <w:r w:rsidR="00A6026C" w:rsidRPr="00AC4AEA">
        <w:rPr>
          <w:rFonts w:ascii="Arial" w:hAnsi="Arial" w:cs="Arial"/>
          <w:b/>
          <w:bCs/>
          <w:sz w:val="20"/>
          <w:szCs w:val="20"/>
        </w:rPr>
        <w:t xml:space="preserve">pasivo </w:t>
      </w:r>
      <w:r w:rsidR="00A6026C" w:rsidRPr="00AC4AEA">
        <w:rPr>
          <w:rFonts w:ascii="Arial" w:hAnsi="Arial" w:cs="Arial"/>
          <w:sz w:val="20"/>
          <w:szCs w:val="20"/>
        </w:rPr>
        <w:t>cierto (deuda) en moneda</w:t>
      </w:r>
      <w:r w:rsidRPr="00AC4AEA">
        <w:rPr>
          <w:rFonts w:ascii="Arial" w:hAnsi="Arial" w:cs="Arial"/>
          <w:sz w:val="20"/>
          <w:szCs w:val="20"/>
        </w:rPr>
        <w:t xml:space="preserve"> (o una parte de </w:t>
      </w:r>
      <w:r w:rsidR="00A6026C" w:rsidRPr="00AC4AEA">
        <w:rPr>
          <w:rFonts w:ascii="Arial" w:hAnsi="Arial" w:cs="Arial"/>
          <w:sz w:val="20"/>
          <w:szCs w:val="20"/>
        </w:rPr>
        <w:t>él</w:t>
      </w:r>
      <w:r w:rsidRPr="00AC4AEA">
        <w:rPr>
          <w:rFonts w:ascii="Arial" w:hAnsi="Arial" w:cs="Arial"/>
          <w:sz w:val="20"/>
          <w:szCs w:val="20"/>
        </w:rPr>
        <w:t xml:space="preserve">) cuando </w:t>
      </w:r>
      <w:r w:rsidR="002A4C4E" w:rsidRPr="00AC4AEA">
        <w:rPr>
          <w:rFonts w:ascii="Arial" w:hAnsi="Arial" w:cs="Arial"/>
          <w:sz w:val="20"/>
          <w:szCs w:val="20"/>
        </w:rPr>
        <w:t xml:space="preserve">la obligación especificada </w:t>
      </w:r>
      <w:r w:rsidRPr="00AC4AEA">
        <w:rPr>
          <w:rFonts w:ascii="Arial" w:hAnsi="Arial" w:cs="Arial"/>
          <w:sz w:val="20"/>
          <w:szCs w:val="20"/>
        </w:rPr>
        <w:t xml:space="preserve">se </w:t>
      </w:r>
      <w:r w:rsidR="002A4C4E" w:rsidRPr="00AC4AEA">
        <w:rPr>
          <w:rFonts w:ascii="Arial" w:hAnsi="Arial" w:cs="Arial"/>
          <w:sz w:val="20"/>
          <w:szCs w:val="20"/>
        </w:rPr>
        <w:t>extinga por:</w:t>
      </w:r>
    </w:p>
    <w:p w:rsidR="002A4C4E" w:rsidRPr="00AC4AEA" w:rsidRDefault="002A4C4E" w:rsidP="00A318EA">
      <w:pPr>
        <w:pStyle w:val="Prrafodelista"/>
        <w:numPr>
          <w:ilvl w:val="0"/>
          <w:numId w:val="363"/>
        </w:numPr>
        <w:ind w:left="1560"/>
        <w:contextualSpacing w:val="0"/>
        <w:jc w:val="both"/>
        <w:rPr>
          <w:rFonts w:ascii="Arial" w:hAnsi="Arial" w:cs="Arial"/>
          <w:sz w:val="20"/>
          <w:szCs w:val="20"/>
        </w:rPr>
      </w:pPr>
      <w:r w:rsidRPr="00AC4AEA">
        <w:rPr>
          <w:rFonts w:ascii="Arial" w:hAnsi="Arial" w:cs="Arial"/>
          <w:sz w:val="20"/>
          <w:szCs w:val="20"/>
        </w:rPr>
        <w:t>pago;</w:t>
      </w:r>
    </w:p>
    <w:p w:rsidR="002A4C4E" w:rsidRPr="00AC4AEA" w:rsidRDefault="002A4C4E" w:rsidP="00A318EA">
      <w:pPr>
        <w:pStyle w:val="Prrafodelista"/>
        <w:numPr>
          <w:ilvl w:val="0"/>
          <w:numId w:val="363"/>
        </w:numPr>
        <w:ind w:left="1560"/>
        <w:contextualSpacing w:val="0"/>
        <w:jc w:val="both"/>
        <w:rPr>
          <w:rFonts w:ascii="Arial" w:hAnsi="Arial" w:cs="Arial"/>
          <w:sz w:val="20"/>
          <w:szCs w:val="20"/>
        </w:rPr>
      </w:pPr>
      <w:r w:rsidRPr="00AC4AEA">
        <w:rPr>
          <w:rFonts w:ascii="Arial" w:hAnsi="Arial" w:cs="Arial"/>
          <w:sz w:val="20"/>
          <w:szCs w:val="20"/>
        </w:rPr>
        <w:t xml:space="preserve">cancelación, </w:t>
      </w:r>
    </w:p>
    <w:p w:rsidR="002A4C4E" w:rsidRPr="00AC4AEA" w:rsidRDefault="002A4C4E" w:rsidP="00A318EA">
      <w:pPr>
        <w:pStyle w:val="Prrafodelista"/>
        <w:numPr>
          <w:ilvl w:val="0"/>
          <w:numId w:val="363"/>
        </w:numPr>
        <w:ind w:left="1560"/>
        <w:contextualSpacing w:val="0"/>
        <w:jc w:val="both"/>
        <w:rPr>
          <w:rFonts w:ascii="Arial" w:hAnsi="Arial" w:cs="Arial"/>
          <w:sz w:val="20"/>
          <w:szCs w:val="20"/>
        </w:rPr>
      </w:pPr>
      <w:r w:rsidRPr="00AC4AEA">
        <w:rPr>
          <w:rFonts w:ascii="Arial" w:hAnsi="Arial" w:cs="Arial"/>
          <w:sz w:val="20"/>
          <w:szCs w:val="20"/>
        </w:rPr>
        <w:t>expiración</w:t>
      </w:r>
      <w:r w:rsidR="00567540" w:rsidRPr="00AC4AEA">
        <w:rPr>
          <w:rFonts w:ascii="Arial" w:hAnsi="Arial" w:cs="Arial"/>
          <w:sz w:val="20"/>
          <w:szCs w:val="20"/>
        </w:rPr>
        <w:t>; o</w:t>
      </w:r>
    </w:p>
    <w:p w:rsidR="00567540" w:rsidRPr="00AC4AEA" w:rsidRDefault="00567540" w:rsidP="00A318EA">
      <w:pPr>
        <w:pStyle w:val="Prrafodelista"/>
        <w:numPr>
          <w:ilvl w:val="0"/>
          <w:numId w:val="363"/>
        </w:numPr>
        <w:ind w:left="1560"/>
        <w:contextualSpacing w:val="0"/>
        <w:jc w:val="both"/>
        <w:rPr>
          <w:rFonts w:ascii="Arial" w:hAnsi="Arial" w:cs="Arial"/>
          <w:sz w:val="20"/>
          <w:szCs w:val="20"/>
        </w:rPr>
      </w:pPr>
      <w:r w:rsidRPr="00AC4AEA">
        <w:rPr>
          <w:rFonts w:ascii="Arial" w:hAnsi="Arial" w:cs="Arial"/>
          <w:sz w:val="20"/>
          <w:szCs w:val="20"/>
        </w:rPr>
        <w:t>refinanciación en los términos de</w:t>
      </w:r>
      <w:r w:rsidR="00A14357" w:rsidRPr="00AC4AEA">
        <w:rPr>
          <w:rFonts w:ascii="Arial" w:hAnsi="Arial" w:cs="Arial"/>
          <w:sz w:val="20"/>
          <w:szCs w:val="20"/>
        </w:rPr>
        <w:t xml:space="preserve"> </w:t>
      </w:r>
      <w:r w:rsidRPr="00AC4AEA">
        <w:rPr>
          <w:rFonts w:ascii="Arial" w:hAnsi="Arial" w:cs="Arial"/>
          <w:sz w:val="20"/>
          <w:szCs w:val="20"/>
        </w:rPr>
        <w:t>l</w:t>
      </w:r>
      <w:r w:rsidR="00A14357" w:rsidRPr="00AC4AEA">
        <w:rPr>
          <w:rFonts w:ascii="Arial" w:hAnsi="Arial" w:cs="Arial"/>
          <w:sz w:val="20"/>
          <w:szCs w:val="20"/>
        </w:rPr>
        <w:t>os</w:t>
      </w:r>
      <w:r w:rsidRPr="00AC4AEA">
        <w:rPr>
          <w:rFonts w:ascii="Arial" w:hAnsi="Arial" w:cs="Arial"/>
          <w:sz w:val="20"/>
          <w:szCs w:val="20"/>
        </w:rPr>
        <w:t xml:space="preserve"> párrafo</w:t>
      </w:r>
      <w:r w:rsidR="00A14357" w:rsidRPr="00AC4AEA">
        <w:rPr>
          <w:rFonts w:ascii="Arial" w:hAnsi="Arial" w:cs="Arial"/>
          <w:sz w:val="20"/>
          <w:szCs w:val="20"/>
        </w:rPr>
        <w:t xml:space="preserve">s </w:t>
      </w:r>
      <w:fldSimple w:instr=" REF _Ref103885876 \r \h  \* MERGEFORMAT ">
        <w:r w:rsidR="00D33A5D" w:rsidRPr="00D33A5D">
          <w:rPr>
            <w:rFonts w:ascii="Arial" w:hAnsi="Arial" w:cs="Arial"/>
            <w:sz w:val="20"/>
            <w:szCs w:val="20"/>
          </w:rPr>
          <w:t>467</w:t>
        </w:r>
      </w:fldSimple>
      <w:r w:rsidR="00A14357" w:rsidRPr="00AC4AEA">
        <w:rPr>
          <w:rFonts w:ascii="Arial" w:hAnsi="Arial" w:cs="Arial"/>
          <w:sz w:val="20"/>
          <w:szCs w:val="20"/>
        </w:rPr>
        <w:t xml:space="preserve"> a </w:t>
      </w:r>
      <w:fldSimple w:instr=" REF _Ref103885881 \r \h  \* MERGEFORMAT ">
        <w:r w:rsidR="00D33A5D" w:rsidRPr="00D33A5D">
          <w:rPr>
            <w:rFonts w:ascii="Arial" w:hAnsi="Arial" w:cs="Arial"/>
            <w:sz w:val="20"/>
            <w:szCs w:val="20"/>
          </w:rPr>
          <w:t>470</w:t>
        </w:r>
      </w:fldSimple>
      <w:r w:rsidRPr="00AC4AEA">
        <w:rPr>
          <w:rFonts w:ascii="Arial" w:hAnsi="Arial" w:cs="Arial"/>
          <w:sz w:val="20"/>
          <w:szCs w:val="20"/>
        </w:rPr>
        <w:t>.</w:t>
      </w:r>
    </w:p>
    <w:p w:rsidR="00093939" w:rsidRPr="00AC4AEA" w:rsidRDefault="00093939" w:rsidP="00A318EA">
      <w:pPr>
        <w:pStyle w:val="Prrafodelista"/>
        <w:numPr>
          <w:ilvl w:val="0"/>
          <w:numId w:val="29"/>
        </w:numPr>
        <w:contextualSpacing w:val="0"/>
        <w:jc w:val="both"/>
        <w:rPr>
          <w:rFonts w:ascii="Arial" w:hAnsi="Arial" w:cs="Arial"/>
          <w:sz w:val="20"/>
          <w:szCs w:val="20"/>
        </w:rPr>
      </w:pPr>
      <w:bookmarkStart w:id="658" w:name="_Ref103885876"/>
      <w:r w:rsidRPr="00AC4AEA">
        <w:rPr>
          <w:rFonts w:ascii="Arial" w:hAnsi="Arial" w:cs="Arial"/>
          <w:sz w:val="20"/>
          <w:szCs w:val="20"/>
        </w:rPr>
        <w:t xml:space="preserve">Si una entidad refinancia un </w:t>
      </w:r>
      <w:r w:rsidRPr="00AC4AEA">
        <w:rPr>
          <w:rFonts w:ascii="Arial" w:hAnsi="Arial" w:cs="Arial"/>
          <w:b/>
          <w:bCs/>
          <w:sz w:val="20"/>
          <w:szCs w:val="20"/>
        </w:rPr>
        <w:t xml:space="preserve">pasivo </w:t>
      </w:r>
      <w:r w:rsidRPr="00AC4AEA">
        <w:rPr>
          <w:rFonts w:ascii="Arial" w:hAnsi="Arial" w:cs="Arial"/>
          <w:sz w:val="20"/>
          <w:szCs w:val="20"/>
        </w:rPr>
        <w:t xml:space="preserve">cierto (deuda) en moneda y el </w:t>
      </w:r>
      <w:r w:rsidRPr="00AC4AEA">
        <w:rPr>
          <w:rFonts w:ascii="Arial" w:hAnsi="Arial" w:cs="Arial"/>
          <w:b/>
          <w:bCs/>
          <w:sz w:val="20"/>
          <w:szCs w:val="20"/>
        </w:rPr>
        <w:t xml:space="preserve">pasivo </w:t>
      </w:r>
      <w:r w:rsidRPr="00AC4AEA">
        <w:rPr>
          <w:rFonts w:ascii="Arial" w:hAnsi="Arial" w:cs="Arial"/>
          <w:sz w:val="20"/>
          <w:szCs w:val="20"/>
        </w:rPr>
        <w:t xml:space="preserve">después de la refinanciación es sustancialmente diferente respecto del </w:t>
      </w:r>
      <w:r w:rsidRPr="00AC4AEA">
        <w:rPr>
          <w:rFonts w:ascii="Arial" w:hAnsi="Arial" w:cs="Arial"/>
          <w:b/>
          <w:bCs/>
          <w:sz w:val="20"/>
          <w:szCs w:val="20"/>
        </w:rPr>
        <w:t xml:space="preserve">pasivo </w:t>
      </w:r>
      <w:r w:rsidRPr="00AC4AEA">
        <w:rPr>
          <w:rFonts w:ascii="Arial" w:hAnsi="Arial" w:cs="Arial"/>
          <w:sz w:val="20"/>
          <w:szCs w:val="20"/>
        </w:rPr>
        <w:t>antes de la refinanciación:</w:t>
      </w:r>
      <w:bookmarkEnd w:id="658"/>
    </w:p>
    <w:p w:rsidR="00093939" w:rsidRPr="00AC4AEA" w:rsidRDefault="00093939" w:rsidP="00A318EA">
      <w:pPr>
        <w:pStyle w:val="Prrafodelista"/>
        <w:numPr>
          <w:ilvl w:val="0"/>
          <w:numId w:val="393"/>
        </w:numPr>
        <w:ind w:left="1418" w:hanging="425"/>
        <w:contextualSpacing w:val="0"/>
        <w:jc w:val="both"/>
        <w:rPr>
          <w:rFonts w:ascii="Arial" w:hAnsi="Arial" w:cs="Arial"/>
          <w:sz w:val="20"/>
          <w:szCs w:val="20"/>
        </w:rPr>
      </w:pPr>
      <w:r w:rsidRPr="00AC4AEA">
        <w:rPr>
          <w:rFonts w:ascii="Arial" w:hAnsi="Arial" w:cs="Arial"/>
          <w:sz w:val="20"/>
          <w:szCs w:val="20"/>
        </w:rPr>
        <w:t xml:space="preserve">dará de baja al </w:t>
      </w:r>
      <w:r w:rsidRPr="00AC4AEA">
        <w:rPr>
          <w:rFonts w:ascii="Arial" w:hAnsi="Arial" w:cs="Arial"/>
          <w:b/>
          <w:bCs/>
          <w:sz w:val="20"/>
          <w:szCs w:val="20"/>
        </w:rPr>
        <w:t xml:space="preserve">pasivo </w:t>
      </w:r>
      <w:r w:rsidRPr="00AC4AEA">
        <w:rPr>
          <w:rFonts w:ascii="Arial" w:hAnsi="Arial" w:cs="Arial"/>
          <w:sz w:val="20"/>
          <w:szCs w:val="20"/>
        </w:rPr>
        <w:t xml:space="preserve">preexistente; </w:t>
      </w:r>
    </w:p>
    <w:p w:rsidR="00093939" w:rsidRPr="00AC4AEA" w:rsidRDefault="00093939" w:rsidP="00A318EA">
      <w:pPr>
        <w:pStyle w:val="Prrafodelista"/>
        <w:numPr>
          <w:ilvl w:val="0"/>
          <w:numId w:val="393"/>
        </w:numPr>
        <w:ind w:left="1418" w:hanging="425"/>
        <w:contextualSpacing w:val="0"/>
        <w:jc w:val="both"/>
        <w:rPr>
          <w:rFonts w:ascii="Arial" w:hAnsi="Arial" w:cs="Arial"/>
          <w:sz w:val="20"/>
          <w:szCs w:val="20"/>
        </w:rPr>
      </w:pPr>
      <w:r w:rsidRPr="00AC4AEA">
        <w:rPr>
          <w:rFonts w:ascii="Arial" w:hAnsi="Arial" w:cs="Arial"/>
          <w:sz w:val="20"/>
          <w:szCs w:val="20"/>
        </w:rPr>
        <w:t>reconocerá un nuevo pasivo, aplicando las normas sobre “</w:t>
      </w:r>
      <w:r w:rsidRPr="00AC4AEA">
        <w:rPr>
          <w:rFonts w:ascii="Arial" w:hAnsi="Arial" w:cs="Arial"/>
          <w:sz w:val="20"/>
          <w:szCs w:val="20"/>
          <w:u w:val="single"/>
        </w:rPr>
        <w:t>Medición inicial</w:t>
      </w:r>
      <w:r w:rsidRPr="00AC4AEA">
        <w:rPr>
          <w:rFonts w:ascii="Arial" w:hAnsi="Arial" w:cs="Arial"/>
          <w:sz w:val="20"/>
          <w:szCs w:val="20"/>
        </w:rPr>
        <w:t xml:space="preserve">” [ver los párrafos </w:t>
      </w:r>
      <w:fldSimple w:instr=" REF _Ref99483922 \r \h  \* MERGEFORMAT ">
        <w:r w:rsidR="00D33A5D" w:rsidRPr="00D33A5D">
          <w:rPr>
            <w:rFonts w:ascii="Arial" w:hAnsi="Arial" w:cs="Arial"/>
            <w:sz w:val="20"/>
            <w:szCs w:val="20"/>
          </w:rPr>
          <w:t>459</w:t>
        </w:r>
      </w:fldSimple>
      <w:r w:rsidR="00111440" w:rsidRPr="00AC4AEA">
        <w:rPr>
          <w:rFonts w:ascii="Arial" w:hAnsi="Arial" w:cs="Arial"/>
          <w:sz w:val="20"/>
          <w:szCs w:val="20"/>
        </w:rPr>
        <w:t xml:space="preserve"> a </w:t>
      </w:r>
      <w:fldSimple w:instr=" REF _Ref99483928 \r \h  \* MERGEFORMAT ">
        <w:r w:rsidR="00D33A5D" w:rsidRPr="00D33A5D">
          <w:rPr>
            <w:rFonts w:ascii="Arial" w:hAnsi="Arial" w:cs="Arial"/>
            <w:sz w:val="20"/>
            <w:szCs w:val="20"/>
          </w:rPr>
          <w:t>461</w:t>
        </w:r>
      </w:fldSimple>
      <w:r w:rsidRPr="00AC4AEA">
        <w:rPr>
          <w:rFonts w:ascii="Arial" w:hAnsi="Arial" w:cs="Arial"/>
          <w:sz w:val="20"/>
          <w:szCs w:val="20"/>
        </w:rPr>
        <w:t xml:space="preserve">], contenidas dentro de la presente sección; </w:t>
      </w:r>
    </w:p>
    <w:p w:rsidR="00093939" w:rsidRPr="00AC4AEA" w:rsidRDefault="00093939" w:rsidP="00A318EA">
      <w:pPr>
        <w:pStyle w:val="Prrafodelista"/>
        <w:numPr>
          <w:ilvl w:val="0"/>
          <w:numId w:val="393"/>
        </w:numPr>
        <w:ind w:left="1418" w:hanging="425"/>
        <w:contextualSpacing w:val="0"/>
        <w:jc w:val="both"/>
        <w:rPr>
          <w:rFonts w:ascii="Arial" w:hAnsi="Arial" w:cs="Arial"/>
          <w:sz w:val="20"/>
          <w:szCs w:val="20"/>
        </w:rPr>
      </w:pPr>
      <w:r w:rsidRPr="00AC4AEA">
        <w:rPr>
          <w:rFonts w:ascii="Arial" w:hAnsi="Arial" w:cs="Arial"/>
          <w:sz w:val="20"/>
          <w:szCs w:val="20"/>
        </w:rPr>
        <w:t xml:space="preserve">reconocerá en el resultado del ejercicio de la refinanciación: </w:t>
      </w:r>
    </w:p>
    <w:p w:rsidR="00093939" w:rsidRPr="00AC4AEA" w:rsidRDefault="00093939" w:rsidP="00A318EA">
      <w:pPr>
        <w:pStyle w:val="Prrafodelista"/>
        <w:numPr>
          <w:ilvl w:val="0"/>
          <w:numId w:val="446"/>
        </w:numPr>
        <w:ind w:left="1985"/>
        <w:contextualSpacing w:val="0"/>
        <w:jc w:val="both"/>
        <w:rPr>
          <w:rFonts w:ascii="Arial" w:hAnsi="Arial" w:cs="Arial"/>
          <w:sz w:val="20"/>
          <w:szCs w:val="20"/>
        </w:rPr>
      </w:pPr>
      <w:r w:rsidRPr="00AC4AEA">
        <w:rPr>
          <w:rFonts w:ascii="Arial" w:hAnsi="Arial" w:cs="Arial"/>
          <w:sz w:val="20"/>
          <w:szCs w:val="20"/>
        </w:rPr>
        <w:t xml:space="preserve">la diferencia entre los importes del </w:t>
      </w:r>
      <w:r w:rsidR="00111440" w:rsidRPr="00AC4AEA">
        <w:rPr>
          <w:rFonts w:ascii="Arial" w:hAnsi="Arial" w:cs="Arial"/>
          <w:b/>
          <w:bCs/>
          <w:sz w:val="20"/>
          <w:szCs w:val="20"/>
        </w:rPr>
        <w:t>pasivo</w:t>
      </w:r>
      <w:r w:rsidRPr="00AC4AEA">
        <w:rPr>
          <w:rFonts w:ascii="Arial" w:hAnsi="Arial" w:cs="Arial"/>
          <w:b/>
          <w:bCs/>
          <w:sz w:val="20"/>
          <w:szCs w:val="20"/>
        </w:rPr>
        <w:t xml:space="preserve"> </w:t>
      </w:r>
      <w:r w:rsidRPr="00AC4AEA">
        <w:rPr>
          <w:rFonts w:ascii="Arial" w:hAnsi="Arial" w:cs="Arial"/>
          <w:sz w:val="20"/>
          <w:szCs w:val="20"/>
        </w:rPr>
        <w:t xml:space="preserve">dado de baja y del nuevo </w:t>
      </w:r>
      <w:r w:rsidR="00111440" w:rsidRPr="00AC4AEA">
        <w:rPr>
          <w:rFonts w:ascii="Arial" w:hAnsi="Arial" w:cs="Arial"/>
          <w:sz w:val="20"/>
          <w:szCs w:val="20"/>
        </w:rPr>
        <w:t>pasivo</w:t>
      </w:r>
      <w:r w:rsidRPr="00AC4AEA">
        <w:rPr>
          <w:rFonts w:ascii="Arial" w:hAnsi="Arial" w:cs="Arial"/>
          <w:sz w:val="20"/>
          <w:szCs w:val="20"/>
        </w:rPr>
        <w:t>; y</w:t>
      </w:r>
    </w:p>
    <w:p w:rsidR="00093939" w:rsidRPr="00AC4AEA" w:rsidRDefault="00093939" w:rsidP="00A318EA">
      <w:pPr>
        <w:pStyle w:val="Prrafodelista"/>
        <w:numPr>
          <w:ilvl w:val="0"/>
          <w:numId w:val="446"/>
        </w:numPr>
        <w:ind w:left="1985"/>
        <w:contextualSpacing w:val="0"/>
        <w:jc w:val="both"/>
        <w:rPr>
          <w:rFonts w:ascii="Arial" w:hAnsi="Arial" w:cs="Arial"/>
          <w:sz w:val="20"/>
          <w:szCs w:val="20"/>
        </w:rPr>
      </w:pPr>
      <w:r w:rsidRPr="00AC4AEA">
        <w:rPr>
          <w:rFonts w:ascii="Arial" w:hAnsi="Arial" w:cs="Arial"/>
          <w:sz w:val="20"/>
          <w:szCs w:val="20"/>
        </w:rPr>
        <w:t>cualquier costo incurrido en la refinanciación por la entidad.</w:t>
      </w:r>
    </w:p>
    <w:p w:rsidR="001B244D" w:rsidRPr="00AC4AEA" w:rsidRDefault="001B244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 condición de “sustancialmente diferente” establecida en el párrafo anterior se cumple si: </w:t>
      </w:r>
    </w:p>
    <w:p w:rsidR="001B244D" w:rsidRPr="00AC4AEA" w:rsidRDefault="001B244D" w:rsidP="00A318EA">
      <w:pPr>
        <w:pStyle w:val="Prrafodelista"/>
        <w:numPr>
          <w:ilvl w:val="0"/>
          <w:numId w:val="394"/>
        </w:numPr>
        <w:contextualSpacing w:val="0"/>
        <w:jc w:val="both"/>
        <w:rPr>
          <w:rFonts w:ascii="Arial" w:hAnsi="Arial" w:cs="Arial"/>
          <w:sz w:val="20"/>
          <w:szCs w:val="20"/>
        </w:rPr>
      </w:pPr>
      <w:r w:rsidRPr="00AC4AEA">
        <w:rPr>
          <w:rFonts w:ascii="Arial" w:hAnsi="Arial" w:cs="Arial"/>
          <w:sz w:val="20"/>
          <w:szCs w:val="20"/>
        </w:rPr>
        <w:t xml:space="preserve">el valor descontado de los flujos de efectivo posteriores a la refinanciación, utilizando la misma tasa empleada para medir el </w:t>
      </w:r>
      <w:r w:rsidRPr="00AC4AEA">
        <w:rPr>
          <w:rFonts w:ascii="Arial" w:hAnsi="Arial" w:cs="Arial"/>
          <w:b/>
          <w:bCs/>
          <w:sz w:val="20"/>
          <w:szCs w:val="20"/>
        </w:rPr>
        <w:t xml:space="preserve">pasivo </w:t>
      </w:r>
      <w:r w:rsidRPr="00AC4AEA">
        <w:rPr>
          <w:rFonts w:ascii="Arial" w:hAnsi="Arial" w:cs="Arial"/>
          <w:sz w:val="20"/>
          <w:szCs w:val="20"/>
        </w:rPr>
        <w:t xml:space="preserve">original, difiere en, por lo menos, un 10% respecto del valor contable del </w:t>
      </w:r>
      <w:r w:rsidRPr="00AC4AEA">
        <w:rPr>
          <w:rFonts w:ascii="Arial" w:hAnsi="Arial" w:cs="Arial"/>
          <w:b/>
          <w:bCs/>
          <w:sz w:val="20"/>
          <w:szCs w:val="20"/>
        </w:rPr>
        <w:t xml:space="preserve">pasivo </w:t>
      </w:r>
      <w:r w:rsidRPr="00AC4AEA">
        <w:rPr>
          <w:rFonts w:ascii="Arial" w:hAnsi="Arial" w:cs="Arial"/>
          <w:sz w:val="20"/>
          <w:szCs w:val="20"/>
        </w:rPr>
        <w:t>refinanciado en la fecha de la refinanciación; o</w:t>
      </w:r>
    </w:p>
    <w:p w:rsidR="007D7989" w:rsidRPr="00AC4AEA" w:rsidRDefault="001B244D" w:rsidP="00A318EA">
      <w:pPr>
        <w:pStyle w:val="Prrafodelista"/>
        <w:numPr>
          <w:ilvl w:val="0"/>
          <w:numId w:val="394"/>
        </w:numPr>
        <w:contextualSpacing w:val="0"/>
        <w:jc w:val="both"/>
        <w:rPr>
          <w:rFonts w:ascii="Arial" w:hAnsi="Arial" w:cs="Arial"/>
          <w:sz w:val="20"/>
          <w:szCs w:val="20"/>
        </w:rPr>
      </w:pPr>
      <w:r w:rsidRPr="00AC4AEA">
        <w:rPr>
          <w:rFonts w:ascii="Arial" w:hAnsi="Arial" w:cs="Arial"/>
          <w:sz w:val="20"/>
          <w:szCs w:val="20"/>
        </w:rPr>
        <w:t xml:space="preserve">existen otros elementos de carácter cualitativo que permitan deducir que tal cambio es sustancial (por ejemplo, la constitución de nuevas garantías o la incorporación de </w:t>
      </w:r>
      <w:r w:rsidR="000C2760" w:rsidRPr="00AC4AEA">
        <w:rPr>
          <w:rFonts w:ascii="Arial" w:hAnsi="Arial" w:cs="Arial"/>
          <w:sz w:val="20"/>
          <w:szCs w:val="20"/>
        </w:rPr>
        <w:t>cláusulas</w:t>
      </w:r>
      <w:r w:rsidRPr="00AC4AEA">
        <w:rPr>
          <w:rFonts w:ascii="Arial" w:hAnsi="Arial" w:cs="Arial"/>
          <w:sz w:val="20"/>
          <w:szCs w:val="20"/>
        </w:rPr>
        <w:t xml:space="preserve"> de cumplimiento contingente para el deudor).</w:t>
      </w:r>
    </w:p>
    <w:p w:rsidR="00D45193" w:rsidRPr="00AC4AEA" w:rsidRDefault="00D4519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Si la refinanciación no da lugar a la baja en cuentas del </w:t>
      </w:r>
      <w:r w:rsidRPr="00AC4AEA">
        <w:rPr>
          <w:rFonts w:ascii="Arial" w:hAnsi="Arial" w:cs="Arial"/>
          <w:b/>
          <w:bCs/>
          <w:sz w:val="20"/>
          <w:szCs w:val="20"/>
        </w:rPr>
        <w:t xml:space="preserve">pasivo </w:t>
      </w:r>
      <w:r w:rsidRPr="00AC4AEA">
        <w:rPr>
          <w:rFonts w:ascii="Arial" w:hAnsi="Arial" w:cs="Arial"/>
          <w:sz w:val="20"/>
          <w:szCs w:val="20"/>
        </w:rPr>
        <w:t xml:space="preserve">original se considera que solo existe un cambio en la estimación de los pagos futuros. Para reflejar el cambio indicado, </w:t>
      </w:r>
      <w:r w:rsidR="002C3FB9" w:rsidRPr="00AC4AEA">
        <w:rPr>
          <w:rFonts w:ascii="Arial" w:hAnsi="Arial" w:cs="Arial"/>
          <w:sz w:val="20"/>
          <w:szCs w:val="20"/>
        </w:rPr>
        <w:t>una</w:t>
      </w:r>
      <w:r w:rsidRPr="00AC4AEA">
        <w:rPr>
          <w:rFonts w:ascii="Arial" w:hAnsi="Arial" w:cs="Arial"/>
          <w:sz w:val="20"/>
          <w:szCs w:val="20"/>
        </w:rPr>
        <w:t xml:space="preserve"> entidad:</w:t>
      </w:r>
    </w:p>
    <w:p w:rsidR="00D45193" w:rsidRPr="00AC4AEA" w:rsidRDefault="00D45193" w:rsidP="00A318EA">
      <w:pPr>
        <w:pStyle w:val="Prrafodelista"/>
        <w:numPr>
          <w:ilvl w:val="0"/>
          <w:numId w:val="395"/>
        </w:numPr>
        <w:ind w:left="1418" w:hanging="425"/>
        <w:contextualSpacing w:val="0"/>
        <w:jc w:val="both"/>
        <w:rPr>
          <w:rFonts w:ascii="Arial" w:hAnsi="Arial" w:cs="Arial"/>
          <w:sz w:val="20"/>
          <w:szCs w:val="20"/>
        </w:rPr>
      </w:pPr>
      <w:r w:rsidRPr="00AC4AEA">
        <w:rPr>
          <w:rFonts w:ascii="Arial" w:hAnsi="Arial" w:cs="Arial"/>
          <w:sz w:val="20"/>
          <w:szCs w:val="20"/>
        </w:rPr>
        <w:t xml:space="preserve">recalculará el valor contable como el valor actual de los nuevos flujos de efectivo descontados a la tasa de interés efectiva del </w:t>
      </w:r>
      <w:r w:rsidRPr="00AC4AEA">
        <w:rPr>
          <w:rFonts w:ascii="Arial" w:hAnsi="Arial" w:cs="Arial"/>
          <w:b/>
          <w:bCs/>
          <w:sz w:val="20"/>
          <w:szCs w:val="20"/>
        </w:rPr>
        <w:t xml:space="preserve">pasivo </w:t>
      </w:r>
      <w:r w:rsidRPr="00AC4AEA">
        <w:rPr>
          <w:rFonts w:ascii="Arial" w:hAnsi="Arial" w:cs="Arial"/>
          <w:sz w:val="20"/>
          <w:szCs w:val="20"/>
        </w:rPr>
        <w:t xml:space="preserve">original; </w:t>
      </w:r>
    </w:p>
    <w:p w:rsidR="00D45193" w:rsidRPr="00AC4AEA" w:rsidRDefault="00D45193" w:rsidP="00A318EA">
      <w:pPr>
        <w:pStyle w:val="Prrafodelista"/>
        <w:numPr>
          <w:ilvl w:val="0"/>
          <w:numId w:val="395"/>
        </w:numPr>
        <w:ind w:left="1418" w:hanging="425"/>
        <w:contextualSpacing w:val="0"/>
        <w:jc w:val="both"/>
        <w:rPr>
          <w:rFonts w:ascii="Arial" w:hAnsi="Arial" w:cs="Arial"/>
          <w:sz w:val="20"/>
          <w:szCs w:val="20"/>
        </w:rPr>
      </w:pPr>
      <w:r w:rsidRPr="00AC4AEA">
        <w:rPr>
          <w:rFonts w:ascii="Arial" w:hAnsi="Arial" w:cs="Arial"/>
          <w:sz w:val="20"/>
          <w:szCs w:val="20"/>
        </w:rPr>
        <w:lastRenderedPageBreak/>
        <w:t>reconocerá inmediatamente en el resultado del ejercicio de la refinanciación la diferencia entre el importe resultante de a) y el valor contable previo a la modificación; y</w:t>
      </w:r>
    </w:p>
    <w:p w:rsidR="00D45193" w:rsidRPr="00AC4AEA" w:rsidRDefault="00D45193" w:rsidP="00A318EA">
      <w:pPr>
        <w:pStyle w:val="Prrafodelista"/>
        <w:numPr>
          <w:ilvl w:val="0"/>
          <w:numId w:val="395"/>
        </w:numPr>
        <w:ind w:left="1418" w:hanging="425"/>
        <w:contextualSpacing w:val="0"/>
        <w:jc w:val="both"/>
        <w:rPr>
          <w:rFonts w:ascii="Arial" w:hAnsi="Arial" w:cs="Arial"/>
          <w:sz w:val="20"/>
          <w:szCs w:val="20"/>
        </w:rPr>
      </w:pPr>
      <w:r w:rsidRPr="00AC4AEA">
        <w:rPr>
          <w:rFonts w:ascii="Arial" w:hAnsi="Arial" w:cs="Arial"/>
          <w:sz w:val="20"/>
          <w:szCs w:val="20"/>
        </w:rPr>
        <w:t xml:space="preserve">ajustará el importe del </w:t>
      </w:r>
      <w:r w:rsidR="008C1A71" w:rsidRPr="00AC4AEA">
        <w:rPr>
          <w:rFonts w:ascii="Arial" w:hAnsi="Arial" w:cs="Arial"/>
          <w:b/>
          <w:bCs/>
          <w:sz w:val="20"/>
          <w:szCs w:val="20"/>
        </w:rPr>
        <w:t>pasivo</w:t>
      </w:r>
      <w:r w:rsidRPr="00AC4AEA">
        <w:rPr>
          <w:rFonts w:ascii="Arial" w:hAnsi="Arial" w:cs="Arial"/>
          <w:b/>
          <w:bCs/>
          <w:sz w:val="20"/>
          <w:szCs w:val="20"/>
        </w:rPr>
        <w:t xml:space="preserve"> </w:t>
      </w:r>
      <w:r w:rsidR="008C1A71" w:rsidRPr="00AC4AEA">
        <w:rPr>
          <w:rFonts w:ascii="Arial" w:hAnsi="Arial" w:cs="Arial"/>
          <w:sz w:val="20"/>
          <w:szCs w:val="20"/>
        </w:rPr>
        <w:t>deduciendo</w:t>
      </w:r>
      <w:r w:rsidRPr="00AC4AEA">
        <w:rPr>
          <w:rFonts w:ascii="Arial" w:hAnsi="Arial" w:cs="Arial"/>
          <w:sz w:val="20"/>
          <w:szCs w:val="20"/>
        </w:rPr>
        <w:t xml:space="preserve"> cualquier costo incurrido en la refinanciación, y lo amortizará </w:t>
      </w:r>
      <w:r w:rsidR="002C3FB9" w:rsidRPr="00AC4AEA">
        <w:rPr>
          <w:rFonts w:ascii="Arial" w:hAnsi="Arial" w:cs="Arial"/>
          <w:sz w:val="20"/>
          <w:szCs w:val="20"/>
        </w:rPr>
        <w:t>durante la duración</w:t>
      </w:r>
      <w:r w:rsidRPr="00AC4AEA">
        <w:rPr>
          <w:rFonts w:ascii="Arial" w:hAnsi="Arial" w:cs="Arial"/>
          <w:sz w:val="20"/>
          <w:szCs w:val="20"/>
        </w:rPr>
        <w:t xml:space="preserve"> del </w:t>
      </w:r>
      <w:r w:rsidR="002C3FB9" w:rsidRPr="00C73D55">
        <w:rPr>
          <w:rFonts w:ascii="Arial" w:hAnsi="Arial" w:cs="Arial"/>
          <w:b/>
          <w:bCs/>
          <w:sz w:val="20"/>
          <w:szCs w:val="20"/>
        </w:rPr>
        <w:t xml:space="preserve">pasivo </w:t>
      </w:r>
      <w:r w:rsidR="002C3FB9" w:rsidRPr="00AC4AEA">
        <w:rPr>
          <w:rFonts w:ascii="Arial" w:hAnsi="Arial" w:cs="Arial"/>
          <w:sz w:val="20"/>
          <w:szCs w:val="20"/>
        </w:rPr>
        <w:t>refinanciado</w:t>
      </w:r>
      <w:r w:rsidRPr="00AC4AEA">
        <w:rPr>
          <w:rFonts w:ascii="Arial" w:hAnsi="Arial" w:cs="Arial"/>
          <w:sz w:val="20"/>
          <w:szCs w:val="20"/>
        </w:rPr>
        <w:t>.</w:t>
      </w:r>
    </w:p>
    <w:p w:rsidR="00333904" w:rsidRPr="00AC4AEA" w:rsidRDefault="00333904" w:rsidP="00A318EA">
      <w:pPr>
        <w:pStyle w:val="Prrafodelista"/>
        <w:numPr>
          <w:ilvl w:val="0"/>
          <w:numId w:val="29"/>
        </w:numPr>
        <w:contextualSpacing w:val="0"/>
        <w:jc w:val="both"/>
        <w:rPr>
          <w:rFonts w:ascii="Arial" w:hAnsi="Arial" w:cs="Arial"/>
          <w:sz w:val="20"/>
          <w:szCs w:val="20"/>
        </w:rPr>
      </w:pPr>
      <w:bookmarkStart w:id="659" w:name="_Ref103885881"/>
      <w:r w:rsidRPr="00AC4AEA">
        <w:rPr>
          <w:rFonts w:ascii="Arial" w:hAnsi="Arial" w:cs="Arial"/>
          <w:sz w:val="20"/>
          <w:szCs w:val="20"/>
        </w:rPr>
        <w:t>Cuando se trate de una entidad que es pequeña o mediana podrá seguir el siguiente procedimiento en reemplazo del indicado en el párrafo anterior, en la fecha de la refinanciación:</w:t>
      </w:r>
      <w:bookmarkEnd w:id="659"/>
    </w:p>
    <w:p w:rsidR="00333904" w:rsidRPr="00AC4AEA" w:rsidRDefault="00333904" w:rsidP="00A318EA">
      <w:pPr>
        <w:pStyle w:val="Prrafodelista"/>
        <w:numPr>
          <w:ilvl w:val="0"/>
          <w:numId w:val="396"/>
        </w:numPr>
        <w:contextualSpacing w:val="0"/>
        <w:jc w:val="both"/>
        <w:rPr>
          <w:rFonts w:ascii="Arial" w:hAnsi="Arial" w:cs="Arial"/>
          <w:sz w:val="20"/>
          <w:szCs w:val="20"/>
        </w:rPr>
      </w:pPr>
      <w:r w:rsidRPr="00AC4AEA">
        <w:rPr>
          <w:rFonts w:ascii="Arial" w:hAnsi="Arial" w:cs="Arial"/>
          <w:sz w:val="20"/>
          <w:szCs w:val="20"/>
        </w:rPr>
        <w:t>mantendrá el valor contable del pasivo, ajustado por los costos incurridos por la entidad a causa de la refinanciación; y</w:t>
      </w:r>
    </w:p>
    <w:p w:rsidR="00333904" w:rsidRPr="00AC4AEA" w:rsidRDefault="00333904" w:rsidP="00A318EA">
      <w:pPr>
        <w:pStyle w:val="Prrafodelista"/>
        <w:numPr>
          <w:ilvl w:val="0"/>
          <w:numId w:val="396"/>
        </w:numPr>
        <w:contextualSpacing w:val="0"/>
        <w:jc w:val="both"/>
        <w:rPr>
          <w:rFonts w:ascii="Arial" w:hAnsi="Arial" w:cs="Arial"/>
          <w:sz w:val="20"/>
          <w:szCs w:val="20"/>
        </w:rPr>
      </w:pPr>
      <w:r w:rsidRPr="00AC4AEA">
        <w:rPr>
          <w:rFonts w:ascii="Arial" w:hAnsi="Arial" w:cs="Arial"/>
          <w:sz w:val="20"/>
          <w:szCs w:val="20"/>
        </w:rPr>
        <w:t>modificará la tasa de interés de forma prospectiva, sin que dé lugar al reconocimiento de ningún resultado inmediato por la refinanciación.</w:t>
      </w:r>
    </w:p>
    <w:p w:rsidR="007D7989" w:rsidRPr="00AC4AEA" w:rsidRDefault="007D7989" w:rsidP="00A318EA">
      <w:pPr>
        <w:pStyle w:val="Prrafodelista"/>
        <w:contextualSpacing w:val="0"/>
        <w:jc w:val="both"/>
        <w:rPr>
          <w:rFonts w:ascii="Arial" w:hAnsi="Arial" w:cs="Arial"/>
          <w:sz w:val="20"/>
          <w:szCs w:val="20"/>
        </w:rPr>
      </w:pPr>
    </w:p>
    <w:p w:rsidR="00916C49" w:rsidRPr="00AC4AEA" w:rsidRDefault="00916C49" w:rsidP="00A318EA">
      <w:pPr>
        <w:pStyle w:val="Ttulo2"/>
        <w:rPr>
          <w:rFonts w:cs="Arial"/>
        </w:rPr>
      </w:pPr>
      <w:bookmarkStart w:id="660" w:name="_Toc101863923"/>
      <w:bookmarkStart w:id="661" w:name="_Toc139356802"/>
      <w:r w:rsidRPr="00AC4AEA">
        <w:rPr>
          <w:rFonts w:cs="Arial"/>
        </w:rPr>
        <w:t xml:space="preserve">Presentación en los </w:t>
      </w:r>
      <w:r w:rsidR="00135084" w:rsidRPr="00AC4AEA">
        <w:rPr>
          <w:rFonts w:cs="Arial"/>
          <w:bCs/>
        </w:rPr>
        <w:t>estados contables</w:t>
      </w:r>
      <w:bookmarkEnd w:id="660"/>
      <w:bookmarkEnd w:id="661"/>
    </w:p>
    <w:p w:rsidR="00916C49" w:rsidRPr="00AC4AEA" w:rsidRDefault="00E660B2" w:rsidP="00A318EA">
      <w:pPr>
        <w:pStyle w:val="A-Normal11"/>
        <w:numPr>
          <w:ilvl w:val="0"/>
          <w:numId w:val="29"/>
        </w:numPr>
        <w:jc w:val="both"/>
        <w:rPr>
          <w:rFonts w:ascii="Arial" w:hAnsi="Arial" w:cs="Arial"/>
          <w:sz w:val="20"/>
        </w:rPr>
      </w:pPr>
      <w:r w:rsidRPr="00AC4AEA">
        <w:rPr>
          <w:rFonts w:ascii="Arial" w:hAnsi="Arial" w:cs="Arial"/>
          <w:sz w:val="20"/>
        </w:rPr>
        <w:t>En el estado de situación patrimonial, u</w:t>
      </w:r>
      <w:r w:rsidR="00916C49" w:rsidRPr="00AC4AEA">
        <w:rPr>
          <w:rFonts w:ascii="Arial" w:hAnsi="Arial" w:cs="Arial"/>
          <w:sz w:val="20"/>
        </w:rPr>
        <w:t xml:space="preserve">na entidad presentará los </w:t>
      </w:r>
      <w:r w:rsidR="00497590" w:rsidRPr="00AC4AEA">
        <w:rPr>
          <w:rFonts w:ascii="Arial" w:hAnsi="Arial" w:cs="Arial"/>
          <w:sz w:val="20"/>
        </w:rPr>
        <w:t>pasivos</w:t>
      </w:r>
      <w:r w:rsidR="00916C49" w:rsidRPr="00AC4AEA">
        <w:rPr>
          <w:rFonts w:ascii="Arial" w:hAnsi="Arial" w:cs="Arial"/>
          <w:sz w:val="20"/>
        </w:rPr>
        <w:t xml:space="preserve"> ciertos</w:t>
      </w:r>
      <w:r w:rsidR="00D65FBF" w:rsidRPr="00AC4AEA">
        <w:rPr>
          <w:rFonts w:ascii="Arial" w:hAnsi="Arial" w:cs="Arial"/>
          <w:sz w:val="20"/>
        </w:rPr>
        <w:t xml:space="preserve"> (deudas) en moneda</w:t>
      </w:r>
      <w:r w:rsidR="00916C49" w:rsidRPr="00AC4AEA">
        <w:rPr>
          <w:rFonts w:ascii="Arial" w:hAnsi="Arial" w:cs="Arial"/>
          <w:sz w:val="20"/>
        </w:rPr>
        <w:t xml:space="preserve"> separados de las previsiones y distinguiendo, según corresponda, entre </w:t>
      </w:r>
      <w:r w:rsidR="00497590" w:rsidRPr="00AC4AEA">
        <w:rPr>
          <w:rFonts w:ascii="Arial" w:hAnsi="Arial" w:cs="Arial"/>
          <w:sz w:val="20"/>
        </w:rPr>
        <w:t>pasivos</w:t>
      </w:r>
      <w:r w:rsidR="0076665E" w:rsidRPr="00AC4AEA">
        <w:rPr>
          <w:rFonts w:ascii="Arial" w:hAnsi="Arial" w:cs="Arial"/>
          <w:sz w:val="20"/>
        </w:rPr>
        <w:t xml:space="preserve"> </w:t>
      </w:r>
      <w:r w:rsidR="00916C49" w:rsidRPr="00AC4AEA">
        <w:rPr>
          <w:rFonts w:ascii="Arial" w:hAnsi="Arial" w:cs="Arial"/>
          <w:sz w:val="20"/>
        </w:rPr>
        <w:t>corrientes</w:t>
      </w:r>
      <w:r w:rsidR="00916C49" w:rsidRPr="00AC4AEA">
        <w:rPr>
          <w:rFonts w:ascii="Arial" w:hAnsi="Arial" w:cs="Arial"/>
          <w:b/>
          <w:bCs/>
          <w:sz w:val="20"/>
        </w:rPr>
        <w:t xml:space="preserve"> </w:t>
      </w:r>
      <w:r w:rsidR="00916C49" w:rsidRPr="00AC4AEA">
        <w:rPr>
          <w:rFonts w:ascii="Arial" w:hAnsi="Arial" w:cs="Arial"/>
          <w:sz w:val="20"/>
        </w:rPr>
        <w:t>y</w:t>
      </w:r>
      <w:r w:rsidR="00916C49" w:rsidRPr="00AC4AEA">
        <w:rPr>
          <w:rFonts w:ascii="Arial" w:hAnsi="Arial" w:cs="Arial"/>
          <w:b/>
          <w:bCs/>
          <w:sz w:val="20"/>
        </w:rPr>
        <w:t xml:space="preserve"> </w:t>
      </w:r>
      <w:r w:rsidR="00916C49" w:rsidRPr="00AC4AEA">
        <w:rPr>
          <w:rFonts w:ascii="Arial" w:hAnsi="Arial" w:cs="Arial"/>
          <w:sz w:val="20"/>
        </w:rPr>
        <w:t>no corrientes.</w:t>
      </w:r>
    </w:p>
    <w:p w:rsidR="00916C49" w:rsidRPr="00AC4AEA" w:rsidRDefault="00E660B2" w:rsidP="00A318EA">
      <w:pPr>
        <w:pStyle w:val="A-Normal11"/>
        <w:numPr>
          <w:ilvl w:val="0"/>
          <w:numId w:val="29"/>
        </w:numPr>
        <w:jc w:val="both"/>
        <w:rPr>
          <w:rFonts w:ascii="Arial" w:hAnsi="Arial" w:cs="Arial"/>
          <w:sz w:val="20"/>
        </w:rPr>
      </w:pPr>
      <w:r w:rsidRPr="00AC4AEA">
        <w:rPr>
          <w:rFonts w:ascii="Arial" w:hAnsi="Arial" w:cs="Arial"/>
          <w:sz w:val="20"/>
        </w:rPr>
        <w:t>En el estado de situación patrimonial, u</w:t>
      </w:r>
      <w:r w:rsidR="00916C49" w:rsidRPr="00AC4AEA">
        <w:rPr>
          <w:rFonts w:ascii="Arial" w:hAnsi="Arial" w:cs="Arial"/>
          <w:sz w:val="20"/>
        </w:rPr>
        <w:t xml:space="preserve">na entidad clasificará los </w:t>
      </w:r>
      <w:r w:rsidR="00497590" w:rsidRPr="00AC4AEA">
        <w:rPr>
          <w:rFonts w:ascii="Arial" w:hAnsi="Arial" w:cs="Arial"/>
          <w:sz w:val="20"/>
        </w:rPr>
        <w:t>pasivos</w:t>
      </w:r>
      <w:r w:rsidR="00916C49" w:rsidRPr="00AC4AEA">
        <w:rPr>
          <w:rFonts w:ascii="Arial" w:hAnsi="Arial" w:cs="Arial"/>
          <w:sz w:val="20"/>
        </w:rPr>
        <w:t xml:space="preserve"> </w:t>
      </w:r>
      <w:r w:rsidR="00D65FBF" w:rsidRPr="00AC4AEA">
        <w:rPr>
          <w:rFonts w:ascii="Arial" w:hAnsi="Arial" w:cs="Arial"/>
          <w:sz w:val="20"/>
        </w:rPr>
        <w:t>ciertos (deudas) en moneda</w:t>
      </w:r>
      <w:r w:rsidR="00916C49" w:rsidRPr="00AC4AEA">
        <w:rPr>
          <w:rFonts w:ascii="Arial" w:hAnsi="Arial" w:cs="Arial"/>
          <w:sz w:val="20"/>
        </w:rPr>
        <w:t xml:space="preserve"> en función de su </w:t>
      </w:r>
      <w:r w:rsidR="00DC1A37" w:rsidRPr="00AC4AEA">
        <w:rPr>
          <w:rFonts w:ascii="Arial" w:hAnsi="Arial" w:cs="Arial"/>
          <w:sz w:val="20"/>
        </w:rPr>
        <w:t>naturaleza</w:t>
      </w:r>
      <w:r w:rsidR="00916C49" w:rsidRPr="00AC4AEA">
        <w:rPr>
          <w:rFonts w:ascii="Arial" w:hAnsi="Arial" w:cs="Arial"/>
          <w:sz w:val="20"/>
        </w:rPr>
        <w:t xml:space="preserve">, distinguiendo </w:t>
      </w:r>
      <w:r w:rsidR="004E3F29" w:rsidRPr="00AC4AEA">
        <w:rPr>
          <w:rFonts w:ascii="Arial" w:hAnsi="Arial" w:cs="Arial"/>
          <w:sz w:val="20"/>
        </w:rPr>
        <w:t>categorías como las siguientes</w:t>
      </w:r>
      <w:r w:rsidR="00916C49" w:rsidRPr="00AC4AEA">
        <w:rPr>
          <w:rFonts w:ascii="Arial" w:hAnsi="Arial" w:cs="Arial"/>
          <w:sz w:val="20"/>
        </w:rPr>
        <w:t>:</w:t>
      </w:r>
    </w:p>
    <w:p w:rsidR="00916C49" w:rsidRPr="00AC4AEA" w:rsidRDefault="00916C49" w:rsidP="00A318EA">
      <w:pPr>
        <w:pStyle w:val="A-Normal11"/>
        <w:numPr>
          <w:ilvl w:val="0"/>
          <w:numId w:val="123"/>
        </w:numPr>
        <w:ind w:left="1560"/>
        <w:jc w:val="both"/>
        <w:rPr>
          <w:rFonts w:ascii="Arial" w:hAnsi="Arial" w:cs="Arial"/>
          <w:sz w:val="20"/>
        </w:rPr>
      </w:pPr>
      <w:r w:rsidRPr="00AC4AEA">
        <w:rPr>
          <w:rFonts w:ascii="Arial" w:hAnsi="Arial" w:cs="Arial"/>
          <w:sz w:val="20"/>
        </w:rPr>
        <w:t>Deudas con proveedores de bienes y servicios.</w:t>
      </w:r>
    </w:p>
    <w:p w:rsidR="00916C49" w:rsidRPr="00AC4AEA" w:rsidRDefault="00916C49" w:rsidP="00A318EA">
      <w:pPr>
        <w:pStyle w:val="A-Normal11"/>
        <w:numPr>
          <w:ilvl w:val="0"/>
          <w:numId w:val="123"/>
        </w:numPr>
        <w:ind w:left="1560"/>
        <w:jc w:val="both"/>
        <w:rPr>
          <w:rFonts w:ascii="Arial" w:hAnsi="Arial" w:cs="Arial"/>
          <w:sz w:val="20"/>
        </w:rPr>
      </w:pPr>
      <w:r w:rsidRPr="00AC4AEA">
        <w:rPr>
          <w:rFonts w:ascii="Arial" w:hAnsi="Arial" w:cs="Arial"/>
          <w:sz w:val="20"/>
        </w:rPr>
        <w:t xml:space="preserve">Préstamos y otras deudas originadas en </w:t>
      </w:r>
      <w:r w:rsidRPr="00AC4AEA">
        <w:rPr>
          <w:rFonts w:ascii="Arial" w:hAnsi="Arial" w:cs="Arial"/>
          <w:b/>
          <w:bCs/>
          <w:sz w:val="20"/>
        </w:rPr>
        <w:t>transacciones financieras</w:t>
      </w:r>
      <w:r w:rsidRPr="00AC4AEA">
        <w:rPr>
          <w:rFonts w:ascii="Arial" w:hAnsi="Arial" w:cs="Arial"/>
          <w:sz w:val="20"/>
        </w:rPr>
        <w:t>.</w:t>
      </w:r>
    </w:p>
    <w:p w:rsidR="00916C49" w:rsidRPr="00AC4AEA" w:rsidRDefault="00916C49" w:rsidP="00A318EA">
      <w:pPr>
        <w:pStyle w:val="A-Normal11"/>
        <w:numPr>
          <w:ilvl w:val="0"/>
          <w:numId w:val="123"/>
        </w:numPr>
        <w:ind w:left="1560"/>
        <w:jc w:val="both"/>
        <w:rPr>
          <w:rFonts w:ascii="Arial" w:hAnsi="Arial" w:cs="Arial"/>
          <w:sz w:val="20"/>
        </w:rPr>
      </w:pPr>
      <w:r w:rsidRPr="00AC4AEA">
        <w:rPr>
          <w:rFonts w:ascii="Arial" w:hAnsi="Arial" w:cs="Arial"/>
          <w:sz w:val="20"/>
        </w:rPr>
        <w:t>Deudas fiscales.</w:t>
      </w:r>
    </w:p>
    <w:p w:rsidR="00916C49" w:rsidRPr="00AC4AEA" w:rsidRDefault="00916C49" w:rsidP="00A318EA">
      <w:pPr>
        <w:pStyle w:val="A-Normal11"/>
        <w:numPr>
          <w:ilvl w:val="0"/>
          <w:numId w:val="123"/>
        </w:numPr>
        <w:ind w:left="1560"/>
        <w:jc w:val="both"/>
        <w:rPr>
          <w:rFonts w:ascii="Arial" w:hAnsi="Arial" w:cs="Arial"/>
          <w:sz w:val="20"/>
        </w:rPr>
      </w:pPr>
      <w:r w:rsidRPr="00AC4AEA">
        <w:rPr>
          <w:rFonts w:ascii="Arial" w:hAnsi="Arial" w:cs="Arial"/>
          <w:sz w:val="20"/>
        </w:rPr>
        <w:t>Deudas laborales y previsionales.</w:t>
      </w:r>
    </w:p>
    <w:p w:rsidR="00916C49" w:rsidRPr="00AC4AEA" w:rsidRDefault="00916C49" w:rsidP="00A318EA">
      <w:pPr>
        <w:pStyle w:val="A-Normal11"/>
        <w:numPr>
          <w:ilvl w:val="0"/>
          <w:numId w:val="123"/>
        </w:numPr>
        <w:ind w:left="1560"/>
        <w:jc w:val="both"/>
        <w:rPr>
          <w:rFonts w:ascii="Arial" w:hAnsi="Arial" w:cs="Arial"/>
          <w:sz w:val="20"/>
        </w:rPr>
      </w:pPr>
      <w:r w:rsidRPr="00AC4AEA">
        <w:rPr>
          <w:rFonts w:ascii="Arial" w:hAnsi="Arial" w:cs="Arial"/>
          <w:sz w:val="20"/>
        </w:rPr>
        <w:t xml:space="preserve">Deudas con </w:t>
      </w:r>
      <w:r w:rsidR="00127448" w:rsidRPr="00AC4AEA">
        <w:rPr>
          <w:rFonts w:ascii="Arial" w:hAnsi="Arial" w:cs="Arial"/>
          <w:sz w:val="20"/>
        </w:rPr>
        <w:t xml:space="preserve">propietarios u otras </w:t>
      </w:r>
      <w:r w:rsidRPr="00AC4AEA">
        <w:rPr>
          <w:rFonts w:ascii="Arial" w:hAnsi="Arial" w:cs="Arial"/>
          <w:b/>
          <w:sz w:val="20"/>
        </w:rPr>
        <w:t>partes relacionadas</w:t>
      </w:r>
      <w:r w:rsidRPr="00AC4AEA">
        <w:rPr>
          <w:rFonts w:ascii="Arial" w:hAnsi="Arial" w:cs="Arial"/>
          <w:sz w:val="20"/>
        </w:rPr>
        <w:t>.</w:t>
      </w:r>
    </w:p>
    <w:p w:rsidR="00916C49" w:rsidRPr="00AC4AEA" w:rsidRDefault="00916C49" w:rsidP="00A318EA">
      <w:pPr>
        <w:pStyle w:val="A-Normal11"/>
        <w:numPr>
          <w:ilvl w:val="0"/>
          <w:numId w:val="123"/>
        </w:numPr>
        <w:ind w:left="1560"/>
        <w:jc w:val="both"/>
        <w:rPr>
          <w:rFonts w:ascii="Arial" w:hAnsi="Arial" w:cs="Arial"/>
          <w:sz w:val="20"/>
        </w:rPr>
      </w:pPr>
      <w:r w:rsidRPr="00AC4AEA">
        <w:rPr>
          <w:rFonts w:ascii="Arial" w:hAnsi="Arial" w:cs="Arial"/>
          <w:sz w:val="20"/>
        </w:rPr>
        <w:t>Otras deudas.</w:t>
      </w:r>
    </w:p>
    <w:p w:rsidR="00916C49" w:rsidRPr="00AC4AEA" w:rsidRDefault="00916C49" w:rsidP="00A318EA">
      <w:pPr>
        <w:pStyle w:val="Prrafodelista"/>
        <w:ind w:left="360"/>
        <w:contextualSpacing w:val="0"/>
        <w:jc w:val="both"/>
        <w:rPr>
          <w:rFonts w:ascii="Arial" w:hAnsi="Arial" w:cs="Arial"/>
          <w:b/>
          <w:bCs/>
          <w:sz w:val="20"/>
          <w:szCs w:val="20"/>
        </w:rPr>
      </w:pPr>
    </w:p>
    <w:p w:rsidR="00916C49" w:rsidRPr="00AC4AEA" w:rsidRDefault="00916C49" w:rsidP="00A318EA">
      <w:pPr>
        <w:pStyle w:val="Ttulo2"/>
        <w:rPr>
          <w:rFonts w:cs="Arial"/>
        </w:rPr>
      </w:pPr>
      <w:bookmarkStart w:id="662" w:name="_Toc101863924"/>
      <w:bookmarkStart w:id="663" w:name="_Toc139356803"/>
      <w:r w:rsidRPr="00AC4AEA">
        <w:rPr>
          <w:rFonts w:cs="Arial"/>
        </w:rPr>
        <w:t>Revelación en notas</w:t>
      </w:r>
      <w:bookmarkEnd w:id="662"/>
      <w:bookmarkEnd w:id="663"/>
    </w:p>
    <w:p w:rsidR="005E08B8" w:rsidRPr="00AC4AEA" w:rsidRDefault="005E08B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en notas: </w:t>
      </w:r>
    </w:p>
    <w:p w:rsidR="005E08B8" w:rsidRPr="00AC4AEA" w:rsidRDefault="00DC6011" w:rsidP="00A318EA">
      <w:pPr>
        <w:pStyle w:val="Prrafodelista"/>
        <w:numPr>
          <w:ilvl w:val="0"/>
          <w:numId w:val="124"/>
        </w:numPr>
        <w:ind w:left="1560"/>
        <w:contextualSpacing w:val="0"/>
        <w:jc w:val="both"/>
        <w:rPr>
          <w:rFonts w:ascii="Arial" w:hAnsi="Arial" w:cs="Arial"/>
          <w:sz w:val="20"/>
          <w:szCs w:val="20"/>
        </w:rPr>
      </w:pPr>
      <w:r w:rsidRPr="00AC4AEA">
        <w:rPr>
          <w:rFonts w:ascii="Arial" w:hAnsi="Arial" w:cs="Arial"/>
          <w:sz w:val="20"/>
          <w:szCs w:val="20"/>
        </w:rPr>
        <w:t>l</w:t>
      </w:r>
      <w:r w:rsidR="005E08B8" w:rsidRPr="00AC4AEA">
        <w:rPr>
          <w:rFonts w:ascii="Arial" w:hAnsi="Arial" w:cs="Arial"/>
          <w:sz w:val="20"/>
          <w:szCs w:val="20"/>
        </w:rPr>
        <w:t xml:space="preserve">as </w:t>
      </w:r>
      <w:r w:rsidR="00135084" w:rsidRPr="00AC4AEA">
        <w:rPr>
          <w:rFonts w:ascii="Arial" w:hAnsi="Arial" w:cs="Arial"/>
          <w:b/>
          <w:bCs/>
          <w:sz w:val="20"/>
          <w:szCs w:val="20"/>
        </w:rPr>
        <w:t>políticas contables</w:t>
      </w:r>
      <w:r w:rsidR="005E08B8" w:rsidRPr="00AC4AEA">
        <w:rPr>
          <w:rFonts w:ascii="Arial" w:hAnsi="Arial" w:cs="Arial"/>
          <w:sz w:val="20"/>
          <w:szCs w:val="20"/>
        </w:rPr>
        <w:t xml:space="preserve"> </w:t>
      </w:r>
      <w:r w:rsidR="005420EA" w:rsidRPr="00AC4AEA">
        <w:rPr>
          <w:rFonts w:ascii="Arial" w:hAnsi="Arial" w:cs="Arial"/>
          <w:sz w:val="20"/>
          <w:szCs w:val="20"/>
        </w:rPr>
        <w:t xml:space="preserve">empleadas </w:t>
      </w:r>
      <w:r w:rsidR="005E08B8" w:rsidRPr="00AC4AEA">
        <w:rPr>
          <w:rFonts w:ascii="Arial" w:hAnsi="Arial" w:cs="Arial"/>
          <w:sz w:val="20"/>
          <w:szCs w:val="20"/>
        </w:rPr>
        <w:t xml:space="preserve">y los criterios de medición aplicados para cada clase de </w:t>
      </w:r>
      <w:r w:rsidR="005E08B8" w:rsidRPr="0092294B">
        <w:rPr>
          <w:rFonts w:ascii="Arial" w:hAnsi="Arial" w:cs="Arial"/>
          <w:b/>
          <w:bCs/>
          <w:sz w:val="20"/>
          <w:szCs w:val="20"/>
        </w:rPr>
        <w:t>pasivo</w:t>
      </w:r>
      <w:r w:rsidR="005E08B8" w:rsidRPr="00AC4AEA">
        <w:rPr>
          <w:rFonts w:ascii="Arial" w:hAnsi="Arial" w:cs="Arial"/>
          <w:sz w:val="20"/>
          <w:szCs w:val="20"/>
        </w:rPr>
        <w:t>;</w:t>
      </w:r>
      <w:r w:rsidRPr="00AC4AEA">
        <w:rPr>
          <w:rFonts w:ascii="Arial" w:hAnsi="Arial" w:cs="Arial"/>
          <w:sz w:val="20"/>
          <w:szCs w:val="20"/>
        </w:rPr>
        <w:t xml:space="preserve"> y</w:t>
      </w:r>
    </w:p>
    <w:p w:rsidR="00BF4A7C" w:rsidRPr="00AC4AEA" w:rsidRDefault="00DC6011" w:rsidP="00A318EA">
      <w:pPr>
        <w:pStyle w:val="Prrafodelista"/>
        <w:numPr>
          <w:ilvl w:val="0"/>
          <w:numId w:val="124"/>
        </w:numPr>
        <w:ind w:left="1560"/>
        <w:contextualSpacing w:val="0"/>
        <w:jc w:val="both"/>
        <w:rPr>
          <w:rFonts w:ascii="Arial" w:hAnsi="Arial" w:cs="Arial"/>
          <w:sz w:val="20"/>
          <w:szCs w:val="20"/>
        </w:rPr>
      </w:pPr>
      <w:r w:rsidRPr="00AC4AEA">
        <w:rPr>
          <w:rFonts w:ascii="Arial" w:hAnsi="Arial" w:cs="Arial"/>
          <w:sz w:val="20"/>
          <w:szCs w:val="20"/>
        </w:rPr>
        <w:t>l</w:t>
      </w:r>
      <w:r w:rsidR="005E08B8" w:rsidRPr="00AC4AEA">
        <w:rPr>
          <w:rFonts w:ascii="Arial" w:hAnsi="Arial" w:cs="Arial"/>
          <w:sz w:val="20"/>
          <w:szCs w:val="20"/>
        </w:rPr>
        <w:t>as bases y métodos utilizados y los supuestos considerados en las mediciones.</w:t>
      </w:r>
    </w:p>
    <w:p w:rsidR="00916C49" w:rsidRPr="00AC4AEA" w:rsidRDefault="00916C4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 xml:space="preserve">Una entidad revelará información sobre la composición de los </w:t>
      </w:r>
      <w:r w:rsidR="00497590" w:rsidRPr="00AC4AEA">
        <w:rPr>
          <w:rFonts w:ascii="Arial" w:hAnsi="Arial" w:cs="Arial"/>
          <w:sz w:val="20"/>
          <w:szCs w:val="20"/>
        </w:rPr>
        <w:t>pasivos</w:t>
      </w:r>
      <w:r w:rsidR="00720312" w:rsidRPr="00AC4AEA">
        <w:rPr>
          <w:rFonts w:ascii="Arial" w:hAnsi="Arial" w:cs="Arial"/>
          <w:sz w:val="20"/>
          <w:szCs w:val="20"/>
        </w:rPr>
        <w:t xml:space="preserve"> </w:t>
      </w:r>
      <w:r w:rsidR="00156652" w:rsidRPr="00AC4AEA">
        <w:rPr>
          <w:rFonts w:ascii="Arial" w:hAnsi="Arial" w:cs="Arial"/>
          <w:sz w:val="20"/>
          <w:szCs w:val="20"/>
        </w:rPr>
        <w:t>ciertos (deudas) en moneda</w:t>
      </w:r>
      <w:r w:rsidRPr="00AC4AEA">
        <w:rPr>
          <w:rFonts w:ascii="Arial" w:hAnsi="Arial" w:cs="Arial"/>
          <w:sz w:val="20"/>
          <w:szCs w:val="20"/>
        </w:rPr>
        <w:t xml:space="preserve"> que permita evaluar el importe, calendario e incertidumbre de los flujos de efectivo futuros, </w:t>
      </w:r>
      <w:r w:rsidR="00720312" w:rsidRPr="00AC4AEA">
        <w:rPr>
          <w:rFonts w:ascii="Arial" w:hAnsi="Arial" w:cs="Arial"/>
          <w:sz w:val="20"/>
          <w:szCs w:val="20"/>
        </w:rPr>
        <w:t>incluyendo</w:t>
      </w:r>
      <w:r w:rsidRPr="00AC4AEA">
        <w:rPr>
          <w:rFonts w:ascii="Arial" w:hAnsi="Arial" w:cs="Arial"/>
          <w:sz w:val="20"/>
          <w:szCs w:val="20"/>
        </w:rPr>
        <w:t>:</w:t>
      </w:r>
    </w:p>
    <w:p w:rsidR="00916C49" w:rsidRPr="00AC4AEA" w:rsidRDefault="00DC6011" w:rsidP="00A318EA">
      <w:pPr>
        <w:pStyle w:val="Prrafodelista"/>
        <w:numPr>
          <w:ilvl w:val="0"/>
          <w:numId w:val="125"/>
        </w:numPr>
        <w:ind w:left="1560"/>
        <w:contextualSpacing w:val="0"/>
        <w:jc w:val="both"/>
        <w:rPr>
          <w:rFonts w:ascii="Arial" w:hAnsi="Arial" w:cs="Arial"/>
          <w:sz w:val="20"/>
          <w:szCs w:val="20"/>
        </w:rPr>
      </w:pPr>
      <w:r w:rsidRPr="00AC4AEA">
        <w:rPr>
          <w:rFonts w:ascii="Arial" w:hAnsi="Arial" w:cs="Arial"/>
          <w:sz w:val="20"/>
          <w:szCs w:val="20"/>
        </w:rPr>
        <w:t>s</w:t>
      </w:r>
      <w:r w:rsidR="00916C49" w:rsidRPr="00AC4AEA">
        <w:rPr>
          <w:rFonts w:ascii="Arial" w:hAnsi="Arial" w:cs="Arial"/>
          <w:sz w:val="20"/>
          <w:szCs w:val="20"/>
        </w:rPr>
        <w:t>u naturaleza e instrumentación jurídica;</w:t>
      </w:r>
    </w:p>
    <w:p w:rsidR="00916C49" w:rsidRPr="00AC4AEA" w:rsidRDefault="00DC6011" w:rsidP="00A318EA">
      <w:pPr>
        <w:pStyle w:val="Prrafodelista"/>
        <w:numPr>
          <w:ilvl w:val="0"/>
          <w:numId w:val="125"/>
        </w:numPr>
        <w:ind w:left="1560"/>
        <w:contextualSpacing w:val="0"/>
        <w:jc w:val="both"/>
        <w:rPr>
          <w:rFonts w:ascii="Arial" w:hAnsi="Arial" w:cs="Arial"/>
          <w:sz w:val="20"/>
          <w:szCs w:val="20"/>
        </w:rPr>
      </w:pPr>
      <w:r w:rsidRPr="00AC4AEA">
        <w:rPr>
          <w:rFonts w:ascii="Arial" w:hAnsi="Arial" w:cs="Arial"/>
          <w:sz w:val="20"/>
          <w:szCs w:val="20"/>
        </w:rPr>
        <w:t>l</w:t>
      </w:r>
      <w:r w:rsidR="00916C49" w:rsidRPr="00AC4AEA">
        <w:rPr>
          <w:rFonts w:ascii="Arial" w:hAnsi="Arial" w:cs="Arial"/>
          <w:sz w:val="20"/>
          <w:szCs w:val="20"/>
        </w:rPr>
        <w:t>os importes de l</w:t>
      </w:r>
      <w:r w:rsidR="004020B3" w:rsidRPr="00AC4AEA">
        <w:rPr>
          <w:rFonts w:ascii="Arial" w:hAnsi="Arial" w:cs="Arial"/>
          <w:sz w:val="20"/>
          <w:szCs w:val="20"/>
        </w:rPr>
        <w:t>o</w:t>
      </w:r>
      <w:r w:rsidR="00916C49" w:rsidRPr="00AC4AEA">
        <w:rPr>
          <w:rFonts w:ascii="Arial" w:hAnsi="Arial" w:cs="Arial"/>
          <w:sz w:val="20"/>
          <w:szCs w:val="20"/>
        </w:rPr>
        <w:t xml:space="preserve">s </w:t>
      </w:r>
      <w:r w:rsidR="00497590" w:rsidRPr="00AC4AEA">
        <w:rPr>
          <w:rFonts w:ascii="Arial" w:hAnsi="Arial" w:cs="Arial"/>
          <w:sz w:val="20"/>
          <w:szCs w:val="20"/>
        </w:rPr>
        <w:t>pasivos</w:t>
      </w:r>
      <w:r w:rsidR="00916C49" w:rsidRPr="00AC4AEA">
        <w:rPr>
          <w:rFonts w:ascii="Arial" w:hAnsi="Arial" w:cs="Arial"/>
          <w:sz w:val="20"/>
          <w:szCs w:val="20"/>
        </w:rPr>
        <w:t xml:space="preserve"> </w:t>
      </w:r>
      <w:r w:rsidR="00156652" w:rsidRPr="00AC4AEA">
        <w:rPr>
          <w:rFonts w:ascii="Arial" w:hAnsi="Arial" w:cs="Arial"/>
          <w:sz w:val="20"/>
          <w:szCs w:val="20"/>
        </w:rPr>
        <w:t>ciertos (deudas) en moneda</w:t>
      </w:r>
      <w:r w:rsidR="00916C49" w:rsidRPr="00AC4AEA">
        <w:rPr>
          <w:rFonts w:ascii="Arial" w:hAnsi="Arial" w:cs="Arial"/>
          <w:sz w:val="20"/>
          <w:szCs w:val="20"/>
        </w:rPr>
        <w:t xml:space="preserve"> extranjera, si l</w:t>
      </w:r>
      <w:r w:rsidR="00720312" w:rsidRPr="00AC4AEA">
        <w:rPr>
          <w:rFonts w:ascii="Arial" w:hAnsi="Arial" w:cs="Arial"/>
          <w:sz w:val="20"/>
          <w:szCs w:val="20"/>
        </w:rPr>
        <w:t>o</w:t>
      </w:r>
      <w:r w:rsidR="00916C49" w:rsidRPr="00AC4AEA">
        <w:rPr>
          <w:rFonts w:ascii="Arial" w:hAnsi="Arial" w:cs="Arial"/>
          <w:sz w:val="20"/>
          <w:szCs w:val="20"/>
        </w:rPr>
        <w:t>s hubiere, y los tipos de cambio vigentes a la fecha de cierre;</w:t>
      </w:r>
    </w:p>
    <w:p w:rsidR="00916C49" w:rsidRPr="00AC4AEA" w:rsidRDefault="001F6527" w:rsidP="00A318EA">
      <w:pPr>
        <w:pStyle w:val="Prrafodelista"/>
        <w:numPr>
          <w:ilvl w:val="0"/>
          <w:numId w:val="125"/>
        </w:numPr>
        <w:ind w:left="1560"/>
        <w:contextualSpacing w:val="0"/>
        <w:jc w:val="both"/>
        <w:rPr>
          <w:rFonts w:ascii="Arial" w:hAnsi="Arial" w:cs="Arial"/>
          <w:sz w:val="20"/>
          <w:szCs w:val="20"/>
        </w:rPr>
      </w:pPr>
      <w:r w:rsidRPr="00AC4AEA">
        <w:rPr>
          <w:rFonts w:ascii="Arial" w:hAnsi="Arial" w:cs="Arial"/>
          <w:sz w:val="20"/>
          <w:szCs w:val="20"/>
        </w:rPr>
        <w:t>los importes</w:t>
      </w:r>
      <w:r w:rsidR="00403863" w:rsidRPr="00AC4AEA">
        <w:rPr>
          <w:rFonts w:ascii="Arial" w:hAnsi="Arial" w:cs="Arial"/>
          <w:sz w:val="20"/>
          <w:szCs w:val="20"/>
        </w:rPr>
        <w:t>,</w:t>
      </w:r>
      <w:r w:rsidRPr="00AC4AEA">
        <w:rPr>
          <w:rFonts w:ascii="Arial" w:hAnsi="Arial" w:cs="Arial"/>
          <w:sz w:val="20"/>
          <w:szCs w:val="20"/>
        </w:rPr>
        <w:t xml:space="preserve"> </w:t>
      </w:r>
      <w:r w:rsidR="00916C49" w:rsidRPr="00AC4AEA">
        <w:rPr>
          <w:rFonts w:ascii="Arial" w:hAnsi="Arial" w:cs="Arial"/>
          <w:sz w:val="20"/>
          <w:szCs w:val="20"/>
        </w:rPr>
        <w:t>en función de los plazos de vencimiento de las cuotas pactadas, distinguiendo entre:</w:t>
      </w:r>
    </w:p>
    <w:p w:rsidR="00916C49" w:rsidRPr="00AC4AEA" w:rsidRDefault="00DC6011" w:rsidP="00A318EA">
      <w:pPr>
        <w:pStyle w:val="Prrafodelista"/>
        <w:numPr>
          <w:ilvl w:val="0"/>
          <w:numId w:val="126"/>
        </w:numPr>
        <w:ind w:left="1985"/>
        <w:contextualSpacing w:val="0"/>
        <w:jc w:val="both"/>
        <w:rPr>
          <w:rFonts w:ascii="Arial" w:hAnsi="Arial" w:cs="Arial"/>
          <w:sz w:val="20"/>
          <w:szCs w:val="20"/>
        </w:rPr>
      </w:pPr>
      <w:r w:rsidRPr="00AC4AEA">
        <w:rPr>
          <w:rFonts w:ascii="Arial" w:hAnsi="Arial" w:cs="Arial"/>
          <w:sz w:val="20"/>
          <w:szCs w:val="20"/>
        </w:rPr>
        <w:t>p</w:t>
      </w:r>
      <w:r w:rsidR="00916C49" w:rsidRPr="00AC4AEA">
        <w:rPr>
          <w:rFonts w:ascii="Arial" w:hAnsi="Arial" w:cs="Arial"/>
          <w:sz w:val="20"/>
          <w:szCs w:val="20"/>
        </w:rPr>
        <w:t>lazo vencido</w:t>
      </w:r>
      <w:r w:rsidRPr="00AC4AEA">
        <w:rPr>
          <w:rFonts w:ascii="Arial" w:hAnsi="Arial" w:cs="Arial"/>
          <w:sz w:val="20"/>
          <w:szCs w:val="20"/>
        </w:rPr>
        <w:t>;</w:t>
      </w:r>
    </w:p>
    <w:p w:rsidR="00916C49" w:rsidRPr="00AC4AEA" w:rsidRDefault="00DC6011" w:rsidP="00A318EA">
      <w:pPr>
        <w:pStyle w:val="Prrafodelista"/>
        <w:numPr>
          <w:ilvl w:val="0"/>
          <w:numId w:val="126"/>
        </w:numPr>
        <w:ind w:left="1985"/>
        <w:contextualSpacing w:val="0"/>
        <w:jc w:val="both"/>
        <w:rPr>
          <w:rFonts w:ascii="Arial" w:hAnsi="Arial" w:cs="Arial"/>
          <w:sz w:val="20"/>
          <w:szCs w:val="20"/>
        </w:rPr>
      </w:pPr>
      <w:r w:rsidRPr="00AC4AEA">
        <w:rPr>
          <w:rFonts w:ascii="Arial" w:hAnsi="Arial" w:cs="Arial"/>
          <w:sz w:val="20"/>
          <w:szCs w:val="20"/>
        </w:rPr>
        <w:t>s</w:t>
      </w:r>
      <w:r w:rsidR="00916C49" w:rsidRPr="00AC4AEA">
        <w:rPr>
          <w:rFonts w:ascii="Arial" w:hAnsi="Arial" w:cs="Arial"/>
          <w:sz w:val="20"/>
          <w:szCs w:val="20"/>
        </w:rPr>
        <w:t>in plazo establecido;</w:t>
      </w:r>
    </w:p>
    <w:p w:rsidR="00916C49" w:rsidRPr="00AC4AEA" w:rsidRDefault="00DC6011" w:rsidP="00A318EA">
      <w:pPr>
        <w:pStyle w:val="Prrafodelista"/>
        <w:numPr>
          <w:ilvl w:val="0"/>
          <w:numId w:val="126"/>
        </w:numPr>
        <w:ind w:left="1985"/>
        <w:contextualSpacing w:val="0"/>
        <w:jc w:val="both"/>
        <w:rPr>
          <w:rFonts w:ascii="Arial" w:hAnsi="Arial" w:cs="Arial"/>
          <w:sz w:val="20"/>
          <w:szCs w:val="20"/>
        </w:rPr>
      </w:pPr>
      <w:r w:rsidRPr="00AC4AEA">
        <w:rPr>
          <w:rFonts w:ascii="Arial" w:hAnsi="Arial" w:cs="Arial"/>
          <w:sz w:val="20"/>
          <w:szCs w:val="20"/>
        </w:rPr>
        <w:t>c</w:t>
      </w:r>
      <w:r w:rsidR="00916C49" w:rsidRPr="00AC4AEA">
        <w:rPr>
          <w:rFonts w:ascii="Arial" w:hAnsi="Arial" w:cs="Arial"/>
          <w:sz w:val="20"/>
          <w:szCs w:val="20"/>
        </w:rPr>
        <w:t>on vencimiento en cada uno de los trimestre</w:t>
      </w:r>
      <w:r w:rsidR="004020B3" w:rsidRPr="00AC4AEA">
        <w:rPr>
          <w:rFonts w:ascii="Arial" w:hAnsi="Arial" w:cs="Arial"/>
          <w:sz w:val="20"/>
          <w:szCs w:val="20"/>
        </w:rPr>
        <w:t>s</w:t>
      </w:r>
      <w:r w:rsidR="00916C49" w:rsidRPr="00AC4AEA">
        <w:rPr>
          <w:rFonts w:ascii="Arial" w:hAnsi="Arial" w:cs="Arial"/>
          <w:sz w:val="20"/>
          <w:szCs w:val="20"/>
        </w:rPr>
        <w:t xml:space="preserve"> del </w:t>
      </w:r>
      <w:r w:rsidR="009B7B74" w:rsidRPr="00AC4AEA">
        <w:rPr>
          <w:rFonts w:ascii="Arial" w:hAnsi="Arial" w:cs="Arial"/>
          <w:sz w:val="20"/>
          <w:szCs w:val="20"/>
        </w:rPr>
        <w:t>período</w:t>
      </w:r>
      <w:r w:rsidR="00916C49" w:rsidRPr="00AC4AEA">
        <w:rPr>
          <w:rFonts w:ascii="Arial" w:hAnsi="Arial" w:cs="Arial"/>
          <w:sz w:val="20"/>
          <w:szCs w:val="20"/>
        </w:rPr>
        <w:t xml:space="preserve"> subsiguiente;</w:t>
      </w:r>
      <w:r w:rsidRPr="00AC4AEA">
        <w:rPr>
          <w:rFonts w:ascii="Arial" w:hAnsi="Arial" w:cs="Arial"/>
          <w:sz w:val="20"/>
          <w:szCs w:val="20"/>
        </w:rPr>
        <w:t xml:space="preserve"> y</w:t>
      </w:r>
    </w:p>
    <w:p w:rsidR="00916C49" w:rsidRPr="00AC4AEA" w:rsidRDefault="00DC6011" w:rsidP="00A318EA">
      <w:pPr>
        <w:pStyle w:val="Prrafodelista"/>
        <w:numPr>
          <w:ilvl w:val="0"/>
          <w:numId w:val="126"/>
        </w:numPr>
        <w:ind w:left="1985"/>
        <w:contextualSpacing w:val="0"/>
        <w:jc w:val="both"/>
        <w:rPr>
          <w:rFonts w:ascii="Arial" w:hAnsi="Arial" w:cs="Arial"/>
          <w:sz w:val="20"/>
          <w:szCs w:val="20"/>
        </w:rPr>
      </w:pPr>
      <w:r w:rsidRPr="00AC4AEA">
        <w:rPr>
          <w:rFonts w:ascii="Arial" w:hAnsi="Arial" w:cs="Arial"/>
          <w:sz w:val="20"/>
          <w:szCs w:val="20"/>
        </w:rPr>
        <w:t>c</w:t>
      </w:r>
      <w:r w:rsidR="00916C49" w:rsidRPr="00AC4AEA">
        <w:rPr>
          <w:rFonts w:ascii="Arial" w:hAnsi="Arial" w:cs="Arial"/>
          <w:sz w:val="20"/>
          <w:szCs w:val="20"/>
        </w:rPr>
        <w:t>on vencimiento en cada uno de los ejercicios posteriores al subsiguiente.</w:t>
      </w:r>
    </w:p>
    <w:p w:rsidR="00916C49" w:rsidRPr="00AC4AEA" w:rsidRDefault="00DC6011" w:rsidP="00A318EA">
      <w:pPr>
        <w:pStyle w:val="Prrafodelista"/>
        <w:numPr>
          <w:ilvl w:val="0"/>
          <w:numId w:val="125"/>
        </w:numPr>
        <w:ind w:left="1560"/>
        <w:contextualSpacing w:val="0"/>
        <w:jc w:val="both"/>
        <w:rPr>
          <w:rFonts w:ascii="Arial" w:hAnsi="Arial" w:cs="Arial"/>
          <w:sz w:val="20"/>
          <w:szCs w:val="20"/>
        </w:rPr>
      </w:pPr>
      <w:r w:rsidRPr="00AC4AEA">
        <w:rPr>
          <w:rFonts w:ascii="Arial" w:hAnsi="Arial" w:cs="Arial"/>
          <w:sz w:val="20"/>
          <w:szCs w:val="20"/>
        </w:rPr>
        <w:t>l</w:t>
      </w:r>
      <w:r w:rsidR="00916C49" w:rsidRPr="00AC4AEA">
        <w:rPr>
          <w:rFonts w:ascii="Arial" w:hAnsi="Arial" w:cs="Arial"/>
          <w:sz w:val="20"/>
          <w:szCs w:val="20"/>
        </w:rPr>
        <w:t xml:space="preserve">as tasas de interés, explícitas o implícitas, por categoría de </w:t>
      </w:r>
      <w:r w:rsidR="00720312" w:rsidRPr="00AC4AEA">
        <w:rPr>
          <w:rFonts w:ascii="Arial" w:hAnsi="Arial" w:cs="Arial"/>
          <w:b/>
          <w:bCs/>
          <w:sz w:val="20"/>
          <w:szCs w:val="20"/>
        </w:rPr>
        <w:t>pasivo</w:t>
      </w:r>
      <w:r w:rsidR="00916C49" w:rsidRPr="00AC4AEA">
        <w:rPr>
          <w:rFonts w:ascii="Arial" w:hAnsi="Arial" w:cs="Arial"/>
          <w:b/>
          <w:bCs/>
          <w:sz w:val="20"/>
          <w:szCs w:val="20"/>
        </w:rPr>
        <w:t xml:space="preserve"> </w:t>
      </w:r>
      <w:r w:rsidR="00916C49" w:rsidRPr="00AC4AEA">
        <w:rPr>
          <w:rFonts w:ascii="Arial" w:hAnsi="Arial" w:cs="Arial"/>
          <w:sz w:val="20"/>
          <w:szCs w:val="20"/>
        </w:rPr>
        <w:t>(</w:t>
      </w:r>
      <w:r w:rsidR="00EC1893" w:rsidRPr="00AC4AEA">
        <w:rPr>
          <w:rFonts w:ascii="Arial" w:hAnsi="Arial" w:cs="Arial"/>
          <w:sz w:val="20"/>
          <w:szCs w:val="20"/>
        </w:rPr>
        <w:t>pudiendo</w:t>
      </w:r>
      <w:r w:rsidR="00916C49" w:rsidRPr="00AC4AEA">
        <w:rPr>
          <w:rFonts w:ascii="Arial" w:hAnsi="Arial" w:cs="Arial"/>
          <w:sz w:val="20"/>
          <w:szCs w:val="20"/>
        </w:rPr>
        <w:t xml:space="preserve"> informar el promedio por categoría en el caso de existir más de una tasa);</w:t>
      </w:r>
    </w:p>
    <w:p w:rsidR="00916C49" w:rsidRPr="00AC4AEA" w:rsidRDefault="00DC6011" w:rsidP="00A318EA">
      <w:pPr>
        <w:pStyle w:val="Prrafodelista"/>
        <w:numPr>
          <w:ilvl w:val="0"/>
          <w:numId w:val="125"/>
        </w:numPr>
        <w:ind w:left="1560"/>
        <w:contextualSpacing w:val="0"/>
        <w:jc w:val="both"/>
        <w:rPr>
          <w:rFonts w:ascii="Arial" w:hAnsi="Arial" w:cs="Arial"/>
          <w:sz w:val="20"/>
          <w:szCs w:val="20"/>
        </w:rPr>
      </w:pPr>
      <w:r w:rsidRPr="00AC4AEA">
        <w:rPr>
          <w:rFonts w:ascii="Arial" w:hAnsi="Arial" w:cs="Arial"/>
          <w:sz w:val="20"/>
          <w:szCs w:val="20"/>
        </w:rPr>
        <w:t>l</w:t>
      </w:r>
      <w:r w:rsidR="00916C49" w:rsidRPr="00AC4AEA">
        <w:rPr>
          <w:rFonts w:ascii="Arial" w:hAnsi="Arial" w:cs="Arial"/>
          <w:sz w:val="20"/>
          <w:szCs w:val="20"/>
        </w:rPr>
        <w:t>as pautas de actualización, si las hubiere;</w:t>
      </w:r>
    </w:p>
    <w:p w:rsidR="00916C49" w:rsidRPr="00AC4AEA" w:rsidRDefault="00DC6011" w:rsidP="00A318EA">
      <w:pPr>
        <w:pStyle w:val="Prrafodelista"/>
        <w:numPr>
          <w:ilvl w:val="0"/>
          <w:numId w:val="125"/>
        </w:numPr>
        <w:ind w:left="1560"/>
        <w:contextualSpacing w:val="0"/>
        <w:jc w:val="both"/>
        <w:rPr>
          <w:rFonts w:ascii="Arial" w:hAnsi="Arial" w:cs="Arial"/>
          <w:sz w:val="20"/>
          <w:szCs w:val="20"/>
        </w:rPr>
      </w:pPr>
      <w:r w:rsidRPr="00AC4AEA">
        <w:rPr>
          <w:rFonts w:ascii="Arial" w:hAnsi="Arial" w:cs="Arial"/>
          <w:sz w:val="20"/>
          <w:szCs w:val="20"/>
        </w:rPr>
        <w:t>l</w:t>
      </w:r>
      <w:r w:rsidR="00916C49" w:rsidRPr="00AC4AEA">
        <w:rPr>
          <w:rFonts w:ascii="Arial" w:hAnsi="Arial" w:cs="Arial"/>
          <w:sz w:val="20"/>
          <w:szCs w:val="20"/>
        </w:rPr>
        <w:t>os saldos con garantías</w:t>
      </w:r>
      <w:r w:rsidRPr="00AC4AEA">
        <w:rPr>
          <w:rFonts w:ascii="Arial" w:hAnsi="Arial" w:cs="Arial"/>
          <w:sz w:val="20"/>
          <w:szCs w:val="20"/>
        </w:rPr>
        <w:t>;</w:t>
      </w:r>
      <w:r w:rsidR="00EA4A21" w:rsidRPr="00AC4AEA">
        <w:rPr>
          <w:rFonts w:ascii="Arial" w:hAnsi="Arial" w:cs="Arial"/>
          <w:sz w:val="20"/>
          <w:szCs w:val="20"/>
        </w:rPr>
        <w:t xml:space="preserve"> y</w:t>
      </w:r>
    </w:p>
    <w:p w:rsidR="00916C49" w:rsidRPr="00AC4AEA" w:rsidRDefault="00DC6011" w:rsidP="00A318EA">
      <w:pPr>
        <w:pStyle w:val="Prrafodelista"/>
        <w:numPr>
          <w:ilvl w:val="0"/>
          <w:numId w:val="125"/>
        </w:numPr>
        <w:ind w:left="1560"/>
        <w:contextualSpacing w:val="0"/>
        <w:jc w:val="both"/>
        <w:rPr>
          <w:rFonts w:ascii="Arial" w:hAnsi="Arial" w:cs="Arial"/>
          <w:sz w:val="20"/>
          <w:szCs w:val="20"/>
        </w:rPr>
      </w:pPr>
      <w:r w:rsidRPr="00AC4AEA">
        <w:rPr>
          <w:rFonts w:ascii="Arial" w:hAnsi="Arial" w:cs="Arial"/>
          <w:sz w:val="20"/>
          <w:szCs w:val="20"/>
        </w:rPr>
        <w:t>l</w:t>
      </w:r>
      <w:r w:rsidR="00916C49" w:rsidRPr="00AC4AEA">
        <w:rPr>
          <w:rFonts w:ascii="Arial" w:hAnsi="Arial" w:cs="Arial"/>
          <w:sz w:val="20"/>
          <w:szCs w:val="20"/>
        </w:rPr>
        <w:t>os saldos con entidades sobre las cuales ejerce (o que ejercen sobre la entidad) control, control conjunto o influencia significativa.</w:t>
      </w:r>
    </w:p>
    <w:p w:rsidR="00270042" w:rsidRPr="00AC4AEA" w:rsidRDefault="0027004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pequeña </w:t>
      </w:r>
      <w:r w:rsidR="005420EA" w:rsidRPr="00AC4AEA">
        <w:rPr>
          <w:rFonts w:ascii="Arial" w:hAnsi="Arial" w:cs="Arial"/>
          <w:sz w:val="20"/>
          <w:szCs w:val="20"/>
        </w:rPr>
        <w:t xml:space="preserve">o una entidad mediana </w:t>
      </w:r>
      <w:r w:rsidRPr="00AC4AEA">
        <w:rPr>
          <w:rFonts w:ascii="Arial" w:hAnsi="Arial" w:cs="Arial"/>
          <w:sz w:val="20"/>
          <w:szCs w:val="20"/>
        </w:rPr>
        <w:t xml:space="preserve">podrá no revelar la información requerida por </w:t>
      </w:r>
      <w:r w:rsidR="005420EA" w:rsidRPr="00AC4AEA">
        <w:rPr>
          <w:rFonts w:ascii="Arial" w:hAnsi="Arial" w:cs="Arial"/>
          <w:sz w:val="20"/>
          <w:szCs w:val="20"/>
        </w:rPr>
        <w:t xml:space="preserve">el </w:t>
      </w:r>
      <w:r w:rsidRPr="00AC4AEA">
        <w:rPr>
          <w:rFonts w:ascii="Arial" w:hAnsi="Arial" w:cs="Arial"/>
          <w:sz w:val="20"/>
          <w:szCs w:val="20"/>
        </w:rPr>
        <w:t xml:space="preserve">inciso c) </w:t>
      </w:r>
      <w:r w:rsidR="006056E5" w:rsidRPr="00AC4AEA">
        <w:rPr>
          <w:rFonts w:ascii="Arial" w:hAnsi="Arial" w:cs="Arial"/>
          <w:sz w:val="20"/>
          <w:szCs w:val="20"/>
        </w:rPr>
        <w:t xml:space="preserve">y d) </w:t>
      </w:r>
      <w:r w:rsidRPr="00AC4AEA">
        <w:rPr>
          <w:rFonts w:ascii="Arial" w:hAnsi="Arial" w:cs="Arial"/>
          <w:sz w:val="20"/>
          <w:szCs w:val="20"/>
        </w:rPr>
        <w:t>del párrafo anterior.</w:t>
      </w:r>
    </w:p>
    <w:p w:rsidR="0090400F" w:rsidRPr="00AC4AEA" w:rsidRDefault="0090400F" w:rsidP="00A318EA">
      <w:pPr>
        <w:jc w:val="both"/>
        <w:rPr>
          <w:rFonts w:ascii="Arial" w:hAnsi="Arial" w:cs="Arial"/>
          <w:b/>
          <w:bCs/>
          <w:sz w:val="20"/>
          <w:szCs w:val="20"/>
        </w:rPr>
      </w:pPr>
    </w:p>
    <w:p w:rsidR="00371DFB" w:rsidRPr="00AC4AEA" w:rsidRDefault="00371DFB" w:rsidP="00A318EA">
      <w:pPr>
        <w:pStyle w:val="Ttulo2"/>
        <w:rPr>
          <w:rFonts w:cs="Arial"/>
        </w:rPr>
      </w:pPr>
      <w:bookmarkStart w:id="664" w:name="_Toc101863925"/>
      <w:bookmarkStart w:id="665" w:name="_Toc139356804"/>
      <w:r w:rsidRPr="00AC4AEA">
        <w:rPr>
          <w:rFonts w:cs="Arial"/>
        </w:rPr>
        <w:t>Otras normas aplicables</w:t>
      </w:r>
      <w:bookmarkEnd w:id="664"/>
      <w:bookmarkEnd w:id="665"/>
    </w:p>
    <w:p w:rsidR="000B73D6" w:rsidRPr="00AC4AEA" w:rsidRDefault="00371DFB" w:rsidP="00A318EA">
      <w:pPr>
        <w:pStyle w:val="Prrafodelista"/>
        <w:numPr>
          <w:ilvl w:val="0"/>
          <w:numId w:val="29"/>
        </w:numPr>
        <w:contextualSpacing w:val="0"/>
        <w:jc w:val="both"/>
        <w:rPr>
          <w:rFonts w:ascii="Arial" w:hAnsi="Arial" w:cs="Arial"/>
          <w:sz w:val="20"/>
          <w:szCs w:val="20"/>
        </w:rPr>
      </w:pPr>
      <w:bookmarkStart w:id="666" w:name="_Ref105076082"/>
      <w:r w:rsidRPr="00AC4AEA">
        <w:rPr>
          <w:rFonts w:ascii="Arial" w:hAnsi="Arial" w:cs="Arial"/>
          <w:sz w:val="20"/>
          <w:szCs w:val="20"/>
        </w:rPr>
        <w:t xml:space="preserve">Para el tratamiento contable de los componentes de </w:t>
      </w:r>
      <w:r w:rsidR="00497590" w:rsidRPr="00AC4AEA">
        <w:rPr>
          <w:rFonts w:ascii="Arial" w:hAnsi="Arial" w:cs="Arial"/>
          <w:sz w:val="20"/>
          <w:szCs w:val="20"/>
        </w:rPr>
        <w:t>pasivos</w:t>
      </w:r>
      <w:r w:rsidRPr="00AC4AEA">
        <w:rPr>
          <w:rFonts w:ascii="Arial" w:hAnsi="Arial" w:cs="Arial"/>
          <w:sz w:val="20"/>
          <w:szCs w:val="20"/>
        </w:rPr>
        <w:t xml:space="preserve"> ciertos</w:t>
      </w:r>
      <w:r w:rsidR="005420EA" w:rsidRPr="00AC4AEA">
        <w:rPr>
          <w:rFonts w:ascii="Arial" w:hAnsi="Arial" w:cs="Arial"/>
          <w:sz w:val="20"/>
          <w:szCs w:val="20"/>
        </w:rPr>
        <w:t xml:space="preserve"> (deudas) en moneda,</w:t>
      </w:r>
      <w:r w:rsidRPr="00AC4AEA">
        <w:rPr>
          <w:rFonts w:ascii="Arial" w:hAnsi="Arial" w:cs="Arial"/>
          <w:sz w:val="20"/>
          <w:szCs w:val="20"/>
        </w:rPr>
        <w:t xml:space="preserve">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w:t>
      </w:r>
      <w:r w:rsidR="000B73D6" w:rsidRPr="00AC4AEA">
        <w:rPr>
          <w:rFonts w:ascii="Arial" w:hAnsi="Arial" w:cs="Arial"/>
          <w:sz w:val="20"/>
          <w:szCs w:val="20"/>
        </w:rPr>
        <w:t>:</w:t>
      </w:r>
      <w:bookmarkEnd w:id="666"/>
      <w:r w:rsidR="000B73D6" w:rsidRPr="00AC4AEA">
        <w:rPr>
          <w:rFonts w:ascii="Arial" w:hAnsi="Arial" w:cs="Arial"/>
          <w:sz w:val="20"/>
          <w:szCs w:val="20"/>
        </w:rPr>
        <w:t xml:space="preserve"> </w:t>
      </w:r>
    </w:p>
    <w:p w:rsidR="000B73D6" w:rsidRPr="00AC4AEA" w:rsidRDefault="000B73D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0B73D6" w:rsidRPr="00AC4AEA" w:rsidRDefault="000B73D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0B73D6" w:rsidRPr="00AC4AEA" w:rsidRDefault="000B73D6"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DE3F31" w:rsidRPr="00AC4AEA" w:rsidRDefault="00DE3F3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AE7883" w:rsidRPr="00AC4AEA" w:rsidRDefault="00AE7883" w:rsidP="00A318EA">
      <w:pPr>
        <w:pStyle w:val="Ttulo1"/>
        <w:rPr>
          <w:rFonts w:cs="Arial"/>
          <w:sz w:val="20"/>
          <w:szCs w:val="20"/>
        </w:rPr>
      </w:pPr>
      <w:bookmarkStart w:id="667" w:name="_Toc101863926"/>
    </w:p>
    <w:p w:rsidR="00E669CD" w:rsidRPr="00497C1F" w:rsidRDefault="00497590" w:rsidP="00A318EA">
      <w:pPr>
        <w:pStyle w:val="Ttulo1"/>
        <w:rPr>
          <w:rFonts w:cs="Arial"/>
          <w:sz w:val="20"/>
          <w:szCs w:val="20"/>
        </w:rPr>
      </w:pPr>
      <w:bookmarkStart w:id="668" w:name="_Toc139356805"/>
      <w:r w:rsidRPr="00497C1F">
        <w:rPr>
          <w:rFonts w:cs="Arial"/>
          <w:sz w:val="20"/>
          <w:szCs w:val="20"/>
        </w:rPr>
        <w:t>PASIVOS</w:t>
      </w:r>
      <w:r w:rsidR="00817641" w:rsidRPr="00497C1F">
        <w:rPr>
          <w:rFonts w:cs="Arial"/>
          <w:sz w:val="20"/>
          <w:szCs w:val="20"/>
        </w:rPr>
        <w:t xml:space="preserve"> CIERTOS (DEUDAS)</w:t>
      </w:r>
      <w:r w:rsidR="00002197" w:rsidRPr="00497C1F">
        <w:rPr>
          <w:rFonts w:cs="Arial"/>
          <w:sz w:val="20"/>
          <w:szCs w:val="20"/>
        </w:rPr>
        <w:t xml:space="preserve"> EN ESPECIE</w:t>
      </w:r>
      <w:bookmarkEnd w:id="667"/>
      <w:bookmarkEnd w:id="668"/>
    </w:p>
    <w:p w:rsidR="00E669CD" w:rsidRPr="00497C1F" w:rsidRDefault="00E669CD" w:rsidP="00A318EA">
      <w:pPr>
        <w:pStyle w:val="Ttulo2"/>
        <w:rPr>
          <w:rFonts w:cs="Arial"/>
        </w:rPr>
      </w:pPr>
      <w:bookmarkStart w:id="669" w:name="_Toc101863927"/>
      <w:bookmarkStart w:id="670" w:name="_Toc139356806"/>
      <w:r w:rsidRPr="00497C1F">
        <w:rPr>
          <w:rFonts w:cs="Arial"/>
        </w:rPr>
        <w:t>Definici</w:t>
      </w:r>
      <w:r w:rsidR="00AB4B8C" w:rsidRPr="00497C1F">
        <w:rPr>
          <w:rFonts w:cs="Arial"/>
        </w:rPr>
        <w:t>ó</w:t>
      </w:r>
      <w:r w:rsidRPr="00497C1F">
        <w:rPr>
          <w:rFonts w:cs="Arial"/>
        </w:rPr>
        <w:t>n</w:t>
      </w:r>
      <w:bookmarkEnd w:id="669"/>
      <w:bookmarkEnd w:id="670"/>
    </w:p>
    <w:p w:rsidR="00E669CD" w:rsidRPr="00AC4AEA" w:rsidRDefault="00E669CD" w:rsidP="00A318EA">
      <w:pPr>
        <w:pStyle w:val="Prrafodelista"/>
        <w:numPr>
          <w:ilvl w:val="0"/>
          <w:numId w:val="29"/>
        </w:numPr>
        <w:contextualSpacing w:val="0"/>
        <w:jc w:val="both"/>
        <w:rPr>
          <w:rFonts w:ascii="Arial" w:hAnsi="Arial" w:cs="Arial"/>
          <w:sz w:val="20"/>
          <w:szCs w:val="20"/>
        </w:rPr>
      </w:pPr>
      <w:bookmarkStart w:id="671" w:name="_Ref105076091"/>
      <w:r w:rsidRPr="00497C1F">
        <w:rPr>
          <w:rFonts w:ascii="Arial" w:hAnsi="Arial" w:cs="Arial"/>
          <w:sz w:val="20"/>
          <w:szCs w:val="20"/>
        </w:rPr>
        <w:t xml:space="preserve">A los fines del tratamiento de los </w:t>
      </w:r>
      <w:r w:rsidR="00497590" w:rsidRPr="00497C1F">
        <w:rPr>
          <w:rFonts w:ascii="Arial" w:hAnsi="Arial" w:cs="Arial"/>
          <w:sz w:val="20"/>
          <w:szCs w:val="20"/>
        </w:rPr>
        <w:t>pasivos</w:t>
      </w:r>
      <w:r w:rsidRPr="00497C1F">
        <w:rPr>
          <w:rFonts w:ascii="Arial" w:hAnsi="Arial" w:cs="Arial"/>
          <w:sz w:val="20"/>
          <w:szCs w:val="20"/>
        </w:rPr>
        <w:t xml:space="preserve"> referidos en esta sección, una entidad</w:t>
      </w:r>
      <w:r w:rsidRPr="00AC4AEA">
        <w:rPr>
          <w:rFonts w:ascii="Arial" w:hAnsi="Arial" w:cs="Arial"/>
          <w:sz w:val="20"/>
          <w:szCs w:val="20"/>
        </w:rPr>
        <w:t xml:space="preserve"> deberá considerar la</w:t>
      </w:r>
      <w:r w:rsidR="00DE3F31" w:rsidRPr="00AC4AEA">
        <w:rPr>
          <w:rFonts w:ascii="Arial" w:hAnsi="Arial" w:cs="Arial"/>
          <w:sz w:val="20"/>
          <w:szCs w:val="20"/>
        </w:rPr>
        <w:t xml:space="preserve"> siguiente</w:t>
      </w:r>
      <w:r w:rsidRPr="00AC4AEA">
        <w:rPr>
          <w:rFonts w:ascii="Arial" w:hAnsi="Arial" w:cs="Arial"/>
          <w:sz w:val="20"/>
          <w:szCs w:val="20"/>
        </w:rPr>
        <w:t xml:space="preserve"> definici</w:t>
      </w:r>
      <w:r w:rsidR="00DE3F31" w:rsidRPr="00AC4AEA">
        <w:rPr>
          <w:rFonts w:ascii="Arial" w:hAnsi="Arial" w:cs="Arial"/>
          <w:sz w:val="20"/>
          <w:szCs w:val="20"/>
        </w:rPr>
        <w:t>ón</w:t>
      </w:r>
      <w:r w:rsidRPr="00AC4AEA">
        <w:rPr>
          <w:rFonts w:ascii="Arial" w:hAnsi="Arial" w:cs="Arial"/>
          <w:sz w:val="20"/>
          <w:szCs w:val="20"/>
        </w:rPr>
        <w:t>.</w:t>
      </w:r>
      <w:bookmarkEnd w:id="671"/>
    </w:p>
    <w:p w:rsidR="00E669CD" w:rsidRPr="00AC4AEA" w:rsidRDefault="00497590" w:rsidP="00A318EA">
      <w:pPr>
        <w:ind w:left="1416"/>
        <w:jc w:val="both"/>
        <w:rPr>
          <w:rFonts w:ascii="Arial" w:hAnsi="Arial" w:cs="Arial"/>
          <w:strike/>
          <w:sz w:val="20"/>
          <w:szCs w:val="20"/>
        </w:rPr>
      </w:pPr>
      <w:r w:rsidRPr="00AC4AEA">
        <w:rPr>
          <w:rFonts w:ascii="Arial" w:hAnsi="Arial" w:cs="Arial"/>
          <w:sz w:val="20"/>
          <w:szCs w:val="20"/>
          <w:u w:val="single"/>
        </w:rPr>
        <w:t>Pasivos</w:t>
      </w:r>
      <w:r w:rsidR="00E669CD" w:rsidRPr="00AC4AEA">
        <w:rPr>
          <w:rFonts w:ascii="Arial" w:hAnsi="Arial" w:cs="Arial"/>
          <w:sz w:val="20"/>
          <w:szCs w:val="20"/>
          <w:u w:val="single"/>
        </w:rPr>
        <w:t xml:space="preserve"> ciertos (deudas)</w:t>
      </w:r>
      <w:r w:rsidR="006510BC" w:rsidRPr="00AC4AEA">
        <w:rPr>
          <w:rFonts w:ascii="Arial" w:hAnsi="Arial" w:cs="Arial"/>
          <w:sz w:val="20"/>
          <w:szCs w:val="20"/>
          <w:u w:val="single"/>
        </w:rPr>
        <w:t xml:space="preserve"> en especie</w:t>
      </w:r>
      <w:r w:rsidR="00E669CD" w:rsidRPr="00AC4AEA">
        <w:rPr>
          <w:rFonts w:ascii="Arial" w:hAnsi="Arial" w:cs="Arial"/>
          <w:sz w:val="20"/>
          <w:szCs w:val="20"/>
        </w:rPr>
        <w:t xml:space="preserve">: Son </w:t>
      </w:r>
      <w:r w:rsidRPr="00AC4AEA">
        <w:rPr>
          <w:rFonts w:ascii="Arial" w:hAnsi="Arial" w:cs="Arial"/>
          <w:sz w:val="20"/>
          <w:szCs w:val="20"/>
        </w:rPr>
        <w:t>pasivos</w:t>
      </w:r>
      <w:r w:rsidR="00E669CD" w:rsidRPr="00AC4AEA">
        <w:rPr>
          <w:rFonts w:ascii="Arial" w:hAnsi="Arial" w:cs="Arial"/>
          <w:sz w:val="20"/>
          <w:szCs w:val="20"/>
        </w:rPr>
        <w:t xml:space="preserve"> caracterizados por la inexistencia de incertidumbre sobre su cuantía y vencimiento</w:t>
      </w:r>
      <w:r w:rsidR="00123B3B" w:rsidRPr="00AC4AEA">
        <w:rPr>
          <w:rFonts w:ascii="Arial" w:hAnsi="Arial" w:cs="Arial"/>
          <w:sz w:val="20"/>
          <w:szCs w:val="20"/>
        </w:rPr>
        <w:t xml:space="preserve">, representativos de la obligación de </w:t>
      </w:r>
      <w:r w:rsidR="006510BC" w:rsidRPr="00AC4AEA">
        <w:rPr>
          <w:rFonts w:ascii="Arial" w:hAnsi="Arial" w:cs="Arial"/>
          <w:sz w:val="20"/>
          <w:szCs w:val="20"/>
        </w:rPr>
        <w:t xml:space="preserve">prestar </w:t>
      </w:r>
      <w:r w:rsidR="00123B3B" w:rsidRPr="00AC4AEA">
        <w:rPr>
          <w:rFonts w:ascii="Arial" w:hAnsi="Arial" w:cs="Arial"/>
          <w:sz w:val="20"/>
          <w:szCs w:val="20"/>
        </w:rPr>
        <w:t xml:space="preserve">servicios o </w:t>
      </w:r>
      <w:r w:rsidR="006510BC" w:rsidRPr="00AC4AEA">
        <w:rPr>
          <w:rFonts w:ascii="Arial" w:hAnsi="Arial" w:cs="Arial"/>
          <w:sz w:val="20"/>
          <w:szCs w:val="20"/>
        </w:rPr>
        <w:t xml:space="preserve">entregar </w:t>
      </w:r>
      <w:r w:rsidRPr="00AC4AEA">
        <w:rPr>
          <w:rFonts w:ascii="Arial" w:hAnsi="Arial" w:cs="Arial"/>
          <w:sz w:val="20"/>
          <w:szCs w:val="20"/>
        </w:rPr>
        <w:t>activos</w:t>
      </w:r>
      <w:r w:rsidR="006510BC" w:rsidRPr="00AC4AEA">
        <w:rPr>
          <w:rFonts w:ascii="Arial" w:hAnsi="Arial" w:cs="Arial"/>
          <w:sz w:val="20"/>
          <w:szCs w:val="20"/>
        </w:rPr>
        <w:t xml:space="preserve"> </w:t>
      </w:r>
      <w:r w:rsidR="00123B3B" w:rsidRPr="00AC4AEA">
        <w:rPr>
          <w:rFonts w:ascii="Arial" w:hAnsi="Arial" w:cs="Arial"/>
          <w:sz w:val="20"/>
          <w:szCs w:val="20"/>
        </w:rPr>
        <w:t>distintos del efectivo</w:t>
      </w:r>
      <w:r w:rsidR="00567540" w:rsidRPr="00AC4AEA">
        <w:rPr>
          <w:rFonts w:ascii="Arial" w:hAnsi="Arial" w:cs="Arial"/>
          <w:sz w:val="20"/>
          <w:szCs w:val="20"/>
        </w:rPr>
        <w:t>, equivalentes de efectivo</w:t>
      </w:r>
      <w:r w:rsidR="00123B3B" w:rsidRPr="00AC4AEA">
        <w:rPr>
          <w:rFonts w:ascii="Arial" w:hAnsi="Arial" w:cs="Arial"/>
          <w:sz w:val="20"/>
          <w:szCs w:val="20"/>
        </w:rPr>
        <w:t xml:space="preserve"> </w:t>
      </w:r>
      <w:r w:rsidR="00E912AC" w:rsidRPr="00AC4AEA">
        <w:rPr>
          <w:rFonts w:ascii="Arial" w:hAnsi="Arial" w:cs="Arial"/>
          <w:sz w:val="20"/>
          <w:szCs w:val="20"/>
        </w:rPr>
        <w:t>o de créditos en moneda</w:t>
      </w:r>
      <w:r w:rsidR="00817641" w:rsidRPr="00AC4AEA">
        <w:rPr>
          <w:rFonts w:ascii="Arial" w:hAnsi="Arial" w:cs="Arial"/>
          <w:sz w:val="20"/>
          <w:szCs w:val="20"/>
        </w:rPr>
        <w:t>.</w:t>
      </w:r>
      <w:r w:rsidR="002C6170" w:rsidRPr="00AC4AEA">
        <w:rPr>
          <w:rFonts w:ascii="Arial" w:hAnsi="Arial" w:cs="Arial"/>
          <w:sz w:val="20"/>
          <w:szCs w:val="20"/>
        </w:rPr>
        <w:t xml:space="preserve"> Se excluyen los pasivos que se contabilicen aplicando la sección </w:t>
      </w:r>
      <w:r w:rsidR="002C6170" w:rsidRPr="00AC4AEA">
        <w:rPr>
          <w:rFonts w:ascii="Arial" w:eastAsia="Times New Roman" w:hAnsi="Arial" w:cs="Arial"/>
          <w:sz w:val="20"/>
          <w:szCs w:val="20"/>
          <w:lang w:eastAsia="es-ES"/>
        </w:rPr>
        <w:t>“</w:t>
      </w:r>
      <w:r w:rsidR="002C6170" w:rsidRPr="00AC4AEA">
        <w:rPr>
          <w:rFonts w:ascii="Arial" w:eastAsia="Times New Roman" w:hAnsi="Arial" w:cs="Arial"/>
          <w:sz w:val="20"/>
          <w:szCs w:val="20"/>
          <w:u w:val="single"/>
          <w:lang w:eastAsia="es-ES"/>
        </w:rPr>
        <w:t>Instrumentos derivados y operaciones de cobertura</w:t>
      </w:r>
      <w:r w:rsidR="002C6170" w:rsidRPr="00AC4AEA">
        <w:rPr>
          <w:rFonts w:ascii="Arial" w:eastAsia="Times New Roman" w:hAnsi="Arial" w:cs="Arial"/>
          <w:sz w:val="20"/>
          <w:szCs w:val="20"/>
          <w:lang w:eastAsia="es-ES"/>
        </w:rPr>
        <w:t xml:space="preserve">” [ver los párrafos </w:t>
      </w:r>
      <w:fldSimple w:instr=" REF _Ref132036276 \r \h  \* MERGEFORMAT ">
        <w:r w:rsidR="00D33A5D" w:rsidRPr="00D33A5D">
          <w:rPr>
            <w:rFonts w:ascii="Arial" w:eastAsia="Times New Roman" w:hAnsi="Arial" w:cs="Arial"/>
            <w:sz w:val="20"/>
            <w:szCs w:val="20"/>
            <w:lang w:eastAsia="es-ES"/>
          </w:rPr>
          <w:t>990</w:t>
        </w:r>
      </w:fldSimple>
      <w:r w:rsidR="002C6170" w:rsidRPr="00AC4AEA">
        <w:rPr>
          <w:rFonts w:ascii="Arial" w:eastAsia="Times New Roman" w:hAnsi="Arial" w:cs="Arial"/>
          <w:sz w:val="20"/>
          <w:szCs w:val="20"/>
          <w:lang w:eastAsia="es-ES"/>
        </w:rPr>
        <w:t xml:space="preserve"> al </w:t>
      </w:r>
      <w:fldSimple w:instr=" REF _Ref135045581 \r \h  \* MERGEFORMAT ">
        <w:r w:rsidR="00D33A5D" w:rsidRPr="00D33A5D">
          <w:rPr>
            <w:rFonts w:ascii="Arial" w:eastAsia="Times New Roman" w:hAnsi="Arial" w:cs="Arial"/>
            <w:sz w:val="20"/>
            <w:szCs w:val="20"/>
            <w:lang w:eastAsia="es-ES"/>
          </w:rPr>
          <w:t>1020</w:t>
        </w:r>
      </w:fldSimple>
      <w:r w:rsidR="002C6170" w:rsidRPr="00AC4AEA">
        <w:rPr>
          <w:rFonts w:ascii="Arial" w:eastAsia="Times New Roman" w:hAnsi="Arial" w:cs="Arial"/>
          <w:sz w:val="20"/>
          <w:szCs w:val="20"/>
          <w:lang w:eastAsia="es-ES"/>
        </w:rPr>
        <w:t>]</w:t>
      </w:r>
      <w:r w:rsidR="002C6170" w:rsidRPr="00AC4AEA">
        <w:rPr>
          <w:rFonts w:ascii="Arial" w:hAnsi="Arial" w:cs="Arial"/>
          <w:sz w:val="20"/>
          <w:szCs w:val="20"/>
        </w:rPr>
        <w:t>.</w:t>
      </w:r>
    </w:p>
    <w:p w:rsidR="00E669CD" w:rsidRPr="00AC4AEA" w:rsidRDefault="00E669CD" w:rsidP="00A318EA">
      <w:pPr>
        <w:jc w:val="both"/>
        <w:rPr>
          <w:rFonts w:ascii="Arial" w:hAnsi="Arial" w:cs="Arial"/>
          <w:b/>
          <w:bCs/>
          <w:sz w:val="20"/>
          <w:szCs w:val="20"/>
        </w:rPr>
      </w:pPr>
    </w:p>
    <w:p w:rsidR="00E669CD" w:rsidRPr="00AC4AEA" w:rsidRDefault="00E669CD" w:rsidP="00A318EA">
      <w:pPr>
        <w:pStyle w:val="Ttulo2"/>
        <w:rPr>
          <w:rFonts w:cs="Arial"/>
        </w:rPr>
      </w:pPr>
      <w:bookmarkStart w:id="672" w:name="_Toc101863928"/>
      <w:bookmarkStart w:id="673" w:name="_Toc139356807"/>
      <w:r w:rsidRPr="00AC4AEA">
        <w:rPr>
          <w:rFonts w:cs="Arial"/>
        </w:rPr>
        <w:t>Reconocimiento</w:t>
      </w:r>
      <w:bookmarkEnd w:id="672"/>
      <w:bookmarkEnd w:id="673"/>
    </w:p>
    <w:p w:rsidR="00E669CD" w:rsidRPr="00AC4AEA" w:rsidRDefault="00362502" w:rsidP="00A318EA">
      <w:pPr>
        <w:pStyle w:val="Prrafodelista"/>
        <w:numPr>
          <w:ilvl w:val="0"/>
          <w:numId w:val="29"/>
        </w:numPr>
        <w:contextualSpacing w:val="0"/>
        <w:jc w:val="both"/>
        <w:rPr>
          <w:rFonts w:ascii="Arial" w:hAnsi="Arial" w:cs="Arial"/>
          <w:b/>
          <w:bCs/>
          <w:sz w:val="20"/>
          <w:szCs w:val="20"/>
        </w:rPr>
      </w:pPr>
      <w:r w:rsidRPr="00AC4AEA">
        <w:rPr>
          <w:rFonts w:ascii="Arial" w:hAnsi="Arial" w:cs="Arial"/>
          <w:sz w:val="20"/>
          <w:szCs w:val="20"/>
        </w:rPr>
        <w:t xml:space="preserve">Una entidad reconocerá un </w:t>
      </w:r>
      <w:r w:rsidR="00D961B5" w:rsidRPr="00AC4AEA">
        <w:rPr>
          <w:rFonts w:ascii="Arial" w:hAnsi="Arial" w:cs="Arial"/>
          <w:b/>
          <w:bCs/>
          <w:sz w:val="20"/>
          <w:szCs w:val="20"/>
        </w:rPr>
        <w:t>pasivo</w:t>
      </w:r>
      <w:r w:rsidRPr="00AC4AEA">
        <w:rPr>
          <w:rFonts w:ascii="Arial" w:hAnsi="Arial" w:cs="Arial"/>
          <w:b/>
          <w:bCs/>
          <w:sz w:val="20"/>
          <w:szCs w:val="20"/>
        </w:rPr>
        <w:t xml:space="preserve"> </w:t>
      </w:r>
      <w:r w:rsidR="00E660B2" w:rsidRPr="00AC4AEA">
        <w:rPr>
          <w:rFonts w:ascii="Arial" w:hAnsi="Arial" w:cs="Arial"/>
          <w:sz w:val="20"/>
          <w:szCs w:val="20"/>
        </w:rPr>
        <w:t xml:space="preserve">cierto </w:t>
      </w:r>
      <w:r w:rsidR="00EA1362" w:rsidRPr="00AC4AEA">
        <w:rPr>
          <w:rFonts w:ascii="Arial" w:hAnsi="Arial" w:cs="Arial"/>
          <w:sz w:val="20"/>
          <w:szCs w:val="20"/>
        </w:rPr>
        <w:t xml:space="preserve">(deuda) </w:t>
      </w:r>
      <w:r w:rsidRPr="00AC4AEA">
        <w:rPr>
          <w:rFonts w:ascii="Arial" w:hAnsi="Arial" w:cs="Arial"/>
          <w:sz w:val="20"/>
          <w:szCs w:val="20"/>
        </w:rPr>
        <w:t>en especie cuando</w:t>
      </w:r>
      <w:r w:rsidR="009F55BB" w:rsidRPr="00AC4AEA">
        <w:rPr>
          <w:rFonts w:ascii="Arial" w:hAnsi="Arial" w:cs="Arial"/>
          <w:sz w:val="20"/>
          <w:szCs w:val="20"/>
        </w:rPr>
        <w:t xml:space="preserve"> se cumpla la definición general del párrafo </w:t>
      </w:r>
      <w:fldSimple w:instr=" REF _Ref74818851 \r \h  \* MERGEFORMAT ">
        <w:r w:rsidR="00D33A5D" w:rsidRPr="00D33A5D">
          <w:rPr>
            <w:rFonts w:ascii="Arial" w:hAnsi="Arial" w:cs="Arial"/>
            <w:sz w:val="20"/>
            <w:szCs w:val="20"/>
          </w:rPr>
          <w:t>23</w:t>
        </w:r>
      </w:fldSimple>
      <w:r w:rsidR="009F55BB" w:rsidRPr="00AC4AEA">
        <w:rPr>
          <w:rFonts w:ascii="Arial" w:hAnsi="Arial" w:cs="Arial"/>
          <w:sz w:val="20"/>
          <w:szCs w:val="20"/>
        </w:rPr>
        <w:t xml:space="preserve"> y la definición específica contenida en el párrafo </w:t>
      </w:r>
      <w:fldSimple w:instr=" REF _Ref105076091 \r \h  \* MERGEFORMAT ">
        <w:r w:rsidR="00D33A5D" w:rsidRPr="00D33A5D">
          <w:rPr>
            <w:rFonts w:ascii="Arial" w:hAnsi="Arial" w:cs="Arial"/>
            <w:sz w:val="20"/>
            <w:szCs w:val="20"/>
          </w:rPr>
          <w:t>477</w:t>
        </w:r>
      </w:fldSimple>
      <w:r w:rsidRPr="00AC4AEA">
        <w:rPr>
          <w:rFonts w:ascii="Arial" w:hAnsi="Arial" w:cs="Arial"/>
          <w:sz w:val="20"/>
          <w:szCs w:val="20"/>
        </w:rPr>
        <w:t>.</w:t>
      </w:r>
    </w:p>
    <w:p w:rsidR="00E669CD" w:rsidRPr="00AC4AEA" w:rsidRDefault="00E669CD" w:rsidP="00A318EA">
      <w:pPr>
        <w:jc w:val="both"/>
        <w:rPr>
          <w:rFonts w:ascii="Arial" w:hAnsi="Arial" w:cs="Arial"/>
          <w:b/>
          <w:bCs/>
          <w:sz w:val="20"/>
          <w:szCs w:val="20"/>
        </w:rPr>
      </w:pPr>
    </w:p>
    <w:p w:rsidR="00E669CD" w:rsidRPr="00AC4AEA" w:rsidRDefault="00E669CD" w:rsidP="00A318EA">
      <w:pPr>
        <w:pStyle w:val="Ttulo2"/>
        <w:rPr>
          <w:rFonts w:cs="Arial"/>
        </w:rPr>
      </w:pPr>
      <w:bookmarkStart w:id="674" w:name="_Toc101863929"/>
      <w:bookmarkStart w:id="675" w:name="_Toc139356808"/>
      <w:r w:rsidRPr="00AC4AEA">
        <w:rPr>
          <w:rFonts w:cs="Arial"/>
        </w:rPr>
        <w:t>Medición inicial</w:t>
      </w:r>
      <w:bookmarkEnd w:id="674"/>
      <w:bookmarkEnd w:id="675"/>
    </w:p>
    <w:p w:rsidR="00212F74" w:rsidRPr="00AC4AEA" w:rsidRDefault="00E669CD" w:rsidP="00A318EA">
      <w:pPr>
        <w:pStyle w:val="Prrafodelista"/>
        <w:numPr>
          <w:ilvl w:val="0"/>
          <w:numId w:val="29"/>
        </w:numPr>
        <w:contextualSpacing w:val="0"/>
        <w:jc w:val="both"/>
        <w:rPr>
          <w:rFonts w:ascii="Arial" w:hAnsi="Arial" w:cs="Arial"/>
          <w:b/>
          <w:bCs/>
          <w:sz w:val="20"/>
          <w:szCs w:val="20"/>
        </w:rPr>
      </w:pPr>
      <w:r w:rsidRPr="00AC4AEA">
        <w:rPr>
          <w:rFonts w:ascii="Arial" w:hAnsi="Arial" w:cs="Arial"/>
          <w:sz w:val="20"/>
          <w:szCs w:val="20"/>
        </w:rPr>
        <w:t xml:space="preserve">Una entidad medirá inicialmente </w:t>
      </w:r>
      <w:r w:rsidR="00F24658" w:rsidRPr="00AC4AEA">
        <w:rPr>
          <w:rFonts w:ascii="Arial" w:hAnsi="Arial" w:cs="Arial"/>
          <w:sz w:val="20"/>
          <w:szCs w:val="20"/>
        </w:rPr>
        <w:t xml:space="preserve">un </w:t>
      </w:r>
      <w:r w:rsidR="00EA1362" w:rsidRPr="00AC4AEA">
        <w:rPr>
          <w:rFonts w:ascii="Arial" w:hAnsi="Arial" w:cs="Arial"/>
          <w:b/>
          <w:bCs/>
          <w:sz w:val="20"/>
          <w:szCs w:val="20"/>
        </w:rPr>
        <w:t xml:space="preserve">pasivo </w:t>
      </w:r>
      <w:r w:rsidR="00E660B2" w:rsidRPr="00AC4AEA">
        <w:rPr>
          <w:rFonts w:ascii="Arial" w:hAnsi="Arial" w:cs="Arial"/>
          <w:sz w:val="20"/>
          <w:szCs w:val="20"/>
        </w:rPr>
        <w:t xml:space="preserve">cierto </w:t>
      </w:r>
      <w:r w:rsidR="00EA1362" w:rsidRPr="00AC4AEA">
        <w:rPr>
          <w:rFonts w:ascii="Arial" w:hAnsi="Arial" w:cs="Arial"/>
          <w:sz w:val="20"/>
          <w:szCs w:val="20"/>
        </w:rPr>
        <w:t>(deuda) en especie</w:t>
      </w:r>
      <w:r w:rsidR="00FA05A1" w:rsidRPr="00AC4AEA">
        <w:rPr>
          <w:rFonts w:ascii="Arial" w:hAnsi="Arial" w:cs="Arial"/>
          <w:sz w:val="20"/>
          <w:szCs w:val="20"/>
        </w:rPr>
        <w:t xml:space="preserve"> </w:t>
      </w:r>
      <w:r w:rsidR="006473EF" w:rsidRPr="00AC4AEA">
        <w:rPr>
          <w:rFonts w:ascii="Arial" w:hAnsi="Arial" w:cs="Arial"/>
          <w:sz w:val="20"/>
          <w:szCs w:val="20"/>
        </w:rPr>
        <w:t xml:space="preserve">por </w:t>
      </w:r>
      <w:r w:rsidR="007D7512" w:rsidRPr="00AC4AEA">
        <w:rPr>
          <w:rFonts w:ascii="Arial" w:hAnsi="Arial" w:cs="Arial"/>
          <w:sz w:val="20"/>
          <w:szCs w:val="20"/>
        </w:rPr>
        <w:t>la medición</w:t>
      </w:r>
      <w:r w:rsidR="006473EF" w:rsidRPr="00AC4AEA">
        <w:rPr>
          <w:rFonts w:ascii="Arial" w:hAnsi="Arial" w:cs="Arial"/>
          <w:sz w:val="20"/>
          <w:szCs w:val="20"/>
        </w:rPr>
        <w:t xml:space="preserve"> determinad</w:t>
      </w:r>
      <w:r w:rsidR="007D7512" w:rsidRPr="00AC4AEA">
        <w:rPr>
          <w:rFonts w:ascii="Arial" w:hAnsi="Arial" w:cs="Arial"/>
          <w:sz w:val="20"/>
          <w:szCs w:val="20"/>
        </w:rPr>
        <w:t xml:space="preserve">a </w:t>
      </w:r>
      <w:r w:rsidR="006473EF" w:rsidRPr="00AC4AEA">
        <w:rPr>
          <w:rFonts w:ascii="Arial" w:hAnsi="Arial" w:cs="Arial"/>
          <w:sz w:val="20"/>
          <w:szCs w:val="20"/>
        </w:rPr>
        <w:t xml:space="preserve">del </w:t>
      </w:r>
      <w:r w:rsidR="006473EF" w:rsidRPr="00AC4AEA">
        <w:rPr>
          <w:rFonts w:ascii="Arial" w:hAnsi="Arial" w:cs="Arial"/>
          <w:b/>
          <w:bCs/>
          <w:sz w:val="20"/>
          <w:szCs w:val="20"/>
        </w:rPr>
        <w:t>activo</w:t>
      </w:r>
      <w:r w:rsidR="006473EF" w:rsidRPr="00AC4AEA">
        <w:rPr>
          <w:rFonts w:ascii="Arial" w:hAnsi="Arial" w:cs="Arial"/>
          <w:sz w:val="20"/>
          <w:szCs w:val="20"/>
        </w:rPr>
        <w:t xml:space="preserve"> </w:t>
      </w:r>
      <w:r w:rsidR="007D7512" w:rsidRPr="00AC4AEA">
        <w:rPr>
          <w:rFonts w:ascii="Arial" w:hAnsi="Arial" w:cs="Arial"/>
          <w:sz w:val="20"/>
          <w:szCs w:val="20"/>
        </w:rPr>
        <w:t xml:space="preserve">o servicio </w:t>
      </w:r>
      <w:r w:rsidR="006473EF" w:rsidRPr="00AC4AEA">
        <w:rPr>
          <w:rFonts w:ascii="Arial" w:hAnsi="Arial" w:cs="Arial"/>
          <w:sz w:val="20"/>
          <w:szCs w:val="20"/>
        </w:rPr>
        <w:t>recibido que origina la obligación</w:t>
      </w:r>
      <w:r w:rsidR="007D7512" w:rsidRPr="00AC4AEA">
        <w:rPr>
          <w:rFonts w:ascii="Arial" w:hAnsi="Arial" w:cs="Arial"/>
          <w:sz w:val="20"/>
          <w:szCs w:val="20"/>
        </w:rPr>
        <w:t xml:space="preserve">, de conformidad con esta u </w:t>
      </w:r>
      <w:r w:rsidR="007D7512" w:rsidRPr="00AC4AEA">
        <w:rPr>
          <w:rFonts w:ascii="Arial" w:hAnsi="Arial" w:cs="Arial"/>
          <w:b/>
          <w:bCs/>
          <w:sz w:val="20"/>
          <w:szCs w:val="20"/>
        </w:rPr>
        <w:t>otras normas contables</w:t>
      </w:r>
      <w:r w:rsidR="006473EF" w:rsidRPr="00AC4AEA">
        <w:rPr>
          <w:rFonts w:ascii="Arial" w:hAnsi="Arial" w:cs="Arial"/>
          <w:sz w:val="20"/>
          <w:szCs w:val="20"/>
        </w:rPr>
        <w:t>.</w:t>
      </w:r>
      <w:r w:rsidR="00EA1362" w:rsidRPr="00AC4AEA" w:rsidDel="00EA1362">
        <w:rPr>
          <w:rFonts w:ascii="Arial" w:hAnsi="Arial" w:cs="Arial"/>
          <w:sz w:val="20"/>
          <w:szCs w:val="20"/>
        </w:rPr>
        <w:t xml:space="preserve"> </w:t>
      </w:r>
    </w:p>
    <w:p w:rsidR="00265EF9" w:rsidRPr="00AC4AEA" w:rsidRDefault="00265EF9" w:rsidP="00A318EA">
      <w:pPr>
        <w:pStyle w:val="Prrafodelista"/>
        <w:ind w:left="993"/>
        <w:contextualSpacing w:val="0"/>
        <w:jc w:val="both"/>
        <w:rPr>
          <w:rFonts w:ascii="Arial" w:hAnsi="Arial" w:cs="Arial"/>
          <w:b/>
          <w:bCs/>
          <w:sz w:val="20"/>
          <w:szCs w:val="20"/>
        </w:rPr>
      </w:pPr>
    </w:p>
    <w:p w:rsidR="00212F74" w:rsidRPr="00AC4AEA" w:rsidRDefault="00212F74" w:rsidP="00A318EA">
      <w:pPr>
        <w:pStyle w:val="Ttulo2"/>
        <w:rPr>
          <w:rFonts w:cs="Arial"/>
        </w:rPr>
      </w:pPr>
      <w:bookmarkStart w:id="676" w:name="_Toc101863930"/>
      <w:bookmarkStart w:id="677" w:name="_Toc139356809"/>
      <w:r w:rsidRPr="00AC4AEA">
        <w:rPr>
          <w:rFonts w:cs="Arial"/>
        </w:rPr>
        <w:t>Medición posterior</w:t>
      </w:r>
      <w:bookmarkEnd w:id="676"/>
      <w:bookmarkEnd w:id="677"/>
      <w:r w:rsidRPr="00AC4AEA">
        <w:rPr>
          <w:rFonts w:cs="Arial"/>
        </w:rPr>
        <w:t xml:space="preserve"> </w:t>
      </w:r>
    </w:p>
    <w:p w:rsidR="003F390C" w:rsidRPr="00AC4AEA" w:rsidRDefault="00212F7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 xml:space="preserve">, una entidad medirá </w:t>
      </w:r>
      <w:r w:rsidR="008045EA" w:rsidRPr="00AC4AEA">
        <w:rPr>
          <w:rFonts w:ascii="Arial" w:hAnsi="Arial" w:cs="Arial"/>
          <w:sz w:val="20"/>
          <w:szCs w:val="20"/>
        </w:rPr>
        <w:t xml:space="preserve">un </w:t>
      </w:r>
      <w:r w:rsidR="00EA426C" w:rsidRPr="00AC4AEA">
        <w:rPr>
          <w:rFonts w:ascii="Arial" w:hAnsi="Arial" w:cs="Arial"/>
          <w:b/>
          <w:bCs/>
          <w:sz w:val="20"/>
          <w:szCs w:val="20"/>
        </w:rPr>
        <w:t xml:space="preserve">pasivo </w:t>
      </w:r>
      <w:r w:rsidR="00E660B2" w:rsidRPr="00AC4AEA">
        <w:rPr>
          <w:rFonts w:ascii="Arial" w:hAnsi="Arial" w:cs="Arial"/>
          <w:sz w:val="20"/>
          <w:szCs w:val="20"/>
        </w:rPr>
        <w:t xml:space="preserve">cierto </w:t>
      </w:r>
      <w:r w:rsidR="00EA426C" w:rsidRPr="00AC4AEA">
        <w:rPr>
          <w:rFonts w:ascii="Arial" w:hAnsi="Arial" w:cs="Arial"/>
          <w:sz w:val="20"/>
          <w:szCs w:val="20"/>
        </w:rPr>
        <w:t>(deuda) en especie</w:t>
      </w:r>
      <w:r w:rsidR="004A3A97" w:rsidRPr="00AC4AEA">
        <w:rPr>
          <w:rFonts w:ascii="Arial" w:hAnsi="Arial" w:cs="Arial"/>
          <w:sz w:val="20"/>
          <w:szCs w:val="20"/>
        </w:rPr>
        <w:t>,</w:t>
      </w:r>
      <w:r w:rsidR="003F390C" w:rsidRPr="00AC4AEA">
        <w:rPr>
          <w:rFonts w:ascii="Arial" w:hAnsi="Arial" w:cs="Arial"/>
          <w:sz w:val="20"/>
          <w:szCs w:val="20"/>
        </w:rPr>
        <w:t xml:space="preserve"> por el mayor entre:</w:t>
      </w:r>
      <w:r w:rsidR="004A3A97" w:rsidRPr="00AC4AEA">
        <w:rPr>
          <w:rFonts w:ascii="Arial" w:hAnsi="Arial" w:cs="Arial"/>
          <w:sz w:val="20"/>
          <w:szCs w:val="20"/>
        </w:rPr>
        <w:t xml:space="preserve"> </w:t>
      </w:r>
    </w:p>
    <w:p w:rsidR="00094E6C" w:rsidRPr="00AC4AEA" w:rsidRDefault="003F390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por el importe por el cual se lo reconoció inicialmente</w:t>
      </w:r>
      <w:r w:rsidR="00094E6C" w:rsidRPr="00AC4AEA">
        <w:rPr>
          <w:rFonts w:ascii="Arial" w:hAnsi="Arial" w:cs="Arial"/>
          <w:sz w:val="20"/>
          <w:szCs w:val="20"/>
        </w:rPr>
        <w:t>; o</w:t>
      </w:r>
      <w:r w:rsidRPr="00AC4AEA">
        <w:rPr>
          <w:rFonts w:ascii="Arial" w:hAnsi="Arial" w:cs="Arial"/>
          <w:sz w:val="20"/>
          <w:szCs w:val="20"/>
        </w:rPr>
        <w:t xml:space="preserve"> </w:t>
      </w:r>
    </w:p>
    <w:p w:rsidR="00CA36EC" w:rsidRPr="00AC4AEA" w:rsidRDefault="00094E6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el importe que surja de aplicar </w:t>
      </w:r>
      <w:r w:rsidR="00701B8E" w:rsidRPr="00AC4AEA">
        <w:rPr>
          <w:rFonts w:ascii="Arial" w:hAnsi="Arial" w:cs="Arial"/>
          <w:sz w:val="20"/>
          <w:szCs w:val="20"/>
        </w:rPr>
        <w:t>los requerimientos indicados en la sección “</w:t>
      </w:r>
      <w:r w:rsidR="00701B8E" w:rsidRPr="00AC4AEA">
        <w:rPr>
          <w:rFonts w:ascii="Arial" w:hAnsi="Arial" w:cs="Arial"/>
          <w:sz w:val="20"/>
          <w:szCs w:val="20"/>
          <w:u w:val="single"/>
        </w:rPr>
        <w:t>Compromisos que generan pérdidas (contratos onerosos)</w:t>
      </w:r>
      <w:r w:rsidR="00701B8E" w:rsidRPr="00AC4AEA">
        <w:rPr>
          <w:rFonts w:ascii="Arial" w:hAnsi="Arial" w:cs="Arial"/>
          <w:sz w:val="20"/>
          <w:szCs w:val="20"/>
        </w:rPr>
        <w:t xml:space="preserve">” [ver los párrafos </w:t>
      </w:r>
      <w:fldSimple w:instr=" REF _Ref103888717 \r \h  \* MERGEFORMAT ">
        <w:r w:rsidR="00D33A5D" w:rsidRPr="00D33A5D">
          <w:rPr>
            <w:rFonts w:ascii="Arial" w:hAnsi="Arial" w:cs="Arial"/>
            <w:sz w:val="20"/>
            <w:szCs w:val="20"/>
          </w:rPr>
          <w:t>527</w:t>
        </w:r>
      </w:fldSimple>
      <w:r w:rsidR="00701B8E" w:rsidRPr="00AC4AEA">
        <w:rPr>
          <w:rFonts w:ascii="Arial" w:hAnsi="Arial" w:cs="Arial"/>
          <w:sz w:val="20"/>
          <w:szCs w:val="20"/>
        </w:rPr>
        <w:t xml:space="preserve"> a</w:t>
      </w:r>
      <w:r w:rsidR="001C4138">
        <w:rPr>
          <w:rFonts w:ascii="Arial" w:hAnsi="Arial" w:cs="Arial"/>
          <w:sz w:val="20"/>
          <w:szCs w:val="20"/>
        </w:rPr>
        <w:fldChar w:fldCharType="begin"/>
      </w:r>
      <w:r w:rsidR="003E4DD2">
        <w:rPr>
          <w:rFonts w:ascii="Arial" w:hAnsi="Arial" w:cs="Arial"/>
          <w:sz w:val="20"/>
          <w:szCs w:val="20"/>
        </w:rPr>
        <w:instrText xml:space="preserve"> REF _Ref129077854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531</w:t>
      </w:r>
      <w:r w:rsidR="001C4138">
        <w:rPr>
          <w:rFonts w:ascii="Arial" w:hAnsi="Arial" w:cs="Arial"/>
          <w:sz w:val="20"/>
          <w:szCs w:val="20"/>
        </w:rPr>
        <w:fldChar w:fldCharType="end"/>
      </w:r>
      <w:r w:rsidR="00701B8E" w:rsidRPr="00AC4AEA">
        <w:rPr>
          <w:rFonts w:ascii="Arial" w:hAnsi="Arial" w:cs="Arial"/>
          <w:sz w:val="20"/>
          <w:szCs w:val="20"/>
        </w:rPr>
        <w:t>]</w:t>
      </w:r>
      <w:r w:rsidR="00763174" w:rsidRPr="00AC4AEA">
        <w:rPr>
          <w:rFonts w:ascii="Arial" w:hAnsi="Arial" w:cs="Arial"/>
          <w:sz w:val="20"/>
          <w:szCs w:val="20"/>
        </w:rPr>
        <w:t>.</w:t>
      </w:r>
    </w:p>
    <w:p w:rsidR="00CA36EC" w:rsidRPr="00AC4AEA" w:rsidRDefault="00CA36EC" w:rsidP="00A318EA">
      <w:pPr>
        <w:pStyle w:val="Prrafodelista"/>
        <w:ind w:left="993"/>
        <w:contextualSpacing w:val="0"/>
        <w:jc w:val="both"/>
        <w:rPr>
          <w:rFonts w:ascii="Arial" w:hAnsi="Arial" w:cs="Arial"/>
          <w:sz w:val="20"/>
          <w:szCs w:val="20"/>
        </w:rPr>
      </w:pPr>
    </w:p>
    <w:p w:rsidR="00E669CD" w:rsidRPr="00AC4AEA" w:rsidRDefault="00E669CD" w:rsidP="00A318EA">
      <w:pPr>
        <w:pStyle w:val="Ttulo2"/>
        <w:rPr>
          <w:rFonts w:cs="Arial"/>
        </w:rPr>
      </w:pPr>
      <w:bookmarkStart w:id="678" w:name="_Toc101863931"/>
      <w:bookmarkStart w:id="679" w:name="_Toc139356810"/>
      <w:bookmarkStart w:id="680" w:name="previsiones"/>
      <w:r w:rsidRPr="00AC4AEA">
        <w:rPr>
          <w:rFonts w:cs="Arial"/>
        </w:rPr>
        <w:t>Baja en cuentas</w:t>
      </w:r>
      <w:bookmarkEnd w:id="678"/>
      <w:bookmarkEnd w:id="679"/>
    </w:p>
    <w:p w:rsidR="002A4C4E" w:rsidRPr="00AC4AEA" w:rsidRDefault="00A00B8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dará de baja un </w:t>
      </w:r>
      <w:r w:rsidR="008045EA" w:rsidRPr="008826C7">
        <w:rPr>
          <w:rFonts w:ascii="Arial" w:hAnsi="Arial" w:cs="Arial"/>
          <w:b/>
          <w:bCs/>
          <w:sz w:val="20"/>
          <w:szCs w:val="20"/>
        </w:rPr>
        <w:t xml:space="preserve">pasivo </w:t>
      </w:r>
      <w:r w:rsidR="00E660B2" w:rsidRPr="00AC4AEA">
        <w:rPr>
          <w:rFonts w:ascii="Arial" w:hAnsi="Arial" w:cs="Arial"/>
          <w:sz w:val="20"/>
          <w:szCs w:val="20"/>
        </w:rPr>
        <w:t xml:space="preserve">cierto </w:t>
      </w:r>
      <w:r w:rsidR="008045EA" w:rsidRPr="00AC4AEA">
        <w:rPr>
          <w:rFonts w:ascii="Arial" w:hAnsi="Arial" w:cs="Arial"/>
          <w:sz w:val="20"/>
          <w:szCs w:val="20"/>
        </w:rPr>
        <w:t>(deuda) en especie</w:t>
      </w:r>
      <w:r w:rsidR="008045EA" w:rsidRPr="00AC4AEA" w:rsidDel="008045EA">
        <w:rPr>
          <w:rFonts w:ascii="Arial" w:hAnsi="Arial" w:cs="Arial"/>
          <w:sz w:val="20"/>
          <w:szCs w:val="20"/>
        </w:rPr>
        <w:t xml:space="preserve"> </w:t>
      </w:r>
      <w:r w:rsidRPr="00AC4AEA">
        <w:rPr>
          <w:rFonts w:ascii="Arial" w:hAnsi="Arial" w:cs="Arial"/>
          <w:sz w:val="20"/>
          <w:szCs w:val="20"/>
        </w:rPr>
        <w:t>cuando</w:t>
      </w:r>
      <w:r w:rsidR="002A4C4E" w:rsidRPr="00AC4AEA">
        <w:rPr>
          <w:rFonts w:ascii="Arial" w:hAnsi="Arial" w:cs="Arial"/>
          <w:sz w:val="20"/>
          <w:szCs w:val="20"/>
        </w:rPr>
        <w:t>:</w:t>
      </w:r>
      <w:r w:rsidRPr="00AC4AEA">
        <w:rPr>
          <w:rFonts w:ascii="Arial" w:hAnsi="Arial" w:cs="Arial"/>
          <w:sz w:val="20"/>
          <w:szCs w:val="20"/>
        </w:rPr>
        <w:t xml:space="preserve"> </w:t>
      </w:r>
    </w:p>
    <w:p w:rsidR="002A4C4E" w:rsidRPr="00AC4AEA" w:rsidRDefault="00A00B8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expire la obligación, </w:t>
      </w:r>
    </w:p>
    <w:p w:rsidR="002A4C4E" w:rsidRPr="00AC4AEA" w:rsidRDefault="00A00B81"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entregue los bienes</w:t>
      </w:r>
      <w:r w:rsidR="002A4C4E" w:rsidRPr="00AC4AEA">
        <w:rPr>
          <w:rFonts w:ascii="Arial" w:hAnsi="Arial" w:cs="Arial"/>
          <w:sz w:val="20"/>
          <w:szCs w:val="20"/>
        </w:rPr>
        <w:t>; o</w:t>
      </w:r>
    </w:p>
    <w:p w:rsidR="00E669CD" w:rsidRPr="00AC4AEA" w:rsidRDefault="002627ED"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lastRenderedPageBreak/>
        <w:t xml:space="preserve">preste </w:t>
      </w:r>
      <w:r w:rsidR="00A00B81" w:rsidRPr="00AC4AEA">
        <w:rPr>
          <w:rFonts w:ascii="Arial" w:hAnsi="Arial" w:cs="Arial"/>
          <w:sz w:val="20"/>
          <w:szCs w:val="20"/>
        </w:rPr>
        <w:t>servicios comprometidos a la contraparte</w:t>
      </w:r>
      <w:r w:rsidR="00E669CD" w:rsidRPr="00AC4AEA">
        <w:rPr>
          <w:rFonts w:ascii="Arial" w:hAnsi="Arial" w:cs="Arial"/>
          <w:sz w:val="20"/>
          <w:szCs w:val="20"/>
        </w:rPr>
        <w:t>.</w:t>
      </w:r>
    </w:p>
    <w:p w:rsidR="00E669CD" w:rsidRPr="00AC4AEA" w:rsidRDefault="00E669CD" w:rsidP="00A318EA">
      <w:pPr>
        <w:pStyle w:val="Prrafodelista"/>
        <w:contextualSpacing w:val="0"/>
        <w:jc w:val="both"/>
        <w:rPr>
          <w:rFonts w:ascii="Arial" w:hAnsi="Arial" w:cs="Arial"/>
          <w:sz w:val="20"/>
          <w:szCs w:val="20"/>
        </w:rPr>
      </w:pPr>
    </w:p>
    <w:p w:rsidR="00E669CD" w:rsidRPr="00AC4AEA" w:rsidRDefault="00E669CD" w:rsidP="00A318EA">
      <w:pPr>
        <w:pStyle w:val="Ttulo2"/>
        <w:rPr>
          <w:rFonts w:cs="Arial"/>
        </w:rPr>
      </w:pPr>
      <w:bookmarkStart w:id="681" w:name="_Toc101863932"/>
      <w:bookmarkStart w:id="682" w:name="_Toc139356811"/>
      <w:r w:rsidRPr="00AC4AEA">
        <w:rPr>
          <w:rFonts w:cs="Arial"/>
        </w:rPr>
        <w:t xml:space="preserve">Presentación en los </w:t>
      </w:r>
      <w:r w:rsidR="00135084" w:rsidRPr="00AC4AEA">
        <w:rPr>
          <w:rFonts w:cs="Arial"/>
          <w:bCs/>
        </w:rPr>
        <w:t>estados contables</w:t>
      </w:r>
      <w:bookmarkEnd w:id="681"/>
      <w:bookmarkEnd w:id="682"/>
    </w:p>
    <w:p w:rsidR="00E669CD" w:rsidRPr="00AC4AEA" w:rsidRDefault="00E660B2" w:rsidP="00A318EA">
      <w:pPr>
        <w:pStyle w:val="A-Normal11"/>
        <w:numPr>
          <w:ilvl w:val="0"/>
          <w:numId w:val="29"/>
        </w:numPr>
        <w:jc w:val="both"/>
        <w:rPr>
          <w:rFonts w:ascii="Arial" w:hAnsi="Arial" w:cs="Arial"/>
          <w:sz w:val="20"/>
        </w:rPr>
      </w:pPr>
      <w:r w:rsidRPr="00AC4AEA">
        <w:rPr>
          <w:rFonts w:ascii="Arial" w:hAnsi="Arial" w:cs="Arial"/>
          <w:sz w:val="20"/>
        </w:rPr>
        <w:t>En el estado de situación patrimonial, u</w:t>
      </w:r>
      <w:r w:rsidR="00E669CD" w:rsidRPr="00AC4AEA">
        <w:rPr>
          <w:rFonts w:ascii="Arial" w:hAnsi="Arial" w:cs="Arial"/>
          <w:sz w:val="20"/>
        </w:rPr>
        <w:t xml:space="preserve">na entidad presentará </w:t>
      </w:r>
      <w:r w:rsidR="008045EA" w:rsidRPr="00AC4AEA">
        <w:rPr>
          <w:rFonts w:ascii="Arial" w:hAnsi="Arial" w:cs="Arial"/>
          <w:sz w:val="20"/>
        </w:rPr>
        <w:t xml:space="preserve">un </w:t>
      </w:r>
      <w:r w:rsidR="008045EA" w:rsidRPr="00AC4AEA">
        <w:rPr>
          <w:rFonts w:ascii="Arial" w:hAnsi="Arial" w:cs="Arial"/>
          <w:b/>
          <w:bCs/>
          <w:sz w:val="20"/>
        </w:rPr>
        <w:t>pasivo</w:t>
      </w:r>
      <w:r w:rsidR="008045EA" w:rsidRPr="00AC4AEA">
        <w:rPr>
          <w:rFonts w:ascii="Arial" w:hAnsi="Arial" w:cs="Arial"/>
          <w:sz w:val="20"/>
        </w:rPr>
        <w:t xml:space="preserve"> </w:t>
      </w:r>
      <w:r w:rsidRPr="00AC4AEA">
        <w:rPr>
          <w:rFonts w:ascii="Arial" w:hAnsi="Arial" w:cs="Arial"/>
          <w:sz w:val="20"/>
        </w:rPr>
        <w:t xml:space="preserve">cierto </w:t>
      </w:r>
      <w:r w:rsidR="008045EA" w:rsidRPr="00AC4AEA">
        <w:rPr>
          <w:rFonts w:ascii="Arial" w:hAnsi="Arial" w:cs="Arial"/>
          <w:sz w:val="20"/>
        </w:rPr>
        <w:t xml:space="preserve">(deuda) </w:t>
      </w:r>
      <w:r w:rsidRPr="00AC4AEA">
        <w:rPr>
          <w:rFonts w:ascii="Arial" w:hAnsi="Arial" w:cs="Arial"/>
          <w:sz w:val="20"/>
        </w:rPr>
        <w:t xml:space="preserve">en especie </w:t>
      </w:r>
      <w:r w:rsidR="00E669CD" w:rsidRPr="00AC4AEA">
        <w:rPr>
          <w:rFonts w:ascii="Arial" w:hAnsi="Arial" w:cs="Arial"/>
          <w:sz w:val="20"/>
        </w:rPr>
        <w:t xml:space="preserve">separado de las previsiones y distinguiendo, según corresponda, entre </w:t>
      </w:r>
      <w:r w:rsidR="00497590" w:rsidRPr="00AC4AEA">
        <w:rPr>
          <w:rFonts w:ascii="Arial" w:hAnsi="Arial" w:cs="Arial"/>
          <w:sz w:val="20"/>
        </w:rPr>
        <w:t>pasivos</w:t>
      </w:r>
      <w:r w:rsidR="00E669CD" w:rsidRPr="00AC4AEA">
        <w:rPr>
          <w:rFonts w:ascii="Arial" w:hAnsi="Arial" w:cs="Arial"/>
          <w:sz w:val="20"/>
        </w:rPr>
        <w:t xml:space="preserve"> corrientes</w:t>
      </w:r>
      <w:r w:rsidR="00E669CD" w:rsidRPr="00AC4AEA">
        <w:rPr>
          <w:rFonts w:ascii="Arial" w:hAnsi="Arial" w:cs="Arial"/>
          <w:b/>
          <w:bCs/>
          <w:sz w:val="20"/>
        </w:rPr>
        <w:t xml:space="preserve"> </w:t>
      </w:r>
      <w:r w:rsidR="00E669CD" w:rsidRPr="00AC4AEA">
        <w:rPr>
          <w:rFonts w:ascii="Arial" w:hAnsi="Arial" w:cs="Arial"/>
          <w:sz w:val="20"/>
        </w:rPr>
        <w:t>y</w:t>
      </w:r>
      <w:r w:rsidR="00E669CD" w:rsidRPr="00AC4AEA">
        <w:rPr>
          <w:rFonts w:ascii="Arial" w:hAnsi="Arial" w:cs="Arial"/>
          <w:b/>
          <w:bCs/>
          <w:sz w:val="20"/>
        </w:rPr>
        <w:t xml:space="preserve"> </w:t>
      </w:r>
      <w:r w:rsidR="00E669CD" w:rsidRPr="00AC4AEA">
        <w:rPr>
          <w:rFonts w:ascii="Arial" w:hAnsi="Arial" w:cs="Arial"/>
          <w:sz w:val="20"/>
        </w:rPr>
        <w:t>no corrientes.</w:t>
      </w:r>
    </w:p>
    <w:p w:rsidR="00E669CD" w:rsidRPr="00AC4AEA" w:rsidRDefault="00E660B2" w:rsidP="00A318EA">
      <w:pPr>
        <w:pStyle w:val="A-Normal11"/>
        <w:numPr>
          <w:ilvl w:val="0"/>
          <w:numId w:val="29"/>
        </w:numPr>
        <w:jc w:val="both"/>
        <w:rPr>
          <w:rFonts w:ascii="Arial" w:hAnsi="Arial" w:cs="Arial"/>
          <w:sz w:val="20"/>
        </w:rPr>
      </w:pPr>
      <w:r w:rsidRPr="00AC4AEA">
        <w:rPr>
          <w:rFonts w:ascii="Arial" w:hAnsi="Arial" w:cs="Arial"/>
          <w:sz w:val="20"/>
        </w:rPr>
        <w:t>En el estado de situación patrimonial, u</w:t>
      </w:r>
      <w:r w:rsidR="00E669CD" w:rsidRPr="00AC4AEA">
        <w:rPr>
          <w:rFonts w:ascii="Arial" w:hAnsi="Arial" w:cs="Arial"/>
          <w:sz w:val="20"/>
        </w:rPr>
        <w:t xml:space="preserve">na entidad clasificará </w:t>
      </w:r>
      <w:r w:rsidR="00C805D2" w:rsidRPr="00AC4AEA">
        <w:rPr>
          <w:rFonts w:ascii="Arial" w:hAnsi="Arial" w:cs="Arial"/>
          <w:sz w:val="20"/>
        </w:rPr>
        <w:t xml:space="preserve">cualquier </w:t>
      </w:r>
      <w:r w:rsidR="00C805D2" w:rsidRPr="00AC4AEA">
        <w:rPr>
          <w:rFonts w:ascii="Arial" w:hAnsi="Arial" w:cs="Arial"/>
          <w:b/>
          <w:bCs/>
          <w:sz w:val="20"/>
        </w:rPr>
        <w:t xml:space="preserve">pasivo </w:t>
      </w:r>
      <w:r w:rsidRPr="00AC4AEA">
        <w:rPr>
          <w:rFonts w:ascii="Arial" w:hAnsi="Arial" w:cs="Arial"/>
          <w:sz w:val="20"/>
        </w:rPr>
        <w:t xml:space="preserve">cierto </w:t>
      </w:r>
      <w:r w:rsidR="00C805D2" w:rsidRPr="00AC4AEA">
        <w:rPr>
          <w:rFonts w:ascii="Arial" w:hAnsi="Arial" w:cs="Arial"/>
          <w:sz w:val="20"/>
        </w:rPr>
        <w:t>(deuda) en especie</w:t>
      </w:r>
      <w:r w:rsidR="00C805D2" w:rsidRPr="00AC4AEA" w:rsidDel="00C805D2">
        <w:rPr>
          <w:rFonts w:ascii="Arial" w:hAnsi="Arial" w:cs="Arial"/>
          <w:sz w:val="20"/>
        </w:rPr>
        <w:t xml:space="preserve"> </w:t>
      </w:r>
      <w:r w:rsidR="00E669CD" w:rsidRPr="00AC4AEA">
        <w:rPr>
          <w:rFonts w:ascii="Arial" w:hAnsi="Arial" w:cs="Arial"/>
          <w:sz w:val="20"/>
        </w:rPr>
        <w:t xml:space="preserve">en función de su </w:t>
      </w:r>
      <w:r w:rsidR="00DC1A37" w:rsidRPr="00AC4AEA">
        <w:rPr>
          <w:rFonts w:ascii="Arial" w:hAnsi="Arial" w:cs="Arial"/>
          <w:sz w:val="20"/>
        </w:rPr>
        <w:t>naturaleza</w:t>
      </w:r>
      <w:r w:rsidR="00BF4A7C" w:rsidRPr="00AC4AEA">
        <w:rPr>
          <w:rFonts w:ascii="Arial" w:hAnsi="Arial" w:cs="Arial"/>
          <w:sz w:val="20"/>
        </w:rPr>
        <w:t>.</w:t>
      </w:r>
    </w:p>
    <w:p w:rsidR="00E669CD" w:rsidRPr="00AC4AEA" w:rsidRDefault="00E669CD" w:rsidP="00A318EA">
      <w:pPr>
        <w:pStyle w:val="Prrafodelista"/>
        <w:ind w:left="360"/>
        <w:contextualSpacing w:val="0"/>
        <w:jc w:val="both"/>
        <w:rPr>
          <w:rFonts w:ascii="Arial" w:hAnsi="Arial" w:cs="Arial"/>
          <w:b/>
          <w:bCs/>
          <w:sz w:val="20"/>
          <w:szCs w:val="20"/>
        </w:rPr>
      </w:pPr>
    </w:p>
    <w:p w:rsidR="00E669CD" w:rsidRPr="00AC4AEA" w:rsidRDefault="00E669CD" w:rsidP="00A318EA">
      <w:pPr>
        <w:pStyle w:val="Ttulo2"/>
        <w:rPr>
          <w:rFonts w:cs="Arial"/>
        </w:rPr>
      </w:pPr>
      <w:bookmarkStart w:id="683" w:name="_Toc101863933"/>
      <w:bookmarkStart w:id="684" w:name="_Toc139356812"/>
      <w:r w:rsidRPr="00AC4AEA">
        <w:rPr>
          <w:rFonts w:cs="Arial"/>
        </w:rPr>
        <w:t>Revelación en notas</w:t>
      </w:r>
      <w:bookmarkEnd w:id="683"/>
      <w:bookmarkEnd w:id="684"/>
    </w:p>
    <w:p w:rsidR="00E669CD" w:rsidRPr="00AC4AEA" w:rsidRDefault="00E669C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en notas: </w:t>
      </w:r>
    </w:p>
    <w:p w:rsidR="00E669CD" w:rsidRPr="00AC4AEA" w:rsidRDefault="00E669CD" w:rsidP="00A318EA">
      <w:pPr>
        <w:pStyle w:val="Prrafodelista"/>
        <w:numPr>
          <w:ilvl w:val="0"/>
          <w:numId w:val="289"/>
        </w:numPr>
        <w:ind w:left="1560"/>
        <w:contextualSpacing w:val="0"/>
        <w:jc w:val="both"/>
        <w:rPr>
          <w:rFonts w:ascii="Arial" w:hAnsi="Arial" w:cs="Arial"/>
          <w:sz w:val="20"/>
          <w:szCs w:val="20"/>
        </w:rPr>
      </w:pPr>
      <w:r w:rsidRPr="00AC4AEA">
        <w:rPr>
          <w:rFonts w:ascii="Arial" w:hAnsi="Arial" w:cs="Arial"/>
          <w:sz w:val="20"/>
          <w:szCs w:val="20"/>
        </w:rPr>
        <w:t xml:space="preserve">las </w:t>
      </w:r>
      <w:r w:rsidR="00135084" w:rsidRPr="00AC4AEA">
        <w:rPr>
          <w:rFonts w:ascii="Arial" w:hAnsi="Arial" w:cs="Arial"/>
          <w:b/>
          <w:bCs/>
          <w:sz w:val="20"/>
          <w:szCs w:val="20"/>
        </w:rPr>
        <w:t>políticas contables</w:t>
      </w:r>
      <w:r w:rsidR="00BF4A7C" w:rsidRPr="00AC4AEA">
        <w:rPr>
          <w:rFonts w:ascii="Arial" w:hAnsi="Arial" w:cs="Arial"/>
          <w:sz w:val="20"/>
          <w:szCs w:val="20"/>
        </w:rPr>
        <w:t xml:space="preserve"> empleadas</w:t>
      </w:r>
      <w:r w:rsidRPr="00AC4AEA">
        <w:rPr>
          <w:rFonts w:ascii="Arial" w:hAnsi="Arial" w:cs="Arial"/>
          <w:sz w:val="20"/>
          <w:szCs w:val="20"/>
        </w:rPr>
        <w:t xml:space="preserve"> y los criterios de medición aplicados para cada clase de </w:t>
      </w:r>
      <w:r w:rsidR="00C805D2" w:rsidRPr="00AC4AEA">
        <w:rPr>
          <w:rFonts w:ascii="Arial" w:hAnsi="Arial" w:cs="Arial"/>
          <w:b/>
          <w:bCs/>
          <w:sz w:val="20"/>
          <w:szCs w:val="20"/>
        </w:rPr>
        <w:t xml:space="preserve">pasivo </w:t>
      </w:r>
      <w:r w:rsidR="00C805D2" w:rsidRPr="00AC4AEA">
        <w:rPr>
          <w:rFonts w:ascii="Arial" w:hAnsi="Arial" w:cs="Arial"/>
          <w:sz w:val="20"/>
          <w:szCs w:val="20"/>
        </w:rPr>
        <w:t>(deuda) en especie</w:t>
      </w:r>
      <w:r w:rsidRPr="00AC4AEA">
        <w:rPr>
          <w:rFonts w:ascii="Arial" w:hAnsi="Arial" w:cs="Arial"/>
          <w:sz w:val="20"/>
          <w:szCs w:val="20"/>
        </w:rPr>
        <w:t>; y</w:t>
      </w:r>
    </w:p>
    <w:p w:rsidR="00E669CD" w:rsidRPr="00AC4AEA" w:rsidRDefault="00E669CD" w:rsidP="00A318EA">
      <w:pPr>
        <w:pStyle w:val="Prrafodelista"/>
        <w:numPr>
          <w:ilvl w:val="0"/>
          <w:numId w:val="289"/>
        </w:numPr>
        <w:ind w:left="1560"/>
        <w:contextualSpacing w:val="0"/>
        <w:jc w:val="both"/>
        <w:rPr>
          <w:rFonts w:ascii="Arial" w:hAnsi="Arial" w:cs="Arial"/>
          <w:sz w:val="20"/>
          <w:szCs w:val="20"/>
        </w:rPr>
      </w:pPr>
      <w:r w:rsidRPr="00AC4AEA">
        <w:rPr>
          <w:rFonts w:ascii="Arial" w:hAnsi="Arial" w:cs="Arial"/>
          <w:sz w:val="20"/>
          <w:szCs w:val="20"/>
        </w:rPr>
        <w:t>las bases y métodos utilizados y los supuestos considerados en las mediciones basadas en valores corrientes.</w:t>
      </w:r>
    </w:p>
    <w:p w:rsidR="00E669CD" w:rsidRPr="00AC4AEA" w:rsidRDefault="00E669C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información sobre la composición de </w:t>
      </w:r>
      <w:r w:rsidR="00C805D2" w:rsidRPr="00AC4AEA">
        <w:rPr>
          <w:rFonts w:ascii="Arial" w:hAnsi="Arial" w:cs="Arial"/>
          <w:sz w:val="20"/>
          <w:szCs w:val="20"/>
        </w:rPr>
        <w:t xml:space="preserve">cualquier </w:t>
      </w:r>
      <w:r w:rsidR="00C805D2" w:rsidRPr="00AC4AEA">
        <w:rPr>
          <w:rFonts w:ascii="Arial" w:hAnsi="Arial" w:cs="Arial"/>
          <w:b/>
          <w:bCs/>
          <w:sz w:val="20"/>
          <w:szCs w:val="20"/>
        </w:rPr>
        <w:t xml:space="preserve">pasivo </w:t>
      </w:r>
      <w:r w:rsidR="00C805D2" w:rsidRPr="00AC4AEA">
        <w:rPr>
          <w:rFonts w:ascii="Arial" w:hAnsi="Arial" w:cs="Arial"/>
          <w:sz w:val="20"/>
          <w:szCs w:val="20"/>
        </w:rPr>
        <w:t>(deuda) en especie</w:t>
      </w:r>
      <w:r w:rsidR="00C805D2" w:rsidRPr="00AC4AEA" w:rsidDel="00C805D2">
        <w:rPr>
          <w:rFonts w:ascii="Arial" w:hAnsi="Arial" w:cs="Arial"/>
          <w:sz w:val="20"/>
          <w:szCs w:val="20"/>
        </w:rPr>
        <w:t xml:space="preserve"> </w:t>
      </w:r>
      <w:r w:rsidRPr="00AC4AEA">
        <w:rPr>
          <w:rFonts w:ascii="Arial" w:hAnsi="Arial" w:cs="Arial"/>
          <w:sz w:val="20"/>
          <w:szCs w:val="20"/>
        </w:rPr>
        <w:t>que permita evaluar el importe, calendario e incertidumbre de los flujos de efectivo futuros, incluyendo:</w:t>
      </w:r>
    </w:p>
    <w:p w:rsidR="00E669CD" w:rsidRPr="00AC4AEA" w:rsidRDefault="00E669CD" w:rsidP="00A318EA">
      <w:pPr>
        <w:pStyle w:val="Prrafodelista"/>
        <w:numPr>
          <w:ilvl w:val="0"/>
          <w:numId w:val="282"/>
        </w:numPr>
        <w:ind w:left="1560"/>
        <w:contextualSpacing w:val="0"/>
        <w:jc w:val="both"/>
        <w:rPr>
          <w:rFonts w:ascii="Arial" w:hAnsi="Arial" w:cs="Arial"/>
          <w:sz w:val="20"/>
          <w:szCs w:val="20"/>
        </w:rPr>
      </w:pPr>
      <w:r w:rsidRPr="00AC4AEA">
        <w:rPr>
          <w:rFonts w:ascii="Arial" w:hAnsi="Arial" w:cs="Arial"/>
          <w:sz w:val="20"/>
          <w:szCs w:val="20"/>
        </w:rPr>
        <w:t>su naturaleza e instrumentación jurídica;</w:t>
      </w:r>
    </w:p>
    <w:p w:rsidR="00E669CD" w:rsidRPr="00AC4AEA" w:rsidRDefault="00E669CD" w:rsidP="00A318EA">
      <w:pPr>
        <w:pStyle w:val="Prrafodelista"/>
        <w:numPr>
          <w:ilvl w:val="0"/>
          <w:numId w:val="282"/>
        </w:numPr>
        <w:ind w:left="1560"/>
        <w:contextualSpacing w:val="0"/>
        <w:jc w:val="both"/>
        <w:rPr>
          <w:rFonts w:ascii="Arial" w:hAnsi="Arial" w:cs="Arial"/>
          <w:sz w:val="20"/>
          <w:szCs w:val="20"/>
        </w:rPr>
      </w:pPr>
      <w:r w:rsidRPr="00AC4AEA">
        <w:rPr>
          <w:rFonts w:ascii="Arial" w:hAnsi="Arial" w:cs="Arial"/>
          <w:sz w:val="20"/>
          <w:szCs w:val="20"/>
        </w:rPr>
        <w:t>los saldos con garantías; y</w:t>
      </w:r>
    </w:p>
    <w:p w:rsidR="00E669CD" w:rsidRPr="00AC4AEA" w:rsidRDefault="00E669CD" w:rsidP="00A318EA">
      <w:pPr>
        <w:pStyle w:val="Prrafodelista"/>
        <w:numPr>
          <w:ilvl w:val="0"/>
          <w:numId w:val="282"/>
        </w:numPr>
        <w:ind w:left="1560"/>
        <w:contextualSpacing w:val="0"/>
        <w:jc w:val="both"/>
        <w:rPr>
          <w:rFonts w:ascii="Arial" w:hAnsi="Arial" w:cs="Arial"/>
          <w:sz w:val="20"/>
          <w:szCs w:val="20"/>
        </w:rPr>
      </w:pPr>
      <w:r w:rsidRPr="00AC4AEA">
        <w:rPr>
          <w:rFonts w:ascii="Arial" w:hAnsi="Arial" w:cs="Arial"/>
          <w:sz w:val="20"/>
          <w:szCs w:val="20"/>
        </w:rPr>
        <w:t>los saldos con entidades sobre las cuales ejerce (o que ejercen sobre la entidad) control, control conjunto o influencia significativa.</w:t>
      </w:r>
    </w:p>
    <w:p w:rsidR="00E669CD" w:rsidRPr="00AC4AEA" w:rsidRDefault="00E669CD" w:rsidP="00A318EA">
      <w:pPr>
        <w:jc w:val="both"/>
        <w:rPr>
          <w:rFonts w:ascii="Arial" w:hAnsi="Arial" w:cs="Arial"/>
          <w:b/>
          <w:bCs/>
          <w:sz w:val="20"/>
          <w:szCs w:val="20"/>
        </w:rPr>
      </w:pPr>
    </w:p>
    <w:p w:rsidR="00E669CD" w:rsidRPr="00AC4AEA" w:rsidRDefault="00E669CD" w:rsidP="00A318EA">
      <w:pPr>
        <w:pStyle w:val="Ttulo2"/>
        <w:rPr>
          <w:rFonts w:cs="Arial"/>
        </w:rPr>
      </w:pPr>
      <w:bookmarkStart w:id="685" w:name="_Toc101863934"/>
      <w:bookmarkStart w:id="686" w:name="_Toc139356813"/>
      <w:r w:rsidRPr="00AC4AEA">
        <w:rPr>
          <w:rFonts w:cs="Arial"/>
        </w:rPr>
        <w:t>Otras normas aplicables</w:t>
      </w:r>
      <w:bookmarkEnd w:id="685"/>
      <w:bookmarkEnd w:id="686"/>
    </w:p>
    <w:p w:rsidR="00E669CD" w:rsidRPr="00AC4AEA" w:rsidRDefault="00E669CD" w:rsidP="00A318EA">
      <w:pPr>
        <w:pStyle w:val="Prrafodelista"/>
        <w:numPr>
          <w:ilvl w:val="0"/>
          <w:numId w:val="29"/>
        </w:numPr>
        <w:contextualSpacing w:val="0"/>
        <w:jc w:val="both"/>
        <w:rPr>
          <w:rFonts w:ascii="Arial" w:hAnsi="Arial" w:cs="Arial"/>
          <w:sz w:val="20"/>
          <w:szCs w:val="20"/>
        </w:rPr>
      </w:pPr>
      <w:bookmarkStart w:id="687" w:name="_Ref105076102"/>
      <w:r w:rsidRPr="00AC4AEA">
        <w:rPr>
          <w:rFonts w:ascii="Arial" w:hAnsi="Arial" w:cs="Arial"/>
          <w:sz w:val="20"/>
          <w:szCs w:val="20"/>
        </w:rPr>
        <w:t xml:space="preserve">Para el tratamiento contable de los componentes de </w:t>
      </w:r>
      <w:r w:rsidR="00497590" w:rsidRPr="00AC4AEA">
        <w:rPr>
          <w:rFonts w:ascii="Arial" w:hAnsi="Arial" w:cs="Arial"/>
          <w:sz w:val="20"/>
          <w:szCs w:val="20"/>
        </w:rPr>
        <w:t>pasivos</w:t>
      </w:r>
      <w:r w:rsidRPr="00AC4AEA">
        <w:rPr>
          <w:rFonts w:ascii="Arial" w:hAnsi="Arial" w:cs="Arial"/>
          <w:sz w:val="20"/>
          <w:szCs w:val="20"/>
        </w:rPr>
        <w:t xml:space="preserve"> ciertos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w:t>
      </w:r>
      <w:bookmarkEnd w:id="687"/>
    </w:p>
    <w:p w:rsidR="00AE7157" w:rsidRPr="00AC4AEA" w:rsidRDefault="00AE715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 y “</w:t>
      </w:r>
      <w:r w:rsidRPr="00AC4AEA">
        <w:rPr>
          <w:rFonts w:ascii="Arial" w:hAnsi="Arial" w:cs="Arial"/>
          <w:sz w:val="20"/>
          <w:szCs w:val="20"/>
          <w:u w:val="single"/>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p>
    <w:p w:rsidR="00AE7157" w:rsidRPr="00AC4AEA" w:rsidRDefault="00AE715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AE7157" w:rsidRPr="00AC4AEA" w:rsidRDefault="00AE715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E669CD" w:rsidRPr="00AC4AEA" w:rsidRDefault="00AE715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r w:rsidR="00E669CD" w:rsidRPr="00AC4AEA">
        <w:rPr>
          <w:rFonts w:ascii="Arial" w:hAnsi="Arial" w:cs="Arial"/>
          <w:sz w:val="20"/>
          <w:szCs w:val="20"/>
        </w:rPr>
        <w:t>.</w:t>
      </w:r>
    </w:p>
    <w:p w:rsidR="00AE7883" w:rsidRPr="00AC4AEA" w:rsidRDefault="00AE7883" w:rsidP="00A318EA">
      <w:pPr>
        <w:pStyle w:val="Ttulo1"/>
        <w:rPr>
          <w:rFonts w:cs="Arial"/>
          <w:sz w:val="20"/>
          <w:szCs w:val="20"/>
        </w:rPr>
      </w:pPr>
      <w:bookmarkStart w:id="688" w:name="_Toc101863935"/>
    </w:p>
    <w:p w:rsidR="0048703B" w:rsidRPr="00AC4AEA" w:rsidRDefault="00002197" w:rsidP="00A318EA">
      <w:pPr>
        <w:pStyle w:val="Ttulo1"/>
        <w:rPr>
          <w:rFonts w:cs="Arial"/>
          <w:sz w:val="20"/>
          <w:szCs w:val="20"/>
        </w:rPr>
      </w:pPr>
      <w:bookmarkStart w:id="689" w:name="_Toc139356814"/>
      <w:r w:rsidRPr="00AC4AEA">
        <w:rPr>
          <w:rFonts w:cs="Arial"/>
          <w:sz w:val="20"/>
          <w:szCs w:val="20"/>
        </w:rPr>
        <w:t>PREVISIONES</w:t>
      </w:r>
      <w:bookmarkEnd w:id="680"/>
      <w:r w:rsidRPr="00AC4AEA">
        <w:rPr>
          <w:rFonts w:cs="Arial"/>
          <w:sz w:val="20"/>
          <w:szCs w:val="20"/>
        </w:rPr>
        <w:t xml:space="preserve"> Y OTROS </w:t>
      </w:r>
      <w:r w:rsidR="00497590" w:rsidRPr="00AC4AEA">
        <w:rPr>
          <w:rFonts w:cs="Arial"/>
          <w:sz w:val="20"/>
          <w:szCs w:val="20"/>
        </w:rPr>
        <w:t>PASIVOS</w:t>
      </w:r>
      <w:r w:rsidRPr="00AC4AEA">
        <w:rPr>
          <w:rFonts w:cs="Arial"/>
          <w:sz w:val="20"/>
          <w:szCs w:val="20"/>
        </w:rPr>
        <w:t xml:space="preserve"> CONTINGENTES</w:t>
      </w:r>
      <w:bookmarkEnd w:id="688"/>
      <w:bookmarkEnd w:id="689"/>
    </w:p>
    <w:p w:rsidR="0048703B" w:rsidRPr="00AC4AEA" w:rsidRDefault="0048703B" w:rsidP="00A318EA">
      <w:pPr>
        <w:pStyle w:val="Ttulo2"/>
        <w:rPr>
          <w:rFonts w:cs="Arial"/>
        </w:rPr>
      </w:pPr>
      <w:bookmarkStart w:id="690" w:name="_Toc101863936"/>
      <w:bookmarkStart w:id="691" w:name="_Toc139356815"/>
      <w:r w:rsidRPr="00AC4AEA">
        <w:rPr>
          <w:rFonts w:cs="Arial"/>
        </w:rPr>
        <w:t>Definiciones</w:t>
      </w:r>
      <w:bookmarkEnd w:id="690"/>
      <w:bookmarkEnd w:id="691"/>
    </w:p>
    <w:p w:rsidR="005C7807" w:rsidRPr="00AC4AEA" w:rsidRDefault="005C7807" w:rsidP="00A318EA">
      <w:pPr>
        <w:pStyle w:val="Prrafodelista"/>
        <w:numPr>
          <w:ilvl w:val="0"/>
          <w:numId w:val="29"/>
        </w:numPr>
        <w:contextualSpacing w:val="0"/>
        <w:jc w:val="both"/>
        <w:rPr>
          <w:rFonts w:ascii="Arial" w:hAnsi="Arial" w:cs="Arial"/>
          <w:sz w:val="20"/>
          <w:szCs w:val="20"/>
        </w:rPr>
      </w:pPr>
      <w:bookmarkStart w:id="692" w:name="_Ref74758194"/>
      <w:r w:rsidRPr="00AC4AEA">
        <w:rPr>
          <w:rFonts w:ascii="Arial" w:hAnsi="Arial" w:cs="Arial"/>
          <w:sz w:val="20"/>
          <w:szCs w:val="20"/>
        </w:rPr>
        <w:t xml:space="preserve">A los fines del tratamiento de los </w:t>
      </w:r>
      <w:r w:rsidR="00497590" w:rsidRPr="00AC4AEA">
        <w:rPr>
          <w:rFonts w:ascii="Arial" w:hAnsi="Arial" w:cs="Arial"/>
          <w:sz w:val="20"/>
          <w:szCs w:val="20"/>
        </w:rPr>
        <w:t>pasivos</w:t>
      </w:r>
      <w:r w:rsidRPr="00AC4AEA">
        <w:rPr>
          <w:rFonts w:ascii="Arial" w:hAnsi="Arial" w:cs="Arial"/>
          <w:sz w:val="20"/>
          <w:szCs w:val="20"/>
        </w:rPr>
        <w:t xml:space="preserve"> referidos en esta sección, una entidad deberá considerar las definiciones siguientes.</w:t>
      </w:r>
      <w:bookmarkEnd w:id="692"/>
    </w:p>
    <w:p w:rsidR="00BE0E82" w:rsidRPr="00AC4AEA" w:rsidRDefault="0048703B" w:rsidP="00A318EA">
      <w:pPr>
        <w:ind w:left="1416"/>
        <w:jc w:val="both"/>
        <w:rPr>
          <w:rFonts w:ascii="Arial" w:hAnsi="Arial" w:cs="Arial"/>
          <w:sz w:val="20"/>
          <w:szCs w:val="20"/>
        </w:rPr>
      </w:pPr>
      <w:r w:rsidRPr="00AC4AEA">
        <w:rPr>
          <w:rFonts w:ascii="Arial" w:hAnsi="Arial" w:cs="Arial"/>
          <w:sz w:val="20"/>
          <w:szCs w:val="20"/>
          <w:u w:val="single"/>
        </w:rPr>
        <w:t>Previsiones</w:t>
      </w:r>
      <w:r w:rsidR="00720312" w:rsidRPr="00AC4AEA">
        <w:rPr>
          <w:rFonts w:ascii="Arial" w:hAnsi="Arial" w:cs="Arial"/>
          <w:sz w:val="20"/>
          <w:szCs w:val="20"/>
        </w:rPr>
        <w:t xml:space="preserve">: </w:t>
      </w:r>
      <w:r w:rsidRPr="00AC4AEA">
        <w:rPr>
          <w:rFonts w:ascii="Arial" w:hAnsi="Arial" w:cs="Arial"/>
          <w:sz w:val="20"/>
          <w:szCs w:val="20"/>
        </w:rPr>
        <w:t xml:space="preserve">Son </w:t>
      </w:r>
      <w:r w:rsidR="00497590" w:rsidRPr="00AC4AEA">
        <w:rPr>
          <w:rFonts w:ascii="Arial" w:hAnsi="Arial" w:cs="Arial"/>
          <w:sz w:val="20"/>
          <w:szCs w:val="20"/>
        </w:rPr>
        <w:t>pasivos</w:t>
      </w:r>
      <w:r w:rsidRPr="00AC4AEA">
        <w:rPr>
          <w:rFonts w:ascii="Arial" w:hAnsi="Arial" w:cs="Arial"/>
          <w:sz w:val="20"/>
          <w:szCs w:val="20"/>
        </w:rPr>
        <w:t xml:space="preserve"> caracterizados por</w:t>
      </w:r>
      <w:r w:rsidR="00BE0E82" w:rsidRPr="00AC4AEA">
        <w:rPr>
          <w:rFonts w:ascii="Arial" w:hAnsi="Arial" w:cs="Arial"/>
          <w:sz w:val="20"/>
          <w:szCs w:val="20"/>
        </w:rPr>
        <w:t>:</w:t>
      </w:r>
    </w:p>
    <w:p w:rsidR="00BE0E82" w:rsidRPr="00AC4AEA" w:rsidRDefault="009E1899" w:rsidP="00A318EA">
      <w:pPr>
        <w:pStyle w:val="Prrafodelista"/>
        <w:numPr>
          <w:ilvl w:val="0"/>
          <w:numId w:val="127"/>
        </w:numPr>
        <w:ind w:left="1982"/>
        <w:contextualSpacing w:val="0"/>
        <w:jc w:val="both"/>
        <w:rPr>
          <w:rFonts w:ascii="Arial" w:hAnsi="Arial" w:cs="Arial"/>
          <w:sz w:val="20"/>
          <w:szCs w:val="20"/>
        </w:rPr>
      </w:pPr>
      <w:r w:rsidRPr="00AC4AEA">
        <w:rPr>
          <w:rFonts w:ascii="Arial" w:hAnsi="Arial" w:cs="Arial"/>
          <w:sz w:val="20"/>
          <w:szCs w:val="20"/>
        </w:rPr>
        <w:t>i</w:t>
      </w:r>
      <w:r w:rsidR="0048703B" w:rsidRPr="00AC4AEA">
        <w:rPr>
          <w:rFonts w:ascii="Arial" w:hAnsi="Arial" w:cs="Arial"/>
          <w:sz w:val="20"/>
          <w:szCs w:val="20"/>
        </w:rPr>
        <w:t xml:space="preserve">ncertidumbre sobre su cuantía y vencimiento, </w:t>
      </w:r>
      <w:r w:rsidR="00BE0E82" w:rsidRPr="00AC4AEA">
        <w:rPr>
          <w:rFonts w:ascii="Arial" w:hAnsi="Arial" w:cs="Arial"/>
          <w:sz w:val="20"/>
          <w:szCs w:val="20"/>
        </w:rPr>
        <w:t>pues</w:t>
      </w:r>
      <w:r w:rsidR="0048703B" w:rsidRPr="00AC4AEA">
        <w:rPr>
          <w:rFonts w:ascii="Arial" w:hAnsi="Arial" w:cs="Arial"/>
          <w:sz w:val="20"/>
          <w:szCs w:val="20"/>
        </w:rPr>
        <w:t xml:space="preserve"> dependen de hechos futuros que no están totalmente bajo el control de la entidad</w:t>
      </w:r>
      <w:r w:rsidR="00DC6011" w:rsidRPr="00AC4AEA">
        <w:rPr>
          <w:rFonts w:ascii="Arial" w:hAnsi="Arial" w:cs="Arial"/>
          <w:sz w:val="20"/>
          <w:szCs w:val="20"/>
        </w:rPr>
        <w:t>;</w:t>
      </w:r>
      <w:r w:rsidR="0048703B" w:rsidRPr="00AC4AEA">
        <w:rPr>
          <w:rFonts w:ascii="Arial" w:hAnsi="Arial" w:cs="Arial"/>
          <w:sz w:val="20"/>
          <w:szCs w:val="20"/>
        </w:rPr>
        <w:t xml:space="preserve"> </w:t>
      </w:r>
      <w:r w:rsidR="00BE0E82" w:rsidRPr="00AC4AEA">
        <w:rPr>
          <w:rFonts w:ascii="Arial" w:hAnsi="Arial" w:cs="Arial"/>
          <w:sz w:val="20"/>
          <w:szCs w:val="20"/>
        </w:rPr>
        <w:t>y</w:t>
      </w:r>
    </w:p>
    <w:p w:rsidR="0048703B" w:rsidRPr="00AC4AEA" w:rsidRDefault="009E1899" w:rsidP="00A318EA">
      <w:pPr>
        <w:pStyle w:val="Prrafodelista"/>
        <w:numPr>
          <w:ilvl w:val="0"/>
          <w:numId w:val="127"/>
        </w:numPr>
        <w:autoSpaceDE w:val="0"/>
        <w:autoSpaceDN w:val="0"/>
        <w:adjustRightInd w:val="0"/>
        <w:ind w:left="1982"/>
        <w:contextualSpacing w:val="0"/>
        <w:jc w:val="both"/>
        <w:rPr>
          <w:rFonts w:ascii="Arial" w:hAnsi="Arial" w:cs="Arial"/>
          <w:sz w:val="20"/>
          <w:szCs w:val="20"/>
        </w:rPr>
      </w:pPr>
      <w:r w:rsidRPr="00AC4AEA">
        <w:rPr>
          <w:rFonts w:ascii="Arial" w:hAnsi="Arial" w:cs="Arial"/>
          <w:sz w:val="20"/>
          <w:szCs w:val="20"/>
        </w:rPr>
        <w:t>s</w:t>
      </w:r>
      <w:r w:rsidR="00BE0E82" w:rsidRPr="00AC4AEA">
        <w:rPr>
          <w:rFonts w:ascii="Arial" w:hAnsi="Arial" w:cs="Arial"/>
          <w:sz w:val="20"/>
          <w:szCs w:val="20"/>
        </w:rPr>
        <w:t>atisface</w:t>
      </w:r>
      <w:r w:rsidR="00ED427E" w:rsidRPr="00AC4AEA">
        <w:rPr>
          <w:rFonts w:ascii="Arial" w:hAnsi="Arial" w:cs="Arial"/>
          <w:sz w:val="20"/>
          <w:szCs w:val="20"/>
        </w:rPr>
        <w:t>r</w:t>
      </w:r>
      <w:r w:rsidR="00BE0E82" w:rsidRPr="00AC4AEA">
        <w:rPr>
          <w:rFonts w:ascii="Arial" w:hAnsi="Arial" w:cs="Arial"/>
          <w:sz w:val="20"/>
          <w:szCs w:val="20"/>
        </w:rPr>
        <w:t xml:space="preserve"> </w:t>
      </w:r>
      <w:r w:rsidR="0048703B" w:rsidRPr="00AC4AEA">
        <w:rPr>
          <w:rFonts w:ascii="Arial" w:hAnsi="Arial" w:cs="Arial"/>
          <w:sz w:val="20"/>
          <w:szCs w:val="20"/>
        </w:rPr>
        <w:t>los requisitos</w:t>
      </w:r>
      <w:r w:rsidR="00BE0E82" w:rsidRPr="00AC4AEA">
        <w:rPr>
          <w:rFonts w:ascii="Arial" w:hAnsi="Arial" w:cs="Arial"/>
          <w:sz w:val="20"/>
          <w:szCs w:val="20"/>
        </w:rPr>
        <w:t xml:space="preserve"> establecidos por esta </w:t>
      </w:r>
      <w:r w:rsidR="00A235CC" w:rsidRPr="00AC4AEA">
        <w:rPr>
          <w:rFonts w:ascii="Arial" w:hAnsi="Arial" w:cs="Arial"/>
          <w:sz w:val="20"/>
          <w:szCs w:val="20"/>
        </w:rPr>
        <w:t>R</w:t>
      </w:r>
      <w:r w:rsidR="00BE0E82" w:rsidRPr="00AC4AEA">
        <w:rPr>
          <w:rFonts w:ascii="Arial" w:hAnsi="Arial" w:cs="Arial"/>
          <w:sz w:val="20"/>
          <w:szCs w:val="20"/>
        </w:rPr>
        <w:t xml:space="preserve">esolución </w:t>
      </w:r>
      <w:r w:rsidR="00A235CC" w:rsidRPr="00AC4AEA">
        <w:rPr>
          <w:rFonts w:ascii="Arial" w:hAnsi="Arial" w:cs="Arial"/>
          <w:sz w:val="20"/>
          <w:szCs w:val="20"/>
        </w:rPr>
        <w:t>T</w:t>
      </w:r>
      <w:r w:rsidR="00BE0E82" w:rsidRPr="00AC4AEA">
        <w:rPr>
          <w:rFonts w:ascii="Arial" w:hAnsi="Arial" w:cs="Arial"/>
          <w:sz w:val="20"/>
          <w:szCs w:val="20"/>
        </w:rPr>
        <w:t>écnica</w:t>
      </w:r>
      <w:r w:rsidR="0048703B" w:rsidRPr="00AC4AEA">
        <w:rPr>
          <w:rFonts w:ascii="Arial" w:hAnsi="Arial" w:cs="Arial"/>
          <w:sz w:val="20"/>
          <w:szCs w:val="20"/>
        </w:rPr>
        <w:t xml:space="preserve"> para su reconocimiento.</w:t>
      </w:r>
    </w:p>
    <w:p w:rsidR="002A4C4E" w:rsidRPr="00AC4AEA" w:rsidRDefault="00381FBC"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 xml:space="preserve">Otros </w:t>
      </w:r>
      <w:r w:rsidR="00497590" w:rsidRPr="00AC4AEA">
        <w:rPr>
          <w:rFonts w:ascii="Arial" w:hAnsi="Arial" w:cs="Arial"/>
          <w:sz w:val="20"/>
          <w:szCs w:val="20"/>
          <w:u w:val="single"/>
        </w:rPr>
        <w:t>pasivos</w:t>
      </w:r>
      <w:r w:rsidRPr="00AC4AEA">
        <w:rPr>
          <w:rFonts w:ascii="Arial" w:hAnsi="Arial" w:cs="Arial"/>
          <w:sz w:val="20"/>
          <w:szCs w:val="20"/>
          <w:u w:val="single"/>
        </w:rPr>
        <w:t xml:space="preserve"> contingentes</w:t>
      </w:r>
      <w:r w:rsidRPr="00AC4AEA">
        <w:rPr>
          <w:rFonts w:ascii="Arial" w:hAnsi="Arial" w:cs="Arial"/>
          <w:sz w:val="20"/>
          <w:szCs w:val="20"/>
        </w:rPr>
        <w:t xml:space="preserve">: </w:t>
      </w:r>
      <w:r w:rsidR="00F77C4B" w:rsidRPr="00AC4AEA">
        <w:rPr>
          <w:rFonts w:ascii="Arial" w:hAnsi="Arial" w:cs="Arial"/>
          <w:sz w:val="20"/>
          <w:szCs w:val="20"/>
        </w:rPr>
        <w:t>S</w:t>
      </w:r>
      <w:r w:rsidRPr="00AC4AEA">
        <w:rPr>
          <w:rFonts w:ascii="Arial" w:hAnsi="Arial" w:cs="Arial"/>
          <w:sz w:val="20"/>
          <w:szCs w:val="20"/>
        </w:rPr>
        <w:t xml:space="preserve">on </w:t>
      </w:r>
      <w:r w:rsidR="00497590" w:rsidRPr="00AC4AEA">
        <w:rPr>
          <w:rFonts w:ascii="Arial" w:hAnsi="Arial" w:cs="Arial"/>
          <w:sz w:val="20"/>
          <w:szCs w:val="20"/>
        </w:rPr>
        <w:t>pasivos</w:t>
      </w:r>
      <w:r w:rsidRPr="00AC4AEA">
        <w:rPr>
          <w:rFonts w:ascii="Arial" w:hAnsi="Arial" w:cs="Arial"/>
          <w:sz w:val="20"/>
          <w:szCs w:val="20"/>
        </w:rPr>
        <w:t xml:space="preserve"> con las mismas características que las previsiones, excepto </w:t>
      </w:r>
      <w:r w:rsidR="002A4C4E" w:rsidRPr="00AC4AEA">
        <w:rPr>
          <w:rFonts w:ascii="Arial" w:hAnsi="Arial" w:cs="Arial"/>
          <w:sz w:val="20"/>
          <w:szCs w:val="20"/>
        </w:rPr>
        <w:t>porque:</w:t>
      </w:r>
    </w:p>
    <w:p w:rsidR="00835565" w:rsidRPr="00AC4AEA" w:rsidRDefault="002A4C4E" w:rsidP="00A318EA">
      <w:pPr>
        <w:pStyle w:val="Prrafodelista"/>
        <w:numPr>
          <w:ilvl w:val="1"/>
          <w:numId w:val="29"/>
        </w:numPr>
        <w:autoSpaceDE w:val="0"/>
        <w:autoSpaceDN w:val="0"/>
        <w:adjustRightInd w:val="0"/>
        <w:ind w:left="1985"/>
        <w:contextualSpacing w:val="0"/>
        <w:jc w:val="both"/>
        <w:rPr>
          <w:rFonts w:ascii="Arial" w:hAnsi="Arial" w:cs="Arial"/>
          <w:sz w:val="20"/>
          <w:szCs w:val="20"/>
        </w:rPr>
      </w:pPr>
      <w:r w:rsidRPr="00AC4AEA">
        <w:rPr>
          <w:rFonts w:ascii="Arial" w:hAnsi="Arial" w:cs="Arial"/>
          <w:sz w:val="20"/>
          <w:szCs w:val="20"/>
        </w:rPr>
        <w:t xml:space="preserve">no </w:t>
      </w:r>
      <w:r w:rsidR="00455BA2" w:rsidRPr="00AC4AEA">
        <w:rPr>
          <w:rFonts w:ascii="Arial" w:hAnsi="Arial" w:cs="Arial"/>
          <w:sz w:val="20"/>
          <w:szCs w:val="20"/>
        </w:rPr>
        <w:t>cumple</w:t>
      </w:r>
      <w:r w:rsidR="00567540" w:rsidRPr="00AC4AEA">
        <w:rPr>
          <w:rFonts w:ascii="Arial" w:hAnsi="Arial" w:cs="Arial"/>
          <w:sz w:val="20"/>
          <w:szCs w:val="20"/>
        </w:rPr>
        <w:t>n</w:t>
      </w:r>
      <w:r w:rsidR="00455BA2" w:rsidRPr="00AC4AEA">
        <w:rPr>
          <w:rFonts w:ascii="Arial" w:hAnsi="Arial" w:cs="Arial"/>
          <w:sz w:val="20"/>
          <w:szCs w:val="20"/>
        </w:rPr>
        <w:t xml:space="preserve"> los criterios de reconocimiento del párrafo </w:t>
      </w:r>
      <w:fldSimple w:instr=" REF _Ref99618996 \r \h  \* MERGEFORMAT ">
        <w:r w:rsidR="00D33A5D" w:rsidRPr="00D33A5D">
          <w:rPr>
            <w:rFonts w:ascii="Arial" w:hAnsi="Arial" w:cs="Arial"/>
            <w:sz w:val="20"/>
            <w:szCs w:val="20"/>
          </w:rPr>
          <w:t>488</w:t>
        </w:r>
      </w:fldSimple>
      <w:r w:rsidRPr="00AC4AEA">
        <w:rPr>
          <w:rFonts w:ascii="Arial" w:hAnsi="Arial" w:cs="Arial"/>
          <w:sz w:val="20"/>
          <w:szCs w:val="20"/>
        </w:rPr>
        <w:t>; y</w:t>
      </w:r>
    </w:p>
    <w:p w:rsidR="002A4C4E" w:rsidRPr="00AC4AEA" w:rsidRDefault="002A4C4E" w:rsidP="00A318EA">
      <w:pPr>
        <w:pStyle w:val="Prrafodelista"/>
        <w:numPr>
          <w:ilvl w:val="1"/>
          <w:numId w:val="29"/>
        </w:numPr>
        <w:autoSpaceDE w:val="0"/>
        <w:autoSpaceDN w:val="0"/>
        <w:adjustRightInd w:val="0"/>
        <w:ind w:left="1985"/>
        <w:contextualSpacing w:val="0"/>
        <w:jc w:val="both"/>
        <w:rPr>
          <w:rFonts w:ascii="Arial" w:hAnsi="Arial" w:cs="Arial"/>
          <w:sz w:val="20"/>
          <w:szCs w:val="20"/>
        </w:rPr>
      </w:pPr>
      <w:r w:rsidRPr="00AC4AEA">
        <w:rPr>
          <w:rFonts w:ascii="Arial" w:hAnsi="Arial" w:cs="Arial"/>
          <w:sz w:val="20"/>
          <w:szCs w:val="20"/>
        </w:rPr>
        <w:t>solo deben revelarse en notas.</w:t>
      </w:r>
    </w:p>
    <w:p w:rsidR="00381FBC" w:rsidRPr="00AC4AEA" w:rsidRDefault="00B61D5A" w:rsidP="00A318EA">
      <w:pPr>
        <w:autoSpaceDE w:val="0"/>
        <w:autoSpaceDN w:val="0"/>
        <w:adjustRightInd w:val="0"/>
        <w:ind w:left="1418"/>
        <w:jc w:val="both"/>
        <w:rPr>
          <w:rFonts w:ascii="Arial" w:hAnsi="Arial" w:cs="Arial"/>
          <w:sz w:val="20"/>
          <w:szCs w:val="20"/>
        </w:rPr>
      </w:pPr>
      <w:r w:rsidRPr="00AC4AEA">
        <w:rPr>
          <w:rFonts w:ascii="Arial" w:hAnsi="Arial" w:cs="Arial"/>
          <w:sz w:val="20"/>
          <w:szCs w:val="20"/>
        </w:rPr>
        <w:t xml:space="preserve">Se excluyen de esta sección los pasivos </w:t>
      </w:r>
      <w:r w:rsidR="00963389" w:rsidRPr="00AC4AEA">
        <w:rPr>
          <w:rFonts w:ascii="Arial" w:hAnsi="Arial" w:cs="Arial"/>
          <w:sz w:val="20"/>
          <w:szCs w:val="20"/>
        </w:rPr>
        <w:t xml:space="preserve">que </w:t>
      </w:r>
      <w:r w:rsidR="004F5934" w:rsidRPr="00AC4AEA">
        <w:rPr>
          <w:rFonts w:ascii="Arial" w:hAnsi="Arial" w:cs="Arial"/>
          <w:sz w:val="20"/>
          <w:szCs w:val="20"/>
        </w:rPr>
        <w:t>se contabilizan aplicando</w:t>
      </w:r>
      <w:r w:rsidRPr="00AC4AEA">
        <w:rPr>
          <w:rFonts w:ascii="Arial" w:hAnsi="Arial" w:cs="Arial"/>
          <w:sz w:val="20"/>
          <w:szCs w:val="20"/>
        </w:rPr>
        <w:t xml:space="preserve"> la sección </w:t>
      </w:r>
      <w:r w:rsidR="004F5934" w:rsidRPr="00AC4AEA">
        <w:rPr>
          <w:rFonts w:ascii="Arial" w:eastAsia="Times New Roman" w:hAnsi="Arial" w:cs="Arial"/>
          <w:sz w:val="20"/>
          <w:szCs w:val="20"/>
          <w:lang w:eastAsia="es-ES"/>
        </w:rPr>
        <w:t>“</w:t>
      </w:r>
      <w:r w:rsidR="004F5934" w:rsidRPr="00AC4AEA">
        <w:rPr>
          <w:rFonts w:ascii="Arial" w:eastAsia="Times New Roman" w:hAnsi="Arial" w:cs="Arial"/>
          <w:sz w:val="20"/>
          <w:szCs w:val="20"/>
          <w:u w:val="single"/>
          <w:lang w:eastAsia="es-ES"/>
        </w:rPr>
        <w:t>Beneficios a los empleados posteriores a la terminación de la relación laboral y otros beneficios a largo plazo</w:t>
      </w:r>
      <w:r w:rsidR="004F5934" w:rsidRPr="00AC4AEA">
        <w:rPr>
          <w:rFonts w:ascii="Arial" w:eastAsia="Times New Roman" w:hAnsi="Arial" w:cs="Arial"/>
          <w:sz w:val="20"/>
          <w:szCs w:val="20"/>
          <w:lang w:eastAsia="es-ES"/>
        </w:rPr>
        <w:t xml:space="preserve">” [ver los párrafos </w:t>
      </w:r>
      <w:fldSimple w:instr=" REF _Ref132036558 \r \h  \* MERGEFORMAT ">
        <w:r w:rsidR="00D33A5D" w:rsidRPr="00D33A5D">
          <w:rPr>
            <w:rFonts w:ascii="Arial" w:eastAsia="Times New Roman" w:hAnsi="Arial" w:cs="Arial"/>
            <w:sz w:val="20"/>
            <w:szCs w:val="20"/>
            <w:lang w:eastAsia="es-ES"/>
          </w:rPr>
          <w:t>872</w:t>
        </w:r>
      </w:fldSimple>
      <w:r w:rsidR="004F5934" w:rsidRPr="00AC4AEA">
        <w:rPr>
          <w:rFonts w:ascii="Arial" w:eastAsia="Times New Roman" w:hAnsi="Arial" w:cs="Arial"/>
          <w:sz w:val="20"/>
          <w:szCs w:val="20"/>
          <w:lang w:eastAsia="es-ES"/>
        </w:rPr>
        <w:t xml:space="preserve"> al </w:t>
      </w:r>
      <w:fldSimple w:instr=" REF _Ref135045493 \r \h  \* MERGEFORMAT ">
        <w:r w:rsidR="00D33A5D" w:rsidRPr="00D33A5D">
          <w:rPr>
            <w:rFonts w:ascii="Arial" w:hAnsi="Arial" w:cs="Arial"/>
            <w:sz w:val="20"/>
            <w:szCs w:val="20"/>
          </w:rPr>
          <w:t>956</w:t>
        </w:r>
      </w:fldSimple>
      <w:r w:rsidR="004F5934" w:rsidRPr="00AC4AEA">
        <w:rPr>
          <w:rFonts w:ascii="Arial" w:eastAsia="Times New Roman" w:hAnsi="Arial" w:cs="Arial"/>
          <w:sz w:val="20"/>
          <w:szCs w:val="20"/>
          <w:lang w:eastAsia="es-ES"/>
        </w:rPr>
        <w:t>]</w:t>
      </w:r>
      <w:r w:rsidRPr="00AC4AEA">
        <w:rPr>
          <w:rFonts w:ascii="Arial" w:hAnsi="Arial" w:cs="Arial"/>
          <w:sz w:val="20"/>
          <w:szCs w:val="20"/>
        </w:rPr>
        <w:t>.</w:t>
      </w:r>
    </w:p>
    <w:p w:rsidR="00347C86" w:rsidRPr="00AC4AEA" w:rsidRDefault="00347C86" w:rsidP="00A318EA">
      <w:pPr>
        <w:pStyle w:val="A-doctorado"/>
        <w:rPr>
          <w:rFonts w:ascii="Arial" w:hAnsi="Arial"/>
          <w:color w:val="auto"/>
          <w:sz w:val="20"/>
          <w:szCs w:val="20"/>
        </w:rPr>
      </w:pPr>
      <w:bookmarkStart w:id="693" w:name="_Toc101863937"/>
    </w:p>
    <w:p w:rsidR="0048703B" w:rsidRPr="00AC4AEA" w:rsidRDefault="0048703B" w:rsidP="00A318EA">
      <w:pPr>
        <w:pStyle w:val="Ttulo2"/>
        <w:rPr>
          <w:rFonts w:cs="Arial"/>
        </w:rPr>
      </w:pPr>
      <w:bookmarkStart w:id="694" w:name="_Toc139356816"/>
      <w:r w:rsidRPr="00AC4AEA">
        <w:rPr>
          <w:rFonts w:cs="Arial"/>
        </w:rPr>
        <w:t>Reconocimiento</w:t>
      </w:r>
      <w:bookmarkEnd w:id="693"/>
      <w:bookmarkEnd w:id="694"/>
    </w:p>
    <w:p w:rsidR="0048703B" w:rsidRPr="00AC4AEA" w:rsidRDefault="0048703B" w:rsidP="00A318EA">
      <w:pPr>
        <w:pStyle w:val="Prrafodelista"/>
        <w:numPr>
          <w:ilvl w:val="0"/>
          <w:numId w:val="29"/>
        </w:numPr>
        <w:contextualSpacing w:val="0"/>
        <w:jc w:val="both"/>
        <w:rPr>
          <w:rFonts w:ascii="Arial" w:hAnsi="Arial" w:cs="Arial"/>
          <w:sz w:val="20"/>
          <w:szCs w:val="20"/>
        </w:rPr>
      </w:pPr>
      <w:bookmarkStart w:id="695" w:name="_Ref99618996"/>
      <w:r w:rsidRPr="00AC4AEA">
        <w:rPr>
          <w:rFonts w:ascii="Arial" w:hAnsi="Arial" w:cs="Arial"/>
          <w:sz w:val="20"/>
          <w:szCs w:val="20"/>
        </w:rPr>
        <w:t>Una entidad reconocerá una previsión cuando la partida:</w:t>
      </w:r>
      <w:bookmarkEnd w:id="695"/>
      <w:r w:rsidRPr="00AC4AEA">
        <w:rPr>
          <w:rFonts w:ascii="Arial" w:hAnsi="Arial" w:cs="Arial"/>
          <w:sz w:val="20"/>
          <w:szCs w:val="20"/>
        </w:rPr>
        <w:t xml:space="preserve"> </w:t>
      </w:r>
    </w:p>
    <w:p w:rsidR="009E1899" w:rsidRPr="00AC4AEA" w:rsidRDefault="009E1899" w:rsidP="00A318EA">
      <w:pPr>
        <w:pStyle w:val="Prrafodelista"/>
        <w:numPr>
          <w:ilvl w:val="0"/>
          <w:numId w:val="128"/>
        </w:numPr>
        <w:ind w:left="1560"/>
        <w:contextualSpacing w:val="0"/>
        <w:jc w:val="both"/>
        <w:rPr>
          <w:rFonts w:ascii="Arial" w:hAnsi="Arial" w:cs="Arial"/>
          <w:sz w:val="20"/>
          <w:szCs w:val="20"/>
        </w:rPr>
      </w:pPr>
      <w:r w:rsidRPr="00AC4AEA">
        <w:rPr>
          <w:rFonts w:ascii="Arial" w:hAnsi="Arial" w:cs="Arial"/>
          <w:sz w:val="20"/>
          <w:szCs w:val="20"/>
        </w:rPr>
        <w:t xml:space="preserve">cumpla con </w:t>
      </w:r>
      <w:r w:rsidR="00B32FF3" w:rsidRPr="00AC4AEA">
        <w:rPr>
          <w:rFonts w:ascii="Arial" w:hAnsi="Arial" w:cs="Arial"/>
          <w:sz w:val="20"/>
          <w:szCs w:val="20"/>
        </w:rPr>
        <w:t>la definición general del párrafo</w:t>
      </w:r>
      <w:r w:rsidRPr="00AC4AEA">
        <w:rPr>
          <w:rFonts w:ascii="Arial" w:hAnsi="Arial" w:cs="Arial"/>
          <w:sz w:val="20"/>
          <w:szCs w:val="20"/>
        </w:rPr>
        <w:t xml:space="preserve"> </w:t>
      </w:r>
      <w:fldSimple w:instr=" REF _Ref74818851 \r \h  \* MERGEFORMAT ">
        <w:r w:rsidR="00D33A5D" w:rsidRPr="00D33A5D">
          <w:rPr>
            <w:rFonts w:ascii="Arial" w:hAnsi="Arial" w:cs="Arial"/>
            <w:sz w:val="20"/>
            <w:szCs w:val="20"/>
          </w:rPr>
          <w:t>23</w:t>
        </w:r>
      </w:fldSimple>
      <w:r w:rsidRPr="00AC4AEA">
        <w:rPr>
          <w:rFonts w:ascii="Arial" w:hAnsi="Arial" w:cs="Arial"/>
          <w:sz w:val="20"/>
          <w:szCs w:val="20"/>
        </w:rPr>
        <w:t xml:space="preserve"> y</w:t>
      </w:r>
      <w:r w:rsidR="00B32FF3" w:rsidRPr="00AC4AEA">
        <w:rPr>
          <w:rFonts w:ascii="Arial" w:hAnsi="Arial" w:cs="Arial"/>
          <w:sz w:val="20"/>
          <w:szCs w:val="20"/>
        </w:rPr>
        <w:t xml:space="preserve"> la definición específica contenida en el párrafo</w:t>
      </w:r>
      <w:r w:rsidRPr="00AC4AEA">
        <w:rPr>
          <w:rFonts w:ascii="Arial" w:hAnsi="Arial" w:cs="Arial"/>
          <w:sz w:val="20"/>
          <w:szCs w:val="20"/>
        </w:rPr>
        <w:t xml:space="preserve"> </w:t>
      </w:r>
      <w:fldSimple w:instr=" REF _Ref74758194 \r \h  \* MERGEFORMAT ">
        <w:r w:rsidR="00D33A5D" w:rsidRPr="00D33A5D">
          <w:rPr>
            <w:rFonts w:ascii="Arial" w:hAnsi="Arial" w:cs="Arial"/>
            <w:sz w:val="20"/>
            <w:szCs w:val="20"/>
          </w:rPr>
          <w:t>487</w:t>
        </w:r>
      </w:fldSimple>
      <w:r w:rsidRPr="00AC4AEA">
        <w:rPr>
          <w:rFonts w:ascii="Arial" w:hAnsi="Arial" w:cs="Arial"/>
          <w:sz w:val="20"/>
          <w:szCs w:val="20"/>
        </w:rPr>
        <w:t>;</w:t>
      </w:r>
    </w:p>
    <w:p w:rsidR="009E332F" w:rsidRPr="00AC4AEA" w:rsidRDefault="009E332F" w:rsidP="00A318EA">
      <w:pPr>
        <w:pStyle w:val="Prrafodelista"/>
        <w:numPr>
          <w:ilvl w:val="0"/>
          <w:numId w:val="128"/>
        </w:numPr>
        <w:ind w:left="1560"/>
        <w:contextualSpacing w:val="0"/>
        <w:jc w:val="both"/>
        <w:rPr>
          <w:rFonts w:ascii="Arial" w:hAnsi="Arial" w:cs="Arial"/>
          <w:sz w:val="20"/>
          <w:szCs w:val="20"/>
        </w:rPr>
      </w:pPr>
      <w:r w:rsidRPr="00AC4AEA">
        <w:rPr>
          <w:rFonts w:ascii="Arial" w:hAnsi="Arial" w:cs="Arial"/>
          <w:sz w:val="20"/>
          <w:szCs w:val="20"/>
        </w:rPr>
        <w:t xml:space="preserve">su medición satisfaga el requisito de </w:t>
      </w:r>
      <w:r w:rsidRPr="00AC4AEA">
        <w:rPr>
          <w:rFonts w:ascii="Arial" w:hAnsi="Arial" w:cs="Arial"/>
          <w:b/>
          <w:bCs/>
          <w:sz w:val="20"/>
          <w:szCs w:val="20"/>
        </w:rPr>
        <w:t>confiabilidad</w:t>
      </w:r>
      <w:r w:rsidR="00A06CEF" w:rsidRPr="00AC4AEA">
        <w:rPr>
          <w:rFonts w:ascii="Arial" w:hAnsi="Arial" w:cs="Arial"/>
          <w:b/>
          <w:bCs/>
          <w:sz w:val="20"/>
          <w:szCs w:val="20"/>
        </w:rPr>
        <w:t xml:space="preserve"> (credibilidad)</w:t>
      </w:r>
      <w:r w:rsidRPr="00AC4AEA">
        <w:rPr>
          <w:rFonts w:ascii="Arial" w:hAnsi="Arial" w:cs="Arial"/>
          <w:b/>
          <w:bCs/>
          <w:sz w:val="20"/>
          <w:szCs w:val="20"/>
        </w:rPr>
        <w:t>;</w:t>
      </w:r>
      <w:r w:rsidRPr="00AC4AEA">
        <w:rPr>
          <w:rFonts w:ascii="Arial" w:hAnsi="Arial" w:cs="Arial"/>
          <w:sz w:val="20"/>
          <w:szCs w:val="20"/>
        </w:rPr>
        <w:t xml:space="preserve"> y</w:t>
      </w:r>
    </w:p>
    <w:p w:rsidR="0048703B" w:rsidRPr="00AC4AEA" w:rsidRDefault="009E332F" w:rsidP="00A318EA">
      <w:pPr>
        <w:pStyle w:val="Prrafodelista"/>
        <w:numPr>
          <w:ilvl w:val="0"/>
          <w:numId w:val="128"/>
        </w:numPr>
        <w:ind w:left="1560"/>
        <w:contextualSpacing w:val="0"/>
        <w:jc w:val="both"/>
        <w:rPr>
          <w:rFonts w:ascii="Arial" w:hAnsi="Arial" w:cs="Arial"/>
          <w:sz w:val="20"/>
          <w:szCs w:val="20"/>
        </w:rPr>
      </w:pPr>
      <w:r w:rsidRPr="00AC4AEA">
        <w:rPr>
          <w:rFonts w:ascii="Arial" w:hAnsi="Arial" w:cs="Arial"/>
          <w:sz w:val="20"/>
          <w:szCs w:val="20"/>
        </w:rPr>
        <w:t xml:space="preserve">resulte </w:t>
      </w:r>
      <w:r w:rsidRPr="00AC4AEA">
        <w:rPr>
          <w:rFonts w:ascii="Arial" w:hAnsi="Arial" w:cs="Arial"/>
          <w:b/>
          <w:bCs/>
          <w:sz w:val="20"/>
          <w:szCs w:val="20"/>
        </w:rPr>
        <w:t>probable</w:t>
      </w:r>
      <w:r w:rsidRPr="00AC4AEA">
        <w:rPr>
          <w:rFonts w:ascii="Arial" w:hAnsi="Arial" w:cs="Arial"/>
          <w:sz w:val="20"/>
          <w:szCs w:val="20"/>
        </w:rPr>
        <w:t xml:space="preserve"> la salida de recursos económicos que den lugar al cumplimiento de las obligaciones inherentes a su definición.</w:t>
      </w:r>
    </w:p>
    <w:p w:rsidR="009E1899" w:rsidRPr="00AC4AEA" w:rsidRDefault="009E1899" w:rsidP="00A318EA">
      <w:pPr>
        <w:pStyle w:val="A-doctorado"/>
        <w:jc w:val="both"/>
        <w:rPr>
          <w:rFonts w:ascii="Arial" w:hAnsi="Arial"/>
          <w:color w:val="auto"/>
          <w:sz w:val="20"/>
          <w:szCs w:val="20"/>
        </w:rPr>
      </w:pPr>
    </w:p>
    <w:p w:rsidR="0048703B" w:rsidRPr="00AC4AEA" w:rsidRDefault="0048703B" w:rsidP="00A318EA">
      <w:pPr>
        <w:pStyle w:val="Ttulo2"/>
        <w:rPr>
          <w:rFonts w:cs="Arial"/>
        </w:rPr>
      </w:pPr>
      <w:bookmarkStart w:id="696" w:name="_Toc101863938"/>
      <w:bookmarkStart w:id="697" w:name="_Toc139356817"/>
      <w:r w:rsidRPr="00AC4AEA">
        <w:rPr>
          <w:rFonts w:cs="Arial"/>
        </w:rPr>
        <w:t>Medición inicial</w:t>
      </w:r>
      <w:bookmarkEnd w:id="696"/>
      <w:bookmarkEnd w:id="697"/>
    </w:p>
    <w:p w:rsidR="00455BA2" w:rsidRPr="00AC4AEA" w:rsidRDefault="00455BA2" w:rsidP="00A318EA">
      <w:pPr>
        <w:pStyle w:val="A-Normal11"/>
        <w:numPr>
          <w:ilvl w:val="0"/>
          <w:numId w:val="29"/>
        </w:numPr>
        <w:jc w:val="both"/>
        <w:rPr>
          <w:rFonts w:ascii="Arial" w:hAnsi="Arial" w:cs="Arial"/>
          <w:sz w:val="20"/>
        </w:rPr>
      </w:pPr>
      <w:bookmarkStart w:id="698" w:name="_Ref102746056"/>
      <w:bookmarkStart w:id="699" w:name="_Ref75889343"/>
      <w:r w:rsidRPr="00AC4AEA">
        <w:rPr>
          <w:rFonts w:ascii="Arial" w:hAnsi="Arial" w:cs="Arial"/>
          <w:sz w:val="20"/>
        </w:rPr>
        <w:t>Una entidad medirá inicialmente las previsiones:</w:t>
      </w:r>
      <w:bookmarkEnd w:id="698"/>
    </w:p>
    <w:p w:rsidR="00455BA2" w:rsidRPr="00AC4AEA" w:rsidRDefault="00455BA2" w:rsidP="00A318EA">
      <w:pPr>
        <w:pStyle w:val="Prrafodelista"/>
        <w:numPr>
          <w:ilvl w:val="0"/>
          <w:numId w:val="397"/>
        </w:numPr>
        <w:ind w:left="1560"/>
        <w:contextualSpacing w:val="0"/>
        <w:jc w:val="both"/>
        <w:rPr>
          <w:rFonts w:ascii="Arial" w:hAnsi="Arial" w:cs="Arial"/>
          <w:sz w:val="20"/>
          <w:szCs w:val="20"/>
        </w:rPr>
      </w:pPr>
      <w:r w:rsidRPr="00AC4AEA">
        <w:rPr>
          <w:rFonts w:ascii="Arial" w:hAnsi="Arial" w:cs="Arial"/>
          <w:sz w:val="20"/>
          <w:szCs w:val="20"/>
        </w:rPr>
        <w:t>A su valor nominal cuando:</w:t>
      </w:r>
    </w:p>
    <w:p w:rsidR="00455BA2" w:rsidRPr="00AC4AEA" w:rsidRDefault="00455BA2" w:rsidP="00A318EA">
      <w:pPr>
        <w:pStyle w:val="Prrafodelista"/>
        <w:numPr>
          <w:ilvl w:val="0"/>
          <w:numId w:val="398"/>
        </w:numPr>
        <w:ind w:left="1843"/>
        <w:contextualSpacing w:val="0"/>
        <w:jc w:val="both"/>
        <w:rPr>
          <w:rFonts w:ascii="Arial" w:hAnsi="Arial" w:cs="Arial"/>
          <w:sz w:val="20"/>
          <w:szCs w:val="20"/>
        </w:rPr>
      </w:pPr>
      <w:r w:rsidRPr="00AC4AEA">
        <w:rPr>
          <w:rFonts w:ascii="Arial" w:hAnsi="Arial" w:cs="Arial"/>
          <w:sz w:val="20"/>
          <w:szCs w:val="20"/>
        </w:rPr>
        <w:t>la entidad es pequeña; o</w:t>
      </w:r>
    </w:p>
    <w:p w:rsidR="00455BA2" w:rsidRPr="00AC4AEA" w:rsidRDefault="00455BA2" w:rsidP="00A318EA">
      <w:pPr>
        <w:pStyle w:val="Prrafodelista"/>
        <w:numPr>
          <w:ilvl w:val="0"/>
          <w:numId w:val="398"/>
        </w:numPr>
        <w:ind w:left="1843"/>
        <w:contextualSpacing w:val="0"/>
        <w:jc w:val="both"/>
        <w:rPr>
          <w:rFonts w:ascii="Arial" w:hAnsi="Arial" w:cs="Arial"/>
          <w:sz w:val="20"/>
          <w:szCs w:val="20"/>
        </w:rPr>
      </w:pPr>
      <w:r w:rsidRPr="00AC4AEA">
        <w:rPr>
          <w:rFonts w:ascii="Arial" w:hAnsi="Arial" w:cs="Arial"/>
          <w:sz w:val="20"/>
          <w:szCs w:val="20"/>
        </w:rPr>
        <w:t>estima que la totalidad de los flujos de efectivo esperados vencerá en un plazo máximo de doce meses, contado desde la fecha de la estimación.</w:t>
      </w:r>
    </w:p>
    <w:p w:rsidR="00455BA2" w:rsidRPr="00AC4AEA" w:rsidRDefault="00455BA2" w:rsidP="00A318EA">
      <w:pPr>
        <w:pStyle w:val="Prrafodelista"/>
        <w:numPr>
          <w:ilvl w:val="0"/>
          <w:numId w:val="397"/>
        </w:numPr>
        <w:ind w:left="1560"/>
        <w:contextualSpacing w:val="0"/>
        <w:jc w:val="both"/>
        <w:rPr>
          <w:rFonts w:ascii="Arial" w:hAnsi="Arial" w:cs="Arial"/>
          <w:sz w:val="20"/>
          <w:szCs w:val="20"/>
        </w:rPr>
      </w:pPr>
      <w:r w:rsidRPr="00AC4AEA">
        <w:rPr>
          <w:rFonts w:ascii="Arial" w:hAnsi="Arial" w:cs="Arial"/>
          <w:sz w:val="20"/>
          <w:szCs w:val="20"/>
        </w:rPr>
        <w:t>Al valor descontado de los flujos de efectivo esperados si:</w:t>
      </w:r>
    </w:p>
    <w:p w:rsidR="00455BA2" w:rsidRPr="00AC4AEA" w:rsidRDefault="00455BA2" w:rsidP="00A318EA">
      <w:pPr>
        <w:pStyle w:val="Prrafodelista"/>
        <w:numPr>
          <w:ilvl w:val="0"/>
          <w:numId w:val="399"/>
        </w:numPr>
        <w:ind w:left="1843"/>
        <w:contextualSpacing w:val="0"/>
        <w:jc w:val="both"/>
        <w:rPr>
          <w:rFonts w:ascii="Arial" w:hAnsi="Arial" w:cs="Arial"/>
          <w:sz w:val="20"/>
          <w:szCs w:val="20"/>
        </w:rPr>
      </w:pPr>
      <w:r w:rsidRPr="00AC4AEA">
        <w:rPr>
          <w:rFonts w:ascii="Arial" w:hAnsi="Arial" w:cs="Arial"/>
          <w:sz w:val="20"/>
          <w:szCs w:val="20"/>
        </w:rPr>
        <w:lastRenderedPageBreak/>
        <w:t>la entidad no es pequeña; y</w:t>
      </w:r>
    </w:p>
    <w:p w:rsidR="00455BA2" w:rsidRPr="00AC4AEA" w:rsidRDefault="00455BA2" w:rsidP="00A318EA">
      <w:pPr>
        <w:pStyle w:val="Prrafodelista"/>
        <w:numPr>
          <w:ilvl w:val="0"/>
          <w:numId w:val="399"/>
        </w:numPr>
        <w:ind w:left="1843"/>
        <w:contextualSpacing w:val="0"/>
        <w:jc w:val="both"/>
        <w:rPr>
          <w:rFonts w:ascii="Arial" w:hAnsi="Arial" w:cs="Arial"/>
          <w:sz w:val="20"/>
          <w:szCs w:val="20"/>
        </w:rPr>
      </w:pPr>
      <w:r w:rsidRPr="00AC4AEA">
        <w:rPr>
          <w:rFonts w:ascii="Arial" w:hAnsi="Arial" w:cs="Arial"/>
          <w:sz w:val="20"/>
          <w:szCs w:val="20"/>
        </w:rPr>
        <w:t xml:space="preserve">al menos uno de dichos flujos vence en un plazo mayor a doce meses, contado desde la fecha de la </w:t>
      </w:r>
      <w:r w:rsidR="002C3FB9" w:rsidRPr="00AC4AEA">
        <w:rPr>
          <w:rFonts w:ascii="Arial" w:hAnsi="Arial" w:cs="Arial"/>
          <w:sz w:val="20"/>
          <w:szCs w:val="20"/>
        </w:rPr>
        <w:t>estimación</w:t>
      </w:r>
      <w:r w:rsidRPr="00AC4AEA">
        <w:rPr>
          <w:rFonts w:ascii="Arial" w:hAnsi="Arial" w:cs="Arial"/>
          <w:sz w:val="20"/>
          <w:szCs w:val="20"/>
        </w:rPr>
        <w:t>.</w:t>
      </w:r>
    </w:p>
    <w:p w:rsidR="005C7807" w:rsidRPr="00AC4AEA" w:rsidRDefault="005C7807" w:rsidP="00A318EA">
      <w:pPr>
        <w:pStyle w:val="A-Normal11"/>
        <w:numPr>
          <w:ilvl w:val="0"/>
          <w:numId w:val="29"/>
        </w:numPr>
        <w:jc w:val="both"/>
        <w:rPr>
          <w:rFonts w:ascii="Arial" w:hAnsi="Arial" w:cs="Arial"/>
          <w:sz w:val="20"/>
        </w:rPr>
      </w:pPr>
      <w:r w:rsidRPr="00AC4AEA">
        <w:rPr>
          <w:rFonts w:ascii="Arial" w:hAnsi="Arial" w:cs="Arial"/>
          <w:sz w:val="20"/>
        </w:rPr>
        <w:t>Una entidad determinará el valor nominal de la previsión:</w:t>
      </w:r>
      <w:bookmarkEnd w:id="699"/>
    </w:p>
    <w:p w:rsidR="005C7807" w:rsidRPr="00AC4AEA" w:rsidRDefault="000D11AC" w:rsidP="00A318EA">
      <w:pPr>
        <w:pStyle w:val="A-Normal11"/>
        <w:numPr>
          <w:ilvl w:val="0"/>
          <w:numId w:val="129"/>
        </w:numPr>
        <w:ind w:left="1560"/>
        <w:jc w:val="both"/>
        <w:rPr>
          <w:rFonts w:ascii="Arial" w:hAnsi="Arial" w:cs="Arial"/>
          <w:sz w:val="20"/>
        </w:rPr>
      </w:pPr>
      <w:r w:rsidRPr="00AC4AEA">
        <w:rPr>
          <w:rFonts w:ascii="Arial" w:hAnsi="Arial" w:cs="Arial"/>
          <w:sz w:val="20"/>
        </w:rPr>
        <w:t>En función de</w:t>
      </w:r>
      <w:r w:rsidR="005C7807" w:rsidRPr="00AC4AEA">
        <w:rPr>
          <w:rFonts w:ascii="Arial" w:hAnsi="Arial" w:cs="Arial"/>
          <w:sz w:val="20"/>
        </w:rPr>
        <w:t xml:space="preserve"> su valor esperado</w:t>
      </w:r>
      <w:r w:rsidR="00C00C99" w:rsidRPr="00AC4AEA">
        <w:rPr>
          <w:rFonts w:ascii="Arial" w:hAnsi="Arial" w:cs="Arial"/>
          <w:sz w:val="20"/>
        </w:rPr>
        <w:t xml:space="preserve"> (esperanza matemática)</w:t>
      </w:r>
      <w:r w:rsidR="005C7807" w:rsidRPr="00AC4AEA">
        <w:rPr>
          <w:rFonts w:ascii="Arial" w:hAnsi="Arial" w:cs="Arial"/>
          <w:sz w:val="20"/>
        </w:rPr>
        <w:t>, en el caso de que existan varios desenlaces posibles</w:t>
      </w:r>
      <w:r w:rsidR="00EA4A21" w:rsidRPr="00AC4AEA">
        <w:rPr>
          <w:rFonts w:ascii="Arial" w:hAnsi="Arial" w:cs="Arial"/>
          <w:sz w:val="20"/>
        </w:rPr>
        <w:t xml:space="preserve"> (por ejemplo, una previsión que </w:t>
      </w:r>
      <w:r w:rsidR="00125AF6" w:rsidRPr="00AC4AEA">
        <w:rPr>
          <w:rFonts w:ascii="Arial" w:hAnsi="Arial" w:cs="Arial"/>
          <w:sz w:val="20"/>
        </w:rPr>
        <w:t xml:space="preserve">refleje </w:t>
      </w:r>
      <w:r w:rsidR="00EA4A21" w:rsidRPr="00AC4AEA">
        <w:rPr>
          <w:rFonts w:ascii="Arial" w:hAnsi="Arial" w:cs="Arial"/>
          <w:sz w:val="20"/>
        </w:rPr>
        <w:t>la obligación de devolver productos a</w:t>
      </w:r>
      <w:r w:rsidR="00A24B7A" w:rsidRPr="00AC4AEA">
        <w:rPr>
          <w:rFonts w:ascii="Arial" w:hAnsi="Arial" w:cs="Arial"/>
          <w:sz w:val="20"/>
        </w:rPr>
        <w:t xml:space="preserve"> clientes insatisfechos</w:t>
      </w:r>
      <w:r w:rsidR="00EA4A21" w:rsidRPr="00AC4AEA">
        <w:rPr>
          <w:rFonts w:ascii="Arial" w:hAnsi="Arial" w:cs="Arial"/>
          <w:sz w:val="20"/>
        </w:rPr>
        <w:t>)</w:t>
      </w:r>
      <w:r w:rsidR="00B32FF3" w:rsidRPr="00AC4AEA">
        <w:rPr>
          <w:rFonts w:ascii="Arial" w:hAnsi="Arial" w:cs="Arial"/>
          <w:sz w:val="20"/>
        </w:rPr>
        <w:t>.</w:t>
      </w:r>
    </w:p>
    <w:p w:rsidR="005C7807" w:rsidRPr="00AC4AEA" w:rsidRDefault="000D11AC" w:rsidP="00A318EA">
      <w:pPr>
        <w:pStyle w:val="A-Normal11"/>
        <w:numPr>
          <w:ilvl w:val="0"/>
          <w:numId w:val="129"/>
        </w:numPr>
        <w:ind w:left="1560"/>
        <w:jc w:val="both"/>
        <w:rPr>
          <w:rFonts w:ascii="Arial" w:hAnsi="Arial" w:cs="Arial"/>
          <w:sz w:val="20"/>
        </w:rPr>
      </w:pPr>
      <w:r w:rsidRPr="00AC4AEA">
        <w:rPr>
          <w:rFonts w:ascii="Arial" w:hAnsi="Arial" w:cs="Arial"/>
          <w:sz w:val="20"/>
        </w:rPr>
        <w:t>De acuerdo con su</w:t>
      </w:r>
      <w:r w:rsidR="005C7807" w:rsidRPr="00AC4AEA">
        <w:rPr>
          <w:rFonts w:ascii="Arial" w:hAnsi="Arial" w:cs="Arial"/>
          <w:sz w:val="20"/>
        </w:rPr>
        <w:t xml:space="preserve"> importe más probable, en el caso de que </w:t>
      </w:r>
      <w:r w:rsidR="00EC1893" w:rsidRPr="00AC4AEA">
        <w:rPr>
          <w:rFonts w:ascii="Arial" w:hAnsi="Arial" w:cs="Arial"/>
          <w:sz w:val="20"/>
        </w:rPr>
        <w:t>se</w:t>
      </w:r>
      <w:r w:rsidR="00A24B7A" w:rsidRPr="00AC4AEA">
        <w:rPr>
          <w:rFonts w:ascii="Arial" w:hAnsi="Arial" w:cs="Arial"/>
          <w:sz w:val="20"/>
        </w:rPr>
        <w:t xml:space="preserve"> trate de una obligación aislada</w:t>
      </w:r>
      <w:r w:rsidR="00835565" w:rsidRPr="00AC4AEA">
        <w:rPr>
          <w:rFonts w:ascii="Arial" w:hAnsi="Arial" w:cs="Arial"/>
          <w:sz w:val="20"/>
        </w:rPr>
        <w:t xml:space="preserve"> </w:t>
      </w:r>
      <w:r w:rsidR="00EA4A21" w:rsidRPr="00AC4AEA">
        <w:rPr>
          <w:rFonts w:ascii="Arial" w:hAnsi="Arial" w:cs="Arial"/>
          <w:sz w:val="20"/>
        </w:rPr>
        <w:t xml:space="preserve">(por ejemplo, </w:t>
      </w:r>
      <w:r w:rsidR="00A24B7A" w:rsidRPr="00AC4AEA">
        <w:rPr>
          <w:rFonts w:ascii="Arial" w:hAnsi="Arial" w:cs="Arial"/>
          <w:sz w:val="20"/>
        </w:rPr>
        <w:t xml:space="preserve">la que </w:t>
      </w:r>
      <w:r w:rsidR="00125AF6" w:rsidRPr="00AC4AEA">
        <w:rPr>
          <w:rFonts w:ascii="Arial" w:hAnsi="Arial" w:cs="Arial"/>
          <w:sz w:val="20"/>
        </w:rPr>
        <w:t>surja</w:t>
      </w:r>
      <w:r w:rsidR="00A24B7A" w:rsidRPr="00AC4AEA">
        <w:rPr>
          <w:rFonts w:ascii="Arial" w:hAnsi="Arial" w:cs="Arial"/>
          <w:sz w:val="20"/>
        </w:rPr>
        <w:t xml:space="preserve"> de</w:t>
      </w:r>
      <w:r w:rsidR="00125AF6" w:rsidRPr="00AC4AEA">
        <w:rPr>
          <w:rFonts w:ascii="Arial" w:hAnsi="Arial" w:cs="Arial"/>
          <w:sz w:val="20"/>
        </w:rPr>
        <w:t xml:space="preserve"> un</w:t>
      </w:r>
      <w:r w:rsidR="00A24B7A" w:rsidRPr="00AC4AEA">
        <w:rPr>
          <w:rFonts w:ascii="Arial" w:hAnsi="Arial" w:cs="Arial"/>
          <w:sz w:val="20"/>
        </w:rPr>
        <w:t xml:space="preserve"> </w:t>
      </w:r>
      <w:r w:rsidR="00125AF6" w:rsidRPr="00AC4AEA">
        <w:rPr>
          <w:rFonts w:ascii="Arial" w:hAnsi="Arial" w:cs="Arial"/>
          <w:sz w:val="20"/>
        </w:rPr>
        <w:t>juicio</w:t>
      </w:r>
      <w:r w:rsidR="00A24B7A" w:rsidRPr="00AC4AEA">
        <w:rPr>
          <w:rFonts w:ascii="Arial" w:hAnsi="Arial" w:cs="Arial"/>
          <w:sz w:val="20"/>
        </w:rPr>
        <w:t xml:space="preserve"> </w:t>
      </w:r>
      <w:r w:rsidR="002473DF" w:rsidRPr="00AC4AEA">
        <w:rPr>
          <w:rFonts w:ascii="Arial" w:hAnsi="Arial" w:cs="Arial"/>
          <w:sz w:val="20"/>
        </w:rPr>
        <w:t>por</w:t>
      </w:r>
      <w:r w:rsidR="00125AF6" w:rsidRPr="00AC4AEA">
        <w:rPr>
          <w:rFonts w:ascii="Arial" w:hAnsi="Arial" w:cs="Arial"/>
          <w:sz w:val="20"/>
        </w:rPr>
        <w:t xml:space="preserve"> el</w:t>
      </w:r>
      <w:r w:rsidR="002473DF" w:rsidRPr="00AC4AEA">
        <w:rPr>
          <w:rFonts w:ascii="Arial" w:hAnsi="Arial" w:cs="Arial"/>
          <w:sz w:val="20"/>
        </w:rPr>
        <w:t xml:space="preserve"> uso indebido de un</w:t>
      </w:r>
      <w:r w:rsidR="00125AF6" w:rsidRPr="00AC4AEA">
        <w:rPr>
          <w:rFonts w:ascii="Arial" w:hAnsi="Arial" w:cs="Arial"/>
          <w:sz w:val="20"/>
        </w:rPr>
        <w:t>a</w:t>
      </w:r>
      <w:r w:rsidR="002473DF" w:rsidRPr="00AC4AEA">
        <w:rPr>
          <w:rFonts w:ascii="Arial" w:hAnsi="Arial" w:cs="Arial"/>
          <w:sz w:val="20"/>
        </w:rPr>
        <w:t xml:space="preserve"> marca</w:t>
      </w:r>
      <w:r w:rsidR="00EA4A21" w:rsidRPr="00AC4AEA">
        <w:rPr>
          <w:rFonts w:ascii="Arial" w:hAnsi="Arial" w:cs="Arial"/>
          <w:sz w:val="20"/>
        </w:rPr>
        <w:t>)</w:t>
      </w:r>
      <w:r w:rsidR="005C7807" w:rsidRPr="00AC4AEA">
        <w:rPr>
          <w:rFonts w:ascii="Arial" w:hAnsi="Arial" w:cs="Arial"/>
          <w:sz w:val="20"/>
        </w:rPr>
        <w:t>.</w:t>
      </w:r>
    </w:p>
    <w:p w:rsidR="00567540" w:rsidRPr="00AC4AEA" w:rsidRDefault="00567540" w:rsidP="00A318EA">
      <w:pPr>
        <w:pStyle w:val="A-Norgra"/>
        <w:rPr>
          <w:rFonts w:ascii="Arial" w:hAnsi="Arial" w:cs="Arial"/>
          <w:color w:val="auto"/>
          <w:sz w:val="20"/>
          <w:szCs w:val="20"/>
        </w:rPr>
      </w:pPr>
      <w:bookmarkStart w:id="700" w:name="_Toc101863939"/>
    </w:p>
    <w:p w:rsidR="0048703B" w:rsidRPr="00AC4AEA" w:rsidRDefault="0048703B" w:rsidP="00A318EA">
      <w:pPr>
        <w:pStyle w:val="Ttulo2"/>
        <w:rPr>
          <w:rFonts w:cs="Arial"/>
        </w:rPr>
      </w:pPr>
      <w:bookmarkStart w:id="701" w:name="_Toc139356818"/>
      <w:r w:rsidRPr="00AC4AEA">
        <w:rPr>
          <w:rFonts w:cs="Arial"/>
        </w:rPr>
        <w:t>Medición posterior</w:t>
      </w:r>
      <w:bookmarkEnd w:id="700"/>
      <w:bookmarkEnd w:id="701"/>
      <w:r w:rsidRPr="00AC4AEA">
        <w:rPr>
          <w:rFonts w:cs="Arial"/>
        </w:rPr>
        <w:t xml:space="preserve"> </w:t>
      </w:r>
    </w:p>
    <w:p w:rsidR="0048703B" w:rsidRPr="00AC4AEA" w:rsidRDefault="0048703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realizará la medición posterior de las previsiones:</w:t>
      </w:r>
    </w:p>
    <w:p w:rsidR="008B24C7" w:rsidRPr="00AC4AEA" w:rsidRDefault="008B24C7" w:rsidP="00A318EA">
      <w:pPr>
        <w:pStyle w:val="Prrafodelista"/>
        <w:numPr>
          <w:ilvl w:val="0"/>
          <w:numId w:val="400"/>
        </w:numPr>
        <w:ind w:left="1701"/>
        <w:contextualSpacing w:val="0"/>
        <w:jc w:val="both"/>
        <w:rPr>
          <w:rFonts w:ascii="Arial" w:hAnsi="Arial" w:cs="Arial"/>
          <w:sz w:val="20"/>
          <w:szCs w:val="20"/>
        </w:rPr>
      </w:pPr>
      <w:r w:rsidRPr="00AC4AEA">
        <w:rPr>
          <w:rFonts w:ascii="Arial" w:hAnsi="Arial" w:cs="Arial"/>
          <w:sz w:val="20"/>
          <w:szCs w:val="20"/>
        </w:rPr>
        <w:t>A su valor nominal cuando:</w:t>
      </w:r>
    </w:p>
    <w:p w:rsidR="008B24C7" w:rsidRPr="00AC4AEA" w:rsidRDefault="008B24C7" w:rsidP="00A318EA">
      <w:pPr>
        <w:pStyle w:val="Prrafodelista"/>
        <w:numPr>
          <w:ilvl w:val="0"/>
          <w:numId w:val="401"/>
        </w:numPr>
        <w:ind w:left="1843"/>
        <w:contextualSpacing w:val="0"/>
        <w:jc w:val="both"/>
        <w:rPr>
          <w:rFonts w:ascii="Arial" w:hAnsi="Arial" w:cs="Arial"/>
          <w:sz w:val="20"/>
          <w:szCs w:val="20"/>
        </w:rPr>
      </w:pPr>
      <w:r w:rsidRPr="00AC4AEA">
        <w:rPr>
          <w:rFonts w:ascii="Arial" w:hAnsi="Arial" w:cs="Arial"/>
          <w:sz w:val="20"/>
          <w:szCs w:val="20"/>
        </w:rPr>
        <w:t>la entidad es pequeña; o</w:t>
      </w:r>
    </w:p>
    <w:p w:rsidR="008B24C7" w:rsidRPr="00AC4AEA" w:rsidRDefault="008B24C7" w:rsidP="00A318EA">
      <w:pPr>
        <w:pStyle w:val="Prrafodelista"/>
        <w:numPr>
          <w:ilvl w:val="0"/>
          <w:numId w:val="401"/>
        </w:numPr>
        <w:ind w:left="1843"/>
        <w:contextualSpacing w:val="0"/>
        <w:jc w:val="both"/>
        <w:rPr>
          <w:rFonts w:ascii="Arial" w:hAnsi="Arial" w:cs="Arial"/>
          <w:sz w:val="20"/>
          <w:szCs w:val="20"/>
        </w:rPr>
      </w:pPr>
      <w:r w:rsidRPr="00AC4AEA">
        <w:rPr>
          <w:rFonts w:ascii="Arial" w:hAnsi="Arial" w:cs="Arial"/>
          <w:sz w:val="20"/>
          <w:szCs w:val="20"/>
        </w:rPr>
        <w:t>estima que la totalidad de los flujos de efectivo esperados vencerá en un plazo máximo de doce meses, contado desde la fecha de la estimación.</w:t>
      </w:r>
    </w:p>
    <w:p w:rsidR="008B24C7" w:rsidRPr="00AC4AEA" w:rsidRDefault="008B24C7" w:rsidP="00A318EA">
      <w:pPr>
        <w:pStyle w:val="Prrafodelista"/>
        <w:numPr>
          <w:ilvl w:val="0"/>
          <w:numId w:val="400"/>
        </w:numPr>
        <w:ind w:left="1560"/>
        <w:contextualSpacing w:val="0"/>
        <w:jc w:val="both"/>
        <w:rPr>
          <w:rFonts w:ascii="Arial" w:hAnsi="Arial" w:cs="Arial"/>
          <w:sz w:val="20"/>
          <w:szCs w:val="20"/>
        </w:rPr>
      </w:pPr>
      <w:r w:rsidRPr="00AC4AEA">
        <w:rPr>
          <w:rFonts w:ascii="Arial" w:hAnsi="Arial" w:cs="Arial"/>
          <w:sz w:val="20"/>
          <w:szCs w:val="20"/>
        </w:rPr>
        <w:t>Al valor descontado de los flujos de efectivo esperados si:</w:t>
      </w:r>
    </w:p>
    <w:p w:rsidR="008B24C7" w:rsidRPr="00AC4AEA" w:rsidRDefault="008B24C7" w:rsidP="00A318EA">
      <w:pPr>
        <w:pStyle w:val="Prrafodelista"/>
        <w:numPr>
          <w:ilvl w:val="0"/>
          <w:numId w:val="402"/>
        </w:numPr>
        <w:ind w:left="1843"/>
        <w:contextualSpacing w:val="0"/>
        <w:jc w:val="both"/>
        <w:rPr>
          <w:rFonts w:ascii="Arial" w:hAnsi="Arial" w:cs="Arial"/>
          <w:sz w:val="20"/>
          <w:szCs w:val="20"/>
        </w:rPr>
      </w:pPr>
      <w:r w:rsidRPr="00AC4AEA">
        <w:rPr>
          <w:rFonts w:ascii="Arial" w:hAnsi="Arial" w:cs="Arial"/>
          <w:sz w:val="20"/>
          <w:szCs w:val="20"/>
        </w:rPr>
        <w:t>la entidad no es pequeña; y</w:t>
      </w:r>
    </w:p>
    <w:p w:rsidR="008B24C7" w:rsidRPr="00AC4AEA" w:rsidRDefault="008B24C7" w:rsidP="00A318EA">
      <w:pPr>
        <w:pStyle w:val="Prrafodelista"/>
        <w:numPr>
          <w:ilvl w:val="0"/>
          <w:numId w:val="402"/>
        </w:numPr>
        <w:ind w:left="1843"/>
        <w:contextualSpacing w:val="0"/>
        <w:jc w:val="both"/>
        <w:rPr>
          <w:rFonts w:ascii="Arial" w:hAnsi="Arial" w:cs="Arial"/>
          <w:sz w:val="20"/>
          <w:szCs w:val="20"/>
        </w:rPr>
      </w:pPr>
      <w:r w:rsidRPr="00AC4AEA">
        <w:rPr>
          <w:rFonts w:ascii="Arial" w:hAnsi="Arial" w:cs="Arial"/>
          <w:sz w:val="20"/>
          <w:szCs w:val="20"/>
        </w:rPr>
        <w:t xml:space="preserve">al menos al menos uno de dichos flujos vence en un plazo mayor a doce meses, contado desde la fecha de la </w:t>
      </w:r>
      <w:r w:rsidR="002C3FB9" w:rsidRPr="00AC4AEA">
        <w:rPr>
          <w:rFonts w:ascii="Arial" w:hAnsi="Arial" w:cs="Arial"/>
          <w:sz w:val="20"/>
          <w:szCs w:val="20"/>
        </w:rPr>
        <w:t>estimación</w:t>
      </w:r>
      <w:r w:rsidRPr="00AC4AEA">
        <w:rPr>
          <w:rFonts w:ascii="Arial" w:hAnsi="Arial" w:cs="Arial"/>
          <w:sz w:val="20"/>
          <w:szCs w:val="20"/>
        </w:rPr>
        <w:t>.</w:t>
      </w:r>
    </w:p>
    <w:p w:rsidR="0048703B" w:rsidRPr="00AC4AEA" w:rsidRDefault="0048703B" w:rsidP="00A318EA">
      <w:pPr>
        <w:jc w:val="both"/>
        <w:rPr>
          <w:rFonts w:ascii="Arial" w:hAnsi="Arial" w:cs="Arial"/>
          <w:b/>
          <w:bCs/>
          <w:sz w:val="20"/>
          <w:szCs w:val="20"/>
        </w:rPr>
      </w:pPr>
    </w:p>
    <w:p w:rsidR="002A4C4E" w:rsidRPr="00AC4AEA" w:rsidRDefault="002A4C4E" w:rsidP="00A318EA">
      <w:pPr>
        <w:jc w:val="both"/>
        <w:rPr>
          <w:rFonts w:ascii="Arial" w:hAnsi="Arial" w:cs="Arial"/>
          <w:b/>
          <w:bCs/>
          <w:sz w:val="20"/>
          <w:szCs w:val="20"/>
        </w:rPr>
      </w:pPr>
      <w:r w:rsidRPr="00AC4AEA">
        <w:rPr>
          <w:rFonts w:ascii="Arial" w:hAnsi="Arial" w:cs="Arial"/>
          <w:b/>
          <w:bCs/>
          <w:sz w:val="20"/>
          <w:szCs w:val="20"/>
        </w:rPr>
        <w:t>Baja en cuentas</w:t>
      </w:r>
    </w:p>
    <w:p w:rsidR="002A4C4E" w:rsidRPr="00AC4AEA" w:rsidRDefault="002A4C4E" w:rsidP="00A318EA">
      <w:pPr>
        <w:pStyle w:val="A-Normal11"/>
        <w:numPr>
          <w:ilvl w:val="0"/>
          <w:numId w:val="29"/>
        </w:numPr>
        <w:jc w:val="both"/>
        <w:rPr>
          <w:rFonts w:ascii="Arial" w:hAnsi="Arial" w:cs="Arial"/>
          <w:sz w:val="20"/>
        </w:rPr>
      </w:pPr>
      <w:bookmarkStart w:id="702" w:name="_Ref102746060"/>
      <w:r w:rsidRPr="00AC4AEA">
        <w:rPr>
          <w:rFonts w:ascii="Arial" w:hAnsi="Arial" w:cs="Arial"/>
          <w:sz w:val="20"/>
        </w:rPr>
        <w:t>Una entidad dará de baja en cuentas una previsión cuando</w:t>
      </w:r>
      <w:bookmarkEnd w:id="702"/>
      <w:r w:rsidRPr="00AC4AEA">
        <w:rPr>
          <w:rFonts w:ascii="Arial" w:hAnsi="Arial" w:cs="Arial"/>
          <w:sz w:val="20"/>
        </w:rPr>
        <w:t>:</w:t>
      </w:r>
    </w:p>
    <w:p w:rsidR="002A4C4E" w:rsidRPr="00AC4AEA" w:rsidRDefault="002A4C4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se transforme en </w:t>
      </w:r>
      <w:r w:rsidRPr="00AC4AEA">
        <w:rPr>
          <w:rFonts w:ascii="Arial" w:hAnsi="Arial" w:cs="Arial"/>
          <w:b/>
          <w:bCs/>
          <w:sz w:val="20"/>
        </w:rPr>
        <w:t xml:space="preserve">pasivo </w:t>
      </w:r>
      <w:r w:rsidRPr="00AC4AEA">
        <w:rPr>
          <w:rFonts w:ascii="Arial" w:hAnsi="Arial" w:cs="Arial"/>
          <w:sz w:val="20"/>
        </w:rPr>
        <w:t>(deuda) cierto por confirmación de los hechos futuros</w:t>
      </w:r>
      <w:r w:rsidR="00441689" w:rsidRPr="00AC4AEA">
        <w:rPr>
          <w:rFonts w:ascii="Arial" w:hAnsi="Arial" w:cs="Arial"/>
          <w:sz w:val="20"/>
        </w:rPr>
        <w:t xml:space="preserve"> antes</w:t>
      </w:r>
      <w:r w:rsidRPr="00AC4AEA">
        <w:rPr>
          <w:rFonts w:ascii="Arial" w:hAnsi="Arial" w:cs="Arial"/>
          <w:sz w:val="20"/>
        </w:rPr>
        <w:t xml:space="preserve"> inciertos; o</w:t>
      </w:r>
    </w:p>
    <w:p w:rsidR="002A4C4E" w:rsidRPr="00AC4AEA" w:rsidRDefault="002A4C4E" w:rsidP="00A318EA">
      <w:pPr>
        <w:pStyle w:val="A-Normal11"/>
        <w:numPr>
          <w:ilvl w:val="1"/>
          <w:numId w:val="29"/>
        </w:numPr>
        <w:ind w:left="1560"/>
        <w:jc w:val="both"/>
        <w:rPr>
          <w:rFonts w:ascii="Arial" w:hAnsi="Arial" w:cs="Arial"/>
          <w:sz w:val="20"/>
        </w:rPr>
      </w:pPr>
      <w:r w:rsidRPr="00AC4AEA">
        <w:rPr>
          <w:rFonts w:ascii="Arial" w:hAnsi="Arial" w:cs="Arial"/>
          <w:sz w:val="20"/>
        </w:rPr>
        <w:t xml:space="preserve">se extinga porque la probabilidad de los hechos futuros inciertos se reduce y deja de cumplir con el requisito del inciso c), del párrafo </w:t>
      </w:r>
      <w:fldSimple w:instr=" REF _Ref99618996 \r \h  \* MERGEFORMAT ">
        <w:r w:rsidR="00D33A5D" w:rsidRPr="00D33A5D">
          <w:rPr>
            <w:rFonts w:ascii="Arial" w:hAnsi="Arial" w:cs="Arial"/>
            <w:sz w:val="20"/>
          </w:rPr>
          <w:t>488</w:t>
        </w:r>
      </w:fldSimple>
      <w:r w:rsidRPr="00AC4AEA">
        <w:rPr>
          <w:rFonts w:ascii="Arial" w:hAnsi="Arial" w:cs="Arial"/>
          <w:sz w:val="20"/>
        </w:rPr>
        <w:t>.</w:t>
      </w:r>
    </w:p>
    <w:p w:rsidR="002A4C4E" w:rsidRPr="00AC4AEA" w:rsidRDefault="002A4C4E" w:rsidP="00A318EA">
      <w:pPr>
        <w:jc w:val="both"/>
        <w:rPr>
          <w:rFonts w:ascii="Arial" w:hAnsi="Arial" w:cs="Arial"/>
          <w:b/>
          <w:bCs/>
          <w:sz w:val="20"/>
          <w:szCs w:val="20"/>
        </w:rPr>
      </w:pPr>
    </w:p>
    <w:p w:rsidR="0048703B" w:rsidRPr="00AC4AEA" w:rsidRDefault="0048703B" w:rsidP="00A318EA">
      <w:pPr>
        <w:pStyle w:val="Ttulo2"/>
        <w:rPr>
          <w:rFonts w:cs="Arial"/>
        </w:rPr>
      </w:pPr>
      <w:bookmarkStart w:id="703" w:name="_Toc101863940"/>
      <w:bookmarkStart w:id="704" w:name="_Toc139356819"/>
      <w:r w:rsidRPr="00AC4AEA">
        <w:rPr>
          <w:rFonts w:cs="Arial"/>
        </w:rPr>
        <w:t xml:space="preserve">Presentación en los </w:t>
      </w:r>
      <w:r w:rsidR="00135084" w:rsidRPr="00AC4AEA">
        <w:rPr>
          <w:rFonts w:cs="Arial"/>
          <w:bCs/>
        </w:rPr>
        <w:t>estados contables</w:t>
      </w:r>
      <w:bookmarkEnd w:id="703"/>
      <w:bookmarkEnd w:id="704"/>
    </w:p>
    <w:p w:rsidR="0048703B" w:rsidRPr="00AC4AEA" w:rsidRDefault="002321D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48703B" w:rsidRPr="00AC4AEA">
        <w:rPr>
          <w:rFonts w:ascii="Arial" w:hAnsi="Arial" w:cs="Arial"/>
          <w:sz w:val="20"/>
          <w:szCs w:val="20"/>
        </w:rPr>
        <w:t xml:space="preserve">na entidad presentará las previsiones como un pasivo, </w:t>
      </w:r>
      <w:r w:rsidR="00A72467" w:rsidRPr="00AC4AEA">
        <w:rPr>
          <w:rFonts w:ascii="Arial" w:hAnsi="Arial" w:cs="Arial"/>
          <w:sz w:val="20"/>
          <w:szCs w:val="20"/>
        </w:rPr>
        <w:t xml:space="preserve">separadas </w:t>
      </w:r>
      <w:r w:rsidR="0048703B" w:rsidRPr="00AC4AEA">
        <w:rPr>
          <w:rFonts w:ascii="Arial" w:hAnsi="Arial" w:cs="Arial"/>
          <w:sz w:val="20"/>
          <w:szCs w:val="20"/>
        </w:rPr>
        <w:t xml:space="preserve">de </w:t>
      </w:r>
      <w:r w:rsidR="00A949EC" w:rsidRPr="00AC4AEA">
        <w:rPr>
          <w:rFonts w:ascii="Arial" w:hAnsi="Arial" w:cs="Arial"/>
          <w:sz w:val="20"/>
          <w:szCs w:val="20"/>
        </w:rPr>
        <w:t xml:space="preserve">los </w:t>
      </w:r>
      <w:r w:rsidR="00497590" w:rsidRPr="00AC4AEA">
        <w:rPr>
          <w:rFonts w:ascii="Arial" w:hAnsi="Arial" w:cs="Arial"/>
          <w:sz w:val="20"/>
          <w:szCs w:val="20"/>
        </w:rPr>
        <w:t>pasivos</w:t>
      </w:r>
      <w:r w:rsidR="00A949EC" w:rsidRPr="00AC4AEA">
        <w:rPr>
          <w:rFonts w:ascii="Arial" w:hAnsi="Arial" w:cs="Arial"/>
          <w:sz w:val="20"/>
          <w:szCs w:val="20"/>
        </w:rPr>
        <w:t xml:space="preserve"> </w:t>
      </w:r>
      <w:r w:rsidR="00BE0E82" w:rsidRPr="00AC4AEA">
        <w:rPr>
          <w:rFonts w:ascii="Arial" w:hAnsi="Arial" w:cs="Arial"/>
          <w:sz w:val="20"/>
          <w:szCs w:val="20"/>
        </w:rPr>
        <w:t>ciertos</w:t>
      </w:r>
      <w:r w:rsidR="00A72467" w:rsidRPr="00AC4AEA">
        <w:rPr>
          <w:rFonts w:ascii="Arial" w:hAnsi="Arial" w:cs="Arial"/>
          <w:sz w:val="20"/>
          <w:szCs w:val="20"/>
        </w:rPr>
        <w:t xml:space="preserve">, y distinguiendo, si correspondiera, entre </w:t>
      </w:r>
      <w:r w:rsidR="00497590" w:rsidRPr="00AC4AEA">
        <w:rPr>
          <w:rFonts w:ascii="Arial" w:hAnsi="Arial" w:cs="Arial"/>
          <w:sz w:val="20"/>
          <w:szCs w:val="20"/>
        </w:rPr>
        <w:t>pasivos</w:t>
      </w:r>
      <w:r w:rsidR="00A72467" w:rsidRPr="00AC4AEA">
        <w:rPr>
          <w:rFonts w:ascii="Arial" w:hAnsi="Arial" w:cs="Arial"/>
          <w:sz w:val="20"/>
          <w:szCs w:val="20"/>
        </w:rPr>
        <w:t xml:space="preserve"> corrientes y no corrientes.</w:t>
      </w:r>
    </w:p>
    <w:p w:rsidR="00127448" w:rsidRPr="00AC4AEA" w:rsidRDefault="002321D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En el estado de resultados, u</w:t>
      </w:r>
      <w:r w:rsidR="00127448" w:rsidRPr="00AC4AEA">
        <w:rPr>
          <w:rFonts w:ascii="Arial" w:hAnsi="Arial" w:cs="Arial"/>
          <w:sz w:val="20"/>
          <w:szCs w:val="20"/>
        </w:rPr>
        <w:t xml:space="preserve">na entidad presentará: </w:t>
      </w:r>
    </w:p>
    <w:p w:rsidR="00127448" w:rsidRPr="00AC4AEA" w:rsidRDefault="00EF1FAB" w:rsidP="00A318EA">
      <w:pPr>
        <w:pStyle w:val="Prrafodelista"/>
        <w:numPr>
          <w:ilvl w:val="0"/>
          <w:numId w:val="130"/>
        </w:numPr>
        <w:ind w:left="1560"/>
        <w:contextualSpacing w:val="0"/>
        <w:jc w:val="both"/>
        <w:rPr>
          <w:rFonts w:ascii="Arial" w:hAnsi="Arial" w:cs="Arial"/>
          <w:sz w:val="20"/>
          <w:szCs w:val="20"/>
        </w:rPr>
      </w:pPr>
      <w:r w:rsidRPr="00AC4AEA">
        <w:rPr>
          <w:rFonts w:ascii="Arial" w:hAnsi="Arial" w:cs="Arial"/>
          <w:sz w:val="20"/>
          <w:szCs w:val="20"/>
        </w:rPr>
        <w:t>l</w:t>
      </w:r>
      <w:r w:rsidR="00127448" w:rsidRPr="00AC4AEA">
        <w:rPr>
          <w:rFonts w:ascii="Arial" w:hAnsi="Arial" w:cs="Arial"/>
          <w:sz w:val="20"/>
          <w:szCs w:val="20"/>
        </w:rPr>
        <w:t>os gastos generados por el aumento de previsiones;</w:t>
      </w:r>
    </w:p>
    <w:p w:rsidR="00127448" w:rsidRPr="00AC4AEA" w:rsidRDefault="00EF1FAB" w:rsidP="00A318EA">
      <w:pPr>
        <w:pStyle w:val="Prrafodelista"/>
        <w:numPr>
          <w:ilvl w:val="0"/>
          <w:numId w:val="130"/>
        </w:numPr>
        <w:ind w:left="1560"/>
        <w:contextualSpacing w:val="0"/>
        <w:jc w:val="both"/>
        <w:rPr>
          <w:rFonts w:ascii="Arial" w:hAnsi="Arial" w:cs="Arial"/>
          <w:sz w:val="20"/>
          <w:szCs w:val="20"/>
        </w:rPr>
      </w:pPr>
      <w:r w:rsidRPr="00AC4AEA">
        <w:rPr>
          <w:rFonts w:ascii="Arial" w:hAnsi="Arial" w:cs="Arial"/>
          <w:sz w:val="20"/>
          <w:szCs w:val="20"/>
        </w:rPr>
        <w:t>l</w:t>
      </w:r>
      <w:r w:rsidR="00127448" w:rsidRPr="00AC4AEA">
        <w:rPr>
          <w:rFonts w:ascii="Arial" w:hAnsi="Arial" w:cs="Arial"/>
          <w:sz w:val="20"/>
          <w:szCs w:val="20"/>
        </w:rPr>
        <w:t xml:space="preserve">os ingresos derivados de la disminución de previsiones, no originada por su conversión en </w:t>
      </w:r>
      <w:r w:rsidR="00127448" w:rsidRPr="00AC4AEA">
        <w:rPr>
          <w:rFonts w:ascii="Arial" w:hAnsi="Arial" w:cs="Arial"/>
          <w:b/>
          <w:bCs/>
          <w:sz w:val="20"/>
          <w:szCs w:val="20"/>
        </w:rPr>
        <w:t xml:space="preserve">pasivo </w:t>
      </w:r>
      <w:r w:rsidR="00127448" w:rsidRPr="00AC4AEA">
        <w:rPr>
          <w:rFonts w:ascii="Arial" w:hAnsi="Arial" w:cs="Arial"/>
          <w:sz w:val="20"/>
          <w:szCs w:val="20"/>
        </w:rPr>
        <w:t>cierto</w:t>
      </w:r>
      <w:r w:rsidRPr="00AC4AEA">
        <w:rPr>
          <w:rFonts w:ascii="Arial" w:hAnsi="Arial" w:cs="Arial"/>
          <w:sz w:val="20"/>
          <w:szCs w:val="20"/>
        </w:rPr>
        <w:t>;</w:t>
      </w:r>
      <w:r w:rsidR="00EA4A21" w:rsidRPr="00AC4AEA">
        <w:rPr>
          <w:rFonts w:ascii="Arial" w:hAnsi="Arial" w:cs="Arial"/>
          <w:sz w:val="20"/>
          <w:szCs w:val="20"/>
        </w:rPr>
        <w:t xml:space="preserve"> y</w:t>
      </w:r>
    </w:p>
    <w:p w:rsidR="00127448" w:rsidRPr="00AC4AEA" w:rsidRDefault="00EF1FAB" w:rsidP="00A318EA">
      <w:pPr>
        <w:pStyle w:val="Prrafodelista"/>
        <w:numPr>
          <w:ilvl w:val="0"/>
          <w:numId w:val="130"/>
        </w:numPr>
        <w:ind w:left="1560"/>
        <w:contextualSpacing w:val="0"/>
        <w:jc w:val="both"/>
        <w:rPr>
          <w:rFonts w:ascii="Arial" w:hAnsi="Arial" w:cs="Arial"/>
          <w:sz w:val="20"/>
          <w:szCs w:val="20"/>
        </w:rPr>
      </w:pPr>
      <w:r w:rsidRPr="00AC4AEA">
        <w:rPr>
          <w:rFonts w:ascii="Arial" w:hAnsi="Arial" w:cs="Arial"/>
          <w:sz w:val="20"/>
          <w:szCs w:val="20"/>
        </w:rPr>
        <w:t>l</w:t>
      </w:r>
      <w:r w:rsidR="00127448" w:rsidRPr="00AC4AEA">
        <w:rPr>
          <w:rFonts w:ascii="Arial" w:hAnsi="Arial" w:cs="Arial"/>
          <w:sz w:val="20"/>
          <w:szCs w:val="20"/>
        </w:rPr>
        <w:t xml:space="preserve">os resultados financieros producidos por </w:t>
      </w:r>
      <w:r w:rsidR="00BB5D4B" w:rsidRPr="00AC4AEA">
        <w:rPr>
          <w:rFonts w:ascii="Arial" w:hAnsi="Arial" w:cs="Arial"/>
          <w:sz w:val="20"/>
          <w:szCs w:val="20"/>
        </w:rPr>
        <w:t>devengar el</w:t>
      </w:r>
      <w:r w:rsidR="00127448" w:rsidRPr="00AC4AEA">
        <w:rPr>
          <w:rFonts w:ascii="Arial" w:hAnsi="Arial" w:cs="Arial"/>
          <w:sz w:val="20"/>
          <w:szCs w:val="20"/>
        </w:rPr>
        <w:t xml:space="preserve"> componente financiero en previsiones que se miden al valor descontado.</w:t>
      </w:r>
    </w:p>
    <w:p w:rsidR="0048703B" w:rsidRPr="00AC4AEA" w:rsidRDefault="0048703B" w:rsidP="00A318EA">
      <w:pPr>
        <w:jc w:val="both"/>
        <w:rPr>
          <w:rFonts w:ascii="Arial" w:hAnsi="Arial" w:cs="Arial"/>
          <w:b/>
          <w:bCs/>
          <w:sz w:val="20"/>
          <w:szCs w:val="20"/>
        </w:rPr>
      </w:pPr>
    </w:p>
    <w:p w:rsidR="0048703B" w:rsidRPr="00AC4AEA" w:rsidRDefault="0048703B" w:rsidP="00A318EA">
      <w:pPr>
        <w:pStyle w:val="Ttulo2"/>
        <w:rPr>
          <w:rFonts w:cs="Arial"/>
        </w:rPr>
      </w:pPr>
      <w:bookmarkStart w:id="705" w:name="_Toc101863941"/>
      <w:bookmarkStart w:id="706" w:name="_Toc139356820"/>
      <w:r w:rsidRPr="00AC4AEA">
        <w:rPr>
          <w:rFonts w:cs="Arial"/>
        </w:rPr>
        <w:t>Revelación en notas</w:t>
      </w:r>
      <w:bookmarkEnd w:id="705"/>
      <w:bookmarkEnd w:id="706"/>
    </w:p>
    <w:p w:rsidR="005C7807" w:rsidRPr="00AC4AEA" w:rsidRDefault="005C780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revelará en notas: </w:t>
      </w:r>
    </w:p>
    <w:p w:rsidR="005E08B8" w:rsidRPr="00AC4AEA" w:rsidRDefault="00B32FF3" w:rsidP="00A318EA">
      <w:pPr>
        <w:pStyle w:val="Prrafodelista"/>
        <w:numPr>
          <w:ilvl w:val="0"/>
          <w:numId w:val="131"/>
        </w:numPr>
        <w:ind w:left="1560"/>
        <w:contextualSpacing w:val="0"/>
        <w:jc w:val="both"/>
        <w:rPr>
          <w:rFonts w:ascii="Arial" w:hAnsi="Arial" w:cs="Arial"/>
          <w:sz w:val="20"/>
          <w:szCs w:val="20"/>
        </w:rPr>
      </w:pPr>
      <w:r w:rsidRPr="00AC4AEA">
        <w:rPr>
          <w:rFonts w:ascii="Arial" w:hAnsi="Arial" w:cs="Arial"/>
          <w:sz w:val="20"/>
          <w:szCs w:val="20"/>
        </w:rPr>
        <w:t>l</w:t>
      </w:r>
      <w:r w:rsidR="005E08B8" w:rsidRPr="00AC4AEA">
        <w:rPr>
          <w:rFonts w:ascii="Arial" w:hAnsi="Arial" w:cs="Arial"/>
          <w:sz w:val="20"/>
          <w:szCs w:val="20"/>
        </w:rPr>
        <w:t xml:space="preserve">as </w:t>
      </w:r>
      <w:r w:rsidR="00135084" w:rsidRPr="00AC4AEA">
        <w:rPr>
          <w:rFonts w:ascii="Arial" w:hAnsi="Arial" w:cs="Arial"/>
          <w:b/>
          <w:bCs/>
          <w:sz w:val="20"/>
          <w:szCs w:val="20"/>
        </w:rPr>
        <w:t>políticas contables</w:t>
      </w:r>
      <w:r w:rsidR="00BF4A7C" w:rsidRPr="00AC4AEA">
        <w:rPr>
          <w:rFonts w:ascii="Arial" w:hAnsi="Arial" w:cs="Arial"/>
          <w:sz w:val="20"/>
          <w:szCs w:val="20"/>
        </w:rPr>
        <w:t xml:space="preserve"> empleadas</w:t>
      </w:r>
      <w:r w:rsidR="005E08B8" w:rsidRPr="00AC4AEA">
        <w:rPr>
          <w:rFonts w:ascii="Arial" w:hAnsi="Arial" w:cs="Arial"/>
          <w:sz w:val="20"/>
          <w:szCs w:val="20"/>
        </w:rPr>
        <w:t xml:space="preserve"> y los criterios de medición aplicados para cada clase de previsión</w:t>
      </w:r>
      <w:r w:rsidRPr="00AC4AEA">
        <w:rPr>
          <w:rFonts w:ascii="Arial" w:hAnsi="Arial" w:cs="Arial"/>
          <w:sz w:val="20"/>
          <w:szCs w:val="20"/>
        </w:rPr>
        <w:t>;</w:t>
      </w:r>
      <w:r w:rsidR="00EA4A21" w:rsidRPr="00AC4AEA">
        <w:rPr>
          <w:rFonts w:ascii="Arial" w:hAnsi="Arial" w:cs="Arial"/>
          <w:sz w:val="20"/>
          <w:szCs w:val="20"/>
        </w:rPr>
        <w:t xml:space="preserve"> y</w:t>
      </w:r>
    </w:p>
    <w:p w:rsidR="005E08B8" w:rsidRPr="00AC4AEA" w:rsidRDefault="00B32FF3" w:rsidP="00A318EA">
      <w:pPr>
        <w:pStyle w:val="Prrafodelista"/>
        <w:numPr>
          <w:ilvl w:val="0"/>
          <w:numId w:val="131"/>
        </w:numPr>
        <w:ind w:left="1560"/>
        <w:contextualSpacing w:val="0"/>
        <w:jc w:val="both"/>
        <w:rPr>
          <w:rFonts w:ascii="Arial" w:hAnsi="Arial" w:cs="Arial"/>
          <w:sz w:val="20"/>
          <w:szCs w:val="20"/>
        </w:rPr>
      </w:pPr>
      <w:r w:rsidRPr="00AC4AEA">
        <w:rPr>
          <w:rFonts w:ascii="Arial" w:hAnsi="Arial" w:cs="Arial"/>
          <w:sz w:val="20"/>
          <w:szCs w:val="20"/>
        </w:rPr>
        <w:t>l</w:t>
      </w:r>
      <w:r w:rsidR="005E08B8" w:rsidRPr="00AC4AEA">
        <w:rPr>
          <w:rFonts w:ascii="Arial" w:hAnsi="Arial" w:cs="Arial"/>
          <w:sz w:val="20"/>
          <w:szCs w:val="20"/>
        </w:rPr>
        <w:t>as bases y métodos utilizados y los supuestos considerados en las mediciones basadas en valores corrientes.</w:t>
      </w:r>
    </w:p>
    <w:p w:rsidR="0048703B" w:rsidRPr="00AC4AEA" w:rsidRDefault="0048703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revelará en notas la siguiente información acerca de contingencias reconocidas contablemente:</w:t>
      </w:r>
    </w:p>
    <w:p w:rsidR="0048703B" w:rsidRPr="00AC4AEA" w:rsidRDefault="00B32FF3" w:rsidP="00A318EA">
      <w:pPr>
        <w:pStyle w:val="Prrafodelista"/>
        <w:numPr>
          <w:ilvl w:val="0"/>
          <w:numId w:val="132"/>
        </w:numPr>
        <w:ind w:left="1560"/>
        <w:contextualSpacing w:val="0"/>
        <w:jc w:val="both"/>
        <w:rPr>
          <w:rFonts w:ascii="Arial" w:hAnsi="Arial" w:cs="Arial"/>
          <w:sz w:val="20"/>
          <w:szCs w:val="20"/>
        </w:rPr>
      </w:pPr>
      <w:r w:rsidRPr="00AC4AEA">
        <w:rPr>
          <w:rFonts w:ascii="Arial" w:hAnsi="Arial" w:cs="Arial"/>
          <w:sz w:val="20"/>
          <w:szCs w:val="20"/>
        </w:rPr>
        <w:t>u</w:t>
      </w:r>
      <w:r w:rsidR="0048703B" w:rsidRPr="00AC4AEA">
        <w:rPr>
          <w:rFonts w:ascii="Arial" w:hAnsi="Arial" w:cs="Arial"/>
          <w:sz w:val="20"/>
          <w:szCs w:val="20"/>
        </w:rPr>
        <w:t xml:space="preserve">na breve descripción de su naturaleza; </w:t>
      </w:r>
    </w:p>
    <w:p w:rsidR="0048703B" w:rsidRPr="00AC4AEA" w:rsidRDefault="00B32FF3" w:rsidP="00A318EA">
      <w:pPr>
        <w:pStyle w:val="Prrafodelista"/>
        <w:numPr>
          <w:ilvl w:val="0"/>
          <w:numId w:val="132"/>
        </w:numPr>
        <w:ind w:left="1560"/>
        <w:contextualSpacing w:val="0"/>
        <w:jc w:val="both"/>
        <w:rPr>
          <w:rFonts w:ascii="Arial" w:hAnsi="Arial" w:cs="Arial"/>
          <w:sz w:val="20"/>
          <w:szCs w:val="20"/>
        </w:rPr>
      </w:pPr>
      <w:r w:rsidRPr="00AC4AEA">
        <w:rPr>
          <w:rFonts w:ascii="Arial" w:hAnsi="Arial" w:cs="Arial"/>
          <w:sz w:val="20"/>
          <w:szCs w:val="20"/>
        </w:rPr>
        <w:t>l</w:t>
      </w:r>
      <w:r w:rsidR="0048703B" w:rsidRPr="00AC4AEA">
        <w:rPr>
          <w:rFonts w:ascii="Arial" w:hAnsi="Arial" w:cs="Arial"/>
          <w:sz w:val="20"/>
          <w:szCs w:val="20"/>
        </w:rPr>
        <w:t xml:space="preserve">a existencia de eventuales reembolsos de la obligación a cancelar, informando además el importe de cualquier </w:t>
      </w:r>
      <w:r w:rsidR="0048703B" w:rsidRPr="00AC4AEA">
        <w:rPr>
          <w:rFonts w:ascii="Arial" w:hAnsi="Arial" w:cs="Arial"/>
          <w:b/>
          <w:bCs/>
          <w:sz w:val="20"/>
          <w:szCs w:val="20"/>
        </w:rPr>
        <w:t>activo</w:t>
      </w:r>
      <w:r w:rsidR="0048703B" w:rsidRPr="00AC4AEA">
        <w:rPr>
          <w:rFonts w:ascii="Arial" w:hAnsi="Arial" w:cs="Arial"/>
          <w:sz w:val="20"/>
          <w:szCs w:val="20"/>
        </w:rPr>
        <w:t xml:space="preserve"> reconocido por dichos reembolsos; </w:t>
      </w:r>
    </w:p>
    <w:p w:rsidR="0048703B" w:rsidRPr="00AC4AEA" w:rsidRDefault="00B32FF3" w:rsidP="00A318EA">
      <w:pPr>
        <w:pStyle w:val="Prrafodelista"/>
        <w:numPr>
          <w:ilvl w:val="0"/>
          <w:numId w:val="132"/>
        </w:numPr>
        <w:ind w:left="1560"/>
        <w:contextualSpacing w:val="0"/>
        <w:jc w:val="both"/>
        <w:rPr>
          <w:rFonts w:ascii="Arial" w:hAnsi="Arial" w:cs="Arial"/>
          <w:sz w:val="20"/>
          <w:szCs w:val="20"/>
        </w:rPr>
      </w:pPr>
      <w:r w:rsidRPr="00AC4AEA">
        <w:rPr>
          <w:rFonts w:ascii="Arial" w:hAnsi="Arial" w:cs="Arial"/>
          <w:sz w:val="20"/>
          <w:szCs w:val="20"/>
        </w:rPr>
        <w:t>u</w:t>
      </w:r>
      <w:r w:rsidR="0048703B" w:rsidRPr="00AC4AEA">
        <w:rPr>
          <w:rFonts w:ascii="Arial" w:hAnsi="Arial" w:cs="Arial"/>
          <w:sz w:val="20"/>
          <w:szCs w:val="20"/>
        </w:rPr>
        <w:t xml:space="preserve">na indicación de las incertidumbres relativas a sus importes y </w:t>
      </w:r>
      <w:r w:rsidR="00EE3013" w:rsidRPr="00AC4AEA">
        <w:rPr>
          <w:rFonts w:ascii="Arial" w:hAnsi="Arial" w:cs="Arial"/>
          <w:sz w:val="20"/>
          <w:szCs w:val="20"/>
        </w:rPr>
        <w:t>calendario de flujos de efectivo futuros;</w:t>
      </w:r>
    </w:p>
    <w:p w:rsidR="0048703B" w:rsidRPr="00AC4AEA" w:rsidRDefault="00B32FF3" w:rsidP="00A318EA">
      <w:pPr>
        <w:pStyle w:val="Prrafodelista"/>
        <w:numPr>
          <w:ilvl w:val="0"/>
          <w:numId w:val="132"/>
        </w:numPr>
        <w:ind w:left="1560"/>
        <w:contextualSpacing w:val="0"/>
        <w:jc w:val="both"/>
        <w:rPr>
          <w:rFonts w:ascii="Arial" w:hAnsi="Arial" w:cs="Arial"/>
          <w:sz w:val="20"/>
          <w:szCs w:val="20"/>
        </w:rPr>
      </w:pPr>
      <w:r w:rsidRPr="00AC4AEA">
        <w:rPr>
          <w:rFonts w:ascii="Arial" w:hAnsi="Arial" w:cs="Arial"/>
          <w:sz w:val="20"/>
          <w:szCs w:val="20"/>
        </w:rPr>
        <w:t>l</w:t>
      </w:r>
      <w:r w:rsidR="0048703B" w:rsidRPr="00AC4AEA">
        <w:rPr>
          <w:rFonts w:ascii="Arial" w:hAnsi="Arial" w:cs="Arial"/>
          <w:sz w:val="20"/>
          <w:szCs w:val="20"/>
        </w:rPr>
        <w:t>os importes correspondientes al saldo inicial, aumentos</w:t>
      </w:r>
      <w:r w:rsidR="00835565" w:rsidRPr="00AC4AEA">
        <w:rPr>
          <w:rFonts w:ascii="Arial" w:hAnsi="Arial" w:cs="Arial"/>
          <w:sz w:val="20"/>
          <w:szCs w:val="20"/>
        </w:rPr>
        <w:t xml:space="preserve"> </w:t>
      </w:r>
      <w:r w:rsidR="00A949EC" w:rsidRPr="00AC4AEA">
        <w:rPr>
          <w:rFonts w:ascii="Arial" w:hAnsi="Arial" w:cs="Arial"/>
          <w:sz w:val="20"/>
          <w:szCs w:val="20"/>
        </w:rPr>
        <w:t xml:space="preserve">y disminuciones </w:t>
      </w:r>
      <w:r w:rsidR="0048703B" w:rsidRPr="00AC4AEA">
        <w:rPr>
          <w:rFonts w:ascii="Arial" w:hAnsi="Arial" w:cs="Arial"/>
          <w:sz w:val="20"/>
          <w:szCs w:val="20"/>
        </w:rPr>
        <w:t xml:space="preserve">durante el </w:t>
      </w:r>
      <w:r w:rsidR="00F60637" w:rsidRPr="00AC4AEA">
        <w:rPr>
          <w:rFonts w:ascii="Arial" w:hAnsi="Arial" w:cs="Arial"/>
          <w:sz w:val="20"/>
          <w:szCs w:val="20"/>
        </w:rPr>
        <w:t>período</w:t>
      </w:r>
      <w:r w:rsidR="0048703B" w:rsidRPr="00AC4AEA">
        <w:rPr>
          <w:rFonts w:ascii="Arial" w:hAnsi="Arial" w:cs="Arial"/>
          <w:sz w:val="20"/>
          <w:szCs w:val="20"/>
        </w:rPr>
        <w:t xml:space="preserve"> y saldo final</w:t>
      </w:r>
      <w:r w:rsidRPr="00AC4AEA">
        <w:rPr>
          <w:rFonts w:ascii="Arial" w:hAnsi="Arial" w:cs="Arial"/>
          <w:sz w:val="20"/>
          <w:szCs w:val="20"/>
        </w:rPr>
        <w:t>;</w:t>
      </w:r>
      <w:r w:rsidR="00EA4A21" w:rsidRPr="00AC4AEA">
        <w:rPr>
          <w:rFonts w:ascii="Arial" w:hAnsi="Arial" w:cs="Arial"/>
          <w:sz w:val="20"/>
          <w:szCs w:val="20"/>
        </w:rPr>
        <w:t xml:space="preserve"> y</w:t>
      </w:r>
    </w:p>
    <w:p w:rsidR="0048703B" w:rsidRPr="00AC4AEA" w:rsidRDefault="00B32FF3" w:rsidP="00A318EA">
      <w:pPr>
        <w:pStyle w:val="Prrafodelista"/>
        <w:numPr>
          <w:ilvl w:val="0"/>
          <w:numId w:val="132"/>
        </w:numPr>
        <w:ind w:left="1560"/>
        <w:contextualSpacing w:val="0"/>
        <w:jc w:val="both"/>
        <w:rPr>
          <w:rFonts w:ascii="Arial" w:hAnsi="Arial" w:cs="Arial"/>
          <w:sz w:val="20"/>
          <w:szCs w:val="20"/>
        </w:rPr>
      </w:pPr>
      <w:r w:rsidRPr="00AC4AEA">
        <w:rPr>
          <w:rFonts w:ascii="Arial" w:hAnsi="Arial" w:cs="Arial"/>
          <w:sz w:val="20"/>
          <w:szCs w:val="20"/>
        </w:rPr>
        <w:t>la</w:t>
      </w:r>
      <w:r w:rsidR="0048703B" w:rsidRPr="00AC4AEA">
        <w:rPr>
          <w:rFonts w:ascii="Arial" w:hAnsi="Arial" w:cs="Arial"/>
          <w:sz w:val="20"/>
          <w:szCs w:val="20"/>
        </w:rPr>
        <w:t xml:space="preserve">s causas de los aumentos y disminuciones, </w:t>
      </w:r>
      <w:r w:rsidR="00EE3013" w:rsidRPr="00AC4AEA">
        <w:rPr>
          <w:rFonts w:ascii="Arial" w:hAnsi="Arial" w:cs="Arial"/>
          <w:sz w:val="20"/>
          <w:szCs w:val="20"/>
        </w:rPr>
        <w:t>exponiendo por separado:</w:t>
      </w:r>
    </w:p>
    <w:p w:rsidR="0048703B" w:rsidRPr="00AC4AEA" w:rsidRDefault="00B32FF3" w:rsidP="00A318EA">
      <w:pPr>
        <w:pStyle w:val="Prrafodelista"/>
        <w:numPr>
          <w:ilvl w:val="0"/>
          <w:numId w:val="133"/>
        </w:numPr>
        <w:ind w:left="1985"/>
        <w:contextualSpacing w:val="0"/>
        <w:jc w:val="both"/>
        <w:rPr>
          <w:rFonts w:ascii="Arial" w:hAnsi="Arial" w:cs="Arial"/>
          <w:sz w:val="20"/>
          <w:szCs w:val="20"/>
        </w:rPr>
      </w:pPr>
      <w:r w:rsidRPr="00AC4AEA">
        <w:rPr>
          <w:rFonts w:ascii="Arial" w:hAnsi="Arial" w:cs="Arial"/>
          <w:sz w:val="20"/>
          <w:szCs w:val="20"/>
        </w:rPr>
        <w:t>l</w:t>
      </w:r>
      <w:r w:rsidR="00EE3013" w:rsidRPr="00AC4AEA">
        <w:rPr>
          <w:rFonts w:ascii="Arial" w:hAnsi="Arial" w:cs="Arial"/>
          <w:sz w:val="20"/>
          <w:szCs w:val="20"/>
        </w:rPr>
        <w:t xml:space="preserve">os aumentos generados por </w:t>
      </w:r>
      <w:r w:rsidR="00BE0E82" w:rsidRPr="00AC4AEA">
        <w:rPr>
          <w:rFonts w:ascii="Arial" w:hAnsi="Arial" w:cs="Arial"/>
          <w:sz w:val="20"/>
          <w:szCs w:val="20"/>
        </w:rPr>
        <w:t xml:space="preserve">el </w:t>
      </w:r>
      <w:r w:rsidR="00EE3013" w:rsidRPr="00AC4AEA">
        <w:rPr>
          <w:rFonts w:ascii="Arial" w:hAnsi="Arial" w:cs="Arial"/>
          <w:sz w:val="20"/>
          <w:szCs w:val="20"/>
        </w:rPr>
        <w:t>efecto financiero, debido al transcurso del tiempo, en el caso de previsiones que se miden al valor descontado de los flujos de efectivo</w:t>
      </w:r>
      <w:r w:rsidR="00BE0E82" w:rsidRPr="00AC4AEA">
        <w:rPr>
          <w:rFonts w:ascii="Arial" w:hAnsi="Arial" w:cs="Arial"/>
          <w:sz w:val="20"/>
          <w:szCs w:val="20"/>
        </w:rPr>
        <w:t xml:space="preserve"> </w:t>
      </w:r>
      <w:r w:rsidR="00EE3013" w:rsidRPr="00AC4AEA">
        <w:rPr>
          <w:rFonts w:ascii="Arial" w:hAnsi="Arial" w:cs="Arial"/>
          <w:sz w:val="20"/>
          <w:szCs w:val="20"/>
        </w:rPr>
        <w:t>futuros</w:t>
      </w:r>
      <w:r w:rsidR="00BE0E82" w:rsidRPr="00AC4AEA">
        <w:rPr>
          <w:rFonts w:ascii="Arial" w:hAnsi="Arial" w:cs="Arial"/>
          <w:sz w:val="20"/>
          <w:szCs w:val="20"/>
        </w:rPr>
        <w:t xml:space="preserve"> estimados</w:t>
      </w:r>
      <w:r w:rsidR="00EE3013" w:rsidRPr="00AC4AEA">
        <w:rPr>
          <w:rFonts w:ascii="Arial" w:hAnsi="Arial" w:cs="Arial"/>
          <w:sz w:val="20"/>
          <w:szCs w:val="20"/>
        </w:rPr>
        <w:t>;</w:t>
      </w:r>
    </w:p>
    <w:p w:rsidR="00EE3013" w:rsidRPr="00AC4AEA" w:rsidRDefault="00B32FF3" w:rsidP="00A318EA">
      <w:pPr>
        <w:pStyle w:val="Prrafodelista"/>
        <w:numPr>
          <w:ilvl w:val="0"/>
          <w:numId w:val="133"/>
        </w:numPr>
        <w:ind w:left="1985"/>
        <w:contextualSpacing w:val="0"/>
        <w:jc w:val="both"/>
        <w:rPr>
          <w:rFonts w:ascii="Arial" w:hAnsi="Arial" w:cs="Arial"/>
          <w:sz w:val="20"/>
          <w:szCs w:val="20"/>
        </w:rPr>
      </w:pPr>
      <w:r w:rsidRPr="00AC4AEA">
        <w:rPr>
          <w:rFonts w:ascii="Arial" w:hAnsi="Arial" w:cs="Arial"/>
          <w:sz w:val="20"/>
          <w:szCs w:val="20"/>
        </w:rPr>
        <w:t>l</w:t>
      </w:r>
      <w:r w:rsidR="00EE3013" w:rsidRPr="00AC4AEA">
        <w:rPr>
          <w:rFonts w:ascii="Arial" w:hAnsi="Arial" w:cs="Arial"/>
          <w:sz w:val="20"/>
          <w:szCs w:val="20"/>
        </w:rPr>
        <w:t>as</w:t>
      </w:r>
      <w:r w:rsidR="0048703B" w:rsidRPr="00AC4AEA">
        <w:rPr>
          <w:rFonts w:ascii="Arial" w:hAnsi="Arial" w:cs="Arial"/>
          <w:sz w:val="20"/>
          <w:szCs w:val="20"/>
        </w:rPr>
        <w:t xml:space="preserve"> disminuciones</w:t>
      </w:r>
      <w:r w:rsidR="00EE3013" w:rsidRPr="00AC4AEA">
        <w:rPr>
          <w:rFonts w:ascii="Arial" w:hAnsi="Arial" w:cs="Arial"/>
          <w:sz w:val="20"/>
          <w:szCs w:val="20"/>
        </w:rPr>
        <w:t xml:space="preserve"> originadas</w:t>
      </w:r>
      <w:r w:rsidR="00A949EC" w:rsidRPr="00AC4AEA">
        <w:rPr>
          <w:rFonts w:ascii="Arial" w:hAnsi="Arial" w:cs="Arial"/>
          <w:sz w:val="20"/>
          <w:szCs w:val="20"/>
        </w:rPr>
        <w:t xml:space="preserve"> en reversiones</w:t>
      </w:r>
      <w:r w:rsidRPr="00AC4AEA">
        <w:rPr>
          <w:rFonts w:ascii="Arial" w:hAnsi="Arial" w:cs="Arial"/>
          <w:sz w:val="20"/>
          <w:szCs w:val="20"/>
        </w:rPr>
        <w:t>;</w:t>
      </w:r>
      <w:r w:rsidR="00EE3013" w:rsidRPr="00AC4AEA">
        <w:rPr>
          <w:rFonts w:ascii="Arial" w:hAnsi="Arial" w:cs="Arial"/>
          <w:sz w:val="20"/>
          <w:szCs w:val="20"/>
        </w:rPr>
        <w:t xml:space="preserve"> y</w:t>
      </w:r>
    </w:p>
    <w:p w:rsidR="0048703B" w:rsidRPr="00AC4AEA" w:rsidRDefault="00B32FF3" w:rsidP="00A318EA">
      <w:pPr>
        <w:pStyle w:val="Prrafodelista"/>
        <w:numPr>
          <w:ilvl w:val="0"/>
          <w:numId w:val="133"/>
        </w:numPr>
        <w:ind w:left="1985"/>
        <w:contextualSpacing w:val="0"/>
        <w:jc w:val="both"/>
        <w:rPr>
          <w:rFonts w:ascii="Arial" w:hAnsi="Arial" w:cs="Arial"/>
          <w:sz w:val="20"/>
          <w:szCs w:val="20"/>
        </w:rPr>
      </w:pPr>
      <w:r w:rsidRPr="00AC4AEA">
        <w:rPr>
          <w:rFonts w:ascii="Arial" w:hAnsi="Arial" w:cs="Arial"/>
          <w:sz w:val="20"/>
          <w:szCs w:val="20"/>
        </w:rPr>
        <w:t>l</w:t>
      </w:r>
      <w:r w:rsidR="00EE3013" w:rsidRPr="00AC4AEA">
        <w:rPr>
          <w:rFonts w:ascii="Arial" w:hAnsi="Arial" w:cs="Arial"/>
          <w:sz w:val="20"/>
          <w:szCs w:val="20"/>
        </w:rPr>
        <w:t>as disminuciones</w:t>
      </w:r>
      <w:r w:rsidR="00A949EC" w:rsidRPr="00AC4AEA">
        <w:rPr>
          <w:rFonts w:ascii="Arial" w:hAnsi="Arial" w:cs="Arial"/>
          <w:sz w:val="20"/>
          <w:szCs w:val="20"/>
        </w:rPr>
        <w:t xml:space="preserve"> derivadas de la conversión </w:t>
      </w:r>
      <w:r w:rsidR="00EE3013" w:rsidRPr="00AC4AEA">
        <w:rPr>
          <w:rFonts w:ascii="Arial" w:hAnsi="Arial" w:cs="Arial"/>
          <w:sz w:val="20"/>
          <w:szCs w:val="20"/>
        </w:rPr>
        <w:t xml:space="preserve">de previsiones </w:t>
      </w:r>
      <w:r w:rsidR="00A949EC" w:rsidRPr="00AC4AEA">
        <w:rPr>
          <w:rFonts w:ascii="Arial" w:hAnsi="Arial" w:cs="Arial"/>
          <w:sz w:val="20"/>
          <w:szCs w:val="20"/>
        </w:rPr>
        <w:t xml:space="preserve">en </w:t>
      </w:r>
      <w:r w:rsidR="00497590" w:rsidRPr="00AC4AEA">
        <w:rPr>
          <w:rFonts w:ascii="Arial" w:hAnsi="Arial" w:cs="Arial"/>
          <w:sz w:val="20"/>
          <w:szCs w:val="20"/>
        </w:rPr>
        <w:t>pasivos</w:t>
      </w:r>
      <w:r w:rsidR="00A949EC" w:rsidRPr="00AC4AEA">
        <w:rPr>
          <w:rFonts w:ascii="Arial" w:hAnsi="Arial" w:cs="Arial"/>
          <w:sz w:val="20"/>
          <w:szCs w:val="20"/>
        </w:rPr>
        <w:t xml:space="preserve"> cierto</w:t>
      </w:r>
      <w:r w:rsidR="00EE3013" w:rsidRPr="00AC4AEA">
        <w:rPr>
          <w:rFonts w:ascii="Arial" w:hAnsi="Arial" w:cs="Arial"/>
          <w:sz w:val="20"/>
          <w:szCs w:val="20"/>
        </w:rPr>
        <w:t>s</w:t>
      </w:r>
      <w:r w:rsidR="0048703B" w:rsidRPr="00AC4AEA">
        <w:rPr>
          <w:rFonts w:ascii="Arial" w:hAnsi="Arial" w:cs="Arial"/>
          <w:sz w:val="20"/>
          <w:szCs w:val="20"/>
        </w:rPr>
        <w:t xml:space="preserve">. </w:t>
      </w:r>
    </w:p>
    <w:p w:rsidR="0048703B" w:rsidRPr="00AC4AEA" w:rsidRDefault="0048703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informará acerca de circunstancias que tornan </w:t>
      </w:r>
      <w:r w:rsidRPr="00AC4AEA">
        <w:rPr>
          <w:rFonts w:ascii="Arial" w:hAnsi="Arial" w:cs="Arial"/>
          <w:b/>
          <w:bCs/>
          <w:sz w:val="20"/>
          <w:szCs w:val="20"/>
        </w:rPr>
        <w:t>impracticable</w:t>
      </w:r>
      <w:r w:rsidRPr="00AC4AEA">
        <w:rPr>
          <w:rFonts w:ascii="Arial" w:hAnsi="Arial" w:cs="Arial"/>
          <w:sz w:val="20"/>
          <w:szCs w:val="20"/>
        </w:rPr>
        <w:t xml:space="preserve"> la aplicación de alguno de los requerimientos del párrafo anterior. </w:t>
      </w:r>
    </w:p>
    <w:p w:rsidR="0048703B" w:rsidRPr="00AC4AEA" w:rsidRDefault="0048703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Cuando exist</w:t>
      </w:r>
      <w:r w:rsidR="00A949EC" w:rsidRPr="00AC4AEA">
        <w:rPr>
          <w:rFonts w:ascii="Arial" w:hAnsi="Arial" w:cs="Arial"/>
          <w:sz w:val="20"/>
          <w:szCs w:val="20"/>
        </w:rPr>
        <w:t>a</w:t>
      </w:r>
      <w:r w:rsidRPr="00AC4AEA">
        <w:rPr>
          <w:rFonts w:ascii="Arial" w:hAnsi="Arial" w:cs="Arial"/>
          <w:sz w:val="20"/>
          <w:szCs w:val="20"/>
        </w:rPr>
        <w:t xml:space="preserve">n razones fundadas para suponer que la divulgación de alguna de las informaciones requeridas </w:t>
      </w:r>
      <w:r w:rsidR="00A949EC" w:rsidRPr="00AC4AEA">
        <w:rPr>
          <w:rFonts w:ascii="Arial" w:hAnsi="Arial" w:cs="Arial"/>
          <w:sz w:val="20"/>
          <w:szCs w:val="20"/>
        </w:rPr>
        <w:t xml:space="preserve">en los párrafos anteriores </w:t>
      </w:r>
      <w:r w:rsidR="00B0113C" w:rsidRPr="00AC4AEA">
        <w:rPr>
          <w:rFonts w:ascii="Arial" w:hAnsi="Arial" w:cs="Arial"/>
          <w:sz w:val="20"/>
          <w:szCs w:val="20"/>
        </w:rPr>
        <w:t xml:space="preserve">resultare </w:t>
      </w:r>
      <w:r w:rsidR="00125AF6" w:rsidRPr="00AC4AEA">
        <w:rPr>
          <w:rFonts w:ascii="Arial" w:hAnsi="Arial" w:cs="Arial"/>
          <w:sz w:val="20"/>
          <w:szCs w:val="20"/>
        </w:rPr>
        <w:t xml:space="preserve">perjudicial para </w:t>
      </w:r>
      <w:r w:rsidR="00567540" w:rsidRPr="00AC4AEA">
        <w:rPr>
          <w:rFonts w:ascii="Arial" w:hAnsi="Arial" w:cs="Arial"/>
          <w:sz w:val="20"/>
          <w:szCs w:val="20"/>
        </w:rPr>
        <w:t>la entidad</w:t>
      </w:r>
      <w:r w:rsidRPr="00AC4AEA">
        <w:rPr>
          <w:rFonts w:ascii="Arial" w:hAnsi="Arial" w:cs="Arial"/>
          <w:sz w:val="20"/>
          <w:szCs w:val="20"/>
        </w:rPr>
        <w:t xml:space="preserve">, </w:t>
      </w:r>
      <w:r w:rsidR="00567540" w:rsidRPr="00AC4AEA">
        <w:rPr>
          <w:rFonts w:ascii="Arial" w:hAnsi="Arial" w:cs="Arial"/>
          <w:sz w:val="20"/>
          <w:szCs w:val="20"/>
        </w:rPr>
        <w:t>esta</w:t>
      </w:r>
      <w:r w:rsidRPr="00AC4AEA">
        <w:rPr>
          <w:rFonts w:ascii="Arial" w:hAnsi="Arial" w:cs="Arial"/>
          <w:sz w:val="20"/>
          <w:szCs w:val="20"/>
        </w:rPr>
        <w:t xml:space="preserve"> podrá realizar una breve descripción de </w:t>
      </w:r>
      <w:r w:rsidR="00125AF6" w:rsidRPr="00AC4AEA">
        <w:rPr>
          <w:rFonts w:ascii="Arial" w:hAnsi="Arial" w:cs="Arial"/>
          <w:sz w:val="20"/>
          <w:szCs w:val="20"/>
        </w:rPr>
        <w:t>los factores que la generan</w:t>
      </w:r>
      <w:r w:rsidRPr="00AC4AEA">
        <w:rPr>
          <w:rFonts w:ascii="Arial" w:hAnsi="Arial" w:cs="Arial"/>
          <w:sz w:val="20"/>
          <w:szCs w:val="20"/>
        </w:rPr>
        <w:t xml:space="preserve">. </w:t>
      </w:r>
    </w:p>
    <w:p w:rsidR="0048703B" w:rsidRPr="00AC4AEA" w:rsidRDefault="0048703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 xml:space="preserve">Una entidad revelará en notas la siguiente información acerca de </w:t>
      </w:r>
      <w:r w:rsidR="00A949EC" w:rsidRPr="00AC4AEA">
        <w:rPr>
          <w:rFonts w:ascii="Arial" w:hAnsi="Arial" w:cs="Arial"/>
          <w:sz w:val="20"/>
          <w:szCs w:val="20"/>
        </w:rPr>
        <w:t xml:space="preserve">las </w:t>
      </w:r>
      <w:r w:rsidRPr="00AC4AEA">
        <w:rPr>
          <w:rFonts w:ascii="Arial" w:hAnsi="Arial" w:cs="Arial"/>
          <w:sz w:val="20"/>
          <w:szCs w:val="20"/>
        </w:rPr>
        <w:t xml:space="preserve">contingencias que </w:t>
      </w:r>
      <w:r w:rsidR="00BE0E82" w:rsidRPr="00AC4AEA">
        <w:rPr>
          <w:rFonts w:ascii="Arial" w:hAnsi="Arial" w:cs="Arial"/>
          <w:sz w:val="20"/>
          <w:szCs w:val="20"/>
        </w:rPr>
        <w:t>incumplen</w:t>
      </w:r>
      <w:r w:rsidRPr="00AC4AEA">
        <w:rPr>
          <w:rFonts w:ascii="Arial" w:hAnsi="Arial" w:cs="Arial"/>
          <w:sz w:val="20"/>
          <w:szCs w:val="20"/>
        </w:rPr>
        <w:t xml:space="preserve"> las condiciones para su reconocimiento como </w:t>
      </w:r>
      <w:r w:rsidRPr="00AC4AEA">
        <w:rPr>
          <w:rFonts w:ascii="Arial" w:hAnsi="Arial" w:cs="Arial"/>
          <w:b/>
          <w:bCs/>
          <w:sz w:val="20"/>
          <w:szCs w:val="20"/>
        </w:rPr>
        <w:t>pasivo</w:t>
      </w:r>
      <w:r w:rsidR="00BE0E82" w:rsidRPr="00AC4AEA">
        <w:rPr>
          <w:rFonts w:ascii="Arial" w:hAnsi="Arial" w:cs="Arial"/>
          <w:b/>
          <w:bCs/>
          <w:sz w:val="20"/>
          <w:szCs w:val="20"/>
        </w:rPr>
        <w:t xml:space="preserve"> </w:t>
      </w:r>
      <w:r w:rsidR="00BE0E82" w:rsidRPr="00AC4AEA">
        <w:rPr>
          <w:rFonts w:ascii="Arial" w:hAnsi="Arial" w:cs="Arial"/>
          <w:sz w:val="20"/>
          <w:szCs w:val="20"/>
        </w:rPr>
        <w:t>y su probabilidad de ocurrencia no es remota</w:t>
      </w:r>
      <w:r w:rsidRPr="00AC4AEA">
        <w:rPr>
          <w:rFonts w:ascii="Arial" w:hAnsi="Arial" w:cs="Arial"/>
          <w:b/>
          <w:bCs/>
          <w:sz w:val="20"/>
          <w:szCs w:val="20"/>
        </w:rPr>
        <w:t>:</w:t>
      </w:r>
    </w:p>
    <w:p w:rsidR="0048703B" w:rsidRPr="00AC4AEA" w:rsidRDefault="00B32FF3" w:rsidP="00A318EA">
      <w:pPr>
        <w:pStyle w:val="Prrafodelista"/>
        <w:numPr>
          <w:ilvl w:val="0"/>
          <w:numId w:val="134"/>
        </w:numPr>
        <w:ind w:left="1560"/>
        <w:contextualSpacing w:val="0"/>
        <w:jc w:val="both"/>
        <w:rPr>
          <w:rFonts w:ascii="Arial" w:hAnsi="Arial" w:cs="Arial"/>
          <w:sz w:val="20"/>
          <w:szCs w:val="20"/>
        </w:rPr>
      </w:pPr>
      <w:r w:rsidRPr="00AC4AEA">
        <w:rPr>
          <w:rFonts w:ascii="Arial" w:hAnsi="Arial" w:cs="Arial"/>
          <w:sz w:val="20"/>
          <w:szCs w:val="20"/>
        </w:rPr>
        <w:t>u</w:t>
      </w:r>
      <w:r w:rsidR="0048703B" w:rsidRPr="00AC4AEA">
        <w:rPr>
          <w:rFonts w:ascii="Arial" w:hAnsi="Arial" w:cs="Arial"/>
          <w:sz w:val="20"/>
          <w:szCs w:val="20"/>
        </w:rPr>
        <w:t xml:space="preserve">na breve descripción de su naturaleza; </w:t>
      </w:r>
    </w:p>
    <w:p w:rsidR="0048703B" w:rsidRPr="00AC4AEA" w:rsidRDefault="00B32FF3" w:rsidP="00A318EA">
      <w:pPr>
        <w:pStyle w:val="Prrafodelista"/>
        <w:numPr>
          <w:ilvl w:val="0"/>
          <w:numId w:val="134"/>
        </w:numPr>
        <w:ind w:left="1560"/>
        <w:contextualSpacing w:val="0"/>
        <w:jc w:val="both"/>
        <w:rPr>
          <w:rFonts w:ascii="Arial" w:hAnsi="Arial" w:cs="Arial"/>
          <w:sz w:val="20"/>
          <w:szCs w:val="20"/>
        </w:rPr>
      </w:pPr>
      <w:r w:rsidRPr="00AC4AEA">
        <w:rPr>
          <w:rFonts w:ascii="Arial" w:hAnsi="Arial" w:cs="Arial"/>
          <w:sz w:val="20"/>
          <w:szCs w:val="20"/>
        </w:rPr>
        <w:t>u</w:t>
      </w:r>
      <w:r w:rsidR="0048703B" w:rsidRPr="00AC4AEA">
        <w:rPr>
          <w:rFonts w:ascii="Arial" w:hAnsi="Arial" w:cs="Arial"/>
          <w:sz w:val="20"/>
          <w:szCs w:val="20"/>
        </w:rPr>
        <w:t xml:space="preserve">na estimación de </w:t>
      </w:r>
      <w:r w:rsidR="00A949EC" w:rsidRPr="00AC4AEA">
        <w:rPr>
          <w:rFonts w:ascii="Arial" w:hAnsi="Arial" w:cs="Arial"/>
          <w:sz w:val="20"/>
          <w:szCs w:val="20"/>
        </w:rPr>
        <w:t>sus</w:t>
      </w:r>
      <w:r w:rsidR="0048703B" w:rsidRPr="00AC4AEA">
        <w:rPr>
          <w:rFonts w:ascii="Arial" w:hAnsi="Arial" w:cs="Arial"/>
          <w:sz w:val="20"/>
          <w:szCs w:val="20"/>
        </w:rPr>
        <w:t xml:space="preserve"> efectos patrimoniales, cuando sea posible cuantificarlos en moneda de manera adecuada; </w:t>
      </w:r>
    </w:p>
    <w:p w:rsidR="00EE3013" w:rsidRPr="00AC4AEA" w:rsidRDefault="00B32FF3" w:rsidP="00A318EA">
      <w:pPr>
        <w:pStyle w:val="Prrafodelista"/>
        <w:numPr>
          <w:ilvl w:val="0"/>
          <w:numId w:val="134"/>
        </w:numPr>
        <w:ind w:left="1560"/>
        <w:contextualSpacing w:val="0"/>
        <w:jc w:val="both"/>
        <w:rPr>
          <w:rFonts w:ascii="Arial" w:hAnsi="Arial" w:cs="Arial"/>
          <w:sz w:val="20"/>
          <w:szCs w:val="20"/>
        </w:rPr>
      </w:pPr>
      <w:r w:rsidRPr="00AC4AEA">
        <w:rPr>
          <w:rFonts w:ascii="Arial" w:hAnsi="Arial" w:cs="Arial"/>
          <w:sz w:val="20"/>
          <w:szCs w:val="20"/>
        </w:rPr>
        <w:t>u</w:t>
      </w:r>
      <w:r w:rsidR="0048703B" w:rsidRPr="00AC4AEA">
        <w:rPr>
          <w:rFonts w:ascii="Arial" w:hAnsi="Arial" w:cs="Arial"/>
          <w:sz w:val="20"/>
          <w:szCs w:val="20"/>
        </w:rPr>
        <w:t xml:space="preserve">na </w:t>
      </w:r>
      <w:r w:rsidR="00EE3013" w:rsidRPr="00AC4AEA">
        <w:rPr>
          <w:rFonts w:ascii="Arial" w:hAnsi="Arial" w:cs="Arial"/>
          <w:sz w:val="20"/>
          <w:szCs w:val="20"/>
        </w:rPr>
        <w:t>descripción</w:t>
      </w:r>
      <w:r w:rsidR="0048703B" w:rsidRPr="00AC4AEA">
        <w:rPr>
          <w:rFonts w:ascii="Arial" w:hAnsi="Arial" w:cs="Arial"/>
          <w:sz w:val="20"/>
          <w:szCs w:val="20"/>
        </w:rPr>
        <w:t xml:space="preserve"> de las incertidumbres relativas a sus importes</w:t>
      </w:r>
      <w:r w:rsidR="00EE3013" w:rsidRPr="00AC4AEA">
        <w:rPr>
          <w:rFonts w:ascii="Arial" w:hAnsi="Arial" w:cs="Arial"/>
          <w:sz w:val="20"/>
          <w:szCs w:val="20"/>
        </w:rPr>
        <w:t xml:space="preserve"> y</w:t>
      </w:r>
      <w:r w:rsidR="0048703B" w:rsidRPr="00AC4AEA">
        <w:rPr>
          <w:rFonts w:ascii="Arial" w:hAnsi="Arial" w:cs="Arial"/>
          <w:sz w:val="20"/>
          <w:szCs w:val="20"/>
        </w:rPr>
        <w:t xml:space="preserve"> </w:t>
      </w:r>
      <w:r w:rsidR="00EE3013" w:rsidRPr="00AC4AEA">
        <w:rPr>
          <w:rFonts w:ascii="Arial" w:hAnsi="Arial" w:cs="Arial"/>
          <w:sz w:val="20"/>
          <w:szCs w:val="20"/>
        </w:rPr>
        <w:t>calendario de flujos de efectivo futuros;</w:t>
      </w:r>
    </w:p>
    <w:p w:rsidR="0048703B" w:rsidRPr="00AC4AEA" w:rsidRDefault="00B32FF3" w:rsidP="00A318EA">
      <w:pPr>
        <w:pStyle w:val="Prrafodelista"/>
        <w:numPr>
          <w:ilvl w:val="0"/>
          <w:numId w:val="134"/>
        </w:numPr>
        <w:ind w:left="1560"/>
        <w:contextualSpacing w:val="0"/>
        <w:jc w:val="both"/>
        <w:rPr>
          <w:rFonts w:ascii="Arial" w:hAnsi="Arial" w:cs="Arial"/>
          <w:sz w:val="20"/>
          <w:szCs w:val="20"/>
        </w:rPr>
      </w:pPr>
      <w:r w:rsidRPr="00AC4AEA">
        <w:rPr>
          <w:rFonts w:ascii="Arial" w:hAnsi="Arial" w:cs="Arial"/>
          <w:sz w:val="20"/>
          <w:szCs w:val="20"/>
        </w:rPr>
        <w:t>u</w:t>
      </w:r>
      <w:r w:rsidR="00EE3013" w:rsidRPr="00AC4AEA">
        <w:rPr>
          <w:rFonts w:ascii="Arial" w:hAnsi="Arial" w:cs="Arial"/>
          <w:sz w:val="20"/>
          <w:szCs w:val="20"/>
        </w:rPr>
        <w:t>na explicación</w:t>
      </w:r>
      <w:r w:rsidR="00A949EC" w:rsidRPr="00AC4AEA">
        <w:rPr>
          <w:rFonts w:ascii="Arial" w:hAnsi="Arial" w:cs="Arial"/>
          <w:sz w:val="20"/>
          <w:szCs w:val="20"/>
        </w:rPr>
        <w:t xml:space="preserve"> </w:t>
      </w:r>
      <w:r w:rsidR="00EE3013" w:rsidRPr="00AC4AEA">
        <w:rPr>
          <w:rFonts w:ascii="Arial" w:hAnsi="Arial" w:cs="Arial"/>
          <w:sz w:val="20"/>
          <w:szCs w:val="20"/>
        </w:rPr>
        <w:t>de</w:t>
      </w:r>
      <w:r w:rsidR="00A949EC" w:rsidRPr="00AC4AEA">
        <w:rPr>
          <w:rFonts w:ascii="Arial" w:hAnsi="Arial" w:cs="Arial"/>
          <w:sz w:val="20"/>
          <w:szCs w:val="20"/>
        </w:rPr>
        <w:t xml:space="preserve"> los motivos que impiden su reconocimiento</w:t>
      </w:r>
      <w:r w:rsidRPr="00AC4AEA">
        <w:rPr>
          <w:rFonts w:ascii="Arial" w:hAnsi="Arial" w:cs="Arial"/>
          <w:sz w:val="20"/>
          <w:szCs w:val="20"/>
        </w:rPr>
        <w:t>;</w:t>
      </w:r>
      <w:r w:rsidR="00EA4A21" w:rsidRPr="00AC4AEA">
        <w:rPr>
          <w:rFonts w:ascii="Arial" w:hAnsi="Arial" w:cs="Arial"/>
          <w:sz w:val="20"/>
          <w:szCs w:val="20"/>
        </w:rPr>
        <w:t xml:space="preserve"> y</w:t>
      </w:r>
    </w:p>
    <w:p w:rsidR="0048703B" w:rsidRPr="00AC4AEA" w:rsidRDefault="00E968D7" w:rsidP="00A318EA">
      <w:pPr>
        <w:pStyle w:val="Prrafodelista"/>
        <w:numPr>
          <w:ilvl w:val="0"/>
          <w:numId w:val="134"/>
        </w:numPr>
        <w:ind w:left="1560"/>
        <w:contextualSpacing w:val="0"/>
        <w:jc w:val="both"/>
        <w:rPr>
          <w:rFonts w:ascii="Arial" w:hAnsi="Arial" w:cs="Arial"/>
          <w:sz w:val="20"/>
          <w:szCs w:val="20"/>
        </w:rPr>
      </w:pPr>
      <w:r w:rsidRPr="00AC4AEA">
        <w:rPr>
          <w:rFonts w:ascii="Arial" w:hAnsi="Arial" w:cs="Arial"/>
          <w:sz w:val="20"/>
          <w:szCs w:val="20"/>
        </w:rPr>
        <w:t>u</w:t>
      </w:r>
      <w:r w:rsidR="00EE3013" w:rsidRPr="00AC4AEA">
        <w:rPr>
          <w:rFonts w:ascii="Arial" w:hAnsi="Arial" w:cs="Arial"/>
          <w:sz w:val="20"/>
          <w:szCs w:val="20"/>
        </w:rPr>
        <w:t>na enunciación de l</w:t>
      </w:r>
      <w:r w:rsidR="0048703B" w:rsidRPr="00AC4AEA">
        <w:rPr>
          <w:rFonts w:ascii="Arial" w:hAnsi="Arial" w:cs="Arial"/>
          <w:sz w:val="20"/>
          <w:szCs w:val="20"/>
        </w:rPr>
        <w:t xml:space="preserve">a posibilidad de obtener reembolsos </w:t>
      </w:r>
      <w:r w:rsidR="00EE3013" w:rsidRPr="00AC4AEA">
        <w:rPr>
          <w:rFonts w:ascii="Arial" w:hAnsi="Arial" w:cs="Arial"/>
          <w:sz w:val="20"/>
          <w:szCs w:val="20"/>
        </w:rPr>
        <w:t>en caso de</w:t>
      </w:r>
      <w:r w:rsidR="0048703B" w:rsidRPr="00AC4AEA">
        <w:rPr>
          <w:rFonts w:ascii="Arial" w:hAnsi="Arial" w:cs="Arial"/>
          <w:sz w:val="20"/>
          <w:szCs w:val="20"/>
        </w:rPr>
        <w:t xml:space="preserve"> cancelación. </w:t>
      </w:r>
    </w:p>
    <w:p w:rsidR="0048703B" w:rsidRPr="00AC4AEA" w:rsidRDefault="0048703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reconocerá ni revelará las situaciones contingentes cuya probabilidad de ocurrencia </w:t>
      </w:r>
      <w:r w:rsidR="00EE3013" w:rsidRPr="00AC4AEA">
        <w:rPr>
          <w:rFonts w:ascii="Arial" w:hAnsi="Arial" w:cs="Arial"/>
          <w:sz w:val="20"/>
          <w:szCs w:val="20"/>
        </w:rPr>
        <w:t>e</w:t>
      </w:r>
      <w:r w:rsidRPr="00AC4AEA">
        <w:rPr>
          <w:rFonts w:ascii="Arial" w:hAnsi="Arial" w:cs="Arial"/>
          <w:sz w:val="20"/>
          <w:szCs w:val="20"/>
        </w:rPr>
        <w:t xml:space="preserve">stime remota. </w:t>
      </w:r>
    </w:p>
    <w:p w:rsidR="0090400F" w:rsidRPr="00AC4AEA" w:rsidRDefault="0090400F" w:rsidP="00A318EA">
      <w:pPr>
        <w:ind w:left="284"/>
        <w:jc w:val="both"/>
        <w:rPr>
          <w:rFonts w:ascii="Arial" w:hAnsi="Arial" w:cs="Arial"/>
          <w:b/>
          <w:bCs/>
          <w:sz w:val="20"/>
          <w:szCs w:val="20"/>
        </w:rPr>
      </w:pPr>
    </w:p>
    <w:p w:rsidR="00371DFB" w:rsidRPr="00AC4AEA" w:rsidRDefault="00371DFB" w:rsidP="00A318EA">
      <w:pPr>
        <w:pStyle w:val="Ttulo2"/>
        <w:rPr>
          <w:rFonts w:cs="Arial"/>
        </w:rPr>
      </w:pPr>
      <w:bookmarkStart w:id="707" w:name="_Toc101863942"/>
      <w:bookmarkStart w:id="708" w:name="_Toc139356821"/>
      <w:r w:rsidRPr="00AC4AEA">
        <w:rPr>
          <w:rFonts w:cs="Arial"/>
        </w:rPr>
        <w:t>Otras normas aplicables</w:t>
      </w:r>
      <w:bookmarkEnd w:id="707"/>
      <w:bookmarkEnd w:id="708"/>
    </w:p>
    <w:p w:rsidR="00371DFB" w:rsidRPr="00AC4AEA" w:rsidRDefault="00371DF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el tratamiento contable de los componentes de previsiones una entidad deberá contemplar, en tanto resulten pertinentes y no contradigan lo establecido en esta sección, </w:t>
      </w:r>
      <w:r w:rsidR="00DD7085" w:rsidRPr="00AC4AEA">
        <w:rPr>
          <w:rFonts w:ascii="Arial" w:hAnsi="Arial" w:cs="Arial"/>
          <w:sz w:val="20"/>
          <w:szCs w:val="20"/>
        </w:rPr>
        <w:t xml:space="preserve">otras disposiciones de esta Resolución Técnica u </w:t>
      </w:r>
      <w:r w:rsidR="00DD7085" w:rsidRPr="00AC4AEA">
        <w:rPr>
          <w:rFonts w:ascii="Arial" w:hAnsi="Arial" w:cs="Arial"/>
          <w:b/>
          <w:bCs/>
          <w:sz w:val="20"/>
          <w:szCs w:val="20"/>
        </w:rPr>
        <w:t>otras normas contables</w:t>
      </w:r>
      <w:r w:rsidRPr="00AC4AEA">
        <w:rPr>
          <w:rFonts w:ascii="Arial" w:hAnsi="Arial" w:cs="Arial"/>
          <w:sz w:val="20"/>
          <w:szCs w:val="20"/>
        </w:rPr>
        <w:t>. Por ejemplo:</w:t>
      </w:r>
    </w:p>
    <w:p w:rsidR="00B74CFF" w:rsidRPr="00AC4AEA" w:rsidRDefault="00B74CF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B74CFF" w:rsidRPr="00AC4AEA" w:rsidRDefault="00B74CF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371DFB" w:rsidRPr="00AC4AEA" w:rsidRDefault="00B74CFF"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00135084"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r w:rsidR="00EF1FAB" w:rsidRPr="00AC4AEA">
        <w:rPr>
          <w:rFonts w:ascii="Arial" w:hAnsi="Arial" w:cs="Arial"/>
          <w:sz w:val="20"/>
          <w:szCs w:val="20"/>
        </w:rPr>
        <w:t>.</w:t>
      </w:r>
    </w:p>
    <w:p w:rsidR="00AE7883" w:rsidRPr="00AC4AEA" w:rsidRDefault="00AE7883" w:rsidP="00A318EA">
      <w:pPr>
        <w:pStyle w:val="Ttulo1"/>
        <w:rPr>
          <w:rFonts w:cs="Arial"/>
          <w:sz w:val="20"/>
          <w:szCs w:val="20"/>
        </w:rPr>
      </w:pPr>
      <w:bookmarkStart w:id="709" w:name="patrimonioNETO"/>
      <w:bookmarkStart w:id="710" w:name="_Toc101863943"/>
      <w:bookmarkEnd w:id="709"/>
    </w:p>
    <w:p w:rsidR="003F6556" w:rsidRPr="00AC4AEA" w:rsidRDefault="00002197" w:rsidP="00A318EA">
      <w:pPr>
        <w:pStyle w:val="Ttulo1"/>
        <w:rPr>
          <w:rFonts w:cs="Arial"/>
          <w:sz w:val="20"/>
          <w:szCs w:val="20"/>
        </w:rPr>
      </w:pPr>
      <w:bookmarkStart w:id="711" w:name="_Toc139356822"/>
      <w:r w:rsidRPr="00AC4AEA">
        <w:rPr>
          <w:rFonts w:cs="Arial"/>
          <w:sz w:val="20"/>
          <w:szCs w:val="20"/>
        </w:rPr>
        <w:t>PATRIMONIO</w:t>
      </w:r>
      <w:bookmarkEnd w:id="710"/>
      <w:r w:rsidR="002A4C4E" w:rsidRPr="00AC4AEA">
        <w:rPr>
          <w:rFonts w:cs="Arial"/>
          <w:sz w:val="20"/>
          <w:szCs w:val="20"/>
        </w:rPr>
        <w:t xml:space="preserve"> NETO</w:t>
      </w:r>
      <w:bookmarkEnd w:id="711"/>
    </w:p>
    <w:p w:rsidR="003F6556" w:rsidRPr="00AC4AEA" w:rsidRDefault="003F6556" w:rsidP="00A318EA">
      <w:pPr>
        <w:pStyle w:val="Ttulo2"/>
        <w:rPr>
          <w:rFonts w:cs="Arial"/>
        </w:rPr>
      </w:pPr>
      <w:bookmarkStart w:id="712" w:name="_Toc101863944"/>
      <w:bookmarkStart w:id="713" w:name="_Toc139356823"/>
      <w:r w:rsidRPr="00AC4AEA">
        <w:rPr>
          <w:rFonts w:cs="Arial"/>
        </w:rPr>
        <w:t>Definiciones</w:t>
      </w:r>
      <w:bookmarkEnd w:id="712"/>
      <w:bookmarkEnd w:id="713"/>
      <w:r w:rsidRPr="00AC4AEA">
        <w:rPr>
          <w:rFonts w:cs="Arial"/>
        </w:rPr>
        <w:t xml:space="preserve"> </w:t>
      </w:r>
    </w:p>
    <w:p w:rsidR="003F6556" w:rsidRPr="00AC4AEA" w:rsidRDefault="003F6556" w:rsidP="00A318EA">
      <w:pPr>
        <w:pStyle w:val="Prrafodelista"/>
        <w:numPr>
          <w:ilvl w:val="0"/>
          <w:numId w:val="29"/>
        </w:numPr>
        <w:contextualSpacing w:val="0"/>
        <w:jc w:val="both"/>
        <w:rPr>
          <w:rFonts w:ascii="Arial" w:hAnsi="Arial" w:cs="Arial"/>
          <w:sz w:val="20"/>
          <w:szCs w:val="20"/>
        </w:rPr>
      </w:pPr>
      <w:bookmarkStart w:id="714" w:name="_Ref74825256"/>
      <w:r w:rsidRPr="00AC4AEA">
        <w:rPr>
          <w:rFonts w:ascii="Arial" w:hAnsi="Arial" w:cs="Arial"/>
          <w:sz w:val="20"/>
          <w:szCs w:val="20"/>
        </w:rPr>
        <w:t xml:space="preserve">A los fines del tratamiento de los </w:t>
      </w:r>
      <w:r w:rsidR="00303328" w:rsidRPr="00AC4AEA">
        <w:rPr>
          <w:rFonts w:ascii="Arial" w:hAnsi="Arial" w:cs="Arial"/>
          <w:sz w:val="20"/>
          <w:szCs w:val="20"/>
        </w:rPr>
        <w:t xml:space="preserve">componentes </w:t>
      </w:r>
      <w:r w:rsidRPr="00AC4AEA">
        <w:rPr>
          <w:rFonts w:ascii="Arial" w:hAnsi="Arial" w:cs="Arial"/>
          <w:sz w:val="20"/>
          <w:szCs w:val="20"/>
        </w:rPr>
        <w:t>referidos en esta sección, una entidad deberá considerar las definiciones siguientes</w:t>
      </w:r>
      <w:r w:rsidR="003F6F33" w:rsidRPr="00AC4AEA">
        <w:rPr>
          <w:rFonts w:ascii="Arial" w:hAnsi="Arial" w:cs="Arial"/>
          <w:sz w:val="20"/>
          <w:szCs w:val="20"/>
        </w:rPr>
        <w:t>:</w:t>
      </w:r>
      <w:bookmarkEnd w:id="714"/>
    </w:p>
    <w:p w:rsidR="003F6556" w:rsidRPr="00AC4AEA" w:rsidRDefault="003F6556" w:rsidP="00A318EA">
      <w:pPr>
        <w:autoSpaceDE w:val="0"/>
        <w:autoSpaceDN w:val="0"/>
        <w:adjustRightInd w:val="0"/>
        <w:ind w:left="1416"/>
        <w:jc w:val="both"/>
        <w:rPr>
          <w:rFonts w:ascii="Arial" w:hAnsi="Arial" w:cs="Arial"/>
          <w:sz w:val="20"/>
          <w:szCs w:val="20"/>
        </w:rPr>
      </w:pPr>
      <w:r w:rsidRPr="00497C1F">
        <w:rPr>
          <w:rFonts w:ascii="Arial" w:hAnsi="Arial" w:cs="Arial"/>
          <w:sz w:val="20"/>
          <w:szCs w:val="20"/>
          <w:u w:val="single"/>
        </w:rPr>
        <w:t>Aportes de los propietarios</w:t>
      </w:r>
      <w:r w:rsidR="003F6F33" w:rsidRPr="00497C1F">
        <w:rPr>
          <w:rFonts w:ascii="Arial" w:hAnsi="Arial" w:cs="Arial"/>
          <w:sz w:val="20"/>
          <w:szCs w:val="20"/>
        </w:rPr>
        <w:t xml:space="preserve">: </w:t>
      </w:r>
      <w:r w:rsidRPr="00497C1F">
        <w:rPr>
          <w:rFonts w:ascii="Arial" w:hAnsi="Arial" w:cs="Arial"/>
          <w:sz w:val="20"/>
          <w:szCs w:val="20"/>
        </w:rPr>
        <w:t>Comprende el capital suscripto, los aportes</w:t>
      </w:r>
      <w:r w:rsidRPr="00AC4AEA">
        <w:rPr>
          <w:rFonts w:ascii="Arial" w:hAnsi="Arial" w:cs="Arial"/>
          <w:sz w:val="20"/>
          <w:szCs w:val="20"/>
        </w:rPr>
        <w:t xml:space="preserve"> irrevocables a cuenta de </w:t>
      </w:r>
      <w:r w:rsidR="00362EA2" w:rsidRPr="00AC4AEA">
        <w:rPr>
          <w:rFonts w:ascii="Arial" w:hAnsi="Arial" w:cs="Arial"/>
          <w:sz w:val="20"/>
          <w:szCs w:val="20"/>
        </w:rPr>
        <w:t>futuros aumentos de capital</w:t>
      </w:r>
      <w:r w:rsidRPr="00AC4AEA">
        <w:rPr>
          <w:rFonts w:ascii="Arial" w:hAnsi="Arial" w:cs="Arial"/>
          <w:sz w:val="20"/>
          <w:szCs w:val="20"/>
        </w:rPr>
        <w:t> y las primas de emisión.</w:t>
      </w:r>
    </w:p>
    <w:p w:rsidR="003F6556" w:rsidRPr="00AC4AEA" w:rsidRDefault="003F6556"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Aportes irrevocables a cuenta de futur</w:t>
      </w:r>
      <w:r w:rsidR="00362EA2" w:rsidRPr="00AC4AEA">
        <w:rPr>
          <w:rFonts w:ascii="Arial" w:hAnsi="Arial" w:cs="Arial"/>
          <w:sz w:val="20"/>
          <w:szCs w:val="20"/>
          <w:u w:val="single"/>
        </w:rPr>
        <w:t>os aumentos de capital</w:t>
      </w:r>
      <w:r w:rsidR="003F6F33" w:rsidRPr="00AC4AEA">
        <w:rPr>
          <w:rFonts w:ascii="Arial" w:hAnsi="Arial" w:cs="Arial"/>
          <w:sz w:val="20"/>
          <w:szCs w:val="20"/>
        </w:rPr>
        <w:t xml:space="preserve">: </w:t>
      </w:r>
      <w:r w:rsidRPr="00AC4AEA">
        <w:rPr>
          <w:rFonts w:ascii="Arial" w:hAnsi="Arial" w:cs="Arial"/>
          <w:sz w:val="20"/>
          <w:szCs w:val="20"/>
        </w:rPr>
        <w:t xml:space="preserve">Los aportes irrevocables a cuenta de </w:t>
      </w:r>
      <w:r w:rsidR="00362EA2" w:rsidRPr="00AC4AEA">
        <w:rPr>
          <w:rFonts w:ascii="Arial" w:hAnsi="Arial" w:cs="Arial"/>
          <w:sz w:val="20"/>
          <w:szCs w:val="20"/>
        </w:rPr>
        <w:t>futuros aumentos</w:t>
      </w:r>
      <w:r w:rsidRPr="00AC4AEA">
        <w:rPr>
          <w:rFonts w:ascii="Arial" w:hAnsi="Arial" w:cs="Arial"/>
          <w:sz w:val="20"/>
          <w:szCs w:val="20"/>
        </w:rPr>
        <w:t xml:space="preserve"> deben considerarse componentes del </w:t>
      </w:r>
      <w:r w:rsidRPr="00AC4AEA">
        <w:rPr>
          <w:rFonts w:ascii="Arial" w:hAnsi="Arial" w:cs="Arial"/>
          <w:b/>
          <w:bCs/>
          <w:sz w:val="20"/>
          <w:szCs w:val="20"/>
        </w:rPr>
        <w:t>patrimonio neto</w:t>
      </w:r>
      <w:r w:rsidRPr="00AC4AEA">
        <w:rPr>
          <w:rFonts w:ascii="Arial" w:hAnsi="Arial" w:cs="Arial"/>
          <w:sz w:val="20"/>
          <w:szCs w:val="20"/>
        </w:rPr>
        <w:t xml:space="preserve"> cuando: </w:t>
      </w:r>
    </w:p>
    <w:p w:rsidR="003F6556" w:rsidRPr="00AC4AEA" w:rsidRDefault="000B60A7" w:rsidP="00A318EA">
      <w:pPr>
        <w:pStyle w:val="Prrafodelista"/>
        <w:numPr>
          <w:ilvl w:val="0"/>
          <w:numId w:val="135"/>
        </w:numPr>
        <w:ind w:left="1983"/>
        <w:contextualSpacing w:val="0"/>
        <w:jc w:val="both"/>
        <w:rPr>
          <w:rFonts w:ascii="Arial" w:hAnsi="Arial" w:cs="Arial"/>
          <w:sz w:val="20"/>
          <w:szCs w:val="20"/>
        </w:rPr>
      </w:pPr>
      <w:r w:rsidRPr="00AC4AEA">
        <w:rPr>
          <w:rFonts w:ascii="Arial" w:hAnsi="Arial" w:cs="Arial"/>
          <w:sz w:val="20"/>
          <w:szCs w:val="20"/>
        </w:rPr>
        <w:t>f</w:t>
      </w:r>
      <w:r w:rsidR="003639B1" w:rsidRPr="00AC4AEA">
        <w:rPr>
          <w:rFonts w:ascii="Arial" w:hAnsi="Arial" w:cs="Arial"/>
          <w:sz w:val="20"/>
          <w:szCs w:val="20"/>
        </w:rPr>
        <w:t>ueron</w:t>
      </w:r>
      <w:r w:rsidR="003F6556" w:rsidRPr="00AC4AEA">
        <w:rPr>
          <w:rFonts w:ascii="Arial" w:hAnsi="Arial" w:cs="Arial"/>
          <w:sz w:val="20"/>
          <w:szCs w:val="20"/>
        </w:rPr>
        <w:t xml:space="preserve"> efectivamente integrados;</w:t>
      </w:r>
    </w:p>
    <w:p w:rsidR="003F6556" w:rsidRPr="00AC4AEA" w:rsidRDefault="000B60A7" w:rsidP="00A318EA">
      <w:pPr>
        <w:pStyle w:val="Prrafodelista"/>
        <w:numPr>
          <w:ilvl w:val="0"/>
          <w:numId w:val="135"/>
        </w:numPr>
        <w:ind w:left="1983"/>
        <w:contextualSpacing w:val="0"/>
        <w:jc w:val="both"/>
        <w:rPr>
          <w:rFonts w:ascii="Arial" w:hAnsi="Arial" w:cs="Arial"/>
          <w:sz w:val="20"/>
          <w:szCs w:val="20"/>
        </w:rPr>
      </w:pPr>
      <w:r w:rsidRPr="00AC4AEA">
        <w:rPr>
          <w:rFonts w:ascii="Arial" w:hAnsi="Arial" w:cs="Arial"/>
          <w:sz w:val="20"/>
          <w:szCs w:val="20"/>
        </w:rPr>
        <w:lastRenderedPageBreak/>
        <w:t>s</w:t>
      </w:r>
      <w:r w:rsidR="003F6556" w:rsidRPr="00AC4AEA">
        <w:rPr>
          <w:rFonts w:ascii="Arial" w:hAnsi="Arial" w:cs="Arial"/>
          <w:sz w:val="20"/>
          <w:szCs w:val="20"/>
        </w:rPr>
        <w:t>ur</w:t>
      </w:r>
      <w:r w:rsidR="003639B1" w:rsidRPr="00AC4AEA">
        <w:rPr>
          <w:rFonts w:ascii="Arial" w:hAnsi="Arial" w:cs="Arial"/>
          <w:sz w:val="20"/>
          <w:szCs w:val="20"/>
        </w:rPr>
        <w:t>gen</w:t>
      </w:r>
      <w:r w:rsidR="003F6556" w:rsidRPr="00AC4AEA">
        <w:rPr>
          <w:rFonts w:ascii="Arial" w:hAnsi="Arial" w:cs="Arial"/>
          <w:sz w:val="20"/>
          <w:szCs w:val="20"/>
        </w:rPr>
        <w:t xml:space="preserve"> de un acuerdo escrito entre el aportante y el órgano de administración de la entidad mediante el cual se estipule:</w:t>
      </w:r>
    </w:p>
    <w:p w:rsidR="003F6556" w:rsidRPr="00AC4AEA" w:rsidRDefault="000B60A7" w:rsidP="00A318EA">
      <w:pPr>
        <w:pStyle w:val="Prrafodelista"/>
        <w:numPr>
          <w:ilvl w:val="0"/>
          <w:numId w:val="290"/>
        </w:numPr>
        <w:ind w:left="2270"/>
        <w:contextualSpacing w:val="0"/>
        <w:jc w:val="both"/>
        <w:rPr>
          <w:rFonts w:ascii="Arial" w:hAnsi="Arial" w:cs="Arial"/>
          <w:sz w:val="20"/>
          <w:szCs w:val="20"/>
        </w:rPr>
      </w:pPr>
      <w:r w:rsidRPr="00AC4AEA">
        <w:rPr>
          <w:rFonts w:ascii="Arial" w:hAnsi="Arial" w:cs="Arial"/>
          <w:sz w:val="20"/>
          <w:szCs w:val="20"/>
        </w:rPr>
        <w:t>q</w:t>
      </w:r>
      <w:r w:rsidR="003F6556" w:rsidRPr="00AC4AEA">
        <w:rPr>
          <w:rFonts w:ascii="Arial" w:hAnsi="Arial" w:cs="Arial"/>
          <w:sz w:val="20"/>
          <w:szCs w:val="20"/>
        </w:rPr>
        <w:t xml:space="preserve">ue el aportante mantendrá su aporte, salvo cuando su devolución sea decidida por la asamblea de accionistas (u órgano equivalente) </w:t>
      </w:r>
      <w:r w:rsidR="009207F6" w:rsidRPr="00AC4AEA">
        <w:rPr>
          <w:rFonts w:ascii="Arial" w:hAnsi="Arial" w:cs="Arial"/>
          <w:sz w:val="20"/>
          <w:szCs w:val="20"/>
        </w:rPr>
        <w:t xml:space="preserve">mediante </w:t>
      </w:r>
      <w:r w:rsidR="003F6556" w:rsidRPr="00AC4AEA">
        <w:rPr>
          <w:rFonts w:ascii="Arial" w:hAnsi="Arial" w:cs="Arial"/>
          <w:sz w:val="20"/>
          <w:szCs w:val="20"/>
        </w:rPr>
        <w:t xml:space="preserve">un procedimiento similar al </w:t>
      </w:r>
      <w:r w:rsidR="009207F6" w:rsidRPr="00AC4AEA">
        <w:rPr>
          <w:rFonts w:ascii="Arial" w:hAnsi="Arial" w:cs="Arial"/>
          <w:sz w:val="20"/>
          <w:szCs w:val="20"/>
        </w:rPr>
        <w:t xml:space="preserve">requerido para la </w:t>
      </w:r>
      <w:r w:rsidR="003F6556" w:rsidRPr="00AC4AEA">
        <w:rPr>
          <w:rFonts w:ascii="Arial" w:hAnsi="Arial" w:cs="Arial"/>
          <w:sz w:val="20"/>
          <w:szCs w:val="20"/>
        </w:rPr>
        <w:t xml:space="preserve">reducción del capital social; </w:t>
      </w:r>
    </w:p>
    <w:p w:rsidR="003F6556" w:rsidRPr="00AC4AEA" w:rsidRDefault="000B60A7" w:rsidP="00A318EA">
      <w:pPr>
        <w:pStyle w:val="Prrafodelista"/>
        <w:numPr>
          <w:ilvl w:val="0"/>
          <w:numId w:val="290"/>
        </w:numPr>
        <w:ind w:left="2270"/>
        <w:contextualSpacing w:val="0"/>
        <w:jc w:val="both"/>
        <w:rPr>
          <w:rFonts w:ascii="Arial" w:hAnsi="Arial" w:cs="Arial"/>
          <w:sz w:val="20"/>
          <w:szCs w:val="20"/>
        </w:rPr>
      </w:pPr>
      <w:r w:rsidRPr="00AC4AEA">
        <w:rPr>
          <w:rFonts w:ascii="Arial" w:hAnsi="Arial" w:cs="Arial"/>
          <w:sz w:val="20"/>
          <w:szCs w:val="20"/>
        </w:rPr>
        <w:t>q</w:t>
      </w:r>
      <w:r w:rsidR="003F6556" w:rsidRPr="00AC4AEA">
        <w:rPr>
          <w:rFonts w:ascii="Arial" w:hAnsi="Arial" w:cs="Arial"/>
          <w:sz w:val="20"/>
          <w:szCs w:val="20"/>
        </w:rPr>
        <w:t xml:space="preserve">ue el destino del aporte </w:t>
      </w:r>
      <w:r w:rsidR="00A72467" w:rsidRPr="00AC4AEA">
        <w:rPr>
          <w:rFonts w:ascii="Arial" w:hAnsi="Arial" w:cs="Arial"/>
          <w:sz w:val="20"/>
          <w:szCs w:val="20"/>
        </w:rPr>
        <w:t xml:space="preserve">sea </w:t>
      </w:r>
      <w:r w:rsidR="003F6556" w:rsidRPr="00AC4AEA">
        <w:rPr>
          <w:rFonts w:ascii="Arial" w:hAnsi="Arial" w:cs="Arial"/>
          <w:sz w:val="20"/>
          <w:szCs w:val="20"/>
        </w:rPr>
        <w:t>su futura conversión en instrumentos de capital;</w:t>
      </w:r>
      <w:r w:rsidR="009F6EB4" w:rsidRPr="00AC4AEA">
        <w:rPr>
          <w:rFonts w:ascii="Arial" w:hAnsi="Arial" w:cs="Arial"/>
          <w:sz w:val="20"/>
          <w:szCs w:val="20"/>
        </w:rPr>
        <w:t xml:space="preserve"> </w:t>
      </w:r>
      <w:r w:rsidR="002A4C4E" w:rsidRPr="00AC4AEA">
        <w:rPr>
          <w:rFonts w:ascii="Arial" w:hAnsi="Arial" w:cs="Arial"/>
          <w:sz w:val="20"/>
          <w:szCs w:val="20"/>
        </w:rPr>
        <w:t>y</w:t>
      </w:r>
    </w:p>
    <w:p w:rsidR="003F6556" w:rsidRPr="00AC4AEA" w:rsidRDefault="000B60A7" w:rsidP="00A318EA">
      <w:pPr>
        <w:pStyle w:val="Prrafodelista"/>
        <w:numPr>
          <w:ilvl w:val="0"/>
          <w:numId w:val="290"/>
        </w:numPr>
        <w:ind w:left="2270"/>
        <w:contextualSpacing w:val="0"/>
        <w:jc w:val="both"/>
        <w:rPr>
          <w:rFonts w:ascii="Arial" w:hAnsi="Arial" w:cs="Arial"/>
          <w:sz w:val="20"/>
          <w:szCs w:val="20"/>
        </w:rPr>
      </w:pPr>
      <w:r w:rsidRPr="00AC4AEA">
        <w:rPr>
          <w:rFonts w:ascii="Arial" w:hAnsi="Arial" w:cs="Arial"/>
          <w:sz w:val="20"/>
          <w:szCs w:val="20"/>
        </w:rPr>
        <w:t>l</w:t>
      </w:r>
      <w:r w:rsidR="003F6556" w:rsidRPr="00AC4AEA">
        <w:rPr>
          <w:rFonts w:ascii="Arial" w:hAnsi="Arial" w:cs="Arial"/>
          <w:sz w:val="20"/>
          <w:szCs w:val="20"/>
        </w:rPr>
        <w:t>as condiciones para dicha conversión en instrumentos de capital</w:t>
      </w:r>
      <w:r w:rsidR="002339DC" w:rsidRPr="00AC4AEA">
        <w:rPr>
          <w:rFonts w:ascii="Arial" w:hAnsi="Arial" w:cs="Arial"/>
          <w:sz w:val="20"/>
          <w:szCs w:val="20"/>
        </w:rPr>
        <w:t>;</w:t>
      </w:r>
      <w:r w:rsidR="003F6556" w:rsidRPr="00AC4AEA">
        <w:rPr>
          <w:rFonts w:ascii="Arial" w:hAnsi="Arial" w:cs="Arial"/>
          <w:sz w:val="20"/>
          <w:szCs w:val="20"/>
        </w:rPr>
        <w:t xml:space="preserve"> </w:t>
      </w:r>
    </w:p>
    <w:p w:rsidR="003F6556" w:rsidRPr="00AC4AEA" w:rsidRDefault="000B60A7" w:rsidP="00A318EA">
      <w:pPr>
        <w:pStyle w:val="Prrafodelista"/>
        <w:numPr>
          <w:ilvl w:val="0"/>
          <w:numId w:val="135"/>
        </w:numPr>
        <w:ind w:left="1983"/>
        <w:contextualSpacing w:val="0"/>
        <w:jc w:val="both"/>
        <w:rPr>
          <w:rFonts w:ascii="Arial" w:hAnsi="Arial" w:cs="Arial"/>
          <w:sz w:val="20"/>
          <w:szCs w:val="20"/>
        </w:rPr>
      </w:pPr>
      <w:r w:rsidRPr="00AC4AEA">
        <w:rPr>
          <w:rFonts w:ascii="Arial" w:hAnsi="Arial" w:cs="Arial"/>
          <w:sz w:val="20"/>
          <w:szCs w:val="20"/>
        </w:rPr>
        <w:t>f</w:t>
      </w:r>
      <w:r w:rsidR="003639B1" w:rsidRPr="00AC4AEA">
        <w:rPr>
          <w:rFonts w:ascii="Arial" w:hAnsi="Arial" w:cs="Arial"/>
          <w:sz w:val="20"/>
          <w:szCs w:val="20"/>
        </w:rPr>
        <w:t>ueron</w:t>
      </w:r>
      <w:r w:rsidR="003F6556" w:rsidRPr="00AC4AEA">
        <w:rPr>
          <w:rFonts w:ascii="Arial" w:hAnsi="Arial" w:cs="Arial"/>
          <w:sz w:val="20"/>
          <w:szCs w:val="20"/>
        </w:rPr>
        <w:t xml:space="preserve"> aprobados por la asamblea de accionistas (u órgano equivalente)</w:t>
      </w:r>
      <w:r w:rsidR="00AD47CF" w:rsidRPr="00AC4AEA">
        <w:rPr>
          <w:rFonts w:ascii="Arial" w:hAnsi="Arial" w:cs="Arial"/>
          <w:sz w:val="20"/>
          <w:szCs w:val="20"/>
        </w:rPr>
        <w:t>;</w:t>
      </w:r>
      <w:r w:rsidR="003F6556" w:rsidRPr="00AC4AEA">
        <w:rPr>
          <w:rFonts w:ascii="Arial" w:hAnsi="Arial" w:cs="Arial"/>
          <w:sz w:val="20"/>
          <w:szCs w:val="20"/>
        </w:rPr>
        <w:t xml:space="preserve"> o por su órgano de administración ad-referéndum de ella. </w:t>
      </w:r>
    </w:p>
    <w:p w:rsidR="00455BA2" w:rsidRPr="00AC4AEA" w:rsidRDefault="00455BA2"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Aportes irrevocables para absorber pérdidas acumuladas</w:t>
      </w:r>
      <w:r w:rsidRPr="00AC4AEA">
        <w:rPr>
          <w:rFonts w:ascii="Arial" w:hAnsi="Arial" w:cs="Arial"/>
          <w:sz w:val="20"/>
          <w:szCs w:val="20"/>
        </w:rPr>
        <w:t xml:space="preserve">: Los </w:t>
      </w:r>
      <w:r w:rsidRPr="00CE480C">
        <w:rPr>
          <w:rFonts w:ascii="Arial" w:hAnsi="Arial" w:cs="Arial"/>
          <w:b/>
          <w:bCs/>
          <w:sz w:val="20"/>
          <w:szCs w:val="20"/>
        </w:rPr>
        <w:t>aportes</w:t>
      </w:r>
      <w:r w:rsidRPr="00AC4AEA">
        <w:rPr>
          <w:rFonts w:ascii="Arial" w:hAnsi="Arial" w:cs="Arial"/>
          <w:sz w:val="20"/>
          <w:szCs w:val="20"/>
        </w:rPr>
        <w:t xml:space="preserve"> efectivamente integrados, destinados a absorber pérdidas acumuladas, modifican los resultados acumulados, siempre que sean aprobados por la asamblea de accionistas (u órgano equivalente) o por un órgano de administración de la entidad ad-referéndum de la asamblea. </w:t>
      </w:r>
    </w:p>
    <w:p w:rsidR="00455BA2" w:rsidRPr="00AC4AEA" w:rsidRDefault="00455BA2"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Capital suscripto</w:t>
      </w:r>
      <w:r w:rsidRPr="00AC4AEA">
        <w:rPr>
          <w:rFonts w:ascii="Arial" w:hAnsi="Arial" w:cs="Arial"/>
          <w:sz w:val="20"/>
          <w:szCs w:val="20"/>
        </w:rPr>
        <w:t xml:space="preserve">: </w:t>
      </w:r>
      <w:r w:rsidR="00567540" w:rsidRPr="00AC4AEA">
        <w:rPr>
          <w:rFonts w:ascii="Arial" w:hAnsi="Arial" w:cs="Arial"/>
          <w:sz w:val="20"/>
          <w:szCs w:val="20"/>
        </w:rPr>
        <w:t>Importe originado en</w:t>
      </w:r>
      <w:r w:rsidRPr="00AC4AEA">
        <w:rPr>
          <w:rFonts w:ascii="Arial" w:hAnsi="Arial" w:cs="Arial"/>
          <w:sz w:val="20"/>
          <w:szCs w:val="20"/>
        </w:rPr>
        <w:t xml:space="preserve"> </w:t>
      </w:r>
      <w:bookmarkStart w:id="715" w:name="_Hlk103892468"/>
      <w:r w:rsidRPr="00AC4AEA">
        <w:rPr>
          <w:rFonts w:ascii="Arial" w:hAnsi="Arial" w:cs="Arial"/>
          <w:sz w:val="20"/>
          <w:szCs w:val="20"/>
        </w:rPr>
        <w:t>la emisión de acciones, cuotas partes u otros instrumentos de patrimonio como capital en el momento de suscripción de dichos instrumentos por los propietarios.</w:t>
      </w:r>
      <w:bookmarkEnd w:id="715"/>
    </w:p>
    <w:p w:rsidR="00455BA2" w:rsidRPr="00AC4AEA" w:rsidRDefault="00455BA2"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Distribuciones a los propietarios</w:t>
      </w:r>
      <w:r w:rsidRPr="00AC4AEA">
        <w:rPr>
          <w:rFonts w:ascii="Arial" w:hAnsi="Arial" w:cs="Arial"/>
          <w:sz w:val="20"/>
          <w:szCs w:val="20"/>
        </w:rPr>
        <w:t xml:space="preserve">: Los dividendos y otras distribuciones a los propietarios deben deducirse de los resultados no asignados. </w:t>
      </w:r>
    </w:p>
    <w:p w:rsidR="00455BA2" w:rsidRPr="00AC4AEA" w:rsidRDefault="00455BA2"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rPr>
        <w:t xml:space="preserve">Los honorarios de directores, síndicos y otros funcionarios de la entidad: </w:t>
      </w:r>
    </w:p>
    <w:p w:rsidR="00455BA2" w:rsidRPr="00AC4AEA" w:rsidRDefault="00455BA2" w:rsidP="00A318EA">
      <w:pPr>
        <w:pStyle w:val="Prrafodelista"/>
        <w:numPr>
          <w:ilvl w:val="0"/>
          <w:numId w:val="47"/>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sz w:val="20"/>
          <w:szCs w:val="20"/>
        </w:rPr>
        <w:t xml:space="preserve">no representan distribución de utilidades; y </w:t>
      </w:r>
    </w:p>
    <w:p w:rsidR="00455BA2" w:rsidRPr="00AC4AEA" w:rsidRDefault="00455BA2" w:rsidP="00A318EA">
      <w:pPr>
        <w:pStyle w:val="Prrafodelista"/>
        <w:numPr>
          <w:ilvl w:val="0"/>
          <w:numId w:val="47"/>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sz w:val="20"/>
          <w:szCs w:val="20"/>
        </w:rPr>
        <w:t xml:space="preserve">deberán reconocerse como gastos en el período durante el cual se prestaron los servicios, incluso si se requiere su posterior aprobación por parte de la asamblea de accionistas (u órgano equivalente). </w:t>
      </w:r>
    </w:p>
    <w:p w:rsidR="00455BA2" w:rsidRPr="00497C1F" w:rsidRDefault="00455BA2"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Ganancias reservadas</w:t>
      </w:r>
      <w:r w:rsidRPr="00AC4AEA">
        <w:rPr>
          <w:rFonts w:ascii="Arial" w:hAnsi="Arial" w:cs="Arial"/>
          <w:sz w:val="20"/>
          <w:szCs w:val="20"/>
        </w:rPr>
        <w:t xml:space="preserve">: Son las ganancias retenidas en la entidad por </w:t>
      </w:r>
      <w:r w:rsidRPr="00497C1F">
        <w:rPr>
          <w:rFonts w:ascii="Arial" w:hAnsi="Arial" w:cs="Arial"/>
          <w:sz w:val="20"/>
          <w:szCs w:val="20"/>
        </w:rPr>
        <w:t>disposiciones legales, estatutarias u otras o por explícita voluntad social.</w:t>
      </w:r>
    </w:p>
    <w:p w:rsidR="003D45CE" w:rsidRPr="00AC4AEA" w:rsidRDefault="003D45CE" w:rsidP="003D45CE">
      <w:pPr>
        <w:ind w:left="1416" w:firstLine="2"/>
        <w:jc w:val="both"/>
        <w:rPr>
          <w:rFonts w:ascii="Arial" w:hAnsi="Arial" w:cs="Arial"/>
          <w:sz w:val="20"/>
          <w:szCs w:val="20"/>
        </w:rPr>
      </w:pPr>
      <w:r w:rsidRPr="00497C1F">
        <w:rPr>
          <w:rFonts w:ascii="Arial" w:hAnsi="Arial" w:cs="Arial"/>
          <w:sz w:val="20"/>
          <w:szCs w:val="20"/>
          <w:u w:val="single"/>
        </w:rPr>
        <w:t>Patrimonio neto</w:t>
      </w:r>
      <w:r w:rsidRPr="00497C1F">
        <w:rPr>
          <w:rFonts w:ascii="Arial" w:hAnsi="Arial" w:cs="Arial"/>
          <w:sz w:val="20"/>
          <w:szCs w:val="20"/>
        </w:rPr>
        <w:t>: Es la suma de:</w:t>
      </w:r>
    </w:p>
    <w:p w:rsidR="003D45CE" w:rsidRPr="00AC4AEA" w:rsidRDefault="003D45CE" w:rsidP="003D45CE">
      <w:pPr>
        <w:pStyle w:val="Prrafodelista"/>
        <w:numPr>
          <w:ilvl w:val="0"/>
          <w:numId w:val="23"/>
        </w:numPr>
        <w:ind w:left="1983" w:hanging="567"/>
        <w:contextualSpacing w:val="0"/>
        <w:jc w:val="both"/>
        <w:rPr>
          <w:rFonts w:ascii="Arial" w:hAnsi="Arial" w:cs="Arial"/>
          <w:sz w:val="20"/>
          <w:szCs w:val="20"/>
        </w:rPr>
      </w:pPr>
      <w:r w:rsidRPr="00AC4AEA">
        <w:rPr>
          <w:rFonts w:ascii="Arial" w:hAnsi="Arial" w:cs="Arial"/>
          <w:sz w:val="20"/>
          <w:szCs w:val="20"/>
        </w:rPr>
        <w:t xml:space="preserve"> los aportes de los propietarios o de los asociados (distintos de cuotas sociales que puedan considerarse como </w:t>
      </w:r>
      <w:r w:rsidRPr="002A73C3">
        <w:rPr>
          <w:rFonts w:ascii="Arial" w:hAnsi="Arial" w:cs="Arial"/>
          <w:b/>
          <w:bCs/>
          <w:sz w:val="20"/>
          <w:szCs w:val="20"/>
        </w:rPr>
        <w:t>ingreso de actividades ordinarias</w:t>
      </w:r>
      <w:r w:rsidRPr="00AC4AEA">
        <w:rPr>
          <w:rFonts w:ascii="Arial" w:hAnsi="Arial" w:cs="Arial"/>
          <w:sz w:val="20"/>
          <w:szCs w:val="20"/>
        </w:rPr>
        <w:t xml:space="preserve">) de una entidad; y </w:t>
      </w:r>
    </w:p>
    <w:p w:rsidR="003D45CE" w:rsidRPr="00AC4AEA" w:rsidRDefault="003D45CE" w:rsidP="003D45CE">
      <w:pPr>
        <w:pStyle w:val="Prrafodelista"/>
        <w:numPr>
          <w:ilvl w:val="0"/>
          <w:numId w:val="23"/>
        </w:numPr>
        <w:ind w:left="1983" w:hanging="567"/>
        <w:contextualSpacing w:val="0"/>
        <w:jc w:val="both"/>
        <w:rPr>
          <w:rFonts w:ascii="Arial" w:hAnsi="Arial" w:cs="Arial"/>
          <w:sz w:val="20"/>
          <w:szCs w:val="20"/>
        </w:rPr>
      </w:pPr>
      <w:r w:rsidRPr="00AC4AEA">
        <w:rPr>
          <w:rFonts w:ascii="Arial" w:hAnsi="Arial" w:cs="Arial"/>
          <w:sz w:val="20"/>
          <w:szCs w:val="20"/>
        </w:rPr>
        <w:t xml:space="preserve">los resultados acumulados, no distribuidos. </w:t>
      </w:r>
    </w:p>
    <w:p w:rsidR="003F6556" w:rsidRPr="00AC4AEA" w:rsidRDefault="003F6556"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Primas de emisión</w:t>
      </w:r>
      <w:r w:rsidR="003F6F33" w:rsidRPr="00AC4AEA">
        <w:rPr>
          <w:rFonts w:ascii="Arial" w:hAnsi="Arial" w:cs="Arial"/>
          <w:sz w:val="20"/>
          <w:szCs w:val="20"/>
        </w:rPr>
        <w:t xml:space="preserve">: </w:t>
      </w:r>
      <w:r w:rsidRPr="00AC4AEA">
        <w:rPr>
          <w:rFonts w:ascii="Arial" w:hAnsi="Arial" w:cs="Arial"/>
          <w:sz w:val="20"/>
          <w:szCs w:val="20"/>
        </w:rPr>
        <w:t>Representan la diferencia entre los aportes realizados y el valor nominal del capital suscripto. </w:t>
      </w:r>
    </w:p>
    <w:p w:rsidR="00A72467" w:rsidRPr="00AC4AEA" w:rsidRDefault="003F6556"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Resultados acumulados</w:t>
      </w:r>
      <w:r w:rsidR="002D6B45" w:rsidRPr="00AC4AEA">
        <w:rPr>
          <w:rFonts w:ascii="Arial" w:hAnsi="Arial" w:cs="Arial"/>
          <w:sz w:val="20"/>
          <w:szCs w:val="20"/>
        </w:rPr>
        <w:t>:</w:t>
      </w:r>
      <w:r w:rsidR="003F6F33" w:rsidRPr="00AC4AEA">
        <w:rPr>
          <w:rFonts w:ascii="Arial" w:hAnsi="Arial" w:cs="Arial"/>
          <w:sz w:val="20"/>
          <w:szCs w:val="20"/>
        </w:rPr>
        <w:t xml:space="preserve"> </w:t>
      </w:r>
      <w:r w:rsidRPr="00AC4AEA">
        <w:rPr>
          <w:rFonts w:ascii="Arial" w:hAnsi="Arial" w:cs="Arial"/>
          <w:sz w:val="20"/>
          <w:szCs w:val="20"/>
        </w:rPr>
        <w:t>Comprende</w:t>
      </w:r>
      <w:r w:rsidR="00A72467" w:rsidRPr="00AC4AEA">
        <w:rPr>
          <w:rFonts w:ascii="Arial" w:hAnsi="Arial" w:cs="Arial"/>
          <w:sz w:val="20"/>
          <w:szCs w:val="20"/>
        </w:rPr>
        <w:t>n</w:t>
      </w:r>
      <w:r w:rsidRPr="00AC4AEA">
        <w:rPr>
          <w:rFonts w:ascii="Arial" w:hAnsi="Arial" w:cs="Arial"/>
          <w:sz w:val="20"/>
          <w:szCs w:val="20"/>
        </w:rPr>
        <w:t xml:space="preserve"> </w:t>
      </w:r>
      <w:r w:rsidR="00A72467" w:rsidRPr="00AC4AEA">
        <w:rPr>
          <w:rFonts w:ascii="Arial" w:hAnsi="Arial" w:cs="Arial"/>
          <w:sz w:val="20"/>
          <w:szCs w:val="20"/>
        </w:rPr>
        <w:t>las siguientes partidas:</w:t>
      </w:r>
    </w:p>
    <w:p w:rsidR="00A72467" w:rsidRPr="00AC4AEA" w:rsidRDefault="00125AF6" w:rsidP="00A318EA">
      <w:pPr>
        <w:pStyle w:val="Prrafodelista"/>
        <w:numPr>
          <w:ilvl w:val="0"/>
          <w:numId w:val="22"/>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sz w:val="20"/>
          <w:szCs w:val="20"/>
        </w:rPr>
        <w:t>g</w:t>
      </w:r>
      <w:r w:rsidR="003F6556" w:rsidRPr="00AC4AEA">
        <w:rPr>
          <w:rFonts w:ascii="Arial" w:hAnsi="Arial" w:cs="Arial"/>
          <w:sz w:val="20"/>
          <w:szCs w:val="20"/>
        </w:rPr>
        <w:t>anancias reservadas</w:t>
      </w:r>
      <w:r w:rsidRPr="00AC4AEA">
        <w:rPr>
          <w:rFonts w:ascii="Arial" w:hAnsi="Arial" w:cs="Arial"/>
          <w:sz w:val="20"/>
          <w:szCs w:val="20"/>
        </w:rPr>
        <w:t>;</w:t>
      </w:r>
    </w:p>
    <w:p w:rsidR="00A72467" w:rsidRPr="00AC4AEA" w:rsidRDefault="00125AF6" w:rsidP="00A318EA">
      <w:pPr>
        <w:pStyle w:val="Prrafodelista"/>
        <w:numPr>
          <w:ilvl w:val="0"/>
          <w:numId w:val="22"/>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sz w:val="20"/>
          <w:szCs w:val="20"/>
        </w:rPr>
        <w:lastRenderedPageBreak/>
        <w:t>r</w:t>
      </w:r>
      <w:r w:rsidR="003F6556" w:rsidRPr="00AC4AEA">
        <w:rPr>
          <w:rFonts w:ascii="Arial" w:hAnsi="Arial" w:cs="Arial"/>
          <w:sz w:val="20"/>
          <w:szCs w:val="20"/>
        </w:rPr>
        <w:t>esultados no asignados</w:t>
      </w:r>
      <w:r w:rsidR="00977BC1" w:rsidRPr="00AC4AEA">
        <w:rPr>
          <w:rFonts w:ascii="Arial" w:hAnsi="Arial" w:cs="Arial"/>
          <w:sz w:val="20"/>
          <w:szCs w:val="20"/>
        </w:rPr>
        <w:t>; y</w:t>
      </w:r>
    </w:p>
    <w:p w:rsidR="00A72467" w:rsidRPr="00AC4AEA" w:rsidRDefault="00125AF6" w:rsidP="00A318EA">
      <w:pPr>
        <w:pStyle w:val="Prrafodelista"/>
        <w:numPr>
          <w:ilvl w:val="0"/>
          <w:numId w:val="22"/>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b/>
          <w:bCs/>
          <w:sz w:val="20"/>
          <w:szCs w:val="20"/>
        </w:rPr>
        <w:t xml:space="preserve">resultados </w:t>
      </w:r>
      <w:r w:rsidR="003F6556" w:rsidRPr="00AC4AEA">
        <w:rPr>
          <w:rFonts w:ascii="Arial" w:hAnsi="Arial" w:cs="Arial"/>
          <w:b/>
          <w:bCs/>
          <w:sz w:val="20"/>
          <w:szCs w:val="20"/>
        </w:rPr>
        <w:t>diferidos</w:t>
      </w:r>
      <w:r w:rsidR="00977BC1" w:rsidRPr="00AC4AEA">
        <w:rPr>
          <w:rFonts w:ascii="Arial" w:hAnsi="Arial" w:cs="Arial"/>
          <w:sz w:val="20"/>
          <w:szCs w:val="20"/>
        </w:rPr>
        <w:t>.</w:t>
      </w:r>
      <w:r w:rsidR="003F6556" w:rsidRPr="00AC4AEA">
        <w:rPr>
          <w:rFonts w:ascii="Arial" w:hAnsi="Arial" w:cs="Arial"/>
          <w:sz w:val="20"/>
          <w:szCs w:val="20"/>
        </w:rPr>
        <w:t xml:space="preserve"> </w:t>
      </w:r>
    </w:p>
    <w:p w:rsidR="0024063D" w:rsidRPr="00AC4AEA" w:rsidRDefault="0024063D" w:rsidP="00A318EA">
      <w:pPr>
        <w:pStyle w:val="Prrafodelista"/>
        <w:autoSpaceDE w:val="0"/>
        <w:autoSpaceDN w:val="0"/>
        <w:adjustRightInd w:val="0"/>
        <w:ind w:left="1416"/>
        <w:contextualSpacing w:val="0"/>
        <w:jc w:val="both"/>
        <w:rPr>
          <w:rFonts w:ascii="Arial" w:hAnsi="Arial" w:cs="Arial"/>
          <w:sz w:val="20"/>
          <w:szCs w:val="20"/>
        </w:rPr>
      </w:pPr>
      <w:r w:rsidRPr="00AC4AEA">
        <w:rPr>
          <w:rFonts w:ascii="Arial" w:hAnsi="Arial" w:cs="Arial"/>
          <w:sz w:val="20"/>
          <w:szCs w:val="20"/>
          <w:u w:val="single"/>
        </w:rPr>
        <w:t>Resultados diferidos</w:t>
      </w:r>
      <w:r w:rsidR="00C20D87" w:rsidRPr="00AC4AEA">
        <w:rPr>
          <w:rFonts w:ascii="Arial" w:hAnsi="Arial" w:cs="Arial"/>
          <w:sz w:val="20"/>
          <w:szCs w:val="20"/>
        </w:rPr>
        <w:t>:</w:t>
      </w:r>
      <w:r w:rsidRPr="00AC4AEA">
        <w:rPr>
          <w:rFonts w:ascii="Arial" w:hAnsi="Arial" w:cs="Arial"/>
          <w:sz w:val="20"/>
          <w:szCs w:val="20"/>
        </w:rPr>
        <w:t xml:space="preserve"> </w:t>
      </w:r>
      <w:r w:rsidR="00C20D87" w:rsidRPr="00AC4AEA">
        <w:rPr>
          <w:rFonts w:ascii="Arial" w:hAnsi="Arial" w:cs="Arial"/>
          <w:sz w:val="20"/>
          <w:szCs w:val="20"/>
        </w:rPr>
        <w:t>S</w:t>
      </w:r>
      <w:r w:rsidRPr="00AC4AEA">
        <w:rPr>
          <w:rFonts w:ascii="Arial" w:hAnsi="Arial" w:cs="Arial"/>
          <w:sz w:val="20"/>
          <w:szCs w:val="20"/>
        </w:rPr>
        <w:t>on resultados (ingresos y gastos) que, de acuerdo con lo exigido o permitido por esta</w:t>
      </w:r>
      <w:r w:rsidR="002A4C4E" w:rsidRPr="00AC4AEA">
        <w:rPr>
          <w:rFonts w:ascii="Arial" w:hAnsi="Arial" w:cs="Arial"/>
          <w:sz w:val="20"/>
          <w:szCs w:val="20"/>
        </w:rPr>
        <w:t xml:space="preserve"> Resolución Técnica</w:t>
      </w:r>
      <w:r w:rsidRPr="00AC4AEA">
        <w:rPr>
          <w:rFonts w:ascii="Arial" w:hAnsi="Arial" w:cs="Arial"/>
          <w:sz w:val="20"/>
          <w:szCs w:val="20"/>
        </w:rPr>
        <w:t xml:space="preserve"> u </w:t>
      </w:r>
      <w:r w:rsidRPr="00AC4AEA">
        <w:rPr>
          <w:rFonts w:ascii="Arial" w:hAnsi="Arial" w:cs="Arial"/>
          <w:b/>
          <w:bCs/>
          <w:sz w:val="20"/>
          <w:szCs w:val="20"/>
        </w:rPr>
        <w:t xml:space="preserve">otras </w:t>
      </w:r>
      <w:r w:rsidR="002A4C4E" w:rsidRPr="00AC4AEA">
        <w:rPr>
          <w:rFonts w:ascii="Arial" w:hAnsi="Arial" w:cs="Arial"/>
          <w:b/>
          <w:bCs/>
          <w:sz w:val="20"/>
          <w:szCs w:val="20"/>
        </w:rPr>
        <w:t>normas contables</w:t>
      </w:r>
      <w:r w:rsidRPr="00AC4AEA">
        <w:rPr>
          <w:rFonts w:ascii="Arial" w:hAnsi="Arial" w:cs="Arial"/>
          <w:sz w:val="20"/>
          <w:szCs w:val="20"/>
        </w:rPr>
        <w:t xml:space="preserve"> no se reconocen dentro del resultado del </w:t>
      </w:r>
      <w:r w:rsidR="00F60637" w:rsidRPr="00AC4AEA">
        <w:rPr>
          <w:rFonts w:ascii="Arial" w:hAnsi="Arial" w:cs="Arial"/>
          <w:sz w:val="20"/>
          <w:szCs w:val="20"/>
        </w:rPr>
        <w:t>período</w:t>
      </w:r>
      <w:r w:rsidRPr="00AC4AEA">
        <w:rPr>
          <w:rFonts w:ascii="Arial" w:hAnsi="Arial" w:cs="Arial"/>
          <w:sz w:val="20"/>
          <w:szCs w:val="20"/>
        </w:rPr>
        <w:t xml:space="preserve">. Los </w:t>
      </w:r>
      <w:r w:rsidRPr="00AC4AEA">
        <w:rPr>
          <w:rFonts w:ascii="Arial" w:hAnsi="Arial" w:cs="Arial"/>
          <w:b/>
          <w:bCs/>
          <w:sz w:val="20"/>
          <w:szCs w:val="20"/>
        </w:rPr>
        <w:t>resultados diferidos</w:t>
      </w:r>
      <w:r w:rsidRPr="00AC4AEA">
        <w:rPr>
          <w:rFonts w:ascii="Arial" w:hAnsi="Arial" w:cs="Arial"/>
          <w:sz w:val="20"/>
          <w:szCs w:val="20"/>
        </w:rPr>
        <w:t xml:space="preserve"> se mantendrán como tales hasta que </w:t>
      </w:r>
      <w:r w:rsidR="00781049" w:rsidRPr="00AC4AEA">
        <w:rPr>
          <w:rFonts w:ascii="Arial" w:hAnsi="Arial" w:cs="Arial"/>
          <w:sz w:val="20"/>
          <w:szCs w:val="20"/>
        </w:rPr>
        <w:t>esta</w:t>
      </w:r>
      <w:r w:rsidRPr="00AC4AEA">
        <w:rPr>
          <w:rFonts w:ascii="Arial" w:hAnsi="Arial" w:cs="Arial"/>
          <w:sz w:val="20"/>
          <w:szCs w:val="20"/>
        </w:rPr>
        <w:t xml:space="preserve"> </w:t>
      </w:r>
      <w:r w:rsidR="00781049" w:rsidRPr="00AC4AEA">
        <w:rPr>
          <w:rFonts w:ascii="Arial" w:hAnsi="Arial" w:cs="Arial"/>
          <w:sz w:val="20"/>
          <w:szCs w:val="20"/>
        </w:rPr>
        <w:t xml:space="preserve">Resolución Técnico u </w:t>
      </w:r>
      <w:r w:rsidR="00DC71D2" w:rsidRPr="00AC4AEA">
        <w:rPr>
          <w:rFonts w:ascii="Arial" w:hAnsi="Arial" w:cs="Arial"/>
          <w:b/>
          <w:bCs/>
          <w:sz w:val="20"/>
          <w:szCs w:val="20"/>
        </w:rPr>
        <w:t>otras normas contables</w:t>
      </w:r>
      <w:r w:rsidRPr="00AC4AEA">
        <w:rPr>
          <w:rFonts w:ascii="Arial" w:hAnsi="Arial" w:cs="Arial"/>
          <w:sz w:val="20"/>
          <w:szCs w:val="20"/>
        </w:rPr>
        <w:t xml:space="preserve"> permitan o exijan su reclasificación a resultados del </w:t>
      </w:r>
      <w:r w:rsidR="00F60637" w:rsidRPr="00AC4AEA">
        <w:rPr>
          <w:rFonts w:ascii="Arial" w:hAnsi="Arial" w:cs="Arial"/>
          <w:sz w:val="20"/>
          <w:szCs w:val="20"/>
        </w:rPr>
        <w:t xml:space="preserve">período </w:t>
      </w:r>
      <w:r w:rsidRPr="00AC4AEA">
        <w:rPr>
          <w:rFonts w:ascii="Arial" w:hAnsi="Arial" w:cs="Arial"/>
          <w:sz w:val="20"/>
          <w:szCs w:val="20"/>
        </w:rPr>
        <w:t>o su transferencia a resultados acumulados no asignados.</w:t>
      </w:r>
    </w:p>
    <w:p w:rsidR="00455BA2" w:rsidRPr="00AC4AEA" w:rsidRDefault="00455BA2" w:rsidP="00A318EA">
      <w:pPr>
        <w:pStyle w:val="Prrafodelista"/>
        <w:autoSpaceDE w:val="0"/>
        <w:autoSpaceDN w:val="0"/>
        <w:adjustRightInd w:val="0"/>
        <w:ind w:left="1416"/>
        <w:contextualSpacing w:val="0"/>
        <w:jc w:val="both"/>
        <w:rPr>
          <w:rFonts w:ascii="Arial" w:hAnsi="Arial" w:cs="Arial"/>
          <w:sz w:val="20"/>
          <w:szCs w:val="20"/>
        </w:rPr>
      </w:pPr>
      <w:r w:rsidRPr="00AC4AEA">
        <w:rPr>
          <w:rFonts w:ascii="Arial" w:hAnsi="Arial" w:cs="Arial"/>
          <w:sz w:val="20"/>
          <w:szCs w:val="20"/>
          <w:u w:val="single"/>
        </w:rPr>
        <w:t>Resultados diferidos acumulados</w:t>
      </w:r>
      <w:r w:rsidRPr="00AC4AEA">
        <w:rPr>
          <w:rFonts w:ascii="Arial" w:hAnsi="Arial" w:cs="Arial"/>
          <w:sz w:val="20"/>
          <w:szCs w:val="20"/>
        </w:rPr>
        <w:t>. Comprenden:</w:t>
      </w:r>
    </w:p>
    <w:p w:rsidR="00455BA2" w:rsidRPr="00AC4AEA" w:rsidRDefault="00455BA2" w:rsidP="00A318EA">
      <w:pPr>
        <w:pStyle w:val="Prrafodelista"/>
        <w:numPr>
          <w:ilvl w:val="0"/>
          <w:numId w:val="308"/>
        </w:numPr>
        <w:autoSpaceDE w:val="0"/>
        <w:autoSpaceDN w:val="0"/>
        <w:adjustRightInd w:val="0"/>
        <w:contextualSpacing w:val="0"/>
        <w:jc w:val="both"/>
        <w:rPr>
          <w:rFonts w:ascii="Arial" w:hAnsi="Arial" w:cs="Arial"/>
          <w:sz w:val="20"/>
          <w:szCs w:val="20"/>
        </w:rPr>
      </w:pPr>
      <w:r w:rsidRPr="00AC4AEA">
        <w:rPr>
          <w:rFonts w:ascii="Arial" w:hAnsi="Arial" w:cs="Arial"/>
          <w:b/>
          <w:bCs/>
          <w:sz w:val="20"/>
          <w:szCs w:val="20"/>
        </w:rPr>
        <w:t>resultados diferidos</w:t>
      </w:r>
      <w:r w:rsidRPr="00AC4AEA">
        <w:rPr>
          <w:rFonts w:ascii="Arial" w:hAnsi="Arial" w:cs="Arial"/>
          <w:sz w:val="20"/>
          <w:szCs w:val="20"/>
        </w:rPr>
        <w:t xml:space="preserve"> no transferidos a resultados no asignados; y</w:t>
      </w:r>
    </w:p>
    <w:p w:rsidR="00455BA2" w:rsidRPr="00AC4AEA" w:rsidRDefault="00455BA2" w:rsidP="00A318EA">
      <w:pPr>
        <w:pStyle w:val="Prrafodelista"/>
        <w:numPr>
          <w:ilvl w:val="0"/>
          <w:numId w:val="308"/>
        </w:numPr>
        <w:autoSpaceDE w:val="0"/>
        <w:autoSpaceDN w:val="0"/>
        <w:adjustRightInd w:val="0"/>
        <w:contextualSpacing w:val="0"/>
        <w:jc w:val="both"/>
        <w:rPr>
          <w:rFonts w:ascii="Arial" w:hAnsi="Arial" w:cs="Arial"/>
          <w:sz w:val="20"/>
          <w:szCs w:val="20"/>
        </w:rPr>
      </w:pPr>
      <w:r w:rsidRPr="00AC4AEA">
        <w:rPr>
          <w:rFonts w:ascii="Arial" w:hAnsi="Arial" w:cs="Arial"/>
          <w:b/>
          <w:bCs/>
          <w:sz w:val="20"/>
          <w:szCs w:val="20"/>
        </w:rPr>
        <w:t>resultados diferidos</w:t>
      </w:r>
      <w:r w:rsidRPr="00AC4AEA">
        <w:rPr>
          <w:rFonts w:ascii="Arial" w:hAnsi="Arial" w:cs="Arial"/>
          <w:sz w:val="20"/>
          <w:szCs w:val="20"/>
        </w:rPr>
        <w:t xml:space="preserve"> no reclasificados a resultados.</w:t>
      </w:r>
    </w:p>
    <w:p w:rsidR="00455BA2" w:rsidRPr="00AC4AEA" w:rsidRDefault="00455BA2"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Resultados no asignados</w:t>
      </w:r>
      <w:r w:rsidRPr="00AC4AEA">
        <w:rPr>
          <w:rFonts w:ascii="Arial" w:hAnsi="Arial" w:cs="Arial"/>
          <w:sz w:val="20"/>
          <w:szCs w:val="20"/>
        </w:rPr>
        <w:t xml:space="preserve">: Los resultados no asignados son los resultados acumulados sin asignación específica. Los cambios de su saldo pueden surgir –entre otras causas– por: </w:t>
      </w:r>
    </w:p>
    <w:p w:rsidR="00455BA2" w:rsidRPr="00AC4AEA" w:rsidRDefault="00455BA2" w:rsidP="00A318EA">
      <w:pPr>
        <w:pStyle w:val="Prrafodelista"/>
        <w:numPr>
          <w:ilvl w:val="0"/>
          <w:numId w:val="46"/>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sz w:val="20"/>
          <w:szCs w:val="20"/>
        </w:rPr>
        <w:t xml:space="preserve">aportes irrevocables para absorber pérdidas acumuladas; </w:t>
      </w:r>
    </w:p>
    <w:p w:rsidR="00455BA2" w:rsidRPr="00AC4AEA" w:rsidRDefault="00455BA2" w:rsidP="00A318EA">
      <w:pPr>
        <w:pStyle w:val="Prrafodelista"/>
        <w:numPr>
          <w:ilvl w:val="0"/>
          <w:numId w:val="46"/>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sz w:val="20"/>
          <w:szCs w:val="20"/>
        </w:rPr>
        <w:t xml:space="preserve">distribución de utilidades; </w:t>
      </w:r>
    </w:p>
    <w:p w:rsidR="00455BA2" w:rsidRPr="00AC4AEA" w:rsidRDefault="00455BA2" w:rsidP="00A318EA">
      <w:pPr>
        <w:pStyle w:val="Prrafodelista"/>
        <w:numPr>
          <w:ilvl w:val="0"/>
          <w:numId w:val="46"/>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sz w:val="20"/>
          <w:szCs w:val="20"/>
        </w:rPr>
        <w:t>transferencias a aportes de los propietarios;</w:t>
      </w:r>
    </w:p>
    <w:p w:rsidR="00455BA2" w:rsidRPr="00AC4AEA" w:rsidRDefault="00455BA2" w:rsidP="00A318EA">
      <w:pPr>
        <w:pStyle w:val="Prrafodelista"/>
        <w:numPr>
          <w:ilvl w:val="0"/>
          <w:numId w:val="46"/>
        </w:numPr>
        <w:autoSpaceDE w:val="0"/>
        <w:autoSpaceDN w:val="0"/>
        <w:adjustRightInd w:val="0"/>
        <w:ind w:left="1983" w:hanging="567"/>
        <w:contextualSpacing w:val="0"/>
        <w:jc w:val="both"/>
        <w:rPr>
          <w:rFonts w:ascii="Arial" w:hAnsi="Arial" w:cs="Arial"/>
          <w:sz w:val="20"/>
          <w:szCs w:val="20"/>
        </w:rPr>
      </w:pPr>
      <w:r w:rsidRPr="00AC4AEA">
        <w:rPr>
          <w:rFonts w:ascii="Arial" w:hAnsi="Arial" w:cs="Arial"/>
          <w:sz w:val="20"/>
          <w:szCs w:val="20"/>
        </w:rPr>
        <w:t>transferencias hacia y desde ganancias reservadas; y</w:t>
      </w:r>
    </w:p>
    <w:p w:rsidR="00455BA2" w:rsidRPr="00AC4AEA" w:rsidRDefault="00455BA2" w:rsidP="00A318EA">
      <w:pPr>
        <w:pStyle w:val="Prrafodelista"/>
        <w:numPr>
          <w:ilvl w:val="0"/>
          <w:numId w:val="46"/>
        </w:numPr>
        <w:autoSpaceDE w:val="0"/>
        <w:autoSpaceDN w:val="0"/>
        <w:adjustRightInd w:val="0"/>
        <w:ind w:left="1985" w:hanging="567"/>
        <w:contextualSpacing w:val="0"/>
        <w:jc w:val="both"/>
        <w:rPr>
          <w:rFonts w:ascii="Arial" w:hAnsi="Arial" w:cs="Arial"/>
          <w:sz w:val="20"/>
          <w:szCs w:val="20"/>
        </w:rPr>
      </w:pPr>
      <w:r w:rsidRPr="00AC4AEA">
        <w:rPr>
          <w:rFonts w:ascii="Arial" w:hAnsi="Arial" w:cs="Arial"/>
          <w:sz w:val="20"/>
          <w:szCs w:val="20"/>
        </w:rPr>
        <w:t xml:space="preserve">transferencias desde </w:t>
      </w:r>
      <w:r w:rsidRPr="00AC4AEA">
        <w:rPr>
          <w:rFonts w:ascii="Arial" w:hAnsi="Arial" w:cs="Arial"/>
          <w:b/>
          <w:bCs/>
          <w:sz w:val="20"/>
          <w:szCs w:val="20"/>
        </w:rPr>
        <w:t>resultados diferidos</w:t>
      </w:r>
      <w:r w:rsidRPr="00AC4AEA">
        <w:rPr>
          <w:rFonts w:ascii="Arial" w:hAnsi="Arial" w:cs="Arial"/>
          <w:sz w:val="20"/>
          <w:szCs w:val="20"/>
        </w:rPr>
        <w:t>.</w:t>
      </w:r>
    </w:p>
    <w:p w:rsidR="003F6556" w:rsidRPr="00AC4AEA" w:rsidRDefault="003F6556"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Transferencias a aportes de los propietarios</w:t>
      </w:r>
      <w:r w:rsidR="003F6F33" w:rsidRPr="00AC4AEA">
        <w:rPr>
          <w:rFonts w:ascii="Arial" w:hAnsi="Arial" w:cs="Arial"/>
          <w:sz w:val="20"/>
          <w:szCs w:val="20"/>
        </w:rPr>
        <w:t xml:space="preserve">: </w:t>
      </w:r>
      <w:r w:rsidRPr="00AC4AEA">
        <w:rPr>
          <w:rFonts w:ascii="Arial" w:hAnsi="Arial" w:cs="Arial"/>
          <w:sz w:val="20"/>
          <w:szCs w:val="20"/>
        </w:rPr>
        <w:t xml:space="preserve">Los resultados no asignados deberán transferirse a aportes de los propietarios cuando se apruebe la capitalización por parte de la </w:t>
      </w:r>
      <w:r w:rsidR="003639B1" w:rsidRPr="00AC4AEA">
        <w:rPr>
          <w:rFonts w:ascii="Arial" w:hAnsi="Arial" w:cs="Arial"/>
          <w:sz w:val="20"/>
          <w:szCs w:val="20"/>
        </w:rPr>
        <w:t>a</w:t>
      </w:r>
      <w:r w:rsidRPr="00AC4AEA">
        <w:rPr>
          <w:rFonts w:ascii="Arial" w:hAnsi="Arial" w:cs="Arial"/>
          <w:sz w:val="20"/>
          <w:szCs w:val="20"/>
        </w:rPr>
        <w:t>samblea (u órgano equivalente).</w:t>
      </w:r>
    </w:p>
    <w:p w:rsidR="003F6556" w:rsidRPr="00AC4AEA" w:rsidRDefault="003F6556" w:rsidP="00A318EA">
      <w:pPr>
        <w:autoSpaceDE w:val="0"/>
        <w:autoSpaceDN w:val="0"/>
        <w:adjustRightInd w:val="0"/>
        <w:ind w:left="1416"/>
        <w:jc w:val="both"/>
        <w:rPr>
          <w:rFonts w:ascii="Arial" w:hAnsi="Arial" w:cs="Arial"/>
          <w:sz w:val="20"/>
          <w:szCs w:val="20"/>
        </w:rPr>
      </w:pPr>
      <w:r w:rsidRPr="00AC4AEA">
        <w:rPr>
          <w:rFonts w:ascii="Arial" w:hAnsi="Arial" w:cs="Arial"/>
          <w:sz w:val="20"/>
          <w:szCs w:val="20"/>
          <w:u w:val="single"/>
        </w:rPr>
        <w:t>Transferencias hacia y desde ganancias reservadas</w:t>
      </w:r>
      <w:r w:rsidR="003F6F33" w:rsidRPr="00AC4AEA">
        <w:rPr>
          <w:rFonts w:ascii="Arial" w:hAnsi="Arial" w:cs="Arial"/>
          <w:sz w:val="20"/>
          <w:szCs w:val="20"/>
        </w:rPr>
        <w:t xml:space="preserve">: </w:t>
      </w:r>
      <w:r w:rsidRPr="00AC4AEA">
        <w:rPr>
          <w:rFonts w:ascii="Arial" w:hAnsi="Arial" w:cs="Arial"/>
          <w:sz w:val="20"/>
          <w:szCs w:val="20"/>
        </w:rPr>
        <w:t xml:space="preserve">Las asignaciones de resultados hacia y desde resultados no asignados, hacia y desde ganancias reservadas, reducen este rubro e incrementan las ganancias reservadas o viceversa. </w:t>
      </w:r>
    </w:p>
    <w:p w:rsidR="003F6556" w:rsidRPr="00AC4AEA" w:rsidRDefault="003F6556" w:rsidP="00A318EA">
      <w:pPr>
        <w:jc w:val="both"/>
        <w:rPr>
          <w:rFonts w:ascii="Arial" w:hAnsi="Arial" w:cs="Arial"/>
          <w:b/>
          <w:bCs/>
          <w:sz w:val="20"/>
          <w:szCs w:val="20"/>
        </w:rPr>
      </w:pPr>
    </w:p>
    <w:p w:rsidR="003F6556" w:rsidRPr="00AC4AEA" w:rsidRDefault="003F6556" w:rsidP="00A318EA">
      <w:pPr>
        <w:pStyle w:val="Ttulo2"/>
        <w:rPr>
          <w:rFonts w:cs="Arial"/>
        </w:rPr>
      </w:pPr>
      <w:bookmarkStart w:id="716" w:name="_Toc101863945"/>
      <w:bookmarkStart w:id="717" w:name="_Toc139356824"/>
      <w:r w:rsidRPr="00AC4AEA">
        <w:rPr>
          <w:rFonts w:cs="Arial"/>
        </w:rPr>
        <w:t>Reconocimiento</w:t>
      </w:r>
      <w:bookmarkEnd w:id="716"/>
      <w:bookmarkEnd w:id="717"/>
    </w:p>
    <w:p w:rsidR="00DF4594" w:rsidRPr="00AC4AEA" w:rsidRDefault="00AA30F5" w:rsidP="00A318EA">
      <w:pPr>
        <w:pStyle w:val="Ttulo3"/>
      </w:pPr>
      <w:bookmarkStart w:id="718" w:name="_Toc139356825"/>
      <w:bookmarkStart w:id="719" w:name="_Ref99487080"/>
      <w:r w:rsidRPr="00AC4AEA">
        <w:t>Aportes</w:t>
      </w:r>
      <w:r w:rsidR="00653DF5" w:rsidRPr="00AC4AEA">
        <w:t xml:space="preserve"> de capital</w:t>
      </w:r>
      <w:r w:rsidR="0040574A" w:rsidRPr="00AC4AEA">
        <w:t xml:space="preserve"> </w:t>
      </w:r>
      <w:r w:rsidRPr="00AC4AEA">
        <w:t>y</w:t>
      </w:r>
      <w:r w:rsidR="0040574A" w:rsidRPr="00AC4AEA">
        <w:t xml:space="preserve"> similares</w:t>
      </w:r>
      <w:bookmarkEnd w:id="718"/>
    </w:p>
    <w:p w:rsidR="0040574A" w:rsidRPr="00AC4AEA" w:rsidRDefault="0040574A" w:rsidP="00A318EA">
      <w:pPr>
        <w:pStyle w:val="Prrafodelista"/>
        <w:numPr>
          <w:ilvl w:val="0"/>
          <w:numId w:val="29"/>
        </w:numPr>
        <w:contextualSpacing w:val="0"/>
        <w:jc w:val="both"/>
        <w:rPr>
          <w:rFonts w:ascii="Arial" w:hAnsi="Arial" w:cs="Arial"/>
          <w:sz w:val="20"/>
          <w:szCs w:val="20"/>
        </w:rPr>
      </w:pPr>
      <w:bookmarkStart w:id="720" w:name="_Ref103893149"/>
      <w:r w:rsidRPr="00AC4AEA">
        <w:rPr>
          <w:rFonts w:ascii="Arial" w:hAnsi="Arial" w:cs="Arial"/>
          <w:sz w:val="20"/>
          <w:szCs w:val="20"/>
        </w:rPr>
        <w:t xml:space="preserve">Una entidad reconocerá </w:t>
      </w:r>
      <w:r w:rsidR="001A2717" w:rsidRPr="00AC4AEA">
        <w:rPr>
          <w:rFonts w:ascii="Arial" w:hAnsi="Arial" w:cs="Arial"/>
          <w:sz w:val="20"/>
          <w:szCs w:val="20"/>
        </w:rPr>
        <w:t>los aportes provenientes de la emisión</w:t>
      </w:r>
      <w:r w:rsidR="00775B23" w:rsidRPr="00AC4AEA">
        <w:rPr>
          <w:rFonts w:ascii="Arial" w:hAnsi="Arial" w:cs="Arial"/>
          <w:sz w:val="20"/>
          <w:szCs w:val="20"/>
        </w:rPr>
        <w:t xml:space="preserve"> </w:t>
      </w:r>
      <w:r w:rsidRPr="00AC4AEA">
        <w:rPr>
          <w:rFonts w:ascii="Arial" w:hAnsi="Arial" w:cs="Arial"/>
          <w:sz w:val="20"/>
          <w:szCs w:val="20"/>
        </w:rPr>
        <w:t>las acciones, cuotas partes</w:t>
      </w:r>
      <w:r w:rsidR="00AA30F5" w:rsidRPr="00AC4AEA">
        <w:rPr>
          <w:rFonts w:ascii="Arial" w:hAnsi="Arial" w:cs="Arial"/>
          <w:sz w:val="20"/>
          <w:szCs w:val="20"/>
        </w:rPr>
        <w:t>, otros</w:t>
      </w:r>
      <w:r w:rsidRPr="00AC4AEA">
        <w:rPr>
          <w:rFonts w:ascii="Arial" w:hAnsi="Arial" w:cs="Arial"/>
          <w:sz w:val="20"/>
          <w:szCs w:val="20"/>
        </w:rPr>
        <w:t xml:space="preserve"> instrumentos de patrimonio </w:t>
      </w:r>
      <w:r w:rsidR="00AA30F5" w:rsidRPr="00AC4AEA">
        <w:rPr>
          <w:rFonts w:ascii="Arial" w:hAnsi="Arial" w:cs="Arial"/>
          <w:sz w:val="20"/>
          <w:szCs w:val="20"/>
        </w:rPr>
        <w:t xml:space="preserve">y primas de emisión </w:t>
      </w:r>
      <w:r w:rsidRPr="00AC4AEA">
        <w:rPr>
          <w:rFonts w:ascii="Arial" w:hAnsi="Arial" w:cs="Arial"/>
          <w:sz w:val="20"/>
          <w:szCs w:val="20"/>
        </w:rPr>
        <w:t xml:space="preserve">en el momento de </w:t>
      </w:r>
      <w:r w:rsidR="006B3055" w:rsidRPr="00AC4AEA">
        <w:rPr>
          <w:rFonts w:ascii="Arial" w:hAnsi="Arial" w:cs="Arial"/>
          <w:sz w:val="20"/>
          <w:szCs w:val="20"/>
        </w:rPr>
        <w:t xml:space="preserve">la </w:t>
      </w:r>
      <w:r w:rsidRPr="00AC4AEA">
        <w:rPr>
          <w:rFonts w:ascii="Arial" w:hAnsi="Arial" w:cs="Arial"/>
          <w:sz w:val="20"/>
          <w:szCs w:val="20"/>
        </w:rPr>
        <w:t>suscripción por</w:t>
      </w:r>
      <w:r w:rsidR="006B3055" w:rsidRPr="00AC4AEA">
        <w:rPr>
          <w:rFonts w:ascii="Arial" w:hAnsi="Arial" w:cs="Arial"/>
          <w:sz w:val="20"/>
          <w:szCs w:val="20"/>
        </w:rPr>
        <w:t xml:space="preserve"> parte de</w:t>
      </w:r>
      <w:r w:rsidRPr="00AC4AEA">
        <w:rPr>
          <w:rFonts w:ascii="Arial" w:hAnsi="Arial" w:cs="Arial"/>
          <w:sz w:val="20"/>
          <w:szCs w:val="20"/>
        </w:rPr>
        <w:t xml:space="preserve"> los propietarios.</w:t>
      </w:r>
      <w:bookmarkEnd w:id="720"/>
    </w:p>
    <w:p w:rsidR="009638EE" w:rsidRPr="00AC4AEA" w:rsidRDefault="009638EE" w:rsidP="00A318EA">
      <w:pPr>
        <w:pStyle w:val="Prrafodelista"/>
        <w:ind w:left="993"/>
        <w:contextualSpacing w:val="0"/>
        <w:jc w:val="both"/>
        <w:rPr>
          <w:rFonts w:ascii="Arial" w:hAnsi="Arial" w:cs="Arial"/>
          <w:sz w:val="20"/>
          <w:szCs w:val="20"/>
        </w:rPr>
      </w:pPr>
    </w:p>
    <w:p w:rsidR="00481FFD" w:rsidRPr="00AC4AEA" w:rsidRDefault="00AA30F5" w:rsidP="00A318EA">
      <w:pPr>
        <w:pStyle w:val="Ttulo3"/>
      </w:pPr>
      <w:bookmarkStart w:id="721" w:name="_Hlk103892697"/>
      <w:bookmarkStart w:id="722" w:name="_Toc139356826"/>
      <w:r w:rsidRPr="00AC4AEA">
        <w:lastRenderedPageBreak/>
        <w:t>A</w:t>
      </w:r>
      <w:r w:rsidR="001B3935" w:rsidRPr="00AC4AEA">
        <w:t>portes irrevocables para futuras suscripciones de acciones</w:t>
      </w:r>
      <w:bookmarkEnd w:id="721"/>
      <w:r w:rsidRPr="00AC4AEA">
        <w:t xml:space="preserve"> y similares</w:t>
      </w:r>
      <w:bookmarkEnd w:id="722"/>
    </w:p>
    <w:p w:rsidR="003F6556" w:rsidRPr="00AC4AEA" w:rsidRDefault="003F6556" w:rsidP="00A318EA">
      <w:pPr>
        <w:pStyle w:val="Prrafodelista"/>
        <w:numPr>
          <w:ilvl w:val="0"/>
          <w:numId w:val="29"/>
        </w:numPr>
        <w:ind w:left="992"/>
        <w:contextualSpacing w:val="0"/>
        <w:jc w:val="both"/>
        <w:rPr>
          <w:rFonts w:ascii="Arial" w:hAnsi="Arial" w:cs="Arial"/>
          <w:sz w:val="20"/>
          <w:szCs w:val="20"/>
        </w:rPr>
      </w:pPr>
      <w:bookmarkStart w:id="723" w:name="_Ref104913969"/>
      <w:r w:rsidRPr="00AC4AEA">
        <w:rPr>
          <w:rFonts w:ascii="Arial" w:hAnsi="Arial" w:cs="Arial"/>
          <w:sz w:val="20"/>
          <w:szCs w:val="20"/>
        </w:rPr>
        <w:t xml:space="preserve">Una entidad reconocerá un </w:t>
      </w:r>
      <w:r w:rsidR="00D91158" w:rsidRPr="00AC4AEA">
        <w:rPr>
          <w:rFonts w:ascii="Arial" w:hAnsi="Arial" w:cs="Arial"/>
          <w:sz w:val="20"/>
          <w:szCs w:val="20"/>
        </w:rPr>
        <w:t>aporte irrevocable para futuras suscripciones de acciones</w:t>
      </w:r>
      <w:r w:rsidR="00AA30F5" w:rsidRPr="00AC4AEA">
        <w:rPr>
          <w:rFonts w:ascii="Arial" w:hAnsi="Arial" w:cs="Arial"/>
          <w:sz w:val="20"/>
          <w:szCs w:val="20"/>
        </w:rPr>
        <w:t xml:space="preserve"> o instrumentos </w:t>
      </w:r>
      <w:r w:rsidR="001A2717" w:rsidRPr="00AC4AEA">
        <w:rPr>
          <w:rFonts w:ascii="Arial" w:hAnsi="Arial" w:cs="Arial"/>
          <w:sz w:val="20"/>
          <w:szCs w:val="20"/>
        </w:rPr>
        <w:t xml:space="preserve">similares en el </w:t>
      </w:r>
      <w:r w:rsidR="001A2717" w:rsidRPr="00AC4AEA">
        <w:rPr>
          <w:rFonts w:ascii="Arial" w:hAnsi="Arial" w:cs="Arial"/>
          <w:b/>
          <w:bCs/>
          <w:sz w:val="20"/>
          <w:szCs w:val="20"/>
        </w:rPr>
        <w:t>patrimonio neto</w:t>
      </w:r>
      <w:r w:rsidRPr="00AC4AEA">
        <w:rPr>
          <w:rFonts w:ascii="Arial" w:hAnsi="Arial" w:cs="Arial"/>
          <w:sz w:val="20"/>
          <w:szCs w:val="20"/>
        </w:rPr>
        <w:t xml:space="preserve"> cuando:</w:t>
      </w:r>
      <w:bookmarkEnd w:id="719"/>
      <w:bookmarkEnd w:id="723"/>
      <w:r w:rsidRPr="00AC4AEA">
        <w:rPr>
          <w:rFonts w:ascii="Arial" w:hAnsi="Arial" w:cs="Arial"/>
          <w:sz w:val="20"/>
          <w:szCs w:val="20"/>
        </w:rPr>
        <w:t xml:space="preserve"> </w:t>
      </w:r>
    </w:p>
    <w:p w:rsidR="003F6556" w:rsidRPr="00AC4AEA" w:rsidRDefault="0015031B" w:rsidP="00A318EA">
      <w:pPr>
        <w:pStyle w:val="Prrafodelista"/>
        <w:numPr>
          <w:ilvl w:val="0"/>
          <w:numId w:val="136"/>
        </w:numPr>
        <w:ind w:left="1560"/>
        <w:contextualSpacing w:val="0"/>
        <w:jc w:val="both"/>
        <w:rPr>
          <w:rFonts w:ascii="Arial" w:hAnsi="Arial" w:cs="Arial"/>
          <w:sz w:val="20"/>
          <w:szCs w:val="20"/>
        </w:rPr>
      </w:pPr>
      <w:r w:rsidRPr="00AC4AEA">
        <w:rPr>
          <w:rFonts w:ascii="Arial" w:hAnsi="Arial" w:cs="Arial"/>
          <w:sz w:val="20"/>
          <w:szCs w:val="20"/>
        </w:rPr>
        <w:t>hayan sido efectivamente integrados;</w:t>
      </w:r>
    </w:p>
    <w:p w:rsidR="003F6556" w:rsidRPr="00AC4AEA" w:rsidRDefault="00B50A9F" w:rsidP="00A318EA">
      <w:pPr>
        <w:pStyle w:val="Prrafodelista"/>
        <w:numPr>
          <w:ilvl w:val="0"/>
          <w:numId w:val="136"/>
        </w:numPr>
        <w:ind w:left="1560"/>
        <w:contextualSpacing w:val="0"/>
        <w:jc w:val="both"/>
        <w:rPr>
          <w:rFonts w:ascii="Arial" w:hAnsi="Arial" w:cs="Arial"/>
          <w:sz w:val="20"/>
          <w:szCs w:val="20"/>
        </w:rPr>
      </w:pPr>
      <w:r w:rsidRPr="00AC4AEA">
        <w:rPr>
          <w:rFonts w:ascii="Arial" w:hAnsi="Arial" w:cs="Arial"/>
          <w:sz w:val="20"/>
          <w:szCs w:val="20"/>
        </w:rPr>
        <w:t xml:space="preserve">surjan de un acuerdo escrito entre el aportante y el órgano de administración de la entidad </w:t>
      </w:r>
      <w:r w:rsidR="00AA30F5" w:rsidRPr="00AC4AEA">
        <w:rPr>
          <w:rFonts w:ascii="Arial" w:hAnsi="Arial" w:cs="Arial"/>
          <w:sz w:val="20"/>
          <w:szCs w:val="20"/>
        </w:rPr>
        <w:t xml:space="preserve">mediante </w:t>
      </w:r>
      <w:r w:rsidR="001A2717" w:rsidRPr="00AC4AEA">
        <w:rPr>
          <w:rFonts w:ascii="Arial" w:hAnsi="Arial" w:cs="Arial"/>
          <w:sz w:val="20"/>
          <w:szCs w:val="20"/>
        </w:rPr>
        <w:t>el</w:t>
      </w:r>
      <w:r w:rsidR="00AA30F5" w:rsidRPr="00AC4AEA">
        <w:rPr>
          <w:rFonts w:ascii="Arial" w:hAnsi="Arial" w:cs="Arial"/>
          <w:sz w:val="20"/>
          <w:szCs w:val="20"/>
        </w:rPr>
        <w:t xml:space="preserve"> cual se estipule</w:t>
      </w:r>
      <w:r w:rsidRPr="00AC4AEA">
        <w:rPr>
          <w:rFonts w:ascii="Arial" w:hAnsi="Arial" w:cs="Arial"/>
          <w:sz w:val="20"/>
          <w:szCs w:val="20"/>
        </w:rPr>
        <w:t>:</w:t>
      </w:r>
    </w:p>
    <w:p w:rsidR="007276C8" w:rsidRPr="00AC4AEA" w:rsidRDefault="007276C8" w:rsidP="005C29C7">
      <w:pPr>
        <w:pStyle w:val="Prrafodelista"/>
        <w:numPr>
          <w:ilvl w:val="0"/>
          <w:numId w:val="300"/>
        </w:numPr>
        <w:ind w:left="1985"/>
        <w:contextualSpacing w:val="0"/>
        <w:jc w:val="both"/>
        <w:rPr>
          <w:rFonts w:ascii="Arial" w:hAnsi="Arial" w:cs="Arial"/>
          <w:sz w:val="20"/>
          <w:szCs w:val="20"/>
        </w:rPr>
      </w:pPr>
      <w:r w:rsidRPr="00AC4AEA">
        <w:rPr>
          <w:rFonts w:ascii="Arial" w:hAnsi="Arial" w:cs="Arial"/>
          <w:sz w:val="20"/>
          <w:szCs w:val="20"/>
        </w:rPr>
        <w:t>que el aportante mantendrá su aporte, salvo cuando su devolución sea decidida por la asamblea de accionistas (u órgano equivalente) de la entidad mediante un procedimiento similar al de reducción del capital social;</w:t>
      </w:r>
    </w:p>
    <w:p w:rsidR="007276C8" w:rsidRPr="00AC4AEA" w:rsidRDefault="007276C8" w:rsidP="005C29C7">
      <w:pPr>
        <w:pStyle w:val="Prrafodelista"/>
        <w:numPr>
          <w:ilvl w:val="0"/>
          <w:numId w:val="300"/>
        </w:numPr>
        <w:ind w:left="1985"/>
        <w:contextualSpacing w:val="0"/>
        <w:jc w:val="both"/>
        <w:rPr>
          <w:rFonts w:ascii="Arial" w:hAnsi="Arial" w:cs="Arial"/>
          <w:sz w:val="20"/>
          <w:szCs w:val="20"/>
        </w:rPr>
      </w:pPr>
      <w:r w:rsidRPr="00AC4AEA">
        <w:rPr>
          <w:rFonts w:ascii="Arial" w:hAnsi="Arial" w:cs="Arial"/>
          <w:sz w:val="20"/>
          <w:szCs w:val="20"/>
        </w:rPr>
        <w:t>que el destino del aporte es su futura conversión en acciones;</w:t>
      </w:r>
      <w:r w:rsidR="00AA30F5" w:rsidRPr="00AC4AEA">
        <w:rPr>
          <w:rFonts w:ascii="Arial" w:hAnsi="Arial" w:cs="Arial"/>
          <w:sz w:val="20"/>
          <w:szCs w:val="20"/>
        </w:rPr>
        <w:t xml:space="preserve"> y</w:t>
      </w:r>
    </w:p>
    <w:p w:rsidR="00B50A9F" w:rsidRPr="00AC4AEA" w:rsidRDefault="007276C8" w:rsidP="005C29C7">
      <w:pPr>
        <w:pStyle w:val="Prrafodelista"/>
        <w:numPr>
          <w:ilvl w:val="0"/>
          <w:numId w:val="300"/>
        </w:numPr>
        <w:ind w:left="1985"/>
        <w:contextualSpacing w:val="0"/>
        <w:jc w:val="both"/>
        <w:rPr>
          <w:rFonts w:ascii="Arial" w:hAnsi="Arial" w:cs="Arial"/>
          <w:sz w:val="20"/>
          <w:szCs w:val="20"/>
        </w:rPr>
      </w:pPr>
      <w:r w:rsidRPr="00AC4AEA">
        <w:rPr>
          <w:rFonts w:ascii="Arial" w:hAnsi="Arial" w:cs="Arial"/>
          <w:sz w:val="20"/>
          <w:szCs w:val="20"/>
        </w:rPr>
        <w:t>las condiciones para dicha conversión;</w:t>
      </w:r>
    </w:p>
    <w:p w:rsidR="003F6556" w:rsidRPr="00AC4AEA" w:rsidRDefault="00E91525" w:rsidP="00A318EA">
      <w:pPr>
        <w:pStyle w:val="Prrafodelista"/>
        <w:numPr>
          <w:ilvl w:val="0"/>
          <w:numId w:val="136"/>
        </w:numPr>
        <w:ind w:left="1560"/>
        <w:contextualSpacing w:val="0"/>
        <w:jc w:val="both"/>
        <w:rPr>
          <w:rFonts w:ascii="Arial" w:hAnsi="Arial" w:cs="Arial"/>
          <w:sz w:val="20"/>
          <w:szCs w:val="20"/>
        </w:rPr>
      </w:pPr>
      <w:r w:rsidRPr="00AC4AEA">
        <w:rPr>
          <w:rFonts w:ascii="Arial" w:hAnsi="Arial" w:cs="Arial"/>
          <w:sz w:val="20"/>
          <w:szCs w:val="20"/>
        </w:rPr>
        <w:t>hayan sido aprobados por la asamblea de accionistas (u órgano equivalente) de la entidad o por su órgano de administración ad-referéndum de ella</w:t>
      </w:r>
      <w:r w:rsidR="003F6556" w:rsidRPr="00AC4AEA">
        <w:rPr>
          <w:rFonts w:ascii="Arial" w:hAnsi="Arial" w:cs="Arial"/>
          <w:sz w:val="20"/>
          <w:szCs w:val="20"/>
        </w:rPr>
        <w:t>.</w:t>
      </w:r>
    </w:p>
    <w:p w:rsidR="009638EE" w:rsidRPr="00AC4AEA" w:rsidRDefault="00125AF6" w:rsidP="00A318EA">
      <w:pPr>
        <w:pStyle w:val="Prrafodelista"/>
        <w:numPr>
          <w:ilvl w:val="0"/>
          <w:numId w:val="29"/>
        </w:numPr>
        <w:contextualSpacing w:val="0"/>
        <w:jc w:val="both"/>
        <w:rPr>
          <w:rFonts w:ascii="Arial" w:hAnsi="Arial" w:cs="Arial"/>
          <w:sz w:val="20"/>
          <w:szCs w:val="20"/>
        </w:rPr>
      </w:pPr>
      <w:bookmarkStart w:id="724" w:name="_Ref103882847"/>
      <w:r w:rsidRPr="00AC4AEA">
        <w:rPr>
          <w:rFonts w:ascii="Arial" w:hAnsi="Arial" w:cs="Arial"/>
          <w:sz w:val="20"/>
          <w:szCs w:val="20"/>
        </w:rPr>
        <w:t xml:space="preserve">Una entidad reconocerá dentro del </w:t>
      </w:r>
      <w:r w:rsidRPr="00AC4AEA">
        <w:rPr>
          <w:rFonts w:ascii="Arial" w:hAnsi="Arial" w:cs="Arial"/>
          <w:b/>
          <w:bCs/>
          <w:sz w:val="20"/>
          <w:szCs w:val="20"/>
        </w:rPr>
        <w:t xml:space="preserve">pasivo </w:t>
      </w:r>
      <w:r w:rsidRPr="00AC4AEA">
        <w:rPr>
          <w:rFonts w:ascii="Arial" w:hAnsi="Arial" w:cs="Arial"/>
          <w:sz w:val="20"/>
          <w:szCs w:val="20"/>
        </w:rPr>
        <w:t>los aportes irrevocables a cuenta de futuras suscripciones de acciones</w:t>
      </w:r>
      <w:r w:rsidR="00AA30F5" w:rsidRPr="00AC4AEA">
        <w:rPr>
          <w:rFonts w:ascii="Arial" w:hAnsi="Arial" w:cs="Arial"/>
          <w:sz w:val="20"/>
          <w:szCs w:val="20"/>
        </w:rPr>
        <w:t xml:space="preserve"> o instrumentos similares</w:t>
      </w:r>
      <w:r w:rsidRPr="00AC4AEA">
        <w:rPr>
          <w:rFonts w:ascii="Arial" w:hAnsi="Arial" w:cs="Arial"/>
          <w:sz w:val="20"/>
          <w:szCs w:val="20"/>
        </w:rPr>
        <w:t xml:space="preserve"> que incumplan los requisitos establecidos en </w:t>
      </w:r>
      <w:r w:rsidR="00E91525" w:rsidRPr="00AC4AEA">
        <w:rPr>
          <w:rFonts w:ascii="Arial" w:hAnsi="Arial" w:cs="Arial"/>
          <w:sz w:val="20"/>
          <w:szCs w:val="20"/>
        </w:rPr>
        <w:t xml:space="preserve">el párrafo </w:t>
      </w:r>
      <w:r w:rsidR="00AA30F5" w:rsidRPr="00AC4AEA">
        <w:rPr>
          <w:rFonts w:ascii="Arial" w:hAnsi="Arial" w:cs="Arial"/>
          <w:sz w:val="20"/>
          <w:szCs w:val="20"/>
        </w:rPr>
        <w:t>anterior</w:t>
      </w:r>
      <w:r w:rsidRPr="00AC4AEA">
        <w:rPr>
          <w:rFonts w:ascii="Arial" w:hAnsi="Arial" w:cs="Arial"/>
          <w:sz w:val="20"/>
          <w:szCs w:val="20"/>
        </w:rPr>
        <w:t>.</w:t>
      </w:r>
      <w:bookmarkEnd w:id="724"/>
    </w:p>
    <w:p w:rsidR="0053763A" w:rsidRPr="00AC4AEA" w:rsidRDefault="00125AF6" w:rsidP="00A318EA">
      <w:pPr>
        <w:pStyle w:val="Prrafodelista"/>
        <w:ind w:left="993"/>
        <w:contextualSpacing w:val="0"/>
        <w:jc w:val="both"/>
        <w:rPr>
          <w:rFonts w:ascii="Arial" w:hAnsi="Arial" w:cs="Arial"/>
          <w:sz w:val="20"/>
          <w:szCs w:val="20"/>
        </w:rPr>
      </w:pPr>
      <w:r w:rsidRPr="00AC4AEA">
        <w:rPr>
          <w:rFonts w:ascii="Arial" w:hAnsi="Arial" w:cs="Arial"/>
          <w:sz w:val="20"/>
          <w:szCs w:val="20"/>
        </w:rPr>
        <w:t xml:space="preserve"> </w:t>
      </w:r>
    </w:p>
    <w:p w:rsidR="00125AF6" w:rsidRPr="00AC4AEA" w:rsidRDefault="00AA30F5" w:rsidP="00A318EA">
      <w:pPr>
        <w:pStyle w:val="Ttulo3"/>
      </w:pPr>
      <w:bookmarkStart w:id="725" w:name="_Toc139356827"/>
      <w:r w:rsidRPr="00AC4AEA">
        <w:t>A</w:t>
      </w:r>
      <w:r w:rsidR="0053763A" w:rsidRPr="00AC4AEA">
        <w:t xml:space="preserve">portes irrevocables para </w:t>
      </w:r>
      <w:r w:rsidR="00664EE5" w:rsidRPr="00AC4AEA">
        <w:t>absorber pérdidas</w:t>
      </w:r>
      <w:r w:rsidR="00F56C12" w:rsidRPr="00AC4AEA">
        <w:t xml:space="preserve"> acumuladas</w:t>
      </w:r>
      <w:bookmarkEnd w:id="725"/>
      <w:r w:rsidR="00A82EFF" w:rsidRPr="00AC4AEA">
        <w:t xml:space="preserve"> </w:t>
      </w:r>
    </w:p>
    <w:p w:rsidR="00F5123C" w:rsidRPr="00AC4AEA" w:rsidRDefault="00D91158" w:rsidP="00A318EA">
      <w:pPr>
        <w:pStyle w:val="Prrafodelista"/>
        <w:numPr>
          <w:ilvl w:val="0"/>
          <w:numId w:val="29"/>
        </w:numPr>
        <w:ind w:left="992"/>
        <w:contextualSpacing w:val="0"/>
        <w:jc w:val="both"/>
        <w:rPr>
          <w:rFonts w:ascii="Arial" w:hAnsi="Arial" w:cs="Arial"/>
          <w:sz w:val="20"/>
          <w:szCs w:val="20"/>
        </w:rPr>
      </w:pPr>
      <w:bookmarkStart w:id="726" w:name="_Ref103893153"/>
      <w:r w:rsidRPr="00AC4AEA">
        <w:rPr>
          <w:rFonts w:ascii="Arial" w:hAnsi="Arial" w:cs="Arial"/>
          <w:sz w:val="20"/>
          <w:szCs w:val="20"/>
        </w:rPr>
        <w:t xml:space="preserve">Una entidad reconocerá un aporte irrevocable para </w:t>
      </w:r>
      <w:r w:rsidR="00F56C12" w:rsidRPr="00AC4AEA">
        <w:rPr>
          <w:rFonts w:ascii="Arial" w:hAnsi="Arial" w:cs="Arial"/>
          <w:sz w:val="20"/>
          <w:szCs w:val="20"/>
        </w:rPr>
        <w:t>absorber pérdidas acumuladas</w:t>
      </w:r>
      <w:r w:rsidRPr="00AC4AEA">
        <w:rPr>
          <w:rFonts w:ascii="Arial" w:hAnsi="Arial" w:cs="Arial"/>
          <w:sz w:val="20"/>
          <w:szCs w:val="20"/>
        </w:rPr>
        <w:t xml:space="preserve"> como </w:t>
      </w:r>
      <w:r w:rsidRPr="00AC4AEA">
        <w:rPr>
          <w:rFonts w:ascii="Arial" w:hAnsi="Arial" w:cs="Arial"/>
          <w:b/>
          <w:bCs/>
          <w:sz w:val="20"/>
          <w:szCs w:val="20"/>
        </w:rPr>
        <w:t>patrimonio neto</w:t>
      </w:r>
      <w:r w:rsidR="00115702" w:rsidRPr="00AC4AEA">
        <w:rPr>
          <w:rFonts w:ascii="Arial" w:hAnsi="Arial" w:cs="Arial"/>
          <w:sz w:val="20"/>
          <w:szCs w:val="20"/>
        </w:rPr>
        <w:t>,</w:t>
      </w:r>
      <w:r w:rsidR="00115702" w:rsidRPr="00AC4AEA">
        <w:rPr>
          <w:rFonts w:ascii="Arial" w:hAnsi="Arial" w:cs="Arial"/>
          <w:b/>
          <w:bCs/>
          <w:sz w:val="20"/>
          <w:szCs w:val="20"/>
        </w:rPr>
        <w:t xml:space="preserve"> </w:t>
      </w:r>
      <w:r w:rsidR="00115702" w:rsidRPr="00AC4AEA">
        <w:rPr>
          <w:rFonts w:ascii="Arial" w:hAnsi="Arial" w:cs="Arial"/>
          <w:sz w:val="20"/>
          <w:szCs w:val="20"/>
        </w:rPr>
        <w:t>modificando los resultados acumulados,</w:t>
      </w:r>
      <w:r w:rsidR="001B6236" w:rsidRPr="00AC4AEA">
        <w:rPr>
          <w:rFonts w:ascii="Arial" w:hAnsi="Arial" w:cs="Arial"/>
          <w:sz w:val="20"/>
          <w:szCs w:val="20"/>
        </w:rPr>
        <w:t xml:space="preserve"> </w:t>
      </w:r>
      <w:r w:rsidR="00115702" w:rsidRPr="00AC4AEA">
        <w:rPr>
          <w:rFonts w:ascii="Arial" w:hAnsi="Arial" w:cs="Arial"/>
          <w:sz w:val="20"/>
          <w:szCs w:val="20"/>
        </w:rPr>
        <w:t xml:space="preserve">siempre que </w:t>
      </w:r>
      <w:r w:rsidR="008165CF" w:rsidRPr="00AC4AEA">
        <w:rPr>
          <w:rFonts w:ascii="Arial" w:hAnsi="Arial" w:cs="Arial"/>
          <w:sz w:val="20"/>
          <w:szCs w:val="20"/>
        </w:rPr>
        <w:t xml:space="preserve">tales aportes </w:t>
      </w:r>
      <w:r w:rsidR="00115702" w:rsidRPr="00AC4AEA">
        <w:rPr>
          <w:rFonts w:ascii="Arial" w:hAnsi="Arial" w:cs="Arial"/>
          <w:sz w:val="20"/>
          <w:szCs w:val="20"/>
        </w:rPr>
        <w:t>hayan sido</w:t>
      </w:r>
      <w:r w:rsidR="00F5123C" w:rsidRPr="00AC4AEA">
        <w:rPr>
          <w:rFonts w:ascii="Arial" w:hAnsi="Arial" w:cs="Arial"/>
          <w:sz w:val="20"/>
          <w:szCs w:val="20"/>
        </w:rPr>
        <w:t>:</w:t>
      </w:r>
      <w:bookmarkEnd w:id="726"/>
      <w:r w:rsidR="00115702" w:rsidRPr="00AC4AEA">
        <w:rPr>
          <w:rFonts w:ascii="Arial" w:hAnsi="Arial" w:cs="Arial"/>
          <w:sz w:val="20"/>
          <w:szCs w:val="20"/>
        </w:rPr>
        <w:t xml:space="preserve"> </w:t>
      </w:r>
    </w:p>
    <w:p w:rsidR="008165CF" w:rsidRPr="00AC4AEA" w:rsidRDefault="00F5123C" w:rsidP="00A318EA">
      <w:pPr>
        <w:pStyle w:val="Prrafodelista"/>
        <w:numPr>
          <w:ilvl w:val="0"/>
          <w:numId w:val="403"/>
        </w:numPr>
        <w:ind w:left="1559"/>
        <w:contextualSpacing w:val="0"/>
        <w:jc w:val="both"/>
        <w:rPr>
          <w:rFonts w:ascii="Arial" w:hAnsi="Arial" w:cs="Arial"/>
          <w:sz w:val="20"/>
          <w:szCs w:val="20"/>
        </w:rPr>
      </w:pPr>
      <w:r w:rsidRPr="00AC4AEA">
        <w:rPr>
          <w:rFonts w:ascii="Arial" w:hAnsi="Arial" w:cs="Arial"/>
          <w:sz w:val="20"/>
          <w:szCs w:val="20"/>
        </w:rPr>
        <w:t>efectivamente integrados</w:t>
      </w:r>
      <w:r w:rsidR="008165CF" w:rsidRPr="00AC4AEA">
        <w:rPr>
          <w:rFonts w:ascii="Arial" w:hAnsi="Arial" w:cs="Arial"/>
          <w:sz w:val="20"/>
          <w:szCs w:val="20"/>
        </w:rPr>
        <w:t>; y</w:t>
      </w:r>
      <w:r w:rsidRPr="00AC4AEA">
        <w:rPr>
          <w:rFonts w:ascii="Arial" w:hAnsi="Arial" w:cs="Arial"/>
          <w:sz w:val="20"/>
          <w:szCs w:val="20"/>
        </w:rPr>
        <w:t xml:space="preserve"> </w:t>
      </w:r>
    </w:p>
    <w:p w:rsidR="003F6556" w:rsidRPr="00AC4AEA" w:rsidRDefault="00115702" w:rsidP="00A318EA">
      <w:pPr>
        <w:pStyle w:val="Prrafodelista"/>
        <w:numPr>
          <w:ilvl w:val="0"/>
          <w:numId w:val="403"/>
        </w:numPr>
        <w:ind w:left="1559"/>
        <w:contextualSpacing w:val="0"/>
        <w:jc w:val="both"/>
        <w:rPr>
          <w:rFonts w:ascii="Arial" w:hAnsi="Arial" w:cs="Arial"/>
          <w:sz w:val="20"/>
          <w:szCs w:val="20"/>
        </w:rPr>
      </w:pPr>
      <w:r w:rsidRPr="00AC4AEA">
        <w:rPr>
          <w:rFonts w:ascii="Arial" w:hAnsi="Arial" w:cs="Arial"/>
          <w:sz w:val="20"/>
          <w:szCs w:val="20"/>
        </w:rPr>
        <w:t>aprobados por la asamblea de accionistas (u órgano</w:t>
      </w:r>
      <w:r w:rsidR="001B6236" w:rsidRPr="00AC4AEA">
        <w:rPr>
          <w:rFonts w:ascii="Arial" w:hAnsi="Arial" w:cs="Arial"/>
          <w:sz w:val="20"/>
          <w:szCs w:val="20"/>
        </w:rPr>
        <w:t xml:space="preserve"> </w:t>
      </w:r>
      <w:r w:rsidRPr="00AC4AEA">
        <w:rPr>
          <w:rFonts w:ascii="Arial" w:hAnsi="Arial" w:cs="Arial"/>
          <w:sz w:val="20"/>
          <w:szCs w:val="20"/>
        </w:rPr>
        <w:t>equivalente) de</w:t>
      </w:r>
      <w:r w:rsidR="008165CF" w:rsidRPr="00AC4AEA">
        <w:rPr>
          <w:rFonts w:ascii="Arial" w:hAnsi="Arial" w:cs="Arial"/>
          <w:sz w:val="20"/>
          <w:szCs w:val="20"/>
        </w:rPr>
        <w:t xml:space="preserve"> la</w:t>
      </w:r>
      <w:r w:rsidRPr="00AC4AEA">
        <w:rPr>
          <w:rFonts w:ascii="Arial" w:hAnsi="Arial" w:cs="Arial"/>
          <w:sz w:val="20"/>
          <w:szCs w:val="20"/>
        </w:rPr>
        <w:t xml:space="preserve"> ent</w:t>
      </w:r>
      <w:r w:rsidR="008165CF" w:rsidRPr="00AC4AEA">
        <w:rPr>
          <w:rFonts w:ascii="Arial" w:hAnsi="Arial" w:cs="Arial"/>
          <w:sz w:val="20"/>
          <w:szCs w:val="20"/>
        </w:rPr>
        <w:t>idad</w:t>
      </w:r>
      <w:r w:rsidRPr="00AC4AEA">
        <w:rPr>
          <w:rFonts w:ascii="Arial" w:hAnsi="Arial" w:cs="Arial"/>
          <w:sz w:val="20"/>
          <w:szCs w:val="20"/>
        </w:rPr>
        <w:t xml:space="preserve"> o por su órgano de administración ad-referéndum de ella.</w:t>
      </w:r>
    </w:p>
    <w:p w:rsidR="009638EE" w:rsidRPr="00AC4AEA" w:rsidRDefault="009638EE" w:rsidP="00A318EA">
      <w:pPr>
        <w:pStyle w:val="Prrafodelista"/>
        <w:ind w:left="1559"/>
        <w:contextualSpacing w:val="0"/>
        <w:jc w:val="both"/>
        <w:rPr>
          <w:rFonts w:ascii="Arial" w:hAnsi="Arial" w:cs="Arial"/>
          <w:sz w:val="20"/>
          <w:szCs w:val="20"/>
        </w:rPr>
      </w:pPr>
    </w:p>
    <w:p w:rsidR="00DA4C2A" w:rsidRPr="00AC4AEA" w:rsidRDefault="00AA30F5" w:rsidP="00A318EA">
      <w:pPr>
        <w:pStyle w:val="Ttulo3"/>
      </w:pPr>
      <w:bookmarkStart w:id="727" w:name="_Toc139356828"/>
      <w:r w:rsidRPr="00AC4AEA">
        <w:t xml:space="preserve">Otras partidas o transacciones </w:t>
      </w:r>
      <w:r w:rsidR="00DA4C2A" w:rsidRPr="00AC4AEA">
        <w:t xml:space="preserve">que integran el patrimonio </w:t>
      </w:r>
      <w:r w:rsidRPr="00AC4AEA">
        <w:t>neto</w:t>
      </w:r>
      <w:bookmarkEnd w:id="727"/>
    </w:p>
    <w:p w:rsidR="00AA30F5" w:rsidRPr="00AC4AEA" w:rsidRDefault="00AA30F5" w:rsidP="00A318EA">
      <w:pPr>
        <w:pStyle w:val="Prrafodelista"/>
        <w:numPr>
          <w:ilvl w:val="0"/>
          <w:numId w:val="29"/>
        </w:numPr>
        <w:contextualSpacing w:val="0"/>
        <w:jc w:val="both"/>
        <w:rPr>
          <w:rFonts w:ascii="Arial" w:hAnsi="Arial" w:cs="Arial"/>
          <w:sz w:val="20"/>
          <w:szCs w:val="20"/>
        </w:rPr>
      </w:pPr>
      <w:bookmarkStart w:id="728" w:name="_Ref103965454"/>
      <w:r w:rsidRPr="00AC4AEA">
        <w:rPr>
          <w:rFonts w:ascii="Arial" w:hAnsi="Arial" w:cs="Arial"/>
          <w:sz w:val="20"/>
          <w:szCs w:val="20"/>
        </w:rPr>
        <w:t>Una entidad reconocerá en el momento de la aprobación por parte de asamblea de accionistas (u órgano equivalente) hechos tales como los siguientes:</w:t>
      </w:r>
      <w:bookmarkEnd w:id="728"/>
      <w:r w:rsidRPr="00AC4AEA">
        <w:rPr>
          <w:rFonts w:ascii="Arial" w:hAnsi="Arial" w:cs="Arial"/>
          <w:sz w:val="20"/>
          <w:szCs w:val="20"/>
        </w:rPr>
        <w:t xml:space="preserve"> </w:t>
      </w:r>
    </w:p>
    <w:p w:rsidR="00AA30F5" w:rsidRPr="00AC4AEA" w:rsidRDefault="00AA30F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Constitución de reservas.</w:t>
      </w:r>
    </w:p>
    <w:p w:rsidR="00AA30F5" w:rsidRPr="00AC4AEA" w:rsidRDefault="00AA30F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Desafectación de reservas.</w:t>
      </w:r>
    </w:p>
    <w:p w:rsidR="00AA30F5" w:rsidRPr="00AC4AEA" w:rsidRDefault="00AA30F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Distribución de utilidades a los accionistas o socios.</w:t>
      </w:r>
    </w:p>
    <w:p w:rsidR="00AA30F5" w:rsidRPr="00AC4AEA" w:rsidRDefault="00AA30F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Capitalización de resultados.</w:t>
      </w:r>
    </w:p>
    <w:p w:rsidR="00AA30F5" w:rsidRPr="00AC4AEA" w:rsidRDefault="00AA30F5"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Absorción de pérdidas.</w:t>
      </w:r>
    </w:p>
    <w:p w:rsidR="00DA4C2A" w:rsidRPr="00AC4AEA" w:rsidRDefault="00DA4C2A" w:rsidP="00A318EA">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lastRenderedPageBreak/>
        <w:t xml:space="preserve">Una entidad reconocerá cualquier otra partida distinta de las enunciadas en los párrafos </w:t>
      </w:r>
      <w:fldSimple w:instr=" REF _Ref103893149 \r \h  \* MERGEFORMAT ">
        <w:r w:rsidR="00D33A5D" w:rsidRPr="00D33A5D">
          <w:rPr>
            <w:rFonts w:ascii="Arial" w:hAnsi="Arial" w:cs="Arial"/>
            <w:sz w:val="20"/>
            <w:szCs w:val="20"/>
          </w:rPr>
          <w:t>503</w:t>
        </w:r>
      </w:fldSimple>
      <w:r w:rsidR="00622589" w:rsidRPr="00AC4AEA">
        <w:rPr>
          <w:rFonts w:ascii="Arial" w:hAnsi="Arial" w:cs="Arial"/>
          <w:sz w:val="20"/>
          <w:szCs w:val="20"/>
        </w:rPr>
        <w:t xml:space="preserve"> a </w:t>
      </w:r>
      <w:fldSimple w:instr=" REF _Ref103965454 \r \h  \* MERGEFORMAT ">
        <w:r w:rsidR="00D33A5D" w:rsidRPr="00D33A5D">
          <w:rPr>
            <w:rFonts w:ascii="Arial" w:hAnsi="Arial" w:cs="Arial"/>
            <w:sz w:val="20"/>
            <w:szCs w:val="20"/>
          </w:rPr>
          <w:t>507</w:t>
        </w:r>
      </w:fldSimple>
      <w:r w:rsidR="00AA30F5" w:rsidRPr="00AC4AEA">
        <w:rPr>
          <w:rFonts w:ascii="Arial" w:hAnsi="Arial" w:cs="Arial"/>
          <w:sz w:val="20"/>
          <w:szCs w:val="20"/>
        </w:rPr>
        <w:t xml:space="preserve"> </w:t>
      </w:r>
      <w:r w:rsidRPr="00AC4AEA">
        <w:rPr>
          <w:rFonts w:ascii="Arial" w:hAnsi="Arial" w:cs="Arial"/>
          <w:sz w:val="20"/>
          <w:szCs w:val="20"/>
        </w:rPr>
        <w:t xml:space="preserve">como </w:t>
      </w:r>
      <w:r w:rsidRPr="00AC4AEA">
        <w:rPr>
          <w:rFonts w:ascii="Arial" w:hAnsi="Arial" w:cs="Arial"/>
          <w:b/>
          <w:bCs/>
          <w:sz w:val="20"/>
          <w:szCs w:val="20"/>
        </w:rPr>
        <w:t>patrimonio neto</w:t>
      </w:r>
      <w:r w:rsidRPr="00AC4AEA">
        <w:rPr>
          <w:rFonts w:ascii="Arial" w:hAnsi="Arial" w:cs="Arial"/>
          <w:sz w:val="20"/>
          <w:szCs w:val="20"/>
        </w:rPr>
        <w:t>,</w:t>
      </w:r>
      <w:r w:rsidRPr="00AC4AEA">
        <w:rPr>
          <w:rFonts w:ascii="Arial" w:hAnsi="Arial" w:cs="Arial"/>
          <w:b/>
          <w:bCs/>
          <w:sz w:val="20"/>
          <w:szCs w:val="20"/>
        </w:rPr>
        <w:t xml:space="preserve"> </w:t>
      </w:r>
      <w:r w:rsidRPr="00AC4AEA">
        <w:rPr>
          <w:rFonts w:ascii="Arial" w:hAnsi="Arial" w:cs="Arial"/>
          <w:sz w:val="20"/>
          <w:szCs w:val="20"/>
        </w:rPr>
        <w:t xml:space="preserve">siempre que haya sido: </w:t>
      </w:r>
    </w:p>
    <w:p w:rsidR="00DA4C2A" w:rsidRPr="00AC4AEA" w:rsidRDefault="00DA4C2A" w:rsidP="00A318EA">
      <w:pPr>
        <w:pStyle w:val="Prrafodelista"/>
        <w:numPr>
          <w:ilvl w:val="0"/>
          <w:numId w:val="404"/>
        </w:numPr>
        <w:ind w:left="1560"/>
        <w:contextualSpacing w:val="0"/>
        <w:jc w:val="both"/>
        <w:rPr>
          <w:rFonts w:ascii="Arial" w:hAnsi="Arial" w:cs="Arial"/>
          <w:sz w:val="20"/>
          <w:szCs w:val="20"/>
        </w:rPr>
      </w:pPr>
      <w:r w:rsidRPr="00AC4AEA">
        <w:rPr>
          <w:rFonts w:ascii="Arial" w:hAnsi="Arial" w:cs="Arial"/>
          <w:sz w:val="20"/>
          <w:szCs w:val="20"/>
        </w:rPr>
        <w:t>efectivamente integrad</w:t>
      </w:r>
      <w:r w:rsidR="00622589" w:rsidRPr="00AC4AEA">
        <w:rPr>
          <w:rFonts w:ascii="Arial" w:hAnsi="Arial" w:cs="Arial"/>
          <w:sz w:val="20"/>
          <w:szCs w:val="20"/>
        </w:rPr>
        <w:t>a</w:t>
      </w:r>
      <w:r w:rsidRPr="00AC4AEA">
        <w:rPr>
          <w:rFonts w:ascii="Arial" w:hAnsi="Arial" w:cs="Arial"/>
          <w:sz w:val="20"/>
          <w:szCs w:val="20"/>
        </w:rPr>
        <w:t xml:space="preserve">; y </w:t>
      </w:r>
    </w:p>
    <w:p w:rsidR="00DA4C2A" w:rsidRPr="00AC4AEA" w:rsidRDefault="00DA4C2A" w:rsidP="00A318EA">
      <w:pPr>
        <w:pStyle w:val="Prrafodelista"/>
        <w:numPr>
          <w:ilvl w:val="0"/>
          <w:numId w:val="404"/>
        </w:numPr>
        <w:ind w:left="1559"/>
        <w:contextualSpacing w:val="0"/>
        <w:jc w:val="both"/>
        <w:rPr>
          <w:rFonts w:ascii="Arial" w:hAnsi="Arial" w:cs="Arial"/>
          <w:sz w:val="20"/>
          <w:szCs w:val="20"/>
        </w:rPr>
      </w:pPr>
      <w:r w:rsidRPr="00AC4AEA">
        <w:rPr>
          <w:rFonts w:ascii="Arial" w:hAnsi="Arial" w:cs="Arial"/>
          <w:sz w:val="20"/>
          <w:szCs w:val="20"/>
        </w:rPr>
        <w:t>aprobad</w:t>
      </w:r>
      <w:r w:rsidR="00622589" w:rsidRPr="00AC4AEA">
        <w:rPr>
          <w:rFonts w:ascii="Arial" w:hAnsi="Arial" w:cs="Arial"/>
          <w:sz w:val="20"/>
          <w:szCs w:val="20"/>
        </w:rPr>
        <w:t>a</w:t>
      </w:r>
      <w:r w:rsidRPr="00AC4AEA">
        <w:rPr>
          <w:rFonts w:ascii="Arial" w:hAnsi="Arial" w:cs="Arial"/>
          <w:sz w:val="20"/>
          <w:szCs w:val="20"/>
        </w:rPr>
        <w:t xml:space="preserve"> por la asamblea de accionistas (u órgano equivalente) de la entidad o por su órgano de administración ad-referéndum de ella.</w:t>
      </w:r>
    </w:p>
    <w:p w:rsidR="00AA30F5" w:rsidRPr="00AC4AEA" w:rsidRDefault="00AA30F5" w:rsidP="00A318EA">
      <w:pPr>
        <w:pStyle w:val="Prrafodelista"/>
        <w:numPr>
          <w:ilvl w:val="0"/>
          <w:numId w:val="29"/>
        </w:numPr>
        <w:ind w:left="992"/>
        <w:contextualSpacing w:val="0"/>
        <w:jc w:val="both"/>
        <w:rPr>
          <w:rFonts w:ascii="Arial" w:hAnsi="Arial" w:cs="Arial"/>
          <w:sz w:val="20"/>
          <w:szCs w:val="20"/>
        </w:rPr>
      </w:pPr>
      <w:bookmarkStart w:id="729" w:name="_Ref104371390"/>
      <w:r w:rsidRPr="00AC4AEA">
        <w:rPr>
          <w:rFonts w:ascii="Arial" w:hAnsi="Arial" w:cs="Arial"/>
          <w:sz w:val="20"/>
          <w:szCs w:val="20"/>
        </w:rPr>
        <w:t xml:space="preserve">Cuando los accionistas o socios condonan un crédito o </w:t>
      </w:r>
      <w:r w:rsidR="001A2717" w:rsidRPr="00AC4AEA">
        <w:rPr>
          <w:rFonts w:ascii="Arial" w:hAnsi="Arial" w:cs="Arial"/>
          <w:sz w:val="20"/>
          <w:szCs w:val="20"/>
        </w:rPr>
        <w:t>asumen</w:t>
      </w:r>
      <w:r w:rsidRPr="00AC4AEA">
        <w:rPr>
          <w:rFonts w:ascii="Arial" w:hAnsi="Arial" w:cs="Arial"/>
          <w:sz w:val="20"/>
          <w:szCs w:val="20"/>
        </w:rPr>
        <w:t xml:space="preserve"> una deuda de la entidad, esta reconocerá dicha transacción como una contribución de capital, una vez aprobada por los órganos societarios facultados para decidir sobre dicha materia.</w:t>
      </w:r>
      <w:bookmarkEnd w:id="729"/>
    </w:p>
    <w:p w:rsidR="00DA4C2A" w:rsidRPr="00AC4AEA" w:rsidRDefault="00AA30F5" w:rsidP="00A318EA">
      <w:pPr>
        <w:pStyle w:val="Prrafodelista"/>
        <w:numPr>
          <w:ilvl w:val="0"/>
          <w:numId w:val="29"/>
        </w:numPr>
        <w:ind w:left="992"/>
        <w:contextualSpacing w:val="0"/>
        <w:jc w:val="both"/>
        <w:rPr>
          <w:rFonts w:ascii="Arial" w:hAnsi="Arial" w:cs="Arial"/>
          <w:sz w:val="20"/>
          <w:szCs w:val="20"/>
        </w:rPr>
      </w:pPr>
      <w:bookmarkStart w:id="730" w:name="_Ref104371396"/>
      <w:r w:rsidRPr="00AC4AEA">
        <w:rPr>
          <w:rFonts w:ascii="Arial" w:hAnsi="Arial" w:cs="Arial"/>
          <w:sz w:val="20"/>
          <w:szCs w:val="20"/>
        </w:rPr>
        <w:t>Cuando condona o asume una deuda de sus accionistas o socios, una entidad reconocerá dicha transacción como una reducción de capital o una distribución de utilidades, de acuerdo a lo dispuesto por los órganos societarios facultados para aprobar dichas decisiones.</w:t>
      </w:r>
      <w:bookmarkEnd w:id="730"/>
    </w:p>
    <w:p w:rsidR="00AA30F5" w:rsidRPr="00AC4AEA" w:rsidRDefault="00AA30F5" w:rsidP="00A318EA">
      <w:pPr>
        <w:jc w:val="both"/>
        <w:rPr>
          <w:rFonts w:ascii="Arial" w:hAnsi="Arial" w:cs="Arial"/>
          <w:sz w:val="20"/>
          <w:szCs w:val="20"/>
        </w:rPr>
      </w:pPr>
    </w:p>
    <w:p w:rsidR="003F6556" w:rsidRPr="00AC4AEA" w:rsidRDefault="003F6556" w:rsidP="00A318EA">
      <w:pPr>
        <w:pStyle w:val="Ttulo2"/>
        <w:rPr>
          <w:rFonts w:cs="Arial"/>
        </w:rPr>
      </w:pPr>
      <w:bookmarkStart w:id="731" w:name="_Toc101863946"/>
      <w:bookmarkStart w:id="732" w:name="_Toc139356829"/>
      <w:r w:rsidRPr="00AC4AEA">
        <w:rPr>
          <w:rFonts w:cs="Arial"/>
        </w:rPr>
        <w:t>Medición inicial</w:t>
      </w:r>
      <w:bookmarkEnd w:id="731"/>
      <w:bookmarkEnd w:id="732"/>
    </w:p>
    <w:p w:rsidR="003F6556" w:rsidRPr="00AC4AEA" w:rsidRDefault="003F655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los aportes irrevocables a cuenta de </w:t>
      </w:r>
      <w:r w:rsidR="00303328" w:rsidRPr="00AC4AEA">
        <w:rPr>
          <w:rFonts w:ascii="Arial" w:hAnsi="Arial" w:cs="Arial"/>
          <w:sz w:val="20"/>
          <w:szCs w:val="20"/>
        </w:rPr>
        <w:t xml:space="preserve">futuros </w:t>
      </w:r>
      <w:r w:rsidRPr="00AC4AEA">
        <w:rPr>
          <w:rFonts w:ascii="Arial" w:hAnsi="Arial" w:cs="Arial"/>
          <w:sz w:val="20"/>
          <w:szCs w:val="20"/>
        </w:rPr>
        <w:t>aumentos de capital</w:t>
      </w:r>
      <w:r w:rsidR="0058662B" w:rsidRPr="00AC4AEA">
        <w:rPr>
          <w:rFonts w:ascii="Arial" w:hAnsi="Arial" w:cs="Arial"/>
          <w:sz w:val="20"/>
          <w:szCs w:val="20"/>
        </w:rPr>
        <w:t xml:space="preserve"> que integren el </w:t>
      </w:r>
      <w:r w:rsidR="0058662B" w:rsidRPr="00AC4AEA">
        <w:rPr>
          <w:rFonts w:ascii="Arial" w:hAnsi="Arial" w:cs="Arial"/>
          <w:b/>
          <w:bCs/>
          <w:sz w:val="20"/>
          <w:szCs w:val="20"/>
        </w:rPr>
        <w:t>patrimonio neto</w:t>
      </w:r>
      <w:r w:rsidRPr="00AC4AEA">
        <w:rPr>
          <w:rFonts w:ascii="Arial" w:hAnsi="Arial" w:cs="Arial"/>
          <w:sz w:val="20"/>
          <w:szCs w:val="20"/>
        </w:rPr>
        <w:t xml:space="preserve">, en el momento del reconocimiento, por un importe equivalente a la medición inicial de los </w:t>
      </w:r>
      <w:r w:rsidR="00497590" w:rsidRPr="00AC4AEA">
        <w:rPr>
          <w:rFonts w:ascii="Arial" w:hAnsi="Arial" w:cs="Arial"/>
          <w:sz w:val="20"/>
          <w:szCs w:val="20"/>
        </w:rPr>
        <w:t>activos</w:t>
      </w:r>
      <w:r w:rsidRPr="00AC4AEA">
        <w:rPr>
          <w:rFonts w:ascii="Arial" w:hAnsi="Arial" w:cs="Arial"/>
          <w:sz w:val="20"/>
          <w:szCs w:val="20"/>
        </w:rPr>
        <w:t xml:space="preserve"> aportados.</w:t>
      </w:r>
    </w:p>
    <w:p w:rsidR="003F6556" w:rsidRPr="00AC4AEA" w:rsidRDefault="003F6556" w:rsidP="00A318EA">
      <w:pPr>
        <w:pStyle w:val="Prrafodelista"/>
        <w:numPr>
          <w:ilvl w:val="0"/>
          <w:numId w:val="29"/>
        </w:numPr>
        <w:autoSpaceDE w:val="0"/>
        <w:autoSpaceDN w:val="0"/>
        <w:adjustRightInd w:val="0"/>
        <w:contextualSpacing w:val="0"/>
        <w:jc w:val="both"/>
        <w:rPr>
          <w:rFonts w:ascii="Arial" w:hAnsi="Arial" w:cs="Arial"/>
          <w:sz w:val="20"/>
          <w:szCs w:val="20"/>
        </w:rPr>
      </w:pPr>
      <w:r w:rsidRPr="00AC4AEA">
        <w:rPr>
          <w:rFonts w:ascii="Arial" w:hAnsi="Arial" w:cs="Arial"/>
          <w:sz w:val="20"/>
          <w:szCs w:val="20"/>
        </w:rPr>
        <w:t>Una entidad medirá las primas de emisión, en el momento del reconocimiento, por la diferencia entre</w:t>
      </w:r>
      <w:r w:rsidR="00567540" w:rsidRPr="00AC4AEA">
        <w:rPr>
          <w:rFonts w:ascii="Arial" w:hAnsi="Arial" w:cs="Arial"/>
          <w:sz w:val="20"/>
          <w:szCs w:val="20"/>
        </w:rPr>
        <w:t xml:space="preserve"> la medición</w:t>
      </w:r>
      <w:r w:rsidRPr="00AC4AEA">
        <w:rPr>
          <w:rFonts w:ascii="Arial" w:hAnsi="Arial" w:cs="Arial"/>
          <w:sz w:val="20"/>
          <w:szCs w:val="20"/>
        </w:rPr>
        <w:t xml:space="preserve"> </w:t>
      </w:r>
      <w:r w:rsidR="00567540" w:rsidRPr="00AC4AEA">
        <w:rPr>
          <w:rFonts w:ascii="Arial" w:hAnsi="Arial" w:cs="Arial"/>
          <w:sz w:val="20"/>
          <w:szCs w:val="20"/>
        </w:rPr>
        <w:t>d</w:t>
      </w:r>
      <w:r w:rsidRPr="00AC4AEA">
        <w:rPr>
          <w:rFonts w:ascii="Arial" w:hAnsi="Arial" w:cs="Arial"/>
          <w:sz w:val="20"/>
          <w:szCs w:val="20"/>
        </w:rPr>
        <w:t>el aporte total y el valor nominal del capital suscripto. </w:t>
      </w:r>
    </w:p>
    <w:p w:rsidR="003F6556" w:rsidRPr="00AC4AEA" w:rsidRDefault="003F655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el capital y los demás elementos integrantes de </w:t>
      </w:r>
      <w:r w:rsidRPr="00AC4AEA">
        <w:rPr>
          <w:rFonts w:ascii="Arial" w:hAnsi="Arial" w:cs="Arial"/>
          <w:b/>
          <w:bCs/>
          <w:sz w:val="20"/>
          <w:szCs w:val="20"/>
        </w:rPr>
        <w:t>patrimonio neto</w:t>
      </w:r>
      <w:r w:rsidRPr="00AC4AEA">
        <w:rPr>
          <w:rFonts w:ascii="Arial" w:hAnsi="Arial" w:cs="Arial"/>
          <w:sz w:val="20"/>
          <w:szCs w:val="20"/>
        </w:rPr>
        <w:t xml:space="preserve"> no comprendidos en los párrafos anteriores, en el momento del reconocimiento, por su valor nominal. </w:t>
      </w:r>
    </w:p>
    <w:p w:rsidR="003F6556" w:rsidRPr="00AC4AEA" w:rsidRDefault="003F6556" w:rsidP="00A318EA">
      <w:pPr>
        <w:jc w:val="both"/>
        <w:rPr>
          <w:rFonts w:ascii="Arial" w:hAnsi="Arial" w:cs="Arial"/>
          <w:b/>
          <w:bCs/>
          <w:sz w:val="20"/>
          <w:szCs w:val="20"/>
        </w:rPr>
      </w:pPr>
    </w:p>
    <w:p w:rsidR="003F6556" w:rsidRPr="00AC4AEA" w:rsidRDefault="003F6556" w:rsidP="00A318EA">
      <w:pPr>
        <w:pStyle w:val="Ttulo2"/>
        <w:rPr>
          <w:rFonts w:cs="Arial"/>
        </w:rPr>
      </w:pPr>
      <w:bookmarkStart w:id="733" w:name="_Toc101863947"/>
      <w:bookmarkStart w:id="734" w:name="_Toc139356830"/>
      <w:r w:rsidRPr="00AC4AEA">
        <w:rPr>
          <w:rFonts w:cs="Arial"/>
        </w:rPr>
        <w:t>Medición posterior</w:t>
      </w:r>
      <w:bookmarkEnd w:id="733"/>
      <w:bookmarkEnd w:id="734"/>
      <w:r w:rsidRPr="00AC4AEA">
        <w:rPr>
          <w:rFonts w:cs="Arial"/>
        </w:rPr>
        <w:t xml:space="preserve"> </w:t>
      </w:r>
    </w:p>
    <w:p w:rsidR="003F6556" w:rsidRPr="00AC4AEA" w:rsidRDefault="003F6556" w:rsidP="00A318EA">
      <w:pPr>
        <w:pStyle w:val="Prrafodelista"/>
        <w:numPr>
          <w:ilvl w:val="0"/>
          <w:numId w:val="29"/>
        </w:numPr>
        <w:contextualSpacing w:val="0"/>
        <w:jc w:val="both"/>
        <w:rPr>
          <w:rFonts w:ascii="Arial" w:hAnsi="Arial" w:cs="Arial"/>
          <w:sz w:val="20"/>
          <w:szCs w:val="20"/>
        </w:rPr>
      </w:pPr>
      <w:bookmarkStart w:id="735" w:name="_Ref105073690"/>
      <w:r w:rsidRPr="00AC4AEA">
        <w:rPr>
          <w:rFonts w:ascii="Arial" w:hAnsi="Arial" w:cs="Arial"/>
          <w:sz w:val="20"/>
          <w:szCs w:val="20"/>
        </w:rPr>
        <w:t xml:space="preserve">Una entidad medirá sus elementos integrantes del </w:t>
      </w:r>
      <w:r w:rsidRPr="00AC4AEA">
        <w:rPr>
          <w:rFonts w:ascii="Arial" w:hAnsi="Arial" w:cs="Arial"/>
          <w:b/>
          <w:bCs/>
          <w:sz w:val="20"/>
          <w:szCs w:val="20"/>
        </w:rPr>
        <w:t>patrimonio</w:t>
      </w:r>
      <w:r w:rsidR="00AD52E4" w:rsidRPr="00AC4AEA">
        <w:rPr>
          <w:rFonts w:ascii="Arial" w:hAnsi="Arial" w:cs="Arial"/>
          <w:b/>
          <w:bCs/>
          <w:sz w:val="20"/>
          <w:szCs w:val="20"/>
        </w:rPr>
        <w:t xml:space="preserve"> neto</w:t>
      </w:r>
      <w:r w:rsidRPr="00AC4AEA">
        <w:rPr>
          <w:rFonts w:ascii="Arial" w:hAnsi="Arial" w:cs="Arial"/>
          <w:sz w:val="20"/>
          <w:szCs w:val="20"/>
        </w:rPr>
        <w:t xml:space="preserve"> usando el mismo criterio empleado para la medición inicial.</w:t>
      </w:r>
      <w:bookmarkEnd w:id="735"/>
    </w:p>
    <w:p w:rsidR="003F6556" w:rsidRPr="00AC4AEA" w:rsidRDefault="003F6556" w:rsidP="00A318EA">
      <w:pPr>
        <w:pStyle w:val="A-Normal11"/>
        <w:jc w:val="both"/>
        <w:rPr>
          <w:rFonts w:ascii="Arial" w:hAnsi="Arial" w:cs="Arial"/>
          <w:sz w:val="20"/>
        </w:rPr>
      </w:pPr>
    </w:p>
    <w:p w:rsidR="003F6556" w:rsidRPr="00AC4AEA" w:rsidRDefault="003F6556" w:rsidP="00A318EA">
      <w:pPr>
        <w:pStyle w:val="Ttulo2"/>
        <w:rPr>
          <w:rFonts w:cs="Arial"/>
        </w:rPr>
      </w:pPr>
      <w:bookmarkStart w:id="736" w:name="_Toc101863948"/>
      <w:bookmarkStart w:id="737" w:name="_Toc139356831"/>
      <w:r w:rsidRPr="00AC4AEA">
        <w:rPr>
          <w:rFonts w:cs="Arial"/>
        </w:rPr>
        <w:t xml:space="preserve">Presentación en los </w:t>
      </w:r>
      <w:r w:rsidR="00135084" w:rsidRPr="00AC4AEA">
        <w:rPr>
          <w:rFonts w:cs="Arial"/>
          <w:bCs/>
        </w:rPr>
        <w:t>estados contables</w:t>
      </w:r>
      <w:bookmarkEnd w:id="736"/>
      <w:bookmarkEnd w:id="737"/>
    </w:p>
    <w:p w:rsidR="00A72467" w:rsidRPr="00AC4AEA" w:rsidRDefault="003F655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w:t>
      </w:r>
      <w:r w:rsidR="00A72467" w:rsidRPr="00AC4AEA">
        <w:rPr>
          <w:rFonts w:ascii="Arial" w:hAnsi="Arial" w:cs="Arial"/>
          <w:sz w:val="20"/>
          <w:szCs w:val="20"/>
        </w:rPr>
        <w:t>:</w:t>
      </w:r>
      <w:r w:rsidRPr="00AC4AEA">
        <w:rPr>
          <w:rFonts w:ascii="Arial" w:hAnsi="Arial" w:cs="Arial"/>
          <w:sz w:val="20"/>
          <w:szCs w:val="20"/>
        </w:rPr>
        <w:t xml:space="preserve"> </w:t>
      </w:r>
    </w:p>
    <w:p w:rsidR="00A72467" w:rsidRPr="00AC4AEA" w:rsidRDefault="00815D75" w:rsidP="00A318EA">
      <w:pPr>
        <w:pStyle w:val="Prrafodelista"/>
        <w:numPr>
          <w:ilvl w:val="0"/>
          <w:numId w:val="137"/>
        </w:numPr>
        <w:ind w:left="1560"/>
        <w:contextualSpacing w:val="0"/>
        <w:jc w:val="both"/>
        <w:rPr>
          <w:rFonts w:ascii="Arial" w:hAnsi="Arial" w:cs="Arial"/>
          <w:sz w:val="20"/>
          <w:szCs w:val="20"/>
        </w:rPr>
      </w:pPr>
      <w:r w:rsidRPr="00AC4AEA">
        <w:rPr>
          <w:rFonts w:ascii="Arial" w:hAnsi="Arial" w:cs="Arial"/>
          <w:sz w:val="20"/>
          <w:szCs w:val="20"/>
        </w:rPr>
        <w:t>e</w:t>
      </w:r>
      <w:r w:rsidR="00A72467" w:rsidRPr="00AC4AEA">
        <w:rPr>
          <w:rFonts w:ascii="Arial" w:hAnsi="Arial" w:cs="Arial"/>
          <w:sz w:val="20"/>
          <w:szCs w:val="20"/>
        </w:rPr>
        <w:t xml:space="preserve">xpondrá el </w:t>
      </w:r>
      <w:r w:rsidR="003F6556" w:rsidRPr="00AC4AEA">
        <w:rPr>
          <w:rFonts w:ascii="Arial" w:hAnsi="Arial" w:cs="Arial"/>
          <w:sz w:val="20"/>
          <w:szCs w:val="20"/>
        </w:rPr>
        <w:t xml:space="preserve">total del </w:t>
      </w:r>
      <w:r w:rsidR="003F6556" w:rsidRPr="00AC4AEA">
        <w:rPr>
          <w:rFonts w:ascii="Arial" w:hAnsi="Arial" w:cs="Arial"/>
          <w:b/>
          <w:bCs/>
          <w:sz w:val="20"/>
          <w:szCs w:val="20"/>
        </w:rPr>
        <w:t>patrimonio neto</w:t>
      </w:r>
      <w:r w:rsidR="003F6556" w:rsidRPr="00AC4AEA">
        <w:rPr>
          <w:rFonts w:ascii="Arial" w:hAnsi="Arial" w:cs="Arial"/>
          <w:sz w:val="20"/>
          <w:szCs w:val="20"/>
        </w:rPr>
        <w:t xml:space="preserve"> en una línea </w:t>
      </w:r>
      <w:r w:rsidR="003639B1" w:rsidRPr="00AC4AEA">
        <w:rPr>
          <w:rFonts w:ascii="Arial" w:hAnsi="Arial" w:cs="Arial"/>
          <w:sz w:val="20"/>
          <w:szCs w:val="20"/>
        </w:rPr>
        <w:t>dentro del estado de situación patrimonial</w:t>
      </w:r>
      <w:r w:rsidR="00A72467" w:rsidRPr="00AC4AEA">
        <w:rPr>
          <w:rFonts w:ascii="Arial" w:hAnsi="Arial" w:cs="Arial"/>
          <w:sz w:val="20"/>
          <w:szCs w:val="20"/>
        </w:rPr>
        <w:t>;</w:t>
      </w:r>
      <w:r w:rsidR="003639B1" w:rsidRPr="00AC4AEA">
        <w:rPr>
          <w:rFonts w:ascii="Arial" w:hAnsi="Arial" w:cs="Arial"/>
          <w:sz w:val="20"/>
          <w:szCs w:val="20"/>
        </w:rPr>
        <w:t xml:space="preserve"> </w:t>
      </w:r>
    </w:p>
    <w:p w:rsidR="003F6556" w:rsidRPr="00AC4AEA" w:rsidRDefault="00815D75" w:rsidP="00A318EA">
      <w:pPr>
        <w:pStyle w:val="Prrafodelista"/>
        <w:numPr>
          <w:ilvl w:val="0"/>
          <w:numId w:val="137"/>
        </w:numPr>
        <w:ind w:left="1560"/>
        <w:contextualSpacing w:val="0"/>
        <w:jc w:val="both"/>
        <w:rPr>
          <w:rFonts w:ascii="Arial" w:hAnsi="Arial" w:cs="Arial"/>
          <w:sz w:val="20"/>
          <w:szCs w:val="20"/>
        </w:rPr>
      </w:pPr>
      <w:r w:rsidRPr="00AC4AEA">
        <w:rPr>
          <w:rFonts w:ascii="Arial" w:hAnsi="Arial" w:cs="Arial"/>
          <w:sz w:val="20"/>
          <w:szCs w:val="20"/>
        </w:rPr>
        <w:t>c</w:t>
      </w:r>
      <w:r w:rsidR="00A72467" w:rsidRPr="00AC4AEA">
        <w:rPr>
          <w:rFonts w:ascii="Arial" w:hAnsi="Arial" w:cs="Arial"/>
          <w:sz w:val="20"/>
          <w:szCs w:val="20"/>
        </w:rPr>
        <w:t xml:space="preserve">onsignará </w:t>
      </w:r>
      <w:r w:rsidR="002473DF" w:rsidRPr="00AC4AEA">
        <w:rPr>
          <w:rFonts w:ascii="Arial" w:hAnsi="Arial" w:cs="Arial"/>
          <w:sz w:val="20"/>
          <w:szCs w:val="20"/>
        </w:rPr>
        <w:t xml:space="preserve">en dicho estado </w:t>
      </w:r>
      <w:r w:rsidR="009207F6" w:rsidRPr="00AC4AEA">
        <w:rPr>
          <w:rFonts w:ascii="Arial" w:hAnsi="Arial" w:cs="Arial"/>
          <w:sz w:val="20"/>
          <w:szCs w:val="20"/>
        </w:rPr>
        <w:t>una referencia</w:t>
      </w:r>
      <w:r w:rsidR="003F6556" w:rsidRPr="00AC4AEA">
        <w:rPr>
          <w:rFonts w:ascii="Arial" w:hAnsi="Arial" w:cs="Arial"/>
          <w:sz w:val="20"/>
          <w:szCs w:val="20"/>
        </w:rPr>
        <w:t xml:space="preserve"> al estado de evolución del </w:t>
      </w:r>
      <w:r w:rsidR="003F6556" w:rsidRPr="00AC4AEA">
        <w:rPr>
          <w:rFonts w:ascii="Arial" w:hAnsi="Arial" w:cs="Arial"/>
          <w:b/>
          <w:bCs/>
          <w:sz w:val="20"/>
          <w:szCs w:val="20"/>
        </w:rPr>
        <w:t>patrimonio neto</w:t>
      </w:r>
      <w:r w:rsidR="00B32FF3" w:rsidRPr="00AC4AEA">
        <w:rPr>
          <w:rFonts w:ascii="Arial" w:hAnsi="Arial" w:cs="Arial"/>
          <w:sz w:val="20"/>
          <w:szCs w:val="20"/>
        </w:rPr>
        <w:t>;</w:t>
      </w:r>
      <w:r w:rsidR="00A72467" w:rsidRPr="00AC4AEA">
        <w:rPr>
          <w:rFonts w:ascii="Arial" w:hAnsi="Arial" w:cs="Arial"/>
          <w:sz w:val="20"/>
          <w:szCs w:val="20"/>
        </w:rPr>
        <w:t xml:space="preserve"> y</w:t>
      </w:r>
    </w:p>
    <w:p w:rsidR="00A72467" w:rsidRPr="00AC4AEA" w:rsidRDefault="00815D75" w:rsidP="00A318EA">
      <w:pPr>
        <w:pStyle w:val="Prrafodelista"/>
        <w:numPr>
          <w:ilvl w:val="0"/>
          <w:numId w:val="137"/>
        </w:numPr>
        <w:ind w:left="1560"/>
        <w:contextualSpacing w:val="0"/>
        <w:jc w:val="both"/>
        <w:rPr>
          <w:rFonts w:ascii="Arial" w:hAnsi="Arial" w:cs="Arial"/>
          <w:sz w:val="20"/>
          <w:szCs w:val="20"/>
        </w:rPr>
      </w:pPr>
      <w:r w:rsidRPr="00AC4AEA">
        <w:rPr>
          <w:rFonts w:ascii="Arial" w:hAnsi="Arial" w:cs="Arial"/>
          <w:sz w:val="20"/>
          <w:szCs w:val="20"/>
        </w:rPr>
        <w:lastRenderedPageBreak/>
        <w:t>p</w:t>
      </w:r>
      <w:r w:rsidR="00A72467" w:rsidRPr="00AC4AEA">
        <w:rPr>
          <w:rFonts w:ascii="Arial" w:hAnsi="Arial" w:cs="Arial"/>
          <w:sz w:val="20"/>
          <w:szCs w:val="20"/>
        </w:rPr>
        <w:t xml:space="preserve">resentará el saldo inicial de sus componentes, las variaciones del </w:t>
      </w:r>
      <w:r w:rsidR="00DC71D2" w:rsidRPr="00AC4AEA">
        <w:rPr>
          <w:rFonts w:ascii="Arial" w:hAnsi="Arial" w:cs="Arial"/>
          <w:sz w:val="20"/>
          <w:szCs w:val="20"/>
        </w:rPr>
        <w:t>período</w:t>
      </w:r>
      <w:r w:rsidR="00A72467" w:rsidRPr="00AC4AEA">
        <w:rPr>
          <w:rFonts w:ascii="Arial" w:hAnsi="Arial" w:cs="Arial"/>
          <w:sz w:val="20"/>
          <w:szCs w:val="20"/>
        </w:rPr>
        <w:t xml:space="preserve"> y el saldo final en el estado de evolución del patrimonio neto.</w:t>
      </w:r>
    </w:p>
    <w:p w:rsidR="003639B1" w:rsidRPr="00AC4AEA" w:rsidRDefault="003F655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el estado de evolución del patrimonio neto, una entidad clasificará las partidas integrantes del </w:t>
      </w:r>
      <w:r w:rsidRPr="00AC4AEA">
        <w:rPr>
          <w:rFonts w:ascii="Arial" w:hAnsi="Arial" w:cs="Arial"/>
          <w:b/>
          <w:bCs/>
          <w:sz w:val="20"/>
          <w:szCs w:val="20"/>
        </w:rPr>
        <w:t>patrimonio neto</w:t>
      </w:r>
      <w:r w:rsidRPr="00AC4AEA">
        <w:rPr>
          <w:rFonts w:ascii="Arial" w:hAnsi="Arial" w:cs="Arial"/>
          <w:sz w:val="20"/>
          <w:szCs w:val="20"/>
        </w:rPr>
        <w:t xml:space="preserve"> de acuerdo con su origen</w:t>
      </w:r>
      <w:r w:rsidR="00125AF6" w:rsidRPr="00AC4AEA">
        <w:rPr>
          <w:rFonts w:ascii="Arial" w:hAnsi="Arial" w:cs="Arial"/>
          <w:sz w:val="20"/>
          <w:szCs w:val="20"/>
        </w:rPr>
        <w:t xml:space="preserve"> del siguiente modo</w:t>
      </w:r>
      <w:r w:rsidRPr="00AC4AEA">
        <w:rPr>
          <w:rFonts w:ascii="Arial" w:hAnsi="Arial" w:cs="Arial"/>
          <w:sz w:val="20"/>
          <w:szCs w:val="20"/>
        </w:rPr>
        <w:t xml:space="preserve">: </w:t>
      </w:r>
    </w:p>
    <w:p w:rsidR="003639B1" w:rsidRPr="00AC4AEA" w:rsidRDefault="00815D75" w:rsidP="00A318EA">
      <w:pPr>
        <w:pStyle w:val="Prrafodelista"/>
        <w:numPr>
          <w:ilvl w:val="0"/>
          <w:numId w:val="138"/>
        </w:numPr>
        <w:ind w:left="1560"/>
        <w:contextualSpacing w:val="0"/>
        <w:jc w:val="both"/>
        <w:rPr>
          <w:rFonts w:ascii="Arial" w:hAnsi="Arial" w:cs="Arial"/>
          <w:sz w:val="20"/>
          <w:szCs w:val="20"/>
        </w:rPr>
      </w:pPr>
      <w:r w:rsidRPr="00AC4AEA">
        <w:rPr>
          <w:rFonts w:ascii="Arial" w:hAnsi="Arial" w:cs="Arial"/>
          <w:sz w:val="20"/>
          <w:szCs w:val="20"/>
        </w:rPr>
        <w:t>a</w:t>
      </w:r>
      <w:r w:rsidR="003639B1" w:rsidRPr="00AC4AEA">
        <w:rPr>
          <w:rFonts w:ascii="Arial" w:hAnsi="Arial" w:cs="Arial"/>
          <w:sz w:val="20"/>
          <w:szCs w:val="20"/>
        </w:rPr>
        <w:t xml:space="preserve">portes </w:t>
      </w:r>
      <w:r w:rsidR="003F6556" w:rsidRPr="00AC4AEA">
        <w:rPr>
          <w:rFonts w:ascii="Arial" w:hAnsi="Arial" w:cs="Arial"/>
          <w:sz w:val="20"/>
          <w:szCs w:val="20"/>
        </w:rPr>
        <w:t>de los propietarios</w:t>
      </w:r>
      <w:r w:rsidR="00B32FF3" w:rsidRPr="00AC4AEA">
        <w:rPr>
          <w:rFonts w:ascii="Arial" w:hAnsi="Arial" w:cs="Arial"/>
          <w:sz w:val="20"/>
          <w:szCs w:val="20"/>
        </w:rPr>
        <w:t>;</w:t>
      </w:r>
      <w:r w:rsidR="003F6556" w:rsidRPr="00AC4AEA">
        <w:rPr>
          <w:rFonts w:ascii="Arial" w:hAnsi="Arial" w:cs="Arial"/>
          <w:sz w:val="20"/>
          <w:szCs w:val="20"/>
        </w:rPr>
        <w:t xml:space="preserve"> y </w:t>
      </w:r>
    </w:p>
    <w:p w:rsidR="00375C8D" w:rsidRPr="00AC4AEA" w:rsidRDefault="00375C8D" w:rsidP="00A318EA">
      <w:pPr>
        <w:pStyle w:val="Prrafodelista"/>
        <w:numPr>
          <w:ilvl w:val="0"/>
          <w:numId w:val="138"/>
        </w:numPr>
        <w:ind w:left="1560"/>
        <w:contextualSpacing w:val="0"/>
        <w:jc w:val="both"/>
        <w:rPr>
          <w:rFonts w:ascii="Arial" w:hAnsi="Arial" w:cs="Arial"/>
          <w:sz w:val="20"/>
          <w:szCs w:val="20"/>
        </w:rPr>
      </w:pPr>
      <w:r w:rsidRPr="00AC4AEA">
        <w:rPr>
          <w:rFonts w:ascii="Arial" w:hAnsi="Arial" w:cs="Arial"/>
          <w:sz w:val="20"/>
          <w:szCs w:val="20"/>
        </w:rPr>
        <w:t>los resultados acumulados, distinguiendo entre:</w:t>
      </w:r>
    </w:p>
    <w:p w:rsidR="00375C8D" w:rsidRPr="00AC4AEA" w:rsidRDefault="00375C8D" w:rsidP="00A318EA">
      <w:pPr>
        <w:pStyle w:val="Prrafodelista"/>
        <w:numPr>
          <w:ilvl w:val="0"/>
          <w:numId w:val="194"/>
        </w:numPr>
        <w:ind w:left="1985"/>
        <w:contextualSpacing w:val="0"/>
        <w:jc w:val="both"/>
        <w:rPr>
          <w:rFonts w:ascii="Arial" w:hAnsi="Arial" w:cs="Arial"/>
          <w:sz w:val="20"/>
          <w:szCs w:val="20"/>
        </w:rPr>
      </w:pPr>
      <w:r w:rsidRPr="00AC4AEA">
        <w:rPr>
          <w:rFonts w:ascii="Arial" w:hAnsi="Arial" w:cs="Arial"/>
          <w:sz w:val="20"/>
          <w:szCs w:val="20"/>
        </w:rPr>
        <w:t>los resultados no asignados; y</w:t>
      </w:r>
    </w:p>
    <w:p w:rsidR="00375C8D" w:rsidRPr="00AC4AEA" w:rsidRDefault="00375C8D" w:rsidP="00A318EA">
      <w:pPr>
        <w:pStyle w:val="Prrafodelista"/>
        <w:numPr>
          <w:ilvl w:val="0"/>
          <w:numId w:val="194"/>
        </w:numPr>
        <w:ind w:left="1985"/>
        <w:contextualSpacing w:val="0"/>
        <w:jc w:val="both"/>
        <w:rPr>
          <w:rFonts w:ascii="Arial" w:hAnsi="Arial" w:cs="Arial"/>
          <w:sz w:val="20"/>
          <w:szCs w:val="20"/>
        </w:rPr>
      </w:pPr>
      <w:r w:rsidRPr="00AC4AEA">
        <w:rPr>
          <w:rFonts w:ascii="Arial" w:hAnsi="Arial" w:cs="Arial"/>
          <w:sz w:val="20"/>
          <w:szCs w:val="20"/>
        </w:rPr>
        <w:t>los resultados cuya distribución se encuentre restringida por normas legales, contractuales o decisiones de la entidad (ganancias reservadas);</w:t>
      </w:r>
    </w:p>
    <w:p w:rsidR="003F6556" w:rsidRPr="00AC4AEA" w:rsidRDefault="00375C8D" w:rsidP="00A318EA">
      <w:pPr>
        <w:pStyle w:val="Prrafodelista"/>
        <w:numPr>
          <w:ilvl w:val="0"/>
          <w:numId w:val="138"/>
        </w:numPr>
        <w:ind w:left="1560"/>
        <w:contextualSpacing w:val="0"/>
        <w:jc w:val="both"/>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resultados diferidos acumulados</w:t>
      </w:r>
      <w:r w:rsidR="003F6556" w:rsidRPr="00AC4AEA">
        <w:rPr>
          <w:rFonts w:ascii="Arial" w:hAnsi="Arial" w:cs="Arial"/>
          <w:sz w:val="20"/>
          <w:szCs w:val="20"/>
        </w:rPr>
        <w:t>.</w:t>
      </w:r>
    </w:p>
    <w:p w:rsidR="003639B1" w:rsidRPr="00AC4AEA" w:rsidRDefault="003F655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3639B1" w:rsidRPr="00AC4AEA">
        <w:rPr>
          <w:rFonts w:ascii="Arial" w:hAnsi="Arial" w:cs="Arial"/>
          <w:sz w:val="20"/>
          <w:szCs w:val="20"/>
        </w:rPr>
        <w:t>discriminará, en el estado de evolución del patrimonio neto:</w:t>
      </w:r>
    </w:p>
    <w:p w:rsidR="003639B1" w:rsidRPr="00AC4AEA" w:rsidRDefault="00815D75" w:rsidP="00A318EA">
      <w:pPr>
        <w:pStyle w:val="Prrafodelista"/>
        <w:numPr>
          <w:ilvl w:val="0"/>
          <w:numId w:val="139"/>
        </w:numPr>
        <w:ind w:left="1560"/>
        <w:contextualSpacing w:val="0"/>
        <w:jc w:val="both"/>
        <w:rPr>
          <w:rFonts w:ascii="Arial" w:hAnsi="Arial" w:cs="Arial"/>
          <w:sz w:val="20"/>
          <w:szCs w:val="20"/>
        </w:rPr>
      </w:pPr>
      <w:r w:rsidRPr="00AC4AEA">
        <w:rPr>
          <w:rFonts w:ascii="Arial" w:hAnsi="Arial" w:cs="Arial"/>
          <w:sz w:val="20"/>
          <w:szCs w:val="20"/>
        </w:rPr>
        <w:t>e</w:t>
      </w:r>
      <w:r w:rsidR="003639B1" w:rsidRPr="00AC4AEA">
        <w:rPr>
          <w:rFonts w:ascii="Arial" w:hAnsi="Arial" w:cs="Arial"/>
          <w:sz w:val="20"/>
          <w:szCs w:val="20"/>
        </w:rPr>
        <w:t xml:space="preserve">l </w:t>
      </w:r>
      <w:r w:rsidR="003F6556" w:rsidRPr="00AC4AEA">
        <w:rPr>
          <w:rFonts w:ascii="Arial" w:hAnsi="Arial" w:cs="Arial"/>
          <w:sz w:val="20"/>
          <w:szCs w:val="20"/>
        </w:rPr>
        <w:t>valor nominal del capital</w:t>
      </w:r>
      <w:r w:rsidR="00B32FF3" w:rsidRPr="00AC4AEA">
        <w:rPr>
          <w:rFonts w:ascii="Arial" w:hAnsi="Arial" w:cs="Arial"/>
          <w:sz w:val="20"/>
          <w:szCs w:val="20"/>
        </w:rPr>
        <w:t>;</w:t>
      </w:r>
      <w:r w:rsidR="003F6556" w:rsidRPr="00AC4AEA">
        <w:rPr>
          <w:rFonts w:ascii="Arial" w:hAnsi="Arial" w:cs="Arial"/>
          <w:sz w:val="20"/>
          <w:szCs w:val="20"/>
        </w:rPr>
        <w:t xml:space="preserve"> </w:t>
      </w:r>
      <w:r w:rsidR="003639B1" w:rsidRPr="00AC4AEA">
        <w:rPr>
          <w:rFonts w:ascii="Arial" w:hAnsi="Arial" w:cs="Arial"/>
          <w:sz w:val="20"/>
          <w:szCs w:val="20"/>
        </w:rPr>
        <w:t>y</w:t>
      </w:r>
    </w:p>
    <w:p w:rsidR="003F6556" w:rsidRPr="00AC4AEA" w:rsidRDefault="00A45934" w:rsidP="00A318EA">
      <w:pPr>
        <w:pStyle w:val="Prrafodelista"/>
        <w:numPr>
          <w:ilvl w:val="0"/>
          <w:numId w:val="139"/>
        </w:numPr>
        <w:ind w:left="1560"/>
        <w:contextualSpacing w:val="0"/>
        <w:jc w:val="both"/>
        <w:rPr>
          <w:rFonts w:ascii="Arial" w:hAnsi="Arial" w:cs="Arial"/>
          <w:sz w:val="20"/>
          <w:szCs w:val="20"/>
        </w:rPr>
      </w:pPr>
      <w:r w:rsidRPr="00AC4AEA">
        <w:rPr>
          <w:rFonts w:ascii="Arial" w:hAnsi="Arial" w:cs="Arial"/>
          <w:sz w:val="20"/>
          <w:szCs w:val="20"/>
        </w:rPr>
        <w:t>e</w:t>
      </w:r>
      <w:r w:rsidR="003639B1" w:rsidRPr="00AC4AEA">
        <w:rPr>
          <w:rFonts w:ascii="Arial" w:hAnsi="Arial" w:cs="Arial"/>
          <w:sz w:val="20"/>
          <w:szCs w:val="20"/>
        </w:rPr>
        <w:t>l</w:t>
      </w:r>
      <w:r w:rsidR="003F6556" w:rsidRPr="00AC4AEA">
        <w:rPr>
          <w:rFonts w:ascii="Arial" w:hAnsi="Arial" w:cs="Arial"/>
          <w:sz w:val="20"/>
          <w:szCs w:val="20"/>
        </w:rPr>
        <w:t xml:space="preserve"> ajuste</w:t>
      </w:r>
      <w:r w:rsidR="003639B1" w:rsidRPr="00AC4AEA">
        <w:rPr>
          <w:rFonts w:ascii="Arial" w:hAnsi="Arial" w:cs="Arial"/>
          <w:sz w:val="20"/>
          <w:szCs w:val="20"/>
        </w:rPr>
        <w:t xml:space="preserve"> </w:t>
      </w:r>
      <w:r w:rsidR="00362EA2" w:rsidRPr="00AC4AEA">
        <w:rPr>
          <w:rFonts w:ascii="Arial" w:hAnsi="Arial" w:cs="Arial"/>
          <w:sz w:val="20"/>
          <w:szCs w:val="20"/>
        </w:rPr>
        <w:t xml:space="preserve">sobre el valor nominal del capital </w:t>
      </w:r>
      <w:r w:rsidR="003F6556" w:rsidRPr="00AC4AEA">
        <w:rPr>
          <w:rFonts w:ascii="Arial" w:hAnsi="Arial" w:cs="Arial"/>
          <w:sz w:val="20"/>
          <w:szCs w:val="20"/>
        </w:rPr>
        <w:t xml:space="preserve">para </w:t>
      </w:r>
      <w:r w:rsidR="003639B1" w:rsidRPr="00AC4AEA">
        <w:rPr>
          <w:rFonts w:ascii="Arial" w:hAnsi="Arial" w:cs="Arial"/>
          <w:sz w:val="20"/>
          <w:szCs w:val="20"/>
        </w:rPr>
        <w:t xml:space="preserve">expresar los </w:t>
      </w:r>
      <w:r w:rsidR="00135084" w:rsidRPr="00AC4AEA">
        <w:rPr>
          <w:rFonts w:ascii="Arial" w:hAnsi="Arial" w:cs="Arial"/>
          <w:b/>
          <w:bCs/>
          <w:sz w:val="20"/>
          <w:szCs w:val="20"/>
        </w:rPr>
        <w:t>estados contables</w:t>
      </w:r>
      <w:r w:rsidR="003639B1" w:rsidRPr="00AC4AEA">
        <w:rPr>
          <w:rFonts w:ascii="Arial" w:hAnsi="Arial" w:cs="Arial"/>
          <w:sz w:val="20"/>
          <w:szCs w:val="20"/>
        </w:rPr>
        <w:t xml:space="preserve"> en moneda homogénea.</w:t>
      </w:r>
    </w:p>
    <w:p w:rsidR="003F6556" w:rsidRPr="00AC4AEA" w:rsidRDefault="003F6556" w:rsidP="00A318EA">
      <w:pPr>
        <w:autoSpaceDE w:val="0"/>
        <w:autoSpaceDN w:val="0"/>
        <w:adjustRightInd w:val="0"/>
        <w:jc w:val="both"/>
        <w:rPr>
          <w:rFonts w:ascii="Arial" w:hAnsi="Arial" w:cs="Arial"/>
          <w:sz w:val="20"/>
          <w:szCs w:val="20"/>
        </w:rPr>
      </w:pPr>
    </w:p>
    <w:p w:rsidR="003F6556" w:rsidRPr="00AC4AEA" w:rsidRDefault="003F6556" w:rsidP="00A318EA">
      <w:pPr>
        <w:pStyle w:val="Ttulo2"/>
        <w:rPr>
          <w:rFonts w:cs="Arial"/>
        </w:rPr>
      </w:pPr>
      <w:bookmarkStart w:id="738" w:name="_Toc101863949"/>
      <w:bookmarkStart w:id="739" w:name="_Toc139356832"/>
      <w:r w:rsidRPr="00AC4AEA">
        <w:rPr>
          <w:rFonts w:cs="Arial"/>
        </w:rPr>
        <w:t>Revelación en notas</w:t>
      </w:r>
      <w:bookmarkEnd w:id="738"/>
      <w:bookmarkEnd w:id="739"/>
    </w:p>
    <w:p w:rsidR="00EC24B0" w:rsidRPr="00AC4AEA" w:rsidRDefault="008E047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revelará</w:t>
      </w:r>
      <w:r w:rsidR="00F050A5" w:rsidRPr="00AC4AEA">
        <w:rPr>
          <w:rFonts w:ascii="Arial" w:hAnsi="Arial" w:cs="Arial"/>
          <w:sz w:val="20"/>
          <w:szCs w:val="20"/>
        </w:rPr>
        <w:t xml:space="preserve"> </w:t>
      </w:r>
      <w:r w:rsidR="00AA30F5" w:rsidRPr="00AC4AEA">
        <w:rPr>
          <w:rFonts w:ascii="Arial" w:hAnsi="Arial" w:cs="Arial"/>
          <w:sz w:val="20"/>
          <w:szCs w:val="20"/>
        </w:rPr>
        <w:t xml:space="preserve">lo referido al </w:t>
      </w:r>
      <w:r w:rsidR="00AA30F5" w:rsidRPr="00AC4AEA">
        <w:rPr>
          <w:rFonts w:ascii="Arial" w:hAnsi="Arial" w:cs="Arial"/>
          <w:b/>
          <w:bCs/>
          <w:sz w:val="20"/>
          <w:szCs w:val="20"/>
        </w:rPr>
        <w:t>patrimonio neto</w:t>
      </w:r>
      <w:r w:rsidR="00AA30F5" w:rsidRPr="00AC4AEA">
        <w:rPr>
          <w:rFonts w:ascii="Arial" w:hAnsi="Arial" w:cs="Arial"/>
          <w:sz w:val="20"/>
          <w:szCs w:val="20"/>
        </w:rPr>
        <w:t xml:space="preserve"> según lo</w:t>
      </w:r>
      <w:r w:rsidR="00370428" w:rsidRPr="00AC4AEA">
        <w:rPr>
          <w:rFonts w:ascii="Arial" w:hAnsi="Arial" w:cs="Arial"/>
          <w:sz w:val="20"/>
          <w:szCs w:val="20"/>
        </w:rPr>
        <w:t xml:space="preserve"> requerido </w:t>
      </w:r>
      <w:r w:rsidR="00AA30F5" w:rsidRPr="00AC4AEA">
        <w:rPr>
          <w:rFonts w:ascii="Arial" w:hAnsi="Arial" w:cs="Arial"/>
          <w:sz w:val="20"/>
          <w:szCs w:val="20"/>
        </w:rPr>
        <w:t>por</w:t>
      </w:r>
      <w:r w:rsidR="00370428" w:rsidRPr="00AC4AEA">
        <w:rPr>
          <w:rFonts w:ascii="Arial" w:hAnsi="Arial" w:cs="Arial"/>
          <w:sz w:val="20"/>
          <w:szCs w:val="20"/>
        </w:rPr>
        <w:t xml:space="preserve"> </w:t>
      </w:r>
      <w:r w:rsidR="00AA30F5" w:rsidRPr="00AC4AEA">
        <w:rPr>
          <w:rFonts w:ascii="Arial" w:hAnsi="Arial" w:cs="Arial"/>
          <w:sz w:val="20"/>
          <w:szCs w:val="20"/>
        </w:rPr>
        <w:t>el</w:t>
      </w:r>
      <w:r w:rsidR="00370428" w:rsidRPr="00AC4AEA">
        <w:rPr>
          <w:rFonts w:ascii="Arial" w:hAnsi="Arial" w:cs="Arial"/>
          <w:sz w:val="20"/>
          <w:szCs w:val="20"/>
        </w:rPr>
        <w:t xml:space="preserve"> Capítulo 6 “</w:t>
      </w:r>
      <w:r w:rsidR="00370428" w:rsidRPr="00AC4AEA">
        <w:rPr>
          <w:rFonts w:ascii="Arial" w:hAnsi="Arial" w:cs="Arial"/>
          <w:sz w:val="20"/>
          <w:szCs w:val="20"/>
          <w:u w:val="single"/>
        </w:rPr>
        <w:t>Normas generales sobre presentación de estados contables</w:t>
      </w:r>
      <w:r w:rsidR="00370428" w:rsidRPr="00AC4AEA">
        <w:rPr>
          <w:rFonts w:ascii="Arial" w:hAnsi="Arial" w:cs="Arial"/>
          <w:sz w:val="20"/>
          <w:szCs w:val="20"/>
        </w:rPr>
        <w:t>”.</w:t>
      </w:r>
      <w:r w:rsidRPr="00AC4AEA">
        <w:rPr>
          <w:rFonts w:ascii="Arial" w:hAnsi="Arial" w:cs="Arial"/>
          <w:sz w:val="20"/>
          <w:szCs w:val="20"/>
        </w:rPr>
        <w:t xml:space="preserve"> </w:t>
      </w:r>
    </w:p>
    <w:p w:rsidR="0076070A" w:rsidRPr="00AC4AEA" w:rsidRDefault="0076070A" w:rsidP="00A318EA">
      <w:pPr>
        <w:jc w:val="both"/>
        <w:rPr>
          <w:rFonts w:ascii="Arial" w:hAnsi="Arial" w:cs="Arial"/>
          <w:sz w:val="20"/>
          <w:szCs w:val="20"/>
        </w:rPr>
      </w:pPr>
    </w:p>
    <w:p w:rsidR="0076070A" w:rsidRPr="00AC4AEA" w:rsidRDefault="0076070A" w:rsidP="00A318EA">
      <w:pPr>
        <w:pStyle w:val="Ttulo2"/>
        <w:rPr>
          <w:rFonts w:cs="Arial"/>
        </w:rPr>
      </w:pPr>
      <w:bookmarkStart w:id="740" w:name="_Toc139356833"/>
      <w:r w:rsidRPr="00AC4AEA">
        <w:rPr>
          <w:rFonts w:cs="Arial"/>
        </w:rPr>
        <w:t>Otras normas aplicables</w:t>
      </w:r>
      <w:bookmarkEnd w:id="740"/>
    </w:p>
    <w:p w:rsidR="0076070A" w:rsidRPr="00AC4AEA" w:rsidRDefault="0076070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aplicar los requerimientos establecidos en esta sección, una entidad deberá contemplar, en tanto resulten pertinentes y no contradigan lo establecido en esta sección, otras disposiciones de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Por ejemplo, las referidas a: </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 “</w:t>
      </w:r>
      <w:r w:rsidRPr="00AC4AEA">
        <w:rPr>
          <w:rFonts w:ascii="Arial" w:hAnsi="Arial" w:cs="Arial"/>
          <w:sz w:val="20"/>
          <w:szCs w:val="20"/>
          <w:u w:val="single"/>
        </w:rPr>
        <w:t xml:space="preserve">Expresión de los </w:t>
      </w:r>
      <w:r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Cuestiones referidas al estado de resultados</w:t>
      </w:r>
      <w:r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Pr="00AC4AEA">
        <w:rPr>
          <w:rFonts w:ascii="Arial" w:hAnsi="Arial" w:cs="Arial"/>
          <w:sz w:val="20"/>
          <w:szCs w:val="20"/>
        </w:rPr>
        <w:t>].</w:t>
      </w:r>
    </w:p>
    <w:p w:rsidR="0076070A" w:rsidRPr="00AC4AEA" w:rsidRDefault="0076070A" w:rsidP="00A318EA">
      <w:pPr>
        <w:pStyle w:val="A-azul"/>
        <w:rPr>
          <w:rFonts w:ascii="Arial" w:hAnsi="Arial" w:cs="Arial"/>
          <w:i w:val="0"/>
          <w:color w:val="auto"/>
          <w:sz w:val="20"/>
          <w:szCs w:val="20"/>
          <w:lang w:val="es-AR"/>
        </w:rPr>
      </w:pPr>
    </w:p>
    <w:p w:rsidR="003F6556" w:rsidRPr="00AC4AEA" w:rsidRDefault="003F6556" w:rsidP="00A318EA">
      <w:pPr>
        <w:pStyle w:val="A-azul"/>
        <w:rPr>
          <w:rFonts w:ascii="Arial" w:hAnsi="Arial" w:cs="Arial"/>
          <w:i w:val="0"/>
          <w:color w:val="auto"/>
          <w:sz w:val="20"/>
          <w:szCs w:val="20"/>
          <w:lang w:val="es-AR"/>
        </w:rPr>
      </w:pPr>
    </w:p>
    <w:p w:rsidR="0024695D" w:rsidRPr="000806D9" w:rsidRDefault="000806D9" w:rsidP="00A318EA">
      <w:pPr>
        <w:pStyle w:val="Ttulo1"/>
        <w:rPr>
          <w:rFonts w:cs="Arial"/>
          <w:b w:val="0"/>
          <w:sz w:val="20"/>
          <w:szCs w:val="20"/>
        </w:rPr>
      </w:pPr>
      <w:bookmarkStart w:id="741" w:name="_Toc101863950"/>
      <w:r w:rsidRPr="000806D9">
        <w:rPr>
          <w:rFonts w:cs="Arial"/>
          <w:b w:val="0"/>
          <w:sz w:val="20"/>
          <w:szCs w:val="20"/>
        </w:rPr>
        <w:lastRenderedPageBreak/>
        <w:t>[hoja en blanco]</w:t>
      </w:r>
    </w:p>
    <w:p w:rsidR="00A17546" w:rsidRPr="00AC4AEA" w:rsidRDefault="00A17546" w:rsidP="00A318EA">
      <w:pPr>
        <w:spacing w:after="120" w:line="312" w:lineRule="auto"/>
        <w:ind w:left="1559" w:hanging="567"/>
        <w:jc w:val="both"/>
        <w:rPr>
          <w:rFonts w:ascii="Arial" w:hAnsi="Arial" w:cs="Arial"/>
          <w:b/>
          <w:caps/>
          <w:kern w:val="28"/>
          <w:sz w:val="20"/>
          <w:szCs w:val="20"/>
          <w:lang w:val="es-ES"/>
        </w:rPr>
      </w:pPr>
      <w:r w:rsidRPr="00AC4AEA">
        <w:rPr>
          <w:rFonts w:ascii="Arial" w:hAnsi="Arial" w:cs="Arial"/>
          <w:sz w:val="20"/>
          <w:szCs w:val="20"/>
        </w:rPr>
        <w:br w:type="page"/>
      </w:r>
    </w:p>
    <w:p w:rsidR="0090400F" w:rsidRPr="00AC4AEA" w:rsidRDefault="00D42D36" w:rsidP="00A318EA">
      <w:pPr>
        <w:pStyle w:val="Ttulo1"/>
        <w:rPr>
          <w:rFonts w:cs="Arial"/>
          <w:sz w:val="20"/>
          <w:szCs w:val="20"/>
        </w:rPr>
      </w:pPr>
      <w:bookmarkStart w:id="742" w:name="_Toc139356834"/>
      <w:r w:rsidRPr="00AC4AEA">
        <w:rPr>
          <w:rFonts w:cs="Arial"/>
          <w:sz w:val="20"/>
          <w:szCs w:val="20"/>
        </w:rPr>
        <w:lastRenderedPageBreak/>
        <w:t>CAPÍTULO 5</w:t>
      </w:r>
      <w:bookmarkEnd w:id="741"/>
      <w:bookmarkEnd w:id="742"/>
    </w:p>
    <w:p w:rsidR="0090400F" w:rsidRPr="00AC4AEA" w:rsidRDefault="00002197" w:rsidP="00A318EA">
      <w:pPr>
        <w:pStyle w:val="Ttulo1"/>
        <w:rPr>
          <w:rFonts w:cs="Arial"/>
          <w:sz w:val="20"/>
          <w:szCs w:val="20"/>
        </w:rPr>
      </w:pPr>
      <w:bookmarkStart w:id="743" w:name="_Toc101863951"/>
      <w:bookmarkStart w:id="744" w:name="_Toc139356835"/>
      <w:r w:rsidRPr="00AC4AEA">
        <w:rPr>
          <w:rFonts w:cs="Arial"/>
          <w:sz w:val="20"/>
          <w:szCs w:val="20"/>
        </w:rPr>
        <w:t>EFECTOS CONTABLES PROCEDENTES DE DETERMINADAS CIRCUNSTANCIAS, TRANSACCIONES O CONTRATOS</w:t>
      </w:r>
      <w:bookmarkEnd w:id="743"/>
      <w:bookmarkEnd w:id="744"/>
    </w:p>
    <w:p w:rsidR="00AE7883" w:rsidRPr="00AC4AEA" w:rsidRDefault="00AE7883" w:rsidP="00A318EA">
      <w:pPr>
        <w:pStyle w:val="Ttulo1"/>
        <w:rPr>
          <w:rFonts w:cs="Arial"/>
          <w:sz w:val="20"/>
          <w:szCs w:val="20"/>
        </w:rPr>
      </w:pPr>
      <w:bookmarkStart w:id="745" w:name="_Toc101863952"/>
    </w:p>
    <w:p w:rsidR="000122CB" w:rsidRPr="00AC4AEA" w:rsidRDefault="000122CB" w:rsidP="00A318EA">
      <w:pPr>
        <w:pStyle w:val="Ttulo1"/>
        <w:rPr>
          <w:rFonts w:cs="Arial"/>
          <w:sz w:val="20"/>
          <w:szCs w:val="20"/>
          <w:u w:val="single"/>
        </w:rPr>
      </w:pPr>
      <w:bookmarkStart w:id="746" w:name="_Toc139356836"/>
      <w:r w:rsidRPr="00AC4AEA">
        <w:rPr>
          <w:rFonts w:cs="Arial"/>
          <w:sz w:val="20"/>
          <w:szCs w:val="20"/>
        </w:rPr>
        <w:t>INTRODUCCIÓN AL PRESENTE CAPÍTULO</w:t>
      </w:r>
      <w:bookmarkEnd w:id="745"/>
      <w:bookmarkEnd w:id="746"/>
      <w:r w:rsidRPr="00AC4AEA">
        <w:rPr>
          <w:rFonts w:cs="Arial"/>
          <w:sz w:val="20"/>
          <w:szCs w:val="20"/>
          <w:u w:val="single"/>
        </w:rPr>
        <w:t xml:space="preserve"> </w:t>
      </w:r>
    </w:p>
    <w:p w:rsidR="000122CB" w:rsidRPr="00AC4AEA" w:rsidRDefault="000122CB" w:rsidP="00A318EA">
      <w:pPr>
        <w:pStyle w:val="Prrafodelista"/>
        <w:numPr>
          <w:ilvl w:val="0"/>
          <w:numId w:val="29"/>
        </w:numPr>
        <w:contextualSpacing w:val="0"/>
        <w:jc w:val="both"/>
        <w:rPr>
          <w:rFonts w:ascii="Arial" w:hAnsi="Arial" w:cs="Arial"/>
          <w:sz w:val="20"/>
          <w:szCs w:val="20"/>
        </w:rPr>
      </w:pPr>
      <w:bookmarkStart w:id="747" w:name="_Ref129706605"/>
      <w:r w:rsidRPr="00AC4AEA">
        <w:rPr>
          <w:rFonts w:ascii="Arial" w:hAnsi="Arial" w:cs="Arial"/>
          <w:sz w:val="20"/>
          <w:szCs w:val="20"/>
        </w:rPr>
        <w:t>En este capítulo se describen requerimientos de reconocimiento, medición, presentación</w:t>
      </w:r>
      <w:r w:rsidR="00AA30F5" w:rsidRPr="00AC4AEA">
        <w:rPr>
          <w:rFonts w:ascii="Arial" w:hAnsi="Arial" w:cs="Arial"/>
          <w:sz w:val="20"/>
          <w:szCs w:val="20"/>
        </w:rPr>
        <w:t xml:space="preserve"> y revelación</w:t>
      </w:r>
      <w:r w:rsidRPr="00AC4AEA">
        <w:rPr>
          <w:rFonts w:ascii="Arial" w:hAnsi="Arial" w:cs="Arial"/>
          <w:sz w:val="20"/>
          <w:szCs w:val="20"/>
        </w:rPr>
        <w:t xml:space="preserve"> de </w:t>
      </w:r>
      <w:r w:rsidR="00FE17C2" w:rsidRPr="00AC4AEA">
        <w:rPr>
          <w:rFonts w:ascii="Arial" w:hAnsi="Arial" w:cs="Arial"/>
          <w:sz w:val="20"/>
          <w:szCs w:val="20"/>
        </w:rPr>
        <w:t>determinadas circunstancias, transacciones o contratos</w:t>
      </w:r>
      <w:r w:rsidRPr="00AC4AEA">
        <w:rPr>
          <w:rFonts w:ascii="Arial" w:hAnsi="Arial" w:cs="Arial"/>
          <w:sz w:val="20"/>
          <w:szCs w:val="20"/>
        </w:rPr>
        <w:t>.</w:t>
      </w:r>
      <w:bookmarkEnd w:id="747"/>
      <w:r w:rsidRPr="00AC4AEA">
        <w:rPr>
          <w:rFonts w:ascii="Arial" w:hAnsi="Arial" w:cs="Arial"/>
          <w:sz w:val="20"/>
          <w:szCs w:val="20"/>
        </w:rPr>
        <w:t xml:space="preserve"> </w:t>
      </w:r>
    </w:p>
    <w:p w:rsidR="000122CB" w:rsidRPr="00AC4AEA" w:rsidRDefault="00AA30F5" w:rsidP="00A318EA">
      <w:pPr>
        <w:pStyle w:val="Prrafodelista"/>
        <w:numPr>
          <w:ilvl w:val="0"/>
          <w:numId w:val="29"/>
        </w:numPr>
        <w:contextualSpacing w:val="0"/>
        <w:jc w:val="both"/>
        <w:rPr>
          <w:rFonts w:ascii="Arial" w:hAnsi="Arial" w:cs="Arial"/>
          <w:sz w:val="20"/>
          <w:szCs w:val="20"/>
        </w:rPr>
      </w:pPr>
      <w:bookmarkStart w:id="748" w:name="_Ref104626965"/>
      <w:r w:rsidRPr="00AC4AEA">
        <w:rPr>
          <w:rFonts w:ascii="Arial" w:hAnsi="Arial" w:cs="Arial"/>
          <w:sz w:val="20"/>
          <w:szCs w:val="20"/>
        </w:rPr>
        <w:t>El contenido de este</w:t>
      </w:r>
      <w:r w:rsidR="00A4121B" w:rsidRPr="00AC4AEA">
        <w:rPr>
          <w:rFonts w:ascii="Arial" w:hAnsi="Arial" w:cs="Arial"/>
          <w:sz w:val="20"/>
          <w:szCs w:val="20"/>
        </w:rPr>
        <w:t xml:space="preserve"> capítulo </w:t>
      </w:r>
      <w:r w:rsidRPr="00AC4AEA">
        <w:rPr>
          <w:rFonts w:ascii="Arial" w:hAnsi="Arial" w:cs="Arial"/>
          <w:sz w:val="20"/>
          <w:szCs w:val="20"/>
        </w:rPr>
        <w:t>incluye</w:t>
      </w:r>
      <w:r w:rsidR="00A4121B" w:rsidRPr="00AC4AEA">
        <w:rPr>
          <w:rFonts w:ascii="Arial" w:hAnsi="Arial" w:cs="Arial"/>
          <w:sz w:val="20"/>
          <w:szCs w:val="20"/>
        </w:rPr>
        <w:t xml:space="preserve"> </w:t>
      </w:r>
      <w:r w:rsidR="00A4121B" w:rsidRPr="00AC4AEA">
        <w:rPr>
          <w:rFonts w:ascii="Arial" w:hAnsi="Arial" w:cs="Arial"/>
          <w:b/>
          <w:bCs/>
          <w:sz w:val="20"/>
          <w:szCs w:val="20"/>
        </w:rPr>
        <w:t>temas de</w:t>
      </w:r>
      <w:r w:rsidR="00A4121B" w:rsidRPr="00AC4AEA">
        <w:rPr>
          <w:rFonts w:ascii="Arial" w:hAnsi="Arial" w:cs="Arial"/>
          <w:sz w:val="20"/>
          <w:szCs w:val="20"/>
        </w:rPr>
        <w:t xml:space="preserve"> </w:t>
      </w:r>
      <w:r w:rsidR="00A4121B" w:rsidRPr="00AC4AEA">
        <w:rPr>
          <w:rFonts w:ascii="Arial" w:hAnsi="Arial" w:cs="Arial"/>
          <w:b/>
          <w:bCs/>
          <w:sz w:val="20"/>
          <w:szCs w:val="20"/>
        </w:rPr>
        <w:t>baja complejidad contable</w:t>
      </w:r>
      <w:r w:rsidR="00A4121B" w:rsidRPr="00AC4AEA">
        <w:rPr>
          <w:rFonts w:ascii="Arial" w:hAnsi="Arial" w:cs="Arial"/>
          <w:sz w:val="20"/>
          <w:szCs w:val="20"/>
        </w:rPr>
        <w:t xml:space="preserve"> y se espera que estén presente en cualquier tipo de entidad que </w:t>
      </w:r>
      <w:r w:rsidRPr="00AC4AEA">
        <w:rPr>
          <w:rFonts w:ascii="Arial" w:hAnsi="Arial" w:cs="Arial"/>
          <w:sz w:val="20"/>
          <w:szCs w:val="20"/>
        </w:rPr>
        <w:t>aplique</w:t>
      </w:r>
      <w:r w:rsidR="00A4121B" w:rsidRPr="00AC4AEA">
        <w:rPr>
          <w:rFonts w:ascii="Arial" w:hAnsi="Arial" w:cs="Arial"/>
          <w:sz w:val="20"/>
          <w:szCs w:val="20"/>
        </w:rPr>
        <w:t xml:space="preserve"> esta Resolución Técnica</w:t>
      </w:r>
      <w:r w:rsidRPr="00AC4AEA">
        <w:rPr>
          <w:rFonts w:ascii="Arial" w:hAnsi="Arial" w:cs="Arial"/>
          <w:sz w:val="20"/>
          <w:szCs w:val="20"/>
        </w:rPr>
        <w:t xml:space="preserve"> u </w:t>
      </w:r>
      <w:r w:rsidRPr="00AC4AEA">
        <w:rPr>
          <w:rFonts w:ascii="Arial" w:hAnsi="Arial" w:cs="Arial"/>
          <w:b/>
          <w:bCs/>
          <w:sz w:val="20"/>
          <w:szCs w:val="20"/>
        </w:rPr>
        <w:t>otras normas contables</w:t>
      </w:r>
      <w:r w:rsidR="000122CB" w:rsidRPr="00AC4AEA">
        <w:rPr>
          <w:rFonts w:ascii="Arial" w:hAnsi="Arial" w:cs="Arial"/>
          <w:sz w:val="20"/>
          <w:szCs w:val="20"/>
        </w:rPr>
        <w:t>.</w:t>
      </w:r>
      <w:bookmarkEnd w:id="748"/>
    </w:p>
    <w:p w:rsidR="00AE7883" w:rsidRPr="00AC4AEA" w:rsidRDefault="00AE7883" w:rsidP="00A318EA">
      <w:pPr>
        <w:pStyle w:val="Ttulo1"/>
        <w:rPr>
          <w:rFonts w:cs="Arial"/>
          <w:sz w:val="20"/>
          <w:szCs w:val="20"/>
        </w:rPr>
      </w:pPr>
      <w:bookmarkStart w:id="749" w:name="IAO"/>
      <w:bookmarkStart w:id="750" w:name="_Toc101863953"/>
      <w:bookmarkEnd w:id="749"/>
    </w:p>
    <w:p w:rsidR="00E61F2C" w:rsidRPr="00AC4AEA" w:rsidRDefault="00E61F2C" w:rsidP="00A318EA">
      <w:pPr>
        <w:pStyle w:val="Ttulo1"/>
        <w:rPr>
          <w:rFonts w:cs="Arial"/>
          <w:sz w:val="20"/>
          <w:szCs w:val="20"/>
        </w:rPr>
      </w:pPr>
      <w:bookmarkStart w:id="751" w:name="_Toc139356837"/>
      <w:r w:rsidRPr="00AC4AEA">
        <w:rPr>
          <w:rFonts w:cs="Arial"/>
          <w:sz w:val="20"/>
          <w:szCs w:val="20"/>
        </w:rPr>
        <w:t>RECONOCIMIENTO DE INGRESOS DE ACTIVIDADES ORDINARIAS</w:t>
      </w:r>
      <w:bookmarkEnd w:id="750"/>
      <w:r w:rsidRPr="00AC4AEA">
        <w:rPr>
          <w:rFonts w:cs="Arial"/>
          <w:sz w:val="20"/>
          <w:szCs w:val="20"/>
        </w:rPr>
        <w:t xml:space="preserve"> PROCEDENTES DE TRANSACCIONES (OPERACIONES DE INTERCAMBIO)</w:t>
      </w:r>
      <w:bookmarkEnd w:id="751"/>
    </w:p>
    <w:p w:rsidR="00E61F2C" w:rsidRPr="00AC4AEA" w:rsidRDefault="00E61F2C" w:rsidP="00A318EA">
      <w:pPr>
        <w:pStyle w:val="Ttulo2"/>
        <w:rPr>
          <w:rFonts w:cs="Arial"/>
        </w:rPr>
      </w:pPr>
      <w:bookmarkStart w:id="752" w:name="_Toc139356838"/>
      <w:r w:rsidRPr="00AC4AEA">
        <w:rPr>
          <w:rFonts w:cs="Arial"/>
        </w:rPr>
        <w:t>Definici</w:t>
      </w:r>
      <w:r w:rsidR="006A4ECC" w:rsidRPr="00AC4AEA">
        <w:rPr>
          <w:rFonts w:cs="Arial"/>
        </w:rPr>
        <w:t>o</w:t>
      </w:r>
      <w:r w:rsidRPr="00AC4AEA">
        <w:rPr>
          <w:rFonts w:cs="Arial"/>
        </w:rPr>
        <w:t>n</w:t>
      </w:r>
      <w:r w:rsidR="006A4ECC" w:rsidRPr="00AC4AEA">
        <w:rPr>
          <w:rFonts w:cs="Arial"/>
        </w:rPr>
        <w:t>es</w:t>
      </w:r>
      <w:bookmarkEnd w:id="752"/>
    </w:p>
    <w:p w:rsidR="00E61F2C" w:rsidRPr="00497C1F" w:rsidRDefault="00E61F2C" w:rsidP="00A318EA">
      <w:pPr>
        <w:pStyle w:val="Prrafodelista"/>
        <w:numPr>
          <w:ilvl w:val="0"/>
          <w:numId w:val="29"/>
        </w:numPr>
        <w:contextualSpacing w:val="0"/>
        <w:jc w:val="both"/>
        <w:rPr>
          <w:rFonts w:ascii="Arial" w:hAnsi="Arial" w:cs="Arial"/>
          <w:sz w:val="20"/>
          <w:szCs w:val="20"/>
        </w:rPr>
      </w:pPr>
      <w:bookmarkStart w:id="753" w:name="_Ref129077804"/>
      <w:r w:rsidRPr="00AC4AEA">
        <w:rPr>
          <w:rFonts w:ascii="Arial" w:hAnsi="Arial" w:cs="Arial"/>
          <w:sz w:val="20"/>
          <w:szCs w:val="20"/>
        </w:rPr>
        <w:t xml:space="preserve">A los fines del tratamiento de los </w:t>
      </w:r>
      <w:r w:rsidRPr="00AC4AEA">
        <w:rPr>
          <w:rFonts w:ascii="Arial" w:hAnsi="Arial" w:cs="Arial"/>
          <w:b/>
          <w:bCs/>
          <w:sz w:val="20"/>
          <w:szCs w:val="20"/>
        </w:rPr>
        <w:t xml:space="preserve">ingresos de actividades ordinarias </w:t>
      </w:r>
      <w:r w:rsidRPr="00AC4AEA">
        <w:rPr>
          <w:rFonts w:ascii="Arial" w:hAnsi="Arial" w:cs="Arial"/>
          <w:sz w:val="20"/>
          <w:szCs w:val="20"/>
        </w:rPr>
        <w:t xml:space="preserve">procedentes </w:t>
      </w:r>
      <w:r w:rsidRPr="00497C1F">
        <w:rPr>
          <w:rFonts w:ascii="Arial" w:hAnsi="Arial" w:cs="Arial"/>
          <w:sz w:val="20"/>
          <w:szCs w:val="20"/>
        </w:rPr>
        <w:t>de transacciones (operaciones de intercambio), una entidad deberá considerar las definiciones siguientes.</w:t>
      </w:r>
      <w:bookmarkEnd w:id="753"/>
    </w:p>
    <w:p w:rsidR="003D45CE" w:rsidRPr="00497C1F" w:rsidRDefault="003D45CE" w:rsidP="003D45CE">
      <w:pPr>
        <w:pStyle w:val="Prrafodelista"/>
        <w:tabs>
          <w:tab w:val="left" w:pos="1872"/>
        </w:tabs>
        <w:ind w:left="1416"/>
        <w:contextualSpacing w:val="0"/>
        <w:jc w:val="both"/>
        <w:rPr>
          <w:rFonts w:ascii="Arial" w:hAnsi="Arial" w:cs="Arial"/>
          <w:b/>
          <w:sz w:val="20"/>
          <w:szCs w:val="20"/>
        </w:rPr>
      </w:pPr>
      <w:r w:rsidRPr="00497C1F">
        <w:rPr>
          <w:rFonts w:ascii="Arial" w:hAnsi="Arial" w:cs="Arial"/>
          <w:sz w:val="20"/>
          <w:szCs w:val="20"/>
          <w:u w:val="single"/>
        </w:rPr>
        <w:t>Actividades de intermediación:</w:t>
      </w:r>
      <w:r w:rsidRPr="00497C1F">
        <w:rPr>
          <w:rFonts w:ascii="Arial" w:hAnsi="Arial" w:cs="Arial"/>
          <w:sz w:val="20"/>
          <w:szCs w:val="20"/>
        </w:rPr>
        <w:t xml:space="preserve"> Son aquellas que involucran dos partes:</w:t>
      </w:r>
    </w:p>
    <w:p w:rsidR="003D45CE" w:rsidRPr="00497C1F" w:rsidRDefault="003D45CE" w:rsidP="003D45CE">
      <w:pPr>
        <w:pStyle w:val="Prrafodelista"/>
        <w:numPr>
          <w:ilvl w:val="0"/>
          <w:numId w:val="415"/>
        </w:numPr>
        <w:ind w:left="1843" w:hanging="425"/>
        <w:contextualSpacing w:val="0"/>
        <w:jc w:val="both"/>
        <w:rPr>
          <w:rFonts w:ascii="Arial" w:hAnsi="Arial" w:cs="Arial"/>
          <w:bCs/>
          <w:sz w:val="20"/>
          <w:szCs w:val="20"/>
        </w:rPr>
      </w:pPr>
      <w:r w:rsidRPr="00497C1F">
        <w:rPr>
          <w:rFonts w:ascii="Arial" w:hAnsi="Arial" w:cs="Arial"/>
          <w:bCs/>
          <w:sz w:val="20"/>
          <w:szCs w:val="20"/>
        </w:rPr>
        <w:t>El principal, comitente o mandante: entidad que encarga a un tercero (el intermediario) la realización de actividad o servicios comerciales por su cuenta. En general, el principal:</w:t>
      </w:r>
    </w:p>
    <w:p w:rsidR="003D45CE" w:rsidRPr="00497C1F" w:rsidRDefault="003D45CE" w:rsidP="003D45CE">
      <w:pPr>
        <w:pStyle w:val="Prrafodelista"/>
        <w:numPr>
          <w:ilvl w:val="0"/>
          <w:numId w:val="417"/>
        </w:numPr>
        <w:ind w:left="2268" w:hanging="142"/>
        <w:contextualSpacing w:val="0"/>
        <w:jc w:val="both"/>
        <w:rPr>
          <w:rFonts w:ascii="Arial" w:hAnsi="Arial" w:cs="Arial"/>
          <w:sz w:val="20"/>
          <w:szCs w:val="20"/>
        </w:rPr>
      </w:pPr>
      <w:r w:rsidRPr="00497C1F">
        <w:rPr>
          <w:rFonts w:ascii="Arial" w:hAnsi="Arial" w:cs="Arial"/>
          <w:sz w:val="20"/>
          <w:szCs w:val="20"/>
        </w:rPr>
        <w:t xml:space="preserve">es el responsable ante el cliente por la venta del bien, la prestación del servicio o la construcción de un </w:t>
      </w:r>
      <w:r w:rsidRPr="00497C1F">
        <w:rPr>
          <w:rFonts w:ascii="Arial" w:hAnsi="Arial" w:cs="Arial"/>
          <w:b/>
          <w:bCs/>
          <w:sz w:val="20"/>
          <w:szCs w:val="20"/>
        </w:rPr>
        <w:t>activo</w:t>
      </w:r>
      <w:r w:rsidRPr="00497C1F">
        <w:rPr>
          <w:rFonts w:ascii="Arial" w:hAnsi="Arial" w:cs="Arial"/>
          <w:sz w:val="20"/>
          <w:szCs w:val="20"/>
        </w:rPr>
        <w:t>;</w:t>
      </w:r>
    </w:p>
    <w:p w:rsidR="003D45CE" w:rsidRPr="00AC4AEA" w:rsidRDefault="003D45CE" w:rsidP="003D45CE">
      <w:pPr>
        <w:pStyle w:val="Prrafodelista"/>
        <w:numPr>
          <w:ilvl w:val="0"/>
          <w:numId w:val="417"/>
        </w:numPr>
        <w:ind w:left="2268" w:hanging="142"/>
        <w:contextualSpacing w:val="0"/>
        <w:jc w:val="both"/>
        <w:rPr>
          <w:rFonts w:ascii="Arial" w:hAnsi="Arial" w:cs="Arial"/>
          <w:sz w:val="20"/>
          <w:szCs w:val="20"/>
        </w:rPr>
      </w:pPr>
      <w:r w:rsidRPr="00497C1F">
        <w:rPr>
          <w:rFonts w:ascii="Arial" w:hAnsi="Arial" w:cs="Arial"/>
          <w:sz w:val="20"/>
          <w:szCs w:val="20"/>
        </w:rPr>
        <w:t>asume el riesgo</w:t>
      </w:r>
      <w:r w:rsidRPr="00AC4AEA">
        <w:rPr>
          <w:rFonts w:ascii="Arial" w:hAnsi="Arial" w:cs="Arial"/>
          <w:sz w:val="20"/>
          <w:szCs w:val="20"/>
        </w:rPr>
        <w:t xml:space="preserve"> de inventario; y</w:t>
      </w:r>
    </w:p>
    <w:p w:rsidR="003D45CE" w:rsidRPr="00AC4AEA" w:rsidRDefault="003D45CE" w:rsidP="003D45CE">
      <w:pPr>
        <w:pStyle w:val="Prrafodelista"/>
        <w:numPr>
          <w:ilvl w:val="0"/>
          <w:numId w:val="417"/>
        </w:numPr>
        <w:ind w:left="2268" w:hanging="142"/>
        <w:contextualSpacing w:val="0"/>
        <w:jc w:val="both"/>
        <w:rPr>
          <w:rFonts w:ascii="Arial" w:hAnsi="Arial" w:cs="Arial"/>
          <w:sz w:val="20"/>
          <w:szCs w:val="20"/>
        </w:rPr>
      </w:pPr>
      <w:r w:rsidRPr="00AC4AEA">
        <w:rPr>
          <w:rFonts w:ascii="Arial" w:hAnsi="Arial" w:cs="Arial"/>
          <w:sz w:val="20"/>
          <w:szCs w:val="20"/>
        </w:rPr>
        <w:t>tiene capacidad para determinar el precio al cual está dispuesto a vender el bien o prestar el servicio.</w:t>
      </w:r>
    </w:p>
    <w:p w:rsidR="003D45CE" w:rsidRPr="00AC4AEA" w:rsidRDefault="003D45CE" w:rsidP="003D45CE">
      <w:pPr>
        <w:pStyle w:val="Prrafodelista"/>
        <w:numPr>
          <w:ilvl w:val="0"/>
          <w:numId w:val="415"/>
        </w:numPr>
        <w:ind w:left="1843" w:hanging="425"/>
        <w:contextualSpacing w:val="0"/>
        <w:jc w:val="both"/>
        <w:rPr>
          <w:rFonts w:ascii="Arial" w:hAnsi="Arial" w:cs="Arial"/>
          <w:bCs/>
          <w:sz w:val="20"/>
          <w:szCs w:val="20"/>
        </w:rPr>
      </w:pPr>
      <w:r w:rsidRPr="00AC4AEA">
        <w:rPr>
          <w:rFonts w:ascii="Arial" w:hAnsi="Arial" w:cs="Arial"/>
          <w:bCs/>
          <w:sz w:val="20"/>
          <w:szCs w:val="20"/>
        </w:rPr>
        <w:t>Intermediario, agente, consignatario: entidad o persona contratada por el principal para que realice actividades o servicios comerciales por su cuenta y cuya retribución consiste en una comisión o concepto similar. En general, el intermediario no asume los riesgos vinculados con la operación.</w:t>
      </w:r>
    </w:p>
    <w:p w:rsidR="00E61F2C" w:rsidRPr="00AC4AEA" w:rsidRDefault="00E61F2C" w:rsidP="00A318EA">
      <w:pPr>
        <w:pStyle w:val="Prrafodelista"/>
        <w:tabs>
          <w:tab w:val="left" w:pos="1872"/>
        </w:tabs>
        <w:ind w:left="1416"/>
        <w:contextualSpacing w:val="0"/>
        <w:jc w:val="both"/>
        <w:rPr>
          <w:rFonts w:ascii="Arial" w:hAnsi="Arial" w:cs="Arial"/>
          <w:sz w:val="20"/>
          <w:szCs w:val="20"/>
        </w:rPr>
      </w:pPr>
      <w:r w:rsidRPr="00AC4AEA">
        <w:rPr>
          <w:rFonts w:ascii="Arial" w:hAnsi="Arial" w:cs="Arial"/>
          <w:sz w:val="20"/>
          <w:szCs w:val="20"/>
          <w:u w:val="single"/>
        </w:rPr>
        <w:t>Ingresos de actividades ordinarias</w:t>
      </w:r>
      <w:r w:rsidRPr="00AC4AEA">
        <w:rPr>
          <w:rFonts w:ascii="Arial" w:hAnsi="Arial" w:cs="Arial"/>
          <w:sz w:val="20"/>
          <w:szCs w:val="20"/>
        </w:rPr>
        <w:t xml:space="preserve">: Son los aumentos del </w:t>
      </w:r>
      <w:r w:rsidRPr="00AC4AEA">
        <w:rPr>
          <w:rFonts w:ascii="Arial" w:hAnsi="Arial" w:cs="Arial"/>
          <w:b/>
          <w:bCs/>
          <w:sz w:val="20"/>
          <w:szCs w:val="20"/>
        </w:rPr>
        <w:t>patrimonio neto</w:t>
      </w:r>
      <w:r w:rsidRPr="00AC4AEA">
        <w:rPr>
          <w:rFonts w:ascii="Arial" w:hAnsi="Arial" w:cs="Arial"/>
          <w:sz w:val="20"/>
          <w:szCs w:val="20"/>
        </w:rPr>
        <w:t xml:space="preserve"> originados en la producción o venta de bienes, en la prestación de servicios, la construcción de activos u otros hechos que hacen a las actividades principales de la entidad. </w:t>
      </w:r>
    </w:p>
    <w:p w:rsidR="00E61F2C" w:rsidRPr="00AC4AEA" w:rsidRDefault="004E36D5" w:rsidP="00A318EA">
      <w:pPr>
        <w:pStyle w:val="Prrafodelista"/>
        <w:tabs>
          <w:tab w:val="left" w:pos="1872"/>
        </w:tabs>
        <w:ind w:left="1416"/>
        <w:contextualSpacing w:val="0"/>
        <w:jc w:val="both"/>
        <w:rPr>
          <w:rFonts w:ascii="Arial" w:hAnsi="Arial" w:cs="Arial"/>
          <w:sz w:val="20"/>
          <w:szCs w:val="20"/>
        </w:rPr>
      </w:pPr>
      <w:r w:rsidRPr="00AC4AEA">
        <w:rPr>
          <w:rFonts w:ascii="Arial" w:hAnsi="Arial" w:cs="Arial"/>
          <w:sz w:val="20"/>
          <w:szCs w:val="20"/>
        </w:rPr>
        <w:t>Estas partidas incluyen</w:t>
      </w:r>
      <w:r w:rsidR="00E61F2C" w:rsidRPr="00AC4AEA">
        <w:rPr>
          <w:rFonts w:ascii="Arial" w:hAnsi="Arial" w:cs="Arial"/>
          <w:sz w:val="20"/>
          <w:szCs w:val="20"/>
        </w:rPr>
        <w:t>:</w:t>
      </w:r>
      <w:r w:rsidR="00DC76F6" w:rsidRPr="00AC4AEA">
        <w:rPr>
          <w:rFonts w:ascii="Arial" w:hAnsi="Arial" w:cs="Arial"/>
          <w:sz w:val="20"/>
          <w:szCs w:val="20"/>
        </w:rPr>
        <w:t xml:space="preserve">  </w:t>
      </w:r>
    </w:p>
    <w:p w:rsidR="00E61F2C" w:rsidRPr="00AC4AEA" w:rsidRDefault="00E61F2C" w:rsidP="00A318EA">
      <w:pPr>
        <w:pStyle w:val="Prrafodelista"/>
        <w:numPr>
          <w:ilvl w:val="0"/>
          <w:numId w:val="449"/>
        </w:numPr>
        <w:ind w:left="1985"/>
        <w:contextualSpacing w:val="0"/>
        <w:jc w:val="both"/>
        <w:rPr>
          <w:rFonts w:ascii="Arial" w:hAnsi="Arial" w:cs="Arial"/>
          <w:sz w:val="20"/>
          <w:szCs w:val="20"/>
        </w:rPr>
      </w:pPr>
      <w:r w:rsidRPr="00AC4AEA">
        <w:rPr>
          <w:rFonts w:ascii="Arial" w:hAnsi="Arial" w:cs="Arial"/>
          <w:sz w:val="20"/>
          <w:szCs w:val="20"/>
        </w:rPr>
        <w:lastRenderedPageBreak/>
        <w:t xml:space="preserve">los </w:t>
      </w:r>
      <w:r w:rsidRPr="00AC4AEA">
        <w:rPr>
          <w:rFonts w:ascii="Arial" w:hAnsi="Arial" w:cs="Arial"/>
          <w:b/>
          <w:bCs/>
          <w:sz w:val="20"/>
          <w:szCs w:val="20"/>
        </w:rPr>
        <w:t>ingresos de actividades ordinarias</w:t>
      </w:r>
      <w:r w:rsidRPr="00AC4AEA">
        <w:rPr>
          <w:rFonts w:ascii="Arial" w:hAnsi="Arial" w:cs="Arial"/>
          <w:sz w:val="20"/>
          <w:szCs w:val="20"/>
        </w:rPr>
        <w:t xml:space="preserve"> procedentes de transacciones (operaciones de intercambio); y</w:t>
      </w:r>
    </w:p>
    <w:p w:rsidR="00E61F2C" w:rsidRPr="00AC4AEA" w:rsidRDefault="00E61F2C" w:rsidP="00A318EA">
      <w:pPr>
        <w:pStyle w:val="Prrafodelista"/>
        <w:numPr>
          <w:ilvl w:val="0"/>
          <w:numId w:val="449"/>
        </w:numPr>
        <w:ind w:left="1985"/>
        <w:contextualSpacing w:val="0"/>
        <w:jc w:val="both"/>
        <w:rPr>
          <w:rFonts w:ascii="Arial" w:hAnsi="Arial" w:cs="Arial"/>
          <w:sz w:val="20"/>
          <w:szCs w:val="20"/>
        </w:rPr>
      </w:pPr>
      <w:r w:rsidRPr="00AC4AEA">
        <w:rPr>
          <w:rFonts w:ascii="Arial" w:hAnsi="Arial" w:cs="Arial"/>
          <w:sz w:val="20"/>
          <w:szCs w:val="20"/>
        </w:rPr>
        <w:t>los i</w:t>
      </w:r>
      <w:r w:rsidRPr="00AC4AEA">
        <w:rPr>
          <w:rFonts w:ascii="Arial" w:hAnsi="Arial" w:cs="Arial"/>
          <w:b/>
          <w:bCs/>
          <w:sz w:val="20"/>
          <w:szCs w:val="20"/>
        </w:rPr>
        <w:t>ngresos</w:t>
      </w:r>
      <w:r w:rsidRPr="00AC4AEA">
        <w:rPr>
          <w:rFonts w:ascii="Arial" w:hAnsi="Arial" w:cs="Arial"/>
          <w:sz w:val="20"/>
          <w:szCs w:val="20"/>
        </w:rPr>
        <w:t xml:space="preserve"> generados por actividades internas, tales como el crecimiento natural o inducido de determinados activos en una explotación agropecuaria</w:t>
      </w:r>
      <w:r w:rsidR="007D7512" w:rsidRPr="00AC4AEA">
        <w:rPr>
          <w:rFonts w:ascii="Arial" w:hAnsi="Arial" w:cs="Arial"/>
          <w:sz w:val="20"/>
          <w:szCs w:val="20"/>
        </w:rPr>
        <w:t xml:space="preserve"> [ver los párrafos </w:t>
      </w:r>
      <w:fldSimple w:instr=" REF _Ref135047906 \r \h  \* MERGEFORMAT ">
        <w:r w:rsidR="00D33A5D" w:rsidRPr="00D33A5D">
          <w:rPr>
            <w:rFonts w:ascii="Arial" w:hAnsi="Arial" w:cs="Arial"/>
            <w:sz w:val="20"/>
            <w:szCs w:val="20"/>
          </w:rPr>
          <w:t>1021</w:t>
        </w:r>
      </w:fldSimple>
      <w:r w:rsidR="00BF39B6" w:rsidRPr="00AC4AEA">
        <w:rPr>
          <w:rFonts w:ascii="Arial" w:hAnsi="Arial" w:cs="Arial"/>
          <w:sz w:val="20"/>
          <w:szCs w:val="20"/>
        </w:rPr>
        <w:t xml:space="preserve"> a </w:t>
      </w:r>
      <w:fldSimple w:instr=" REF _Ref135047919 \r \h  \* MERGEFORMAT ">
        <w:r w:rsidR="00D33A5D" w:rsidRPr="00D33A5D">
          <w:rPr>
            <w:rFonts w:ascii="Arial" w:hAnsi="Arial" w:cs="Arial"/>
            <w:sz w:val="20"/>
            <w:szCs w:val="20"/>
          </w:rPr>
          <w:t>1041</w:t>
        </w:r>
      </w:fldSimple>
      <w:r w:rsidR="007D7512" w:rsidRPr="00AC4AEA">
        <w:rPr>
          <w:rFonts w:ascii="Arial" w:hAnsi="Arial" w:cs="Arial"/>
          <w:sz w:val="20"/>
          <w:szCs w:val="20"/>
        </w:rPr>
        <w:t xml:space="preserve">] </w:t>
      </w:r>
      <w:r w:rsidRPr="00AC4AEA">
        <w:rPr>
          <w:rFonts w:ascii="Arial" w:hAnsi="Arial" w:cs="Arial"/>
          <w:sz w:val="20"/>
          <w:szCs w:val="20"/>
        </w:rPr>
        <w:t>o la extracción de petróleo o gas en esta industria.</w:t>
      </w:r>
      <w:r w:rsidR="00A82EFF" w:rsidRPr="00AC4AEA">
        <w:rPr>
          <w:rFonts w:ascii="Arial" w:hAnsi="Arial" w:cs="Arial"/>
          <w:sz w:val="20"/>
          <w:szCs w:val="20"/>
        </w:rPr>
        <w:t xml:space="preserve"> </w:t>
      </w:r>
    </w:p>
    <w:p w:rsidR="00E61F2C" w:rsidRPr="00AC4AEA" w:rsidRDefault="00E61F2C" w:rsidP="00A318EA">
      <w:pPr>
        <w:pStyle w:val="Prrafodelista"/>
        <w:tabs>
          <w:tab w:val="left" w:pos="1872"/>
        </w:tabs>
        <w:ind w:left="1416"/>
        <w:contextualSpacing w:val="0"/>
        <w:jc w:val="both"/>
        <w:rPr>
          <w:rFonts w:ascii="Arial" w:hAnsi="Arial" w:cs="Arial"/>
          <w:sz w:val="20"/>
          <w:szCs w:val="20"/>
        </w:rPr>
      </w:pPr>
      <w:r w:rsidRPr="00AC4AEA">
        <w:rPr>
          <w:rFonts w:ascii="Arial" w:hAnsi="Arial" w:cs="Arial"/>
          <w:sz w:val="20"/>
          <w:szCs w:val="20"/>
          <w:u w:val="single"/>
        </w:rPr>
        <w:t>Ingresos de actividades ordinarias procedentes de transacciones (operaciones de intercambio)</w:t>
      </w:r>
      <w:r w:rsidRPr="00AC4AEA">
        <w:rPr>
          <w:rFonts w:ascii="Arial" w:hAnsi="Arial" w:cs="Arial"/>
          <w:sz w:val="20"/>
          <w:szCs w:val="20"/>
        </w:rPr>
        <w:t>:</w:t>
      </w:r>
      <w:r w:rsidRPr="00AC4AEA">
        <w:rPr>
          <w:rFonts w:ascii="Arial" w:hAnsi="Arial" w:cs="Arial"/>
          <w:sz w:val="20"/>
          <w:szCs w:val="20"/>
          <w:u w:val="single"/>
        </w:rPr>
        <w:t xml:space="preserve"> </w:t>
      </w:r>
      <w:r w:rsidRPr="00AC4AEA">
        <w:rPr>
          <w:rFonts w:ascii="Arial" w:hAnsi="Arial" w:cs="Arial"/>
          <w:sz w:val="20"/>
          <w:szCs w:val="20"/>
        </w:rPr>
        <w:t xml:space="preserve">Son los </w:t>
      </w:r>
      <w:r w:rsidRPr="00AC4AEA">
        <w:rPr>
          <w:rFonts w:ascii="Arial" w:hAnsi="Arial" w:cs="Arial"/>
          <w:b/>
          <w:bCs/>
          <w:sz w:val="20"/>
          <w:szCs w:val="20"/>
        </w:rPr>
        <w:t xml:space="preserve">ingresos de actividades ordinarias </w:t>
      </w:r>
      <w:r w:rsidRPr="00AC4AEA">
        <w:rPr>
          <w:rFonts w:ascii="Arial" w:hAnsi="Arial" w:cs="Arial"/>
          <w:sz w:val="20"/>
          <w:szCs w:val="20"/>
        </w:rPr>
        <w:t>originados en transacciones tales como las siguientes:</w:t>
      </w:r>
    </w:p>
    <w:p w:rsidR="00E61F2C" w:rsidRPr="00AC4AEA" w:rsidRDefault="00E61F2C" w:rsidP="00A318EA">
      <w:pPr>
        <w:pStyle w:val="Prrafodelista"/>
        <w:numPr>
          <w:ilvl w:val="0"/>
          <w:numId w:val="450"/>
        </w:numPr>
        <w:ind w:left="1985"/>
        <w:contextualSpacing w:val="0"/>
        <w:jc w:val="both"/>
        <w:rPr>
          <w:rFonts w:ascii="Arial" w:hAnsi="Arial" w:cs="Arial"/>
          <w:sz w:val="20"/>
          <w:szCs w:val="20"/>
        </w:rPr>
      </w:pPr>
      <w:r w:rsidRPr="00AC4AEA">
        <w:rPr>
          <w:rFonts w:ascii="Arial" w:hAnsi="Arial" w:cs="Arial"/>
          <w:sz w:val="20"/>
          <w:szCs w:val="20"/>
        </w:rPr>
        <w:t>Venta de bienes.</w:t>
      </w:r>
    </w:p>
    <w:p w:rsidR="00E61F2C" w:rsidRPr="00AC4AEA" w:rsidRDefault="00E61F2C" w:rsidP="00A318EA">
      <w:pPr>
        <w:pStyle w:val="Prrafodelista"/>
        <w:numPr>
          <w:ilvl w:val="0"/>
          <w:numId w:val="450"/>
        </w:numPr>
        <w:ind w:left="1985"/>
        <w:contextualSpacing w:val="0"/>
        <w:jc w:val="both"/>
        <w:rPr>
          <w:rFonts w:ascii="Arial" w:hAnsi="Arial" w:cs="Arial"/>
          <w:sz w:val="20"/>
          <w:szCs w:val="20"/>
        </w:rPr>
      </w:pPr>
      <w:r w:rsidRPr="00AC4AEA">
        <w:rPr>
          <w:rFonts w:ascii="Arial" w:hAnsi="Arial" w:cs="Arial"/>
          <w:sz w:val="20"/>
          <w:szCs w:val="20"/>
        </w:rPr>
        <w:t>Prestación de servicios.</w:t>
      </w:r>
    </w:p>
    <w:p w:rsidR="00E61F2C" w:rsidRPr="00AC4AEA" w:rsidRDefault="00E61F2C" w:rsidP="00A318EA">
      <w:pPr>
        <w:pStyle w:val="Prrafodelista"/>
        <w:numPr>
          <w:ilvl w:val="0"/>
          <w:numId w:val="450"/>
        </w:numPr>
        <w:ind w:left="1985"/>
        <w:contextualSpacing w:val="0"/>
        <w:jc w:val="both"/>
        <w:rPr>
          <w:rFonts w:ascii="Arial" w:hAnsi="Arial" w:cs="Arial"/>
          <w:sz w:val="20"/>
          <w:szCs w:val="20"/>
        </w:rPr>
      </w:pPr>
      <w:r w:rsidRPr="00AC4AEA">
        <w:rPr>
          <w:rFonts w:ascii="Arial" w:hAnsi="Arial" w:cs="Arial"/>
          <w:sz w:val="20"/>
          <w:szCs w:val="20"/>
        </w:rPr>
        <w:t>Construcción, fabricación o desarrollo de activos.</w:t>
      </w:r>
    </w:p>
    <w:p w:rsidR="00D641FD" w:rsidRPr="003D45CE" w:rsidRDefault="00E61F2C" w:rsidP="003D45CE">
      <w:pPr>
        <w:pStyle w:val="Prrafodelista"/>
        <w:numPr>
          <w:ilvl w:val="0"/>
          <w:numId w:val="450"/>
        </w:numPr>
        <w:ind w:left="1985"/>
        <w:contextualSpacing w:val="0"/>
        <w:jc w:val="both"/>
        <w:rPr>
          <w:rFonts w:ascii="Arial" w:hAnsi="Arial" w:cs="Arial"/>
          <w:sz w:val="20"/>
          <w:szCs w:val="20"/>
        </w:rPr>
      </w:pPr>
      <w:r w:rsidRPr="00AC4AEA">
        <w:rPr>
          <w:rFonts w:ascii="Arial" w:hAnsi="Arial" w:cs="Arial"/>
          <w:sz w:val="20"/>
          <w:szCs w:val="20"/>
        </w:rPr>
        <w:t>Actividades de intermediación.</w:t>
      </w:r>
    </w:p>
    <w:p w:rsidR="004E36D5" w:rsidRPr="00AC4AEA" w:rsidRDefault="004E36D5" w:rsidP="00A318EA">
      <w:pPr>
        <w:pStyle w:val="A-doctorado"/>
        <w:rPr>
          <w:rFonts w:ascii="Arial" w:hAnsi="Arial"/>
          <w:color w:val="auto"/>
          <w:sz w:val="20"/>
          <w:szCs w:val="20"/>
        </w:rPr>
      </w:pPr>
    </w:p>
    <w:p w:rsidR="00E61F2C" w:rsidRPr="00AC4AEA" w:rsidRDefault="00E61F2C" w:rsidP="00A318EA">
      <w:pPr>
        <w:pStyle w:val="Ttulo2"/>
        <w:rPr>
          <w:rFonts w:cs="Arial"/>
        </w:rPr>
      </w:pPr>
      <w:bookmarkStart w:id="754" w:name="_Toc139356839"/>
      <w:r w:rsidRPr="00AC4AEA">
        <w:rPr>
          <w:rFonts w:cs="Arial"/>
        </w:rPr>
        <w:t>Reconocimiento (devengamiento)</w:t>
      </w:r>
      <w:bookmarkEnd w:id="754"/>
    </w:p>
    <w:p w:rsidR="00E61F2C" w:rsidRPr="00AC4AEA" w:rsidRDefault="00E61F2C" w:rsidP="00A318EA">
      <w:pPr>
        <w:pStyle w:val="Prrafodelista"/>
        <w:numPr>
          <w:ilvl w:val="0"/>
          <w:numId w:val="29"/>
        </w:numPr>
        <w:contextualSpacing w:val="0"/>
        <w:jc w:val="both"/>
        <w:rPr>
          <w:rFonts w:ascii="Arial" w:hAnsi="Arial" w:cs="Arial"/>
          <w:sz w:val="20"/>
          <w:szCs w:val="20"/>
        </w:rPr>
      </w:pPr>
      <w:bookmarkStart w:id="755" w:name="_Ref104521570"/>
      <w:bookmarkStart w:id="756" w:name="_Ref104535925"/>
      <w:r w:rsidRPr="00AC4AEA">
        <w:rPr>
          <w:rFonts w:ascii="Arial" w:hAnsi="Arial" w:cs="Arial"/>
          <w:sz w:val="20"/>
          <w:szCs w:val="20"/>
        </w:rPr>
        <w:t xml:space="preserve">Una entidad reconocerá los </w:t>
      </w:r>
      <w:r w:rsidRPr="00AC4AEA">
        <w:rPr>
          <w:rFonts w:ascii="Arial" w:hAnsi="Arial" w:cs="Arial"/>
          <w:b/>
          <w:bCs/>
          <w:sz w:val="20"/>
          <w:szCs w:val="20"/>
        </w:rPr>
        <w:t>ingresos de actividades ordinarias</w:t>
      </w:r>
      <w:r w:rsidRPr="00AC4AEA">
        <w:rPr>
          <w:rFonts w:ascii="Arial" w:hAnsi="Arial" w:cs="Arial"/>
          <w:sz w:val="20"/>
          <w:szCs w:val="20"/>
        </w:rPr>
        <w:t xml:space="preserve"> por transacciones (operaciones de intercambio) cuando dichas transacciones estén concluidas de acuerdo con la sustancia o realidad económica, la que deberá primar sobre su forma legal o contractual. En función de ello, una entidad reconocerá</w:t>
      </w:r>
      <w:bookmarkEnd w:id="755"/>
      <w:r w:rsidRPr="00AC4AEA">
        <w:rPr>
          <w:rFonts w:ascii="Arial" w:hAnsi="Arial" w:cs="Arial"/>
          <w:sz w:val="20"/>
          <w:szCs w:val="20"/>
        </w:rPr>
        <w:t>:</w:t>
      </w:r>
      <w:bookmarkEnd w:id="756"/>
    </w:p>
    <w:p w:rsidR="00E61F2C" w:rsidRPr="00AC4AEA" w:rsidRDefault="00E61F2C" w:rsidP="00A318EA">
      <w:pPr>
        <w:pStyle w:val="Prrafodelista"/>
        <w:numPr>
          <w:ilvl w:val="0"/>
          <w:numId w:val="416"/>
        </w:numPr>
        <w:ind w:left="1560"/>
        <w:contextualSpacing w:val="0"/>
        <w:jc w:val="both"/>
        <w:rPr>
          <w:rFonts w:ascii="Arial" w:hAnsi="Arial" w:cs="Arial"/>
          <w:sz w:val="20"/>
          <w:szCs w:val="20"/>
        </w:rPr>
      </w:pPr>
      <w:r w:rsidRPr="00AC4AEA">
        <w:rPr>
          <w:rFonts w:ascii="Arial" w:hAnsi="Arial" w:cs="Arial"/>
          <w:sz w:val="20"/>
          <w:szCs w:val="20"/>
        </w:rPr>
        <w:t xml:space="preserve">Los ingresos por venta de bienes: en el momento de obtención del control de tales bienes por parte del cliente. Por ejemplo, cuando se produce la entrega del </w:t>
      </w:r>
      <w:r w:rsidRPr="00AC4AEA">
        <w:rPr>
          <w:rFonts w:ascii="Arial" w:hAnsi="Arial" w:cs="Arial"/>
          <w:b/>
          <w:bCs/>
          <w:sz w:val="20"/>
          <w:szCs w:val="20"/>
        </w:rPr>
        <w:t>activo</w:t>
      </w:r>
      <w:r w:rsidRPr="00AC4AEA">
        <w:rPr>
          <w:rFonts w:ascii="Arial" w:hAnsi="Arial" w:cs="Arial"/>
          <w:sz w:val="20"/>
          <w:szCs w:val="20"/>
        </w:rPr>
        <w:t xml:space="preserve"> y el cliente acepta el producto.</w:t>
      </w:r>
    </w:p>
    <w:p w:rsidR="00E61F2C" w:rsidRPr="00AC4AEA" w:rsidRDefault="00E61F2C" w:rsidP="00A318EA">
      <w:pPr>
        <w:pStyle w:val="Prrafodelista"/>
        <w:numPr>
          <w:ilvl w:val="0"/>
          <w:numId w:val="416"/>
        </w:numPr>
        <w:ind w:left="1560"/>
        <w:contextualSpacing w:val="0"/>
        <w:jc w:val="both"/>
        <w:rPr>
          <w:rFonts w:ascii="Arial" w:hAnsi="Arial" w:cs="Arial"/>
          <w:sz w:val="20"/>
          <w:szCs w:val="20"/>
        </w:rPr>
      </w:pPr>
      <w:r w:rsidRPr="00AC4AEA">
        <w:rPr>
          <w:rFonts w:ascii="Arial" w:hAnsi="Arial" w:cs="Arial"/>
          <w:sz w:val="20"/>
          <w:szCs w:val="20"/>
        </w:rPr>
        <w:t xml:space="preserve">Los ingresos procedentes de servicios: </w:t>
      </w:r>
    </w:p>
    <w:p w:rsidR="00E61F2C" w:rsidRPr="00AC4AEA" w:rsidRDefault="00E61F2C" w:rsidP="00A318EA">
      <w:pPr>
        <w:pStyle w:val="Prrafodelista"/>
        <w:numPr>
          <w:ilvl w:val="0"/>
          <w:numId w:val="451"/>
        </w:numPr>
        <w:ind w:left="1985" w:hanging="142"/>
        <w:contextualSpacing w:val="0"/>
        <w:jc w:val="both"/>
        <w:rPr>
          <w:rFonts w:ascii="Arial" w:hAnsi="Arial" w:cs="Arial"/>
          <w:sz w:val="20"/>
          <w:szCs w:val="20"/>
        </w:rPr>
      </w:pPr>
      <w:r w:rsidRPr="00AC4AEA">
        <w:rPr>
          <w:rFonts w:ascii="Arial" w:hAnsi="Arial" w:cs="Arial"/>
          <w:sz w:val="20"/>
          <w:szCs w:val="20"/>
        </w:rPr>
        <w:t>De prestación continua: a lo largo del plazo durante el cual se realiza la prestación. Por ejemplo, a medida que restaura un edificio perteneciente al cliente.</w:t>
      </w:r>
    </w:p>
    <w:p w:rsidR="00E61F2C" w:rsidRPr="00AC4AEA" w:rsidRDefault="00E61F2C" w:rsidP="00A318EA">
      <w:pPr>
        <w:pStyle w:val="Prrafodelista"/>
        <w:numPr>
          <w:ilvl w:val="0"/>
          <w:numId w:val="451"/>
        </w:numPr>
        <w:ind w:left="1985"/>
        <w:contextualSpacing w:val="0"/>
        <w:jc w:val="both"/>
        <w:rPr>
          <w:rFonts w:ascii="Arial" w:hAnsi="Arial" w:cs="Arial"/>
          <w:sz w:val="20"/>
          <w:szCs w:val="20"/>
        </w:rPr>
      </w:pPr>
      <w:r w:rsidRPr="00AC4AEA">
        <w:rPr>
          <w:rFonts w:ascii="Arial" w:hAnsi="Arial" w:cs="Arial"/>
          <w:sz w:val="20"/>
          <w:szCs w:val="20"/>
        </w:rPr>
        <w:t>No contemplados en (i): al concluir su prestación. Por ejemplo, cuando una consultora entrega el informe para cuya preparación fue contratada.</w:t>
      </w:r>
    </w:p>
    <w:p w:rsidR="00E61F2C" w:rsidRPr="00AC4AEA" w:rsidRDefault="00E61F2C" w:rsidP="00A318EA">
      <w:pPr>
        <w:pStyle w:val="Prrafodelista"/>
        <w:numPr>
          <w:ilvl w:val="0"/>
          <w:numId w:val="416"/>
        </w:numPr>
        <w:ind w:left="1560"/>
        <w:contextualSpacing w:val="0"/>
        <w:jc w:val="both"/>
        <w:rPr>
          <w:rFonts w:ascii="Arial" w:hAnsi="Arial" w:cs="Arial"/>
          <w:sz w:val="20"/>
          <w:szCs w:val="20"/>
        </w:rPr>
      </w:pPr>
      <w:r w:rsidRPr="00AC4AEA">
        <w:rPr>
          <w:rFonts w:ascii="Arial" w:hAnsi="Arial" w:cs="Arial"/>
          <w:sz w:val="20"/>
          <w:szCs w:val="20"/>
        </w:rPr>
        <w:t xml:space="preserve">Los ingresos procedentes de contratos de construcción: </w:t>
      </w:r>
    </w:p>
    <w:p w:rsidR="00E61F2C" w:rsidRPr="00AC4AEA" w:rsidRDefault="00E61F2C" w:rsidP="00A318EA">
      <w:pPr>
        <w:pStyle w:val="Prrafodelista"/>
        <w:numPr>
          <w:ilvl w:val="0"/>
          <w:numId w:val="418"/>
        </w:numPr>
        <w:ind w:left="1985"/>
        <w:contextualSpacing w:val="0"/>
        <w:jc w:val="both"/>
        <w:rPr>
          <w:rFonts w:ascii="Arial" w:hAnsi="Arial" w:cs="Arial"/>
          <w:sz w:val="20"/>
          <w:szCs w:val="20"/>
        </w:rPr>
      </w:pPr>
      <w:r w:rsidRPr="00AC4AEA">
        <w:rPr>
          <w:rFonts w:ascii="Arial" w:hAnsi="Arial" w:cs="Arial"/>
          <w:sz w:val="20"/>
          <w:szCs w:val="20"/>
        </w:rPr>
        <w:t>Si se asemejan a venta de bienes, según lo dispuesto en el inciso a).</w:t>
      </w:r>
      <w:r w:rsidR="00A82EFF" w:rsidRPr="00AC4AEA">
        <w:rPr>
          <w:rFonts w:ascii="Arial" w:hAnsi="Arial" w:cs="Arial"/>
          <w:sz w:val="20"/>
          <w:szCs w:val="20"/>
        </w:rPr>
        <w:t xml:space="preserve"> </w:t>
      </w:r>
      <w:r w:rsidRPr="00AC4AEA">
        <w:rPr>
          <w:rFonts w:ascii="Arial" w:hAnsi="Arial" w:cs="Arial"/>
          <w:sz w:val="20"/>
          <w:szCs w:val="20"/>
        </w:rPr>
        <w:t>Por ejemplo, si construye departamentos bajo la modalidad “a pozo” en su propio terreno y transfiere dichas propiedades al terminar la obra.</w:t>
      </w:r>
    </w:p>
    <w:p w:rsidR="00E61F2C" w:rsidRPr="00AC4AEA" w:rsidRDefault="00E61F2C" w:rsidP="00A318EA">
      <w:pPr>
        <w:pStyle w:val="Prrafodelista"/>
        <w:numPr>
          <w:ilvl w:val="0"/>
          <w:numId w:val="418"/>
        </w:numPr>
        <w:ind w:left="1985"/>
        <w:contextualSpacing w:val="0"/>
        <w:jc w:val="both"/>
        <w:rPr>
          <w:rFonts w:ascii="Arial" w:hAnsi="Arial" w:cs="Arial"/>
          <w:sz w:val="20"/>
          <w:szCs w:val="20"/>
        </w:rPr>
      </w:pPr>
      <w:r w:rsidRPr="00AC4AEA">
        <w:rPr>
          <w:rFonts w:ascii="Arial" w:hAnsi="Arial" w:cs="Arial"/>
          <w:sz w:val="20"/>
          <w:szCs w:val="20"/>
        </w:rPr>
        <w:t>Si se asemejan a servicios de prestación continua, según lo dispuesto en (i) del inciso b). Por ejemplo, si construye un edificio sobre un terreno cuya propiedad pertenece al cliente.</w:t>
      </w:r>
    </w:p>
    <w:p w:rsidR="00E61F2C" w:rsidRPr="00AC4AEA" w:rsidRDefault="00E61F2C" w:rsidP="00A318EA">
      <w:pPr>
        <w:pStyle w:val="Prrafodelista"/>
        <w:numPr>
          <w:ilvl w:val="0"/>
          <w:numId w:val="416"/>
        </w:numPr>
        <w:ind w:left="1560"/>
        <w:contextualSpacing w:val="0"/>
        <w:jc w:val="both"/>
        <w:rPr>
          <w:rFonts w:ascii="Arial" w:hAnsi="Arial" w:cs="Arial"/>
          <w:sz w:val="20"/>
          <w:szCs w:val="20"/>
        </w:rPr>
      </w:pPr>
      <w:r w:rsidRPr="00AC4AEA">
        <w:rPr>
          <w:rFonts w:ascii="Arial" w:hAnsi="Arial" w:cs="Arial"/>
          <w:sz w:val="20"/>
          <w:szCs w:val="20"/>
        </w:rPr>
        <w:t xml:space="preserve">Un anticipo de clientes si: </w:t>
      </w:r>
    </w:p>
    <w:p w:rsidR="00E61F2C" w:rsidRPr="00AC4AEA" w:rsidRDefault="00E61F2C" w:rsidP="00A318EA">
      <w:pPr>
        <w:pStyle w:val="Prrafodelista"/>
        <w:numPr>
          <w:ilvl w:val="0"/>
          <w:numId w:val="419"/>
        </w:numPr>
        <w:ind w:left="1985"/>
        <w:contextualSpacing w:val="0"/>
        <w:jc w:val="both"/>
        <w:rPr>
          <w:rFonts w:ascii="Arial" w:hAnsi="Arial" w:cs="Arial"/>
          <w:sz w:val="20"/>
          <w:szCs w:val="20"/>
        </w:rPr>
      </w:pPr>
      <w:r w:rsidRPr="00AC4AEA">
        <w:rPr>
          <w:rFonts w:ascii="Arial" w:hAnsi="Arial" w:cs="Arial"/>
          <w:sz w:val="20"/>
          <w:szCs w:val="20"/>
        </w:rPr>
        <w:lastRenderedPageBreak/>
        <w:t>se satisfacen las condiciones para el reconocimiento de los activos</w:t>
      </w:r>
      <w:r w:rsidR="00A82EFF" w:rsidRPr="00AC4AEA">
        <w:rPr>
          <w:rFonts w:ascii="Arial" w:hAnsi="Arial" w:cs="Arial"/>
          <w:sz w:val="20"/>
          <w:szCs w:val="20"/>
        </w:rPr>
        <w:t xml:space="preserve"> </w:t>
      </w:r>
      <w:r w:rsidRPr="00AC4AEA">
        <w:rPr>
          <w:rFonts w:ascii="Arial" w:hAnsi="Arial" w:cs="Arial"/>
          <w:sz w:val="20"/>
          <w:szCs w:val="20"/>
        </w:rPr>
        <w:t>o la baja de los pasivos que constituyen su contrapartida, establecidas en otra</w:t>
      </w:r>
      <w:r w:rsidR="00670DBD" w:rsidRPr="00AC4AEA">
        <w:rPr>
          <w:rFonts w:ascii="Arial" w:hAnsi="Arial" w:cs="Arial"/>
          <w:sz w:val="20"/>
          <w:szCs w:val="20"/>
        </w:rPr>
        <w:t>s</w:t>
      </w:r>
      <w:r w:rsidRPr="00AC4AEA">
        <w:rPr>
          <w:rFonts w:ascii="Arial" w:hAnsi="Arial" w:cs="Arial"/>
          <w:sz w:val="20"/>
          <w:szCs w:val="20"/>
        </w:rPr>
        <w:t xml:space="preserve"> secci</w:t>
      </w:r>
      <w:r w:rsidR="00670DBD" w:rsidRPr="00AC4AEA">
        <w:rPr>
          <w:rFonts w:ascii="Arial" w:hAnsi="Arial" w:cs="Arial"/>
          <w:sz w:val="20"/>
          <w:szCs w:val="20"/>
        </w:rPr>
        <w:t>ones</w:t>
      </w:r>
      <w:r w:rsidRPr="00AC4AEA">
        <w:rPr>
          <w:rFonts w:ascii="Arial" w:hAnsi="Arial" w:cs="Arial"/>
          <w:sz w:val="20"/>
          <w:szCs w:val="20"/>
        </w:rPr>
        <w:t xml:space="preserve"> de esta Resolución Técnica u </w:t>
      </w:r>
      <w:r w:rsidRPr="00AC4AEA">
        <w:rPr>
          <w:rFonts w:ascii="Arial" w:hAnsi="Arial" w:cs="Arial"/>
          <w:b/>
          <w:bCs/>
          <w:sz w:val="20"/>
          <w:szCs w:val="20"/>
        </w:rPr>
        <w:t>otras normas contables</w:t>
      </w:r>
      <w:r w:rsidRPr="00AC4AEA">
        <w:rPr>
          <w:rFonts w:ascii="Arial" w:hAnsi="Arial" w:cs="Arial"/>
          <w:sz w:val="20"/>
          <w:szCs w:val="20"/>
        </w:rPr>
        <w:t>; y</w:t>
      </w:r>
    </w:p>
    <w:p w:rsidR="00E61F2C" w:rsidRPr="00AC4AEA" w:rsidRDefault="00E61F2C" w:rsidP="00A318EA">
      <w:pPr>
        <w:pStyle w:val="Prrafodelista"/>
        <w:numPr>
          <w:ilvl w:val="0"/>
          <w:numId w:val="419"/>
        </w:numPr>
        <w:ind w:left="1985"/>
        <w:contextualSpacing w:val="0"/>
        <w:jc w:val="both"/>
        <w:rPr>
          <w:rFonts w:ascii="Arial" w:hAnsi="Arial" w:cs="Arial"/>
          <w:sz w:val="20"/>
          <w:szCs w:val="20"/>
        </w:rPr>
      </w:pPr>
      <w:r w:rsidRPr="00AC4AEA">
        <w:rPr>
          <w:rFonts w:ascii="Arial" w:hAnsi="Arial" w:cs="Arial"/>
          <w:sz w:val="20"/>
          <w:szCs w:val="20"/>
        </w:rPr>
        <w:t>la transacción (operación de intercambio) no puede ser considerada concluida desde el punto de vista de la realidad económica, según lo establecido en los incisos previos, de este párrafo.</w:t>
      </w:r>
    </w:p>
    <w:p w:rsidR="00E61F2C" w:rsidRPr="00AC4AEA" w:rsidRDefault="00E61F2C" w:rsidP="00181A70">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t>Cuando una transacción (operación de intercambio) involucr</w:t>
      </w:r>
      <w:r w:rsidR="00670DBD" w:rsidRPr="00AC4AEA">
        <w:rPr>
          <w:rFonts w:ascii="Arial" w:hAnsi="Arial" w:cs="Arial"/>
          <w:sz w:val="20"/>
          <w:szCs w:val="20"/>
        </w:rPr>
        <w:t>e</w:t>
      </w:r>
      <w:r w:rsidRPr="00AC4AEA">
        <w:rPr>
          <w:rFonts w:ascii="Arial" w:hAnsi="Arial" w:cs="Arial"/>
          <w:sz w:val="20"/>
          <w:szCs w:val="20"/>
        </w:rPr>
        <w:t xml:space="preserve"> distintos componentes que generan </w:t>
      </w:r>
      <w:r w:rsidRPr="00AC4AEA">
        <w:rPr>
          <w:rFonts w:ascii="Arial" w:hAnsi="Arial" w:cs="Arial"/>
          <w:b/>
          <w:bCs/>
          <w:sz w:val="20"/>
          <w:szCs w:val="20"/>
        </w:rPr>
        <w:t>ingresos de actividades ordinarias</w:t>
      </w:r>
      <w:r w:rsidRPr="00AC4AEA">
        <w:rPr>
          <w:rFonts w:ascii="Arial" w:hAnsi="Arial" w:cs="Arial"/>
          <w:sz w:val="20"/>
          <w:szCs w:val="20"/>
        </w:rPr>
        <w:t xml:space="preserve"> (por ejemplo, la venta de un producto que incluye un servicio prolongado de posventa), una entidad que es pequeña o mediana, podrá:</w:t>
      </w:r>
    </w:p>
    <w:p w:rsidR="00E61F2C" w:rsidRPr="00AC4AEA" w:rsidRDefault="00E61F2C" w:rsidP="00A318EA">
      <w:pPr>
        <w:pStyle w:val="Prrafodelista"/>
        <w:numPr>
          <w:ilvl w:val="0"/>
          <w:numId w:val="420"/>
        </w:numPr>
        <w:ind w:left="1560"/>
        <w:contextualSpacing w:val="0"/>
        <w:jc w:val="both"/>
        <w:rPr>
          <w:rFonts w:ascii="Arial" w:hAnsi="Arial" w:cs="Arial"/>
          <w:sz w:val="20"/>
          <w:szCs w:val="20"/>
        </w:rPr>
      </w:pPr>
      <w:r w:rsidRPr="00AC4AEA">
        <w:rPr>
          <w:rFonts w:ascii="Arial" w:hAnsi="Arial" w:cs="Arial"/>
          <w:sz w:val="20"/>
          <w:szCs w:val="20"/>
        </w:rPr>
        <w:t>no</w:t>
      </w:r>
      <w:r w:rsidR="00A82EFF" w:rsidRPr="00AC4AEA">
        <w:rPr>
          <w:rFonts w:ascii="Arial" w:hAnsi="Arial" w:cs="Arial"/>
          <w:sz w:val="20"/>
          <w:szCs w:val="20"/>
        </w:rPr>
        <w:t xml:space="preserve"> </w:t>
      </w:r>
      <w:r w:rsidRPr="00AC4AEA">
        <w:rPr>
          <w:rFonts w:ascii="Arial" w:hAnsi="Arial" w:cs="Arial"/>
          <w:sz w:val="20"/>
          <w:szCs w:val="20"/>
        </w:rPr>
        <w:t xml:space="preserve">separar los </w:t>
      </w:r>
      <w:r w:rsidRPr="00AC4AEA">
        <w:rPr>
          <w:rFonts w:ascii="Arial" w:hAnsi="Arial" w:cs="Arial"/>
          <w:b/>
          <w:bCs/>
          <w:sz w:val="20"/>
          <w:szCs w:val="20"/>
        </w:rPr>
        <w:t>ingresos de actividades ordinarias</w:t>
      </w:r>
      <w:r w:rsidRPr="00AC4AEA">
        <w:rPr>
          <w:rFonts w:ascii="Arial" w:hAnsi="Arial" w:cs="Arial"/>
          <w:sz w:val="20"/>
          <w:szCs w:val="20"/>
        </w:rPr>
        <w:t xml:space="preserve"> correspondientes a cada uno de dichos componentes; y</w:t>
      </w:r>
    </w:p>
    <w:p w:rsidR="00E61F2C" w:rsidRPr="00AC4AEA" w:rsidRDefault="00E61F2C" w:rsidP="00A318EA">
      <w:pPr>
        <w:pStyle w:val="Prrafodelista"/>
        <w:numPr>
          <w:ilvl w:val="0"/>
          <w:numId w:val="420"/>
        </w:numPr>
        <w:ind w:left="1560"/>
        <w:contextualSpacing w:val="0"/>
        <w:jc w:val="both"/>
        <w:rPr>
          <w:rFonts w:ascii="Arial" w:hAnsi="Arial" w:cs="Arial"/>
          <w:sz w:val="20"/>
          <w:szCs w:val="20"/>
        </w:rPr>
      </w:pPr>
      <w:r w:rsidRPr="00AC4AEA">
        <w:rPr>
          <w:rFonts w:ascii="Arial" w:hAnsi="Arial" w:cs="Arial"/>
          <w:sz w:val="20"/>
          <w:szCs w:val="20"/>
        </w:rPr>
        <w:t xml:space="preserve">reconocer la totalidad del </w:t>
      </w:r>
      <w:r w:rsidRPr="002A73C3">
        <w:rPr>
          <w:rFonts w:ascii="Arial" w:hAnsi="Arial" w:cs="Arial"/>
          <w:b/>
          <w:bCs/>
          <w:sz w:val="20"/>
          <w:szCs w:val="20"/>
        </w:rPr>
        <w:t xml:space="preserve">ingreso </w:t>
      </w:r>
      <w:r w:rsidRPr="00AC4AEA">
        <w:rPr>
          <w:rFonts w:ascii="Arial" w:hAnsi="Arial" w:cs="Arial"/>
          <w:sz w:val="20"/>
          <w:szCs w:val="20"/>
        </w:rPr>
        <w:t>cuando se devengue el correspondiente al componente principal.</w:t>
      </w:r>
    </w:p>
    <w:p w:rsidR="00E61F2C" w:rsidRPr="00AC4AEA" w:rsidRDefault="00E61F2C" w:rsidP="00A318EA">
      <w:pPr>
        <w:pStyle w:val="Prrafodelista"/>
        <w:ind w:left="1226"/>
        <w:contextualSpacing w:val="0"/>
        <w:jc w:val="both"/>
        <w:rPr>
          <w:rFonts w:ascii="Arial" w:hAnsi="Arial" w:cs="Arial"/>
          <w:sz w:val="20"/>
          <w:szCs w:val="20"/>
        </w:rPr>
      </w:pPr>
    </w:p>
    <w:p w:rsidR="00E61F2C" w:rsidRPr="00AC4AEA" w:rsidRDefault="00E61F2C" w:rsidP="00A318EA">
      <w:pPr>
        <w:pStyle w:val="Ttulo2"/>
        <w:rPr>
          <w:rFonts w:cs="Arial"/>
        </w:rPr>
      </w:pPr>
      <w:bookmarkStart w:id="757" w:name="_Toc139356840"/>
      <w:r w:rsidRPr="00AC4AEA">
        <w:rPr>
          <w:rFonts w:cs="Arial"/>
        </w:rPr>
        <w:t>Medición</w:t>
      </w:r>
      <w:bookmarkEnd w:id="757"/>
    </w:p>
    <w:p w:rsidR="00E61F2C" w:rsidRPr="00AC4AEA" w:rsidRDefault="00E61F2C" w:rsidP="00A318EA">
      <w:pPr>
        <w:pStyle w:val="Prrafodelista"/>
        <w:numPr>
          <w:ilvl w:val="0"/>
          <w:numId w:val="29"/>
        </w:numPr>
        <w:contextualSpacing w:val="0"/>
        <w:jc w:val="both"/>
        <w:rPr>
          <w:rFonts w:ascii="Arial" w:hAnsi="Arial" w:cs="Arial"/>
          <w:sz w:val="20"/>
          <w:szCs w:val="20"/>
        </w:rPr>
      </w:pPr>
      <w:bookmarkStart w:id="758" w:name="_Ref129405763"/>
      <w:r w:rsidRPr="00AC4AEA">
        <w:rPr>
          <w:rFonts w:ascii="Arial" w:hAnsi="Arial" w:cs="Arial"/>
          <w:sz w:val="20"/>
          <w:szCs w:val="20"/>
        </w:rPr>
        <w:t xml:space="preserve">Una entidad medirá los </w:t>
      </w:r>
      <w:r w:rsidRPr="00AC4AEA">
        <w:rPr>
          <w:rFonts w:ascii="Arial" w:hAnsi="Arial" w:cs="Arial"/>
          <w:b/>
          <w:bCs/>
          <w:sz w:val="20"/>
          <w:szCs w:val="20"/>
        </w:rPr>
        <w:t xml:space="preserve">ingresos de actividades ordinarias </w:t>
      </w:r>
      <w:r w:rsidRPr="00AC4AEA">
        <w:rPr>
          <w:rFonts w:ascii="Arial" w:hAnsi="Arial" w:cs="Arial"/>
          <w:sz w:val="20"/>
          <w:szCs w:val="20"/>
        </w:rPr>
        <w:t>procedentes de transacciones (operaciones de intercambio):</w:t>
      </w:r>
      <w:bookmarkEnd w:id="758"/>
    </w:p>
    <w:p w:rsidR="00416F65" w:rsidRPr="00AC4AEA" w:rsidRDefault="00486522" w:rsidP="00A318EA">
      <w:pPr>
        <w:pStyle w:val="Prrafodelista"/>
        <w:numPr>
          <w:ilvl w:val="0"/>
          <w:numId w:val="421"/>
        </w:numPr>
        <w:ind w:left="1560"/>
        <w:contextualSpacing w:val="0"/>
        <w:jc w:val="both"/>
        <w:rPr>
          <w:rFonts w:ascii="Arial" w:hAnsi="Arial" w:cs="Arial"/>
          <w:sz w:val="20"/>
          <w:szCs w:val="20"/>
        </w:rPr>
      </w:pPr>
      <w:r w:rsidRPr="00AC4AEA">
        <w:rPr>
          <w:rFonts w:ascii="Arial" w:hAnsi="Arial" w:cs="Arial"/>
          <w:sz w:val="20"/>
          <w:szCs w:val="20"/>
        </w:rPr>
        <w:t>E</w:t>
      </w:r>
      <w:r w:rsidR="00E61F2C" w:rsidRPr="00AC4AEA">
        <w:rPr>
          <w:rFonts w:ascii="Arial" w:hAnsi="Arial" w:cs="Arial"/>
          <w:sz w:val="20"/>
          <w:szCs w:val="20"/>
        </w:rPr>
        <w:t xml:space="preserve">n general, </w:t>
      </w:r>
      <w:r w:rsidR="00416F65" w:rsidRPr="00AC4AEA">
        <w:rPr>
          <w:rFonts w:ascii="Arial" w:hAnsi="Arial" w:cs="Arial"/>
          <w:sz w:val="20"/>
          <w:szCs w:val="20"/>
        </w:rPr>
        <w:t xml:space="preserve">por </w:t>
      </w:r>
      <w:r w:rsidRPr="00AC4AEA">
        <w:rPr>
          <w:rFonts w:ascii="Arial" w:hAnsi="Arial" w:cs="Arial"/>
          <w:sz w:val="20"/>
          <w:szCs w:val="20"/>
        </w:rPr>
        <w:t>el</w:t>
      </w:r>
      <w:r w:rsidR="00416F65" w:rsidRPr="00AC4AEA">
        <w:rPr>
          <w:rFonts w:ascii="Arial" w:hAnsi="Arial" w:cs="Arial"/>
          <w:sz w:val="20"/>
          <w:szCs w:val="20"/>
        </w:rPr>
        <w:t xml:space="preserve"> </w:t>
      </w:r>
      <w:r w:rsidR="003F25F9" w:rsidRPr="00AC4AEA">
        <w:rPr>
          <w:rFonts w:ascii="Arial" w:hAnsi="Arial" w:cs="Arial"/>
          <w:b/>
          <w:bCs/>
          <w:sz w:val="20"/>
          <w:szCs w:val="20"/>
        </w:rPr>
        <w:t>precio</w:t>
      </w:r>
      <w:r w:rsidR="00416F65" w:rsidRPr="00AC4AEA">
        <w:rPr>
          <w:rFonts w:ascii="Arial" w:hAnsi="Arial" w:cs="Arial"/>
          <w:b/>
          <w:bCs/>
          <w:sz w:val="20"/>
          <w:szCs w:val="20"/>
        </w:rPr>
        <w:t xml:space="preserve"> </w:t>
      </w:r>
      <w:r w:rsidRPr="00AC4AEA">
        <w:rPr>
          <w:rFonts w:ascii="Arial" w:hAnsi="Arial" w:cs="Arial"/>
          <w:b/>
          <w:bCs/>
          <w:sz w:val="20"/>
          <w:szCs w:val="20"/>
        </w:rPr>
        <w:t>convenido</w:t>
      </w:r>
      <w:r w:rsidRPr="00AC4AEA">
        <w:rPr>
          <w:rFonts w:ascii="Arial" w:hAnsi="Arial" w:cs="Arial"/>
          <w:sz w:val="20"/>
          <w:szCs w:val="20"/>
        </w:rPr>
        <w:t xml:space="preserve"> con</w:t>
      </w:r>
      <w:r w:rsidR="00416F65" w:rsidRPr="00AC4AEA">
        <w:rPr>
          <w:rFonts w:ascii="Arial" w:hAnsi="Arial" w:cs="Arial"/>
          <w:sz w:val="20"/>
          <w:szCs w:val="20"/>
        </w:rPr>
        <w:t xml:space="preserve"> sus clientes. </w:t>
      </w:r>
      <w:r w:rsidRPr="00AC4AEA">
        <w:rPr>
          <w:rFonts w:ascii="Arial" w:hAnsi="Arial" w:cs="Arial"/>
          <w:sz w:val="20"/>
          <w:szCs w:val="20"/>
        </w:rPr>
        <w:t>Con tal finalidad</w:t>
      </w:r>
      <w:r w:rsidR="00416F65" w:rsidRPr="00AC4AEA">
        <w:rPr>
          <w:rFonts w:ascii="Arial" w:hAnsi="Arial" w:cs="Arial"/>
          <w:sz w:val="20"/>
          <w:szCs w:val="20"/>
        </w:rPr>
        <w:t>:</w:t>
      </w:r>
    </w:p>
    <w:p w:rsidR="00416F65" w:rsidRPr="00AC4AEA" w:rsidRDefault="00486522" w:rsidP="00C01B25">
      <w:pPr>
        <w:pStyle w:val="Prrafodelista"/>
        <w:numPr>
          <w:ilvl w:val="0"/>
          <w:numId w:val="464"/>
        </w:numPr>
        <w:ind w:left="1985"/>
        <w:contextualSpacing w:val="0"/>
        <w:jc w:val="both"/>
        <w:rPr>
          <w:rFonts w:ascii="Arial" w:hAnsi="Arial" w:cs="Arial"/>
          <w:sz w:val="20"/>
          <w:szCs w:val="20"/>
        </w:rPr>
      </w:pPr>
      <w:r w:rsidRPr="00AC4AEA">
        <w:rPr>
          <w:rFonts w:ascii="Arial" w:hAnsi="Arial" w:cs="Arial"/>
          <w:sz w:val="20"/>
          <w:szCs w:val="20"/>
        </w:rPr>
        <w:t>considerará</w:t>
      </w:r>
      <w:r w:rsidR="00416F65" w:rsidRPr="00AC4AEA">
        <w:rPr>
          <w:rFonts w:ascii="Arial" w:hAnsi="Arial" w:cs="Arial"/>
          <w:sz w:val="20"/>
          <w:szCs w:val="20"/>
        </w:rPr>
        <w:t xml:space="preserve"> los criterios establecidos en esta Resolución Técnica u </w:t>
      </w:r>
      <w:r w:rsidR="00416F65" w:rsidRPr="00AC4AEA">
        <w:rPr>
          <w:rFonts w:ascii="Arial" w:hAnsi="Arial" w:cs="Arial"/>
          <w:b/>
          <w:bCs/>
          <w:sz w:val="20"/>
          <w:szCs w:val="20"/>
        </w:rPr>
        <w:t>otras normas contables</w:t>
      </w:r>
      <w:r w:rsidR="00416F65" w:rsidRPr="00AC4AEA">
        <w:rPr>
          <w:rFonts w:ascii="Arial" w:hAnsi="Arial" w:cs="Arial"/>
          <w:sz w:val="20"/>
          <w:szCs w:val="20"/>
        </w:rPr>
        <w:t xml:space="preserve"> </w:t>
      </w:r>
      <w:r w:rsidRPr="00AC4AEA">
        <w:rPr>
          <w:rFonts w:ascii="Arial" w:hAnsi="Arial" w:cs="Arial"/>
          <w:sz w:val="20"/>
          <w:szCs w:val="20"/>
        </w:rPr>
        <w:t>para la</w:t>
      </w:r>
      <w:r w:rsidR="00416F65" w:rsidRPr="00AC4AEA">
        <w:rPr>
          <w:rFonts w:ascii="Arial" w:hAnsi="Arial" w:cs="Arial"/>
          <w:sz w:val="20"/>
          <w:szCs w:val="20"/>
        </w:rPr>
        <w:t xml:space="preserve"> medición de la contrapartida (es decir, de los activos </w:t>
      </w:r>
      <w:r w:rsidR="007D7512" w:rsidRPr="00AC4AEA">
        <w:rPr>
          <w:rFonts w:ascii="Arial" w:hAnsi="Arial" w:cs="Arial"/>
          <w:sz w:val="20"/>
          <w:szCs w:val="20"/>
        </w:rPr>
        <w:t>reconocidos</w:t>
      </w:r>
      <w:r w:rsidR="0052091A" w:rsidRPr="00AC4AEA">
        <w:rPr>
          <w:rFonts w:ascii="Arial" w:hAnsi="Arial" w:cs="Arial"/>
          <w:sz w:val="20"/>
          <w:szCs w:val="20"/>
        </w:rPr>
        <w:t xml:space="preserve"> -créditos por ventas, derechos a facturar a clientes-</w:t>
      </w:r>
      <w:r w:rsidR="00416F65" w:rsidRPr="00AC4AEA">
        <w:rPr>
          <w:rFonts w:ascii="Arial" w:hAnsi="Arial" w:cs="Arial"/>
          <w:sz w:val="20"/>
          <w:szCs w:val="20"/>
        </w:rPr>
        <w:t xml:space="preserve"> o de los pasivos -anticipos de clientes- </w:t>
      </w:r>
      <w:r w:rsidR="007D7512" w:rsidRPr="00AC4AEA">
        <w:rPr>
          <w:rFonts w:ascii="Arial" w:hAnsi="Arial" w:cs="Arial"/>
          <w:sz w:val="20"/>
          <w:szCs w:val="20"/>
        </w:rPr>
        <w:t>dados de baja</w:t>
      </w:r>
      <w:r w:rsidR="00416F65" w:rsidRPr="00AC4AEA">
        <w:rPr>
          <w:rFonts w:ascii="Arial" w:hAnsi="Arial" w:cs="Arial"/>
          <w:sz w:val="20"/>
          <w:szCs w:val="20"/>
        </w:rPr>
        <w:t>); y</w:t>
      </w:r>
    </w:p>
    <w:p w:rsidR="00416F65" w:rsidRPr="00AC4AEA" w:rsidRDefault="00416F65" w:rsidP="00C01B25">
      <w:pPr>
        <w:pStyle w:val="Prrafodelista"/>
        <w:numPr>
          <w:ilvl w:val="0"/>
          <w:numId w:val="464"/>
        </w:numPr>
        <w:ind w:left="1985"/>
        <w:contextualSpacing w:val="0"/>
        <w:jc w:val="both"/>
        <w:rPr>
          <w:rFonts w:ascii="Arial" w:hAnsi="Arial" w:cs="Arial"/>
          <w:sz w:val="20"/>
          <w:szCs w:val="20"/>
        </w:rPr>
      </w:pPr>
      <w:r w:rsidRPr="00AC4AEA">
        <w:rPr>
          <w:rFonts w:ascii="Arial" w:hAnsi="Arial" w:cs="Arial"/>
          <w:sz w:val="20"/>
          <w:szCs w:val="20"/>
        </w:rPr>
        <w:t>excluirá las sumas cobradas o a cobrar por cuenta de terceros (por ejemplo, débitos fiscales del Impuesto al Valor Agregado)</w:t>
      </w:r>
      <w:r w:rsidR="00486522" w:rsidRPr="00AC4AEA">
        <w:rPr>
          <w:rFonts w:ascii="Arial" w:hAnsi="Arial" w:cs="Arial"/>
          <w:sz w:val="20"/>
          <w:szCs w:val="20"/>
        </w:rPr>
        <w:t>.</w:t>
      </w:r>
    </w:p>
    <w:p w:rsidR="00486522" w:rsidRPr="00AC4AEA" w:rsidRDefault="00486522" w:rsidP="00A318EA">
      <w:pPr>
        <w:pStyle w:val="Prrafodelista"/>
        <w:numPr>
          <w:ilvl w:val="0"/>
          <w:numId w:val="421"/>
        </w:numPr>
        <w:ind w:left="1560"/>
        <w:contextualSpacing w:val="0"/>
        <w:jc w:val="both"/>
        <w:rPr>
          <w:rFonts w:ascii="Arial" w:hAnsi="Arial" w:cs="Arial"/>
          <w:sz w:val="20"/>
          <w:szCs w:val="20"/>
        </w:rPr>
      </w:pPr>
      <w:r w:rsidRPr="00AC4AEA">
        <w:rPr>
          <w:rFonts w:ascii="Arial" w:hAnsi="Arial" w:cs="Arial"/>
          <w:sz w:val="20"/>
          <w:szCs w:val="20"/>
        </w:rPr>
        <w:t>S</w:t>
      </w:r>
      <w:r w:rsidR="00E61F2C" w:rsidRPr="00AC4AEA">
        <w:rPr>
          <w:rFonts w:ascii="Arial" w:hAnsi="Arial" w:cs="Arial"/>
          <w:sz w:val="20"/>
          <w:szCs w:val="20"/>
        </w:rPr>
        <w:t>i se originan en servicios de prestación continua o contratos de construcción asimilables a estos servicios</w:t>
      </w:r>
      <w:r w:rsidRPr="00AC4AEA">
        <w:rPr>
          <w:rFonts w:ascii="Arial" w:hAnsi="Arial" w:cs="Arial"/>
          <w:sz w:val="20"/>
          <w:szCs w:val="20"/>
        </w:rPr>
        <w:t>,</w:t>
      </w:r>
      <w:r w:rsidR="00E61F2C" w:rsidRPr="00AC4AEA">
        <w:rPr>
          <w:rFonts w:ascii="Arial" w:hAnsi="Arial" w:cs="Arial"/>
          <w:sz w:val="20"/>
          <w:szCs w:val="20"/>
        </w:rPr>
        <w:t xml:space="preserve"> </w:t>
      </w:r>
      <w:r w:rsidRPr="00AC4AEA">
        <w:rPr>
          <w:rFonts w:ascii="Arial" w:hAnsi="Arial" w:cs="Arial"/>
          <w:sz w:val="20"/>
          <w:szCs w:val="20"/>
        </w:rPr>
        <w:t>considerando:</w:t>
      </w:r>
    </w:p>
    <w:p w:rsidR="00486522" w:rsidRPr="00AC4AEA" w:rsidRDefault="00486522" w:rsidP="00C01B25">
      <w:pPr>
        <w:pStyle w:val="Prrafodelista"/>
        <w:numPr>
          <w:ilvl w:val="0"/>
          <w:numId w:val="466"/>
        </w:numPr>
        <w:ind w:left="1985"/>
        <w:contextualSpacing w:val="0"/>
        <w:jc w:val="both"/>
        <w:rPr>
          <w:rFonts w:ascii="Arial" w:hAnsi="Arial" w:cs="Arial"/>
          <w:sz w:val="20"/>
          <w:szCs w:val="20"/>
        </w:rPr>
      </w:pPr>
      <w:r w:rsidRPr="00AC4AEA">
        <w:rPr>
          <w:rFonts w:ascii="Arial" w:hAnsi="Arial" w:cs="Arial"/>
          <w:sz w:val="20"/>
          <w:szCs w:val="20"/>
        </w:rPr>
        <w:t xml:space="preserve">el </w:t>
      </w:r>
      <w:r w:rsidR="003F25F9" w:rsidRPr="00AC4AEA">
        <w:rPr>
          <w:rFonts w:ascii="Arial" w:hAnsi="Arial" w:cs="Arial"/>
          <w:b/>
          <w:bCs/>
          <w:sz w:val="20"/>
          <w:szCs w:val="20"/>
        </w:rPr>
        <w:t>precio convenido</w:t>
      </w:r>
      <w:r w:rsidRPr="00AC4AEA">
        <w:rPr>
          <w:rFonts w:ascii="Arial" w:hAnsi="Arial" w:cs="Arial"/>
          <w:sz w:val="20"/>
          <w:szCs w:val="20"/>
        </w:rPr>
        <w:t xml:space="preserve"> con sus clientes</w:t>
      </w:r>
      <w:r w:rsidR="007D7512" w:rsidRPr="00AC4AEA">
        <w:rPr>
          <w:rFonts w:ascii="Arial" w:hAnsi="Arial" w:cs="Arial"/>
          <w:sz w:val="20"/>
          <w:szCs w:val="20"/>
        </w:rPr>
        <w:t>, de acuerdo con lo dispuesto en el inciso inmediato anterior</w:t>
      </w:r>
      <w:r w:rsidRPr="00AC4AEA">
        <w:rPr>
          <w:rFonts w:ascii="Arial" w:hAnsi="Arial" w:cs="Arial"/>
          <w:sz w:val="20"/>
          <w:szCs w:val="20"/>
        </w:rPr>
        <w:t>; y</w:t>
      </w:r>
    </w:p>
    <w:p w:rsidR="00E61F2C" w:rsidRPr="00AC4AEA" w:rsidRDefault="00486522" w:rsidP="00C01B25">
      <w:pPr>
        <w:pStyle w:val="Prrafodelista"/>
        <w:numPr>
          <w:ilvl w:val="0"/>
          <w:numId w:val="466"/>
        </w:numPr>
        <w:ind w:left="1985"/>
        <w:contextualSpacing w:val="0"/>
        <w:jc w:val="both"/>
        <w:rPr>
          <w:rFonts w:ascii="Arial" w:hAnsi="Arial" w:cs="Arial"/>
          <w:sz w:val="20"/>
          <w:szCs w:val="20"/>
        </w:rPr>
      </w:pPr>
      <w:r w:rsidRPr="00AC4AEA">
        <w:rPr>
          <w:rFonts w:ascii="Arial" w:hAnsi="Arial" w:cs="Arial"/>
          <w:sz w:val="20"/>
          <w:szCs w:val="20"/>
        </w:rPr>
        <w:t>el</w:t>
      </w:r>
      <w:r w:rsidR="00E61F2C" w:rsidRPr="00AC4AEA">
        <w:rPr>
          <w:rFonts w:ascii="Arial" w:hAnsi="Arial" w:cs="Arial"/>
          <w:sz w:val="20"/>
          <w:szCs w:val="20"/>
        </w:rPr>
        <w:t xml:space="preserve"> grado de avance o cumplimiento</w:t>
      </w:r>
      <w:r w:rsidRPr="00AC4AEA">
        <w:rPr>
          <w:rFonts w:ascii="Arial" w:hAnsi="Arial" w:cs="Arial"/>
          <w:sz w:val="20"/>
          <w:szCs w:val="20"/>
        </w:rPr>
        <w:t>.</w:t>
      </w:r>
    </w:p>
    <w:p w:rsidR="00E61F2C" w:rsidRPr="00AC4AEA" w:rsidRDefault="00486522" w:rsidP="00A318EA">
      <w:pPr>
        <w:pStyle w:val="Prrafodelista"/>
        <w:numPr>
          <w:ilvl w:val="0"/>
          <w:numId w:val="421"/>
        </w:numPr>
        <w:ind w:left="1560"/>
        <w:contextualSpacing w:val="0"/>
        <w:jc w:val="both"/>
        <w:rPr>
          <w:rFonts w:ascii="Arial" w:hAnsi="Arial" w:cs="Arial"/>
          <w:sz w:val="20"/>
          <w:szCs w:val="20"/>
        </w:rPr>
      </w:pPr>
      <w:r w:rsidRPr="00AC4AEA">
        <w:rPr>
          <w:rFonts w:ascii="Arial" w:hAnsi="Arial" w:cs="Arial"/>
          <w:sz w:val="20"/>
          <w:szCs w:val="20"/>
        </w:rPr>
        <w:t>Si</w:t>
      </w:r>
      <w:r w:rsidR="00E61F2C" w:rsidRPr="00AC4AEA">
        <w:rPr>
          <w:rFonts w:ascii="Arial" w:hAnsi="Arial" w:cs="Arial"/>
          <w:sz w:val="20"/>
          <w:szCs w:val="20"/>
        </w:rPr>
        <w:t xml:space="preserve"> provienen de actividades de intermediación, por un importe equivalente a la comisión o concepto</w:t>
      </w:r>
      <w:r w:rsidRPr="00AC4AEA">
        <w:rPr>
          <w:rFonts w:ascii="Arial" w:hAnsi="Arial" w:cs="Arial"/>
          <w:sz w:val="20"/>
          <w:szCs w:val="20"/>
        </w:rPr>
        <w:t>s</w:t>
      </w:r>
      <w:r w:rsidR="00E61F2C" w:rsidRPr="00AC4AEA">
        <w:rPr>
          <w:rFonts w:ascii="Arial" w:hAnsi="Arial" w:cs="Arial"/>
          <w:sz w:val="20"/>
          <w:szCs w:val="20"/>
        </w:rPr>
        <w:t xml:space="preserve"> similar</w:t>
      </w:r>
      <w:r w:rsidRPr="00AC4AEA">
        <w:rPr>
          <w:rFonts w:ascii="Arial" w:hAnsi="Arial" w:cs="Arial"/>
          <w:sz w:val="20"/>
          <w:szCs w:val="20"/>
        </w:rPr>
        <w:t>es convenidos con sus clientes</w:t>
      </w:r>
      <w:r w:rsidR="00E61F2C" w:rsidRPr="00AC4AEA">
        <w:rPr>
          <w:rFonts w:ascii="Arial" w:hAnsi="Arial" w:cs="Arial"/>
          <w:sz w:val="20"/>
          <w:szCs w:val="20"/>
        </w:rPr>
        <w:t xml:space="preserve">. </w:t>
      </w:r>
    </w:p>
    <w:p w:rsidR="00970156" w:rsidRPr="00AC4AEA" w:rsidRDefault="00970156" w:rsidP="00A318EA">
      <w:pPr>
        <w:pStyle w:val="A-azul"/>
        <w:ind w:left="1276" w:hanging="709"/>
        <w:jc w:val="both"/>
        <w:rPr>
          <w:rFonts w:ascii="Arial" w:hAnsi="Arial" w:cs="Arial"/>
          <w:i w:val="0"/>
          <w:color w:val="auto"/>
          <w:sz w:val="20"/>
          <w:szCs w:val="20"/>
          <w:lang w:val="es-AR"/>
        </w:rPr>
      </w:pPr>
    </w:p>
    <w:p w:rsidR="00E61F2C" w:rsidRPr="00AC4AEA" w:rsidRDefault="00E61F2C" w:rsidP="00A318EA">
      <w:pPr>
        <w:pStyle w:val="Ttulo2"/>
        <w:rPr>
          <w:rFonts w:cs="Arial"/>
        </w:rPr>
      </w:pPr>
      <w:bookmarkStart w:id="759" w:name="_Toc139356841"/>
      <w:r w:rsidRPr="00AC4AEA">
        <w:rPr>
          <w:rFonts w:cs="Arial"/>
        </w:rPr>
        <w:t>Otras normas aplicables</w:t>
      </w:r>
      <w:bookmarkEnd w:id="759"/>
    </w:p>
    <w:p w:rsidR="00E61F2C" w:rsidRPr="00AC4AEA" w:rsidRDefault="00E61F2C" w:rsidP="00A318EA">
      <w:pPr>
        <w:pStyle w:val="Prrafodelista"/>
        <w:numPr>
          <w:ilvl w:val="0"/>
          <w:numId w:val="29"/>
        </w:numPr>
        <w:contextualSpacing w:val="0"/>
        <w:jc w:val="both"/>
        <w:rPr>
          <w:rFonts w:ascii="Arial" w:hAnsi="Arial" w:cs="Arial"/>
          <w:sz w:val="20"/>
          <w:szCs w:val="20"/>
        </w:rPr>
      </w:pPr>
      <w:bookmarkStart w:id="760" w:name="_Ref104535952"/>
      <w:r w:rsidRPr="00AC4AEA">
        <w:rPr>
          <w:rFonts w:ascii="Arial" w:hAnsi="Arial" w:cs="Arial"/>
          <w:sz w:val="20"/>
          <w:szCs w:val="20"/>
        </w:rPr>
        <w:t xml:space="preserve">Para aplicar los requerimientos establecidos </w:t>
      </w:r>
      <w:r w:rsidR="002C3FB9" w:rsidRPr="00AC4AEA">
        <w:rPr>
          <w:rFonts w:ascii="Arial" w:hAnsi="Arial" w:cs="Arial"/>
          <w:sz w:val="20"/>
          <w:szCs w:val="20"/>
        </w:rPr>
        <w:t>para “</w:t>
      </w:r>
      <w:r w:rsidR="002C3FB9" w:rsidRPr="00AC4AEA">
        <w:rPr>
          <w:rFonts w:ascii="Arial" w:hAnsi="Arial" w:cs="Arial"/>
          <w:sz w:val="20"/>
          <w:szCs w:val="20"/>
          <w:u w:val="single"/>
        </w:rPr>
        <w:t>Reconocimiento de ingresos de actividades ordinarias procedentes de transacciones (operaciones de intercambio</w:t>
      </w:r>
      <w:r w:rsidR="002C3FB9" w:rsidRPr="00AC4AEA">
        <w:rPr>
          <w:rFonts w:ascii="Arial" w:hAnsi="Arial" w:cs="Arial"/>
          <w:sz w:val="20"/>
          <w:szCs w:val="20"/>
        </w:rPr>
        <w:t xml:space="preserve">)”, </w:t>
      </w:r>
      <w:r w:rsidR="002C3FB9" w:rsidRPr="00AC4AEA">
        <w:rPr>
          <w:rFonts w:ascii="Arial" w:hAnsi="Arial" w:cs="Arial"/>
          <w:sz w:val="20"/>
          <w:szCs w:val="20"/>
        </w:rPr>
        <w:lastRenderedPageBreak/>
        <w:t>una entidad</w:t>
      </w:r>
      <w:r w:rsidRPr="00AC4AEA">
        <w:rPr>
          <w:rFonts w:ascii="Arial" w:hAnsi="Arial" w:cs="Arial"/>
          <w:sz w:val="20"/>
          <w:szCs w:val="20"/>
        </w:rPr>
        <w:t xml:space="preserve"> deberá contemplar, en tanto resulten pertinentes y no contradigan lo establecido en esta sección, otras disposiciones de esta Resolución Técnica u </w:t>
      </w:r>
      <w:r w:rsidRPr="00AC4AEA">
        <w:rPr>
          <w:rFonts w:ascii="Arial" w:hAnsi="Arial" w:cs="Arial"/>
          <w:b/>
          <w:bCs/>
          <w:sz w:val="20"/>
          <w:szCs w:val="20"/>
        </w:rPr>
        <w:t>otras normas contables</w:t>
      </w:r>
      <w:r w:rsidRPr="00AC4AEA">
        <w:rPr>
          <w:rFonts w:ascii="Arial" w:hAnsi="Arial" w:cs="Arial"/>
          <w:sz w:val="20"/>
          <w:szCs w:val="20"/>
        </w:rPr>
        <w:t>. Por ejemplo, las referidas a:</w:t>
      </w:r>
      <w:bookmarkEnd w:id="760"/>
      <w:r w:rsidRPr="00AC4AEA">
        <w:rPr>
          <w:rFonts w:ascii="Arial" w:hAnsi="Arial" w:cs="Arial"/>
          <w:sz w:val="20"/>
          <w:szCs w:val="20"/>
        </w:rPr>
        <w:t xml:space="preserve"> </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Tratamiento de componentes financieros</w:t>
      </w:r>
      <w:r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Pr="00AC4AEA">
        <w:rPr>
          <w:rFonts w:ascii="Arial" w:hAnsi="Arial" w:cs="Arial"/>
          <w:sz w:val="20"/>
          <w:szCs w:val="20"/>
        </w:rPr>
        <w:t>].</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u w:val="single"/>
        </w:rPr>
        <w:t>“Créditos en moneda</w:t>
      </w:r>
      <w:r w:rsidRPr="00AC4AEA">
        <w:rPr>
          <w:rFonts w:ascii="Arial" w:hAnsi="Arial" w:cs="Arial"/>
          <w:sz w:val="20"/>
          <w:szCs w:val="20"/>
        </w:rPr>
        <w:t xml:space="preserve">” [ver los párrafos </w:t>
      </w:r>
      <w:fldSimple w:instr=" REF _Ref103264795 \r \h  \* MERGEFORMAT ">
        <w:r w:rsidR="00D33A5D" w:rsidRPr="00D33A5D">
          <w:rPr>
            <w:rFonts w:ascii="Arial" w:hAnsi="Arial" w:cs="Arial"/>
            <w:sz w:val="20"/>
            <w:szCs w:val="20"/>
          </w:rPr>
          <w:t>236</w:t>
        </w:r>
      </w:fldSimple>
      <w:r w:rsidR="0074293A" w:rsidRPr="00AC4AEA">
        <w:rPr>
          <w:rFonts w:ascii="Arial" w:hAnsi="Arial" w:cs="Arial"/>
          <w:sz w:val="20"/>
          <w:szCs w:val="20"/>
        </w:rPr>
        <w:t xml:space="preserve"> al </w:t>
      </w:r>
      <w:fldSimple w:instr=" REF _Ref103264815 \r \h  \* MERGEFORMAT ">
        <w:r w:rsidR="00D33A5D" w:rsidRPr="00D33A5D">
          <w:rPr>
            <w:rFonts w:ascii="Arial" w:hAnsi="Arial" w:cs="Arial"/>
            <w:sz w:val="20"/>
            <w:szCs w:val="20"/>
          </w:rPr>
          <w:t>269</w:t>
        </w:r>
      </w:fldSimple>
      <w:r w:rsidRPr="00AC4AEA">
        <w:rPr>
          <w:rFonts w:ascii="Arial" w:hAnsi="Arial" w:cs="Arial"/>
          <w:sz w:val="20"/>
          <w:szCs w:val="20"/>
        </w:rPr>
        <w:t>].</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u w:val="single"/>
        </w:rPr>
        <w:t>“Créditos en especie</w:t>
      </w:r>
      <w:r w:rsidRPr="00AC4AEA">
        <w:rPr>
          <w:rFonts w:ascii="Arial" w:hAnsi="Arial" w:cs="Arial"/>
          <w:sz w:val="20"/>
          <w:szCs w:val="20"/>
        </w:rPr>
        <w:t xml:space="preserve">” [ver los párrafos </w:t>
      </w:r>
      <w:fldSimple w:instr=" REF _Ref105075927 \r \h  \* MERGEFORMAT ">
        <w:r w:rsidR="00D33A5D" w:rsidRPr="00D33A5D">
          <w:rPr>
            <w:rFonts w:ascii="Arial" w:hAnsi="Arial" w:cs="Arial"/>
            <w:sz w:val="20"/>
            <w:szCs w:val="20"/>
          </w:rPr>
          <w:t>270</w:t>
        </w:r>
      </w:fldSimple>
      <w:r w:rsidR="0074293A" w:rsidRPr="00AC4AEA">
        <w:rPr>
          <w:rFonts w:ascii="Arial" w:hAnsi="Arial" w:cs="Arial"/>
          <w:sz w:val="20"/>
          <w:szCs w:val="20"/>
        </w:rPr>
        <w:t xml:space="preserve"> al </w:t>
      </w:r>
      <w:fldSimple w:instr=" REF _Ref105075937 \r \h  \* MERGEFORMAT ">
        <w:r w:rsidR="00D33A5D" w:rsidRPr="00D33A5D">
          <w:rPr>
            <w:rFonts w:ascii="Arial" w:hAnsi="Arial" w:cs="Arial"/>
            <w:sz w:val="20"/>
            <w:szCs w:val="20"/>
          </w:rPr>
          <w:t>286</w:t>
        </w:r>
      </w:fldSimple>
      <w:r w:rsidRPr="00AC4AEA">
        <w:rPr>
          <w:rFonts w:ascii="Arial" w:hAnsi="Arial" w:cs="Arial"/>
          <w:sz w:val="20"/>
          <w:szCs w:val="20"/>
        </w:rPr>
        <w:t>].</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u w:val="single"/>
        </w:rPr>
        <w:t xml:space="preserve">“Pasivos ciertos (deudas) en </w:t>
      </w:r>
      <w:r w:rsidR="0074293A" w:rsidRPr="00AC4AEA">
        <w:rPr>
          <w:rFonts w:ascii="Arial" w:hAnsi="Arial" w:cs="Arial"/>
          <w:sz w:val="20"/>
          <w:szCs w:val="20"/>
          <w:u w:val="single"/>
        </w:rPr>
        <w:t>moneda</w:t>
      </w:r>
      <w:r w:rsidR="005D58CE" w:rsidRPr="00AC4AEA">
        <w:rPr>
          <w:rFonts w:ascii="Arial" w:hAnsi="Arial" w:cs="Arial"/>
          <w:sz w:val="20"/>
          <w:szCs w:val="20"/>
        </w:rPr>
        <w:t>”</w:t>
      </w:r>
      <w:r w:rsidRPr="00AC4AEA">
        <w:rPr>
          <w:rFonts w:ascii="Arial" w:hAnsi="Arial" w:cs="Arial"/>
          <w:sz w:val="20"/>
          <w:szCs w:val="20"/>
        </w:rPr>
        <w:t xml:space="preserve"> [ver los párrafos </w:t>
      </w:r>
      <w:fldSimple w:instr=" REF _Ref105076075 \r \h  \* MERGEFORMAT ">
        <w:r w:rsidR="00D33A5D" w:rsidRPr="00D33A5D">
          <w:rPr>
            <w:rFonts w:ascii="Arial" w:hAnsi="Arial" w:cs="Arial"/>
            <w:sz w:val="20"/>
            <w:szCs w:val="20"/>
          </w:rPr>
          <w:t>457</w:t>
        </w:r>
      </w:fldSimple>
      <w:r w:rsidR="0074293A" w:rsidRPr="00AC4AEA">
        <w:rPr>
          <w:rFonts w:ascii="Arial" w:hAnsi="Arial" w:cs="Arial"/>
          <w:sz w:val="20"/>
          <w:szCs w:val="20"/>
        </w:rPr>
        <w:t xml:space="preserve"> al </w:t>
      </w:r>
      <w:fldSimple w:instr=" REF _Ref105076082 \r \h  \* MERGEFORMAT ">
        <w:r w:rsidR="00D33A5D" w:rsidRPr="00D33A5D">
          <w:rPr>
            <w:rFonts w:ascii="Arial" w:hAnsi="Arial" w:cs="Arial"/>
            <w:sz w:val="20"/>
            <w:szCs w:val="20"/>
          </w:rPr>
          <w:t>476</w:t>
        </w:r>
      </w:fldSimple>
      <w:r w:rsidRPr="00AC4AEA">
        <w:rPr>
          <w:rFonts w:ascii="Arial" w:hAnsi="Arial" w:cs="Arial"/>
          <w:sz w:val="20"/>
          <w:szCs w:val="20"/>
        </w:rPr>
        <w:t>].</w:t>
      </w:r>
    </w:p>
    <w:p w:rsidR="0074293A" w:rsidRPr="00AC4AEA" w:rsidRDefault="0074293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u w:val="single"/>
        </w:rPr>
        <w:t>“Pasivos ciertos (deudas) en especie</w:t>
      </w:r>
      <w:r w:rsidR="005D58CE" w:rsidRPr="00AC4AEA">
        <w:rPr>
          <w:rFonts w:ascii="Arial" w:hAnsi="Arial" w:cs="Arial"/>
          <w:sz w:val="20"/>
          <w:szCs w:val="20"/>
        </w:rPr>
        <w:t>”</w:t>
      </w:r>
      <w:r w:rsidRPr="00AC4AEA">
        <w:rPr>
          <w:rFonts w:ascii="Arial" w:hAnsi="Arial" w:cs="Arial"/>
          <w:sz w:val="20"/>
          <w:szCs w:val="20"/>
        </w:rPr>
        <w:t xml:space="preserve"> [ver los párrafos </w:t>
      </w:r>
      <w:fldSimple w:instr=" REF _Ref105076091 \r \h  \* MERGEFORMAT ">
        <w:r w:rsidR="00D33A5D" w:rsidRPr="00D33A5D">
          <w:rPr>
            <w:rFonts w:ascii="Arial" w:hAnsi="Arial" w:cs="Arial"/>
            <w:sz w:val="20"/>
            <w:szCs w:val="20"/>
          </w:rPr>
          <w:t>477</w:t>
        </w:r>
      </w:fldSimple>
      <w:r w:rsidRPr="00AC4AEA">
        <w:rPr>
          <w:rFonts w:ascii="Arial" w:hAnsi="Arial" w:cs="Arial"/>
          <w:sz w:val="20"/>
          <w:szCs w:val="20"/>
        </w:rPr>
        <w:t xml:space="preserve"> al </w:t>
      </w:r>
      <w:fldSimple w:instr=" REF _Ref105076102 \r \h  \* MERGEFORMAT ">
        <w:r w:rsidR="00D33A5D" w:rsidRPr="00D33A5D">
          <w:rPr>
            <w:rFonts w:ascii="Arial" w:hAnsi="Arial" w:cs="Arial"/>
            <w:sz w:val="20"/>
            <w:szCs w:val="20"/>
          </w:rPr>
          <w:t>486</w:t>
        </w:r>
      </w:fldSimple>
      <w:r w:rsidRPr="00AC4AEA">
        <w:rPr>
          <w:rFonts w:ascii="Arial" w:hAnsi="Arial" w:cs="Arial"/>
          <w:sz w:val="20"/>
          <w:szCs w:val="20"/>
        </w:rPr>
        <w:t>].</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E61F2C" w:rsidRPr="00AC4AEA" w:rsidRDefault="00E61F2C"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Cuestiones referidas al estado de resultados</w:t>
      </w:r>
      <w:r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00BE29B1"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Pr="00AC4AEA">
        <w:rPr>
          <w:rFonts w:ascii="Arial" w:hAnsi="Arial" w:cs="Arial"/>
          <w:sz w:val="20"/>
          <w:szCs w:val="20"/>
        </w:rPr>
        <w:t>].</w:t>
      </w:r>
    </w:p>
    <w:p w:rsidR="00AE7883" w:rsidRPr="00AC4AEA" w:rsidRDefault="00AE7883" w:rsidP="00A318EA">
      <w:pPr>
        <w:pStyle w:val="Ttulo1"/>
        <w:rPr>
          <w:rFonts w:cs="Arial"/>
          <w:sz w:val="20"/>
          <w:szCs w:val="20"/>
        </w:rPr>
      </w:pPr>
      <w:bookmarkStart w:id="761" w:name="_Toc101863954"/>
    </w:p>
    <w:p w:rsidR="00D72785" w:rsidRPr="00497C1F" w:rsidRDefault="00002197" w:rsidP="00A318EA">
      <w:pPr>
        <w:pStyle w:val="Ttulo1"/>
        <w:rPr>
          <w:rFonts w:cs="Arial"/>
          <w:sz w:val="20"/>
          <w:szCs w:val="20"/>
        </w:rPr>
      </w:pPr>
      <w:bookmarkStart w:id="762" w:name="_Toc139356842"/>
      <w:r w:rsidRPr="00497C1F">
        <w:rPr>
          <w:rFonts w:cs="Arial"/>
          <w:sz w:val="20"/>
          <w:szCs w:val="20"/>
        </w:rPr>
        <w:t>COMPROMISOS QUE GENERAN PÉRDIDAS (CONTRATOS DE CARÁCTER ONEROSO)</w:t>
      </w:r>
      <w:bookmarkEnd w:id="761"/>
      <w:bookmarkEnd w:id="762"/>
    </w:p>
    <w:p w:rsidR="002238C3" w:rsidRPr="00497C1F" w:rsidRDefault="002238C3" w:rsidP="00A318EA">
      <w:pPr>
        <w:pStyle w:val="Ttulo2"/>
        <w:rPr>
          <w:rFonts w:cs="Arial"/>
        </w:rPr>
      </w:pPr>
      <w:bookmarkStart w:id="763" w:name="_Toc101863955"/>
      <w:bookmarkStart w:id="764" w:name="_Toc139356843"/>
      <w:r w:rsidRPr="00497C1F">
        <w:rPr>
          <w:rFonts w:cs="Arial"/>
        </w:rPr>
        <w:t>Definici</w:t>
      </w:r>
      <w:r w:rsidR="00907713" w:rsidRPr="00497C1F">
        <w:rPr>
          <w:rFonts w:cs="Arial"/>
        </w:rPr>
        <w:t>ó</w:t>
      </w:r>
      <w:r w:rsidRPr="00497C1F">
        <w:rPr>
          <w:rFonts w:cs="Arial"/>
        </w:rPr>
        <w:t>n</w:t>
      </w:r>
      <w:bookmarkEnd w:id="763"/>
      <w:bookmarkEnd w:id="764"/>
    </w:p>
    <w:p w:rsidR="002238C3" w:rsidRPr="00497C1F" w:rsidRDefault="002238C3" w:rsidP="00A318EA">
      <w:pPr>
        <w:pStyle w:val="Prrafodelista"/>
        <w:numPr>
          <w:ilvl w:val="0"/>
          <w:numId w:val="29"/>
        </w:numPr>
        <w:contextualSpacing w:val="0"/>
        <w:jc w:val="both"/>
        <w:rPr>
          <w:rFonts w:ascii="Arial" w:hAnsi="Arial" w:cs="Arial"/>
          <w:sz w:val="20"/>
          <w:szCs w:val="20"/>
        </w:rPr>
      </w:pPr>
      <w:bookmarkStart w:id="765" w:name="_Ref103888717"/>
      <w:r w:rsidRPr="00497C1F">
        <w:rPr>
          <w:rFonts w:ascii="Arial" w:hAnsi="Arial" w:cs="Arial"/>
          <w:sz w:val="20"/>
          <w:szCs w:val="20"/>
        </w:rPr>
        <w:t xml:space="preserve">A los fines del tratamiento de los </w:t>
      </w:r>
      <w:r w:rsidR="00362EA2" w:rsidRPr="00497C1F">
        <w:rPr>
          <w:rFonts w:ascii="Arial" w:hAnsi="Arial" w:cs="Arial"/>
          <w:sz w:val="20"/>
          <w:szCs w:val="20"/>
        </w:rPr>
        <w:t>compromisos que generan pérdidas</w:t>
      </w:r>
      <w:r w:rsidRPr="00497C1F">
        <w:rPr>
          <w:rFonts w:ascii="Arial" w:hAnsi="Arial" w:cs="Arial"/>
          <w:sz w:val="20"/>
          <w:szCs w:val="20"/>
        </w:rPr>
        <w:t>, una entidad deberá considerar la definición siguiente.</w:t>
      </w:r>
      <w:bookmarkEnd w:id="765"/>
    </w:p>
    <w:p w:rsidR="002238C3" w:rsidRPr="00AC4AEA" w:rsidRDefault="002238C3" w:rsidP="00A318EA">
      <w:pPr>
        <w:ind w:left="1416"/>
        <w:jc w:val="both"/>
        <w:rPr>
          <w:rFonts w:ascii="Arial" w:hAnsi="Arial" w:cs="Arial"/>
          <w:sz w:val="20"/>
          <w:szCs w:val="20"/>
        </w:rPr>
      </w:pPr>
      <w:r w:rsidRPr="00497C1F">
        <w:rPr>
          <w:rFonts w:ascii="Arial" w:hAnsi="Arial" w:cs="Arial"/>
          <w:sz w:val="20"/>
          <w:szCs w:val="20"/>
          <w:u w:val="single"/>
        </w:rPr>
        <w:t>Contrato de carácter oneroso</w:t>
      </w:r>
      <w:r w:rsidRPr="00497C1F">
        <w:rPr>
          <w:rFonts w:ascii="Arial" w:hAnsi="Arial" w:cs="Arial"/>
          <w:sz w:val="20"/>
          <w:szCs w:val="20"/>
        </w:rPr>
        <w:t>:</w:t>
      </w:r>
      <w:r w:rsidRPr="00497C1F">
        <w:rPr>
          <w:rFonts w:ascii="Arial" w:hAnsi="Arial" w:cs="Arial"/>
          <w:b/>
          <w:bCs/>
          <w:sz w:val="20"/>
          <w:szCs w:val="20"/>
        </w:rPr>
        <w:t xml:space="preserve"> </w:t>
      </w:r>
      <w:r w:rsidRPr="00497C1F">
        <w:rPr>
          <w:rFonts w:ascii="Arial" w:hAnsi="Arial" w:cs="Arial"/>
          <w:sz w:val="20"/>
          <w:szCs w:val="20"/>
        </w:rPr>
        <w:t xml:space="preserve">Es aquél en </w:t>
      </w:r>
      <w:r w:rsidR="00AA30F5" w:rsidRPr="00497C1F">
        <w:rPr>
          <w:rFonts w:ascii="Arial" w:hAnsi="Arial" w:cs="Arial"/>
          <w:sz w:val="20"/>
          <w:szCs w:val="20"/>
        </w:rPr>
        <w:t xml:space="preserve">el </w:t>
      </w:r>
      <w:r w:rsidRPr="00497C1F">
        <w:rPr>
          <w:rFonts w:ascii="Arial" w:hAnsi="Arial" w:cs="Arial"/>
          <w:sz w:val="20"/>
          <w:szCs w:val="20"/>
        </w:rPr>
        <w:t>cual los costos inevitables de cumplir con las obligaciones pendientes exceden a los beneficios económicos que</w:t>
      </w:r>
      <w:r w:rsidRPr="00AC4AEA">
        <w:rPr>
          <w:rFonts w:ascii="Arial" w:hAnsi="Arial" w:cs="Arial"/>
          <w:sz w:val="20"/>
          <w:szCs w:val="20"/>
        </w:rPr>
        <w:t xml:space="preserve"> se esperan recibir de este. </w:t>
      </w:r>
    </w:p>
    <w:p w:rsidR="002238C3" w:rsidRPr="00AC4AEA" w:rsidRDefault="002238C3" w:rsidP="00A318EA">
      <w:pPr>
        <w:jc w:val="both"/>
        <w:rPr>
          <w:rFonts w:ascii="Arial" w:hAnsi="Arial" w:cs="Arial"/>
          <w:sz w:val="20"/>
          <w:szCs w:val="20"/>
        </w:rPr>
      </w:pPr>
    </w:p>
    <w:p w:rsidR="002238C3" w:rsidRPr="00AC4AEA" w:rsidRDefault="002238C3" w:rsidP="00A318EA">
      <w:pPr>
        <w:pStyle w:val="Ttulo2"/>
        <w:rPr>
          <w:rFonts w:cs="Arial"/>
        </w:rPr>
      </w:pPr>
      <w:bookmarkStart w:id="766" w:name="_Toc101863956"/>
      <w:bookmarkStart w:id="767" w:name="_Toc139356844"/>
      <w:r w:rsidRPr="00AC4AEA">
        <w:rPr>
          <w:rFonts w:cs="Arial"/>
        </w:rPr>
        <w:t>Reconocimiento</w:t>
      </w:r>
      <w:bookmarkEnd w:id="766"/>
      <w:bookmarkEnd w:id="767"/>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y medirá como un </w:t>
      </w:r>
      <w:r w:rsidRPr="00AC4AEA">
        <w:rPr>
          <w:rFonts w:ascii="Arial" w:hAnsi="Arial" w:cs="Arial"/>
          <w:b/>
          <w:bCs/>
          <w:sz w:val="20"/>
          <w:szCs w:val="20"/>
        </w:rPr>
        <w:t xml:space="preserve">pasivo </w:t>
      </w:r>
      <w:r w:rsidRPr="00AC4AEA">
        <w:rPr>
          <w:rFonts w:ascii="Arial" w:hAnsi="Arial" w:cs="Arial"/>
          <w:sz w:val="20"/>
          <w:szCs w:val="20"/>
        </w:rPr>
        <w:t xml:space="preserve">la correspondiente </w:t>
      </w:r>
      <w:r w:rsidRPr="00AC4AEA">
        <w:rPr>
          <w:rFonts w:ascii="Arial" w:hAnsi="Arial" w:cs="Arial"/>
          <w:b/>
          <w:bCs/>
          <w:sz w:val="20"/>
          <w:szCs w:val="20"/>
        </w:rPr>
        <w:t xml:space="preserve">pérdida </w:t>
      </w:r>
      <w:r w:rsidRPr="00AC4AEA">
        <w:rPr>
          <w:rFonts w:ascii="Arial" w:hAnsi="Arial" w:cs="Arial"/>
          <w:sz w:val="20"/>
          <w:szCs w:val="20"/>
        </w:rPr>
        <w:t>que surja de un contrato de carácter oneroso, de cumplimiento ineludible.</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debe aplicar las normas contenidas en esta sección, por ejemplo, a compromisos de comprar bienes o servicios en ciertas cantidades y a determinados precios.</w:t>
      </w:r>
    </w:p>
    <w:p w:rsidR="00D72785" w:rsidRPr="00AC4AEA" w:rsidRDefault="00D72785" w:rsidP="00A318EA">
      <w:pPr>
        <w:pStyle w:val="Prrafodelista"/>
        <w:numPr>
          <w:ilvl w:val="0"/>
          <w:numId w:val="29"/>
        </w:numPr>
        <w:contextualSpacing w:val="0"/>
        <w:jc w:val="both"/>
        <w:rPr>
          <w:rFonts w:ascii="Arial" w:hAnsi="Arial" w:cs="Arial"/>
          <w:sz w:val="20"/>
          <w:szCs w:val="20"/>
        </w:rPr>
      </w:pPr>
      <w:bookmarkStart w:id="768" w:name="_Ref103888719"/>
      <w:r w:rsidRPr="00AC4AEA">
        <w:rPr>
          <w:rFonts w:ascii="Arial" w:hAnsi="Arial" w:cs="Arial"/>
          <w:sz w:val="20"/>
          <w:szCs w:val="20"/>
        </w:rPr>
        <w:t xml:space="preserve">Son costos inevitables de cumplir el </w:t>
      </w:r>
      <w:r w:rsidRPr="003A4B10">
        <w:rPr>
          <w:rFonts w:ascii="Arial" w:hAnsi="Arial" w:cs="Arial"/>
          <w:b/>
          <w:bCs/>
          <w:sz w:val="20"/>
          <w:szCs w:val="20"/>
        </w:rPr>
        <w:t>contrato</w:t>
      </w:r>
      <w:r w:rsidR="002A4C4E" w:rsidRPr="003A4B10">
        <w:rPr>
          <w:rFonts w:ascii="Arial" w:hAnsi="Arial" w:cs="Arial"/>
          <w:b/>
          <w:bCs/>
          <w:sz w:val="20"/>
          <w:szCs w:val="20"/>
        </w:rPr>
        <w:t xml:space="preserve"> </w:t>
      </w:r>
      <w:r w:rsidR="002A4C4E" w:rsidRPr="00AC4AEA">
        <w:rPr>
          <w:rFonts w:ascii="Arial" w:hAnsi="Arial" w:cs="Arial"/>
          <w:sz w:val="20"/>
          <w:szCs w:val="20"/>
        </w:rPr>
        <w:t>los representados por el menor de los siguientes importes:</w:t>
      </w:r>
      <w:bookmarkEnd w:id="768"/>
    </w:p>
    <w:p w:rsidR="00D72785" w:rsidRPr="00AC4AEA" w:rsidRDefault="00D72785" w:rsidP="00A318EA">
      <w:pPr>
        <w:pStyle w:val="Prrafodelista"/>
        <w:numPr>
          <w:ilvl w:val="0"/>
          <w:numId w:val="140"/>
        </w:numPr>
        <w:ind w:left="1560"/>
        <w:contextualSpacing w:val="0"/>
        <w:jc w:val="both"/>
        <w:rPr>
          <w:rFonts w:ascii="Arial" w:hAnsi="Arial" w:cs="Arial"/>
          <w:sz w:val="20"/>
          <w:szCs w:val="20"/>
        </w:rPr>
      </w:pPr>
      <w:r w:rsidRPr="00AC4AEA">
        <w:rPr>
          <w:rFonts w:ascii="Arial" w:hAnsi="Arial" w:cs="Arial"/>
          <w:sz w:val="20"/>
          <w:szCs w:val="20"/>
        </w:rPr>
        <w:t>el costo de cumplir sus cláusulas</w:t>
      </w:r>
      <w:r w:rsidR="002238C3" w:rsidRPr="00AC4AEA">
        <w:rPr>
          <w:rFonts w:ascii="Arial" w:hAnsi="Arial" w:cs="Arial"/>
          <w:sz w:val="20"/>
          <w:szCs w:val="20"/>
        </w:rPr>
        <w:t>;</w:t>
      </w:r>
      <w:r w:rsidRPr="00AC4AEA">
        <w:rPr>
          <w:rFonts w:ascii="Arial" w:hAnsi="Arial" w:cs="Arial"/>
          <w:sz w:val="20"/>
          <w:szCs w:val="20"/>
        </w:rPr>
        <w:t xml:space="preserve"> y</w:t>
      </w:r>
    </w:p>
    <w:p w:rsidR="00D72785" w:rsidRPr="00AC4AEA" w:rsidRDefault="001B27B6" w:rsidP="00A318EA">
      <w:pPr>
        <w:pStyle w:val="Prrafodelista"/>
        <w:numPr>
          <w:ilvl w:val="0"/>
          <w:numId w:val="140"/>
        </w:numPr>
        <w:ind w:left="1560"/>
        <w:contextualSpacing w:val="0"/>
        <w:jc w:val="both"/>
        <w:rPr>
          <w:rFonts w:ascii="Arial" w:hAnsi="Arial" w:cs="Arial"/>
          <w:sz w:val="20"/>
          <w:szCs w:val="20"/>
        </w:rPr>
      </w:pPr>
      <w:r w:rsidRPr="00AC4AEA">
        <w:rPr>
          <w:rFonts w:ascii="Arial" w:hAnsi="Arial" w:cs="Arial"/>
          <w:sz w:val="20"/>
          <w:szCs w:val="20"/>
        </w:rPr>
        <w:lastRenderedPageBreak/>
        <w:t>l</w:t>
      </w:r>
      <w:r w:rsidR="00D72785" w:rsidRPr="00AC4AEA">
        <w:rPr>
          <w:rFonts w:ascii="Arial" w:hAnsi="Arial" w:cs="Arial"/>
          <w:sz w:val="20"/>
          <w:szCs w:val="20"/>
        </w:rPr>
        <w:t>a cuantía de las compensaciones o multas que se deriven de su incumplimiento.</w:t>
      </w:r>
    </w:p>
    <w:p w:rsidR="0076070A" w:rsidRPr="00AC4AEA" w:rsidRDefault="0076070A" w:rsidP="00A318EA">
      <w:pPr>
        <w:pStyle w:val="Ttulo2"/>
        <w:rPr>
          <w:rFonts w:cs="Arial"/>
        </w:rPr>
      </w:pPr>
      <w:bookmarkStart w:id="769" w:name="_Toc139356845"/>
      <w:r w:rsidRPr="00AC4AEA">
        <w:rPr>
          <w:rFonts w:cs="Arial"/>
        </w:rPr>
        <w:t>Otras normas aplicables</w:t>
      </w:r>
      <w:bookmarkEnd w:id="769"/>
    </w:p>
    <w:p w:rsidR="0076070A" w:rsidRPr="00AC4AEA" w:rsidRDefault="0076070A" w:rsidP="00A318EA">
      <w:pPr>
        <w:pStyle w:val="Prrafodelista"/>
        <w:numPr>
          <w:ilvl w:val="0"/>
          <w:numId w:val="29"/>
        </w:numPr>
        <w:contextualSpacing w:val="0"/>
        <w:jc w:val="both"/>
        <w:rPr>
          <w:rFonts w:ascii="Arial" w:hAnsi="Arial" w:cs="Arial"/>
          <w:sz w:val="20"/>
          <w:szCs w:val="20"/>
        </w:rPr>
      </w:pPr>
      <w:bookmarkStart w:id="770" w:name="_Ref129077854"/>
      <w:r w:rsidRPr="00AC4AEA">
        <w:rPr>
          <w:rFonts w:ascii="Arial" w:hAnsi="Arial" w:cs="Arial"/>
          <w:sz w:val="20"/>
          <w:szCs w:val="20"/>
        </w:rPr>
        <w:t xml:space="preserve">Para aplicar los requerimientos establecidos en esta sección, una entidad deberá contemplar, en tanto resulten pertinentes y no contradigan lo establecido en esta sección, otras disposiciones de esta Resolución Técnica u </w:t>
      </w:r>
      <w:r w:rsidRPr="00AC4AEA">
        <w:rPr>
          <w:rFonts w:ascii="Arial" w:hAnsi="Arial" w:cs="Arial"/>
          <w:b/>
          <w:bCs/>
          <w:sz w:val="20"/>
          <w:szCs w:val="20"/>
        </w:rPr>
        <w:t>otras normas contables</w:t>
      </w:r>
      <w:r w:rsidRPr="00AC4AEA">
        <w:rPr>
          <w:rFonts w:ascii="Arial" w:hAnsi="Arial" w:cs="Arial"/>
          <w:sz w:val="20"/>
          <w:szCs w:val="20"/>
        </w:rPr>
        <w:t>. Por ejemplo, las referidas a:</w:t>
      </w:r>
      <w:bookmarkEnd w:id="770"/>
      <w:r w:rsidRPr="00AC4AEA">
        <w:rPr>
          <w:rFonts w:ascii="Arial" w:hAnsi="Arial" w:cs="Arial"/>
          <w:sz w:val="20"/>
          <w:szCs w:val="20"/>
        </w:rPr>
        <w:t xml:space="preserve"> </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 “</w:t>
      </w:r>
      <w:r w:rsidRPr="00AC4AEA">
        <w:rPr>
          <w:rFonts w:ascii="Arial" w:hAnsi="Arial" w:cs="Arial"/>
          <w:sz w:val="20"/>
          <w:szCs w:val="20"/>
          <w:u w:val="single"/>
        </w:rPr>
        <w:t xml:space="preserve">Expresión de los </w:t>
      </w:r>
      <w:r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Cuestiones referidas al estado de resultados</w:t>
      </w:r>
      <w:r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Pr="00AC4AEA">
        <w:rPr>
          <w:rFonts w:ascii="Arial" w:hAnsi="Arial" w:cs="Arial"/>
          <w:sz w:val="20"/>
          <w:szCs w:val="20"/>
        </w:rPr>
        <w:t>].</w:t>
      </w:r>
    </w:p>
    <w:p w:rsidR="00AE7883" w:rsidRPr="00AC4AEA" w:rsidRDefault="00AE7883" w:rsidP="00A318EA">
      <w:pPr>
        <w:pStyle w:val="Ttulo1"/>
        <w:rPr>
          <w:rFonts w:cs="Arial"/>
          <w:sz w:val="20"/>
          <w:szCs w:val="20"/>
        </w:rPr>
      </w:pPr>
      <w:bookmarkStart w:id="771" w:name="ARRENDAMIENTOS"/>
      <w:bookmarkStart w:id="772" w:name="_Toc101863957"/>
      <w:bookmarkEnd w:id="771"/>
    </w:p>
    <w:p w:rsidR="00D72785" w:rsidRPr="00AC4AEA" w:rsidRDefault="00002197" w:rsidP="00A318EA">
      <w:pPr>
        <w:pStyle w:val="Ttulo1"/>
        <w:rPr>
          <w:rFonts w:cs="Arial"/>
          <w:sz w:val="20"/>
          <w:szCs w:val="20"/>
        </w:rPr>
      </w:pPr>
      <w:bookmarkStart w:id="773" w:name="_Toc139356846"/>
      <w:r w:rsidRPr="00AC4AEA">
        <w:rPr>
          <w:rFonts w:cs="Arial"/>
          <w:sz w:val="20"/>
          <w:szCs w:val="20"/>
        </w:rPr>
        <w:t>ARRENDAMIENTOS</w:t>
      </w:r>
      <w:bookmarkEnd w:id="772"/>
      <w:bookmarkEnd w:id="773"/>
    </w:p>
    <w:p w:rsidR="00D72785" w:rsidRPr="00AC4AEA" w:rsidRDefault="00D72785" w:rsidP="00A318EA">
      <w:pPr>
        <w:pStyle w:val="Ttulo2"/>
        <w:rPr>
          <w:rFonts w:cs="Arial"/>
        </w:rPr>
      </w:pPr>
      <w:bookmarkStart w:id="774" w:name="_Toc101863958"/>
      <w:bookmarkStart w:id="775" w:name="_Toc139356847"/>
      <w:r w:rsidRPr="00AC4AEA">
        <w:rPr>
          <w:rFonts w:cs="Arial"/>
        </w:rPr>
        <w:t>Definiciones</w:t>
      </w:r>
      <w:bookmarkEnd w:id="774"/>
      <w:bookmarkEnd w:id="775"/>
    </w:p>
    <w:p w:rsidR="00D72785" w:rsidRPr="00AC4AEA" w:rsidRDefault="00D72785" w:rsidP="00A318EA">
      <w:pPr>
        <w:pStyle w:val="Prrafodelista"/>
        <w:numPr>
          <w:ilvl w:val="0"/>
          <w:numId w:val="29"/>
        </w:numPr>
        <w:contextualSpacing w:val="0"/>
        <w:jc w:val="both"/>
        <w:rPr>
          <w:rFonts w:ascii="Arial" w:hAnsi="Arial" w:cs="Arial"/>
          <w:sz w:val="20"/>
          <w:szCs w:val="20"/>
        </w:rPr>
      </w:pPr>
      <w:bookmarkStart w:id="776" w:name="_Ref99481228"/>
      <w:r w:rsidRPr="00AC4AEA">
        <w:rPr>
          <w:rFonts w:ascii="Arial" w:hAnsi="Arial" w:cs="Arial"/>
          <w:sz w:val="20"/>
          <w:szCs w:val="20"/>
        </w:rPr>
        <w:t>A los fines del tratamiento de los contratos de arrendamiento, una entidad deberá considerar las definiciones siguientes.</w:t>
      </w:r>
      <w:bookmarkEnd w:id="776"/>
    </w:p>
    <w:p w:rsidR="00D72785" w:rsidRPr="00AC4AEA" w:rsidRDefault="00D72785" w:rsidP="00A318EA">
      <w:pPr>
        <w:ind w:left="1416"/>
        <w:jc w:val="both"/>
        <w:rPr>
          <w:rFonts w:ascii="Arial" w:hAnsi="Arial" w:cs="Arial"/>
          <w:sz w:val="20"/>
          <w:szCs w:val="20"/>
        </w:rPr>
      </w:pPr>
      <w:r w:rsidRPr="00AC4AEA">
        <w:rPr>
          <w:rFonts w:ascii="Arial" w:hAnsi="Arial" w:cs="Arial"/>
          <w:sz w:val="20"/>
          <w:szCs w:val="20"/>
          <w:u w:val="single"/>
        </w:rPr>
        <w:t>Arrendamiento</w:t>
      </w:r>
      <w:r w:rsidRPr="00AC4AEA">
        <w:rPr>
          <w:rFonts w:ascii="Arial" w:hAnsi="Arial" w:cs="Arial"/>
          <w:sz w:val="20"/>
          <w:szCs w:val="20"/>
        </w:rPr>
        <w:t xml:space="preserve">: </w:t>
      </w:r>
      <w:r w:rsidR="003639B1" w:rsidRPr="00AC4AEA">
        <w:rPr>
          <w:rFonts w:ascii="Arial" w:hAnsi="Arial" w:cs="Arial"/>
          <w:sz w:val="20"/>
          <w:szCs w:val="20"/>
        </w:rPr>
        <w:t>A</w:t>
      </w:r>
      <w:r w:rsidRPr="00AC4AEA">
        <w:rPr>
          <w:rFonts w:ascii="Arial" w:hAnsi="Arial" w:cs="Arial"/>
          <w:sz w:val="20"/>
          <w:szCs w:val="20"/>
        </w:rPr>
        <w:t xml:space="preserve">cuerdo por el cual una </w:t>
      </w:r>
      <w:r w:rsidR="00AA30F5" w:rsidRPr="00AC4AEA">
        <w:rPr>
          <w:rFonts w:ascii="Arial" w:hAnsi="Arial" w:cs="Arial"/>
          <w:sz w:val="20"/>
          <w:szCs w:val="20"/>
        </w:rPr>
        <w:t>parte</w:t>
      </w:r>
      <w:r w:rsidRPr="00AC4AEA">
        <w:rPr>
          <w:rFonts w:ascii="Arial" w:hAnsi="Arial" w:cs="Arial"/>
          <w:sz w:val="20"/>
          <w:szCs w:val="20"/>
        </w:rPr>
        <w:t xml:space="preserve"> (el arrendador) cede a otra (el arrendatario) el derecho de uso de un </w:t>
      </w:r>
      <w:r w:rsidRPr="00AC4AEA">
        <w:rPr>
          <w:rFonts w:ascii="Arial" w:hAnsi="Arial" w:cs="Arial"/>
          <w:b/>
          <w:bCs/>
          <w:sz w:val="20"/>
          <w:szCs w:val="20"/>
        </w:rPr>
        <w:t>activo</w:t>
      </w:r>
      <w:r w:rsidRPr="00AC4AEA">
        <w:rPr>
          <w:rFonts w:ascii="Arial" w:hAnsi="Arial" w:cs="Arial"/>
          <w:sz w:val="20"/>
          <w:szCs w:val="20"/>
        </w:rPr>
        <w:t xml:space="preserve"> durante un tiempo determinado, a cambio de una contraprestación (cuotas).</w:t>
      </w:r>
    </w:p>
    <w:p w:rsidR="00D72785" w:rsidRPr="00AC4AEA" w:rsidRDefault="00D72785" w:rsidP="00A318EA">
      <w:pPr>
        <w:ind w:left="1416"/>
        <w:jc w:val="both"/>
        <w:rPr>
          <w:rFonts w:ascii="Arial" w:hAnsi="Arial" w:cs="Arial"/>
          <w:sz w:val="20"/>
          <w:szCs w:val="20"/>
        </w:rPr>
      </w:pPr>
      <w:r w:rsidRPr="00AC4AEA">
        <w:rPr>
          <w:rFonts w:ascii="Arial" w:hAnsi="Arial" w:cs="Arial"/>
          <w:sz w:val="20"/>
          <w:szCs w:val="20"/>
          <w:u w:val="single"/>
        </w:rPr>
        <w:t>Arrendamiento financiero</w:t>
      </w:r>
      <w:r w:rsidRPr="00AC4AEA">
        <w:rPr>
          <w:rFonts w:ascii="Arial" w:hAnsi="Arial" w:cs="Arial"/>
          <w:sz w:val="20"/>
          <w:szCs w:val="20"/>
        </w:rPr>
        <w:t>:</w:t>
      </w:r>
      <w:r w:rsidR="008801B3" w:rsidRPr="00AC4AEA">
        <w:rPr>
          <w:rFonts w:ascii="Arial" w:hAnsi="Arial" w:cs="Arial"/>
          <w:sz w:val="20"/>
          <w:szCs w:val="20"/>
        </w:rPr>
        <w:t xml:space="preserve"> </w:t>
      </w:r>
      <w:r w:rsidR="003639B1" w:rsidRPr="00AC4AEA">
        <w:rPr>
          <w:rFonts w:ascii="Arial" w:hAnsi="Arial" w:cs="Arial"/>
          <w:sz w:val="20"/>
          <w:szCs w:val="20"/>
        </w:rPr>
        <w:t>T</w:t>
      </w:r>
      <w:r w:rsidRPr="00AC4AEA">
        <w:rPr>
          <w:rFonts w:ascii="Arial" w:hAnsi="Arial" w:cs="Arial"/>
          <w:sz w:val="20"/>
          <w:szCs w:val="20"/>
        </w:rPr>
        <w:t xml:space="preserve">ipo de arrendamiento que transfiere sustancialmente todos los riesgos y </w:t>
      </w:r>
      <w:r w:rsidR="002238C3" w:rsidRPr="00AC4AEA">
        <w:rPr>
          <w:rFonts w:ascii="Arial" w:hAnsi="Arial" w:cs="Arial"/>
          <w:sz w:val="20"/>
          <w:szCs w:val="20"/>
        </w:rPr>
        <w:t xml:space="preserve">beneficios </w:t>
      </w:r>
      <w:r w:rsidRPr="00AC4AEA">
        <w:rPr>
          <w:rFonts w:ascii="Arial" w:hAnsi="Arial" w:cs="Arial"/>
          <w:sz w:val="20"/>
          <w:szCs w:val="20"/>
        </w:rPr>
        <w:t xml:space="preserve">inherentes a la propiedad del </w:t>
      </w:r>
      <w:r w:rsidRPr="00AC4AEA">
        <w:rPr>
          <w:rFonts w:ascii="Arial" w:hAnsi="Arial" w:cs="Arial"/>
          <w:b/>
          <w:bCs/>
          <w:sz w:val="20"/>
          <w:szCs w:val="20"/>
        </w:rPr>
        <w:t>activo</w:t>
      </w:r>
      <w:r w:rsidRPr="00AC4AEA">
        <w:rPr>
          <w:rFonts w:ascii="Arial" w:hAnsi="Arial" w:cs="Arial"/>
          <w:sz w:val="20"/>
          <w:szCs w:val="20"/>
        </w:rPr>
        <w:t xml:space="preserve"> arrendado, cuya titularidad puede </w:t>
      </w:r>
      <w:r w:rsidR="003639B1" w:rsidRPr="00AC4AEA">
        <w:rPr>
          <w:rFonts w:ascii="Arial" w:hAnsi="Arial" w:cs="Arial"/>
          <w:sz w:val="20"/>
          <w:szCs w:val="20"/>
        </w:rPr>
        <w:t>transferirse</w:t>
      </w:r>
      <w:r w:rsidRPr="00AC4AEA">
        <w:rPr>
          <w:rFonts w:ascii="Arial" w:hAnsi="Arial" w:cs="Arial"/>
          <w:sz w:val="20"/>
          <w:szCs w:val="20"/>
        </w:rPr>
        <w:t xml:space="preserve"> o no. </w:t>
      </w:r>
      <w:r w:rsidR="002A4C4E" w:rsidRPr="00AC4AEA">
        <w:rPr>
          <w:rFonts w:ascii="Arial" w:hAnsi="Arial" w:cs="Arial"/>
          <w:sz w:val="20"/>
          <w:szCs w:val="20"/>
        </w:rPr>
        <w:t>Como</w:t>
      </w:r>
      <w:r w:rsidRPr="00AC4AEA">
        <w:rPr>
          <w:rFonts w:ascii="Arial" w:hAnsi="Arial" w:cs="Arial"/>
          <w:sz w:val="20"/>
          <w:szCs w:val="20"/>
        </w:rPr>
        <w:t xml:space="preserve"> contraprestación, el arrendatario se obliga a efectuar uno o más pagos que cubren</w:t>
      </w:r>
      <w:r w:rsidR="00154561" w:rsidRPr="00AC4AEA">
        <w:rPr>
          <w:rFonts w:ascii="Arial" w:hAnsi="Arial" w:cs="Arial"/>
          <w:sz w:val="20"/>
          <w:szCs w:val="20"/>
        </w:rPr>
        <w:t xml:space="preserve"> sustancialmente</w:t>
      </w:r>
      <w:r w:rsidRPr="00AC4AEA">
        <w:rPr>
          <w:rFonts w:ascii="Arial" w:hAnsi="Arial" w:cs="Arial"/>
          <w:sz w:val="20"/>
          <w:szCs w:val="20"/>
        </w:rPr>
        <w:t xml:space="preserve"> el </w:t>
      </w:r>
      <w:r w:rsidR="00FA5755" w:rsidRPr="00AC4AEA">
        <w:rPr>
          <w:rFonts w:ascii="Arial" w:hAnsi="Arial" w:cs="Arial"/>
          <w:b/>
          <w:bCs/>
          <w:sz w:val="20"/>
          <w:szCs w:val="20"/>
        </w:rPr>
        <w:t>valor razonable</w:t>
      </w:r>
      <w:r w:rsidRPr="00AC4AEA">
        <w:rPr>
          <w:rFonts w:ascii="Arial" w:hAnsi="Arial" w:cs="Arial"/>
          <w:sz w:val="20"/>
          <w:szCs w:val="20"/>
        </w:rPr>
        <w:t xml:space="preserve"> del </w:t>
      </w:r>
      <w:r w:rsidRPr="00AC4AEA">
        <w:rPr>
          <w:rFonts w:ascii="Arial" w:hAnsi="Arial" w:cs="Arial"/>
          <w:b/>
          <w:bCs/>
          <w:sz w:val="20"/>
          <w:szCs w:val="20"/>
        </w:rPr>
        <w:t>activo</w:t>
      </w:r>
      <w:r w:rsidRPr="00AC4AEA">
        <w:rPr>
          <w:rFonts w:ascii="Arial" w:hAnsi="Arial" w:cs="Arial"/>
          <w:sz w:val="20"/>
          <w:szCs w:val="20"/>
        </w:rPr>
        <w:t xml:space="preserve"> y las cargas financieras correspondientes.</w:t>
      </w:r>
    </w:p>
    <w:p w:rsidR="00D72785" w:rsidRPr="00AC4AEA" w:rsidRDefault="00D72785" w:rsidP="00A318EA">
      <w:pPr>
        <w:ind w:left="1416"/>
        <w:jc w:val="both"/>
        <w:rPr>
          <w:rFonts w:ascii="Arial" w:hAnsi="Arial" w:cs="Arial"/>
          <w:sz w:val="20"/>
          <w:szCs w:val="20"/>
        </w:rPr>
      </w:pPr>
      <w:r w:rsidRPr="00AC4AEA">
        <w:rPr>
          <w:rFonts w:ascii="Arial" w:hAnsi="Arial" w:cs="Arial"/>
          <w:sz w:val="20"/>
          <w:szCs w:val="20"/>
          <w:u w:val="single"/>
        </w:rPr>
        <w:t>Arrendamiento operativo</w:t>
      </w:r>
      <w:r w:rsidRPr="00AC4AEA">
        <w:rPr>
          <w:rFonts w:ascii="Arial" w:hAnsi="Arial" w:cs="Arial"/>
          <w:sz w:val="20"/>
          <w:szCs w:val="20"/>
        </w:rPr>
        <w:t xml:space="preserve">: </w:t>
      </w:r>
      <w:r w:rsidR="003639B1" w:rsidRPr="00AC4AEA">
        <w:rPr>
          <w:rFonts w:ascii="Arial" w:hAnsi="Arial" w:cs="Arial"/>
          <w:sz w:val="20"/>
          <w:szCs w:val="20"/>
        </w:rPr>
        <w:t>C</w:t>
      </w:r>
      <w:r w:rsidRPr="00AC4AEA">
        <w:rPr>
          <w:rFonts w:ascii="Arial" w:hAnsi="Arial" w:cs="Arial"/>
          <w:sz w:val="20"/>
          <w:szCs w:val="20"/>
        </w:rPr>
        <w:t xml:space="preserve">ualquier arrendamiento </w:t>
      </w:r>
      <w:r w:rsidR="003639B1" w:rsidRPr="00AC4AEA">
        <w:rPr>
          <w:rFonts w:ascii="Arial" w:hAnsi="Arial" w:cs="Arial"/>
          <w:sz w:val="20"/>
          <w:szCs w:val="20"/>
        </w:rPr>
        <w:t>no</w:t>
      </w:r>
      <w:r w:rsidRPr="00AC4AEA">
        <w:rPr>
          <w:rFonts w:ascii="Arial" w:hAnsi="Arial" w:cs="Arial"/>
          <w:sz w:val="20"/>
          <w:szCs w:val="20"/>
        </w:rPr>
        <w:t xml:space="preserve"> financiero.</w:t>
      </w:r>
    </w:p>
    <w:p w:rsidR="00071074" w:rsidRPr="00AC4AEA" w:rsidRDefault="00071074" w:rsidP="00A318EA">
      <w:pPr>
        <w:ind w:left="1416"/>
        <w:jc w:val="both"/>
        <w:rPr>
          <w:rFonts w:ascii="Arial" w:hAnsi="Arial" w:cs="Arial"/>
          <w:b/>
          <w:bCs/>
          <w:sz w:val="20"/>
          <w:szCs w:val="20"/>
        </w:rPr>
      </w:pPr>
      <w:r w:rsidRPr="00AC4AEA">
        <w:rPr>
          <w:rFonts w:ascii="Arial" w:hAnsi="Arial" w:cs="Arial"/>
          <w:sz w:val="20"/>
          <w:szCs w:val="20"/>
          <w:u w:val="single"/>
        </w:rPr>
        <w:t>Costos iniciales directos</w:t>
      </w:r>
      <w:r w:rsidRPr="00AC4AEA">
        <w:rPr>
          <w:rFonts w:ascii="Arial" w:hAnsi="Arial" w:cs="Arial"/>
          <w:sz w:val="20"/>
          <w:szCs w:val="20"/>
        </w:rPr>
        <w:t>: Son los costos incrementales directamente imputables a la negociación y contratación de un arrendamiento, salvo en el caso de costos incurridos por un arrendador que sea a la vez fabricante o distribuidor.</w:t>
      </w:r>
    </w:p>
    <w:p w:rsidR="00452F8F" w:rsidRPr="00AC4AEA" w:rsidRDefault="00452F8F" w:rsidP="00A318EA">
      <w:pPr>
        <w:ind w:left="1416"/>
        <w:jc w:val="both"/>
        <w:rPr>
          <w:rFonts w:ascii="Arial" w:hAnsi="Arial" w:cs="Arial"/>
          <w:sz w:val="20"/>
          <w:szCs w:val="20"/>
        </w:rPr>
      </w:pPr>
      <w:r w:rsidRPr="00AC4AEA">
        <w:rPr>
          <w:rFonts w:ascii="Arial" w:hAnsi="Arial" w:cs="Arial"/>
          <w:sz w:val="20"/>
          <w:szCs w:val="20"/>
          <w:u w:val="single"/>
        </w:rPr>
        <w:t>Cuotas contingentes</w:t>
      </w:r>
      <w:r w:rsidRPr="00AC4AEA">
        <w:rPr>
          <w:rFonts w:ascii="Arial" w:hAnsi="Arial" w:cs="Arial"/>
          <w:sz w:val="20"/>
          <w:szCs w:val="20"/>
        </w:rPr>
        <w:t xml:space="preserve">: </w:t>
      </w:r>
      <w:r w:rsidR="00AA30F5" w:rsidRPr="00AC4AEA">
        <w:rPr>
          <w:rFonts w:ascii="Arial" w:hAnsi="Arial" w:cs="Arial"/>
          <w:sz w:val="20"/>
          <w:szCs w:val="20"/>
        </w:rPr>
        <w:t>Pagos por arrendamiento cuyo importe no es fijo sino que su importe se basa</w:t>
      </w:r>
      <w:r w:rsidR="00A82EFF" w:rsidRPr="00AC4AEA">
        <w:rPr>
          <w:rFonts w:ascii="Arial" w:hAnsi="Arial" w:cs="Arial"/>
          <w:sz w:val="20"/>
          <w:szCs w:val="20"/>
        </w:rPr>
        <w:t xml:space="preserve"> </w:t>
      </w:r>
      <w:r w:rsidR="00AA30F5" w:rsidRPr="00AC4AEA">
        <w:rPr>
          <w:rFonts w:ascii="Arial" w:hAnsi="Arial" w:cs="Arial"/>
          <w:sz w:val="20"/>
          <w:szCs w:val="20"/>
        </w:rPr>
        <w:t>en hechos futuros y factores que varían por razones distintas del mero paso del tiempo (por ejemplo, un tanto por ciento de las ventas futuras, grado de utilización futura, índices de precios futuros, tasas de interés de mercado futuras, etc.)</w:t>
      </w:r>
    </w:p>
    <w:p w:rsidR="003451C7" w:rsidRPr="00AC4AEA" w:rsidRDefault="003451C7" w:rsidP="00A318EA">
      <w:pPr>
        <w:ind w:left="1416"/>
        <w:jc w:val="both"/>
        <w:rPr>
          <w:rFonts w:ascii="Arial" w:hAnsi="Arial" w:cs="Arial"/>
          <w:sz w:val="20"/>
          <w:szCs w:val="20"/>
        </w:rPr>
      </w:pPr>
      <w:r w:rsidRPr="00AC4AEA">
        <w:rPr>
          <w:rFonts w:ascii="Arial" w:hAnsi="Arial" w:cs="Arial"/>
          <w:sz w:val="20"/>
          <w:szCs w:val="20"/>
          <w:u w:val="single"/>
        </w:rPr>
        <w:lastRenderedPageBreak/>
        <w:t>Cuo</w:t>
      </w:r>
      <w:r w:rsidR="00A16878" w:rsidRPr="00AC4AEA">
        <w:rPr>
          <w:rFonts w:ascii="Arial" w:hAnsi="Arial" w:cs="Arial"/>
          <w:sz w:val="20"/>
          <w:szCs w:val="20"/>
          <w:u w:val="single"/>
        </w:rPr>
        <w:t>t</w:t>
      </w:r>
      <w:r w:rsidRPr="00AC4AEA">
        <w:rPr>
          <w:rFonts w:ascii="Arial" w:hAnsi="Arial" w:cs="Arial"/>
          <w:sz w:val="20"/>
          <w:szCs w:val="20"/>
          <w:u w:val="single"/>
        </w:rPr>
        <w:t>as mínimas</w:t>
      </w:r>
      <w:r w:rsidRPr="00AC4AEA">
        <w:rPr>
          <w:rFonts w:ascii="Arial" w:hAnsi="Arial" w:cs="Arial"/>
          <w:sz w:val="20"/>
          <w:szCs w:val="20"/>
        </w:rPr>
        <w:t>: Pagos que el arrendatario está obligado a efectuar con motivo del arrendamiento, excluyendo las cuotas contingentes, los servicios y los impuestos, más:</w:t>
      </w:r>
    </w:p>
    <w:p w:rsidR="003451C7" w:rsidRPr="00AC4AEA" w:rsidRDefault="003451C7" w:rsidP="00A318EA">
      <w:pPr>
        <w:pStyle w:val="Prrafodelista"/>
        <w:numPr>
          <w:ilvl w:val="0"/>
          <w:numId w:val="9"/>
        </w:numPr>
        <w:ind w:left="1983" w:hanging="567"/>
        <w:contextualSpacing w:val="0"/>
        <w:jc w:val="both"/>
        <w:rPr>
          <w:rFonts w:ascii="Arial" w:hAnsi="Arial" w:cs="Arial"/>
          <w:sz w:val="20"/>
          <w:szCs w:val="20"/>
        </w:rPr>
      </w:pPr>
      <w:r w:rsidRPr="00AC4AEA">
        <w:rPr>
          <w:rFonts w:ascii="Arial" w:hAnsi="Arial" w:cs="Arial"/>
          <w:sz w:val="20"/>
          <w:szCs w:val="20"/>
        </w:rPr>
        <w:t>En el caso del arrendatario: todo importe garantizado por él o por alguien relacionado con él.</w:t>
      </w:r>
    </w:p>
    <w:p w:rsidR="003451C7" w:rsidRPr="00AC4AEA" w:rsidRDefault="003451C7" w:rsidP="00A318EA">
      <w:pPr>
        <w:pStyle w:val="Prrafodelista"/>
        <w:numPr>
          <w:ilvl w:val="0"/>
          <w:numId w:val="9"/>
        </w:numPr>
        <w:ind w:left="1983" w:hanging="567"/>
        <w:contextualSpacing w:val="0"/>
        <w:jc w:val="both"/>
        <w:rPr>
          <w:rFonts w:ascii="Arial" w:hAnsi="Arial" w:cs="Arial"/>
          <w:sz w:val="20"/>
          <w:szCs w:val="20"/>
        </w:rPr>
      </w:pPr>
      <w:r w:rsidRPr="00AC4AEA">
        <w:rPr>
          <w:rFonts w:ascii="Arial" w:hAnsi="Arial" w:cs="Arial"/>
          <w:sz w:val="20"/>
          <w:szCs w:val="20"/>
        </w:rPr>
        <w:t>En el caso del arrendador: cualquier valor residual que se le garantice (por el arrendatario, por alguien relacionado con éste o cualquier tercero independiente).</w:t>
      </w:r>
    </w:p>
    <w:p w:rsidR="003451C7" w:rsidRPr="00AC4AEA" w:rsidRDefault="003451C7" w:rsidP="00A318EA">
      <w:pPr>
        <w:pStyle w:val="Prrafodelista"/>
        <w:numPr>
          <w:ilvl w:val="0"/>
          <w:numId w:val="9"/>
        </w:numPr>
        <w:ind w:left="1983" w:hanging="567"/>
        <w:contextualSpacing w:val="0"/>
        <w:jc w:val="both"/>
        <w:rPr>
          <w:rFonts w:ascii="Arial" w:hAnsi="Arial" w:cs="Arial"/>
          <w:sz w:val="20"/>
          <w:szCs w:val="20"/>
        </w:rPr>
      </w:pPr>
      <w:r w:rsidRPr="00AC4AEA">
        <w:rPr>
          <w:rFonts w:ascii="Arial" w:hAnsi="Arial" w:cs="Arial"/>
          <w:sz w:val="20"/>
          <w:szCs w:val="20"/>
        </w:rPr>
        <w:t>El pago necesario para ejercer la opción de compra</w:t>
      </w:r>
      <w:r w:rsidR="00AA30F5" w:rsidRPr="00AC4AEA">
        <w:rPr>
          <w:rFonts w:ascii="Arial" w:hAnsi="Arial" w:cs="Arial"/>
          <w:sz w:val="20"/>
          <w:szCs w:val="20"/>
        </w:rPr>
        <w:t>,</w:t>
      </w:r>
      <w:r w:rsidRPr="00AC4AEA">
        <w:rPr>
          <w:rFonts w:ascii="Arial" w:hAnsi="Arial" w:cs="Arial"/>
          <w:sz w:val="20"/>
          <w:szCs w:val="20"/>
        </w:rPr>
        <w:t xml:space="preserve"> </w:t>
      </w:r>
      <w:r w:rsidR="00AA30F5" w:rsidRPr="00AC4AEA">
        <w:rPr>
          <w:rFonts w:ascii="Arial" w:hAnsi="Arial" w:cs="Arial"/>
          <w:sz w:val="20"/>
          <w:szCs w:val="20"/>
        </w:rPr>
        <w:t xml:space="preserve">solo </w:t>
      </w:r>
      <w:r w:rsidRPr="00AC4AEA">
        <w:rPr>
          <w:rFonts w:ascii="Arial" w:hAnsi="Arial" w:cs="Arial"/>
          <w:sz w:val="20"/>
          <w:szCs w:val="20"/>
        </w:rPr>
        <w:t xml:space="preserve">si el arrendatario posee dicha opción a un precio significativamente inferior al </w:t>
      </w:r>
      <w:r w:rsidRPr="00AC4AEA">
        <w:rPr>
          <w:rFonts w:ascii="Arial" w:hAnsi="Arial" w:cs="Arial"/>
          <w:b/>
          <w:bCs/>
          <w:sz w:val="20"/>
          <w:szCs w:val="20"/>
        </w:rPr>
        <w:t xml:space="preserve">valor </w:t>
      </w:r>
      <w:r w:rsidR="00AA30F5" w:rsidRPr="00AC4AEA">
        <w:rPr>
          <w:rFonts w:ascii="Arial" w:hAnsi="Arial" w:cs="Arial"/>
          <w:b/>
          <w:bCs/>
          <w:sz w:val="20"/>
          <w:szCs w:val="20"/>
        </w:rPr>
        <w:t>razonable</w:t>
      </w:r>
      <w:r w:rsidRPr="00AC4AEA">
        <w:rPr>
          <w:rFonts w:ascii="Arial" w:hAnsi="Arial" w:cs="Arial"/>
          <w:sz w:val="20"/>
          <w:szCs w:val="20"/>
        </w:rPr>
        <w:t xml:space="preserve"> que se espera tenga el bien a la fecha de </w:t>
      </w:r>
      <w:r w:rsidR="00AA30F5" w:rsidRPr="00AC4AEA">
        <w:rPr>
          <w:rFonts w:ascii="Arial" w:hAnsi="Arial" w:cs="Arial"/>
          <w:sz w:val="20"/>
          <w:szCs w:val="20"/>
        </w:rPr>
        <w:t>ejercicio</w:t>
      </w:r>
      <w:r w:rsidRPr="00AC4AEA">
        <w:rPr>
          <w:rFonts w:ascii="Arial" w:hAnsi="Arial" w:cs="Arial"/>
          <w:sz w:val="20"/>
          <w:szCs w:val="20"/>
        </w:rPr>
        <w:t>.</w:t>
      </w:r>
    </w:p>
    <w:p w:rsidR="00071074" w:rsidRPr="00AC4AEA" w:rsidRDefault="00071074" w:rsidP="00A318EA">
      <w:pPr>
        <w:ind w:left="1416"/>
        <w:jc w:val="both"/>
        <w:rPr>
          <w:rFonts w:ascii="Arial" w:hAnsi="Arial" w:cs="Arial"/>
          <w:sz w:val="20"/>
          <w:szCs w:val="20"/>
        </w:rPr>
      </w:pPr>
      <w:r w:rsidRPr="00AC4AEA">
        <w:rPr>
          <w:rFonts w:ascii="Arial" w:hAnsi="Arial" w:cs="Arial"/>
          <w:sz w:val="20"/>
          <w:szCs w:val="20"/>
          <w:u w:val="single"/>
        </w:rPr>
        <w:t>Tasa de interés implícita en el arrendamiento</w:t>
      </w:r>
      <w:r w:rsidRPr="00AC4AEA">
        <w:rPr>
          <w:rFonts w:ascii="Arial" w:hAnsi="Arial" w:cs="Arial"/>
          <w:sz w:val="20"/>
          <w:szCs w:val="20"/>
        </w:rPr>
        <w:t xml:space="preserve">: Tasa de descuento que, al comienzo del arrendamiento, produce la igualdad entre: </w:t>
      </w:r>
    </w:p>
    <w:p w:rsidR="00071074" w:rsidRPr="00AC4AEA" w:rsidRDefault="00071074" w:rsidP="00A318EA">
      <w:pPr>
        <w:pStyle w:val="Prrafodelista"/>
        <w:numPr>
          <w:ilvl w:val="0"/>
          <w:numId w:val="56"/>
        </w:numPr>
        <w:ind w:left="1982" w:hanging="567"/>
        <w:contextualSpacing w:val="0"/>
        <w:jc w:val="both"/>
        <w:rPr>
          <w:rFonts w:ascii="Arial" w:hAnsi="Arial" w:cs="Arial"/>
          <w:sz w:val="20"/>
          <w:szCs w:val="20"/>
        </w:rPr>
      </w:pPr>
      <w:r w:rsidRPr="00AC4AEA">
        <w:rPr>
          <w:rFonts w:ascii="Arial" w:hAnsi="Arial" w:cs="Arial"/>
          <w:sz w:val="20"/>
          <w:szCs w:val="20"/>
        </w:rPr>
        <w:t xml:space="preserve">la suma del </w:t>
      </w:r>
      <w:r w:rsidR="00615B9C" w:rsidRPr="00AC4AEA">
        <w:rPr>
          <w:rFonts w:ascii="Arial" w:hAnsi="Arial" w:cs="Arial"/>
          <w:b/>
          <w:bCs/>
          <w:sz w:val="20"/>
          <w:szCs w:val="20"/>
        </w:rPr>
        <w:t>valor razonable</w:t>
      </w:r>
      <w:r w:rsidRPr="00AC4AEA">
        <w:rPr>
          <w:rFonts w:ascii="Arial" w:hAnsi="Arial" w:cs="Arial"/>
          <w:sz w:val="20"/>
          <w:szCs w:val="20"/>
        </w:rPr>
        <w:t xml:space="preserve"> del </w:t>
      </w:r>
      <w:r w:rsidRPr="00181A70">
        <w:rPr>
          <w:rFonts w:ascii="Arial" w:hAnsi="Arial" w:cs="Arial"/>
          <w:b/>
          <w:bCs/>
          <w:sz w:val="20"/>
          <w:szCs w:val="20"/>
        </w:rPr>
        <w:t xml:space="preserve">activo </w:t>
      </w:r>
      <w:r w:rsidRPr="00AC4AEA">
        <w:rPr>
          <w:rFonts w:ascii="Arial" w:hAnsi="Arial" w:cs="Arial"/>
          <w:sz w:val="20"/>
          <w:szCs w:val="20"/>
        </w:rPr>
        <w:t xml:space="preserve">arrendado y </w:t>
      </w:r>
      <w:r w:rsidR="00AA30F5" w:rsidRPr="00AC4AEA">
        <w:rPr>
          <w:rFonts w:ascii="Arial" w:hAnsi="Arial" w:cs="Arial"/>
          <w:sz w:val="20"/>
          <w:szCs w:val="20"/>
        </w:rPr>
        <w:t xml:space="preserve">los </w:t>
      </w:r>
      <w:r w:rsidRPr="00AC4AEA">
        <w:rPr>
          <w:rFonts w:ascii="Arial" w:hAnsi="Arial" w:cs="Arial"/>
          <w:sz w:val="20"/>
          <w:szCs w:val="20"/>
        </w:rPr>
        <w:t xml:space="preserve">costos iniciales </w:t>
      </w:r>
      <w:r w:rsidR="00AA30F5" w:rsidRPr="00AC4AEA">
        <w:rPr>
          <w:rFonts w:ascii="Arial" w:hAnsi="Arial" w:cs="Arial"/>
          <w:sz w:val="20"/>
          <w:szCs w:val="20"/>
        </w:rPr>
        <w:t xml:space="preserve">directos </w:t>
      </w:r>
      <w:r w:rsidRPr="00AC4AEA">
        <w:rPr>
          <w:rFonts w:ascii="Arial" w:hAnsi="Arial" w:cs="Arial"/>
          <w:sz w:val="20"/>
          <w:szCs w:val="20"/>
        </w:rPr>
        <w:t>del arrendamiento</w:t>
      </w:r>
      <w:r w:rsidR="00452F8F" w:rsidRPr="00AC4AEA">
        <w:rPr>
          <w:rFonts w:ascii="Arial" w:hAnsi="Arial" w:cs="Arial"/>
          <w:sz w:val="20"/>
          <w:szCs w:val="20"/>
        </w:rPr>
        <w:t>;</w:t>
      </w:r>
      <w:r w:rsidRPr="00AC4AEA">
        <w:rPr>
          <w:rFonts w:ascii="Arial" w:hAnsi="Arial" w:cs="Arial"/>
          <w:sz w:val="20"/>
          <w:szCs w:val="20"/>
        </w:rPr>
        <w:t xml:space="preserve"> y</w:t>
      </w:r>
    </w:p>
    <w:p w:rsidR="00071074" w:rsidRPr="00AC4AEA" w:rsidRDefault="00071074" w:rsidP="00A318EA">
      <w:pPr>
        <w:pStyle w:val="Prrafodelista"/>
        <w:numPr>
          <w:ilvl w:val="0"/>
          <w:numId w:val="56"/>
        </w:numPr>
        <w:ind w:left="1982" w:hanging="567"/>
        <w:contextualSpacing w:val="0"/>
        <w:jc w:val="both"/>
        <w:rPr>
          <w:rFonts w:ascii="Arial" w:hAnsi="Arial" w:cs="Arial"/>
          <w:sz w:val="20"/>
          <w:szCs w:val="20"/>
        </w:rPr>
      </w:pPr>
      <w:r w:rsidRPr="00AC4AEA">
        <w:rPr>
          <w:rFonts w:ascii="Arial" w:hAnsi="Arial" w:cs="Arial"/>
          <w:sz w:val="20"/>
          <w:szCs w:val="20"/>
        </w:rPr>
        <w:t>la suma de los valores descontados de las cuotas mínimas por el arrendamiento y el valor residual no garantizado.</w:t>
      </w:r>
    </w:p>
    <w:p w:rsidR="003451C7" w:rsidRPr="00AC4AEA" w:rsidRDefault="00071074" w:rsidP="00A318EA">
      <w:pPr>
        <w:ind w:left="1416"/>
        <w:jc w:val="both"/>
        <w:rPr>
          <w:rFonts w:ascii="Arial" w:hAnsi="Arial" w:cs="Arial"/>
          <w:b/>
          <w:bCs/>
          <w:sz w:val="20"/>
          <w:szCs w:val="20"/>
        </w:rPr>
      </w:pPr>
      <w:r w:rsidRPr="00AC4AEA">
        <w:rPr>
          <w:rFonts w:ascii="Arial" w:hAnsi="Arial" w:cs="Arial"/>
          <w:sz w:val="20"/>
          <w:szCs w:val="20"/>
          <w:u w:val="single"/>
        </w:rPr>
        <w:t>Valor residual no garantizado</w:t>
      </w:r>
      <w:r w:rsidRPr="00AC4AEA">
        <w:rPr>
          <w:rFonts w:ascii="Arial" w:hAnsi="Arial" w:cs="Arial"/>
          <w:sz w:val="20"/>
          <w:szCs w:val="20"/>
        </w:rPr>
        <w:t xml:space="preserve">: Parte del valor residual del </w:t>
      </w:r>
      <w:r w:rsidRPr="00AC4AEA">
        <w:rPr>
          <w:rFonts w:ascii="Arial" w:hAnsi="Arial" w:cs="Arial"/>
          <w:b/>
          <w:bCs/>
          <w:sz w:val="20"/>
          <w:szCs w:val="20"/>
        </w:rPr>
        <w:t>activo</w:t>
      </w:r>
      <w:r w:rsidRPr="00AC4AEA">
        <w:rPr>
          <w:rFonts w:ascii="Arial" w:hAnsi="Arial" w:cs="Arial"/>
          <w:sz w:val="20"/>
          <w:szCs w:val="20"/>
        </w:rPr>
        <w:t xml:space="preserve"> arrendado cuya</w:t>
      </w:r>
      <w:r w:rsidR="00615B9C" w:rsidRPr="00AC4AEA">
        <w:rPr>
          <w:rFonts w:ascii="Arial" w:hAnsi="Arial" w:cs="Arial"/>
          <w:sz w:val="20"/>
          <w:szCs w:val="20"/>
        </w:rPr>
        <w:t xml:space="preserve"> realización no está asegurada o queda garantizada exclusivamente por un tercero relacionado con el arrendador.</w:t>
      </w:r>
    </w:p>
    <w:p w:rsidR="00D72785" w:rsidRPr="00AC4AEA" w:rsidRDefault="00D72785" w:rsidP="00A318EA">
      <w:pPr>
        <w:ind w:left="1416"/>
        <w:jc w:val="both"/>
        <w:rPr>
          <w:rFonts w:ascii="Arial" w:hAnsi="Arial" w:cs="Arial"/>
          <w:sz w:val="20"/>
          <w:szCs w:val="20"/>
        </w:rPr>
      </w:pPr>
      <w:r w:rsidRPr="00AC4AEA">
        <w:rPr>
          <w:rFonts w:ascii="Arial" w:hAnsi="Arial" w:cs="Arial"/>
          <w:sz w:val="20"/>
          <w:szCs w:val="20"/>
          <w:u w:val="single"/>
        </w:rPr>
        <w:t>Vida económica</w:t>
      </w:r>
      <w:r w:rsidRPr="00AC4AEA">
        <w:rPr>
          <w:rFonts w:ascii="Arial" w:hAnsi="Arial" w:cs="Arial"/>
          <w:sz w:val="20"/>
          <w:szCs w:val="20"/>
        </w:rPr>
        <w:t xml:space="preserve">: </w:t>
      </w:r>
      <w:r w:rsidR="003639B1" w:rsidRPr="00AC4AEA">
        <w:rPr>
          <w:rFonts w:ascii="Arial" w:hAnsi="Arial" w:cs="Arial"/>
          <w:sz w:val="20"/>
          <w:szCs w:val="20"/>
        </w:rPr>
        <w:t>P</w:t>
      </w:r>
      <w:r w:rsidRPr="00AC4AEA">
        <w:rPr>
          <w:rFonts w:ascii="Arial" w:hAnsi="Arial" w:cs="Arial"/>
          <w:sz w:val="20"/>
          <w:szCs w:val="20"/>
        </w:rPr>
        <w:t xml:space="preserve">eríodo estimado, contado desde el comienzo del arrendamiento, a lo largo del cual la empresa espera consumir los beneficios económicos incorporados al </w:t>
      </w:r>
      <w:r w:rsidRPr="00AC4AEA">
        <w:rPr>
          <w:rFonts w:ascii="Arial" w:hAnsi="Arial" w:cs="Arial"/>
          <w:b/>
          <w:bCs/>
          <w:sz w:val="20"/>
          <w:szCs w:val="20"/>
        </w:rPr>
        <w:t>activo</w:t>
      </w:r>
      <w:r w:rsidRPr="00AC4AEA">
        <w:rPr>
          <w:rFonts w:ascii="Arial" w:hAnsi="Arial" w:cs="Arial"/>
          <w:sz w:val="20"/>
          <w:szCs w:val="20"/>
        </w:rPr>
        <w:t xml:space="preserve"> arrendado.</w:t>
      </w:r>
    </w:p>
    <w:p w:rsidR="00D72785" w:rsidRPr="00AC4AEA" w:rsidRDefault="00D72785" w:rsidP="00A318EA">
      <w:pPr>
        <w:ind w:left="567"/>
        <w:jc w:val="both"/>
        <w:rPr>
          <w:rFonts w:ascii="Arial" w:hAnsi="Arial" w:cs="Arial"/>
          <w:sz w:val="20"/>
          <w:szCs w:val="20"/>
        </w:rPr>
      </w:pPr>
    </w:p>
    <w:p w:rsidR="00D72785" w:rsidRPr="00AC4AEA" w:rsidRDefault="00D72785" w:rsidP="00A318EA">
      <w:pPr>
        <w:pStyle w:val="Ttulo2"/>
        <w:rPr>
          <w:rFonts w:cs="Arial"/>
        </w:rPr>
      </w:pPr>
      <w:bookmarkStart w:id="777" w:name="_Toc101863959"/>
      <w:bookmarkStart w:id="778" w:name="_Toc139356848"/>
      <w:r w:rsidRPr="00AC4AEA">
        <w:rPr>
          <w:rFonts w:cs="Arial"/>
        </w:rPr>
        <w:t>Tipos de arrendamiento</w:t>
      </w:r>
      <w:bookmarkEnd w:id="777"/>
      <w:bookmarkEnd w:id="778"/>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privilegiará la sustancia económica de los contratos celebrados antes que su forma jurídica para distinguir entre:</w:t>
      </w:r>
    </w:p>
    <w:p w:rsidR="00D72785" w:rsidRPr="00AC4AEA" w:rsidRDefault="009E4824" w:rsidP="00A318EA">
      <w:pPr>
        <w:pStyle w:val="Prrafodelista"/>
        <w:numPr>
          <w:ilvl w:val="0"/>
          <w:numId w:val="141"/>
        </w:numPr>
        <w:ind w:left="1560"/>
        <w:contextualSpacing w:val="0"/>
        <w:jc w:val="both"/>
        <w:rPr>
          <w:rFonts w:ascii="Arial" w:hAnsi="Arial" w:cs="Arial"/>
          <w:sz w:val="20"/>
          <w:szCs w:val="20"/>
        </w:rPr>
      </w:pPr>
      <w:r w:rsidRPr="00AC4AEA">
        <w:rPr>
          <w:rFonts w:ascii="Arial" w:hAnsi="Arial" w:cs="Arial"/>
          <w:sz w:val="20"/>
          <w:szCs w:val="20"/>
        </w:rPr>
        <w:t>a</w:t>
      </w:r>
      <w:r w:rsidR="00D72785" w:rsidRPr="00AC4AEA">
        <w:rPr>
          <w:rFonts w:ascii="Arial" w:hAnsi="Arial" w:cs="Arial"/>
          <w:sz w:val="20"/>
          <w:szCs w:val="20"/>
        </w:rPr>
        <w:t>rrendamientos financieros</w:t>
      </w:r>
      <w:r w:rsidR="002238C3" w:rsidRPr="00AC4AEA">
        <w:rPr>
          <w:rFonts w:ascii="Arial" w:hAnsi="Arial" w:cs="Arial"/>
          <w:sz w:val="20"/>
          <w:szCs w:val="20"/>
        </w:rPr>
        <w:t>;</w:t>
      </w:r>
      <w:r w:rsidR="00D72785" w:rsidRPr="00AC4AEA">
        <w:rPr>
          <w:rFonts w:ascii="Arial" w:hAnsi="Arial" w:cs="Arial"/>
          <w:sz w:val="20"/>
          <w:szCs w:val="20"/>
        </w:rPr>
        <w:t xml:space="preserve"> y</w:t>
      </w:r>
    </w:p>
    <w:p w:rsidR="00D72785" w:rsidRPr="00AC4AEA" w:rsidRDefault="009E4824" w:rsidP="00A318EA">
      <w:pPr>
        <w:pStyle w:val="Prrafodelista"/>
        <w:numPr>
          <w:ilvl w:val="0"/>
          <w:numId w:val="141"/>
        </w:numPr>
        <w:ind w:left="1560"/>
        <w:contextualSpacing w:val="0"/>
        <w:jc w:val="both"/>
        <w:rPr>
          <w:rFonts w:ascii="Arial" w:hAnsi="Arial" w:cs="Arial"/>
          <w:sz w:val="20"/>
          <w:szCs w:val="20"/>
        </w:rPr>
      </w:pPr>
      <w:r w:rsidRPr="00AC4AEA">
        <w:rPr>
          <w:rFonts w:ascii="Arial" w:hAnsi="Arial" w:cs="Arial"/>
          <w:sz w:val="20"/>
          <w:szCs w:val="20"/>
        </w:rPr>
        <w:t>a</w:t>
      </w:r>
      <w:r w:rsidR="00D72785" w:rsidRPr="00AC4AEA">
        <w:rPr>
          <w:rFonts w:ascii="Arial" w:hAnsi="Arial" w:cs="Arial"/>
          <w:sz w:val="20"/>
          <w:szCs w:val="20"/>
        </w:rPr>
        <w:t>rrendamientos operativos.</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clasificará un arrendamiento como financiero cuando se </w:t>
      </w:r>
      <w:r w:rsidR="00FA5755" w:rsidRPr="00AC4AEA">
        <w:rPr>
          <w:rFonts w:ascii="Arial" w:hAnsi="Arial" w:cs="Arial"/>
          <w:sz w:val="20"/>
          <w:szCs w:val="20"/>
        </w:rPr>
        <w:t>presenten, individualmente o en combinación,</w:t>
      </w:r>
      <w:r w:rsidRPr="00AC4AEA">
        <w:rPr>
          <w:rFonts w:ascii="Arial" w:hAnsi="Arial" w:cs="Arial"/>
          <w:sz w:val="20"/>
          <w:szCs w:val="20"/>
        </w:rPr>
        <w:t xml:space="preserve"> </w:t>
      </w:r>
      <w:r w:rsidR="00FA5755" w:rsidRPr="00AC4AEA">
        <w:rPr>
          <w:rFonts w:ascii="Arial" w:hAnsi="Arial" w:cs="Arial"/>
          <w:sz w:val="20"/>
          <w:szCs w:val="20"/>
        </w:rPr>
        <w:t>situaciones</w:t>
      </w:r>
      <w:r w:rsidR="00D6796C" w:rsidRPr="00AC4AEA">
        <w:rPr>
          <w:rFonts w:ascii="Arial" w:hAnsi="Arial" w:cs="Arial"/>
          <w:sz w:val="20"/>
          <w:szCs w:val="20"/>
        </w:rPr>
        <w:t xml:space="preserve"> que constituy</w:t>
      </w:r>
      <w:r w:rsidR="00FA5755" w:rsidRPr="00AC4AEA">
        <w:rPr>
          <w:rFonts w:ascii="Arial" w:hAnsi="Arial" w:cs="Arial"/>
          <w:sz w:val="20"/>
          <w:szCs w:val="20"/>
        </w:rPr>
        <w:t>a</w:t>
      </w:r>
      <w:r w:rsidR="00D6796C" w:rsidRPr="00AC4AEA">
        <w:rPr>
          <w:rFonts w:ascii="Arial" w:hAnsi="Arial" w:cs="Arial"/>
          <w:sz w:val="20"/>
          <w:szCs w:val="20"/>
        </w:rPr>
        <w:t>n indicios de la transferencia de riesgos y beneficios</w:t>
      </w:r>
      <w:r w:rsidR="00FA5755" w:rsidRPr="00AC4AEA">
        <w:rPr>
          <w:rFonts w:ascii="Arial" w:hAnsi="Arial" w:cs="Arial"/>
          <w:sz w:val="20"/>
          <w:szCs w:val="20"/>
        </w:rPr>
        <w:t>. Entre ellas, las siguientes:</w:t>
      </w:r>
    </w:p>
    <w:p w:rsidR="00D72785" w:rsidRPr="00AC4AEA" w:rsidRDefault="002A73BC" w:rsidP="00A318EA">
      <w:pPr>
        <w:pStyle w:val="Prrafodelista"/>
        <w:numPr>
          <w:ilvl w:val="0"/>
          <w:numId w:val="142"/>
        </w:numPr>
        <w:ind w:left="1560"/>
        <w:contextualSpacing w:val="0"/>
        <w:jc w:val="both"/>
        <w:rPr>
          <w:rFonts w:ascii="Arial" w:hAnsi="Arial" w:cs="Arial"/>
          <w:sz w:val="20"/>
          <w:szCs w:val="20"/>
        </w:rPr>
      </w:pPr>
      <w:r w:rsidRPr="00AC4AEA">
        <w:rPr>
          <w:rFonts w:ascii="Arial" w:hAnsi="Arial" w:cs="Arial"/>
          <w:w w:val="105"/>
          <w:sz w:val="20"/>
          <w:szCs w:val="20"/>
        </w:rPr>
        <w:t>e</w:t>
      </w:r>
      <w:r w:rsidR="00D72785" w:rsidRPr="00AC4AEA">
        <w:rPr>
          <w:rFonts w:ascii="Arial" w:hAnsi="Arial" w:cs="Arial"/>
          <w:w w:val="105"/>
          <w:sz w:val="20"/>
          <w:szCs w:val="20"/>
        </w:rPr>
        <w:t>l</w:t>
      </w:r>
      <w:r w:rsidR="00D72785" w:rsidRPr="00AC4AEA">
        <w:rPr>
          <w:rFonts w:ascii="Arial" w:hAnsi="Arial" w:cs="Arial"/>
          <w:spacing w:val="-9"/>
          <w:w w:val="105"/>
          <w:sz w:val="20"/>
          <w:szCs w:val="20"/>
        </w:rPr>
        <w:t xml:space="preserve"> </w:t>
      </w:r>
      <w:r w:rsidR="00D72785" w:rsidRPr="003A4B10">
        <w:rPr>
          <w:rFonts w:ascii="Arial" w:hAnsi="Arial" w:cs="Arial"/>
          <w:b/>
          <w:bCs/>
          <w:w w:val="105"/>
          <w:sz w:val="20"/>
          <w:szCs w:val="20"/>
        </w:rPr>
        <w:t>contrato</w:t>
      </w:r>
      <w:r w:rsidR="00D72785" w:rsidRPr="003A4B10">
        <w:rPr>
          <w:rFonts w:ascii="Arial" w:hAnsi="Arial" w:cs="Arial"/>
          <w:b/>
          <w:bCs/>
          <w:spacing w:val="-9"/>
          <w:w w:val="105"/>
          <w:sz w:val="20"/>
          <w:szCs w:val="20"/>
        </w:rPr>
        <w:t xml:space="preserve"> </w:t>
      </w:r>
      <w:r w:rsidR="00D72785" w:rsidRPr="00AC4AEA">
        <w:rPr>
          <w:rFonts w:ascii="Arial" w:hAnsi="Arial" w:cs="Arial"/>
          <w:w w:val="105"/>
          <w:sz w:val="20"/>
          <w:szCs w:val="20"/>
        </w:rPr>
        <w:t>transfiere</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la</w:t>
      </w:r>
      <w:r w:rsidR="00D72785" w:rsidRPr="00AC4AEA">
        <w:rPr>
          <w:rFonts w:ascii="Arial" w:hAnsi="Arial" w:cs="Arial"/>
          <w:spacing w:val="-9"/>
          <w:w w:val="105"/>
          <w:sz w:val="20"/>
          <w:szCs w:val="20"/>
        </w:rPr>
        <w:t xml:space="preserve"> </w:t>
      </w:r>
      <w:r w:rsidR="00D72785" w:rsidRPr="00AC4AEA">
        <w:rPr>
          <w:rFonts w:ascii="Arial" w:hAnsi="Arial" w:cs="Arial"/>
          <w:w w:val="105"/>
          <w:sz w:val="20"/>
          <w:szCs w:val="20"/>
        </w:rPr>
        <w:t>propiedad</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del</w:t>
      </w:r>
      <w:r w:rsidR="00D72785" w:rsidRPr="00AC4AEA">
        <w:rPr>
          <w:rFonts w:ascii="Arial" w:hAnsi="Arial" w:cs="Arial"/>
          <w:spacing w:val="-9"/>
          <w:w w:val="105"/>
          <w:sz w:val="20"/>
          <w:szCs w:val="20"/>
        </w:rPr>
        <w:t xml:space="preserve"> </w:t>
      </w:r>
      <w:r w:rsidR="00D72785" w:rsidRPr="00AC4AEA">
        <w:rPr>
          <w:rFonts w:ascii="Arial" w:hAnsi="Arial" w:cs="Arial"/>
          <w:b/>
          <w:bCs/>
          <w:w w:val="105"/>
          <w:sz w:val="20"/>
          <w:szCs w:val="20"/>
        </w:rPr>
        <w:t>activo</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al</w:t>
      </w:r>
      <w:r w:rsidR="00D72785" w:rsidRPr="00AC4AEA">
        <w:rPr>
          <w:rFonts w:ascii="Arial" w:hAnsi="Arial" w:cs="Arial"/>
          <w:spacing w:val="-9"/>
          <w:w w:val="105"/>
          <w:sz w:val="20"/>
          <w:szCs w:val="20"/>
        </w:rPr>
        <w:t xml:space="preserve"> </w:t>
      </w:r>
      <w:r w:rsidR="00D72785" w:rsidRPr="00AC4AEA">
        <w:rPr>
          <w:rFonts w:ascii="Arial" w:hAnsi="Arial" w:cs="Arial"/>
          <w:w w:val="105"/>
          <w:sz w:val="20"/>
          <w:szCs w:val="20"/>
        </w:rPr>
        <w:t>arrendatario</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al</w:t>
      </w:r>
      <w:r w:rsidR="00D72785" w:rsidRPr="00AC4AEA">
        <w:rPr>
          <w:rFonts w:ascii="Arial" w:hAnsi="Arial" w:cs="Arial"/>
          <w:spacing w:val="-9"/>
          <w:w w:val="105"/>
          <w:sz w:val="20"/>
          <w:szCs w:val="20"/>
        </w:rPr>
        <w:t xml:space="preserve"> </w:t>
      </w:r>
      <w:r w:rsidR="00D72785" w:rsidRPr="00AC4AEA">
        <w:rPr>
          <w:rFonts w:ascii="Arial" w:hAnsi="Arial" w:cs="Arial"/>
          <w:w w:val="105"/>
          <w:sz w:val="20"/>
          <w:szCs w:val="20"/>
        </w:rPr>
        <w:t>final</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del</w:t>
      </w:r>
      <w:r w:rsidR="00D72785" w:rsidRPr="00AC4AEA">
        <w:rPr>
          <w:rFonts w:ascii="Arial" w:hAnsi="Arial" w:cs="Arial"/>
          <w:spacing w:val="-9"/>
          <w:w w:val="105"/>
          <w:sz w:val="20"/>
          <w:szCs w:val="20"/>
        </w:rPr>
        <w:t xml:space="preserve"> </w:t>
      </w:r>
      <w:r w:rsidR="00D72785" w:rsidRPr="00AC4AEA">
        <w:rPr>
          <w:rFonts w:ascii="Arial" w:hAnsi="Arial" w:cs="Arial"/>
          <w:w w:val="105"/>
          <w:sz w:val="20"/>
          <w:szCs w:val="20"/>
        </w:rPr>
        <w:t>término</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del</w:t>
      </w:r>
      <w:r w:rsidR="00D72785" w:rsidRPr="00AC4AEA">
        <w:rPr>
          <w:rFonts w:ascii="Arial" w:hAnsi="Arial" w:cs="Arial"/>
          <w:spacing w:val="-9"/>
          <w:w w:val="105"/>
          <w:sz w:val="20"/>
          <w:szCs w:val="20"/>
        </w:rPr>
        <w:t xml:space="preserve"> </w:t>
      </w:r>
      <w:r w:rsidR="00D72785" w:rsidRPr="00AC4AEA">
        <w:rPr>
          <w:rFonts w:ascii="Arial" w:hAnsi="Arial" w:cs="Arial"/>
          <w:w w:val="105"/>
          <w:sz w:val="20"/>
          <w:szCs w:val="20"/>
        </w:rPr>
        <w:t>arrendamiento;</w:t>
      </w:r>
    </w:p>
    <w:p w:rsidR="00D72785" w:rsidRPr="00AC4AEA" w:rsidRDefault="002A73BC" w:rsidP="00A318EA">
      <w:pPr>
        <w:pStyle w:val="Prrafodelista"/>
        <w:numPr>
          <w:ilvl w:val="0"/>
          <w:numId w:val="142"/>
        </w:numPr>
        <w:ind w:left="1560" w:right="210"/>
        <w:contextualSpacing w:val="0"/>
        <w:jc w:val="both"/>
        <w:rPr>
          <w:rFonts w:ascii="Arial" w:hAnsi="Arial" w:cs="Arial"/>
          <w:sz w:val="20"/>
          <w:szCs w:val="20"/>
        </w:rPr>
      </w:pPr>
      <w:r w:rsidRPr="00AC4AEA">
        <w:rPr>
          <w:rFonts w:ascii="Arial" w:hAnsi="Arial" w:cs="Arial"/>
          <w:w w:val="105"/>
          <w:sz w:val="20"/>
          <w:szCs w:val="20"/>
        </w:rPr>
        <w:t>e</w:t>
      </w:r>
      <w:r w:rsidR="00D72785" w:rsidRPr="00AC4AEA">
        <w:rPr>
          <w:rFonts w:ascii="Arial" w:hAnsi="Arial" w:cs="Arial"/>
          <w:w w:val="105"/>
          <w:sz w:val="20"/>
          <w:szCs w:val="20"/>
        </w:rPr>
        <w:t>l</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arrendatario</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tiene</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la</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opción</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comprar</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el</w:t>
      </w:r>
      <w:r w:rsidR="00D72785" w:rsidRPr="00AC4AEA">
        <w:rPr>
          <w:rFonts w:ascii="Arial" w:hAnsi="Arial" w:cs="Arial"/>
          <w:spacing w:val="-2"/>
          <w:w w:val="105"/>
          <w:sz w:val="20"/>
          <w:szCs w:val="20"/>
        </w:rPr>
        <w:t xml:space="preserve"> </w:t>
      </w:r>
      <w:r w:rsidR="00D72785" w:rsidRPr="00AC4AEA">
        <w:rPr>
          <w:rFonts w:ascii="Arial" w:hAnsi="Arial" w:cs="Arial"/>
          <w:b/>
          <w:bCs/>
          <w:w w:val="105"/>
          <w:sz w:val="20"/>
          <w:szCs w:val="20"/>
        </w:rPr>
        <w:t>activo</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a</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un</w:t>
      </w:r>
      <w:r w:rsidR="00D72785" w:rsidRPr="00AC4AEA">
        <w:rPr>
          <w:rFonts w:ascii="Arial" w:hAnsi="Arial" w:cs="Arial"/>
          <w:spacing w:val="-3"/>
          <w:w w:val="105"/>
          <w:sz w:val="20"/>
          <w:szCs w:val="20"/>
        </w:rPr>
        <w:t xml:space="preserve"> </w:t>
      </w:r>
      <w:r w:rsidR="00154561" w:rsidRPr="00AC4AEA">
        <w:rPr>
          <w:rFonts w:ascii="Arial" w:hAnsi="Arial" w:cs="Arial"/>
          <w:w w:val="105"/>
          <w:sz w:val="20"/>
          <w:szCs w:val="20"/>
        </w:rPr>
        <w:t xml:space="preserve">precio </w:t>
      </w:r>
      <w:r w:rsidR="00D72785" w:rsidRPr="00AC4AEA">
        <w:rPr>
          <w:rFonts w:ascii="Arial" w:hAnsi="Arial" w:cs="Arial"/>
          <w:w w:val="105"/>
          <w:sz w:val="20"/>
          <w:szCs w:val="20"/>
        </w:rPr>
        <w:t>lo</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suficientemente</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más</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bajo</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que</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 xml:space="preserve">el </w:t>
      </w:r>
      <w:r w:rsidR="00FA5755" w:rsidRPr="00AC4AEA">
        <w:rPr>
          <w:rFonts w:ascii="Arial" w:hAnsi="Arial" w:cs="Arial"/>
          <w:b/>
          <w:bCs/>
          <w:w w:val="105"/>
          <w:sz w:val="20"/>
          <w:szCs w:val="20"/>
        </w:rPr>
        <w:t>valor razonable</w:t>
      </w:r>
      <w:r w:rsidR="00D72785" w:rsidRPr="00AC4AEA">
        <w:rPr>
          <w:rFonts w:ascii="Arial" w:hAnsi="Arial" w:cs="Arial"/>
          <w:w w:val="105"/>
          <w:sz w:val="20"/>
          <w:szCs w:val="20"/>
        </w:rPr>
        <w:t xml:space="preserve"> esperado a la fecha de </w:t>
      </w:r>
      <w:r w:rsidR="0021267A" w:rsidRPr="00AC4AEA">
        <w:rPr>
          <w:rFonts w:ascii="Arial" w:hAnsi="Arial" w:cs="Arial"/>
          <w:w w:val="105"/>
          <w:sz w:val="20"/>
          <w:szCs w:val="20"/>
        </w:rPr>
        <w:t>ejercer</w:t>
      </w:r>
      <w:r w:rsidR="00D72785" w:rsidRPr="00AC4AEA">
        <w:rPr>
          <w:rFonts w:ascii="Arial" w:hAnsi="Arial" w:cs="Arial"/>
          <w:w w:val="105"/>
          <w:sz w:val="20"/>
          <w:szCs w:val="20"/>
        </w:rPr>
        <w:t xml:space="preserve"> la opción, de manera </w:t>
      </w:r>
      <w:r w:rsidR="00154561" w:rsidRPr="00AC4AEA">
        <w:rPr>
          <w:rFonts w:ascii="Arial" w:hAnsi="Arial" w:cs="Arial"/>
          <w:w w:val="105"/>
          <w:sz w:val="20"/>
          <w:szCs w:val="20"/>
        </w:rPr>
        <w:t xml:space="preserve">tal </w:t>
      </w:r>
      <w:r w:rsidR="00D72785" w:rsidRPr="00AC4AEA">
        <w:rPr>
          <w:rFonts w:ascii="Arial" w:hAnsi="Arial" w:cs="Arial"/>
          <w:w w:val="105"/>
          <w:sz w:val="20"/>
          <w:szCs w:val="20"/>
        </w:rPr>
        <w:t>que, al inicio del arrendamiento, sea</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razonablemente</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seguro</w:t>
      </w:r>
      <w:r w:rsidR="00D72785" w:rsidRPr="00AC4AEA">
        <w:rPr>
          <w:rFonts w:ascii="Arial" w:hAnsi="Arial" w:cs="Arial"/>
          <w:spacing w:val="-2"/>
          <w:w w:val="105"/>
          <w:sz w:val="20"/>
          <w:szCs w:val="20"/>
        </w:rPr>
        <w:t xml:space="preserve"> </w:t>
      </w:r>
      <w:r w:rsidR="00154561" w:rsidRPr="00AC4AEA">
        <w:rPr>
          <w:rFonts w:ascii="Arial" w:hAnsi="Arial" w:cs="Arial"/>
          <w:w w:val="105"/>
          <w:sz w:val="20"/>
          <w:szCs w:val="20"/>
        </w:rPr>
        <w:t>ejercer la opción</w:t>
      </w:r>
      <w:r w:rsidR="00D72785" w:rsidRPr="00AC4AEA">
        <w:rPr>
          <w:rFonts w:ascii="Arial" w:hAnsi="Arial" w:cs="Arial"/>
          <w:w w:val="105"/>
          <w:sz w:val="20"/>
          <w:szCs w:val="20"/>
        </w:rPr>
        <w:t>;</w:t>
      </w:r>
    </w:p>
    <w:p w:rsidR="00D72785" w:rsidRPr="00AC4AEA" w:rsidRDefault="002A73BC" w:rsidP="00A318EA">
      <w:pPr>
        <w:pStyle w:val="Prrafodelista"/>
        <w:numPr>
          <w:ilvl w:val="0"/>
          <w:numId w:val="142"/>
        </w:numPr>
        <w:ind w:left="1560"/>
        <w:contextualSpacing w:val="0"/>
        <w:jc w:val="both"/>
        <w:rPr>
          <w:rFonts w:ascii="Arial" w:hAnsi="Arial" w:cs="Arial"/>
          <w:sz w:val="20"/>
          <w:szCs w:val="20"/>
        </w:rPr>
      </w:pPr>
      <w:r w:rsidRPr="00AC4AEA">
        <w:rPr>
          <w:rFonts w:ascii="Arial" w:hAnsi="Arial" w:cs="Arial"/>
          <w:w w:val="105"/>
          <w:sz w:val="20"/>
          <w:szCs w:val="20"/>
        </w:rPr>
        <w:lastRenderedPageBreak/>
        <w:t>e</w:t>
      </w:r>
      <w:r w:rsidR="00D72785" w:rsidRPr="00AC4AEA">
        <w:rPr>
          <w:rFonts w:ascii="Arial" w:hAnsi="Arial" w:cs="Arial"/>
          <w:w w:val="105"/>
          <w:sz w:val="20"/>
          <w:szCs w:val="20"/>
        </w:rPr>
        <w:t>l</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plazo</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del</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arrendamiento</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cubre</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la</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parte</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principal</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la</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vida</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económica</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del</w:t>
      </w:r>
      <w:r w:rsidR="00D72785" w:rsidRPr="00AC4AEA">
        <w:rPr>
          <w:rFonts w:ascii="Arial" w:hAnsi="Arial" w:cs="Arial"/>
          <w:spacing w:val="-7"/>
          <w:w w:val="105"/>
          <w:sz w:val="20"/>
          <w:szCs w:val="20"/>
        </w:rPr>
        <w:t xml:space="preserve"> </w:t>
      </w:r>
      <w:r w:rsidR="00D72785" w:rsidRPr="00AC4AEA">
        <w:rPr>
          <w:rFonts w:ascii="Arial" w:hAnsi="Arial" w:cs="Arial"/>
          <w:b/>
          <w:bCs/>
          <w:w w:val="105"/>
          <w:sz w:val="20"/>
          <w:szCs w:val="20"/>
        </w:rPr>
        <w:t>activo</w:t>
      </w:r>
      <w:r w:rsidR="00D72785" w:rsidRPr="00AC4AEA">
        <w:rPr>
          <w:rFonts w:ascii="Arial" w:hAnsi="Arial" w:cs="Arial"/>
          <w:w w:val="105"/>
          <w:sz w:val="20"/>
          <w:szCs w:val="20"/>
        </w:rPr>
        <w:t>;</w:t>
      </w:r>
    </w:p>
    <w:p w:rsidR="00D72785" w:rsidRPr="00AC4AEA" w:rsidRDefault="002A73BC" w:rsidP="00A318EA">
      <w:pPr>
        <w:pStyle w:val="Prrafodelista"/>
        <w:numPr>
          <w:ilvl w:val="0"/>
          <w:numId w:val="142"/>
        </w:numPr>
        <w:ind w:left="1560" w:right="210"/>
        <w:contextualSpacing w:val="0"/>
        <w:jc w:val="both"/>
        <w:rPr>
          <w:rFonts w:ascii="Arial" w:hAnsi="Arial" w:cs="Arial"/>
          <w:sz w:val="20"/>
          <w:szCs w:val="20"/>
        </w:rPr>
      </w:pPr>
      <w:r w:rsidRPr="00AC4AEA">
        <w:rPr>
          <w:rFonts w:ascii="Arial" w:hAnsi="Arial" w:cs="Arial"/>
          <w:w w:val="105"/>
          <w:sz w:val="20"/>
          <w:szCs w:val="20"/>
        </w:rPr>
        <w:t>e</w:t>
      </w:r>
      <w:r w:rsidR="00D72785" w:rsidRPr="00AC4AEA">
        <w:rPr>
          <w:rFonts w:ascii="Arial" w:hAnsi="Arial" w:cs="Arial"/>
          <w:w w:val="105"/>
          <w:sz w:val="20"/>
          <w:szCs w:val="20"/>
        </w:rPr>
        <w:t xml:space="preserve">l valor descontado de las cuotas mínimas equivale sustancialmente al </w:t>
      </w:r>
      <w:r w:rsidR="00FA5755" w:rsidRPr="00AC4AEA">
        <w:rPr>
          <w:rFonts w:ascii="Arial" w:hAnsi="Arial" w:cs="Arial"/>
          <w:b/>
          <w:bCs/>
          <w:w w:val="105"/>
          <w:sz w:val="20"/>
          <w:szCs w:val="20"/>
        </w:rPr>
        <w:t>valor razonable</w:t>
      </w:r>
      <w:r w:rsidR="00D72785" w:rsidRPr="00AC4AEA">
        <w:rPr>
          <w:rFonts w:ascii="Arial" w:hAnsi="Arial" w:cs="Arial"/>
          <w:w w:val="105"/>
          <w:sz w:val="20"/>
          <w:szCs w:val="20"/>
        </w:rPr>
        <w:t xml:space="preserve"> del </w:t>
      </w:r>
      <w:r w:rsidR="00D72785" w:rsidRPr="00AC4AEA">
        <w:rPr>
          <w:rFonts w:ascii="Arial" w:hAnsi="Arial" w:cs="Arial"/>
          <w:b/>
          <w:bCs/>
          <w:w w:val="105"/>
          <w:sz w:val="20"/>
          <w:szCs w:val="20"/>
        </w:rPr>
        <w:t>activo</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arrendado, al inicio del arrendamiento;</w:t>
      </w:r>
    </w:p>
    <w:p w:rsidR="00D72785" w:rsidRPr="00AC4AEA" w:rsidRDefault="002A73BC" w:rsidP="00A318EA">
      <w:pPr>
        <w:pStyle w:val="Prrafodelista"/>
        <w:numPr>
          <w:ilvl w:val="0"/>
          <w:numId w:val="142"/>
        </w:numPr>
        <w:tabs>
          <w:tab w:val="left" w:pos="671"/>
        </w:tabs>
        <w:ind w:left="1560" w:right="210"/>
        <w:contextualSpacing w:val="0"/>
        <w:jc w:val="both"/>
        <w:rPr>
          <w:rFonts w:ascii="Arial" w:hAnsi="Arial" w:cs="Arial"/>
          <w:sz w:val="20"/>
          <w:szCs w:val="20"/>
        </w:rPr>
      </w:pPr>
      <w:r w:rsidRPr="00AC4AEA">
        <w:rPr>
          <w:rFonts w:ascii="Arial" w:hAnsi="Arial" w:cs="Arial"/>
          <w:w w:val="105"/>
          <w:sz w:val="20"/>
          <w:szCs w:val="20"/>
        </w:rPr>
        <w:t>l</w:t>
      </w:r>
      <w:r w:rsidR="00D72785" w:rsidRPr="00AC4AEA">
        <w:rPr>
          <w:rFonts w:ascii="Arial" w:hAnsi="Arial" w:cs="Arial"/>
          <w:w w:val="105"/>
          <w:sz w:val="20"/>
          <w:szCs w:val="20"/>
        </w:rPr>
        <w:t xml:space="preserve">a naturaleza de los </w:t>
      </w:r>
      <w:r w:rsidR="00497590" w:rsidRPr="00AC4AEA">
        <w:rPr>
          <w:rFonts w:ascii="Arial" w:hAnsi="Arial" w:cs="Arial"/>
          <w:w w:val="105"/>
          <w:sz w:val="20"/>
          <w:szCs w:val="20"/>
        </w:rPr>
        <w:t>activos</w:t>
      </w:r>
      <w:r w:rsidR="00D72785" w:rsidRPr="00AC4AEA">
        <w:rPr>
          <w:rFonts w:ascii="Arial" w:hAnsi="Arial" w:cs="Arial"/>
          <w:w w:val="105"/>
          <w:sz w:val="20"/>
          <w:szCs w:val="20"/>
        </w:rPr>
        <w:t xml:space="preserve"> arrendados permite suponer que solo el arrendatario pued</w:t>
      </w:r>
      <w:r w:rsidR="00154561" w:rsidRPr="00AC4AEA">
        <w:rPr>
          <w:rFonts w:ascii="Arial" w:hAnsi="Arial" w:cs="Arial"/>
          <w:w w:val="105"/>
          <w:sz w:val="20"/>
          <w:szCs w:val="20"/>
        </w:rPr>
        <w:t>e</w:t>
      </w:r>
      <w:r w:rsidR="00D72785" w:rsidRPr="00AC4AEA">
        <w:rPr>
          <w:rFonts w:ascii="Arial" w:hAnsi="Arial" w:cs="Arial"/>
          <w:w w:val="105"/>
          <w:sz w:val="20"/>
          <w:szCs w:val="20"/>
        </w:rPr>
        <w:t xml:space="preserve"> utilizarlos sin mayores</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modificaciones;</w:t>
      </w:r>
    </w:p>
    <w:p w:rsidR="00D72785" w:rsidRPr="00AC4AEA" w:rsidRDefault="002A73BC" w:rsidP="00A318EA">
      <w:pPr>
        <w:pStyle w:val="Prrafodelista"/>
        <w:numPr>
          <w:ilvl w:val="0"/>
          <w:numId w:val="142"/>
        </w:numPr>
        <w:ind w:left="1560" w:right="210"/>
        <w:contextualSpacing w:val="0"/>
        <w:jc w:val="both"/>
        <w:rPr>
          <w:rFonts w:ascii="Arial" w:hAnsi="Arial" w:cs="Arial"/>
          <w:sz w:val="20"/>
          <w:szCs w:val="20"/>
        </w:rPr>
      </w:pPr>
      <w:r w:rsidRPr="00AC4AEA">
        <w:rPr>
          <w:rFonts w:ascii="Arial" w:hAnsi="Arial" w:cs="Arial"/>
          <w:w w:val="105"/>
          <w:sz w:val="20"/>
          <w:szCs w:val="20"/>
        </w:rPr>
        <w:t>e</w:t>
      </w:r>
      <w:r w:rsidR="00D72785" w:rsidRPr="00AC4AEA">
        <w:rPr>
          <w:rFonts w:ascii="Arial" w:hAnsi="Arial" w:cs="Arial"/>
          <w:w w:val="105"/>
          <w:sz w:val="20"/>
          <w:szCs w:val="20"/>
        </w:rPr>
        <w:t>l arrendatario tiene la posibilidad de resolver el contrato, haciéndose cargo de las pérdidas que tal cancelación</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motive;</w:t>
      </w:r>
    </w:p>
    <w:p w:rsidR="00D72785" w:rsidRPr="00AC4AEA" w:rsidRDefault="002A73BC" w:rsidP="00A318EA">
      <w:pPr>
        <w:pStyle w:val="Prrafodelista"/>
        <w:numPr>
          <w:ilvl w:val="0"/>
          <w:numId w:val="142"/>
        </w:numPr>
        <w:tabs>
          <w:tab w:val="left" w:pos="676"/>
        </w:tabs>
        <w:ind w:left="1560" w:right="210"/>
        <w:contextualSpacing w:val="0"/>
        <w:jc w:val="both"/>
        <w:rPr>
          <w:rFonts w:ascii="Arial" w:hAnsi="Arial" w:cs="Arial"/>
          <w:sz w:val="20"/>
          <w:szCs w:val="20"/>
        </w:rPr>
      </w:pPr>
      <w:r w:rsidRPr="00AC4AEA">
        <w:rPr>
          <w:rFonts w:ascii="Arial" w:hAnsi="Arial" w:cs="Arial"/>
          <w:w w:val="105"/>
          <w:sz w:val="20"/>
          <w:szCs w:val="20"/>
        </w:rPr>
        <w:t>l</w:t>
      </w:r>
      <w:r w:rsidR="00D72785" w:rsidRPr="00AC4AEA">
        <w:rPr>
          <w:rFonts w:ascii="Arial" w:hAnsi="Arial" w:cs="Arial"/>
          <w:w w:val="105"/>
          <w:sz w:val="20"/>
          <w:szCs w:val="20"/>
        </w:rPr>
        <w:t xml:space="preserve">as ganancias y pérdidas motivadas por las fluctuaciones del valor residual razonable del </w:t>
      </w:r>
      <w:r w:rsidR="00D72785" w:rsidRPr="00AC4AEA">
        <w:rPr>
          <w:rFonts w:ascii="Arial" w:hAnsi="Arial" w:cs="Arial"/>
          <w:b/>
          <w:bCs/>
          <w:w w:val="105"/>
          <w:sz w:val="20"/>
          <w:szCs w:val="20"/>
        </w:rPr>
        <w:t>activo</w:t>
      </w:r>
      <w:r w:rsidR="00D72785" w:rsidRPr="00AC4AEA">
        <w:rPr>
          <w:rFonts w:ascii="Arial" w:hAnsi="Arial" w:cs="Arial"/>
          <w:w w:val="105"/>
          <w:sz w:val="20"/>
          <w:szCs w:val="20"/>
        </w:rPr>
        <w:t xml:space="preserve"> recaen sobre el</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arrendatario</w:t>
      </w:r>
      <w:r w:rsidR="00FA5755" w:rsidRPr="00AC4AEA">
        <w:rPr>
          <w:rFonts w:ascii="Arial" w:hAnsi="Arial" w:cs="Arial"/>
          <w:w w:val="105"/>
          <w:sz w:val="20"/>
          <w:szCs w:val="20"/>
        </w:rPr>
        <w:t>;</w:t>
      </w:r>
      <w:r w:rsidR="004234FA" w:rsidRPr="00AC4AEA">
        <w:rPr>
          <w:rFonts w:ascii="Arial" w:hAnsi="Arial" w:cs="Arial"/>
          <w:w w:val="105"/>
          <w:sz w:val="20"/>
          <w:szCs w:val="20"/>
        </w:rPr>
        <w:t xml:space="preserve"> o</w:t>
      </w:r>
    </w:p>
    <w:p w:rsidR="00D72785" w:rsidRPr="00AC4AEA" w:rsidRDefault="002A73BC" w:rsidP="00A318EA">
      <w:pPr>
        <w:pStyle w:val="Prrafodelista"/>
        <w:numPr>
          <w:ilvl w:val="0"/>
          <w:numId w:val="142"/>
        </w:numPr>
        <w:tabs>
          <w:tab w:val="left" w:pos="716"/>
        </w:tabs>
        <w:ind w:left="1560" w:right="210"/>
        <w:contextualSpacing w:val="0"/>
        <w:jc w:val="both"/>
        <w:rPr>
          <w:rFonts w:ascii="Arial" w:hAnsi="Arial" w:cs="Arial"/>
          <w:sz w:val="20"/>
          <w:szCs w:val="20"/>
        </w:rPr>
      </w:pPr>
      <w:r w:rsidRPr="00AC4AEA">
        <w:rPr>
          <w:rFonts w:ascii="Arial" w:hAnsi="Arial" w:cs="Arial"/>
          <w:w w:val="105"/>
          <w:sz w:val="20"/>
          <w:szCs w:val="20"/>
        </w:rPr>
        <w:t>e</w:t>
      </w:r>
      <w:r w:rsidR="00D72785" w:rsidRPr="00AC4AEA">
        <w:rPr>
          <w:rFonts w:ascii="Arial" w:hAnsi="Arial" w:cs="Arial"/>
          <w:w w:val="105"/>
          <w:sz w:val="20"/>
          <w:szCs w:val="20"/>
        </w:rPr>
        <w:t>l</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arrendatario</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tiene</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la</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posibilidad</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prorrogar</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el</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arrendamiento</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durante</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un</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segundo</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período,</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con</w:t>
      </w:r>
      <w:r w:rsidR="00D72785" w:rsidRPr="00AC4AEA">
        <w:rPr>
          <w:rFonts w:ascii="Arial" w:hAnsi="Arial" w:cs="Arial"/>
          <w:spacing w:val="1"/>
          <w:w w:val="105"/>
          <w:sz w:val="20"/>
          <w:szCs w:val="20"/>
        </w:rPr>
        <w:t xml:space="preserve"> </w:t>
      </w:r>
      <w:r w:rsidR="000C2760" w:rsidRPr="00AC4AEA">
        <w:rPr>
          <w:rFonts w:ascii="Arial" w:hAnsi="Arial" w:cs="Arial"/>
          <w:w w:val="105"/>
          <w:sz w:val="20"/>
          <w:szCs w:val="20"/>
        </w:rPr>
        <w:t>cuotas</w:t>
      </w:r>
      <w:r w:rsidR="000C2760" w:rsidRPr="00AC4AEA">
        <w:rPr>
          <w:rFonts w:ascii="Arial" w:hAnsi="Arial" w:cs="Arial"/>
          <w:spacing w:val="-60"/>
          <w:w w:val="105"/>
          <w:sz w:val="20"/>
          <w:szCs w:val="20"/>
        </w:rPr>
        <w:t xml:space="preserve"> </w:t>
      </w:r>
      <w:r w:rsidR="007D7512" w:rsidRPr="00AC4AEA">
        <w:rPr>
          <w:rFonts w:ascii="Arial" w:hAnsi="Arial" w:cs="Arial"/>
          <w:spacing w:val="-60"/>
          <w:w w:val="105"/>
          <w:sz w:val="20"/>
          <w:szCs w:val="20"/>
        </w:rPr>
        <w:t xml:space="preserve">    </w:t>
      </w:r>
      <w:r w:rsidR="007D7512" w:rsidRPr="00AC4AEA">
        <w:rPr>
          <w:rFonts w:ascii="Arial" w:hAnsi="Arial" w:cs="Arial"/>
          <w:w w:val="105"/>
          <w:sz w:val="20"/>
          <w:szCs w:val="20"/>
        </w:rPr>
        <w:t xml:space="preserve"> menores </w:t>
      </w:r>
      <w:r w:rsidR="00D72785" w:rsidRPr="00AC4AEA">
        <w:rPr>
          <w:rFonts w:ascii="Arial" w:hAnsi="Arial" w:cs="Arial"/>
          <w:w w:val="105"/>
          <w:sz w:val="20"/>
          <w:szCs w:val="20"/>
        </w:rPr>
        <w:t>que</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las</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del</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mercado</w:t>
      </w:r>
      <w:r w:rsidR="00154561" w:rsidRPr="00AC4AEA">
        <w:rPr>
          <w:rFonts w:ascii="Arial" w:hAnsi="Arial" w:cs="Arial"/>
          <w:w w:val="105"/>
          <w:sz w:val="20"/>
          <w:szCs w:val="20"/>
        </w:rPr>
        <w:t>.</w:t>
      </w:r>
    </w:p>
    <w:p w:rsidR="00D72785" w:rsidRPr="00AC4AEA" w:rsidRDefault="00D72785" w:rsidP="00A318EA">
      <w:pPr>
        <w:pStyle w:val="Textoindependiente"/>
        <w:numPr>
          <w:ilvl w:val="0"/>
          <w:numId w:val="29"/>
        </w:numPr>
        <w:spacing w:before="0"/>
        <w:ind w:right="210"/>
        <w:jc w:val="both"/>
        <w:rPr>
          <w:rFonts w:ascii="Arial" w:hAnsi="Arial" w:cs="Arial"/>
          <w:sz w:val="20"/>
          <w:szCs w:val="20"/>
        </w:rPr>
      </w:pPr>
      <w:r w:rsidRPr="00AC4AEA">
        <w:rPr>
          <w:rFonts w:ascii="Arial" w:hAnsi="Arial" w:cs="Arial"/>
          <w:w w:val="105"/>
          <w:sz w:val="20"/>
          <w:szCs w:val="20"/>
        </w:rPr>
        <w:t xml:space="preserve">El arrendamiento de terrenos se presume operativo, sin admitir prueba en contrario, cuando el </w:t>
      </w:r>
      <w:r w:rsidRPr="003A4B10">
        <w:rPr>
          <w:rFonts w:ascii="Arial" w:hAnsi="Arial" w:cs="Arial"/>
          <w:b/>
          <w:bCs/>
          <w:w w:val="105"/>
          <w:sz w:val="20"/>
          <w:szCs w:val="20"/>
        </w:rPr>
        <w:t xml:space="preserve">contrato </w:t>
      </w:r>
      <w:r w:rsidRPr="00AC4AEA">
        <w:rPr>
          <w:rFonts w:ascii="Arial" w:hAnsi="Arial" w:cs="Arial"/>
          <w:w w:val="105"/>
          <w:sz w:val="20"/>
          <w:szCs w:val="20"/>
        </w:rPr>
        <w:t>no prevé que la</w:t>
      </w:r>
      <w:r w:rsidRPr="00AC4AEA">
        <w:rPr>
          <w:rFonts w:ascii="Arial" w:hAnsi="Arial" w:cs="Arial"/>
          <w:spacing w:val="1"/>
          <w:w w:val="105"/>
          <w:sz w:val="20"/>
          <w:szCs w:val="20"/>
        </w:rPr>
        <w:t xml:space="preserve"> </w:t>
      </w:r>
      <w:r w:rsidRPr="00AC4AEA">
        <w:rPr>
          <w:rFonts w:ascii="Arial" w:hAnsi="Arial" w:cs="Arial"/>
          <w:w w:val="105"/>
          <w:sz w:val="20"/>
          <w:szCs w:val="20"/>
        </w:rPr>
        <w:t>titularidad</w:t>
      </w:r>
      <w:r w:rsidRPr="00AC4AEA">
        <w:rPr>
          <w:rFonts w:ascii="Arial" w:hAnsi="Arial" w:cs="Arial"/>
          <w:spacing w:val="-3"/>
          <w:w w:val="105"/>
          <w:sz w:val="20"/>
          <w:szCs w:val="20"/>
        </w:rPr>
        <w:t xml:space="preserve"> </w:t>
      </w:r>
      <w:r w:rsidRPr="00AC4AEA">
        <w:rPr>
          <w:rFonts w:ascii="Arial" w:hAnsi="Arial" w:cs="Arial"/>
          <w:w w:val="105"/>
          <w:sz w:val="20"/>
          <w:szCs w:val="20"/>
        </w:rPr>
        <w:t>del</w:t>
      </w:r>
      <w:r w:rsidRPr="00AC4AEA">
        <w:rPr>
          <w:rFonts w:ascii="Arial" w:hAnsi="Arial" w:cs="Arial"/>
          <w:spacing w:val="-2"/>
          <w:w w:val="105"/>
          <w:sz w:val="20"/>
          <w:szCs w:val="20"/>
        </w:rPr>
        <w:t xml:space="preserve"> </w:t>
      </w:r>
      <w:r w:rsidRPr="00AC4AEA">
        <w:rPr>
          <w:rFonts w:ascii="Arial" w:hAnsi="Arial" w:cs="Arial"/>
          <w:b/>
          <w:bCs/>
          <w:w w:val="105"/>
          <w:sz w:val="20"/>
          <w:szCs w:val="20"/>
        </w:rPr>
        <w:t>activo</w:t>
      </w:r>
      <w:r w:rsidRPr="00AC4AEA">
        <w:rPr>
          <w:rFonts w:ascii="Arial" w:hAnsi="Arial" w:cs="Arial"/>
          <w:spacing w:val="-3"/>
          <w:w w:val="105"/>
          <w:sz w:val="20"/>
          <w:szCs w:val="20"/>
        </w:rPr>
        <w:t xml:space="preserve"> </w:t>
      </w:r>
      <w:r w:rsidRPr="00AC4AEA">
        <w:rPr>
          <w:rFonts w:ascii="Arial" w:hAnsi="Arial" w:cs="Arial"/>
          <w:w w:val="105"/>
          <w:sz w:val="20"/>
          <w:szCs w:val="20"/>
        </w:rPr>
        <w:t>pase</w:t>
      </w:r>
      <w:r w:rsidRPr="00AC4AEA">
        <w:rPr>
          <w:rFonts w:ascii="Arial" w:hAnsi="Arial" w:cs="Arial"/>
          <w:spacing w:val="-2"/>
          <w:w w:val="105"/>
          <w:sz w:val="20"/>
          <w:szCs w:val="20"/>
        </w:rPr>
        <w:t xml:space="preserve"> </w:t>
      </w:r>
      <w:r w:rsidRPr="00AC4AEA">
        <w:rPr>
          <w:rFonts w:ascii="Arial" w:hAnsi="Arial" w:cs="Arial"/>
          <w:w w:val="105"/>
          <w:sz w:val="20"/>
          <w:szCs w:val="20"/>
        </w:rPr>
        <w:t>al</w:t>
      </w:r>
      <w:r w:rsidRPr="00AC4AEA">
        <w:rPr>
          <w:rFonts w:ascii="Arial" w:hAnsi="Arial" w:cs="Arial"/>
          <w:spacing w:val="-3"/>
          <w:w w:val="105"/>
          <w:sz w:val="20"/>
          <w:szCs w:val="20"/>
        </w:rPr>
        <w:t xml:space="preserve"> </w:t>
      </w:r>
      <w:r w:rsidRPr="00AC4AEA">
        <w:rPr>
          <w:rFonts w:ascii="Arial" w:hAnsi="Arial" w:cs="Arial"/>
          <w:w w:val="105"/>
          <w:sz w:val="20"/>
          <w:szCs w:val="20"/>
        </w:rPr>
        <w:t>arrendatario</w:t>
      </w:r>
      <w:r w:rsidRPr="00AC4AEA">
        <w:rPr>
          <w:rFonts w:ascii="Arial" w:hAnsi="Arial" w:cs="Arial"/>
          <w:spacing w:val="-2"/>
          <w:w w:val="105"/>
          <w:sz w:val="20"/>
          <w:szCs w:val="20"/>
        </w:rPr>
        <w:t xml:space="preserve"> </w:t>
      </w:r>
      <w:r w:rsidRPr="00AC4AEA">
        <w:rPr>
          <w:rFonts w:ascii="Arial" w:hAnsi="Arial" w:cs="Arial"/>
          <w:w w:val="105"/>
          <w:sz w:val="20"/>
          <w:szCs w:val="20"/>
        </w:rPr>
        <w:t>durante</w:t>
      </w:r>
      <w:r w:rsidRPr="00AC4AEA">
        <w:rPr>
          <w:rFonts w:ascii="Arial" w:hAnsi="Arial" w:cs="Arial"/>
          <w:spacing w:val="-2"/>
          <w:w w:val="105"/>
          <w:sz w:val="20"/>
          <w:szCs w:val="20"/>
        </w:rPr>
        <w:t xml:space="preserve"> </w:t>
      </w:r>
      <w:r w:rsidRPr="00AC4AEA">
        <w:rPr>
          <w:rFonts w:ascii="Arial" w:hAnsi="Arial" w:cs="Arial"/>
          <w:w w:val="105"/>
          <w:sz w:val="20"/>
          <w:szCs w:val="20"/>
        </w:rPr>
        <w:t>su</w:t>
      </w:r>
      <w:r w:rsidRPr="00AC4AEA">
        <w:rPr>
          <w:rFonts w:ascii="Arial" w:hAnsi="Arial" w:cs="Arial"/>
          <w:spacing w:val="-3"/>
          <w:w w:val="105"/>
          <w:sz w:val="20"/>
          <w:szCs w:val="20"/>
        </w:rPr>
        <w:t xml:space="preserve"> </w:t>
      </w:r>
      <w:r w:rsidRPr="00AC4AEA">
        <w:rPr>
          <w:rFonts w:ascii="Arial" w:hAnsi="Arial" w:cs="Arial"/>
          <w:w w:val="105"/>
          <w:sz w:val="20"/>
          <w:szCs w:val="20"/>
        </w:rPr>
        <w:t>vigencia</w:t>
      </w:r>
      <w:r w:rsidRPr="00AC4AEA">
        <w:rPr>
          <w:rFonts w:ascii="Arial" w:hAnsi="Arial" w:cs="Arial"/>
          <w:spacing w:val="-2"/>
          <w:w w:val="105"/>
          <w:sz w:val="20"/>
          <w:szCs w:val="20"/>
        </w:rPr>
        <w:t xml:space="preserve"> </w:t>
      </w:r>
      <w:r w:rsidRPr="00AC4AEA">
        <w:rPr>
          <w:rFonts w:ascii="Arial" w:hAnsi="Arial" w:cs="Arial"/>
          <w:w w:val="105"/>
          <w:sz w:val="20"/>
          <w:szCs w:val="20"/>
        </w:rPr>
        <w:t>o</w:t>
      </w:r>
      <w:r w:rsidRPr="00AC4AEA">
        <w:rPr>
          <w:rFonts w:ascii="Arial" w:hAnsi="Arial" w:cs="Arial"/>
          <w:spacing w:val="-3"/>
          <w:w w:val="105"/>
          <w:sz w:val="20"/>
          <w:szCs w:val="20"/>
        </w:rPr>
        <w:t xml:space="preserve"> </w:t>
      </w:r>
      <w:r w:rsidRPr="00AC4AEA">
        <w:rPr>
          <w:rFonts w:ascii="Arial" w:hAnsi="Arial" w:cs="Arial"/>
          <w:w w:val="105"/>
          <w:sz w:val="20"/>
          <w:szCs w:val="20"/>
        </w:rPr>
        <w:t>a</w:t>
      </w:r>
      <w:r w:rsidRPr="00AC4AEA">
        <w:rPr>
          <w:rFonts w:ascii="Arial" w:hAnsi="Arial" w:cs="Arial"/>
          <w:spacing w:val="-2"/>
          <w:w w:val="105"/>
          <w:sz w:val="20"/>
          <w:szCs w:val="20"/>
        </w:rPr>
        <w:t xml:space="preserve"> </w:t>
      </w:r>
      <w:r w:rsidRPr="00AC4AEA">
        <w:rPr>
          <w:rFonts w:ascii="Arial" w:hAnsi="Arial" w:cs="Arial"/>
          <w:w w:val="105"/>
          <w:sz w:val="20"/>
          <w:szCs w:val="20"/>
        </w:rPr>
        <w:t>su</w:t>
      </w:r>
      <w:r w:rsidRPr="00AC4AEA">
        <w:rPr>
          <w:rFonts w:ascii="Arial" w:hAnsi="Arial" w:cs="Arial"/>
          <w:spacing w:val="-3"/>
          <w:w w:val="105"/>
          <w:sz w:val="20"/>
          <w:szCs w:val="20"/>
        </w:rPr>
        <w:t xml:space="preserve"> </w:t>
      </w:r>
      <w:r w:rsidRPr="00AC4AEA">
        <w:rPr>
          <w:rFonts w:ascii="Arial" w:hAnsi="Arial" w:cs="Arial"/>
          <w:w w:val="105"/>
          <w:sz w:val="20"/>
          <w:szCs w:val="20"/>
        </w:rPr>
        <w:t>vencimiento.</w:t>
      </w:r>
    </w:p>
    <w:p w:rsidR="00D72785" w:rsidRPr="00AC4AEA" w:rsidRDefault="00D72785" w:rsidP="00A318EA">
      <w:pPr>
        <w:jc w:val="both"/>
        <w:rPr>
          <w:rFonts w:ascii="Arial" w:hAnsi="Arial" w:cs="Arial"/>
          <w:sz w:val="20"/>
          <w:szCs w:val="20"/>
        </w:rPr>
      </w:pPr>
    </w:p>
    <w:p w:rsidR="00D72785" w:rsidRPr="00AC4AEA" w:rsidRDefault="00D72785" w:rsidP="00A318EA">
      <w:pPr>
        <w:pStyle w:val="Ttulo3"/>
      </w:pPr>
      <w:bookmarkStart w:id="779" w:name="_Toc101863960"/>
      <w:bookmarkStart w:id="780" w:name="_Toc139356849"/>
      <w:r w:rsidRPr="00AC4AEA">
        <w:t>Arrendamientos financieros</w:t>
      </w:r>
      <w:bookmarkEnd w:id="779"/>
      <w:bookmarkEnd w:id="780"/>
    </w:p>
    <w:p w:rsidR="00D72785" w:rsidRPr="00AC4AEA" w:rsidRDefault="00D72785" w:rsidP="00A318EA">
      <w:pPr>
        <w:pStyle w:val="Ttulo4"/>
      </w:pPr>
      <w:r w:rsidRPr="00AC4AEA">
        <w:t>Arrendamientos financieros: contabilidad del arrendatario</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 xml:space="preserve">Una entidad tratará los arrendamientos financieros del mismo modo que una compra financiada, </w:t>
      </w:r>
      <w:r w:rsidR="00E42DDE" w:rsidRPr="00AC4AEA">
        <w:rPr>
          <w:rFonts w:ascii="Arial" w:hAnsi="Arial" w:cs="Arial"/>
          <w:w w:val="105"/>
          <w:sz w:val="20"/>
          <w:szCs w:val="20"/>
        </w:rPr>
        <w:t xml:space="preserve">contabilizando </w:t>
      </w:r>
      <w:r w:rsidRPr="00AC4AEA">
        <w:rPr>
          <w:rFonts w:ascii="Arial" w:hAnsi="Arial" w:cs="Arial"/>
          <w:w w:val="105"/>
          <w:sz w:val="20"/>
          <w:szCs w:val="20"/>
        </w:rPr>
        <w:t>como precio de transferencia del bien arrendado al menor entre:</w:t>
      </w:r>
    </w:p>
    <w:p w:rsidR="00D72785" w:rsidRPr="00AC4AEA" w:rsidRDefault="00452F8F" w:rsidP="00A318EA">
      <w:pPr>
        <w:pStyle w:val="Textoindependiente"/>
        <w:numPr>
          <w:ilvl w:val="0"/>
          <w:numId w:val="143"/>
        </w:numPr>
        <w:spacing w:before="0"/>
        <w:ind w:left="1560" w:right="210"/>
        <w:jc w:val="both"/>
        <w:rPr>
          <w:rFonts w:ascii="Arial" w:hAnsi="Arial" w:cs="Arial"/>
          <w:w w:val="105"/>
          <w:sz w:val="20"/>
          <w:szCs w:val="20"/>
        </w:rPr>
      </w:pPr>
      <w:r w:rsidRPr="00AC4AEA">
        <w:rPr>
          <w:rFonts w:ascii="Arial" w:hAnsi="Arial" w:cs="Arial"/>
          <w:w w:val="105"/>
          <w:sz w:val="20"/>
          <w:szCs w:val="20"/>
        </w:rPr>
        <w:t xml:space="preserve">la suma del </w:t>
      </w:r>
      <w:r w:rsidR="00615B9C" w:rsidRPr="00AC4AEA">
        <w:rPr>
          <w:rFonts w:ascii="Arial" w:hAnsi="Arial" w:cs="Arial"/>
          <w:b/>
          <w:bCs/>
          <w:w w:val="105"/>
          <w:sz w:val="20"/>
          <w:szCs w:val="20"/>
        </w:rPr>
        <w:t>valor razonable</w:t>
      </w:r>
      <w:r w:rsidR="00615B9C" w:rsidRPr="00AC4AEA">
        <w:rPr>
          <w:rFonts w:ascii="Arial" w:hAnsi="Arial" w:cs="Arial"/>
          <w:w w:val="105"/>
          <w:sz w:val="20"/>
          <w:szCs w:val="20"/>
        </w:rPr>
        <w:t xml:space="preserve"> del </w:t>
      </w:r>
      <w:r w:rsidR="00615B9C" w:rsidRPr="00AC4AEA">
        <w:rPr>
          <w:rFonts w:ascii="Arial" w:hAnsi="Arial" w:cs="Arial"/>
          <w:b/>
          <w:bCs/>
          <w:w w:val="105"/>
          <w:sz w:val="20"/>
          <w:szCs w:val="20"/>
        </w:rPr>
        <w:t>activo</w:t>
      </w:r>
      <w:r w:rsidRPr="00AC4AEA">
        <w:rPr>
          <w:rFonts w:ascii="Arial" w:hAnsi="Arial" w:cs="Arial"/>
          <w:w w:val="105"/>
          <w:sz w:val="20"/>
          <w:szCs w:val="20"/>
        </w:rPr>
        <w:t xml:space="preserve"> arrendado y los costos iniciales directos</w:t>
      </w:r>
      <w:r w:rsidR="002238C3" w:rsidRPr="00AC4AEA">
        <w:rPr>
          <w:rFonts w:ascii="Arial" w:hAnsi="Arial" w:cs="Arial"/>
          <w:w w:val="105"/>
          <w:sz w:val="20"/>
          <w:szCs w:val="20"/>
        </w:rPr>
        <w:t>;</w:t>
      </w:r>
      <w:r w:rsidR="00D72785" w:rsidRPr="00AC4AEA">
        <w:rPr>
          <w:rFonts w:ascii="Arial" w:hAnsi="Arial" w:cs="Arial"/>
          <w:w w:val="105"/>
          <w:sz w:val="20"/>
          <w:szCs w:val="20"/>
        </w:rPr>
        <w:t xml:space="preserve"> y</w:t>
      </w:r>
    </w:p>
    <w:p w:rsidR="00D72785" w:rsidRPr="00AC4AEA" w:rsidRDefault="002A73BC" w:rsidP="00A318EA">
      <w:pPr>
        <w:pStyle w:val="Textoindependiente"/>
        <w:numPr>
          <w:ilvl w:val="0"/>
          <w:numId w:val="143"/>
        </w:numPr>
        <w:spacing w:before="0"/>
        <w:ind w:left="1560" w:right="210"/>
        <w:jc w:val="both"/>
        <w:rPr>
          <w:rFonts w:ascii="Arial" w:hAnsi="Arial" w:cs="Arial"/>
          <w:w w:val="105"/>
          <w:sz w:val="20"/>
          <w:szCs w:val="20"/>
        </w:rPr>
      </w:pPr>
      <w:r w:rsidRPr="00AC4AEA">
        <w:rPr>
          <w:rFonts w:ascii="Arial" w:hAnsi="Arial" w:cs="Arial"/>
          <w:w w:val="105"/>
          <w:sz w:val="20"/>
          <w:szCs w:val="20"/>
        </w:rPr>
        <w:t>l</w:t>
      </w:r>
      <w:r w:rsidR="00D72785" w:rsidRPr="00AC4AEA">
        <w:rPr>
          <w:rFonts w:ascii="Arial" w:hAnsi="Arial" w:cs="Arial"/>
          <w:w w:val="105"/>
          <w:sz w:val="20"/>
          <w:szCs w:val="20"/>
        </w:rPr>
        <w:t>a suma de los valores descontados de las cuotas mínimas del arrendamiento (desde el punto de vista del arrendatario).</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Una entidad calculará los valores descontados mediante:</w:t>
      </w:r>
    </w:p>
    <w:p w:rsidR="00D72785" w:rsidRPr="00AC4AEA" w:rsidRDefault="002A73BC" w:rsidP="00A318EA">
      <w:pPr>
        <w:pStyle w:val="Textoindependiente"/>
        <w:numPr>
          <w:ilvl w:val="0"/>
          <w:numId w:val="144"/>
        </w:numPr>
        <w:spacing w:before="0"/>
        <w:ind w:left="1560" w:right="210"/>
        <w:jc w:val="both"/>
        <w:rPr>
          <w:rFonts w:ascii="Arial" w:hAnsi="Arial" w:cs="Arial"/>
          <w:w w:val="105"/>
          <w:sz w:val="20"/>
          <w:szCs w:val="20"/>
        </w:rPr>
      </w:pPr>
      <w:r w:rsidRPr="00AC4AEA">
        <w:rPr>
          <w:rFonts w:ascii="Arial" w:hAnsi="Arial" w:cs="Arial"/>
          <w:w w:val="105"/>
          <w:sz w:val="20"/>
          <w:szCs w:val="20"/>
        </w:rPr>
        <w:t>l</w:t>
      </w:r>
      <w:r w:rsidR="00D72785" w:rsidRPr="00AC4AEA">
        <w:rPr>
          <w:rFonts w:ascii="Arial" w:hAnsi="Arial" w:cs="Arial"/>
          <w:w w:val="105"/>
          <w:sz w:val="20"/>
          <w:szCs w:val="20"/>
        </w:rPr>
        <w:t>a tasa de interés implícita del arrendamiento</w:t>
      </w:r>
      <w:r w:rsidR="002238C3" w:rsidRPr="00AC4AEA">
        <w:rPr>
          <w:rFonts w:ascii="Arial" w:hAnsi="Arial" w:cs="Arial"/>
          <w:w w:val="105"/>
          <w:sz w:val="20"/>
          <w:szCs w:val="20"/>
        </w:rPr>
        <w:t>;</w:t>
      </w:r>
      <w:r w:rsidR="00D72785" w:rsidRPr="00AC4AEA">
        <w:rPr>
          <w:rFonts w:ascii="Arial" w:hAnsi="Arial" w:cs="Arial"/>
          <w:w w:val="105"/>
          <w:sz w:val="20"/>
          <w:szCs w:val="20"/>
        </w:rPr>
        <w:t xml:space="preserve"> o</w:t>
      </w:r>
    </w:p>
    <w:p w:rsidR="00D72785" w:rsidRPr="00AC4AEA" w:rsidRDefault="002A73BC" w:rsidP="00A318EA">
      <w:pPr>
        <w:pStyle w:val="Textoindependiente"/>
        <w:numPr>
          <w:ilvl w:val="0"/>
          <w:numId w:val="144"/>
        </w:numPr>
        <w:spacing w:before="0"/>
        <w:ind w:left="1560" w:right="210"/>
        <w:jc w:val="both"/>
        <w:rPr>
          <w:rFonts w:ascii="Arial" w:hAnsi="Arial" w:cs="Arial"/>
          <w:w w:val="105"/>
          <w:sz w:val="20"/>
          <w:szCs w:val="20"/>
        </w:rPr>
      </w:pPr>
      <w:r w:rsidRPr="00AC4AEA">
        <w:rPr>
          <w:rFonts w:ascii="Arial" w:hAnsi="Arial" w:cs="Arial"/>
          <w:w w:val="105"/>
          <w:sz w:val="20"/>
          <w:szCs w:val="20"/>
        </w:rPr>
        <w:t>s</w:t>
      </w:r>
      <w:r w:rsidR="004234FA" w:rsidRPr="00AC4AEA">
        <w:rPr>
          <w:rFonts w:ascii="Arial" w:hAnsi="Arial" w:cs="Arial"/>
          <w:w w:val="105"/>
          <w:sz w:val="20"/>
          <w:szCs w:val="20"/>
        </w:rPr>
        <w:t>i no pudiera estimar</w:t>
      </w:r>
      <w:r w:rsidR="00FA5755" w:rsidRPr="00AC4AEA">
        <w:rPr>
          <w:rFonts w:ascii="Arial" w:hAnsi="Arial" w:cs="Arial"/>
          <w:w w:val="105"/>
          <w:sz w:val="20"/>
          <w:szCs w:val="20"/>
        </w:rPr>
        <w:t xml:space="preserve"> la tasa del inciso anterior</w:t>
      </w:r>
      <w:r w:rsidR="004234FA" w:rsidRPr="00AC4AEA">
        <w:rPr>
          <w:rFonts w:ascii="Arial" w:hAnsi="Arial" w:cs="Arial"/>
          <w:w w:val="105"/>
          <w:sz w:val="20"/>
          <w:szCs w:val="20"/>
        </w:rPr>
        <w:t xml:space="preserve">, </w:t>
      </w:r>
      <w:r w:rsidR="00FA5755" w:rsidRPr="00AC4AEA">
        <w:rPr>
          <w:rFonts w:ascii="Arial" w:hAnsi="Arial" w:cs="Arial"/>
          <w:w w:val="105"/>
          <w:sz w:val="20"/>
          <w:szCs w:val="20"/>
        </w:rPr>
        <w:t>el tipo de interés</w:t>
      </w:r>
      <w:r w:rsidR="00D72785" w:rsidRPr="00AC4AEA">
        <w:rPr>
          <w:rFonts w:ascii="Arial" w:hAnsi="Arial" w:cs="Arial"/>
          <w:w w:val="105"/>
          <w:sz w:val="20"/>
          <w:szCs w:val="20"/>
        </w:rPr>
        <w:t xml:space="preserve"> que debería asumir</w:t>
      </w:r>
      <w:r w:rsidR="00154561" w:rsidRPr="00AC4AEA">
        <w:rPr>
          <w:rFonts w:ascii="Arial" w:hAnsi="Arial" w:cs="Arial"/>
          <w:w w:val="105"/>
          <w:sz w:val="20"/>
          <w:szCs w:val="20"/>
        </w:rPr>
        <w:t xml:space="preserve"> dicha entidad</w:t>
      </w:r>
      <w:r w:rsidR="00D72785" w:rsidRPr="00AC4AEA">
        <w:rPr>
          <w:rFonts w:ascii="Arial" w:hAnsi="Arial" w:cs="Arial"/>
          <w:w w:val="105"/>
          <w:sz w:val="20"/>
          <w:szCs w:val="20"/>
        </w:rPr>
        <w:t xml:space="preserve"> por incrementar su endeudamiento.</w:t>
      </w:r>
    </w:p>
    <w:p w:rsidR="00D72785" w:rsidRPr="00AC4AEA" w:rsidRDefault="00D72785" w:rsidP="00A318EA">
      <w:pPr>
        <w:jc w:val="both"/>
        <w:rPr>
          <w:rFonts w:ascii="Arial" w:hAnsi="Arial" w:cs="Arial"/>
          <w:b/>
          <w:bCs/>
          <w:sz w:val="20"/>
          <w:szCs w:val="20"/>
        </w:rPr>
      </w:pPr>
    </w:p>
    <w:p w:rsidR="00D72785" w:rsidRPr="00AC4AEA" w:rsidRDefault="00D72785" w:rsidP="00A318EA">
      <w:pPr>
        <w:pStyle w:val="Ttulo4"/>
      </w:pPr>
      <w:r w:rsidRPr="00AC4AEA">
        <w:t>Arrendamientos financieros</w:t>
      </w:r>
      <w:r w:rsidRPr="00AC4AEA">
        <w:rPr>
          <w:w w:val="105"/>
        </w:rPr>
        <w:t>: contabilidad del arrendador cuando la entidad no es productora ni revendedora</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Una entidad reconocerá los arrendamientos financieros como una cuenta por cobrar, por un importe igual al valor descontado de la suma de:</w:t>
      </w:r>
    </w:p>
    <w:p w:rsidR="00D72785" w:rsidRPr="00AC4AEA" w:rsidRDefault="002A73BC" w:rsidP="00A318EA">
      <w:pPr>
        <w:pStyle w:val="Textoindependiente"/>
        <w:numPr>
          <w:ilvl w:val="0"/>
          <w:numId w:val="145"/>
        </w:numPr>
        <w:spacing w:before="0"/>
        <w:ind w:left="1560" w:right="210"/>
        <w:jc w:val="both"/>
        <w:rPr>
          <w:rFonts w:ascii="Arial" w:hAnsi="Arial" w:cs="Arial"/>
          <w:w w:val="105"/>
          <w:sz w:val="20"/>
          <w:szCs w:val="20"/>
        </w:rPr>
      </w:pPr>
      <w:r w:rsidRPr="00AC4AEA">
        <w:rPr>
          <w:rFonts w:ascii="Arial" w:hAnsi="Arial" w:cs="Arial"/>
          <w:w w:val="105"/>
          <w:sz w:val="20"/>
          <w:szCs w:val="20"/>
        </w:rPr>
        <w:t>l</w:t>
      </w:r>
      <w:r w:rsidR="00D72785" w:rsidRPr="00AC4AEA">
        <w:rPr>
          <w:rFonts w:ascii="Arial" w:hAnsi="Arial" w:cs="Arial"/>
          <w:w w:val="105"/>
          <w:sz w:val="20"/>
          <w:szCs w:val="20"/>
        </w:rPr>
        <w:t>as cuotas mínimas por el arrendamiento (desde el punto de vista del arrendador)</w:t>
      </w:r>
      <w:r w:rsidR="002238C3" w:rsidRPr="00AC4AEA">
        <w:rPr>
          <w:rFonts w:ascii="Arial" w:hAnsi="Arial" w:cs="Arial"/>
          <w:w w:val="105"/>
          <w:sz w:val="20"/>
          <w:szCs w:val="20"/>
        </w:rPr>
        <w:t>;</w:t>
      </w:r>
      <w:r w:rsidR="00D72785" w:rsidRPr="00AC4AEA">
        <w:rPr>
          <w:rFonts w:ascii="Arial" w:hAnsi="Arial" w:cs="Arial"/>
          <w:w w:val="105"/>
          <w:sz w:val="20"/>
          <w:szCs w:val="20"/>
        </w:rPr>
        <w:t xml:space="preserve"> y</w:t>
      </w:r>
    </w:p>
    <w:p w:rsidR="00D72785" w:rsidRPr="00AC4AEA" w:rsidRDefault="002A73BC" w:rsidP="00A318EA">
      <w:pPr>
        <w:pStyle w:val="Textoindependiente"/>
        <w:numPr>
          <w:ilvl w:val="0"/>
          <w:numId w:val="145"/>
        </w:numPr>
        <w:spacing w:before="0"/>
        <w:ind w:left="1560" w:right="210"/>
        <w:jc w:val="both"/>
        <w:rPr>
          <w:rFonts w:ascii="Arial" w:hAnsi="Arial" w:cs="Arial"/>
          <w:w w:val="105"/>
          <w:sz w:val="20"/>
          <w:szCs w:val="20"/>
        </w:rPr>
      </w:pPr>
      <w:r w:rsidRPr="00AC4AEA">
        <w:rPr>
          <w:rFonts w:ascii="Arial" w:hAnsi="Arial" w:cs="Arial"/>
          <w:w w:val="105"/>
          <w:sz w:val="20"/>
          <w:szCs w:val="20"/>
        </w:rPr>
        <w:lastRenderedPageBreak/>
        <w:t>c</w:t>
      </w:r>
      <w:r w:rsidR="00D72785" w:rsidRPr="00AC4AEA">
        <w:rPr>
          <w:rFonts w:ascii="Arial" w:hAnsi="Arial" w:cs="Arial"/>
          <w:w w:val="105"/>
          <w:sz w:val="20"/>
          <w:szCs w:val="20"/>
        </w:rPr>
        <w:t>ualquier valor residual no garantizado.</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Una entidad calculará el valor descontado mediante la tasa de interés implícita del arrendamiento.</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Una entidad deberá revisar periódicamente la medición del valor residual no garantizado. De producirse su desvalorización permanente, una entidad revisará la distribución de los resultados financieros a lo largo del plazo de arrendamiento y reconocerá un resultado por cualquier diferencia entre:</w:t>
      </w:r>
    </w:p>
    <w:p w:rsidR="00D72785" w:rsidRPr="00AC4AEA" w:rsidRDefault="002A73BC" w:rsidP="00A318EA">
      <w:pPr>
        <w:pStyle w:val="Textoindependiente"/>
        <w:numPr>
          <w:ilvl w:val="0"/>
          <w:numId w:val="146"/>
        </w:numPr>
        <w:spacing w:before="0"/>
        <w:ind w:left="1560" w:right="210"/>
        <w:jc w:val="both"/>
        <w:rPr>
          <w:rFonts w:ascii="Arial" w:hAnsi="Arial" w:cs="Arial"/>
          <w:w w:val="105"/>
          <w:sz w:val="20"/>
          <w:szCs w:val="20"/>
        </w:rPr>
      </w:pPr>
      <w:r w:rsidRPr="00AC4AEA">
        <w:rPr>
          <w:rFonts w:ascii="Arial" w:hAnsi="Arial" w:cs="Arial"/>
          <w:w w:val="105"/>
          <w:sz w:val="20"/>
          <w:szCs w:val="20"/>
        </w:rPr>
        <w:t>l</w:t>
      </w:r>
      <w:r w:rsidR="00D72785" w:rsidRPr="00AC4AEA">
        <w:rPr>
          <w:rFonts w:ascii="Arial" w:hAnsi="Arial" w:cs="Arial"/>
          <w:w w:val="105"/>
          <w:sz w:val="20"/>
          <w:szCs w:val="20"/>
        </w:rPr>
        <w:t>a medición original más los resultados financieros devengados, calculados considerando el valor residual anteriormente determinado</w:t>
      </w:r>
      <w:r w:rsidR="002238C3" w:rsidRPr="00AC4AEA">
        <w:rPr>
          <w:rFonts w:ascii="Arial" w:hAnsi="Arial" w:cs="Arial"/>
          <w:w w:val="105"/>
          <w:sz w:val="20"/>
          <w:szCs w:val="20"/>
        </w:rPr>
        <w:t xml:space="preserve">; </w:t>
      </w:r>
      <w:r w:rsidR="00D72785" w:rsidRPr="00AC4AEA">
        <w:rPr>
          <w:rFonts w:ascii="Arial" w:hAnsi="Arial" w:cs="Arial"/>
          <w:w w:val="105"/>
          <w:sz w:val="20"/>
          <w:szCs w:val="20"/>
        </w:rPr>
        <w:t>y</w:t>
      </w:r>
    </w:p>
    <w:p w:rsidR="00D72785" w:rsidRPr="00AC4AEA" w:rsidRDefault="002A73BC" w:rsidP="00A318EA">
      <w:pPr>
        <w:pStyle w:val="Textoindependiente"/>
        <w:numPr>
          <w:ilvl w:val="0"/>
          <w:numId w:val="146"/>
        </w:numPr>
        <w:spacing w:before="0"/>
        <w:ind w:left="1560" w:right="210"/>
        <w:jc w:val="both"/>
        <w:rPr>
          <w:rFonts w:ascii="Arial" w:hAnsi="Arial" w:cs="Arial"/>
          <w:sz w:val="20"/>
          <w:szCs w:val="20"/>
        </w:rPr>
      </w:pPr>
      <w:r w:rsidRPr="00AC4AEA">
        <w:rPr>
          <w:rFonts w:ascii="Arial" w:hAnsi="Arial" w:cs="Arial"/>
          <w:w w:val="105"/>
          <w:sz w:val="20"/>
          <w:szCs w:val="20"/>
        </w:rPr>
        <w:t>l</w:t>
      </w:r>
      <w:r w:rsidR="00D72785" w:rsidRPr="00AC4AEA">
        <w:rPr>
          <w:rFonts w:ascii="Arial" w:hAnsi="Arial" w:cs="Arial"/>
          <w:w w:val="105"/>
          <w:sz w:val="20"/>
          <w:szCs w:val="20"/>
        </w:rPr>
        <w:t>a medición original más los resultados financieros devengados,</w:t>
      </w:r>
      <w:r w:rsidR="00D72785" w:rsidRPr="00AC4AEA">
        <w:rPr>
          <w:rFonts w:ascii="Arial" w:hAnsi="Arial" w:cs="Arial"/>
          <w:spacing w:val="-10"/>
          <w:w w:val="105"/>
          <w:sz w:val="20"/>
          <w:szCs w:val="20"/>
        </w:rPr>
        <w:t xml:space="preserve"> </w:t>
      </w:r>
      <w:r w:rsidR="00D72785" w:rsidRPr="00AC4AEA">
        <w:rPr>
          <w:rFonts w:ascii="Arial" w:hAnsi="Arial" w:cs="Arial"/>
          <w:w w:val="105"/>
          <w:sz w:val="20"/>
          <w:szCs w:val="20"/>
        </w:rPr>
        <w:t>calculados</w:t>
      </w:r>
      <w:r w:rsidR="00D72785" w:rsidRPr="00AC4AEA">
        <w:rPr>
          <w:rFonts w:ascii="Arial" w:hAnsi="Arial" w:cs="Arial"/>
          <w:spacing w:val="-10"/>
          <w:w w:val="105"/>
          <w:sz w:val="20"/>
          <w:szCs w:val="20"/>
        </w:rPr>
        <w:t xml:space="preserve"> </w:t>
      </w:r>
      <w:r w:rsidR="00D72785" w:rsidRPr="00AC4AEA">
        <w:rPr>
          <w:rFonts w:ascii="Arial" w:hAnsi="Arial" w:cs="Arial"/>
          <w:w w:val="105"/>
          <w:sz w:val="20"/>
          <w:szCs w:val="20"/>
        </w:rPr>
        <w:t>considerando</w:t>
      </w:r>
      <w:r w:rsidR="00D72785" w:rsidRPr="00AC4AEA">
        <w:rPr>
          <w:rFonts w:ascii="Arial" w:hAnsi="Arial" w:cs="Arial"/>
          <w:spacing w:val="-10"/>
          <w:w w:val="105"/>
          <w:sz w:val="20"/>
          <w:szCs w:val="20"/>
        </w:rPr>
        <w:t xml:space="preserve"> </w:t>
      </w:r>
      <w:r w:rsidR="00D72785" w:rsidRPr="00AC4AEA">
        <w:rPr>
          <w:rFonts w:ascii="Arial" w:hAnsi="Arial" w:cs="Arial"/>
          <w:w w:val="105"/>
          <w:sz w:val="20"/>
          <w:szCs w:val="20"/>
        </w:rPr>
        <w:t>el</w:t>
      </w:r>
      <w:r w:rsidR="00D72785" w:rsidRPr="00AC4AEA">
        <w:rPr>
          <w:rFonts w:ascii="Arial" w:hAnsi="Arial" w:cs="Arial"/>
          <w:spacing w:val="-10"/>
          <w:w w:val="105"/>
          <w:sz w:val="20"/>
          <w:szCs w:val="20"/>
        </w:rPr>
        <w:t xml:space="preserve"> </w:t>
      </w:r>
      <w:r w:rsidR="00D72785" w:rsidRPr="00AC4AEA">
        <w:rPr>
          <w:rFonts w:ascii="Arial" w:hAnsi="Arial" w:cs="Arial"/>
          <w:w w:val="105"/>
          <w:sz w:val="20"/>
          <w:szCs w:val="20"/>
        </w:rPr>
        <w:t>nuevo</w:t>
      </w:r>
      <w:r w:rsidR="00D72785" w:rsidRPr="00AC4AEA">
        <w:rPr>
          <w:rFonts w:ascii="Arial" w:hAnsi="Arial" w:cs="Arial"/>
          <w:spacing w:val="-10"/>
          <w:w w:val="105"/>
          <w:sz w:val="20"/>
          <w:szCs w:val="20"/>
        </w:rPr>
        <w:t xml:space="preserve"> </w:t>
      </w:r>
      <w:r w:rsidR="00D72785" w:rsidRPr="00AC4AEA">
        <w:rPr>
          <w:rFonts w:ascii="Arial" w:hAnsi="Arial" w:cs="Arial"/>
          <w:w w:val="105"/>
          <w:sz w:val="20"/>
          <w:szCs w:val="20"/>
        </w:rPr>
        <w:t>valor</w:t>
      </w:r>
      <w:r w:rsidR="00D72785" w:rsidRPr="00AC4AEA">
        <w:rPr>
          <w:rFonts w:ascii="Arial" w:hAnsi="Arial" w:cs="Arial"/>
          <w:spacing w:val="-11"/>
          <w:w w:val="105"/>
          <w:sz w:val="20"/>
          <w:szCs w:val="20"/>
        </w:rPr>
        <w:t xml:space="preserve"> </w:t>
      </w:r>
      <w:r w:rsidR="00D72785" w:rsidRPr="00AC4AEA">
        <w:rPr>
          <w:rFonts w:ascii="Arial" w:hAnsi="Arial" w:cs="Arial"/>
          <w:w w:val="105"/>
          <w:sz w:val="20"/>
          <w:szCs w:val="20"/>
        </w:rPr>
        <w:t>residual.</w:t>
      </w:r>
    </w:p>
    <w:p w:rsidR="00D72785" w:rsidRPr="00AC4AEA" w:rsidRDefault="00D72785" w:rsidP="00A318EA">
      <w:pPr>
        <w:widowControl w:val="0"/>
        <w:tabs>
          <w:tab w:val="left" w:pos="979"/>
        </w:tabs>
        <w:autoSpaceDE w:val="0"/>
        <w:autoSpaceDN w:val="0"/>
        <w:jc w:val="both"/>
        <w:rPr>
          <w:rFonts w:ascii="Arial" w:hAnsi="Arial" w:cs="Arial"/>
          <w:b/>
          <w:bCs/>
          <w:w w:val="105"/>
          <w:sz w:val="20"/>
          <w:szCs w:val="20"/>
        </w:rPr>
      </w:pPr>
    </w:p>
    <w:p w:rsidR="00D72785" w:rsidRPr="00AC4AEA" w:rsidRDefault="00D72785" w:rsidP="00A318EA">
      <w:pPr>
        <w:pStyle w:val="Ttulo4"/>
        <w:rPr>
          <w:w w:val="105"/>
        </w:rPr>
      </w:pPr>
      <w:r w:rsidRPr="00AC4AEA">
        <w:rPr>
          <w:w w:val="105"/>
        </w:rPr>
        <w:t>Arrendamientos financieros: contabilidad del arrendador cuando la entidad es productora o revendedora</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 xml:space="preserve">Una entidad arrendadora que es productora o </w:t>
      </w:r>
      <w:r w:rsidR="00835565" w:rsidRPr="00AC4AEA">
        <w:rPr>
          <w:rFonts w:ascii="Arial" w:hAnsi="Arial" w:cs="Arial"/>
          <w:w w:val="105"/>
          <w:sz w:val="20"/>
          <w:szCs w:val="20"/>
        </w:rPr>
        <w:t>revendedora</w:t>
      </w:r>
      <w:r w:rsidRPr="00AC4AEA">
        <w:rPr>
          <w:rFonts w:ascii="Arial" w:hAnsi="Arial" w:cs="Arial"/>
          <w:w w:val="105"/>
          <w:sz w:val="20"/>
          <w:szCs w:val="20"/>
        </w:rPr>
        <w:t xml:space="preserve"> reconocerá los resultados derivados de una venta considerando:</w:t>
      </w:r>
    </w:p>
    <w:p w:rsidR="00D72785" w:rsidRPr="00AC4AEA" w:rsidRDefault="002A73BC" w:rsidP="00A318EA">
      <w:pPr>
        <w:pStyle w:val="Textoindependiente"/>
        <w:numPr>
          <w:ilvl w:val="0"/>
          <w:numId w:val="147"/>
        </w:numPr>
        <w:spacing w:before="0"/>
        <w:ind w:left="1560" w:right="210"/>
        <w:jc w:val="both"/>
        <w:rPr>
          <w:rFonts w:ascii="Arial" w:hAnsi="Arial" w:cs="Arial"/>
          <w:w w:val="105"/>
          <w:sz w:val="20"/>
          <w:szCs w:val="20"/>
        </w:rPr>
      </w:pPr>
      <w:r w:rsidRPr="00AC4AEA">
        <w:rPr>
          <w:rFonts w:ascii="Arial" w:hAnsi="Arial" w:cs="Arial"/>
          <w:w w:val="105"/>
          <w:sz w:val="20"/>
          <w:szCs w:val="20"/>
        </w:rPr>
        <w:t>c</w:t>
      </w:r>
      <w:r w:rsidR="00D72785" w:rsidRPr="00AC4AEA">
        <w:rPr>
          <w:rFonts w:ascii="Arial" w:hAnsi="Arial" w:cs="Arial"/>
          <w:w w:val="105"/>
          <w:sz w:val="20"/>
          <w:szCs w:val="20"/>
        </w:rPr>
        <w:t>omo precio de venta</w:t>
      </w:r>
      <w:r w:rsidR="00193656" w:rsidRPr="00AC4AEA">
        <w:rPr>
          <w:rFonts w:ascii="Arial" w:hAnsi="Arial" w:cs="Arial"/>
          <w:w w:val="105"/>
          <w:sz w:val="20"/>
          <w:szCs w:val="20"/>
        </w:rPr>
        <w:t>:</w:t>
      </w:r>
      <w:r w:rsidR="00D72785" w:rsidRPr="00AC4AEA">
        <w:rPr>
          <w:rFonts w:ascii="Arial" w:hAnsi="Arial" w:cs="Arial"/>
          <w:w w:val="105"/>
          <w:sz w:val="20"/>
          <w:szCs w:val="20"/>
        </w:rPr>
        <w:t xml:space="preserve"> </w:t>
      </w:r>
      <w:r w:rsidR="00193656" w:rsidRPr="00AC4AEA">
        <w:rPr>
          <w:rFonts w:ascii="Arial" w:hAnsi="Arial" w:cs="Arial"/>
          <w:w w:val="105"/>
          <w:sz w:val="20"/>
          <w:szCs w:val="20"/>
        </w:rPr>
        <w:t>e</w:t>
      </w:r>
      <w:r w:rsidR="00D72785" w:rsidRPr="00AC4AEA">
        <w:rPr>
          <w:rFonts w:ascii="Arial" w:hAnsi="Arial" w:cs="Arial"/>
          <w:w w:val="105"/>
          <w:sz w:val="20"/>
          <w:szCs w:val="20"/>
        </w:rPr>
        <w:t xml:space="preserve">l menor importe entre el </w:t>
      </w:r>
      <w:r w:rsidR="00615B9C" w:rsidRPr="00AC4AEA">
        <w:rPr>
          <w:rFonts w:ascii="Arial" w:hAnsi="Arial" w:cs="Arial"/>
          <w:b/>
          <w:bCs/>
          <w:w w:val="105"/>
          <w:sz w:val="20"/>
          <w:szCs w:val="20"/>
        </w:rPr>
        <w:t>valor razonable</w:t>
      </w:r>
      <w:r w:rsidR="00D72785" w:rsidRPr="00AC4AEA">
        <w:rPr>
          <w:rFonts w:ascii="Arial" w:hAnsi="Arial" w:cs="Arial"/>
          <w:w w:val="105"/>
          <w:sz w:val="20"/>
          <w:szCs w:val="20"/>
        </w:rPr>
        <w:t xml:space="preserve"> del </w:t>
      </w:r>
      <w:r w:rsidR="00D72785" w:rsidRPr="00AC4AEA">
        <w:rPr>
          <w:rFonts w:ascii="Arial" w:hAnsi="Arial" w:cs="Arial"/>
          <w:b/>
          <w:bCs/>
          <w:w w:val="105"/>
          <w:sz w:val="20"/>
          <w:szCs w:val="20"/>
        </w:rPr>
        <w:t>activo</w:t>
      </w:r>
      <w:r w:rsidR="00D72785" w:rsidRPr="00AC4AEA">
        <w:rPr>
          <w:rFonts w:ascii="Arial" w:hAnsi="Arial" w:cs="Arial"/>
          <w:w w:val="105"/>
          <w:sz w:val="20"/>
          <w:szCs w:val="20"/>
        </w:rPr>
        <w:t xml:space="preserve"> y el valor descontado de los pagos mínimos (desde el punto de vista del arrendador</w:t>
      </w:r>
      <w:r w:rsidR="00AA30F5" w:rsidRPr="00AC4AEA">
        <w:rPr>
          <w:rFonts w:ascii="Arial" w:hAnsi="Arial" w:cs="Arial"/>
          <w:w w:val="105"/>
          <w:sz w:val="20"/>
          <w:szCs w:val="20"/>
        </w:rPr>
        <w:t>)</w:t>
      </w:r>
      <w:r w:rsidR="002238C3" w:rsidRPr="00AC4AEA">
        <w:rPr>
          <w:rFonts w:ascii="Arial" w:hAnsi="Arial" w:cs="Arial"/>
          <w:w w:val="105"/>
          <w:sz w:val="20"/>
          <w:szCs w:val="20"/>
        </w:rPr>
        <w:t>;</w:t>
      </w:r>
      <w:r w:rsidR="004234FA" w:rsidRPr="00AC4AEA">
        <w:rPr>
          <w:rFonts w:ascii="Arial" w:hAnsi="Arial" w:cs="Arial"/>
          <w:w w:val="105"/>
          <w:sz w:val="20"/>
          <w:szCs w:val="20"/>
        </w:rPr>
        <w:t xml:space="preserve"> y</w:t>
      </w:r>
    </w:p>
    <w:p w:rsidR="00D72785" w:rsidRPr="00AC4AEA" w:rsidRDefault="002A73BC" w:rsidP="00A318EA">
      <w:pPr>
        <w:pStyle w:val="Textoindependiente"/>
        <w:numPr>
          <w:ilvl w:val="0"/>
          <w:numId w:val="147"/>
        </w:numPr>
        <w:spacing w:before="0"/>
        <w:ind w:left="1560" w:right="210"/>
        <w:jc w:val="both"/>
        <w:rPr>
          <w:rFonts w:ascii="Arial" w:hAnsi="Arial" w:cs="Arial"/>
          <w:w w:val="105"/>
          <w:sz w:val="20"/>
          <w:szCs w:val="20"/>
        </w:rPr>
      </w:pPr>
      <w:r w:rsidRPr="00AC4AEA">
        <w:rPr>
          <w:rFonts w:ascii="Arial" w:hAnsi="Arial" w:cs="Arial"/>
          <w:w w:val="105"/>
          <w:sz w:val="20"/>
          <w:szCs w:val="20"/>
        </w:rPr>
        <w:t>c</w:t>
      </w:r>
      <w:r w:rsidR="00D72785" w:rsidRPr="00AC4AEA">
        <w:rPr>
          <w:rFonts w:ascii="Arial" w:hAnsi="Arial" w:cs="Arial"/>
          <w:w w:val="105"/>
          <w:sz w:val="20"/>
          <w:szCs w:val="20"/>
        </w:rPr>
        <w:t>omo costo del bien vendido</w:t>
      </w:r>
      <w:r w:rsidR="00193656" w:rsidRPr="00AC4AEA">
        <w:rPr>
          <w:rFonts w:ascii="Arial" w:hAnsi="Arial" w:cs="Arial"/>
          <w:w w:val="105"/>
          <w:sz w:val="20"/>
          <w:szCs w:val="20"/>
        </w:rPr>
        <w:t>:</w:t>
      </w:r>
      <w:r w:rsidR="00D72785" w:rsidRPr="00AC4AEA">
        <w:rPr>
          <w:rFonts w:ascii="Arial" w:hAnsi="Arial" w:cs="Arial"/>
          <w:w w:val="105"/>
          <w:sz w:val="20"/>
          <w:szCs w:val="20"/>
        </w:rPr>
        <w:t xml:space="preserve"> su medición contable menos el valor descontado de su valor residual no garantizado</w:t>
      </w:r>
      <w:r w:rsidR="00AA30F5" w:rsidRPr="00AC4AEA">
        <w:rPr>
          <w:rFonts w:ascii="Arial" w:hAnsi="Arial" w:cs="Arial"/>
          <w:w w:val="105"/>
          <w:sz w:val="20"/>
          <w:szCs w:val="20"/>
        </w:rPr>
        <w:t>.</w:t>
      </w:r>
    </w:p>
    <w:p w:rsidR="00AA30F5" w:rsidRPr="00AC4AEA" w:rsidRDefault="00AA30F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Una entidad calculará los valores descontados referidos en el párrafo anterior mediante una tasa que refleje las evaluaciones del mercado sobre el valor tiempo del dinero y los riesgos específicos de la operación</w:t>
      </w:r>
    </w:p>
    <w:p w:rsidR="00D72785" w:rsidRPr="00AC4AEA" w:rsidRDefault="00D72785" w:rsidP="00A318EA">
      <w:pPr>
        <w:jc w:val="both"/>
        <w:rPr>
          <w:rFonts w:ascii="Arial" w:hAnsi="Arial" w:cs="Arial"/>
          <w:b/>
          <w:bCs/>
          <w:sz w:val="20"/>
          <w:szCs w:val="20"/>
        </w:rPr>
      </w:pPr>
    </w:p>
    <w:p w:rsidR="00D72785" w:rsidRPr="00AC4AEA" w:rsidRDefault="00D72785" w:rsidP="00A318EA">
      <w:pPr>
        <w:pStyle w:val="Ttulo3"/>
      </w:pPr>
      <w:bookmarkStart w:id="781" w:name="_Toc101863961"/>
      <w:bookmarkStart w:id="782" w:name="_Toc139356850"/>
      <w:r w:rsidRPr="00AC4AEA">
        <w:t>Arrendamientos operativos</w:t>
      </w:r>
      <w:bookmarkEnd w:id="781"/>
      <w:bookmarkEnd w:id="782"/>
    </w:p>
    <w:p w:rsidR="00193656"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Una entidad que es arrendataria imputará las cuotas de un arrendamiento</w:t>
      </w:r>
      <w:r w:rsidR="00193656" w:rsidRPr="00AC4AEA">
        <w:rPr>
          <w:rFonts w:ascii="Arial" w:hAnsi="Arial" w:cs="Arial"/>
          <w:w w:val="105"/>
          <w:sz w:val="20"/>
          <w:szCs w:val="20"/>
        </w:rPr>
        <w:t>:</w:t>
      </w:r>
    </w:p>
    <w:p w:rsidR="00D72785" w:rsidRPr="00AC4AEA" w:rsidRDefault="002A73BC" w:rsidP="00A318EA">
      <w:pPr>
        <w:pStyle w:val="Textoindependiente"/>
        <w:numPr>
          <w:ilvl w:val="0"/>
          <w:numId w:val="148"/>
        </w:numPr>
        <w:spacing w:before="0"/>
        <w:ind w:left="1560" w:right="210"/>
        <w:jc w:val="both"/>
        <w:rPr>
          <w:rFonts w:ascii="Arial" w:hAnsi="Arial" w:cs="Arial"/>
          <w:w w:val="105"/>
          <w:sz w:val="20"/>
          <w:szCs w:val="20"/>
        </w:rPr>
      </w:pPr>
      <w:r w:rsidRPr="00AC4AEA">
        <w:rPr>
          <w:rFonts w:ascii="Arial" w:hAnsi="Arial" w:cs="Arial"/>
          <w:w w:val="105"/>
          <w:sz w:val="20"/>
          <w:szCs w:val="20"/>
        </w:rPr>
        <w:t>c</w:t>
      </w:r>
      <w:r w:rsidR="00D72785" w:rsidRPr="00AC4AEA">
        <w:rPr>
          <w:rFonts w:ascii="Arial" w:hAnsi="Arial" w:cs="Arial"/>
          <w:w w:val="105"/>
          <w:sz w:val="20"/>
          <w:szCs w:val="20"/>
        </w:rPr>
        <w:t>omo gastos del período durante el cual se generan sus obligaciones o se extinguen sus derechos (en el caso de pagos anticipados)</w:t>
      </w:r>
      <w:r w:rsidR="00193656" w:rsidRPr="00AC4AEA">
        <w:rPr>
          <w:rFonts w:ascii="Arial" w:hAnsi="Arial" w:cs="Arial"/>
          <w:w w:val="105"/>
          <w:sz w:val="20"/>
          <w:szCs w:val="20"/>
        </w:rPr>
        <w:t xml:space="preserve">, si no corresponde sumarlos como componente del costo de un </w:t>
      </w:r>
      <w:r w:rsidR="00193656" w:rsidRPr="00AC4AEA">
        <w:rPr>
          <w:rFonts w:ascii="Arial" w:hAnsi="Arial" w:cs="Arial"/>
          <w:b/>
          <w:bCs/>
          <w:w w:val="105"/>
          <w:sz w:val="20"/>
          <w:szCs w:val="20"/>
        </w:rPr>
        <w:t>activo</w:t>
      </w:r>
      <w:r w:rsidR="002238C3" w:rsidRPr="00AC4AEA">
        <w:rPr>
          <w:rFonts w:ascii="Arial" w:hAnsi="Arial" w:cs="Arial"/>
          <w:w w:val="105"/>
          <w:sz w:val="20"/>
          <w:szCs w:val="20"/>
        </w:rPr>
        <w:t xml:space="preserve">; </w:t>
      </w:r>
      <w:r w:rsidR="00193656" w:rsidRPr="00AC4AEA">
        <w:rPr>
          <w:rFonts w:ascii="Arial" w:hAnsi="Arial" w:cs="Arial"/>
          <w:w w:val="105"/>
          <w:sz w:val="20"/>
          <w:szCs w:val="20"/>
        </w:rPr>
        <w:t>o</w:t>
      </w:r>
    </w:p>
    <w:p w:rsidR="00193656" w:rsidRPr="00AC4AEA" w:rsidRDefault="002A73BC" w:rsidP="00A318EA">
      <w:pPr>
        <w:pStyle w:val="Textoindependiente"/>
        <w:numPr>
          <w:ilvl w:val="0"/>
          <w:numId w:val="148"/>
        </w:numPr>
        <w:spacing w:before="0"/>
        <w:ind w:left="1560" w:right="210"/>
        <w:jc w:val="both"/>
        <w:rPr>
          <w:rFonts w:ascii="Arial" w:hAnsi="Arial" w:cs="Arial"/>
          <w:w w:val="105"/>
          <w:sz w:val="20"/>
          <w:szCs w:val="20"/>
        </w:rPr>
      </w:pPr>
      <w:r w:rsidRPr="00AC4AEA">
        <w:rPr>
          <w:rFonts w:ascii="Arial" w:hAnsi="Arial" w:cs="Arial"/>
          <w:w w:val="105"/>
          <w:sz w:val="20"/>
          <w:szCs w:val="20"/>
        </w:rPr>
        <w:t>c</w:t>
      </w:r>
      <w:r w:rsidR="00193656" w:rsidRPr="00AC4AEA">
        <w:rPr>
          <w:rFonts w:ascii="Arial" w:hAnsi="Arial" w:cs="Arial"/>
          <w:w w:val="105"/>
          <w:sz w:val="20"/>
          <w:szCs w:val="20"/>
        </w:rPr>
        <w:t xml:space="preserve">omo componente del costo del </w:t>
      </w:r>
      <w:r w:rsidR="00193656" w:rsidRPr="00AC4AEA">
        <w:rPr>
          <w:rFonts w:ascii="Arial" w:hAnsi="Arial" w:cs="Arial"/>
          <w:b/>
          <w:bCs/>
          <w:w w:val="105"/>
          <w:sz w:val="20"/>
          <w:szCs w:val="20"/>
        </w:rPr>
        <w:t>activo</w:t>
      </w:r>
      <w:r w:rsidR="00193656" w:rsidRPr="00AC4AEA">
        <w:rPr>
          <w:rFonts w:ascii="Arial" w:hAnsi="Arial" w:cs="Arial"/>
          <w:w w:val="105"/>
          <w:sz w:val="20"/>
          <w:szCs w:val="20"/>
        </w:rPr>
        <w:t>, si correspondiera.</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Una entidad que es arrendadora imputará las cuotas de un arrendamiento como ingresos del período durante el cual se genera su derecho a cobro o se extingue su obligación (en el caso de cobros anticipados).</w:t>
      </w:r>
    </w:p>
    <w:p w:rsidR="00D72785" w:rsidRPr="00AC4AEA" w:rsidRDefault="00D72785" w:rsidP="00A318EA">
      <w:pPr>
        <w:jc w:val="both"/>
        <w:rPr>
          <w:rFonts w:ascii="Arial" w:hAnsi="Arial" w:cs="Arial"/>
          <w:b/>
          <w:bCs/>
          <w:sz w:val="20"/>
          <w:szCs w:val="20"/>
        </w:rPr>
      </w:pPr>
    </w:p>
    <w:p w:rsidR="00D72785" w:rsidRPr="00AC4AEA" w:rsidRDefault="00D72785" w:rsidP="00A318EA">
      <w:pPr>
        <w:pStyle w:val="Ttulo3"/>
      </w:pPr>
      <w:bookmarkStart w:id="783" w:name="_Toc101863962"/>
      <w:bookmarkStart w:id="784" w:name="_Toc139356851"/>
      <w:r w:rsidRPr="00AC4AEA">
        <w:lastRenderedPageBreak/>
        <w:t>Modificaciones contractuales</w:t>
      </w:r>
      <w:bookmarkEnd w:id="783"/>
      <w:bookmarkEnd w:id="784"/>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 xml:space="preserve">Una entidad contabilizará como un nuevo </w:t>
      </w:r>
      <w:r w:rsidRPr="003A4B10">
        <w:rPr>
          <w:rFonts w:ascii="Arial" w:hAnsi="Arial" w:cs="Arial"/>
          <w:b/>
          <w:bCs/>
          <w:w w:val="105"/>
          <w:sz w:val="20"/>
          <w:szCs w:val="20"/>
        </w:rPr>
        <w:t xml:space="preserve">contrato </w:t>
      </w:r>
      <w:r w:rsidRPr="00AC4AEA">
        <w:rPr>
          <w:rFonts w:ascii="Arial" w:hAnsi="Arial" w:cs="Arial"/>
          <w:w w:val="105"/>
          <w:sz w:val="20"/>
          <w:szCs w:val="20"/>
        </w:rPr>
        <w:t>cualquier modificación de las condiciones o bases que permitieron calificar a un arrendamiento como financiero u operativo.</w:t>
      </w:r>
    </w:p>
    <w:p w:rsidR="00D72785" w:rsidRPr="00AC4AEA" w:rsidRDefault="00D72785" w:rsidP="00A318EA">
      <w:pPr>
        <w:jc w:val="both"/>
        <w:rPr>
          <w:rFonts w:ascii="Arial" w:hAnsi="Arial" w:cs="Arial"/>
          <w:b/>
          <w:bCs/>
          <w:sz w:val="20"/>
          <w:szCs w:val="20"/>
        </w:rPr>
      </w:pPr>
    </w:p>
    <w:p w:rsidR="00D72785" w:rsidRPr="00AC4AEA" w:rsidRDefault="00D72785" w:rsidP="00A318EA">
      <w:pPr>
        <w:pStyle w:val="Ttulo3"/>
      </w:pPr>
      <w:bookmarkStart w:id="785" w:name="_Toc101863963"/>
      <w:bookmarkStart w:id="786" w:name="_Toc139356852"/>
      <w:r w:rsidRPr="00AC4AEA">
        <w:t>Venta acompañada o seguida de arrendamiento</w:t>
      </w:r>
      <w:bookmarkEnd w:id="785"/>
      <w:bookmarkEnd w:id="786"/>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 xml:space="preserve">Una entidad que vende un </w:t>
      </w:r>
      <w:r w:rsidRPr="00AC4AEA">
        <w:rPr>
          <w:rFonts w:ascii="Arial" w:hAnsi="Arial" w:cs="Arial"/>
          <w:b/>
          <w:bCs/>
          <w:w w:val="105"/>
          <w:sz w:val="20"/>
          <w:szCs w:val="20"/>
        </w:rPr>
        <w:t>activo</w:t>
      </w:r>
      <w:r w:rsidRPr="00AC4AEA">
        <w:rPr>
          <w:rFonts w:ascii="Arial" w:hAnsi="Arial" w:cs="Arial"/>
          <w:w w:val="105"/>
          <w:sz w:val="20"/>
          <w:szCs w:val="20"/>
        </w:rPr>
        <w:t xml:space="preserve"> y simultánea o seguidamente contrate con el comprador el arrendamiento del mismo </w:t>
      </w:r>
      <w:r w:rsidRPr="00AC4AEA">
        <w:rPr>
          <w:rFonts w:ascii="Arial" w:hAnsi="Arial" w:cs="Arial"/>
          <w:b/>
          <w:bCs/>
          <w:w w:val="105"/>
          <w:sz w:val="20"/>
          <w:szCs w:val="20"/>
        </w:rPr>
        <w:t>activo</w:t>
      </w:r>
      <w:r w:rsidRPr="00AC4AEA">
        <w:rPr>
          <w:rFonts w:ascii="Arial" w:hAnsi="Arial" w:cs="Arial"/>
          <w:w w:val="105"/>
          <w:sz w:val="20"/>
          <w:szCs w:val="20"/>
        </w:rPr>
        <w:t>, aplicará las normas contenidas de los párrafos siguientes.</w:t>
      </w:r>
    </w:p>
    <w:p w:rsidR="00D72785" w:rsidRPr="00AC4AEA" w:rsidRDefault="00D72785" w:rsidP="00A318EA">
      <w:pPr>
        <w:pStyle w:val="Textoindependiente"/>
        <w:spacing w:before="0"/>
        <w:ind w:left="360" w:right="210"/>
        <w:jc w:val="both"/>
        <w:rPr>
          <w:rFonts w:ascii="Arial" w:hAnsi="Arial" w:cs="Arial"/>
          <w:w w:val="105"/>
          <w:sz w:val="20"/>
          <w:szCs w:val="20"/>
        </w:rPr>
      </w:pPr>
    </w:p>
    <w:p w:rsidR="00D72785" w:rsidRPr="00AC4AEA" w:rsidRDefault="00D72785" w:rsidP="00A318EA">
      <w:pPr>
        <w:pStyle w:val="Ttulo4"/>
      </w:pPr>
      <w:r w:rsidRPr="00AC4AEA">
        <w:t>Venta acompañada o seguida de arrendamiento: arrendamiento financiero</w:t>
      </w:r>
    </w:p>
    <w:p w:rsidR="00D72785" w:rsidRPr="00AC4AEA" w:rsidRDefault="00D72785" w:rsidP="00A318EA">
      <w:pPr>
        <w:pStyle w:val="Textoindependiente"/>
        <w:numPr>
          <w:ilvl w:val="0"/>
          <w:numId w:val="29"/>
        </w:numPr>
        <w:spacing w:before="0"/>
        <w:ind w:right="210"/>
        <w:jc w:val="both"/>
        <w:rPr>
          <w:rFonts w:ascii="Arial" w:hAnsi="Arial" w:cs="Arial"/>
          <w:sz w:val="20"/>
          <w:szCs w:val="20"/>
        </w:rPr>
      </w:pPr>
      <w:r w:rsidRPr="00AC4AEA">
        <w:rPr>
          <w:rFonts w:ascii="Arial" w:hAnsi="Arial" w:cs="Arial"/>
          <w:w w:val="105"/>
          <w:sz w:val="20"/>
          <w:szCs w:val="20"/>
        </w:rPr>
        <w:t>Cuando la venta seguida de arrendamiento califica como arrendamiento financiero,</w:t>
      </w:r>
      <w:r w:rsidR="00835565" w:rsidRPr="00AC4AEA">
        <w:rPr>
          <w:rFonts w:ascii="Arial" w:hAnsi="Arial" w:cs="Arial"/>
          <w:w w:val="105"/>
          <w:sz w:val="20"/>
          <w:szCs w:val="20"/>
        </w:rPr>
        <w:t xml:space="preserve"> </w:t>
      </w:r>
      <w:r w:rsidRPr="00AC4AEA">
        <w:rPr>
          <w:rFonts w:ascii="Arial" w:hAnsi="Arial" w:cs="Arial"/>
          <w:w w:val="105"/>
          <w:sz w:val="20"/>
          <w:szCs w:val="20"/>
        </w:rPr>
        <w:t xml:space="preserve">una entidad </w:t>
      </w:r>
      <w:r w:rsidR="00AA30F5" w:rsidRPr="00AC4AEA">
        <w:rPr>
          <w:rFonts w:ascii="Arial" w:hAnsi="Arial" w:cs="Arial"/>
          <w:w w:val="105"/>
          <w:sz w:val="20"/>
          <w:szCs w:val="20"/>
        </w:rPr>
        <w:t xml:space="preserve">que es arrendataria </w:t>
      </w:r>
      <w:r w:rsidRPr="00AC4AEA">
        <w:rPr>
          <w:rFonts w:ascii="Arial" w:hAnsi="Arial" w:cs="Arial"/>
          <w:w w:val="105"/>
          <w:sz w:val="20"/>
          <w:szCs w:val="20"/>
        </w:rPr>
        <w:t>contabilizará la operación como un</w:t>
      </w:r>
      <w:r w:rsidRPr="00AC4AEA">
        <w:rPr>
          <w:rFonts w:ascii="Arial" w:hAnsi="Arial" w:cs="Arial"/>
          <w:spacing w:val="-7"/>
          <w:w w:val="105"/>
          <w:sz w:val="20"/>
          <w:szCs w:val="20"/>
        </w:rPr>
        <w:t xml:space="preserve"> </w:t>
      </w:r>
      <w:r w:rsidRPr="00AC4AEA">
        <w:rPr>
          <w:rFonts w:ascii="Arial" w:hAnsi="Arial" w:cs="Arial"/>
          <w:w w:val="105"/>
          <w:sz w:val="20"/>
          <w:szCs w:val="20"/>
        </w:rPr>
        <w:t>préstamo</w:t>
      </w:r>
      <w:r w:rsidRPr="00AC4AEA">
        <w:rPr>
          <w:rFonts w:ascii="Arial" w:hAnsi="Arial" w:cs="Arial"/>
          <w:spacing w:val="-7"/>
          <w:w w:val="105"/>
          <w:sz w:val="20"/>
          <w:szCs w:val="20"/>
        </w:rPr>
        <w:t xml:space="preserve"> </w:t>
      </w:r>
      <w:r w:rsidRPr="00AC4AEA">
        <w:rPr>
          <w:rFonts w:ascii="Arial" w:hAnsi="Arial" w:cs="Arial"/>
          <w:w w:val="105"/>
          <w:sz w:val="20"/>
          <w:szCs w:val="20"/>
        </w:rPr>
        <w:t xml:space="preserve">otorgado por el arrendador al arrendatario, con el </w:t>
      </w:r>
      <w:r w:rsidRPr="00AC4AEA">
        <w:rPr>
          <w:rFonts w:ascii="Arial" w:hAnsi="Arial" w:cs="Arial"/>
          <w:b/>
          <w:bCs/>
          <w:w w:val="105"/>
          <w:sz w:val="20"/>
          <w:szCs w:val="20"/>
        </w:rPr>
        <w:t>activo</w:t>
      </w:r>
      <w:r w:rsidRPr="00AC4AEA">
        <w:rPr>
          <w:rFonts w:ascii="Arial" w:hAnsi="Arial" w:cs="Arial"/>
          <w:w w:val="105"/>
          <w:sz w:val="20"/>
          <w:szCs w:val="20"/>
        </w:rPr>
        <w:t xml:space="preserve"> como garantía. En tal caso</w:t>
      </w:r>
      <w:r w:rsidR="00AA30F5" w:rsidRPr="00AC4AEA">
        <w:rPr>
          <w:rFonts w:ascii="Arial" w:hAnsi="Arial" w:cs="Arial"/>
          <w:w w:val="105"/>
          <w:sz w:val="20"/>
          <w:szCs w:val="20"/>
        </w:rPr>
        <w:t>:</w:t>
      </w:r>
    </w:p>
    <w:p w:rsidR="00D72785" w:rsidRPr="00AC4AEA" w:rsidRDefault="002A73BC" w:rsidP="00A318EA">
      <w:pPr>
        <w:pStyle w:val="Textoindependiente"/>
        <w:numPr>
          <w:ilvl w:val="0"/>
          <w:numId w:val="149"/>
        </w:numPr>
        <w:spacing w:before="0"/>
        <w:ind w:left="1560" w:right="210"/>
        <w:jc w:val="both"/>
        <w:rPr>
          <w:rFonts w:ascii="Arial" w:hAnsi="Arial" w:cs="Arial"/>
          <w:sz w:val="20"/>
          <w:szCs w:val="20"/>
        </w:rPr>
      </w:pPr>
      <w:r w:rsidRPr="00AC4AEA">
        <w:rPr>
          <w:rFonts w:ascii="Arial" w:hAnsi="Arial" w:cs="Arial"/>
          <w:w w:val="105"/>
          <w:sz w:val="20"/>
          <w:szCs w:val="20"/>
        </w:rPr>
        <w:t>m</w:t>
      </w:r>
      <w:r w:rsidR="00D72785" w:rsidRPr="00AC4AEA">
        <w:rPr>
          <w:rFonts w:ascii="Arial" w:hAnsi="Arial" w:cs="Arial"/>
          <w:w w:val="105"/>
          <w:sz w:val="20"/>
          <w:szCs w:val="20"/>
        </w:rPr>
        <w:t xml:space="preserve">antendrá el </w:t>
      </w:r>
      <w:r w:rsidR="00D72785" w:rsidRPr="00AC4AEA">
        <w:rPr>
          <w:rFonts w:ascii="Arial" w:hAnsi="Arial" w:cs="Arial"/>
          <w:b/>
          <w:bCs/>
          <w:w w:val="105"/>
          <w:sz w:val="20"/>
          <w:szCs w:val="20"/>
        </w:rPr>
        <w:t>activo</w:t>
      </w:r>
      <w:r w:rsidR="00D72785" w:rsidRPr="00AC4AEA">
        <w:rPr>
          <w:rFonts w:ascii="Arial" w:hAnsi="Arial" w:cs="Arial"/>
          <w:w w:val="105"/>
          <w:sz w:val="20"/>
          <w:szCs w:val="20"/>
        </w:rPr>
        <w:t xml:space="preserve"> en su</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contabilidad</w:t>
      </w:r>
      <w:r w:rsidR="002238C3" w:rsidRPr="00AC4AEA">
        <w:rPr>
          <w:rFonts w:ascii="Arial" w:hAnsi="Arial" w:cs="Arial"/>
          <w:w w:val="105"/>
          <w:sz w:val="20"/>
          <w:szCs w:val="20"/>
        </w:rPr>
        <w:t>;</w:t>
      </w:r>
      <w:r w:rsidR="00D72785" w:rsidRPr="00AC4AEA">
        <w:rPr>
          <w:rFonts w:ascii="Arial" w:hAnsi="Arial" w:cs="Arial"/>
          <w:spacing w:val="-4"/>
          <w:w w:val="105"/>
          <w:sz w:val="20"/>
          <w:szCs w:val="20"/>
        </w:rPr>
        <w:t xml:space="preserve"> </w:t>
      </w:r>
      <w:r w:rsidR="00D72785" w:rsidRPr="00AC4AEA">
        <w:rPr>
          <w:rFonts w:ascii="Arial" w:hAnsi="Arial" w:cs="Arial"/>
          <w:w w:val="105"/>
          <w:sz w:val="20"/>
          <w:szCs w:val="20"/>
        </w:rPr>
        <w:t>y</w:t>
      </w:r>
      <w:r w:rsidR="00D72785" w:rsidRPr="00AC4AEA">
        <w:rPr>
          <w:rFonts w:ascii="Arial" w:hAnsi="Arial" w:cs="Arial"/>
          <w:spacing w:val="-3"/>
          <w:w w:val="105"/>
          <w:sz w:val="20"/>
          <w:szCs w:val="20"/>
        </w:rPr>
        <w:t xml:space="preserve"> </w:t>
      </w:r>
    </w:p>
    <w:p w:rsidR="00D72785" w:rsidRPr="00AC4AEA" w:rsidRDefault="002A73BC" w:rsidP="00A318EA">
      <w:pPr>
        <w:pStyle w:val="Textoindependiente"/>
        <w:numPr>
          <w:ilvl w:val="0"/>
          <w:numId w:val="149"/>
        </w:numPr>
        <w:spacing w:before="0"/>
        <w:ind w:left="1560" w:right="210"/>
        <w:jc w:val="both"/>
        <w:rPr>
          <w:rFonts w:ascii="Arial" w:hAnsi="Arial" w:cs="Arial"/>
          <w:sz w:val="20"/>
          <w:szCs w:val="20"/>
        </w:rPr>
      </w:pPr>
      <w:r w:rsidRPr="00AC4AEA">
        <w:rPr>
          <w:rFonts w:ascii="Arial" w:hAnsi="Arial" w:cs="Arial"/>
          <w:w w:val="105"/>
          <w:sz w:val="20"/>
          <w:szCs w:val="20"/>
        </w:rPr>
        <w:t>n</w:t>
      </w:r>
      <w:r w:rsidR="00D72785" w:rsidRPr="00AC4AEA">
        <w:rPr>
          <w:rFonts w:ascii="Arial" w:hAnsi="Arial" w:cs="Arial"/>
          <w:w w:val="105"/>
          <w:sz w:val="20"/>
          <w:szCs w:val="20"/>
        </w:rPr>
        <w:t>o</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reconocerá</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ningún</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resultado</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por</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la</w:t>
      </w:r>
      <w:r w:rsidR="00D72785" w:rsidRPr="00AC4AEA">
        <w:rPr>
          <w:rFonts w:ascii="Arial" w:hAnsi="Arial" w:cs="Arial"/>
          <w:spacing w:val="-3"/>
          <w:w w:val="105"/>
          <w:sz w:val="20"/>
          <w:szCs w:val="20"/>
        </w:rPr>
        <w:t xml:space="preserve"> </w:t>
      </w:r>
      <w:r w:rsidR="00D72785" w:rsidRPr="00AC4AEA">
        <w:rPr>
          <w:rFonts w:ascii="Arial" w:hAnsi="Arial" w:cs="Arial"/>
          <w:w w:val="105"/>
          <w:sz w:val="20"/>
          <w:szCs w:val="20"/>
        </w:rPr>
        <w:t>venta.</w:t>
      </w:r>
    </w:p>
    <w:p w:rsidR="00695B88"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w w:val="105"/>
          <w:sz w:val="20"/>
          <w:szCs w:val="20"/>
        </w:rPr>
        <w:t xml:space="preserve">Una entidad </w:t>
      </w:r>
      <w:r w:rsidR="00AA30F5" w:rsidRPr="00AC4AEA">
        <w:rPr>
          <w:rFonts w:ascii="Arial" w:hAnsi="Arial" w:cs="Arial"/>
          <w:w w:val="105"/>
          <w:sz w:val="20"/>
          <w:szCs w:val="20"/>
        </w:rPr>
        <w:t xml:space="preserve">que es arrendataria </w:t>
      </w:r>
      <w:r w:rsidRPr="00AC4AEA">
        <w:rPr>
          <w:rFonts w:ascii="Arial" w:hAnsi="Arial" w:cs="Arial"/>
          <w:w w:val="105"/>
          <w:sz w:val="20"/>
          <w:szCs w:val="20"/>
        </w:rPr>
        <w:t xml:space="preserve">tratará la diferencia entre el precio de venta y el total de las cuotas mínimas como un </w:t>
      </w:r>
      <w:r w:rsidRPr="00AC4AEA">
        <w:rPr>
          <w:rFonts w:ascii="Arial" w:hAnsi="Arial" w:cs="Arial"/>
          <w:b/>
          <w:bCs/>
          <w:w w:val="105"/>
          <w:sz w:val="20"/>
          <w:szCs w:val="20"/>
        </w:rPr>
        <w:t>costo financiero</w:t>
      </w:r>
      <w:r w:rsidRPr="00AC4AEA">
        <w:rPr>
          <w:rFonts w:ascii="Arial" w:hAnsi="Arial" w:cs="Arial"/>
          <w:w w:val="105"/>
          <w:sz w:val="20"/>
          <w:szCs w:val="20"/>
        </w:rPr>
        <w:t xml:space="preserve">, de acuerdo con lo establecido en </w:t>
      </w:r>
      <w:r w:rsidR="00193656" w:rsidRPr="00AC4AEA">
        <w:rPr>
          <w:rFonts w:ascii="Arial" w:hAnsi="Arial" w:cs="Arial"/>
          <w:w w:val="105"/>
          <w:sz w:val="20"/>
          <w:szCs w:val="20"/>
        </w:rPr>
        <w:t xml:space="preserve">la sección </w:t>
      </w:r>
      <w:r w:rsidR="00695B88" w:rsidRPr="00AC4AEA">
        <w:rPr>
          <w:rFonts w:ascii="Arial" w:hAnsi="Arial" w:cs="Arial"/>
          <w:sz w:val="20"/>
          <w:szCs w:val="20"/>
        </w:rPr>
        <w:t>“</w:t>
      </w:r>
      <w:r w:rsidR="00695B88" w:rsidRPr="00AC4AEA">
        <w:rPr>
          <w:rFonts w:ascii="Arial" w:hAnsi="Arial" w:cs="Arial"/>
          <w:sz w:val="20"/>
          <w:szCs w:val="20"/>
          <w:u w:val="single"/>
        </w:rPr>
        <w:t>Tratamiento de componentes financieros</w:t>
      </w:r>
      <w:r w:rsidR="00695B88" w:rsidRPr="00AC4AEA">
        <w:rPr>
          <w:rFonts w:ascii="Arial" w:hAnsi="Arial" w:cs="Arial"/>
          <w:sz w:val="20"/>
          <w:szCs w:val="20"/>
        </w:rPr>
        <w:t xml:space="preserve">” [ver los párrafos </w:t>
      </w:r>
      <w:fldSimple w:instr=" REF _Ref99476587 \r \h  \* MERGEFORMAT ">
        <w:r w:rsidR="00D33A5D" w:rsidRPr="00D33A5D">
          <w:rPr>
            <w:rFonts w:ascii="Arial" w:hAnsi="Arial" w:cs="Arial"/>
            <w:sz w:val="20"/>
            <w:szCs w:val="20"/>
          </w:rPr>
          <w:t>129</w:t>
        </w:r>
      </w:fldSimple>
      <w:r w:rsidR="00695B88" w:rsidRPr="00AC4AEA">
        <w:rPr>
          <w:rFonts w:ascii="Arial" w:hAnsi="Arial" w:cs="Arial"/>
          <w:sz w:val="20"/>
          <w:szCs w:val="20"/>
        </w:rPr>
        <w:t xml:space="preserve"> a </w:t>
      </w:r>
      <w:fldSimple w:instr=" REF _Ref99468983 \r \h  \* MERGEFORMAT ">
        <w:r w:rsidR="00D33A5D" w:rsidRPr="00D33A5D">
          <w:rPr>
            <w:rFonts w:ascii="Arial" w:hAnsi="Arial" w:cs="Arial"/>
            <w:sz w:val="20"/>
            <w:szCs w:val="20"/>
          </w:rPr>
          <w:t>142</w:t>
        </w:r>
      </w:fldSimple>
      <w:r w:rsidR="00695B88" w:rsidRPr="00AC4AEA">
        <w:rPr>
          <w:rFonts w:ascii="Arial" w:hAnsi="Arial" w:cs="Arial"/>
          <w:sz w:val="20"/>
          <w:szCs w:val="20"/>
        </w:rPr>
        <w:t>].</w:t>
      </w:r>
    </w:p>
    <w:p w:rsidR="00D72785" w:rsidRPr="00AC4AEA" w:rsidRDefault="00D72785" w:rsidP="00A318EA">
      <w:pPr>
        <w:pStyle w:val="Textoindependiente"/>
        <w:numPr>
          <w:ilvl w:val="0"/>
          <w:numId w:val="29"/>
        </w:numPr>
        <w:spacing w:before="0"/>
        <w:ind w:right="210"/>
        <w:jc w:val="both"/>
        <w:rPr>
          <w:rFonts w:ascii="Arial" w:hAnsi="Arial" w:cs="Arial"/>
          <w:sz w:val="20"/>
          <w:szCs w:val="20"/>
        </w:rPr>
      </w:pPr>
      <w:r w:rsidRPr="00AC4AEA">
        <w:rPr>
          <w:rFonts w:ascii="Arial" w:hAnsi="Arial" w:cs="Arial"/>
          <w:w w:val="105"/>
          <w:sz w:val="20"/>
          <w:szCs w:val="20"/>
        </w:rPr>
        <w:t xml:space="preserve">Si el </w:t>
      </w:r>
      <w:r w:rsidR="0031356D" w:rsidRPr="00AC4AEA">
        <w:rPr>
          <w:rFonts w:ascii="Arial" w:hAnsi="Arial" w:cs="Arial"/>
          <w:b/>
          <w:bCs/>
          <w:w w:val="105"/>
          <w:sz w:val="20"/>
          <w:szCs w:val="20"/>
        </w:rPr>
        <w:t>valor razonable</w:t>
      </w:r>
      <w:r w:rsidRPr="00AC4AEA">
        <w:rPr>
          <w:rFonts w:ascii="Arial" w:hAnsi="Arial" w:cs="Arial"/>
          <w:w w:val="105"/>
          <w:sz w:val="20"/>
          <w:szCs w:val="20"/>
        </w:rPr>
        <w:t xml:space="preserve"> del </w:t>
      </w:r>
      <w:r w:rsidRPr="00AC4AEA">
        <w:rPr>
          <w:rFonts w:ascii="Arial" w:hAnsi="Arial" w:cs="Arial"/>
          <w:b/>
          <w:bCs/>
          <w:w w:val="105"/>
          <w:sz w:val="20"/>
          <w:szCs w:val="20"/>
        </w:rPr>
        <w:t>activo</w:t>
      </w:r>
      <w:r w:rsidRPr="00AC4AEA">
        <w:rPr>
          <w:rFonts w:ascii="Arial" w:hAnsi="Arial" w:cs="Arial"/>
          <w:w w:val="105"/>
          <w:sz w:val="20"/>
          <w:szCs w:val="20"/>
        </w:rPr>
        <w:t xml:space="preserve"> al momento de la venta fuera inferior a su medición contable, una entidad no realizará ajuste alguno y analizará si dicha circunstancia constituye un indicio de </w:t>
      </w:r>
      <w:r w:rsidRPr="00AC4AEA">
        <w:rPr>
          <w:rFonts w:ascii="Arial" w:hAnsi="Arial" w:cs="Arial"/>
          <w:b/>
          <w:bCs/>
          <w:w w:val="105"/>
          <w:sz w:val="20"/>
          <w:szCs w:val="20"/>
        </w:rPr>
        <w:t>pérdidas por desvalorización.</w:t>
      </w:r>
    </w:p>
    <w:p w:rsidR="00D72785" w:rsidRPr="00AC4AEA" w:rsidRDefault="00D72785" w:rsidP="00A318EA">
      <w:pPr>
        <w:pStyle w:val="Textoindependiente"/>
        <w:spacing w:before="0"/>
        <w:ind w:right="210"/>
        <w:jc w:val="both"/>
        <w:rPr>
          <w:rFonts w:ascii="Arial" w:hAnsi="Arial" w:cs="Arial"/>
          <w:sz w:val="20"/>
          <w:szCs w:val="20"/>
        </w:rPr>
      </w:pPr>
    </w:p>
    <w:p w:rsidR="00D72785" w:rsidRPr="00AC4AEA" w:rsidRDefault="00D72785" w:rsidP="00A318EA">
      <w:pPr>
        <w:pStyle w:val="Ttulo4"/>
      </w:pPr>
      <w:r w:rsidRPr="00AC4AEA">
        <w:t>Venta acompañada o seguida de arrendamiento: arrendamiento operativo</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 xml:space="preserve">Cuando la venta seguida de arrendamiento califica como arrendamiento operativo, una entidad </w:t>
      </w:r>
      <w:r w:rsidR="00AA30F5" w:rsidRPr="00AC4AEA">
        <w:rPr>
          <w:rFonts w:ascii="Arial" w:hAnsi="Arial" w:cs="Arial"/>
          <w:w w:val="105"/>
          <w:sz w:val="20"/>
          <w:szCs w:val="20"/>
        </w:rPr>
        <w:t xml:space="preserve">que es arrendataria </w:t>
      </w:r>
      <w:r w:rsidRPr="00AC4AEA">
        <w:rPr>
          <w:rFonts w:ascii="Arial" w:hAnsi="Arial" w:cs="Arial"/>
          <w:w w:val="105"/>
          <w:sz w:val="20"/>
          <w:szCs w:val="20"/>
        </w:rPr>
        <w:t xml:space="preserve">determinará en primer lugar si la medición contable del bien a la fecha de la transacción es superior a su </w:t>
      </w:r>
      <w:r w:rsidR="0031356D" w:rsidRPr="00AC4AEA">
        <w:rPr>
          <w:rFonts w:ascii="Arial" w:hAnsi="Arial" w:cs="Arial"/>
          <w:b/>
          <w:bCs/>
          <w:w w:val="105"/>
          <w:sz w:val="20"/>
          <w:szCs w:val="20"/>
        </w:rPr>
        <w:t>valor razonable</w:t>
      </w:r>
      <w:r w:rsidRPr="00AC4AEA">
        <w:rPr>
          <w:rFonts w:ascii="Arial" w:hAnsi="Arial" w:cs="Arial"/>
          <w:w w:val="105"/>
          <w:sz w:val="20"/>
          <w:szCs w:val="20"/>
        </w:rPr>
        <w:t xml:space="preserve">, en cuyo caso reconocerá las </w:t>
      </w:r>
      <w:r w:rsidRPr="00AC4AEA">
        <w:rPr>
          <w:rFonts w:ascii="Arial" w:hAnsi="Arial" w:cs="Arial"/>
          <w:b/>
          <w:bCs/>
          <w:w w:val="105"/>
          <w:sz w:val="20"/>
          <w:szCs w:val="20"/>
        </w:rPr>
        <w:t xml:space="preserve">pérdidas por desvalorización </w:t>
      </w:r>
      <w:r w:rsidRPr="00AC4AEA">
        <w:rPr>
          <w:rFonts w:ascii="Arial" w:hAnsi="Arial" w:cs="Arial"/>
          <w:w w:val="105"/>
          <w:sz w:val="20"/>
          <w:szCs w:val="20"/>
        </w:rPr>
        <w:t>correspondientes.</w:t>
      </w:r>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 xml:space="preserve">Una vez realizada la tarea descripta en el párrafo anterior, </w:t>
      </w:r>
      <w:r w:rsidR="00AA30F5" w:rsidRPr="00AC4AEA">
        <w:rPr>
          <w:rFonts w:ascii="Arial" w:hAnsi="Arial" w:cs="Arial"/>
          <w:w w:val="105"/>
          <w:sz w:val="20"/>
          <w:szCs w:val="20"/>
        </w:rPr>
        <w:t xml:space="preserve">una entidad que es arrendataria </w:t>
      </w:r>
      <w:r w:rsidRPr="00AC4AEA">
        <w:rPr>
          <w:rFonts w:ascii="Arial" w:hAnsi="Arial" w:cs="Arial"/>
          <w:w w:val="105"/>
          <w:sz w:val="20"/>
          <w:szCs w:val="20"/>
        </w:rPr>
        <w:t>procederá del siguiente modo:</w:t>
      </w:r>
    </w:p>
    <w:p w:rsidR="00D72785" w:rsidRPr="00AC4AEA" w:rsidRDefault="00D72785" w:rsidP="00A318EA">
      <w:pPr>
        <w:pStyle w:val="Textoindependiente"/>
        <w:numPr>
          <w:ilvl w:val="0"/>
          <w:numId w:val="150"/>
        </w:numPr>
        <w:spacing w:before="0"/>
        <w:ind w:left="1560" w:right="210"/>
        <w:jc w:val="both"/>
        <w:rPr>
          <w:rFonts w:ascii="Arial" w:hAnsi="Arial" w:cs="Arial"/>
          <w:w w:val="105"/>
          <w:sz w:val="20"/>
          <w:szCs w:val="20"/>
        </w:rPr>
      </w:pPr>
      <w:r w:rsidRPr="00AC4AEA">
        <w:rPr>
          <w:rFonts w:ascii="Arial" w:hAnsi="Arial" w:cs="Arial"/>
          <w:w w:val="105"/>
          <w:sz w:val="20"/>
          <w:szCs w:val="20"/>
        </w:rPr>
        <w:t xml:space="preserve">Si el precio de venta del </w:t>
      </w:r>
      <w:r w:rsidRPr="00AC4AEA">
        <w:rPr>
          <w:rFonts w:ascii="Arial" w:hAnsi="Arial" w:cs="Arial"/>
          <w:b/>
          <w:bCs/>
          <w:w w:val="105"/>
          <w:sz w:val="20"/>
          <w:szCs w:val="20"/>
        </w:rPr>
        <w:t>activo</w:t>
      </w:r>
      <w:r w:rsidRPr="00AC4AEA">
        <w:rPr>
          <w:rFonts w:ascii="Arial" w:hAnsi="Arial" w:cs="Arial"/>
          <w:w w:val="105"/>
          <w:sz w:val="20"/>
          <w:szCs w:val="20"/>
        </w:rPr>
        <w:t xml:space="preserve"> es igual o menor a su </w:t>
      </w:r>
      <w:r w:rsidRPr="00AC4AEA">
        <w:rPr>
          <w:rFonts w:ascii="Arial" w:hAnsi="Arial" w:cs="Arial"/>
          <w:b/>
          <w:bCs/>
          <w:w w:val="105"/>
          <w:sz w:val="20"/>
          <w:szCs w:val="20"/>
        </w:rPr>
        <w:t xml:space="preserve">valor </w:t>
      </w:r>
      <w:r w:rsidR="00615B9C" w:rsidRPr="00AC4AEA">
        <w:rPr>
          <w:rFonts w:ascii="Arial" w:hAnsi="Arial" w:cs="Arial"/>
          <w:b/>
          <w:bCs/>
          <w:w w:val="105"/>
          <w:sz w:val="20"/>
          <w:szCs w:val="20"/>
        </w:rPr>
        <w:t>razonable</w:t>
      </w:r>
      <w:r w:rsidRPr="00AC4AEA">
        <w:rPr>
          <w:rFonts w:ascii="Arial" w:hAnsi="Arial" w:cs="Arial"/>
          <w:w w:val="105"/>
          <w:sz w:val="20"/>
          <w:szCs w:val="20"/>
        </w:rPr>
        <w:t xml:space="preserve"> y el resultado de la venta es positivo</w:t>
      </w:r>
      <w:r w:rsidR="00193656" w:rsidRPr="00AC4AEA">
        <w:rPr>
          <w:rFonts w:ascii="Arial" w:hAnsi="Arial" w:cs="Arial"/>
          <w:w w:val="105"/>
          <w:sz w:val="20"/>
          <w:szCs w:val="20"/>
        </w:rPr>
        <w:t>:</w:t>
      </w:r>
      <w:r w:rsidRPr="00AC4AEA">
        <w:rPr>
          <w:rFonts w:ascii="Arial" w:hAnsi="Arial" w:cs="Arial"/>
          <w:w w:val="105"/>
          <w:sz w:val="20"/>
          <w:szCs w:val="20"/>
        </w:rPr>
        <w:t xml:space="preserve"> reconocerá como resultado del </w:t>
      </w:r>
      <w:r w:rsidR="007D0411" w:rsidRPr="00AC4AEA">
        <w:rPr>
          <w:rFonts w:ascii="Arial" w:hAnsi="Arial" w:cs="Arial"/>
          <w:sz w:val="20"/>
          <w:szCs w:val="20"/>
        </w:rPr>
        <w:t>período</w:t>
      </w:r>
      <w:r w:rsidRPr="00AC4AEA">
        <w:rPr>
          <w:rFonts w:ascii="Arial" w:hAnsi="Arial" w:cs="Arial"/>
          <w:w w:val="105"/>
          <w:sz w:val="20"/>
          <w:szCs w:val="20"/>
        </w:rPr>
        <w:t xml:space="preserve"> la diferencia entre dicho precio y la medición contable del </w:t>
      </w:r>
      <w:r w:rsidRPr="00AC4AEA">
        <w:rPr>
          <w:rFonts w:ascii="Arial" w:hAnsi="Arial" w:cs="Arial"/>
          <w:b/>
          <w:bCs/>
          <w:w w:val="105"/>
          <w:sz w:val="20"/>
          <w:szCs w:val="20"/>
        </w:rPr>
        <w:t>activo</w:t>
      </w:r>
      <w:r w:rsidRPr="00AC4AEA">
        <w:rPr>
          <w:rFonts w:ascii="Arial" w:hAnsi="Arial" w:cs="Arial"/>
          <w:w w:val="105"/>
          <w:sz w:val="20"/>
          <w:szCs w:val="20"/>
        </w:rPr>
        <w:t xml:space="preserve"> a la fecha de la transacción</w:t>
      </w:r>
      <w:r w:rsidR="00550132" w:rsidRPr="00AC4AEA">
        <w:rPr>
          <w:rFonts w:ascii="Arial" w:hAnsi="Arial" w:cs="Arial"/>
          <w:w w:val="105"/>
          <w:sz w:val="20"/>
          <w:szCs w:val="20"/>
        </w:rPr>
        <w:t>.</w:t>
      </w:r>
    </w:p>
    <w:p w:rsidR="00D72785" w:rsidRPr="00AC4AEA" w:rsidRDefault="00D72785" w:rsidP="00A318EA">
      <w:pPr>
        <w:pStyle w:val="Textoindependiente"/>
        <w:numPr>
          <w:ilvl w:val="0"/>
          <w:numId w:val="150"/>
        </w:numPr>
        <w:spacing w:before="0"/>
        <w:ind w:left="1560" w:right="210"/>
        <w:jc w:val="both"/>
        <w:rPr>
          <w:rFonts w:ascii="Arial" w:hAnsi="Arial" w:cs="Arial"/>
          <w:w w:val="105"/>
          <w:sz w:val="20"/>
          <w:szCs w:val="20"/>
        </w:rPr>
      </w:pPr>
      <w:r w:rsidRPr="00AC4AEA">
        <w:rPr>
          <w:rFonts w:ascii="Arial" w:hAnsi="Arial" w:cs="Arial"/>
          <w:w w:val="105"/>
          <w:sz w:val="20"/>
          <w:szCs w:val="20"/>
        </w:rPr>
        <w:lastRenderedPageBreak/>
        <w:t xml:space="preserve">Si el precio de venta del bien es menor a su </w:t>
      </w:r>
      <w:r w:rsidR="00615B9C" w:rsidRPr="00AC4AEA">
        <w:rPr>
          <w:rFonts w:ascii="Arial" w:hAnsi="Arial" w:cs="Arial"/>
          <w:b/>
          <w:bCs/>
          <w:w w:val="105"/>
          <w:sz w:val="20"/>
          <w:szCs w:val="20"/>
        </w:rPr>
        <w:t>valor razonable</w:t>
      </w:r>
      <w:r w:rsidRPr="00AC4AEA">
        <w:rPr>
          <w:rFonts w:ascii="Arial" w:hAnsi="Arial" w:cs="Arial"/>
          <w:w w:val="105"/>
          <w:sz w:val="20"/>
          <w:szCs w:val="20"/>
        </w:rPr>
        <w:t>, el resultado de la venta es negativo y los precios establecidos para las cuotas del arrendamiento son iguales o superiores a los de mercado</w:t>
      </w:r>
      <w:r w:rsidR="00193656" w:rsidRPr="00AC4AEA">
        <w:rPr>
          <w:rFonts w:ascii="Arial" w:hAnsi="Arial" w:cs="Arial"/>
          <w:w w:val="105"/>
          <w:sz w:val="20"/>
          <w:szCs w:val="20"/>
        </w:rPr>
        <w:t>:</w:t>
      </w:r>
      <w:r w:rsidRPr="00AC4AEA">
        <w:rPr>
          <w:rFonts w:ascii="Arial" w:hAnsi="Arial" w:cs="Arial"/>
          <w:w w:val="105"/>
          <w:sz w:val="20"/>
          <w:szCs w:val="20"/>
        </w:rPr>
        <w:t xml:space="preserve"> reconocerá una </w:t>
      </w:r>
      <w:r w:rsidRPr="00AC4AEA">
        <w:rPr>
          <w:rFonts w:ascii="Arial" w:hAnsi="Arial" w:cs="Arial"/>
          <w:b/>
          <w:bCs/>
          <w:w w:val="105"/>
          <w:sz w:val="20"/>
          <w:szCs w:val="20"/>
        </w:rPr>
        <w:t xml:space="preserve">pérdida </w:t>
      </w:r>
      <w:r w:rsidRPr="00AC4AEA">
        <w:rPr>
          <w:rFonts w:ascii="Arial" w:hAnsi="Arial" w:cs="Arial"/>
          <w:w w:val="105"/>
          <w:sz w:val="20"/>
          <w:szCs w:val="20"/>
        </w:rPr>
        <w:t xml:space="preserve">por la diferencia entre dicho precio y la medición contable del </w:t>
      </w:r>
      <w:r w:rsidRPr="00AC4AEA">
        <w:rPr>
          <w:rFonts w:ascii="Arial" w:hAnsi="Arial" w:cs="Arial"/>
          <w:b/>
          <w:bCs/>
          <w:w w:val="105"/>
          <w:sz w:val="20"/>
          <w:szCs w:val="20"/>
        </w:rPr>
        <w:t>activo</w:t>
      </w:r>
      <w:r w:rsidRPr="00AC4AEA">
        <w:rPr>
          <w:rFonts w:ascii="Arial" w:hAnsi="Arial" w:cs="Arial"/>
          <w:w w:val="105"/>
          <w:sz w:val="20"/>
          <w:szCs w:val="20"/>
        </w:rPr>
        <w:t xml:space="preserve"> a la fecha de la transacción</w:t>
      </w:r>
      <w:r w:rsidR="00550132" w:rsidRPr="00AC4AEA">
        <w:rPr>
          <w:rFonts w:ascii="Arial" w:hAnsi="Arial" w:cs="Arial"/>
          <w:w w:val="105"/>
          <w:sz w:val="20"/>
          <w:szCs w:val="20"/>
        </w:rPr>
        <w:t>.</w:t>
      </w:r>
    </w:p>
    <w:p w:rsidR="00D72785" w:rsidRPr="00AC4AEA" w:rsidRDefault="00D72785" w:rsidP="00A318EA">
      <w:pPr>
        <w:pStyle w:val="Textoindependiente"/>
        <w:numPr>
          <w:ilvl w:val="0"/>
          <w:numId w:val="150"/>
        </w:numPr>
        <w:spacing w:before="0"/>
        <w:ind w:left="1560" w:right="210"/>
        <w:jc w:val="both"/>
        <w:rPr>
          <w:rFonts w:ascii="Arial" w:hAnsi="Arial" w:cs="Arial"/>
          <w:w w:val="105"/>
          <w:sz w:val="20"/>
          <w:szCs w:val="20"/>
        </w:rPr>
      </w:pPr>
      <w:r w:rsidRPr="00AC4AEA">
        <w:rPr>
          <w:rFonts w:ascii="Arial" w:hAnsi="Arial" w:cs="Arial"/>
          <w:w w:val="105"/>
          <w:sz w:val="20"/>
          <w:szCs w:val="20"/>
        </w:rPr>
        <w:t xml:space="preserve">Si el precio de venta del bien es menor a su </w:t>
      </w:r>
      <w:r w:rsidR="00615B9C" w:rsidRPr="00AC4AEA">
        <w:rPr>
          <w:rFonts w:ascii="Arial" w:hAnsi="Arial" w:cs="Arial"/>
          <w:b/>
          <w:bCs/>
          <w:w w:val="105"/>
          <w:sz w:val="20"/>
          <w:szCs w:val="20"/>
        </w:rPr>
        <w:t>valor razonable</w:t>
      </w:r>
      <w:r w:rsidRPr="00AC4AEA">
        <w:rPr>
          <w:rFonts w:ascii="Arial" w:hAnsi="Arial" w:cs="Arial"/>
          <w:w w:val="105"/>
          <w:sz w:val="20"/>
          <w:szCs w:val="20"/>
        </w:rPr>
        <w:t>, el resultado de la venta es negativo y los precios establecidos para las cuotas del arrendamiento son</w:t>
      </w:r>
      <w:r w:rsidR="00835565" w:rsidRPr="00AC4AEA">
        <w:rPr>
          <w:rFonts w:ascii="Arial" w:hAnsi="Arial" w:cs="Arial"/>
          <w:w w:val="105"/>
          <w:sz w:val="20"/>
          <w:szCs w:val="20"/>
        </w:rPr>
        <w:t xml:space="preserve"> </w:t>
      </w:r>
      <w:r w:rsidRPr="00AC4AEA">
        <w:rPr>
          <w:rFonts w:ascii="Arial" w:hAnsi="Arial" w:cs="Arial"/>
          <w:w w:val="105"/>
          <w:sz w:val="20"/>
          <w:szCs w:val="20"/>
        </w:rPr>
        <w:t>inferiores a los de mercado:</w:t>
      </w:r>
    </w:p>
    <w:p w:rsidR="00D72785" w:rsidRPr="00AC4AEA" w:rsidRDefault="00550132" w:rsidP="00A318EA">
      <w:pPr>
        <w:pStyle w:val="Textoindependiente"/>
        <w:numPr>
          <w:ilvl w:val="0"/>
          <w:numId w:val="151"/>
        </w:numPr>
        <w:spacing w:before="0"/>
        <w:ind w:left="1985" w:right="210"/>
        <w:jc w:val="both"/>
        <w:rPr>
          <w:rFonts w:ascii="Arial" w:hAnsi="Arial" w:cs="Arial"/>
          <w:w w:val="105"/>
          <w:sz w:val="20"/>
          <w:szCs w:val="20"/>
        </w:rPr>
      </w:pPr>
      <w:r w:rsidRPr="00AC4AEA">
        <w:rPr>
          <w:rFonts w:ascii="Arial" w:hAnsi="Arial" w:cs="Arial"/>
          <w:w w:val="105"/>
          <w:sz w:val="20"/>
          <w:szCs w:val="20"/>
        </w:rPr>
        <w:t>d</w:t>
      </w:r>
      <w:r w:rsidR="00D72785" w:rsidRPr="00AC4AEA">
        <w:rPr>
          <w:rFonts w:ascii="Arial" w:hAnsi="Arial" w:cs="Arial"/>
          <w:w w:val="105"/>
          <w:sz w:val="20"/>
          <w:szCs w:val="20"/>
        </w:rPr>
        <w:t>eterminará la medida en que el menor precio de venta se compensa con los menores pagos futuros de cuotas de arrendamientos;</w:t>
      </w:r>
    </w:p>
    <w:p w:rsidR="00D72785" w:rsidRPr="00AC4AEA" w:rsidRDefault="00550132" w:rsidP="00A318EA">
      <w:pPr>
        <w:pStyle w:val="Textoindependiente"/>
        <w:numPr>
          <w:ilvl w:val="0"/>
          <w:numId w:val="151"/>
        </w:numPr>
        <w:spacing w:before="0"/>
        <w:ind w:left="1985" w:right="210"/>
        <w:jc w:val="both"/>
        <w:rPr>
          <w:rFonts w:ascii="Arial" w:hAnsi="Arial" w:cs="Arial"/>
          <w:w w:val="105"/>
          <w:sz w:val="20"/>
          <w:szCs w:val="20"/>
        </w:rPr>
      </w:pPr>
      <w:r w:rsidRPr="00AC4AEA">
        <w:rPr>
          <w:rFonts w:ascii="Arial" w:hAnsi="Arial" w:cs="Arial"/>
          <w:w w:val="105"/>
          <w:sz w:val="20"/>
          <w:szCs w:val="20"/>
        </w:rPr>
        <w:t>r</w:t>
      </w:r>
      <w:r w:rsidR="00D72785" w:rsidRPr="00AC4AEA">
        <w:rPr>
          <w:rFonts w:ascii="Arial" w:hAnsi="Arial" w:cs="Arial"/>
          <w:w w:val="105"/>
          <w:sz w:val="20"/>
          <w:szCs w:val="20"/>
        </w:rPr>
        <w:t xml:space="preserve">econocerá una </w:t>
      </w:r>
      <w:r w:rsidR="00D72785" w:rsidRPr="00AC4AEA">
        <w:rPr>
          <w:rFonts w:ascii="Arial" w:hAnsi="Arial" w:cs="Arial"/>
          <w:b/>
          <w:bCs/>
          <w:w w:val="105"/>
          <w:sz w:val="20"/>
          <w:szCs w:val="20"/>
        </w:rPr>
        <w:t xml:space="preserve">pérdida </w:t>
      </w:r>
      <w:r w:rsidR="00D72785" w:rsidRPr="00AC4AEA">
        <w:rPr>
          <w:rFonts w:ascii="Arial" w:hAnsi="Arial" w:cs="Arial"/>
          <w:w w:val="105"/>
          <w:sz w:val="20"/>
          <w:szCs w:val="20"/>
        </w:rPr>
        <w:t xml:space="preserve">por la diferencia entre el precio de venta y </w:t>
      </w:r>
      <w:r w:rsidR="00835565" w:rsidRPr="00AC4AEA">
        <w:rPr>
          <w:rFonts w:ascii="Arial" w:hAnsi="Arial" w:cs="Arial"/>
          <w:w w:val="105"/>
          <w:sz w:val="20"/>
          <w:szCs w:val="20"/>
        </w:rPr>
        <w:t>la medición contable</w:t>
      </w:r>
      <w:r w:rsidR="00D72785" w:rsidRPr="00AC4AEA">
        <w:rPr>
          <w:rFonts w:ascii="Arial" w:hAnsi="Arial" w:cs="Arial"/>
          <w:w w:val="105"/>
          <w:sz w:val="20"/>
          <w:szCs w:val="20"/>
        </w:rPr>
        <w:t xml:space="preserve"> del </w:t>
      </w:r>
      <w:r w:rsidR="00D72785" w:rsidRPr="00AC4AEA">
        <w:rPr>
          <w:rFonts w:ascii="Arial" w:hAnsi="Arial" w:cs="Arial"/>
          <w:b/>
          <w:bCs/>
          <w:w w:val="105"/>
          <w:sz w:val="20"/>
          <w:szCs w:val="20"/>
        </w:rPr>
        <w:t>activo</w:t>
      </w:r>
      <w:r w:rsidR="00D72785" w:rsidRPr="00AC4AEA">
        <w:rPr>
          <w:rFonts w:ascii="Arial" w:hAnsi="Arial" w:cs="Arial"/>
          <w:w w:val="105"/>
          <w:sz w:val="20"/>
          <w:szCs w:val="20"/>
        </w:rPr>
        <w:t xml:space="preserve"> a la fecha de la transacción que no esté compensada por los ahorros en los futuros pagos de cuotas por arrendamientos</w:t>
      </w:r>
      <w:r w:rsidR="0031356D" w:rsidRPr="00AC4AEA">
        <w:rPr>
          <w:rFonts w:ascii="Arial" w:hAnsi="Arial" w:cs="Arial"/>
          <w:w w:val="105"/>
          <w:sz w:val="20"/>
          <w:szCs w:val="20"/>
        </w:rPr>
        <w:t>;</w:t>
      </w:r>
      <w:r w:rsidR="004234FA" w:rsidRPr="00AC4AEA">
        <w:rPr>
          <w:rFonts w:ascii="Arial" w:hAnsi="Arial" w:cs="Arial"/>
          <w:w w:val="105"/>
          <w:sz w:val="20"/>
          <w:szCs w:val="20"/>
        </w:rPr>
        <w:t xml:space="preserve"> y</w:t>
      </w:r>
    </w:p>
    <w:p w:rsidR="00D72785" w:rsidRPr="00AC4AEA" w:rsidRDefault="00550132" w:rsidP="00A318EA">
      <w:pPr>
        <w:pStyle w:val="Textoindependiente"/>
        <w:numPr>
          <w:ilvl w:val="0"/>
          <w:numId w:val="151"/>
        </w:numPr>
        <w:spacing w:before="0"/>
        <w:ind w:left="1985" w:right="210"/>
        <w:jc w:val="both"/>
        <w:rPr>
          <w:rFonts w:ascii="Arial" w:hAnsi="Arial" w:cs="Arial"/>
          <w:w w:val="105"/>
          <w:sz w:val="20"/>
          <w:szCs w:val="20"/>
        </w:rPr>
      </w:pPr>
      <w:r w:rsidRPr="00AC4AEA">
        <w:rPr>
          <w:rFonts w:ascii="Arial" w:hAnsi="Arial" w:cs="Arial"/>
          <w:w w:val="105"/>
          <w:sz w:val="20"/>
          <w:szCs w:val="20"/>
        </w:rPr>
        <w:t>r</w:t>
      </w:r>
      <w:r w:rsidR="00D72785" w:rsidRPr="00AC4AEA">
        <w:rPr>
          <w:rFonts w:ascii="Arial" w:hAnsi="Arial" w:cs="Arial"/>
          <w:w w:val="105"/>
          <w:sz w:val="20"/>
          <w:szCs w:val="20"/>
        </w:rPr>
        <w:t xml:space="preserve">econocerá como resultados a lo largo del plazo durante el cual se espera utilizar el </w:t>
      </w:r>
      <w:r w:rsidR="00D72785" w:rsidRPr="00AC4AEA">
        <w:rPr>
          <w:rFonts w:ascii="Arial" w:hAnsi="Arial" w:cs="Arial"/>
          <w:b/>
          <w:bCs/>
          <w:w w:val="105"/>
          <w:sz w:val="20"/>
          <w:szCs w:val="20"/>
        </w:rPr>
        <w:t>activo</w:t>
      </w:r>
      <w:r w:rsidR="00D72785" w:rsidRPr="00AC4AEA">
        <w:rPr>
          <w:rFonts w:ascii="Arial" w:hAnsi="Arial" w:cs="Arial"/>
          <w:w w:val="105"/>
          <w:sz w:val="20"/>
          <w:szCs w:val="20"/>
        </w:rPr>
        <w:t xml:space="preserve"> arrendado las diferencias no reconocidas como resultados por aplicación del inciso </w:t>
      </w:r>
      <w:r w:rsidR="003649EF" w:rsidRPr="00AC4AEA">
        <w:rPr>
          <w:rFonts w:ascii="Arial" w:hAnsi="Arial" w:cs="Arial"/>
          <w:w w:val="105"/>
          <w:sz w:val="20"/>
          <w:szCs w:val="20"/>
        </w:rPr>
        <w:t>(</w:t>
      </w:r>
      <w:r w:rsidR="00D72785" w:rsidRPr="00AC4AEA">
        <w:rPr>
          <w:rFonts w:ascii="Arial" w:hAnsi="Arial" w:cs="Arial"/>
          <w:w w:val="105"/>
          <w:sz w:val="20"/>
          <w:szCs w:val="20"/>
        </w:rPr>
        <w:t>ii).</w:t>
      </w:r>
    </w:p>
    <w:p w:rsidR="00D72785" w:rsidRPr="00AC4AEA" w:rsidRDefault="00D72785" w:rsidP="00A318EA">
      <w:pPr>
        <w:pStyle w:val="Textoindependiente"/>
        <w:numPr>
          <w:ilvl w:val="0"/>
          <w:numId w:val="150"/>
        </w:numPr>
        <w:spacing w:before="0"/>
        <w:ind w:left="1560" w:right="210"/>
        <w:jc w:val="both"/>
        <w:rPr>
          <w:rFonts w:ascii="Arial" w:hAnsi="Arial" w:cs="Arial"/>
          <w:w w:val="105"/>
          <w:sz w:val="20"/>
          <w:szCs w:val="20"/>
        </w:rPr>
      </w:pPr>
      <w:r w:rsidRPr="00AC4AEA">
        <w:rPr>
          <w:rFonts w:ascii="Arial" w:hAnsi="Arial" w:cs="Arial"/>
          <w:w w:val="105"/>
          <w:sz w:val="20"/>
          <w:szCs w:val="20"/>
        </w:rPr>
        <w:t xml:space="preserve">Si el precio de venta del bien es mayor a su </w:t>
      </w:r>
      <w:r w:rsidR="00615B9C" w:rsidRPr="00AC4AEA">
        <w:rPr>
          <w:rFonts w:ascii="Arial" w:hAnsi="Arial" w:cs="Arial"/>
          <w:b/>
          <w:bCs/>
          <w:w w:val="105"/>
          <w:sz w:val="20"/>
          <w:szCs w:val="20"/>
        </w:rPr>
        <w:t>valor razonable</w:t>
      </w:r>
      <w:r w:rsidRPr="00AC4AEA">
        <w:rPr>
          <w:rFonts w:ascii="Arial" w:hAnsi="Arial" w:cs="Arial"/>
          <w:w w:val="105"/>
          <w:sz w:val="20"/>
          <w:szCs w:val="20"/>
        </w:rPr>
        <w:t>:</w:t>
      </w:r>
    </w:p>
    <w:p w:rsidR="00D72785" w:rsidRPr="00AC4AEA" w:rsidRDefault="004072A9" w:rsidP="00A318EA">
      <w:pPr>
        <w:pStyle w:val="Textoindependiente"/>
        <w:numPr>
          <w:ilvl w:val="0"/>
          <w:numId w:val="152"/>
        </w:numPr>
        <w:spacing w:before="0"/>
        <w:ind w:left="1985" w:right="210"/>
        <w:jc w:val="both"/>
        <w:rPr>
          <w:rFonts w:ascii="Arial" w:hAnsi="Arial" w:cs="Arial"/>
          <w:w w:val="105"/>
          <w:sz w:val="20"/>
          <w:szCs w:val="20"/>
        </w:rPr>
      </w:pPr>
      <w:r w:rsidRPr="00AC4AEA">
        <w:rPr>
          <w:rFonts w:ascii="Arial" w:hAnsi="Arial" w:cs="Arial"/>
          <w:w w:val="105"/>
          <w:sz w:val="20"/>
          <w:szCs w:val="20"/>
        </w:rPr>
        <w:t>r</w:t>
      </w:r>
      <w:r w:rsidR="00D72785" w:rsidRPr="00AC4AEA">
        <w:rPr>
          <w:rFonts w:ascii="Arial" w:hAnsi="Arial" w:cs="Arial"/>
          <w:w w:val="105"/>
          <w:sz w:val="20"/>
          <w:szCs w:val="20"/>
        </w:rPr>
        <w:t xml:space="preserve">econocerá una </w:t>
      </w:r>
      <w:r w:rsidR="00D72785" w:rsidRPr="00AC4AEA">
        <w:rPr>
          <w:rFonts w:ascii="Arial" w:hAnsi="Arial" w:cs="Arial"/>
          <w:b/>
          <w:bCs/>
          <w:w w:val="105"/>
          <w:sz w:val="20"/>
          <w:szCs w:val="20"/>
        </w:rPr>
        <w:t xml:space="preserve">ganancia </w:t>
      </w:r>
      <w:r w:rsidR="00D72785" w:rsidRPr="00AC4AEA">
        <w:rPr>
          <w:rFonts w:ascii="Arial" w:hAnsi="Arial" w:cs="Arial"/>
          <w:w w:val="105"/>
          <w:sz w:val="20"/>
          <w:szCs w:val="20"/>
        </w:rPr>
        <w:t xml:space="preserve">por cualquier diferencia entre el </w:t>
      </w:r>
      <w:r w:rsidR="00FA5755" w:rsidRPr="00AC4AEA">
        <w:rPr>
          <w:rFonts w:ascii="Arial" w:hAnsi="Arial" w:cs="Arial"/>
          <w:b/>
          <w:bCs/>
          <w:w w:val="105"/>
          <w:sz w:val="20"/>
          <w:szCs w:val="20"/>
        </w:rPr>
        <w:t>valor razonable</w:t>
      </w:r>
      <w:r w:rsidR="00D72785" w:rsidRPr="00AC4AEA">
        <w:rPr>
          <w:rFonts w:ascii="Arial" w:hAnsi="Arial" w:cs="Arial"/>
          <w:w w:val="105"/>
          <w:sz w:val="20"/>
          <w:szCs w:val="20"/>
        </w:rPr>
        <w:t xml:space="preserve"> del </w:t>
      </w:r>
      <w:r w:rsidR="00D72785" w:rsidRPr="00AC4AEA">
        <w:rPr>
          <w:rFonts w:ascii="Arial" w:hAnsi="Arial" w:cs="Arial"/>
          <w:b/>
          <w:bCs/>
          <w:w w:val="105"/>
          <w:sz w:val="20"/>
          <w:szCs w:val="20"/>
        </w:rPr>
        <w:t>activo</w:t>
      </w:r>
      <w:r w:rsidR="00D72785" w:rsidRPr="00AC4AEA">
        <w:rPr>
          <w:rFonts w:ascii="Arial" w:hAnsi="Arial" w:cs="Arial"/>
          <w:w w:val="105"/>
          <w:sz w:val="20"/>
          <w:szCs w:val="20"/>
        </w:rPr>
        <w:t xml:space="preserve"> y su medición contable a la fecha de la transacción</w:t>
      </w:r>
      <w:r w:rsidR="002238C3" w:rsidRPr="00AC4AEA">
        <w:rPr>
          <w:rFonts w:ascii="Arial" w:hAnsi="Arial" w:cs="Arial"/>
          <w:w w:val="105"/>
          <w:sz w:val="20"/>
          <w:szCs w:val="20"/>
        </w:rPr>
        <w:t>;</w:t>
      </w:r>
      <w:r w:rsidR="004234FA" w:rsidRPr="00AC4AEA">
        <w:rPr>
          <w:rFonts w:ascii="Arial" w:hAnsi="Arial" w:cs="Arial"/>
          <w:w w:val="105"/>
          <w:sz w:val="20"/>
          <w:szCs w:val="20"/>
        </w:rPr>
        <w:t xml:space="preserve"> y</w:t>
      </w:r>
    </w:p>
    <w:p w:rsidR="00D72785" w:rsidRPr="00AC4AEA" w:rsidRDefault="004072A9" w:rsidP="00A318EA">
      <w:pPr>
        <w:pStyle w:val="Textoindependiente"/>
        <w:numPr>
          <w:ilvl w:val="0"/>
          <w:numId w:val="152"/>
        </w:numPr>
        <w:spacing w:before="0"/>
        <w:ind w:left="1985" w:right="210"/>
        <w:jc w:val="both"/>
        <w:rPr>
          <w:rFonts w:ascii="Arial" w:hAnsi="Arial" w:cs="Arial"/>
          <w:w w:val="105"/>
          <w:sz w:val="20"/>
          <w:szCs w:val="20"/>
        </w:rPr>
      </w:pPr>
      <w:r w:rsidRPr="00AC4AEA">
        <w:rPr>
          <w:rFonts w:ascii="Arial" w:hAnsi="Arial" w:cs="Arial"/>
          <w:w w:val="105"/>
          <w:sz w:val="20"/>
          <w:szCs w:val="20"/>
        </w:rPr>
        <w:t>r</w:t>
      </w:r>
      <w:r w:rsidR="00D72785" w:rsidRPr="00AC4AEA">
        <w:rPr>
          <w:rFonts w:ascii="Arial" w:hAnsi="Arial" w:cs="Arial"/>
          <w:w w:val="105"/>
          <w:sz w:val="20"/>
          <w:szCs w:val="20"/>
        </w:rPr>
        <w:t xml:space="preserve">econocerá como resultado a lo largo del plazo durante el cual se espera utilizar el </w:t>
      </w:r>
      <w:r w:rsidR="00D72785" w:rsidRPr="00AC4AEA">
        <w:rPr>
          <w:rFonts w:ascii="Arial" w:hAnsi="Arial" w:cs="Arial"/>
          <w:b/>
          <w:bCs/>
          <w:w w:val="105"/>
          <w:sz w:val="20"/>
          <w:szCs w:val="20"/>
        </w:rPr>
        <w:t>activo</w:t>
      </w:r>
      <w:r w:rsidR="00D72785" w:rsidRPr="00AC4AEA">
        <w:rPr>
          <w:rFonts w:ascii="Arial" w:hAnsi="Arial" w:cs="Arial"/>
          <w:w w:val="105"/>
          <w:sz w:val="20"/>
          <w:szCs w:val="20"/>
        </w:rPr>
        <w:t xml:space="preserve"> arrendado</w:t>
      </w:r>
      <w:r w:rsidR="00193656" w:rsidRPr="00AC4AEA">
        <w:rPr>
          <w:rFonts w:ascii="Arial" w:hAnsi="Arial" w:cs="Arial"/>
          <w:w w:val="105"/>
          <w:sz w:val="20"/>
          <w:szCs w:val="20"/>
        </w:rPr>
        <w:t xml:space="preserve"> </w:t>
      </w:r>
      <w:r w:rsidR="00D72785" w:rsidRPr="00AC4AEA">
        <w:rPr>
          <w:rFonts w:ascii="Arial" w:hAnsi="Arial" w:cs="Arial"/>
          <w:w w:val="105"/>
          <w:sz w:val="20"/>
          <w:szCs w:val="20"/>
        </w:rPr>
        <w:t xml:space="preserve">el exceso del precio de venta sobre el </w:t>
      </w:r>
      <w:r w:rsidR="00AA30F5" w:rsidRPr="00AC4AEA">
        <w:rPr>
          <w:rFonts w:ascii="Arial" w:hAnsi="Arial" w:cs="Arial"/>
          <w:b/>
          <w:bCs/>
          <w:w w:val="105"/>
          <w:sz w:val="20"/>
          <w:szCs w:val="20"/>
        </w:rPr>
        <w:t>valor razonable</w:t>
      </w:r>
      <w:r w:rsidR="00D72785" w:rsidRPr="00AC4AEA">
        <w:rPr>
          <w:rFonts w:ascii="Arial" w:hAnsi="Arial" w:cs="Arial"/>
          <w:w w:val="105"/>
          <w:sz w:val="20"/>
          <w:szCs w:val="20"/>
        </w:rPr>
        <w:t xml:space="preserve"> del bien. </w:t>
      </w:r>
    </w:p>
    <w:p w:rsidR="00D72785" w:rsidRPr="00AC4AEA" w:rsidRDefault="00D72785" w:rsidP="00A318EA">
      <w:pPr>
        <w:pStyle w:val="Textoindependiente"/>
        <w:spacing w:before="0"/>
        <w:ind w:right="210" w:firstLine="455"/>
        <w:jc w:val="both"/>
        <w:rPr>
          <w:rFonts w:ascii="Arial" w:hAnsi="Arial" w:cs="Arial"/>
          <w:b/>
          <w:bCs/>
          <w:sz w:val="20"/>
          <w:szCs w:val="20"/>
        </w:rPr>
      </w:pPr>
    </w:p>
    <w:p w:rsidR="00D72785" w:rsidRPr="00AC4AEA" w:rsidRDefault="00D72785" w:rsidP="00A318EA">
      <w:pPr>
        <w:pStyle w:val="Ttulo2"/>
        <w:rPr>
          <w:rFonts w:cs="Arial"/>
        </w:rPr>
      </w:pPr>
      <w:bookmarkStart w:id="787" w:name="_Toc101863964"/>
      <w:bookmarkStart w:id="788" w:name="_Toc139356853"/>
      <w:r w:rsidRPr="00AC4AEA">
        <w:rPr>
          <w:rFonts w:cs="Arial"/>
        </w:rPr>
        <w:t>Presentación y revelación</w:t>
      </w:r>
      <w:bookmarkEnd w:id="787"/>
      <w:bookmarkEnd w:id="788"/>
    </w:p>
    <w:p w:rsidR="00D72785" w:rsidRPr="00AC4AEA" w:rsidRDefault="00D72785" w:rsidP="00A318EA">
      <w:pPr>
        <w:pStyle w:val="Ttulo3"/>
      </w:pPr>
      <w:bookmarkStart w:id="789" w:name="_Toc101863965"/>
      <w:bookmarkStart w:id="790" w:name="_Toc139356854"/>
      <w:r w:rsidRPr="00AC4AEA">
        <w:t xml:space="preserve">Presentación y revelación: </w:t>
      </w:r>
      <w:r w:rsidR="00135084" w:rsidRPr="00AC4AEA">
        <w:t>estados contables</w:t>
      </w:r>
      <w:r w:rsidRPr="00AC4AEA">
        <w:t xml:space="preserve"> del arrendador</w:t>
      </w:r>
      <w:bookmarkEnd w:id="789"/>
      <w:bookmarkEnd w:id="790"/>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r w:rsidRPr="00AC4AEA">
        <w:rPr>
          <w:rFonts w:ascii="Arial" w:hAnsi="Arial" w:cs="Arial"/>
          <w:w w:val="105"/>
          <w:sz w:val="20"/>
          <w:szCs w:val="20"/>
        </w:rPr>
        <w:t>Una entidad que es arrendadora presentará la siguiente información por todos los contratos de arrendamiento (financieros u operativos):</w:t>
      </w:r>
    </w:p>
    <w:p w:rsidR="00D72785" w:rsidRPr="00AC4AEA" w:rsidRDefault="00376967" w:rsidP="00A318EA">
      <w:pPr>
        <w:pStyle w:val="Prrafodelista"/>
        <w:widowControl w:val="0"/>
        <w:numPr>
          <w:ilvl w:val="0"/>
          <w:numId w:val="153"/>
        </w:numPr>
        <w:tabs>
          <w:tab w:val="left" w:pos="567"/>
        </w:tabs>
        <w:autoSpaceDE w:val="0"/>
        <w:autoSpaceDN w:val="0"/>
        <w:ind w:left="1560"/>
        <w:contextualSpacing w:val="0"/>
        <w:jc w:val="both"/>
        <w:rPr>
          <w:rFonts w:ascii="Arial" w:hAnsi="Arial" w:cs="Arial"/>
          <w:sz w:val="20"/>
          <w:szCs w:val="20"/>
        </w:rPr>
      </w:pPr>
      <w:r w:rsidRPr="00AC4AEA">
        <w:rPr>
          <w:rFonts w:ascii="Arial" w:hAnsi="Arial" w:cs="Arial"/>
          <w:w w:val="105"/>
          <w:sz w:val="20"/>
          <w:szCs w:val="20"/>
        </w:rPr>
        <w:t>u</w:t>
      </w:r>
      <w:r w:rsidR="00D72785" w:rsidRPr="00AC4AEA">
        <w:rPr>
          <w:rFonts w:ascii="Arial" w:hAnsi="Arial" w:cs="Arial"/>
          <w:w w:val="105"/>
          <w:sz w:val="20"/>
          <w:szCs w:val="20"/>
        </w:rPr>
        <w:t>na descripción de las condiciones generales de los contratos;</w:t>
      </w:r>
    </w:p>
    <w:p w:rsidR="00D72785" w:rsidRPr="00AC4AEA" w:rsidRDefault="00376967" w:rsidP="00A318EA">
      <w:pPr>
        <w:pStyle w:val="Prrafodelista"/>
        <w:widowControl w:val="0"/>
        <w:numPr>
          <w:ilvl w:val="0"/>
          <w:numId w:val="153"/>
        </w:numPr>
        <w:tabs>
          <w:tab w:val="left" w:pos="623"/>
        </w:tabs>
        <w:autoSpaceDE w:val="0"/>
        <w:autoSpaceDN w:val="0"/>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a desagregación por plazo de vencimiento del total de las cuotas mínimas y de su valor actual</w:t>
      </w:r>
      <w:r w:rsidR="002238C3" w:rsidRPr="00AC4AEA">
        <w:rPr>
          <w:rFonts w:ascii="Arial" w:hAnsi="Arial" w:cs="Arial"/>
          <w:sz w:val="20"/>
          <w:szCs w:val="20"/>
        </w:rPr>
        <w:t>;</w:t>
      </w:r>
      <w:r w:rsidR="004234FA" w:rsidRPr="00AC4AEA">
        <w:rPr>
          <w:rFonts w:ascii="Arial" w:hAnsi="Arial" w:cs="Arial"/>
          <w:sz w:val="20"/>
          <w:szCs w:val="20"/>
        </w:rPr>
        <w:t xml:space="preserve"> y</w:t>
      </w:r>
    </w:p>
    <w:p w:rsidR="00D72785" w:rsidRPr="00AC4AEA" w:rsidRDefault="00376967" w:rsidP="00A318EA">
      <w:pPr>
        <w:pStyle w:val="Prrafodelista"/>
        <w:widowControl w:val="0"/>
        <w:numPr>
          <w:ilvl w:val="0"/>
          <w:numId w:val="153"/>
        </w:numPr>
        <w:tabs>
          <w:tab w:val="left" w:pos="623"/>
        </w:tabs>
        <w:autoSpaceDE w:val="0"/>
        <w:autoSpaceDN w:val="0"/>
        <w:ind w:left="1560"/>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l total imputado a resultados en concepto de cuotas contingentes.</w:t>
      </w:r>
    </w:p>
    <w:p w:rsidR="00D72785" w:rsidRPr="00AC4AEA" w:rsidRDefault="00D72785" w:rsidP="00A318EA">
      <w:pPr>
        <w:pStyle w:val="Prrafodelista"/>
        <w:widowControl w:val="0"/>
        <w:numPr>
          <w:ilvl w:val="0"/>
          <w:numId w:val="29"/>
        </w:numPr>
        <w:tabs>
          <w:tab w:val="left" w:pos="623"/>
        </w:tabs>
        <w:autoSpaceDE w:val="0"/>
        <w:autoSpaceDN w:val="0"/>
        <w:contextualSpacing w:val="0"/>
        <w:jc w:val="both"/>
        <w:rPr>
          <w:rFonts w:ascii="Arial" w:hAnsi="Arial" w:cs="Arial"/>
          <w:sz w:val="20"/>
          <w:szCs w:val="20"/>
        </w:rPr>
      </w:pPr>
      <w:r w:rsidRPr="00AC4AEA">
        <w:rPr>
          <w:rFonts w:ascii="Arial" w:hAnsi="Arial" w:cs="Arial"/>
          <w:sz w:val="20"/>
          <w:szCs w:val="20"/>
        </w:rPr>
        <w:t>Una entidad que es arrendadora presentará por sus contratos de arrendamientos financieros:</w:t>
      </w:r>
    </w:p>
    <w:p w:rsidR="00D72785" w:rsidRPr="00AC4AEA" w:rsidRDefault="00AA30F5" w:rsidP="00A318EA">
      <w:pPr>
        <w:pStyle w:val="Prrafodelista"/>
        <w:widowControl w:val="0"/>
        <w:numPr>
          <w:ilvl w:val="0"/>
          <w:numId w:val="154"/>
        </w:numPr>
        <w:tabs>
          <w:tab w:val="left" w:pos="647"/>
        </w:tabs>
        <w:autoSpaceDE w:val="0"/>
        <w:autoSpaceDN w:val="0"/>
        <w:ind w:left="1560"/>
        <w:contextualSpacing w:val="0"/>
        <w:jc w:val="both"/>
        <w:rPr>
          <w:rFonts w:ascii="Arial" w:hAnsi="Arial" w:cs="Arial"/>
          <w:sz w:val="20"/>
          <w:szCs w:val="20"/>
        </w:rPr>
      </w:pPr>
      <w:r w:rsidRPr="00AC4AEA">
        <w:rPr>
          <w:rFonts w:ascii="Arial" w:hAnsi="Arial" w:cs="Arial"/>
          <w:sz w:val="20"/>
          <w:szCs w:val="20"/>
        </w:rPr>
        <w:t xml:space="preserve">una conciliación entre </w:t>
      </w:r>
      <w:r w:rsidR="00D72785" w:rsidRPr="00AC4AEA">
        <w:rPr>
          <w:rFonts w:ascii="Arial" w:hAnsi="Arial" w:cs="Arial"/>
          <w:sz w:val="20"/>
          <w:szCs w:val="20"/>
        </w:rPr>
        <w:t xml:space="preserve">el total de </w:t>
      </w:r>
      <w:r w:rsidR="00497590" w:rsidRPr="00AC4AEA">
        <w:rPr>
          <w:rFonts w:ascii="Arial" w:hAnsi="Arial" w:cs="Arial"/>
          <w:sz w:val="20"/>
          <w:szCs w:val="20"/>
        </w:rPr>
        <w:t>activos</w:t>
      </w:r>
      <w:r w:rsidR="00D72785" w:rsidRPr="00AC4AEA">
        <w:rPr>
          <w:rFonts w:ascii="Arial" w:hAnsi="Arial" w:cs="Arial"/>
          <w:sz w:val="20"/>
          <w:szCs w:val="20"/>
        </w:rPr>
        <w:t xml:space="preserve"> por arrendamientos y el valor actual de las cuotas mínimas (desde el punto de vista del arrendador) a la </w:t>
      </w:r>
      <w:r w:rsidR="00D72785" w:rsidRPr="00AC4AEA">
        <w:rPr>
          <w:rFonts w:ascii="Arial" w:hAnsi="Arial" w:cs="Arial"/>
          <w:b/>
          <w:bCs/>
          <w:sz w:val="20"/>
          <w:szCs w:val="20"/>
        </w:rPr>
        <w:t xml:space="preserve">fecha de </w:t>
      </w:r>
      <w:r w:rsidR="00D72785" w:rsidRPr="00AC4AEA">
        <w:rPr>
          <w:rFonts w:ascii="Arial" w:hAnsi="Arial" w:cs="Arial"/>
          <w:b/>
          <w:bCs/>
          <w:sz w:val="20"/>
          <w:szCs w:val="20"/>
        </w:rPr>
        <w:lastRenderedPageBreak/>
        <w:t>los</w:t>
      </w:r>
      <w:r w:rsidR="00D72785" w:rsidRPr="00AC4AEA">
        <w:rPr>
          <w:rFonts w:ascii="Arial" w:hAnsi="Arial" w:cs="Arial"/>
          <w:sz w:val="20"/>
          <w:szCs w:val="20"/>
        </w:rPr>
        <w:t xml:space="preserve"> </w:t>
      </w:r>
      <w:r w:rsidR="00135084" w:rsidRPr="00AC4AEA">
        <w:rPr>
          <w:rFonts w:ascii="Arial" w:hAnsi="Arial" w:cs="Arial"/>
          <w:b/>
          <w:bCs/>
          <w:sz w:val="20"/>
          <w:szCs w:val="20"/>
        </w:rPr>
        <w:t>estados contables</w:t>
      </w:r>
      <w:r w:rsidR="00D72785" w:rsidRPr="00AC4AEA">
        <w:rPr>
          <w:rFonts w:ascii="Arial" w:hAnsi="Arial" w:cs="Arial"/>
          <w:sz w:val="20"/>
          <w:szCs w:val="20"/>
        </w:rPr>
        <w:t>;</w:t>
      </w:r>
    </w:p>
    <w:p w:rsidR="00D72785" w:rsidRPr="00AC4AEA" w:rsidRDefault="00376967" w:rsidP="00A318EA">
      <w:pPr>
        <w:pStyle w:val="Prrafodelista"/>
        <w:widowControl w:val="0"/>
        <w:numPr>
          <w:ilvl w:val="0"/>
          <w:numId w:val="154"/>
        </w:numPr>
        <w:tabs>
          <w:tab w:val="left" w:pos="641"/>
        </w:tabs>
        <w:autoSpaceDE w:val="0"/>
        <w:autoSpaceDN w:val="0"/>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 xml:space="preserve">os </w:t>
      </w:r>
      <w:r w:rsidR="00EA699F" w:rsidRPr="00AC4AEA">
        <w:rPr>
          <w:rFonts w:ascii="Arial" w:hAnsi="Arial" w:cs="Arial"/>
          <w:b/>
          <w:bCs/>
          <w:sz w:val="20"/>
          <w:szCs w:val="20"/>
        </w:rPr>
        <w:t>ingresos financieros</w:t>
      </w:r>
      <w:r w:rsidR="00D72785" w:rsidRPr="00AC4AEA">
        <w:rPr>
          <w:rFonts w:ascii="Arial" w:hAnsi="Arial" w:cs="Arial"/>
          <w:sz w:val="20"/>
          <w:szCs w:val="20"/>
        </w:rPr>
        <w:t xml:space="preserve"> no devengados;</w:t>
      </w:r>
    </w:p>
    <w:p w:rsidR="00D72785" w:rsidRPr="00AC4AEA" w:rsidRDefault="00376967" w:rsidP="00A318EA">
      <w:pPr>
        <w:pStyle w:val="Prrafodelista"/>
        <w:widowControl w:val="0"/>
        <w:numPr>
          <w:ilvl w:val="0"/>
          <w:numId w:val="154"/>
        </w:numPr>
        <w:tabs>
          <w:tab w:val="left" w:pos="623"/>
        </w:tabs>
        <w:autoSpaceDE w:val="0"/>
        <w:autoSpaceDN w:val="0"/>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os valores residuales no garantizados</w:t>
      </w:r>
      <w:r w:rsidR="002238C3" w:rsidRPr="00AC4AEA">
        <w:rPr>
          <w:rFonts w:ascii="Arial" w:hAnsi="Arial" w:cs="Arial"/>
          <w:sz w:val="20"/>
          <w:szCs w:val="20"/>
        </w:rPr>
        <w:t>;</w:t>
      </w:r>
      <w:r w:rsidR="004234FA" w:rsidRPr="00AC4AEA">
        <w:rPr>
          <w:rFonts w:ascii="Arial" w:hAnsi="Arial" w:cs="Arial"/>
          <w:sz w:val="20"/>
          <w:szCs w:val="20"/>
        </w:rPr>
        <w:t xml:space="preserve"> y</w:t>
      </w:r>
    </w:p>
    <w:p w:rsidR="00D72785" w:rsidRPr="00AC4AEA" w:rsidRDefault="00376967" w:rsidP="00A318EA">
      <w:pPr>
        <w:pStyle w:val="Prrafodelista"/>
        <w:widowControl w:val="0"/>
        <w:numPr>
          <w:ilvl w:val="0"/>
          <w:numId w:val="154"/>
        </w:numPr>
        <w:tabs>
          <w:tab w:val="left" w:pos="641"/>
        </w:tabs>
        <w:autoSpaceDE w:val="0"/>
        <w:autoSpaceDN w:val="0"/>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a previsión para desvalorización sobre las cuotas mínimas a cobrar.</w:t>
      </w:r>
    </w:p>
    <w:p w:rsidR="00122C52" w:rsidRPr="00AC4AEA" w:rsidRDefault="00122C52" w:rsidP="00A318EA">
      <w:pPr>
        <w:pStyle w:val="Textoindependiente"/>
        <w:numPr>
          <w:ilvl w:val="0"/>
          <w:numId w:val="29"/>
        </w:numPr>
        <w:spacing w:before="0"/>
        <w:jc w:val="both"/>
        <w:rPr>
          <w:rFonts w:ascii="Arial" w:hAnsi="Arial" w:cs="Arial"/>
          <w:sz w:val="20"/>
          <w:szCs w:val="20"/>
        </w:rPr>
      </w:pPr>
      <w:r w:rsidRPr="00AC4AEA">
        <w:rPr>
          <w:rFonts w:ascii="Arial" w:hAnsi="Arial" w:cs="Arial"/>
          <w:sz w:val="20"/>
          <w:szCs w:val="20"/>
        </w:rPr>
        <w:t xml:space="preserve">Una entidad pequeña </w:t>
      </w:r>
      <w:r w:rsidR="007B04AA" w:rsidRPr="00AC4AEA">
        <w:rPr>
          <w:rFonts w:ascii="Arial" w:hAnsi="Arial" w:cs="Arial"/>
          <w:sz w:val="20"/>
          <w:szCs w:val="20"/>
        </w:rPr>
        <w:t xml:space="preserve">o mediana </w:t>
      </w:r>
      <w:r w:rsidRPr="00AC4AEA">
        <w:rPr>
          <w:rFonts w:ascii="Arial" w:hAnsi="Arial" w:cs="Arial"/>
          <w:sz w:val="20"/>
          <w:szCs w:val="20"/>
        </w:rPr>
        <w:t>podrá no revelar la información requerida por el párrafo anterior.</w:t>
      </w:r>
    </w:p>
    <w:p w:rsidR="00D72785" w:rsidRPr="00AC4AEA" w:rsidRDefault="00D72785" w:rsidP="00A318EA">
      <w:pPr>
        <w:widowControl w:val="0"/>
        <w:tabs>
          <w:tab w:val="left" w:pos="641"/>
        </w:tabs>
        <w:autoSpaceDE w:val="0"/>
        <w:autoSpaceDN w:val="0"/>
        <w:jc w:val="both"/>
        <w:rPr>
          <w:rFonts w:ascii="Arial" w:hAnsi="Arial" w:cs="Arial"/>
          <w:sz w:val="20"/>
          <w:szCs w:val="20"/>
        </w:rPr>
      </w:pPr>
    </w:p>
    <w:p w:rsidR="00D72785" w:rsidRPr="00AC4AEA" w:rsidRDefault="00D72785" w:rsidP="00A318EA">
      <w:pPr>
        <w:pStyle w:val="Ttulo3"/>
      </w:pPr>
      <w:bookmarkStart w:id="791" w:name="_Toc101863966"/>
      <w:bookmarkStart w:id="792" w:name="_Toc139356855"/>
      <w:r w:rsidRPr="00AC4AEA">
        <w:t xml:space="preserve">Presentación y revelación: </w:t>
      </w:r>
      <w:r w:rsidR="00135084" w:rsidRPr="00AC4AEA">
        <w:t>estados contables</w:t>
      </w:r>
      <w:r w:rsidRPr="00AC4AEA">
        <w:t xml:space="preserve"> del arrendatario</w:t>
      </w:r>
      <w:bookmarkEnd w:id="791"/>
      <w:bookmarkEnd w:id="792"/>
    </w:p>
    <w:p w:rsidR="00D72785" w:rsidRPr="00AC4AEA" w:rsidRDefault="00D72785" w:rsidP="00A318EA">
      <w:pPr>
        <w:pStyle w:val="Textoindependiente"/>
        <w:numPr>
          <w:ilvl w:val="0"/>
          <w:numId w:val="29"/>
        </w:numPr>
        <w:spacing w:before="0"/>
        <w:ind w:right="210"/>
        <w:jc w:val="both"/>
        <w:rPr>
          <w:rFonts w:ascii="Arial" w:hAnsi="Arial" w:cs="Arial"/>
          <w:w w:val="105"/>
          <w:sz w:val="20"/>
          <w:szCs w:val="20"/>
        </w:rPr>
      </w:pPr>
      <w:bookmarkStart w:id="793" w:name="_Ref103957038"/>
      <w:r w:rsidRPr="00AC4AEA">
        <w:rPr>
          <w:rFonts w:ascii="Arial" w:hAnsi="Arial" w:cs="Arial"/>
          <w:w w:val="105"/>
          <w:sz w:val="20"/>
          <w:szCs w:val="20"/>
        </w:rPr>
        <w:t>Una entidad que es arrendataria presentará la siguiente información por todos los contratos de arrendamiento (financieros u operativos):</w:t>
      </w:r>
      <w:bookmarkEnd w:id="793"/>
    </w:p>
    <w:p w:rsidR="00D72785" w:rsidRPr="00AC4AEA" w:rsidRDefault="009B1A8A" w:rsidP="00A318EA">
      <w:pPr>
        <w:pStyle w:val="Prrafodelista"/>
        <w:widowControl w:val="0"/>
        <w:numPr>
          <w:ilvl w:val="0"/>
          <w:numId w:val="155"/>
        </w:numPr>
        <w:tabs>
          <w:tab w:val="left" w:pos="623"/>
        </w:tabs>
        <w:autoSpaceDE w:val="0"/>
        <w:autoSpaceDN w:val="0"/>
        <w:ind w:left="1560"/>
        <w:contextualSpacing w:val="0"/>
        <w:jc w:val="both"/>
        <w:rPr>
          <w:rFonts w:ascii="Arial" w:hAnsi="Arial" w:cs="Arial"/>
          <w:sz w:val="20"/>
          <w:szCs w:val="20"/>
        </w:rPr>
      </w:pPr>
      <w:r w:rsidRPr="00AC4AEA">
        <w:rPr>
          <w:rFonts w:ascii="Arial" w:hAnsi="Arial" w:cs="Arial"/>
          <w:w w:val="105"/>
          <w:sz w:val="20"/>
          <w:szCs w:val="20"/>
        </w:rPr>
        <w:t>u</w:t>
      </w:r>
      <w:r w:rsidR="00D72785" w:rsidRPr="00AC4AEA">
        <w:rPr>
          <w:rFonts w:ascii="Arial" w:hAnsi="Arial" w:cs="Arial"/>
          <w:w w:val="105"/>
          <w:sz w:val="20"/>
          <w:szCs w:val="20"/>
        </w:rPr>
        <w:t>na descripción de las condiciones generales de los contratos que incluya, como mínimo:</w:t>
      </w:r>
    </w:p>
    <w:p w:rsidR="00D72785" w:rsidRPr="00AC4AEA" w:rsidRDefault="00376967" w:rsidP="00A318EA">
      <w:pPr>
        <w:pStyle w:val="Prrafodelista"/>
        <w:widowControl w:val="0"/>
        <w:numPr>
          <w:ilvl w:val="0"/>
          <w:numId w:val="156"/>
        </w:numPr>
        <w:tabs>
          <w:tab w:val="left" w:pos="931"/>
        </w:tabs>
        <w:autoSpaceDE w:val="0"/>
        <w:autoSpaceDN w:val="0"/>
        <w:ind w:left="1985"/>
        <w:contextualSpacing w:val="0"/>
        <w:jc w:val="both"/>
        <w:rPr>
          <w:rFonts w:ascii="Arial" w:hAnsi="Arial" w:cs="Arial"/>
          <w:sz w:val="20"/>
          <w:szCs w:val="20"/>
        </w:rPr>
      </w:pPr>
      <w:r w:rsidRPr="00AC4AEA">
        <w:rPr>
          <w:rFonts w:ascii="Arial" w:hAnsi="Arial" w:cs="Arial"/>
          <w:w w:val="105"/>
          <w:sz w:val="20"/>
          <w:szCs w:val="20"/>
        </w:rPr>
        <w:t>l</w:t>
      </w:r>
      <w:r w:rsidR="00D72785" w:rsidRPr="00AC4AEA">
        <w:rPr>
          <w:rFonts w:ascii="Arial" w:hAnsi="Arial" w:cs="Arial"/>
          <w:w w:val="105"/>
          <w:sz w:val="20"/>
          <w:szCs w:val="20"/>
        </w:rPr>
        <w:t>as</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bases</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determinación</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las</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cuotas</w:t>
      </w:r>
      <w:r w:rsidR="00D72785" w:rsidRPr="00AC4AEA">
        <w:rPr>
          <w:rFonts w:ascii="Arial" w:hAnsi="Arial" w:cs="Arial"/>
          <w:spacing w:val="-8"/>
          <w:w w:val="105"/>
          <w:sz w:val="20"/>
          <w:szCs w:val="20"/>
        </w:rPr>
        <w:t xml:space="preserve"> </w:t>
      </w:r>
      <w:r w:rsidR="00D72785" w:rsidRPr="00AC4AEA">
        <w:rPr>
          <w:rFonts w:ascii="Arial" w:hAnsi="Arial" w:cs="Arial"/>
          <w:w w:val="105"/>
          <w:sz w:val="20"/>
          <w:szCs w:val="20"/>
        </w:rPr>
        <w:t>contingentes;</w:t>
      </w:r>
    </w:p>
    <w:p w:rsidR="00D72785" w:rsidRPr="00AC4AEA" w:rsidRDefault="00376967" w:rsidP="00A318EA">
      <w:pPr>
        <w:pStyle w:val="Prrafodelista"/>
        <w:widowControl w:val="0"/>
        <w:numPr>
          <w:ilvl w:val="0"/>
          <w:numId w:val="156"/>
        </w:numPr>
        <w:tabs>
          <w:tab w:val="left" w:pos="940"/>
        </w:tabs>
        <w:autoSpaceDE w:val="0"/>
        <w:autoSpaceDN w:val="0"/>
        <w:ind w:left="1985" w:right="210"/>
        <w:contextualSpacing w:val="0"/>
        <w:jc w:val="both"/>
        <w:rPr>
          <w:rFonts w:ascii="Arial" w:hAnsi="Arial" w:cs="Arial"/>
          <w:sz w:val="20"/>
          <w:szCs w:val="20"/>
        </w:rPr>
      </w:pPr>
      <w:r w:rsidRPr="00AC4AEA">
        <w:rPr>
          <w:rFonts w:ascii="Arial" w:hAnsi="Arial" w:cs="Arial"/>
          <w:w w:val="105"/>
          <w:sz w:val="20"/>
          <w:szCs w:val="20"/>
        </w:rPr>
        <w:t>l</w:t>
      </w:r>
      <w:r w:rsidR="00D72785" w:rsidRPr="00AC4AEA">
        <w:rPr>
          <w:rFonts w:ascii="Arial" w:hAnsi="Arial" w:cs="Arial"/>
          <w:w w:val="105"/>
          <w:sz w:val="20"/>
          <w:szCs w:val="20"/>
        </w:rPr>
        <w:t>as</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cláusulas</w:t>
      </w:r>
      <w:r w:rsidR="00D72785" w:rsidRPr="00AC4AEA">
        <w:rPr>
          <w:rFonts w:ascii="Arial" w:hAnsi="Arial" w:cs="Arial"/>
          <w:spacing w:val="-2"/>
          <w:w w:val="105"/>
          <w:sz w:val="20"/>
          <w:szCs w:val="20"/>
        </w:rPr>
        <w:t xml:space="preserve"> </w:t>
      </w:r>
      <w:r w:rsidR="00717DB1" w:rsidRPr="00AC4AEA">
        <w:rPr>
          <w:rFonts w:ascii="Arial" w:hAnsi="Arial" w:cs="Arial"/>
          <w:w w:val="105"/>
          <w:sz w:val="20"/>
          <w:szCs w:val="20"/>
        </w:rPr>
        <w:t>establecidas</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en</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materia</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renovación</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del</w:t>
      </w:r>
      <w:r w:rsidR="00D72785" w:rsidRPr="00AC4AEA">
        <w:rPr>
          <w:rFonts w:ascii="Arial" w:hAnsi="Arial" w:cs="Arial"/>
          <w:spacing w:val="-1"/>
          <w:w w:val="105"/>
          <w:sz w:val="20"/>
          <w:szCs w:val="20"/>
        </w:rPr>
        <w:t xml:space="preserve"> </w:t>
      </w:r>
      <w:r w:rsidR="00D72785" w:rsidRPr="00AC4AEA">
        <w:rPr>
          <w:rFonts w:ascii="Arial" w:hAnsi="Arial" w:cs="Arial"/>
          <w:w w:val="105"/>
          <w:sz w:val="20"/>
          <w:szCs w:val="20"/>
        </w:rPr>
        <w:t>contrato,</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opciones</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compra</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y</w:t>
      </w:r>
      <w:r w:rsidR="00D72785" w:rsidRPr="00AC4AEA">
        <w:rPr>
          <w:rFonts w:ascii="Arial" w:hAnsi="Arial" w:cs="Arial"/>
          <w:spacing w:val="-2"/>
          <w:w w:val="105"/>
          <w:sz w:val="20"/>
          <w:szCs w:val="20"/>
        </w:rPr>
        <w:t xml:space="preserve"> </w:t>
      </w:r>
      <w:r w:rsidR="00717DB1" w:rsidRPr="00AC4AEA">
        <w:rPr>
          <w:rFonts w:ascii="Arial" w:hAnsi="Arial" w:cs="Arial"/>
          <w:w w:val="105"/>
          <w:sz w:val="20"/>
          <w:szCs w:val="20"/>
        </w:rPr>
        <w:t>aumento</w:t>
      </w:r>
      <w:r w:rsidR="00835565" w:rsidRPr="00AC4AEA">
        <w:rPr>
          <w:rFonts w:ascii="Arial" w:hAnsi="Arial" w:cs="Arial"/>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precios;</w:t>
      </w:r>
      <w:r w:rsidR="002238C3" w:rsidRPr="00AC4AEA">
        <w:rPr>
          <w:rFonts w:ascii="Arial" w:hAnsi="Arial" w:cs="Arial"/>
          <w:w w:val="105"/>
          <w:sz w:val="20"/>
          <w:szCs w:val="20"/>
        </w:rPr>
        <w:t xml:space="preserve"> y</w:t>
      </w:r>
    </w:p>
    <w:p w:rsidR="00D72785" w:rsidRPr="00AC4AEA" w:rsidRDefault="00376967" w:rsidP="00A318EA">
      <w:pPr>
        <w:pStyle w:val="Prrafodelista"/>
        <w:widowControl w:val="0"/>
        <w:numPr>
          <w:ilvl w:val="0"/>
          <w:numId w:val="156"/>
        </w:numPr>
        <w:tabs>
          <w:tab w:val="left" w:pos="1011"/>
        </w:tabs>
        <w:autoSpaceDE w:val="0"/>
        <w:autoSpaceDN w:val="0"/>
        <w:ind w:left="1985" w:right="210"/>
        <w:contextualSpacing w:val="0"/>
        <w:jc w:val="both"/>
        <w:rPr>
          <w:rFonts w:ascii="Arial" w:hAnsi="Arial" w:cs="Arial"/>
          <w:sz w:val="20"/>
          <w:szCs w:val="20"/>
        </w:rPr>
      </w:pPr>
      <w:r w:rsidRPr="00AC4AEA">
        <w:rPr>
          <w:rFonts w:ascii="Arial" w:hAnsi="Arial" w:cs="Arial"/>
          <w:w w:val="105"/>
          <w:sz w:val="20"/>
          <w:szCs w:val="20"/>
        </w:rPr>
        <w:t>l</w:t>
      </w:r>
      <w:r w:rsidR="00D72785" w:rsidRPr="00AC4AEA">
        <w:rPr>
          <w:rFonts w:ascii="Arial" w:hAnsi="Arial" w:cs="Arial"/>
          <w:w w:val="105"/>
          <w:sz w:val="20"/>
          <w:szCs w:val="20"/>
        </w:rPr>
        <w:t>as</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restricciones</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impuestas</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por</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los</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contratos</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firmados,</w:t>
      </w:r>
      <w:r w:rsidR="00D72785" w:rsidRPr="00AC4AEA">
        <w:rPr>
          <w:rFonts w:ascii="Arial" w:hAnsi="Arial" w:cs="Arial"/>
          <w:spacing w:val="7"/>
          <w:w w:val="105"/>
          <w:sz w:val="20"/>
          <w:szCs w:val="20"/>
        </w:rPr>
        <w:t xml:space="preserve"> </w:t>
      </w:r>
      <w:r w:rsidR="002238C3" w:rsidRPr="00AC4AEA">
        <w:rPr>
          <w:rFonts w:ascii="Arial" w:hAnsi="Arial" w:cs="Arial"/>
          <w:spacing w:val="7"/>
          <w:w w:val="105"/>
          <w:sz w:val="20"/>
          <w:szCs w:val="20"/>
        </w:rPr>
        <w:t xml:space="preserve">tales </w:t>
      </w:r>
      <w:r w:rsidR="00D72785" w:rsidRPr="00AC4AEA">
        <w:rPr>
          <w:rFonts w:ascii="Arial" w:hAnsi="Arial" w:cs="Arial"/>
          <w:w w:val="105"/>
          <w:sz w:val="20"/>
          <w:szCs w:val="20"/>
        </w:rPr>
        <w:t>como</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las</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referidas</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a</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distribución</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7"/>
          <w:w w:val="105"/>
          <w:sz w:val="20"/>
          <w:szCs w:val="20"/>
        </w:rPr>
        <w:t xml:space="preserve"> </w:t>
      </w:r>
      <w:r w:rsidR="00D72785" w:rsidRPr="00AC4AEA">
        <w:rPr>
          <w:rFonts w:ascii="Arial" w:hAnsi="Arial" w:cs="Arial"/>
          <w:w w:val="105"/>
          <w:sz w:val="20"/>
          <w:szCs w:val="20"/>
        </w:rPr>
        <w:t>dividendos,</w:t>
      </w:r>
      <w:r w:rsidR="00D72785" w:rsidRPr="00AC4AEA">
        <w:rPr>
          <w:rFonts w:ascii="Arial" w:hAnsi="Arial" w:cs="Arial"/>
          <w:spacing w:val="-60"/>
          <w:w w:val="105"/>
          <w:sz w:val="20"/>
          <w:szCs w:val="20"/>
        </w:rPr>
        <w:t xml:space="preserve"> </w:t>
      </w:r>
      <w:r w:rsidR="00D72785" w:rsidRPr="00AC4AEA">
        <w:rPr>
          <w:rFonts w:ascii="Arial" w:hAnsi="Arial" w:cs="Arial"/>
          <w:w w:val="105"/>
          <w:sz w:val="20"/>
          <w:szCs w:val="20"/>
        </w:rPr>
        <w:t>endeudamiento,</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nuevos</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contratos</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de</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arrendamiento;</w:t>
      </w:r>
      <w:r w:rsidR="00D72785" w:rsidRPr="00AC4AEA">
        <w:rPr>
          <w:rFonts w:ascii="Arial" w:hAnsi="Arial" w:cs="Arial"/>
          <w:spacing w:val="-2"/>
          <w:w w:val="105"/>
          <w:sz w:val="20"/>
          <w:szCs w:val="20"/>
        </w:rPr>
        <w:t xml:space="preserve"> </w:t>
      </w:r>
      <w:r w:rsidR="00D72785" w:rsidRPr="00AC4AEA">
        <w:rPr>
          <w:rFonts w:ascii="Arial" w:hAnsi="Arial" w:cs="Arial"/>
          <w:w w:val="105"/>
          <w:sz w:val="20"/>
          <w:szCs w:val="20"/>
        </w:rPr>
        <w:t>etc.;</w:t>
      </w:r>
    </w:p>
    <w:p w:rsidR="00D72785" w:rsidRPr="00AC4AEA" w:rsidRDefault="002238C3" w:rsidP="00A318EA">
      <w:pPr>
        <w:pStyle w:val="Prrafodelista"/>
        <w:widowControl w:val="0"/>
        <w:numPr>
          <w:ilvl w:val="0"/>
          <w:numId w:val="155"/>
        </w:numPr>
        <w:tabs>
          <w:tab w:val="left" w:pos="623"/>
        </w:tabs>
        <w:autoSpaceDE w:val="0"/>
        <w:autoSpaceDN w:val="0"/>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 xml:space="preserve">a desagregación por plazo de vencimiento del total de las cuotas mínimas y de su valor actual, distinguiendo los siguientes plazos (contados desde la fecha de </w:t>
      </w:r>
      <w:r w:rsidR="007E020E" w:rsidRPr="00AC4AEA">
        <w:rPr>
          <w:rFonts w:ascii="Arial" w:hAnsi="Arial" w:cs="Arial"/>
          <w:sz w:val="20"/>
          <w:szCs w:val="20"/>
        </w:rPr>
        <w:t>cierre</w:t>
      </w:r>
      <w:r w:rsidR="00D72785" w:rsidRPr="00AC4AEA">
        <w:rPr>
          <w:rFonts w:ascii="Arial" w:hAnsi="Arial" w:cs="Arial"/>
          <w:sz w:val="20"/>
          <w:szCs w:val="20"/>
        </w:rPr>
        <w:t xml:space="preserve"> de los </w:t>
      </w:r>
      <w:r w:rsidR="00135084" w:rsidRPr="00AC4AEA">
        <w:rPr>
          <w:rFonts w:ascii="Arial" w:hAnsi="Arial" w:cs="Arial"/>
          <w:b/>
          <w:bCs/>
          <w:sz w:val="20"/>
          <w:szCs w:val="20"/>
        </w:rPr>
        <w:t>estados contables</w:t>
      </w:r>
      <w:r w:rsidR="00D72785" w:rsidRPr="00AC4AEA">
        <w:rPr>
          <w:rFonts w:ascii="Arial" w:hAnsi="Arial" w:cs="Arial"/>
          <w:sz w:val="20"/>
          <w:szCs w:val="20"/>
        </w:rPr>
        <w:t>):</w:t>
      </w:r>
    </w:p>
    <w:p w:rsidR="00D72785" w:rsidRPr="00AC4AEA" w:rsidRDefault="002238C3" w:rsidP="00A318EA">
      <w:pPr>
        <w:pStyle w:val="Prrafodelista"/>
        <w:widowControl w:val="0"/>
        <w:numPr>
          <w:ilvl w:val="0"/>
          <w:numId w:val="157"/>
        </w:numPr>
        <w:tabs>
          <w:tab w:val="left" w:pos="623"/>
        </w:tabs>
        <w:autoSpaceDE w:val="0"/>
        <w:autoSpaceDN w:val="0"/>
        <w:ind w:left="1985"/>
        <w:contextualSpacing w:val="0"/>
        <w:jc w:val="both"/>
        <w:rPr>
          <w:rFonts w:ascii="Arial" w:hAnsi="Arial" w:cs="Arial"/>
          <w:sz w:val="20"/>
          <w:szCs w:val="20"/>
        </w:rPr>
      </w:pPr>
      <w:r w:rsidRPr="00AC4AEA">
        <w:rPr>
          <w:rFonts w:ascii="Arial" w:hAnsi="Arial" w:cs="Arial"/>
          <w:sz w:val="20"/>
          <w:szCs w:val="20"/>
        </w:rPr>
        <w:t>u</w:t>
      </w:r>
      <w:r w:rsidR="00D72785" w:rsidRPr="00AC4AEA">
        <w:rPr>
          <w:rFonts w:ascii="Arial" w:hAnsi="Arial" w:cs="Arial"/>
          <w:sz w:val="20"/>
          <w:szCs w:val="20"/>
        </w:rPr>
        <w:t>n año o menos;</w:t>
      </w:r>
    </w:p>
    <w:p w:rsidR="00D72785" w:rsidRPr="00AC4AEA" w:rsidRDefault="002238C3" w:rsidP="00A318EA">
      <w:pPr>
        <w:pStyle w:val="Prrafodelista"/>
        <w:widowControl w:val="0"/>
        <w:numPr>
          <w:ilvl w:val="0"/>
          <w:numId w:val="157"/>
        </w:numPr>
        <w:tabs>
          <w:tab w:val="left" w:pos="623"/>
        </w:tabs>
        <w:autoSpaceDE w:val="0"/>
        <w:autoSpaceDN w:val="0"/>
        <w:ind w:left="1985"/>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ntre uno y cinco años;</w:t>
      </w:r>
      <w:r w:rsidRPr="00AC4AEA">
        <w:rPr>
          <w:rFonts w:ascii="Arial" w:hAnsi="Arial" w:cs="Arial"/>
          <w:sz w:val="20"/>
          <w:szCs w:val="20"/>
        </w:rPr>
        <w:t xml:space="preserve"> y</w:t>
      </w:r>
    </w:p>
    <w:p w:rsidR="00D72785" w:rsidRPr="00AC4AEA" w:rsidRDefault="002238C3" w:rsidP="00A318EA">
      <w:pPr>
        <w:pStyle w:val="Prrafodelista"/>
        <w:widowControl w:val="0"/>
        <w:numPr>
          <w:ilvl w:val="0"/>
          <w:numId w:val="157"/>
        </w:numPr>
        <w:tabs>
          <w:tab w:val="left" w:pos="623"/>
        </w:tabs>
        <w:autoSpaceDE w:val="0"/>
        <w:autoSpaceDN w:val="0"/>
        <w:ind w:left="1985"/>
        <w:contextualSpacing w:val="0"/>
        <w:jc w:val="both"/>
        <w:rPr>
          <w:rFonts w:ascii="Arial" w:hAnsi="Arial" w:cs="Arial"/>
          <w:sz w:val="20"/>
          <w:szCs w:val="20"/>
        </w:rPr>
      </w:pPr>
      <w:r w:rsidRPr="00AC4AEA">
        <w:rPr>
          <w:rFonts w:ascii="Arial" w:hAnsi="Arial" w:cs="Arial"/>
          <w:sz w:val="20"/>
          <w:szCs w:val="20"/>
        </w:rPr>
        <w:t>m</w:t>
      </w:r>
      <w:r w:rsidR="00D72785" w:rsidRPr="00AC4AEA">
        <w:rPr>
          <w:rFonts w:ascii="Arial" w:hAnsi="Arial" w:cs="Arial"/>
          <w:sz w:val="20"/>
          <w:szCs w:val="20"/>
        </w:rPr>
        <w:t>ás de cinco años.</w:t>
      </w:r>
    </w:p>
    <w:p w:rsidR="00D72785" w:rsidRPr="00AC4AEA" w:rsidRDefault="002238C3" w:rsidP="00A318EA">
      <w:pPr>
        <w:pStyle w:val="Prrafodelista"/>
        <w:widowControl w:val="0"/>
        <w:numPr>
          <w:ilvl w:val="0"/>
          <w:numId w:val="155"/>
        </w:numPr>
        <w:tabs>
          <w:tab w:val="left" w:pos="567"/>
        </w:tabs>
        <w:autoSpaceDE w:val="0"/>
        <w:autoSpaceDN w:val="0"/>
        <w:ind w:left="1560"/>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l total imputado a resultados en concepto de cuotas contingentes</w:t>
      </w:r>
      <w:r w:rsidRPr="00AC4AEA">
        <w:rPr>
          <w:rFonts w:ascii="Arial" w:hAnsi="Arial" w:cs="Arial"/>
          <w:sz w:val="20"/>
          <w:szCs w:val="20"/>
        </w:rPr>
        <w:t>;</w:t>
      </w:r>
      <w:r w:rsidR="004234FA" w:rsidRPr="00AC4AEA">
        <w:rPr>
          <w:rFonts w:ascii="Arial" w:hAnsi="Arial" w:cs="Arial"/>
          <w:sz w:val="20"/>
          <w:szCs w:val="20"/>
        </w:rPr>
        <w:t xml:space="preserve"> </w:t>
      </w:r>
      <w:r w:rsidR="00AA30F5" w:rsidRPr="00AC4AEA">
        <w:rPr>
          <w:rFonts w:ascii="Arial" w:hAnsi="Arial" w:cs="Arial"/>
          <w:sz w:val="20"/>
          <w:szCs w:val="20"/>
        </w:rPr>
        <w:t>y</w:t>
      </w:r>
    </w:p>
    <w:p w:rsidR="00D72785" w:rsidRPr="00AC4AEA" w:rsidRDefault="002238C3" w:rsidP="00A318EA">
      <w:pPr>
        <w:pStyle w:val="Prrafodelista"/>
        <w:widowControl w:val="0"/>
        <w:numPr>
          <w:ilvl w:val="0"/>
          <w:numId w:val="155"/>
        </w:numPr>
        <w:tabs>
          <w:tab w:val="left" w:pos="567"/>
        </w:tabs>
        <w:autoSpaceDE w:val="0"/>
        <w:autoSpaceDN w:val="0"/>
        <w:ind w:left="1560"/>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l importe de las cuotas mínimas a cobrar por contratos de subarrendamientos no susceptibles de cancelación por los subarrendatarios</w:t>
      </w:r>
      <w:r w:rsidR="00AA30F5" w:rsidRPr="00AC4AEA">
        <w:rPr>
          <w:rFonts w:ascii="Arial" w:hAnsi="Arial" w:cs="Arial"/>
          <w:sz w:val="20"/>
          <w:szCs w:val="20"/>
        </w:rPr>
        <w:t>.</w:t>
      </w:r>
    </w:p>
    <w:p w:rsidR="00AA30F5" w:rsidRPr="00AC4AEA" w:rsidRDefault="00D72785" w:rsidP="00A318EA">
      <w:pPr>
        <w:pStyle w:val="Prrafodelista"/>
        <w:widowControl w:val="0"/>
        <w:numPr>
          <w:ilvl w:val="0"/>
          <w:numId w:val="29"/>
        </w:numPr>
        <w:tabs>
          <w:tab w:val="left" w:pos="567"/>
        </w:tabs>
        <w:autoSpaceDE w:val="0"/>
        <w:autoSpaceDN w:val="0"/>
        <w:contextualSpacing w:val="0"/>
        <w:jc w:val="both"/>
        <w:rPr>
          <w:rFonts w:ascii="Arial" w:hAnsi="Arial" w:cs="Arial"/>
          <w:sz w:val="20"/>
          <w:szCs w:val="20"/>
        </w:rPr>
      </w:pPr>
      <w:bookmarkStart w:id="794" w:name="_Ref103956960"/>
      <w:r w:rsidRPr="00AC4AEA">
        <w:rPr>
          <w:rFonts w:ascii="Arial" w:hAnsi="Arial" w:cs="Arial"/>
          <w:sz w:val="20"/>
          <w:szCs w:val="20"/>
        </w:rPr>
        <w:t>Una entidad que es arrendataria presentará, por sus contratos de arrendamiento financiero,</w:t>
      </w:r>
      <w:r w:rsidR="00AA30F5" w:rsidRPr="00AC4AEA">
        <w:rPr>
          <w:rFonts w:ascii="Arial" w:hAnsi="Arial" w:cs="Arial"/>
          <w:w w:val="105"/>
          <w:sz w:val="20"/>
          <w:szCs w:val="20"/>
        </w:rPr>
        <w:t xml:space="preserve"> una</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conciliación</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entre</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el</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total</w:t>
      </w:r>
      <w:r w:rsidR="00AA30F5" w:rsidRPr="00AC4AEA">
        <w:rPr>
          <w:rFonts w:ascii="Arial" w:hAnsi="Arial" w:cs="Arial"/>
          <w:spacing w:val="28"/>
          <w:w w:val="105"/>
          <w:sz w:val="20"/>
          <w:szCs w:val="20"/>
        </w:rPr>
        <w:t xml:space="preserve"> </w:t>
      </w:r>
      <w:r w:rsidR="00AA30F5" w:rsidRPr="00AC4AEA">
        <w:rPr>
          <w:rFonts w:ascii="Arial" w:hAnsi="Arial" w:cs="Arial"/>
          <w:w w:val="105"/>
          <w:sz w:val="20"/>
          <w:szCs w:val="20"/>
        </w:rPr>
        <w:t>de</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las</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cuotas</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mínimas</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comprometidas</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a</w:t>
      </w:r>
      <w:r w:rsidR="00AA30F5" w:rsidRPr="00AC4AEA">
        <w:rPr>
          <w:rFonts w:ascii="Arial" w:hAnsi="Arial" w:cs="Arial"/>
          <w:spacing w:val="29"/>
          <w:w w:val="105"/>
          <w:sz w:val="20"/>
          <w:szCs w:val="20"/>
        </w:rPr>
        <w:t xml:space="preserve"> </w:t>
      </w:r>
      <w:r w:rsidR="00AA30F5" w:rsidRPr="00AC4AEA">
        <w:rPr>
          <w:rFonts w:ascii="Arial" w:hAnsi="Arial" w:cs="Arial"/>
          <w:w w:val="105"/>
          <w:sz w:val="20"/>
          <w:szCs w:val="20"/>
        </w:rPr>
        <w:t>la</w:t>
      </w:r>
      <w:r w:rsidR="00AA30F5" w:rsidRPr="00AC4AEA">
        <w:rPr>
          <w:rFonts w:ascii="Arial" w:hAnsi="Arial" w:cs="Arial"/>
          <w:spacing w:val="29"/>
          <w:w w:val="105"/>
          <w:sz w:val="20"/>
          <w:szCs w:val="20"/>
        </w:rPr>
        <w:t xml:space="preserve"> </w:t>
      </w:r>
      <w:r w:rsidR="00AA30F5" w:rsidRPr="00AC4AEA">
        <w:rPr>
          <w:rFonts w:ascii="Arial" w:hAnsi="Arial" w:cs="Arial"/>
          <w:b/>
          <w:bCs/>
          <w:w w:val="105"/>
          <w:sz w:val="20"/>
          <w:szCs w:val="20"/>
        </w:rPr>
        <w:t>fecha</w:t>
      </w:r>
      <w:r w:rsidR="00AA30F5" w:rsidRPr="00AC4AEA">
        <w:rPr>
          <w:rFonts w:ascii="Arial" w:hAnsi="Arial" w:cs="Arial"/>
          <w:b/>
          <w:bCs/>
          <w:spacing w:val="28"/>
          <w:w w:val="105"/>
          <w:sz w:val="20"/>
          <w:szCs w:val="20"/>
        </w:rPr>
        <w:t xml:space="preserve"> </w:t>
      </w:r>
      <w:r w:rsidR="00AA30F5" w:rsidRPr="00AC4AEA">
        <w:rPr>
          <w:rFonts w:ascii="Arial" w:hAnsi="Arial" w:cs="Arial"/>
          <w:b/>
          <w:bCs/>
          <w:w w:val="105"/>
          <w:sz w:val="20"/>
          <w:szCs w:val="20"/>
        </w:rPr>
        <w:t>de</w:t>
      </w:r>
      <w:r w:rsidR="00AA30F5" w:rsidRPr="00AC4AEA">
        <w:rPr>
          <w:rFonts w:ascii="Arial" w:hAnsi="Arial" w:cs="Arial"/>
          <w:b/>
          <w:bCs/>
          <w:spacing w:val="29"/>
          <w:w w:val="105"/>
          <w:sz w:val="20"/>
          <w:szCs w:val="20"/>
        </w:rPr>
        <w:t xml:space="preserve"> </w:t>
      </w:r>
      <w:r w:rsidR="00AA30F5" w:rsidRPr="00AC4AEA">
        <w:rPr>
          <w:rFonts w:ascii="Arial" w:hAnsi="Arial" w:cs="Arial"/>
          <w:b/>
          <w:bCs/>
          <w:w w:val="105"/>
          <w:sz w:val="20"/>
          <w:szCs w:val="20"/>
        </w:rPr>
        <w:t>los</w:t>
      </w:r>
      <w:r w:rsidR="00AA30F5" w:rsidRPr="00AC4AEA">
        <w:rPr>
          <w:rFonts w:ascii="Arial" w:hAnsi="Arial" w:cs="Arial"/>
          <w:w w:val="105"/>
          <w:sz w:val="20"/>
          <w:szCs w:val="20"/>
        </w:rPr>
        <w:t xml:space="preserve"> </w:t>
      </w:r>
      <w:r w:rsidR="00AA30F5" w:rsidRPr="00AC4AEA">
        <w:rPr>
          <w:rFonts w:ascii="Arial" w:hAnsi="Arial" w:cs="Arial"/>
          <w:b/>
          <w:bCs/>
          <w:w w:val="105"/>
          <w:sz w:val="20"/>
          <w:szCs w:val="20"/>
        </w:rPr>
        <w:t>estados contables</w:t>
      </w:r>
      <w:r w:rsidR="00AA30F5" w:rsidRPr="00AC4AEA">
        <w:rPr>
          <w:rFonts w:ascii="Arial" w:hAnsi="Arial" w:cs="Arial"/>
          <w:spacing w:val="-1"/>
          <w:w w:val="105"/>
          <w:sz w:val="20"/>
          <w:szCs w:val="20"/>
        </w:rPr>
        <w:t xml:space="preserve"> </w:t>
      </w:r>
      <w:r w:rsidR="00AA30F5" w:rsidRPr="00AC4AEA">
        <w:rPr>
          <w:rFonts w:ascii="Arial" w:hAnsi="Arial" w:cs="Arial"/>
          <w:w w:val="105"/>
          <w:sz w:val="20"/>
          <w:szCs w:val="20"/>
        </w:rPr>
        <w:t>y</w:t>
      </w:r>
      <w:r w:rsidR="00AA30F5" w:rsidRPr="00AC4AEA">
        <w:rPr>
          <w:rFonts w:ascii="Arial" w:hAnsi="Arial" w:cs="Arial"/>
          <w:spacing w:val="-2"/>
          <w:w w:val="105"/>
          <w:sz w:val="20"/>
          <w:szCs w:val="20"/>
        </w:rPr>
        <w:t xml:space="preserve"> </w:t>
      </w:r>
      <w:r w:rsidR="00AA30F5" w:rsidRPr="00AC4AEA">
        <w:rPr>
          <w:rFonts w:ascii="Arial" w:hAnsi="Arial" w:cs="Arial"/>
          <w:w w:val="105"/>
          <w:sz w:val="20"/>
          <w:szCs w:val="20"/>
        </w:rPr>
        <w:t>su</w:t>
      </w:r>
      <w:r w:rsidR="00AA30F5" w:rsidRPr="00AC4AEA">
        <w:rPr>
          <w:rFonts w:ascii="Arial" w:hAnsi="Arial" w:cs="Arial"/>
          <w:spacing w:val="-1"/>
          <w:w w:val="105"/>
          <w:sz w:val="20"/>
          <w:szCs w:val="20"/>
        </w:rPr>
        <w:t xml:space="preserve"> </w:t>
      </w:r>
      <w:r w:rsidR="00AA30F5" w:rsidRPr="00AC4AEA">
        <w:rPr>
          <w:rFonts w:ascii="Arial" w:hAnsi="Arial" w:cs="Arial"/>
          <w:w w:val="105"/>
          <w:sz w:val="20"/>
          <w:szCs w:val="20"/>
        </w:rPr>
        <w:t>valor</w:t>
      </w:r>
      <w:r w:rsidR="00AA30F5" w:rsidRPr="00AC4AEA">
        <w:rPr>
          <w:rFonts w:ascii="Arial" w:hAnsi="Arial" w:cs="Arial"/>
          <w:spacing w:val="-1"/>
          <w:w w:val="105"/>
          <w:sz w:val="20"/>
          <w:szCs w:val="20"/>
        </w:rPr>
        <w:t xml:space="preserve"> </w:t>
      </w:r>
      <w:r w:rsidR="00AA30F5" w:rsidRPr="00AC4AEA">
        <w:rPr>
          <w:rFonts w:ascii="Arial" w:hAnsi="Arial" w:cs="Arial"/>
          <w:w w:val="105"/>
          <w:sz w:val="20"/>
          <w:szCs w:val="20"/>
        </w:rPr>
        <w:t>actual.</w:t>
      </w:r>
      <w:bookmarkEnd w:id="794"/>
    </w:p>
    <w:p w:rsidR="00AA30F5" w:rsidRPr="00AC4AEA" w:rsidRDefault="00AA30F5" w:rsidP="00A318EA">
      <w:pPr>
        <w:pStyle w:val="Textoindependiente"/>
        <w:numPr>
          <w:ilvl w:val="0"/>
          <w:numId w:val="29"/>
        </w:numPr>
        <w:spacing w:before="0"/>
        <w:jc w:val="both"/>
        <w:rPr>
          <w:rFonts w:ascii="Arial" w:hAnsi="Arial" w:cs="Arial"/>
          <w:sz w:val="20"/>
          <w:szCs w:val="20"/>
        </w:rPr>
      </w:pPr>
      <w:bookmarkStart w:id="795" w:name="_Ref99481239"/>
      <w:r w:rsidRPr="00AC4AEA">
        <w:rPr>
          <w:rFonts w:ascii="Arial" w:hAnsi="Arial" w:cs="Arial"/>
          <w:sz w:val="20"/>
          <w:szCs w:val="20"/>
        </w:rPr>
        <w:t xml:space="preserve">Una entidad pequeña o mediana podrá no revelar la información requerida por el inciso b) del párrafo </w:t>
      </w:r>
      <w:fldSimple w:instr=" REF _Ref103957038 \r \h  \* MERGEFORMAT ">
        <w:r w:rsidR="00D33A5D" w:rsidRPr="00D33A5D">
          <w:rPr>
            <w:rFonts w:ascii="Arial" w:hAnsi="Arial" w:cs="Arial"/>
            <w:sz w:val="20"/>
            <w:szCs w:val="20"/>
          </w:rPr>
          <w:t>555</w:t>
        </w:r>
      </w:fldSimple>
      <w:r w:rsidRPr="00AC4AEA">
        <w:rPr>
          <w:rFonts w:ascii="Arial" w:hAnsi="Arial" w:cs="Arial"/>
          <w:sz w:val="20"/>
          <w:szCs w:val="20"/>
        </w:rPr>
        <w:t xml:space="preserve"> y por el párrafo </w:t>
      </w:r>
      <w:fldSimple w:instr=" REF _Ref103956960 \r \h  \* MERGEFORMAT ">
        <w:r w:rsidR="00D33A5D" w:rsidRPr="00D33A5D">
          <w:rPr>
            <w:rFonts w:ascii="Arial" w:hAnsi="Arial" w:cs="Arial"/>
            <w:sz w:val="20"/>
            <w:szCs w:val="20"/>
          </w:rPr>
          <w:t>556</w:t>
        </w:r>
      </w:fldSimple>
      <w:r w:rsidRPr="00AC4AEA">
        <w:rPr>
          <w:rFonts w:ascii="Arial" w:hAnsi="Arial" w:cs="Arial"/>
          <w:sz w:val="20"/>
          <w:szCs w:val="20"/>
        </w:rPr>
        <w:t>.</w:t>
      </w:r>
    </w:p>
    <w:p w:rsidR="00D72785" w:rsidRPr="00AC4AEA" w:rsidRDefault="00D72785" w:rsidP="00A318EA">
      <w:pPr>
        <w:pStyle w:val="Textoindependiente"/>
        <w:numPr>
          <w:ilvl w:val="0"/>
          <w:numId w:val="29"/>
        </w:numPr>
        <w:spacing w:before="0"/>
        <w:jc w:val="both"/>
        <w:rPr>
          <w:rFonts w:ascii="Arial" w:hAnsi="Arial" w:cs="Arial"/>
          <w:sz w:val="20"/>
          <w:szCs w:val="20"/>
        </w:rPr>
      </w:pPr>
      <w:r w:rsidRPr="00AC4AEA">
        <w:rPr>
          <w:rFonts w:ascii="Arial" w:hAnsi="Arial" w:cs="Arial"/>
          <w:sz w:val="20"/>
          <w:szCs w:val="20"/>
        </w:rPr>
        <w:t>Una entidad que es arrendataria presentará, por sus contratos de arrendamiento operativo, los totales imputados al resultado del período en concepto de cuotas mínimas y cuotas por subarrendamientos.</w:t>
      </w:r>
      <w:bookmarkEnd w:id="795"/>
    </w:p>
    <w:p w:rsidR="0076070A" w:rsidRPr="00AC4AEA" w:rsidRDefault="0076070A" w:rsidP="00A318EA">
      <w:pPr>
        <w:pStyle w:val="Textoindependiente"/>
        <w:spacing w:before="0"/>
        <w:jc w:val="both"/>
        <w:rPr>
          <w:rFonts w:ascii="Arial" w:hAnsi="Arial" w:cs="Arial"/>
          <w:sz w:val="20"/>
          <w:szCs w:val="20"/>
        </w:rPr>
      </w:pPr>
    </w:p>
    <w:p w:rsidR="0076070A" w:rsidRPr="00AC4AEA" w:rsidRDefault="0076070A" w:rsidP="00A318EA">
      <w:pPr>
        <w:pStyle w:val="Ttulo2"/>
        <w:rPr>
          <w:rFonts w:cs="Arial"/>
        </w:rPr>
      </w:pPr>
      <w:bookmarkStart w:id="796" w:name="_Toc139356856"/>
      <w:r w:rsidRPr="00AC4AEA">
        <w:rPr>
          <w:rFonts w:cs="Arial"/>
        </w:rPr>
        <w:t>Otras normas aplicables</w:t>
      </w:r>
      <w:bookmarkEnd w:id="796"/>
    </w:p>
    <w:p w:rsidR="0076070A" w:rsidRPr="00AC4AEA" w:rsidRDefault="0076070A" w:rsidP="00A318EA">
      <w:pPr>
        <w:pStyle w:val="Prrafodelista"/>
        <w:numPr>
          <w:ilvl w:val="0"/>
          <w:numId w:val="29"/>
        </w:numPr>
        <w:ind w:left="992"/>
        <w:contextualSpacing w:val="0"/>
        <w:jc w:val="both"/>
        <w:rPr>
          <w:rFonts w:ascii="Arial" w:hAnsi="Arial" w:cs="Arial"/>
          <w:sz w:val="20"/>
          <w:szCs w:val="20"/>
        </w:rPr>
      </w:pPr>
      <w:bookmarkStart w:id="797" w:name="_Ref138943352"/>
      <w:r w:rsidRPr="00AC4AEA">
        <w:rPr>
          <w:rFonts w:ascii="Arial" w:hAnsi="Arial" w:cs="Arial"/>
          <w:sz w:val="20"/>
          <w:szCs w:val="20"/>
        </w:rPr>
        <w:t xml:space="preserve">Para aplicar los requerimientos establecidos en esta sección, una entidad deberá contemplar, en tanto resulten pertinentes y no contradigan lo establecido en esta sección, otras disposiciones de esta Resolución Técnica u </w:t>
      </w:r>
      <w:r w:rsidRPr="00AC4AEA">
        <w:rPr>
          <w:rFonts w:ascii="Arial" w:hAnsi="Arial" w:cs="Arial"/>
          <w:b/>
          <w:bCs/>
          <w:sz w:val="20"/>
          <w:szCs w:val="20"/>
        </w:rPr>
        <w:t>otras normas contables</w:t>
      </w:r>
      <w:r w:rsidRPr="00AC4AEA">
        <w:rPr>
          <w:rFonts w:ascii="Arial" w:hAnsi="Arial" w:cs="Arial"/>
          <w:sz w:val="20"/>
          <w:szCs w:val="20"/>
        </w:rPr>
        <w:t>. Por ejemplo, las referidas a:</w:t>
      </w:r>
      <w:bookmarkEnd w:id="797"/>
      <w:r w:rsidRPr="00AC4AEA">
        <w:rPr>
          <w:rFonts w:ascii="Arial" w:hAnsi="Arial" w:cs="Arial"/>
          <w:sz w:val="20"/>
          <w:szCs w:val="20"/>
        </w:rPr>
        <w:t xml:space="preserve"> </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Cuestiones referidas al estado de resultados</w:t>
      </w:r>
      <w:r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Pr="00AC4AEA">
        <w:rPr>
          <w:rFonts w:ascii="Arial" w:hAnsi="Arial" w:cs="Arial"/>
          <w:sz w:val="20"/>
          <w:szCs w:val="20"/>
        </w:rPr>
        <w:t>].</w:t>
      </w:r>
    </w:p>
    <w:p w:rsidR="00AE7883" w:rsidRPr="00AC4AEA" w:rsidRDefault="00AE7883" w:rsidP="00A318EA">
      <w:pPr>
        <w:pStyle w:val="Ttulo1"/>
        <w:rPr>
          <w:rFonts w:cs="Arial"/>
          <w:sz w:val="20"/>
          <w:szCs w:val="20"/>
        </w:rPr>
      </w:pPr>
      <w:bookmarkStart w:id="798" w:name="subsidios"/>
      <w:bookmarkStart w:id="799" w:name="_Toc101863967"/>
      <w:bookmarkEnd w:id="798"/>
    </w:p>
    <w:p w:rsidR="00D72785" w:rsidRPr="00AC4AEA" w:rsidRDefault="00002197" w:rsidP="00A318EA">
      <w:pPr>
        <w:pStyle w:val="Ttulo1"/>
        <w:rPr>
          <w:rFonts w:cs="Arial"/>
          <w:sz w:val="20"/>
          <w:szCs w:val="20"/>
        </w:rPr>
      </w:pPr>
      <w:bookmarkStart w:id="800" w:name="_Toc139356857"/>
      <w:r w:rsidRPr="00AC4AEA">
        <w:rPr>
          <w:rFonts w:cs="Arial"/>
          <w:sz w:val="20"/>
          <w:szCs w:val="20"/>
        </w:rPr>
        <w:t>SUBSIDIOS Y OTRAS AYUDAS GUBERNAMENTALES</w:t>
      </w:r>
      <w:bookmarkEnd w:id="799"/>
      <w:bookmarkEnd w:id="800"/>
    </w:p>
    <w:p w:rsidR="00D72785" w:rsidRPr="00AC4AEA" w:rsidRDefault="00D72785" w:rsidP="00A318EA">
      <w:pPr>
        <w:pStyle w:val="Ttulo2"/>
        <w:rPr>
          <w:rFonts w:cs="Arial"/>
        </w:rPr>
      </w:pPr>
      <w:bookmarkStart w:id="801" w:name="_Toc101863968"/>
      <w:bookmarkStart w:id="802" w:name="_Toc139356858"/>
      <w:r w:rsidRPr="00AC4AEA">
        <w:rPr>
          <w:rFonts w:cs="Arial"/>
        </w:rPr>
        <w:t>Definiciones</w:t>
      </w:r>
      <w:bookmarkEnd w:id="801"/>
      <w:bookmarkEnd w:id="802"/>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los fines de contabilizar los subsidios del gobierno y otras ayudas gubernamentales, una entidad deberá considerar las siguientes definiciones:</w:t>
      </w:r>
    </w:p>
    <w:p w:rsidR="00D72785" w:rsidRPr="00AC4AEA" w:rsidRDefault="00D72785" w:rsidP="00A318EA">
      <w:pPr>
        <w:pStyle w:val="A-Normal11"/>
        <w:ind w:left="993"/>
        <w:jc w:val="both"/>
        <w:rPr>
          <w:rFonts w:ascii="Arial" w:hAnsi="Arial" w:cs="Arial"/>
          <w:sz w:val="20"/>
        </w:rPr>
      </w:pPr>
      <w:r w:rsidRPr="00AC4AEA">
        <w:rPr>
          <w:rFonts w:ascii="Arial" w:hAnsi="Arial" w:cs="Arial"/>
          <w:sz w:val="20"/>
          <w:u w:val="single"/>
        </w:rPr>
        <w:t>Ayudas gubernamentales</w:t>
      </w:r>
      <w:r w:rsidRPr="00AC4AEA">
        <w:rPr>
          <w:rFonts w:ascii="Arial" w:hAnsi="Arial" w:cs="Arial"/>
          <w:sz w:val="20"/>
        </w:rPr>
        <w:t xml:space="preserve">: </w:t>
      </w:r>
      <w:r w:rsidR="00717DB1" w:rsidRPr="00AC4AEA">
        <w:rPr>
          <w:rFonts w:ascii="Arial" w:hAnsi="Arial" w:cs="Arial"/>
          <w:sz w:val="20"/>
        </w:rPr>
        <w:t>A</w:t>
      </w:r>
      <w:r w:rsidRPr="00AC4AEA">
        <w:rPr>
          <w:rFonts w:ascii="Arial" w:hAnsi="Arial" w:cs="Arial"/>
          <w:sz w:val="20"/>
        </w:rPr>
        <w:t>cciones realizadas por el sector público con el objeto de suministrar beneficios económicos específicos a una entidad o tipo de entidades, seleccionadas bajo ciertos criterios.</w:t>
      </w:r>
    </w:p>
    <w:p w:rsidR="00D72785" w:rsidRPr="00AC4AEA" w:rsidRDefault="00D72785" w:rsidP="00A318EA">
      <w:pPr>
        <w:pStyle w:val="A-Normal11"/>
        <w:ind w:left="993"/>
        <w:jc w:val="both"/>
        <w:rPr>
          <w:rFonts w:ascii="Arial" w:hAnsi="Arial" w:cs="Arial"/>
          <w:sz w:val="20"/>
        </w:rPr>
      </w:pPr>
      <w:r w:rsidRPr="00AC4AEA">
        <w:rPr>
          <w:rFonts w:ascii="Arial" w:hAnsi="Arial" w:cs="Arial"/>
          <w:sz w:val="20"/>
          <w:u w:val="single"/>
        </w:rPr>
        <w:t>Préstamos</w:t>
      </w:r>
      <w:r w:rsidR="002238C3" w:rsidRPr="00AC4AEA">
        <w:rPr>
          <w:rFonts w:ascii="Arial" w:hAnsi="Arial" w:cs="Arial"/>
          <w:sz w:val="20"/>
          <w:u w:val="single"/>
        </w:rPr>
        <w:t xml:space="preserve"> </w:t>
      </w:r>
      <w:r w:rsidR="00106CDD" w:rsidRPr="00AC4AEA">
        <w:rPr>
          <w:rFonts w:ascii="Arial" w:hAnsi="Arial" w:cs="Arial"/>
          <w:sz w:val="20"/>
          <w:u w:val="single"/>
        </w:rPr>
        <w:t>con cláusula de condonación</w:t>
      </w:r>
      <w:r w:rsidRPr="00AC4AEA">
        <w:rPr>
          <w:rFonts w:ascii="Arial" w:hAnsi="Arial" w:cs="Arial"/>
          <w:sz w:val="20"/>
        </w:rPr>
        <w:t>:</w:t>
      </w:r>
      <w:r w:rsidRPr="00AC4AEA">
        <w:rPr>
          <w:rFonts w:ascii="Arial" w:hAnsi="Arial" w:cs="Arial"/>
          <w:b/>
          <w:bCs/>
          <w:sz w:val="20"/>
        </w:rPr>
        <w:t xml:space="preserve"> </w:t>
      </w:r>
      <w:r w:rsidR="00717DB1" w:rsidRPr="00AC4AEA">
        <w:rPr>
          <w:rFonts w:ascii="Arial" w:hAnsi="Arial" w:cs="Arial"/>
          <w:sz w:val="20"/>
        </w:rPr>
        <w:t>P</w:t>
      </w:r>
      <w:r w:rsidR="009A6759" w:rsidRPr="00AC4AEA">
        <w:rPr>
          <w:rFonts w:ascii="Arial" w:hAnsi="Arial" w:cs="Arial"/>
          <w:sz w:val="20"/>
        </w:rPr>
        <w:t>réstamos</w:t>
      </w:r>
      <w:r w:rsidRPr="00AC4AEA">
        <w:rPr>
          <w:rFonts w:ascii="Arial" w:hAnsi="Arial" w:cs="Arial"/>
          <w:sz w:val="20"/>
        </w:rPr>
        <w:t xml:space="preserve"> </w:t>
      </w:r>
      <w:r w:rsidR="00FF3762" w:rsidRPr="00AC4AEA">
        <w:rPr>
          <w:rFonts w:ascii="Arial" w:hAnsi="Arial" w:cs="Arial"/>
          <w:sz w:val="20"/>
        </w:rPr>
        <w:t xml:space="preserve">en los </w:t>
      </w:r>
      <w:r w:rsidR="00C00C99" w:rsidRPr="00AC4AEA">
        <w:rPr>
          <w:rFonts w:ascii="Arial" w:hAnsi="Arial" w:cs="Arial"/>
          <w:sz w:val="20"/>
        </w:rPr>
        <w:t xml:space="preserve">cuales </w:t>
      </w:r>
      <w:r w:rsidRPr="00AC4AEA">
        <w:rPr>
          <w:rFonts w:ascii="Arial" w:hAnsi="Arial" w:cs="Arial"/>
          <w:sz w:val="20"/>
        </w:rPr>
        <w:t>el prestamista se compromete a renunciar a</w:t>
      </w:r>
      <w:r w:rsidR="009A6759" w:rsidRPr="00AC4AEA">
        <w:rPr>
          <w:rFonts w:ascii="Arial" w:hAnsi="Arial" w:cs="Arial"/>
          <w:sz w:val="20"/>
        </w:rPr>
        <w:t xml:space="preserve"> su</w:t>
      </w:r>
      <w:r w:rsidRPr="00AC4AEA">
        <w:rPr>
          <w:rFonts w:ascii="Arial" w:hAnsi="Arial" w:cs="Arial"/>
          <w:sz w:val="20"/>
        </w:rPr>
        <w:t xml:space="preserve"> reembolso, bajo ciertas condiciones establecidas.</w:t>
      </w:r>
    </w:p>
    <w:p w:rsidR="009A6759" w:rsidRPr="00AC4AEA" w:rsidRDefault="00D72785" w:rsidP="00A318EA">
      <w:pPr>
        <w:pStyle w:val="A-Normal11"/>
        <w:ind w:left="993"/>
        <w:jc w:val="both"/>
        <w:rPr>
          <w:rFonts w:ascii="Arial" w:hAnsi="Arial" w:cs="Arial"/>
          <w:sz w:val="20"/>
        </w:rPr>
      </w:pPr>
      <w:r w:rsidRPr="00AC4AEA">
        <w:rPr>
          <w:rFonts w:ascii="Arial" w:hAnsi="Arial" w:cs="Arial"/>
          <w:sz w:val="20"/>
          <w:u w:val="single"/>
        </w:rPr>
        <w:t>Sub</w:t>
      </w:r>
      <w:r w:rsidR="00AA30F5" w:rsidRPr="00AC4AEA">
        <w:rPr>
          <w:rFonts w:ascii="Arial" w:hAnsi="Arial" w:cs="Arial"/>
          <w:sz w:val="20"/>
          <w:u w:val="single"/>
        </w:rPr>
        <w:t>sidios</w:t>
      </w:r>
      <w:r w:rsidRPr="00AC4AEA">
        <w:rPr>
          <w:rFonts w:ascii="Arial" w:hAnsi="Arial" w:cs="Arial"/>
          <w:sz w:val="20"/>
          <w:u w:val="single"/>
        </w:rPr>
        <w:t xml:space="preserve"> </w:t>
      </w:r>
      <w:r w:rsidR="00AA30F5" w:rsidRPr="00AC4AEA">
        <w:rPr>
          <w:rFonts w:ascii="Arial" w:hAnsi="Arial" w:cs="Arial"/>
          <w:sz w:val="20"/>
          <w:u w:val="single"/>
        </w:rPr>
        <w:t>gubernamentales</w:t>
      </w:r>
      <w:r w:rsidRPr="00AC4AEA">
        <w:rPr>
          <w:rFonts w:ascii="Arial" w:hAnsi="Arial" w:cs="Arial"/>
          <w:sz w:val="20"/>
        </w:rPr>
        <w:t xml:space="preserve">: </w:t>
      </w:r>
      <w:r w:rsidR="00717DB1" w:rsidRPr="00AC4AEA">
        <w:rPr>
          <w:rFonts w:ascii="Arial" w:hAnsi="Arial" w:cs="Arial"/>
          <w:sz w:val="20"/>
        </w:rPr>
        <w:t>A</w:t>
      </w:r>
      <w:r w:rsidRPr="00AC4AEA">
        <w:rPr>
          <w:rFonts w:ascii="Arial" w:hAnsi="Arial" w:cs="Arial"/>
          <w:sz w:val="20"/>
        </w:rPr>
        <w:t xml:space="preserve">yudas gubernamentales en forma de transferencias de recursos a una entidad a cambio del cumplimiento pasado o futuro de ciertas condiciones relacionadas con las actividades de operación de la entidad. </w:t>
      </w:r>
    </w:p>
    <w:p w:rsidR="009A6759" w:rsidRPr="00AC4AEA" w:rsidRDefault="009A6759" w:rsidP="00A318EA">
      <w:pPr>
        <w:pStyle w:val="A-Normal11"/>
        <w:ind w:left="993"/>
        <w:jc w:val="both"/>
        <w:rPr>
          <w:rFonts w:ascii="Arial" w:hAnsi="Arial" w:cs="Arial"/>
          <w:sz w:val="20"/>
        </w:rPr>
      </w:pPr>
      <w:r w:rsidRPr="00AC4AEA">
        <w:rPr>
          <w:rFonts w:ascii="Arial" w:hAnsi="Arial" w:cs="Arial"/>
          <w:sz w:val="20"/>
        </w:rPr>
        <w:t>L</w:t>
      </w:r>
      <w:r w:rsidR="00AA30F5" w:rsidRPr="00AC4AEA">
        <w:rPr>
          <w:rFonts w:ascii="Arial" w:hAnsi="Arial" w:cs="Arial"/>
          <w:sz w:val="20"/>
        </w:rPr>
        <w:t>o</w:t>
      </w:r>
      <w:r w:rsidRPr="00AC4AEA">
        <w:rPr>
          <w:rFonts w:ascii="Arial" w:hAnsi="Arial" w:cs="Arial"/>
          <w:sz w:val="20"/>
        </w:rPr>
        <w:t>s s</w:t>
      </w:r>
      <w:r w:rsidR="00AA30F5" w:rsidRPr="00AC4AEA">
        <w:rPr>
          <w:rFonts w:ascii="Arial" w:hAnsi="Arial" w:cs="Arial"/>
          <w:sz w:val="20"/>
        </w:rPr>
        <w:t>ubsidio</w:t>
      </w:r>
      <w:r w:rsidRPr="00AC4AEA">
        <w:rPr>
          <w:rFonts w:ascii="Arial" w:hAnsi="Arial" w:cs="Arial"/>
          <w:sz w:val="20"/>
        </w:rPr>
        <w:t xml:space="preserve">s </w:t>
      </w:r>
      <w:r w:rsidR="00AA30F5" w:rsidRPr="00AC4AEA">
        <w:rPr>
          <w:rFonts w:ascii="Arial" w:hAnsi="Arial" w:cs="Arial"/>
          <w:sz w:val="20"/>
        </w:rPr>
        <w:t>gubernamentales</w:t>
      </w:r>
      <w:r w:rsidRPr="00AC4AEA">
        <w:rPr>
          <w:rFonts w:ascii="Arial" w:hAnsi="Arial" w:cs="Arial"/>
          <w:sz w:val="20"/>
        </w:rPr>
        <w:t xml:space="preserve"> excluyen:</w:t>
      </w:r>
    </w:p>
    <w:p w:rsidR="009A6759" w:rsidRPr="00AC4AEA" w:rsidRDefault="00491F0D" w:rsidP="00A318EA">
      <w:pPr>
        <w:pStyle w:val="A-Normal11"/>
        <w:numPr>
          <w:ilvl w:val="0"/>
          <w:numId w:val="158"/>
        </w:numPr>
        <w:ind w:left="1560"/>
        <w:jc w:val="both"/>
        <w:rPr>
          <w:rFonts w:ascii="Arial" w:hAnsi="Arial" w:cs="Arial"/>
          <w:sz w:val="20"/>
        </w:rPr>
      </w:pPr>
      <w:r w:rsidRPr="00AC4AEA">
        <w:rPr>
          <w:rFonts w:ascii="Arial" w:hAnsi="Arial" w:cs="Arial"/>
          <w:sz w:val="20"/>
        </w:rPr>
        <w:t>f</w:t>
      </w:r>
      <w:r w:rsidR="00D72785" w:rsidRPr="00AC4AEA">
        <w:rPr>
          <w:rFonts w:ascii="Arial" w:hAnsi="Arial" w:cs="Arial"/>
          <w:sz w:val="20"/>
        </w:rPr>
        <w:t>ormas de ayuda gubernamental a las que no cabe razonablemente asignar un valor</w:t>
      </w:r>
      <w:r w:rsidR="002238C3" w:rsidRPr="00AC4AEA">
        <w:rPr>
          <w:rFonts w:ascii="Arial" w:hAnsi="Arial" w:cs="Arial"/>
          <w:sz w:val="20"/>
        </w:rPr>
        <w:t xml:space="preserve">; </w:t>
      </w:r>
      <w:r w:rsidR="00FF3762" w:rsidRPr="00AC4AEA">
        <w:rPr>
          <w:rFonts w:ascii="Arial" w:hAnsi="Arial" w:cs="Arial"/>
          <w:sz w:val="20"/>
        </w:rPr>
        <w:t>y</w:t>
      </w:r>
    </w:p>
    <w:p w:rsidR="00D72785" w:rsidRPr="00AC4AEA" w:rsidRDefault="00491F0D" w:rsidP="00A318EA">
      <w:pPr>
        <w:pStyle w:val="A-Normal11"/>
        <w:numPr>
          <w:ilvl w:val="0"/>
          <w:numId w:val="158"/>
        </w:numPr>
        <w:ind w:left="1560"/>
        <w:jc w:val="both"/>
        <w:rPr>
          <w:rFonts w:ascii="Arial" w:hAnsi="Arial" w:cs="Arial"/>
          <w:sz w:val="20"/>
        </w:rPr>
      </w:pPr>
      <w:r w:rsidRPr="00AC4AEA">
        <w:rPr>
          <w:rFonts w:ascii="Arial" w:hAnsi="Arial" w:cs="Arial"/>
          <w:sz w:val="20"/>
        </w:rPr>
        <w:t>t</w:t>
      </w:r>
      <w:r w:rsidR="00D72785" w:rsidRPr="00AC4AEA">
        <w:rPr>
          <w:rFonts w:ascii="Arial" w:hAnsi="Arial" w:cs="Arial"/>
          <w:sz w:val="20"/>
        </w:rPr>
        <w:t>ransacciones con el gobierno que no pueden distinguirse de las demás operaciones normales de la entidad.</w:t>
      </w:r>
    </w:p>
    <w:p w:rsidR="00D72785" w:rsidRPr="00AC4AEA" w:rsidRDefault="00D72785" w:rsidP="00A318EA">
      <w:pPr>
        <w:jc w:val="both"/>
        <w:rPr>
          <w:rFonts w:ascii="Arial" w:hAnsi="Arial" w:cs="Arial"/>
          <w:b/>
          <w:bCs/>
          <w:sz w:val="20"/>
          <w:szCs w:val="20"/>
        </w:rPr>
      </w:pPr>
    </w:p>
    <w:p w:rsidR="00D72785" w:rsidRPr="00AC4AEA" w:rsidRDefault="00D72785" w:rsidP="00A318EA">
      <w:pPr>
        <w:pStyle w:val="Ttulo2"/>
        <w:rPr>
          <w:rFonts w:cs="Arial"/>
        </w:rPr>
      </w:pPr>
      <w:bookmarkStart w:id="803" w:name="_Toc101863969"/>
      <w:bookmarkStart w:id="804" w:name="_Toc139356859"/>
      <w:r w:rsidRPr="00AC4AEA">
        <w:rPr>
          <w:rFonts w:cs="Arial"/>
        </w:rPr>
        <w:t>Reconocimiento</w:t>
      </w:r>
      <w:bookmarkEnd w:id="803"/>
      <w:bookmarkEnd w:id="804"/>
    </w:p>
    <w:p w:rsidR="00D72785" w:rsidRPr="00AC4AEA" w:rsidRDefault="0075270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un resultado </w:t>
      </w:r>
      <w:r w:rsidR="00E528FB" w:rsidRPr="00AC4AEA">
        <w:rPr>
          <w:rFonts w:ascii="Arial" w:hAnsi="Arial" w:cs="Arial"/>
          <w:sz w:val="20"/>
          <w:szCs w:val="20"/>
        </w:rPr>
        <w:t xml:space="preserve">procedente de </w:t>
      </w:r>
      <w:r w:rsidRPr="00AC4AEA">
        <w:rPr>
          <w:rFonts w:ascii="Arial" w:hAnsi="Arial" w:cs="Arial"/>
          <w:sz w:val="20"/>
          <w:szCs w:val="20"/>
        </w:rPr>
        <w:t>un subsidio</w:t>
      </w:r>
      <w:r w:rsidR="00AA30F5" w:rsidRPr="00AC4AEA">
        <w:rPr>
          <w:rFonts w:ascii="Arial" w:hAnsi="Arial" w:cs="Arial"/>
          <w:sz w:val="20"/>
          <w:szCs w:val="20"/>
        </w:rPr>
        <w:t xml:space="preserve"> gubernamental</w:t>
      </w:r>
      <w:r w:rsidRPr="00AC4AEA">
        <w:rPr>
          <w:rFonts w:ascii="Arial" w:hAnsi="Arial" w:cs="Arial"/>
          <w:sz w:val="20"/>
          <w:szCs w:val="20"/>
        </w:rPr>
        <w:t xml:space="preserve"> no sujeto a</w:t>
      </w:r>
      <w:r w:rsidR="00E528FB" w:rsidRPr="00AC4AEA">
        <w:rPr>
          <w:rFonts w:ascii="Arial" w:hAnsi="Arial" w:cs="Arial"/>
          <w:sz w:val="20"/>
          <w:szCs w:val="20"/>
        </w:rPr>
        <w:t>l</w:t>
      </w:r>
      <w:r w:rsidRPr="00AC4AEA">
        <w:rPr>
          <w:rFonts w:ascii="Arial" w:hAnsi="Arial" w:cs="Arial"/>
          <w:sz w:val="20"/>
          <w:szCs w:val="20"/>
        </w:rPr>
        <w:t xml:space="preserve"> </w:t>
      </w:r>
      <w:r w:rsidR="00E528FB" w:rsidRPr="00AC4AEA">
        <w:rPr>
          <w:rFonts w:ascii="Arial" w:hAnsi="Arial" w:cs="Arial"/>
          <w:sz w:val="20"/>
          <w:szCs w:val="20"/>
        </w:rPr>
        <w:t xml:space="preserve">cumplimiento de </w:t>
      </w:r>
      <w:r w:rsidRPr="00AC4AEA">
        <w:rPr>
          <w:rFonts w:ascii="Arial" w:hAnsi="Arial" w:cs="Arial"/>
          <w:sz w:val="20"/>
          <w:szCs w:val="20"/>
        </w:rPr>
        <w:t>condiciones</w:t>
      </w:r>
      <w:r w:rsidR="00E528FB" w:rsidRPr="00AC4AEA">
        <w:rPr>
          <w:rFonts w:ascii="Arial" w:hAnsi="Arial" w:cs="Arial"/>
          <w:sz w:val="20"/>
          <w:szCs w:val="20"/>
        </w:rPr>
        <w:t xml:space="preserve"> futuras</w:t>
      </w:r>
      <w:r w:rsidRPr="00AC4AEA">
        <w:rPr>
          <w:rFonts w:ascii="Arial" w:hAnsi="Arial" w:cs="Arial"/>
          <w:sz w:val="20"/>
          <w:szCs w:val="20"/>
        </w:rPr>
        <w:t xml:space="preserve"> cuando:</w:t>
      </w:r>
    </w:p>
    <w:p w:rsidR="00752707" w:rsidRPr="00AC4AEA" w:rsidRDefault="00E528FB" w:rsidP="00A318EA">
      <w:pPr>
        <w:pStyle w:val="A-Normal11"/>
        <w:numPr>
          <w:ilvl w:val="0"/>
          <w:numId w:val="426"/>
        </w:numPr>
        <w:ind w:left="1560"/>
        <w:jc w:val="both"/>
        <w:rPr>
          <w:rFonts w:ascii="Arial" w:hAnsi="Arial" w:cs="Arial"/>
          <w:sz w:val="20"/>
        </w:rPr>
      </w:pPr>
      <w:r w:rsidRPr="00AC4AEA">
        <w:rPr>
          <w:rFonts w:ascii="Arial" w:hAnsi="Arial" w:cs="Arial"/>
          <w:sz w:val="20"/>
        </w:rPr>
        <w:lastRenderedPageBreak/>
        <w:t>haya sido</w:t>
      </w:r>
      <w:r w:rsidR="00752707" w:rsidRPr="00AC4AEA">
        <w:rPr>
          <w:rFonts w:ascii="Arial" w:hAnsi="Arial" w:cs="Arial"/>
          <w:sz w:val="20"/>
        </w:rPr>
        <w:t xml:space="preserve"> </w:t>
      </w:r>
      <w:r w:rsidR="00AA30F5" w:rsidRPr="00AC4AEA">
        <w:rPr>
          <w:rFonts w:ascii="Arial" w:hAnsi="Arial" w:cs="Arial"/>
          <w:sz w:val="20"/>
        </w:rPr>
        <w:t>reci</w:t>
      </w:r>
      <w:r w:rsidRPr="00AC4AEA">
        <w:rPr>
          <w:rFonts w:ascii="Arial" w:hAnsi="Arial" w:cs="Arial"/>
          <w:sz w:val="20"/>
        </w:rPr>
        <w:t>bido; o</w:t>
      </w:r>
    </w:p>
    <w:p w:rsidR="00752707" w:rsidRPr="00AC4AEA" w:rsidRDefault="00752707" w:rsidP="00A318EA">
      <w:pPr>
        <w:pStyle w:val="A-Normal11"/>
        <w:numPr>
          <w:ilvl w:val="0"/>
          <w:numId w:val="426"/>
        </w:numPr>
        <w:ind w:left="1560"/>
        <w:jc w:val="both"/>
        <w:rPr>
          <w:rFonts w:ascii="Arial" w:hAnsi="Arial" w:cs="Arial"/>
          <w:sz w:val="20"/>
        </w:rPr>
      </w:pPr>
      <w:r w:rsidRPr="00AC4AEA">
        <w:rPr>
          <w:rFonts w:ascii="Arial" w:hAnsi="Arial" w:cs="Arial"/>
          <w:sz w:val="20"/>
        </w:rPr>
        <w:t>su r</w:t>
      </w:r>
      <w:r w:rsidR="00AA30F5" w:rsidRPr="00AC4AEA">
        <w:rPr>
          <w:rFonts w:ascii="Arial" w:hAnsi="Arial" w:cs="Arial"/>
          <w:sz w:val="20"/>
        </w:rPr>
        <w:t>e</w:t>
      </w:r>
      <w:r w:rsidRPr="00AC4AEA">
        <w:rPr>
          <w:rFonts w:ascii="Arial" w:hAnsi="Arial" w:cs="Arial"/>
          <w:sz w:val="20"/>
        </w:rPr>
        <w:t xml:space="preserve">cepción sea </w:t>
      </w:r>
      <w:r w:rsidRPr="00181A70">
        <w:rPr>
          <w:rFonts w:ascii="Arial" w:hAnsi="Arial" w:cs="Arial"/>
          <w:b/>
          <w:bCs/>
          <w:sz w:val="20"/>
        </w:rPr>
        <w:t>probable</w:t>
      </w:r>
      <w:r w:rsidRPr="00AC4AEA">
        <w:rPr>
          <w:rFonts w:ascii="Arial" w:hAnsi="Arial" w:cs="Arial"/>
          <w:sz w:val="20"/>
        </w:rPr>
        <w:t>.</w:t>
      </w:r>
    </w:p>
    <w:p w:rsidR="001A2717" w:rsidRPr="00AC4AEA" w:rsidRDefault="001A271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Si el subsidio gubernamental está sujeto al cumplimiento de condiciones futuras, una entidad reconocerá:</w:t>
      </w:r>
    </w:p>
    <w:p w:rsidR="001A2717" w:rsidRPr="00AC4AEA" w:rsidRDefault="001A2717" w:rsidP="00A318EA">
      <w:pPr>
        <w:pStyle w:val="A-Normal11"/>
        <w:numPr>
          <w:ilvl w:val="0"/>
          <w:numId w:val="427"/>
        </w:numPr>
        <w:ind w:left="1560"/>
        <w:jc w:val="both"/>
        <w:rPr>
          <w:rFonts w:ascii="Arial" w:hAnsi="Arial" w:cs="Arial"/>
          <w:sz w:val="20"/>
        </w:rPr>
      </w:pPr>
      <w:r w:rsidRPr="00AC4AEA">
        <w:rPr>
          <w:rFonts w:ascii="Arial" w:hAnsi="Arial" w:cs="Arial"/>
          <w:sz w:val="20"/>
        </w:rPr>
        <w:t xml:space="preserve">Un </w:t>
      </w:r>
      <w:r w:rsidRPr="00AC4AEA">
        <w:rPr>
          <w:rFonts w:ascii="Arial" w:hAnsi="Arial" w:cs="Arial"/>
          <w:b/>
          <w:bCs/>
          <w:sz w:val="20"/>
        </w:rPr>
        <w:t xml:space="preserve">pasivo </w:t>
      </w:r>
      <w:r w:rsidRPr="00AC4AEA">
        <w:rPr>
          <w:rFonts w:ascii="Arial" w:hAnsi="Arial" w:cs="Arial"/>
          <w:sz w:val="20"/>
        </w:rPr>
        <w:t>hasta que satisfaga los requisitos establecidos en el inciso siguiente.</w:t>
      </w:r>
    </w:p>
    <w:p w:rsidR="00752707" w:rsidRPr="00AC4AEA" w:rsidRDefault="001A2717" w:rsidP="00A318EA">
      <w:pPr>
        <w:pStyle w:val="A-Normal11"/>
        <w:numPr>
          <w:ilvl w:val="0"/>
          <w:numId w:val="427"/>
        </w:numPr>
        <w:ind w:left="1560"/>
        <w:jc w:val="both"/>
        <w:rPr>
          <w:rFonts w:ascii="Arial" w:hAnsi="Arial" w:cs="Arial"/>
          <w:sz w:val="20"/>
        </w:rPr>
      </w:pPr>
      <w:r w:rsidRPr="00AC4AEA">
        <w:rPr>
          <w:rFonts w:ascii="Arial" w:hAnsi="Arial" w:cs="Arial"/>
          <w:sz w:val="20"/>
        </w:rPr>
        <w:t>U</w:t>
      </w:r>
      <w:r w:rsidR="00752707" w:rsidRPr="00AC4AEA">
        <w:rPr>
          <w:rFonts w:ascii="Arial" w:hAnsi="Arial" w:cs="Arial"/>
          <w:sz w:val="20"/>
        </w:rPr>
        <w:t xml:space="preserve">n resultado </w:t>
      </w:r>
      <w:r w:rsidRPr="00AC4AEA">
        <w:rPr>
          <w:rFonts w:ascii="Arial" w:hAnsi="Arial" w:cs="Arial"/>
          <w:sz w:val="20"/>
        </w:rPr>
        <w:t>desde el momento en que</w:t>
      </w:r>
      <w:r w:rsidR="00752707" w:rsidRPr="00AC4AEA">
        <w:rPr>
          <w:rFonts w:ascii="Arial" w:hAnsi="Arial" w:cs="Arial"/>
          <w:sz w:val="20"/>
        </w:rPr>
        <w:t>:</w:t>
      </w:r>
    </w:p>
    <w:p w:rsidR="00752707" w:rsidRPr="00AC4AEA" w:rsidRDefault="00752707" w:rsidP="00A318EA">
      <w:pPr>
        <w:pStyle w:val="Prrafodelista"/>
        <w:widowControl w:val="0"/>
        <w:numPr>
          <w:ilvl w:val="0"/>
          <w:numId w:val="428"/>
        </w:numPr>
        <w:tabs>
          <w:tab w:val="left" w:pos="623"/>
        </w:tabs>
        <w:autoSpaceDE w:val="0"/>
        <w:autoSpaceDN w:val="0"/>
        <w:ind w:left="1985"/>
        <w:contextualSpacing w:val="0"/>
        <w:jc w:val="both"/>
        <w:rPr>
          <w:rFonts w:ascii="Arial" w:hAnsi="Arial" w:cs="Arial"/>
          <w:sz w:val="20"/>
          <w:szCs w:val="20"/>
        </w:rPr>
      </w:pPr>
      <w:r w:rsidRPr="00AC4AEA">
        <w:rPr>
          <w:rFonts w:ascii="Arial" w:hAnsi="Arial" w:cs="Arial"/>
          <w:sz w:val="20"/>
          <w:szCs w:val="20"/>
        </w:rPr>
        <w:t>cumpla los requisitos exigidos; y</w:t>
      </w:r>
    </w:p>
    <w:p w:rsidR="00E528FB" w:rsidRPr="00AC4AEA" w:rsidRDefault="00752707" w:rsidP="00A318EA">
      <w:pPr>
        <w:pStyle w:val="Prrafodelista"/>
        <w:widowControl w:val="0"/>
        <w:numPr>
          <w:ilvl w:val="0"/>
          <w:numId w:val="428"/>
        </w:numPr>
        <w:tabs>
          <w:tab w:val="left" w:pos="623"/>
        </w:tabs>
        <w:autoSpaceDE w:val="0"/>
        <w:autoSpaceDN w:val="0"/>
        <w:ind w:left="1985"/>
        <w:contextualSpacing w:val="0"/>
        <w:jc w:val="both"/>
        <w:rPr>
          <w:rFonts w:ascii="Arial" w:hAnsi="Arial" w:cs="Arial"/>
          <w:sz w:val="20"/>
          <w:szCs w:val="20"/>
        </w:rPr>
      </w:pPr>
      <w:r w:rsidRPr="00AC4AEA">
        <w:rPr>
          <w:rFonts w:ascii="Arial" w:hAnsi="Arial" w:cs="Arial"/>
          <w:sz w:val="20"/>
          <w:szCs w:val="20"/>
        </w:rPr>
        <w:t xml:space="preserve">su </w:t>
      </w:r>
      <w:r w:rsidR="00AA30F5" w:rsidRPr="00AC4AEA">
        <w:rPr>
          <w:rFonts w:ascii="Arial" w:hAnsi="Arial" w:cs="Arial"/>
          <w:sz w:val="20"/>
          <w:szCs w:val="20"/>
        </w:rPr>
        <w:t>recepción</w:t>
      </w:r>
      <w:r w:rsidR="00E528FB" w:rsidRPr="00AC4AEA">
        <w:rPr>
          <w:rFonts w:ascii="Arial" w:hAnsi="Arial" w:cs="Arial"/>
          <w:sz w:val="20"/>
          <w:szCs w:val="20"/>
        </w:rPr>
        <w:t>:</w:t>
      </w:r>
    </w:p>
    <w:p w:rsidR="00E528FB" w:rsidRPr="00AC4AEA" w:rsidRDefault="00E528FB" w:rsidP="00A318EA">
      <w:pPr>
        <w:pStyle w:val="Prrafodelista"/>
        <w:numPr>
          <w:ilvl w:val="3"/>
          <w:numId w:val="29"/>
        </w:numPr>
        <w:contextualSpacing w:val="0"/>
        <w:jc w:val="both"/>
        <w:rPr>
          <w:rFonts w:ascii="Arial" w:hAnsi="Arial" w:cs="Arial"/>
          <w:sz w:val="20"/>
          <w:szCs w:val="20"/>
        </w:rPr>
      </w:pPr>
      <w:r w:rsidRPr="00AC4AEA">
        <w:rPr>
          <w:rFonts w:ascii="Arial" w:hAnsi="Arial" w:cs="Arial"/>
          <w:sz w:val="20"/>
          <w:szCs w:val="20"/>
        </w:rPr>
        <w:t>haya ocurrido; o</w:t>
      </w:r>
    </w:p>
    <w:p w:rsidR="00752707" w:rsidRPr="00AC4AEA" w:rsidRDefault="00E528FB" w:rsidP="00A318EA">
      <w:pPr>
        <w:pStyle w:val="Prrafodelista"/>
        <w:numPr>
          <w:ilvl w:val="3"/>
          <w:numId w:val="29"/>
        </w:numPr>
        <w:contextualSpacing w:val="0"/>
        <w:jc w:val="both"/>
        <w:rPr>
          <w:rFonts w:ascii="Arial" w:hAnsi="Arial" w:cs="Arial"/>
          <w:sz w:val="20"/>
          <w:szCs w:val="20"/>
        </w:rPr>
      </w:pPr>
      <w:r w:rsidRPr="00AC4AEA">
        <w:rPr>
          <w:rFonts w:ascii="Arial" w:hAnsi="Arial" w:cs="Arial"/>
          <w:sz w:val="20"/>
          <w:szCs w:val="20"/>
        </w:rPr>
        <w:t xml:space="preserve"> </w:t>
      </w:r>
      <w:r w:rsidR="00752707" w:rsidRPr="00AC4AEA">
        <w:rPr>
          <w:rFonts w:ascii="Arial" w:hAnsi="Arial" w:cs="Arial"/>
          <w:sz w:val="20"/>
          <w:szCs w:val="20"/>
        </w:rPr>
        <w:t xml:space="preserve">sea </w:t>
      </w:r>
      <w:r w:rsidR="00752707" w:rsidRPr="00181A70">
        <w:rPr>
          <w:rFonts w:ascii="Arial" w:hAnsi="Arial" w:cs="Arial"/>
          <w:b/>
          <w:bCs/>
          <w:sz w:val="20"/>
          <w:szCs w:val="20"/>
        </w:rPr>
        <w:t>probable</w:t>
      </w:r>
      <w:r w:rsidR="00752707" w:rsidRPr="00AC4AEA">
        <w:rPr>
          <w:rFonts w:ascii="Arial" w:hAnsi="Arial" w:cs="Arial"/>
          <w:sz w:val="20"/>
          <w:szCs w:val="20"/>
        </w:rPr>
        <w:t>.</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AA30F5" w:rsidRPr="00AC4AEA">
        <w:rPr>
          <w:rFonts w:ascii="Arial" w:hAnsi="Arial" w:cs="Arial"/>
          <w:sz w:val="20"/>
          <w:szCs w:val="20"/>
        </w:rPr>
        <w:t xml:space="preserve">reconocerá un subsidio gubernamental procedente de </w:t>
      </w:r>
      <w:r w:rsidRPr="00AC4AEA">
        <w:rPr>
          <w:rFonts w:ascii="Arial" w:hAnsi="Arial" w:cs="Arial"/>
          <w:sz w:val="20"/>
          <w:szCs w:val="20"/>
        </w:rPr>
        <w:t xml:space="preserve">un préstamo </w:t>
      </w:r>
      <w:r w:rsidR="00106CDD" w:rsidRPr="00AC4AEA">
        <w:rPr>
          <w:rFonts w:ascii="Arial" w:hAnsi="Arial" w:cs="Arial"/>
          <w:sz w:val="20"/>
          <w:szCs w:val="20"/>
        </w:rPr>
        <w:t>con cláusula de condonación</w:t>
      </w:r>
      <w:r w:rsidR="00AA30F5" w:rsidRPr="00AC4AEA">
        <w:rPr>
          <w:rFonts w:ascii="Arial" w:hAnsi="Arial" w:cs="Arial"/>
          <w:sz w:val="20"/>
          <w:szCs w:val="20"/>
        </w:rPr>
        <w:t xml:space="preserve"> </w:t>
      </w:r>
      <w:r w:rsidRPr="00AC4AEA">
        <w:rPr>
          <w:rFonts w:ascii="Arial" w:hAnsi="Arial" w:cs="Arial"/>
          <w:sz w:val="20"/>
          <w:szCs w:val="20"/>
        </w:rPr>
        <w:t>cuando existe razonable seguridad de que la entidad cumplirá los términos exigidos para su condonación.</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tratará el beneficio de un préstamo del gobierno a una tasa de interés inferior a la del mercado como </w:t>
      </w:r>
      <w:r w:rsidR="00AA30F5" w:rsidRPr="00AC4AEA">
        <w:rPr>
          <w:rFonts w:ascii="Arial" w:hAnsi="Arial" w:cs="Arial"/>
          <w:sz w:val="20"/>
          <w:szCs w:val="20"/>
        </w:rPr>
        <w:t>un subsidio gubernamental</w:t>
      </w:r>
      <w:r w:rsidRPr="00AC4AEA">
        <w:rPr>
          <w:rFonts w:ascii="Arial" w:hAnsi="Arial" w:cs="Arial"/>
          <w:sz w:val="20"/>
          <w:szCs w:val="20"/>
        </w:rPr>
        <w:t>.</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contabilizará </w:t>
      </w:r>
      <w:r w:rsidR="00AA30F5" w:rsidRPr="00AC4AEA">
        <w:rPr>
          <w:rFonts w:ascii="Arial" w:hAnsi="Arial" w:cs="Arial"/>
          <w:sz w:val="20"/>
          <w:szCs w:val="20"/>
        </w:rPr>
        <w:t>un subsidio gubernamental</w:t>
      </w:r>
      <w:r w:rsidRPr="00AC4AEA">
        <w:rPr>
          <w:rFonts w:ascii="Arial" w:hAnsi="Arial" w:cs="Arial"/>
          <w:sz w:val="20"/>
          <w:szCs w:val="20"/>
        </w:rPr>
        <w:t xml:space="preserve"> que se convierta en reembolsable como un cambio en una estimación contable.</w:t>
      </w:r>
    </w:p>
    <w:p w:rsidR="00455BA2" w:rsidRPr="00AC4AEA" w:rsidRDefault="00455BA2" w:rsidP="00A318EA">
      <w:pPr>
        <w:jc w:val="both"/>
        <w:rPr>
          <w:rFonts w:ascii="Arial" w:hAnsi="Arial" w:cs="Arial"/>
          <w:sz w:val="20"/>
          <w:szCs w:val="20"/>
        </w:rPr>
      </w:pPr>
    </w:p>
    <w:p w:rsidR="00455BA2" w:rsidRPr="00AC4AEA" w:rsidRDefault="00455BA2" w:rsidP="00A318EA">
      <w:pPr>
        <w:jc w:val="both"/>
        <w:rPr>
          <w:rFonts w:ascii="Arial" w:hAnsi="Arial" w:cs="Arial"/>
          <w:b/>
          <w:bCs/>
          <w:sz w:val="20"/>
          <w:szCs w:val="20"/>
        </w:rPr>
      </w:pPr>
      <w:r w:rsidRPr="00AC4AEA">
        <w:rPr>
          <w:rFonts w:ascii="Arial" w:hAnsi="Arial" w:cs="Arial"/>
          <w:b/>
          <w:bCs/>
          <w:sz w:val="20"/>
          <w:szCs w:val="20"/>
        </w:rPr>
        <w:t>Medición inicial</w:t>
      </w:r>
    </w:p>
    <w:p w:rsidR="00455BA2" w:rsidRPr="00AC4AEA" w:rsidRDefault="00455BA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medirá:</w:t>
      </w:r>
    </w:p>
    <w:p w:rsidR="00A32580" w:rsidRPr="00AC4AEA" w:rsidRDefault="00C46C16" w:rsidP="00A318EA">
      <w:pPr>
        <w:pStyle w:val="Prrafodelista"/>
        <w:numPr>
          <w:ilvl w:val="0"/>
          <w:numId w:val="159"/>
        </w:numPr>
        <w:ind w:left="1560"/>
        <w:contextualSpacing w:val="0"/>
        <w:jc w:val="both"/>
        <w:rPr>
          <w:rFonts w:ascii="Arial" w:hAnsi="Arial" w:cs="Arial"/>
          <w:sz w:val="20"/>
          <w:szCs w:val="20"/>
        </w:rPr>
      </w:pPr>
      <w:r w:rsidRPr="00AC4AEA">
        <w:rPr>
          <w:rFonts w:ascii="Arial" w:hAnsi="Arial" w:cs="Arial"/>
          <w:sz w:val="20"/>
          <w:szCs w:val="20"/>
        </w:rPr>
        <w:t>De acuerdo</w:t>
      </w:r>
      <w:r w:rsidR="0000565E" w:rsidRPr="00AC4AEA">
        <w:rPr>
          <w:rFonts w:ascii="Arial" w:hAnsi="Arial" w:cs="Arial"/>
          <w:sz w:val="20"/>
          <w:szCs w:val="20"/>
        </w:rPr>
        <w:t xml:space="preserve"> con lo establecido en</w:t>
      </w:r>
      <w:r w:rsidR="00B339DB" w:rsidRPr="00AC4AEA">
        <w:rPr>
          <w:rFonts w:ascii="Arial" w:hAnsi="Arial" w:cs="Arial"/>
          <w:sz w:val="20"/>
          <w:szCs w:val="20"/>
        </w:rPr>
        <w:t xml:space="preserve"> el inciso c) del</w:t>
      </w:r>
      <w:r w:rsidR="0000565E" w:rsidRPr="00AC4AEA">
        <w:rPr>
          <w:rFonts w:ascii="Arial" w:hAnsi="Arial" w:cs="Arial"/>
          <w:sz w:val="20"/>
          <w:szCs w:val="20"/>
        </w:rPr>
        <w:t xml:space="preserve"> párrafo</w:t>
      </w:r>
      <w:r w:rsidR="00B339DB" w:rsidRPr="00AC4AEA">
        <w:rPr>
          <w:rFonts w:ascii="Arial" w:hAnsi="Arial" w:cs="Arial"/>
          <w:sz w:val="20"/>
          <w:szCs w:val="20"/>
        </w:rPr>
        <w:t xml:space="preserve"> </w:t>
      </w:r>
      <w:fldSimple w:instr=" REF _Ref81056357 \r \h  \* MERGEFORMAT ">
        <w:r w:rsidR="00D33A5D" w:rsidRPr="00D33A5D">
          <w:rPr>
            <w:rFonts w:ascii="Arial" w:hAnsi="Arial" w:cs="Arial"/>
            <w:sz w:val="20"/>
            <w:szCs w:val="20"/>
          </w:rPr>
          <w:t>204</w:t>
        </w:r>
      </w:fldSimple>
      <w:r w:rsidR="00455BA2" w:rsidRPr="00AC4AEA">
        <w:rPr>
          <w:rFonts w:ascii="Arial" w:hAnsi="Arial" w:cs="Arial"/>
          <w:sz w:val="20"/>
          <w:szCs w:val="20"/>
        </w:rPr>
        <w:t>: l</w:t>
      </w:r>
      <w:r w:rsidR="00AA30F5" w:rsidRPr="00AC4AEA">
        <w:rPr>
          <w:rFonts w:ascii="Arial" w:hAnsi="Arial" w:cs="Arial"/>
          <w:sz w:val="20"/>
          <w:szCs w:val="20"/>
        </w:rPr>
        <w:t>o</w:t>
      </w:r>
      <w:r w:rsidR="00455BA2" w:rsidRPr="00AC4AEA">
        <w:rPr>
          <w:rFonts w:ascii="Arial" w:hAnsi="Arial" w:cs="Arial"/>
          <w:sz w:val="20"/>
          <w:szCs w:val="20"/>
        </w:rPr>
        <w:t>s</w:t>
      </w:r>
      <w:r w:rsidR="00A82EFF" w:rsidRPr="00AC4AEA">
        <w:rPr>
          <w:rFonts w:ascii="Arial" w:hAnsi="Arial" w:cs="Arial"/>
          <w:sz w:val="20"/>
          <w:szCs w:val="20"/>
        </w:rPr>
        <w:t xml:space="preserve"> </w:t>
      </w:r>
      <w:r w:rsidR="00AA30F5" w:rsidRPr="00AC4AEA">
        <w:rPr>
          <w:rFonts w:ascii="Arial" w:hAnsi="Arial" w:cs="Arial"/>
          <w:sz w:val="20"/>
          <w:szCs w:val="20"/>
        </w:rPr>
        <w:t>subsidios gubernamentales</w:t>
      </w:r>
      <w:r w:rsidR="00455BA2" w:rsidRPr="00AC4AEA">
        <w:rPr>
          <w:rFonts w:ascii="Arial" w:hAnsi="Arial" w:cs="Arial"/>
          <w:sz w:val="20"/>
          <w:szCs w:val="20"/>
        </w:rPr>
        <w:t xml:space="preserve"> consistentes en transferencias de </w:t>
      </w:r>
      <w:r w:rsidR="00497590" w:rsidRPr="00AC4AEA">
        <w:rPr>
          <w:rFonts w:ascii="Arial" w:hAnsi="Arial" w:cs="Arial"/>
          <w:sz w:val="20"/>
          <w:szCs w:val="20"/>
        </w:rPr>
        <w:t>activos</w:t>
      </w:r>
      <w:r w:rsidR="00455BA2" w:rsidRPr="00AC4AEA">
        <w:rPr>
          <w:rFonts w:ascii="Arial" w:hAnsi="Arial" w:cs="Arial"/>
          <w:sz w:val="20"/>
          <w:szCs w:val="20"/>
        </w:rPr>
        <w:t xml:space="preserve"> no monetarios, como terrenos u otros recursos</w:t>
      </w:r>
      <w:r w:rsidR="00A32580" w:rsidRPr="00AC4AEA">
        <w:rPr>
          <w:rFonts w:ascii="Arial" w:hAnsi="Arial" w:cs="Arial"/>
          <w:sz w:val="20"/>
          <w:szCs w:val="20"/>
        </w:rPr>
        <w:t>.</w:t>
      </w:r>
    </w:p>
    <w:p w:rsidR="00455BA2" w:rsidRPr="00AC4AEA" w:rsidRDefault="00455BA2" w:rsidP="00A318EA">
      <w:pPr>
        <w:pStyle w:val="Prrafodelista"/>
        <w:numPr>
          <w:ilvl w:val="0"/>
          <w:numId w:val="159"/>
        </w:numPr>
        <w:ind w:left="1560"/>
        <w:contextualSpacing w:val="0"/>
        <w:jc w:val="both"/>
        <w:rPr>
          <w:rFonts w:ascii="Arial" w:hAnsi="Arial" w:cs="Arial"/>
          <w:sz w:val="20"/>
          <w:szCs w:val="20"/>
        </w:rPr>
      </w:pPr>
      <w:r w:rsidRPr="00AC4AEA">
        <w:rPr>
          <w:rFonts w:ascii="Arial" w:hAnsi="Arial" w:cs="Arial"/>
          <w:sz w:val="20"/>
          <w:szCs w:val="20"/>
        </w:rPr>
        <w:t>Por la diferencia entre el importe recibido y el valor descontado de los flujos de efectivo futuros: l</w:t>
      </w:r>
      <w:r w:rsidR="00AA30F5" w:rsidRPr="00AC4AEA">
        <w:rPr>
          <w:rFonts w:ascii="Arial" w:hAnsi="Arial" w:cs="Arial"/>
          <w:sz w:val="20"/>
          <w:szCs w:val="20"/>
        </w:rPr>
        <w:t>o</w:t>
      </w:r>
      <w:r w:rsidRPr="00AC4AEA">
        <w:rPr>
          <w:rFonts w:ascii="Arial" w:hAnsi="Arial" w:cs="Arial"/>
          <w:sz w:val="20"/>
          <w:szCs w:val="20"/>
        </w:rPr>
        <w:t xml:space="preserve">s </w:t>
      </w:r>
      <w:r w:rsidR="00AA30F5" w:rsidRPr="00AC4AEA">
        <w:rPr>
          <w:rFonts w:ascii="Arial" w:hAnsi="Arial" w:cs="Arial"/>
          <w:sz w:val="20"/>
          <w:szCs w:val="20"/>
        </w:rPr>
        <w:t>subsidios gubernamentales</w:t>
      </w:r>
      <w:r w:rsidRPr="00AC4AEA">
        <w:rPr>
          <w:rFonts w:ascii="Arial" w:hAnsi="Arial" w:cs="Arial"/>
          <w:sz w:val="20"/>
          <w:szCs w:val="20"/>
        </w:rPr>
        <w:t xml:space="preserve"> consistentes en un préstamo del gobierno a una tasa inferior a la de mercado.</w:t>
      </w:r>
    </w:p>
    <w:p w:rsidR="00455BA2" w:rsidRPr="00AC4AEA" w:rsidRDefault="00455BA2" w:rsidP="00A318EA">
      <w:pPr>
        <w:pStyle w:val="Prrafodelista"/>
        <w:numPr>
          <w:ilvl w:val="0"/>
          <w:numId w:val="159"/>
        </w:numPr>
        <w:ind w:left="1560"/>
        <w:contextualSpacing w:val="0"/>
        <w:jc w:val="both"/>
        <w:rPr>
          <w:rFonts w:ascii="Arial" w:hAnsi="Arial" w:cs="Arial"/>
          <w:sz w:val="20"/>
          <w:szCs w:val="20"/>
        </w:rPr>
      </w:pPr>
      <w:r w:rsidRPr="00AC4AEA">
        <w:rPr>
          <w:rFonts w:ascii="Arial" w:hAnsi="Arial" w:cs="Arial"/>
          <w:sz w:val="20"/>
          <w:szCs w:val="20"/>
        </w:rPr>
        <w:t xml:space="preserve">Por </w:t>
      </w:r>
      <w:r w:rsidR="00A32580" w:rsidRPr="00AC4AEA">
        <w:rPr>
          <w:rFonts w:ascii="Arial" w:hAnsi="Arial" w:cs="Arial"/>
          <w:sz w:val="20"/>
          <w:szCs w:val="20"/>
        </w:rPr>
        <w:t>un</w:t>
      </w:r>
      <w:r w:rsidRPr="00AC4AEA">
        <w:rPr>
          <w:rFonts w:ascii="Arial" w:hAnsi="Arial" w:cs="Arial"/>
          <w:sz w:val="20"/>
          <w:szCs w:val="20"/>
        </w:rPr>
        <w:t xml:space="preserve"> importe </w:t>
      </w:r>
      <w:r w:rsidR="00643A09" w:rsidRPr="00AC4AEA">
        <w:rPr>
          <w:rFonts w:ascii="Arial" w:hAnsi="Arial" w:cs="Arial"/>
          <w:sz w:val="20"/>
          <w:szCs w:val="20"/>
        </w:rPr>
        <w:t xml:space="preserve">igual al </w:t>
      </w:r>
      <w:r w:rsidR="00E16F3E" w:rsidRPr="00AC4AEA">
        <w:rPr>
          <w:rFonts w:ascii="Arial" w:hAnsi="Arial" w:cs="Arial"/>
          <w:sz w:val="20"/>
          <w:szCs w:val="20"/>
        </w:rPr>
        <w:t xml:space="preserve">valor contable </w:t>
      </w:r>
      <w:r w:rsidR="00643A09" w:rsidRPr="00AC4AEA">
        <w:rPr>
          <w:rFonts w:ascii="Arial" w:hAnsi="Arial" w:cs="Arial"/>
          <w:sz w:val="20"/>
          <w:szCs w:val="20"/>
        </w:rPr>
        <w:t xml:space="preserve">del </w:t>
      </w:r>
      <w:r w:rsidR="00643A09" w:rsidRPr="00AC4AEA">
        <w:rPr>
          <w:rFonts w:ascii="Arial" w:hAnsi="Arial" w:cs="Arial"/>
          <w:b/>
          <w:bCs/>
          <w:sz w:val="20"/>
          <w:szCs w:val="20"/>
        </w:rPr>
        <w:t>activo</w:t>
      </w:r>
      <w:r w:rsidR="00643A09" w:rsidRPr="00AC4AEA">
        <w:rPr>
          <w:rFonts w:ascii="Arial" w:hAnsi="Arial" w:cs="Arial"/>
          <w:sz w:val="20"/>
          <w:szCs w:val="20"/>
        </w:rPr>
        <w:t xml:space="preserve"> recibido</w:t>
      </w:r>
      <w:r w:rsidRPr="00AC4AEA">
        <w:rPr>
          <w:rFonts w:ascii="Arial" w:hAnsi="Arial" w:cs="Arial"/>
          <w:sz w:val="20"/>
          <w:szCs w:val="20"/>
        </w:rPr>
        <w:t>: el resto de l</w:t>
      </w:r>
      <w:r w:rsidR="00AA30F5" w:rsidRPr="00AC4AEA">
        <w:rPr>
          <w:rFonts w:ascii="Arial" w:hAnsi="Arial" w:cs="Arial"/>
          <w:sz w:val="20"/>
          <w:szCs w:val="20"/>
        </w:rPr>
        <w:t>o</w:t>
      </w:r>
      <w:r w:rsidRPr="00AC4AEA">
        <w:rPr>
          <w:rFonts w:ascii="Arial" w:hAnsi="Arial" w:cs="Arial"/>
          <w:sz w:val="20"/>
          <w:szCs w:val="20"/>
        </w:rPr>
        <w:t xml:space="preserve">s </w:t>
      </w:r>
      <w:r w:rsidR="00AA30F5" w:rsidRPr="00AC4AEA">
        <w:rPr>
          <w:rFonts w:ascii="Arial" w:hAnsi="Arial" w:cs="Arial"/>
          <w:sz w:val="20"/>
          <w:szCs w:val="20"/>
        </w:rPr>
        <w:t>subsidios gubernamentales</w:t>
      </w:r>
      <w:r w:rsidRPr="00AC4AEA">
        <w:rPr>
          <w:rFonts w:ascii="Arial" w:hAnsi="Arial" w:cs="Arial"/>
          <w:sz w:val="20"/>
          <w:szCs w:val="20"/>
        </w:rPr>
        <w:t>.</w:t>
      </w:r>
    </w:p>
    <w:p w:rsidR="00D72785" w:rsidRPr="00AC4AEA" w:rsidRDefault="00D72785" w:rsidP="00A318EA">
      <w:pPr>
        <w:pStyle w:val="Prrafodelista"/>
        <w:ind w:left="360"/>
        <w:contextualSpacing w:val="0"/>
        <w:jc w:val="both"/>
        <w:rPr>
          <w:rFonts w:ascii="Arial" w:hAnsi="Arial" w:cs="Arial"/>
          <w:sz w:val="20"/>
          <w:szCs w:val="20"/>
        </w:rPr>
      </w:pPr>
    </w:p>
    <w:p w:rsidR="00D72785" w:rsidRPr="00AC4AEA" w:rsidRDefault="00D72785" w:rsidP="00A318EA">
      <w:pPr>
        <w:pStyle w:val="Ttulo2"/>
        <w:rPr>
          <w:rFonts w:cs="Arial"/>
        </w:rPr>
      </w:pPr>
      <w:bookmarkStart w:id="805" w:name="_Toc101863970"/>
      <w:bookmarkStart w:id="806" w:name="_Toc139356860"/>
      <w:r w:rsidRPr="00AC4AEA">
        <w:rPr>
          <w:rFonts w:cs="Arial"/>
        </w:rPr>
        <w:t xml:space="preserve">Presentación de </w:t>
      </w:r>
      <w:r w:rsidR="00AA30F5" w:rsidRPr="00AC4AEA">
        <w:rPr>
          <w:rFonts w:cs="Arial"/>
        </w:rPr>
        <w:t>subsidios</w:t>
      </w:r>
      <w:r w:rsidRPr="00AC4AEA">
        <w:rPr>
          <w:rFonts w:cs="Arial"/>
        </w:rPr>
        <w:t xml:space="preserve"> gubernamentales</w:t>
      </w:r>
      <w:bookmarkEnd w:id="805"/>
      <w:bookmarkEnd w:id="806"/>
    </w:p>
    <w:p w:rsidR="00D72785" w:rsidRPr="00AC4AEA" w:rsidRDefault="00D72785" w:rsidP="00A318EA">
      <w:pPr>
        <w:pStyle w:val="Ttulo3"/>
      </w:pPr>
      <w:bookmarkStart w:id="807" w:name="_Toc101863971"/>
      <w:bookmarkStart w:id="808" w:name="_Toc139356861"/>
      <w:r w:rsidRPr="00AC4AEA">
        <w:t xml:space="preserve">Presentación de </w:t>
      </w:r>
      <w:r w:rsidR="000C2760" w:rsidRPr="00AC4AEA">
        <w:t>los subsidios gubernamentales</w:t>
      </w:r>
      <w:r w:rsidRPr="00AC4AEA">
        <w:t xml:space="preserve"> </w:t>
      </w:r>
      <w:r w:rsidR="007860D3" w:rsidRPr="00AC4AEA">
        <w:t>en el estado de situación patrimonial</w:t>
      </w:r>
      <w:bookmarkEnd w:id="807"/>
      <w:bookmarkEnd w:id="808"/>
    </w:p>
    <w:p w:rsidR="00D72785" w:rsidRPr="00AC4AEA" w:rsidRDefault="002321D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w:t>
      </w:r>
      <w:r w:rsidR="00D72785" w:rsidRPr="00AC4AEA">
        <w:rPr>
          <w:rFonts w:ascii="Arial" w:hAnsi="Arial" w:cs="Arial"/>
          <w:sz w:val="20"/>
          <w:szCs w:val="20"/>
        </w:rPr>
        <w:t>na entidad presentará l</w:t>
      </w:r>
      <w:r w:rsidR="00AA30F5" w:rsidRPr="00AC4AEA">
        <w:rPr>
          <w:rFonts w:ascii="Arial" w:hAnsi="Arial" w:cs="Arial"/>
          <w:sz w:val="20"/>
          <w:szCs w:val="20"/>
        </w:rPr>
        <w:t>o</w:t>
      </w:r>
      <w:r w:rsidR="00D72785" w:rsidRPr="00AC4AEA">
        <w:rPr>
          <w:rFonts w:ascii="Arial" w:hAnsi="Arial" w:cs="Arial"/>
          <w:sz w:val="20"/>
          <w:szCs w:val="20"/>
        </w:rPr>
        <w:t xml:space="preserve">s </w:t>
      </w:r>
      <w:r w:rsidR="00AA30F5" w:rsidRPr="00AC4AEA">
        <w:rPr>
          <w:rFonts w:ascii="Arial" w:hAnsi="Arial" w:cs="Arial"/>
          <w:sz w:val="20"/>
          <w:szCs w:val="20"/>
        </w:rPr>
        <w:t xml:space="preserve">subsidios gubernamentales </w:t>
      </w:r>
      <w:r w:rsidR="007B0D1F" w:rsidRPr="00AC4AEA">
        <w:rPr>
          <w:rFonts w:ascii="Arial" w:hAnsi="Arial" w:cs="Arial"/>
          <w:sz w:val="20"/>
          <w:szCs w:val="20"/>
        </w:rPr>
        <w:t>que no han sido reconocidas aun como resultados</w:t>
      </w:r>
      <w:r w:rsidR="00D72785" w:rsidRPr="00AC4AEA">
        <w:rPr>
          <w:rFonts w:ascii="Arial" w:hAnsi="Arial" w:cs="Arial"/>
          <w:sz w:val="20"/>
          <w:szCs w:val="20"/>
        </w:rPr>
        <w:t xml:space="preserve">, incluyendo las </w:t>
      </w:r>
      <w:r w:rsidR="00D72785" w:rsidRPr="00AC4AEA">
        <w:rPr>
          <w:rFonts w:ascii="Arial" w:hAnsi="Arial" w:cs="Arial"/>
          <w:sz w:val="20"/>
          <w:szCs w:val="20"/>
        </w:rPr>
        <w:lastRenderedPageBreak/>
        <w:t xml:space="preserve">de carácter no monetario a </w:t>
      </w:r>
      <w:r w:rsidR="00D72785" w:rsidRPr="00AC4AEA">
        <w:rPr>
          <w:rFonts w:ascii="Arial" w:hAnsi="Arial" w:cs="Arial"/>
          <w:b/>
          <w:sz w:val="20"/>
          <w:szCs w:val="20"/>
        </w:rPr>
        <w:t>valor razonable</w:t>
      </w:r>
      <w:r w:rsidR="00D72785" w:rsidRPr="00AC4AEA">
        <w:rPr>
          <w:rFonts w:ascii="Arial" w:hAnsi="Arial" w:cs="Arial"/>
          <w:sz w:val="20"/>
          <w:szCs w:val="20"/>
        </w:rPr>
        <w:t xml:space="preserve">, como </w:t>
      </w:r>
      <w:r w:rsidR="00497590" w:rsidRPr="00AC4AEA">
        <w:rPr>
          <w:rFonts w:ascii="Arial" w:hAnsi="Arial" w:cs="Arial"/>
          <w:sz w:val="20"/>
          <w:szCs w:val="20"/>
        </w:rPr>
        <w:t>pasivos</w:t>
      </w:r>
      <w:r w:rsidR="007860D3" w:rsidRPr="00AC4AEA">
        <w:rPr>
          <w:rFonts w:ascii="Arial" w:hAnsi="Arial" w:cs="Arial"/>
          <w:sz w:val="20"/>
          <w:szCs w:val="20"/>
        </w:rPr>
        <w:t xml:space="preserve"> en un rubro separado de los demás</w:t>
      </w:r>
      <w:r w:rsidR="00D72785" w:rsidRPr="00AC4AEA">
        <w:rPr>
          <w:rFonts w:ascii="Arial" w:hAnsi="Arial" w:cs="Arial"/>
          <w:sz w:val="20"/>
          <w:szCs w:val="20"/>
        </w:rPr>
        <w:t>.</w:t>
      </w:r>
    </w:p>
    <w:p w:rsidR="00D72785" w:rsidRPr="00AC4AEA" w:rsidRDefault="00D72785" w:rsidP="00A318EA">
      <w:pPr>
        <w:pStyle w:val="A-Normal11"/>
        <w:jc w:val="both"/>
        <w:rPr>
          <w:rFonts w:ascii="Arial" w:hAnsi="Arial" w:cs="Arial"/>
          <w:sz w:val="20"/>
        </w:rPr>
      </w:pPr>
    </w:p>
    <w:p w:rsidR="00D72785" w:rsidRPr="00AC4AEA" w:rsidRDefault="00D72785" w:rsidP="00A318EA">
      <w:pPr>
        <w:pStyle w:val="Ttulo3"/>
      </w:pPr>
      <w:bookmarkStart w:id="809" w:name="_Toc101863972"/>
      <w:bookmarkStart w:id="810" w:name="_Toc139356862"/>
      <w:r w:rsidRPr="00AC4AEA">
        <w:t xml:space="preserve">Presentación de </w:t>
      </w:r>
      <w:r w:rsidR="00AA30F5" w:rsidRPr="00AC4AEA">
        <w:t>los subsidios gubernamentales</w:t>
      </w:r>
      <w:r w:rsidRPr="00AC4AEA">
        <w:t xml:space="preserve"> </w:t>
      </w:r>
      <w:r w:rsidR="005B284E" w:rsidRPr="00AC4AEA">
        <w:t>en el estado de resultados (o estado de recursos y gastos)</w:t>
      </w:r>
      <w:bookmarkEnd w:id="809"/>
      <w:bookmarkEnd w:id="810"/>
    </w:p>
    <w:p w:rsidR="009A6759" w:rsidRPr="00AC4AEA" w:rsidRDefault="002321D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resultados, u</w:t>
      </w:r>
      <w:r w:rsidR="00D72785" w:rsidRPr="00AC4AEA">
        <w:rPr>
          <w:rFonts w:ascii="Arial" w:hAnsi="Arial" w:cs="Arial"/>
          <w:sz w:val="20"/>
          <w:szCs w:val="20"/>
        </w:rPr>
        <w:t xml:space="preserve">na entidad presentará </w:t>
      </w:r>
      <w:r w:rsidR="00AA30F5" w:rsidRPr="00AC4AEA">
        <w:rPr>
          <w:rFonts w:ascii="Arial" w:hAnsi="Arial" w:cs="Arial"/>
          <w:sz w:val="20"/>
          <w:szCs w:val="20"/>
        </w:rPr>
        <w:t>los subsidios gubernamentales</w:t>
      </w:r>
      <w:r w:rsidR="009A6759" w:rsidRPr="00AC4AEA">
        <w:rPr>
          <w:rFonts w:ascii="Arial" w:hAnsi="Arial" w:cs="Arial"/>
          <w:sz w:val="20"/>
          <w:szCs w:val="20"/>
        </w:rPr>
        <w:t>:</w:t>
      </w:r>
    </w:p>
    <w:p w:rsidR="00D72785" w:rsidRPr="00AC4AEA" w:rsidRDefault="007B7E5B" w:rsidP="00A318EA">
      <w:pPr>
        <w:pStyle w:val="Prrafodelista"/>
        <w:numPr>
          <w:ilvl w:val="0"/>
          <w:numId w:val="414"/>
        </w:numPr>
        <w:ind w:left="1560"/>
        <w:contextualSpacing w:val="0"/>
        <w:jc w:val="both"/>
        <w:rPr>
          <w:rFonts w:ascii="Arial" w:hAnsi="Arial" w:cs="Arial"/>
          <w:sz w:val="20"/>
          <w:szCs w:val="20"/>
        </w:rPr>
      </w:pPr>
      <w:r w:rsidRPr="00AC4AEA">
        <w:rPr>
          <w:rFonts w:ascii="Arial" w:hAnsi="Arial" w:cs="Arial"/>
          <w:sz w:val="20"/>
          <w:szCs w:val="20"/>
        </w:rPr>
        <w:t xml:space="preserve">Cuando se relacionan con </w:t>
      </w:r>
      <w:r w:rsidR="00C31EB6" w:rsidRPr="00AC4AEA">
        <w:rPr>
          <w:rFonts w:ascii="Arial" w:hAnsi="Arial" w:cs="Arial"/>
          <w:b/>
          <w:bCs/>
          <w:sz w:val="20"/>
          <w:szCs w:val="20"/>
        </w:rPr>
        <w:t>ingresos</w:t>
      </w:r>
      <w:r w:rsidR="0052091A" w:rsidRPr="00AC4AEA">
        <w:rPr>
          <w:rFonts w:ascii="Arial" w:hAnsi="Arial" w:cs="Arial"/>
          <w:sz w:val="20"/>
          <w:szCs w:val="20"/>
        </w:rPr>
        <w:t xml:space="preserve"> procedentes de las actividades principales</w:t>
      </w:r>
      <w:r w:rsidRPr="00AC4AEA">
        <w:rPr>
          <w:rFonts w:ascii="Arial" w:hAnsi="Arial" w:cs="Arial"/>
          <w:sz w:val="20"/>
          <w:szCs w:val="20"/>
        </w:rPr>
        <w:t xml:space="preserve">, a continuación de los </w:t>
      </w:r>
      <w:r w:rsidRPr="00AC4AEA">
        <w:rPr>
          <w:rFonts w:ascii="Arial" w:hAnsi="Arial" w:cs="Arial"/>
          <w:b/>
          <w:bCs/>
          <w:sz w:val="20"/>
          <w:szCs w:val="20"/>
        </w:rPr>
        <w:t>ingresos de actividades ordinarias.</w:t>
      </w:r>
    </w:p>
    <w:p w:rsidR="007B7E5B" w:rsidRPr="00AC4AEA" w:rsidRDefault="007B7E5B" w:rsidP="00A318EA">
      <w:pPr>
        <w:pStyle w:val="Prrafodelista"/>
        <w:numPr>
          <w:ilvl w:val="0"/>
          <w:numId w:val="414"/>
        </w:numPr>
        <w:ind w:left="1560"/>
        <w:contextualSpacing w:val="0"/>
        <w:jc w:val="both"/>
        <w:rPr>
          <w:rFonts w:ascii="Arial" w:hAnsi="Arial" w:cs="Arial"/>
          <w:sz w:val="20"/>
          <w:szCs w:val="20"/>
        </w:rPr>
      </w:pPr>
      <w:r w:rsidRPr="00AC4AEA">
        <w:rPr>
          <w:rFonts w:ascii="Arial" w:hAnsi="Arial" w:cs="Arial"/>
          <w:sz w:val="20"/>
          <w:szCs w:val="20"/>
        </w:rPr>
        <w:t xml:space="preserve">En los demás casos como: </w:t>
      </w:r>
    </w:p>
    <w:p w:rsidR="0052091A" w:rsidRPr="00AC4AEA" w:rsidRDefault="0052091A" w:rsidP="00C01B25">
      <w:pPr>
        <w:pStyle w:val="Prrafodelista"/>
        <w:widowControl w:val="0"/>
        <w:numPr>
          <w:ilvl w:val="0"/>
          <w:numId w:val="468"/>
        </w:numPr>
        <w:tabs>
          <w:tab w:val="left" w:pos="623"/>
        </w:tabs>
        <w:autoSpaceDE w:val="0"/>
        <w:autoSpaceDN w:val="0"/>
        <w:ind w:left="1984"/>
        <w:contextualSpacing w:val="0"/>
        <w:jc w:val="both"/>
        <w:rPr>
          <w:rFonts w:ascii="Arial" w:hAnsi="Arial" w:cs="Arial"/>
          <w:sz w:val="20"/>
          <w:szCs w:val="20"/>
        </w:rPr>
      </w:pPr>
      <w:r w:rsidRPr="00AC4AEA">
        <w:rPr>
          <w:rFonts w:ascii="Arial" w:hAnsi="Arial" w:cs="Arial"/>
          <w:sz w:val="20"/>
          <w:szCs w:val="20"/>
        </w:rPr>
        <w:t>otros ingresos; o</w:t>
      </w:r>
    </w:p>
    <w:p w:rsidR="007B7E5B" w:rsidRPr="00AC4AEA" w:rsidRDefault="007B7E5B" w:rsidP="00C01B25">
      <w:pPr>
        <w:pStyle w:val="Prrafodelista"/>
        <w:widowControl w:val="0"/>
        <w:numPr>
          <w:ilvl w:val="0"/>
          <w:numId w:val="468"/>
        </w:numPr>
        <w:tabs>
          <w:tab w:val="left" w:pos="623"/>
        </w:tabs>
        <w:autoSpaceDE w:val="0"/>
        <w:autoSpaceDN w:val="0"/>
        <w:ind w:left="1984"/>
        <w:contextualSpacing w:val="0"/>
        <w:jc w:val="both"/>
        <w:rPr>
          <w:rFonts w:ascii="Arial" w:hAnsi="Arial" w:cs="Arial"/>
          <w:sz w:val="20"/>
          <w:szCs w:val="20"/>
        </w:rPr>
      </w:pPr>
      <w:r w:rsidRPr="00AC4AEA">
        <w:rPr>
          <w:rFonts w:ascii="Arial" w:hAnsi="Arial" w:cs="Arial"/>
          <w:sz w:val="20"/>
          <w:szCs w:val="20"/>
        </w:rPr>
        <w:t xml:space="preserve">reducción de los </w:t>
      </w:r>
      <w:r w:rsidRPr="00AC4AEA">
        <w:rPr>
          <w:rFonts w:ascii="Arial" w:hAnsi="Arial" w:cs="Arial"/>
          <w:b/>
          <w:bCs/>
          <w:sz w:val="20"/>
          <w:szCs w:val="20"/>
        </w:rPr>
        <w:t xml:space="preserve">gastos </w:t>
      </w:r>
      <w:r w:rsidRPr="00AC4AEA">
        <w:rPr>
          <w:rFonts w:ascii="Arial" w:hAnsi="Arial" w:cs="Arial"/>
          <w:sz w:val="20"/>
          <w:szCs w:val="20"/>
        </w:rPr>
        <w:t>con los cuales se relacionan.</w:t>
      </w:r>
    </w:p>
    <w:p w:rsidR="00D72785" w:rsidRPr="00AC4AEA" w:rsidRDefault="00D72785" w:rsidP="00A318EA">
      <w:pPr>
        <w:jc w:val="both"/>
        <w:rPr>
          <w:rFonts w:ascii="Arial" w:hAnsi="Arial" w:cs="Arial"/>
          <w:b/>
          <w:bCs/>
          <w:sz w:val="20"/>
          <w:szCs w:val="20"/>
        </w:rPr>
      </w:pPr>
    </w:p>
    <w:p w:rsidR="00D72785" w:rsidRPr="00AC4AEA" w:rsidRDefault="00002197" w:rsidP="00A318EA">
      <w:pPr>
        <w:pStyle w:val="Ttulo2"/>
        <w:rPr>
          <w:rFonts w:cs="Arial"/>
        </w:rPr>
      </w:pPr>
      <w:bookmarkStart w:id="811" w:name="_Toc139356863"/>
      <w:r w:rsidRPr="00AC4AEA">
        <w:rPr>
          <w:rFonts w:cs="Arial"/>
        </w:rPr>
        <w:t>Revelación en notas</w:t>
      </w:r>
      <w:bookmarkEnd w:id="811"/>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revelará información sobre:</w:t>
      </w:r>
    </w:p>
    <w:p w:rsidR="00D72785" w:rsidRPr="00AC4AEA" w:rsidRDefault="002400FF" w:rsidP="00A318EA">
      <w:pPr>
        <w:pStyle w:val="Prrafodelista"/>
        <w:numPr>
          <w:ilvl w:val="0"/>
          <w:numId w:val="160"/>
        </w:numPr>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 xml:space="preserve">as </w:t>
      </w:r>
      <w:r w:rsidR="00135084" w:rsidRPr="00AC4AEA">
        <w:rPr>
          <w:rFonts w:ascii="Arial" w:hAnsi="Arial" w:cs="Arial"/>
          <w:b/>
          <w:bCs/>
          <w:sz w:val="20"/>
          <w:szCs w:val="20"/>
        </w:rPr>
        <w:t>políticas contables</w:t>
      </w:r>
      <w:r w:rsidR="00D72785" w:rsidRPr="00AC4AEA">
        <w:rPr>
          <w:rFonts w:ascii="Arial" w:hAnsi="Arial" w:cs="Arial"/>
          <w:sz w:val="20"/>
          <w:szCs w:val="20"/>
        </w:rPr>
        <w:t xml:space="preserve"> adoptadas </w:t>
      </w:r>
      <w:r w:rsidR="00717DB1" w:rsidRPr="00AC4AEA">
        <w:rPr>
          <w:rFonts w:ascii="Arial" w:hAnsi="Arial" w:cs="Arial"/>
          <w:sz w:val="20"/>
          <w:szCs w:val="20"/>
        </w:rPr>
        <w:t>respecto de</w:t>
      </w:r>
      <w:r w:rsidR="00D72785" w:rsidRPr="00AC4AEA">
        <w:rPr>
          <w:rFonts w:ascii="Arial" w:hAnsi="Arial" w:cs="Arial"/>
          <w:sz w:val="20"/>
          <w:szCs w:val="20"/>
        </w:rPr>
        <w:t xml:space="preserve"> </w:t>
      </w:r>
      <w:r w:rsidR="00AA30F5" w:rsidRPr="00AC4AEA">
        <w:rPr>
          <w:rFonts w:ascii="Arial" w:hAnsi="Arial" w:cs="Arial"/>
          <w:sz w:val="20"/>
          <w:szCs w:val="20"/>
        </w:rPr>
        <w:t>los subsidios gubernamentales</w:t>
      </w:r>
      <w:r w:rsidR="00D72785" w:rsidRPr="00AC4AEA">
        <w:rPr>
          <w:rFonts w:ascii="Arial" w:hAnsi="Arial" w:cs="Arial"/>
          <w:sz w:val="20"/>
          <w:szCs w:val="20"/>
        </w:rPr>
        <w:t xml:space="preserve">, incluyendo </w:t>
      </w:r>
      <w:r w:rsidR="00717DB1" w:rsidRPr="00AC4AEA">
        <w:rPr>
          <w:rFonts w:ascii="Arial" w:hAnsi="Arial" w:cs="Arial"/>
          <w:sz w:val="20"/>
          <w:szCs w:val="20"/>
        </w:rPr>
        <w:t>las formas</w:t>
      </w:r>
      <w:r w:rsidR="00D72785" w:rsidRPr="00AC4AEA">
        <w:rPr>
          <w:rFonts w:ascii="Arial" w:hAnsi="Arial" w:cs="Arial"/>
          <w:sz w:val="20"/>
          <w:szCs w:val="20"/>
        </w:rPr>
        <w:t xml:space="preserve"> de presentación adoptad</w:t>
      </w:r>
      <w:r w:rsidR="00717DB1" w:rsidRPr="00AC4AEA">
        <w:rPr>
          <w:rFonts w:ascii="Arial" w:hAnsi="Arial" w:cs="Arial"/>
          <w:sz w:val="20"/>
          <w:szCs w:val="20"/>
        </w:rPr>
        <w:t>a</w:t>
      </w:r>
      <w:r w:rsidR="00D72785" w:rsidRPr="00AC4AEA">
        <w:rPr>
          <w:rFonts w:ascii="Arial" w:hAnsi="Arial" w:cs="Arial"/>
          <w:sz w:val="20"/>
          <w:szCs w:val="20"/>
        </w:rPr>
        <w:t>s</w:t>
      </w:r>
      <w:r w:rsidR="007E4D13" w:rsidRPr="00AC4AEA">
        <w:rPr>
          <w:rFonts w:ascii="Arial" w:hAnsi="Arial" w:cs="Arial"/>
          <w:sz w:val="20"/>
          <w:szCs w:val="20"/>
        </w:rPr>
        <w:t xml:space="preserve"> en el estado de resultados</w:t>
      </w:r>
      <w:r w:rsidR="00D72785" w:rsidRPr="00AC4AEA">
        <w:rPr>
          <w:rFonts w:ascii="Arial" w:hAnsi="Arial" w:cs="Arial"/>
          <w:sz w:val="20"/>
          <w:szCs w:val="20"/>
        </w:rPr>
        <w:t>;</w:t>
      </w:r>
    </w:p>
    <w:p w:rsidR="00D72785" w:rsidRPr="00AC4AEA" w:rsidRDefault="002400FF" w:rsidP="00A318EA">
      <w:pPr>
        <w:pStyle w:val="Prrafodelista"/>
        <w:numPr>
          <w:ilvl w:val="0"/>
          <w:numId w:val="160"/>
        </w:numPr>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 xml:space="preserve">a naturaleza y alcance de </w:t>
      </w:r>
      <w:r w:rsidR="00AA30F5" w:rsidRPr="00AC4AEA">
        <w:rPr>
          <w:rFonts w:ascii="Arial" w:hAnsi="Arial" w:cs="Arial"/>
          <w:sz w:val="20"/>
          <w:szCs w:val="20"/>
        </w:rPr>
        <w:t xml:space="preserve">los subsidios gubernamentales </w:t>
      </w:r>
      <w:r w:rsidR="00D72785" w:rsidRPr="00AC4AEA">
        <w:rPr>
          <w:rFonts w:ascii="Arial" w:hAnsi="Arial" w:cs="Arial"/>
          <w:sz w:val="20"/>
          <w:szCs w:val="20"/>
        </w:rPr>
        <w:t xml:space="preserve">reconocidas en los </w:t>
      </w:r>
      <w:r w:rsidR="00135084" w:rsidRPr="00AC4AEA">
        <w:rPr>
          <w:rFonts w:ascii="Arial" w:hAnsi="Arial" w:cs="Arial"/>
          <w:b/>
          <w:bCs/>
          <w:sz w:val="20"/>
          <w:szCs w:val="20"/>
        </w:rPr>
        <w:t>estados contables</w:t>
      </w:r>
      <w:r w:rsidR="00D72785" w:rsidRPr="00AC4AEA">
        <w:rPr>
          <w:rFonts w:ascii="Arial" w:hAnsi="Arial" w:cs="Arial"/>
          <w:sz w:val="20"/>
          <w:szCs w:val="20"/>
        </w:rPr>
        <w:t>, así como una indicación de otras modalidades de ayudas gubernamentales, de las que se haya beneficiado directamente</w:t>
      </w:r>
      <w:r w:rsidRPr="00AC4AEA">
        <w:rPr>
          <w:rFonts w:ascii="Arial" w:hAnsi="Arial" w:cs="Arial"/>
          <w:sz w:val="20"/>
          <w:szCs w:val="20"/>
        </w:rPr>
        <w:t>;</w:t>
      </w:r>
      <w:r w:rsidR="00D72785" w:rsidRPr="00AC4AEA">
        <w:rPr>
          <w:rFonts w:ascii="Arial" w:hAnsi="Arial" w:cs="Arial"/>
          <w:sz w:val="20"/>
          <w:szCs w:val="20"/>
        </w:rPr>
        <w:t xml:space="preserve"> y</w:t>
      </w:r>
    </w:p>
    <w:p w:rsidR="00D72785" w:rsidRPr="00AC4AEA" w:rsidRDefault="002400FF" w:rsidP="00A318EA">
      <w:pPr>
        <w:pStyle w:val="Prrafodelista"/>
        <w:numPr>
          <w:ilvl w:val="0"/>
          <w:numId w:val="160"/>
        </w:numPr>
        <w:ind w:left="1560"/>
        <w:contextualSpacing w:val="0"/>
        <w:jc w:val="both"/>
        <w:rPr>
          <w:rFonts w:ascii="Arial" w:hAnsi="Arial" w:cs="Arial"/>
          <w:sz w:val="20"/>
          <w:szCs w:val="20"/>
        </w:rPr>
      </w:pPr>
      <w:r w:rsidRPr="00AC4AEA">
        <w:rPr>
          <w:rFonts w:ascii="Arial" w:hAnsi="Arial" w:cs="Arial"/>
          <w:sz w:val="20"/>
          <w:szCs w:val="20"/>
        </w:rPr>
        <w:t>l</w:t>
      </w:r>
      <w:r w:rsidR="00717DB1" w:rsidRPr="00AC4AEA">
        <w:rPr>
          <w:rFonts w:ascii="Arial" w:hAnsi="Arial" w:cs="Arial"/>
          <w:sz w:val="20"/>
          <w:szCs w:val="20"/>
        </w:rPr>
        <w:t xml:space="preserve">as </w:t>
      </w:r>
      <w:r w:rsidR="00D72785" w:rsidRPr="00AC4AEA">
        <w:rPr>
          <w:rFonts w:ascii="Arial" w:hAnsi="Arial" w:cs="Arial"/>
          <w:sz w:val="20"/>
          <w:szCs w:val="20"/>
        </w:rPr>
        <w:t xml:space="preserve">condiciones incumplidas y otras contingencias relacionadas con las ayudas gubernamentales </w:t>
      </w:r>
      <w:r w:rsidR="00717DB1" w:rsidRPr="00AC4AEA">
        <w:rPr>
          <w:rFonts w:ascii="Arial" w:hAnsi="Arial" w:cs="Arial"/>
          <w:sz w:val="20"/>
          <w:szCs w:val="20"/>
        </w:rPr>
        <w:t>reconocidas</w:t>
      </w:r>
      <w:r w:rsidR="00D72785" w:rsidRPr="00AC4AEA">
        <w:rPr>
          <w:rFonts w:ascii="Arial" w:hAnsi="Arial" w:cs="Arial"/>
          <w:sz w:val="20"/>
          <w:szCs w:val="20"/>
        </w:rPr>
        <w:t>.</w:t>
      </w:r>
    </w:p>
    <w:p w:rsidR="0076070A" w:rsidRPr="00AC4AEA" w:rsidRDefault="0076070A" w:rsidP="00A318EA">
      <w:pPr>
        <w:pStyle w:val="Prrafodelista"/>
        <w:ind w:left="1560"/>
        <w:contextualSpacing w:val="0"/>
        <w:jc w:val="both"/>
        <w:rPr>
          <w:rFonts w:ascii="Arial" w:hAnsi="Arial" w:cs="Arial"/>
          <w:sz w:val="20"/>
          <w:szCs w:val="20"/>
        </w:rPr>
      </w:pPr>
    </w:p>
    <w:p w:rsidR="0076070A" w:rsidRPr="00AC4AEA" w:rsidRDefault="0076070A" w:rsidP="00A318EA">
      <w:pPr>
        <w:pStyle w:val="Ttulo2"/>
        <w:rPr>
          <w:rFonts w:cs="Arial"/>
        </w:rPr>
      </w:pPr>
      <w:bookmarkStart w:id="812" w:name="_Toc139356864"/>
      <w:r w:rsidRPr="00AC4AEA">
        <w:rPr>
          <w:rFonts w:cs="Arial"/>
        </w:rPr>
        <w:t>Otras normas aplicables</w:t>
      </w:r>
      <w:bookmarkEnd w:id="812"/>
    </w:p>
    <w:p w:rsidR="0076070A" w:rsidRPr="00AC4AEA" w:rsidRDefault="0076070A" w:rsidP="00A318EA">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t xml:space="preserve">Para aplicar los requerimientos establecidos en esta sección, una entidad deberá contemplar, en tanto resulten pertinentes y no contradigan lo establecido en esta sección, otras disposiciones de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Por ejemplo, las referidas a: </w:t>
      </w:r>
    </w:p>
    <w:p w:rsidR="0076070A" w:rsidRPr="00AC4AEA" w:rsidRDefault="0076070A" w:rsidP="00A318EA">
      <w:pPr>
        <w:pStyle w:val="Prrafodelista"/>
        <w:numPr>
          <w:ilvl w:val="1"/>
          <w:numId w:val="29"/>
        </w:numPr>
        <w:ind w:left="1559"/>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w:t>
      </w:r>
    </w:p>
    <w:p w:rsidR="0076070A" w:rsidRPr="00AC4AEA" w:rsidRDefault="0076070A" w:rsidP="00A318EA">
      <w:pPr>
        <w:pStyle w:val="Prrafodelista"/>
        <w:numPr>
          <w:ilvl w:val="1"/>
          <w:numId w:val="29"/>
        </w:numPr>
        <w:ind w:left="1559"/>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76070A" w:rsidRPr="00AC4AEA" w:rsidRDefault="0076070A" w:rsidP="00A318EA">
      <w:pPr>
        <w:pStyle w:val="Prrafodelista"/>
        <w:numPr>
          <w:ilvl w:val="1"/>
          <w:numId w:val="29"/>
        </w:numPr>
        <w:ind w:left="1559"/>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76070A" w:rsidRPr="00AC4AEA" w:rsidRDefault="0076070A" w:rsidP="00A318EA">
      <w:pPr>
        <w:pStyle w:val="Prrafodelista"/>
        <w:numPr>
          <w:ilvl w:val="1"/>
          <w:numId w:val="29"/>
        </w:numPr>
        <w:ind w:left="1559"/>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76070A" w:rsidRPr="00AC4AEA" w:rsidRDefault="0076070A" w:rsidP="00A318EA">
      <w:pPr>
        <w:pStyle w:val="Prrafodelista"/>
        <w:numPr>
          <w:ilvl w:val="1"/>
          <w:numId w:val="29"/>
        </w:numPr>
        <w:ind w:left="1559"/>
        <w:contextualSpacing w:val="0"/>
        <w:jc w:val="both"/>
        <w:rPr>
          <w:rFonts w:ascii="Arial" w:hAnsi="Arial" w:cs="Arial"/>
          <w:sz w:val="20"/>
          <w:szCs w:val="20"/>
        </w:rPr>
      </w:pPr>
      <w:r w:rsidRPr="00AC4AEA">
        <w:rPr>
          <w:rFonts w:ascii="Arial" w:hAnsi="Arial" w:cs="Arial"/>
          <w:sz w:val="20"/>
          <w:szCs w:val="20"/>
        </w:rPr>
        <w:lastRenderedPageBreak/>
        <w:t>“</w:t>
      </w:r>
      <w:r w:rsidRPr="00AC4AEA">
        <w:rPr>
          <w:rFonts w:ascii="Arial" w:hAnsi="Arial" w:cs="Arial"/>
          <w:sz w:val="20"/>
          <w:szCs w:val="20"/>
          <w:u w:val="single"/>
        </w:rPr>
        <w:t>Cuestiones referidas al estado de resultados</w:t>
      </w:r>
      <w:r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Pr="00AC4AEA">
        <w:rPr>
          <w:rFonts w:ascii="Arial" w:hAnsi="Arial" w:cs="Arial"/>
          <w:sz w:val="20"/>
          <w:szCs w:val="20"/>
        </w:rPr>
        <w:t>].</w:t>
      </w:r>
    </w:p>
    <w:p w:rsidR="00AE7883" w:rsidRPr="00AC4AEA" w:rsidRDefault="00AE7883" w:rsidP="00A318EA">
      <w:pPr>
        <w:pStyle w:val="Ttulo1"/>
        <w:rPr>
          <w:rFonts w:cs="Arial"/>
          <w:sz w:val="20"/>
          <w:szCs w:val="20"/>
        </w:rPr>
      </w:pPr>
      <w:bookmarkStart w:id="813" w:name="impuestoGANANCIAS"/>
      <w:bookmarkStart w:id="814" w:name="_Toc101863974"/>
      <w:bookmarkEnd w:id="813"/>
    </w:p>
    <w:p w:rsidR="00D72785" w:rsidRPr="00AC4AEA" w:rsidRDefault="00002197" w:rsidP="00A318EA">
      <w:pPr>
        <w:pStyle w:val="Ttulo1"/>
        <w:rPr>
          <w:rFonts w:cs="Arial"/>
          <w:sz w:val="20"/>
          <w:szCs w:val="20"/>
        </w:rPr>
      </w:pPr>
      <w:bookmarkStart w:id="815" w:name="_Toc139356865"/>
      <w:r w:rsidRPr="00AC4AEA">
        <w:rPr>
          <w:rFonts w:cs="Arial"/>
          <w:sz w:val="20"/>
          <w:szCs w:val="20"/>
        </w:rPr>
        <w:t>CONTABILIZACIÓN DEL IMPUESTO A LAS GANANCIAS</w:t>
      </w:r>
      <w:bookmarkEnd w:id="814"/>
      <w:bookmarkEnd w:id="815"/>
    </w:p>
    <w:p w:rsidR="00D72785" w:rsidRPr="00AC4AEA" w:rsidRDefault="00D72785" w:rsidP="00A318EA">
      <w:pPr>
        <w:pStyle w:val="Ttulo2"/>
        <w:rPr>
          <w:rFonts w:cs="Arial"/>
        </w:rPr>
      </w:pPr>
      <w:bookmarkStart w:id="816" w:name="_Toc101863975"/>
      <w:bookmarkStart w:id="817" w:name="_Toc139356866"/>
      <w:r w:rsidRPr="00AC4AEA">
        <w:rPr>
          <w:rFonts w:cs="Arial"/>
        </w:rPr>
        <w:t>Definiciones</w:t>
      </w:r>
      <w:bookmarkEnd w:id="816"/>
      <w:bookmarkEnd w:id="817"/>
    </w:p>
    <w:p w:rsidR="00D72785" w:rsidRPr="00AC4AEA" w:rsidRDefault="00D72785" w:rsidP="00A318EA">
      <w:pPr>
        <w:pStyle w:val="Prrafodelista"/>
        <w:numPr>
          <w:ilvl w:val="0"/>
          <w:numId w:val="29"/>
        </w:numPr>
        <w:contextualSpacing w:val="0"/>
        <w:jc w:val="both"/>
        <w:rPr>
          <w:rFonts w:ascii="Arial" w:hAnsi="Arial" w:cs="Arial"/>
          <w:sz w:val="20"/>
          <w:szCs w:val="20"/>
        </w:rPr>
      </w:pPr>
      <w:bookmarkStart w:id="818" w:name="_Ref99468407"/>
      <w:r w:rsidRPr="00AC4AEA">
        <w:rPr>
          <w:rFonts w:ascii="Arial" w:hAnsi="Arial" w:cs="Arial"/>
          <w:sz w:val="20"/>
          <w:szCs w:val="20"/>
        </w:rPr>
        <w:t>A los fines de contabilizar las consecuencias económicas del impuesto a las ganancias, una entidad deberá considerar las siguientes definiciones:</w:t>
      </w:r>
      <w:bookmarkEnd w:id="818"/>
    </w:p>
    <w:p w:rsidR="00D72785" w:rsidRPr="00AC4AEA" w:rsidRDefault="00D72785" w:rsidP="00A318EA">
      <w:pPr>
        <w:ind w:left="1416"/>
        <w:jc w:val="both"/>
        <w:rPr>
          <w:rFonts w:ascii="Arial" w:hAnsi="Arial" w:cs="Arial"/>
          <w:sz w:val="20"/>
          <w:szCs w:val="20"/>
        </w:rPr>
      </w:pPr>
      <w:r w:rsidRPr="00AC4AEA">
        <w:rPr>
          <w:rFonts w:ascii="Arial" w:hAnsi="Arial" w:cs="Arial"/>
          <w:sz w:val="20"/>
          <w:szCs w:val="20"/>
          <w:u w:val="single"/>
        </w:rPr>
        <w:t>Base fiscal</w:t>
      </w:r>
      <w:r w:rsidRPr="00AC4AEA">
        <w:rPr>
          <w:rFonts w:ascii="Arial" w:hAnsi="Arial" w:cs="Arial"/>
          <w:sz w:val="20"/>
          <w:szCs w:val="20"/>
        </w:rPr>
        <w:t xml:space="preserve">: </w:t>
      </w:r>
      <w:r w:rsidR="00717DB1" w:rsidRPr="00AC4AEA">
        <w:rPr>
          <w:rFonts w:ascii="Arial" w:hAnsi="Arial" w:cs="Arial"/>
          <w:sz w:val="20"/>
          <w:szCs w:val="20"/>
        </w:rPr>
        <w:t>V</w:t>
      </w:r>
      <w:r w:rsidRPr="00AC4AEA">
        <w:rPr>
          <w:rFonts w:ascii="Arial" w:hAnsi="Arial" w:cs="Arial"/>
          <w:sz w:val="20"/>
          <w:szCs w:val="20"/>
        </w:rPr>
        <w:t xml:space="preserve">aluación fiscal o medición de los </w:t>
      </w:r>
      <w:r w:rsidR="00497590" w:rsidRPr="00AC4AEA">
        <w:rPr>
          <w:rFonts w:ascii="Arial" w:hAnsi="Arial" w:cs="Arial"/>
          <w:sz w:val="20"/>
          <w:szCs w:val="20"/>
        </w:rPr>
        <w:t>activos</w:t>
      </w:r>
      <w:r w:rsidRPr="00AC4AEA">
        <w:rPr>
          <w:rFonts w:ascii="Arial" w:hAnsi="Arial" w:cs="Arial"/>
          <w:sz w:val="20"/>
          <w:szCs w:val="20"/>
        </w:rPr>
        <w:t xml:space="preserve"> y </w:t>
      </w:r>
      <w:r w:rsidR="00497590" w:rsidRPr="00AC4AEA">
        <w:rPr>
          <w:rFonts w:ascii="Arial" w:hAnsi="Arial" w:cs="Arial"/>
          <w:sz w:val="20"/>
          <w:szCs w:val="20"/>
        </w:rPr>
        <w:t>pasivos</w:t>
      </w:r>
      <w:r w:rsidRPr="00AC4AEA">
        <w:rPr>
          <w:rFonts w:ascii="Arial" w:hAnsi="Arial" w:cs="Arial"/>
          <w:sz w:val="20"/>
          <w:szCs w:val="20"/>
        </w:rPr>
        <w:t xml:space="preserve"> resultante de aplicar las normas </w:t>
      </w:r>
      <w:r w:rsidR="002400FF" w:rsidRPr="00AC4AEA">
        <w:rPr>
          <w:rFonts w:ascii="Arial" w:hAnsi="Arial" w:cs="Arial"/>
          <w:sz w:val="20"/>
          <w:szCs w:val="20"/>
        </w:rPr>
        <w:t xml:space="preserve">de la legislación referida al </w:t>
      </w:r>
      <w:r w:rsidRPr="00AC4AEA">
        <w:rPr>
          <w:rFonts w:ascii="Arial" w:hAnsi="Arial" w:cs="Arial"/>
          <w:sz w:val="20"/>
          <w:szCs w:val="20"/>
        </w:rPr>
        <w:t>impuesto a las ganancias.</w:t>
      </w:r>
    </w:p>
    <w:p w:rsidR="00C323D3" w:rsidRPr="00AC4AEA" w:rsidRDefault="00C323D3" w:rsidP="00A318EA">
      <w:pPr>
        <w:ind w:left="1416"/>
        <w:jc w:val="both"/>
        <w:rPr>
          <w:rFonts w:ascii="Arial" w:hAnsi="Arial" w:cs="Arial"/>
          <w:sz w:val="20"/>
          <w:szCs w:val="20"/>
        </w:rPr>
      </w:pPr>
      <w:r w:rsidRPr="00AC4AEA">
        <w:rPr>
          <w:rFonts w:ascii="Arial" w:hAnsi="Arial" w:cs="Arial"/>
          <w:sz w:val="20"/>
          <w:szCs w:val="20"/>
          <w:u w:val="single"/>
        </w:rPr>
        <w:t>Diferencias temporarias:</w:t>
      </w:r>
      <w:r w:rsidRPr="00AC4AEA">
        <w:rPr>
          <w:rFonts w:ascii="Arial" w:hAnsi="Arial" w:cs="Arial"/>
          <w:sz w:val="20"/>
          <w:szCs w:val="20"/>
        </w:rPr>
        <w:t xml:space="preserve"> Son las existentes entre la medición contable de activos y pasivos contables y la base fiscal de dichos activos y pasivos, a la </w:t>
      </w:r>
      <w:r w:rsidRPr="00AC4AEA">
        <w:rPr>
          <w:rFonts w:ascii="Arial" w:hAnsi="Arial" w:cs="Arial"/>
          <w:b/>
          <w:bCs/>
          <w:sz w:val="20"/>
          <w:szCs w:val="20"/>
        </w:rPr>
        <w:t>fecha de los estados contables.</w:t>
      </w:r>
      <w:r w:rsidRPr="00AC4AEA">
        <w:rPr>
          <w:rFonts w:ascii="Arial" w:hAnsi="Arial" w:cs="Arial"/>
          <w:sz w:val="20"/>
          <w:szCs w:val="20"/>
        </w:rPr>
        <w:t xml:space="preserve"> </w:t>
      </w:r>
    </w:p>
    <w:p w:rsidR="00C323D3" w:rsidRPr="00AC4AEA" w:rsidRDefault="00C323D3" w:rsidP="00A318EA">
      <w:pPr>
        <w:ind w:left="1416"/>
        <w:jc w:val="both"/>
        <w:rPr>
          <w:rFonts w:ascii="Arial" w:hAnsi="Arial" w:cs="Arial"/>
          <w:sz w:val="20"/>
          <w:szCs w:val="20"/>
        </w:rPr>
      </w:pPr>
      <w:r w:rsidRPr="00AC4AEA">
        <w:rPr>
          <w:rFonts w:ascii="Arial" w:hAnsi="Arial" w:cs="Arial"/>
          <w:sz w:val="20"/>
          <w:szCs w:val="20"/>
          <w:u w:val="single"/>
        </w:rPr>
        <w:t xml:space="preserve">Diferencias temporarias </w:t>
      </w:r>
      <w:r w:rsidR="000C2760" w:rsidRPr="00AC4AEA">
        <w:rPr>
          <w:rFonts w:ascii="Arial" w:hAnsi="Arial" w:cs="Arial"/>
          <w:sz w:val="20"/>
          <w:szCs w:val="20"/>
          <w:u w:val="single"/>
        </w:rPr>
        <w:t>deducibles</w:t>
      </w:r>
      <w:r w:rsidR="000C2760" w:rsidRPr="00AC4AEA">
        <w:rPr>
          <w:rFonts w:ascii="Arial" w:hAnsi="Arial" w:cs="Arial"/>
          <w:sz w:val="20"/>
          <w:szCs w:val="20"/>
        </w:rPr>
        <w:t>: Son</w:t>
      </w:r>
      <w:r w:rsidRPr="00AC4AEA">
        <w:rPr>
          <w:rFonts w:ascii="Arial" w:hAnsi="Arial" w:cs="Arial"/>
          <w:sz w:val="20"/>
          <w:szCs w:val="20"/>
        </w:rPr>
        <w:t xml:space="preserve"> las diferencias temporarias que darán lugar a la reducción de los beneficios imponibles futuros.</w:t>
      </w:r>
    </w:p>
    <w:p w:rsidR="00C323D3" w:rsidRPr="00AC4AEA" w:rsidRDefault="00C323D3" w:rsidP="00A318EA">
      <w:pPr>
        <w:ind w:left="1416"/>
        <w:jc w:val="both"/>
        <w:rPr>
          <w:rFonts w:ascii="Arial" w:hAnsi="Arial" w:cs="Arial"/>
          <w:sz w:val="20"/>
          <w:szCs w:val="20"/>
        </w:rPr>
      </w:pPr>
      <w:r w:rsidRPr="00AC4AEA">
        <w:rPr>
          <w:rFonts w:ascii="Arial" w:hAnsi="Arial" w:cs="Arial"/>
          <w:sz w:val="20"/>
          <w:szCs w:val="20"/>
          <w:u w:val="single"/>
        </w:rPr>
        <w:t>Diferencias temporarias imponibles</w:t>
      </w:r>
      <w:r w:rsidRPr="00AC4AEA">
        <w:rPr>
          <w:rFonts w:ascii="Arial" w:hAnsi="Arial" w:cs="Arial"/>
          <w:sz w:val="20"/>
          <w:szCs w:val="20"/>
        </w:rPr>
        <w:t>:</w:t>
      </w:r>
      <w:r w:rsidR="005645FD" w:rsidRPr="00AC4AEA">
        <w:rPr>
          <w:rFonts w:ascii="Arial" w:hAnsi="Arial" w:cs="Arial"/>
          <w:sz w:val="20"/>
          <w:szCs w:val="20"/>
        </w:rPr>
        <w:t xml:space="preserve"> </w:t>
      </w:r>
      <w:r w:rsidRPr="00AC4AEA">
        <w:rPr>
          <w:rFonts w:ascii="Arial" w:hAnsi="Arial" w:cs="Arial"/>
          <w:sz w:val="20"/>
          <w:szCs w:val="20"/>
        </w:rPr>
        <w:t>Son las diferencias temporarias que darán lugar al aumento de los beneficios imponibles futuros.</w:t>
      </w:r>
    </w:p>
    <w:p w:rsidR="00D72785" w:rsidRPr="00AC4AEA" w:rsidRDefault="00D72785" w:rsidP="00A318EA">
      <w:pPr>
        <w:ind w:left="1416"/>
        <w:jc w:val="both"/>
        <w:rPr>
          <w:rFonts w:ascii="Arial" w:hAnsi="Arial" w:cs="Arial"/>
          <w:sz w:val="20"/>
          <w:szCs w:val="20"/>
        </w:rPr>
      </w:pPr>
      <w:r w:rsidRPr="00AC4AEA">
        <w:rPr>
          <w:rFonts w:ascii="Arial" w:hAnsi="Arial" w:cs="Arial"/>
          <w:sz w:val="20"/>
          <w:szCs w:val="20"/>
          <w:u w:val="single"/>
        </w:rPr>
        <w:t>Impuesto a las ganancias</w:t>
      </w:r>
      <w:r w:rsidRPr="00AC4AEA">
        <w:rPr>
          <w:rFonts w:ascii="Arial" w:hAnsi="Arial" w:cs="Arial"/>
          <w:sz w:val="20"/>
          <w:szCs w:val="20"/>
        </w:rPr>
        <w:t xml:space="preserve">: </w:t>
      </w:r>
      <w:r w:rsidR="00717DB1" w:rsidRPr="00AC4AEA">
        <w:rPr>
          <w:rFonts w:ascii="Arial" w:hAnsi="Arial" w:cs="Arial"/>
          <w:sz w:val="20"/>
          <w:szCs w:val="20"/>
        </w:rPr>
        <w:t>P</w:t>
      </w:r>
      <w:r w:rsidRPr="00AC4AEA">
        <w:rPr>
          <w:rFonts w:ascii="Arial" w:hAnsi="Arial" w:cs="Arial"/>
          <w:sz w:val="20"/>
          <w:szCs w:val="20"/>
        </w:rPr>
        <w:t>artida que refleja el efecto del gravamen que recae sobre las ganancias finales. Equivale a la suma algebraica del impuesto a las gananc</w:t>
      </w:r>
      <w:r w:rsidR="009A6759" w:rsidRPr="00AC4AEA">
        <w:rPr>
          <w:rFonts w:ascii="Arial" w:hAnsi="Arial" w:cs="Arial"/>
          <w:sz w:val="20"/>
          <w:szCs w:val="20"/>
        </w:rPr>
        <w:t>ia</w:t>
      </w:r>
      <w:r w:rsidRPr="00AC4AEA">
        <w:rPr>
          <w:rFonts w:ascii="Arial" w:hAnsi="Arial" w:cs="Arial"/>
          <w:sz w:val="20"/>
          <w:szCs w:val="20"/>
        </w:rPr>
        <w:t>s corriente y el impuesto a las ganancias diferid</w:t>
      </w:r>
      <w:r w:rsidR="009A6759" w:rsidRPr="00AC4AEA">
        <w:rPr>
          <w:rFonts w:ascii="Arial" w:hAnsi="Arial" w:cs="Arial"/>
          <w:sz w:val="20"/>
          <w:szCs w:val="20"/>
        </w:rPr>
        <w:t>o (cuando este se contabiliza)</w:t>
      </w:r>
      <w:r w:rsidRPr="00AC4AEA">
        <w:rPr>
          <w:rFonts w:ascii="Arial" w:hAnsi="Arial" w:cs="Arial"/>
          <w:sz w:val="20"/>
          <w:szCs w:val="20"/>
        </w:rPr>
        <w:t>.</w:t>
      </w:r>
    </w:p>
    <w:p w:rsidR="00D72785" w:rsidRPr="00AC4AEA" w:rsidRDefault="00D72785" w:rsidP="00A318EA">
      <w:pPr>
        <w:ind w:left="1416"/>
        <w:jc w:val="both"/>
        <w:rPr>
          <w:rFonts w:ascii="Arial" w:hAnsi="Arial" w:cs="Arial"/>
          <w:sz w:val="20"/>
          <w:szCs w:val="20"/>
        </w:rPr>
      </w:pPr>
      <w:r w:rsidRPr="00AC4AEA">
        <w:rPr>
          <w:rFonts w:ascii="Arial" w:hAnsi="Arial" w:cs="Arial"/>
          <w:sz w:val="20"/>
          <w:szCs w:val="20"/>
          <w:u w:val="single"/>
        </w:rPr>
        <w:t>Impuesto a las ganancias corriente</w:t>
      </w:r>
      <w:r w:rsidRPr="00AC4AEA">
        <w:rPr>
          <w:rFonts w:ascii="Arial" w:hAnsi="Arial" w:cs="Arial"/>
          <w:sz w:val="20"/>
          <w:szCs w:val="20"/>
        </w:rPr>
        <w:t xml:space="preserve">: </w:t>
      </w:r>
      <w:r w:rsidR="00717DB1" w:rsidRPr="00AC4AEA">
        <w:rPr>
          <w:rFonts w:ascii="Arial" w:hAnsi="Arial" w:cs="Arial"/>
          <w:sz w:val="20"/>
          <w:szCs w:val="20"/>
        </w:rPr>
        <w:t>I</w:t>
      </w:r>
      <w:r w:rsidRPr="00AC4AEA">
        <w:rPr>
          <w:rFonts w:ascii="Arial" w:hAnsi="Arial" w:cs="Arial"/>
          <w:sz w:val="20"/>
          <w:szCs w:val="20"/>
        </w:rPr>
        <w:t xml:space="preserve">mporte </w:t>
      </w:r>
      <w:r w:rsidR="00C323D3" w:rsidRPr="00AC4AEA">
        <w:rPr>
          <w:rFonts w:ascii="Arial" w:hAnsi="Arial" w:cs="Arial"/>
          <w:sz w:val="20"/>
          <w:szCs w:val="20"/>
        </w:rPr>
        <w:t>determinado en función</w:t>
      </w:r>
      <w:r w:rsidRPr="00AC4AEA">
        <w:rPr>
          <w:rFonts w:ascii="Arial" w:hAnsi="Arial" w:cs="Arial"/>
          <w:sz w:val="20"/>
          <w:szCs w:val="20"/>
        </w:rPr>
        <w:t xml:space="preserve"> </w:t>
      </w:r>
      <w:r w:rsidR="00C323D3" w:rsidRPr="00AC4AEA">
        <w:rPr>
          <w:rFonts w:ascii="Arial" w:hAnsi="Arial" w:cs="Arial"/>
          <w:sz w:val="20"/>
          <w:szCs w:val="20"/>
        </w:rPr>
        <w:t>de</w:t>
      </w:r>
      <w:r w:rsidRPr="00AC4AEA">
        <w:rPr>
          <w:rFonts w:ascii="Arial" w:hAnsi="Arial" w:cs="Arial"/>
          <w:sz w:val="20"/>
          <w:szCs w:val="20"/>
        </w:rPr>
        <w:t xml:space="preserve"> las ganancias fiscales del período</w:t>
      </w:r>
      <w:r w:rsidR="00C323D3" w:rsidRPr="00AC4AEA">
        <w:rPr>
          <w:rFonts w:ascii="Arial" w:hAnsi="Arial" w:cs="Arial"/>
          <w:sz w:val="20"/>
          <w:szCs w:val="20"/>
        </w:rPr>
        <w:t xml:space="preserve"> actual, según surge</w:t>
      </w:r>
      <w:r w:rsidRPr="00AC4AEA">
        <w:rPr>
          <w:rFonts w:ascii="Arial" w:hAnsi="Arial" w:cs="Arial"/>
          <w:sz w:val="20"/>
          <w:szCs w:val="20"/>
        </w:rPr>
        <w:t xml:space="preserve"> de la presentación impositiva.</w:t>
      </w:r>
    </w:p>
    <w:p w:rsidR="00D72785" w:rsidRPr="00AC4AEA" w:rsidRDefault="00D72785" w:rsidP="00A318EA">
      <w:pPr>
        <w:ind w:left="1416"/>
        <w:jc w:val="both"/>
        <w:rPr>
          <w:rFonts w:ascii="Arial" w:hAnsi="Arial" w:cs="Arial"/>
          <w:sz w:val="20"/>
          <w:szCs w:val="20"/>
        </w:rPr>
      </w:pPr>
      <w:r w:rsidRPr="00AC4AEA">
        <w:rPr>
          <w:rFonts w:ascii="Arial" w:hAnsi="Arial" w:cs="Arial"/>
          <w:sz w:val="20"/>
          <w:szCs w:val="20"/>
          <w:u w:val="single"/>
        </w:rPr>
        <w:t>Impuesto a las ganancias diferido</w:t>
      </w:r>
      <w:r w:rsidRPr="00AC4AEA">
        <w:rPr>
          <w:rFonts w:ascii="Arial" w:hAnsi="Arial" w:cs="Arial"/>
          <w:sz w:val="20"/>
          <w:szCs w:val="20"/>
        </w:rPr>
        <w:t xml:space="preserve">: </w:t>
      </w:r>
      <w:r w:rsidR="00717DB1" w:rsidRPr="00AC4AEA">
        <w:rPr>
          <w:rFonts w:ascii="Arial" w:hAnsi="Arial" w:cs="Arial"/>
          <w:sz w:val="20"/>
          <w:szCs w:val="20"/>
        </w:rPr>
        <w:t>I</w:t>
      </w:r>
      <w:r w:rsidRPr="00AC4AEA">
        <w:rPr>
          <w:rFonts w:ascii="Arial" w:hAnsi="Arial" w:cs="Arial"/>
          <w:sz w:val="20"/>
          <w:szCs w:val="20"/>
        </w:rPr>
        <w:t xml:space="preserve">mporte que se estima pagar </w:t>
      </w:r>
      <w:r w:rsidR="00C323D3" w:rsidRPr="00AC4AEA">
        <w:rPr>
          <w:rFonts w:ascii="Arial" w:hAnsi="Arial" w:cs="Arial"/>
          <w:sz w:val="20"/>
          <w:szCs w:val="20"/>
        </w:rPr>
        <w:t xml:space="preserve">o </w:t>
      </w:r>
      <w:r w:rsidRPr="00AC4AEA">
        <w:rPr>
          <w:rFonts w:ascii="Arial" w:hAnsi="Arial" w:cs="Arial"/>
          <w:sz w:val="20"/>
          <w:szCs w:val="20"/>
        </w:rPr>
        <w:t xml:space="preserve">recuperar </w:t>
      </w:r>
      <w:r w:rsidR="002A4C4E" w:rsidRPr="00AC4AEA">
        <w:rPr>
          <w:rFonts w:ascii="Arial" w:hAnsi="Arial" w:cs="Arial"/>
          <w:sz w:val="20"/>
          <w:szCs w:val="20"/>
        </w:rPr>
        <w:t>por</w:t>
      </w:r>
      <w:r w:rsidRPr="00AC4AEA">
        <w:rPr>
          <w:rFonts w:ascii="Arial" w:hAnsi="Arial" w:cs="Arial"/>
          <w:sz w:val="20"/>
          <w:szCs w:val="20"/>
        </w:rPr>
        <w:t xml:space="preserve"> las ganancias </w:t>
      </w:r>
      <w:r w:rsidR="00C323D3" w:rsidRPr="00AC4AEA">
        <w:rPr>
          <w:rFonts w:ascii="Arial" w:hAnsi="Arial" w:cs="Arial"/>
          <w:sz w:val="20"/>
          <w:szCs w:val="20"/>
        </w:rPr>
        <w:t xml:space="preserve">o </w:t>
      </w:r>
      <w:r w:rsidRPr="00AC4AEA">
        <w:rPr>
          <w:rFonts w:ascii="Arial" w:hAnsi="Arial" w:cs="Arial"/>
          <w:sz w:val="20"/>
          <w:szCs w:val="20"/>
        </w:rPr>
        <w:t>pérdidas fiscales de períodos futuros</w:t>
      </w:r>
      <w:r w:rsidR="00882A1A" w:rsidRPr="00AC4AEA">
        <w:rPr>
          <w:rFonts w:ascii="Arial" w:hAnsi="Arial" w:cs="Arial"/>
          <w:sz w:val="20"/>
          <w:szCs w:val="20"/>
        </w:rPr>
        <w:t xml:space="preserve">, debido a los efectos de transacciones contabilizadas a la </w:t>
      </w:r>
      <w:r w:rsidR="00882A1A"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882A1A" w:rsidRPr="00AC4AEA">
        <w:rPr>
          <w:rFonts w:ascii="Arial" w:hAnsi="Arial" w:cs="Arial"/>
          <w:sz w:val="20"/>
          <w:szCs w:val="20"/>
        </w:rPr>
        <w:t>.</w:t>
      </w:r>
    </w:p>
    <w:p w:rsidR="006F6643" w:rsidRPr="00AC4AEA" w:rsidRDefault="00D72785" w:rsidP="00A318EA">
      <w:pPr>
        <w:ind w:left="1416"/>
        <w:jc w:val="both"/>
        <w:rPr>
          <w:rFonts w:ascii="Arial" w:hAnsi="Arial" w:cs="Arial"/>
          <w:sz w:val="20"/>
          <w:szCs w:val="20"/>
        </w:rPr>
      </w:pPr>
      <w:r w:rsidRPr="00AC4AEA">
        <w:rPr>
          <w:rFonts w:ascii="Arial" w:hAnsi="Arial" w:cs="Arial"/>
          <w:sz w:val="20"/>
          <w:szCs w:val="20"/>
          <w:u w:val="single"/>
        </w:rPr>
        <w:t>Tasa</w:t>
      </w:r>
      <w:r w:rsidR="006F6643" w:rsidRPr="00AC4AEA">
        <w:rPr>
          <w:rFonts w:ascii="Arial" w:hAnsi="Arial" w:cs="Arial"/>
          <w:sz w:val="20"/>
          <w:szCs w:val="20"/>
          <w:u w:val="single"/>
        </w:rPr>
        <w:t xml:space="preserve"> (alícuota)</w:t>
      </w:r>
      <w:r w:rsidRPr="00AC4AEA">
        <w:rPr>
          <w:rFonts w:ascii="Arial" w:hAnsi="Arial" w:cs="Arial"/>
          <w:sz w:val="20"/>
          <w:szCs w:val="20"/>
          <w:u w:val="single"/>
        </w:rPr>
        <w:t xml:space="preserve"> fiscal</w:t>
      </w:r>
      <w:r w:rsidRPr="00AC4AEA">
        <w:rPr>
          <w:rFonts w:ascii="Arial" w:hAnsi="Arial" w:cs="Arial"/>
          <w:sz w:val="20"/>
          <w:szCs w:val="20"/>
        </w:rPr>
        <w:t xml:space="preserve">: </w:t>
      </w:r>
      <w:r w:rsidR="00717DB1" w:rsidRPr="00AC4AEA">
        <w:rPr>
          <w:rFonts w:ascii="Arial" w:hAnsi="Arial" w:cs="Arial"/>
          <w:sz w:val="20"/>
          <w:szCs w:val="20"/>
        </w:rPr>
        <w:t>A</w:t>
      </w:r>
      <w:r w:rsidRPr="00AC4AEA">
        <w:rPr>
          <w:rFonts w:ascii="Arial" w:hAnsi="Arial" w:cs="Arial"/>
          <w:sz w:val="20"/>
          <w:szCs w:val="20"/>
        </w:rPr>
        <w:t xml:space="preserve">lícuota que se espera </w:t>
      </w:r>
      <w:r w:rsidR="009A6759" w:rsidRPr="00AC4AEA">
        <w:rPr>
          <w:rFonts w:ascii="Arial" w:hAnsi="Arial" w:cs="Arial"/>
          <w:sz w:val="20"/>
          <w:szCs w:val="20"/>
        </w:rPr>
        <w:t>rija</w:t>
      </w:r>
      <w:r w:rsidRPr="00AC4AEA">
        <w:rPr>
          <w:rFonts w:ascii="Arial" w:hAnsi="Arial" w:cs="Arial"/>
          <w:sz w:val="20"/>
          <w:szCs w:val="20"/>
        </w:rPr>
        <w:t xml:space="preserve"> en el momento </w:t>
      </w:r>
      <w:r w:rsidR="00717DB1" w:rsidRPr="00AC4AEA">
        <w:rPr>
          <w:rFonts w:ascii="Arial" w:hAnsi="Arial" w:cs="Arial"/>
          <w:sz w:val="20"/>
          <w:szCs w:val="20"/>
        </w:rPr>
        <w:t xml:space="preserve">estimado </w:t>
      </w:r>
      <w:r w:rsidRPr="00AC4AEA">
        <w:rPr>
          <w:rFonts w:ascii="Arial" w:hAnsi="Arial" w:cs="Arial"/>
          <w:sz w:val="20"/>
          <w:szCs w:val="20"/>
        </w:rPr>
        <w:t>de reversión de las diferencias temporarias</w:t>
      </w:r>
      <w:r w:rsidR="00767384" w:rsidRPr="00AC4AEA">
        <w:rPr>
          <w:rFonts w:ascii="Arial" w:hAnsi="Arial" w:cs="Arial"/>
          <w:sz w:val="20"/>
          <w:szCs w:val="20"/>
        </w:rPr>
        <w:t xml:space="preserve"> o compensación de pérdidas fiscales</w:t>
      </w:r>
      <w:r w:rsidRPr="00AC4AEA">
        <w:rPr>
          <w:rFonts w:ascii="Arial" w:hAnsi="Arial" w:cs="Arial"/>
          <w:sz w:val="20"/>
          <w:szCs w:val="20"/>
        </w:rPr>
        <w:t xml:space="preserve">, </w:t>
      </w:r>
      <w:r w:rsidR="00717DB1" w:rsidRPr="00AC4AEA">
        <w:rPr>
          <w:rFonts w:ascii="Arial" w:hAnsi="Arial" w:cs="Arial"/>
          <w:sz w:val="20"/>
          <w:szCs w:val="20"/>
        </w:rPr>
        <w:t>de acuerdo con</w:t>
      </w:r>
      <w:r w:rsidRPr="00AC4AEA">
        <w:rPr>
          <w:rFonts w:ascii="Arial" w:hAnsi="Arial" w:cs="Arial"/>
          <w:sz w:val="20"/>
          <w:szCs w:val="20"/>
        </w:rPr>
        <w:t xml:space="preserve"> normas legales aprobadas a la </w:t>
      </w:r>
      <w:r w:rsidR="00717DB1"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717DB1" w:rsidRPr="00AC4AEA">
        <w:rPr>
          <w:rFonts w:ascii="Arial" w:hAnsi="Arial" w:cs="Arial"/>
          <w:b/>
          <w:bCs/>
          <w:sz w:val="20"/>
          <w:szCs w:val="20"/>
        </w:rPr>
        <w:t>.</w:t>
      </w:r>
      <w:r w:rsidR="00B32FF3" w:rsidRPr="00AC4AEA">
        <w:rPr>
          <w:rFonts w:ascii="Arial" w:hAnsi="Arial" w:cs="Arial"/>
          <w:b/>
          <w:bCs/>
          <w:sz w:val="20"/>
          <w:szCs w:val="20"/>
        </w:rPr>
        <w:t xml:space="preserve"> </w:t>
      </w:r>
      <w:r w:rsidR="00B32FF3" w:rsidRPr="00AC4AEA">
        <w:rPr>
          <w:rFonts w:ascii="Arial" w:hAnsi="Arial" w:cs="Arial"/>
          <w:sz w:val="20"/>
          <w:szCs w:val="20"/>
        </w:rPr>
        <w:t>Cuando la legislación fiscal establezca escalas progresivas o similares</w:t>
      </w:r>
      <w:r w:rsidR="006F6643" w:rsidRPr="00AC4AEA">
        <w:rPr>
          <w:rFonts w:ascii="Arial" w:hAnsi="Arial" w:cs="Arial"/>
          <w:sz w:val="20"/>
          <w:szCs w:val="20"/>
        </w:rPr>
        <w:t>, deberá utilizarse:</w:t>
      </w:r>
    </w:p>
    <w:p w:rsidR="006F6643" w:rsidRPr="00AC4AEA" w:rsidRDefault="006F6643" w:rsidP="00A318EA">
      <w:pPr>
        <w:pStyle w:val="Prrafodelista"/>
        <w:numPr>
          <w:ilvl w:val="0"/>
          <w:numId w:val="258"/>
        </w:numPr>
        <w:ind w:left="1982" w:hanging="567"/>
        <w:contextualSpacing w:val="0"/>
        <w:jc w:val="both"/>
        <w:rPr>
          <w:rFonts w:ascii="Arial" w:hAnsi="Arial" w:cs="Arial"/>
          <w:sz w:val="20"/>
          <w:szCs w:val="20"/>
        </w:rPr>
      </w:pPr>
      <w:r w:rsidRPr="00AC4AEA">
        <w:rPr>
          <w:rFonts w:ascii="Arial" w:hAnsi="Arial" w:cs="Arial"/>
          <w:sz w:val="20"/>
          <w:szCs w:val="20"/>
        </w:rPr>
        <w:t xml:space="preserve">la tasa promedio que se </w:t>
      </w:r>
      <w:r w:rsidR="00A41E50" w:rsidRPr="00AC4AEA">
        <w:rPr>
          <w:rFonts w:ascii="Arial" w:hAnsi="Arial" w:cs="Arial"/>
          <w:sz w:val="20"/>
          <w:szCs w:val="20"/>
        </w:rPr>
        <w:t>estime</w:t>
      </w:r>
      <w:r w:rsidRPr="00AC4AEA">
        <w:rPr>
          <w:rFonts w:ascii="Arial" w:hAnsi="Arial" w:cs="Arial"/>
          <w:sz w:val="20"/>
          <w:szCs w:val="20"/>
        </w:rPr>
        <w:t xml:space="preserve"> aplicar, a la ganancia o a la pérdida fiscal, en los períodos en los que se espere</w:t>
      </w:r>
      <w:r w:rsidR="00A41E50" w:rsidRPr="00AC4AEA">
        <w:rPr>
          <w:rFonts w:ascii="Arial" w:hAnsi="Arial" w:cs="Arial"/>
          <w:strike/>
          <w:sz w:val="20"/>
          <w:szCs w:val="20"/>
        </w:rPr>
        <w:t>n</w:t>
      </w:r>
      <w:r w:rsidRPr="00AC4AEA">
        <w:rPr>
          <w:rFonts w:ascii="Arial" w:hAnsi="Arial" w:cs="Arial"/>
          <w:sz w:val="20"/>
          <w:szCs w:val="20"/>
        </w:rPr>
        <w:t xml:space="preserve"> revertir las diferencias</w:t>
      </w:r>
      <w:r w:rsidR="00A41E50" w:rsidRPr="00AC4AEA">
        <w:rPr>
          <w:rFonts w:ascii="Arial" w:hAnsi="Arial" w:cs="Arial"/>
          <w:sz w:val="20"/>
          <w:szCs w:val="20"/>
        </w:rPr>
        <w:t xml:space="preserve"> o compensar los quebrantos</w:t>
      </w:r>
      <w:r w:rsidRPr="00AC4AEA">
        <w:rPr>
          <w:rFonts w:ascii="Arial" w:hAnsi="Arial" w:cs="Arial"/>
          <w:sz w:val="20"/>
          <w:szCs w:val="20"/>
        </w:rPr>
        <w:t>; o</w:t>
      </w:r>
    </w:p>
    <w:p w:rsidR="00D72785" w:rsidRPr="00AC4AEA" w:rsidRDefault="00B32FF3" w:rsidP="00A318EA">
      <w:pPr>
        <w:pStyle w:val="Prrafodelista"/>
        <w:numPr>
          <w:ilvl w:val="0"/>
          <w:numId w:val="258"/>
        </w:numPr>
        <w:ind w:left="1982" w:hanging="567"/>
        <w:contextualSpacing w:val="0"/>
        <w:jc w:val="both"/>
        <w:rPr>
          <w:rFonts w:ascii="Arial" w:hAnsi="Arial" w:cs="Arial"/>
          <w:sz w:val="20"/>
          <w:szCs w:val="20"/>
        </w:rPr>
      </w:pPr>
      <w:r w:rsidRPr="00AC4AEA">
        <w:rPr>
          <w:rFonts w:ascii="Arial" w:hAnsi="Arial" w:cs="Arial"/>
          <w:sz w:val="20"/>
          <w:szCs w:val="20"/>
        </w:rPr>
        <w:t xml:space="preserve">la </w:t>
      </w:r>
      <w:r w:rsidR="006F6643" w:rsidRPr="00AC4AEA">
        <w:rPr>
          <w:rFonts w:ascii="Arial" w:hAnsi="Arial" w:cs="Arial"/>
          <w:sz w:val="20"/>
          <w:szCs w:val="20"/>
        </w:rPr>
        <w:t xml:space="preserve">tasa promedio </w:t>
      </w:r>
      <w:r w:rsidR="00C31678" w:rsidRPr="00AC4AEA">
        <w:rPr>
          <w:rFonts w:ascii="Arial" w:hAnsi="Arial" w:cs="Arial"/>
          <w:sz w:val="20"/>
          <w:szCs w:val="20"/>
        </w:rPr>
        <w:t xml:space="preserve">surgida </w:t>
      </w:r>
      <w:r w:rsidR="006F6643" w:rsidRPr="00AC4AEA">
        <w:rPr>
          <w:rFonts w:ascii="Arial" w:hAnsi="Arial" w:cs="Arial"/>
          <w:sz w:val="20"/>
          <w:szCs w:val="20"/>
        </w:rPr>
        <w:t xml:space="preserve">de la liquidación del impuesto del </w:t>
      </w:r>
      <w:r w:rsidR="007D0411" w:rsidRPr="00AC4AEA">
        <w:rPr>
          <w:rFonts w:ascii="Arial" w:hAnsi="Arial" w:cs="Arial"/>
          <w:sz w:val="20"/>
          <w:szCs w:val="20"/>
        </w:rPr>
        <w:t>período</w:t>
      </w:r>
      <w:r w:rsidR="006F6643" w:rsidRPr="00AC4AEA">
        <w:rPr>
          <w:rFonts w:ascii="Arial" w:hAnsi="Arial" w:cs="Arial"/>
          <w:sz w:val="20"/>
          <w:szCs w:val="20"/>
        </w:rPr>
        <w:t xml:space="preserve"> actual</w:t>
      </w:r>
      <w:r w:rsidR="00C31678" w:rsidRPr="00AC4AEA">
        <w:rPr>
          <w:rFonts w:ascii="Arial" w:hAnsi="Arial" w:cs="Arial"/>
          <w:sz w:val="20"/>
          <w:szCs w:val="20"/>
        </w:rPr>
        <w:t>.</w:t>
      </w:r>
    </w:p>
    <w:p w:rsidR="00D72785" w:rsidRPr="00AC4AEA" w:rsidRDefault="00D72785" w:rsidP="00A318EA">
      <w:pPr>
        <w:jc w:val="both"/>
        <w:rPr>
          <w:rFonts w:ascii="Arial" w:hAnsi="Arial" w:cs="Arial"/>
          <w:b/>
          <w:bCs/>
          <w:sz w:val="20"/>
          <w:szCs w:val="20"/>
        </w:rPr>
      </w:pPr>
    </w:p>
    <w:p w:rsidR="00D72785" w:rsidRPr="00AC4AEA" w:rsidRDefault="00D72785" w:rsidP="00A318EA">
      <w:pPr>
        <w:pStyle w:val="Ttulo2"/>
        <w:rPr>
          <w:rFonts w:cs="Arial"/>
        </w:rPr>
      </w:pPr>
      <w:bookmarkStart w:id="819" w:name="_Toc101863976"/>
      <w:bookmarkStart w:id="820" w:name="_Toc139356867"/>
      <w:r w:rsidRPr="00AC4AEA">
        <w:rPr>
          <w:rFonts w:cs="Arial"/>
        </w:rPr>
        <w:lastRenderedPageBreak/>
        <w:t>Reconocimiento, medición, presentación y revelación del impuesto a las ganancias corriente</w:t>
      </w:r>
      <w:bookmarkEnd w:id="819"/>
      <w:bookmarkEnd w:id="820"/>
    </w:p>
    <w:p w:rsidR="00D72785" w:rsidRPr="00AC4AEA" w:rsidRDefault="00D72785" w:rsidP="00A318EA">
      <w:pPr>
        <w:pStyle w:val="Ttulo3"/>
      </w:pPr>
      <w:bookmarkStart w:id="821" w:name="_Toc101863977"/>
      <w:bookmarkStart w:id="822" w:name="_Toc139356868"/>
      <w:r w:rsidRPr="00AC4AEA">
        <w:t xml:space="preserve">Reconocimiento de </w:t>
      </w:r>
      <w:r w:rsidR="00497590" w:rsidRPr="00AC4AEA">
        <w:t>pasivos</w:t>
      </w:r>
      <w:r w:rsidRPr="00AC4AEA">
        <w:t xml:space="preserve"> por impuesto corriente</w:t>
      </w:r>
      <w:bookmarkEnd w:id="821"/>
      <w:bookmarkEnd w:id="822"/>
    </w:p>
    <w:p w:rsidR="00361A1E" w:rsidRPr="00AC4AEA" w:rsidRDefault="00D72785" w:rsidP="00A318EA">
      <w:pPr>
        <w:pStyle w:val="Prrafodelista"/>
        <w:numPr>
          <w:ilvl w:val="0"/>
          <w:numId w:val="29"/>
        </w:numPr>
        <w:contextualSpacing w:val="0"/>
        <w:jc w:val="both"/>
        <w:rPr>
          <w:rFonts w:ascii="Arial" w:hAnsi="Arial" w:cs="Arial"/>
          <w:sz w:val="20"/>
          <w:szCs w:val="20"/>
        </w:rPr>
      </w:pPr>
      <w:bookmarkStart w:id="823" w:name="_Ref80952493"/>
      <w:r w:rsidRPr="00AC4AEA">
        <w:rPr>
          <w:rFonts w:ascii="Arial" w:hAnsi="Arial" w:cs="Arial"/>
          <w:sz w:val="20"/>
          <w:szCs w:val="20"/>
        </w:rPr>
        <w:t xml:space="preserve">Una entidad pequeña podrá reconocer exclusivamente el </w:t>
      </w:r>
      <w:r w:rsidRPr="00A94103">
        <w:rPr>
          <w:rFonts w:ascii="Arial" w:hAnsi="Arial" w:cs="Arial"/>
          <w:b/>
          <w:bCs/>
          <w:sz w:val="20"/>
          <w:szCs w:val="20"/>
        </w:rPr>
        <w:t xml:space="preserve">gasto </w:t>
      </w:r>
      <w:r w:rsidRPr="00AC4AEA">
        <w:rPr>
          <w:rFonts w:ascii="Arial" w:hAnsi="Arial" w:cs="Arial"/>
          <w:sz w:val="20"/>
          <w:szCs w:val="20"/>
        </w:rPr>
        <w:t xml:space="preserve">y el </w:t>
      </w:r>
      <w:r w:rsidRPr="00AC4AEA">
        <w:rPr>
          <w:rFonts w:ascii="Arial" w:hAnsi="Arial" w:cs="Arial"/>
          <w:b/>
          <w:bCs/>
          <w:sz w:val="20"/>
          <w:szCs w:val="20"/>
        </w:rPr>
        <w:t xml:space="preserve">pasivo </w:t>
      </w:r>
      <w:r w:rsidRPr="00AC4AEA">
        <w:rPr>
          <w:rFonts w:ascii="Arial" w:hAnsi="Arial" w:cs="Arial"/>
          <w:sz w:val="20"/>
          <w:szCs w:val="20"/>
        </w:rPr>
        <w:t>por impuesto a las ganancias corriente.</w:t>
      </w:r>
      <w:bookmarkEnd w:id="823"/>
      <w:r w:rsidR="009127F8" w:rsidRPr="00AC4AEA">
        <w:rPr>
          <w:rFonts w:ascii="Arial" w:hAnsi="Arial" w:cs="Arial"/>
          <w:sz w:val="20"/>
          <w:szCs w:val="20"/>
        </w:rPr>
        <w:t xml:space="preserve"> En este caso, la </w:t>
      </w:r>
      <w:r w:rsidR="00361A1E" w:rsidRPr="00AC4AEA">
        <w:rPr>
          <w:rFonts w:ascii="Arial" w:hAnsi="Arial" w:cs="Arial"/>
          <w:sz w:val="20"/>
          <w:szCs w:val="20"/>
        </w:rPr>
        <w:t>entidad no reconocerá activos ni pasivos por impuestos diferidos.</w:t>
      </w:r>
    </w:p>
    <w:p w:rsidR="009127F8" w:rsidRPr="00AC4AEA" w:rsidRDefault="00ED7181" w:rsidP="00A318EA">
      <w:pPr>
        <w:pStyle w:val="Prrafodelista"/>
        <w:numPr>
          <w:ilvl w:val="0"/>
          <w:numId w:val="29"/>
        </w:numPr>
        <w:contextualSpacing w:val="0"/>
        <w:jc w:val="both"/>
        <w:rPr>
          <w:rFonts w:ascii="Arial" w:hAnsi="Arial" w:cs="Arial"/>
          <w:sz w:val="20"/>
          <w:szCs w:val="20"/>
        </w:rPr>
      </w:pPr>
      <w:bookmarkStart w:id="824" w:name="_Ref136199597"/>
      <w:r w:rsidRPr="00AC4AEA">
        <w:rPr>
          <w:rFonts w:ascii="Arial" w:hAnsi="Arial" w:cs="Arial"/>
          <w:sz w:val="20"/>
          <w:szCs w:val="20"/>
        </w:rPr>
        <w:t>En la medida en que reconocer activos y pasivos por impuestos diferidos implique un costo o esfuerzo desproporcionado, según l</w:t>
      </w:r>
      <w:r w:rsidR="009A0902" w:rsidRPr="00AC4AEA">
        <w:rPr>
          <w:rFonts w:ascii="Arial" w:hAnsi="Arial" w:cs="Arial"/>
          <w:sz w:val="20"/>
          <w:szCs w:val="20"/>
        </w:rPr>
        <w:t>a</w:t>
      </w:r>
      <w:r w:rsidRPr="00AC4AEA">
        <w:rPr>
          <w:rFonts w:ascii="Arial" w:hAnsi="Arial" w:cs="Arial"/>
          <w:sz w:val="20"/>
          <w:szCs w:val="20"/>
        </w:rPr>
        <w:t xml:space="preserve"> </w:t>
      </w:r>
      <w:r w:rsidR="009A0902" w:rsidRPr="00AC4AEA">
        <w:rPr>
          <w:rFonts w:ascii="Arial" w:hAnsi="Arial" w:cs="Arial"/>
          <w:sz w:val="20"/>
          <w:szCs w:val="20"/>
        </w:rPr>
        <w:t xml:space="preserve">evaluación </w:t>
      </w:r>
      <w:r w:rsidRPr="00AC4AEA">
        <w:rPr>
          <w:rFonts w:ascii="Arial" w:hAnsi="Arial" w:cs="Arial"/>
          <w:sz w:val="20"/>
          <w:szCs w:val="20"/>
        </w:rPr>
        <w:t>establecid</w:t>
      </w:r>
      <w:r w:rsidR="009A0902" w:rsidRPr="00AC4AEA">
        <w:rPr>
          <w:rFonts w:ascii="Arial" w:hAnsi="Arial" w:cs="Arial"/>
          <w:sz w:val="20"/>
          <w:szCs w:val="20"/>
        </w:rPr>
        <w:t>a</w:t>
      </w:r>
      <w:r w:rsidRPr="00AC4AEA">
        <w:rPr>
          <w:rFonts w:ascii="Arial" w:hAnsi="Arial" w:cs="Arial"/>
          <w:sz w:val="20"/>
          <w:szCs w:val="20"/>
        </w:rPr>
        <w:t xml:space="preserve"> en el párrafo </w:t>
      </w:r>
      <w:r w:rsidR="001C4138">
        <w:rPr>
          <w:rFonts w:ascii="Arial" w:hAnsi="Arial" w:cs="Arial"/>
          <w:sz w:val="20"/>
          <w:szCs w:val="20"/>
        </w:rPr>
        <w:fldChar w:fldCharType="begin"/>
      </w:r>
      <w:r w:rsidR="00346F54">
        <w:rPr>
          <w:rFonts w:ascii="Arial" w:hAnsi="Arial" w:cs="Arial"/>
          <w:sz w:val="20"/>
          <w:szCs w:val="20"/>
        </w:rPr>
        <w:instrText xml:space="preserve"> REF _Ref136445073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83</w:t>
      </w:r>
      <w:r w:rsidR="001C4138">
        <w:rPr>
          <w:rFonts w:ascii="Arial" w:hAnsi="Arial" w:cs="Arial"/>
          <w:sz w:val="20"/>
          <w:szCs w:val="20"/>
        </w:rPr>
        <w:fldChar w:fldCharType="end"/>
      </w:r>
      <w:r w:rsidRPr="00AC4AEA">
        <w:rPr>
          <w:rFonts w:ascii="Arial" w:hAnsi="Arial" w:cs="Arial"/>
          <w:sz w:val="20"/>
          <w:szCs w:val="20"/>
        </w:rPr>
        <w:t>, u</w:t>
      </w:r>
      <w:r w:rsidR="009127F8" w:rsidRPr="00AC4AEA">
        <w:rPr>
          <w:rFonts w:ascii="Arial" w:hAnsi="Arial" w:cs="Arial"/>
          <w:sz w:val="20"/>
          <w:szCs w:val="20"/>
        </w:rPr>
        <w:t xml:space="preserve">na entidad mediana </w:t>
      </w:r>
      <w:r w:rsidRPr="00AC4AEA">
        <w:rPr>
          <w:rFonts w:ascii="Arial" w:hAnsi="Arial" w:cs="Arial"/>
          <w:sz w:val="20"/>
          <w:szCs w:val="20"/>
        </w:rPr>
        <w:t xml:space="preserve">podrá reconocer exclusivamente el </w:t>
      </w:r>
      <w:r w:rsidRPr="00A94103">
        <w:rPr>
          <w:rFonts w:ascii="Arial" w:hAnsi="Arial" w:cs="Arial"/>
          <w:b/>
          <w:bCs/>
          <w:sz w:val="20"/>
          <w:szCs w:val="20"/>
        </w:rPr>
        <w:t xml:space="preserve">gasto </w:t>
      </w:r>
      <w:r w:rsidRPr="00AC4AEA">
        <w:rPr>
          <w:rFonts w:ascii="Arial" w:hAnsi="Arial" w:cs="Arial"/>
          <w:sz w:val="20"/>
          <w:szCs w:val="20"/>
        </w:rPr>
        <w:t>y el pasivo por impuesto a las ganancias corriente</w:t>
      </w:r>
      <w:r w:rsidR="009127F8" w:rsidRPr="00AC4AEA">
        <w:rPr>
          <w:rFonts w:ascii="Arial" w:hAnsi="Arial" w:cs="Arial"/>
          <w:sz w:val="20"/>
          <w:szCs w:val="20"/>
        </w:rPr>
        <w:t>.</w:t>
      </w:r>
      <w:bookmarkEnd w:id="824"/>
      <w:r w:rsidR="009127F8" w:rsidRPr="00AC4AEA">
        <w:rPr>
          <w:rFonts w:ascii="Arial" w:hAnsi="Arial" w:cs="Arial"/>
          <w:sz w:val="20"/>
          <w:szCs w:val="20"/>
        </w:rPr>
        <w:t xml:space="preserve"> </w:t>
      </w:r>
    </w:p>
    <w:p w:rsidR="00D72785" w:rsidRPr="00AC4AEA" w:rsidRDefault="00D72785" w:rsidP="00A318EA">
      <w:pPr>
        <w:jc w:val="both"/>
        <w:rPr>
          <w:rFonts w:ascii="Arial" w:hAnsi="Arial" w:cs="Arial"/>
          <w:sz w:val="20"/>
          <w:szCs w:val="20"/>
        </w:rPr>
      </w:pPr>
    </w:p>
    <w:p w:rsidR="00D72785" w:rsidRPr="00AC4AEA" w:rsidRDefault="00D72785" w:rsidP="00A318EA">
      <w:pPr>
        <w:pStyle w:val="Ttulo3"/>
      </w:pPr>
      <w:bookmarkStart w:id="825" w:name="_Toc101863978"/>
      <w:bookmarkStart w:id="826" w:name="_Toc139356869"/>
      <w:r w:rsidRPr="00AC4AEA">
        <w:t xml:space="preserve">Medición de </w:t>
      </w:r>
      <w:r w:rsidR="00497590" w:rsidRPr="00AC4AEA">
        <w:t>pasivos</w:t>
      </w:r>
      <w:r w:rsidRPr="00AC4AEA">
        <w:t xml:space="preserve"> </w:t>
      </w:r>
      <w:r w:rsidR="00C323D3" w:rsidRPr="00AC4AEA">
        <w:t xml:space="preserve">o </w:t>
      </w:r>
      <w:r w:rsidR="00497590" w:rsidRPr="00AC4AEA">
        <w:t>activos</w:t>
      </w:r>
      <w:r w:rsidRPr="00AC4AEA">
        <w:t xml:space="preserve"> por impuesto corriente</w:t>
      </w:r>
      <w:bookmarkEnd w:id="825"/>
      <w:bookmarkEnd w:id="826"/>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medirá los </w:t>
      </w:r>
      <w:r w:rsidR="00497590" w:rsidRPr="00AC4AEA">
        <w:rPr>
          <w:rFonts w:ascii="Arial" w:hAnsi="Arial" w:cs="Arial"/>
          <w:sz w:val="20"/>
          <w:szCs w:val="20"/>
        </w:rPr>
        <w:t>pasivos</w:t>
      </w:r>
      <w:r w:rsidRPr="00AC4AEA">
        <w:rPr>
          <w:rFonts w:ascii="Arial" w:hAnsi="Arial" w:cs="Arial"/>
          <w:sz w:val="20"/>
          <w:szCs w:val="20"/>
        </w:rPr>
        <w:t xml:space="preserve"> </w:t>
      </w:r>
      <w:r w:rsidR="00C323D3" w:rsidRPr="00AC4AEA">
        <w:rPr>
          <w:rFonts w:ascii="Arial" w:hAnsi="Arial" w:cs="Arial"/>
          <w:sz w:val="20"/>
          <w:szCs w:val="20"/>
        </w:rPr>
        <w:t xml:space="preserve">o </w:t>
      </w:r>
      <w:r w:rsidR="00497590" w:rsidRPr="00AC4AEA">
        <w:rPr>
          <w:rFonts w:ascii="Arial" w:hAnsi="Arial" w:cs="Arial"/>
          <w:sz w:val="20"/>
          <w:szCs w:val="20"/>
        </w:rPr>
        <w:t>activos</w:t>
      </w:r>
      <w:r w:rsidRPr="00AC4AEA">
        <w:rPr>
          <w:rFonts w:ascii="Arial" w:hAnsi="Arial" w:cs="Arial"/>
          <w:sz w:val="20"/>
          <w:szCs w:val="20"/>
        </w:rPr>
        <w:t xml:space="preserve"> por impuestos corrientes a su valor nominal.</w:t>
      </w:r>
    </w:p>
    <w:p w:rsidR="00D72785" w:rsidRPr="00AC4AEA" w:rsidRDefault="00D72785" w:rsidP="00A318EA">
      <w:pPr>
        <w:jc w:val="both"/>
        <w:rPr>
          <w:rFonts w:ascii="Arial" w:hAnsi="Arial" w:cs="Arial"/>
          <w:sz w:val="20"/>
          <w:szCs w:val="20"/>
        </w:rPr>
      </w:pPr>
    </w:p>
    <w:p w:rsidR="00D72785" w:rsidRPr="00AC4AEA" w:rsidRDefault="00D72785" w:rsidP="00A318EA">
      <w:pPr>
        <w:pStyle w:val="Ttulo3"/>
      </w:pPr>
      <w:bookmarkStart w:id="827" w:name="_Toc101863979"/>
      <w:bookmarkStart w:id="828" w:name="_Toc139356870"/>
      <w:r w:rsidRPr="00AC4AEA">
        <w:t xml:space="preserve">Presentación y revelación de </w:t>
      </w:r>
      <w:r w:rsidR="00497590" w:rsidRPr="00AC4AEA">
        <w:t>pasivos</w:t>
      </w:r>
      <w:r w:rsidRPr="00AC4AEA">
        <w:t xml:space="preserve"> </w:t>
      </w:r>
      <w:r w:rsidR="00C323D3" w:rsidRPr="00AC4AEA">
        <w:t xml:space="preserve">o </w:t>
      </w:r>
      <w:r w:rsidR="00497590" w:rsidRPr="00AC4AEA">
        <w:t>activos</w:t>
      </w:r>
      <w:r w:rsidRPr="00AC4AEA">
        <w:t xml:space="preserve"> y gasto </w:t>
      </w:r>
      <w:r w:rsidR="00C323D3" w:rsidRPr="00AC4AEA">
        <w:t xml:space="preserve">o </w:t>
      </w:r>
      <w:r w:rsidRPr="00AC4AEA">
        <w:t xml:space="preserve">ingreso por impuesto </w:t>
      </w:r>
      <w:r w:rsidR="00C323D3" w:rsidRPr="00AC4AEA">
        <w:t xml:space="preserve">a las ganancias </w:t>
      </w:r>
      <w:r w:rsidRPr="00AC4AEA">
        <w:t>corriente</w:t>
      </w:r>
      <w:bookmarkEnd w:id="827"/>
      <w:bookmarkEnd w:id="828"/>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compensará los </w:t>
      </w:r>
      <w:r w:rsidR="00497590" w:rsidRPr="00AC4AEA">
        <w:rPr>
          <w:rFonts w:ascii="Arial" w:hAnsi="Arial" w:cs="Arial"/>
          <w:sz w:val="20"/>
          <w:szCs w:val="20"/>
        </w:rPr>
        <w:t>pasivos</w:t>
      </w:r>
      <w:r w:rsidRPr="00AC4AEA">
        <w:rPr>
          <w:rFonts w:ascii="Arial" w:hAnsi="Arial" w:cs="Arial"/>
          <w:sz w:val="20"/>
          <w:szCs w:val="20"/>
        </w:rPr>
        <w:t xml:space="preserve"> y </w:t>
      </w:r>
      <w:r w:rsidR="00497590" w:rsidRPr="00AC4AEA">
        <w:rPr>
          <w:rFonts w:ascii="Arial" w:hAnsi="Arial" w:cs="Arial"/>
          <w:sz w:val="20"/>
          <w:szCs w:val="20"/>
        </w:rPr>
        <w:t>activos</w:t>
      </w:r>
      <w:r w:rsidRPr="00AC4AEA">
        <w:rPr>
          <w:rFonts w:ascii="Arial" w:hAnsi="Arial" w:cs="Arial"/>
          <w:sz w:val="20"/>
          <w:szCs w:val="20"/>
        </w:rPr>
        <w:t xml:space="preserve"> por impuesto a las ganancias corriente solo si tiene el derecho, exigible legalmente, de compensar sus importes (por ejemplo, la obligación determinada en un ejercicio debe exponerse neta de anticipos, retenciones y otros pagos a cuenta).</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presentará el </w:t>
      </w:r>
      <w:r w:rsidRPr="00AC4AEA">
        <w:rPr>
          <w:rFonts w:ascii="Arial" w:hAnsi="Arial" w:cs="Arial"/>
          <w:b/>
          <w:bCs/>
          <w:sz w:val="20"/>
          <w:szCs w:val="20"/>
        </w:rPr>
        <w:t xml:space="preserve">pasivo </w:t>
      </w:r>
      <w:r w:rsidR="00C323D3" w:rsidRPr="00AC4AEA">
        <w:rPr>
          <w:rFonts w:ascii="Arial" w:hAnsi="Arial" w:cs="Arial"/>
          <w:sz w:val="20"/>
          <w:szCs w:val="20"/>
        </w:rPr>
        <w:t xml:space="preserve">o </w:t>
      </w:r>
      <w:r w:rsidRPr="00AC4AEA">
        <w:rPr>
          <w:rFonts w:ascii="Arial" w:hAnsi="Arial" w:cs="Arial"/>
          <w:b/>
          <w:bCs/>
          <w:sz w:val="20"/>
          <w:szCs w:val="20"/>
        </w:rPr>
        <w:t>activo</w:t>
      </w:r>
      <w:r w:rsidRPr="00AC4AEA">
        <w:rPr>
          <w:rFonts w:ascii="Arial" w:hAnsi="Arial" w:cs="Arial"/>
          <w:sz w:val="20"/>
          <w:szCs w:val="20"/>
        </w:rPr>
        <w:t xml:space="preserve"> neto por impuesto corriente y lo incluirá dentro </w:t>
      </w:r>
      <w:r w:rsidR="00C323D3" w:rsidRPr="00AC4AEA">
        <w:rPr>
          <w:rFonts w:ascii="Arial" w:hAnsi="Arial" w:cs="Arial"/>
          <w:sz w:val="20"/>
          <w:szCs w:val="20"/>
        </w:rPr>
        <w:t xml:space="preserve">de </w:t>
      </w:r>
      <w:r w:rsidRPr="00AC4AEA">
        <w:rPr>
          <w:rFonts w:ascii="Arial" w:hAnsi="Arial" w:cs="Arial"/>
          <w:sz w:val="20"/>
          <w:szCs w:val="20"/>
        </w:rPr>
        <w:t xml:space="preserve">las deudas </w:t>
      </w:r>
      <w:r w:rsidR="00C323D3" w:rsidRPr="00AC4AEA">
        <w:rPr>
          <w:rFonts w:ascii="Arial" w:hAnsi="Arial" w:cs="Arial"/>
          <w:sz w:val="20"/>
          <w:szCs w:val="20"/>
        </w:rPr>
        <w:t xml:space="preserve">fiscales u </w:t>
      </w:r>
      <w:r w:rsidRPr="00AC4AEA">
        <w:rPr>
          <w:rFonts w:ascii="Arial" w:hAnsi="Arial" w:cs="Arial"/>
          <w:sz w:val="20"/>
          <w:szCs w:val="20"/>
        </w:rPr>
        <w:t xml:space="preserve">otros créditos </w:t>
      </w:r>
      <w:r w:rsidR="00C323D3" w:rsidRPr="00AC4AEA">
        <w:rPr>
          <w:rFonts w:ascii="Arial" w:hAnsi="Arial" w:cs="Arial"/>
          <w:sz w:val="20"/>
          <w:szCs w:val="20"/>
        </w:rPr>
        <w:t>en moneda, según corresponda</w:t>
      </w:r>
      <w:r w:rsidRPr="00AC4AEA">
        <w:rPr>
          <w:rFonts w:ascii="Arial" w:hAnsi="Arial" w:cs="Arial"/>
          <w:sz w:val="20"/>
          <w:szCs w:val="20"/>
        </w:rPr>
        <w:t>.</w:t>
      </w:r>
      <w:r w:rsidR="00C323D3" w:rsidRPr="00AC4AEA">
        <w:rPr>
          <w:rFonts w:ascii="Arial" w:hAnsi="Arial" w:cs="Arial"/>
          <w:sz w:val="20"/>
          <w:szCs w:val="20"/>
        </w:rPr>
        <w:t xml:space="preserve"> En este último caso, a los fines de presentación en notas, se aplicará lo dispuesto en el párrafo </w:t>
      </w:r>
      <w:fldSimple w:instr=" REF _Ref105082071 \r \h  \* MERGEFORMAT ">
        <w:r w:rsidR="00D33A5D" w:rsidRPr="00D33A5D">
          <w:rPr>
            <w:rFonts w:ascii="Arial" w:hAnsi="Arial" w:cs="Arial"/>
            <w:sz w:val="20"/>
            <w:szCs w:val="20"/>
          </w:rPr>
          <w:t>266</w:t>
        </w:r>
      </w:fldSimple>
      <w:r w:rsidR="00C323D3" w:rsidRPr="00AC4AEA">
        <w:rPr>
          <w:rFonts w:ascii="Arial" w:hAnsi="Arial" w:cs="Arial"/>
          <w:sz w:val="20"/>
          <w:szCs w:val="20"/>
        </w:rPr>
        <w:t xml:space="preserve">. </w:t>
      </w:r>
    </w:p>
    <w:p w:rsidR="00D72785" w:rsidRPr="00AC4AEA" w:rsidRDefault="00D72785" w:rsidP="00A318EA">
      <w:pPr>
        <w:pStyle w:val="Prrafodelista"/>
        <w:numPr>
          <w:ilvl w:val="0"/>
          <w:numId w:val="29"/>
        </w:numPr>
        <w:contextualSpacing w:val="0"/>
        <w:jc w:val="both"/>
        <w:rPr>
          <w:rFonts w:ascii="Arial" w:hAnsi="Arial" w:cs="Arial"/>
          <w:sz w:val="20"/>
          <w:szCs w:val="20"/>
        </w:rPr>
      </w:pPr>
      <w:bookmarkStart w:id="829" w:name="_Ref132010890"/>
      <w:r w:rsidRPr="00AC4AEA">
        <w:rPr>
          <w:rFonts w:ascii="Arial" w:hAnsi="Arial" w:cs="Arial"/>
          <w:sz w:val="20"/>
          <w:szCs w:val="20"/>
        </w:rPr>
        <w:t xml:space="preserve">Una entidad presentará el </w:t>
      </w:r>
      <w:r w:rsidRPr="00A94103">
        <w:rPr>
          <w:rFonts w:ascii="Arial" w:hAnsi="Arial" w:cs="Arial"/>
          <w:b/>
          <w:bCs/>
          <w:sz w:val="20"/>
          <w:szCs w:val="20"/>
        </w:rPr>
        <w:t xml:space="preserve">gasto </w:t>
      </w:r>
      <w:r w:rsidRPr="00AC4AEA">
        <w:rPr>
          <w:rFonts w:ascii="Arial" w:hAnsi="Arial" w:cs="Arial"/>
          <w:sz w:val="20"/>
          <w:szCs w:val="20"/>
        </w:rPr>
        <w:t>por impuesto a las ganancias corriente dentro de la misma sección del estado de resultados o del estado de evolución del patrimonio neto donde se exponen las partidas que le dieron origen.</w:t>
      </w:r>
      <w:r w:rsidR="00A82EFF" w:rsidRPr="00AC4AEA">
        <w:rPr>
          <w:rFonts w:ascii="Arial" w:hAnsi="Arial" w:cs="Arial"/>
          <w:sz w:val="20"/>
          <w:szCs w:val="20"/>
        </w:rPr>
        <w:t xml:space="preserve"> </w:t>
      </w:r>
      <w:r w:rsidR="005645FD" w:rsidRPr="00AC4AEA">
        <w:rPr>
          <w:rFonts w:ascii="Arial" w:hAnsi="Arial" w:cs="Arial"/>
          <w:sz w:val="20"/>
          <w:szCs w:val="20"/>
        </w:rPr>
        <w:t>A esos fines expondrá netas del impuesto a las ganancias</w:t>
      </w:r>
      <w:bookmarkEnd w:id="829"/>
    </w:p>
    <w:p w:rsidR="005645FD" w:rsidRPr="00AC4AEA" w:rsidRDefault="005645FD" w:rsidP="00A318EA">
      <w:pPr>
        <w:pStyle w:val="Prrafodelista"/>
        <w:numPr>
          <w:ilvl w:val="0"/>
          <w:numId w:val="429"/>
        </w:numPr>
        <w:ind w:left="1560"/>
        <w:contextualSpacing w:val="0"/>
        <w:jc w:val="both"/>
        <w:rPr>
          <w:rFonts w:ascii="Arial" w:hAnsi="Arial" w:cs="Arial"/>
          <w:sz w:val="20"/>
          <w:szCs w:val="20"/>
        </w:rPr>
      </w:pPr>
      <w:r w:rsidRPr="00AC4AEA">
        <w:rPr>
          <w:rFonts w:ascii="Arial" w:hAnsi="Arial" w:cs="Arial"/>
          <w:sz w:val="20"/>
          <w:szCs w:val="20"/>
        </w:rPr>
        <w:t>En el estado de resultados, partidas tales como:</w:t>
      </w:r>
    </w:p>
    <w:p w:rsidR="005645FD" w:rsidRPr="00AC4AEA" w:rsidRDefault="005645FD" w:rsidP="00A318EA">
      <w:pPr>
        <w:pStyle w:val="Prrafodelista"/>
        <w:widowControl w:val="0"/>
        <w:numPr>
          <w:ilvl w:val="0"/>
          <w:numId w:val="430"/>
        </w:numPr>
        <w:autoSpaceDE w:val="0"/>
        <w:autoSpaceDN w:val="0"/>
        <w:ind w:left="1985"/>
        <w:contextualSpacing w:val="0"/>
        <w:jc w:val="both"/>
        <w:rPr>
          <w:rFonts w:ascii="Arial" w:hAnsi="Arial" w:cs="Arial"/>
          <w:sz w:val="20"/>
          <w:szCs w:val="20"/>
        </w:rPr>
      </w:pPr>
      <w:r w:rsidRPr="00AC4AEA">
        <w:rPr>
          <w:rFonts w:ascii="Arial" w:hAnsi="Arial" w:cs="Arial"/>
          <w:sz w:val="20"/>
          <w:szCs w:val="20"/>
        </w:rPr>
        <w:t>los resultados de las operaciones que continúan; y</w:t>
      </w:r>
    </w:p>
    <w:p w:rsidR="005645FD" w:rsidRPr="00AC4AEA" w:rsidRDefault="005645FD" w:rsidP="00A318EA">
      <w:pPr>
        <w:pStyle w:val="Prrafodelista"/>
        <w:widowControl w:val="0"/>
        <w:numPr>
          <w:ilvl w:val="0"/>
          <w:numId w:val="430"/>
        </w:numPr>
        <w:tabs>
          <w:tab w:val="left" w:pos="623"/>
        </w:tabs>
        <w:autoSpaceDE w:val="0"/>
        <w:autoSpaceDN w:val="0"/>
        <w:ind w:left="1985"/>
        <w:contextualSpacing w:val="0"/>
        <w:jc w:val="both"/>
        <w:rPr>
          <w:rFonts w:ascii="Arial" w:hAnsi="Arial" w:cs="Arial"/>
          <w:sz w:val="20"/>
          <w:szCs w:val="20"/>
        </w:rPr>
      </w:pPr>
      <w:r w:rsidRPr="00AC4AEA">
        <w:rPr>
          <w:rFonts w:ascii="Arial" w:hAnsi="Arial" w:cs="Arial"/>
          <w:sz w:val="20"/>
          <w:szCs w:val="20"/>
        </w:rPr>
        <w:t>los resultados de operaciones discontinuadas o en discontinuación</w:t>
      </w:r>
      <w:r w:rsidR="00E16F3E" w:rsidRPr="00AC4AEA">
        <w:rPr>
          <w:rFonts w:ascii="Arial" w:hAnsi="Arial" w:cs="Arial"/>
          <w:sz w:val="20"/>
          <w:szCs w:val="20"/>
        </w:rPr>
        <w:t>.</w:t>
      </w:r>
    </w:p>
    <w:p w:rsidR="005645FD" w:rsidRPr="00AC4AEA" w:rsidRDefault="005645FD" w:rsidP="00A318EA">
      <w:pPr>
        <w:pStyle w:val="Prrafodelista"/>
        <w:numPr>
          <w:ilvl w:val="0"/>
          <w:numId w:val="429"/>
        </w:numPr>
        <w:ind w:left="1560"/>
        <w:contextualSpacing w:val="0"/>
        <w:jc w:val="both"/>
        <w:rPr>
          <w:rFonts w:ascii="Arial" w:hAnsi="Arial" w:cs="Arial"/>
          <w:sz w:val="20"/>
          <w:szCs w:val="20"/>
        </w:rPr>
      </w:pPr>
      <w:r w:rsidRPr="00AC4AEA">
        <w:rPr>
          <w:rFonts w:ascii="Arial" w:hAnsi="Arial" w:cs="Arial"/>
          <w:sz w:val="20"/>
          <w:szCs w:val="20"/>
        </w:rPr>
        <w:t>En el estado de evolución del patrimonio, partidas tales como:</w:t>
      </w:r>
    </w:p>
    <w:p w:rsidR="005645FD" w:rsidRPr="00AC4AEA" w:rsidRDefault="005645FD" w:rsidP="00A318EA">
      <w:pPr>
        <w:pStyle w:val="Prrafodelista"/>
        <w:widowControl w:val="0"/>
        <w:numPr>
          <w:ilvl w:val="0"/>
          <w:numId w:val="431"/>
        </w:numPr>
        <w:autoSpaceDE w:val="0"/>
        <w:autoSpaceDN w:val="0"/>
        <w:ind w:left="1985"/>
        <w:contextualSpacing w:val="0"/>
        <w:jc w:val="both"/>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resultados diferidos</w:t>
      </w:r>
      <w:r w:rsidRPr="00AC4AEA">
        <w:rPr>
          <w:rFonts w:ascii="Arial" w:hAnsi="Arial" w:cs="Arial"/>
          <w:sz w:val="20"/>
          <w:szCs w:val="20"/>
        </w:rPr>
        <w:t>; y</w:t>
      </w:r>
    </w:p>
    <w:p w:rsidR="005645FD" w:rsidRPr="00AC4AEA" w:rsidRDefault="005645FD" w:rsidP="00A318EA">
      <w:pPr>
        <w:pStyle w:val="Prrafodelista"/>
        <w:widowControl w:val="0"/>
        <w:numPr>
          <w:ilvl w:val="0"/>
          <w:numId w:val="431"/>
        </w:numPr>
        <w:tabs>
          <w:tab w:val="left" w:pos="623"/>
        </w:tabs>
        <w:autoSpaceDE w:val="0"/>
        <w:autoSpaceDN w:val="0"/>
        <w:ind w:left="1985"/>
        <w:contextualSpacing w:val="0"/>
        <w:jc w:val="both"/>
        <w:rPr>
          <w:rFonts w:ascii="Arial" w:hAnsi="Arial" w:cs="Arial"/>
          <w:sz w:val="20"/>
          <w:szCs w:val="20"/>
        </w:rPr>
      </w:pPr>
      <w:r w:rsidRPr="00AC4AEA">
        <w:rPr>
          <w:rFonts w:ascii="Arial" w:hAnsi="Arial" w:cs="Arial"/>
          <w:sz w:val="20"/>
          <w:szCs w:val="20"/>
        </w:rPr>
        <w:t>los ajustes de resultados de ejercicios anteriores.</w:t>
      </w:r>
    </w:p>
    <w:p w:rsidR="00D72785" w:rsidRPr="00AC4AEA" w:rsidRDefault="00D72785" w:rsidP="00A318EA">
      <w:pPr>
        <w:jc w:val="both"/>
        <w:rPr>
          <w:rFonts w:ascii="Arial" w:hAnsi="Arial" w:cs="Arial"/>
          <w:sz w:val="20"/>
          <w:szCs w:val="20"/>
        </w:rPr>
      </w:pPr>
    </w:p>
    <w:p w:rsidR="00D72785" w:rsidRPr="00AC4AEA" w:rsidRDefault="00D72785" w:rsidP="00A318EA">
      <w:pPr>
        <w:pStyle w:val="Ttulo2"/>
        <w:rPr>
          <w:rFonts w:cs="Arial"/>
        </w:rPr>
      </w:pPr>
      <w:bookmarkStart w:id="830" w:name="_Toc101863980"/>
      <w:bookmarkStart w:id="831" w:name="_Toc139356871"/>
      <w:r w:rsidRPr="00AC4AEA">
        <w:rPr>
          <w:rFonts w:cs="Arial"/>
        </w:rPr>
        <w:lastRenderedPageBreak/>
        <w:t>Reconocimiento, medición, presentación y revelación del impuesto a las ganancias diferido</w:t>
      </w:r>
      <w:bookmarkEnd w:id="830"/>
      <w:bookmarkEnd w:id="831"/>
    </w:p>
    <w:p w:rsidR="00D72785" w:rsidRPr="00AC4AEA" w:rsidRDefault="00D72785" w:rsidP="00A318EA">
      <w:pPr>
        <w:pStyle w:val="Ttulo3"/>
      </w:pPr>
      <w:bookmarkStart w:id="832" w:name="_Toc101863981"/>
      <w:bookmarkStart w:id="833" w:name="_Toc139356872"/>
      <w:r w:rsidRPr="00AC4AEA">
        <w:t xml:space="preserve">Reconocimiento de </w:t>
      </w:r>
      <w:r w:rsidR="00497590" w:rsidRPr="00AC4AEA">
        <w:t>pasivos</w:t>
      </w:r>
      <w:r w:rsidRPr="00AC4AEA">
        <w:t xml:space="preserve"> </w:t>
      </w:r>
      <w:r w:rsidR="00C323D3" w:rsidRPr="00AC4AEA">
        <w:t xml:space="preserve">o </w:t>
      </w:r>
      <w:r w:rsidR="00497590" w:rsidRPr="00AC4AEA">
        <w:t>activos</w:t>
      </w:r>
      <w:r w:rsidRPr="00AC4AEA">
        <w:t xml:space="preserve"> por impuesto diferido</w:t>
      </w:r>
      <w:bookmarkEnd w:id="832"/>
      <w:bookmarkEnd w:id="833"/>
    </w:p>
    <w:p w:rsidR="00D72785" w:rsidRPr="00AC4AEA" w:rsidRDefault="00D72785" w:rsidP="00A318EA">
      <w:pPr>
        <w:pStyle w:val="Prrafodelista"/>
        <w:numPr>
          <w:ilvl w:val="0"/>
          <w:numId w:val="29"/>
        </w:numPr>
        <w:contextualSpacing w:val="0"/>
        <w:jc w:val="both"/>
        <w:rPr>
          <w:rFonts w:ascii="Arial" w:hAnsi="Arial" w:cs="Arial"/>
          <w:sz w:val="20"/>
          <w:szCs w:val="20"/>
        </w:rPr>
      </w:pPr>
      <w:bookmarkStart w:id="834" w:name="_Ref99458612"/>
      <w:r w:rsidRPr="00AC4AEA">
        <w:rPr>
          <w:rFonts w:ascii="Arial" w:hAnsi="Arial" w:cs="Arial"/>
          <w:sz w:val="20"/>
          <w:szCs w:val="20"/>
        </w:rPr>
        <w:t xml:space="preserve">Una entidad que no es pequeña </w:t>
      </w:r>
      <w:r w:rsidR="00E42DDE" w:rsidRPr="00AC4AEA">
        <w:rPr>
          <w:rFonts w:ascii="Arial" w:hAnsi="Arial" w:cs="Arial"/>
          <w:sz w:val="20"/>
          <w:szCs w:val="20"/>
        </w:rPr>
        <w:t>aplicará</w:t>
      </w:r>
      <w:r w:rsidRPr="00AC4AEA">
        <w:rPr>
          <w:rFonts w:ascii="Arial" w:hAnsi="Arial" w:cs="Arial"/>
          <w:sz w:val="20"/>
          <w:szCs w:val="20"/>
        </w:rPr>
        <w:t xml:space="preserve"> el método del impuesto diferido y, por lo tanto, </w:t>
      </w:r>
      <w:r w:rsidR="00E42DDE" w:rsidRPr="00AC4AEA">
        <w:rPr>
          <w:rFonts w:ascii="Arial" w:hAnsi="Arial" w:cs="Arial"/>
          <w:sz w:val="20"/>
          <w:szCs w:val="20"/>
        </w:rPr>
        <w:t>reconocerá</w:t>
      </w:r>
      <w:r w:rsidRPr="00AC4AEA">
        <w:rPr>
          <w:rFonts w:ascii="Arial" w:hAnsi="Arial" w:cs="Arial"/>
          <w:sz w:val="20"/>
          <w:szCs w:val="20"/>
        </w:rPr>
        <w:t>:</w:t>
      </w:r>
      <w:bookmarkEnd w:id="834"/>
    </w:p>
    <w:p w:rsidR="00D72785" w:rsidRPr="00AC4AEA" w:rsidRDefault="00DF5269" w:rsidP="00A318EA">
      <w:pPr>
        <w:pStyle w:val="Prrafodelista"/>
        <w:numPr>
          <w:ilvl w:val="0"/>
          <w:numId w:val="161"/>
        </w:numPr>
        <w:ind w:left="1560"/>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 xml:space="preserve">l </w:t>
      </w:r>
      <w:r w:rsidR="00D72785" w:rsidRPr="00A94103">
        <w:rPr>
          <w:rFonts w:ascii="Arial" w:hAnsi="Arial" w:cs="Arial"/>
          <w:b/>
          <w:bCs/>
          <w:sz w:val="20"/>
          <w:szCs w:val="20"/>
        </w:rPr>
        <w:t xml:space="preserve">gasto </w:t>
      </w:r>
      <w:r w:rsidR="00D72785" w:rsidRPr="00AC4AEA">
        <w:rPr>
          <w:rFonts w:ascii="Arial" w:hAnsi="Arial" w:cs="Arial"/>
          <w:sz w:val="20"/>
          <w:szCs w:val="20"/>
        </w:rPr>
        <w:t>y el pasivo por impuesto a las ganancias corriente</w:t>
      </w:r>
      <w:r w:rsidR="00F01832" w:rsidRPr="00AC4AEA">
        <w:rPr>
          <w:rFonts w:ascii="Arial" w:hAnsi="Arial" w:cs="Arial"/>
          <w:sz w:val="20"/>
          <w:szCs w:val="20"/>
        </w:rPr>
        <w:t>;</w:t>
      </w:r>
      <w:r w:rsidR="00D72785" w:rsidRPr="00AC4AEA">
        <w:rPr>
          <w:rFonts w:ascii="Arial" w:hAnsi="Arial" w:cs="Arial"/>
          <w:sz w:val="20"/>
          <w:szCs w:val="20"/>
        </w:rPr>
        <w:t xml:space="preserve"> y</w:t>
      </w:r>
    </w:p>
    <w:p w:rsidR="00D72785" w:rsidRPr="00AC4AEA" w:rsidRDefault="00DF5269" w:rsidP="00A318EA">
      <w:pPr>
        <w:pStyle w:val="Prrafodelista"/>
        <w:numPr>
          <w:ilvl w:val="0"/>
          <w:numId w:val="161"/>
        </w:numPr>
        <w:ind w:left="1560"/>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 xml:space="preserve">l </w:t>
      </w:r>
      <w:r w:rsidR="00D72785" w:rsidRPr="00A94103">
        <w:rPr>
          <w:rFonts w:ascii="Arial" w:hAnsi="Arial" w:cs="Arial"/>
          <w:b/>
          <w:bCs/>
          <w:sz w:val="20"/>
          <w:szCs w:val="20"/>
        </w:rPr>
        <w:t xml:space="preserve">gasto </w:t>
      </w:r>
      <w:r w:rsidR="00C323D3" w:rsidRPr="00AC4AEA">
        <w:rPr>
          <w:rFonts w:ascii="Arial" w:hAnsi="Arial" w:cs="Arial"/>
          <w:sz w:val="20"/>
          <w:szCs w:val="20"/>
        </w:rPr>
        <w:t xml:space="preserve">o </w:t>
      </w:r>
      <w:r w:rsidR="00D72785" w:rsidRPr="00A94103">
        <w:rPr>
          <w:rFonts w:ascii="Arial" w:hAnsi="Arial" w:cs="Arial"/>
          <w:b/>
          <w:bCs/>
          <w:sz w:val="20"/>
          <w:szCs w:val="20"/>
        </w:rPr>
        <w:t xml:space="preserve">ingreso </w:t>
      </w:r>
      <w:r w:rsidR="00D72785" w:rsidRPr="00AC4AEA">
        <w:rPr>
          <w:rFonts w:ascii="Arial" w:hAnsi="Arial" w:cs="Arial"/>
          <w:sz w:val="20"/>
          <w:szCs w:val="20"/>
        </w:rPr>
        <w:t xml:space="preserve">y el </w:t>
      </w:r>
      <w:r w:rsidR="00D72785" w:rsidRPr="00AC4AEA">
        <w:rPr>
          <w:rFonts w:ascii="Arial" w:hAnsi="Arial" w:cs="Arial"/>
          <w:b/>
          <w:bCs/>
          <w:sz w:val="20"/>
          <w:szCs w:val="20"/>
        </w:rPr>
        <w:t xml:space="preserve">pasivo </w:t>
      </w:r>
      <w:r w:rsidR="00C323D3" w:rsidRPr="00AC4AEA">
        <w:rPr>
          <w:rFonts w:ascii="Arial" w:hAnsi="Arial" w:cs="Arial"/>
          <w:sz w:val="20"/>
          <w:szCs w:val="20"/>
        </w:rPr>
        <w:t xml:space="preserve">o </w:t>
      </w:r>
      <w:r w:rsidR="00D72785" w:rsidRPr="00AC4AEA">
        <w:rPr>
          <w:rFonts w:ascii="Arial" w:hAnsi="Arial" w:cs="Arial"/>
          <w:b/>
          <w:bCs/>
          <w:sz w:val="20"/>
          <w:szCs w:val="20"/>
        </w:rPr>
        <w:t>activo</w:t>
      </w:r>
      <w:r w:rsidR="00D72785" w:rsidRPr="00AC4AEA">
        <w:rPr>
          <w:rFonts w:ascii="Arial" w:hAnsi="Arial" w:cs="Arial"/>
          <w:sz w:val="20"/>
          <w:szCs w:val="20"/>
        </w:rPr>
        <w:t xml:space="preserve"> por impuesto a las ganancias diferido</w:t>
      </w:r>
      <w:r w:rsidR="00A41E50" w:rsidRPr="00AC4AEA">
        <w:rPr>
          <w:rFonts w:ascii="Arial" w:hAnsi="Arial" w:cs="Arial"/>
          <w:sz w:val="20"/>
          <w:szCs w:val="20"/>
        </w:rPr>
        <w:t>.</w:t>
      </w:r>
    </w:p>
    <w:p w:rsidR="00196685" w:rsidRPr="00AC4AEA" w:rsidRDefault="001966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w:t>
      </w:r>
      <w:r w:rsidR="00061388" w:rsidRPr="00AC4AEA">
        <w:rPr>
          <w:rFonts w:ascii="Arial" w:hAnsi="Arial" w:cs="Arial"/>
          <w:sz w:val="20"/>
          <w:szCs w:val="20"/>
        </w:rPr>
        <w:t xml:space="preserve">na entidad calculará el </w:t>
      </w:r>
      <w:r w:rsidR="00061388" w:rsidRPr="00A94103">
        <w:rPr>
          <w:rFonts w:ascii="Arial" w:hAnsi="Arial" w:cs="Arial"/>
          <w:b/>
          <w:bCs/>
          <w:sz w:val="20"/>
          <w:szCs w:val="20"/>
        </w:rPr>
        <w:t xml:space="preserve">gasto </w:t>
      </w:r>
      <w:r w:rsidR="00C323D3" w:rsidRPr="00AC4AEA">
        <w:rPr>
          <w:rFonts w:ascii="Arial" w:hAnsi="Arial" w:cs="Arial"/>
          <w:sz w:val="20"/>
          <w:szCs w:val="20"/>
        </w:rPr>
        <w:t xml:space="preserve">o </w:t>
      </w:r>
      <w:r w:rsidR="00061388" w:rsidRPr="00A94103">
        <w:rPr>
          <w:rFonts w:ascii="Arial" w:hAnsi="Arial" w:cs="Arial"/>
          <w:b/>
          <w:bCs/>
          <w:sz w:val="20"/>
          <w:szCs w:val="20"/>
        </w:rPr>
        <w:t>ingreso</w:t>
      </w:r>
      <w:r w:rsidR="00061388" w:rsidRPr="00AC4AEA">
        <w:rPr>
          <w:rFonts w:ascii="Arial" w:hAnsi="Arial" w:cs="Arial"/>
          <w:sz w:val="20"/>
          <w:szCs w:val="20"/>
        </w:rPr>
        <w:t xml:space="preserve"> por</w:t>
      </w:r>
      <w:r w:rsidR="00A41E50" w:rsidRPr="00AC4AEA">
        <w:rPr>
          <w:rFonts w:ascii="Arial" w:hAnsi="Arial" w:cs="Arial"/>
          <w:sz w:val="20"/>
          <w:szCs w:val="20"/>
        </w:rPr>
        <w:t xml:space="preserve"> impuesto a las ganancias diferido</w:t>
      </w:r>
      <w:r w:rsidRPr="00AC4AEA">
        <w:rPr>
          <w:rFonts w:ascii="Arial" w:hAnsi="Arial" w:cs="Arial"/>
          <w:sz w:val="20"/>
          <w:szCs w:val="20"/>
        </w:rPr>
        <w:t>,</w:t>
      </w:r>
      <w:r w:rsidR="00A41E50" w:rsidRPr="00AC4AEA">
        <w:rPr>
          <w:rFonts w:ascii="Arial" w:hAnsi="Arial" w:cs="Arial"/>
          <w:sz w:val="20"/>
          <w:szCs w:val="20"/>
        </w:rPr>
        <w:t xml:space="preserve"> </w:t>
      </w:r>
      <w:r w:rsidRPr="00AC4AEA">
        <w:rPr>
          <w:rFonts w:ascii="Arial" w:hAnsi="Arial" w:cs="Arial"/>
          <w:sz w:val="20"/>
          <w:szCs w:val="20"/>
        </w:rPr>
        <w:t xml:space="preserve">al que se refiere el párrafo </w:t>
      </w:r>
      <w:fldSimple w:instr=" REF _Ref132010890 \r \h  \* MERGEFORMAT ">
        <w:r w:rsidR="00D33A5D" w:rsidRPr="00D33A5D">
          <w:rPr>
            <w:rFonts w:ascii="Arial" w:hAnsi="Arial" w:cs="Arial"/>
            <w:sz w:val="20"/>
            <w:szCs w:val="20"/>
          </w:rPr>
          <w:t>577</w:t>
        </w:r>
      </w:fldSimple>
      <w:r w:rsidRPr="00AC4AEA">
        <w:rPr>
          <w:rFonts w:ascii="Arial" w:hAnsi="Arial" w:cs="Arial"/>
          <w:sz w:val="20"/>
          <w:szCs w:val="20"/>
        </w:rPr>
        <w:t xml:space="preserve">, </w:t>
      </w:r>
      <w:r w:rsidR="00FD6398" w:rsidRPr="00AC4AEA">
        <w:rPr>
          <w:rFonts w:ascii="Arial" w:hAnsi="Arial" w:cs="Arial"/>
          <w:sz w:val="20"/>
          <w:szCs w:val="20"/>
        </w:rPr>
        <w:t>como</w:t>
      </w:r>
      <w:r w:rsidR="00061388" w:rsidRPr="00AC4AEA">
        <w:rPr>
          <w:rFonts w:ascii="Arial" w:hAnsi="Arial" w:cs="Arial"/>
          <w:sz w:val="20"/>
          <w:szCs w:val="20"/>
        </w:rPr>
        <w:t xml:space="preserve"> diferencia entre</w:t>
      </w:r>
      <w:r w:rsidR="00A41E50" w:rsidRPr="00AC4AEA">
        <w:rPr>
          <w:rFonts w:ascii="Arial" w:hAnsi="Arial" w:cs="Arial"/>
          <w:sz w:val="20"/>
          <w:szCs w:val="20"/>
        </w:rPr>
        <w:t xml:space="preserve"> la medición de </w:t>
      </w:r>
      <w:r w:rsidR="00497590" w:rsidRPr="00AC4AEA">
        <w:rPr>
          <w:rFonts w:ascii="Arial" w:hAnsi="Arial" w:cs="Arial"/>
          <w:sz w:val="20"/>
          <w:szCs w:val="20"/>
        </w:rPr>
        <w:t>pasivos</w:t>
      </w:r>
      <w:r w:rsidR="00A41E50" w:rsidRPr="00AC4AEA">
        <w:rPr>
          <w:rFonts w:ascii="Arial" w:hAnsi="Arial" w:cs="Arial"/>
          <w:sz w:val="20"/>
          <w:szCs w:val="20"/>
        </w:rPr>
        <w:t xml:space="preserve"> </w:t>
      </w:r>
      <w:r w:rsidR="00C323D3" w:rsidRPr="00AC4AEA">
        <w:rPr>
          <w:rFonts w:ascii="Arial" w:hAnsi="Arial" w:cs="Arial"/>
          <w:sz w:val="20"/>
          <w:szCs w:val="20"/>
        </w:rPr>
        <w:t xml:space="preserve">o </w:t>
      </w:r>
      <w:r w:rsidR="00497590" w:rsidRPr="00AC4AEA">
        <w:rPr>
          <w:rFonts w:ascii="Arial" w:hAnsi="Arial" w:cs="Arial"/>
          <w:sz w:val="20"/>
          <w:szCs w:val="20"/>
        </w:rPr>
        <w:t>activos</w:t>
      </w:r>
      <w:r w:rsidR="00A41E50" w:rsidRPr="00AC4AEA">
        <w:rPr>
          <w:rFonts w:ascii="Arial" w:hAnsi="Arial" w:cs="Arial"/>
          <w:sz w:val="20"/>
          <w:szCs w:val="20"/>
        </w:rPr>
        <w:t xml:space="preserve"> por impuestos diferidos </w:t>
      </w:r>
      <w:r w:rsidR="00FD6398" w:rsidRPr="00AC4AEA">
        <w:rPr>
          <w:rFonts w:ascii="Arial" w:hAnsi="Arial" w:cs="Arial"/>
          <w:sz w:val="20"/>
          <w:szCs w:val="20"/>
        </w:rPr>
        <w:t xml:space="preserve">(netos) </w:t>
      </w:r>
      <w:r w:rsidR="00A41E50" w:rsidRPr="00AC4AEA">
        <w:rPr>
          <w:rFonts w:ascii="Arial" w:hAnsi="Arial" w:cs="Arial"/>
          <w:sz w:val="20"/>
          <w:szCs w:val="20"/>
        </w:rPr>
        <w:t xml:space="preserve">a la </w:t>
      </w:r>
      <w:r w:rsidR="00A41E50"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A41E50" w:rsidRPr="00AC4AEA">
        <w:rPr>
          <w:rFonts w:ascii="Arial" w:hAnsi="Arial" w:cs="Arial"/>
          <w:sz w:val="20"/>
          <w:szCs w:val="20"/>
        </w:rPr>
        <w:t xml:space="preserve"> </w:t>
      </w:r>
      <w:r w:rsidR="00061388" w:rsidRPr="00AC4AEA">
        <w:rPr>
          <w:rFonts w:ascii="Arial" w:hAnsi="Arial" w:cs="Arial"/>
          <w:sz w:val="20"/>
          <w:szCs w:val="20"/>
        </w:rPr>
        <w:t>y</w:t>
      </w:r>
      <w:r w:rsidR="00A41E50" w:rsidRPr="00AC4AEA">
        <w:rPr>
          <w:rFonts w:ascii="Arial" w:hAnsi="Arial" w:cs="Arial"/>
          <w:sz w:val="20"/>
          <w:szCs w:val="20"/>
        </w:rPr>
        <w:t xml:space="preserve"> </w:t>
      </w:r>
      <w:r w:rsidR="00FD6398" w:rsidRPr="00AC4AEA">
        <w:rPr>
          <w:rFonts w:ascii="Arial" w:hAnsi="Arial" w:cs="Arial"/>
          <w:sz w:val="20"/>
          <w:szCs w:val="20"/>
        </w:rPr>
        <w:t xml:space="preserve">la medición </w:t>
      </w:r>
      <w:r w:rsidR="00963389" w:rsidRPr="00AC4AEA">
        <w:rPr>
          <w:rFonts w:ascii="Arial" w:hAnsi="Arial" w:cs="Arial"/>
          <w:sz w:val="20"/>
          <w:szCs w:val="20"/>
        </w:rPr>
        <w:t xml:space="preserve">de </w:t>
      </w:r>
      <w:r w:rsidR="00FD6398" w:rsidRPr="00AC4AEA">
        <w:rPr>
          <w:rFonts w:ascii="Arial" w:hAnsi="Arial" w:cs="Arial"/>
          <w:sz w:val="20"/>
          <w:szCs w:val="20"/>
        </w:rPr>
        <w:t>tales pasivos o activos (netos)</w:t>
      </w:r>
      <w:r w:rsidR="00A41E50" w:rsidRPr="00AC4AEA">
        <w:rPr>
          <w:rFonts w:ascii="Arial" w:hAnsi="Arial" w:cs="Arial"/>
          <w:sz w:val="20"/>
          <w:szCs w:val="20"/>
        </w:rPr>
        <w:t xml:space="preserve"> al cierre del ejercicio</w:t>
      </w:r>
      <w:r w:rsidR="00061388" w:rsidRPr="00AC4AEA">
        <w:rPr>
          <w:rFonts w:ascii="Arial" w:hAnsi="Arial" w:cs="Arial"/>
          <w:sz w:val="20"/>
          <w:szCs w:val="20"/>
        </w:rPr>
        <w:t xml:space="preserve"> </w:t>
      </w:r>
      <w:r w:rsidR="00A41E50" w:rsidRPr="00AC4AEA">
        <w:rPr>
          <w:rFonts w:ascii="Arial" w:hAnsi="Arial" w:cs="Arial"/>
          <w:sz w:val="20"/>
          <w:szCs w:val="20"/>
        </w:rPr>
        <w:t>anterior.</w:t>
      </w:r>
      <w:r w:rsidR="006F2C57">
        <w:rPr>
          <w:rFonts w:ascii="Arial" w:hAnsi="Arial" w:cs="Arial"/>
          <w:sz w:val="20"/>
          <w:szCs w:val="20"/>
        </w:rPr>
        <w:t xml:space="preserve"> </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Por aplicación del método del impuesto diferido una entidad reconocerá, con las </w:t>
      </w:r>
      <w:r w:rsidR="009A6759" w:rsidRPr="00AC4AEA">
        <w:rPr>
          <w:rFonts w:ascii="Arial" w:hAnsi="Arial" w:cs="Arial"/>
          <w:sz w:val="20"/>
          <w:szCs w:val="20"/>
        </w:rPr>
        <w:t>limitaciones</w:t>
      </w:r>
      <w:r w:rsidRPr="00AC4AEA">
        <w:rPr>
          <w:rFonts w:ascii="Arial" w:hAnsi="Arial" w:cs="Arial"/>
          <w:sz w:val="20"/>
          <w:szCs w:val="20"/>
        </w:rPr>
        <w:t xml:space="preserve"> </w:t>
      </w:r>
      <w:r w:rsidR="00E42DDE" w:rsidRPr="00AC4AEA">
        <w:rPr>
          <w:rFonts w:ascii="Arial" w:hAnsi="Arial" w:cs="Arial"/>
          <w:sz w:val="20"/>
          <w:szCs w:val="20"/>
        </w:rPr>
        <w:t xml:space="preserve">establecidas en </w:t>
      </w:r>
      <w:r w:rsidR="009A6759" w:rsidRPr="00AC4AEA">
        <w:rPr>
          <w:rFonts w:ascii="Arial" w:hAnsi="Arial" w:cs="Arial"/>
          <w:sz w:val="20"/>
          <w:szCs w:val="20"/>
        </w:rPr>
        <w:t>la</w:t>
      </w:r>
      <w:r w:rsidR="005F0989" w:rsidRPr="00AC4AEA">
        <w:rPr>
          <w:rFonts w:ascii="Arial" w:hAnsi="Arial" w:cs="Arial"/>
          <w:sz w:val="20"/>
          <w:szCs w:val="20"/>
        </w:rPr>
        <w:t>s</w:t>
      </w:r>
      <w:r w:rsidR="009A6759" w:rsidRPr="00AC4AEA">
        <w:rPr>
          <w:rFonts w:ascii="Arial" w:hAnsi="Arial" w:cs="Arial"/>
          <w:sz w:val="20"/>
          <w:szCs w:val="20"/>
        </w:rPr>
        <w:t xml:space="preserve"> secci</w:t>
      </w:r>
      <w:r w:rsidR="005F0989" w:rsidRPr="00AC4AEA">
        <w:rPr>
          <w:rFonts w:ascii="Arial" w:hAnsi="Arial" w:cs="Arial"/>
          <w:sz w:val="20"/>
          <w:szCs w:val="20"/>
        </w:rPr>
        <w:t>ones</w:t>
      </w:r>
      <w:r w:rsidR="009A6759" w:rsidRPr="00AC4AEA">
        <w:rPr>
          <w:rFonts w:ascii="Arial" w:hAnsi="Arial" w:cs="Arial"/>
          <w:sz w:val="20"/>
          <w:szCs w:val="20"/>
        </w:rPr>
        <w:t xml:space="preserve"> “</w:t>
      </w:r>
      <w:r w:rsidR="009A6759" w:rsidRPr="00AC4AEA">
        <w:rPr>
          <w:rFonts w:ascii="Arial" w:hAnsi="Arial" w:cs="Arial"/>
          <w:sz w:val="20"/>
          <w:szCs w:val="20"/>
          <w:u w:val="single"/>
        </w:rPr>
        <w:t xml:space="preserve">Excepciones al reconocimiento de </w:t>
      </w:r>
      <w:r w:rsidR="00497590" w:rsidRPr="00AC4AEA">
        <w:rPr>
          <w:rFonts w:ascii="Arial" w:hAnsi="Arial" w:cs="Arial"/>
          <w:sz w:val="20"/>
          <w:szCs w:val="20"/>
          <w:u w:val="single"/>
        </w:rPr>
        <w:t>pasivos</w:t>
      </w:r>
      <w:r w:rsidR="009A6759" w:rsidRPr="00AC4AEA">
        <w:rPr>
          <w:rFonts w:ascii="Arial" w:hAnsi="Arial" w:cs="Arial"/>
          <w:sz w:val="20"/>
          <w:szCs w:val="20"/>
          <w:u w:val="single"/>
        </w:rPr>
        <w:t xml:space="preserve"> por impuesto diferido</w:t>
      </w:r>
      <w:r w:rsidR="009A6759" w:rsidRPr="00AC4AEA">
        <w:rPr>
          <w:rFonts w:ascii="Arial" w:hAnsi="Arial" w:cs="Arial"/>
          <w:sz w:val="20"/>
          <w:szCs w:val="20"/>
        </w:rPr>
        <w:t>”</w:t>
      </w:r>
      <w:r w:rsidR="00C1481D" w:rsidRPr="00AC4AEA">
        <w:rPr>
          <w:rFonts w:ascii="Arial" w:hAnsi="Arial" w:cs="Arial"/>
          <w:sz w:val="20"/>
          <w:szCs w:val="20"/>
        </w:rPr>
        <w:t xml:space="preserve"> [ver </w:t>
      </w:r>
      <w:r w:rsidR="00D922C4">
        <w:rPr>
          <w:rFonts w:ascii="Arial" w:hAnsi="Arial" w:cs="Arial"/>
          <w:sz w:val="20"/>
          <w:szCs w:val="20"/>
        </w:rPr>
        <w:t xml:space="preserve">el </w:t>
      </w:r>
      <w:r w:rsidR="00C1481D" w:rsidRPr="00AC4AEA">
        <w:rPr>
          <w:rFonts w:ascii="Arial" w:hAnsi="Arial" w:cs="Arial"/>
          <w:sz w:val="20"/>
          <w:szCs w:val="20"/>
        </w:rPr>
        <w:t xml:space="preserve">párrafo </w:t>
      </w:r>
      <w:fldSimple w:instr=" REF _Ref99492313 \r \h  \* MERGEFORMAT ">
        <w:r w:rsidR="00D33A5D" w:rsidRPr="00D33A5D">
          <w:rPr>
            <w:rFonts w:ascii="Arial" w:hAnsi="Arial" w:cs="Arial"/>
            <w:sz w:val="20"/>
            <w:szCs w:val="20"/>
          </w:rPr>
          <w:t>582</w:t>
        </w:r>
      </w:fldSimple>
      <w:r w:rsidR="00C1481D" w:rsidRPr="00AC4AEA">
        <w:rPr>
          <w:rFonts w:ascii="Arial" w:hAnsi="Arial" w:cs="Arial"/>
          <w:sz w:val="20"/>
          <w:szCs w:val="20"/>
        </w:rPr>
        <w:t>]</w:t>
      </w:r>
      <w:r w:rsidR="001E7864" w:rsidRPr="00AC4AEA">
        <w:rPr>
          <w:rFonts w:ascii="Arial" w:hAnsi="Arial" w:cs="Arial"/>
          <w:b/>
          <w:bCs/>
          <w:sz w:val="20"/>
          <w:szCs w:val="20"/>
        </w:rPr>
        <w:t xml:space="preserve"> </w:t>
      </w:r>
      <w:r w:rsidR="005F0989" w:rsidRPr="00AC4AEA">
        <w:rPr>
          <w:rFonts w:ascii="Arial" w:hAnsi="Arial" w:cs="Arial"/>
          <w:sz w:val="20"/>
          <w:szCs w:val="20"/>
        </w:rPr>
        <w:t>y “</w:t>
      </w:r>
      <w:r w:rsidR="005F0989" w:rsidRPr="00AC4AEA">
        <w:rPr>
          <w:rFonts w:ascii="Arial" w:hAnsi="Arial" w:cs="Arial"/>
          <w:sz w:val="20"/>
          <w:szCs w:val="20"/>
          <w:u w:val="single"/>
        </w:rPr>
        <w:t xml:space="preserve">Excepciones al reconocimiento de </w:t>
      </w:r>
      <w:r w:rsidR="00497590" w:rsidRPr="00AC4AEA">
        <w:rPr>
          <w:rFonts w:ascii="Arial" w:hAnsi="Arial" w:cs="Arial"/>
          <w:sz w:val="20"/>
          <w:szCs w:val="20"/>
          <w:u w:val="single"/>
        </w:rPr>
        <w:t>activos</w:t>
      </w:r>
      <w:r w:rsidR="005F0989" w:rsidRPr="00AC4AEA">
        <w:rPr>
          <w:rFonts w:ascii="Arial" w:hAnsi="Arial" w:cs="Arial"/>
          <w:sz w:val="20"/>
          <w:szCs w:val="20"/>
          <w:u w:val="single"/>
        </w:rPr>
        <w:t xml:space="preserve"> por impuesto diferido</w:t>
      </w:r>
      <w:r w:rsidR="005F0989" w:rsidRPr="00AC4AEA">
        <w:rPr>
          <w:rFonts w:ascii="Arial" w:hAnsi="Arial" w:cs="Arial"/>
          <w:sz w:val="20"/>
          <w:szCs w:val="20"/>
        </w:rPr>
        <w:t>”</w:t>
      </w:r>
      <w:r w:rsidR="00C1481D" w:rsidRPr="00AC4AEA">
        <w:rPr>
          <w:rFonts w:ascii="Arial" w:hAnsi="Arial" w:cs="Arial"/>
          <w:sz w:val="20"/>
          <w:szCs w:val="20"/>
        </w:rPr>
        <w:t xml:space="preserve"> [ver </w:t>
      </w:r>
      <w:r w:rsidR="00D922C4">
        <w:rPr>
          <w:rFonts w:ascii="Arial" w:hAnsi="Arial" w:cs="Arial"/>
          <w:sz w:val="20"/>
          <w:szCs w:val="20"/>
        </w:rPr>
        <w:t xml:space="preserve">el </w:t>
      </w:r>
      <w:r w:rsidR="00C1481D" w:rsidRPr="00AC4AEA">
        <w:rPr>
          <w:rFonts w:ascii="Arial" w:hAnsi="Arial" w:cs="Arial"/>
          <w:sz w:val="20"/>
          <w:szCs w:val="20"/>
        </w:rPr>
        <w:t xml:space="preserve">párrafo </w:t>
      </w:r>
      <w:fldSimple w:instr=" REF _Ref99492316 \r \h  \* MERGEFORMAT ">
        <w:r w:rsidR="00D33A5D" w:rsidRPr="00D33A5D">
          <w:rPr>
            <w:rFonts w:ascii="Arial" w:hAnsi="Arial" w:cs="Arial"/>
            <w:sz w:val="20"/>
            <w:szCs w:val="20"/>
          </w:rPr>
          <w:t>584</w:t>
        </w:r>
      </w:fldSimple>
      <w:r w:rsidR="00C1481D" w:rsidRPr="00AC4AEA">
        <w:rPr>
          <w:rFonts w:ascii="Arial" w:hAnsi="Arial" w:cs="Arial"/>
          <w:sz w:val="20"/>
          <w:szCs w:val="20"/>
        </w:rPr>
        <w:t>]</w:t>
      </w:r>
      <w:r w:rsidR="009A6759" w:rsidRPr="00AC4AEA">
        <w:rPr>
          <w:rFonts w:ascii="Arial" w:hAnsi="Arial" w:cs="Arial"/>
          <w:sz w:val="20"/>
          <w:szCs w:val="20"/>
        </w:rPr>
        <w:t>:</w:t>
      </w:r>
    </w:p>
    <w:p w:rsidR="00D72785" w:rsidRPr="00AC4AEA" w:rsidRDefault="00F01832" w:rsidP="00A318EA">
      <w:pPr>
        <w:pStyle w:val="Prrafodelista"/>
        <w:numPr>
          <w:ilvl w:val="0"/>
          <w:numId w:val="162"/>
        </w:numPr>
        <w:ind w:left="1560"/>
        <w:contextualSpacing w:val="0"/>
        <w:jc w:val="both"/>
        <w:rPr>
          <w:rFonts w:ascii="Arial" w:hAnsi="Arial" w:cs="Arial"/>
          <w:sz w:val="20"/>
          <w:szCs w:val="20"/>
        </w:rPr>
      </w:pPr>
      <w:r w:rsidRPr="00AC4AEA">
        <w:rPr>
          <w:rFonts w:ascii="Arial" w:hAnsi="Arial" w:cs="Arial"/>
          <w:sz w:val="20"/>
          <w:szCs w:val="20"/>
        </w:rPr>
        <w:t>u</w:t>
      </w:r>
      <w:r w:rsidR="00D72785" w:rsidRPr="00AC4AEA">
        <w:rPr>
          <w:rFonts w:ascii="Arial" w:hAnsi="Arial" w:cs="Arial"/>
          <w:sz w:val="20"/>
          <w:szCs w:val="20"/>
        </w:rPr>
        <w:t xml:space="preserve">n pasivo por impuesto diferido (generado por diferencias temporarias imponibles), siempre que sea </w:t>
      </w:r>
      <w:r w:rsidR="00D72785" w:rsidRPr="00AC4AEA">
        <w:rPr>
          <w:rFonts w:ascii="Arial" w:hAnsi="Arial" w:cs="Arial"/>
          <w:b/>
          <w:bCs/>
          <w:sz w:val="20"/>
          <w:szCs w:val="20"/>
        </w:rPr>
        <w:t xml:space="preserve">probable </w:t>
      </w:r>
      <w:r w:rsidR="00D72785" w:rsidRPr="00AC4AEA">
        <w:rPr>
          <w:rFonts w:ascii="Arial" w:hAnsi="Arial" w:cs="Arial"/>
          <w:sz w:val="20"/>
          <w:szCs w:val="20"/>
        </w:rPr>
        <w:t xml:space="preserve">que la recuperación o la cancelación </w:t>
      </w:r>
      <w:r w:rsidR="00FF5A1D" w:rsidRPr="00AC4AEA">
        <w:rPr>
          <w:rFonts w:ascii="Arial" w:hAnsi="Arial" w:cs="Arial"/>
          <w:sz w:val="20"/>
          <w:szCs w:val="20"/>
        </w:rPr>
        <w:t>de la medición contable</w:t>
      </w:r>
      <w:r w:rsidR="00D72785" w:rsidRPr="00AC4AEA">
        <w:rPr>
          <w:rFonts w:ascii="Arial" w:hAnsi="Arial" w:cs="Arial"/>
          <w:sz w:val="20"/>
          <w:szCs w:val="20"/>
        </w:rPr>
        <w:t xml:space="preserve"> de un </w:t>
      </w:r>
      <w:r w:rsidR="00D72785" w:rsidRPr="00AC4AEA">
        <w:rPr>
          <w:rFonts w:ascii="Arial" w:hAnsi="Arial" w:cs="Arial"/>
          <w:b/>
          <w:bCs/>
          <w:sz w:val="20"/>
          <w:szCs w:val="20"/>
        </w:rPr>
        <w:t>activo</w:t>
      </w:r>
      <w:r w:rsidR="00D72785" w:rsidRPr="00AC4AEA">
        <w:rPr>
          <w:rFonts w:ascii="Arial" w:hAnsi="Arial" w:cs="Arial"/>
          <w:sz w:val="20"/>
          <w:szCs w:val="20"/>
        </w:rPr>
        <w:t xml:space="preserve"> o </w:t>
      </w:r>
      <w:r w:rsidR="00D72785" w:rsidRPr="00AC4AEA">
        <w:rPr>
          <w:rFonts w:ascii="Arial" w:hAnsi="Arial" w:cs="Arial"/>
          <w:b/>
          <w:bCs/>
          <w:sz w:val="20"/>
          <w:szCs w:val="20"/>
        </w:rPr>
        <w:t xml:space="preserve">pasivo </w:t>
      </w:r>
      <w:r w:rsidR="00D72785" w:rsidRPr="00AC4AEA">
        <w:rPr>
          <w:rFonts w:ascii="Arial" w:hAnsi="Arial" w:cs="Arial"/>
          <w:sz w:val="20"/>
          <w:szCs w:val="20"/>
        </w:rPr>
        <w:t>vaya a producir pagos fiscales mayores</w:t>
      </w:r>
      <w:r w:rsidR="00DF5269" w:rsidRPr="00AC4AEA">
        <w:rPr>
          <w:rFonts w:ascii="Arial" w:hAnsi="Arial" w:cs="Arial"/>
          <w:sz w:val="20"/>
          <w:szCs w:val="20"/>
        </w:rPr>
        <w:t>;</w:t>
      </w:r>
    </w:p>
    <w:p w:rsidR="00D72785" w:rsidRPr="00AC4AEA" w:rsidRDefault="00DF5269" w:rsidP="00A318EA">
      <w:pPr>
        <w:pStyle w:val="Prrafodelista"/>
        <w:numPr>
          <w:ilvl w:val="0"/>
          <w:numId w:val="162"/>
        </w:numPr>
        <w:ind w:left="1560"/>
        <w:contextualSpacing w:val="0"/>
        <w:jc w:val="both"/>
        <w:rPr>
          <w:rFonts w:ascii="Arial" w:hAnsi="Arial" w:cs="Arial"/>
          <w:sz w:val="20"/>
          <w:szCs w:val="20"/>
        </w:rPr>
      </w:pPr>
      <w:r w:rsidRPr="00AC4AEA">
        <w:rPr>
          <w:rFonts w:ascii="Arial" w:hAnsi="Arial" w:cs="Arial"/>
          <w:sz w:val="20"/>
          <w:szCs w:val="20"/>
        </w:rPr>
        <w:t>u</w:t>
      </w:r>
      <w:r w:rsidR="00D72785" w:rsidRPr="00AC4AEA">
        <w:rPr>
          <w:rFonts w:ascii="Arial" w:hAnsi="Arial" w:cs="Arial"/>
          <w:sz w:val="20"/>
          <w:szCs w:val="20"/>
        </w:rPr>
        <w:t xml:space="preserve">n activo por impuesto diferido (generado por diferencias temporarias deducibles), siempre que sea </w:t>
      </w:r>
      <w:r w:rsidR="00D72785" w:rsidRPr="00AC4AEA">
        <w:rPr>
          <w:rFonts w:ascii="Arial" w:hAnsi="Arial" w:cs="Arial"/>
          <w:b/>
          <w:bCs/>
          <w:sz w:val="20"/>
          <w:szCs w:val="20"/>
        </w:rPr>
        <w:t>probable</w:t>
      </w:r>
      <w:r w:rsidR="00D72785" w:rsidRPr="00AC4AEA">
        <w:rPr>
          <w:rFonts w:ascii="Arial" w:hAnsi="Arial" w:cs="Arial"/>
          <w:sz w:val="20"/>
          <w:szCs w:val="20"/>
        </w:rPr>
        <w:t xml:space="preserve"> que la recuperación o la cancelación</w:t>
      </w:r>
      <w:r w:rsidR="00C323D3" w:rsidRPr="00AC4AEA">
        <w:rPr>
          <w:rFonts w:ascii="Arial" w:hAnsi="Arial" w:cs="Arial"/>
          <w:sz w:val="20"/>
          <w:szCs w:val="20"/>
        </w:rPr>
        <w:t xml:space="preserve"> </w:t>
      </w:r>
      <w:r w:rsidR="00FF5A1D" w:rsidRPr="00AC4AEA">
        <w:rPr>
          <w:rFonts w:ascii="Arial" w:hAnsi="Arial" w:cs="Arial"/>
          <w:sz w:val="20"/>
          <w:szCs w:val="20"/>
        </w:rPr>
        <w:t>de la medición contable</w:t>
      </w:r>
      <w:r w:rsidR="00D72785" w:rsidRPr="00AC4AEA">
        <w:rPr>
          <w:rFonts w:ascii="Arial" w:hAnsi="Arial" w:cs="Arial"/>
          <w:sz w:val="20"/>
          <w:szCs w:val="20"/>
        </w:rPr>
        <w:t xml:space="preserve"> de un </w:t>
      </w:r>
      <w:r w:rsidR="00D72785" w:rsidRPr="00AC4AEA">
        <w:rPr>
          <w:rFonts w:ascii="Arial" w:hAnsi="Arial" w:cs="Arial"/>
          <w:b/>
          <w:bCs/>
          <w:sz w:val="20"/>
          <w:szCs w:val="20"/>
        </w:rPr>
        <w:t>activo</w:t>
      </w:r>
      <w:r w:rsidR="00D72785" w:rsidRPr="00AC4AEA">
        <w:rPr>
          <w:rFonts w:ascii="Arial" w:hAnsi="Arial" w:cs="Arial"/>
          <w:sz w:val="20"/>
          <w:szCs w:val="20"/>
        </w:rPr>
        <w:t xml:space="preserve"> o </w:t>
      </w:r>
      <w:r w:rsidR="00D72785" w:rsidRPr="00AC4AEA">
        <w:rPr>
          <w:rFonts w:ascii="Arial" w:hAnsi="Arial" w:cs="Arial"/>
          <w:b/>
          <w:bCs/>
          <w:sz w:val="20"/>
          <w:szCs w:val="20"/>
        </w:rPr>
        <w:t xml:space="preserve">pasivo </w:t>
      </w:r>
      <w:r w:rsidR="00D72785" w:rsidRPr="00AC4AEA">
        <w:rPr>
          <w:rFonts w:ascii="Arial" w:hAnsi="Arial" w:cs="Arial"/>
          <w:sz w:val="20"/>
          <w:szCs w:val="20"/>
        </w:rPr>
        <w:t>vaya a producir pagos fiscales menores</w:t>
      </w:r>
      <w:r w:rsidR="006B27E8" w:rsidRPr="00AC4AEA">
        <w:rPr>
          <w:rFonts w:ascii="Arial" w:hAnsi="Arial" w:cs="Arial"/>
          <w:sz w:val="20"/>
          <w:szCs w:val="20"/>
        </w:rPr>
        <w:t>;</w:t>
      </w:r>
      <w:r w:rsidR="00D72785" w:rsidRPr="00AC4AEA">
        <w:rPr>
          <w:rFonts w:ascii="Arial" w:hAnsi="Arial" w:cs="Arial"/>
          <w:sz w:val="20"/>
          <w:szCs w:val="20"/>
        </w:rPr>
        <w:t xml:space="preserve"> y</w:t>
      </w:r>
    </w:p>
    <w:p w:rsidR="00D72785" w:rsidRPr="00AC4AEA" w:rsidRDefault="00DF5269" w:rsidP="00A318EA">
      <w:pPr>
        <w:pStyle w:val="Prrafodelista"/>
        <w:numPr>
          <w:ilvl w:val="0"/>
          <w:numId w:val="162"/>
        </w:numPr>
        <w:ind w:left="1560"/>
        <w:contextualSpacing w:val="0"/>
        <w:jc w:val="both"/>
        <w:rPr>
          <w:rFonts w:ascii="Arial" w:hAnsi="Arial" w:cs="Arial"/>
          <w:sz w:val="20"/>
          <w:szCs w:val="20"/>
        </w:rPr>
      </w:pPr>
      <w:r w:rsidRPr="00AC4AEA">
        <w:rPr>
          <w:rFonts w:ascii="Arial" w:hAnsi="Arial" w:cs="Arial"/>
          <w:sz w:val="20"/>
          <w:szCs w:val="20"/>
        </w:rPr>
        <w:t>u</w:t>
      </w:r>
      <w:r w:rsidR="00D72785" w:rsidRPr="00AC4AEA">
        <w:rPr>
          <w:rFonts w:ascii="Arial" w:hAnsi="Arial" w:cs="Arial"/>
          <w:sz w:val="20"/>
          <w:szCs w:val="20"/>
        </w:rPr>
        <w:t>n activo por impuesto diferido cuando existan pérdidas fiscales o quebrantos impositivos o créditos fiscales no utilizad</w:t>
      </w:r>
      <w:r w:rsidR="002400FF" w:rsidRPr="00AC4AEA">
        <w:rPr>
          <w:rFonts w:ascii="Arial" w:hAnsi="Arial" w:cs="Arial"/>
          <w:sz w:val="20"/>
          <w:szCs w:val="20"/>
        </w:rPr>
        <w:t>os</w:t>
      </w:r>
      <w:r w:rsidR="00D72785" w:rsidRPr="00AC4AEA">
        <w:rPr>
          <w:rFonts w:ascii="Arial" w:hAnsi="Arial" w:cs="Arial"/>
          <w:sz w:val="20"/>
          <w:szCs w:val="20"/>
        </w:rPr>
        <w:t xml:space="preserve"> </w:t>
      </w:r>
      <w:r w:rsidR="002400FF" w:rsidRPr="00AC4AEA">
        <w:rPr>
          <w:rFonts w:ascii="Arial" w:hAnsi="Arial" w:cs="Arial"/>
          <w:sz w:val="20"/>
          <w:szCs w:val="20"/>
        </w:rPr>
        <w:t>siempre que</w:t>
      </w:r>
      <w:r w:rsidR="00835565" w:rsidRPr="00AC4AEA">
        <w:rPr>
          <w:rFonts w:ascii="Arial" w:hAnsi="Arial" w:cs="Arial"/>
          <w:sz w:val="20"/>
          <w:szCs w:val="20"/>
        </w:rPr>
        <w:t xml:space="preserve"> </w:t>
      </w:r>
      <w:r w:rsidR="00D72785" w:rsidRPr="00AC4AEA">
        <w:rPr>
          <w:rFonts w:ascii="Arial" w:hAnsi="Arial" w:cs="Arial"/>
          <w:sz w:val="20"/>
          <w:szCs w:val="20"/>
        </w:rPr>
        <w:t xml:space="preserve">resulte </w:t>
      </w:r>
      <w:r w:rsidR="00D72785" w:rsidRPr="00AC4AEA">
        <w:rPr>
          <w:rFonts w:ascii="Arial" w:hAnsi="Arial" w:cs="Arial"/>
          <w:b/>
          <w:bCs/>
          <w:sz w:val="20"/>
          <w:szCs w:val="20"/>
        </w:rPr>
        <w:t>probable</w:t>
      </w:r>
      <w:r w:rsidR="00D72785" w:rsidRPr="00AC4AEA">
        <w:rPr>
          <w:rFonts w:ascii="Arial" w:hAnsi="Arial" w:cs="Arial"/>
          <w:sz w:val="20"/>
          <w:szCs w:val="20"/>
        </w:rPr>
        <w:t xml:space="preserve"> su deducción de ganancias imponibles futuras. </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un activo por impuestos diferidos proveniente de pérdidas fiscales o quebrantos impositivos solo en la medida en que estime </w:t>
      </w:r>
      <w:r w:rsidRPr="00AC4AEA">
        <w:rPr>
          <w:rFonts w:ascii="Arial" w:hAnsi="Arial" w:cs="Arial"/>
          <w:b/>
          <w:bCs/>
          <w:sz w:val="20"/>
          <w:szCs w:val="20"/>
        </w:rPr>
        <w:t>probable</w:t>
      </w:r>
      <w:r w:rsidRPr="00AC4AEA">
        <w:rPr>
          <w:rFonts w:ascii="Arial" w:hAnsi="Arial" w:cs="Arial"/>
          <w:sz w:val="20"/>
          <w:szCs w:val="20"/>
        </w:rPr>
        <w:t xml:space="preserve"> la obtención de ganancias imponibles futuras suficientes. Para evaluar la probabilidad de obtener tales ganancias, una entidad deberá considerar si:</w:t>
      </w:r>
    </w:p>
    <w:p w:rsidR="00D72785" w:rsidRPr="00AC4AEA" w:rsidRDefault="00E648AE" w:rsidP="00A318EA">
      <w:pPr>
        <w:pStyle w:val="Prrafodelista"/>
        <w:numPr>
          <w:ilvl w:val="0"/>
          <w:numId w:val="163"/>
        </w:numPr>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as pérdidas o quebrantos fiscales han sido producid</w:t>
      </w:r>
      <w:r w:rsidR="002400FF" w:rsidRPr="00AC4AEA">
        <w:rPr>
          <w:rFonts w:ascii="Arial" w:hAnsi="Arial" w:cs="Arial"/>
          <w:sz w:val="20"/>
          <w:szCs w:val="20"/>
        </w:rPr>
        <w:t xml:space="preserve">os </w:t>
      </w:r>
      <w:r w:rsidR="00D72785" w:rsidRPr="00AC4AEA">
        <w:rPr>
          <w:rFonts w:ascii="Arial" w:hAnsi="Arial" w:cs="Arial"/>
          <w:sz w:val="20"/>
          <w:szCs w:val="20"/>
        </w:rPr>
        <w:t>por causas identificables, cuya repetición es improbable;</w:t>
      </w:r>
    </w:p>
    <w:p w:rsidR="00D72785" w:rsidRPr="00AC4AEA" w:rsidRDefault="00E648AE" w:rsidP="00A318EA">
      <w:pPr>
        <w:pStyle w:val="Prrafodelista"/>
        <w:numPr>
          <w:ilvl w:val="0"/>
          <w:numId w:val="163"/>
        </w:numPr>
        <w:ind w:left="1560"/>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xisten normas que establecen un límite temporal para la utilización de tales quebrantos;</w:t>
      </w:r>
    </w:p>
    <w:p w:rsidR="00D72785" w:rsidRPr="00AC4AEA" w:rsidRDefault="00E648AE" w:rsidP="00A318EA">
      <w:pPr>
        <w:pStyle w:val="Prrafodelista"/>
        <w:numPr>
          <w:ilvl w:val="0"/>
          <w:numId w:val="163"/>
        </w:numPr>
        <w:ind w:left="1560"/>
        <w:contextualSpacing w:val="0"/>
        <w:jc w:val="both"/>
        <w:rPr>
          <w:rFonts w:ascii="Arial" w:hAnsi="Arial" w:cs="Arial"/>
          <w:sz w:val="20"/>
          <w:szCs w:val="20"/>
        </w:rPr>
      </w:pPr>
      <w:r w:rsidRPr="00AC4AEA">
        <w:rPr>
          <w:rFonts w:ascii="Arial" w:hAnsi="Arial" w:cs="Arial"/>
          <w:sz w:val="20"/>
          <w:szCs w:val="20"/>
        </w:rPr>
        <w:t>r</w:t>
      </w:r>
      <w:r w:rsidR="00D72785" w:rsidRPr="00AC4AEA">
        <w:rPr>
          <w:rFonts w:ascii="Arial" w:hAnsi="Arial" w:cs="Arial"/>
          <w:sz w:val="20"/>
          <w:szCs w:val="20"/>
        </w:rPr>
        <w:t xml:space="preserve">econoció </w:t>
      </w:r>
      <w:r w:rsidR="00497590" w:rsidRPr="00AC4AEA">
        <w:rPr>
          <w:rFonts w:ascii="Arial" w:hAnsi="Arial" w:cs="Arial"/>
          <w:sz w:val="20"/>
          <w:szCs w:val="20"/>
        </w:rPr>
        <w:t>pasivos</w:t>
      </w:r>
      <w:r w:rsidR="00D72785" w:rsidRPr="00AC4AEA">
        <w:rPr>
          <w:rFonts w:ascii="Arial" w:hAnsi="Arial" w:cs="Arial"/>
          <w:sz w:val="20"/>
          <w:szCs w:val="20"/>
        </w:rPr>
        <w:t xml:space="preserve"> por impuestos diferidos que permitan estimar la existencia de futuros importes imponibles</w:t>
      </w:r>
      <w:r w:rsidR="006B27E8" w:rsidRPr="00AC4AEA">
        <w:rPr>
          <w:rFonts w:ascii="Arial" w:hAnsi="Arial" w:cs="Arial"/>
          <w:sz w:val="20"/>
          <w:szCs w:val="20"/>
        </w:rPr>
        <w:t>;</w:t>
      </w:r>
      <w:r w:rsidR="004234FA" w:rsidRPr="00AC4AEA">
        <w:rPr>
          <w:rFonts w:ascii="Arial" w:hAnsi="Arial" w:cs="Arial"/>
          <w:sz w:val="20"/>
          <w:szCs w:val="20"/>
        </w:rPr>
        <w:t xml:space="preserve"> o</w:t>
      </w:r>
    </w:p>
    <w:p w:rsidR="00D72785" w:rsidRPr="00AC4AEA" w:rsidRDefault="00E648AE" w:rsidP="00A318EA">
      <w:pPr>
        <w:pStyle w:val="Prrafodelista"/>
        <w:numPr>
          <w:ilvl w:val="0"/>
          <w:numId w:val="163"/>
        </w:numPr>
        <w:ind w:left="1560"/>
        <w:contextualSpacing w:val="0"/>
        <w:jc w:val="both"/>
        <w:rPr>
          <w:rFonts w:ascii="Arial" w:hAnsi="Arial" w:cs="Arial"/>
          <w:sz w:val="20"/>
          <w:szCs w:val="20"/>
        </w:rPr>
      </w:pPr>
      <w:r w:rsidRPr="00AC4AEA">
        <w:rPr>
          <w:rFonts w:ascii="Arial" w:hAnsi="Arial" w:cs="Arial"/>
          <w:sz w:val="20"/>
          <w:szCs w:val="20"/>
        </w:rPr>
        <w:t>t</w:t>
      </w:r>
      <w:r w:rsidR="00D72785" w:rsidRPr="00AC4AEA">
        <w:rPr>
          <w:rFonts w:ascii="Arial" w:hAnsi="Arial" w:cs="Arial"/>
          <w:sz w:val="20"/>
          <w:szCs w:val="20"/>
        </w:rPr>
        <w:t xml:space="preserve">iene oportunidades de planificación fiscal que le permita incrementar los beneficios imponibles futuros (por ejemplo, intercambiando </w:t>
      </w:r>
      <w:r w:rsidR="00497590" w:rsidRPr="00AC4AEA">
        <w:rPr>
          <w:rFonts w:ascii="Arial" w:hAnsi="Arial" w:cs="Arial"/>
          <w:sz w:val="20"/>
          <w:szCs w:val="20"/>
        </w:rPr>
        <w:t>activos</w:t>
      </w:r>
      <w:r w:rsidR="00D72785" w:rsidRPr="00AC4AEA">
        <w:rPr>
          <w:rFonts w:ascii="Arial" w:hAnsi="Arial" w:cs="Arial"/>
          <w:sz w:val="20"/>
          <w:szCs w:val="20"/>
        </w:rPr>
        <w:t xml:space="preserve"> cuyos </w:t>
      </w:r>
      <w:r w:rsidR="00D72785" w:rsidRPr="00AC4AEA">
        <w:rPr>
          <w:rFonts w:ascii="Arial" w:hAnsi="Arial" w:cs="Arial"/>
          <w:sz w:val="20"/>
          <w:szCs w:val="20"/>
        </w:rPr>
        <w:lastRenderedPageBreak/>
        <w:t>ingresos están exentos por otros que generan ganancia gravada</w:t>
      </w:r>
      <w:r w:rsidR="006B27E8" w:rsidRPr="00AC4AEA">
        <w:rPr>
          <w:rFonts w:ascii="Arial" w:hAnsi="Arial" w:cs="Arial"/>
          <w:sz w:val="20"/>
          <w:szCs w:val="20"/>
        </w:rPr>
        <w:t xml:space="preserve"> o eligiendo el momento para la imputación de ciertos ingresos o gastos a los fines de la determinación de la ganancia imponible</w:t>
      </w:r>
      <w:r w:rsidR="00D72785" w:rsidRPr="00AC4AEA">
        <w:rPr>
          <w:rFonts w:ascii="Arial" w:hAnsi="Arial" w:cs="Arial"/>
          <w:sz w:val="20"/>
          <w:szCs w:val="20"/>
        </w:rPr>
        <w:t>).</w:t>
      </w:r>
    </w:p>
    <w:p w:rsidR="00D72785" w:rsidRPr="00AC4AEA" w:rsidRDefault="00D72785" w:rsidP="00A318EA">
      <w:pPr>
        <w:jc w:val="both"/>
        <w:rPr>
          <w:rFonts w:ascii="Arial" w:hAnsi="Arial" w:cs="Arial"/>
          <w:b/>
          <w:bCs/>
          <w:sz w:val="20"/>
          <w:szCs w:val="20"/>
        </w:rPr>
      </w:pPr>
    </w:p>
    <w:p w:rsidR="00D72785" w:rsidRPr="00AC4AEA" w:rsidRDefault="00D72785" w:rsidP="00A318EA">
      <w:pPr>
        <w:pStyle w:val="Ttulo3"/>
      </w:pPr>
      <w:bookmarkStart w:id="835" w:name="_Toc101863982"/>
      <w:bookmarkStart w:id="836" w:name="_Toc139356873"/>
      <w:r w:rsidRPr="00AC4AEA">
        <w:t xml:space="preserve">Excepciones al reconocimiento de </w:t>
      </w:r>
      <w:r w:rsidR="00497590" w:rsidRPr="00AC4AEA">
        <w:t>pasivos</w:t>
      </w:r>
      <w:r w:rsidRPr="00AC4AEA">
        <w:t xml:space="preserve"> por impuesto diferido</w:t>
      </w:r>
      <w:bookmarkEnd w:id="835"/>
      <w:bookmarkEnd w:id="836"/>
    </w:p>
    <w:p w:rsidR="00D72785" w:rsidRPr="00AC4AEA" w:rsidRDefault="00D72785" w:rsidP="00A318EA">
      <w:pPr>
        <w:pStyle w:val="Prrafodelista"/>
        <w:numPr>
          <w:ilvl w:val="0"/>
          <w:numId w:val="29"/>
        </w:numPr>
        <w:contextualSpacing w:val="0"/>
        <w:jc w:val="both"/>
        <w:rPr>
          <w:rFonts w:ascii="Arial" w:hAnsi="Arial" w:cs="Arial"/>
          <w:sz w:val="20"/>
          <w:szCs w:val="20"/>
        </w:rPr>
      </w:pPr>
      <w:bookmarkStart w:id="837" w:name="_Ref99492313"/>
      <w:r w:rsidRPr="00AC4AEA">
        <w:rPr>
          <w:rFonts w:ascii="Arial" w:hAnsi="Arial" w:cs="Arial"/>
          <w:sz w:val="20"/>
          <w:szCs w:val="20"/>
        </w:rPr>
        <w:t xml:space="preserve">Una entidad no reconocerá </w:t>
      </w:r>
      <w:r w:rsidR="00497590" w:rsidRPr="00AC4AEA">
        <w:rPr>
          <w:rFonts w:ascii="Arial" w:hAnsi="Arial" w:cs="Arial"/>
          <w:sz w:val="20"/>
          <w:szCs w:val="20"/>
        </w:rPr>
        <w:t>pasivos</w:t>
      </w:r>
      <w:r w:rsidRPr="00AC4AEA">
        <w:rPr>
          <w:rFonts w:ascii="Arial" w:hAnsi="Arial" w:cs="Arial"/>
          <w:sz w:val="20"/>
          <w:szCs w:val="20"/>
        </w:rPr>
        <w:t xml:space="preserve"> por impuestos diferidos procedentes de:</w:t>
      </w:r>
      <w:bookmarkEnd w:id="837"/>
    </w:p>
    <w:p w:rsidR="00D72785" w:rsidRPr="00AC4AEA" w:rsidRDefault="00D72785" w:rsidP="00A318EA">
      <w:pPr>
        <w:pStyle w:val="Prrafodelista"/>
        <w:numPr>
          <w:ilvl w:val="0"/>
          <w:numId w:val="164"/>
        </w:numPr>
        <w:ind w:left="1560"/>
        <w:contextualSpacing w:val="0"/>
        <w:jc w:val="both"/>
        <w:rPr>
          <w:rFonts w:ascii="Arial" w:hAnsi="Arial" w:cs="Arial"/>
          <w:sz w:val="20"/>
          <w:szCs w:val="20"/>
        </w:rPr>
      </w:pPr>
      <w:r w:rsidRPr="00AC4AEA">
        <w:rPr>
          <w:rFonts w:ascii="Arial" w:hAnsi="Arial" w:cs="Arial"/>
          <w:sz w:val="20"/>
          <w:szCs w:val="20"/>
        </w:rPr>
        <w:t>Un valor llave que no es deducible impositivamente;</w:t>
      </w:r>
    </w:p>
    <w:p w:rsidR="00D72785" w:rsidRPr="00AC4AEA" w:rsidRDefault="00D72785" w:rsidP="00A318EA">
      <w:pPr>
        <w:pStyle w:val="Prrafodelista"/>
        <w:numPr>
          <w:ilvl w:val="0"/>
          <w:numId w:val="164"/>
        </w:numPr>
        <w:ind w:left="1560"/>
        <w:contextualSpacing w:val="0"/>
        <w:jc w:val="both"/>
        <w:rPr>
          <w:rFonts w:ascii="Arial" w:hAnsi="Arial" w:cs="Arial"/>
          <w:sz w:val="20"/>
          <w:szCs w:val="20"/>
        </w:rPr>
      </w:pPr>
      <w:r w:rsidRPr="00AC4AEA">
        <w:rPr>
          <w:rFonts w:ascii="Arial" w:hAnsi="Arial" w:cs="Arial"/>
          <w:sz w:val="20"/>
          <w:szCs w:val="20"/>
        </w:rPr>
        <w:t xml:space="preserve">El reconocimiento inicial de un </w:t>
      </w:r>
      <w:r w:rsidRPr="00AC4AEA">
        <w:rPr>
          <w:rFonts w:ascii="Arial" w:hAnsi="Arial" w:cs="Arial"/>
          <w:b/>
          <w:bCs/>
          <w:sz w:val="20"/>
          <w:szCs w:val="20"/>
        </w:rPr>
        <w:t>activo</w:t>
      </w:r>
      <w:r w:rsidRPr="00AC4AEA">
        <w:rPr>
          <w:rFonts w:ascii="Arial" w:hAnsi="Arial" w:cs="Arial"/>
          <w:sz w:val="20"/>
          <w:szCs w:val="20"/>
        </w:rPr>
        <w:t xml:space="preserve"> o de un </w:t>
      </w:r>
      <w:r w:rsidRPr="00AC4AEA">
        <w:rPr>
          <w:rFonts w:ascii="Arial" w:hAnsi="Arial" w:cs="Arial"/>
          <w:b/>
          <w:bCs/>
          <w:sz w:val="20"/>
          <w:szCs w:val="20"/>
        </w:rPr>
        <w:t xml:space="preserve">pasivo </w:t>
      </w:r>
      <w:r w:rsidRPr="00AC4AEA">
        <w:rPr>
          <w:rFonts w:ascii="Arial" w:hAnsi="Arial" w:cs="Arial"/>
          <w:sz w:val="20"/>
          <w:szCs w:val="20"/>
        </w:rPr>
        <w:t xml:space="preserve">en una </w:t>
      </w:r>
      <w:r w:rsidR="007E020E" w:rsidRPr="00AC4AEA">
        <w:rPr>
          <w:rFonts w:ascii="Arial" w:hAnsi="Arial" w:cs="Arial"/>
          <w:sz w:val="20"/>
          <w:szCs w:val="20"/>
        </w:rPr>
        <w:t>transacción</w:t>
      </w:r>
      <w:r w:rsidRPr="00AC4AEA">
        <w:rPr>
          <w:rFonts w:ascii="Arial" w:hAnsi="Arial" w:cs="Arial"/>
          <w:sz w:val="20"/>
          <w:szCs w:val="20"/>
        </w:rPr>
        <w:t xml:space="preserve"> que:</w:t>
      </w:r>
    </w:p>
    <w:p w:rsidR="00D72785" w:rsidRPr="00AC4AEA" w:rsidRDefault="00B12E6C" w:rsidP="00A318EA">
      <w:pPr>
        <w:pStyle w:val="Prrafodelista"/>
        <w:numPr>
          <w:ilvl w:val="0"/>
          <w:numId w:val="165"/>
        </w:numPr>
        <w:ind w:left="1985"/>
        <w:contextualSpacing w:val="0"/>
        <w:jc w:val="both"/>
        <w:rPr>
          <w:rFonts w:ascii="Arial" w:hAnsi="Arial" w:cs="Arial"/>
          <w:sz w:val="20"/>
          <w:szCs w:val="20"/>
        </w:rPr>
      </w:pPr>
      <w:r w:rsidRPr="00AC4AEA">
        <w:rPr>
          <w:rFonts w:ascii="Arial" w:hAnsi="Arial" w:cs="Arial"/>
          <w:sz w:val="20"/>
          <w:szCs w:val="20"/>
        </w:rPr>
        <w:t>n</w:t>
      </w:r>
      <w:r w:rsidR="00D72785" w:rsidRPr="00AC4AEA">
        <w:rPr>
          <w:rFonts w:ascii="Arial" w:hAnsi="Arial" w:cs="Arial"/>
          <w:sz w:val="20"/>
          <w:szCs w:val="20"/>
        </w:rPr>
        <w:t>o es una combinación de negocios</w:t>
      </w:r>
      <w:r w:rsidR="006B27E8" w:rsidRPr="00AC4AEA">
        <w:rPr>
          <w:rFonts w:ascii="Arial" w:hAnsi="Arial" w:cs="Arial"/>
          <w:sz w:val="20"/>
          <w:szCs w:val="20"/>
        </w:rPr>
        <w:t>;</w:t>
      </w:r>
      <w:r w:rsidR="00D72785" w:rsidRPr="00AC4AEA">
        <w:rPr>
          <w:rFonts w:ascii="Arial" w:hAnsi="Arial" w:cs="Arial"/>
          <w:sz w:val="20"/>
          <w:szCs w:val="20"/>
        </w:rPr>
        <w:t xml:space="preserve"> y</w:t>
      </w:r>
    </w:p>
    <w:p w:rsidR="00D72785" w:rsidRPr="00AC4AEA" w:rsidRDefault="00B12E6C" w:rsidP="00A318EA">
      <w:pPr>
        <w:pStyle w:val="Prrafodelista"/>
        <w:numPr>
          <w:ilvl w:val="0"/>
          <w:numId w:val="165"/>
        </w:numPr>
        <w:ind w:left="1985"/>
        <w:contextualSpacing w:val="0"/>
        <w:jc w:val="both"/>
        <w:rPr>
          <w:rFonts w:ascii="Arial" w:hAnsi="Arial" w:cs="Arial"/>
          <w:sz w:val="20"/>
          <w:szCs w:val="20"/>
        </w:rPr>
      </w:pPr>
      <w:r w:rsidRPr="00AC4AEA">
        <w:rPr>
          <w:rFonts w:ascii="Arial" w:hAnsi="Arial" w:cs="Arial"/>
          <w:sz w:val="20"/>
          <w:szCs w:val="20"/>
        </w:rPr>
        <w:t>a</w:t>
      </w:r>
      <w:r w:rsidR="00D72785" w:rsidRPr="00AC4AEA">
        <w:rPr>
          <w:rFonts w:ascii="Arial" w:hAnsi="Arial" w:cs="Arial"/>
          <w:sz w:val="20"/>
          <w:szCs w:val="20"/>
        </w:rPr>
        <w:t xml:space="preserve"> la fecha de la transacción no afecta el result</w:t>
      </w:r>
      <w:r w:rsidR="005F0989" w:rsidRPr="00AC4AEA">
        <w:rPr>
          <w:rFonts w:ascii="Arial" w:hAnsi="Arial" w:cs="Arial"/>
          <w:sz w:val="20"/>
          <w:szCs w:val="20"/>
        </w:rPr>
        <w:t>a</w:t>
      </w:r>
      <w:r w:rsidR="00D72785" w:rsidRPr="00AC4AEA">
        <w:rPr>
          <w:rFonts w:ascii="Arial" w:hAnsi="Arial" w:cs="Arial"/>
          <w:sz w:val="20"/>
          <w:szCs w:val="20"/>
        </w:rPr>
        <w:t>do contable ni el impositivo.</w:t>
      </w:r>
    </w:p>
    <w:p w:rsidR="005F0989" w:rsidRPr="00AC4AEA" w:rsidRDefault="005F0989" w:rsidP="00A318EA">
      <w:pPr>
        <w:pStyle w:val="Prrafodelista"/>
        <w:numPr>
          <w:ilvl w:val="0"/>
          <w:numId w:val="164"/>
        </w:numPr>
        <w:ind w:left="1560"/>
        <w:contextualSpacing w:val="0"/>
        <w:jc w:val="both"/>
        <w:rPr>
          <w:rFonts w:ascii="Arial" w:hAnsi="Arial" w:cs="Arial"/>
          <w:sz w:val="20"/>
          <w:szCs w:val="20"/>
        </w:rPr>
      </w:pPr>
      <w:r w:rsidRPr="00AC4AEA">
        <w:rPr>
          <w:rFonts w:ascii="Arial" w:hAnsi="Arial" w:cs="Arial"/>
          <w:sz w:val="20"/>
          <w:szCs w:val="20"/>
        </w:rPr>
        <w:t>Inversiones</w:t>
      </w:r>
      <w:r w:rsidR="00D72785" w:rsidRPr="00AC4AEA">
        <w:rPr>
          <w:rFonts w:ascii="Arial" w:hAnsi="Arial" w:cs="Arial"/>
          <w:sz w:val="20"/>
          <w:szCs w:val="20"/>
        </w:rPr>
        <w:t xml:space="preserve"> en sucursales, en sociedades controladas o vinculadas o en negocios conjuntos si</w:t>
      </w:r>
      <w:r w:rsidRPr="00AC4AEA">
        <w:rPr>
          <w:rFonts w:ascii="Arial" w:hAnsi="Arial" w:cs="Arial"/>
          <w:sz w:val="20"/>
          <w:szCs w:val="20"/>
        </w:rPr>
        <w:t>:</w:t>
      </w:r>
      <w:r w:rsidR="00D72785" w:rsidRPr="00AC4AEA">
        <w:rPr>
          <w:rFonts w:ascii="Arial" w:hAnsi="Arial" w:cs="Arial"/>
          <w:sz w:val="20"/>
          <w:szCs w:val="20"/>
        </w:rPr>
        <w:t xml:space="preserve"> </w:t>
      </w:r>
    </w:p>
    <w:p w:rsidR="005F0989" w:rsidRPr="00AC4AEA" w:rsidRDefault="00B12E6C" w:rsidP="00A318EA">
      <w:pPr>
        <w:pStyle w:val="Prrafodelista"/>
        <w:numPr>
          <w:ilvl w:val="0"/>
          <w:numId w:val="166"/>
        </w:numPr>
        <w:ind w:left="1985"/>
        <w:contextualSpacing w:val="0"/>
        <w:jc w:val="both"/>
        <w:rPr>
          <w:rFonts w:ascii="Arial" w:hAnsi="Arial" w:cs="Arial"/>
          <w:sz w:val="20"/>
          <w:szCs w:val="20"/>
        </w:rPr>
      </w:pPr>
      <w:r w:rsidRPr="00AC4AEA">
        <w:rPr>
          <w:rFonts w:ascii="Arial" w:hAnsi="Arial" w:cs="Arial"/>
          <w:sz w:val="20"/>
          <w:szCs w:val="20"/>
        </w:rPr>
        <w:t>l</w:t>
      </w:r>
      <w:r w:rsidR="005F0989" w:rsidRPr="00AC4AEA">
        <w:rPr>
          <w:rFonts w:ascii="Arial" w:hAnsi="Arial" w:cs="Arial"/>
          <w:sz w:val="20"/>
          <w:szCs w:val="20"/>
        </w:rPr>
        <w:t>a inversora</w:t>
      </w:r>
      <w:r w:rsidR="00D72785" w:rsidRPr="00AC4AEA">
        <w:rPr>
          <w:rFonts w:ascii="Arial" w:hAnsi="Arial" w:cs="Arial"/>
          <w:sz w:val="20"/>
          <w:szCs w:val="20"/>
        </w:rPr>
        <w:t xml:space="preserve"> puede controlar los momentos </w:t>
      </w:r>
      <w:r w:rsidR="00E42DDE" w:rsidRPr="00AC4AEA">
        <w:rPr>
          <w:rFonts w:ascii="Arial" w:hAnsi="Arial" w:cs="Arial"/>
          <w:sz w:val="20"/>
          <w:szCs w:val="20"/>
        </w:rPr>
        <w:t xml:space="preserve">de reversión de </w:t>
      </w:r>
      <w:r w:rsidR="00D72785" w:rsidRPr="00AC4AEA">
        <w:rPr>
          <w:rFonts w:ascii="Arial" w:hAnsi="Arial" w:cs="Arial"/>
          <w:sz w:val="20"/>
          <w:szCs w:val="20"/>
        </w:rPr>
        <w:t>tales diferencias temporarias</w:t>
      </w:r>
      <w:r w:rsidR="006B27E8" w:rsidRPr="00AC4AEA">
        <w:rPr>
          <w:rFonts w:ascii="Arial" w:hAnsi="Arial" w:cs="Arial"/>
          <w:sz w:val="20"/>
          <w:szCs w:val="20"/>
        </w:rPr>
        <w:t>;</w:t>
      </w:r>
      <w:r w:rsidR="00D72785" w:rsidRPr="00AC4AEA">
        <w:rPr>
          <w:rFonts w:ascii="Arial" w:hAnsi="Arial" w:cs="Arial"/>
          <w:sz w:val="20"/>
          <w:szCs w:val="20"/>
        </w:rPr>
        <w:t xml:space="preserve"> y </w:t>
      </w:r>
    </w:p>
    <w:p w:rsidR="00D72785" w:rsidRPr="00AC4AEA" w:rsidRDefault="00B12E6C" w:rsidP="00A318EA">
      <w:pPr>
        <w:pStyle w:val="Prrafodelista"/>
        <w:numPr>
          <w:ilvl w:val="0"/>
          <w:numId w:val="166"/>
        </w:numPr>
        <w:ind w:left="1985"/>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s improbable que dichas diferencias se reviertan en un futuro previsible</w:t>
      </w:r>
      <w:r w:rsidR="00361A1E" w:rsidRPr="00AC4AEA">
        <w:rPr>
          <w:rFonts w:ascii="Arial" w:hAnsi="Arial" w:cs="Arial"/>
          <w:sz w:val="20"/>
          <w:szCs w:val="20"/>
        </w:rPr>
        <w:t>.</w:t>
      </w:r>
    </w:p>
    <w:p w:rsidR="00361A1E" w:rsidRPr="00AC4AEA" w:rsidRDefault="00361A1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podrá no reconocer los pasivos por impuestos diferidos provenientes de:</w:t>
      </w:r>
    </w:p>
    <w:p w:rsidR="00D72785" w:rsidRPr="00AC4AEA" w:rsidRDefault="00D72785" w:rsidP="00A318EA">
      <w:pPr>
        <w:pStyle w:val="Prrafodelista"/>
        <w:numPr>
          <w:ilvl w:val="0"/>
          <w:numId w:val="407"/>
        </w:numPr>
        <w:ind w:left="1560"/>
        <w:contextualSpacing w:val="0"/>
        <w:jc w:val="both"/>
        <w:rPr>
          <w:rFonts w:ascii="Arial" w:hAnsi="Arial" w:cs="Arial"/>
          <w:sz w:val="20"/>
          <w:szCs w:val="20"/>
        </w:rPr>
      </w:pPr>
      <w:r w:rsidRPr="00AC4AEA">
        <w:rPr>
          <w:rFonts w:ascii="Arial" w:hAnsi="Arial" w:cs="Arial"/>
          <w:sz w:val="20"/>
          <w:szCs w:val="20"/>
        </w:rPr>
        <w:t xml:space="preserve">Diferencias entre la medición contable y base fiscal de terrenos y otros </w:t>
      </w:r>
      <w:r w:rsidR="00497590" w:rsidRPr="00AC4AEA">
        <w:rPr>
          <w:rFonts w:ascii="Arial" w:hAnsi="Arial" w:cs="Arial"/>
          <w:sz w:val="20"/>
          <w:szCs w:val="20"/>
        </w:rPr>
        <w:t>activos</w:t>
      </w:r>
      <w:r w:rsidRPr="00AC4AEA">
        <w:rPr>
          <w:rFonts w:ascii="Arial" w:hAnsi="Arial" w:cs="Arial"/>
          <w:sz w:val="20"/>
          <w:szCs w:val="20"/>
        </w:rPr>
        <w:t xml:space="preserve"> no amortizables no destinados a la venta o negociación cuando es improbable que dichas diferencias se reviertan en un futuro previsible (por ejemplo, porque no se espera </w:t>
      </w:r>
      <w:r w:rsidR="002D2D77" w:rsidRPr="00AC4AEA">
        <w:rPr>
          <w:rFonts w:ascii="Arial" w:hAnsi="Arial" w:cs="Arial"/>
          <w:sz w:val="20"/>
          <w:szCs w:val="20"/>
        </w:rPr>
        <w:t xml:space="preserve">su venta </w:t>
      </w:r>
      <w:r w:rsidRPr="00AC4AEA">
        <w:rPr>
          <w:rFonts w:ascii="Arial" w:hAnsi="Arial" w:cs="Arial"/>
          <w:sz w:val="20"/>
          <w:szCs w:val="20"/>
        </w:rPr>
        <w:t xml:space="preserve">en un </w:t>
      </w:r>
      <w:r w:rsidR="005F0989" w:rsidRPr="00AC4AEA">
        <w:rPr>
          <w:rFonts w:ascii="Arial" w:hAnsi="Arial" w:cs="Arial"/>
          <w:sz w:val="20"/>
          <w:szCs w:val="20"/>
        </w:rPr>
        <w:t>plazo</w:t>
      </w:r>
      <w:r w:rsidRPr="00AC4AEA">
        <w:rPr>
          <w:rFonts w:ascii="Arial" w:hAnsi="Arial" w:cs="Arial"/>
          <w:sz w:val="20"/>
          <w:szCs w:val="20"/>
        </w:rPr>
        <w:t xml:space="preserve"> razonable).</w:t>
      </w:r>
    </w:p>
    <w:p w:rsidR="00D72785" w:rsidRPr="00AC4AEA" w:rsidRDefault="00D72785" w:rsidP="00A318EA">
      <w:pPr>
        <w:pStyle w:val="Prrafodelista"/>
        <w:numPr>
          <w:ilvl w:val="0"/>
          <w:numId w:val="407"/>
        </w:numPr>
        <w:ind w:left="1560"/>
        <w:contextualSpacing w:val="0"/>
        <w:jc w:val="both"/>
        <w:rPr>
          <w:rFonts w:ascii="Arial" w:hAnsi="Arial" w:cs="Arial"/>
          <w:sz w:val="20"/>
          <w:szCs w:val="20"/>
        </w:rPr>
      </w:pPr>
      <w:r w:rsidRPr="00AC4AEA">
        <w:rPr>
          <w:rFonts w:ascii="Arial" w:hAnsi="Arial" w:cs="Arial"/>
          <w:sz w:val="20"/>
          <w:szCs w:val="20"/>
        </w:rPr>
        <w:t>Diferencias entre la medición contable y base fiscal de ciertos tipos de hacienda que probablemente no generen mayores pagos fiscales en el momento de la venta debido a los requisitos establecidos por la legislación fiscal (por ejemplo, el mantenimiento del número de cabezas).</w:t>
      </w:r>
    </w:p>
    <w:p w:rsidR="00D72785" w:rsidRPr="00AC4AEA" w:rsidRDefault="00D72785" w:rsidP="00A318EA">
      <w:pPr>
        <w:jc w:val="both"/>
        <w:rPr>
          <w:rFonts w:ascii="Arial" w:hAnsi="Arial" w:cs="Arial"/>
          <w:sz w:val="20"/>
          <w:szCs w:val="20"/>
        </w:rPr>
      </w:pPr>
    </w:p>
    <w:p w:rsidR="005F0989" w:rsidRPr="00AC4AEA" w:rsidRDefault="005F0989" w:rsidP="00A318EA">
      <w:pPr>
        <w:pStyle w:val="Ttulo3"/>
      </w:pPr>
      <w:bookmarkStart w:id="838" w:name="_Toc101863983"/>
      <w:bookmarkStart w:id="839" w:name="_Toc139356874"/>
      <w:r w:rsidRPr="00AC4AEA">
        <w:t xml:space="preserve">Excepciones al reconocimiento de </w:t>
      </w:r>
      <w:r w:rsidR="00497590" w:rsidRPr="00AC4AEA">
        <w:t>activos</w:t>
      </w:r>
      <w:r w:rsidRPr="00AC4AEA">
        <w:t xml:space="preserve"> por impuesto diferido</w:t>
      </w:r>
      <w:bookmarkEnd w:id="838"/>
      <w:bookmarkEnd w:id="839"/>
    </w:p>
    <w:p w:rsidR="005F0989" w:rsidRPr="00AC4AEA" w:rsidRDefault="005F0989" w:rsidP="00A318EA">
      <w:pPr>
        <w:pStyle w:val="Prrafodelista"/>
        <w:numPr>
          <w:ilvl w:val="0"/>
          <w:numId w:val="29"/>
        </w:numPr>
        <w:contextualSpacing w:val="0"/>
        <w:jc w:val="both"/>
        <w:rPr>
          <w:rFonts w:ascii="Arial" w:hAnsi="Arial" w:cs="Arial"/>
          <w:sz w:val="20"/>
          <w:szCs w:val="20"/>
        </w:rPr>
      </w:pPr>
      <w:bookmarkStart w:id="840" w:name="_Ref99492316"/>
      <w:r w:rsidRPr="00AC4AEA">
        <w:rPr>
          <w:rFonts w:ascii="Arial" w:hAnsi="Arial" w:cs="Arial"/>
          <w:sz w:val="20"/>
          <w:szCs w:val="20"/>
        </w:rPr>
        <w:t xml:space="preserve">Una entidad no reconocerá </w:t>
      </w:r>
      <w:r w:rsidR="00497590" w:rsidRPr="00AC4AEA">
        <w:rPr>
          <w:rFonts w:ascii="Arial" w:hAnsi="Arial" w:cs="Arial"/>
          <w:sz w:val="20"/>
          <w:szCs w:val="20"/>
        </w:rPr>
        <w:t>activos</w:t>
      </w:r>
      <w:r w:rsidRPr="00AC4AEA">
        <w:rPr>
          <w:rFonts w:ascii="Arial" w:hAnsi="Arial" w:cs="Arial"/>
          <w:sz w:val="20"/>
          <w:szCs w:val="20"/>
        </w:rPr>
        <w:t xml:space="preserve"> por impuestos diferidos procedentes de:</w:t>
      </w:r>
      <w:bookmarkEnd w:id="840"/>
    </w:p>
    <w:p w:rsidR="005F0989" w:rsidRPr="00AC4AEA" w:rsidRDefault="005F0989" w:rsidP="00A318EA">
      <w:pPr>
        <w:pStyle w:val="Prrafodelista"/>
        <w:numPr>
          <w:ilvl w:val="0"/>
          <w:numId w:val="167"/>
        </w:numPr>
        <w:ind w:left="1560"/>
        <w:contextualSpacing w:val="0"/>
        <w:jc w:val="both"/>
        <w:rPr>
          <w:rFonts w:ascii="Arial" w:hAnsi="Arial" w:cs="Arial"/>
          <w:sz w:val="20"/>
          <w:szCs w:val="20"/>
        </w:rPr>
      </w:pPr>
      <w:r w:rsidRPr="00AC4AEA">
        <w:rPr>
          <w:rFonts w:ascii="Arial" w:hAnsi="Arial" w:cs="Arial"/>
          <w:sz w:val="20"/>
          <w:szCs w:val="20"/>
        </w:rPr>
        <w:t xml:space="preserve">El reconocimiento inicial de un </w:t>
      </w:r>
      <w:r w:rsidRPr="00AC4AEA">
        <w:rPr>
          <w:rFonts w:ascii="Arial" w:hAnsi="Arial" w:cs="Arial"/>
          <w:b/>
          <w:bCs/>
          <w:sz w:val="20"/>
          <w:szCs w:val="20"/>
        </w:rPr>
        <w:t>activo</w:t>
      </w:r>
      <w:r w:rsidRPr="00AC4AEA">
        <w:rPr>
          <w:rFonts w:ascii="Arial" w:hAnsi="Arial" w:cs="Arial"/>
          <w:sz w:val="20"/>
          <w:szCs w:val="20"/>
        </w:rPr>
        <w:t xml:space="preserve"> o de un </w:t>
      </w:r>
      <w:r w:rsidRPr="00AC4AEA">
        <w:rPr>
          <w:rFonts w:ascii="Arial" w:hAnsi="Arial" w:cs="Arial"/>
          <w:b/>
          <w:bCs/>
          <w:sz w:val="20"/>
          <w:szCs w:val="20"/>
        </w:rPr>
        <w:t xml:space="preserve">pasivo </w:t>
      </w:r>
      <w:r w:rsidRPr="00AC4AEA">
        <w:rPr>
          <w:rFonts w:ascii="Arial" w:hAnsi="Arial" w:cs="Arial"/>
          <w:sz w:val="20"/>
          <w:szCs w:val="20"/>
        </w:rPr>
        <w:t xml:space="preserve">en una </w:t>
      </w:r>
      <w:r w:rsidR="007E020E" w:rsidRPr="00AC4AEA">
        <w:rPr>
          <w:rFonts w:ascii="Arial" w:hAnsi="Arial" w:cs="Arial"/>
          <w:sz w:val="20"/>
          <w:szCs w:val="20"/>
        </w:rPr>
        <w:t>transacción</w:t>
      </w:r>
      <w:r w:rsidRPr="00AC4AEA">
        <w:rPr>
          <w:rFonts w:ascii="Arial" w:hAnsi="Arial" w:cs="Arial"/>
          <w:sz w:val="20"/>
          <w:szCs w:val="20"/>
        </w:rPr>
        <w:t xml:space="preserve"> que:</w:t>
      </w:r>
    </w:p>
    <w:p w:rsidR="005F0989" w:rsidRPr="00AC4AEA" w:rsidRDefault="00B12E6C" w:rsidP="00A318EA">
      <w:pPr>
        <w:pStyle w:val="Prrafodelista"/>
        <w:numPr>
          <w:ilvl w:val="0"/>
          <w:numId w:val="168"/>
        </w:numPr>
        <w:ind w:left="1985"/>
        <w:contextualSpacing w:val="0"/>
        <w:jc w:val="both"/>
        <w:rPr>
          <w:rFonts w:ascii="Arial" w:hAnsi="Arial" w:cs="Arial"/>
          <w:sz w:val="20"/>
          <w:szCs w:val="20"/>
        </w:rPr>
      </w:pPr>
      <w:r w:rsidRPr="00AC4AEA">
        <w:rPr>
          <w:rFonts w:ascii="Arial" w:hAnsi="Arial" w:cs="Arial"/>
          <w:sz w:val="20"/>
          <w:szCs w:val="20"/>
        </w:rPr>
        <w:t>n</w:t>
      </w:r>
      <w:r w:rsidR="005F0989" w:rsidRPr="00AC4AEA">
        <w:rPr>
          <w:rFonts w:ascii="Arial" w:hAnsi="Arial" w:cs="Arial"/>
          <w:sz w:val="20"/>
          <w:szCs w:val="20"/>
        </w:rPr>
        <w:t>o es una combinación de negocios</w:t>
      </w:r>
      <w:r w:rsidR="006B27E8" w:rsidRPr="00AC4AEA">
        <w:rPr>
          <w:rFonts w:ascii="Arial" w:hAnsi="Arial" w:cs="Arial"/>
          <w:sz w:val="20"/>
          <w:szCs w:val="20"/>
        </w:rPr>
        <w:t>;</w:t>
      </w:r>
      <w:r w:rsidR="005F0989" w:rsidRPr="00AC4AEA">
        <w:rPr>
          <w:rFonts w:ascii="Arial" w:hAnsi="Arial" w:cs="Arial"/>
          <w:sz w:val="20"/>
          <w:szCs w:val="20"/>
        </w:rPr>
        <w:t xml:space="preserve"> y</w:t>
      </w:r>
    </w:p>
    <w:p w:rsidR="005F0989" w:rsidRPr="00AC4AEA" w:rsidRDefault="00B12E6C" w:rsidP="00A318EA">
      <w:pPr>
        <w:pStyle w:val="Prrafodelista"/>
        <w:numPr>
          <w:ilvl w:val="0"/>
          <w:numId w:val="168"/>
        </w:numPr>
        <w:ind w:left="1985"/>
        <w:contextualSpacing w:val="0"/>
        <w:jc w:val="both"/>
        <w:rPr>
          <w:rFonts w:ascii="Arial" w:hAnsi="Arial" w:cs="Arial"/>
          <w:sz w:val="20"/>
          <w:szCs w:val="20"/>
        </w:rPr>
      </w:pPr>
      <w:r w:rsidRPr="00AC4AEA">
        <w:rPr>
          <w:rFonts w:ascii="Arial" w:hAnsi="Arial" w:cs="Arial"/>
          <w:sz w:val="20"/>
          <w:szCs w:val="20"/>
        </w:rPr>
        <w:t>a</w:t>
      </w:r>
      <w:r w:rsidR="005F0989" w:rsidRPr="00AC4AEA">
        <w:rPr>
          <w:rFonts w:ascii="Arial" w:hAnsi="Arial" w:cs="Arial"/>
          <w:sz w:val="20"/>
          <w:szCs w:val="20"/>
        </w:rPr>
        <w:t xml:space="preserve"> la fecha de la transacción no afecta el resultado contable ni el impositivo.</w:t>
      </w:r>
    </w:p>
    <w:p w:rsidR="005F0989" w:rsidRPr="00AC4AEA" w:rsidRDefault="005F0989" w:rsidP="00A318EA">
      <w:pPr>
        <w:pStyle w:val="Prrafodelista"/>
        <w:numPr>
          <w:ilvl w:val="0"/>
          <w:numId w:val="167"/>
        </w:numPr>
        <w:ind w:left="1560"/>
        <w:contextualSpacing w:val="0"/>
        <w:jc w:val="both"/>
        <w:rPr>
          <w:rFonts w:ascii="Arial" w:hAnsi="Arial" w:cs="Arial"/>
          <w:sz w:val="20"/>
          <w:szCs w:val="20"/>
        </w:rPr>
      </w:pPr>
      <w:r w:rsidRPr="00AC4AEA">
        <w:rPr>
          <w:rFonts w:ascii="Arial" w:hAnsi="Arial" w:cs="Arial"/>
          <w:sz w:val="20"/>
          <w:szCs w:val="20"/>
        </w:rPr>
        <w:t>Inversiones en sucursales, en sociedades controladas o vinculadas o en negocios conjuntos si es improbable que:</w:t>
      </w:r>
    </w:p>
    <w:p w:rsidR="005F0989" w:rsidRPr="00AC4AEA" w:rsidRDefault="006B27E8" w:rsidP="00A318EA">
      <w:pPr>
        <w:pStyle w:val="Prrafodelista"/>
        <w:numPr>
          <w:ilvl w:val="0"/>
          <w:numId w:val="169"/>
        </w:numPr>
        <w:ind w:left="1985"/>
        <w:contextualSpacing w:val="0"/>
        <w:jc w:val="both"/>
        <w:rPr>
          <w:rFonts w:ascii="Arial" w:hAnsi="Arial" w:cs="Arial"/>
          <w:sz w:val="20"/>
          <w:szCs w:val="20"/>
        </w:rPr>
      </w:pPr>
      <w:r w:rsidRPr="00AC4AEA">
        <w:rPr>
          <w:rFonts w:ascii="Arial" w:hAnsi="Arial" w:cs="Arial"/>
          <w:sz w:val="20"/>
          <w:szCs w:val="20"/>
        </w:rPr>
        <w:lastRenderedPageBreak/>
        <w:t>l</w:t>
      </w:r>
      <w:r w:rsidR="005F0989" w:rsidRPr="00AC4AEA">
        <w:rPr>
          <w:rFonts w:ascii="Arial" w:hAnsi="Arial" w:cs="Arial"/>
          <w:sz w:val="20"/>
          <w:szCs w:val="20"/>
        </w:rPr>
        <w:t>as diferencias se reviertan en un futuro previsible</w:t>
      </w:r>
      <w:r w:rsidRPr="00AC4AEA">
        <w:rPr>
          <w:rFonts w:ascii="Arial" w:hAnsi="Arial" w:cs="Arial"/>
          <w:sz w:val="20"/>
          <w:szCs w:val="20"/>
        </w:rPr>
        <w:t>;</w:t>
      </w:r>
      <w:r w:rsidR="005F0989" w:rsidRPr="00AC4AEA">
        <w:rPr>
          <w:rFonts w:ascii="Arial" w:hAnsi="Arial" w:cs="Arial"/>
          <w:sz w:val="20"/>
          <w:szCs w:val="20"/>
        </w:rPr>
        <w:t xml:space="preserve"> o </w:t>
      </w:r>
    </w:p>
    <w:p w:rsidR="005F0989" w:rsidRPr="00AC4AEA" w:rsidRDefault="006B27E8" w:rsidP="00A318EA">
      <w:pPr>
        <w:pStyle w:val="Prrafodelista"/>
        <w:numPr>
          <w:ilvl w:val="0"/>
          <w:numId w:val="169"/>
        </w:numPr>
        <w:ind w:left="1985"/>
        <w:contextualSpacing w:val="0"/>
        <w:jc w:val="both"/>
        <w:rPr>
          <w:rFonts w:ascii="Arial" w:hAnsi="Arial" w:cs="Arial"/>
          <w:sz w:val="20"/>
          <w:szCs w:val="20"/>
        </w:rPr>
      </w:pPr>
      <w:r w:rsidRPr="00AC4AEA">
        <w:rPr>
          <w:rFonts w:ascii="Arial" w:hAnsi="Arial" w:cs="Arial"/>
          <w:sz w:val="20"/>
          <w:szCs w:val="20"/>
        </w:rPr>
        <w:t>l</w:t>
      </w:r>
      <w:r w:rsidR="005F0989" w:rsidRPr="00AC4AEA">
        <w:rPr>
          <w:rFonts w:ascii="Arial" w:hAnsi="Arial" w:cs="Arial"/>
          <w:sz w:val="20"/>
          <w:szCs w:val="20"/>
        </w:rPr>
        <w:t>a entidad espere ganancias imponibles suficientes contra las cuales computar tales diferencias.</w:t>
      </w:r>
    </w:p>
    <w:p w:rsidR="005F0989" w:rsidRPr="00AC4AEA" w:rsidRDefault="005F0989" w:rsidP="00A318EA">
      <w:pPr>
        <w:jc w:val="both"/>
        <w:rPr>
          <w:rFonts w:ascii="Arial" w:hAnsi="Arial" w:cs="Arial"/>
          <w:sz w:val="20"/>
          <w:szCs w:val="20"/>
        </w:rPr>
      </w:pPr>
    </w:p>
    <w:p w:rsidR="00D72785" w:rsidRPr="00AC4AEA" w:rsidRDefault="00D72785" w:rsidP="00A318EA">
      <w:pPr>
        <w:pStyle w:val="Ttulo3"/>
      </w:pPr>
      <w:bookmarkStart w:id="841" w:name="_Toc101863984"/>
      <w:bookmarkStart w:id="842" w:name="_Toc139356875"/>
      <w:r w:rsidRPr="00AC4AEA">
        <w:t xml:space="preserve">Medición inicial y posterior de los </w:t>
      </w:r>
      <w:r w:rsidR="00497590" w:rsidRPr="00AC4AEA">
        <w:t>pasivos</w:t>
      </w:r>
      <w:r w:rsidRPr="00AC4AEA">
        <w:t xml:space="preserve"> </w:t>
      </w:r>
      <w:r w:rsidR="00361A1E" w:rsidRPr="00AC4AEA">
        <w:t xml:space="preserve">o </w:t>
      </w:r>
      <w:r w:rsidR="00497590" w:rsidRPr="00AC4AEA">
        <w:t>activos</w:t>
      </w:r>
      <w:r w:rsidRPr="00AC4AEA">
        <w:t xml:space="preserve"> por impuesto diferido</w:t>
      </w:r>
      <w:bookmarkEnd w:id="841"/>
      <w:bookmarkEnd w:id="842"/>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w:t>
      </w:r>
      <w:r w:rsidR="00A41E50" w:rsidRPr="00AC4AEA">
        <w:rPr>
          <w:rFonts w:ascii="Arial" w:hAnsi="Arial" w:cs="Arial"/>
          <w:sz w:val="20"/>
          <w:szCs w:val="20"/>
        </w:rPr>
        <w:t>medir</w:t>
      </w:r>
      <w:r w:rsidRPr="00AC4AEA">
        <w:rPr>
          <w:rFonts w:ascii="Arial" w:hAnsi="Arial" w:cs="Arial"/>
          <w:sz w:val="20"/>
          <w:szCs w:val="20"/>
        </w:rPr>
        <w:t xml:space="preserve"> los </w:t>
      </w:r>
      <w:r w:rsidR="00497590" w:rsidRPr="00AC4AEA">
        <w:rPr>
          <w:rFonts w:ascii="Arial" w:hAnsi="Arial" w:cs="Arial"/>
          <w:sz w:val="20"/>
          <w:szCs w:val="20"/>
        </w:rPr>
        <w:t>pasivos</w:t>
      </w:r>
      <w:r w:rsidRPr="00AC4AEA">
        <w:rPr>
          <w:rFonts w:ascii="Arial" w:hAnsi="Arial" w:cs="Arial"/>
          <w:sz w:val="20"/>
          <w:szCs w:val="20"/>
        </w:rPr>
        <w:t xml:space="preserve"> (</w:t>
      </w:r>
      <w:r w:rsidR="00497590" w:rsidRPr="00AC4AEA">
        <w:rPr>
          <w:rFonts w:ascii="Arial" w:hAnsi="Arial" w:cs="Arial"/>
          <w:sz w:val="20"/>
          <w:szCs w:val="20"/>
        </w:rPr>
        <w:t>activos</w:t>
      </w:r>
      <w:r w:rsidRPr="00AC4AEA">
        <w:rPr>
          <w:rFonts w:ascii="Arial" w:hAnsi="Arial" w:cs="Arial"/>
          <w:sz w:val="20"/>
          <w:szCs w:val="20"/>
        </w:rPr>
        <w:t>) por impuestos diferidos</w:t>
      </w:r>
      <w:r w:rsidR="00A41E50" w:rsidRPr="00AC4AEA">
        <w:rPr>
          <w:rFonts w:ascii="Arial" w:hAnsi="Arial" w:cs="Arial"/>
          <w:sz w:val="20"/>
          <w:szCs w:val="20"/>
        </w:rPr>
        <w:t xml:space="preserve"> provenientes de diferencias temporarias</w:t>
      </w:r>
      <w:r w:rsidRPr="00AC4AEA">
        <w:rPr>
          <w:rFonts w:ascii="Arial" w:hAnsi="Arial" w:cs="Arial"/>
          <w:sz w:val="20"/>
          <w:szCs w:val="20"/>
        </w:rPr>
        <w:t>, una entidad deberá:</w:t>
      </w:r>
    </w:p>
    <w:p w:rsidR="00D72785" w:rsidRPr="00AC4AEA" w:rsidRDefault="00E90FDA" w:rsidP="00A318EA">
      <w:pPr>
        <w:pStyle w:val="Prrafodelista"/>
        <w:numPr>
          <w:ilvl w:val="0"/>
          <w:numId w:val="170"/>
        </w:numPr>
        <w:ind w:left="1560"/>
        <w:contextualSpacing w:val="0"/>
        <w:jc w:val="both"/>
        <w:rPr>
          <w:rFonts w:ascii="Arial" w:hAnsi="Arial" w:cs="Arial"/>
          <w:sz w:val="20"/>
          <w:szCs w:val="20"/>
        </w:rPr>
      </w:pPr>
      <w:r w:rsidRPr="00AC4AEA">
        <w:rPr>
          <w:rFonts w:ascii="Arial" w:hAnsi="Arial" w:cs="Arial"/>
          <w:sz w:val="20"/>
          <w:szCs w:val="20"/>
        </w:rPr>
        <w:t>c</w:t>
      </w:r>
      <w:r w:rsidR="00D72785" w:rsidRPr="00AC4AEA">
        <w:rPr>
          <w:rFonts w:ascii="Arial" w:hAnsi="Arial" w:cs="Arial"/>
          <w:sz w:val="20"/>
          <w:szCs w:val="20"/>
        </w:rPr>
        <w:t xml:space="preserve">omparar la medición contable de los </w:t>
      </w:r>
      <w:r w:rsidR="00497590" w:rsidRPr="00AC4AEA">
        <w:rPr>
          <w:rFonts w:ascii="Arial" w:hAnsi="Arial" w:cs="Arial"/>
          <w:sz w:val="20"/>
          <w:szCs w:val="20"/>
        </w:rPr>
        <w:t>activos</w:t>
      </w:r>
      <w:r w:rsidR="00D72785" w:rsidRPr="00AC4AEA">
        <w:rPr>
          <w:rFonts w:ascii="Arial" w:hAnsi="Arial" w:cs="Arial"/>
          <w:sz w:val="20"/>
          <w:szCs w:val="20"/>
        </w:rPr>
        <w:t xml:space="preserve"> y </w:t>
      </w:r>
      <w:r w:rsidR="00497590" w:rsidRPr="00AC4AEA">
        <w:rPr>
          <w:rFonts w:ascii="Arial" w:hAnsi="Arial" w:cs="Arial"/>
          <w:sz w:val="20"/>
          <w:szCs w:val="20"/>
        </w:rPr>
        <w:t>pasivos</w:t>
      </w:r>
      <w:r w:rsidR="00D72785" w:rsidRPr="00AC4AEA">
        <w:rPr>
          <w:rFonts w:ascii="Arial" w:hAnsi="Arial" w:cs="Arial"/>
          <w:sz w:val="20"/>
          <w:szCs w:val="20"/>
        </w:rPr>
        <w:t xml:space="preserve"> con su respectiva base fiscal;</w:t>
      </w:r>
    </w:p>
    <w:p w:rsidR="00D72785" w:rsidRPr="00AC4AEA" w:rsidRDefault="00E90FDA" w:rsidP="00A318EA">
      <w:pPr>
        <w:pStyle w:val="Prrafodelista"/>
        <w:numPr>
          <w:ilvl w:val="0"/>
          <w:numId w:val="170"/>
        </w:numPr>
        <w:ind w:left="1560"/>
        <w:contextualSpacing w:val="0"/>
        <w:jc w:val="both"/>
        <w:rPr>
          <w:rFonts w:ascii="Arial" w:hAnsi="Arial" w:cs="Arial"/>
          <w:sz w:val="20"/>
          <w:szCs w:val="20"/>
        </w:rPr>
      </w:pPr>
      <w:r w:rsidRPr="00AC4AEA">
        <w:rPr>
          <w:rFonts w:ascii="Arial" w:hAnsi="Arial" w:cs="Arial"/>
          <w:sz w:val="20"/>
          <w:szCs w:val="20"/>
        </w:rPr>
        <w:t>d</w:t>
      </w:r>
      <w:r w:rsidR="00D72785" w:rsidRPr="00AC4AEA">
        <w:rPr>
          <w:rFonts w:ascii="Arial" w:hAnsi="Arial" w:cs="Arial"/>
          <w:sz w:val="20"/>
          <w:szCs w:val="20"/>
        </w:rPr>
        <w:t xml:space="preserve">eterminar las diferencias temporarias imponibles (generadoras de </w:t>
      </w:r>
      <w:r w:rsidR="00497590" w:rsidRPr="00AC4AEA">
        <w:rPr>
          <w:rFonts w:ascii="Arial" w:hAnsi="Arial" w:cs="Arial"/>
          <w:sz w:val="20"/>
          <w:szCs w:val="20"/>
        </w:rPr>
        <w:t>pasivos</w:t>
      </w:r>
      <w:r w:rsidR="00D72785" w:rsidRPr="00AC4AEA">
        <w:rPr>
          <w:rFonts w:ascii="Arial" w:hAnsi="Arial" w:cs="Arial"/>
          <w:sz w:val="20"/>
          <w:szCs w:val="20"/>
        </w:rPr>
        <w:t xml:space="preserve"> por impuestos diferidos) y las diferencias temporarias deducibles (generadoras de </w:t>
      </w:r>
      <w:r w:rsidR="00497590" w:rsidRPr="00AC4AEA">
        <w:rPr>
          <w:rFonts w:ascii="Arial" w:hAnsi="Arial" w:cs="Arial"/>
          <w:sz w:val="20"/>
          <w:szCs w:val="20"/>
        </w:rPr>
        <w:t>activos</w:t>
      </w:r>
      <w:r w:rsidR="00D72785" w:rsidRPr="00AC4AEA">
        <w:rPr>
          <w:rFonts w:ascii="Arial" w:hAnsi="Arial" w:cs="Arial"/>
          <w:sz w:val="20"/>
          <w:szCs w:val="20"/>
        </w:rPr>
        <w:t xml:space="preserve"> por impuestos diferidos)</w:t>
      </w:r>
      <w:r w:rsidR="006B27E8" w:rsidRPr="00AC4AEA">
        <w:rPr>
          <w:rFonts w:ascii="Arial" w:hAnsi="Arial" w:cs="Arial"/>
          <w:sz w:val="20"/>
          <w:szCs w:val="20"/>
        </w:rPr>
        <w:t>;</w:t>
      </w:r>
      <w:r w:rsidR="00D72785" w:rsidRPr="00AC4AEA">
        <w:rPr>
          <w:rFonts w:ascii="Arial" w:hAnsi="Arial" w:cs="Arial"/>
          <w:sz w:val="20"/>
          <w:szCs w:val="20"/>
        </w:rPr>
        <w:t xml:space="preserve"> y</w:t>
      </w:r>
    </w:p>
    <w:p w:rsidR="00D72785" w:rsidRPr="00AC4AEA" w:rsidRDefault="00E90FDA" w:rsidP="00A318EA">
      <w:pPr>
        <w:pStyle w:val="Prrafodelista"/>
        <w:numPr>
          <w:ilvl w:val="0"/>
          <w:numId w:val="170"/>
        </w:numPr>
        <w:ind w:left="1560"/>
        <w:contextualSpacing w:val="0"/>
        <w:jc w:val="both"/>
        <w:rPr>
          <w:rFonts w:ascii="Arial" w:hAnsi="Arial" w:cs="Arial"/>
          <w:sz w:val="20"/>
          <w:szCs w:val="20"/>
        </w:rPr>
      </w:pPr>
      <w:r w:rsidRPr="00AC4AEA">
        <w:rPr>
          <w:rFonts w:ascii="Arial" w:hAnsi="Arial" w:cs="Arial"/>
          <w:sz w:val="20"/>
          <w:szCs w:val="20"/>
        </w:rPr>
        <w:t>m</w:t>
      </w:r>
      <w:r w:rsidR="00D72785" w:rsidRPr="00AC4AEA">
        <w:rPr>
          <w:rFonts w:ascii="Arial" w:hAnsi="Arial" w:cs="Arial"/>
          <w:sz w:val="20"/>
          <w:szCs w:val="20"/>
        </w:rPr>
        <w:t>ultiplicar tales diferencias temporarias por la tasa</w:t>
      </w:r>
      <w:r w:rsidR="00361A1E" w:rsidRPr="00AC4AEA">
        <w:rPr>
          <w:rFonts w:ascii="Arial" w:hAnsi="Arial" w:cs="Arial"/>
          <w:sz w:val="20"/>
          <w:szCs w:val="20"/>
        </w:rPr>
        <w:t xml:space="preserve"> (alícuota)</w:t>
      </w:r>
      <w:r w:rsidR="00D72785" w:rsidRPr="00AC4AEA">
        <w:rPr>
          <w:rFonts w:ascii="Arial" w:hAnsi="Arial" w:cs="Arial"/>
          <w:sz w:val="20"/>
          <w:szCs w:val="20"/>
        </w:rPr>
        <w:t xml:space="preserve"> fiscal.</w:t>
      </w:r>
    </w:p>
    <w:p w:rsidR="00A41E50" w:rsidRPr="00AC4AEA" w:rsidRDefault="00A41E5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medir los </w:t>
      </w:r>
      <w:r w:rsidR="00497590" w:rsidRPr="00AC4AEA">
        <w:rPr>
          <w:rFonts w:ascii="Arial" w:hAnsi="Arial" w:cs="Arial"/>
          <w:sz w:val="20"/>
          <w:szCs w:val="20"/>
        </w:rPr>
        <w:t>activos</w:t>
      </w:r>
      <w:r w:rsidRPr="00AC4AEA">
        <w:rPr>
          <w:rFonts w:ascii="Arial" w:hAnsi="Arial" w:cs="Arial"/>
          <w:sz w:val="20"/>
          <w:szCs w:val="20"/>
        </w:rPr>
        <w:t xml:space="preserve"> por impuestos diferidos procedentes de pérdidas fiscales, una entidad deberá:</w:t>
      </w:r>
    </w:p>
    <w:p w:rsidR="00A41E50" w:rsidRPr="00AC4AEA" w:rsidRDefault="00A41E50" w:rsidP="00A318EA">
      <w:pPr>
        <w:pStyle w:val="Prrafodelista"/>
        <w:numPr>
          <w:ilvl w:val="0"/>
          <w:numId w:val="432"/>
        </w:numPr>
        <w:ind w:left="1560"/>
        <w:contextualSpacing w:val="0"/>
        <w:jc w:val="both"/>
        <w:rPr>
          <w:rFonts w:ascii="Arial" w:hAnsi="Arial" w:cs="Arial"/>
          <w:sz w:val="20"/>
          <w:szCs w:val="20"/>
        </w:rPr>
      </w:pPr>
      <w:r w:rsidRPr="00AC4AEA">
        <w:rPr>
          <w:rFonts w:ascii="Arial" w:hAnsi="Arial" w:cs="Arial"/>
          <w:sz w:val="20"/>
          <w:szCs w:val="20"/>
        </w:rPr>
        <w:t>calcular la pérdida fiscal; y</w:t>
      </w:r>
    </w:p>
    <w:p w:rsidR="00361A1E" w:rsidRPr="00AC4AEA" w:rsidRDefault="00A41E50" w:rsidP="00A318EA">
      <w:pPr>
        <w:pStyle w:val="Prrafodelista"/>
        <w:numPr>
          <w:ilvl w:val="0"/>
          <w:numId w:val="432"/>
        </w:numPr>
        <w:ind w:left="1560"/>
        <w:contextualSpacing w:val="0"/>
        <w:jc w:val="both"/>
        <w:rPr>
          <w:rFonts w:ascii="Arial" w:hAnsi="Arial" w:cs="Arial"/>
          <w:sz w:val="20"/>
          <w:szCs w:val="20"/>
        </w:rPr>
      </w:pPr>
      <w:r w:rsidRPr="00AC4AEA">
        <w:rPr>
          <w:rFonts w:ascii="Arial" w:hAnsi="Arial" w:cs="Arial"/>
          <w:sz w:val="20"/>
          <w:szCs w:val="20"/>
        </w:rPr>
        <w:t>multiplicar</w:t>
      </w:r>
      <w:r w:rsidR="005645FD" w:rsidRPr="00AC4AEA">
        <w:rPr>
          <w:rFonts w:ascii="Arial" w:hAnsi="Arial" w:cs="Arial"/>
          <w:sz w:val="20"/>
          <w:szCs w:val="20"/>
        </w:rPr>
        <w:t xml:space="preserve"> tal pérdida</w:t>
      </w:r>
      <w:r w:rsidRPr="00AC4AEA">
        <w:rPr>
          <w:rFonts w:ascii="Arial" w:hAnsi="Arial" w:cs="Arial"/>
          <w:sz w:val="20"/>
          <w:szCs w:val="20"/>
        </w:rPr>
        <w:t xml:space="preserve"> por la</w:t>
      </w:r>
      <w:bookmarkStart w:id="843" w:name="_Ref102838665"/>
      <w:r w:rsidR="00361A1E" w:rsidRPr="00AC4AEA">
        <w:rPr>
          <w:rFonts w:ascii="Arial" w:hAnsi="Arial" w:cs="Arial"/>
          <w:sz w:val="20"/>
          <w:szCs w:val="20"/>
        </w:rPr>
        <w:t xml:space="preserve"> tasa (alícuota) fiscal.</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podrá medir </w:t>
      </w:r>
      <w:r w:rsidR="00AC3BC2" w:rsidRPr="00AC4AEA">
        <w:rPr>
          <w:rFonts w:ascii="Arial" w:hAnsi="Arial" w:cs="Arial"/>
          <w:sz w:val="20"/>
          <w:szCs w:val="20"/>
        </w:rPr>
        <w:t xml:space="preserve">la totalidad de </w:t>
      </w:r>
      <w:r w:rsidRPr="00AC4AEA">
        <w:rPr>
          <w:rFonts w:ascii="Arial" w:hAnsi="Arial" w:cs="Arial"/>
          <w:sz w:val="20"/>
          <w:szCs w:val="20"/>
        </w:rPr>
        <w:t xml:space="preserve">los </w:t>
      </w:r>
      <w:r w:rsidR="00497590" w:rsidRPr="00AC4AEA">
        <w:rPr>
          <w:rFonts w:ascii="Arial" w:hAnsi="Arial" w:cs="Arial"/>
          <w:sz w:val="20"/>
          <w:szCs w:val="20"/>
        </w:rPr>
        <w:t>pasivos</w:t>
      </w:r>
      <w:r w:rsidRPr="00AC4AEA">
        <w:rPr>
          <w:rFonts w:ascii="Arial" w:hAnsi="Arial" w:cs="Arial"/>
          <w:sz w:val="20"/>
          <w:szCs w:val="20"/>
        </w:rPr>
        <w:t xml:space="preserve"> </w:t>
      </w:r>
      <w:r w:rsidR="00AC3BC2" w:rsidRPr="00AC4AEA">
        <w:rPr>
          <w:rFonts w:ascii="Arial" w:hAnsi="Arial" w:cs="Arial"/>
          <w:sz w:val="20"/>
          <w:szCs w:val="20"/>
        </w:rPr>
        <w:t xml:space="preserve">y </w:t>
      </w:r>
      <w:r w:rsidR="00497590" w:rsidRPr="00AC4AEA">
        <w:rPr>
          <w:rFonts w:ascii="Arial" w:hAnsi="Arial" w:cs="Arial"/>
          <w:sz w:val="20"/>
          <w:szCs w:val="20"/>
        </w:rPr>
        <w:t>activos</w:t>
      </w:r>
      <w:r w:rsidRPr="00AC4AEA">
        <w:rPr>
          <w:rFonts w:ascii="Arial" w:hAnsi="Arial" w:cs="Arial"/>
          <w:sz w:val="20"/>
          <w:szCs w:val="20"/>
        </w:rPr>
        <w:t xml:space="preserve"> por impuestos diferidos:</w:t>
      </w:r>
      <w:bookmarkEnd w:id="843"/>
    </w:p>
    <w:p w:rsidR="00D72785" w:rsidRPr="00AC4AEA" w:rsidRDefault="008E6A03" w:rsidP="00A318EA">
      <w:pPr>
        <w:pStyle w:val="Prrafodelista"/>
        <w:numPr>
          <w:ilvl w:val="0"/>
          <w:numId w:val="171"/>
        </w:numPr>
        <w:ind w:left="1560"/>
        <w:contextualSpacing w:val="0"/>
        <w:jc w:val="both"/>
        <w:rPr>
          <w:rFonts w:ascii="Arial" w:hAnsi="Arial" w:cs="Arial"/>
          <w:sz w:val="20"/>
          <w:szCs w:val="20"/>
        </w:rPr>
      </w:pPr>
      <w:r w:rsidRPr="00AC4AEA">
        <w:rPr>
          <w:rFonts w:ascii="Arial" w:hAnsi="Arial" w:cs="Arial"/>
          <w:sz w:val="20"/>
          <w:szCs w:val="20"/>
        </w:rPr>
        <w:t>a</w:t>
      </w:r>
      <w:r w:rsidR="00D72785" w:rsidRPr="00AC4AEA">
        <w:rPr>
          <w:rFonts w:ascii="Arial" w:hAnsi="Arial" w:cs="Arial"/>
          <w:sz w:val="20"/>
          <w:szCs w:val="20"/>
        </w:rPr>
        <w:t xml:space="preserve"> su valor nominal</w:t>
      </w:r>
      <w:r w:rsidR="006B27E8" w:rsidRPr="00AC4AEA">
        <w:rPr>
          <w:rFonts w:ascii="Arial" w:hAnsi="Arial" w:cs="Arial"/>
          <w:sz w:val="20"/>
          <w:szCs w:val="20"/>
        </w:rPr>
        <w:t>;</w:t>
      </w:r>
      <w:r w:rsidR="00D72785" w:rsidRPr="00AC4AEA">
        <w:rPr>
          <w:rFonts w:ascii="Arial" w:hAnsi="Arial" w:cs="Arial"/>
          <w:sz w:val="20"/>
          <w:szCs w:val="20"/>
        </w:rPr>
        <w:t xml:space="preserve"> o</w:t>
      </w:r>
    </w:p>
    <w:p w:rsidR="00D72785" w:rsidRPr="00AC4AEA" w:rsidRDefault="008E6A03" w:rsidP="00A318EA">
      <w:pPr>
        <w:pStyle w:val="Prrafodelista"/>
        <w:numPr>
          <w:ilvl w:val="0"/>
          <w:numId w:val="171"/>
        </w:numPr>
        <w:ind w:left="1560"/>
        <w:contextualSpacing w:val="0"/>
        <w:jc w:val="both"/>
        <w:rPr>
          <w:rFonts w:ascii="Arial" w:hAnsi="Arial" w:cs="Arial"/>
          <w:sz w:val="20"/>
          <w:szCs w:val="20"/>
        </w:rPr>
      </w:pPr>
      <w:bookmarkStart w:id="844" w:name="_Ref102838590"/>
      <w:r w:rsidRPr="00AC4AEA">
        <w:rPr>
          <w:rFonts w:ascii="Arial" w:hAnsi="Arial" w:cs="Arial"/>
          <w:sz w:val="20"/>
          <w:szCs w:val="20"/>
        </w:rPr>
        <w:t>a</w:t>
      </w:r>
      <w:r w:rsidR="00D72785" w:rsidRPr="00AC4AEA">
        <w:rPr>
          <w:rFonts w:ascii="Arial" w:hAnsi="Arial" w:cs="Arial"/>
          <w:sz w:val="20"/>
          <w:szCs w:val="20"/>
        </w:rPr>
        <w:t xml:space="preserve"> su valor descontado utilizando una tasa del momento de la medición que refleje las evaluaciones del mercado sobre el valor tiempo del dinero y los riesgos específicos de la operación.</w:t>
      </w:r>
      <w:bookmarkEnd w:id="844"/>
    </w:p>
    <w:p w:rsidR="00D72785" w:rsidRPr="00AC4AEA" w:rsidRDefault="00D72785" w:rsidP="00A318EA">
      <w:pPr>
        <w:ind w:left="284"/>
        <w:jc w:val="both"/>
        <w:rPr>
          <w:rFonts w:ascii="Arial" w:hAnsi="Arial" w:cs="Arial"/>
          <w:sz w:val="20"/>
          <w:szCs w:val="20"/>
        </w:rPr>
      </w:pPr>
    </w:p>
    <w:p w:rsidR="00D72785" w:rsidRPr="00AC4AEA" w:rsidRDefault="00D72785" w:rsidP="00A318EA">
      <w:pPr>
        <w:pStyle w:val="Ttulo3"/>
      </w:pPr>
      <w:bookmarkStart w:id="845" w:name="_Toc101863985"/>
      <w:bookmarkStart w:id="846" w:name="_Toc139356876"/>
      <w:r w:rsidRPr="00AC4AEA">
        <w:t xml:space="preserve">Determinación de la base fiscal de </w:t>
      </w:r>
      <w:r w:rsidR="00497590" w:rsidRPr="00AC4AEA">
        <w:t>activos</w:t>
      </w:r>
      <w:r w:rsidRPr="00AC4AEA">
        <w:t xml:space="preserve"> y </w:t>
      </w:r>
      <w:r w:rsidR="00497590" w:rsidRPr="00AC4AEA">
        <w:t>pasivos</w:t>
      </w:r>
      <w:bookmarkEnd w:id="845"/>
      <w:bookmarkEnd w:id="846"/>
    </w:p>
    <w:p w:rsidR="00D72785" w:rsidRPr="00AC4AEA" w:rsidRDefault="00D72785" w:rsidP="00A318EA">
      <w:pPr>
        <w:pStyle w:val="Prrafodelista"/>
        <w:numPr>
          <w:ilvl w:val="0"/>
          <w:numId w:val="29"/>
        </w:numPr>
        <w:contextualSpacing w:val="0"/>
        <w:jc w:val="both"/>
        <w:rPr>
          <w:rFonts w:ascii="Arial" w:hAnsi="Arial" w:cs="Arial"/>
          <w:sz w:val="20"/>
          <w:szCs w:val="20"/>
        </w:rPr>
      </w:pPr>
      <w:bookmarkStart w:id="847" w:name="_Ref103868247"/>
      <w:r w:rsidRPr="00AC4AEA">
        <w:rPr>
          <w:rFonts w:ascii="Arial" w:hAnsi="Arial" w:cs="Arial"/>
          <w:sz w:val="20"/>
          <w:szCs w:val="20"/>
        </w:rPr>
        <w:t xml:space="preserve">Una entidad considerará que la base fiscal de un </w:t>
      </w:r>
      <w:r w:rsidRPr="00AC4AEA">
        <w:rPr>
          <w:rFonts w:ascii="Arial" w:hAnsi="Arial" w:cs="Arial"/>
          <w:b/>
          <w:bCs/>
          <w:sz w:val="20"/>
          <w:szCs w:val="20"/>
        </w:rPr>
        <w:t>activo</w:t>
      </w:r>
      <w:r w:rsidRPr="00AC4AEA">
        <w:rPr>
          <w:rFonts w:ascii="Arial" w:hAnsi="Arial" w:cs="Arial"/>
          <w:sz w:val="20"/>
          <w:szCs w:val="20"/>
        </w:rPr>
        <w:t xml:space="preserve"> es igual a:</w:t>
      </w:r>
      <w:bookmarkEnd w:id="847"/>
    </w:p>
    <w:p w:rsidR="00D72785" w:rsidRPr="00AC4AEA" w:rsidRDefault="008E6A03" w:rsidP="00A318EA">
      <w:pPr>
        <w:pStyle w:val="Prrafodelista"/>
        <w:numPr>
          <w:ilvl w:val="0"/>
          <w:numId w:val="172"/>
        </w:numPr>
        <w:ind w:left="1560"/>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 xml:space="preserve">l importe que podrá deducirse de los beneficios fiscales futuros cuando recupere </w:t>
      </w:r>
      <w:r w:rsidR="002D2D77" w:rsidRPr="00AC4AEA">
        <w:rPr>
          <w:rFonts w:ascii="Arial" w:hAnsi="Arial" w:cs="Arial"/>
          <w:sz w:val="20"/>
          <w:szCs w:val="20"/>
        </w:rPr>
        <w:t>la medición contable del</w:t>
      </w:r>
      <w:r w:rsidR="00D72785" w:rsidRPr="00AC4AEA">
        <w:rPr>
          <w:rFonts w:ascii="Arial" w:hAnsi="Arial" w:cs="Arial"/>
          <w:sz w:val="20"/>
          <w:szCs w:val="20"/>
        </w:rPr>
        <w:t xml:space="preserve"> </w:t>
      </w:r>
      <w:r w:rsidR="00D72785" w:rsidRPr="00AC4AEA">
        <w:rPr>
          <w:rFonts w:ascii="Arial" w:hAnsi="Arial" w:cs="Arial"/>
          <w:b/>
          <w:bCs/>
          <w:sz w:val="20"/>
          <w:szCs w:val="20"/>
        </w:rPr>
        <w:t>activo</w:t>
      </w:r>
      <w:r w:rsidR="00D72785" w:rsidRPr="00AC4AEA">
        <w:rPr>
          <w:rFonts w:ascii="Arial" w:hAnsi="Arial" w:cs="Arial"/>
          <w:sz w:val="20"/>
          <w:szCs w:val="20"/>
        </w:rPr>
        <w:t xml:space="preserve"> </w:t>
      </w:r>
      <w:r w:rsidR="002D2D77" w:rsidRPr="00AC4AEA">
        <w:rPr>
          <w:rFonts w:ascii="Arial" w:hAnsi="Arial" w:cs="Arial"/>
          <w:sz w:val="20"/>
          <w:szCs w:val="20"/>
        </w:rPr>
        <w:t xml:space="preserve">mediante su venta o </w:t>
      </w:r>
      <w:r w:rsidR="002473DF" w:rsidRPr="00AC4AEA">
        <w:rPr>
          <w:rFonts w:ascii="Arial" w:hAnsi="Arial" w:cs="Arial"/>
          <w:sz w:val="20"/>
          <w:szCs w:val="20"/>
        </w:rPr>
        <w:t xml:space="preserve">uso </w:t>
      </w:r>
      <w:r w:rsidR="00D72785" w:rsidRPr="00AC4AEA">
        <w:rPr>
          <w:rFonts w:ascii="Arial" w:hAnsi="Arial" w:cs="Arial"/>
          <w:sz w:val="20"/>
          <w:szCs w:val="20"/>
        </w:rPr>
        <w:t>(por ejemplo, la valuación fiscal de mercaderías cuya venta genere ingresos gravados por el impuesto)</w:t>
      </w:r>
      <w:r w:rsidR="002400FF" w:rsidRPr="00AC4AEA">
        <w:rPr>
          <w:rFonts w:ascii="Arial" w:hAnsi="Arial" w:cs="Arial"/>
          <w:sz w:val="20"/>
          <w:szCs w:val="20"/>
        </w:rPr>
        <w:t>;</w:t>
      </w:r>
      <w:r w:rsidR="00D72785" w:rsidRPr="00AC4AEA">
        <w:rPr>
          <w:rFonts w:ascii="Arial" w:hAnsi="Arial" w:cs="Arial"/>
          <w:sz w:val="20"/>
          <w:szCs w:val="20"/>
        </w:rPr>
        <w:t xml:space="preserve"> o</w:t>
      </w:r>
    </w:p>
    <w:p w:rsidR="00D72785" w:rsidRPr="00AC4AEA" w:rsidRDefault="008E6A03" w:rsidP="00A318EA">
      <w:pPr>
        <w:pStyle w:val="Prrafodelista"/>
        <w:numPr>
          <w:ilvl w:val="0"/>
          <w:numId w:val="172"/>
        </w:numPr>
        <w:ind w:left="1560"/>
        <w:contextualSpacing w:val="0"/>
        <w:jc w:val="both"/>
        <w:rPr>
          <w:rFonts w:ascii="Arial" w:hAnsi="Arial" w:cs="Arial"/>
          <w:sz w:val="20"/>
          <w:szCs w:val="20"/>
        </w:rPr>
      </w:pPr>
      <w:r w:rsidRPr="00AC4AEA">
        <w:rPr>
          <w:rFonts w:ascii="Arial" w:hAnsi="Arial" w:cs="Arial"/>
          <w:sz w:val="20"/>
          <w:szCs w:val="20"/>
        </w:rPr>
        <w:t>s</w:t>
      </w:r>
      <w:r w:rsidR="00D72785" w:rsidRPr="00AC4AEA">
        <w:rPr>
          <w:rFonts w:ascii="Arial" w:hAnsi="Arial" w:cs="Arial"/>
          <w:sz w:val="20"/>
          <w:szCs w:val="20"/>
        </w:rPr>
        <w:t>u medición contable,</w:t>
      </w:r>
      <w:r w:rsidR="00835565" w:rsidRPr="00AC4AEA">
        <w:rPr>
          <w:rFonts w:ascii="Arial" w:hAnsi="Arial" w:cs="Arial"/>
          <w:sz w:val="20"/>
          <w:szCs w:val="20"/>
        </w:rPr>
        <w:t xml:space="preserve"> </w:t>
      </w:r>
      <w:r w:rsidR="00D72785" w:rsidRPr="00AC4AEA">
        <w:rPr>
          <w:rFonts w:ascii="Arial" w:hAnsi="Arial" w:cs="Arial"/>
          <w:sz w:val="20"/>
          <w:szCs w:val="20"/>
        </w:rPr>
        <w:t xml:space="preserve">cuando se trate de </w:t>
      </w:r>
      <w:r w:rsidR="00497590" w:rsidRPr="00AC4AEA">
        <w:rPr>
          <w:rFonts w:ascii="Arial" w:hAnsi="Arial" w:cs="Arial"/>
          <w:sz w:val="20"/>
          <w:szCs w:val="20"/>
        </w:rPr>
        <w:t>activos</w:t>
      </w:r>
      <w:r w:rsidR="00D72785" w:rsidRPr="00AC4AEA">
        <w:rPr>
          <w:rFonts w:ascii="Arial" w:hAnsi="Arial" w:cs="Arial"/>
          <w:sz w:val="20"/>
          <w:szCs w:val="20"/>
        </w:rPr>
        <w:t xml:space="preserve"> cuyos beneficios económicos no tributan porque están exentos o ya tributaron (por ejemplo, la cobranza de </w:t>
      </w:r>
      <w:r w:rsidR="00F83EF7" w:rsidRPr="00AC4AEA">
        <w:rPr>
          <w:rFonts w:ascii="Arial" w:hAnsi="Arial" w:cs="Arial"/>
          <w:sz w:val="20"/>
          <w:szCs w:val="20"/>
        </w:rPr>
        <w:t>un crédito</w:t>
      </w:r>
      <w:r w:rsidR="00D72785" w:rsidRPr="00AC4AEA">
        <w:rPr>
          <w:rFonts w:ascii="Arial" w:hAnsi="Arial" w:cs="Arial"/>
          <w:sz w:val="20"/>
          <w:szCs w:val="20"/>
        </w:rPr>
        <w:t xml:space="preserve"> por ventas</w:t>
      </w:r>
      <w:r w:rsidR="002473DF" w:rsidRPr="00AC4AEA">
        <w:rPr>
          <w:rFonts w:ascii="Arial" w:hAnsi="Arial" w:cs="Arial"/>
          <w:sz w:val="20"/>
          <w:szCs w:val="20"/>
        </w:rPr>
        <w:t xml:space="preserve"> </w:t>
      </w:r>
      <w:r w:rsidR="00D72785" w:rsidRPr="00AC4AEA">
        <w:rPr>
          <w:rFonts w:ascii="Arial" w:hAnsi="Arial" w:cs="Arial"/>
          <w:sz w:val="20"/>
          <w:szCs w:val="20"/>
        </w:rPr>
        <w:t>cuyo resultado fiscal se reconoció en el período de la venta).</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considerará que la base fiscal de un </w:t>
      </w:r>
      <w:r w:rsidRPr="00AC4AEA">
        <w:rPr>
          <w:rFonts w:ascii="Arial" w:hAnsi="Arial" w:cs="Arial"/>
          <w:b/>
          <w:bCs/>
          <w:sz w:val="20"/>
          <w:szCs w:val="20"/>
        </w:rPr>
        <w:t xml:space="preserve">pasivo </w:t>
      </w:r>
      <w:r w:rsidRPr="00AC4AEA">
        <w:rPr>
          <w:rFonts w:ascii="Arial" w:hAnsi="Arial" w:cs="Arial"/>
          <w:sz w:val="20"/>
          <w:szCs w:val="20"/>
        </w:rPr>
        <w:t>es igual a:</w:t>
      </w:r>
    </w:p>
    <w:p w:rsidR="00D72785" w:rsidRPr="00AC4AEA" w:rsidRDefault="008E6A03" w:rsidP="00A318EA">
      <w:pPr>
        <w:pStyle w:val="Prrafodelista"/>
        <w:numPr>
          <w:ilvl w:val="0"/>
          <w:numId w:val="173"/>
        </w:numPr>
        <w:ind w:left="1560"/>
        <w:contextualSpacing w:val="0"/>
        <w:jc w:val="both"/>
        <w:rPr>
          <w:rFonts w:ascii="Arial" w:hAnsi="Arial" w:cs="Arial"/>
          <w:sz w:val="20"/>
          <w:szCs w:val="20"/>
        </w:rPr>
      </w:pPr>
      <w:r w:rsidRPr="00AC4AEA">
        <w:rPr>
          <w:rFonts w:ascii="Arial" w:hAnsi="Arial" w:cs="Arial"/>
          <w:sz w:val="20"/>
          <w:szCs w:val="20"/>
        </w:rPr>
        <w:lastRenderedPageBreak/>
        <w:t>l</w:t>
      </w:r>
      <w:r w:rsidR="00D72785" w:rsidRPr="00AC4AEA">
        <w:rPr>
          <w:rFonts w:ascii="Arial" w:hAnsi="Arial" w:cs="Arial"/>
          <w:sz w:val="20"/>
          <w:szCs w:val="20"/>
        </w:rPr>
        <w:t xml:space="preserve">a medición contable del </w:t>
      </w:r>
      <w:r w:rsidR="00D72785" w:rsidRPr="00AC4AEA">
        <w:rPr>
          <w:rFonts w:ascii="Arial" w:hAnsi="Arial" w:cs="Arial"/>
          <w:b/>
          <w:bCs/>
          <w:sz w:val="20"/>
          <w:szCs w:val="20"/>
        </w:rPr>
        <w:t xml:space="preserve">pasivo </w:t>
      </w:r>
      <w:r w:rsidR="00D72785" w:rsidRPr="00AC4AEA">
        <w:rPr>
          <w:rFonts w:ascii="Arial" w:hAnsi="Arial" w:cs="Arial"/>
          <w:sz w:val="20"/>
          <w:szCs w:val="20"/>
        </w:rPr>
        <w:t xml:space="preserve">menos cualquier suma que podrá deducirse en el futuro para la determinación del resultado fiscal (por ejemplo: la base fiscal de un </w:t>
      </w:r>
      <w:r w:rsidR="00D72785" w:rsidRPr="00AC4AEA">
        <w:rPr>
          <w:rFonts w:ascii="Arial" w:hAnsi="Arial" w:cs="Arial"/>
          <w:b/>
          <w:bCs/>
          <w:sz w:val="20"/>
          <w:szCs w:val="20"/>
        </w:rPr>
        <w:t xml:space="preserve">pasivo </w:t>
      </w:r>
      <w:r w:rsidR="00D72785" w:rsidRPr="00AC4AEA">
        <w:rPr>
          <w:rFonts w:ascii="Arial" w:hAnsi="Arial" w:cs="Arial"/>
          <w:sz w:val="20"/>
          <w:szCs w:val="20"/>
        </w:rPr>
        <w:t>por multas no deducibles fiscalmente es equivalente a su medición contable; la de una previsión para juicios que será deducible fiscalmente en ejercicios futuros es igual a cero)</w:t>
      </w:r>
      <w:r w:rsidR="006B27E8" w:rsidRPr="00AC4AEA">
        <w:rPr>
          <w:rFonts w:ascii="Arial" w:hAnsi="Arial" w:cs="Arial"/>
          <w:sz w:val="20"/>
          <w:szCs w:val="20"/>
        </w:rPr>
        <w:t>;</w:t>
      </w:r>
      <w:r w:rsidR="00D72785" w:rsidRPr="00AC4AEA">
        <w:rPr>
          <w:rFonts w:ascii="Arial" w:hAnsi="Arial" w:cs="Arial"/>
          <w:sz w:val="20"/>
          <w:szCs w:val="20"/>
        </w:rPr>
        <w:t xml:space="preserve"> o</w:t>
      </w:r>
    </w:p>
    <w:p w:rsidR="00D72785" w:rsidRPr="00AC4AEA" w:rsidRDefault="008E6A03" w:rsidP="00A318EA">
      <w:pPr>
        <w:pStyle w:val="Prrafodelista"/>
        <w:numPr>
          <w:ilvl w:val="0"/>
          <w:numId w:val="173"/>
        </w:numPr>
        <w:ind w:left="1560"/>
        <w:contextualSpacing w:val="0"/>
        <w:jc w:val="both"/>
        <w:rPr>
          <w:rFonts w:ascii="Arial" w:hAnsi="Arial" w:cs="Arial"/>
          <w:sz w:val="20"/>
          <w:szCs w:val="20"/>
        </w:rPr>
      </w:pPr>
      <w:r w:rsidRPr="00AC4AEA">
        <w:rPr>
          <w:rFonts w:ascii="Arial" w:hAnsi="Arial" w:cs="Arial"/>
          <w:sz w:val="20"/>
          <w:szCs w:val="20"/>
        </w:rPr>
        <w:t>s</w:t>
      </w:r>
      <w:r w:rsidR="00D72785" w:rsidRPr="00AC4AEA">
        <w:rPr>
          <w:rFonts w:ascii="Arial" w:hAnsi="Arial" w:cs="Arial"/>
          <w:sz w:val="20"/>
          <w:szCs w:val="20"/>
        </w:rPr>
        <w:t>u medición contable menos cualquier importe de ingresos que no resulte imponible en el futuro cuando se trate de anticipos de clientes (o similares) que tributaron en el ejercicio de</w:t>
      </w:r>
      <w:r w:rsidR="008B79AC" w:rsidRPr="00AC4AEA">
        <w:rPr>
          <w:rFonts w:ascii="Arial" w:hAnsi="Arial" w:cs="Arial"/>
          <w:sz w:val="20"/>
          <w:szCs w:val="20"/>
        </w:rPr>
        <w:t>l</w:t>
      </w:r>
      <w:r w:rsidR="00D72785" w:rsidRPr="00AC4AEA">
        <w:rPr>
          <w:rFonts w:ascii="Arial" w:hAnsi="Arial" w:cs="Arial"/>
          <w:sz w:val="20"/>
          <w:szCs w:val="20"/>
        </w:rPr>
        <w:t xml:space="preserve"> cobro (por ejemplo, alquileres cobrados por adelantado).</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deberá tener en cuenta que algunas partidas no reconocidas en los </w:t>
      </w:r>
      <w:r w:rsidR="00135084" w:rsidRPr="00AC4AEA">
        <w:rPr>
          <w:rFonts w:ascii="Arial" w:hAnsi="Arial" w:cs="Arial"/>
          <w:b/>
          <w:bCs/>
          <w:sz w:val="20"/>
          <w:szCs w:val="20"/>
        </w:rPr>
        <w:t>estados contables</w:t>
      </w:r>
      <w:r w:rsidRPr="00AC4AEA">
        <w:rPr>
          <w:rFonts w:ascii="Arial" w:hAnsi="Arial" w:cs="Arial"/>
          <w:sz w:val="20"/>
          <w:szCs w:val="20"/>
        </w:rPr>
        <w:t xml:space="preserve"> pueden tener base fiscal.</w:t>
      </w:r>
    </w:p>
    <w:p w:rsidR="00D72785" w:rsidRPr="00AC4AEA" w:rsidRDefault="00D72785" w:rsidP="00A318EA">
      <w:pPr>
        <w:jc w:val="both"/>
        <w:rPr>
          <w:rFonts w:ascii="Arial" w:hAnsi="Arial" w:cs="Arial"/>
          <w:sz w:val="20"/>
          <w:szCs w:val="20"/>
        </w:rPr>
      </w:pPr>
    </w:p>
    <w:p w:rsidR="00D72785" w:rsidRPr="00AC4AEA" w:rsidRDefault="00D72785" w:rsidP="00A318EA">
      <w:pPr>
        <w:pStyle w:val="Ttulo3"/>
      </w:pPr>
      <w:bookmarkStart w:id="848" w:name="_Toc101863986"/>
      <w:bookmarkStart w:id="849" w:name="_Toc139356877"/>
      <w:r w:rsidRPr="00AC4AEA">
        <w:t xml:space="preserve">Comparación con el valor </w:t>
      </w:r>
      <w:r w:rsidR="007E020E" w:rsidRPr="00AC4AEA">
        <w:t>recuperable de</w:t>
      </w:r>
      <w:r w:rsidRPr="00AC4AEA">
        <w:t xml:space="preserve"> los </w:t>
      </w:r>
      <w:r w:rsidR="00497590" w:rsidRPr="00AC4AEA">
        <w:t>activos</w:t>
      </w:r>
      <w:r w:rsidRPr="00AC4AEA">
        <w:t xml:space="preserve"> por impuestos diferidos</w:t>
      </w:r>
      <w:bookmarkEnd w:id="848"/>
      <w:bookmarkEnd w:id="849"/>
    </w:p>
    <w:p w:rsidR="002A4C4E" w:rsidRPr="00AC4AEA" w:rsidRDefault="002A4C4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podrá medir ningún activo por impuesto diferido por encima de su </w:t>
      </w:r>
      <w:r w:rsidRPr="00AC4AEA">
        <w:rPr>
          <w:rFonts w:ascii="Arial" w:hAnsi="Arial" w:cs="Arial"/>
          <w:b/>
          <w:bCs/>
          <w:sz w:val="20"/>
          <w:szCs w:val="20"/>
        </w:rPr>
        <w:t xml:space="preserve">valor recuperable, </w:t>
      </w:r>
      <w:r w:rsidRPr="00AC4AEA">
        <w:rPr>
          <w:rFonts w:ascii="Arial" w:hAnsi="Arial" w:cs="Arial"/>
          <w:sz w:val="20"/>
          <w:szCs w:val="20"/>
        </w:rPr>
        <w:t xml:space="preserve">que es el importe máximo de beneficios imponibles futuros, esperados durante </w:t>
      </w:r>
      <w:r w:rsidR="008B79AC" w:rsidRPr="00AC4AEA">
        <w:rPr>
          <w:rFonts w:ascii="Arial" w:hAnsi="Arial" w:cs="Arial"/>
          <w:sz w:val="20"/>
          <w:szCs w:val="20"/>
        </w:rPr>
        <w:t xml:space="preserve">el lapso en </w:t>
      </w:r>
      <w:r w:rsidRPr="00AC4AEA">
        <w:rPr>
          <w:rFonts w:ascii="Arial" w:hAnsi="Arial" w:cs="Arial"/>
          <w:sz w:val="20"/>
          <w:szCs w:val="20"/>
        </w:rPr>
        <w:t>el cual podrá computar las diferencias temporarias deducibles o los quebrantos fiscales.</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reconocerá </w:t>
      </w:r>
      <w:r w:rsidRPr="00AC4AEA">
        <w:rPr>
          <w:rFonts w:ascii="Arial" w:hAnsi="Arial" w:cs="Arial"/>
          <w:b/>
          <w:bCs/>
          <w:sz w:val="20"/>
          <w:szCs w:val="20"/>
        </w:rPr>
        <w:t xml:space="preserve">pérdidas por </w:t>
      </w:r>
      <w:r w:rsidR="007E020E" w:rsidRPr="00AC4AEA">
        <w:rPr>
          <w:rFonts w:ascii="Arial" w:hAnsi="Arial" w:cs="Arial"/>
          <w:b/>
          <w:bCs/>
          <w:sz w:val="20"/>
          <w:szCs w:val="20"/>
        </w:rPr>
        <w:t>desvalorización</w:t>
      </w:r>
      <w:r w:rsidRPr="00AC4AEA">
        <w:rPr>
          <w:rFonts w:ascii="Arial" w:hAnsi="Arial" w:cs="Arial"/>
          <w:sz w:val="20"/>
          <w:szCs w:val="20"/>
        </w:rPr>
        <w:t xml:space="preserve"> de sus </w:t>
      </w:r>
      <w:r w:rsidR="00497590" w:rsidRPr="00AC4AEA">
        <w:rPr>
          <w:rFonts w:ascii="Arial" w:hAnsi="Arial" w:cs="Arial"/>
          <w:sz w:val="20"/>
          <w:szCs w:val="20"/>
        </w:rPr>
        <w:t>activos</w:t>
      </w:r>
      <w:r w:rsidRPr="00AC4AEA">
        <w:rPr>
          <w:rFonts w:ascii="Arial" w:hAnsi="Arial" w:cs="Arial"/>
          <w:sz w:val="20"/>
          <w:szCs w:val="20"/>
        </w:rPr>
        <w:t xml:space="preserve"> por impuestos diferidos cuando sea improbable su recuperación total o parcial. </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podrá revertir la desvalorización de sus </w:t>
      </w:r>
      <w:r w:rsidR="00497590" w:rsidRPr="00AC4AEA">
        <w:rPr>
          <w:rFonts w:ascii="Arial" w:hAnsi="Arial" w:cs="Arial"/>
          <w:sz w:val="20"/>
          <w:szCs w:val="20"/>
        </w:rPr>
        <w:t>activos</w:t>
      </w:r>
      <w:r w:rsidRPr="00AC4AEA">
        <w:rPr>
          <w:rFonts w:ascii="Arial" w:hAnsi="Arial" w:cs="Arial"/>
          <w:sz w:val="20"/>
          <w:szCs w:val="20"/>
        </w:rPr>
        <w:t xml:space="preserve"> por impuestos diferidos en la medida en que desaparezcan las causas que la motivaron.</w:t>
      </w:r>
    </w:p>
    <w:p w:rsidR="00D72785" w:rsidRPr="00AC4AEA" w:rsidRDefault="00D7278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imputará la contrapartida tanto de una </w:t>
      </w:r>
      <w:r w:rsidRPr="00AC4AEA">
        <w:rPr>
          <w:rFonts w:ascii="Arial" w:hAnsi="Arial" w:cs="Arial"/>
          <w:b/>
          <w:bCs/>
          <w:sz w:val="20"/>
          <w:szCs w:val="20"/>
        </w:rPr>
        <w:t>pérdida por desvalorización</w:t>
      </w:r>
      <w:r w:rsidRPr="00AC4AEA">
        <w:rPr>
          <w:rFonts w:ascii="Arial" w:hAnsi="Arial" w:cs="Arial"/>
          <w:sz w:val="20"/>
          <w:szCs w:val="20"/>
        </w:rPr>
        <w:t xml:space="preserve"> como de una reversión de dicha pérdida al impuesto a las ganancias.</w:t>
      </w:r>
    </w:p>
    <w:p w:rsidR="002473DF" w:rsidRPr="00AC4AEA" w:rsidRDefault="002473DF" w:rsidP="00A318EA">
      <w:pPr>
        <w:pStyle w:val="A-Normal11"/>
        <w:numPr>
          <w:ilvl w:val="0"/>
          <w:numId w:val="29"/>
        </w:numPr>
        <w:jc w:val="both"/>
        <w:rPr>
          <w:rFonts w:ascii="Arial" w:hAnsi="Arial" w:cs="Arial"/>
          <w:sz w:val="20"/>
        </w:rPr>
      </w:pPr>
      <w:r w:rsidRPr="00AC4AEA">
        <w:rPr>
          <w:rFonts w:ascii="Arial" w:hAnsi="Arial" w:cs="Arial"/>
          <w:sz w:val="20"/>
        </w:rPr>
        <w:t xml:space="preserve">Una entidad revertirá </w:t>
      </w:r>
      <w:r w:rsidRPr="00AC4AEA">
        <w:rPr>
          <w:rFonts w:ascii="Arial" w:hAnsi="Arial" w:cs="Arial"/>
          <w:b/>
          <w:bCs/>
          <w:sz w:val="20"/>
        </w:rPr>
        <w:t xml:space="preserve">pérdidas por desvalorización </w:t>
      </w:r>
      <w:r w:rsidRPr="00AC4AEA">
        <w:rPr>
          <w:rFonts w:ascii="Arial" w:hAnsi="Arial" w:cs="Arial"/>
          <w:sz w:val="20"/>
        </w:rPr>
        <w:t xml:space="preserve">reconocidas en períodos anteriores solo cuando, con posterioridad a la fecha de su determinación, se modifiquen las estimaciones efectuadas para determinar </w:t>
      </w:r>
      <w:r w:rsidR="00EC0123" w:rsidRPr="00AC4AEA">
        <w:rPr>
          <w:rFonts w:ascii="Arial" w:hAnsi="Arial" w:cs="Arial"/>
          <w:sz w:val="20"/>
        </w:rPr>
        <w:t xml:space="preserve">el </w:t>
      </w:r>
      <w:r w:rsidR="00EC0123" w:rsidRPr="00AC4AEA">
        <w:rPr>
          <w:rFonts w:ascii="Arial" w:hAnsi="Arial" w:cs="Arial"/>
          <w:b/>
          <w:bCs/>
          <w:sz w:val="20"/>
        </w:rPr>
        <w:t>valor recuperable</w:t>
      </w:r>
      <w:r w:rsidRPr="00AC4AEA">
        <w:rPr>
          <w:rFonts w:ascii="Arial" w:hAnsi="Arial" w:cs="Arial"/>
          <w:sz w:val="20"/>
        </w:rPr>
        <w:t xml:space="preserve">. En tal caso, aumentará la medición contable de los </w:t>
      </w:r>
      <w:r w:rsidR="00497590" w:rsidRPr="00AC4AEA">
        <w:rPr>
          <w:rFonts w:ascii="Arial" w:hAnsi="Arial" w:cs="Arial"/>
          <w:sz w:val="20"/>
        </w:rPr>
        <w:t>activos</w:t>
      </w:r>
      <w:r w:rsidRPr="00AC4AEA">
        <w:rPr>
          <w:rFonts w:ascii="Arial" w:hAnsi="Arial" w:cs="Arial"/>
          <w:sz w:val="20"/>
        </w:rPr>
        <w:t xml:space="preserve"> por impuestos diferidos relacionados por un importe que sea el menor entre:</w:t>
      </w:r>
    </w:p>
    <w:p w:rsidR="002473DF" w:rsidRPr="00AC4AEA" w:rsidRDefault="008E6A03" w:rsidP="00A318EA">
      <w:pPr>
        <w:pStyle w:val="A-Normal11"/>
        <w:numPr>
          <w:ilvl w:val="0"/>
          <w:numId w:val="291"/>
        </w:numPr>
        <w:ind w:left="1560"/>
        <w:jc w:val="both"/>
        <w:rPr>
          <w:rFonts w:ascii="Arial" w:hAnsi="Arial" w:cs="Arial"/>
          <w:sz w:val="20"/>
        </w:rPr>
      </w:pPr>
      <w:r w:rsidRPr="00AC4AEA">
        <w:rPr>
          <w:rFonts w:ascii="Arial" w:hAnsi="Arial" w:cs="Arial"/>
          <w:sz w:val="20"/>
        </w:rPr>
        <w:t>l</w:t>
      </w:r>
      <w:r w:rsidR="002473DF" w:rsidRPr="00AC4AEA">
        <w:rPr>
          <w:rFonts w:ascii="Arial" w:hAnsi="Arial" w:cs="Arial"/>
          <w:sz w:val="20"/>
        </w:rPr>
        <w:t xml:space="preserve">a medición contable que dicho </w:t>
      </w:r>
      <w:r w:rsidR="002473DF" w:rsidRPr="00AC4AEA">
        <w:rPr>
          <w:rFonts w:ascii="Arial" w:hAnsi="Arial" w:cs="Arial"/>
          <w:b/>
          <w:bCs/>
          <w:sz w:val="20"/>
        </w:rPr>
        <w:t>activo</w:t>
      </w:r>
      <w:r w:rsidR="002473DF" w:rsidRPr="00AC4AEA">
        <w:rPr>
          <w:rFonts w:ascii="Arial" w:hAnsi="Arial" w:cs="Arial"/>
          <w:sz w:val="20"/>
        </w:rPr>
        <w:t xml:space="preserve"> habría tenido si nunca se hubiese reconocido una </w:t>
      </w:r>
      <w:r w:rsidR="002473DF" w:rsidRPr="00AC4AEA">
        <w:rPr>
          <w:rFonts w:ascii="Arial" w:hAnsi="Arial" w:cs="Arial"/>
          <w:b/>
          <w:bCs/>
          <w:sz w:val="20"/>
        </w:rPr>
        <w:t>pérdida por desvalorización</w:t>
      </w:r>
      <w:r w:rsidR="002400FF" w:rsidRPr="00AC4AEA">
        <w:rPr>
          <w:rFonts w:ascii="Arial" w:hAnsi="Arial" w:cs="Arial"/>
          <w:b/>
          <w:bCs/>
          <w:sz w:val="20"/>
        </w:rPr>
        <w:t>;</w:t>
      </w:r>
      <w:r w:rsidR="002473DF" w:rsidRPr="00AC4AEA">
        <w:rPr>
          <w:rFonts w:ascii="Arial" w:hAnsi="Arial" w:cs="Arial"/>
          <w:sz w:val="20"/>
        </w:rPr>
        <w:t xml:space="preserve"> y</w:t>
      </w:r>
    </w:p>
    <w:p w:rsidR="002473DF" w:rsidRPr="00AC4AEA" w:rsidRDefault="008E6A03" w:rsidP="00A318EA">
      <w:pPr>
        <w:pStyle w:val="A-Normal11"/>
        <w:numPr>
          <w:ilvl w:val="0"/>
          <w:numId w:val="291"/>
        </w:numPr>
        <w:ind w:left="1560"/>
        <w:jc w:val="both"/>
        <w:rPr>
          <w:rFonts w:ascii="Arial" w:hAnsi="Arial" w:cs="Arial"/>
          <w:sz w:val="20"/>
        </w:rPr>
      </w:pPr>
      <w:r w:rsidRPr="00AC4AEA">
        <w:rPr>
          <w:rFonts w:ascii="Arial" w:hAnsi="Arial" w:cs="Arial"/>
          <w:sz w:val="20"/>
        </w:rPr>
        <w:t>s</w:t>
      </w:r>
      <w:r w:rsidR="002473DF" w:rsidRPr="00AC4AEA">
        <w:rPr>
          <w:rFonts w:ascii="Arial" w:hAnsi="Arial" w:cs="Arial"/>
          <w:sz w:val="20"/>
        </w:rPr>
        <w:t xml:space="preserve">u nuevo </w:t>
      </w:r>
      <w:r w:rsidR="002473DF" w:rsidRPr="00AC4AEA">
        <w:rPr>
          <w:rFonts w:ascii="Arial" w:hAnsi="Arial" w:cs="Arial"/>
          <w:b/>
          <w:bCs/>
          <w:sz w:val="20"/>
        </w:rPr>
        <w:t>valor recuperable</w:t>
      </w:r>
      <w:r w:rsidR="002473DF" w:rsidRPr="00AC4AEA">
        <w:rPr>
          <w:rFonts w:ascii="Arial" w:hAnsi="Arial" w:cs="Arial"/>
          <w:sz w:val="20"/>
        </w:rPr>
        <w:t>.</w:t>
      </w:r>
    </w:p>
    <w:p w:rsidR="00D72785" w:rsidRPr="00AC4AEA" w:rsidRDefault="00D72785" w:rsidP="00A318EA">
      <w:pPr>
        <w:ind w:left="284"/>
        <w:jc w:val="both"/>
        <w:rPr>
          <w:rFonts w:ascii="Arial" w:hAnsi="Arial" w:cs="Arial"/>
          <w:sz w:val="20"/>
          <w:szCs w:val="20"/>
        </w:rPr>
      </w:pPr>
    </w:p>
    <w:p w:rsidR="00D72785" w:rsidRPr="00AC4AEA" w:rsidRDefault="00D72785" w:rsidP="00A318EA">
      <w:pPr>
        <w:pStyle w:val="Ttulo3"/>
      </w:pPr>
      <w:bookmarkStart w:id="850" w:name="_Toc101863987"/>
      <w:bookmarkStart w:id="851" w:name="_Toc139356878"/>
      <w:r w:rsidRPr="00AC4AEA">
        <w:t xml:space="preserve">Presentación y revelación de </w:t>
      </w:r>
      <w:r w:rsidR="00497590" w:rsidRPr="00AC4AEA">
        <w:t>pasivos</w:t>
      </w:r>
      <w:r w:rsidRPr="00AC4AEA">
        <w:t xml:space="preserve"> </w:t>
      </w:r>
      <w:r w:rsidR="008B79AC" w:rsidRPr="00AC4AEA">
        <w:t xml:space="preserve">o </w:t>
      </w:r>
      <w:r w:rsidR="00497590" w:rsidRPr="00AC4AEA">
        <w:t>activos</w:t>
      </w:r>
      <w:r w:rsidR="00A802BD" w:rsidRPr="00AC4AEA">
        <w:t>,</w:t>
      </w:r>
      <w:r w:rsidRPr="00AC4AEA">
        <w:t xml:space="preserve"> y pérdidas </w:t>
      </w:r>
      <w:r w:rsidR="008B79AC" w:rsidRPr="00AC4AEA">
        <w:t xml:space="preserve">o </w:t>
      </w:r>
      <w:r w:rsidRPr="00AC4AEA">
        <w:t>ganancias</w:t>
      </w:r>
      <w:r w:rsidR="00A802BD" w:rsidRPr="00AC4AEA">
        <w:t>,</w:t>
      </w:r>
      <w:r w:rsidRPr="00AC4AEA">
        <w:t xml:space="preserve"> por impuesto diferido</w:t>
      </w:r>
      <w:bookmarkEnd w:id="850"/>
      <w:bookmarkEnd w:id="851"/>
    </w:p>
    <w:p w:rsidR="00D72785" w:rsidRPr="00AC4AEA" w:rsidRDefault="00F66F76" w:rsidP="00A318EA">
      <w:pPr>
        <w:pStyle w:val="Prrafodelista"/>
        <w:numPr>
          <w:ilvl w:val="0"/>
          <w:numId w:val="29"/>
        </w:numPr>
        <w:contextualSpacing w:val="0"/>
        <w:jc w:val="both"/>
        <w:rPr>
          <w:rFonts w:ascii="Arial" w:hAnsi="Arial" w:cs="Arial"/>
          <w:sz w:val="20"/>
          <w:szCs w:val="20"/>
        </w:rPr>
      </w:pPr>
      <w:bookmarkStart w:id="852" w:name="_Ref99458769"/>
      <w:r w:rsidRPr="00AC4AEA">
        <w:rPr>
          <w:rFonts w:ascii="Arial" w:hAnsi="Arial" w:cs="Arial"/>
          <w:sz w:val="20"/>
          <w:szCs w:val="20"/>
        </w:rPr>
        <w:t>En el estado de situación patrimonial, u</w:t>
      </w:r>
      <w:r w:rsidR="00D72785" w:rsidRPr="00AC4AEA">
        <w:rPr>
          <w:rFonts w:ascii="Arial" w:hAnsi="Arial" w:cs="Arial"/>
          <w:sz w:val="20"/>
          <w:szCs w:val="20"/>
        </w:rPr>
        <w:t xml:space="preserve">na entidad compensará los </w:t>
      </w:r>
      <w:r w:rsidR="00497590" w:rsidRPr="00AC4AEA">
        <w:rPr>
          <w:rFonts w:ascii="Arial" w:hAnsi="Arial" w:cs="Arial"/>
          <w:sz w:val="20"/>
          <w:szCs w:val="20"/>
        </w:rPr>
        <w:t>pasivos</w:t>
      </w:r>
      <w:r w:rsidR="00D72785" w:rsidRPr="00AC4AEA">
        <w:rPr>
          <w:rFonts w:ascii="Arial" w:hAnsi="Arial" w:cs="Arial"/>
          <w:sz w:val="20"/>
          <w:szCs w:val="20"/>
        </w:rPr>
        <w:t xml:space="preserve"> y </w:t>
      </w:r>
      <w:r w:rsidR="00497590" w:rsidRPr="00AC4AEA">
        <w:rPr>
          <w:rFonts w:ascii="Arial" w:hAnsi="Arial" w:cs="Arial"/>
          <w:sz w:val="20"/>
          <w:szCs w:val="20"/>
        </w:rPr>
        <w:t>activos</w:t>
      </w:r>
      <w:r w:rsidR="00D72785" w:rsidRPr="00AC4AEA">
        <w:rPr>
          <w:rFonts w:ascii="Arial" w:hAnsi="Arial" w:cs="Arial"/>
          <w:sz w:val="20"/>
          <w:szCs w:val="20"/>
        </w:rPr>
        <w:t xml:space="preserve"> por impuesto a las ganancias diferido solo si tiene el derecho exigible legalmente de compensar sus importes (por ejemplo, porque se </w:t>
      </w:r>
      <w:r w:rsidR="00F83EF7" w:rsidRPr="00AC4AEA">
        <w:rPr>
          <w:rFonts w:ascii="Arial" w:hAnsi="Arial" w:cs="Arial"/>
          <w:sz w:val="20"/>
          <w:szCs w:val="20"/>
        </w:rPr>
        <w:t>vinculan con</w:t>
      </w:r>
      <w:r w:rsidR="00D72785" w:rsidRPr="00AC4AEA">
        <w:rPr>
          <w:rFonts w:ascii="Arial" w:hAnsi="Arial" w:cs="Arial"/>
          <w:sz w:val="20"/>
          <w:szCs w:val="20"/>
        </w:rPr>
        <w:t xml:space="preserve"> la misma autoridad fiscal).</w:t>
      </w:r>
      <w:bookmarkEnd w:id="852"/>
    </w:p>
    <w:p w:rsidR="00834651" w:rsidRPr="00AC4AEA" w:rsidRDefault="00F66F7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En el estado de situación patrimonial, u</w:t>
      </w:r>
      <w:r w:rsidR="00834651" w:rsidRPr="00AC4AEA">
        <w:rPr>
          <w:rFonts w:ascii="Arial" w:hAnsi="Arial" w:cs="Arial"/>
          <w:sz w:val="20"/>
          <w:szCs w:val="20"/>
        </w:rPr>
        <w:t xml:space="preserve">na entidad presentará el pasivo </w:t>
      </w:r>
      <w:r w:rsidR="008B79AC" w:rsidRPr="00AC4AEA">
        <w:rPr>
          <w:rFonts w:ascii="Arial" w:hAnsi="Arial" w:cs="Arial"/>
          <w:sz w:val="20"/>
          <w:szCs w:val="20"/>
        </w:rPr>
        <w:t xml:space="preserve">o </w:t>
      </w:r>
      <w:r w:rsidR="00834651" w:rsidRPr="00AC4AEA">
        <w:rPr>
          <w:rFonts w:ascii="Arial" w:hAnsi="Arial" w:cs="Arial"/>
          <w:sz w:val="20"/>
          <w:szCs w:val="20"/>
        </w:rPr>
        <w:t>activo por impuesto diferido</w:t>
      </w:r>
      <w:r w:rsidR="00C345C2" w:rsidRPr="00AC4AEA">
        <w:rPr>
          <w:rFonts w:ascii="Arial" w:hAnsi="Arial" w:cs="Arial"/>
          <w:sz w:val="20"/>
          <w:szCs w:val="20"/>
        </w:rPr>
        <w:t>, según lo indicado en el párrafo anterior,</w:t>
      </w:r>
      <w:r w:rsidR="00834651" w:rsidRPr="00AC4AEA">
        <w:rPr>
          <w:rFonts w:ascii="Arial" w:hAnsi="Arial" w:cs="Arial"/>
          <w:sz w:val="20"/>
          <w:szCs w:val="20"/>
        </w:rPr>
        <w:t xml:space="preserve"> como rubro no corriente y lo expondrá: </w:t>
      </w:r>
    </w:p>
    <w:p w:rsidR="00834651" w:rsidRPr="00AC4AEA" w:rsidRDefault="00834651" w:rsidP="00A318EA">
      <w:pPr>
        <w:pStyle w:val="Prrafodelista"/>
        <w:numPr>
          <w:ilvl w:val="0"/>
          <w:numId w:val="174"/>
        </w:numPr>
        <w:ind w:left="1560"/>
        <w:contextualSpacing w:val="0"/>
        <w:jc w:val="both"/>
        <w:rPr>
          <w:rFonts w:ascii="Arial" w:hAnsi="Arial" w:cs="Arial"/>
          <w:sz w:val="20"/>
          <w:szCs w:val="20"/>
        </w:rPr>
      </w:pPr>
      <w:r w:rsidRPr="00AC4AEA">
        <w:rPr>
          <w:rFonts w:ascii="Arial" w:hAnsi="Arial" w:cs="Arial"/>
          <w:sz w:val="20"/>
          <w:szCs w:val="20"/>
        </w:rPr>
        <w:t>dentro de las deudas</w:t>
      </w:r>
      <w:r w:rsidR="008B79AC" w:rsidRPr="00AC4AEA">
        <w:rPr>
          <w:rFonts w:ascii="Arial" w:hAnsi="Arial" w:cs="Arial"/>
          <w:sz w:val="20"/>
          <w:szCs w:val="20"/>
        </w:rPr>
        <w:t xml:space="preserve"> fiscales</w:t>
      </w:r>
      <w:r w:rsidRPr="00AC4AEA">
        <w:rPr>
          <w:rFonts w:ascii="Arial" w:hAnsi="Arial" w:cs="Arial"/>
          <w:sz w:val="20"/>
          <w:szCs w:val="20"/>
        </w:rPr>
        <w:t xml:space="preserve"> </w:t>
      </w:r>
      <w:r w:rsidR="008B79AC" w:rsidRPr="00AC4AEA">
        <w:rPr>
          <w:rFonts w:ascii="Arial" w:hAnsi="Arial" w:cs="Arial"/>
          <w:sz w:val="20"/>
          <w:szCs w:val="20"/>
        </w:rPr>
        <w:t xml:space="preserve">u </w:t>
      </w:r>
      <w:r w:rsidRPr="00AC4AEA">
        <w:rPr>
          <w:rFonts w:ascii="Arial" w:hAnsi="Arial" w:cs="Arial"/>
          <w:sz w:val="20"/>
          <w:szCs w:val="20"/>
        </w:rPr>
        <w:t>otros créditos</w:t>
      </w:r>
      <w:r w:rsidR="008B79AC" w:rsidRPr="00AC4AEA">
        <w:rPr>
          <w:rFonts w:ascii="Arial" w:hAnsi="Arial" w:cs="Arial"/>
          <w:sz w:val="20"/>
          <w:szCs w:val="20"/>
        </w:rPr>
        <w:t xml:space="preserve"> en moneda</w:t>
      </w:r>
      <w:r w:rsidRPr="00AC4AEA">
        <w:rPr>
          <w:rFonts w:ascii="Arial" w:hAnsi="Arial" w:cs="Arial"/>
          <w:sz w:val="20"/>
          <w:szCs w:val="20"/>
        </w:rPr>
        <w:t>; o</w:t>
      </w:r>
    </w:p>
    <w:p w:rsidR="00834651" w:rsidRPr="00AC4AEA" w:rsidRDefault="00834651" w:rsidP="00A318EA">
      <w:pPr>
        <w:pStyle w:val="Prrafodelista"/>
        <w:numPr>
          <w:ilvl w:val="0"/>
          <w:numId w:val="174"/>
        </w:numPr>
        <w:ind w:left="1560"/>
        <w:contextualSpacing w:val="0"/>
        <w:jc w:val="both"/>
        <w:rPr>
          <w:rFonts w:ascii="Arial" w:hAnsi="Arial" w:cs="Arial"/>
          <w:sz w:val="20"/>
          <w:szCs w:val="20"/>
        </w:rPr>
      </w:pPr>
      <w:r w:rsidRPr="00AC4AEA">
        <w:rPr>
          <w:rFonts w:ascii="Arial" w:hAnsi="Arial" w:cs="Arial"/>
          <w:sz w:val="20"/>
          <w:szCs w:val="20"/>
        </w:rPr>
        <w:t xml:space="preserve">como una partida separada </w:t>
      </w:r>
      <w:r w:rsidR="00F66F76" w:rsidRPr="00AC4AEA">
        <w:rPr>
          <w:rFonts w:ascii="Arial" w:hAnsi="Arial" w:cs="Arial"/>
          <w:sz w:val="20"/>
          <w:szCs w:val="20"/>
        </w:rPr>
        <w:t>denominada</w:t>
      </w:r>
      <w:r w:rsidRPr="00AC4AEA">
        <w:rPr>
          <w:rFonts w:ascii="Arial" w:hAnsi="Arial" w:cs="Arial"/>
          <w:sz w:val="20"/>
          <w:szCs w:val="20"/>
        </w:rPr>
        <w:t xml:space="preserve"> </w:t>
      </w:r>
      <w:r w:rsidR="00F66F76" w:rsidRPr="00AC4AEA">
        <w:rPr>
          <w:rFonts w:ascii="Arial" w:hAnsi="Arial" w:cs="Arial"/>
          <w:sz w:val="20"/>
          <w:szCs w:val="20"/>
        </w:rPr>
        <w:t>“</w:t>
      </w:r>
      <w:r w:rsidR="00497590" w:rsidRPr="00AC4AEA">
        <w:rPr>
          <w:rFonts w:ascii="Arial" w:hAnsi="Arial" w:cs="Arial"/>
          <w:sz w:val="20"/>
          <w:szCs w:val="20"/>
        </w:rPr>
        <w:t>pasivos</w:t>
      </w:r>
      <w:r w:rsidRPr="00AC4AEA">
        <w:rPr>
          <w:rFonts w:ascii="Arial" w:hAnsi="Arial" w:cs="Arial"/>
          <w:sz w:val="20"/>
          <w:szCs w:val="20"/>
        </w:rPr>
        <w:t xml:space="preserve"> por impuestos diferidos</w:t>
      </w:r>
      <w:r w:rsidR="00F66F76" w:rsidRPr="00AC4AEA">
        <w:rPr>
          <w:rFonts w:ascii="Arial" w:hAnsi="Arial" w:cs="Arial"/>
          <w:sz w:val="20"/>
          <w:szCs w:val="20"/>
        </w:rPr>
        <w:t>”</w:t>
      </w:r>
      <w:r w:rsidR="00A82EFF" w:rsidRPr="00AC4AEA">
        <w:rPr>
          <w:rFonts w:ascii="Arial" w:hAnsi="Arial" w:cs="Arial"/>
          <w:sz w:val="20"/>
          <w:szCs w:val="20"/>
        </w:rPr>
        <w:t xml:space="preserve"> </w:t>
      </w:r>
      <w:r w:rsidR="00F66F76" w:rsidRPr="00AC4AEA">
        <w:rPr>
          <w:rFonts w:ascii="Arial" w:hAnsi="Arial" w:cs="Arial"/>
          <w:sz w:val="20"/>
          <w:szCs w:val="20"/>
        </w:rPr>
        <w:t>o “activos por impuestos diferidos”</w:t>
      </w:r>
      <w:r w:rsidRPr="00AC4AEA">
        <w:rPr>
          <w:rFonts w:ascii="Arial" w:hAnsi="Arial" w:cs="Arial"/>
          <w:sz w:val="20"/>
          <w:szCs w:val="20"/>
        </w:rPr>
        <w:t>.</w:t>
      </w:r>
    </w:p>
    <w:p w:rsidR="005645FD" w:rsidRPr="00AC4AEA" w:rsidRDefault="005645FD" w:rsidP="00A318EA">
      <w:pPr>
        <w:pStyle w:val="Prrafodelista"/>
        <w:numPr>
          <w:ilvl w:val="0"/>
          <w:numId w:val="29"/>
        </w:numPr>
        <w:contextualSpacing w:val="0"/>
        <w:jc w:val="both"/>
        <w:rPr>
          <w:rFonts w:ascii="Arial" w:hAnsi="Arial" w:cs="Arial"/>
          <w:sz w:val="20"/>
          <w:szCs w:val="20"/>
        </w:rPr>
      </w:pPr>
      <w:bookmarkStart w:id="853" w:name="_Ref99468474"/>
      <w:r w:rsidRPr="00AC4AEA">
        <w:rPr>
          <w:rFonts w:ascii="Arial" w:hAnsi="Arial" w:cs="Arial"/>
          <w:sz w:val="20"/>
          <w:szCs w:val="20"/>
        </w:rPr>
        <w:t xml:space="preserve">Una entidad presentará el </w:t>
      </w:r>
      <w:r w:rsidRPr="00AC4AEA">
        <w:rPr>
          <w:rFonts w:ascii="Arial" w:hAnsi="Arial" w:cs="Arial"/>
          <w:b/>
          <w:bCs/>
          <w:sz w:val="20"/>
          <w:szCs w:val="20"/>
        </w:rPr>
        <w:t>gasto</w:t>
      </w:r>
      <w:r w:rsidRPr="00AC4AEA">
        <w:rPr>
          <w:rFonts w:ascii="Arial" w:hAnsi="Arial" w:cs="Arial"/>
          <w:sz w:val="20"/>
          <w:szCs w:val="20"/>
        </w:rPr>
        <w:t xml:space="preserve"> </w:t>
      </w:r>
      <w:r w:rsidR="009E5A6A" w:rsidRPr="00AC4AEA">
        <w:rPr>
          <w:rFonts w:ascii="Arial" w:hAnsi="Arial" w:cs="Arial"/>
          <w:sz w:val="20"/>
          <w:szCs w:val="20"/>
        </w:rPr>
        <w:t xml:space="preserve">o </w:t>
      </w:r>
      <w:r w:rsidR="009E5A6A" w:rsidRPr="00AC4AEA">
        <w:rPr>
          <w:rFonts w:ascii="Arial" w:hAnsi="Arial" w:cs="Arial"/>
          <w:b/>
          <w:bCs/>
          <w:sz w:val="20"/>
          <w:szCs w:val="20"/>
        </w:rPr>
        <w:t>ingreso</w:t>
      </w:r>
      <w:r w:rsidR="009E5A6A" w:rsidRPr="00AC4AEA">
        <w:rPr>
          <w:rFonts w:ascii="Arial" w:hAnsi="Arial" w:cs="Arial"/>
          <w:sz w:val="20"/>
          <w:szCs w:val="20"/>
        </w:rPr>
        <w:t xml:space="preserve"> </w:t>
      </w:r>
      <w:r w:rsidRPr="00AC4AEA">
        <w:rPr>
          <w:rFonts w:ascii="Arial" w:hAnsi="Arial" w:cs="Arial"/>
          <w:sz w:val="20"/>
          <w:szCs w:val="20"/>
        </w:rPr>
        <w:t xml:space="preserve">por impuesto a las ganancias diferido dentro de la misma sección del estado de resultados o del estado de evolución del </w:t>
      </w:r>
      <w:r w:rsidRPr="00AC4AEA">
        <w:rPr>
          <w:rFonts w:ascii="Arial" w:hAnsi="Arial" w:cs="Arial"/>
          <w:b/>
          <w:bCs/>
          <w:sz w:val="20"/>
          <w:szCs w:val="20"/>
        </w:rPr>
        <w:t>patrimonio neto</w:t>
      </w:r>
      <w:r w:rsidRPr="00AC4AEA">
        <w:rPr>
          <w:rFonts w:ascii="Arial" w:hAnsi="Arial" w:cs="Arial"/>
          <w:sz w:val="20"/>
          <w:szCs w:val="20"/>
        </w:rPr>
        <w:t xml:space="preserve"> donde se exponen las partidas que le dieron origen.</w:t>
      </w:r>
      <w:r w:rsidR="00A82EFF" w:rsidRPr="00AC4AEA">
        <w:rPr>
          <w:rFonts w:ascii="Arial" w:hAnsi="Arial" w:cs="Arial"/>
          <w:sz w:val="20"/>
          <w:szCs w:val="20"/>
        </w:rPr>
        <w:t xml:space="preserve"> </w:t>
      </w:r>
      <w:r w:rsidRPr="00AC4AEA">
        <w:rPr>
          <w:rFonts w:ascii="Arial" w:hAnsi="Arial" w:cs="Arial"/>
          <w:sz w:val="20"/>
          <w:szCs w:val="20"/>
        </w:rPr>
        <w:t>A esos fines expondrá netas del impuesto a las ganancias</w:t>
      </w:r>
      <w:r w:rsidR="007B7E5B" w:rsidRPr="00AC4AEA">
        <w:rPr>
          <w:rFonts w:ascii="Arial" w:hAnsi="Arial" w:cs="Arial"/>
          <w:sz w:val="20"/>
          <w:szCs w:val="20"/>
        </w:rPr>
        <w:t>:</w:t>
      </w:r>
    </w:p>
    <w:p w:rsidR="005645FD" w:rsidRPr="00AC4AEA" w:rsidRDefault="005645FD" w:rsidP="00A318EA">
      <w:pPr>
        <w:pStyle w:val="Prrafodelista"/>
        <w:numPr>
          <w:ilvl w:val="0"/>
          <w:numId w:val="433"/>
        </w:numPr>
        <w:ind w:left="1560"/>
        <w:contextualSpacing w:val="0"/>
        <w:jc w:val="both"/>
        <w:rPr>
          <w:rFonts w:ascii="Arial" w:hAnsi="Arial" w:cs="Arial"/>
          <w:sz w:val="20"/>
          <w:szCs w:val="20"/>
        </w:rPr>
      </w:pPr>
      <w:r w:rsidRPr="00AC4AEA">
        <w:rPr>
          <w:rFonts w:ascii="Arial" w:hAnsi="Arial" w:cs="Arial"/>
          <w:sz w:val="20"/>
          <w:szCs w:val="20"/>
        </w:rPr>
        <w:t>En el estado de resultados, partidas tales como:</w:t>
      </w:r>
    </w:p>
    <w:p w:rsidR="005645FD" w:rsidRPr="00AC4AEA" w:rsidRDefault="005645FD" w:rsidP="00A318EA">
      <w:pPr>
        <w:pStyle w:val="Prrafodelista"/>
        <w:numPr>
          <w:ilvl w:val="0"/>
          <w:numId w:val="434"/>
        </w:numPr>
        <w:ind w:left="1985"/>
        <w:contextualSpacing w:val="0"/>
        <w:jc w:val="both"/>
        <w:rPr>
          <w:rFonts w:ascii="Arial" w:hAnsi="Arial" w:cs="Arial"/>
          <w:sz w:val="20"/>
          <w:szCs w:val="20"/>
        </w:rPr>
      </w:pPr>
      <w:r w:rsidRPr="00AC4AEA">
        <w:rPr>
          <w:rFonts w:ascii="Arial" w:hAnsi="Arial" w:cs="Arial"/>
          <w:sz w:val="20"/>
          <w:szCs w:val="20"/>
        </w:rPr>
        <w:t>los resultados de las operaciones que continúan; y</w:t>
      </w:r>
    </w:p>
    <w:p w:rsidR="005645FD" w:rsidRPr="00AC4AEA" w:rsidRDefault="005645FD" w:rsidP="00A318EA">
      <w:pPr>
        <w:pStyle w:val="Prrafodelista"/>
        <w:numPr>
          <w:ilvl w:val="0"/>
          <w:numId w:val="434"/>
        </w:numPr>
        <w:ind w:left="1985"/>
        <w:contextualSpacing w:val="0"/>
        <w:jc w:val="both"/>
        <w:rPr>
          <w:rFonts w:ascii="Arial" w:hAnsi="Arial" w:cs="Arial"/>
          <w:sz w:val="20"/>
          <w:szCs w:val="20"/>
        </w:rPr>
      </w:pPr>
      <w:r w:rsidRPr="00AC4AEA">
        <w:rPr>
          <w:rFonts w:ascii="Arial" w:hAnsi="Arial" w:cs="Arial"/>
          <w:sz w:val="20"/>
          <w:szCs w:val="20"/>
        </w:rPr>
        <w:t>los resultados de operaciones discontinuadas o en discontinuación</w:t>
      </w:r>
      <w:r w:rsidR="00A71926" w:rsidRPr="00AC4AEA">
        <w:rPr>
          <w:rFonts w:ascii="Arial" w:hAnsi="Arial" w:cs="Arial"/>
          <w:sz w:val="20"/>
          <w:szCs w:val="20"/>
        </w:rPr>
        <w:t>.</w:t>
      </w:r>
    </w:p>
    <w:p w:rsidR="005645FD" w:rsidRPr="00AC4AEA" w:rsidRDefault="005645FD" w:rsidP="00A318EA">
      <w:pPr>
        <w:pStyle w:val="Prrafodelista"/>
        <w:numPr>
          <w:ilvl w:val="0"/>
          <w:numId w:val="433"/>
        </w:numPr>
        <w:ind w:left="1560"/>
        <w:contextualSpacing w:val="0"/>
        <w:jc w:val="both"/>
        <w:rPr>
          <w:rFonts w:ascii="Arial" w:hAnsi="Arial" w:cs="Arial"/>
          <w:sz w:val="20"/>
          <w:szCs w:val="20"/>
        </w:rPr>
      </w:pPr>
      <w:r w:rsidRPr="00AC4AEA">
        <w:rPr>
          <w:rFonts w:ascii="Arial" w:hAnsi="Arial" w:cs="Arial"/>
          <w:sz w:val="20"/>
          <w:szCs w:val="20"/>
        </w:rPr>
        <w:t>En el estado de evolución del patrimonio</w:t>
      </w:r>
      <w:r w:rsidR="00F66F76" w:rsidRPr="00AC4AEA">
        <w:rPr>
          <w:rFonts w:ascii="Arial" w:hAnsi="Arial" w:cs="Arial"/>
          <w:sz w:val="20"/>
          <w:szCs w:val="20"/>
        </w:rPr>
        <w:t xml:space="preserve"> neto</w:t>
      </w:r>
      <w:r w:rsidRPr="00AC4AEA">
        <w:rPr>
          <w:rFonts w:ascii="Arial" w:hAnsi="Arial" w:cs="Arial"/>
          <w:sz w:val="20"/>
          <w:szCs w:val="20"/>
        </w:rPr>
        <w:t>, partidas tales como:</w:t>
      </w:r>
    </w:p>
    <w:p w:rsidR="005645FD" w:rsidRPr="00AC4AEA" w:rsidRDefault="005645FD" w:rsidP="00A318EA">
      <w:pPr>
        <w:pStyle w:val="Prrafodelista"/>
        <w:numPr>
          <w:ilvl w:val="0"/>
          <w:numId w:val="435"/>
        </w:numPr>
        <w:ind w:left="1985"/>
        <w:contextualSpacing w:val="0"/>
        <w:jc w:val="both"/>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resultados diferidos</w:t>
      </w:r>
      <w:r w:rsidRPr="00AC4AEA">
        <w:rPr>
          <w:rFonts w:ascii="Arial" w:hAnsi="Arial" w:cs="Arial"/>
          <w:sz w:val="20"/>
          <w:szCs w:val="20"/>
        </w:rPr>
        <w:t>; y</w:t>
      </w:r>
    </w:p>
    <w:p w:rsidR="005645FD" w:rsidRPr="00AC4AEA" w:rsidRDefault="005645FD" w:rsidP="00A318EA">
      <w:pPr>
        <w:pStyle w:val="Prrafodelista"/>
        <w:numPr>
          <w:ilvl w:val="0"/>
          <w:numId w:val="435"/>
        </w:numPr>
        <w:ind w:left="1985"/>
        <w:contextualSpacing w:val="0"/>
        <w:jc w:val="both"/>
        <w:rPr>
          <w:rFonts w:ascii="Arial" w:hAnsi="Arial" w:cs="Arial"/>
          <w:sz w:val="20"/>
          <w:szCs w:val="20"/>
        </w:rPr>
      </w:pPr>
      <w:r w:rsidRPr="00AC4AEA">
        <w:rPr>
          <w:rFonts w:ascii="Arial" w:hAnsi="Arial" w:cs="Arial"/>
          <w:sz w:val="20"/>
          <w:szCs w:val="20"/>
        </w:rPr>
        <w:t>los ajustes de resultados de ejercicios anteriores.</w:t>
      </w:r>
    </w:p>
    <w:p w:rsidR="00D72785" w:rsidRPr="00AC4AEA" w:rsidRDefault="00D72785" w:rsidP="00A318EA">
      <w:pPr>
        <w:pStyle w:val="Prrafodelista"/>
        <w:numPr>
          <w:ilvl w:val="0"/>
          <w:numId w:val="29"/>
        </w:numPr>
        <w:contextualSpacing w:val="0"/>
        <w:jc w:val="both"/>
        <w:rPr>
          <w:rFonts w:ascii="Arial" w:hAnsi="Arial" w:cs="Arial"/>
          <w:sz w:val="20"/>
          <w:szCs w:val="20"/>
        </w:rPr>
      </w:pPr>
      <w:bookmarkStart w:id="854" w:name="_Ref99458625"/>
      <w:bookmarkEnd w:id="853"/>
      <w:r w:rsidRPr="00AC4AEA">
        <w:rPr>
          <w:rFonts w:ascii="Arial" w:hAnsi="Arial" w:cs="Arial"/>
          <w:sz w:val="20"/>
          <w:szCs w:val="20"/>
        </w:rPr>
        <w:t>Una entidad deberá revelar en notas:</w:t>
      </w:r>
      <w:bookmarkEnd w:id="854"/>
    </w:p>
    <w:p w:rsidR="00D72785" w:rsidRPr="00AC4AEA" w:rsidRDefault="002400FF"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 xml:space="preserve">a composición del </w:t>
      </w:r>
      <w:r w:rsidR="00D72785" w:rsidRPr="002A73C3">
        <w:rPr>
          <w:rFonts w:ascii="Arial" w:hAnsi="Arial" w:cs="Arial"/>
          <w:b/>
          <w:bCs/>
          <w:sz w:val="20"/>
          <w:szCs w:val="20"/>
        </w:rPr>
        <w:t xml:space="preserve">gasto </w:t>
      </w:r>
      <w:r w:rsidR="008B79AC" w:rsidRPr="00AC4AEA">
        <w:rPr>
          <w:rFonts w:ascii="Arial" w:hAnsi="Arial" w:cs="Arial"/>
          <w:sz w:val="20"/>
          <w:szCs w:val="20"/>
        </w:rPr>
        <w:t>o</w:t>
      </w:r>
      <w:r w:rsidR="008B79AC" w:rsidRPr="002A73C3">
        <w:rPr>
          <w:rFonts w:ascii="Arial" w:hAnsi="Arial" w:cs="Arial"/>
          <w:b/>
          <w:bCs/>
          <w:sz w:val="20"/>
          <w:szCs w:val="20"/>
        </w:rPr>
        <w:t xml:space="preserve"> </w:t>
      </w:r>
      <w:r w:rsidR="00D72785" w:rsidRPr="002A73C3">
        <w:rPr>
          <w:rFonts w:ascii="Arial" w:hAnsi="Arial" w:cs="Arial"/>
          <w:b/>
          <w:bCs/>
          <w:sz w:val="20"/>
          <w:szCs w:val="20"/>
        </w:rPr>
        <w:t>ingreso</w:t>
      </w:r>
      <w:r w:rsidR="00D72785" w:rsidRPr="00AC4AEA">
        <w:rPr>
          <w:rFonts w:ascii="Arial" w:hAnsi="Arial" w:cs="Arial"/>
          <w:sz w:val="20"/>
          <w:szCs w:val="20"/>
        </w:rPr>
        <w:t xml:space="preserve"> por impuesto a las ganancias, </w:t>
      </w:r>
      <w:r w:rsidR="00E42DDE" w:rsidRPr="00AC4AEA">
        <w:rPr>
          <w:rFonts w:ascii="Arial" w:hAnsi="Arial" w:cs="Arial"/>
          <w:sz w:val="20"/>
          <w:szCs w:val="20"/>
        </w:rPr>
        <w:t xml:space="preserve">distinguiendo </w:t>
      </w:r>
      <w:r w:rsidR="00D72785" w:rsidRPr="00AC4AEA">
        <w:rPr>
          <w:rFonts w:ascii="Arial" w:hAnsi="Arial" w:cs="Arial"/>
          <w:sz w:val="20"/>
          <w:szCs w:val="20"/>
        </w:rPr>
        <w:t>entre impuesto corriente e impuesto diferido</w:t>
      </w:r>
      <w:r w:rsidRPr="00AC4AEA">
        <w:rPr>
          <w:rFonts w:ascii="Arial" w:hAnsi="Arial" w:cs="Arial"/>
          <w:sz w:val="20"/>
          <w:szCs w:val="20"/>
        </w:rPr>
        <w:t>;</w:t>
      </w:r>
    </w:p>
    <w:p w:rsidR="00F83EF7" w:rsidRPr="00AC4AEA" w:rsidRDefault="002400FF"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p</w:t>
      </w:r>
      <w:r w:rsidR="00D72785" w:rsidRPr="00AC4AEA">
        <w:rPr>
          <w:rFonts w:ascii="Arial" w:hAnsi="Arial" w:cs="Arial"/>
          <w:sz w:val="20"/>
          <w:szCs w:val="20"/>
        </w:rPr>
        <w:t xml:space="preserve">or cada tipo de pasivo </w:t>
      </w:r>
      <w:r w:rsidR="008B79AC" w:rsidRPr="00AC4AEA">
        <w:rPr>
          <w:rFonts w:ascii="Arial" w:hAnsi="Arial" w:cs="Arial"/>
          <w:sz w:val="20"/>
          <w:szCs w:val="20"/>
        </w:rPr>
        <w:t xml:space="preserve">o </w:t>
      </w:r>
      <w:r w:rsidR="00D72785" w:rsidRPr="00AC4AEA">
        <w:rPr>
          <w:rFonts w:ascii="Arial" w:hAnsi="Arial" w:cs="Arial"/>
          <w:sz w:val="20"/>
          <w:szCs w:val="20"/>
        </w:rPr>
        <w:t>activo por impuestos diferidos, clasificado según la diferencia temporaria que le dio origen</w:t>
      </w:r>
      <w:r w:rsidR="00F83EF7" w:rsidRPr="00AC4AEA">
        <w:rPr>
          <w:rFonts w:ascii="Arial" w:hAnsi="Arial" w:cs="Arial"/>
          <w:sz w:val="20"/>
          <w:szCs w:val="20"/>
        </w:rPr>
        <w:t>:</w:t>
      </w:r>
      <w:r w:rsidR="00D72785" w:rsidRPr="00AC4AEA">
        <w:rPr>
          <w:rFonts w:ascii="Arial" w:hAnsi="Arial" w:cs="Arial"/>
          <w:sz w:val="20"/>
          <w:szCs w:val="20"/>
        </w:rPr>
        <w:t xml:space="preserve"> </w:t>
      </w:r>
    </w:p>
    <w:p w:rsidR="00F83EF7" w:rsidRPr="00AC4AEA" w:rsidRDefault="005E4D4A" w:rsidP="00A318EA">
      <w:pPr>
        <w:pStyle w:val="Prrafodelista"/>
        <w:numPr>
          <w:ilvl w:val="0"/>
          <w:numId w:val="176"/>
        </w:numPr>
        <w:ind w:left="1985"/>
        <w:contextualSpacing w:val="0"/>
        <w:jc w:val="both"/>
        <w:rPr>
          <w:rFonts w:ascii="Arial" w:hAnsi="Arial" w:cs="Arial"/>
          <w:sz w:val="20"/>
          <w:szCs w:val="20"/>
        </w:rPr>
      </w:pPr>
      <w:r w:rsidRPr="00AC4AEA">
        <w:rPr>
          <w:rFonts w:ascii="Arial" w:hAnsi="Arial" w:cs="Arial"/>
          <w:sz w:val="20"/>
          <w:szCs w:val="20"/>
        </w:rPr>
        <w:t>e</w:t>
      </w:r>
      <w:r w:rsidR="00D72785" w:rsidRPr="00AC4AEA">
        <w:rPr>
          <w:rFonts w:ascii="Arial" w:hAnsi="Arial" w:cs="Arial"/>
          <w:sz w:val="20"/>
          <w:szCs w:val="20"/>
        </w:rPr>
        <w:t>l saldo inicial</w:t>
      </w:r>
      <w:r w:rsidRPr="00AC4AEA">
        <w:rPr>
          <w:rFonts w:ascii="Arial" w:hAnsi="Arial" w:cs="Arial"/>
          <w:sz w:val="20"/>
          <w:szCs w:val="20"/>
        </w:rPr>
        <w:t>;</w:t>
      </w:r>
      <w:r w:rsidR="00D72785" w:rsidRPr="00AC4AEA">
        <w:rPr>
          <w:rFonts w:ascii="Arial" w:hAnsi="Arial" w:cs="Arial"/>
          <w:sz w:val="20"/>
          <w:szCs w:val="20"/>
        </w:rPr>
        <w:t xml:space="preserve"> </w:t>
      </w:r>
    </w:p>
    <w:p w:rsidR="00F83EF7" w:rsidRPr="00AC4AEA" w:rsidRDefault="005E4D4A" w:rsidP="00A318EA">
      <w:pPr>
        <w:pStyle w:val="Prrafodelista"/>
        <w:numPr>
          <w:ilvl w:val="0"/>
          <w:numId w:val="176"/>
        </w:numPr>
        <w:ind w:left="1985"/>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 xml:space="preserve">a variación del saldo durante el </w:t>
      </w:r>
      <w:r w:rsidR="006C5663" w:rsidRPr="00AC4AEA">
        <w:rPr>
          <w:rFonts w:ascii="Arial" w:hAnsi="Arial" w:cs="Arial"/>
          <w:sz w:val="20"/>
          <w:szCs w:val="20"/>
        </w:rPr>
        <w:t>período</w:t>
      </w:r>
      <w:r w:rsidRPr="00AC4AEA">
        <w:rPr>
          <w:rFonts w:ascii="Arial" w:hAnsi="Arial" w:cs="Arial"/>
          <w:sz w:val="20"/>
          <w:szCs w:val="20"/>
        </w:rPr>
        <w:t>;</w:t>
      </w:r>
      <w:r w:rsidR="00D72785" w:rsidRPr="00AC4AEA">
        <w:rPr>
          <w:rFonts w:ascii="Arial" w:hAnsi="Arial" w:cs="Arial"/>
          <w:sz w:val="20"/>
          <w:szCs w:val="20"/>
        </w:rPr>
        <w:t xml:space="preserve"> y </w:t>
      </w:r>
    </w:p>
    <w:p w:rsidR="00D72785" w:rsidRPr="00AC4AEA" w:rsidRDefault="005E4D4A" w:rsidP="00A318EA">
      <w:pPr>
        <w:pStyle w:val="Prrafodelista"/>
        <w:numPr>
          <w:ilvl w:val="0"/>
          <w:numId w:val="176"/>
        </w:numPr>
        <w:ind w:left="1985"/>
        <w:contextualSpacing w:val="0"/>
        <w:jc w:val="both"/>
        <w:rPr>
          <w:rFonts w:ascii="Arial" w:hAnsi="Arial" w:cs="Arial"/>
          <w:sz w:val="20"/>
          <w:szCs w:val="20"/>
        </w:rPr>
      </w:pPr>
      <w:r w:rsidRPr="00AC4AEA">
        <w:rPr>
          <w:rFonts w:ascii="Arial" w:hAnsi="Arial" w:cs="Arial"/>
          <w:sz w:val="20"/>
          <w:szCs w:val="20"/>
        </w:rPr>
        <w:t xml:space="preserve">el </w:t>
      </w:r>
      <w:r w:rsidR="00D72785" w:rsidRPr="00AC4AEA">
        <w:rPr>
          <w:rFonts w:ascii="Arial" w:hAnsi="Arial" w:cs="Arial"/>
          <w:sz w:val="20"/>
          <w:szCs w:val="20"/>
        </w:rPr>
        <w:t>saldo final</w:t>
      </w:r>
      <w:r w:rsidR="002400FF" w:rsidRPr="00AC4AEA">
        <w:rPr>
          <w:rFonts w:ascii="Arial" w:hAnsi="Arial" w:cs="Arial"/>
          <w:sz w:val="20"/>
          <w:szCs w:val="20"/>
        </w:rPr>
        <w:t>;</w:t>
      </w:r>
    </w:p>
    <w:p w:rsidR="00D72785" w:rsidRPr="00AC4AEA" w:rsidRDefault="002400FF"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u</w:t>
      </w:r>
      <w:r w:rsidR="00D72785" w:rsidRPr="00AC4AEA">
        <w:rPr>
          <w:rFonts w:ascii="Arial" w:hAnsi="Arial" w:cs="Arial"/>
          <w:sz w:val="20"/>
          <w:szCs w:val="20"/>
        </w:rPr>
        <w:t xml:space="preserve">na explicación de los cambios producidos durante el </w:t>
      </w:r>
      <w:r w:rsidR="006C5663" w:rsidRPr="00AC4AEA">
        <w:rPr>
          <w:rFonts w:ascii="Arial" w:hAnsi="Arial" w:cs="Arial"/>
          <w:sz w:val="20"/>
          <w:szCs w:val="20"/>
        </w:rPr>
        <w:t>período</w:t>
      </w:r>
      <w:r w:rsidR="00D72785" w:rsidRPr="00AC4AEA">
        <w:rPr>
          <w:rFonts w:ascii="Arial" w:hAnsi="Arial" w:cs="Arial"/>
          <w:sz w:val="20"/>
          <w:szCs w:val="20"/>
        </w:rPr>
        <w:t xml:space="preserve"> en la tasa o tasas impositivas aplicables</w:t>
      </w:r>
      <w:r w:rsidRPr="00AC4AEA">
        <w:rPr>
          <w:rFonts w:ascii="Arial" w:hAnsi="Arial" w:cs="Arial"/>
          <w:sz w:val="20"/>
          <w:szCs w:val="20"/>
        </w:rPr>
        <w:t>;</w:t>
      </w:r>
    </w:p>
    <w:p w:rsidR="00D72785" w:rsidRPr="00AC4AEA" w:rsidRDefault="002400FF"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 xml:space="preserve">os motivos para reconocer </w:t>
      </w:r>
      <w:r w:rsidR="00497590" w:rsidRPr="00AC4AEA">
        <w:rPr>
          <w:rFonts w:ascii="Arial" w:hAnsi="Arial" w:cs="Arial"/>
          <w:sz w:val="20"/>
          <w:szCs w:val="20"/>
        </w:rPr>
        <w:t>activos</w:t>
      </w:r>
      <w:r w:rsidR="00D72785" w:rsidRPr="00AC4AEA">
        <w:rPr>
          <w:rFonts w:ascii="Arial" w:hAnsi="Arial" w:cs="Arial"/>
          <w:sz w:val="20"/>
          <w:szCs w:val="20"/>
        </w:rPr>
        <w:t xml:space="preserve"> por impuestos diferidos provenientes de pérdidas fiscales cuando obtuvo </w:t>
      </w:r>
      <w:r w:rsidR="00D72785" w:rsidRPr="00AC4AEA">
        <w:rPr>
          <w:rFonts w:ascii="Arial" w:hAnsi="Arial" w:cs="Arial"/>
          <w:b/>
          <w:bCs/>
          <w:sz w:val="20"/>
          <w:szCs w:val="20"/>
        </w:rPr>
        <w:t xml:space="preserve">pérdida </w:t>
      </w:r>
      <w:r w:rsidR="00D72785" w:rsidRPr="00AC4AEA">
        <w:rPr>
          <w:rFonts w:ascii="Arial" w:hAnsi="Arial" w:cs="Arial"/>
          <w:sz w:val="20"/>
          <w:szCs w:val="20"/>
        </w:rPr>
        <w:t>en el ejercicio actual o en el precedente</w:t>
      </w:r>
      <w:r w:rsidRPr="00AC4AEA">
        <w:rPr>
          <w:rFonts w:ascii="Arial" w:hAnsi="Arial" w:cs="Arial"/>
          <w:sz w:val="20"/>
          <w:szCs w:val="20"/>
        </w:rPr>
        <w:t>;</w:t>
      </w:r>
    </w:p>
    <w:p w:rsidR="00A40FA8" w:rsidRPr="00AC4AEA" w:rsidRDefault="00A40FA8"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respecto de cada tipo de diferencias temporarias y de quebrantos impositivos y créditos fiscales no utilizados:</w:t>
      </w:r>
    </w:p>
    <w:p w:rsidR="00A40FA8" w:rsidRPr="00AC4AEA" w:rsidRDefault="00A40FA8" w:rsidP="00A318EA">
      <w:pPr>
        <w:pStyle w:val="Prrafodelista"/>
        <w:numPr>
          <w:ilvl w:val="0"/>
          <w:numId w:val="301"/>
        </w:numPr>
        <w:contextualSpacing w:val="0"/>
        <w:jc w:val="both"/>
        <w:rPr>
          <w:rFonts w:ascii="Arial" w:hAnsi="Arial" w:cs="Arial"/>
          <w:sz w:val="20"/>
          <w:szCs w:val="20"/>
        </w:rPr>
      </w:pPr>
      <w:r w:rsidRPr="00AC4AEA">
        <w:rPr>
          <w:rFonts w:ascii="Arial" w:hAnsi="Arial" w:cs="Arial"/>
          <w:sz w:val="20"/>
          <w:szCs w:val="20"/>
        </w:rPr>
        <w:t>el importe de los créditos y deudas por impuestos diferidos reconocidos a la fecha de cada uno de los períodos presentados;</w:t>
      </w:r>
    </w:p>
    <w:p w:rsidR="00A40FA8" w:rsidRPr="00AC4AEA" w:rsidRDefault="00A40FA8" w:rsidP="00A318EA">
      <w:pPr>
        <w:pStyle w:val="Prrafodelista"/>
        <w:numPr>
          <w:ilvl w:val="0"/>
          <w:numId w:val="301"/>
        </w:numPr>
        <w:contextualSpacing w:val="0"/>
        <w:jc w:val="both"/>
        <w:rPr>
          <w:rFonts w:ascii="Arial" w:hAnsi="Arial" w:cs="Arial"/>
          <w:sz w:val="20"/>
          <w:szCs w:val="20"/>
        </w:rPr>
      </w:pPr>
      <w:r w:rsidRPr="00AC4AEA">
        <w:rPr>
          <w:rFonts w:ascii="Arial" w:hAnsi="Arial" w:cs="Arial"/>
          <w:sz w:val="20"/>
          <w:szCs w:val="20"/>
        </w:rPr>
        <w:lastRenderedPageBreak/>
        <w:t>el importe que afectó el resultado del período, si no surgiera con evidencia de la información sobre las variaciones de los importes reconocidos en los estados de situación patrimonial</w:t>
      </w:r>
    </w:p>
    <w:p w:rsidR="00325406" w:rsidRPr="00AC4AEA" w:rsidRDefault="002400FF"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u</w:t>
      </w:r>
      <w:r w:rsidR="00D72785" w:rsidRPr="00AC4AEA">
        <w:rPr>
          <w:rFonts w:ascii="Arial" w:hAnsi="Arial" w:cs="Arial"/>
          <w:sz w:val="20"/>
          <w:szCs w:val="20"/>
        </w:rPr>
        <w:t xml:space="preserve">na conciliación entre el </w:t>
      </w:r>
      <w:r w:rsidR="00D72785" w:rsidRPr="002A73C3">
        <w:rPr>
          <w:rFonts w:ascii="Arial" w:hAnsi="Arial" w:cs="Arial"/>
          <w:b/>
          <w:bCs/>
          <w:sz w:val="20"/>
          <w:szCs w:val="20"/>
        </w:rPr>
        <w:t xml:space="preserve">gasto </w:t>
      </w:r>
      <w:r w:rsidR="008B79AC" w:rsidRPr="00AC4AEA">
        <w:rPr>
          <w:rFonts w:ascii="Arial" w:hAnsi="Arial" w:cs="Arial"/>
          <w:sz w:val="20"/>
          <w:szCs w:val="20"/>
        </w:rPr>
        <w:t xml:space="preserve">o </w:t>
      </w:r>
      <w:r w:rsidR="00D72785" w:rsidRPr="002A73C3">
        <w:rPr>
          <w:rFonts w:ascii="Arial" w:hAnsi="Arial" w:cs="Arial"/>
          <w:b/>
          <w:bCs/>
          <w:sz w:val="20"/>
          <w:szCs w:val="20"/>
        </w:rPr>
        <w:t xml:space="preserve">ingreso </w:t>
      </w:r>
      <w:r w:rsidR="00D72785" w:rsidRPr="00AC4AEA">
        <w:rPr>
          <w:rFonts w:ascii="Arial" w:hAnsi="Arial" w:cs="Arial"/>
          <w:sz w:val="20"/>
          <w:szCs w:val="20"/>
        </w:rPr>
        <w:t>imputado a resultados y el impuesto teórico (que surge de multiplicar el resultado contable por la tasa fiscal vigente), excepto que</w:t>
      </w:r>
      <w:r w:rsidR="00325406" w:rsidRPr="00AC4AEA">
        <w:rPr>
          <w:rFonts w:ascii="Arial" w:hAnsi="Arial" w:cs="Arial"/>
          <w:sz w:val="20"/>
          <w:szCs w:val="20"/>
        </w:rPr>
        <w:t>:</w:t>
      </w:r>
      <w:r w:rsidR="00D72785" w:rsidRPr="00AC4AEA">
        <w:rPr>
          <w:rFonts w:ascii="Arial" w:hAnsi="Arial" w:cs="Arial"/>
          <w:sz w:val="20"/>
          <w:szCs w:val="20"/>
        </w:rPr>
        <w:t xml:space="preserve"> </w:t>
      </w:r>
    </w:p>
    <w:p w:rsidR="00325406" w:rsidRPr="00AC4AEA" w:rsidRDefault="00325406" w:rsidP="00A318EA">
      <w:pPr>
        <w:pStyle w:val="Prrafodelista"/>
        <w:numPr>
          <w:ilvl w:val="0"/>
          <w:numId w:val="302"/>
        </w:numPr>
        <w:contextualSpacing w:val="0"/>
        <w:jc w:val="both"/>
        <w:rPr>
          <w:rFonts w:ascii="Arial" w:hAnsi="Arial" w:cs="Arial"/>
          <w:sz w:val="20"/>
          <w:szCs w:val="20"/>
        </w:rPr>
      </w:pPr>
      <w:r w:rsidRPr="00AC4AEA">
        <w:rPr>
          <w:rFonts w:ascii="Arial" w:hAnsi="Arial" w:cs="Arial"/>
          <w:sz w:val="20"/>
          <w:szCs w:val="20"/>
        </w:rPr>
        <w:t>sea una entidad pequeña o mediana que opta por no presentar esta conciliación; o</w:t>
      </w:r>
    </w:p>
    <w:p w:rsidR="00D72785" w:rsidRPr="00AC4AEA" w:rsidRDefault="00325406" w:rsidP="00A318EA">
      <w:pPr>
        <w:pStyle w:val="Prrafodelista"/>
        <w:numPr>
          <w:ilvl w:val="0"/>
          <w:numId w:val="302"/>
        </w:numPr>
        <w:contextualSpacing w:val="0"/>
        <w:jc w:val="both"/>
        <w:rPr>
          <w:rFonts w:ascii="Arial" w:hAnsi="Arial" w:cs="Arial"/>
          <w:sz w:val="20"/>
          <w:szCs w:val="20"/>
        </w:rPr>
      </w:pPr>
      <w:r w:rsidRPr="00AC4AEA">
        <w:rPr>
          <w:rFonts w:ascii="Arial" w:hAnsi="Arial" w:cs="Arial"/>
          <w:sz w:val="20"/>
          <w:szCs w:val="20"/>
        </w:rPr>
        <w:t xml:space="preserve">es cualquier entidad que prepara sus </w:t>
      </w:r>
      <w:r w:rsidR="00135084" w:rsidRPr="00AC4AEA">
        <w:rPr>
          <w:rFonts w:ascii="Arial" w:hAnsi="Arial" w:cs="Arial"/>
          <w:b/>
          <w:bCs/>
          <w:sz w:val="20"/>
          <w:szCs w:val="20"/>
        </w:rPr>
        <w:t>estados contables</w:t>
      </w:r>
      <w:r w:rsidRPr="00AC4AEA">
        <w:rPr>
          <w:rFonts w:ascii="Arial" w:hAnsi="Arial" w:cs="Arial"/>
          <w:sz w:val="20"/>
          <w:szCs w:val="20"/>
        </w:rPr>
        <w:t xml:space="preserve"> considerando lo establecido en la sección</w:t>
      </w:r>
      <w:r w:rsidR="00D72785" w:rsidRPr="00AC4AEA">
        <w:rPr>
          <w:rFonts w:ascii="Arial" w:hAnsi="Arial" w:cs="Arial"/>
          <w:sz w:val="20"/>
          <w:szCs w:val="20"/>
        </w:rPr>
        <w:t xml:space="preserve"> </w:t>
      </w:r>
      <w:r w:rsidR="00110D05" w:rsidRPr="00AC4AEA">
        <w:rPr>
          <w:rFonts w:ascii="Arial" w:hAnsi="Arial" w:cs="Arial"/>
          <w:sz w:val="20"/>
          <w:szCs w:val="20"/>
        </w:rPr>
        <w:t>“</w:t>
      </w:r>
      <w:r w:rsidR="00110D05" w:rsidRPr="00B063AF">
        <w:rPr>
          <w:rFonts w:ascii="Arial" w:hAnsi="Arial" w:cs="Arial"/>
          <w:sz w:val="20"/>
          <w:szCs w:val="20"/>
          <w:u w:val="single"/>
        </w:rPr>
        <w:t xml:space="preserve">Expresión de los </w:t>
      </w:r>
      <w:r w:rsidR="00135084" w:rsidRPr="00B063AF">
        <w:rPr>
          <w:rFonts w:ascii="Arial" w:hAnsi="Arial" w:cs="Arial"/>
          <w:b/>
          <w:bCs/>
          <w:sz w:val="20"/>
          <w:szCs w:val="20"/>
          <w:u w:val="single"/>
        </w:rPr>
        <w:t>estados contables</w:t>
      </w:r>
      <w:r w:rsidR="00110D05" w:rsidRPr="00B063AF">
        <w:rPr>
          <w:rFonts w:ascii="Arial" w:hAnsi="Arial" w:cs="Arial"/>
          <w:sz w:val="20"/>
          <w:szCs w:val="20"/>
          <w:u w:val="single"/>
        </w:rPr>
        <w:t xml:space="preserve"> en moneda </w:t>
      </w:r>
      <w:r w:rsidR="00F0601B" w:rsidRPr="00B063AF">
        <w:rPr>
          <w:rFonts w:ascii="Arial" w:hAnsi="Arial" w:cs="Arial"/>
          <w:sz w:val="20"/>
          <w:szCs w:val="20"/>
          <w:u w:val="single"/>
        </w:rPr>
        <w:t>de cierre</w:t>
      </w:r>
      <w:r w:rsidR="00110D05" w:rsidRPr="00B063AF">
        <w:rPr>
          <w:rFonts w:ascii="Arial" w:hAnsi="Arial" w:cs="Arial"/>
          <w:sz w:val="20"/>
          <w:szCs w:val="20"/>
          <w:u w:val="single"/>
        </w:rPr>
        <w:t xml:space="preserve"> en un contexto de inflación (ajuste por inflación de los </w:t>
      </w:r>
      <w:r w:rsidR="00135084" w:rsidRPr="00B063AF">
        <w:rPr>
          <w:rFonts w:ascii="Arial" w:hAnsi="Arial" w:cs="Arial"/>
          <w:b/>
          <w:bCs/>
          <w:sz w:val="20"/>
          <w:szCs w:val="20"/>
          <w:u w:val="single"/>
        </w:rPr>
        <w:t>estados contables</w:t>
      </w:r>
      <w:r w:rsidR="00110D05" w:rsidRPr="00B063AF">
        <w:rPr>
          <w:rFonts w:ascii="Arial" w:hAnsi="Arial" w:cs="Arial"/>
          <w:sz w:val="20"/>
          <w:szCs w:val="20"/>
          <w:u w:val="single"/>
        </w:rPr>
        <w:t>)</w:t>
      </w:r>
      <w:r w:rsidR="00110D05"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00110D05"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00110D05" w:rsidRPr="00AC4AEA">
        <w:rPr>
          <w:rFonts w:ascii="Arial" w:hAnsi="Arial" w:cs="Arial"/>
          <w:sz w:val="20"/>
          <w:szCs w:val="20"/>
        </w:rPr>
        <w:t>],</w:t>
      </w:r>
      <w:r w:rsidR="00110D05" w:rsidRPr="00AC4AEA" w:rsidDel="00110D05">
        <w:rPr>
          <w:rFonts w:ascii="Arial" w:hAnsi="Arial" w:cs="Arial"/>
          <w:sz w:val="20"/>
          <w:szCs w:val="20"/>
        </w:rPr>
        <w:t xml:space="preserve"> </w:t>
      </w:r>
      <w:r w:rsidR="00D72785" w:rsidRPr="00AC4AEA">
        <w:rPr>
          <w:rFonts w:ascii="Arial" w:hAnsi="Arial" w:cs="Arial"/>
          <w:sz w:val="20"/>
          <w:szCs w:val="20"/>
        </w:rPr>
        <w:t>y la entidad opte por no presentar dicha conciliación</w:t>
      </w:r>
      <w:r w:rsidRPr="00AC4AEA">
        <w:rPr>
          <w:rFonts w:ascii="Arial" w:hAnsi="Arial" w:cs="Arial"/>
          <w:sz w:val="20"/>
          <w:szCs w:val="20"/>
        </w:rPr>
        <w:t>.</w:t>
      </w:r>
    </w:p>
    <w:p w:rsidR="00D72785" w:rsidRPr="00AC4AEA" w:rsidRDefault="002400FF"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l</w:t>
      </w:r>
      <w:r w:rsidR="00D72785" w:rsidRPr="00AC4AEA">
        <w:rPr>
          <w:rFonts w:ascii="Arial" w:hAnsi="Arial" w:cs="Arial"/>
          <w:sz w:val="20"/>
          <w:szCs w:val="20"/>
        </w:rPr>
        <w:t xml:space="preserve">os </w:t>
      </w:r>
      <w:r w:rsidR="00497590" w:rsidRPr="00AC4AEA">
        <w:rPr>
          <w:rFonts w:ascii="Arial" w:hAnsi="Arial" w:cs="Arial"/>
          <w:sz w:val="20"/>
          <w:szCs w:val="20"/>
        </w:rPr>
        <w:t>pasivos</w:t>
      </w:r>
      <w:r w:rsidR="00D72785" w:rsidRPr="00AC4AEA">
        <w:rPr>
          <w:rFonts w:ascii="Arial" w:hAnsi="Arial" w:cs="Arial"/>
          <w:sz w:val="20"/>
          <w:szCs w:val="20"/>
        </w:rPr>
        <w:t xml:space="preserve"> </w:t>
      </w:r>
      <w:r w:rsidR="008B79AC" w:rsidRPr="00AC4AEA">
        <w:rPr>
          <w:rFonts w:ascii="Arial" w:hAnsi="Arial" w:cs="Arial"/>
          <w:sz w:val="20"/>
          <w:szCs w:val="20"/>
        </w:rPr>
        <w:t xml:space="preserve">o </w:t>
      </w:r>
      <w:r w:rsidR="00497590" w:rsidRPr="00AC4AEA">
        <w:rPr>
          <w:rFonts w:ascii="Arial" w:hAnsi="Arial" w:cs="Arial"/>
          <w:sz w:val="20"/>
          <w:szCs w:val="20"/>
        </w:rPr>
        <w:t>activos</w:t>
      </w:r>
      <w:r w:rsidR="00D72785" w:rsidRPr="00AC4AEA">
        <w:rPr>
          <w:rFonts w:ascii="Arial" w:hAnsi="Arial" w:cs="Arial"/>
          <w:sz w:val="20"/>
          <w:szCs w:val="20"/>
        </w:rPr>
        <w:t xml:space="preserve"> no reconocidos por aplicación de las</w:t>
      </w:r>
      <w:r w:rsidR="00E42DDE" w:rsidRPr="00AC4AEA">
        <w:rPr>
          <w:rFonts w:ascii="Arial" w:hAnsi="Arial" w:cs="Arial"/>
          <w:sz w:val="20"/>
          <w:szCs w:val="20"/>
        </w:rPr>
        <w:t xml:space="preserve"> secciones</w:t>
      </w:r>
      <w:r w:rsidR="00D72785" w:rsidRPr="00AC4AEA">
        <w:rPr>
          <w:rFonts w:ascii="Arial" w:hAnsi="Arial" w:cs="Arial"/>
          <w:sz w:val="20"/>
          <w:szCs w:val="20"/>
        </w:rPr>
        <w:t xml:space="preserve"> “</w:t>
      </w:r>
      <w:r w:rsidR="00D72785" w:rsidRPr="00AC4AEA">
        <w:rPr>
          <w:rFonts w:ascii="Arial" w:hAnsi="Arial" w:cs="Arial"/>
          <w:sz w:val="20"/>
          <w:szCs w:val="20"/>
          <w:u w:val="single"/>
        </w:rPr>
        <w:t xml:space="preserve">Excepciones al reconocimiento de </w:t>
      </w:r>
      <w:r w:rsidR="00497590" w:rsidRPr="00AC4AEA">
        <w:rPr>
          <w:rFonts w:ascii="Arial" w:hAnsi="Arial" w:cs="Arial"/>
          <w:sz w:val="20"/>
          <w:szCs w:val="20"/>
          <w:u w:val="single"/>
        </w:rPr>
        <w:t>pasivos</w:t>
      </w:r>
      <w:r w:rsidR="00D72785" w:rsidRPr="00AC4AEA">
        <w:rPr>
          <w:rFonts w:ascii="Arial" w:hAnsi="Arial" w:cs="Arial"/>
          <w:sz w:val="20"/>
          <w:szCs w:val="20"/>
          <w:u w:val="single"/>
        </w:rPr>
        <w:t xml:space="preserve"> por impuestos diferidos</w:t>
      </w:r>
      <w:r w:rsidR="00D72785" w:rsidRPr="00AC4AEA">
        <w:rPr>
          <w:rFonts w:ascii="Arial" w:hAnsi="Arial" w:cs="Arial"/>
          <w:sz w:val="20"/>
          <w:szCs w:val="20"/>
        </w:rPr>
        <w:t>”</w:t>
      </w:r>
      <w:r w:rsidR="00C1481D" w:rsidRPr="00AC4AEA">
        <w:rPr>
          <w:rFonts w:ascii="Arial" w:hAnsi="Arial" w:cs="Arial"/>
          <w:sz w:val="20"/>
          <w:szCs w:val="20"/>
        </w:rPr>
        <w:t xml:space="preserve"> [ver </w:t>
      </w:r>
      <w:r w:rsidR="00D922C4">
        <w:rPr>
          <w:rFonts w:ascii="Arial" w:hAnsi="Arial" w:cs="Arial"/>
          <w:sz w:val="20"/>
          <w:szCs w:val="20"/>
        </w:rPr>
        <w:t xml:space="preserve">el </w:t>
      </w:r>
      <w:r w:rsidR="00C1481D" w:rsidRPr="00AC4AEA">
        <w:rPr>
          <w:rFonts w:ascii="Arial" w:hAnsi="Arial" w:cs="Arial"/>
          <w:sz w:val="20"/>
          <w:szCs w:val="20"/>
        </w:rPr>
        <w:t xml:space="preserve">párrafo </w:t>
      </w:r>
      <w:fldSimple w:instr=" REF _Ref99492313 \r \h  \* MERGEFORMAT ">
        <w:r w:rsidR="00D33A5D" w:rsidRPr="00D33A5D">
          <w:rPr>
            <w:rFonts w:ascii="Arial" w:hAnsi="Arial" w:cs="Arial"/>
            <w:sz w:val="20"/>
            <w:szCs w:val="20"/>
          </w:rPr>
          <w:t>582</w:t>
        </w:r>
      </w:fldSimple>
      <w:r w:rsidR="00C1481D" w:rsidRPr="00AC4AEA">
        <w:rPr>
          <w:rFonts w:ascii="Arial" w:hAnsi="Arial" w:cs="Arial"/>
          <w:sz w:val="20"/>
          <w:szCs w:val="20"/>
        </w:rPr>
        <w:t>]</w:t>
      </w:r>
      <w:r w:rsidR="00F83EF7" w:rsidRPr="00AC4AEA">
        <w:rPr>
          <w:rFonts w:ascii="Arial" w:hAnsi="Arial" w:cs="Arial"/>
          <w:sz w:val="20"/>
          <w:szCs w:val="20"/>
        </w:rPr>
        <w:t xml:space="preserve"> </w:t>
      </w:r>
      <w:r w:rsidR="00E42DDE" w:rsidRPr="00AC4AEA">
        <w:rPr>
          <w:rFonts w:ascii="Arial" w:hAnsi="Arial" w:cs="Arial"/>
          <w:sz w:val="20"/>
          <w:szCs w:val="20"/>
        </w:rPr>
        <w:t>y</w:t>
      </w:r>
      <w:r w:rsidR="00F83EF7" w:rsidRPr="00AC4AEA">
        <w:rPr>
          <w:rFonts w:ascii="Arial" w:hAnsi="Arial" w:cs="Arial"/>
          <w:sz w:val="20"/>
          <w:szCs w:val="20"/>
        </w:rPr>
        <w:t xml:space="preserve"> “</w:t>
      </w:r>
      <w:r w:rsidR="00F83EF7" w:rsidRPr="00AC4AEA">
        <w:rPr>
          <w:rFonts w:ascii="Arial" w:hAnsi="Arial" w:cs="Arial"/>
          <w:sz w:val="20"/>
          <w:szCs w:val="20"/>
          <w:u w:val="single"/>
        </w:rPr>
        <w:t xml:space="preserve">Excepciones al reconocimiento de </w:t>
      </w:r>
      <w:r w:rsidR="00497590" w:rsidRPr="00AC4AEA">
        <w:rPr>
          <w:rFonts w:ascii="Arial" w:hAnsi="Arial" w:cs="Arial"/>
          <w:sz w:val="20"/>
          <w:szCs w:val="20"/>
          <w:u w:val="single"/>
        </w:rPr>
        <w:t>activos</w:t>
      </w:r>
      <w:r w:rsidR="00F83EF7" w:rsidRPr="00AC4AEA">
        <w:rPr>
          <w:rFonts w:ascii="Arial" w:hAnsi="Arial" w:cs="Arial"/>
          <w:sz w:val="20"/>
          <w:szCs w:val="20"/>
          <w:u w:val="single"/>
        </w:rPr>
        <w:t xml:space="preserve"> por impuestos diferidos</w:t>
      </w:r>
      <w:r w:rsidR="00F83EF7" w:rsidRPr="00AC4AEA">
        <w:rPr>
          <w:rFonts w:ascii="Arial" w:hAnsi="Arial" w:cs="Arial"/>
          <w:sz w:val="20"/>
          <w:szCs w:val="20"/>
        </w:rPr>
        <w:t>”</w:t>
      </w:r>
      <w:r w:rsidR="00C1481D" w:rsidRPr="00AC4AEA">
        <w:rPr>
          <w:rFonts w:ascii="Arial" w:hAnsi="Arial" w:cs="Arial"/>
          <w:sz w:val="20"/>
          <w:szCs w:val="20"/>
        </w:rPr>
        <w:t xml:space="preserve"> [ver </w:t>
      </w:r>
      <w:r w:rsidR="00D922C4">
        <w:rPr>
          <w:rFonts w:ascii="Arial" w:hAnsi="Arial" w:cs="Arial"/>
          <w:sz w:val="20"/>
          <w:szCs w:val="20"/>
        </w:rPr>
        <w:t xml:space="preserve">el </w:t>
      </w:r>
      <w:r w:rsidR="00C1481D" w:rsidRPr="00AC4AEA">
        <w:rPr>
          <w:rFonts w:ascii="Arial" w:hAnsi="Arial" w:cs="Arial"/>
          <w:sz w:val="20"/>
          <w:szCs w:val="20"/>
        </w:rPr>
        <w:t xml:space="preserve">párrafo </w:t>
      </w:r>
      <w:fldSimple w:instr=" REF _Ref99492316 \r \h  \* MERGEFORMAT ">
        <w:r w:rsidR="00D33A5D" w:rsidRPr="00D33A5D">
          <w:rPr>
            <w:rFonts w:ascii="Arial" w:hAnsi="Arial" w:cs="Arial"/>
            <w:sz w:val="20"/>
            <w:szCs w:val="20"/>
          </w:rPr>
          <w:t>584</w:t>
        </w:r>
      </w:fldSimple>
      <w:r w:rsidR="00C1481D" w:rsidRPr="00AC4AEA">
        <w:rPr>
          <w:rFonts w:ascii="Arial" w:hAnsi="Arial" w:cs="Arial"/>
          <w:sz w:val="20"/>
          <w:szCs w:val="20"/>
        </w:rPr>
        <w:t>]</w:t>
      </w:r>
      <w:r w:rsidR="000F7EF2" w:rsidRPr="00AC4AEA">
        <w:rPr>
          <w:rFonts w:ascii="Arial" w:hAnsi="Arial" w:cs="Arial"/>
          <w:sz w:val="20"/>
          <w:szCs w:val="20"/>
        </w:rPr>
        <w:t>;</w:t>
      </w:r>
    </w:p>
    <w:p w:rsidR="00C023A8" w:rsidRPr="00AC4AEA" w:rsidRDefault="00C023A8"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 xml:space="preserve">el importe y fecha de validez, si la tuviera, de las diferencias temporarias deducibles y pérdidas fiscales no utilizadas para los cuales no se hayan reconocido activos por impuestos diferidos en el estado de situación patrimonial, en la medida en que la falta de reconocimiento no se derive de las excepciones contempladas del párrafo </w:t>
      </w:r>
      <w:fldSimple w:instr=" REF _Ref99492316 \r \h  \* MERGEFORMAT ">
        <w:r w:rsidR="00D33A5D" w:rsidRPr="00D33A5D">
          <w:rPr>
            <w:rFonts w:ascii="Arial" w:hAnsi="Arial" w:cs="Arial"/>
            <w:sz w:val="20"/>
            <w:szCs w:val="20"/>
          </w:rPr>
          <w:t>584</w:t>
        </w:r>
      </w:fldSimple>
      <w:r w:rsidRPr="00AC4AEA">
        <w:rPr>
          <w:rFonts w:ascii="Arial" w:hAnsi="Arial" w:cs="Arial"/>
          <w:sz w:val="20"/>
          <w:szCs w:val="20"/>
        </w:rPr>
        <w:t xml:space="preserve">; </w:t>
      </w:r>
    </w:p>
    <w:p w:rsidR="000F7EF2" w:rsidRPr="00AC4AEA" w:rsidRDefault="000F7EF2" w:rsidP="00A318EA">
      <w:pPr>
        <w:pStyle w:val="Prrafodelista"/>
        <w:numPr>
          <w:ilvl w:val="0"/>
          <w:numId w:val="175"/>
        </w:numPr>
        <w:ind w:left="1560"/>
        <w:contextualSpacing w:val="0"/>
        <w:jc w:val="both"/>
        <w:rPr>
          <w:rFonts w:ascii="Arial" w:hAnsi="Arial" w:cs="Arial"/>
          <w:sz w:val="20"/>
          <w:szCs w:val="20"/>
        </w:rPr>
      </w:pPr>
      <w:r w:rsidRPr="00AC4AEA">
        <w:rPr>
          <w:rFonts w:ascii="Arial" w:hAnsi="Arial" w:cs="Arial"/>
          <w:sz w:val="20"/>
          <w:szCs w:val="20"/>
        </w:rPr>
        <w:t xml:space="preserve">si la entidad optó por medir los </w:t>
      </w:r>
      <w:r w:rsidR="00497590" w:rsidRPr="00AC4AEA">
        <w:rPr>
          <w:rFonts w:ascii="Arial" w:hAnsi="Arial" w:cs="Arial"/>
          <w:sz w:val="20"/>
          <w:szCs w:val="20"/>
        </w:rPr>
        <w:t>activos</w:t>
      </w:r>
      <w:r w:rsidRPr="00AC4AEA">
        <w:rPr>
          <w:rFonts w:ascii="Arial" w:hAnsi="Arial" w:cs="Arial"/>
          <w:sz w:val="20"/>
          <w:szCs w:val="20"/>
        </w:rPr>
        <w:t xml:space="preserve"> y </w:t>
      </w:r>
      <w:r w:rsidR="00497590" w:rsidRPr="00AC4AEA">
        <w:rPr>
          <w:rFonts w:ascii="Arial" w:hAnsi="Arial" w:cs="Arial"/>
          <w:sz w:val="20"/>
          <w:szCs w:val="20"/>
        </w:rPr>
        <w:t>pasivos</w:t>
      </w:r>
      <w:r w:rsidRPr="00AC4AEA">
        <w:rPr>
          <w:rFonts w:ascii="Arial" w:hAnsi="Arial" w:cs="Arial"/>
          <w:sz w:val="20"/>
          <w:szCs w:val="20"/>
        </w:rPr>
        <w:t xml:space="preserve"> diferidos a su valor actual:</w:t>
      </w:r>
    </w:p>
    <w:p w:rsidR="000F7EF2" w:rsidRPr="00AC4AEA" w:rsidRDefault="000F7EF2" w:rsidP="00A318EA">
      <w:pPr>
        <w:pStyle w:val="Prrafodelista"/>
        <w:numPr>
          <w:ilvl w:val="0"/>
          <w:numId w:val="303"/>
        </w:numPr>
        <w:contextualSpacing w:val="0"/>
        <w:jc w:val="both"/>
        <w:rPr>
          <w:rFonts w:ascii="Arial" w:hAnsi="Arial" w:cs="Arial"/>
          <w:sz w:val="20"/>
          <w:szCs w:val="20"/>
        </w:rPr>
      </w:pPr>
      <w:r w:rsidRPr="00AC4AEA">
        <w:rPr>
          <w:rFonts w:ascii="Arial" w:hAnsi="Arial" w:cs="Arial"/>
          <w:sz w:val="20"/>
          <w:szCs w:val="20"/>
        </w:rPr>
        <w:t xml:space="preserve">su valor nominal y su valor descontado clasificado por año </w:t>
      </w:r>
      <w:r w:rsidR="00C023A8" w:rsidRPr="00AC4AEA">
        <w:rPr>
          <w:rFonts w:ascii="Arial" w:hAnsi="Arial" w:cs="Arial"/>
          <w:sz w:val="20"/>
          <w:szCs w:val="20"/>
        </w:rPr>
        <w:t>durante el cual</w:t>
      </w:r>
      <w:r w:rsidRPr="00AC4AEA">
        <w:rPr>
          <w:rFonts w:ascii="Arial" w:hAnsi="Arial" w:cs="Arial"/>
          <w:sz w:val="20"/>
          <w:szCs w:val="20"/>
        </w:rPr>
        <w:t xml:space="preserve"> se estima </w:t>
      </w:r>
      <w:r w:rsidR="00C023A8" w:rsidRPr="00AC4AEA">
        <w:rPr>
          <w:rFonts w:ascii="Arial" w:hAnsi="Arial" w:cs="Arial"/>
          <w:sz w:val="20"/>
          <w:szCs w:val="20"/>
        </w:rPr>
        <w:t>tendrá lugar</w:t>
      </w:r>
      <w:r w:rsidRPr="00AC4AEA">
        <w:rPr>
          <w:rFonts w:ascii="Arial" w:hAnsi="Arial" w:cs="Arial"/>
          <w:sz w:val="20"/>
          <w:szCs w:val="20"/>
        </w:rPr>
        <w:t xml:space="preserve"> su reversión;</w:t>
      </w:r>
    </w:p>
    <w:p w:rsidR="000F7EF2" w:rsidRPr="00AC4AEA" w:rsidRDefault="000F7EF2" w:rsidP="00A318EA">
      <w:pPr>
        <w:pStyle w:val="Prrafodelista"/>
        <w:numPr>
          <w:ilvl w:val="0"/>
          <w:numId w:val="303"/>
        </w:numPr>
        <w:contextualSpacing w:val="0"/>
        <w:jc w:val="both"/>
        <w:rPr>
          <w:rFonts w:ascii="Arial" w:hAnsi="Arial" w:cs="Arial"/>
          <w:sz w:val="20"/>
          <w:szCs w:val="20"/>
        </w:rPr>
      </w:pPr>
      <w:r w:rsidRPr="00AC4AEA">
        <w:rPr>
          <w:rFonts w:ascii="Arial" w:hAnsi="Arial" w:cs="Arial"/>
          <w:sz w:val="20"/>
          <w:szCs w:val="20"/>
        </w:rPr>
        <w:t>la tasa de interés utilizada en el descuento</w:t>
      </w:r>
      <w:r w:rsidR="00C023A8" w:rsidRPr="00AC4AEA">
        <w:rPr>
          <w:rFonts w:ascii="Arial" w:hAnsi="Arial" w:cs="Arial"/>
          <w:sz w:val="20"/>
          <w:szCs w:val="20"/>
        </w:rPr>
        <w:t>.</w:t>
      </w:r>
    </w:p>
    <w:p w:rsidR="001368A4" w:rsidRPr="00AC4AEA" w:rsidRDefault="001368A4" w:rsidP="00A318EA">
      <w:pPr>
        <w:pStyle w:val="Prrafodelista"/>
        <w:ind w:left="1985"/>
        <w:contextualSpacing w:val="0"/>
        <w:jc w:val="both"/>
        <w:rPr>
          <w:rFonts w:ascii="Arial" w:hAnsi="Arial" w:cs="Arial"/>
          <w:sz w:val="20"/>
          <w:szCs w:val="20"/>
        </w:rPr>
      </w:pPr>
    </w:p>
    <w:p w:rsidR="0076070A" w:rsidRPr="00AC4AEA" w:rsidRDefault="0076070A" w:rsidP="00A318EA">
      <w:pPr>
        <w:pStyle w:val="Ttulo2"/>
        <w:rPr>
          <w:rFonts w:cs="Arial"/>
        </w:rPr>
      </w:pPr>
      <w:bookmarkStart w:id="855" w:name="_Toc139356879"/>
      <w:r w:rsidRPr="00AC4AEA">
        <w:rPr>
          <w:rFonts w:cs="Arial"/>
        </w:rPr>
        <w:t>Otras normas aplicables</w:t>
      </w:r>
      <w:bookmarkEnd w:id="855"/>
    </w:p>
    <w:p w:rsidR="0076070A" w:rsidRPr="00AC4AEA" w:rsidRDefault="0076070A" w:rsidP="00A318EA">
      <w:pPr>
        <w:pStyle w:val="Prrafodelista"/>
        <w:numPr>
          <w:ilvl w:val="0"/>
          <w:numId w:val="29"/>
        </w:numPr>
        <w:ind w:left="992"/>
        <w:contextualSpacing w:val="0"/>
        <w:jc w:val="both"/>
        <w:rPr>
          <w:rFonts w:ascii="Arial" w:hAnsi="Arial" w:cs="Arial"/>
          <w:sz w:val="20"/>
          <w:szCs w:val="20"/>
        </w:rPr>
      </w:pPr>
      <w:bookmarkStart w:id="856" w:name="_Ref135737673"/>
      <w:r w:rsidRPr="00AC4AEA">
        <w:rPr>
          <w:rFonts w:ascii="Arial" w:hAnsi="Arial" w:cs="Arial"/>
          <w:sz w:val="20"/>
          <w:szCs w:val="20"/>
        </w:rPr>
        <w:t xml:space="preserve">Para aplicar los requerimientos establecidos en esta sección, una entidad deberá contemplar, en tanto resulten pertinentes y no contradigan lo establecido en esta sección, otras disposiciones de esta Resolución Técnica u </w:t>
      </w:r>
      <w:r w:rsidRPr="00AC4AEA">
        <w:rPr>
          <w:rFonts w:ascii="Arial" w:hAnsi="Arial" w:cs="Arial"/>
          <w:b/>
          <w:bCs/>
          <w:sz w:val="20"/>
          <w:szCs w:val="20"/>
        </w:rPr>
        <w:t>otras normas contables</w:t>
      </w:r>
      <w:r w:rsidRPr="00AC4AEA">
        <w:rPr>
          <w:rFonts w:ascii="Arial" w:hAnsi="Arial" w:cs="Arial"/>
          <w:sz w:val="20"/>
          <w:szCs w:val="20"/>
        </w:rPr>
        <w:t>. Por ejemplo, las referidas a:</w:t>
      </w:r>
      <w:bookmarkEnd w:id="856"/>
      <w:r w:rsidRPr="00AC4AEA">
        <w:rPr>
          <w:rFonts w:ascii="Arial" w:hAnsi="Arial" w:cs="Arial"/>
          <w:sz w:val="20"/>
          <w:szCs w:val="20"/>
        </w:rPr>
        <w:t xml:space="preserve"> </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331D6E">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331D6E"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Cuestiones referidas al estado de resultados</w:t>
      </w:r>
      <w:r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Pr="00AC4AEA">
        <w:rPr>
          <w:rFonts w:ascii="Arial" w:hAnsi="Arial" w:cs="Arial"/>
          <w:sz w:val="20"/>
          <w:szCs w:val="20"/>
        </w:rPr>
        <w:t>].</w:t>
      </w:r>
    </w:p>
    <w:p w:rsidR="00AE7883" w:rsidRPr="00AC4AEA" w:rsidRDefault="00AE7883" w:rsidP="00A318EA">
      <w:pPr>
        <w:pStyle w:val="Ttulo1"/>
        <w:rPr>
          <w:rFonts w:cs="Arial"/>
          <w:sz w:val="20"/>
          <w:szCs w:val="20"/>
        </w:rPr>
      </w:pPr>
      <w:bookmarkStart w:id="857" w:name="reestructuraciones"/>
      <w:bookmarkStart w:id="858" w:name="_Toc101863988"/>
      <w:bookmarkEnd w:id="857"/>
    </w:p>
    <w:p w:rsidR="0090400F" w:rsidRPr="00AC4AEA" w:rsidRDefault="00002197" w:rsidP="00A318EA">
      <w:pPr>
        <w:pStyle w:val="Ttulo1"/>
        <w:rPr>
          <w:rFonts w:cs="Arial"/>
          <w:sz w:val="20"/>
          <w:szCs w:val="20"/>
        </w:rPr>
      </w:pPr>
      <w:bookmarkStart w:id="859" w:name="_Toc139356880"/>
      <w:r w:rsidRPr="00AC4AEA">
        <w:rPr>
          <w:rFonts w:cs="Arial"/>
          <w:sz w:val="20"/>
          <w:szCs w:val="20"/>
        </w:rPr>
        <w:t>REESTRUCTURACIONES</w:t>
      </w:r>
      <w:bookmarkEnd w:id="858"/>
      <w:bookmarkEnd w:id="859"/>
    </w:p>
    <w:p w:rsidR="00DE52D4" w:rsidRPr="00AC4AEA" w:rsidRDefault="00DE52D4" w:rsidP="00A318EA">
      <w:pPr>
        <w:pStyle w:val="Ttulo2"/>
        <w:rPr>
          <w:rFonts w:cs="Arial"/>
        </w:rPr>
      </w:pPr>
      <w:bookmarkStart w:id="860" w:name="_Toc101863989"/>
      <w:bookmarkStart w:id="861" w:name="_Toc139356881"/>
      <w:r w:rsidRPr="00AC4AEA">
        <w:rPr>
          <w:rFonts w:cs="Arial"/>
        </w:rPr>
        <w:t>Reconocimiento y medición</w:t>
      </w:r>
      <w:bookmarkEnd w:id="860"/>
      <w:bookmarkEnd w:id="861"/>
    </w:p>
    <w:p w:rsidR="003963D6" w:rsidRPr="00AC4AEA" w:rsidRDefault="003963D6" w:rsidP="00A318EA">
      <w:pPr>
        <w:pStyle w:val="Prrafodelista"/>
        <w:numPr>
          <w:ilvl w:val="0"/>
          <w:numId w:val="29"/>
        </w:numPr>
        <w:contextualSpacing w:val="0"/>
        <w:jc w:val="both"/>
        <w:rPr>
          <w:rFonts w:ascii="Arial" w:hAnsi="Arial" w:cs="Arial"/>
          <w:sz w:val="20"/>
          <w:szCs w:val="20"/>
        </w:rPr>
      </w:pPr>
      <w:bookmarkStart w:id="862" w:name="_Ref103716914"/>
      <w:r w:rsidRPr="00AC4AEA">
        <w:rPr>
          <w:rFonts w:ascii="Arial" w:hAnsi="Arial" w:cs="Arial"/>
          <w:sz w:val="20"/>
          <w:szCs w:val="20"/>
        </w:rPr>
        <w:t>Una entidad reconocerá</w:t>
      </w:r>
      <w:r w:rsidR="00835565" w:rsidRPr="00AC4AEA">
        <w:rPr>
          <w:rFonts w:ascii="Arial" w:hAnsi="Arial" w:cs="Arial"/>
          <w:sz w:val="20"/>
          <w:szCs w:val="20"/>
        </w:rPr>
        <w:t xml:space="preserve"> </w:t>
      </w:r>
      <w:r w:rsidRPr="00AC4AEA">
        <w:rPr>
          <w:rFonts w:ascii="Arial" w:hAnsi="Arial" w:cs="Arial"/>
          <w:sz w:val="20"/>
          <w:szCs w:val="20"/>
        </w:rPr>
        <w:t xml:space="preserve">un </w:t>
      </w:r>
      <w:r w:rsidRPr="00AC4AEA">
        <w:rPr>
          <w:rFonts w:ascii="Arial" w:hAnsi="Arial" w:cs="Arial"/>
          <w:b/>
          <w:bCs/>
          <w:sz w:val="20"/>
          <w:szCs w:val="20"/>
        </w:rPr>
        <w:t xml:space="preserve">pasivo </w:t>
      </w:r>
      <w:r w:rsidRPr="00AC4AEA">
        <w:rPr>
          <w:rFonts w:ascii="Arial" w:hAnsi="Arial" w:cs="Arial"/>
          <w:sz w:val="20"/>
          <w:szCs w:val="20"/>
        </w:rPr>
        <w:t xml:space="preserve">con contrapartida en el resultado del </w:t>
      </w:r>
      <w:r w:rsidR="004C03C6" w:rsidRPr="00AC4AEA">
        <w:rPr>
          <w:rFonts w:ascii="Arial" w:hAnsi="Arial" w:cs="Arial"/>
          <w:sz w:val="20"/>
          <w:szCs w:val="20"/>
        </w:rPr>
        <w:t>período</w:t>
      </w:r>
      <w:r w:rsidRPr="00AC4AEA">
        <w:rPr>
          <w:rFonts w:ascii="Arial" w:hAnsi="Arial" w:cs="Arial"/>
          <w:sz w:val="20"/>
          <w:szCs w:val="20"/>
        </w:rPr>
        <w:t xml:space="preserve"> cuando, a la </w:t>
      </w:r>
      <w:r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Pr="00AC4AEA">
        <w:rPr>
          <w:rFonts w:ascii="Arial" w:hAnsi="Arial" w:cs="Arial"/>
          <w:sz w:val="20"/>
          <w:szCs w:val="20"/>
        </w:rPr>
        <w:t>:</w:t>
      </w:r>
      <w:bookmarkEnd w:id="862"/>
    </w:p>
    <w:p w:rsidR="003963D6" w:rsidRPr="00AC4AEA" w:rsidRDefault="00061388" w:rsidP="00A318EA">
      <w:pPr>
        <w:pStyle w:val="Prrafodelista"/>
        <w:numPr>
          <w:ilvl w:val="0"/>
          <w:numId w:val="177"/>
        </w:numPr>
        <w:ind w:left="1560"/>
        <w:contextualSpacing w:val="0"/>
        <w:jc w:val="both"/>
        <w:rPr>
          <w:rFonts w:ascii="Arial" w:hAnsi="Arial" w:cs="Arial"/>
          <w:sz w:val="20"/>
          <w:szCs w:val="20"/>
        </w:rPr>
      </w:pPr>
      <w:r w:rsidRPr="00AC4AEA">
        <w:rPr>
          <w:rFonts w:ascii="Arial" w:hAnsi="Arial" w:cs="Arial"/>
          <w:sz w:val="20"/>
          <w:szCs w:val="20"/>
        </w:rPr>
        <w:t>d</w:t>
      </w:r>
      <w:r w:rsidR="003963D6" w:rsidRPr="00AC4AEA">
        <w:rPr>
          <w:rFonts w:ascii="Arial" w:hAnsi="Arial" w:cs="Arial"/>
          <w:sz w:val="20"/>
          <w:szCs w:val="20"/>
        </w:rPr>
        <w:t>ecidió un cambio del alcance de la actividad d</w:t>
      </w:r>
      <w:r w:rsidR="00C60041" w:rsidRPr="00AC4AEA">
        <w:rPr>
          <w:rFonts w:ascii="Arial" w:hAnsi="Arial" w:cs="Arial"/>
          <w:sz w:val="20"/>
          <w:szCs w:val="20"/>
        </w:rPr>
        <w:t>e la entidad</w:t>
      </w:r>
      <w:r w:rsidR="003963D6" w:rsidRPr="00AC4AEA">
        <w:rPr>
          <w:rFonts w:ascii="Arial" w:hAnsi="Arial" w:cs="Arial"/>
          <w:sz w:val="20"/>
          <w:szCs w:val="20"/>
        </w:rPr>
        <w:t xml:space="preserve"> o de la manera de llevarla a cabo, que incluye uno o más de los siguientes aspectos:</w:t>
      </w:r>
    </w:p>
    <w:p w:rsidR="003963D6" w:rsidRPr="00AC4AEA" w:rsidRDefault="00495E06" w:rsidP="00A318EA">
      <w:pPr>
        <w:pStyle w:val="Prrafodelista"/>
        <w:numPr>
          <w:ilvl w:val="0"/>
          <w:numId w:val="178"/>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a reestructuración organizativa de la entidad, mediante eliminación de niveles gerenciales o reducción significativa de la cantidad del personal</w:t>
      </w:r>
      <w:r w:rsidRPr="00AC4AEA">
        <w:rPr>
          <w:rFonts w:ascii="Arial" w:hAnsi="Arial" w:cs="Arial"/>
          <w:sz w:val="20"/>
          <w:szCs w:val="20"/>
        </w:rPr>
        <w:t>.</w:t>
      </w:r>
    </w:p>
    <w:p w:rsidR="003963D6" w:rsidRPr="00AC4AEA" w:rsidRDefault="00495E06" w:rsidP="00A318EA">
      <w:pPr>
        <w:pStyle w:val="Prrafodelista"/>
        <w:numPr>
          <w:ilvl w:val="0"/>
          <w:numId w:val="178"/>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a discontinuación de las actividades productivas o comerciales llevadas a cabo en determinadas localizaciones</w:t>
      </w:r>
      <w:r w:rsidRPr="00AC4AEA">
        <w:rPr>
          <w:rFonts w:ascii="Arial" w:hAnsi="Arial" w:cs="Arial"/>
          <w:sz w:val="20"/>
          <w:szCs w:val="20"/>
        </w:rPr>
        <w:t>.</w:t>
      </w:r>
    </w:p>
    <w:p w:rsidR="003963D6" w:rsidRPr="00AC4AEA" w:rsidRDefault="00495E06" w:rsidP="00A318EA">
      <w:pPr>
        <w:pStyle w:val="Prrafodelista"/>
        <w:numPr>
          <w:ilvl w:val="0"/>
          <w:numId w:val="178"/>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a eliminación de líneas de productos</w:t>
      </w:r>
      <w:r w:rsidRPr="00AC4AEA">
        <w:rPr>
          <w:rFonts w:ascii="Arial" w:hAnsi="Arial" w:cs="Arial"/>
          <w:sz w:val="20"/>
          <w:szCs w:val="20"/>
        </w:rPr>
        <w:t>.</w:t>
      </w:r>
    </w:p>
    <w:p w:rsidR="003963D6" w:rsidRPr="00AC4AEA" w:rsidRDefault="00495E06" w:rsidP="00A318EA">
      <w:pPr>
        <w:pStyle w:val="Prrafodelista"/>
        <w:numPr>
          <w:ilvl w:val="0"/>
          <w:numId w:val="178"/>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a cancelación unilateral de contratos importantes</w:t>
      </w:r>
      <w:r w:rsidR="00061388" w:rsidRPr="00AC4AEA">
        <w:rPr>
          <w:rFonts w:ascii="Arial" w:hAnsi="Arial" w:cs="Arial"/>
          <w:sz w:val="20"/>
          <w:szCs w:val="20"/>
        </w:rPr>
        <w:t>;</w:t>
      </w:r>
    </w:p>
    <w:p w:rsidR="003963D6" w:rsidRPr="00AC4AEA" w:rsidRDefault="00061388" w:rsidP="00A318EA">
      <w:pPr>
        <w:pStyle w:val="Prrafodelista"/>
        <w:numPr>
          <w:ilvl w:val="0"/>
          <w:numId w:val="177"/>
        </w:numPr>
        <w:ind w:left="1560"/>
        <w:contextualSpacing w:val="0"/>
        <w:jc w:val="both"/>
        <w:rPr>
          <w:rFonts w:ascii="Arial" w:hAnsi="Arial" w:cs="Arial"/>
          <w:sz w:val="20"/>
          <w:szCs w:val="20"/>
        </w:rPr>
      </w:pPr>
      <w:r w:rsidRPr="00AC4AEA">
        <w:rPr>
          <w:rFonts w:ascii="Arial" w:hAnsi="Arial" w:cs="Arial"/>
          <w:sz w:val="20"/>
          <w:szCs w:val="20"/>
        </w:rPr>
        <w:t>e</w:t>
      </w:r>
      <w:r w:rsidR="003963D6" w:rsidRPr="00AC4AEA">
        <w:rPr>
          <w:rFonts w:ascii="Arial" w:hAnsi="Arial" w:cs="Arial"/>
          <w:sz w:val="20"/>
          <w:szCs w:val="20"/>
        </w:rPr>
        <w:t>laboró un programa detallado de reestructuración mediante el cual identifica:</w:t>
      </w:r>
    </w:p>
    <w:p w:rsidR="003963D6" w:rsidRPr="00AC4AEA" w:rsidRDefault="00AB7700" w:rsidP="00A318EA">
      <w:pPr>
        <w:pStyle w:val="Prrafodelista"/>
        <w:numPr>
          <w:ilvl w:val="0"/>
          <w:numId w:val="179"/>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 xml:space="preserve">as actividades </w:t>
      </w:r>
      <w:r w:rsidR="000712E0" w:rsidRPr="00AC4AEA">
        <w:rPr>
          <w:rFonts w:ascii="Arial" w:hAnsi="Arial" w:cs="Arial"/>
          <w:sz w:val="20"/>
          <w:szCs w:val="20"/>
        </w:rPr>
        <w:t xml:space="preserve">involucradas </w:t>
      </w:r>
      <w:r w:rsidR="003963D6" w:rsidRPr="00AC4AEA">
        <w:rPr>
          <w:rFonts w:ascii="Arial" w:hAnsi="Arial" w:cs="Arial"/>
          <w:sz w:val="20"/>
          <w:szCs w:val="20"/>
        </w:rPr>
        <w:t>(por ejemplo: las líneas de negocios que van a ser vendidas o liquidadas);</w:t>
      </w:r>
    </w:p>
    <w:p w:rsidR="003963D6" w:rsidRPr="00AC4AEA" w:rsidRDefault="00AB7700" w:rsidP="00A318EA">
      <w:pPr>
        <w:pStyle w:val="Prrafodelista"/>
        <w:numPr>
          <w:ilvl w:val="0"/>
          <w:numId w:val="179"/>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as principales localizaciones afectadas (por ejemplo: los países o regiones donde se efectúan actividades que serán d</w:t>
      </w:r>
      <w:r w:rsidR="00F83EF7" w:rsidRPr="00AC4AEA">
        <w:rPr>
          <w:rFonts w:ascii="Arial" w:hAnsi="Arial" w:cs="Arial"/>
          <w:sz w:val="20"/>
          <w:szCs w:val="20"/>
        </w:rPr>
        <w:t>i</w:t>
      </w:r>
      <w:r w:rsidR="003963D6" w:rsidRPr="00AC4AEA">
        <w:rPr>
          <w:rFonts w:ascii="Arial" w:hAnsi="Arial" w:cs="Arial"/>
          <w:sz w:val="20"/>
          <w:szCs w:val="20"/>
        </w:rPr>
        <w:t>scontinuadas o trasladadas);</w:t>
      </w:r>
    </w:p>
    <w:p w:rsidR="003963D6" w:rsidRPr="00AC4AEA" w:rsidRDefault="00AB7700" w:rsidP="00A318EA">
      <w:pPr>
        <w:pStyle w:val="Prrafodelista"/>
        <w:numPr>
          <w:ilvl w:val="0"/>
          <w:numId w:val="179"/>
        </w:numPr>
        <w:ind w:left="1985"/>
        <w:contextualSpacing w:val="0"/>
        <w:jc w:val="both"/>
        <w:rPr>
          <w:rFonts w:ascii="Arial" w:hAnsi="Arial" w:cs="Arial"/>
          <w:sz w:val="20"/>
          <w:szCs w:val="20"/>
        </w:rPr>
      </w:pPr>
      <w:r w:rsidRPr="00AC4AEA">
        <w:rPr>
          <w:rFonts w:ascii="Arial" w:hAnsi="Arial" w:cs="Arial"/>
          <w:sz w:val="20"/>
          <w:szCs w:val="20"/>
        </w:rPr>
        <w:t>e</w:t>
      </w:r>
      <w:r w:rsidR="003963D6" w:rsidRPr="00AC4AEA">
        <w:rPr>
          <w:rFonts w:ascii="Arial" w:hAnsi="Arial" w:cs="Arial"/>
          <w:sz w:val="20"/>
          <w:szCs w:val="20"/>
        </w:rPr>
        <w:t>l número aproximado de empleados que recibirán compensaciones por la finalización de sus servicios, así como los lugares donde trabajan y sus funciones;</w:t>
      </w:r>
    </w:p>
    <w:p w:rsidR="003963D6" w:rsidRPr="00AC4AEA" w:rsidRDefault="00AB7700" w:rsidP="00A318EA">
      <w:pPr>
        <w:pStyle w:val="Prrafodelista"/>
        <w:numPr>
          <w:ilvl w:val="0"/>
          <w:numId w:val="179"/>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os desembolsos a efectuar</w:t>
      </w:r>
      <w:r w:rsidR="002400FF" w:rsidRPr="00AC4AEA">
        <w:rPr>
          <w:rFonts w:ascii="Arial" w:hAnsi="Arial" w:cs="Arial"/>
          <w:sz w:val="20"/>
          <w:szCs w:val="20"/>
        </w:rPr>
        <w:t>;</w:t>
      </w:r>
      <w:r w:rsidR="004234FA" w:rsidRPr="00AC4AEA">
        <w:rPr>
          <w:rFonts w:ascii="Arial" w:hAnsi="Arial" w:cs="Arial"/>
          <w:sz w:val="20"/>
          <w:szCs w:val="20"/>
        </w:rPr>
        <w:t xml:space="preserve"> y</w:t>
      </w:r>
    </w:p>
    <w:p w:rsidR="003963D6" w:rsidRPr="00AC4AEA" w:rsidRDefault="00AB7700" w:rsidP="00A318EA">
      <w:pPr>
        <w:pStyle w:val="Prrafodelista"/>
        <w:numPr>
          <w:ilvl w:val="0"/>
          <w:numId w:val="179"/>
        </w:numPr>
        <w:ind w:left="1985"/>
        <w:contextualSpacing w:val="0"/>
        <w:jc w:val="both"/>
        <w:rPr>
          <w:rFonts w:ascii="Arial" w:hAnsi="Arial" w:cs="Arial"/>
          <w:sz w:val="20"/>
          <w:szCs w:val="20"/>
        </w:rPr>
      </w:pPr>
      <w:r w:rsidRPr="00AC4AEA">
        <w:rPr>
          <w:rFonts w:ascii="Arial" w:hAnsi="Arial" w:cs="Arial"/>
          <w:sz w:val="20"/>
          <w:szCs w:val="20"/>
        </w:rPr>
        <w:t>e</w:t>
      </w:r>
      <w:r w:rsidR="003963D6" w:rsidRPr="00AC4AEA">
        <w:rPr>
          <w:rFonts w:ascii="Arial" w:hAnsi="Arial" w:cs="Arial"/>
          <w:sz w:val="20"/>
          <w:szCs w:val="20"/>
        </w:rPr>
        <w:t>l momento de implementación del plan</w:t>
      </w:r>
      <w:r w:rsidR="00061388" w:rsidRPr="00AC4AEA">
        <w:rPr>
          <w:rFonts w:ascii="Arial" w:hAnsi="Arial" w:cs="Arial"/>
          <w:sz w:val="20"/>
          <w:szCs w:val="20"/>
        </w:rPr>
        <w:t>;</w:t>
      </w:r>
    </w:p>
    <w:p w:rsidR="003963D6" w:rsidRPr="00AC4AEA" w:rsidRDefault="002400FF" w:rsidP="00A318EA">
      <w:pPr>
        <w:pStyle w:val="Prrafodelista"/>
        <w:numPr>
          <w:ilvl w:val="0"/>
          <w:numId w:val="177"/>
        </w:numPr>
        <w:ind w:left="1560"/>
        <w:contextualSpacing w:val="0"/>
        <w:jc w:val="both"/>
        <w:rPr>
          <w:rFonts w:ascii="Arial" w:hAnsi="Arial" w:cs="Arial"/>
          <w:sz w:val="20"/>
          <w:szCs w:val="20"/>
        </w:rPr>
      </w:pPr>
      <w:r w:rsidRPr="00AC4AEA">
        <w:rPr>
          <w:rFonts w:ascii="Arial" w:hAnsi="Arial" w:cs="Arial"/>
          <w:sz w:val="20"/>
          <w:szCs w:val="20"/>
        </w:rPr>
        <w:t>g</w:t>
      </w:r>
      <w:r w:rsidR="003963D6" w:rsidRPr="00AC4AEA">
        <w:rPr>
          <w:rFonts w:ascii="Arial" w:hAnsi="Arial" w:cs="Arial"/>
          <w:sz w:val="20"/>
          <w:szCs w:val="20"/>
        </w:rPr>
        <w:t>eneró en terceros la expectativa válida de que la entidad llevará a cabo la reestructuración, mediante:</w:t>
      </w:r>
    </w:p>
    <w:p w:rsidR="003963D6" w:rsidRPr="00AC4AEA" w:rsidRDefault="00AB7700" w:rsidP="00A318EA">
      <w:pPr>
        <w:pStyle w:val="Prrafodelista"/>
        <w:numPr>
          <w:ilvl w:val="0"/>
          <w:numId w:val="180"/>
        </w:numPr>
        <w:ind w:left="1985"/>
        <w:contextualSpacing w:val="0"/>
        <w:jc w:val="both"/>
        <w:rPr>
          <w:rFonts w:ascii="Arial" w:hAnsi="Arial" w:cs="Arial"/>
          <w:sz w:val="20"/>
          <w:szCs w:val="20"/>
        </w:rPr>
      </w:pPr>
      <w:r w:rsidRPr="00AC4AEA">
        <w:rPr>
          <w:rFonts w:ascii="Arial" w:hAnsi="Arial" w:cs="Arial"/>
          <w:sz w:val="20"/>
          <w:szCs w:val="20"/>
        </w:rPr>
        <w:t>e</w:t>
      </w:r>
      <w:r w:rsidR="003963D6" w:rsidRPr="00AC4AEA">
        <w:rPr>
          <w:rFonts w:ascii="Arial" w:hAnsi="Arial" w:cs="Arial"/>
          <w:sz w:val="20"/>
          <w:szCs w:val="20"/>
        </w:rPr>
        <w:t>l comienzo de su implementación</w:t>
      </w:r>
      <w:r w:rsidR="002400FF" w:rsidRPr="00AC4AEA">
        <w:rPr>
          <w:rFonts w:ascii="Arial" w:hAnsi="Arial" w:cs="Arial"/>
          <w:sz w:val="20"/>
          <w:szCs w:val="20"/>
        </w:rPr>
        <w:t>;</w:t>
      </w:r>
      <w:r w:rsidR="003963D6" w:rsidRPr="00AC4AEA">
        <w:rPr>
          <w:rFonts w:ascii="Arial" w:hAnsi="Arial" w:cs="Arial"/>
          <w:sz w:val="20"/>
          <w:szCs w:val="20"/>
        </w:rPr>
        <w:t xml:space="preserve"> o</w:t>
      </w:r>
    </w:p>
    <w:p w:rsidR="003963D6" w:rsidRPr="00AC4AEA" w:rsidRDefault="00AB7700" w:rsidP="00A318EA">
      <w:pPr>
        <w:pStyle w:val="Prrafodelista"/>
        <w:numPr>
          <w:ilvl w:val="0"/>
          <w:numId w:val="180"/>
        </w:numPr>
        <w:ind w:left="1985"/>
        <w:contextualSpacing w:val="0"/>
        <w:jc w:val="both"/>
        <w:rPr>
          <w:rFonts w:ascii="Arial" w:hAnsi="Arial" w:cs="Arial"/>
          <w:sz w:val="20"/>
          <w:szCs w:val="20"/>
        </w:rPr>
      </w:pPr>
      <w:r w:rsidRPr="00AC4AEA">
        <w:rPr>
          <w:rFonts w:ascii="Arial" w:hAnsi="Arial" w:cs="Arial"/>
          <w:sz w:val="20"/>
          <w:szCs w:val="20"/>
        </w:rPr>
        <w:t>e</w:t>
      </w:r>
      <w:r w:rsidR="003963D6" w:rsidRPr="00AC4AEA">
        <w:rPr>
          <w:rFonts w:ascii="Arial" w:hAnsi="Arial" w:cs="Arial"/>
          <w:sz w:val="20"/>
          <w:szCs w:val="20"/>
        </w:rPr>
        <w:t>l anuncio de sus aspectos principales a las personas afectadas (por ejemplo: clientes, proveedores, empleados o sindicatos)</w:t>
      </w:r>
      <w:r w:rsidR="002400FF" w:rsidRPr="00AC4AEA">
        <w:rPr>
          <w:rFonts w:ascii="Arial" w:hAnsi="Arial" w:cs="Arial"/>
          <w:sz w:val="20"/>
          <w:szCs w:val="20"/>
        </w:rPr>
        <w:t>; y</w:t>
      </w:r>
    </w:p>
    <w:p w:rsidR="003963D6" w:rsidRPr="00AC4AEA" w:rsidRDefault="002400FF" w:rsidP="00A318EA">
      <w:pPr>
        <w:pStyle w:val="Prrafodelista"/>
        <w:numPr>
          <w:ilvl w:val="0"/>
          <w:numId w:val="177"/>
        </w:numPr>
        <w:ind w:left="1560"/>
        <w:contextualSpacing w:val="0"/>
        <w:jc w:val="both"/>
        <w:rPr>
          <w:rFonts w:ascii="Arial" w:hAnsi="Arial" w:cs="Arial"/>
          <w:sz w:val="20"/>
          <w:szCs w:val="20"/>
        </w:rPr>
      </w:pPr>
      <w:r w:rsidRPr="00AC4AEA">
        <w:rPr>
          <w:rFonts w:ascii="Arial" w:hAnsi="Arial" w:cs="Arial"/>
          <w:sz w:val="20"/>
          <w:szCs w:val="20"/>
        </w:rPr>
        <w:t>p</w:t>
      </w:r>
      <w:r w:rsidR="00D01087" w:rsidRPr="00AC4AEA">
        <w:rPr>
          <w:rFonts w:ascii="Arial" w:hAnsi="Arial" w:cs="Arial"/>
          <w:sz w:val="20"/>
          <w:szCs w:val="20"/>
        </w:rPr>
        <w:t xml:space="preserve">revé implementar </w:t>
      </w:r>
      <w:r w:rsidR="003963D6" w:rsidRPr="00AC4AEA">
        <w:rPr>
          <w:rFonts w:ascii="Arial" w:hAnsi="Arial" w:cs="Arial"/>
          <w:sz w:val="20"/>
          <w:szCs w:val="20"/>
        </w:rPr>
        <w:t xml:space="preserve">el programa de reestructuración tan pronto como sea posible y </w:t>
      </w:r>
      <w:r w:rsidR="00D01087" w:rsidRPr="00AC4AEA">
        <w:rPr>
          <w:rFonts w:ascii="Arial" w:hAnsi="Arial" w:cs="Arial"/>
          <w:sz w:val="20"/>
          <w:szCs w:val="20"/>
        </w:rPr>
        <w:t>lo</w:t>
      </w:r>
      <w:r w:rsidR="003963D6" w:rsidRPr="00AC4AEA">
        <w:rPr>
          <w:rFonts w:ascii="Arial" w:hAnsi="Arial" w:cs="Arial"/>
          <w:sz w:val="20"/>
          <w:szCs w:val="20"/>
        </w:rPr>
        <w:t xml:space="preserve"> completará en un lapso tal que haga improbable la introducción de cambios significativos al plan.</w:t>
      </w:r>
    </w:p>
    <w:p w:rsidR="00D01087" w:rsidRPr="00AC4AEA" w:rsidRDefault="00D0108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Al reconocer un </w:t>
      </w:r>
      <w:r w:rsidRPr="00AC4AEA">
        <w:rPr>
          <w:rFonts w:ascii="Arial" w:hAnsi="Arial" w:cs="Arial"/>
          <w:b/>
          <w:bCs/>
          <w:sz w:val="20"/>
          <w:szCs w:val="20"/>
        </w:rPr>
        <w:t xml:space="preserve">pasivo </w:t>
      </w:r>
      <w:r w:rsidRPr="00AC4AEA">
        <w:rPr>
          <w:rFonts w:ascii="Arial" w:hAnsi="Arial" w:cs="Arial"/>
          <w:sz w:val="20"/>
          <w:szCs w:val="20"/>
        </w:rPr>
        <w:t>por reestructuración una entidad:</w:t>
      </w:r>
    </w:p>
    <w:p w:rsidR="003963D6" w:rsidRPr="00AC4AEA" w:rsidRDefault="00F93D17" w:rsidP="00A318EA">
      <w:pPr>
        <w:pStyle w:val="Prrafodelista"/>
        <w:numPr>
          <w:ilvl w:val="0"/>
          <w:numId w:val="181"/>
        </w:numPr>
        <w:ind w:left="1560"/>
        <w:contextualSpacing w:val="0"/>
        <w:jc w:val="both"/>
        <w:rPr>
          <w:rFonts w:ascii="Arial" w:hAnsi="Arial" w:cs="Arial"/>
          <w:sz w:val="20"/>
          <w:szCs w:val="20"/>
        </w:rPr>
      </w:pPr>
      <w:r w:rsidRPr="00AC4AEA">
        <w:rPr>
          <w:rFonts w:ascii="Arial" w:hAnsi="Arial" w:cs="Arial"/>
          <w:sz w:val="20"/>
          <w:szCs w:val="20"/>
        </w:rPr>
        <w:t>i</w:t>
      </w:r>
      <w:r w:rsidR="003963D6" w:rsidRPr="00AC4AEA">
        <w:rPr>
          <w:rFonts w:ascii="Arial" w:hAnsi="Arial" w:cs="Arial"/>
          <w:sz w:val="20"/>
          <w:szCs w:val="20"/>
        </w:rPr>
        <w:t>ncluir</w:t>
      </w:r>
      <w:r w:rsidR="00466C40" w:rsidRPr="00AC4AEA">
        <w:rPr>
          <w:rFonts w:ascii="Arial" w:hAnsi="Arial" w:cs="Arial"/>
          <w:sz w:val="20"/>
          <w:szCs w:val="20"/>
        </w:rPr>
        <w:t>á</w:t>
      </w:r>
      <w:r w:rsidR="003963D6" w:rsidRPr="00AC4AEA">
        <w:rPr>
          <w:rFonts w:ascii="Arial" w:hAnsi="Arial" w:cs="Arial"/>
          <w:sz w:val="20"/>
          <w:szCs w:val="20"/>
        </w:rPr>
        <w:t xml:space="preserve"> los costos directos que ella demande</w:t>
      </w:r>
      <w:r w:rsidR="002400FF" w:rsidRPr="00AC4AEA">
        <w:rPr>
          <w:rFonts w:ascii="Arial" w:hAnsi="Arial" w:cs="Arial"/>
          <w:sz w:val="20"/>
          <w:szCs w:val="20"/>
        </w:rPr>
        <w:t>;</w:t>
      </w:r>
      <w:r w:rsidR="004234FA" w:rsidRPr="00AC4AEA">
        <w:rPr>
          <w:rFonts w:ascii="Arial" w:hAnsi="Arial" w:cs="Arial"/>
          <w:sz w:val="20"/>
          <w:szCs w:val="20"/>
        </w:rPr>
        <w:t xml:space="preserve"> y</w:t>
      </w:r>
    </w:p>
    <w:p w:rsidR="003963D6" w:rsidRPr="00AC4AEA" w:rsidRDefault="00F93D17" w:rsidP="00A318EA">
      <w:pPr>
        <w:pStyle w:val="Prrafodelista"/>
        <w:numPr>
          <w:ilvl w:val="0"/>
          <w:numId w:val="181"/>
        </w:numPr>
        <w:ind w:left="1560"/>
        <w:contextualSpacing w:val="0"/>
        <w:jc w:val="both"/>
        <w:rPr>
          <w:rFonts w:ascii="Arial" w:hAnsi="Arial" w:cs="Arial"/>
          <w:sz w:val="20"/>
          <w:szCs w:val="20"/>
        </w:rPr>
      </w:pPr>
      <w:r w:rsidRPr="00AC4AEA">
        <w:rPr>
          <w:rFonts w:ascii="Arial" w:hAnsi="Arial" w:cs="Arial"/>
          <w:sz w:val="20"/>
          <w:szCs w:val="20"/>
        </w:rPr>
        <w:lastRenderedPageBreak/>
        <w:t>n</w:t>
      </w:r>
      <w:r w:rsidR="003963D6" w:rsidRPr="00AC4AEA">
        <w:rPr>
          <w:rFonts w:ascii="Arial" w:hAnsi="Arial" w:cs="Arial"/>
          <w:sz w:val="20"/>
          <w:szCs w:val="20"/>
        </w:rPr>
        <w:t xml:space="preserve">o </w:t>
      </w:r>
      <w:r w:rsidR="00DE52D4" w:rsidRPr="00AC4AEA">
        <w:rPr>
          <w:rFonts w:ascii="Arial" w:hAnsi="Arial" w:cs="Arial"/>
          <w:sz w:val="20"/>
          <w:szCs w:val="20"/>
        </w:rPr>
        <w:t>computar</w:t>
      </w:r>
      <w:r w:rsidR="00466C40" w:rsidRPr="00AC4AEA">
        <w:rPr>
          <w:rFonts w:ascii="Arial" w:hAnsi="Arial" w:cs="Arial"/>
          <w:sz w:val="20"/>
          <w:szCs w:val="20"/>
        </w:rPr>
        <w:t>á</w:t>
      </w:r>
      <w:r w:rsidR="003963D6" w:rsidRPr="00AC4AEA">
        <w:rPr>
          <w:rFonts w:ascii="Arial" w:hAnsi="Arial" w:cs="Arial"/>
          <w:sz w:val="20"/>
          <w:szCs w:val="20"/>
        </w:rPr>
        <w:t>:</w:t>
      </w:r>
    </w:p>
    <w:p w:rsidR="003963D6" w:rsidRPr="00AC4AEA" w:rsidRDefault="00F93D17" w:rsidP="00A318EA">
      <w:pPr>
        <w:pStyle w:val="Prrafodelista"/>
        <w:numPr>
          <w:ilvl w:val="0"/>
          <w:numId w:val="182"/>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os costos asociados con las actividades que se mantendrán (por ejemplo: los que ocasionen la capacitación o la reubicación de los empleados que continuarán prestando servicios, los de comercialización o publicidad o las inversiones en nuevos sistemas informáticos y redes de distribución);</w:t>
      </w:r>
      <w:r w:rsidR="00322537" w:rsidRPr="00AC4AEA">
        <w:rPr>
          <w:rFonts w:ascii="Arial" w:hAnsi="Arial" w:cs="Arial"/>
          <w:sz w:val="20"/>
          <w:szCs w:val="20"/>
        </w:rPr>
        <w:t xml:space="preserve"> y</w:t>
      </w:r>
    </w:p>
    <w:p w:rsidR="003963D6" w:rsidRPr="00AC4AEA" w:rsidRDefault="00F93D17" w:rsidP="00A318EA">
      <w:pPr>
        <w:pStyle w:val="Prrafodelista"/>
        <w:numPr>
          <w:ilvl w:val="0"/>
          <w:numId w:val="182"/>
        </w:numPr>
        <w:ind w:left="1985"/>
        <w:contextualSpacing w:val="0"/>
        <w:jc w:val="both"/>
        <w:rPr>
          <w:rFonts w:ascii="Arial" w:hAnsi="Arial" w:cs="Arial"/>
          <w:sz w:val="20"/>
          <w:szCs w:val="20"/>
        </w:rPr>
      </w:pPr>
      <w:r w:rsidRPr="00AC4AEA">
        <w:rPr>
          <w:rFonts w:ascii="Arial" w:hAnsi="Arial" w:cs="Arial"/>
          <w:sz w:val="20"/>
          <w:szCs w:val="20"/>
        </w:rPr>
        <w:t>l</w:t>
      </w:r>
      <w:r w:rsidR="003963D6" w:rsidRPr="00AC4AEA">
        <w:rPr>
          <w:rFonts w:ascii="Arial" w:hAnsi="Arial" w:cs="Arial"/>
          <w:sz w:val="20"/>
          <w:szCs w:val="20"/>
        </w:rPr>
        <w:t xml:space="preserve">a </w:t>
      </w:r>
      <w:r w:rsidR="003963D6" w:rsidRPr="00AC4AEA">
        <w:rPr>
          <w:rFonts w:ascii="Arial" w:hAnsi="Arial" w:cs="Arial"/>
          <w:b/>
          <w:bCs/>
          <w:sz w:val="20"/>
          <w:szCs w:val="20"/>
        </w:rPr>
        <w:t xml:space="preserve">ganancia </w:t>
      </w:r>
      <w:r w:rsidR="003963D6" w:rsidRPr="00AC4AEA">
        <w:rPr>
          <w:rFonts w:ascii="Arial" w:hAnsi="Arial" w:cs="Arial"/>
          <w:sz w:val="20"/>
          <w:szCs w:val="20"/>
        </w:rPr>
        <w:t xml:space="preserve">esperada por la desafectación de </w:t>
      </w:r>
      <w:r w:rsidR="00497590" w:rsidRPr="00AC4AEA">
        <w:rPr>
          <w:rFonts w:ascii="Arial" w:hAnsi="Arial" w:cs="Arial"/>
          <w:sz w:val="20"/>
          <w:szCs w:val="20"/>
        </w:rPr>
        <w:t>activos</w:t>
      </w:r>
      <w:r w:rsidR="003963D6" w:rsidRPr="00AC4AEA">
        <w:rPr>
          <w:rFonts w:ascii="Arial" w:hAnsi="Arial" w:cs="Arial"/>
          <w:sz w:val="20"/>
          <w:szCs w:val="20"/>
        </w:rPr>
        <w:t xml:space="preserve"> que la reestructuración producirá.</w:t>
      </w:r>
    </w:p>
    <w:p w:rsidR="00D01087" w:rsidRPr="00AC4AEA" w:rsidRDefault="00D01087" w:rsidP="00A318EA">
      <w:pPr>
        <w:pStyle w:val="Prrafodelista"/>
        <w:numPr>
          <w:ilvl w:val="0"/>
          <w:numId w:val="29"/>
        </w:numPr>
        <w:contextualSpacing w:val="0"/>
        <w:jc w:val="both"/>
        <w:rPr>
          <w:rFonts w:ascii="Arial" w:hAnsi="Arial" w:cs="Arial"/>
          <w:sz w:val="20"/>
          <w:szCs w:val="20"/>
        </w:rPr>
      </w:pPr>
      <w:bookmarkStart w:id="863" w:name="_Ref103716922"/>
      <w:r w:rsidRPr="00AC4AEA">
        <w:rPr>
          <w:rFonts w:ascii="Arial" w:hAnsi="Arial" w:cs="Arial"/>
          <w:sz w:val="20"/>
          <w:szCs w:val="20"/>
        </w:rPr>
        <w:t>Una entidad verificar</w:t>
      </w:r>
      <w:r w:rsidR="00333328" w:rsidRPr="00AC4AEA">
        <w:rPr>
          <w:rFonts w:ascii="Arial" w:hAnsi="Arial" w:cs="Arial"/>
          <w:sz w:val="20"/>
          <w:szCs w:val="20"/>
        </w:rPr>
        <w:t>á</w:t>
      </w:r>
      <w:r w:rsidRPr="00AC4AEA">
        <w:rPr>
          <w:rFonts w:ascii="Arial" w:hAnsi="Arial" w:cs="Arial"/>
          <w:sz w:val="20"/>
          <w:szCs w:val="20"/>
        </w:rPr>
        <w:t xml:space="preserve"> el </w:t>
      </w:r>
      <w:r w:rsidR="00A06C32" w:rsidRPr="00AC4AEA">
        <w:rPr>
          <w:rFonts w:ascii="Arial" w:hAnsi="Arial" w:cs="Arial"/>
          <w:b/>
          <w:bCs/>
          <w:sz w:val="20"/>
          <w:szCs w:val="20"/>
        </w:rPr>
        <w:t>valor recuperable</w:t>
      </w:r>
      <w:r w:rsidR="00D72785" w:rsidRPr="00AC4AEA">
        <w:rPr>
          <w:rFonts w:ascii="Arial" w:hAnsi="Arial" w:cs="Arial"/>
          <w:b/>
          <w:bCs/>
          <w:sz w:val="20"/>
          <w:szCs w:val="20"/>
        </w:rPr>
        <w:t xml:space="preserve"> </w:t>
      </w:r>
      <w:r w:rsidRPr="00AC4AEA">
        <w:rPr>
          <w:rFonts w:ascii="Arial" w:hAnsi="Arial" w:cs="Arial"/>
          <w:sz w:val="20"/>
          <w:szCs w:val="20"/>
        </w:rPr>
        <w:t xml:space="preserve">correspondiente a los </w:t>
      </w:r>
      <w:r w:rsidR="00FD356F" w:rsidRPr="00AC4AEA">
        <w:rPr>
          <w:rFonts w:ascii="Arial" w:hAnsi="Arial" w:cs="Arial"/>
          <w:sz w:val="20"/>
          <w:szCs w:val="20"/>
        </w:rPr>
        <w:t>seg</w:t>
      </w:r>
      <w:r w:rsidRPr="00AC4AEA">
        <w:rPr>
          <w:rFonts w:ascii="Arial" w:hAnsi="Arial" w:cs="Arial"/>
          <w:sz w:val="20"/>
          <w:szCs w:val="20"/>
        </w:rPr>
        <w:t xml:space="preserve">mentos que </w:t>
      </w:r>
      <w:r w:rsidR="00F83EF7" w:rsidRPr="00AC4AEA">
        <w:rPr>
          <w:rFonts w:ascii="Arial" w:hAnsi="Arial" w:cs="Arial"/>
          <w:sz w:val="20"/>
          <w:szCs w:val="20"/>
        </w:rPr>
        <w:t xml:space="preserve">proyecta </w:t>
      </w:r>
      <w:r w:rsidRPr="00AC4AEA">
        <w:rPr>
          <w:rFonts w:ascii="Arial" w:hAnsi="Arial" w:cs="Arial"/>
          <w:sz w:val="20"/>
          <w:szCs w:val="20"/>
        </w:rPr>
        <w:t xml:space="preserve">vender o dar de baja con motivo de la reestructuración y aplicar las normas referidas a </w:t>
      </w:r>
      <w:r w:rsidR="00497590" w:rsidRPr="00AC4AEA">
        <w:rPr>
          <w:rFonts w:ascii="Arial" w:hAnsi="Arial" w:cs="Arial"/>
          <w:sz w:val="20"/>
          <w:szCs w:val="20"/>
        </w:rPr>
        <w:t>activos</w:t>
      </w:r>
      <w:r w:rsidRPr="00AC4AEA">
        <w:rPr>
          <w:rFonts w:ascii="Arial" w:hAnsi="Arial" w:cs="Arial"/>
          <w:sz w:val="20"/>
          <w:szCs w:val="20"/>
        </w:rPr>
        <w:t xml:space="preserve"> no corrientes </w:t>
      </w:r>
      <w:r w:rsidR="00FE03FE" w:rsidRPr="00AC4AEA">
        <w:rPr>
          <w:rFonts w:ascii="Arial" w:hAnsi="Arial" w:cs="Arial"/>
          <w:sz w:val="20"/>
          <w:szCs w:val="20"/>
        </w:rPr>
        <w:t>mantenidos para</w:t>
      </w:r>
      <w:r w:rsidRPr="00AC4AEA">
        <w:rPr>
          <w:rFonts w:ascii="Arial" w:hAnsi="Arial" w:cs="Arial"/>
          <w:sz w:val="20"/>
          <w:szCs w:val="20"/>
        </w:rPr>
        <w:t xml:space="preserve"> la venta cuando tenga lugar el retiro de tales </w:t>
      </w:r>
      <w:r w:rsidR="00497590" w:rsidRPr="00AC4AEA">
        <w:rPr>
          <w:rFonts w:ascii="Arial" w:hAnsi="Arial" w:cs="Arial"/>
          <w:sz w:val="20"/>
          <w:szCs w:val="20"/>
        </w:rPr>
        <w:t>activos</w:t>
      </w:r>
      <w:r w:rsidR="00431F66" w:rsidRPr="00AC4AEA">
        <w:rPr>
          <w:rFonts w:ascii="Arial" w:hAnsi="Arial" w:cs="Arial"/>
          <w:sz w:val="20"/>
          <w:szCs w:val="20"/>
        </w:rPr>
        <w:t xml:space="preserve"> [ver </w:t>
      </w:r>
      <w:r w:rsidR="001460EB">
        <w:rPr>
          <w:rFonts w:ascii="Arial" w:hAnsi="Arial" w:cs="Arial"/>
          <w:sz w:val="20"/>
          <w:szCs w:val="20"/>
        </w:rPr>
        <w:t xml:space="preserve">los </w:t>
      </w:r>
      <w:r w:rsidR="00431F66" w:rsidRPr="00AC4AEA">
        <w:rPr>
          <w:rFonts w:ascii="Arial" w:hAnsi="Arial" w:cs="Arial"/>
          <w:sz w:val="20"/>
          <w:szCs w:val="20"/>
        </w:rPr>
        <w:t xml:space="preserve">párrafos </w:t>
      </w:r>
      <w:fldSimple w:instr=" REF _Ref74758072 \r \h  \* MERGEFORMAT ">
        <w:r w:rsidR="00D33A5D" w:rsidRPr="00D33A5D">
          <w:rPr>
            <w:rFonts w:ascii="Arial" w:hAnsi="Arial" w:cs="Arial"/>
            <w:sz w:val="20"/>
            <w:szCs w:val="20"/>
          </w:rPr>
          <w:t>416</w:t>
        </w:r>
      </w:fldSimple>
      <w:r w:rsidR="00E31391" w:rsidRPr="00AC4AEA">
        <w:rPr>
          <w:rFonts w:ascii="Arial" w:hAnsi="Arial" w:cs="Arial"/>
          <w:sz w:val="20"/>
          <w:szCs w:val="20"/>
        </w:rPr>
        <w:t xml:space="preserve"> a</w:t>
      </w:r>
      <w:r w:rsidR="009E4224">
        <w:rPr>
          <w:rFonts w:ascii="Arial" w:hAnsi="Arial" w:cs="Arial"/>
          <w:sz w:val="20"/>
          <w:szCs w:val="20"/>
        </w:rPr>
        <w:t xml:space="preserve"> </w:t>
      </w:r>
      <w:fldSimple w:instr=" REF _Ref104370269 \r \h  \* MERGEFORMAT ">
        <w:r w:rsidR="00D33A5D" w:rsidRPr="00D33A5D">
          <w:rPr>
            <w:rFonts w:ascii="Arial" w:hAnsi="Arial" w:cs="Arial"/>
            <w:sz w:val="20"/>
            <w:szCs w:val="20"/>
          </w:rPr>
          <w:t>434</w:t>
        </w:r>
      </w:fldSimple>
      <w:r w:rsidR="00E31391" w:rsidRPr="00AC4AEA">
        <w:rPr>
          <w:rFonts w:ascii="Arial" w:hAnsi="Arial" w:cs="Arial"/>
          <w:sz w:val="20"/>
          <w:szCs w:val="20"/>
        </w:rPr>
        <w:t>]</w:t>
      </w:r>
      <w:r w:rsidRPr="00AC4AEA">
        <w:rPr>
          <w:rFonts w:ascii="Arial" w:hAnsi="Arial" w:cs="Arial"/>
          <w:sz w:val="20"/>
          <w:szCs w:val="20"/>
        </w:rPr>
        <w:t>.</w:t>
      </w:r>
      <w:bookmarkEnd w:id="863"/>
    </w:p>
    <w:p w:rsidR="001368A4" w:rsidRPr="00AC4AEA" w:rsidRDefault="001368A4" w:rsidP="00A318EA">
      <w:pPr>
        <w:pStyle w:val="Prrafodelista"/>
        <w:ind w:left="993"/>
        <w:contextualSpacing w:val="0"/>
        <w:jc w:val="both"/>
        <w:rPr>
          <w:rFonts w:ascii="Arial" w:hAnsi="Arial" w:cs="Arial"/>
          <w:sz w:val="20"/>
          <w:szCs w:val="20"/>
        </w:rPr>
      </w:pPr>
    </w:p>
    <w:p w:rsidR="0076070A" w:rsidRPr="00AC4AEA" w:rsidRDefault="0076070A" w:rsidP="00A318EA">
      <w:pPr>
        <w:pStyle w:val="Ttulo2"/>
        <w:rPr>
          <w:rFonts w:cs="Arial"/>
        </w:rPr>
      </w:pPr>
      <w:bookmarkStart w:id="864" w:name="_Toc139356882"/>
      <w:r w:rsidRPr="00AC4AEA">
        <w:rPr>
          <w:rFonts w:cs="Arial"/>
        </w:rPr>
        <w:t>Otras normas aplicables</w:t>
      </w:r>
      <w:bookmarkEnd w:id="864"/>
    </w:p>
    <w:p w:rsidR="0076070A" w:rsidRPr="00AC4AEA" w:rsidRDefault="0076070A" w:rsidP="00A318EA">
      <w:pPr>
        <w:pStyle w:val="Prrafodelista"/>
        <w:numPr>
          <w:ilvl w:val="0"/>
          <w:numId w:val="29"/>
        </w:numPr>
        <w:contextualSpacing w:val="0"/>
        <w:jc w:val="both"/>
        <w:rPr>
          <w:rFonts w:ascii="Arial" w:hAnsi="Arial" w:cs="Arial"/>
          <w:sz w:val="20"/>
          <w:szCs w:val="20"/>
        </w:rPr>
      </w:pPr>
      <w:bookmarkStart w:id="865" w:name="_Ref135685041"/>
      <w:r w:rsidRPr="00AC4AEA">
        <w:rPr>
          <w:rFonts w:ascii="Arial" w:hAnsi="Arial" w:cs="Arial"/>
          <w:sz w:val="20"/>
          <w:szCs w:val="20"/>
        </w:rPr>
        <w:t xml:space="preserve">Para aplicar los requerimientos establecidos en esta sección, una entidad deberá contemplar, en tanto resulten pertinentes y no contradigan lo establecido en esta sección, otras disposiciones de esta Resolución Técnica u </w:t>
      </w:r>
      <w:r w:rsidRPr="00AC4AEA">
        <w:rPr>
          <w:rFonts w:ascii="Arial" w:hAnsi="Arial" w:cs="Arial"/>
          <w:b/>
          <w:bCs/>
          <w:sz w:val="20"/>
          <w:szCs w:val="20"/>
        </w:rPr>
        <w:t>otras normas contables</w:t>
      </w:r>
      <w:r w:rsidRPr="00AC4AEA">
        <w:rPr>
          <w:rFonts w:ascii="Arial" w:hAnsi="Arial" w:cs="Arial"/>
          <w:sz w:val="20"/>
          <w:szCs w:val="20"/>
        </w:rPr>
        <w:t>. Por ejemplo, las referidas a:</w:t>
      </w:r>
      <w:bookmarkEnd w:id="865"/>
      <w:r w:rsidRPr="00AC4AEA">
        <w:rPr>
          <w:rFonts w:ascii="Arial" w:hAnsi="Arial" w:cs="Arial"/>
          <w:sz w:val="20"/>
          <w:szCs w:val="20"/>
        </w:rPr>
        <w:t xml:space="preserve"> </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costos</w:t>
      </w:r>
      <w:r w:rsidRPr="00AC4AEA">
        <w:rPr>
          <w:rFonts w:ascii="Arial" w:hAnsi="Arial" w:cs="Arial"/>
          <w:sz w:val="20"/>
          <w:szCs w:val="20"/>
        </w:rPr>
        <w:t xml:space="preserve">” [ver los párrafos </w:t>
      </w:r>
      <w:fldSimple w:instr=" REF _Ref99459939 \r \h  \* MERGEFORMAT ">
        <w:r w:rsidR="00D33A5D" w:rsidRPr="00D33A5D">
          <w:rPr>
            <w:rFonts w:ascii="Arial" w:hAnsi="Arial" w:cs="Arial"/>
            <w:sz w:val="20"/>
            <w:szCs w:val="20"/>
          </w:rPr>
          <w:t>102</w:t>
        </w:r>
      </w:fldSimple>
      <w:r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BF70B7">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BF70B7" w:rsidRPr="00AC4AEA">
        <w:rPr>
          <w:rFonts w:ascii="Arial" w:hAnsi="Arial" w:cs="Arial"/>
          <w:sz w:val="20"/>
          <w:szCs w:val="20"/>
        </w:rPr>
        <w:t xml:space="preserve"> </w:t>
      </w:r>
      <w:r w:rsidRPr="00AC4AEA">
        <w:rPr>
          <w:rFonts w:ascii="Arial" w:hAnsi="Arial" w:cs="Arial"/>
          <w:sz w:val="20"/>
          <w:szCs w:val="20"/>
        </w:rPr>
        <w:t xml:space="preserve">a </w:t>
      </w:r>
      <w:fldSimple w:instr=" REF _Ref99459074 \r \h  \* MERGEFORMAT ">
        <w:r w:rsidR="00D33A5D" w:rsidRPr="00D33A5D">
          <w:rPr>
            <w:rFonts w:ascii="Arial" w:hAnsi="Arial" w:cs="Arial"/>
            <w:sz w:val="20"/>
            <w:szCs w:val="20"/>
          </w:rPr>
          <w:t>128</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 xml:space="preserve">Expresión de los </w:t>
      </w:r>
      <w:r w:rsidRPr="00AC4AEA">
        <w:rPr>
          <w:rFonts w:ascii="Arial" w:hAnsi="Arial" w:cs="Arial"/>
          <w:bCs/>
          <w:sz w:val="20"/>
          <w:szCs w:val="20"/>
          <w:u w:val="single"/>
        </w:rPr>
        <w:t>estados contables</w:t>
      </w:r>
      <w:r w:rsidRPr="00AC4AEA">
        <w:rPr>
          <w:rFonts w:ascii="Arial" w:hAnsi="Arial" w:cs="Arial"/>
          <w:sz w:val="20"/>
          <w:szCs w:val="20"/>
          <w:u w:val="single"/>
        </w:rPr>
        <w:t xml:space="preserve"> en moneda </w:t>
      </w:r>
      <w:r w:rsidR="00F0601B">
        <w:rPr>
          <w:rFonts w:ascii="Arial" w:hAnsi="Arial" w:cs="Arial"/>
          <w:sz w:val="20"/>
          <w:szCs w:val="20"/>
          <w:u w:val="single"/>
        </w:rPr>
        <w:t>de cierre</w:t>
      </w:r>
      <w:r w:rsidRPr="00AC4AEA">
        <w:rPr>
          <w:rFonts w:ascii="Arial" w:hAnsi="Arial" w:cs="Arial"/>
          <w:sz w:val="20"/>
          <w:szCs w:val="20"/>
          <w:u w:val="single"/>
        </w:rPr>
        <w:t xml:space="preserve"> en un contexto de inflación (ajuste por inflación de los </w:t>
      </w:r>
      <w:r w:rsidRPr="00AC4AEA">
        <w:rPr>
          <w:rFonts w:ascii="Arial" w:hAnsi="Arial" w:cs="Arial"/>
          <w:bCs/>
          <w:sz w:val="20"/>
          <w:szCs w:val="20"/>
          <w:u w:val="single"/>
        </w:rPr>
        <w:t>estados contables</w:t>
      </w:r>
      <w:r w:rsidRPr="00AC4AEA">
        <w:rPr>
          <w:rFonts w:ascii="Arial" w:hAnsi="Arial" w:cs="Arial"/>
          <w:sz w:val="20"/>
          <w:szCs w:val="20"/>
          <w:u w:val="single"/>
        </w:rPr>
        <w:t>)</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w:t>
      </w:r>
    </w:p>
    <w:p w:rsidR="0076070A" w:rsidRPr="00AC4AEA" w:rsidRDefault="0076070A"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rPr>
        <w:t>Cuestiones referidas al estado de resultados</w:t>
      </w:r>
      <w:r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Pr="00AC4AEA">
        <w:rPr>
          <w:rFonts w:ascii="Arial" w:hAnsi="Arial" w:cs="Arial"/>
          <w:sz w:val="20"/>
          <w:szCs w:val="20"/>
        </w:rPr>
        <w:t>].</w:t>
      </w:r>
    </w:p>
    <w:p w:rsidR="00DE52D4" w:rsidRPr="00AC4AEA" w:rsidRDefault="00DE52D4" w:rsidP="00A318EA">
      <w:pPr>
        <w:ind w:left="284"/>
        <w:jc w:val="both"/>
        <w:rPr>
          <w:rFonts w:ascii="Arial" w:hAnsi="Arial" w:cs="Arial"/>
          <w:sz w:val="20"/>
          <w:szCs w:val="20"/>
        </w:rPr>
      </w:pPr>
    </w:p>
    <w:p w:rsidR="001368A4" w:rsidRPr="00AC4AEA" w:rsidRDefault="001368A4" w:rsidP="00A318EA">
      <w:pPr>
        <w:spacing w:after="120" w:line="312" w:lineRule="auto"/>
        <w:ind w:left="1559" w:hanging="567"/>
        <w:jc w:val="both"/>
        <w:rPr>
          <w:rFonts w:ascii="Arial" w:hAnsi="Arial" w:cs="Arial"/>
          <w:b/>
          <w:caps/>
          <w:kern w:val="28"/>
          <w:sz w:val="20"/>
          <w:szCs w:val="20"/>
        </w:rPr>
      </w:pPr>
      <w:bookmarkStart w:id="866" w:name="_Toc101863990"/>
      <w:r w:rsidRPr="00AC4AEA">
        <w:rPr>
          <w:rFonts w:ascii="Arial" w:hAnsi="Arial" w:cs="Arial"/>
          <w:sz w:val="20"/>
          <w:szCs w:val="20"/>
        </w:rPr>
        <w:br w:type="page"/>
      </w:r>
    </w:p>
    <w:p w:rsidR="00002197" w:rsidRPr="00AC4AEA" w:rsidRDefault="00002197" w:rsidP="00A318EA">
      <w:pPr>
        <w:pStyle w:val="Ttulo1"/>
        <w:rPr>
          <w:rFonts w:cs="Arial"/>
          <w:sz w:val="20"/>
          <w:szCs w:val="20"/>
        </w:rPr>
      </w:pPr>
    </w:p>
    <w:p w:rsidR="0090400F" w:rsidRPr="00AC4AEA" w:rsidRDefault="00C714B4" w:rsidP="00A318EA">
      <w:pPr>
        <w:pStyle w:val="Ttulo1"/>
        <w:rPr>
          <w:rFonts w:cs="Arial"/>
          <w:sz w:val="20"/>
          <w:szCs w:val="20"/>
        </w:rPr>
      </w:pPr>
      <w:bookmarkStart w:id="867" w:name="_Toc139356883"/>
      <w:r w:rsidRPr="00AC4AEA">
        <w:rPr>
          <w:rFonts w:cs="Arial"/>
          <w:sz w:val="20"/>
          <w:szCs w:val="20"/>
        </w:rPr>
        <w:t>CAPÍTULO 6</w:t>
      </w:r>
      <w:bookmarkEnd w:id="866"/>
      <w:bookmarkEnd w:id="867"/>
    </w:p>
    <w:p w:rsidR="0090400F" w:rsidRPr="00AC4AEA" w:rsidRDefault="00C714B4" w:rsidP="00A318EA">
      <w:pPr>
        <w:pStyle w:val="Ttulo1"/>
        <w:rPr>
          <w:rFonts w:cs="Arial"/>
          <w:sz w:val="20"/>
          <w:szCs w:val="20"/>
        </w:rPr>
      </w:pPr>
      <w:bookmarkStart w:id="868" w:name="presentaciones"/>
      <w:bookmarkStart w:id="869" w:name="_Toc101863991"/>
      <w:bookmarkStart w:id="870" w:name="_Toc139356884"/>
      <w:bookmarkEnd w:id="868"/>
      <w:r w:rsidRPr="00AC4AEA">
        <w:rPr>
          <w:rFonts w:cs="Arial"/>
          <w:sz w:val="20"/>
          <w:szCs w:val="20"/>
        </w:rPr>
        <w:t xml:space="preserve">NORMAS GENERALES SOBRE PRESENTACIÓN DE </w:t>
      </w:r>
      <w:r w:rsidRPr="00AC4AEA">
        <w:rPr>
          <w:rFonts w:cs="Arial"/>
          <w:bCs/>
          <w:sz w:val="20"/>
          <w:szCs w:val="20"/>
        </w:rPr>
        <w:t>ESTADOS CONTABLES</w:t>
      </w:r>
      <w:bookmarkEnd w:id="869"/>
      <w:bookmarkEnd w:id="870"/>
    </w:p>
    <w:p w:rsidR="00AE7883" w:rsidRPr="00AC4AEA" w:rsidRDefault="00AE7883" w:rsidP="00A318EA">
      <w:pPr>
        <w:pStyle w:val="Ttulo1"/>
        <w:rPr>
          <w:rFonts w:cs="Arial"/>
          <w:sz w:val="20"/>
          <w:szCs w:val="20"/>
        </w:rPr>
      </w:pPr>
      <w:bookmarkStart w:id="871" w:name="_Toc101863992"/>
    </w:p>
    <w:p w:rsidR="00303902" w:rsidRPr="00AC4AEA" w:rsidRDefault="00303902" w:rsidP="00A318EA">
      <w:pPr>
        <w:pStyle w:val="Ttulo1"/>
        <w:rPr>
          <w:rFonts w:cs="Arial"/>
          <w:sz w:val="20"/>
          <w:szCs w:val="20"/>
          <w:u w:val="single"/>
        </w:rPr>
      </w:pPr>
      <w:bookmarkStart w:id="872" w:name="_Toc139356885"/>
      <w:r w:rsidRPr="00AC4AEA">
        <w:rPr>
          <w:rFonts w:cs="Arial"/>
          <w:sz w:val="20"/>
          <w:szCs w:val="20"/>
        </w:rPr>
        <w:t>INTRODUCCIÓN AL PRESENTE CAPÍTULO</w:t>
      </w:r>
      <w:bookmarkEnd w:id="871"/>
      <w:bookmarkEnd w:id="872"/>
      <w:r w:rsidRPr="00AC4AEA">
        <w:rPr>
          <w:rFonts w:cs="Arial"/>
          <w:sz w:val="20"/>
          <w:szCs w:val="20"/>
          <w:u w:val="single"/>
        </w:rPr>
        <w:t xml:space="preserve"> </w:t>
      </w:r>
    </w:p>
    <w:p w:rsidR="00303902" w:rsidRPr="00AC4AEA" w:rsidRDefault="0030390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este capítulo se describen </w:t>
      </w:r>
      <w:r w:rsidR="00AC3A0C" w:rsidRPr="00AC4AEA">
        <w:rPr>
          <w:rFonts w:ascii="Arial" w:hAnsi="Arial" w:cs="Arial"/>
          <w:sz w:val="20"/>
          <w:szCs w:val="20"/>
        </w:rPr>
        <w:t xml:space="preserve">los </w:t>
      </w:r>
      <w:r w:rsidRPr="00AC4AEA">
        <w:rPr>
          <w:rFonts w:ascii="Arial" w:hAnsi="Arial" w:cs="Arial"/>
          <w:sz w:val="20"/>
          <w:szCs w:val="20"/>
        </w:rPr>
        <w:t xml:space="preserve">requerimientos </w:t>
      </w:r>
      <w:r w:rsidR="00AC3A0C" w:rsidRPr="00AC4AEA">
        <w:rPr>
          <w:rFonts w:ascii="Arial" w:hAnsi="Arial" w:cs="Arial"/>
          <w:sz w:val="20"/>
          <w:szCs w:val="20"/>
        </w:rPr>
        <w:t xml:space="preserve">generales </w:t>
      </w:r>
      <w:r w:rsidRPr="00AC4AEA">
        <w:rPr>
          <w:rFonts w:ascii="Arial" w:hAnsi="Arial" w:cs="Arial"/>
          <w:sz w:val="20"/>
          <w:szCs w:val="20"/>
        </w:rPr>
        <w:t xml:space="preserve">para la presentación </w:t>
      </w:r>
      <w:r w:rsidR="001847B8" w:rsidRPr="00AC4AEA">
        <w:rPr>
          <w:rFonts w:ascii="Arial" w:hAnsi="Arial" w:cs="Arial"/>
          <w:sz w:val="20"/>
          <w:szCs w:val="20"/>
        </w:rPr>
        <w:t xml:space="preserve">de los </w:t>
      </w:r>
      <w:r w:rsidR="00135084" w:rsidRPr="00AC4AEA">
        <w:rPr>
          <w:rFonts w:ascii="Arial" w:hAnsi="Arial" w:cs="Arial"/>
          <w:b/>
          <w:bCs/>
          <w:sz w:val="20"/>
          <w:szCs w:val="20"/>
        </w:rPr>
        <w:t>estados contables</w:t>
      </w:r>
      <w:r w:rsidR="001847B8" w:rsidRPr="00AC4AEA">
        <w:rPr>
          <w:rFonts w:ascii="Arial" w:hAnsi="Arial" w:cs="Arial"/>
          <w:sz w:val="20"/>
          <w:szCs w:val="20"/>
        </w:rPr>
        <w:t xml:space="preserve"> de entidades con y sin fines de lucro</w:t>
      </w:r>
      <w:r w:rsidR="009E5A6A" w:rsidRPr="00AC4AEA">
        <w:rPr>
          <w:rFonts w:ascii="Arial" w:hAnsi="Arial" w:cs="Arial"/>
          <w:sz w:val="20"/>
          <w:szCs w:val="20"/>
        </w:rPr>
        <w:t>.</w:t>
      </w:r>
    </w:p>
    <w:p w:rsidR="00F93B6C" w:rsidRPr="00AC4AEA" w:rsidRDefault="00F327D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w:t>
      </w:r>
      <w:r w:rsidR="00222392" w:rsidRPr="00AC4AEA">
        <w:rPr>
          <w:rFonts w:ascii="Arial" w:hAnsi="Arial" w:cs="Arial"/>
          <w:sz w:val="20"/>
          <w:szCs w:val="20"/>
        </w:rPr>
        <w:t>n</w:t>
      </w:r>
      <w:r w:rsidR="00B66AA8" w:rsidRPr="00AC4AEA">
        <w:rPr>
          <w:rFonts w:ascii="Arial" w:hAnsi="Arial" w:cs="Arial"/>
          <w:sz w:val="20"/>
          <w:szCs w:val="20"/>
        </w:rPr>
        <w:t>a entidad</w:t>
      </w:r>
      <w:r w:rsidRPr="00AC4AEA">
        <w:rPr>
          <w:rFonts w:ascii="Arial" w:hAnsi="Arial" w:cs="Arial"/>
          <w:sz w:val="20"/>
          <w:szCs w:val="20"/>
        </w:rPr>
        <w:t xml:space="preserve"> deberá presentar sus </w:t>
      </w:r>
      <w:r w:rsidR="00135084" w:rsidRPr="00AC4AEA">
        <w:rPr>
          <w:rFonts w:ascii="Arial" w:hAnsi="Arial" w:cs="Arial"/>
          <w:b/>
          <w:bCs/>
          <w:sz w:val="20"/>
          <w:szCs w:val="20"/>
        </w:rPr>
        <w:t>estados contables</w:t>
      </w:r>
      <w:r w:rsidR="00F86AAD" w:rsidRPr="00AC4AEA">
        <w:rPr>
          <w:rFonts w:ascii="Arial" w:hAnsi="Arial" w:cs="Arial"/>
          <w:sz w:val="20"/>
          <w:szCs w:val="20"/>
        </w:rPr>
        <w:t xml:space="preserve"> </w:t>
      </w:r>
      <w:r w:rsidRPr="00AC4AEA">
        <w:rPr>
          <w:rFonts w:ascii="Arial" w:hAnsi="Arial" w:cs="Arial"/>
          <w:sz w:val="20"/>
          <w:szCs w:val="20"/>
        </w:rPr>
        <w:t xml:space="preserve">cumpliendo </w:t>
      </w:r>
      <w:r w:rsidR="00F86AAD" w:rsidRPr="00AC4AEA">
        <w:rPr>
          <w:rFonts w:ascii="Arial" w:hAnsi="Arial" w:cs="Arial"/>
          <w:sz w:val="20"/>
          <w:szCs w:val="20"/>
        </w:rPr>
        <w:t>los requerimientos</w:t>
      </w:r>
      <w:r w:rsidRPr="00AC4AEA">
        <w:rPr>
          <w:rFonts w:ascii="Arial" w:hAnsi="Arial" w:cs="Arial"/>
          <w:sz w:val="20"/>
          <w:szCs w:val="20"/>
        </w:rPr>
        <w:t xml:space="preserve"> sobre presentación e información a revelar en nota</w:t>
      </w:r>
      <w:r w:rsidR="00235A4B" w:rsidRPr="00AC4AEA">
        <w:rPr>
          <w:rFonts w:ascii="Arial" w:hAnsi="Arial" w:cs="Arial"/>
          <w:sz w:val="20"/>
          <w:szCs w:val="20"/>
        </w:rPr>
        <w:t>s</w:t>
      </w:r>
      <w:r w:rsidR="00F86AAD" w:rsidRPr="00AC4AEA">
        <w:rPr>
          <w:rFonts w:ascii="Arial" w:hAnsi="Arial" w:cs="Arial"/>
          <w:sz w:val="20"/>
          <w:szCs w:val="20"/>
        </w:rPr>
        <w:t xml:space="preserve"> establecidos en el presente capítulo</w:t>
      </w:r>
      <w:r w:rsidRPr="00AC4AEA">
        <w:rPr>
          <w:rFonts w:ascii="Arial" w:hAnsi="Arial" w:cs="Arial"/>
          <w:sz w:val="20"/>
          <w:szCs w:val="20"/>
        </w:rPr>
        <w:t xml:space="preserve">, en otras secciones de esta </w:t>
      </w:r>
      <w:r w:rsidR="000608CA" w:rsidRPr="00AC4AEA">
        <w:rPr>
          <w:rFonts w:ascii="Arial" w:hAnsi="Arial" w:cs="Arial"/>
          <w:sz w:val="20"/>
          <w:szCs w:val="20"/>
        </w:rPr>
        <w:t>R</w:t>
      </w:r>
      <w:r w:rsidRPr="00AC4AEA">
        <w:rPr>
          <w:rFonts w:ascii="Arial" w:hAnsi="Arial" w:cs="Arial"/>
          <w:sz w:val="20"/>
          <w:szCs w:val="20"/>
        </w:rPr>
        <w:t xml:space="preserve">esolución </w:t>
      </w:r>
      <w:r w:rsidR="000608CA" w:rsidRPr="00AC4AEA">
        <w:rPr>
          <w:rFonts w:ascii="Arial" w:hAnsi="Arial" w:cs="Arial"/>
          <w:sz w:val="20"/>
          <w:szCs w:val="20"/>
        </w:rPr>
        <w:t>T</w:t>
      </w:r>
      <w:r w:rsidRPr="00AC4AEA">
        <w:rPr>
          <w:rFonts w:ascii="Arial" w:hAnsi="Arial" w:cs="Arial"/>
          <w:sz w:val="20"/>
          <w:szCs w:val="20"/>
        </w:rPr>
        <w:t xml:space="preserve">écnica </w:t>
      </w:r>
      <w:r w:rsidR="00235A4B" w:rsidRPr="00AC4AEA">
        <w:rPr>
          <w:rFonts w:ascii="Arial" w:hAnsi="Arial" w:cs="Arial"/>
          <w:sz w:val="20"/>
          <w:szCs w:val="20"/>
        </w:rPr>
        <w:t xml:space="preserve">u </w:t>
      </w:r>
      <w:r w:rsidR="00235A4B" w:rsidRPr="00AC4AEA">
        <w:rPr>
          <w:rFonts w:ascii="Arial" w:hAnsi="Arial" w:cs="Arial"/>
          <w:b/>
          <w:bCs/>
          <w:sz w:val="20"/>
          <w:szCs w:val="20"/>
        </w:rPr>
        <w:t>otras normas contables</w:t>
      </w:r>
      <w:r w:rsidRPr="00AC4AEA">
        <w:rPr>
          <w:rFonts w:ascii="Arial" w:hAnsi="Arial" w:cs="Arial"/>
          <w:sz w:val="20"/>
          <w:szCs w:val="20"/>
        </w:rPr>
        <w:t>.</w:t>
      </w:r>
    </w:p>
    <w:p w:rsidR="00AE7883" w:rsidRPr="00AC4AEA" w:rsidRDefault="00AE7883" w:rsidP="00A318EA">
      <w:pPr>
        <w:pStyle w:val="Ttulo1"/>
        <w:rPr>
          <w:rFonts w:cs="Arial"/>
          <w:sz w:val="20"/>
          <w:szCs w:val="20"/>
        </w:rPr>
      </w:pPr>
      <w:bookmarkStart w:id="873" w:name="esp"/>
      <w:bookmarkStart w:id="874" w:name="_Toc101863993"/>
      <w:bookmarkEnd w:id="873"/>
    </w:p>
    <w:p w:rsidR="0090400F" w:rsidRPr="00510E81" w:rsidRDefault="00002197" w:rsidP="00A318EA">
      <w:pPr>
        <w:pStyle w:val="Ttulo1"/>
        <w:rPr>
          <w:rFonts w:cs="Arial"/>
          <w:sz w:val="20"/>
          <w:szCs w:val="20"/>
        </w:rPr>
      </w:pPr>
      <w:bookmarkStart w:id="875" w:name="_Toc139356886"/>
      <w:r w:rsidRPr="00510E81">
        <w:rPr>
          <w:rFonts w:cs="Arial"/>
          <w:sz w:val="20"/>
          <w:szCs w:val="20"/>
        </w:rPr>
        <w:t>CUESTIONES REFERIDAS AL ESTADO DE SITUACIÓN PATRIMONIAL</w:t>
      </w:r>
      <w:bookmarkEnd w:id="874"/>
      <w:bookmarkEnd w:id="875"/>
    </w:p>
    <w:p w:rsidR="00630313" w:rsidRPr="00510E81" w:rsidRDefault="00630313" w:rsidP="00A318EA">
      <w:pPr>
        <w:pStyle w:val="Ttulo2"/>
        <w:rPr>
          <w:rFonts w:cs="Arial"/>
        </w:rPr>
      </w:pPr>
      <w:bookmarkStart w:id="876" w:name="_Toc101863994"/>
      <w:bookmarkStart w:id="877" w:name="_Toc139356887"/>
      <w:r w:rsidRPr="00510E81">
        <w:rPr>
          <w:rFonts w:cs="Arial"/>
        </w:rPr>
        <w:t>Definici</w:t>
      </w:r>
      <w:r w:rsidR="00907713" w:rsidRPr="00510E81">
        <w:rPr>
          <w:rFonts w:cs="Arial"/>
        </w:rPr>
        <w:t>ó</w:t>
      </w:r>
      <w:r w:rsidRPr="00510E81">
        <w:rPr>
          <w:rFonts w:cs="Arial"/>
        </w:rPr>
        <w:t>n</w:t>
      </w:r>
      <w:bookmarkEnd w:id="876"/>
      <w:bookmarkEnd w:id="877"/>
    </w:p>
    <w:p w:rsidR="00EB44FE" w:rsidRPr="00510E81" w:rsidRDefault="00EB44FE" w:rsidP="00A318EA">
      <w:pPr>
        <w:pStyle w:val="Prrafodelista"/>
        <w:numPr>
          <w:ilvl w:val="0"/>
          <w:numId w:val="29"/>
        </w:numPr>
        <w:contextualSpacing w:val="0"/>
        <w:jc w:val="both"/>
        <w:rPr>
          <w:rFonts w:ascii="Arial" w:hAnsi="Arial" w:cs="Arial"/>
          <w:sz w:val="20"/>
          <w:szCs w:val="20"/>
        </w:rPr>
      </w:pPr>
      <w:bookmarkStart w:id="878" w:name="_Ref99491439"/>
      <w:r w:rsidRPr="00510E81">
        <w:rPr>
          <w:rFonts w:ascii="Arial" w:hAnsi="Arial" w:cs="Arial"/>
          <w:sz w:val="20"/>
          <w:szCs w:val="20"/>
        </w:rPr>
        <w:t>A los fines de presentar el estado contable referido en esta sección, una entidad deberá considerar la siguiente definici</w:t>
      </w:r>
      <w:r w:rsidR="00907713" w:rsidRPr="00510E81">
        <w:rPr>
          <w:rFonts w:ascii="Arial" w:hAnsi="Arial" w:cs="Arial"/>
          <w:sz w:val="20"/>
          <w:szCs w:val="20"/>
        </w:rPr>
        <w:t>ó</w:t>
      </w:r>
      <w:r w:rsidRPr="00510E81">
        <w:rPr>
          <w:rFonts w:ascii="Arial" w:hAnsi="Arial" w:cs="Arial"/>
          <w:sz w:val="20"/>
          <w:szCs w:val="20"/>
        </w:rPr>
        <w:t>n:</w:t>
      </w:r>
      <w:bookmarkEnd w:id="878"/>
    </w:p>
    <w:p w:rsidR="00630313" w:rsidRPr="00AC4AEA" w:rsidRDefault="00630313" w:rsidP="00A318EA">
      <w:pPr>
        <w:pStyle w:val="A-Norgra"/>
        <w:ind w:left="993"/>
        <w:jc w:val="both"/>
        <w:rPr>
          <w:rFonts w:ascii="Arial" w:hAnsi="Arial" w:cs="Arial"/>
          <w:color w:val="auto"/>
          <w:sz w:val="20"/>
          <w:szCs w:val="20"/>
        </w:rPr>
      </w:pPr>
      <w:r w:rsidRPr="00510E81">
        <w:rPr>
          <w:rFonts w:ascii="Arial" w:hAnsi="Arial" w:cs="Arial"/>
          <w:color w:val="auto"/>
          <w:sz w:val="20"/>
          <w:szCs w:val="20"/>
          <w:u w:val="single"/>
        </w:rPr>
        <w:t>Estado de situación patrimonial</w:t>
      </w:r>
      <w:r w:rsidRPr="00510E81">
        <w:rPr>
          <w:rFonts w:ascii="Arial" w:hAnsi="Arial" w:cs="Arial"/>
          <w:b/>
          <w:bCs/>
          <w:color w:val="auto"/>
          <w:sz w:val="20"/>
          <w:szCs w:val="20"/>
        </w:rPr>
        <w:t xml:space="preserve">: </w:t>
      </w:r>
      <w:r w:rsidRPr="00510E81">
        <w:rPr>
          <w:rFonts w:ascii="Arial" w:hAnsi="Arial" w:cs="Arial"/>
          <w:color w:val="auto"/>
          <w:sz w:val="20"/>
          <w:szCs w:val="20"/>
        </w:rPr>
        <w:t>estado contable mediante el cual una entidad</w:t>
      </w:r>
      <w:r w:rsidRPr="00AC4AEA">
        <w:rPr>
          <w:rFonts w:ascii="Arial" w:hAnsi="Arial" w:cs="Arial"/>
          <w:color w:val="auto"/>
          <w:sz w:val="20"/>
          <w:szCs w:val="20"/>
        </w:rPr>
        <w:t xml:space="preserve"> presenta, a un momento determinado, sus </w:t>
      </w:r>
      <w:r w:rsidR="00497590" w:rsidRPr="00AC4AEA">
        <w:rPr>
          <w:rFonts w:ascii="Arial" w:hAnsi="Arial" w:cs="Arial"/>
          <w:color w:val="auto"/>
          <w:sz w:val="20"/>
          <w:szCs w:val="20"/>
        </w:rPr>
        <w:t>activos</w:t>
      </w:r>
      <w:r w:rsidRPr="00AC4AEA">
        <w:rPr>
          <w:rFonts w:ascii="Arial" w:hAnsi="Arial" w:cs="Arial"/>
          <w:color w:val="auto"/>
          <w:sz w:val="20"/>
          <w:szCs w:val="20"/>
        </w:rPr>
        <w:t xml:space="preserve">, </w:t>
      </w:r>
      <w:r w:rsidR="00497590" w:rsidRPr="00AC4AEA">
        <w:rPr>
          <w:rFonts w:ascii="Arial" w:hAnsi="Arial" w:cs="Arial"/>
          <w:color w:val="auto"/>
          <w:sz w:val="20"/>
          <w:szCs w:val="20"/>
        </w:rPr>
        <w:t>pasivos</w:t>
      </w:r>
      <w:r w:rsidRPr="00AC4AEA">
        <w:rPr>
          <w:rFonts w:ascii="Arial" w:hAnsi="Arial" w:cs="Arial"/>
          <w:color w:val="auto"/>
          <w:sz w:val="20"/>
          <w:szCs w:val="20"/>
        </w:rPr>
        <w:t xml:space="preserve"> y </w:t>
      </w:r>
      <w:r w:rsidRPr="00AC4AEA">
        <w:rPr>
          <w:rFonts w:ascii="Arial" w:hAnsi="Arial" w:cs="Arial"/>
          <w:b/>
          <w:bCs/>
          <w:color w:val="auto"/>
          <w:sz w:val="20"/>
          <w:szCs w:val="20"/>
        </w:rPr>
        <w:t>patrimonio neto</w:t>
      </w:r>
      <w:r w:rsidRPr="00AC4AEA">
        <w:rPr>
          <w:rFonts w:ascii="Arial" w:hAnsi="Arial" w:cs="Arial"/>
          <w:color w:val="auto"/>
          <w:sz w:val="20"/>
          <w:szCs w:val="20"/>
        </w:rPr>
        <w:t>.</w:t>
      </w:r>
    </w:p>
    <w:p w:rsidR="004F7CE2" w:rsidRPr="00AC4AEA" w:rsidRDefault="004F7CE2" w:rsidP="00A318EA">
      <w:pPr>
        <w:pStyle w:val="A-doctorado"/>
        <w:jc w:val="both"/>
        <w:rPr>
          <w:rFonts w:ascii="Arial" w:hAnsi="Arial"/>
          <w:color w:val="auto"/>
          <w:sz w:val="20"/>
          <w:szCs w:val="20"/>
        </w:rPr>
      </w:pPr>
    </w:p>
    <w:p w:rsidR="00630313" w:rsidRPr="00AC4AEA" w:rsidRDefault="00630313" w:rsidP="00A318EA">
      <w:pPr>
        <w:pStyle w:val="Ttulo2"/>
        <w:rPr>
          <w:rFonts w:cs="Arial"/>
        </w:rPr>
      </w:pPr>
      <w:bookmarkStart w:id="879" w:name="_Toc101863995"/>
      <w:bookmarkStart w:id="880" w:name="_Toc139356888"/>
      <w:r w:rsidRPr="00AC4AEA">
        <w:rPr>
          <w:rFonts w:cs="Arial"/>
        </w:rPr>
        <w:t>Estructura</w:t>
      </w:r>
      <w:bookmarkEnd w:id="879"/>
      <w:bookmarkEnd w:id="880"/>
      <w:r w:rsidRPr="00AC4AEA">
        <w:rPr>
          <w:rFonts w:cs="Arial"/>
        </w:rPr>
        <w:t xml:space="preserve"> </w:t>
      </w:r>
    </w:p>
    <w:p w:rsidR="00630313" w:rsidRPr="00AC4AEA" w:rsidRDefault="00630313"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una entidad incluirá los siguientes capítulos:</w:t>
      </w:r>
    </w:p>
    <w:p w:rsidR="00630313" w:rsidRPr="00AC4AEA" w:rsidRDefault="00C16319" w:rsidP="00A318EA">
      <w:pPr>
        <w:pStyle w:val="Prrafodelista"/>
        <w:numPr>
          <w:ilvl w:val="0"/>
          <w:numId w:val="183"/>
        </w:numPr>
        <w:ind w:left="1560"/>
        <w:contextualSpacing w:val="0"/>
        <w:jc w:val="both"/>
        <w:rPr>
          <w:rFonts w:ascii="Arial" w:hAnsi="Arial" w:cs="Arial"/>
          <w:sz w:val="20"/>
          <w:szCs w:val="20"/>
        </w:rPr>
      </w:pPr>
      <w:r w:rsidRPr="00AC4AEA">
        <w:rPr>
          <w:rFonts w:ascii="Arial" w:hAnsi="Arial" w:cs="Arial"/>
          <w:b/>
          <w:bCs/>
          <w:sz w:val="20"/>
          <w:szCs w:val="20"/>
        </w:rPr>
        <w:t>a</w:t>
      </w:r>
      <w:r w:rsidR="00630313" w:rsidRPr="00AC4AEA">
        <w:rPr>
          <w:rFonts w:ascii="Arial" w:hAnsi="Arial" w:cs="Arial"/>
          <w:b/>
          <w:bCs/>
          <w:sz w:val="20"/>
          <w:szCs w:val="20"/>
        </w:rPr>
        <w:t>ctivo</w:t>
      </w:r>
      <w:r w:rsidR="00630313" w:rsidRPr="00AC4AEA">
        <w:rPr>
          <w:rFonts w:ascii="Arial" w:hAnsi="Arial" w:cs="Arial"/>
          <w:sz w:val="20"/>
          <w:szCs w:val="20"/>
        </w:rPr>
        <w:t>;</w:t>
      </w:r>
    </w:p>
    <w:p w:rsidR="00630313" w:rsidRPr="00AC4AEA" w:rsidRDefault="00C16319" w:rsidP="00A318EA">
      <w:pPr>
        <w:pStyle w:val="Prrafodelista"/>
        <w:numPr>
          <w:ilvl w:val="0"/>
          <w:numId w:val="183"/>
        </w:numPr>
        <w:ind w:left="1560"/>
        <w:contextualSpacing w:val="0"/>
        <w:jc w:val="both"/>
        <w:rPr>
          <w:rFonts w:ascii="Arial" w:hAnsi="Arial" w:cs="Arial"/>
          <w:sz w:val="20"/>
          <w:szCs w:val="20"/>
        </w:rPr>
      </w:pPr>
      <w:r w:rsidRPr="00AC4AEA">
        <w:rPr>
          <w:rFonts w:ascii="Arial" w:hAnsi="Arial" w:cs="Arial"/>
          <w:b/>
          <w:bCs/>
          <w:sz w:val="20"/>
          <w:szCs w:val="20"/>
        </w:rPr>
        <w:t>p</w:t>
      </w:r>
      <w:r w:rsidR="00630313" w:rsidRPr="00AC4AEA">
        <w:rPr>
          <w:rFonts w:ascii="Arial" w:hAnsi="Arial" w:cs="Arial"/>
          <w:b/>
          <w:bCs/>
          <w:sz w:val="20"/>
          <w:szCs w:val="20"/>
        </w:rPr>
        <w:t>asivo</w:t>
      </w:r>
      <w:r w:rsidR="00630313" w:rsidRPr="00AC4AEA">
        <w:rPr>
          <w:rFonts w:ascii="Arial" w:hAnsi="Arial" w:cs="Arial"/>
          <w:sz w:val="20"/>
          <w:szCs w:val="20"/>
        </w:rPr>
        <w:t>; y</w:t>
      </w:r>
    </w:p>
    <w:p w:rsidR="00630313" w:rsidRPr="00AC4AEA" w:rsidRDefault="00C16319" w:rsidP="00A318EA">
      <w:pPr>
        <w:pStyle w:val="Prrafodelista"/>
        <w:numPr>
          <w:ilvl w:val="0"/>
          <w:numId w:val="183"/>
        </w:numPr>
        <w:ind w:left="1560"/>
        <w:contextualSpacing w:val="0"/>
        <w:jc w:val="both"/>
        <w:rPr>
          <w:rFonts w:ascii="Arial" w:hAnsi="Arial" w:cs="Arial"/>
          <w:sz w:val="20"/>
          <w:szCs w:val="20"/>
        </w:rPr>
      </w:pPr>
      <w:r w:rsidRPr="00AC4AEA">
        <w:rPr>
          <w:rFonts w:ascii="Arial" w:hAnsi="Arial" w:cs="Arial"/>
          <w:b/>
          <w:bCs/>
          <w:sz w:val="20"/>
          <w:szCs w:val="20"/>
        </w:rPr>
        <w:t>p</w:t>
      </w:r>
      <w:r w:rsidR="00630313" w:rsidRPr="00AC4AEA">
        <w:rPr>
          <w:rFonts w:ascii="Arial" w:hAnsi="Arial" w:cs="Arial"/>
          <w:b/>
          <w:bCs/>
          <w:sz w:val="20"/>
          <w:szCs w:val="20"/>
        </w:rPr>
        <w:t>atrimonio neto</w:t>
      </w:r>
      <w:r w:rsidR="00630313" w:rsidRPr="00AC4AEA">
        <w:rPr>
          <w:rFonts w:ascii="Arial" w:hAnsi="Arial" w:cs="Arial"/>
          <w:sz w:val="20"/>
          <w:szCs w:val="20"/>
        </w:rPr>
        <w:t>.</w:t>
      </w:r>
    </w:p>
    <w:p w:rsidR="00235A4B" w:rsidRPr="00AC4AEA" w:rsidRDefault="000A0813" w:rsidP="00A318EA">
      <w:pPr>
        <w:pStyle w:val="Prrafodelista"/>
        <w:numPr>
          <w:ilvl w:val="0"/>
          <w:numId w:val="29"/>
        </w:numPr>
        <w:contextualSpacing w:val="0"/>
        <w:jc w:val="both"/>
        <w:rPr>
          <w:rFonts w:ascii="Arial" w:hAnsi="Arial" w:cs="Arial"/>
          <w:sz w:val="20"/>
          <w:szCs w:val="20"/>
        </w:rPr>
      </w:pPr>
      <w:bookmarkStart w:id="881" w:name="_Toc101863996"/>
      <w:r w:rsidRPr="00AC4AEA">
        <w:rPr>
          <w:rFonts w:ascii="Arial" w:hAnsi="Arial" w:cs="Arial"/>
          <w:sz w:val="20"/>
          <w:szCs w:val="20"/>
        </w:rPr>
        <w:t>E</w:t>
      </w:r>
      <w:r w:rsidR="00235A4B" w:rsidRPr="00AC4AEA">
        <w:rPr>
          <w:rFonts w:ascii="Arial" w:hAnsi="Arial" w:cs="Arial"/>
          <w:sz w:val="20"/>
          <w:szCs w:val="20"/>
        </w:rPr>
        <w:t>n el estado de situación patrimonial</w:t>
      </w:r>
      <w:r w:rsidRPr="00AC4AEA">
        <w:rPr>
          <w:rFonts w:ascii="Arial" w:hAnsi="Arial" w:cs="Arial"/>
          <w:sz w:val="20"/>
          <w:szCs w:val="20"/>
        </w:rPr>
        <w:t xml:space="preserve">, una entidad </w:t>
      </w:r>
      <w:r w:rsidR="00B10E35" w:rsidRPr="00AC4AEA">
        <w:rPr>
          <w:rFonts w:ascii="Arial" w:hAnsi="Arial" w:cs="Arial"/>
          <w:sz w:val="20"/>
          <w:szCs w:val="20"/>
        </w:rPr>
        <w:t>distinguirá</w:t>
      </w:r>
      <w:r w:rsidR="00BD2DB8" w:rsidRPr="00AC4AEA">
        <w:rPr>
          <w:rFonts w:ascii="Arial" w:hAnsi="Arial" w:cs="Arial"/>
          <w:sz w:val="20"/>
          <w:szCs w:val="20"/>
        </w:rPr>
        <w:t>, entre otros,</w:t>
      </w:r>
      <w:r w:rsidR="00B10E35" w:rsidRPr="00AC4AEA">
        <w:rPr>
          <w:rFonts w:ascii="Arial" w:hAnsi="Arial" w:cs="Arial"/>
          <w:sz w:val="20"/>
          <w:szCs w:val="20"/>
        </w:rPr>
        <w:t xml:space="preserve"> l</w:t>
      </w:r>
      <w:r w:rsidR="00CB1E44" w:rsidRPr="00AC4AEA">
        <w:rPr>
          <w:rFonts w:ascii="Arial" w:hAnsi="Arial" w:cs="Arial"/>
          <w:sz w:val="20"/>
          <w:szCs w:val="20"/>
        </w:rPr>
        <w:t>o</w:t>
      </w:r>
      <w:r w:rsidR="00B10E35" w:rsidRPr="00AC4AEA">
        <w:rPr>
          <w:rFonts w:ascii="Arial" w:hAnsi="Arial" w:cs="Arial"/>
          <w:sz w:val="20"/>
          <w:szCs w:val="20"/>
        </w:rPr>
        <w:t xml:space="preserve">s siguientes </w:t>
      </w:r>
      <w:r w:rsidR="00CB1E44" w:rsidRPr="00AC4AEA">
        <w:rPr>
          <w:rFonts w:ascii="Arial" w:hAnsi="Arial" w:cs="Arial"/>
          <w:sz w:val="20"/>
          <w:szCs w:val="20"/>
        </w:rPr>
        <w:t>rubros</w:t>
      </w:r>
      <w:r w:rsidR="003E2C0F" w:rsidRPr="00AC4AEA">
        <w:rPr>
          <w:rFonts w:ascii="Arial" w:hAnsi="Arial" w:cs="Arial"/>
          <w:sz w:val="20"/>
          <w:szCs w:val="20"/>
        </w:rPr>
        <w:t xml:space="preserve"> referid</w:t>
      </w:r>
      <w:r w:rsidR="00CB1E44" w:rsidRPr="00AC4AEA">
        <w:rPr>
          <w:rFonts w:ascii="Arial" w:hAnsi="Arial" w:cs="Arial"/>
          <w:sz w:val="20"/>
          <w:szCs w:val="20"/>
        </w:rPr>
        <w:t>o</w:t>
      </w:r>
      <w:r w:rsidR="003E2C0F" w:rsidRPr="00AC4AEA">
        <w:rPr>
          <w:rFonts w:ascii="Arial" w:hAnsi="Arial" w:cs="Arial"/>
          <w:sz w:val="20"/>
          <w:szCs w:val="20"/>
        </w:rPr>
        <w:t xml:space="preserve">s al </w:t>
      </w:r>
      <w:r w:rsidR="003E2C0F" w:rsidRPr="00AC4AEA">
        <w:rPr>
          <w:rFonts w:ascii="Arial" w:hAnsi="Arial" w:cs="Arial"/>
          <w:b/>
          <w:bCs/>
          <w:sz w:val="20"/>
          <w:szCs w:val="20"/>
        </w:rPr>
        <w:t>activo</w:t>
      </w:r>
      <w:r w:rsidR="00B10E35" w:rsidRPr="00AC4AEA">
        <w:rPr>
          <w:rFonts w:ascii="Arial" w:hAnsi="Arial" w:cs="Arial"/>
          <w:sz w:val="20"/>
          <w:szCs w:val="20"/>
        </w:rPr>
        <w:t>, clasificad</w:t>
      </w:r>
      <w:r w:rsidR="00CB1E44" w:rsidRPr="00AC4AEA">
        <w:rPr>
          <w:rFonts w:ascii="Arial" w:hAnsi="Arial" w:cs="Arial"/>
          <w:sz w:val="20"/>
          <w:szCs w:val="20"/>
        </w:rPr>
        <w:t>o</w:t>
      </w:r>
      <w:r w:rsidR="00B10E35" w:rsidRPr="00AC4AEA">
        <w:rPr>
          <w:rFonts w:ascii="Arial" w:hAnsi="Arial" w:cs="Arial"/>
          <w:sz w:val="20"/>
          <w:szCs w:val="20"/>
        </w:rPr>
        <w:t xml:space="preserve">s como se indica en los párrafos </w:t>
      </w:r>
      <w:fldSimple w:instr=" REF _Ref103673441 \r \h  \* MERGEFORMAT ">
        <w:r w:rsidR="00D33A5D" w:rsidRPr="00D33A5D">
          <w:rPr>
            <w:rFonts w:ascii="Arial" w:hAnsi="Arial" w:cs="Arial"/>
            <w:sz w:val="20"/>
            <w:szCs w:val="20"/>
          </w:rPr>
          <w:t>612</w:t>
        </w:r>
      </w:fldSimple>
      <w:r w:rsidR="00BD7310" w:rsidRPr="00AC4AEA">
        <w:rPr>
          <w:rFonts w:ascii="Arial" w:hAnsi="Arial" w:cs="Arial"/>
          <w:sz w:val="20"/>
          <w:szCs w:val="20"/>
        </w:rPr>
        <w:t xml:space="preserve"> a </w:t>
      </w:r>
      <w:fldSimple w:instr=" REF _Ref103775832 \r \h  \* MERGEFORMAT ">
        <w:r w:rsidR="00D33A5D" w:rsidRPr="00D33A5D">
          <w:rPr>
            <w:rFonts w:ascii="Arial" w:hAnsi="Arial" w:cs="Arial"/>
            <w:sz w:val="20"/>
            <w:szCs w:val="20"/>
          </w:rPr>
          <w:t>623</w:t>
        </w:r>
      </w:fldSimple>
      <w:r w:rsidR="00235A4B" w:rsidRPr="00AC4AEA">
        <w:rPr>
          <w:rFonts w:ascii="Arial" w:hAnsi="Arial" w:cs="Arial"/>
          <w:sz w:val="20"/>
          <w:szCs w:val="20"/>
        </w:rPr>
        <w:t>:</w:t>
      </w:r>
    </w:p>
    <w:p w:rsidR="00235A4B"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Caja y bancos.</w:t>
      </w:r>
    </w:p>
    <w:p w:rsidR="00235A4B"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Inversiones financieras.</w:t>
      </w:r>
    </w:p>
    <w:p w:rsidR="00235A4B"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 xml:space="preserve">Cuentas por cobrar </w:t>
      </w:r>
      <w:r w:rsidR="00196685" w:rsidRPr="00AC4AEA">
        <w:rPr>
          <w:rFonts w:ascii="Arial" w:hAnsi="Arial" w:cs="Arial"/>
          <w:sz w:val="20"/>
          <w:szCs w:val="20"/>
        </w:rPr>
        <w:t xml:space="preserve">y derechos a facturar </w:t>
      </w:r>
      <w:r w:rsidRPr="00AC4AEA">
        <w:rPr>
          <w:rFonts w:ascii="Arial" w:hAnsi="Arial" w:cs="Arial"/>
          <w:sz w:val="20"/>
          <w:szCs w:val="20"/>
        </w:rPr>
        <w:t>a clientes</w:t>
      </w:r>
      <w:r w:rsidR="007D5FE9" w:rsidRPr="00AC4AEA">
        <w:rPr>
          <w:rFonts w:ascii="Arial" w:hAnsi="Arial" w:cs="Arial"/>
          <w:sz w:val="20"/>
          <w:szCs w:val="20"/>
        </w:rPr>
        <w:t xml:space="preserve"> en moneda</w:t>
      </w:r>
      <w:r w:rsidRPr="00AC4AEA">
        <w:rPr>
          <w:rFonts w:ascii="Arial" w:hAnsi="Arial" w:cs="Arial"/>
          <w:sz w:val="20"/>
          <w:szCs w:val="20"/>
        </w:rPr>
        <w:t>.</w:t>
      </w:r>
    </w:p>
    <w:p w:rsidR="007D5FE9" w:rsidRPr="00AC4AEA" w:rsidRDefault="007D5FE9"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Cuentas por cobrar a clientes en especie.</w:t>
      </w:r>
    </w:p>
    <w:p w:rsidR="00235A4B"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Otras cuentas por cobrar</w:t>
      </w:r>
      <w:r w:rsidR="005C6955" w:rsidRPr="00AC4AEA">
        <w:rPr>
          <w:rFonts w:ascii="Arial" w:hAnsi="Arial" w:cs="Arial"/>
          <w:sz w:val="20"/>
          <w:szCs w:val="20"/>
        </w:rPr>
        <w:t xml:space="preserve"> en moneda.</w:t>
      </w:r>
    </w:p>
    <w:p w:rsidR="005C6955" w:rsidRPr="00AC4AEA" w:rsidRDefault="005C6955"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lastRenderedPageBreak/>
        <w:t>Otras cuentas por cobrar en especie.</w:t>
      </w:r>
    </w:p>
    <w:p w:rsidR="00235A4B"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Bienes de cambio.</w:t>
      </w:r>
    </w:p>
    <w:p w:rsidR="00235A4B"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Bienes de uso.</w:t>
      </w:r>
    </w:p>
    <w:p w:rsidR="00235A4B" w:rsidRPr="00AC4AEA" w:rsidRDefault="00497590"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Activos</w:t>
      </w:r>
      <w:r w:rsidR="00235A4B" w:rsidRPr="00AC4AEA">
        <w:rPr>
          <w:rFonts w:ascii="Arial" w:hAnsi="Arial" w:cs="Arial"/>
          <w:sz w:val="20"/>
          <w:szCs w:val="20"/>
        </w:rPr>
        <w:t xml:space="preserve"> intangibles.</w:t>
      </w:r>
    </w:p>
    <w:p w:rsidR="00235A4B"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Propiedades de inversión.</w:t>
      </w:r>
    </w:p>
    <w:p w:rsidR="00BD2DB8" w:rsidRPr="00AC4AEA" w:rsidRDefault="00BD2DB8"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Participaciones permanentes en otras entidades.</w:t>
      </w:r>
    </w:p>
    <w:p w:rsidR="00BD2DB8"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Otras inversiones.</w:t>
      </w:r>
    </w:p>
    <w:p w:rsidR="00E3070A" w:rsidRPr="00AC4AEA" w:rsidRDefault="00235A4B"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 xml:space="preserve">Otros </w:t>
      </w:r>
      <w:r w:rsidR="00497590" w:rsidRPr="00AC4AEA">
        <w:rPr>
          <w:rFonts w:ascii="Arial" w:hAnsi="Arial" w:cs="Arial"/>
          <w:sz w:val="20"/>
          <w:szCs w:val="20"/>
        </w:rPr>
        <w:t>activos</w:t>
      </w:r>
      <w:r w:rsidRPr="00AC4AEA">
        <w:rPr>
          <w:rFonts w:ascii="Arial" w:hAnsi="Arial" w:cs="Arial"/>
          <w:sz w:val="20"/>
          <w:szCs w:val="20"/>
        </w:rPr>
        <w:t>.</w:t>
      </w:r>
    </w:p>
    <w:p w:rsidR="00235A4B" w:rsidRPr="00AC4AEA" w:rsidRDefault="00E3070A" w:rsidP="00A318EA">
      <w:pPr>
        <w:pStyle w:val="Prrafodelista"/>
        <w:numPr>
          <w:ilvl w:val="0"/>
          <w:numId w:val="422"/>
        </w:numPr>
        <w:ind w:left="1560"/>
        <w:contextualSpacing w:val="0"/>
        <w:jc w:val="both"/>
        <w:rPr>
          <w:rFonts w:ascii="Arial" w:hAnsi="Arial" w:cs="Arial"/>
          <w:sz w:val="20"/>
          <w:szCs w:val="20"/>
        </w:rPr>
      </w:pPr>
      <w:r w:rsidRPr="00AC4AEA">
        <w:rPr>
          <w:rFonts w:ascii="Arial" w:hAnsi="Arial" w:cs="Arial"/>
          <w:sz w:val="20"/>
          <w:szCs w:val="20"/>
        </w:rPr>
        <w:t>Activo neto por impuesto diferido.</w:t>
      </w:r>
      <w:r w:rsidR="00235A4B" w:rsidRPr="00AC4AEA">
        <w:rPr>
          <w:rFonts w:ascii="Arial" w:hAnsi="Arial" w:cs="Arial"/>
          <w:sz w:val="20"/>
          <w:szCs w:val="20"/>
        </w:rPr>
        <w:t xml:space="preserve"> </w:t>
      </w:r>
    </w:p>
    <w:p w:rsidR="00235A4B" w:rsidRPr="00AC4AEA" w:rsidRDefault="003E2C0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En el estado de situación patrimonial, una entidad distinguirá l</w:t>
      </w:r>
      <w:r w:rsidR="00CB1E44" w:rsidRPr="00AC4AEA">
        <w:rPr>
          <w:rFonts w:ascii="Arial" w:hAnsi="Arial" w:cs="Arial"/>
          <w:sz w:val="20"/>
          <w:szCs w:val="20"/>
        </w:rPr>
        <w:t>o</w:t>
      </w:r>
      <w:r w:rsidRPr="00AC4AEA">
        <w:rPr>
          <w:rFonts w:ascii="Arial" w:hAnsi="Arial" w:cs="Arial"/>
          <w:sz w:val="20"/>
          <w:szCs w:val="20"/>
        </w:rPr>
        <w:t xml:space="preserve">s siguientes </w:t>
      </w:r>
      <w:r w:rsidR="00CB1E44" w:rsidRPr="00AC4AEA">
        <w:rPr>
          <w:rFonts w:ascii="Arial" w:hAnsi="Arial" w:cs="Arial"/>
          <w:sz w:val="20"/>
          <w:szCs w:val="20"/>
        </w:rPr>
        <w:t>rubros</w:t>
      </w:r>
      <w:r w:rsidRPr="00AC4AEA">
        <w:rPr>
          <w:rFonts w:ascii="Arial" w:hAnsi="Arial" w:cs="Arial"/>
          <w:sz w:val="20"/>
          <w:szCs w:val="20"/>
        </w:rPr>
        <w:t xml:space="preserve"> referid</w:t>
      </w:r>
      <w:r w:rsidR="00CB1E44" w:rsidRPr="00AC4AEA">
        <w:rPr>
          <w:rFonts w:ascii="Arial" w:hAnsi="Arial" w:cs="Arial"/>
          <w:sz w:val="20"/>
          <w:szCs w:val="20"/>
        </w:rPr>
        <w:t>o</w:t>
      </w:r>
      <w:r w:rsidRPr="00AC4AEA">
        <w:rPr>
          <w:rFonts w:ascii="Arial" w:hAnsi="Arial" w:cs="Arial"/>
          <w:sz w:val="20"/>
          <w:szCs w:val="20"/>
        </w:rPr>
        <w:t xml:space="preserve">s al </w:t>
      </w:r>
      <w:r w:rsidRPr="00181A70">
        <w:rPr>
          <w:rFonts w:ascii="Arial" w:hAnsi="Arial" w:cs="Arial"/>
          <w:b/>
          <w:bCs/>
          <w:sz w:val="20"/>
          <w:szCs w:val="20"/>
        </w:rPr>
        <w:t>pasivo</w:t>
      </w:r>
      <w:r w:rsidRPr="00AC4AEA">
        <w:rPr>
          <w:rFonts w:ascii="Arial" w:hAnsi="Arial" w:cs="Arial"/>
          <w:sz w:val="20"/>
          <w:szCs w:val="20"/>
        </w:rPr>
        <w:t>, clasificad</w:t>
      </w:r>
      <w:r w:rsidR="00CB1E44" w:rsidRPr="00AC4AEA">
        <w:rPr>
          <w:rFonts w:ascii="Arial" w:hAnsi="Arial" w:cs="Arial"/>
          <w:sz w:val="20"/>
          <w:szCs w:val="20"/>
        </w:rPr>
        <w:t>o</w:t>
      </w:r>
      <w:r w:rsidRPr="00AC4AEA">
        <w:rPr>
          <w:rFonts w:ascii="Arial" w:hAnsi="Arial" w:cs="Arial"/>
          <w:sz w:val="20"/>
          <w:szCs w:val="20"/>
        </w:rPr>
        <w:t xml:space="preserve">s como se indica </w:t>
      </w:r>
      <w:r w:rsidR="005B725F" w:rsidRPr="00AC4AEA">
        <w:rPr>
          <w:rFonts w:ascii="Arial" w:hAnsi="Arial" w:cs="Arial"/>
          <w:sz w:val="20"/>
          <w:szCs w:val="20"/>
        </w:rPr>
        <w:t xml:space="preserve">en los párrafos </w:t>
      </w:r>
      <w:fldSimple w:instr=" REF _Ref103673441 \r \h  \* MERGEFORMAT ">
        <w:r w:rsidR="00D33A5D" w:rsidRPr="00D33A5D">
          <w:rPr>
            <w:rFonts w:ascii="Arial" w:hAnsi="Arial" w:cs="Arial"/>
            <w:sz w:val="20"/>
            <w:szCs w:val="20"/>
          </w:rPr>
          <w:t>612</w:t>
        </w:r>
      </w:fldSimple>
      <w:r w:rsidR="00974436" w:rsidRPr="00AC4AEA">
        <w:rPr>
          <w:rFonts w:ascii="Arial" w:hAnsi="Arial" w:cs="Arial"/>
          <w:sz w:val="20"/>
          <w:szCs w:val="20"/>
        </w:rPr>
        <w:t xml:space="preserve"> a </w:t>
      </w:r>
      <w:fldSimple w:instr=" REF _Ref103775832 \r \h  \* MERGEFORMAT ">
        <w:r w:rsidR="00D33A5D" w:rsidRPr="00D33A5D">
          <w:rPr>
            <w:rFonts w:ascii="Arial" w:hAnsi="Arial" w:cs="Arial"/>
            <w:sz w:val="20"/>
            <w:szCs w:val="20"/>
          </w:rPr>
          <w:t>623</w:t>
        </w:r>
      </w:fldSimple>
      <w:r w:rsidR="00235A4B" w:rsidRPr="00AC4AEA">
        <w:rPr>
          <w:rFonts w:ascii="Arial" w:hAnsi="Arial" w:cs="Arial"/>
          <w:sz w:val="20"/>
          <w:szCs w:val="20"/>
        </w:rPr>
        <w:t>:</w:t>
      </w:r>
    </w:p>
    <w:p w:rsidR="00235A4B" w:rsidRPr="00AC4AEA" w:rsidRDefault="00235A4B" w:rsidP="00A318EA">
      <w:pPr>
        <w:pStyle w:val="Prrafodelista"/>
        <w:numPr>
          <w:ilvl w:val="0"/>
          <w:numId w:val="423"/>
        </w:numPr>
        <w:ind w:left="1560"/>
        <w:contextualSpacing w:val="0"/>
        <w:jc w:val="both"/>
        <w:rPr>
          <w:rFonts w:ascii="Arial" w:hAnsi="Arial" w:cs="Arial"/>
          <w:sz w:val="20"/>
          <w:szCs w:val="20"/>
        </w:rPr>
      </w:pPr>
      <w:r w:rsidRPr="00AC4AEA">
        <w:rPr>
          <w:rFonts w:ascii="Arial" w:hAnsi="Arial" w:cs="Arial"/>
          <w:sz w:val="20"/>
          <w:szCs w:val="20"/>
        </w:rPr>
        <w:t xml:space="preserve">Deudas con proveedores de bienes </w:t>
      </w:r>
      <w:r w:rsidR="007D5FE9" w:rsidRPr="00AC4AEA">
        <w:rPr>
          <w:rFonts w:ascii="Arial" w:hAnsi="Arial" w:cs="Arial"/>
          <w:sz w:val="20"/>
          <w:szCs w:val="20"/>
        </w:rPr>
        <w:t>o</w:t>
      </w:r>
      <w:r w:rsidRPr="00AC4AEA">
        <w:rPr>
          <w:rFonts w:ascii="Arial" w:hAnsi="Arial" w:cs="Arial"/>
          <w:sz w:val="20"/>
          <w:szCs w:val="20"/>
        </w:rPr>
        <w:t xml:space="preserve"> servicios.</w:t>
      </w:r>
    </w:p>
    <w:p w:rsidR="00235A4B" w:rsidRPr="00AC4AEA" w:rsidRDefault="00235A4B" w:rsidP="00A318EA">
      <w:pPr>
        <w:pStyle w:val="Prrafodelista"/>
        <w:numPr>
          <w:ilvl w:val="0"/>
          <w:numId w:val="423"/>
        </w:numPr>
        <w:ind w:left="1560"/>
        <w:contextualSpacing w:val="0"/>
        <w:jc w:val="both"/>
        <w:rPr>
          <w:rFonts w:ascii="Arial" w:hAnsi="Arial" w:cs="Arial"/>
          <w:sz w:val="20"/>
          <w:szCs w:val="20"/>
        </w:rPr>
      </w:pPr>
      <w:r w:rsidRPr="00AC4AEA">
        <w:rPr>
          <w:rFonts w:ascii="Arial" w:hAnsi="Arial" w:cs="Arial"/>
          <w:sz w:val="20"/>
          <w:szCs w:val="20"/>
        </w:rPr>
        <w:t xml:space="preserve">Préstamos y otros </w:t>
      </w:r>
      <w:r w:rsidR="00497590" w:rsidRPr="00AC4AEA">
        <w:rPr>
          <w:rFonts w:ascii="Arial" w:hAnsi="Arial" w:cs="Arial"/>
          <w:sz w:val="20"/>
          <w:szCs w:val="20"/>
        </w:rPr>
        <w:t>pasivos</w:t>
      </w:r>
      <w:r w:rsidRPr="00AC4AEA">
        <w:rPr>
          <w:rFonts w:ascii="Arial" w:hAnsi="Arial" w:cs="Arial"/>
          <w:sz w:val="20"/>
          <w:szCs w:val="20"/>
        </w:rPr>
        <w:t xml:space="preserve"> financieros.</w:t>
      </w:r>
    </w:p>
    <w:p w:rsidR="00235A4B" w:rsidRPr="00AC4AEA" w:rsidRDefault="00235A4B" w:rsidP="00A318EA">
      <w:pPr>
        <w:pStyle w:val="Prrafodelista"/>
        <w:numPr>
          <w:ilvl w:val="0"/>
          <w:numId w:val="423"/>
        </w:numPr>
        <w:ind w:left="1560"/>
        <w:contextualSpacing w:val="0"/>
        <w:jc w:val="both"/>
        <w:rPr>
          <w:rFonts w:ascii="Arial" w:hAnsi="Arial" w:cs="Arial"/>
          <w:sz w:val="20"/>
          <w:szCs w:val="20"/>
        </w:rPr>
      </w:pPr>
      <w:r w:rsidRPr="00AC4AEA">
        <w:rPr>
          <w:rFonts w:ascii="Arial" w:hAnsi="Arial" w:cs="Arial"/>
          <w:sz w:val="20"/>
          <w:szCs w:val="20"/>
        </w:rPr>
        <w:t>Deudas fiscales.</w:t>
      </w:r>
    </w:p>
    <w:p w:rsidR="00235A4B" w:rsidRPr="00AC4AEA" w:rsidRDefault="00235A4B" w:rsidP="00A318EA">
      <w:pPr>
        <w:pStyle w:val="Prrafodelista"/>
        <w:numPr>
          <w:ilvl w:val="0"/>
          <w:numId w:val="423"/>
        </w:numPr>
        <w:ind w:left="1560"/>
        <w:contextualSpacing w:val="0"/>
        <w:jc w:val="both"/>
        <w:rPr>
          <w:rFonts w:ascii="Arial" w:hAnsi="Arial" w:cs="Arial"/>
          <w:sz w:val="20"/>
          <w:szCs w:val="20"/>
        </w:rPr>
      </w:pPr>
      <w:r w:rsidRPr="00AC4AEA">
        <w:rPr>
          <w:rFonts w:ascii="Arial" w:hAnsi="Arial" w:cs="Arial"/>
          <w:sz w:val="20"/>
          <w:szCs w:val="20"/>
        </w:rPr>
        <w:t>Deudas laborales y previsionales.</w:t>
      </w:r>
    </w:p>
    <w:p w:rsidR="00235A4B" w:rsidRPr="00AC4AEA" w:rsidRDefault="00235A4B" w:rsidP="00A318EA">
      <w:pPr>
        <w:pStyle w:val="Prrafodelista"/>
        <w:numPr>
          <w:ilvl w:val="0"/>
          <w:numId w:val="423"/>
        </w:numPr>
        <w:ind w:left="1560"/>
        <w:contextualSpacing w:val="0"/>
        <w:jc w:val="both"/>
        <w:rPr>
          <w:rFonts w:ascii="Arial" w:hAnsi="Arial" w:cs="Arial"/>
          <w:sz w:val="20"/>
          <w:szCs w:val="20"/>
        </w:rPr>
      </w:pPr>
      <w:r w:rsidRPr="00AC4AEA">
        <w:rPr>
          <w:rFonts w:ascii="Arial" w:hAnsi="Arial" w:cs="Arial"/>
          <w:sz w:val="20"/>
          <w:szCs w:val="20"/>
        </w:rPr>
        <w:t>Otras deudas</w:t>
      </w:r>
      <w:r w:rsidR="007D5FE9" w:rsidRPr="00AC4AEA">
        <w:rPr>
          <w:rFonts w:ascii="Arial" w:hAnsi="Arial" w:cs="Arial"/>
          <w:sz w:val="20"/>
          <w:szCs w:val="20"/>
        </w:rPr>
        <w:t>.</w:t>
      </w:r>
    </w:p>
    <w:p w:rsidR="00E3070A" w:rsidRPr="00AC4AEA" w:rsidRDefault="00E3070A" w:rsidP="00A318EA">
      <w:pPr>
        <w:pStyle w:val="Prrafodelista"/>
        <w:numPr>
          <w:ilvl w:val="0"/>
          <w:numId w:val="423"/>
        </w:numPr>
        <w:ind w:left="1560"/>
        <w:contextualSpacing w:val="0"/>
        <w:jc w:val="both"/>
        <w:rPr>
          <w:rFonts w:ascii="Arial" w:hAnsi="Arial" w:cs="Arial"/>
          <w:sz w:val="20"/>
          <w:szCs w:val="20"/>
        </w:rPr>
      </w:pPr>
      <w:r w:rsidRPr="00AC4AEA">
        <w:rPr>
          <w:rFonts w:ascii="Arial" w:hAnsi="Arial" w:cs="Arial"/>
          <w:sz w:val="20"/>
          <w:szCs w:val="20"/>
        </w:rPr>
        <w:t xml:space="preserve">Pasivo neto por impuesto diferido. </w:t>
      </w:r>
    </w:p>
    <w:p w:rsidR="00235A4B" w:rsidRPr="00AC4AEA" w:rsidRDefault="00235A4B" w:rsidP="00A318EA">
      <w:pPr>
        <w:pStyle w:val="Prrafodelista"/>
        <w:numPr>
          <w:ilvl w:val="0"/>
          <w:numId w:val="423"/>
        </w:numPr>
        <w:ind w:left="1560"/>
        <w:contextualSpacing w:val="0"/>
        <w:jc w:val="both"/>
        <w:rPr>
          <w:rFonts w:ascii="Arial" w:hAnsi="Arial" w:cs="Arial"/>
          <w:sz w:val="20"/>
          <w:szCs w:val="20"/>
        </w:rPr>
      </w:pPr>
      <w:r w:rsidRPr="00AC4AEA">
        <w:rPr>
          <w:rFonts w:ascii="Arial" w:hAnsi="Arial" w:cs="Arial"/>
          <w:sz w:val="20"/>
          <w:szCs w:val="20"/>
        </w:rPr>
        <w:t>Previsiones.</w:t>
      </w:r>
    </w:p>
    <w:p w:rsidR="00235A4B" w:rsidRPr="00AC4AEA" w:rsidRDefault="00BD63D0" w:rsidP="00A318EA">
      <w:pPr>
        <w:pStyle w:val="A-Normal10"/>
        <w:numPr>
          <w:ilvl w:val="0"/>
          <w:numId w:val="29"/>
        </w:numPr>
        <w:jc w:val="both"/>
        <w:rPr>
          <w:rFonts w:ascii="Arial" w:hAnsi="Arial" w:cs="Arial"/>
          <w:b/>
        </w:rPr>
      </w:pPr>
      <w:r w:rsidRPr="00AC4AEA">
        <w:rPr>
          <w:rFonts w:ascii="Arial" w:hAnsi="Arial" w:cs="Arial"/>
        </w:rPr>
        <w:t xml:space="preserve">Una entidad expondrá, en el estado de situación patrimonial, el </w:t>
      </w:r>
      <w:r w:rsidRPr="00AC4AEA">
        <w:rPr>
          <w:rFonts w:ascii="Arial" w:hAnsi="Arial" w:cs="Arial"/>
          <w:b/>
          <w:bCs/>
        </w:rPr>
        <w:t>patrimonio neto</w:t>
      </w:r>
      <w:r w:rsidRPr="00AC4AEA">
        <w:rPr>
          <w:rFonts w:ascii="Arial" w:hAnsi="Arial" w:cs="Arial"/>
        </w:rPr>
        <w:t xml:space="preserve"> en una línea, y lo referenciará al estado de evolución del patrimonio neto.</w:t>
      </w:r>
    </w:p>
    <w:p w:rsidR="00BD63D0" w:rsidRPr="00AC4AEA" w:rsidRDefault="00BD63D0" w:rsidP="00A318EA">
      <w:pPr>
        <w:rPr>
          <w:rFonts w:ascii="Arial" w:hAnsi="Arial" w:cs="Arial"/>
          <w:sz w:val="20"/>
          <w:szCs w:val="20"/>
        </w:rPr>
      </w:pPr>
    </w:p>
    <w:p w:rsidR="00630313" w:rsidRPr="00AC4AEA" w:rsidRDefault="00630313" w:rsidP="00A318EA">
      <w:pPr>
        <w:pStyle w:val="Ttulo2"/>
        <w:rPr>
          <w:rFonts w:cs="Arial"/>
        </w:rPr>
      </w:pPr>
      <w:bookmarkStart w:id="882" w:name="_Toc139356889"/>
      <w:r w:rsidRPr="00AC4AEA">
        <w:rPr>
          <w:rFonts w:cs="Arial"/>
        </w:rPr>
        <w:t>Clasificación</w:t>
      </w:r>
      <w:bookmarkEnd w:id="881"/>
      <w:r w:rsidR="002605A2" w:rsidRPr="00AC4AEA">
        <w:rPr>
          <w:rFonts w:cs="Arial"/>
        </w:rPr>
        <w:t>: selección de la base de presentación más relevante</w:t>
      </w:r>
      <w:bookmarkEnd w:id="882"/>
    </w:p>
    <w:p w:rsidR="00630313" w:rsidRPr="00AC4AEA" w:rsidRDefault="00630313" w:rsidP="00A318EA">
      <w:pPr>
        <w:pStyle w:val="Prrafodelista"/>
        <w:numPr>
          <w:ilvl w:val="0"/>
          <w:numId w:val="29"/>
        </w:numPr>
        <w:contextualSpacing w:val="0"/>
        <w:jc w:val="both"/>
        <w:rPr>
          <w:rFonts w:ascii="Arial" w:hAnsi="Arial" w:cs="Arial"/>
          <w:sz w:val="20"/>
          <w:szCs w:val="20"/>
        </w:rPr>
      </w:pPr>
      <w:bookmarkStart w:id="883" w:name="_Hlk103714641"/>
      <w:bookmarkStart w:id="884" w:name="_Ref103673441"/>
      <w:r w:rsidRPr="00AC4AEA">
        <w:rPr>
          <w:rFonts w:ascii="Arial" w:hAnsi="Arial" w:cs="Arial"/>
          <w:sz w:val="20"/>
          <w:szCs w:val="20"/>
        </w:rPr>
        <w:t xml:space="preserve">Una entidad clasificará sus </w:t>
      </w:r>
      <w:r w:rsidR="00497590" w:rsidRPr="00AC4AEA">
        <w:rPr>
          <w:rFonts w:ascii="Arial" w:hAnsi="Arial" w:cs="Arial"/>
          <w:sz w:val="20"/>
          <w:szCs w:val="20"/>
        </w:rPr>
        <w:t>activos</w:t>
      </w:r>
      <w:r w:rsidRPr="00AC4AEA">
        <w:rPr>
          <w:rFonts w:ascii="Arial" w:hAnsi="Arial" w:cs="Arial"/>
          <w:sz w:val="20"/>
          <w:szCs w:val="20"/>
        </w:rPr>
        <w:t xml:space="preserve"> y </w:t>
      </w:r>
      <w:r w:rsidR="00497590" w:rsidRPr="00AC4AEA">
        <w:rPr>
          <w:rFonts w:ascii="Arial" w:hAnsi="Arial" w:cs="Arial"/>
          <w:sz w:val="20"/>
          <w:szCs w:val="20"/>
        </w:rPr>
        <w:t>pasivos</w:t>
      </w:r>
      <w:r w:rsidRPr="00AC4AEA">
        <w:rPr>
          <w:rFonts w:ascii="Arial" w:hAnsi="Arial" w:cs="Arial"/>
          <w:sz w:val="20"/>
          <w:szCs w:val="20"/>
        </w:rPr>
        <w:t xml:space="preserve"> como </w:t>
      </w:r>
      <w:r w:rsidR="00497590" w:rsidRPr="00AC4AEA">
        <w:rPr>
          <w:rFonts w:ascii="Arial" w:hAnsi="Arial" w:cs="Arial"/>
          <w:sz w:val="20"/>
          <w:szCs w:val="20"/>
        </w:rPr>
        <w:t>activos</w:t>
      </w:r>
      <w:r w:rsidRPr="00AC4AEA">
        <w:rPr>
          <w:rFonts w:ascii="Arial" w:hAnsi="Arial" w:cs="Arial"/>
          <w:sz w:val="20"/>
          <w:szCs w:val="20"/>
        </w:rPr>
        <w:t xml:space="preserve"> (</w:t>
      </w:r>
      <w:r w:rsidR="00497590" w:rsidRPr="00AC4AEA">
        <w:rPr>
          <w:rFonts w:ascii="Arial" w:hAnsi="Arial" w:cs="Arial"/>
          <w:sz w:val="20"/>
          <w:szCs w:val="20"/>
        </w:rPr>
        <w:t>pasivos</w:t>
      </w:r>
      <w:r w:rsidRPr="00AC4AEA">
        <w:rPr>
          <w:rFonts w:ascii="Arial" w:hAnsi="Arial" w:cs="Arial"/>
          <w:sz w:val="20"/>
          <w:szCs w:val="20"/>
        </w:rPr>
        <w:t xml:space="preserve">) corrientes o </w:t>
      </w:r>
      <w:r w:rsidR="00497590" w:rsidRPr="00AC4AEA">
        <w:rPr>
          <w:rFonts w:ascii="Arial" w:hAnsi="Arial" w:cs="Arial"/>
          <w:sz w:val="20"/>
          <w:szCs w:val="20"/>
        </w:rPr>
        <w:t>activos</w:t>
      </w:r>
      <w:r w:rsidRPr="00AC4AEA">
        <w:rPr>
          <w:rFonts w:ascii="Arial" w:hAnsi="Arial" w:cs="Arial"/>
          <w:sz w:val="20"/>
          <w:szCs w:val="20"/>
        </w:rPr>
        <w:t xml:space="preserve"> (</w:t>
      </w:r>
      <w:r w:rsidR="00497590" w:rsidRPr="00AC4AEA">
        <w:rPr>
          <w:rFonts w:ascii="Arial" w:hAnsi="Arial" w:cs="Arial"/>
          <w:sz w:val="20"/>
          <w:szCs w:val="20"/>
        </w:rPr>
        <w:t>pasivos</w:t>
      </w:r>
      <w:r w:rsidRPr="00AC4AEA">
        <w:rPr>
          <w:rFonts w:ascii="Arial" w:hAnsi="Arial" w:cs="Arial"/>
          <w:sz w:val="20"/>
          <w:szCs w:val="20"/>
        </w:rPr>
        <w:t>) no corrientes</w:t>
      </w:r>
      <w:bookmarkEnd w:id="883"/>
      <w:r w:rsidRPr="00AC4AEA">
        <w:rPr>
          <w:rFonts w:ascii="Arial" w:hAnsi="Arial" w:cs="Arial"/>
          <w:sz w:val="20"/>
          <w:szCs w:val="20"/>
        </w:rPr>
        <w:t xml:space="preserve">, excepto </w:t>
      </w:r>
      <w:r w:rsidR="00322537" w:rsidRPr="00AC4AEA">
        <w:rPr>
          <w:rFonts w:ascii="Arial" w:hAnsi="Arial" w:cs="Arial"/>
          <w:sz w:val="20"/>
          <w:szCs w:val="20"/>
        </w:rPr>
        <w:t>por lo establecido en el párrafo siguiente.</w:t>
      </w:r>
      <w:bookmarkEnd w:id="884"/>
    </w:p>
    <w:p w:rsidR="00630313" w:rsidRPr="00AC4AEA" w:rsidRDefault="00630313" w:rsidP="00A318EA">
      <w:pPr>
        <w:pStyle w:val="Prrafodelista"/>
        <w:numPr>
          <w:ilvl w:val="0"/>
          <w:numId w:val="29"/>
        </w:numPr>
        <w:contextualSpacing w:val="0"/>
        <w:jc w:val="both"/>
        <w:rPr>
          <w:rFonts w:ascii="Arial" w:hAnsi="Arial" w:cs="Arial"/>
          <w:sz w:val="20"/>
          <w:szCs w:val="20"/>
        </w:rPr>
      </w:pPr>
      <w:bookmarkStart w:id="885" w:name="_Ref103673444"/>
      <w:r w:rsidRPr="00AC4AEA">
        <w:rPr>
          <w:rFonts w:ascii="Arial" w:hAnsi="Arial" w:cs="Arial"/>
          <w:sz w:val="20"/>
          <w:szCs w:val="20"/>
        </w:rPr>
        <w:t xml:space="preserve">Cuando una presentación basada en el grado de liquidez </w:t>
      </w:r>
      <w:r w:rsidR="008A7E88" w:rsidRPr="00AC4AEA">
        <w:rPr>
          <w:rFonts w:ascii="Arial" w:hAnsi="Arial" w:cs="Arial"/>
          <w:sz w:val="20"/>
          <w:szCs w:val="20"/>
        </w:rPr>
        <w:t xml:space="preserve">(exigibilidad) </w:t>
      </w:r>
      <w:r w:rsidRPr="00AC4AEA">
        <w:rPr>
          <w:rFonts w:ascii="Arial" w:hAnsi="Arial" w:cs="Arial"/>
          <w:sz w:val="20"/>
          <w:szCs w:val="20"/>
        </w:rPr>
        <w:t>proporcione una información fiable que sea más relevante que la clasificación como corriente o no corriente, una entidad:</w:t>
      </w:r>
      <w:bookmarkEnd w:id="885"/>
      <w:r w:rsidRPr="00AC4AEA">
        <w:rPr>
          <w:rFonts w:ascii="Arial" w:hAnsi="Arial" w:cs="Arial"/>
          <w:sz w:val="20"/>
          <w:szCs w:val="20"/>
        </w:rPr>
        <w:t xml:space="preserve"> </w:t>
      </w:r>
    </w:p>
    <w:p w:rsidR="0074293A" w:rsidRPr="00AC4AEA" w:rsidRDefault="0074293A" w:rsidP="00A318EA">
      <w:pPr>
        <w:pStyle w:val="Prrafodelista"/>
        <w:numPr>
          <w:ilvl w:val="0"/>
          <w:numId w:val="292"/>
        </w:numPr>
        <w:ind w:left="1560"/>
        <w:contextualSpacing w:val="0"/>
        <w:jc w:val="both"/>
        <w:rPr>
          <w:rFonts w:ascii="Arial" w:hAnsi="Arial" w:cs="Arial"/>
          <w:sz w:val="20"/>
          <w:szCs w:val="20"/>
        </w:rPr>
      </w:pPr>
      <w:r w:rsidRPr="00AC4AEA">
        <w:rPr>
          <w:rFonts w:ascii="Arial" w:hAnsi="Arial" w:cs="Arial"/>
          <w:sz w:val="20"/>
          <w:szCs w:val="20"/>
        </w:rPr>
        <w:t>P</w:t>
      </w:r>
      <w:r w:rsidR="00630313" w:rsidRPr="00AC4AEA">
        <w:rPr>
          <w:rFonts w:ascii="Arial" w:hAnsi="Arial" w:cs="Arial"/>
          <w:sz w:val="20"/>
          <w:szCs w:val="20"/>
        </w:rPr>
        <w:t>resentará</w:t>
      </w:r>
      <w:r w:rsidRPr="00AC4AEA">
        <w:rPr>
          <w:rFonts w:ascii="Arial" w:hAnsi="Arial" w:cs="Arial"/>
          <w:sz w:val="20"/>
          <w:szCs w:val="20"/>
        </w:rPr>
        <w:t>:</w:t>
      </w:r>
      <w:r w:rsidR="00630313" w:rsidRPr="00AC4AEA">
        <w:rPr>
          <w:rFonts w:ascii="Arial" w:hAnsi="Arial" w:cs="Arial"/>
          <w:sz w:val="20"/>
          <w:szCs w:val="20"/>
        </w:rPr>
        <w:t xml:space="preserve"> </w:t>
      </w:r>
    </w:p>
    <w:p w:rsidR="006E7825" w:rsidRPr="00AC4AEA" w:rsidRDefault="00630313"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todos los </w:t>
      </w:r>
      <w:r w:rsidR="00497590" w:rsidRPr="00AC4AEA">
        <w:rPr>
          <w:rFonts w:ascii="Arial" w:hAnsi="Arial" w:cs="Arial"/>
          <w:sz w:val="20"/>
          <w:szCs w:val="20"/>
        </w:rPr>
        <w:t>activos</w:t>
      </w:r>
      <w:r w:rsidR="006E7825" w:rsidRPr="00AC4AEA">
        <w:rPr>
          <w:rFonts w:ascii="Arial" w:hAnsi="Arial" w:cs="Arial"/>
          <w:sz w:val="20"/>
          <w:szCs w:val="20"/>
        </w:rPr>
        <w:t>,</w:t>
      </w:r>
      <w:r w:rsidRPr="00AC4AEA">
        <w:rPr>
          <w:rFonts w:ascii="Arial" w:hAnsi="Arial" w:cs="Arial"/>
          <w:sz w:val="20"/>
          <w:szCs w:val="20"/>
        </w:rPr>
        <w:t xml:space="preserve"> ordenados de acuerdo con su liquidez</w:t>
      </w:r>
      <w:r w:rsidR="006E7825" w:rsidRPr="00AC4AEA">
        <w:rPr>
          <w:rFonts w:ascii="Arial" w:hAnsi="Arial" w:cs="Arial"/>
          <w:sz w:val="20"/>
          <w:szCs w:val="20"/>
        </w:rPr>
        <w:t xml:space="preserve"> (ascendente o descendente); y</w:t>
      </w:r>
      <w:r w:rsidR="001644F8" w:rsidRPr="00AC4AEA">
        <w:rPr>
          <w:rFonts w:ascii="Arial" w:hAnsi="Arial" w:cs="Arial"/>
          <w:sz w:val="20"/>
          <w:szCs w:val="20"/>
        </w:rPr>
        <w:t xml:space="preserve"> </w:t>
      </w:r>
    </w:p>
    <w:p w:rsidR="006E7825" w:rsidRPr="00AC4AEA" w:rsidRDefault="006E7825" w:rsidP="00A318EA">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todos los pasivos ordenados de acuerdo con:</w:t>
      </w:r>
    </w:p>
    <w:p w:rsidR="006E7825" w:rsidRPr="00AC4AEA" w:rsidRDefault="006E7825" w:rsidP="00A318EA">
      <w:pPr>
        <w:pStyle w:val="Prrafodelista"/>
        <w:numPr>
          <w:ilvl w:val="3"/>
          <w:numId w:val="29"/>
        </w:numPr>
        <w:contextualSpacing w:val="0"/>
        <w:jc w:val="both"/>
        <w:rPr>
          <w:rFonts w:ascii="Arial" w:hAnsi="Arial" w:cs="Arial"/>
          <w:sz w:val="20"/>
          <w:szCs w:val="20"/>
        </w:rPr>
      </w:pPr>
      <w:r w:rsidRPr="00AC4AEA">
        <w:rPr>
          <w:rFonts w:ascii="Arial" w:hAnsi="Arial" w:cs="Arial"/>
          <w:sz w:val="20"/>
          <w:szCs w:val="20"/>
        </w:rPr>
        <w:lastRenderedPageBreak/>
        <w:t>su naturaleza; o</w:t>
      </w:r>
    </w:p>
    <w:p w:rsidR="00630313" w:rsidRPr="00AC4AEA" w:rsidRDefault="006E7825" w:rsidP="00A318EA">
      <w:pPr>
        <w:pStyle w:val="Prrafodelista"/>
        <w:numPr>
          <w:ilvl w:val="3"/>
          <w:numId w:val="29"/>
        </w:numPr>
        <w:contextualSpacing w:val="0"/>
        <w:jc w:val="both"/>
        <w:rPr>
          <w:rFonts w:ascii="Arial" w:hAnsi="Arial" w:cs="Arial"/>
          <w:sz w:val="20"/>
          <w:szCs w:val="20"/>
        </w:rPr>
      </w:pPr>
      <w:r w:rsidRPr="00AC4AEA">
        <w:rPr>
          <w:rFonts w:ascii="Arial" w:hAnsi="Arial" w:cs="Arial"/>
          <w:sz w:val="20"/>
          <w:szCs w:val="20"/>
        </w:rPr>
        <w:t>su exigibilidad</w:t>
      </w:r>
      <w:r w:rsidR="00630313" w:rsidRPr="00AC4AEA">
        <w:rPr>
          <w:rFonts w:ascii="Arial" w:hAnsi="Arial" w:cs="Arial"/>
          <w:sz w:val="20"/>
          <w:szCs w:val="20"/>
        </w:rPr>
        <w:t xml:space="preserve"> </w:t>
      </w:r>
      <w:r w:rsidR="000F38D6" w:rsidRPr="00AC4AEA">
        <w:rPr>
          <w:rFonts w:ascii="Arial" w:hAnsi="Arial" w:cs="Arial"/>
          <w:sz w:val="20"/>
          <w:szCs w:val="20"/>
        </w:rPr>
        <w:t xml:space="preserve">global </w:t>
      </w:r>
      <w:r w:rsidR="00630313" w:rsidRPr="00AC4AEA">
        <w:rPr>
          <w:rFonts w:ascii="Arial" w:hAnsi="Arial" w:cs="Arial"/>
          <w:sz w:val="20"/>
          <w:szCs w:val="20"/>
        </w:rPr>
        <w:t>aproximada (ascendente o descendente</w:t>
      </w:r>
      <w:r w:rsidRPr="00AC4AEA">
        <w:rPr>
          <w:rFonts w:ascii="Arial" w:hAnsi="Arial" w:cs="Arial"/>
          <w:sz w:val="20"/>
          <w:szCs w:val="20"/>
        </w:rPr>
        <w:t>, de forma consistente con el criterio utilizado para presentar los activos</w:t>
      </w:r>
      <w:r w:rsidR="00630313" w:rsidRPr="00AC4AEA">
        <w:rPr>
          <w:rFonts w:ascii="Arial" w:hAnsi="Arial" w:cs="Arial"/>
          <w:sz w:val="20"/>
          <w:szCs w:val="20"/>
        </w:rPr>
        <w:t>)</w:t>
      </w:r>
      <w:r w:rsidRPr="00AC4AEA">
        <w:rPr>
          <w:rFonts w:ascii="Arial" w:hAnsi="Arial" w:cs="Arial"/>
          <w:sz w:val="20"/>
          <w:szCs w:val="20"/>
        </w:rPr>
        <w:t>.</w:t>
      </w:r>
    </w:p>
    <w:p w:rsidR="00235A4B" w:rsidRPr="00AC4AEA" w:rsidRDefault="00235A4B" w:rsidP="00A318EA">
      <w:pPr>
        <w:pStyle w:val="Prrafodelista"/>
        <w:numPr>
          <w:ilvl w:val="0"/>
          <w:numId w:val="292"/>
        </w:numPr>
        <w:ind w:left="1560"/>
        <w:contextualSpacing w:val="0"/>
        <w:jc w:val="both"/>
        <w:rPr>
          <w:rFonts w:ascii="Arial" w:hAnsi="Arial" w:cs="Arial"/>
          <w:sz w:val="20"/>
          <w:szCs w:val="20"/>
        </w:rPr>
      </w:pPr>
      <w:r w:rsidRPr="00AC4AEA">
        <w:rPr>
          <w:rFonts w:ascii="Arial" w:hAnsi="Arial" w:cs="Arial"/>
          <w:sz w:val="20"/>
          <w:szCs w:val="20"/>
        </w:rPr>
        <w:t>revelará en notas</w:t>
      </w:r>
      <w:r w:rsidR="009B18BE" w:rsidRPr="00AC4AEA">
        <w:rPr>
          <w:rFonts w:ascii="Arial" w:hAnsi="Arial" w:cs="Arial"/>
          <w:sz w:val="20"/>
          <w:szCs w:val="20"/>
        </w:rPr>
        <w:t>, para cada rubro,</w:t>
      </w:r>
      <w:r w:rsidRPr="00AC4AEA">
        <w:rPr>
          <w:rFonts w:ascii="Arial" w:hAnsi="Arial" w:cs="Arial"/>
          <w:sz w:val="20"/>
          <w:szCs w:val="20"/>
        </w:rPr>
        <w:t xml:space="preserve"> el importe esperado a recuperar o cancelar antes </w:t>
      </w:r>
      <w:r w:rsidR="00D075DA" w:rsidRPr="00AC4AEA">
        <w:rPr>
          <w:rFonts w:ascii="Arial" w:hAnsi="Arial" w:cs="Arial"/>
          <w:sz w:val="20"/>
          <w:szCs w:val="20"/>
        </w:rPr>
        <w:t>o</w:t>
      </w:r>
      <w:r w:rsidRPr="00AC4AEA">
        <w:rPr>
          <w:rFonts w:ascii="Arial" w:hAnsi="Arial" w:cs="Arial"/>
          <w:sz w:val="20"/>
          <w:szCs w:val="20"/>
        </w:rPr>
        <w:t xml:space="preserve"> después del plazo de doce meses, contado a partir de la </w:t>
      </w:r>
      <w:r w:rsidRPr="00AC4AEA">
        <w:rPr>
          <w:rFonts w:ascii="Arial" w:hAnsi="Arial" w:cs="Arial"/>
          <w:b/>
          <w:bCs/>
          <w:sz w:val="20"/>
          <w:szCs w:val="20"/>
        </w:rPr>
        <w:t>fecha de los estados contables.</w:t>
      </w:r>
    </w:p>
    <w:p w:rsidR="00235A4B" w:rsidRPr="00AC4AEA" w:rsidRDefault="00235A4B" w:rsidP="00A318EA">
      <w:pPr>
        <w:pStyle w:val="Prrafodelista"/>
        <w:numPr>
          <w:ilvl w:val="0"/>
          <w:numId w:val="29"/>
        </w:numPr>
        <w:ind w:left="992"/>
        <w:contextualSpacing w:val="0"/>
        <w:jc w:val="both"/>
        <w:rPr>
          <w:rFonts w:ascii="Arial" w:hAnsi="Arial" w:cs="Arial"/>
          <w:sz w:val="20"/>
          <w:szCs w:val="20"/>
        </w:rPr>
      </w:pPr>
      <w:bookmarkStart w:id="886" w:name="_Ref103850858"/>
      <w:r w:rsidRPr="00AC4AEA">
        <w:rPr>
          <w:rFonts w:ascii="Arial" w:hAnsi="Arial" w:cs="Arial"/>
          <w:sz w:val="20"/>
          <w:szCs w:val="20"/>
        </w:rPr>
        <w:t>Una entidad considerará que el tipo de presentación referido en el párrafo anterior es pertinente si no suministra bienes ni presta servicios dentro de un plazo claramente identificable. Normalmente es el caso de actividades tales como las desarrolladas por entidades financieras, fondos comunes de inversión o entidades aseguradoras.</w:t>
      </w:r>
      <w:bookmarkEnd w:id="886"/>
    </w:p>
    <w:p w:rsidR="00235A4B" w:rsidRPr="00AC4AEA" w:rsidRDefault="00235A4B" w:rsidP="00A318EA">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t>Cuando desarrolle actividades claramente diferenciadas (por ejemplo, fabricación de bienes o reventa de mercaderías y prestación de servicios financieros), una entidad podrá combinar:</w:t>
      </w:r>
    </w:p>
    <w:p w:rsidR="00235A4B" w:rsidRPr="00AC4AEA" w:rsidRDefault="00235A4B" w:rsidP="00A318EA">
      <w:pPr>
        <w:pStyle w:val="Prrafodelista"/>
        <w:numPr>
          <w:ilvl w:val="0"/>
          <w:numId w:val="424"/>
        </w:numPr>
        <w:ind w:left="1560"/>
        <w:contextualSpacing w:val="0"/>
        <w:jc w:val="both"/>
        <w:rPr>
          <w:rFonts w:ascii="Arial" w:hAnsi="Arial" w:cs="Arial"/>
          <w:sz w:val="20"/>
          <w:szCs w:val="20"/>
        </w:rPr>
      </w:pPr>
      <w:r w:rsidRPr="00AC4AEA">
        <w:rPr>
          <w:rFonts w:ascii="Arial" w:hAnsi="Arial" w:cs="Arial"/>
          <w:sz w:val="20"/>
          <w:szCs w:val="20"/>
        </w:rPr>
        <w:t xml:space="preserve">una clasificación de partidas entre rubros corrientes y no corrientes para algunas de ellas, según lo establecido en </w:t>
      </w:r>
      <w:r w:rsidR="009B6E3B" w:rsidRPr="00AC4AEA">
        <w:rPr>
          <w:rFonts w:ascii="Arial" w:hAnsi="Arial" w:cs="Arial"/>
          <w:sz w:val="20"/>
          <w:szCs w:val="20"/>
        </w:rPr>
        <w:t>los</w:t>
      </w:r>
      <w:r w:rsidRPr="00AC4AEA">
        <w:rPr>
          <w:rFonts w:ascii="Arial" w:hAnsi="Arial" w:cs="Arial"/>
          <w:sz w:val="20"/>
          <w:szCs w:val="20"/>
        </w:rPr>
        <w:t xml:space="preserve"> párrafo</w:t>
      </w:r>
      <w:r w:rsidR="009B6E3B" w:rsidRPr="00AC4AEA">
        <w:rPr>
          <w:rFonts w:ascii="Arial" w:hAnsi="Arial" w:cs="Arial"/>
          <w:sz w:val="20"/>
          <w:szCs w:val="20"/>
        </w:rPr>
        <w:t xml:space="preserve">s </w:t>
      </w:r>
      <w:fldSimple w:instr=" REF _Ref103850791 \r \h  \* MERGEFORMAT ">
        <w:r w:rsidR="00D33A5D" w:rsidRPr="00D33A5D">
          <w:rPr>
            <w:rFonts w:ascii="Arial" w:hAnsi="Arial" w:cs="Arial"/>
            <w:sz w:val="20"/>
            <w:szCs w:val="20"/>
          </w:rPr>
          <w:t>616</w:t>
        </w:r>
      </w:fldSimple>
      <w:r w:rsidR="009B6E3B" w:rsidRPr="00AC4AEA">
        <w:rPr>
          <w:rFonts w:ascii="Arial" w:hAnsi="Arial" w:cs="Arial"/>
          <w:sz w:val="20"/>
          <w:szCs w:val="20"/>
        </w:rPr>
        <w:t xml:space="preserve"> a </w:t>
      </w:r>
      <w:fldSimple w:instr=" REF _Ref103775832 \r \h  \* MERGEFORMAT ">
        <w:r w:rsidR="00D33A5D" w:rsidRPr="00D33A5D">
          <w:rPr>
            <w:rFonts w:ascii="Arial" w:hAnsi="Arial" w:cs="Arial"/>
            <w:sz w:val="20"/>
            <w:szCs w:val="20"/>
          </w:rPr>
          <w:t>623</w:t>
        </w:r>
      </w:fldSimple>
      <w:r w:rsidRPr="00AC4AEA">
        <w:rPr>
          <w:rFonts w:ascii="Arial" w:hAnsi="Arial" w:cs="Arial"/>
          <w:sz w:val="20"/>
          <w:szCs w:val="20"/>
        </w:rPr>
        <w:t>; y</w:t>
      </w:r>
    </w:p>
    <w:p w:rsidR="00235A4B" w:rsidRPr="00AC4AEA" w:rsidRDefault="00235A4B" w:rsidP="00A318EA">
      <w:pPr>
        <w:pStyle w:val="Prrafodelista"/>
        <w:numPr>
          <w:ilvl w:val="0"/>
          <w:numId w:val="424"/>
        </w:numPr>
        <w:ind w:left="1560"/>
        <w:contextualSpacing w:val="0"/>
        <w:jc w:val="both"/>
        <w:rPr>
          <w:rFonts w:ascii="Arial" w:hAnsi="Arial" w:cs="Arial"/>
          <w:sz w:val="20"/>
          <w:szCs w:val="20"/>
        </w:rPr>
      </w:pPr>
      <w:r w:rsidRPr="00AC4AEA">
        <w:rPr>
          <w:rFonts w:ascii="Arial" w:hAnsi="Arial" w:cs="Arial"/>
          <w:sz w:val="20"/>
          <w:szCs w:val="20"/>
        </w:rPr>
        <w:t xml:space="preserve">una presentación de acuerdo con el grado de liquidez, según lo dispuesto en </w:t>
      </w:r>
      <w:r w:rsidR="00CB1BD9">
        <w:rPr>
          <w:rFonts w:ascii="Arial" w:hAnsi="Arial" w:cs="Arial"/>
          <w:sz w:val="20"/>
          <w:szCs w:val="20"/>
        </w:rPr>
        <w:t>los</w:t>
      </w:r>
      <w:r w:rsidR="00CB1BD9" w:rsidRPr="00AC4AEA">
        <w:rPr>
          <w:rFonts w:ascii="Arial" w:hAnsi="Arial" w:cs="Arial"/>
          <w:sz w:val="20"/>
          <w:szCs w:val="20"/>
        </w:rPr>
        <w:t xml:space="preserve"> </w:t>
      </w:r>
      <w:r w:rsidRPr="00AC4AEA">
        <w:rPr>
          <w:rFonts w:ascii="Arial" w:hAnsi="Arial" w:cs="Arial"/>
          <w:sz w:val="20"/>
          <w:szCs w:val="20"/>
        </w:rPr>
        <w:t>párrafo</w:t>
      </w:r>
      <w:r w:rsidR="00CB1BD9">
        <w:rPr>
          <w:rFonts w:ascii="Arial" w:hAnsi="Arial" w:cs="Arial"/>
          <w:sz w:val="20"/>
          <w:szCs w:val="20"/>
        </w:rPr>
        <w:t>s</w:t>
      </w:r>
      <w:r w:rsidR="009C6555" w:rsidRPr="00AC4AEA">
        <w:rPr>
          <w:rFonts w:ascii="Arial" w:hAnsi="Arial" w:cs="Arial"/>
          <w:sz w:val="20"/>
          <w:szCs w:val="20"/>
        </w:rPr>
        <w:t xml:space="preserve"> </w:t>
      </w:r>
      <w:r w:rsidR="001C4138">
        <w:rPr>
          <w:rFonts w:ascii="Arial" w:hAnsi="Arial" w:cs="Arial"/>
          <w:sz w:val="20"/>
          <w:szCs w:val="20"/>
        </w:rPr>
        <w:fldChar w:fldCharType="begin"/>
      </w:r>
      <w:r w:rsidR="00CB1BD9">
        <w:rPr>
          <w:rFonts w:ascii="Arial" w:hAnsi="Arial" w:cs="Arial"/>
          <w:sz w:val="20"/>
          <w:szCs w:val="20"/>
        </w:rPr>
        <w:instrText xml:space="preserve"> REF _Ref103673444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613</w:t>
      </w:r>
      <w:r w:rsidR="001C4138">
        <w:rPr>
          <w:rFonts w:ascii="Arial" w:hAnsi="Arial" w:cs="Arial"/>
          <w:sz w:val="20"/>
          <w:szCs w:val="20"/>
        </w:rPr>
        <w:fldChar w:fldCharType="end"/>
      </w:r>
      <w:r w:rsidR="009C6555" w:rsidRPr="00AC4AEA">
        <w:rPr>
          <w:rFonts w:ascii="Arial" w:hAnsi="Arial" w:cs="Arial"/>
          <w:sz w:val="20"/>
          <w:szCs w:val="20"/>
        </w:rPr>
        <w:t xml:space="preserve"> a </w:t>
      </w:r>
      <w:fldSimple w:instr=" REF _Ref103850858 \r \h  \* MERGEFORMAT ">
        <w:r w:rsidR="00D33A5D" w:rsidRPr="00D33A5D">
          <w:rPr>
            <w:rFonts w:ascii="Arial" w:hAnsi="Arial" w:cs="Arial"/>
            <w:sz w:val="20"/>
            <w:szCs w:val="20"/>
          </w:rPr>
          <w:t>614</w:t>
        </w:r>
      </w:fldSimple>
      <w:r w:rsidRPr="00AC4AEA">
        <w:rPr>
          <w:rFonts w:ascii="Arial" w:hAnsi="Arial" w:cs="Arial"/>
          <w:sz w:val="20"/>
          <w:szCs w:val="20"/>
        </w:rPr>
        <w:t>.</w:t>
      </w:r>
    </w:p>
    <w:p w:rsidR="002605A2" w:rsidRPr="00AC4AEA" w:rsidRDefault="002605A2" w:rsidP="00A318EA">
      <w:pPr>
        <w:pStyle w:val="A-doctorado"/>
        <w:rPr>
          <w:rFonts w:ascii="Arial" w:hAnsi="Arial"/>
          <w:color w:val="auto"/>
          <w:sz w:val="20"/>
          <w:szCs w:val="20"/>
        </w:rPr>
      </w:pPr>
    </w:p>
    <w:p w:rsidR="00B42061" w:rsidRPr="00AC4AEA" w:rsidRDefault="002605A2" w:rsidP="00A318EA">
      <w:pPr>
        <w:pStyle w:val="Ttulo2"/>
        <w:rPr>
          <w:rFonts w:cs="Arial"/>
        </w:rPr>
      </w:pPr>
      <w:bookmarkStart w:id="887" w:name="_Toc139356890"/>
      <w:r w:rsidRPr="00AC4AEA">
        <w:rPr>
          <w:rFonts w:cs="Arial"/>
        </w:rPr>
        <w:t>Clasificación</w:t>
      </w:r>
      <w:r w:rsidR="00E853B2" w:rsidRPr="00AC4AEA">
        <w:rPr>
          <w:rFonts w:cs="Arial"/>
        </w:rPr>
        <w:t xml:space="preserve"> de </w:t>
      </w:r>
      <w:r w:rsidR="00497590" w:rsidRPr="00AC4AEA">
        <w:rPr>
          <w:rFonts w:cs="Arial"/>
        </w:rPr>
        <w:t>activos</w:t>
      </w:r>
      <w:r w:rsidR="00E853B2" w:rsidRPr="00AC4AEA">
        <w:rPr>
          <w:rFonts w:cs="Arial"/>
        </w:rPr>
        <w:t xml:space="preserve"> (</w:t>
      </w:r>
      <w:r w:rsidR="00497590" w:rsidRPr="00AC4AEA">
        <w:rPr>
          <w:rFonts w:cs="Arial"/>
        </w:rPr>
        <w:t>pasivos</w:t>
      </w:r>
      <w:r w:rsidR="00E853B2" w:rsidRPr="00AC4AEA">
        <w:rPr>
          <w:rFonts w:cs="Arial"/>
        </w:rPr>
        <w:t>) como corrientes o no corrientes</w:t>
      </w:r>
      <w:bookmarkEnd w:id="887"/>
      <w:r w:rsidR="00E853B2" w:rsidRPr="00AC4AEA">
        <w:rPr>
          <w:rFonts w:cs="Arial"/>
        </w:rPr>
        <w:t xml:space="preserve"> </w:t>
      </w:r>
    </w:p>
    <w:p w:rsidR="002F0403" w:rsidRPr="00AC4AEA" w:rsidRDefault="002F0403" w:rsidP="00A318EA">
      <w:pPr>
        <w:pStyle w:val="Prrafodelista"/>
        <w:numPr>
          <w:ilvl w:val="0"/>
          <w:numId w:val="29"/>
        </w:numPr>
        <w:autoSpaceDE w:val="0"/>
        <w:autoSpaceDN w:val="0"/>
        <w:adjustRightInd w:val="0"/>
        <w:contextualSpacing w:val="0"/>
        <w:jc w:val="both"/>
        <w:rPr>
          <w:rFonts w:ascii="Arial" w:hAnsi="Arial" w:cs="Arial"/>
          <w:sz w:val="20"/>
          <w:szCs w:val="20"/>
        </w:rPr>
      </w:pPr>
      <w:bookmarkStart w:id="888" w:name="_Ref103850791"/>
      <w:r w:rsidRPr="00AC4AEA">
        <w:rPr>
          <w:rFonts w:ascii="Arial" w:hAnsi="Arial" w:cs="Arial"/>
          <w:sz w:val="20"/>
          <w:szCs w:val="20"/>
        </w:rPr>
        <w:t xml:space="preserve">Cuando </w:t>
      </w:r>
      <w:r w:rsidR="00A62B00" w:rsidRPr="00AC4AEA">
        <w:rPr>
          <w:rFonts w:ascii="Arial" w:hAnsi="Arial" w:cs="Arial"/>
          <w:sz w:val="20"/>
          <w:szCs w:val="20"/>
        </w:rPr>
        <w:t>una entidad clasi</w:t>
      </w:r>
      <w:r w:rsidR="000C2760" w:rsidRPr="00AC4AEA">
        <w:rPr>
          <w:rFonts w:ascii="Arial" w:hAnsi="Arial" w:cs="Arial"/>
          <w:sz w:val="20"/>
          <w:szCs w:val="20"/>
        </w:rPr>
        <w:t>fi</w:t>
      </w:r>
      <w:r w:rsidR="00A62B00" w:rsidRPr="00AC4AEA">
        <w:rPr>
          <w:rFonts w:ascii="Arial" w:hAnsi="Arial" w:cs="Arial"/>
          <w:sz w:val="20"/>
          <w:szCs w:val="20"/>
        </w:rPr>
        <w:t xml:space="preserve">que sus </w:t>
      </w:r>
      <w:r w:rsidR="00497590" w:rsidRPr="00AC4AEA">
        <w:rPr>
          <w:rFonts w:ascii="Arial" w:hAnsi="Arial" w:cs="Arial"/>
          <w:sz w:val="20"/>
          <w:szCs w:val="20"/>
        </w:rPr>
        <w:t>activos</w:t>
      </w:r>
      <w:r w:rsidR="00A62B00" w:rsidRPr="00AC4AEA">
        <w:rPr>
          <w:rFonts w:ascii="Arial" w:hAnsi="Arial" w:cs="Arial"/>
          <w:sz w:val="20"/>
          <w:szCs w:val="20"/>
        </w:rPr>
        <w:t xml:space="preserve"> y </w:t>
      </w:r>
      <w:r w:rsidR="00497590" w:rsidRPr="00AC4AEA">
        <w:rPr>
          <w:rFonts w:ascii="Arial" w:hAnsi="Arial" w:cs="Arial"/>
          <w:sz w:val="20"/>
          <w:szCs w:val="20"/>
        </w:rPr>
        <w:t>pasivos</w:t>
      </w:r>
      <w:r w:rsidR="00A62B00" w:rsidRPr="00AC4AEA">
        <w:rPr>
          <w:rFonts w:ascii="Arial" w:hAnsi="Arial" w:cs="Arial"/>
          <w:sz w:val="20"/>
          <w:szCs w:val="20"/>
        </w:rPr>
        <w:t xml:space="preserve"> como </w:t>
      </w:r>
      <w:r w:rsidR="00497590" w:rsidRPr="00AC4AEA">
        <w:rPr>
          <w:rFonts w:ascii="Arial" w:hAnsi="Arial" w:cs="Arial"/>
          <w:sz w:val="20"/>
          <w:szCs w:val="20"/>
        </w:rPr>
        <w:t>activos</w:t>
      </w:r>
      <w:r w:rsidR="00A62B00" w:rsidRPr="00AC4AEA">
        <w:rPr>
          <w:rFonts w:ascii="Arial" w:hAnsi="Arial" w:cs="Arial"/>
          <w:sz w:val="20"/>
          <w:szCs w:val="20"/>
        </w:rPr>
        <w:t xml:space="preserve"> (</w:t>
      </w:r>
      <w:r w:rsidR="00497590" w:rsidRPr="00AC4AEA">
        <w:rPr>
          <w:rFonts w:ascii="Arial" w:hAnsi="Arial" w:cs="Arial"/>
          <w:sz w:val="20"/>
          <w:szCs w:val="20"/>
        </w:rPr>
        <w:t>pasivos</w:t>
      </w:r>
      <w:r w:rsidR="00A62B00" w:rsidRPr="00AC4AEA">
        <w:rPr>
          <w:rFonts w:ascii="Arial" w:hAnsi="Arial" w:cs="Arial"/>
          <w:sz w:val="20"/>
          <w:szCs w:val="20"/>
        </w:rPr>
        <w:t xml:space="preserve">) corrientes, o </w:t>
      </w:r>
      <w:r w:rsidR="00497590" w:rsidRPr="00AC4AEA">
        <w:rPr>
          <w:rFonts w:ascii="Arial" w:hAnsi="Arial" w:cs="Arial"/>
          <w:sz w:val="20"/>
          <w:szCs w:val="20"/>
        </w:rPr>
        <w:t>activos</w:t>
      </w:r>
      <w:r w:rsidR="00A62B00" w:rsidRPr="00AC4AEA">
        <w:rPr>
          <w:rFonts w:ascii="Arial" w:hAnsi="Arial" w:cs="Arial"/>
          <w:sz w:val="20"/>
          <w:szCs w:val="20"/>
        </w:rPr>
        <w:t xml:space="preserve"> (</w:t>
      </w:r>
      <w:r w:rsidR="00497590" w:rsidRPr="00AC4AEA">
        <w:rPr>
          <w:rFonts w:ascii="Arial" w:hAnsi="Arial" w:cs="Arial"/>
          <w:sz w:val="20"/>
          <w:szCs w:val="20"/>
        </w:rPr>
        <w:t>pasivos</w:t>
      </w:r>
      <w:r w:rsidR="00A62B00" w:rsidRPr="00AC4AEA">
        <w:rPr>
          <w:rFonts w:ascii="Arial" w:hAnsi="Arial" w:cs="Arial"/>
          <w:sz w:val="20"/>
          <w:szCs w:val="20"/>
        </w:rPr>
        <w:t>) no corrientes, lo hará en función a los criterios establecidos en los párrafos</w:t>
      </w:r>
      <w:r w:rsidR="00B23D3D" w:rsidRPr="00AC4AEA">
        <w:rPr>
          <w:rFonts w:ascii="Arial" w:hAnsi="Arial" w:cs="Arial"/>
          <w:sz w:val="20"/>
          <w:szCs w:val="20"/>
        </w:rPr>
        <w:t xml:space="preserve"> </w:t>
      </w:r>
      <w:fldSimple w:instr=" REF _Ref103775826 \r \h  \* MERGEFORMAT ">
        <w:r w:rsidR="00D33A5D" w:rsidRPr="00D33A5D">
          <w:rPr>
            <w:rFonts w:ascii="Arial" w:hAnsi="Arial" w:cs="Arial"/>
            <w:sz w:val="20"/>
            <w:szCs w:val="20"/>
          </w:rPr>
          <w:t>617</w:t>
        </w:r>
      </w:fldSimple>
      <w:r w:rsidR="00B767A7" w:rsidRPr="00AC4AEA">
        <w:rPr>
          <w:rFonts w:ascii="Arial" w:hAnsi="Arial" w:cs="Arial"/>
          <w:sz w:val="20"/>
          <w:szCs w:val="20"/>
        </w:rPr>
        <w:t xml:space="preserve"> a </w:t>
      </w:r>
      <w:fldSimple w:instr=" REF _Ref103775832 \r \h  \* MERGEFORMAT ">
        <w:r w:rsidR="00D33A5D" w:rsidRPr="00D33A5D">
          <w:rPr>
            <w:rFonts w:ascii="Arial" w:hAnsi="Arial" w:cs="Arial"/>
            <w:sz w:val="20"/>
            <w:szCs w:val="20"/>
          </w:rPr>
          <w:t>623</w:t>
        </w:r>
      </w:fldSimple>
      <w:r w:rsidR="00A62B00" w:rsidRPr="00AC4AEA">
        <w:rPr>
          <w:rFonts w:ascii="Arial" w:hAnsi="Arial" w:cs="Arial"/>
          <w:sz w:val="20"/>
          <w:szCs w:val="20"/>
        </w:rPr>
        <w:t>.</w:t>
      </w:r>
      <w:bookmarkEnd w:id="888"/>
    </w:p>
    <w:p w:rsidR="001B6598" w:rsidRPr="00AC4AEA" w:rsidRDefault="00A62B00" w:rsidP="00A318EA">
      <w:pPr>
        <w:pStyle w:val="Prrafodelista"/>
        <w:numPr>
          <w:ilvl w:val="0"/>
          <w:numId w:val="29"/>
        </w:numPr>
        <w:autoSpaceDE w:val="0"/>
        <w:autoSpaceDN w:val="0"/>
        <w:adjustRightInd w:val="0"/>
        <w:contextualSpacing w:val="0"/>
        <w:jc w:val="both"/>
        <w:rPr>
          <w:rFonts w:ascii="Arial" w:hAnsi="Arial" w:cs="Arial"/>
          <w:sz w:val="20"/>
          <w:szCs w:val="20"/>
        </w:rPr>
      </w:pPr>
      <w:bookmarkStart w:id="889" w:name="_Ref103775826"/>
      <w:r w:rsidRPr="00AC4AEA">
        <w:rPr>
          <w:rFonts w:ascii="Arial" w:hAnsi="Arial" w:cs="Arial"/>
          <w:sz w:val="20"/>
          <w:szCs w:val="20"/>
        </w:rPr>
        <w:t>Una entidad cla</w:t>
      </w:r>
      <w:r w:rsidR="00C345C2" w:rsidRPr="00AC4AEA">
        <w:rPr>
          <w:rFonts w:ascii="Arial" w:hAnsi="Arial" w:cs="Arial"/>
          <w:sz w:val="20"/>
          <w:szCs w:val="20"/>
        </w:rPr>
        <w:t>s</w:t>
      </w:r>
      <w:r w:rsidRPr="00AC4AEA">
        <w:rPr>
          <w:rFonts w:ascii="Arial" w:hAnsi="Arial" w:cs="Arial"/>
          <w:sz w:val="20"/>
          <w:szCs w:val="20"/>
        </w:rPr>
        <w:t xml:space="preserve">ificará un </w:t>
      </w:r>
      <w:r w:rsidR="002F0403" w:rsidRPr="00AC4AEA">
        <w:rPr>
          <w:rFonts w:ascii="Arial" w:hAnsi="Arial" w:cs="Arial"/>
          <w:b/>
          <w:bCs/>
          <w:sz w:val="20"/>
          <w:szCs w:val="20"/>
        </w:rPr>
        <w:t>activo</w:t>
      </w:r>
      <w:r w:rsidR="002F0403" w:rsidRPr="00AC4AEA">
        <w:rPr>
          <w:rFonts w:ascii="Arial" w:hAnsi="Arial" w:cs="Arial"/>
          <w:sz w:val="20"/>
          <w:szCs w:val="20"/>
        </w:rPr>
        <w:t xml:space="preserve"> </w:t>
      </w:r>
      <w:r w:rsidRPr="00AC4AEA">
        <w:rPr>
          <w:rFonts w:ascii="Arial" w:hAnsi="Arial" w:cs="Arial"/>
          <w:sz w:val="20"/>
          <w:szCs w:val="20"/>
        </w:rPr>
        <w:t xml:space="preserve">como </w:t>
      </w:r>
      <w:r w:rsidR="002F0403" w:rsidRPr="00AC4AEA">
        <w:rPr>
          <w:rFonts w:ascii="Arial" w:hAnsi="Arial" w:cs="Arial"/>
          <w:sz w:val="20"/>
          <w:szCs w:val="20"/>
        </w:rPr>
        <w:t xml:space="preserve">corriente si </w:t>
      </w:r>
      <w:r w:rsidR="00970156" w:rsidRPr="00AC4AEA">
        <w:rPr>
          <w:rFonts w:ascii="Arial" w:hAnsi="Arial" w:cs="Arial"/>
          <w:sz w:val="20"/>
          <w:szCs w:val="20"/>
        </w:rPr>
        <w:t xml:space="preserve">representa efectivo de libre disponibilidad o si </w:t>
      </w:r>
      <w:r w:rsidR="002F0403" w:rsidRPr="00AC4AEA">
        <w:rPr>
          <w:rFonts w:ascii="Arial" w:hAnsi="Arial" w:cs="Arial"/>
          <w:sz w:val="20"/>
          <w:szCs w:val="20"/>
        </w:rPr>
        <w:t xml:space="preserve">espera que se </w:t>
      </w:r>
      <w:r w:rsidR="007B7E5B" w:rsidRPr="00AC4AEA">
        <w:rPr>
          <w:rFonts w:ascii="Arial" w:hAnsi="Arial" w:cs="Arial"/>
          <w:sz w:val="20"/>
          <w:szCs w:val="20"/>
        </w:rPr>
        <w:t>convierta</w:t>
      </w:r>
      <w:r w:rsidR="002F0403" w:rsidRPr="00AC4AEA">
        <w:rPr>
          <w:rFonts w:ascii="Arial" w:hAnsi="Arial" w:cs="Arial"/>
          <w:sz w:val="20"/>
          <w:szCs w:val="20"/>
        </w:rPr>
        <w:t xml:space="preserve"> en </w:t>
      </w:r>
      <w:r w:rsidR="000203AB" w:rsidRPr="00AC4AEA">
        <w:rPr>
          <w:rFonts w:ascii="Arial" w:hAnsi="Arial" w:cs="Arial"/>
          <w:sz w:val="20"/>
          <w:szCs w:val="20"/>
        </w:rPr>
        <w:t>efectivo</w:t>
      </w:r>
      <w:r w:rsidRPr="00AC4AEA">
        <w:rPr>
          <w:rFonts w:ascii="Arial" w:hAnsi="Arial" w:cs="Arial"/>
          <w:sz w:val="20"/>
          <w:szCs w:val="20"/>
        </w:rPr>
        <w:t xml:space="preserve"> </w:t>
      </w:r>
      <w:r w:rsidR="002F0403" w:rsidRPr="00AC4AEA">
        <w:rPr>
          <w:rFonts w:ascii="Arial" w:hAnsi="Arial" w:cs="Arial"/>
          <w:sz w:val="20"/>
          <w:szCs w:val="20"/>
        </w:rPr>
        <w:t>o equivalente</w:t>
      </w:r>
      <w:r w:rsidR="00D66ADF" w:rsidRPr="00AC4AEA">
        <w:rPr>
          <w:rFonts w:ascii="Arial" w:hAnsi="Arial" w:cs="Arial"/>
          <w:sz w:val="20"/>
          <w:szCs w:val="20"/>
        </w:rPr>
        <w:t>s</w:t>
      </w:r>
      <w:r w:rsidR="002F0403" w:rsidRPr="00AC4AEA">
        <w:rPr>
          <w:rFonts w:ascii="Arial" w:hAnsi="Arial" w:cs="Arial"/>
          <w:sz w:val="20"/>
          <w:szCs w:val="20"/>
        </w:rPr>
        <w:t xml:space="preserve"> en el plazo de un año, computado desde la </w:t>
      </w:r>
      <w:r w:rsidR="002F0403" w:rsidRPr="00AC4AEA">
        <w:rPr>
          <w:rFonts w:ascii="Arial" w:hAnsi="Arial" w:cs="Arial"/>
          <w:b/>
          <w:bCs/>
          <w:sz w:val="20"/>
          <w:szCs w:val="20"/>
        </w:rPr>
        <w:t>fecha de los estados contables</w:t>
      </w:r>
      <w:r w:rsidR="002F0403" w:rsidRPr="00AC4AEA">
        <w:rPr>
          <w:rFonts w:ascii="Arial" w:hAnsi="Arial" w:cs="Arial"/>
          <w:sz w:val="20"/>
          <w:szCs w:val="20"/>
        </w:rPr>
        <w:t>, o si ya lo son a esta fecha.</w:t>
      </w:r>
      <w:bookmarkEnd w:id="889"/>
    </w:p>
    <w:p w:rsidR="002F0403" w:rsidRPr="00AC4AEA" w:rsidRDefault="001B6598" w:rsidP="00A318EA">
      <w:pPr>
        <w:pStyle w:val="Prrafodelista"/>
        <w:numPr>
          <w:ilvl w:val="0"/>
          <w:numId w:val="29"/>
        </w:numPr>
        <w:autoSpaceDE w:val="0"/>
        <w:autoSpaceDN w:val="0"/>
        <w:adjustRightInd w:val="0"/>
        <w:contextualSpacing w:val="0"/>
        <w:jc w:val="both"/>
        <w:rPr>
          <w:rFonts w:ascii="Arial" w:hAnsi="Arial" w:cs="Arial"/>
          <w:sz w:val="20"/>
          <w:szCs w:val="20"/>
        </w:rPr>
      </w:pPr>
      <w:r w:rsidRPr="00AC4AEA">
        <w:rPr>
          <w:rFonts w:ascii="Arial" w:hAnsi="Arial" w:cs="Arial"/>
          <w:sz w:val="20"/>
          <w:szCs w:val="20"/>
        </w:rPr>
        <w:t>En función a lo indicado en el párrafo anterior</w:t>
      </w:r>
      <w:r w:rsidR="002F0403" w:rsidRPr="00AC4AEA">
        <w:rPr>
          <w:rFonts w:ascii="Arial" w:hAnsi="Arial" w:cs="Arial"/>
          <w:sz w:val="20"/>
          <w:szCs w:val="20"/>
        </w:rPr>
        <w:t>, se consider</w:t>
      </w:r>
      <w:r w:rsidRPr="00AC4AEA">
        <w:rPr>
          <w:rFonts w:ascii="Arial" w:hAnsi="Arial" w:cs="Arial"/>
          <w:sz w:val="20"/>
          <w:szCs w:val="20"/>
        </w:rPr>
        <w:t>ará</w:t>
      </w:r>
      <w:r w:rsidR="002F0403" w:rsidRPr="00AC4AEA">
        <w:rPr>
          <w:rFonts w:ascii="Arial" w:hAnsi="Arial" w:cs="Arial"/>
          <w:sz w:val="20"/>
          <w:szCs w:val="20"/>
        </w:rPr>
        <w:t xml:space="preserve">n </w:t>
      </w:r>
      <w:r w:rsidR="00497590" w:rsidRPr="00AC4AEA">
        <w:rPr>
          <w:rFonts w:ascii="Arial" w:hAnsi="Arial" w:cs="Arial"/>
          <w:sz w:val="20"/>
          <w:szCs w:val="20"/>
        </w:rPr>
        <w:t>activos</w:t>
      </w:r>
      <w:r w:rsidRPr="00AC4AEA">
        <w:rPr>
          <w:rFonts w:ascii="Arial" w:hAnsi="Arial" w:cs="Arial"/>
          <w:sz w:val="20"/>
          <w:szCs w:val="20"/>
        </w:rPr>
        <w:t xml:space="preserve"> </w:t>
      </w:r>
      <w:r w:rsidR="002F0403" w:rsidRPr="00AC4AEA">
        <w:rPr>
          <w:rFonts w:ascii="Arial" w:hAnsi="Arial" w:cs="Arial"/>
          <w:sz w:val="20"/>
          <w:szCs w:val="20"/>
        </w:rPr>
        <w:t>corrientes:</w:t>
      </w:r>
    </w:p>
    <w:p w:rsidR="001B6598" w:rsidRPr="00AC4AEA" w:rsidRDefault="00D66ADF" w:rsidP="00A318EA">
      <w:pPr>
        <w:pStyle w:val="Prrafodelista"/>
        <w:numPr>
          <w:ilvl w:val="0"/>
          <w:numId w:val="367"/>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L</w:t>
      </w:r>
      <w:r w:rsidR="002F0403" w:rsidRPr="00AC4AEA">
        <w:rPr>
          <w:rFonts w:ascii="Arial" w:hAnsi="Arial" w:cs="Arial"/>
          <w:sz w:val="20"/>
          <w:szCs w:val="20"/>
        </w:rPr>
        <w:t>os saldos de libre disponibilidad en caja y bancos a</w:t>
      </w:r>
      <w:r w:rsidR="001B6598" w:rsidRPr="00AC4AEA">
        <w:rPr>
          <w:rFonts w:ascii="Arial" w:hAnsi="Arial" w:cs="Arial"/>
          <w:sz w:val="20"/>
          <w:szCs w:val="20"/>
        </w:rPr>
        <w:t xml:space="preserve"> </w:t>
      </w:r>
      <w:r w:rsidR="002F0403" w:rsidRPr="00AC4AEA">
        <w:rPr>
          <w:rFonts w:ascii="Arial" w:hAnsi="Arial" w:cs="Arial"/>
          <w:sz w:val="20"/>
          <w:szCs w:val="20"/>
        </w:rPr>
        <w:t>l</w:t>
      </w:r>
      <w:r w:rsidR="001B6598" w:rsidRPr="00AC4AEA">
        <w:rPr>
          <w:rFonts w:ascii="Arial" w:hAnsi="Arial" w:cs="Arial"/>
          <w:sz w:val="20"/>
          <w:szCs w:val="20"/>
        </w:rPr>
        <w:t xml:space="preserve">a </w:t>
      </w:r>
      <w:r w:rsidR="001B6598" w:rsidRPr="00AC4AEA">
        <w:rPr>
          <w:rFonts w:ascii="Arial" w:hAnsi="Arial" w:cs="Arial"/>
          <w:b/>
          <w:bCs/>
          <w:sz w:val="20"/>
          <w:szCs w:val="20"/>
        </w:rPr>
        <w:t>fecha de los estados contables</w:t>
      </w:r>
      <w:r w:rsidRPr="00AC4AEA">
        <w:rPr>
          <w:rFonts w:ascii="Arial" w:hAnsi="Arial" w:cs="Arial"/>
          <w:sz w:val="20"/>
          <w:szCs w:val="20"/>
        </w:rPr>
        <w:t>.</w:t>
      </w:r>
    </w:p>
    <w:p w:rsidR="001B6598" w:rsidRPr="00AC4AEA" w:rsidRDefault="00D66ADF" w:rsidP="00A318EA">
      <w:pPr>
        <w:pStyle w:val="Prrafodelista"/>
        <w:numPr>
          <w:ilvl w:val="0"/>
          <w:numId w:val="367"/>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O</w:t>
      </w:r>
      <w:r w:rsidR="002F0403" w:rsidRPr="00AC4AEA">
        <w:rPr>
          <w:rFonts w:ascii="Arial" w:hAnsi="Arial" w:cs="Arial"/>
          <w:sz w:val="20"/>
          <w:szCs w:val="20"/>
        </w:rPr>
        <w:t xml:space="preserve">tros </w:t>
      </w:r>
      <w:r w:rsidR="00497590" w:rsidRPr="00AC4AEA">
        <w:rPr>
          <w:rFonts w:ascii="Arial" w:hAnsi="Arial" w:cs="Arial"/>
          <w:sz w:val="20"/>
          <w:szCs w:val="20"/>
        </w:rPr>
        <w:t>activos</w:t>
      </w:r>
      <w:r w:rsidR="002F0403" w:rsidRPr="00AC4AEA">
        <w:rPr>
          <w:rFonts w:ascii="Arial" w:hAnsi="Arial" w:cs="Arial"/>
          <w:sz w:val="20"/>
          <w:szCs w:val="20"/>
        </w:rPr>
        <w:t xml:space="preserve"> cuya conversión en </w:t>
      </w:r>
      <w:r w:rsidRPr="00AC4AEA">
        <w:rPr>
          <w:rFonts w:ascii="Arial" w:hAnsi="Arial" w:cs="Arial"/>
          <w:sz w:val="20"/>
          <w:szCs w:val="20"/>
        </w:rPr>
        <w:t>efectivo</w:t>
      </w:r>
      <w:r w:rsidR="002F0403" w:rsidRPr="00AC4AEA">
        <w:rPr>
          <w:rFonts w:ascii="Arial" w:hAnsi="Arial" w:cs="Arial"/>
          <w:sz w:val="20"/>
          <w:szCs w:val="20"/>
        </w:rPr>
        <w:t xml:space="preserve"> o equivalente</w:t>
      </w:r>
      <w:r w:rsidRPr="00AC4AEA">
        <w:rPr>
          <w:rFonts w:ascii="Arial" w:hAnsi="Arial" w:cs="Arial"/>
          <w:sz w:val="20"/>
          <w:szCs w:val="20"/>
        </w:rPr>
        <w:t>s</w:t>
      </w:r>
      <w:r w:rsidR="002F0403" w:rsidRPr="00AC4AEA">
        <w:rPr>
          <w:rFonts w:ascii="Arial" w:hAnsi="Arial" w:cs="Arial"/>
          <w:sz w:val="20"/>
          <w:szCs w:val="20"/>
        </w:rPr>
        <w:t xml:space="preserve"> se estima que</w:t>
      </w:r>
      <w:r w:rsidR="001B6598" w:rsidRPr="00AC4AEA">
        <w:rPr>
          <w:rFonts w:ascii="Arial" w:hAnsi="Arial" w:cs="Arial"/>
          <w:sz w:val="20"/>
          <w:szCs w:val="20"/>
        </w:rPr>
        <w:t xml:space="preserve"> </w:t>
      </w:r>
      <w:r w:rsidR="002F0403" w:rsidRPr="00AC4AEA">
        <w:rPr>
          <w:rFonts w:ascii="Arial" w:hAnsi="Arial" w:cs="Arial"/>
          <w:sz w:val="20"/>
          <w:szCs w:val="20"/>
        </w:rPr>
        <w:t>se producirá dentro de los doce meses siguientes a la</w:t>
      </w:r>
      <w:r w:rsidR="001B6598" w:rsidRPr="00AC4AEA">
        <w:rPr>
          <w:rFonts w:ascii="Arial" w:hAnsi="Arial" w:cs="Arial"/>
          <w:sz w:val="20"/>
          <w:szCs w:val="20"/>
        </w:rPr>
        <w:t xml:space="preserve"> </w:t>
      </w:r>
      <w:r w:rsidR="001B6598" w:rsidRPr="00AC4AEA">
        <w:rPr>
          <w:rFonts w:ascii="Arial" w:hAnsi="Arial" w:cs="Arial"/>
          <w:b/>
          <w:bCs/>
          <w:sz w:val="20"/>
          <w:szCs w:val="20"/>
        </w:rPr>
        <w:t>fecha de los estados contables</w:t>
      </w:r>
      <w:r w:rsidRPr="00AC4AEA">
        <w:rPr>
          <w:rFonts w:ascii="Arial" w:hAnsi="Arial" w:cs="Arial"/>
          <w:sz w:val="20"/>
          <w:szCs w:val="20"/>
        </w:rPr>
        <w:t>.</w:t>
      </w:r>
    </w:p>
    <w:p w:rsidR="00582429" w:rsidRPr="00AC4AEA" w:rsidRDefault="00D66ADF" w:rsidP="00A318EA">
      <w:pPr>
        <w:pStyle w:val="Prrafodelista"/>
        <w:numPr>
          <w:ilvl w:val="0"/>
          <w:numId w:val="367"/>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L</w:t>
      </w:r>
      <w:r w:rsidR="002F0403" w:rsidRPr="00AC4AEA">
        <w:rPr>
          <w:rFonts w:ascii="Arial" w:hAnsi="Arial" w:cs="Arial"/>
          <w:sz w:val="20"/>
          <w:szCs w:val="20"/>
        </w:rPr>
        <w:t xml:space="preserve">os bienes consumibles y derechos que evitarán </w:t>
      </w:r>
      <w:r w:rsidR="00D5284F" w:rsidRPr="00AC4AEA">
        <w:rPr>
          <w:rFonts w:ascii="Arial" w:hAnsi="Arial" w:cs="Arial"/>
          <w:sz w:val="20"/>
          <w:szCs w:val="20"/>
        </w:rPr>
        <w:t>salidas de efectivo o equivalentes</w:t>
      </w:r>
      <w:r w:rsidR="002F0403" w:rsidRPr="00AC4AEA">
        <w:rPr>
          <w:rFonts w:ascii="Arial" w:hAnsi="Arial" w:cs="Arial"/>
          <w:sz w:val="20"/>
          <w:szCs w:val="20"/>
        </w:rPr>
        <w:t xml:space="preserve"> en los</w:t>
      </w:r>
      <w:r w:rsidR="001B6598" w:rsidRPr="00AC4AEA">
        <w:rPr>
          <w:rFonts w:ascii="Arial" w:hAnsi="Arial" w:cs="Arial"/>
          <w:sz w:val="20"/>
          <w:szCs w:val="20"/>
        </w:rPr>
        <w:t xml:space="preserve"> </w:t>
      </w:r>
      <w:r w:rsidR="002F0403" w:rsidRPr="00AC4AEA">
        <w:rPr>
          <w:rFonts w:ascii="Arial" w:hAnsi="Arial" w:cs="Arial"/>
          <w:sz w:val="20"/>
          <w:szCs w:val="20"/>
        </w:rPr>
        <w:t xml:space="preserve">doce meses siguientes a </w:t>
      </w:r>
      <w:r w:rsidR="001B6598" w:rsidRPr="00AC4AEA">
        <w:rPr>
          <w:rFonts w:ascii="Arial" w:hAnsi="Arial" w:cs="Arial"/>
          <w:sz w:val="20"/>
          <w:szCs w:val="20"/>
        </w:rPr>
        <w:t xml:space="preserve">la </w:t>
      </w:r>
      <w:r w:rsidR="001B6598" w:rsidRPr="00AC4AEA">
        <w:rPr>
          <w:rFonts w:ascii="Arial" w:hAnsi="Arial" w:cs="Arial"/>
          <w:b/>
          <w:bCs/>
          <w:sz w:val="20"/>
          <w:szCs w:val="20"/>
        </w:rPr>
        <w:t>fecha de los estados contables</w:t>
      </w:r>
      <w:r w:rsidR="002F0403" w:rsidRPr="00AC4AEA">
        <w:rPr>
          <w:rFonts w:ascii="Arial" w:hAnsi="Arial" w:cs="Arial"/>
          <w:sz w:val="20"/>
          <w:szCs w:val="20"/>
        </w:rPr>
        <w:t>, siempre que,</w:t>
      </w:r>
      <w:r w:rsidR="001B6598" w:rsidRPr="00AC4AEA">
        <w:rPr>
          <w:rFonts w:ascii="Arial" w:hAnsi="Arial" w:cs="Arial"/>
          <w:sz w:val="20"/>
          <w:szCs w:val="20"/>
        </w:rPr>
        <w:t xml:space="preserve"> </w:t>
      </w:r>
      <w:r w:rsidR="002F0403" w:rsidRPr="00AC4AEA">
        <w:rPr>
          <w:rFonts w:ascii="Arial" w:hAnsi="Arial" w:cs="Arial"/>
          <w:sz w:val="20"/>
          <w:szCs w:val="20"/>
        </w:rPr>
        <w:t xml:space="preserve">por su naturaleza, no implicaron una futura apropiación a </w:t>
      </w:r>
      <w:r w:rsidR="00497590" w:rsidRPr="00AC4AEA">
        <w:rPr>
          <w:rFonts w:ascii="Arial" w:hAnsi="Arial" w:cs="Arial"/>
          <w:sz w:val="20"/>
          <w:szCs w:val="20"/>
        </w:rPr>
        <w:t>activos</w:t>
      </w:r>
      <w:r w:rsidR="002F0403" w:rsidRPr="00AC4AEA">
        <w:rPr>
          <w:rFonts w:ascii="Arial" w:hAnsi="Arial" w:cs="Arial"/>
          <w:sz w:val="20"/>
          <w:szCs w:val="20"/>
        </w:rPr>
        <w:t xml:space="preserve"> inmovilizados</w:t>
      </w:r>
      <w:r w:rsidR="00D5284F" w:rsidRPr="00AC4AEA">
        <w:rPr>
          <w:rFonts w:ascii="Arial" w:hAnsi="Arial" w:cs="Arial"/>
          <w:sz w:val="20"/>
          <w:szCs w:val="20"/>
        </w:rPr>
        <w:t>.</w:t>
      </w:r>
    </w:p>
    <w:p w:rsidR="002F0403" w:rsidRPr="00AC4AEA" w:rsidRDefault="00D5284F" w:rsidP="00A318EA">
      <w:pPr>
        <w:pStyle w:val="Prrafodelista"/>
        <w:numPr>
          <w:ilvl w:val="0"/>
          <w:numId w:val="367"/>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lastRenderedPageBreak/>
        <w:t>L</w:t>
      </w:r>
      <w:r w:rsidR="002F0403" w:rsidRPr="00AC4AEA">
        <w:rPr>
          <w:rFonts w:ascii="Arial" w:hAnsi="Arial" w:cs="Arial"/>
          <w:sz w:val="20"/>
          <w:szCs w:val="20"/>
        </w:rPr>
        <w:t xml:space="preserve">os </w:t>
      </w:r>
      <w:r w:rsidR="00497590" w:rsidRPr="00AC4AEA">
        <w:rPr>
          <w:rFonts w:ascii="Arial" w:hAnsi="Arial" w:cs="Arial"/>
          <w:sz w:val="20"/>
          <w:szCs w:val="20"/>
        </w:rPr>
        <w:t>activos</w:t>
      </w:r>
      <w:r w:rsidR="002F0403" w:rsidRPr="00AC4AEA">
        <w:rPr>
          <w:rFonts w:ascii="Arial" w:hAnsi="Arial" w:cs="Arial"/>
          <w:sz w:val="20"/>
          <w:szCs w:val="20"/>
        </w:rPr>
        <w:t xml:space="preserve"> que por disposiciones contractuales o análogas deben</w:t>
      </w:r>
      <w:r w:rsidR="00582429" w:rsidRPr="00AC4AEA">
        <w:rPr>
          <w:rFonts w:ascii="Arial" w:hAnsi="Arial" w:cs="Arial"/>
          <w:sz w:val="20"/>
          <w:szCs w:val="20"/>
        </w:rPr>
        <w:t xml:space="preserve"> </w:t>
      </w:r>
      <w:r w:rsidR="002F0403" w:rsidRPr="00AC4AEA">
        <w:rPr>
          <w:rFonts w:ascii="Arial" w:hAnsi="Arial" w:cs="Arial"/>
          <w:sz w:val="20"/>
          <w:szCs w:val="20"/>
        </w:rPr>
        <w:t xml:space="preserve">destinarse a cancelar </w:t>
      </w:r>
      <w:r w:rsidR="00497590" w:rsidRPr="00AC4AEA">
        <w:rPr>
          <w:rFonts w:ascii="Arial" w:hAnsi="Arial" w:cs="Arial"/>
          <w:sz w:val="20"/>
          <w:szCs w:val="20"/>
        </w:rPr>
        <w:t>pasivos</w:t>
      </w:r>
      <w:r w:rsidR="002F0403" w:rsidRPr="00AC4AEA">
        <w:rPr>
          <w:rFonts w:ascii="Arial" w:hAnsi="Arial" w:cs="Arial"/>
          <w:sz w:val="20"/>
          <w:szCs w:val="20"/>
        </w:rPr>
        <w:t xml:space="preserve"> corrientes.</w:t>
      </w:r>
    </w:p>
    <w:p w:rsidR="002F0403" w:rsidRPr="00AC4AEA" w:rsidRDefault="00582429" w:rsidP="00A318EA">
      <w:pPr>
        <w:pStyle w:val="Prrafodelista"/>
        <w:numPr>
          <w:ilvl w:val="0"/>
          <w:numId w:val="29"/>
        </w:numPr>
        <w:autoSpaceDE w:val="0"/>
        <w:autoSpaceDN w:val="0"/>
        <w:adjustRightInd w:val="0"/>
        <w:contextualSpacing w:val="0"/>
        <w:jc w:val="both"/>
        <w:rPr>
          <w:rFonts w:ascii="Arial" w:hAnsi="Arial" w:cs="Arial"/>
          <w:sz w:val="20"/>
          <w:szCs w:val="20"/>
        </w:rPr>
      </w:pPr>
      <w:r w:rsidRPr="00AC4AEA">
        <w:rPr>
          <w:rFonts w:ascii="Arial" w:hAnsi="Arial" w:cs="Arial"/>
          <w:sz w:val="20"/>
          <w:szCs w:val="20"/>
        </w:rPr>
        <w:t>Los</w:t>
      </w:r>
      <w:r w:rsidR="002F0403" w:rsidRPr="00AC4AEA">
        <w:rPr>
          <w:rFonts w:ascii="Arial" w:hAnsi="Arial" w:cs="Arial"/>
          <w:sz w:val="20"/>
          <w:szCs w:val="20"/>
        </w:rPr>
        <w:t xml:space="preserve"> </w:t>
      </w:r>
      <w:r w:rsidR="00497590" w:rsidRPr="00AC4AEA">
        <w:rPr>
          <w:rFonts w:ascii="Arial" w:hAnsi="Arial" w:cs="Arial"/>
          <w:sz w:val="20"/>
          <w:szCs w:val="20"/>
        </w:rPr>
        <w:t>activos</w:t>
      </w:r>
      <w:r w:rsidR="002F0403" w:rsidRPr="00AC4AEA">
        <w:rPr>
          <w:rFonts w:ascii="Arial" w:hAnsi="Arial" w:cs="Arial"/>
          <w:sz w:val="20"/>
          <w:szCs w:val="20"/>
        </w:rPr>
        <w:t xml:space="preserve"> no corrientes</w:t>
      </w:r>
      <w:r w:rsidRPr="00AC4AEA">
        <w:rPr>
          <w:rFonts w:ascii="Arial" w:hAnsi="Arial" w:cs="Arial"/>
          <w:sz w:val="20"/>
          <w:szCs w:val="20"/>
        </w:rPr>
        <w:t xml:space="preserve"> c</w:t>
      </w:r>
      <w:r w:rsidR="002F0403" w:rsidRPr="00AC4AEA">
        <w:rPr>
          <w:rFonts w:ascii="Arial" w:hAnsi="Arial" w:cs="Arial"/>
          <w:sz w:val="20"/>
          <w:szCs w:val="20"/>
        </w:rPr>
        <w:t>omprenden a todos los que no puedan ser clasificados como corrientes, de</w:t>
      </w:r>
      <w:r w:rsidRPr="00AC4AEA">
        <w:rPr>
          <w:rFonts w:ascii="Arial" w:hAnsi="Arial" w:cs="Arial"/>
          <w:sz w:val="20"/>
          <w:szCs w:val="20"/>
        </w:rPr>
        <w:t xml:space="preserve"> </w:t>
      </w:r>
      <w:r w:rsidR="002F0403" w:rsidRPr="00AC4AEA">
        <w:rPr>
          <w:rFonts w:ascii="Arial" w:hAnsi="Arial" w:cs="Arial"/>
          <w:sz w:val="20"/>
          <w:szCs w:val="20"/>
        </w:rPr>
        <w:t xml:space="preserve">acuerdo con lo indicado en el </w:t>
      </w:r>
      <w:r w:rsidRPr="00AC4AEA">
        <w:rPr>
          <w:rFonts w:ascii="Arial" w:hAnsi="Arial" w:cs="Arial"/>
          <w:sz w:val="20"/>
          <w:szCs w:val="20"/>
        </w:rPr>
        <w:t>párrafo</w:t>
      </w:r>
      <w:r w:rsidR="002F0403" w:rsidRPr="00AC4AEA">
        <w:rPr>
          <w:rFonts w:ascii="Arial" w:hAnsi="Arial" w:cs="Arial"/>
          <w:sz w:val="20"/>
          <w:szCs w:val="20"/>
        </w:rPr>
        <w:t xml:space="preserve"> anterior.</w:t>
      </w:r>
    </w:p>
    <w:p w:rsidR="002F0403" w:rsidRPr="00AC4AEA" w:rsidRDefault="00E24795" w:rsidP="00A318EA">
      <w:pPr>
        <w:pStyle w:val="Prrafodelista"/>
        <w:numPr>
          <w:ilvl w:val="0"/>
          <w:numId w:val="29"/>
        </w:numPr>
        <w:autoSpaceDE w:val="0"/>
        <w:autoSpaceDN w:val="0"/>
        <w:adjustRightInd w:val="0"/>
        <w:contextualSpacing w:val="0"/>
        <w:jc w:val="both"/>
        <w:rPr>
          <w:rFonts w:ascii="Arial" w:hAnsi="Arial" w:cs="Arial"/>
          <w:sz w:val="20"/>
          <w:szCs w:val="20"/>
        </w:rPr>
      </w:pPr>
      <w:r w:rsidRPr="00AC4AEA">
        <w:rPr>
          <w:rFonts w:ascii="Arial" w:hAnsi="Arial" w:cs="Arial"/>
          <w:sz w:val="20"/>
          <w:szCs w:val="20"/>
        </w:rPr>
        <w:t xml:space="preserve">Una entidad clasificará </w:t>
      </w:r>
      <w:r w:rsidR="00D32E95" w:rsidRPr="00AC4AEA">
        <w:rPr>
          <w:rFonts w:ascii="Arial" w:hAnsi="Arial" w:cs="Arial"/>
          <w:sz w:val="20"/>
          <w:szCs w:val="20"/>
        </w:rPr>
        <w:t xml:space="preserve">un </w:t>
      </w:r>
      <w:r w:rsidR="00D32E95" w:rsidRPr="00AC4AEA">
        <w:rPr>
          <w:rFonts w:ascii="Arial" w:hAnsi="Arial" w:cs="Arial"/>
          <w:b/>
          <w:bCs/>
          <w:sz w:val="20"/>
          <w:szCs w:val="20"/>
        </w:rPr>
        <w:t xml:space="preserve">pasivo </w:t>
      </w:r>
      <w:r w:rsidR="00D32E95" w:rsidRPr="00AC4AEA">
        <w:rPr>
          <w:rFonts w:ascii="Arial" w:hAnsi="Arial" w:cs="Arial"/>
          <w:sz w:val="20"/>
          <w:szCs w:val="20"/>
        </w:rPr>
        <w:t xml:space="preserve">como </w:t>
      </w:r>
      <w:r w:rsidR="002F0403" w:rsidRPr="00AC4AEA">
        <w:rPr>
          <w:rFonts w:ascii="Arial" w:hAnsi="Arial" w:cs="Arial"/>
          <w:sz w:val="20"/>
          <w:szCs w:val="20"/>
        </w:rPr>
        <w:t>corriente</w:t>
      </w:r>
      <w:r w:rsidR="00D32E95" w:rsidRPr="00AC4AEA">
        <w:rPr>
          <w:rFonts w:ascii="Arial" w:hAnsi="Arial" w:cs="Arial"/>
          <w:sz w:val="20"/>
          <w:szCs w:val="20"/>
        </w:rPr>
        <w:t xml:space="preserve"> a los siguientes</w:t>
      </w:r>
      <w:r w:rsidR="002F0403" w:rsidRPr="00AC4AEA">
        <w:rPr>
          <w:rFonts w:ascii="Arial" w:hAnsi="Arial" w:cs="Arial"/>
          <w:sz w:val="20"/>
          <w:szCs w:val="20"/>
        </w:rPr>
        <w:t>:</w:t>
      </w:r>
    </w:p>
    <w:p w:rsidR="00D32E95" w:rsidRPr="00AC4AEA" w:rsidRDefault="001F475D" w:rsidP="00A318EA">
      <w:pPr>
        <w:pStyle w:val="Prrafodelista"/>
        <w:numPr>
          <w:ilvl w:val="0"/>
          <w:numId w:val="368"/>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L</w:t>
      </w:r>
      <w:r w:rsidR="002F0403" w:rsidRPr="00AC4AEA">
        <w:rPr>
          <w:rFonts w:ascii="Arial" w:hAnsi="Arial" w:cs="Arial"/>
          <w:sz w:val="20"/>
          <w:szCs w:val="20"/>
        </w:rPr>
        <w:t xml:space="preserve">os </w:t>
      </w:r>
      <w:r w:rsidR="00497590" w:rsidRPr="00AC4AEA">
        <w:rPr>
          <w:rFonts w:ascii="Arial" w:hAnsi="Arial" w:cs="Arial"/>
          <w:sz w:val="20"/>
          <w:szCs w:val="20"/>
        </w:rPr>
        <w:t>pasivos</w:t>
      </w:r>
      <w:r w:rsidR="00D32E95" w:rsidRPr="00AC4AEA">
        <w:rPr>
          <w:rFonts w:ascii="Arial" w:hAnsi="Arial" w:cs="Arial"/>
          <w:sz w:val="20"/>
          <w:szCs w:val="20"/>
        </w:rPr>
        <w:t xml:space="preserve"> que son </w:t>
      </w:r>
      <w:r w:rsidR="002F0403" w:rsidRPr="00AC4AEA">
        <w:rPr>
          <w:rFonts w:ascii="Arial" w:hAnsi="Arial" w:cs="Arial"/>
          <w:sz w:val="20"/>
          <w:szCs w:val="20"/>
        </w:rPr>
        <w:t xml:space="preserve">exigibles </w:t>
      </w:r>
      <w:r w:rsidR="00D32E95" w:rsidRPr="00AC4AEA">
        <w:rPr>
          <w:rFonts w:ascii="Arial" w:hAnsi="Arial" w:cs="Arial"/>
          <w:sz w:val="20"/>
          <w:szCs w:val="20"/>
        </w:rPr>
        <w:t xml:space="preserve">a la </w:t>
      </w:r>
      <w:r w:rsidR="00D32E95" w:rsidRPr="00AC4AEA">
        <w:rPr>
          <w:rFonts w:ascii="Arial" w:hAnsi="Arial" w:cs="Arial"/>
          <w:b/>
          <w:bCs/>
          <w:sz w:val="20"/>
          <w:szCs w:val="20"/>
        </w:rPr>
        <w:t>fecha de los estados contables</w:t>
      </w:r>
      <w:r w:rsidRPr="00AC4AEA">
        <w:rPr>
          <w:rFonts w:ascii="Arial" w:hAnsi="Arial" w:cs="Arial"/>
          <w:sz w:val="20"/>
          <w:szCs w:val="20"/>
        </w:rPr>
        <w:t>.</w:t>
      </w:r>
    </w:p>
    <w:p w:rsidR="00D32E95" w:rsidRPr="00AC4AEA" w:rsidRDefault="001F475D" w:rsidP="00A318EA">
      <w:pPr>
        <w:pStyle w:val="Prrafodelista"/>
        <w:numPr>
          <w:ilvl w:val="0"/>
          <w:numId w:val="368"/>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L</w:t>
      </w:r>
      <w:r w:rsidR="00D32E95" w:rsidRPr="00AC4AEA">
        <w:rPr>
          <w:rFonts w:ascii="Arial" w:hAnsi="Arial" w:cs="Arial"/>
          <w:sz w:val="20"/>
          <w:szCs w:val="20"/>
        </w:rPr>
        <w:t xml:space="preserve">os </w:t>
      </w:r>
      <w:r w:rsidR="00497590" w:rsidRPr="00AC4AEA">
        <w:rPr>
          <w:rFonts w:ascii="Arial" w:hAnsi="Arial" w:cs="Arial"/>
          <w:sz w:val="20"/>
          <w:szCs w:val="20"/>
        </w:rPr>
        <w:t>pasivos</w:t>
      </w:r>
      <w:r w:rsidR="002F0403" w:rsidRPr="00AC4AEA">
        <w:rPr>
          <w:rFonts w:ascii="Arial" w:hAnsi="Arial" w:cs="Arial"/>
          <w:sz w:val="20"/>
          <w:szCs w:val="20"/>
        </w:rPr>
        <w:t xml:space="preserve"> cuyo vencimiento o exigibilidad se producirá en los doce meses</w:t>
      </w:r>
      <w:r w:rsidR="00D32E95" w:rsidRPr="00AC4AEA">
        <w:rPr>
          <w:rFonts w:ascii="Arial" w:hAnsi="Arial" w:cs="Arial"/>
          <w:sz w:val="20"/>
          <w:szCs w:val="20"/>
        </w:rPr>
        <w:t xml:space="preserve"> </w:t>
      </w:r>
      <w:r w:rsidR="002F0403" w:rsidRPr="00AC4AEA">
        <w:rPr>
          <w:rFonts w:ascii="Arial" w:hAnsi="Arial" w:cs="Arial"/>
          <w:sz w:val="20"/>
          <w:szCs w:val="20"/>
        </w:rPr>
        <w:t xml:space="preserve">siguientes a </w:t>
      </w:r>
      <w:r w:rsidR="00D32E95" w:rsidRPr="00AC4AEA">
        <w:rPr>
          <w:rFonts w:ascii="Arial" w:hAnsi="Arial" w:cs="Arial"/>
          <w:sz w:val="20"/>
          <w:szCs w:val="20"/>
        </w:rPr>
        <w:t xml:space="preserve">la </w:t>
      </w:r>
      <w:r w:rsidR="00D32E95" w:rsidRPr="00AC4AEA">
        <w:rPr>
          <w:rFonts w:ascii="Arial" w:hAnsi="Arial" w:cs="Arial"/>
          <w:b/>
          <w:bCs/>
          <w:sz w:val="20"/>
          <w:szCs w:val="20"/>
        </w:rPr>
        <w:t>fecha de los estados contables</w:t>
      </w:r>
      <w:r w:rsidRPr="00AC4AEA">
        <w:rPr>
          <w:rFonts w:ascii="Arial" w:hAnsi="Arial" w:cs="Arial"/>
          <w:sz w:val="20"/>
          <w:szCs w:val="20"/>
        </w:rPr>
        <w:t>.</w:t>
      </w:r>
    </w:p>
    <w:p w:rsidR="002F0403" w:rsidRPr="00AC4AEA" w:rsidRDefault="001F475D" w:rsidP="00A318EA">
      <w:pPr>
        <w:pStyle w:val="Prrafodelista"/>
        <w:numPr>
          <w:ilvl w:val="0"/>
          <w:numId w:val="368"/>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L</w:t>
      </w:r>
      <w:r w:rsidR="002F0403" w:rsidRPr="00AC4AEA">
        <w:rPr>
          <w:rFonts w:ascii="Arial" w:hAnsi="Arial" w:cs="Arial"/>
          <w:sz w:val="20"/>
          <w:szCs w:val="20"/>
        </w:rPr>
        <w:t xml:space="preserve">as previsiones </w:t>
      </w:r>
      <w:r w:rsidR="00B34D02" w:rsidRPr="00AC4AEA">
        <w:rPr>
          <w:rFonts w:ascii="Arial" w:hAnsi="Arial" w:cs="Arial"/>
          <w:sz w:val="20"/>
          <w:szCs w:val="20"/>
        </w:rPr>
        <w:t>que se estima convertir</w:t>
      </w:r>
      <w:r w:rsidR="002F0403" w:rsidRPr="00AC4AEA">
        <w:rPr>
          <w:rFonts w:ascii="Arial" w:hAnsi="Arial" w:cs="Arial"/>
          <w:sz w:val="20"/>
          <w:szCs w:val="20"/>
        </w:rPr>
        <w:t xml:space="preserve"> en obligaciones ciertas y exigibles </w:t>
      </w:r>
      <w:r w:rsidR="00B34D02" w:rsidRPr="00AC4AEA">
        <w:rPr>
          <w:rFonts w:ascii="Arial" w:hAnsi="Arial" w:cs="Arial"/>
          <w:sz w:val="20"/>
          <w:szCs w:val="20"/>
        </w:rPr>
        <w:t xml:space="preserve">cuyo vencimiento o exigibilidad se producirá en los doce meses siguientes a la </w:t>
      </w:r>
      <w:r w:rsidR="00B34D02" w:rsidRPr="00AC4AEA">
        <w:rPr>
          <w:rFonts w:ascii="Arial" w:hAnsi="Arial" w:cs="Arial"/>
          <w:b/>
          <w:bCs/>
          <w:sz w:val="20"/>
          <w:szCs w:val="20"/>
        </w:rPr>
        <w:t>fecha de los estados contables</w:t>
      </w:r>
      <w:r w:rsidR="00B34D02" w:rsidRPr="00AC4AEA">
        <w:rPr>
          <w:rFonts w:ascii="Arial" w:hAnsi="Arial" w:cs="Arial"/>
          <w:sz w:val="20"/>
          <w:szCs w:val="20"/>
        </w:rPr>
        <w:t>.</w:t>
      </w:r>
    </w:p>
    <w:p w:rsidR="006C513C" w:rsidRPr="00AC4AEA" w:rsidRDefault="00D32E95" w:rsidP="00A318EA">
      <w:pPr>
        <w:pStyle w:val="Prrafodelista"/>
        <w:numPr>
          <w:ilvl w:val="0"/>
          <w:numId w:val="29"/>
        </w:numPr>
        <w:autoSpaceDE w:val="0"/>
        <w:autoSpaceDN w:val="0"/>
        <w:adjustRightInd w:val="0"/>
        <w:contextualSpacing w:val="0"/>
        <w:jc w:val="both"/>
        <w:rPr>
          <w:rFonts w:ascii="Arial" w:hAnsi="Arial" w:cs="Arial"/>
          <w:sz w:val="20"/>
          <w:szCs w:val="20"/>
        </w:rPr>
      </w:pPr>
      <w:r w:rsidRPr="00AC4AEA">
        <w:rPr>
          <w:rFonts w:ascii="Arial" w:hAnsi="Arial" w:cs="Arial"/>
          <w:sz w:val="20"/>
          <w:szCs w:val="20"/>
        </w:rPr>
        <w:t xml:space="preserve">Los </w:t>
      </w:r>
      <w:r w:rsidR="00497590" w:rsidRPr="00AC4AEA">
        <w:rPr>
          <w:rFonts w:ascii="Arial" w:hAnsi="Arial" w:cs="Arial"/>
          <w:sz w:val="20"/>
          <w:szCs w:val="20"/>
        </w:rPr>
        <w:t>pasivos</w:t>
      </w:r>
      <w:r w:rsidR="002F0403" w:rsidRPr="00AC4AEA">
        <w:rPr>
          <w:rFonts w:ascii="Arial" w:hAnsi="Arial" w:cs="Arial"/>
          <w:sz w:val="20"/>
          <w:szCs w:val="20"/>
        </w:rPr>
        <w:t xml:space="preserve"> no corrientes</w:t>
      </w:r>
      <w:r w:rsidRPr="00AC4AEA">
        <w:rPr>
          <w:rFonts w:ascii="Arial" w:hAnsi="Arial" w:cs="Arial"/>
          <w:sz w:val="20"/>
          <w:szCs w:val="20"/>
        </w:rPr>
        <w:t xml:space="preserve"> c</w:t>
      </w:r>
      <w:r w:rsidR="002F0403" w:rsidRPr="00AC4AEA">
        <w:rPr>
          <w:rFonts w:ascii="Arial" w:hAnsi="Arial" w:cs="Arial"/>
          <w:sz w:val="20"/>
          <w:szCs w:val="20"/>
        </w:rPr>
        <w:t>omprenden a todos los que no puedan ser clasificados como corrientes, de</w:t>
      </w:r>
      <w:r w:rsidRPr="00AC4AEA">
        <w:rPr>
          <w:rFonts w:ascii="Arial" w:hAnsi="Arial" w:cs="Arial"/>
          <w:sz w:val="20"/>
          <w:szCs w:val="20"/>
        </w:rPr>
        <w:t xml:space="preserve"> </w:t>
      </w:r>
      <w:r w:rsidR="002F0403" w:rsidRPr="00AC4AEA">
        <w:rPr>
          <w:rFonts w:ascii="Arial" w:hAnsi="Arial" w:cs="Arial"/>
          <w:sz w:val="20"/>
          <w:szCs w:val="20"/>
        </w:rPr>
        <w:t xml:space="preserve">acuerdo con lo indicado en el </w:t>
      </w:r>
      <w:r w:rsidRPr="00AC4AEA">
        <w:rPr>
          <w:rFonts w:ascii="Arial" w:hAnsi="Arial" w:cs="Arial"/>
          <w:sz w:val="20"/>
          <w:szCs w:val="20"/>
        </w:rPr>
        <w:t>párrafo</w:t>
      </w:r>
      <w:r w:rsidR="002F0403" w:rsidRPr="00AC4AEA">
        <w:rPr>
          <w:rFonts w:ascii="Arial" w:hAnsi="Arial" w:cs="Arial"/>
          <w:sz w:val="20"/>
          <w:szCs w:val="20"/>
        </w:rPr>
        <w:t xml:space="preserve"> anterior.</w:t>
      </w:r>
    </w:p>
    <w:p w:rsidR="00460F67" w:rsidRPr="00AC4AEA" w:rsidRDefault="00460F67" w:rsidP="00A318EA">
      <w:pPr>
        <w:pStyle w:val="Prrafodelista"/>
        <w:numPr>
          <w:ilvl w:val="0"/>
          <w:numId w:val="29"/>
        </w:numPr>
        <w:autoSpaceDE w:val="0"/>
        <w:autoSpaceDN w:val="0"/>
        <w:adjustRightInd w:val="0"/>
        <w:contextualSpacing w:val="0"/>
        <w:jc w:val="both"/>
        <w:rPr>
          <w:rFonts w:ascii="Arial" w:hAnsi="Arial" w:cs="Arial"/>
          <w:sz w:val="20"/>
          <w:szCs w:val="20"/>
        </w:rPr>
      </w:pPr>
      <w:r w:rsidRPr="00AC4AEA">
        <w:rPr>
          <w:rFonts w:ascii="Arial" w:hAnsi="Arial" w:cs="Arial"/>
          <w:sz w:val="20"/>
          <w:szCs w:val="20"/>
        </w:rPr>
        <w:t xml:space="preserve">Cuando un </w:t>
      </w:r>
      <w:r w:rsidRPr="00AC4AEA">
        <w:rPr>
          <w:rFonts w:ascii="Arial" w:hAnsi="Arial" w:cs="Arial"/>
          <w:b/>
          <w:bCs/>
          <w:sz w:val="20"/>
          <w:szCs w:val="20"/>
        </w:rPr>
        <w:t>activo</w:t>
      </w:r>
      <w:r w:rsidRPr="00AC4AEA">
        <w:rPr>
          <w:rFonts w:ascii="Arial" w:hAnsi="Arial" w:cs="Arial"/>
          <w:sz w:val="20"/>
          <w:szCs w:val="20"/>
        </w:rPr>
        <w:t xml:space="preserve"> o un </w:t>
      </w:r>
      <w:r w:rsidRPr="00181A70">
        <w:rPr>
          <w:rFonts w:ascii="Arial" w:hAnsi="Arial" w:cs="Arial"/>
          <w:b/>
          <w:bCs/>
          <w:sz w:val="20"/>
          <w:szCs w:val="20"/>
        </w:rPr>
        <w:t>pasivo</w:t>
      </w:r>
      <w:r w:rsidRPr="00AC4AEA">
        <w:rPr>
          <w:rFonts w:ascii="Arial" w:hAnsi="Arial" w:cs="Arial"/>
          <w:sz w:val="20"/>
          <w:szCs w:val="20"/>
        </w:rPr>
        <w:t xml:space="preserve">, en virtud de los períodos en los que habrá de producirse su conversión en </w:t>
      </w:r>
      <w:r w:rsidR="000203AB" w:rsidRPr="00AC4AEA">
        <w:rPr>
          <w:rFonts w:ascii="Arial" w:hAnsi="Arial" w:cs="Arial"/>
          <w:sz w:val="20"/>
          <w:szCs w:val="20"/>
        </w:rPr>
        <w:t>efectivo</w:t>
      </w:r>
      <w:r w:rsidRPr="00AC4AEA">
        <w:rPr>
          <w:rFonts w:ascii="Arial" w:hAnsi="Arial" w:cs="Arial"/>
          <w:sz w:val="20"/>
          <w:szCs w:val="20"/>
        </w:rPr>
        <w:t xml:space="preserve"> o equivalente</w:t>
      </w:r>
      <w:r w:rsidR="00D5284F" w:rsidRPr="00AC4AEA">
        <w:rPr>
          <w:rFonts w:ascii="Arial" w:hAnsi="Arial" w:cs="Arial"/>
          <w:sz w:val="20"/>
          <w:szCs w:val="20"/>
        </w:rPr>
        <w:t>s</w:t>
      </w:r>
      <w:r w:rsidRPr="00AC4AEA">
        <w:rPr>
          <w:rFonts w:ascii="Arial" w:hAnsi="Arial" w:cs="Arial"/>
          <w:sz w:val="20"/>
          <w:szCs w:val="20"/>
        </w:rPr>
        <w:t xml:space="preserve"> o su exigibilidad, respectivamente, participa del carácter de corriente y no corriente,</w:t>
      </w:r>
      <w:r w:rsidR="00FB1AC4" w:rsidRPr="00AC4AEA">
        <w:rPr>
          <w:rFonts w:ascii="Arial" w:hAnsi="Arial" w:cs="Arial"/>
          <w:sz w:val="20"/>
          <w:szCs w:val="20"/>
        </w:rPr>
        <w:t xml:space="preserve"> una entidad asignará</w:t>
      </w:r>
      <w:r w:rsidRPr="00AC4AEA">
        <w:rPr>
          <w:rFonts w:ascii="Arial" w:hAnsi="Arial" w:cs="Arial"/>
          <w:sz w:val="20"/>
          <w:szCs w:val="20"/>
        </w:rPr>
        <w:t xml:space="preserve"> sus respectivas porciones a cada grupo según corresponda.</w:t>
      </w:r>
    </w:p>
    <w:p w:rsidR="00166E38" w:rsidRPr="00AC4AEA" w:rsidRDefault="00166E38" w:rsidP="00A318EA">
      <w:pPr>
        <w:pStyle w:val="Prrafodelista"/>
        <w:numPr>
          <w:ilvl w:val="0"/>
          <w:numId w:val="29"/>
        </w:numPr>
        <w:autoSpaceDE w:val="0"/>
        <w:autoSpaceDN w:val="0"/>
        <w:adjustRightInd w:val="0"/>
        <w:contextualSpacing w:val="0"/>
        <w:jc w:val="both"/>
        <w:rPr>
          <w:rFonts w:ascii="Arial" w:hAnsi="Arial" w:cs="Arial"/>
          <w:sz w:val="20"/>
          <w:szCs w:val="20"/>
        </w:rPr>
      </w:pPr>
      <w:bookmarkStart w:id="890" w:name="_Ref103775832"/>
      <w:r w:rsidRPr="00AC4AEA">
        <w:rPr>
          <w:rFonts w:ascii="Arial" w:hAnsi="Arial" w:cs="Arial"/>
          <w:sz w:val="20"/>
          <w:szCs w:val="20"/>
        </w:rPr>
        <w:t xml:space="preserve">Además de lo indicado </w:t>
      </w:r>
      <w:r w:rsidR="00FB1AC4" w:rsidRPr="00AC4AEA">
        <w:rPr>
          <w:rFonts w:ascii="Arial" w:hAnsi="Arial" w:cs="Arial"/>
          <w:sz w:val="20"/>
          <w:szCs w:val="20"/>
        </w:rPr>
        <w:t xml:space="preserve">en los párrafos </w:t>
      </w:r>
      <w:r w:rsidR="008B2108" w:rsidRPr="00AC4AEA">
        <w:rPr>
          <w:rFonts w:ascii="Arial" w:hAnsi="Arial" w:cs="Arial"/>
          <w:sz w:val="20"/>
          <w:szCs w:val="20"/>
        </w:rPr>
        <w:t>precedentes</w:t>
      </w:r>
      <w:r w:rsidRPr="00AC4AEA">
        <w:rPr>
          <w:rFonts w:ascii="Arial" w:hAnsi="Arial" w:cs="Arial"/>
          <w:sz w:val="20"/>
          <w:szCs w:val="20"/>
        </w:rPr>
        <w:t>, a efecto de la clasificación de rubros</w:t>
      </w:r>
      <w:r w:rsidR="008B2108" w:rsidRPr="00AC4AEA">
        <w:rPr>
          <w:rFonts w:ascii="Arial" w:hAnsi="Arial" w:cs="Arial"/>
          <w:sz w:val="20"/>
          <w:szCs w:val="20"/>
        </w:rPr>
        <w:t xml:space="preserve"> como </w:t>
      </w:r>
      <w:r w:rsidR="00497590" w:rsidRPr="00AC4AEA">
        <w:rPr>
          <w:rFonts w:ascii="Arial" w:hAnsi="Arial" w:cs="Arial"/>
          <w:sz w:val="20"/>
          <w:szCs w:val="20"/>
        </w:rPr>
        <w:t>activos</w:t>
      </w:r>
      <w:r w:rsidR="008B2108" w:rsidRPr="00AC4AEA">
        <w:rPr>
          <w:rFonts w:ascii="Arial" w:hAnsi="Arial" w:cs="Arial"/>
          <w:sz w:val="20"/>
          <w:szCs w:val="20"/>
        </w:rPr>
        <w:t xml:space="preserve"> (</w:t>
      </w:r>
      <w:r w:rsidR="00497590" w:rsidRPr="00AC4AEA">
        <w:rPr>
          <w:rFonts w:ascii="Arial" w:hAnsi="Arial" w:cs="Arial"/>
          <w:sz w:val="20"/>
          <w:szCs w:val="20"/>
        </w:rPr>
        <w:t>pasivos</w:t>
      </w:r>
      <w:r w:rsidR="008B2108" w:rsidRPr="00AC4AEA">
        <w:rPr>
          <w:rFonts w:ascii="Arial" w:hAnsi="Arial" w:cs="Arial"/>
          <w:sz w:val="20"/>
          <w:szCs w:val="20"/>
        </w:rPr>
        <w:t xml:space="preserve">) corrientes, o </w:t>
      </w:r>
      <w:r w:rsidR="00497590" w:rsidRPr="00AC4AEA">
        <w:rPr>
          <w:rFonts w:ascii="Arial" w:hAnsi="Arial" w:cs="Arial"/>
          <w:sz w:val="20"/>
          <w:szCs w:val="20"/>
        </w:rPr>
        <w:t>activos</w:t>
      </w:r>
      <w:r w:rsidR="008B2108" w:rsidRPr="00AC4AEA">
        <w:rPr>
          <w:rFonts w:ascii="Arial" w:hAnsi="Arial" w:cs="Arial"/>
          <w:sz w:val="20"/>
          <w:szCs w:val="20"/>
        </w:rPr>
        <w:t xml:space="preserve"> (</w:t>
      </w:r>
      <w:r w:rsidR="00497590" w:rsidRPr="00AC4AEA">
        <w:rPr>
          <w:rFonts w:ascii="Arial" w:hAnsi="Arial" w:cs="Arial"/>
          <w:sz w:val="20"/>
          <w:szCs w:val="20"/>
        </w:rPr>
        <w:t>pasivos</w:t>
      </w:r>
      <w:r w:rsidR="008B2108" w:rsidRPr="00AC4AEA">
        <w:rPr>
          <w:rFonts w:ascii="Arial" w:hAnsi="Arial" w:cs="Arial"/>
          <w:sz w:val="20"/>
          <w:szCs w:val="20"/>
        </w:rPr>
        <w:t>) no corrientes</w:t>
      </w:r>
      <w:r w:rsidR="00606BFA" w:rsidRPr="00AC4AEA">
        <w:rPr>
          <w:rFonts w:ascii="Arial" w:hAnsi="Arial" w:cs="Arial"/>
          <w:sz w:val="20"/>
          <w:szCs w:val="20"/>
        </w:rPr>
        <w:t>,</w:t>
      </w:r>
      <w:r w:rsidRPr="00AC4AEA">
        <w:rPr>
          <w:rFonts w:ascii="Arial" w:hAnsi="Arial" w:cs="Arial"/>
          <w:sz w:val="20"/>
          <w:szCs w:val="20"/>
        </w:rPr>
        <w:t xml:space="preserve"> </w:t>
      </w:r>
      <w:r w:rsidR="008B2108" w:rsidRPr="00AC4AEA">
        <w:rPr>
          <w:rFonts w:ascii="Arial" w:hAnsi="Arial" w:cs="Arial"/>
          <w:sz w:val="20"/>
          <w:szCs w:val="20"/>
        </w:rPr>
        <w:t xml:space="preserve">una entidad </w:t>
      </w:r>
      <w:r w:rsidR="000C2760" w:rsidRPr="00AC4AEA">
        <w:rPr>
          <w:rFonts w:ascii="Arial" w:hAnsi="Arial" w:cs="Arial"/>
          <w:sz w:val="20"/>
          <w:szCs w:val="20"/>
        </w:rPr>
        <w:t>tendrá</w:t>
      </w:r>
      <w:r w:rsidR="008B2108" w:rsidRPr="00AC4AEA">
        <w:rPr>
          <w:rFonts w:ascii="Arial" w:hAnsi="Arial" w:cs="Arial"/>
          <w:sz w:val="20"/>
          <w:szCs w:val="20"/>
        </w:rPr>
        <w:t xml:space="preserve"> en cuenta lo siguiente</w:t>
      </w:r>
      <w:r w:rsidRPr="00AC4AEA">
        <w:rPr>
          <w:rFonts w:ascii="Arial" w:hAnsi="Arial" w:cs="Arial"/>
          <w:sz w:val="20"/>
          <w:szCs w:val="20"/>
        </w:rPr>
        <w:t>:</w:t>
      </w:r>
      <w:bookmarkEnd w:id="890"/>
    </w:p>
    <w:p w:rsidR="00166E38" w:rsidRPr="00AC4AEA" w:rsidRDefault="00166E38" w:rsidP="00A318EA">
      <w:pPr>
        <w:pStyle w:val="Prrafodelista"/>
        <w:numPr>
          <w:ilvl w:val="0"/>
          <w:numId w:val="369"/>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La intención de los órganos de</w:t>
      </w:r>
      <w:r w:rsidR="001C65A3" w:rsidRPr="00AC4AEA">
        <w:rPr>
          <w:rFonts w:ascii="Arial" w:hAnsi="Arial" w:cs="Arial"/>
          <w:sz w:val="20"/>
          <w:szCs w:val="20"/>
        </w:rPr>
        <w:t xml:space="preserve"> </w:t>
      </w:r>
      <w:r w:rsidRPr="00AC4AEA">
        <w:rPr>
          <w:rFonts w:ascii="Arial" w:hAnsi="Arial" w:cs="Arial"/>
          <w:sz w:val="20"/>
          <w:szCs w:val="20"/>
        </w:rPr>
        <w:t>l</w:t>
      </w:r>
      <w:r w:rsidR="001C65A3" w:rsidRPr="00AC4AEA">
        <w:rPr>
          <w:rFonts w:ascii="Arial" w:hAnsi="Arial" w:cs="Arial"/>
          <w:sz w:val="20"/>
          <w:szCs w:val="20"/>
        </w:rPr>
        <w:t>a</w:t>
      </w:r>
      <w:r w:rsidRPr="00AC4AEA">
        <w:rPr>
          <w:rFonts w:ascii="Arial" w:hAnsi="Arial" w:cs="Arial"/>
          <w:sz w:val="20"/>
          <w:szCs w:val="20"/>
        </w:rPr>
        <w:t xml:space="preserve"> ent</w:t>
      </w:r>
      <w:r w:rsidR="001C65A3" w:rsidRPr="00AC4AEA">
        <w:rPr>
          <w:rFonts w:ascii="Arial" w:hAnsi="Arial" w:cs="Arial"/>
          <w:sz w:val="20"/>
          <w:szCs w:val="20"/>
        </w:rPr>
        <w:t>idad</w:t>
      </w:r>
      <w:r w:rsidRPr="00AC4AEA">
        <w:rPr>
          <w:rFonts w:ascii="Arial" w:hAnsi="Arial" w:cs="Arial"/>
          <w:sz w:val="20"/>
          <w:szCs w:val="20"/>
        </w:rPr>
        <w:t xml:space="preserve"> respecto de sus bienes, derechos u obligaciones.</w:t>
      </w:r>
    </w:p>
    <w:p w:rsidR="00166E38" w:rsidRPr="00AC4AEA" w:rsidRDefault="00166E38" w:rsidP="00A318EA">
      <w:pPr>
        <w:pStyle w:val="Prrafodelista"/>
        <w:numPr>
          <w:ilvl w:val="0"/>
          <w:numId w:val="369"/>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La información de índices de rotación, si no fuera posible una discriminación específica.</w:t>
      </w:r>
    </w:p>
    <w:p w:rsidR="00606BFA" w:rsidRPr="00AC4AEA" w:rsidRDefault="00606BFA" w:rsidP="00A318EA">
      <w:pPr>
        <w:pStyle w:val="Prrafodelista"/>
        <w:numPr>
          <w:ilvl w:val="0"/>
          <w:numId w:val="369"/>
        </w:numPr>
        <w:autoSpaceDE w:val="0"/>
        <w:autoSpaceDN w:val="0"/>
        <w:adjustRightInd w:val="0"/>
        <w:ind w:left="1560"/>
        <w:contextualSpacing w:val="0"/>
        <w:jc w:val="both"/>
        <w:rPr>
          <w:rFonts w:ascii="Arial" w:hAnsi="Arial" w:cs="Arial"/>
          <w:sz w:val="20"/>
          <w:szCs w:val="20"/>
        </w:rPr>
      </w:pPr>
      <w:r w:rsidRPr="00AC4AEA">
        <w:rPr>
          <w:rFonts w:ascii="Arial" w:hAnsi="Arial" w:cs="Arial"/>
          <w:sz w:val="20"/>
          <w:szCs w:val="20"/>
        </w:rPr>
        <w:t xml:space="preserve">La información adicional que pueda obtenerse hasta la fecha de </w:t>
      </w:r>
      <w:r w:rsidR="00A978B2" w:rsidRPr="00AC4AEA">
        <w:rPr>
          <w:rFonts w:ascii="Arial" w:hAnsi="Arial" w:cs="Arial"/>
          <w:sz w:val="20"/>
          <w:szCs w:val="20"/>
        </w:rPr>
        <w:t>aprobación</w:t>
      </w:r>
      <w:r w:rsidRPr="00AC4AEA">
        <w:rPr>
          <w:rFonts w:ascii="Arial" w:hAnsi="Arial" w:cs="Arial"/>
          <w:sz w:val="20"/>
          <w:szCs w:val="20"/>
        </w:rPr>
        <w:t xml:space="preserve"> de los </w:t>
      </w:r>
      <w:r w:rsidRPr="00AC4AEA">
        <w:rPr>
          <w:rFonts w:ascii="Arial" w:hAnsi="Arial" w:cs="Arial"/>
          <w:b/>
          <w:bCs/>
          <w:sz w:val="20"/>
          <w:szCs w:val="20"/>
        </w:rPr>
        <w:t>estados contables</w:t>
      </w:r>
      <w:r w:rsidR="00A978B2" w:rsidRPr="00AC4AEA">
        <w:rPr>
          <w:rFonts w:ascii="Arial" w:hAnsi="Arial" w:cs="Arial"/>
          <w:sz w:val="20"/>
          <w:szCs w:val="20"/>
        </w:rPr>
        <w:t xml:space="preserve"> por parte de la </w:t>
      </w:r>
      <w:r w:rsidR="00A978B2" w:rsidRPr="00AC4AEA">
        <w:rPr>
          <w:rFonts w:ascii="Arial" w:hAnsi="Arial" w:cs="Arial"/>
          <w:b/>
          <w:bCs/>
          <w:sz w:val="20"/>
          <w:szCs w:val="20"/>
        </w:rPr>
        <w:t>dirección</w:t>
      </w:r>
      <w:r w:rsidRPr="00AC4AEA">
        <w:rPr>
          <w:rFonts w:ascii="Arial" w:hAnsi="Arial" w:cs="Arial"/>
          <w:sz w:val="20"/>
          <w:szCs w:val="20"/>
        </w:rPr>
        <w:t xml:space="preserve">, que contribuya a clasificar los rubros como </w:t>
      </w:r>
      <w:r w:rsidR="00497590" w:rsidRPr="00AC4AEA">
        <w:rPr>
          <w:rFonts w:ascii="Arial" w:hAnsi="Arial" w:cs="Arial"/>
          <w:sz w:val="20"/>
          <w:szCs w:val="20"/>
        </w:rPr>
        <w:t>activos</w:t>
      </w:r>
      <w:r w:rsidRPr="00AC4AEA">
        <w:rPr>
          <w:rFonts w:ascii="Arial" w:hAnsi="Arial" w:cs="Arial"/>
          <w:sz w:val="20"/>
          <w:szCs w:val="20"/>
        </w:rPr>
        <w:t xml:space="preserve"> (</w:t>
      </w:r>
      <w:r w:rsidR="00497590" w:rsidRPr="00AC4AEA">
        <w:rPr>
          <w:rFonts w:ascii="Arial" w:hAnsi="Arial" w:cs="Arial"/>
          <w:sz w:val="20"/>
          <w:szCs w:val="20"/>
        </w:rPr>
        <w:t>pasivos</w:t>
      </w:r>
      <w:r w:rsidRPr="00AC4AEA">
        <w:rPr>
          <w:rFonts w:ascii="Arial" w:hAnsi="Arial" w:cs="Arial"/>
          <w:sz w:val="20"/>
          <w:szCs w:val="20"/>
        </w:rPr>
        <w:t xml:space="preserve">) corrientes, o </w:t>
      </w:r>
      <w:r w:rsidR="00497590" w:rsidRPr="00AC4AEA">
        <w:rPr>
          <w:rFonts w:ascii="Arial" w:hAnsi="Arial" w:cs="Arial"/>
          <w:sz w:val="20"/>
          <w:szCs w:val="20"/>
        </w:rPr>
        <w:t>activos</w:t>
      </w:r>
      <w:r w:rsidRPr="00AC4AEA">
        <w:rPr>
          <w:rFonts w:ascii="Arial" w:hAnsi="Arial" w:cs="Arial"/>
          <w:sz w:val="20"/>
          <w:szCs w:val="20"/>
        </w:rPr>
        <w:t xml:space="preserve"> (</w:t>
      </w:r>
      <w:r w:rsidR="00497590" w:rsidRPr="00AC4AEA">
        <w:rPr>
          <w:rFonts w:ascii="Arial" w:hAnsi="Arial" w:cs="Arial"/>
          <w:sz w:val="20"/>
          <w:szCs w:val="20"/>
        </w:rPr>
        <w:t>pasivos</w:t>
      </w:r>
      <w:r w:rsidRPr="00AC4AEA">
        <w:rPr>
          <w:rFonts w:ascii="Arial" w:hAnsi="Arial" w:cs="Arial"/>
          <w:sz w:val="20"/>
          <w:szCs w:val="20"/>
        </w:rPr>
        <w:t>) no corrientes.</w:t>
      </w:r>
    </w:p>
    <w:p w:rsidR="007F70AA" w:rsidRPr="00AC4AEA" w:rsidRDefault="007F70AA" w:rsidP="00A318EA">
      <w:pPr>
        <w:pStyle w:val="Prrafodelista"/>
        <w:autoSpaceDE w:val="0"/>
        <w:autoSpaceDN w:val="0"/>
        <w:adjustRightInd w:val="0"/>
        <w:ind w:left="1560"/>
        <w:contextualSpacing w:val="0"/>
        <w:jc w:val="both"/>
        <w:rPr>
          <w:rFonts w:ascii="Arial" w:hAnsi="Arial" w:cs="Arial"/>
          <w:sz w:val="20"/>
          <w:szCs w:val="20"/>
        </w:rPr>
      </w:pPr>
    </w:p>
    <w:p w:rsidR="00527D41" w:rsidRPr="00AC4AEA" w:rsidRDefault="00527D41" w:rsidP="00A318EA">
      <w:pPr>
        <w:pStyle w:val="Ttulo2"/>
        <w:rPr>
          <w:rFonts w:cs="Arial"/>
        </w:rPr>
      </w:pPr>
      <w:bookmarkStart w:id="891" w:name="_Toc101863997"/>
      <w:bookmarkStart w:id="892" w:name="_Toc139356891"/>
      <w:r w:rsidRPr="00AC4AEA">
        <w:rPr>
          <w:rFonts w:cs="Arial"/>
        </w:rPr>
        <w:t xml:space="preserve">Partidas de ajuste de la </w:t>
      </w:r>
      <w:bookmarkEnd w:id="891"/>
      <w:r w:rsidR="00235A4B" w:rsidRPr="00AC4AEA">
        <w:rPr>
          <w:rFonts w:cs="Arial"/>
        </w:rPr>
        <w:t>medición</w:t>
      </w:r>
      <w:bookmarkEnd w:id="892"/>
    </w:p>
    <w:p w:rsidR="00527D41" w:rsidRPr="00AC4AEA" w:rsidRDefault="00527D4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deducirá o adicionará, según corresponda, las partidas de ajuste de medición de los rubros del </w:t>
      </w:r>
      <w:r w:rsidRPr="00AC4AEA">
        <w:rPr>
          <w:rFonts w:ascii="Arial" w:hAnsi="Arial" w:cs="Arial"/>
          <w:b/>
          <w:bCs/>
          <w:sz w:val="20"/>
          <w:szCs w:val="20"/>
        </w:rPr>
        <w:t>activo</w:t>
      </w:r>
      <w:r w:rsidRPr="00AC4AEA">
        <w:rPr>
          <w:rFonts w:ascii="Arial" w:hAnsi="Arial" w:cs="Arial"/>
          <w:sz w:val="20"/>
          <w:szCs w:val="20"/>
        </w:rPr>
        <w:t xml:space="preserve"> y del </w:t>
      </w:r>
      <w:r w:rsidRPr="00AC4AEA">
        <w:rPr>
          <w:rFonts w:ascii="Arial" w:hAnsi="Arial" w:cs="Arial"/>
          <w:b/>
          <w:bCs/>
          <w:sz w:val="20"/>
          <w:szCs w:val="20"/>
        </w:rPr>
        <w:t xml:space="preserve">pasivo </w:t>
      </w:r>
      <w:r w:rsidRPr="00AC4AEA">
        <w:rPr>
          <w:rFonts w:ascii="Arial" w:hAnsi="Arial" w:cs="Arial"/>
          <w:sz w:val="20"/>
          <w:szCs w:val="20"/>
        </w:rPr>
        <w:t>(tales como depreciaciones o amortizaciones acumuladas, componentes financieros explícitos o implícitos no devengados, previsión para cuentas de cobro dudoso, etc.) directamente de las cuentas patrimoniales respectivas.</w:t>
      </w:r>
    </w:p>
    <w:p w:rsidR="009F4CD5" w:rsidRPr="00AC4AEA" w:rsidRDefault="00235A4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Cuando las partidas de ajuste de la medición sean significativas</w:t>
      </w:r>
      <w:r w:rsidR="00527D41" w:rsidRPr="00AC4AEA">
        <w:rPr>
          <w:rFonts w:ascii="Arial" w:hAnsi="Arial" w:cs="Arial"/>
          <w:sz w:val="20"/>
          <w:szCs w:val="20"/>
        </w:rPr>
        <w:t>, una entidad</w:t>
      </w:r>
      <w:r w:rsidR="009F4CD5" w:rsidRPr="00AC4AEA">
        <w:rPr>
          <w:rFonts w:ascii="Arial" w:hAnsi="Arial" w:cs="Arial"/>
          <w:sz w:val="20"/>
          <w:szCs w:val="20"/>
        </w:rPr>
        <w:t xml:space="preserve"> las identificará en notas o en el cuerpo de los </w:t>
      </w:r>
      <w:r w:rsidR="009F4CD5" w:rsidRPr="00AC4AEA">
        <w:rPr>
          <w:rFonts w:ascii="Arial" w:hAnsi="Arial" w:cs="Arial"/>
          <w:b/>
          <w:bCs/>
          <w:sz w:val="20"/>
          <w:szCs w:val="20"/>
        </w:rPr>
        <w:t>estados contables</w:t>
      </w:r>
      <w:r w:rsidR="009F4CD5" w:rsidRPr="00AC4AEA">
        <w:rPr>
          <w:rFonts w:ascii="Arial" w:hAnsi="Arial" w:cs="Arial"/>
          <w:sz w:val="20"/>
          <w:szCs w:val="20"/>
        </w:rPr>
        <w:t>.</w:t>
      </w:r>
    </w:p>
    <w:p w:rsidR="00630313" w:rsidRPr="00AC4AEA" w:rsidRDefault="00630313" w:rsidP="00A318EA">
      <w:pPr>
        <w:autoSpaceDE w:val="0"/>
        <w:autoSpaceDN w:val="0"/>
        <w:adjustRightInd w:val="0"/>
        <w:jc w:val="both"/>
        <w:rPr>
          <w:rFonts w:ascii="Arial" w:hAnsi="Arial" w:cs="Arial"/>
          <w:b/>
          <w:bCs/>
          <w:sz w:val="20"/>
          <w:szCs w:val="20"/>
        </w:rPr>
      </w:pPr>
    </w:p>
    <w:p w:rsidR="00527D41" w:rsidRPr="00AC4AEA" w:rsidRDefault="00527D41" w:rsidP="00A318EA">
      <w:pPr>
        <w:pStyle w:val="Ttulo2"/>
        <w:rPr>
          <w:rFonts w:cs="Arial"/>
        </w:rPr>
      </w:pPr>
      <w:bookmarkStart w:id="893" w:name="_Toc101863998"/>
      <w:bookmarkStart w:id="894" w:name="_Toc139356892"/>
      <w:r w:rsidRPr="00AC4AEA">
        <w:rPr>
          <w:rFonts w:cs="Arial"/>
        </w:rPr>
        <w:lastRenderedPageBreak/>
        <w:t>Compensación de partidas</w:t>
      </w:r>
      <w:bookmarkEnd w:id="893"/>
      <w:bookmarkEnd w:id="894"/>
      <w:r w:rsidRPr="00AC4AEA">
        <w:rPr>
          <w:rFonts w:cs="Arial"/>
        </w:rPr>
        <w:t xml:space="preserve"> </w:t>
      </w:r>
    </w:p>
    <w:p w:rsidR="00527D41" w:rsidRPr="00AC4AEA" w:rsidRDefault="00527D4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expondrá las partidas relacionadas por su importe neto cuando: </w:t>
      </w:r>
    </w:p>
    <w:p w:rsidR="00B42061" w:rsidRPr="00AC4AEA" w:rsidRDefault="00B9015F" w:rsidP="00A318EA">
      <w:pPr>
        <w:pStyle w:val="Prrafodelista"/>
        <w:numPr>
          <w:ilvl w:val="0"/>
          <w:numId w:val="184"/>
        </w:numPr>
        <w:ind w:left="1560"/>
        <w:contextualSpacing w:val="0"/>
        <w:jc w:val="both"/>
        <w:rPr>
          <w:rFonts w:ascii="Arial" w:hAnsi="Arial" w:cs="Arial"/>
          <w:sz w:val="20"/>
          <w:szCs w:val="20"/>
        </w:rPr>
      </w:pPr>
      <w:r w:rsidRPr="00AC4AEA">
        <w:rPr>
          <w:rFonts w:ascii="Arial" w:hAnsi="Arial" w:cs="Arial"/>
          <w:sz w:val="20"/>
          <w:szCs w:val="20"/>
        </w:rPr>
        <w:t>s</w:t>
      </w:r>
      <w:r w:rsidR="00527D41" w:rsidRPr="00AC4AEA">
        <w:rPr>
          <w:rFonts w:ascii="Arial" w:hAnsi="Arial" w:cs="Arial"/>
          <w:sz w:val="20"/>
          <w:szCs w:val="20"/>
        </w:rPr>
        <w:t>u compensación futura sea legalmente admisible</w:t>
      </w:r>
      <w:r w:rsidR="00322537" w:rsidRPr="00AC4AEA">
        <w:rPr>
          <w:rFonts w:ascii="Arial" w:hAnsi="Arial" w:cs="Arial"/>
          <w:sz w:val="20"/>
          <w:szCs w:val="20"/>
        </w:rPr>
        <w:t xml:space="preserve">; </w:t>
      </w:r>
      <w:r w:rsidR="00527D41" w:rsidRPr="00AC4AEA">
        <w:rPr>
          <w:rFonts w:ascii="Arial" w:hAnsi="Arial" w:cs="Arial"/>
          <w:sz w:val="20"/>
          <w:szCs w:val="20"/>
        </w:rPr>
        <w:t xml:space="preserve">y </w:t>
      </w:r>
    </w:p>
    <w:p w:rsidR="00527D41" w:rsidRPr="00AC4AEA" w:rsidRDefault="00B9015F" w:rsidP="00A318EA">
      <w:pPr>
        <w:pStyle w:val="Prrafodelista"/>
        <w:numPr>
          <w:ilvl w:val="0"/>
          <w:numId w:val="184"/>
        </w:numPr>
        <w:ind w:left="1560"/>
        <w:contextualSpacing w:val="0"/>
        <w:jc w:val="both"/>
        <w:rPr>
          <w:rFonts w:ascii="Arial" w:hAnsi="Arial" w:cs="Arial"/>
          <w:sz w:val="20"/>
          <w:szCs w:val="20"/>
        </w:rPr>
      </w:pPr>
      <w:r w:rsidRPr="00AC4AEA">
        <w:rPr>
          <w:rFonts w:ascii="Arial" w:hAnsi="Arial" w:cs="Arial"/>
          <w:sz w:val="20"/>
          <w:szCs w:val="20"/>
        </w:rPr>
        <w:t>t</w:t>
      </w:r>
      <w:r w:rsidR="00B42061" w:rsidRPr="00AC4AEA">
        <w:rPr>
          <w:rFonts w:ascii="Arial" w:hAnsi="Arial" w:cs="Arial"/>
          <w:sz w:val="20"/>
          <w:szCs w:val="20"/>
        </w:rPr>
        <w:t>enga</w:t>
      </w:r>
      <w:r w:rsidR="00527D41" w:rsidRPr="00AC4AEA">
        <w:rPr>
          <w:rFonts w:ascii="Arial" w:hAnsi="Arial" w:cs="Arial"/>
          <w:sz w:val="20"/>
          <w:szCs w:val="20"/>
        </w:rPr>
        <w:t xml:space="preserve"> la intención o la obligación de realizarla.</w:t>
      </w:r>
    </w:p>
    <w:p w:rsidR="00235A4B" w:rsidRPr="00AC4AEA" w:rsidRDefault="00235A4B" w:rsidP="00A318EA">
      <w:pPr>
        <w:pStyle w:val="Prrafodelista"/>
        <w:numPr>
          <w:ilvl w:val="0"/>
          <w:numId w:val="29"/>
        </w:numPr>
        <w:contextualSpacing w:val="0"/>
        <w:jc w:val="both"/>
        <w:rPr>
          <w:rFonts w:ascii="Arial" w:hAnsi="Arial" w:cs="Arial"/>
          <w:sz w:val="20"/>
          <w:szCs w:val="20"/>
        </w:rPr>
      </w:pPr>
      <w:bookmarkStart w:id="895" w:name="_Ref103782875"/>
      <w:r w:rsidRPr="00AC4AEA">
        <w:rPr>
          <w:rFonts w:ascii="Arial" w:hAnsi="Arial" w:cs="Arial"/>
          <w:sz w:val="20"/>
          <w:szCs w:val="20"/>
        </w:rPr>
        <w:t>Cuando las partidas compensadas sean significativas, una entidad</w:t>
      </w:r>
      <w:r w:rsidR="00402C17" w:rsidRPr="00AC4AEA">
        <w:rPr>
          <w:rFonts w:ascii="Arial" w:hAnsi="Arial" w:cs="Arial"/>
          <w:sz w:val="20"/>
          <w:szCs w:val="20"/>
        </w:rPr>
        <w:t xml:space="preserve"> </w:t>
      </w:r>
      <w:r w:rsidRPr="00AC4AEA">
        <w:rPr>
          <w:rFonts w:ascii="Arial" w:hAnsi="Arial" w:cs="Arial"/>
          <w:sz w:val="20"/>
          <w:szCs w:val="20"/>
        </w:rPr>
        <w:t xml:space="preserve">identificará </w:t>
      </w:r>
      <w:r w:rsidR="00433833" w:rsidRPr="00AC4AEA">
        <w:rPr>
          <w:rFonts w:ascii="Arial" w:hAnsi="Arial" w:cs="Arial"/>
          <w:sz w:val="20"/>
          <w:szCs w:val="20"/>
        </w:rPr>
        <w:t xml:space="preserve">los importes brutos </w:t>
      </w:r>
      <w:r w:rsidRPr="00AC4AEA">
        <w:rPr>
          <w:rFonts w:ascii="Arial" w:hAnsi="Arial" w:cs="Arial"/>
          <w:sz w:val="20"/>
          <w:szCs w:val="20"/>
        </w:rPr>
        <w:t xml:space="preserve">compensados en las notas o en el cuerpo de los </w:t>
      </w:r>
      <w:r w:rsidRPr="00AC4AEA">
        <w:rPr>
          <w:rFonts w:ascii="Arial" w:hAnsi="Arial" w:cs="Arial"/>
          <w:b/>
          <w:bCs/>
          <w:sz w:val="20"/>
          <w:szCs w:val="20"/>
        </w:rPr>
        <w:t>estados contables</w:t>
      </w:r>
      <w:r w:rsidRPr="00AC4AEA">
        <w:rPr>
          <w:rFonts w:ascii="Arial" w:hAnsi="Arial" w:cs="Arial"/>
          <w:sz w:val="20"/>
          <w:szCs w:val="20"/>
        </w:rPr>
        <w:t>.</w:t>
      </w:r>
      <w:bookmarkEnd w:id="895"/>
    </w:p>
    <w:p w:rsidR="00AE7883" w:rsidRPr="00AC4AEA" w:rsidRDefault="00AE7883" w:rsidP="00A318EA">
      <w:pPr>
        <w:pStyle w:val="Ttulo1"/>
        <w:rPr>
          <w:rFonts w:cs="Arial"/>
          <w:sz w:val="20"/>
          <w:szCs w:val="20"/>
        </w:rPr>
      </w:pPr>
      <w:bookmarkStart w:id="896" w:name="er"/>
      <w:bookmarkStart w:id="897" w:name="_Toc101863999"/>
      <w:bookmarkEnd w:id="896"/>
    </w:p>
    <w:p w:rsidR="0090400F" w:rsidRPr="00510E81" w:rsidRDefault="00002197" w:rsidP="00A318EA">
      <w:pPr>
        <w:pStyle w:val="Ttulo1"/>
        <w:rPr>
          <w:rFonts w:cs="Arial"/>
          <w:sz w:val="20"/>
          <w:szCs w:val="20"/>
        </w:rPr>
      </w:pPr>
      <w:bookmarkStart w:id="898" w:name="_Toc139356893"/>
      <w:r w:rsidRPr="00510E81">
        <w:rPr>
          <w:rFonts w:cs="Arial"/>
          <w:sz w:val="20"/>
          <w:szCs w:val="20"/>
        </w:rPr>
        <w:t>CUESTIONES REFERIDAS AL ESTADO DE RESULTADOS</w:t>
      </w:r>
      <w:bookmarkEnd w:id="897"/>
      <w:bookmarkEnd w:id="898"/>
    </w:p>
    <w:p w:rsidR="00527D41" w:rsidRPr="00510E81" w:rsidRDefault="00527D41" w:rsidP="00A318EA">
      <w:pPr>
        <w:pStyle w:val="Ttulo2"/>
        <w:rPr>
          <w:rFonts w:cs="Arial"/>
        </w:rPr>
      </w:pPr>
      <w:bookmarkStart w:id="899" w:name="_Toc101864000"/>
      <w:bookmarkStart w:id="900" w:name="_Toc139356894"/>
      <w:r w:rsidRPr="00510E81">
        <w:rPr>
          <w:rFonts w:cs="Arial"/>
        </w:rPr>
        <w:t>Definici</w:t>
      </w:r>
      <w:r w:rsidR="00907713" w:rsidRPr="00510E81">
        <w:rPr>
          <w:rFonts w:cs="Arial"/>
        </w:rPr>
        <w:t>ó</w:t>
      </w:r>
      <w:r w:rsidRPr="00510E81">
        <w:rPr>
          <w:rFonts w:cs="Arial"/>
        </w:rPr>
        <w:t>n</w:t>
      </w:r>
      <w:bookmarkEnd w:id="899"/>
      <w:bookmarkEnd w:id="900"/>
    </w:p>
    <w:p w:rsidR="00EB44FE" w:rsidRPr="00510E81" w:rsidRDefault="00EB44FE" w:rsidP="00A318EA">
      <w:pPr>
        <w:pStyle w:val="Prrafodelista"/>
        <w:numPr>
          <w:ilvl w:val="0"/>
          <w:numId w:val="29"/>
        </w:numPr>
        <w:contextualSpacing w:val="0"/>
        <w:jc w:val="both"/>
        <w:rPr>
          <w:rFonts w:ascii="Arial" w:hAnsi="Arial" w:cs="Arial"/>
          <w:sz w:val="20"/>
          <w:szCs w:val="20"/>
        </w:rPr>
      </w:pPr>
      <w:bookmarkStart w:id="901" w:name="_Ref99491515"/>
      <w:r w:rsidRPr="00510E81">
        <w:rPr>
          <w:rFonts w:ascii="Arial" w:hAnsi="Arial" w:cs="Arial"/>
          <w:sz w:val="20"/>
          <w:szCs w:val="20"/>
        </w:rPr>
        <w:t xml:space="preserve">A los fines de presentar el estado contable referido en esta sección, una entidad deberá considerar </w:t>
      </w:r>
      <w:r w:rsidR="000C2760" w:rsidRPr="00510E81">
        <w:rPr>
          <w:rFonts w:ascii="Arial" w:hAnsi="Arial" w:cs="Arial"/>
          <w:sz w:val="20"/>
          <w:szCs w:val="20"/>
        </w:rPr>
        <w:t>la siguiente definición</w:t>
      </w:r>
      <w:r w:rsidRPr="00510E81">
        <w:rPr>
          <w:rFonts w:ascii="Arial" w:hAnsi="Arial" w:cs="Arial"/>
          <w:sz w:val="20"/>
          <w:szCs w:val="20"/>
        </w:rPr>
        <w:t>:</w:t>
      </w:r>
      <w:bookmarkEnd w:id="901"/>
    </w:p>
    <w:p w:rsidR="00527D41" w:rsidRPr="00AC4AEA" w:rsidRDefault="00527D41" w:rsidP="00A318EA">
      <w:pPr>
        <w:ind w:left="1416"/>
        <w:jc w:val="both"/>
        <w:rPr>
          <w:rFonts w:ascii="Arial" w:hAnsi="Arial" w:cs="Arial"/>
          <w:sz w:val="20"/>
          <w:szCs w:val="20"/>
        </w:rPr>
      </w:pPr>
      <w:r w:rsidRPr="00AC4AEA">
        <w:rPr>
          <w:rFonts w:ascii="Arial" w:hAnsi="Arial" w:cs="Arial"/>
          <w:sz w:val="20"/>
          <w:szCs w:val="20"/>
          <w:u w:val="single"/>
        </w:rPr>
        <w:t>Estado de resultados</w:t>
      </w:r>
      <w:r w:rsidRPr="00AC4AEA">
        <w:rPr>
          <w:rFonts w:ascii="Arial" w:hAnsi="Arial" w:cs="Arial"/>
          <w:sz w:val="20"/>
          <w:szCs w:val="20"/>
        </w:rPr>
        <w:t>:</w:t>
      </w:r>
      <w:r w:rsidRPr="00AC4AEA">
        <w:rPr>
          <w:rFonts w:ascii="Arial" w:hAnsi="Arial" w:cs="Arial"/>
          <w:b/>
          <w:bCs/>
          <w:sz w:val="20"/>
          <w:szCs w:val="20"/>
        </w:rPr>
        <w:t xml:space="preserve"> </w:t>
      </w:r>
      <w:r w:rsidRPr="00AC4AEA">
        <w:rPr>
          <w:rFonts w:ascii="Arial" w:hAnsi="Arial" w:cs="Arial"/>
          <w:sz w:val="20"/>
          <w:szCs w:val="20"/>
        </w:rPr>
        <w:t xml:space="preserve">Es el estado contable que informa sobre las causas que </w:t>
      </w:r>
      <w:r w:rsidR="00EC1893" w:rsidRPr="00AC4AEA">
        <w:rPr>
          <w:rFonts w:ascii="Arial" w:hAnsi="Arial" w:cs="Arial"/>
          <w:sz w:val="20"/>
          <w:szCs w:val="20"/>
        </w:rPr>
        <w:t>generaron</w:t>
      </w:r>
      <w:r w:rsidRPr="00AC4AEA">
        <w:rPr>
          <w:rFonts w:ascii="Arial" w:hAnsi="Arial" w:cs="Arial"/>
          <w:sz w:val="20"/>
          <w:szCs w:val="20"/>
        </w:rPr>
        <w:t xml:space="preserve"> el resultado del </w:t>
      </w:r>
      <w:r w:rsidR="004C03C6" w:rsidRPr="00AC4AEA">
        <w:rPr>
          <w:rFonts w:ascii="Arial" w:hAnsi="Arial" w:cs="Arial"/>
          <w:sz w:val="20"/>
          <w:szCs w:val="20"/>
        </w:rPr>
        <w:t>período</w:t>
      </w:r>
      <w:r w:rsidRPr="00AC4AEA">
        <w:rPr>
          <w:rFonts w:ascii="Arial" w:hAnsi="Arial" w:cs="Arial"/>
          <w:sz w:val="20"/>
          <w:szCs w:val="20"/>
        </w:rPr>
        <w:t xml:space="preserve"> (ingresos, gastos, ganancias, pérdidas).</w:t>
      </w:r>
    </w:p>
    <w:p w:rsidR="00527D41" w:rsidRPr="00AC4AEA" w:rsidRDefault="00527D41" w:rsidP="00A318EA">
      <w:pPr>
        <w:ind w:left="284"/>
        <w:jc w:val="both"/>
        <w:rPr>
          <w:rFonts w:ascii="Arial" w:hAnsi="Arial" w:cs="Arial"/>
          <w:b/>
          <w:bCs/>
          <w:sz w:val="20"/>
          <w:szCs w:val="20"/>
          <w:u w:val="single"/>
        </w:rPr>
      </w:pPr>
    </w:p>
    <w:p w:rsidR="006A0724" w:rsidRPr="00AC4AEA" w:rsidRDefault="00527D41" w:rsidP="00A318EA">
      <w:pPr>
        <w:pStyle w:val="Ttulo2"/>
        <w:rPr>
          <w:rFonts w:cs="Arial"/>
        </w:rPr>
      </w:pPr>
      <w:bookmarkStart w:id="902" w:name="_Toc101864001"/>
      <w:bookmarkStart w:id="903" w:name="_Toc139356895"/>
      <w:r w:rsidRPr="00AC4AEA">
        <w:rPr>
          <w:rFonts w:cs="Arial"/>
        </w:rPr>
        <w:t xml:space="preserve">Presentación de las partidas del resultado del </w:t>
      </w:r>
      <w:r w:rsidR="004C03C6" w:rsidRPr="00AC4AEA">
        <w:rPr>
          <w:rFonts w:cs="Arial"/>
        </w:rPr>
        <w:t>período</w:t>
      </w:r>
      <w:bookmarkEnd w:id="902"/>
      <w:r w:rsidR="00970156" w:rsidRPr="00AC4AEA">
        <w:rPr>
          <w:rFonts w:cs="Arial"/>
        </w:rPr>
        <w:t>.</w:t>
      </w:r>
      <w:bookmarkEnd w:id="903"/>
      <w:r w:rsidR="00970156" w:rsidRPr="00AC4AEA">
        <w:rPr>
          <w:rFonts w:cs="Arial"/>
        </w:rPr>
        <w:t xml:space="preserve"> </w:t>
      </w:r>
    </w:p>
    <w:p w:rsidR="00527D41" w:rsidRPr="00AC4AEA" w:rsidRDefault="00970156" w:rsidP="00A318EA">
      <w:pPr>
        <w:pStyle w:val="Ttulo3"/>
      </w:pPr>
      <w:bookmarkStart w:id="904" w:name="_Toc139356896"/>
      <w:r w:rsidRPr="00AC4AEA">
        <w:t>Cuestiones generales</w:t>
      </w:r>
      <w:bookmarkEnd w:id="904"/>
    </w:p>
    <w:p w:rsidR="00527D41" w:rsidRPr="00AC4AEA" w:rsidRDefault="00527D41" w:rsidP="00A318EA">
      <w:pPr>
        <w:pStyle w:val="Prrafodelista"/>
        <w:numPr>
          <w:ilvl w:val="0"/>
          <w:numId w:val="29"/>
        </w:numPr>
        <w:contextualSpacing w:val="0"/>
        <w:jc w:val="both"/>
        <w:rPr>
          <w:rFonts w:ascii="Arial" w:hAnsi="Arial" w:cs="Arial"/>
          <w:sz w:val="20"/>
          <w:szCs w:val="20"/>
        </w:rPr>
      </w:pPr>
      <w:bookmarkStart w:id="905" w:name="_Ref135770882"/>
      <w:r w:rsidRPr="00AC4AEA">
        <w:rPr>
          <w:rFonts w:ascii="Arial" w:hAnsi="Arial" w:cs="Arial"/>
          <w:sz w:val="20"/>
          <w:szCs w:val="20"/>
        </w:rPr>
        <w:t>Dentro de las partidas de resultados, una entidad distinguirá</w:t>
      </w:r>
      <w:r w:rsidR="007D454A" w:rsidRPr="00AC4AEA">
        <w:rPr>
          <w:rFonts w:ascii="Arial" w:hAnsi="Arial" w:cs="Arial"/>
          <w:sz w:val="20"/>
          <w:szCs w:val="20"/>
        </w:rPr>
        <w:t>, entre otros,</w:t>
      </w:r>
      <w:r w:rsidRPr="00AC4AEA">
        <w:rPr>
          <w:rFonts w:ascii="Arial" w:hAnsi="Arial" w:cs="Arial"/>
          <w:sz w:val="20"/>
          <w:szCs w:val="20"/>
        </w:rPr>
        <w:t xml:space="preserve"> l</w:t>
      </w:r>
      <w:r w:rsidR="00EB44FE" w:rsidRPr="00AC4AEA">
        <w:rPr>
          <w:rFonts w:ascii="Arial" w:hAnsi="Arial" w:cs="Arial"/>
          <w:sz w:val="20"/>
          <w:szCs w:val="20"/>
        </w:rPr>
        <w:t>o</w:t>
      </w:r>
      <w:r w:rsidRPr="00AC4AEA">
        <w:rPr>
          <w:rFonts w:ascii="Arial" w:hAnsi="Arial" w:cs="Arial"/>
          <w:sz w:val="20"/>
          <w:szCs w:val="20"/>
        </w:rPr>
        <w:t>s siguientes</w:t>
      </w:r>
      <w:r w:rsidR="00EB44FE" w:rsidRPr="00AC4AEA">
        <w:rPr>
          <w:rFonts w:ascii="Arial" w:hAnsi="Arial" w:cs="Arial"/>
          <w:sz w:val="20"/>
          <w:szCs w:val="20"/>
        </w:rPr>
        <w:t xml:space="preserve"> componentes</w:t>
      </w:r>
      <w:r w:rsidRPr="00AC4AEA">
        <w:rPr>
          <w:rFonts w:ascii="Arial" w:hAnsi="Arial" w:cs="Arial"/>
          <w:sz w:val="20"/>
          <w:szCs w:val="20"/>
        </w:rPr>
        <w:t>:</w:t>
      </w:r>
      <w:bookmarkEnd w:id="905"/>
    </w:p>
    <w:p w:rsidR="00527D41"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l</w:t>
      </w:r>
      <w:r w:rsidR="00527D41" w:rsidRPr="00AC4AEA">
        <w:rPr>
          <w:rFonts w:ascii="Arial" w:hAnsi="Arial" w:cs="Arial"/>
          <w:sz w:val="20"/>
          <w:szCs w:val="20"/>
        </w:rPr>
        <w:t xml:space="preserve">os </w:t>
      </w:r>
      <w:r w:rsidR="00527D41" w:rsidRPr="00AC4AEA">
        <w:rPr>
          <w:rFonts w:ascii="Arial" w:hAnsi="Arial" w:cs="Arial"/>
          <w:b/>
          <w:bCs/>
          <w:sz w:val="20"/>
          <w:szCs w:val="20"/>
        </w:rPr>
        <w:t>ingresos de actividades ordinarias</w:t>
      </w:r>
      <w:r w:rsidR="00E61F2C" w:rsidRPr="00AC4AEA">
        <w:rPr>
          <w:rFonts w:ascii="Arial" w:hAnsi="Arial" w:cs="Arial"/>
          <w:b/>
          <w:bCs/>
          <w:sz w:val="20"/>
          <w:szCs w:val="20"/>
        </w:rPr>
        <w:t xml:space="preserve"> </w:t>
      </w:r>
      <w:r w:rsidR="00E61F2C" w:rsidRPr="00AC4AEA">
        <w:rPr>
          <w:rFonts w:ascii="Arial" w:hAnsi="Arial" w:cs="Arial"/>
          <w:sz w:val="20"/>
          <w:szCs w:val="20"/>
        </w:rPr>
        <w:t xml:space="preserve">[ver </w:t>
      </w:r>
      <w:r w:rsidR="00A71926" w:rsidRPr="00AC4AEA">
        <w:rPr>
          <w:rFonts w:ascii="Arial" w:hAnsi="Arial" w:cs="Arial"/>
          <w:sz w:val="20"/>
          <w:szCs w:val="20"/>
        </w:rPr>
        <w:t xml:space="preserve">los </w:t>
      </w:r>
      <w:r w:rsidR="00E61F2C" w:rsidRPr="00AC4AEA">
        <w:rPr>
          <w:rFonts w:ascii="Arial" w:hAnsi="Arial" w:cs="Arial"/>
          <w:sz w:val="20"/>
          <w:szCs w:val="20"/>
        </w:rPr>
        <w:t xml:space="preserve">párrafos </w:t>
      </w:r>
      <w:r w:rsidR="001C4138">
        <w:rPr>
          <w:rFonts w:ascii="Arial" w:hAnsi="Arial" w:cs="Arial"/>
          <w:sz w:val="20"/>
          <w:szCs w:val="20"/>
        </w:rPr>
        <w:fldChar w:fldCharType="begin"/>
      </w:r>
      <w:r w:rsidR="007A33D5">
        <w:rPr>
          <w:rFonts w:ascii="Arial" w:hAnsi="Arial" w:cs="Arial"/>
          <w:sz w:val="20"/>
          <w:szCs w:val="20"/>
        </w:rPr>
        <w:instrText xml:space="preserve"> REF _Ref129077804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522</w:t>
      </w:r>
      <w:r w:rsidR="001C4138">
        <w:rPr>
          <w:rFonts w:ascii="Arial" w:hAnsi="Arial" w:cs="Arial"/>
          <w:sz w:val="20"/>
          <w:szCs w:val="20"/>
        </w:rPr>
        <w:fldChar w:fldCharType="end"/>
      </w:r>
      <w:r w:rsidR="00E61F2C" w:rsidRPr="00AC4AEA">
        <w:rPr>
          <w:rFonts w:ascii="Arial" w:hAnsi="Arial" w:cs="Arial"/>
          <w:sz w:val="20"/>
          <w:szCs w:val="20"/>
        </w:rPr>
        <w:t xml:space="preserve"> a </w:t>
      </w:r>
      <w:fldSimple w:instr=" REF _Ref104535952 \r \h  \* MERGEFORMAT ">
        <w:r w:rsidR="00D33A5D" w:rsidRPr="00D33A5D">
          <w:rPr>
            <w:rFonts w:ascii="Arial" w:hAnsi="Arial" w:cs="Arial"/>
            <w:sz w:val="20"/>
            <w:szCs w:val="20"/>
          </w:rPr>
          <w:t>526</w:t>
        </w:r>
      </w:fldSimple>
      <w:r w:rsidR="00E61F2C" w:rsidRPr="00AC4AEA">
        <w:rPr>
          <w:rFonts w:ascii="Arial" w:hAnsi="Arial" w:cs="Arial"/>
          <w:sz w:val="20"/>
          <w:szCs w:val="20"/>
        </w:rPr>
        <w:t>]; distinguiendo entre:</w:t>
      </w:r>
    </w:p>
    <w:p w:rsidR="00E61F2C" w:rsidRPr="00AC4AEA" w:rsidRDefault="00E61F2C" w:rsidP="00A318EA">
      <w:pPr>
        <w:pStyle w:val="Prrafodelista"/>
        <w:numPr>
          <w:ilvl w:val="2"/>
          <w:numId w:val="29"/>
        </w:numPr>
        <w:ind w:left="1985" w:hanging="142"/>
        <w:contextualSpacing w:val="0"/>
        <w:jc w:val="both"/>
        <w:rPr>
          <w:rFonts w:ascii="Arial" w:hAnsi="Arial" w:cs="Arial"/>
          <w:sz w:val="20"/>
          <w:szCs w:val="20"/>
        </w:rPr>
      </w:pPr>
      <w:r w:rsidRPr="00AC4AEA">
        <w:rPr>
          <w:rFonts w:ascii="Arial" w:hAnsi="Arial" w:cs="Arial"/>
          <w:sz w:val="20"/>
          <w:szCs w:val="20"/>
        </w:rPr>
        <w:t>los</w:t>
      </w:r>
      <w:r w:rsidRPr="00AC4AEA">
        <w:rPr>
          <w:rFonts w:ascii="Arial" w:hAnsi="Arial" w:cs="Arial"/>
          <w:b/>
          <w:bCs/>
          <w:sz w:val="20"/>
          <w:szCs w:val="20"/>
        </w:rPr>
        <w:t xml:space="preserve"> ingresos de actividades ordinarias </w:t>
      </w:r>
      <w:r w:rsidRPr="00AC4AEA">
        <w:rPr>
          <w:rFonts w:ascii="Arial" w:hAnsi="Arial" w:cs="Arial"/>
          <w:sz w:val="20"/>
          <w:szCs w:val="20"/>
        </w:rPr>
        <w:t>procedentes de transacciones (operaciones de intercambio)</w:t>
      </w:r>
      <w:r w:rsidR="006B4587" w:rsidRPr="00AC4AEA">
        <w:rPr>
          <w:rFonts w:ascii="Arial" w:hAnsi="Arial" w:cs="Arial"/>
          <w:sz w:val="20"/>
          <w:szCs w:val="20"/>
        </w:rPr>
        <w:t>;</w:t>
      </w:r>
      <w:r w:rsidRPr="00AC4AEA">
        <w:rPr>
          <w:rFonts w:ascii="Arial" w:hAnsi="Arial" w:cs="Arial"/>
          <w:sz w:val="20"/>
          <w:szCs w:val="20"/>
        </w:rPr>
        <w:t xml:space="preserve"> y</w:t>
      </w:r>
    </w:p>
    <w:p w:rsidR="00E61F2C" w:rsidRPr="00AC4AEA" w:rsidRDefault="00E61F2C" w:rsidP="00A318EA">
      <w:pPr>
        <w:pStyle w:val="Prrafodelista"/>
        <w:numPr>
          <w:ilvl w:val="2"/>
          <w:numId w:val="29"/>
        </w:numPr>
        <w:ind w:left="1985" w:hanging="142"/>
        <w:contextualSpacing w:val="0"/>
        <w:jc w:val="both"/>
        <w:rPr>
          <w:rFonts w:ascii="Arial" w:hAnsi="Arial" w:cs="Arial"/>
          <w:sz w:val="20"/>
          <w:szCs w:val="20"/>
        </w:rPr>
      </w:pPr>
      <w:r w:rsidRPr="00AC4AEA">
        <w:rPr>
          <w:rFonts w:ascii="Arial" w:hAnsi="Arial" w:cs="Arial"/>
          <w:sz w:val="20"/>
          <w:szCs w:val="20"/>
        </w:rPr>
        <w:t xml:space="preserve">los otros </w:t>
      </w:r>
      <w:r w:rsidRPr="00AC4AEA">
        <w:rPr>
          <w:rFonts w:ascii="Arial" w:hAnsi="Arial" w:cs="Arial"/>
          <w:b/>
          <w:bCs/>
          <w:sz w:val="20"/>
          <w:szCs w:val="20"/>
        </w:rPr>
        <w:t>ingresos de actividades ordinarias.</w:t>
      </w:r>
    </w:p>
    <w:p w:rsidR="00527D41"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e</w:t>
      </w:r>
      <w:r w:rsidR="00527D41" w:rsidRPr="00AC4AEA">
        <w:rPr>
          <w:rFonts w:ascii="Arial" w:hAnsi="Arial" w:cs="Arial"/>
          <w:sz w:val="20"/>
          <w:szCs w:val="20"/>
        </w:rPr>
        <w:t xml:space="preserve">l costo incurrido para obtener </w:t>
      </w:r>
      <w:r w:rsidR="00527D41" w:rsidRPr="00AC4AEA">
        <w:rPr>
          <w:rFonts w:ascii="Arial" w:hAnsi="Arial" w:cs="Arial"/>
          <w:b/>
          <w:bCs/>
          <w:sz w:val="20"/>
          <w:szCs w:val="20"/>
        </w:rPr>
        <w:t>ingresos de actividades ordinarias</w:t>
      </w:r>
      <w:r w:rsidRPr="00AC4AEA">
        <w:rPr>
          <w:rFonts w:ascii="Arial" w:hAnsi="Arial" w:cs="Arial"/>
          <w:sz w:val="20"/>
          <w:szCs w:val="20"/>
        </w:rPr>
        <w:t>;</w:t>
      </w:r>
    </w:p>
    <w:p w:rsidR="00235A4B" w:rsidRPr="00AC4AEA" w:rsidRDefault="00952F6F"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 xml:space="preserve">los </w:t>
      </w:r>
      <w:r w:rsidR="00235A4B" w:rsidRPr="00AC4AEA">
        <w:rPr>
          <w:rFonts w:ascii="Arial" w:hAnsi="Arial" w:cs="Arial"/>
          <w:sz w:val="20"/>
          <w:szCs w:val="20"/>
        </w:rPr>
        <w:t xml:space="preserve">resultados por medición </w:t>
      </w:r>
      <w:r w:rsidRPr="00AC4AEA">
        <w:rPr>
          <w:rFonts w:ascii="Arial" w:hAnsi="Arial" w:cs="Arial"/>
          <w:sz w:val="20"/>
          <w:szCs w:val="20"/>
        </w:rPr>
        <w:t xml:space="preserve">de </w:t>
      </w:r>
      <w:r w:rsidR="00BB257C" w:rsidRPr="00AC4AEA">
        <w:rPr>
          <w:rFonts w:ascii="Arial" w:hAnsi="Arial" w:cs="Arial"/>
          <w:sz w:val="20"/>
          <w:szCs w:val="20"/>
        </w:rPr>
        <w:t>bienes de cambio</w:t>
      </w:r>
      <w:r w:rsidR="00235A4B" w:rsidRPr="00AC4AEA">
        <w:rPr>
          <w:rFonts w:ascii="Arial" w:hAnsi="Arial" w:cs="Arial"/>
          <w:sz w:val="20"/>
          <w:szCs w:val="20"/>
        </w:rPr>
        <w:t xml:space="preserve"> al </w:t>
      </w:r>
      <w:r w:rsidR="00235A4B" w:rsidRPr="00AC4AEA">
        <w:rPr>
          <w:rFonts w:ascii="Arial" w:hAnsi="Arial" w:cs="Arial"/>
          <w:b/>
          <w:bCs/>
          <w:sz w:val="20"/>
          <w:szCs w:val="20"/>
        </w:rPr>
        <w:t>valor neto de realización;</w:t>
      </w:r>
    </w:p>
    <w:p w:rsidR="00527D41"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l</w:t>
      </w:r>
      <w:r w:rsidR="00527D41" w:rsidRPr="00AC4AEA">
        <w:rPr>
          <w:rFonts w:ascii="Arial" w:hAnsi="Arial" w:cs="Arial"/>
          <w:sz w:val="20"/>
          <w:szCs w:val="20"/>
        </w:rPr>
        <w:t>os gastos operativos, clasificados por función</w:t>
      </w:r>
      <w:r w:rsidRPr="00AC4AEA">
        <w:rPr>
          <w:rFonts w:ascii="Arial" w:hAnsi="Arial" w:cs="Arial"/>
          <w:sz w:val="20"/>
          <w:szCs w:val="20"/>
        </w:rPr>
        <w:t>;</w:t>
      </w:r>
    </w:p>
    <w:p w:rsidR="00527D41"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l</w:t>
      </w:r>
      <w:r w:rsidR="00527D41" w:rsidRPr="00AC4AEA">
        <w:rPr>
          <w:rFonts w:ascii="Arial" w:hAnsi="Arial" w:cs="Arial"/>
          <w:sz w:val="20"/>
          <w:szCs w:val="20"/>
        </w:rPr>
        <w:t xml:space="preserve">os resultados de </w:t>
      </w:r>
      <w:r w:rsidR="00C3767E" w:rsidRPr="00AC4AEA">
        <w:rPr>
          <w:rFonts w:ascii="Arial" w:hAnsi="Arial" w:cs="Arial"/>
          <w:sz w:val="20"/>
          <w:szCs w:val="20"/>
        </w:rPr>
        <w:t>participaciones</w:t>
      </w:r>
      <w:r w:rsidR="00527D41" w:rsidRPr="00AC4AEA">
        <w:rPr>
          <w:rFonts w:ascii="Arial" w:hAnsi="Arial" w:cs="Arial"/>
          <w:sz w:val="20"/>
          <w:szCs w:val="20"/>
        </w:rPr>
        <w:t xml:space="preserve"> permanentes en otras entidades</w:t>
      </w:r>
      <w:r w:rsidRPr="00AC4AEA">
        <w:rPr>
          <w:rFonts w:ascii="Arial" w:hAnsi="Arial" w:cs="Arial"/>
          <w:sz w:val="20"/>
          <w:szCs w:val="20"/>
        </w:rPr>
        <w:t>;</w:t>
      </w:r>
    </w:p>
    <w:p w:rsidR="00B42061"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o</w:t>
      </w:r>
      <w:r w:rsidR="00B42061" w:rsidRPr="00AC4AEA">
        <w:rPr>
          <w:rFonts w:ascii="Arial" w:hAnsi="Arial" w:cs="Arial"/>
          <w:sz w:val="20"/>
          <w:szCs w:val="20"/>
        </w:rPr>
        <w:t>tros ingresos y egresos</w:t>
      </w:r>
      <w:r w:rsidRPr="00AC4AEA">
        <w:rPr>
          <w:rFonts w:ascii="Arial" w:hAnsi="Arial" w:cs="Arial"/>
          <w:sz w:val="20"/>
          <w:szCs w:val="20"/>
        </w:rPr>
        <w:t>;</w:t>
      </w:r>
    </w:p>
    <w:p w:rsidR="00F36280"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l</w:t>
      </w:r>
      <w:r w:rsidR="00F36280" w:rsidRPr="00AC4AEA">
        <w:rPr>
          <w:rFonts w:ascii="Arial" w:hAnsi="Arial" w:cs="Arial"/>
          <w:sz w:val="20"/>
          <w:szCs w:val="20"/>
        </w:rPr>
        <w:t xml:space="preserve">as </w:t>
      </w:r>
      <w:r w:rsidR="00F36280" w:rsidRPr="00AC4AEA">
        <w:rPr>
          <w:rFonts w:ascii="Arial" w:hAnsi="Arial" w:cs="Arial"/>
          <w:b/>
          <w:bCs/>
          <w:sz w:val="20"/>
          <w:szCs w:val="20"/>
        </w:rPr>
        <w:t xml:space="preserve">pérdidas por desvalorización </w:t>
      </w:r>
      <w:r w:rsidR="00EF6B89" w:rsidRPr="00AC4AEA">
        <w:rPr>
          <w:rFonts w:ascii="Arial" w:hAnsi="Arial" w:cs="Arial"/>
          <w:sz w:val="20"/>
          <w:szCs w:val="20"/>
        </w:rPr>
        <w:t>o</w:t>
      </w:r>
      <w:r w:rsidR="00F36280" w:rsidRPr="00AC4AEA">
        <w:rPr>
          <w:rFonts w:ascii="Arial" w:hAnsi="Arial" w:cs="Arial"/>
          <w:sz w:val="20"/>
          <w:szCs w:val="20"/>
        </w:rPr>
        <w:t xml:space="preserve"> la reversión de dichas pérdidas, </w:t>
      </w:r>
      <w:r w:rsidR="00EC1893" w:rsidRPr="00AC4AEA">
        <w:rPr>
          <w:rFonts w:ascii="Arial" w:hAnsi="Arial" w:cs="Arial"/>
          <w:sz w:val="20"/>
          <w:szCs w:val="20"/>
        </w:rPr>
        <w:t>clasificándolas</w:t>
      </w:r>
      <w:r w:rsidR="00F36280" w:rsidRPr="00AC4AEA">
        <w:rPr>
          <w:rFonts w:ascii="Arial" w:hAnsi="Arial" w:cs="Arial"/>
          <w:sz w:val="20"/>
          <w:szCs w:val="20"/>
        </w:rPr>
        <w:t xml:space="preserve"> en el cuerpo del estado o en notas de acuerdo con el </w:t>
      </w:r>
      <w:r w:rsidR="00F36280" w:rsidRPr="00AC4AEA">
        <w:rPr>
          <w:rFonts w:ascii="Arial" w:hAnsi="Arial" w:cs="Arial"/>
          <w:b/>
          <w:bCs/>
          <w:sz w:val="20"/>
          <w:szCs w:val="20"/>
        </w:rPr>
        <w:t>activo</w:t>
      </w:r>
      <w:r w:rsidR="00F36280" w:rsidRPr="00AC4AEA">
        <w:rPr>
          <w:rFonts w:ascii="Arial" w:hAnsi="Arial" w:cs="Arial"/>
          <w:sz w:val="20"/>
          <w:szCs w:val="20"/>
        </w:rPr>
        <w:t xml:space="preserve"> que las origin</w:t>
      </w:r>
      <w:r w:rsidR="00B42061" w:rsidRPr="00AC4AEA">
        <w:rPr>
          <w:rFonts w:ascii="Arial" w:hAnsi="Arial" w:cs="Arial"/>
          <w:sz w:val="20"/>
          <w:szCs w:val="20"/>
        </w:rPr>
        <w:t>ó</w:t>
      </w:r>
      <w:r w:rsidRPr="00AC4AEA">
        <w:rPr>
          <w:rFonts w:ascii="Arial" w:hAnsi="Arial" w:cs="Arial"/>
          <w:sz w:val="20"/>
          <w:szCs w:val="20"/>
        </w:rPr>
        <w:t>;</w:t>
      </w:r>
    </w:p>
    <w:p w:rsidR="00527D41"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lastRenderedPageBreak/>
        <w:t xml:space="preserve">los </w:t>
      </w:r>
      <w:r w:rsidR="00527D41" w:rsidRPr="00AC4AEA">
        <w:rPr>
          <w:rFonts w:ascii="Arial" w:hAnsi="Arial" w:cs="Arial"/>
          <w:sz w:val="20"/>
          <w:szCs w:val="20"/>
        </w:rPr>
        <w:t>resultados financieros y de tenencia</w:t>
      </w:r>
      <w:r w:rsidR="00235A4B" w:rsidRPr="00AC4AEA">
        <w:rPr>
          <w:rFonts w:ascii="Arial" w:hAnsi="Arial" w:cs="Arial"/>
          <w:sz w:val="20"/>
          <w:szCs w:val="20"/>
        </w:rPr>
        <w:t xml:space="preserve"> (incluyendo el resultado por cambios en el poder adquisitivo de la moneda)</w:t>
      </w:r>
      <w:r w:rsidR="00B139A4" w:rsidRPr="00AC4AEA">
        <w:rPr>
          <w:rFonts w:ascii="Arial" w:hAnsi="Arial" w:cs="Arial"/>
          <w:sz w:val="20"/>
          <w:szCs w:val="20"/>
        </w:rPr>
        <w:t xml:space="preserve">, de conformidad con lo establecido en los párrafos </w:t>
      </w:r>
      <w:fldSimple w:instr=" REF _Ref103700200 \r \h  \* MERGEFORMAT ">
        <w:r w:rsidR="00D33A5D" w:rsidRPr="00D33A5D">
          <w:rPr>
            <w:rFonts w:ascii="Arial" w:hAnsi="Arial" w:cs="Arial"/>
            <w:sz w:val="20"/>
            <w:szCs w:val="20"/>
          </w:rPr>
          <w:t>631</w:t>
        </w:r>
      </w:fldSimple>
      <w:r w:rsidR="00B139A4" w:rsidRPr="00AC4AEA">
        <w:rPr>
          <w:rFonts w:ascii="Arial" w:hAnsi="Arial" w:cs="Arial"/>
          <w:sz w:val="20"/>
          <w:szCs w:val="20"/>
        </w:rPr>
        <w:t xml:space="preserve"> a</w:t>
      </w:r>
      <w:r w:rsidR="001C4138">
        <w:rPr>
          <w:rFonts w:ascii="Arial" w:hAnsi="Arial" w:cs="Arial"/>
          <w:sz w:val="20"/>
          <w:szCs w:val="20"/>
        </w:rPr>
        <w:fldChar w:fldCharType="begin"/>
      </w:r>
      <w:r w:rsidR="00CB1BD9">
        <w:rPr>
          <w:rFonts w:ascii="Arial" w:hAnsi="Arial" w:cs="Arial"/>
          <w:sz w:val="20"/>
          <w:szCs w:val="20"/>
        </w:rPr>
        <w:instrText xml:space="preserve"> REF _Ref103700215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634</w:t>
      </w:r>
      <w:r w:rsidR="001C4138">
        <w:rPr>
          <w:rFonts w:ascii="Arial" w:hAnsi="Arial" w:cs="Arial"/>
          <w:sz w:val="20"/>
          <w:szCs w:val="20"/>
        </w:rPr>
        <w:fldChar w:fldCharType="end"/>
      </w:r>
      <w:r w:rsidRPr="00AC4AEA">
        <w:rPr>
          <w:rFonts w:ascii="Arial" w:hAnsi="Arial" w:cs="Arial"/>
          <w:sz w:val="20"/>
          <w:szCs w:val="20"/>
        </w:rPr>
        <w:t>;</w:t>
      </w:r>
    </w:p>
    <w:p w:rsidR="00527D41"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e</w:t>
      </w:r>
      <w:r w:rsidR="00527D41" w:rsidRPr="00AC4AEA">
        <w:rPr>
          <w:rFonts w:ascii="Arial" w:hAnsi="Arial" w:cs="Arial"/>
          <w:sz w:val="20"/>
          <w:szCs w:val="20"/>
        </w:rPr>
        <w:t xml:space="preserve">l impuesto a las ganancias atribuible al resultado </w:t>
      </w:r>
      <w:r w:rsidR="00F36280" w:rsidRPr="00AC4AEA">
        <w:rPr>
          <w:rFonts w:ascii="Arial" w:hAnsi="Arial" w:cs="Arial"/>
          <w:sz w:val="20"/>
          <w:szCs w:val="20"/>
        </w:rPr>
        <w:t>que corresponda a las operaciones que continúan</w:t>
      </w:r>
      <w:r w:rsidRPr="00AC4AEA">
        <w:rPr>
          <w:rFonts w:ascii="Arial" w:hAnsi="Arial" w:cs="Arial"/>
          <w:sz w:val="20"/>
          <w:szCs w:val="20"/>
        </w:rPr>
        <w:t>;</w:t>
      </w:r>
      <w:r w:rsidR="00F36280" w:rsidRPr="00AC4AEA">
        <w:rPr>
          <w:rFonts w:ascii="Arial" w:hAnsi="Arial" w:cs="Arial"/>
          <w:sz w:val="20"/>
          <w:szCs w:val="20"/>
        </w:rPr>
        <w:t xml:space="preserve"> y</w:t>
      </w:r>
    </w:p>
    <w:p w:rsidR="00527D41" w:rsidRPr="00AC4AEA" w:rsidRDefault="00322537" w:rsidP="00A318EA">
      <w:pPr>
        <w:pStyle w:val="Prrafodelista"/>
        <w:numPr>
          <w:ilvl w:val="0"/>
          <w:numId w:val="185"/>
        </w:numPr>
        <w:ind w:left="1560"/>
        <w:contextualSpacing w:val="0"/>
        <w:jc w:val="both"/>
        <w:rPr>
          <w:rFonts w:ascii="Arial" w:hAnsi="Arial" w:cs="Arial"/>
          <w:sz w:val="20"/>
          <w:szCs w:val="20"/>
        </w:rPr>
      </w:pPr>
      <w:r w:rsidRPr="00AC4AEA">
        <w:rPr>
          <w:rFonts w:ascii="Arial" w:hAnsi="Arial" w:cs="Arial"/>
          <w:sz w:val="20"/>
          <w:szCs w:val="20"/>
        </w:rPr>
        <w:t>e</w:t>
      </w:r>
      <w:r w:rsidR="00527D41" w:rsidRPr="00AC4AEA">
        <w:rPr>
          <w:rFonts w:ascii="Arial" w:hAnsi="Arial" w:cs="Arial"/>
          <w:sz w:val="20"/>
          <w:szCs w:val="20"/>
        </w:rPr>
        <w:t xml:space="preserve">l resultado de cualquier actividad discontinuada, </w:t>
      </w:r>
      <w:r w:rsidR="00F36280" w:rsidRPr="00AC4AEA">
        <w:rPr>
          <w:rFonts w:ascii="Arial" w:hAnsi="Arial" w:cs="Arial"/>
          <w:sz w:val="20"/>
          <w:szCs w:val="20"/>
        </w:rPr>
        <w:t>neta del</w:t>
      </w:r>
      <w:r w:rsidR="00527D41" w:rsidRPr="00AC4AEA">
        <w:rPr>
          <w:rFonts w:ascii="Arial" w:hAnsi="Arial" w:cs="Arial"/>
          <w:sz w:val="20"/>
          <w:szCs w:val="20"/>
        </w:rPr>
        <w:t xml:space="preserve"> impuesto a las ganancias atribuible a ella</w:t>
      </w:r>
      <w:r w:rsidR="00970156" w:rsidRPr="00AC4AEA">
        <w:rPr>
          <w:rFonts w:ascii="Arial" w:hAnsi="Arial" w:cs="Arial"/>
          <w:sz w:val="20"/>
          <w:szCs w:val="20"/>
        </w:rPr>
        <w:t>.</w:t>
      </w:r>
    </w:p>
    <w:p w:rsidR="00B139A4" w:rsidRPr="00AC4AEA" w:rsidRDefault="00B139A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no presentará partida </w:t>
      </w:r>
      <w:r w:rsidR="006E7825" w:rsidRPr="00AC4AEA">
        <w:rPr>
          <w:rFonts w:ascii="Arial" w:hAnsi="Arial" w:cs="Arial"/>
          <w:sz w:val="20"/>
          <w:szCs w:val="20"/>
        </w:rPr>
        <w:t xml:space="preserve">alguna </w:t>
      </w:r>
      <w:r w:rsidRPr="00AC4AEA">
        <w:rPr>
          <w:rFonts w:ascii="Arial" w:hAnsi="Arial" w:cs="Arial"/>
          <w:sz w:val="20"/>
          <w:szCs w:val="20"/>
        </w:rPr>
        <w:t>como resultado extraordinario.</w:t>
      </w:r>
      <w:r w:rsidR="007B2F45" w:rsidRPr="00AC4AEA">
        <w:rPr>
          <w:rFonts w:ascii="Arial" w:hAnsi="Arial" w:cs="Arial"/>
          <w:sz w:val="20"/>
          <w:szCs w:val="20"/>
        </w:rPr>
        <w:t xml:space="preserve"> No obstante, revelará en notas la naturaleza y monto de aquellas partidas de resultados que son inusuales por su naturaleza, tamaño o incidencia.</w:t>
      </w:r>
    </w:p>
    <w:p w:rsidR="00B139A4" w:rsidRPr="00AC4AEA" w:rsidRDefault="00B139A4" w:rsidP="00A318EA">
      <w:pPr>
        <w:jc w:val="both"/>
        <w:rPr>
          <w:rFonts w:ascii="Arial" w:hAnsi="Arial" w:cs="Arial"/>
          <w:sz w:val="20"/>
          <w:szCs w:val="20"/>
        </w:rPr>
      </w:pPr>
    </w:p>
    <w:p w:rsidR="007B7E5B" w:rsidRPr="00AC4AEA" w:rsidRDefault="007B7E5B" w:rsidP="00A318EA">
      <w:pPr>
        <w:pStyle w:val="Ttulo3"/>
      </w:pPr>
      <w:bookmarkStart w:id="906" w:name="_Toc139356897"/>
      <w:r w:rsidRPr="00AC4AEA">
        <w:t>Presentación de reintegros,</w:t>
      </w:r>
      <w:r w:rsidR="00970156" w:rsidRPr="00AC4AEA">
        <w:t xml:space="preserve"> reembolsos</w:t>
      </w:r>
      <w:r w:rsidRPr="00AC4AEA">
        <w:t xml:space="preserve"> y desgravaciones</w:t>
      </w:r>
      <w:bookmarkEnd w:id="906"/>
    </w:p>
    <w:p w:rsidR="007B7E5B" w:rsidRPr="00AC4AEA" w:rsidRDefault="007B7E5B" w:rsidP="00A318EA">
      <w:pPr>
        <w:ind w:left="993" w:hanging="567"/>
        <w:jc w:val="both"/>
        <w:rPr>
          <w:rFonts w:ascii="Arial" w:hAnsi="Arial" w:cs="Arial"/>
          <w:sz w:val="20"/>
          <w:szCs w:val="20"/>
        </w:rPr>
      </w:pPr>
      <w:r w:rsidRPr="00AC4AEA">
        <w:rPr>
          <w:rFonts w:ascii="Arial" w:hAnsi="Arial" w:cs="Arial"/>
          <w:sz w:val="20"/>
          <w:szCs w:val="20"/>
        </w:rPr>
        <w:t>630A. Una entidad presentará en el cuerpo del estado los reintegros</w:t>
      </w:r>
      <w:r w:rsidR="00970156" w:rsidRPr="00AC4AEA">
        <w:rPr>
          <w:rFonts w:ascii="Arial" w:hAnsi="Arial" w:cs="Arial"/>
          <w:sz w:val="20"/>
          <w:szCs w:val="20"/>
        </w:rPr>
        <w:t>, reembolsos</w:t>
      </w:r>
      <w:r w:rsidRPr="00AC4AEA">
        <w:rPr>
          <w:rFonts w:ascii="Arial" w:hAnsi="Arial" w:cs="Arial"/>
          <w:sz w:val="20"/>
          <w:szCs w:val="20"/>
        </w:rPr>
        <w:t xml:space="preserve"> y desgravaciones:</w:t>
      </w:r>
    </w:p>
    <w:p w:rsidR="007B7E5B" w:rsidRPr="00AC4AEA" w:rsidRDefault="007B7E5B" w:rsidP="00C01B25">
      <w:pPr>
        <w:pStyle w:val="Prrafodelista"/>
        <w:numPr>
          <w:ilvl w:val="0"/>
          <w:numId w:val="537"/>
        </w:numPr>
        <w:ind w:left="1560"/>
        <w:contextualSpacing w:val="0"/>
        <w:jc w:val="both"/>
        <w:rPr>
          <w:rFonts w:ascii="Arial" w:hAnsi="Arial" w:cs="Arial"/>
          <w:sz w:val="20"/>
          <w:szCs w:val="20"/>
        </w:rPr>
      </w:pPr>
      <w:r w:rsidRPr="00AC4AEA">
        <w:rPr>
          <w:rFonts w:ascii="Arial" w:hAnsi="Arial" w:cs="Arial"/>
          <w:sz w:val="20"/>
          <w:szCs w:val="20"/>
        </w:rPr>
        <w:t xml:space="preserve">Si solo dependen de los </w:t>
      </w:r>
      <w:r w:rsidRPr="00181A70">
        <w:rPr>
          <w:rFonts w:ascii="Arial" w:hAnsi="Arial" w:cs="Arial"/>
          <w:b/>
          <w:bCs/>
          <w:sz w:val="20"/>
          <w:szCs w:val="20"/>
        </w:rPr>
        <w:t>ingresos de actividades ordinarias</w:t>
      </w:r>
      <w:r w:rsidRPr="00AC4AEA">
        <w:rPr>
          <w:rFonts w:ascii="Arial" w:hAnsi="Arial" w:cs="Arial"/>
          <w:sz w:val="20"/>
          <w:szCs w:val="20"/>
        </w:rPr>
        <w:t>, adicionándolos a ellos;</w:t>
      </w:r>
    </w:p>
    <w:p w:rsidR="007B7E5B" w:rsidRPr="00AC4AEA" w:rsidRDefault="007B7E5B" w:rsidP="00C01B25">
      <w:pPr>
        <w:pStyle w:val="Prrafodelista"/>
        <w:numPr>
          <w:ilvl w:val="0"/>
          <w:numId w:val="537"/>
        </w:numPr>
        <w:ind w:left="1560"/>
        <w:contextualSpacing w:val="0"/>
        <w:jc w:val="both"/>
        <w:rPr>
          <w:rFonts w:ascii="Arial" w:hAnsi="Arial" w:cs="Arial"/>
          <w:sz w:val="20"/>
          <w:szCs w:val="20"/>
        </w:rPr>
      </w:pPr>
      <w:r w:rsidRPr="00AC4AEA">
        <w:rPr>
          <w:rFonts w:ascii="Arial" w:hAnsi="Arial" w:cs="Arial"/>
          <w:sz w:val="20"/>
          <w:szCs w:val="20"/>
        </w:rPr>
        <w:t xml:space="preserve">Si dependen tanto de los </w:t>
      </w:r>
      <w:r w:rsidRPr="00181A70">
        <w:rPr>
          <w:rFonts w:ascii="Arial" w:hAnsi="Arial" w:cs="Arial"/>
          <w:b/>
          <w:bCs/>
          <w:sz w:val="20"/>
          <w:szCs w:val="20"/>
        </w:rPr>
        <w:t>ingresos de actividades ordinarias</w:t>
      </w:r>
      <w:r w:rsidRPr="00AC4AEA">
        <w:rPr>
          <w:rFonts w:ascii="Arial" w:hAnsi="Arial" w:cs="Arial"/>
          <w:sz w:val="20"/>
          <w:szCs w:val="20"/>
        </w:rPr>
        <w:t xml:space="preserve"> como de sus costos:</w:t>
      </w:r>
    </w:p>
    <w:p w:rsidR="007B7E5B" w:rsidRPr="00AC4AEA" w:rsidRDefault="007B7E5B" w:rsidP="00A318EA">
      <w:pPr>
        <w:ind w:left="1985" w:hanging="284"/>
        <w:jc w:val="both"/>
        <w:rPr>
          <w:rFonts w:ascii="Arial" w:hAnsi="Arial" w:cs="Arial"/>
          <w:sz w:val="20"/>
          <w:szCs w:val="20"/>
        </w:rPr>
      </w:pPr>
      <w:r w:rsidRPr="00AC4AEA">
        <w:rPr>
          <w:rFonts w:ascii="Arial" w:hAnsi="Arial" w:cs="Arial"/>
          <w:sz w:val="20"/>
          <w:szCs w:val="20"/>
        </w:rPr>
        <w:t>(i)</w:t>
      </w:r>
      <w:r w:rsidR="006F2C57">
        <w:rPr>
          <w:rFonts w:ascii="Arial" w:hAnsi="Arial" w:cs="Arial"/>
          <w:sz w:val="20"/>
          <w:szCs w:val="20"/>
        </w:rPr>
        <w:t xml:space="preserve"> </w:t>
      </w:r>
      <w:r w:rsidRPr="00AC4AEA">
        <w:rPr>
          <w:rFonts w:ascii="Arial" w:hAnsi="Arial" w:cs="Arial"/>
          <w:sz w:val="20"/>
          <w:szCs w:val="20"/>
        </w:rPr>
        <w:t>Los imputará según su efecto sobre cada una de tales partidas, cuando dicha asignación sea posible.</w:t>
      </w:r>
    </w:p>
    <w:p w:rsidR="007B7E5B" w:rsidRPr="00AC4AEA" w:rsidRDefault="007B7E5B" w:rsidP="00A318EA">
      <w:pPr>
        <w:ind w:left="1985" w:hanging="284"/>
        <w:jc w:val="both"/>
        <w:rPr>
          <w:rFonts w:ascii="Arial" w:hAnsi="Arial" w:cs="Arial"/>
          <w:sz w:val="20"/>
          <w:szCs w:val="20"/>
        </w:rPr>
      </w:pPr>
      <w:r w:rsidRPr="00AC4AEA">
        <w:rPr>
          <w:rFonts w:ascii="Arial" w:hAnsi="Arial" w:cs="Arial"/>
          <w:sz w:val="20"/>
          <w:szCs w:val="20"/>
        </w:rPr>
        <w:t>(ii) Los presentará por separado después del costo de lo vendido, formando parte del resultado bruto, cuando no resulta aplicable lo indicado en el inciso inmediato anterior.</w:t>
      </w:r>
    </w:p>
    <w:p w:rsidR="007B7E5B" w:rsidRPr="00AC4AEA" w:rsidRDefault="007B7E5B" w:rsidP="00A318EA">
      <w:pPr>
        <w:pStyle w:val="A-doctorado"/>
        <w:rPr>
          <w:rFonts w:ascii="Arial" w:hAnsi="Arial"/>
          <w:color w:val="auto"/>
          <w:sz w:val="20"/>
          <w:szCs w:val="20"/>
        </w:rPr>
      </w:pPr>
      <w:bookmarkStart w:id="907" w:name="_Toc101864002"/>
    </w:p>
    <w:p w:rsidR="00C16319" w:rsidRPr="00AC4AEA" w:rsidRDefault="00C16319" w:rsidP="00A318EA">
      <w:pPr>
        <w:pStyle w:val="Ttulo2"/>
        <w:rPr>
          <w:rFonts w:cs="Arial"/>
        </w:rPr>
      </w:pPr>
      <w:bookmarkStart w:id="908" w:name="_Toc139356898"/>
      <w:r w:rsidRPr="00AC4AEA">
        <w:rPr>
          <w:rFonts w:cs="Arial"/>
        </w:rPr>
        <w:t>Presentación de los resultados financieros y de tenencia</w:t>
      </w:r>
      <w:bookmarkEnd w:id="907"/>
      <w:bookmarkEnd w:id="908"/>
    </w:p>
    <w:p w:rsidR="00870D8E" w:rsidRPr="00AC4AEA" w:rsidRDefault="00E04967" w:rsidP="00A318EA">
      <w:pPr>
        <w:pStyle w:val="Ttulo3"/>
      </w:pPr>
      <w:bookmarkStart w:id="909" w:name="_Toc139356899"/>
      <w:r w:rsidRPr="00AC4AEA">
        <w:t>Selección de la política de presentación más relevante</w:t>
      </w:r>
      <w:bookmarkEnd w:id="909"/>
    </w:p>
    <w:p w:rsidR="00BB1995" w:rsidRPr="00AC4AEA" w:rsidRDefault="00160C77" w:rsidP="00A318EA">
      <w:pPr>
        <w:pStyle w:val="Prrafodelista"/>
        <w:numPr>
          <w:ilvl w:val="0"/>
          <w:numId w:val="29"/>
        </w:numPr>
        <w:contextualSpacing w:val="0"/>
        <w:jc w:val="both"/>
        <w:rPr>
          <w:rFonts w:ascii="Arial" w:hAnsi="Arial" w:cs="Arial"/>
          <w:sz w:val="20"/>
          <w:szCs w:val="20"/>
        </w:rPr>
      </w:pPr>
      <w:bookmarkStart w:id="910" w:name="_Ref103700200"/>
      <w:r w:rsidRPr="00AC4AEA">
        <w:rPr>
          <w:rFonts w:ascii="Arial" w:hAnsi="Arial" w:cs="Arial"/>
          <w:sz w:val="20"/>
          <w:szCs w:val="20"/>
        </w:rPr>
        <w:t xml:space="preserve">Cuando ciertos resultados </w:t>
      </w:r>
      <w:r w:rsidR="00611E8D" w:rsidRPr="00AC4AEA">
        <w:rPr>
          <w:rFonts w:ascii="Arial" w:hAnsi="Arial" w:cs="Arial"/>
          <w:sz w:val="20"/>
          <w:szCs w:val="20"/>
        </w:rPr>
        <w:t>financiero</w:t>
      </w:r>
      <w:r w:rsidR="00D734EF" w:rsidRPr="00AC4AEA">
        <w:rPr>
          <w:rFonts w:ascii="Arial" w:hAnsi="Arial" w:cs="Arial"/>
          <w:sz w:val="20"/>
          <w:szCs w:val="20"/>
        </w:rPr>
        <w:t>s</w:t>
      </w:r>
      <w:r w:rsidR="00611E8D" w:rsidRPr="00AC4AEA">
        <w:rPr>
          <w:rFonts w:ascii="Arial" w:hAnsi="Arial" w:cs="Arial"/>
          <w:sz w:val="20"/>
          <w:szCs w:val="20"/>
        </w:rPr>
        <w:t xml:space="preserve"> </w:t>
      </w:r>
      <w:r w:rsidRPr="00AC4AEA">
        <w:rPr>
          <w:rFonts w:ascii="Arial" w:hAnsi="Arial" w:cs="Arial"/>
          <w:sz w:val="20"/>
          <w:szCs w:val="20"/>
        </w:rPr>
        <w:t>y de tenencia</w:t>
      </w:r>
      <w:r w:rsidR="00B25001" w:rsidRPr="00AC4AEA">
        <w:rPr>
          <w:rFonts w:ascii="Arial" w:hAnsi="Arial" w:cs="Arial"/>
          <w:sz w:val="20"/>
          <w:szCs w:val="20"/>
        </w:rPr>
        <w:t xml:space="preserve"> </w:t>
      </w:r>
      <w:r w:rsidR="00B1616D" w:rsidRPr="00AC4AEA">
        <w:rPr>
          <w:rFonts w:ascii="Arial" w:hAnsi="Arial" w:cs="Arial"/>
          <w:sz w:val="20"/>
          <w:szCs w:val="20"/>
        </w:rPr>
        <w:t>se relacionan con los resultados de actividades ordinarias</w:t>
      </w:r>
      <w:r w:rsidR="00687FBD" w:rsidRPr="00AC4AEA">
        <w:rPr>
          <w:rFonts w:ascii="Arial" w:hAnsi="Arial" w:cs="Arial"/>
          <w:sz w:val="20"/>
          <w:szCs w:val="20"/>
        </w:rPr>
        <w:t xml:space="preserve"> (por ejemplo, el resultado de tenencia de los bienes de cambio</w:t>
      </w:r>
      <w:r w:rsidR="00803F59" w:rsidRPr="00AC4AEA">
        <w:rPr>
          <w:rFonts w:ascii="Arial" w:hAnsi="Arial" w:cs="Arial"/>
          <w:sz w:val="20"/>
          <w:szCs w:val="20"/>
        </w:rPr>
        <w:t>, o los intereses por financiación que forman parte de la estrategia de negocios</w:t>
      </w:r>
      <w:r w:rsidR="00687FBD" w:rsidRPr="00AC4AEA">
        <w:rPr>
          <w:rFonts w:ascii="Arial" w:hAnsi="Arial" w:cs="Arial"/>
          <w:sz w:val="20"/>
          <w:szCs w:val="20"/>
        </w:rPr>
        <w:t>)</w:t>
      </w:r>
      <w:r w:rsidR="00567085" w:rsidRPr="00AC4AEA">
        <w:rPr>
          <w:rFonts w:ascii="Arial" w:hAnsi="Arial" w:cs="Arial"/>
          <w:sz w:val="20"/>
          <w:szCs w:val="20"/>
        </w:rPr>
        <w:t>,</w:t>
      </w:r>
      <w:r w:rsidR="00B1616D" w:rsidRPr="00AC4AEA">
        <w:rPr>
          <w:rFonts w:ascii="Arial" w:hAnsi="Arial" w:cs="Arial"/>
          <w:sz w:val="20"/>
          <w:szCs w:val="20"/>
        </w:rPr>
        <w:t xml:space="preserve"> </w:t>
      </w:r>
      <w:r w:rsidR="00997524" w:rsidRPr="00AC4AEA">
        <w:rPr>
          <w:rFonts w:ascii="Arial" w:hAnsi="Arial" w:cs="Arial"/>
          <w:sz w:val="20"/>
          <w:szCs w:val="20"/>
        </w:rPr>
        <w:t xml:space="preserve">una entidad podrá </w:t>
      </w:r>
      <w:r w:rsidR="00B1616D" w:rsidRPr="00AC4AEA">
        <w:rPr>
          <w:rFonts w:ascii="Arial" w:hAnsi="Arial" w:cs="Arial"/>
          <w:sz w:val="20"/>
          <w:szCs w:val="20"/>
        </w:rPr>
        <w:t>presenta</w:t>
      </w:r>
      <w:r w:rsidR="00997524" w:rsidRPr="00AC4AEA">
        <w:rPr>
          <w:rFonts w:ascii="Arial" w:hAnsi="Arial" w:cs="Arial"/>
          <w:sz w:val="20"/>
          <w:szCs w:val="20"/>
        </w:rPr>
        <w:t>rlos</w:t>
      </w:r>
      <w:r w:rsidR="00B1616D" w:rsidRPr="00AC4AEA">
        <w:rPr>
          <w:rFonts w:ascii="Arial" w:hAnsi="Arial" w:cs="Arial"/>
          <w:sz w:val="20"/>
          <w:szCs w:val="20"/>
        </w:rPr>
        <w:t xml:space="preserve"> </w:t>
      </w:r>
      <w:r w:rsidR="00B25001" w:rsidRPr="00AC4AEA">
        <w:rPr>
          <w:rFonts w:ascii="Arial" w:hAnsi="Arial" w:cs="Arial"/>
          <w:sz w:val="20"/>
          <w:szCs w:val="20"/>
        </w:rPr>
        <w:t xml:space="preserve">fuera del acápite </w:t>
      </w:r>
      <w:r w:rsidR="00870D8E" w:rsidRPr="00AC4AEA">
        <w:rPr>
          <w:rFonts w:ascii="Arial" w:hAnsi="Arial" w:cs="Arial"/>
          <w:sz w:val="20"/>
          <w:szCs w:val="20"/>
        </w:rPr>
        <w:t xml:space="preserve">al que se refieren los párrafos </w:t>
      </w:r>
      <w:fldSimple w:instr=" REF _Ref103701465 \r \h  \* MERGEFORMAT ">
        <w:r w:rsidR="00D33A5D" w:rsidRPr="00D33A5D">
          <w:rPr>
            <w:rFonts w:ascii="Arial" w:hAnsi="Arial" w:cs="Arial"/>
            <w:sz w:val="20"/>
            <w:szCs w:val="20"/>
          </w:rPr>
          <w:t>632</w:t>
        </w:r>
      </w:fldSimple>
      <w:r w:rsidR="00DE628E" w:rsidRPr="00AC4AEA">
        <w:rPr>
          <w:rFonts w:ascii="Arial" w:hAnsi="Arial" w:cs="Arial"/>
          <w:sz w:val="20"/>
          <w:szCs w:val="20"/>
        </w:rPr>
        <w:t xml:space="preserve"> a </w:t>
      </w:r>
      <w:r w:rsidR="001C4138">
        <w:rPr>
          <w:rFonts w:ascii="Arial" w:hAnsi="Arial" w:cs="Arial"/>
          <w:sz w:val="20"/>
          <w:szCs w:val="20"/>
        </w:rPr>
        <w:fldChar w:fldCharType="begin"/>
      </w:r>
      <w:r w:rsidR="00CB1BD9">
        <w:rPr>
          <w:rFonts w:ascii="Arial" w:hAnsi="Arial" w:cs="Arial"/>
          <w:sz w:val="20"/>
          <w:szCs w:val="20"/>
        </w:rPr>
        <w:instrText xml:space="preserve"> REF _Ref103700215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634</w:t>
      </w:r>
      <w:r w:rsidR="001C4138">
        <w:rPr>
          <w:rFonts w:ascii="Arial" w:hAnsi="Arial" w:cs="Arial"/>
          <w:sz w:val="20"/>
          <w:szCs w:val="20"/>
        </w:rPr>
        <w:fldChar w:fldCharType="end"/>
      </w:r>
      <w:r w:rsidR="00DE628E" w:rsidRPr="00AC4AEA">
        <w:rPr>
          <w:rFonts w:ascii="Arial" w:hAnsi="Arial" w:cs="Arial"/>
          <w:sz w:val="20"/>
          <w:szCs w:val="20"/>
        </w:rPr>
        <w:t xml:space="preserve"> </w:t>
      </w:r>
      <w:r w:rsidR="00997524" w:rsidRPr="00AC4AEA">
        <w:rPr>
          <w:rFonts w:ascii="Arial" w:hAnsi="Arial" w:cs="Arial"/>
          <w:sz w:val="20"/>
          <w:szCs w:val="20"/>
        </w:rPr>
        <w:t>si</w:t>
      </w:r>
      <w:r w:rsidR="00421D28" w:rsidRPr="00AC4AEA">
        <w:rPr>
          <w:rFonts w:ascii="Arial" w:hAnsi="Arial" w:cs="Arial"/>
          <w:sz w:val="20"/>
          <w:szCs w:val="20"/>
        </w:rPr>
        <w:t xml:space="preserve"> con ello logra</w:t>
      </w:r>
      <w:r w:rsidRPr="00AC4AEA">
        <w:rPr>
          <w:rFonts w:ascii="Arial" w:hAnsi="Arial" w:cs="Arial"/>
          <w:sz w:val="20"/>
          <w:szCs w:val="20"/>
        </w:rPr>
        <w:t xml:space="preserve"> información más relevante</w:t>
      </w:r>
      <w:r w:rsidR="00421D28" w:rsidRPr="00AC4AEA">
        <w:rPr>
          <w:rFonts w:ascii="Arial" w:hAnsi="Arial" w:cs="Arial"/>
          <w:sz w:val="20"/>
          <w:szCs w:val="20"/>
        </w:rPr>
        <w:t>.</w:t>
      </w:r>
      <w:bookmarkEnd w:id="910"/>
    </w:p>
    <w:p w:rsidR="00A0006C" w:rsidRPr="00AC4AEA" w:rsidRDefault="00A0006C" w:rsidP="00A318EA">
      <w:pPr>
        <w:pStyle w:val="Prrafodelista"/>
        <w:ind w:left="993"/>
        <w:contextualSpacing w:val="0"/>
        <w:jc w:val="both"/>
        <w:rPr>
          <w:rFonts w:ascii="Arial" w:hAnsi="Arial" w:cs="Arial"/>
          <w:sz w:val="20"/>
          <w:szCs w:val="20"/>
        </w:rPr>
      </w:pPr>
    </w:p>
    <w:p w:rsidR="00E04967" w:rsidRPr="00AC4AEA" w:rsidRDefault="00E04967" w:rsidP="00A318EA">
      <w:pPr>
        <w:pStyle w:val="Ttulo3"/>
      </w:pPr>
      <w:bookmarkStart w:id="911" w:name="_Toc139356900"/>
      <w:bookmarkStart w:id="912" w:name="_Ref99455638"/>
      <w:r w:rsidRPr="00AC4AEA">
        <w:t>Presentación de ciertos resultados financieros y de tenencia en un acápite separado</w:t>
      </w:r>
      <w:bookmarkEnd w:id="911"/>
    </w:p>
    <w:p w:rsidR="000D2858" w:rsidRPr="00AC4AEA" w:rsidRDefault="000D2858" w:rsidP="00A318EA">
      <w:pPr>
        <w:pStyle w:val="A-Normal11"/>
        <w:numPr>
          <w:ilvl w:val="0"/>
          <w:numId w:val="29"/>
        </w:numPr>
        <w:jc w:val="both"/>
        <w:rPr>
          <w:rFonts w:ascii="Arial" w:hAnsi="Arial" w:cs="Arial"/>
          <w:sz w:val="20"/>
        </w:rPr>
      </w:pPr>
      <w:bookmarkStart w:id="913" w:name="_Ref103701465"/>
      <w:r w:rsidRPr="00AC4AEA">
        <w:rPr>
          <w:rFonts w:ascii="Arial" w:hAnsi="Arial" w:cs="Arial"/>
          <w:sz w:val="20"/>
        </w:rPr>
        <w:t>Una entidad podrá presentar los resultados financieros y de tenencia</w:t>
      </w:r>
      <w:r w:rsidR="007215C2" w:rsidRPr="00AC4AEA">
        <w:rPr>
          <w:rFonts w:ascii="Arial" w:hAnsi="Arial" w:cs="Arial"/>
          <w:sz w:val="20"/>
        </w:rPr>
        <w:t xml:space="preserve"> (incluyendo el resultado por cambios en el poder adquisitivo de la moneda)</w:t>
      </w:r>
      <w:r w:rsidR="00F304ED" w:rsidRPr="00AC4AEA">
        <w:rPr>
          <w:rFonts w:ascii="Arial" w:hAnsi="Arial" w:cs="Arial"/>
          <w:sz w:val="20"/>
        </w:rPr>
        <w:t xml:space="preserve">, distintos de los que se presentan de forma separada de conformidad con la presente Resolución Técnica u </w:t>
      </w:r>
      <w:r w:rsidR="00F304ED" w:rsidRPr="00AC4AEA">
        <w:rPr>
          <w:rFonts w:ascii="Arial" w:hAnsi="Arial" w:cs="Arial"/>
          <w:b/>
          <w:bCs/>
          <w:sz w:val="20"/>
        </w:rPr>
        <w:t>otras normas contables</w:t>
      </w:r>
      <w:r w:rsidRPr="00AC4AEA">
        <w:rPr>
          <w:rFonts w:ascii="Arial" w:hAnsi="Arial" w:cs="Arial"/>
          <w:sz w:val="20"/>
        </w:rPr>
        <w:t>:</w:t>
      </w:r>
      <w:bookmarkEnd w:id="912"/>
      <w:bookmarkEnd w:id="913"/>
    </w:p>
    <w:p w:rsidR="000D2858" w:rsidRPr="00AC4AEA" w:rsidRDefault="004155FE" w:rsidP="00A318EA">
      <w:pPr>
        <w:pStyle w:val="A-Normal11"/>
        <w:numPr>
          <w:ilvl w:val="0"/>
          <w:numId w:val="186"/>
        </w:numPr>
        <w:ind w:left="1560"/>
        <w:jc w:val="both"/>
        <w:rPr>
          <w:rFonts w:ascii="Arial" w:hAnsi="Arial" w:cs="Arial"/>
          <w:sz w:val="20"/>
        </w:rPr>
      </w:pPr>
      <w:r w:rsidRPr="00AC4AEA">
        <w:rPr>
          <w:rFonts w:ascii="Arial" w:hAnsi="Arial" w:cs="Arial"/>
          <w:sz w:val="20"/>
        </w:rPr>
        <w:lastRenderedPageBreak/>
        <w:t>e</w:t>
      </w:r>
      <w:r w:rsidR="000D2858" w:rsidRPr="00AC4AEA">
        <w:rPr>
          <w:rFonts w:ascii="Arial" w:hAnsi="Arial" w:cs="Arial"/>
          <w:sz w:val="20"/>
        </w:rPr>
        <w:t>n forma simplificada, exponiendo dichos resultados en una sola línea</w:t>
      </w:r>
      <w:r w:rsidRPr="00AC4AEA">
        <w:rPr>
          <w:rFonts w:ascii="Arial" w:hAnsi="Arial" w:cs="Arial"/>
          <w:sz w:val="20"/>
        </w:rPr>
        <w:t>; o</w:t>
      </w:r>
      <w:r w:rsidR="000D2858" w:rsidRPr="00AC4AEA">
        <w:rPr>
          <w:rFonts w:ascii="Arial" w:hAnsi="Arial" w:cs="Arial"/>
          <w:sz w:val="20"/>
        </w:rPr>
        <w:t xml:space="preserve"> </w:t>
      </w:r>
    </w:p>
    <w:p w:rsidR="000D2858" w:rsidRPr="00AC4AEA" w:rsidRDefault="004155FE" w:rsidP="00A318EA">
      <w:pPr>
        <w:pStyle w:val="A-Normal11"/>
        <w:numPr>
          <w:ilvl w:val="0"/>
          <w:numId w:val="186"/>
        </w:numPr>
        <w:ind w:left="1560"/>
        <w:jc w:val="both"/>
        <w:rPr>
          <w:rFonts w:ascii="Arial" w:hAnsi="Arial" w:cs="Arial"/>
          <w:sz w:val="20"/>
        </w:rPr>
      </w:pPr>
      <w:r w:rsidRPr="00AC4AEA">
        <w:rPr>
          <w:rFonts w:ascii="Arial" w:hAnsi="Arial" w:cs="Arial"/>
          <w:sz w:val="20"/>
        </w:rPr>
        <w:t>e</w:t>
      </w:r>
      <w:r w:rsidR="000D2858" w:rsidRPr="00AC4AEA">
        <w:rPr>
          <w:rFonts w:ascii="Arial" w:hAnsi="Arial" w:cs="Arial"/>
          <w:sz w:val="20"/>
        </w:rPr>
        <w:t xml:space="preserve">n </w:t>
      </w:r>
      <w:r w:rsidRPr="00AC4AEA">
        <w:rPr>
          <w:rFonts w:ascii="Arial" w:hAnsi="Arial" w:cs="Arial"/>
          <w:sz w:val="20"/>
        </w:rPr>
        <w:t>forma más depurada, con mayor nivel de segregación.</w:t>
      </w:r>
    </w:p>
    <w:p w:rsidR="004155FE" w:rsidRPr="00AC4AEA" w:rsidRDefault="005D38D5" w:rsidP="00A318EA">
      <w:pPr>
        <w:pStyle w:val="A-Normal11"/>
        <w:numPr>
          <w:ilvl w:val="0"/>
          <w:numId w:val="29"/>
        </w:numPr>
        <w:jc w:val="both"/>
        <w:rPr>
          <w:rFonts w:ascii="Arial" w:hAnsi="Arial" w:cs="Arial"/>
          <w:sz w:val="20"/>
        </w:rPr>
      </w:pPr>
      <w:bookmarkStart w:id="914" w:name="_Ref99455675"/>
      <w:r w:rsidRPr="00AC4AEA">
        <w:rPr>
          <w:rFonts w:ascii="Arial" w:hAnsi="Arial" w:cs="Arial"/>
          <w:sz w:val="20"/>
        </w:rPr>
        <w:t>Cuando</w:t>
      </w:r>
      <w:r w:rsidR="004155FE" w:rsidRPr="00AC4AEA">
        <w:rPr>
          <w:rFonts w:ascii="Arial" w:hAnsi="Arial" w:cs="Arial"/>
          <w:sz w:val="20"/>
        </w:rPr>
        <w:t xml:space="preserve"> opte por exponer los resultados financieros y de tenencia</w:t>
      </w:r>
      <w:r w:rsidR="0012518B" w:rsidRPr="00AC4AEA">
        <w:rPr>
          <w:rFonts w:ascii="Arial" w:hAnsi="Arial" w:cs="Arial"/>
          <w:sz w:val="20"/>
        </w:rPr>
        <w:t xml:space="preserve"> </w:t>
      </w:r>
      <w:r w:rsidR="009223D1" w:rsidRPr="00AC4AEA">
        <w:rPr>
          <w:rFonts w:ascii="Arial" w:hAnsi="Arial" w:cs="Arial"/>
          <w:sz w:val="20"/>
        </w:rPr>
        <w:t xml:space="preserve">de acuerdo </w:t>
      </w:r>
      <w:r w:rsidR="00F774AA" w:rsidRPr="00AC4AEA">
        <w:rPr>
          <w:rFonts w:ascii="Arial" w:hAnsi="Arial" w:cs="Arial"/>
          <w:sz w:val="20"/>
        </w:rPr>
        <w:t xml:space="preserve">con </w:t>
      </w:r>
      <w:r w:rsidR="009223D1" w:rsidRPr="00AC4AEA">
        <w:rPr>
          <w:rFonts w:ascii="Arial" w:hAnsi="Arial" w:cs="Arial"/>
          <w:sz w:val="20"/>
        </w:rPr>
        <w:t>el inciso b) del párrafo anterior</w:t>
      </w:r>
      <w:r w:rsidRPr="00AC4AEA">
        <w:rPr>
          <w:rFonts w:ascii="Arial" w:hAnsi="Arial" w:cs="Arial"/>
          <w:sz w:val="20"/>
        </w:rPr>
        <w:t>, una entidad</w:t>
      </w:r>
      <w:r w:rsidR="004155FE" w:rsidRPr="00AC4AEA">
        <w:rPr>
          <w:rFonts w:ascii="Arial" w:hAnsi="Arial" w:cs="Arial"/>
          <w:sz w:val="20"/>
        </w:rPr>
        <w:t xml:space="preserve"> podrá</w:t>
      </w:r>
      <w:r w:rsidRPr="00AC4AEA">
        <w:rPr>
          <w:rFonts w:ascii="Arial" w:hAnsi="Arial" w:cs="Arial"/>
          <w:sz w:val="20"/>
        </w:rPr>
        <w:t xml:space="preserve"> </w:t>
      </w:r>
      <w:r w:rsidR="009223D1" w:rsidRPr="00AC4AEA">
        <w:rPr>
          <w:rFonts w:ascii="Arial" w:hAnsi="Arial" w:cs="Arial"/>
          <w:sz w:val="20"/>
        </w:rPr>
        <w:t>utilizar</w:t>
      </w:r>
      <w:r w:rsidRPr="00AC4AEA">
        <w:rPr>
          <w:rFonts w:ascii="Arial" w:hAnsi="Arial" w:cs="Arial"/>
          <w:sz w:val="20"/>
        </w:rPr>
        <w:t xml:space="preserve"> una o más de las modalidades indicadas a continuación:</w:t>
      </w:r>
      <w:bookmarkEnd w:id="914"/>
      <w:r w:rsidR="004155FE" w:rsidRPr="00AC4AEA">
        <w:rPr>
          <w:rFonts w:ascii="Arial" w:hAnsi="Arial" w:cs="Arial"/>
          <w:sz w:val="20"/>
        </w:rPr>
        <w:t xml:space="preserve"> </w:t>
      </w:r>
    </w:p>
    <w:p w:rsidR="009223D1" w:rsidRPr="00AC4AEA" w:rsidRDefault="00390E36" w:rsidP="00A318EA">
      <w:pPr>
        <w:pStyle w:val="A-Normal11"/>
        <w:numPr>
          <w:ilvl w:val="0"/>
          <w:numId w:val="187"/>
        </w:numPr>
        <w:ind w:left="1560"/>
        <w:jc w:val="both"/>
        <w:rPr>
          <w:rFonts w:ascii="Arial" w:hAnsi="Arial" w:cs="Arial"/>
          <w:sz w:val="20"/>
        </w:rPr>
      </w:pPr>
      <w:r w:rsidRPr="00AC4AEA">
        <w:rPr>
          <w:rFonts w:ascii="Arial" w:hAnsi="Arial" w:cs="Arial"/>
          <w:sz w:val="20"/>
        </w:rPr>
        <w:t>Presentación</w:t>
      </w:r>
      <w:r w:rsidR="009223D1" w:rsidRPr="00AC4AEA">
        <w:rPr>
          <w:rFonts w:ascii="Arial" w:hAnsi="Arial" w:cs="Arial"/>
          <w:sz w:val="20"/>
        </w:rPr>
        <w:t xml:space="preserve"> por separado</w:t>
      </w:r>
      <w:r w:rsidRPr="00AC4AEA">
        <w:rPr>
          <w:rFonts w:ascii="Arial" w:hAnsi="Arial" w:cs="Arial"/>
          <w:sz w:val="20"/>
        </w:rPr>
        <w:t xml:space="preserve"> de</w:t>
      </w:r>
      <w:r w:rsidR="009223D1" w:rsidRPr="00AC4AEA">
        <w:rPr>
          <w:rFonts w:ascii="Arial" w:hAnsi="Arial" w:cs="Arial"/>
          <w:sz w:val="20"/>
        </w:rPr>
        <w:t xml:space="preserve"> las partidas generadas por </w:t>
      </w:r>
      <w:r w:rsidR="00497590" w:rsidRPr="00AC4AEA">
        <w:rPr>
          <w:rFonts w:ascii="Arial" w:hAnsi="Arial" w:cs="Arial"/>
          <w:sz w:val="20"/>
        </w:rPr>
        <w:t>activos</w:t>
      </w:r>
      <w:r w:rsidR="009223D1" w:rsidRPr="00AC4AEA">
        <w:rPr>
          <w:rFonts w:ascii="Arial" w:hAnsi="Arial" w:cs="Arial"/>
          <w:sz w:val="20"/>
        </w:rPr>
        <w:t xml:space="preserve"> y </w:t>
      </w:r>
      <w:r w:rsidR="00497590" w:rsidRPr="00AC4AEA">
        <w:rPr>
          <w:rFonts w:ascii="Arial" w:hAnsi="Arial" w:cs="Arial"/>
          <w:sz w:val="20"/>
        </w:rPr>
        <w:t>pasivos</w:t>
      </w:r>
      <w:r w:rsidR="009223D1" w:rsidRPr="00AC4AEA">
        <w:rPr>
          <w:rFonts w:ascii="Arial" w:hAnsi="Arial" w:cs="Arial"/>
          <w:sz w:val="20"/>
        </w:rPr>
        <w:t>.</w:t>
      </w:r>
    </w:p>
    <w:p w:rsidR="009223D1" w:rsidRPr="00AC4AEA" w:rsidRDefault="00390E36" w:rsidP="00A318EA">
      <w:pPr>
        <w:pStyle w:val="A-Normal11"/>
        <w:numPr>
          <w:ilvl w:val="0"/>
          <w:numId w:val="187"/>
        </w:numPr>
        <w:ind w:left="1560"/>
        <w:jc w:val="both"/>
        <w:rPr>
          <w:rFonts w:ascii="Arial" w:hAnsi="Arial" w:cs="Arial"/>
          <w:sz w:val="20"/>
        </w:rPr>
      </w:pPr>
      <w:r w:rsidRPr="00AC4AEA">
        <w:rPr>
          <w:rFonts w:ascii="Arial" w:hAnsi="Arial" w:cs="Arial"/>
          <w:sz w:val="20"/>
        </w:rPr>
        <w:t>Clasificación de</w:t>
      </w:r>
      <w:r w:rsidR="009223D1" w:rsidRPr="00AC4AEA">
        <w:rPr>
          <w:rFonts w:ascii="Arial" w:hAnsi="Arial" w:cs="Arial"/>
          <w:sz w:val="20"/>
        </w:rPr>
        <w:t xml:space="preserve"> los importes en función del rubro que generó el resultado.</w:t>
      </w:r>
    </w:p>
    <w:p w:rsidR="00C07C2C" w:rsidRPr="00AC4AEA" w:rsidRDefault="00390E36" w:rsidP="00A318EA">
      <w:pPr>
        <w:pStyle w:val="A-Normal11"/>
        <w:numPr>
          <w:ilvl w:val="0"/>
          <w:numId w:val="187"/>
        </w:numPr>
        <w:ind w:left="1560"/>
        <w:jc w:val="both"/>
        <w:rPr>
          <w:rFonts w:ascii="Arial" w:hAnsi="Arial" w:cs="Arial"/>
          <w:sz w:val="20"/>
        </w:rPr>
      </w:pPr>
      <w:r w:rsidRPr="00AC4AEA">
        <w:rPr>
          <w:rFonts w:ascii="Arial" w:hAnsi="Arial" w:cs="Arial"/>
          <w:sz w:val="20"/>
        </w:rPr>
        <w:t>Presentación de</w:t>
      </w:r>
      <w:r w:rsidR="000D2858" w:rsidRPr="00AC4AEA">
        <w:rPr>
          <w:rFonts w:ascii="Arial" w:hAnsi="Arial" w:cs="Arial"/>
          <w:sz w:val="20"/>
        </w:rPr>
        <w:t xml:space="preserve"> cada componente </w:t>
      </w:r>
      <w:r w:rsidR="00973570" w:rsidRPr="00AC4AEA">
        <w:rPr>
          <w:rFonts w:ascii="Arial" w:hAnsi="Arial" w:cs="Arial"/>
          <w:sz w:val="20"/>
        </w:rPr>
        <w:t xml:space="preserve">por su naturaleza. </w:t>
      </w:r>
    </w:p>
    <w:p w:rsidR="00E4476D" w:rsidRPr="00AC4AEA" w:rsidRDefault="00973570" w:rsidP="00A318EA">
      <w:pPr>
        <w:pStyle w:val="Prrafodelista"/>
        <w:numPr>
          <w:ilvl w:val="0"/>
          <w:numId w:val="29"/>
        </w:numPr>
        <w:contextualSpacing w:val="0"/>
        <w:jc w:val="both"/>
        <w:rPr>
          <w:rFonts w:ascii="Arial" w:hAnsi="Arial" w:cs="Arial"/>
          <w:sz w:val="20"/>
          <w:szCs w:val="20"/>
        </w:rPr>
      </w:pPr>
      <w:bookmarkStart w:id="915" w:name="_Ref103700215"/>
      <w:r w:rsidRPr="00AC4AEA">
        <w:rPr>
          <w:rFonts w:ascii="Arial" w:hAnsi="Arial" w:cs="Arial"/>
          <w:sz w:val="20"/>
          <w:szCs w:val="20"/>
        </w:rPr>
        <w:t xml:space="preserve">Cuando la entidad aplique las normas sobre ajuste por inflación contenidas en la sección </w:t>
      </w:r>
      <w:r w:rsidR="007E7821" w:rsidRPr="00AC4AEA">
        <w:rPr>
          <w:rFonts w:ascii="Arial" w:hAnsi="Arial" w:cs="Arial"/>
          <w:sz w:val="20"/>
          <w:szCs w:val="20"/>
        </w:rPr>
        <w:t>“</w:t>
      </w:r>
      <w:r w:rsidR="007E7821" w:rsidRPr="00AC4AEA">
        <w:rPr>
          <w:rFonts w:ascii="Arial" w:hAnsi="Arial" w:cs="Arial"/>
          <w:sz w:val="20"/>
          <w:szCs w:val="20"/>
          <w:u w:val="single"/>
        </w:rPr>
        <w:t xml:space="preserve">Expresión de los </w:t>
      </w:r>
      <w:r w:rsidR="007E7821" w:rsidRPr="00AC4AEA">
        <w:rPr>
          <w:rFonts w:ascii="Arial" w:hAnsi="Arial" w:cs="Arial"/>
          <w:bCs/>
          <w:sz w:val="20"/>
          <w:szCs w:val="20"/>
          <w:u w:val="single"/>
        </w:rPr>
        <w:t>estados contables en</w:t>
      </w:r>
      <w:r w:rsidR="007E7821" w:rsidRPr="00AC4AEA">
        <w:rPr>
          <w:rFonts w:ascii="Arial" w:hAnsi="Arial" w:cs="Arial"/>
          <w:sz w:val="20"/>
          <w:szCs w:val="20"/>
          <w:u w:val="single"/>
        </w:rPr>
        <w:t xml:space="preserve"> moneda </w:t>
      </w:r>
      <w:r w:rsidR="00F0601B">
        <w:rPr>
          <w:rFonts w:ascii="Arial" w:hAnsi="Arial" w:cs="Arial"/>
          <w:sz w:val="20"/>
          <w:szCs w:val="20"/>
          <w:u w:val="single"/>
        </w:rPr>
        <w:t>de cierre</w:t>
      </w:r>
      <w:r w:rsidR="007E7821" w:rsidRPr="00AC4AEA">
        <w:rPr>
          <w:rFonts w:ascii="Arial" w:hAnsi="Arial" w:cs="Arial"/>
          <w:sz w:val="20"/>
          <w:szCs w:val="20"/>
          <w:u w:val="single"/>
        </w:rPr>
        <w:t xml:space="preserve"> en un contexto de inflación (ajuste por inflación de los estados contables)</w:t>
      </w:r>
      <w:r w:rsidR="007E7821" w:rsidRPr="00AC4AEA">
        <w:rPr>
          <w:rFonts w:ascii="Arial" w:hAnsi="Arial" w:cs="Arial"/>
          <w:sz w:val="20"/>
          <w:szCs w:val="20"/>
        </w:rPr>
        <w:t xml:space="preserve">” [ver </w:t>
      </w:r>
      <w:r w:rsidR="001460EB">
        <w:rPr>
          <w:rFonts w:ascii="Arial" w:hAnsi="Arial" w:cs="Arial"/>
          <w:sz w:val="20"/>
          <w:szCs w:val="20"/>
        </w:rPr>
        <w:t xml:space="preserve">los </w:t>
      </w:r>
      <w:r w:rsidR="007E7821" w:rsidRPr="00AC4AEA">
        <w:rPr>
          <w:rFonts w:ascii="Arial" w:hAnsi="Arial" w:cs="Arial"/>
          <w:sz w:val="20"/>
          <w:szCs w:val="20"/>
        </w:rPr>
        <w:t xml:space="preserve">párrafos </w:t>
      </w:r>
      <w:fldSimple w:instr=" REF _Ref99459117 \r \h  \* MERGEFORMAT ">
        <w:r w:rsidR="00D33A5D" w:rsidRPr="00D33A5D">
          <w:rPr>
            <w:rFonts w:ascii="Arial" w:hAnsi="Arial" w:cs="Arial"/>
            <w:sz w:val="20"/>
            <w:szCs w:val="20"/>
          </w:rPr>
          <w:t>176</w:t>
        </w:r>
      </w:fldSimple>
      <w:r w:rsidR="007E7821"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007E7821" w:rsidRPr="00AC4AEA">
        <w:rPr>
          <w:rFonts w:ascii="Arial" w:hAnsi="Arial" w:cs="Arial"/>
          <w:sz w:val="20"/>
          <w:szCs w:val="20"/>
        </w:rPr>
        <w:t xml:space="preserve">] </w:t>
      </w:r>
      <w:r w:rsidR="00E4476D" w:rsidRPr="00AC4AEA">
        <w:rPr>
          <w:rFonts w:ascii="Arial" w:hAnsi="Arial" w:cs="Arial"/>
          <w:sz w:val="20"/>
          <w:szCs w:val="20"/>
        </w:rPr>
        <w:t xml:space="preserve">y utilice </w:t>
      </w:r>
      <w:r w:rsidR="00C07C2C" w:rsidRPr="00AC4AEA">
        <w:rPr>
          <w:rFonts w:ascii="Arial" w:hAnsi="Arial" w:cs="Arial"/>
          <w:sz w:val="20"/>
          <w:szCs w:val="20"/>
        </w:rPr>
        <w:t>la</w:t>
      </w:r>
      <w:r w:rsidR="00E4476D" w:rsidRPr="00AC4AEA">
        <w:rPr>
          <w:rFonts w:ascii="Arial" w:hAnsi="Arial" w:cs="Arial"/>
          <w:sz w:val="20"/>
          <w:szCs w:val="20"/>
        </w:rPr>
        <w:t xml:space="preserve"> presentación</w:t>
      </w:r>
      <w:r w:rsidR="00C07C2C" w:rsidRPr="00AC4AEA">
        <w:rPr>
          <w:rFonts w:ascii="Arial" w:hAnsi="Arial" w:cs="Arial"/>
          <w:sz w:val="20"/>
          <w:szCs w:val="20"/>
        </w:rPr>
        <w:t xml:space="preserve"> indicada en el </w:t>
      </w:r>
      <w:r w:rsidR="0061663F" w:rsidRPr="00AC4AEA">
        <w:rPr>
          <w:rFonts w:ascii="Arial" w:hAnsi="Arial" w:cs="Arial"/>
          <w:sz w:val="20"/>
          <w:szCs w:val="20"/>
        </w:rPr>
        <w:t>inciso c) del párrafo anterior</w:t>
      </w:r>
      <w:r w:rsidR="00E4476D" w:rsidRPr="00AC4AEA">
        <w:rPr>
          <w:rFonts w:ascii="Arial" w:hAnsi="Arial" w:cs="Arial"/>
          <w:sz w:val="20"/>
          <w:szCs w:val="20"/>
        </w:rPr>
        <w:t>, seguirá alguno de los siguientes criterios</w:t>
      </w:r>
      <w:r w:rsidR="00491548" w:rsidRPr="00AC4AEA">
        <w:rPr>
          <w:rFonts w:ascii="Arial" w:hAnsi="Arial" w:cs="Arial"/>
          <w:sz w:val="20"/>
          <w:szCs w:val="20"/>
        </w:rPr>
        <w:t>, de forma consistente con lo requ</w:t>
      </w:r>
      <w:r w:rsidR="007E7821" w:rsidRPr="00AC4AEA">
        <w:rPr>
          <w:rFonts w:ascii="Arial" w:hAnsi="Arial" w:cs="Arial"/>
          <w:sz w:val="20"/>
          <w:szCs w:val="20"/>
        </w:rPr>
        <w:t>erido en esa sección</w:t>
      </w:r>
      <w:r w:rsidR="00E4476D" w:rsidRPr="00AC4AEA">
        <w:rPr>
          <w:rFonts w:ascii="Arial" w:hAnsi="Arial" w:cs="Arial"/>
          <w:sz w:val="20"/>
          <w:szCs w:val="20"/>
        </w:rPr>
        <w:t>:</w:t>
      </w:r>
      <w:bookmarkEnd w:id="915"/>
    </w:p>
    <w:p w:rsidR="009223D1" w:rsidRPr="00AC4AEA" w:rsidRDefault="0061663F" w:rsidP="004B465E">
      <w:pPr>
        <w:pStyle w:val="A-Normal11"/>
        <w:numPr>
          <w:ilvl w:val="0"/>
          <w:numId w:val="188"/>
        </w:numPr>
        <w:ind w:left="1559" w:hanging="425"/>
        <w:jc w:val="both"/>
        <w:rPr>
          <w:rFonts w:ascii="Arial" w:hAnsi="Arial" w:cs="Arial"/>
          <w:sz w:val="20"/>
        </w:rPr>
      </w:pPr>
      <w:r w:rsidRPr="00AC4AEA">
        <w:rPr>
          <w:rFonts w:ascii="Arial" w:hAnsi="Arial" w:cs="Arial"/>
          <w:sz w:val="20"/>
        </w:rPr>
        <w:t xml:space="preserve">Presentación </w:t>
      </w:r>
      <w:r w:rsidR="005D38D5" w:rsidRPr="00AC4AEA">
        <w:rPr>
          <w:rFonts w:ascii="Arial" w:hAnsi="Arial" w:cs="Arial"/>
          <w:sz w:val="20"/>
        </w:rPr>
        <w:t>en términos reales</w:t>
      </w:r>
      <w:r w:rsidR="00390E36" w:rsidRPr="00AC4AEA">
        <w:rPr>
          <w:rFonts w:ascii="Arial" w:hAnsi="Arial" w:cs="Arial"/>
          <w:sz w:val="20"/>
        </w:rPr>
        <w:t>, distinguiendo</w:t>
      </w:r>
      <w:r w:rsidR="001E022C" w:rsidRPr="00AC4AEA">
        <w:rPr>
          <w:rFonts w:ascii="Arial" w:hAnsi="Arial" w:cs="Arial"/>
          <w:sz w:val="20"/>
        </w:rPr>
        <w:t>, entre otros</w:t>
      </w:r>
      <w:r w:rsidR="00390E36" w:rsidRPr="00AC4AEA">
        <w:rPr>
          <w:rFonts w:ascii="Arial" w:hAnsi="Arial" w:cs="Arial"/>
          <w:sz w:val="20"/>
        </w:rPr>
        <w:t>:</w:t>
      </w:r>
    </w:p>
    <w:p w:rsidR="009223D1" w:rsidRPr="00AC4AEA" w:rsidRDefault="000D2858" w:rsidP="00A318EA">
      <w:pPr>
        <w:pStyle w:val="Prrafodelista"/>
        <w:numPr>
          <w:ilvl w:val="0"/>
          <w:numId w:val="436"/>
        </w:numPr>
        <w:ind w:left="1985"/>
        <w:contextualSpacing w:val="0"/>
        <w:jc w:val="both"/>
        <w:rPr>
          <w:rFonts w:ascii="Arial" w:hAnsi="Arial" w:cs="Arial"/>
          <w:sz w:val="20"/>
          <w:szCs w:val="20"/>
        </w:rPr>
      </w:pPr>
      <w:r w:rsidRPr="00AC4AEA">
        <w:rPr>
          <w:rFonts w:ascii="Arial" w:hAnsi="Arial" w:cs="Arial"/>
          <w:sz w:val="20"/>
          <w:szCs w:val="20"/>
        </w:rPr>
        <w:t>intereses</w:t>
      </w:r>
      <w:r w:rsidR="009223D1" w:rsidRPr="00AC4AEA">
        <w:rPr>
          <w:rFonts w:ascii="Arial" w:hAnsi="Arial" w:cs="Arial"/>
          <w:sz w:val="20"/>
          <w:szCs w:val="20"/>
        </w:rPr>
        <w:t>;</w:t>
      </w:r>
      <w:r w:rsidRPr="00AC4AEA">
        <w:rPr>
          <w:rFonts w:ascii="Arial" w:hAnsi="Arial" w:cs="Arial"/>
          <w:sz w:val="20"/>
          <w:szCs w:val="20"/>
        </w:rPr>
        <w:t xml:space="preserve"> </w:t>
      </w:r>
    </w:p>
    <w:p w:rsidR="009223D1" w:rsidRPr="00AC4AEA" w:rsidRDefault="000D2858" w:rsidP="00A318EA">
      <w:pPr>
        <w:pStyle w:val="Prrafodelista"/>
        <w:numPr>
          <w:ilvl w:val="0"/>
          <w:numId w:val="436"/>
        </w:numPr>
        <w:ind w:left="1985"/>
        <w:contextualSpacing w:val="0"/>
        <w:jc w:val="both"/>
        <w:rPr>
          <w:rFonts w:ascii="Arial" w:hAnsi="Arial" w:cs="Arial"/>
          <w:sz w:val="20"/>
          <w:szCs w:val="20"/>
        </w:rPr>
      </w:pPr>
      <w:r w:rsidRPr="00AC4AEA">
        <w:rPr>
          <w:rFonts w:ascii="Arial" w:hAnsi="Arial" w:cs="Arial"/>
          <w:sz w:val="20"/>
          <w:szCs w:val="20"/>
        </w:rPr>
        <w:t xml:space="preserve">diferencias de cambio; </w:t>
      </w:r>
    </w:p>
    <w:p w:rsidR="00235A4B" w:rsidRPr="00AC4AEA" w:rsidRDefault="00235A4B" w:rsidP="00A318EA">
      <w:pPr>
        <w:pStyle w:val="Prrafodelista"/>
        <w:numPr>
          <w:ilvl w:val="0"/>
          <w:numId w:val="436"/>
        </w:numPr>
        <w:ind w:left="1985"/>
        <w:contextualSpacing w:val="0"/>
        <w:jc w:val="both"/>
        <w:rPr>
          <w:rFonts w:ascii="Arial" w:hAnsi="Arial" w:cs="Arial"/>
          <w:sz w:val="20"/>
          <w:szCs w:val="20"/>
        </w:rPr>
      </w:pPr>
      <w:r w:rsidRPr="00AC4AEA">
        <w:rPr>
          <w:rFonts w:ascii="Arial" w:hAnsi="Arial" w:cs="Arial"/>
          <w:sz w:val="20"/>
          <w:szCs w:val="20"/>
        </w:rPr>
        <w:t xml:space="preserve">otros resultados </w:t>
      </w:r>
      <w:r w:rsidR="001E022C" w:rsidRPr="00AC4AEA">
        <w:rPr>
          <w:rFonts w:ascii="Arial" w:hAnsi="Arial" w:cs="Arial"/>
          <w:sz w:val="20"/>
          <w:szCs w:val="20"/>
        </w:rPr>
        <w:t xml:space="preserve">financieros y </w:t>
      </w:r>
      <w:r w:rsidRPr="00AC4AEA">
        <w:rPr>
          <w:rFonts w:ascii="Arial" w:hAnsi="Arial" w:cs="Arial"/>
          <w:sz w:val="20"/>
          <w:szCs w:val="20"/>
        </w:rPr>
        <w:t>de tenencia; y</w:t>
      </w:r>
    </w:p>
    <w:p w:rsidR="009223D1" w:rsidRPr="00AC4AEA" w:rsidRDefault="000D2858" w:rsidP="00A318EA">
      <w:pPr>
        <w:pStyle w:val="Prrafodelista"/>
        <w:numPr>
          <w:ilvl w:val="0"/>
          <w:numId w:val="436"/>
        </w:numPr>
        <w:ind w:left="1985"/>
        <w:contextualSpacing w:val="0"/>
        <w:jc w:val="both"/>
        <w:rPr>
          <w:rFonts w:ascii="Arial" w:hAnsi="Arial" w:cs="Arial"/>
          <w:sz w:val="20"/>
          <w:szCs w:val="20"/>
        </w:rPr>
      </w:pPr>
      <w:r w:rsidRPr="00AC4AEA">
        <w:rPr>
          <w:rFonts w:ascii="Arial" w:hAnsi="Arial" w:cs="Arial"/>
          <w:sz w:val="20"/>
          <w:szCs w:val="20"/>
        </w:rPr>
        <w:t>resultados por cambios en el poder adquisitivo de la moneda</w:t>
      </w:r>
      <w:r w:rsidR="00235A4B" w:rsidRPr="00AC4AEA">
        <w:rPr>
          <w:rFonts w:ascii="Arial" w:hAnsi="Arial" w:cs="Arial"/>
          <w:sz w:val="20"/>
          <w:szCs w:val="20"/>
        </w:rPr>
        <w:t xml:space="preserve"> de </w:t>
      </w:r>
      <w:r w:rsidR="00C345C2" w:rsidRPr="00AC4AEA">
        <w:rPr>
          <w:rFonts w:ascii="Arial" w:hAnsi="Arial" w:cs="Arial"/>
          <w:sz w:val="20"/>
          <w:szCs w:val="20"/>
        </w:rPr>
        <w:t>las partidas monetarias que no generan los resultados referidos en los puntos precedentes</w:t>
      </w:r>
      <w:r w:rsidR="00235A4B" w:rsidRPr="00AC4AEA">
        <w:rPr>
          <w:rFonts w:ascii="Arial" w:hAnsi="Arial" w:cs="Arial"/>
          <w:sz w:val="20"/>
          <w:szCs w:val="20"/>
        </w:rPr>
        <w:t>.</w:t>
      </w:r>
    </w:p>
    <w:p w:rsidR="00527D41" w:rsidRPr="004B465E" w:rsidRDefault="00235A4B" w:rsidP="004B465E">
      <w:pPr>
        <w:pStyle w:val="A-Normal11"/>
        <w:numPr>
          <w:ilvl w:val="0"/>
          <w:numId w:val="188"/>
        </w:numPr>
        <w:ind w:left="1559" w:hanging="425"/>
        <w:jc w:val="both"/>
        <w:rPr>
          <w:rFonts w:ascii="Arial" w:hAnsi="Arial" w:cs="Arial"/>
          <w:sz w:val="20"/>
        </w:rPr>
      </w:pPr>
      <w:r w:rsidRPr="00AC4AEA">
        <w:rPr>
          <w:rFonts w:ascii="Arial" w:hAnsi="Arial" w:cs="Arial"/>
          <w:sz w:val="20"/>
        </w:rPr>
        <w:t xml:space="preserve">Presentación de cada componente </w:t>
      </w:r>
      <w:r w:rsidR="00A9032C" w:rsidRPr="00AC4AEA">
        <w:rPr>
          <w:rFonts w:ascii="Arial" w:hAnsi="Arial" w:cs="Arial"/>
          <w:sz w:val="20"/>
        </w:rPr>
        <w:t>por el importe que surja de multiplicar el valor nominal por el coeficiente correspondiente para expresarlos en moneda de cierre</w:t>
      </w:r>
      <w:r w:rsidRPr="00AC4AEA">
        <w:rPr>
          <w:rFonts w:ascii="Arial" w:hAnsi="Arial" w:cs="Arial"/>
          <w:sz w:val="20"/>
        </w:rPr>
        <w:t>, distinguiendo</w:t>
      </w:r>
      <w:r w:rsidR="001E022C" w:rsidRPr="00AC4AEA">
        <w:rPr>
          <w:rFonts w:ascii="Arial" w:hAnsi="Arial" w:cs="Arial"/>
          <w:sz w:val="20"/>
        </w:rPr>
        <w:t>, entre otros</w:t>
      </w:r>
      <w:r w:rsidRPr="00AC4AEA">
        <w:rPr>
          <w:rFonts w:ascii="Arial" w:hAnsi="Arial" w:cs="Arial"/>
          <w:sz w:val="20"/>
        </w:rPr>
        <w:t>:</w:t>
      </w:r>
    </w:p>
    <w:p w:rsidR="00235A4B" w:rsidRPr="00AC4AEA" w:rsidRDefault="00235A4B" w:rsidP="00A318EA">
      <w:pPr>
        <w:pStyle w:val="Prrafodelista"/>
        <w:numPr>
          <w:ilvl w:val="0"/>
          <w:numId w:val="437"/>
        </w:numPr>
        <w:ind w:left="1985"/>
        <w:contextualSpacing w:val="0"/>
        <w:jc w:val="both"/>
        <w:rPr>
          <w:rFonts w:ascii="Arial" w:hAnsi="Arial" w:cs="Arial"/>
          <w:sz w:val="20"/>
          <w:szCs w:val="20"/>
        </w:rPr>
      </w:pPr>
      <w:bookmarkStart w:id="916" w:name="_Toc101864003"/>
      <w:r w:rsidRPr="00AC4AEA">
        <w:rPr>
          <w:rFonts w:ascii="Arial" w:hAnsi="Arial" w:cs="Arial"/>
          <w:sz w:val="20"/>
          <w:szCs w:val="20"/>
        </w:rPr>
        <w:t xml:space="preserve">intereses; </w:t>
      </w:r>
    </w:p>
    <w:p w:rsidR="00235A4B" w:rsidRPr="00AC4AEA" w:rsidRDefault="00235A4B" w:rsidP="00A318EA">
      <w:pPr>
        <w:pStyle w:val="Prrafodelista"/>
        <w:numPr>
          <w:ilvl w:val="0"/>
          <w:numId w:val="437"/>
        </w:numPr>
        <w:ind w:left="1985"/>
        <w:contextualSpacing w:val="0"/>
        <w:jc w:val="both"/>
        <w:rPr>
          <w:rFonts w:ascii="Arial" w:hAnsi="Arial" w:cs="Arial"/>
          <w:sz w:val="20"/>
          <w:szCs w:val="20"/>
        </w:rPr>
      </w:pPr>
      <w:r w:rsidRPr="00AC4AEA">
        <w:rPr>
          <w:rFonts w:ascii="Arial" w:hAnsi="Arial" w:cs="Arial"/>
          <w:sz w:val="20"/>
          <w:szCs w:val="20"/>
        </w:rPr>
        <w:t xml:space="preserve">diferencias de cambio; </w:t>
      </w:r>
    </w:p>
    <w:p w:rsidR="00235A4B" w:rsidRPr="00AC4AEA" w:rsidRDefault="00235A4B" w:rsidP="00A318EA">
      <w:pPr>
        <w:pStyle w:val="Prrafodelista"/>
        <w:numPr>
          <w:ilvl w:val="0"/>
          <w:numId w:val="437"/>
        </w:numPr>
        <w:ind w:left="1985"/>
        <w:contextualSpacing w:val="0"/>
        <w:jc w:val="both"/>
        <w:rPr>
          <w:rFonts w:ascii="Arial" w:hAnsi="Arial" w:cs="Arial"/>
          <w:sz w:val="20"/>
          <w:szCs w:val="20"/>
        </w:rPr>
      </w:pPr>
      <w:r w:rsidRPr="00AC4AEA">
        <w:rPr>
          <w:rFonts w:ascii="Arial" w:hAnsi="Arial" w:cs="Arial"/>
          <w:sz w:val="20"/>
          <w:szCs w:val="20"/>
        </w:rPr>
        <w:t xml:space="preserve">otros resultados </w:t>
      </w:r>
      <w:r w:rsidR="001E022C" w:rsidRPr="00AC4AEA">
        <w:rPr>
          <w:rFonts w:ascii="Arial" w:hAnsi="Arial" w:cs="Arial"/>
          <w:sz w:val="20"/>
          <w:szCs w:val="20"/>
        </w:rPr>
        <w:t>financieros</w:t>
      </w:r>
      <w:r w:rsidR="00EF6B89" w:rsidRPr="00AC4AEA">
        <w:rPr>
          <w:rFonts w:ascii="Arial" w:hAnsi="Arial" w:cs="Arial"/>
          <w:sz w:val="20"/>
          <w:szCs w:val="20"/>
        </w:rPr>
        <w:t>;</w:t>
      </w:r>
      <w:r w:rsidRPr="00AC4AEA">
        <w:rPr>
          <w:rFonts w:ascii="Arial" w:hAnsi="Arial" w:cs="Arial"/>
          <w:sz w:val="20"/>
          <w:szCs w:val="20"/>
        </w:rPr>
        <w:t xml:space="preserve"> y</w:t>
      </w:r>
    </w:p>
    <w:p w:rsidR="00235A4B" w:rsidRPr="00AC4AEA" w:rsidRDefault="00235A4B" w:rsidP="00A318EA">
      <w:pPr>
        <w:pStyle w:val="Prrafodelista"/>
        <w:numPr>
          <w:ilvl w:val="0"/>
          <w:numId w:val="437"/>
        </w:numPr>
        <w:ind w:left="1985"/>
        <w:contextualSpacing w:val="0"/>
        <w:jc w:val="both"/>
        <w:rPr>
          <w:rFonts w:ascii="Arial" w:hAnsi="Arial" w:cs="Arial"/>
          <w:sz w:val="20"/>
          <w:szCs w:val="20"/>
        </w:rPr>
      </w:pPr>
      <w:r w:rsidRPr="00AC4AEA">
        <w:rPr>
          <w:rFonts w:ascii="Arial" w:hAnsi="Arial" w:cs="Arial"/>
          <w:sz w:val="20"/>
          <w:szCs w:val="20"/>
        </w:rPr>
        <w:t>resultados por cambios en el poder adquisitivo de la moneda</w:t>
      </w:r>
      <w:r w:rsidR="00C345C2" w:rsidRPr="00AC4AEA">
        <w:rPr>
          <w:rFonts w:ascii="Arial" w:hAnsi="Arial" w:cs="Arial"/>
          <w:sz w:val="20"/>
          <w:szCs w:val="20"/>
        </w:rPr>
        <w:t>.</w:t>
      </w:r>
    </w:p>
    <w:p w:rsidR="006C1751" w:rsidRPr="00AC4AEA" w:rsidRDefault="006C1751" w:rsidP="00A318EA">
      <w:pPr>
        <w:pStyle w:val="A-Normal11"/>
        <w:jc w:val="both"/>
        <w:rPr>
          <w:rFonts w:ascii="Arial" w:hAnsi="Arial" w:cs="Arial"/>
          <w:sz w:val="20"/>
        </w:rPr>
      </w:pPr>
    </w:p>
    <w:p w:rsidR="006C1751" w:rsidRPr="00AC4AEA" w:rsidRDefault="006C1751" w:rsidP="00A318EA">
      <w:pPr>
        <w:pStyle w:val="Ttulo2"/>
        <w:rPr>
          <w:rFonts w:cs="Arial"/>
        </w:rPr>
      </w:pPr>
      <w:bookmarkStart w:id="917" w:name="_Toc139356901"/>
      <w:r w:rsidRPr="00AC4AEA">
        <w:rPr>
          <w:rFonts w:cs="Arial"/>
        </w:rPr>
        <w:t xml:space="preserve">Presentación </w:t>
      </w:r>
      <w:r w:rsidR="004164F5" w:rsidRPr="00AC4AEA">
        <w:rPr>
          <w:rFonts w:cs="Arial"/>
        </w:rPr>
        <w:t xml:space="preserve">de resultados </w:t>
      </w:r>
      <w:r w:rsidR="00716CFE" w:rsidRPr="00AC4AEA">
        <w:rPr>
          <w:rFonts w:cs="Arial"/>
        </w:rPr>
        <w:t>procedentes de</w:t>
      </w:r>
      <w:r w:rsidR="004164F5" w:rsidRPr="00AC4AEA">
        <w:rPr>
          <w:rFonts w:cs="Arial"/>
        </w:rPr>
        <w:t xml:space="preserve"> actividad</w:t>
      </w:r>
      <w:r w:rsidR="00716CFE" w:rsidRPr="00AC4AEA">
        <w:rPr>
          <w:rFonts w:cs="Arial"/>
        </w:rPr>
        <w:t>es u operaciones</w:t>
      </w:r>
      <w:r w:rsidR="004164F5" w:rsidRPr="00AC4AEA">
        <w:rPr>
          <w:rFonts w:cs="Arial"/>
        </w:rPr>
        <w:t xml:space="preserve"> discontinuada</w:t>
      </w:r>
      <w:r w:rsidR="00716CFE" w:rsidRPr="00AC4AEA">
        <w:rPr>
          <w:rFonts w:cs="Arial"/>
        </w:rPr>
        <w:t>s (o en discontinuación)</w:t>
      </w:r>
      <w:bookmarkEnd w:id="917"/>
    </w:p>
    <w:p w:rsidR="005D2110" w:rsidRPr="00AC4AEA" w:rsidRDefault="005D2110" w:rsidP="00A318EA">
      <w:pPr>
        <w:pStyle w:val="Prrafodelista"/>
        <w:numPr>
          <w:ilvl w:val="0"/>
          <w:numId w:val="29"/>
        </w:numPr>
        <w:contextualSpacing w:val="0"/>
        <w:jc w:val="both"/>
        <w:rPr>
          <w:rFonts w:ascii="Arial" w:hAnsi="Arial" w:cs="Arial"/>
          <w:b/>
          <w:caps/>
          <w:sz w:val="20"/>
          <w:szCs w:val="20"/>
          <w:lang w:eastAsia="es-ES"/>
        </w:rPr>
      </w:pPr>
      <w:bookmarkStart w:id="918" w:name="_Ref103716599"/>
      <w:r w:rsidRPr="00AC4AEA">
        <w:rPr>
          <w:rFonts w:ascii="Arial" w:hAnsi="Arial" w:cs="Arial"/>
          <w:sz w:val="20"/>
          <w:szCs w:val="20"/>
          <w:lang w:eastAsia="es-ES"/>
        </w:rPr>
        <w:t xml:space="preserve">A los efectos de la </w:t>
      </w:r>
      <w:r w:rsidR="006F15B1" w:rsidRPr="00AC4AEA">
        <w:rPr>
          <w:rFonts w:ascii="Arial" w:hAnsi="Arial" w:cs="Arial"/>
          <w:sz w:val="20"/>
          <w:szCs w:val="20"/>
          <w:lang w:eastAsia="es-ES"/>
        </w:rPr>
        <w:t>exposición</w:t>
      </w:r>
      <w:r w:rsidRPr="00AC4AEA">
        <w:rPr>
          <w:rFonts w:ascii="Arial" w:hAnsi="Arial" w:cs="Arial"/>
          <w:sz w:val="20"/>
          <w:szCs w:val="20"/>
          <w:lang w:eastAsia="es-ES"/>
        </w:rPr>
        <w:t xml:space="preserve"> de l</w:t>
      </w:r>
      <w:r w:rsidR="006F15B1" w:rsidRPr="00AC4AEA">
        <w:rPr>
          <w:rFonts w:ascii="Arial" w:hAnsi="Arial" w:cs="Arial"/>
          <w:sz w:val="20"/>
          <w:szCs w:val="20"/>
          <w:lang w:eastAsia="es-ES"/>
        </w:rPr>
        <w:t>os</w:t>
      </w:r>
      <w:r w:rsidRPr="00AC4AEA">
        <w:rPr>
          <w:rFonts w:ascii="Arial" w:hAnsi="Arial" w:cs="Arial"/>
          <w:sz w:val="20"/>
          <w:szCs w:val="20"/>
          <w:lang w:eastAsia="es-ES"/>
        </w:rPr>
        <w:t xml:space="preserve"> </w:t>
      </w:r>
      <w:r w:rsidR="006F15B1" w:rsidRPr="00AC4AEA">
        <w:rPr>
          <w:rFonts w:ascii="Arial" w:hAnsi="Arial" w:cs="Arial"/>
          <w:sz w:val="20"/>
          <w:szCs w:val="20"/>
          <w:lang w:eastAsia="es-ES"/>
        </w:rPr>
        <w:t>resultados procedentes de</w:t>
      </w:r>
      <w:r w:rsidRPr="00AC4AEA">
        <w:rPr>
          <w:rFonts w:ascii="Arial" w:hAnsi="Arial" w:cs="Arial"/>
          <w:sz w:val="20"/>
          <w:szCs w:val="20"/>
          <w:lang w:eastAsia="es-ES"/>
        </w:rPr>
        <w:t xml:space="preserve"> </w:t>
      </w:r>
      <w:r w:rsidR="00D76296" w:rsidRPr="00AC4AEA">
        <w:rPr>
          <w:rFonts w:ascii="Arial" w:hAnsi="Arial" w:cs="Arial"/>
          <w:sz w:val="20"/>
          <w:szCs w:val="20"/>
          <w:lang w:eastAsia="es-ES"/>
        </w:rPr>
        <w:t xml:space="preserve">actividades u </w:t>
      </w:r>
      <w:r w:rsidRPr="00AC4AEA">
        <w:rPr>
          <w:rFonts w:ascii="Arial" w:hAnsi="Arial" w:cs="Arial"/>
          <w:sz w:val="20"/>
          <w:szCs w:val="20"/>
          <w:lang w:eastAsia="es-ES"/>
        </w:rPr>
        <w:t>operaciones d</w:t>
      </w:r>
      <w:r w:rsidR="000E5AC3" w:rsidRPr="00AC4AEA">
        <w:rPr>
          <w:rFonts w:ascii="Arial" w:hAnsi="Arial" w:cs="Arial"/>
          <w:sz w:val="20"/>
          <w:szCs w:val="20"/>
          <w:lang w:eastAsia="es-ES"/>
        </w:rPr>
        <w:t>i</w:t>
      </w:r>
      <w:r w:rsidRPr="00AC4AEA">
        <w:rPr>
          <w:rFonts w:ascii="Arial" w:hAnsi="Arial" w:cs="Arial"/>
          <w:sz w:val="20"/>
          <w:szCs w:val="20"/>
          <w:lang w:eastAsia="es-ES"/>
        </w:rPr>
        <w:t xml:space="preserve">scontinuadas </w:t>
      </w:r>
      <w:r w:rsidR="00D76296" w:rsidRPr="00AC4AEA">
        <w:rPr>
          <w:rFonts w:ascii="Arial" w:hAnsi="Arial" w:cs="Arial"/>
          <w:sz w:val="20"/>
          <w:szCs w:val="20"/>
          <w:lang w:eastAsia="es-ES"/>
        </w:rPr>
        <w:t>(</w:t>
      </w:r>
      <w:r w:rsidRPr="00AC4AEA">
        <w:rPr>
          <w:rFonts w:ascii="Arial" w:hAnsi="Arial" w:cs="Arial"/>
          <w:sz w:val="20"/>
          <w:szCs w:val="20"/>
          <w:lang w:eastAsia="es-ES"/>
        </w:rPr>
        <w:t>o en d</w:t>
      </w:r>
      <w:r w:rsidR="000E5AC3" w:rsidRPr="00AC4AEA">
        <w:rPr>
          <w:rFonts w:ascii="Arial" w:hAnsi="Arial" w:cs="Arial"/>
          <w:sz w:val="20"/>
          <w:szCs w:val="20"/>
          <w:lang w:eastAsia="es-ES"/>
        </w:rPr>
        <w:t>i</w:t>
      </w:r>
      <w:r w:rsidRPr="00AC4AEA">
        <w:rPr>
          <w:rFonts w:ascii="Arial" w:hAnsi="Arial" w:cs="Arial"/>
          <w:sz w:val="20"/>
          <w:szCs w:val="20"/>
          <w:lang w:eastAsia="es-ES"/>
        </w:rPr>
        <w:t>scontinuación</w:t>
      </w:r>
      <w:r w:rsidR="00D76296" w:rsidRPr="00AC4AEA">
        <w:rPr>
          <w:rFonts w:ascii="Arial" w:hAnsi="Arial" w:cs="Arial"/>
          <w:sz w:val="20"/>
          <w:szCs w:val="20"/>
          <w:lang w:eastAsia="es-ES"/>
        </w:rPr>
        <w:t>),</w:t>
      </w:r>
      <w:r w:rsidRPr="00AC4AEA">
        <w:rPr>
          <w:rFonts w:ascii="Arial" w:hAnsi="Arial" w:cs="Arial"/>
          <w:sz w:val="20"/>
          <w:szCs w:val="20"/>
          <w:lang w:eastAsia="es-ES"/>
        </w:rPr>
        <w:t xml:space="preserve"> </w:t>
      </w:r>
      <w:r w:rsidR="0000706C" w:rsidRPr="00AC4AEA">
        <w:rPr>
          <w:rFonts w:ascii="Arial" w:hAnsi="Arial" w:cs="Arial"/>
          <w:sz w:val="20"/>
          <w:szCs w:val="20"/>
          <w:lang w:eastAsia="es-ES"/>
        </w:rPr>
        <w:t>una entidad</w:t>
      </w:r>
      <w:r w:rsidRPr="00AC4AEA">
        <w:rPr>
          <w:rFonts w:ascii="Arial" w:hAnsi="Arial" w:cs="Arial"/>
          <w:sz w:val="20"/>
          <w:szCs w:val="20"/>
          <w:lang w:eastAsia="es-ES"/>
        </w:rPr>
        <w:t xml:space="preserve"> considera</w:t>
      </w:r>
      <w:r w:rsidR="0000706C" w:rsidRPr="00AC4AEA">
        <w:rPr>
          <w:rFonts w:ascii="Arial" w:hAnsi="Arial" w:cs="Arial"/>
          <w:sz w:val="20"/>
          <w:szCs w:val="20"/>
          <w:lang w:eastAsia="es-ES"/>
        </w:rPr>
        <w:t>rá</w:t>
      </w:r>
      <w:r w:rsidRPr="00AC4AEA">
        <w:rPr>
          <w:rFonts w:ascii="Arial" w:hAnsi="Arial" w:cs="Arial"/>
          <w:sz w:val="20"/>
          <w:szCs w:val="20"/>
          <w:lang w:eastAsia="es-ES"/>
        </w:rPr>
        <w:t xml:space="preserve"> </w:t>
      </w:r>
      <w:r w:rsidR="00D76296" w:rsidRPr="00AC4AEA">
        <w:rPr>
          <w:rFonts w:ascii="Arial" w:hAnsi="Arial" w:cs="Arial"/>
          <w:sz w:val="20"/>
          <w:szCs w:val="20"/>
          <w:lang w:eastAsia="es-ES"/>
        </w:rPr>
        <w:t>que</w:t>
      </w:r>
      <w:r w:rsidRPr="00AC4AEA">
        <w:rPr>
          <w:rFonts w:ascii="Arial" w:hAnsi="Arial" w:cs="Arial"/>
          <w:sz w:val="20"/>
          <w:szCs w:val="20"/>
          <w:lang w:eastAsia="es-ES"/>
        </w:rPr>
        <w:t xml:space="preserve"> un componente cumple </w:t>
      </w:r>
      <w:r w:rsidR="00D76296" w:rsidRPr="00AC4AEA">
        <w:rPr>
          <w:rFonts w:ascii="Arial" w:hAnsi="Arial" w:cs="Arial"/>
          <w:sz w:val="20"/>
          <w:szCs w:val="20"/>
          <w:lang w:eastAsia="es-ES"/>
        </w:rPr>
        <w:t xml:space="preserve">la condición de actividad u operación discontinuada </w:t>
      </w:r>
      <w:r w:rsidR="00716CFE" w:rsidRPr="00AC4AEA">
        <w:rPr>
          <w:rFonts w:ascii="Arial" w:hAnsi="Arial" w:cs="Arial"/>
          <w:sz w:val="20"/>
          <w:szCs w:val="20"/>
          <w:lang w:eastAsia="es-ES"/>
        </w:rPr>
        <w:t xml:space="preserve">(o en descontinuación) </w:t>
      </w:r>
      <w:r w:rsidR="00D76296" w:rsidRPr="00AC4AEA">
        <w:rPr>
          <w:rFonts w:ascii="Arial" w:hAnsi="Arial" w:cs="Arial"/>
          <w:sz w:val="20"/>
          <w:szCs w:val="20"/>
          <w:lang w:eastAsia="es-ES"/>
        </w:rPr>
        <w:t>cuando</w:t>
      </w:r>
      <w:r w:rsidRPr="00AC4AEA">
        <w:rPr>
          <w:rFonts w:ascii="Arial" w:hAnsi="Arial" w:cs="Arial"/>
          <w:sz w:val="20"/>
          <w:szCs w:val="20"/>
          <w:lang w:eastAsia="es-ES"/>
        </w:rPr>
        <w:t>:</w:t>
      </w:r>
      <w:bookmarkEnd w:id="918"/>
    </w:p>
    <w:p w:rsidR="005D2110" w:rsidRPr="00AC4AEA" w:rsidRDefault="0000706C" w:rsidP="004B465E">
      <w:pPr>
        <w:pStyle w:val="A-Normal11"/>
        <w:numPr>
          <w:ilvl w:val="0"/>
          <w:numId w:val="382"/>
        </w:numPr>
        <w:ind w:left="1559" w:hanging="425"/>
        <w:jc w:val="both"/>
        <w:rPr>
          <w:rFonts w:ascii="Arial" w:hAnsi="Arial" w:cs="Arial"/>
          <w:sz w:val="20"/>
        </w:rPr>
      </w:pPr>
      <w:r w:rsidRPr="00AC4AEA">
        <w:rPr>
          <w:rFonts w:ascii="Arial" w:hAnsi="Arial" w:cs="Arial"/>
          <w:sz w:val="20"/>
        </w:rPr>
        <w:lastRenderedPageBreak/>
        <w:t>la entidad</w:t>
      </w:r>
      <w:r w:rsidR="005D2110" w:rsidRPr="00AC4AEA">
        <w:rPr>
          <w:rFonts w:ascii="Arial" w:hAnsi="Arial" w:cs="Arial"/>
          <w:sz w:val="20"/>
        </w:rPr>
        <w:t xml:space="preserve"> ha resuelto venderlo en conjunto o por partes, escindirlo o abandonarlo, sea totalmente o en una parte sustancial, según surge de:</w:t>
      </w:r>
    </w:p>
    <w:p w:rsidR="003B16A8" w:rsidRPr="00AC4AEA" w:rsidRDefault="00C345C2" w:rsidP="004B465E">
      <w:pPr>
        <w:pStyle w:val="A-Normal11"/>
        <w:numPr>
          <w:ilvl w:val="2"/>
          <w:numId w:val="382"/>
        </w:numPr>
        <w:ind w:left="2239" w:hanging="425"/>
        <w:jc w:val="both"/>
        <w:rPr>
          <w:rFonts w:ascii="Arial" w:hAnsi="Arial" w:cs="Arial"/>
          <w:sz w:val="20"/>
        </w:rPr>
      </w:pPr>
      <w:r w:rsidRPr="00AC4AEA">
        <w:rPr>
          <w:rFonts w:ascii="Arial" w:hAnsi="Arial" w:cs="Arial"/>
          <w:sz w:val="20"/>
        </w:rPr>
        <w:t xml:space="preserve"> </w:t>
      </w:r>
      <w:r w:rsidR="005D2110" w:rsidRPr="00AC4AEA">
        <w:rPr>
          <w:rFonts w:ascii="Arial" w:hAnsi="Arial" w:cs="Arial"/>
          <w:sz w:val="20"/>
        </w:rPr>
        <w:t xml:space="preserve">un plan detallado, aprobado por el órgano administrador y anunciado al público, o </w:t>
      </w:r>
    </w:p>
    <w:p w:rsidR="005D2110" w:rsidRPr="00AC4AEA" w:rsidRDefault="005D2110" w:rsidP="004B465E">
      <w:pPr>
        <w:pStyle w:val="A-Normal11"/>
        <w:numPr>
          <w:ilvl w:val="2"/>
          <w:numId w:val="382"/>
        </w:numPr>
        <w:ind w:left="2239" w:hanging="425"/>
        <w:jc w:val="both"/>
        <w:rPr>
          <w:rFonts w:ascii="Arial" w:hAnsi="Arial" w:cs="Arial"/>
          <w:sz w:val="20"/>
        </w:rPr>
      </w:pPr>
      <w:r w:rsidRPr="00AC4AEA">
        <w:rPr>
          <w:rFonts w:ascii="Arial" w:hAnsi="Arial" w:cs="Arial"/>
          <w:sz w:val="20"/>
        </w:rPr>
        <w:t xml:space="preserve">hechos concretos, como la asunción de un compromiso de venta de la totalidad de los </w:t>
      </w:r>
      <w:r w:rsidR="00497590" w:rsidRPr="00AC4AEA">
        <w:rPr>
          <w:rFonts w:ascii="Arial" w:hAnsi="Arial" w:cs="Arial"/>
          <w:sz w:val="20"/>
        </w:rPr>
        <w:t>activos</w:t>
      </w:r>
      <w:r w:rsidRPr="00AC4AEA">
        <w:rPr>
          <w:rFonts w:ascii="Arial" w:hAnsi="Arial" w:cs="Arial"/>
          <w:sz w:val="20"/>
        </w:rPr>
        <w:t xml:space="preserve"> del segmento o de una parte sustancial de ellos;</w:t>
      </w:r>
    </w:p>
    <w:p w:rsidR="005D2110" w:rsidRPr="00AC4AEA" w:rsidRDefault="005D2110" w:rsidP="004B465E">
      <w:pPr>
        <w:pStyle w:val="A-Normal11"/>
        <w:numPr>
          <w:ilvl w:val="0"/>
          <w:numId w:val="382"/>
        </w:numPr>
        <w:ind w:left="1559" w:hanging="425"/>
        <w:jc w:val="both"/>
        <w:rPr>
          <w:rFonts w:ascii="Arial" w:hAnsi="Arial" w:cs="Arial"/>
          <w:sz w:val="20"/>
        </w:rPr>
      </w:pPr>
      <w:r w:rsidRPr="00AC4AEA">
        <w:rPr>
          <w:rFonts w:ascii="Arial" w:hAnsi="Arial" w:cs="Arial"/>
          <w:sz w:val="20"/>
        </w:rPr>
        <w:t>constituye una línea separada de negocios o un área geográfica de operaciones; y</w:t>
      </w:r>
    </w:p>
    <w:p w:rsidR="005D2110" w:rsidRPr="00AC4AEA" w:rsidRDefault="005D2110" w:rsidP="004B465E">
      <w:pPr>
        <w:pStyle w:val="A-Normal11"/>
        <w:numPr>
          <w:ilvl w:val="0"/>
          <w:numId w:val="382"/>
        </w:numPr>
        <w:ind w:left="1559" w:hanging="425"/>
        <w:jc w:val="both"/>
        <w:rPr>
          <w:rFonts w:ascii="Arial" w:hAnsi="Arial" w:cs="Arial"/>
          <w:sz w:val="20"/>
        </w:rPr>
      </w:pPr>
      <w:r w:rsidRPr="00AC4AEA">
        <w:rPr>
          <w:rFonts w:ascii="Arial" w:hAnsi="Arial" w:cs="Arial"/>
          <w:sz w:val="20"/>
        </w:rPr>
        <w:t>puede ser distinguido tanto a los fines operativos como de preparación de información contable.</w:t>
      </w:r>
    </w:p>
    <w:p w:rsidR="005D2110" w:rsidRPr="00AC4AEA" w:rsidRDefault="005D2110" w:rsidP="00A318EA">
      <w:pPr>
        <w:pStyle w:val="A-Normal11"/>
        <w:numPr>
          <w:ilvl w:val="0"/>
          <w:numId w:val="29"/>
        </w:numPr>
        <w:jc w:val="both"/>
        <w:rPr>
          <w:rFonts w:ascii="Arial" w:hAnsi="Arial" w:cs="Arial"/>
          <w:sz w:val="20"/>
        </w:rPr>
      </w:pPr>
      <w:r w:rsidRPr="00AC4AEA">
        <w:rPr>
          <w:rFonts w:ascii="Arial" w:hAnsi="Arial" w:cs="Arial"/>
          <w:sz w:val="20"/>
        </w:rPr>
        <w:t>Las siguientes actividades, por sí solas, no satisfacen el criterio establecido en el inciso a)</w:t>
      </w:r>
      <w:r w:rsidR="00E87F23" w:rsidRPr="00AC4AEA">
        <w:rPr>
          <w:rFonts w:ascii="Arial" w:hAnsi="Arial" w:cs="Arial"/>
          <w:sz w:val="20"/>
        </w:rPr>
        <w:t xml:space="preserve"> del párrafo anterior</w:t>
      </w:r>
      <w:r w:rsidRPr="00AC4AEA">
        <w:rPr>
          <w:rFonts w:ascii="Arial" w:hAnsi="Arial" w:cs="Arial"/>
          <w:sz w:val="20"/>
        </w:rPr>
        <w:t>:</w:t>
      </w:r>
    </w:p>
    <w:p w:rsidR="005D2110" w:rsidRPr="00AC4AEA" w:rsidRDefault="009C1677" w:rsidP="004B465E">
      <w:pPr>
        <w:pStyle w:val="A-Normal11"/>
        <w:numPr>
          <w:ilvl w:val="0"/>
          <w:numId w:val="370"/>
        </w:numPr>
        <w:ind w:left="1559"/>
        <w:jc w:val="both"/>
        <w:rPr>
          <w:rFonts w:ascii="Arial" w:hAnsi="Arial" w:cs="Arial"/>
          <w:sz w:val="20"/>
        </w:rPr>
      </w:pPr>
      <w:r w:rsidRPr="00AC4AEA">
        <w:rPr>
          <w:rFonts w:ascii="Arial" w:hAnsi="Arial" w:cs="Arial"/>
          <w:sz w:val="20"/>
        </w:rPr>
        <w:t>L</w:t>
      </w:r>
      <w:r w:rsidR="00C66BB9" w:rsidRPr="00AC4AEA">
        <w:rPr>
          <w:rFonts w:ascii="Arial" w:hAnsi="Arial" w:cs="Arial"/>
          <w:sz w:val="20"/>
        </w:rPr>
        <w:t xml:space="preserve">a </w:t>
      </w:r>
      <w:r w:rsidR="005D2110" w:rsidRPr="00AC4AEA">
        <w:rPr>
          <w:rFonts w:ascii="Arial" w:hAnsi="Arial" w:cs="Arial"/>
          <w:sz w:val="20"/>
        </w:rPr>
        <w:t>retirada gradual de una línea de productos o servicios</w:t>
      </w:r>
      <w:r w:rsidRPr="00AC4AEA">
        <w:rPr>
          <w:rFonts w:ascii="Arial" w:hAnsi="Arial" w:cs="Arial"/>
          <w:sz w:val="20"/>
        </w:rPr>
        <w:t>.</w:t>
      </w:r>
    </w:p>
    <w:p w:rsidR="005D2110" w:rsidRPr="00AC4AEA" w:rsidRDefault="009C1677" w:rsidP="004B465E">
      <w:pPr>
        <w:pStyle w:val="A-Normal11"/>
        <w:numPr>
          <w:ilvl w:val="0"/>
          <w:numId w:val="370"/>
        </w:numPr>
        <w:ind w:left="1559"/>
        <w:jc w:val="both"/>
        <w:rPr>
          <w:rFonts w:ascii="Arial" w:hAnsi="Arial" w:cs="Arial"/>
          <w:sz w:val="20"/>
        </w:rPr>
      </w:pPr>
      <w:r w:rsidRPr="00AC4AEA">
        <w:rPr>
          <w:rFonts w:ascii="Arial" w:hAnsi="Arial" w:cs="Arial"/>
          <w:sz w:val="20"/>
        </w:rPr>
        <w:t>L</w:t>
      </w:r>
      <w:r w:rsidR="00C66BB9" w:rsidRPr="00AC4AEA">
        <w:rPr>
          <w:rFonts w:ascii="Arial" w:hAnsi="Arial" w:cs="Arial"/>
          <w:sz w:val="20"/>
        </w:rPr>
        <w:t xml:space="preserve">a </w:t>
      </w:r>
      <w:r w:rsidR="005D2110" w:rsidRPr="00AC4AEA">
        <w:rPr>
          <w:rFonts w:ascii="Arial" w:hAnsi="Arial" w:cs="Arial"/>
          <w:sz w:val="20"/>
        </w:rPr>
        <w:t>paralización de la producción o venta de varios productos dentro de una línea de actividad en marcha</w:t>
      </w:r>
      <w:r w:rsidRPr="00AC4AEA">
        <w:rPr>
          <w:rFonts w:ascii="Arial" w:hAnsi="Arial" w:cs="Arial"/>
          <w:sz w:val="20"/>
        </w:rPr>
        <w:t>.</w:t>
      </w:r>
    </w:p>
    <w:p w:rsidR="005D2110" w:rsidRPr="00AC4AEA" w:rsidRDefault="000C2760" w:rsidP="004B465E">
      <w:pPr>
        <w:pStyle w:val="A-Normal11"/>
        <w:numPr>
          <w:ilvl w:val="0"/>
          <w:numId w:val="370"/>
        </w:numPr>
        <w:ind w:left="1559"/>
        <w:jc w:val="both"/>
        <w:rPr>
          <w:rFonts w:ascii="Arial" w:hAnsi="Arial" w:cs="Arial"/>
          <w:sz w:val="20"/>
        </w:rPr>
      </w:pPr>
      <w:r w:rsidRPr="00AC4AEA">
        <w:rPr>
          <w:rFonts w:ascii="Arial" w:hAnsi="Arial" w:cs="Arial"/>
          <w:sz w:val="20"/>
        </w:rPr>
        <w:t>Los cambios</w:t>
      </w:r>
      <w:r w:rsidR="005D2110" w:rsidRPr="00AC4AEA">
        <w:rPr>
          <w:rFonts w:ascii="Arial" w:hAnsi="Arial" w:cs="Arial"/>
          <w:sz w:val="20"/>
        </w:rPr>
        <w:t xml:space="preserve"> de un lugar a otro de las actividades de producción o comercialización de una línea de actividad determinada</w:t>
      </w:r>
      <w:r w:rsidR="009C1677" w:rsidRPr="00AC4AEA">
        <w:rPr>
          <w:rFonts w:ascii="Arial" w:hAnsi="Arial" w:cs="Arial"/>
          <w:sz w:val="20"/>
        </w:rPr>
        <w:t>.</w:t>
      </w:r>
    </w:p>
    <w:p w:rsidR="005D2110" w:rsidRPr="00AC4AEA" w:rsidRDefault="009C1677" w:rsidP="004B465E">
      <w:pPr>
        <w:pStyle w:val="A-Normal11"/>
        <w:numPr>
          <w:ilvl w:val="0"/>
          <w:numId w:val="370"/>
        </w:numPr>
        <w:ind w:left="1559"/>
        <w:jc w:val="both"/>
        <w:rPr>
          <w:rFonts w:ascii="Arial" w:hAnsi="Arial" w:cs="Arial"/>
          <w:sz w:val="20"/>
        </w:rPr>
      </w:pPr>
      <w:r w:rsidRPr="00AC4AEA">
        <w:rPr>
          <w:rFonts w:ascii="Arial" w:hAnsi="Arial" w:cs="Arial"/>
          <w:sz w:val="20"/>
        </w:rPr>
        <w:t>E</w:t>
      </w:r>
      <w:r w:rsidR="00C66BB9" w:rsidRPr="00AC4AEA">
        <w:rPr>
          <w:rFonts w:ascii="Arial" w:hAnsi="Arial" w:cs="Arial"/>
          <w:sz w:val="20"/>
        </w:rPr>
        <w:t xml:space="preserve">l </w:t>
      </w:r>
      <w:r w:rsidR="005D2110" w:rsidRPr="00AC4AEA">
        <w:rPr>
          <w:rFonts w:ascii="Arial" w:hAnsi="Arial" w:cs="Arial"/>
          <w:sz w:val="20"/>
        </w:rPr>
        <w:t>cierre de instalaciones para mejorar la productividad</w:t>
      </w:r>
      <w:r w:rsidRPr="00AC4AEA">
        <w:rPr>
          <w:rFonts w:ascii="Arial" w:hAnsi="Arial" w:cs="Arial"/>
          <w:sz w:val="20"/>
        </w:rPr>
        <w:t>.</w:t>
      </w:r>
      <w:r w:rsidR="005D2110" w:rsidRPr="00AC4AEA">
        <w:rPr>
          <w:rFonts w:ascii="Arial" w:hAnsi="Arial" w:cs="Arial"/>
          <w:sz w:val="20"/>
        </w:rPr>
        <w:t xml:space="preserve"> </w:t>
      </w:r>
    </w:p>
    <w:p w:rsidR="00235A4B" w:rsidRPr="00AC4AEA" w:rsidRDefault="009C1677" w:rsidP="004B465E">
      <w:pPr>
        <w:pStyle w:val="A-Normal11"/>
        <w:numPr>
          <w:ilvl w:val="0"/>
          <w:numId w:val="370"/>
        </w:numPr>
        <w:ind w:left="1559"/>
        <w:jc w:val="both"/>
        <w:rPr>
          <w:rFonts w:ascii="Arial" w:hAnsi="Arial" w:cs="Arial"/>
          <w:sz w:val="20"/>
        </w:rPr>
      </w:pPr>
      <w:r w:rsidRPr="00AC4AEA">
        <w:rPr>
          <w:rFonts w:ascii="Arial" w:hAnsi="Arial" w:cs="Arial"/>
          <w:sz w:val="20"/>
        </w:rPr>
        <w:t>L</w:t>
      </w:r>
      <w:r w:rsidR="00C66BB9" w:rsidRPr="00AC4AEA">
        <w:rPr>
          <w:rFonts w:ascii="Arial" w:hAnsi="Arial" w:cs="Arial"/>
          <w:sz w:val="20"/>
        </w:rPr>
        <w:t xml:space="preserve">a </w:t>
      </w:r>
      <w:r w:rsidR="005D2110" w:rsidRPr="00AC4AEA">
        <w:rPr>
          <w:rFonts w:ascii="Arial" w:hAnsi="Arial" w:cs="Arial"/>
          <w:sz w:val="20"/>
        </w:rPr>
        <w:t>venta de una sociedad controlada, cuyas actividades son similares a las de la controlante o a las de otras controladas.</w:t>
      </w:r>
    </w:p>
    <w:p w:rsidR="00970156" w:rsidRPr="00AC4AEA" w:rsidRDefault="00970156" w:rsidP="00A318EA">
      <w:pPr>
        <w:pStyle w:val="A-Normal11"/>
        <w:ind w:left="993" w:hanging="567"/>
        <w:jc w:val="both"/>
        <w:rPr>
          <w:rFonts w:ascii="Arial" w:hAnsi="Arial" w:cs="Arial"/>
          <w:sz w:val="20"/>
        </w:rPr>
      </w:pPr>
      <w:r w:rsidRPr="00AC4AEA">
        <w:rPr>
          <w:rFonts w:ascii="Arial" w:hAnsi="Arial" w:cs="Arial"/>
          <w:sz w:val="20"/>
        </w:rPr>
        <w:t>636A.</w:t>
      </w:r>
      <w:r w:rsidR="008F5904" w:rsidRPr="00AC4AEA">
        <w:rPr>
          <w:rFonts w:ascii="Arial" w:hAnsi="Arial" w:cs="Arial"/>
          <w:sz w:val="20"/>
        </w:rPr>
        <w:t xml:space="preserve"> </w:t>
      </w:r>
      <w:r w:rsidRPr="00AC4AEA">
        <w:rPr>
          <w:rFonts w:ascii="Arial" w:hAnsi="Arial" w:cs="Arial"/>
          <w:sz w:val="20"/>
        </w:rPr>
        <w:t xml:space="preserve">Cuando una actividad cumpla los requisitos establecidos en el párrafo </w:t>
      </w:r>
      <w:fldSimple w:instr=" REF _Ref103716599 \r \h  \* MERGEFORMAT ">
        <w:r w:rsidR="00D33A5D" w:rsidRPr="00D33A5D">
          <w:rPr>
            <w:rFonts w:ascii="Arial" w:hAnsi="Arial" w:cs="Arial"/>
            <w:sz w:val="20"/>
          </w:rPr>
          <w:t>635</w:t>
        </w:r>
      </w:fldSimple>
      <w:r w:rsidRPr="00AC4AEA">
        <w:rPr>
          <w:rFonts w:ascii="Arial" w:hAnsi="Arial" w:cs="Arial"/>
          <w:sz w:val="20"/>
        </w:rPr>
        <w:t>, una entidad presentará:</w:t>
      </w:r>
    </w:p>
    <w:p w:rsidR="00970156" w:rsidRPr="00AC4AEA" w:rsidRDefault="00970156" w:rsidP="00C01B25">
      <w:pPr>
        <w:pStyle w:val="A-Normal11"/>
        <w:numPr>
          <w:ilvl w:val="0"/>
          <w:numId w:val="470"/>
        </w:numPr>
        <w:ind w:left="1560"/>
        <w:jc w:val="both"/>
        <w:rPr>
          <w:rFonts w:ascii="Arial" w:hAnsi="Arial" w:cs="Arial"/>
          <w:sz w:val="20"/>
        </w:rPr>
      </w:pPr>
      <w:r w:rsidRPr="00AC4AEA">
        <w:rPr>
          <w:rFonts w:ascii="Arial" w:hAnsi="Arial" w:cs="Arial"/>
          <w:sz w:val="20"/>
        </w:rPr>
        <w:t>en el estado de resultados, un importe único con el resultado después de impuestos de las operaciones discontinuadas; y</w:t>
      </w:r>
    </w:p>
    <w:p w:rsidR="00970156" w:rsidRPr="00AC4AEA" w:rsidRDefault="00970156" w:rsidP="00C01B25">
      <w:pPr>
        <w:pStyle w:val="A-Normal11"/>
        <w:numPr>
          <w:ilvl w:val="0"/>
          <w:numId w:val="470"/>
        </w:numPr>
        <w:ind w:left="1560"/>
        <w:jc w:val="both"/>
        <w:rPr>
          <w:rFonts w:ascii="Arial" w:hAnsi="Arial" w:cs="Arial"/>
          <w:sz w:val="20"/>
        </w:rPr>
      </w:pPr>
      <w:r w:rsidRPr="00AC4AEA">
        <w:rPr>
          <w:rFonts w:ascii="Arial" w:hAnsi="Arial" w:cs="Arial"/>
          <w:sz w:val="20"/>
        </w:rPr>
        <w:t>en las notas, un desglose que incluya:</w:t>
      </w:r>
    </w:p>
    <w:p w:rsidR="00792367" w:rsidRPr="00AC4AEA" w:rsidRDefault="00970156" w:rsidP="004B465E">
      <w:pPr>
        <w:pStyle w:val="A-Normal11"/>
        <w:numPr>
          <w:ilvl w:val="2"/>
          <w:numId w:val="29"/>
        </w:numPr>
        <w:ind w:left="1984"/>
        <w:jc w:val="both"/>
        <w:rPr>
          <w:rFonts w:ascii="Arial" w:hAnsi="Arial" w:cs="Arial"/>
          <w:sz w:val="20"/>
        </w:rPr>
      </w:pPr>
      <w:r w:rsidRPr="00AC4AEA">
        <w:rPr>
          <w:rFonts w:ascii="Arial" w:hAnsi="Arial" w:cs="Arial"/>
          <w:sz w:val="20"/>
        </w:rPr>
        <w:t xml:space="preserve">los </w:t>
      </w:r>
      <w:r w:rsidRPr="00AC4AEA">
        <w:rPr>
          <w:rFonts w:ascii="Arial" w:hAnsi="Arial" w:cs="Arial"/>
          <w:b/>
          <w:bCs/>
          <w:sz w:val="20"/>
        </w:rPr>
        <w:t>ingresos de actividades ordinarias</w:t>
      </w:r>
      <w:r w:rsidRPr="00AC4AEA">
        <w:rPr>
          <w:rFonts w:ascii="Arial" w:hAnsi="Arial" w:cs="Arial"/>
          <w:sz w:val="20"/>
        </w:rPr>
        <w:t xml:space="preserve">, los </w:t>
      </w:r>
      <w:r w:rsidRPr="00AC4AEA">
        <w:rPr>
          <w:rFonts w:ascii="Arial" w:hAnsi="Arial" w:cs="Arial"/>
          <w:b/>
          <w:bCs/>
          <w:sz w:val="20"/>
        </w:rPr>
        <w:t>gastos</w:t>
      </w:r>
      <w:r w:rsidRPr="00AC4AEA">
        <w:rPr>
          <w:rFonts w:ascii="Arial" w:hAnsi="Arial" w:cs="Arial"/>
          <w:sz w:val="20"/>
        </w:rPr>
        <w:t xml:space="preserve"> el resultado antes de impuesto de las actividades discontinuadas; </w:t>
      </w:r>
    </w:p>
    <w:p w:rsidR="00970156" w:rsidRPr="00AC4AEA" w:rsidRDefault="0000794A" w:rsidP="004B465E">
      <w:pPr>
        <w:pStyle w:val="A-Normal11"/>
        <w:numPr>
          <w:ilvl w:val="2"/>
          <w:numId w:val="29"/>
        </w:numPr>
        <w:ind w:left="1984"/>
        <w:jc w:val="both"/>
        <w:rPr>
          <w:rFonts w:ascii="Arial" w:hAnsi="Arial" w:cs="Arial"/>
          <w:sz w:val="20"/>
        </w:rPr>
      </w:pPr>
      <w:r w:rsidRPr="00AC4AEA">
        <w:rPr>
          <w:rFonts w:ascii="Arial" w:hAnsi="Arial" w:cs="Arial"/>
          <w:sz w:val="20"/>
        </w:rPr>
        <w:t>l</w:t>
      </w:r>
      <w:r w:rsidR="00792367" w:rsidRPr="00AC4AEA">
        <w:rPr>
          <w:rFonts w:ascii="Arial" w:hAnsi="Arial" w:cs="Arial"/>
          <w:sz w:val="20"/>
        </w:rPr>
        <w:t>os resultados a los que se hace referencia</w:t>
      </w:r>
      <w:r w:rsidR="005A3E8C" w:rsidRPr="00AC4AEA">
        <w:rPr>
          <w:rFonts w:ascii="Arial" w:hAnsi="Arial" w:cs="Arial"/>
          <w:sz w:val="20"/>
        </w:rPr>
        <w:t xml:space="preserve"> en </w:t>
      </w:r>
      <w:r w:rsidRPr="00AC4AEA">
        <w:rPr>
          <w:rFonts w:ascii="Arial" w:hAnsi="Arial" w:cs="Arial"/>
          <w:sz w:val="20"/>
        </w:rPr>
        <w:t>el inciso a) del párrafo</w:t>
      </w:r>
      <w:r w:rsidR="005A3E8C" w:rsidRPr="00AC4AEA">
        <w:rPr>
          <w:rFonts w:ascii="Arial" w:hAnsi="Arial" w:cs="Arial"/>
          <w:sz w:val="20"/>
        </w:rPr>
        <w:t xml:space="preserve"> </w:t>
      </w:r>
      <w:fldSimple w:instr=" REF _Ref132040843 \r \h  \* MERGEFORMAT ">
        <w:r w:rsidR="00D33A5D" w:rsidRPr="00D33A5D">
          <w:rPr>
            <w:rFonts w:ascii="Arial" w:hAnsi="Arial" w:cs="Arial"/>
            <w:sz w:val="20"/>
          </w:rPr>
          <w:t>428</w:t>
        </w:r>
      </w:fldSimple>
      <w:r w:rsidRPr="00AC4AEA">
        <w:rPr>
          <w:rFonts w:ascii="Arial" w:hAnsi="Arial" w:cs="Arial"/>
          <w:sz w:val="20"/>
        </w:rPr>
        <w:t xml:space="preserve">, o en el inciso a) del párrafo </w:t>
      </w:r>
      <w:fldSimple w:instr=" REF _Ref132040847 \r \h  \* MERGEFORMAT ">
        <w:r w:rsidR="00D33A5D" w:rsidRPr="00D33A5D">
          <w:rPr>
            <w:rFonts w:ascii="Arial" w:hAnsi="Arial" w:cs="Arial"/>
            <w:sz w:val="20"/>
          </w:rPr>
          <w:t>429</w:t>
        </w:r>
      </w:fldSimple>
      <w:r w:rsidRPr="00AC4AEA">
        <w:rPr>
          <w:rFonts w:ascii="Arial" w:hAnsi="Arial" w:cs="Arial"/>
          <w:sz w:val="20"/>
        </w:rPr>
        <w:t xml:space="preserve">; </w:t>
      </w:r>
      <w:r w:rsidR="00970156" w:rsidRPr="00AC4AEA">
        <w:rPr>
          <w:rFonts w:ascii="Arial" w:hAnsi="Arial" w:cs="Arial"/>
          <w:sz w:val="20"/>
        </w:rPr>
        <w:t>y</w:t>
      </w:r>
    </w:p>
    <w:p w:rsidR="00970156" w:rsidRPr="00AC4AEA" w:rsidRDefault="00970156" w:rsidP="004B465E">
      <w:pPr>
        <w:pStyle w:val="A-Normal11"/>
        <w:numPr>
          <w:ilvl w:val="2"/>
          <w:numId w:val="29"/>
        </w:numPr>
        <w:ind w:left="1984"/>
        <w:jc w:val="both"/>
        <w:rPr>
          <w:rFonts w:ascii="Arial" w:hAnsi="Arial" w:cs="Arial"/>
          <w:sz w:val="20"/>
        </w:rPr>
      </w:pPr>
      <w:r w:rsidRPr="00AC4AEA">
        <w:rPr>
          <w:rFonts w:ascii="Arial" w:hAnsi="Arial" w:cs="Arial"/>
          <w:sz w:val="20"/>
        </w:rPr>
        <w:t xml:space="preserve">el </w:t>
      </w:r>
      <w:r w:rsidRPr="002A73C3">
        <w:rPr>
          <w:rFonts w:ascii="Arial" w:hAnsi="Arial" w:cs="Arial"/>
          <w:b/>
          <w:bCs/>
          <w:sz w:val="20"/>
        </w:rPr>
        <w:t xml:space="preserve">gasto </w:t>
      </w:r>
      <w:r w:rsidRPr="00AC4AEA">
        <w:rPr>
          <w:rFonts w:ascii="Arial" w:hAnsi="Arial" w:cs="Arial"/>
          <w:sz w:val="20"/>
        </w:rPr>
        <w:t>por impuesto a las ganancias correspondiente a los resultados referidos en (i)</w:t>
      </w:r>
      <w:r w:rsidR="0000794A" w:rsidRPr="00AC4AEA">
        <w:rPr>
          <w:rFonts w:ascii="Arial" w:hAnsi="Arial" w:cs="Arial"/>
          <w:sz w:val="20"/>
        </w:rPr>
        <w:t xml:space="preserve"> y (ii)</w:t>
      </w:r>
      <w:r w:rsidRPr="00AC4AEA">
        <w:rPr>
          <w:rFonts w:ascii="Arial" w:hAnsi="Arial" w:cs="Arial"/>
          <w:sz w:val="20"/>
        </w:rPr>
        <w:t>.</w:t>
      </w:r>
    </w:p>
    <w:p w:rsidR="00970156" w:rsidRPr="00AC4AEA" w:rsidRDefault="00970156" w:rsidP="00A318EA">
      <w:pPr>
        <w:pStyle w:val="A-Normal11"/>
        <w:ind w:left="993" w:hanging="567"/>
        <w:jc w:val="both"/>
        <w:rPr>
          <w:rFonts w:ascii="Arial" w:hAnsi="Arial" w:cs="Arial"/>
          <w:sz w:val="20"/>
        </w:rPr>
      </w:pPr>
      <w:r w:rsidRPr="00AC4AEA">
        <w:rPr>
          <w:rFonts w:ascii="Arial" w:hAnsi="Arial" w:cs="Arial"/>
          <w:sz w:val="20"/>
        </w:rPr>
        <w:t>636B. A los fines comparativos</w:t>
      </w:r>
      <w:r w:rsidR="00B34D02" w:rsidRPr="00AC4AEA">
        <w:rPr>
          <w:rFonts w:ascii="Arial" w:hAnsi="Arial" w:cs="Arial"/>
          <w:sz w:val="20"/>
        </w:rPr>
        <w:t>, una entidad clasificará:</w:t>
      </w:r>
    </w:p>
    <w:p w:rsidR="00970156" w:rsidRPr="00AC4AEA" w:rsidRDefault="00B34D02" w:rsidP="00C01B25">
      <w:pPr>
        <w:pStyle w:val="A-Normal11"/>
        <w:numPr>
          <w:ilvl w:val="0"/>
          <w:numId w:val="469"/>
        </w:numPr>
        <w:ind w:left="1559"/>
        <w:jc w:val="both"/>
        <w:rPr>
          <w:rFonts w:ascii="Arial" w:hAnsi="Arial" w:cs="Arial"/>
          <w:sz w:val="20"/>
        </w:rPr>
      </w:pPr>
      <w:r w:rsidRPr="00AC4AEA">
        <w:rPr>
          <w:rFonts w:ascii="Arial" w:hAnsi="Arial" w:cs="Arial"/>
          <w:sz w:val="20"/>
        </w:rPr>
        <w:t xml:space="preserve">Como resultados procedentes de actividades discontinuadas o en discontinuación la información correspondiente tanto al período actual como </w:t>
      </w:r>
      <w:r w:rsidRPr="00AC4AEA">
        <w:rPr>
          <w:rFonts w:ascii="Arial" w:hAnsi="Arial" w:cs="Arial"/>
          <w:sz w:val="20"/>
        </w:rPr>
        <w:lastRenderedPageBreak/>
        <w:t>al período comparativo, cuando en un ejercicio determinado una actividad empieza a cumplir los requisitos para ser considerada como tal.</w:t>
      </w:r>
    </w:p>
    <w:p w:rsidR="00970156" w:rsidRPr="00AC4AEA" w:rsidRDefault="00B34D02" w:rsidP="00C01B25">
      <w:pPr>
        <w:pStyle w:val="A-Normal11"/>
        <w:numPr>
          <w:ilvl w:val="0"/>
          <w:numId w:val="469"/>
        </w:numPr>
        <w:ind w:left="1559"/>
        <w:jc w:val="both"/>
        <w:rPr>
          <w:rFonts w:ascii="Arial" w:hAnsi="Arial" w:cs="Arial"/>
          <w:sz w:val="20"/>
        </w:rPr>
      </w:pPr>
      <w:r w:rsidRPr="00AC4AEA">
        <w:rPr>
          <w:rFonts w:ascii="Arial" w:hAnsi="Arial" w:cs="Arial"/>
          <w:sz w:val="20"/>
        </w:rPr>
        <w:t>Como resultados atribuibles a las actividades que continúan la información correspondiente tanto al período actual como al período comparativo, c</w:t>
      </w:r>
      <w:r w:rsidR="00970156" w:rsidRPr="00AC4AEA">
        <w:rPr>
          <w:rFonts w:ascii="Arial" w:hAnsi="Arial" w:cs="Arial"/>
          <w:sz w:val="20"/>
        </w:rPr>
        <w:t>uando en un ejercicio determinado una actividad deja de cumplir los requisitos para ser considerada como discontinuada o en discontinuación.</w:t>
      </w:r>
    </w:p>
    <w:p w:rsidR="003C3629" w:rsidRPr="00AC4AEA" w:rsidRDefault="008C1ACE" w:rsidP="00A318EA">
      <w:pPr>
        <w:pStyle w:val="A-Normal11"/>
        <w:numPr>
          <w:ilvl w:val="0"/>
          <w:numId w:val="29"/>
        </w:numPr>
        <w:jc w:val="both"/>
        <w:rPr>
          <w:rFonts w:ascii="Arial" w:hAnsi="Arial" w:cs="Arial"/>
          <w:sz w:val="20"/>
        </w:rPr>
      </w:pPr>
      <w:r w:rsidRPr="00AC4AEA">
        <w:rPr>
          <w:rFonts w:ascii="Arial" w:hAnsi="Arial" w:cs="Arial"/>
          <w:sz w:val="20"/>
        </w:rPr>
        <w:t>En relación con el criterio del inciso b) del párrafo</w:t>
      </w:r>
      <w:r w:rsidR="0085699D" w:rsidRPr="00AC4AEA">
        <w:rPr>
          <w:rFonts w:ascii="Arial" w:hAnsi="Arial" w:cs="Arial"/>
          <w:sz w:val="20"/>
        </w:rPr>
        <w:t xml:space="preserve"> </w:t>
      </w:r>
      <w:fldSimple w:instr=" REF _Ref103716599 \r \h  \* MERGEFORMAT ">
        <w:r w:rsidR="00D33A5D" w:rsidRPr="00D33A5D">
          <w:rPr>
            <w:rFonts w:ascii="Arial" w:hAnsi="Arial" w:cs="Arial"/>
            <w:sz w:val="20"/>
          </w:rPr>
          <w:t>635</w:t>
        </w:r>
      </w:fldSimple>
      <w:r w:rsidRPr="00AC4AEA">
        <w:rPr>
          <w:rFonts w:ascii="Arial" w:hAnsi="Arial" w:cs="Arial"/>
          <w:sz w:val="20"/>
        </w:rPr>
        <w:t xml:space="preserve">, un segmento de negocios o un segmento geográfico pueden representar una línea separable y principal de las líneas de actividad de la empresa o de las áreas geográficas de operación. Para </w:t>
      </w:r>
      <w:r w:rsidR="00EC2D74" w:rsidRPr="00AC4AEA">
        <w:rPr>
          <w:rFonts w:ascii="Arial" w:hAnsi="Arial" w:cs="Arial"/>
          <w:sz w:val="20"/>
        </w:rPr>
        <w:t>una entidad</w:t>
      </w:r>
      <w:r w:rsidR="00A82EFF" w:rsidRPr="00AC4AEA">
        <w:rPr>
          <w:rFonts w:ascii="Arial" w:hAnsi="Arial" w:cs="Arial"/>
          <w:sz w:val="20"/>
        </w:rPr>
        <w:t xml:space="preserve"> </w:t>
      </w:r>
      <w:r w:rsidRPr="00AC4AEA">
        <w:rPr>
          <w:rFonts w:ascii="Arial" w:hAnsi="Arial" w:cs="Arial"/>
          <w:sz w:val="20"/>
        </w:rPr>
        <w:t xml:space="preserve">que operase un solo segmento, un producto o línea de servicio que fuera importante puede cumplir con el inciso mencionado. </w:t>
      </w:r>
    </w:p>
    <w:p w:rsidR="00185310" w:rsidRPr="00AC4AEA" w:rsidRDefault="008C1ACE" w:rsidP="00A318EA">
      <w:pPr>
        <w:pStyle w:val="A-Normal11"/>
        <w:numPr>
          <w:ilvl w:val="0"/>
          <w:numId w:val="29"/>
        </w:numPr>
        <w:jc w:val="both"/>
        <w:rPr>
          <w:rFonts w:ascii="Arial" w:hAnsi="Arial" w:cs="Arial"/>
          <w:sz w:val="20"/>
        </w:rPr>
      </w:pPr>
      <w:r w:rsidRPr="00AC4AEA">
        <w:rPr>
          <w:rFonts w:ascii="Arial" w:hAnsi="Arial" w:cs="Arial"/>
          <w:sz w:val="20"/>
        </w:rPr>
        <w:t>Un componente de</w:t>
      </w:r>
      <w:r w:rsidR="003C3629" w:rsidRPr="00AC4AEA">
        <w:rPr>
          <w:rFonts w:ascii="Arial" w:hAnsi="Arial" w:cs="Arial"/>
          <w:sz w:val="20"/>
        </w:rPr>
        <w:t xml:space="preserve"> </w:t>
      </w:r>
      <w:r w:rsidR="0020556A" w:rsidRPr="00AC4AEA">
        <w:rPr>
          <w:rFonts w:ascii="Arial" w:hAnsi="Arial" w:cs="Arial"/>
          <w:sz w:val="20"/>
        </w:rPr>
        <w:t>una entidad</w:t>
      </w:r>
      <w:r w:rsidRPr="00AC4AEA">
        <w:rPr>
          <w:rFonts w:ascii="Arial" w:hAnsi="Arial" w:cs="Arial"/>
          <w:sz w:val="20"/>
        </w:rPr>
        <w:t xml:space="preserve"> puede ser distinguido a los fines operativos y para la preparación de la información contable, si sus </w:t>
      </w:r>
      <w:r w:rsidR="00497590" w:rsidRPr="00AC4AEA">
        <w:rPr>
          <w:rFonts w:ascii="Arial" w:hAnsi="Arial" w:cs="Arial"/>
          <w:sz w:val="20"/>
        </w:rPr>
        <w:t>activos</w:t>
      </w:r>
      <w:r w:rsidRPr="00AC4AEA">
        <w:rPr>
          <w:rFonts w:ascii="Arial" w:hAnsi="Arial" w:cs="Arial"/>
          <w:sz w:val="20"/>
        </w:rPr>
        <w:t xml:space="preserve"> y </w:t>
      </w:r>
      <w:r w:rsidR="00497590" w:rsidRPr="00AC4AEA">
        <w:rPr>
          <w:rFonts w:ascii="Arial" w:hAnsi="Arial" w:cs="Arial"/>
          <w:sz w:val="20"/>
        </w:rPr>
        <w:t>pasivos</w:t>
      </w:r>
      <w:r w:rsidRPr="00AC4AEA">
        <w:rPr>
          <w:rFonts w:ascii="Arial" w:hAnsi="Arial" w:cs="Arial"/>
          <w:sz w:val="20"/>
        </w:rPr>
        <w:t xml:space="preserve"> operativos, sus ventas brutas y una mayoría de los gastos operativos, le puedan ser asignados directamente. Esta asignación directa es probable si los elementos atribuidos desaparecieran cuando el componente en cuestión fuera vendido o desapropiado de cualquier forma. </w:t>
      </w:r>
    </w:p>
    <w:p w:rsidR="008C1ACE" w:rsidRPr="00AC4AEA" w:rsidRDefault="008C1ACE" w:rsidP="00A318EA">
      <w:pPr>
        <w:pStyle w:val="A-Normal11"/>
        <w:numPr>
          <w:ilvl w:val="0"/>
          <w:numId w:val="29"/>
        </w:numPr>
        <w:jc w:val="both"/>
        <w:rPr>
          <w:rFonts w:ascii="Arial" w:hAnsi="Arial" w:cs="Arial"/>
          <w:sz w:val="20"/>
        </w:rPr>
      </w:pPr>
      <w:bookmarkStart w:id="919" w:name="_Ref103894033"/>
      <w:r w:rsidRPr="00AC4AEA">
        <w:rPr>
          <w:rFonts w:ascii="Arial" w:hAnsi="Arial" w:cs="Arial"/>
          <w:sz w:val="20"/>
        </w:rPr>
        <w:t xml:space="preserve">En general, el caso de descontinuación es un suceso relativamente infrecuente y es factible que </w:t>
      </w:r>
      <w:r w:rsidR="00970156" w:rsidRPr="00AC4AEA">
        <w:rPr>
          <w:rFonts w:ascii="Arial" w:hAnsi="Arial" w:cs="Arial"/>
          <w:sz w:val="20"/>
        </w:rPr>
        <w:t xml:space="preserve">una entidad clasifique </w:t>
      </w:r>
      <w:r w:rsidRPr="00AC4AEA">
        <w:rPr>
          <w:rFonts w:ascii="Arial" w:hAnsi="Arial" w:cs="Arial"/>
          <w:sz w:val="20"/>
        </w:rPr>
        <w:t>como reestructuraciones</w:t>
      </w:r>
      <w:r w:rsidR="00531064" w:rsidRPr="00AC4AEA">
        <w:rPr>
          <w:rFonts w:ascii="Arial" w:hAnsi="Arial" w:cs="Arial"/>
          <w:sz w:val="20"/>
        </w:rPr>
        <w:t xml:space="preserve">, de acuerdo con </w:t>
      </w:r>
      <w:r w:rsidR="004D7A89" w:rsidRPr="00AC4AEA">
        <w:rPr>
          <w:rFonts w:ascii="Arial" w:hAnsi="Arial" w:cs="Arial"/>
          <w:sz w:val="20"/>
        </w:rPr>
        <w:t>la sección</w:t>
      </w:r>
      <w:r w:rsidR="00531064" w:rsidRPr="00AC4AEA">
        <w:rPr>
          <w:rFonts w:ascii="Arial" w:hAnsi="Arial" w:cs="Arial"/>
          <w:sz w:val="20"/>
        </w:rPr>
        <w:t xml:space="preserve"> “</w:t>
      </w:r>
      <w:r w:rsidR="00531064" w:rsidRPr="00AC4AEA">
        <w:rPr>
          <w:rFonts w:ascii="Arial" w:hAnsi="Arial" w:cs="Arial"/>
          <w:sz w:val="20"/>
          <w:u w:val="single"/>
        </w:rPr>
        <w:t>Restructuraciones</w:t>
      </w:r>
      <w:r w:rsidR="00531064" w:rsidRPr="00AC4AEA">
        <w:rPr>
          <w:rFonts w:ascii="Arial" w:hAnsi="Arial" w:cs="Arial"/>
          <w:sz w:val="20"/>
        </w:rPr>
        <w:t xml:space="preserve">” [ver los párrafos </w:t>
      </w:r>
      <w:fldSimple w:instr=" REF _Ref103716914 \r \h  \* MERGEFORMAT ">
        <w:r w:rsidR="00D33A5D" w:rsidRPr="00D33A5D">
          <w:rPr>
            <w:rFonts w:ascii="Arial" w:hAnsi="Arial" w:cs="Arial"/>
            <w:sz w:val="20"/>
          </w:rPr>
          <w:t>601</w:t>
        </w:r>
      </w:fldSimple>
      <w:r w:rsidR="00D91C91" w:rsidRPr="00AC4AEA">
        <w:rPr>
          <w:rFonts w:ascii="Arial" w:hAnsi="Arial" w:cs="Arial"/>
          <w:sz w:val="20"/>
        </w:rPr>
        <w:t xml:space="preserve"> a </w:t>
      </w:r>
      <w:fldSimple w:instr=" REF _Ref103716922 \r \h  \* MERGEFORMAT ">
        <w:r w:rsidR="00D33A5D" w:rsidRPr="00D33A5D">
          <w:rPr>
            <w:rFonts w:ascii="Arial" w:hAnsi="Arial" w:cs="Arial"/>
            <w:sz w:val="20"/>
          </w:rPr>
          <w:t>603</w:t>
        </w:r>
      </w:fldSimple>
      <w:r w:rsidR="004D7A89" w:rsidRPr="00AC4AEA">
        <w:rPr>
          <w:rFonts w:ascii="Arial" w:hAnsi="Arial" w:cs="Arial"/>
          <w:sz w:val="20"/>
        </w:rPr>
        <w:t>]</w:t>
      </w:r>
      <w:bookmarkEnd w:id="919"/>
      <w:r w:rsidR="00970156" w:rsidRPr="00AC4AEA">
        <w:rPr>
          <w:rFonts w:ascii="Arial" w:hAnsi="Arial" w:cs="Arial"/>
          <w:sz w:val="20"/>
        </w:rPr>
        <w:t>, cambios que no revele como discontinuación.</w:t>
      </w:r>
    </w:p>
    <w:p w:rsidR="000E5AC3" w:rsidRPr="00AC4AEA" w:rsidRDefault="000E5AC3" w:rsidP="00A318EA">
      <w:pPr>
        <w:pStyle w:val="A-Normal11"/>
        <w:numPr>
          <w:ilvl w:val="0"/>
          <w:numId w:val="29"/>
        </w:numPr>
        <w:jc w:val="both"/>
        <w:rPr>
          <w:rFonts w:ascii="Arial" w:hAnsi="Arial" w:cs="Arial"/>
          <w:sz w:val="20"/>
        </w:rPr>
      </w:pPr>
      <w:r w:rsidRPr="00AC4AEA">
        <w:rPr>
          <w:rFonts w:ascii="Arial" w:hAnsi="Arial" w:cs="Arial"/>
          <w:sz w:val="20"/>
        </w:rPr>
        <w:t xml:space="preserve">A partir del período en que se adopta una decisión de discontinuar una operación y hasta el período en que se la completa o abandona, ambos inclusive, </w:t>
      </w:r>
      <w:r w:rsidR="00970156" w:rsidRPr="00AC4AEA">
        <w:rPr>
          <w:rFonts w:ascii="Arial" w:hAnsi="Arial" w:cs="Arial"/>
          <w:sz w:val="20"/>
        </w:rPr>
        <w:t>una</w:t>
      </w:r>
      <w:r w:rsidRPr="00AC4AEA">
        <w:rPr>
          <w:rFonts w:ascii="Arial" w:hAnsi="Arial" w:cs="Arial"/>
          <w:sz w:val="20"/>
        </w:rPr>
        <w:t xml:space="preserve"> entidad suministrará información en notas sobre:</w:t>
      </w:r>
      <w:r w:rsidR="007B7E5B" w:rsidRPr="00AC4AEA">
        <w:rPr>
          <w:rFonts w:ascii="Arial" w:hAnsi="Arial" w:cs="Arial"/>
          <w:sz w:val="20"/>
        </w:rPr>
        <w:t xml:space="preserve"> </w:t>
      </w:r>
    </w:p>
    <w:p w:rsidR="000E5AC3"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t>la descripción de la operación discontinuada o en discontinuación;</w:t>
      </w:r>
    </w:p>
    <w:p w:rsidR="000E5AC3"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t>el segmento de actividad o geográfico al que dicha operación fue asignada a los efectos de la preparación de información contable:</w:t>
      </w:r>
    </w:p>
    <w:p w:rsidR="000E5AC3"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t>los hechos por los cuales se considera que la operación ha sido discontinuada o está en discontinuación y las fechas de esos hechos;</w:t>
      </w:r>
    </w:p>
    <w:p w:rsidR="000E5AC3"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t>cuando fuere conocida o pudiere determinársela, la fecha o período en que se espera concluir con la discontinuación;</w:t>
      </w:r>
    </w:p>
    <w:p w:rsidR="000E5AC3"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t xml:space="preserve">los importes registrados (a la </w:t>
      </w:r>
      <w:r w:rsidRPr="00AC4AEA">
        <w:rPr>
          <w:rFonts w:ascii="Arial" w:hAnsi="Arial" w:cs="Arial"/>
          <w:b/>
          <w:sz w:val="20"/>
        </w:rPr>
        <w:t>fecha de los estados contables</w:t>
      </w:r>
      <w:r w:rsidRPr="00AC4AEA">
        <w:rPr>
          <w:rFonts w:ascii="Arial" w:hAnsi="Arial" w:cs="Arial"/>
          <w:sz w:val="20"/>
        </w:rPr>
        <w:t>) del total de activos y del total de pasivos que se ha resuelto disponer o cancelar;</w:t>
      </w:r>
    </w:p>
    <w:p w:rsidR="000E5AC3"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t xml:space="preserve">en caso de existir activos cuya venta se ha comprometido, los importes registrados para ellos a la </w:t>
      </w:r>
      <w:r w:rsidRPr="00AC4AEA">
        <w:rPr>
          <w:rFonts w:ascii="Arial" w:hAnsi="Arial" w:cs="Arial"/>
          <w:b/>
          <w:sz w:val="20"/>
        </w:rPr>
        <w:t>fecha de los estados contables</w:t>
      </w:r>
      <w:r w:rsidRPr="00AC4AEA">
        <w:rPr>
          <w:rFonts w:ascii="Arial" w:hAnsi="Arial" w:cs="Arial"/>
          <w:sz w:val="20"/>
        </w:rPr>
        <w:t>, su precio o rango de precios (menos costos de disposición) y el momento esperado del correspondiente flujo de fondos;</w:t>
      </w:r>
    </w:p>
    <w:p w:rsidR="000E5AC3"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t xml:space="preserve">las razones de los cambios en las estimaciones de importes y momentos de los flujos de fondos indicados en el inciso anterior, respecto de los informados en </w:t>
      </w:r>
      <w:r w:rsidRPr="00AC4AEA">
        <w:rPr>
          <w:rFonts w:ascii="Arial" w:hAnsi="Arial" w:cs="Arial"/>
          <w:b/>
          <w:sz w:val="20"/>
        </w:rPr>
        <w:t>estados contables</w:t>
      </w:r>
      <w:r w:rsidRPr="00AC4AEA">
        <w:rPr>
          <w:rFonts w:ascii="Arial" w:hAnsi="Arial" w:cs="Arial"/>
          <w:sz w:val="20"/>
        </w:rPr>
        <w:t xml:space="preserve"> anteriores;</w:t>
      </w:r>
    </w:p>
    <w:p w:rsidR="000E5AC3"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lastRenderedPageBreak/>
        <w:t>los importes que, dentro de los principales componentes del estado de flujo de efectivo corresponden a las operaciones discontinuadas o en discontinuación;</w:t>
      </w:r>
    </w:p>
    <w:p w:rsidR="00970156" w:rsidRPr="00AC4AEA" w:rsidRDefault="000E5AC3" w:rsidP="00A318EA">
      <w:pPr>
        <w:pStyle w:val="A-Normal11"/>
        <w:numPr>
          <w:ilvl w:val="0"/>
          <w:numId w:val="441"/>
        </w:numPr>
        <w:ind w:left="1701"/>
        <w:jc w:val="both"/>
        <w:rPr>
          <w:rFonts w:ascii="Arial" w:hAnsi="Arial" w:cs="Arial"/>
          <w:sz w:val="20"/>
        </w:rPr>
      </w:pPr>
      <w:r w:rsidRPr="00AC4AEA">
        <w:rPr>
          <w:rFonts w:ascii="Arial" w:hAnsi="Arial" w:cs="Arial"/>
          <w:sz w:val="20"/>
        </w:rPr>
        <w:t xml:space="preserve">en caso de abandono de un plan que en </w:t>
      </w:r>
      <w:r w:rsidRPr="00AC4AEA">
        <w:rPr>
          <w:rFonts w:ascii="Arial" w:hAnsi="Arial" w:cs="Arial"/>
          <w:b/>
          <w:sz w:val="20"/>
        </w:rPr>
        <w:t>estados contables</w:t>
      </w:r>
      <w:r w:rsidRPr="00AC4AEA">
        <w:rPr>
          <w:rFonts w:ascii="Arial" w:hAnsi="Arial" w:cs="Arial"/>
          <w:sz w:val="20"/>
        </w:rPr>
        <w:t xml:space="preserve"> anteriores haya sido presentado como de discontinuación de una operación, dicho hecho y sus efectos</w:t>
      </w:r>
      <w:r w:rsidR="00970156" w:rsidRPr="00AC4AEA">
        <w:rPr>
          <w:rFonts w:ascii="Arial" w:hAnsi="Arial" w:cs="Arial"/>
          <w:sz w:val="20"/>
        </w:rPr>
        <w:t>.</w:t>
      </w:r>
    </w:p>
    <w:p w:rsidR="000E5AC3" w:rsidRPr="00AC4AEA" w:rsidRDefault="000E5AC3" w:rsidP="00A318EA">
      <w:pPr>
        <w:pStyle w:val="A-Normal11"/>
        <w:numPr>
          <w:ilvl w:val="0"/>
          <w:numId w:val="29"/>
        </w:numPr>
        <w:jc w:val="both"/>
        <w:rPr>
          <w:rFonts w:ascii="Arial" w:hAnsi="Arial" w:cs="Arial"/>
          <w:sz w:val="20"/>
        </w:rPr>
      </w:pPr>
      <w:bookmarkStart w:id="920" w:name="_Ref132039902"/>
      <w:r w:rsidRPr="00AC4AEA">
        <w:rPr>
          <w:rFonts w:ascii="Arial" w:hAnsi="Arial" w:cs="Arial"/>
          <w:sz w:val="20"/>
        </w:rPr>
        <w:t xml:space="preserve">Una entidad también brindará esta información cuando la decisión de descontinuar una operación se tome entre la </w:t>
      </w:r>
      <w:r w:rsidRPr="00AC4AEA">
        <w:rPr>
          <w:rFonts w:ascii="Arial" w:hAnsi="Arial" w:cs="Arial"/>
          <w:b/>
          <w:sz w:val="20"/>
        </w:rPr>
        <w:t>fecha de los estados contables</w:t>
      </w:r>
      <w:r w:rsidRPr="00AC4AEA">
        <w:rPr>
          <w:rFonts w:ascii="Arial" w:hAnsi="Arial" w:cs="Arial"/>
          <w:sz w:val="20"/>
        </w:rPr>
        <w:t xml:space="preserve"> y la de su aprobación por parte de la </w:t>
      </w:r>
      <w:r w:rsidRPr="00AC4AEA">
        <w:rPr>
          <w:rFonts w:ascii="Arial" w:hAnsi="Arial" w:cs="Arial"/>
          <w:b/>
          <w:sz w:val="20"/>
        </w:rPr>
        <w:t>dirección</w:t>
      </w:r>
      <w:r w:rsidRPr="00AC4AEA">
        <w:rPr>
          <w:rFonts w:ascii="Arial" w:hAnsi="Arial" w:cs="Arial"/>
          <w:sz w:val="20"/>
        </w:rPr>
        <w:t>. En caso de existir más de una operación discontinuada o en discontinuación, la entidad presentará la información indicada de forma separada para cada una de ellas.</w:t>
      </w:r>
      <w:bookmarkEnd w:id="920"/>
    </w:p>
    <w:p w:rsidR="00AE7883" w:rsidRPr="00AC4AEA" w:rsidRDefault="00AE7883" w:rsidP="00A318EA">
      <w:pPr>
        <w:pStyle w:val="Ttulo1"/>
        <w:rPr>
          <w:rFonts w:cs="Arial"/>
          <w:sz w:val="20"/>
          <w:szCs w:val="20"/>
        </w:rPr>
      </w:pPr>
    </w:p>
    <w:p w:rsidR="0090400F" w:rsidRPr="00287AEC" w:rsidRDefault="00002197" w:rsidP="00A318EA">
      <w:pPr>
        <w:pStyle w:val="Ttulo1"/>
        <w:rPr>
          <w:rFonts w:cs="Arial"/>
          <w:sz w:val="20"/>
          <w:szCs w:val="20"/>
        </w:rPr>
      </w:pPr>
      <w:bookmarkStart w:id="921" w:name="_Toc139356902"/>
      <w:r w:rsidRPr="00287AEC">
        <w:rPr>
          <w:rFonts w:cs="Arial"/>
          <w:sz w:val="20"/>
          <w:szCs w:val="20"/>
        </w:rPr>
        <w:t>CUESTIONES REFERIDAS AL ESTADO DE EVOLUCIÓN DEL PATRIMONIO NETO</w:t>
      </w:r>
      <w:bookmarkEnd w:id="916"/>
      <w:bookmarkEnd w:id="921"/>
    </w:p>
    <w:p w:rsidR="00090BC7" w:rsidRPr="00287AEC" w:rsidRDefault="00090BC7" w:rsidP="00A318EA">
      <w:pPr>
        <w:pStyle w:val="Ttulo2"/>
        <w:rPr>
          <w:rFonts w:cs="Arial"/>
        </w:rPr>
      </w:pPr>
      <w:bookmarkStart w:id="922" w:name="_Toc101864004"/>
      <w:bookmarkStart w:id="923" w:name="_Toc139356903"/>
      <w:r w:rsidRPr="00287AEC">
        <w:rPr>
          <w:rFonts w:cs="Arial"/>
        </w:rPr>
        <w:t>Definici</w:t>
      </w:r>
      <w:r w:rsidR="00907713" w:rsidRPr="00287AEC">
        <w:rPr>
          <w:rFonts w:cs="Arial"/>
        </w:rPr>
        <w:t>ó</w:t>
      </w:r>
      <w:r w:rsidRPr="00287AEC">
        <w:rPr>
          <w:rFonts w:cs="Arial"/>
        </w:rPr>
        <w:t>n</w:t>
      </w:r>
      <w:bookmarkEnd w:id="922"/>
      <w:bookmarkEnd w:id="923"/>
    </w:p>
    <w:p w:rsidR="00EB44FE" w:rsidRPr="00AC4AEA" w:rsidRDefault="00EB44FE" w:rsidP="00A318EA">
      <w:pPr>
        <w:pStyle w:val="Prrafodelista"/>
        <w:numPr>
          <w:ilvl w:val="0"/>
          <w:numId w:val="29"/>
        </w:numPr>
        <w:contextualSpacing w:val="0"/>
        <w:jc w:val="both"/>
        <w:rPr>
          <w:rFonts w:ascii="Arial" w:hAnsi="Arial" w:cs="Arial"/>
          <w:sz w:val="20"/>
          <w:szCs w:val="20"/>
        </w:rPr>
      </w:pPr>
      <w:bookmarkStart w:id="924" w:name="_Ref99491581"/>
      <w:r w:rsidRPr="00287AEC">
        <w:rPr>
          <w:rFonts w:ascii="Arial" w:hAnsi="Arial" w:cs="Arial"/>
          <w:sz w:val="20"/>
          <w:szCs w:val="20"/>
        </w:rPr>
        <w:t>A los fines de presentar el estado contable referido en esta sección, una entidad</w:t>
      </w:r>
      <w:r w:rsidRPr="00AC4AEA">
        <w:rPr>
          <w:rFonts w:ascii="Arial" w:hAnsi="Arial" w:cs="Arial"/>
          <w:sz w:val="20"/>
          <w:szCs w:val="20"/>
        </w:rPr>
        <w:t xml:space="preserve"> deberá considerar </w:t>
      </w:r>
      <w:r w:rsidR="00322537" w:rsidRPr="00AC4AEA">
        <w:rPr>
          <w:rFonts w:ascii="Arial" w:hAnsi="Arial" w:cs="Arial"/>
          <w:sz w:val="20"/>
          <w:szCs w:val="20"/>
        </w:rPr>
        <w:t>la siguiente definición</w:t>
      </w:r>
      <w:r w:rsidRPr="00AC4AEA">
        <w:rPr>
          <w:rFonts w:ascii="Arial" w:hAnsi="Arial" w:cs="Arial"/>
          <w:sz w:val="20"/>
          <w:szCs w:val="20"/>
        </w:rPr>
        <w:t>:</w:t>
      </w:r>
      <w:bookmarkEnd w:id="924"/>
    </w:p>
    <w:p w:rsidR="0090400F" w:rsidRPr="00AC4AEA" w:rsidRDefault="00090BC7"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Estado de evolución del patrimonio neto</w:t>
      </w:r>
      <w:r w:rsidRPr="00AC4AEA">
        <w:rPr>
          <w:rFonts w:ascii="Arial" w:hAnsi="Arial" w:cs="Arial"/>
          <w:color w:val="auto"/>
          <w:sz w:val="20"/>
          <w:szCs w:val="20"/>
        </w:rPr>
        <w:t>:</w:t>
      </w:r>
      <w:r w:rsidRPr="00AC4AEA">
        <w:rPr>
          <w:rFonts w:ascii="Arial" w:hAnsi="Arial" w:cs="Arial"/>
          <w:b/>
          <w:bCs/>
          <w:color w:val="auto"/>
          <w:sz w:val="20"/>
          <w:szCs w:val="20"/>
        </w:rPr>
        <w:t xml:space="preserve"> </w:t>
      </w:r>
      <w:r w:rsidR="007F372E" w:rsidRPr="00AC4AEA">
        <w:rPr>
          <w:rFonts w:ascii="Arial" w:hAnsi="Arial" w:cs="Arial"/>
          <w:color w:val="auto"/>
          <w:sz w:val="20"/>
          <w:szCs w:val="20"/>
        </w:rPr>
        <w:t>E</w:t>
      </w:r>
      <w:r w:rsidRPr="00AC4AEA">
        <w:rPr>
          <w:rFonts w:ascii="Arial" w:hAnsi="Arial" w:cs="Arial"/>
          <w:color w:val="auto"/>
          <w:sz w:val="20"/>
          <w:szCs w:val="20"/>
        </w:rPr>
        <w:t xml:space="preserve">stado contable mediante el cual una entidad informará la composición del </w:t>
      </w:r>
      <w:r w:rsidRPr="00AC4AEA">
        <w:rPr>
          <w:rFonts w:ascii="Arial" w:hAnsi="Arial" w:cs="Arial"/>
          <w:b/>
          <w:bCs/>
          <w:color w:val="auto"/>
          <w:sz w:val="20"/>
          <w:szCs w:val="20"/>
        </w:rPr>
        <w:t>patrimonio neto</w:t>
      </w:r>
      <w:r w:rsidRPr="00AC4AEA">
        <w:rPr>
          <w:rFonts w:ascii="Arial" w:hAnsi="Arial" w:cs="Arial"/>
          <w:color w:val="auto"/>
          <w:sz w:val="20"/>
          <w:szCs w:val="20"/>
        </w:rPr>
        <w:t xml:space="preserve"> y las causas de los cambios ocurridos durante el </w:t>
      </w:r>
      <w:r w:rsidR="00245410" w:rsidRPr="00AC4AEA">
        <w:rPr>
          <w:rFonts w:ascii="Arial" w:hAnsi="Arial" w:cs="Arial"/>
          <w:color w:val="auto"/>
          <w:sz w:val="20"/>
          <w:szCs w:val="20"/>
        </w:rPr>
        <w:t>período</w:t>
      </w:r>
      <w:r w:rsidRPr="00AC4AEA">
        <w:rPr>
          <w:rFonts w:ascii="Arial" w:hAnsi="Arial" w:cs="Arial"/>
          <w:color w:val="auto"/>
          <w:sz w:val="20"/>
          <w:szCs w:val="20"/>
        </w:rPr>
        <w:t xml:space="preserve"> en las partidas que lo componen.</w:t>
      </w:r>
    </w:p>
    <w:p w:rsidR="00E65E9C" w:rsidRPr="00AC4AEA" w:rsidRDefault="00E65E9C" w:rsidP="00A318EA">
      <w:pPr>
        <w:pStyle w:val="A-doctorado"/>
        <w:rPr>
          <w:rFonts w:ascii="Arial" w:hAnsi="Arial"/>
          <w:color w:val="auto"/>
          <w:sz w:val="20"/>
          <w:szCs w:val="20"/>
        </w:rPr>
      </w:pPr>
    </w:p>
    <w:p w:rsidR="00090BC7" w:rsidRPr="00AC4AEA" w:rsidRDefault="00090BC7" w:rsidP="00A318EA">
      <w:pPr>
        <w:pStyle w:val="Ttulo2"/>
        <w:rPr>
          <w:rFonts w:cs="Arial"/>
        </w:rPr>
      </w:pPr>
      <w:bookmarkStart w:id="925" w:name="_Toc101864005"/>
      <w:bookmarkStart w:id="926" w:name="_Toc139356904"/>
      <w:r w:rsidRPr="00AC4AEA">
        <w:rPr>
          <w:rFonts w:cs="Arial"/>
        </w:rPr>
        <w:t>Estructura</w:t>
      </w:r>
      <w:bookmarkEnd w:id="925"/>
      <w:bookmarkEnd w:id="926"/>
    </w:p>
    <w:p w:rsidR="00090BC7" w:rsidRPr="00AC4AEA" w:rsidRDefault="00090BC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clasificará las partidas integrantes del </w:t>
      </w:r>
      <w:r w:rsidRPr="00AC4AEA">
        <w:rPr>
          <w:rFonts w:ascii="Arial" w:hAnsi="Arial" w:cs="Arial"/>
          <w:b/>
          <w:bCs/>
          <w:sz w:val="20"/>
          <w:szCs w:val="20"/>
        </w:rPr>
        <w:t>patrimonio neto</w:t>
      </w:r>
      <w:r w:rsidRPr="00AC4AEA">
        <w:rPr>
          <w:rFonts w:ascii="Arial" w:hAnsi="Arial" w:cs="Arial"/>
          <w:sz w:val="20"/>
          <w:szCs w:val="20"/>
        </w:rPr>
        <w:t xml:space="preserve"> de acuerdo con su origen, diferenciando: </w:t>
      </w:r>
    </w:p>
    <w:p w:rsidR="00090BC7" w:rsidRPr="00AC4AEA" w:rsidRDefault="009E16CC" w:rsidP="00A318EA">
      <w:pPr>
        <w:pStyle w:val="Prrafodelista"/>
        <w:numPr>
          <w:ilvl w:val="0"/>
          <w:numId w:val="193"/>
        </w:numPr>
        <w:ind w:left="1560"/>
        <w:contextualSpacing w:val="0"/>
        <w:jc w:val="both"/>
        <w:rPr>
          <w:rFonts w:ascii="Arial" w:hAnsi="Arial" w:cs="Arial"/>
          <w:sz w:val="20"/>
          <w:szCs w:val="20"/>
        </w:rPr>
      </w:pPr>
      <w:r w:rsidRPr="00AC4AEA">
        <w:rPr>
          <w:rFonts w:ascii="Arial" w:hAnsi="Arial" w:cs="Arial"/>
          <w:sz w:val="20"/>
          <w:szCs w:val="20"/>
        </w:rPr>
        <w:t>l</w:t>
      </w:r>
      <w:r w:rsidR="00090BC7" w:rsidRPr="00AC4AEA">
        <w:rPr>
          <w:rFonts w:ascii="Arial" w:hAnsi="Arial" w:cs="Arial"/>
          <w:sz w:val="20"/>
          <w:szCs w:val="20"/>
        </w:rPr>
        <w:t>os aportes de los propietarios</w:t>
      </w:r>
      <w:r w:rsidR="00322537" w:rsidRPr="00AC4AEA">
        <w:rPr>
          <w:rFonts w:ascii="Arial" w:hAnsi="Arial" w:cs="Arial"/>
          <w:sz w:val="20"/>
          <w:szCs w:val="20"/>
        </w:rPr>
        <w:t>;</w:t>
      </w:r>
      <w:r w:rsidR="00090BC7" w:rsidRPr="00AC4AEA">
        <w:rPr>
          <w:rFonts w:ascii="Arial" w:hAnsi="Arial" w:cs="Arial"/>
          <w:sz w:val="20"/>
          <w:szCs w:val="20"/>
        </w:rPr>
        <w:t xml:space="preserve"> y </w:t>
      </w:r>
    </w:p>
    <w:p w:rsidR="00090BC7" w:rsidRPr="00AC4AEA" w:rsidRDefault="009E16CC" w:rsidP="00A318EA">
      <w:pPr>
        <w:pStyle w:val="Prrafodelista"/>
        <w:numPr>
          <w:ilvl w:val="0"/>
          <w:numId w:val="193"/>
        </w:numPr>
        <w:ind w:left="1560"/>
        <w:contextualSpacing w:val="0"/>
        <w:jc w:val="both"/>
        <w:rPr>
          <w:rFonts w:ascii="Arial" w:hAnsi="Arial" w:cs="Arial"/>
          <w:sz w:val="20"/>
          <w:szCs w:val="20"/>
        </w:rPr>
      </w:pPr>
      <w:r w:rsidRPr="00AC4AEA">
        <w:rPr>
          <w:rFonts w:ascii="Arial" w:hAnsi="Arial" w:cs="Arial"/>
          <w:sz w:val="20"/>
          <w:szCs w:val="20"/>
        </w:rPr>
        <w:t>l</w:t>
      </w:r>
      <w:r w:rsidR="00090BC7" w:rsidRPr="00AC4AEA">
        <w:rPr>
          <w:rFonts w:ascii="Arial" w:hAnsi="Arial" w:cs="Arial"/>
          <w:sz w:val="20"/>
          <w:szCs w:val="20"/>
        </w:rPr>
        <w:t>os resultados acumulados.</w:t>
      </w:r>
    </w:p>
    <w:p w:rsidR="00090BC7" w:rsidRPr="00AC4AEA" w:rsidRDefault="00090BC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presentará los aportes de los propietarios discriminando sus componentes, tales como: </w:t>
      </w:r>
    </w:p>
    <w:p w:rsidR="00090BC7" w:rsidRPr="00AC4AEA" w:rsidRDefault="00235A4B" w:rsidP="00A318EA">
      <w:pPr>
        <w:pStyle w:val="Prrafodelista"/>
        <w:numPr>
          <w:ilvl w:val="0"/>
          <w:numId w:val="293"/>
        </w:numPr>
        <w:ind w:left="1560"/>
        <w:contextualSpacing w:val="0"/>
        <w:jc w:val="both"/>
        <w:rPr>
          <w:rFonts w:ascii="Arial" w:hAnsi="Arial" w:cs="Arial"/>
          <w:sz w:val="20"/>
          <w:szCs w:val="20"/>
        </w:rPr>
      </w:pPr>
      <w:r w:rsidRPr="00AC4AEA">
        <w:rPr>
          <w:rFonts w:ascii="Arial" w:hAnsi="Arial" w:cs="Arial"/>
          <w:sz w:val="20"/>
          <w:szCs w:val="20"/>
        </w:rPr>
        <w:t>capital suscripto</w:t>
      </w:r>
      <w:r w:rsidR="00090BC7" w:rsidRPr="00AC4AEA">
        <w:rPr>
          <w:rFonts w:ascii="Arial" w:hAnsi="Arial" w:cs="Arial"/>
          <w:sz w:val="20"/>
          <w:szCs w:val="20"/>
        </w:rPr>
        <w:t>, a su valor nominal</w:t>
      </w:r>
      <w:r w:rsidR="00322537" w:rsidRPr="00AC4AEA">
        <w:rPr>
          <w:rFonts w:ascii="Arial" w:hAnsi="Arial" w:cs="Arial"/>
          <w:sz w:val="20"/>
          <w:szCs w:val="20"/>
        </w:rPr>
        <w:t>;</w:t>
      </w:r>
    </w:p>
    <w:p w:rsidR="00235A4B" w:rsidRPr="00AC4AEA" w:rsidRDefault="00235A4B" w:rsidP="00A318EA">
      <w:pPr>
        <w:pStyle w:val="Prrafodelista"/>
        <w:numPr>
          <w:ilvl w:val="0"/>
          <w:numId w:val="293"/>
        </w:numPr>
        <w:ind w:left="1560"/>
        <w:contextualSpacing w:val="0"/>
        <w:jc w:val="both"/>
        <w:rPr>
          <w:rFonts w:ascii="Arial" w:hAnsi="Arial" w:cs="Arial"/>
          <w:sz w:val="20"/>
          <w:szCs w:val="20"/>
        </w:rPr>
      </w:pPr>
      <w:r w:rsidRPr="00AC4AEA">
        <w:rPr>
          <w:rFonts w:ascii="Arial" w:hAnsi="Arial" w:cs="Arial"/>
          <w:sz w:val="20"/>
          <w:szCs w:val="20"/>
        </w:rPr>
        <w:t xml:space="preserve">el ajuste del capital; </w:t>
      </w:r>
    </w:p>
    <w:p w:rsidR="003C293B" w:rsidRPr="00AC4AEA" w:rsidRDefault="003C293B" w:rsidP="00A318EA">
      <w:pPr>
        <w:pStyle w:val="Prrafodelista"/>
        <w:numPr>
          <w:ilvl w:val="0"/>
          <w:numId w:val="293"/>
        </w:numPr>
        <w:ind w:left="1560"/>
        <w:contextualSpacing w:val="0"/>
        <w:jc w:val="both"/>
        <w:rPr>
          <w:rFonts w:ascii="Arial" w:hAnsi="Arial" w:cs="Arial"/>
          <w:sz w:val="20"/>
          <w:szCs w:val="20"/>
        </w:rPr>
      </w:pPr>
      <w:r w:rsidRPr="00AC4AEA">
        <w:rPr>
          <w:rFonts w:ascii="Arial" w:hAnsi="Arial" w:cs="Arial"/>
          <w:sz w:val="20"/>
          <w:szCs w:val="20"/>
        </w:rPr>
        <w:t xml:space="preserve">los aportes irrevocables; y </w:t>
      </w:r>
    </w:p>
    <w:p w:rsidR="00290414" w:rsidRPr="00AC4AEA" w:rsidRDefault="00290414" w:rsidP="00A318EA">
      <w:pPr>
        <w:pStyle w:val="Prrafodelista"/>
        <w:numPr>
          <w:ilvl w:val="0"/>
          <w:numId w:val="293"/>
        </w:numPr>
        <w:ind w:left="1560"/>
        <w:contextualSpacing w:val="0"/>
        <w:jc w:val="both"/>
        <w:rPr>
          <w:rFonts w:ascii="Arial" w:hAnsi="Arial" w:cs="Arial"/>
          <w:sz w:val="20"/>
          <w:szCs w:val="20"/>
        </w:rPr>
      </w:pPr>
      <w:r w:rsidRPr="00AC4AEA">
        <w:rPr>
          <w:rFonts w:ascii="Arial" w:hAnsi="Arial" w:cs="Arial"/>
          <w:sz w:val="20"/>
          <w:szCs w:val="20"/>
        </w:rPr>
        <w:t>las primas de emisión</w:t>
      </w:r>
      <w:r w:rsidR="003C293B" w:rsidRPr="00AC4AEA">
        <w:rPr>
          <w:rFonts w:ascii="Arial" w:hAnsi="Arial" w:cs="Arial"/>
          <w:sz w:val="20"/>
          <w:szCs w:val="20"/>
        </w:rPr>
        <w:t>.</w:t>
      </w:r>
    </w:p>
    <w:p w:rsidR="00090BC7" w:rsidRPr="00AC4AEA" w:rsidRDefault="00090BC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Dentro de los resultados acumulados, una entidad expondrá en forma diferenciada:</w:t>
      </w:r>
    </w:p>
    <w:p w:rsidR="00090BC7" w:rsidRPr="00AC4AEA" w:rsidRDefault="00657B48" w:rsidP="00A318EA">
      <w:pPr>
        <w:pStyle w:val="Prrafodelista"/>
        <w:numPr>
          <w:ilvl w:val="0"/>
          <w:numId w:val="365"/>
        </w:numPr>
        <w:ind w:left="1560"/>
        <w:contextualSpacing w:val="0"/>
        <w:jc w:val="both"/>
        <w:rPr>
          <w:rFonts w:ascii="Arial" w:hAnsi="Arial" w:cs="Arial"/>
          <w:sz w:val="20"/>
          <w:szCs w:val="20"/>
        </w:rPr>
      </w:pPr>
      <w:r w:rsidRPr="00AC4AEA">
        <w:rPr>
          <w:rFonts w:ascii="Arial" w:hAnsi="Arial" w:cs="Arial"/>
          <w:sz w:val="20"/>
          <w:szCs w:val="20"/>
        </w:rPr>
        <w:t>l</w:t>
      </w:r>
      <w:r w:rsidR="00090BC7" w:rsidRPr="00AC4AEA">
        <w:rPr>
          <w:rFonts w:ascii="Arial" w:hAnsi="Arial" w:cs="Arial"/>
          <w:sz w:val="20"/>
          <w:szCs w:val="20"/>
        </w:rPr>
        <w:t>os resultados del período acumulados, distinguiendo entre:</w:t>
      </w:r>
    </w:p>
    <w:p w:rsidR="00090BC7" w:rsidRPr="00AC4AEA" w:rsidRDefault="00322537" w:rsidP="00A318EA">
      <w:pPr>
        <w:pStyle w:val="Prrafodelista"/>
        <w:numPr>
          <w:ilvl w:val="0"/>
          <w:numId w:val="366"/>
        </w:numPr>
        <w:ind w:left="1985"/>
        <w:contextualSpacing w:val="0"/>
        <w:jc w:val="both"/>
        <w:rPr>
          <w:rFonts w:ascii="Arial" w:hAnsi="Arial" w:cs="Arial"/>
          <w:sz w:val="20"/>
          <w:szCs w:val="20"/>
        </w:rPr>
      </w:pPr>
      <w:r w:rsidRPr="00AC4AEA">
        <w:rPr>
          <w:rFonts w:ascii="Arial" w:hAnsi="Arial" w:cs="Arial"/>
          <w:sz w:val="20"/>
          <w:szCs w:val="20"/>
        </w:rPr>
        <w:t>l</w:t>
      </w:r>
      <w:r w:rsidR="00090BC7" w:rsidRPr="00AC4AEA">
        <w:rPr>
          <w:rFonts w:ascii="Arial" w:hAnsi="Arial" w:cs="Arial"/>
          <w:sz w:val="20"/>
          <w:szCs w:val="20"/>
        </w:rPr>
        <w:t>os resultados no asignados</w:t>
      </w:r>
      <w:r w:rsidRPr="00AC4AEA">
        <w:rPr>
          <w:rFonts w:ascii="Arial" w:hAnsi="Arial" w:cs="Arial"/>
          <w:sz w:val="20"/>
          <w:szCs w:val="20"/>
        </w:rPr>
        <w:t>;</w:t>
      </w:r>
      <w:r w:rsidR="00090BC7" w:rsidRPr="00AC4AEA">
        <w:rPr>
          <w:rFonts w:ascii="Arial" w:hAnsi="Arial" w:cs="Arial"/>
          <w:sz w:val="20"/>
          <w:szCs w:val="20"/>
        </w:rPr>
        <w:t xml:space="preserve"> y</w:t>
      </w:r>
    </w:p>
    <w:p w:rsidR="00090BC7" w:rsidRPr="00AC4AEA" w:rsidRDefault="00322537" w:rsidP="00A318EA">
      <w:pPr>
        <w:pStyle w:val="Prrafodelista"/>
        <w:numPr>
          <w:ilvl w:val="0"/>
          <w:numId w:val="366"/>
        </w:numPr>
        <w:ind w:left="1985"/>
        <w:contextualSpacing w:val="0"/>
        <w:jc w:val="both"/>
        <w:rPr>
          <w:rFonts w:ascii="Arial" w:hAnsi="Arial" w:cs="Arial"/>
          <w:sz w:val="20"/>
          <w:szCs w:val="20"/>
        </w:rPr>
      </w:pPr>
      <w:r w:rsidRPr="00AC4AEA">
        <w:rPr>
          <w:rFonts w:ascii="Arial" w:hAnsi="Arial" w:cs="Arial"/>
          <w:sz w:val="20"/>
          <w:szCs w:val="20"/>
        </w:rPr>
        <w:lastRenderedPageBreak/>
        <w:t>l</w:t>
      </w:r>
      <w:r w:rsidR="00090BC7" w:rsidRPr="00AC4AEA">
        <w:rPr>
          <w:rFonts w:ascii="Arial" w:hAnsi="Arial" w:cs="Arial"/>
          <w:sz w:val="20"/>
          <w:szCs w:val="20"/>
        </w:rPr>
        <w:t>os resultados cuya distribución se encuentre restringida por normas legales, contractuales o decisiones de la entidad (ganancias reservadas)</w:t>
      </w:r>
      <w:r w:rsidR="001542B5" w:rsidRPr="00AC4AEA">
        <w:rPr>
          <w:rFonts w:ascii="Arial" w:hAnsi="Arial" w:cs="Arial"/>
          <w:sz w:val="20"/>
          <w:szCs w:val="20"/>
        </w:rPr>
        <w:t>;</w:t>
      </w:r>
    </w:p>
    <w:p w:rsidR="00090BC7" w:rsidRPr="00AC4AEA" w:rsidRDefault="00322537" w:rsidP="00A318EA">
      <w:pPr>
        <w:pStyle w:val="Prrafodelista"/>
        <w:numPr>
          <w:ilvl w:val="0"/>
          <w:numId w:val="365"/>
        </w:numPr>
        <w:ind w:left="1560"/>
        <w:contextualSpacing w:val="0"/>
        <w:jc w:val="both"/>
        <w:rPr>
          <w:rFonts w:ascii="Arial" w:hAnsi="Arial" w:cs="Arial"/>
          <w:sz w:val="20"/>
          <w:szCs w:val="20"/>
        </w:rPr>
      </w:pPr>
      <w:r w:rsidRPr="00AC4AEA">
        <w:rPr>
          <w:rFonts w:ascii="Arial" w:hAnsi="Arial" w:cs="Arial"/>
          <w:sz w:val="20"/>
          <w:szCs w:val="20"/>
        </w:rPr>
        <w:t>l</w:t>
      </w:r>
      <w:r w:rsidR="00090BC7" w:rsidRPr="00AC4AEA">
        <w:rPr>
          <w:rFonts w:ascii="Arial" w:hAnsi="Arial" w:cs="Arial"/>
          <w:sz w:val="20"/>
          <w:szCs w:val="20"/>
        </w:rPr>
        <w:t xml:space="preserve">os </w:t>
      </w:r>
      <w:r w:rsidR="00090BC7" w:rsidRPr="00AC4AEA">
        <w:rPr>
          <w:rFonts w:ascii="Arial" w:hAnsi="Arial" w:cs="Arial"/>
          <w:b/>
          <w:bCs/>
          <w:sz w:val="20"/>
          <w:szCs w:val="20"/>
        </w:rPr>
        <w:t xml:space="preserve">resultados diferidos </w:t>
      </w:r>
      <w:r w:rsidR="00090BC7" w:rsidRPr="00AC4AEA">
        <w:rPr>
          <w:rFonts w:ascii="Arial" w:hAnsi="Arial" w:cs="Arial"/>
          <w:sz w:val="20"/>
          <w:szCs w:val="20"/>
        </w:rPr>
        <w:t>acumulados.</w:t>
      </w:r>
    </w:p>
    <w:p w:rsidR="00090BC7" w:rsidRPr="00AC4AEA" w:rsidRDefault="00090BC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Para cada rubro integrante del </w:t>
      </w:r>
      <w:r w:rsidRPr="00AC4AEA">
        <w:rPr>
          <w:rFonts w:ascii="Arial" w:hAnsi="Arial" w:cs="Arial"/>
          <w:b/>
          <w:bCs/>
          <w:sz w:val="20"/>
          <w:szCs w:val="20"/>
        </w:rPr>
        <w:t>patrimonio neto</w:t>
      </w:r>
      <w:r w:rsidRPr="00AC4AEA">
        <w:rPr>
          <w:rFonts w:ascii="Arial" w:hAnsi="Arial" w:cs="Arial"/>
          <w:sz w:val="20"/>
          <w:szCs w:val="20"/>
        </w:rPr>
        <w:t>, una entidad presentará la siguiente información:</w:t>
      </w:r>
    </w:p>
    <w:p w:rsidR="00090BC7" w:rsidRPr="00AC4AEA" w:rsidRDefault="00657B48" w:rsidP="00A318EA">
      <w:pPr>
        <w:pStyle w:val="Prrafodelista"/>
        <w:numPr>
          <w:ilvl w:val="0"/>
          <w:numId w:val="195"/>
        </w:numPr>
        <w:ind w:left="1560"/>
        <w:contextualSpacing w:val="0"/>
        <w:jc w:val="both"/>
        <w:rPr>
          <w:rFonts w:ascii="Arial" w:hAnsi="Arial" w:cs="Arial"/>
          <w:sz w:val="20"/>
          <w:szCs w:val="20"/>
        </w:rPr>
      </w:pPr>
      <w:r w:rsidRPr="00AC4AEA">
        <w:rPr>
          <w:rFonts w:ascii="Arial" w:hAnsi="Arial" w:cs="Arial"/>
          <w:sz w:val="20"/>
          <w:szCs w:val="20"/>
        </w:rPr>
        <w:t>e</w:t>
      </w:r>
      <w:r w:rsidR="00090BC7" w:rsidRPr="00AC4AEA">
        <w:rPr>
          <w:rFonts w:ascii="Arial" w:hAnsi="Arial" w:cs="Arial"/>
          <w:sz w:val="20"/>
          <w:szCs w:val="20"/>
        </w:rPr>
        <w:t xml:space="preserve">l saldo inicial del </w:t>
      </w:r>
      <w:r w:rsidR="00BB2858" w:rsidRPr="00AC4AEA">
        <w:rPr>
          <w:rFonts w:ascii="Arial" w:hAnsi="Arial" w:cs="Arial"/>
          <w:sz w:val="20"/>
          <w:szCs w:val="20"/>
        </w:rPr>
        <w:t>ejercicio</w:t>
      </w:r>
      <w:r w:rsidR="00722747" w:rsidRPr="00AC4AEA">
        <w:rPr>
          <w:rFonts w:ascii="Arial" w:hAnsi="Arial" w:cs="Arial"/>
          <w:sz w:val="20"/>
          <w:szCs w:val="20"/>
        </w:rPr>
        <w:t xml:space="preserve"> actual</w:t>
      </w:r>
      <w:r w:rsidR="00090BC7" w:rsidRPr="00AC4AEA">
        <w:rPr>
          <w:rFonts w:ascii="Arial" w:hAnsi="Arial" w:cs="Arial"/>
          <w:sz w:val="20"/>
          <w:szCs w:val="20"/>
        </w:rPr>
        <w:t xml:space="preserve">, que debe coincidir con el saldo final </w:t>
      </w:r>
      <w:r w:rsidR="00722747" w:rsidRPr="00AC4AEA">
        <w:rPr>
          <w:rFonts w:ascii="Arial" w:hAnsi="Arial" w:cs="Arial"/>
          <w:sz w:val="20"/>
          <w:szCs w:val="20"/>
        </w:rPr>
        <w:t xml:space="preserve">del ejercicio anterior </w:t>
      </w:r>
      <w:r w:rsidR="00BB2858" w:rsidRPr="00AC4AEA">
        <w:rPr>
          <w:rFonts w:ascii="Arial" w:hAnsi="Arial" w:cs="Arial"/>
          <w:sz w:val="20"/>
          <w:szCs w:val="20"/>
        </w:rPr>
        <w:t xml:space="preserve">(expresado en moneda homogénea correspondiente a la </w:t>
      </w:r>
      <w:r w:rsidR="00BB2858" w:rsidRPr="00AC4AEA">
        <w:rPr>
          <w:rFonts w:ascii="Arial" w:hAnsi="Arial" w:cs="Arial"/>
          <w:b/>
          <w:bCs/>
          <w:sz w:val="20"/>
          <w:szCs w:val="20"/>
        </w:rPr>
        <w:t xml:space="preserve">fecha de los </w:t>
      </w:r>
      <w:r w:rsidR="00135084" w:rsidRPr="00AC4AEA">
        <w:rPr>
          <w:rFonts w:ascii="Arial" w:hAnsi="Arial" w:cs="Arial"/>
          <w:b/>
          <w:bCs/>
          <w:sz w:val="20"/>
          <w:szCs w:val="20"/>
        </w:rPr>
        <w:t>estados contables</w:t>
      </w:r>
      <w:r w:rsidR="00BB2858" w:rsidRPr="00AC4AEA">
        <w:rPr>
          <w:rFonts w:ascii="Arial" w:hAnsi="Arial" w:cs="Arial"/>
          <w:sz w:val="20"/>
          <w:szCs w:val="20"/>
        </w:rPr>
        <w:t>);</w:t>
      </w:r>
    </w:p>
    <w:p w:rsidR="00090BC7" w:rsidRPr="00AC4AEA" w:rsidRDefault="00657B48" w:rsidP="00A318EA">
      <w:pPr>
        <w:pStyle w:val="Prrafodelista"/>
        <w:numPr>
          <w:ilvl w:val="0"/>
          <w:numId w:val="195"/>
        </w:numPr>
        <w:ind w:left="1560"/>
        <w:contextualSpacing w:val="0"/>
        <w:jc w:val="both"/>
        <w:rPr>
          <w:rFonts w:ascii="Arial" w:hAnsi="Arial" w:cs="Arial"/>
          <w:sz w:val="20"/>
          <w:szCs w:val="20"/>
        </w:rPr>
      </w:pPr>
      <w:r w:rsidRPr="00AC4AEA">
        <w:rPr>
          <w:rFonts w:ascii="Arial" w:hAnsi="Arial" w:cs="Arial"/>
          <w:sz w:val="20"/>
          <w:szCs w:val="20"/>
        </w:rPr>
        <w:t>l</w:t>
      </w:r>
      <w:r w:rsidR="00090BC7" w:rsidRPr="00AC4AEA">
        <w:rPr>
          <w:rFonts w:ascii="Arial" w:hAnsi="Arial" w:cs="Arial"/>
          <w:sz w:val="20"/>
          <w:szCs w:val="20"/>
        </w:rPr>
        <w:t xml:space="preserve">as variaciones procedentes de ajustes de </w:t>
      </w:r>
      <w:r w:rsidR="00BB2858" w:rsidRPr="00AC4AEA">
        <w:rPr>
          <w:rFonts w:ascii="Arial" w:hAnsi="Arial" w:cs="Arial"/>
          <w:sz w:val="20"/>
          <w:szCs w:val="20"/>
        </w:rPr>
        <w:t>períodos</w:t>
      </w:r>
      <w:r w:rsidR="00090BC7" w:rsidRPr="00AC4AEA">
        <w:rPr>
          <w:rFonts w:ascii="Arial" w:hAnsi="Arial" w:cs="Arial"/>
          <w:sz w:val="20"/>
          <w:szCs w:val="20"/>
        </w:rPr>
        <w:t xml:space="preserve"> anteriores</w:t>
      </w:r>
      <w:r w:rsidR="00BB2858" w:rsidRPr="00AC4AEA">
        <w:rPr>
          <w:rFonts w:ascii="Arial" w:hAnsi="Arial" w:cs="Arial"/>
          <w:sz w:val="20"/>
          <w:szCs w:val="20"/>
        </w:rPr>
        <w:t>;</w:t>
      </w:r>
    </w:p>
    <w:p w:rsidR="00090BC7" w:rsidRPr="00AC4AEA" w:rsidRDefault="00657B48" w:rsidP="00A318EA">
      <w:pPr>
        <w:pStyle w:val="Prrafodelista"/>
        <w:numPr>
          <w:ilvl w:val="0"/>
          <w:numId w:val="195"/>
        </w:numPr>
        <w:ind w:left="1560"/>
        <w:contextualSpacing w:val="0"/>
        <w:jc w:val="both"/>
        <w:rPr>
          <w:rFonts w:ascii="Arial" w:hAnsi="Arial" w:cs="Arial"/>
          <w:sz w:val="20"/>
          <w:szCs w:val="20"/>
        </w:rPr>
      </w:pPr>
      <w:r w:rsidRPr="00AC4AEA">
        <w:rPr>
          <w:rFonts w:ascii="Arial" w:hAnsi="Arial" w:cs="Arial"/>
          <w:sz w:val="20"/>
          <w:szCs w:val="20"/>
        </w:rPr>
        <w:t>l</w:t>
      </w:r>
      <w:r w:rsidR="00090BC7" w:rsidRPr="00AC4AEA">
        <w:rPr>
          <w:rFonts w:ascii="Arial" w:hAnsi="Arial" w:cs="Arial"/>
          <w:sz w:val="20"/>
          <w:szCs w:val="20"/>
        </w:rPr>
        <w:t xml:space="preserve">as variaciones del </w:t>
      </w:r>
      <w:r w:rsidR="00BB2858" w:rsidRPr="00AC4AEA">
        <w:rPr>
          <w:rFonts w:ascii="Arial" w:hAnsi="Arial" w:cs="Arial"/>
          <w:sz w:val="20"/>
          <w:szCs w:val="20"/>
        </w:rPr>
        <w:t>período</w:t>
      </w:r>
      <w:r w:rsidR="00322537" w:rsidRPr="00AC4AEA">
        <w:rPr>
          <w:rFonts w:ascii="Arial" w:hAnsi="Arial" w:cs="Arial"/>
          <w:sz w:val="20"/>
          <w:szCs w:val="20"/>
        </w:rPr>
        <w:t>;</w:t>
      </w:r>
      <w:r w:rsidR="00BB2858" w:rsidRPr="00AC4AEA">
        <w:rPr>
          <w:rFonts w:ascii="Arial" w:hAnsi="Arial" w:cs="Arial"/>
          <w:sz w:val="20"/>
          <w:szCs w:val="20"/>
        </w:rPr>
        <w:t xml:space="preserve"> y</w:t>
      </w:r>
    </w:p>
    <w:p w:rsidR="00090BC7" w:rsidRPr="00AC4AEA" w:rsidRDefault="00657B48" w:rsidP="00A318EA">
      <w:pPr>
        <w:pStyle w:val="Prrafodelista"/>
        <w:numPr>
          <w:ilvl w:val="0"/>
          <w:numId w:val="195"/>
        </w:numPr>
        <w:ind w:left="1560"/>
        <w:contextualSpacing w:val="0"/>
        <w:jc w:val="both"/>
        <w:rPr>
          <w:rFonts w:ascii="Arial" w:hAnsi="Arial" w:cs="Arial"/>
          <w:sz w:val="20"/>
          <w:szCs w:val="20"/>
        </w:rPr>
      </w:pPr>
      <w:r w:rsidRPr="00AC4AEA">
        <w:rPr>
          <w:rFonts w:ascii="Arial" w:hAnsi="Arial" w:cs="Arial"/>
          <w:sz w:val="20"/>
          <w:szCs w:val="20"/>
        </w:rPr>
        <w:t>e</w:t>
      </w:r>
      <w:r w:rsidR="00090BC7" w:rsidRPr="00AC4AEA">
        <w:rPr>
          <w:rFonts w:ascii="Arial" w:hAnsi="Arial" w:cs="Arial"/>
          <w:sz w:val="20"/>
          <w:szCs w:val="20"/>
        </w:rPr>
        <w:t>l saldo final del período.</w:t>
      </w:r>
    </w:p>
    <w:p w:rsidR="002C3FB9" w:rsidRPr="00AC4AEA" w:rsidRDefault="002C3FB9" w:rsidP="00A318EA">
      <w:pPr>
        <w:pStyle w:val="Prrafodelista"/>
        <w:ind w:left="1418" w:hanging="993"/>
        <w:contextualSpacing w:val="0"/>
        <w:jc w:val="both"/>
        <w:rPr>
          <w:rFonts w:ascii="Arial" w:hAnsi="Arial" w:cs="Arial"/>
          <w:sz w:val="20"/>
          <w:szCs w:val="20"/>
        </w:rPr>
      </w:pPr>
      <w:r w:rsidRPr="00AC4AEA">
        <w:rPr>
          <w:rFonts w:ascii="Arial" w:hAnsi="Arial" w:cs="Arial"/>
          <w:sz w:val="20"/>
          <w:szCs w:val="20"/>
        </w:rPr>
        <w:t>646</w:t>
      </w:r>
      <w:r w:rsidR="007D7512" w:rsidRPr="00AC4AEA">
        <w:rPr>
          <w:rFonts w:ascii="Arial" w:hAnsi="Arial" w:cs="Arial"/>
          <w:sz w:val="20"/>
          <w:szCs w:val="20"/>
        </w:rPr>
        <w:t>A.</w:t>
      </w:r>
      <w:r w:rsidR="006F2C57">
        <w:rPr>
          <w:rFonts w:ascii="Arial" w:hAnsi="Arial" w:cs="Arial"/>
          <w:sz w:val="20"/>
          <w:szCs w:val="20"/>
        </w:rPr>
        <w:t xml:space="preserve"> </w:t>
      </w:r>
      <w:r w:rsidRPr="00AC4AEA">
        <w:rPr>
          <w:rFonts w:ascii="Arial" w:hAnsi="Arial" w:cs="Arial"/>
          <w:sz w:val="20"/>
          <w:szCs w:val="20"/>
        </w:rPr>
        <w:t>A los de presentar la información comparativa, una entidad podrá optar por exponer las cifras correspondientes al ejercicio anterior:</w:t>
      </w:r>
    </w:p>
    <w:p w:rsidR="002C3FB9" w:rsidRPr="00AC4AEA" w:rsidRDefault="002C3FB9" w:rsidP="00A318EA">
      <w:pPr>
        <w:pStyle w:val="Prrafodelista"/>
        <w:numPr>
          <w:ilvl w:val="1"/>
          <w:numId w:val="29"/>
        </w:numPr>
        <w:ind w:left="1701"/>
        <w:contextualSpacing w:val="0"/>
        <w:jc w:val="both"/>
        <w:rPr>
          <w:rFonts w:ascii="Arial" w:hAnsi="Arial" w:cs="Arial"/>
          <w:sz w:val="20"/>
          <w:szCs w:val="20"/>
        </w:rPr>
      </w:pPr>
      <w:r w:rsidRPr="00AC4AEA">
        <w:rPr>
          <w:rFonts w:ascii="Arial" w:hAnsi="Arial" w:cs="Arial"/>
          <w:sz w:val="20"/>
          <w:szCs w:val="20"/>
        </w:rPr>
        <w:t xml:space="preserve">en forma detallada, con los datos correspondientes a todos los rubros del </w:t>
      </w:r>
      <w:r w:rsidRPr="00AC4AEA">
        <w:rPr>
          <w:rFonts w:ascii="Arial" w:hAnsi="Arial" w:cs="Arial"/>
          <w:b/>
          <w:bCs/>
          <w:sz w:val="20"/>
          <w:szCs w:val="20"/>
        </w:rPr>
        <w:t>patrimonio neto</w:t>
      </w:r>
      <w:r w:rsidRPr="00AC4AEA">
        <w:rPr>
          <w:rFonts w:ascii="Arial" w:hAnsi="Arial" w:cs="Arial"/>
          <w:sz w:val="20"/>
          <w:szCs w:val="20"/>
        </w:rPr>
        <w:t>; o</w:t>
      </w:r>
    </w:p>
    <w:p w:rsidR="002C3FB9" w:rsidRPr="00AC4AEA" w:rsidRDefault="002C3FB9" w:rsidP="00A318EA">
      <w:pPr>
        <w:pStyle w:val="Prrafodelista"/>
        <w:numPr>
          <w:ilvl w:val="1"/>
          <w:numId w:val="29"/>
        </w:numPr>
        <w:ind w:left="1701"/>
        <w:contextualSpacing w:val="0"/>
        <w:jc w:val="both"/>
        <w:rPr>
          <w:rFonts w:ascii="Arial" w:hAnsi="Arial" w:cs="Arial"/>
          <w:sz w:val="20"/>
          <w:szCs w:val="20"/>
        </w:rPr>
      </w:pPr>
      <w:r w:rsidRPr="00AC4AEA">
        <w:rPr>
          <w:rFonts w:ascii="Arial" w:hAnsi="Arial" w:cs="Arial"/>
          <w:sz w:val="20"/>
          <w:szCs w:val="20"/>
        </w:rPr>
        <w:t xml:space="preserve">en una sola columna, con los datos referidos al total del </w:t>
      </w:r>
      <w:r w:rsidRPr="00AC4AEA">
        <w:rPr>
          <w:rFonts w:ascii="Arial" w:hAnsi="Arial" w:cs="Arial"/>
          <w:b/>
          <w:bCs/>
          <w:sz w:val="20"/>
          <w:szCs w:val="20"/>
        </w:rPr>
        <w:t>patrimonio neto</w:t>
      </w:r>
      <w:r w:rsidRPr="00AC4AEA">
        <w:rPr>
          <w:rFonts w:ascii="Arial" w:hAnsi="Arial" w:cs="Arial"/>
          <w:sz w:val="20"/>
          <w:szCs w:val="20"/>
        </w:rPr>
        <w:t>.</w:t>
      </w:r>
    </w:p>
    <w:p w:rsidR="00090BC7" w:rsidRPr="00AC4AEA" w:rsidRDefault="00090BC7" w:rsidP="00A318EA">
      <w:pPr>
        <w:pStyle w:val="A-Norgra"/>
        <w:jc w:val="both"/>
        <w:rPr>
          <w:rFonts w:ascii="Arial" w:hAnsi="Arial" w:cs="Arial"/>
          <w:color w:val="auto"/>
          <w:sz w:val="20"/>
          <w:szCs w:val="20"/>
        </w:rPr>
      </w:pPr>
    </w:p>
    <w:p w:rsidR="00B139A4" w:rsidRPr="00AC4AEA" w:rsidRDefault="00B139A4" w:rsidP="00A318EA">
      <w:pPr>
        <w:pStyle w:val="Ttulo2"/>
        <w:rPr>
          <w:rFonts w:cs="Arial"/>
        </w:rPr>
      </w:pPr>
      <w:bookmarkStart w:id="927" w:name="_Toc101864006"/>
      <w:bookmarkStart w:id="928" w:name="_Toc139356905"/>
      <w:r w:rsidRPr="00AC4AEA">
        <w:rPr>
          <w:rFonts w:cs="Arial"/>
        </w:rPr>
        <w:t>Presentación de las partidas de los resultados diferidos del período</w:t>
      </w:r>
      <w:bookmarkEnd w:id="927"/>
      <w:bookmarkEnd w:id="928"/>
    </w:p>
    <w:p w:rsidR="00B139A4" w:rsidRPr="00AC4AEA" w:rsidRDefault="00B139A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presentará, en el estado de evolución del patrimonio</w:t>
      </w:r>
      <w:r w:rsidR="00FE03B2" w:rsidRPr="00AC4AEA">
        <w:rPr>
          <w:rFonts w:ascii="Arial" w:hAnsi="Arial" w:cs="Arial"/>
          <w:sz w:val="20"/>
          <w:szCs w:val="20"/>
        </w:rPr>
        <w:t xml:space="preserve"> neto</w:t>
      </w:r>
      <w:r w:rsidRPr="00AC4AEA">
        <w:rPr>
          <w:rFonts w:ascii="Arial" w:hAnsi="Arial" w:cs="Arial"/>
          <w:sz w:val="20"/>
          <w:szCs w:val="20"/>
        </w:rPr>
        <w:t xml:space="preserve">, las partidas de </w:t>
      </w:r>
      <w:r w:rsidRPr="00AC4AEA">
        <w:rPr>
          <w:rFonts w:ascii="Arial" w:hAnsi="Arial" w:cs="Arial"/>
          <w:b/>
          <w:bCs/>
          <w:sz w:val="20"/>
          <w:szCs w:val="20"/>
        </w:rPr>
        <w:t xml:space="preserve">resultados diferidos </w:t>
      </w:r>
      <w:r w:rsidRPr="00AC4AEA">
        <w:rPr>
          <w:rFonts w:ascii="Arial" w:hAnsi="Arial" w:cs="Arial"/>
          <w:sz w:val="20"/>
          <w:szCs w:val="20"/>
        </w:rPr>
        <w:t xml:space="preserve">del período según lo indicado a continuación: </w:t>
      </w:r>
    </w:p>
    <w:p w:rsidR="00B139A4" w:rsidRPr="00AC4AEA" w:rsidRDefault="00B139A4" w:rsidP="00A318EA">
      <w:pPr>
        <w:pStyle w:val="Prrafodelista"/>
        <w:numPr>
          <w:ilvl w:val="0"/>
          <w:numId w:val="189"/>
        </w:numPr>
        <w:ind w:left="1560"/>
        <w:contextualSpacing w:val="0"/>
        <w:jc w:val="both"/>
        <w:rPr>
          <w:rFonts w:ascii="Arial" w:hAnsi="Arial" w:cs="Arial"/>
          <w:sz w:val="20"/>
          <w:szCs w:val="20"/>
        </w:rPr>
      </w:pPr>
      <w:r w:rsidRPr="00AC4AEA">
        <w:rPr>
          <w:rFonts w:ascii="Arial" w:hAnsi="Arial" w:cs="Arial"/>
          <w:sz w:val="20"/>
          <w:szCs w:val="20"/>
        </w:rPr>
        <w:t xml:space="preserve">clasificará dichas partidas por naturaleza (incluyendo la parte de los </w:t>
      </w:r>
      <w:r w:rsidRPr="00AC4AEA">
        <w:rPr>
          <w:rFonts w:ascii="Arial" w:hAnsi="Arial" w:cs="Arial"/>
          <w:b/>
          <w:bCs/>
          <w:sz w:val="20"/>
          <w:szCs w:val="20"/>
        </w:rPr>
        <w:t>resultados diferidos</w:t>
      </w:r>
      <w:r w:rsidRPr="00AC4AEA">
        <w:rPr>
          <w:rFonts w:ascii="Arial" w:hAnsi="Arial" w:cs="Arial"/>
          <w:sz w:val="20"/>
          <w:szCs w:val="20"/>
        </w:rPr>
        <w:t xml:space="preserve"> provenientes de asociadas y negocios conjuntos contabilizados mediante el </w:t>
      </w:r>
      <w:r w:rsidRPr="00050219">
        <w:rPr>
          <w:rFonts w:ascii="Arial" w:hAnsi="Arial" w:cs="Arial"/>
          <w:b/>
          <w:bCs/>
          <w:sz w:val="20"/>
          <w:szCs w:val="20"/>
        </w:rPr>
        <w:t>valor patrimonial proporcional</w:t>
      </w:r>
      <w:r w:rsidRPr="00AC4AEA">
        <w:rPr>
          <w:rFonts w:ascii="Arial" w:hAnsi="Arial" w:cs="Arial"/>
          <w:sz w:val="20"/>
          <w:szCs w:val="20"/>
        </w:rPr>
        <w:t xml:space="preserve">); y </w:t>
      </w:r>
    </w:p>
    <w:p w:rsidR="00B139A4" w:rsidRPr="00AC4AEA" w:rsidRDefault="00B139A4" w:rsidP="00A318EA">
      <w:pPr>
        <w:pStyle w:val="Prrafodelista"/>
        <w:numPr>
          <w:ilvl w:val="0"/>
          <w:numId w:val="189"/>
        </w:numPr>
        <w:ind w:left="1560"/>
        <w:contextualSpacing w:val="0"/>
        <w:jc w:val="both"/>
        <w:rPr>
          <w:rFonts w:ascii="Arial" w:hAnsi="Arial" w:cs="Arial"/>
          <w:sz w:val="20"/>
          <w:szCs w:val="20"/>
        </w:rPr>
      </w:pPr>
      <w:r w:rsidRPr="00AC4AEA">
        <w:rPr>
          <w:rFonts w:ascii="Arial" w:hAnsi="Arial" w:cs="Arial"/>
          <w:sz w:val="20"/>
          <w:szCs w:val="20"/>
        </w:rPr>
        <w:t>distinguirá</w:t>
      </w:r>
      <w:r w:rsidR="00B5704C" w:rsidRPr="00AC4AEA">
        <w:rPr>
          <w:rFonts w:ascii="Arial" w:hAnsi="Arial" w:cs="Arial"/>
          <w:sz w:val="20"/>
          <w:szCs w:val="20"/>
        </w:rPr>
        <w:t>,</w:t>
      </w:r>
      <w:r w:rsidR="00657E64" w:rsidRPr="00AC4AEA">
        <w:rPr>
          <w:rFonts w:ascii="Arial" w:hAnsi="Arial" w:cs="Arial"/>
          <w:sz w:val="20"/>
          <w:szCs w:val="20"/>
        </w:rPr>
        <w:t xml:space="preserve"> en </w:t>
      </w:r>
      <w:r w:rsidR="00B5704C" w:rsidRPr="00AC4AEA">
        <w:rPr>
          <w:rFonts w:ascii="Arial" w:hAnsi="Arial" w:cs="Arial"/>
          <w:sz w:val="20"/>
          <w:szCs w:val="20"/>
        </w:rPr>
        <w:t>el cuerpo del estado o en notas,</w:t>
      </w:r>
      <w:r w:rsidRPr="00AC4AEA">
        <w:rPr>
          <w:rFonts w:ascii="Arial" w:hAnsi="Arial" w:cs="Arial"/>
          <w:sz w:val="20"/>
          <w:szCs w:val="20"/>
        </w:rPr>
        <w:t xml:space="preserve"> las partidas que, según lo establezca </w:t>
      </w:r>
      <w:r w:rsidR="00657E64" w:rsidRPr="00AC4AEA">
        <w:rPr>
          <w:rFonts w:ascii="Arial" w:hAnsi="Arial" w:cs="Arial"/>
          <w:sz w:val="20"/>
          <w:szCs w:val="20"/>
        </w:rPr>
        <w:t>esta Resolución Técnica</w:t>
      </w:r>
      <w:r w:rsidRPr="00AC4AEA">
        <w:rPr>
          <w:rFonts w:ascii="Arial" w:hAnsi="Arial" w:cs="Arial"/>
          <w:sz w:val="20"/>
          <w:szCs w:val="20"/>
        </w:rPr>
        <w:t xml:space="preserve"> u </w:t>
      </w:r>
      <w:r w:rsidR="00657E64" w:rsidRPr="00AC4AEA">
        <w:rPr>
          <w:rFonts w:ascii="Arial" w:hAnsi="Arial" w:cs="Arial"/>
          <w:b/>
          <w:bCs/>
          <w:sz w:val="20"/>
          <w:szCs w:val="20"/>
        </w:rPr>
        <w:t>otras normas contables</w:t>
      </w:r>
      <w:r w:rsidRPr="00AC4AEA">
        <w:rPr>
          <w:rFonts w:ascii="Arial" w:hAnsi="Arial" w:cs="Arial"/>
          <w:sz w:val="20"/>
          <w:szCs w:val="20"/>
        </w:rPr>
        <w:t>:</w:t>
      </w:r>
    </w:p>
    <w:p w:rsidR="00B139A4" w:rsidRPr="00AC4AEA" w:rsidRDefault="00B139A4" w:rsidP="00A318EA">
      <w:pPr>
        <w:pStyle w:val="Prrafodelista"/>
        <w:numPr>
          <w:ilvl w:val="0"/>
          <w:numId w:val="190"/>
        </w:numPr>
        <w:ind w:left="1985"/>
        <w:contextualSpacing w:val="0"/>
        <w:jc w:val="both"/>
        <w:rPr>
          <w:rFonts w:ascii="Arial" w:hAnsi="Arial" w:cs="Arial"/>
          <w:sz w:val="20"/>
          <w:szCs w:val="20"/>
        </w:rPr>
      </w:pPr>
      <w:r w:rsidRPr="00AC4AEA">
        <w:rPr>
          <w:rFonts w:ascii="Arial" w:hAnsi="Arial" w:cs="Arial"/>
          <w:sz w:val="20"/>
          <w:szCs w:val="20"/>
        </w:rPr>
        <w:t xml:space="preserve">no se reclasificarán posteriormente al resultado del período; y </w:t>
      </w:r>
    </w:p>
    <w:p w:rsidR="00B139A4" w:rsidRPr="00AC4AEA" w:rsidRDefault="00B139A4" w:rsidP="00A318EA">
      <w:pPr>
        <w:pStyle w:val="Prrafodelista"/>
        <w:numPr>
          <w:ilvl w:val="0"/>
          <w:numId w:val="190"/>
        </w:numPr>
        <w:ind w:left="1985"/>
        <w:contextualSpacing w:val="0"/>
        <w:jc w:val="both"/>
        <w:rPr>
          <w:rFonts w:ascii="Arial" w:hAnsi="Arial" w:cs="Arial"/>
          <w:sz w:val="20"/>
          <w:szCs w:val="20"/>
        </w:rPr>
      </w:pPr>
      <w:r w:rsidRPr="00AC4AEA">
        <w:rPr>
          <w:rFonts w:ascii="Arial" w:hAnsi="Arial" w:cs="Arial"/>
          <w:sz w:val="20"/>
          <w:szCs w:val="20"/>
        </w:rPr>
        <w:t>se reclasificarán posteriormente a resultados del período</w:t>
      </w:r>
      <w:r w:rsidR="00C345C2" w:rsidRPr="00AC4AEA">
        <w:rPr>
          <w:rFonts w:ascii="Arial" w:hAnsi="Arial" w:cs="Arial"/>
          <w:sz w:val="20"/>
          <w:szCs w:val="20"/>
        </w:rPr>
        <w:t>.</w:t>
      </w:r>
    </w:p>
    <w:p w:rsidR="00B139A4" w:rsidRPr="00AC4AEA" w:rsidRDefault="00B139A4" w:rsidP="00A318EA">
      <w:pPr>
        <w:pStyle w:val="Prrafodelista"/>
        <w:numPr>
          <w:ilvl w:val="0"/>
          <w:numId w:val="29"/>
        </w:numPr>
        <w:contextualSpacing w:val="0"/>
        <w:jc w:val="both"/>
        <w:rPr>
          <w:rFonts w:ascii="Arial" w:hAnsi="Arial" w:cs="Arial"/>
          <w:sz w:val="20"/>
          <w:szCs w:val="20"/>
        </w:rPr>
      </w:pPr>
      <w:bookmarkStart w:id="929" w:name="_Ref99491592"/>
      <w:r w:rsidRPr="00AC4AEA">
        <w:rPr>
          <w:rFonts w:ascii="Arial" w:hAnsi="Arial" w:cs="Arial"/>
          <w:sz w:val="20"/>
          <w:szCs w:val="20"/>
        </w:rPr>
        <w:t>Cuando reclasifique partidas reconocidas previamente como resultado diferido del período, una entidad:</w:t>
      </w:r>
      <w:bookmarkEnd w:id="929"/>
      <w:r w:rsidRPr="00AC4AEA">
        <w:rPr>
          <w:rFonts w:ascii="Arial" w:hAnsi="Arial" w:cs="Arial"/>
          <w:sz w:val="20"/>
          <w:szCs w:val="20"/>
        </w:rPr>
        <w:t xml:space="preserve"> </w:t>
      </w:r>
    </w:p>
    <w:p w:rsidR="00B139A4" w:rsidRPr="00AC4AEA" w:rsidRDefault="00B139A4" w:rsidP="00A318EA">
      <w:pPr>
        <w:pStyle w:val="Prrafodelista"/>
        <w:numPr>
          <w:ilvl w:val="0"/>
          <w:numId w:val="191"/>
        </w:numPr>
        <w:ind w:left="1560"/>
        <w:contextualSpacing w:val="0"/>
        <w:jc w:val="both"/>
        <w:rPr>
          <w:rFonts w:ascii="Arial" w:hAnsi="Arial" w:cs="Arial"/>
          <w:sz w:val="20"/>
          <w:szCs w:val="20"/>
        </w:rPr>
      </w:pPr>
      <w:r w:rsidRPr="00AC4AEA">
        <w:rPr>
          <w:rFonts w:ascii="Arial" w:hAnsi="Arial" w:cs="Arial"/>
          <w:sz w:val="20"/>
          <w:szCs w:val="20"/>
        </w:rPr>
        <w:t>expondrá en esa sección los conceptos positivos y negativos de tales reclasificaciones o transferencias; y</w:t>
      </w:r>
    </w:p>
    <w:p w:rsidR="00B139A4" w:rsidRPr="00AC4AEA" w:rsidRDefault="00B139A4" w:rsidP="00A318EA">
      <w:pPr>
        <w:pStyle w:val="Prrafodelista"/>
        <w:numPr>
          <w:ilvl w:val="0"/>
          <w:numId w:val="191"/>
        </w:numPr>
        <w:ind w:left="1560"/>
        <w:contextualSpacing w:val="0"/>
        <w:jc w:val="both"/>
        <w:rPr>
          <w:rFonts w:ascii="Arial" w:hAnsi="Arial" w:cs="Arial"/>
          <w:sz w:val="20"/>
          <w:szCs w:val="20"/>
        </w:rPr>
      </w:pPr>
      <w:r w:rsidRPr="00AC4AEA">
        <w:rPr>
          <w:rFonts w:ascii="Arial" w:hAnsi="Arial" w:cs="Arial"/>
          <w:sz w:val="20"/>
          <w:szCs w:val="20"/>
        </w:rPr>
        <w:t xml:space="preserve">presentará la información de modo tal que permita a los </w:t>
      </w:r>
      <w:r w:rsidRPr="00D86B48">
        <w:rPr>
          <w:rFonts w:ascii="Arial" w:hAnsi="Arial" w:cs="Arial"/>
          <w:b/>
          <w:bCs/>
          <w:sz w:val="20"/>
          <w:szCs w:val="20"/>
        </w:rPr>
        <w:t xml:space="preserve">usuarios </w:t>
      </w:r>
      <w:r w:rsidRPr="00AC4AEA">
        <w:rPr>
          <w:rFonts w:ascii="Arial" w:hAnsi="Arial" w:cs="Arial"/>
          <w:sz w:val="20"/>
          <w:szCs w:val="20"/>
        </w:rPr>
        <w:t xml:space="preserve">identificar para cada componente de los </w:t>
      </w:r>
      <w:r w:rsidRPr="00AC4AEA">
        <w:rPr>
          <w:rFonts w:ascii="Arial" w:hAnsi="Arial" w:cs="Arial"/>
          <w:b/>
          <w:bCs/>
          <w:sz w:val="20"/>
          <w:szCs w:val="20"/>
        </w:rPr>
        <w:t>resultados diferidos</w:t>
      </w:r>
      <w:r w:rsidRPr="00AC4AEA">
        <w:rPr>
          <w:rFonts w:ascii="Arial" w:hAnsi="Arial" w:cs="Arial"/>
          <w:sz w:val="20"/>
          <w:szCs w:val="20"/>
        </w:rPr>
        <w:t>:</w:t>
      </w:r>
    </w:p>
    <w:p w:rsidR="00B139A4" w:rsidRPr="00AC4AEA" w:rsidRDefault="00B139A4" w:rsidP="00A318EA">
      <w:pPr>
        <w:pStyle w:val="Prrafodelista"/>
        <w:numPr>
          <w:ilvl w:val="0"/>
          <w:numId w:val="192"/>
        </w:numPr>
        <w:ind w:left="1985"/>
        <w:contextualSpacing w:val="0"/>
        <w:jc w:val="both"/>
        <w:rPr>
          <w:rFonts w:ascii="Arial" w:hAnsi="Arial" w:cs="Arial"/>
          <w:sz w:val="20"/>
          <w:szCs w:val="20"/>
        </w:rPr>
      </w:pPr>
      <w:r w:rsidRPr="00AC4AEA">
        <w:rPr>
          <w:rFonts w:ascii="Arial" w:hAnsi="Arial" w:cs="Arial"/>
          <w:sz w:val="20"/>
          <w:szCs w:val="20"/>
        </w:rPr>
        <w:t>el importe bruto devengado en el período; y</w:t>
      </w:r>
    </w:p>
    <w:p w:rsidR="00B139A4" w:rsidRPr="00AC4AEA" w:rsidRDefault="00B139A4" w:rsidP="00A318EA">
      <w:pPr>
        <w:pStyle w:val="Prrafodelista"/>
        <w:numPr>
          <w:ilvl w:val="0"/>
          <w:numId w:val="192"/>
        </w:numPr>
        <w:ind w:left="1985"/>
        <w:contextualSpacing w:val="0"/>
        <w:jc w:val="both"/>
        <w:rPr>
          <w:rFonts w:ascii="Arial" w:hAnsi="Arial" w:cs="Arial"/>
          <w:sz w:val="20"/>
          <w:szCs w:val="20"/>
        </w:rPr>
      </w:pPr>
      <w:r w:rsidRPr="00AC4AEA">
        <w:rPr>
          <w:rFonts w:ascii="Arial" w:hAnsi="Arial" w:cs="Arial"/>
          <w:sz w:val="20"/>
          <w:szCs w:val="20"/>
        </w:rPr>
        <w:lastRenderedPageBreak/>
        <w:t>cualquier impuesto a las ganancias relacionado con dicho resultado.</w:t>
      </w:r>
    </w:p>
    <w:p w:rsidR="00AE7883" w:rsidRPr="00AC4AEA" w:rsidRDefault="00AE7883" w:rsidP="00A318EA">
      <w:pPr>
        <w:pStyle w:val="Ttulo1"/>
        <w:rPr>
          <w:rFonts w:cs="Arial"/>
          <w:sz w:val="20"/>
          <w:szCs w:val="20"/>
        </w:rPr>
      </w:pPr>
      <w:bookmarkStart w:id="930" w:name="efe"/>
      <w:bookmarkStart w:id="931" w:name="_Toc101864007"/>
      <w:bookmarkEnd w:id="930"/>
    </w:p>
    <w:p w:rsidR="0090400F" w:rsidRPr="00AC4AEA" w:rsidRDefault="00BF07CD" w:rsidP="00A318EA">
      <w:pPr>
        <w:pStyle w:val="Ttulo1"/>
        <w:rPr>
          <w:rFonts w:cs="Arial"/>
          <w:sz w:val="20"/>
          <w:szCs w:val="20"/>
        </w:rPr>
      </w:pPr>
      <w:bookmarkStart w:id="932" w:name="_Toc139356906"/>
      <w:r w:rsidRPr="00AC4AEA">
        <w:rPr>
          <w:rFonts w:cs="Arial"/>
          <w:sz w:val="20"/>
          <w:szCs w:val="20"/>
        </w:rPr>
        <w:t>CUESTIONES REFERIDAS AL ESTADO DE FLUJOS DE EFECTIVO</w:t>
      </w:r>
      <w:bookmarkEnd w:id="931"/>
      <w:bookmarkEnd w:id="932"/>
    </w:p>
    <w:p w:rsidR="00BB2858" w:rsidRPr="00AC4AEA" w:rsidRDefault="00BB2858" w:rsidP="00A318EA">
      <w:pPr>
        <w:pStyle w:val="Ttulo2"/>
        <w:rPr>
          <w:rFonts w:cs="Arial"/>
        </w:rPr>
      </w:pPr>
      <w:bookmarkStart w:id="933" w:name="_Toc101864008"/>
      <w:bookmarkStart w:id="934" w:name="_Toc139356907"/>
      <w:r w:rsidRPr="00AC4AEA">
        <w:rPr>
          <w:rFonts w:cs="Arial"/>
        </w:rPr>
        <w:t>Definiciones</w:t>
      </w:r>
      <w:bookmarkEnd w:id="933"/>
      <w:bookmarkEnd w:id="934"/>
    </w:p>
    <w:p w:rsidR="00EB44FE" w:rsidRPr="00287AEC" w:rsidRDefault="00EB44FE" w:rsidP="00A318EA">
      <w:pPr>
        <w:pStyle w:val="Prrafodelista"/>
        <w:numPr>
          <w:ilvl w:val="0"/>
          <w:numId w:val="29"/>
        </w:numPr>
        <w:contextualSpacing w:val="0"/>
        <w:jc w:val="both"/>
        <w:rPr>
          <w:rFonts w:ascii="Arial" w:hAnsi="Arial" w:cs="Arial"/>
          <w:sz w:val="20"/>
          <w:szCs w:val="20"/>
        </w:rPr>
      </w:pPr>
      <w:bookmarkStart w:id="935" w:name="_Ref99491640"/>
      <w:r w:rsidRPr="00AC4AEA">
        <w:rPr>
          <w:rFonts w:ascii="Arial" w:hAnsi="Arial" w:cs="Arial"/>
          <w:sz w:val="20"/>
          <w:szCs w:val="20"/>
        </w:rPr>
        <w:t xml:space="preserve">A los fines de presentar el estado contable referido en esta sección, una entidad </w:t>
      </w:r>
      <w:r w:rsidRPr="00287AEC">
        <w:rPr>
          <w:rFonts w:ascii="Arial" w:hAnsi="Arial" w:cs="Arial"/>
          <w:sz w:val="20"/>
          <w:szCs w:val="20"/>
        </w:rPr>
        <w:t>deberá considerar las siguientes definiciones:</w:t>
      </w:r>
      <w:bookmarkEnd w:id="935"/>
    </w:p>
    <w:p w:rsidR="006A3023" w:rsidRPr="00287AEC" w:rsidRDefault="006A3023" w:rsidP="006A3023">
      <w:pPr>
        <w:pStyle w:val="Prrafodelista"/>
        <w:autoSpaceDE w:val="0"/>
        <w:autoSpaceDN w:val="0"/>
        <w:adjustRightInd w:val="0"/>
        <w:ind w:left="1418"/>
        <w:contextualSpacing w:val="0"/>
        <w:jc w:val="both"/>
        <w:rPr>
          <w:rFonts w:ascii="Arial" w:hAnsi="Arial" w:cs="Arial"/>
          <w:sz w:val="20"/>
          <w:szCs w:val="20"/>
        </w:rPr>
      </w:pPr>
      <w:r w:rsidRPr="00287AEC">
        <w:rPr>
          <w:rFonts w:ascii="Arial" w:hAnsi="Arial" w:cs="Arial"/>
          <w:sz w:val="20"/>
          <w:szCs w:val="20"/>
          <w:u w:val="single"/>
        </w:rPr>
        <w:t>Actividades operativas</w:t>
      </w:r>
      <w:r w:rsidRPr="00287AEC">
        <w:rPr>
          <w:rFonts w:ascii="Arial" w:hAnsi="Arial" w:cs="Arial"/>
          <w:sz w:val="20"/>
          <w:szCs w:val="20"/>
        </w:rPr>
        <w:t xml:space="preserve">: Son las principales actividades de la entidad que producen ingresos y otras actividades no comprendidas en las actividades de inversión o de financiamiento. </w:t>
      </w:r>
    </w:p>
    <w:p w:rsidR="006A3023" w:rsidRPr="00AC4AEA" w:rsidRDefault="006A3023" w:rsidP="006A3023">
      <w:pPr>
        <w:pStyle w:val="Prrafodelista"/>
        <w:autoSpaceDE w:val="0"/>
        <w:autoSpaceDN w:val="0"/>
        <w:adjustRightInd w:val="0"/>
        <w:ind w:left="1418"/>
        <w:contextualSpacing w:val="0"/>
        <w:jc w:val="both"/>
        <w:rPr>
          <w:rFonts w:ascii="Arial" w:hAnsi="Arial" w:cs="Arial"/>
          <w:sz w:val="20"/>
          <w:szCs w:val="20"/>
        </w:rPr>
      </w:pPr>
      <w:r w:rsidRPr="00287AEC">
        <w:rPr>
          <w:rFonts w:ascii="Arial" w:hAnsi="Arial" w:cs="Arial"/>
          <w:sz w:val="20"/>
          <w:szCs w:val="20"/>
        </w:rPr>
        <w:t>Las actividades operativas incluyen los pagos por compras (o cobros por ventas)</w:t>
      </w:r>
      <w:r w:rsidRPr="00AC4AEA">
        <w:rPr>
          <w:rFonts w:ascii="Arial" w:hAnsi="Arial" w:cs="Arial"/>
          <w:sz w:val="20"/>
          <w:szCs w:val="20"/>
        </w:rPr>
        <w:t xml:space="preserve"> de acciones o títulos de deuda destinados a negociación habitual.</w:t>
      </w:r>
    </w:p>
    <w:p w:rsidR="006A3023" w:rsidRPr="00AC4AEA" w:rsidRDefault="006A3023" w:rsidP="006A3023">
      <w:pPr>
        <w:autoSpaceDE w:val="0"/>
        <w:autoSpaceDN w:val="0"/>
        <w:adjustRightInd w:val="0"/>
        <w:ind w:left="1418"/>
        <w:jc w:val="both"/>
        <w:rPr>
          <w:rFonts w:ascii="Arial" w:hAnsi="Arial" w:cs="Arial"/>
          <w:sz w:val="20"/>
          <w:szCs w:val="20"/>
        </w:rPr>
      </w:pPr>
      <w:r w:rsidRPr="00AC4AEA">
        <w:rPr>
          <w:rFonts w:ascii="Arial" w:hAnsi="Arial" w:cs="Arial"/>
          <w:bCs/>
          <w:sz w:val="20"/>
          <w:szCs w:val="20"/>
          <w:u w:val="single"/>
        </w:rPr>
        <w:t>Actividades de inversión</w:t>
      </w:r>
      <w:r w:rsidRPr="00AC4AEA">
        <w:rPr>
          <w:rFonts w:ascii="Arial" w:hAnsi="Arial" w:cs="Arial"/>
          <w:bCs/>
          <w:sz w:val="20"/>
          <w:szCs w:val="20"/>
        </w:rPr>
        <w:t>:</w:t>
      </w:r>
      <w:r w:rsidRPr="00AC4AEA">
        <w:rPr>
          <w:rFonts w:ascii="Arial" w:hAnsi="Arial" w:cs="Arial"/>
          <w:b/>
          <w:sz w:val="20"/>
          <w:szCs w:val="20"/>
        </w:rPr>
        <w:t xml:space="preserve"> </w:t>
      </w:r>
      <w:r w:rsidRPr="00AC4AEA">
        <w:rPr>
          <w:rFonts w:ascii="Arial" w:hAnsi="Arial" w:cs="Arial"/>
          <w:sz w:val="20"/>
          <w:szCs w:val="20"/>
        </w:rPr>
        <w:t>Corresponden a los movimientos de efectivo y sus equivalentes resultantes de la adquisición y enajenación de activos realizables a largo plazo y de otras inversiones que no son equivalentes de efectivo, excepto las mantenidas con fines de negociación habitual.</w:t>
      </w:r>
    </w:p>
    <w:p w:rsidR="006A3023" w:rsidRPr="00AC4AEA" w:rsidRDefault="006A3023" w:rsidP="006A3023">
      <w:pPr>
        <w:autoSpaceDE w:val="0"/>
        <w:autoSpaceDN w:val="0"/>
        <w:adjustRightInd w:val="0"/>
        <w:ind w:left="1416"/>
        <w:jc w:val="both"/>
        <w:rPr>
          <w:rFonts w:ascii="Arial" w:hAnsi="Arial" w:cs="Arial"/>
          <w:sz w:val="20"/>
          <w:szCs w:val="20"/>
        </w:rPr>
      </w:pPr>
      <w:r w:rsidRPr="00AC4AEA">
        <w:rPr>
          <w:rFonts w:ascii="Arial" w:hAnsi="Arial" w:cs="Arial"/>
          <w:bCs/>
          <w:sz w:val="20"/>
          <w:szCs w:val="20"/>
          <w:u w:val="single"/>
        </w:rPr>
        <w:t>Actividades de financiación</w:t>
      </w:r>
      <w:r w:rsidRPr="00AC4AEA">
        <w:rPr>
          <w:rFonts w:ascii="Arial" w:hAnsi="Arial" w:cs="Arial"/>
          <w:bCs/>
          <w:sz w:val="20"/>
          <w:szCs w:val="20"/>
        </w:rPr>
        <w:t>:</w:t>
      </w:r>
      <w:r w:rsidRPr="00AC4AEA">
        <w:rPr>
          <w:rFonts w:ascii="Arial" w:hAnsi="Arial" w:cs="Arial"/>
          <w:b/>
          <w:sz w:val="20"/>
          <w:szCs w:val="20"/>
        </w:rPr>
        <w:t xml:space="preserve"> </w:t>
      </w:r>
      <w:r w:rsidRPr="00AC4AEA">
        <w:rPr>
          <w:rFonts w:ascii="Arial" w:hAnsi="Arial" w:cs="Arial"/>
          <w:sz w:val="20"/>
          <w:szCs w:val="20"/>
        </w:rPr>
        <w:t>Corresponden a los movimientos de efectivo y sus equivalentes resultantes de transacciones con los propietarios en su carácter de tales y con los proveedores de recursos financieros externos (tales como préstamos y obligaciones negociables).</w:t>
      </w:r>
    </w:p>
    <w:p w:rsidR="006A3023" w:rsidRDefault="006A3023" w:rsidP="00A318EA">
      <w:pPr>
        <w:pStyle w:val="A-Normal11"/>
        <w:ind w:left="1416"/>
        <w:jc w:val="both"/>
        <w:rPr>
          <w:rFonts w:ascii="Arial" w:hAnsi="Arial" w:cs="Arial"/>
          <w:sz w:val="20"/>
          <w:u w:val="single"/>
        </w:rPr>
      </w:pPr>
    </w:p>
    <w:p w:rsidR="00BB2858" w:rsidRPr="00AC4AEA" w:rsidRDefault="00BB2858" w:rsidP="00A318EA">
      <w:pPr>
        <w:pStyle w:val="A-Normal11"/>
        <w:ind w:left="1416"/>
        <w:jc w:val="both"/>
        <w:rPr>
          <w:rFonts w:ascii="Arial" w:hAnsi="Arial" w:cs="Arial"/>
          <w:sz w:val="20"/>
        </w:rPr>
      </w:pPr>
      <w:r w:rsidRPr="00AC4AEA">
        <w:rPr>
          <w:rFonts w:ascii="Arial" w:hAnsi="Arial" w:cs="Arial"/>
          <w:sz w:val="20"/>
          <w:u w:val="single"/>
        </w:rPr>
        <w:t>Estado de flujos de efectivo</w:t>
      </w:r>
      <w:r w:rsidRPr="00AC4AEA">
        <w:rPr>
          <w:rFonts w:ascii="Arial" w:hAnsi="Arial" w:cs="Arial"/>
          <w:sz w:val="20"/>
        </w:rPr>
        <w:t>: Es el estado contable mediante el cual una entidad informará sobre:</w:t>
      </w:r>
    </w:p>
    <w:p w:rsidR="00BB2858" w:rsidRPr="00AC4AEA" w:rsidRDefault="00657B48" w:rsidP="00A318EA">
      <w:pPr>
        <w:pStyle w:val="A-Normal11"/>
        <w:numPr>
          <w:ilvl w:val="0"/>
          <w:numId w:val="196"/>
        </w:numPr>
        <w:ind w:left="1983"/>
        <w:jc w:val="both"/>
        <w:rPr>
          <w:rFonts w:ascii="Arial" w:hAnsi="Arial" w:cs="Arial"/>
          <w:sz w:val="20"/>
        </w:rPr>
      </w:pPr>
      <w:r w:rsidRPr="00AC4AEA">
        <w:rPr>
          <w:rFonts w:ascii="Arial" w:hAnsi="Arial" w:cs="Arial"/>
          <w:sz w:val="20"/>
        </w:rPr>
        <w:t>l</w:t>
      </w:r>
      <w:r w:rsidR="00BB2858" w:rsidRPr="00AC4AEA">
        <w:rPr>
          <w:rFonts w:ascii="Arial" w:hAnsi="Arial" w:cs="Arial"/>
          <w:sz w:val="20"/>
        </w:rPr>
        <w:t>as variaciones del efectivo y de los equivalentes de efectivo</w:t>
      </w:r>
      <w:r w:rsidR="00653009" w:rsidRPr="00AC4AEA">
        <w:rPr>
          <w:rFonts w:ascii="Arial" w:hAnsi="Arial" w:cs="Arial"/>
          <w:sz w:val="20"/>
        </w:rPr>
        <w:t>;</w:t>
      </w:r>
      <w:r w:rsidR="00BB2858" w:rsidRPr="00AC4AEA">
        <w:rPr>
          <w:rFonts w:ascii="Arial" w:hAnsi="Arial" w:cs="Arial"/>
          <w:sz w:val="20"/>
        </w:rPr>
        <w:t xml:space="preserve"> y</w:t>
      </w:r>
    </w:p>
    <w:p w:rsidR="00BB2858" w:rsidRPr="00AC4AEA" w:rsidRDefault="00657B48" w:rsidP="00A318EA">
      <w:pPr>
        <w:pStyle w:val="A-Normal11"/>
        <w:numPr>
          <w:ilvl w:val="0"/>
          <w:numId w:val="196"/>
        </w:numPr>
        <w:ind w:left="1983"/>
        <w:jc w:val="both"/>
        <w:rPr>
          <w:rFonts w:ascii="Arial" w:hAnsi="Arial" w:cs="Arial"/>
          <w:sz w:val="20"/>
        </w:rPr>
      </w:pPr>
      <w:r w:rsidRPr="00AC4AEA">
        <w:rPr>
          <w:rFonts w:ascii="Arial" w:hAnsi="Arial" w:cs="Arial"/>
          <w:sz w:val="20"/>
        </w:rPr>
        <w:t>l</w:t>
      </w:r>
      <w:r w:rsidR="00BB2858" w:rsidRPr="00AC4AEA">
        <w:rPr>
          <w:rFonts w:ascii="Arial" w:hAnsi="Arial" w:cs="Arial"/>
          <w:sz w:val="20"/>
        </w:rPr>
        <w:t>as causas de dichas variaciones.</w:t>
      </w:r>
    </w:p>
    <w:p w:rsidR="00BB2858" w:rsidRPr="00AC4AEA" w:rsidRDefault="00BB2858" w:rsidP="00A318EA">
      <w:pPr>
        <w:pStyle w:val="A-Normal11"/>
        <w:ind w:left="1416"/>
        <w:jc w:val="both"/>
        <w:rPr>
          <w:rFonts w:ascii="Arial" w:hAnsi="Arial" w:cs="Arial"/>
          <w:sz w:val="20"/>
        </w:rPr>
      </w:pPr>
      <w:r w:rsidRPr="00AC4AEA">
        <w:rPr>
          <w:rFonts w:ascii="Arial" w:hAnsi="Arial" w:cs="Arial"/>
          <w:sz w:val="20"/>
          <w:u w:val="single"/>
        </w:rPr>
        <w:t>Efectivo</w:t>
      </w:r>
      <w:r w:rsidRPr="00AC4AEA">
        <w:rPr>
          <w:rFonts w:ascii="Arial" w:hAnsi="Arial" w:cs="Arial"/>
          <w:sz w:val="20"/>
        </w:rPr>
        <w:t>:</w:t>
      </w:r>
      <w:r w:rsidR="00F34884" w:rsidRPr="00AC4AEA">
        <w:rPr>
          <w:rFonts w:ascii="Arial" w:hAnsi="Arial" w:cs="Arial"/>
          <w:sz w:val="20"/>
        </w:rPr>
        <w:t xml:space="preserve"> Este concepto:</w:t>
      </w:r>
    </w:p>
    <w:p w:rsidR="00BB2858" w:rsidRPr="00AC4AEA" w:rsidRDefault="00653009" w:rsidP="00A318EA">
      <w:pPr>
        <w:pStyle w:val="A-Normal11"/>
        <w:numPr>
          <w:ilvl w:val="0"/>
          <w:numId w:val="27"/>
        </w:numPr>
        <w:ind w:left="1983" w:hanging="567"/>
        <w:jc w:val="both"/>
        <w:rPr>
          <w:rFonts w:ascii="Arial" w:hAnsi="Arial" w:cs="Arial"/>
          <w:sz w:val="20"/>
        </w:rPr>
      </w:pPr>
      <w:r w:rsidRPr="00AC4AEA">
        <w:rPr>
          <w:rFonts w:ascii="Arial" w:hAnsi="Arial" w:cs="Arial"/>
          <w:sz w:val="20"/>
        </w:rPr>
        <w:t>I</w:t>
      </w:r>
      <w:r w:rsidR="00BB2858" w:rsidRPr="00AC4AEA">
        <w:rPr>
          <w:rFonts w:ascii="Arial" w:hAnsi="Arial" w:cs="Arial"/>
          <w:sz w:val="20"/>
        </w:rPr>
        <w:t>ncluye</w:t>
      </w:r>
      <w:r w:rsidR="00235A4B" w:rsidRPr="00AC4AEA">
        <w:rPr>
          <w:rFonts w:ascii="Arial" w:hAnsi="Arial" w:cs="Arial"/>
          <w:sz w:val="20"/>
        </w:rPr>
        <w:t xml:space="preserve"> saldos en </w:t>
      </w:r>
      <w:r w:rsidR="00A065DB" w:rsidRPr="00AC4AEA">
        <w:rPr>
          <w:rFonts w:ascii="Arial" w:hAnsi="Arial" w:cs="Arial"/>
          <w:sz w:val="20"/>
        </w:rPr>
        <w:t>caja</w:t>
      </w:r>
      <w:r w:rsidR="00235A4B" w:rsidRPr="00AC4AEA">
        <w:rPr>
          <w:rFonts w:ascii="Arial" w:hAnsi="Arial" w:cs="Arial"/>
          <w:sz w:val="20"/>
        </w:rPr>
        <w:t>, bancos,</w:t>
      </w:r>
      <w:r w:rsidR="00BB2858" w:rsidRPr="00AC4AEA">
        <w:rPr>
          <w:rFonts w:ascii="Arial" w:hAnsi="Arial" w:cs="Arial"/>
          <w:sz w:val="20"/>
        </w:rPr>
        <w:t xml:space="preserve"> depósitos a la vista</w:t>
      </w:r>
      <w:r w:rsidR="00235A4B" w:rsidRPr="00AC4AEA">
        <w:rPr>
          <w:rFonts w:ascii="Arial" w:hAnsi="Arial" w:cs="Arial"/>
          <w:sz w:val="20"/>
        </w:rPr>
        <w:t xml:space="preserve"> y similares</w:t>
      </w:r>
      <w:r w:rsidR="00BB2858" w:rsidRPr="00AC4AEA">
        <w:rPr>
          <w:rFonts w:ascii="Arial" w:hAnsi="Arial" w:cs="Arial"/>
          <w:sz w:val="20"/>
        </w:rPr>
        <w:t>.</w:t>
      </w:r>
    </w:p>
    <w:p w:rsidR="00BB2858" w:rsidRPr="00AC4AEA" w:rsidRDefault="00653009" w:rsidP="00A318EA">
      <w:pPr>
        <w:pStyle w:val="A-Normal11"/>
        <w:numPr>
          <w:ilvl w:val="0"/>
          <w:numId w:val="27"/>
        </w:numPr>
        <w:ind w:left="1983" w:hanging="567"/>
        <w:jc w:val="both"/>
        <w:rPr>
          <w:rFonts w:ascii="Arial" w:hAnsi="Arial" w:cs="Arial"/>
          <w:sz w:val="20"/>
        </w:rPr>
      </w:pPr>
      <w:r w:rsidRPr="00AC4AEA">
        <w:rPr>
          <w:rFonts w:ascii="Arial" w:hAnsi="Arial" w:cs="Arial"/>
          <w:sz w:val="20"/>
        </w:rPr>
        <w:t>E</w:t>
      </w:r>
      <w:r w:rsidR="00BB2858" w:rsidRPr="00AC4AEA">
        <w:rPr>
          <w:rFonts w:ascii="Arial" w:hAnsi="Arial" w:cs="Arial"/>
          <w:sz w:val="20"/>
        </w:rPr>
        <w:t>xcluye efectivo con restricciones de uso</w:t>
      </w:r>
      <w:r w:rsidR="00C95794" w:rsidRPr="00AC4AEA">
        <w:rPr>
          <w:rFonts w:ascii="Arial" w:hAnsi="Arial" w:cs="Arial"/>
          <w:sz w:val="20"/>
        </w:rPr>
        <w:t xml:space="preserve"> (por ejemplo, saldos en cuentas bancarias embargadas)</w:t>
      </w:r>
      <w:r w:rsidR="00BB2858" w:rsidRPr="00AC4AEA">
        <w:rPr>
          <w:rFonts w:ascii="Arial" w:hAnsi="Arial" w:cs="Arial"/>
          <w:sz w:val="20"/>
        </w:rPr>
        <w:t>.</w:t>
      </w:r>
    </w:p>
    <w:p w:rsidR="00BB2858" w:rsidRPr="00AC4AEA" w:rsidRDefault="00BB2858" w:rsidP="00A318EA">
      <w:pPr>
        <w:pStyle w:val="A-Normal11"/>
        <w:ind w:left="1416"/>
        <w:jc w:val="both"/>
        <w:rPr>
          <w:rFonts w:ascii="Arial" w:hAnsi="Arial" w:cs="Arial"/>
          <w:sz w:val="20"/>
        </w:rPr>
      </w:pPr>
      <w:r w:rsidRPr="00AC4AEA">
        <w:rPr>
          <w:rFonts w:ascii="Arial" w:hAnsi="Arial" w:cs="Arial"/>
          <w:sz w:val="20"/>
          <w:u w:val="single"/>
        </w:rPr>
        <w:t>Equivalentes de efectivo</w:t>
      </w:r>
      <w:r w:rsidRPr="00AC4AEA">
        <w:rPr>
          <w:rFonts w:ascii="Arial" w:hAnsi="Arial" w:cs="Arial"/>
          <w:sz w:val="20"/>
        </w:rPr>
        <w:t xml:space="preserve">: Son </w:t>
      </w:r>
      <w:r w:rsidR="00497590" w:rsidRPr="00AC4AEA">
        <w:rPr>
          <w:rFonts w:ascii="Arial" w:hAnsi="Arial" w:cs="Arial"/>
          <w:sz w:val="20"/>
        </w:rPr>
        <w:t>activos</w:t>
      </w:r>
      <w:r w:rsidRPr="00AC4AEA">
        <w:rPr>
          <w:rFonts w:ascii="Arial" w:hAnsi="Arial" w:cs="Arial"/>
          <w:sz w:val="20"/>
        </w:rPr>
        <w:t xml:space="preserve"> que se mantiene</w:t>
      </w:r>
      <w:r w:rsidR="00235A4B" w:rsidRPr="00AC4AEA">
        <w:rPr>
          <w:rFonts w:ascii="Arial" w:hAnsi="Arial" w:cs="Arial"/>
          <w:sz w:val="20"/>
        </w:rPr>
        <w:t>n</w:t>
      </w:r>
      <w:r w:rsidRPr="00AC4AEA">
        <w:rPr>
          <w:rFonts w:ascii="Arial" w:hAnsi="Arial" w:cs="Arial"/>
          <w:sz w:val="20"/>
        </w:rPr>
        <w:t xml:space="preserve"> con el fin de cumplir compromisos de corto plazo antes que con fines de inversión u otros propósitos. </w:t>
      </w:r>
    </w:p>
    <w:p w:rsidR="00BB2858" w:rsidRPr="00AC4AEA" w:rsidRDefault="00BB2858" w:rsidP="00A318EA">
      <w:pPr>
        <w:pStyle w:val="A-Normal11"/>
        <w:ind w:left="1416"/>
        <w:jc w:val="both"/>
        <w:rPr>
          <w:rFonts w:ascii="Arial" w:hAnsi="Arial" w:cs="Arial"/>
          <w:sz w:val="20"/>
        </w:rPr>
      </w:pPr>
      <w:r w:rsidRPr="00AC4AEA">
        <w:rPr>
          <w:rFonts w:ascii="Arial" w:hAnsi="Arial" w:cs="Arial"/>
          <w:sz w:val="20"/>
        </w:rPr>
        <w:t xml:space="preserve">Para que una inversión pueda ser considerada un equivalente de efectivo debe: </w:t>
      </w:r>
    </w:p>
    <w:p w:rsidR="00BB2858" w:rsidRPr="00AC4AEA" w:rsidRDefault="00322537" w:rsidP="00A318EA">
      <w:pPr>
        <w:pStyle w:val="A-Normal11"/>
        <w:numPr>
          <w:ilvl w:val="0"/>
          <w:numId w:val="28"/>
        </w:numPr>
        <w:ind w:left="1983" w:hanging="567"/>
        <w:jc w:val="both"/>
        <w:rPr>
          <w:rFonts w:ascii="Arial" w:hAnsi="Arial" w:cs="Arial"/>
          <w:sz w:val="20"/>
        </w:rPr>
      </w:pPr>
      <w:r w:rsidRPr="00AC4AEA">
        <w:rPr>
          <w:rFonts w:ascii="Arial" w:hAnsi="Arial" w:cs="Arial"/>
          <w:sz w:val="20"/>
        </w:rPr>
        <w:t>c</w:t>
      </w:r>
      <w:r w:rsidR="00BB2858" w:rsidRPr="00AC4AEA">
        <w:rPr>
          <w:rFonts w:ascii="Arial" w:hAnsi="Arial" w:cs="Arial"/>
          <w:sz w:val="20"/>
        </w:rPr>
        <w:t>aracterizarse po</w:t>
      </w:r>
      <w:r w:rsidR="005D3D7C" w:rsidRPr="00AC4AEA">
        <w:rPr>
          <w:rFonts w:ascii="Arial" w:hAnsi="Arial" w:cs="Arial"/>
          <w:sz w:val="20"/>
        </w:rPr>
        <w:t>r</w:t>
      </w:r>
      <w:r w:rsidR="00BB2858" w:rsidRPr="00AC4AEA">
        <w:rPr>
          <w:rFonts w:ascii="Arial" w:hAnsi="Arial" w:cs="Arial"/>
          <w:sz w:val="20"/>
        </w:rPr>
        <w:t xml:space="preserve"> su alta liquidez;</w:t>
      </w:r>
    </w:p>
    <w:p w:rsidR="00BB2858" w:rsidRPr="00AC4AEA" w:rsidRDefault="00322537" w:rsidP="00A318EA">
      <w:pPr>
        <w:pStyle w:val="A-Normal11"/>
        <w:numPr>
          <w:ilvl w:val="0"/>
          <w:numId w:val="28"/>
        </w:numPr>
        <w:ind w:left="1983" w:hanging="567"/>
        <w:jc w:val="both"/>
        <w:rPr>
          <w:rFonts w:ascii="Arial" w:hAnsi="Arial" w:cs="Arial"/>
          <w:sz w:val="20"/>
        </w:rPr>
      </w:pPr>
      <w:r w:rsidRPr="00AC4AEA">
        <w:rPr>
          <w:rFonts w:ascii="Arial" w:hAnsi="Arial" w:cs="Arial"/>
          <w:sz w:val="20"/>
        </w:rPr>
        <w:t>s</w:t>
      </w:r>
      <w:r w:rsidR="00BB2858" w:rsidRPr="00AC4AEA">
        <w:rPr>
          <w:rFonts w:ascii="Arial" w:hAnsi="Arial" w:cs="Arial"/>
          <w:sz w:val="20"/>
        </w:rPr>
        <w:t>er fácilmente convertible en importes conocidos de efectivo</w:t>
      </w:r>
      <w:r w:rsidRPr="00AC4AEA">
        <w:rPr>
          <w:rFonts w:ascii="Arial" w:hAnsi="Arial" w:cs="Arial"/>
          <w:sz w:val="20"/>
        </w:rPr>
        <w:t>;</w:t>
      </w:r>
      <w:r w:rsidR="00BB2858" w:rsidRPr="00AC4AEA">
        <w:rPr>
          <w:rFonts w:ascii="Arial" w:hAnsi="Arial" w:cs="Arial"/>
          <w:sz w:val="20"/>
        </w:rPr>
        <w:t xml:space="preserve"> y </w:t>
      </w:r>
    </w:p>
    <w:p w:rsidR="00235A4B" w:rsidRPr="00AC4AEA" w:rsidRDefault="00322537" w:rsidP="00A318EA">
      <w:pPr>
        <w:pStyle w:val="A-Normal11"/>
        <w:numPr>
          <w:ilvl w:val="0"/>
          <w:numId w:val="28"/>
        </w:numPr>
        <w:ind w:left="1983" w:hanging="567"/>
        <w:jc w:val="both"/>
        <w:rPr>
          <w:rFonts w:ascii="Arial" w:hAnsi="Arial" w:cs="Arial"/>
          <w:sz w:val="20"/>
        </w:rPr>
      </w:pPr>
      <w:r w:rsidRPr="00AC4AEA">
        <w:rPr>
          <w:rFonts w:ascii="Arial" w:hAnsi="Arial" w:cs="Arial"/>
          <w:sz w:val="20"/>
        </w:rPr>
        <w:lastRenderedPageBreak/>
        <w:t>e</w:t>
      </w:r>
      <w:r w:rsidR="00BB2858" w:rsidRPr="00AC4AEA">
        <w:rPr>
          <w:rFonts w:ascii="Arial" w:hAnsi="Arial" w:cs="Arial"/>
          <w:sz w:val="20"/>
        </w:rPr>
        <w:t>star sujeta a riesgos insignificantes de cambios de valor</w:t>
      </w:r>
      <w:r w:rsidR="00822238" w:rsidRPr="00AC4AEA">
        <w:rPr>
          <w:rFonts w:ascii="Arial" w:hAnsi="Arial" w:cs="Arial"/>
          <w:sz w:val="20"/>
        </w:rPr>
        <w:t>,</w:t>
      </w:r>
      <w:r w:rsidR="00235A4B" w:rsidRPr="00AC4AEA">
        <w:rPr>
          <w:rFonts w:ascii="Arial" w:hAnsi="Arial" w:cs="Arial"/>
          <w:sz w:val="20"/>
        </w:rPr>
        <w:t xml:space="preserve"> por ejemplo, porque:</w:t>
      </w:r>
    </w:p>
    <w:p w:rsidR="00235A4B" w:rsidRPr="00AC4AEA" w:rsidRDefault="00235A4B" w:rsidP="00A318EA">
      <w:pPr>
        <w:pStyle w:val="Prrafodelista"/>
        <w:numPr>
          <w:ilvl w:val="0"/>
          <w:numId w:val="438"/>
        </w:numPr>
        <w:ind w:left="2410"/>
        <w:contextualSpacing w:val="0"/>
        <w:jc w:val="both"/>
        <w:rPr>
          <w:rFonts w:ascii="Arial" w:hAnsi="Arial" w:cs="Arial"/>
          <w:sz w:val="20"/>
          <w:szCs w:val="20"/>
        </w:rPr>
      </w:pPr>
      <w:r w:rsidRPr="00AC4AEA">
        <w:rPr>
          <w:rFonts w:ascii="Arial" w:hAnsi="Arial" w:cs="Arial"/>
          <w:sz w:val="20"/>
          <w:szCs w:val="20"/>
        </w:rPr>
        <w:t>el importe que se espera recibir en el rescate puede conocerse con razonable aproximación; y</w:t>
      </w:r>
    </w:p>
    <w:p w:rsidR="00BB2858" w:rsidRPr="00AC4AEA" w:rsidRDefault="00235A4B" w:rsidP="00A318EA">
      <w:pPr>
        <w:pStyle w:val="Prrafodelista"/>
        <w:numPr>
          <w:ilvl w:val="0"/>
          <w:numId w:val="438"/>
        </w:numPr>
        <w:ind w:left="2410"/>
        <w:contextualSpacing w:val="0"/>
        <w:jc w:val="both"/>
        <w:rPr>
          <w:rFonts w:ascii="Arial" w:hAnsi="Arial" w:cs="Arial"/>
          <w:sz w:val="20"/>
          <w:szCs w:val="20"/>
        </w:rPr>
      </w:pPr>
      <w:r w:rsidRPr="00AC4AEA">
        <w:rPr>
          <w:rFonts w:ascii="Arial" w:hAnsi="Arial" w:cs="Arial"/>
          <w:sz w:val="20"/>
          <w:szCs w:val="20"/>
        </w:rPr>
        <w:t>la inversión se caracteriza por su baja o nula volatilidad.</w:t>
      </w:r>
      <w:r w:rsidR="00A82EFF" w:rsidRPr="00AC4AEA">
        <w:rPr>
          <w:rFonts w:ascii="Arial" w:hAnsi="Arial" w:cs="Arial"/>
          <w:sz w:val="20"/>
          <w:szCs w:val="20"/>
        </w:rPr>
        <w:t xml:space="preserve"> </w:t>
      </w:r>
    </w:p>
    <w:p w:rsidR="00BB2858" w:rsidRPr="00AC4AEA" w:rsidRDefault="00BB2858" w:rsidP="00A318EA">
      <w:pPr>
        <w:pStyle w:val="A-Normal11"/>
        <w:ind w:left="1416"/>
        <w:jc w:val="both"/>
        <w:rPr>
          <w:rFonts w:ascii="Arial" w:hAnsi="Arial" w:cs="Arial"/>
          <w:sz w:val="20"/>
        </w:rPr>
      </w:pPr>
      <w:r w:rsidRPr="00AC4AEA">
        <w:rPr>
          <w:rFonts w:ascii="Arial" w:hAnsi="Arial" w:cs="Arial"/>
          <w:sz w:val="20"/>
        </w:rPr>
        <w:t xml:space="preserve">Una inversión </w:t>
      </w:r>
      <w:r w:rsidR="00EF6147" w:rsidRPr="00AC4AEA">
        <w:rPr>
          <w:rFonts w:ascii="Arial" w:hAnsi="Arial" w:cs="Arial"/>
          <w:sz w:val="20"/>
        </w:rPr>
        <w:t>solo</w:t>
      </w:r>
      <w:r w:rsidRPr="00AC4AEA">
        <w:rPr>
          <w:rFonts w:ascii="Arial" w:hAnsi="Arial" w:cs="Arial"/>
          <w:sz w:val="20"/>
        </w:rPr>
        <w:t xml:space="preserve"> podrá considerarse como equivalente de efectivo cuando tenga un plazo corto de vencimiento (ejemplo: tres meses o menos desde su fecha de adquisición</w:t>
      </w:r>
      <w:r w:rsidR="00EB44FE" w:rsidRPr="00AC4AEA">
        <w:rPr>
          <w:rFonts w:ascii="Arial" w:hAnsi="Arial" w:cs="Arial"/>
          <w:sz w:val="20"/>
        </w:rPr>
        <w:t xml:space="preserve"> o colocación</w:t>
      </w:r>
      <w:r w:rsidRPr="00AC4AEA">
        <w:rPr>
          <w:rFonts w:ascii="Arial" w:hAnsi="Arial" w:cs="Arial"/>
          <w:sz w:val="20"/>
        </w:rPr>
        <w:t>).</w:t>
      </w:r>
    </w:p>
    <w:p w:rsidR="007D275B" w:rsidRPr="00AC4AEA" w:rsidRDefault="007D275B" w:rsidP="00A318EA">
      <w:pPr>
        <w:pStyle w:val="A-Normal11"/>
        <w:jc w:val="both"/>
        <w:rPr>
          <w:rFonts w:ascii="Arial" w:hAnsi="Arial" w:cs="Arial"/>
          <w:sz w:val="20"/>
        </w:rPr>
      </w:pPr>
    </w:p>
    <w:p w:rsidR="00BB2858" w:rsidRPr="00AC4AEA" w:rsidRDefault="00BB2858" w:rsidP="00A318EA">
      <w:pPr>
        <w:pStyle w:val="Ttulo2"/>
        <w:rPr>
          <w:rFonts w:cs="Arial"/>
        </w:rPr>
      </w:pPr>
      <w:bookmarkStart w:id="936" w:name="_Toc101864009"/>
      <w:bookmarkStart w:id="937" w:name="_Toc139356908"/>
      <w:r w:rsidRPr="00AC4AEA">
        <w:rPr>
          <w:rFonts w:cs="Arial"/>
        </w:rPr>
        <w:t>Estructura</w:t>
      </w:r>
      <w:bookmarkEnd w:id="936"/>
      <w:bookmarkEnd w:id="937"/>
    </w:p>
    <w:p w:rsidR="00BB2858" w:rsidRPr="00AC4AEA" w:rsidRDefault="00BB2858" w:rsidP="00A318EA">
      <w:pPr>
        <w:pStyle w:val="Ttulo3"/>
      </w:pPr>
      <w:bookmarkStart w:id="938" w:name="_Toc101864010"/>
      <w:bookmarkStart w:id="939" w:name="_Toc139356909"/>
      <w:r w:rsidRPr="00AC4AEA">
        <w:t>Variación del efectivo y sus equivalentes</w:t>
      </w:r>
      <w:bookmarkEnd w:id="938"/>
      <w:bookmarkEnd w:id="939"/>
    </w:p>
    <w:p w:rsidR="00BB2858" w:rsidRPr="00AC4AEA" w:rsidRDefault="00BB285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expondrá:</w:t>
      </w:r>
    </w:p>
    <w:p w:rsidR="007D275B" w:rsidRPr="00AC4AEA" w:rsidRDefault="00904664" w:rsidP="00A318EA">
      <w:pPr>
        <w:pStyle w:val="Prrafodelista"/>
        <w:numPr>
          <w:ilvl w:val="0"/>
          <w:numId w:val="197"/>
        </w:numPr>
        <w:ind w:left="1560"/>
        <w:contextualSpacing w:val="0"/>
        <w:jc w:val="both"/>
        <w:rPr>
          <w:rFonts w:ascii="Arial" w:hAnsi="Arial" w:cs="Arial"/>
          <w:sz w:val="20"/>
          <w:szCs w:val="20"/>
        </w:rPr>
      </w:pPr>
      <w:r w:rsidRPr="00AC4AEA">
        <w:rPr>
          <w:rFonts w:ascii="Arial" w:hAnsi="Arial" w:cs="Arial"/>
          <w:sz w:val="20"/>
          <w:szCs w:val="20"/>
        </w:rPr>
        <w:t>e</w:t>
      </w:r>
      <w:r w:rsidR="00BB2858" w:rsidRPr="00AC4AEA">
        <w:rPr>
          <w:rFonts w:ascii="Arial" w:hAnsi="Arial" w:cs="Arial"/>
          <w:sz w:val="20"/>
          <w:szCs w:val="20"/>
        </w:rPr>
        <w:t xml:space="preserve">l </w:t>
      </w:r>
      <w:r w:rsidR="007D275B" w:rsidRPr="00AC4AEA">
        <w:rPr>
          <w:rFonts w:ascii="Arial" w:hAnsi="Arial" w:cs="Arial"/>
          <w:sz w:val="20"/>
          <w:szCs w:val="20"/>
        </w:rPr>
        <w:t xml:space="preserve">saldo inicial del </w:t>
      </w:r>
      <w:r w:rsidR="00BB2858" w:rsidRPr="00AC4AEA">
        <w:rPr>
          <w:rFonts w:ascii="Arial" w:hAnsi="Arial" w:cs="Arial"/>
          <w:sz w:val="20"/>
          <w:szCs w:val="20"/>
        </w:rPr>
        <w:t xml:space="preserve">efectivo y sus </w:t>
      </w:r>
      <w:r w:rsidR="00EC1893" w:rsidRPr="00AC4AEA">
        <w:rPr>
          <w:rFonts w:ascii="Arial" w:hAnsi="Arial" w:cs="Arial"/>
          <w:sz w:val="20"/>
          <w:szCs w:val="20"/>
        </w:rPr>
        <w:t>equivalentes</w:t>
      </w:r>
      <w:r w:rsidR="007D275B" w:rsidRPr="00AC4AEA">
        <w:rPr>
          <w:rFonts w:ascii="Arial" w:hAnsi="Arial" w:cs="Arial"/>
          <w:sz w:val="20"/>
          <w:szCs w:val="20"/>
        </w:rPr>
        <w:t>;</w:t>
      </w:r>
    </w:p>
    <w:p w:rsidR="00BB2858" w:rsidRPr="00AC4AEA" w:rsidRDefault="00904664" w:rsidP="00A318EA">
      <w:pPr>
        <w:pStyle w:val="Prrafodelista"/>
        <w:numPr>
          <w:ilvl w:val="0"/>
          <w:numId w:val="197"/>
        </w:numPr>
        <w:ind w:left="1560"/>
        <w:contextualSpacing w:val="0"/>
        <w:jc w:val="both"/>
        <w:rPr>
          <w:rFonts w:ascii="Arial" w:hAnsi="Arial" w:cs="Arial"/>
          <w:sz w:val="20"/>
          <w:szCs w:val="20"/>
        </w:rPr>
      </w:pPr>
      <w:r w:rsidRPr="00AC4AEA">
        <w:rPr>
          <w:rFonts w:ascii="Arial" w:hAnsi="Arial" w:cs="Arial"/>
          <w:sz w:val="20"/>
          <w:szCs w:val="20"/>
        </w:rPr>
        <w:t>l</w:t>
      </w:r>
      <w:r w:rsidR="00BB2858" w:rsidRPr="00AC4AEA">
        <w:rPr>
          <w:rFonts w:ascii="Arial" w:hAnsi="Arial" w:cs="Arial"/>
          <w:sz w:val="20"/>
          <w:szCs w:val="20"/>
        </w:rPr>
        <w:t>a variación neta acaecida en el efectivo y sus equivalentes</w:t>
      </w:r>
      <w:r w:rsidR="007D275B" w:rsidRPr="00AC4AEA">
        <w:rPr>
          <w:rFonts w:ascii="Arial" w:hAnsi="Arial" w:cs="Arial"/>
          <w:sz w:val="20"/>
          <w:szCs w:val="20"/>
        </w:rPr>
        <w:t xml:space="preserve"> durante el período</w:t>
      </w:r>
      <w:r w:rsidR="00D455A2" w:rsidRPr="00AC4AEA">
        <w:rPr>
          <w:rFonts w:ascii="Arial" w:hAnsi="Arial" w:cs="Arial"/>
          <w:sz w:val="20"/>
          <w:szCs w:val="20"/>
        </w:rPr>
        <w:t>;</w:t>
      </w:r>
      <w:r w:rsidR="007D275B" w:rsidRPr="00AC4AEA">
        <w:rPr>
          <w:rFonts w:ascii="Arial" w:hAnsi="Arial" w:cs="Arial"/>
          <w:sz w:val="20"/>
          <w:szCs w:val="20"/>
        </w:rPr>
        <w:t xml:space="preserve"> y</w:t>
      </w:r>
    </w:p>
    <w:p w:rsidR="007D275B" w:rsidRPr="00AC4AEA" w:rsidRDefault="00904664" w:rsidP="00A318EA">
      <w:pPr>
        <w:pStyle w:val="Prrafodelista"/>
        <w:numPr>
          <w:ilvl w:val="0"/>
          <w:numId w:val="197"/>
        </w:numPr>
        <w:ind w:left="1560"/>
        <w:contextualSpacing w:val="0"/>
        <w:jc w:val="both"/>
        <w:rPr>
          <w:rFonts w:ascii="Arial" w:hAnsi="Arial" w:cs="Arial"/>
          <w:sz w:val="20"/>
          <w:szCs w:val="20"/>
        </w:rPr>
      </w:pPr>
      <w:r w:rsidRPr="00AC4AEA">
        <w:rPr>
          <w:rFonts w:ascii="Arial" w:hAnsi="Arial" w:cs="Arial"/>
          <w:sz w:val="20"/>
          <w:szCs w:val="20"/>
        </w:rPr>
        <w:t>e</w:t>
      </w:r>
      <w:r w:rsidR="007D275B" w:rsidRPr="00AC4AEA">
        <w:rPr>
          <w:rFonts w:ascii="Arial" w:hAnsi="Arial" w:cs="Arial"/>
          <w:sz w:val="20"/>
          <w:szCs w:val="20"/>
        </w:rPr>
        <w:t>l saldo al cierre del efectivo y sus equivalentes.</w:t>
      </w:r>
    </w:p>
    <w:p w:rsidR="00BB2858" w:rsidRPr="00AC4AEA" w:rsidRDefault="00BB2858" w:rsidP="00A318EA">
      <w:pPr>
        <w:pStyle w:val="Prrafodelista"/>
        <w:ind w:left="360"/>
        <w:contextualSpacing w:val="0"/>
        <w:jc w:val="both"/>
        <w:rPr>
          <w:rFonts w:ascii="Arial" w:hAnsi="Arial" w:cs="Arial"/>
          <w:sz w:val="20"/>
          <w:szCs w:val="20"/>
        </w:rPr>
      </w:pPr>
    </w:p>
    <w:p w:rsidR="00716734" w:rsidRPr="00AC4AEA" w:rsidRDefault="00BB2858" w:rsidP="00A318EA">
      <w:pPr>
        <w:autoSpaceDE w:val="0"/>
        <w:autoSpaceDN w:val="0"/>
        <w:adjustRightInd w:val="0"/>
        <w:jc w:val="both"/>
        <w:rPr>
          <w:rFonts w:ascii="Arial" w:hAnsi="Arial" w:cs="Arial"/>
          <w:b/>
          <w:bCs/>
          <w:sz w:val="20"/>
          <w:szCs w:val="20"/>
        </w:rPr>
      </w:pPr>
      <w:r w:rsidRPr="00AC4AEA">
        <w:rPr>
          <w:rFonts w:ascii="Arial" w:hAnsi="Arial" w:cs="Arial"/>
          <w:b/>
          <w:bCs/>
          <w:sz w:val="20"/>
          <w:szCs w:val="20"/>
        </w:rPr>
        <w:t xml:space="preserve">Causas de </w:t>
      </w:r>
      <w:r w:rsidR="00716734" w:rsidRPr="00AC4AEA">
        <w:rPr>
          <w:rFonts w:ascii="Arial" w:hAnsi="Arial" w:cs="Arial"/>
          <w:b/>
          <w:bCs/>
          <w:sz w:val="20"/>
          <w:szCs w:val="20"/>
        </w:rPr>
        <w:t xml:space="preserve">la </w:t>
      </w:r>
      <w:r w:rsidRPr="00AC4AEA">
        <w:rPr>
          <w:rFonts w:ascii="Arial" w:hAnsi="Arial" w:cs="Arial"/>
          <w:b/>
          <w:bCs/>
          <w:sz w:val="20"/>
          <w:szCs w:val="20"/>
        </w:rPr>
        <w:t xml:space="preserve">variación </w:t>
      </w:r>
      <w:r w:rsidR="00716734" w:rsidRPr="00AC4AEA">
        <w:rPr>
          <w:rFonts w:ascii="Arial" w:hAnsi="Arial" w:cs="Arial"/>
          <w:b/>
          <w:bCs/>
          <w:sz w:val="20"/>
          <w:szCs w:val="20"/>
        </w:rPr>
        <w:t>del efectivo y sus equivalentes</w:t>
      </w:r>
    </w:p>
    <w:p w:rsidR="00BB2858" w:rsidRPr="00AC4AEA" w:rsidRDefault="00BB285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expondrá las causas de variación del efectivo y sus equivalentes por separado para</w:t>
      </w:r>
      <w:r w:rsidR="007D275B" w:rsidRPr="00AC4AEA">
        <w:rPr>
          <w:rFonts w:ascii="Arial" w:hAnsi="Arial" w:cs="Arial"/>
          <w:sz w:val="20"/>
          <w:szCs w:val="20"/>
        </w:rPr>
        <w:t>:</w:t>
      </w:r>
    </w:p>
    <w:p w:rsidR="007D275B" w:rsidRPr="00AC4AEA" w:rsidRDefault="00196685" w:rsidP="00A318EA">
      <w:pPr>
        <w:pStyle w:val="Prrafodelista"/>
        <w:numPr>
          <w:ilvl w:val="0"/>
          <w:numId w:val="198"/>
        </w:numPr>
        <w:ind w:left="1560"/>
        <w:contextualSpacing w:val="0"/>
        <w:jc w:val="both"/>
        <w:rPr>
          <w:rFonts w:ascii="Arial" w:hAnsi="Arial" w:cs="Arial"/>
          <w:sz w:val="20"/>
          <w:szCs w:val="20"/>
        </w:rPr>
      </w:pPr>
      <w:r w:rsidRPr="00AC4AEA">
        <w:rPr>
          <w:rFonts w:ascii="Arial" w:hAnsi="Arial" w:cs="Arial"/>
          <w:sz w:val="20"/>
          <w:szCs w:val="20"/>
        </w:rPr>
        <w:t xml:space="preserve">los flujos de efectivo de las </w:t>
      </w:r>
      <w:r w:rsidR="00D455A2" w:rsidRPr="00AC4AEA">
        <w:rPr>
          <w:rFonts w:ascii="Arial" w:hAnsi="Arial" w:cs="Arial"/>
          <w:sz w:val="20"/>
          <w:szCs w:val="20"/>
        </w:rPr>
        <w:t>a</w:t>
      </w:r>
      <w:r w:rsidR="007D275B" w:rsidRPr="00AC4AEA">
        <w:rPr>
          <w:rFonts w:ascii="Arial" w:hAnsi="Arial" w:cs="Arial"/>
          <w:sz w:val="20"/>
          <w:szCs w:val="20"/>
        </w:rPr>
        <w:t>ctividades operativas;</w:t>
      </w:r>
    </w:p>
    <w:p w:rsidR="007D275B" w:rsidRPr="00AC4AEA" w:rsidRDefault="00196685" w:rsidP="00A318EA">
      <w:pPr>
        <w:pStyle w:val="Prrafodelista"/>
        <w:numPr>
          <w:ilvl w:val="0"/>
          <w:numId w:val="198"/>
        </w:numPr>
        <w:ind w:left="1560"/>
        <w:contextualSpacing w:val="0"/>
        <w:jc w:val="both"/>
        <w:rPr>
          <w:rFonts w:ascii="Arial" w:hAnsi="Arial" w:cs="Arial"/>
          <w:sz w:val="20"/>
          <w:szCs w:val="20"/>
        </w:rPr>
      </w:pPr>
      <w:r w:rsidRPr="00AC4AEA">
        <w:rPr>
          <w:rFonts w:ascii="Arial" w:hAnsi="Arial" w:cs="Arial"/>
          <w:sz w:val="20"/>
          <w:szCs w:val="20"/>
        </w:rPr>
        <w:t xml:space="preserve">los flujos de efectivo de </w:t>
      </w:r>
      <w:r w:rsidR="00D455A2" w:rsidRPr="00AC4AEA">
        <w:rPr>
          <w:rFonts w:ascii="Arial" w:hAnsi="Arial" w:cs="Arial"/>
          <w:sz w:val="20"/>
          <w:szCs w:val="20"/>
        </w:rPr>
        <w:t>a</w:t>
      </w:r>
      <w:r w:rsidR="007D275B" w:rsidRPr="00AC4AEA">
        <w:rPr>
          <w:rFonts w:ascii="Arial" w:hAnsi="Arial" w:cs="Arial"/>
          <w:sz w:val="20"/>
          <w:szCs w:val="20"/>
        </w:rPr>
        <w:t>ctividades de inversión</w:t>
      </w:r>
      <w:r w:rsidR="00D455A2" w:rsidRPr="00AC4AEA">
        <w:rPr>
          <w:rFonts w:ascii="Arial" w:hAnsi="Arial" w:cs="Arial"/>
          <w:sz w:val="20"/>
          <w:szCs w:val="20"/>
        </w:rPr>
        <w:t>;</w:t>
      </w:r>
      <w:r w:rsidR="007D275B" w:rsidRPr="00AC4AEA">
        <w:rPr>
          <w:rFonts w:ascii="Arial" w:hAnsi="Arial" w:cs="Arial"/>
          <w:sz w:val="20"/>
          <w:szCs w:val="20"/>
        </w:rPr>
        <w:t xml:space="preserve"> </w:t>
      </w:r>
    </w:p>
    <w:p w:rsidR="007D275B" w:rsidRPr="00AC4AEA" w:rsidRDefault="00196685" w:rsidP="00A318EA">
      <w:pPr>
        <w:pStyle w:val="Prrafodelista"/>
        <w:numPr>
          <w:ilvl w:val="0"/>
          <w:numId w:val="198"/>
        </w:numPr>
        <w:ind w:left="1560"/>
        <w:contextualSpacing w:val="0"/>
        <w:jc w:val="both"/>
        <w:rPr>
          <w:rFonts w:ascii="Arial" w:hAnsi="Arial" w:cs="Arial"/>
          <w:sz w:val="20"/>
          <w:szCs w:val="20"/>
        </w:rPr>
      </w:pPr>
      <w:r w:rsidRPr="00AC4AEA">
        <w:rPr>
          <w:rFonts w:ascii="Arial" w:hAnsi="Arial" w:cs="Arial"/>
          <w:sz w:val="20"/>
          <w:szCs w:val="20"/>
        </w:rPr>
        <w:t xml:space="preserve">los flujos de efectivo de </w:t>
      </w:r>
      <w:r w:rsidR="00D455A2" w:rsidRPr="00AC4AEA">
        <w:rPr>
          <w:rFonts w:ascii="Arial" w:hAnsi="Arial" w:cs="Arial"/>
          <w:sz w:val="20"/>
          <w:szCs w:val="20"/>
        </w:rPr>
        <w:t>a</w:t>
      </w:r>
      <w:r w:rsidR="007D275B" w:rsidRPr="00AC4AEA">
        <w:rPr>
          <w:rFonts w:ascii="Arial" w:hAnsi="Arial" w:cs="Arial"/>
          <w:sz w:val="20"/>
          <w:szCs w:val="20"/>
        </w:rPr>
        <w:t>ctividades de financiación</w:t>
      </w:r>
      <w:r w:rsidR="00037C36" w:rsidRPr="00AC4AEA">
        <w:rPr>
          <w:rFonts w:ascii="Arial" w:hAnsi="Arial" w:cs="Arial"/>
          <w:sz w:val="20"/>
          <w:szCs w:val="20"/>
        </w:rPr>
        <w:t>; y</w:t>
      </w:r>
    </w:p>
    <w:p w:rsidR="00037C36" w:rsidRPr="00AC4AEA" w:rsidRDefault="005A49EE" w:rsidP="00A318EA">
      <w:pPr>
        <w:pStyle w:val="Prrafodelista"/>
        <w:numPr>
          <w:ilvl w:val="0"/>
          <w:numId w:val="198"/>
        </w:numPr>
        <w:ind w:left="1560"/>
        <w:contextualSpacing w:val="0"/>
        <w:jc w:val="both"/>
        <w:rPr>
          <w:rFonts w:ascii="Arial" w:hAnsi="Arial" w:cs="Arial"/>
          <w:sz w:val="20"/>
          <w:szCs w:val="20"/>
        </w:rPr>
      </w:pPr>
      <w:r w:rsidRPr="00AC4AEA">
        <w:rPr>
          <w:rFonts w:ascii="Arial" w:hAnsi="Arial" w:cs="Arial"/>
          <w:sz w:val="20"/>
          <w:szCs w:val="20"/>
        </w:rPr>
        <w:t>cuando opte por su presentación separada, los resultados financieros y de tenencia generados por el efectivo y sus equivalentes</w:t>
      </w:r>
      <w:r w:rsidR="00196685" w:rsidRPr="00AC4AEA">
        <w:rPr>
          <w:rFonts w:ascii="Arial" w:hAnsi="Arial" w:cs="Arial"/>
          <w:sz w:val="20"/>
          <w:szCs w:val="20"/>
        </w:rPr>
        <w:t xml:space="preserve">, de acuerdo </w:t>
      </w:r>
      <w:r w:rsidR="000F0DB4" w:rsidRPr="00AC4AEA">
        <w:rPr>
          <w:rFonts w:ascii="Arial" w:hAnsi="Arial" w:cs="Arial"/>
          <w:sz w:val="20"/>
          <w:szCs w:val="20"/>
        </w:rPr>
        <w:t>con</w:t>
      </w:r>
      <w:r w:rsidR="00196685" w:rsidRPr="00AC4AEA">
        <w:rPr>
          <w:rFonts w:ascii="Arial" w:hAnsi="Arial" w:cs="Arial"/>
          <w:sz w:val="20"/>
          <w:szCs w:val="20"/>
        </w:rPr>
        <w:t xml:space="preserve"> lo requerido por</w:t>
      </w:r>
      <w:r w:rsidRPr="00AC4AEA">
        <w:rPr>
          <w:rFonts w:ascii="Arial" w:hAnsi="Arial" w:cs="Arial"/>
          <w:sz w:val="20"/>
          <w:szCs w:val="20"/>
        </w:rPr>
        <w:t xml:space="preserve"> los párrafos </w:t>
      </w:r>
      <w:fldSimple w:instr=" REF _Ref102216740 \r \h  \* MERGEFORMAT ">
        <w:r w:rsidR="00D33A5D" w:rsidRPr="00D33A5D">
          <w:rPr>
            <w:rFonts w:ascii="Arial" w:hAnsi="Arial" w:cs="Arial"/>
            <w:sz w:val="20"/>
            <w:szCs w:val="20"/>
          </w:rPr>
          <w:t>659</w:t>
        </w:r>
      </w:fldSimple>
      <w:r w:rsidR="006F7A6B" w:rsidRPr="00AC4AEA">
        <w:rPr>
          <w:rFonts w:ascii="Arial" w:hAnsi="Arial" w:cs="Arial"/>
          <w:sz w:val="20"/>
          <w:szCs w:val="20"/>
        </w:rPr>
        <w:t xml:space="preserve"> a </w:t>
      </w:r>
      <w:fldSimple w:instr=" REF _Ref102216744 \r \h  \* MERGEFORMAT ">
        <w:r w:rsidR="00D33A5D" w:rsidRPr="00D33A5D">
          <w:rPr>
            <w:rFonts w:ascii="Arial" w:hAnsi="Arial" w:cs="Arial"/>
            <w:sz w:val="20"/>
            <w:szCs w:val="20"/>
          </w:rPr>
          <w:t>661</w:t>
        </w:r>
      </w:fldSimple>
      <w:r w:rsidRPr="00AC4AEA">
        <w:rPr>
          <w:rFonts w:ascii="Arial" w:hAnsi="Arial" w:cs="Arial"/>
          <w:sz w:val="20"/>
          <w:szCs w:val="20"/>
        </w:rPr>
        <w:t>.</w:t>
      </w:r>
    </w:p>
    <w:p w:rsidR="00BB2858" w:rsidRPr="00AC4AEA" w:rsidRDefault="00BB2858" w:rsidP="00A318EA">
      <w:pPr>
        <w:autoSpaceDE w:val="0"/>
        <w:autoSpaceDN w:val="0"/>
        <w:adjustRightInd w:val="0"/>
        <w:jc w:val="both"/>
        <w:rPr>
          <w:rFonts w:ascii="Arial" w:hAnsi="Arial" w:cs="Arial"/>
          <w:b/>
          <w:bCs/>
          <w:sz w:val="20"/>
          <w:szCs w:val="20"/>
        </w:rPr>
      </w:pPr>
    </w:p>
    <w:p w:rsidR="00BB2858" w:rsidRPr="00AC4AEA" w:rsidRDefault="00716734" w:rsidP="00A318EA">
      <w:pPr>
        <w:pStyle w:val="Ttulo3"/>
      </w:pPr>
      <w:bookmarkStart w:id="940" w:name="_Toc101864011"/>
      <w:bookmarkStart w:id="941" w:name="_Toc139356910"/>
      <w:r w:rsidRPr="00AC4AEA">
        <w:t>Flujos de efectivo y equivalentes provenientes de a</w:t>
      </w:r>
      <w:r w:rsidR="00BB2858" w:rsidRPr="00AC4AEA">
        <w:t>ctividades operativas</w:t>
      </w:r>
      <w:bookmarkEnd w:id="940"/>
      <w:bookmarkEnd w:id="941"/>
    </w:p>
    <w:p w:rsidR="007D275B" w:rsidRPr="00AC4AEA" w:rsidRDefault="00BB285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podrá exponer el efecto de </w:t>
      </w:r>
      <w:r w:rsidR="00CE713A" w:rsidRPr="00AC4AEA">
        <w:rPr>
          <w:rFonts w:ascii="Arial" w:hAnsi="Arial" w:cs="Arial"/>
          <w:sz w:val="20"/>
          <w:szCs w:val="20"/>
        </w:rPr>
        <w:t>las</w:t>
      </w:r>
      <w:r w:rsidRPr="00AC4AEA">
        <w:rPr>
          <w:rFonts w:ascii="Arial" w:hAnsi="Arial" w:cs="Arial"/>
          <w:sz w:val="20"/>
          <w:szCs w:val="20"/>
        </w:rPr>
        <w:t xml:space="preserve"> actividades </w:t>
      </w:r>
      <w:r w:rsidR="00CE713A" w:rsidRPr="00AC4AEA">
        <w:rPr>
          <w:rFonts w:ascii="Arial" w:hAnsi="Arial" w:cs="Arial"/>
          <w:sz w:val="20"/>
          <w:szCs w:val="20"/>
        </w:rPr>
        <w:t xml:space="preserve">operativas </w:t>
      </w:r>
      <w:r w:rsidRPr="00AC4AEA">
        <w:rPr>
          <w:rFonts w:ascii="Arial" w:hAnsi="Arial" w:cs="Arial"/>
          <w:sz w:val="20"/>
          <w:szCs w:val="20"/>
        </w:rPr>
        <w:t>por</w:t>
      </w:r>
      <w:r w:rsidR="007D275B" w:rsidRPr="00AC4AEA">
        <w:rPr>
          <w:rFonts w:ascii="Arial" w:hAnsi="Arial" w:cs="Arial"/>
          <w:sz w:val="20"/>
          <w:szCs w:val="20"/>
        </w:rPr>
        <w:t>:</w:t>
      </w:r>
      <w:r w:rsidRPr="00AC4AEA">
        <w:rPr>
          <w:rFonts w:ascii="Arial" w:hAnsi="Arial" w:cs="Arial"/>
          <w:sz w:val="20"/>
          <w:szCs w:val="20"/>
        </w:rPr>
        <w:t xml:space="preserve"> </w:t>
      </w:r>
    </w:p>
    <w:p w:rsidR="007D275B" w:rsidRPr="00AC4AEA" w:rsidRDefault="00904664" w:rsidP="00A318EA">
      <w:pPr>
        <w:pStyle w:val="Prrafodelista"/>
        <w:numPr>
          <w:ilvl w:val="0"/>
          <w:numId w:val="199"/>
        </w:numPr>
        <w:ind w:left="1560"/>
        <w:contextualSpacing w:val="0"/>
        <w:jc w:val="both"/>
        <w:rPr>
          <w:rFonts w:ascii="Arial" w:hAnsi="Arial" w:cs="Arial"/>
          <w:sz w:val="20"/>
          <w:szCs w:val="20"/>
        </w:rPr>
      </w:pPr>
      <w:r w:rsidRPr="00AC4AEA">
        <w:rPr>
          <w:rFonts w:ascii="Arial" w:hAnsi="Arial" w:cs="Arial"/>
          <w:sz w:val="20"/>
          <w:szCs w:val="20"/>
        </w:rPr>
        <w:t>e</w:t>
      </w:r>
      <w:r w:rsidR="00BB2858" w:rsidRPr="00AC4AEA">
        <w:rPr>
          <w:rFonts w:ascii="Arial" w:hAnsi="Arial" w:cs="Arial"/>
          <w:sz w:val="20"/>
          <w:szCs w:val="20"/>
        </w:rPr>
        <w:t>l método directo</w:t>
      </w:r>
      <w:r w:rsidR="00D455A2" w:rsidRPr="00AC4AEA">
        <w:rPr>
          <w:rFonts w:ascii="Arial" w:hAnsi="Arial" w:cs="Arial"/>
          <w:sz w:val="20"/>
          <w:szCs w:val="20"/>
        </w:rPr>
        <w:t>;</w:t>
      </w:r>
      <w:r w:rsidR="00BB2858" w:rsidRPr="00AC4AEA">
        <w:rPr>
          <w:rFonts w:ascii="Arial" w:hAnsi="Arial" w:cs="Arial"/>
          <w:sz w:val="20"/>
          <w:szCs w:val="20"/>
        </w:rPr>
        <w:t xml:space="preserve"> o </w:t>
      </w:r>
    </w:p>
    <w:p w:rsidR="00BB2858" w:rsidRPr="00AC4AEA" w:rsidRDefault="00904664" w:rsidP="00A318EA">
      <w:pPr>
        <w:pStyle w:val="Prrafodelista"/>
        <w:numPr>
          <w:ilvl w:val="0"/>
          <w:numId w:val="199"/>
        </w:numPr>
        <w:ind w:left="1560"/>
        <w:contextualSpacing w:val="0"/>
        <w:jc w:val="both"/>
        <w:rPr>
          <w:rFonts w:ascii="Arial" w:hAnsi="Arial" w:cs="Arial"/>
          <w:sz w:val="20"/>
          <w:szCs w:val="20"/>
        </w:rPr>
      </w:pPr>
      <w:r w:rsidRPr="00AC4AEA">
        <w:rPr>
          <w:rFonts w:ascii="Arial" w:hAnsi="Arial" w:cs="Arial"/>
          <w:sz w:val="20"/>
          <w:szCs w:val="20"/>
        </w:rPr>
        <w:t>e</w:t>
      </w:r>
      <w:r w:rsidR="00BB2858" w:rsidRPr="00AC4AEA">
        <w:rPr>
          <w:rFonts w:ascii="Arial" w:hAnsi="Arial" w:cs="Arial"/>
          <w:sz w:val="20"/>
          <w:szCs w:val="20"/>
        </w:rPr>
        <w:t xml:space="preserve">l </w:t>
      </w:r>
      <w:r w:rsidR="00EC1893" w:rsidRPr="00AC4AEA">
        <w:rPr>
          <w:rFonts w:ascii="Arial" w:hAnsi="Arial" w:cs="Arial"/>
          <w:sz w:val="20"/>
          <w:szCs w:val="20"/>
        </w:rPr>
        <w:t>método indirecto</w:t>
      </w:r>
      <w:r w:rsidR="00BB2858" w:rsidRPr="00AC4AEA">
        <w:rPr>
          <w:rFonts w:ascii="Arial" w:hAnsi="Arial" w:cs="Arial"/>
          <w:sz w:val="20"/>
          <w:szCs w:val="20"/>
        </w:rPr>
        <w:t>.</w:t>
      </w:r>
    </w:p>
    <w:p w:rsidR="00BB2858" w:rsidRPr="00AC4AEA" w:rsidRDefault="005D3D7C" w:rsidP="00A318EA">
      <w:pPr>
        <w:pStyle w:val="Prrafodelista"/>
        <w:numPr>
          <w:ilvl w:val="0"/>
          <w:numId w:val="29"/>
        </w:numPr>
        <w:contextualSpacing w:val="0"/>
        <w:jc w:val="both"/>
        <w:rPr>
          <w:rFonts w:ascii="Arial" w:hAnsi="Arial" w:cs="Arial"/>
          <w:sz w:val="20"/>
          <w:szCs w:val="20"/>
        </w:rPr>
      </w:pPr>
      <w:bookmarkStart w:id="942" w:name="_Ref77327764"/>
      <w:r w:rsidRPr="00AC4AEA">
        <w:rPr>
          <w:rFonts w:ascii="Arial" w:hAnsi="Arial" w:cs="Arial"/>
          <w:sz w:val="20"/>
          <w:szCs w:val="20"/>
        </w:rPr>
        <w:t>Cuando utilice</w:t>
      </w:r>
      <w:r w:rsidR="007D275B" w:rsidRPr="00AC4AEA">
        <w:rPr>
          <w:rFonts w:ascii="Arial" w:hAnsi="Arial" w:cs="Arial"/>
          <w:sz w:val="20"/>
          <w:szCs w:val="20"/>
        </w:rPr>
        <w:t xml:space="preserve"> e</w:t>
      </w:r>
      <w:r w:rsidR="00BB2858" w:rsidRPr="00AC4AEA">
        <w:rPr>
          <w:rFonts w:ascii="Arial" w:hAnsi="Arial" w:cs="Arial"/>
          <w:sz w:val="20"/>
          <w:szCs w:val="20"/>
        </w:rPr>
        <w:t>l método directo</w:t>
      </w:r>
      <w:r w:rsidRPr="00AC4AEA">
        <w:rPr>
          <w:rFonts w:ascii="Arial" w:hAnsi="Arial" w:cs="Arial"/>
          <w:sz w:val="20"/>
          <w:szCs w:val="20"/>
        </w:rPr>
        <w:t>, una entidad</w:t>
      </w:r>
      <w:r w:rsidR="00BB2858" w:rsidRPr="00AC4AEA">
        <w:rPr>
          <w:rFonts w:ascii="Arial" w:hAnsi="Arial" w:cs="Arial"/>
          <w:sz w:val="20"/>
          <w:szCs w:val="20"/>
        </w:rPr>
        <w:t xml:space="preserve"> expon</w:t>
      </w:r>
      <w:r w:rsidR="007D275B" w:rsidRPr="00AC4AEA">
        <w:rPr>
          <w:rFonts w:ascii="Arial" w:hAnsi="Arial" w:cs="Arial"/>
          <w:sz w:val="20"/>
          <w:szCs w:val="20"/>
        </w:rPr>
        <w:t>drá</w:t>
      </w:r>
      <w:r w:rsidR="00BB2858" w:rsidRPr="00AC4AEA">
        <w:rPr>
          <w:rFonts w:ascii="Arial" w:hAnsi="Arial" w:cs="Arial"/>
          <w:sz w:val="20"/>
          <w:szCs w:val="20"/>
        </w:rPr>
        <w:t xml:space="preserve"> las principales clases de entradas y salidas brutas en efectivo y sus equivalentes</w:t>
      </w:r>
      <w:r w:rsidR="007D275B" w:rsidRPr="00AC4AEA">
        <w:rPr>
          <w:rFonts w:ascii="Arial" w:hAnsi="Arial" w:cs="Arial"/>
          <w:sz w:val="20"/>
          <w:szCs w:val="20"/>
        </w:rPr>
        <w:t>.</w:t>
      </w:r>
      <w:r w:rsidRPr="00AC4AEA">
        <w:rPr>
          <w:rFonts w:ascii="Arial" w:hAnsi="Arial" w:cs="Arial"/>
          <w:sz w:val="20"/>
          <w:szCs w:val="20"/>
        </w:rPr>
        <w:t xml:space="preserve"> Por ejemplo:</w:t>
      </w:r>
      <w:bookmarkEnd w:id="942"/>
    </w:p>
    <w:p w:rsidR="005D3D7C" w:rsidRPr="00AC4AEA" w:rsidRDefault="00322537" w:rsidP="00A318EA">
      <w:pPr>
        <w:pStyle w:val="A-Normal11"/>
        <w:numPr>
          <w:ilvl w:val="0"/>
          <w:numId w:val="200"/>
        </w:numPr>
        <w:ind w:left="1560"/>
        <w:jc w:val="both"/>
        <w:rPr>
          <w:rFonts w:ascii="Arial" w:hAnsi="Arial" w:cs="Arial"/>
          <w:sz w:val="20"/>
        </w:rPr>
      </w:pPr>
      <w:r w:rsidRPr="00AC4AEA">
        <w:rPr>
          <w:rFonts w:ascii="Arial" w:hAnsi="Arial" w:cs="Arial"/>
          <w:sz w:val="20"/>
        </w:rPr>
        <w:lastRenderedPageBreak/>
        <w:t>C</w:t>
      </w:r>
      <w:r w:rsidR="005D3D7C" w:rsidRPr="00AC4AEA">
        <w:rPr>
          <w:rFonts w:ascii="Arial" w:hAnsi="Arial" w:cs="Arial"/>
          <w:sz w:val="20"/>
        </w:rPr>
        <w:t xml:space="preserve">obro a clientes procedentes de ventas, prestaciones de servicios u otros </w:t>
      </w:r>
      <w:r w:rsidR="005D3D7C" w:rsidRPr="00AC4AEA">
        <w:rPr>
          <w:rFonts w:ascii="Arial" w:hAnsi="Arial" w:cs="Arial"/>
          <w:b/>
          <w:bCs/>
          <w:sz w:val="20"/>
        </w:rPr>
        <w:t xml:space="preserve">ingresos de actividades </w:t>
      </w:r>
      <w:r w:rsidR="00BC379F" w:rsidRPr="00AC4AEA">
        <w:rPr>
          <w:rFonts w:ascii="Arial" w:hAnsi="Arial" w:cs="Arial"/>
          <w:b/>
          <w:bCs/>
          <w:sz w:val="20"/>
        </w:rPr>
        <w:t>ordinarias</w:t>
      </w:r>
      <w:r w:rsidRPr="00AC4AEA">
        <w:rPr>
          <w:rFonts w:ascii="Arial" w:hAnsi="Arial" w:cs="Arial"/>
          <w:sz w:val="20"/>
        </w:rPr>
        <w:t>.</w:t>
      </w:r>
    </w:p>
    <w:p w:rsidR="005D3D7C" w:rsidRPr="00AC4AEA" w:rsidRDefault="00322537" w:rsidP="00A318EA">
      <w:pPr>
        <w:pStyle w:val="A-Normal11"/>
        <w:numPr>
          <w:ilvl w:val="0"/>
          <w:numId w:val="200"/>
        </w:numPr>
        <w:ind w:left="1560"/>
        <w:jc w:val="both"/>
        <w:rPr>
          <w:rFonts w:ascii="Arial" w:hAnsi="Arial" w:cs="Arial"/>
          <w:sz w:val="20"/>
        </w:rPr>
      </w:pPr>
      <w:r w:rsidRPr="00AC4AEA">
        <w:rPr>
          <w:rFonts w:ascii="Arial" w:hAnsi="Arial" w:cs="Arial"/>
          <w:sz w:val="20"/>
        </w:rPr>
        <w:t>P</w:t>
      </w:r>
      <w:r w:rsidR="005D3D7C" w:rsidRPr="00AC4AEA">
        <w:rPr>
          <w:rFonts w:ascii="Arial" w:hAnsi="Arial" w:cs="Arial"/>
          <w:sz w:val="20"/>
        </w:rPr>
        <w:t>ago a proveedores de bienes y servicios</w:t>
      </w:r>
      <w:r w:rsidRPr="00AC4AEA">
        <w:rPr>
          <w:rFonts w:ascii="Arial" w:hAnsi="Arial" w:cs="Arial"/>
          <w:sz w:val="20"/>
        </w:rPr>
        <w:t>.</w:t>
      </w:r>
    </w:p>
    <w:p w:rsidR="005D3D7C" w:rsidRPr="00AC4AEA" w:rsidRDefault="00322537" w:rsidP="00A318EA">
      <w:pPr>
        <w:pStyle w:val="A-Normal11"/>
        <w:numPr>
          <w:ilvl w:val="0"/>
          <w:numId w:val="200"/>
        </w:numPr>
        <w:ind w:left="1560"/>
        <w:jc w:val="both"/>
        <w:rPr>
          <w:rFonts w:ascii="Arial" w:hAnsi="Arial" w:cs="Arial"/>
          <w:sz w:val="20"/>
        </w:rPr>
      </w:pPr>
      <w:r w:rsidRPr="00AC4AEA">
        <w:rPr>
          <w:rFonts w:ascii="Arial" w:hAnsi="Arial" w:cs="Arial"/>
          <w:sz w:val="20"/>
        </w:rPr>
        <w:t>P</w:t>
      </w:r>
      <w:r w:rsidR="005D3D7C" w:rsidRPr="00AC4AEA">
        <w:rPr>
          <w:rFonts w:ascii="Arial" w:hAnsi="Arial" w:cs="Arial"/>
          <w:sz w:val="20"/>
        </w:rPr>
        <w:t>ago de sueldos y aportes y contribuciones a los sistemas de seguridad social</w:t>
      </w:r>
      <w:r w:rsidR="000F0DB4" w:rsidRPr="00AC4AEA">
        <w:rPr>
          <w:rFonts w:ascii="Arial" w:hAnsi="Arial" w:cs="Arial"/>
          <w:sz w:val="20"/>
        </w:rPr>
        <w:t>,</w:t>
      </w:r>
      <w:r w:rsidR="005D3D7C" w:rsidRPr="00AC4AEA">
        <w:rPr>
          <w:rFonts w:ascii="Arial" w:hAnsi="Arial" w:cs="Arial"/>
          <w:sz w:val="20"/>
        </w:rPr>
        <w:t xml:space="preserve"> y obras sociales</w:t>
      </w:r>
      <w:r w:rsidRPr="00AC4AEA">
        <w:rPr>
          <w:rFonts w:ascii="Arial" w:hAnsi="Arial" w:cs="Arial"/>
          <w:sz w:val="20"/>
        </w:rPr>
        <w:t>.</w:t>
      </w:r>
    </w:p>
    <w:p w:rsidR="005D3D7C" w:rsidRPr="00AC4AEA" w:rsidRDefault="00322537" w:rsidP="00A318EA">
      <w:pPr>
        <w:pStyle w:val="A-Normal11"/>
        <w:numPr>
          <w:ilvl w:val="0"/>
          <w:numId w:val="200"/>
        </w:numPr>
        <w:ind w:left="1560"/>
        <w:jc w:val="both"/>
        <w:rPr>
          <w:rFonts w:ascii="Arial" w:hAnsi="Arial" w:cs="Arial"/>
          <w:sz w:val="20"/>
        </w:rPr>
      </w:pPr>
      <w:r w:rsidRPr="00AC4AEA">
        <w:rPr>
          <w:rFonts w:ascii="Arial" w:hAnsi="Arial" w:cs="Arial"/>
          <w:sz w:val="20"/>
        </w:rPr>
        <w:t>P</w:t>
      </w:r>
      <w:r w:rsidR="005D3D7C" w:rsidRPr="00AC4AEA">
        <w:rPr>
          <w:rFonts w:ascii="Arial" w:hAnsi="Arial" w:cs="Arial"/>
          <w:sz w:val="20"/>
        </w:rPr>
        <w:t>ago de impuestos y tasa</w:t>
      </w:r>
      <w:r w:rsidRPr="00AC4AEA">
        <w:rPr>
          <w:rFonts w:ascii="Arial" w:hAnsi="Arial" w:cs="Arial"/>
          <w:sz w:val="20"/>
        </w:rPr>
        <w:t>s.</w:t>
      </w:r>
    </w:p>
    <w:p w:rsidR="005D3D7C" w:rsidRPr="00AC4AEA" w:rsidRDefault="00322537" w:rsidP="00A318EA">
      <w:pPr>
        <w:pStyle w:val="A-Normal11"/>
        <w:numPr>
          <w:ilvl w:val="0"/>
          <w:numId w:val="200"/>
        </w:numPr>
        <w:ind w:left="1560"/>
        <w:jc w:val="both"/>
        <w:rPr>
          <w:rFonts w:ascii="Arial" w:hAnsi="Arial" w:cs="Arial"/>
          <w:sz w:val="20"/>
        </w:rPr>
      </w:pPr>
      <w:r w:rsidRPr="00AC4AEA">
        <w:rPr>
          <w:rFonts w:ascii="Arial" w:hAnsi="Arial" w:cs="Arial"/>
          <w:sz w:val="20"/>
        </w:rPr>
        <w:t>P</w:t>
      </w:r>
      <w:r w:rsidR="005D3D7C" w:rsidRPr="00AC4AEA">
        <w:rPr>
          <w:rFonts w:ascii="Arial" w:hAnsi="Arial" w:cs="Arial"/>
          <w:sz w:val="20"/>
        </w:rPr>
        <w:t>ago (</w:t>
      </w:r>
      <w:r w:rsidR="00235A4B" w:rsidRPr="00AC4AEA">
        <w:rPr>
          <w:rFonts w:ascii="Arial" w:hAnsi="Arial" w:cs="Arial"/>
          <w:sz w:val="20"/>
        </w:rPr>
        <w:t>reembolso o recuperación</w:t>
      </w:r>
      <w:r w:rsidR="005D3D7C" w:rsidRPr="00AC4AEA">
        <w:rPr>
          <w:rFonts w:ascii="Arial" w:hAnsi="Arial" w:cs="Arial"/>
          <w:sz w:val="20"/>
        </w:rPr>
        <w:t>) de impuesto a las ganancias.</w:t>
      </w:r>
    </w:p>
    <w:p w:rsidR="005D3D7C" w:rsidRPr="00AC4AEA" w:rsidRDefault="005D3D7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Cuando utilice el</w:t>
      </w:r>
      <w:r w:rsidR="00BB2858" w:rsidRPr="00AC4AEA">
        <w:rPr>
          <w:rFonts w:ascii="Arial" w:hAnsi="Arial" w:cs="Arial"/>
          <w:sz w:val="20"/>
          <w:szCs w:val="20"/>
        </w:rPr>
        <w:t xml:space="preserve"> método indirecto</w:t>
      </w:r>
      <w:r w:rsidRPr="00AC4AEA">
        <w:rPr>
          <w:rFonts w:ascii="Arial" w:hAnsi="Arial" w:cs="Arial"/>
          <w:sz w:val="20"/>
          <w:szCs w:val="20"/>
        </w:rPr>
        <w:t xml:space="preserve">, </w:t>
      </w:r>
      <w:r w:rsidR="00253EF3" w:rsidRPr="00AC4AEA">
        <w:rPr>
          <w:rFonts w:ascii="Arial" w:hAnsi="Arial" w:cs="Arial"/>
          <w:sz w:val="20"/>
          <w:szCs w:val="20"/>
        </w:rPr>
        <w:t xml:space="preserve">una entidad </w:t>
      </w:r>
      <w:r w:rsidRPr="00AC4AEA">
        <w:rPr>
          <w:rFonts w:ascii="Arial" w:hAnsi="Arial" w:cs="Arial"/>
          <w:sz w:val="20"/>
          <w:szCs w:val="20"/>
        </w:rPr>
        <w:t>expondrá:</w:t>
      </w:r>
      <w:r w:rsidR="00BB2858" w:rsidRPr="00AC4AEA">
        <w:rPr>
          <w:rFonts w:ascii="Arial" w:hAnsi="Arial" w:cs="Arial"/>
          <w:sz w:val="20"/>
          <w:szCs w:val="20"/>
        </w:rPr>
        <w:t xml:space="preserve"> </w:t>
      </w:r>
    </w:p>
    <w:p w:rsidR="005D3D7C" w:rsidRPr="00AC4AEA" w:rsidRDefault="00904664" w:rsidP="00A318EA">
      <w:pPr>
        <w:pStyle w:val="Prrafodelista"/>
        <w:numPr>
          <w:ilvl w:val="0"/>
          <w:numId w:val="201"/>
        </w:numPr>
        <w:ind w:left="1560"/>
        <w:contextualSpacing w:val="0"/>
        <w:jc w:val="both"/>
        <w:rPr>
          <w:rFonts w:ascii="Arial" w:hAnsi="Arial" w:cs="Arial"/>
          <w:sz w:val="20"/>
          <w:szCs w:val="20"/>
        </w:rPr>
      </w:pPr>
      <w:r w:rsidRPr="00AC4AEA">
        <w:rPr>
          <w:rFonts w:ascii="Arial" w:hAnsi="Arial" w:cs="Arial"/>
          <w:sz w:val="20"/>
          <w:szCs w:val="20"/>
        </w:rPr>
        <w:t>e</w:t>
      </w:r>
      <w:r w:rsidR="00BB2858" w:rsidRPr="00AC4AEA">
        <w:rPr>
          <w:rFonts w:ascii="Arial" w:hAnsi="Arial" w:cs="Arial"/>
          <w:sz w:val="20"/>
          <w:szCs w:val="20"/>
        </w:rPr>
        <w:t xml:space="preserve">l resultado </w:t>
      </w:r>
      <w:r w:rsidR="005D3D7C" w:rsidRPr="00AC4AEA">
        <w:rPr>
          <w:rFonts w:ascii="Arial" w:hAnsi="Arial" w:cs="Arial"/>
          <w:sz w:val="20"/>
          <w:szCs w:val="20"/>
        </w:rPr>
        <w:t>del período</w:t>
      </w:r>
      <w:r w:rsidR="00322537" w:rsidRPr="00AC4AEA">
        <w:rPr>
          <w:rFonts w:ascii="Arial" w:hAnsi="Arial" w:cs="Arial"/>
          <w:sz w:val="20"/>
          <w:szCs w:val="20"/>
        </w:rPr>
        <w:t>;</w:t>
      </w:r>
      <w:r w:rsidR="005D3D7C" w:rsidRPr="00AC4AEA">
        <w:rPr>
          <w:rFonts w:ascii="Arial" w:hAnsi="Arial" w:cs="Arial"/>
          <w:sz w:val="20"/>
          <w:szCs w:val="20"/>
        </w:rPr>
        <w:t xml:space="preserve"> y</w:t>
      </w:r>
    </w:p>
    <w:p w:rsidR="005D3D7C" w:rsidRPr="00AC4AEA" w:rsidRDefault="00904664" w:rsidP="00A318EA">
      <w:pPr>
        <w:pStyle w:val="Prrafodelista"/>
        <w:numPr>
          <w:ilvl w:val="0"/>
          <w:numId w:val="201"/>
        </w:numPr>
        <w:ind w:left="1560"/>
        <w:contextualSpacing w:val="0"/>
        <w:jc w:val="both"/>
        <w:rPr>
          <w:rFonts w:ascii="Arial" w:hAnsi="Arial" w:cs="Arial"/>
          <w:sz w:val="20"/>
          <w:szCs w:val="20"/>
        </w:rPr>
      </w:pPr>
      <w:r w:rsidRPr="00AC4AEA">
        <w:rPr>
          <w:rFonts w:ascii="Arial" w:hAnsi="Arial" w:cs="Arial"/>
          <w:sz w:val="20"/>
          <w:szCs w:val="20"/>
        </w:rPr>
        <w:t>l</w:t>
      </w:r>
      <w:r w:rsidR="005D3D7C" w:rsidRPr="00AC4AEA">
        <w:rPr>
          <w:rFonts w:ascii="Arial" w:hAnsi="Arial" w:cs="Arial"/>
          <w:sz w:val="20"/>
          <w:szCs w:val="20"/>
        </w:rPr>
        <w:t xml:space="preserve">as partidas de ajuste </w:t>
      </w:r>
      <w:r w:rsidR="00EC1893" w:rsidRPr="00AC4AEA">
        <w:rPr>
          <w:rFonts w:ascii="Arial" w:hAnsi="Arial" w:cs="Arial"/>
          <w:sz w:val="20"/>
          <w:szCs w:val="20"/>
        </w:rPr>
        <w:t>necesarias</w:t>
      </w:r>
      <w:r w:rsidR="005D3D7C" w:rsidRPr="00AC4AEA">
        <w:rPr>
          <w:rFonts w:ascii="Arial" w:hAnsi="Arial" w:cs="Arial"/>
          <w:sz w:val="20"/>
          <w:szCs w:val="20"/>
        </w:rPr>
        <w:t xml:space="preserve"> para obtener el flujo neto del efectivo y sus equivalen</w:t>
      </w:r>
      <w:r w:rsidR="003F3EF9" w:rsidRPr="00AC4AEA">
        <w:rPr>
          <w:rFonts w:ascii="Arial" w:hAnsi="Arial" w:cs="Arial"/>
          <w:sz w:val="20"/>
          <w:szCs w:val="20"/>
        </w:rPr>
        <w:t>t</w:t>
      </w:r>
      <w:r w:rsidR="005D3D7C" w:rsidRPr="00AC4AEA">
        <w:rPr>
          <w:rFonts w:ascii="Arial" w:hAnsi="Arial" w:cs="Arial"/>
          <w:sz w:val="20"/>
          <w:szCs w:val="20"/>
        </w:rPr>
        <w:t>es proveniente de las actividades operativas. Estas partidas incluyen:</w:t>
      </w:r>
    </w:p>
    <w:p w:rsidR="005D3D7C" w:rsidRPr="00AC4AEA" w:rsidRDefault="00904664" w:rsidP="00A318EA">
      <w:pPr>
        <w:pStyle w:val="Prrafodelista"/>
        <w:numPr>
          <w:ilvl w:val="0"/>
          <w:numId w:val="202"/>
        </w:numPr>
        <w:ind w:left="1985"/>
        <w:contextualSpacing w:val="0"/>
        <w:jc w:val="both"/>
        <w:rPr>
          <w:rFonts w:ascii="Arial" w:hAnsi="Arial" w:cs="Arial"/>
          <w:sz w:val="20"/>
          <w:szCs w:val="20"/>
        </w:rPr>
      </w:pPr>
      <w:r w:rsidRPr="00AC4AEA">
        <w:rPr>
          <w:rFonts w:ascii="Arial" w:hAnsi="Arial" w:cs="Arial"/>
          <w:sz w:val="20"/>
          <w:szCs w:val="20"/>
        </w:rPr>
        <w:t>l</w:t>
      </w:r>
      <w:r w:rsidR="005D3D7C" w:rsidRPr="00AC4AEA">
        <w:rPr>
          <w:rFonts w:ascii="Arial" w:hAnsi="Arial" w:cs="Arial"/>
          <w:sz w:val="20"/>
          <w:szCs w:val="20"/>
        </w:rPr>
        <w:t>as que integran el resultado del período</w:t>
      </w:r>
      <w:r w:rsidR="00452FF9" w:rsidRPr="00AC4AEA">
        <w:rPr>
          <w:rFonts w:ascii="Arial" w:hAnsi="Arial" w:cs="Arial"/>
          <w:sz w:val="20"/>
          <w:szCs w:val="20"/>
        </w:rPr>
        <w:t>,</w:t>
      </w:r>
      <w:r w:rsidR="005D3D7C" w:rsidRPr="00AC4AEA">
        <w:rPr>
          <w:rFonts w:ascii="Arial" w:hAnsi="Arial" w:cs="Arial"/>
          <w:sz w:val="20"/>
          <w:szCs w:val="20"/>
        </w:rPr>
        <w:t xml:space="preserve"> pero nunca afectarán al efectivo y sus equivalentes (por ejemplo, depreciaciones de los bienes de uso);</w:t>
      </w:r>
    </w:p>
    <w:p w:rsidR="005D3D7C" w:rsidRPr="00AC4AEA" w:rsidRDefault="00904664" w:rsidP="00A318EA">
      <w:pPr>
        <w:pStyle w:val="Prrafodelista"/>
        <w:numPr>
          <w:ilvl w:val="0"/>
          <w:numId w:val="202"/>
        </w:numPr>
        <w:ind w:left="1985"/>
        <w:contextualSpacing w:val="0"/>
        <w:jc w:val="both"/>
        <w:rPr>
          <w:rFonts w:ascii="Arial" w:hAnsi="Arial" w:cs="Arial"/>
          <w:sz w:val="20"/>
          <w:szCs w:val="20"/>
        </w:rPr>
      </w:pPr>
      <w:r w:rsidRPr="00AC4AEA">
        <w:rPr>
          <w:rFonts w:ascii="Arial" w:hAnsi="Arial" w:cs="Arial"/>
          <w:sz w:val="20"/>
          <w:szCs w:val="20"/>
        </w:rPr>
        <w:t>l</w:t>
      </w:r>
      <w:r w:rsidR="005D3D7C" w:rsidRPr="00AC4AEA">
        <w:rPr>
          <w:rFonts w:ascii="Arial" w:hAnsi="Arial" w:cs="Arial"/>
          <w:sz w:val="20"/>
          <w:szCs w:val="20"/>
        </w:rPr>
        <w:t>as que integran el resultado del período</w:t>
      </w:r>
      <w:r w:rsidR="00452FF9" w:rsidRPr="00AC4AEA">
        <w:rPr>
          <w:rFonts w:ascii="Arial" w:hAnsi="Arial" w:cs="Arial"/>
          <w:sz w:val="20"/>
          <w:szCs w:val="20"/>
        </w:rPr>
        <w:t>,</w:t>
      </w:r>
      <w:r w:rsidR="00A53552" w:rsidRPr="00AC4AEA">
        <w:rPr>
          <w:rFonts w:ascii="Arial" w:hAnsi="Arial" w:cs="Arial"/>
          <w:sz w:val="20"/>
          <w:szCs w:val="20"/>
        </w:rPr>
        <w:t xml:space="preserve"> </w:t>
      </w:r>
      <w:r w:rsidR="005D3D7C" w:rsidRPr="00AC4AEA">
        <w:rPr>
          <w:rFonts w:ascii="Arial" w:hAnsi="Arial" w:cs="Arial"/>
          <w:sz w:val="20"/>
          <w:szCs w:val="20"/>
        </w:rPr>
        <w:t>pero</w:t>
      </w:r>
      <w:r w:rsidR="00BC379F" w:rsidRPr="00AC4AEA">
        <w:rPr>
          <w:rFonts w:ascii="Arial" w:hAnsi="Arial" w:cs="Arial"/>
          <w:sz w:val="20"/>
          <w:szCs w:val="20"/>
        </w:rPr>
        <w:t xml:space="preserve"> cuyos flujos de efectivo</w:t>
      </w:r>
      <w:r w:rsidR="005D3D7C" w:rsidRPr="00AC4AEA">
        <w:rPr>
          <w:rFonts w:ascii="Arial" w:hAnsi="Arial" w:cs="Arial"/>
          <w:sz w:val="20"/>
          <w:szCs w:val="20"/>
        </w:rPr>
        <w:t xml:space="preserve"> deben exponerse por separado dentro de:</w:t>
      </w:r>
    </w:p>
    <w:p w:rsidR="005D3D7C" w:rsidRPr="00AC4AEA" w:rsidRDefault="00904664" w:rsidP="00A318EA">
      <w:pPr>
        <w:pStyle w:val="Prrafodelista"/>
        <w:numPr>
          <w:ilvl w:val="0"/>
          <w:numId w:val="203"/>
        </w:numPr>
        <w:contextualSpacing w:val="0"/>
        <w:jc w:val="both"/>
        <w:rPr>
          <w:rFonts w:ascii="Arial" w:hAnsi="Arial" w:cs="Arial"/>
          <w:sz w:val="20"/>
          <w:szCs w:val="20"/>
        </w:rPr>
      </w:pPr>
      <w:r w:rsidRPr="00AC4AEA">
        <w:rPr>
          <w:rFonts w:ascii="Arial" w:hAnsi="Arial" w:cs="Arial"/>
          <w:sz w:val="20"/>
          <w:szCs w:val="20"/>
        </w:rPr>
        <w:t>l</w:t>
      </w:r>
      <w:r w:rsidR="005D3D7C" w:rsidRPr="00AC4AEA">
        <w:rPr>
          <w:rFonts w:ascii="Arial" w:hAnsi="Arial" w:cs="Arial"/>
          <w:sz w:val="20"/>
          <w:szCs w:val="20"/>
        </w:rPr>
        <w:t xml:space="preserve">as actividades operativas (por ejemplo, </w:t>
      </w:r>
      <w:r w:rsidR="00253EF3" w:rsidRPr="00AC4AEA">
        <w:rPr>
          <w:rFonts w:ascii="Arial" w:hAnsi="Arial" w:cs="Arial"/>
          <w:sz w:val="20"/>
          <w:szCs w:val="20"/>
        </w:rPr>
        <w:t xml:space="preserve">el </w:t>
      </w:r>
      <w:r w:rsidR="005D3D7C" w:rsidRPr="00AC4AEA">
        <w:rPr>
          <w:rFonts w:ascii="Arial" w:hAnsi="Arial" w:cs="Arial"/>
          <w:sz w:val="20"/>
          <w:szCs w:val="20"/>
        </w:rPr>
        <w:t xml:space="preserve">impuesto a las </w:t>
      </w:r>
      <w:r w:rsidR="00192A8B" w:rsidRPr="00AC4AEA">
        <w:rPr>
          <w:rFonts w:ascii="Arial" w:hAnsi="Arial" w:cs="Arial"/>
          <w:sz w:val="20"/>
          <w:szCs w:val="20"/>
        </w:rPr>
        <w:t>ganancias</w:t>
      </w:r>
      <w:r w:rsidR="004044DE" w:rsidRPr="00AC4AEA">
        <w:rPr>
          <w:rFonts w:ascii="Arial" w:hAnsi="Arial" w:cs="Arial"/>
          <w:sz w:val="20"/>
          <w:szCs w:val="20"/>
        </w:rPr>
        <w:t xml:space="preserve"> devengado en el período, que se elimina para luego exponerlos como un pago directo</w:t>
      </w:r>
      <w:r w:rsidR="005D3D7C" w:rsidRPr="00AC4AEA">
        <w:rPr>
          <w:rFonts w:ascii="Arial" w:hAnsi="Arial" w:cs="Arial"/>
          <w:sz w:val="20"/>
          <w:szCs w:val="20"/>
        </w:rPr>
        <w:t>);</w:t>
      </w:r>
    </w:p>
    <w:p w:rsidR="005D3D7C" w:rsidRPr="00AC4AEA" w:rsidRDefault="00904664" w:rsidP="00A318EA">
      <w:pPr>
        <w:pStyle w:val="Prrafodelista"/>
        <w:numPr>
          <w:ilvl w:val="0"/>
          <w:numId w:val="203"/>
        </w:numPr>
        <w:contextualSpacing w:val="0"/>
        <w:jc w:val="both"/>
        <w:rPr>
          <w:rFonts w:ascii="Arial" w:hAnsi="Arial" w:cs="Arial"/>
          <w:sz w:val="20"/>
          <w:szCs w:val="20"/>
        </w:rPr>
      </w:pPr>
      <w:r w:rsidRPr="00AC4AEA">
        <w:rPr>
          <w:rFonts w:ascii="Arial" w:hAnsi="Arial" w:cs="Arial"/>
          <w:sz w:val="20"/>
          <w:szCs w:val="20"/>
        </w:rPr>
        <w:t>l</w:t>
      </w:r>
      <w:r w:rsidR="005D3D7C" w:rsidRPr="00AC4AEA">
        <w:rPr>
          <w:rFonts w:ascii="Arial" w:hAnsi="Arial" w:cs="Arial"/>
          <w:sz w:val="20"/>
          <w:szCs w:val="20"/>
        </w:rPr>
        <w:t xml:space="preserve">as actividades de inversión (por ejemplo, </w:t>
      </w:r>
      <w:r w:rsidR="0020556A" w:rsidRPr="00AC4AEA">
        <w:rPr>
          <w:rFonts w:ascii="Arial" w:hAnsi="Arial" w:cs="Arial"/>
          <w:sz w:val="20"/>
          <w:szCs w:val="20"/>
        </w:rPr>
        <w:t>el resultado</w:t>
      </w:r>
      <w:r w:rsidR="005D3D7C" w:rsidRPr="00AC4AEA">
        <w:rPr>
          <w:rFonts w:ascii="Arial" w:hAnsi="Arial" w:cs="Arial"/>
          <w:sz w:val="20"/>
          <w:szCs w:val="20"/>
        </w:rPr>
        <w:t xml:space="preserve"> por </w:t>
      </w:r>
      <w:r w:rsidR="004044DE" w:rsidRPr="00AC4AEA">
        <w:rPr>
          <w:rFonts w:ascii="Arial" w:hAnsi="Arial" w:cs="Arial"/>
          <w:sz w:val="20"/>
          <w:szCs w:val="20"/>
        </w:rPr>
        <w:t xml:space="preserve">la </w:t>
      </w:r>
      <w:r w:rsidR="005D3D7C" w:rsidRPr="00AC4AEA">
        <w:rPr>
          <w:rFonts w:ascii="Arial" w:hAnsi="Arial" w:cs="Arial"/>
          <w:sz w:val="20"/>
          <w:szCs w:val="20"/>
        </w:rPr>
        <w:t>venta de bienes de</w:t>
      </w:r>
      <w:r w:rsidR="003D1D46" w:rsidRPr="00AC4AEA">
        <w:rPr>
          <w:rFonts w:ascii="Arial" w:hAnsi="Arial" w:cs="Arial"/>
          <w:sz w:val="20"/>
          <w:szCs w:val="20"/>
        </w:rPr>
        <w:t xml:space="preserve"> uso</w:t>
      </w:r>
      <w:r w:rsidR="004044DE" w:rsidRPr="00AC4AEA">
        <w:rPr>
          <w:rFonts w:ascii="Arial" w:hAnsi="Arial" w:cs="Arial"/>
          <w:sz w:val="20"/>
          <w:szCs w:val="20"/>
        </w:rPr>
        <w:t>, para luego exponer el cobro de esa venta en las actividades de inversión</w:t>
      </w:r>
      <w:r w:rsidR="005D3D7C" w:rsidRPr="00AC4AEA">
        <w:rPr>
          <w:rFonts w:ascii="Arial" w:hAnsi="Arial" w:cs="Arial"/>
          <w:sz w:val="20"/>
          <w:szCs w:val="20"/>
        </w:rPr>
        <w:t>)</w:t>
      </w:r>
      <w:r w:rsidR="00322537" w:rsidRPr="00AC4AEA">
        <w:rPr>
          <w:rFonts w:ascii="Arial" w:hAnsi="Arial" w:cs="Arial"/>
          <w:sz w:val="20"/>
          <w:szCs w:val="20"/>
        </w:rPr>
        <w:t>; y</w:t>
      </w:r>
    </w:p>
    <w:p w:rsidR="007220C2" w:rsidRPr="00AC4AEA" w:rsidRDefault="00904664" w:rsidP="00A318EA">
      <w:pPr>
        <w:pStyle w:val="Prrafodelista"/>
        <w:numPr>
          <w:ilvl w:val="0"/>
          <w:numId w:val="203"/>
        </w:numPr>
        <w:contextualSpacing w:val="0"/>
        <w:jc w:val="both"/>
        <w:rPr>
          <w:rFonts w:ascii="Arial" w:hAnsi="Arial" w:cs="Arial"/>
          <w:sz w:val="20"/>
          <w:szCs w:val="20"/>
        </w:rPr>
      </w:pPr>
      <w:r w:rsidRPr="00AC4AEA">
        <w:rPr>
          <w:rFonts w:ascii="Arial" w:hAnsi="Arial" w:cs="Arial"/>
          <w:sz w:val="20"/>
          <w:szCs w:val="20"/>
        </w:rPr>
        <w:t>l</w:t>
      </w:r>
      <w:r w:rsidR="005D3D7C" w:rsidRPr="00AC4AEA">
        <w:rPr>
          <w:rFonts w:ascii="Arial" w:hAnsi="Arial" w:cs="Arial"/>
          <w:sz w:val="20"/>
          <w:szCs w:val="20"/>
        </w:rPr>
        <w:t>as actividades de financiación (por ejemplo,</w:t>
      </w:r>
      <w:r w:rsidR="004044DE" w:rsidRPr="00AC4AEA">
        <w:rPr>
          <w:rFonts w:ascii="Arial" w:hAnsi="Arial" w:cs="Arial"/>
          <w:sz w:val="20"/>
          <w:szCs w:val="20"/>
        </w:rPr>
        <w:t xml:space="preserve"> los</w:t>
      </w:r>
      <w:r w:rsidR="005D3D7C" w:rsidRPr="00AC4AEA">
        <w:rPr>
          <w:rFonts w:ascii="Arial" w:hAnsi="Arial" w:cs="Arial"/>
          <w:sz w:val="20"/>
          <w:szCs w:val="20"/>
        </w:rPr>
        <w:t xml:space="preserve"> resultados provenientes de </w:t>
      </w:r>
      <w:r w:rsidR="00EC1893" w:rsidRPr="00AC4AEA">
        <w:rPr>
          <w:rFonts w:ascii="Arial" w:hAnsi="Arial" w:cs="Arial"/>
          <w:sz w:val="20"/>
          <w:szCs w:val="20"/>
        </w:rPr>
        <w:t>préstamos</w:t>
      </w:r>
      <w:r w:rsidR="004044DE" w:rsidRPr="00AC4AEA">
        <w:rPr>
          <w:rFonts w:ascii="Arial" w:hAnsi="Arial" w:cs="Arial"/>
          <w:sz w:val="20"/>
          <w:szCs w:val="20"/>
        </w:rPr>
        <w:t>, para luego exponer los intereses pagados dentro de las actividades operativas o de financiación, según sea la alternativa de presentación elegida</w:t>
      </w:r>
      <w:r w:rsidR="005D3D7C" w:rsidRPr="00AC4AEA">
        <w:rPr>
          <w:rFonts w:ascii="Arial" w:hAnsi="Arial" w:cs="Arial"/>
          <w:sz w:val="20"/>
          <w:szCs w:val="20"/>
        </w:rPr>
        <w:t>)</w:t>
      </w:r>
      <w:r w:rsidR="00BC379F" w:rsidRPr="00AC4AEA">
        <w:rPr>
          <w:rFonts w:ascii="Arial" w:hAnsi="Arial" w:cs="Arial"/>
          <w:sz w:val="20"/>
          <w:szCs w:val="20"/>
        </w:rPr>
        <w:t>;</w:t>
      </w:r>
      <w:r w:rsidR="005D3D7C" w:rsidRPr="00AC4AEA">
        <w:rPr>
          <w:rFonts w:ascii="Arial" w:hAnsi="Arial" w:cs="Arial"/>
          <w:sz w:val="20"/>
          <w:szCs w:val="20"/>
        </w:rPr>
        <w:t xml:space="preserve"> </w:t>
      </w:r>
    </w:p>
    <w:p w:rsidR="00235A4B" w:rsidRPr="00AC4AEA" w:rsidRDefault="003D1D46" w:rsidP="00A318EA">
      <w:pPr>
        <w:pStyle w:val="Prrafodelista"/>
        <w:numPr>
          <w:ilvl w:val="0"/>
          <w:numId w:val="202"/>
        </w:numPr>
        <w:ind w:left="1985"/>
        <w:contextualSpacing w:val="0"/>
        <w:jc w:val="both"/>
        <w:rPr>
          <w:rFonts w:ascii="Arial" w:hAnsi="Arial" w:cs="Arial"/>
          <w:sz w:val="20"/>
          <w:szCs w:val="20"/>
        </w:rPr>
      </w:pPr>
      <w:r w:rsidRPr="00AC4AEA">
        <w:rPr>
          <w:rFonts w:ascii="Arial" w:hAnsi="Arial" w:cs="Arial"/>
          <w:sz w:val="20"/>
          <w:szCs w:val="20"/>
        </w:rPr>
        <w:t>los resultados financieros y de tenencia</w:t>
      </w:r>
      <w:r w:rsidR="00A53552" w:rsidRPr="00AC4AEA">
        <w:rPr>
          <w:rFonts w:ascii="Arial" w:hAnsi="Arial" w:cs="Arial"/>
          <w:sz w:val="20"/>
          <w:szCs w:val="20"/>
        </w:rPr>
        <w:t xml:space="preserve"> (incluyendo </w:t>
      </w:r>
      <w:r w:rsidR="00A9032C" w:rsidRPr="00AC4AEA">
        <w:rPr>
          <w:rFonts w:ascii="Arial" w:hAnsi="Arial" w:cs="Arial"/>
          <w:sz w:val="20"/>
          <w:szCs w:val="20"/>
        </w:rPr>
        <w:t>al resultado</w:t>
      </w:r>
      <w:r w:rsidR="00A53552" w:rsidRPr="00AC4AEA">
        <w:rPr>
          <w:rFonts w:ascii="Arial" w:hAnsi="Arial" w:cs="Arial"/>
          <w:sz w:val="20"/>
          <w:szCs w:val="20"/>
        </w:rPr>
        <w:t xml:space="preserve"> por</w:t>
      </w:r>
      <w:r w:rsidR="0060482D" w:rsidRPr="00AC4AEA">
        <w:rPr>
          <w:rFonts w:ascii="Arial" w:hAnsi="Arial" w:cs="Arial"/>
          <w:sz w:val="20"/>
          <w:szCs w:val="20"/>
        </w:rPr>
        <w:t xml:space="preserve"> exposición a</w:t>
      </w:r>
      <w:r w:rsidR="00A9032C" w:rsidRPr="00AC4AEA">
        <w:rPr>
          <w:rFonts w:ascii="Arial" w:hAnsi="Arial" w:cs="Arial"/>
          <w:sz w:val="20"/>
          <w:szCs w:val="20"/>
        </w:rPr>
        <w:t>l</w:t>
      </w:r>
      <w:r w:rsidR="0060482D" w:rsidRPr="00AC4AEA">
        <w:rPr>
          <w:rFonts w:ascii="Arial" w:hAnsi="Arial" w:cs="Arial"/>
          <w:sz w:val="20"/>
          <w:szCs w:val="20"/>
        </w:rPr>
        <w:t xml:space="preserve"> </w:t>
      </w:r>
      <w:r w:rsidR="00A9032C" w:rsidRPr="00AC4AEA">
        <w:rPr>
          <w:rFonts w:ascii="Arial" w:hAnsi="Arial" w:cs="Arial"/>
          <w:sz w:val="20"/>
          <w:szCs w:val="20"/>
        </w:rPr>
        <w:t>cambio</w:t>
      </w:r>
      <w:r w:rsidR="00A53552" w:rsidRPr="00AC4AEA">
        <w:rPr>
          <w:rFonts w:ascii="Arial" w:hAnsi="Arial" w:cs="Arial"/>
          <w:sz w:val="20"/>
          <w:szCs w:val="20"/>
        </w:rPr>
        <w:t xml:space="preserve"> en el poder adquisitivo de la moneda)</w:t>
      </w:r>
      <w:r w:rsidRPr="00AC4AEA">
        <w:rPr>
          <w:rFonts w:ascii="Arial" w:hAnsi="Arial" w:cs="Arial"/>
          <w:sz w:val="20"/>
          <w:szCs w:val="20"/>
        </w:rPr>
        <w:t xml:space="preserve"> </w:t>
      </w:r>
      <w:r w:rsidR="0067233B" w:rsidRPr="00AC4AEA">
        <w:rPr>
          <w:rFonts w:ascii="Arial" w:hAnsi="Arial" w:cs="Arial"/>
          <w:sz w:val="20"/>
          <w:szCs w:val="20"/>
        </w:rPr>
        <w:t xml:space="preserve">generados por partidas monetarias </w:t>
      </w:r>
      <w:r w:rsidR="00F80FD9" w:rsidRPr="00AC4AEA">
        <w:rPr>
          <w:rFonts w:ascii="Arial" w:hAnsi="Arial" w:cs="Arial"/>
          <w:sz w:val="20"/>
          <w:szCs w:val="20"/>
        </w:rPr>
        <w:t>relacionadas con las actividades de inversión o financiación</w:t>
      </w:r>
      <w:r w:rsidRPr="00AC4AEA">
        <w:rPr>
          <w:rFonts w:ascii="Arial" w:hAnsi="Arial" w:cs="Arial"/>
          <w:sz w:val="20"/>
          <w:szCs w:val="20"/>
        </w:rPr>
        <w:t xml:space="preserve">; </w:t>
      </w:r>
      <w:r w:rsidR="00253EF3" w:rsidRPr="00AC4AEA">
        <w:rPr>
          <w:rFonts w:ascii="Arial" w:hAnsi="Arial" w:cs="Arial"/>
          <w:sz w:val="20"/>
          <w:szCs w:val="20"/>
        </w:rPr>
        <w:t>y</w:t>
      </w:r>
    </w:p>
    <w:p w:rsidR="005D3D7C" w:rsidRPr="00AC4AEA" w:rsidRDefault="003D1D46" w:rsidP="00A318EA">
      <w:pPr>
        <w:pStyle w:val="Prrafodelista"/>
        <w:numPr>
          <w:ilvl w:val="0"/>
          <w:numId w:val="202"/>
        </w:numPr>
        <w:ind w:left="1985"/>
        <w:contextualSpacing w:val="0"/>
        <w:jc w:val="both"/>
        <w:rPr>
          <w:rFonts w:ascii="Arial" w:hAnsi="Arial" w:cs="Arial"/>
          <w:sz w:val="20"/>
          <w:szCs w:val="20"/>
        </w:rPr>
      </w:pPr>
      <w:r w:rsidRPr="00AC4AEA">
        <w:rPr>
          <w:rFonts w:ascii="Arial" w:hAnsi="Arial" w:cs="Arial"/>
          <w:sz w:val="20"/>
          <w:szCs w:val="20"/>
        </w:rPr>
        <w:t xml:space="preserve">las </w:t>
      </w:r>
      <w:r w:rsidR="00904664" w:rsidRPr="00AC4AEA">
        <w:rPr>
          <w:rFonts w:ascii="Arial" w:hAnsi="Arial" w:cs="Arial"/>
          <w:sz w:val="20"/>
          <w:szCs w:val="20"/>
        </w:rPr>
        <w:t>v</w:t>
      </w:r>
      <w:r w:rsidR="005D3D7C" w:rsidRPr="00AC4AEA">
        <w:rPr>
          <w:rFonts w:ascii="Arial" w:hAnsi="Arial" w:cs="Arial"/>
          <w:sz w:val="20"/>
          <w:szCs w:val="20"/>
        </w:rPr>
        <w:t xml:space="preserve">ariaciones de </w:t>
      </w:r>
      <w:r w:rsidR="00497590" w:rsidRPr="00AC4AEA">
        <w:rPr>
          <w:rFonts w:ascii="Arial" w:hAnsi="Arial" w:cs="Arial"/>
          <w:sz w:val="20"/>
          <w:szCs w:val="20"/>
        </w:rPr>
        <w:t>activos</w:t>
      </w:r>
      <w:r w:rsidR="005D3D7C" w:rsidRPr="00AC4AEA">
        <w:rPr>
          <w:rFonts w:ascii="Arial" w:hAnsi="Arial" w:cs="Arial"/>
          <w:sz w:val="20"/>
          <w:szCs w:val="20"/>
        </w:rPr>
        <w:t xml:space="preserve"> y </w:t>
      </w:r>
      <w:r w:rsidR="00497590" w:rsidRPr="00AC4AEA">
        <w:rPr>
          <w:rFonts w:ascii="Arial" w:hAnsi="Arial" w:cs="Arial"/>
          <w:sz w:val="20"/>
          <w:szCs w:val="20"/>
        </w:rPr>
        <w:t>pasivos</w:t>
      </w:r>
      <w:r w:rsidR="005D3D7C" w:rsidRPr="00AC4AEA">
        <w:rPr>
          <w:rFonts w:ascii="Arial" w:hAnsi="Arial" w:cs="Arial"/>
          <w:sz w:val="20"/>
          <w:szCs w:val="20"/>
        </w:rPr>
        <w:t xml:space="preserve"> operativos, </w:t>
      </w:r>
      <w:r w:rsidR="00192A8B" w:rsidRPr="00AC4AEA">
        <w:rPr>
          <w:rFonts w:ascii="Arial" w:hAnsi="Arial" w:cs="Arial"/>
          <w:sz w:val="20"/>
          <w:szCs w:val="20"/>
        </w:rPr>
        <w:t>representativas de partidas que</w:t>
      </w:r>
      <w:r w:rsidR="005D3D7C" w:rsidRPr="00AC4AEA">
        <w:rPr>
          <w:rFonts w:ascii="Arial" w:hAnsi="Arial" w:cs="Arial"/>
          <w:sz w:val="20"/>
          <w:szCs w:val="20"/>
        </w:rPr>
        <w:t>:</w:t>
      </w:r>
    </w:p>
    <w:p w:rsidR="00BB2858" w:rsidRPr="00AC4AEA" w:rsidRDefault="00A53552" w:rsidP="00A318EA">
      <w:pPr>
        <w:pStyle w:val="Prrafodelista"/>
        <w:numPr>
          <w:ilvl w:val="0"/>
          <w:numId w:val="204"/>
        </w:numPr>
        <w:contextualSpacing w:val="0"/>
        <w:jc w:val="both"/>
        <w:rPr>
          <w:rFonts w:ascii="Arial" w:hAnsi="Arial" w:cs="Arial"/>
          <w:sz w:val="20"/>
          <w:szCs w:val="20"/>
        </w:rPr>
      </w:pPr>
      <w:r w:rsidRPr="00AC4AEA">
        <w:rPr>
          <w:rFonts w:ascii="Arial" w:hAnsi="Arial" w:cs="Arial"/>
          <w:sz w:val="20"/>
          <w:szCs w:val="20"/>
        </w:rPr>
        <w:t>i</w:t>
      </w:r>
      <w:r w:rsidR="00BB2858" w:rsidRPr="00AC4AEA">
        <w:rPr>
          <w:rFonts w:ascii="Arial" w:hAnsi="Arial" w:cs="Arial"/>
          <w:sz w:val="20"/>
          <w:szCs w:val="20"/>
        </w:rPr>
        <w:t>ntegran el resultado del período</w:t>
      </w:r>
      <w:r w:rsidR="00BC379F" w:rsidRPr="00AC4AEA">
        <w:rPr>
          <w:rFonts w:ascii="Arial" w:hAnsi="Arial" w:cs="Arial"/>
          <w:sz w:val="20"/>
          <w:szCs w:val="20"/>
        </w:rPr>
        <w:t xml:space="preserve"> actual</w:t>
      </w:r>
      <w:r w:rsidR="00452FF9" w:rsidRPr="00AC4AEA">
        <w:rPr>
          <w:rFonts w:ascii="Arial" w:hAnsi="Arial" w:cs="Arial"/>
          <w:sz w:val="20"/>
          <w:szCs w:val="20"/>
        </w:rPr>
        <w:t>,</w:t>
      </w:r>
      <w:r w:rsidR="00BC379F" w:rsidRPr="00AC4AEA">
        <w:rPr>
          <w:rFonts w:ascii="Arial" w:hAnsi="Arial" w:cs="Arial"/>
          <w:sz w:val="20"/>
          <w:szCs w:val="20"/>
        </w:rPr>
        <w:t xml:space="preserve"> </w:t>
      </w:r>
      <w:r w:rsidR="00BB2858" w:rsidRPr="00AC4AEA">
        <w:rPr>
          <w:rFonts w:ascii="Arial" w:hAnsi="Arial" w:cs="Arial"/>
          <w:sz w:val="20"/>
          <w:szCs w:val="20"/>
        </w:rPr>
        <w:t>pero afectarán al efectivo y sus equivalentes en un período posterior (por ejemplo, ventas devengadas pendientes de cobro);</w:t>
      </w:r>
      <w:r w:rsidR="00322537" w:rsidRPr="00AC4AEA">
        <w:rPr>
          <w:rFonts w:ascii="Arial" w:hAnsi="Arial" w:cs="Arial"/>
          <w:sz w:val="20"/>
          <w:szCs w:val="20"/>
        </w:rPr>
        <w:t xml:space="preserve"> </w:t>
      </w:r>
    </w:p>
    <w:p w:rsidR="00BB2858" w:rsidRPr="00AC4AEA" w:rsidRDefault="00A53552" w:rsidP="00A318EA">
      <w:pPr>
        <w:pStyle w:val="Prrafodelista"/>
        <w:numPr>
          <w:ilvl w:val="0"/>
          <w:numId w:val="204"/>
        </w:numPr>
        <w:contextualSpacing w:val="0"/>
        <w:jc w:val="both"/>
        <w:rPr>
          <w:rFonts w:ascii="Arial" w:hAnsi="Arial" w:cs="Arial"/>
          <w:sz w:val="20"/>
          <w:szCs w:val="20"/>
        </w:rPr>
      </w:pPr>
      <w:r w:rsidRPr="00AC4AEA">
        <w:rPr>
          <w:rFonts w:ascii="Arial" w:hAnsi="Arial" w:cs="Arial"/>
          <w:sz w:val="20"/>
          <w:szCs w:val="20"/>
        </w:rPr>
        <w:t>i</w:t>
      </w:r>
      <w:r w:rsidR="00BB2858" w:rsidRPr="00AC4AEA">
        <w:rPr>
          <w:rFonts w:ascii="Arial" w:hAnsi="Arial" w:cs="Arial"/>
          <w:sz w:val="20"/>
          <w:szCs w:val="20"/>
        </w:rPr>
        <w:t xml:space="preserve">ntegraron el resultado de un período </w:t>
      </w:r>
      <w:r w:rsidR="00BC379F" w:rsidRPr="00AC4AEA">
        <w:rPr>
          <w:rFonts w:ascii="Arial" w:hAnsi="Arial" w:cs="Arial"/>
          <w:sz w:val="20"/>
          <w:szCs w:val="20"/>
        </w:rPr>
        <w:t>anterior</w:t>
      </w:r>
      <w:r w:rsidR="00452FF9" w:rsidRPr="00AC4AEA">
        <w:rPr>
          <w:rFonts w:ascii="Arial" w:hAnsi="Arial" w:cs="Arial"/>
          <w:sz w:val="20"/>
          <w:szCs w:val="20"/>
        </w:rPr>
        <w:t>,</w:t>
      </w:r>
      <w:r w:rsidR="00BC379F" w:rsidRPr="00AC4AEA">
        <w:rPr>
          <w:rFonts w:ascii="Arial" w:hAnsi="Arial" w:cs="Arial"/>
          <w:sz w:val="20"/>
          <w:szCs w:val="20"/>
        </w:rPr>
        <w:t xml:space="preserve"> </w:t>
      </w:r>
      <w:r w:rsidR="00BB2858" w:rsidRPr="00AC4AEA">
        <w:rPr>
          <w:rFonts w:ascii="Arial" w:hAnsi="Arial" w:cs="Arial"/>
          <w:sz w:val="20"/>
          <w:szCs w:val="20"/>
        </w:rPr>
        <w:t xml:space="preserve">pero afectaron al efectivo y sus equivalentes en el período </w:t>
      </w:r>
      <w:r w:rsidR="003B380A" w:rsidRPr="00AC4AEA">
        <w:rPr>
          <w:rFonts w:ascii="Arial" w:hAnsi="Arial" w:cs="Arial"/>
          <w:sz w:val="20"/>
          <w:szCs w:val="20"/>
        </w:rPr>
        <w:t xml:space="preserve">actual </w:t>
      </w:r>
      <w:r w:rsidR="00BB2858" w:rsidRPr="00AC4AEA">
        <w:rPr>
          <w:rFonts w:ascii="Arial" w:hAnsi="Arial" w:cs="Arial"/>
          <w:sz w:val="20"/>
          <w:szCs w:val="20"/>
        </w:rPr>
        <w:t xml:space="preserve">(por ejemplo, </w:t>
      </w:r>
      <w:r w:rsidR="00BB2858" w:rsidRPr="00AC4AEA">
        <w:rPr>
          <w:rFonts w:ascii="Arial" w:hAnsi="Arial" w:cs="Arial"/>
          <w:sz w:val="20"/>
          <w:szCs w:val="20"/>
        </w:rPr>
        <w:lastRenderedPageBreak/>
        <w:t xml:space="preserve">cobranzas efectuadas en el período </w:t>
      </w:r>
      <w:r w:rsidR="003B380A" w:rsidRPr="00AC4AEA">
        <w:rPr>
          <w:rFonts w:ascii="Arial" w:hAnsi="Arial" w:cs="Arial"/>
          <w:sz w:val="20"/>
          <w:szCs w:val="20"/>
        </w:rPr>
        <w:t xml:space="preserve">actual </w:t>
      </w:r>
      <w:r w:rsidR="00BB2858" w:rsidRPr="00AC4AEA">
        <w:rPr>
          <w:rFonts w:ascii="Arial" w:hAnsi="Arial" w:cs="Arial"/>
          <w:sz w:val="20"/>
          <w:szCs w:val="20"/>
        </w:rPr>
        <w:t>de ventas devengadas en el anterior)</w:t>
      </w:r>
      <w:r w:rsidRPr="00AC4AEA">
        <w:rPr>
          <w:rFonts w:ascii="Arial" w:hAnsi="Arial" w:cs="Arial"/>
          <w:sz w:val="20"/>
          <w:szCs w:val="20"/>
        </w:rPr>
        <w:t>; e</w:t>
      </w:r>
    </w:p>
    <w:p w:rsidR="00A53552" w:rsidRPr="00AC4AEA" w:rsidRDefault="00A53552" w:rsidP="00A318EA">
      <w:pPr>
        <w:pStyle w:val="Prrafodelista"/>
        <w:numPr>
          <w:ilvl w:val="0"/>
          <w:numId w:val="204"/>
        </w:numPr>
        <w:contextualSpacing w:val="0"/>
        <w:jc w:val="both"/>
        <w:rPr>
          <w:rFonts w:ascii="Arial" w:hAnsi="Arial" w:cs="Arial"/>
          <w:sz w:val="20"/>
          <w:szCs w:val="20"/>
        </w:rPr>
      </w:pPr>
      <w:r w:rsidRPr="00AC4AEA">
        <w:rPr>
          <w:rFonts w:ascii="Arial" w:hAnsi="Arial" w:cs="Arial"/>
          <w:sz w:val="20"/>
          <w:szCs w:val="20"/>
        </w:rPr>
        <w:t>integrarán el resultado en ejercicios siguientes</w:t>
      </w:r>
      <w:r w:rsidR="00452FF9" w:rsidRPr="00AC4AEA">
        <w:rPr>
          <w:rFonts w:ascii="Arial" w:hAnsi="Arial" w:cs="Arial"/>
          <w:sz w:val="20"/>
          <w:szCs w:val="20"/>
        </w:rPr>
        <w:t>,</w:t>
      </w:r>
      <w:r w:rsidRPr="00AC4AEA">
        <w:rPr>
          <w:rFonts w:ascii="Arial" w:hAnsi="Arial" w:cs="Arial"/>
          <w:sz w:val="20"/>
          <w:szCs w:val="20"/>
        </w:rPr>
        <w:t xml:space="preserve"> pero afectaron al efectivo y sus equivalentes en el período </w:t>
      </w:r>
      <w:r w:rsidR="003B380A" w:rsidRPr="00AC4AEA">
        <w:rPr>
          <w:rFonts w:ascii="Arial" w:hAnsi="Arial" w:cs="Arial"/>
          <w:sz w:val="20"/>
          <w:szCs w:val="20"/>
        </w:rPr>
        <w:t xml:space="preserve">actual </w:t>
      </w:r>
      <w:r w:rsidRPr="00AC4AEA">
        <w:rPr>
          <w:rFonts w:ascii="Arial" w:hAnsi="Arial" w:cs="Arial"/>
          <w:sz w:val="20"/>
          <w:szCs w:val="20"/>
        </w:rPr>
        <w:t>(por ejemplo, anticipos de clientes correspondientes a ventas que tendrán lugar en un ejercicio futuro).</w:t>
      </w:r>
    </w:p>
    <w:p w:rsidR="00BB2858" w:rsidRPr="00AC4AEA" w:rsidRDefault="003F3EF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podrá exponer las partidas de ajuste:</w:t>
      </w:r>
    </w:p>
    <w:p w:rsidR="003F3EF9" w:rsidRPr="00AC4AEA" w:rsidRDefault="001778F4" w:rsidP="00A318EA">
      <w:pPr>
        <w:pStyle w:val="A-Normal11"/>
        <w:numPr>
          <w:ilvl w:val="0"/>
          <w:numId w:val="205"/>
        </w:numPr>
        <w:ind w:left="1560"/>
        <w:jc w:val="both"/>
        <w:rPr>
          <w:rFonts w:ascii="Arial" w:hAnsi="Arial" w:cs="Arial"/>
          <w:sz w:val="20"/>
        </w:rPr>
      </w:pPr>
      <w:r w:rsidRPr="00AC4AEA">
        <w:rPr>
          <w:rFonts w:ascii="Arial" w:hAnsi="Arial" w:cs="Arial"/>
          <w:sz w:val="20"/>
        </w:rPr>
        <w:t>e</w:t>
      </w:r>
      <w:r w:rsidR="003F3EF9" w:rsidRPr="00AC4AEA">
        <w:rPr>
          <w:rFonts w:ascii="Arial" w:hAnsi="Arial" w:cs="Arial"/>
          <w:sz w:val="20"/>
        </w:rPr>
        <w:t>n el cuerpo del estado</w:t>
      </w:r>
      <w:r w:rsidR="007220C2" w:rsidRPr="00AC4AEA">
        <w:rPr>
          <w:rFonts w:ascii="Arial" w:hAnsi="Arial" w:cs="Arial"/>
          <w:sz w:val="20"/>
        </w:rPr>
        <w:t>;</w:t>
      </w:r>
      <w:r w:rsidR="003F3EF9" w:rsidRPr="00AC4AEA">
        <w:rPr>
          <w:rFonts w:ascii="Arial" w:hAnsi="Arial" w:cs="Arial"/>
          <w:sz w:val="20"/>
        </w:rPr>
        <w:t xml:space="preserve"> o </w:t>
      </w:r>
    </w:p>
    <w:p w:rsidR="003F3EF9" w:rsidRPr="00AC4AEA" w:rsidRDefault="001778F4" w:rsidP="00A318EA">
      <w:pPr>
        <w:pStyle w:val="A-Normal11"/>
        <w:numPr>
          <w:ilvl w:val="0"/>
          <w:numId w:val="205"/>
        </w:numPr>
        <w:ind w:left="1560"/>
        <w:jc w:val="both"/>
        <w:rPr>
          <w:rFonts w:ascii="Arial" w:hAnsi="Arial" w:cs="Arial"/>
          <w:sz w:val="20"/>
        </w:rPr>
      </w:pPr>
      <w:r w:rsidRPr="00AC4AEA">
        <w:rPr>
          <w:rFonts w:ascii="Arial" w:hAnsi="Arial" w:cs="Arial"/>
          <w:sz w:val="20"/>
        </w:rPr>
        <w:t>e</w:t>
      </w:r>
      <w:r w:rsidR="003F3EF9" w:rsidRPr="00AC4AEA">
        <w:rPr>
          <w:rFonts w:ascii="Arial" w:hAnsi="Arial" w:cs="Arial"/>
          <w:sz w:val="20"/>
        </w:rPr>
        <w:t>n notas.</w:t>
      </w:r>
    </w:p>
    <w:p w:rsidR="00BB2858" w:rsidRPr="00AC4AEA" w:rsidRDefault="00BB2858" w:rsidP="00A318EA">
      <w:pPr>
        <w:autoSpaceDE w:val="0"/>
        <w:autoSpaceDN w:val="0"/>
        <w:adjustRightInd w:val="0"/>
        <w:jc w:val="both"/>
        <w:rPr>
          <w:rFonts w:ascii="Arial" w:hAnsi="Arial" w:cs="Arial"/>
          <w:sz w:val="20"/>
          <w:szCs w:val="20"/>
        </w:rPr>
      </w:pPr>
    </w:p>
    <w:p w:rsidR="00BB2858" w:rsidRPr="00AC4AEA" w:rsidRDefault="00716734" w:rsidP="00A318EA">
      <w:pPr>
        <w:pStyle w:val="Ttulo3"/>
      </w:pPr>
      <w:bookmarkStart w:id="943" w:name="_Toc101864012"/>
      <w:bookmarkStart w:id="944" w:name="_Toc139356911"/>
      <w:r w:rsidRPr="00AC4AEA">
        <w:t>Flujos de efectivo y equivalentes provenientes de a</w:t>
      </w:r>
      <w:r w:rsidR="00BB2858" w:rsidRPr="00AC4AEA">
        <w:t>ctividades de inversión</w:t>
      </w:r>
      <w:bookmarkEnd w:id="943"/>
      <w:bookmarkEnd w:id="944"/>
    </w:p>
    <w:p w:rsidR="003F3EF9" w:rsidRPr="00AC4AEA" w:rsidRDefault="003F3EF9" w:rsidP="00A318EA">
      <w:pPr>
        <w:pStyle w:val="A-Normal11"/>
        <w:numPr>
          <w:ilvl w:val="0"/>
          <w:numId w:val="29"/>
        </w:numPr>
        <w:jc w:val="both"/>
        <w:rPr>
          <w:rFonts w:ascii="Arial" w:hAnsi="Arial" w:cs="Arial"/>
          <w:sz w:val="20"/>
        </w:rPr>
      </w:pPr>
      <w:r w:rsidRPr="00AC4AEA">
        <w:rPr>
          <w:rFonts w:ascii="Arial" w:hAnsi="Arial" w:cs="Arial"/>
          <w:sz w:val="20"/>
        </w:rPr>
        <w:t>Dentro de estas actividades, una entidad presentará, entre otros, los siguientes flujos de efectivo y sus equivalentes:</w:t>
      </w:r>
    </w:p>
    <w:p w:rsidR="003F3EF9" w:rsidRPr="00AC4AEA" w:rsidRDefault="0064578B" w:rsidP="00A318EA">
      <w:pPr>
        <w:pStyle w:val="A-Normal11"/>
        <w:numPr>
          <w:ilvl w:val="0"/>
          <w:numId w:val="206"/>
        </w:numPr>
        <w:ind w:left="1560"/>
        <w:jc w:val="both"/>
        <w:rPr>
          <w:rFonts w:ascii="Arial" w:hAnsi="Arial" w:cs="Arial"/>
          <w:sz w:val="20"/>
        </w:rPr>
      </w:pPr>
      <w:r w:rsidRPr="00AC4AEA">
        <w:rPr>
          <w:rFonts w:ascii="Arial" w:hAnsi="Arial" w:cs="Arial"/>
          <w:sz w:val="20"/>
        </w:rPr>
        <w:t>P</w:t>
      </w:r>
      <w:r w:rsidR="003F3EF9" w:rsidRPr="00AC4AEA">
        <w:rPr>
          <w:rFonts w:ascii="Arial" w:hAnsi="Arial" w:cs="Arial"/>
          <w:sz w:val="20"/>
        </w:rPr>
        <w:t>agos por compras de bienes de uso</w:t>
      </w:r>
      <w:r w:rsidRPr="00AC4AEA">
        <w:rPr>
          <w:rFonts w:ascii="Arial" w:hAnsi="Arial" w:cs="Arial"/>
          <w:b/>
          <w:bCs/>
          <w:sz w:val="20"/>
        </w:rPr>
        <w:t xml:space="preserve"> </w:t>
      </w:r>
      <w:r w:rsidRPr="00AC4AEA">
        <w:rPr>
          <w:rFonts w:ascii="Arial" w:hAnsi="Arial" w:cs="Arial"/>
          <w:sz w:val="20"/>
        </w:rPr>
        <w:t>o propiedades de inversión.</w:t>
      </w:r>
    </w:p>
    <w:p w:rsidR="003F3EF9" w:rsidRPr="00AC4AEA" w:rsidRDefault="0064578B" w:rsidP="00A318EA">
      <w:pPr>
        <w:pStyle w:val="A-Normal11"/>
        <w:numPr>
          <w:ilvl w:val="0"/>
          <w:numId w:val="206"/>
        </w:numPr>
        <w:ind w:left="1560"/>
        <w:jc w:val="both"/>
        <w:rPr>
          <w:rFonts w:ascii="Arial" w:hAnsi="Arial" w:cs="Arial"/>
          <w:sz w:val="20"/>
        </w:rPr>
      </w:pPr>
      <w:r w:rsidRPr="00AC4AEA">
        <w:rPr>
          <w:rFonts w:ascii="Arial" w:hAnsi="Arial" w:cs="Arial"/>
          <w:sz w:val="20"/>
        </w:rPr>
        <w:t>P</w:t>
      </w:r>
      <w:r w:rsidR="003F3EF9" w:rsidRPr="00AC4AEA">
        <w:rPr>
          <w:rFonts w:ascii="Arial" w:hAnsi="Arial" w:cs="Arial"/>
          <w:sz w:val="20"/>
        </w:rPr>
        <w:t xml:space="preserve">agos por compras de </w:t>
      </w:r>
      <w:r w:rsidR="00497590" w:rsidRPr="00AC4AEA">
        <w:rPr>
          <w:rFonts w:ascii="Arial" w:hAnsi="Arial" w:cs="Arial"/>
          <w:sz w:val="20"/>
        </w:rPr>
        <w:t>activos</w:t>
      </w:r>
      <w:r w:rsidR="003F3EF9" w:rsidRPr="00AC4AEA">
        <w:rPr>
          <w:rFonts w:ascii="Arial" w:hAnsi="Arial" w:cs="Arial"/>
          <w:sz w:val="20"/>
        </w:rPr>
        <w:t xml:space="preserve"> intangibles</w:t>
      </w:r>
      <w:r w:rsidRPr="00AC4AEA">
        <w:rPr>
          <w:rFonts w:ascii="Arial" w:hAnsi="Arial" w:cs="Arial"/>
          <w:sz w:val="20"/>
        </w:rPr>
        <w:t>.</w:t>
      </w:r>
    </w:p>
    <w:p w:rsidR="003F3EF9" w:rsidRPr="00AC4AEA" w:rsidRDefault="0064578B" w:rsidP="00A318EA">
      <w:pPr>
        <w:pStyle w:val="A-Normal11"/>
        <w:numPr>
          <w:ilvl w:val="0"/>
          <w:numId w:val="206"/>
        </w:numPr>
        <w:ind w:left="1560"/>
        <w:jc w:val="both"/>
        <w:rPr>
          <w:rFonts w:ascii="Arial" w:hAnsi="Arial" w:cs="Arial"/>
          <w:sz w:val="20"/>
        </w:rPr>
      </w:pPr>
      <w:r w:rsidRPr="00AC4AEA">
        <w:rPr>
          <w:rFonts w:ascii="Arial" w:hAnsi="Arial" w:cs="Arial"/>
          <w:sz w:val="20"/>
        </w:rPr>
        <w:t>C</w:t>
      </w:r>
      <w:r w:rsidR="003F3EF9" w:rsidRPr="00AC4AEA">
        <w:rPr>
          <w:rFonts w:ascii="Arial" w:hAnsi="Arial" w:cs="Arial"/>
          <w:sz w:val="20"/>
        </w:rPr>
        <w:t>obro</w:t>
      </w:r>
      <w:r w:rsidR="00C345C2" w:rsidRPr="00AC4AEA">
        <w:rPr>
          <w:rFonts w:ascii="Arial" w:hAnsi="Arial" w:cs="Arial"/>
          <w:sz w:val="20"/>
        </w:rPr>
        <w:t>s</w:t>
      </w:r>
      <w:r w:rsidR="003F3EF9" w:rsidRPr="00AC4AEA">
        <w:rPr>
          <w:rFonts w:ascii="Arial" w:hAnsi="Arial" w:cs="Arial"/>
          <w:sz w:val="20"/>
        </w:rPr>
        <w:t xml:space="preserve"> por ventas de bienes de uso</w:t>
      </w:r>
      <w:r w:rsidRPr="00AC4AEA">
        <w:rPr>
          <w:rFonts w:ascii="Arial" w:hAnsi="Arial" w:cs="Arial"/>
          <w:sz w:val="20"/>
        </w:rPr>
        <w:t xml:space="preserve"> o propiedades de inversión.</w:t>
      </w:r>
    </w:p>
    <w:p w:rsidR="00C345C2" w:rsidRPr="00AC4AEA" w:rsidRDefault="00C345C2" w:rsidP="00A318EA">
      <w:pPr>
        <w:pStyle w:val="A-Normal11"/>
        <w:numPr>
          <w:ilvl w:val="0"/>
          <w:numId w:val="206"/>
        </w:numPr>
        <w:ind w:left="1560"/>
        <w:jc w:val="both"/>
        <w:rPr>
          <w:rFonts w:ascii="Arial" w:hAnsi="Arial" w:cs="Arial"/>
          <w:sz w:val="20"/>
        </w:rPr>
      </w:pPr>
      <w:r w:rsidRPr="00AC4AEA">
        <w:rPr>
          <w:rFonts w:ascii="Arial" w:hAnsi="Arial" w:cs="Arial"/>
          <w:sz w:val="20"/>
        </w:rPr>
        <w:t>Cobros por ventas de activos intangibles.</w:t>
      </w:r>
    </w:p>
    <w:p w:rsidR="003F3EF9" w:rsidRPr="00AC4AEA" w:rsidRDefault="0064578B" w:rsidP="00A318EA">
      <w:pPr>
        <w:pStyle w:val="A-Normal11"/>
        <w:numPr>
          <w:ilvl w:val="0"/>
          <w:numId w:val="206"/>
        </w:numPr>
        <w:ind w:left="1560"/>
        <w:jc w:val="both"/>
        <w:rPr>
          <w:rFonts w:ascii="Arial" w:hAnsi="Arial" w:cs="Arial"/>
          <w:sz w:val="20"/>
        </w:rPr>
      </w:pPr>
      <w:r w:rsidRPr="00AC4AEA">
        <w:rPr>
          <w:rFonts w:ascii="Arial" w:hAnsi="Arial" w:cs="Arial"/>
          <w:sz w:val="20"/>
        </w:rPr>
        <w:t>P</w:t>
      </w:r>
      <w:r w:rsidR="003F3EF9" w:rsidRPr="00AC4AEA">
        <w:rPr>
          <w:rFonts w:ascii="Arial" w:hAnsi="Arial" w:cs="Arial"/>
          <w:sz w:val="20"/>
        </w:rPr>
        <w:t>ago</w:t>
      </w:r>
      <w:r w:rsidR="00C345C2" w:rsidRPr="00AC4AEA">
        <w:rPr>
          <w:rFonts w:ascii="Arial" w:hAnsi="Arial" w:cs="Arial"/>
          <w:sz w:val="20"/>
        </w:rPr>
        <w:t>s</w:t>
      </w:r>
      <w:r w:rsidR="003F3EF9" w:rsidRPr="00AC4AEA">
        <w:rPr>
          <w:rFonts w:ascii="Arial" w:hAnsi="Arial" w:cs="Arial"/>
          <w:sz w:val="20"/>
        </w:rPr>
        <w:t xml:space="preserve"> por adquisición de acciones, títulos u otros instrumentos de deuda o patrimonio que no califican como equivalentes de efectivo</w:t>
      </w:r>
      <w:r w:rsidRPr="00AC4AEA">
        <w:rPr>
          <w:rFonts w:ascii="Arial" w:hAnsi="Arial" w:cs="Arial"/>
          <w:sz w:val="20"/>
        </w:rPr>
        <w:t>.</w:t>
      </w:r>
    </w:p>
    <w:p w:rsidR="003F3EF9" w:rsidRPr="00AC4AEA" w:rsidRDefault="0064578B" w:rsidP="00A318EA">
      <w:pPr>
        <w:pStyle w:val="A-Normal11"/>
        <w:numPr>
          <w:ilvl w:val="0"/>
          <w:numId w:val="206"/>
        </w:numPr>
        <w:ind w:left="1560"/>
        <w:jc w:val="both"/>
        <w:rPr>
          <w:rFonts w:ascii="Arial" w:hAnsi="Arial" w:cs="Arial"/>
          <w:sz w:val="20"/>
        </w:rPr>
      </w:pPr>
      <w:r w:rsidRPr="00AC4AEA">
        <w:rPr>
          <w:rFonts w:ascii="Arial" w:hAnsi="Arial" w:cs="Arial"/>
          <w:sz w:val="20"/>
        </w:rPr>
        <w:t>C</w:t>
      </w:r>
      <w:r w:rsidR="003F3EF9" w:rsidRPr="00AC4AEA">
        <w:rPr>
          <w:rFonts w:ascii="Arial" w:hAnsi="Arial" w:cs="Arial"/>
          <w:sz w:val="20"/>
        </w:rPr>
        <w:t>obro</w:t>
      </w:r>
      <w:r w:rsidR="00C345C2" w:rsidRPr="00AC4AEA">
        <w:rPr>
          <w:rFonts w:ascii="Arial" w:hAnsi="Arial" w:cs="Arial"/>
          <w:sz w:val="20"/>
        </w:rPr>
        <w:t>s</w:t>
      </w:r>
      <w:r w:rsidR="003F3EF9" w:rsidRPr="00AC4AEA">
        <w:rPr>
          <w:rFonts w:ascii="Arial" w:hAnsi="Arial" w:cs="Arial"/>
          <w:sz w:val="20"/>
        </w:rPr>
        <w:t xml:space="preserve"> por ventas o reembolsos de acciones, títulos u otros instrumentos de deuda o patrimonio que no califican como equivalentes de efectivo.</w:t>
      </w:r>
    </w:p>
    <w:p w:rsidR="003F3EF9" w:rsidRPr="00AC4AEA" w:rsidRDefault="0064578B" w:rsidP="00A318EA">
      <w:pPr>
        <w:pStyle w:val="A-Normal11"/>
        <w:numPr>
          <w:ilvl w:val="0"/>
          <w:numId w:val="206"/>
        </w:numPr>
        <w:ind w:left="1560"/>
        <w:jc w:val="both"/>
        <w:rPr>
          <w:rFonts w:ascii="Arial" w:hAnsi="Arial" w:cs="Arial"/>
          <w:sz w:val="20"/>
        </w:rPr>
      </w:pPr>
      <w:r w:rsidRPr="00AC4AEA">
        <w:rPr>
          <w:rFonts w:ascii="Arial" w:hAnsi="Arial" w:cs="Arial"/>
          <w:sz w:val="20"/>
        </w:rPr>
        <w:t>C</w:t>
      </w:r>
      <w:r w:rsidR="003F3EF9" w:rsidRPr="00AC4AEA">
        <w:rPr>
          <w:rFonts w:ascii="Arial" w:hAnsi="Arial" w:cs="Arial"/>
          <w:sz w:val="20"/>
        </w:rPr>
        <w:t xml:space="preserve">obros y reembolsos de </w:t>
      </w:r>
      <w:r w:rsidR="00EC1893" w:rsidRPr="00AC4AEA">
        <w:rPr>
          <w:rFonts w:ascii="Arial" w:hAnsi="Arial" w:cs="Arial"/>
          <w:sz w:val="20"/>
        </w:rPr>
        <w:t>préstamos</w:t>
      </w:r>
      <w:r w:rsidR="003F3EF9" w:rsidRPr="00AC4AEA">
        <w:rPr>
          <w:rFonts w:ascii="Arial" w:hAnsi="Arial" w:cs="Arial"/>
          <w:sz w:val="20"/>
        </w:rPr>
        <w:t xml:space="preserve"> a terceros.</w:t>
      </w:r>
    </w:p>
    <w:p w:rsidR="00235A4B" w:rsidRPr="00AC4AEA" w:rsidRDefault="00235A4B" w:rsidP="00A318EA">
      <w:pPr>
        <w:pStyle w:val="A-Normal11"/>
        <w:numPr>
          <w:ilvl w:val="0"/>
          <w:numId w:val="206"/>
        </w:numPr>
        <w:ind w:left="1560"/>
        <w:jc w:val="both"/>
        <w:rPr>
          <w:rFonts w:ascii="Arial" w:hAnsi="Arial" w:cs="Arial"/>
          <w:sz w:val="20"/>
        </w:rPr>
      </w:pPr>
      <w:r w:rsidRPr="00AC4AEA">
        <w:rPr>
          <w:rFonts w:ascii="Arial" w:hAnsi="Arial" w:cs="Arial"/>
          <w:sz w:val="20"/>
        </w:rPr>
        <w:t>Cobro</w:t>
      </w:r>
      <w:r w:rsidR="00C345C2" w:rsidRPr="00AC4AEA">
        <w:rPr>
          <w:rFonts w:ascii="Arial" w:hAnsi="Arial" w:cs="Arial"/>
          <w:sz w:val="20"/>
        </w:rPr>
        <w:t>s</w:t>
      </w:r>
      <w:r w:rsidRPr="00AC4AEA">
        <w:rPr>
          <w:rFonts w:ascii="Arial" w:hAnsi="Arial" w:cs="Arial"/>
          <w:sz w:val="20"/>
        </w:rPr>
        <w:t xml:space="preserve"> de subsidios relacionados con la adquisición de </w:t>
      </w:r>
      <w:r w:rsidR="00497590" w:rsidRPr="00AC4AEA">
        <w:rPr>
          <w:rFonts w:ascii="Arial" w:hAnsi="Arial" w:cs="Arial"/>
          <w:sz w:val="20"/>
        </w:rPr>
        <w:t>activos</w:t>
      </w:r>
      <w:r w:rsidR="00123172" w:rsidRPr="00AC4AEA">
        <w:rPr>
          <w:rFonts w:ascii="Arial" w:hAnsi="Arial" w:cs="Arial"/>
          <w:sz w:val="20"/>
        </w:rPr>
        <w:t xml:space="preserve"> de largo plazo</w:t>
      </w:r>
      <w:r w:rsidRPr="00AC4AEA">
        <w:rPr>
          <w:rFonts w:ascii="Arial" w:hAnsi="Arial" w:cs="Arial"/>
          <w:sz w:val="20"/>
        </w:rPr>
        <w:t>.</w:t>
      </w:r>
    </w:p>
    <w:p w:rsidR="00BB2858" w:rsidRPr="00AC4AEA" w:rsidRDefault="003F3EF9" w:rsidP="00A318EA">
      <w:pPr>
        <w:pStyle w:val="A-Normal11"/>
        <w:numPr>
          <w:ilvl w:val="0"/>
          <w:numId w:val="29"/>
        </w:numPr>
        <w:jc w:val="both"/>
        <w:rPr>
          <w:rFonts w:ascii="Arial" w:hAnsi="Arial" w:cs="Arial"/>
          <w:sz w:val="20"/>
        </w:rPr>
      </w:pPr>
      <w:r w:rsidRPr="00AC4AEA">
        <w:rPr>
          <w:rFonts w:ascii="Arial" w:hAnsi="Arial" w:cs="Arial"/>
          <w:sz w:val="20"/>
        </w:rPr>
        <w:t>Una entidad presentará en forma separada l</w:t>
      </w:r>
      <w:r w:rsidR="00BB2858" w:rsidRPr="00AC4AEA">
        <w:rPr>
          <w:rFonts w:ascii="Arial" w:hAnsi="Arial" w:cs="Arial"/>
          <w:sz w:val="20"/>
        </w:rPr>
        <w:t>os flujos de efectivo y sus equivalentes</w:t>
      </w:r>
      <w:r w:rsidRPr="00AC4AEA">
        <w:rPr>
          <w:rFonts w:ascii="Arial" w:hAnsi="Arial" w:cs="Arial"/>
          <w:sz w:val="20"/>
        </w:rPr>
        <w:t xml:space="preserve"> generados</w:t>
      </w:r>
      <w:r w:rsidR="00BB2858" w:rsidRPr="00AC4AEA">
        <w:rPr>
          <w:rFonts w:ascii="Arial" w:hAnsi="Arial" w:cs="Arial"/>
          <w:sz w:val="20"/>
        </w:rPr>
        <w:t xml:space="preserve"> por actividades de inversión relacionadas con la adquisición o la enajenación de entidades controladas </w:t>
      </w:r>
      <w:r w:rsidRPr="00AC4AEA">
        <w:rPr>
          <w:rFonts w:ascii="Arial" w:hAnsi="Arial" w:cs="Arial"/>
          <w:sz w:val="20"/>
        </w:rPr>
        <w:t>u</w:t>
      </w:r>
      <w:r w:rsidR="00BB2858" w:rsidRPr="00AC4AEA">
        <w:rPr>
          <w:rFonts w:ascii="Arial" w:hAnsi="Arial" w:cs="Arial"/>
          <w:sz w:val="20"/>
        </w:rPr>
        <w:t xml:space="preserve"> otras unidades de</w:t>
      </w:r>
      <w:r w:rsidRPr="00AC4AEA">
        <w:rPr>
          <w:rFonts w:ascii="Arial" w:hAnsi="Arial" w:cs="Arial"/>
          <w:sz w:val="20"/>
        </w:rPr>
        <w:t xml:space="preserve"> negocio.</w:t>
      </w:r>
    </w:p>
    <w:p w:rsidR="00BB2858" w:rsidRPr="00AC4AEA" w:rsidRDefault="00BB2858" w:rsidP="00A318EA">
      <w:pPr>
        <w:autoSpaceDE w:val="0"/>
        <w:autoSpaceDN w:val="0"/>
        <w:adjustRightInd w:val="0"/>
        <w:jc w:val="both"/>
        <w:rPr>
          <w:rFonts w:ascii="Arial" w:hAnsi="Arial" w:cs="Arial"/>
          <w:sz w:val="20"/>
          <w:szCs w:val="20"/>
        </w:rPr>
      </w:pPr>
    </w:p>
    <w:p w:rsidR="00BB2858" w:rsidRPr="00AC4AEA" w:rsidRDefault="00716734" w:rsidP="00A318EA">
      <w:pPr>
        <w:pStyle w:val="Ttulo3"/>
      </w:pPr>
      <w:bookmarkStart w:id="945" w:name="_Toc101864013"/>
      <w:bookmarkStart w:id="946" w:name="_Toc139356912"/>
      <w:r w:rsidRPr="00AC4AEA">
        <w:t>Flujos de efectivo y equivalentes provenientes de a</w:t>
      </w:r>
      <w:r w:rsidR="00BB2858" w:rsidRPr="00AC4AEA">
        <w:t>ctividades de financiación</w:t>
      </w:r>
      <w:bookmarkEnd w:id="945"/>
      <w:bookmarkEnd w:id="946"/>
    </w:p>
    <w:p w:rsidR="003F3EF9" w:rsidRPr="00AC4AEA" w:rsidRDefault="003F3EF9" w:rsidP="00A318EA">
      <w:pPr>
        <w:pStyle w:val="A-Normal11"/>
        <w:numPr>
          <w:ilvl w:val="0"/>
          <w:numId w:val="29"/>
        </w:numPr>
        <w:jc w:val="both"/>
        <w:rPr>
          <w:rFonts w:ascii="Arial" w:hAnsi="Arial" w:cs="Arial"/>
          <w:sz w:val="20"/>
        </w:rPr>
      </w:pPr>
      <w:r w:rsidRPr="00AC4AEA">
        <w:rPr>
          <w:rFonts w:ascii="Arial" w:hAnsi="Arial" w:cs="Arial"/>
          <w:sz w:val="20"/>
        </w:rPr>
        <w:t>Dentro de estas actividades, una entidad presentará, entre otros, los siguientes flujos de efectivo y sus equivalentes:</w:t>
      </w:r>
    </w:p>
    <w:p w:rsidR="003F3EF9" w:rsidRPr="00AC4AEA" w:rsidRDefault="00665B89" w:rsidP="00A318EA">
      <w:pPr>
        <w:pStyle w:val="A-Normal11"/>
        <w:numPr>
          <w:ilvl w:val="0"/>
          <w:numId w:val="207"/>
        </w:numPr>
        <w:ind w:left="1560"/>
        <w:jc w:val="both"/>
        <w:rPr>
          <w:rFonts w:ascii="Arial" w:hAnsi="Arial" w:cs="Arial"/>
          <w:sz w:val="20"/>
        </w:rPr>
      </w:pPr>
      <w:r w:rsidRPr="00AC4AEA">
        <w:rPr>
          <w:rFonts w:ascii="Arial" w:hAnsi="Arial" w:cs="Arial"/>
          <w:sz w:val="20"/>
        </w:rPr>
        <w:t>C</w:t>
      </w:r>
      <w:r w:rsidR="003F3EF9" w:rsidRPr="00AC4AEA">
        <w:rPr>
          <w:rFonts w:ascii="Arial" w:hAnsi="Arial" w:cs="Arial"/>
          <w:sz w:val="20"/>
        </w:rPr>
        <w:t>obros procedentes de la emisión de acciones, aportes de cuotas sociales u otros instrumentos de patrimonio</w:t>
      </w:r>
      <w:r w:rsidRPr="00AC4AEA">
        <w:rPr>
          <w:rFonts w:ascii="Arial" w:hAnsi="Arial" w:cs="Arial"/>
          <w:b/>
          <w:bCs/>
          <w:sz w:val="20"/>
        </w:rPr>
        <w:t>.</w:t>
      </w:r>
    </w:p>
    <w:p w:rsidR="003F3EF9" w:rsidRPr="00AC4AEA" w:rsidRDefault="00665B89" w:rsidP="00A318EA">
      <w:pPr>
        <w:pStyle w:val="A-Normal11"/>
        <w:numPr>
          <w:ilvl w:val="0"/>
          <w:numId w:val="207"/>
        </w:numPr>
        <w:ind w:left="1560"/>
        <w:jc w:val="both"/>
        <w:rPr>
          <w:rFonts w:ascii="Arial" w:hAnsi="Arial" w:cs="Arial"/>
          <w:sz w:val="20"/>
        </w:rPr>
      </w:pPr>
      <w:r w:rsidRPr="00AC4AEA">
        <w:rPr>
          <w:rFonts w:ascii="Arial" w:hAnsi="Arial" w:cs="Arial"/>
          <w:sz w:val="20"/>
        </w:rPr>
        <w:lastRenderedPageBreak/>
        <w:t>C</w:t>
      </w:r>
      <w:r w:rsidR="003F3EF9" w:rsidRPr="00AC4AEA">
        <w:rPr>
          <w:rFonts w:ascii="Arial" w:hAnsi="Arial" w:cs="Arial"/>
          <w:sz w:val="20"/>
        </w:rPr>
        <w:t>obros por obtención de préstamos, emisión de obligaciones negocia</w:t>
      </w:r>
      <w:r w:rsidR="00123172" w:rsidRPr="00AC4AEA">
        <w:rPr>
          <w:rFonts w:ascii="Arial" w:hAnsi="Arial" w:cs="Arial"/>
          <w:sz w:val="20"/>
        </w:rPr>
        <w:t>b</w:t>
      </w:r>
      <w:r w:rsidR="003F3EF9" w:rsidRPr="00AC4AEA">
        <w:rPr>
          <w:rFonts w:ascii="Arial" w:hAnsi="Arial" w:cs="Arial"/>
          <w:sz w:val="20"/>
        </w:rPr>
        <w:t>les u otros instrumentos de deuda</w:t>
      </w:r>
      <w:r w:rsidRPr="00AC4AEA">
        <w:rPr>
          <w:rFonts w:ascii="Arial" w:hAnsi="Arial" w:cs="Arial"/>
          <w:sz w:val="20"/>
        </w:rPr>
        <w:t>.</w:t>
      </w:r>
    </w:p>
    <w:p w:rsidR="003F3EF9" w:rsidRPr="00AC4AEA" w:rsidRDefault="00665B89" w:rsidP="00A318EA">
      <w:pPr>
        <w:pStyle w:val="A-Normal11"/>
        <w:numPr>
          <w:ilvl w:val="0"/>
          <w:numId w:val="207"/>
        </w:numPr>
        <w:ind w:left="1560"/>
        <w:jc w:val="both"/>
        <w:rPr>
          <w:rFonts w:ascii="Arial" w:hAnsi="Arial" w:cs="Arial"/>
          <w:sz w:val="20"/>
        </w:rPr>
      </w:pPr>
      <w:r w:rsidRPr="00AC4AEA">
        <w:rPr>
          <w:rFonts w:ascii="Arial" w:hAnsi="Arial" w:cs="Arial"/>
          <w:sz w:val="20"/>
        </w:rPr>
        <w:t>P</w:t>
      </w:r>
      <w:r w:rsidR="003F3EF9" w:rsidRPr="00AC4AEA">
        <w:rPr>
          <w:rFonts w:ascii="Arial" w:hAnsi="Arial" w:cs="Arial"/>
          <w:sz w:val="20"/>
        </w:rPr>
        <w:t xml:space="preserve">agos </w:t>
      </w:r>
      <w:r w:rsidR="000C017E" w:rsidRPr="00AC4AEA">
        <w:rPr>
          <w:rFonts w:ascii="Arial" w:hAnsi="Arial" w:cs="Arial"/>
          <w:sz w:val="20"/>
        </w:rPr>
        <w:t>y/o reembolso de préstamos u otros instrumentos de deuda</w:t>
      </w:r>
      <w:r w:rsidRPr="00AC4AEA">
        <w:rPr>
          <w:rFonts w:ascii="Arial" w:hAnsi="Arial" w:cs="Arial"/>
          <w:sz w:val="20"/>
        </w:rPr>
        <w:t>.</w:t>
      </w:r>
    </w:p>
    <w:p w:rsidR="000C017E" w:rsidRPr="00AC4AEA" w:rsidRDefault="00665B89" w:rsidP="00A318EA">
      <w:pPr>
        <w:pStyle w:val="A-Normal11"/>
        <w:numPr>
          <w:ilvl w:val="0"/>
          <w:numId w:val="207"/>
        </w:numPr>
        <w:ind w:left="1560"/>
        <w:jc w:val="both"/>
        <w:rPr>
          <w:rFonts w:ascii="Arial" w:hAnsi="Arial" w:cs="Arial"/>
          <w:sz w:val="20"/>
        </w:rPr>
      </w:pPr>
      <w:r w:rsidRPr="00AC4AEA">
        <w:rPr>
          <w:rFonts w:ascii="Arial" w:hAnsi="Arial" w:cs="Arial"/>
          <w:sz w:val="20"/>
        </w:rPr>
        <w:t>P</w:t>
      </w:r>
      <w:r w:rsidR="000C017E" w:rsidRPr="00AC4AEA">
        <w:rPr>
          <w:rFonts w:ascii="Arial" w:hAnsi="Arial" w:cs="Arial"/>
          <w:sz w:val="20"/>
        </w:rPr>
        <w:t>agos de cuotas de arrendamientos financieros</w:t>
      </w:r>
      <w:r w:rsidR="00192A8B" w:rsidRPr="00AC4AEA">
        <w:rPr>
          <w:rFonts w:ascii="Arial" w:hAnsi="Arial" w:cs="Arial"/>
          <w:sz w:val="20"/>
        </w:rPr>
        <w:t>,</w:t>
      </w:r>
      <w:r w:rsidR="000C017E" w:rsidRPr="00AC4AEA">
        <w:rPr>
          <w:rFonts w:ascii="Arial" w:hAnsi="Arial" w:cs="Arial"/>
          <w:sz w:val="20"/>
        </w:rPr>
        <w:t xml:space="preserve"> efectuadas por los arrendatarios. </w:t>
      </w:r>
    </w:p>
    <w:p w:rsidR="003F3EF9" w:rsidRPr="00AC4AEA" w:rsidRDefault="003F3EF9" w:rsidP="00A318EA">
      <w:pPr>
        <w:autoSpaceDE w:val="0"/>
        <w:autoSpaceDN w:val="0"/>
        <w:adjustRightInd w:val="0"/>
        <w:jc w:val="both"/>
        <w:rPr>
          <w:rFonts w:ascii="Arial" w:hAnsi="Arial" w:cs="Arial"/>
          <w:b/>
          <w:bCs/>
          <w:sz w:val="20"/>
          <w:szCs w:val="20"/>
        </w:rPr>
      </w:pPr>
    </w:p>
    <w:p w:rsidR="00532E69" w:rsidRPr="00AC4AEA" w:rsidRDefault="00532E69" w:rsidP="00A318EA">
      <w:pPr>
        <w:pStyle w:val="Ttulo2"/>
        <w:rPr>
          <w:rFonts w:cs="Arial"/>
        </w:rPr>
      </w:pPr>
      <w:bookmarkStart w:id="947" w:name="_Toc101864014"/>
      <w:bookmarkStart w:id="948" w:name="_Toc139356913"/>
      <w:r w:rsidRPr="00AC4AEA">
        <w:rPr>
          <w:rFonts w:cs="Arial"/>
        </w:rPr>
        <w:t>Resultados financieros y de tenencia del efectivo y sus equivalentes</w:t>
      </w:r>
      <w:bookmarkEnd w:id="947"/>
      <w:bookmarkEnd w:id="948"/>
    </w:p>
    <w:p w:rsidR="00532E69" w:rsidRPr="00AC4AEA" w:rsidRDefault="00532E69" w:rsidP="00A318EA">
      <w:pPr>
        <w:pStyle w:val="A-Normal11"/>
        <w:numPr>
          <w:ilvl w:val="0"/>
          <w:numId w:val="29"/>
        </w:numPr>
        <w:jc w:val="both"/>
        <w:rPr>
          <w:rFonts w:ascii="Arial" w:hAnsi="Arial" w:cs="Arial"/>
          <w:sz w:val="20"/>
        </w:rPr>
      </w:pPr>
      <w:bookmarkStart w:id="949" w:name="_Ref102216740"/>
      <w:r w:rsidRPr="00AC4AEA">
        <w:rPr>
          <w:rFonts w:ascii="Arial" w:hAnsi="Arial" w:cs="Arial"/>
          <w:sz w:val="20"/>
        </w:rPr>
        <w:t>Una entidad presentará en el cuerpo del estado una conciliación que revele las diferencias entre:</w:t>
      </w:r>
      <w:bookmarkEnd w:id="949"/>
    </w:p>
    <w:p w:rsidR="00532E69" w:rsidRPr="00AC4AEA" w:rsidRDefault="00532E69" w:rsidP="00A318EA">
      <w:pPr>
        <w:pStyle w:val="Prrafodelista"/>
        <w:numPr>
          <w:ilvl w:val="0"/>
          <w:numId w:val="214"/>
        </w:numPr>
        <w:ind w:left="1560"/>
        <w:contextualSpacing w:val="0"/>
        <w:jc w:val="both"/>
        <w:rPr>
          <w:rFonts w:ascii="Arial" w:hAnsi="Arial" w:cs="Arial"/>
          <w:sz w:val="20"/>
          <w:szCs w:val="20"/>
        </w:rPr>
      </w:pPr>
      <w:r w:rsidRPr="00AC4AEA">
        <w:rPr>
          <w:rFonts w:ascii="Arial" w:hAnsi="Arial" w:cs="Arial"/>
          <w:sz w:val="20"/>
          <w:szCs w:val="20"/>
        </w:rPr>
        <w:t>los flujos de efectivo y sus equivalentes procedentes de las actividades operativas, de inversión y financiamiento; y</w:t>
      </w:r>
    </w:p>
    <w:p w:rsidR="00532E69" w:rsidRPr="00AC4AEA" w:rsidRDefault="00532E69" w:rsidP="00A318EA">
      <w:pPr>
        <w:pStyle w:val="Prrafodelista"/>
        <w:numPr>
          <w:ilvl w:val="0"/>
          <w:numId w:val="214"/>
        </w:numPr>
        <w:ind w:left="1560"/>
        <w:contextualSpacing w:val="0"/>
        <w:jc w:val="both"/>
        <w:rPr>
          <w:rFonts w:ascii="Arial" w:hAnsi="Arial" w:cs="Arial"/>
          <w:sz w:val="20"/>
          <w:szCs w:val="20"/>
        </w:rPr>
      </w:pPr>
      <w:r w:rsidRPr="00AC4AEA">
        <w:rPr>
          <w:rFonts w:ascii="Arial" w:hAnsi="Arial" w:cs="Arial"/>
          <w:sz w:val="20"/>
          <w:szCs w:val="20"/>
        </w:rPr>
        <w:t>la variación total del efectivo y sus equivalentes.</w:t>
      </w:r>
    </w:p>
    <w:p w:rsidR="00532E69" w:rsidRPr="00AC4AEA" w:rsidRDefault="00532E6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Las diferencias entre los importes de los incisos a) y b) del párrafo anterior </w:t>
      </w:r>
      <w:r w:rsidR="00512475" w:rsidRPr="00AC4AEA">
        <w:rPr>
          <w:rFonts w:ascii="Arial" w:hAnsi="Arial" w:cs="Arial"/>
          <w:sz w:val="20"/>
          <w:szCs w:val="20"/>
        </w:rPr>
        <w:t>provienen</w:t>
      </w:r>
      <w:r w:rsidRPr="00AC4AEA">
        <w:rPr>
          <w:rFonts w:ascii="Arial" w:hAnsi="Arial" w:cs="Arial"/>
          <w:sz w:val="20"/>
          <w:szCs w:val="20"/>
        </w:rPr>
        <w:t xml:space="preserve"> de resultados financieros y de tenencia del efectivo y sus equivalentes, tales como:</w:t>
      </w:r>
    </w:p>
    <w:p w:rsidR="00532E69" w:rsidRPr="00AC4AEA" w:rsidRDefault="0080775C" w:rsidP="00A318EA">
      <w:pPr>
        <w:pStyle w:val="Prrafodelista"/>
        <w:numPr>
          <w:ilvl w:val="0"/>
          <w:numId w:val="215"/>
        </w:numPr>
        <w:ind w:left="1560"/>
        <w:contextualSpacing w:val="0"/>
        <w:jc w:val="both"/>
        <w:rPr>
          <w:rFonts w:ascii="Arial" w:hAnsi="Arial" w:cs="Arial"/>
          <w:sz w:val="20"/>
          <w:szCs w:val="20"/>
        </w:rPr>
      </w:pPr>
      <w:r w:rsidRPr="00AC4AEA">
        <w:rPr>
          <w:rFonts w:ascii="Arial" w:hAnsi="Arial" w:cs="Arial"/>
          <w:sz w:val="20"/>
          <w:szCs w:val="20"/>
        </w:rPr>
        <w:t xml:space="preserve">intereses y </w:t>
      </w:r>
      <w:r w:rsidR="00532E69" w:rsidRPr="00AC4AEA">
        <w:rPr>
          <w:rFonts w:ascii="Arial" w:hAnsi="Arial" w:cs="Arial"/>
          <w:sz w:val="20"/>
          <w:szCs w:val="20"/>
        </w:rPr>
        <w:t>diferencias de cambio, que modifican el importe del efectivo y sus equivalentes en términos nominales; y</w:t>
      </w:r>
    </w:p>
    <w:p w:rsidR="00532E69" w:rsidRPr="00AC4AEA" w:rsidRDefault="00A9032C" w:rsidP="00A318EA">
      <w:pPr>
        <w:pStyle w:val="Prrafodelista"/>
        <w:numPr>
          <w:ilvl w:val="0"/>
          <w:numId w:val="215"/>
        </w:numPr>
        <w:ind w:left="1560"/>
        <w:contextualSpacing w:val="0"/>
        <w:jc w:val="both"/>
        <w:rPr>
          <w:rFonts w:ascii="Arial" w:hAnsi="Arial" w:cs="Arial"/>
          <w:sz w:val="20"/>
          <w:szCs w:val="20"/>
        </w:rPr>
      </w:pPr>
      <w:r w:rsidRPr="00AC4AEA">
        <w:rPr>
          <w:rFonts w:ascii="Arial" w:hAnsi="Arial" w:cs="Arial"/>
          <w:sz w:val="20"/>
          <w:szCs w:val="20"/>
        </w:rPr>
        <w:t xml:space="preserve">el </w:t>
      </w:r>
      <w:r w:rsidR="00532E69" w:rsidRPr="00AC4AEA">
        <w:rPr>
          <w:rFonts w:ascii="Arial" w:hAnsi="Arial" w:cs="Arial"/>
          <w:sz w:val="20"/>
          <w:szCs w:val="20"/>
        </w:rPr>
        <w:t xml:space="preserve">resultado por </w:t>
      </w:r>
      <w:r w:rsidR="00033389" w:rsidRPr="00AC4AEA">
        <w:rPr>
          <w:rFonts w:ascii="Arial" w:hAnsi="Arial" w:cs="Arial"/>
          <w:sz w:val="20"/>
          <w:szCs w:val="20"/>
        </w:rPr>
        <w:t xml:space="preserve">exposición al </w:t>
      </w:r>
      <w:r w:rsidR="00532E69" w:rsidRPr="00AC4AEA">
        <w:rPr>
          <w:rFonts w:ascii="Arial" w:hAnsi="Arial" w:cs="Arial"/>
          <w:sz w:val="20"/>
          <w:szCs w:val="20"/>
        </w:rPr>
        <w:t>cambio en el poder adquisitivo de la moneda,</w:t>
      </w:r>
      <w:r w:rsidR="003370C2" w:rsidRPr="00AC4AEA">
        <w:rPr>
          <w:rFonts w:ascii="Arial" w:hAnsi="Arial" w:cs="Arial"/>
          <w:sz w:val="20"/>
          <w:szCs w:val="20"/>
        </w:rPr>
        <w:t xml:space="preserve"> en la medida</w:t>
      </w:r>
      <w:r w:rsidR="00532E69" w:rsidRPr="00AC4AEA">
        <w:rPr>
          <w:rFonts w:ascii="Arial" w:hAnsi="Arial" w:cs="Arial"/>
          <w:sz w:val="20"/>
          <w:szCs w:val="20"/>
        </w:rPr>
        <w:t xml:space="preserve"> que modifi</w:t>
      </w:r>
      <w:r w:rsidRPr="00AC4AEA">
        <w:rPr>
          <w:rFonts w:ascii="Arial" w:hAnsi="Arial" w:cs="Arial"/>
          <w:sz w:val="20"/>
          <w:szCs w:val="20"/>
        </w:rPr>
        <w:t>que</w:t>
      </w:r>
      <w:r w:rsidR="00532E69" w:rsidRPr="00AC4AEA">
        <w:rPr>
          <w:rFonts w:ascii="Arial" w:hAnsi="Arial" w:cs="Arial"/>
          <w:sz w:val="20"/>
          <w:szCs w:val="20"/>
        </w:rPr>
        <w:t xml:space="preserve"> </w:t>
      </w:r>
      <w:r w:rsidR="003370C2" w:rsidRPr="00AC4AEA">
        <w:rPr>
          <w:rFonts w:ascii="Arial" w:hAnsi="Arial" w:cs="Arial"/>
          <w:sz w:val="20"/>
          <w:szCs w:val="20"/>
        </w:rPr>
        <w:t>a</w:t>
      </w:r>
      <w:r w:rsidR="00532E69" w:rsidRPr="00AC4AEA">
        <w:rPr>
          <w:rFonts w:ascii="Arial" w:hAnsi="Arial" w:cs="Arial"/>
          <w:sz w:val="20"/>
          <w:szCs w:val="20"/>
        </w:rPr>
        <w:t>l importe del efectivo y sus equivalentes en términos reales.</w:t>
      </w:r>
    </w:p>
    <w:p w:rsidR="002979E6" w:rsidRPr="00AC4AEA" w:rsidRDefault="00532E69" w:rsidP="00A318EA">
      <w:pPr>
        <w:pStyle w:val="Prrafodelista"/>
        <w:numPr>
          <w:ilvl w:val="0"/>
          <w:numId w:val="29"/>
        </w:numPr>
        <w:contextualSpacing w:val="0"/>
        <w:jc w:val="both"/>
        <w:rPr>
          <w:rFonts w:ascii="Arial" w:hAnsi="Arial" w:cs="Arial"/>
          <w:sz w:val="20"/>
          <w:szCs w:val="20"/>
        </w:rPr>
      </w:pPr>
      <w:bookmarkStart w:id="950" w:name="_Ref102216744"/>
      <w:r w:rsidRPr="00AC4AEA">
        <w:rPr>
          <w:rFonts w:ascii="Arial" w:hAnsi="Arial" w:cs="Arial"/>
          <w:sz w:val="20"/>
          <w:szCs w:val="20"/>
        </w:rPr>
        <w:t xml:space="preserve">Una entidad </w:t>
      </w:r>
      <w:r w:rsidR="002979E6" w:rsidRPr="00AC4AEA">
        <w:rPr>
          <w:rFonts w:ascii="Arial" w:hAnsi="Arial" w:cs="Arial"/>
          <w:sz w:val="20"/>
          <w:szCs w:val="20"/>
        </w:rPr>
        <w:t xml:space="preserve">podrá </w:t>
      </w:r>
      <w:r w:rsidRPr="00AC4AEA">
        <w:rPr>
          <w:rFonts w:ascii="Arial" w:hAnsi="Arial" w:cs="Arial"/>
          <w:sz w:val="20"/>
          <w:szCs w:val="20"/>
        </w:rPr>
        <w:t xml:space="preserve">no presentar la conciliación requerida por el párrafo </w:t>
      </w:r>
      <w:fldSimple w:instr=" REF _Ref102216740 \r \h  \* MERGEFORMAT ">
        <w:r w:rsidR="00D33A5D" w:rsidRPr="00D33A5D">
          <w:rPr>
            <w:rFonts w:ascii="Arial" w:hAnsi="Arial" w:cs="Arial"/>
            <w:sz w:val="20"/>
            <w:szCs w:val="20"/>
          </w:rPr>
          <w:t>659</w:t>
        </w:r>
      </w:fldSimple>
      <w:r w:rsidR="002979E6" w:rsidRPr="00AC4AEA">
        <w:rPr>
          <w:rFonts w:ascii="Arial" w:hAnsi="Arial" w:cs="Arial"/>
          <w:sz w:val="20"/>
          <w:szCs w:val="20"/>
        </w:rPr>
        <w:t xml:space="preserve"> e incluir los resultados financieros y por tenencia</w:t>
      </w:r>
      <w:r w:rsidR="00235A4B" w:rsidRPr="00AC4AEA">
        <w:rPr>
          <w:rFonts w:ascii="Arial" w:hAnsi="Arial" w:cs="Arial"/>
          <w:sz w:val="20"/>
          <w:szCs w:val="20"/>
        </w:rPr>
        <w:t xml:space="preserve"> del efectivo y sus equivalentes</w:t>
      </w:r>
      <w:r w:rsidR="002979E6" w:rsidRPr="00AC4AEA">
        <w:rPr>
          <w:rFonts w:ascii="Arial" w:hAnsi="Arial" w:cs="Arial"/>
          <w:sz w:val="20"/>
          <w:szCs w:val="20"/>
        </w:rPr>
        <w:t xml:space="preserve"> dentro de las actividades operativas:</w:t>
      </w:r>
      <w:bookmarkEnd w:id="950"/>
    </w:p>
    <w:p w:rsidR="002979E6" w:rsidRPr="00AC4AEA" w:rsidRDefault="002979E6" w:rsidP="00A318EA">
      <w:pPr>
        <w:pStyle w:val="Prrafodelista"/>
        <w:numPr>
          <w:ilvl w:val="0"/>
          <w:numId w:val="313"/>
        </w:numPr>
        <w:contextualSpacing w:val="0"/>
        <w:jc w:val="both"/>
        <w:rPr>
          <w:rFonts w:ascii="Arial" w:hAnsi="Arial" w:cs="Arial"/>
          <w:sz w:val="20"/>
          <w:szCs w:val="20"/>
        </w:rPr>
      </w:pPr>
      <w:r w:rsidRPr="00AC4AEA">
        <w:rPr>
          <w:rFonts w:ascii="Arial" w:hAnsi="Arial" w:cs="Arial"/>
          <w:sz w:val="20"/>
          <w:szCs w:val="20"/>
        </w:rPr>
        <w:t>si es pequeña o mediana; o</w:t>
      </w:r>
    </w:p>
    <w:p w:rsidR="00532E69" w:rsidRPr="00AC4AEA" w:rsidRDefault="002979E6" w:rsidP="00A318EA">
      <w:pPr>
        <w:pStyle w:val="Prrafodelista"/>
        <w:numPr>
          <w:ilvl w:val="0"/>
          <w:numId w:val="313"/>
        </w:numPr>
        <w:contextualSpacing w:val="0"/>
        <w:jc w:val="both"/>
        <w:rPr>
          <w:rFonts w:ascii="Arial" w:hAnsi="Arial" w:cs="Arial"/>
          <w:sz w:val="20"/>
          <w:szCs w:val="20"/>
        </w:rPr>
      </w:pPr>
      <w:r w:rsidRPr="00AC4AEA">
        <w:rPr>
          <w:rFonts w:ascii="Arial" w:hAnsi="Arial" w:cs="Arial"/>
          <w:sz w:val="20"/>
          <w:szCs w:val="20"/>
        </w:rPr>
        <w:t>siempre que</w:t>
      </w:r>
      <w:r w:rsidR="00532E69" w:rsidRPr="00AC4AEA">
        <w:rPr>
          <w:rFonts w:ascii="Arial" w:hAnsi="Arial" w:cs="Arial"/>
          <w:sz w:val="20"/>
          <w:szCs w:val="20"/>
        </w:rPr>
        <w:t xml:space="preserve"> </w:t>
      </w:r>
      <w:r w:rsidRPr="00AC4AEA">
        <w:rPr>
          <w:rFonts w:ascii="Arial" w:hAnsi="Arial" w:cs="Arial"/>
          <w:sz w:val="20"/>
          <w:szCs w:val="20"/>
        </w:rPr>
        <w:t>prepare</w:t>
      </w:r>
      <w:r w:rsidR="00532E69" w:rsidRPr="00AC4AEA">
        <w:rPr>
          <w:rFonts w:ascii="Arial" w:hAnsi="Arial" w:cs="Arial"/>
          <w:sz w:val="20"/>
          <w:szCs w:val="20"/>
        </w:rPr>
        <w:t xml:space="preserve"> sus </w:t>
      </w:r>
      <w:r w:rsidR="00532E69" w:rsidRPr="00AC4AEA">
        <w:rPr>
          <w:rFonts w:ascii="Arial" w:hAnsi="Arial" w:cs="Arial"/>
          <w:b/>
          <w:bCs/>
          <w:sz w:val="20"/>
          <w:szCs w:val="20"/>
        </w:rPr>
        <w:t>estados contables</w:t>
      </w:r>
      <w:r w:rsidRPr="00AC4AEA">
        <w:rPr>
          <w:rFonts w:ascii="Arial" w:hAnsi="Arial" w:cs="Arial"/>
          <w:sz w:val="20"/>
          <w:szCs w:val="20"/>
        </w:rPr>
        <w:t xml:space="preserve"> aplicando la</w:t>
      </w:r>
      <w:r w:rsidR="00532E69" w:rsidRPr="00AC4AEA">
        <w:rPr>
          <w:rFonts w:ascii="Arial" w:hAnsi="Arial" w:cs="Arial"/>
          <w:sz w:val="20"/>
          <w:szCs w:val="20"/>
        </w:rPr>
        <w:t xml:space="preserve"> sección “</w:t>
      </w:r>
      <w:r w:rsidR="00532E69" w:rsidRPr="00AC4AEA">
        <w:rPr>
          <w:rFonts w:ascii="Arial" w:hAnsi="Arial" w:cs="Arial"/>
          <w:sz w:val="20"/>
          <w:szCs w:val="20"/>
          <w:u w:val="single"/>
        </w:rPr>
        <w:t xml:space="preserve">Expresión de los estados contables en moneda </w:t>
      </w:r>
      <w:r w:rsidR="00F0601B">
        <w:rPr>
          <w:rFonts w:ascii="Arial" w:hAnsi="Arial" w:cs="Arial"/>
          <w:sz w:val="20"/>
          <w:szCs w:val="20"/>
          <w:u w:val="single"/>
        </w:rPr>
        <w:t>de cierre</w:t>
      </w:r>
      <w:r w:rsidR="00532E69" w:rsidRPr="00AC4AEA">
        <w:rPr>
          <w:rFonts w:ascii="Arial" w:hAnsi="Arial" w:cs="Arial"/>
          <w:sz w:val="20"/>
          <w:szCs w:val="20"/>
          <w:u w:val="single"/>
        </w:rPr>
        <w:t xml:space="preserve"> en un contexto de inflación (ajuste por inflación de los estados contables)</w:t>
      </w:r>
      <w:r w:rsidR="00532E69"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00532E69"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00532E69" w:rsidRPr="00AC4AEA">
        <w:rPr>
          <w:rFonts w:ascii="Arial" w:hAnsi="Arial" w:cs="Arial"/>
          <w:sz w:val="20"/>
          <w:szCs w:val="20"/>
        </w:rPr>
        <w:t xml:space="preserve">]. </w:t>
      </w:r>
    </w:p>
    <w:p w:rsidR="00532E69" w:rsidRPr="00AC4AEA" w:rsidRDefault="00532E69" w:rsidP="00A318EA">
      <w:pPr>
        <w:autoSpaceDE w:val="0"/>
        <w:autoSpaceDN w:val="0"/>
        <w:adjustRightInd w:val="0"/>
        <w:jc w:val="both"/>
        <w:rPr>
          <w:rFonts w:ascii="Arial" w:hAnsi="Arial" w:cs="Arial"/>
          <w:b/>
          <w:bCs/>
          <w:sz w:val="20"/>
          <w:szCs w:val="20"/>
        </w:rPr>
      </w:pPr>
    </w:p>
    <w:p w:rsidR="00BB2858" w:rsidRPr="00AC4AEA" w:rsidRDefault="00BB2858" w:rsidP="00A318EA">
      <w:pPr>
        <w:pStyle w:val="Ttulo2"/>
        <w:rPr>
          <w:rFonts w:cs="Arial"/>
        </w:rPr>
      </w:pPr>
      <w:bookmarkStart w:id="951" w:name="_Toc101864015"/>
      <w:bookmarkStart w:id="952" w:name="_Toc139356914"/>
      <w:r w:rsidRPr="00AC4AEA">
        <w:rPr>
          <w:rFonts w:cs="Arial"/>
        </w:rPr>
        <w:t>Intereses, dividendos e impuesto a las ganancias</w:t>
      </w:r>
      <w:bookmarkEnd w:id="951"/>
      <w:bookmarkEnd w:id="952"/>
    </w:p>
    <w:p w:rsidR="00BB2858" w:rsidRPr="00AC4AEA" w:rsidRDefault="00BB2858" w:rsidP="00A318EA">
      <w:pPr>
        <w:pStyle w:val="A-Normal11"/>
        <w:numPr>
          <w:ilvl w:val="0"/>
          <w:numId w:val="29"/>
        </w:numPr>
        <w:jc w:val="both"/>
        <w:rPr>
          <w:rFonts w:ascii="Arial" w:hAnsi="Arial" w:cs="Arial"/>
          <w:sz w:val="20"/>
        </w:rPr>
      </w:pPr>
      <w:r w:rsidRPr="00AC4AEA">
        <w:rPr>
          <w:rFonts w:ascii="Arial" w:hAnsi="Arial" w:cs="Arial"/>
          <w:sz w:val="20"/>
        </w:rPr>
        <w:t>Una entidad presentará por separado, y clasificará individualmente de un período a otro:</w:t>
      </w:r>
    </w:p>
    <w:p w:rsidR="00BB2858" w:rsidRPr="00AC4AEA" w:rsidRDefault="00986526" w:rsidP="00A318EA">
      <w:pPr>
        <w:pStyle w:val="Prrafodelista"/>
        <w:numPr>
          <w:ilvl w:val="0"/>
          <w:numId w:val="208"/>
        </w:numPr>
        <w:ind w:left="1560"/>
        <w:contextualSpacing w:val="0"/>
        <w:jc w:val="both"/>
        <w:rPr>
          <w:rFonts w:ascii="Arial" w:hAnsi="Arial" w:cs="Arial"/>
          <w:sz w:val="20"/>
          <w:szCs w:val="20"/>
        </w:rPr>
      </w:pPr>
      <w:r w:rsidRPr="00AC4AEA">
        <w:rPr>
          <w:rFonts w:ascii="Arial" w:hAnsi="Arial" w:cs="Arial"/>
          <w:sz w:val="20"/>
          <w:szCs w:val="20"/>
        </w:rPr>
        <w:t>l</w:t>
      </w:r>
      <w:r w:rsidR="00BB2858" w:rsidRPr="00AC4AEA">
        <w:rPr>
          <w:rFonts w:ascii="Arial" w:hAnsi="Arial" w:cs="Arial"/>
          <w:sz w:val="20"/>
          <w:szCs w:val="20"/>
        </w:rPr>
        <w:t>os flujos de efectivo y sus equivalentes por intereses y dividendos recibidos y pagados</w:t>
      </w:r>
      <w:r w:rsidR="003D1D46" w:rsidRPr="00AC4AEA">
        <w:rPr>
          <w:rFonts w:ascii="Arial" w:hAnsi="Arial" w:cs="Arial"/>
          <w:sz w:val="20"/>
          <w:szCs w:val="20"/>
        </w:rPr>
        <w:t>;</w:t>
      </w:r>
      <w:r w:rsidR="00192A8B" w:rsidRPr="00AC4AEA">
        <w:rPr>
          <w:rFonts w:ascii="Arial" w:hAnsi="Arial" w:cs="Arial"/>
          <w:sz w:val="20"/>
          <w:szCs w:val="20"/>
        </w:rPr>
        <w:t xml:space="preserve"> </w:t>
      </w:r>
      <w:r w:rsidR="00BB2858" w:rsidRPr="00AC4AEA">
        <w:rPr>
          <w:rFonts w:ascii="Arial" w:hAnsi="Arial" w:cs="Arial"/>
          <w:sz w:val="20"/>
          <w:szCs w:val="20"/>
        </w:rPr>
        <w:t xml:space="preserve">y </w:t>
      </w:r>
    </w:p>
    <w:p w:rsidR="00BB2858" w:rsidRPr="00AC4AEA" w:rsidRDefault="00986526" w:rsidP="00A318EA">
      <w:pPr>
        <w:pStyle w:val="Prrafodelista"/>
        <w:numPr>
          <w:ilvl w:val="0"/>
          <w:numId w:val="208"/>
        </w:numPr>
        <w:ind w:left="1560"/>
        <w:contextualSpacing w:val="0"/>
        <w:jc w:val="both"/>
        <w:rPr>
          <w:rFonts w:ascii="Arial" w:hAnsi="Arial" w:cs="Arial"/>
          <w:sz w:val="20"/>
          <w:szCs w:val="20"/>
        </w:rPr>
      </w:pPr>
      <w:r w:rsidRPr="00AC4AEA">
        <w:rPr>
          <w:rFonts w:ascii="Arial" w:hAnsi="Arial" w:cs="Arial"/>
          <w:sz w:val="20"/>
          <w:szCs w:val="20"/>
        </w:rPr>
        <w:t>l</w:t>
      </w:r>
      <w:r w:rsidR="00BB2858" w:rsidRPr="00AC4AEA">
        <w:rPr>
          <w:rFonts w:ascii="Arial" w:hAnsi="Arial" w:cs="Arial"/>
          <w:sz w:val="20"/>
          <w:szCs w:val="20"/>
        </w:rPr>
        <w:t>os flujos de efectivo y sus equivalentes por el impuesto a las ganancias pagado.</w:t>
      </w:r>
    </w:p>
    <w:p w:rsidR="000C017E" w:rsidRPr="00AC4AEA" w:rsidRDefault="00BB2858" w:rsidP="00A318EA">
      <w:pPr>
        <w:pStyle w:val="A-Normal11"/>
        <w:numPr>
          <w:ilvl w:val="0"/>
          <w:numId w:val="29"/>
        </w:numPr>
        <w:jc w:val="both"/>
        <w:rPr>
          <w:rFonts w:ascii="Arial" w:hAnsi="Arial" w:cs="Arial"/>
          <w:sz w:val="20"/>
        </w:rPr>
      </w:pPr>
      <w:r w:rsidRPr="00AC4AEA">
        <w:rPr>
          <w:rFonts w:ascii="Arial" w:hAnsi="Arial" w:cs="Arial"/>
          <w:sz w:val="20"/>
        </w:rPr>
        <w:lastRenderedPageBreak/>
        <w:t>Una entidad podrá asignar los flujos de efectivo y sus equivalentes por intereses y dividendos pagados a</w:t>
      </w:r>
      <w:r w:rsidR="000C017E" w:rsidRPr="00AC4AEA">
        <w:rPr>
          <w:rFonts w:ascii="Arial" w:hAnsi="Arial" w:cs="Arial"/>
          <w:sz w:val="20"/>
        </w:rPr>
        <w:t>:</w:t>
      </w:r>
      <w:r w:rsidRPr="00AC4AEA">
        <w:rPr>
          <w:rFonts w:ascii="Arial" w:hAnsi="Arial" w:cs="Arial"/>
          <w:sz w:val="20"/>
        </w:rPr>
        <w:t xml:space="preserve"> </w:t>
      </w:r>
    </w:p>
    <w:p w:rsidR="000C017E" w:rsidRPr="00AC4AEA" w:rsidRDefault="00986526" w:rsidP="00A318EA">
      <w:pPr>
        <w:pStyle w:val="Prrafodelista"/>
        <w:numPr>
          <w:ilvl w:val="0"/>
          <w:numId w:val="209"/>
        </w:numPr>
        <w:ind w:left="1560"/>
        <w:contextualSpacing w:val="0"/>
        <w:jc w:val="both"/>
        <w:rPr>
          <w:rFonts w:ascii="Arial" w:hAnsi="Arial" w:cs="Arial"/>
          <w:sz w:val="20"/>
          <w:szCs w:val="20"/>
        </w:rPr>
      </w:pPr>
      <w:r w:rsidRPr="00AC4AEA">
        <w:rPr>
          <w:rFonts w:ascii="Arial" w:hAnsi="Arial" w:cs="Arial"/>
          <w:sz w:val="20"/>
          <w:szCs w:val="20"/>
        </w:rPr>
        <w:t>l</w:t>
      </w:r>
      <w:r w:rsidR="00BB2858" w:rsidRPr="00AC4AEA">
        <w:rPr>
          <w:rFonts w:ascii="Arial" w:hAnsi="Arial" w:cs="Arial"/>
          <w:sz w:val="20"/>
          <w:szCs w:val="20"/>
        </w:rPr>
        <w:t>as actividades operativas</w:t>
      </w:r>
      <w:r w:rsidR="003D1D46" w:rsidRPr="00AC4AEA">
        <w:rPr>
          <w:rFonts w:ascii="Arial" w:hAnsi="Arial" w:cs="Arial"/>
          <w:sz w:val="20"/>
          <w:szCs w:val="20"/>
        </w:rPr>
        <w:t>;</w:t>
      </w:r>
      <w:r w:rsidR="00BB2858" w:rsidRPr="00AC4AEA">
        <w:rPr>
          <w:rFonts w:ascii="Arial" w:hAnsi="Arial" w:cs="Arial"/>
          <w:sz w:val="20"/>
          <w:szCs w:val="20"/>
        </w:rPr>
        <w:t xml:space="preserve"> o </w:t>
      </w:r>
    </w:p>
    <w:p w:rsidR="00BB2858" w:rsidRPr="00AC4AEA" w:rsidRDefault="00986526" w:rsidP="00A318EA">
      <w:pPr>
        <w:pStyle w:val="Prrafodelista"/>
        <w:numPr>
          <w:ilvl w:val="0"/>
          <w:numId w:val="209"/>
        </w:numPr>
        <w:ind w:left="1560"/>
        <w:contextualSpacing w:val="0"/>
        <w:jc w:val="both"/>
        <w:rPr>
          <w:rFonts w:ascii="Arial" w:hAnsi="Arial" w:cs="Arial"/>
          <w:sz w:val="20"/>
          <w:szCs w:val="20"/>
        </w:rPr>
      </w:pPr>
      <w:r w:rsidRPr="00AC4AEA">
        <w:rPr>
          <w:rFonts w:ascii="Arial" w:hAnsi="Arial" w:cs="Arial"/>
          <w:sz w:val="20"/>
          <w:szCs w:val="20"/>
        </w:rPr>
        <w:t>l</w:t>
      </w:r>
      <w:r w:rsidR="000C017E" w:rsidRPr="00AC4AEA">
        <w:rPr>
          <w:rFonts w:ascii="Arial" w:hAnsi="Arial" w:cs="Arial"/>
          <w:sz w:val="20"/>
          <w:szCs w:val="20"/>
        </w:rPr>
        <w:t xml:space="preserve">as actividades </w:t>
      </w:r>
      <w:r w:rsidR="00BB2858" w:rsidRPr="00AC4AEA">
        <w:rPr>
          <w:rFonts w:ascii="Arial" w:hAnsi="Arial" w:cs="Arial"/>
          <w:sz w:val="20"/>
          <w:szCs w:val="20"/>
        </w:rPr>
        <w:t>de financiación.</w:t>
      </w:r>
    </w:p>
    <w:p w:rsidR="000C017E" w:rsidRPr="00AC4AEA" w:rsidRDefault="00BB2858" w:rsidP="00A318EA">
      <w:pPr>
        <w:pStyle w:val="A-Normal11"/>
        <w:numPr>
          <w:ilvl w:val="0"/>
          <w:numId w:val="29"/>
        </w:numPr>
        <w:jc w:val="both"/>
        <w:rPr>
          <w:rFonts w:ascii="Arial" w:hAnsi="Arial" w:cs="Arial"/>
          <w:sz w:val="20"/>
        </w:rPr>
      </w:pPr>
      <w:r w:rsidRPr="00AC4AEA">
        <w:rPr>
          <w:rFonts w:ascii="Arial" w:hAnsi="Arial" w:cs="Arial"/>
          <w:sz w:val="20"/>
        </w:rPr>
        <w:t>Una entidad podrá asignar los flujos de efectivo y sus equivalentes por intereses y dividendos cobrados</w:t>
      </w:r>
      <w:r w:rsidR="000C017E" w:rsidRPr="00AC4AEA">
        <w:rPr>
          <w:rFonts w:ascii="Arial" w:hAnsi="Arial" w:cs="Arial"/>
          <w:sz w:val="20"/>
        </w:rPr>
        <w:t>:</w:t>
      </w:r>
    </w:p>
    <w:p w:rsidR="000C017E" w:rsidRPr="00AC4AEA" w:rsidRDefault="00986526" w:rsidP="00A318EA">
      <w:pPr>
        <w:pStyle w:val="Prrafodelista"/>
        <w:numPr>
          <w:ilvl w:val="0"/>
          <w:numId w:val="210"/>
        </w:numPr>
        <w:ind w:left="1560"/>
        <w:contextualSpacing w:val="0"/>
        <w:jc w:val="both"/>
        <w:rPr>
          <w:rFonts w:ascii="Arial" w:hAnsi="Arial" w:cs="Arial"/>
          <w:sz w:val="20"/>
          <w:szCs w:val="20"/>
        </w:rPr>
      </w:pPr>
      <w:r w:rsidRPr="00AC4AEA">
        <w:rPr>
          <w:rFonts w:ascii="Arial" w:hAnsi="Arial" w:cs="Arial"/>
          <w:sz w:val="20"/>
          <w:szCs w:val="20"/>
        </w:rPr>
        <w:t>l</w:t>
      </w:r>
      <w:r w:rsidR="000C017E" w:rsidRPr="00AC4AEA">
        <w:rPr>
          <w:rFonts w:ascii="Arial" w:hAnsi="Arial" w:cs="Arial"/>
          <w:sz w:val="20"/>
          <w:szCs w:val="20"/>
        </w:rPr>
        <w:t>as actividades operativas</w:t>
      </w:r>
      <w:r w:rsidR="003D1D46" w:rsidRPr="00AC4AEA">
        <w:rPr>
          <w:rFonts w:ascii="Arial" w:hAnsi="Arial" w:cs="Arial"/>
          <w:sz w:val="20"/>
          <w:szCs w:val="20"/>
        </w:rPr>
        <w:t>;</w:t>
      </w:r>
      <w:r w:rsidR="000C017E" w:rsidRPr="00AC4AEA">
        <w:rPr>
          <w:rFonts w:ascii="Arial" w:hAnsi="Arial" w:cs="Arial"/>
          <w:sz w:val="20"/>
          <w:szCs w:val="20"/>
        </w:rPr>
        <w:t xml:space="preserve"> o </w:t>
      </w:r>
    </w:p>
    <w:p w:rsidR="000C017E" w:rsidRPr="00AC4AEA" w:rsidRDefault="00986526" w:rsidP="00A318EA">
      <w:pPr>
        <w:pStyle w:val="Prrafodelista"/>
        <w:numPr>
          <w:ilvl w:val="0"/>
          <w:numId w:val="210"/>
        </w:numPr>
        <w:ind w:left="1560"/>
        <w:contextualSpacing w:val="0"/>
        <w:jc w:val="both"/>
        <w:rPr>
          <w:rFonts w:ascii="Arial" w:hAnsi="Arial" w:cs="Arial"/>
          <w:sz w:val="20"/>
          <w:szCs w:val="20"/>
        </w:rPr>
      </w:pPr>
      <w:r w:rsidRPr="00AC4AEA">
        <w:rPr>
          <w:rFonts w:ascii="Arial" w:hAnsi="Arial" w:cs="Arial"/>
          <w:sz w:val="20"/>
          <w:szCs w:val="20"/>
        </w:rPr>
        <w:t>l</w:t>
      </w:r>
      <w:r w:rsidR="000C017E" w:rsidRPr="00AC4AEA">
        <w:rPr>
          <w:rFonts w:ascii="Arial" w:hAnsi="Arial" w:cs="Arial"/>
          <w:sz w:val="20"/>
          <w:szCs w:val="20"/>
        </w:rPr>
        <w:t>as actividades de inversión.</w:t>
      </w:r>
    </w:p>
    <w:p w:rsidR="00BB2858" w:rsidRPr="00AC4AEA" w:rsidRDefault="00BB2858" w:rsidP="00A318EA">
      <w:pPr>
        <w:pStyle w:val="A-Normal11"/>
        <w:numPr>
          <w:ilvl w:val="0"/>
          <w:numId w:val="29"/>
        </w:numPr>
        <w:jc w:val="both"/>
        <w:rPr>
          <w:rFonts w:ascii="Arial" w:hAnsi="Arial" w:cs="Arial"/>
          <w:sz w:val="20"/>
        </w:rPr>
      </w:pPr>
      <w:r w:rsidRPr="00AC4AEA">
        <w:rPr>
          <w:rFonts w:ascii="Arial" w:hAnsi="Arial" w:cs="Arial"/>
          <w:sz w:val="20"/>
        </w:rPr>
        <w:t>Una entidad asignará los flujos de efectivo y sus equivalentes por pagos relacionados con el impuesto a las ganancias a las actividades operativas, excepto que pueda asociarlos específicamente a actividades de inversión o de financiación.</w:t>
      </w:r>
    </w:p>
    <w:p w:rsidR="002E66D3" w:rsidRPr="00AC4AEA" w:rsidRDefault="002E66D3" w:rsidP="00A318EA">
      <w:pPr>
        <w:pStyle w:val="A-doctorado"/>
        <w:rPr>
          <w:rFonts w:ascii="Arial" w:hAnsi="Arial"/>
          <w:color w:val="auto"/>
          <w:sz w:val="20"/>
          <w:szCs w:val="20"/>
        </w:rPr>
      </w:pPr>
      <w:bookmarkStart w:id="953" w:name="_Toc101864016"/>
    </w:p>
    <w:p w:rsidR="00D455A2" w:rsidRPr="00AC4AEA" w:rsidRDefault="00D455A2" w:rsidP="00A318EA">
      <w:pPr>
        <w:pStyle w:val="Ttulo2"/>
        <w:rPr>
          <w:rFonts w:cs="Arial"/>
        </w:rPr>
      </w:pPr>
      <w:bookmarkStart w:id="954" w:name="_Toc139356915"/>
      <w:r w:rsidRPr="00AC4AEA">
        <w:rPr>
          <w:rFonts w:cs="Arial"/>
        </w:rPr>
        <w:t>Presentación simplificada en un contexto de inflación</w:t>
      </w:r>
      <w:bookmarkEnd w:id="953"/>
      <w:bookmarkEnd w:id="954"/>
      <w:r w:rsidRPr="00AC4AEA">
        <w:rPr>
          <w:rFonts w:cs="Arial"/>
        </w:rPr>
        <w:t xml:space="preserve"> </w:t>
      </w:r>
    </w:p>
    <w:p w:rsidR="00D455A2" w:rsidRPr="00AC4AEA" w:rsidRDefault="00D455A2" w:rsidP="00A318EA">
      <w:pPr>
        <w:pStyle w:val="A-Normal11"/>
        <w:numPr>
          <w:ilvl w:val="0"/>
          <w:numId w:val="29"/>
        </w:numPr>
        <w:jc w:val="both"/>
        <w:rPr>
          <w:rFonts w:ascii="Arial" w:hAnsi="Arial" w:cs="Arial"/>
          <w:sz w:val="20"/>
        </w:rPr>
      </w:pPr>
      <w:bookmarkStart w:id="955" w:name="_Ref77327962"/>
      <w:r w:rsidRPr="00AC4AEA">
        <w:rPr>
          <w:rFonts w:ascii="Arial" w:hAnsi="Arial" w:cs="Arial"/>
          <w:sz w:val="20"/>
        </w:rPr>
        <w:t xml:space="preserve">Cuando </w:t>
      </w:r>
      <w:r w:rsidR="003311CC" w:rsidRPr="00AC4AEA">
        <w:rPr>
          <w:rFonts w:ascii="Arial" w:hAnsi="Arial" w:cs="Arial"/>
          <w:sz w:val="20"/>
        </w:rPr>
        <w:t>prepare</w:t>
      </w:r>
      <w:r w:rsidRPr="00AC4AEA">
        <w:rPr>
          <w:rFonts w:ascii="Arial" w:hAnsi="Arial" w:cs="Arial"/>
          <w:sz w:val="20"/>
        </w:rPr>
        <w:t xml:space="preserve"> sus </w:t>
      </w:r>
      <w:r w:rsidR="00135084" w:rsidRPr="00AC4AEA">
        <w:rPr>
          <w:rFonts w:ascii="Arial" w:hAnsi="Arial" w:cs="Arial"/>
          <w:b/>
          <w:bCs/>
          <w:sz w:val="20"/>
        </w:rPr>
        <w:t>estados contables</w:t>
      </w:r>
      <w:r w:rsidRPr="00AC4AEA">
        <w:rPr>
          <w:rFonts w:ascii="Arial" w:hAnsi="Arial" w:cs="Arial"/>
          <w:sz w:val="20"/>
        </w:rPr>
        <w:t xml:space="preserve"> según lo establecido en la sección </w:t>
      </w:r>
      <w:r w:rsidR="00014866" w:rsidRPr="00AC4AEA">
        <w:rPr>
          <w:rFonts w:ascii="Arial" w:hAnsi="Arial" w:cs="Arial"/>
          <w:sz w:val="20"/>
        </w:rPr>
        <w:t>“</w:t>
      </w:r>
      <w:r w:rsidR="00014866" w:rsidRPr="00AC4AEA">
        <w:rPr>
          <w:rFonts w:ascii="Arial" w:hAnsi="Arial" w:cs="Arial"/>
          <w:sz w:val="20"/>
          <w:u w:val="single"/>
        </w:rPr>
        <w:t xml:space="preserve">Expresión de los </w:t>
      </w:r>
      <w:r w:rsidR="00135084" w:rsidRPr="00AC4AEA">
        <w:rPr>
          <w:rFonts w:ascii="Arial" w:hAnsi="Arial" w:cs="Arial"/>
          <w:sz w:val="20"/>
          <w:u w:val="single"/>
        </w:rPr>
        <w:t>estados contables</w:t>
      </w:r>
      <w:r w:rsidR="00014866" w:rsidRPr="00AC4AEA">
        <w:rPr>
          <w:rFonts w:ascii="Arial" w:hAnsi="Arial" w:cs="Arial"/>
          <w:sz w:val="20"/>
          <w:u w:val="single"/>
        </w:rPr>
        <w:t xml:space="preserve"> en moneda </w:t>
      </w:r>
      <w:r w:rsidR="00F0601B">
        <w:rPr>
          <w:rFonts w:ascii="Arial" w:hAnsi="Arial" w:cs="Arial"/>
          <w:sz w:val="20"/>
          <w:u w:val="single"/>
        </w:rPr>
        <w:t>de cierre</w:t>
      </w:r>
      <w:r w:rsidR="00014866" w:rsidRPr="00AC4AEA">
        <w:rPr>
          <w:rFonts w:ascii="Arial" w:hAnsi="Arial" w:cs="Arial"/>
          <w:sz w:val="20"/>
          <w:u w:val="single"/>
        </w:rPr>
        <w:t xml:space="preserve"> en un contexto de inflación (ajuste por inflación de los </w:t>
      </w:r>
      <w:r w:rsidR="00135084" w:rsidRPr="00AC4AEA">
        <w:rPr>
          <w:rFonts w:ascii="Arial" w:hAnsi="Arial" w:cs="Arial"/>
          <w:sz w:val="20"/>
          <w:u w:val="single"/>
        </w:rPr>
        <w:t>estados contables</w:t>
      </w:r>
      <w:r w:rsidR="00014866" w:rsidRPr="00AC4AEA">
        <w:rPr>
          <w:rFonts w:ascii="Arial" w:hAnsi="Arial" w:cs="Arial"/>
          <w:sz w:val="20"/>
          <w:u w:val="single"/>
        </w:rPr>
        <w:t>)</w:t>
      </w:r>
      <w:r w:rsidR="00014866" w:rsidRPr="00AC4AEA">
        <w:rPr>
          <w:rFonts w:ascii="Arial" w:hAnsi="Arial" w:cs="Arial"/>
          <w:sz w:val="20"/>
        </w:rPr>
        <w:t xml:space="preserve">” [ver los párrafos </w:t>
      </w:r>
      <w:fldSimple w:instr=" REF _Ref99459117 \r \h  \* MERGEFORMAT ">
        <w:r w:rsidR="00D33A5D" w:rsidRPr="00D33A5D">
          <w:rPr>
            <w:rFonts w:ascii="Arial" w:hAnsi="Arial" w:cs="Arial"/>
            <w:sz w:val="20"/>
          </w:rPr>
          <w:t>176</w:t>
        </w:r>
      </w:fldSimple>
      <w:r w:rsidR="00014866" w:rsidRPr="00AC4AEA">
        <w:rPr>
          <w:rFonts w:ascii="Arial" w:hAnsi="Arial" w:cs="Arial"/>
          <w:sz w:val="20"/>
        </w:rPr>
        <w:t xml:space="preserve"> a </w:t>
      </w:r>
      <w:fldSimple w:instr=" REF _Ref99459144 \r \h  \* MERGEFORMAT ">
        <w:r w:rsidR="00D33A5D" w:rsidRPr="00D33A5D">
          <w:rPr>
            <w:rFonts w:ascii="Arial" w:hAnsi="Arial" w:cs="Arial"/>
            <w:sz w:val="20"/>
          </w:rPr>
          <w:t>200</w:t>
        </w:r>
      </w:fldSimple>
      <w:r w:rsidR="00014866" w:rsidRPr="00AC4AEA">
        <w:rPr>
          <w:rFonts w:ascii="Arial" w:hAnsi="Arial" w:cs="Arial"/>
          <w:sz w:val="20"/>
        </w:rPr>
        <w:t>]</w:t>
      </w:r>
      <w:r w:rsidR="000E0513" w:rsidRPr="00AC4AEA">
        <w:rPr>
          <w:rFonts w:ascii="Arial" w:hAnsi="Arial" w:cs="Arial"/>
          <w:sz w:val="20"/>
        </w:rPr>
        <w:t xml:space="preserve">, </w:t>
      </w:r>
      <w:r w:rsidR="00387541" w:rsidRPr="00AC4AEA">
        <w:rPr>
          <w:rFonts w:ascii="Arial" w:hAnsi="Arial" w:cs="Arial"/>
          <w:sz w:val="20"/>
        </w:rPr>
        <w:t xml:space="preserve">cualquier </w:t>
      </w:r>
      <w:r w:rsidRPr="00AC4AEA">
        <w:rPr>
          <w:rFonts w:ascii="Arial" w:hAnsi="Arial" w:cs="Arial"/>
          <w:sz w:val="20"/>
        </w:rPr>
        <w:t>entidad</w:t>
      </w:r>
      <w:r w:rsidR="003543B1" w:rsidRPr="00AC4AEA">
        <w:rPr>
          <w:rFonts w:ascii="Arial" w:hAnsi="Arial" w:cs="Arial"/>
          <w:sz w:val="20"/>
        </w:rPr>
        <w:t xml:space="preserve"> –</w:t>
      </w:r>
      <w:r w:rsidR="00387541" w:rsidRPr="00AC4AEA">
        <w:rPr>
          <w:rFonts w:ascii="Arial" w:hAnsi="Arial" w:cs="Arial"/>
          <w:sz w:val="20"/>
        </w:rPr>
        <w:t xml:space="preserve">excepto que </w:t>
      </w:r>
      <w:r w:rsidR="0099646A" w:rsidRPr="00AC4AEA">
        <w:rPr>
          <w:rFonts w:ascii="Arial" w:hAnsi="Arial" w:cs="Arial"/>
          <w:sz w:val="20"/>
        </w:rPr>
        <w:t>se trate de una entidad sin</w:t>
      </w:r>
      <w:r w:rsidR="00387541" w:rsidRPr="00AC4AEA">
        <w:rPr>
          <w:rFonts w:ascii="Arial" w:hAnsi="Arial" w:cs="Arial"/>
          <w:sz w:val="20"/>
        </w:rPr>
        <w:t xml:space="preserve"> fin</w:t>
      </w:r>
      <w:r w:rsidR="0099646A" w:rsidRPr="00AC4AEA">
        <w:rPr>
          <w:rFonts w:ascii="Arial" w:hAnsi="Arial" w:cs="Arial"/>
          <w:sz w:val="20"/>
        </w:rPr>
        <w:t>es</w:t>
      </w:r>
      <w:r w:rsidR="00387541" w:rsidRPr="00AC4AEA">
        <w:rPr>
          <w:rFonts w:ascii="Arial" w:hAnsi="Arial" w:cs="Arial"/>
          <w:sz w:val="20"/>
        </w:rPr>
        <w:t xml:space="preserve"> de lucro</w:t>
      </w:r>
      <w:r w:rsidR="00005FE4" w:rsidRPr="00AC4AEA">
        <w:rPr>
          <w:rFonts w:ascii="Arial" w:hAnsi="Arial" w:cs="Arial"/>
          <w:sz w:val="20"/>
        </w:rPr>
        <w:t xml:space="preserve"> o</w:t>
      </w:r>
      <w:r w:rsidR="0099646A" w:rsidRPr="00AC4AEA">
        <w:rPr>
          <w:rFonts w:ascii="Arial" w:hAnsi="Arial" w:cs="Arial"/>
          <w:sz w:val="20"/>
        </w:rPr>
        <w:t xml:space="preserve"> de</w:t>
      </w:r>
      <w:r w:rsidR="00005FE4" w:rsidRPr="00AC4AEA">
        <w:rPr>
          <w:rFonts w:ascii="Arial" w:hAnsi="Arial" w:cs="Arial"/>
          <w:sz w:val="20"/>
        </w:rPr>
        <w:t xml:space="preserve"> una cooperativa</w:t>
      </w:r>
      <w:r w:rsidR="00B34D02" w:rsidRPr="00AC4AEA">
        <w:rPr>
          <w:rFonts w:ascii="Arial" w:hAnsi="Arial" w:cs="Arial"/>
          <w:sz w:val="20"/>
        </w:rPr>
        <w:t>,</w:t>
      </w:r>
      <w:r w:rsidR="00D513F1" w:rsidRPr="00AC4AEA">
        <w:rPr>
          <w:rFonts w:ascii="Arial" w:hAnsi="Arial" w:cs="Arial"/>
          <w:sz w:val="20"/>
        </w:rPr>
        <w:t xml:space="preserve"> comprendida</w:t>
      </w:r>
      <w:r w:rsidR="004E0377" w:rsidRPr="00AC4AEA">
        <w:rPr>
          <w:rFonts w:ascii="Arial" w:hAnsi="Arial" w:cs="Arial"/>
          <w:sz w:val="20"/>
        </w:rPr>
        <w:t>s</w:t>
      </w:r>
      <w:r w:rsidR="00387541" w:rsidRPr="00AC4AEA">
        <w:rPr>
          <w:rFonts w:ascii="Arial" w:hAnsi="Arial" w:cs="Arial"/>
          <w:sz w:val="20"/>
        </w:rPr>
        <w:t xml:space="preserve"> </w:t>
      </w:r>
      <w:r w:rsidR="00D513F1" w:rsidRPr="00AC4AEA">
        <w:rPr>
          <w:rFonts w:ascii="Arial" w:hAnsi="Arial" w:cs="Arial"/>
          <w:sz w:val="20"/>
        </w:rPr>
        <w:t xml:space="preserve">en la clasificación del inciso c) del párrafo </w:t>
      </w:r>
      <w:fldSimple w:instr=" REF _Ref132041192 \r \h  \* MERGEFORMAT ">
        <w:r w:rsidR="00D33A5D" w:rsidRPr="00D33A5D">
          <w:rPr>
            <w:rFonts w:ascii="Arial" w:hAnsi="Arial" w:cs="Arial"/>
            <w:sz w:val="20"/>
          </w:rPr>
          <w:t>5</w:t>
        </w:r>
      </w:fldSimple>
      <w:r w:rsidR="003543B1" w:rsidRPr="00AC4AEA">
        <w:rPr>
          <w:rFonts w:ascii="Arial" w:hAnsi="Arial" w:cs="Arial"/>
          <w:sz w:val="20"/>
        </w:rPr>
        <w:t>–</w:t>
      </w:r>
      <w:r w:rsidRPr="00AC4AEA">
        <w:rPr>
          <w:rFonts w:ascii="Arial" w:hAnsi="Arial" w:cs="Arial"/>
          <w:sz w:val="20"/>
        </w:rPr>
        <w:t xml:space="preserve"> podrá presentar el estado de flujos de efectivo en forma sintética </w:t>
      </w:r>
      <w:r w:rsidR="000F23D6" w:rsidRPr="00AC4AEA">
        <w:rPr>
          <w:rFonts w:ascii="Arial" w:hAnsi="Arial" w:cs="Arial"/>
          <w:sz w:val="20"/>
        </w:rPr>
        <w:t>informando los siguientes importes:</w:t>
      </w:r>
      <w:bookmarkEnd w:id="955"/>
    </w:p>
    <w:p w:rsidR="000F23D6" w:rsidRPr="00AC4AEA" w:rsidRDefault="00853527" w:rsidP="00A318EA">
      <w:pPr>
        <w:pStyle w:val="A-Normal11"/>
        <w:numPr>
          <w:ilvl w:val="0"/>
          <w:numId w:val="211"/>
        </w:numPr>
        <w:ind w:left="1560"/>
        <w:jc w:val="both"/>
        <w:rPr>
          <w:rFonts w:ascii="Arial" w:hAnsi="Arial" w:cs="Arial"/>
          <w:sz w:val="20"/>
        </w:rPr>
      </w:pPr>
      <w:r w:rsidRPr="00AC4AEA">
        <w:rPr>
          <w:rFonts w:ascii="Arial" w:hAnsi="Arial" w:cs="Arial"/>
          <w:sz w:val="20"/>
        </w:rPr>
        <w:t>E</w:t>
      </w:r>
      <w:r w:rsidR="00704485" w:rsidRPr="00AC4AEA">
        <w:rPr>
          <w:rFonts w:ascii="Arial" w:hAnsi="Arial" w:cs="Arial"/>
          <w:sz w:val="20"/>
        </w:rPr>
        <w:t xml:space="preserve">l </w:t>
      </w:r>
      <w:r w:rsidR="000F23D6" w:rsidRPr="00AC4AEA">
        <w:rPr>
          <w:rFonts w:ascii="Arial" w:hAnsi="Arial" w:cs="Arial"/>
          <w:sz w:val="20"/>
        </w:rPr>
        <w:t>saldo inicial del efectivo y sus equivalentes</w:t>
      </w:r>
      <w:r w:rsidRPr="00AC4AEA">
        <w:rPr>
          <w:rFonts w:ascii="Arial" w:hAnsi="Arial" w:cs="Arial"/>
          <w:sz w:val="20"/>
        </w:rPr>
        <w:t>.</w:t>
      </w:r>
    </w:p>
    <w:p w:rsidR="000F23D6" w:rsidRPr="00AC4AEA" w:rsidRDefault="00853527" w:rsidP="00A318EA">
      <w:pPr>
        <w:pStyle w:val="A-Normal11"/>
        <w:numPr>
          <w:ilvl w:val="0"/>
          <w:numId w:val="211"/>
        </w:numPr>
        <w:ind w:left="1560"/>
        <w:jc w:val="both"/>
        <w:rPr>
          <w:rFonts w:ascii="Arial" w:hAnsi="Arial" w:cs="Arial"/>
          <w:sz w:val="20"/>
        </w:rPr>
      </w:pPr>
      <w:r w:rsidRPr="00AC4AEA">
        <w:rPr>
          <w:rFonts w:ascii="Arial" w:hAnsi="Arial" w:cs="Arial"/>
          <w:sz w:val="20"/>
        </w:rPr>
        <w:t>E</w:t>
      </w:r>
      <w:r w:rsidR="00704485" w:rsidRPr="00AC4AEA">
        <w:rPr>
          <w:rFonts w:ascii="Arial" w:hAnsi="Arial" w:cs="Arial"/>
          <w:sz w:val="20"/>
        </w:rPr>
        <w:t xml:space="preserve">l </w:t>
      </w:r>
      <w:r w:rsidR="000F23D6" w:rsidRPr="00AC4AEA">
        <w:rPr>
          <w:rFonts w:ascii="Arial" w:hAnsi="Arial" w:cs="Arial"/>
          <w:sz w:val="20"/>
        </w:rPr>
        <w:t>saldo final del efectivo y sus equivalentes</w:t>
      </w:r>
      <w:r w:rsidRPr="00AC4AEA">
        <w:rPr>
          <w:rFonts w:ascii="Arial" w:hAnsi="Arial" w:cs="Arial"/>
          <w:sz w:val="20"/>
        </w:rPr>
        <w:t>.</w:t>
      </w:r>
    </w:p>
    <w:p w:rsidR="000F23D6" w:rsidRPr="00AC4AEA" w:rsidRDefault="00853527" w:rsidP="00A318EA">
      <w:pPr>
        <w:pStyle w:val="A-Normal11"/>
        <w:numPr>
          <w:ilvl w:val="0"/>
          <w:numId w:val="211"/>
        </w:numPr>
        <w:ind w:left="1560"/>
        <w:jc w:val="both"/>
        <w:rPr>
          <w:rFonts w:ascii="Arial" w:hAnsi="Arial" w:cs="Arial"/>
          <w:sz w:val="20"/>
        </w:rPr>
      </w:pPr>
      <w:r w:rsidRPr="00AC4AEA">
        <w:rPr>
          <w:rFonts w:ascii="Arial" w:hAnsi="Arial" w:cs="Arial"/>
          <w:sz w:val="20"/>
        </w:rPr>
        <w:t xml:space="preserve">La </w:t>
      </w:r>
      <w:r w:rsidR="000F23D6" w:rsidRPr="00AC4AEA">
        <w:rPr>
          <w:rFonts w:ascii="Arial" w:hAnsi="Arial" w:cs="Arial"/>
          <w:sz w:val="20"/>
        </w:rPr>
        <w:t>variaci</w:t>
      </w:r>
      <w:r w:rsidR="00704485" w:rsidRPr="00AC4AEA">
        <w:rPr>
          <w:rFonts w:ascii="Arial" w:hAnsi="Arial" w:cs="Arial"/>
          <w:sz w:val="20"/>
        </w:rPr>
        <w:t>ón neta</w:t>
      </w:r>
      <w:r w:rsidR="000F23D6" w:rsidRPr="00AC4AEA">
        <w:rPr>
          <w:rFonts w:ascii="Arial" w:hAnsi="Arial" w:cs="Arial"/>
          <w:sz w:val="20"/>
        </w:rPr>
        <w:t xml:space="preserve"> del efectivo y sus equivalente</w:t>
      </w:r>
      <w:r w:rsidR="00665B89" w:rsidRPr="00AC4AEA">
        <w:rPr>
          <w:rFonts w:ascii="Arial" w:hAnsi="Arial" w:cs="Arial"/>
          <w:sz w:val="20"/>
        </w:rPr>
        <w:t>s</w:t>
      </w:r>
      <w:r w:rsidR="00C266A0" w:rsidRPr="00AC4AEA">
        <w:rPr>
          <w:rFonts w:ascii="Arial" w:hAnsi="Arial" w:cs="Arial"/>
          <w:sz w:val="20"/>
        </w:rPr>
        <w:t>.</w:t>
      </w:r>
    </w:p>
    <w:p w:rsidR="000F23D6" w:rsidRPr="00AC4AEA" w:rsidRDefault="00853527" w:rsidP="00A318EA">
      <w:pPr>
        <w:pStyle w:val="A-Normal11"/>
        <w:numPr>
          <w:ilvl w:val="0"/>
          <w:numId w:val="211"/>
        </w:numPr>
        <w:ind w:left="1560"/>
        <w:jc w:val="both"/>
        <w:rPr>
          <w:rFonts w:ascii="Arial" w:hAnsi="Arial" w:cs="Arial"/>
          <w:sz w:val="20"/>
        </w:rPr>
      </w:pPr>
      <w:r w:rsidRPr="00AC4AEA">
        <w:rPr>
          <w:rFonts w:ascii="Arial" w:hAnsi="Arial" w:cs="Arial"/>
          <w:sz w:val="20"/>
        </w:rPr>
        <w:t xml:space="preserve">El </w:t>
      </w:r>
      <w:r w:rsidR="00704485" w:rsidRPr="00AC4AEA">
        <w:rPr>
          <w:rFonts w:ascii="Arial" w:hAnsi="Arial" w:cs="Arial"/>
          <w:sz w:val="20"/>
        </w:rPr>
        <w:t xml:space="preserve">total de las </w:t>
      </w:r>
      <w:r w:rsidR="000F23D6" w:rsidRPr="00AC4AEA">
        <w:rPr>
          <w:rFonts w:ascii="Arial" w:hAnsi="Arial" w:cs="Arial"/>
          <w:sz w:val="20"/>
        </w:rPr>
        <w:t xml:space="preserve">variaciones </w:t>
      </w:r>
      <w:r w:rsidR="00665B89" w:rsidRPr="00AC4AEA">
        <w:rPr>
          <w:rFonts w:ascii="Arial" w:hAnsi="Arial" w:cs="Arial"/>
          <w:sz w:val="20"/>
        </w:rPr>
        <w:t xml:space="preserve">netas </w:t>
      </w:r>
      <w:r w:rsidR="000F23D6" w:rsidRPr="00AC4AEA">
        <w:rPr>
          <w:rFonts w:ascii="Arial" w:hAnsi="Arial" w:cs="Arial"/>
          <w:sz w:val="20"/>
        </w:rPr>
        <w:t>del efectivo y sus equivalentes originadas en:</w:t>
      </w:r>
    </w:p>
    <w:p w:rsidR="000F23D6" w:rsidRPr="00AC4AEA" w:rsidRDefault="00853527" w:rsidP="00A318EA">
      <w:pPr>
        <w:pStyle w:val="A-Normal11"/>
        <w:numPr>
          <w:ilvl w:val="0"/>
          <w:numId w:val="212"/>
        </w:numPr>
        <w:ind w:left="1985"/>
        <w:jc w:val="both"/>
        <w:rPr>
          <w:rFonts w:ascii="Arial" w:hAnsi="Arial" w:cs="Arial"/>
          <w:sz w:val="20"/>
        </w:rPr>
      </w:pPr>
      <w:r w:rsidRPr="00AC4AEA">
        <w:rPr>
          <w:rFonts w:ascii="Arial" w:hAnsi="Arial" w:cs="Arial"/>
          <w:sz w:val="20"/>
        </w:rPr>
        <w:t>las</w:t>
      </w:r>
      <w:r w:rsidR="000F23D6" w:rsidRPr="00AC4AEA">
        <w:rPr>
          <w:rFonts w:ascii="Arial" w:hAnsi="Arial" w:cs="Arial"/>
          <w:sz w:val="20"/>
        </w:rPr>
        <w:t xml:space="preserve"> actividades operativas;</w:t>
      </w:r>
    </w:p>
    <w:p w:rsidR="000F23D6" w:rsidRPr="00AC4AEA" w:rsidRDefault="00853527" w:rsidP="00A318EA">
      <w:pPr>
        <w:pStyle w:val="A-Normal11"/>
        <w:numPr>
          <w:ilvl w:val="0"/>
          <w:numId w:val="212"/>
        </w:numPr>
        <w:ind w:left="1985"/>
        <w:jc w:val="both"/>
        <w:rPr>
          <w:rFonts w:ascii="Arial" w:hAnsi="Arial" w:cs="Arial"/>
          <w:sz w:val="20"/>
        </w:rPr>
      </w:pPr>
      <w:r w:rsidRPr="00AC4AEA">
        <w:rPr>
          <w:rFonts w:ascii="Arial" w:hAnsi="Arial" w:cs="Arial"/>
          <w:sz w:val="20"/>
        </w:rPr>
        <w:t>las</w:t>
      </w:r>
      <w:r w:rsidR="000F23D6" w:rsidRPr="00AC4AEA">
        <w:rPr>
          <w:rFonts w:ascii="Arial" w:hAnsi="Arial" w:cs="Arial"/>
          <w:sz w:val="20"/>
        </w:rPr>
        <w:t xml:space="preserve"> actividades inversión; y</w:t>
      </w:r>
    </w:p>
    <w:p w:rsidR="000F23D6" w:rsidRPr="00AC4AEA" w:rsidRDefault="00853527" w:rsidP="00A318EA">
      <w:pPr>
        <w:pStyle w:val="A-Normal11"/>
        <w:numPr>
          <w:ilvl w:val="0"/>
          <w:numId w:val="212"/>
        </w:numPr>
        <w:ind w:left="1985"/>
        <w:jc w:val="both"/>
        <w:rPr>
          <w:rFonts w:ascii="Arial" w:hAnsi="Arial" w:cs="Arial"/>
          <w:sz w:val="20"/>
        </w:rPr>
      </w:pPr>
      <w:r w:rsidRPr="00AC4AEA">
        <w:rPr>
          <w:rFonts w:ascii="Arial" w:hAnsi="Arial" w:cs="Arial"/>
          <w:sz w:val="20"/>
        </w:rPr>
        <w:t>las</w:t>
      </w:r>
      <w:r w:rsidR="00F774AA" w:rsidRPr="00AC4AEA">
        <w:rPr>
          <w:rFonts w:ascii="Arial" w:hAnsi="Arial" w:cs="Arial"/>
          <w:sz w:val="20"/>
        </w:rPr>
        <w:t xml:space="preserve"> de </w:t>
      </w:r>
      <w:r w:rsidR="000F23D6" w:rsidRPr="00AC4AEA">
        <w:rPr>
          <w:rFonts w:ascii="Arial" w:hAnsi="Arial" w:cs="Arial"/>
          <w:sz w:val="20"/>
        </w:rPr>
        <w:t>actividades de financiación.</w:t>
      </w:r>
    </w:p>
    <w:p w:rsidR="00235A4B" w:rsidRPr="00AC4AEA" w:rsidRDefault="000F23D6" w:rsidP="00A318EA">
      <w:pPr>
        <w:pStyle w:val="A-Normal11"/>
        <w:numPr>
          <w:ilvl w:val="0"/>
          <w:numId w:val="29"/>
        </w:numPr>
        <w:autoSpaceDE w:val="0"/>
        <w:autoSpaceDN w:val="0"/>
        <w:adjustRightInd w:val="0"/>
        <w:jc w:val="both"/>
        <w:rPr>
          <w:rFonts w:ascii="Arial" w:hAnsi="Arial" w:cs="Arial"/>
          <w:sz w:val="20"/>
        </w:rPr>
      </w:pPr>
      <w:r w:rsidRPr="00AC4AEA">
        <w:rPr>
          <w:rFonts w:ascii="Arial" w:hAnsi="Arial" w:cs="Arial"/>
          <w:sz w:val="20"/>
        </w:rPr>
        <w:t>Cuando opte por la simplificación referida en el párrafo anterior</w:t>
      </w:r>
      <w:r w:rsidR="00235A4B" w:rsidRPr="00AC4AEA">
        <w:rPr>
          <w:rFonts w:ascii="Arial" w:hAnsi="Arial" w:cs="Arial"/>
          <w:sz w:val="20"/>
        </w:rPr>
        <w:t>, una entidad:</w:t>
      </w:r>
      <w:r w:rsidRPr="00AC4AEA">
        <w:rPr>
          <w:rFonts w:ascii="Arial" w:hAnsi="Arial" w:cs="Arial"/>
          <w:sz w:val="20"/>
        </w:rPr>
        <w:t xml:space="preserve"> </w:t>
      </w:r>
    </w:p>
    <w:p w:rsidR="00D455A2" w:rsidRPr="00AC4AEA" w:rsidRDefault="000F23D6" w:rsidP="00A318EA">
      <w:pPr>
        <w:pStyle w:val="A-Normal11"/>
        <w:numPr>
          <w:ilvl w:val="1"/>
          <w:numId w:val="29"/>
        </w:numPr>
        <w:ind w:left="1560"/>
        <w:jc w:val="both"/>
        <w:rPr>
          <w:rFonts w:ascii="Arial" w:hAnsi="Arial" w:cs="Arial"/>
          <w:sz w:val="20"/>
        </w:rPr>
      </w:pPr>
      <w:r w:rsidRPr="00AC4AEA">
        <w:rPr>
          <w:rFonts w:ascii="Arial" w:hAnsi="Arial" w:cs="Arial"/>
          <w:sz w:val="20"/>
        </w:rPr>
        <w:t>no efectuará conciliación requerida en el párrafo</w:t>
      </w:r>
      <w:r w:rsidR="00235A4B" w:rsidRPr="00AC4AEA">
        <w:rPr>
          <w:rFonts w:ascii="Arial" w:hAnsi="Arial" w:cs="Arial"/>
          <w:sz w:val="20"/>
        </w:rPr>
        <w:t xml:space="preserve"> </w:t>
      </w:r>
      <w:fldSimple w:instr=" REF _Ref102216740 \r \h  \* MERGEFORMAT ">
        <w:r w:rsidR="00D33A5D" w:rsidRPr="00D33A5D">
          <w:rPr>
            <w:rFonts w:ascii="Arial" w:hAnsi="Arial" w:cs="Arial"/>
            <w:sz w:val="20"/>
          </w:rPr>
          <w:t>659</w:t>
        </w:r>
      </w:fldSimple>
      <w:r w:rsidR="00235A4B" w:rsidRPr="00AC4AEA">
        <w:rPr>
          <w:rFonts w:ascii="Arial" w:hAnsi="Arial" w:cs="Arial"/>
          <w:sz w:val="20"/>
        </w:rPr>
        <w:t xml:space="preserve">; </w:t>
      </w:r>
    </w:p>
    <w:p w:rsidR="00235A4B" w:rsidRPr="00AC4AEA" w:rsidRDefault="00235A4B" w:rsidP="00A318EA">
      <w:pPr>
        <w:pStyle w:val="A-Normal11"/>
        <w:numPr>
          <w:ilvl w:val="1"/>
          <w:numId w:val="29"/>
        </w:numPr>
        <w:ind w:left="1560"/>
        <w:jc w:val="both"/>
        <w:rPr>
          <w:rFonts w:ascii="Arial" w:hAnsi="Arial" w:cs="Arial"/>
          <w:sz w:val="20"/>
        </w:rPr>
      </w:pPr>
      <w:r w:rsidRPr="00AC4AEA">
        <w:rPr>
          <w:rFonts w:ascii="Arial" w:hAnsi="Arial" w:cs="Arial"/>
          <w:sz w:val="20"/>
        </w:rPr>
        <w:t xml:space="preserve">mantendrá </w:t>
      </w:r>
      <w:r w:rsidR="00993D59" w:rsidRPr="00AC4AEA">
        <w:rPr>
          <w:rFonts w:ascii="Arial" w:hAnsi="Arial" w:cs="Arial"/>
          <w:sz w:val="20"/>
        </w:rPr>
        <w:t>los</w:t>
      </w:r>
      <w:r w:rsidRPr="00AC4AEA">
        <w:rPr>
          <w:rFonts w:ascii="Arial" w:hAnsi="Arial" w:cs="Arial"/>
          <w:sz w:val="20"/>
        </w:rPr>
        <w:t xml:space="preserve"> resultado</w:t>
      </w:r>
      <w:r w:rsidR="00993D59" w:rsidRPr="00AC4AEA">
        <w:rPr>
          <w:rFonts w:ascii="Arial" w:hAnsi="Arial" w:cs="Arial"/>
          <w:sz w:val="20"/>
        </w:rPr>
        <w:t>s</w:t>
      </w:r>
      <w:r w:rsidRPr="00AC4AEA">
        <w:rPr>
          <w:rFonts w:ascii="Arial" w:hAnsi="Arial" w:cs="Arial"/>
          <w:sz w:val="20"/>
        </w:rPr>
        <w:t xml:space="preserve"> financier</w:t>
      </w:r>
      <w:r w:rsidR="00993D59" w:rsidRPr="00AC4AEA">
        <w:rPr>
          <w:rFonts w:ascii="Arial" w:hAnsi="Arial" w:cs="Arial"/>
          <w:sz w:val="20"/>
        </w:rPr>
        <w:t>os y</w:t>
      </w:r>
      <w:r w:rsidRPr="00AC4AEA">
        <w:rPr>
          <w:rFonts w:ascii="Arial" w:hAnsi="Arial" w:cs="Arial"/>
          <w:sz w:val="20"/>
        </w:rPr>
        <w:t xml:space="preserve"> de tenencia del efectivo y sus equivalentes dentro del total de actividades operativas</w:t>
      </w:r>
      <w:r w:rsidR="00993D59" w:rsidRPr="00AC4AEA">
        <w:rPr>
          <w:rFonts w:ascii="Arial" w:hAnsi="Arial" w:cs="Arial"/>
          <w:sz w:val="20"/>
        </w:rPr>
        <w:t>; y</w:t>
      </w:r>
    </w:p>
    <w:p w:rsidR="00993D59" w:rsidRPr="00AC4AEA" w:rsidRDefault="00993D59" w:rsidP="00A318EA">
      <w:pPr>
        <w:pStyle w:val="A-Normal11"/>
        <w:numPr>
          <w:ilvl w:val="1"/>
          <w:numId w:val="29"/>
        </w:numPr>
        <w:ind w:left="1560"/>
        <w:jc w:val="both"/>
        <w:rPr>
          <w:rFonts w:ascii="Arial" w:hAnsi="Arial" w:cs="Arial"/>
          <w:sz w:val="20"/>
        </w:rPr>
      </w:pPr>
      <w:r w:rsidRPr="00AC4AEA">
        <w:rPr>
          <w:rFonts w:ascii="Arial" w:hAnsi="Arial" w:cs="Arial"/>
          <w:sz w:val="20"/>
        </w:rPr>
        <w:t xml:space="preserve">revelará en notas que la utilización de esta simplificación transitoria limita la información disponible: </w:t>
      </w:r>
    </w:p>
    <w:p w:rsidR="00993D59" w:rsidRPr="00AC4AEA" w:rsidRDefault="00993D59" w:rsidP="00A318EA">
      <w:pPr>
        <w:pStyle w:val="A-Normal11"/>
        <w:numPr>
          <w:ilvl w:val="0"/>
          <w:numId w:val="425"/>
        </w:numPr>
        <w:ind w:left="1985"/>
        <w:jc w:val="both"/>
        <w:rPr>
          <w:rFonts w:ascii="Arial" w:hAnsi="Arial" w:cs="Arial"/>
          <w:sz w:val="20"/>
        </w:rPr>
      </w:pPr>
      <w:r w:rsidRPr="00AC4AEA">
        <w:rPr>
          <w:rFonts w:ascii="Arial" w:hAnsi="Arial" w:cs="Arial"/>
          <w:sz w:val="20"/>
        </w:rPr>
        <w:t xml:space="preserve">para el análisis e interpretación de los </w:t>
      </w:r>
      <w:r w:rsidRPr="00AC4AEA">
        <w:rPr>
          <w:rFonts w:ascii="Arial" w:hAnsi="Arial" w:cs="Arial"/>
          <w:b/>
          <w:bCs/>
          <w:sz w:val="20"/>
        </w:rPr>
        <w:t>estados contables</w:t>
      </w:r>
      <w:r w:rsidRPr="00AC4AEA">
        <w:rPr>
          <w:rFonts w:ascii="Arial" w:hAnsi="Arial" w:cs="Arial"/>
          <w:sz w:val="20"/>
        </w:rPr>
        <w:t xml:space="preserve">; y </w:t>
      </w:r>
    </w:p>
    <w:p w:rsidR="00993D59" w:rsidRPr="00AC4AEA" w:rsidRDefault="00993D59" w:rsidP="00A318EA">
      <w:pPr>
        <w:pStyle w:val="A-Normal11"/>
        <w:numPr>
          <w:ilvl w:val="0"/>
          <w:numId w:val="425"/>
        </w:numPr>
        <w:ind w:left="1985"/>
        <w:jc w:val="both"/>
        <w:rPr>
          <w:rFonts w:ascii="Arial" w:hAnsi="Arial" w:cs="Arial"/>
          <w:sz w:val="20"/>
        </w:rPr>
      </w:pPr>
      <w:r w:rsidRPr="00AC4AEA">
        <w:rPr>
          <w:rFonts w:ascii="Arial" w:hAnsi="Arial" w:cs="Arial"/>
          <w:sz w:val="20"/>
        </w:rPr>
        <w:lastRenderedPageBreak/>
        <w:t>sobre la capacidad de la entidad para generar fondos y la forma en que los aplica.</w:t>
      </w:r>
    </w:p>
    <w:p w:rsidR="00235A4B" w:rsidRPr="00AC4AEA" w:rsidRDefault="007D7512" w:rsidP="00A318EA">
      <w:pPr>
        <w:pStyle w:val="A-doctorado"/>
        <w:numPr>
          <w:ilvl w:val="0"/>
          <w:numId w:val="29"/>
        </w:numPr>
        <w:rPr>
          <w:rFonts w:ascii="Arial" w:hAnsi="Arial"/>
          <w:color w:val="auto"/>
          <w:sz w:val="20"/>
          <w:szCs w:val="20"/>
        </w:rPr>
      </w:pPr>
      <w:bookmarkStart w:id="956" w:name="_Toc101864017"/>
      <w:r w:rsidRPr="00AC4AEA">
        <w:rPr>
          <w:rFonts w:ascii="Arial" w:hAnsi="Arial"/>
          <w:color w:val="auto"/>
          <w:sz w:val="20"/>
          <w:szCs w:val="20"/>
        </w:rPr>
        <w:t>[Eliminado].</w:t>
      </w:r>
    </w:p>
    <w:p w:rsidR="007D7512" w:rsidRPr="00AC4AEA" w:rsidRDefault="007D7512" w:rsidP="00A318EA">
      <w:pPr>
        <w:pStyle w:val="A-doctorado"/>
        <w:numPr>
          <w:ilvl w:val="0"/>
          <w:numId w:val="29"/>
        </w:numPr>
        <w:rPr>
          <w:rFonts w:ascii="Arial" w:hAnsi="Arial"/>
          <w:color w:val="auto"/>
          <w:sz w:val="20"/>
          <w:szCs w:val="20"/>
        </w:rPr>
      </w:pPr>
      <w:r w:rsidRPr="00AC4AEA">
        <w:rPr>
          <w:rFonts w:ascii="Arial" w:hAnsi="Arial"/>
          <w:color w:val="auto"/>
          <w:sz w:val="20"/>
          <w:szCs w:val="20"/>
        </w:rPr>
        <w:t>[Eliminado].</w:t>
      </w:r>
    </w:p>
    <w:p w:rsidR="007D7512" w:rsidRPr="00AC4AEA" w:rsidRDefault="007D7512" w:rsidP="00A318EA">
      <w:pPr>
        <w:pStyle w:val="A-doctorado"/>
        <w:numPr>
          <w:ilvl w:val="0"/>
          <w:numId w:val="29"/>
        </w:numPr>
        <w:rPr>
          <w:rFonts w:ascii="Arial" w:hAnsi="Arial"/>
          <w:color w:val="auto"/>
          <w:sz w:val="20"/>
          <w:szCs w:val="20"/>
        </w:rPr>
      </w:pPr>
      <w:r w:rsidRPr="00AC4AEA">
        <w:rPr>
          <w:rFonts w:ascii="Arial" w:hAnsi="Arial"/>
          <w:color w:val="auto"/>
          <w:sz w:val="20"/>
          <w:szCs w:val="20"/>
        </w:rPr>
        <w:t>[Eliminado].</w:t>
      </w:r>
    </w:p>
    <w:p w:rsidR="007D7512" w:rsidRPr="00AC4AEA" w:rsidRDefault="007D7512" w:rsidP="00A318EA">
      <w:pPr>
        <w:pStyle w:val="A-doctorado"/>
        <w:ind w:left="993" w:firstLine="0"/>
        <w:rPr>
          <w:rFonts w:ascii="Arial" w:hAnsi="Arial"/>
          <w:color w:val="auto"/>
          <w:sz w:val="20"/>
          <w:szCs w:val="20"/>
        </w:rPr>
      </w:pPr>
    </w:p>
    <w:p w:rsidR="00BB2858" w:rsidRPr="00AC4AEA" w:rsidRDefault="00BB2858" w:rsidP="00A318EA">
      <w:pPr>
        <w:pStyle w:val="Ttulo2"/>
        <w:rPr>
          <w:rFonts w:cs="Arial"/>
        </w:rPr>
      </w:pPr>
      <w:bookmarkStart w:id="957" w:name="_Toc139356916"/>
      <w:r w:rsidRPr="00AC4AEA">
        <w:rPr>
          <w:rFonts w:cs="Arial"/>
        </w:rPr>
        <w:t>Compensaci</w:t>
      </w:r>
      <w:r w:rsidR="000C017E" w:rsidRPr="00AC4AEA">
        <w:rPr>
          <w:rFonts w:cs="Arial"/>
        </w:rPr>
        <w:t>ón</w:t>
      </w:r>
      <w:r w:rsidRPr="00AC4AEA">
        <w:rPr>
          <w:rFonts w:cs="Arial"/>
        </w:rPr>
        <w:t xml:space="preserve"> de partidas</w:t>
      </w:r>
      <w:bookmarkEnd w:id="956"/>
      <w:bookmarkEnd w:id="957"/>
    </w:p>
    <w:p w:rsidR="00BB2858" w:rsidRPr="00AC4AEA" w:rsidRDefault="00BB2858" w:rsidP="00A318EA">
      <w:pPr>
        <w:pStyle w:val="A-Normal11"/>
        <w:numPr>
          <w:ilvl w:val="0"/>
          <w:numId w:val="29"/>
        </w:numPr>
        <w:jc w:val="both"/>
        <w:rPr>
          <w:rFonts w:ascii="Arial" w:hAnsi="Arial" w:cs="Arial"/>
          <w:sz w:val="20"/>
        </w:rPr>
      </w:pPr>
      <w:r w:rsidRPr="00AC4AEA">
        <w:rPr>
          <w:rFonts w:ascii="Arial" w:hAnsi="Arial" w:cs="Arial"/>
          <w:sz w:val="20"/>
        </w:rPr>
        <w:t>Una entidad podrá exponer por su importe neto</w:t>
      </w:r>
      <w:r w:rsidR="000C017E" w:rsidRPr="00AC4AEA">
        <w:rPr>
          <w:rFonts w:ascii="Arial" w:hAnsi="Arial" w:cs="Arial"/>
          <w:sz w:val="20"/>
        </w:rPr>
        <w:t xml:space="preserve">, los </w:t>
      </w:r>
      <w:r w:rsidR="0064578B" w:rsidRPr="00AC4AEA">
        <w:rPr>
          <w:rFonts w:ascii="Arial" w:hAnsi="Arial" w:cs="Arial"/>
          <w:sz w:val="20"/>
        </w:rPr>
        <w:t xml:space="preserve">cobros </w:t>
      </w:r>
      <w:r w:rsidR="000C017E" w:rsidRPr="00AC4AEA">
        <w:rPr>
          <w:rFonts w:ascii="Arial" w:hAnsi="Arial" w:cs="Arial"/>
          <w:sz w:val="20"/>
        </w:rPr>
        <w:t xml:space="preserve">y pagos en </w:t>
      </w:r>
      <w:r w:rsidR="00EC1893" w:rsidRPr="00AC4AEA">
        <w:rPr>
          <w:rFonts w:ascii="Arial" w:hAnsi="Arial" w:cs="Arial"/>
          <w:sz w:val="20"/>
        </w:rPr>
        <w:t>efectivo</w:t>
      </w:r>
      <w:r w:rsidR="000C017E" w:rsidRPr="00AC4AEA">
        <w:rPr>
          <w:rFonts w:ascii="Arial" w:hAnsi="Arial" w:cs="Arial"/>
          <w:sz w:val="20"/>
        </w:rPr>
        <w:t xml:space="preserve"> y sus equivalentes:</w:t>
      </w:r>
    </w:p>
    <w:p w:rsidR="00BB2858" w:rsidRPr="00AC4AEA" w:rsidRDefault="00986526" w:rsidP="00A318EA">
      <w:pPr>
        <w:pStyle w:val="Prrafodelista"/>
        <w:numPr>
          <w:ilvl w:val="0"/>
          <w:numId w:val="213"/>
        </w:numPr>
        <w:ind w:left="1560"/>
        <w:contextualSpacing w:val="0"/>
        <w:jc w:val="both"/>
        <w:rPr>
          <w:rFonts w:ascii="Arial" w:hAnsi="Arial" w:cs="Arial"/>
          <w:sz w:val="20"/>
          <w:szCs w:val="20"/>
        </w:rPr>
      </w:pPr>
      <w:r w:rsidRPr="00AC4AEA">
        <w:rPr>
          <w:rFonts w:ascii="Arial" w:hAnsi="Arial" w:cs="Arial"/>
          <w:sz w:val="20"/>
          <w:szCs w:val="20"/>
        </w:rPr>
        <w:t>e</w:t>
      </w:r>
      <w:r w:rsidR="000C017E" w:rsidRPr="00AC4AEA">
        <w:rPr>
          <w:rFonts w:ascii="Arial" w:hAnsi="Arial" w:cs="Arial"/>
          <w:sz w:val="20"/>
          <w:szCs w:val="20"/>
        </w:rPr>
        <w:t>fectuados</w:t>
      </w:r>
      <w:r w:rsidR="00BB2858" w:rsidRPr="00AC4AEA">
        <w:rPr>
          <w:rFonts w:ascii="Arial" w:hAnsi="Arial" w:cs="Arial"/>
          <w:sz w:val="20"/>
          <w:szCs w:val="20"/>
        </w:rPr>
        <w:t xml:space="preserve"> por cuenta de terceros</w:t>
      </w:r>
      <w:r w:rsidR="00B32FF3" w:rsidRPr="00AC4AEA">
        <w:rPr>
          <w:rFonts w:ascii="Arial" w:hAnsi="Arial" w:cs="Arial"/>
          <w:sz w:val="20"/>
          <w:szCs w:val="20"/>
        </w:rPr>
        <w:t>;</w:t>
      </w:r>
      <w:r w:rsidR="00192A8B" w:rsidRPr="00AC4AEA">
        <w:rPr>
          <w:rFonts w:ascii="Arial" w:hAnsi="Arial" w:cs="Arial"/>
          <w:sz w:val="20"/>
          <w:szCs w:val="20"/>
        </w:rPr>
        <w:t xml:space="preserve"> o</w:t>
      </w:r>
    </w:p>
    <w:p w:rsidR="00BB2858" w:rsidRPr="00AC4AEA" w:rsidRDefault="00986526" w:rsidP="00A318EA">
      <w:pPr>
        <w:pStyle w:val="Prrafodelista"/>
        <w:numPr>
          <w:ilvl w:val="0"/>
          <w:numId w:val="213"/>
        </w:numPr>
        <w:ind w:left="1560"/>
        <w:contextualSpacing w:val="0"/>
        <w:jc w:val="both"/>
        <w:rPr>
          <w:rFonts w:ascii="Arial" w:hAnsi="Arial" w:cs="Arial"/>
          <w:sz w:val="20"/>
          <w:szCs w:val="20"/>
        </w:rPr>
      </w:pPr>
      <w:r w:rsidRPr="00AC4AEA">
        <w:rPr>
          <w:rFonts w:ascii="Arial" w:hAnsi="Arial" w:cs="Arial"/>
          <w:sz w:val="20"/>
          <w:szCs w:val="20"/>
        </w:rPr>
        <w:t>p</w:t>
      </w:r>
      <w:r w:rsidR="00BB2858" w:rsidRPr="00AC4AEA">
        <w:rPr>
          <w:rFonts w:ascii="Arial" w:hAnsi="Arial" w:cs="Arial"/>
          <w:sz w:val="20"/>
          <w:szCs w:val="20"/>
        </w:rPr>
        <w:t xml:space="preserve">rocedentes de partidas </w:t>
      </w:r>
      <w:r w:rsidR="00192A8B" w:rsidRPr="00AC4AEA">
        <w:rPr>
          <w:rFonts w:ascii="Arial" w:hAnsi="Arial" w:cs="Arial"/>
          <w:sz w:val="20"/>
          <w:szCs w:val="20"/>
        </w:rPr>
        <w:t>de</w:t>
      </w:r>
      <w:r w:rsidR="00BB2858" w:rsidRPr="00AC4AEA">
        <w:rPr>
          <w:rFonts w:ascii="Arial" w:hAnsi="Arial" w:cs="Arial"/>
          <w:sz w:val="20"/>
          <w:szCs w:val="20"/>
        </w:rPr>
        <w:t xml:space="preserve"> rotación rápida, montos </w:t>
      </w:r>
      <w:r w:rsidR="00192A8B" w:rsidRPr="00AC4AEA">
        <w:rPr>
          <w:rFonts w:ascii="Arial" w:hAnsi="Arial" w:cs="Arial"/>
          <w:sz w:val="20"/>
          <w:szCs w:val="20"/>
        </w:rPr>
        <w:t>significativos</w:t>
      </w:r>
      <w:r w:rsidR="00BB2858" w:rsidRPr="00AC4AEA">
        <w:rPr>
          <w:rFonts w:ascii="Arial" w:hAnsi="Arial" w:cs="Arial"/>
          <w:sz w:val="20"/>
          <w:szCs w:val="20"/>
        </w:rPr>
        <w:t xml:space="preserve"> y vencimientos </w:t>
      </w:r>
      <w:r w:rsidR="00192A8B" w:rsidRPr="00AC4AEA">
        <w:rPr>
          <w:rFonts w:ascii="Arial" w:hAnsi="Arial" w:cs="Arial"/>
          <w:sz w:val="20"/>
          <w:szCs w:val="20"/>
        </w:rPr>
        <w:t>en lapsos breves</w:t>
      </w:r>
      <w:r w:rsidR="00BB2858" w:rsidRPr="00AC4AEA">
        <w:rPr>
          <w:rFonts w:ascii="Arial" w:hAnsi="Arial" w:cs="Arial"/>
          <w:sz w:val="20"/>
          <w:szCs w:val="20"/>
        </w:rPr>
        <w:t>.</w:t>
      </w:r>
    </w:p>
    <w:p w:rsidR="00BB2858" w:rsidRPr="00AC4AEA" w:rsidRDefault="00BB2858" w:rsidP="00A318EA">
      <w:pPr>
        <w:autoSpaceDE w:val="0"/>
        <w:autoSpaceDN w:val="0"/>
        <w:adjustRightInd w:val="0"/>
        <w:jc w:val="both"/>
        <w:rPr>
          <w:rFonts w:ascii="Arial" w:hAnsi="Arial" w:cs="Arial"/>
          <w:sz w:val="20"/>
          <w:szCs w:val="20"/>
        </w:rPr>
      </w:pPr>
    </w:p>
    <w:p w:rsidR="000C017E" w:rsidRPr="00AC4AEA" w:rsidRDefault="00F459BF" w:rsidP="00A318EA">
      <w:pPr>
        <w:pStyle w:val="Ttulo2"/>
        <w:rPr>
          <w:rFonts w:cs="Arial"/>
        </w:rPr>
      </w:pPr>
      <w:bookmarkStart w:id="958" w:name="_Toc101864018"/>
      <w:bookmarkStart w:id="959" w:name="_Toc139356917"/>
      <w:r w:rsidRPr="00AC4AEA">
        <w:rPr>
          <w:rFonts w:cs="Arial"/>
        </w:rPr>
        <w:t>Revelación en notas</w:t>
      </w:r>
      <w:bookmarkEnd w:id="958"/>
      <w:bookmarkEnd w:id="959"/>
    </w:p>
    <w:p w:rsidR="00716734" w:rsidRPr="00AC4AEA" w:rsidRDefault="000C017E" w:rsidP="00A318EA">
      <w:pPr>
        <w:pStyle w:val="Prrafodelista"/>
        <w:numPr>
          <w:ilvl w:val="0"/>
          <w:numId w:val="29"/>
        </w:numPr>
        <w:contextualSpacing w:val="0"/>
        <w:jc w:val="both"/>
        <w:rPr>
          <w:rFonts w:ascii="Arial" w:hAnsi="Arial" w:cs="Arial"/>
          <w:sz w:val="20"/>
          <w:szCs w:val="20"/>
        </w:rPr>
      </w:pPr>
      <w:bookmarkStart w:id="960" w:name="_Ref99491654"/>
      <w:r w:rsidRPr="00AC4AEA">
        <w:rPr>
          <w:rFonts w:ascii="Arial" w:hAnsi="Arial" w:cs="Arial"/>
          <w:sz w:val="20"/>
          <w:szCs w:val="20"/>
        </w:rPr>
        <w:t xml:space="preserve">Una entidad </w:t>
      </w:r>
      <w:r w:rsidR="00716734" w:rsidRPr="00AC4AEA">
        <w:rPr>
          <w:rFonts w:ascii="Arial" w:hAnsi="Arial" w:cs="Arial"/>
          <w:sz w:val="20"/>
          <w:szCs w:val="20"/>
        </w:rPr>
        <w:t>expondrá en notas:</w:t>
      </w:r>
      <w:bookmarkEnd w:id="960"/>
      <w:r w:rsidRPr="00AC4AEA">
        <w:rPr>
          <w:rFonts w:ascii="Arial" w:hAnsi="Arial" w:cs="Arial"/>
          <w:sz w:val="20"/>
          <w:szCs w:val="20"/>
        </w:rPr>
        <w:t xml:space="preserve"> </w:t>
      </w:r>
    </w:p>
    <w:p w:rsidR="000C017E" w:rsidRPr="00AC4AEA" w:rsidRDefault="00986526" w:rsidP="00A318EA">
      <w:pPr>
        <w:pStyle w:val="Prrafodelista"/>
        <w:numPr>
          <w:ilvl w:val="0"/>
          <w:numId w:val="216"/>
        </w:numPr>
        <w:ind w:left="1560"/>
        <w:contextualSpacing w:val="0"/>
        <w:jc w:val="both"/>
        <w:rPr>
          <w:rFonts w:ascii="Arial" w:hAnsi="Arial" w:cs="Arial"/>
          <w:sz w:val="20"/>
          <w:szCs w:val="20"/>
        </w:rPr>
      </w:pPr>
      <w:r w:rsidRPr="00AC4AEA">
        <w:rPr>
          <w:rFonts w:ascii="Arial" w:hAnsi="Arial" w:cs="Arial"/>
          <w:sz w:val="20"/>
          <w:szCs w:val="20"/>
        </w:rPr>
        <w:t>l</w:t>
      </w:r>
      <w:r w:rsidR="000C017E" w:rsidRPr="00AC4AEA">
        <w:rPr>
          <w:rFonts w:ascii="Arial" w:hAnsi="Arial" w:cs="Arial"/>
          <w:sz w:val="20"/>
          <w:szCs w:val="20"/>
        </w:rPr>
        <w:t>a conciliación entre el efectivo y sus equivalentes considerados en el estado de flujo de efectivo y las partidas correspondientes informadas en el estado de situación patrimonial</w:t>
      </w:r>
      <w:r w:rsidR="0064578B" w:rsidRPr="00AC4AEA">
        <w:rPr>
          <w:rFonts w:ascii="Arial" w:hAnsi="Arial" w:cs="Arial"/>
          <w:sz w:val="20"/>
          <w:szCs w:val="20"/>
        </w:rPr>
        <w:t>;</w:t>
      </w:r>
      <w:r w:rsidR="00716734" w:rsidRPr="00AC4AEA">
        <w:rPr>
          <w:rFonts w:ascii="Arial" w:hAnsi="Arial" w:cs="Arial"/>
          <w:sz w:val="20"/>
          <w:szCs w:val="20"/>
        </w:rPr>
        <w:t xml:space="preserve"> y</w:t>
      </w:r>
    </w:p>
    <w:p w:rsidR="00716734" w:rsidRPr="00AC4AEA" w:rsidRDefault="00986526" w:rsidP="00A318EA">
      <w:pPr>
        <w:pStyle w:val="Prrafodelista"/>
        <w:numPr>
          <w:ilvl w:val="0"/>
          <w:numId w:val="216"/>
        </w:numPr>
        <w:ind w:left="1560"/>
        <w:contextualSpacing w:val="0"/>
        <w:jc w:val="both"/>
        <w:rPr>
          <w:rFonts w:ascii="Arial" w:hAnsi="Arial" w:cs="Arial"/>
          <w:sz w:val="20"/>
          <w:szCs w:val="20"/>
        </w:rPr>
      </w:pPr>
      <w:r w:rsidRPr="00AC4AEA">
        <w:rPr>
          <w:rFonts w:ascii="Arial" w:hAnsi="Arial" w:cs="Arial"/>
          <w:sz w:val="20"/>
          <w:szCs w:val="20"/>
        </w:rPr>
        <w:t>l</w:t>
      </w:r>
      <w:r w:rsidR="00716734" w:rsidRPr="00AC4AEA">
        <w:rPr>
          <w:rFonts w:ascii="Arial" w:hAnsi="Arial" w:cs="Arial"/>
          <w:sz w:val="20"/>
          <w:szCs w:val="20"/>
        </w:rPr>
        <w:t xml:space="preserve">as transacciones de inversión y financiación </w:t>
      </w:r>
      <w:r w:rsidR="00C345C2" w:rsidRPr="00AC4AEA">
        <w:rPr>
          <w:rFonts w:ascii="Arial" w:hAnsi="Arial" w:cs="Arial"/>
          <w:sz w:val="20"/>
          <w:szCs w:val="20"/>
        </w:rPr>
        <w:t xml:space="preserve">significativas </w:t>
      </w:r>
      <w:r w:rsidR="00716734" w:rsidRPr="00AC4AEA">
        <w:rPr>
          <w:rFonts w:ascii="Arial" w:hAnsi="Arial" w:cs="Arial"/>
          <w:sz w:val="20"/>
          <w:szCs w:val="20"/>
        </w:rPr>
        <w:t xml:space="preserve">que no </w:t>
      </w:r>
      <w:r w:rsidR="00804736" w:rsidRPr="00AC4AEA">
        <w:rPr>
          <w:rFonts w:ascii="Arial" w:hAnsi="Arial" w:cs="Arial"/>
          <w:sz w:val="20"/>
          <w:szCs w:val="20"/>
        </w:rPr>
        <w:t xml:space="preserve">generan flujos de efectivo en el período </w:t>
      </w:r>
      <w:r w:rsidR="003B380A" w:rsidRPr="00AC4AEA">
        <w:rPr>
          <w:rFonts w:ascii="Arial" w:hAnsi="Arial" w:cs="Arial"/>
          <w:sz w:val="20"/>
          <w:szCs w:val="20"/>
        </w:rPr>
        <w:t>actual</w:t>
      </w:r>
      <w:r w:rsidR="00804736" w:rsidRPr="00AC4AEA">
        <w:rPr>
          <w:rFonts w:ascii="Arial" w:hAnsi="Arial" w:cs="Arial"/>
          <w:sz w:val="20"/>
          <w:szCs w:val="20"/>
        </w:rPr>
        <w:t>; entre ellas:</w:t>
      </w:r>
    </w:p>
    <w:p w:rsidR="00804736" w:rsidRPr="00AC4AEA" w:rsidRDefault="0064578B" w:rsidP="00A318EA">
      <w:pPr>
        <w:pStyle w:val="Prrafodelista"/>
        <w:numPr>
          <w:ilvl w:val="0"/>
          <w:numId w:val="217"/>
        </w:numPr>
        <w:ind w:left="1985"/>
        <w:contextualSpacing w:val="0"/>
        <w:jc w:val="both"/>
        <w:rPr>
          <w:rFonts w:ascii="Arial" w:hAnsi="Arial" w:cs="Arial"/>
          <w:sz w:val="20"/>
          <w:szCs w:val="20"/>
        </w:rPr>
      </w:pPr>
      <w:r w:rsidRPr="00AC4AEA">
        <w:rPr>
          <w:rFonts w:ascii="Arial" w:hAnsi="Arial" w:cs="Arial"/>
          <w:sz w:val="20"/>
          <w:szCs w:val="20"/>
        </w:rPr>
        <w:t>C</w:t>
      </w:r>
      <w:r w:rsidR="00804736" w:rsidRPr="00AC4AEA">
        <w:rPr>
          <w:rFonts w:ascii="Arial" w:hAnsi="Arial" w:cs="Arial"/>
          <w:sz w:val="20"/>
          <w:szCs w:val="20"/>
        </w:rPr>
        <w:t xml:space="preserve">ompra de bienes de uso asumiendo </w:t>
      </w:r>
      <w:r w:rsidR="00497590" w:rsidRPr="00AC4AEA">
        <w:rPr>
          <w:rFonts w:ascii="Arial" w:hAnsi="Arial" w:cs="Arial"/>
          <w:sz w:val="20"/>
          <w:szCs w:val="20"/>
        </w:rPr>
        <w:t>pasivos</w:t>
      </w:r>
      <w:r w:rsidR="00804736" w:rsidRPr="00AC4AEA">
        <w:rPr>
          <w:rFonts w:ascii="Arial" w:hAnsi="Arial" w:cs="Arial"/>
          <w:sz w:val="20"/>
          <w:szCs w:val="20"/>
        </w:rPr>
        <w:t xml:space="preserve"> o celebrando contratos de arrendamiento financiero</w:t>
      </w:r>
      <w:r w:rsidRPr="00AC4AEA">
        <w:rPr>
          <w:rFonts w:ascii="Arial" w:hAnsi="Arial" w:cs="Arial"/>
          <w:sz w:val="20"/>
          <w:szCs w:val="20"/>
        </w:rPr>
        <w:t>.</w:t>
      </w:r>
    </w:p>
    <w:p w:rsidR="00804736" w:rsidRPr="00AC4AEA" w:rsidRDefault="0064578B" w:rsidP="00A318EA">
      <w:pPr>
        <w:pStyle w:val="Prrafodelista"/>
        <w:numPr>
          <w:ilvl w:val="0"/>
          <w:numId w:val="217"/>
        </w:numPr>
        <w:ind w:left="1985"/>
        <w:contextualSpacing w:val="0"/>
        <w:jc w:val="both"/>
        <w:rPr>
          <w:rFonts w:ascii="Arial" w:hAnsi="Arial" w:cs="Arial"/>
          <w:sz w:val="20"/>
          <w:szCs w:val="20"/>
        </w:rPr>
      </w:pPr>
      <w:r w:rsidRPr="00AC4AEA">
        <w:rPr>
          <w:rFonts w:ascii="Arial" w:hAnsi="Arial" w:cs="Arial"/>
          <w:sz w:val="20"/>
          <w:szCs w:val="20"/>
        </w:rPr>
        <w:t>C</w:t>
      </w:r>
      <w:r w:rsidR="00804736" w:rsidRPr="00AC4AEA">
        <w:rPr>
          <w:rFonts w:ascii="Arial" w:hAnsi="Arial" w:cs="Arial"/>
          <w:sz w:val="20"/>
          <w:szCs w:val="20"/>
        </w:rPr>
        <w:t xml:space="preserve">onversión de deuda en </w:t>
      </w:r>
      <w:r w:rsidR="00804736" w:rsidRPr="00AC4AEA">
        <w:rPr>
          <w:rFonts w:ascii="Arial" w:hAnsi="Arial" w:cs="Arial"/>
          <w:b/>
          <w:bCs/>
          <w:sz w:val="20"/>
          <w:szCs w:val="20"/>
        </w:rPr>
        <w:t>patrimonio neto</w:t>
      </w:r>
      <w:r w:rsidR="00804736" w:rsidRPr="00AC4AEA">
        <w:rPr>
          <w:rFonts w:ascii="Arial" w:hAnsi="Arial" w:cs="Arial"/>
          <w:sz w:val="20"/>
          <w:szCs w:val="20"/>
        </w:rPr>
        <w:t>.</w:t>
      </w:r>
    </w:p>
    <w:p w:rsidR="00235A4B" w:rsidRPr="00AC4AEA" w:rsidRDefault="00235A4B" w:rsidP="00A318EA">
      <w:pPr>
        <w:pStyle w:val="Prrafodelista"/>
        <w:numPr>
          <w:ilvl w:val="0"/>
          <w:numId w:val="217"/>
        </w:numPr>
        <w:ind w:left="1985"/>
        <w:contextualSpacing w:val="0"/>
        <w:jc w:val="both"/>
        <w:rPr>
          <w:rFonts w:ascii="Arial" w:hAnsi="Arial" w:cs="Arial"/>
          <w:sz w:val="20"/>
          <w:szCs w:val="20"/>
        </w:rPr>
      </w:pPr>
      <w:r w:rsidRPr="00AC4AEA">
        <w:rPr>
          <w:rFonts w:ascii="Arial" w:hAnsi="Arial" w:cs="Arial"/>
          <w:sz w:val="20"/>
          <w:szCs w:val="20"/>
        </w:rPr>
        <w:t>Aportes en especie.</w:t>
      </w:r>
    </w:p>
    <w:p w:rsidR="00AE7883" w:rsidRPr="00AC4AEA" w:rsidRDefault="00AE7883" w:rsidP="00A318EA">
      <w:pPr>
        <w:pStyle w:val="Ttulo1"/>
        <w:rPr>
          <w:rFonts w:cs="Arial"/>
          <w:sz w:val="20"/>
          <w:szCs w:val="20"/>
        </w:rPr>
      </w:pPr>
      <w:bookmarkStart w:id="961" w:name="notas"/>
      <w:bookmarkStart w:id="962" w:name="_Toc101864019"/>
      <w:bookmarkEnd w:id="961"/>
    </w:p>
    <w:p w:rsidR="0090400F" w:rsidRPr="00AC4AEA" w:rsidRDefault="00BF07CD" w:rsidP="00A318EA">
      <w:pPr>
        <w:pStyle w:val="Ttulo1"/>
        <w:rPr>
          <w:rFonts w:cs="Arial"/>
          <w:sz w:val="20"/>
          <w:szCs w:val="20"/>
        </w:rPr>
      </w:pPr>
      <w:bookmarkStart w:id="963" w:name="_Toc139356918"/>
      <w:r w:rsidRPr="00AC4AEA">
        <w:rPr>
          <w:rFonts w:cs="Arial"/>
          <w:sz w:val="20"/>
          <w:szCs w:val="20"/>
        </w:rPr>
        <w:t>CUESTIONES REFERIDAS A LA REVELACIÓN MEDIANTE NOTAS</w:t>
      </w:r>
      <w:bookmarkEnd w:id="962"/>
      <w:bookmarkEnd w:id="963"/>
    </w:p>
    <w:p w:rsidR="00F459BF" w:rsidRPr="00AC4AEA" w:rsidRDefault="00F459BF" w:rsidP="00A318EA">
      <w:pPr>
        <w:pStyle w:val="Ttulo2"/>
        <w:rPr>
          <w:rFonts w:cs="Arial"/>
        </w:rPr>
      </w:pPr>
      <w:bookmarkStart w:id="964" w:name="_Toc101864020"/>
      <w:bookmarkStart w:id="965" w:name="_Toc139356919"/>
      <w:r w:rsidRPr="00AC4AEA">
        <w:rPr>
          <w:rFonts w:cs="Arial"/>
        </w:rPr>
        <w:t>Definiciones</w:t>
      </w:r>
      <w:bookmarkEnd w:id="964"/>
      <w:bookmarkEnd w:id="965"/>
      <w:r w:rsidR="00BF07CD" w:rsidRPr="00AC4AEA">
        <w:rPr>
          <w:rFonts w:cs="Arial"/>
        </w:rPr>
        <w:t xml:space="preserve"> </w:t>
      </w:r>
    </w:p>
    <w:p w:rsidR="00EB44FE" w:rsidRPr="00AC4AEA" w:rsidRDefault="00EB44FE" w:rsidP="00A318EA">
      <w:pPr>
        <w:pStyle w:val="Prrafodelista"/>
        <w:numPr>
          <w:ilvl w:val="0"/>
          <w:numId w:val="29"/>
        </w:numPr>
        <w:contextualSpacing w:val="0"/>
        <w:jc w:val="both"/>
        <w:rPr>
          <w:rFonts w:ascii="Arial" w:hAnsi="Arial" w:cs="Arial"/>
          <w:sz w:val="20"/>
          <w:szCs w:val="20"/>
        </w:rPr>
      </w:pPr>
      <w:bookmarkStart w:id="966" w:name="_Ref99491840"/>
      <w:r w:rsidRPr="00AC4AEA">
        <w:rPr>
          <w:rFonts w:ascii="Arial" w:hAnsi="Arial" w:cs="Arial"/>
          <w:sz w:val="20"/>
          <w:szCs w:val="20"/>
        </w:rPr>
        <w:t>A los fines referidos en esta sección, una entidad deberá considerar las siguientes definiciones:</w:t>
      </w:r>
      <w:bookmarkEnd w:id="966"/>
    </w:p>
    <w:p w:rsidR="0006758F" w:rsidRPr="00E92AF7" w:rsidRDefault="0006758F" w:rsidP="0006758F">
      <w:pPr>
        <w:ind w:left="1416"/>
        <w:jc w:val="both"/>
        <w:rPr>
          <w:rFonts w:ascii="Arial" w:hAnsi="Arial" w:cs="Arial"/>
          <w:sz w:val="20"/>
          <w:szCs w:val="20"/>
          <w:u w:val="single"/>
        </w:rPr>
      </w:pPr>
      <w:r w:rsidRPr="00E92AF7">
        <w:rPr>
          <w:rFonts w:ascii="Arial" w:hAnsi="Arial" w:cs="Arial"/>
          <w:sz w:val="20"/>
          <w:szCs w:val="20"/>
          <w:u w:val="single"/>
        </w:rPr>
        <w:t>Control</w:t>
      </w:r>
      <w:r w:rsidR="00F50437" w:rsidRPr="00E92AF7">
        <w:rPr>
          <w:rFonts w:ascii="Arial" w:hAnsi="Arial" w:cs="Arial"/>
          <w:sz w:val="20"/>
          <w:szCs w:val="20"/>
          <w:u w:val="single"/>
        </w:rPr>
        <w:t>:</w:t>
      </w:r>
      <w:r w:rsidRPr="00E92AF7">
        <w:rPr>
          <w:rFonts w:ascii="Arial" w:hAnsi="Arial" w:cs="Arial"/>
          <w:sz w:val="20"/>
          <w:szCs w:val="20"/>
        </w:rPr>
        <w:t> </w:t>
      </w:r>
      <w:r w:rsidR="00F50437" w:rsidRPr="00E92AF7">
        <w:rPr>
          <w:rFonts w:ascii="Arial" w:hAnsi="Arial" w:cs="Arial"/>
          <w:sz w:val="20"/>
          <w:szCs w:val="20"/>
        </w:rPr>
        <w:t>T</w:t>
      </w:r>
      <w:r w:rsidRPr="00E92AF7">
        <w:rPr>
          <w:rFonts w:ascii="Arial" w:hAnsi="Arial" w:cs="Arial"/>
          <w:sz w:val="20"/>
          <w:szCs w:val="20"/>
        </w:rPr>
        <w:t>al como se define en el apartado “</w:t>
      </w:r>
      <w:r w:rsidRPr="00E92AF7">
        <w:rPr>
          <w:rFonts w:ascii="Arial" w:hAnsi="Arial" w:cs="Arial"/>
          <w:sz w:val="20"/>
          <w:szCs w:val="20"/>
          <w:u w:val="single"/>
        </w:rPr>
        <w:t>Definiciones</w:t>
      </w:r>
      <w:r w:rsidRPr="00E92AF7">
        <w:rPr>
          <w:rFonts w:ascii="Arial" w:hAnsi="Arial" w:cs="Arial"/>
          <w:sz w:val="20"/>
          <w:szCs w:val="20"/>
        </w:rPr>
        <w:t>” del Capítulo 8 de esta Resolución Técnica.</w:t>
      </w:r>
    </w:p>
    <w:p w:rsidR="0006758F" w:rsidRPr="00AC4AEA" w:rsidRDefault="0006758F" w:rsidP="0006758F">
      <w:pPr>
        <w:ind w:left="1416"/>
        <w:jc w:val="both"/>
        <w:rPr>
          <w:rFonts w:ascii="Arial" w:hAnsi="Arial" w:cs="Arial"/>
          <w:sz w:val="20"/>
          <w:szCs w:val="20"/>
        </w:rPr>
      </w:pPr>
      <w:r w:rsidRPr="00E92AF7">
        <w:rPr>
          <w:rFonts w:ascii="Arial" w:hAnsi="Arial" w:cs="Arial"/>
          <w:sz w:val="20"/>
          <w:szCs w:val="20"/>
          <w:u w:val="single"/>
        </w:rPr>
        <w:t>Control conjunto</w:t>
      </w:r>
      <w:r w:rsidR="00F50437" w:rsidRPr="00E92AF7">
        <w:rPr>
          <w:rFonts w:ascii="Arial" w:hAnsi="Arial" w:cs="Arial"/>
          <w:sz w:val="20"/>
          <w:szCs w:val="20"/>
          <w:u w:val="single"/>
        </w:rPr>
        <w:t>:</w:t>
      </w:r>
      <w:r w:rsidRPr="00E92AF7">
        <w:rPr>
          <w:rFonts w:ascii="Arial" w:hAnsi="Arial" w:cs="Arial"/>
          <w:sz w:val="20"/>
          <w:szCs w:val="20"/>
        </w:rPr>
        <w:t xml:space="preserve"> </w:t>
      </w:r>
      <w:r w:rsidR="00F50437" w:rsidRPr="00E92AF7">
        <w:rPr>
          <w:rFonts w:ascii="Arial" w:hAnsi="Arial" w:cs="Arial"/>
          <w:sz w:val="20"/>
          <w:szCs w:val="20"/>
        </w:rPr>
        <w:t>T</w:t>
      </w:r>
      <w:r w:rsidRPr="00E92AF7">
        <w:rPr>
          <w:rFonts w:ascii="Arial" w:hAnsi="Arial" w:cs="Arial"/>
          <w:sz w:val="20"/>
          <w:szCs w:val="20"/>
        </w:rPr>
        <w:t>al como se define en el apartado “</w:t>
      </w:r>
      <w:r w:rsidRPr="00E92AF7">
        <w:rPr>
          <w:rFonts w:ascii="Arial" w:hAnsi="Arial" w:cs="Arial"/>
          <w:sz w:val="20"/>
          <w:szCs w:val="20"/>
          <w:u w:val="single"/>
        </w:rPr>
        <w:t>Definiciones</w:t>
      </w:r>
      <w:r w:rsidRPr="00E92AF7">
        <w:rPr>
          <w:rFonts w:ascii="Arial" w:hAnsi="Arial" w:cs="Arial"/>
          <w:sz w:val="20"/>
          <w:szCs w:val="20"/>
        </w:rPr>
        <w:t>” del Capítulo 8 de esta Resolución Técnica.</w:t>
      </w:r>
    </w:p>
    <w:p w:rsidR="0006758F" w:rsidRPr="00AC4AEA" w:rsidRDefault="0006758F" w:rsidP="0006758F">
      <w:pPr>
        <w:ind w:left="1416"/>
        <w:jc w:val="both"/>
        <w:rPr>
          <w:rFonts w:ascii="Arial" w:hAnsi="Arial" w:cs="Arial"/>
          <w:sz w:val="20"/>
          <w:szCs w:val="20"/>
        </w:rPr>
      </w:pPr>
      <w:r w:rsidRPr="00AC4AEA">
        <w:rPr>
          <w:rFonts w:ascii="Arial" w:hAnsi="Arial" w:cs="Arial"/>
          <w:sz w:val="20"/>
          <w:szCs w:val="20"/>
          <w:u w:val="single"/>
        </w:rPr>
        <w:lastRenderedPageBreak/>
        <w:t>Familiares cercanos de una persona humana</w:t>
      </w:r>
      <w:r w:rsidRPr="00AC4AEA">
        <w:rPr>
          <w:rFonts w:ascii="Arial" w:hAnsi="Arial" w:cs="Arial"/>
          <w:sz w:val="20"/>
          <w:szCs w:val="20"/>
        </w:rPr>
        <w:t>: Son aquellos familiares cuyo vínculo permite prever que influyen sobre la persona en cuestión o serán influidos por ella, en sus relaciones con la entidad. Tales familiares incluyen a:</w:t>
      </w:r>
    </w:p>
    <w:p w:rsidR="0006758F" w:rsidRPr="00AC4AEA" w:rsidRDefault="0006758F" w:rsidP="0006758F">
      <w:pPr>
        <w:pStyle w:val="Prrafodelista"/>
        <w:numPr>
          <w:ilvl w:val="0"/>
          <w:numId w:val="218"/>
        </w:numPr>
        <w:ind w:left="1985"/>
        <w:contextualSpacing w:val="0"/>
        <w:jc w:val="both"/>
        <w:rPr>
          <w:rFonts w:ascii="Arial" w:hAnsi="Arial" w:cs="Arial"/>
          <w:sz w:val="20"/>
          <w:szCs w:val="20"/>
        </w:rPr>
      </w:pPr>
      <w:r w:rsidRPr="00AC4AEA">
        <w:rPr>
          <w:rFonts w:ascii="Arial" w:hAnsi="Arial" w:cs="Arial"/>
          <w:sz w:val="20"/>
          <w:szCs w:val="20"/>
        </w:rPr>
        <w:t xml:space="preserve">Su cónyuge, conviviente e hijos. </w:t>
      </w:r>
    </w:p>
    <w:p w:rsidR="0006758F" w:rsidRPr="00AC4AEA" w:rsidRDefault="0006758F" w:rsidP="0006758F">
      <w:pPr>
        <w:pStyle w:val="Prrafodelista"/>
        <w:numPr>
          <w:ilvl w:val="0"/>
          <w:numId w:val="218"/>
        </w:numPr>
        <w:ind w:left="1985"/>
        <w:contextualSpacing w:val="0"/>
        <w:jc w:val="both"/>
        <w:rPr>
          <w:rFonts w:ascii="Arial" w:hAnsi="Arial" w:cs="Arial"/>
          <w:sz w:val="20"/>
          <w:szCs w:val="20"/>
        </w:rPr>
      </w:pPr>
      <w:r w:rsidRPr="00AC4AEA">
        <w:rPr>
          <w:rFonts w:ascii="Arial" w:hAnsi="Arial" w:cs="Arial"/>
          <w:sz w:val="20"/>
          <w:szCs w:val="20"/>
        </w:rPr>
        <w:t xml:space="preserve">Los hijos del cónyuge o del conviviente de la persona en cuestión. </w:t>
      </w:r>
    </w:p>
    <w:p w:rsidR="0006758F" w:rsidRPr="00AC4AEA" w:rsidRDefault="0006758F" w:rsidP="0006758F">
      <w:pPr>
        <w:pStyle w:val="Prrafodelista"/>
        <w:numPr>
          <w:ilvl w:val="0"/>
          <w:numId w:val="218"/>
        </w:numPr>
        <w:ind w:left="1985"/>
        <w:contextualSpacing w:val="0"/>
        <w:jc w:val="both"/>
        <w:rPr>
          <w:rFonts w:ascii="Arial" w:hAnsi="Arial" w:cs="Arial"/>
          <w:sz w:val="20"/>
          <w:szCs w:val="20"/>
        </w:rPr>
      </w:pPr>
      <w:r w:rsidRPr="00AC4AEA">
        <w:rPr>
          <w:rFonts w:ascii="Arial" w:hAnsi="Arial" w:cs="Arial"/>
          <w:sz w:val="20"/>
          <w:szCs w:val="20"/>
        </w:rPr>
        <w:t xml:space="preserve">Los familiares a cargo de la persona en cuestión o familiares a cargo de su cónyuge o conviviente. </w:t>
      </w:r>
    </w:p>
    <w:p w:rsidR="0006758F" w:rsidRPr="00E92AF7" w:rsidRDefault="0006758F" w:rsidP="0006758F">
      <w:pPr>
        <w:ind w:left="1416"/>
        <w:jc w:val="both"/>
        <w:rPr>
          <w:rFonts w:ascii="Arial" w:hAnsi="Arial" w:cs="Arial"/>
          <w:sz w:val="20"/>
          <w:szCs w:val="20"/>
        </w:rPr>
      </w:pPr>
      <w:r w:rsidRPr="00E92AF7">
        <w:rPr>
          <w:rFonts w:ascii="Arial" w:hAnsi="Arial" w:cs="Arial"/>
          <w:sz w:val="20"/>
          <w:szCs w:val="20"/>
          <w:u w:val="single"/>
        </w:rPr>
        <w:t>Influencia significativa</w:t>
      </w:r>
      <w:r w:rsidR="00F50437" w:rsidRPr="00E92AF7">
        <w:rPr>
          <w:rFonts w:ascii="Arial" w:hAnsi="Arial" w:cs="Arial"/>
          <w:sz w:val="20"/>
          <w:szCs w:val="20"/>
          <w:u w:val="single"/>
        </w:rPr>
        <w:t>:</w:t>
      </w:r>
      <w:r w:rsidRPr="00E92AF7">
        <w:rPr>
          <w:rFonts w:ascii="Arial" w:hAnsi="Arial" w:cs="Arial"/>
          <w:sz w:val="20"/>
          <w:szCs w:val="20"/>
        </w:rPr>
        <w:t xml:space="preserve"> </w:t>
      </w:r>
      <w:r w:rsidR="00F50437" w:rsidRPr="00E92AF7">
        <w:rPr>
          <w:rFonts w:ascii="Arial" w:hAnsi="Arial" w:cs="Arial"/>
          <w:sz w:val="20"/>
          <w:szCs w:val="20"/>
        </w:rPr>
        <w:t>T</w:t>
      </w:r>
      <w:r w:rsidRPr="00E92AF7">
        <w:rPr>
          <w:rFonts w:ascii="Arial" w:hAnsi="Arial" w:cs="Arial"/>
          <w:sz w:val="20"/>
          <w:szCs w:val="20"/>
        </w:rPr>
        <w:t>al como se define en el apartado “</w:t>
      </w:r>
      <w:r w:rsidRPr="00E92AF7">
        <w:rPr>
          <w:rFonts w:ascii="Arial" w:hAnsi="Arial" w:cs="Arial"/>
          <w:sz w:val="20"/>
          <w:szCs w:val="20"/>
          <w:u w:val="single"/>
        </w:rPr>
        <w:t>Definiciones</w:t>
      </w:r>
      <w:r w:rsidRPr="00E92AF7">
        <w:rPr>
          <w:rFonts w:ascii="Arial" w:hAnsi="Arial" w:cs="Arial"/>
          <w:sz w:val="20"/>
          <w:szCs w:val="20"/>
        </w:rPr>
        <w:t>” del Capítulo 8 de esta Resolución Técnica.</w:t>
      </w:r>
    </w:p>
    <w:p w:rsidR="00F459BF" w:rsidRPr="00AC4AEA" w:rsidRDefault="00F459BF" w:rsidP="00A318EA">
      <w:pPr>
        <w:pStyle w:val="A-Normal11"/>
        <w:ind w:left="1416"/>
        <w:jc w:val="both"/>
        <w:rPr>
          <w:rFonts w:ascii="Arial" w:hAnsi="Arial" w:cs="Arial"/>
          <w:sz w:val="20"/>
        </w:rPr>
      </w:pPr>
      <w:r w:rsidRPr="00AC4AEA">
        <w:rPr>
          <w:rFonts w:ascii="Arial" w:hAnsi="Arial" w:cs="Arial"/>
          <w:sz w:val="20"/>
          <w:u w:val="single"/>
        </w:rPr>
        <w:t xml:space="preserve">Notas a los </w:t>
      </w:r>
      <w:r w:rsidR="00135084" w:rsidRPr="00AC4AEA">
        <w:rPr>
          <w:rFonts w:ascii="Arial" w:hAnsi="Arial" w:cs="Arial"/>
          <w:sz w:val="20"/>
          <w:u w:val="single"/>
        </w:rPr>
        <w:t>estados contables</w:t>
      </w:r>
      <w:r w:rsidRPr="00AC4AEA">
        <w:rPr>
          <w:rFonts w:ascii="Arial" w:hAnsi="Arial" w:cs="Arial"/>
          <w:b/>
          <w:bCs/>
          <w:sz w:val="20"/>
        </w:rPr>
        <w:t xml:space="preserve">: </w:t>
      </w:r>
      <w:r w:rsidRPr="00AC4AEA">
        <w:rPr>
          <w:rFonts w:ascii="Arial" w:hAnsi="Arial" w:cs="Arial"/>
          <w:sz w:val="20"/>
        </w:rPr>
        <w:t xml:space="preserve">Es la </w:t>
      </w:r>
      <w:r w:rsidR="00EC1893" w:rsidRPr="00AC4AEA">
        <w:rPr>
          <w:rFonts w:ascii="Arial" w:hAnsi="Arial" w:cs="Arial"/>
          <w:sz w:val="20"/>
        </w:rPr>
        <w:t>información</w:t>
      </w:r>
      <w:r w:rsidRPr="00AC4AEA">
        <w:rPr>
          <w:rFonts w:ascii="Arial" w:hAnsi="Arial" w:cs="Arial"/>
          <w:sz w:val="20"/>
        </w:rPr>
        <w:t xml:space="preserve"> que </w:t>
      </w:r>
      <w:r w:rsidR="00DE1C1F" w:rsidRPr="00AC4AEA">
        <w:rPr>
          <w:rFonts w:ascii="Arial" w:hAnsi="Arial" w:cs="Arial"/>
          <w:sz w:val="20"/>
        </w:rPr>
        <w:t>es parte de</w:t>
      </w:r>
      <w:r w:rsidRPr="00AC4AEA">
        <w:rPr>
          <w:rFonts w:ascii="Arial" w:hAnsi="Arial" w:cs="Arial"/>
          <w:sz w:val="20"/>
        </w:rPr>
        <w:t xml:space="preserve"> un conjunto completo de </w:t>
      </w:r>
      <w:r w:rsidR="00135084" w:rsidRPr="00AC4AEA">
        <w:rPr>
          <w:rFonts w:ascii="Arial" w:hAnsi="Arial" w:cs="Arial"/>
          <w:b/>
          <w:bCs/>
          <w:sz w:val="20"/>
        </w:rPr>
        <w:t>estados contables</w:t>
      </w:r>
      <w:r w:rsidRPr="00AC4AEA">
        <w:rPr>
          <w:rFonts w:ascii="Arial" w:hAnsi="Arial" w:cs="Arial"/>
          <w:sz w:val="20"/>
        </w:rPr>
        <w:t xml:space="preserve"> y contiene todos los datos que, siendo necesarios para la adecuada comprensión de la </w:t>
      </w:r>
      <w:r w:rsidRPr="00AC4AEA">
        <w:rPr>
          <w:rFonts w:ascii="Arial" w:hAnsi="Arial" w:cs="Arial"/>
          <w:b/>
          <w:bCs/>
          <w:sz w:val="20"/>
        </w:rPr>
        <w:t>situación patrimonial</w:t>
      </w:r>
      <w:r w:rsidRPr="00AC4AEA">
        <w:rPr>
          <w:rFonts w:ascii="Arial" w:hAnsi="Arial" w:cs="Arial"/>
          <w:sz w:val="20"/>
        </w:rPr>
        <w:t xml:space="preserve">, la </w:t>
      </w:r>
      <w:r w:rsidRPr="00AC4AEA">
        <w:rPr>
          <w:rFonts w:ascii="Arial" w:hAnsi="Arial" w:cs="Arial"/>
          <w:b/>
          <w:bCs/>
          <w:sz w:val="20"/>
        </w:rPr>
        <w:t>evolución patrimonial</w:t>
      </w:r>
      <w:r w:rsidRPr="00AC4AEA">
        <w:rPr>
          <w:rFonts w:ascii="Arial" w:hAnsi="Arial" w:cs="Arial"/>
          <w:sz w:val="20"/>
        </w:rPr>
        <w:t xml:space="preserve">, los resultados de la entidad y los flujos de efectivo, no se encuentran expuestos </w:t>
      </w:r>
      <w:r w:rsidR="00235A4B" w:rsidRPr="00AC4AEA">
        <w:rPr>
          <w:rFonts w:ascii="Arial" w:hAnsi="Arial" w:cs="Arial"/>
          <w:sz w:val="20"/>
        </w:rPr>
        <w:t xml:space="preserve">en el cuerpo de dichos </w:t>
      </w:r>
      <w:r w:rsidR="00235A4B" w:rsidRPr="00AC4AEA">
        <w:rPr>
          <w:rFonts w:ascii="Arial" w:hAnsi="Arial" w:cs="Arial"/>
          <w:b/>
          <w:bCs/>
          <w:sz w:val="20"/>
        </w:rPr>
        <w:t>estados contables</w:t>
      </w:r>
      <w:r w:rsidRPr="00AC4AEA">
        <w:rPr>
          <w:rFonts w:ascii="Arial" w:hAnsi="Arial" w:cs="Arial"/>
          <w:sz w:val="20"/>
        </w:rPr>
        <w:t>.</w:t>
      </w:r>
    </w:p>
    <w:p w:rsidR="004B5F61" w:rsidRPr="00AC4AEA" w:rsidRDefault="00C60041" w:rsidP="00A318EA">
      <w:pPr>
        <w:ind w:left="1416"/>
        <w:jc w:val="both"/>
        <w:rPr>
          <w:rFonts w:ascii="Arial" w:hAnsi="Arial" w:cs="Arial"/>
          <w:sz w:val="20"/>
          <w:szCs w:val="20"/>
        </w:rPr>
      </w:pPr>
      <w:r w:rsidRPr="00AC4AEA">
        <w:rPr>
          <w:rFonts w:ascii="Arial" w:hAnsi="Arial" w:cs="Arial"/>
          <w:sz w:val="20"/>
          <w:szCs w:val="20"/>
          <w:u w:val="single"/>
        </w:rPr>
        <w:t>Parte relacionada</w:t>
      </w:r>
      <w:r w:rsidRPr="00AC4AEA">
        <w:rPr>
          <w:rFonts w:ascii="Arial" w:hAnsi="Arial" w:cs="Arial"/>
          <w:sz w:val="20"/>
          <w:szCs w:val="20"/>
        </w:rPr>
        <w:t>: Una parte se considera relacionada con otra parte si una de ellas tiene la posibilidad de</w:t>
      </w:r>
      <w:r w:rsidR="007D7512" w:rsidRPr="00AC4AEA">
        <w:rPr>
          <w:rFonts w:ascii="Arial" w:hAnsi="Arial" w:cs="Arial"/>
          <w:sz w:val="20"/>
          <w:szCs w:val="20"/>
        </w:rPr>
        <w:t xml:space="preserve"> ejercer:</w:t>
      </w:r>
    </w:p>
    <w:p w:rsidR="004B5F61" w:rsidRPr="00AC4AEA" w:rsidRDefault="00C60041" w:rsidP="00A318EA">
      <w:pPr>
        <w:pStyle w:val="Prrafodelista"/>
        <w:numPr>
          <w:ilvl w:val="0"/>
          <w:numId w:val="53"/>
        </w:numPr>
        <w:ind w:left="1985" w:hanging="567"/>
        <w:contextualSpacing w:val="0"/>
        <w:jc w:val="both"/>
        <w:rPr>
          <w:rFonts w:ascii="Arial" w:hAnsi="Arial" w:cs="Arial"/>
          <w:sz w:val="20"/>
          <w:szCs w:val="20"/>
        </w:rPr>
      </w:pPr>
      <w:r w:rsidRPr="00AC4AEA">
        <w:rPr>
          <w:rFonts w:ascii="Arial" w:hAnsi="Arial" w:cs="Arial"/>
          <w:sz w:val="20"/>
          <w:szCs w:val="20"/>
        </w:rPr>
        <w:t>control</w:t>
      </w:r>
      <w:r w:rsidR="00235A4B" w:rsidRPr="00AC4AEA">
        <w:rPr>
          <w:rFonts w:ascii="Arial" w:hAnsi="Arial" w:cs="Arial"/>
          <w:sz w:val="20"/>
          <w:szCs w:val="20"/>
        </w:rPr>
        <w:t xml:space="preserve"> o </w:t>
      </w:r>
      <w:r w:rsidR="007D7512" w:rsidRPr="00AC4AEA">
        <w:rPr>
          <w:rFonts w:ascii="Arial" w:hAnsi="Arial" w:cs="Arial"/>
          <w:sz w:val="20"/>
          <w:szCs w:val="20"/>
        </w:rPr>
        <w:t xml:space="preserve">control </w:t>
      </w:r>
      <w:r w:rsidR="00235A4B" w:rsidRPr="00AC4AEA">
        <w:rPr>
          <w:rFonts w:ascii="Arial" w:hAnsi="Arial" w:cs="Arial"/>
          <w:sz w:val="20"/>
          <w:szCs w:val="20"/>
        </w:rPr>
        <w:t>conjunto</w:t>
      </w:r>
      <w:r w:rsidRPr="00AC4AEA">
        <w:rPr>
          <w:rFonts w:ascii="Arial" w:hAnsi="Arial" w:cs="Arial"/>
          <w:sz w:val="20"/>
          <w:szCs w:val="20"/>
        </w:rPr>
        <w:t xml:space="preserve"> sobre la otra</w:t>
      </w:r>
      <w:r w:rsidR="004B5F61" w:rsidRPr="00AC4AEA">
        <w:rPr>
          <w:rFonts w:ascii="Arial" w:hAnsi="Arial" w:cs="Arial"/>
          <w:sz w:val="20"/>
          <w:szCs w:val="20"/>
        </w:rPr>
        <w:t>;</w:t>
      </w:r>
      <w:r w:rsidRPr="00AC4AEA">
        <w:rPr>
          <w:rFonts w:ascii="Arial" w:hAnsi="Arial" w:cs="Arial"/>
          <w:sz w:val="20"/>
          <w:szCs w:val="20"/>
        </w:rPr>
        <w:t xml:space="preserve"> o </w:t>
      </w:r>
    </w:p>
    <w:p w:rsidR="00C60041" w:rsidRPr="00AC4AEA" w:rsidRDefault="00C60041" w:rsidP="00A318EA">
      <w:pPr>
        <w:pStyle w:val="Prrafodelista"/>
        <w:numPr>
          <w:ilvl w:val="0"/>
          <w:numId w:val="53"/>
        </w:numPr>
        <w:ind w:left="1985" w:hanging="567"/>
        <w:contextualSpacing w:val="0"/>
        <w:jc w:val="both"/>
        <w:rPr>
          <w:rFonts w:ascii="Arial" w:hAnsi="Arial" w:cs="Arial"/>
          <w:sz w:val="20"/>
          <w:szCs w:val="20"/>
        </w:rPr>
      </w:pPr>
      <w:r w:rsidRPr="00AC4AEA">
        <w:rPr>
          <w:rFonts w:ascii="Arial" w:hAnsi="Arial" w:cs="Arial"/>
          <w:sz w:val="20"/>
          <w:szCs w:val="20"/>
        </w:rPr>
        <w:t xml:space="preserve">influencia significativa sobre ella al tomar sus decisiones operativas y financieras. </w:t>
      </w:r>
    </w:p>
    <w:p w:rsidR="002C5F85" w:rsidRPr="00AC4AEA" w:rsidRDefault="00C60041" w:rsidP="00A318EA">
      <w:pPr>
        <w:ind w:left="1416"/>
        <w:jc w:val="both"/>
        <w:rPr>
          <w:rFonts w:ascii="Arial" w:hAnsi="Arial" w:cs="Arial"/>
          <w:sz w:val="20"/>
          <w:szCs w:val="20"/>
        </w:rPr>
      </w:pPr>
      <w:r w:rsidRPr="00AC4AEA">
        <w:rPr>
          <w:rFonts w:ascii="Arial" w:hAnsi="Arial" w:cs="Arial"/>
          <w:sz w:val="20"/>
          <w:szCs w:val="20"/>
          <w:u w:val="single"/>
        </w:rPr>
        <w:t>Transacción entre partes relacionadas</w:t>
      </w:r>
      <w:r w:rsidRPr="00AC4AEA">
        <w:rPr>
          <w:rFonts w:ascii="Arial" w:hAnsi="Arial" w:cs="Arial"/>
          <w:sz w:val="20"/>
          <w:szCs w:val="20"/>
        </w:rPr>
        <w:t>: Es toda transferencia de recursos</w:t>
      </w:r>
      <w:r w:rsidR="00A33118" w:rsidRPr="00AC4AEA">
        <w:rPr>
          <w:rFonts w:ascii="Arial" w:hAnsi="Arial" w:cs="Arial"/>
          <w:sz w:val="20"/>
          <w:szCs w:val="20"/>
        </w:rPr>
        <w:t>, servicios</w:t>
      </w:r>
      <w:r w:rsidRPr="00AC4AEA">
        <w:rPr>
          <w:rFonts w:ascii="Arial" w:hAnsi="Arial" w:cs="Arial"/>
          <w:sz w:val="20"/>
          <w:szCs w:val="20"/>
        </w:rPr>
        <w:t xml:space="preserve"> u obligaciones entre </w:t>
      </w:r>
      <w:r w:rsidRPr="00AC4AEA">
        <w:rPr>
          <w:rFonts w:ascii="Arial" w:hAnsi="Arial" w:cs="Arial"/>
          <w:b/>
          <w:sz w:val="20"/>
          <w:szCs w:val="20"/>
        </w:rPr>
        <w:t>partes relacionadas</w:t>
      </w:r>
      <w:r w:rsidRPr="00AC4AEA">
        <w:rPr>
          <w:rFonts w:ascii="Arial" w:hAnsi="Arial" w:cs="Arial"/>
          <w:sz w:val="20"/>
          <w:szCs w:val="20"/>
        </w:rPr>
        <w:t xml:space="preserve">, con independencia de que se realice en forma onerosa o gratuita. </w:t>
      </w:r>
      <w:r w:rsidR="004B5F61" w:rsidRPr="00AC4AEA">
        <w:rPr>
          <w:rFonts w:ascii="Arial" w:hAnsi="Arial" w:cs="Arial"/>
          <w:sz w:val="20"/>
          <w:szCs w:val="20"/>
        </w:rPr>
        <w:t>Tales transacciones tienen, entre otras, las siguientes características:</w:t>
      </w:r>
    </w:p>
    <w:p w:rsidR="002C5F85" w:rsidRPr="00AC4AEA" w:rsidRDefault="00235A4B" w:rsidP="00A318EA">
      <w:pPr>
        <w:pStyle w:val="Prrafodelista"/>
        <w:numPr>
          <w:ilvl w:val="0"/>
          <w:numId w:val="52"/>
        </w:numPr>
        <w:ind w:left="1985" w:hanging="567"/>
        <w:contextualSpacing w:val="0"/>
        <w:jc w:val="both"/>
        <w:rPr>
          <w:rFonts w:ascii="Arial" w:hAnsi="Arial" w:cs="Arial"/>
          <w:sz w:val="20"/>
          <w:szCs w:val="20"/>
        </w:rPr>
      </w:pPr>
      <w:r w:rsidRPr="00AC4AEA">
        <w:rPr>
          <w:rFonts w:ascii="Arial" w:hAnsi="Arial" w:cs="Arial"/>
          <w:sz w:val="20"/>
          <w:szCs w:val="20"/>
        </w:rPr>
        <w:t>Pueden</w:t>
      </w:r>
      <w:r w:rsidR="00C60041" w:rsidRPr="00AC4AEA">
        <w:rPr>
          <w:rFonts w:ascii="Arial" w:hAnsi="Arial" w:cs="Arial"/>
          <w:sz w:val="20"/>
          <w:szCs w:val="20"/>
        </w:rPr>
        <w:t xml:space="preserve"> </w:t>
      </w:r>
      <w:r w:rsidR="004B5F61" w:rsidRPr="00AC4AEA">
        <w:rPr>
          <w:rFonts w:ascii="Arial" w:hAnsi="Arial" w:cs="Arial"/>
          <w:sz w:val="20"/>
          <w:szCs w:val="20"/>
        </w:rPr>
        <w:t>incidir</w:t>
      </w:r>
      <w:r w:rsidR="00C60041" w:rsidRPr="00AC4AEA">
        <w:rPr>
          <w:rFonts w:ascii="Arial" w:hAnsi="Arial" w:cs="Arial"/>
          <w:sz w:val="20"/>
          <w:szCs w:val="20"/>
        </w:rPr>
        <w:t xml:space="preserve"> sobre la </w:t>
      </w:r>
      <w:r w:rsidR="002E3052" w:rsidRPr="00AC4AEA">
        <w:rPr>
          <w:rFonts w:ascii="Arial" w:hAnsi="Arial" w:cs="Arial"/>
          <w:b/>
          <w:bCs/>
          <w:sz w:val="20"/>
          <w:szCs w:val="20"/>
        </w:rPr>
        <w:t>situación patrimonial</w:t>
      </w:r>
      <w:r w:rsidR="00C60041" w:rsidRPr="00AC4AEA">
        <w:rPr>
          <w:rFonts w:ascii="Arial" w:hAnsi="Arial" w:cs="Arial"/>
          <w:sz w:val="20"/>
          <w:szCs w:val="20"/>
        </w:rPr>
        <w:t xml:space="preserve"> y los resultados de la entidad. </w:t>
      </w:r>
    </w:p>
    <w:p w:rsidR="002C5F85" w:rsidRPr="00AC4AEA" w:rsidRDefault="00235A4B" w:rsidP="00A318EA">
      <w:pPr>
        <w:pStyle w:val="Prrafodelista"/>
        <w:numPr>
          <w:ilvl w:val="0"/>
          <w:numId w:val="52"/>
        </w:numPr>
        <w:ind w:left="1985" w:hanging="567"/>
        <w:contextualSpacing w:val="0"/>
        <w:jc w:val="both"/>
        <w:rPr>
          <w:rFonts w:ascii="Arial" w:hAnsi="Arial" w:cs="Arial"/>
          <w:sz w:val="20"/>
          <w:szCs w:val="20"/>
        </w:rPr>
      </w:pPr>
      <w:r w:rsidRPr="00AC4AEA">
        <w:rPr>
          <w:rFonts w:ascii="Arial" w:hAnsi="Arial" w:cs="Arial"/>
          <w:sz w:val="20"/>
          <w:szCs w:val="20"/>
        </w:rPr>
        <w:t>Pueden comprender</w:t>
      </w:r>
      <w:r w:rsidR="00C60041" w:rsidRPr="00AC4AEA">
        <w:rPr>
          <w:rFonts w:ascii="Arial" w:hAnsi="Arial" w:cs="Arial"/>
          <w:sz w:val="20"/>
          <w:szCs w:val="20"/>
        </w:rPr>
        <w:t xml:space="preserve"> transacciones que otras partes sin relación no emprenderían. </w:t>
      </w:r>
    </w:p>
    <w:p w:rsidR="00C60041" w:rsidRPr="0006758F" w:rsidRDefault="00235A4B" w:rsidP="0006758F">
      <w:pPr>
        <w:pStyle w:val="Prrafodelista"/>
        <w:numPr>
          <w:ilvl w:val="0"/>
          <w:numId w:val="52"/>
        </w:numPr>
        <w:ind w:left="1985" w:hanging="567"/>
        <w:contextualSpacing w:val="0"/>
        <w:jc w:val="both"/>
        <w:rPr>
          <w:rFonts w:ascii="Arial" w:hAnsi="Arial" w:cs="Arial"/>
          <w:sz w:val="20"/>
          <w:szCs w:val="20"/>
        </w:rPr>
      </w:pPr>
      <w:r w:rsidRPr="00AC4AEA">
        <w:rPr>
          <w:rFonts w:ascii="Arial" w:hAnsi="Arial" w:cs="Arial"/>
          <w:sz w:val="20"/>
          <w:szCs w:val="20"/>
        </w:rPr>
        <w:t>Pueden efectuarse por importes diferentes de los que se realizarían entre partes independientes, en condiciones de mercado (incluyendo operaciones a título gratuito).</w:t>
      </w:r>
      <w:r w:rsidR="00C60041" w:rsidRPr="0006758F">
        <w:rPr>
          <w:rFonts w:ascii="Arial" w:hAnsi="Arial" w:cs="Arial"/>
          <w:sz w:val="20"/>
          <w:szCs w:val="20"/>
        </w:rPr>
        <w:t xml:space="preserve"> </w:t>
      </w:r>
    </w:p>
    <w:p w:rsidR="00F459BF" w:rsidRPr="00AC4AEA" w:rsidRDefault="00F459BF" w:rsidP="00A318EA">
      <w:pPr>
        <w:pStyle w:val="Ttulo2"/>
        <w:rPr>
          <w:rFonts w:cs="Arial"/>
        </w:rPr>
      </w:pPr>
      <w:bookmarkStart w:id="967" w:name="_Toc101864022"/>
      <w:bookmarkStart w:id="968" w:name="_Toc139356920"/>
      <w:r w:rsidRPr="00AC4AEA">
        <w:rPr>
          <w:rFonts w:cs="Arial"/>
        </w:rPr>
        <w:t>Estructura</w:t>
      </w:r>
      <w:bookmarkEnd w:id="967"/>
      <w:bookmarkEnd w:id="968"/>
    </w:p>
    <w:p w:rsidR="00D8692E" w:rsidRPr="00AC4AEA" w:rsidRDefault="00385C7B" w:rsidP="00A318EA">
      <w:pPr>
        <w:pStyle w:val="Prrafodelista"/>
        <w:numPr>
          <w:ilvl w:val="0"/>
          <w:numId w:val="29"/>
        </w:numPr>
        <w:contextualSpacing w:val="0"/>
        <w:jc w:val="both"/>
        <w:rPr>
          <w:rFonts w:ascii="Arial" w:hAnsi="Arial" w:cs="Arial"/>
          <w:bCs/>
          <w:sz w:val="20"/>
          <w:szCs w:val="20"/>
        </w:rPr>
      </w:pPr>
      <w:r w:rsidRPr="00AC4AEA">
        <w:rPr>
          <w:rFonts w:ascii="Arial" w:hAnsi="Arial" w:cs="Arial"/>
          <w:bCs/>
          <w:sz w:val="20"/>
          <w:szCs w:val="20"/>
        </w:rPr>
        <w:t xml:space="preserve">Una entidad revelará en las </w:t>
      </w:r>
      <w:r w:rsidR="00D8692E" w:rsidRPr="00AC4AEA">
        <w:rPr>
          <w:rFonts w:ascii="Arial" w:hAnsi="Arial" w:cs="Arial"/>
          <w:bCs/>
          <w:sz w:val="20"/>
          <w:szCs w:val="20"/>
        </w:rPr>
        <w:t>notas:</w:t>
      </w:r>
    </w:p>
    <w:p w:rsidR="00B94D2F" w:rsidRPr="00AC4AEA" w:rsidRDefault="00D8692E" w:rsidP="00A318EA">
      <w:pPr>
        <w:pStyle w:val="Prrafodelista"/>
        <w:numPr>
          <w:ilvl w:val="0"/>
          <w:numId w:val="219"/>
        </w:numPr>
        <w:ind w:left="1560"/>
        <w:contextualSpacing w:val="0"/>
        <w:jc w:val="both"/>
        <w:rPr>
          <w:rFonts w:ascii="Arial" w:hAnsi="Arial" w:cs="Arial"/>
          <w:sz w:val="20"/>
          <w:szCs w:val="20"/>
        </w:rPr>
      </w:pPr>
      <w:r w:rsidRPr="00AC4AEA">
        <w:rPr>
          <w:rFonts w:ascii="Arial" w:hAnsi="Arial" w:cs="Arial"/>
          <w:sz w:val="20"/>
          <w:szCs w:val="20"/>
        </w:rPr>
        <w:t xml:space="preserve">las bases para la preparación de los </w:t>
      </w:r>
      <w:r w:rsidRPr="00AC4AEA">
        <w:rPr>
          <w:rFonts w:ascii="Arial" w:hAnsi="Arial" w:cs="Arial"/>
          <w:b/>
          <w:bCs/>
          <w:sz w:val="20"/>
          <w:szCs w:val="20"/>
        </w:rPr>
        <w:t>estados contables</w:t>
      </w:r>
      <w:r w:rsidR="004D275E" w:rsidRPr="00AC4AEA">
        <w:rPr>
          <w:rFonts w:ascii="Arial" w:hAnsi="Arial" w:cs="Arial"/>
          <w:sz w:val="20"/>
          <w:szCs w:val="20"/>
        </w:rPr>
        <w:t>;</w:t>
      </w:r>
      <w:r w:rsidRPr="00AC4AEA">
        <w:rPr>
          <w:rFonts w:ascii="Arial" w:hAnsi="Arial" w:cs="Arial"/>
          <w:sz w:val="20"/>
          <w:szCs w:val="20"/>
        </w:rPr>
        <w:t xml:space="preserve"> </w:t>
      </w:r>
    </w:p>
    <w:p w:rsidR="004D275E" w:rsidRPr="00AC4AEA" w:rsidRDefault="00B94D2F" w:rsidP="00A318EA">
      <w:pPr>
        <w:pStyle w:val="Prrafodelista"/>
        <w:numPr>
          <w:ilvl w:val="0"/>
          <w:numId w:val="219"/>
        </w:numPr>
        <w:ind w:left="1560"/>
        <w:contextualSpacing w:val="0"/>
        <w:jc w:val="both"/>
        <w:rPr>
          <w:rFonts w:ascii="Arial" w:hAnsi="Arial" w:cs="Arial"/>
          <w:sz w:val="20"/>
          <w:szCs w:val="20"/>
        </w:rPr>
      </w:pPr>
      <w:r w:rsidRPr="00AC4AEA">
        <w:rPr>
          <w:rFonts w:ascii="Arial" w:hAnsi="Arial" w:cs="Arial"/>
          <w:sz w:val="20"/>
          <w:szCs w:val="20"/>
        </w:rPr>
        <w:t xml:space="preserve">la categoría de la entidad, según lo dispuesto en los párrafos </w:t>
      </w:r>
      <w:fldSimple w:instr=" REF _Ref74652078 \r \h  \* MERGEFORMAT ">
        <w:r w:rsidR="00D33A5D" w:rsidRPr="00D33A5D">
          <w:rPr>
            <w:rFonts w:ascii="Arial" w:hAnsi="Arial" w:cs="Arial"/>
            <w:sz w:val="20"/>
            <w:szCs w:val="20"/>
          </w:rPr>
          <w:t>6</w:t>
        </w:r>
      </w:fldSimple>
      <w:r w:rsidRPr="00AC4AEA">
        <w:rPr>
          <w:rFonts w:ascii="Arial" w:hAnsi="Arial" w:cs="Arial"/>
          <w:sz w:val="20"/>
          <w:szCs w:val="20"/>
        </w:rPr>
        <w:t xml:space="preserve"> y </w:t>
      </w:r>
      <w:fldSimple w:instr=" REF _Ref107941907 \r \h  \* MERGEFORMAT ">
        <w:r w:rsidR="00D33A5D" w:rsidRPr="00D33A5D">
          <w:rPr>
            <w:rFonts w:ascii="Arial" w:hAnsi="Arial" w:cs="Arial"/>
            <w:sz w:val="20"/>
            <w:szCs w:val="20"/>
          </w:rPr>
          <w:t>7</w:t>
        </w:r>
      </w:fldSimple>
      <w:r w:rsidRPr="00AC4AEA">
        <w:rPr>
          <w:rFonts w:ascii="Arial" w:hAnsi="Arial" w:cs="Arial"/>
          <w:sz w:val="20"/>
          <w:szCs w:val="20"/>
        </w:rPr>
        <w:t xml:space="preserve"> de esta Resolución Técnica;</w:t>
      </w:r>
    </w:p>
    <w:p w:rsidR="00C65294" w:rsidRPr="00AC4AEA" w:rsidRDefault="004D275E" w:rsidP="00A318EA">
      <w:pPr>
        <w:pStyle w:val="Prrafodelista"/>
        <w:numPr>
          <w:ilvl w:val="0"/>
          <w:numId w:val="219"/>
        </w:numPr>
        <w:ind w:left="1560"/>
        <w:contextualSpacing w:val="0"/>
        <w:jc w:val="both"/>
        <w:rPr>
          <w:rFonts w:ascii="Arial" w:hAnsi="Arial" w:cs="Arial"/>
          <w:sz w:val="20"/>
          <w:szCs w:val="20"/>
        </w:rPr>
      </w:pPr>
      <w:r w:rsidRPr="00AC4AEA">
        <w:rPr>
          <w:rFonts w:ascii="Arial" w:hAnsi="Arial" w:cs="Arial"/>
          <w:sz w:val="20"/>
          <w:szCs w:val="20"/>
        </w:rPr>
        <w:t xml:space="preserve">las </w:t>
      </w:r>
      <w:r w:rsidRPr="00AC4AEA">
        <w:rPr>
          <w:rFonts w:ascii="Arial" w:hAnsi="Arial" w:cs="Arial"/>
          <w:b/>
          <w:bCs/>
          <w:sz w:val="20"/>
          <w:szCs w:val="20"/>
        </w:rPr>
        <w:t>políticas contables</w:t>
      </w:r>
      <w:r w:rsidRPr="00AC4AEA">
        <w:rPr>
          <w:rFonts w:ascii="Arial" w:hAnsi="Arial" w:cs="Arial"/>
          <w:sz w:val="20"/>
          <w:szCs w:val="20"/>
        </w:rPr>
        <w:t xml:space="preserve"> significativas utilizadas, </w:t>
      </w:r>
    </w:p>
    <w:p w:rsidR="00575C19" w:rsidRPr="00AC4AEA" w:rsidRDefault="00C65294" w:rsidP="00A318EA">
      <w:pPr>
        <w:pStyle w:val="Prrafodelista"/>
        <w:numPr>
          <w:ilvl w:val="0"/>
          <w:numId w:val="219"/>
        </w:numPr>
        <w:ind w:left="1560"/>
        <w:contextualSpacing w:val="0"/>
        <w:jc w:val="both"/>
        <w:rPr>
          <w:rFonts w:ascii="Arial" w:hAnsi="Arial" w:cs="Arial"/>
          <w:sz w:val="20"/>
          <w:szCs w:val="20"/>
        </w:rPr>
      </w:pPr>
      <w:r w:rsidRPr="00AC4AEA">
        <w:rPr>
          <w:rFonts w:ascii="Arial" w:hAnsi="Arial" w:cs="Arial"/>
          <w:sz w:val="20"/>
          <w:szCs w:val="20"/>
        </w:rPr>
        <w:lastRenderedPageBreak/>
        <w:t xml:space="preserve">los </w:t>
      </w:r>
      <w:r w:rsidR="004D275E" w:rsidRPr="00AC4AEA">
        <w:rPr>
          <w:rFonts w:ascii="Arial" w:hAnsi="Arial" w:cs="Arial"/>
          <w:sz w:val="20"/>
          <w:szCs w:val="20"/>
        </w:rPr>
        <w:t>criterio</w:t>
      </w:r>
      <w:r w:rsidR="00575C19" w:rsidRPr="00AC4AEA">
        <w:rPr>
          <w:rFonts w:ascii="Arial" w:hAnsi="Arial" w:cs="Arial"/>
          <w:sz w:val="20"/>
          <w:szCs w:val="20"/>
        </w:rPr>
        <w:t>s</w:t>
      </w:r>
      <w:r w:rsidR="004D275E" w:rsidRPr="00AC4AEA">
        <w:rPr>
          <w:rFonts w:ascii="Arial" w:hAnsi="Arial" w:cs="Arial"/>
          <w:sz w:val="20"/>
          <w:szCs w:val="20"/>
        </w:rPr>
        <w:t xml:space="preserve"> empleado</w:t>
      </w:r>
      <w:r w:rsidR="00575C19" w:rsidRPr="00AC4AEA">
        <w:rPr>
          <w:rFonts w:ascii="Arial" w:hAnsi="Arial" w:cs="Arial"/>
          <w:sz w:val="20"/>
          <w:szCs w:val="20"/>
        </w:rPr>
        <w:t>s:</w:t>
      </w:r>
      <w:r w:rsidR="004D275E" w:rsidRPr="00AC4AEA">
        <w:rPr>
          <w:rFonts w:ascii="Arial" w:hAnsi="Arial" w:cs="Arial"/>
          <w:sz w:val="20"/>
          <w:szCs w:val="20"/>
        </w:rPr>
        <w:t xml:space="preserve"> </w:t>
      </w:r>
    </w:p>
    <w:p w:rsidR="00575C19" w:rsidRPr="00AC4AEA" w:rsidRDefault="004D275E" w:rsidP="00A318EA">
      <w:pPr>
        <w:pStyle w:val="Prrafodelista"/>
        <w:numPr>
          <w:ilvl w:val="0"/>
          <w:numId w:val="294"/>
        </w:numPr>
        <w:ind w:left="1985"/>
        <w:contextualSpacing w:val="0"/>
        <w:jc w:val="both"/>
        <w:rPr>
          <w:rFonts w:ascii="Arial" w:hAnsi="Arial" w:cs="Arial"/>
          <w:sz w:val="20"/>
          <w:szCs w:val="20"/>
        </w:rPr>
      </w:pPr>
      <w:r w:rsidRPr="00AC4AEA">
        <w:rPr>
          <w:rFonts w:ascii="Arial" w:hAnsi="Arial" w:cs="Arial"/>
          <w:sz w:val="20"/>
          <w:szCs w:val="20"/>
        </w:rPr>
        <w:t xml:space="preserve">en virtud de </w:t>
      </w:r>
      <w:r w:rsidR="00C65294" w:rsidRPr="00AC4AEA">
        <w:rPr>
          <w:rFonts w:ascii="Arial" w:hAnsi="Arial" w:cs="Arial"/>
          <w:sz w:val="20"/>
          <w:szCs w:val="20"/>
        </w:rPr>
        <w:t>la</w:t>
      </w:r>
      <w:r w:rsidRPr="00AC4AEA">
        <w:rPr>
          <w:rFonts w:ascii="Arial" w:hAnsi="Arial" w:cs="Arial"/>
          <w:sz w:val="20"/>
          <w:szCs w:val="20"/>
        </w:rPr>
        <w:t xml:space="preserve"> categoría</w:t>
      </w:r>
      <w:r w:rsidR="00C65294" w:rsidRPr="00AC4AEA">
        <w:rPr>
          <w:rFonts w:ascii="Arial" w:hAnsi="Arial" w:cs="Arial"/>
          <w:sz w:val="20"/>
          <w:szCs w:val="20"/>
        </w:rPr>
        <w:t xml:space="preserve"> </w:t>
      </w:r>
      <w:r w:rsidR="00575C19" w:rsidRPr="00AC4AEA">
        <w:rPr>
          <w:rFonts w:ascii="Arial" w:hAnsi="Arial" w:cs="Arial"/>
          <w:sz w:val="20"/>
          <w:szCs w:val="20"/>
        </w:rPr>
        <w:t>informada</w:t>
      </w:r>
      <w:r w:rsidR="00C65294" w:rsidRPr="00AC4AEA">
        <w:rPr>
          <w:rFonts w:ascii="Arial" w:hAnsi="Arial" w:cs="Arial"/>
          <w:sz w:val="20"/>
          <w:szCs w:val="20"/>
        </w:rPr>
        <w:t xml:space="preserve"> según el inciso b) de este párrafo</w:t>
      </w:r>
      <w:r w:rsidR="00575C19" w:rsidRPr="00AC4AEA">
        <w:rPr>
          <w:rFonts w:ascii="Arial" w:hAnsi="Arial" w:cs="Arial"/>
          <w:sz w:val="20"/>
          <w:szCs w:val="20"/>
        </w:rPr>
        <w:t>;</w:t>
      </w:r>
      <w:r w:rsidRPr="00AC4AEA">
        <w:rPr>
          <w:rFonts w:ascii="Arial" w:hAnsi="Arial" w:cs="Arial"/>
          <w:sz w:val="20"/>
          <w:szCs w:val="20"/>
        </w:rPr>
        <w:t xml:space="preserve"> o </w:t>
      </w:r>
    </w:p>
    <w:p w:rsidR="00D8692E" w:rsidRPr="00AC4AEA" w:rsidRDefault="00575C19" w:rsidP="00A318EA">
      <w:pPr>
        <w:pStyle w:val="Prrafodelista"/>
        <w:numPr>
          <w:ilvl w:val="0"/>
          <w:numId w:val="294"/>
        </w:numPr>
        <w:ind w:left="1985"/>
        <w:contextualSpacing w:val="0"/>
        <w:jc w:val="both"/>
        <w:rPr>
          <w:rFonts w:ascii="Arial" w:hAnsi="Arial" w:cs="Arial"/>
          <w:sz w:val="20"/>
          <w:szCs w:val="20"/>
        </w:rPr>
      </w:pPr>
      <w:r w:rsidRPr="00AC4AEA">
        <w:rPr>
          <w:rFonts w:ascii="Arial" w:hAnsi="Arial" w:cs="Arial"/>
          <w:sz w:val="20"/>
          <w:szCs w:val="20"/>
        </w:rPr>
        <w:t>por aplicación de lo establecido en el párrafo</w:t>
      </w:r>
      <w:r w:rsidR="00B063AF">
        <w:rPr>
          <w:rFonts w:ascii="Arial" w:hAnsi="Arial" w:cs="Arial"/>
          <w:sz w:val="20"/>
          <w:szCs w:val="20"/>
        </w:rPr>
        <w:t xml:space="preserve"> </w:t>
      </w:r>
      <w:r w:rsidR="001C4138">
        <w:rPr>
          <w:rFonts w:ascii="Arial" w:hAnsi="Arial" w:cs="Arial"/>
          <w:sz w:val="20"/>
          <w:szCs w:val="20"/>
        </w:rPr>
        <w:fldChar w:fldCharType="begin"/>
      </w:r>
      <w:r w:rsidR="00CB1BD9">
        <w:rPr>
          <w:rFonts w:ascii="Arial" w:hAnsi="Arial" w:cs="Arial"/>
          <w:sz w:val="20"/>
          <w:szCs w:val="20"/>
        </w:rPr>
        <w:instrText xml:space="preserve"> REF _Ref136445073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83</w:t>
      </w:r>
      <w:r w:rsidR="001C4138">
        <w:rPr>
          <w:rFonts w:ascii="Arial" w:hAnsi="Arial" w:cs="Arial"/>
          <w:sz w:val="20"/>
          <w:szCs w:val="20"/>
        </w:rPr>
        <w:fldChar w:fldCharType="end"/>
      </w:r>
      <w:r w:rsidRPr="00AC4AEA">
        <w:rPr>
          <w:rFonts w:ascii="Arial" w:hAnsi="Arial" w:cs="Arial"/>
          <w:sz w:val="20"/>
          <w:szCs w:val="20"/>
        </w:rPr>
        <w:t>, respecto de</w:t>
      </w:r>
      <w:r w:rsidR="004D275E" w:rsidRPr="00AC4AEA">
        <w:rPr>
          <w:rFonts w:ascii="Arial" w:hAnsi="Arial" w:cs="Arial"/>
          <w:sz w:val="20"/>
          <w:szCs w:val="20"/>
        </w:rPr>
        <w:t xml:space="preserve"> </w:t>
      </w:r>
      <w:r w:rsidRPr="00AC4AEA">
        <w:rPr>
          <w:rFonts w:ascii="Arial" w:hAnsi="Arial" w:cs="Arial"/>
          <w:sz w:val="20"/>
          <w:szCs w:val="20"/>
        </w:rPr>
        <w:t>cualquier</w:t>
      </w:r>
      <w:r w:rsidR="004D275E" w:rsidRPr="00AC4AEA">
        <w:rPr>
          <w:rFonts w:ascii="Arial" w:hAnsi="Arial" w:cs="Arial"/>
          <w:sz w:val="20"/>
          <w:szCs w:val="20"/>
        </w:rPr>
        <w:t xml:space="preserve"> evaluación de costo o esfuerzo desproporcionado</w:t>
      </w:r>
      <w:r w:rsidR="00D8692E" w:rsidRPr="00AC4AEA">
        <w:rPr>
          <w:rFonts w:ascii="Arial" w:hAnsi="Arial" w:cs="Arial"/>
          <w:sz w:val="20"/>
          <w:szCs w:val="20"/>
        </w:rPr>
        <w:t>;</w:t>
      </w:r>
    </w:p>
    <w:p w:rsidR="00D8692E" w:rsidRPr="00AC4AEA" w:rsidRDefault="00D8692E" w:rsidP="00A318EA">
      <w:pPr>
        <w:pStyle w:val="Prrafodelista"/>
        <w:numPr>
          <w:ilvl w:val="0"/>
          <w:numId w:val="219"/>
        </w:numPr>
        <w:ind w:left="1560"/>
        <w:contextualSpacing w:val="0"/>
        <w:jc w:val="both"/>
        <w:rPr>
          <w:rFonts w:ascii="Arial" w:hAnsi="Arial" w:cs="Arial"/>
          <w:sz w:val="20"/>
          <w:szCs w:val="20"/>
        </w:rPr>
      </w:pPr>
      <w:r w:rsidRPr="00AC4AEA">
        <w:rPr>
          <w:rFonts w:ascii="Arial" w:hAnsi="Arial" w:cs="Arial"/>
          <w:sz w:val="20"/>
          <w:szCs w:val="20"/>
        </w:rPr>
        <w:t xml:space="preserve">la información requerida </w:t>
      </w:r>
      <w:r w:rsidR="00385C7B" w:rsidRPr="00AC4AEA">
        <w:rPr>
          <w:rFonts w:ascii="Arial" w:hAnsi="Arial" w:cs="Arial"/>
          <w:sz w:val="20"/>
          <w:szCs w:val="20"/>
        </w:rPr>
        <w:t xml:space="preserve">por </w:t>
      </w:r>
      <w:r w:rsidR="00B73732" w:rsidRPr="00AC4AEA">
        <w:rPr>
          <w:rFonts w:ascii="Arial" w:hAnsi="Arial" w:cs="Arial"/>
          <w:sz w:val="20"/>
          <w:szCs w:val="20"/>
        </w:rPr>
        <w:t xml:space="preserve">esta u </w:t>
      </w:r>
      <w:r w:rsidR="00B73732" w:rsidRPr="00AC4AEA">
        <w:rPr>
          <w:rFonts w:ascii="Arial" w:hAnsi="Arial" w:cs="Arial"/>
          <w:b/>
          <w:bCs/>
          <w:sz w:val="20"/>
          <w:szCs w:val="20"/>
        </w:rPr>
        <w:t>otras normas contables</w:t>
      </w:r>
      <w:r w:rsidRPr="00AC4AEA">
        <w:rPr>
          <w:rFonts w:ascii="Arial" w:hAnsi="Arial" w:cs="Arial"/>
          <w:sz w:val="20"/>
          <w:szCs w:val="20"/>
        </w:rPr>
        <w:t xml:space="preserve"> que no haya sido incluida en otro lugar de los </w:t>
      </w:r>
      <w:r w:rsidRPr="00AC4AEA">
        <w:rPr>
          <w:rFonts w:ascii="Arial" w:hAnsi="Arial" w:cs="Arial"/>
          <w:b/>
          <w:bCs/>
          <w:sz w:val="20"/>
          <w:szCs w:val="20"/>
        </w:rPr>
        <w:t xml:space="preserve">estados </w:t>
      </w:r>
      <w:r w:rsidR="00B73732" w:rsidRPr="00AC4AEA">
        <w:rPr>
          <w:rFonts w:ascii="Arial" w:hAnsi="Arial" w:cs="Arial"/>
          <w:b/>
          <w:bCs/>
          <w:sz w:val="20"/>
          <w:szCs w:val="20"/>
        </w:rPr>
        <w:t>contables</w:t>
      </w:r>
      <w:r w:rsidRPr="00AC4AEA">
        <w:rPr>
          <w:rFonts w:ascii="Arial" w:hAnsi="Arial" w:cs="Arial"/>
          <w:sz w:val="20"/>
          <w:szCs w:val="20"/>
        </w:rPr>
        <w:t>; y</w:t>
      </w:r>
    </w:p>
    <w:p w:rsidR="00D8692E" w:rsidRPr="00AC4AEA" w:rsidRDefault="004D275E" w:rsidP="00A318EA">
      <w:pPr>
        <w:pStyle w:val="Prrafodelista"/>
        <w:numPr>
          <w:ilvl w:val="0"/>
          <w:numId w:val="219"/>
        </w:numPr>
        <w:ind w:left="1560"/>
        <w:contextualSpacing w:val="0"/>
        <w:jc w:val="both"/>
        <w:rPr>
          <w:rFonts w:ascii="Arial" w:hAnsi="Arial" w:cs="Arial"/>
          <w:sz w:val="20"/>
          <w:szCs w:val="20"/>
        </w:rPr>
      </w:pPr>
      <w:r w:rsidRPr="00AC4AEA">
        <w:rPr>
          <w:rFonts w:ascii="Arial" w:hAnsi="Arial" w:cs="Arial"/>
          <w:sz w:val="20"/>
          <w:szCs w:val="20"/>
        </w:rPr>
        <w:t xml:space="preserve">cualquier otra </w:t>
      </w:r>
      <w:r w:rsidR="00D8692E" w:rsidRPr="00AC4AEA">
        <w:rPr>
          <w:rFonts w:ascii="Arial" w:hAnsi="Arial" w:cs="Arial"/>
          <w:sz w:val="20"/>
          <w:szCs w:val="20"/>
        </w:rPr>
        <w:t xml:space="preserve">información que no se presente en ninguno de los </w:t>
      </w:r>
      <w:r w:rsidR="00D8692E" w:rsidRPr="00AC4AEA">
        <w:rPr>
          <w:rFonts w:ascii="Arial" w:hAnsi="Arial" w:cs="Arial"/>
          <w:b/>
          <w:bCs/>
          <w:sz w:val="20"/>
          <w:szCs w:val="20"/>
        </w:rPr>
        <w:t xml:space="preserve">estados </w:t>
      </w:r>
      <w:r w:rsidR="00E54BBB" w:rsidRPr="00AC4AEA">
        <w:rPr>
          <w:rFonts w:ascii="Arial" w:hAnsi="Arial" w:cs="Arial"/>
          <w:b/>
          <w:bCs/>
          <w:sz w:val="20"/>
          <w:szCs w:val="20"/>
        </w:rPr>
        <w:t>contables</w:t>
      </w:r>
      <w:r w:rsidR="00D8692E" w:rsidRPr="00AC4AEA">
        <w:rPr>
          <w:rFonts w:ascii="Arial" w:hAnsi="Arial" w:cs="Arial"/>
          <w:sz w:val="20"/>
          <w:szCs w:val="20"/>
        </w:rPr>
        <w:t xml:space="preserve">, pero que </w:t>
      </w:r>
      <w:r w:rsidR="00B94D2F" w:rsidRPr="00AC4AEA">
        <w:rPr>
          <w:rFonts w:ascii="Arial" w:hAnsi="Arial" w:cs="Arial"/>
          <w:sz w:val="20"/>
          <w:szCs w:val="20"/>
        </w:rPr>
        <w:t xml:space="preserve">sea </w:t>
      </w:r>
      <w:r w:rsidR="00D8692E" w:rsidRPr="00AC4AEA">
        <w:rPr>
          <w:rFonts w:ascii="Arial" w:hAnsi="Arial" w:cs="Arial"/>
          <w:sz w:val="20"/>
          <w:szCs w:val="20"/>
        </w:rPr>
        <w:t>relevante para entender cualquiera de ellos.</w:t>
      </w:r>
    </w:p>
    <w:p w:rsidR="00970F31" w:rsidRPr="00AC4AEA" w:rsidRDefault="002A4714" w:rsidP="00A318EA">
      <w:pPr>
        <w:pStyle w:val="Prrafodelista"/>
        <w:numPr>
          <w:ilvl w:val="0"/>
          <w:numId w:val="29"/>
        </w:numPr>
        <w:ind w:left="992"/>
        <w:contextualSpacing w:val="0"/>
        <w:jc w:val="both"/>
        <w:rPr>
          <w:rFonts w:ascii="Arial" w:hAnsi="Arial" w:cs="Arial"/>
          <w:bCs/>
          <w:sz w:val="20"/>
          <w:szCs w:val="20"/>
        </w:rPr>
      </w:pPr>
      <w:r w:rsidRPr="00AC4AEA">
        <w:rPr>
          <w:rFonts w:ascii="Arial" w:hAnsi="Arial" w:cs="Arial"/>
          <w:bCs/>
          <w:sz w:val="20"/>
          <w:szCs w:val="20"/>
        </w:rPr>
        <w:t>E</w:t>
      </w:r>
      <w:r w:rsidR="00970F31" w:rsidRPr="00AC4AEA">
        <w:rPr>
          <w:rFonts w:ascii="Arial" w:hAnsi="Arial" w:cs="Arial"/>
          <w:bCs/>
          <w:sz w:val="20"/>
          <w:szCs w:val="20"/>
        </w:rPr>
        <w:t xml:space="preserve">sta u </w:t>
      </w:r>
      <w:r w:rsidR="00970F31" w:rsidRPr="00AC4AEA">
        <w:rPr>
          <w:rFonts w:ascii="Arial" w:hAnsi="Arial" w:cs="Arial"/>
          <w:b/>
          <w:sz w:val="20"/>
          <w:szCs w:val="20"/>
        </w:rPr>
        <w:t>otras normas contables</w:t>
      </w:r>
      <w:r w:rsidR="00970F31" w:rsidRPr="00AC4AEA">
        <w:rPr>
          <w:rFonts w:ascii="Arial" w:hAnsi="Arial" w:cs="Arial"/>
          <w:bCs/>
          <w:sz w:val="20"/>
          <w:szCs w:val="20"/>
        </w:rPr>
        <w:t xml:space="preserve"> </w:t>
      </w:r>
      <w:r w:rsidRPr="00AC4AEA">
        <w:rPr>
          <w:rFonts w:ascii="Arial" w:hAnsi="Arial" w:cs="Arial"/>
          <w:bCs/>
          <w:sz w:val="20"/>
          <w:szCs w:val="20"/>
        </w:rPr>
        <w:t>establecen</w:t>
      </w:r>
      <w:r w:rsidR="00970F31" w:rsidRPr="00AC4AEA">
        <w:rPr>
          <w:rFonts w:ascii="Arial" w:hAnsi="Arial" w:cs="Arial"/>
          <w:bCs/>
          <w:sz w:val="20"/>
          <w:szCs w:val="20"/>
        </w:rPr>
        <w:t xml:space="preserve"> diversos requerimientos sobe in</w:t>
      </w:r>
      <w:r w:rsidR="009A3DAF" w:rsidRPr="00AC4AEA">
        <w:rPr>
          <w:rFonts w:ascii="Arial" w:hAnsi="Arial" w:cs="Arial"/>
          <w:bCs/>
          <w:sz w:val="20"/>
          <w:szCs w:val="20"/>
        </w:rPr>
        <w:t xml:space="preserve">formación a revelar. </w:t>
      </w:r>
      <w:r w:rsidR="00970F31" w:rsidRPr="00AC4AEA">
        <w:rPr>
          <w:rFonts w:ascii="Arial" w:hAnsi="Arial" w:cs="Arial"/>
          <w:bCs/>
          <w:sz w:val="20"/>
          <w:szCs w:val="20"/>
        </w:rPr>
        <w:t xml:space="preserve">Además de la información </w:t>
      </w:r>
      <w:r w:rsidR="009A3DAF" w:rsidRPr="00AC4AEA">
        <w:rPr>
          <w:rFonts w:ascii="Arial" w:hAnsi="Arial" w:cs="Arial"/>
          <w:bCs/>
          <w:sz w:val="20"/>
          <w:szCs w:val="20"/>
        </w:rPr>
        <w:t>a revelar</w:t>
      </w:r>
      <w:r w:rsidR="00970F31" w:rsidRPr="00AC4AEA">
        <w:rPr>
          <w:rFonts w:ascii="Arial" w:hAnsi="Arial" w:cs="Arial"/>
          <w:bCs/>
          <w:sz w:val="20"/>
          <w:szCs w:val="20"/>
        </w:rPr>
        <w:t xml:space="preserve"> requerida por </w:t>
      </w:r>
      <w:r w:rsidR="009A3DAF" w:rsidRPr="00AC4AEA">
        <w:rPr>
          <w:rFonts w:ascii="Arial" w:hAnsi="Arial" w:cs="Arial"/>
          <w:bCs/>
          <w:sz w:val="20"/>
          <w:szCs w:val="20"/>
        </w:rPr>
        <w:t>esas normas</w:t>
      </w:r>
      <w:r w:rsidR="00970F31" w:rsidRPr="00AC4AEA">
        <w:rPr>
          <w:rFonts w:ascii="Arial" w:hAnsi="Arial" w:cs="Arial"/>
          <w:bCs/>
          <w:sz w:val="20"/>
          <w:szCs w:val="20"/>
        </w:rPr>
        <w:t xml:space="preserve">, </w:t>
      </w:r>
      <w:r w:rsidR="009A3DAF" w:rsidRPr="00AC4AEA">
        <w:rPr>
          <w:rFonts w:ascii="Arial" w:hAnsi="Arial" w:cs="Arial"/>
          <w:bCs/>
          <w:sz w:val="20"/>
          <w:szCs w:val="20"/>
        </w:rPr>
        <w:t>una entidad</w:t>
      </w:r>
      <w:r w:rsidR="00970F31" w:rsidRPr="00AC4AEA">
        <w:rPr>
          <w:rFonts w:ascii="Arial" w:hAnsi="Arial" w:cs="Arial"/>
          <w:bCs/>
          <w:sz w:val="20"/>
          <w:szCs w:val="20"/>
        </w:rPr>
        <w:t xml:space="preserve"> </w:t>
      </w:r>
      <w:r w:rsidR="009A3DAF" w:rsidRPr="00AC4AEA">
        <w:rPr>
          <w:rFonts w:ascii="Arial" w:hAnsi="Arial" w:cs="Arial"/>
          <w:bCs/>
          <w:sz w:val="20"/>
          <w:szCs w:val="20"/>
        </w:rPr>
        <w:t xml:space="preserve">deberá </w:t>
      </w:r>
      <w:r w:rsidR="00970F31" w:rsidRPr="00AC4AEA">
        <w:rPr>
          <w:rFonts w:ascii="Arial" w:hAnsi="Arial" w:cs="Arial"/>
          <w:bCs/>
          <w:sz w:val="20"/>
          <w:szCs w:val="20"/>
        </w:rPr>
        <w:t xml:space="preserve">incluir </w:t>
      </w:r>
      <w:r w:rsidR="009A3DAF" w:rsidRPr="00AC4AEA">
        <w:rPr>
          <w:rFonts w:ascii="Arial" w:hAnsi="Arial" w:cs="Arial"/>
          <w:bCs/>
          <w:sz w:val="20"/>
          <w:szCs w:val="20"/>
        </w:rPr>
        <w:t xml:space="preserve">en las notas a los </w:t>
      </w:r>
      <w:r w:rsidR="009A3DAF" w:rsidRPr="00AC4AEA">
        <w:rPr>
          <w:rFonts w:ascii="Arial" w:hAnsi="Arial" w:cs="Arial"/>
          <w:b/>
          <w:sz w:val="20"/>
          <w:szCs w:val="20"/>
        </w:rPr>
        <w:t>estados contables</w:t>
      </w:r>
      <w:r w:rsidR="009A3DAF" w:rsidRPr="00AC4AEA">
        <w:rPr>
          <w:rFonts w:ascii="Arial" w:hAnsi="Arial" w:cs="Arial"/>
          <w:bCs/>
          <w:sz w:val="20"/>
          <w:szCs w:val="20"/>
        </w:rPr>
        <w:t xml:space="preserve"> </w:t>
      </w:r>
      <w:r w:rsidR="00970F31" w:rsidRPr="00AC4AEA">
        <w:rPr>
          <w:rFonts w:ascii="Arial" w:hAnsi="Arial" w:cs="Arial"/>
          <w:bCs/>
          <w:sz w:val="20"/>
          <w:szCs w:val="20"/>
        </w:rPr>
        <w:t xml:space="preserve">la </w:t>
      </w:r>
      <w:r w:rsidRPr="00AC4AEA">
        <w:rPr>
          <w:rFonts w:ascii="Arial" w:hAnsi="Arial" w:cs="Arial"/>
          <w:bCs/>
          <w:sz w:val="20"/>
          <w:szCs w:val="20"/>
        </w:rPr>
        <w:t>información requerida en esta sección.</w:t>
      </w:r>
    </w:p>
    <w:p w:rsidR="009C3C8C" w:rsidRPr="00AC4AEA" w:rsidRDefault="009C3C8C" w:rsidP="00A318EA">
      <w:pPr>
        <w:pStyle w:val="Prrafodelista"/>
        <w:numPr>
          <w:ilvl w:val="0"/>
          <w:numId w:val="29"/>
        </w:numPr>
        <w:ind w:left="992"/>
        <w:contextualSpacing w:val="0"/>
        <w:jc w:val="both"/>
        <w:rPr>
          <w:rFonts w:ascii="Arial" w:hAnsi="Arial" w:cs="Arial"/>
          <w:bCs/>
          <w:sz w:val="20"/>
          <w:szCs w:val="20"/>
        </w:rPr>
      </w:pPr>
      <w:r w:rsidRPr="00AC4AEA">
        <w:rPr>
          <w:rFonts w:ascii="Arial" w:hAnsi="Arial" w:cs="Arial"/>
          <w:bCs/>
          <w:sz w:val="20"/>
          <w:szCs w:val="20"/>
        </w:rPr>
        <w:t xml:space="preserve">Una entidad presentará las notas, en la medida en que sea practicable, de una forma sistemática. Para la determinación de una forma sistemática, la entidad considerará el efecto sobre la comprensibilidad y comparabilidad de sus </w:t>
      </w:r>
      <w:r w:rsidRPr="00AC4AEA">
        <w:rPr>
          <w:rFonts w:ascii="Arial" w:hAnsi="Arial" w:cs="Arial"/>
          <w:b/>
          <w:sz w:val="20"/>
          <w:szCs w:val="20"/>
        </w:rPr>
        <w:t>estados contables</w:t>
      </w:r>
      <w:r w:rsidRPr="00AC4AEA">
        <w:rPr>
          <w:rFonts w:ascii="Arial" w:hAnsi="Arial" w:cs="Arial"/>
          <w:bCs/>
          <w:sz w:val="20"/>
          <w:szCs w:val="20"/>
        </w:rPr>
        <w:t xml:space="preserve">. Una entidad hará referencia cruzada de cada partida incluida en </w:t>
      </w:r>
      <w:r w:rsidR="001B5B71" w:rsidRPr="00AC4AEA">
        <w:rPr>
          <w:rFonts w:ascii="Arial" w:hAnsi="Arial" w:cs="Arial"/>
          <w:bCs/>
          <w:sz w:val="20"/>
          <w:szCs w:val="20"/>
        </w:rPr>
        <w:t xml:space="preserve">el cuerpo de los </w:t>
      </w:r>
      <w:r w:rsidR="001B5B71" w:rsidRPr="00AC4AEA">
        <w:rPr>
          <w:rFonts w:ascii="Arial" w:hAnsi="Arial" w:cs="Arial"/>
          <w:b/>
          <w:sz w:val="20"/>
          <w:szCs w:val="20"/>
        </w:rPr>
        <w:t>estados contables</w:t>
      </w:r>
      <w:r w:rsidRPr="00AC4AEA">
        <w:rPr>
          <w:rFonts w:ascii="Arial" w:hAnsi="Arial" w:cs="Arial"/>
          <w:bCs/>
          <w:sz w:val="20"/>
          <w:szCs w:val="20"/>
        </w:rPr>
        <w:t xml:space="preserve"> con cualquier información relacionada en las notas.</w:t>
      </w:r>
    </w:p>
    <w:p w:rsidR="0090400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Una entidad expondrá </w:t>
      </w:r>
      <w:r w:rsidR="00130FE0" w:rsidRPr="00AC4AEA">
        <w:rPr>
          <w:rFonts w:ascii="Arial" w:hAnsi="Arial" w:cs="Arial"/>
          <w:sz w:val="20"/>
          <w:szCs w:val="20"/>
        </w:rPr>
        <w:t>la información requerida en</w:t>
      </w:r>
      <w:r w:rsidRPr="00AC4AEA">
        <w:rPr>
          <w:rFonts w:ascii="Arial" w:hAnsi="Arial" w:cs="Arial"/>
          <w:sz w:val="20"/>
          <w:szCs w:val="20"/>
        </w:rPr>
        <w:t xml:space="preserve"> notas en:</w:t>
      </w:r>
    </w:p>
    <w:p w:rsidR="00FA2421" w:rsidRPr="00AC4AEA" w:rsidRDefault="00B5320E" w:rsidP="00A318EA">
      <w:pPr>
        <w:pStyle w:val="Prrafodelista"/>
        <w:numPr>
          <w:ilvl w:val="0"/>
          <w:numId w:val="440"/>
        </w:numPr>
        <w:ind w:left="1560"/>
        <w:contextualSpacing w:val="0"/>
        <w:jc w:val="both"/>
        <w:rPr>
          <w:rFonts w:ascii="Arial" w:hAnsi="Arial" w:cs="Arial"/>
          <w:sz w:val="20"/>
          <w:szCs w:val="20"/>
        </w:rPr>
      </w:pPr>
      <w:r w:rsidRPr="00AC4AEA">
        <w:rPr>
          <w:rFonts w:ascii="Arial" w:hAnsi="Arial" w:cs="Arial"/>
          <w:sz w:val="20"/>
          <w:szCs w:val="20"/>
        </w:rPr>
        <w:t>e</w:t>
      </w:r>
      <w:r w:rsidR="00F459BF" w:rsidRPr="00AC4AEA">
        <w:rPr>
          <w:rFonts w:ascii="Arial" w:hAnsi="Arial" w:cs="Arial"/>
          <w:sz w:val="20"/>
          <w:szCs w:val="20"/>
        </w:rPr>
        <w:t xml:space="preserve">l encabezamiento de los </w:t>
      </w:r>
      <w:r w:rsidR="00135084" w:rsidRPr="00AC4AEA">
        <w:rPr>
          <w:rFonts w:ascii="Arial" w:hAnsi="Arial" w:cs="Arial"/>
          <w:b/>
          <w:bCs/>
          <w:sz w:val="20"/>
          <w:szCs w:val="20"/>
        </w:rPr>
        <w:t>estados contables</w:t>
      </w:r>
      <w:r w:rsidR="00665B89" w:rsidRPr="00AC4AEA">
        <w:rPr>
          <w:rFonts w:ascii="Arial" w:hAnsi="Arial" w:cs="Arial"/>
          <w:sz w:val="20"/>
          <w:szCs w:val="20"/>
        </w:rPr>
        <w:t>;</w:t>
      </w:r>
      <w:r w:rsidR="00F459BF" w:rsidRPr="00AC4AEA">
        <w:rPr>
          <w:rFonts w:ascii="Arial" w:hAnsi="Arial" w:cs="Arial"/>
          <w:sz w:val="20"/>
          <w:szCs w:val="20"/>
        </w:rPr>
        <w:t xml:space="preserve"> o</w:t>
      </w:r>
    </w:p>
    <w:p w:rsidR="00F459BF" w:rsidRPr="00AC4AEA" w:rsidRDefault="00B5320E" w:rsidP="00A318EA">
      <w:pPr>
        <w:pStyle w:val="Prrafodelista"/>
        <w:numPr>
          <w:ilvl w:val="0"/>
          <w:numId w:val="440"/>
        </w:numPr>
        <w:ind w:left="1560"/>
        <w:contextualSpacing w:val="0"/>
        <w:jc w:val="both"/>
        <w:rPr>
          <w:rFonts w:ascii="Arial" w:hAnsi="Arial" w:cs="Arial"/>
          <w:sz w:val="20"/>
          <w:szCs w:val="20"/>
        </w:rPr>
      </w:pPr>
      <w:r w:rsidRPr="00AC4AEA">
        <w:rPr>
          <w:rFonts w:ascii="Arial" w:hAnsi="Arial" w:cs="Arial"/>
          <w:sz w:val="20"/>
          <w:szCs w:val="20"/>
        </w:rPr>
        <w:t>e</w:t>
      </w:r>
      <w:r w:rsidR="00F459BF" w:rsidRPr="00AC4AEA">
        <w:rPr>
          <w:rFonts w:ascii="Arial" w:hAnsi="Arial" w:cs="Arial"/>
          <w:sz w:val="20"/>
          <w:szCs w:val="20"/>
        </w:rPr>
        <w:t xml:space="preserve">n una sección específica que contenga información cualitativa </w:t>
      </w:r>
      <w:r w:rsidR="00A27905" w:rsidRPr="00AC4AEA">
        <w:rPr>
          <w:rFonts w:ascii="Arial" w:hAnsi="Arial" w:cs="Arial"/>
          <w:sz w:val="20"/>
          <w:szCs w:val="20"/>
        </w:rPr>
        <w:t>y</w:t>
      </w:r>
      <w:r w:rsidR="00F459BF" w:rsidRPr="00AC4AEA">
        <w:rPr>
          <w:rFonts w:ascii="Arial" w:hAnsi="Arial" w:cs="Arial"/>
          <w:sz w:val="20"/>
          <w:szCs w:val="20"/>
        </w:rPr>
        <w:t xml:space="preserve"> cuantitativa (por ejemplo, presentada </w:t>
      </w:r>
      <w:r w:rsidR="00665B89" w:rsidRPr="00AC4AEA">
        <w:rPr>
          <w:rFonts w:ascii="Arial" w:hAnsi="Arial" w:cs="Arial"/>
          <w:sz w:val="20"/>
          <w:szCs w:val="20"/>
        </w:rPr>
        <w:t xml:space="preserve">mediante </w:t>
      </w:r>
      <w:r w:rsidR="00F459BF" w:rsidRPr="00AC4AEA">
        <w:rPr>
          <w:rFonts w:ascii="Arial" w:hAnsi="Arial" w:cs="Arial"/>
          <w:sz w:val="20"/>
          <w:szCs w:val="20"/>
        </w:rPr>
        <w:t>tablas o anexo</w:t>
      </w:r>
      <w:r w:rsidR="00665B89" w:rsidRPr="00AC4AEA">
        <w:rPr>
          <w:rFonts w:ascii="Arial" w:hAnsi="Arial" w:cs="Arial"/>
          <w:sz w:val="20"/>
          <w:szCs w:val="20"/>
        </w:rPr>
        <w:t>s</w:t>
      </w:r>
      <w:r w:rsidR="00F459BF" w:rsidRPr="00AC4AEA">
        <w:rPr>
          <w:rFonts w:ascii="Arial" w:hAnsi="Arial" w:cs="Arial"/>
          <w:sz w:val="20"/>
          <w:szCs w:val="20"/>
        </w:rPr>
        <w:t>).</w:t>
      </w:r>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En el encabezamiento, una entidad identificará los </w:t>
      </w:r>
      <w:r w:rsidR="00135084" w:rsidRPr="00AC4AEA">
        <w:rPr>
          <w:rFonts w:ascii="Arial" w:hAnsi="Arial" w:cs="Arial"/>
          <w:b/>
          <w:bCs/>
          <w:sz w:val="20"/>
          <w:szCs w:val="20"/>
        </w:rPr>
        <w:t>estados contables</w:t>
      </w:r>
      <w:r w:rsidRPr="00AC4AEA">
        <w:rPr>
          <w:rFonts w:ascii="Arial" w:hAnsi="Arial" w:cs="Arial"/>
          <w:sz w:val="20"/>
          <w:szCs w:val="20"/>
        </w:rPr>
        <w:t xml:space="preserve"> que se exponen e incluirá una síntesis de los datos relativos a dicha entidad.</w:t>
      </w:r>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Una entidad:</w:t>
      </w:r>
    </w:p>
    <w:p w:rsidR="00F459BF" w:rsidRPr="00AC4AEA" w:rsidRDefault="00665B89" w:rsidP="00A318EA">
      <w:pPr>
        <w:pStyle w:val="Prrafodelista"/>
        <w:numPr>
          <w:ilvl w:val="0"/>
          <w:numId w:val="220"/>
        </w:numPr>
        <w:ind w:left="1560"/>
        <w:contextualSpacing w:val="0"/>
        <w:jc w:val="both"/>
        <w:rPr>
          <w:rFonts w:ascii="Arial" w:hAnsi="Arial" w:cs="Arial"/>
          <w:b/>
          <w:sz w:val="20"/>
          <w:szCs w:val="20"/>
        </w:rPr>
      </w:pPr>
      <w:r w:rsidRPr="00AC4AEA">
        <w:rPr>
          <w:rFonts w:ascii="Arial" w:hAnsi="Arial" w:cs="Arial"/>
          <w:sz w:val="20"/>
          <w:szCs w:val="20"/>
        </w:rPr>
        <w:t>e</w:t>
      </w:r>
      <w:r w:rsidR="00F459BF" w:rsidRPr="00AC4AEA">
        <w:rPr>
          <w:rFonts w:ascii="Arial" w:hAnsi="Arial" w:cs="Arial"/>
          <w:sz w:val="20"/>
          <w:szCs w:val="20"/>
        </w:rPr>
        <w:t>xpondrá el resto de las notas mediante descripciones o cuadros anexos, según cuál sea el modo de expresión más adecuada en cada caso</w:t>
      </w:r>
      <w:r w:rsidRPr="00AC4AEA">
        <w:rPr>
          <w:rFonts w:ascii="Arial" w:hAnsi="Arial" w:cs="Arial"/>
          <w:sz w:val="20"/>
          <w:szCs w:val="20"/>
        </w:rPr>
        <w:t>; y</w:t>
      </w:r>
    </w:p>
    <w:p w:rsidR="00F459BF" w:rsidRPr="00AC4AEA" w:rsidRDefault="00665B89" w:rsidP="00A318EA">
      <w:pPr>
        <w:pStyle w:val="Prrafodelista"/>
        <w:numPr>
          <w:ilvl w:val="0"/>
          <w:numId w:val="220"/>
        </w:numPr>
        <w:ind w:left="1560"/>
        <w:contextualSpacing w:val="0"/>
        <w:jc w:val="both"/>
        <w:rPr>
          <w:rFonts w:ascii="Arial" w:hAnsi="Arial" w:cs="Arial"/>
          <w:sz w:val="20"/>
          <w:szCs w:val="20"/>
        </w:rPr>
      </w:pPr>
      <w:r w:rsidRPr="00AC4AEA">
        <w:rPr>
          <w:rFonts w:ascii="Arial" w:hAnsi="Arial" w:cs="Arial"/>
          <w:sz w:val="20"/>
          <w:szCs w:val="20"/>
        </w:rPr>
        <w:t>n</w:t>
      </w:r>
      <w:r w:rsidR="00F459BF" w:rsidRPr="00AC4AEA">
        <w:rPr>
          <w:rFonts w:ascii="Arial" w:hAnsi="Arial" w:cs="Arial"/>
          <w:sz w:val="20"/>
          <w:szCs w:val="20"/>
        </w:rPr>
        <w:t xml:space="preserve">o </w:t>
      </w:r>
      <w:r w:rsidR="00DE1C1F" w:rsidRPr="00AC4AEA">
        <w:rPr>
          <w:rFonts w:ascii="Arial" w:hAnsi="Arial" w:cs="Arial"/>
          <w:sz w:val="20"/>
          <w:szCs w:val="20"/>
        </w:rPr>
        <w:t>revelará</w:t>
      </w:r>
      <w:r w:rsidR="00F459BF" w:rsidRPr="00AC4AEA">
        <w:rPr>
          <w:rFonts w:ascii="Arial" w:hAnsi="Arial" w:cs="Arial"/>
          <w:sz w:val="20"/>
          <w:szCs w:val="20"/>
        </w:rPr>
        <w:t xml:space="preserve"> información cuyo contenido carezca</w:t>
      </w:r>
      <w:r w:rsidR="00C345C2" w:rsidRPr="00AC4AEA">
        <w:rPr>
          <w:rFonts w:ascii="Arial" w:hAnsi="Arial" w:cs="Arial"/>
          <w:sz w:val="20"/>
          <w:szCs w:val="20"/>
        </w:rPr>
        <w:t xml:space="preserve"> de</w:t>
      </w:r>
      <w:r w:rsidR="00F459BF" w:rsidRPr="00AC4AEA">
        <w:rPr>
          <w:rFonts w:ascii="Arial" w:hAnsi="Arial" w:cs="Arial"/>
          <w:sz w:val="20"/>
          <w:szCs w:val="20"/>
        </w:rPr>
        <w:t xml:space="preserve"> </w:t>
      </w:r>
      <w:r w:rsidR="00BF601E" w:rsidRPr="00AC4AEA">
        <w:rPr>
          <w:rFonts w:ascii="Arial" w:hAnsi="Arial" w:cs="Arial"/>
          <w:b/>
          <w:bCs/>
          <w:sz w:val="20"/>
          <w:szCs w:val="20"/>
        </w:rPr>
        <w:t>significación</w:t>
      </w:r>
      <w:r w:rsidR="00F459BF" w:rsidRPr="00AC4AEA">
        <w:rPr>
          <w:rFonts w:ascii="Arial" w:hAnsi="Arial" w:cs="Arial"/>
          <w:sz w:val="20"/>
          <w:szCs w:val="20"/>
        </w:rPr>
        <w:t>, incluso si fuera requerida por esta</w:t>
      </w:r>
      <w:r w:rsidR="009D5149" w:rsidRPr="00AC4AEA">
        <w:rPr>
          <w:rFonts w:ascii="Arial" w:hAnsi="Arial" w:cs="Arial"/>
          <w:sz w:val="20"/>
          <w:szCs w:val="20"/>
        </w:rPr>
        <w:t xml:space="preserve"> Resolución Técnica</w:t>
      </w:r>
      <w:r w:rsidR="00F459BF" w:rsidRPr="00AC4AEA">
        <w:rPr>
          <w:rFonts w:ascii="Arial" w:hAnsi="Arial" w:cs="Arial"/>
          <w:sz w:val="20"/>
          <w:szCs w:val="20"/>
        </w:rPr>
        <w:t xml:space="preserve"> u </w:t>
      </w:r>
      <w:r w:rsidR="00F459BF" w:rsidRPr="00AC4AEA">
        <w:rPr>
          <w:rFonts w:ascii="Arial" w:hAnsi="Arial" w:cs="Arial"/>
          <w:b/>
          <w:bCs/>
          <w:sz w:val="20"/>
          <w:szCs w:val="20"/>
        </w:rPr>
        <w:t xml:space="preserve">otras </w:t>
      </w:r>
      <w:r w:rsidR="009D5149" w:rsidRPr="00AC4AEA">
        <w:rPr>
          <w:rFonts w:ascii="Arial" w:hAnsi="Arial" w:cs="Arial"/>
          <w:b/>
          <w:bCs/>
          <w:sz w:val="20"/>
          <w:szCs w:val="20"/>
        </w:rPr>
        <w:t>normas contables</w:t>
      </w:r>
      <w:r w:rsidR="00F459BF" w:rsidRPr="00AC4AEA">
        <w:rPr>
          <w:rFonts w:ascii="Arial" w:hAnsi="Arial" w:cs="Arial"/>
          <w:sz w:val="20"/>
          <w:szCs w:val="20"/>
        </w:rPr>
        <w:t xml:space="preserve">. </w:t>
      </w:r>
    </w:p>
    <w:p w:rsidR="00F459BF" w:rsidRPr="00AC4AEA" w:rsidRDefault="00F459BF" w:rsidP="00A318EA">
      <w:pPr>
        <w:ind w:left="284"/>
        <w:jc w:val="both"/>
        <w:rPr>
          <w:rFonts w:ascii="Arial" w:hAnsi="Arial" w:cs="Arial"/>
          <w:b/>
          <w:bCs/>
          <w:sz w:val="20"/>
          <w:szCs w:val="20"/>
          <w:u w:val="single"/>
        </w:rPr>
      </w:pPr>
    </w:p>
    <w:p w:rsidR="00F459BF" w:rsidRPr="00AC4AEA" w:rsidRDefault="00F459BF" w:rsidP="00A318EA">
      <w:pPr>
        <w:pStyle w:val="Ttulo2"/>
        <w:rPr>
          <w:rFonts w:cs="Arial"/>
        </w:rPr>
      </w:pPr>
      <w:bookmarkStart w:id="969" w:name="_Toc101864023"/>
      <w:bookmarkStart w:id="970" w:name="_Toc139356921"/>
      <w:r w:rsidRPr="00AC4AEA">
        <w:rPr>
          <w:rFonts w:cs="Arial"/>
        </w:rPr>
        <w:t>Información</w:t>
      </w:r>
      <w:r w:rsidR="000A65AC" w:rsidRPr="00AC4AEA">
        <w:rPr>
          <w:rFonts w:cs="Arial"/>
        </w:rPr>
        <w:t xml:space="preserve"> </w:t>
      </w:r>
      <w:r w:rsidRPr="00AC4AEA">
        <w:rPr>
          <w:rFonts w:cs="Arial"/>
        </w:rPr>
        <w:t>a</w:t>
      </w:r>
      <w:r w:rsidR="000A65AC" w:rsidRPr="00AC4AEA">
        <w:rPr>
          <w:rFonts w:cs="Arial"/>
        </w:rPr>
        <w:t xml:space="preserve"> revelar</w:t>
      </w:r>
      <w:bookmarkEnd w:id="969"/>
      <w:bookmarkEnd w:id="970"/>
    </w:p>
    <w:p w:rsidR="00F459BF" w:rsidRPr="00AC4AEA" w:rsidRDefault="00F459BF" w:rsidP="00A318EA">
      <w:pPr>
        <w:pStyle w:val="Ttulo3"/>
      </w:pPr>
      <w:bookmarkStart w:id="971" w:name="_Toc101864024"/>
      <w:bookmarkStart w:id="972" w:name="_Toc139356922"/>
      <w:r w:rsidRPr="00AC4AEA">
        <w:t xml:space="preserve">Identificación de los </w:t>
      </w:r>
      <w:r w:rsidR="00135084" w:rsidRPr="00AC4AEA">
        <w:t>estados contables</w:t>
      </w:r>
      <w:bookmarkEnd w:id="971"/>
      <w:bookmarkEnd w:id="972"/>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Una entidad identificará la fecha de cierre y el período comprendido por los </w:t>
      </w:r>
      <w:r w:rsidR="00135084" w:rsidRPr="00AC4AEA">
        <w:rPr>
          <w:rFonts w:ascii="Arial" w:hAnsi="Arial" w:cs="Arial"/>
          <w:b/>
          <w:bCs/>
          <w:sz w:val="20"/>
          <w:szCs w:val="20"/>
        </w:rPr>
        <w:t>estados contables</w:t>
      </w:r>
      <w:r w:rsidRPr="00AC4AEA">
        <w:rPr>
          <w:rFonts w:ascii="Arial" w:hAnsi="Arial" w:cs="Arial"/>
          <w:sz w:val="20"/>
          <w:szCs w:val="20"/>
        </w:rPr>
        <w:t xml:space="preserve"> que se exponen.</w:t>
      </w:r>
      <w:r w:rsidR="007708F0" w:rsidRPr="00AC4AEA">
        <w:rPr>
          <w:rFonts w:ascii="Arial" w:hAnsi="Arial" w:cs="Arial"/>
          <w:sz w:val="20"/>
          <w:szCs w:val="20"/>
        </w:rPr>
        <w:t xml:space="preserve"> Esto implica identificar si se trata de un ejercicio, un período intermedio o un período </w:t>
      </w:r>
      <w:r w:rsidR="00B12765" w:rsidRPr="00AC4AEA">
        <w:rPr>
          <w:rFonts w:ascii="Arial" w:hAnsi="Arial" w:cs="Arial"/>
          <w:sz w:val="20"/>
          <w:szCs w:val="20"/>
        </w:rPr>
        <w:t>ir</w:t>
      </w:r>
      <w:r w:rsidR="007708F0" w:rsidRPr="00AC4AEA">
        <w:rPr>
          <w:rFonts w:ascii="Arial" w:hAnsi="Arial" w:cs="Arial"/>
          <w:sz w:val="20"/>
          <w:szCs w:val="20"/>
        </w:rPr>
        <w:t>regular.</w:t>
      </w:r>
    </w:p>
    <w:p w:rsidR="00F459BF" w:rsidRPr="00AC4AEA" w:rsidRDefault="00F459BF" w:rsidP="00A318EA">
      <w:pPr>
        <w:autoSpaceDE w:val="0"/>
        <w:autoSpaceDN w:val="0"/>
        <w:adjustRightInd w:val="0"/>
        <w:jc w:val="both"/>
        <w:rPr>
          <w:rFonts w:ascii="Arial" w:hAnsi="Arial" w:cs="Arial"/>
          <w:b/>
          <w:bCs/>
          <w:sz w:val="20"/>
          <w:szCs w:val="20"/>
        </w:rPr>
      </w:pPr>
    </w:p>
    <w:p w:rsidR="00F459BF" w:rsidRPr="00AC4AEA" w:rsidRDefault="00F459BF" w:rsidP="00A318EA">
      <w:pPr>
        <w:pStyle w:val="Ttulo3"/>
      </w:pPr>
      <w:bookmarkStart w:id="973" w:name="_Toc101864025"/>
      <w:bookmarkStart w:id="974" w:name="_Toc139356923"/>
      <w:r w:rsidRPr="00AC4AEA">
        <w:lastRenderedPageBreak/>
        <w:t xml:space="preserve">Identificación de la unidad de medida en la que están presentados los </w:t>
      </w:r>
      <w:r w:rsidR="00135084" w:rsidRPr="00AC4AEA">
        <w:t>estados contables</w:t>
      </w:r>
      <w:bookmarkEnd w:id="973"/>
      <w:bookmarkEnd w:id="974"/>
    </w:p>
    <w:p w:rsidR="00970156" w:rsidRPr="00AC4AEA" w:rsidRDefault="00970156"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Respecto de la unidad de medida, u</w:t>
      </w:r>
      <w:r w:rsidR="00F459BF" w:rsidRPr="00AC4AEA">
        <w:rPr>
          <w:rFonts w:ascii="Arial" w:hAnsi="Arial" w:cs="Arial"/>
          <w:sz w:val="20"/>
          <w:szCs w:val="20"/>
        </w:rPr>
        <w:t>na entidad</w:t>
      </w:r>
      <w:r w:rsidRPr="00AC4AEA">
        <w:rPr>
          <w:rFonts w:ascii="Arial" w:hAnsi="Arial" w:cs="Arial"/>
          <w:sz w:val="20"/>
          <w:szCs w:val="20"/>
        </w:rPr>
        <w:t xml:space="preserve"> informará sobre:</w:t>
      </w:r>
    </w:p>
    <w:p w:rsidR="00F459BF" w:rsidRPr="00AC4AEA" w:rsidRDefault="00F459BF" w:rsidP="00A318EA">
      <w:pPr>
        <w:pStyle w:val="Prrafodelista"/>
        <w:numPr>
          <w:ilvl w:val="1"/>
          <w:numId w:val="29"/>
        </w:numPr>
        <w:ind w:left="1560"/>
        <w:contextualSpacing w:val="0"/>
        <w:jc w:val="both"/>
        <w:rPr>
          <w:rFonts w:ascii="Arial" w:hAnsi="Arial" w:cs="Arial"/>
          <w:b/>
          <w:sz w:val="20"/>
          <w:szCs w:val="20"/>
        </w:rPr>
      </w:pPr>
      <w:r w:rsidRPr="00AC4AEA">
        <w:rPr>
          <w:rFonts w:ascii="Arial" w:hAnsi="Arial" w:cs="Arial"/>
          <w:sz w:val="20"/>
          <w:szCs w:val="20"/>
        </w:rPr>
        <w:t xml:space="preserve">la moneda en la que se expresan los </w:t>
      </w:r>
      <w:r w:rsidR="00135084" w:rsidRPr="00AC4AEA">
        <w:rPr>
          <w:rFonts w:ascii="Arial" w:hAnsi="Arial" w:cs="Arial"/>
          <w:b/>
          <w:bCs/>
          <w:sz w:val="20"/>
          <w:szCs w:val="20"/>
        </w:rPr>
        <w:t>estados contables</w:t>
      </w:r>
      <w:r w:rsidR="00970156" w:rsidRPr="00AC4AEA">
        <w:rPr>
          <w:rFonts w:ascii="Arial" w:hAnsi="Arial" w:cs="Arial"/>
          <w:sz w:val="20"/>
          <w:szCs w:val="20"/>
        </w:rPr>
        <w:t>;</w:t>
      </w:r>
    </w:p>
    <w:p w:rsidR="00970156" w:rsidRPr="00AC4AEA" w:rsidRDefault="00970156" w:rsidP="00A318EA">
      <w:pPr>
        <w:pStyle w:val="Prrafodelista"/>
        <w:numPr>
          <w:ilvl w:val="1"/>
          <w:numId w:val="29"/>
        </w:numPr>
        <w:ind w:left="1560"/>
        <w:contextualSpacing w:val="0"/>
        <w:jc w:val="both"/>
        <w:rPr>
          <w:rFonts w:ascii="Arial" w:hAnsi="Arial" w:cs="Arial"/>
          <w:b/>
          <w:sz w:val="20"/>
          <w:szCs w:val="20"/>
        </w:rPr>
      </w:pPr>
      <w:r w:rsidRPr="00AC4AEA">
        <w:rPr>
          <w:rFonts w:ascii="Arial" w:hAnsi="Arial" w:cs="Arial"/>
          <w:bCs/>
          <w:sz w:val="20"/>
          <w:szCs w:val="20"/>
        </w:rPr>
        <w:t xml:space="preserve">los criterios utilizados para cumplir con lo requerido por la sección </w:t>
      </w:r>
      <w:r w:rsidR="00BA09EC" w:rsidRPr="00AC4AEA">
        <w:rPr>
          <w:rFonts w:ascii="Arial" w:hAnsi="Arial" w:cs="Arial"/>
          <w:bCs/>
          <w:sz w:val="20"/>
          <w:szCs w:val="20"/>
        </w:rPr>
        <w:t>“</w:t>
      </w:r>
      <w:r w:rsidR="00BA09EC" w:rsidRPr="00AC4AEA">
        <w:rPr>
          <w:rFonts w:ascii="Arial" w:hAnsi="Arial" w:cs="Arial"/>
          <w:sz w:val="20"/>
          <w:szCs w:val="20"/>
          <w:u w:val="single"/>
        </w:rPr>
        <w:t xml:space="preserve">Expresión de los estados contables en moneda </w:t>
      </w:r>
      <w:r w:rsidR="00F0601B">
        <w:rPr>
          <w:rFonts w:ascii="Arial" w:hAnsi="Arial" w:cs="Arial"/>
          <w:sz w:val="20"/>
          <w:szCs w:val="20"/>
          <w:u w:val="single"/>
        </w:rPr>
        <w:t>de cierre</w:t>
      </w:r>
      <w:r w:rsidR="00BA09EC" w:rsidRPr="00AC4AEA">
        <w:rPr>
          <w:rFonts w:ascii="Arial" w:hAnsi="Arial" w:cs="Arial"/>
          <w:sz w:val="20"/>
          <w:szCs w:val="20"/>
          <w:u w:val="single"/>
        </w:rPr>
        <w:t xml:space="preserve"> en un contexto de inflación (ajuste por inflación de los estados contables)</w:t>
      </w:r>
      <w:r w:rsidR="00BA09EC"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00BA09EC"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00BA09EC" w:rsidRPr="00AC4AEA">
        <w:rPr>
          <w:rFonts w:ascii="Arial" w:hAnsi="Arial" w:cs="Arial"/>
          <w:sz w:val="20"/>
          <w:szCs w:val="20"/>
        </w:rPr>
        <w:t>]</w:t>
      </w:r>
      <w:r w:rsidRPr="00AC4AEA">
        <w:rPr>
          <w:rFonts w:ascii="Arial" w:hAnsi="Arial" w:cs="Arial"/>
          <w:bCs/>
          <w:sz w:val="20"/>
          <w:szCs w:val="20"/>
        </w:rPr>
        <w:t>; y</w:t>
      </w:r>
    </w:p>
    <w:p w:rsidR="00970156" w:rsidRPr="00AC4AEA" w:rsidRDefault="00970156" w:rsidP="00A318EA">
      <w:pPr>
        <w:pStyle w:val="Prrafodelista"/>
        <w:numPr>
          <w:ilvl w:val="1"/>
          <w:numId w:val="29"/>
        </w:numPr>
        <w:ind w:left="1560"/>
        <w:contextualSpacing w:val="0"/>
        <w:jc w:val="both"/>
        <w:rPr>
          <w:rFonts w:ascii="Arial" w:hAnsi="Arial" w:cs="Arial"/>
          <w:b/>
          <w:sz w:val="20"/>
          <w:szCs w:val="20"/>
        </w:rPr>
      </w:pPr>
      <w:r w:rsidRPr="00AC4AEA">
        <w:rPr>
          <w:rFonts w:ascii="Arial" w:hAnsi="Arial" w:cs="Arial"/>
          <w:bCs/>
          <w:sz w:val="20"/>
          <w:szCs w:val="20"/>
        </w:rPr>
        <w:t>el índice de precios utilizado.</w:t>
      </w:r>
    </w:p>
    <w:p w:rsidR="00F459BF" w:rsidRPr="00AC4AEA" w:rsidRDefault="00F459BF" w:rsidP="00A318EA">
      <w:pPr>
        <w:autoSpaceDE w:val="0"/>
        <w:autoSpaceDN w:val="0"/>
        <w:adjustRightInd w:val="0"/>
        <w:jc w:val="both"/>
        <w:rPr>
          <w:rFonts w:ascii="Arial" w:hAnsi="Arial" w:cs="Arial"/>
          <w:b/>
          <w:bCs/>
          <w:sz w:val="20"/>
          <w:szCs w:val="20"/>
        </w:rPr>
      </w:pPr>
    </w:p>
    <w:p w:rsidR="00F459BF" w:rsidRPr="00AC4AEA" w:rsidRDefault="00F459BF" w:rsidP="00A318EA">
      <w:pPr>
        <w:pStyle w:val="Ttulo3"/>
      </w:pPr>
      <w:bookmarkStart w:id="975" w:name="_Toc101864026"/>
      <w:bookmarkStart w:id="976" w:name="_Toc139356924"/>
      <w:r w:rsidRPr="00AC4AEA">
        <w:t>Identificación de la entidad</w:t>
      </w:r>
      <w:bookmarkEnd w:id="975"/>
      <w:bookmarkEnd w:id="976"/>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La entidad </w:t>
      </w:r>
      <w:r w:rsidR="004472FF" w:rsidRPr="00AC4AEA">
        <w:rPr>
          <w:rFonts w:ascii="Arial" w:hAnsi="Arial" w:cs="Arial"/>
          <w:sz w:val="20"/>
          <w:szCs w:val="20"/>
        </w:rPr>
        <w:t>informará</w:t>
      </w:r>
      <w:r w:rsidRPr="00AC4AEA">
        <w:rPr>
          <w:rFonts w:ascii="Arial" w:hAnsi="Arial" w:cs="Arial"/>
          <w:sz w:val="20"/>
          <w:szCs w:val="20"/>
        </w:rPr>
        <w:t xml:space="preserve"> claramente</w:t>
      </w:r>
      <w:r w:rsidR="007B7E5B" w:rsidRPr="00AC4AEA">
        <w:rPr>
          <w:rFonts w:ascii="Arial" w:hAnsi="Arial" w:cs="Arial"/>
          <w:sz w:val="20"/>
          <w:szCs w:val="20"/>
        </w:rPr>
        <w:t>, cada vez que sea necesario</w:t>
      </w:r>
      <w:r w:rsidRPr="00AC4AEA">
        <w:rPr>
          <w:rFonts w:ascii="Arial" w:hAnsi="Arial" w:cs="Arial"/>
          <w:sz w:val="20"/>
          <w:szCs w:val="20"/>
        </w:rPr>
        <w:t>:</w:t>
      </w:r>
    </w:p>
    <w:p w:rsidR="00F459BF" w:rsidRPr="00AC4AEA" w:rsidRDefault="00B5320E" w:rsidP="00A318EA">
      <w:pPr>
        <w:pStyle w:val="A-Normal11"/>
        <w:numPr>
          <w:ilvl w:val="0"/>
          <w:numId w:val="221"/>
        </w:numPr>
        <w:ind w:left="1560"/>
        <w:jc w:val="both"/>
        <w:rPr>
          <w:rFonts w:ascii="Arial" w:hAnsi="Arial" w:cs="Arial"/>
          <w:b/>
          <w:sz w:val="20"/>
        </w:rPr>
      </w:pPr>
      <w:r w:rsidRPr="00AC4AEA">
        <w:rPr>
          <w:rFonts w:ascii="Arial" w:hAnsi="Arial" w:cs="Arial"/>
          <w:sz w:val="20"/>
        </w:rPr>
        <w:t>s</w:t>
      </w:r>
      <w:r w:rsidR="004472FF" w:rsidRPr="00AC4AEA">
        <w:rPr>
          <w:rFonts w:ascii="Arial" w:hAnsi="Arial" w:cs="Arial"/>
          <w:sz w:val="20"/>
        </w:rPr>
        <w:t>u</w:t>
      </w:r>
      <w:r w:rsidR="00F459BF" w:rsidRPr="00AC4AEA">
        <w:rPr>
          <w:rFonts w:ascii="Arial" w:hAnsi="Arial" w:cs="Arial"/>
          <w:sz w:val="20"/>
        </w:rPr>
        <w:t xml:space="preserve"> denominación, domicilio legal, forma legal y duración</w:t>
      </w:r>
      <w:r w:rsidR="004472FF" w:rsidRPr="00AC4AEA">
        <w:rPr>
          <w:rFonts w:ascii="Arial" w:hAnsi="Arial" w:cs="Arial"/>
          <w:sz w:val="20"/>
        </w:rPr>
        <w:t>;</w:t>
      </w:r>
      <w:r w:rsidR="007B7E5B" w:rsidRPr="00AC4AEA">
        <w:rPr>
          <w:rFonts w:ascii="Arial" w:hAnsi="Arial" w:cs="Arial"/>
          <w:sz w:val="20"/>
        </w:rPr>
        <w:t xml:space="preserve"> </w:t>
      </w:r>
    </w:p>
    <w:p w:rsidR="00F459BF" w:rsidRPr="00AC4AEA" w:rsidRDefault="00B5320E" w:rsidP="00A318EA">
      <w:pPr>
        <w:pStyle w:val="A-Normal11"/>
        <w:numPr>
          <w:ilvl w:val="0"/>
          <w:numId w:val="221"/>
        </w:numPr>
        <w:ind w:left="1560"/>
        <w:jc w:val="both"/>
        <w:rPr>
          <w:rFonts w:ascii="Arial" w:hAnsi="Arial" w:cs="Arial"/>
          <w:b/>
          <w:sz w:val="20"/>
        </w:rPr>
      </w:pPr>
      <w:r w:rsidRPr="00AC4AEA">
        <w:rPr>
          <w:rFonts w:ascii="Arial" w:hAnsi="Arial" w:cs="Arial"/>
          <w:sz w:val="20"/>
        </w:rPr>
        <w:t>s</w:t>
      </w:r>
      <w:r w:rsidR="004472FF" w:rsidRPr="00AC4AEA">
        <w:rPr>
          <w:rFonts w:ascii="Arial" w:hAnsi="Arial" w:cs="Arial"/>
          <w:sz w:val="20"/>
        </w:rPr>
        <w:t xml:space="preserve">u </w:t>
      </w:r>
      <w:r w:rsidR="00F459BF" w:rsidRPr="00AC4AEA">
        <w:rPr>
          <w:rFonts w:ascii="Arial" w:hAnsi="Arial" w:cs="Arial"/>
          <w:sz w:val="20"/>
        </w:rPr>
        <w:t xml:space="preserve">registro en </w:t>
      </w:r>
      <w:r w:rsidR="00411535" w:rsidRPr="00AC4AEA">
        <w:rPr>
          <w:rFonts w:ascii="Arial" w:hAnsi="Arial" w:cs="Arial"/>
          <w:sz w:val="20"/>
        </w:rPr>
        <w:t>cualquier</w:t>
      </w:r>
      <w:r w:rsidR="00F459BF" w:rsidRPr="00AC4AEA">
        <w:rPr>
          <w:rFonts w:ascii="Arial" w:hAnsi="Arial" w:cs="Arial"/>
          <w:sz w:val="20"/>
        </w:rPr>
        <w:t xml:space="preserve"> organismo de control</w:t>
      </w:r>
      <w:r w:rsidR="00260560" w:rsidRPr="00AC4AEA">
        <w:rPr>
          <w:rFonts w:ascii="Arial" w:hAnsi="Arial" w:cs="Arial"/>
          <w:sz w:val="20"/>
        </w:rPr>
        <w:t xml:space="preserve"> que</w:t>
      </w:r>
      <w:r w:rsidR="004472FF" w:rsidRPr="00AC4AEA">
        <w:rPr>
          <w:rFonts w:ascii="Arial" w:hAnsi="Arial" w:cs="Arial"/>
          <w:sz w:val="20"/>
        </w:rPr>
        <w:t xml:space="preserve"> correspon</w:t>
      </w:r>
      <w:r w:rsidR="00260560" w:rsidRPr="00AC4AEA">
        <w:rPr>
          <w:rFonts w:ascii="Arial" w:hAnsi="Arial" w:cs="Arial"/>
          <w:sz w:val="20"/>
        </w:rPr>
        <w:t>da</w:t>
      </w:r>
      <w:r w:rsidR="004472FF" w:rsidRPr="00AC4AEA">
        <w:rPr>
          <w:rFonts w:ascii="Arial" w:hAnsi="Arial" w:cs="Arial"/>
          <w:sz w:val="20"/>
        </w:rPr>
        <w:t>;</w:t>
      </w:r>
    </w:p>
    <w:p w:rsidR="00F459BF" w:rsidRPr="00AC4AEA" w:rsidRDefault="00B5320E" w:rsidP="00A318EA">
      <w:pPr>
        <w:pStyle w:val="A-Normal11"/>
        <w:numPr>
          <w:ilvl w:val="0"/>
          <w:numId w:val="221"/>
        </w:numPr>
        <w:ind w:left="1560"/>
        <w:jc w:val="both"/>
        <w:rPr>
          <w:rFonts w:ascii="Arial" w:hAnsi="Arial" w:cs="Arial"/>
          <w:b/>
          <w:sz w:val="20"/>
        </w:rPr>
      </w:pPr>
      <w:r w:rsidRPr="00AC4AEA">
        <w:rPr>
          <w:rFonts w:ascii="Arial" w:hAnsi="Arial" w:cs="Arial"/>
          <w:sz w:val="20"/>
        </w:rPr>
        <w:t>l</w:t>
      </w:r>
      <w:r w:rsidR="004472FF" w:rsidRPr="00AC4AEA">
        <w:rPr>
          <w:rFonts w:ascii="Arial" w:hAnsi="Arial" w:cs="Arial"/>
          <w:sz w:val="20"/>
        </w:rPr>
        <w:t>a i</w:t>
      </w:r>
      <w:r w:rsidR="00F459BF" w:rsidRPr="00AC4AEA">
        <w:rPr>
          <w:rFonts w:ascii="Arial" w:hAnsi="Arial" w:cs="Arial"/>
          <w:sz w:val="20"/>
        </w:rPr>
        <w:t>dentificación de su controladora, indicando denominación y domicilio legal</w:t>
      </w:r>
      <w:r w:rsidR="004472FF" w:rsidRPr="00AC4AEA">
        <w:rPr>
          <w:rFonts w:ascii="Arial" w:hAnsi="Arial" w:cs="Arial"/>
          <w:sz w:val="20"/>
        </w:rPr>
        <w:t>, si la entidad fuera una entidad controlada;</w:t>
      </w:r>
    </w:p>
    <w:p w:rsidR="00F459BF" w:rsidRPr="00AC4AEA" w:rsidRDefault="00B5320E" w:rsidP="00A318EA">
      <w:pPr>
        <w:pStyle w:val="A-Normal11"/>
        <w:numPr>
          <w:ilvl w:val="0"/>
          <w:numId w:val="221"/>
        </w:numPr>
        <w:ind w:left="1560"/>
        <w:jc w:val="both"/>
        <w:rPr>
          <w:rFonts w:ascii="Arial" w:hAnsi="Arial" w:cs="Arial"/>
          <w:b/>
          <w:sz w:val="20"/>
        </w:rPr>
      </w:pPr>
      <w:r w:rsidRPr="00AC4AEA">
        <w:rPr>
          <w:rFonts w:ascii="Arial" w:hAnsi="Arial" w:cs="Arial"/>
          <w:sz w:val="20"/>
        </w:rPr>
        <w:t>l</w:t>
      </w:r>
      <w:r w:rsidR="004472FF" w:rsidRPr="00AC4AEA">
        <w:rPr>
          <w:rFonts w:ascii="Arial" w:hAnsi="Arial" w:cs="Arial"/>
          <w:sz w:val="20"/>
        </w:rPr>
        <w:t>os c</w:t>
      </w:r>
      <w:r w:rsidR="00F459BF" w:rsidRPr="00AC4AEA">
        <w:rPr>
          <w:rFonts w:ascii="Arial" w:hAnsi="Arial" w:cs="Arial"/>
          <w:sz w:val="20"/>
        </w:rPr>
        <w:t xml:space="preserve">ambios en la composición de la entidad durante los períodos expuestos, sea que se trate de variaciones en las entidades que lo conforman o de aquellos cuyos </w:t>
      </w:r>
      <w:r w:rsidR="00135084" w:rsidRPr="00AC4AEA">
        <w:rPr>
          <w:rFonts w:ascii="Arial" w:hAnsi="Arial" w:cs="Arial"/>
          <w:b/>
          <w:bCs/>
          <w:sz w:val="20"/>
        </w:rPr>
        <w:t>estados contables</w:t>
      </w:r>
      <w:r w:rsidR="00F459BF" w:rsidRPr="00AC4AEA">
        <w:rPr>
          <w:rFonts w:ascii="Arial" w:hAnsi="Arial" w:cs="Arial"/>
          <w:sz w:val="20"/>
        </w:rPr>
        <w:t xml:space="preserve"> se consolidan</w:t>
      </w:r>
      <w:r w:rsidR="009E5A6A" w:rsidRPr="00AC4AEA">
        <w:rPr>
          <w:rFonts w:ascii="Arial" w:hAnsi="Arial" w:cs="Arial"/>
          <w:sz w:val="20"/>
        </w:rPr>
        <w:t>; y</w:t>
      </w:r>
    </w:p>
    <w:p w:rsidR="009E5A6A" w:rsidRPr="00AC4AEA" w:rsidRDefault="009E5A6A" w:rsidP="00A318EA">
      <w:pPr>
        <w:pStyle w:val="A-Normal11"/>
        <w:numPr>
          <w:ilvl w:val="0"/>
          <w:numId w:val="221"/>
        </w:numPr>
        <w:ind w:left="1560"/>
        <w:jc w:val="both"/>
        <w:rPr>
          <w:rFonts w:ascii="Arial" w:hAnsi="Arial" w:cs="Arial"/>
          <w:b/>
          <w:sz w:val="20"/>
        </w:rPr>
      </w:pPr>
      <w:r w:rsidRPr="00AC4AEA">
        <w:rPr>
          <w:rFonts w:ascii="Arial" w:hAnsi="Arial" w:cs="Arial"/>
          <w:sz w:val="20"/>
        </w:rPr>
        <w:t>una descripción de sus actividades y de las actividades de las entidades en las cuales participa, en la medida en que resulten significativas.</w:t>
      </w:r>
    </w:p>
    <w:p w:rsidR="0059039C" w:rsidRPr="00AC4AEA" w:rsidRDefault="0059039C" w:rsidP="00A318EA">
      <w:pPr>
        <w:pStyle w:val="A-Normal11"/>
        <w:ind w:left="1560"/>
        <w:jc w:val="both"/>
        <w:rPr>
          <w:rFonts w:ascii="Arial" w:hAnsi="Arial" w:cs="Arial"/>
          <w:b/>
          <w:sz w:val="20"/>
        </w:rPr>
      </w:pPr>
    </w:p>
    <w:p w:rsidR="0059039C" w:rsidRPr="00AC4AEA" w:rsidRDefault="0059039C" w:rsidP="00A318EA">
      <w:pPr>
        <w:pStyle w:val="Ttulo3"/>
      </w:pPr>
      <w:bookmarkStart w:id="977" w:name="_Toc139356925"/>
      <w:r w:rsidRPr="00AC4AEA">
        <w:t>Uso del juicio profesional. Causas de incertidumbre en las estimaciones</w:t>
      </w:r>
      <w:bookmarkEnd w:id="977"/>
      <w:r w:rsidRPr="00AC4AEA">
        <w:t xml:space="preserve"> </w:t>
      </w:r>
    </w:p>
    <w:p w:rsidR="0059039C" w:rsidRPr="00AC4AEA" w:rsidRDefault="0059039C" w:rsidP="00A318EA">
      <w:pPr>
        <w:pStyle w:val="Prrafodelista"/>
        <w:numPr>
          <w:ilvl w:val="0"/>
          <w:numId w:val="29"/>
        </w:numPr>
        <w:autoSpaceDE w:val="0"/>
        <w:autoSpaceDN w:val="0"/>
        <w:adjustRightInd w:val="0"/>
        <w:contextualSpacing w:val="0"/>
        <w:jc w:val="both"/>
        <w:rPr>
          <w:rFonts w:ascii="Arial" w:hAnsi="Arial" w:cs="Arial"/>
          <w:b/>
          <w:bCs/>
          <w:sz w:val="20"/>
          <w:szCs w:val="20"/>
        </w:rPr>
      </w:pPr>
      <w:r w:rsidRPr="00AC4AEA">
        <w:rPr>
          <w:rFonts w:ascii="Arial" w:hAnsi="Arial" w:cs="Arial"/>
          <w:sz w:val="20"/>
          <w:szCs w:val="20"/>
        </w:rPr>
        <w:t>Una entidad revelará, junto con sus</w:t>
      </w:r>
      <w:r w:rsidRPr="00AC4AEA">
        <w:rPr>
          <w:rFonts w:ascii="Arial" w:hAnsi="Arial" w:cs="Arial"/>
          <w:b/>
          <w:bCs/>
          <w:sz w:val="20"/>
          <w:szCs w:val="20"/>
        </w:rPr>
        <w:t xml:space="preserve"> políticas contables </w:t>
      </w:r>
      <w:r w:rsidRPr="00AC4AEA">
        <w:rPr>
          <w:rFonts w:ascii="Arial" w:hAnsi="Arial" w:cs="Arial"/>
          <w:sz w:val="20"/>
          <w:szCs w:val="20"/>
        </w:rPr>
        <w:t>significativas u otras notas, los juicios profesionales que ha realizado la</w:t>
      </w:r>
      <w:r w:rsidRPr="00AC4AEA">
        <w:rPr>
          <w:rFonts w:ascii="Arial" w:hAnsi="Arial" w:cs="Arial"/>
          <w:b/>
          <w:bCs/>
          <w:sz w:val="20"/>
          <w:szCs w:val="20"/>
        </w:rPr>
        <w:t xml:space="preserve"> dirección </w:t>
      </w:r>
      <w:r w:rsidRPr="00AC4AEA">
        <w:rPr>
          <w:rFonts w:ascii="Arial" w:hAnsi="Arial" w:cs="Arial"/>
          <w:sz w:val="20"/>
          <w:szCs w:val="20"/>
        </w:rPr>
        <w:t>en el proceso de aplicación de las</w:t>
      </w:r>
      <w:r w:rsidRPr="00AC4AEA">
        <w:rPr>
          <w:rFonts w:ascii="Arial" w:hAnsi="Arial" w:cs="Arial"/>
          <w:b/>
          <w:bCs/>
          <w:sz w:val="20"/>
          <w:szCs w:val="20"/>
        </w:rPr>
        <w:t xml:space="preserve"> políticas contables </w:t>
      </w:r>
      <w:r w:rsidRPr="00AC4AEA">
        <w:rPr>
          <w:rFonts w:ascii="Arial" w:hAnsi="Arial" w:cs="Arial"/>
          <w:sz w:val="20"/>
          <w:szCs w:val="20"/>
        </w:rPr>
        <w:t xml:space="preserve">de la entidad y que tienen el efecto más significativo sobre los importes reconocidos en los </w:t>
      </w:r>
      <w:r w:rsidRPr="00AC4AEA">
        <w:rPr>
          <w:rFonts w:ascii="Arial" w:hAnsi="Arial" w:cs="Arial"/>
          <w:b/>
          <w:bCs/>
          <w:sz w:val="20"/>
          <w:szCs w:val="20"/>
        </w:rPr>
        <w:t>estados contables</w:t>
      </w:r>
      <w:r w:rsidRPr="00AC4AEA">
        <w:rPr>
          <w:rFonts w:ascii="Arial" w:hAnsi="Arial" w:cs="Arial"/>
          <w:sz w:val="20"/>
          <w:szCs w:val="20"/>
        </w:rPr>
        <w:t>.</w:t>
      </w:r>
    </w:p>
    <w:p w:rsidR="0059039C" w:rsidRPr="00AC4AEA" w:rsidRDefault="0059039C" w:rsidP="00A318EA">
      <w:pPr>
        <w:pStyle w:val="Prrafodelista"/>
        <w:numPr>
          <w:ilvl w:val="0"/>
          <w:numId w:val="29"/>
        </w:numPr>
        <w:autoSpaceDE w:val="0"/>
        <w:autoSpaceDN w:val="0"/>
        <w:adjustRightInd w:val="0"/>
        <w:contextualSpacing w:val="0"/>
        <w:jc w:val="both"/>
        <w:rPr>
          <w:rFonts w:ascii="Arial" w:hAnsi="Arial" w:cs="Arial"/>
          <w:sz w:val="20"/>
          <w:szCs w:val="20"/>
        </w:rPr>
      </w:pPr>
      <w:r w:rsidRPr="00AC4AEA">
        <w:rPr>
          <w:rFonts w:ascii="Arial" w:hAnsi="Arial" w:cs="Arial"/>
          <w:sz w:val="20"/>
          <w:szCs w:val="20"/>
        </w:rPr>
        <w:t xml:space="preserve">Una entidad revelará información sobre los supuestos realizados acerca del futuro y otras causas de incertidumbre en la estimación a la </w:t>
      </w:r>
      <w:r w:rsidRPr="00AC4AEA">
        <w:rPr>
          <w:rFonts w:ascii="Arial" w:hAnsi="Arial" w:cs="Arial"/>
          <w:b/>
          <w:bCs/>
          <w:sz w:val="20"/>
          <w:szCs w:val="20"/>
        </w:rPr>
        <w:t>fecha de los estados contables</w:t>
      </w:r>
      <w:r w:rsidRPr="00AC4AEA">
        <w:rPr>
          <w:rFonts w:ascii="Arial" w:hAnsi="Arial" w:cs="Arial"/>
          <w:sz w:val="20"/>
          <w:szCs w:val="20"/>
        </w:rPr>
        <w:t xml:space="preserve">, que tengan un riesgo significativo de ocasionar ajustes significativos en el valor contable de los activos o pasivos dentro </w:t>
      </w:r>
      <w:r w:rsidR="004E3FBF" w:rsidRPr="00AC4AEA">
        <w:rPr>
          <w:rFonts w:ascii="Arial" w:hAnsi="Arial" w:cs="Arial"/>
          <w:sz w:val="20"/>
          <w:szCs w:val="20"/>
        </w:rPr>
        <w:t>del período</w:t>
      </w:r>
      <w:r w:rsidRPr="00AC4AEA">
        <w:rPr>
          <w:rFonts w:ascii="Arial" w:hAnsi="Arial" w:cs="Arial"/>
          <w:sz w:val="20"/>
          <w:szCs w:val="20"/>
        </w:rPr>
        <w:t xml:space="preserve"> contable siguiente. Con respecto a esos activos y pasivos, las notas incluirán detalles de:</w:t>
      </w:r>
    </w:p>
    <w:p w:rsidR="0059039C" w:rsidRPr="00AC4AEA" w:rsidRDefault="0059039C" w:rsidP="00A318EA">
      <w:pPr>
        <w:pStyle w:val="A-Normal11"/>
        <w:numPr>
          <w:ilvl w:val="0"/>
          <w:numId w:val="405"/>
        </w:numPr>
        <w:ind w:left="1560"/>
        <w:jc w:val="both"/>
        <w:rPr>
          <w:rFonts w:ascii="Arial" w:hAnsi="Arial" w:cs="Arial"/>
          <w:sz w:val="20"/>
        </w:rPr>
      </w:pPr>
      <w:r w:rsidRPr="00AC4AEA">
        <w:rPr>
          <w:rFonts w:ascii="Arial" w:hAnsi="Arial" w:cs="Arial"/>
          <w:sz w:val="20"/>
        </w:rPr>
        <w:t>su naturaleza; y</w:t>
      </w:r>
    </w:p>
    <w:p w:rsidR="0059039C" w:rsidRPr="00AC4AEA" w:rsidRDefault="0059039C" w:rsidP="00A318EA">
      <w:pPr>
        <w:pStyle w:val="A-Normal11"/>
        <w:numPr>
          <w:ilvl w:val="0"/>
          <w:numId w:val="405"/>
        </w:numPr>
        <w:ind w:left="1560"/>
        <w:jc w:val="both"/>
        <w:rPr>
          <w:rFonts w:ascii="Arial" w:hAnsi="Arial" w:cs="Arial"/>
          <w:sz w:val="20"/>
        </w:rPr>
      </w:pPr>
      <w:r w:rsidRPr="00AC4AEA">
        <w:rPr>
          <w:rFonts w:ascii="Arial" w:hAnsi="Arial" w:cs="Arial"/>
          <w:sz w:val="20"/>
        </w:rPr>
        <w:t xml:space="preserve">su valor contable a la </w:t>
      </w:r>
      <w:r w:rsidRPr="00AC4AEA">
        <w:rPr>
          <w:rFonts w:ascii="Arial" w:hAnsi="Arial" w:cs="Arial"/>
          <w:b/>
          <w:bCs/>
          <w:sz w:val="20"/>
        </w:rPr>
        <w:t>fecha de los estados contables</w:t>
      </w:r>
      <w:r w:rsidRPr="00AC4AEA">
        <w:rPr>
          <w:rFonts w:ascii="Arial" w:hAnsi="Arial" w:cs="Arial"/>
          <w:sz w:val="20"/>
        </w:rPr>
        <w:t>.</w:t>
      </w:r>
    </w:p>
    <w:p w:rsidR="00F459BF" w:rsidRPr="00AC4AEA" w:rsidRDefault="00F459BF" w:rsidP="00A318EA">
      <w:pPr>
        <w:pStyle w:val="A-doctorado"/>
        <w:jc w:val="both"/>
        <w:rPr>
          <w:rFonts w:ascii="Arial" w:hAnsi="Arial"/>
          <w:color w:val="auto"/>
          <w:sz w:val="20"/>
          <w:szCs w:val="20"/>
        </w:rPr>
      </w:pPr>
    </w:p>
    <w:p w:rsidR="00F459BF" w:rsidRPr="00AC4AEA" w:rsidRDefault="00F459BF" w:rsidP="00A318EA">
      <w:pPr>
        <w:pStyle w:val="Ttulo3"/>
      </w:pPr>
      <w:bookmarkStart w:id="978" w:name="_Toc101864027"/>
      <w:bookmarkStart w:id="979" w:name="_Toc139356926"/>
      <w:r w:rsidRPr="00AC4AEA">
        <w:lastRenderedPageBreak/>
        <w:t>Capital de la entidad</w:t>
      </w:r>
      <w:bookmarkEnd w:id="978"/>
      <w:bookmarkEnd w:id="979"/>
    </w:p>
    <w:p w:rsidR="004472F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Una entidad expondrá</w:t>
      </w:r>
      <w:r w:rsidR="004472FF" w:rsidRPr="00AC4AEA">
        <w:rPr>
          <w:rFonts w:ascii="Arial" w:hAnsi="Arial" w:cs="Arial"/>
          <w:sz w:val="20"/>
          <w:szCs w:val="20"/>
        </w:rPr>
        <w:t>:</w:t>
      </w:r>
      <w:r w:rsidRPr="00AC4AEA">
        <w:rPr>
          <w:rFonts w:ascii="Arial" w:hAnsi="Arial" w:cs="Arial"/>
          <w:sz w:val="20"/>
          <w:szCs w:val="20"/>
        </w:rPr>
        <w:t xml:space="preserve"> </w:t>
      </w:r>
    </w:p>
    <w:p w:rsidR="004472FF" w:rsidRPr="00AC4AEA" w:rsidRDefault="00FB12A9" w:rsidP="00A318EA">
      <w:pPr>
        <w:pStyle w:val="A-Normal11"/>
        <w:numPr>
          <w:ilvl w:val="0"/>
          <w:numId w:val="222"/>
        </w:numPr>
        <w:ind w:left="1560"/>
        <w:jc w:val="both"/>
        <w:rPr>
          <w:rFonts w:ascii="Arial" w:hAnsi="Arial" w:cs="Arial"/>
          <w:b/>
          <w:sz w:val="20"/>
        </w:rPr>
      </w:pPr>
      <w:r w:rsidRPr="00AC4AEA">
        <w:rPr>
          <w:rFonts w:ascii="Arial" w:hAnsi="Arial" w:cs="Arial"/>
          <w:sz w:val="20"/>
        </w:rPr>
        <w:t>e</w:t>
      </w:r>
      <w:r w:rsidR="00F459BF" w:rsidRPr="00AC4AEA">
        <w:rPr>
          <w:rFonts w:ascii="Arial" w:hAnsi="Arial" w:cs="Arial"/>
          <w:sz w:val="20"/>
        </w:rPr>
        <w:t>l monto y composición del capital</w:t>
      </w:r>
      <w:r w:rsidR="00665B89" w:rsidRPr="00AC4AEA">
        <w:rPr>
          <w:rFonts w:ascii="Arial" w:hAnsi="Arial" w:cs="Arial"/>
          <w:sz w:val="20"/>
        </w:rPr>
        <w:t>;</w:t>
      </w:r>
      <w:r w:rsidR="00F459BF" w:rsidRPr="00AC4AEA">
        <w:rPr>
          <w:rFonts w:ascii="Arial" w:hAnsi="Arial" w:cs="Arial"/>
          <w:sz w:val="20"/>
        </w:rPr>
        <w:t xml:space="preserve"> y</w:t>
      </w:r>
    </w:p>
    <w:p w:rsidR="00F459BF" w:rsidRPr="00AC4AEA" w:rsidRDefault="00FB12A9" w:rsidP="00A318EA">
      <w:pPr>
        <w:pStyle w:val="A-Normal11"/>
        <w:numPr>
          <w:ilvl w:val="0"/>
          <w:numId w:val="222"/>
        </w:numPr>
        <w:ind w:left="1560"/>
        <w:jc w:val="both"/>
        <w:rPr>
          <w:rFonts w:ascii="Arial" w:hAnsi="Arial" w:cs="Arial"/>
          <w:b/>
          <w:sz w:val="20"/>
        </w:rPr>
      </w:pPr>
      <w:r w:rsidRPr="00AC4AEA">
        <w:rPr>
          <w:rFonts w:ascii="Arial" w:hAnsi="Arial" w:cs="Arial"/>
          <w:sz w:val="20"/>
        </w:rPr>
        <w:t>l</w:t>
      </w:r>
      <w:r w:rsidR="004472FF" w:rsidRPr="00AC4AEA">
        <w:rPr>
          <w:rFonts w:ascii="Arial" w:hAnsi="Arial" w:cs="Arial"/>
          <w:sz w:val="20"/>
        </w:rPr>
        <w:t xml:space="preserve">a </w:t>
      </w:r>
      <w:r w:rsidR="00F459BF" w:rsidRPr="00AC4AEA">
        <w:rPr>
          <w:rFonts w:ascii="Arial" w:hAnsi="Arial" w:cs="Arial"/>
          <w:sz w:val="20"/>
        </w:rPr>
        <w:t>cantidad y características de las distintas clases de acciones en circulación y en cartera</w:t>
      </w:r>
      <w:r w:rsidR="004472FF" w:rsidRPr="00AC4AEA">
        <w:rPr>
          <w:rFonts w:ascii="Arial" w:hAnsi="Arial" w:cs="Arial"/>
          <w:sz w:val="20"/>
        </w:rPr>
        <w:t>, si correspondiera.</w:t>
      </w:r>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Una entidad</w:t>
      </w:r>
      <w:r w:rsidR="00835565" w:rsidRPr="00AC4AEA">
        <w:rPr>
          <w:rFonts w:ascii="Arial" w:hAnsi="Arial" w:cs="Arial"/>
          <w:sz w:val="20"/>
          <w:szCs w:val="20"/>
        </w:rPr>
        <w:t xml:space="preserve"> </w:t>
      </w:r>
      <w:r w:rsidR="004472FF" w:rsidRPr="00AC4AEA">
        <w:rPr>
          <w:rFonts w:ascii="Arial" w:hAnsi="Arial" w:cs="Arial"/>
          <w:sz w:val="20"/>
          <w:szCs w:val="20"/>
        </w:rPr>
        <w:t>cuyo capital está representado por acciones</w:t>
      </w:r>
      <w:r w:rsidRPr="00AC4AEA">
        <w:rPr>
          <w:rFonts w:ascii="Arial" w:hAnsi="Arial" w:cs="Arial"/>
          <w:sz w:val="20"/>
          <w:szCs w:val="20"/>
        </w:rPr>
        <w:t xml:space="preserve"> revelará</w:t>
      </w:r>
      <w:r w:rsidR="004472FF" w:rsidRPr="00AC4AEA">
        <w:rPr>
          <w:rFonts w:ascii="Arial" w:hAnsi="Arial" w:cs="Arial"/>
          <w:sz w:val="20"/>
          <w:szCs w:val="20"/>
        </w:rPr>
        <w:t>, por cada clase de acciones:</w:t>
      </w:r>
    </w:p>
    <w:p w:rsidR="00F459BF" w:rsidRPr="00AC4AEA" w:rsidRDefault="00FB12A9" w:rsidP="00A318EA">
      <w:pPr>
        <w:pStyle w:val="A-Normal11"/>
        <w:numPr>
          <w:ilvl w:val="0"/>
          <w:numId w:val="223"/>
        </w:numPr>
        <w:ind w:left="1560"/>
        <w:jc w:val="both"/>
        <w:rPr>
          <w:rFonts w:ascii="Arial" w:hAnsi="Arial" w:cs="Arial"/>
          <w:b/>
          <w:sz w:val="20"/>
        </w:rPr>
      </w:pPr>
      <w:r w:rsidRPr="00AC4AEA">
        <w:rPr>
          <w:rFonts w:ascii="Arial" w:hAnsi="Arial" w:cs="Arial"/>
          <w:sz w:val="20"/>
        </w:rPr>
        <w:t>e</w:t>
      </w:r>
      <w:r w:rsidR="00F459BF" w:rsidRPr="00AC4AEA">
        <w:rPr>
          <w:rFonts w:ascii="Arial" w:hAnsi="Arial" w:cs="Arial"/>
          <w:sz w:val="20"/>
        </w:rPr>
        <w:t>l número de acciones autorizadas;</w:t>
      </w:r>
    </w:p>
    <w:p w:rsidR="00F459BF" w:rsidRPr="00AC4AEA" w:rsidRDefault="00FB12A9" w:rsidP="00A318EA">
      <w:pPr>
        <w:pStyle w:val="A-Normal11"/>
        <w:numPr>
          <w:ilvl w:val="0"/>
          <w:numId w:val="223"/>
        </w:numPr>
        <w:ind w:left="1560"/>
        <w:jc w:val="both"/>
        <w:rPr>
          <w:rFonts w:ascii="Arial" w:hAnsi="Arial" w:cs="Arial"/>
          <w:b/>
          <w:sz w:val="20"/>
        </w:rPr>
      </w:pPr>
      <w:r w:rsidRPr="00AC4AEA">
        <w:rPr>
          <w:rFonts w:ascii="Arial" w:hAnsi="Arial" w:cs="Arial"/>
          <w:sz w:val="20"/>
        </w:rPr>
        <w:t>e</w:t>
      </w:r>
      <w:r w:rsidR="00F459BF" w:rsidRPr="00AC4AEA">
        <w:rPr>
          <w:rFonts w:ascii="Arial" w:hAnsi="Arial" w:cs="Arial"/>
          <w:sz w:val="20"/>
        </w:rPr>
        <w:t>l número de acciones suscriptas e integradas totalmente, así como las suscriptas, pero aún no integradas en su totalidad;</w:t>
      </w:r>
    </w:p>
    <w:p w:rsidR="00F459BF" w:rsidRPr="00AC4AEA" w:rsidRDefault="00FB12A9" w:rsidP="00A318EA">
      <w:pPr>
        <w:pStyle w:val="A-Normal11"/>
        <w:numPr>
          <w:ilvl w:val="0"/>
          <w:numId w:val="223"/>
        </w:numPr>
        <w:ind w:left="1560"/>
        <w:jc w:val="both"/>
        <w:rPr>
          <w:rFonts w:ascii="Arial" w:hAnsi="Arial" w:cs="Arial"/>
          <w:b/>
          <w:sz w:val="20"/>
        </w:rPr>
      </w:pPr>
      <w:r w:rsidRPr="00AC4AEA">
        <w:rPr>
          <w:rFonts w:ascii="Arial" w:hAnsi="Arial" w:cs="Arial"/>
          <w:sz w:val="20"/>
        </w:rPr>
        <w:t>e</w:t>
      </w:r>
      <w:r w:rsidR="00F459BF" w:rsidRPr="00AC4AEA">
        <w:rPr>
          <w:rFonts w:ascii="Arial" w:hAnsi="Arial" w:cs="Arial"/>
          <w:sz w:val="20"/>
        </w:rPr>
        <w:t>l valor nominal de las acciones;</w:t>
      </w:r>
    </w:p>
    <w:p w:rsidR="00F459BF" w:rsidRPr="00AC4AEA" w:rsidRDefault="00FB12A9" w:rsidP="00A318EA">
      <w:pPr>
        <w:pStyle w:val="A-Normal11"/>
        <w:numPr>
          <w:ilvl w:val="0"/>
          <w:numId w:val="223"/>
        </w:numPr>
        <w:ind w:left="1560"/>
        <w:jc w:val="both"/>
        <w:rPr>
          <w:rFonts w:ascii="Arial" w:hAnsi="Arial" w:cs="Arial"/>
          <w:b/>
          <w:sz w:val="20"/>
        </w:rPr>
      </w:pPr>
      <w:r w:rsidRPr="00AC4AEA">
        <w:rPr>
          <w:rFonts w:ascii="Arial" w:hAnsi="Arial" w:cs="Arial"/>
          <w:sz w:val="20"/>
        </w:rPr>
        <w:t>u</w:t>
      </w:r>
      <w:r w:rsidR="00F459BF" w:rsidRPr="00AC4AEA">
        <w:rPr>
          <w:rFonts w:ascii="Arial" w:hAnsi="Arial" w:cs="Arial"/>
          <w:sz w:val="20"/>
        </w:rPr>
        <w:t xml:space="preserve">na conciliación entre el número de acciones en circulación al principio y al final </w:t>
      </w:r>
      <w:r w:rsidR="004E3FBF" w:rsidRPr="00AC4AEA">
        <w:rPr>
          <w:rFonts w:ascii="Arial" w:hAnsi="Arial" w:cs="Arial"/>
          <w:sz w:val="20"/>
        </w:rPr>
        <w:t>del período</w:t>
      </w:r>
      <w:r w:rsidR="00F459BF" w:rsidRPr="00AC4AEA">
        <w:rPr>
          <w:rFonts w:ascii="Arial" w:hAnsi="Arial" w:cs="Arial"/>
          <w:sz w:val="20"/>
        </w:rPr>
        <w:t>;</w:t>
      </w:r>
    </w:p>
    <w:p w:rsidR="00F459BF" w:rsidRPr="00AC4AEA" w:rsidRDefault="00FB12A9" w:rsidP="00A318EA">
      <w:pPr>
        <w:pStyle w:val="A-Normal11"/>
        <w:numPr>
          <w:ilvl w:val="0"/>
          <w:numId w:val="223"/>
        </w:numPr>
        <w:ind w:left="1560"/>
        <w:jc w:val="both"/>
        <w:rPr>
          <w:rFonts w:ascii="Arial" w:hAnsi="Arial" w:cs="Arial"/>
          <w:b/>
          <w:sz w:val="20"/>
        </w:rPr>
      </w:pPr>
      <w:r w:rsidRPr="00AC4AEA">
        <w:rPr>
          <w:rFonts w:ascii="Arial" w:hAnsi="Arial" w:cs="Arial"/>
          <w:sz w:val="20"/>
        </w:rPr>
        <w:t>l</w:t>
      </w:r>
      <w:r w:rsidR="00F459BF" w:rsidRPr="00AC4AEA">
        <w:rPr>
          <w:rFonts w:ascii="Arial" w:hAnsi="Arial" w:cs="Arial"/>
          <w:sz w:val="20"/>
        </w:rPr>
        <w:t>os derechos, privilegios y restricciones correspondientes a cada clase de acciones, incluyendo las restricciones sobre la distribución de dividendos y el reembolso del capital;</w:t>
      </w:r>
    </w:p>
    <w:p w:rsidR="00F459BF" w:rsidRPr="00AC4AEA" w:rsidRDefault="00FB12A9" w:rsidP="00A318EA">
      <w:pPr>
        <w:pStyle w:val="A-Normal11"/>
        <w:numPr>
          <w:ilvl w:val="0"/>
          <w:numId w:val="223"/>
        </w:numPr>
        <w:ind w:left="1560"/>
        <w:jc w:val="both"/>
        <w:rPr>
          <w:rFonts w:ascii="Arial" w:hAnsi="Arial" w:cs="Arial"/>
          <w:b/>
          <w:sz w:val="20"/>
        </w:rPr>
      </w:pPr>
      <w:r w:rsidRPr="00AC4AEA">
        <w:rPr>
          <w:rFonts w:ascii="Arial" w:hAnsi="Arial" w:cs="Arial"/>
          <w:sz w:val="20"/>
        </w:rPr>
        <w:t>l</w:t>
      </w:r>
      <w:r w:rsidR="00F459BF" w:rsidRPr="00AC4AEA">
        <w:rPr>
          <w:rFonts w:ascii="Arial" w:hAnsi="Arial" w:cs="Arial"/>
          <w:sz w:val="20"/>
        </w:rPr>
        <w:t>as acciones de la entidad que estén en su poder o bien en el de sus subsidiarias o asociadas; y</w:t>
      </w:r>
    </w:p>
    <w:p w:rsidR="00F459BF" w:rsidRPr="00AC4AEA" w:rsidRDefault="00FB12A9" w:rsidP="00A318EA">
      <w:pPr>
        <w:pStyle w:val="A-Normal11"/>
        <w:numPr>
          <w:ilvl w:val="0"/>
          <w:numId w:val="223"/>
        </w:numPr>
        <w:ind w:left="1560"/>
        <w:jc w:val="both"/>
        <w:rPr>
          <w:rFonts w:ascii="Arial" w:hAnsi="Arial" w:cs="Arial"/>
          <w:b/>
          <w:sz w:val="20"/>
        </w:rPr>
      </w:pPr>
      <w:r w:rsidRPr="00AC4AEA">
        <w:rPr>
          <w:rFonts w:ascii="Arial" w:hAnsi="Arial" w:cs="Arial"/>
          <w:sz w:val="20"/>
        </w:rPr>
        <w:t>l</w:t>
      </w:r>
      <w:r w:rsidR="00F459BF" w:rsidRPr="00AC4AEA">
        <w:rPr>
          <w:rFonts w:ascii="Arial" w:hAnsi="Arial" w:cs="Arial"/>
          <w:sz w:val="20"/>
        </w:rPr>
        <w:t>as acciones cuya emisión está reservada como consecuencia de la existencia de opciones o contratos para la venta de acciones, incluyendo las condiciones e importes correspondientes</w:t>
      </w:r>
      <w:r w:rsidR="004472FF" w:rsidRPr="00AC4AEA">
        <w:rPr>
          <w:rFonts w:ascii="Arial" w:hAnsi="Arial" w:cs="Arial"/>
          <w:sz w:val="20"/>
        </w:rPr>
        <w:t>.</w:t>
      </w:r>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Una entidad </w:t>
      </w:r>
      <w:r w:rsidR="004472FF" w:rsidRPr="00AC4AEA">
        <w:rPr>
          <w:rFonts w:ascii="Arial" w:hAnsi="Arial" w:cs="Arial"/>
          <w:sz w:val="20"/>
          <w:szCs w:val="20"/>
        </w:rPr>
        <w:t>cuyo</w:t>
      </w:r>
      <w:r w:rsidRPr="00AC4AEA">
        <w:rPr>
          <w:rFonts w:ascii="Arial" w:hAnsi="Arial" w:cs="Arial"/>
          <w:sz w:val="20"/>
          <w:szCs w:val="20"/>
        </w:rPr>
        <w:t xml:space="preserve"> capital</w:t>
      </w:r>
      <w:r w:rsidR="00835565" w:rsidRPr="00AC4AEA">
        <w:rPr>
          <w:rFonts w:ascii="Arial" w:hAnsi="Arial" w:cs="Arial"/>
          <w:sz w:val="20"/>
          <w:szCs w:val="20"/>
        </w:rPr>
        <w:t xml:space="preserve"> </w:t>
      </w:r>
      <w:r w:rsidR="004472FF" w:rsidRPr="00AC4AEA">
        <w:rPr>
          <w:rFonts w:ascii="Arial" w:hAnsi="Arial" w:cs="Arial"/>
          <w:sz w:val="20"/>
          <w:szCs w:val="20"/>
        </w:rPr>
        <w:t>no está representado por</w:t>
      </w:r>
      <w:r w:rsidRPr="00AC4AEA">
        <w:rPr>
          <w:rFonts w:ascii="Arial" w:hAnsi="Arial" w:cs="Arial"/>
          <w:sz w:val="20"/>
          <w:szCs w:val="20"/>
        </w:rPr>
        <w:t xml:space="preserve"> acciones, </w:t>
      </w:r>
      <w:r w:rsidR="004472FF" w:rsidRPr="00AC4AEA">
        <w:rPr>
          <w:rFonts w:ascii="Arial" w:hAnsi="Arial" w:cs="Arial"/>
          <w:sz w:val="20"/>
          <w:szCs w:val="20"/>
        </w:rPr>
        <w:t xml:space="preserve">según corresponda </w:t>
      </w:r>
      <w:r w:rsidR="00665B89" w:rsidRPr="00AC4AEA">
        <w:rPr>
          <w:rFonts w:ascii="Arial" w:hAnsi="Arial" w:cs="Arial"/>
          <w:sz w:val="20"/>
          <w:szCs w:val="20"/>
        </w:rPr>
        <w:t xml:space="preserve">a </w:t>
      </w:r>
      <w:r w:rsidR="004472FF" w:rsidRPr="00AC4AEA">
        <w:rPr>
          <w:rFonts w:ascii="Arial" w:hAnsi="Arial" w:cs="Arial"/>
          <w:sz w:val="20"/>
          <w:szCs w:val="20"/>
        </w:rPr>
        <w:t xml:space="preserve">su forma </w:t>
      </w:r>
      <w:r w:rsidRPr="00AC4AEA">
        <w:rPr>
          <w:rFonts w:ascii="Arial" w:hAnsi="Arial" w:cs="Arial"/>
          <w:sz w:val="20"/>
          <w:szCs w:val="20"/>
        </w:rPr>
        <w:t>societaria o fiduciaria, revelará información equivalente a la requerida en el párrafo anterior, mostrando los cambios producidos durante el per</w:t>
      </w:r>
      <w:r w:rsidR="00665B89" w:rsidRPr="00AC4AEA">
        <w:rPr>
          <w:rFonts w:ascii="Arial" w:hAnsi="Arial" w:cs="Arial"/>
          <w:sz w:val="20"/>
          <w:szCs w:val="20"/>
        </w:rPr>
        <w:t>í</w:t>
      </w:r>
      <w:r w:rsidRPr="00AC4AEA">
        <w:rPr>
          <w:rFonts w:ascii="Arial" w:hAnsi="Arial" w:cs="Arial"/>
          <w:sz w:val="20"/>
          <w:szCs w:val="20"/>
        </w:rPr>
        <w:t xml:space="preserve">odo en cada una de las categorías que componen el </w:t>
      </w:r>
      <w:r w:rsidRPr="00AC4AEA">
        <w:rPr>
          <w:rFonts w:ascii="Arial" w:hAnsi="Arial" w:cs="Arial"/>
          <w:b/>
          <w:bCs/>
          <w:sz w:val="20"/>
          <w:szCs w:val="20"/>
        </w:rPr>
        <w:t>patrimonio neto</w:t>
      </w:r>
      <w:r w:rsidRPr="00AC4AEA">
        <w:rPr>
          <w:rFonts w:ascii="Arial" w:hAnsi="Arial" w:cs="Arial"/>
          <w:sz w:val="20"/>
          <w:szCs w:val="20"/>
        </w:rPr>
        <w:t xml:space="preserve"> y los derechos, privilegios y restricciones asociados a cada una.</w:t>
      </w:r>
    </w:p>
    <w:p w:rsidR="00C728BD" w:rsidRPr="00AC4AEA" w:rsidRDefault="00C728BD" w:rsidP="00A318EA">
      <w:pPr>
        <w:pStyle w:val="Prrafodelista"/>
        <w:ind w:left="993"/>
        <w:contextualSpacing w:val="0"/>
        <w:jc w:val="both"/>
        <w:rPr>
          <w:rFonts w:ascii="Arial" w:hAnsi="Arial" w:cs="Arial"/>
          <w:b/>
          <w:sz w:val="20"/>
          <w:szCs w:val="20"/>
        </w:rPr>
      </w:pPr>
    </w:p>
    <w:p w:rsidR="00C728BD" w:rsidRPr="00AC4AEA" w:rsidRDefault="00517938" w:rsidP="00A318EA">
      <w:pPr>
        <w:pStyle w:val="Ttulo3"/>
      </w:pPr>
      <w:bookmarkStart w:id="980" w:name="_Toc139356927"/>
      <w:r w:rsidRPr="00AC4AEA">
        <w:t>Reservas</w:t>
      </w:r>
      <w:bookmarkEnd w:id="980"/>
    </w:p>
    <w:p w:rsidR="004472FF" w:rsidRPr="00AC4AEA" w:rsidRDefault="004472F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Una entidad describirá la naturaleza y destino de cada reserva que figure en el </w:t>
      </w:r>
      <w:r w:rsidRPr="00AC4AEA">
        <w:rPr>
          <w:rFonts w:ascii="Arial" w:hAnsi="Arial" w:cs="Arial"/>
          <w:b/>
          <w:bCs/>
          <w:sz w:val="20"/>
          <w:szCs w:val="20"/>
        </w:rPr>
        <w:t>patrimonio neto</w:t>
      </w:r>
      <w:r w:rsidRPr="00AC4AEA">
        <w:rPr>
          <w:rFonts w:ascii="Arial" w:hAnsi="Arial" w:cs="Arial"/>
          <w:sz w:val="20"/>
          <w:szCs w:val="20"/>
        </w:rPr>
        <w:t>.</w:t>
      </w:r>
    </w:p>
    <w:p w:rsidR="00F459BF" w:rsidRPr="00AC4AEA" w:rsidRDefault="00F459BF" w:rsidP="00A318EA">
      <w:pPr>
        <w:autoSpaceDE w:val="0"/>
        <w:autoSpaceDN w:val="0"/>
        <w:adjustRightInd w:val="0"/>
        <w:jc w:val="both"/>
        <w:rPr>
          <w:rFonts w:ascii="Arial" w:hAnsi="Arial" w:cs="Arial"/>
          <w:b/>
          <w:bCs/>
          <w:sz w:val="20"/>
          <w:szCs w:val="20"/>
        </w:rPr>
      </w:pPr>
    </w:p>
    <w:p w:rsidR="00F459BF" w:rsidRPr="00AC4AEA" w:rsidRDefault="008E3750" w:rsidP="00A318EA">
      <w:pPr>
        <w:pStyle w:val="Ttulo3"/>
      </w:pPr>
      <w:bookmarkStart w:id="981" w:name="_Toc101864028"/>
      <w:bookmarkStart w:id="982" w:name="_Toc139356928"/>
      <w:r w:rsidRPr="00AC4AEA">
        <w:t>Información a revelar</w:t>
      </w:r>
      <w:r w:rsidR="003744AB" w:rsidRPr="00AC4AEA">
        <w:t xml:space="preserve"> </w:t>
      </w:r>
      <w:r w:rsidR="004C18C7" w:rsidRPr="00AC4AEA">
        <w:t xml:space="preserve">acerca de </w:t>
      </w:r>
      <w:r w:rsidRPr="00AC4AEA">
        <w:t>circunstancias que afecten</w:t>
      </w:r>
      <w:r w:rsidR="003713B4" w:rsidRPr="00AC4AEA">
        <w:t xml:space="preserve"> la c</w:t>
      </w:r>
      <w:r w:rsidR="00F459BF" w:rsidRPr="00AC4AEA">
        <w:t>omparabilidad</w:t>
      </w:r>
      <w:bookmarkEnd w:id="981"/>
      <w:bookmarkEnd w:id="982"/>
    </w:p>
    <w:p w:rsidR="004472F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Una entidad informará </w:t>
      </w:r>
      <w:r w:rsidR="004472FF" w:rsidRPr="00AC4AEA">
        <w:rPr>
          <w:rFonts w:ascii="Arial" w:hAnsi="Arial" w:cs="Arial"/>
          <w:sz w:val="20"/>
          <w:szCs w:val="20"/>
        </w:rPr>
        <w:t>sobre cambios en</w:t>
      </w:r>
      <w:r w:rsidRPr="00AC4AEA">
        <w:rPr>
          <w:rFonts w:ascii="Arial" w:hAnsi="Arial" w:cs="Arial"/>
          <w:sz w:val="20"/>
          <w:szCs w:val="20"/>
        </w:rPr>
        <w:t xml:space="preserve"> su composición</w:t>
      </w:r>
      <w:r w:rsidR="004472FF" w:rsidRPr="00AC4AEA">
        <w:rPr>
          <w:rFonts w:ascii="Arial" w:hAnsi="Arial" w:cs="Arial"/>
          <w:sz w:val="20"/>
          <w:szCs w:val="20"/>
        </w:rPr>
        <w:t xml:space="preserve"> o en sus</w:t>
      </w:r>
      <w:r w:rsidRPr="00AC4AEA">
        <w:rPr>
          <w:rFonts w:ascii="Arial" w:hAnsi="Arial" w:cs="Arial"/>
          <w:sz w:val="20"/>
          <w:szCs w:val="20"/>
        </w:rPr>
        <w:t xml:space="preserve"> actividades </w:t>
      </w:r>
      <w:r w:rsidR="004472FF" w:rsidRPr="00AC4AEA">
        <w:rPr>
          <w:rFonts w:ascii="Arial" w:hAnsi="Arial" w:cs="Arial"/>
          <w:sz w:val="20"/>
          <w:szCs w:val="20"/>
        </w:rPr>
        <w:t>o sobre otros hechos que, ocurridos durante</w:t>
      </w:r>
      <w:r w:rsidRPr="00AC4AEA">
        <w:rPr>
          <w:rFonts w:ascii="Arial" w:hAnsi="Arial" w:cs="Arial"/>
          <w:sz w:val="20"/>
          <w:szCs w:val="20"/>
        </w:rPr>
        <w:t xml:space="preserve"> los períodos comprendidos por los </w:t>
      </w:r>
      <w:r w:rsidR="00135084" w:rsidRPr="00AC4AEA">
        <w:rPr>
          <w:rFonts w:ascii="Arial" w:hAnsi="Arial" w:cs="Arial"/>
          <w:b/>
          <w:bCs/>
          <w:sz w:val="20"/>
          <w:szCs w:val="20"/>
        </w:rPr>
        <w:t>estados contables</w:t>
      </w:r>
      <w:r w:rsidRPr="00AC4AEA">
        <w:rPr>
          <w:rFonts w:ascii="Arial" w:hAnsi="Arial" w:cs="Arial"/>
          <w:sz w:val="20"/>
          <w:szCs w:val="20"/>
        </w:rPr>
        <w:t xml:space="preserve">, afecten </w:t>
      </w:r>
      <w:r w:rsidR="004472FF" w:rsidRPr="00AC4AEA">
        <w:rPr>
          <w:rFonts w:ascii="Arial" w:hAnsi="Arial" w:cs="Arial"/>
          <w:sz w:val="20"/>
          <w:szCs w:val="20"/>
        </w:rPr>
        <w:t xml:space="preserve">o podrían afectar </w:t>
      </w:r>
      <w:r w:rsidRPr="00AC4AEA">
        <w:rPr>
          <w:rFonts w:ascii="Arial" w:hAnsi="Arial" w:cs="Arial"/>
          <w:sz w:val="20"/>
          <w:szCs w:val="20"/>
        </w:rPr>
        <w:t>la comparabilidad</w:t>
      </w:r>
      <w:r w:rsidR="004472FF" w:rsidRPr="00AC4AEA">
        <w:rPr>
          <w:rFonts w:ascii="Arial" w:hAnsi="Arial" w:cs="Arial"/>
          <w:sz w:val="20"/>
          <w:szCs w:val="20"/>
        </w:rPr>
        <w:t>:</w:t>
      </w:r>
    </w:p>
    <w:p w:rsidR="004472FF" w:rsidRPr="00AC4AEA" w:rsidRDefault="00322565" w:rsidP="00A318EA">
      <w:pPr>
        <w:pStyle w:val="Prrafodelista"/>
        <w:numPr>
          <w:ilvl w:val="0"/>
          <w:numId w:val="224"/>
        </w:numPr>
        <w:ind w:left="1560"/>
        <w:contextualSpacing w:val="0"/>
        <w:jc w:val="both"/>
        <w:rPr>
          <w:rFonts w:ascii="Arial" w:hAnsi="Arial" w:cs="Arial"/>
          <w:b/>
          <w:sz w:val="20"/>
          <w:szCs w:val="20"/>
        </w:rPr>
      </w:pPr>
      <w:r w:rsidRPr="00AC4AEA">
        <w:rPr>
          <w:rFonts w:ascii="Arial" w:hAnsi="Arial" w:cs="Arial"/>
          <w:sz w:val="20"/>
          <w:szCs w:val="20"/>
        </w:rPr>
        <w:t>d</w:t>
      </w:r>
      <w:r w:rsidR="004472FF" w:rsidRPr="00AC4AEA">
        <w:rPr>
          <w:rFonts w:ascii="Arial" w:hAnsi="Arial" w:cs="Arial"/>
          <w:sz w:val="20"/>
          <w:szCs w:val="20"/>
        </w:rPr>
        <w:t xml:space="preserve">e los </w:t>
      </w:r>
      <w:r w:rsidR="00135084" w:rsidRPr="00AC4AEA">
        <w:rPr>
          <w:rFonts w:ascii="Arial" w:hAnsi="Arial" w:cs="Arial"/>
          <w:b/>
          <w:bCs/>
          <w:sz w:val="20"/>
          <w:szCs w:val="20"/>
        </w:rPr>
        <w:t>estados contables</w:t>
      </w:r>
      <w:r w:rsidR="004472FF" w:rsidRPr="00AC4AEA">
        <w:rPr>
          <w:rFonts w:ascii="Arial" w:hAnsi="Arial" w:cs="Arial"/>
          <w:sz w:val="20"/>
          <w:szCs w:val="20"/>
        </w:rPr>
        <w:t xml:space="preserve"> actuales con los de ejercicios previos</w:t>
      </w:r>
      <w:r w:rsidR="00665B89" w:rsidRPr="00AC4AEA">
        <w:rPr>
          <w:rFonts w:ascii="Arial" w:hAnsi="Arial" w:cs="Arial"/>
          <w:sz w:val="20"/>
          <w:szCs w:val="20"/>
        </w:rPr>
        <w:t>;</w:t>
      </w:r>
      <w:r w:rsidR="004472FF" w:rsidRPr="00AC4AEA">
        <w:rPr>
          <w:rFonts w:ascii="Arial" w:hAnsi="Arial" w:cs="Arial"/>
          <w:sz w:val="20"/>
          <w:szCs w:val="20"/>
        </w:rPr>
        <w:t xml:space="preserve"> o</w:t>
      </w:r>
    </w:p>
    <w:p w:rsidR="00F459BF" w:rsidRPr="00AC4AEA" w:rsidRDefault="00322565" w:rsidP="00A318EA">
      <w:pPr>
        <w:pStyle w:val="Prrafodelista"/>
        <w:numPr>
          <w:ilvl w:val="0"/>
          <w:numId w:val="224"/>
        </w:numPr>
        <w:ind w:left="1560"/>
        <w:contextualSpacing w:val="0"/>
        <w:jc w:val="both"/>
        <w:rPr>
          <w:rFonts w:ascii="Arial" w:hAnsi="Arial" w:cs="Arial"/>
          <w:b/>
          <w:sz w:val="20"/>
          <w:szCs w:val="20"/>
        </w:rPr>
      </w:pPr>
      <w:r w:rsidRPr="00AC4AEA">
        <w:rPr>
          <w:rFonts w:ascii="Arial" w:hAnsi="Arial" w:cs="Arial"/>
          <w:sz w:val="20"/>
          <w:szCs w:val="20"/>
        </w:rPr>
        <w:lastRenderedPageBreak/>
        <w:t>d</w:t>
      </w:r>
      <w:r w:rsidR="00EC1893" w:rsidRPr="00AC4AEA">
        <w:rPr>
          <w:rFonts w:ascii="Arial" w:hAnsi="Arial" w:cs="Arial"/>
          <w:sz w:val="20"/>
          <w:szCs w:val="20"/>
        </w:rPr>
        <w:t>e</w:t>
      </w:r>
      <w:r w:rsidR="00F459BF" w:rsidRPr="00AC4AEA">
        <w:rPr>
          <w:rFonts w:ascii="Arial" w:hAnsi="Arial" w:cs="Arial"/>
          <w:sz w:val="20"/>
          <w:szCs w:val="20"/>
        </w:rPr>
        <w:t xml:space="preserve"> </w:t>
      </w:r>
      <w:r w:rsidR="004472FF" w:rsidRPr="00AC4AEA">
        <w:rPr>
          <w:rFonts w:ascii="Arial" w:hAnsi="Arial" w:cs="Arial"/>
          <w:sz w:val="20"/>
          <w:szCs w:val="20"/>
        </w:rPr>
        <w:t xml:space="preserve">los </w:t>
      </w:r>
      <w:r w:rsidR="00135084" w:rsidRPr="00AC4AEA">
        <w:rPr>
          <w:rFonts w:ascii="Arial" w:hAnsi="Arial" w:cs="Arial"/>
          <w:b/>
          <w:bCs/>
          <w:sz w:val="20"/>
          <w:szCs w:val="20"/>
        </w:rPr>
        <w:t>estados contables</w:t>
      </w:r>
      <w:r w:rsidR="004472FF" w:rsidRPr="00AC4AEA">
        <w:rPr>
          <w:rFonts w:ascii="Arial" w:hAnsi="Arial" w:cs="Arial"/>
          <w:sz w:val="20"/>
          <w:szCs w:val="20"/>
        </w:rPr>
        <w:t xml:space="preserve"> actuales con los que presentará en ejercicios futuros.</w:t>
      </w:r>
    </w:p>
    <w:p w:rsidR="00F459BF" w:rsidRPr="00AC4AEA" w:rsidRDefault="00F459B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se presenten </w:t>
      </w:r>
      <w:r w:rsidR="00135084" w:rsidRPr="00AC4AEA">
        <w:rPr>
          <w:rFonts w:ascii="Arial" w:hAnsi="Arial" w:cs="Arial"/>
          <w:b/>
          <w:bCs/>
          <w:sz w:val="20"/>
          <w:szCs w:val="20"/>
        </w:rPr>
        <w:t>estados contables</w:t>
      </w:r>
      <w:r w:rsidRPr="00AC4AEA">
        <w:rPr>
          <w:rFonts w:ascii="Arial" w:hAnsi="Arial" w:cs="Arial"/>
          <w:sz w:val="20"/>
          <w:szCs w:val="20"/>
        </w:rPr>
        <w:t xml:space="preserve"> anuales y en su preparación se modifiquen sustancialmente las estimaciones efectuadas para la preparación de </w:t>
      </w:r>
      <w:r w:rsidR="00135084" w:rsidRPr="00AC4AEA">
        <w:rPr>
          <w:rFonts w:ascii="Arial" w:hAnsi="Arial" w:cs="Arial"/>
          <w:b/>
          <w:bCs/>
          <w:sz w:val="20"/>
          <w:szCs w:val="20"/>
        </w:rPr>
        <w:t>estados contables</w:t>
      </w:r>
      <w:r w:rsidRPr="00AC4AEA">
        <w:rPr>
          <w:rFonts w:ascii="Arial" w:hAnsi="Arial" w:cs="Arial"/>
          <w:sz w:val="20"/>
          <w:szCs w:val="20"/>
        </w:rPr>
        <w:t xml:space="preserve"> correspondientes a períodos intermedios del mismo ejercicio, una entidad informará la naturaleza de dichos cambios y su efecto sobre las mediciones de los principales rubros afectados.</w:t>
      </w:r>
    </w:p>
    <w:p w:rsidR="00F459BF" w:rsidRPr="00AC4AEA" w:rsidRDefault="00F459BF" w:rsidP="00A318EA">
      <w:pPr>
        <w:rPr>
          <w:rFonts w:ascii="Arial" w:hAnsi="Arial" w:cs="Arial"/>
          <w:sz w:val="20"/>
          <w:szCs w:val="20"/>
        </w:rPr>
      </w:pPr>
    </w:p>
    <w:p w:rsidR="00F459BF" w:rsidRPr="00AC4AEA" w:rsidRDefault="00F459BF" w:rsidP="00A318EA">
      <w:pPr>
        <w:pStyle w:val="Ttulo3"/>
      </w:pPr>
      <w:bookmarkStart w:id="983" w:name="_Toc101864029"/>
      <w:bookmarkStart w:id="984" w:name="_Toc139356929"/>
      <w:r w:rsidRPr="00AC4AEA">
        <w:t>Composición o evolución de los rubros</w:t>
      </w:r>
      <w:bookmarkEnd w:id="983"/>
      <w:bookmarkEnd w:id="984"/>
    </w:p>
    <w:p w:rsidR="00295FE4"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Una entidad informará</w:t>
      </w:r>
      <w:r w:rsidR="00295FE4" w:rsidRPr="00AC4AEA">
        <w:rPr>
          <w:rFonts w:ascii="Arial" w:hAnsi="Arial" w:cs="Arial"/>
          <w:sz w:val="20"/>
          <w:szCs w:val="20"/>
        </w:rPr>
        <w:t>:</w:t>
      </w:r>
    </w:p>
    <w:p w:rsidR="00295FE4" w:rsidRPr="00AC4AEA" w:rsidRDefault="00322565" w:rsidP="00A318EA">
      <w:pPr>
        <w:pStyle w:val="Prrafodelista"/>
        <w:numPr>
          <w:ilvl w:val="0"/>
          <w:numId w:val="225"/>
        </w:numPr>
        <w:ind w:left="1560"/>
        <w:contextualSpacing w:val="0"/>
        <w:jc w:val="both"/>
        <w:rPr>
          <w:rFonts w:ascii="Arial" w:hAnsi="Arial" w:cs="Arial"/>
          <w:b/>
          <w:sz w:val="20"/>
          <w:szCs w:val="20"/>
        </w:rPr>
      </w:pPr>
      <w:r w:rsidRPr="00AC4AEA">
        <w:rPr>
          <w:rFonts w:ascii="Arial" w:hAnsi="Arial" w:cs="Arial"/>
          <w:sz w:val="20"/>
          <w:szCs w:val="20"/>
        </w:rPr>
        <w:t>l</w:t>
      </w:r>
      <w:r w:rsidR="00F459BF" w:rsidRPr="00AC4AEA">
        <w:rPr>
          <w:rFonts w:ascii="Arial" w:hAnsi="Arial" w:cs="Arial"/>
          <w:sz w:val="20"/>
          <w:szCs w:val="20"/>
        </w:rPr>
        <w:t xml:space="preserve">a composición de los rubros </w:t>
      </w:r>
      <w:r w:rsidR="00295FE4" w:rsidRPr="00AC4AEA">
        <w:rPr>
          <w:rFonts w:ascii="Arial" w:hAnsi="Arial" w:cs="Arial"/>
          <w:sz w:val="20"/>
          <w:szCs w:val="20"/>
        </w:rPr>
        <w:t>significativos</w:t>
      </w:r>
      <w:r w:rsidR="00F459BF" w:rsidRPr="00AC4AEA">
        <w:rPr>
          <w:rFonts w:ascii="Arial" w:hAnsi="Arial" w:cs="Arial"/>
          <w:sz w:val="20"/>
          <w:szCs w:val="20"/>
        </w:rPr>
        <w:t xml:space="preserve"> que</w:t>
      </w:r>
      <w:r w:rsidR="00295FE4" w:rsidRPr="00AC4AEA">
        <w:rPr>
          <w:rFonts w:ascii="Arial" w:hAnsi="Arial" w:cs="Arial"/>
          <w:sz w:val="20"/>
          <w:szCs w:val="20"/>
        </w:rPr>
        <w:t xml:space="preserve"> no</w:t>
      </w:r>
      <w:r w:rsidR="00F459BF" w:rsidRPr="00AC4AEA">
        <w:rPr>
          <w:rFonts w:ascii="Arial" w:hAnsi="Arial" w:cs="Arial"/>
          <w:sz w:val="20"/>
          <w:szCs w:val="20"/>
        </w:rPr>
        <w:t xml:space="preserve"> </w:t>
      </w:r>
      <w:r w:rsidR="00295FE4" w:rsidRPr="00AC4AEA">
        <w:rPr>
          <w:rFonts w:ascii="Arial" w:hAnsi="Arial" w:cs="Arial"/>
          <w:sz w:val="20"/>
          <w:szCs w:val="20"/>
        </w:rPr>
        <w:t>incluyó</w:t>
      </w:r>
      <w:r w:rsidR="00F459BF" w:rsidRPr="00AC4AEA">
        <w:rPr>
          <w:rFonts w:ascii="Arial" w:hAnsi="Arial" w:cs="Arial"/>
          <w:sz w:val="20"/>
          <w:szCs w:val="20"/>
        </w:rPr>
        <w:t xml:space="preserve"> en el cuerpo de los </w:t>
      </w:r>
      <w:r w:rsidR="00135084" w:rsidRPr="00AC4AEA">
        <w:rPr>
          <w:rFonts w:ascii="Arial" w:hAnsi="Arial" w:cs="Arial"/>
          <w:b/>
          <w:bCs/>
          <w:sz w:val="20"/>
          <w:szCs w:val="20"/>
        </w:rPr>
        <w:t>estados contables</w:t>
      </w:r>
      <w:r w:rsidR="00665B89" w:rsidRPr="00AC4AEA">
        <w:rPr>
          <w:rFonts w:ascii="Arial" w:hAnsi="Arial" w:cs="Arial"/>
          <w:sz w:val="20"/>
          <w:szCs w:val="20"/>
        </w:rPr>
        <w:t>;</w:t>
      </w:r>
      <w:r w:rsidR="00295FE4" w:rsidRPr="00AC4AEA">
        <w:rPr>
          <w:rFonts w:ascii="Arial" w:hAnsi="Arial" w:cs="Arial"/>
          <w:sz w:val="20"/>
          <w:szCs w:val="20"/>
        </w:rPr>
        <w:t xml:space="preserve"> y</w:t>
      </w:r>
    </w:p>
    <w:p w:rsidR="00F459BF" w:rsidRPr="00AC4AEA" w:rsidRDefault="00322565" w:rsidP="00A318EA">
      <w:pPr>
        <w:pStyle w:val="Prrafodelista"/>
        <w:numPr>
          <w:ilvl w:val="0"/>
          <w:numId w:val="225"/>
        </w:numPr>
        <w:ind w:left="1560"/>
        <w:contextualSpacing w:val="0"/>
        <w:jc w:val="both"/>
        <w:rPr>
          <w:rFonts w:ascii="Arial" w:hAnsi="Arial" w:cs="Arial"/>
          <w:b/>
          <w:sz w:val="20"/>
          <w:szCs w:val="20"/>
        </w:rPr>
      </w:pPr>
      <w:r w:rsidRPr="00AC4AEA">
        <w:rPr>
          <w:rFonts w:ascii="Arial" w:hAnsi="Arial" w:cs="Arial"/>
          <w:sz w:val="20"/>
          <w:szCs w:val="20"/>
        </w:rPr>
        <w:t>l</w:t>
      </w:r>
      <w:r w:rsidR="00F459BF" w:rsidRPr="00AC4AEA">
        <w:rPr>
          <w:rFonts w:ascii="Arial" w:hAnsi="Arial" w:cs="Arial"/>
          <w:sz w:val="20"/>
          <w:szCs w:val="20"/>
        </w:rPr>
        <w:t xml:space="preserve">a evolución de los rubros de mayor </w:t>
      </w:r>
      <w:r w:rsidR="00F459BF" w:rsidRPr="00AC4AEA">
        <w:rPr>
          <w:rFonts w:ascii="Arial" w:hAnsi="Arial" w:cs="Arial"/>
          <w:b/>
          <w:bCs/>
          <w:sz w:val="20"/>
          <w:szCs w:val="20"/>
        </w:rPr>
        <w:t>significación</w:t>
      </w:r>
      <w:r w:rsidR="00F459BF" w:rsidRPr="00AC4AEA">
        <w:rPr>
          <w:rFonts w:ascii="Arial" w:hAnsi="Arial" w:cs="Arial"/>
          <w:sz w:val="20"/>
          <w:szCs w:val="20"/>
        </w:rPr>
        <w:t xml:space="preserve"> y permanencia, tales como bienes de uso y </w:t>
      </w:r>
      <w:r w:rsidR="00497590" w:rsidRPr="00AC4AEA">
        <w:rPr>
          <w:rFonts w:ascii="Arial" w:hAnsi="Arial" w:cs="Arial"/>
          <w:sz w:val="20"/>
          <w:szCs w:val="20"/>
        </w:rPr>
        <w:t>activos</w:t>
      </w:r>
      <w:r w:rsidR="00F459BF" w:rsidRPr="00AC4AEA">
        <w:rPr>
          <w:rFonts w:ascii="Arial" w:hAnsi="Arial" w:cs="Arial"/>
          <w:sz w:val="20"/>
          <w:szCs w:val="20"/>
        </w:rPr>
        <w:t xml:space="preserve"> intangibles.</w:t>
      </w:r>
    </w:p>
    <w:p w:rsidR="00F459BF" w:rsidRPr="00AC4AEA" w:rsidRDefault="00F459BF" w:rsidP="00A318EA">
      <w:pPr>
        <w:pStyle w:val="A-doctorado"/>
        <w:jc w:val="both"/>
        <w:rPr>
          <w:rFonts w:ascii="Arial" w:hAnsi="Arial"/>
          <w:color w:val="auto"/>
          <w:sz w:val="20"/>
          <w:szCs w:val="20"/>
        </w:rPr>
      </w:pPr>
    </w:p>
    <w:p w:rsidR="00F459BF" w:rsidRPr="00AC4AEA" w:rsidRDefault="00F459BF" w:rsidP="00A318EA">
      <w:pPr>
        <w:pStyle w:val="Ttulo3"/>
      </w:pPr>
      <w:bookmarkStart w:id="985" w:name="_Toc101864030"/>
      <w:bookmarkStart w:id="986" w:name="_Toc139356930"/>
      <w:r w:rsidRPr="00AC4AEA">
        <w:t>Bienes de disponibilidad restringida</w:t>
      </w:r>
      <w:bookmarkEnd w:id="985"/>
      <w:r w:rsidR="001752E0" w:rsidRPr="00AC4AEA">
        <w:t xml:space="preserve">. Gravámenes sobre </w:t>
      </w:r>
      <w:r w:rsidR="00497590" w:rsidRPr="00AC4AEA">
        <w:t>activos</w:t>
      </w:r>
      <w:bookmarkEnd w:id="986"/>
    </w:p>
    <w:p w:rsidR="004F07EB"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Una entidad informará sobre</w:t>
      </w:r>
      <w:r w:rsidR="004F07EB" w:rsidRPr="00AC4AEA">
        <w:rPr>
          <w:rFonts w:ascii="Arial" w:hAnsi="Arial" w:cs="Arial"/>
          <w:sz w:val="20"/>
          <w:szCs w:val="20"/>
        </w:rPr>
        <w:t>:</w:t>
      </w:r>
      <w:r w:rsidRPr="00AC4AEA">
        <w:rPr>
          <w:rFonts w:ascii="Arial" w:hAnsi="Arial" w:cs="Arial"/>
          <w:sz w:val="20"/>
          <w:szCs w:val="20"/>
        </w:rPr>
        <w:t xml:space="preserve"> </w:t>
      </w:r>
    </w:p>
    <w:p w:rsidR="004F07EB" w:rsidRPr="00AC4AEA" w:rsidRDefault="00837710" w:rsidP="00A318EA">
      <w:pPr>
        <w:pStyle w:val="Prrafodelista"/>
        <w:numPr>
          <w:ilvl w:val="0"/>
          <w:numId w:val="371"/>
        </w:numPr>
        <w:ind w:left="1560"/>
        <w:contextualSpacing w:val="0"/>
        <w:jc w:val="both"/>
        <w:rPr>
          <w:rFonts w:ascii="Arial" w:hAnsi="Arial" w:cs="Arial"/>
          <w:sz w:val="20"/>
          <w:szCs w:val="20"/>
        </w:rPr>
      </w:pPr>
      <w:r w:rsidRPr="00AC4AEA">
        <w:rPr>
          <w:rFonts w:ascii="Arial" w:hAnsi="Arial" w:cs="Arial"/>
          <w:sz w:val="20"/>
          <w:szCs w:val="20"/>
        </w:rPr>
        <w:t xml:space="preserve">los </w:t>
      </w:r>
      <w:r w:rsidR="00497590" w:rsidRPr="00AC4AEA">
        <w:rPr>
          <w:rFonts w:ascii="Arial" w:hAnsi="Arial" w:cs="Arial"/>
          <w:sz w:val="20"/>
          <w:szCs w:val="20"/>
        </w:rPr>
        <w:t>activos</w:t>
      </w:r>
      <w:r w:rsidR="004F07EB" w:rsidRPr="00AC4AEA">
        <w:rPr>
          <w:rFonts w:ascii="Arial" w:hAnsi="Arial" w:cs="Arial"/>
          <w:sz w:val="20"/>
          <w:szCs w:val="20"/>
        </w:rPr>
        <w:t xml:space="preserve"> que no podrán ser enajenados hasta tanto se cancelen determinados </w:t>
      </w:r>
      <w:r w:rsidR="00497590" w:rsidRPr="00AC4AEA">
        <w:rPr>
          <w:rFonts w:ascii="Arial" w:hAnsi="Arial" w:cs="Arial"/>
          <w:sz w:val="20"/>
          <w:szCs w:val="20"/>
        </w:rPr>
        <w:t>pasivos</w:t>
      </w:r>
      <w:r w:rsidR="004F07EB" w:rsidRPr="00AC4AEA">
        <w:rPr>
          <w:rFonts w:ascii="Arial" w:hAnsi="Arial" w:cs="Arial"/>
          <w:sz w:val="20"/>
          <w:szCs w:val="20"/>
        </w:rPr>
        <w:t xml:space="preserve">, indicándose su valor contable y el de los </w:t>
      </w:r>
      <w:r w:rsidR="00497590" w:rsidRPr="00AC4AEA">
        <w:rPr>
          <w:rFonts w:ascii="Arial" w:hAnsi="Arial" w:cs="Arial"/>
          <w:sz w:val="20"/>
          <w:szCs w:val="20"/>
        </w:rPr>
        <w:t>pasivos</w:t>
      </w:r>
      <w:r w:rsidR="004F07EB" w:rsidRPr="00AC4AEA">
        <w:rPr>
          <w:rFonts w:ascii="Arial" w:hAnsi="Arial" w:cs="Arial"/>
          <w:sz w:val="20"/>
          <w:szCs w:val="20"/>
        </w:rPr>
        <w:t xml:space="preserve"> relacionados; </w:t>
      </w:r>
    </w:p>
    <w:p w:rsidR="00F459BF" w:rsidRPr="00AC4AEA" w:rsidRDefault="00837710" w:rsidP="00A318EA">
      <w:pPr>
        <w:pStyle w:val="Prrafodelista"/>
        <w:numPr>
          <w:ilvl w:val="0"/>
          <w:numId w:val="371"/>
        </w:numPr>
        <w:ind w:left="1560"/>
        <w:contextualSpacing w:val="0"/>
        <w:jc w:val="both"/>
        <w:rPr>
          <w:rFonts w:ascii="Arial" w:hAnsi="Arial" w:cs="Arial"/>
          <w:sz w:val="20"/>
          <w:szCs w:val="20"/>
        </w:rPr>
      </w:pPr>
      <w:r w:rsidRPr="00AC4AEA">
        <w:rPr>
          <w:rFonts w:ascii="Arial" w:hAnsi="Arial" w:cs="Arial"/>
          <w:sz w:val="20"/>
          <w:szCs w:val="20"/>
        </w:rPr>
        <w:t xml:space="preserve">lo </w:t>
      </w:r>
      <w:r w:rsidR="00497590" w:rsidRPr="00AC4AEA">
        <w:rPr>
          <w:rFonts w:ascii="Arial" w:hAnsi="Arial" w:cs="Arial"/>
          <w:sz w:val="20"/>
          <w:szCs w:val="20"/>
        </w:rPr>
        <w:t>activos</w:t>
      </w:r>
      <w:r w:rsidRPr="00AC4AEA">
        <w:rPr>
          <w:rFonts w:ascii="Arial" w:hAnsi="Arial" w:cs="Arial"/>
          <w:sz w:val="20"/>
          <w:szCs w:val="20"/>
        </w:rPr>
        <w:t xml:space="preserve"> cuya disponibilidad está limitada por razones legales, contractuales o situaciones de hecho, con indicación de su valor y de las causas que motivan su indisponibilidad</w:t>
      </w:r>
      <w:r w:rsidR="00F459BF" w:rsidRPr="00AC4AEA">
        <w:rPr>
          <w:rFonts w:ascii="Arial" w:hAnsi="Arial" w:cs="Arial"/>
          <w:sz w:val="20"/>
          <w:szCs w:val="20"/>
        </w:rPr>
        <w:t>.</w:t>
      </w:r>
    </w:p>
    <w:p w:rsidR="00F43742" w:rsidRPr="00AC4AEA" w:rsidRDefault="00F43742" w:rsidP="00A318EA">
      <w:pPr>
        <w:pStyle w:val="Prrafodelista"/>
        <w:ind w:left="1560"/>
        <w:contextualSpacing w:val="0"/>
        <w:jc w:val="both"/>
        <w:rPr>
          <w:rFonts w:ascii="Arial" w:hAnsi="Arial" w:cs="Arial"/>
          <w:sz w:val="20"/>
          <w:szCs w:val="20"/>
        </w:rPr>
      </w:pPr>
    </w:p>
    <w:p w:rsidR="00F459BF" w:rsidRPr="00AC4AEA" w:rsidRDefault="00F459BF" w:rsidP="00A318EA">
      <w:pPr>
        <w:pStyle w:val="Ttulo3"/>
      </w:pPr>
      <w:bookmarkStart w:id="987" w:name="_Toc101864031"/>
      <w:bookmarkStart w:id="988" w:name="_Toc139356931"/>
      <w:r w:rsidRPr="00AC4AEA">
        <w:t>Restricciones para la distribución de ganancias</w:t>
      </w:r>
      <w:bookmarkEnd w:id="987"/>
      <w:bookmarkEnd w:id="988"/>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Una entidad informará cualquier restricción (legal, reglamentaria, contractual o de otra índole) </w:t>
      </w:r>
      <w:r w:rsidR="00295FE4" w:rsidRPr="00AC4AEA">
        <w:rPr>
          <w:rFonts w:ascii="Arial" w:hAnsi="Arial" w:cs="Arial"/>
          <w:sz w:val="20"/>
          <w:szCs w:val="20"/>
        </w:rPr>
        <w:t>a</w:t>
      </w:r>
      <w:r w:rsidRPr="00AC4AEA">
        <w:rPr>
          <w:rFonts w:ascii="Arial" w:hAnsi="Arial" w:cs="Arial"/>
          <w:sz w:val="20"/>
          <w:szCs w:val="20"/>
        </w:rPr>
        <w:t xml:space="preserve"> la distribución de ganancias, sus razones y los momentos en que ellas cesarán.</w:t>
      </w:r>
    </w:p>
    <w:p w:rsidR="00322565" w:rsidRPr="00AC4AEA" w:rsidRDefault="00322565" w:rsidP="00A318EA">
      <w:pPr>
        <w:jc w:val="both"/>
        <w:rPr>
          <w:rFonts w:ascii="Arial" w:hAnsi="Arial" w:cs="Arial"/>
          <w:b/>
          <w:sz w:val="20"/>
          <w:szCs w:val="20"/>
        </w:rPr>
      </w:pPr>
    </w:p>
    <w:p w:rsidR="00F459BF" w:rsidRPr="00AC4AEA" w:rsidRDefault="00F459BF" w:rsidP="00A318EA">
      <w:pPr>
        <w:pStyle w:val="Ttulo3"/>
      </w:pPr>
      <w:bookmarkStart w:id="989" w:name="_Toc101864032"/>
      <w:bookmarkStart w:id="990" w:name="_Toc139356932"/>
      <w:r w:rsidRPr="00AC4AEA">
        <w:t>Modificación a la información de ejercicios anteriores</w:t>
      </w:r>
      <w:bookmarkEnd w:id="989"/>
      <w:bookmarkEnd w:id="990"/>
    </w:p>
    <w:p w:rsidR="00295FE4"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Cuando no esté explicitado en los </w:t>
      </w:r>
      <w:r w:rsidR="00135084" w:rsidRPr="00AC4AEA">
        <w:rPr>
          <w:rFonts w:ascii="Arial" w:hAnsi="Arial" w:cs="Arial"/>
          <w:b/>
          <w:bCs/>
          <w:sz w:val="20"/>
          <w:szCs w:val="20"/>
        </w:rPr>
        <w:t>estados contables</w:t>
      </w:r>
      <w:r w:rsidRPr="00AC4AEA">
        <w:rPr>
          <w:rFonts w:ascii="Arial" w:hAnsi="Arial" w:cs="Arial"/>
          <w:sz w:val="20"/>
          <w:szCs w:val="20"/>
        </w:rPr>
        <w:t>, una entidad deberá incluir en las notas</w:t>
      </w:r>
      <w:r w:rsidR="00295FE4" w:rsidRPr="00AC4AEA">
        <w:rPr>
          <w:rFonts w:ascii="Arial" w:hAnsi="Arial" w:cs="Arial"/>
          <w:sz w:val="20"/>
          <w:szCs w:val="20"/>
        </w:rPr>
        <w:t>:</w:t>
      </w:r>
      <w:r w:rsidRPr="00AC4AEA">
        <w:rPr>
          <w:rFonts w:ascii="Arial" w:hAnsi="Arial" w:cs="Arial"/>
          <w:sz w:val="20"/>
          <w:szCs w:val="20"/>
        </w:rPr>
        <w:t xml:space="preserve"> </w:t>
      </w:r>
    </w:p>
    <w:p w:rsidR="00295FE4" w:rsidRPr="00AC4AEA" w:rsidRDefault="00920AE0" w:rsidP="00A318EA">
      <w:pPr>
        <w:pStyle w:val="Prrafodelista"/>
        <w:numPr>
          <w:ilvl w:val="0"/>
          <w:numId w:val="226"/>
        </w:numPr>
        <w:ind w:left="1560"/>
        <w:contextualSpacing w:val="0"/>
        <w:jc w:val="both"/>
        <w:rPr>
          <w:rFonts w:ascii="Arial" w:hAnsi="Arial" w:cs="Arial"/>
          <w:b/>
          <w:sz w:val="20"/>
          <w:szCs w:val="20"/>
        </w:rPr>
      </w:pPr>
      <w:r w:rsidRPr="00AC4AEA">
        <w:rPr>
          <w:rFonts w:ascii="Arial" w:hAnsi="Arial" w:cs="Arial"/>
          <w:sz w:val="20"/>
          <w:szCs w:val="20"/>
        </w:rPr>
        <w:t>l</w:t>
      </w:r>
      <w:r w:rsidR="00295FE4" w:rsidRPr="00AC4AEA">
        <w:rPr>
          <w:rFonts w:ascii="Arial" w:hAnsi="Arial" w:cs="Arial"/>
          <w:sz w:val="20"/>
          <w:szCs w:val="20"/>
        </w:rPr>
        <w:t>a causa</w:t>
      </w:r>
      <w:r w:rsidR="00F459BF" w:rsidRPr="00AC4AEA">
        <w:rPr>
          <w:rFonts w:ascii="Arial" w:hAnsi="Arial" w:cs="Arial"/>
          <w:sz w:val="20"/>
          <w:szCs w:val="20"/>
        </w:rPr>
        <w:t xml:space="preserve"> de la </w:t>
      </w:r>
      <w:r w:rsidR="006828CF" w:rsidRPr="00AC4AEA">
        <w:rPr>
          <w:rFonts w:ascii="Arial" w:hAnsi="Arial" w:cs="Arial"/>
          <w:sz w:val="20"/>
          <w:szCs w:val="20"/>
        </w:rPr>
        <w:t>“</w:t>
      </w:r>
      <w:r w:rsidR="006828CF" w:rsidRPr="00AC4AEA">
        <w:rPr>
          <w:rFonts w:ascii="Arial" w:hAnsi="Arial" w:cs="Arial"/>
          <w:sz w:val="20"/>
          <w:szCs w:val="20"/>
          <w:u w:val="single"/>
        </w:rPr>
        <w:t>Modificación de la información de ejercicios anteriores</w:t>
      </w:r>
      <w:r w:rsidR="006828CF" w:rsidRPr="00AC4AEA">
        <w:rPr>
          <w:rFonts w:ascii="Arial" w:hAnsi="Arial" w:cs="Arial"/>
          <w:sz w:val="20"/>
          <w:szCs w:val="20"/>
        </w:rPr>
        <w:t xml:space="preserve">” [ver los párrafos </w:t>
      </w:r>
      <w:fldSimple w:instr=" REF _Ref99457793 \r \h  \* MERGEFORMAT ">
        <w:r w:rsidR="00D33A5D" w:rsidRPr="00D33A5D">
          <w:rPr>
            <w:rFonts w:ascii="Arial" w:hAnsi="Arial" w:cs="Arial"/>
            <w:sz w:val="20"/>
            <w:szCs w:val="20"/>
          </w:rPr>
          <w:t>66</w:t>
        </w:r>
      </w:fldSimple>
      <w:r w:rsidR="006828CF" w:rsidRPr="00AC4AEA">
        <w:rPr>
          <w:rFonts w:ascii="Arial" w:hAnsi="Arial" w:cs="Arial"/>
          <w:sz w:val="20"/>
          <w:szCs w:val="20"/>
        </w:rPr>
        <w:t xml:space="preserve"> a </w:t>
      </w:r>
      <w:fldSimple w:instr=" REF _Ref99457811 \r \h  \* MERGEFORMAT ">
        <w:r w:rsidR="00D33A5D" w:rsidRPr="00D33A5D">
          <w:rPr>
            <w:rFonts w:ascii="Arial" w:hAnsi="Arial" w:cs="Arial"/>
            <w:sz w:val="20"/>
            <w:szCs w:val="20"/>
          </w:rPr>
          <w:t>70</w:t>
        </w:r>
      </w:fldSimple>
      <w:r w:rsidR="006828CF" w:rsidRPr="00AC4AEA">
        <w:rPr>
          <w:rFonts w:ascii="Arial" w:hAnsi="Arial" w:cs="Arial"/>
          <w:sz w:val="20"/>
          <w:szCs w:val="20"/>
        </w:rPr>
        <w:t>]</w:t>
      </w:r>
      <w:r w:rsidR="00665B89" w:rsidRPr="00AC4AEA">
        <w:rPr>
          <w:rFonts w:ascii="Arial" w:hAnsi="Arial" w:cs="Arial"/>
          <w:b/>
          <w:bCs/>
          <w:sz w:val="20"/>
          <w:szCs w:val="20"/>
        </w:rPr>
        <w:t>;</w:t>
      </w:r>
      <w:r w:rsidR="00F459BF" w:rsidRPr="00AC4AEA">
        <w:rPr>
          <w:rFonts w:ascii="Arial" w:hAnsi="Arial" w:cs="Arial"/>
          <w:sz w:val="20"/>
          <w:szCs w:val="20"/>
        </w:rPr>
        <w:t xml:space="preserve"> y </w:t>
      </w:r>
    </w:p>
    <w:p w:rsidR="00F459BF" w:rsidRPr="00AC4AEA" w:rsidRDefault="00920AE0" w:rsidP="00A318EA">
      <w:pPr>
        <w:pStyle w:val="Prrafodelista"/>
        <w:numPr>
          <w:ilvl w:val="0"/>
          <w:numId w:val="226"/>
        </w:numPr>
        <w:ind w:left="1560"/>
        <w:contextualSpacing w:val="0"/>
        <w:jc w:val="both"/>
        <w:rPr>
          <w:rFonts w:ascii="Arial" w:hAnsi="Arial" w:cs="Arial"/>
          <w:b/>
          <w:sz w:val="20"/>
          <w:szCs w:val="20"/>
        </w:rPr>
      </w:pPr>
      <w:r w:rsidRPr="00AC4AEA">
        <w:rPr>
          <w:rFonts w:ascii="Arial" w:hAnsi="Arial" w:cs="Arial"/>
          <w:sz w:val="20"/>
          <w:szCs w:val="20"/>
        </w:rPr>
        <w:t>l</w:t>
      </w:r>
      <w:r w:rsidR="00F459BF" w:rsidRPr="00AC4AEA">
        <w:rPr>
          <w:rFonts w:ascii="Arial" w:hAnsi="Arial" w:cs="Arial"/>
          <w:sz w:val="20"/>
          <w:szCs w:val="20"/>
        </w:rPr>
        <w:t xml:space="preserve">a cuantificación </w:t>
      </w:r>
      <w:r w:rsidR="00295FE4" w:rsidRPr="00AC4AEA">
        <w:rPr>
          <w:rFonts w:ascii="Arial" w:hAnsi="Arial" w:cs="Arial"/>
          <w:sz w:val="20"/>
          <w:szCs w:val="20"/>
        </w:rPr>
        <w:t>de su</w:t>
      </w:r>
      <w:r w:rsidR="00F459BF" w:rsidRPr="00AC4AEA">
        <w:rPr>
          <w:rFonts w:ascii="Arial" w:hAnsi="Arial" w:cs="Arial"/>
          <w:sz w:val="20"/>
          <w:szCs w:val="20"/>
        </w:rPr>
        <w:t xml:space="preserve"> efecto </w:t>
      </w:r>
      <w:r w:rsidR="00295FE4" w:rsidRPr="00AC4AEA">
        <w:rPr>
          <w:rFonts w:ascii="Arial" w:hAnsi="Arial" w:cs="Arial"/>
          <w:sz w:val="20"/>
          <w:szCs w:val="20"/>
        </w:rPr>
        <w:t>sobre los</w:t>
      </w:r>
      <w:r w:rsidR="00F459BF" w:rsidRPr="00AC4AEA">
        <w:rPr>
          <w:rFonts w:ascii="Arial" w:hAnsi="Arial" w:cs="Arial"/>
          <w:sz w:val="20"/>
          <w:szCs w:val="20"/>
        </w:rPr>
        <w:t xml:space="preserve"> componentes de los </w:t>
      </w:r>
      <w:r w:rsidR="00135084" w:rsidRPr="00AC4AEA">
        <w:rPr>
          <w:rFonts w:ascii="Arial" w:hAnsi="Arial" w:cs="Arial"/>
          <w:b/>
          <w:bCs/>
          <w:sz w:val="20"/>
          <w:szCs w:val="20"/>
        </w:rPr>
        <w:t>estados contables</w:t>
      </w:r>
      <w:r w:rsidR="00F459BF" w:rsidRPr="00AC4AEA">
        <w:rPr>
          <w:rFonts w:ascii="Arial" w:hAnsi="Arial" w:cs="Arial"/>
          <w:sz w:val="20"/>
          <w:szCs w:val="20"/>
        </w:rPr>
        <w:t xml:space="preserve"> (rubros del patrimonio, de resultados del período, causas de </w:t>
      </w:r>
      <w:r w:rsidR="00F459BF" w:rsidRPr="00AC4AEA">
        <w:rPr>
          <w:rFonts w:ascii="Arial" w:hAnsi="Arial" w:cs="Arial"/>
          <w:sz w:val="20"/>
          <w:szCs w:val="20"/>
        </w:rPr>
        <w:lastRenderedPageBreak/>
        <w:t xml:space="preserve">variación del efectivo) al inicio o </w:t>
      </w:r>
      <w:r w:rsidR="00C97DCD" w:rsidRPr="00AC4AEA">
        <w:rPr>
          <w:rFonts w:ascii="Arial" w:hAnsi="Arial" w:cs="Arial"/>
          <w:sz w:val="20"/>
          <w:szCs w:val="20"/>
        </w:rPr>
        <w:t>a</w:t>
      </w:r>
      <w:r w:rsidR="00F459BF" w:rsidRPr="00AC4AEA">
        <w:rPr>
          <w:rFonts w:ascii="Arial" w:hAnsi="Arial" w:cs="Arial"/>
          <w:sz w:val="20"/>
          <w:szCs w:val="20"/>
        </w:rPr>
        <w:t>l cierre del ejercicio anterior, los que correspondieren.</w:t>
      </w:r>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Una entidad </w:t>
      </w:r>
      <w:r w:rsidR="00295FE4" w:rsidRPr="00AC4AEA">
        <w:rPr>
          <w:rFonts w:ascii="Arial" w:hAnsi="Arial" w:cs="Arial"/>
          <w:sz w:val="20"/>
          <w:szCs w:val="20"/>
        </w:rPr>
        <w:t xml:space="preserve">referirá la nota en la que se </w:t>
      </w:r>
      <w:r w:rsidR="00EC1893" w:rsidRPr="00AC4AEA">
        <w:rPr>
          <w:rFonts w:ascii="Arial" w:hAnsi="Arial" w:cs="Arial"/>
          <w:sz w:val="20"/>
          <w:szCs w:val="20"/>
        </w:rPr>
        <w:t>describa</w:t>
      </w:r>
      <w:r w:rsidR="00295FE4" w:rsidRPr="00AC4AEA">
        <w:rPr>
          <w:rFonts w:ascii="Arial" w:hAnsi="Arial" w:cs="Arial"/>
          <w:sz w:val="20"/>
          <w:szCs w:val="20"/>
        </w:rPr>
        <w:t xml:space="preserve"> la modificación aludida en el párrafo anterior</w:t>
      </w:r>
      <w:r w:rsidRPr="00AC4AEA">
        <w:rPr>
          <w:rFonts w:ascii="Arial" w:hAnsi="Arial" w:cs="Arial"/>
          <w:sz w:val="20"/>
          <w:szCs w:val="20"/>
        </w:rPr>
        <w:t xml:space="preserve"> en los rubros modificados de los </w:t>
      </w:r>
      <w:r w:rsidR="00135084" w:rsidRPr="00AC4AEA">
        <w:rPr>
          <w:rFonts w:ascii="Arial" w:hAnsi="Arial" w:cs="Arial"/>
          <w:b/>
          <w:bCs/>
          <w:sz w:val="20"/>
          <w:szCs w:val="20"/>
        </w:rPr>
        <w:t>estados contables</w:t>
      </w:r>
      <w:r w:rsidR="00295FE4" w:rsidRPr="00AC4AEA">
        <w:rPr>
          <w:rFonts w:ascii="Arial" w:hAnsi="Arial" w:cs="Arial"/>
          <w:sz w:val="20"/>
          <w:szCs w:val="20"/>
        </w:rPr>
        <w:t>.</w:t>
      </w:r>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Cuando la modificación se origine en un cambio en las normas contables aplicadas, la entidad describirá el método anterior, el nuevo y la justificación del cambio.</w:t>
      </w:r>
    </w:p>
    <w:p w:rsidR="00F459BF" w:rsidRPr="00AC4AEA" w:rsidRDefault="00F459BF"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 xml:space="preserve">Cuando como consecuencia de un cambio de norma o de criterio contable o de la corrección de un error de ejercicios anteriores corresponda modificar la información de ejercicios anteriores, pero resulte </w:t>
      </w:r>
      <w:r w:rsidRPr="00AC4AEA">
        <w:rPr>
          <w:rFonts w:ascii="Arial" w:hAnsi="Arial" w:cs="Arial"/>
          <w:b/>
          <w:bCs/>
          <w:sz w:val="20"/>
          <w:szCs w:val="20"/>
        </w:rPr>
        <w:t>impracticable</w:t>
      </w:r>
      <w:r w:rsidRPr="00AC4AEA">
        <w:rPr>
          <w:rFonts w:ascii="Arial" w:hAnsi="Arial" w:cs="Arial"/>
          <w:sz w:val="20"/>
          <w:szCs w:val="20"/>
        </w:rPr>
        <w:t xml:space="preserve"> la determinación del efecto acumulado sobre los saldos al inicio de uno o más períodos anteriores y</w:t>
      </w:r>
      <w:r w:rsidR="00665B89" w:rsidRPr="00AC4AEA">
        <w:rPr>
          <w:rFonts w:ascii="Arial" w:hAnsi="Arial" w:cs="Arial"/>
          <w:sz w:val="20"/>
          <w:szCs w:val="20"/>
        </w:rPr>
        <w:t>,</w:t>
      </w:r>
      <w:r w:rsidRPr="00AC4AEA">
        <w:rPr>
          <w:rFonts w:ascii="Arial" w:hAnsi="Arial" w:cs="Arial"/>
          <w:sz w:val="20"/>
          <w:szCs w:val="20"/>
        </w:rPr>
        <w:t xml:space="preserve"> por lo tanto</w:t>
      </w:r>
      <w:r w:rsidR="00665B89" w:rsidRPr="00AC4AEA">
        <w:rPr>
          <w:rFonts w:ascii="Arial" w:hAnsi="Arial" w:cs="Arial"/>
          <w:sz w:val="20"/>
          <w:szCs w:val="20"/>
        </w:rPr>
        <w:t>,</w:t>
      </w:r>
      <w:r w:rsidRPr="00AC4AEA">
        <w:rPr>
          <w:rFonts w:ascii="Arial" w:hAnsi="Arial" w:cs="Arial"/>
          <w:sz w:val="20"/>
          <w:szCs w:val="20"/>
        </w:rPr>
        <w:t xml:space="preserve"> no pueda adecuarse la información a exponer en forma comparativa, la entidad </w:t>
      </w:r>
      <w:r w:rsidR="00665B89" w:rsidRPr="00AC4AEA">
        <w:rPr>
          <w:rFonts w:ascii="Arial" w:hAnsi="Arial" w:cs="Arial"/>
          <w:sz w:val="20"/>
          <w:szCs w:val="20"/>
        </w:rPr>
        <w:t>expondrá</w:t>
      </w:r>
      <w:r w:rsidR="00295FE4" w:rsidRPr="00AC4AEA">
        <w:rPr>
          <w:rFonts w:ascii="Arial" w:hAnsi="Arial" w:cs="Arial"/>
          <w:sz w:val="20"/>
          <w:szCs w:val="20"/>
        </w:rPr>
        <w:t xml:space="preserve"> </w:t>
      </w:r>
      <w:r w:rsidR="00665B89" w:rsidRPr="00AC4AEA">
        <w:rPr>
          <w:rFonts w:ascii="Arial" w:hAnsi="Arial" w:cs="Arial"/>
          <w:sz w:val="20"/>
          <w:szCs w:val="20"/>
        </w:rPr>
        <w:t>como</w:t>
      </w:r>
      <w:r w:rsidRPr="00AC4AEA">
        <w:rPr>
          <w:rFonts w:ascii="Arial" w:hAnsi="Arial" w:cs="Arial"/>
          <w:sz w:val="20"/>
          <w:szCs w:val="20"/>
        </w:rPr>
        <w:t xml:space="preserve"> información complementaria:</w:t>
      </w:r>
    </w:p>
    <w:p w:rsidR="00F459BF" w:rsidRPr="00AC4AEA" w:rsidRDefault="00920AE0" w:rsidP="00A318EA">
      <w:pPr>
        <w:pStyle w:val="Prrafodelista"/>
        <w:numPr>
          <w:ilvl w:val="0"/>
          <w:numId w:val="227"/>
        </w:numPr>
        <w:ind w:left="1560"/>
        <w:contextualSpacing w:val="0"/>
        <w:jc w:val="both"/>
        <w:rPr>
          <w:rFonts w:ascii="Arial" w:hAnsi="Arial" w:cs="Arial"/>
          <w:sz w:val="20"/>
          <w:szCs w:val="20"/>
        </w:rPr>
      </w:pPr>
      <w:r w:rsidRPr="00AC4AEA">
        <w:rPr>
          <w:rFonts w:ascii="Arial" w:hAnsi="Arial" w:cs="Arial"/>
          <w:sz w:val="20"/>
          <w:szCs w:val="20"/>
        </w:rPr>
        <w:t>e</w:t>
      </w:r>
      <w:r w:rsidR="00F459BF" w:rsidRPr="00AC4AEA">
        <w:rPr>
          <w:rFonts w:ascii="Arial" w:hAnsi="Arial" w:cs="Arial"/>
          <w:sz w:val="20"/>
          <w:szCs w:val="20"/>
        </w:rPr>
        <w:t xml:space="preserve">l motivo que hace </w:t>
      </w:r>
      <w:r w:rsidR="00F459BF" w:rsidRPr="00AC4AEA">
        <w:rPr>
          <w:rFonts w:ascii="Arial" w:hAnsi="Arial" w:cs="Arial"/>
          <w:b/>
          <w:bCs/>
          <w:sz w:val="20"/>
          <w:szCs w:val="20"/>
        </w:rPr>
        <w:t>impracticable</w:t>
      </w:r>
      <w:r w:rsidR="00F459BF" w:rsidRPr="00AC4AEA">
        <w:rPr>
          <w:rFonts w:ascii="Arial" w:hAnsi="Arial" w:cs="Arial"/>
          <w:sz w:val="20"/>
          <w:szCs w:val="20"/>
        </w:rPr>
        <w:t xml:space="preserve"> la adecuación de las cifras comparativas, una descripción de cómo y desde cuándo se ha aplicado el cambio en la </w:t>
      </w:r>
      <w:r w:rsidR="00596F3F" w:rsidRPr="00AC4AEA">
        <w:rPr>
          <w:rFonts w:ascii="Arial" w:hAnsi="Arial" w:cs="Arial"/>
          <w:b/>
          <w:bCs/>
          <w:sz w:val="20"/>
          <w:szCs w:val="20"/>
        </w:rPr>
        <w:t>política contable</w:t>
      </w:r>
      <w:r w:rsidR="00F459BF" w:rsidRPr="00AC4AEA">
        <w:rPr>
          <w:rFonts w:ascii="Arial" w:hAnsi="Arial" w:cs="Arial"/>
          <w:sz w:val="20"/>
          <w:szCs w:val="20"/>
        </w:rPr>
        <w:t xml:space="preserve"> o se ha realizado la corrección del error</w:t>
      </w:r>
      <w:r w:rsidR="00665B89" w:rsidRPr="00AC4AEA">
        <w:rPr>
          <w:rFonts w:ascii="Arial" w:hAnsi="Arial" w:cs="Arial"/>
          <w:sz w:val="20"/>
          <w:szCs w:val="20"/>
        </w:rPr>
        <w:t>;</w:t>
      </w:r>
      <w:r w:rsidR="00F459BF" w:rsidRPr="00AC4AEA">
        <w:rPr>
          <w:rFonts w:ascii="Arial" w:hAnsi="Arial" w:cs="Arial"/>
          <w:sz w:val="20"/>
          <w:szCs w:val="20"/>
        </w:rPr>
        <w:t xml:space="preserve"> y</w:t>
      </w:r>
    </w:p>
    <w:p w:rsidR="00F459BF" w:rsidRPr="00AC4AEA" w:rsidRDefault="00920AE0" w:rsidP="00A318EA">
      <w:pPr>
        <w:pStyle w:val="Prrafodelista"/>
        <w:numPr>
          <w:ilvl w:val="0"/>
          <w:numId w:val="227"/>
        </w:numPr>
        <w:ind w:left="1560"/>
        <w:contextualSpacing w:val="0"/>
        <w:jc w:val="both"/>
        <w:rPr>
          <w:rFonts w:ascii="Arial" w:hAnsi="Arial" w:cs="Arial"/>
          <w:sz w:val="20"/>
          <w:szCs w:val="20"/>
        </w:rPr>
      </w:pPr>
      <w:r w:rsidRPr="00AC4AEA">
        <w:rPr>
          <w:rFonts w:ascii="Arial" w:hAnsi="Arial" w:cs="Arial"/>
          <w:sz w:val="20"/>
          <w:szCs w:val="20"/>
        </w:rPr>
        <w:t>l</w:t>
      </w:r>
      <w:r w:rsidR="00F459BF" w:rsidRPr="00AC4AEA">
        <w:rPr>
          <w:rFonts w:ascii="Arial" w:hAnsi="Arial" w:cs="Arial"/>
          <w:sz w:val="20"/>
          <w:szCs w:val="20"/>
        </w:rPr>
        <w:t>a naturaleza de las modificaciones que tendrían que haberse realizado en caso de no existir la impracticabilidad.</w:t>
      </w:r>
    </w:p>
    <w:p w:rsidR="00F459BF" w:rsidRPr="00AC4AEA" w:rsidRDefault="00F459BF" w:rsidP="00A318EA">
      <w:pPr>
        <w:pStyle w:val="A-doctorado"/>
        <w:jc w:val="both"/>
        <w:rPr>
          <w:rFonts w:ascii="Arial" w:hAnsi="Arial"/>
          <w:color w:val="auto"/>
          <w:sz w:val="20"/>
          <w:szCs w:val="20"/>
        </w:rPr>
      </w:pPr>
    </w:p>
    <w:p w:rsidR="00F459BF" w:rsidRPr="00AC4AEA" w:rsidRDefault="00F459BF" w:rsidP="00A318EA">
      <w:pPr>
        <w:pStyle w:val="Ttulo3"/>
      </w:pPr>
      <w:bookmarkStart w:id="991" w:name="_Toc101864033"/>
      <w:bookmarkStart w:id="992" w:name="_Toc139356933"/>
      <w:r w:rsidRPr="00AC4AEA">
        <w:t>Aspectos formales</w:t>
      </w:r>
      <w:bookmarkEnd w:id="991"/>
      <w:bookmarkEnd w:id="992"/>
    </w:p>
    <w:p w:rsidR="00F459BF" w:rsidRPr="00AC4AEA" w:rsidRDefault="00295FE4" w:rsidP="00A318EA">
      <w:pPr>
        <w:pStyle w:val="Prrafodelista"/>
        <w:numPr>
          <w:ilvl w:val="0"/>
          <w:numId w:val="29"/>
        </w:numPr>
        <w:contextualSpacing w:val="0"/>
        <w:jc w:val="both"/>
        <w:rPr>
          <w:rFonts w:ascii="Arial" w:hAnsi="Arial" w:cs="Arial"/>
          <w:b/>
          <w:sz w:val="20"/>
          <w:szCs w:val="20"/>
        </w:rPr>
      </w:pPr>
      <w:r w:rsidRPr="00AC4AEA">
        <w:rPr>
          <w:rFonts w:ascii="Arial" w:hAnsi="Arial" w:cs="Arial"/>
          <w:sz w:val="20"/>
          <w:szCs w:val="20"/>
        </w:rPr>
        <w:t>Una entidad:</w:t>
      </w:r>
    </w:p>
    <w:p w:rsidR="00295FE4" w:rsidRPr="00AC4AEA" w:rsidRDefault="00441A95" w:rsidP="00A318EA">
      <w:pPr>
        <w:pStyle w:val="Prrafodelista"/>
        <w:numPr>
          <w:ilvl w:val="0"/>
          <w:numId w:val="228"/>
        </w:numPr>
        <w:ind w:left="1560"/>
        <w:contextualSpacing w:val="0"/>
        <w:jc w:val="both"/>
        <w:rPr>
          <w:rFonts w:ascii="Arial" w:hAnsi="Arial" w:cs="Arial"/>
          <w:b/>
          <w:sz w:val="20"/>
          <w:szCs w:val="20"/>
        </w:rPr>
      </w:pPr>
      <w:r w:rsidRPr="00AC4AEA">
        <w:rPr>
          <w:rFonts w:ascii="Arial" w:hAnsi="Arial" w:cs="Arial"/>
          <w:sz w:val="20"/>
          <w:szCs w:val="20"/>
        </w:rPr>
        <w:t>a</w:t>
      </w:r>
      <w:r w:rsidR="00295FE4" w:rsidRPr="00AC4AEA">
        <w:rPr>
          <w:rFonts w:ascii="Arial" w:hAnsi="Arial" w:cs="Arial"/>
          <w:sz w:val="20"/>
          <w:szCs w:val="20"/>
        </w:rPr>
        <w:t xml:space="preserve">signará un título a cada nota, que permita identificar </w:t>
      </w:r>
      <w:r w:rsidR="00EC1893" w:rsidRPr="00AC4AEA">
        <w:rPr>
          <w:rFonts w:ascii="Arial" w:hAnsi="Arial" w:cs="Arial"/>
          <w:sz w:val="20"/>
          <w:szCs w:val="20"/>
        </w:rPr>
        <w:t>claramente</w:t>
      </w:r>
      <w:r w:rsidR="00295FE4" w:rsidRPr="00AC4AEA">
        <w:rPr>
          <w:rFonts w:ascii="Arial" w:hAnsi="Arial" w:cs="Arial"/>
          <w:sz w:val="20"/>
          <w:szCs w:val="20"/>
        </w:rPr>
        <w:t xml:space="preserve"> su contenido</w:t>
      </w:r>
      <w:r w:rsidR="00665B89" w:rsidRPr="00AC4AEA">
        <w:rPr>
          <w:rFonts w:ascii="Arial" w:hAnsi="Arial" w:cs="Arial"/>
          <w:sz w:val="20"/>
          <w:szCs w:val="20"/>
        </w:rPr>
        <w:t>;</w:t>
      </w:r>
      <w:r w:rsidR="00295FE4" w:rsidRPr="00AC4AEA">
        <w:rPr>
          <w:rFonts w:ascii="Arial" w:hAnsi="Arial" w:cs="Arial"/>
          <w:sz w:val="20"/>
          <w:szCs w:val="20"/>
        </w:rPr>
        <w:t xml:space="preserve"> y</w:t>
      </w:r>
    </w:p>
    <w:p w:rsidR="00C123C7" w:rsidRPr="00AC4AEA" w:rsidRDefault="00441A95" w:rsidP="00A318EA">
      <w:pPr>
        <w:pStyle w:val="Prrafodelista"/>
        <w:numPr>
          <w:ilvl w:val="0"/>
          <w:numId w:val="228"/>
        </w:numPr>
        <w:ind w:left="1560"/>
        <w:contextualSpacing w:val="0"/>
        <w:jc w:val="both"/>
        <w:rPr>
          <w:rFonts w:ascii="Arial" w:hAnsi="Arial" w:cs="Arial"/>
          <w:b/>
          <w:sz w:val="20"/>
          <w:szCs w:val="20"/>
        </w:rPr>
      </w:pPr>
      <w:r w:rsidRPr="00AC4AEA">
        <w:rPr>
          <w:rFonts w:ascii="Arial" w:hAnsi="Arial" w:cs="Arial"/>
          <w:sz w:val="20"/>
          <w:szCs w:val="20"/>
        </w:rPr>
        <w:t>e</w:t>
      </w:r>
      <w:r w:rsidR="00295FE4" w:rsidRPr="00AC4AEA">
        <w:rPr>
          <w:rFonts w:ascii="Arial" w:hAnsi="Arial" w:cs="Arial"/>
          <w:sz w:val="20"/>
          <w:szCs w:val="20"/>
        </w:rPr>
        <w:t xml:space="preserve">xpondrá cada nota en el mismo orden que aparecen las referencias a cada una de ellas en los correspondientes rubros o partidas de los </w:t>
      </w:r>
      <w:r w:rsidR="00135084" w:rsidRPr="00AC4AEA">
        <w:rPr>
          <w:rFonts w:ascii="Arial" w:hAnsi="Arial" w:cs="Arial"/>
          <w:b/>
          <w:bCs/>
          <w:sz w:val="20"/>
          <w:szCs w:val="20"/>
        </w:rPr>
        <w:t>estados contables</w:t>
      </w:r>
      <w:r w:rsidR="00295FE4" w:rsidRPr="00AC4AEA">
        <w:rPr>
          <w:rFonts w:ascii="Arial" w:hAnsi="Arial" w:cs="Arial"/>
          <w:sz w:val="20"/>
          <w:szCs w:val="20"/>
        </w:rPr>
        <w:t>.</w:t>
      </w:r>
    </w:p>
    <w:p w:rsidR="00C123C7" w:rsidRPr="00AC4AEA" w:rsidRDefault="00C123C7" w:rsidP="00A318EA">
      <w:pPr>
        <w:jc w:val="both"/>
        <w:rPr>
          <w:rFonts w:ascii="Arial" w:hAnsi="Arial" w:cs="Arial"/>
          <w:b/>
          <w:sz w:val="20"/>
          <w:szCs w:val="20"/>
        </w:rPr>
      </w:pPr>
    </w:p>
    <w:p w:rsidR="00282064" w:rsidRPr="00AC4AEA" w:rsidRDefault="00282064" w:rsidP="00A318EA">
      <w:pPr>
        <w:pStyle w:val="Ttulo3"/>
      </w:pPr>
      <w:bookmarkStart w:id="993" w:name="_Toc101864034"/>
      <w:bookmarkStart w:id="994" w:name="_Toc139356934"/>
      <w:r w:rsidRPr="00AC4AEA">
        <w:t>Información</w:t>
      </w:r>
      <w:r w:rsidR="00834C1B" w:rsidRPr="00AC4AEA">
        <w:t xml:space="preserve"> </w:t>
      </w:r>
      <w:r w:rsidRPr="00AC4AEA">
        <w:t xml:space="preserve">a </w:t>
      </w:r>
      <w:r w:rsidR="00834C1B" w:rsidRPr="00AC4AEA">
        <w:t>revelar</w:t>
      </w:r>
      <w:r w:rsidRPr="00AC4AEA">
        <w:t xml:space="preserve"> sobre partes relacionadas</w:t>
      </w:r>
      <w:bookmarkEnd w:id="993"/>
      <w:bookmarkEnd w:id="994"/>
    </w:p>
    <w:p w:rsidR="00357FA0" w:rsidRPr="00AC4AEA" w:rsidRDefault="0020556A" w:rsidP="00A318EA">
      <w:pPr>
        <w:pStyle w:val="Ttulo4"/>
      </w:pPr>
      <w:bookmarkStart w:id="995" w:name="_Ref77256288"/>
      <w:r w:rsidRPr="00AC4AEA">
        <w:t>Requerimientos generales</w:t>
      </w:r>
    </w:p>
    <w:p w:rsidR="00491CD5" w:rsidRPr="00AC4AEA" w:rsidRDefault="00282064" w:rsidP="00A318EA">
      <w:pPr>
        <w:pStyle w:val="Prrafodelista"/>
        <w:numPr>
          <w:ilvl w:val="0"/>
          <w:numId w:val="29"/>
        </w:numPr>
        <w:contextualSpacing w:val="0"/>
        <w:jc w:val="both"/>
        <w:rPr>
          <w:rFonts w:ascii="Arial" w:hAnsi="Arial" w:cs="Arial"/>
          <w:sz w:val="20"/>
          <w:szCs w:val="20"/>
        </w:rPr>
      </w:pPr>
      <w:bookmarkStart w:id="996" w:name="_Ref103780904"/>
      <w:r w:rsidRPr="00AC4AEA">
        <w:rPr>
          <w:rFonts w:ascii="Arial" w:hAnsi="Arial" w:cs="Arial"/>
          <w:sz w:val="20"/>
          <w:szCs w:val="20"/>
        </w:rPr>
        <w:t xml:space="preserve">Si </w:t>
      </w:r>
      <w:r w:rsidR="00491CD5" w:rsidRPr="00AC4AEA">
        <w:rPr>
          <w:rFonts w:ascii="Arial" w:hAnsi="Arial" w:cs="Arial"/>
          <w:sz w:val="20"/>
          <w:szCs w:val="20"/>
        </w:rPr>
        <w:t>realizó</w:t>
      </w:r>
      <w:r w:rsidRPr="00AC4AEA">
        <w:rPr>
          <w:rFonts w:ascii="Arial" w:hAnsi="Arial" w:cs="Arial"/>
          <w:sz w:val="20"/>
          <w:szCs w:val="20"/>
        </w:rPr>
        <w:t xml:space="preserve"> transacciones </w:t>
      </w:r>
      <w:r w:rsidR="00491CD5" w:rsidRPr="00AC4AEA">
        <w:rPr>
          <w:rFonts w:ascii="Arial" w:hAnsi="Arial" w:cs="Arial"/>
          <w:sz w:val="20"/>
          <w:szCs w:val="20"/>
        </w:rPr>
        <w:t>con</w:t>
      </w:r>
      <w:r w:rsidRPr="00AC4AEA">
        <w:rPr>
          <w:rFonts w:ascii="Arial" w:hAnsi="Arial" w:cs="Arial"/>
          <w:sz w:val="20"/>
          <w:szCs w:val="20"/>
        </w:rPr>
        <w:t xml:space="preserve"> </w:t>
      </w:r>
      <w:r w:rsidRPr="00AC4AEA">
        <w:rPr>
          <w:rFonts w:ascii="Arial" w:hAnsi="Arial" w:cs="Arial"/>
          <w:b/>
          <w:sz w:val="20"/>
          <w:szCs w:val="20"/>
        </w:rPr>
        <w:t>partes relacionadas</w:t>
      </w:r>
      <w:r w:rsidRPr="00AC4AEA">
        <w:rPr>
          <w:rFonts w:ascii="Arial" w:hAnsi="Arial" w:cs="Arial"/>
          <w:sz w:val="20"/>
          <w:szCs w:val="20"/>
        </w:rPr>
        <w:t>, una entidad revelará</w:t>
      </w:r>
      <w:r w:rsidR="00491CD5" w:rsidRPr="00AC4AEA">
        <w:rPr>
          <w:rFonts w:ascii="Arial" w:hAnsi="Arial" w:cs="Arial"/>
          <w:sz w:val="20"/>
          <w:szCs w:val="20"/>
        </w:rPr>
        <w:t>:</w:t>
      </w:r>
      <w:bookmarkEnd w:id="996"/>
      <w:r w:rsidRPr="00AC4AEA">
        <w:rPr>
          <w:rFonts w:ascii="Arial" w:hAnsi="Arial" w:cs="Arial"/>
          <w:sz w:val="20"/>
          <w:szCs w:val="20"/>
        </w:rPr>
        <w:t xml:space="preserve"> </w:t>
      </w:r>
    </w:p>
    <w:p w:rsidR="00491CD5" w:rsidRPr="00AC4AEA" w:rsidRDefault="00282064" w:rsidP="00A318EA">
      <w:pPr>
        <w:pStyle w:val="Prrafodelista"/>
        <w:numPr>
          <w:ilvl w:val="0"/>
          <w:numId w:val="229"/>
        </w:numPr>
        <w:ind w:left="1560"/>
        <w:contextualSpacing w:val="0"/>
        <w:jc w:val="both"/>
        <w:rPr>
          <w:rFonts w:ascii="Arial" w:hAnsi="Arial" w:cs="Arial"/>
          <w:sz w:val="20"/>
          <w:szCs w:val="20"/>
        </w:rPr>
      </w:pPr>
      <w:r w:rsidRPr="00AC4AEA">
        <w:rPr>
          <w:rFonts w:ascii="Arial" w:hAnsi="Arial" w:cs="Arial"/>
          <w:sz w:val="20"/>
          <w:szCs w:val="20"/>
        </w:rPr>
        <w:t xml:space="preserve">la naturaleza de las relaciones existentes con </w:t>
      </w:r>
      <w:r w:rsidR="00242910" w:rsidRPr="00AC4AEA">
        <w:rPr>
          <w:rFonts w:ascii="Arial" w:hAnsi="Arial" w:cs="Arial"/>
          <w:sz w:val="20"/>
          <w:szCs w:val="20"/>
        </w:rPr>
        <w:t>las</w:t>
      </w:r>
      <w:r w:rsidR="00491CD5" w:rsidRPr="00AC4AEA">
        <w:rPr>
          <w:rFonts w:ascii="Arial" w:hAnsi="Arial" w:cs="Arial"/>
          <w:sz w:val="20"/>
          <w:szCs w:val="20"/>
        </w:rPr>
        <w:t xml:space="preserve"> partes</w:t>
      </w:r>
      <w:r w:rsidR="00242910" w:rsidRPr="00AC4AEA">
        <w:rPr>
          <w:rFonts w:ascii="Arial" w:hAnsi="Arial" w:cs="Arial"/>
          <w:sz w:val="20"/>
          <w:szCs w:val="20"/>
        </w:rPr>
        <w:t xml:space="preserve"> involucradas</w:t>
      </w:r>
      <w:r w:rsidR="00491CD5" w:rsidRPr="00AC4AEA">
        <w:rPr>
          <w:rFonts w:ascii="Arial" w:hAnsi="Arial" w:cs="Arial"/>
          <w:sz w:val="20"/>
          <w:szCs w:val="20"/>
        </w:rPr>
        <w:t>;</w:t>
      </w:r>
      <w:r w:rsidRPr="00AC4AEA">
        <w:rPr>
          <w:rFonts w:ascii="Arial" w:hAnsi="Arial" w:cs="Arial"/>
          <w:sz w:val="20"/>
          <w:szCs w:val="20"/>
        </w:rPr>
        <w:t xml:space="preserve"> </w:t>
      </w:r>
    </w:p>
    <w:p w:rsidR="00972048" w:rsidRPr="00AC4AEA" w:rsidRDefault="00282064" w:rsidP="00A318EA">
      <w:pPr>
        <w:pStyle w:val="Prrafodelista"/>
        <w:numPr>
          <w:ilvl w:val="0"/>
          <w:numId w:val="229"/>
        </w:numPr>
        <w:ind w:left="1560"/>
        <w:contextualSpacing w:val="0"/>
        <w:jc w:val="both"/>
        <w:rPr>
          <w:rFonts w:ascii="Arial" w:hAnsi="Arial" w:cs="Arial"/>
          <w:sz w:val="20"/>
          <w:szCs w:val="20"/>
        </w:rPr>
      </w:pPr>
      <w:r w:rsidRPr="00AC4AEA">
        <w:rPr>
          <w:rFonts w:ascii="Arial" w:hAnsi="Arial" w:cs="Arial"/>
          <w:sz w:val="20"/>
          <w:szCs w:val="20"/>
        </w:rPr>
        <w:t>los tipos de transacciones</w:t>
      </w:r>
      <w:r w:rsidR="00242910" w:rsidRPr="00AC4AEA">
        <w:rPr>
          <w:rFonts w:ascii="Arial" w:hAnsi="Arial" w:cs="Arial"/>
          <w:sz w:val="20"/>
          <w:szCs w:val="20"/>
        </w:rPr>
        <w:t xml:space="preserve"> efectuadas</w:t>
      </w:r>
      <w:r w:rsidR="00491CD5" w:rsidRPr="00AC4AEA">
        <w:rPr>
          <w:rFonts w:ascii="Arial" w:hAnsi="Arial" w:cs="Arial"/>
          <w:sz w:val="20"/>
          <w:szCs w:val="20"/>
        </w:rPr>
        <w:t>;</w:t>
      </w:r>
      <w:r w:rsidRPr="00AC4AEA">
        <w:rPr>
          <w:rFonts w:ascii="Arial" w:hAnsi="Arial" w:cs="Arial"/>
          <w:sz w:val="20"/>
          <w:szCs w:val="20"/>
        </w:rPr>
        <w:t xml:space="preserve"> </w:t>
      </w:r>
    </w:p>
    <w:p w:rsidR="00972048" w:rsidRPr="00AC4AEA" w:rsidRDefault="00972048" w:rsidP="00A318EA">
      <w:pPr>
        <w:pStyle w:val="Prrafodelista"/>
        <w:numPr>
          <w:ilvl w:val="0"/>
          <w:numId w:val="229"/>
        </w:numPr>
        <w:ind w:left="1560"/>
        <w:contextualSpacing w:val="0"/>
        <w:jc w:val="both"/>
        <w:rPr>
          <w:rFonts w:ascii="Arial" w:hAnsi="Arial" w:cs="Arial"/>
          <w:sz w:val="20"/>
          <w:szCs w:val="20"/>
        </w:rPr>
      </w:pPr>
      <w:r w:rsidRPr="00AC4AEA">
        <w:rPr>
          <w:rFonts w:ascii="Arial" w:hAnsi="Arial" w:cs="Arial"/>
          <w:sz w:val="20"/>
          <w:szCs w:val="20"/>
        </w:rPr>
        <w:t>las condiciones pactadas;</w:t>
      </w:r>
    </w:p>
    <w:p w:rsidR="00491CD5" w:rsidRPr="00AC4AEA" w:rsidRDefault="00972048" w:rsidP="00A318EA">
      <w:pPr>
        <w:pStyle w:val="Prrafodelista"/>
        <w:numPr>
          <w:ilvl w:val="0"/>
          <w:numId w:val="229"/>
        </w:numPr>
        <w:ind w:left="1560"/>
        <w:contextualSpacing w:val="0"/>
        <w:jc w:val="both"/>
        <w:rPr>
          <w:rFonts w:ascii="Arial" w:hAnsi="Arial" w:cs="Arial"/>
          <w:sz w:val="20"/>
          <w:szCs w:val="20"/>
        </w:rPr>
      </w:pPr>
      <w:r w:rsidRPr="00AC4AEA">
        <w:rPr>
          <w:rFonts w:ascii="Arial" w:hAnsi="Arial" w:cs="Arial"/>
          <w:sz w:val="20"/>
          <w:szCs w:val="20"/>
        </w:rPr>
        <w:t xml:space="preserve">las </w:t>
      </w:r>
      <w:r w:rsidRPr="00AC4AEA">
        <w:rPr>
          <w:rFonts w:ascii="Arial" w:hAnsi="Arial" w:cs="Arial"/>
          <w:b/>
          <w:bCs/>
          <w:sz w:val="20"/>
          <w:szCs w:val="20"/>
        </w:rPr>
        <w:t xml:space="preserve">políticas contables </w:t>
      </w:r>
      <w:r w:rsidRPr="00AC4AEA">
        <w:rPr>
          <w:rFonts w:ascii="Arial" w:hAnsi="Arial" w:cs="Arial"/>
          <w:sz w:val="20"/>
          <w:szCs w:val="20"/>
        </w:rPr>
        <w:t>adoptadas para dichas transacciones;</w:t>
      </w:r>
      <w:r w:rsidR="00A82EFF" w:rsidRPr="00AC4AEA">
        <w:rPr>
          <w:rFonts w:ascii="Arial" w:hAnsi="Arial" w:cs="Arial"/>
          <w:sz w:val="20"/>
          <w:szCs w:val="20"/>
        </w:rPr>
        <w:t xml:space="preserve"> </w:t>
      </w:r>
      <w:r w:rsidR="00282064" w:rsidRPr="00AC4AEA">
        <w:rPr>
          <w:rFonts w:ascii="Arial" w:hAnsi="Arial" w:cs="Arial"/>
          <w:sz w:val="20"/>
          <w:szCs w:val="20"/>
        </w:rPr>
        <w:t xml:space="preserve">y </w:t>
      </w:r>
    </w:p>
    <w:p w:rsidR="00282064" w:rsidRPr="00AC4AEA" w:rsidRDefault="00282064" w:rsidP="00A318EA">
      <w:pPr>
        <w:pStyle w:val="Prrafodelista"/>
        <w:numPr>
          <w:ilvl w:val="0"/>
          <w:numId w:val="229"/>
        </w:numPr>
        <w:ind w:left="1560"/>
        <w:contextualSpacing w:val="0"/>
        <w:jc w:val="both"/>
        <w:rPr>
          <w:rFonts w:ascii="Arial" w:hAnsi="Arial" w:cs="Arial"/>
          <w:sz w:val="20"/>
          <w:szCs w:val="20"/>
        </w:rPr>
      </w:pPr>
      <w:r w:rsidRPr="00AC4AEA">
        <w:rPr>
          <w:rFonts w:ascii="Arial" w:hAnsi="Arial" w:cs="Arial"/>
          <w:sz w:val="20"/>
          <w:szCs w:val="20"/>
        </w:rPr>
        <w:t xml:space="preserve">la información necesaria para una adecuada comprensión de </w:t>
      </w:r>
      <w:r w:rsidR="00242910" w:rsidRPr="00AC4AEA">
        <w:rPr>
          <w:rFonts w:ascii="Arial" w:hAnsi="Arial" w:cs="Arial"/>
          <w:sz w:val="20"/>
          <w:szCs w:val="20"/>
        </w:rPr>
        <w:t>sus</w:t>
      </w:r>
      <w:r w:rsidRPr="00AC4AEA">
        <w:rPr>
          <w:rFonts w:ascii="Arial" w:hAnsi="Arial" w:cs="Arial"/>
          <w:sz w:val="20"/>
          <w:szCs w:val="20"/>
        </w:rPr>
        <w:t xml:space="preserve"> </w:t>
      </w:r>
      <w:r w:rsidR="00135084" w:rsidRPr="00AC4AEA">
        <w:rPr>
          <w:rFonts w:ascii="Arial" w:hAnsi="Arial" w:cs="Arial"/>
          <w:b/>
          <w:bCs/>
          <w:sz w:val="20"/>
          <w:szCs w:val="20"/>
        </w:rPr>
        <w:t>estados contables</w:t>
      </w:r>
      <w:r w:rsidR="00491CD5" w:rsidRPr="00AC4AEA">
        <w:rPr>
          <w:rFonts w:ascii="Arial" w:hAnsi="Arial" w:cs="Arial"/>
          <w:sz w:val="20"/>
          <w:szCs w:val="20"/>
        </w:rPr>
        <w:t>;</w:t>
      </w:r>
      <w:r w:rsidRPr="00AC4AEA">
        <w:rPr>
          <w:rFonts w:ascii="Arial" w:hAnsi="Arial" w:cs="Arial"/>
          <w:sz w:val="20"/>
          <w:szCs w:val="20"/>
        </w:rPr>
        <w:t xml:space="preserve"> por ejemplo:</w:t>
      </w:r>
      <w:bookmarkEnd w:id="995"/>
    </w:p>
    <w:p w:rsidR="00282064" w:rsidRPr="00AC4AEA" w:rsidRDefault="00282064" w:rsidP="00C01B25">
      <w:pPr>
        <w:pStyle w:val="Prrafodelista"/>
        <w:numPr>
          <w:ilvl w:val="0"/>
          <w:numId w:val="463"/>
        </w:numPr>
        <w:ind w:left="1985"/>
        <w:contextualSpacing w:val="0"/>
        <w:jc w:val="both"/>
        <w:rPr>
          <w:rFonts w:ascii="Arial" w:hAnsi="Arial" w:cs="Arial"/>
          <w:sz w:val="20"/>
          <w:szCs w:val="20"/>
        </w:rPr>
      </w:pPr>
      <w:r w:rsidRPr="00AC4AEA">
        <w:rPr>
          <w:rFonts w:ascii="Arial" w:hAnsi="Arial" w:cs="Arial"/>
          <w:sz w:val="20"/>
          <w:szCs w:val="20"/>
        </w:rPr>
        <w:lastRenderedPageBreak/>
        <w:t xml:space="preserve">los importes de las transacciones, </w:t>
      </w:r>
      <w:r w:rsidR="00491CD5" w:rsidRPr="00AC4AEA">
        <w:rPr>
          <w:rFonts w:ascii="Arial" w:hAnsi="Arial" w:cs="Arial"/>
          <w:sz w:val="20"/>
          <w:szCs w:val="20"/>
        </w:rPr>
        <w:t>informando los totales por cada tipo de transacción;</w:t>
      </w:r>
      <w:r w:rsidRPr="00AC4AEA">
        <w:rPr>
          <w:rFonts w:ascii="Arial" w:hAnsi="Arial" w:cs="Arial"/>
          <w:sz w:val="20"/>
          <w:szCs w:val="20"/>
        </w:rPr>
        <w:t xml:space="preserve"> y</w:t>
      </w:r>
    </w:p>
    <w:p w:rsidR="00282064" w:rsidRPr="00AC4AEA" w:rsidRDefault="00282064" w:rsidP="00C01B25">
      <w:pPr>
        <w:pStyle w:val="Prrafodelista"/>
        <w:numPr>
          <w:ilvl w:val="0"/>
          <w:numId w:val="463"/>
        </w:numPr>
        <w:ind w:left="1985"/>
        <w:contextualSpacing w:val="0"/>
        <w:jc w:val="both"/>
        <w:rPr>
          <w:rFonts w:ascii="Arial" w:hAnsi="Arial" w:cs="Arial"/>
          <w:sz w:val="20"/>
          <w:szCs w:val="20"/>
        </w:rPr>
      </w:pPr>
      <w:r w:rsidRPr="00AC4AEA">
        <w:rPr>
          <w:rFonts w:ascii="Arial" w:hAnsi="Arial" w:cs="Arial"/>
          <w:sz w:val="20"/>
          <w:szCs w:val="20"/>
        </w:rPr>
        <w:t xml:space="preserve">los saldos originados por tales transacciones. </w:t>
      </w:r>
    </w:p>
    <w:p w:rsidR="00CE42BF" w:rsidRPr="00AC4AEA" w:rsidRDefault="0028206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834C1B" w:rsidRPr="00AC4AEA">
        <w:rPr>
          <w:rFonts w:ascii="Arial" w:hAnsi="Arial" w:cs="Arial"/>
          <w:sz w:val="20"/>
          <w:szCs w:val="20"/>
        </w:rPr>
        <w:t>revelará</w:t>
      </w:r>
      <w:r w:rsidRPr="00AC4AEA">
        <w:rPr>
          <w:rFonts w:ascii="Arial" w:hAnsi="Arial" w:cs="Arial"/>
          <w:sz w:val="20"/>
          <w:szCs w:val="20"/>
        </w:rPr>
        <w:t xml:space="preserve"> </w:t>
      </w:r>
      <w:r w:rsidR="00C96D70" w:rsidRPr="00AC4AEA">
        <w:rPr>
          <w:rFonts w:ascii="Arial" w:hAnsi="Arial" w:cs="Arial"/>
          <w:sz w:val="20"/>
          <w:szCs w:val="20"/>
        </w:rPr>
        <w:t xml:space="preserve">la información referida en el párrafo anterior, </w:t>
      </w:r>
      <w:r w:rsidRPr="00AC4AEA">
        <w:rPr>
          <w:rFonts w:ascii="Arial" w:hAnsi="Arial" w:cs="Arial"/>
          <w:sz w:val="20"/>
          <w:szCs w:val="20"/>
        </w:rPr>
        <w:t>en forma separada</w:t>
      </w:r>
      <w:r w:rsidR="00C96D70" w:rsidRPr="00AC4AEA">
        <w:rPr>
          <w:rFonts w:ascii="Arial" w:hAnsi="Arial" w:cs="Arial"/>
          <w:sz w:val="20"/>
          <w:szCs w:val="20"/>
        </w:rPr>
        <w:t>,</w:t>
      </w:r>
      <w:r w:rsidRPr="00AC4AEA">
        <w:rPr>
          <w:rFonts w:ascii="Arial" w:hAnsi="Arial" w:cs="Arial"/>
          <w:sz w:val="20"/>
          <w:szCs w:val="20"/>
        </w:rPr>
        <w:t xml:space="preserve"> para cada una de las siguientes categorías de </w:t>
      </w:r>
      <w:r w:rsidRPr="00AC4AEA">
        <w:rPr>
          <w:rFonts w:ascii="Arial" w:hAnsi="Arial" w:cs="Arial"/>
          <w:b/>
          <w:sz w:val="20"/>
          <w:szCs w:val="20"/>
        </w:rPr>
        <w:t>partes relacionadas</w:t>
      </w:r>
      <w:r w:rsidRPr="00AC4AEA">
        <w:rPr>
          <w:rFonts w:ascii="Arial" w:hAnsi="Arial" w:cs="Arial"/>
          <w:sz w:val="20"/>
          <w:szCs w:val="20"/>
        </w:rPr>
        <w:t xml:space="preserve">: </w:t>
      </w:r>
    </w:p>
    <w:p w:rsidR="00CE42BF" w:rsidRPr="00AC4AEA" w:rsidRDefault="00282064" w:rsidP="00A318EA">
      <w:pPr>
        <w:pStyle w:val="Prrafodelista"/>
        <w:numPr>
          <w:ilvl w:val="0"/>
          <w:numId w:val="230"/>
        </w:numPr>
        <w:ind w:left="1560"/>
        <w:contextualSpacing w:val="0"/>
        <w:jc w:val="both"/>
        <w:rPr>
          <w:rFonts w:ascii="Arial" w:hAnsi="Arial" w:cs="Arial"/>
          <w:sz w:val="20"/>
          <w:szCs w:val="20"/>
        </w:rPr>
      </w:pPr>
      <w:r w:rsidRPr="00AC4AEA">
        <w:rPr>
          <w:rFonts w:ascii="Arial" w:hAnsi="Arial" w:cs="Arial"/>
          <w:sz w:val="20"/>
          <w:szCs w:val="20"/>
        </w:rPr>
        <w:t>controla</w:t>
      </w:r>
      <w:r w:rsidR="00722747" w:rsidRPr="00AC4AEA">
        <w:rPr>
          <w:rFonts w:ascii="Arial" w:hAnsi="Arial" w:cs="Arial"/>
          <w:sz w:val="20"/>
          <w:szCs w:val="20"/>
        </w:rPr>
        <w:t>dora</w:t>
      </w:r>
      <w:r w:rsidRPr="00AC4AEA">
        <w:rPr>
          <w:rFonts w:ascii="Arial" w:hAnsi="Arial" w:cs="Arial"/>
          <w:sz w:val="20"/>
          <w:szCs w:val="20"/>
        </w:rPr>
        <w:t xml:space="preserve">; </w:t>
      </w:r>
    </w:p>
    <w:p w:rsidR="00CE42BF" w:rsidRPr="00AC4AEA" w:rsidRDefault="00282064" w:rsidP="00A318EA">
      <w:pPr>
        <w:pStyle w:val="Prrafodelista"/>
        <w:numPr>
          <w:ilvl w:val="0"/>
          <w:numId w:val="230"/>
        </w:numPr>
        <w:ind w:left="1560"/>
        <w:contextualSpacing w:val="0"/>
        <w:jc w:val="both"/>
        <w:rPr>
          <w:rFonts w:ascii="Arial" w:hAnsi="Arial" w:cs="Arial"/>
          <w:sz w:val="20"/>
          <w:szCs w:val="20"/>
        </w:rPr>
      </w:pPr>
      <w:r w:rsidRPr="00AC4AEA">
        <w:rPr>
          <w:rFonts w:ascii="Arial" w:hAnsi="Arial" w:cs="Arial"/>
          <w:sz w:val="20"/>
          <w:szCs w:val="20"/>
        </w:rPr>
        <w:t>ent</w:t>
      </w:r>
      <w:r w:rsidR="00CE42BF" w:rsidRPr="00AC4AEA">
        <w:rPr>
          <w:rFonts w:ascii="Arial" w:hAnsi="Arial" w:cs="Arial"/>
          <w:sz w:val="20"/>
          <w:szCs w:val="20"/>
        </w:rPr>
        <w:t>idad</w:t>
      </w:r>
      <w:r w:rsidRPr="00AC4AEA">
        <w:rPr>
          <w:rFonts w:ascii="Arial" w:hAnsi="Arial" w:cs="Arial"/>
          <w:sz w:val="20"/>
          <w:szCs w:val="20"/>
        </w:rPr>
        <w:t xml:space="preserve">es que ejercen control conjunto; </w:t>
      </w:r>
    </w:p>
    <w:p w:rsidR="00CE42BF" w:rsidRPr="00AC4AEA" w:rsidRDefault="00282064" w:rsidP="00A318EA">
      <w:pPr>
        <w:pStyle w:val="Prrafodelista"/>
        <w:numPr>
          <w:ilvl w:val="0"/>
          <w:numId w:val="230"/>
        </w:numPr>
        <w:ind w:left="1560"/>
        <w:contextualSpacing w:val="0"/>
        <w:jc w:val="both"/>
        <w:rPr>
          <w:rFonts w:ascii="Arial" w:hAnsi="Arial" w:cs="Arial"/>
          <w:sz w:val="20"/>
          <w:szCs w:val="20"/>
        </w:rPr>
      </w:pPr>
      <w:r w:rsidRPr="00AC4AEA">
        <w:rPr>
          <w:rFonts w:ascii="Arial" w:hAnsi="Arial" w:cs="Arial"/>
          <w:sz w:val="20"/>
          <w:szCs w:val="20"/>
        </w:rPr>
        <w:t xml:space="preserve">controladas; </w:t>
      </w:r>
    </w:p>
    <w:p w:rsidR="00CE42BF" w:rsidRPr="00AC4AEA" w:rsidRDefault="00282064" w:rsidP="00A318EA">
      <w:pPr>
        <w:pStyle w:val="Prrafodelista"/>
        <w:numPr>
          <w:ilvl w:val="0"/>
          <w:numId w:val="230"/>
        </w:numPr>
        <w:ind w:left="1560"/>
        <w:contextualSpacing w:val="0"/>
        <w:jc w:val="both"/>
        <w:rPr>
          <w:rFonts w:ascii="Arial" w:hAnsi="Arial" w:cs="Arial"/>
          <w:sz w:val="20"/>
          <w:szCs w:val="20"/>
        </w:rPr>
      </w:pPr>
      <w:r w:rsidRPr="00AC4AEA">
        <w:rPr>
          <w:rFonts w:ascii="Arial" w:hAnsi="Arial" w:cs="Arial"/>
          <w:sz w:val="20"/>
          <w:szCs w:val="20"/>
        </w:rPr>
        <w:t>ent</w:t>
      </w:r>
      <w:r w:rsidR="00CE42BF" w:rsidRPr="00AC4AEA">
        <w:rPr>
          <w:rFonts w:ascii="Arial" w:hAnsi="Arial" w:cs="Arial"/>
          <w:sz w:val="20"/>
          <w:szCs w:val="20"/>
        </w:rPr>
        <w:t>idad</w:t>
      </w:r>
      <w:r w:rsidRPr="00AC4AEA">
        <w:rPr>
          <w:rFonts w:ascii="Arial" w:hAnsi="Arial" w:cs="Arial"/>
          <w:sz w:val="20"/>
          <w:szCs w:val="20"/>
        </w:rPr>
        <w:t>es sobre l</w:t>
      </w:r>
      <w:r w:rsidR="00BC1E59" w:rsidRPr="00AC4AEA">
        <w:rPr>
          <w:rFonts w:ascii="Arial" w:hAnsi="Arial" w:cs="Arial"/>
          <w:sz w:val="20"/>
          <w:szCs w:val="20"/>
        </w:rPr>
        <w:t>a</w:t>
      </w:r>
      <w:r w:rsidRPr="00AC4AEA">
        <w:rPr>
          <w:rFonts w:ascii="Arial" w:hAnsi="Arial" w:cs="Arial"/>
          <w:sz w:val="20"/>
          <w:szCs w:val="20"/>
        </w:rPr>
        <w:t xml:space="preserve">s que se ejerce influencia significativa o que ejercen influencia significativa sobre </w:t>
      </w:r>
      <w:r w:rsidR="00CE42BF" w:rsidRPr="00AC4AEA">
        <w:rPr>
          <w:rFonts w:ascii="Arial" w:hAnsi="Arial" w:cs="Arial"/>
          <w:sz w:val="20"/>
          <w:szCs w:val="20"/>
        </w:rPr>
        <w:t>la entidad</w:t>
      </w:r>
      <w:r w:rsidRPr="00AC4AEA">
        <w:rPr>
          <w:rFonts w:ascii="Arial" w:hAnsi="Arial" w:cs="Arial"/>
          <w:sz w:val="20"/>
          <w:szCs w:val="20"/>
        </w:rPr>
        <w:t xml:space="preserve"> que informa; </w:t>
      </w:r>
    </w:p>
    <w:p w:rsidR="00CE42BF" w:rsidRPr="00AC4AEA" w:rsidRDefault="00282064" w:rsidP="00A318EA">
      <w:pPr>
        <w:pStyle w:val="Prrafodelista"/>
        <w:numPr>
          <w:ilvl w:val="0"/>
          <w:numId w:val="230"/>
        </w:numPr>
        <w:ind w:left="1560"/>
        <w:contextualSpacing w:val="0"/>
        <w:jc w:val="both"/>
        <w:rPr>
          <w:rFonts w:ascii="Arial" w:hAnsi="Arial" w:cs="Arial"/>
          <w:sz w:val="20"/>
          <w:szCs w:val="20"/>
        </w:rPr>
      </w:pPr>
      <w:r w:rsidRPr="00AC4AEA">
        <w:rPr>
          <w:rFonts w:ascii="Arial" w:hAnsi="Arial" w:cs="Arial"/>
          <w:sz w:val="20"/>
          <w:szCs w:val="20"/>
        </w:rPr>
        <w:t xml:space="preserve">negocios conjuntos en los que </w:t>
      </w:r>
      <w:r w:rsidR="00CE42BF" w:rsidRPr="00AC4AEA">
        <w:rPr>
          <w:rFonts w:ascii="Arial" w:hAnsi="Arial" w:cs="Arial"/>
          <w:sz w:val="20"/>
          <w:szCs w:val="20"/>
        </w:rPr>
        <w:t>la entidad</w:t>
      </w:r>
      <w:r w:rsidRPr="00AC4AEA">
        <w:rPr>
          <w:rFonts w:ascii="Arial" w:hAnsi="Arial" w:cs="Arial"/>
          <w:sz w:val="20"/>
          <w:szCs w:val="20"/>
        </w:rPr>
        <w:t xml:space="preserve"> es un socio; </w:t>
      </w:r>
    </w:p>
    <w:p w:rsidR="00CE42BF" w:rsidRPr="00AC4AEA" w:rsidRDefault="00282064" w:rsidP="00A318EA">
      <w:pPr>
        <w:pStyle w:val="Prrafodelista"/>
        <w:numPr>
          <w:ilvl w:val="0"/>
          <w:numId w:val="230"/>
        </w:numPr>
        <w:ind w:left="1560"/>
        <w:contextualSpacing w:val="0"/>
        <w:jc w:val="both"/>
        <w:rPr>
          <w:rFonts w:ascii="Arial" w:hAnsi="Arial" w:cs="Arial"/>
          <w:sz w:val="20"/>
          <w:szCs w:val="20"/>
        </w:rPr>
      </w:pPr>
      <w:r w:rsidRPr="00AC4AEA">
        <w:rPr>
          <w:rFonts w:ascii="Arial" w:hAnsi="Arial" w:cs="Arial"/>
          <w:sz w:val="20"/>
          <w:szCs w:val="20"/>
        </w:rPr>
        <w:t xml:space="preserve">personal clave de la </w:t>
      </w:r>
      <w:r w:rsidR="00C96D70" w:rsidRPr="00AC4AEA">
        <w:rPr>
          <w:rFonts w:ascii="Arial" w:hAnsi="Arial" w:cs="Arial"/>
          <w:b/>
          <w:bCs/>
          <w:sz w:val="20"/>
          <w:szCs w:val="20"/>
        </w:rPr>
        <w:t>d</w:t>
      </w:r>
      <w:r w:rsidRPr="00AC4AEA">
        <w:rPr>
          <w:rFonts w:ascii="Arial" w:hAnsi="Arial" w:cs="Arial"/>
          <w:b/>
          <w:bCs/>
          <w:sz w:val="20"/>
          <w:szCs w:val="20"/>
        </w:rPr>
        <w:t>irección</w:t>
      </w:r>
      <w:r w:rsidRPr="00AC4AEA">
        <w:rPr>
          <w:rFonts w:ascii="Arial" w:hAnsi="Arial" w:cs="Arial"/>
          <w:sz w:val="20"/>
          <w:szCs w:val="20"/>
        </w:rPr>
        <w:t xml:space="preserve">; </w:t>
      </w:r>
      <w:r w:rsidR="00CE42BF" w:rsidRPr="00AC4AEA">
        <w:rPr>
          <w:rFonts w:ascii="Arial" w:hAnsi="Arial" w:cs="Arial"/>
          <w:sz w:val="20"/>
          <w:szCs w:val="20"/>
        </w:rPr>
        <w:t>y</w:t>
      </w:r>
    </w:p>
    <w:p w:rsidR="00CE42BF" w:rsidRPr="00AC4AEA" w:rsidRDefault="00282064" w:rsidP="00A318EA">
      <w:pPr>
        <w:pStyle w:val="Prrafodelista"/>
        <w:numPr>
          <w:ilvl w:val="0"/>
          <w:numId w:val="230"/>
        </w:numPr>
        <w:ind w:left="1560"/>
        <w:contextualSpacing w:val="0"/>
        <w:jc w:val="both"/>
        <w:rPr>
          <w:rFonts w:ascii="Arial" w:hAnsi="Arial" w:cs="Arial"/>
          <w:sz w:val="20"/>
          <w:szCs w:val="20"/>
        </w:rPr>
      </w:pPr>
      <w:r w:rsidRPr="00AC4AEA">
        <w:rPr>
          <w:rFonts w:ascii="Arial" w:hAnsi="Arial" w:cs="Arial"/>
          <w:sz w:val="20"/>
          <w:szCs w:val="20"/>
        </w:rPr>
        <w:t xml:space="preserve">otras </w:t>
      </w:r>
      <w:r w:rsidRPr="00AC4AEA">
        <w:rPr>
          <w:rFonts w:ascii="Arial" w:hAnsi="Arial" w:cs="Arial"/>
          <w:b/>
          <w:sz w:val="20"/>
          <w:szCs w:val="20"/>
        </w:rPr>
        <w:t>partes relacionadas</w:t>
      </w:r>
      <w:r w:rsidRPr="00AC4AEA">
        <w:rPr>
          <w:rFonts w:ascii="Arial" w:hAnsi="Arial" w:cs="Arial"/>
          <w:sz w:val="20"/>
          <w:szCs w:val="20"/>
        </w:rPr>
        <w:t xml:space="preserve">. </w:t>
      </w:r>
    </w:p>
    <w:p w:rsidR="00CE42BF" w:rsidRPr="00AC4AEA" w:rsidRDefault="00AF470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Cuando sea controladora, una entidad revelará la identidad de las entidades controladas, incluso si no existieran transacciones entre ellas</w:t>
      </w:r>
      <w:r w:rsidR="00282064" w:rsidRPr="00AC4AEA">
        <w:rPr>
          <w:rFonts w:ascii="Arial" w:hAnsi="Arial" w:cs="Arial"/>
          <w:sz w:val="20"/>
          <w:szCs w:val="20"/>
        </w:rPr>
        <w:t xml:space="preserve">. </w:t>
      </w:r>
    </w:p>
    <w:p w:rsidR="00CE42BF" w:rsidRPr="00AC4AEA" w:rsidRDefault="00CE42BF" w:rsidP="00A318EA">
      <w:pPr>
        <w:pStyle w:val="Prrafodelista"/>
        <w:numPr>
          <w:ilvl w:val="0"/>
          <w:numId w:val="29"/>
        </w:numPr>
        <w:contextualSpacing w:val="0"/>
        <w:jc w:val="both"/>
        <w:rPr>
          <w:rFonts w:ascii="Arial" w:hAnsi="Arial" w:cs="Arial"/>
          <w:sz w:val="20"/>
          <w:szCs w:val="20"/>
        </w:rPr>
      </w:pPr>
      <w:bookmarkStart w:id="997" w:name="_Ref80963486"/>
      <w:r w:rsidRPr="00AC4AEA">
        <w:rPr>
          <w:rFonts w:ascii="Arial" w:hAnsi="Arial" w:cs="Arial"/>
          <w:sz w:val="20"/>
          <w:szCs w:val="20"/>
        </w:rPr>
        <w:t>Una entidad podrá agrupar l</w:t>
      </w:r>
      <w:r w:rsidR="00282064" w:rsidRPr="00AC4AEA">
        <w:rPr>
          <w:rFonts w:ascii="Arial" w:hAnsi="Arial" w:cs="Arial"/>
          <w:sz w:val="20"/>
          <w:szCs w:val="20"/>
        </w:rPr>
        <w:t xml:space="preserve">as partidas de contenido similar, a menos que su desagregación sea necesaria para comprender los efectos de las operaciones entre </w:t>
      </w:r>
      <w:r w:rsidR="00282064" w:rsidRPr="00AC4AEA">
        <w:rPr>
          <w:rFonts w:ascii="Arial" w:hAnsi="Arial" w:cs="Arial"/>
          <w:b/>
          <w:sz w:val="20"/>
          <w:szCs w:val="20"/>
        </w:rPr>
        <w:t>partes relacionadas</w:t>
      </w:r>
      <w:r w:rsidR="00242910" w:rsidRPr="00AC4AEA">
        <w:rPr>
          <w:rFonts w:ascii="Arial" w:hAnsi="Arial" w:cs="Arial"/>
          <w:sz w:val="20"/>
          <w:szCs w:val="20"/>
        </w:rPr>
        <w:t>.</w:t>
      </w:r>
      <w:bookmarkEnd w:id="997"/>
    </w:p>
    <w:p w:rsidR="00724425" w:rsidRPr="00AC4AEA" w:rsidRDefault="00C96D70"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sus </w:t>
      </w:r>
      <w:r w:rsidR="00135084" w:rsidRPr="00DD6554">
        <w:rPr>
          <w:rFonts w:ascii="Arial" w:hAnsi="Arial" w:cs="Arial"/>
          <w:b/>
          <w:bCs/>
          <w:sz w:val="20"/>
          <w:szCs w:val="20"/>
        </w:rPr>
        <w:t>estados contables</w:t>
      </w:r>
      <w:r w:rsidRPr="00DD6554">
        <w:rPr>
          <w:rFonts w:ascii="Arial" w:hAnsi="Arial" w:cs="Arial"/>
          <w:b/>
          <w:bCs/>
          <w:sz w:val="20"/>
          <w:szCs w:val="20"/>
        </w:rPr>
        <w:t xml:space="preserve"> consolidados</w:t>
      </w:r>
      <w:r w:rsidR="00724425" w:rsidRPr="00AC4AEA">
        <w:rPr>
          <w:rFonts w:ascii="Arial" w:hAnsi="Arial" w:cs="Arial"/>
          <w:sz w:val="20"/>
          <w:szCs w:val="20"/>
        </w:rPr>
        <w:t>, una entidad:</w:t>
      </w:r>
      <w:r w:rsidRPr="00AC4AEA">
        <w:rPr>
          <w:rFonts w:ascii="Arial" w:hAnsi="Arial" w:cs="Arial"/>
          <w:sz w:val="20"/>
          <w:szCs w:val="20"/>
        </w:rPr>
        <w:t xml:space="preserve"> </w:t>
      </w:r>
    </w:p>
    <w:p w:rsidR="00CE42BF" w:rsidRPr="00AC4AEA" w:rsidRDefault="00365110" w:rsidP="00A318EA">
      <w:pPr>
        <w:pStyle w:val="Prrafodelista"/>
        <w:numPr>
          <w:ilvl w:val="0"/>
          <w:numId w:val="231"/>
        </w:numPr>
        <w:ind w:left="1560"/>
        <w:contextualSpacing w:val="0"/>
        <w:jc w:val="both"/>
        <w:rPr>
          <w:rFonts w:ascii="Arial" w:hAnsi="Arial" w:cs="Arial"/>
          <w:sz w:val="20"/>
          <w:szCs w:val="20"/>
        </w:rPr>
      </w:pPr>
      <w:r w:rsidRPr="00AC4AEA">
        <w:rPr>
          <w:rFonts w:ascii="Arial" w:hAnsi="Arial" w:cs="Arial"/>
          <w:sz w:val="20"/>
          <w:szCs w:val="20"/>
        </w:rPr>
        <w:t>No tendrá obligación de revelar información sobre las transacciones entre entidades del grupo que se consolidan, ya que en ellos se da información de la contro</w:t>
      </w:r>
      <w:r w:rsidR="00EB067D" w:rsidRPr="00AC4AEA">
        <w:rPr>
          <w:rFonts w:ascii="Arial" w:hAnsi="Arial" w:cs="Arial"/>
          <w:sz w:val="20"/>
          <w:szCs w:val="20"/>
        </w:rPr>
        <w:t>lado</w:t>
      </w:r>
      <w:r w:rsidRPr="00AC4AEA">
        <w:rPr>
          <w:rFonts w:ascii="Arial" w:hAnsi="Arial" w:cs="Arial"/>
          <w:sz w:val="20"/>
          <w:szCs w:val="20"/>
        </w:rPr>
        <w:t xml:space="preserve">ra y las </w:t>
      </w:r>
      <w:r w:rsidR="00044109" w:rsidRPr="00AC4AEA">
        <w:rPr>
          <w:rFonts w:ascii="Arial" w:hAnsi="Arial" w:cs="Arial"/>
          <w:sz w:val="20"/>
          <w:szCs w:val="20"/>
        </w:rPr>
        <w:t>subsidiarias</w:t>
      </w:r>
      <w:r w:rsidRPr="00AC4AEA">
        <w:rPr>
          <w:rFonts w:ascii="Arial" w:hAnsi="Arial" w:cs="Arial"/>
          <w:sz w:val="20"/>
          <w:szCs w:val="20"/>
        </w:rPr>
        <w:t xml:space="preserve"> como si fueran una sola entidad y dicha revelación se realiza en los </w:t>
      </w:r>
      <w:r w:rsidRPr="00AC4AEA">
        <w:rPr>
          <w:rFonts w:ascii="Arial" w:hAnsi="Arial" w:cs="Arial"/>
          <w:b/>
          <w:bCs/>
          <w:sz w:val="20"/>
          <w:szCs w:val="20"/>
        </w:rPr>
        <w:t>estados contables</w:t>
      </w:r>
      <w:r w:rsidRPr="00AC4AEA">
        <w:rPr>
          <w:rFonts w:ascii="Arial" w:hAnsi="Arial" w:cs="Arial"/>
          <w:sz w:val="20"/>
          <w:szCs w:val="20"/>
        </w:rPr>
        <w:t xml:space="preserve"> separados de la contro</w:t>
      </w:r>
      <w:r w:rsidR="00EB067D" w:rsidRPr="00AC4AEA">
        <w:rPr>
          <w:rFonts w:ascii="Arial" w:hAnsi="Arial" w:cs="Arial"/>
          <w:sz w:val="20"/>
          <w:szCs w:val="20"/>
        </w:rPr>
        <w:t>la</w:t>
      </w:r>
      <w:r w:rsidR="00CB06C2" w:rsidRPr="00AC4AEA">
        <w:rPr>
          <w:rFonts w:ascii="Arial" w:hAnsi="Arial" w:cs="Arial"/>
          <w:sz w:val="20"/>
          <w:szCs w:val="20"/>
        </w:rPr>
        <w:t>dora</w:t>
      </w:r>
      <w:r w:rsidR="00282064" w:rsidRPr="00AC4AEA">
        <w:rPr>
          <w:rFonts w:ascii="Arial" w:hAnsi="Arial" w:cs="Arial"/>
          <w:sz w:val="20"/>
          <w:szCs w:val="20"/>
        </w:rPr>
        <w:t xml:space="preserve">. </w:t>
      </w:r>
    </w:p>
    <w:p w:rsidR="00282064" w:rsidRPr="00AC4AEA" w:rsidRDefault="00CB06C2" w:rsidP="00A318EA">
      <w:pPr>
        <w:pStyle w:val="Prrafodelista"/>
        <w:numPr>
          <w:ilvl w:val="0"/>
          <w:numId w:val="231"/>
        </w:numPr>
        <w:ind w:left="1560"/>
        <w:contextualSpacing w:val="0"/>
        <w:jc w:val="both"/>
        <w:rPr>
          <w:rFonts w:ascii="Arial" w:hAnsi="Arial" w:cs="Arial"/>
          <w:sz w:val="20"/>
          <w:szCs w:val="20"/>
        </w:rPr>
      </w:pPr>
      <w:r w:rsidRPr="00AC4AEA">
        <w:rPr>
          <w:rFonts w:ascii="Arial" w:hAnsi="Arial" w:cs="Arial"/>
          <w:sz w:val="20"/>
          <w:szCs w:val="20"/>
        </w:rPr>
        <w:t xml:space="preserve">Revelará en forma separada información sobre las transacciones con entidades que no se consolidan, ya sea, por ejemplo, porque son controladas no significativas, o son entidades sobre las que se ejerce influencia significativa que se miden y presentan por el método del </w:t>
      </w:r>
      <w:r w:rsidRPr="00050219">
        <w:rPr>
          <w:rFonts w:ascii="Arial" w:hAnsi="Arial" w:cs="Arial"/>
          <w:b/>
          <w:bCs/>
          <w:sz w:val="20"/>
          <w:szCs w:val="20"/>
        </w:rPr>
        <w:t>valor patrimonial proporcional</w:t>
      </w:r>
      <w:r w:rsidR="00242910" w:rsidRPr="00AC4AEA">
        <w:rPr>
          <w:rFonts w:ascii="Arial" w:hAnsi="Arial" w:cs="Arial"/>
          <w:sz w:val="20"/>
          <w:szCs w:val="20"/>
        </w:rPr>
        <w:t>.</w:t>
      </w:r>
    </w:p>
    <w:p w:rsidR="00D81454" w:rsidRPr="00AC4AEA" w:rsidRDefault="00D8145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aplicará l</w:t>
      </w:r>
      <w:r w:rsidR="00282064" w:rsidRPr="00AC4AEA">
        <w:rPr>
          <w:rFonts w:ascii="Arial" w:hAnsi="Arial" w:cs="Arial"/>
          <w:sz w:val="20"/>
          <w:szCs w:val="20"/>
        </w:rPr>
        <w:t xml:space="preserve">as disposiciones </w:t>
      </w:r>
      <w:r w:rsidRPr="00AC4AEA">
        <w:rPr>
          <w:rFonts w:ascii="Arial" w:hAnsi="Arial" w:cs="Arial"/>
          <w:sz w:val="20"/>
          <w:szCs w:val="20"/>
        </w:rPr>
        <w:t xml:space="preserve">comprendidas </w:t>
      </w:r>
      <w:r w:rsidR="00C96D70" w:rsidRPr="00AC4AEA">
        <w:rPr>
          <w:rFonts w:ascii="Arial" w:hAnsi="Arial" w:cs="Arial"/>
          <w:sz w:val="20"/>
          <w:szCs w:val="20"/>
        </w:rPr>
        <w:t>en</w:t>
      </w:r>
      <w:r w:rsidRPr="00AC4AEA">
        <w:rPr>
          <w:rFonts w:ascii="Arial" w:hAnsi="Arial" w:cs="Arial"/>
          <w:sz w:val="20"/>
          <w:szCs w:val="20"/>
        </w:rPr>
        <w:t xml:space="preserve"> </w:t>
      </w:r>
      <w:r w:rsidR="003030D3" w:rsidRPr="00AC4AEA">
        <w:rPr>
          <w:rFonts w:ascii="Arial" w:hAnsi="Arial" w:cs="Arial"/>
          <w:sz w:val="20"/>
          <w:szCs w:val="20"/>
        </w:rPr>
        <w:t>el</w:t>
      </w:r>
      <w:r w:rsidRPr="00AC4AEA">
        <w:rPr>
          <w:rFonts w:ascii="Arial" w:hAnsi="Arial" w:cs="Arial"/>
          <w:sz w:val="20"/>
          <w:szCs w:val="20"/>
        </w:rPr>
        <w:t xml:space="preserve"> párrafo</w:t>
      </w:r>
      <w:r w:rsidR="00436390" w:rsidRPr="00AC4AEA">
        <w:rPr>
          <w:rFonts w:ascii="Arial" w:hAnsi="Arial" w:cs="Arial"/>
          <w:sz w:val="20"/>
          <w:szCs w:val="20"/>
        </w:rPr>
        <w:t xml:space="preserve"> </w:t>
      </w:r>
      <w:fldSimple w:instr=" REF _Ref103780904 \r \h  \* MERGEFORMAT ">
        <w:r w:rsidR="00D33A5D" w:rsidRPr="00D33A5D">
          <w:rPr>
            <w:rFonts w:ascii="Arial" w:hAnsi="Arial" w:cs="Arial"/>
            <w:sz w:val="20"/>
            <w:szCs w:val="20"/>
          </w:rPr>
          <w:t>699</w:t>
        </w:r>
      </w:fldSimple>
      <w:r w:rsidRPr="00AC4AEA">
        <w:rPr>
          <w:rFonts w:ascii="Arial" w:hAnsi="Arial" w:cs="Arial"/>
          <w:sz w:val="20"/>
          <w:szCs w:val="20"/>
        </w:rPr>
        <w:t xml:space="preserve"> </w:t>
      </w:r>
      <w:r w:rsidR="00282064" w:rsidRPr="00AC4AEA">
        <w:rPr>
          <w:rFonts w:ascii="Arial" w:hAnsi="Arial" w:cs="Arial"/>
          <w:sz w:val="20"/>
          <w:szCs w:val="20"/>
        </w:rPr>
        <w:t xml:space="preserve">únicamente </w:t>
      </w:r>
      <w:r w:rsidR="00834C1B" w:rsidRPr="00AC4AEA">
        <w:rPr>
          <w:rFonts w:ascii="Arial" w:hAnsi="Arial" w:cs="Arial"/>
          <w:sz w:val="20"/>
          <w:szCs w:val="20"/>
        </w:rPr>
        <w:t xml:space="preserve">cuando las </w:t>
      </w:r>
      <w:r w:rsidR="00834C1B" w:rsidRPr="00AC4AEA">
        <w:rPr>
          <w:rFonts w:ascii="Arial" w:hAnsi="Arial" w:cs="Arial"/>
          <w:b/>
          <w:sz w:val="20"/>
          <w:szCs w:val="20"/>
        </w:rPr>
        <w:t>partes relacionadas</w:t>
      </w:r>
      <w:r w:rsidR="00834C1B" w:rsidRPr="00AC4AEA">
        <w:rPr>
          <w:rFonts w:ascii="Arial" w:hAnsi="Arial" w:cs="Arial"/>
          <w:sz w:val="20"/>
          <w:szCs w:val="20"/>
        </w:rPr>
        <w:t xml:space="preserve"> sean las siguientes:</w:t>
      </w:r>
    </w:p>
    <w:p w:rsidR="00834C1B" w:rsidRPr="00AC4AEA" w:rsidRDefault="001B1757" w:rsidP="00A318EA">
      <w:pPr>
        <w:pStyle w:val="Prrafodelista"/>
        <w:numPr>
          <w:ilvl w:val="0"/>
          <w:numId w:val="232"/>
        </w:numPr>
        <w:ind w:left="1560"/>
        <w:contextualSpacing w:val="0"/>
        <w:jc w:val="both"/>
        <w:rPr>
          <w:rFonts w:ascii="Arial" w:hAnsi="Arial" w:cs="Arial"/>
          <w:sz w:val="20"/>
          <w:szCs w:val="20"/>
        </w:rPr>
      </w:pPr>
      <w:r w:rsidRPr="00AC4AEA">
        <w:rPr>
          <w:rFonts w:ascii="Arial" w:hAnsi="Arial" w:cs="Arial"/>
          <w:sz w:val="20"/>
          <w:szCs w:val="20"/>
        </w:rPr>
        <w:t>e</w:t>
      </w:r>
      <w:r w:rsidR="00282064" w:rsidRPr="00AC4AEA">
        <w:rPr>
          <w:rFonts w:ascii="Arial" w:hAnsi="Arial" w:cs="Arial"/>
          <w:sz w:val="20"/>
          <w:szCs w:val="20"/>
        </w:rPr>
        <w:t>nt</w:t>
      </w:r>
      <w:r w:rsidRPr="00AC4AEA">
        <w:rPr>
          <w:rFonts w:ascii="Arial" w:hAnsi="Arial" w:cs="Arial"/>
          <w:sz w:val="20"/>
          <w:szCs w:val="20"/>
        </w:rPr>
        <w:t>idad</w:t>
      </w:r>
      <w:r w:rsidR="00282064" w:rsidRPr="00AC4AEA">
        <w:rPr>
          <w:rFonts w:ascii="Arial" w:hAnsi="Arial" w:cs="Arial"/>
          <w:sz w:val="20"/>
          <w:szCs w:val="20"/>
        </w:rPr>
        <w:t xml:space="preserve">es que, directa o </w:t>
      </w:r>
      <w:r w:rsidR="004109EF" w:rsidRPr="00AC4AEA">
        <w:rPr>
          <w:rFonts w:ascii="Arial" w:hAnsi="Arial" w:cs="Arial"/>
          <w:sz w:val="20"/>
          <w:szCs w:val="20"/>
        </w:rPr>
        <w:t>indirectamente</w:t>
      </w:r>
      <w:r w:rsidR="00282064" w:rsidRPr="00AC4AEA">
        <w:rPr>
          <w:rFonts w:ascii="Arial" w:hAnsi="Arial" w:cs="Arial"/>
          <w:sz w:val="20"/>
          <w:szCs w:val="20"/>
        </w:rPr>
        <w:t>, controlen (en forma exclusiva o conjunta) o sean controlad</w:t>
      </w:r>
      <w:r w:rsidR="004109EF" w:rsidRPr="00AC4AEA">
        <w:rPr>
          <w:rFonts w:ascii="Arial" w:hAnsi="Arial" w:cs="Arial"/>
          <w:sz w:val="20"/>
          <w:szCs w:val="20"/>
        </w:rPr>
        <w:t>a</w:t>
      </w:r>
      <w:r w:rsidR="00282064" w:rsidRPr="00AC4AEA">
        <w:rPr>
          <w:rFonts w:ascii="Arial" w:hAnsi="Arial" w:cs="Arial"/>
          <w:sz w:val="20"/>
          <w:szCs w:val="20"/>
        </w:rPr>
        <w:t>s por o estén bajo el control común de</w:t>
      </w:r>
      <w:r w:rsidRPr="00AC4AEA">
        <w:rPr>
          <w:rFonts w:ascii="Arial" w:hAnsi="Arial" w:cs="Arial"/>
          <w:sz w:val="20"/>
          <w:szCs w:val="20"/>
        </w:rPr>
        <w:t xml:space="preserve"> </w:t>
      </w:r>
      <w:r w:rsidR="00282064" w:rsidRPr="00AC4AEA">
        <w:rPr>
          <w:rFonts w:ascii="Arial" w:hAnsi="Arial" w:cs="Arial"/>
          <w:sz w:val="20"/>
          <w:szCs w:val="20"/>
        </w:rPr>
        <w:t>l</w:t>
      </w:r>
      <w:r w:rsidRPr="00AC4AEA">
        <w:rPr>
          <w:rFonts w:ascii="Arial" w:hAnsi="Arial" w:cs="Arial"/>
          <w:sz w:val="20"/>
          <w:szCs w:val="20"/>
        </w:rPr>
        <w:t>a</w:t>
      </w:r>
      <w:r w:rsidR="00282064" w:rsidRPr="00AC4AEA">
        <w:rPr>
          <w:rFonts w:ascii="Arial" w:hAnsi="Arial" w:cs="Arial"/>
          <w:sz w:val="20"/>
          <w:szCs w:val="20"/>
        </w:rPr>
        <w:t xml:space="preserve"> ent</w:t>
      </w:r>
      <w:r w:rsidRPr="00AC4AEA">
        <w:rPr>
          <w:rFonts w:ascii="Arial" w:hAnsi="Arial" w:cs="Arial"/>
          <w:sz w:val="20"/>
          <w:szCs w:val="20"/>
        </w:rPr>
        <w:t>idad</w:t>
      </w:r>
      <w:r w:rsidR="00282064" w:rsidRPr="00AC4AEA">
        <w:rPr>
          <w:rFonts w:ascii="Arial" w:hAnsi="Arial" w:cs="Arial"/>
          <w:sz w:val="20"/>
          <w:szCs w:val="20"/>
        </w:rPr>
        <w:t xml:space="preserve"> que informa. Esto incluye </w:t>
      </w:r>
      <w:r w:rsidR="00C96D70" w:rsidRPr="00AC4AEA">
        <w:rPr>
          <w:rFonts w:ascii="Arial" w:hAnsi="Arial" w:cs="Arial"/>
          <w:sz w:val="20"/>
          <w:szCs w:val="20"/>
        </w:rPr>
        <w:t>a</w:t>
      </w:r>
      <w:r w:rsidR="00834C1B" w:rsidRPr="00AC4AEA">
        <w:rPr>
          <w:rFonts w:ascii="Arial" w:hAnsi="Arial" w:cs="Arial"/>
          <w:sz w:val="20"/>
          <w:szCs w:val="20"/>
        </w:rPr>
        <w:t>:</w:t>
      </w:r>
      <w:r w:rsidR="00C96D70" w:rsidRPr="00AC4AEA">
        <w:rPr>
          <w:rFonts w:ascii="Arial" w:hAnsi="Arial" w:cs="Arial"/>
          <w:sz w:val="20"/>
          <w:szCs w:val="20"/>
        </w:rPr>
        <w:t xml:space="preserve"> </w:t>
      </w:r>
    </w:p>
    <w:p w:rsidR="00834C1B" w:rsidRPr="00AC4AEA" w:rsidRDefault="00C96D70" w:rsidP="00A318EA">
      <w:pPr>
        <w:pStyle w:val="Prrafodelista"/>
        <w:numPr>
          <w:ilvl w:val="0"/>
          <w:numId w:val="233"/>
        </w:numPr>
        <w:ind w:left="1985"/>
        <w:contextualSpacing w:val="0"/>
        <w:jc w:val="both"/>
        <w:rPr>
          <w:rFonts w:ascii="Arial" w:hAnsi="Arial" w:cs="Arial"/>
          <w:sz w:val="20"/>
          <w:szCs w:val="20"/>
        </w:rPr>
      </w:pPr>
      <w:r w:rsidRPr="00AC4AEA">
        <w:rPr>
          <w:rFonts w:ascii="Arial" w:hAnsi="Arial" w:cs="Arial"/>
          <w:sz w:val="20"/>
          <w:szCs w:val="20"/>
        </w:rPr>
        <w:t>las</w:t>
      </w:r>
      <w:r w:rsidR="00282064" w:rsidRPr="00AC4AEA">
        <w:rPr>
          <w:rFonts w:ascii="Arial" w:hAnsi="Arial" w:cs="Arial"/>
          <w:sz w:val="20"/>
          <w:szCs w:val="20"/>
        </w:rPr>
        <w:t xml:space="preserve"> </w:t>
      </w:r>
      <w:r w:rsidRPr="00AC4AEA">
        <w:rPr>
          <w:rFonts w:ascii="Arial" w:hAnsi="Arial" w:cs="Arial"/>
          <w:sz w:val="20"/>
          <w:szCs w:val="20"/>
        </w:rPr>
        <w:t>entidades</w:t>
      </w:r>
      <w:r w:rsidR="00282064" w:rsidRPr="00AC4AEA">
        <w:rPr>
          <w:rFonts w:ascii="Arial" w:hAnsi="Arial" w:cs="Arial"/>
          <w:sz w:val="20"/>
          <w:szCs w:val="20"/>
        </w:rPr>
        <w:t xml:space="preserve"> controla</w:t>
      </w:r>
      <w:r w:rsidR="001B1757" w:rsidRPr="00AC4AEA">
        <w:rPr>
          <w:rFonts w:ascii="Arial" w:hAnsi="Arial" w:cs="Arial"/>
          <w:sz w:val="20"/>
          <w:szCs w:val="20"/>
        </w:rPr>
        <w:t>dor</w:t>
      </w:r>
      <w:r w:rsidRPr="00AC4AEA">
        <w:rPr>
          <w:rFonts w:ascii="Arial" w:hAnsi="Arial" w:cs="Arial"/>
          <w:sz w:val="20"/>
          <w:szCs w:val="20"/>
        </w:rPr>
        <w:t>a</w:t>
      </w:r>
      <w:r w:rsidR="00282064" w:rsidRPr="00AC4AEA">
        <w:rPr>
          <w:rFonts w:ascii="Arial" w:hAnsi="Arial" w:cs="Arial"/>
          <w:sz w:val="20"/>
          <w:szCs w:val="20"/>
        </w:rPr>
        <w:t>s</w:t>
      </w:r>
      <w:r w:rsidR="00834C1B" w:rsidRPr="00AC4AEA">
        <w:rPr>
          <w:rFonts w:ascii="Arial" w:hAnsi="Arial" w:cs="Arial"/>
          <w:sz w:val="20"/>
          <w:szCs w:val="20"/>
        </w:rPr>
        <w:t xml:space="preserve">; </w:t>
      </w:r>
    </w:p>
    <w:p w:rsidR="00834C1B" w:rsidRPr="00AC4AEA" w:rsidRDefault="004109EF" w:rsidP="00A318EA">
      <w:pPr>
        <w:pStyle w:val="Prrafodelista"/>
        <w:numPr>
          <w:ilvl w:val="0"/>
          <w:numId w:val="233"/>
        </w:numPr>
        <w:ind w:left="1985"/>
        <w:contextualSpacing w:val="0"/>
        <w:jc w:val="both"/>
        <w:rPr>
          <w:rFonts w:ascii="Arial" w:hAnsi="Arial" w:cs="Arial"/>
          <w:sz w:val="20"/>
          <w:szCs w:val="20"/>
        </w:rPr>
      </w:pPr>
      <w:r w:rsidRPr="00AC4AEA">
        <w:rPr>
          <w:rFonts w:ascii="Arial" w:hAnsi="Arial" w:cs="Arial"/>
          <w:sz w:val="20"/>
          <w:szCs w:val="20"/>
        </w:rPr>
        <w:t>a</w:t>
      </w:r>
      <w:r w:rsidR="00282064" w:rsidRPr="00AC4AEA">
        <w:rPr>
          <w:rFonts w:ascii="Arial" w:hAnsi="Arial" w:cs="Arial"/>
          <w:sz w:val="20"/>
          <w:szCs w:val="20"/>
        </w:rPr>
        <w:t xml:space="preserve"> l</w:t>
      </w:r>
      <w:r w:rsidR="00724425" w:rsidRPr="00AC4AEA">
        <w:rPr>
          <w:rFonts w:ascii="Arial" w:hAnsi="Arial" w:cs="Arial"/>
          <w:sz w:val="20"/>
          <w:szCs w:val="20"/>
        </w:rPr>
        <w:t>as</w:t>
      </w:r>
      <w:r w:rsidR="00282064" w:rsidRPr="00AC4AEA">
        <w:rPr>
          <w:rFonts w:ascii="Arial" w:hAnsi="Arial" w:cs="Arial"/>
          <w:sz w:val="20"/>
          <w:szCs w:val="20"/>
        </w:rPr>
        <w:t xml:space="preserve"> controlad</w:t>
      </w:r>
      <w:r w:rsidR="00724425" w:rsidRPr="00AC4AEA">
        <w:rPr>
          <w:rFonts w:ascii="Arial" w:hAnsi="Arial" w:cs="Arial"/>
          <w:sz w:val="20"/>
          <w:szCs w:val="20"/>
        </w:rPr>
        <w:t>a</w:t>
      </w:r>
      <w:r w:rsidR="00282064" w:rsidRPr="00AC4AEA">
        <w:rPr>
          <w:rFonts w:ascii="Arial" w:hAnsi="Arial" w:cs="Arial"/>
          <w:sz w:val="20"/>
          <w:szCs w:val="20"/>
        </w:rPr>
        <w:t>s</w:t>
      </w:r>
      <w:r w:rsidR="00834C1B" w:rsidRPr="00AC4AEA">
        <w:rPr>
          <w:rFonts w:ascii="Arial" w:hAnsi="Arial" w:cs="Arial"/>
          <w:sz w:val="20"/>
          <w:szCs w:val="20"/>
        </w:rPr>
        <w:t>;</w:t>
      </w:r>
      <w:r w:rsidR="00282064" w:rsidRPr="00AC4AEA">
        <w:rPr>
          <w:rFonts w:ascii="Arial" w:hAnsi="Arial" w:cs="Arial"/>
          <w:sz w:val="20"/>
          <w:szCs w:val="20"/>
        </w:rPr>
        <w:t xml:space="preserve"> y </w:t>
      </w:r>
    </w:p>
    <w:p w:rsidR="001B1757" w:rsidRPr="00AC4AEA" w:rsidRDefault="00282064" w:rsidP="00A318EA">
      <w:pPr>
        <w:pStyle w:val="Prrafodelista"/>
        <w:numPr>
          <w:ilvl w:val="0"/>
          <w:numId w:val="233"/>
        </w:numPr>
        <w:ind w:left="1985"/>
        <w:contextualSpacing w:val="0"/>
        <w:jc w:val="both"/>
        <w:rPr>
          <w:rFonts w:ascii="Arial" w:hAnsi="Arial" w:cs="Arial"/>
          <w:sz w:val="20"/>
          <w:szCs w:val="20"/>
        </w:rPr>
      </w:pPr>
      <w:r w:rsidRPr="00AC4AEA">
        <w:rPr>
          <w:rFonts w:ascii="Arial" w:hAnsi="Arial" w:cs="Arial"/>
          <w:sz w:val="20"/>
          <w:szCs w:val="20"/>
        </w:rPr>
        <w:lastRenderedPageBreak/>
        <w:t>l</w:t>
      </w:r>
      <w:r w:rsidR="00724425" w:rsidRPr="00AC4AEA">
        <w:rPr>
          <w:rFonts w:ascii="Arial" w:hAnsi="Arial" w:cs="Arial"/>
          <w:sz w:val="20"/>
          <w:szCs w:val="20"/>
        </w:rPr>
        <w:t>a</w:t>
      </w:r>
      <w:r w:rsidRPr="00AC4AEA">
        <w:rPr>
          <w:rFonts w:ascii="Arial" w:hAnsi="Arial" w:cs="Arial"/>
          <w:sz w:val="20"/>
          <w:szCs w:val="20"/>
        </w:rPr>
        <w:t>s que posean una controla</w:t>
      </w:r>
      <w:r w:rsidR="001B1757" w:rsidRPr="00AC4AEA">
        <w:rPr>
          <w:rFonts w:ascii="Arial" w:hAnsi="Arial" w:cs="Arial"/>
          <w:sz w:val="20"/>
          <w:szCs w:val="20"/>
        </w:rPr>
        <w:t>dora</w:t>
      </w:r>
      <w:r w:rsidRPr="00AC4AEA">
        <w:rPr>
          <w:rFonts w:ascii="Arial" w:hAnsi="Arial" w:cs="Arial"/>
          <w:sz w:val="20"/>
          <w:szCs w:val="20"/>
        </w:rPr>
        <w:t xml:space="preserve"> común</w:t>
      </w:r>
      <w:r w:rsidR="00724425" w:rsidRPr="00AC4AEA">
        <w:rPr>
          <w:rFonts w:ascii="Arial" w:hAnsi="Arial" w:cs="Arial"/>
          <w:sz w:val="20"/>
          <w:szCs w:val="20"/>
        </w:rPr>
        <w:t xml:space="preserve"> (aunque </w:t>
      </w:r>
      <w:r w:rsidR="00834C1B" w:rsidRPr="00AC4AEA">
        <w:rPr>
          <w:rFonts w:ascii="Arial" w:hAnsi="Arial" w:cs="Arial"/>
          <w:sz w:val="20"/>
          <w:szCs w:val="20"/>
        </w:rPr>
        <w:t xml:space="preserve">no </w:t>
      </w:r>
      <w:r w:rsidR="00724425" w:rsidRPr="00AC4AEA">
        <w:rPr>
          <w:rFonts w:ascii="Arial" w:hAnsi="Arial" w:cs="Arial"/>
          <w:sz w:val="20"/>
          <w:szCs w:val="20"/>
        </w:rPr>
        <w:t>estén vinculadas entre sí por participaciones en el capital)</w:t>
      </w:r>
      <w:r w:rsidRPr="00AC4AEA">
        <w:rPr>
          <w:rFonts w:ascii="Arial" w:hAnsi="Arial" w:cs="Arial"/>
          <w:sz w:val="20"/>
          <w:szCs w:val="20"/>
        </w:rPr>
        <w:t>;</w:t>
      </w:r>
    </w:p>
    <w:p w:rsidR="00282064" w:rsidRPr="00AC4AEA" w:rsidRDefault="001B1757" w:rsidP="00A318EA">
      <w:pPr>
        <w:pStyle w:val="Prrafodelista"/>
        <w:numPr>
          <w:ilvl w:val="0"/>
          <w:numId w:val="232"/>
        </w:numPr>
        <w:ind w:left="1560"/>
        <w:contextualSpacing w:val="0"/>
        <w:jc w:val="both"/>
        <w:rPr>
          <w:rFonts w:ascii="Arial" w:hAnsi="Arial" w:cs="Arial"/>
          <w:sz w:val="20"/>
          <w:szCs w:val="20"/>
        </w:rPr>
      </w:pPr>
      <w:r w:rsidRPr="00AC4AEA">
        <w:rPr>
          <w:rFonts w:ascii="Arial" w:hAnsi="Arial" w:cs="Arial"/>
          <w:sz w:val="20"/>
          <w:szCs w:val="20"/>
        </w:rPr>
        <w:t xml:space="preserve">entidades </w:t>
      </w:r>
      <w:r w:rsidR="00282064" w:rsidRPr="00AC4AEA">
        <w:rPr>
          <w:rFonts w:ascii="Arial" w:hAnsi="Arial" w:cs="Arial"/>
          <w:sz w:val="20"/>
          <w:szCs w:val="20"/>
        </w:rPr>
        <w:t xml:space="preserve">sobre los que se ejerce influencia significativa o que ejercen influencia significativa sobre </w:t>
      </w:r>
      <w:r w:rsidRPr="00AC4AEA">
        <w:rPr>
          <w:rFonts w:ascii="Arial" w:hAnsi="Arial" w:cs="Arial"/>
          <w:sz w:val="20"/>
          <w:szCs w:val="20"/>
        </w:rPr>
        <w:t>la entidad</w:t>
      </w:r>
      <w:r w:rsidR="00282064" w:rsidRPr="00AC4AEA">
        <w:rPr>
          <w:rFonts w:ascii="Arial" w:hAnsi="Arial" w:cs="Arial"/>
          <w:sz w:val="20"/>
          <w:szCs w:val="20"/>
        </w:rPr>
        <w:t xml:space="preserve"> que informa; </w:t>
      </w:r>
    </w:p>
    <w:p w:rsidR="001B1757" w:rsidRPr="00AC4AEA" w:rsidRDefault="00282064" w:rsidP="00A318EA">
      <w:pPr>
        <w:pStyle w:val="Prrafodelista"/>
        <w:numPr>
          <w:ilvl w:val="0"/>
          <w:numId w:val="232"/>
        </w:numPr>
        <w:ind w:left="1560"/>
        <w:contextualSpacing w:val="0"/>
        <w:jc w:val="both"/>
        <w:rPr>
          <w:rFonts w:ascii="Arial" w:hAnsi="Arial" w:cs="Arial"/>
          <w:sz w:val="20"/>
          <w:szCs w:val="20"/>
        </w:rPr>
      </w:pPr>
      <w:r w:rsidRPr="00AC4AEA">
        <w:rPr>
          <w:rFonts w:ascii="Arial" w:hAnsi="Arial" w:cs="Arial"/>
          <w:sz w:val="20"/>
          <w:szCs w:val="20"/>
        </w:rPr>
        <w:t xml:space="preserve">individuos que posean, directa o indirectamente, una participación en el poder de voto </w:t>
      </w:r>
      <w:r w:rsidR="004109EF" w:rsidRPr="00AC4AEA">
        <w:rPr>
          <w:rFonts w:ascii="Arial" w:hAnsi="Arial" w:cs="Arial"/>
          <w:sz w:val="20"/>
          <w:szCs w:val="20"/>
        </w:rPr>
        <w:t>de la entidad</w:t>
      </w:r>
      <w:r w:rsidRPr="00AC4AEA">
        <w:rPr>
          <w:rFonts w:ascii="Arial" w:hAnsi="Arial" w:cs="Arial"/>
          <w:sz w:val="20"/>
          <w:szCs w:val="20"/>
        </w:rPr>
        <w:t xml:space="preserve"> que informa </w:t>
      </w:r>
      <w:r w:rsidR="004109EF" w:rsidRPr="00AC4AEA">
        <w:rPr>
          <w:rFonts w:ascii="Arial" w:hAnsi="Arial" w:cs="Arial"/>
          <w:sz w:val="20"/>
          <w:szCs w:val="20"/>
        </w:rPr>
        <w:t>que les permita</w:t>
      </w:r>
      <w:r w:rsidRPr="00AC4AEA">
        <w:rPr>
          <w:rFonts w:ascii="Arial" w:hAnsi="Arial" w:cs="Arial"/>
          <w:sz w:val="20"/>
          <w:szCs w:val="20"/>
        </w:rPr>
        <w:t xml:space="preserve"> ejercer influencia significativa; </w:t>
      </w:r>
    </w:p>
    <w:p w:rsidR="001B1757" w:rsidRPr="00AC4AEA" w:rsidRDefault="004109EF" w:rsidP="00A318EA">
      <w:pPr>
        <w:pStyle w:val="Prrafodelista"/>
        <w:numPr>
          <w:ilvl w:val="0"/>
          <w:numId w:val="232"/>
        </w:numPr>
        <w:ind w:left="1560"/>
        <w:contextualSpacing w:val="0"/>
        <w:jc w:val="both"/>
        <w:rPr>
          <w:rFonts w:ascii="Arial" w:hAnsi="Arial" w:cs="Arial"/>
          <w:sz w:val="20"/>
          <w:szCs w:val="20"/>
        </w:rPr>
      </w:pPr>
      <w:r w:rsidRPr="00AC4AEA">
        <w:rPr>
          <w:rFonts w:ascii="Arial" w:hAnsi="Arial" w:cs="Arial"/>
          <w:sz w:val="20"/>
          <w:szCs w:val="20"/>
        </w:rPr>
        <w:t>miembros</w:t>
      </w:r>
      <w:r w:rsidR="00282064" w:rsidRPr="00AC4AEA">
        <w:rPr>
          <w:rFonts w:ascii="Arial" w:hAnsi="Arial" w:cs="Arial"/>
          <w:sz w:val="20"/>
          <w:szCs w:val="20"/>
        </w:rPr>
        <w:t xml:space="preserve"> clave de la </w:t>
      </w:r>
      <w:r w:rsidR="00242910" w:rsidRPr="00AC4AEA">
        <w:rPr>
          <w:rFonts w:ascii="Arial" w:hAnsi="Arial" w:cs="Arial"/>
          <w:b/>
          <w:bCs/>
          <w:sz w:val="20"/>
          <w:szCs w:val="20"/>
        </w:rPr>
        <w:t>dirección</w:t>
      </w:r>
      <w:r w:rsidRPr="00AC4AEA">
        <w:rPr>
          <w:rFonts w:ascii="Arial" w:hAnsi="Arial" w:cs="Arial"/>
          <w:sz w:val="20"/>
          <w:szCs w:val="20"/>
        </w:rPr>
        <w:t xml:space="preserve">, tales como </w:t>
      </w:r>
      <w:r w:rsidR="00282064" w:rsidRPr="00AC4AEA">
        <w:rPr>
          <w:rFonts w:ascii="Arial" w:hAnsi="Arial" w:cs="Arial"/>
          <w:sz w:val="20"/>
          <w:szCs w:val="20"/>
        </w:rPr>
        <w:t xml:space="preserve">personas </w:t>
      </w:r>
      <w:r w:rsidRPr="00AC4AEA">
        <w:rPr>
          <w:rFonts w:ascii="Arial" w:hAnsi="Arial" w:cs="Arial"/>
          <w:sz w:val="20"/>
          <w:szCs w:val="20"/>
        </w:rPr>
        <w:t>con</w:t>
      </w:r>
      <w:r w:rsidR="00282064" w:rsidRPr="00AC4AEA">
        <w:rPr>
          <w:rFonts w:ascii="Arial" w:hAnsi="Arial" w:cs="Arial"/>
          <w:sz w:val="20"/>
          <w:szCs w:val="20"/>
        </w:rPr>
        <w:t xml:space="preserve"> autoridad o responsabilidad en la planificación, el gerenciamiento y el control de las actividades de</w:t>
      </w:r>
      <w:r w:rsidR="001B1757" w:rsidRPr="00AC4AEA">
        <w:rPr>
          <w:rFonts w:ascii="Arial" w:hAnsi="Arial" w:cs="Arial"/>
          <w:sz w:val="20"/>
          <w:szCs w:val="20"/>
        </w:rPr>
        <w:t xml:space="preserve"> </w:t>
      </w:r>
      <w:r w:rsidR="00282064" w:rsidRPr="00AC4AEA">
        <w:rPr>
          <w:rFonts w:ascii="Arial" w:hAnsi="Arial" w:cs="Arial"/>
          <w:sz w:val="20"/>
          <w:szCs w:val="20"/>
        </w:rPr>
        <w:t>l</w:t>
      </w:r>
      <w:r w:rsidR="001B1757" w:rsidRPr="00AC4AEA">
        <w:rPr>
          <w:rFonts w:ascii="Arial" w:hAnsi="Arial" w:cs="Arial"/>
          <w:sz w:val="20"/>
          <w:szCs w:val="20"/>
        </w:rPr>
        <w:t>a</w:t>
      </w:r>
      <w:r w:rsidR="00282064" w:rsidRPr="00AC4AEA">
        <w:rPr>
          <w:rFonts w:ascii="Arial" w:hAnsi="Arial" w:cs="Arial"/>
          <w:sz w:val="20"/>
          <w:szCs w:val="20"/>
        </w:rPr>
        <w:t xml:space="preserve"> ent</w:t>
      </w:r>
      <w:r w:rsidR="001B1757" w:rsidRPr="00AC4AEA">
        <w:rPr>
          <w:rFonts w:ascii="Arial" w:hAnsi="Arial" w:cs="Arial"/>
          <w:sz w:val="20"/>
          <w:szCs w:val="20"/>
        </w:rPr>
        <w:t>idad</w:t>
      </w:r>
      <w:r w:rsidR="00282064" w:rsidRPr="00AC4AEA">
        <w:rPr>
          <w:rFonts w:ascii="Arial" w:hAnsi="Arial" w:cs="Arial"/>
          <w:sz w:val="20"/>
          <w:szCs w:val="20"/>
        </w:rPr>
        <w:t xml:space="preserve"> que informa. Normalmente comprende </w:t>
      </w:r>
      <w:r w:rsidRPr="00AC4AEA">
        <w:rPr>
          <w:rFonts w:ascii="Arial" w:hAnsi="Arial" w:cs="Arial"/>
          <w:sz w:val="20"/>
          <w:szCs w:val="20"/>
        </w:rPr>
        <w:t xml:space="preserve">integrantes </w:t>
      </w:r>
      <w:r w:rsidR="00282064" w:rsidRPr="00AC4AEA">
        <w:rPr>
          <w:rFonts w:ascii="Arial" w:hAnsi="Arial" w:cs="Arial"/>
          <w:sz w:val="20"/>
          <w:szCs w:val="20"/>
        </w:rPr>
        <w:t xml:space="preserve">del órgano de </w:t>
      </w:r>
      <w:r w:rsidR="001B1757" w:rsidRPr="00AC4AEA">
        <w:rPr>
          <w:rFonts w:ascii="Arial" w:hAnsi="Arial" w:cs="Arial"/>
          <w:sz w:val="20"/>
          <w:szCs w:val="20"/>
        </w:rPr>
        <w:t>dirección</w:t>
      </w:r>
      <w:r w:rsidR="00282064" w:rsidRPr="00AC4AEA">
        <w:rPr>
          <w:rFonts w:ascii="Arial" w:hAnsi="Arial" w:cs="Arial"/>
          <w:sz w:val="20"/>
          <w:szCs w:val="20"/>
        </w:rPr>
        <w:t xml:space="preserve"> y primera línea gerencial; </w:t>
      </w:r>
    </w:p>
    <w:p w:rsidR="001B1757" w:rsidRPr="00AC4AEA" w:rsidRDefault="00282064" w:rsidP="00A318EA">
      <w:pPr>
        <w:pStyle w:val="Prrafodelista"/>
        <w:numPr>
          <w:ilvl w:val="0"/>
          <w:numId w:val="232"/>
        </w:numPr>
        <w:ind w:left="1560"/>
        <w:contextualSpacing w:val="0"/>
        <w:jc w:val="both"/>
        <w:rPr>
          <w:rFonts w:ascii="Arial" w:hAnsi="Arial" w:cs="Arial"/>
          <w:sz w:val="20"/>
          <w:szCs w:val="20"/>
        </w:rPr>
      </w:pPr>
      <w:r w:rsidRPr="00AC4AEA">
        <w:rPr>
          <w:rFonts w:ascii="Arial" w:hAnsi="Arial" w:cs="Arial"/>
          <w:sz w:val="20"/>
          <w:szCs w:val="20"/>
        </w:rPr>
        <w:t xml:space="preserve">los familiares cercanos de las personas mencionadas en los </w:t>
      </w:r>
      <w:r w:rsidR="004109EF" w:rsidRPr="00AC4AEA">
        <w:rPr>
          <w:rFonts w:ascii="Arial" w:hAnsi="Arial" w:cs="Arial"/>
          <w:sz w:val="20"/>
          <w:szCs w:val="20"/>
        </w:rPr>
        <w:t>incisos</w:t>
      </w:r>
      <w:r w:rsidRPr="00AC4AEA">
        <w:rPr>
          <w:rFonts w:ascii="Arial" w:hAnsi="Arial" w:cs="Arial"/>
          <w:sz w:val="20"/>
          <w:szCs w:val="20"/>
        </w:rPr>
        <w:t xml:space="preserve"> c) y d);</w:t>
      </w:r>
    </w:p>
    <w:p w:rsidR="004109EF" w:rsidRPr="00AC4AEA" w:rsidRDefault="00282064" w:rsidP="00A318EA">
      <w:pPr>
        <w:pStyle w:val="Prrafodelista"/>
        <w:numPr>
          <w:ilvl w:val="0"/>
          <w:numId w:val="232"/>
        </w:numPr>
        <w:ind w:left="1560"/>
        <w:contextualSpacing w:val="0"/>
        <w:jc w:val="both"/>
        <w:rPr>
          <w:rFonts w:ascii="Arial" w:hAnsi="Arial" w:cs="Arial"/>
          <w:sz w:val="20"/>
          <w:szCs w:val="20"/>
        </w:rPr>
      </w:pPr>
      <w:r w:rsidRPr="00AC4AEA">
        <w:rPr>
          <w:rFonts w:ascii="Arial" w:hAnsi="Arial" w:cs="Arial"/>
          <w:sz w:val="20"/>
          <w:szCs w:val="20"/>
        </w:rPr>
        <w:t>ent</w:t>
      </w:r>
      <w:r w:rsidR="001B1757" w:rsidRPr="00AC4AEA">
        <w:rPr>
          <w:rFonts w:ascii="Arial" w:hAnsi="Arial" w:cs="Arial"/>
          <w:sz w:val="20"/>
          <w:szCs w:val="20"/>
        </w:rPr>
        <w:t>idad</w:t>
      </w:r>
      <w:r w:rsidRPr="00AC4AEA">
        <w:rPr>
          <w:rFonts w:ascii="Arial" w:hAnsi="Arial" w:cs="Arial"/>
          <w:sz w:val="20"/>
          <w:szCs w:val="20"/>
        </w:rPr>
        <w:t xml:space="preserve">es </w:t>
      </w:r>
      <w:r w:rsidR="004109EF" w:rsidRPr="00AC4AEA">
        <w:rPr>
          <w:rFonts w:ascii="Arial" w:hAnsi="Arial" w:cs="Arial"/>
          <w:sz w:val="20"/>
          <w:szCs w:val="20"/>
        </w:rPr>
        <w:t xml:space="preserve">de las que participan </w:t>
      </w:r>
      <w:r w:rsidRPr="00AC4AEA">
        <w:rPr>
          <w:rFonts w:ascii="Arial" w:hAnsi="Arial" w:cs="Arial"/>
          <w:sz w:val="20"/>
          <w:szCs w:val="20"/>
        </w:rPr>
        <w:t xml:space="preserve">personas descriptas en </w:t>
      </w:r>
      <w:r w:rsidR="00242910" w:rsidRPr="00AC4AEA">
        <w:rPr>
          <w:rFonts w:ascii="Arial" w:hAnsi="Arial" w:cs="Arial"/>
          <w:sz w:val="20"/>
          <w:szCs w:val="20"/>
        </w:rPr>
        <w:t xml:space="preserve">los incisos </w:t>
      </w:r>
      <w:r w:rsidRPr="00AC4AEA">
        <w:rPr>
          <w:rFonts w:ascii="Arial" w:hAnsi="Arial" w:cs="Arial"/>
          <w:sz w:val="20"/>
          <w:szCs w:val="20"/>
        </w:rPr>
        <w:t xml:space="preserve">c), d) </w:t>
      </w:r>
      <w:r w:rsidR="001B1757" w:rsidRPr="00AC4AEA">
        <w:rPr>
          <w:rFonts w:ascii="Arial" w:hAnsi="Arial" w:cs="Arial"/>
          <w:sz w:val="20"/>
          <w:szCs w:val="20"/>
        </w:rPr>
        <w:t>o</w:t>
      </w:r>
      <w:r w:rsidRPr="00AC4AEA">
        <w:rPr>
          <w:rFonts w:ascii="Arial" w:hAnsi="Arial" w:cs="Arial"/>
          <w:sz w:val="20"/>
          <w:szCs w:val="20"/>
        </w:rPr>
        <w:t xml:space="preserve"> e) </w:t>
      </w:r>
      <w:r w:rsidR="004109EF" w:rsidRPr="00AC4AEA">
        <w:rPr>
          <w:rFonts w:ascii="Arial" w:hAnsi="Arial" w:cs="Arial"/>
          <w:sz w:val="20"/>
          <w:szCs w:val="20"/>
        </w:rPr>
        <w:t>con capacidad sustancial sobre</w:t>
      </w:r>
      <w:r w:rsidRPr="00AC4AEA">
        <w:rPr>
          <w:rFonts w:ascii="Arial" w:hAnsi="Arial" w:cs="Arial"/>
          <w:sz w:val="20"/>
          <w:szCs w:val="20"/>
        </w:rPr>
        <w:t xml:space="preserve"> el poder de voto, direct</w:t>
      </w:r>
      <w:r w:rsidR="004109EF" w:rsidRPr="00AC4AEA">
        <w:rPr>
          <w:rFonts w:ascii="Arial" w:hAnsi="Arial" w:cs="Arial"/>
          <w:sz w:val="20"/>
          <w:szCs w:val="20"/>
        </w:rPr>
        <w:t xml:space="preserve">o </w:t>
      </w:r>
      <w:r w:rsidRPr="00AC4AEA">
        <w:rPr>
          <w:rFonts w:ascii="Arial" w:hAnsi="Arial" w:cs="Arial"/>
          <w:sz w:val="20"/>
          <w:szCs w:val="20"/>
        </w:rPr>
        <w:t>o indirec</w:t>
      </w:r>
      <w:r w:rsidR="004109EF" w:rsidRPr="00AC4AEA">
        <w:rPr>
          <w:rFonts w:ascii="Arial" w:hAnsi="Arial" w:cs="Arial"/>
          <w:sz w:val="20"/>
          <w:szCs w:val="20"/>
        </w:rPr>
        <w:t>to</w:t>
      </w:r>
      <w:r w:rsidRPr="00AC4AEA">
        <w:rPr>
          <w:rFonts w:ascii="Arial" w:hAnsi="Arial" w:cs="Arial"/>
          <w:sz w:val="20"/>
          <w:szCs w:val="20"/>
        </w:rPr>
        <w:t>, o sobre los cuales tales personas puedan ejercer influencia significativa. Esto incluye</w:t>
      </w:r>
      <w:r w:rsidR="004109EF" w:rsidRPr="00AC4AEA">
        <w:rPr>
          <w:rFonts w:ascii="Arial" w:hAnsi="Arial" w:cs="Arial"/>
          <w:sz w:val="20"/>
          <w:szCs w:val="20"/>
        </w:rPr>
        <w:t>:</w:t>
      </w:r>
    </w:p>
    <w:p w:rsidR="004109EF" w:rsidRPr="00AC4AEA" w:rsidRDefault="00282064" w:rsidP="00A318EA">
      <w:pPr>
        <w:pStyle w:val="Prrafodelista"/>
        <w:numPr>
          <w:ilvl w:val="0"/>
          <w:numId w:val="234"/>
        </w:numPr>
        <w:ind w:left="1985"/>
        <w:contextualSpacing w:val="0"/>
        <w:jc w:val="both"/>
        <w:rPr>
          <w:rFonts w:ascii="Arial" w:hAnsi="Arial" w:cs="Arial"/>
          <w:sz w:val="20"/>
          <w:szCs w:val="20"/>
        </w:rPr>
      </w:pPr>
      <w:r w:rsidRPr="00AC4AEA">
        <w:rPr>
          <w:rFonts w:ascii="Arial" w:hAnsi="Arial" w:cs="Arial"/>
          <w:sz w:val="20"/>
          <w:szCs w:val="20"/>
        </w:rPr>
        <w:t>ent</w:t>
      </w:r>
      <w:r w:rsidR="001B1757" w:rsidRPr="00AC4AEA">
        <w:rPr>
          <w:rFonts w:ascii="Arial" w:hAnsi="Arial" w:cs="Arial"/>
          <w:sz w:val="20"/>
          <w:szCs w:val="20"/>
        </w:rPr>
        <w:t>idad</w:t>
      </w:r>
      <w:r w:rsidRPr="00AC4AEA">
        <w:rPr>
          <w:rFonts w:ascii="Arial" w:hAnsi="Arial" w:cs="Arial"/>
          <w:sz w:val="20"/>
          <w:szCs w:val="20"/>
        </w:rPr>
        <w:t xml:space="preserve">es propiedad de miembros del órgano de </w:t>
      </w:r>
      <w:r w:rsidR="001B1757" w:rsidRPr="00AC4AEA">
        <w:rPr>
          <w:rFonts w:ascii="Arial" w:hAnsi="Arial" w:cs="Arial"/>
          <w:sz w:val="20"/>
          <w:szCs w:val="20"/>
        </w:rPr>
        <w:t>dirección</w:t>
      </w:r>
      <w:r w:rsidRPr="00AC4AEA">
        <w:rPr>
          <w:rFonts w:ascii="Arial" w:hAnsi="Arial" w:cs="Arial"/>
          <w:sz w:val="20"/>
          <w:szCs w:val="20"/>
        </w:rPr>
        <w:t xml:space="preserve"> o accionistas importantes de</w:t>
      </w:r>
      <w:r w:rsidR="001B1757" w:rsidRPr="00AC4AEA">
        <w:rPr>
          <w:rFonts w:ascii="Arial" w:hAnsi="Arial" w:cs="Arial"/>
          <w:sz w:val="20"/>
          <w:szCs w:val="20"/>
        </w:rPr>
        <w:t xml:space="preserve"> </w:t>
      </w:r>
      <w:r w:rsidRPr="00AC4AEA">
        <w:rPr>
          <w:rFonts w:ascii="Arial" w:hAnsi="Arial" w:cs="Arial"/>
          <w:sz w:val="20"/>
          <w:szCs w:val="20"/>
        </w:rPr>
        <w:t>l</w:t>
      </w:r>
      <w:r w:rsidR="001B1757" w:rsidRPr="00AC4AEA">
        <w:rPr>
          <w:rFonts w:ascii="Arial" w:hAnsi="Arial" w:cs="Arial"/>
          <w:sz w:val="20"/>
          <w:szCs w:val="20"/>
        </w:rPr>
        <w:t>a</w:t>
      </w:r>
      <w:r w:rsidRPr="00AC4AEA">
        <w:rPr>
          <w:rFonts w:ascii="Arial" w:hAnsi="Arial" w:cs="Arial"/>
          <w:sz w:val="20"/>
          <w:szCs w:val="20"/>
        </w:rPr>
        <w:t xml:space="preserve"> ent</w:t>
      </w:r>
      <w:r w:rsidR="001B1757" w:rsidRPr="00AC4AEA">
        <w:rPr>
          <w:rFonts w:ascii="Arial" w:hAnsi="Arial" w:cs="Arial"/>
          <w:sz w:val="20"/>
          <w:szCs w:val="20"/>
        </w:rPr>
        <w:t>idad</w:t>
      </w:r>
      <w:r w:rsidRPr="00AC4AEA">
        <w:rPr>
          <w:rFonts w:ascii="Arial" w:hAnsi="Arial" w:cs="Arial"/>
          <w:sz w:val="20"/>
          <w:szCs w:val="20"/>
        </w:rPr>
        <w:t xml:space="preserve"> que informa</w:t>
      </w:r>
      <w:r w:rsidR="004109EF" w:rsidRPr="00AC4AEA">
        <w:rPr>
          <w:rFonts w:ascii="Arial" w:hAnsi="Arial" w:cs="Arial"/>
          <w:sz w:val="20"/>
          <w:szCs w:val="20"/>
        </w:rPr>
        <w:t>; y</w:t>
      </w:r>
    </w:p>
    <w:p w:rsidR="001B1757" w:rsidRPr="00AC4AEA" w:rsidRDefault="00242910" w:rsidP="00A318EA">
      <w:pPr>
        <w:pStyle w:val="Prrafodelista"/>
        <w:numPr>
          <w:ilvl w:val="0"/>
          <w:numId w:val="234"/>
        </w:numPr>
        <w:ind w:left="1985"/>
        <w:contextualSpacing w:val="0"/>
        <w:jc w:val="both"/>
        <w:rPr>
          <w:rFonts w:ascii="Arial" w:hAnsi="Arial" w:cs="Arial"/>
          <w:sz w:val="20"/>
          <w:szCs w:val="20"/>
        </w:rPr>
      </w:pPr>
      <w:r w:rsidRPr="00AC4AEA">
        <w:rPr>
          <w:rFonts w:ascii="Arial" w:hAnsi="Arial" w:cs="Arial"/>
          <w:sz w:val="20"/>
          <w:szCs w:val="20"/>
        </w:rPr>
        <w:t>entidades</w:t>
      </w:r>
      <w:r w:rsidR="00282064" w:rsidRPr="00AC4AEA">
        <w:rPr>
          <w:rFonts w:ascii="Arial" w:hAnsi="Arial" w:cs="Arial"/>
          <w:sz w:val="20"/>
          <w:szCs w:val="20"/>
        </w:rPr>
        <w:t xml:space="preserve"> que tienen en común con </w:t>
      </w:r>
      <w:r w:rsidR="001B1757" w:rsidRPr="00AC4AEA">
        <w:rPr>
          <w:rFonts w:ascii="Arial" w:hAnsi="Arial" w:cs="Arial"/>
          <w:sz w:val="20"/>
          <w:szCs w:val="20"/>
        </w:rPr>
        <w:t xml:space="preserve">la entidad </w:t>
      </w:r>
      <w:r w:rsidR="00282064" w:rsidRPr="00AC4AEA">
        <w:rPr>
          <w:rFonts w:ascii="Arial" w:hAnsi="Arial" w:cs="Arial"/>
          <w:sz w:val="20"/>
          <w:szCs w:val="20"/>
        </w:rPr>
        <w:t xml:space="preserve">que informa algún miembro clave en su </w:t>
      </w:r>
      <w:r w:rsidR="00282064" w:rsidRPr="00076221">
        <w:rPr>
          <w:rFonts w:ascii="Arial" w:hAnsi="Arial" w:cs="Arial"/>
          <w:b/>
          <w:bCs/>
          <w:sz w:val="20"/>
          <w:szCs w:val="20"/>
        </w:rPr>
        <w:t>dirección</w:t>
      </w:r>
      <w:r w:rsidR="00282064" w:rsidRPr="00AC4AEA">
        <w:rPr>
          <w:rFonts w:ascii="Arial" w:hAnsi="Arial" w:cs="Arial"/>
          <w:sz w:val="20"/>
          <w:szCs w:val="20"/>
        </w:rPr>
        <w:t>;</w:t>
      </w:r>
    </w:p>
    <w:p w:rsidR="001B1757" w:rsidRPr="00AC4AEA" w:rsidRDefault="00282064" w:rsidP="00A318EA">
      <w:pPr>
        <w:pStyle w:val="Prrafodelista"/>
        <w:numPr>
          <w:ilvl w:val="0"/>
          <w:numId w:val="232"/>
        </w:numPr>
        <w:ind w:left="1560"/>
        <w:contextualSpacing w:val="0"/>
        <w:jc w:val="both"/>
        <w:rPr>
          <w:rFonts w:ascii="Arial" w:hAnsi="Arial" w:cs="Arial"/>
          <w:sz w:val="20"/>
          <w:szCs w:val="20"/>
        </w:rPr>
      </w:pPr>
      <w:r w:rsidRPr="00AC4AEA">
        <w:rPr>
          <w:rFonts w:ascii="Arial" w:hAnsi="Arial" w:cs="Arial"/>
          <w:sz w:val="20"/>
          <w:szCs w:val="20"/>
        </w:rPr>
        <w:t xml:space="preserve">negocio conjunto </w:t>
      </w:r>
      <w:r w:rsidR="004109EF" w:rsidRPr="00AC4AEA">
        <w:rPr>
          <w:rFonts w:ascii="Arial" w:hAnsi="Arial" w:cs="Arial"/>
          <w:sz w:val="20"/>
          <w:szCs w:val="20"/>
        </w:rPr>
        <w:t>d</w:t>
      </w:r>
      <w:r w:rsidRPr="00AC4AEA">
        <w:rPr>
          <w:rFonts w:ascii="Arial" w:hAnsi="Arial" w:cs="Arial"/>
          <w:sz w:val="20"/>
          <w:szCs w:val="20"/>
        </w:rPr>
        <w:t xml:space="preserve">el cual </w:t>
      </w:r>
      <w:r w:rsidR="001B1757" w:rsidRPr="00AC4AEA">
        <w:rPr>
          <w:rFonts w:ascii="Arial" w:hAnsi="Arial" w:cs="Arial"/>
          <w:sz w:val="20"/>
          <w:szCs w:val="20"/>
        </w:rPr>
        <w:t xml:space="preserve">la entidad </w:t>
      </w:r>
      <w:r w:rsidRPr="00AC4AEA">
        <w:rPr>
          <w:rFonts w:ascii="Arial" w:hAnsi="Arial" w:cs="Arial"/>
          <w:sz w:val="20"/>
          <w:szCs w:val="20"/>
        </w:rPr>
        <w:t>es soci</w:t>
      </w:r>
      <w:r w:rsidR="004109EF" w:rsidRPr="00AC4AEA">
        <w:rPr>
          <w:rFonts w:ascii="Arial" w:hAnsi="Arial" w:cs="Arial"/>
          <w:sz w:val="20"/>
          <w:szCs w:val="20"/>
        </w:rPr>
        <w:t>a</w:t>
      </w:r>
      <w:r w:rsidRPr="00AC4AEA">
        <w:rPr>
          <w:rFonts w:ascii="Arial" w:hAnsi="Arial" w:cs="Arial"/>
          <w:sz w:val="20"/>
          <w:szCs w:val="20"/>
        </w:rPr>
        <w:t>;</w:t>
      </w:r>
    </w:p>
    <w:p w:rsidR="00962332" w:rsidRPr="00AC4AEA" w:rsidRDefault="00282064" w:rsidP="00A318EA">
      <w:pPr>
        <w:pStyle w:val="Prrafodelista"/>
        <w:numPr>
          <w:ilvl w:val="0"/>
          <w:numId w:val="232"/>
        </w:numPr>
        <w:ind w:left="1560"/>
        <w:contextualSpacing w:val="0"/>
        <w:jc w:val="both"/>
        <w:rPr>
          <w:rFonts w:ascii="Arial" w:hAnsi="Arial" w:cs="Arial"/>
          <w:sz w:val="20"/>
          <w:szCs w:val="20"/>
        </w:rPr>
      </w:pPr>
      <w:r w:rsidRPr="00AC4AEA">
        <w:rPr>
          <w:rFonts w:ascii="Arial" w:hAnsi="Arial" w:cs="Arial"/>
          <w:sz w:val="20"/>
          <w:szCs w:val="20"/>
        </w:rPr>
        <w:t>fondos constituidos para planes de retiro en beneficio de los empleados de</w:t>
      </w:r>
      <w:r w:rsidR="001B1757" w:rsidRPr="00AC4AEA">
        <w:rPr>
          <w:rFonts w:ascii="Arial" w:hAnsi="Arial" w:cs="Arial"/>
          <w:sz w:val="20"/>
          <w:szCs w:val="20"/>
        </w:rPr>
        <w:t xml:space="preserve"> la entidad</w:t>
      </w:r>
      <w:r w:rsidRPr="00AC4AEA">
        <w:rPr>
          <w:rFonts w:ascii="Arial" w:hAnsi="Arial" w:cs="Arial"/>
          <w:sz w:val="20"/>
          <w:szCs w:val="20"/>
        </w:rPr>
        <w:t xml:space="preserve"> o cualquier parte relacionada. </w:t>
      </w:r>
    </w:p>
    <w:p w:rsidR="00D81454" w:rsidRPr="00AC4AEA" w:rsidRDefault="0096233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w:t>
      </w:r>
      <w:r w:rsidR="00282064" w:rsidRPr="00AC4AEA">
        <w:rPr>
          <w:rFonts w:ascii="Arial" w:hAnsi="Arial" w:cs="Arial"/>
          <w:sz w:val="20"/>
          <w:szCs w:val="20"/>
        </w:rPr>
        <w:t>considerar</w:t>
      </w:r>
      <w:r w:rsidRPr="00AC4AEA">
        <w:rPr>
          <w:rFonts w:ascii="Arial" w:hAnsi="Arial" w:cs="Arial"/>
          <w:sz w:val="20"/>
          <w:szCs w:val="20"/>
        </w:rPr>
        <w:t>á</w:t>
      </w:r>
      <w:r w:rsidR="00282064" w:rsidRPr="00AC4AEA">
        <w:rPr>
          <w:rFonts w:ascii="Arial" w:hAnsi="Arial" w:cs="Arial"/>
          <w:sz w:val="20"/>
          <w:szCs w:val="20"/>
        </w:rPr>
        <w:t xml:space="preserve"> cada posible relación de vinculación</w:t>
      </w:r>
      <w:r w:rsidRPr="00AC4AEA">
        <w:rPr>
          <w:rFonts w:ascii="Arial" w:hAnsi="Arial" w:cs="Arial"/>
          <w:sz w:val="20"/>
          <w:szCs w:val="20"/>
        </w:rPr>
        <w:t xml:space="preserve"> poniendo</w:t>
      </w:r>
      <w:r w:rsidR="00282064" w:rsidRPr="00AC4AEA">
        <w:rPr>
          <w:rFonts w:ascii="Arial" w:hAnsi="Arial" w:cs="Arial"/>
          <w:sz w:val="20"/>
          <w:szCs w:val="20"/>
        </w:rPr>
        <w:t xml:space="preserve"> énfasis en la sustancia de la relación y no meramente en su forma legal. </w:t>
      </w:r>
    </w:p>
    <w:p w:rsidR="00D81454" w:rsidRPr="00AC4AEA" w:rsidRDefault="00962332" w:rsidP="00A318EA">
      <w:pPr>
        <w:pStyle w:val="Prrafodelista"/>
        <w:numPr>
          <w:ilvl w:val="0"/>
          <w:numId w:val="29"/>
        </w:numPr>
        <w:contextualSpacing w:val="0"/>
        <w:jc w:val="both"/>
        <w:rPr>
          <w:rFonts w:ascii="Arial" w:hAnsi="Arial" w:cs="Arial"/>
          <w:sz w:val="20"/>
          <w:szCs w:val="20"/>
        </w:rPr>
      </w:pPr>
      <w:bookmarkStart w:id="998" w:name="_Ref99491866"/>
      <w:r w:rsidRPr="00AC4AEA">
        <w:rPr>
          <w:rFonts w:ascii="Arial" w:hAnsi="Arial" w:cs="Arial"/>
          <w:sz w:val="20"/>
          <w:szCs w:val="20"/>
        </w:rPr>
        <w:t>Una entidad no consider</w:t>
      </w:r>
      <w:r w:rsidR="002C5F85" w:rsidRPr="00AC4AEA">
        <w:rPr>
          <w:rFonts w:ascii="Arial" w:hAnsi="Arial" w:cs="Arial"/>
          <w:sz w:val="20"/>
          <w:szCs w:val="20"/>
        </w:rPr>
        <w:t>ar</w:t>
      </w:r>
      <w:r w:rsidRPr="00AC4AEA">
        <w:rPr>
          <w:rFonts w:ascii="Arial" w:hAnsi="Arial" w:cs="Arial"/>
          <w:sz w:val="20"/>
          <w:szCs w:val="20"/>
        </w:rPr>
        <w:t xml:space="preserve">á </w:t>
      </w:r>
      <w:r w:rsidRPr="00AC4AEA">
        <w:rPr>
          <w:rFonts w:ascii="Arial" w:hAnsi="Arial" w:cs="Arial"/>
          <w:b/>
          <w:sz w:val="20"/>
          <w:szCs w:val="20"/>
        </w:rPr>
        <w:t>partes relacionadas</w:t>
      </w:r>
      <w:r w:rsidR="002C5F85" w:rsidRPr="00AC4AEA">
        <w:rPr>
          <w:rFonts w:ascii="Arial" w:hAnsi="Arial" w:cs="Arial"/>
          <w:sz w:val="20"/>
          <w:szCs w:val="20"/>
        </w:rPr>
        <w:t>,</w:t>
      </w:r>
      <w:r w:rsidRPr="00AC4AEA">
        <w:rPr>
          <w:rFonts w:ascii="Arial" w:hAnsi="Arial" w:cs="Arial"/>
          <w:sz w:val="20"/>
          <w:szCs w:val="20"/>
        </w:rPr>
        <w:t xml:space="preserve"> a los fines </w:t>
      </w:r>
      <w:r w:rsidR="002C5F85" w:rsidRPr="00AC4AEA">
        <w:rPr>
          <w:rFonts w:ascii="Arial" w:hAnsi="Arial" w:cs="Arial"/>
          <w:sz w:val="20"/>
          <w:szCs w:val="20"/>
        </w:rPr>
        <w:t xml:space="preserve">indicados en </w:t>
      </w:r>
      <w:r w:rsidR="00274FC6" w:rsidRPr="00AC4AEA">
        <w:rPr>
          <w:rFonts w:ascii="Arial" w:hAnsi="Arial" w:cs="Arial"/>
          <w:sz w:val="20"/>
          <w:szCs w:val="20"/>
        </w:rPr>
        <w:t>el</w:t>
      </w:r>
      <w:r w:rsidRPr="00AC4AEA">
        <w:rPr>
          <w:rFonts w:ascii="Arial" w:hAnsi="Arial" w:cs="Arial"/>
          <w:sz w:val="20"/>
          <w:szCs w:val="20"/>
        </w:rPr>
        <w:t xml:space="preserve"> </w:t>
      </w:r>
      <w:r w:rsidR="0053304C" w:rsidRPr="00AC4AEA">
        <w:rPr>
          <w:rFonts w:ascii="Arial" w:hAnsi="Arial" w:cs="Arial"/>
          <w:sz w:val="20"/>
          <w:szCs w:val="20"/>
        </w:rPr>
        <w:t xml:space="preserve">párrafo </w:t>
      </w:r>
      <w:fldSimple w:instr=" REF _Ref103780904 \r \h  \* MERGEFORMAT ">
        <w:r w:rsidR="00D33A5D" w:rsidRPr="00D33A5D">
          <w:rPr>
            <w:rFonts w:ascii="Arial" w:hAnsi="Arial" w:cs="Arial"/>
            <w:sz w:val="20"/>
            <w:szCs w:val="20"/>
          </w:rPr>
          <w:t>699</w:t>
        </w:r>
      </w:fldSimple>
      <w:r w:rsidR="0053304C" w:rsidRPr="00AC4AEA">
        <w:rPr>
          <w:rFonts w:ascii="Arial" w:hAnsi="Arial" w:cs="Arial"/>
          <w:sz w:val="20"/>
          <w:szCs w:val="20"/>
        </w:rPr>
        <w:t xml:space="preserve"> </w:t>
      </w:r>
      <w:r w:rsidRPr="00AC4AEA">
        <w:rPr>
          <w:rFonts w:ascii="Arial" w:hAnsi="Arial" w:cs="Arial"/>
          <w:sz w:val="20"/>
          <w:szCs w:val="20"/>
        </w:rPr>
        <w:t>a</w:t>
      </w:r>
      <w:r w:rsidR="002C5F85" w:rsidRPr="00AC4AEA">
        <w:rPr>
          <w:rFonts w:ascii="Arial" w:hAnsi="Arial" w:cs="Arial"/>
          <w:sz w:val="20"/>
          <w:szCs w:val="20"/>
        </w:rPr>
        <w:t>:</w:t>
      </w:r>
      <w:bookmarkEnd w:id="998"/>
    </w:p>
    <w:p w:rsidR="00962332" w:rsidRPr="00AC4AEA" w:rsidRDefault="00282064" w:rsidP="00A318EA">
      <w:pPr>
        <w:pStyle w:val="Prrafodelista"/>
        <w:numPr>
          <w:ilvl w:val="0"/>
          <w:numId w:val="235"/>
        </w:numPr>
        <w:ind w:left="1560"/>
        <w:contextualSpacing w:val="0"/>
        <w:jc w:val="both"/>
        <w:rPr>
          <w:rFonts w:ascii="Arial" w:hAnsi="Arial" w:cs="Arial"/>
          <w:sz w:val="20"/>
          <w:szCs w:val="20"/>
        </w:rPr>
      </w:pPr>
      <w:r w:rsidRPr="00AC4AEA">
        <w:rPr>
          <w:rFonts w:ascii="Arial" w:hAnsi="Arial" w:cs="Arial"/>
          <w:sz w:val="20"/>
          <w:szCs w:val="20"/>
        </w:rPr>
        <w:t>dos ent</w:t>
      </w:r>
      <w:r w:rsidR="00962332" w:rsidRPr="00AC4AEA">
        <w:rPr>
          <w:rFonts w:ascii="Arial" w:hAnsi="Arial" w:cs="Arial"/>
          <w:sz w:val="20"/>
          <w:szCs w:val="20"/>
        </w:rPr>
        <w:t>idad</w:t>
      </w:r>
      <w:r w:rsidRPr="00AC4AEA">
        <w:rPr>
          <w:rFonts w:ascii="Arial" w:hAnsi="Arial" w:cs="Arial"/>
          <w:sz w:val="20"/>
          <w:szCs w:val="20"/>
        </w:rPr>
        <w:t xml:space="preserve">es que tienen un directivo común, </w:t>
      </w:r>
      <w:r w:rsidR="00EF6147" w:rsidRPr="00AC4AEA">
        <w:rPr>
          <w:rFonts w:ascii="Arial" w:hAnsi="Arial" w:cs="Arial"/>
          <w:sz w:val="20"/>
          <w:szCs w:val="20"/>
        </w:rPr>
        <w:t>solo</w:t>
      </w:r>
      <w:r w:rsidRPr="00AC4AEA">
        <w:rPr>
          <w:rFonts w:ascii="Arial" w:hAnsi="Arial" w:cs="Arial"/>
          <w:sz w:val="20"/>
          <w:szCs w:val="20"/>
        </w:rPr>
        <w:t xml:space="preserve"> por el hecho de tenerlo</w:t>
      </w:r>
      <w:r w:rsidR="00834C1B" w:rsidRPr="00AC4AEA">
        <w:rPr>
          <w:rFonts w:ascii="Arial" w:hAnsi="Arial" w:cs="Arial"/>
          <w:sz w:val="20"/>
          <w:szCs w:val="20"/>
        </w:rPr>
        <w:t>;</w:t>
      </w:r>
      <w:r w:rsidRPr="00AC4AEA">
        <w:rPr>
          <w:rFonts w:ascii="Arial" w:hAnsi="Arial" w:cs="Arial"/>
          <w:sz w:val="20"/>
          <w:szCs w:val="20"/>
        </w:rPr>
        <w:t xml:space="preserve"> aunque </w:t>
      </w:r>
      <w:r w:rsidR="002C5F85" w:rsidRPr="00AC4AEA">
        <w:rPr>
          <w:rFonts w:ascii="Arial" w:hAnsi="Arial" w:cs="Arial"/>
          <w:sz w:val="20"/>
          <w:szCs w:val="20"/>
        </w:rPr>
        <w:t>evaluará</w:t>
      </w:r>
      <w:r w:rsidRPr="00AC4AEA">
        <w:rPr>
          <w:rFonts w:ascii="Arial" w:hAnsi="Arial" w:cs="Arial"/>
          <w:sz w:val="20"/>
          <w:szCs w:val="20"/>
        </w:rPr>
        <w:t xml:space="preserve"> la posibilidad y probabilidad de que </w:t>
      </w:r>
      <w:r w:rsidR="002C5F85" w:rsidRPr="00AC4AEA">
        <w:rPr>
          <w:rFonts w:ascii="Arial" w:hAnsi="Arial" w:cs="Arial"/>
          <w:sz w:val="20"/>
          <w:szCs w:val="20"/>
        </w:rPr>
        <w:t xml:space="preserve">dicho </w:t>
      </w:r>
      <w:r w:rsidRPr="00AC4AEA">
        <w:rPr>
          <w:rFonts w:ascii="Arial" w:hAnsi="Arial" w:cs="Arial"/>
          <w:sz w:val="20"/>
          <w:szCs w:val="20"/>
        </w:rPr>
        <w:t>directivo pueda influir en las políticas de amb</w:t>
      </w:r>
      <w:r w:rsidR="002C5F85" w:rsidRPr="00AC4AEA">
        <w:rPr>
          <w:rFonts w:ascii="Arial" w:hAnsi="Arial" w:cs="Arial"/>
          <w:sz w:val="20"/>
          <w:szCs w:val="20"/>
        </w:rPr>
        <w:t>a</w:t>
      </w:r>
      <w:r w:rsidRPr="00AC4AEA">
        <w:rPr>
          <w:rFonts w:ascii="Arial" w:hAnsi="Arial" w:cs="Arial"/>
          <w:sz w:val="20"/>
          <w:szCs w:val="20"/>
        </w:rPr>
        <w:t xml:space="preserve">s </w:t>
      </w:r>
      <w:r w:rsidR="002C5F85" w:rsidRPr="00AC4AEA">
        <w:rPr>
          <w:rFonts w:ascii="Arial" w:hAnsi="Arial" w:cs="Arial"/>
          <w:sz w:val="20"/>
          <w:szCs w:val="20"/>
        </w:rPr>
        <w:t>entidades</w:t>
      </w:r>
      <w:r w:rsidRPr="00AC4AEA">
        <w:rPr>
          <w:rFonts w:ascii="Arial" w:hAnsi="Arial" w:cs="Arial"/>
          <w:sz w:val="20"/>
          <w:szCs w:val="20"/>
        </w:rPr>
        <w:t xml:space="preserve"> </w:t>
      </w:r>
      <w:r w:rsidR="002C5F85" w:rsidRPr="00AC4AEA">
        <w:rPr>
          <w:rFonts w:ascii="Arial" w:hAnsi="Arial" w:cs="Arial"/>
          <w:sz w:val="20"/>
          <w:szCs w:val="20"/>
        </w:rPr>
        <w:t>por</w:t>
      </w:r>
      <w:r w:rsidRPr="00AC4AEA">
        <w:rPr>
          <w:rFonts w:ascii="Arial" w:hAnsi="Arial" w:cs="Arial"/>
          <w:sz w:val="20"/>
          <w:szCs w:val="20"/>
        </w:rPr>
        <w:t xml:space="preserve"> sus relaciones mutuas; </w:t>
      </w:r>
    </w:p>
    <w:p w:rsidR="00962332" w:rsidRPr="00AC4AEA" w:rsidRDefault="00282064" w:rsidP="00A318EA">
      <w:pPr>
        <w:pStyle w:val="Prrafodelista"/>
        <w:numPr>
          <w:ilvl w:val="0"/>
          <w:numId w:val="235"/>
        </w:numPr>
        <w:ind w:left="1560"/>
        <w:contextualSpacing w:val="0"/>
        <w:jc w:val="both"/>
        <w:rPr>
          <w:rFonts w:ascii="Arial" w:hAnsi="Arial" w:cs="Arial"/>
          <w:sz w:val="20"/>
          <w:szCs w:val="20"/>
        </w:rPr>
      </w:pPr>
      <w:r w:rsidRPr="00AC4AEA">
        <w:rPr>
          <w:rFonts w:ascii="Arial" w:hAnsi="Arial" w:cs="Arial"/>
          <w:sz w:val="20"/>
          <w:szCs w:val="20"/>
        </w:rPr>
        <w:t xml:space="preserve">los proveedores de </w:t>
      </w:r>
      <w:r w:rsidR="00C96D70" w:rsidRPr="00AC4AEA">
        <w:rPr>
          <w:rFonts w:ascii="Arial" w:hAnsi="Arial" w:cs="Arial"/>
          <w:sz w:val="20"/>
          <w:szCs w:val="20"/>
        </w:rPr>
        <w:t>financiamiento,</w:t>
      </w:r>
      <w:r w:rsidRPr="00AC4AEA">
        <w:rPr>
          <w:rFonts w:ascii="Arial" w:hAnsi="Arial" w:cs="Arial"/>
          <w:sz w:val="20"/>
          <w:szCs w:val="20"/>
        </w:rPr>
        <w:t xml:space="preserve"> sindicatos de trabajadores</w:t>
      </w:r>
      <w:r w:rsidR="00C96D70" w:rsidRPr="00AC4AEA">
        <w:rPr>
          <w:rFonts w:ascii="Arial" w:hAnsi="Arial" w:cs="Arial"/>
          <w:sz w:val="20"/>
          <w:szCs w:val="20"/>
        </w:rPr>
        <w:t>,</w:t>
      </w:r>
      <w:r w:rsidRPr="00AC4AEA">
        <w:rPr>
          <w:rFonts w:ascii="Arial" w:hAnsi="Arial" w:cs="Arial"/>
          <w:sz w:val="20"/>
          <w:szCs w:val="20"/>
        </w:rPr>
        <w:t xml:space="preserve"> empresas de servicios públicos</w:t>
      </w:r>
      <w:r w:rsidR="002C5F85" w:rsidRPr="00AC4AEA">
        <w:rPr>
          <w:rFonts w:ascii="Arial" w:hAnsi="Arial" w:cs="Arial"/>
          <w:sz w:val="20"/>
          <w:szCs w:val="20"/>
        </w:rPr>
        <w:t xml:space="preserve"> u</w:t>
      </w:r>
      <w:r w:rsidRPr="00AC4AEA">
        <w:rPr>
          <w:rFonts w:ascii="Arial" w:hAnsi="Arial" w:cs="Arial"/>
          <w:sz w:val="20"/>
          <w:szCs w:val="20"/>
        </w:rPr>
        <w:t xml:space="preserve"> organismos gubernamentales</w:t>
      </w:r>
      <w:r w:rsidR="00C96D70" w:rsidRPr="00AC4AEA">
        <w:rPr>
          <w:rFonts w:ascii="Arial" w:hAnsi="Arial" w:cs="Arial"/>
          <w:sz w:val="20"/>
          <w:szCs w:val="20"/>
        </w:rPr>
        <w:t xml:space="preserve"> por </w:t>
      </w:r>
      <w:r w:rsidR="002C5F85" w:rsidRPr="00AC4AEA">
        <w:rPr>
          <w:rFonts w:ascii="Arial" w:hAnsi="Arial" w:cs="Arial"/>
          <w:sz w:val="20"/>
          <w:szCs w:val="20"/>
        </w:rPr>
        <w:t>sus</w:t>
      </w:r>
      <w:r w:rsidRPr="00AC4AEA">
        <w:rPr>
          <w:rFonts w:ascii="Arial" w:hAnsi="Arial" w:cs="Arial"/>
          <w:sz w:val="20"/>
          <w:szCs w:val="20"/>
        </w:rPr>
        <w:t xml:space="preserve"> relaciones normales </w:t>
      </w:r>
      <w:r w:rsidR="00C96D70" w:rsidRPr="00AC4AEA">
        <w:rPr>
          <w:rFonts w:ascii="Arial" w:hAnsi="Arial" w:cs="Arial"/>
          <w:sz w:val="20"/>
          <w:szCs w:val="20"/>
        </w:rPr>
        <w:t>con</w:t>
      </w:r>
      <w:r w:rsidRPr="00AC4AEA">
        <w:rPr>
          <w:rFonts w:ascii="Arial" w:hAnsi="Arial" w:cs="Arial"/>
          <w:sz w:val="20"/>
          <w:szCs w:val="20"/>
        </w:rPr>
        <w:t xml:space="preserve"> </w:t>
      </w:r>
      <w:r w:rsidR="00C96D70" w:rsidRPr="00AC4AEA">
        <w:rPr>
          <w:rFonts w:ascii="Arial" w:hAnsi="Arial" w:cs="Arial"/>
          <w:sz w:val="20"/>
          <w:szCs w:val="20"/>
        </w:rPr>
        <w:t>la entidad</w:t>
      </w:r>
      <w:r w:rsidRPr="00AC4AEA">
        <w:rPr>
          <w:rFonts w:ascii="Arial" w:hAnsi="Arial" w:cs="Arial"/>
          <w:sz w:val="20"/>
          <w:szCs w:val="20"/>
        </w:rPr>
        <w:t xml:space="preserve"> (aunque puedan condicionar la libertad de acción </w:t>
      </w:r>
      <w:r w:rsidR="002C5F85" w:rsidRPr="00AC4AEA">
        <w:rPr>
          <w:rFonts w:ascii="Arial" w:hAnsi="Arial" w:cs="Arial"/>
          <w:sz w:val="20"/>
          <w:szCs w:val="20"/>
        </w:rPr>
        <w:t>de la entidad</w:t>
      </w:r>
      <w:r w:rsidRPr="00AC4AEA">
        <w:rPr>
          <w:rFonts w:ascii="Arial" w:hAnsi="Arial" w:cs="Arial"/>
          <w:sz w:val="20"/>
          <w:szCs w:val="20"/>
        </w:rPr>
        <w:t xml:space="preserve"> o participar en su proceso de toma de decisiones); y </w:t>
      </w:r>
    </w:p>
    <w:p w:rsidR="00282064" w:rsidRPr="00AC4AEA" w:rsidRDefault="00282064" w:rsidP="00A318EA">
      <w:pPr>
        <w:pStyle w:val="Prrafodelista"/>
        <w:numPr>
          <w:ilvl w:val="0"/>
          <w:numId w:val="235"/>
        </w:numPr>
        <w:ind w:left="1560"/>
        <w:contextualSpacing w:val="0"/>
        <w:jc w:val="both"/>
        <w:rPr>
          <w:rFonts w:ascii="Arial" w:hAnsi="Arial" w:cs="Arial"/>
          <w:sz w:val="20"/>
          <w:szCs w:val="20"/>
        </w:rPr>
      </w:pPr>
      <w:r w:rsidRPr="00AC4AEA">
        <w:rPr>
          <w:rFonts w:ascii="Arial" w:hAnsi="Arial" w:cs="Arial"/>
          <w:sz w:val="20"/>
          <w:szCs w:val="20"/>
        </w:rPr>
        <w:t xml:space="preserve">cualquier cliente, proveedor, concesionario, distribuidor o agente </w:t>
      </w:r>
      <w:r w:rsidR="00C96D70" w:rsidRPr="00AC4AEA">
        <w:rPr>
          <w:rFonts w:ascii="Arial" w:hAnsi="Arial" w:cs="Arial"/>
          <w:sz w:val="20"/>
          <w:szCs w:val="20"/>
        </w:rPr>
        <w:t>exclusivo</w:t>
      </w:r>
      <w:r w:rsidRPr="00AC4AEA">
        <w:rPr>
          <w:rFonts w:ascii="Arial" w:hAnsi="Arial" w:cs="Arial"/>
          <w:sz w:val="20"/>
          <w:szCs w:val="20"/>
        </w:rPr>
        <w:t xml:space="preserve"> con los que </w:t>
      </w:r>
      <w:r w:rsidR="00C96D70" w:rsidRPr="00AC4AEA">
        <w:rPr>
          <w:rFonts w:ascii="Arial" w:hAnsi="Arial" w:cs="Arial"/>
          <w:sz w:val="20"/>
          <w:szCs w:val="20"/>
        </w:rPr>
        <w:t>la entidad</w:t>
      </w:r>
      <w:r w:rsidRPr="00AC4AEA">
        <w:rPr>
          <w:rFonts w:ascii="Arial" w:hAnsi="Arial" w:cs="Arial"/>
          <w:sz w:val="20"/>
          <w:szCs w:val="20"/>
        </w:rPr>
        <w:t xml:space="preserve"> realiza un significativo volumen de transacciones</w:t>
      </w:r>
      <w:r w:rsidR="002C5F85" w:rsidRPr="00AC4AEA">
        <w:rPr>
          <w:rFonts w:ascii="Arial" w:hAnsi="Arial" w:cs="Arial"/>
          <w:sz w:val="20"/>
          <w:szCs w:val="20"/>
        </w:rPr>
        <w:t xml:space="preserve"> (aunque se generen situaciones de dependencia económica debido a tales relaciones).</w:t>
      </w:r>
    </w:p>
    <w:p w:rsidR="004F1D17" w:rsidRPr="00AC4AEA" w:rsidRDefault="004F1D17" w:rsidP="00A318EA">
      <w:pPr>
        <w:pStyle w:val="Prrafodelista"/>
        <w:ind w:left="1560"/>
        <w:contextualSpacing w:val="0"/>
        <w:jc w:val="both"/>
        <w:rPr>
          <w:rFonts w:ascii="Arial" w:hAnsi="Arial" w:cs="Arial"/>
          <w:sz w:val="20"/>
          <w:szCs w:val="20"/>
        </w:rPr>
      </w:pPr>
    </w:p>
    <w:p w:rsidR="00AF224D" w:rsidRPr="00AC4AEA" w:rsidRDefault="00AF224D" w:rsidP="00A318EA">
      <w:pPr>
        <w:pStyle w:val="Ttulo4"/>
      </w:pPr>
      <w:r w:rsidRPr="00AC4AEA">
        <w:lastRenderedPageBreak/>
        <w:t xml:space="preserve">Exención a los </w:t>
      </w:r>
      <w:r w:rsidR="0020556A" w:rsidRPr="00AC4AEA">
        <w:t>requerimientos generales</w:t>
      </w:r>
    </w:p>
    <w:p w:rsidR="00F27EFF" w:rsidRPr="00AC4AEA" w:rsidRDefault="006B251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está exenta de los requerimientos de información a revelar de los párrafos </w:t>
      </w:r>
      <w:fldSimple w:instr=" REF _Ref103780904 \r \h  \* MERGEFORMAT ">
        <w:r w:rsidR="00D33A5D" w:rsidRPr="00D33A5D">
          <w:rPr>
            <w:rFonts w:ascii="Arial" w:hAnsi="Arial" w:cs="Arial"/>
            <w:sz w:val="20"/>
            <w:szCs w:val="20"/>
          </w:rPr>
          <w:t>699</w:t>
        </w:r>
      </w:fldSimple>
      <w:r w:rsidR="00F27EFF" w:rsidRPr="00AC4AEA">
        <w:rPr>
          <w:rFonts w:ascii="Arial" w:hAnsi="Arial" w:cs="Arial"/>
          <w:sz w:val="20"/>
          <w:szCs w:val="20"/>
        </w:rPr>
        <w:t xml:space="preserve"> a </w:t>
      </w:r>
      <w:fldSimple w:instr=" REF _Ref99491866 \r \h  \* MERGEFORMAT ">
        <w:r w:rsidR="00D33A5D" w:rsidRPr="00D33A5D">
          <w:rPr>
            <w:rFonts w:ascii="Arial" w:hAnsi="Arial" w:cs="Arial"/>
            <w:sz w:val="20"/>
            <w:szCs w:val="20"/>
          </w:rPr>
          <w:t>706</w:t>
        </w:r>
      </w:fldSimple>
      <w:r w:rsidRPr="00AC4AEA">
        <w:rPr>
          <w:rFonts w:ascii="Arial" w:hAnsi="Arial" w:cs="Arial"/>
          <w:sz w:val="20"/>
          <w:szCs w:val="20"/>
        </w:rPr>
        <w:t xml:space="preserve"> en relación con transacciones y saldos pendientes, incluyendo compromisos, con: </w:t>
      </w:r>
    </w:p>
    <w:p w:rsidR="00F27EFF" w:rsidRPr="00AC4AEA" w:rsidRDefault="006B251C" w:rsidP="00A318EA">
      <w:pPr>
        <w:pStyle w:val="Prrafodelista"/>
        <w:numPr>
          <w:ilvl w:val="0"/>
          <w:numId w:val="372"/>
        </w:numPr>
        <w:ind w:left="1560"/>
        <w:contextualSpacing w:val="0"/>
        <w:jc w:val="both"/>
        <w:rPr>
          <w:rFonts w:ascii="Arial" w:hAnsi="Arial" w:cs="Arial"/>
          <w:sz w:val="20"/>
          <w:szCs w:val="20"/>
        </w:rPr>
      </w:pPr>
      <w:r w:rsidRPr="00AC4AEA">
        <w:rPr>
          <w:rFonts w:ascii="Arial" w:hAnsi="Arial" w:cs="Arial"/>
          <w:sz w:val="20"/>
          <w:szCs w:val="20"/>
        </w:rPr>
        <w:t xml:space="preserve">un gobierno que tiene control, o control conjunto o influencia significativa sobre la entidad que informa; y </w:t>
      </w:r>
    </w:p>
    <w:p w:rsidR="00AF224D" w:rsidRPr="00AC4AEA" w:rsidRDefault="006B251C" w:rsidP="00A318EA">
      <w:pPr>
        <w:pStyle w:val="Prrafodelista"/>
        <w:numPr>
          <w:ilvl w:val="0"/>
          <w:numId w:val="372"/>
        </w:numPr>
        <w:ind w:left="1560"/>
        <w:contextualSpacing w:val="0"/>
        <w:jc w:val="both"/>
        <w:rPr>
          <w:rFonts w:ascii="Arial" w:hAnsi="Arial" w:cs="Arial"/>
          <w:sz w:val="20"/>
          <w:szCs w:val="20"/>
        </w:rPr>
      </w:pPr>
      <w:r w:rsidRPr="00AC4AEA">
        <w:rPr>
          <w:rFonts w:ascii="Arial" w:hAnsi="Arial" w:cs="Arial"/>
          <w:sz w:val="20"/>
          <w:szCs w:val="20"/>
        </w:rPr>
        <w:t>otra entidad que sea una parte relacionada, porque el mismo gobierno tiene control, o control conjunto o influencia significativa tanto sobre la entidad que informa como sobre la otra entidad.</w:t>
      </w:r>
    </w:p>
    <w:p w:rsidR="009F3873" w:rsidRPr="00AC4AEA" w:rsidRDefault="009F3873" w:rsidP="00A318EA">
      <w:pPr>
        <w:pStyle w:val="Prrafodelista"/>
        <w:numPr>
          <w:ilvl w:val="0"/>
          <w:numId w:val="29"/>
        </w:numPr>
        <w:contextualSpacing w:val="0"/>
        <w:jc w:val="both"/>
        <w:rPr>
          <w:rFonts w:ascii="Arial" w:hAnsi="Arial" w:cs="Arial"/>
          <w:sz w:val="20"/>
          <w:szCs w:val="20"/>
        </w:rPr>
      </w:pPr>
      <w:bookmarkStart w:id="999" w:name="_Ref138945204"/>
      <w:r w:rsidRPr="00AC4AEA">
        <w:rPr>
          <w:rFonts w:ascii="Arial" w:hAnsi="Arial" w:cs="Arial"/>
          <w:sz w:val="20"/>
          <w:szCs w:val="20"/>
        </w:rPr>
        <w:t>Si una entidad aplica la exención del párrafo anterior, revelará la siguiente información sobre las transacciones y saldos pendientes relacionados a los que hace referencia ese párrafo:</w:t>
      </w:r>
      <w:bookmarkEnd w:id="999"/>
      <w:r w:rsidRPr="00AC4AEA">
        <w:rPr>
          <w:rFonts w:ascii="Arial" w:hAnsi="Arial" w:cs="Arial"/>
          <w:sz w:val="20"/>
          <w:szCs w:val="20"/>
        </w:rPr>
        <w:t xml:space="preserve"> </w:t>
      </w:r>
    </w:p>
    <w:p w:rsidR="009F3873" w:rsidRPr="00AC4AEA" w:rsidRDefault="009F3873" w:rsidP="00A318EA">
      <w:pPr>
        <w:pStyle w:val="Prrafodelista"/>
        <w:numPr>
          <w:ilvl w:val="0"/>
          <w:numId w:val="373"/>
        </w:numPr>
        <w:ind w:left="1560"/>
        <w:contextualSpacing w:val="0"/>
        <w:jc w:val="both"/>
        <w:rPr>
          <w:rFonts w:ascii="Arial" w:hAnsi="Arial" w:cs="Arial"/>
          <w:sz w:val="20"/>
          <w:szCs w:val="20"/>
        </w:rPr>
      </w:pPr>
      <w:r w:rsidRPr="00AC4AEA">
        <w:rPr>
          <w:rFonts w:ascii="Arial" w:hAnsi="Arial" w:cs="Arial"/>
          <w:sz w:val="20"/>
          <w:szCs w:val="20"/>
        </w:rPr>
        <w:t xml:space="preserve">el nombre del gobierno y la naturaleza de su relación con la entidad que informa (es decir control, control conjunto o influencia significativa); </w:t>
      </w:r>
    </w:p>
    <w:p w:rsidR="008F7AF2" w:rsidRPr="00AC4AEA" w:rsidRDefault="009F3873" w:rsidP="00A318EA">
      <w:pPr>
        <w:pStyle w:val="Prrafodelista"/>
        <w:numPr>
          <w:ilvl w:val="0"/>
          <w:numId w:val="373"/>
        </w:numPr>
        <w:ind w:left="1560"/>
        <w:contextualSpacing w:val="0"/>
        <w:jc w:val="both"/>
        <w:rPr>
          <w:rFonts w:ascii="Arial" w:hAnsi="Arial" w:cs="Arial"/>
          <w:sz w:val="20"/>
          <w:szCs w:val="20"/>
        </w:rPr>
      </w:pPr>
      <w:r w:rsidRPr="00AC4AEA">
        <w:rPr>
          <w:rFonts w:ascii="Arial" w:hAnsi="Arial" w:cs="Arial"/>
          <w:sz w:val="20"/>
          <w:szCs w:val="20"/>
        </w:rPr>
        <w:t xml:space="preserve">la siguiente información con suficiente detalle para permitir a los </w:t>
      </w:r>
      <w:r w:rsidRPr="00D86B48">
        <w:rPr>
          <w:rFonts w:ascii="Arial" w:hAnsi="Arial" w:cs="Arial"/>
          <w:b/>
          <w:bCs/>
          <w:sz w:val="20"/>
          <w:szCs w:val="20"/>
        </w:rPr>
        <w:t xml:space="preserve">usuarios </w:t>
      </w:r>
      <w:r w:rsidRPr="00AC4AEA">
        <w:rPr>
          <w:rFonts w:ascii="Arial" w:hAnsi="Arial" w:cs="Arial"/>
          <w:sz w:val="20"/>
          <w:szCs w:val="20"/>
        </w:rPr>
        <w:t xml:space="preserve">de los </w:t>
      </w:r>
      <w:r w:rsidRPr="00AC4AEA">
        <w:rPr>
          <w:rFonts w:ascii="Arial" w:hAnsi="Arial" w:cs="Arial"/>
          <w:b/>
          <w:bCs/>
          <w:sz w:val="20"/>
          <w:szCs w:val="20"/>
        </w:rPr>
        <w:t>estados contables</w:t>
      </w:r>
      <w:r w:rsidRPr="00AC4AEA">
        <w:rPr>
          <w:rFonts w:ascii="Arial" w:hAnsi="Arial" w:cs="Arial"/>
          <w:sz w:val="20"/>
          <w:szCs w:val="20"/>
        </w:rPr>
        <w:t xml:space="preserve"> de la entidad </w:t>
      </w:r>
      <w:r w:rsidR="006B69F3" w:rsidRPr="00AC4AEA">
        <w:rPr>
          <w:rFonts w:ascii="Arial" w:hAnsi="Arial" w:cs="Arial"/>
          <w:sz w:val="20"/>
          <w:szCs w:val="20"/>
        </w:rPr>
        <w:t>interpretar</w:t>
      </w:r>
      <w:r w:rsidRPr="00AC4AEA">
        <w:rPr>
          <w:rFonts w:ascii="Arial" w:hAnsi="Arial" w:cs="Arial"/>
          <w:sz w:val="20"/>
          <w:szCs w:val="20"/>
        </w:rPr>
        <w:t xml:space="preserve"> el efecto de las transacciones con </w:t>
      </w:r>
      <w:r w:rsidRPr="00AC4AEA">
        <w:rPr>
          <w:rFonts w:ascii="Arial" w:hAnsi="Arial" w:cs="Arial"/>
          <w:b/>
          <w:sz w:val="20"/>
          <w:szCs w:val="20"/>
        </w:rPr>
        <w:t>partes relacionadas</w:t>
      </w:r>
      <w:r w:rsidRPr="00AC4AEA">
        <w:rPr>
          <w:rFonts w:ascii="Arial" w:hAnsi="Arial" w:cs="Arial"/>
          <w:sz w:val="20"/>
          <w:szCs w:val="20"/>
        </w:rPr>
        <w:t xml:space="preserve"> en sus </w:t>
      </w:r>
      <w:r w:rsidRPr="00AC4AEA">
        <w:rPr>
          <w:rFonts w:ascii="Arial" w:hAnsi="Arial" w:cs="Arial"/>
          <w:b/>
          <w:bCs/>
          <w:sz w:val="20"/>
          <w:szCs w:val="20"/>
        </w:rPr>
        <w:t>estados contables</w:t>
      </w:r>
      <w:r w:rsidRPr="00AC4AEA">
        <w:rPr>
          <w:rFonts w:ascii="Arial" w:hAnsi="Arial" w:cs="Arial"/>
          <w:sz w:val="20"/>
          <w:szCs w:val="20"/>
        </w:rPr>
        <w:t>:</w:t>
      </w:r>
    </w:p>
    <w:p w:rsidR="008F7AF2" w:rsidRPr="00AC4AEA" w:rsidRDefault="009F3873" w:rsidP="00A318EA">
      <w:pPr>
        <w:pStyle w:val="Prrafodelista"/>
        <w:numPr>
          <w:ilvl w:val="0"/>
          <w:numId w:val="374"/>
        </w:numPr>
        <w:ind w:left="1843"/>
        <w:contextualSpacing w:val="0"/>
        <w:jc w:val="both"/>
        <w:rPr>
          <w:rFonts w:ascii="Arial" w:hAnsi="Arial" w:cs="Arial"/>
          <w:sz w:val="20"/>
          <w:szCs w:val="20"/>
        </w:rPr>
      </w:pPr>
      <w:r w:rsidRPr="00AC4AEA">
        <w:rPr>
          <w:rFonts w:ascii="Arial" w:hAnsi="Arial" w:cs="Arial"/>
          <w:sz w:val="20"/>
          <w:szCs w:val="20"/>
        </w:rPr>
        <w:t xml:space="preserve">la naturaleza e importe de cada transacción individualmente significativa; y </w:t>
      </w:r>
    </w:p>
    <w:p w:rsidR="00F27EFF" w:rsidRPr="00AC4AEA" w:rsidRDefault="009F3873" w:rsidP="00A318EA">
      <w:pPr>
        <w:pStyle w:val="Prrafodelista"/>
        <w:numPr>
          <w:ilvl w:val="0"/>
          <w:numId w:val="374"/>
        </w:numPr>
        <w:ind w:left="1843"/>
        <w:contextualSpacing w:val="0"/>
        <w:jc w:val="both"/>
        <w:rPr>
          <w:rFonts w:ascii="Arial" w:hAnsi="Arial" w:cs="Arial"/>
          <w:sz w:val="20"/>
          <w:szCs w:val="20"/>
        </w:rPr>
      </w:pPr>
      <w:r w:rsidRPr="00AC4AEA">
        <w:rPr>
          <w:rFonts w:ascii="Arial" w:hAnsi="Arial" w:cs="Arial"/>
          <w:sz w:val="20"/>
          <w:szCs w:val="20"/>
        </w:rPr>
        <w:t>para otras transacciones que sean significativas de forma colectiva, pero no individual, una indicación cualitativa o cuantitativa de su alcance.</w:t>
      </w:r>
    </w:p>
    <w:p w:rsidR="00AE7883" w:rsidRPr="00AC4AEA" w:rsidRDefault="00AE7883" w:rsidP="00A318EA">
      <w:pPr>
        <w:pStyle w:val="Ttulo1"/>
        <w:rPr>
          <w:rFonts w:cs="Arial"/>
          <w:sz w:val="20"/>
          <w:szCs w:val="20"/>
        </w:rPr>
      </w:pPr>
      <w:bookmarkStart w:id="1000" w:name="_Toc101864035"/>
    </w:p>
    <w:p w:rsidR="0090400F" w:rsidRPr="00AC4AEA" w:rsidRDefault="00BF07CD" w:rsidP="00A318EA">
      <w:pPr>
        <w:pStyle w:val="Ttulo1"/>
        <w:rPr>
          <w:rFonts w:cs="Arial"/>
          <w:sz w:val="20"/>
          <w:szCs w:val="20"/>
        </w:rPr>
      </w:pPr>
      <w:bookmarkStart w:id="1001" w:name="_Toc139356935"/>
      <w:r w:rsidRPr="00AC4AEA">
        <w:rPr>
          <w:rFonts w:cs="Arial"/>
          <w:sz w:val="20"/>
          <w:szCs w:val="20"/>
        </w:rPr>
        <w:t>PRESENTACIÓN</w:t>
      </w:r>
      <w:bookmarkStart w:id="1002" w:name="sinFINESlucro"/>
      <w:bookmarkEnd w:id="1002"/>
      <w:r w:rsidRPr="00AC4AEA">
        <w:rPr>
          <w:rFonts w:cs="Arial"/>
          <w:sz w:val="20"/>
          <w:szCs w:val="20"/>
        </w:rPr>
        <w:t xml:space="preserve"> DE </w:t>
      </w:r>
      <w:r w:rsidRPr="00AC4AEA">
        <w:rPr>
          <w:rFonts w:cs="Arial"/>
          <w:bCs/>
          <w:sz w:val="20"/>
          <w:szCs w:val="20"/>
        </w:rPr>
        <w:t>ESTADOS CONTABLES</w:t>
      </w:r>
      <w:r w:rsidRPr="00AC4AEA">
        <w:rPr>
          <w:rFonts w:cs="Arial"/>
          <w:sz w:val="20"/>
          <w:szCs w:val="20"/>
        </w:rPr>
        <w:t xml:space="preserve"> DE ENTIDADES SIN FINES DE LUCRO</w:t>
      </w:r>
      <w:bookmarkEnd w:id="1000"/>
      <w:bookmarkEnd w:id="1001"/>
    </w:p>
    <w:p w:rsidR="00F327D7" w:rsidRPr="00AC4AEA" w:rsidRDefault="00832C9D" w:rsidP="00A318EA">
      <w:pPr>
        <w:pStyle w:val="Ttulo2"/>
        <w:rPr>
          <w:rFonts w:cs="Arial"/>
        </w:rPr>
      </w:pPr>
      <w:bookmarkStart w:id="1003" w:name="_Toc101864036"/>
      <w:bookmarkStart w:id="1004" w:name="_Toc139356936"/>
      <w:r w:rsidRPr="00AC4AEA">
        <w:rPr>
          <w:rFonts w:cs="Arial"/>
        </w:rPr>
        <w:t xml:space="preserve">Introducción </w:t>
      </w:r>
      <w:r w:rsidR="00D55AEE" w:rsidRPr="00AC4AEA">
        <w:rPr>
          <w:rFonts w:cs="Arial"/>
        </w:rPr>
        <w:t>a la presente sección</w:t>
      </w:r>
      <w:bookmarkEnd w:id="1003"/>
      <w:bookmarkEnd w:id="1004"/>
      <w:r w:rsidR="009D101C" w:rsidRPr="00AC4AEA">
        <w:rPr>
          <w:rFonts w:cs="Arial"/>
        </w:rPr>
        <w:t xml:space="preserve"> </w:t>
      </w:r>
    </w:p>
    <w:p w:rsidR="00E02CF4" w:rsidRPr="00AC4AEA" w:rsidRDefault="00F327D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esta sección se describen los requerimientos particulares para la presentación de los </w:t>
      </w:r>
      <w:r w:rsidR="00135084" w:rsidRPr="00AC4AEA">
        <w:rPr>
          <w:rFonts w:ascii="Arial" w:hAnsi="Arial" w:cs="Arial"/>
          <w:b/>
          <w:bCs/>
          <w:sz w:val="20"/>
          <w:szCs w:val="20"/>
        </w:rPr>
        <w:t>estados contables</w:t>
      </w:r>
      <w:r w:rsidRPr="00AC4AEA">
        <w:rPr>
          <w:rFonts w:ascii="Arial" w:hAnsi="Arial" w:cs="Arial"/>
          <w:sz w:val="20"/>
          <w:szCs w:val="20"/>
        </w:rPr>
        <w:t xml:space="preserve"> de entidades sin fines de lucro</w:t>
      </w:r>
      <w:r w:rsidR="00471797" w:rsidRPr="00AC4AEA">
        <w:rPr>
          <w:rFonts w:ascii="Arial" w:hAnsi="Arial" w:cs="Arial"/>
          <w:sz w:val="20"/>
          <w:szCs w:val="20"/>
        </w:rPr>
        <w:t>, excepto las entidades cooperativas.</w:t>
      </w:r>
    </w:p>
    <w:p w:rsidR="00F327D7" w:rsidRPr="00AC4AEA" w:rsidRDefault="00F327D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 los fines de presentar sus </w:t>
      </w:r>
      <w:r w:rsidR="00135084" w:rsidRPr="00AC4AEA">
        <w:rPr>
          <w:rFonts w:ascii="Arial" w:hAnsi="Arial" w:cs="Arial"/>
          <w:b/>
          <w:bCs/>
          <w:sz w:val="20"/>
          <w:szCs w:val="20"/>
        </w:rPr>
        <w:t>estados contables</w:t>
      </w:r>
      <w:r w:rsidRPr="00AC4AEA">
        <w:rPr>
          <w:rFonts w:ascii="Arial" w:hAnsi="Arial" w:cs="Arial"/>
          <w:sz w:val="20"/>
          <w:szCs w:val="20"/>
        </w:rPr>
        <w:t>, una entidad sin fines de lucro deberá aplicar las disposiciones establecidas en:</w:t>
      </w:r>
    </w:p>
    <w:p w:rsidR="00F327D7" w:rsidRPr="00AC4AEA" w:rsidRDefault="00F327D7" w:rsidP="00A318EA">
      <w:pPr>
        <w:pStyle w:val="Prrafodelista"/>
        <w:numPr>
          <w:ilvl w:val="0"/>
          <w:numId w:val="236"/>
        </w:numPr>
        <w:ind w:left="1560"/>
        <w:contextualSpacing w:val="0"/>
        <w:jc w:val="both"/>
        <w:rPr>
          <w:rFonts w:ascii="Arial" w:hAnsi="Arial" w:cs="Arial"/>
          <w:sz w:val="20"/>
          <w:szCs w:val="20"/>
        </w:rPr>
      </w:pPr>
      <w:r w:rsidRPr="00AC4AEA">
        <w:rPr>
          <w:rFonts w:ascii="Arial" w:hAnsi="Arial" w:cs="Arial"/>
          <w:sz w:val="20"/>
          <w:szCs w:val="20"/>
        </w:rPr>
        <w:t>esta sección;</w:t>
      </w:r>
    </w:p>
    <w:p w:rsidR="00F327D7" w:rsidRPr="00AC4AEA" w:rsidRDefault="00366414" w:rsidP="00A318EA">
      <w:pPr>
        <w:pStyle w:val="Prrafodelista"/>
        <w:numPr>
          <w:ilvl w:val="0"/>
          <w:numId w:val="236"/>
        </w:numPr>
        <w:ind w:left="1560"/>
        <w:contextualSpacing w:val="0"/>
        <w:jc w:val="both"/>
        <w:rPr>
          <w:rFonts w:ascii="Arial" w:hAnsi="Arial" w:cs="Arial"/>
          <w:sz w:val="20"/>
          <w:szCs w:val="20"/>
        </w:rPr>
      </w:pPr>
      <w:r w:rsidRPr="00AC4AEA">
        <w:rPr>
          <w:rFonts w:ascii="Arial" w:hAnsi="Arial" w:cs="Arial"/>
          <w:sz w:val="20"/>
          <w:szCs w:val="20"/>
        </w:rPr>
        <w:t xml:space="preserve">los demás requerimientos incluidos en </w:t>
      </w:r>
      <w:r w:rsidR="00F327D7" w:rsidRPr="00AC4AEA">
        <w:rPr>
          <w:rFonts w:ascii="Arial" w:hAnsi="Arial" w:cs="Arial"/>
          <w:sz w:val="20"/>
          <w:szCs w:val="20"/>
        </w:rPr>
        <w:t>el</w:t>
      </w:r>
      <w:r w:rsidR="00251E43" w:rsidRPr="00AC4AEA">
        <w:rPr>
          <w:rFonts w:ascii="Arial" w:hAnsi="Arial" w:cs="Arial"/>
          <w:sz w:val="20"/>
          <w:szCs w:val="20"/>
        </w:rPr>
        <w:t xml:space="preserve"> presente</w:t>
      </w:r>
      <w:r w:rsidR="00F327D7" w:rsidRPr="00AC4AEA">
        <w:rPr>
          <w:rFonts w:ascii="Arial" w:hAnsi="Arial" w:cs="Arial"/>
          <w:sz w:val="20"/>
          <w:szCs w:val="20"/>
        </w:rPr>
        <w:t xml:space="preserve"> </w:t>
      </w:r>
      <w:r w:rsidR="005264CD" w:rsidRPr="00AC4AEA">
        <w:rPr>
          <w:rFonts w:ascii="Arial" w:hAnsi="Arial" w:cs="Arial"/>
          <w:sz w:val="20"/>
          <w:szCs w:val="20"/>
        </w:rPr>
        <w:t>capítulo</w:t>
      </w:r>
      <w:r w:rsidRPr="00AC4AEA">
        <w:rPr>
          <w:rFonts w:ascii="Arial" w:hAnsi="Arial" w:cs="Arial"/>
          <w:sz w:val="20"/>
          <w:szCs w:val="20"/>
        </w:rPr>
        <w:t>, en todo lo que resulte aplicable</w:t>
      </w:r>
      <w:r w:rsidR="00E02CF4" w:rsidRPr="00AC4AEA">
        <w:rPr>
          <w:rFonts w:ascii="Arial" w:hAnsi="Arial" w:cs="Arial"/>
          <w:sz w:val="20"/>
          <w:szCs w:val="20"/>
        </w:rPr>
        <w:t>;</w:t>
      </w:r>
      <w:r w:rsidR="00F327D7" w:rsidRPr="00AC4AEA">
        <w:rPr>
          <w:rFonts w:ascii="Arial" w:hAnsi="Arial" w:cs="Arial"/>
          <w:sz w:val="20"/>
          <w:szCs w:val="20"/>
        </w:rPr>
        <w:t xml:space="preserve"> y</w:t>
      </w:r>
    </w:p>
    <w:p w:rsidR="00F327D7" w:rsidRPr="00AC4AEA" w:rsidRDefault="00F327D7" w:rsidP="00A318EA">
      <w:pPr>
        <w:pStyle w:val="Prrafodelista"/>
        <w:numPr>
          <w:ilvl w:val="0"/>
          <w:numId w:val="236"/>
        </w:numPr>
        <w:ind w:left="1560"/>
        <w:contextualSpacing w:val="0"/>
        <w:jc w:val="both"/>
        <w:rPr>
          <w:rFonts w:ascii="Arial" w:hAnsi="Arial" w:cs="Arial"/>
          <w:sz w:val="20"/>
          <w:szCs w:val="20"/>
        </w:rPr>
      </w:pPr>
      <w:r w:rsidRPr="00AC4AEA">
        <w:rPr>
          <w:rFonts w:ascii="Arial" w:hAnsi="Arial" w:cs="Arial"/>
          <w:b/>
          <w:bCs/>
          <w:sz w:val="20"/>
          <w:szCs w:val="20"/>
        </w:rPr>
        <w:t xml:space="preserve">otras </w:t>
      </w:r>
      <w:r w:rsidR="00366414" w:rsidRPr="00AC4AEA">
        <w:rPr>
          <w:rFonts w:ascii="Arial" w:hAnsi="Arial" w:cs="Arial"/>
          <w:b/>
          <w:bCs/>
          <w:sz w:val="20"/>
          <w:szCs w:val="20"/>
        </w:rPr>
        <w:t>normas contables</w:t>
      </w:r>
      <w:r w:rsidRPr="00AC4AEA">
        <w:rPr>
          <w:rFonts w:ascii="Arial" w:hAnsi="Arial" w:cs="Arial"/>
          <w:sz w:val="20"/>
          <w:szCs w:val="20"/>
        </w:rPr>
        <w:t xml:space="preserve"> que </w:t>
      </w:r>
      <w:r w:rsidR="00834C1B" w:rsidRPr="00AC4AEA">
        <w:rPr>
          <w:rFonts w:ascii="Arial" w:hAnsi="Arial" w:cs="Arial"/>
          <w:sz w:val="20"/>
          <w:szCs w:val="20"/>
        </w:rPr>
        <w:t>se refieran</w:t>
      </w:r>
      <w:r w:rsidRPr="00AC4AEA">
        <w:rPr>
          <w:rFonts w:ascii="Arial" w:hAnsi="Arial" w:cs="Arial"/>
          <w:sz w:val="20"/>
          <w:szCs w:val="20"/>
        </w:rPr>
        <w:t xml:space="preserve"> </w:t>
      </w:r>
      <w:r w:rsidR="00834C1B" w:rsidRPr="00AC4AEA">
        <w:rPr>
          <w:rFonts w:ascii="Arial" w:hAnsi="Arial" w:cs="Arial"/>
          <w:sz w:val="20"/>
          <w:szCs w:val="20"/>
        </w:rPr>
        <w:t>a</w:t>
      </w:r>
      <w:r w:rsidRPr="00AC4AEA">
        <w:rPr>
          <w:rFonts w:ascii="Arial" w:hAnsi="Arial" w:cs="Arial"/>
          <w:sz w:val="20"/>
          <w:szCs w:val="20"/>
        </w:rPr>
        <w:t xml:space="preserve"> cuestiones de presentación y revelación.</w:t>
      </w:r>
    </w:p>
    <w:p w:rsidR="00E02CF4" w:rsidRPr="00AC4AEA" w:rsidRDefault="00E02CF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sin fines de lucro aplicará lo dispuesto en el párrafo </w:t>
      </w:r>
      <w:fldSimple w:instr=" REF _Ref77153867 \r \h  \* MERGEFORMAT ">
        <w:r w:rsidR="00D33A5D" w:rsidRPr="00D33A5D">
          <w:rPr>
            <w:rFonts w:ascii="Arial" w:hAnsi="Arial" w:cs="Arial"/>
            <w:sz w:val="20"/>
            <w:szCs w:val="20"/>
          </w:rPr>
          <w:t>56</w:t>
        </w:r>
      </w:fldSimple>
      <w:r w:rsidRPr="00AC4AEA">
        <w:rPr>
          <w:rFonts w:ascii="Arial" w:hAnsi="Arial" w:cs="Arial"/>
          <w:sz w:val="20"/>
          <w:szCs w:val="20"/>
        </w:rPr>
        <w:t xml:space="preserve"> con el objeto de adaptar</w:t>
      </w:r>
      <w:r w:rsidR="004C3FB0" w:rsidRPr="00AC4AEA">
        <w:rPr>
          <w:rFonts w:ascii="Arial" w:hAnsi="Arial" w:cs="Arial"/>
          <w:sz w:val="20"/>
          <w:szCs w:val="20"/>
        </w:rPr>
        <w:t xml:space="preserve"> la presentación y denominación de elementos a las particularidades de su actividad.</w:t>
      </w:r>
      <w:r w:rsidRPr="00AC4AEA">
        <w:rPr>
          <w:rFonts w:ascii="Arial" w:hAnsi="Arial" w:cs="Arial"/>
          <w:sz w:val="20"/>
          <w:szCs w:val="20"/>
        </w:rPr>
        <w:t xml:space="preserve"> </w:t>
      </w:r>
    </w:p>
    <w:p w:rsidR="00F327D7" w:rsidRPr="00AC4AEA" w:rsidRDefault="00F327D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lastRenderedPageBreak/>
        <w:t>En caso de conflicto entre las disposiciones referidas en el párrafo anterior, una entidad sin fines de lucro</w:t>
      </w:r>
      <w:r w:rsidR="00E02CF4" w:rsidRPr="00AC4AEA">
        <w:rPr>
          <w:rFonts w:ascii="Arial" w:hAnsi="Arial" w:cs="Arial"/>
          <w:sz w:val="20"/>
          <w:szCs w:val="20"/>
        </w:rPr>
        <w:t xml:space="preserve"> dará prevalencia a lo establecido en esta sección.</w:t>
      </w:r>
    </w:p>
    <w:p w:rsidR="00E02CF4" w:rsidRPr="00AC4AEA" w:rsidRDefault="00E02CF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cooperativa no estará alcanzada por las disposiciones de esta sección.</w:t>
      </w:r>
    </w:p>
    <w:p w:rsidR="00E02CF4" w:rsidRPr="00AC4AEA" w:rsidRDefault="00E02CF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que constituye un organismo autárquico, del sector gubernamental, podrá presentar </w:t>
      </w:r>
      <w:r w:rsidR="00135084" w:rsidRPr="00AC4AEA">
        <w:rPr>
          <w:rFonts w:ascii="Arial" w:hAnsi="Arial" w:cs="Arial"/>
          <w:b/>
          <w:bCs/>
          <w:sz w:val="20"/>
          <w:szCs w:val="20"/>
        </w:rPr>
        <w:t>estados contables</w:t>
      </w:r>
      <w:r w:rsidRPr="00AC4AEA">
        <w:rPr>
          <w:rFonts w:ascii="Arial" w:hAnsi="Arial" w:cs="Arial"/>
          <w:sz w:val="20"/>
          <w:szCs w:val="20"/>
        </w:rPr>
        <w:t xml:space="preserve"> de acuerdo con las disposiciones de esta sección.</w:t>
      </w:r>
    </w:p>
    <w:p w:rsidR="00F327D7" w:rsidRPr="00AC4AEA" w:rsidRDefault="00F327D7" w:rsidP="00A318EA">
      <w:pPr>
        <w:jc w:val="both"/>
        <w:rPr>
          <w:rFonts w:ascii="Arial" w:hAnsi="Arial" w:cs="Arial"/>
          <w:sz w:val="20"/>
          <w:szCs w:val="20"/>
        </w:rPr>
      </w:pPr>
    </w:p>
    <w:p w:rsidR="00E02CF4" w:rsidRPr="00592D81" w:rsidRDefault="00E02CF4" w:rsidP="00A318EA">
      <w:pPr>
        <w:pStyle w:val="Ttulo2"/>
        <w:rPr>
          <w:rFonts w:cs="Arial"/>
        </w:rPr>
      </w:pPr>
      <w:bookmarkStart w:id="1005" w:name="_Toc101864037"/>
      <w:bookmarkStart w:id="1006" w:name="_Toc139356937"/>
      <w:r w:rsidRPr="00592D81">
        <w:rPr>
          <w:rFonts w:cs="Arial"/>
        </w:rPr>
        <w:t>Definici</w:t>
      </w:r>
      <w:r w:rsidR="00B27C3F" w:rsidRPr="00592D81">
        <w:rPr>
          <w:rFonts w:cs="Arial"/>
        </w:rPr>
        <w:t>ó</w:t>
      </w:r>
      <w:r w:rsidRPr="00592D81">
        <w:rPr>
          <w:rFonts w:cs="Arial"/>
        </w:rPr>
        <w:t>n</w:t>
      </w:r>
      <w:bookmarkEnd w:id="1005"/>
      <w:bookmarkEnd w:id="1006"/>
    </w:p>
    <w:p w:rsidR="00E02CF4" w:rsidRPr="00592D81" w:rsidRDefault="00E02CF4" w:rsidP="00A318EA">
      <w:pPr>
        <w:pStyle w:val="Prrafodelista"/>
        <w:numPr>
          <w:ilvl w:val="0"/>
          <w:numId w:val="29"/>
        </w:numPr>
        <w:contextualSpacing w:val="0"/>
        <w:jc w:val="both"/>
        <w:rPr>
          <w:rFonts w:ascii="Arial" w:hAnsi="Arial" w:cs="Arial"/>
          <w:sz w:val="20"/>
          <w:szCs w:val="20"/>
        </w:rPr>
      </w:pPr>
      <w:r w:rsidRPr="00592D81">
        <w:rPr>
          <w:rFonts w:ascii="Arial" w:hAnsi="Arial" w:cs="Arial"/>
          <w:sz w:val="20"/>
          <w:szCs w:val="20"/>
        </w:rPr>
        <w:t xml:space="preserve">A los fines de presentar los </w:t>
      </w:r>
      <w:r w:rsidR="00135084" w:rsidRPr="00592D81">
        <w:rPr>
          <w:rFonts w:ascii="Arial" w:hAnsi="Arial" w:cs="Arial"/>
          <w:b/>
          <w:bCs/>
          <w:sz w:val="20"/>
          <w:szCs w:val="20"/>
        </w:rPr>
        <w:t>estados contables</w:t>
      </w:r>
      <w:r w:rsidRPr="00592D81">
        <w:rPr>
          <w:rFonts w:ascii="Arial" w:hAnsi="Arial" w:cs="Arial"/>
          <w:sz w:val="20"/>
          <w:szCs w:val="20"/>
        </w:rPr>
        <w:t xml:space="preserve"> </w:t>
      </w:r>
      <w:r w:rsidR="004C3FB0" w:rsidRPr="00592D81">
        <w:rPr>
          <w:rFonts w:ascii="Arial" w:hAnsi="Arial" w:cs="Arial"/>
          <w:sz w:val="20"/>
          <w:szCs w:val="20"/>
        </w:rPr>
        <w:t>regulados por esta sección</w:t>
      </w:r>
      <w:r w:rsidRPr="00592D81">
        <w:rPr>
          <w:rFonts w:ascii="Arial" w:hAnsi="Arial" w:cs="Arial"/>
          <w:sz w:val="20"/>
          <w:szCs w:val="20"/>
        </w:rPr>
        <w:t>, una entidad deberá considerar la siguiente definición:</w:t>
      </w:r>
    </w:p>
    <w:p w:rsidR="00E02CF4" w:rsidRPr="00AC4AEA" w:rsidRDefault="004C3FB0" w:rsidP="00A318EA">
      <w:pPr>
        <w:ind w:left="1416"/>
        <w:jc w:val="both"/>
        <w:rPr>
          <w:rFonts w:ascii="Arial" w:hAnsi="Arial" w:cs="Arial"/>
          <w:sz w:val="20"/>
          <w:szCs w:val="20"/>
        </w:rPr>
      </w:pPr>
      <w:r w:rsidRPr="00592D81">
        <w:rPr>
          <w:rFonts w:ascii="Arial" w:hAnsi="Arial" w:cs="Arial"/>
          <w:sz w:val="20"/>
          <w:szCs w:val="20"/>
          <w:u w:val="single"/>
        </w:rPr>
        <w:t>Entidades sin fines de lucro</w:t>
      </w:r>
      <w:r w:rsidRPr="00592D81">
        <w:rPr>
          <w:rFonts w:ascii="Arial" w:hAnsi="Arial" w:cs="Arial"/>
          <w:sz w:val="20"/>
          <w:szCs w:val="20"/>
        </w:rPr>
        <w:t xml:space="preserve">: </w:t>
      </w:r>
      <w:r w:rsidR="00866C45" w:rsidRPr="00592D81">
        <w:rPr>
          <w:rFonts w:ascii="Arial" w:hAnsi="Arial" w:cs="Arial"/>
          <w:sz w:val="20"/>
          <w:szCs w:val="20"/>
        </w:rPr>
        <w:t>C</w:t>
      </w:r>
      <w:r w:rsidRPr="00592D81">
        <w:rPr>
          <w:rFonts w:ascii="Arial" w:hAnsi="Arial" w:cs="Arial"/>
          <w:sz w:val="20"/>
          <w:szCs w:val="20"/>
        </w:rPr>
        <w:t>omprende asociaciones civiles sin fines de lucro</w:t>
      </w:r>
      <w:r w:rsidR="00866C45" w:rsidRPr="00592D81">
        <w:rPr>
          <w:rFonts w:ascii="Arial" w:hAnsi="Arial" w:cs="Arial"/>
          <w:sz w:val="20"/>
          <w:szCs w:val="20"/>
        </w:rPr>
        <w:t xml:space="preserve"> y</w:t>
      </w:r>
      <w:r w:rsidRPr="00AC4AEA">
        <w:rPr>
          <w:rFonts w:ascii="Arial" w:hAnsi="Arial" w:cs="Arial"/>
          <w:sz w:val="20"/>
          <w:szCs w:val="20"/>
        </w:rPr>
        <w:t xml:space="preserve"> las fundaciones y organismos paraestatales creados por ley para el cumplimiento de fines especiales. Incluye, entre otras</w:t>
      </w:r>
      <w:r w:rsidR="00834C1B" w:rsidRPr="00AC4AEA">
        <w:rPr>
          <w:rFonts w:ascii="Arial" w:hAnsi="Arial" w:cs="Arial"/>
          <w:sz w:val="20"/>
          <w:szCs w:val="20"/>
        </w:rPr>
        <w:t>, a:</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Instituciones deportivas (clubes, asociaciones de clubes, federaciones, etc.).</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Mutuales.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Cámaras empresariales.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Entidades no lucrativ</w:t>
      </w:r>
      <w:r w:rsidR="00866C45" w:rsidRPr="00AC4AEA">
        <w:rPr>
          <w:rFonts w:ascii="Arial" w:hAnsi="Arial" w:cs="Arial"/>
          <w:sz w:val="20"/>
          <w:szCs w:val="20"/>
        </w:rPr>
        <w:t>a</w:t>
      </w:r>
      <w:r w:rsidRPr="00AC4AEA">
        <w:rPr>
          <w:rFonts w:ascii="Arial" w:hAnsi="Arial" w:cs="Arial"/>
          <w:sz w:val="20"/>
          <w:szCs w:val="20"/>
        </w:rPr>
        <w:t>s de salud, como las obras sociales.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Clubes sociales.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Sindicatos.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Asociaciones de profesionales.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Entidades educativas y universidades.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Asociaciones vecinales.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Organizaciones religiosas</w:t>
      </w:r>
      <w:r w:rsidR="00866C45" w:rsidRPr="00AC4AEA">
        <w:rPr>
          <w:rFonts w:ascii="Arial" w:hAnsi="Arial" w:cs="Arial"/>
          <w:sz w:val="20"/>
          <w:szCs w:val="20"/>
        </w:rPr>
        <w:t>.</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Entidades benéficas.</w:t>
      </w:r>
    </w:p>
    <w:p w:rsidR="004C3FB0" w:rsidRPr="00AC4AEA" w:rsidRDefault="004C3FB0" w:rsidP="00A318EA">
      <w:pPr>
        <w:pStyle w:val="Prrafodelista"/>
        <w:numPr>
          <w:ilvl w:val="0"/>
          <w:numId w:val="237"/>
        </w:numPr>
        <w:ind w:left="1982"/>
        <w:contextualSpacing w:val="0"/>
        <w:jc w:val="both"/>
        <w:rPr>
          <w:rFonts w:ascii="Arial" w:hAnsi="Arial" w:cs="Arial"/>
          <w:sz w:val="20"/>
          <w:szCs w:val="20"/>
        </w:rPr>
      </w:pPr>
      <w:r w:rsidRPr="00AC4AEA">
        <w:rPr>
          <w:rFonts w:ascii="Arial" w:hAnsi="Arial" w:cs="Arial"/>
          <w:sz w:val="20"/>
          <w:szCs w:val="20"/>
        </w:rPr>
        <w:t>Consejos profesionales</w:t>
      </w:r>
      <w:r w:rsidR="00866C45" w:rsidRPr="00AC4AEA">
        <w:rPr>
          <w:rFonts w:ascii="Arial" w:hAnsi="Arial" w:cs="Arial"/>
          <w:sz w:val="20"/>
          <w:szCs w:val="20"/>
        </w:rPr>
        <w:t>.</w:t>
      </w:r>
    </w:p>
    <w:p w:rsidR="00F327D7" w:rsidRPr="00AC4AEA" w:rsidRDefault="00F327D7" w:rsidP="00A318EA">
      <w:pPr>
        <w:jc w:val="both"/>
        <w:rPr>
          <w:rFonts w:ascii="Arial" w:hAnsi="Arial" w:cs="Arial"/>
          <w:sz w:val="20"/>
          <w:szCs w:val="20"/>
        </w:rPr>
      </w:pPr>
    </w:p>
    <w:p w:rsidR="00293878" w:rsidRPr="00AC4AEA" w:rsidRDefault="00293878" w:rsidP="00A318EA">
      <w:pPr>
        <w:pStyle w:val="Ttulo2"/>
        <w:rPr>
          <w:rFonts w:cs="Arial"/>
        </w:rPr>
      </w:pPr>
      <w:bookmarkStart w:id="1007" w:name="_Toc101864038"/>
      <w:bookmarkStart w:id="1008" w:name="_Toc139356938"/>
      <w:r w:rsidRPr="00AC4AEA">
        <w:rPr>
          <w:rFonts w:cs="Arial"/>
        </w:rPr>
        <w:t xml:space="preserve">Conjunto completo de </w:t>
      </w:r>
      <w:r w:rsidR="00135084" w:rsidRPr="00AC4AEA">
        <w:rPr>
          <w:rFonts w:cs="Arial"/>
          <w:bCs/>
        </w:rPr>
        <w:t>estados contables</w:t>
      </w:r>
      <w:r w:rsidR="000A65AC" w:rsidRPr="00AC4AEA">
        <w:rPr>
          <w:rFonts w:cs="Arial"/>
        </w:rPr>
        <w:t xml:space="preserve"> de una entidad sin fines de lucro</w:t>
      </w:r>
      <w:bookmarkEnd w:id="1007"/>
      <w:bookmarkEnd w:id="1008"/>
    </w:p>
    <w:p w:rsidR="00293878" w:rsidRPr="00AC4AEA" w:rsidRDefault="0029387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sin fines de lucro presentará un conjunto completo de </w:t>
      </w:r>
      <w:r w:rsidR="00135084" w:rsidRPr="00AC4AEA">
        <w:rPr>
          <w:rFonts w:ascii="Arial" w:hAnsi="Arial" w:cs="Arial"/>
          <w:b/>
          <w:bCs/>
          <w:sz w:val="20"/>
          <w:szCs w:val="20"/>
        </w:rPr>
        <w:t>estados contables</w:t>
      </w:r>
      <w:r w:rsidRPr="00AC4AEA">
        <w:rPr>
          <w:rFonts w:ascii="Arial" w:hAnsi="Arial" w:cs="Arial"/>
          <w:sz w:val="20"/>
          <w:szCs w:val="20"/>
        </w:rPr>
        <w:t>, que comprende: </w:t>
      </w:r>
    </w:p>
    <w:p w:rsidR="00293878" w:rsidRPr="00AC4AEA" w:rsidRDefault="00293878" w:rsidP="00A318EA">
      <w:pPr>
        <w:pStyle w:val="Prrafodelista"/>
        <w:numPr>
          <w:ilvl w:val="0"/>
          <w:numId w:val="238"/>
        </w:numPr>
        <w:ind w:left="1560"/>
        <w:contextualSpacing w:val="0"/>
        <w:jc w:val="both"/>
        <w:rPr>
          <w:rFonts w:ascii="Arial" w:hAnsi="Arial" w:cs="Arial"/>
          <w:sz w:val="20"/>
          <w:szCs w:val="20"/>
        </w:rPr>
      </w:pPr>
      <w:r w:rsidRPr="00AC4AEA">
        <w:rPr>
          <w:rFonts w:ascii="Arial" w:hAnsi="Arial" w:cs="Arial"/>
          <w:sz w:val="20"/>
          <w:szCs w:val="20"/>
        </w:rPr>
        <w:t>el estado de situación patrimonial o balance general; </w:t>
      </w:r>
    </w:p>
    <w:p w:rsidR="00293878" w:rsidRPr="00AC4AEA" w:rsidRDefault="00293878" w:rsidP="00A318EA">
      <w:pPr>
        <w:pStyle w:val="Prrafodelista"/>
        <w:numPr>
          <w:ilvl w:val="0"/>
          <w:numId w:val="238"/>
        </w:numPr>
        <w:ind w:left="1560"/>
        <w:contextualSpacing w:val="0"/>
        <w:jc w:val="both"/>
        <w:rPr>
          <w:rFonts w:ascii="Arial" w:hAnsi="Arial" w:cs="Arial"/>
          <w:sz w:val="20"/>
          <w:szCs w:val="20"/>
        </w:rPr>
      </w:pPr>
      <w:r w:rsidRPr="00AC4AEA">
        <w:rPr>
          <w:rFonts w:ascii="Arial" w:hAnsi="Arial" w:cs="Arial"/>
          <w:sz w:val="20"/>
          <w:szCs w:val="20"/>
        </w:rPr>
        <w:t xml:space="preserve">el </w:t>
      </w:r>
      <w:r w:rsidR="00866C45" w:rsidRPr="00AC4AEA">
        <w:rPr>
          <w:rFonts w:ascii="Arial" w:hAnsi="Arial" w:cs="Arial"/>
          <w:sz w:val="20"/>
          <w:szCs w:val="20"/>
        </w:rPr>
        <w:t xml:space="preserve">estado </w:t>
      </w:r>
      <w:r w:rsidRPr="00AC4AEA">
        <w:rPr>
          <w:rFonts w:ascii="Arial" w:hAnsi="Arial" w:cs="Arial"/>
          <w:sz w:val="20"/>
          <w:szCs w:val="20"/>
        </w:rPr>
        <w:t>de recursos y gastos;</w:t>
      </w:r>
    </w:p>
    <w:p w:rsidR="00293878" w:rsidRPr="00AC4AEA" w:rsidRDefault="00293878" w:rsidP="00A318EA">
      <w:pPr>
        <w:pStyle w:val="Prrafodelista"/>
        <w:numPr>
          <w:ilvl w:val="0"/>
          <w:numId w:val="238"/>
        </w:numPr>
        <w:ind w:left="1560"/>
        <w:contextualSpacing w:val="0"/>
        <w:jc w:val="both"/>
        <w:rPr>
          <w:rFonts w:ascii="Arial" w:hAnsi="Arial" w:cs="Arial"/>
          <w:sz w:val="20"/>
          <w:szCs w:val="20"/>
        </w:rPr>
      </w:pPr>
      <w:r w:rsidRPr="00AC4AEA">
        <w:rPr>
          <w:rFonts w:ascii="Arial" w:hAnsi="Arial" w:cs="Arial"/>
          <w:sz w:val="20"/>
          <w:szCs w:val="20"/>
        </w:rPr>
        <w:lastRenderedPageBreak/>
        <w:t>el estado de evolución del patrimonio neto; </w:t>
      </w:r>
    </w:p>
    <w:p w:rsidR="00293878" w:rsidRPr="00AC4AEA" w:rsidRDefault="00293878" w:rsidP="00A318EA">
      <w:pPr>
        <w:pStyle w:val="Prrafodelista"/>
        <w:numPr>
          <w:ilvl w:val="0"/>
          <w:numId w:val="238"/>
        </w:numPr>
        <w:ind w:left="1560"/>
        <w:contextualSpacing w:val="0"/>
        <w:jc w:val="both"/>
        <w:rPr>
          <w:rFonts w:ascii="Arial" w:hAnsi="Arial" w:cs="Arial"/>
          <w:sz w:val="20"/>
          <w:szCs w:val="20"/>
        </w:rPr>
      </w:pPr>
      <w:r w:rsidRPr="00AC4AEA">
        <w:rPr>
          <w:rFonts w:ascii="Arial" w:hAnsi="Arial" w:cs="Arial"/>
          <w:sz w:val="20"/>
          <w:szCs w:val="20"/>
        </w:rPr>
        <w:t>el estado de flujos de efectivo; y</w:t>
      </w:r>
    </w:p>
    <w:p w:rsidR="00293878" w:rsidRPr="00AC4AEA" w:rsidRDefault="00293878" w:rsidP="00A318EA">
      <w:pPr>
        <w:pStyle w:val="Prrafodelista"/>
        <w:numPr>
          <w:ilvl w:val="0"/>
          <w:numId w:val="238"/>
        </w:numPr>
        <w:ind w:left="1560"/>
        <w:contextualSpacing w:val="0"/>
        <w:jc w:val="both"/>
        <w:rPr>
          <w:rFonts w:ascii="Arial" w:hAnsi="Arial" w:cs="Arial"/>
          <w:sz w:val="20"/>
          <w:szCs w:val="20"/>
        </w:rPr>
      </w:pPr>
      <w:r w:rsidRPr="00AC4AEA">
        <w:rPr>
          <w:rFonts w:ascii="Arial" w:hAnsi="Arial" w:cs="Arial"/>
          <w:sz w:val="20"/>
          <w:szCs w:val="20"/>
        </w:rPr>
        <w:t xml:space="preserve">las notas, con un resumen de las </w:t>
      </w:r>
      <w:r w:rsidR="00135084" w:rsidRPr="00AC4AEA">
        <w:rPr>
          <w:rFonts w:ascii="Arial" w:hAnsi="Arial" w:cs="Arial"/>
          <w:b/>
          <w:bCs/>
          <w:sz w:val="20"/>
          <w:szCs w:val="20"/>
        </w:rPr>
        <w:t>políticas contables</w:t>
      </w:r>
      <w:r w:rsidRPr="00AC4AEA">
        <w:rPr>
          <w:rFonts w:ascii="Arial" w:hAnsi="Arial" w:cs="Arial"/>
          <w:sz w:val="20"/>
          <w:szCs w:val="20"/>
        </w:rPr>
        <w:t xml:space="preserve"> significativas y cualquier otra información explicativa que permita al conjunto completo satisfacer los </w:t>
      </w:r>
      <w:r w:rsidRPr="00AC4AEA">
        <w:rPr>
          <w:rFonts w:ascii="Arial" w:hAnsi="Arial" w:cs="Arial"/>
          <w:b/>
          <w:bCs/>
          <w:sz w:val="20"/>
          <w:szCs w:val="20"/>
        </w:rPr>
        <w:t xml:space="preserve">requisitos de la información contenida en los </w:t>
      </w:r>
      <w:r w:rsidR="00135084" w:rsidRPr="00AC4AEA">
        <w:rPr>
          <w:rFonts w:ascii="Arial" w:hAnsi="Arial" w:cs="Arial"/>
          <w:b/>
          <w:bCs/>
          <w:sz w:val="20"/>
          <w:szCs w:val="20"/>
        </w:rPr>
        <w:t>estados contables</w:t>
      </w:r>
      <w:r w:rsidRPr="00AC4AEA">
        <w:rPr>
          <w:rFonts w:ascii="Arial" w:hAnsi="Arial" w:cs="Arial"/>
          <w:sz w:val="20"/>
          <w:szCs w:val="20"/>
        </w:rPr>
        <w:t>. </w:t>
      </w:r>
    </w:p>
    <w:p w:rsidR="00293878" w:rsidRPr="00AC4AEA" w:rsidRDefault="00293878" w:rsidP="00A318EA">
      <w:pPr>
        <w:jc w:val="both"/>
        <w:rPr>
          <w:rFonts w:ascii="Arial" w:hAnsi="Arial" w:cs="Arial"/>
          <w:sz w:val="20"/>
          <w:szCs w:val="20"/>
        </w:rPr>
      </w:pPr>
    </w:p>
    <w:p w:rsidR="00293878" w:rsidRPr="00AC4AEA" w:rsidRDefault="00293878" w:rsidP="00A318EA">
      <w:pPr>
        <w:pStyle w:val="Ttulo2"/>
        <w:rPr>
          <w:rFonts w:cs="Arial"/>
        </w:rPr>
      </w:pPr>
      <w:bookmarkStart w:id="1009" w:name="_Toc101864039"/>
      <w:bookmarkStart w:id="1010" w:name="_Toc139356939"/>
      <w:r w:rsidRPr="00AC4AEA">
        <w:rPr>
          <w:rFonts w:cs="Arial"/>
        </w:rPr>
        <w:t>Cuestiones referidas al estado de situación patrimonial de entidades sin fines de lucro</w:t>
      </w:r>
      <w:bookmarkEnd w:id="1009"/>
      <w:bookmarkEnd w:id="1010"/>
    </w:p>
    <w:p w:rsidR="00293878" w:rsidRPr="00AC4AEA" w:rsidRDefault="0029387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los fines de presentar el estado de situación patrimonial, una entidad sin fines de lucro aplicará l</w:t>
      </w:r>
      <w:r w:rsidR="00866C45" w:rsidRPr="00AC4AEA">
        <w:rPr>
          <w:rFonts w:ascii="Arial" w:hAnsi="Arial" w:cs="Arial"/>
          <w:sz w:val="20"/>
          <w:szCs w:val="20"/>
        </w:rPr>
        <w:t>o</w:t>
      </w:r>
      <w:r w:rsidRPr="00AC4AEA">
        <w:rPr>
          <w:rFonts w:ascii="Arial" w:hAnsi="Arial" w:cs="Arial"/>
          <w:sz w:val="20"/>
          <w:szCs w:val="20"/>
        </w:rPr>
        <w:t>s requerimientos de esta sección y los establecidos en la sección “</w:t>
      </w:r>
      <w:r w:rsidR="00A478DB" w:rsidRPr="00AC4AEA">
        <w:rPr>
          <w:rFonts w:ascii="Arial" w:hAnsi="Arial" w:cs="Arial"/>
          <w:sz w:val="20"/>
          <w:szCs w:val="20"/>
          <w:u w:val="single"/>
        </w:rPr>
        <w:t>Cuestiones referidas al estado de situación patrimonial</w:t>
      </w:r>
      <w:r w:rsidRPr="00AC4AEA">
        <w:rPr>
          <w:rFonts w:ascii="Arial" w:hAnsi="Arial" w:cs="Arial"/>
          <w:sz w:val="20"/>
          <w:szCs w:val="20"/>
        </w:rPr>
        <w:t>”</w:t>
      </w:r>
      <w:r w:rsidR="00BB31D1" w:rsidRPr="00AC4AEA">
        <w:rPr>
          <w:rFonts w:ascii="Arial" w:hAnsi="Arial" w:cs="Arial"/>
          <w:sz w:val="20"/>
          <w:szCs w:val="20"/>
        </w:rPr>
        <w:t xml:space="preserve"> [ver los párrafos </w:t>
      </w:r>
      <w:fldSimple w:instr=" REF _Ref99491439 \r \h  \* MERGEFORMAT ">
        <w:r w:rsidR="00D33A5D" w:rsidRPr="00D33A5D">
          <w:rPr>
            <w:rFonts w:ascii="Arial" w:hAnsi="Arial" w:cs="Arial"/>
            <w:sz w:val="20"/>
            <w:szCs w:val="20"/>
          </w:rPr>
          <w:t>607</w:t>
        </w:r>
      </w:fldSimple>
      <w:r w:rsidR="005A30E7" w:rsidRPr="00AC4AEA">
        <w:rPr>
          <w:rFonts w:ascii="Arial" w:hAnsi="Arial" w:cs="Arial"/>
          <w:sz w:val="20"/>
          <w:szCs w:val="20"/>
        </w:rPr>
        <w:t xml:space="preserve"> a</w:t>
      </w:r>
      <w:r w:rsidR="0096061C" w:rsidRPr="00AC4AEA">
        <w:rPr>
          <w:rFonts w:ascii="Arial" w:hAnsi="Arial" w:cs="Arial"/>
          <w:sz w:val="20"/>
          <w:szCs w:val="20"/>
        </w:rPr>
        <w:t xml:space="preserve"> </w:t>
      </w:r>
      <w:fldSimple w:instr=" REF _Ref103782875 \r \h  \* MERGEFORMAT ">
        <w:r w:rsidR="00D33A5D" w:rsidRPr="00D33A5D">
          <w:rPr>
            <w:rFonts w:ascii="Arial" w:hAnsi="Arial" w:cs="Arial"/>
            <w:sz w:val="20"/>
            <w:szCs w:val="20"/>
          </w:rPr>
          <w:t>627</w:t>
        </w:r>
      </w:fldSimple>
      <w:r w:rsidR="005A30E7" w:rsidRPr="00AC4AEA">
        <w:rPr>
          <w:rFonts w:ascii="Arial" w:hAnsi="Arial" w:cs="Arial"/>
          <w:sz w:val="20"/>
          <w:szCs w:val="20"/>
        </w:rPr>
        <w:t>]</w:t>
      </w:r>
      <w:r w:rsidRPr="00AC4AEA">
        <w:rPr>
          <w:rFonts w:ascii="Arial" w:hAnsi="Arial" w:cs="Arial"/>
          <w:sz w:val="20"/>
          <w:szCs w:val="20"/>
        </w:rPr>
        <w:t>.</w:t>
      </w:r>
    </w:p>
    <w:p w:rsidR="00293878" w:rsidRPr="00AC4AEA" w:rsidRDefault="00293878" w:rsidP="00A318EA">
      <w:pPr>
        <w:jc w:val="both"/>
        <w:rPr>
          <w:rFonts w:ascii="Arial" w:hAnsi="Arial" w:cs="Arial"/>
          <w:sz w:val="20"/>
          <w:szCs w:val="20"/>
        </w:rPr>
      </w:pPr>
    </w:p>
    <w:p w:rsidR="00293878" w:rsidRPr="00AC4AEA" w:rsidRDefault="00293878" w:rsidP="00A318EA">
      <w:pPr>
        <w:pStyle w:val="Ttulo3"/>
      </w:pPr>
      <w:bookmarkStart w:id="1011" w:name="_Toc101864040"/>
      <w:bookmarkStart w:id="1012" w:name="_Toc139356940"/>
      <w:r w:rsidRPr="00AC4AEA">
        <w:t>Créditos</w:t>
      </w:r>
      <w:bookmarkEnd w:id="1011"/>
      <w:bookmarkEnd w:id="1012"/>
    </w:p>
    <w:p w:rsidR="00293878" w:rsidRPr="00AC4AEA" w:rsidRDefault="0029387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incluirá dentro de </w:t>
      </w:r>
      <w:r w:rsidR="004C4765" w:rsidRPr="00AC4AEA">
        <w:rPr>
          <w:rFonts w:ascii="Arial" w:hAnsi="Arial" w:cs="Arial"/>
          <w:sz w:val="20"/>
          <w:szCs w:val="20"/>
        </w:rPr>
        <w:t>este rubro</w:t>
      </w:r>
      <w:r w:rsidR="00F24BD2" w:rsidRPr="00AC4AEA">
        <w:rPr>
          <w:rFonts w:ascii="Arial" w:hAnsi="Arial" w:cs="Arial"/>
          <w:sz w:val="20"/>
          <w:szCs w:val="20"/>
        </w:rPr>
        <w:t>, entre otros,</w:t>
      </w:r>
      <w:r w:rsidRPr="00AC4AEA">
        <w:rPr>
          <w:rFonts w:ascii="Arial" w:hAnsi="Arial" w:cs="Arial"/>
          <w:sz w:val="20"/>
          <w:szCs w:val="20"/>
        </w:rPr>
        <w:t xml:space="preserve"> los compromisos de subsidios asumidos por autoridades nacionales, provinciales o municipales.</w:t>
      </w:r>
    </w:p>
    <w:p w:rsidR="00293878" w:rsidRPr="00AC4AEA" w:rsidRDefault="00293878"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discriminará los créditos originados</w:t>
      </w:r>
      <w:r w:rsidR="00050AD3" w:rsidRPr="00AC4AEA">
        <w:rPr>
          <w:rFonts w:ascii="Arial" w:hAnsi="Arial" w:cs="Arial"/>
          <w:sz w:val="20"/>
          <w:szCs w:val="20"/>
        </w:rPr>
        <w:t xml:space="preserve"> de forma tal que se pueda identificar su </w:t>
      </w:r>
      <w:r w:rsidR="00002F2A" w:rsidRPr="00AC4AEA">
        <w:rPr>
          <w:rFonts w:ascii="Arial" w:hAnsi="Arial" w:cs="Arial"/>
          <w:sz w:val="20"/>
          <w:szCs w:val="20"/>
        </w:rPr>
        <w:t>naturaleza</w:t>
      </w:r>
      <w:r w:rsidR="00050AD3" w:rsidRPr="00AC4AEA">
        <w:rPr>
          <w:rFonts w:ascii="Arial" w:hAnsi="Arial" w:cs="Arial"/>
          <w:sz w:val="20"/>
          <w:szCs w:val="20"/>
        </w:rPr>
        <w:t xml:space="preserve">. </w:t>
      </w:r>
      <w:r w:rsidR="00334481" w:rsidRPr="00AC4AEA">
        <w:rPr>
          <w:rFonts w:ascii="Arial" w:hAnsi="Arial" w:cs="Arial"/>
          <w:sz w:val="20"/>
          <w:szCs w:val="20"/>
        </w:rPr>
        <w:t>Por ejemplo</w:t>
      </w:r>
      <w:r w:rsidRPr="00AC4AEA">
        <w:rPr>
          <w:rFonts w:ascii="Arial" w:hAnsi="Arial" w:cs="Arial"/>
          <w:sz w:val="20"/>
          <w:szCs w:val="20"/>
        </w:rPr>
        <w:t>:</w:t>
      </w:r>
    </w:p>
    <w:p w:rsidR="00293878" w:rsidRPr="00AC4AEA" w:rsidRDefault="00293878" w:rsidP="00A318EA">
      <w:pPr>
        <w:pStyle w:val="Prrafodelista"/>
        <w:numPr>
          <w:ilvl w:val="0"/>
          <w:numId w:val="295"/>
        </w:numPr>
        <w:ind w:left="1560"/>
        <w:contextualSpacing w:val="0"/>
        <w:jc w:val="both"/>
        <w:rPr>
          <w:rFonts w:ascii="Arial" w:hAnsi="Arial" w:cs="Arial"/>
          <w:sz w:val="20"/>
          <w:szCs w:val="20"/>
        </w:rPr>
      </w:pPr>
      <w:r w:rsidRPr="00AC4AEA">
        <w:rPr>
          <w:rFonts w:ascii="Arial" w:hAnsi="Arial" w:cs="Arial"/>
          <w:sz w:val="20"/>
          <w:szCs w:val="20"/>
        </w:rPr>
        <w:t xml:space="preserve">Cuentas por cobrar a asociados o entidades afiliadas: </w:t>
      </w:r>
    </w:p>
    <w:p w:rsidR="00293878" w:rsidRPr="00AC4AEA" w:rsidRDefault="00293878" w:rsidP="00A318EA">
      <w:pPr>
        <w:pStyle w:val="Prrafodelista"/>
        <w:numPr>
          <w:ilvl w:val="0"/>
          <w:numId w:val="239"/>
        </w:numPr>
        <w:ind w:left="1985"/>
        <w:contextualSpacing w:val="0"/>
        <w:jc w:val="both"/>
        <w:rPr>
          <w:rFonts w:ascii="Arial" w:hAnsi="Arial" w:cs="Arial"/>
          <w:sz w:val="20"/>
          <w:szCs w:val="20"/>
        </w:rPr>
      </w:pPr>
      <w:r w:rsidRPr="00AC4AEA">
        <w:rPr>
          <w:rFonts w:ascii="Arial" w:hAnsi="Arial" w:cs="Arial"/>
          <w:sz w:val="20"/>
          <w:szCs w:val="20"/>
        </w:rPr>
        <w:t>por servicios prestados; y</w:t>
      </w:r>
    </w:p>
    <w:p w:rsidR="00293878" w:rsidRPr="00AC4AEA" w:rsidRDefault="00293878" w:rsidP="00A318EA">
      <w:pPr>
        <w:pStyle w:val="Prrafodelista"/>
        <w:numPr>
          <w:ilvl w:val="0"/>
          <w:numId w:val="239"/>
        </w:numPr>
        <w:ind w:left="1985"/>
        <w:contextualSpacing w:val="0"/>
        <w:jc w:val="both"/>
        <w:rPr>
          <w:rFonts w:ascii="Arial" w:hAnsi="Arial" w:cs="Arial"/>
          <w:sz w:val="20"/>
          <w:szCs w:val="20"/>
        </w:rPr>
      </w:pPr>
      <w:r w:rsidRPr="00AC4AEA">
        <w:rPr>
          <w:rFonts w:ascii="Arial" w:hAnsi="Arial" w:cs="Arial"/>
          <w:sz w:val="20"/>
          <w:szCs w:val="20"/>
        </w:rPr>
        <w:t>cuotas sociales, financiaciones de aranceles especiales, derechos de ingreso, promesas de donación</w:t>
      </w:r>
      <w:r w:rsidR="00866C45" w:rsidRPr="00AC4AEA">
        <w:rPr>
          <w:rFonts w:ascii="Arial" w:hAnsi="Arial" w:cs="Arial"/>
          <w:sz w:val="20"/>
          <w:szCs w:val="20"/>
        </w:rPr>
        <w:t xml:space="preserve"> y</w:t>
      </w:r>
      <w:r w:rsidRPr="00AC4AEA">
        <w:rPr>
          <w:rFonts w:ascii="Arial" w:hAnsi="Arial" w:cs="Arial"/>
          <w:sz w:val="20"/>
          <w:szCs w:val="20"/>
        </w:rPr>
        <w:t xml:space="preserve"> compromisos de aportes</w:t>
      </w:r>
      <w:r w:rsidR="004C4765" w:rsidRPr="00AC4AEA">
        <w:rPr>
          <w:rFonts w:ascii="Arial" w:hAnsi="Arial" w:cs="Arial"/>
          <w:sz w:val="20"/>
          <w:szCs w:val="20"/>
        </w:rPr>
        <w:t>.</w:t>
      </w:r>
    </w:p>
    <w:p w:rsidR="00293878" w:rsidRPr="00AC4AEA" w:rsidRDefault="004C4765" w:rsidP="00A318EA">
      <w:pPr>
        <w:pStyle w:val="Prrafodelista"/>
        <w:numPr>
          <w:ilvl w:val="0"/>
          <w:numId w:val="295"/>
        </w:numPr>
        <w:ind w:left="1560"/>
        <w:contextualSpacing w:val="0"/>
        <w:jc w:val="both"/>
        <w:rPr>
          <w:rFonts w:ascii="Arial" w:hAnsi="Arial" w:cs="Arial"/>
          <w:sz w:val="20"/>
          <w:szCs w:val="20"/>
        </w:rPr>
      </w:pPr>
      <w:r w:rsidRPr="00AC4AEA">
        <w:rPr>
          <w:rFonts w:ascii="Arial" w:hAnsi="Arial" w:cs="Arial"/>
          <w:sz w:val="20"/>
          <w:szCs w:val="20"/>
        </w:rPr>
        <w:t>Cuentas por cobrar a terceros por servicios prestados y derechos a recibir prestaciones de servicio:</w:t>
      </w:r>
    </w:p>
    <w:p w:rsidR="004C4765" w:rsidRPr="00AC4AEA" w:rsidRDefault="00834C1B" w:rsidP="00A318EA">
      <w:pPr>
        <w:pStyle w:val="Prrafodelista"/>
        <w:numPr>
          <w:ilvl w:val="0"/>
          <w:numId w:val="240"/>
        </w:numPr>
        <w:ind w:left="1985"/>
        <w:contextualSpacing w:val="0"/>
        <w:jc w:val="both"/>
        <w:rPr>
          <w:rFonts w:ascii="Arial" w:hAnsi="Arial" w:cs="Arial"/>
          <w:sz w:val="20"/>
          <w:szCs w:val="20"/>
        </w:rPr>
      </w:pPr>
      <w:r w:rsidRPr="00AC4AEA">
        <w:rPr>
          <w:rFonts w:ascii="Arial" w:hAnsi="Arial" w:cs="Arial"/>
          <w:sz w:val="20"/>
          <w:szCs w:val="20"/>
        </w:rPr>
        <w:t>v</w:t>
      </w:r>
      <w:r w:rsidR="004C4765" w:rsidRPr="00AC4AEA">
        <w:rPr>
          <w:rFonts w:ascii="Arial" w:hAnsi="Arial" w:cs="Arial"/>
          <w:sz w:val="20"/>
          <w:szCs w:val="20"/>
        </w:rPr>
        <w:t>inculadas con actividades principales de la entidad; y</w:t>
      </w:r>
    </w:p>
    <w:p w:rsidR="004C4765" w:rsidRPr="00AC4AEA" w:rsidRDefault="00834C1B" w:rsidP="00A318EA">
      <w:pPr>
        <w:pStyle w:val="Prrafodelista"/>
        <w:numPr>
          <w:ilvl w:val="0"/>
          <w:numId w:val="240"/>
        </w:numPr>
        <w:ind w:left="1985"/>
        <w:contextualSpacing w:val="0"/>
        <w:jc w:val="both"/>
        <w:rPr>
          <w:rFonts w:ascii="Arial" w:hAnsi="Arial" w:cs="Arial"/>
          <w:sz w:val="20"/>
          <w:szCs w:val="20"/>
        </w:rPr>
      </w:pPr>
      <w:r w:rsidRPr="00AC4AEA">
        <w:rPr>
          <w:rFonts w:ascii="Arial" w:hAnsi="Arial" w:cs="Arial"/>
          <w:sz w:val="20"/>
          <w:szCs w:val="20"/>
        </w:rPr>
        <w:t>o</w:t>
      </w:r>
      <w:r w:rsidR="004C4765" w:rsidRPr="00AC4AEA">
        <w:rPr>
          <w:rFonts w:ascii="Arial" w:hAnsi="Arial" w:cs="Arial"/>
          <w:sz w:val="20"/>
          <w:szCs w:val="20"/>
        </w:rPr>
        <w:t>tras actividades (tales como publicidad, subsidios, donaciones, depósitos en garantía, etc.)</w:t>
      </w:r>
      <w:r w:rsidR="009619D9" w:rsidRPr="00AC4AEA">
        <w:rPr>
          <w:rFonts w:ascii="Arial" w:hAnsi="Arial" w:cs="Arial"/>
          <w:sz w:val="20"/>
          <w:szCs w:val="20"/>
        </w:rPr>
        <w:t>.</w:t>
      </w:r>
    </w:p>
    <w:p w:rsidR="00334481" w:rsidRPr="00AC4AEA" w:rsidRDefault="00334481"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 </w:t>
      </w:r>
      <w:r w:rsidR="00BA09EC" w:rsidRPr="00AC4AEA">
        <w:rPr>
          <w:rFonts w:ascii="Arial" w:hAnsi="Arial" w:cs="Arial"/>
          <w:sz w:val="20"/>
          <w:szCs w:val="20"/>
        </w:rPr>
        <w:t>continuación,</w:t>
      </w:r>
      <w:r w:rsidRPr="00AC4AEA">
        <w:rPr>
          <w:rFonts w:ascii="Arial" w:hAnsi="Arial" w:cs="Arial"/>
          <w:sz w:val="20"/>
          <w:szCs w:val="20"/>
        </w:rPr>
        <w:t xml:space="preserve"> se proporcionan ejemplos de discriminación de créditos según su </w:t>
      </w:r>
      <w:r w:rsidR="00002F2A" w:rsidRPr="00AC4AEA">
        <w:rPr>
          <w:rFonts w:ascii="Arial" w:hAnsi="Arial" w:cs="Arial"/>
          <w:sz w:val="20"/>
          <w:szCs w:val="20"/>
        </w:rPr>
        <w:t>naturaleza</w:t>
      </w:r>
      <w:r w:rsidRPr="00AC4AEA">
        <w:rPr>
          <w:rFonts w:ascii="Arial" w:hAnsi="Arial" w:cs="Arial"/>
          <w:sz w:val="20"/>
          <w:szCs w:val="20"/>
        </w:rPr>
        <w:t>, que resultan de aplicar el párrafo anterior:</w:t>
      </w:r>
    </w:p>
    <w:p w:rsidR="00293878" w:rsidRPr="00AC4AEA" w:rsidRDefault="004C4765" w:rsidP="00A318EA">
      <w:pPr>
        <w:pStyle w:val="Prrafodelista"/>
        <w:numPr>
          <w:ilvl w:val="0"/>
          <w:numId w:val="241"/>
        </w:numPr>
        <w:ind w:left="1560"/>
        <w:contextualSpacing w:val="0"/>
        <w:jc w:val="both"/>
        <w:rPr>
          <w:rFonts w:ascii="Arial" w:hAnsi="Arial" w:cs="Arial"/>
          <w:sz w:val="20"/>
          <w:szCs w:val="20"/>
        </w:rPr>
      </w:pPr>
      <w:r w:rsidRPr="00AC4AEA">
        <w:rPr>
          <w:rFonts w:ascii="Arial" w:hAnsi="Arial" w:cs="Arial"/>
          <w:sz w:val="20"/>
          <w:szCs w:val="20"/>
        </w:rPr>
        <w:t>Una entidad que es un club deportivo reconocerá créditos como los siguientes</w:t>
      </w:r>
      <w:r w:rsidR="00F24BD2" w:rsidRPr="00AC4AEA">
        <w:rPr>
          <w:rFonts w:ascii="Arial" w:hAnsi="Arial" w:cs="Arial"/>
          <w:sz w:val="20"/>
          <w:szCs w:val="20"/>
        </w:rPr>
        <w:t>:</w:t>
      </w:r>
    </w:p>
    <w:p w:rsidR="004C4765" w:rsidRPr="00AC4AEA" w:rsidRDefault="004C4765" w:rsidP="00A318EA">
      <w:pPr>
        <w:pStyle w:val="Prrafodelista"/>
        <w:numPr>
          <w:ilvl w:val="0"/>
          <w:numId w:val="383"/>
        </w:numPr>
        <w:ind w:left="1985"/>
        <w:contextualSpacing w:val="0"/>
        <w:jc w:val="both"/>
        <w:rPr>
          <w:rFonts w:ascii="Arial" w:hAnsi="Arial" w:cs="Arial"/>
          <w:sz w:val="20"/>
          <w:szCs w:val="20"/>
        </w:rPr>
      </w:pPr>
      <w:r w:rsidRPr="00AC4AEA">
        <w:rPr>
          <w:rFonts w:ascii="Arial" w:hAnsi="Arial" w:cs="Arial"/>
          <w:sz w:val="20"/>
          <w:szCs w:val="20"/>
        </w:rPr>
        <w:t>Cuota</w:t>
      </w:r>
      <w:r w:rsidR="009476D6" w:rsidRPr="00AC4AEA">
        <w:rPr>
          <w:rFonts w:ascii="Arial" w:hAnsi="Arial" w:cs="Arial"/>
          <w:sz w:val="20"/>
          <w:szCs w:val="20"/>
        </w:rPr>
        <w:t>s</w:t>
      </w:r>
      <w:r w:rsidRPr="00AC4AEA">
        <w:rPr>
          <w:rFonts w:ascii="Arial" w:hAnsi="Arial" w:cs="Arial"/>
          <w:sz w:val="20"/>
          <w:szCs w:val="20"/>
        </w:rPr>
        <w:t xml:space="preserve"> sociales </w:t>
      </w:r>
      <w:r w:rsidR="00474F9B" w:rsidRPr="00AC4AEA">
        <w:rPr>
          <w:rFonts w:ascii="Arial" w:hAnsi="Arial" w:cs="Arial"/>
          <w:sz w:val="20"/>
          <w:szCs w:val="20"/>
        </w:rPr>
        <w:t>por</w:t>
      </w:r>
      <w:r w:rsidRPr="00AC4AEA">
        <w:rPr>
          <w:rFonts w:ascii="Arial" w:hAnsi="Arial" w:cs="Arial"/>
          <w:sz w:val="20"/>
          <w:szCs w:val="20"/>
        </w:rPr>
        <w:t xml:space="preserve"> cobrar.</w:t>
      </w:r>
    </w:p>
    <w:p w:rsidR="004C4765" w:rsidRPr="00AC4AEA" w:rsidRDefault="004C4765" w:rsidP="00A318EA">
      <w:pPr>
        <w:pStyle w:val="Prrafodelista"/>
        <w:numPr>
          <w:ilvl w:val="0"/>
          <w:numId w:val="383"/>
        </w:numPr>
        <w:ind w:left="1985"/>
        <w:contextualSpacing w:val="0"/>
        <w:jc w:val="both"/>
        <w:rPr>
          <w:rFonts w:ascii="Arial" w:hAnsi="Arial" w:cs="Arial"/>
          <w:sz w:val="20"/>
          <w:szCs w:val="20"/>
        </w:rPr>
      </w:pPr>
      <w:r w:rsidRPr="00AC4AEA">
        <w:rPr>
          <w:rFonts w:ascii="Arial" w:hAnsi="Arial" w:cs="Arial"/>
          <w:sz w:val="20"/>
          <w:szCs w:val="20"/>
        </w:rPr>
        <w:t xml:space="preserve">Cuotas </w:t>
      </w:r>
      <w:r w:rsidR="00474F9B" w:rsidRPr="00AC4AEA">
        <w:rPr>
          <w:rFonts w:ascii="Arial" w:hAnsi="Arial" w:cs="Arial"/>
          <w:sz w:val="20"/>
          <w:szCs w:val="20"/>
        </w:rPr>
        <w:t>por</w:t>
      </w:r>
      <w:r w:rsidRPr="00AC4AEA">
        <w:rPr>
          <w:rFonts w:ascii="Arial" w:hAnsi="Arial" w:cs="Arial"/>
          <w:sz w:val="20"/>
          <w:szCs w:val="20"/>
        </w:rPr>
        <w:t xml:space="preserve"> cobrar por facilidades.</w:t>
      </w:r>
    </w:p>
    <w:p w:rsidR="004C4765" w:rsidRPr="00AC4AEA" w:rsidRDefault="004C4765" w:rsidP="00A318EA">
      <w:pPr>
        <w:pStyle w:val="Prrafodelista"/>
        <w:numPr>
          <w:ilvl w:val="0"/>
          <w:numId w:val="383"/>
        </w:numPr>
        <w:ind w:left="1985"/>
        <w:contextualSpacing w:val="0"/>
        <w:jc w:val="both"/>
        <w:rPr>
          <w:rFonts w:ascii="Arial" w:hAnsi="Arial" w:cs="Arial"/>
          <w:sz w:val="20"/>
          <w:szCs w:val="20"/>
        </w:rPr>
      </w:pPr>
      <w:r w:rsidRPr="00AC4AEA">
        <w:rPr>
          <w:rFonts w:ascii="Arial" w:hAnsi="Arial" w:cs="Arial"/>
          <w:sz w:val="20"/>
          <w:szCs w:val="20"/>
        </w:rPr>
        <w:t>Aranceles a percibir.</w:t>
      </w:r>
    </w:p>
    <w:p w:rsidR="004C4765" w:rsidRPr="00AC4AEA" w:rsidRDefault="004C4765" w:rsidP="00A318EA">
      <w:pPr>
        <w:pStyle w:val="Prrafodelista"/>
        <w:numPr>
          <w:ilvl w:val="0"/>
          <w:numId w:val="241"/>
        </w:numPr>
        <w:ind w:left="1560"/>
        <w:contextualSpacing w:val="0"/>
        <w:jc w:val="both"/>
        <w:rPr>
          <w:rFonts w:ascii="Arial" w:hAnsi="Arial" w:cs="Arial"/>
          <w:sz w:val="20"/>
          <w:szCs w:val="20"/>
        </w:rPr>
      </w:pPr>
      <w:r w:rsidRPr="00AC4AEA">
        <w:rPr>
          <w:rFonts w:ascii="Arial" w:hAnsi="Arial" w:cs="Arial"/>
          <w:sz w:val="20"/>
          <w:szCs w:val="20"/>
        </w:rPr>
        <w:lastRenderedPageBreak/>
        <w:t>Una entidad que es una institución educativa reconocerá créditos como los siguientes</w:t>
      </w:r>
      <w:r w:rsidR="00F24BD2" w:rsidRPr="00AC4AEA">
        <w:rPr>
          <w:rFonts w:ascii="Arial" w:hAnsi="Arial" w:cs="Arial"/>
          <w:sz w:val="20"/>
          <w:szCs w:val="20"/>
        </w:rPr>
        <w:t>:</w:t>
      </w:r>
    </w:p>
    <w:p w:rsidR="004C4765" w:rsidRPr="00AC4AEA" w:rsidRDefault="004C4765" w:rsidP="00A318EA">
      <w:pPr>
        <w:pStyle w:val="Prrafodelista"/>
        <w:numPr>
          <w:ilvl w:val="0"/>
          <w:numId w:val="384"/>
        </w:numPr>
        <w:ind w:left="1985"/>
        <w:contextualSpacing w:val="0"/>
        <w:jc w:val="both"/>
        <w:rPr>
          <w:rFonts w:ascii="Arial" w:hAnsi="Arial" w:cs="Arial"/>
          <w:sz w:val="20"/>
          <w:szCs w:val="20"/>
        </w:rPr>
      </w:pPr>
      <w:r w:rsidRPr="00AC4AEA">
        <w:rPr>
          <w:rFonts w:ascii="Arial" w:hAnsi="Arial" w:cs="Arial"/>
          <w:sz w:val="20"/>
          <w:szCs w:val="20"/>
        </w:rPr>
        <w:t>Deudores por servicios de enseñanza.</w:t>
      </w:r>
    </w:p>
    <w:p w:rsidR="004C4765" w:rsidRPr="00AC4AEA" w:rsidRDefault="004C4765" w:rsidP="00A318EA">
      <w:pPr>
        <w:pStyle w:val="Prrafodelista"/>
        <w:numPr>
          <w:ilvl w:val="0"/>
          <w:numId w:val="384"/>
        </w:numPr>
        <w:ind w:left="1985"/>
        <w:contextualSpacing w:val="0"/>
        <w:jc w:val="both"/>
        <w:rPr>
          <w:rFonts w:ascii="Arial" w:hAnsi="Arial" w:cs="Arial"/>
          <w:sz w:val="20"/>
          <w:szCs w:val="20"/>
        </w:rPr>
      </w:pPr>
      <w:r w:rsidRPr="00AC4AEA">
        <w:rPr>
          <w:rFonts w:ascii="Arial" w:hAnsi="Arial" w:cs="Arial"/>
          <w:sz w:val="20"/>
          <w:szCs w:val="20"/>
        </w:rPr>
        <w:t xml:space="preserve">Matrículas </w:t>
      </w:r>
      <w:r w:rsidR="00474F9B" w:rsidRPr="00AC4AEA">
        <w:rPr>
          <w:rFonts w:ascii="Arial" w:hAnsi="Arial" w:cs="Arial"/>
          <w:sz w:val="20"/>
          <w:szCs w:val="20"/>
        </w:rPr>
        <w:t xml:space="preserve">por </w:t>
      </w:r>
      <w:r w:rsidRPr="00AC4AEA">
        <w:rPr>
          <w:rFonts w:ascii="Arial" w:hAnsi="Arial" w:cs="Arial"/>
          <w:sz w:val="20"/>
          <w:szCs w:val="20"/>
        </w:rPr>
        <w:t>cobrar.</w:t>
      </w:r>
    </w:p>
    <w:p w:rsidR="004C4765" w:rsidRPr="00AC4AEA" w:rsidRDefault="004C4765" w:rsidP="00A318EA">
      <w:pPr>
        <w:pStyle w:val="Prrafodelista"/>
        <w:numPr>
          <w:ilvl w:val="0"/>
          <w:numId w:val="384"/>
        </w:numPr>
        <w:ind w:left="1985"/>
        <w:contextualSpacing w:val="0"/>
        <w:jc w:val="both"/>
        <w:rPr>
          <w:rFonts w:ascii="Arial" w:hAnsi="Arial" w:cs="Arial"/>
          <w:sz w:val="20"/>
          <w:szCs w:val="20"/>
          <w:lang w:val="pt-BR"/>
        </w:rPr>
      </w:pPr>
      <w:r w:rsidRPr="00AC4AEA">
        <w:rPr>
          <w:rFonts w:ascii="Arial" w:hAnsi="Arial" w:cs="Arial"/>
          <w:sz w:val="20"/>
          <w:szCs w:val="20"/>
          <w:lang w:val="pt-BR"/>
        </w:rPr>
        <w:t xml:space="preserve">Cuotas </w:t>
      </w:r>
      <w:r w:rsidR="00474F9B" w:rsidRPr="00AC4AEA">
        <w:rPr>
          <w:rFonts w:ascii="Arial" w:hAnsi="Arial" w:cs="Arial"/>
          <w:sz w:val="20"/>
          <w:szCs w:val="20"/>
          <w:lang w:val="pt-BR"/>
        </w:rPr>
        <w:t>por</w:t>
      </w:r>
      <w:r w:rsidRPr="00AC4AEA">
        <w:rPr>
          <w:rFonts w:ascii="Arial" w:hAnsi="Arial" w:cs="Arial"/>
          <w:sz w:val="20"/>
          <w:szCs w:val="20"/>
          <w:lang w:val="pt-BR"/>
        </w:rPr>
        <w:t xml:space="preserve"> cobrar de biblioteca.</w:t>
      </w:r>
    </w:p>
    <w:p w:rsidR="004C4765" w:rsidRPr="00AC4AEA" w:rsidRDefault="004C4765" w:rsidP="00A318EA">
      <w:pPr>
        <w:pStyle w:val="Prrafodelista"/>
        <w:numPr>
          <w:ilvl w:val="0"/>
          <w:numId w:val="241"/>
        </w:numPr>
        <w:ind w:left="1560"/>
        <w:contextualSpacing w:val="0"/>
        <w:jc w:val="both"/>
        <w:rPr>
          <w:rFonts w:ascii="Arial" w:hAnsi="Arial" w:cs="Arial"/>
          <w:sz w:val="20"/>
          <w:szCs w:val="20"/>
        </w:rPr>
      </w:pPr>
      <w:r w:rsidRPr="00AC4AEA">
        <w:rPr>
          <w:rFonts w:ascii="Arial" w:hAnsi="Arial" w:cs="Arial"/>
          <w:sz w:val="20"/>
          <w:szCs w:val="20"/>
          <w:lang w:val="pt-BR"/>
        </w:rPr>
        <w:t xml:space="preserve"> </w:t>
      </w:r>
      <w:r w:rsidRPr="00AC4AEA">
        <w:rPr>
          <w:rFonts w:ascii="Arial" w:hAnsi="Arial" w:cs="Arial"/>
          <w:sz w:val="20"/>
          <w:szCs w:val="20"/>
        </w:rPr>
        <w:t>Una entidad que es un sindicato reconocerá créditos como los siguientes</w:t>
      </w:r>
      <w:r w:rsidR="00F24BD2" w:rsidRPr="00AC4AEA">
        <w:rPr>
          <w:rFonts w:ascii="Arial" w:hAnsi="Arial" w:cs="Arial"/>
          <w:sz w:val="20"/>
          <w:szCs w:val="20"/>
        </w:rPr>
        <w:t>:</w:t>
      </w:r>
    </w:p>
    <w:p w:rsidR="004C4765" w:rsidRPr="00AC4AEA" w:rsidRDefault="004C4765" w:rsidP="00A318EA">
      <w:pPr>
        <w:pStyle w:val="Prrafodelista"/>
        <w:numPr>
          <w:ilvl w:val="0"/>
          <w:numId w:val="385"/>
        </w:numPr>
        <w:ind w:left="1985"/>
        <w:contextualSpacing w:val="0"/>
        <w:jc w:val="both"/>
        <w:rPr>
          <w:rFonts w:ascii="Arial" w:hAnsi="Arial" w:cs="Arial"/>
          <w:sz w:val="20"/>
          <w:szCs w:val="20"/>
        </w:rPr>
      </w:pPr>
      <w:r w:rsidRPr="00AC4AEA">
        <w:rPr>
          <w:rFonts w:ascii="Arial" w:hAnsi="Arial" w:cs="Arial"/>
          <w:sz w:val="20"/>
          <w:szCs w:val="20"/>
        </w:rPr>
        <w:t xml:space="preserve">Aportes </w:t>
      </w:r>
      <w:r w:rsidR="00F24BD2" w:rsidRPr="00AC4AEA">
        <w:rPr>
          <w:rFonts w:ascii="Arial" w:hAnsi="Arial" w:cs="Arial"/>
          <w:sz w:val="20"/>
          <w:szCs w:val="20"/>
        </w:rPr>
        <w:t xml:space="preserve">de empresas </w:t>
      </w:r>
      <w:r w:rsidRPr="00AC4AEA">
        <w:rPr>
          <w:rFonts w:ascii="Arial" w:hAnsi="Arial" w:cs="Arial"/>
          <w:sz w:val="20"/>
          <w:szCs w:val="20"/>
        </w:rPr>
        <w:t xml:space="preserve">a </w:t>
      </w:r>
      <w:r w:rsidR="00F24BD2" w:rsidRPr="00AC4AEA">
        <w:rPr>
          <w:rFonts w:ascii="Arial" w:hAnsi="Arial" w:cs="Arial"/>
          <w:sz w:val="20"/>
          <w:szCs w:val="20"/>
        </w:rPr>
        <w:t>cobrar.</w:t>
      </w:r>
    </w:p>
    <w:p w:rsidR="004C4765" w:rsidRPr="00AC4AEA" w:rsidRDefault="004C4765" w:rsidP="00A318EA">
      <w:pPr>
        <w:pStyle w:val="Prrafodelista"/>
        <w:numPr>
          <w:ilvl w:val="0"/>
          <w:numId w:val="385"/>
        </w:numPr>
        <w:ind w:left="1985"/>
        <w:contextualSpacing w:val="0"/>
        <w:jc w:val="both"/>
        <w:rPr>
          <w:rFonts w:ascii="Arial" w:hAnsi="Arial" w:cs="Arial"/>
          <w:sz w:val="20"/>
          <w:szCs w:val="20"/>
        </w:rPr>
      </w:pPr>
      <w:r w:rsidRPr="00AC4AEA">
        <w:rPr>
          <w:rFonts w:ascii="Arial" w:hAnsi="Arial" w:cs="Arial"/>
          <w:sz w:val="20"/>
          <w:szCs w:val="20"/>
        </w:rPr>
        <w:t xml:space="preserve">Cuotas mensuales </w:t>
      </w:r>
      <w:r w:rsidR="00474F9B" w:rsidRPr="00AC4AEA">
        <w:rPr>
          <w:rFonts w:ascii="Arial" w:hAnsi="Arial" w:cs="Arial"/>
          <w:sz w:val="20"/>
          <w:szCs w:val="20"/>
        </w:rPr>
        <w:t>por</w:t>
      </w:r>
      <w:r w:rsidRPr="00AC4AEA">
        <w:rPr>
          <w:rFonts w:ascii="Arial" w:hAnsi="Arial" w:cs="Arial"/>
          <w:sz w:val="20"/>
          <w:szCs w:val="20"/>
        </w:rPr>
        <w:t xml:space="preserve"> cobrar.</w:t>
      </w:r>
    </w:p>
    <w:p w:rsidR="004C4765" w:rsidRPr="00AC4AEA" w:rsidRDefault="004C4765" w:rsidP="00A318EA">
      <w:pPr>
        <w:pStyle w:val="Prrafodelista"/>
        <w:numPr>
          <w:ilvl w:val="0"/>
          <w:numId w:val="385"/>
        </w:numPr>
        <w:ind w:left="1985"/>
        <w:contextualSpacing w:val="0"/>
        <w:jc w:val="both"/>
        <w:rPr>
          <w:rFonts w:ascii="Arial" w:hAnsi="Arial" w:cs="Arial"/>
          <w:sz w:val="20"/>
          <w:szCs w:val="20"/>
        </w:rPr>
      </w:pPr>
      <w:r w:rsidRPr="00AC4AEA">
        <w:rPr>
          <w:rFonts w:ascii="Arial" w:hAnsi="Arial" w:cs="Arial"/>
          <w:sz w:val="20"/>
          <w:szCs w:val="20"/>
        </w:rPr>
        <w:t xml:space="preserve">Subsidios </w:t>
      </w:r>
      <w:r w:rsidR="00474F9B" w:rsidRPr="00AC4AEA">
        <w:rPr>
          <w:rFonts w:ascii="Arial" w:hAnsi="Arial" w:cs="Arial"/>
          <w:sz w:val="20"/>
          <w:szCs w:val="20"/>
        </w:rPr>
        <w:t>pendientes de recepción</w:t>
      </w:r>
      <w:r w:rsidRPr="00AC4AEA">
        <w:rPr>
          <w:rFonts w:ascii="Arial" w:hAnsi="Arial" w:cs="Arial"/>
          <w:sz w:val="20"/>
          <w:szCs w:val="20"/>
        </w:rPr>
        <w:t>.</w:t>
      </w:r>
    </w:p>
    <w:p w:rsidR="004C4765" w:rsidRPr="00AC4AEA" w:rsidRDefault="004C4765" w:rsidP="00A318EA">
      <w:pPr>
        <w:pStyle w:val="Prrafodelista"/>
        <w:numPr>
          <w:ilvl w:val="0"/>
          <w:numId w:val="241"/>
        </w:numPr>
        <w:ind w:left="1560"/>
        <w:contextualSpacing w:val="0"/>
        <w:jc w:val="both"/>
        <w:rPr>
          <w:rFonts w:ascii="Arial" w:hAnsi="Arial" w:cs="Arial"/>
          <w:sz w:val="20"/>
          <w:szCs w:val="20"/>
        </w:rPr>
      </w:pPr>
      <w:r w:rsidRPr="00AC4AEA">
        <w:rPr>
          <w:rFonts w:ascii="Arial" w:hAnsi="Arial" w:cs="Arial"/>
          <w:sz w:val="20"/>
          <w:szCs w:val="20"/>
        </w:rPr>
        <w:t>Una entidad que presta servicios vinculados con la salud reconocerá créditos como los siguientes</w:t>
      </w:r>
    </w:p>
    <w:p w:rsidR="004C4765" w:rsidRPr="00AC4AEA" w:rsidRDefault="004C4765" w:rsidP="00A318EA">
      <w:pPr>
        <w:pStyle w:val="Prrafodelista"/>
        <w:numPr>
          <w:ilvl w:val="0"/>
          <w:numId w:val="386"/>
        </w:numPr>
        <w:ind w:left="1985"/>
        <w:contextualSpacing w:val="0"/>
        <w:jc w:val="both"/>
        <w:rPr>
          <w:rFonts w:ascii="Arial" w:hAnsi="Arial" w:cs="Arial"/>
          <w:sz w:val="20"/>
          <w:szCs w:val="20"/>
        </w:rPr>
      </w:pPr>
      <w:r w:rsidRPr="00AC4AEA">
        <w:rPr>
          <w:rFonts w:ascii="Arial" w:hAnsi="Arial" w:cs="Arial"/>
          <w:sz w:val="20"/>
          <w:szCs w:val="20"/>
        </w:rPr>
        <w:t>Cuentas</w:t>
      </w:r>
      <w:r w:rsidR="00474F9B" w:rsidRPr="00AC4AEA">
        <w:rPr>
          <w:rFonts w:ascii="Arial" w:hAnsi="Arial" w:cs="Arial"/>
          <w:sz w:val="20"/>
          <w:szCs w:val="20"/>
        </w:rPr>
        <w:t xml:space="preserve"> por</w:t>
      </w:r>
      <w:r w:rsidRPr="00AC4AEA">
        <w:rPr>
          <w:rFonts w:ascii="Arial" w:hAnsi="Arial" w:cs="Arial"/>
          <w:sz w:val="20"/>
          <w:szCs w:val="20"/>
        </w:rPr>
        <w:t xml:space="preserve"> cobrar</w:t>
      </w:r>
      <w:r w:rsidR="00474F9B" w:rsidRPr="00AC4AEA">
        <w:rPr>
          <w:rFonts w:ascii="Arial" w:hAnsi="Arial" w:cs="Arial"/>
          <w:sz w:val="20"/>
          <w:szCs w:val="20"/>
        </w:rPr>
        <w:t xml:space="preserve"> </w:t>
      </w:r>
      <w:r w:rsidRPr="00AC4AEA">
        <w:rPr>
          <w:rFonts w:ascii="Arial" w:hAnsi="Arial" w:cs="Arial"/>
          <w:sz w:val="20"/>
          <w:szCs w:val="20"/>
        </w:rPr>
        <w:t>a pacientes.</w:t>
      </w:r>
    </w:p>
    <w:p w:rsidR="004C4765" w:rsidRPr="00AC4AEA" w:rsidRDefault="004C4765" w:rsidP="00A318EA">
      <w:pPr>
        <w:pStyle w:val="Prrafodelista"/>
        <w:numPr>
          <w:ilvl w:val="0"/>
          <w:numId w:val="386"/>
        </w:numPr>
        <w:ind w:left="1985"/>
        <w:contextualSpacing w:val="0"/>
        <w:jc w:val="both"/>
        <w:rPr>
          <w:rFonts w:ascii="Arial" w:hAnsi="Arial" w:cs="Arial"/>
          <w:sz w:val="20"/>
          <w:szCs w:val="20"/>
        </w:rPr>
      </w:pPr>
      <w:r w:rsidRPr="00AC4AEA">
        <w:rPr>
          <w:rFonts w:ascii="Arial" w:hAnsi="Arial" w:cs="Arial"/>
          <w:sz w:val="20"/>
          <w:szCs w:val="20"/>
        </w:rPr>
        <w:t>Deudores por cuotas de medicina mensual.</w:t>
      </w:r>
    </w:p>
    <w:p w:rsidR="004C4765" w:rsidRPr="00AC4AEA" w:rsidRDefault="004C4765" w:rsidP="00A318EA">
      <w:pPr>
        <w:pStyle w:val="Prrafodelista"/>
        <w:numPr>
          <w:ilvl w:val="0"/>
          <w:numId w:val="386"/>
        </w:numPr>
        <w:ind w:left="1985"/>
        <w:contextualSpacing w:val="0"/>
        <w:jc w:val="both"/>
        <w:rPr>
          <w:rFonts w:ascii="Arial" w:hAnsi="Arial" w:cs="Arial"/>
          <w:sz w:val="20"/>
          <w:szCs w:val="20"/>
        </w:rPr>
      </w:pPr>
      <w:r w:rsidRPr="00AC4AEA">
        <w:rPr>
          <w:rFonts w:ascii="Arial" w:hAnsi="Arial" w:cs="Arial"/>
          <w:sz w:val="20"/>
          <w:szCs w:val="20"/>
        </w:rPr>
        <w:t>Prestaciones a obras sociales a percibir.</w:t>
      </w:r>
    </w:p>
    <w:p w:rsidR="00293878" w:rsidRPr="00AC4AEA" w:rsidRDefault="00293878" w:rsidP="00A318EA">
      <w:pPr>
        <w:jc w:val="both"/>
        <w:rPr>
          <w:rFonts w:ascii="Arial" w:hAnsi="Arial" w:cs="Arial"/>
          <w:sz w:val="20"/>
          <w:szCs w:val="20"/>
        </w:rPr>
      </w:pPr>
    </w:p>
    <w:p w:rsidR="004C4765" w:rsidRPr="00AC4AEA" w:rsidRDefault="004C4765" w:rsidP="00A318EA">
      <w:pPr>
        <w:pStyle w:val="Ttulo3"/>
      </w:pPr>
      <w:bookmarkStart w:id="1013" w:name="_Toc101864041"/>
      <w:bookmarkStart w:id="1014" w:name="_Toc139356941"/>
      <w:r w:rsidRPr="00AC4AEA">
        <w:t>Bienes para consumo o comercialización</w:t>
      </w:r>
      <w:bookmarkEnd w:id="1013"/>
      <w:bookmarkEnd w:id="1014"/>
    </w:p>
    <w:p w:rsidR="004C4765" w:rsidRPr="00AC4AEA" w:rsidRDefault="004C4765" w:rsidP="00A318EA">
      <w:pPr>
        <w:pStyle w:val="Prrafodelista"/>
        <w:numPr>
          <w:ilvl w:val="0"/>
          <w:numId w:val="29"/>
        </w:numPr>
        <w:contextualSpacing w:val="0"/>
        <w:jc w:val="both"/>
        <w:rPr>
          <w:rFonts w:ascii="Arial" w:hAnsi="Arial" w:cs="Arial"/>
          <w:sz w:val="20"/>
          <w:szCs w:val="20"/>
        </w:rPr>
      </w:pPr>
      <w:bookmarkStart w:id="1015" w:name="_Ref103783423"/>
      <w:r w:rsidRPr="00AC4AEA">
        <w:rPr>
          <w:rFonts w:ascii="Arial" w:hAnsi="Arial" w:cs="Arial"/>
          <w:sz w:val="20"/>
          <w:szCs w:val="20"/>
        </w:rPr>
        <w:t>Una entidad incluirá dentro de este rubro:</w:t>
      </w:r>
      <w:bookmarkEnd w:id="1015"/>
      <w:r w:rsidRPr="00AC4AEA">
        <w:rPr>
          <w:rFonts w:ascii="Arial" w:hAnsi="Arial" w:cs="Arial"/>
          <w:sz w:val="20"/>
          <w:szCs w:val="20"/>
        </w:rPr>
        <w:t xml:space="preserve"> </w:t>
      </w:r>
    </w:p>
    <w:p w:rsidR="004C4765" w:rsidRPr="00AC4AEA" w:rsidRDefault="004C4765" w:rsidP="00A318EA">
      <w:pPr>
        <w:pStyle w:val="Prrafodelista"/>
        <w:numPr>
          <w:ilvl w:val="0"/>
          <w:numId w:val="242"/>
        </w:numPr>
        <w:ind w:left="1560"/>
        <w:contextualSpacing w:val="0"/>
        <w:jc w:val="both"/>
        <w:rPr>
          <w:rFonts w:ascii="Arial" w:hAnsi="Arial" w:cs="Arial"/>
          <w:sz w:val="20"/>
          <w:szCs w:val="20"/>
        </w:rPr>
      </w:pPr>
      <w:r w:rsidRPr="00AC4AEA">
        <w:rPr>
          <w:rFonts w:ascii="Arial" w:hAnsi="Arial" w:cs="Arial"/>
          <w:sz w:val="20"/>
          <w:szCs w:val="20"/>
        </w:rPr>
        <w:t>los bienes destinado</w:t>
      </w:r>
      <w:r w:rsidR="009476D6" w:rsidRPr="00AC4AEA">
        <w:rPr>
          <w:rFonts w:ascii="Arial" w:hAnsi="Arial" w:cs="Arial"/>
          <w:sz w:val="20"/>
          <w:szCs w:val="20"/>
        </w:rPr>
        <w:t>s</w:t>
      </w:r>
      <w:r w:rsidRPr="00AC4AEA">
        <w:rPr>
          <w:rFonts w:ascii="Arial" w:hAnsi="Arial" w:cs="Arial"/>
          <w:sz w:val="20"/>
          <w:szCs w:val="20"/>
        </w:rPr>
        <w:t xml:space="preserve"> a la venta o al consumo en el curso habitual de su actividad; y</w:t>
      </w:r>
    </w:p>
    <w:p w:rsidR="004C4765" w:rsidRPr="00AC4AEA" w:rsidRDefault="004C4765" w:rsidP="00A318EA">
      <w:pPr>
        <w:pStyle w:val="Prrafodelista"/>
        <w:numPr>
          <w:ilvl w:val="0"/>
          <w:numId w:val="242"/>
        </w:numPr>
        <w:ind w:left="1560"/>
        <w:contextualSpacing w:val="0"/>
        <w:jc w:val="both"/>
        <w:rPr>
          <w:rFonts w:ascii="Arial" w:hAnsi="Arial" w:cs="Arial"/>
          <w:sz w:val="20"/>
          <w:szCs w:val="20"/>
        </w:rPr>
      </w:pPr>
      <w:r w:rsidRPr="00AC4AEA">
        <w:rPr>
          <w:rFonts w:ascii="Arial" w:hAnsi="Arial" w:cs="Arial"/>
          <w:sz w:val="20"/>
          <w:szCs w:val="20"/>
        </w:rPr>
        <w:t xml:space="preserve">los anticipos a proveedores por compra de </w:t>
      </w:r>
      <w:r w:rsidR="009476D6" w:rsidRPr="00AC4AEA">
        <w:rPr>
          <w:rFonts w:ascii="Arial" w:hAnsi="Arial" w:cs="Arial"/>
          <w:sz w:val="20"/>
          <w:szCs w:val="20"/>
        </w:rPr>
        <w:t>tales</w:t>
      </w:r>
      <w:r w:rsidRPr="00AC4AEA">
        <w:rPr>
          <w:rFonts w:ascii="Arial" w:hAnsi="Arial" w:cs="Arial"/>
          <w:sz w:val="20"/>
          <w:szCs w:val="20"/>
        </w:rPr>
        <w:t xml:space="preserve"> </w:t>
      </w:r>
      <w:r w:rsidR="00497590" w:rsidRPr="00AC4AEA">
        <w:rPr>
          <w:rFonts w:ascii="Arial" w:hAnsi="Arial" w:cs="Arial"/>
          <w:sz w:val="20"/>
          <w:szCs w:val="20"/>
        </w:rPr>
        <w:t>activos</w:t>
      </w:r>
      <w:r w:rsidRPr="00AC4AEA">
        <w:rPr>
          <w:rFonts w:ascii="Arial" w:hAnsi="Arial" w:cs="Arial"/>
          <w:sz w:val="20"/>
          <w:szCs w:val="20"/>
        </w:rPr>
        <w:t>.</w:t>
      </w:r>
    </w:p>
    <w:p w:rsidR="004C4765" w:rsidRPr="00AC4AEA" w:rsidRDefault="004C4765" w:rsidP="00A318EA">
      <w:pPr>
        <w:pStyle w:val="Prrafodelista"/>
        <w:numPr>
          <w:ilvl w:val="0"/>
          <w:numId w:val="29"/>
        </w:numPr>
        <w:contextualSpacing w:val="0"/>
        <w:jc w:val="both"/>
        <w:rPr>
          <w:rFonts w:ascii="Arial" w:hAnsi="Arial" w:cs="Arial"/>
          <w:sz w:val="20"/>
          <w:szCs w:val="20"/>
        </w:rPr>
      </w:pPr>
      <w:bookmarkStart w:id="1016" w:name="_Ref103783425"/>
      <w:r w:rsidRPr="00AC4AEA">
        <w:rPr>
          <w:rFonts w:ascii="Arial" w:hAnsi="Arial" w:cs="Arial"/>
          <w:sz w:val="20"/>
          <w:szCs w:val="20"/>
        </w:rPr>
        <w:t>Una entidad deberá distinguir entre</w:t>
      </w:r>
      <w:r w:rsidR="009476D6" w:rsidRPr="00AC4AEA">
        <w:rPr>
          <w:rFonts w:ascii="Arial" w:hAnsi="Arial" w:cs="Arial"/>
          <w:sz w:val="20"/>
          <w:szCs w:val="20"/>
        </w:rPr>
        <w:t xml:space="preserve"> existencias:</w:t>
      </w:r>
      <w:bookmarkEnd w:id="1016"/>
    </w:p>
    <w:p w:rsidR="004C4765" w:rsidRPr="00AC4AEA" w:rsidRDefault="004C4765" w:rsidP="00A318EA">
      <w:pPr>
        <w:pStyle w:val="Prrafodelista"/>
        <w:numPr>
          <w:ilvl w:val="0"/>
          <w:numId w:val="243"/>
        </w:numPr>
        <w:ind w:left="1560"/>
        <w:contextualSpacing w:val="0"/>
        <w:jc w:val="both"/>
        <w:rPr>
          <w:rFonts w:ascii="Arial" w:hAnsi="Arial" w:cs="Arial"/>
          <w:sz w:val="20"/>
          <w:szCs w:val="20"/>
        </w:rPr>
      </w:pPr>
      <w:r w:rsidRPr="00AC4AEA">
        <w:rPr>
          <w:rFonts w:ascii="Arial" w:hAnsi="Arial" w:cs="Arial"/>
          <w:sz w:val="20"/>
          <w:szCs w:val="20"/>
        </w:rPr>
        <w:t>de bienes para consumo interno; y</w:t>
      </w:r>
    </w:p>
    <w:p w:rsidR="004C4765" w:rsidRPr="00AC4AEA" w:rsidRDefault="004C4765" w:rsidP="00A318EA">
      <w:pPr>
        <w:pStyle w:val="Prrafodelista"/>
        <w:numPr>
          <w:ilvl w:val="0"/>
          <w:numId w:val="243"/>
        </w:numPr>
        <w:ind w:left="1560"/>
        <w:contextualSpacing w:val="0"/>
        <w:jc w:val="both"/>
        <w:rPr>
          <w:rFonts w:ascii="Arial" w:hAnsi="Arial" w:cs="Arial"/>
          <w:sz w:val="20"/>
          <w:szCs w:val="20"/>
        </w:rPr>
      </w:pPr>
      <w:r w:rsidRPr="00AC4AEA">
        <w:rPr>
          <w:rFonts w:ascii="Arial" w:hAnsi="Arial" w:cs="Arial"/>
          <w:sz w:val="20"/>
          <w:szCs w:val="20"/>
        </w:rPr>
        <w:t>de bienes de cambio para su comercialización.</w:t>
      </w:r>
    </w:p>
    <w:p w:rsidR="00A9328A" w:rsidRPr="00AC4AEA" w:rsidRDefault="00A9328A"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Como ejemplos de los requerimientos establecidos en los párrafos </w:t>
      </w:r>
      <w:fldSimple w:instr=" REF _Ref103783423 \r \h  \* MERGEFORMAT ">
        <w:r w:rsidR="00D33A5D" w:rsidRPr="00D33A5D">
          <w:rPr>
            <w:rFonts w:ascii="Arial" w:hAnsi="Arial" w:cs="Arial"/>
            <w:sz w:val="20"/>
            <w:szCs w:val="20"/>
          </w:rPr>
          <w:t>721</w:t>
        </w:r>
      </w:fldSimple>
      <w:r w:rsidRPr="00AC4AEA">
        <w:rPr>
          <w:rFonts w:ascii="Arial" w:hAnsi="Arial" w:cs="Arial"/>
          <w:sz w:val="20"/>
          <w:szCs w:val="20"/>
        </w:rPr>
        <w:t xml:space="preserve"> y </w:t>
      </w:r>
      <w:fldSimple w:instr=" REF _Ref103783425 \r \h  \* MERGEFORMAT ">
        <w:r w:rsidR="00D33A5D" w:rsidRPr="00D33A5D">
          <w:rPr>
            <w:rFonts w:ascii="Arial" w:hAnsi="Arial" w:cs="Arial"/>
            <w:sz w:val="20"/>
            <w:szCs w:val="20"/>
          </w:rPr>
          <w:t>722</w:t>
        </w:r>
      </w:fldSimple>
      <w:r w:rsidRPr="00AC4AEA">
        <w:rPr>
          <w:rFonts w:ascii="Arial" w:hAnsi="Arial" w:cs="Arial"/>
          <w:sz w:val="20"/>
          <w:szCs w:val="20"/>
        </w:rPr>
        <w:t>, se citan los siguientes:</w:t>
      </w:r>
    </w:p>
    <w:p w:rsidR="00F24BD2" w:rsidRPr="00AC4AEA" w:rsidRDefault="00F24BD2" w:rsidP="00A318EA">
      <w:pPr>
        <w:pStyle w:val="Prrafodelista"/>
        <w:numPr>
          <w:ilvl w:val="0"/>
          <w:numId w:val="387"/>
        </w:numPr>
        <w:ind w:left="1560"/>
        <w:contextualSpacing w:val="0"/>
        <w:jc w:val="both"/>
        <w:rPr>
          <w:rFonts w:ascii="Arial" w:hAnsi="Arial" w:cs="Arial"/>
          <w:sz w:val="20"/>
          <w:szCs w:val="20"/>
        </w:rPr>
      </w:pPr>
      <w:r w:rsidRPr="00AC4AEA">
        <w:rPr>
          <w:rFonts w:ascii="Arial" w:hAnsi="Arial" w:cs="Arial"/>
          <w:sz w:val="20"/>
          <w:szCs w:val="20"/>
        </w:rPr>
        <w:t>Una entidad que es un club deportivo reconocerá dentro de este rubro, entre otros:</w:t>
      </w:r>
    </w:p>
    <w:p w:rsidR="00F24BD2" w:rsidRPr="00AC4AEA" w:rsidRDefault="00F24BD2" w:rsidP="00A318EA">
      <w:pPr>
        <w:pStyle w:val="Prrafodelista"/>
        <w:numPr>
          <w:ilvl w:val="0"/>
          <w:numId w:val="388"/>
        </w:numPr>
        <w:ind w:left="1985"/>
        <w:contextualSpacing w:val="0"/>
        <w:jc w:val="both"/>
        <w:rPr>
          <w:rFonts w:ascii="Arial" w:hAnsi="Arial" w:cs="Arial"/>
          <w:sz w:val="20"/>
          <w:szCs w:val="20"/>
        </w:rPr>
      </w:pPr>
      <w:r w:rsidRPr="00AC4AEA">
        <w:rPr>
          <w:rFonts w:ascii="Arial" w:hAnsi="Arial" w:cs="Arial"/>
          <w:sz w:val="20"/>
          <w:szCs w:val="20"/>
        </w:rPr>
        <w:t>Como bienes destinados al consumo:</w:t>
      </w:r>
    </w:p>
    <w:p w:rsidR="00F24BD2" w:rsidRPr="00AC4AEA" w:rsidRDefault="00F24BD2" w:rsidP="00A318EA">
      <w:pPr>
        <w:pStyle w:val="Prrafodelista"/>
        <w:numPr>
          <w:ilvl w:val="0"/>
          <w:numId w:val="376"/>
        </w:numPr>
        <w:ind w:left="2552" w:hanging="397"/>
        <w:contextualSpacing w:val="0"/>
        <w:jc w:val="both"/>
        <w:rPr>
          <w:rFonts w:ascii="Arial" w:hAnsi="Arial" w:cs="Arial"/>
          <w:sz w:val="20"/>
          <w:szCs w:val="20"/>
        </w:rPr>
      </w:pPr>
      <w:r w:rsidRPr="00AC4AEA">
        <w:rPr>
          <w:rFonts w:ascii="Arial" w:hAnsi="Arial" w:cs="Arial"/>
          <w:sz w:val="20"/>
          <w:szCs w:val="20"/>
        </w:rPr>
        <w:t>Pelotas y balones.</w:t>
      </w:r>
    </w:p>
    <w:p w:rsidR="00F24BD2" w:rsidRPr="00AC4AEA" w:rsidRDefault="00F24BD2" w:rsidP="00A318EA">
      <w:pPr>
        <w:pStyle w:val="Prrafodelista"/>
        <w:numPr>
          <w:ilvl w:val="0"/>
          <w:numId w:val="376"/>
        </w:numPr>
        <w:ind w:left="2552" w:hanging="397"/>
        <w:contextualSpacing w:val="0"/>
        <w:jc w:val="both"/>
        <w:rPr>
          <w:rFonts w:ascii="Arial" w:hAnsi="Arial" w:cs="Arial"/>
          <w:sz w:val="20"/>
          <w:szCs w:val="20"/>
        </w:rPr>
      </w:pPr>
      <w:r w:rsidRPr="00AC4AEA">
        <w:rPr>
          <w:rFonts w:ascii="Arial" w:hAnsi="Arial" w:cs="Arial"/>
          <w:sz w:val="20"/>
          <w:szCs w:val="20"/>
        </w:rPr>
        <w:t>Implementos deportivos.</w:t>
      </w:r>
    </w:p>
    <w:p w:rsidR="004C4765" w:rsidRPr="00AC4AEA" w:rsidRDefault="00F24BD2" w:rsidP="00A318EA">
      <w:pPr>
        <w:pStyle w:val="Prrafodelista"/>
        <w:numPr>
          <w:ilvl w:val="0"/>
          <w:numId w:val="376"/>
        </w:numPr>
        <w:ind w:left="2552" w:hanging="397"/>
        <w:contextualSpacing w:val="0"/>
        <w:jc w:val="both"/>
        <w:rPr>
          <w:rFonts w:ascii="Arial" w:hAnsi="Arial" w:cs="Arial"/>
          <w:sz w:val="20"/>
          <w:szCs w:val="20"/>
        </w:rPr>
      </w:pPr>
      <w:r w:rsidRPr="00AC4AEA">
        <w:rPr>
          <w:rFonts w:ascii="Arial" w:hAnsi="Arial" w:cs="Arial"/>
          <w:sz w:val="20"/>
          <w:szCs w:val="20"/>
        </w:rPr>
        <w:t>Redes.</w:t>
      </w:r>
    </w:p>
    <w:p w:rsidR="00F24BD2" w:rsidRPr="00AC4AEA" w:rsidRDefault="00F24BD2" w:rsidP="00A318EA">
      <w:pPr>
        <w:pStyle w:val="Prrafodelista"/>
        <w:numPr>
          <w:ilvl w:val="0"/>
          <w:numId w:val="388"/>
        </w:numPr>
        <w:ind w:left="1985"/>
        <w:contextualSpacing w:val="0"/>
        <w:jc w:val="both"/>
        <w:rPr>
          <w:rFonts w:ascii="Arial" w:hAnsi="Arial" w:cs="Arial"/>
          <w:sz w:val="20"/>
          <w:szCs w:val="20"/>
        </w:rPr>
      </w:pPr>
      <w:r w:rsidRPr="00AC4AEA">
        <w:rPr>
          <w:rFonts w:ascii="Arial" w:hAnsi="Arial" w:cs="Arial"/>
          <w:sz w:val="20"/>
          <w:szCs w:val="20"/>
        </w:rPr>
        <w:lastRenderedPageBreak/>
        <w:t>Como bienes destinados a la comercialización:</w:t>
      </w:r>
    </w:p>
    <w:p w:rsidR="00F24BD2" w:rsidRPr="00AC4AEA" w:rsidRDefault="00F24BD2" w:rsidP="00A318EA">
      <w:pPr>
        <w:pStyle w:val="Prrafodelista"/>
        <w:numPr>
          <w:ilvl w:val="0"/>
          <w:numId w:val="377"/>
        </w:numPr>
        <w:ind w:left="2552" w:hanging="397"/>
        <w:contextualSpacing w:val="0"/>
        <w:jc w:val="both"/>
        <w:rPr>
          <w:rFonts w:ascii="Arial" w:hAnsi="Arial" w:cs="Arial"/>
          <w:sz w:val="20"/>
          <w:szCs w:val="20"/>
        </w:rPr>
      </w:pPr>
      <w:r w:rsidRPr="00AC4AEA">
        <w:rPr>
          <w:rFonts w:ascii="Arial" w:hAnsi="Arial" w:cs="Arial"/>
          <w:sz w:val="20"/>
          <w:szCs w:val="20"/>
        </w:rPr>
        <w:t>Vestimentas y equipos deportivos.</w:t>
      </w:r>
    </w:p>
    <w:p w:rsidR="00F24BD2" w:rsidRPr="00AC4AEA" w:rsidRDefault="00F24BD2" w:rsidP="00A318EA">
      <w:pPr>
        <w:pStyle w:val="Prrafodelista"/>
        <w:numPr>
          <w:ilvl w:val="0"/>
          <w:numId w:val="377"/>
        </w:numPr>
        <w:ind w:left="2552" w:hanging="397"/>
        <w:contextualSpacing w:val="0"/>
        <w:jc w:val="both"/>
        <w:rPr>
          <w:rFonts w:ascii="Arial" w:hAnsi="Arial" w:cs="Arial"/>
          <w:sz w:val="20"/>
          <w:szCs w:val="20"/>
        </w:rPr>
      </w:pPr>
      <w:r w:rsidRPr="00AC4AEA">
        <w:rPr>
          <w:rFonts w:ascii="Arial" w:hAnsi="Arial" w:cs="Arial"/>
          <w:sz w:val="20"/>
          <w:szCs w:val="20"/>
        </w:rPr>
        <w:t>Artículos para prácticas.</w:t>
      </w:r>
    </w:p>
    <w:p w:rsidR="00F24BD2" w:rsidRPr="00AC4AEA" w:rsidRDefault="00F24BD2" w:rsidP="00A318EA">
      <w:pPr>
        <w:pStyle w:val="Prrafodelista"/>
        <w:numPr>
          <w:ilvl w:val="0"/>
          <w:numId w:val="377"/>
        </w:numPr>
        <w:ind w:left="2552" w:hanging="397"/>
        <w:contextualSpacing w:val="0"/>
        <w:jc w:val="both"/>
        <w:rPr>
          <w:rFonts w:ascii="Arial" w:hAnsi="Arial" w:cs="Arial"/>
          <w:sz w:val="20"/>
          <w:szCs w:val="20"/>
        </w:rPr>
      </w:pPr>
      <w:r w:rsidRPr="00AC4AEA">
        <w:rPr>
          <w:rFonts w:ascii="Arial" w:hAnsi="Arial" w:cs="Arial"/>
          <w:sz w:val="20"/>
          <w:szCs w:val="20"/>
        </w:rPr>
        <w:t>Pelotas de tenis.</w:t>
      </w:r>
    </w:p>
    <w:p w:rsidR="0048235C" w:rsidRPr="00AC4AEA" w:rsidRDefault="0048235C" w:rsidP="00A318EA">
      <w:pPr>
        <w:pStyle w:val="Prrafodelista"/>
        <w:numPr>
          <w:ilvl w:val="0"/>
          <w:numId w:val="387"/>
        </w:numPr>
        <w:ind w:left="1560"/>
        <w:contextualSpacing w:val="0"/>
        <w:jc w:val="both"/>
        <w:rPr>
          <w:rFonts w:ascii="Arial" w:hAnsi="Arial" w:cs="Arial"/>
          <w:sz w:val="20"/>
          <w:szCs w:val="20"/>
        </w:rPr>
      </w:pPr>
      <w:r w:rsidRPr="00AC4AEA">
        <w:rPr>
          <w:rFonts w:ascii="Arial" w:hAnsi="Arial" w:cs="Arial"/>
          <w:sz w:val="20"/>
          <w:szCs w:val="20"/>
        </w:rPr>
        <w:t>Una entidad que presta servicio de salud reconocerá dentro de este rubro, entre otros:</w:t>
      </w:r>
    </w:p>
    <w:p w:rsidR="0048235C" w:rsidRPr="00AC4AEA" w:rsidRDefault="0048235C" w:rsidP="00A318EA">
      <w:pPr>
        <w:pStyle w:val="Prrafodelista"/>
        <w:numPr>
          <w:ilvl w:val="0"/>
          <w:numId w:val="389"/>
        </w:numPr>
        <w:ind w:left="1985"/>
        <w:contextualSpacing w:val="0"/>
        <w:jc w:val="both"/>
        <w:rPr>
          <w:rFonts w:ascii="Arial" w:hAnsi="Arial" w:cs="Arial"/>
          <w:sz w:val="20"/>
          <w:szCs w:val="20"/>
        </w:rPr>
      </w:pPr>
      <w:r w:rsidRPr="00AC4AEA">
        <w:rPr>
          <w:rFonts w:ascii="Arial" w:hAnsi="Arial" w:cs="Arial"/>
          <w:sz w:val="20"/>
          <w:szCs w:val="20"/>
        </w:rPr>
        <w:t>Como bienes destinados al consumo:</w:t>
      </w:r>
    </w:p>
    <w:p w:rsidR="0048235C" w:rsidRPr="00AC4AEA" w:rsidRDefault="0048235C" w:rsidP="00A318EA">
      <w:pPr>
        <w:pStyle w:val="Prrafodelista"/>
        <w:numPr>
          <w:ilvl w:val="0"/>
          <w:numId w:val="378"/>
        </w:numPr>
        <w:ind w:left="2552" w:hanging="397"/>
        <w:contextualSpacing w:val="0"/>
        <w:jc w:val="both"/>
        <w:rPr>
          <w:rFonts w:ascii="Arial" w:hAnsi="Arial" w:cs="Arial"/>
          <w:sz w:val="20"/>
          <w:szCs w:val="20"/>
        </w:rPr>
      </w:pPr>
      <w:r w:rsidRPr="00AC4AEA">
        <w:rPr>
          <w:rFonts w:ascii="Arial" w:hAnsi="Arial" w:cs="Arial"/>
          <w:sz w:val="20"/>
          <w:szCs w:val="20"/>
        </w:rPr>
        <w:t>Drogas y medicinas.</w:t>
      </w:r>
    </w:p>
    <w:p w:rsidR="0048235C" w:rsidRPr="00AC4AEA" w:rsidRDefault="0048235C" w:rsidP="00A318EA">
      <w:pPr>
        <w:pStyle w:val="Prrafodelista"/>
        <w:numPr>
          <w:ilvl w:val="0"/>
          <w:numId w:val="378"/>
        </w:numPr>
        <w:ind w:left="2552" w:hanging="397"/>
        <w:contextualSpacing w:val="0"/>
        <w:jc w:val="both"/>
        <w:rPr>
          <w:rFonts w:ascii="Arial" w:hAnsi="Arial" w:cs="Arial"/>
          <w:sz w:val="20"/>
          <w:szCs w:val="20"/>
        </w:rPr>
      </w:pPr>
      <w:r w:rsidRPr="00AC4AEA">
        <w:rPr>
          <w:rFonts w:ascii="Arial" w:hAnsi="Arial" w:cs="Arial"/>
          <w:sz w:val="20"/>
          <w:szCs w:val="20"/>
        </w:rPr>
        <w:t>Elementos esterilizados.</w:t>
      </w:r>
    </w:p>
    <w:p w:rsidR="0048235C" w:rsidRPr="00AC4AEA" w:rsidRDefault="0048235C" w:rsidP="00A318EA">
      <w:pPr>
        <w:pStyle w:val="Prrafodelista"/>
        <w:numPr>
          <w:ilvl w:val="0"/>
          <w:numId w:val="378"/>
        </w:numPr>
        <w:ind w:left="2552" w:hanging="397"/>
        <w:contextualSpacing w:val="0"/>
        <w:jc w:val="both"/>
        <w:rPr>
          <w:rFonts w:ascii="Arial" w:hAnsi="Arial" w:cs="Arial"/>
          <w:sz w:val="20"/>
          <w:szCs w:val="20"/>
        </w:rPr>
      </w:pPr>
      <w:r w:rsidRPr="00AC4AEA">
        <w:rPr>
          <w:rFonts w:ascii="Arial" w:hAnsi="Arial" w:cs="Arial"/>
          <w:sz w:val="20"/>
          <w:szCs w:val="20"/>
        </w:rPr>
        <w:t>Plasmas y sueros.</w:t>
      </w:r>
    </w:p>
    <w:p w:rsidR="0048235C" w:rsidRPr="00AC4AEA" w:rsidRDefault="0048235C" w:rsidP="00A318EA">
      <w:pPr>
        <w:pStyle w:val="Prrafodelista"/>
        <w:numPr>
          <w:ilvl w:val="0"/>
          <w:numId w:val="389"/>
        </w:numPr>
        <w:ind w:left="1985"/>
        <w:contextualSpacing w:val="0"/>
        <w:jc w:val="both"/>
        <w:rPr>
          <w:rFonts w:ascii="Arial" w:hAnsi="Arial" w:cs="Arial"/>
          <w:sz w:val="20"/>
          <w:szCs w:val="20"/>
        </w:rPr>
      </w:pPr>
      <w:r w:rsidRPr="00AC4AEA">
        <w:rPr>
          <w:rFonts w:ascii="Arial" w:hAnsi="Arial" w:cs="Arial"/>
          <w:sz w:val="20"/>
          <w:szCs w:val="20"/>
        </w:rPr>
        <w:t>Como bienes destinados a la comercialización:</w:t>
      </w:r>
    </w:p>
    <w:p w:rsidR="0048235C" w:rsidRPr="00AC4AEA" w:rsidRDefault="0048235C" w:rsidP="00A318EA">
      <w:pPr>
        <w:pStyle w:val="Prrafodelista"/>
        <w:numPr>
          <w:ilvl w:val="0"/>
          <w:numId w:val="379"/>
        </w:numPr>
        <w:ind w:left="2552" w:hanging="397"/>
        <w:contextualSpacing w:val="0"/>
        <w:jc w:val="both"/>
        <w:rPr>
          <w:rFonts w:ascii="Arial" w:hAnsi="Arial" w:cs="Arial"/>
          <w:sz w:val="20"/>
          <w:szCs w:val="20"/>
        </w:rPr>
      </w:pPr>
      <w:r w:rsidRPr="00AC4AEA">
        <w:rPr>
          <w:rFonts w:ascii="Arial" w:hAnsi="Arial" w:cs="Arial"/>
          <w:sz w:val="20"/>
          <w:szCs w:val="20"/>
        </w:rPr>
        <w:t>Prótesis y ortopedia.</w:t>
      </w:r>
    </w:p>
    <w:p w:rsidR="0048235C" w:rsidRPr="00AC4AEA" w:rsidRDefault="0048235C" w:rsidP="00A318EA">
      <w:pPr>
        <w:pStyle w:val="Prrafodelista"/>
        <w:numPr>
          <w:ilvl w:val="0"/>
          <w:numId w:val="379"/>
        </w:numPr>
        <w:ind w:left="2552" w:hanging="397"/>
        <w:contextualSpacing w:val="0"/>
        <w:jc w:val="both"/>
        <w:rPr>
          <w:rFonts w:ascii="Arial" w:hAnsi="Arial" w:cs="Arial"/>
          <w:sz w:val="20"/>
          <w:szCs w:val="20"/>
        </w:rPr>
      </w:pPr>
      <w:r w:rsidRPr="00AC4AEA">
        <w:rPr>
          <w:rFonts w:ascii="Arial" w:hAnsi="Arial" w:cs="Arial"/>
          <w:sz w:val="20"/>
          <w:szCs w:val="20"/>
        </w:rPr>
        <w:t>Material descartable.</w:t>
      </w:r>
    </w:p>
    <w:p w:rsidR="0048235C" w:rsidRPr="00AC4AEA" w:rsidRDefault="0048235C" w:rsidP="00A318EA">
      <w:pPr>
        <w:pStyle w:val="Prrafodelista"/>
        <w:numPr>
          <w:ilvl w:val="0"/>
          <w:numId w:val="379"/>
        </w:numPr>
        <w:ind w:left="2552" w:hanging="397"/>
        <w:contextualSpacing w:val="0"/>
        <w:jc w:val="both"/>
        <w:rPr>
          <w:rFonts w:ascii="Arial" w:hAnsi="Arial" w:cs="Arial"/>
          <w:sz w:val="20"/>
          <w:szCs w:val="20"/>
        </w:rPr>
      </w:pPr>
      <w:r w:rsidRPr="00AC4AEA">
        <w:rPr>
          <w:rFonts w:ascii="Arial" w:hAnsi="Arial" w:cs="Arial"/>
          <w:sz w:val="20"/>
          <w:szCs w:val="20"/>
        </w:rPr>
        <w:t>Artículos de farmacia.</w:t>
      </w:r>
    </w:p>
    <w:p w:rsidR="00F24BD2" w:rsidRPr="00AC4AEA" w:rsidRDefault="00F24BD2" w:rsidP="00A318EA">
      <w:pPr>
        <w:pStyle w:val="Prrafodelista"/>
        <w:numPr>
          <w:ilvl w:val="0"/>
          <w:numId w:val="387"/>
        </w:numPr>
        <w:ind w:left="1560"/>
        <w:contextualSpacing w:val="0"/>
        <w:jc w:val="both"/>
        <w:rPr>
          <w:rFonts w:ascii="Arial" w:hAnsi="Arial" w:cs="Arial"/>
          <w:sz w:val="20"/>
          <w:szCs w:val="20"/>
        </w:rPr>
      </w:pPr>
      <w:r w:rsidRPr="00AC4AEA">
        <w:rPr>
          <w:rFonts w:ascii="Arial" w:hAnsi="Arial" w:cs="Arial"/>
          <w:sz w:val="20"/>
          <w:szCs w:val="20"/>
        </w:rPr>
        <w:t>Una entidad que es un sindicato reconocerá dentro de este rubro, entre otros:</w:t>
      </w:r>
    </w:p>
    <w:p w:rsidR="00F24BD2" w:rsidRPr="00AC4AEA" w:rsidRDefault="00F24BD2" w:rsidP="00A318EA">
      <w:pPr>
        <w:pStyle w:val="Prrafodelista"/>
        <w:numPr>
          <w:ilvl w:val="0"/>
          <w:numId w:val="390"/>
        </w:numPr>
        <w:ind w:left="1985"/>
        <w:contextualSpacing w:val="0"/>
        <w:jc w:val="both"/>
        <w:rPr>
          <w:rFonts w:ascii="Arial" w:hAnsi="Arial" w:cs="Arial"/>
          <w:sz w:val="20"/>
          <w:szCs w:val="20"/>
        </w:rPr>
      </w:pPr>
      <w:r w:rsidRPr="00AC4AEA">
        <w:rPr>
          <w:rFonts w:ascii="Arial" w:hAnsi="Arial" w:cs="Arial"/>
          <w:sz w:val="20"/>
          <w:szCs w:val="20"/>
        </w:rPr>
        <w:t>Como bienes destinados al consumo:</w:t>
      </w:r>
    </w:p>
    <w:p w:rsidR="00F24BD2" w:rsidRPr="00AC4AEA" w:rsidRDefault="00F24BD2" w:rsidP="00A318EA">
      <w:pPr>
        <w:pStyle w:val="Prrafodelista"/>
        <w:numPr>
          <w:ilvl w:val="0"/>
          <w:numId w:val="380"/>
        </w:numPr>
        <w:ind w:left="2552" w:hanging="397"/>
        <w:contextualSpacing w:val="0"/>
        <w:jc w:val="both"/>
        <w:rPr>
          <w:rFonts w:ascii="Arial" w:hAnsi="Arial" w:cs="Arial"/>
          <w:sz w:val="20"/>
          <w:szCs w:val="20"/>
        </w:rPr>
      </w:pPr>
      <w:r w:rsidRPr="00AC4AEA">
        <w:rPr>
          <w:rFonts w:ascii="Arial" w:hAnsi="Arial" w:cs="Arial"/>
          <w:sz w:val="20"/>
          <w:szCs w:val="20"/>
        </w:rPr>
        <w:t>Papelería.</w:t>
      </w:r>
    </w:p>
    <w:p w:rsidR="00F24BD2" w:rsidRPr="00AC4AEA" w:rsidRDefault="00F24BD2" w:rsidP="00A318EA">
      <w:pPr>
        <w:pStyle w:val="Prrafodelista"/>
        <w:numPr>
          <w:ilvl w:val="0"/>
          <w:numId w:val="380"/>
        </w:numPr>
        <w:ind w:left="2552" w:hanging="397"/>
        <w:contextualSpacing w:val="0"/>
        <w:jc w:val="both"/>
        <w:rPr>
          <w:rFonts w:ascii="Arial" w:hAnsi="Arial" w:cs="Arial"/>
          <w:sz w:val="20"/>
          <w:szCs w:val="20"/>
        </w:rPr>
      </w:pPr>
      <w:r w:rsidRPr="00AC4AEA">
        <w:rPr>
          <w:rFonts w:ascii="Arial" w:hAnsi="Arial" w:cs="Arial"/>
          <w:sz w:val="20"/>
          <w:szCs w:val="20"/>
        </w:rPr>
        <w:t>Artículos de funcionamiento.</w:t>
      </w:r>
    </w:p>
    <w:p w:rsidR="00F24BD2" w:rsidRPr="00AC4AEA" w:rsidRDefault="00F24BD2" w:rsidP="00A318EA">
      <w:pPr>
        <w:pStyle w:val="Prrafodelista"/>
        <w:numPr>
          <w:ilvl w:val="0"/>
          <w:numId w:val="380"/>
        </w:numPr>
        <w:ind w:left="2552" w:hanging="397"/>
        <w:contextualSpacing w:val="0"/>
        <w:jc w:val="both"/>
        <w:rPr>
          <w:rFonts w:ascii="Arial" w:hAnsi="Arial" w:cs="Arial"/>
          <w:sz w:val="20"/>
          <w:szCs w:val="20"/>
        </w:rPr>
      </w:pPr>
      <w:r w:rsidRPr="00AC4AEA">
        <w:rPr>
          <w:rFonts w:ascii="Arial" w:hAnsi="Arial" w:cs="Arial"/>
          <w:sz w:val="20"/>
          <w:szCs w:val="20"/>
        </w:rPr>
        <w:t>Combustibles.</w:t>
      </w:r>
    </w:p>
    <w:p w:rsidR="00F24BD2" w:rsidRPr="00AC4AEA" w:rsidRDefault="00F24BD2" w:rsidP="00A318EA">
      <w:pPr>
        <w:pStyle w:val="Prrafodelista"/>
        <w:numPr>
          <w:ilvl w:val="0"/>
          <w:numId w:val="390"/>
        </w:numPr>
        <w:ind w:left="1985"/>
        <w:contextualSpacing w:val="0"/>
        <w:jc w:val="both"/>
        <w:rPr>
          <w:rFonts w:ascii="Arial" w:hAnsi="Arial" w:cs="Arial"/>
          <w:sz w:val="20"/>
          <w:szCs w:val="20"/>
        </w:rPr>
      </w:pPr>
      <w:r w:rsidRPr="00AC4AEA">
        <w:rPr>
          <w:rFonts w:ascii="Arial" w:hAnsi="Arial" w:cs="Arial"/>
          <w:sz w:val="20"/>
          <w:szCs w:val="20"/>
        </w:rPr>
        <w:t>Como bienes destinados a la comercialización:</w:t>
      </w:r>
    </w:p>
    <w:p w:rsidR="00F24BD2" w:rsidRPr="00AC4AEA" w:rsidRDefault="00F24BD2" w:rsidP="00A318EA">
      <w:pPr>
        <w:pStyle w:val="Prrafodelista"/>
        <w:numPr>
          <w:ilvl w:val="0"/>
          <w:numId w:val="381"/>
        </w:numPr>
        <w:ind w:left="2552" w:hanging="397"/>
        <w:contextualSpacing w:val="0"/>
        <w:jc w:val="both"/>
        <w:rPr>
          <w:rFonts w:ascii="Arial" w:hAnsi="Arial" w:cs="Arial"/>
          <w:sz w:val="20"/>
          <w:szCs w:val="20"/>
        </w:rPr>
      </w:pPr>
      <w:r w:rsidRPr="00AC4AEA">
        <w:rPr>
          <w:rFonts w:ascii="Arial" w:hAnsi="Arial" w:cs="Arial"/>
          <w:sz w:val="20"/>
          <w:szCs w:val="20"/>
        </w:rPr>
        <w:t>Artículos para el hogar.</w:t>
      </w:r>
    </w:p>
    <w:p w:rsidR="00F24BD2" w:rsidRPr="00AC4AEA" w:rsidRDefault="00F24BD2" w:rsidP="00A318EA">
      <w:pPr>
        <w:pStyle w:val="Prrafodelista"/>
        <w:numPr>
          <w:ilvl w:val="0"/>
          <w:numId w:val="381"/>
        </w:numPr>
        <w:ind w:left="2552" w:hanging="397"/>
        <w:contextualSpacing w:val="0"/>
        <w:jc w:val="both"/>
        <w:rPr>
          <w:rFonts w:ascii="Arial" w:hAnsi="Arial" w:cs="Arial"/>
          <w:sz w:val="20"/>
          <w:szCs w:val="20"/>
        </w:rPr>
      </w:pPr>
      <w:r w:rsidRPr="00AC4AEA">
        <w:rPr>
          <w:rFonts w:ascii="Arial" w:hAnsi="Arial" w:cs="Arial"/>
          <w:sz w:val="20"/>
          <w:szCs w:val="20"/>
        </w:rPr>
        <w:t>Proveeduría de consumo.</w:t>
      </w:r>
    </w:p>
    <w:p w:rsidR="00F24BD2" w:rsidRPr="00AC4AEA" w:rsidRDefault="00F24BD2" w:rsidP="00A318EA">
      <w:pPr>
        <w:pStyle w:val="Prrafodelista"/>
        <w:numPr>
          <w:ilvl w:val="0"/>
          <w:numId w:val="381"/>
        </w:numPr>
        <w:ind w:left="2552" w:hanging="397"/>
        <w:contextualSpacing w:val="0"/>
        <w:jc w:val="both"/>
        <w:rPr>
          <w:rFonts w:ascii="Arial" w:hAnsi="Arial" w:cs="Arial"/>
          <w:sz w:val="20"/>
          <w:szCs w:val="20"/>
        </w:rPr>
      </w:pPr>
      <w:r w:rsidRPr="00AC4AEA">
        <w:rPr>
          <w:rFonts w:ascii="Arial" w:hAnsi="Arial" w:cs="Arial"/>
          <w:sz w:val="20"/>
          <w:szCs w:val="20"/>
        </w:rPr>
        <w:t>Artículos de farmacia.</w:t>
      </w:r>
    </w:p>
    <w:p w:rsidR="0048235C" w:rsidRPr="00AC4AEA" w:rsidRDefault="0048235C" w:rsidP="00A318EA">
      <w:pPr>
        <w:jc w:val="both"/>
        <w:rPr>
          <w:rFonts w:ascii="Arial" w:hAnsi="Arial" w:cs="Arial"/>
          <w:sz w:val="20"/>
          <w:szCs w:val="20"/>
        </w:rPr>
      </w:pPr>
    </w:p>
    <w:p w:rsidR="00F24BD2" w:rsidRPr="00AC4AEA" w:rsidRDefault="00497590" w:rsidP="00A318EA">
      <w:pPr>
        <w:pStyle w:val="Ttulo3"/>
      </w:pPr>
      <w:bookmarkStart w:id="1017" w:name="_Toc101864042"/>
      <w:bookmarkStart w:id="1018" w:name="_Toc139356942"/>
      <w:r w:rsidRPr="00AC4AEA">
        <w:t>Pasivos</w:t>
      </w:r>
      <w:r w:rsidR="00F24BD2" w:rsidRPr="00AC4AEA">
        <w:t xml:space="preserve"> originados en fondos con destino específico</w:t>
      </w:r>
      <w:bookmarkEnd w:id="1017"/>
      <w:bookmarkEnd w:id="1018"/>
    </w:p>
    <w:p w:rsidR="00BE4345" w:rsidRPr="00AC4AEA" w:rsidRDefault="00F24BD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reconocerá dentro de este rubro fondos recibidos para aplicar a destinos específicos</w:t>
      </w:r>
      <w:r w:rsidR="00BE4345" w:rsidRPr="00AC4AEA">
        <w:rPr>
          <w:rFonts w:ascii="Arial" w:hAnsi="Arial" w:cs="Arial"/>
          <w:sz w:val="20"/>
          <w:szCs w:val="20"/>
        </w:rPr>
        <w:t>, tales como la prestación de un servicio o suministro de bienes a asociados, a ciertos sectores de la comunidad o la comunidad en general. Incluye:</w:t>
      </w:r>
    </w:p>
    <w:p w:rsidR="00BE4345" w:rsidRPr="00AC4AEA" w:rsidRDefault="00BE4345" w:rsidP="00A318EA">
      <w:pPr>
        <w:pStyle w:val="Prrafodelista"/>
        <w:numPr>
          <w:ilvl w:val="0"/>
          <w:numId w:val="244"/>
        </w:numPr>
        <w:ind w:left="1560"/>
        <w:contextualSpacing w:val="0"/>
        <w:jc w:val="both"/>
        <w:rPr>
          <w:rFonts w:ascii="Arial" w:hAnsi="Arial" w:cs="Arial"/>
          <w:sz w:val="20"/>
          <w:szCs w:val="20"/>
        </w:rPr>
      </w:pPr>
      <w:r w:rsidRPr="00AC4AEA">
        <w:rPr>
          <w:rFonts w:ascii="Arial" w:hAnsi="Arial" w:cs="Arial"/>
          <w:sz w:val="20"/>
          <w:szCs w:val="20"/>
        </w:rPr>
        <w:t>Aportes</w:t>
      </w:r>
      <w:r w:rsidR="00F24BD2" w:rsidRPr="00AC4AEA">
        <w:rPr>
          <w:rFonts w:ascii="Arial" w:hAnsi="Arial" w:cs="Arial"/>
          <w:sz w:val="20"/>
          <w:szCs w:val="20"/>
        </w:rPr>
        <w:t xml:space="preserve"> </w:t>
      </w:r>
      <w:r w:rsidRPr="00AC4AEA">
        <w:rPr>
          <w:rFonts w:ascii="Arial" w:hAnsi="Arial" w:cs="Arial"/>
          <w:sz w:val="20"/>
          <w:szCs w:val="20"/>
        </w:rPr>
        <w:t>obtenidos directamente.</w:t>
      </w:r>
    </w:p>
    <w:p w:rsidR="00F24BD2" w:rsidRPr="00AC4AEA" w:rsidRDefault="00BE4345" w:rsidP="00A318EA">
      <w:pPr>
        <w:pStyle w:val="Prrafodelista"/>
        <w:numPr>
          <w:ilvl w:val="0"/>
          <w:numId w:val="244"/>
        </w:numPr>
        <w:ind w:left="1560"/>
        <w:contextualSpacing w:val="0"/>
        <w:jc w:val="both"/>
        <w:rPr>
          <w:rFonts w:ascii="Arial" w:hAnsi="Arial" w:cs="Arial"/>
          <w:sz w:val="20"/>
          <w:szCs w:val="20"/>
        </w:rPr>
      </w:pPr>
      <w:r w:rsidRPr="00AC4AEA">
        <w:rPr>
          <w:rFonts w:ascii="Arial" w:hAnsi="Arial" w:cs="Arial"/>
          <w:sz w:val="20"/>
          <w:szCs w:val="20"/>
        </w:rPr>
        <w:lastRenderedPageBreak/>
        <w:t>I</w:t>
      </w:r>
      <w:r w:rsidR="00F24BD2" w:rsidRPr="00AC4AEA">
        <w:rPr>
          <w:rFonts w:ascii="Arial" w:hAnsi="Arial" w:cs="Arial"/>
          <w:sz w:val="20"/>
          <w:szCs w:val="20"/>
        </w:rPr>
        <w:t xml:space="preserve">mportes netos </w:t>
      </w:r>
      <w:r w:rsidRPr="00AC4AEA">
        <w:rPr>
          <w:rFonts w:ascii="Arial" w:hAnsi="Arial" w:cs="Arial"/>
          <w:sz w:val="20"/>
          <w:szCs w:val="20"/>
        </w:rPr>
        <w:t>generados</w:t>
      </w:r>
      <w:r w:rsidR="00F24BD2" w:rsidRPr="00AC4AEA">
        <w:rPr>
          <w:rFonts w:ascii="Arial" w:hAnsi="Arial" w:cs="Arial"/>
          <w:sz w:val="20"/>
          <w:szCs w:val="20"/>
        </w:rPr>
        <w:t xml:space="preserve"> </w:t>
      </w:r>
      <w:r w:rsidRPr="00AC4AEA">
        <w:rPr>
          <w:rFonts w:ascii="Arial" w:hAnsi="Arial" w:cs="Arial"/>
          <w:sz w:val="20"/>
          <w:szCs w:val="20"/>
        </w:rPr>
        <w:t xml:space="preserve">mediante la realización </w:t>
      </w:r>
      <w:r w:rsidR="00F24BD2" w:rsidRPr="00AC4AEA">
        <w:rPr>
          <w:rFonts w:ascii="Arial" w:hAnsi="Arial" w:cs="Arial"/>
          <w:sz w:val="20"/>
          <w:szCs w:val="20"/>
        </w:rPr>
        <w:t>de actividades con fines recaudatorios específicos</w:t>
      </w:r>
      <w:r w:rsidRPr="00AC4AEA">
        <w:rPr>
          <w:rFonts w:ascii="Arial" w:hAnsi="Arial" w:cs="Arial"/>
          <w:sz w:val="20"/>
          <w:szCs w:val="20"/>
        </w:rPr>
        <w:t>.</w:t>
      </w:r>
    </w:p>
    <w:p w:rsidR="00F24BD2" w:rsidRPr="00AC4AEA" w:rsidRDefault="00BE434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reconocer</w:t>
      </w:r>
      <w:r w:rsidR="009476D6" w:rsidRPr="00AC4AEA">
        <w:rPr>
          <w:rFonts w:ascii="Arial" w:hAnsi="Arial" w:cs="Arial"/>
          <w:sz w:val="20"/>
          <w:szCs w:val="20"/>
        </w:rPr>
        <w:t>á</w:t>
      </w:r>
      <w:r w:rsidRPr="00AC4AEA">
        <w:rPr>
          <w:rFonts w:ascii="Arial" w:hAnsi="Arial" w:cs="Arial"/>
          <w:sz w:val="20"/>
          <w:szCs w:val="20"/>
        </w:rPr>
        <w:t xml:space="preserve"> estos fondos como recursos cuando cumpla</w:t>
      </w:r>
      <w:r w:rsidR="00E660B2" w:rsidRPr="00AC4AEA">
        <w:rPr>
          <w:rFonts w:ascii="Arial" w:hAnsi="Arial" w:cs="Arial"/>
          <w:sz w:val="20"/>
          <w:szCs w:val="20"/>
        </w:rPr>
        <w:t>n</w:t>
      </w:r>
      <w:r w:rsidRPr="00AC4AEA">
        <w:rPr>
          <w:rFonts w:ascii="Arial" w:hAnsi="Arial" w:cs="Arial"/>
          <w:sz w:val="20"/>
          <w:szCs w:val="20"/>
        </w:rPr>
        <w:t xml:space="preserve"> el fin o ejecute el </w:t>
      </w:r>
      <w:r w:rsidRPr="002A73C3">
        <w:rPr>
          <w:rFonts w:ascii="Arial" w:hAnsi="Arial" w:cs="Arial"/>
          <w:b/>
          <w:bCs/>
          <w:sz w:val="20"/>
          <w:szCs w:val="20"/>
        </w:rPr>
        <w:t xml:space="preserve">gasto </w:t>
      </w:r>
      <w:r w:rsidRPr="00AC4AEA">
        <w:rPr>
          <w:rFonts w:ascii="Arial" w:hAnsi="Arial" w:cs="Arial"/>
          <w:sz w:val="20"/>
          <w:szCs w:val="20"/>
        </w:rPr>
        <w:t>para el que fueron recaudados.</w:t>
      </w:r>
    </w:p>
    <w:p w:rsidR="00F24BD2" w:rsidRPr="00AC4AEA" w:rsidRDefault="00F24BD2" w:rsidP="00A318EA">
      <w:pPr>
        <w:jc w:val="both"/>
        <w:rPr>
          <w:rFonts w:ascii="Arial" w:hAnsi="Arial" w:cs="Arial"/>
          <w:sz w:val="20"/>
          <w:szCs w:val="20"/>
        </w:rPr>
      </w:pPr>
    </w:p>
    <w:p w:rsidR="00BE4345" w:rsidRPr="00AC4AEA" w:rsidRDefault="00BE4345" w:rsidP="00A318EA">
      <w:pPr>
        <w:pStyle w:val="Ttulo2"/>
        <w:rPr>
          <w:rFonts w:cs="Arial"/>
        </w:rPr>
      </w:pPr>
      <w:bookmarkStart w:id="1019" w:name="_Toc101864043"/>
      <w:bookmarkStart w:id="1020" w:name="_Toc139356943"/>
      <w:r w:rsidRPr="00AC4AEA">
        <w:rPr>
          <w:rFonts w:cs="Arial"/>
        </w:rPr>
        <w:t>Cuestiones referidas al estado de recursos y gastos</w:t>
      </w:r>
      <w:bookmarkEnd w:id="1019"/>
      <w:bookmarkEnd w:id="1020"/>
      <w:r w:rsidR="00A94FFE" w:rsidRPr="00AC4AEA">
        <w:rPr>
          <w:rFonts w:cs="Arial"/>
        </w:rPr>
        <w:t xml:space="preserve"> </w:t>
      </w:r>
    </w:p>
    <w:p w:rsidR="000A65AC" w:rsidRPr="00AC4AEA" w:rsidRDefault="000A65A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 los fines de presentar el estado de </w:t>
      </w:r>
      <w:r w:rsidR="006828CF" w:rsidRPr="00AC4AEA">
        <w:rPr>
          <w:rFonts w:ascii="Arial" w:hAnsi="Arial" w:cs="Arial"/>
          <w:sz w:val="20"/>
          <w:szCs w:val="20"/>
        </w:rPr>
        <w:t>recursos y gastos</w:t>
      </w:r>
      <w:r w:rsidRPr="00AC4AEA">
        <w:rPr>
          <w:rFonts w:ascii="Arial" w:hAnsi="Arial" w:cs="Arial"/>
          <w:sz w:val="20"/>
          <w:szCs w:val="20"/>
        </w:rPr>
        <w:t>, una entidad sin fines de lucro aplicará l</w:t>
      </w:r>
      <w:r w:rsidR="00A94FFE" w:rsidRPr="00AC4AEA">
        <w:rPr>
          <w:rFonts w:ascii="Arial" w:hAnsi="Arial" w:cs="Arial"/>
          <w:sz w:val="20"/>
          <w:szCs w:val="20"/>
        </w:rPr>
        <w:t>o</w:t>
      </w:r>
      <w:r w:rsidRPr="00AC4AEA">
        <w:rPr>
          <w:rFonts w:ascii="Arial" w:hAnsi="Arial" w:cs="Arial"/>
          <w:sz w:val="20"/>
          <w:szCs w:val="20"/>
        </w:rPr>
        <w:t xml:space="preserve">s requerimientos de esta sección y </w:t>
      </w:r>
      <w:r w:rsidR="00A94FFE" w:rsidRPr="00AC4AEA">
        <w:rPr>
          <w:rFonts w:ascii="Arial" w:hAnsi="Arial" w:cs="Arial"/>
          <w:sz w:val="20"/>
          <w:szCs w:val="20"/>
        </w:rPr>
        <w:t>de</w:t>
      </w:r>
      <w:r w:rsidRPr="00AC4AEA">
        <w:rPr>
          <w:rFonts w:ascii="Arial" w:hAnsi="Arial" w:cs="Arial"/>
          <w:sz w:val="20"/>
          <w:szCs w:val="20"/>
        </w:rPr>
        <w:t xml:space="preserve"> la sección “</w:t>
      </w:r>
      <w:r w:rsidR="006828CF" w:rsidRPr="00AC4AEA">
        <w:rPr>
          <w:rFonts w:ascii="Arial" w:hAnsi="Arial" w:cs="Arial"/>
          <w:sz w:val="20"/>
          <w:szCs w:val="20"/>
          <w:u w:val="single"/>
        </w:rPr>
        <w:t>Cuestiones referidas al estado de resultados</w:t>
      </w:r>
      <w:r w:rsidRPr="00AC4AEA">
        <w:rPr>
          <w:rFonts w:ascii="Arial" w:hAnsi="Arial" w:cs="Arial"/>
          <w:sz w:val="20"/>
          <w:szCs w:val="20"/>
        </w:rPr>
        <w:t>”</w:t>
      </w:r>
      <w:r w:rsidR="005A30E7" w:rsidRPr="00AC4AEA">
        <w:rPr>
          <w:rFonts w:ascii="Arial" w:hAnsi="Arial" w:cs="Arial"/>
          <w:sz w:val="20"/>
          <w:szCs w:val="20"/>
        </w:rPr>
        <w:t xml:space="preserve"> [ver los párrafos </w:t>
      </w:r>
      <w:fldSimple w:instr=" REF _Ref99491515 \r \h  \* MERGEFORMAT ">
        <w:r w:rsidR="00D33A5D" w:rsidRPr="00D33A5D">
          <w:rPr>
            <w:rFonts w:ascii="Arial" w:hAnsi="Arial" w:cs="Arial"/>
            <w:sz w:val="20"/>
            <w:szCs w:val="20"/>
          </w:rPr>
          <w:t>628</w:t>
        </w:r>
      </w:fldSimple>
      <w:r w:rsidR="00076C8C" w:rsidRPr="00AC4AEA">
        <w:rPr>
          <w:rFonts w:ascii="Arial" w:hAnsi="Arial" w:cs="Arial"/>
          <w:sz w:val="20"/>
          <w:szCs w:val="20"/>
        </w:rPr>
        <w:t xml:space="preserve"> a </w:t>
      </w:r>
      <w:r w:rsidR="001C4138">
        <w:rPr>
          <w:rFonts w:ascii="Arial" w:hAnsi="Arial" w:cs="Arial"/>
          <w:sz w:val="20"/>
          <w:szCs w:val="20"/>
        </w:rPr>
        <w:fldChar w:fldCharType="begin"/>
      </w:r>
      <w:r w:rsidR="007A33D5">
        <w:rPr>
          <w:rFonts w:ascii="Arial" w:hAnsi="Arial" w:cs="Arial"/>
          <w:sz w:val="20"/>
          <w:szCs w:val="20"/>
        </w:rPr>
        <w:instrText xml:space="preserve"> REF _Ref132039902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641</w:t>
      </w:r>
      <w:r w:rsidR="001C4138">
        <w:rPr>
          <w:rFonts w:ascii="Arial" w:hAnsi="Arial" w:cs="Arial"/>
          <w:sz w:val="20"/>
          <w:szCs w:val="20"/>
        </w:rPr>
        <w:fldChar w:fldCharType="end"/>
      </w:r>
      <w:r w:rsidR="00076C8C" w:rsidRPr="00AC4AEA">
        <w:rPr>
          <w:rFonts w:ascii="Arial" w:hAnsi="Arial" w:cs="Arial"/>
          <w:sz w:val="20"/>
          <w:szCs w:val="20"/>
        </w:rPr>
        <w:t>]</w:t>
      </w:r>
      <w:r w:rsidRPr="00AC4AEA">
        <w:rPr>
          <w:rFonts w:ascii="Arial" w:hAnsi="Arial" w:cs="Arial"/>
          <w:sz w:val="20"/>
          <w:szCs w:val="20"/>
        </w:rPr>
        <w:t>.</w:t>
      </w:r>
    </w:p>
    <w:p w:rsidR="006650B5" w:rsidRPr="00AC4AEA" w:rsidRDefault="006650B5" w:rsidP="00A318EA">
      <w:pPr>
        <w:jc w:val="both"/>
        <w:rPr>
          <w:rFonts w:ascii="Arial" w:hAnsi="Arial" w:cs="Arial"/>
          <w:sz w:val="20"/>
          <w:szCs w:val="20"/>
        </w:rPr>
      </w:pPr>
    </w:p>
    <w:p w:rsidR="006650B5" w:rsidRPr="00AC4AEA" w:rsidRDefault="006650B5" w:rsidP="00A318EA">
      <w:pPr>
        <w:pStyle w:val="Ttulo3"/>
      </w:pPr>
      <w:bookmarkStart w:id="1021" w:name="_Toc101864044"/>
      <w:bookmarkStart w:id="1022" w:name="_Toc139356944"/>
      <w:r w:rsidRPr="00AC4AEA">
        <w:t>Definiciones</w:t>
      </w:r>
      <w:bookmarkEnd w:id="1021"/>
      <w:bookmarkEnd w:id="1022"/>
    </w:p>
    <w:p w:rsidR="006650B5" w:rsidRPr="00AC4AEA" w:rsidRDefault="006650B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los fines de presentar el estado contable referido en esta sección, una entidad deberá considerar las siguientes definiciones:</w:t>
      </w:r>
    </w:p>
    <w:p w:rsidR="006650B5" w:rsidRPr="00AC4AEA" w:rsidRDefault="006650B5"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Recursos para fines generales</w:t>
      </w:r>
      <w:r w:rsidRPr="00AC4AEA">
        <w:rPr>
          <w:rFonts w:ascii="Arial" w:hAnsi="Arial" w:cs="Arial"/>
          <w:color w:val="auto"/>
          <w:sz w:val="20"/>
          <w:szCs w:val="20"/>
        </w:rPr>
        <w:t>:</w:t>
      </w:r>
      <w:r w:rsidRPr="00AC4AEA">
        <w:rPr>
          <w:rFonts w:ascii="Arial" w:hAnsi="Arial" w:cs="Arial"/>
          <w:b/>
          <w:bCs/>
          <w:color w:val="auto"/>
          <w:sz w:val="20"/>
          <w:szCs w:val="20"/>
        </w:rPr>
        <w:t xml:space="preserve"> </w:t>
      </w:r>
      <w:r w:rsidRPr="00AC4AEA">
        <w:rPr>
          <w:rFonts w:ascii="Arial" w:hAnsi="Arial" w:cs="Arial"/>
          <w:color w:val="auto"/>
          <w:sz w:val="20"/>
          <w:szCs w:val="20"/>
        </w:rPr>
        <w:t>Son los destinados a cumplir con los objetivos de la entidad. Incluyen:</w:t>
      </w:r>
    </w:p>
    <w:p w:rsidR="006650B5" w:rsidRPr="00AC4AEA" w:rsidRDefault="006650B5" w:rsidP="00A318EA">
      <w:pPr>
        <w:pStyle w:val="A-Norgra"/>
        <w:numPr>
          <w:ilvl w:val="0"/>
          <w:numId w:val="245"/>
        </w:numPr>
        <w:ind w:left="1983"/>
        <w:jc w:val="both"/>
        <w:rPr>
          <w:rFonts w:ascii="Arial" w:hAnsi="Arial" w:cs="Arial"/>
          <w:color w:val="auto"/>
          <w:sz w:val="20"/>
          <w:szCs w:val="20"/>
        </w:rPr>
      </w:pPr>
      <w:r w:rsidRPr="00AC4AEA">
        <w:rPr>
          <w:rFonts w:ascii="Arial" w:hAnsi="Arial" w:cs="Arial"/>
          <w:color w:val="auto"/>
          <w:sz w:val="20"/>
          <w:szCs w:val="20"/>
        </w:rPr>
        <w:t>Cuotas sociales o afiliaciones, aportadas periódicamente por los asociados o afiliados.</w:t>
      </w:r>
    </w:p>
    <w:p w:rsidR="006650B5" w:rsidRPr="00AC4AEA" w:rsidRDefault="006650B5" w:rsidP="00A318EA">
      <w:pPr>
        <w:pStyle w:val="A-Norgra"/>
        <w:numPr>
          <w:ilvl w:val="0"/>
          <w:numId w:val="245"/>
        </w:numPr>
        <w:ind w:left="1983"/>
        <w:jc w:val="both"/>
        <w:rPr>
          <w:rFonts w:ascii="Arial" w:hAnsi="Arial" w:cs="Arial"/>
          <w:color w:val="auto"/>
          <w:sz w:val="20"/>
          <w:szCs w:val="20"/>
        </w:rPr>
      </w:pPr>
      <w:r w:rsidRPr="00AC4AEA">
        <w:rPr>
          <w:rFonts w:ascii="Arial" w:hAnsi="Arial" w:cs="Arial"/>
          <w:color w:val="auto"/>
          <w:sz w:val="20"/>
          <w:szCs w:val="20"/>
        </w:rPr>
        <w:t>Aportes por única vez</w:t>
      </w:r>
      <w:r w:rsidR="009476D6" w:rsidRPr="00AC4AEA">
        <w:rPr>
          <w:rFonts w:ascii="Arial" w:hAnsi="Arial" w:cs="Arial"/>
          <w:color w:val="auto"/>
          <w:sz w:val="20"/>
          <w:szCs w:val="20"/>
        </w:rPr>
        <w:t>,</w:t>
      </w:r>
      <w:r w:rsidRPr="00AC4AEA">
        <w:rPr>
          <w:rFonts w:ascii="Arial" w:hAnsi="Arial" w:cs="Arial"/>
          <w:color w:val="auto"/>
          <w:sz w:val="20"/>
          <w:szCs w:val="20"/>
        </w:rPr>
        <w:t xml:space="preserve"> como las cuotas de ingreso</w:t>
      </w:r>
      <w:r w:rsidR="009619D9" w:rsidRPr="00AC4AEA">
        <w:rPr>
          <w:rFonts w:ascii="Arial" w:hAnsi="Arial" w:cs="Arial"/>
          <w:color w:val="auto"/>
          <w:sz w:val="20"/>
          <w:szCs w:val="20"/>
        </w:rPr>
        <w:t>.</w:t>
      </w:r>
    </w:p>
    <w:p w:rsidR="006650B5" w:rsidRPr="00AC4AEA" w:rsidRDefault="006650B5"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Recursos para fines específicos</w:t>
      </w:r>
      <w:r w:rsidRPr="00AC4AEA">
        <w:rPr>
          <w:rFonts w:ascii="Arial" w:hAnsi="Arial" w:cs="Arial"/>
          <w:color w:val="auto"/>
          <w:sz w:val="20"/>
          <w:szCs w:val="20"/>
        </w:rPr>
        <w:t>:</w:t>
      </w:r>
      <w:r w:rsidRPr="00AC4AEA">
        <w:rPr>
          <w:rFonts w:ascii="Arial" w:hAnsi="Arial" w:cs="Arial"/>
          <w:b/>
          <w:bCs/>
          <w:color w:val="auto"/>
          <w:sz w:val="20"/>
          <w:szCs w:val="20"/>
        </w:rPr>
        <w:t xml:space="preserve"> </w:t>
      </w:r>
      <w:r w:rsidRPr="00AC4AEA">
        <w:rPr>
          <w:rFonts w:ascii="Arial" w:hAnsi="Arial" w:cs="Arial"/>
          <w:color w:val="auto"/>
          <w:sz w:val="20"/>
          <w:szCs w:val="20"/>
        </w:rPr>
        <w:t>Son contribuciones constituidas por:</w:t>
      </w:r>
    </w:p>
    <w:p w:rsidR="006650B5" w:rsidRPr="00AC4AEA" w:rsidRDefault="006650B5" w:rsidP="00A318EA">
      <w:pPr>
        <w:pStyle w:val="A-Norgra"/>
        <w:numPr>
          <w:ilvl w:val="0"/>
          <w:numId w:val="49"/>
        </w:numPr>
        <w:ind w:left="1983"/>
        <w:jc w:val="both"/>
        <w:rPr>
          <w:rFonts w:ascii="Arial" w:hAnsi="Arial" w:cs="Arial"/>
          <w:b/>
          <w:bCs/>
          <w:color w:val="auto"/>
          <w:sz w:val="20"/>
          <w:szCs w:val="20"/>
        </w:rPr>
      </w:pPr>
      <w:r w:rsidRPr="00AC4AEA">
        <w:rPr>
          <w:rFonts w:ascii="Arial" w:hAnsi="Arial" w:cs="Arial"/>
          <w:color w:val="auto"/>
          <w:sz w:val="20"/>
          <w:szCs w:val="20"/>
        </w:rPr>
        <w:t>Aportes recibidos y destinados a fines determinados, tales como aranceles o derechos particulares para actividades</w:t>
      </w:r>
      <w:r w:rsidR="00474F9B" w:rsidRPr="00AC4AEA">
        <w:rPr>
          <w:rFonts w:ascii="Arial" w:hAnsi="Arial" w:cs="Arial"/>
          <w:color w:val="auto"/>
          <w:sz w:val="20"/>
          <w:szCs w:val="20"/>
        </w:rPr>
        <w:t xml:space="preserve"> específicas</w:t>
      </w:r>
      <w:r w:rsidRPr="00AC4AEA">
        <w:rPr>
          <w:rFonts w:ascii="Arial" w:hAnsi="Arial" w:cs="Arial"/>
          <w:color w:val="auto"/>
          <w:sz w:val="20"/>
          <w:szCs w:val="20"/>
        </w:rPr>
        <w:t xml:space="preserve">. </w:t>
      </w:r>
    </w:p>
    <w:p w:rsidR="007C1764" w:rsidRPr="00AC4AEA" w:rsidRDefault="006650B5" w:rsidP="00A318EA">
      <w:pPr>
        <w:pStyle w:val="A-Norgra"/>
        <w:numPr>
          <w:ilvl w:val="0"/>
          <w:numId w:val="49"/>
        </w:numPr>
        <w:ind w:left="1983"/>
        <w:jc w:val="both"/>
        <w:rPr>
          <w:rFonts w:ascii="Arial" w:hAnsi="Arial" w:cs="Arial"/>
          <w:b/>
          <w:bCs/>
          <w:color w:val="auto"/>
          <w:sz w:val="20"/>
          <w:szCs w:val="20"/>
        </w:rPr>
      </w:pPr>
      <w:r w:rsidRPr="00AC4AEA">
        <w:rPr>
          <w:rFonts w:ascii="Arial" w:hAnsi="Arial" w:cs="Arial"/>
          <w:color w:val="auto"/>
          <w:sz w:val="20"/>
          <w:szCs w:val="20"/>
        </w:rPr>
        <w:t xml:space="preserve">Recursos generados por actividades con fines recaudatorios específicos, originalmente destinados a la prestación de un servicio o a </w:t>
      </w:r>
      <w:r w:rsidR="002A0336" w:rsidRPr="00AC4AEA">
        <w:rPr>
          <w:rFonts w:ascii="Arial" w:hAnsi="Arial" w:cs="Arial"/>
          <w:color w:val="auto"/>
          <w:sz w:val="20"/>
          <w:szCs w:val="20"/>
        </w:rPr>
        <w:t>erogaciones</w:t>
      </w:r>
      <w:r w:rsidRPr="00AC4AEA">
        <w:rPr>
          <w:rFonts w:ascii="Arial" w:hAnsi="Arial" w:cs="Arial"/>
          <w:color w:val="auto"/>
          <w:sz w:val="20"/>
          <w:szCs w:val="20"/>
        </w:rPr>
        <w:t xml:space="preserve"> relacionados con bienes a suministrar o servicios a prestar a asociados</w:t>
      </w:r>
      <w:r w:rsidR="002A0336" w:rsidRPr="00AC4AEA">
        <w:rPr>
          <w:rFonts w:ascii="Arial" w:hAnsi="Arial" w:cs="Arial"/>
          <w:color w:val="auto"/>
          <w:sz w:val="20"/>
          <w:szCs w:val="20"/>
        </w:rPr>
        <w:t xml:space="preserve"> o sectores de la comunidad.</w:t>
      </w:r>
      <w:r w:rsidRPr="00AC4AEA">
        <w:rPr>
          <w:rFonts w:ascii="Arial" w:hAnsi="Arial" w:cs="Arial"/>
          <w:color w:val="auto"/>
          <w:sz w:val="20"/>
          <w:szCs w:val="20"/>
        </w:rPr>
        <w:t xml:space="preserve"> </w:t>
      </w:r>
    </w:p>
    <w:p w:rsidR="002A0336" w:rsidRPr="00AC4AEA" w:rsidRDefault="002A0336" w:rsidP="00A318EA">
      <w:pPr>
        <w:pStyle w:val="A-Norgra"/>
        <w:ind w:left="1416"/>
        <w:jc w:val="both"/>
        <w:rPr>
          <w:rFonts w:ascii="Arial" w:hAnsi="Arial" w:cs="Arial"/>
          <w:b/>
          <w:bCs/>
          <w:color w:val="auto"/>
          <w:sz w:val="20"/>
          <w:szCs w:val="20"/>
        </w:rPr>
      </w:pPr>
      <w:r w:rsidRPr="00AC4AEA">
        <w:rPr>
          <w:rFonts w:ascii="Arial" w:hAnsi="Arial" w:cs="Arial"/>
          <w:color w:val="auto"/>
          <w:sz w:val="20"/>
          <w:szCs w:val="20"/>
        </w:rPr>
        <w:t xml:space="preserve">Estos recursos se reconocerán como tales en el </w:t>
      </w:r>
      <w:r w:rsidR="00041BD3" w:rsidRPr="00AC4AEA">
        <w:rPr>
          <w:rFonts w:ascii="Arial" w:hAnsi="Arial" w:cs="Arial"/>
          <w:color w:val="auto"/>
          <w:sz w:val="20"/>
          <w:szCs w:val="20"/>
        </w:rPr>
        <w:t>período</w:t>
      </w:r>
      <w:r w:rsidRPr="00AC4AEA">
        <w:rPr>
          <w:rFonts w:ascii="Arial" w:hAnsi="Arial" w:cs="Arial"/>
          <w:color w:val="auto"/>
          <w:sz w:val="20"/>
          <w:szCs w:val="20"/>
        </w:rPr>
        <w:t xml:space="preserve"> durante el cual se prestan los servicios o efectúan las erogaciones que motivaron su obtención.</w:t>
      </w:r>
    </w:p>
    <w:p w:rsidR="002A0336" w:rsidRPr="00AC4AEA" w:rsidRDefault="006650B5"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Recursos diversos</w:t>
      </w:r>
      <w:r w:rsidRPr="00AC4AEA">
        <w:rPr>
          <w:rFonts w:ascii="Arial" w:hAnsi="Arial" w:cs="Arial"/>
          <w:b/>
          <w:bCs/>
          <w:color w:val="auto"/>
          <w:sz w:val="20"/>
          <w:szCs w:val="20"/>
        </w:rPr>
        <w:t xml:space="preserve">: </w:t>
      </w:r>
      <w:r w:rsidR="002A0336" w:rsidRPr="00AC4AEA">
        <w:rPr>
          <w:rFonts w:ascii="Arial" w:hAnsi="Arial" w:cs="Arial"/>
          <w:color w:val="auto"/>
          <w:sz w:val="20"/>
          <w:szCs w:val="20"/>
        </w:rPr>
        <w:t>Son recursos originados por actividades tales como las siguientes:</w:t>
      </w:r>
    </w:p>
    <w:p w:rsidR="002A0336" w:rsidRPr="00AC4AEA" w:rsidRDefault="002A0336" w:rsidP="00A318EA">
      <w:pPr>
        <w:pStyle w:val="A-Norgra"/>
        <w:numPr>
          <w:ilvl w:val="0"/>
          <w:numId w:val="50"/>
        </w:numPr>
        <w:ind w:left="1982" w:hanging="567"/>
        <w:jc w:val="both"/>
        <w:rPr>
          <w:rFonts w:ascii="Arial" w:hAnsi="Arial" w:cs="Arial"/>
          <w:color w:val="auto"/>
          <w:sz w:val="20"/>
          <w:szCs w:val="20"/>
        </w:rPr>
      </w:pPr>
      <w:r w:rsidRPr="00AC4AEA">
        <w:rPr>
          <w:rFonts w:ascii="Arial" w:hAnsi="Arial" w:cs="Arial"/>
          <w:color w:val="auto"/>
          <w:sz w:val="20"/>
          <w:szCs w:val="20"/>
        </w:rPr>
        <w:t>Venta de bienes en desuso.</w:t>
      </w:r>
    </w:p>
    <w:p w:rsidR="002A0336" w:rsidRPr="00AC4AEA" w:rsidRDefault="002A0336" w:rsidP="00A318EA">
      <w:pPr>
        <w:pStyle w:val="A-Norgra"/>
        <w:numPr>
          <w:ilvl w:val="0"/>
          <w:numId w:val="50"/>
        </w:numPr>
        <w:ind w:left="1982" w:hanging="567"/>
        <w:jc w:val="both"/>
        <w:rPr>
          <w:rFonts w:ascii="Arial" w:hAnsi="Arial" w:cs="Arial"/>
          <w:color w:val="auto"/>
          <w:sz w:val="20"/>
          <w:szCs w:val="20"/>
        </w:rPr>
      </w:pPr>
      <w:r w:rsidRPr="00AC4AEA">
        <w:rPr>
          <w:rFonts w:ascii="Arial" w:hAnsi="Arial" w:cs="Arial"/>
          <w:color w:val="auto"/>
          <w:sz w:val="20"/>
          <w:szCs w:val="20"/>
        </w:rPr>
        <w:t xml:space="preserve"> Recuperación de gastos.</w:t>
      </w:r>
    </w:p>
    <w:p w:rsidR="002A0336" w:rsidRPr="00AC4AEA" w:rsidRDefault="002A0336" w:rsidP="00A318EA">
      <w:pPr>
        <w:pStyle w:val="A-Norgra"/>
        <w:numPr>
          <w:ilvl w:val="0"/>
          <w:numId w:val="50"/>
        </w:numPr>
        <w:ind w:left="1982" w:hanging="567"/>
        <w:jc w:val="both"/>
        <w:rPr>
          <w:rFonts w:ascii="Arial" w:hAnsi="Arial" w:cs="Arial"/>
          <w:color w:val="auto"/>
          <w:sz w:val="20"/>
          <w:szCs w:val="20"/>
        </w:rPr>
      </w:pPr>
      <w:r w:rsidRPr="00AC4AEA">
        <w:rPr>
          <w:rFonts w:ascii="Arial" w:hAnsi="Arial" w:cs="Arial"/>
          <w:color w:val="auto"/>
          <w:sz w:val="20"/>
          <w:szCs w:val="20"/>
        </w:rPr>
        <w:t>Aportes publicitarios recibidos</w:t>
      </w:r>
      <w:r w:rsidR="009476D6" w:rsidRPr="00AC4AEA">
        <w:rPr>
          <w:rFonts w:ascii="Arial" w:hAnsi="Arial" w:cs="Arial"/>
          <w:color w:val="auto"/>
          <w:sz w:val="20"/>
          <w:szCs w:val="20"/>
        </w:rPr>
        <w:t>.</w:t>
      </w:r>
    </w:p>
    <w:p w:rsidR="002A0336" w:rsidRPr="00AC4AEA" w:rsidRDefault="002A0336" w:rsidP="00A318EA">
      <w:pPr>
        <w:pStyle w:val="A-Norgra"/>
        <w:numPr>
          <w:ilvl w:val="0"/>
          <w:numId w:val="50"/>
        </w:numPr>
        <w:ind w:left="1982" w:hanging="567"/>
        <w:jc w:val="both"/>
        <w:rPr>
          <w:rFonts w:ascii="Arial" w:hAnsi="Arial" w:cs="Arial"/>
          <w:color w:val="auto"/>
          <w:sz w:val="20"/>
          <w:szCs w:val="20"/>
        </w:rPr>
      </w:pPr>
      <w:r w:rsidRPr="00AC4AEA">
        <w:rPr>
          <w:rFonts w:ascii="Arial" w:hAnsi="Arial" w:cs="Arial"/>
          <w:color w:val="auto"/>
          <w:sz w:val="20"/>
          <w:szCs w:val="20"/>
        </w:rPr>
        <w:t>Subsidios y donaciones efectuados por terceros.</w:t>
      </w:r>
    </w:p>
    <w:p w:rsidR="00F72FC1" w:rsidRPr="00AC4AEA" w:rsidRDefault="00F72FC1"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Gastos específicos de sectores</w:t>
      </w:r>
      <w:r w:rsidRPr="00AC4AEA">
        <w:rPr>
          <w:rFonts w:ascii="Arial" w:hAnsi="Arial" w:cs="Arial"/>
          <w:color w:val="auto"/>
          <w:sz w:val="20"/>
          <w:szCs w:val="20"/>
        </w:rPr>
        <w:t xml:space="preserve">: Son erogaciones </w:t>
      </w:r>
      <w:r w:rsidR="0073319C" w:rsidRPr="00AC4AEA">
        <w:rPr>
          <w:rFonts w:ascii="Arial" w:hAnsi="Arial" w:cs="Arial"/>
          <w:color w:val="auto"/>
          <w:sz w:val="20"/>
          <w:szCs w:val="20"/>
        </w:rPr>
        <w:t xml:space="preserve">que pueden atribuirse directamente a los distintos sectores o departamentos de la entidad. La división </w:t>
      </w:r>
      <w:r w:rsidR="0073319C" w:rsidRPr="00AC4AEA">
        <w:rPr>
          <w:rFonts w:ascii="Arial" w:hAnsi="Arial" w:cs="Arial"/>
          <w:color w:val="auto"/>
          <w:sz w:val="20"/>
          <w:szCs w:val="20"/>
        </w:rPr>
        <w:lastRenderedPageBreak/>
        <w:t>entre sectores podrá realizarse en función de criterios tales como los siguientes:</w:t>
      </w:r>
    </w:p>
    <w:p w:rsidR="0073319C" w:rsidRPr="00AC4AEA" w:rsidRDefault="0073319C" w:rsidP="00A318EA">
      <w:pPr>
        <w:pStyle w:val="A-Norgra"/>
        <w:numPr>
          <w:ilvl w:val="0"/>
          <w:numId w:val="51"/>
        </w:numPr>
        <w:ind w:left="1982" w:hanging="567"/>
        <w:jc w:val="both"/>
        <w:rPr>
          <w:rFonts w:ascii="Arial" w:hAnsi="Arial" w:cs="Arial"/>
          <w:color w:val="auto"/>
          <w:sz w:val="20"/>
          <w:szCs w:val="20"/>
        </w:rPr>
      </w:pPr>
      <w:r w:rsidRPr="00AC4AEA">
        <w:rPr>
          <w:rFonts w:ascii="Arial" w:hAnsi="Arial" w:cs="Arial"/>
          <w:color w:val="auto"/>
          <w:sz w:val="20"/>
          <w:szCs w:val="20"/>
        </w:rPr>
        <w:t>Ubicación geográfica de las sedes.</w:t>
      </w:r>
    </w:p>
    <w:p w:rsidR="0073319C" w:rsidRPr="00AC4AEA" w:rsidRDefault="0073319C" w:rsidP="00A318EA">
      <w:pPr>
        <w:pStyle w:val="A-Norgra"/>
        <w:numPr>
          <w:ilvl w:val="0"/>
          <w:numId w:val="51"/>
        </w:numPr>
        <w:ind w:left="1982" w:hanging="567"/>
        <w:jc w:val="both"/>
        <w:rPr>
          <w:rFonts w:ascii="Arial" w:hAnsi="Arial" w:cs="Arial"/>
          <w:color w:val="auto"/>
          <w:sz w:val="20"/>
          <w:szCs w:val="20"/>
        </w:rPr>
      </w:pPr>
      <w:r w:rsidRPr="00AC4AEA">
        <w:rPr>
          <w:rFonts w:ascii="Arial" w:hAnsi="Arial" w:cs="Arial"/>
          <w:color w:val="auto"/>
          <w:sz w:val="20"/>
          <w:szCs w:val="20"/>
        </w:rPr>
        <w:t>Actividades (deportivas, sociales, culturales, benéficas).</w:t>
      </w:r>
    </w:p>
    <w:p w:rsidR="0073319C" w:rsidRPr="00AC4AEA" w:rsidRDefault="0073319C" w:rsidP="00A318EA">
      <w:pPr>
        <w:pStyle w:val="A-Norgra"/>
        <w:numPr>
          <w:ilvl w:val="0"/>
          <w:numId w:val="51"/>
        </w:numPr>
        <w:ind w:left="1982" w:hanging="567"/>
        <w:jc w:val="both"/>
        <w:rPr>
          <w:rFonts w:ascii="Arial" w:hAnsi="Arial" w:cs="Arial"/>
          <w:color w:val="auto"/>
          <w:sz w:val="20"/>
          <w:szCs w:val="20"/>
        </w:rPr>
      </w:pPr>
      <w:r w:rsidRPr="00AC4AEA">
        <w:rPr>
          <w:rFonts w:ascii="Arial" w:hAnsi="Arial" w:cs="Arial"/>
          <w:color w:val="auto"/>
          <w:sz w:val="20"/>
          <w:szCs w:val="20"/>
        </w:rPr>
        <w:t>Tipo de función o servicio.</w:t>
      </w:r>
    </w:p>
    <w:p w:rsidR="0073319C" w:rsidRPr="00AC4AEA" w:rsidRDefault="0073319C" w:rsidP="00A318EA">
      <w:pPr>
        <w:pStyle w:val="A-Norgra"/>
        <w:numPr>
          <w:ilvl w:val="0"/>
          <w:numId w:val="51"/>
        </w:numPr>
        <w:ind w:left="1982" w:hanging="567"/>
        <w:jc w:val="both"/>
        <w:rPr>
          <w:rFonts w:ascii="Arial" w:hAnsi="Arial" w:cs="Arial"/>
          <w:color w:val="auto"/>
          <w:sz w:val="20"/>
          <w:szCs w:val="20"/>
        </w:rPr>
      </w:pPr>
      <w:r w:rsidRPr="00AC4AEA">
        <w:rPr>
          <w:rFonts w:ascii="Arial" w:hAnsi="Arial" w:cs="Arial"/>
          <w:color w:val="auto"/>
          <w:sz w:val="20"/>
          <w:szCs w:val="20"/>
        </w:rPr>
        <w:t>Usuario.</w:t>
      </w:r>
    </w:p>
    <w:p w:rsidR="002A0336" w:rsidRPr="00AC4AEA" w:rsidRDefault="002A0336"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Gastos generales de administración</w:t>
      </w:r>
      <w:r w:rsidRPr="00AC4AEA">
        <w:rPr>
          <w:rFonts w:ascii="Arial" w:hAnsi="Arial" w:cs="Arial"/>
          <w:b/>
          <w:bCs/>
          <w:color w:val="auto"/>
          <w:sz w:val="20"/>
          <w:szCs w:val="20"/>
        </w:rPr>
        <w:t xml:space="preserve">: </w:t>
      </w:r>
      <w:r w:rsidR="00F72FC1" w:rsidRPr="00AC4AEA">
        <w:rPr>
          <w:rFonts w:ascii="Arial" w:hAnsi="Arial" w:cs="Arial"/>
          <w:color w:val="auto"/>
          <w:sz w:val="20"/>
          <w:szCs w:val="20"/>
        </w:rPr>
        <w:t xml:space="preserve">Son </w:t>
      </w:r>
      <w:r w:rsidR="00474F9B" w:rsidRPr="00AC4AEA">
        <w:rPr>
          <w:rFonts w:ascii="Arial" w:hAnsi="Arial" w:cs="Arial"/>
          <w:color w:val="auto"/>
          <w:sz w:val="20"/>
          <w:szCs w:val="20"/>
        </w:rPr>
        <w:t>erogaciones</w:t>
      </w:r>
      <w:r w:rsidR="00F72FC1" w:rsidRPr="00AC4AEA">
        <w:rPr>
          <w:rFonts w:ascii="Arial" w:hAnsi="Arial" w:cs="Arial"/>
          <w:color w:val="auto"/>
          <w:sz w:val="20"/>
          <w:szCs w:val="20"/>
        </w:rPr>
        <w:t xml:space="preserve"> originad</w:t>
      </w:r>
      <w:r w:rsidR="00474F9B" w:rsidRPr="00AC4AEA">
        <w:rPr>
          <w:rFonts w:ascii="Arial" w:hAnsi="Arial" w:cs="Arial"/>
          <w:color w:val="auto"/>
          <w:sz w:val="20"/>
          <w:szCs w:val="20"/>
        </w:rPr>
        <w:t>a</w:t>
      </w:r>
      <w:r w:rsidR="00F72FC1" w:rsidRPr="00AC4AEA">
        <w:rPr>
          <w:rFonts w:ascii="Arial" w:hAnsi="Arial" w:cs="Arial"/>
          <w:color w:val="auto"/>
          <w:sz w:val="20"/>
          <w:szCs w:val="20"/>
        </w:rPr>
        <w:t>s en las actividades de una entidad</w:t>
      </w:r>
      <w:r w:rsidR="009619D9" w:rsidRPr="00AC4AEA">
        <w:rPr>
          <w:rFonts w:ascii="Arial" w:hAnsi="Arial" w:cs="Arial"/>
          <w:color w:val="auto"/>
          <w:sz w:val="20"/>
          <w:szCs w:val="20"/>
        </w:rPr>
        <w:t>,</w:t>
      </w:r>
      <w:r w:rsidR="00474F9B" w:rsidRPr="00AC4AEA">
        <w:rPr>
          <w:rFonts w:ascii="Arial" w:hAnsi="Arial" w:cs="Arial"/>
          <w:color w:val="auto"/>
          <w:sz w:val="20"/>
          <w:szCs w:val="20"/>
        </w:rPr>
        <w:t xml:space="preserve"> pero</w:t>
      </w:r>
      <w:r w:rsidR="00F72FC1" w:rsidRPr="00AC4AEA">
        <w:rPr>
          <w:rFonts w:ascii="Arial" w:hAnsi="Arial" w:cs="Arial"/>
          <w:color w:val="auto"/>
          <w:sz w:val="20"/>
          <w:szCs w:val="20"/>
        </w:rPr>
        <w:t xml:space="preserve"> no constituyen ga</w:t>
      </w:r>
      <w:r w:rsidR="009476D6" w:rsidRPr="00AC4AEA">
        <w:rPr>
          <w:rFonts w:ascii="Arial" w:hAnsi="Arial" w:cs="Arial"/>
          <w:color w:val="auto"/>
          <w:sz w:val="20"/>
          <w:szCs w:val="20"/>
        </w:rPr>
        <w:t>s</w:t>
      </w:r>
      <w:r w:rsidR="00F72FC1" w:rsidRPr="00AC4AEA">
        <w:rPr>
          <w:rFonts w:ascii="Arial" w:hAnsi="Arial" w:cs="Arial"/>
          <w:color w:val="auto"/>
          <w:sz w:val="20"/>
          <w:szCs w:val="20"/>
        </w:rPr>
        <w:t>tos de sectores</w:t>
      </w:r>
      <w:r w:rsidR="00474F9B" w:rsidRPr="00AC4AEA">
        <w:rPr>
          <w:rFonts w:ascii="Arial" w:hAnsi="Arial" w:cs="Arial"/>
          <w:color w:val="auto"/>
          <w:sz w:val="20"/>
          <w:szCs w:val="20"/>
        </w:rPr>
        <w:t xml:space="preserve"> determinados</w:t>
      </w:r>
      <w:r w:rsidR="00F72FC1" w:rsidRPr="00AC4AEA">
        <w:rPr>
          <w:rFonts w:ascii="Arial" w:hAnsi="Arial" w:cs="Arial"/>
          <w:color w:val="auto"/>
          <w:sz w:val="20"/>
          <w:szCs w:val="20"/>
        </w:rPr>
        <w:t>.</w:t>
      </w:r>
    </w:p>
    <w:p w:rsidR="0073319C" w:rsidRPr="00AC4AEA" w:rsidRDefault="0073319C"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Superávit (déficit) del ejercicio</w:t>
      </w:r>
      <w:r w:rsidRPr="00AC4AEA">
        <w:rPr>
          <w:rFonts w:ascii="Arial" w:hAnsi="Arial" w:cs="Arial"/>
          <w:b/>
          <w:bCs/>
          <w:color w:val="auto"/>
          <w:sz w:val="20"/>
          <w:szCs w:val="20"/>
        </w:rPr>
        <w:t xml:space="preserve">: </w:t>
      </w:r>
      <w:r w:rsidR="009476D6" w:rsidRPr="00AC4AEA">
        <w:rPr>
          <w:rFonts w:ascii="Arial" w:hAnsi="Arial" w:cs="Arial"/>
          <w:color w:val="auto"/>
          <w:sz w:val="20"/>
          <w:szCs w:val="20"/>
        </w:rPr>
        <w:t>E</w:t>
      </w:r>
      <w:r w:rsidRPr="00AC4AEA">
        <w:rPr>
          <w:rFonts w:ascii="Arial" w:hAnsi="Arial" w:cs="Arial"/>
          <w:color w:val="auto"/>
          <w:sz w:val="20"/>
          <w:szCs w:val="20"/>
        </w:rPr>
        <w:t>s el resultado neto obtenido mediante la sumatoria del conjunto de recursos y gastos.</w:t>
      </w:r>
    </w:p>
    <w:p w:rsidR="006650B5" w:rsidRPr="00AC4AEA" w:rsidRDefault="006650B5" w:rsidP="00A318EA">
      <w:pPr>
        <w:jc w:val="both"/>
        <w:rPr>
          <w:rFonts w:ascii="Arial" w:hAnsi="Arial" w:cs="Arial"/>
          <w:b/>
          <w:bCs/>
          <w:sz w:val="20"/>
          <w:szCs w:val="20"/>
        </w:rPr>
      </w:pPr>
    </w:p>
    <w:p w:rsidR="002A0336" w:rsidRPr="00AC4AEA" w:rsidRDefault="00A94FFE" w:rsidP="00A318EA">
      <w:pPr>
        <w:pStyle w:val="Ttulo3"/>
      </w:pPr>
      <w:bookmarkStart w:id="1023" w:name="_Toc101864045"/>
      <w:bookmarkStart w:id="1024" w:name="_Toc139356945"/>
      <w:r w:rsidRPr="00AC4AEA">
        <w:t>Cuestiones relacionadas con la e</w:t>
      </w:r>
      <w:r w:rsidR="002A0336" w:rsidRPr="00AC4AEA">
        <w:t>structura</w:t>
      </w:r>
      <w:bookmarkEnd w:id="1023"/>
      <w:bookmarkEnd w:id="1024"/>
    </w:p>
    <w:p w:rsidR="006650B5" w:rsidRPr="00AC4AEA" w:rsidRDefault="006650B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presentará por separado:</w:t>
      </w:r>
    </w:p>
    <w:p w:rsidR="006650B5" w:rsidRPr="00AC4AEA" w:rsidRDefault="006650B5" w:rsidP="00A318EA">
      <w:pPr>
        <w:pStyle w:val="Prrafodelista"/>
        <w:numPr>
          <w:ilvl w:val="0"/>
          <w:numId w:val="246"/>
        </w:numPr>
        <w:ind w:left="1560"/>
        <w:contextualSpacing w:val="0"/>
        <w:jc w:val="both"/>
        <w:rPr>
          <w:rFonts w:ascii="Arial" w:hAnsi="Arial" w:cs="Arial"/>
          <w:sz w:val="20"/>
          <w:szCs w:val="20"/>
        </w:rPr>
      </w:pPr>
      <w:r w:rsidRPr="00AC4AEA">
        <w:rPr>
          <w:rFonts w:ascii="Arial" w:hAnsi="Arial" w:cs="Arial"/>
          <w:sz w:val="20"/>
          <w:szCs w:val="20"/>
        </w:rPr>
        <w:t>En el cuerpo del estado, los recursos generados por las actividades ordinarias y los gastos necesarios para su obtención.</w:t>
      </w:r>
    </w:p>
    <w:p w:rsidR="006650B5" w:rsidRPr="00AC4AEA" w:rsidRDefault="006650B5" w:rsidP="00A318EA">
      <w:pPr>
        <w:pStyle w:val="Prrafodelista"/>
        <w:numPr>
          <w:ilvl w:val="0"/>
          <w:numId w:val="246"/>
        </w:numPr>
        <w:ind w:left="1560"/>
        <w:contextualSpacing w:val="0"/>
        <w:jc w:val="both"/>
        <w:rPr>
          <w:rFonts w:ascii="Arial" w:hAnsi="Arial" w:cs="Arial"/>
          <w:sz w:val="20"/>
          <w:szCs w:val="20"/>
        </w:rPr>
      </w:pPr>
      <w:r w:rsidRPr="00AC4AEA">
        <w:rPr>
          <w:rFonts w:ascii="Arial" w:hAnsi="Arial" w:cs="Arial"/>
          <w:sz w:val="20"/>
          <w:szCs w:val="20"/>
        </w:rPr>
        <w:t>En notas, cuando realice más de una actividad, los recursos generados por cada actividad y los gastos necesarios para su obtención.</w:t>
      </w:r>
    </w:p>
    <w:p w:rsidR="006650B5" w:rsidRPr="00AC4AEA" w:rsidRDefault="002A0336"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w:t>
      </w:r>
      <w:r w:rsidR="006650B5" w:rsidRPr="00AC4AEA">
        <w:rPr>
          <w:rFonts w:ascii="Arial" w:hAnsi="Arial" w:cs="Arial"/>
          <w:sz w:val="20"/>
          <w:szCs w:val="20"/>
        </w:rPr>
        <w:t xml:space="preserve">na entidad </w:t>
      </w:r>
      <w:r w:rsidRPr="00AC4AEA">
        <w:rPr>
          <w:rFonts w:ascii="Arial" w:hAnsi="Arial" w:cs="Arial"/>
          <w:sz w:val="20"/>
          <w:szCs w:val="20"/>
        </w:rPr>
        <w:t>presentará por separado las siguientes partidas:</w:t>
      </w:r>
    </w:p>
    <w:p w:rsidR="006650B5" w:rsidRPr="00AC4AEA" w:rsidRDefault="002A0336" w:rsidP="00A318EA">
      <w:pPr>
        <w:pStyle w:val="Prrafodelista"/>
        <w:numPr>
          <w:ilvl w:val="0"/>
          <w:numId w:val="247"/>
        </w:numPr>
        <w:ind w:left="1560"/>
        <w:contextualSpacing w:val="0"/>
        <w:jc w:val="both"/>
        <w:rPr>
          <w:rFonts w:ascii="Arial" w:hAnsi="Arial" w:cs="Arial"/>
          <w:sz w:val="20"/>
          <w:szCs w:val="20"/>
        </w:rPr>
      </w:pPr>
      <w:r w:rsidRPr="00AC4AEA">
        <w:rPr>
          <w:rFonts w:ascii="Arial" w:hAnsi="Arial" w:cs="Arial"/>
          <w:sz w:val="20"/>
          <w:szCs w:val="20"/>
        </w:rPr>
        <w:t>recursos generales;</w:t>
      </w:r>
    </w:p>
    <w:p w:rsidR="002A0336" w:rsidRPr="00AC4AEA" w:rsidRDefault="002A0336" w:rsidP="00A318EA">
      <w:pPr>
        <w:pStyle w:val="Prrafodelista"/>
        <w:numPr>
          <w:ilvl w:val="0"/>
          <w:numId w:val="247"/>
        </w:numPr>
        <w:ind w:left="1560"/>
        <w:contextualSpacing w:val="0"/>
        <w:jc w:val="both"/>
        <w:rPr>
          <w:rFonts w:ascii="Arial" w:hAnsi="Arial" w:cs="Arial"/>
          <w:sz w:val="20"/>
          <w:szCs w:val="20"/>
        </w:rPr>
      </w:pPr>
      <w:r w:rsidRPr="00AC4AEA">
        <w:rPr>
          <w:rFonts w:ascii="Arial" w:hAnsi="Arial" w:cs="Arial"/>
          <w:sz w:val="20"/>
          <w:szCs w:val="20"/>
        </w:rPr>
        <w:t xml:space="preserve">recursos para fines específicos; </w:t>
      </w:r>
    </w:p>
    <w:p w:rsidR="002A0336" w:rsidRPr="00AC4AEA" w:rsidRDefault="002A0336" w:rsidP="00A318EA">
      <w:pPr>
        <w:pStyle w:val="Prrafodelista"/>
        <w:numPr>
          <w:ilvl w:val="0"/>
          <w:numId w:val="247"/>
        </w:numPr>
        <w:ind w:left="1560"/>
        <w:contextualSpacing w:val="0"/>
        <w:jc w:val="both"/>
        <w:rPr>
          <w:rFonts w:ascii="Arial" w:hAnsi="Arial" w:cs="Arial"/>
          <w:sz w:val="20"/>
          <w:szCs w:val="20"/>
        </w:rPr>
      </w:pPr>
      <w:r w:rsidRPr="00AC4AEA">
        <w:rPr>
          <w:rFonts w:ascii="Arial" w:hAnsi="Arial" w:cs="Arial"/>
          <w:sz w:val="20"/>
          <w:szCs w:val="20"/>
        </w:rPr>
        <w:t>recursos diversos;</w:t>
      </w:r>
    </w:p>
    <w:p w:rsidR="002A0336" w:rsidRPr="00AC4AEA" w:rsidRDefault="002A0336" w:rsidP="00A318EA">
      <w:pPr>
        <w:pStyle w:val="Prrafodelista"/>
        <w:numPr>
          <w:ilvl w:val="0"/>
          <w:numId w:val="247"/>
        </w:numPr>
        <w:ind w:left="1560"/>
        <w:contextualSpacing w:val="0"/>
        <w:jc w:val="both"/>
        <w:rPr>
          <w:rFonts w:ascii="Arial" w:hAnsi="Arial" w:cs="Arial"/>
          <w:sz w:val="20"/>
          <w:szCs w:val="20"/>
        </w:rPr>
      </w:pPr>
      <w:r w:rsidRPr="00AC4AEA">
        <w:rPr>
          <w:rFonts w:ascii="Arial" w:hAnsi="Arial" w:cs="Arial"/>
          <w:sz w:val="20"/>
          <w:szCs w:val="20"/>
        </w:rPr>
        <w:t>gastos generales y de administración;</w:t>
      </w:r>
    </w:p>
    <w:p w:rsidR="002A0336" w:rsidRPr="00AC4AEA" w:rsidRDefault="002A0336" w:rsidP="00A318EA">
      <w:pPr>
        <w:pStyle w:val="Prrafodelista"/>
        <w:numPr>
          <w:ilvl w:val="0"/>
          <w:numId w:val="247"/>
        </w:numPr>
        <w:ind w:left="1560"/>
        <w:contextualSpacing w:val="0"/>
        <w:jc w:val="both"/>
        <w:rPr>
          <w:rFonts w:ascii="Arial" w:hAnsi="Arial" w:cs="Arial"/>
          <w:sz w:val="20"/>
          <w:szCs w:val="20"/>
        </w:rPr>
      </w:pPr>
      <w:r w:rsidRPr="00AC4AEA">
        <w:rPr>
          <w:rFonts w:ascii="Arial" w:hAnsi="Arial" w:cs="Arial"/>
          <w:sz w:val="20"/>
          <w:szCs w:val="20"/>
        </w:rPr>
        <w:t>gastos específicos de sectores;</w:t>
      </w:r>
    </w:p>
    <w:p w:rsidR="002A0336" w:rsidRPr="00AC4AEA" w:rsidRDefault="002A0336" w:rsidP="00A318EA">
      <w:pPr>
        <w:pStyle w:val="Prrafodelista"/>
        <w:numPr>
          <w:ilvl w:val="0"/>
          <w:numId w:val="247"/>
        </w:numPr>
        <w:ind w:left="1560"/>
        <w:contextualSpacing w:val="0"/>
        <w:jc w:val="both"/>
        <w:rPr>
          <w:rFonts w:ascii="Arial" w:hAnsi="Arial" w:cs="Arial"/>
          <w:sz w:val="20"/>
          <w:szCs w:val="20"/>
        </w:rPr>
      </w:pPr>
      <w:r w:rsidRPr="00AC4AEA">
        <w:rPr>
          <w:rFonts w:ascii="Arial" w:hAnsi="Arial" w:cs="Arial"/>
          <w:sz w:val="20"/>
          <w:szCs w:val="20"/>
        </w:rPr>
        <w:t xml:space="preserve">depreciaciones de bienes de uso y amortizaciones de </w:t>
      </w:r>
      <w:r w:rsidR="00497590" w:rsidRPr="00AC4AEA">
        <w:rPr>
          <w:rFonts w:ascii="Arial" w:hAnsi="Arial" w:cs="Arial"/>
          <w:sz w:val="20"/>
          <w:szCs w:val="20"/>
        </w:rPr>
        <w:t>activos</w:t>
      </w:r>
      <w:r w:rsidRPr="00AC4AEA">
        <w:rPr>
          <w:rFonts w:ascii="Arial" w:hAnsi="Arial" w:cs="Arial"/>
          <w:sz w:val="20"/>
          <w:szCs w:val="20"/>
        </w:rPr>
        <w:t xml:space="preserve"> intangibles;</w:t>
      </w:r>
    </w:p>
    <w:p w:rsidR="002A0336" w:rsidRPr="00AC4AEA" w:rsidRDefault="002A0336" w:rsidP="00A318EA">
      <w:pPr>
        <w:pStyle w:val="Prrafodelista"/>
        <w:numPr>
          <w:ilvl w:val="0"/>
          <w:numId w:val="247"/>
        </w:numPr>
        <w:ind w:left="1560"/>
        <w:contextualSpacing w:val="0"/>
        <w:jc w:val="both"/>
        <w:rPr>
          <w:rFonts w:ascii="Arial" w:hAnsi="Arial" w:cs="Arial"/>
          <w:sz w:val="20"/>
          <w:szCs w:val="20"/>
        </w:rPr>
      </w:pPr>
      <w:r w:rsidRPr="00AC4AEA">
        <w:rPr>
          <w:rFonts w:ascii="Arial" w:hAnsi="Arial" w:cs="Arial"/>
          <w:sz w:val="20"/>
          <w:szCs w:val="20"/>
        </w:rPr>
        <w:t>otros gastos;</w:t>
      </w:r>
    </w:p>
    <w:p w:rsidR="002A0336" w:rsidRPr="00AC4AEA" w:rsidRDefault="002A0336" w:rsidP="00A318EA">
      <w:pPr>
        <w:pStyle w:val="Prrafodelista"/>
        <w:numPr>
          <w:ilvl w:val="0"/>
          <w:numId w:val="247"/>
        </w:numPr>
        <w:ind w:left="1560"/>
        <w:contextualSpacing w:val="0"/>
        <w:jc w:val="both"/>
        <w:rPr>
          <w:rFonts w:ascii="Arial" w:hAnsi="Arial" w:cs="Arial"/>
          <w:sz w:val="20"/>
          <w:szCs w:val="20"/>
        </w:rPr>
      </w:pPr>
      <w:r w:rsidRPr="00AC4AEA">
        <w:rPr>
          <w:rFonts w:ascii="Arial" w:hAnsi="Arial" w:cs="Arial"/>
          <w:sz w:val="20"/>
          <w:szCs w:val="20"/>
        </w:rPr>
        <w:t>resultados financieros y de tenencia.</w:t>
      </w:r>
    </w:p>
    <w:p w:rsidR="00BE4345" w:rsidRPr="00AC4AEA" w:rsidRDefault="00BE4345" w:rsidP="00A318EA">
      <w:pPr>
        <w:jc w:val="both"/>
        <w:rPr>
          <w:rFonts w:ascii="Arial" w:hAnsi="Arial" w:cs="Arial"/>
          <w:sz w:val="20"/>
          <w:szCs w:val="20"/>
        </w:rPr>
      </w:pPr>
    </w:p>
    <w:p w:rsidR="0073319C" w:rsidRPr="00AC4AEA" w:rsidRDefault="0073319C" w:rsidP="00A318EA">
      <w:pPr>
        <w:pStyle w:val="Ttulo2"/>
        <w:rPr>
          <w:rFonts w:cs="Arial"/>
        </w:rPr>
      </w:pPr>
      <w:bookmarkStart w:id="1025" w:name="_Toc101864046"/>
      <w:bookmarkStart w:id="1026" w:name="_Toc139356946"/>
      <w:r w:rsidRPr="00AC4AEA">
        <w:rPr>
          <w:rFonts w:cs="Arial"/>
        </w:rPr>
        <w:t>Cuestiones referidas al estado de evolución del patrimonio neto de entidades sin fines de lucro</w:t>
      </w:r>
      <w:bookmarkEnd w:id="1025"/>
      <w:bookmarkEnd w:id="1026"/>
    </w:p>
    <w:p w:rsidR="00BD46C9" w:rsidRPr="00AC4AEA" w:rsidRDefault="00BD46C9"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 los fines de presentar el estado de </w:t>
      </w:r>
      <w:r w:rsidR="00474F9B" w:rsidRPr="00AC4AEA">
        <w:rPr>
          <w:rFonts w:ascii="Arial" w:hAnsi="Arial" w:cs="Arial"/>
          <w:sz w:val="20"/>
          <w:szCs w:val="20"/>
        </w:rPr>
        <w:t>evolución del patrimonio neto</w:t>
      </w:r>
      <w:r w:rsidRPr="00AC4AEA">
        <w:rPr>
          <w:rFonts w:ascii="Arial" w:hAnsi="Arial" w:cs="Arial"/>
          <w:sz w:val="20"/>
          <w:szCs w:val="20"/>
        </w:rPr>
        <w:t xml:space="preserve">, una entidad sin fines de lucro aplicará los requerimientos de esta sección y de la sección </w:t>
      </w:r>
      <w:r w:rsidRPr="00AC4AEA">
        <w:rPr>
          <w:rFonts w:ascii="Arial" w:hAnsi="Arial" w:cs="Arial"/>
          <w:sz w:val="20"/>
          <w:szCs w:val="20"/>
        </w:rPr>
        <w:lastRenderedPageBreak/>
        <w:t>“</w:t>
      </w:r>
      <w:r w:rsidR="00D55D28" w:rsidRPr="00AC4AEA">
        <w:rPr>
          <w:rFonts w:ascii="Arial" w:hAnsi="Arial" w:cs="Arial"/>
          <w:sz w:val="20"/>
          <w:szCs w:val="20"/>
          <w:u w:val="single"/>
        </w:rPr>
        <w:t>Cuestiones referidas al estado evolución del patrimonio neto</w:t>
      </w:r>
      <w:r w:rsidRPr="00AC4AEA">
        <w:rPr>
          <w:rFonts w:ascii="Arial" w:hAnsi="Arial" w:cs="Arial"/>
          <w:sz w:val="20"/>
          <w:szCs w:val="20"/>
        </w:rPr>
        <w:t>”</w:t>
      </w:r>
      <w:r w:rsidR="00076C8C" w:rsidRPr="00AC4AEA">
        <w:rPr>
          <w:rFonts w:ascii="Arial" w:hAnsi="Arial" w:cs="Arial"/>
          <w:sz w:val="20"/>
          <w:szCs w:val="20"/>
        </w:rPr>
        <w:t xml:space="preserve"> [ver los párrafos </w:t>
      </w:r>
      <w:fldSimple w:instr=" REF _Ref99491581 \r \h  \* MERGEFORMAT ">
        <w:r w:rsidR="00D33A5D" w:rsidRPr="00D33A5D">
          <w:rPr>
            <w:rFonts w:ascii="Arial" w:hAnsi="Arial" w:cs="Arial"/>
            <w:sz w:val="20"/>
            <w:szCs w:val="20"/>
          </w:rPr>
          <w:t>642</w:t>
        </w:r>
      </w:fldSimple>
      <w:r w:rsidR="00EE3742" w:rsidRPr="00AC4AEA">
        <w:rPr>
          <w:rFonts w:ascii="Arial" w:hAnsi="Arial" w:cs="Arial"/>
          <w:sz w:val="20"/>
          <w:szCs w:val="20"/>
        </w:rPr>
        <w:t xml:space="preserve"> a </w:t>
      </w:r>
      <w:fldSimple w:instr=" REF _Ref99491592 \r \h  \* MERGEFORMAT ">
        <w:r w:rsidR="00D33A5D" w:rsidRPr="00D33A5D">
          <w:rPr>
            <w:rFonts w:ascii="Arial" w:hAnsi="Arial" w:cs="Arial"/>
            <w:sz w:val="20"/>
            <w:szCs w:val="20"/>
          </w:rPr>
          <w:t>648</w:t>
        </w:r>
      </w:fldSimple>
      <w:r w:rsidR="00076C8C" w:rsidRPr="00AC4AEA">
        <w:rPr>
          <w:rFonts w:ascii="Arial" w:hAnsi="Arial" w:cs="Arial"/>
          <w:sz w:val="20"/>
          <w:szCs w:val="20"/>
        </w:rPr>
        <w:t>]</w:t>
      </w:r>
      <w:r w:rsidRPr="00AC4AEA">
        <w:rPr>
          <w:rFonts w:ascii="Arial" w:hAnsi="Arial" w:cs="Arial"/>
          <w:sz w:val="20"/>
          <w:szCs w:val="20"/>
        </w:rPr>
        <w:t>.</w:t>
      </w:r>
    </w:p>
    <w:p w:rsidR="00A94FFE" w:rsidRPr="00AC4AEA" w:rsidRDefault="00A94FFE" w:rsidP="00A318EA">
      <w:pPr>
        <w:pStyle w:val="A-doctorado"/>
        <w:jc w:val="both"/>
        <w:rPr>
          <w:rFonts w:ascii="Arial" w:hAnsi="Arial"/>
          <w:color w:val="auto"/>
          <w:sz w:val="20"/>
          <w:szCs w:val="20"/>
        </w:rPr>
      </w:pPr>
    </w:p>
    <w:p w:rsidR="0073319C" w:rsidRPr="00AC4AEA" w:rsidRDefault="0073319C" w:rsidP="00A318EA">
      <w:pPr>
        <w:pStyle w:val="Ttulo3"/>
      </w:pPr>
      <w:bookmarkStart w:id="1027" w:name="_Toc101864047"/>
      <w:bookmarkStart w:id="1028" w:name="_Toc139356947"/>
      <w:r w:rsidRPr="00AC4AEA">
        <w:t>Definiciones</w:t>
      </w:r>
      <w:bookmarkEnd w:id="1027"/>
      <w:bookmarkEnd w:id="1028"/>
    </w:p>
    <w:p w:rsidR="0073319C" w:rsidRPr="00AC4AEA" w:rsidRDefault="0073319C"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A los fines de presentar el estado contable referido en esta sección, una entidad deberá considerar las siguientes definiciones:</w:t>
      </w:r>
    </w:p>
    <w:p w:rsidR="009476D6" w:rsidRPr="00AC4AEA" w:rsidRDefault="0073319C"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Capital</w:t>
      </w:r>
      <w:r w:rsidRPr="00AC4AEA">
        <w:rPr>
          <w:rFonts w:ascii="Arial" w:hAnsi="Arial" w:cs="Arial"/>
          <w:b/>
          <w:bCs/>
          <w:color w:val="auto"/>
          <w:sz w:val="20"/>
          <w:szCs w:val="20"/>
        </w:rPr>
        <w:t xml:space="preserve">: </w:t>
      </w:r>
      <w:r w:rsidRPr="00AC4AEA">
        <w:rPr>
          <w:rFonts w:ascii="Arial" w:hAnsi="Arial" w:cs="Arial"/>
          <w:color w:val="auto"/>
          <w:sz w:val="20"/>
          <w:szCs w:val="20"/>
        </w:rPr>
        <w:t>Comprende</w:t>
      </w:r>
      <w:r w:rsidR="009476D6" w:rsidRPr="00AC4AEA">
        <w:rPr>
          <w:rFonts w:ascii="Arial" w:hAnsi="Arial" w:cs="Arial"/>
          <w:color w:val="auto"/>
          <w:sz w:val="20"/>
          <w:szCs w:val="20"/>
        </w:rPr>
        <w:t>:</w:t>
      </w:r>
      <w:r w:rsidRPr="00AC4AEA">
        <w:rPr>
          <w:rFonts w:ascii="Arial" w:hAnsi="Arial" w:cs="Arial"/>
          <w:color w:val="auto"/>
          <w:sz w:val="20"/>
          <w:szCs w:val="20"/>
        </w:rPr>
        <w:t xml:space="preserve"> </w:t>
      </w:r>
    </w:p>
    <w:p w:rsidR="009476D6" w:rsidRPr="00AC4AEA" w:rsidRDefault="0073319C" w:rsidP="00A318EA">
      <w:pPr>
        <w:pStyle w:val="A-Norgra"/>
        <w:numPr>
          <w:ilvl w:val="0"/>
          <w:numId w:val="248"/>
        </w:numPr>
        <w:ind w:left="1983"/>
        <w:jc w:val="both"/>
        <w:rPr>
          <w:rFonts w:ascii="Arial" w:hAnsi="Arial" w:cs="Arial"/>
          <w:color w:val="auto"/>
          <w:sz w:val="20"/>
          <w:szCs w:val="20"/>
        </w:rPr>
      </w:pPr>
      <w:r w:rsidRPr="00AC4AEA">
        <w:rPr>
          <w:rFonts w:ascii="Arial" w:hAnsi="Arial" w:cs="Arial"/>
          <w:color w:val="auto"/>
          <w:sz w:val="20"/>
          <w:szCs w:val="20"/>
        </w:rPr>
        <w:t>los aportes específicos efectuados por los asociados</w:t>
      </w:r>
      <w:r w:rsidR="00DA5497" w:rsidRPr="00AC4AEA">
        <w:rPr>
          <w:rFonts w:ascii="Arial" w:hAnsi="Arial" w:cs="Arial"/>
          <w:color w:val="auto"/>
          <w:sz w:val="20"/>
          <w:szCs w:val="20"/>
        </w:rPr>
        <w:t xml:space="preserve">, transferidos una vez utilizados de acuerdo </w:t>
      </w:r>
      <w:r w:rsidR="00474F9B" w:rsidRPr="00AC4AEA">
        <w:rPr>
          <w:rFonts w:ascii="Arial" w:hAnsi="Arial" w:cs="Arial"/>
          <w:color w:val="auto"/>
          <w:sz w:val="20"/>
          <w:szCs w:val="20"/>
        </w:rPr>
        <w:t>con el</w:t>
      </w:r>
      <w:r w:rsidR="00DA5497" w:rsidRPr="00AC4AEA">
        <w:rPr>
          <w:rFonts w:ascii="Arial" w:hAnsi="Arial" w:cs="Arial"/>
          <w:color w:val="auto"/>
          <w:sz w:val="20"/>
          <w:szCs w:val="20"/>
        </w:rPr>
        <w:t xml:space="preserve"> destino previsto</w:t>
      </w:r>
      <w:r w:rsidR="009476D6" w:rsidRPr="00AC4AEA">
        <w:rPr>
          <w:rFonts w:ascii="Arial" w:hAnsi="Arial" w:cs="Arial"/>
          <w:color w:val="auto"/>
          <w:sz w:val="20"/>
          <w:szCs w:val="20"/>
        </w:rPr>
        <w:t>;</w:t>
      </w:r>
      <w:r w:rsidRPr="00AC4AEA">
        <w:rPr>
          <w:rFonts w:ascii="Arial" w:hAnsi="Arial" w:cs="Arial"/>
          <w:color w:val="auto"/>
          <w:sz w:val="20"/>
          <w:szCs w:val="20"/>
        </w:rPr>
        <w:t xml:space="preserve"> y </w:t>
      </w:r>
    </w:p>
    <w:p w:rsidR="009476D6" w:rsidRPr="00AC4AEA" w:rsidRDefault="0073319C" w:rsidP="00A318EA">
      <w:pPr>
        <w:pStyle w:val="A-Norgra"/>
        <w:numPr>
          <w:ilvl w:val="0"/>
          <w:numId w:val="248"/>
        </w:numPr>
        <w:ind w:left="1983"/>
        <w:jc w:val="both"/>
        <w:rPr>
          <w:rFonts w:ascii="Arial" w:hAnsi="Arial" w:cs="Arial"/>
          <w:color w:val="auto"/>
          <w:sz w:val="20"/>
          <w:szCs w:val="20"/>
        </w:rPr>
      </w:pPr>
      <w:r w:rsidRPr="00AC4AEA">
        <w:rPr>
          <w:rFonts w:ascii="Arial" w:hAnsi="Arial" w:cs="Arial"/>
          <w:color w:val="auto"/>
          <w:sz w:val="20"/>
          <w:szCs w:val="20"/>
        </w:rPr>
        <w:t>los superávits producidos y asignados al capital</w:t>
      </w:r>
      <w:r w:rsidR="009476D6" w:rsidRPr="00AC4AEA">
        <w:rPr>
          <w:rFonts w:ascii="Arial" w:hAnsi="Arial" w:cs="Arial"/>
          <w:color w:val="auto"/>
          <w:sz w:val="20"/>
          <w:szCs w:val="20"/>
        </w:rPr>
        <w:t>.</w:t>
      </w:r>
    </w:p>
    <w:p w:rsidR="00E4728B" w:rsidRPr="00AC4AEA" w:rsidRDefault="009476D6" w:rsidP="00A318EA">
      <w:pPr>
        <w:pStyle w:val="A-Norgra"/>
        <w:ind w:left="1416"/>
        <w:jc w:val="both"/>
        <w:rPr>
          <w:rFonts w:ascii="Arial" w:hAnsi="Arial" w:cs="Arial"/>
          <w:color w:val="auto"/>
          <w:sz w:val="20"/>
          <w:szCs w:val="20"/>
        </w:rPr>
      </w:pPr>
      <w:r w:rsidRPr="00AC4AEA">
        <w:rPr>
          <w:rFonts w:ascii="Arial" w:hAnsi="Arial" w:cs="Arial"/>
          <w:color w:val="auto"/>
          <w:sz w:val="20"/>
          <w:szCs w:val="20"/>
        </w:rPr>
        <w:t>Dichos componentes integral el capital</w:t>
      </w:r>
      <w:r w:rsidR="00E4728B" w:rsidRPr="00AC4AEA">
        <w:rPr>
          <w:rFonts w:ascii="Arial" w:hAnsi="Arial" w:cs="Arial"/>
          <w:color w:val="auto"/>
          <w:sz w:val="20"/>
          <w:szCs w:val="20"/>
        </w:rPr>
        <w:t xml:space="preserve"> incluso si, en caso de liquidación y por disposición de los estatutos o la legislación, corresponde transferir o legar el remanente que se obtenga luego de realizar el </w:t>
      </w:r>
      <w:r w:rsidR="00E4728B" w:rsidRPr="00AC4AEA">
        <w:rPr>
          <w:rFonts w:ascii="Arial" w:hAnsi="Arial" w:cs="Arial"/>
          <w:b/>
          <w:bCs/>
          <w:color w:val="auto"/>
          <w:sz w:val="20"/>
          <w:szCs w:val="20"/>
        </w:rPr>
        <w:t>activo</w:t>
      </w:r>
      <w:r w:rsidR="00E4728B" w:rsidRPr="00AC4AEA">
        <w:rPr>
          <w:rFonts w:ascii="Arial" w:hAnsi="Arial" w:cs="Arial"/>
          <w:color w:val="auto"/>
          <w:sz w:val="20"/>
          <w:szCs w:val="20"/>
        </w:rPr>
        <w:t xml:space="preserve"> y cancelar el </w:t>
      </w:r>
      <w:r w:rsidR="00E4728B" w:rsidRPr="005013E2">
        <w:rPr>
          <w:rFonts w:ascii="Arial" w:hAnsi="Arial" w:cs="Arial"/>
          <w:b/>
          <w:bCs/>
          <w:color w:val="auto"/>
          <w:sz w:val="20"/>
          <w:szCs w:val="20"/>
        </w:rPr>
        <w:t>pasivo</w:t>
      </w:r>
      <w:r w:rsidR="00E4728B" w:rsidRPr="00AC4AEA">
        <w:rPr>
          <w:rFonts w:ascii="Arial" w:hAnsi="Arial" w:cs="Arial"/>
          <w:color w:val="auto"/>
          <w:sz w:val="20"/>
          <w:szCs w:val="20"/>
        </w:rPr>
        <w:t xml:space="preserve">: </w:t>
      </w:r>
    </w:p>
    <w:p w:rsidR="0073319C" w:rsidRPr="00AC4AEA" w:rsidRDefault="00E4728B" w:rsidP="00A318EA">
      <w:pPr>
        <w:pStyle w:val="A-Norgra"/>
        <w:numPr>
          <w:ilvl w:val="0"/>
          <w:numId w:val="249"/>
        </w:numPr>
        <w:ind w:left="1983"/>
        <w:jc w:val="both"/>
        <w:rPr>
          <w:rFonts w:ascii="Arial" w:hAnsi="Arial" w:cs="Arial"/>
          <w:color w:val="auto"/>
          <w:sz w:val="20"/>
          <w:szCs w:val="20"/>
        </w:rPr>
      </w:pPr>
      <w:r w:rsidRPr="00AC4AEA">
        <w:rPr>
          <w:rFonts w:ascii="Arial" w:hAnsi="Arial" w:cs="Arial"/>
          <w:color w:val="auto"/>
          <w:sz w:val="20"/>
          <w:szCs w:val="20"/>
        </w:rPr>
        <w:t>a una entidad sin fines de lucro; o</w:t>
      </w:r>
    </w:p>
    <w:p w:rsidR="00E4728B" w:rsidRPr="00AC4AEA" w:rsidRDefault="00E4728B" w:rsidP="00A318EA">
      <w:pPr>
        <w:pStyle w:val="A-Norgra"/>
        <w:numPr>
          <w:ilvl w:val="0"/>
          <w:numId w:val="249"/>
        </w:numPr>
        <w:ind w:left="1983"/>
        <w:jc w:val="both"/>
        <w:rPr>
          <w:rFonts w:ascii="Arial" w:hAnsi="Arial" w:cs="Arial"/>
          <w:color w:val="auto"/>
          <w:sz w:val="20"/>
          <w:szCs w:val="20"/>
        </w:rPr>
      </w:pPr>
      <w:r w:rsidRPr="00AC4AEA">
        <w:rPr>
          <w:rFonts w:ascii="Arial" w:hAnsi="Arial" w:cs="Arial"/>
          <w:color w:val="auto"/>
          <w:sz w:val="20"/>
          <w:szCs w:val="20"/>
        </w:rPr>
        <w:t>al patrimonio estatal.</w:t>
      </w:r>
    </w:p>
    <w:p w:rsidR="00474F9B" w:rsidRPr="00AC4AEA" w:rsidRDefault="00E4728B"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Aportes de fondos para fines específicos</w:t>
      </w:r>
      <w:r w:rsidRPr="00AC4AEA">
        <w:rPr>
          <w:rFonts w:ascii="Arial" w:hAnsi="Arial" w:cs="Arial"/>
          <w:color w:val="auto"/>
          <w:sz w:val="20"/>
          <w:szCs w:val="20"/>
        </w:rPr>
        <w:t>:</w:t>
      </w:r>
      <w:r w:rsidRPr="00AC4AEA">
        <w:rPr>
          <w:rFonts w:ascii="Arial" w:hAnsi="Arial" w:cs="Arial"/>
          <w:b/>
          <w:bCs/>
          <w:color w:val="auto"/>
          <w:sz w:val="20"/>
          <w:szCs w:val="20"/>
        </w:rPr>
        <w:t xml:space="preserve"> </w:t>
      </w:r>
      <w:r w:rsidRPr="00AC4AEA">
        <w:rPr>
          <w:rFonts w:ascii="Arial" w:hAnsi="Arial" w:cs="Arial"/>
          <w:color w:val="auto"/>
          <w:sz w:val="20"/>
          <w:szCs w:val="20"/>
        </w:rPr>
        <w:t xml:space="preserve">Son fondos originados en aportes de asociados con fines específicos y destinados al incremento del patrimonio social y no a la prestación de servicios o el desarrollo de actividades recurrentes, tales como los fondos para la construcción de obras edilicias. </w:t>
      </w:r>
      <w:r w:rsidR="00474F9B" w:rsidRPr="00AC4AEA">
        <w:rPr>
          <w:rFonts w:ascii="Arial" w:hAnsi="Arial" w:cs="Arial"/>
          <w:color w:val="auto"/>
          <w:sz w:val="20"/>
          <w:szCs w:val="20"/>
        </w:rPr>
        <w:t>Estos fondos:</w:t>
      </w:r>
    </w:p>
    <w:p w:rsidR="00474F9B" w:rsidRPr="00AC4AEA" w:rsidRDefault="00474F9B" w:rsidP="00A318EA">
      <w:pPr>
        <w:pStyle w:val="A-Norgra"/>
        <w:numPr>
          <w:ilvl w:val="0"/>
          <w:numId w:val="54"/>
        </w:numPr>
        <w:ind w:left="1982" w:hanging="567"/>
        <w:jc w:val="both"/>
        <w:rPr>
          <w:rFonts w:ascii="Arial" w:hAnsi="Arial" w:cs="Arial"/>
          <w:color w:val="auto"/>
          <w:sz w:val="20"/>
          <w:szCs w:val="20"/>
        </w:rPr>
      </w:pPr>
      <w:r w:rsidRPr="00AC4AEA">
        <w:rPr>
          <w:rFonts w:ascii="Arial" w:hAnsi="Arial" w:cs="Arial"/>
          <w:color w:val="auto"/>
          <w:sz w:val="20"/>
          <w:szCs w:val="20"/>
        </w:rPr>
        <w:t>Deben incluirse en el</w:t>
      </w:r>
      <w:r w:rsidR="00E4728B" w:rsidRPr="00AC4AEA">
        <w:rPr>
          <w:rFonts w:ascii="Arial" w:hAnsi="Arial" w:cs="Arial"/>
          <w:color w:val="auto"/>
          <w:sz w:val="20"/>
          <w:szCs w:val="20"/>
        </w:rPr>
        <w:t xml:space="preserve"> </w:t>
      </w:r>
      <w:r w:rsidR="00E4728B" w:rsidRPr="00AC4AEA">
        <w:rPr>
          <w:rFonts w:ascii="Arial" w:hAnsi="Arial" w:cs="Arial"/>
          <w:b/>
          <w:bCs/>
          <w:color w:val="auto"/>
          <w:sz w:val="20"/>
          <w:szCs w:val="20"/>
        </w:rPr>
        <w:t>patrimonio neto</w:t>
      </w:r>
      <w:r w:rsidRPr="00AC4AEA">
        <w:rPr>
          <w:rFonts w:ascii="Arial" w:hAnsi="Arial" w:cs="Arial"/>
          <w:color w:val="auto"/>
          <w:sz w:val="20"/>
          <w:szCs w:val="20"/>
        </w:rPr>
        <w:t xml:space="preserve"> si</w:t>
      </w:r>
      <w:r w:rsidR="00E4728B" w:rsidRPr="00AC4AEA">
        <w:rPr>
          <w:rFonts w:ascii="Arial" w:hAnsi="Arial" w:cs="Arial"/>
          <w:color w:val="auto"/>
          <w:sz w:val="20"/>
          <w:szCs w:val="20"/>
        </w:rPr>
        <w:t xml:space="preserve"> </w:t>
      </w:r>
      <w:r w:rsidRPr="00AC4AEA">
        <w:rPr>
          <w:rFonts w:ascii="Arial" w:hAnsi="Arial" w:cs="Arial"/>
          <w:color w:val="auto"/>
          <w:sz w:val="20"/>
          <w:szCs w:val="20"/>
        </w:rPr>
        <w:t>sus</w:t>
      </w:r>
      <w:r w:rsidR="00E4728B" w:rsidRPr="00AC4AEA">
        <w:rPr>
          <w:rFonts w:ascii="Arial" w:hAnsi="Arial" w:cs="Arial"/>
          <w:color w:val="auto"/>
          <w:sz w:val="20"/>
          <w:szCs w:val="20"/>
        </w:rPr>
        <w:t xml:space="preserve"> destinatarios no </w:t>
      </w:r>
      <w:r w:rsidRPr="00AC4AEA">
        <w:rPr>
          <w:rFonts w:ascii="Arial" w:hAnsi="Arial" w:cs="Arial"/>
          <w:color w:val="auto"/>
          <w:sz w:val="20"/>
          <w:szCs w:val="20"/>
        </w:rPr>
        <w:t>son</w:t>
      </w:r>
      <w:r w:rsidR="00E4728B" w:rsidRPr="00AC4AEA">
        <w:rPr>
          <w:rFonts w:ascii="Arial" w:hAnsi="Arial" w:cs="Arial"/>
          <w:color w:val="auto"/>
          <w:sz w:val="20"/>
          <w:szCs w:val="20"/>
        </w:rPr>
        <w:t xml:space="preserve"> terceros distintos de la entidad. </w:t>
      </w:r>
    </w:p>
    <w:p w:rsidR="00F24BD2" w:rsidRPr="00AC4AEA" w:rsidRDefault="00474F9B" w:rsidP="00A318EA">
      <w:pPr>
        <w:pStyle w:val="A-Norgra"/>
        <w:numPr>
          <w:ilvl w:val="0"/>
          <w:numId w:val="54"/>
        </w:numPr>
        <w:ind w:left="1982" w:hanging="567"/>
        <w:jc w:val="both"/>
        <w:rPr>
          <w:rFonts w:ascii="Arial" w:hAnsi="Arial" w:cs="Arial"/>
          <w:color w:val="auto"/>
          <w:sz w:val="20"/>
          <w:szCs w:val="20"/>
        </w:rPr>
      </w:pPr>
      <w:r w:rsidRPr="00AC4AEA">
        <w:rPr>
          <w:rFonts w:ascii="Arial" w:hAnsi="Arial" w:cs="Arial"/>
          <w:color w:val="auto"/>
          <w:sz w:val="20"/>
          <w:szCs w:val="20"/>
        </w:rPr>
        <w:t>D</w:t>
      </w:r>
      <w:r w:rsidR="00E4728B" w:rsidRPr="00AC4AEA">
        <w:rPr>
          <w:rFonts w:ascii="Arial" w:hAnsi="Arial" w:cs="Arial"/>
          <w:color w:val="auto"/>
          <w:sz w:val="20"/>
          <w:szCs w:val="20"/>
        </w:rPr>
        <w:t>eben transferirse al capital en la medida de su utilización para el destino previsto.</w:t>
      </w:r>
    </w:p>
    <w:p w:rsidR="000A65AC" w:rsidRPr="00AC4AEA" w:rsidRDefault="000A65AC"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Superávits (déficits) no asignados</w:t>
      </w:r>
      <w:r w:rsidRPr="00AC4AEA">
        <w:rPr>
          <w:rFonts w:ascii="Arial" w:hAnsi="Arial" w:cs="Arial"/>
          <w:color w:val="auto"/>
          <w:sz w:val="20"/>
          <w:szCs w:val="20"/>
        </w:rPr>
        <w:t>:</w:t>
      </w:r>
      <w:r w:rsidRPr="00AC4AEA">
        <w:rPr>
          <w:rFonts w:ascii="Arial" w:hAnsi="Arial" w:cs="Arial"/>
          <w:b/>
          <w:bCs/>
          <w:color w:val="auto"/>
          <w:sz w:val="20"/>
          <w:szCs w:val="20"/>
        </w:rPr>
        <w:t xml:space="preserve"> </w:t>
      </w:r>
      <w:r w:rsidRPr="00AC4AEA">
        <w:rPr>
          <w:rFonts w:ascii="Arial" w:hAnsi="Arial" w:cs="Arial"/>
          <w:color w:val="auto"/>
          <w:sz w:val="20"/>
          <w:szCs w:val="20"/>
        </w:rPr>
        <w:t xml:space="preserve">Son superávits (déficits) sin asignación </w:t>
      </w:r>
      <w:r w:rsidR="00A94FFE" w:rsidRPr="00AC4AEA">
        <w:rPr>
          <w:rFonts w:ascii="Arial" w:hAnsi="Arial" w:cs="Arial"/>
          <w:color w:val="auto"/>
          <w:sz w:val="20"/>
          <w:szCs w:val="20"/>
        </w:rPr>
        <w:t>específica.</w:t>
      </w:r>
    </w:p>
    <w:p w:rsidR="00BD46C9" w:rsidRPr="00AC4AEA" w:rsidRDefault="00BD46C9" w:rsidP="00A318EA">
      <w:pPr>
        <w:pStyle w:val="A-Norgra"/>
        <w:ind w:left="1416"/>
        <w:jc w:val="both"/>
        <w:rPr>
          <w:rFonts w:ascii="Arial" w:hAnsi="Arial" w:cs="Arial"/>
          <w:color w:val="auto"/>
          <w:sz w:val="20"/>
          <w:szCs w:val="20"/>
        </w:rPr>
      </w:pPr>
      <w:r w:rsidRPr="00AC4AEA">
        <w:rPr>
          <w:rFonts w:ascii="Arial" w:hAnsi="Arial" w:cs="Arial"/>
          <w:color w:val="auto"/>
          <w:sz w:val="20"/>
          <w:szCs w:val="20"/>
          <w:u w:val="single"/>
        </w:rPr>
        <w:t>Superávits (déficits) diferidos</w:t>
      </w:r>
      <w:r w:rsidRPr="00AC4AEA">
        <w:rPr>
          <w:rFonts w:ascii="Arial" w:hAnsi="Arial" w:cs="Arial"/>
          <w:color w:val="auto"/>
          <w:sz w:val="20"/>
          <w:szCs w:val="20"/>
        </w:rPr>
        <w:t>:</w:t>
      </w:r>
      <w:r w:rsidRPr="00AC4AEA">
        <w:rPr>
          <w:rFonts w:ascii="Arial" w:hAnsi="Arial" w:cs="Arial"/>
          <w:b/>
          <w:bCs/>
          <w:color w:val="auto"/>
          <w:sz w:val="20"/>
          <w:szCs w:val="20"/>
        </w:rPr>
        <w:t xml:space="preserve"> </w:t>
      </w:r>
      <w:r w:rsidRPr="00AC4AEA">
        <w:rPr>
          <w:rFonts w:ascii="Arial" w:hAnsi="Arial" w:cs="Arial"/>
          <w:color w:val="auto"/>
          <w:sz w:val="20"/>
          <w:szCs w:val="20"/>
        </w:rPr>
        <w:t>Se componen de partidas equivalentes al resultado diferido.</w:t>
      </w:r>
    </w:p>
    <w:p w:rsidR="004C4765" w:rsidRPr="00AC4AEA" w:rsidRDefault="004C4765" w:rsidP="00A318EA">
      <w:pPr>
        <w:ind w:left="141"/>
        <w:jc w:val="both"/>
        <w:rPr>
          <w:rFonts w:ascii="Arial" w:hAnsi="Arial" w:cs="Arial"/>
          <w:sz w:val="20"/>
          <w:szCs w:val="20"/>
        </w:rPr>
      </w:pPr>
    </w:p>
    <w:p w:rsidR="00A94FFE" w:rsidRPr="00AC4AEA" w:rsidRDefault="00A94FFE" w:rsidP="00A318EA">
      <w:pPr>
        <w:pStyle w:val="Ttulo3"/>
      </w:pPr>
      <w:bookmarkStart w:id="1029" w:name="_Toc101864048"/>
      <w:bookmarkStart w:id="1030" w:name="_Toc139356948"/>
      <w:r w:rsidRPr="00AC4AEA">
        <w:t>Cuestiones relacionadas con la estructura</w:t>
      </w:r>
      <w:bookmarkEnd w:id="1029"/>
      <w:bookmarkEnd w:id="1030"/>
    </w:p>
    <w:p w:rsidR="00A94FFE" w:rsidRPr="00AC4AEA" w:rsidRDefault="00A94FFE"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Dentro de los superávits (déficits) acumulados, una entidad expondrá en forma diferenciada:</w:t>
      </w:r>
    </w:p>
    <w:p w:rsidR="00A94FFE" w:rsidRPr="00AC4AEA" w:rsidRDefault="00A94FFE" w:rsidP="00A318EA">
      <w:pPr>
        <w:pStyle w:val="Prrafodelista"/>
        <w:numPr>
          <w:ilvl w:val="0"/>
          <w:numId w:val="250"/>
        </w:numPr>
        <w:ind w:left="1560"/>
        <w:contextualSpacing w:val="0"/>
        <w:jc w:val="both"/>
        <w:rPr>
          <w:rFonts w:ascii="Arial" w:hAnsi="Arial" w:cs="Arial"/>
          <w:sz w:val="20"/>
          <w:szCs w:val="20"/>
        </w:rPr>
      </w:pPr>
      <w:r w:rsidRPr="00AC4AEA">
        <w:rPr>
          <w:rFonts w:ascii="Arial" w:hAnsi="Arial" w:cs="Arial"/>
          <w:sz w:val="20"/>
          <w:szCs w:val="20"/>
        </w:rPr>
        <w:t>el superávit (déficit) del período acumulado; y</w:t>
      </w:r>
    </w:p>
    <w:p w:rsidR="00A94FFE" w:rsidRPr="00AC4AEA" w:rsidRDefault="00A94FFE" w:rsidP="00A318EA">
      <w:pPr>
        <w:pStyle w:val="Prrafodelista"/>
        <w:numPr>
          <w:ilvl w:val="0"/>
          <w:numId w:val="250"/>
        </w:numPr>
        <w:ind w:left="1560"/>
        <w:contextualSpacing w:val="0"/>
        <w:jc w:val="both"/>
        <w:rPr>
          <w:rFonts w:ascii="Arial" w:hAnsi="Arial" w:cs="Arial"/>
          <w:sz w:val="20"/>
          <w:szCs w:val="20"/>
        </w:rPr>
      </w:pPr>
      <w:r w:rsidRPr="00AC4AEA">
        <w:rPr>
          <w:rFonts w:ascii="Arial" w:hAnsi="Arial" w:cs="Arial"/>
          <w:sz w:val="20"/>
          <w:szCs w:val="20"/>
        </w:rPr>
        <w:t>el superávit (déficit) diferido acumulado.</w:t>
      </w:r>
    </w:p>
    <w:p w:rsidR="00AB707F" w:rsidRPr="00AC4AEA" w:rsidRDefault="00AB707F" w:rsidP="00A318EA">
      <w:pPr>
        <w:pStyle w:val="Prrafodelista"/>
        <w:numPr>
          <w:ilvl w:val="0"/>
          <w:numId w:val="29"/>
        </w:numPr>
        <w:contextualSpacing w:val="0"/>
        <w:jc w:val="both"/>
        <w:rPr>
          <w:rFonts w:ascii="Arial" w:hAnsi="Arial" w:cs="Arial"/>
          <w:sz w:val="20"/>
          <w:szCs w:val="20"/>
        </w:rPr>
      </w:pPr>
      <w:bookmarkStart w:id="1031" w:name="_Toc101864049"/>
      <w:r w:rsidRPr="00AC4AEA">
        <w:rPr>
          <w:rFonts w:ascii="Arial" w:hAnsi="Arial" w:cs="Arial"/>
          <w:sz w:val="20"/>
          <w:szCs w:val="20"/>
        </w:rPr>
        <w:lastRenderedPageBreak/>
        <w:t>Cuando una entidad carece de capital o aportes similares, debido a su naturaleza jurídica,</w:t>
      </w:r>
      <w:r w:rsidR="00A82EFF" w:rsidRPr="00AC4AEA">
        <w:rPr>
          <w:rFonts w:ascii="Arial" w:hAnsi="Arial" w:cs="Arial"/>
          <w:sz w:val="20"/>
          <w:szCs w:val="20"/>
        </w:rPr>
        <w:t xml:space="preserve"> </w:t>
      </w:r>
      <w:r w:rsidRPr="00AC4AEA">
        <w:rPr>
          <w:rFonts w:ascii="Arial" w:hAnsi="Arial" w:cs="Arial"/>
          <w:sz w:val="20"/>
          <w:szCs w:val="20"/>
        </w:rPr>
        <w:t>podrá exponer únicamente un estado combinado del estado de evolución del patrimonio neto y del estado de recursos y gastos.</w:t>
      </w:r>
    </w:p>
    <w:p w:rsidR="00AB707F" w:rsidRPr="00AC4AEA" w:rsidRDefault="00AB707F" w:rsidP="00A318EA">
      <w:pPr>
        <w:pStyle w:val="A-azul"/>
        <w:rPr>
          <w:rFonts w:ascii="Arial" w:hAnsi="Arial" w:cs="Arial"/>
          <w:i w:val="0"/>
          <w:color w:val="auto"/>
          <w:sz w:val="20"/>
          <w:szCs w:val="20"/>
          <w:lang w:val="es-AR"/>
        </w:rPr>
      </w:pPr>
    </w:p>
    <w:p w:rsidR="00BD46C9" w:rsidRPr="00AC4AEA" w:rsidRDefault="00BD46C9" w:rsidP="00A318EA">
      <w:pPr>
        <w:pStyle w:val="Ttulo2"/>
        <w:rPr>
          <w:rFonts w:cs="Arial"/>
        </w:rPr>
      </w:pPr>
      <w:bookmarkStart w:id="1032" w:name="_Toc139356949"/>
      <w:r w:rsidRPr="00AC4AEA">
        <w:rPr>
          <w:rFonts w:cs="Arial"/>
        </w:rPr>
        <w:t>Cuestiones referidas al estado de flujos de efectivo de entidades sin fines de lucro</w:t>
      </w:r>
      <w:bookmarkEnd w:id="1031"/>
      <w:bookmarkEnd w:id="1032"/>
    </w:p>
    <w:p w:rsidR="000928CD" w:rsidRPr="00AC4AEA" w:rsidRDefault="000928C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 los fines de presentar el estado de flujos de efectivo, una entidad sin fines de lucro aplicará los requerimientos de esta sección y de la sección </w:t>
      </w:r>
      <w:r w:rsidRPr="00AC4AEA">
        <w:rPr>
          <w:rFonts w:ascii="Arial" w:hAnsi="Arial" w:cs="Arial"/>
          <w:sz w:val="20"/>
          <w:szCs w:val="20"/>
          <w:u w:val="single"/>
        </w:rPr>
        <w:t>“</w:t>
      </w:r>
      <w:r w:rsidR="00A478DB" w:rsidRPr="00AC4AEA">
        <w:rPr>
          <w:rFonts w:ascii="Arial" w:hAnsi="Arial" w:cs="Arial"/>
          <w:sz w:val="20"/>
          <w:szCs w:val="20"/>
          <w:u w:val="single"/>
        </w:rPr>
        <w:t>Cuestiones referidas al estado de flujos de efectivo</w:t>
      </w:r>
      <w:r w:rsidR="00EE3742" w:rsidRPr="00AC4AEA">
        <w:rPr>
          <w:rFonts w:ascii="Arial" w:hAnsi="Arial" w:cs="Arial"/>
          <w:sz w:val="20"/>
          <w:szCs w:val="20"/>
        </w:rPr>
        <w:t xml:space="preserve">” [ver los párrafos </w:t>
      </w:r>
      <w:fldSimple w:instr=" REF _Ref99491640 \r \h  \* MERGEFORMAT ">
        <w:r w:rsidR="00D33A5D" w:rsidRPr="00D33A5D">
          <w:rPr>
            <w:rFonts w:ascii="Arial" w:hAnsi="Arial" w:cs="Arial"/>
            <w:sz w:val="20"/>
            <w:szCs w:val="20"/>
          </w:rPr>
          <w:t>649</w:t>
        </w:r>
      </w:fldSimple>
      <w:r w:rsidR="00811154" w:rsidRPr="00AC4AEA">
        <w:rPr>
          <w:rFonts w:ascii="Arial" w:hAnsi="Arial" w:cs="Arial"/>
          <w:sz w:val="20"/>
          <w:szCs w:val="20"/>
        </w:rPr>
        <w:t xml:space="preserve"> a </w:t>
      </w:r>
      <w:fldSimple w:instr=" REF _Ref99491654 \r \h  \* MERGEFORMAT ">
        <w:r w:rsidR="00D33A5D" w:rsidRPr="00D33A5D">
          <w:rPr>
            <w:rFonts w:ascii="Arial" w:hAnsi="Arial" w:cs="Arial"/>
            <w:sz w:val="20"/>
            <w:szCs w:val="20"/>
          </w:rPr>
          <w:t>672</w:t>
        </w:r>
      </w:fldSimple>
      <w:r w:rsidR="00811154" w:rsidRPr="00AC4AEA">
        <w:rPr>
          <w:rFonts w:ascii="Arial" w:hAnsi="Arial" w:cs="Arial"/>
          <w:sz w:val="20"/>
          <w:szCs w:val="20"/>
        </w:rPr>
        <w:t>]</w:t>
      </w:r>
      <w:r w:rsidR="00EE3742" w:rsidRPr="00AC4AEA">
        <w:rPr>
          <w:rFonts w:ascii="Arial" w:hAnsi="Arial" w:cs="Arial"/>
          <w:sz w:val="20"/>
          <w:szCs w:val="20"/>
        </w:rPr>
        <w:t>.</w:t>
      </w:r>
    </w:p>
    <w:p w:rsidR="00BD46C9" w:rsidRPr="00AC4AEA" w:rsidRDefault="000928C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sin fines de lucro presentará siempre el estado de flujos de efectivo por el método directo. A estos fines:</w:t>
      </w:r>
    </w:p>
    <w:p w:rsidR="000928CD" w:rsidRPr="00AC4AEA" w:rsidRDefault="00ED2511" w:rsidP="00A318EA">
      <w:pPr>
        <w:pStyle w:val="Prrafodelista"/>
        <w:numPr>
          <w:ilvl w:val="0"/>
          <w:numId w:val="251"/>
        </w:numPr>
        <w:ind w:left="1560"/>
        <w:contextualSpacing w:val="0"/>
        <w:jc w:val="both"/>
        <w:rPr>
          <w:rFonts w:ascii="Arial" w:hAnsi="Arial" w:cs="Arial"/>
          <w:sz w:val="20"/>
          <w:szCs w:val="20"/>
        </w:rPr>
      </w:pPr>
      <w:r w:rsidRPr="00AC4AEA">
        <w:rPr>
          <w:rFonts w:ascii="Arial" w:hAnsi="Arial" w:cs="Arial"/>
          <w:sz w:val="20"/>
          <w:szCs w:val="20"/>
        </w:rPr>
        <w:t>adaptará</w:t>
      </w:r>
      <w:r w:rsidR="000928CD" w:rsidRPr="00AC4AEA">
        <w:rPr>
          <w:rFonts w:ascii="Arial" w:hAnsi="Arial" w:cs="Arial"/>
          <w:sz w:val="20"/>
          <w:szCs w:val="20"/>
        </w:rPr>
        <w:t>, de acuerdo</w:t>
      </w:r>
      <w:r w:rsidR="00474F9B" w:rsidRPr="00AC4AEA">
        <w:rPr>
          <w:rFonts w:ascii="Arial" w:hAnsi="Arial" w:cs="Arial"/>
          <w:sz w:val="20"/>
          <w:szCs w:val="20"/>
        </w:rPr>
        <w:t xml:space="preserve"> con </w:t>
      </w:r>
      <w:r w:rsidR="000928CD" w:rsidRPr="00AC4AEA">
        <w:rPr>
          <w:rFonts w:ascii="Arial" w:hAnsi="Arial" w:cs="Arial"/>
          <w:sz w:val="20"/>
          <w:szCs w:val="20"/>
        </w:rPr>
        <w:t xml:space="preserve">las particularidades de su actividad, los términos enunciados en el párrafo </w:t>
      </w:r>
      <w:fldSimple w:instr=" REF _Ref77327764 \r \h  \* MERGEFORMAT ">
        <w:r w:rsidR="00D33A5D" w:rsidRPr="00D33A5D">
          <w:rPr>
            <w:rFonts w:ascii="Arial" w:hAnsi="Arial" w:cs="Arial"/>
            <w:sz w:val="20"/>
            <w:szCs w:val="20"/>
          </w:rPr>
          <w:t>653</w:t>
        </w:r>
      </w:fldSimple>
      <w:r w:rsidR="000928CD" w:rsidRPr="00AC4AEA">
        <w:rPr>
          <w:rFonts w:ascii="Arial" w:hAnsi="Arial" w:cs="Arial"/>
          <w:sz w:val="20"/>
          <w:szCs w:val="20"/>
        </w:rPr>
        <w:t>; y</w:t>
      </w:r>
    </w:p>
    <w:p w:rsidR="000928CD" w:rsidRPr="00AC4AEA" w:rsidRDefault="000928CD" w:rsidP="00A318EA">
      <w:pPr>
        <w:pStyle w:val="Prrafodelista"/>
        <w:numPr>
          <w:ilvl w:val="0"/>
          <w:numId w:val="251"/>
        </w:numPr>
        <w:ind w:left="1560"/>
        <w:contextualSpacing w:val="0"/>
        <w:jc w:val="both"/>
        <w:rPr>
          <w:rFonts w:ascii="Arial" w:hAnsi="Arial" w:cs="Arial"/>
          <w:sz w:val="20"/>
          <w:szCs w:val="20"/>
        </w:rPr>
      </w:pPr>
      <w:r w:rsidRPr="00AC4AEA">
        <w:rPr>
          <w:rFonts w:ascii="Arial" w:hAnsi="Arial" w:cs="Arial"/>
          <w:sz w:val="20"/>
          <w:szCs w:val="20"/>
        </w:rPr>
        <w:t>aplicará</w:t>
      </w:r>
      <w:r w:rsidR="00645532" w:rsidRPr="00AC4AEA">
        <w:rPr>
          <w:rFonts w:ascii="Arial" w:hAnsi="Arial" w:cs="Arial"/>
          <w:sz w:val="20"/>
          <w:szCs w:val="20"/>
        </w:rPr>
        <w:t>, de corresponder,</w:t>
      </w:r>
      <w:r w:rsidRPr="00AC4AEA">
        <w:rPr>
          <w:rFonts w:ascii="Arial" w:hAnsi="Arial" w:cs="Arial"/>
          <w:sz w:val="20"/>
          <w:szCs w:val="20"/>
        </w:rPr>
        <w:t xml:space="preserve"> las simplificaciones previstas en el párrafo </w:t>
      </w:r>
      <w:fldSimple w:instr=" REF _Ref77327962 \r \h  \* MERGEFORMAT ">
        <w:r w:rsidR="00D33A5D" w:rsidRPr="00D33A5D">
          <w:rPr>
            <w:rFonts w:ascii="Arial" w:hAnsi="Arial" w:cs="Arial"/>
            <w:sz w:val="20"/>
            <w:szCs w:val="20"/>
          </w:rPr>
          <w:t>666</w:t>
        </w:r>
      </w:fldSimple>
      <w:r w:rsidRPr="00AC4AEA">
        <w:rPr>
          <w:rFonts w:ascii="Arial" w:hAnsi="Arial" w:cs="Arial"/>
          <w:sz w:val="20"/>
          <w:szCs w:val="20"/>
        </w:rPr>
        <w:t>.</w:t>
      </w:r>
    </w:p>
    <w:p w:rsidR="00BD46C9" w:rsidRPr="00AC4AEA" w:rsidRDefault="00BD46C9" w:rsidP="00A318EA">
      <w:pPr>
        <w:jc w:val="both"/>
        <w:rPr>
          <w:rFonts w:ascii="Arial" w:hAnsi="Arial" w:cs="Arial"/>
          <w:sz w:val="20"/>
          <w:szCs w:val="20"/>
        </w:rPr>
      </w:pPr>
    </w:p>
    <w:p w:rsidR="00BD46C9" w:rsidRPr="00AC4AEA" w:rsidRDefault="00BD46C9" w:rsidP="00A318EA">
      <w:pPr>
        <w:pStyle w:val="Ttulo2"/>
        <w:rPr>
          <w:rFonts w:cs="Arial"/>
        </w:rPr>
      </w:pPr>
      <w:bookmarkStart w:id="1033" w:name="_Toc101864050"/>
      <w:bookmarkStart w:id="1034" w:name="_Toc139356950"/>
      <w:r w:rsidRPr="00AC4AEA">
        <w:rPr>
          <w:rFonts w:cs="Arial"/>
        </w:rPr>
        <w:t>Cuestiones referidas a la revelación mediante notas</w:t>
      </w:r>
      <w:r w:rsidR="008A00B7" w:rsidRPr="00AC4AEA">
        <w:rPr>
          <w:rFonts w:cs="Arial"/>
        </w:rPr>
        <w:t xml:space="preserve"> de entidades sin fines de lucro</w:t>
      </w:r>
      <w:bookmarkEnd w:id="1033"/>
      <w:bookmarkEnd w:id="1034"/>
    </w:p>
    <w:p w:rsidR="00D96BDF" w:rsidRPr="00AC4AEA" w:rsidRDefault="00D96BDF"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A los fines de presentar </w:t>
      </w:r>
      <w:r w:rsidR="00684EC4" w:rsidRPr="00AC4AEA">
        <w:rPr>
          <w:rFonts w:ascii="Arial" w:hAnsi="Arial" w:cs="Arial"/>
          <w:sz w:val="20"/>
          <w:szCs w:val="20"/>
        </w:rPr>
        <w:t>sus notas</w:t>
      </w:r>
      <w:r w:rsidRPr="00AC4AEA">
        <w:rPr>
          <w:rFonts w:ascii="Arial" w:hAnsi="Arial" w:cs="Arial"/>
          <w:sz w:val="20"/>
          <w:szCs w:val="20"/>
        </w:rPr>
        <w:t>, una entidad sin fines de lucro aplicará los requerimientos de esta sección y de la sección “</w:t>
      </w:r>
      <w:r w:rsidRPr="00AC4AEA">
        <w:rPr>
          <w:rFonts w:ascii="Arial" w:hAnsi="Arial" w:cs="Arial"/>
          <w:sz w:val="20"/>
          <w:szCs w:val="20"/>
          <w:u w:val="single"/>
        </w:rPr>
        <w:t>Cuestiones referidas</w:t>
      </w:r>
      <w:r w:rsidR="00684EC4" w:rsidRPr="00AC4AEA">
        <w:rPr>
          <w:rFonts w:ascii="Arial" w:hAnsi="Arial" w:cs="Arial"/>
          <w:sz w:val="20"/>
          <w:szCs w:val="20"/>
          <w:u w:val="single"/>
        </w:rPr>
        <w:t xml:space="preserve"> a la revelación mediante notas</w:t>
      </w:r>
      <w:r w:rsidRPr="00AC4AEA">
        <w:rPr>
          <w:rFonts w:ascii="Arial" w:hAnsi="Arial" w:cs="Arial"/>
          <w:sz w:val="20"/>
          <w:szCs w:val="20"/>
        </w:rPr>
        <w:t xml:space="preserve">” [ver los párrafos </w:t>
      </w:r>
      <w:fldSimple w:instr=" REF _Ref99491840 \r \h  \* MERGEFORMAT ">
        <w:r w:rsidR="00D33A5D" w:rsidRPr="00D33A5D">
          <w:rPr>
            <w:rFonts w:ascii="Arial" w:hAnsi="Arial" w:cs="Arial"/>
            <w:sz w:val="20"/>
            <w:szCs w:val="20"/>
          </w:rPr>
          <w:t>673</w:t>
        </w:r>
      </w:fldSimple>
      <w:r w:rsidR="00684EC4" w:rsidRPr="00AC4AEA">
        <w:rPr>
          <w:rFonts w:ascii="Arial" w:hAnsi="Arial" w:cs="Arial"/>
          <w:sz w:val="20"/>
          <w:szCs w:val="20"/>
        </w:rPr>
        <w:t xml:space="preserve"> a</w:t>
      </w:r>
      <w:r w:rsidR="00B063AF">
        <w:rPr>
          <w:rFonts w:ascii="Arial" w:hAnsi="Arial" w:cs="Arial"/>
          <w:sz w:val="20"/>
          <w:szCs w:val="20"/>
        </w:rPr>
        <w:t xml:space="preserve"> </w:t>
      </w:r>
      <w:r w:rsidR="001C4138">
        <w:rPr>
          <w:rFonts w:ascii="Arial" w:hAnsi="Arial" w:cs="Arial"/>
          <w:sz w:val="20"/>
          <w:szCs w:val="20"/>
        </w:rPr>
        <w:fldChar w:fldCharType="begin"/>
      </w:r>
      <w:r w:rsidR="00CB1BD9">
        <w:rPr>
          <w:rFonts w:ascii="Arial" w:hAnsi="Arial" w:cs="Arial"/>
          <w:sz w:val="20"/>
          <w:szCs w:val="20"/>
        </w:rPr>
        <w:instrText xml:space="preserve"> REF _Ref138945204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708</w:t>
      </w:r>
      <w:r w:rsidR="001C4138">
        <w:rPr>
          <w:rFonts w:ascii="Arial" w:hAnsi="Arial" w:cs="Arial"/>
          <w:sz w:val="20"/>
          <w:szCs w:val="20"/>
        </w:rPr>
        <w:fldChar w:fldCharType="end"/>
      </w:r>
      <w:r w:rsidRPr="00AC4AEA">
        <w:rPr>
          <w:rFonts w:ascii="Arial" w:hAnsi="Arial" w:cs="Arial"/>
          <w:sz w:val="20"/>
          <w:szCs w:val="20"/>
        </w:rPr>
        <w:t>].</w:t>
      </w:r>
    </w:p>
    <w:p w:rsidR="00474F9B" w:rsidRPr="00AC4AEA" w:rsidRDefault="008A00B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podrá </w:t>
      </w:r>
      <w:r w:rsidR="004D4355" w:rsidRPr="00AC4AEA">
        <w:rPr>
          <w:rFonts w:ascii="Arial" w:hAnsi="Arial" w:cs="Arial"/>
          <w:sz w:val="20"/>
          <w:szCs w:val="20"/>
        </w:rPr>
        <w:t xml:space="preserve">exponer en notas el presupuesto económico y, si existiera, el presupuesto financiero, </w:t>
      </w:r>
      <w:r w:rsidR="00474F9B" w:rsidRPr="00AC4AEA">
        <w:rPr>
          <w:rFonts w:ascii="Arial" w:hAnsi="Arial" w:cs="Arial"/>
          <w:sz w:val="20"/>
          <w:szCs w:val="20"/>
        </w:rPr>
        <w:t>que:</w:t>
      </w:r>
    </w:p>
    <w:p w:rsidR="00474F9B" w:rsidRPr="00AC4AEA" w:rsidRDefault="00474F9B" w:rsidP="00A318EA">
      <w:pPr>
        <w:pStyle w:val="Prrafodelista"/>
        <w:numPr>
          <w:ilvl w:val="0"/>
          <w:numId w:val="304"/>
        </w:numPr>
        <w:contextualSpacing w:val="0"/>
        <w:jc w:val="both"/>
        <w:rPr>
          <w:rFonts w:ascii="Arial" w:hAnsi="Arial" w:cs="Arial"/>
          <w:sz w:val="20"/>
          <w:szCs w:val="20"/>
        </w:rPr>
      </w:pPr>
      <w:r w:rsidRPr="00AC4AEA">
        <w:rPr>
          <w:rFonts w:ascii="Arial" w:hAnsi="Arial" w:cs="Arial"/>
          <w:sz w:val="20"/>
          <w:szCs w:val="20"/>
        </w:rPr>
        <w:t xml:space="preserve">hayan sido </w:t>
      </w:r>
      <w:r w:rsidR="004D4355" w:rsidRPr="00AC4AEA">
        <w:rPr>
          <w:rFonts w:ascii="Arial" w:hAnsi="Arial" w:cs="Arial"/>
          <w:sz w:val="20"/>
          <w:szCs w:val="20"/>
        </w:rPr>
        <w:t>aprobados por el máximo órgano societario con facultad para decidir</w:t>
      </w:r>
      <w:r w:rsidRPr="00AC4AEA">
        <w:rPr>
          <w:rFonts w:ascii="Arial" w:hAnsi="Arial" w:cs="Arial"/>
          <w:sz w:val="20"/>
          <w:szCs w:val="20"/>
        </w:rPr>
        <w:t>; y</w:t>
      </w:r>
      <w:r w:rsidR="004D4355" w:rsidRPr="00AC4AEA">
        <w:rPr>
          <w:rFonts w:ascii="Arial" w:hAnsi="Arial" w:cs="Arial"/>
          <w:sz w:val="20"/>
          <w:szCs w:val="20"/>
        </w:rPr>
        <w:t xml:space="preserve"> </w:t>
      </w:r>
    </w:p>
    <w:p w:rsidR="004D4355" w:rsidRPr="00AC4AEA" w:rsidRDefault="004D4355" w:rsidP="00A318EA">
      <w:pPr>
        <w:pStyle w:val="Prrafodelista"/>
        <w:numPr>
          <w:ilvl w:val="0"/>
          <w:numId w:val="304"/>
        </w:numPr>
        <w:contextualSpacing w:val="0"/>
        <w:jc w:val="both"/>
        <w:rPr>
          <w:rFonts w:ascii="Arial" w:hAnsi="Arial" w:cs="Arial"/>
          <w:sz w:val="20"/>
          <w:szCs w:val="20"/>
        </w:rPr>
      </w:pPr>
      <w:r w:rsidRPr="00AC4AEA">
        <w:rPr>
          <w:rFonts w:ascii="Arial" w:hAnsi="Arial" w:cs="Arial"/>
          <w:sz w:val="20"/>
          <w:szCs w:val="20"/>
        </w:rPr>
        <w:t>contenga</w:t>
      </w:r>
      <w:r w:rsidR="00474F9B" w:rsidRPr="00AC4AEA">
        <w:rPr>
          <w:rFonts w:ascii="Arial" w:hAnsi="Arial" w:cs="Arial"/>
          <w:sz w:val="20"/>
          <w:szCs w:val="20"/>
        </w:rPr>
        <w:t>n</w:t>
      </w:r>
      <w:r w:rsidRPr="00AC4AEA">
        <w:rPr>
          <w:rFonts w:ascii="Arial" w:hAnsi="Arial" w:cs="Arial"/>
          <w:sz w:val="20"/>
          <w:szCs w:val="20"/>
        </w:rPr>
        <w:t xml:space="preserve"> las proyecciones referidas al ejercicio al cual se refieren los </w:t>
      </w:r>
      <w:r w:rsidR="00135084" w:rsidRPr="00AC4AEA">
        <w:rPr>
          <w:rFonts w:ascii="Arial" w:hAnsi="Arial" w:cs="Arial"/>
          <w:b/>
          <w:bCs/>
          <w:sz w:val="20"/>
          <w:szCs w:val="20"/>
        </w:rPr>
        <w:t>estados contables</w:t>
      </w:r>
      <w:r w:rsidRPr="00AC4AEA">
        <w:rPr>
          <w:rFonts w:ascii="Arial" w:hAnsi="Arial" w:cs="Arial"/>
          <w:sz w:val="20"/>
          <w:szCs w:val="20"/>
        </w:rPr>
        <w:t xml:space="preserve">. </w:t>
      </w:r>
    </w:p>
    <w:p w:rsidR="00BD46C9" w:rsidRPr="00AC4AEA" w:rsidRDefault="004D435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expresará las cifras de los presupuestos referidos en el párrafo anterior en una moneda tal que permita compararlos con los importes del estado de recursos y gastos </w:t>
      </w:r>
      <w:r w:rsidR="00DA5497" w:rsidRPr="00AC4AEA">
        <w:rPr>
          <w:rFonts w:ascii="Arial" w:hAnsi="Arial" w:cs="Arial"/>
          <w:sz w:val="20"/>
          <w:szCs w:val="20"/>
        </w:rPr>
        <w:t>y/o</w:t>
      </w:r>
      <w:r w:rsidRPr="00AC4AEA">
        <w:rPr>
          <w:rFonts w:ascii="Arial" w:hAnsi="Arial" w:cs="Arial"/>
          <w:sz w:val="20"/>
          <w:szCs w:val="20"/>
        </w:rPr>
        <w:t xml:space="preserve"> el estado de flujos de efectivo correspondientes al ejercicio por el cual presenta información.</w:t>
      </w:r>
    </w:p>
    <w:p w:rsidR="00474F9B" w:rsidRPr="00AC4AEA" w:rsidRDefault="004D4355"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podrá exponer en notas el presupuesto económico </w:t>
      </w:r>
      <w:r w:rsidR="00474F9B" w:rsidRPr="00AC4AEA">
        <w:rPr>
          <w:rFonts w:ascii="Arial" w:hAnsi="Arial" w:cs="Arial"/>
          <w:sz w:val="20"/>
          <w:szCs w:val="20"/>
        </w:rPr>
        <w:t>y, si existiera,</w:t>
      </w:r>
      <w:r w:rsidRPr="00AC4AEA">
        <w:rPr>
          <w:rFonts w:ascii="Arial" w:hAnsi="Arial" w:cs="Arial"/>
          <w:sz w:val="20"/>
          <w:szCs w:val="20"/>
        </w:rPr>
        <w:t xml:space="preserve"> el presupuesto financiero, </w:t>
      </w:r>
      <w:r w:rsidR="00474F9B" w:rsidRPr="00AC4AEA">
        <w:rPr>
          <w:rFonts w:ascii="Arial" w:hAnsi="Arial" w:cs="Arial"/>
          <w:sz w:val="20"/>
          <w:szCs w:val="20"/>
        </w:rPr>
        <w:t>que:</w:t>
      </w:r>
    </w:p>
    <w:p w:rsidR="00474F9B" w:rsidRPr="00AC4AEA" w:rsidRDefault="00474F9B" w:rsidP="00A318EA">
      <w:pPr>
        <w:pStyle w:val="Prrafodelista"/>
        <w:numPr>
          <w:ilvl w:val="0"/>
          <w:numId w:val="252"/>
        </w:numPr>
        <w:ind w:left="1560"/>
        <w:contextualSpacing w:val="0"/>
        <w:jc w:val="both"/>
        <w:rPr>
          <w:rFonts w:ascii="Arial" w:hAnsi="Arial" w:cs="Arial"/>
          <w:sz w:val="20"/>
          <w:szCs w:val="20"/>
        </w:rPr>
      </w:pPr>
      <w:r w:rsidRPr="00AC4AEA">
        <w:rPr>
          <w:rFonts w:ascii="Arial" w:hAnsi="Arial" w:cs="Arial"/>
          <w:sz w:val="20"/>
          <w:szCs w:val="20"/>
        </w:rPr>
        <w:t xml:space="preserve">hayan sido </w:t>
      </w:r>
      <w:r w:rsidR="004D4355" w:rsidRPr="00AC4AEA">
        <w:rPr>
          <w:rFonts w:ascii="Arial" w:hAnsi="Arial" w:cs="Arial"/>
          <w:sz w:val="20"/>
          <w:szCs w:val="20"/>
        </w:rPr>
        <w:t>aprobados por el máximo órgano societario con facultad para decidir</w:t>
      </w:r>
      <w:r w:rsidRPr="00AC4AEA">
        <w:rPr>
          <w:rFonts w:ascii="Arial" w:hAnsi="Arial" w:cs="Arial"/>
          <w:sz w:val="20"/>
          <w:szCs w:val="20"/>
        </w:rPr>
        <w:t>;</w:t>
      </w:r>
      <w:r w:rsidR="004D4355" w:rsidRPr="00AC4AEA">
        <w:rPr>
          <w:rFonts w:ascii="Arial" w:hAnsi="Arial" w:cs="Arial"/>
          <w:sz w:val="20"/>
          <w:szCs w:val="20"/>
        </w:rPr>
        <w:t xml:space="preserve"> </w:t>
      </w:r>
      <w:r w:rsidRPr="00AC4AEA">
        <w:rPr>
          <w:rFonts w:ascii="Arial" w:hAnsi="Arial" w:cs="Arial"/>
          <w:sz w:val="20"/>
          <w:szCs w:val="20"/>
        </w:rPr>
        <w:t>y</w:t>
      </w:r>
    </w:p>
    <w:p w:rsidR="004D4355" w:rsidRPr="00AC4AEA" w:rsidRDefault="004D4355" w:rsidP="00A318EA">
      <w:pPr>
        <w:pStyle w:val="Prrafodelista"/>
        <w:numPr>
          <w:ilvl w:val="0"/>
          <w:numId w:val="252"/>
        </w:numPr>
        <w:ind w:left="1560"/>
        <w:contextualSpacing w:val="0"/>
        <w:jc w:val="both"/>
        <w:rPr>
          <w:rFonts w:ascii="Arial" w:hAnsi="Arial" w:cs="Arial"/>
          <w:sz w:val="20"/>
          <w:szCs w:val="20"/>
        </w:rPr>
      </w:pPr>
      <w:r w:rsidRPr="00AC4AEA">
        <w:rPr>
          <w:rFonts w:ascii="Arial" w:hAnsi="Arial" w:cs="Arial"/>
          <w:sz w:val="20"/>
          <w:szCs w:val="20"/>
        </w:rPr>
        <w:t>contenga</w:t>
      </w:r>
      <w:r w:rsidR="00474F9B" w:rsidRPr="00AC4AEA">
        <w:rPr>
          <w:rFonts w:ascii="Arial" w:hAnsi="Arial" w:cs="Arial"/>
          <w:sz w:val="20"/>
          <w:szCs w:val="20"/>
        </w:rPr>
        <w:t>n</w:t>
      </w:r>
      <w:r w:rsidRPr="00AC4AEA">
        <w:rPr>
          <w:rFonts w:ascii="Arial" w:hAnsi="Arial" w:cs="Arial"/>
          <w:sz w:val="20"/>
          <w:szCs w:val="20"/>
        </w:rPr>
        <w:t xml:space="preserve"> las proyecciones referidas al ejercicio venidero.</w:t>
      </w:r>
    </w:p>
    <w:p w:rsidR="00DA5497" w:rsidRPr="00AC4AEA" w:rsidRDefault="00DA5497"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informará:</w:t>
      </w:r>
    </w:p>
    <w:p w:rsidR="00DA5497" w:rsidRPr="00AC4AEA" w:rsidRDefault="00DA5497" w:rsidP="00A318EA">
      <w:pPr>
        <w:pStyle w:val="Prrafodelista"/>
        <w:numPr>
          <w:ilvl w:val="0"/>
          <w:numId w:val="253"/>
        </w:numPr>
        <w:ind w:left="1560"/>
        <w:contextualSpacing w:val="0"/>
        <w:jc w:val="both"/>
        <w:rPr>
          <w:rFonts w:ascii="Arial" w:hAnsi="Arial" w:cs="Arial"/>
          <w:sz w:val="20"/>
          <w:szCs w:val="20"/>
        </w:rPr>
      </w:pPr>
      <w:r w:rsidRPr="00AC4AEA">
        <w:rPr>
          <w:rFonts w:ascii="Arial" w:hAnsi="Arial" w:cs="Arial"/>
          <w:sz w:val="20"/>
          <w:szCs w:val="20"/>
        </w:rPr>
        <w:t>los recursos y gastos vinculados con cada sector o departamento; y</w:t>
      </w:r>
    </w:p>
    <w:p w:rsidR="007812A3" w:rsidRPr="00AC4AEA" w:rsidRDefault="00DA5497" w:rsidP="00492773">
      <w:pPr>
        <w:pStyle w:val="Prrafodelista"/>
        <w:numPr>
          <w:ilvl w:val="0"/>
          <w:numId w:val="253"/>
        </w:numPr>
        <w:ind w:left="1560"/>
        <w:contextualSpacing w:val="0"/>
        <w:jc w:val="both"/>
        <w:rPr>
          <w:rFonts w:ascii="Arial" w:hAnsi="Arial" w:cs="Arial"/>
          <w:sz w:val="20"/>
          <w:szCs w:val="20"/>
        </w:rPr>
      </w:pPr>
      <w:r w:rsidRPr="00AC4AEA">
        <w:rPr>
          <w:rFonts w:ascii="Arial" w:hAnsi="Arial" w:cs="Arial"/>
          <w:sz w:val="20"/>
          <w:szCs w:val="20"/>
        </w:rPr>
        <w:t>las bases utilizadas para la definición de sectores o departamentos.</w:t>
      </w:r>
    </w:p>
    <w:p w:rsidR="00AE7883" w:rsidRPr="00AC4AEA" w:rsidRDefault="00AE7883" w:rsidP="00A318EA">
      <w:pPr>
        <w:pStyle w:val="Ttulo1"/>
        <w:rPr>
          <w:rFonts w:cs="Arial"/>
          <w:sz w:val="20"/>
          <w:szCs w:val="20"/>
        </w:rPr>
      </w:pPr>
      <w:bookmarkStart w:id="1035" w:name="intermedios"/>
      <w:bookmarkStart w:id="1036" w:name="_Toc101864051"/>
      <w:bookmarkEnd w:id="1035"/>
    </w:p>
    <w:p w:rsidR="0090400F" w:rsidRPr="00AC4AEA" w:rsidRDefault="00BF07CD" w:rsidP="00A318EA">
      <w:pPr>
        <w:pStyle w:val="Ttulo1"/>
        <w:rPr>
          <w:rFonts w:cs="Arial"/>
          <w:sz w:val="20"/>
          <w:szCs w:val="20"/>
        </w:rPr>
      </w:pPr>
      <w:bookmarkStart w:id="1037" w:name="_Toc139356951"/>
      <w:r w:rsidRPr="00AC4AEA">
        <w:rPr>
          <w:rFonts w:cs="Arial"/>
          <w:sz w:val="20"/>
          <w:szCs w:val="20"/>
        </w:rPr>
        <w:t xml:space="preserve">PRESENTACIÓN DE </w:t>
      </w:r>
      <w:r w:rsidRPr="00AC4AEA">
        <w:rPr>
          <w:rFonts w:cs="Arial"/>
          <w:bCs/>
          <w:sz w:val="20"/>
          <w:szCs w:val="20"/>
        </w:rPr>
        <w:t>ESTADOS CONTABLES</w:t>
      </w:r>
      <w:r w:rsidRPr="00AC4AEA">
        <w:rPr>
          <w:rFonts w:cs="Arial"/>
          <w:sz w:val="20"/>
          <w:szCs w:val="20"/>
        </w:rPr>
        <w:t xml:space="preserve"> CORRESPONDIENTES A PERÍODOS INTERMEDIOS</w:t>
      </w:r>
      <w:bookmarkEnd w:id="1036"/>
      <w:bookmarkEnd w:id="1037"/>
    </w:p>
    <w:p w:rsidR="00295FE4" w:rsidRPr="00592D81" w:rsidRDefault="00295FE4" w:rsidP="00A318EA">
      <w:pPr>
        <w:pStyle w:val="Ttulo2"/>
        <w:rPr>
          <w:rFonts w:cs="Arial"/>
        </w:rPr>
      </w:pPr>
      <w:bookmarkStart w:id="1038" w:name="_Toc101864052"/>
      <w:bookmarkStart w:id="1039" w:name="_Toc139356952"/>
      <w:r w:rsidRPr="00592D81">
        <w:rPr>
          <w:rFonts w:cs="Arial"/>
        </w:rPr>
        <w:t>Definiciones</w:t>
      </w:r>
      <w:bookmarkEnd w:id="1038"/>
      <w:bookmarkEnd w:id="1039"/>
    </w:p>
    <w:p w:rsidR="00295FE4" w:rsidRPr="00592D81" w:rsidRDefault="00295FE4" w:rsidP="00A318EA">
      <w:pPr>
        <w:pStyle w:val="Prrafodelista"/>
        <w:numPr>
          <w:ilvl w:val="0"/>
          <w:numId w:val="29"/>
        </w:numPr>
        <w:contextualSpacing w:val="0"/>
        <w:jc w:val="both"/>
        <w:rPr>
          <w:rFonts w:ascii="Arial" w:hAnsi="Arial" w:cs="Arial"/>
          <w:sz w:val="20"/>
          <w:szCs w:val="20"/>
        </w:rPr>
      </w:pPr>
      <w:r w:rsidRPr="00592D81">
        <w:rPr>
          <w:rFonts w:ascii="Arial" w:hAnsi="Arial" w:cs="Arial"/>
          <w:sz w:val="20"/>
          <w:szCs w:val="20"/>
        </w:rPr>
        <w:t xml:space="preserve">A los fines de </w:t>
      </w:r>
      <w:r w:rsidR="000140E2" w:rsidRPr="00592D81">
        <w:rPr>
          <w:rFonts w:ascii="Arial" w:hAnsi="Arial" w:cs="Arial"/>
          <w:sz w:val="20"/>
          <w:szCs w:val="20"/>
        </w:rPr>
        <w:t xml:space="preserve">presentar los </w:t>
      </w:r>
      <w:r w:rsidR="00135084" w:rsidRPr="00592D81">
        <w:rPr>
          <w:rFonts w:ascii="Arial" w:hAnsi="Arial" w:cs="Arial"/>
          <w:b/>
          <w:bCs/>
          <w:sz w:val="20"/>
          <w:szCs w:val="20"/>
        </w:rPr>
        <w:t>estados contables</w:t>
      </w:r>
      <w:r w:rsidR="000140E2" w:rsidRPr="00592D81">
        <w:rPr>
          <w:rFonts w:ascii="Arial" w:hAnsi="Arial" w:cs="Arial"/>
          <w:sz w:val="20"/>
          <w:szCs w:val="20"/>
        </w:rPr>
        <w:t xml:space="preserve"> de períodos intermedios</w:t>
      </w:r>
      <w:r w:rsidRPr="00592D81">
        <w:rPr>
          <w:rFonts w:ascii="Arial" w:hAnsi="Arial" w:cs="Arial"/>
          <w:sz w:val="20"/>
          <w:szCs w:val="20"/>
        </w:rPr>
        <w:t xml:space="preserve">, una entidad deberá considerar </w:t>
      </w:r>
      <w:r w:rsidR="00665B89" w:rsidRPr="00592D81">
        <w:rPr>
          <w:rFonts w:ascii="Arial" w:hAnsi="Arial" w:cs="Arial"/>
          <w:sz w:val="20"/>
          <w:szCs w:val="20"/>
        </w:rPr>
        <w:t>la</w:t>
      </w:r>
      <w:r w:rsidR="00B27C3F" w:rsidRPr="00592D81">
        <w:rPr>
          <w:rFonts w:ascii="Arial" w:hAnsi="Arial" w:cs="Arial"/>
          <w:sz w:val="20"/>
          <w:szCs w:val="20"/>
        </w:rPr>
        <w:t>s</w:t>
      </w:r>
      <w:r w:rsidR="00665B89" w:rsidRPr="00592D81">
        <w:rPr>
          <w:rFonts w:ascii="Arial" w:hAnsi="Arial" w:cs="Arial"/>
          <w:sz w:val="20"/>
          <w:szCs w:val="20"/>
        </w:rPr>
        <w:t xml:space="preserve"> siguiente</w:t>
      </w:r>
      <w:r w:rsidR="00B27C3F" w:rsidRPr="00592D81">
        <w:rPr>
          <w:rFonts w:ascii="Arial" w:hAnsi="Arial" w:cs="Arial"/>
          <w:sz w:val="20"/>
          <w:szCs w:val="20"/>
        </w:rPr>
        <w:t>s</w:t>
      </w:r>
      <w:r w:rsidR="00665B89" w:rsidRPr="00592D81">
        <w:rPr>
          <w:rFonts w:ascii="Arial" w:hAnsi="Arial" w:cs="Arial"/>
          <w:sz w:val="20"/>
          <w:szCs w:val="20"/>
        </w:rPr>
        <w:t xml:space="preserve"> definici</w:t>
      </w:r>
      <w:r w:rsidR="00B27C3F" w:rsidRPr="00592D81">
        <w:rPr>
          <w:rFonts w:ascii="Arial" w:hAnsi="Arial" w:cs="Arial"/>
          <w:sz w:val="20"/>
          <w:szCs w:val="20"/>
        </w:rPr>
        <w:t>o</w:t>
      </w:r>
      <w:r w:rsidR="00665B89" w:rsidRPr="00592D81">
        <w:rPr>
          <w:rFonts w:ascii="Arial" w:hAnsi="Arial" w:cs="Arial"/>
          <w:sz w:val="20"/>
          <w:szCs w:val="20"/>
        </w:rPr>
        <w:t>n</w:t>
      </w:r>
      <w:r w:rsidR="00B27C3F" w:rsidRPr="00592D81">
        <w:rPr>
          <w:rFonts w:ascii="Arial" w:hAnsi="Arial" w:cs="Arial"/>
          <w:sz w:val="20"/>
          <w:szCs w:val="20"/>
        </w:rPr>
        <w:t>es</w:t>
      </w:r>
      <w:r w:rsidRPr="00592D81">
        <w:rPr>
          <w:rFonts w:ascii="Arial" w:hAnsi="Arial" w:cs="Arial"/>
          <w:sz w:val="20"/>
          <w:szCs w:val="20"/>
        </w:rPr>
        <w:t>:</w:t>
      </w:r>
    </w:p>
    <w:p w:rsidR="006439F1" w:rsidRPr="00AC4AEA" w:rsidRDefault="006439F1" w:rsidP="00A318EA">
      <w:pPr>
        <w:pStyle w:val="A-Normal11"/>
        <w:ind w:left="1416"/>
        <w:jc w:val="both"/>
        <w:rPr>
          <w:rFonts w:ascii="Arial" w:hAnsi="Arial" w:cs="Arial"/>
          <w:sz w:val="20"/>
        </w:rPr>
      </w:pPr>
      <w:r w:rsidRPr="00592D81">
        <w:rPr>
          <w:rFonts w:ascii="Arial" w:hAnsi="Arial" w:cs="Arial"/>
          <w:sz w:val="20"/>
          <w:u w:val="single"/>
        </w:rPr>
        <w:t xml:space="preserve">Conjunto de </w:t>
      </w:r>
      <w:r w:rsidR="00135084" w:rsidRPr="00592D81">
        <w:rPr>
          <w:rFonts w:ascii="Arial" w:hAnsi="Arial" w:cs="Arial"/>
          <w:sz w:val="20"/>
          <w:u w:val="single"/>
        </w:rPr>
        <w:t>estados contables</w:t>
      </w:r>
      <w:r w:rsidRPr="00592D81">
        <w:rPr>
          <w:rFonts w:ascii="Arial" w:hAnsi="Arial" w:cs="Arial"/>
          <w:sz w:val="20"/>
          <w:u w:val="single"/>
        </w:rPr>
        <w:t xml:space="preserve"> completo</w:t>
      </w:r>
      <w:r w:rsidR="00B52313" w:rsidRPr="00592D81">
        <w:rPr>
          <w:rFonts w:ascii="Arial" w:hAnsi="Arial" w:cs="Arial"/>
          <w:sz w:val="20"/>
          <w:u w:val="single"/>
        </w:rPr>
        <w:t>s</w:t>
      </w:r>
      <w:r w:rsidRPr="00592D81">
        <w:rPr>
          <w:rFonts w:ascii="Arial" w:hAnsi="Arial" w:cs="Arial"/>
          <w:sz w:val="20"/>
          <w:u w:val="single"/>
        </w:rPr>
        <w:t>, correspondiente a períodos intermedios</w:t>
      </w:r>
      <w:r w:rsidRPr="00592D81">
        <w:rPr>
          <w:rFonts w:ascii="Arial" w:hAnsi="Arial" w:cs="Arial"/>
          <w:sz w:val="20"/>
        </w:rPr>
        <w:t xml:space="preserve">: Es un conjunto de </w:t>
      </w:r>
      <w:r w:rsidR="00135084" w:rsidRPr="00592D81">
        <w:rPr>
          <w:rFonts w:ascii="Arial" w:hAnsi="Arial" w:cs="Arial"/>
          <w:b/>
          <w:bCs/>
          <w:sz w:val="20"/>
        </w:rPr>
        <w:t>estados contables</w:t>
      </w:r>
      <w:r w:rsidRPr="00592D81">
        <w:rPr>
          <w:rFonts w:ascii="Arial" w:hAnsi="Arial" w:cs="Arial"/>
          <w:sz w:val="20"/>
        </w:rPr>
        <w:t xml:space="preserve"> cuy</w:t>
      </w:r>
      <w:r w:rsidR="00B87401" w:rsidRPr="00592D81">
        <w:rPr>
          <w:rFonts w:ascii="Arial" w:hAnsi="Arial" w:cs="Arial"/>
          <w:sz w:val="20"/>
        </w:rPr>
        <w:t>o</w:t>
      </w:r>
      <w:r w:rsidR="00C30FC2" w:rsidRPr="00592D81">
        <w:rPr>
          <w:rFonts w:ascii="Arial" w:hAnsi="Arial" w:cs="Arial"/>
          <w:sz w:val="20"/>
        </w:rPr>
        <w:t xml:space="preserve"> </w:t>
      </w:r>
      <w:r w:rsidRPr="00592D81">
        <w:rPr>
          <w:rFonts w:ascii="Arial" w:hAnsi="Arial" w:cs="Arial"/>
          <w:sz w:val="20"/>
        </w:rPr>
        <w:t xml:space="preserve">contenido </w:t>
      </w:r>
      <w:r w:rsidR="00B87401" w:rsidRPr="00592D81">
        <w:rPr>
          <w:rFonts w:ascii="Arial" w:hAnsi="Arial" w:cs="Arial"/>
          <w:sz w:val="20"/>
        </w:rPr>
        <w:t>equivale</w:t>
      </w:r>
      <w:r w:rsidRPr="00592D81">
        <w:rPr>
          <w:rFonts w:ascii="Arial" w:hAnsi="Arial" w:cs="Arial"/>
          <w:sz w:val="20"/>
        </w:rPr>
        <w:t xml:space="preserve"> al </w:t>
      </w:r>
      <w:r w:rsidR="005B7D45" w:rsidRPr="00592D81">
        <w:rPr>
          <w:rFonts w:ascii="Arial" w:hAnsi="Arial" w:cs="Arial"/>
          <w:sz w:val="20"/>
        </w:rPr>
        <w:t>de</w:t>
      </w:r>
      <w:r w:rsidRPr="00592D81">
        <w:rPr>
          <w:rFonts w:ascii="Arial" w:hAnsi="Arial" w:cs="Arial"/>
          <w:sz w:val="20"/>
        </w:rPr>
        <w:t xml:space="preserve"> los </w:t>
      </w:r>
      <w:r w:rsidR="00135084" w:rsidRPr="00592D81">
        <w:rPr>
          <w:rFonts w:ascii="Arial" w:hAnsi="Arial" w:cs="Arial"/>
          <w:b/>
          <w:bCs/>
          <w:sz w:val="20"/>
        </w:rPr>
        <w:t>estados contables</w:t>
      </w:r>
      <w:r w:rsidRPr="00592D81">
        <w:rPr>
          <w:rFonts w:ascii="Arial" w:hAnsi="Arial" w:cs="Arial"/>
          <w:sz w:val="20"/>
        </w:rPr>
        <w:t xml:space="preserve"> </w:t>
      </w:r>
      <w:r w:rsidR="00BB0625" w:rsidRPr="00592D81">
        <w:rPr>
          <w:rFonts w:ascii="Arial" w:hAnsi="Arial" w:cs="Arial"/>
          <w:sz w:val="20"/>
        </w:rPr>
        <w:t>de</w:t>
      </w:r>
      <w:r w:rsidR="008F5F66" w:rsidRPr="00592D81">
        <w:rPr>
          <w:rFonts w:ascii="Arial" w:hAnsi="Arial" w:cs="Arial"/>
          <w:sz w:val="20"/>
        </w:rPr>
        <w:t xml:space="preserve"> un ejercicio completo.</w:t>
      </w:r>
    </w:p>
    <w:p w:rsidR="00C30FC2" w:rsidRDefault="00094807" w:rsidP="00A318EA">
      <w:pPr>
        <w:pStyle w:val="A-Normal11"/>
        <w:ind w:left="1416"/>
        <w:jc w:val="both"/>
        <w:rPr>
          <w:rFonts w:ascii="Arial" w:hAnsi="Arial" w:cs="Arial"/>
          <w:sz w:val="20"/>
        </w:rPr>
      </w:pPr>
      <w:r w:rsidRPr="00AC4AEA">
        <w:rPr>
          <w:rFonts w:ascii="Arial" w:hAnsi="Arial" w:cs="Arial"/>
          <w:sz w:val="20"/>
          <w:u w:val="single"/>
        </w:rPr>
        <w:t xml:space="preserve">Conjunto de </w:t>
      </w:r>
      <w:r w:rsidR="00135084" w:rsidRPr="00AC4AEA">
        <w:rPr>
          <w:rFonts w:ascii="Arial" w:hAnsi="Arial" w:cs="Arial"/>
          <w:sz w:val="20"/>
          <w:u w:val="single"/>
        </w:rPr>
        <w:t>estados contables</w:t>
      </w:r>
      <w:r w:rsidR="006439F1" w:rsidRPr="00AC4AEA">
        <w:rPr>
          <w:rFonts w:ascii="Arial" w:hAnsi="Arial" w:cs="Arial"/>
          <w:sz w:val="20"/>
          <w:u w:val="single"/>
        </w:rPr>
        <w:t xml:space="preserve"> conde</w:t>
      </w:r>
      <w:r w:rsidRPr="00AC4AEA">
        <w:rPr>
          <w:rFonts w:ascii="Arial" w:hAnsi="Arial" w:cs="Arial"/>
          <w:sz w:val="20"/>
          <w:u w:val="single"/>
        </w:rPr>
        <w:t>n</w:t>
      </w:r>
      <w:r w:rsidR="006439F1" w:rsidRPr="00AC4AEA">
        <w:rPr>
          <w:rFonts w:ascii="Arial" w:hAnsi="Arial" w:cs="Arial"/>
          <w:sz w:val="20"/>
          <w:u w:val="single"/>
        </w:rPr>
        <w:t>sados, correspondiente a períodos intermedios</w:t>
      </w:r>
      <w:r w:rsidR="006439F1" w:rsidRPr="00AC4AEA">
        <w:rPr>
          <w:rFonts w:ascii="Arial" w:hAnsi="Arial" w:cs="Arial"/>
          <w:sz w:val="20"/>
        </w:rPr>
        <w:t>:</w:t>
      </w:r>
      <w:r w:rsidR="006439F1" w:rsidRPr="00AC4AEA">
        <w:rPr>
          <w:rFonts w:ascii="Arial" w:hAnsi="Arial" w:cs="Arial"/>
          <w:b/>
          <w:bCs/>
          <w:sz w:val="20"/>
        </w:rPr>
        <w:t xml:space="preserve"> </w:t>
      </w:r>
      <w:r w:rsidR="006439F1" w:rsidRPr="00AC4AEA">
        <w:rPr>
          <w:rFonts w:ascii="Arial" w:hAnsi="Arial" w:cs="Arial"/>
          <w:sz w:val="20"/>
        </w:rPr>
        <w:t xml:space="preserve">Es un conjunto de </w:t>
      </w:r>
      <w:r w:rsidR="00135084" w:rsidRPr="00AC4AEA">
        <w:rPr>
          <w:rFonts w:ascii="Arial" w:hAnsi="Arial" w:cs="Arial"/>
          <w:b/>
          <w:bCs/>
          <w:sz w:val="20"/>
        </w:rPr>
        <w:t>estados contables</w:t>
      </w:r>
      <w:r w:rsidR="008F5F66" w:rsidRPr="00AC4AEA">
        <w:rPr>
          <w:rFonts w:ascii="Arial" w:hAnsi="Arial" w:cs="Arial"/>
          <w:sz w:val="20"/>
        </w:rPr>
        <w:t xml:space="preserve"> cuyas notas inclu</w:t>
      </w:r>
      <w:r w:rsidR="00BB0625" w:rsidRPr="00AC4AEA">
        <w:rPr>
          <w:rFonts w:ascii="Arial" w:hAnsi="Arial" w:cs="Arial"/>
          <w:sz w:val="20"/>
        </w:rPr>
        <w:t>yen</w:t>
      </w:r>
      <w:r w:rsidR="008F5F66" w:rsidRPr="00AC4AEA">
        <w:rPr>
          <w:rFonts w:ascii="Arial" w:hAnsi="Arial" w:cs="Arial"/>
          <w:sz w:val="20"/>
        </w:rPr>
        <w:t xml:space="preserve"> </w:t>
      </w:r>
      <w:r w:rsidR="00BB0625" w:rsidRPr="00AC4AEA">
        <w:rPr>
          <w:rFonts w:ascii="Arial" w:hAnsi="Arial" w:cs="Arial"/>
          <w:sz w:val="20"/>
        </w:rPr>
        <w:t xml:space="preserve">solo la </w:t>
      </w:r>
      <w:r w:rsidR="008F5F66" w:rsidRPr="00AC4AEA">
        <w:rPr>
          <w:rFonts w:ascii="Arial" w:hAnsi="Arial" w:cs="Arial"/>
          <w:sz w:val="20"/>
        </w:rPr>
        <w:t xml:space="preserve">información </w:t>
      </w:r>
      <w:r w:rsidR="00BB0625" w:rsidRPr="00AC4AEA">
        <w:rPr>
          <w:rFonts w:ascii="Arial" w:hAnsi="Arial" w:cs="Arial"/>
          <w:sz w:val="20"/>
        </w:rPr>
        <w:t xml:space="preserve">que </w:t>
      </w:r>
      <w:r w:rsidR="00C30FC2" w:rsidRPr="00AC4AEA">
        <w:rPr>
          <w:rFonts w:ascii="Arial" w:hAnsi="Arial" w:cs="Arial"/>
          <w:sz w:val="20"/>
        </w:rPr>
        <w:t>resulta</w:t>
      </w:r>
      <w:r w:rsidR="00BB0625" w:rsidRPr="00AC4AEA">
        <w:rPr>
          <w:rFonts w:ascii="Arial" w:hAnsi="Arial" w:cs="Arial"/>
          <w:sz w:val="20"/>
        </w:rPr>
        <w:t xml:space="preserve"> significativa para</w:t>
      </w:r>
      <w:r w:rsidR="008F5F66" w:rsidRPr="00AC4AEA">
        <w:rPr>
          <w:rFonts w:ascii="Arial" w:hAnsi="Arial" w:cs="Arial"/>
          <w:sz w:val="20"/>
        </w:rPr>
        <w:t xml:space="preserve"> interpretar los cambios en la </w:t>
      </w:r>
      <w:r w:rsidR="008F5F66" w:rsidRPr="00AC4AEA">
        <w:rPr>
          <w:rFonts w:ascii="Arial" w:hAnsi="Arial" w:cs="Arial"/>
          <w:b/>
          <w:bCs/>
          <w:sz w:val="20"/>
        </w:rPr>
        <w:t>situación patrimonial</w:t>
      </w:r>
      <w:r w:rsidR="00BB0625" w:rsidRPr="00AC4AEA">
        <w:rPr>
          <w:rFonts w:ascii="Arial" w:hAnsi="Arial" w:cs="Arial"/>
          <w:sz w:val="20"/>
        </w:rPr>
        <w:t>, l</w:t>
      </w:r>
      <w:r w:rsidR="001B4163" w:rsidRPr="00AC4AEA">
        <w:rPr>
          <w:rFonts w:ascii="Arial" w:hAnsi="Arial" w:cs="Arial"/>
          <w:sz w:val="20"/>
        </w:rPr>
        <w:t>a</w:t>
      </w:r>
      <w:r w:rsidR="00BB0625" w:rsidRPr="00AC4AEA">
        <w:rPr>
          <w:rFonts w:ascii="Arial" w:hAnsi="Arial" w:cs="Arial"/>
          <w:sz w:val="20"/>
        </w:rPr>
        <w:t xml:space="preserve"> </w:t>
      </w:r>
      <w:r w:rsidR="001B4163" w:rsidRPr="00AC4AEA">
        <w:rPr>
          <w:rFonts w:ascii="Arial" w:hAnsi="Arial" w:cs="Arial"/>
          <w:b/>
          <w:bCs/>
          <w:sz w:val="20"/>
        </w:rPr>
        <w:t>evolución patrimonial</w:t>
      </w:r>
      <w:r w:rsidR="00BB0625" w:rsidRPr="00AC4AEA">
        <w:rPr>
          <w:rFonts w:ascii="Arial" w:hAnsi="Arial" w:cs="Arial"/>
          <w:sz w:val="20"/>
        </w:rPr>
        <w:t xml:space="preserve"> y la </w:t>
      </w:r>
      <w:r w:rsidR="00BB0625" w:rsidRPr="00AC4AEA">
        <w:rPr>
          <w:rFonts w:ascii="Arial" w:hAnsi="Arial" w:cs="Arial"/>
          <w:b/>
          <w:bCs/>
          <w:sz w:val="20"/>
        </w:rPr>
        <w:t xml:space="preserve">evolución </w:t>
      </w:r>
      <w:r w:rsidR="008F5F66" w:rsidRPr="00AC4AEA">
        <w:rPr>
          <w:rFonts w:ascii="Arial" w:hAnsi="Arial" w:cs="Arial"/>
          <w:b/>
          <w:bCs/>
          <w:sz w:val="20"/>
        </w:rPr>
        <w:t>financiera</w:t>
      </w:r>
      <w:r w:rsidR="008F5F66" w:rsidRPr="00AC4AEA">
        <w:rPr>
          <w:rFonts w:ascii="Arial" w:hAnsi="Arial" w:cs="Arial"/>
          <w:sz w:val="20"/>
        </w:rPr>
        <w:t xml:space="preserve"> desde la fecha de cierre del ejercicio </w:t>
      </w:r>
      <w:r w:rsidR="00C30FC2" w:rsidRPr="00AC4AEA">
        <w:rPr>
          <w:rFonts w:ascii="Arial" w:hAnsi="Arial" w:cs="Arial"/>
          <w:sz w:val="20"/>
        </w:rPr>
        <w:t>anual más reciente y la fecha de cierre del período intermedio sobre el cual se informa.</w:t>
      </w:r>
    </w:p>
    <w:p w:rsidR="00780930" w:rsidRPr="00AC4AEA" w:rsidRDefault="00780930" w:rsidP="00780930">
      <w:pPr>
        <w:pStyle w:val="A-Normal11"/>
        <w:ind w:left="1416"/>
        <w:jc w:val="both"/>
        <w:rPr>
          <w:rFonts w:ascii="Arial" w:hAnsi="Arial" w:cs="Arial"/>
          <w:sz w:val="20"/>
        </w:rPr>
      </w:pPr>
      <w:r w:rsidRPr="00AC4AEA">
        <w:rPr>
          <w:rFonts w:ascii="Arial" w:hAnsi="Arial" w:cs="Arial"/>
          <w:sz w:val="20"/>
          <w:u w:val="single"/>
        </w:rPr>
        <w:t>Estados contables correspondientes a períodos intermedios</w:t>
      </w:r>
      <w:r w:rsidRPr="00AC4AEA">
        <w:rPr>
          <w:rFonts w:ascii="Arial" w:hAnsi="Arial" w:cs="Arial"/>
          <w:sz w:val="20"/>
        </w:rPr>
        <w:t>:</w:t>
      </w:r>
      <w:r w:rsidRPr="00AC4AEA">
        <w:rPr>
          <w:rFonts w:ascii="Arial" w:hAnsi="Arial" w:cs="Arial"/>
          <w:b/>
          <w:bCs/>
          <w:sz w:val="20"/>
        </w:rPr>
        <w:t xml:space="preserve"> </w:t>
      </w:r>
      <w:r w:rsidRPr="00AC4AEA">
        <w:rPr>
          <w:rFonts w:ascii="Arial" w:hAnsi="Arial" w:cs="Arial"/>
          <w:sz w:val="20"/>
        </w:rPr>
        <w:t xml:space="preserve">Es un conjunto de </w:t>
      </w:r>
      <w:r w:rsidRPr="00AC4AEA">
        <w:rPr>
          <w:rFonts w:ascii="Arial" w:hAnsi="Arial" w:cs="Arial"/>
          <w:b/>
          <w:bCs/>
          <w:sz w:val="20"/>
        </w:rPr>
        <w:t>estados contables</w:t>
      </w:r>
      <w:r w:rsidRPr="00AC4AEA">
        <w:rPr>
          <w:rFonts w:ascii="Arial" w:hAnsi="Arial" w:cs="Arial"/>
          <w:sz w:val="20"/>
        </w:rPr>
        <w:t>, completo o condensado, referido a un período más pequeño que el ejercicio de la entidad.</w:t>
      </w:r>
    </w:p>
    <w:p w:rsidR="00780930" w:rsidRPr="00AC4AEA" w:rsidRDefault="00780930" w:rsidP="00A318EA">
      <w:pPr>
        <w:pStyle w:val="A-Normal11"/>
        <w:ind w:left="1416"/>
        <w:jc w:val="both"/>
        <w:rPr>
          <w:rFonts w:ascii="Arial" w:hAnsi="Arial" w:cs="Arial"/>
          <w:b/>
          <w:bCs/>
          <w:sz w:val="20"/>
        </w:rPr>
      </w:pPr>
    </w:p>
    <w:p w:rsidR="00C30FC2" w:rsidRPr="00AC4AEA" w:rsidRDefault="00C30FC2" w:rsidP="00A318EA">
      <w:pPr>
        <w:pStyle w:val="Prrafodelista"/>
        <w:ind w:left="993"/>
        <w:contextualSpacing w:val="0"/>
        <w:jc w:val="both"/>
        <w:rPr>
          <w:rFonts w:ascii="Arial" w:hAnsi="Arial" w:cs="Arial"/>
          <w:sz w:val="20"/>
          <w:szCs w:val="20"/>
        </w:rPr>
      </w:pPr>
    </w:p>
    <w:p w:rsidR="00AB0D0D" w:rsidRPr="00AC4AEA" w:rsidRDefault="00AB0D0D" w:rsidP="00A318EA">
      <w:pPr>
        <w:autoSpaceDE w:val="0"/>
        <w:autoSpaceDN w:val="0"/>
        <w:adjustRightInd w:val="0"/>
        <w:jc w:val="both"/>
        <w:rPr>
          <w:rFonts w:ascii="Arial" w:hAnsi="Arial" w:cs="Arial"/>
          <w:sz w:val="20"/>
          <w:szCs w:val="20"/>
        </w:rPr>
      </w:pPr>
      <w:r w:rsidRPr="00AC4AEA">
        <w:rPr>
          <w:rFonts w:ascii="Arial" w:hAnsi="Arial" w:cs="Arial"/>
          <w:b/>
          <w:sz w:val="20"/>
          <w:szCs w:val="20"/>
        </w:rPr>
        <w:t xml:space="preserve">Criterios a emplear en los </w:t>
      </w:r>
      <w:r w:rsidR="00135084" w:rsidRPr="00AC4AEA">
        <w:rPr>
          <w:rFonts w:ascii="Arial" w:hAnsi="Arial" w:cs="Arial"/>
          <w:b/>
          <w:bCs/>
          <w:sz w:val="20"/>
          <w:szCs w:val="20"/>
        </w:rPr>
        <w:t>estados contables</w:t>
      </w:r>
      <w:r w:rsidRPr="00AC4AEA">
        <w:rPr>
          <w:rFonts w:ascii="Arial" w:hAnsi="Arial" w:cs="Arial"/>
          <w:b/>
          <w:sz w:val="20"/>
          <w:szCs w:val="20"/>
        </w:rPr>
        <w:t xml:space="preserve"> de períodos intermedios</w:t>
      </w:r>
    </w:p>
    <w:p w:rsidR="00AB0D0D" w:rsidRPr="00AC4AEA" w:rsidRDefault="00AB0D0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aplicará a los fines de preparar </w:t>
      </w:r>
      <w:r w:rsidR="00135084" w:rsidRPr="00AC4AEA">
        <w:rPr>
          <w:rFonts w:ascii="Arial" w:hAnsi="Arial" w:cs="Arial"/>
          <w:b/>
          <w:bCs/>
          <w:sz w:val="20"/>
          <w:szCs w:val="20"/>
        </w:rPr>
        <w:t>estados contables</w:t>
      </w:r>
      <w:r w:rsidRPr="00AC4AEA">
        <w:rPr>
          <w:rFonts w:ascii="Arial" w:hAnsi="Arial" w:cs="Arial"/>
          <w:sz w:val="20"/>
          <w:szCs w:val="20"/>
        </w:rPr>
        <w:t xml:space="preserve"> de períodos intermedios:</w:t>
      </w:r>
    </w:p>
    <w:p w:rsidR="00AB0D0D" w:rsidRPr="00AC4AEA" w:rsidRDefault="00665B89" w:rsidP="00A318EA">
      <w:pPr>
        <w:pStyle w:val="Prrafodelista"/>
        <w:numPr>
          <w:ilvl w:val="0"/>
          <w:numId w:val="254"/>
        </w:numPr>
        <w:ind w:left="1560"/>
        <w:contextualSpacing w:val="0"/>
        <w:jc w:val="both"/>
        <w:rPr>
          <w:rFonts w:ascii="Arial" w:hAnsi="Arial" w:cs="Arial"/>
          <w:sz w:val="20"/>
          <w:szCs w:val="20"/>
        </w:rPr>
      </w:pPr>
      <w:r w:rsidRPr="00AC4AEA">
        <w:rPr>
          <w:rFonts w:ascii="Arial" w:hAnsi="Arial" w:cs="Arial"/>
          <w:sz w:val="20"/>
          <w:szCs w:val="20"/>
        </w:rPr>
        <w:t>l</w:t>
      </w:r>
      <w:r w:rsidR="00AB0D0D" w:rsidRPr="00AC4AEA">
        <w:rPr>
          <w:rFonts w:ascii="Arial" w:hAnsi="Arial" w:cs="Arial"/>
          <w:sz w:val="20"/>
          <w:szCs w:val="20"/>
        </w:rPr>
        <w:t xml:space="preserve">as mismas </w:t>
      </w:r>
      <w:r w:rsidR="00135084" w:rsidRPr="00AC4AEA">
        <w:rPr>
          <w:rFonts w:ascii="Arial" w:hAnsi="Arial" w:cs="Arial"/>
          <w:b/>
          <w:bCs/>
          <w:sz w:val="20"/>
          <w:szCs w:val="20"/>
        </w:rPr>
        <w:t>políticas contables</w:t>
      </w:r>
      <w:r w:rsidR="00AB0D0D" w:rsidRPr="00AC4AEA">
        <w:rPr>
          <w:rFonts w:ascii="Arial" w:hAnsi="Arial" w:cs="Arial"/>
          <w:sz w:val="20"/>
          <w:szCs w:val="20"/>
        </w:rPr>
        <w:t xml:space="preserve"> que utiliza para sus </w:t>
      </w:r>
      <w:r w:rsidR="00135084" w:rsidRPr="00AC4AEA">
        <w:rPr>
          <w:rFonts w:ascii="Arial" w:hAnsi="Arial" w:cs="Arial"/>
          <w:b/>
          <w:bCs/>
          <w:sz w:val="20"/>
          <w:szCs w:val="20"/>
        </w:rPr>
        <w:t>estados contables</w:t>
      </w:r>
      <w:r w:rsidR="00AB0D0D" w:rsidRPr="00AC4AEA">
        <w:rPr>
          <w:rFonts w:ascii="Arial" w:hAnsi="Arial" w:cs="Arial"/>
          <w:sz w:val="20"/>
          <w:szCs w:val="20"/>
        </w:rPr>
        <w:t xml:space="preserve"> anuales</w:t>
      </w:r>
      <w:r w:rsidRPr="00AC4AEA">
        <w:rPr>
          <w:rFonts w:ascii="Arial" w:hAnsi="Arial" w:cs="Arial"/>
          <w:sz w:val="20"/>
          <w:szCs w:val="20"/>
        </w:rPr>
        <w:t>;</w:t>
      </w:r>
    </w:p>
    <w:p w:rsidR="00AB0D0D" w:rsidRPr="00AC4AEA" w:rsidRDefault="00665B89" w:rsidP="00A318EA">
      <w:pPr>
        <w:pStyle w:val="Prrafodelista"/>
        <w:numPr>
          <w:ilvl w:val="0"/>
          <w:numId w:val="254"/>
        </w:numPr>
        <w:ind w:left="1560"/>
        <w:contextualSpacing w:val="0"/>
        <w:jc w:val="both"/>
        <w:rPr>
          <w:rFonts w:ascii="Arial" w:hAnsi="Arial" w:cs="Arial"/>
          <w:sz w:val="20"/>
          <w:szCs w:val="20"/>
        </w:rPr>
      </w:pPr>
      <w:r w:rsidRPr="00AC4AEA">
        <w:rPr>
          <w:rFonts w:ascii="Arial" w:hAnsi="Arial" w:cs="Arial"/>
          <w:sz w:val="20"/>
          <w:szCs w:val="20"/>
        </w:rPr>
        <w:t>l</w:t>
      </w:r>
      <w:r w:rsidR="00AB0D0D" w:rsidRPr="00AC4AEA">
        <w:rPr>
          <w:rFonts w:ascii="Arial" w:hAnsi="Arial" w:cs="Arial"/>
          <w:sz w:val="20"/>
          <w:szCs w:val="20"/>
        </w:rPr>
        <w:t>as normas referidas a “</w:t>
      </w:r>
      <w:r w:rsidR="00AB0D0D" w:rsidRPr="00AC4AEA">
        <w:rPr>
          <w:rFonts w:ascii="Arial" w:hAnsi="Arial" w:cs="Arial"/>
          <w:sz w:val="20"/>
          <w:szCs w:val="20"/>
          <w:u w:val="single"/>
        </w:rPr>
        <w:t>Modificación de la información de ejercicios anteriores</w:t>
      </w:r>
      <w:r w:rsidR="00AB0D0D" w:rsidRPr="00AC4AEA">
        <w:rPr>
          <w:rFonts w:ascii="Arial" w:hAnsi="Arial" w:cs="Arial"/>
          <w:sz w:val="20"/>
          <w:szCs w:val="20"/>
        </w:rPr>
        <w:t>”</w:t>
      </w:r>
      <w:r w:rsidR="009B7B33" w:rsidRPr="00AC4AEA">
        <w:rPr>
          <w:rFonts w:ascii="Arial" w:hAnsi="Arial" w:cs="Arial"/>
          <w:sz w:val="20"/>
          <w:szCs w:val="20"/>
        </w:rPr>
        <w:t xml:space="preserve"> [ver los párrafos </w:t>
      </w:r>
      <w:fldSimple w:instr=" REF _Ref99457793 \r \h  \* MERGEFORMAT ">
        <w:r w:rsidR="00D33A5D" w:rsidRPr="00D33A5D">
          <w:rPr>
            <w:rFonts w:ascii="Arial" w:hAnsi="Arial" w:cs="Arial"/>
            <w:sz w:val="20"/>
            <w:szCs w:val="20"/>
          </w:rPr>
          <w:t>66</w:t>
        </w:r>
      </w:fldSimple>
      <w:r w:rsidR="009B7B33" w:rsidRPr="00AC4AEA">
        <w:rPr>
          <w:rFonts w:ascii="Arial" w:hAnsi="Arial" w:cs="Arial"/>
          <w:sz w:val="20"/>
          <w:szCs w:val="20"/>
        </w:rPr>
        <w:t xml:space="preserve"> a </w:t>
      </w:r>
      <w:fldSimple w:instr=" REF _Ref99457811 \r \h  \* MERGEFORMAT ">
        <w:r w:rsidR="00D33A5D" w:rsidRPr="00D33A5D">
          <w:rPr>
            <w:rFonts w:ascii="Arial" w:hAnsi="Arial" w:cs="Arial"/>
            <w:sz w:val="20"/>
            <w:szCs w:val="20"/>
          </w:rPr>
          <w:t>70</w:t>
        </w:r>
      </w:fldSimple>
      <w:r w:rsidR="009B7B33" w:rsidRPr="00AC4AEA">
        <w:rPr>
          <w:rFonts w:ascii="Arial" w:hAnsi="Arial" w:cs="Arial"/>
          <w:sz w:val="20"/>
          <w:szCs w:val="20"/>
        </w:rPr>
        <w:t>]</w:t>
      </w:r>
      <w:r w:rsidRPr="00AC4AEA">
        <w:rPr>
          <w:rFonts w:ascii="Arial" w:hAnsi="Arial" w:cs="Arial"/>
          <w:sz w:val="20"/>
          <w:szCs w:val="20"/>
        </w:rPr>
        <w:t>; y</w:t>
      </w:r>
    </w:p>
    <w:p w:rsidR="00AB0D0D" w:rsidRPr="00AC4AEA" w:rsidRDefault="00665B89" w:rsidP="00A318EA">
      <w:pPr>
        <w:pStyle w:val="Prrafodelista"/>
        <w:numPr>
          <w:ilvl w:val="0"/>
          <w:numId w:val="254"/>
        </w:numPr>
        <w:ind w:left="1560"/>
        <w:contextualSpacing w:val="0"/>
        <w:jc w:val="both"/>
        <w:rPr>
          <w:rFonts w:ascii="Arial" w:hAnsi="Arial" w:cs="Arial"/>
          <w:sz w:val="20"/>
          <w:szCs w:val="20"/>
        </w:rPr>
      </w:pPr>
      <w:r w:rsidRPr="00AC4AEA">
        <w:rPr>
          <w:rFonts w:ascii="Arial" w:hAnsi="Arial" w:cs="Arial"/>
          <w:sz w:val="20"/>
          <w:szCs w:val="20"/>
        </w:rPr>
        <w:t>l</w:t>
      </w:r>
      <w:r w:rsidR="00AB0D0D" w:rsidRPr="00AC4AEA">
        <w:rPr>
          <w:rFonts w:ascii="Arial" w:hAnsi="Arial" w:cs="Arial"/>
          <w:sz w:val="20"/>
          <w:szCs w:val="20"/>
        </w:rPr>
        <w:t xml:space="preserve">os criterios para evaluar la </w:t>
      </w:r>
      <w:r w:rsidR="00AB0D0D" w:rsidRPr="00AC4AEA">
        <w:rPr>
          <w:rFonts w:ascii="Arial" w:hAnsi="Arial" w:cs="Arial"/>
          <w:b/>
          <w:bCs/>
          <w:sz w:val="20"/>
          <w:szCs w:val="20"/>
        </w:rPr>
        <w:t>significación</w:t>
      </w:r>
      <w:r w:rsidR="00AB0D0D" w:rsidRPr="00AC4AEA">
        <w:rPr>
          <w:rFonts w:ascii="Arial" w:hAnsi="Arial" w:cs="Arial"/>
          <w:sz w:val="20"/>
          <w:szCs w:val="20"/>
        </w:rPr>
        <w:t xml:space="preserve"> de una desviación establecidos en el párrafo </w:t>
      </w:r>
      <w:fldSimple w:instr=" REF _Ref75791953 \r \h  \* MERGEFORMAT ">
        <w:r w:rsidR="00D33A5D">
          <w:rPr>
            <w:rFonts w:ascii="Arial" w:hAnsi="Arial" w:cs="Arial"/>
            <w:sz w:val="20"/>
            <w:szCs w:val="20"/>
          </w:rPr>
          <w:t>82</w:t>
        </w:r>
      </w:fldSimple>
      <w:r w:rsidR="00AB0D0D" w:rsidRPr="00AC4AEA">
        <w:rPr>
          <w:rFonts w:ascii="Arial" w:hAnsi="Arial" w:cs="Arial"/>
          <w:sz w:val="20"/>
          <w:szCs w:val="20"/>
        </w:rPr>
        <w:t>.</w:t>
      </w:r>
    </w:p>
    <w:p w:rsidR="00512192" w:rsidRPr="00AC4AEA" w:rsidRDefault="00DE358C" w:rsidP="00A318EA">
      <w:pPr>
        <w:pStyle w:val="Prrafodelista"/>
        <w:numPr>
          <w:ilvl w:val="0"/>
          <w:numId w:val="29"/>
        </w:numPr>
        <w:ind w:left="992"/>
        <w:contextualSpacing w:val="0"/>
        <w:jc w:val="both"/>
        <w:rPr>
          <w:rFonts w:ascii="Arial" w:hAnsi="Arial" w:cs="Arial"/>
          <w:sz w:val="20"/>
          <w:szCs w:val="20"/>
        </w:rPr>
      </w:pPr>
      <w:r w:rsidRPr="00AC4AEA">
        <w:rPr>
          <w:rFonts w:ascii="Arial" w:hAnsi="Arial" w:cs="Arial"/>
          <w:sz w:val="20"/>
          <w:szCs w:val="20"/>
        </w:rPr>
        <w:t>Como consecuencia de lo indicado en el párrafo anterior:</w:t>
      </w:r>
      <w:r w:rsidRPr="00AC4AEA">
        <w:rPr>
          <w:rFonts w:ascii="Arial" w:hAnsi="Arial" w:cs="Arial"/>
          <w:sz w:val="20"/>
          <w:szCs w:val="20"/>
        </w:rPr>
        <w:cr/>
      </w:r>
    </w:p>
    <w:p w:rsidR="00DE358C" w:rsidRPr="00AC4AEA" w:rsidRDefault="00EC2D74" w:rsidP="00A318EA">
      <w:pPr>
        <w:pStyle w:val="Prrafodelista"/>
        <w:numPr>
          <w:ilvl w:val="0"/>
          <w:numId w:val="391"/>
        </w:numPr>
        <w:ind w:left="1560"/>
        <w:contextualSpacing w:val="0"/>
        <w:jc w:val="both"/>
        <w:rPr>
          <w:rFonts w:ascii="Arial" w:hAnsi="Arial" w:cs="Arial"/>
          <w:sz w:val="20"/>
          <w:szCs w:val="20"/>
        </w:rPr>
      </w:pPr>
      <w:r w:rsidRPr="00AC4AEA">
        <w:rPr>
          <w:rFonts w:ascii="Arial" w:hAnsi="Arial" w:cs="Arial"/>
          <w:sz w:val="20"/>
          <w:szCs w:val="20"/>
        </w:rPr>
        <w:t>Los ingresos</w:t>
      </w:r>
      <w:r w:rsidR="00DE358C" w:rsidRPr="00AC4AEA">
        <w:rPr>
          <w:rFonts w:ascii="Arial" w:hAnsi="Arial" w:cs="Arial"/>
          <w:sz w:val="20"/>
          <w:szCs w:val="20"/>
        </w:rPr>
        <w:t xml:space="preserve"> que se perciben de forma estacional, cíclica u ocasionalmente, y los costos que no se incurren de forma uniforme, en ambos casos dentro de un mismo ejercicio contable anual, no deben anticiparse ni diferirse, si tal tratamiento no fuera apropiado para la presentación de la información financiera al final del ejercicio contable anual.</w:t>
      </w:r>
    </w:p>
    <w:p w:rsidR="00DE358C" w:rsidRPr="00AC4AEA" w:rsidRDefault="00DE358C" w:rsidP="00A318EA">
      <w:pPr>
        <w:pStyle w:val="Prrafodelista"/>
        <w:numPr>
          <w:ilvl w:val="0"/>
          <w:numId w:val="391"/>
        </w:numPr>
        <w:ind w:left="1560"/>
        <w:contextualSpacing w:val="0"/>
        <w:jc w:val="both"/>
        <w:rPr>
          <w:rFonts w:ascii="Arial" w:hAnsi="Arial" w:cs="Arial"/>
          <w:sz w:val="20"/>
          <w:szCs w:val="20"/>
        </w:rPr>
      </w:pPr>
      <w:r w:rsidRPr="00AC4AEA">
        <w:rPr>
          <w:rFonts w:ascii="Arial" w:hAnsi="Arial" w:cs="Arial"/>
          <w:sz w:val="20"/>
          <w:szCs w:val="20"/>
        </w:rPr>
        <w:lastRenderedPageBreak/>
        <w:t xml:space="preserve">El </w:t>
      </w:r>
      <w:r w:rsidRPr="002A73C3">
        <w:rPr>
          <w:rFonts w:ascii="Arial" w:hAnsi="Arial" w:cs="Arial"/>
          <w:b/>
          <w:bCs/>
          <w:sz w:val="20"/>
          <w:szCs w:val="20"/>
        </w:rPr>
        <w:t xml:space="preserve">gasto </w:t>
      </w:r>
      <w:r w:rsidRPr="00AC4AEA">
        <w:rPr>
          <w:rFonts w:ascii="Arial" w:hAnsi="Arial" w:cs="Arial"/>
          <w:sz w:val="20"/>
          <w:szCs w:val="20"/>
        </w:rPr>
        <w:t>por impuesto sobre las ganancias se reconocerá, en cada período intermedio, en función a la tasa impositiva promedio que se espera para el ejercicio contable anual.</w:t>
      </w:r>
    </w:p>
    <w:p w:rsidR="00AB0D0D" w:rsidRPr="00AC4AEA" w:rsidRDefault="00AB0D0D" w:rsidP="00A318EA">
      <w:pPr>
        <w:pStyle w:val="A-Normal11"/>
        <w:jc w:val="both"/>
        <w:rPr>
          <w:rFonts w:ascii="Arial" w:hAnsi="Arial" w:cs="Arial"/>
          <w:sz w:val="20"/>
        </w:rPr>
      </w:pPr>
    </w:p>
    <w:p w:rsidR="00405C74" w:rsidRPr="00AC4AEA" w:rsidRDefault="00405C74" w:rsidP="00A318EA">
      <w:pPr>
        <w:pStyle w:val="Ttulo2"/>
        <w:rPr>
          <w:rFonts w:cs="Arial"/>
        </w:rPr>
      </w:pPr>
      <w:bookmarkStart w:id="1040" w:name="_Toc101864053"/>
      <w:bookmarkStart w:id="1041" w:name="_Toc139356953"/>
      <w:r w:rsidRPr="00AC4AEA">
        <w:rPr>
          <w:rFonts w:cs="Arial"/>
        </w:rPr>
        <w:t xml:space="preserve">Presentación de </w:t>
      </w:r>
      <w:r w:rsidR="00135084" w:rsidRPr="00AC4AEA">
        <w:rPr>
          <w:rFonts w:cs="Arial"/>
          <w:bCs/>
        </w:rPr>
        <w:t>estados contables</w:t>
      </w:r>
      <w:r w:rsidRPr="00AC4AEA">
        <w:rPr>
          <w:rFonts w:cs="Arial"/>
        </w:rPr>
        <w:t xml:space="preserve"> de períodos intermedios</w:t>
      </w:r>
      <w:bookmarkEnd w:id="1040"/>
      <w:bookmarkEnd w:id="1041"/>
    </w:p>
    <w:p w:rsidR="00405C74" w:rsidRPr="00AC4AEA" w:rsidRDefault="00405C7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Cuando deba presentar </w:t>
      </w:r>
      <w:r w:rsidR="00135084" w:rsidRPr="00AC4AEA">
        <w:rPr>
          <w:rFonts w:ascii="Arial" w:hAnsi="Arial" w:cs="Arial"/>
          <w:b/>
          <w:bCs/>
          <w:sz w:val="20"/>
          <w:szCs w:val="20"/>
        </w:rPr>
        <w:t>estados contables</w:t>
      </w:r>
      <w:r w:rsidRPr="00AC4AEA">
        <w:rPr>
          <w:rFonts w:ascii="Arial" w:hAnsi="Arial" w:cs="Arial"/>
          <w:sz w:val="20"/>
          <w:szCs w:val="20"/>
        </w:rPr>
        <w:t xml:space="preserve"> de períodos intermedios, una entidad podrá presentar:</w:t>
      </w:r>
    </w:p>
    <w:p w:rsidR="00405C74" w:rsidRPr="00AC4AEA" w:rsidRDefault="00135084" w:rsidP="00A318EA">
      <w:pPr>
        <w:pStyle w:val="Prrafodelista"/>
        <w:numPr>
          <w:ilvl w:val="0"/>
          <w:numId w:val="255"/>
        </w:numPr>
        <w:ind w:left="1560"/>
        <w:contextualSpacing w:val="0"/>
        <w:jc w:val="both"/>
        <w:rPr>
          <w:rFonts w:ascii="Arial" w:hAnsi="Arial" w:cs="Arial"/>
          <w:sz w:val="20"/>
          <w:szCs w:val="20"/>
        </w:rPr>
      </w:pPr>
      <w:r w:rsidRPr="00AC4AEA">
        <w:rPr>
          <w:rFonts w:ascii="Arial" w:hAnsi="Arial" w:cs="Arial"/>
          <w:b/>
          <w:bCs/>
          <w:sz w:val="20"/>
          <w:szCs w:val="20"/>
        </w:rPr>
        <w:t>estados contables</w:t>
      </w:r>
      <w:r w:rsidR="00405C74" w:rsidRPr="00AC4AEA">
        <w:rPr>
          <w:rFonts w:ascii="Arial" w:hAnsi="Arial" w:cs="Arial"/>
          <w:sz w:val="20"/>
          <w:szCs w:val="20"/>
        </w:rPr>
        <w:t xml:space="preserve"> completos de períodos intermedios; o</w:t>
      </w:r>
    </w:p>
    <w:p w:rsidR="00405C74" w:rsidRPr="00AC4AEA" w:rsidRDefault="00135084" w:rsidP="00A318EA">
      <w:pPr>
        <w:pStyle w:val="Prrafodelista"/>
        <w:numPr>
          <w:ilvl w:val="0"/>
          <w:numId w:val="255"/>
        </w:numPr>
        <w:ind w:left="1560"/>
        <w:contextualSpacing w:val="0"/>
        <w:jc w:val="both"/>
        <w:rPr>
          <w:rFonts w:ascii="Arial" w:hAnsi="Arial" w:cs="Arial"/>
          <w:sz w:val="20"/>
          <w:szCs w:val="20"/>
        </w:rPr>
      </w:pPr>
      <w:r w:rsidRPr="00AC4AEA">
        <w:rPr>
          <w:rFonts w:ascii="Arial" w:hAnsi="Arial" w:cs="Arial"/>
          <w:b/>
          <w:bCs/>
          <w:sz w:val="20"/>
          <w:szCs w:val="20"/>
        </w:rPr>
        <w:t>estados contables</w:t>
      </w:r>
      <w:r w:rsidR="00405C74" w:rsidRPr="00AC4AEA">
        <w:rPr>
          <w:rFonts w:ascii="Arial" w:hAnsi="Arial" w:cs="Arial"/>
          <w:sz w:val="20"/>
          <w:szCs w:val="20"/>
        </w:rPr>
        <w:t xml:space="preserve"> condensados de períodos intermedios.</w:t>
      </w:r>
    </w:p>
    <w:p w:rsidR="00405C74" w:rsidRPr="00AC4AEA" w:rsidRDefault="00405C7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identificará en el título de los </w:t>
      </w:r>
      <w:r w:rsidR="00135084" w:rsidRPr="00AC4AEA">
        <w:rPr>
          <w:rFonts w:ascii="Arial" w:hAnsi="Arial" w:cs="Arial"/>
          <w:b/>
          <w:bCs/>
          <w:sz w:val="20"/>
          <w:szCs w:val="20"/>
        </w:rPr>
        <w:t>estados contables</w:t>
      </w:r>
      <w:r w:rsidRPr="00AC4AEA">
        <w:rPr>
          <w:rFonts w:ascii="Arial" w:hAnsi="Arial" w:cs="Arial"/>
          <w:sz w:val="20"/>
          <w:szCs w:val="20"/>
        </w:rPr>
        <w:t xml:space="preserve"> la alternativa de presentación seleccionada, </w:t>
      </w:r>
      <w:r w:rsidR="00665B89" w:rsidRPr="00AC4AEA">
        <w:rPr>
          <w:rFonts w:ascii="Arial" w:hAnsi="Arial" w:cs="Arial"/>
          <w:sz w:val="20"/>
          <w:szCs w:val="20"/>
        </w:rPr>
        <w:t>de acuerdo con lo establecido</w:t>
      </w:r>
      <w:r w:rsidRPr="00AC4AEA">
        <w:rPr>
          <w:rFonts w:ascii="Arial" w:hAnsi="Arial" w:cs="Arial"/>
          <w:sz w:val="20"/>
          <w:szCs w:val="20"/>
        </w:rPr>
        <w:t xml:space="preserve"> </w:t>
      </w:r>
      <w:r w:rsidR="008755DD" w:rsidRPr="00AC4AEA">
        <w:rPr>
          <w:rFonts w:ascii="Arial" w:hAnsi="Arial" w:cs="Arial"/>
          <w:sz w:val="20"/>
          <w:szCs w:val="20"/>
        </w:rPr>
        <w:t xml:space="preserve">en </w:t>
      </w:r>
      <w:r w:rsidRPr="00AC4AEA">
        <w:rPr>
          <w:rFonts w:ascii="Arial" w:hAnsi="Arial" w:cs="Arial"/>
          <w:sz w:val="20"/>
          <w:szCs w:val="20"/>
        </w:rPr>
        <w:t>el párrafo anterior. Por ejemplo, deberá indicar si se trata de un estado de situación patrimonial de período intermedio condensado.</w:t>
      </w:r>
    </w:p>
    <w:p w:rsidR="00AB0D0D" w:rsidRPr="00AC4AEA" w:rsidRDefault="00AB0D0D"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 entidad aplicará las normas sobre “</w:t>
      </w:r>
      <w:r w:rsidRPr="00AC4AEA">
        <w:rPr>
          <w:rFonts w:ascii="Arial" w:hAnsi="Arial" w:cs="Arial"/>
          <w:sz w:val="20"/>
          <w:szCs w:val="20"/>
          <w:u w:val="single"/>
        </w:rPr>
        <w:t>Información comparativa</w:t>
      </w:r>
      <w:r w:rsidRPr="00AC4AEA">
        <w:rPr>
          <w:rFonts w:ascii="Arial" w:hAnsi="Arial" w:cs="Arial"/>
          <w:sz w:val="20"/>
          <w:szCs w:val="20"/>
        </w:rPr>
        <w:t xml:space="preserve">” contenidas en el inciso b), del párrafo </w:t>
      </w:r>
      <w:fldSimple w:instr=" REF _Ref75791737 \r \h  \* MERGEFORMAT ">
        <w:r w:rsidR="00D33A5D" w:rsidRPr="00D33A5D">
          <w:rPr>
            <w:rFonts w:ascii="Arial" w:hAnsi="Arial" w:cs="Arial"/>
            <w:sz w:val="20"/>
            <w:szCs w:val="20"/>
          </w:rPr>
          <w:t>59</w:t>
        </w:r>
      </w:fldSimple>
      <w:r w:rsidRPr="00AC4AEA">
        <w:rPr>
          <w:rFonts w:ascii="Arial" w:hAnsi="Arial" w:cs="Arial"/>
          <w:sz w:val="20"/>
          <w:szCs w:val="20"/>
        </w:rPr>
        <w:t>.</w:t>
      </w:r>
    </w:p>
    <w:p w:rsidR="00405C74" w:rsidRPr="00AC4AEA" w:rsidRDefault="00405C7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Una</w:t>
      </w:r>
      <w:r w:rsidR="000140E2" w:rsidRPr="00AC4AEA">
        <w:rPr>
          <w:rFonts w:ascii="Arial" w:hAnsi="Arial" w:cs="Arial"/>
          <w:sz w:val="20"/>
          <w:szCs w:val="20"/>
        </w:rPr>
        <w:t xml:space="preserve"> </w:t>
      </w:r>
      <w:r w:rsidRPr="00AC4AEA">
        <w:rPr>
          <w:rFonts w:ascii="Arial" w:hAnsi="Arial" w:cs="Arial"/>
          <w:sz w:val="20"/>
          <w:szCs w:val="20"/>
        </w:rPr>
        <w:t xml:space="preserve">entidad que optó por </w:t>
      </w:r>
      <w:r w:rsidR="00135084" w:rsidRPr="00AC4AEA">
        <w:rPr>
          <w:rFonts w:ascii="Arial" w:hAnsi="Arial" w:cs="Arial"/>
          <w:b/>
          <w:bCs/>
          <w:sz w:val="20"/>
          <w:szCs w:val="20"/>
        </w:rPr>
        <w:t>estados contables</w:t>
      </w:r>
      <w:r w:rsidRPr="00AC4AEA">
        <w:rPr>
          <w:rFonts w:ascii="Arial" w:hAnsi="Arial" w:cs="Arial"/>
          <w:sz w:val="20"/>
          <w:szCs w:val="20"/>
        </w:rPr>
        <w:t xml:space="preserve"> de períodos </w:t>
      </w:r>
      <w:r w:rsidR="00EC1893" w:rsidRPr="00AC4AEA">
        <w:rPr>
          <w:rFonts w:ascii="Arial" w:hAnsi="Arial" w:cs="Arial"/>
          <w:sz w:val="20"/>
          <w:szCs w:val="20"/>
        </w:rPr>
        <w:t>intermedios</w:t>
      </w:r>
      <w:r w:rsidRPr="00AC4AEA">
        <w:rPr>
          <w:rFonts w:ascii="Arial" w:hAnsi="Arial" w:cs="Arial"/>
          <w:sz w:val="20"/>
          <w:szCs w:val="20"/>
        </w:rPr>
        <w:t xml:space="preserve"> condensados deberá presentar: </w:t>
      </w:r>
    </w:p>
    <w:p w:rsidR="00405C74" w:rsidRPr="00AC4AEA" w:rsidRDefault="004409F3" w:rsidP="00A318EA">
      <w:pPr>
        <w:pStyle w:val="Prrafodelista"/>
        <w:numPr>
          <w:ilvl w:val="0"/>
          <w:numId w:val="256"/>
        </w:numPr>
        <w:ind w:left="1560"/>
        <w:contextualSpacing w:val="0"/>
        <w:jc w:val="both"/>
        <w:rPr>
          <w:rFonts w:ascii="Arial" w:hAnsi="Arial" w:cs="Arial"/>
          <w:sz w:val="20"/>
          <w:szCs w:val="20"/>
        </w:rPr>
      </w:pPr>
      <w:r w:rsidRPr="00AC4AEA">
        <w:rPr>
          <w:rFonts w:ascii="Arial" w:hAnsi="Arial" w:cs="Arial"/>
          <w:sz w:val="20"/>
          <w:szCs w:val="20"/>
        </w:rPr>
        <w:t>u</w:t>
      </w:r>
      <w:r w:rsidR="00405C74" w:rsidRPr="00AC4AEA">
        <w:rPr>
          <w:rFonts w:ascii="Arial" w:hAnsi="Arial" w:cs="Arial"/>
          <w:sz w:val="20"/>
          <w:szCs w:val="20"/>
        </w:rPr>
        <w:t>n estado de situación patrimonial</w:t>
      </w:r>
      <w:r w:rsidR="00835565" w:rsidRPr="00AC4AEA">
        <w:rPr>
          <w:rFonts w:ascii="Arial" w:hAnsi="Arial" w:cs="Arial"/>
          <w:sz w:val="20"/>
          <w:szCs w:val="20"/>
        </w:rPr>
        <w:t xml:space="preserve"> </w:t>
      </w:r>
      <w:r w:rsidR="0030350A" w:rsidRPr="00AC4AEA">
        <w:rPr>
          <w:rFonts w:ascii="Arial" w:hAnsi="Arial" w:cs="Arial"/>
          <w:sz w:val="20"/>
          <w:szCs w:val="20"/>
        </w:rPr>
        <w:t xml:space="preserve">condensado </w:t>
      </w:r>
      <w:r w:rsidR="00405C74" w:rsidRPr="00AC4AEA">
        <w:rPr>
          <w:rFonts w:ascii="Arial" w:hAnsi="Arial" w:cs="Arial"/>
          <w:sz w:val="20"/>
          <w:szCs w:val="20"/>
        </w:rPr>
        <w:t>de período intermedio;</w:t>
      </w:r>
    </w:p>
    <w:p w:rsidR="00405C74" w:rsidRPr="00AC4AEA" w:rsidRDefault="004409F3" w:rsidP="00A318EA">
      <w:pPr>
        <w:pStyle w:val="Prrafodelista"/>
        <w:numPr>
          <w:ilvl w:val="0"/>
          <w:numId w:val="256"/>
        </w:numPr>
        <w:ind w:left="1560"/>
        <w:contextualSpacing w:val="0"/>
        <w:jc w:val="both"/>
        <w:rPr>
          <w:rFonts w:ascii="Arial" w:hAnsi="Arial" w:cs="Arial"/>
          <w:sz w:val="20"/>
          <w:szCs w:val="20"/>
        </w:rPr>
      </w:pPr>
      <w:r w:rsidRPr="00AC4AEA">
        <w:rPr>
          <w:rFonts w:ascii="Arial" w:hAnsi="Arial" w:cs="Arial"/>
          <w:sz w:val="20"/>
          <w:szCs w:val="20"/>
        </w:rPr>
        <w:t>u</w:t>
      </w:r>
      <w:r w:rsidR="00405C74" w:rsidRPr="00AC4AEA">
        <w:rPr>
          <w:rFonts w:ascii="Arial" w:hAnsi="Arial" w:cs="Arial"/>
          <w:sz w:val="20"/>
          <w:szCs w:val="20"/>
        </w:rPr>
        <w:t xml:space="preserve">n estado de resultados </w:t>
      </w:r>
      <w:r w:rsidR="0030350A" w:rsidRPr="00AC4AEA">
        <w:rPr>
          <w:rFonts w:ascii="Arial" w:hAnsi="Arial" w:cs="Arial"/>
          <w:sz w:val="20"/>
          <w:szCs w:val="20"/>
        </w:rPr>
        <w:t>condensado de período intermedio</w:t>
      </w:r>
      <w:r w:rsidR="00405C74" w:rsidRPr="00AC4AEA">
        <w:rPr>
          <w:rFonts w:ascii="Arial" w:hAnsi="Arial" w:cs="Arial"/>
          <w:sz w:val="20"/>
          <w:szCs w:val="20"/>
        </w:rPr>
        <w:t>;</w:t>
      </w:r>
    </w:p>
    <w:p w:rsidR="00405C74" w:rsidRPr="00AC4AEA" w:rsidRDefault="004409F3" w:rsidP="00A318EA">
      <w:pPr>
        <w:pStyle w:val="Prrafodelista"/>
        <w:numPr>
          <w:ilvl w:val="0"/>
          <w:numId w:val="256"/>
        </w:numPr>
        <w:ind w:left="1560"/>
        <w:contextualSpacing w:val="0"/>
        <w:jc w:val="both"/>
        <w:rPr>
          <w:rFonts w:ascii="Arial" w:hAnsi="Arial" w:cs="Arial"/>
          <w:sz w:val="20"/>
          <w:szCs w:val="20"/>
        </w:rPr>
      </w:pPr>
      <w:r w:rsidRPr="00AC4AEA">
        <w:rPr>
          <w:rFonts w:ascii="Arial" w:hAnsi="Arial" w:cs="Arial"/>
          <w:sz w:val="20"/>
          <w:szCs w:val="20"/>
        </w:rPr>
        <w:t>u</w:t>
      </w:r>
      <w:r w:rsidR="00405C74" w:rsidRPr="00AC4AEA">
        <w:rPr>
          <w:rFonts w:ascii="Arial" w:hAnsi="Arial" w:cs="Arial"/>
          <w:sz w:val="20"/>
          <w:szCs w:val="20"/>
        </w:rPr>
        <w:t xml:space="preserve">n estado de evolución del patrimonio neto </w:t>
      </w:r>
      <w:r w:rsidR="0030350A" w:rsidRPr="00AC4AEA">
        <w:rPr>
          <w:rFonts w:ascii="Arial" w:hAnsi="Arial" w:cs="Arial"/>
          <w:sz w:val="20"/>
          <w:szCs w:val="20"/>
        </w:rPr>
        <w:t>condensado de período intermedio</w:t>
      </w:r>
      <w:r w:rsidR="00405C74" w:rsidRPr="00AC4AEA">
        <w:rPr>
          <w:rFonts w:ascii="Arial" w:hAnsi="Arial" w:cs="Arial"/>
          <w:sz w:val="20"/>
          <w:szCs w:val="20"/>
        </w:rPr>
        <w:t>;</w:t>
      </w:r>
    </w:p>
    <w:p w:rsidR="00405C74" w:rsidRPr="00AC4AEA" w:rsidRDefault="004409F3" w:rsidP="00A318EA">
      <w:pPr>
        <w:pStyle w:val="Prrafodelista"/>
        <w:numPr>
          <w:ilvl w:val="0"/>
          <w:numId w:val="256"/>
        </w:numPr>
        <w:ind w:left="1560"/>
        <w:contextualSpacing w:val="0"/>
        <w:jc w:val="both"/>
        <w:rPr>
          <w:rFonts w:ascii="Arial" w:hAnsi="Arial" w:cs="Arial"/>
          <w:sz w:val="20"/>
          <w:szCs w:val="20"/>
        </w:rPr>
      </w:pPr>
      <w:r w:rsidRPr="00AC4AEA">
        <w:rPr>
          <w:rFonts w:ascii="Arial" w:hAnsi="Arial" w:cs="Arial"/>
          <w:sz w:val="20"/>
          <w:szCs w:val="20"/>
        </w:rPr>
        <w:t>u</w:t>
      </w:r>
      <w:r w:rsidR="00405C74" w:rsidRPr="00AC4AEA">
        <w:rPr>
          <w:rFonts w:ascii="Arial" w:hAnsi="Arial" w:cs="Arial"/>
          <w:sz w:val="20"/>
          <w:szCs w:val="20"/>
        </w:rPr>
        <w:t xml:space="preserve">n estado de flujos </w:t>
      </w:r>
      <w:r w:rsidR="00BC6F02" w:rsidRPr="00AC4AEA">
        <w:rPr>
          <w:rFonts w:ascii="Arial" w:hAnsi="Arial" w:cs="Arial"/>
          <w:sz w:val="20"/>
          <w:szCs w:val="20"/>
        </w:rPr>
        <w:t xml:space="preserve">de efectivo </w:t>
      </w:r>
      <w:r w:rsidR="0030350A" w:rsidRPr="00AC4AEA">
        <w:rPr>
          <w:rFonts w:ascii="Arial" w:hAnsi="Arial" w:cs="Arial"/>
          <w:sz w:val="20"/>
          <w:szCs w:val="20"/>
        </w:rPr>
        <w:t>condensado de período intermedio</w:t>
      </w:r>
      <w:r w:rsidR="00665B89" w:rsidRPr="00AC4AEA">
        <w:rPr>
          <w:rFonts w:ascii="Arial" w:hAnsi="Arial" w:cs="Arial"/>
          <w:sz w:val="20"/>
          <w:szCs w:val="20"/>
        </w:rPr>
        <w:t>;</w:t>
      </w:r>
      <w:r w:rsidR="0030350A" w:rsidRPr="00AC4AEA">
        <w:rPr>
          <w:rFonts w:ascii="Arial" w:hAnsi="Arial" w:cs="Arial"/>
          <w:sz w:val="20"/>
          <w:szCs w:val="20"/>
        </w:rPr>
        <w:t xml:space="preserve"> </w:t>
      </w:r>
      <w:r w:rsidR="00405C74" w:rsidRPr="00AC4AEA">
        <w:rPr>
          <w:rFonts w:ascii="Arial" w:hAnsi="Arial" w:cs="Arial"/>
          <w:sz w:val="20"/>
          <w:szCs w:val="20"/>
        </w:rPr>
        <w:t>y</w:t>
      </w:r>
    </w:p>
    <w:p w:rsidR="00405C74" w:rsidRPr="00AC4AEA" w:rsidRDefault="004409F3" w:rsidP="00A318EA">
      <w:pPr>
        <w:pStyle w:val="Prrafodelista"/>
        <w:numPr>
          <w:ilvl w:val="0"/>
          <w:numId w:val="256"/>
        </w:numPr>
        <w:ind w:left="1560"/>
        <w:contextualSpacing w:val="0"/>
        <w:jc w:val="both"/>
        <w:rPr>
          <w:rFonts w:ascii="Arial" w:hAnsi="Arial" w:cs="Arial"/>
          <w:sz w:val="20"/>
          <w:szCs w:val="20"/>
        </w:rPr>
      </w:pPr>
      <w:r w:rsidRPr="00AC4AEA">
        <w:rPr>
          <w:rFonts w:ascii="Arial" w:hAnsi="Arial" w:cs="Arial"/>
          <w:sz w:val="20"/>
          <w:szCs w:val="20"/>
        </w:rPr>
        <w:t>n</w:t>
      </w:r>
      <w:r w:rsidR="00405C74" w:rsidRPr="00AC4AEA">
        <w:rPr>
          <w:rFonts w:ascii="Arial" w:hAnsi="Arial" w:cs="Arial"/>
          <w:sz w:val="20"/>
          <w:szCs w:val="20"/>
        </w:rPr>
        <w:t xml:space="preserve">otas (seleccionadas) a los </w:t>
      </w:r>
      <w:r w:rsidR="00135084" w:rsidRPr="00AC4AEA">
        <w:rPr>
          <w:rFonts w:ascii="Arial" w:hAnsi="Arial" w:cs="Arial"/>
          <w:b/>
          <w:bCs/>
          <w:sz w:val="20"/>
          <w:szCs w:val="20"/>
        </w:rPr>
        <w:t>estados contables</w:t>
      </w:r>
      <w:r w:rsidR="00405C74" w:rsidRPr="00AC4AEA">
        <w:rPr>
          <w:rFonts w:ascii="Arial" w:hAnsi="Arial" w:cs="Arial"/>
          <w:sz w:val="20"/>
          <w:szCs w:val="20"/>
        </w:rPr>
        <w:t xml:space="preserve"> </w:t>
      </w:r>
      <w:r w:rsidR="0030350A" w:rsidRPr="00AC4AEA">
        <w:rPr>
          <w:rFonts w:ascii="Arial" w:hAnsi="Arial" w:cs="Arial"/>
          <w:sz w:val="20"/>
          <w:szCs w:val="20"/>
        </w:rPr>
        <w:t>condensados de período intermedio</w:t>
      </w:r>
      <w:r w:rsidR="00405C74" w:rsidRPr="00AC4AEA">
        <w:rPr>
          <w:rFonts w:ascii="Arial" w:hAnsi="Arial" w:cs="Arial"/>
          <w:sz w:val="20"/>
          <w:szCs w:val="20"/>
        </w:rPr>
        <w:t>.</w:t>
      </w:r>
    </w:p>
    <w:p w:rsidR="00405C74" w:rsidRPr="00AC4AEA" w:rsidRDefault="00405C74"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En las notas a </w:t>
      </w:r>
      <w:r w:rsidR="0030350A" w:rsidRPr="00AC4AEA">
        <w:rPr>
          <w:rFonts w:ascii="Arial" w:hAnsi="Arial" w:cs="Arial"/>
          <w:sz w:val="20"/>
          <w:szCs w:val="20"/>
        </w:rPr>
        <w:t xml:space="preserve">los </w:t>
      </w:r>
      <w:r w:rsidR="00135084" w:rsidRPr="00AC4AEA">
        <w:rPr>
          <w:rFonts w:ascii="Arial" w:hAnsi="Arial" w:cs="Arial"/>
          <w:b/>
          <w:bCs/>
          <w:sz w:val="20"/>
          <w:szCs w:val="20"/>
        </w:rPr>
        <w:t>estados contables</w:t>
      </w:r>
      <w:r w:rsidRPr="00AC4AEA">
        <w:rPr>
          <w:rFonts w:ascii="Arial" w:hAnsi="Arial" w:cs="Arial"/>
          <w:sz w:val="20"/>
          <w:szCs w:val="20"/>
        </w:rPr>
        <w:t xml:space="preserve"> de períodos intermedios</w:t>
      </w:r>
      <w:r w:rsidR="0030350A" w:rsidRPr="00AC4AEA">
        <w:rPr>
          <w:rFonts w:ascii="Arial" w:hAnsi="Arial" w:cs="Arial"/>
          <w:sz w:val="20"/>
          <w:szCs w:val="20"/>
        </w:rPr>
        <w:t xml:space="preserve"> condensados</w:t>
      </w:r>
      <w:r w:rsidRPr="00AC4AEA">
        <w:rPr>
          <w:rFonts w:ascii="Arial" w:hAnsi="Arial" w:cs="Arial"/>
          <w:sz w:val="20"/>
          <w:szCs w:val="20"/>
        </w:rPr>
        <w:t>, una entidad</w:t>
      </w:r>
      <w:r w:rsidR="00C30FC2" w:rsidRPr="00AC4AEA">
        <w:rPr>
          <w:rFonts w:ascii="Arial" w:hAnsi="Arial" w:cs="Arial"/>
          <w:sz w:val="20"/>
          <w:szCs w:val="20"/>
        </w:rPr>
        <w:t xml:space="preserve"> </w:t>
      </w:r>
      <w:r w:rsidRPr="00AC4AEA">
        <w:rPr>
          <w:rFonts w:ascii="Arial" w:hAnsi="Arial" w:cs="Arial"/>
          <w:sz w:val="20"/>
          <w:szCs w:val="20"/>
        </w:rPr>
        <w:t xml:space="preserve">incluirá </w:t>
      </w:r>
      <w:r w:rsidR="00C30FC2" w:rsidRPr="00AC4AEA">
        <w:rPr>
          <w:rFonts w:ascii="Arial" w:hAnsi="Arial" w:cs="Arial"/>
          <w:sz w:val="20"/>
          <w:szCs w:val="20"/>
        </w:rPr>
        <w:t>información</w:t>
      </w:r>
      <w:r w:rsidRPr="00AC4AEA">
        <w:rPr>
          <w:rFonts w:ascii="Arial" w:hAnsi="Arial" w:cs="Arial"/>
          <w:sz w:val="20"/>
          <w:szCs w:val="20"/>
        </w:rPr>
        <w:t xml:space="preserve"> que </w:t>
      </w:r>
      <w:r w:rsidR="0030350A" w:rsidRPr="00AC4AEA">
        <w:rPr>
          <w:rFonts w:ascii="Arial" w:hAnsi="Arial" w:cs="Arial"/>
          <w:sz w:val="20"/>
          <w:szCs w:val="20"/>
        </w:rPr>
        <w:t xml:space="preserve">sea </w:t>
      </w:r>
      <w:r w:rsidRPr="00AC4AEA">
        <w:rPr>
          <w:rFonts w:ascii="Arial" w:hAnsi="Arial" w:cs="Arial"/>
          <w:sz w:val="20"/>
          <w:szCs w:val="20"/>
        </w:rPr>
        <w:t>significativ</w:t>
      </w:r>
      <w:r w:rsidR="00C30FC2" w:rsidRPr="00AC4AEA">
        <w:rPr>
          <w:rFonts w:ascii="Arial" w:hAnsi="Arial" w:cs="Arial"/>
          <w:sz w:val="20"/>
          <w:szCs w:val="20"/>
        </w:rPr>
        <w:t>a</w:t>
      </w:r>
      <w:r w:rsidRPr="00AC4AEA">
        <w:rPr>
          <w:rFonts w:ascii="Arial" w:hAnsi="Arial" w:cs="Arial"/>
          <w:sz w:val="20"/>
          <w:szCs w:val="20"/>
        </w:rPr>
        <w:t xml:space="preserve"> para la comprensión de los cambios ocurridos en la </w:t>
      </w:r>
      <w:r w:rsidRPr="00AC4AEA">
        <w:rPr>
          <w:rFonts w:ascii="Arial" w:hAnsi="Arial" w:cs="Arial"/>
          <w:b/>
          <w:bCs/>
          <w:sz w:val="20"/>
          <w:szCs w:val="20"/>
        </w:rPr>
        <w:t>situación patrimonial</w:t>
      </w:r>
      <w:r w:rsidR="00C30FC2" w:rsidRPr="00AC4AEA">
        <w:rPr>
          <w:rFonts w:ascii="Arial" w:hAnsi="Arial" w:cs="Arial"/>
          <w:sz w:val="20"/>
          <w:szCs w:val="20"/>
        </w:rPr>
        <w:t>,</w:t>
      </w:r>
      <w:r w:rsidRPr="00AC4AEA">
        <w:rPr>
          <w:rFonts w:ascii="Arial" w:hAnsi="Arial" w:cs="Arial"/>
          <w:sz w:val="20"/>
          <w:szCs w:val="20"/>
        </w:rPr>
        <w:t xml:space="preserve"> los resultados </w:t>
      </w:r>
      <w:r w:rsidR="00C30FC2" w:rsidRPr="00AC4AEA">
        <w:rPr>
          <w:rFonts w:ascii="Arial" w:hAnsi="Arial" w:cs="Arial"/>
          <w:sz w:val="20"/>
          <w:szCs w:val="20"/>
        </w:rPr>
        <w:t xml:space="preserve">y la </w:t>
      </w:r>
      <w:r w:rsidR="00C30FC2" w:rsidRPr="00AC4AEA">
        <w:rPr>
          <w:rFonts w:ascii="Arial" w:hAnsi="Arial" w:cs="Arial"/>
          <w:b/>
          <w:bCs/>
          <w:sz w:val="20"/>
          <w:szCs w:val="20"/>
        </w:rPr>
        <w:t xml:space="preserve">evolución financiera </w:t>
      </w:r>
      <w:r w:rsidR="00094807" w:rsidRPr="00AC4AEA">
        <w:rPr>
          <w:rFonts w:ascii="Arial" w:hAnsi="Arial" w:cs="Arial"/>
          <w:sz w:val="20"/>
          <w:szCs w:val="20"/>
        </w:rPr>
        <w:t>desde</w:t>
      </w:r>
      <w:r w:rsidR="0030350A" w:rsidRPr="00AC4AEA">
        <w:rPr>
          <w:rFonts w:ascii="Arial" w:hAnsi="Arial" w:cs="Arial"/>
          <w:sz w:val="20"/>
          <w:szCs w:val="20"/>
        </w:rPr>
        <w:t xml:space="preserve"> la fecha </w:t>
      </w:r>
      <w:r w:rsidR="00C30FC2" w:rsidRPr="00AC4AEA">
        <w:rPr>
          <w:rFonts w:ascii="Arial" w:hAnsi="Arial" w:cs="Arial"/>
          <w:sz w:val="20"/>
          <w:szCs w:val="20"/>
        </w:rPr>
        <w:t xml:space="preserve">de sus </w:t>
      </w:r>
      <w:r w:rsidR="00135084" w:rsidRPr="00AC4AEA">
        <w:rPr>
          <w:rFonts w:ascii="Arial" w:hAnsi="Arial" w:cs="Arial"/>
          <w:b/>
          <w:bCs/>
          <w:sz w:val="20"/>
          <w:szCs w:val="20"/>
        </w:rPr>
        <w:t>estados contables</w:t>
      </w:r>
      <w:r w:rsidR="00C30FC2" w:rsidRPr="00AC4AEA">
        <w:rPr>
          <w:rFonts w:ascii="Arial" w:hAnsi="Arial" w:cs="Arial"/>
          <w:sz w:val="20"/>
          <w:szCs w:val="20"/>
        </w:rPr>
        <w:t xml:space="preserve"> anuales más recientes</w:t>
      </w:r>
      <w:r w:rsidR="0030350A" w:rsidRPr="00AC4AEA">
        <w:rPr>
          <w:rFonts w:ascii="Arial" w:hAnsi="Arial" w:cs="Arial"/>
          <w:sz w:val="20"/>
          <w:szCs w:val="20"/>
        </w:rPr>
        <w:t xml:space="preserve"> y la fecha de cierre del período intermedio sobre el cual se informa.</w:t>
      </w:r>
    </w:p>
    <w:p w:rsidR="0016366B" w:rsidRPr="00AC4AEA" w:rsidRDefault="0016366B"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Para cumplimentar lo indicado en el párrafo anterior, una entidad deberá revelar en las notas explicativas, como mínimo, la siguiente información:</w:t>
      </w:r>
    </w:p>
    <w:p w:rsidR="0016366B" w:rsidRPr="00AC4AEA" w:rsidRDefault="0016366B" w:rsidP="00A318EA">
      <w:pPr>
        <w:pStyle w:val="Prrafodelista"/>
        <w:numPr>
          <w:ilvl w:val="0"/>
          <w:numId w:val="375"/>
        </w:numPr>
        <w:ind w:left="1560"/>
        <w:contextualSpacing w:val="0"/>
        <w:jc w:val="both"/>
        <w:rPr>
          <w:rFonts w:ascii="Arial" w:hAnsi="Arial" w:cs="Arial"/>
          <w:sz w:val="20"/>
          <w:szCs w:val="20"/>
        </w:rPr>
      </w:pPr>
      <w:r w:rsidRPr="00AC4AEA">
        <w:rPr>
          <w:rFonts w:ascii="Arial" w:hAnsi="Arial" w:cs="Arial"/>
          <w:sz w:val="20"/>
          <w:szCs w:val="20"/>
        </w:rPr>
        <w:t xml:space="preserve">Declaración de que no se han modificado las políticas y métodos utilizados en los </w:t>
      </w:r>
      <w:r w:rsidRPr="00AC4AEA">
        <w:rPr>
          <w:rFonts w:ascii="Arial" w:hAnsi="Arial" w:cs="Arial"/>
          <w:b/>
          <w:bCs/>
          <w:sz w:val="20"/>
          <w:szCs w:val="20"/>
        </w:rPr>
        <w:t>estados contables</w:t>
      </w:r>
      <w:r w:rsidRPr="00AC4AEA">
        <w:rPr>
          <w:rFonts w:ascii="Arial" w:hAnsi="Arial" w:cs="Arial"/>
          <w:sz w:val="20"/>
          <w:szCs w:val="20"/>
        </w:rPr>
        <w:t xml:space="preserve"> anuales más recientes, o descripción de la naturaleza y efecto de tales cambios.</w:t>
      </w:r>
    </w:p>
    <w:p w:rsidR="0016366B" w:rsidRPr="00AC4AEA" w:rsidRDefault="0016366B" w:rsidP="00A318EA">
      <w:pPr>
        <w:pStyle w:val="Prrafodelista"/>
        <w:numPr>
          <w:ilvl w:val="0"/>
          <w:numId w:val="375"/>
        </w:numPr>
        <w:ind w:left="1560"/>
        <w:contextualSpacing w:val="0"/>
        <w:jc w:val="both"/>
        <w:rPr>
          <w:rFonts w:ascii="Arial" w:hAnsi="Arial" w:cs="Arial"/>
          <w:sz w:val="20"/>
          <w:szCs w:val="20"/>
        </w:rPr>
      </w:pPr>
      <w:r w:rsidRPr="00AC4AEA">
        <w:rPr>
          <w:rFonts w:ascii="Arial" w:hAnsi="Arial" w:cs="Arial"/>
          <w:sz w:val="20"/>
          <w:szCs w:val="20"/>
        </w:rPr>
        <w:t xml:space="preserve">Explicación de la estacionalidad o carácter cíclico de las operaciones del período intermedio. </w:t>
      </w:r>
    </w:p>
    <w:p w:rsidR="0016366B" w:rsidRPr="00AC4AEA" w:rsidRDefault="0016366B" w:rsidP="00A318EA">
      <w:pPr>
        <w:pStyle w:val="Prrafodelista"/>
        <w:numPr>
          <w:ilvl w:val="0"/>
          <w:numId w:val="375"/>
        </w:numPr>
        <w:ind w:left="1560"/>
        <w:contextualSpacing w:val="0"/>
        <w:jc w:val="both"/>
        <w:rPr>
          <w:rFonts w:ascii="Arial" w:hAnsi="Arial" w:cs="Arial"/>
          <w:sz w:val="20"/>
          <w:szCs w:val="20"/>
        </w:rPr>
      </w:pPr>
      <w:r w:rsidRPr="00AC4AEA">
        <w:rPr>
          <w:rFonts w:ascii="Arial" w:hAnsi="Arial" w:cs="Arial"/>
          <w:sz w:val="20"/>
          <w:szCs w:val="20"/>
        </w:rPr>
        <w:lastRenderedPageBreak/>
        <w:t xml:space="preserve">Naturaleza y monto de cuestiones que afectaron a los </w:t>
      </w:r>
      <w:r w:rsidRPr="00AC4AEA">
        <w:rPr>
          <w:rFonts w:ascii="Arial" w:hAnsi="Arial" w:cs="Arial"/>
          <w:b/>
          <w:bCs/>
          <w:sz w:val="20"/>
          <w:szCs w:val="20"/>
        </w:rPr>
        <w:t>estados contables</w:t>
      </w:r>
      <w:r w:rsidRPr="00AC4AEA">
        <w:rPr>
          <w:rFonts w:ascii="Arial" w:hAnsi="Arial" w:cs="Arial"/>
          <w:sz w:val="20"/>
          <w:szCs w:val="20"/>
        </w:rPr>
        <w:t xml:space="preserve"> intermedios y que son inusuales por su naturaleza, tamaño o incidencia.</w:t>
      </w:r>
    </w:p>
    <w:p w:rsidR="00DD401A" w:rsidRPr="00AC4AEA" w:rsidRDefault="0016366B" w:rsidP="00A318EA">
      <w:pPr>
        <w:pStyle w:val="Prrafodelista"/>
        <w:numPr>
          <w:ilvl w:val="0"/>
          <w:numId w:val="375"/>
        </w:numPr>
        <w:ind w:left="1560"/>
        <w:contextualSpacing w:val="0"/>
        <w:jc w:val="both"/>
        <w:rPr>
          <w:rFonts w:ascii="Arial" w:hAnsi="Arial" w:cs="Arial"/>
          <w:sz w:val="20"/>
          <w:szCs w:val="20"/>
        </w:rPr>
      </w:pPr>
      <w:r w:rsidRPr="00AC4AEA">
        <w:rPr>
          <w:rFonts w:ascii="Arial" w:hAnsi="Arial" w:cs="Arial"/>
          <w:sz w:val="20"/>
          <w:szCs w:val="20"/>
        </w:rPr>
        <w:t>Naturaleza y monto de los cambios ocurridos en las estimaciones informadas en períodos intermedios anteriores del ejercicio en curso o en ejercicios anteriores, si esos cambios tienen efecto significativo en el período intermedio actual</w:t>
      </w:r>
      <w:r w:rsidR="00DD401A" w:rsidRPr="00AC4AEA">
        <w:rPr>
          <w:rFonts w:ascii="Arial" w:hAnsi="Arial" w:cs="Arial"/>
          <w:sz w:val="20"/>
          <w:szCs w:val="20"/>
        </w:rPr>
        <w:t>-</w:t>
      </w:r>
    </w:p>
    <w:p w:rsidR="00DD401A" w:rsidRPr="00AC4AEA" w:rsidRDefault="0016366B" w:rsidP="00A318EA">
      <w:pPr>
        <w:pStyle w:val="Prrafodelista"/>
        <w:numPr>
          <w:ilvl w:val="0"/>
          <w:numId w:val="375"/>
        </w:numPr>
        <w:ind w:left="1560"/>
        <w:contextualSpacing w:val="0"/>
        <w:jc w:val="both"/>
        <w:rPr>
          <w:rFonts w:ascii="Arial" w:hAnsi="Arial" w:cs="Arial"/>
          <w:sz w:val="20"/>
          <w:szCs w:val="20"/>
        </w:rPr>
      </w:pPr>
      <w:r w:rsidRPr="00AC4AEA">
        <w:rPr>
          <w:rFonts w:ascii="Arial" w:hAnsi="Arial" w:cs="Arial"/>
          <w:sz w:val="20"/>
          <w:szCs w:val="20"/>
        </w:rPr>
        <w:t xml:space="preserve">Movimientos (emisiones, recompras, reembolsos) de valores </w:t>
      </w:r>
      <w:r w:rsidR="00510E8F" w:rsidRPr="00AC4AEA">
        <w:rPr>
          <w:rFonts w:ascii="Arial" w:hAnsi="Arial" w:cs="Arial"/>
          <w:sz w:val="20"/>
          <w:szCs w:val="20"/>
        </w:rPr>
        <w:t>representativos</w:t>
      </w:r>
      <w:r w:rsidRPr="00AC4AEA">
        <w:rPr>
          <w:rFonts w:ascii="Arial" w:hAnsi="Arial" w:cs="Arial"/>
          <w:sz w:val="20"/>
          <w:szCs w:val="20"/>
        </w:rPr>
        <w:t xml:space="preserve"> de la deuda o el capital de la entidad.</w:t>
      </w:r>
    </w:p>
    <w:p w:rsidR="0016366B" w:rsidRPr="00AC4AEA" w:rsidRDefault="0016366B" w:rsidP="00A318EA">
      <w:pPr>
        <w:pStyle w:val="Prrafodelista"/>
        <w:numPr>
          <w:ilvl w:val="0"/>
          <w:numId w:val="375"/>
        </w:numPr>
        <w:ind w:left="1560"/>
        <w:contextualSpacing w:val="0"/>
        <w:jc w:val="both"/>
        <w:rPr>
          <w:rFonts w:ascii="Arial" w:hAnsi="Arial" w:cs="Arial"/>
          <w:sz w:val="20"/>
          <w:szCs w:val="20"/>
        </w:rPr>
      </w:pPr>
      <w:r w:rsidRPr="00AC4AEA">
        <w:rPr>
          <w:rFonts w:ascii="Arial" w:hAnsi="Arial" w:cs="Arial"/>
          <w:sz w:val="20"/>
          <w:szCs w:val="20"/>
        </w:rPr>
        <w:t xml:space="preserve">Dividendos pagados por cada tipo de </w:t>
      </w:r>
      <w:r w:rsidR="00510E8F" w:rsidRPr="00AC4AEA">
        <w:rPr>
          <w:rFonts w:ascii="Arial" w:hAnsi="Arial" w:cs="Arial"/>
          <w:sz w:val="20"/>
          <w:szCs w:val="20"/>
        </w:rPr>
        <w:t>acciones</w:t>
      </w:r>
      <w:r w:rsidRPr="00AC4AEA">
        <w:rPr>
          <w:rFonts w:ascii="Arial" w:hAnsi="Arial" w:cs="Arial"/>
          <w:sz w:val="20"/>
          <w:szCs w:val="20"/>
        </w:rPr>
        <w:t xml:space="preserve"> emitida</w:t>
      </w:r>
      <w:r w:rsidR="00DD401A" w:rsidRPr="00AC4AEA">
        <w:rPr>
          <w:rFonts w:ascii="Arial" w:hAnsi="Arial" w:cs="Arial"/>
          <w:sz w:val="20"/>
          <w:szCs w:val="20"/>
        </w:rPr>
        <w:t>.</w:t>
      </w:r>
    </w:p>
    <w:p w:rsidR="00DD401A" w:rsidRPr="00AC4AEA" w:rsidRDefault="00DD401A" w:rsidP="00A318EA">
      <w:pPr>
        <w:pStyle w:val="Prrafodelista"/>
        <w:numPr>
          <w:ilvl w:val="0"/>
          <w:numId w:val="375"/>
        </w:numPr>
        <w:ind w:left="1560"/>
        <w:contextualSpacing w:val="0"/>
        <w:jc w:val="both"/>
        <w:rPr>
          <w:rFonts w:ascii="Arial" w:hAnsi="Arial" w:cs="Arial"/>
          <w:sz w:val="20"/>
          <w:szCs w:val="20"/>
        </w:rPr>
      </w:pPr>
      <w:r w:rsidRPr="00AC4AEA">
        <w:rPr>
          <w:rFonts w:ascii="Arial" w:hAnsi="Arial" w:cs="Arial"/>
          <w:sz w:val="20"/>
          <w:szCs w:val="20"/>
        </w:rPr>
        <w:t xml:space="preserve">Hechos posteriores al cierre del período intermedio que, siendo de carácter significativo, no correspondió darle efecto en los </w:t>
      </w:r>
      <w:r w:rsidRPr="00AC4AEA">
        <w:rPr>
          <w:rFonts w:ascii="Arial" w:hAnsi="Arial" w:cs="Arial"/>
          <w:b/>
          <w:bCs/>
          <w:sz w:val="20"/>
          <w:szCs w:val="20"/>
        </w:rPr>
        <w:t>estados contables</w:t>
      </w:r>
      <w:r w:rsidRPr="00AC4AEA">
        <w:rPr>
          <w:rFonts w:ascii="Arial" w:hAnsi="Arial" w:cs="Arial"/>
          <w:sz w:val="20"/>
          <w:szCs w:val="20"/>
        </w:rPr>
        <w:t xml:space="preserve"> del período intermedio. </w:t>
      </w:r>
    </w:p>
    <w:p w:rsidR="00DD401A" w:rsidRPr="00AC4AEA" w:rsidRDefault="00DD401A" w:rsidP="00A318EA">
      <w:pPr>
        <w:pStyle w:val="Prrafodelista"/>
        <w:numPr>
          <w:ilvl w:val="0"/>
          <w:numId w:val="375"/>
        </w:numPr>
        <w:ind w:left="1560"/>
        <w:contextualSpacing w:val="0"/>
        <w:jc w:val="both"/>
        <w:rPr>
          <w:rFonts w:ascii="Arial" w:hAnsi="Arial" w:cs="Arial"/>
          <w:sz w:val="20"/>
          <w:szCs w:val="20"/>
        </w:rPr>
      </w:pPr>
      <w:r w:rsidRPr="00AC4AEA">
        <w:rPr>
          <w:rFonts w:ascii="Arial" w:hAnsi="Arial" w:cs="Arial"/>
          <w:sz w:val="20"/>
          <w:szCs w:val="20"/>
        </w:rPr>
        <w:t>El efecto de cambios en la composición de la entidad durante el período intermedio, tales como combinaciones de negocios, adquisición o venta de inversiones a largo plazo en otras entidades, restructuraciones, y operaciones discontinuadas</w:t>
      </w:r>
    </w:p>
    <w:p w:rsidR="00FD269E" w:rsidRPr="00AC4AEA" w:rsidRDefault="00C30FC2" w:rsidP="00A318EA">
      <w:pPr>
        <w:pStyle w:val="Prrafodelista"/>
        <w:numPr>
          <w:ilvl w:val="0"/>
          <w:numId w:val="29"/>
        </w:numPr>
        <w:contextualSpacing w:val="0"/>
        <w:jc w:val="both"/>
        <w:rPr>
          <w:rFonts w:ascii="Arial" w:hAnsi="Arial" w:cs="Arial"/>
          <w:sz w:val="20"/>
          <w:szCs w:val="20"/>
        </w:rPr>
      </w:pPr>
      <w:r w:rsidRPr="00AC4AEA">
        <w:rPr>
          <w:rFonts w:ascii="Arial" w:hAnsi="Arial" w:cs="Arial"/>
          <w:sz w:val="20"/>
          <w:szCs w:val="20"/>
        </w:rPr>
        <w:t xml:space="preserve">Una entidad presentará un conjunto de </w:t>
      </w:r>
      <w:r w:rsidR="00135084" w:rsidRPr="00AC4AEA">
        <w:rPr>
          <w:rFonts w:ascii="Arial" w:hAnsi="Arial" w:cs="Arial"/>
          <w:b/>
          <w:bCs/>
          <w:sz w:val="20"/>
          <w:szCs w:val="20"/>
        </w:rPr>
        <w:t>estados contables</w:t>
      </w:r>
      <w:r w:rsidRPr="00AC4AEA">
        <w:rPr>
          <w:rFonts w:ascii="Arial" w:hAnsi="Arial" w:cs="Arial"/>
          <w:sz w:val="20"/>
          <w:szCs w:val="20"/>
        </w:rPr>
        <w:t xml:space="preserve"> condensados bajo la presunción de que cualquier lector tendrá acceso a sus </w:t>
      </w:r>
      <w:r w:rsidR="00135084" w:rsidRPr="00AC4AEA">
        <w:rPr>
          <w:rFonts w:ascii="Arial" w:hAnsi="Arial" w:cs="Arial"/>
          <w:b/>
          <w:bCs/>
          <w:sz w:val="20"/>
          <w:szCs w:val="20"/>
        </w:rPr>
        <w:t>estados contables</w:t>
      </w:r>
      <w:r w:rsidRPr="00AC4AEA">
        <w:rPr>
          <w:rFonts w:ascii="Arial" w:hAnsi="Arial" w:cs="Arial"/>
          <w:sz w:val="20"/>
          <w:szCs w:val="20"/>
        </w:rPr>
        <w:t xml:space="preserve"> anuales más recientes</w:t>
      </w:r>
      <w:r w:rsidR="00094807" w:rsidRPr="00AC4AEA">
        <w:rPr>
          <w:rFonts w:ascii="Arial" w:hAnsi="Arial" w:cs="Arial"/>
          <w:sz w:val="20"/>
          <w:szCs w:val="20"/>
        </w:rPr>
        <w:t xml:space="preserve">, con el fin de interpretar los cambios ocurridos en la </w:t>
      </w:r>
      <w:r w:rsidR="00094807" w:rsidRPr="00AC4AEA">
        <w:rPr>
          <w:rFonts w:ascii="Arial" w:hAnsi="Arial" w:cs="Arial"/>
          <w:b/>
          <w:bCs/>
          <w:sz w:val="20"/>
          <w:szCs w:val="20"/>
        </w:rPr>
        <w:t>situación financiera</w:t>
      </w:r>
      <w:r w:rsidR="00094807" w:rsidRPr="00AC4AEA">
        <w:rPr>
          <w:rFonts w:ascii="Arial" w:hAnsi="Arial" w:cs="Arial"/>
          <w:sz w:val="20"/>
          <w:szCs w:val="20"/>
        </w:rPr>
        <w:t xml:space="preserve">, los resultados y la </w:t>
      </w:r>
      <w:r w:rsidR="00094807" w:rsidRPr="00AC4AEA">
        <w:rPr>
          <w:rFonts w:ascii="Arial" w:hAnsi="Arial" w:cs="Arial"/>
          <w:b/>
          <w:bCs/>
          <w:sz w:val="20"/>
          <w:szCs w:val="20"/>
        </w:rPr>
        <w:t>evolución financiera</w:t>
      </w:r>
      <w:r w:rsidR="00094807" w:rsidRPr="00AC4AEA">
        <w:rPr>
          <w:rFonts w:ascii="Arial" w:hAnsi="Arial" w:cs="Arial"/>
          <w:sz w:val="20"/>
          <w:szCs w:val="20"/>
        </w:rPr>
        <w:t xml:space="preserve"> desde la fecha de sus </w:t>
      </w:r>
      <w:r w:rsidR="00135084" w:rsidRPr="00AC4AEA">
        <w:rPr>
          <w:rFonts w:ascii="Arial" w:hAnsi="Arial" w:cs="Arial"/>
          <w:b/>
          <w:bCs/>
          <w:sz w:val="20"/>
          <w:szCs w:val="20"/>
        </w:rPr>
        <w:t>estados contables</w:t>
      </w:r>
      <w:r w:rsidR="00094807" w:rsidRPr="00AC4AEA">
        <w:rPr>
          <w:rFonts w:ascii="Arial" w:hAnsi="Arial" w:cs="Arial"/>
          <w:sz w:val="20"/>
          <w:szCs w:val="20"/>
        </w:rPr>
        <w:t xml:space="preserve"> anuales más recientes.</w:t>
      </w:r>
    </w:p>
    <w:p w:rsidR="00961DE5" w:rsidRPr="00AC4AEA" w:rsidRDefault="00961DE5" w:rsidP="00A318EA">
      <w:pPr>
        <w:spacing w:after="120" w:line="312" w:lineRule="auto"/>
        <w:ind w:left="1559" w:hanging="567"/>
        <w:jc w:val="both"/>
        <w:rPr>
          <w:rFonts w:ascii="Arial" w:hAnsi="Arial" w:cs="Arial"/>
          <w:b/>
          <w:caps/>
          <w:kern w:val="28"/>
          <w:sz w:val="20"/>
          <w:szCs w:val="20"/>
        </w:rPr>
      </w:pPr>
      <w:r w:rsidRPr="00AC4AEA">
        <w:rPr>
          <w:rFonts w:ascii="Arial" w:hAnsi="Arial" w:cs="Arial"/>
          <w:sz w:val="20"/>
          <w:szCs w:val="20"/>
        </w:rPr>
        <w:br w:type="page"/>
      </w:r>
    </w:p>
    <w:p w:rsidR="001240DC" w:rsidRPr="00AC4AEA" w:rsidRDefault="001240DC" w:rsidP="00A318EA">
      <w:pPr>
        <w:pStyle w:val="Ttulo1"/>
        <w:rPr>
          <w:rFonts w:cs="Arial"/>
          <w:sz w:val="20"/>
          <w:szCs w:val="20"/>
          <w:lang w:val="es-AR"/>
        </w:rPr>
      </w:pPr>
      <w:bookmarkStart w:id="1042" w:name="_Toc101864054"/>
    </w:p>
    <w:p w:rsidR="009E43CF" w:rsidRPr="00AC4AEA" w:rsidRDefault="001240DC" w:rsidP="00A318EA">
      <w:pPr>
        <w:pStyle w:val="Ttulo1"/>
        <w:rPr>
          <w:rFonts w:cs="Arial"/>
          <w:sz w:val="20"/>
          <w:szCs w:val="20"/>
        </w:rPr>
      </w:pPr>
      <w:bookmarkStart w:id="1043" w:name="_Toc139356954"/>
      <w:r w:rsidRPr="00AC4AEA">
        <w:rPr>
          <w:rFonts w:cs="Arial"/>
          <w:sz w:val="20"/>
          <w:szCs w:val="20"/>
        </w:rPr>
        <w:t>RESOLUCIÓN TÉCNICA N°54</w:t>
      </w:r>
      <w:bookmarkEnd w:id="1042"/>
      <w:bookmarkEnd w:id="1043"/>
      <w:r w:rsidR="00B34D02" w:rsidRPr="00AC4AEA">
        <w:rPr>
          <w:rFonts w:cs="Arial"/>
          <w:sz w:val="20"/>
          <w:szCs w:val="20"/>
        </w:rPr>
        <w:t xml:space="preserve"> </w:t>
      </w:r>
    </w:p>
    <w:p w:rsidR="0090400F" w:rsidRPr="00AC4AEA" w:rsidRDefault="00B34D02" w:rsidP="00A318EA">
      <w:pPr>
        <w:pStyle w:val="Ttulo1"/>
        <w:rPr>
          <w:rFonts w:cs="Arial"/>
          <w:sz w:val="20"/>
          <w:szCs w:val="20"/>
        </w:rPr>
      </w:pPr>
      <w:bookmarkStart w:id="1044" w:name="_Toc139356955"/>
      <w:r w:rsidRPr="00AC4AEA">
        <w:rPr>
          <w:rFonts w:cs="Arial"/>
          <w:sz w:val="20"/>
          <w:szCs w:val="20"/>
        </w:rPr>
        <w:t>TÍTULO II</w:t>
      </w:r>
      <w:bookmarkEnd w:id="1044"/>
      <w:r w:rsidR="0090400F" w:rsidRPr="00AC4AEA">
        <w:rPr>
          <w:rFonts w:cs="Arial"/>
          <w:sz w:val="20"/>
          <w:szCs w:val="20"/>
        </w:rPr>
        <w:t xml:space="preserve"> </w:t>
      </w:r>
    </w:p>
    <w:p w:rsidR="00421257" w:rsidRPr="00AC4AEA" w:rsidRDefault="009E43CF" w:rsidP="00A318EA">
      <w:pPr>
        <w:pStyle w:val="Ttulo1"/>
        <w:rPr>
          <w:rFonts w:cs="Arial"/>
          <w:sz w:val="20"/>
          <w:szCs w:val="20"/>
        </w:rPr>
      </w:pPr>
      <w:bookmarkStart w:id="1045" w:name="_Toc139356956"/>
      <w:r w:rsidRPr="00AC4AEA">
        <w:rPr>
          <w:rFonts w:cs="Arial"/>
          <w:sz w:val="20"/>
          <w:szCs w:val="20"/>
        </w:rPr>
        <w:t>~</w:t>
      </w:r>
      <w:r w:rsidR="00421257" w:rsidRPr="00AC4AEA">
        <w:rPr>
          <w:rFonts w:cs="Arial"/>
          <w:sz w:val="20"/>
          <w:szCs w:val="20"/>
        </w:rPr>
        <w:t>NORMAS PARTICULARES</w:t>
      </w:r>
      <w:r w:rsidRPr="00AC4AEA">
        <w:rPr>
          <w:rFonts w:cs="Arial"/>
          <w:sz w:val="20"/>
          <w:szCs w:val="20"/>
        </w:rPr>
        <w:t>~</w:t>
      </w:r>
      <w:bookmarkEnd w:id="1045"/>
      <w:r w:rsidR="006F2C57">
        <w:rPr>
          <w:rFonts w:cs="Arial"/>
          <w:sz w:val="20"/>
          <w:szCs w:val="20"/>
        </w:rPr>
        <w:t xml:space="preserve"> </w:t>
      </w:r>
    </w:p>
    <w:p w:rsidR="00421257" w:rsidRPr="00AC4AEA" w:rsidRDefault="00421257" w:rsidP="00A318EA">
      <w:pPr>
        <w:pStyle w:val="Ttulo1"/>
        <w:rPr>
          <w:rFonts w:cs="Arial"/>
          <w:sz w:val="20"/>
          <w:szCs w:val="20"/>
        </w:rPr>
      </w:pPr>
    </w:p>
    <w:p w:rsidR="00421257" w:rsidRPr="00AC4AEA" w:rsidRDefault="00421257" w:rsidP="00A318EA">
      <w:pPr>
        <w:pStyle w:val="Ttulo1"/>
        <w:rPr>
          <w:rFonts w:cs="Arial"/>
          <w:sz w:val="20"/>
          <w:szCs w:val="20"/>
        </w:rPr>
      </w:pPr>
      <w:bookmarkStart w:id="1046" w:name="_Toc139356957"/>
      <w:r w:rsidRPr="00AC4AEA">
        <w:rPr>
          <w:rFonts w:cs="Arial"/>
          <w:sz w:val="20"/>
          <w:szCs w:val="20"/>
        </w:rPr>
        <w:t>CAPÍTULO 7</w:t>
      </w:r>
      <w:bookmarkEnd w:id="1046"/>
      <w:r w:rsidRPr="00AC4AEA">
        <w:rPr>
          <w:rFonts w:cs="Arial"/>
          <w:sz w:val="20"/>
          <w:szCs w:val="20"/>
        </w:rPr>
        <w:t xml:space="preserve"> </w:t>
      </w:r>
    </w:p>
    <w:p w:rsidR="00421257" w:rsidRPr="00AC4AEA" w:rsidRDefault="00421257" w:rsidP="00A318EA">
      <w:pPr>
        <w:pStyle w:val="Ttulo1"/>
        <w:rPr>
          <w:rFonts w:cs="Arial"/>
          <w:sz w:val="20"/>
          <w:szCs w:val="20"/>
        </w:rPr>
      </w:pPr>
      <w:bookmarkStart w:id="1047" w:name="_Toc139356958"/>
      <w:r w:rsidRPr="00AC4AEA">
        <w:rPr>
          <w:rFonts w:cs="Arial"/>
          <w:sz w:val="20"/>
          <w:szCs w:val="20"/>
        </w:rPr>
        <w:t>PROCEDIMIENTOS CONTABLES DE APLICACIÓN PARTICULAR</w:t>
      </w:r>
      <w:bookmarkEnd w:id="1047"/>
      <w:r w:rsidRPr="00AC4AEA">
        <w:rPr>
          <w:rFonts w:cs="Arial"/>
          <w:sz w:val="20"/>
          <w:szCs w:val="20"/>
        </w:rPr>
        <w:t xml:space="preserve"> </w:t>
      </w:r>
    </w:p>
    <w:p w:rsidR="0059338B" w:rsidRPr="00AC4AEA" w:rsidRDefault="0059338B" w:rsidP="00A318EA">
      <w:pPr>
        <w:pStyle w:val="Ttulo1"/>
        <w:rPr>
          <w:rFonts w:cs="Arial"/>
          <w:sz w:val="20"/>
          <w:szCs w:val="20"/>
        </w:rPr>
      </w:pPr>
    </w:p>
    <w:p w:rsidR="00421257" w:rsidRPr="00AC4AEA" w:rsidRDefault="00421257" w:rsidP="00A318EA">
      <w:pPr>
        <w:pStyle w:val="Ttulo1"/>
        <w:rPr>
          <w:rFonts w:cs="Arial"/>
          <w:sz w:val="20"/>
          <w:szCs w:val="20"/>
        </w:rPr>
      </w:pPr>
      <w:bookmarkStart w:id="1048" w:name="_Toc139356959"/>
      <w:r w:rsidRPr="00AC4AEA">
        <w:rPr>
          <w:rFonts w:cs="Arial"/>
          <w:sz w:val="20"/>
          <w:szCs w:val="20"/>
        </w:rPr>
        <w:t>INTRODUCCIÓN AL PRESENTE CAPÍTULO</w:t>
      </w:r>
      <w:bookmarkEnd w:id="1048"/>
      <w:r w:rsidR="006F2C57">
        <w:rPr>
          <w:rFonts w:cs="Arial"/>
          <w:sz w:val="20"/>
          <w:szCs w:val="20"/>
        </w:rPr>
        <w:t xml:space="preserve"> </w:t>
      </w:r>
    </w:p>
    <w:p w:rsidR="00421257" w:rsidRPr="00AC4AEA" w:rsidRDefault="00421257" w:rsidP="00A318EA">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En este capítulo se describen: </w:t>
      </w:r>
    </w:p>
    <w:p w:rsidR="00EB19E6" w:rsidRPr="00AC4AEA" w:rsidRDefault="00282FFB" w:rsidP="00C01B25">
      <w:pPr>
        <w:pStyle w:val="NUA-Nivel1"/>
        <w:numPr>
          <w:ilvl w:val="0"/>
          <w:numId w:val="627"/>
        </w:numPr>
        <w:ind w:left="1560" w:hanging="567"/>
      </w:pPr>
      <w:r w:rsidRPr="00AC4AEA">
        <w:t>L</w:t>
      </w:r>
      <w:r w:rsidR="00421257" w:rsidRPr="00AC4AEA">
        <w:t xml:space="preserve">os criterios que una entidad utilizará para la conversión de </w:t>
      </w:r>
      <w:r w:rsidR="00421257" w:rsidRPr="00AC4AEA">
        <w:rPr>
          <w:b/>
          <w:bCs/>
        </w:rPr>
        <w:t>estados contables</w:t>
      </w:r>
      <w:r w:rsidR="00421257" w:rsidRPr="00AC4AEA">
        <w:t xml:space="preserve"> </w:t>
      </w:r>
      <w:r w:rsidR="00443E0A" w:rsidRPr="00AC4AEA">
        <w:t xml:space="preserve">de </w:t>
      </w:r>
      <w:r w:rsidR="009668F2" w:rsidRPr="00AC4AEA">
        <w:t>una entidad</w:t>
      </w:r>
      <w:r w:rsidR="00443E0A" w:rsidRPr="00AC4AEA">
        <w:t xml:space="preserve"> que cumpla la definición de </w:t>
      </w:r>
      <w:r w:rsidR="00443E0A" w:rsidRPr="00AC4AEA">
        <w:rPr>
          <w:b/>
          <w:bCs/>
        </w:rPr>
        <w:t>entidad del exterior</w:t>
      </w:r>
      <w:r w:rsidRPr="00AC4AEA">
        <w:t>.</w:t>
      </w:r>
      <w:r w:rsidR="00421257" w:rsidRPr="00AC4AEA">
        <w:t xml:space="preserve"> </w:t>
      </w:r>
    </w:p>
    <w:p w:rsidR="00421257" w:rsidRPr="00AC4AEA" w:rsidRDefault="00282FFB" w:rsidP="00C01B25">
      <w:pPr>
        <w:pStyle w:val="NUA-Nivel1"/>
        <w:numPr>
          <w:ilvl w:val="0"/>
          <w:numId w:val="627"/>
        </w:numPr>
        <w:ind w:left="1560" w:hanging="567"/>
      </w:pPr>
      <w:r w:rsidRPr="00AC4AEA">
        <w:t>L</w:t>
      </w:r>
      <w:r w:rsidR="00421257" w:rsidRPr="00AC4AEA">
        <w:t xml:space="preserve">os requerimientos que una entidad empleará para preparar </w:t>
      </w:r>
      <w:r w:rsidR="00421257" w:rsidRPr="00AC4AEA">
        <w:rPr>
          <w:b/>
          <w:bCs/>
        </w:rPr>
        <w:t>estados contables consolidados</w:t>
      </w:r>
      <w:r w:rsidR="00421257" w:rsidRPr="00AC4AEA">
        <w:t xml:space="preserve">, que incluyen: </w:t>
      </w:r>
    </w:p>
    <w:p w:rsidR="00421257" w:rsidRPr="00AC4AEA" w:rsidRDefault="00421257" w:rsidP="00C01B25">
      <w:pPr>
        <w:pStyle w:val="Vieta2-NUA"/>
        <w:numPr>
          <w:ilvl w:val="0"/>
          <w:numId w:val="628"/>
        </w:numPr>
        <w:ind w:left="2127"/>
        <w:rPr>
          <w:sz w:val="20"/>
          <w:szCs w:val="20"/>
        </w:rPr>
      </w:pPr>
      <w:r w:rsidRPr="00AC4AEA">
        <w:rPr>
          <w:sz w:val="20"/>
          <w:szCs w:val="20"/>
        </w:rPr>
        <w:t xml:space="preserve">la evaluación de control (sobre otra entidad); y </w:t>
      </w:r>
    </w:p>
    <w:p w:rsidR="00421257" w:rsidRPr="00AC4AEA" w:rsidRDefault="00421257" w:rsidP="00C01B25">
      <w:pPr>
        <w:pStyle w:val="Vieta2-NUA"/>
        <w:numPr>
          <w:ilvl w:val="0"/>
          <w:numId w:val="628"/>
        </w:numPr>
        <w:ind w:left="2127"/>
        <w:rPr>
          <w:sz w:val="20"/>
          <w:szCs w:val="20"/>
        </w:rPr>
      </w:pPr>
      <w:r w:rsidRPr="00AC4AEA">
        <w:rPr>
          <w:sz w:val="20"/>
          <w:szCs w:val="20"/>
        </w:rPr>
        <w:t xml:space="preserve">el procedimiento de consolidación. </w:t>
      </w:r>
    </w:p>
    <w:p w:rsidR="0059338B" w:rsidRPr="00AC4AEA" w:rsidRDefault="0059338B" w:rsidP="00A318EA">
      <w:pPr>
        <w:pStyle w:val="Ttulo1"/>
        <w:rPr>
          <w:rFonts w:cs="Arial"/>
          <w:sz w:val="20"/>
          <w:szCs w:val="20"/>
        </w:rPr>
      </w:pPr>
    </w:p>
    <w:p w:rsidR="00421257" w:rsidRPr="00AC4AEA" w:rsidRDefault="00421257" w:rsidP="00A318EA">
      <w:pPr>
        <w:pStyle w:val="Ttulo1"/>
        <w:rPr>
          <w:rFonts w:cs="Arial"/>
          <w:sz w:val="20"/>
          <w:szCs w:val="20"/>
        </w:rPr>
      </w:pPr>
      <w:bookmarkStart w:id="1049" w:name="_Toc139356960"/>
      <w:r w:rsidRPr="00AC4AEA">
        <w:rPr>
          <w:rFonts w:cs="Arial"/>
          <w:sz w:val="20"/>
          <w:szCs w:val="20"/>
        </w:rPr>
        <w:t>CONVERSIÓN DE ESTADOS CONTABLES</w:t>
      </w:r>
      <w:bookmarkEnd w:id="1049"/>
      <w:r w:rsidRPr="00AC4AEA">
        <w:rPr>
          <w:rFonts w:cs="Arial"/>
          <w:sz w:val="20"/>
          <w:szCs w:val="20"/>
        </w:rPr>
        <w:t xml:space="preserve"> </w:t>
      </w:r>
    </w:p>
    <w:p w:rsidR="00421257" w:rsidRPr="00AC4AEA" w:rsidRDefault="00421257" w:rsidP="00A318EA">
      <w:pPr>
        <w:pStyle w:val="Ttulo2"/>
        <w:rPr>
          <w:rFonts w:cs="Arial"/>
        </w:rPr>
      </w:pPr>
      <w:bookmarkStart w:id="1050" w:name="_Toc139356961"/>
      <w:r w:rsidRPr="00AC4AEA">
        <w:rPr>
          <w:rFonts w:cs="Arial"/>
        </w:rPr>
        <w:t>Objetivo</w:t>
      </w:r>
      <w:bookmarkEnd w:id="1050"/>
      <w:r w:rsidRPr="00AC4AEA">
        <w:rPr>
          <w:rFonts w:cs="Arial"/>
        </w:rPr>
        <w:t xml:space="preserve"> </w:t>
      </w:r>
    </w:p>
    <w:p w:rsidR="00421257" w:rsidRPr="00AC4AEA" w:rsidRDefault="00421257" w:rsidP="00A318EA">
      <w:pPr>
        <w:numPr>
          <w:ilvl w:val="0"/>
          <w:numId w:val="29"/>
        </w:numPr>
        <w:spacing w:after="147" w:line="264" w:lineRule="auto"/>
        <w:jc w:val="both"/>
        <w:rPr>
          <w:rFonts w:ascii="Arial" w:eastAsia="Times New Roman" w:hAnsi="Arial" w:cs="Arial"/>
          <w:sz w:val="20"/>
          <w:szCs w:val="20"/>
          <w:lang w:eastAsia="es-AR"/>
        </w:rPr>
      </w:pPr>
      <w:bookmarkStart w:id="1051" w:name="_Ref136253270"/>
      <w:r w:rsidRPr="00AC4AEA">
        <w:rPr>
          <w:rFonts w:ascii="Arial" w:hAnsi="Arial" w:cs="Arial"/>
          <w:sz w:val="20"/>
          <w:szCs w:val="20"/>
        </w:rPr>
        <w:t xml:space="preserve">El objetivo de esta sección es establecer las reglas para la conversión de </w:t>
      </w:r>
      <w:r w:rsidRPr="00AC4AEA">
        <w:rPr>
          <w:rFonts w:ascii="Arial" w:hAnsi="Arial" w:cs="Arial"/>
          <w:b/>
          <w:bCs/>
          <w:sz w:val="20"/>
          <w:szCs w:val="20"/>
        </w:rPr>
        <w:t>estados contables</w:t>
      </w:r>
      <w:r w:rsidRPr="00AC4AEA">
        <w:rPr>
          <w:rFonts w:ascii="Arial" w:hAnsi="Arial" w:cs="Arial"/>
          <w:sz w:val="20"/>
          <w:szCs w:val="20"/>
        </w:rPr>
        <w:t xml:space="preserve"> de una </w:t>
      </w:r>
      <w:r w:rsidRPr="00AC4AEA">
        <w:rPr>
          <w:rFonts w:ascii="Arial" w:hAnsi="Arial" w:cs="Arial"/>
          <w:b/>
          <w:bCs/>
          <w:sz w:val="20"/>
          <w:szCs w:val="20"/>
        </w:rPr>
        <w:t>entidad del exterior</w:t>
      </w:r>
      <w:r w:rsidRPr="00AC4AEA">
        <w:rPr>
          <w:rFonts w:ascii="Arial" w:hAnsi="Arial" w:cs="Arial"/>
          <w:sz w:val="20"/>
          <w:szCs w:val="20"/>
        </w:rPr>
        <w:t>, a los fines de proceder a:</w:t>
      </w:r>
      <w:bookmarkEnd w:id="1051"/>
      <w:r w:rsidR="006F2C57">
        <w:rPr>
          <w:rFonts w:ascii="Arial" w:hAnsi="Arial" w:cs="Arial"/>
          <w:sz w:val="20"/>
          <w:szCs w:val="20"/>
        </w:rPr>
        <w:t xml:space="preserve"> </w:t>
      </w:r>
    </w:p>
    <w:p w:rsidR="00421257" w:rsidRPr="00AC4AEA" w:rsidRDefault="0042125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su consolidación;</w:t>
      </w:r>
      <w:r w:rsidR="006F2C57">
        <w:rPr>
          <w:rFonts w:ascii="Arial" w:hAnsi="Arial" w:cs="Arial"/>
          <w:sz w:val="20"/>
          <w:szCs w:val="20"/>
        </w:rPr>
        <w:t xml:space="preserve"> </w:t>
      </w:r>
    </w:p>
    <w:p w:rsidR="00421257" w:rsidRPr="00AC4AEA" w:rsidRDefault="0042125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la aplicación del método del </w:t>
      </w:r>
      <w:r w:rsidRPr="00050219">
        <w:rPr>
          <w:rFonts w:ascii="Arial" w:hAnsi="Arial" w:cs="Arial"/>
          <w:b/>
          <w:bCs/>
          <w:sz w:val="20"/>
          <w:szCs w:val="20"/>
        </w:rPr>
        <w:t>valor patrimonial proporcional</w:t>
      </w:r>
      <w:r w:rsidRPr="00AC4AEA">
        <w:rPr>
          <w:rFonts w:ascii="Arial" w:hAnsi="Arial" w:cs="Arial"/>
          <w:sz w:val="20"/>
          <w:szCs w:val="20"/>
        </w:rPr>
        <w:t xml:space="preserve">; o </w:t>
      </w:r>
    </w:p>
    <w:p w:rsidR="00421257" w:rsidRPr="00AC4AEA" w:rsidRDefault="00421257" w:rsidP="00A318EA">
      <w:pPr>
        <w:pStyle w:val="Prrafodelista"/>
        <w:numPr>
          <w:ilvl w:val="1"/>
          <w:numId w:val="29"/>
        </w:numPr>
        <w:ind w:left="1560"/>
        <w:contextualSpacing w:val="0"/>
        <w:jc w:val="both"/>
        <w:rPr>
          <w:rFonts w:ascii="Arial" w:hAnsi="Arial" w:cs="Arial"/>
          <w:sz w:val="20"/>
          <w:szCs w:val="20"/>
        </w:rPr>
      </w:pPr>
      <w:r w:rsidRPr="00AC4AEA">
        <w:rPr>
          <w:rFonts w:ascii="Arial" w:hAnsi="Arial" w:cs="Arial"/>
          <w:sz w:val="20"/>
          <w:szCs w:val="20"/>
        </w:rPr>
        <w:t xml:space="preserve">su contabilización de conformidad con el párrafo </w:t>
      </w:r>
      <w:fldSimple w:instr=" REF _Ref131511197 \r \h  \* MERGEFORMAT ">
        <w:r w:rsidR="00D33A5D" w:rsidRPr="00D33A5D">
          <w:rPr>
            <w:rFonts w:ascii="Arial" w:hAnsi="Arial" w:cs="Arial"/>
            <w:sz w:val="20"/>
            <w:szCs w:val="20"/>
          </w:rPr>
          <w:t>817</w:t>
        </w:r>
      </w:fldSimple>
      <w:r w:rsidRPr="00AC4AEA">
        <w:rPr>
          <w:rFonts w:ascii="Arial" w:hAnsi="Arial" w:cs="Arial"/>
          <w:sz w:val="20"/>
          <w:szCs w:val="20"/>
        </w:rPr>
        <w:t xml:space="preserve">. </w:t>
      </w:r>
    </w:p>
    <w:p w:rsidR="00421257" w:rsidRPr="00AC4AEA" w:rsidRDefault="00421257" w:rsidP="00A318EA">
      <w:pPr>
        <w:spacing w:after="153" w:line="256" w:lineRule="auto"/>
        <w:rPr>
          <w:rFonts w:ascii="Arial" w:hAnsi="Arial" w:cs="Arial"/>
          <w:sz w:val="20"/>
          <w:szCs w:val="20"/>
        </w:rPr>
      </w:pPr>
      <w:r w:rsidRPr="00AC4AEA">
        <w:rPr>
          <w:rFonts w:ascii="Arial" w:hAnsi="Arial" w:cs="Arial"/>
          <w:sz w:val="20"/>
          <w:szCs w:val="20"/>
        </w:rPr>
        <w:t xml:space="preserve"> </w:t>
      </w:r>
    </w:p>
    <w:p w:rsidR="00421257" w:rsidRPr="00592D81" w:rsidRDefault="00421257" w:rsidP="00A318EA">
      <w:pPr>
        <w:pStyle w:val="Ttulo2"/>
        <w:rPr>
          <w:rFonts w:cs="Arial"/>
        </w:rPr>
      </w:pPr>
      <w:bookmarkStart w:id="1052" w:name="_Toc139356962"/>
      <w:r w:rsidRPr="00592D81">
        <w:rPr>
          <w:rFonts w:cs="Arial"/>
        </w:rPr>
        <w:t>Definiciones</w:t>
      </w:r>
      <w:bookmarkEnd w:id="1052"/>
      <w:r w:rsidRPr="00592D81">
        <w:rPr>
          <w:rFonts w:cs="Arial"/>
        </w:rPr>
        <w:t xml:space="preserve"> </w:t>
      </w:r>
    </w:p>
    <w:p w:rsidR="00421257" w:rsidRPr="00592D81" w:rsidRDefault="00421257" w:rsidP="00A318EA">
      <w:pPr>
        <w:numPr>
          <w:ilvl w:val="0"/>
          <w:numId w:val="29"/>
        </w:numPr>
        <w:spacing w:after="147" w:line="264" w:lineRule="auto"/>
        <w:jc w:val="both"/>
        <w:rPr>
          <w:rFonts w:ascii="Arial" w:eastAsia="Times New Roman" w:hAnsi="Arial" w:cs="Arial"/>
          <w:sz w:val="20"/>
          <w:szCs w:val="20"/>
          <w:lang w:eastAsia="es-AR"/>
        </w:rPr>
      </w:pPr>
      <w:bookmarkStart w:id="1053" w:name="_Ref132042157"/>
      <w:r w:rsidRPr="00592D81">
        <w:rPr>
          <w:rFonts w:ascii="Arial" w:hAnsi="Arial" w:cs="Arial"/>
          <w:sz w:val="20"/>
          <w:szCs w:val="20"/>
        </w:rPr>
        <w:t>A los fines de aplicar esta sección, una entidad deberá considerar las siguientes definiciones:</w:t>
      </w:r>
      <w:bookmarkEnd w:id="1053"/>
      <w:r w:rsidRPr="00592D81">
        <w:rPr>
          <w:rFonts w:ascii="Arial" w:hAnsi="Arial" w:cs="Arial"/>
          <w:sz w:val="20"/>
          <w:szCs w:val="20"/>
        </w:rPr>
        <w:t xml:space="preserve"> </w:t>
      </w:r>
    </w:p>
    <w:p w:rsidR="00421257" w:rsidRPr="00592D81" w:rsidRDefault="00421257" w:rsidP="00041E98">
      <w:pPr>
        <w:ind w:left="1418"/>
        <w:jc w:val="both"/>
        <w:rPr>
          <w:rFonts w:ascii="Arial" w:hAnsi="Arial" w:cs="Arial"/>
          <w:sz w:val="20"/>
          <w:szCs w:val="20"/>
        </w:rPr>
      </w:pPr>
      <w:r w:rsidRPr="00592D81">
        <w:rPr>
          <w:rFonts w:ascii="Arial" w:hAnsi="Arial" w:cs="Arial"/>
          <w:sz w:val="20"/>
          <w:szCs w:val="20"/>
          <w:u w:val="single" w:color="000000"/>
        </w:rPr>
        <w:t>Diferencias de conversión</w:t>
      </w:r>
      <w:r w:rsidRPr="00592D81">
        <w:rPr>
          <w:rFonts w:ascii="Arial" w:hAnsi="Arial" w:cs="Arial"/>
          <w:sz w:val="20"/>
          <w:szCs w:val="20"/>
        </w:rPr>
        <w:t xml:space="preserve">: </w:t>
      </w:r>
      <w:r w:rsidR="00E14677" w:rsidRPr="00592D81">
        <w:rPr>
          <w:rFonts w:ascii="Arial" w:hAnsi="Arial" w:cs="Arial"/>
          <w:sz w:val="20"/>
          <w:szCs w:val="20"/>
        </w:rPr>
        <w:t>Son las</w:t>
      </w:r>
      <w:r w:rsidRPr="00592D81">
        <w:rPr>
          <w:rFonts w:ascii="Arial" w:hAnsi="Arial" w:cs="Arial"/>
          <w:sz w:val="20"/>
          <w:szCs w:val="20"/>
        </w:rPr>
        <w:t xml:space="preserve"> </w:t>
      </w:r>
      <w:r w:rsidR="00C46C4A" w:rsidRPr="00592D81">
        <w:rPr>
          <w:rFonts w:ascii="Arial" w:hAnsi="Arial" w:cs="Arial"/>
          <w:sz w:val="20"/>
          <w:szCs w:val="20"/>
        </w:rPr>
        <w:t>puestas en evidencia</w:t>
      </w:r>
      <w:r w:rsidR="00243031" w:rsidRPr="00592D81">
        <w:rPr>
          <w:rFonts w:ascii="Arial" w:hAnsi="Arial" w:cs="Arial"/>
          <w:sz w:val="20"/>
          <w:szCs w:val="20"/>
        </w:rPr>
        <w:t xml:space="preserve"> </w:t>
      </w:r>
      <w:r w:rsidR="00C46C4A" w:rsidRPr="00592D81">
        <w:rPr>
          <w:rFonts w:ascii="Arial" w:hAnsi="Arial" w:cs="Arial"/>
          <w:sz w:val="20"/>
          <w:szCs w:val="20"/>
        </w:rPr>
        <w:t>por</w:t>
      </w:r>
      <w:r w:rsidRPr="00592D81">
        <w:rPr>
          <w:rFonts w:ascii="Arial" w:hAnsi="Arial" w:cs="Arial"/>
          <w:sz w:val="20"/>
          <w:szCs w:val="20"/>
        </w:rPr>
        <w:t xml:space="preserve"> la conversión de </w:t>
      </w:r>
      <w:r w:rsidRPr="00592D81">
        <w:rPr>
          <w:rFonts w:ascii="Arial" w:hAnsi="Arial" w:cs="Arial"/>
          <w:b/>
          <w:bCs/>
          <w:sz w:val="20"/>
          <w:szCs w:val="20"/>
        </w:rPr>
        <w:t>estados contables</w:t>
      </w:r>
      <w:r w:rsidRPr="00592D81">
        <w:rPr>
          <w:rFonts w:ascii="Arial" w:hAnsi="Arial" w:cs="Arial"/>
          <w:sz w:val="20"/>
          <w:szCs w:val="20"/>
        </w:rPr>
        <w:t xml:space="preserve"> de una </w:t>
      </w:r>
      <w:r w:rsidRPr="00592D81">
        <w:rPr>
          <w:rFonts w:ascii="Arial" w:hAnsi="Arial" w:cs="Arial"/>
          <w:b/>
          <w:bCs/>
          <w:sz w:val="20"/>
          <w:szCs w:val="20"/>
        </w:rPr>
        <w:t>entidad del exterior</w:t>
      </w:r>
      <w:r w:rsidRPr="00592D81">
        <w:rPr>
          <w:rFonts w:ascii="Arial" w:hAnsi="Arial" w:cs="Arial"/>
          <w:sz w:val="20"/>
          <w:szCs w:val="20"/>
        </w:rPr>
        <w:t xml:space="preserve">. </w:t>
      </w:r>
    </w:p>
    <w:p w:rsidR="00421257" w:rsidRPr="00592D81" w:rsidRDefault="00421257" w:rsidP="00041E98">
      <w:pPr>
        <w:spacing w:after="151" w:line="256" w:lineRule="auto"/>
        <w:ind w:left="1418"/>
        <w:jc w:val="both"/>
        <w:rPr>
          <w:rFonts w:ascii="Arial" w:hAnsi="Arial" w:cs="Arial"/>
          <w:sz w:val="20"/>
          <w:szCs w:val="20"/>
        </w:rPr>
      </w:pPr>
      <w:r w:rsidRPr="00592D81">
        <w:rPr>
          <w:rFonts w:ascii="Arial" w:hAnsi="Arial" w:cs="Arial"/>
          <w:sz w:val="20"/>
          <w:szCs w:val="20"/>
          <w:u w:val="single" w:color="000000"/>
        </w:rPr>
        <w:t>Entidad del exterior</w:t>
      </w:r>
      <w:r w:rsidRPr="00592D81">
        <w:rPr>
          <w:rFonts w:ascii="Arial" w:hAnsi="Arial" w:cs="Arial"/>
          <w:sz w:val="20"/>
          <w:szCs w:val="20"/>
        </w:rPr>
        <w:t>: Entidad que:</w:t>
      </w:r>
      <w:r w:rsidR="006F2C57">
        <w:rPr>
          <w:rFonts w:ascii="Arial" w:hAnsi="Arial" w:cs="Arial"/>
          <w:sz w:val="20"/>
          <w:szCs w:val="20"/>
        </w:rPr>
        <w:t xml:space="preserve"> </w:t>
      </w:r>
    </w:p>
    <w:p w:rsidR="00421257" w:rsidRPr="00592D81" w:rsidRDefault="00421257" w:rsidP="00C01B25">
      <w:pPr>
        <w:numPr>
          <w:ilvl w:val="0"/>
          <w:numId w:val="531"/>
        </w:numPr>
        <w:ind w:left="1843" w:hanging="425"/>
        <w:jc w:val="both"/>
        <w:rPr>
          <w:rFonts w:ascii="Arial" w:hAnsi="Arial" w:cs="Arial"/>
          <w:sz w:val="20"/>
          <w:szCs w:val="20"/>
        </w:rPr>
      </w:pPr>
      <w:r w:rsidRPr="00592D81">
        <w:rPr>
          <w:rStyle w:val="NUA-DefinicionesCar"/>
          <w:sz w:val="20"/>
          <w:szCs w:val="20"/>
        </w:rPr>
        <w:lastRenderedPageBreak/>
        <w:t xml:space="preserve">utiliza una </w:t>
      </w:r>
      <w:r w:rsidRPr="00592D81">
        <w:rPr>
          <w:rStyle w:val="NUA-DefinicionesCar"/>
          <w:b/>
          <w:bCs/>
          <w:sz w:val="20"/>
          <w:szCs w:val="20"/>
        </w:rPr>
        <w:t>moneda extranjera</w:t>
      </w:r>
      <w:r w:rsidRPr="00592D81">
        <w:rPr>
          <w:rStyle w:val="NUA-DefinicionesCar"/>
          <w:sz w:val="20"/>
          <w:szCs w:val="20"/>
        </w:rPr>
        <w:t xml:space="preserve"> </w:t>
      </w:r>
      <w:r w:rsidR="00E14677" w:rsidRPr="00592D81">
        <w:rPr>
          <w:rStyle w:val="NUA-DefinicionesCar"/>
          <w:sz w:val="20"/>
          <w:szCs w:val="20"/>
        </w:rPr>
        <w:t>para la preparación</w:t>
      </w:r>
      <w:r w:rsidRPr="00592D81">
        <w:rPr>
          <w:rStyle w:val="NUA-DefinicionesCar"/>
          <w:sz w:val="20"/>
          <w:szCs w:val="20"/>
        </w:rPr>
        <w:t xml:space="preserve"> de sus </w:t>
      </w:r>
      <w:r w:rsidRPr="00592D81">
        <w:rPr>
          <w:rStyle w:val="NUA-DefinicionesCar"/>
          <w:b/>
          <w:bCs/>
          <w:sz w:val="20"/>
          <w:szCs w:val="20"/>
        </w:rPr>
        <w:t>estados contables</w:t>
      </w:r>
      <w:r w:rsidRPr="00592D81">
        <w:rPr>
          <w:rStyle w:val="NUA-DefinicionesCar"/>
          <w:sz w:val="20"/>
          <w:szCs w:val="20"/>
        </w:rPr>
        <w:t>;</w:t>
      </w:r>
      <w:r w:rsidRPr="00592D81">
        <w:rPr>
          <w:rFonts w:ascii="Arial" w:hAnsi="Arial" w:cs="Arial"/>
          <w:sz w:val="20"/>
          <w:szCs w:val="20"/>
        </w:rPr>
        <w:t xml:space="preserve"> y</w:t>
      </w:r>
      <w:r w:rsidR="006F2C57">
        <w:rPr>
          <w:rFonts w:ascii="Arial" w:hAnsi="Arial" w:cs="Arial"/>
          <w:sz w:val="20"/>
          <w:szCs w:val="20"/>
        </w:rPr>
        <w:t xml:space="preserve"> </w:t>
      </w:r>
    </w:p>
    <w:p w:rsidR="00421257" w:rsidRPr="00592D81" w:rsidRDefault="00421257" w:rsidP="00C01B25">
      <w:pPr>
        <w:numPr>
          <w:ilvl w:val="0"/>
          <w:numId w:val="531"/>
        </w:numPr>
        <w:ind w:left="1843" w:hanging="425"/>
        <w:jc w:val="both"/>
        <w:rPr>
          <w:rFonts w:ascii="Arial" w:hAnsi="Arial" w:cs="Arial"/>
          <w:sz w:val="20"/>
          <w:szCs w:val="20"/>
        </w:rPr>
      </w:pPr>
      <w:r w:rsidRPr="00592D81">
        <w:rPr>
          <w:rFonts w:ascii="Arial" w:hAnsi="Arial" w:cs="Arial"/>
          <w:sz w:val="20"/>
          <w:szCs w:val="20"/>
        </w:rPr>
        <w:t xml:space="preserve">es controlada, controlada conjuntamente o asociada de la entidad. </w:t>
      </w:r>
    </w:p>
    <w:p w:rsidR="00421257" w:rsidRPr="00592D81" w:rsidRDefault="00421257" w:rsidP="00041E98">
      <w:pPr>
        <w:ind w:left="1418"/>
        <w:jc w:val="both"/>
        <w:rPr>
          <w:rFonts w:ascii="Arial" w:hAnsi="Arial" w:cs="Arial"/>
          <w:sz w:val="20"/>
          <w:szCs w:val="20"/>
        </w:rPr>
      </w:pPr>
      <w:r w:rsidRPr="00592D81">
        <w:rPr>
          <w:rFonts w:ascii="Arial" w:hAnsi="Arial" w:cs="Arial"/>
          <w:sz w:val="20"/>
          <w:szCs w:val="20"/>
          <w:u w:val="single" w:color="000000"/>
        </w:rPr>
        <w:t>Tipo de cambio</w:t>
      </w:r>
      <w:r w:rsidRPr="00592D81">
        <w:rPr>
          <w:rFonts w:ascii="Arial" w:hAnsi="Arial" w:cs="Arial"/>
          <w:sz w:val="20"/>
          <w:szCs w:val="20"/>
        </w:rPr>
        <w:t xml:space="preserve">: </w:t>
      </w:r>
      <w:r w:rsidR="00243031" w:rsidRPr="00592D81">
        <w:rPr>
          <w:rFonts w:ascii="Arial" w:hAnsi="Arial" w:cs="Arial"/>
          <w:sz w:val="20"/>
          <w:szCs w:val="20"/>
        </w:rPr>
        <w:t>R</w:t>
      </w:r>
      <w:r w:rsidRPr="00592D81">
        <w:rPr>
          <w:rFonts w:ascii="Arial" w:hAnsi="Arial" w:cs="Arial"/>
          <w:sz w:val="20"/>
          <w:szCs w:val="20"/>
        </w:rPr>
        <w:t xml:space="preserve">elación de </w:t>
      </w:r>
      <w:r w:rsidR="009668F2" w:rsidRPr="00592D81">
        <w:rPr>
          <w:rFonts w:ascii="Arial" w:hAnsi="Arial" w:cs="Arial"/>
          <w:sz w:val="20"/>
          <w:szCs w:val="20"/>
        </w:rPr>
        <w:t>equivalencia</w:t>
      </w:r>
      <w:r w:rsidRPr="00592D81">
        <w:rPr>
          <w:rFonts w:ascii="Arial" w:hAnsi="Arial" w:cs="Arial"/>
          <w:sz w:val="20"/>
          <w:szCs w:val="20"/>
        </w:rPr>
        <w:t xml:space="preserve"> entre la </w:t>
      </w:r>
      <w:r w:rsidRPr="00592D81">
        <w:rPr>
          <w:rFonts w:ascii="Arial" w:hAnsi="Arial" w:cs="Arial"/>
          <w:b/>
          <w:bCs/>
          <w:sz w:val="20"/>
          <w:szCs w:val="20"/>
        </w:rPr>
        <w:t>moneda argentina</w:t>
      </w:r>
      <w:r w:rsidRPr="00592D81">
        <w:rPr>
          <w:rFonts w:ascii="Arial" w:hAnsi="Arial" w:cs="Arial"/>
          <w:sz w:val="20"/>
          <w:szCs w:val="20"/>
        </w:rPr>
        <w:t xml:space="preserve"> y una </w:t>
      </w:r>
      <w:r w:rsidRPr="00592D81">
        <w:rPr>
          <w:rFonts w:ascii="Arial" w:hAnsi="Arial" w:cs="Arial"/>
          <w:b/>
          <w:bCs/>
          <w:sz w:val="20"/>
          <w:szCs w:val="20"/>
        </w:rPr>
        <w:t>moneda extranjera</w:t>
      </w:r>
      <w:r w:rsidRPr="00592D81">
        <w:rPr>
          <w:rFonts w:ascii="Arial" w:hAnsi="Arial" w:cs="Arial"/>
          <w:sz w:val="20"/>
          <w:szCs w:val="20"/>
        </w:rPr>
        <w:t xml:space="preserve">. </w:t>
      </w:r>
      <w:r w:rsidR="009668F2" w:rsidRPr="00592D81">
        <w:rPr>
          <w:rFonts w:ascii="Arial" w:hAnsi="Arial" w:cs="Arial"/>
          <w:sz w:val="20"/>
          <w:szCs w:val="20"/>
        </w:rPr>
        <w:t xml:space="preserve">Para convertir </w:t>
      </w:r>
      <w:r w:rsidR="009668F2" w:rsidRPr="00592D81">
        <w:rPr>
          <w:rFonts w:ascii="Arial" w:hAnsi="Arial" w:cs="Arial"/>
          <w:b/>
          <w:bCs/>
          <w:sz w:val="20"/>
          <w:szCs w:val="20"/>
        </w:rPr>
        <w:t>estados contables</w:t>
      </w:r>
      <w:r w:rsidR="009668F2" w:rsidRPr="00592D81">
        <w:rPr>
          <w:rFonts w:ascii="Arial" w:hAnsi="Arial" w:cs="Arial"/>
          <w:sz w:val="20"/>
          <w:szCs w:val="20"/>
        </w:rPr>
        <w:t xml:space="preserve"> se utilizará el tipo de</w:t>
      </w:r>
      <w:r w:rsidR="009668F2" w:rsidRPr="00AC4AEA">
        <w:rPr>
          <w:rFonts w:ascii="Arial" w:hAnsi="Arial" w:cs="Arial"/>
          <w:sz w:val="20"/>
          <w:szCs w:val="20"/>
        </w:rPr>
        <w:t xml:space="preserve"> cambio efectivamente aplicable para la remesa de dividendos por parte de la </w:t>
      </w:r>
      <w:r w:rsidR="009668F2" w:rsidRPr="00AC4AEA">
        <w:rPr>
          <w:rFonts w:ascii="Arial" w:hAnsi="Arial" w:cs="Arial"/>
          <w:b/>
          <w:bCs/>
          <w:sz w:val="20"/>
          <w:szCs w:val="20"/>
        </w:rPr>
        <w:t xml:space="preserve">entidad </w:t>
      </w:r>
      <w:r w:rsidR="00CB7D52" w:rsidRPr="00AC4AEA">
        <w:rPr>
          <w:rFonts w:ascii="Arial" w:hAnsi="Arial" w:cs="Arial"/>
          <w:b/>
          <w:bCs/>
          <w:sz w:val="20"/>
          <w:szCs w:val="20"/>
        </w:rPr>
        <w:t>d</w:t>
      </w:r>
      <w:r w:rsidR="009668F2" w:rsidRPr="00AC4AEA">
        <w:rPr>
          <w:rFonts w:ascii="Arial" w:hAnsi="Arial" w:cs="Arial"/>
          <w:b/>
          <w:bCs/>
          <w:sz w:val="20"/>
          <w:szCs w:val="20"/>
        </w:rPr>
        <w:t>el exterior</w:t>
      </w:r>
      <w:r w:rsidR="009668F2" w:rsidRPr="00AC4AEA">
        <w:rPr>
          <w:rFonts w:ascii="Arial" w:hAnsi="Arial" w:cs="Arial"/>
          <w:sz w:val="20"/>
          <w:szCs w:val="20"/>
        </w:rPr>
        <w:t xml:space="preserve">. Cuando se pierde la posibilidad de negociar estas dos monedas en condiciones de mercado, una entidad aplicará lo dispuesto en el </w:t>
      </w:r>
      <w:r w:rsidR="009668F2" w:rsidRPr="00592D81">
        <w:rPr>
          <w:rFonts w:ascii="Arial" w:hAnsi="Arial" w:cs="Arial"/>
          <w:sz w:val="20"/>
          <w:szCs w:val="20"/>
        </w:rPr>
        <w:t xml:space="preserve">párrafo </w:t>
      </w:r>
      <w:fldSimple w:instr=" REF _Ref99459074 \r \h  \* MERGEFORMAT ">
        <w:r w:rsidR="00D33A5D" w:rsidRPr="00D33A5D">
          <w:rPr>
            <w:rFonts w:ascii="Arial" w:hAnsi="Arial" w:cs="Arial"/>
            <w:sz w:val="20"/>
            <w:szCs w:val="20"/>
          </w:rPr>
          <w:t>128</w:t>
        </w:r>
      </w:fldSimple>
      <w:r w:rsidR="009668F2" w:rsidRPr="00592D81">
        <w:rPr>
          <w:rFonts w:ascii="Arial" w:hAnsi="Arial" w:cs="Arial"/>
          <w:sz w:val="20"/>
          <w:szCs w:val="20"/>
        </w:rPr>
        <w:t>.</w:t>
      </w:r>
    </w:p>
    <w:p w:rsidR="00421257" w:rsidRPr="00592D81" w:rsidRDefault="00421257" w:rsidP="00041E98">
      <w:pPr>
        <w:ind w:left="1418"/>
        <w:jc w:val="both"/>
        <w:rPr>
          <w:rFonts w:ascii="Arial" w:hAnsi="Arial" w:cs="Arial"/>
          <w:sz w:val="20"/>
          <w:szCs w:val="20"/>
        </w:rPr>
      </w:pPr>
      <w:r w:rsidRPr="00592D81">
        <w:rPr>
          <w:rFonts w:ascii="Arial" w:hAnsi="Arial" w:cs="Arial"/>
          <w:sz w:val="20"/>
          <w:szCs w:val="20"/>
          <w:u w:val="single" w:color="000000"/>
        </w:rPr>
        <w:t xml:space="preserve">Tipo de cambio </w:t>
      </w:r>
      <w:r w:rsidR="00416B3C" w:rsidRPr="00592D81">
        <w:rPr>
          <w:rFonts w:ascii="Arial" w:hAnsi="Arial" w:cs="Arial"/>
          <w:sz w:val="20"/>
          <w:szCs w:val="20"/>
          <w:u w:val="single" w:color="000000"/>
        </w:rPr>
        <w:t xml:space="preserve">de </w:t>
      </w:r>
      <w:r w:rsidRPr="00592D81">
        <w:rPr>
          <w:rFonts w:ascii="Arial" w:hAnsi="Arial" w:cs="Arial"/>
          <w:sz w:val="20"/>
          <w:szCs w:val="20"/>
          <w:u w:val="single" w:color="000000"/>
        </w:rPr>
        <w:t>contado</w:t>
      </w:r>
      <w:r w:rsidRPr="00592D81">
        <w:rPr>
          <w:rFonts w:ascii="Arial" w:hAnsi="Arial" w:cs="Arial"/>
          <w:sz w:val="20"/>
          <w:szCs w:val="20"/>
        </w:rPr>
        <w:t xml:space="preserve">: </w:t>
      </w:r>
      <w:r w:rsidR="00243031" w:rsidRPr="00592D81">
        <w:rPr>
          <w:rFonts w:ascii="Arial" w:hAnsi="Arial" w:cs="Arial"/>
          <w:sz w:val="20"/>
          <w:szCs w:val="20"/>
        </w:rPr>
        <w:t>T</w:t>
      </w:r>
      <w:r w:rsidRPr="00592D81">
        <w:rPr>
          <w:rFonts w:ascii="Arial" w:hAnsi="Arial" w:cs="Arial"/>
          <w:sz w:val="20"/>
          <w:szCs w:val="20"/>
        </w:rPr>
        <w:t>ipo de cambio utilizad</w:t>
      </w:r>
      <w:r w:rsidR="00243031" w:rsidRPr="00592D81">
        <w:rPr>
          <w:rFonts w:ascii="Arial" w:hAnsi="Arial" w:cs="Arial"/>
          <w:sz w:val="20"/>
          <w:szCs w:val="20"/>
        </w:rPr>
        <w:t>o</w:t>
      </w:r>
      <w:r w:rsidRPr="00592D81">
        <w:rPr>
          <w:rFonts w:ascii="Arial" w:hAnsi="Arial" w:cs="Arial"/>
          <w:sz w:val="20"/>
          <w:szCs w:val="20"/>
        </w:rPr>
        <w:t xml:space="preserve"> en transacciones de entrega inmediata.</w:t>
      </w:r>
      <w:r w:rsidR="006F2C57">
        <w:rPr>
          <w:rFonts w:ascii="Arial" w:hAnsi="Arial" w:cs="Arial"/>
          <w:sz w:val="20"/>
          <w:szCs w:val="20"/>
        </w:rPr>
        <w:t xml:space="preserve"> </w:t>
      </w:r>
    </w:p>
    <w:p w:rsidR="00421257" w:rsidRPr="00592D81" w:rsidRDefault="00421257" w:rsidP="00A318EA">
      <w:pPr>
        <w:spacing w:after="150" w:line="256" w:lineRule="auto"/>
        <w:ind w:left="338"/>
        <w:rPr>
          <w:rFonts w:ascii="Arial" w:hAnsi="Arial" w:cs="Arial"/>
          <w:sz w:val="20"/>
          <w:szCs w:val="20"/>
        </w:rPr>
      </w:pPr>
      <w:r w:rsidRPr="00592D81">
        <w:rPr>
          <w:rFonts w:ascii="Arial" w:hAnsi="Arial" w:cs="Arial"/>
          <w:sz w:val="20"/>
          <w:szCs w:val="20"/>
        </w:rPr>
        <w:t xml:space="preserve"> </w:t>
      </w:r>
    </w:p>
    <w:p w:rsidR="00421257" w:rsidRPr="00592D81" w:rsidRDefault="00421257" w:rsidP="00A318EA">
      <w:pPr>
        <w:pStyle w:val="Ttulo2"/>
        <w:rPr>
          <w:rFonts w:cs="Arial"/>
        </w:rPr>
      </w:pPr>
      <w:bookmarkStart w:id="1054" w:name="_Toc139356963"/>
      <w:r w:rsidRPr="00592D81">
        <w:rPr>
          <w:rFonts w:cs="Arial"/>
        </w:rPr>
        <w:t>Conversión de estados contables: requerimientos generales</w:t>
      </w:r>
      <w:bookmarkEnd w:id="1054"/>
      <w:r w:rsidRPr="00592D81">
        <w:rPr>
          <w:rFonts w:cs="Arial"/>
        </w:rPr>
        <w:t xml:space="preserve"> </w:t>
      </w:r>
    </w:p>
    <w:p w:rsidR="00421257" w:rsidRPr="00592D81" w:rsidRDefault="006A13CC" w:rsidP="00A318EA">
      <w:pPr>
        <w:numPr>
          <w:ilvl w:val="0"/>
          <w:numId w:val="29"/>
        </w:numPr>
        <w:spacing w:after="147" w:line="264" w:lineRule="auto"/>
        <w:jc w:val="both"/>
        <w:rPr>
          <w:rFonts w:ascii="Arial" w:eastAsia="Times New Roman" w:hAnsi="Arial" w:cs="Arial"/>
          <w:sz w:val="20"/>
          <w:szCs w:val="20"/>
          <w:lang w:eastAsia="es-AR"/>
        </w:rPr>
      </w:pPr>
      <w:bookmarkStart w:id="1055" w:name="_Ref132041628"/>
      <w:r w:rsidRPr="00592D81">
        <w:rPr>
          <w:rFonts w:ascii="Arial" w:hAnsi="Arial" w:cs="Arial"/>
          <w:sz w:val="20"/>
          <w:szCs w:val="20"/>
        </w:rPr>
        <w:t xml:space="preserve">Para </w:t>
      </w:r>
      <w:r w:rsidR="00421257" w:rsidRPr="00592D81">
        <w:rPr>
          <w:rFonts w:ascii="Arial" w:hAnsi="Arial" w:cs="Arial"/>
          <w:sz w:val="20"/>
          <w:szCs w:val="20"/>
        </w:rPr>
        <w:t xml:space="preserve">convertir los </w:t>
      </w:r>
      <w:r w:rsidR="00C025A4" w:rsidRPr="00592D81">
        <w:rPr>
          <w:rFonts w:ascii="Arial" w:hAnsi="Arial" w:cs="Arial"/>
          <w:sz w:val="20"/>
          <w:szCs w:val="20"/>
        </w:rPr>
        <w:t xml:space="preserve">elementos de la </w:t>
      </w:r>
      <w:r w:rsidR="00C025A4" w:rsidRPr="00592D81">
        <w:rPr>
          <w:rFonts w:ascii="Arial" w:hAnsi="Arial" w:cs="Arial"/>
          <w:b/>
          <w:bCs/>
          <w:sz w:val="20"/>
          <w:szCs w:val="20"/>
        </w:rPr>
        <w:t>situación patrimonial</w:t>
      </w:r>
      <w:r w:rsidR="00C025A4" w:rsidRPr="00592D81">
        <w:rPr>
          <w:rFonts w:ascii="Arial" w:hAnsi="Arial" w:cs="Arial"/>
          <w:sz w:val="20"/>
          <w:szCs w:val="20"/>
        </w:rPr>
        <w:t xml:space="preserve">, la </w:t>
      </w:r>
      <w:r w:rsidR="00C025A4" w:rsidRPr="00592D81">
        <w:rPr>
          <w:rFonts w:ascii="Arial" w:hAnsi="Arial" w:cs="Arial"/>
          <w:b/>
          <w:bCs/>
          <w:sz w:val="20"/>
          <w:szCs w:val="20"/>
        </w:rPr>
        <w:t>evolución patrimonial</w:t>
      </w:r>
      <w:r w:rsidR="00C025A4" w:rsidRPr="00592D81">
        <w:rPr>
          <w:rFonts w:ascii="Arial" w:hAnsi="Arial" w:cs="Arial"/>
          <w:sz w:val="20"/>
          <w:szCs w:val="20"/>
        </w:rPr>
        <w:t xml:space="preserve">, y la </w:t>
      </w:r>
      <w:r w:rsidR="00C025A4" w:rsidRPr="00592D81">
        <w:rPr>
          <w:rFonts w:ascii="Arial" w:hAnsi="Arial" w:cs="Arial"/>
          <w:b/>
          <w:bCs/>
          <w:sz w:val="20"/>
          <w:szCs w:val="20"/>
        </w:rPr>
        <w:t>evolución financiera</w:t>
      </w:r>
      <w:r w:rsidR="00C025A4" w:rsidRPr="00592D81">
        <w:rPr>
          <w:rFonts w:ascii="Arial" w:hAnsi="Arial" w:cs="Arial"/>
          <w:sz w:val="20"/>
          <w:szCs w:val="20"/>
        </w:rPr>
        <w:t xml:space="preserve"> </w:t>
      </w:r>
      <w:r w:rsidR="00421257" w:rsidRPr="00592D81">
        <w:rPr>
          <w:rFonts w:ascii="Arial" w:hAnsi="Arial" w:cs="Arial"/>
          <w:sz w:val="20"/>
          <w:szCs w:val="20"/>
        </w:rPr>
        <w:t xml:space="preserve">de una </w:t>
      </w:r>
      <w:r w:rsidR="00421257" w:rsidRPr="00592D81">
        <w:rPr>
          <w:rFonts w:ascii="Arial" w:hAnsi="Arial" w:cs="Arial"/>
          <w:b/>
          <w:bCs/>
          <w:sz w:val="20"/>
          <w:szCs w:val="20"/>
        </w:rPr>
        <w:t>entidad del exterior</w:t>
      </w:r>
      <w:r w:rsidR="00421257" w:rsidRPr="00592D81">
        <w:rPr>
          <w:rFonts w:ascii="Arial" w:hAnsi="Arial" w:cs="Arial"/>
          <w:sz w:val="20"/>
          <w:szCs w:val="20"/>
        </w:rPr>
        <w:t xml:space="preserve"> cuya moneda no es la correspondiente a un contexto de inflación</w:t>
      </w:r>
      <w:r w:rsidRPr="00592D81">
        <w:rPr>
          <w:rFonts w:ascii="Arial" w:hAnsi="Arial" w:cs="Arial"/>
          <w:sz w:val="20"/>
          <w:szCs w:val="20"/>
        </w:rPr>
        <w:t xml:space="preserve">, una entidad </w:t>
      </w:r>
      <w:r w:rsidR="00421257" w:rsidRPr="00592D81">
        <w:rPr>
          <w:rFonts w:ascii="Arial" w:hAnsi="Arial" w:cs="Arial"/>
          <w:sz w:val="20"/>
          <w:szCs w:val="20"/>
        </w:rPr>
        <w:t>utiliza</w:t>
      </w:r>
      <w:r w:rsidRPr="00592D81">
        <w:rPr>
          <w:rFonts w:ascii="Arial" w:hAnsi="Arial" w:cs="Arial"/>
          <w:sz w:val="20"/>
          <w:szCs w:val="20"/>
        </w:rPr>
        <w:t>rá</w:t>
      </w:r>
      <w:r w:rsidR="00421257" w:rsidRPr="00592D81">
        <w:rPr>
          <w:rFonts w:ascii="Arial" w:hAnsi="Arial" w:cs="Arial"/>
          <w:sz w:val="20"/>
          <w:szCs w:val="20"/>
        </w:rPr>
        <w:t xml:space="preserve"> el siguiente procedimiento:</w:t>
      </w:r>
      <w:bookmarkEnd w:id="1055"/>
      <w:r w:rsidR="00421257" w:rsidRPr="00592D81">
        <w:rPr>
          <w:rFonts w:ascii="Arial" w:hAnsi="Arial" w:cs="Arial"/>
          <w:sz w:val="20"/>
          <w:szCs w:val="20"/>
        </w:rPr>
        <w:t xml:space="preserve"> </w:t>
      </w:r>
    </w:p>
    <w:p w:rsidR="00421257" w:rsidRPr="00592D81" w:rsidRDefault="00243031" w:rsidP="00A318EA">
      <w:pPr>
        <w:pStyle w:val="Prrafodelista"/>
        <w:numPr>
          <w:ilvl w:val="1"/>
          <w:numId w:val="29"/>
        </w:numPr>
        <w:ind w:left="1559"/>
        <w:contextualSpacing w:val="0"/>
        <w:jc w:val="both"/>
        <w:rPr>
          <w:rFonts w:ascii="Arial" w:hAnsi="Arial" w:cs="Arial"/>
          <w:sz w:val="20"/>
          <w:szCs w:val="20"/>
        </w:rPr>
      </w:pPr>
      <w:r w:rsidRPr="00592D81">
        <w:rPr>
          <w:rFonts w:ascii="Arial" w:hAnsi="Arial" w:cs="Arial"/>
          <w:sz w:val="20"/>
          <w:szCs w:val="20"/>
        </w:rPr>
        <w:t>A</w:t>
      </w:r>
      <w:r w:rsidR="00421257" w:rsidRPr="00592D81">
        <w:rPr>
          <w:rFonts w:ascii="Arial" w:hAnsi="Arial" w:cs="Arial"/>
          <w:sz w:val="20"/>
          <w:szCs w:val="20"/>
        </w:rPr>
        <w:t xml:space="preserve"> la </w:t>
      </w:r>
      <w:r w:rsidR="00421257" w:rsidRPr="00592D81">
        <w:rPr>
          <w:rFonts w:ascii="Arial" w:hAnsi="Arial" w:cs="Arial"/>
          <w:b/>
          <w:bCs/>
          <w:sz w:val="20"/>
          <w:szCs w:val="20"/>
        </w:rPr>
        <w:t>fecha de los estados contables</w:t>
      </w:r>
      <w:r w:rsidR="00421257" w:rsidRPr="00592D81">
        <w:rPr>
          <w:rFonts w:ascii="Arial" w:hAnsi="Arial" w:cs="Arial"/>
          <w:sz w:val="20"/>
          <w:szCs w:val="20"/>
        </w:rPr>
        <w:t xml:space="preserve"> y a la fecha de la información comparativa</w:t>
      </w:r>
      <w:r w:rsidRPr="00592D81">
        <w:rPr>
          <w:rFonts w:ascii="Arial" w:hAnsi="Arial" w:cs="Arial"/>
          <w:sz w:val="20"/>
          <w:szCs w:val="20"/>
        </w:rPr>
        <w:t>,</w:t>
      </w:r>
      <w:r w:rsidR="00421257" w:rsidRPr="00592D81">
        <w:rPr>
          <w:rFonts w:ascii="Arial" w:hAnsi="Arial" w:cs="Arial"/>
          <w:sz w:val="20"/>
          <w:szCs w:val="20"/>
        </w:rPr>
        <w:t xml:space="preserve"> convertirá</w:t>
      </w:r>
      <w:r w:rsidRPr="00592D81">
        <w:rPr>
          <w:rFonts w:ascii="Arial" w:hAnsi="Arial" w:cs="Arial"/>
          <w:sz w:val="20"/>
          <w:szCs w:val="20"/>
        </w:rPr>
        <w:t xml:space="preserve"> los </w:t>
      </w:r>
      <w:r w:rsidR="00CE13D7" w:rsidRPr="00592D81">
        <w:rPr>
          <w:rFonts w:ascii="Arial" w:hAnsi="Arial" w:cs="Arial"/>
          <w:bCs/>
          <w:sz w:val="20"/>
          <w:szCs w:val="20"/>
        </w:rPr>
        <w:t>activos</w:t>
      </w:r>
      <w:r w:rsidRPr="00592D81">
        <w:rPr>
          <w:rFonts w:ascii="Arial" w:hAnsi="Arial" w:cs="Arial"/>
          <w:sz w:val="20"/>
          <w:szCs w:val="20"/>
        </w:rPr>
        <w:t xml:space="preserve"> y </w:t>
      </w:r>
      <w:r w:rsidR="00CE13D7" w:rsidRPr="00592D81">
        <w:rPr>
          <w:rFonts w:ascii="Arial" w:hAnsi="Arial" w:cs="Arial"/>
          <w:bCs/>
          <w:sz w:val="20"/>
          <w:szCs w:val="20"/>
        </w:rPr>
        <w:t>pasivos</w:t>
      </w:r>
      <w:r w:rsidR="00421257" w:rsidRPr="00592D81">
        <w:rPr>
          <w:rFonts w:ascii="Arial" w:hAnsi="Arial" w:cs="Arial"/>
          <w:sz w:val="20"/>
          <w:szCs w:val="20"/>
        </w:rPr>
        <w:t xml:space="preserve"> usando el tipo de cambio de cierre correspondiente a cada una de esas fechas. </w:t>
      </w:r>
    </w:p>
    <w:p w:rsidR="00421257" w:rsidRPr="00592D81" w:rsidRDefault="00243031" w:rsidP="00A318EA">
      <w:pPr>
        <w:pStyle w:val="Prrafodelista"/>
        <w:numPr>
          <w:ilvl w:val="1"/>
          <w:numId w:val="29"/>
        </w:numPr>
        <w:ind w:left="1559"/>
        <w:contextualSpacing w:val="0"/>
        <w:jc w:val="both"/>
        <w:rPr>
          <w:rFonts w:ascii="Arial" w:hAnsi="Arial" w:cs="Arial"/>
          <w:sz w:val="20"/>
          <w:szCs w:val="20"/>
        </w:rPr>
      </w:pPr>
      <w:r w:rsidRPr="00592D81">
        <w:rPr>
          <w:rFonts w:ascii="Arial" w:hAnsi="Arial" w:cs="Arial"/>
          <w:sz w:val="20"/>
          <w:szCs w:val="20"/>
        </w:rPr>
        <w:t>Convertirá l</w:t>
      </w:r>
      <w:r w:rsidR="00421257" w:rsidRPr="00592D81">
        <w:rPr>
          <w:rFonts w:ascii="Arial" w:hAnsi="Arial" w:cs="Arial"/>
          <w:sz w:val="20"/>
          <w:szCs w:val="20"/>
        </w:rPr>
        <w:t>os</w:t>
      </w:r>
      <w:r w:rsidR="00A36E8F" w:rsidRPr="00592D81">
        <w:rPr>
          <w:rFonts w:ascii="Arial" w:hAnsi="Arial" w:cs="Arial"/>
          <w:sz w:val="20"/>
          <w:szCs w:val="20"/>
        </w:rPr>
        <w:t xml:space="preserve"> elementos </w:t>
      </w:r>
      <w:r w:rsidR="00F728EC" w:rsidRPr="00592D81">
        <w:rPr>
          <w:rFonts w:ascii="Arial" w:hAnsi="Arial" w:cs="Arial"/>
          <w:sz w:val="20"/>
          <w:szCs w:val="20"/>
        </w:rPr>
        <w:t>correspondientes a</w:t>
      </w:r>
      <w:r w:rsidR="00A36E8F" w:rsidRPr="00592D81">
        <w:rPr>
          <w:rFonts w:ascii="Arial" w:hAnsi="Arial" w:cs="Arial"/>
          <w:sz w:val="20"/>
          <w:szCs w:val="20"/>
        </w:rPr>
        <w:t xml:space="preserve"> la</w:t>
      </w:r>
      <w:r w:rsidR="00421257" w:rsidRPr="00592D81">
        <w:rPr>
          <w:rFonts w:ascii="Arial" w:hAnsi="Arial" w:cs="Arial"/>
          <w:sz w:val="20"/>
          <w:szCs w:val="20"/>
        </w:rPr>
        <w:t xml:space="preserve"> </w:t>
      </w:r>
      <w:r w:rsidR="00A36E8F" w:rsidRPr="00592D81">
        <w:rPr>
          <w:rFonts w:ascii="Arial" w:hAnsi="Arial" w:cs="Arial"/>
          <w:b/>
          <w:bCs/>
          <w:sz w:val="20"/>
          <w:szCs w:val="20"/>
        </w:rPr>
        <w:t xml:space="preserve">evolución patrimonial </w:t>
      </w:r>
      <w:r w:rsidR="00A36E8F" w:rsidRPr="00592D81">
        <w:rPr>
          <w:rFonts w:ascii="Arial" w:hAnsi="Arial" w:cs="Arial"/>
          <w:sz w:val="20"/>
          <w:szCs w:val="20"/>
        </w:rPr>
        <w:t>y la</w:t>
      </w:r>
      <w:r w:rsidR="00421257" w:rsidRPr="00592D81">
        <w:rPr>
          <w:rFonts w:ascii="Arial" w:hAnsi="Arial" w:cs="Arial"/>
          <w:sz w:val="20"/>
          <w:szCs w:val="20"/>
        </w:rPr>
        <w:t xml:space="preserve"> </w:t>
      </w:r>
      <w:r w:rsidR="00A36E8F" w:rsidRPr="00592D81">
        <w:rPr>
          <w:rFonts w:ascii="Arial" w:hAnsi="Arial" w:cs="Arial"/>
          <w:b/>
          <w:bCs/>
          <w:sz w:val="20"/>
          <w:szCs w:val="20"/>
        </w:rPr>
        <w:t>evolución financiera</w:t>
      </w:r>
      <w:r w:rsidR="002D0558" w:rsidRPr="00592D81">
        <w:rPr>
          <w:rFonts w:ascii="Arial" w:hAnsi="Arial" w:cs="Arial"/>
          <w:sz w:val="20"/>
          <w:szCs w:val="20"/>
        </w:rPr>
        <w:t>,</w:t>
      </w:r>
      <w:r w:rsidR="00421257" w:rsidRPr="00592D81">
        <w:rPr>
          <w:rFonts w:ascii="Arial" w:hAnsi="Arial" w:cs="Arial"/>
          <w:sz w:val="20"/>
          <w:szCs w:val="20"/>
        </w:rPr>
        <w:t xml:space="preserve"> </w:t>
      </w:r>
      <w:r w:rsidR="00C46C4A" w:rsidRPr="00592D81">
        <w:rPr>
          <w:rFonts w:ascii="Arial" w:hAnsi="Arial" w:cs="Arial"/>
          <w:sz w:val="20"/>
          <w:szCs w:val="20"/>
        </w:rPr>
        <w:t>usando</w:t>
      </w:r>
      <w:r w:rsidR="00421257" w:rsidRPr="00592D81">
        <w:rPr>
          <w:rFonts w:ascii="Arial" w:hAnsi="Arial" w:cs="Arial"/>
          <w:sz w:val="20"/>
          <w:szCs w:val="20"/>
        </w:rPr>
        <w:t xml:space="preserve"> </w:t>
      </w:r>
      <w:r w:rsidR="002D0558" w:rsidRPr="00592D81">
        <w:rPr>
          <w:rFonts w:ascii="Arial" w:hAnsi="Arial" w:cs="Arial"/>
          <w:sz w:val="20"/>
          <w:szCs w:val="20"/>
        </w:rPr>
        <w:t>e</w:t>
      </w:r>
      <w:r w:rsidR="00421257" w:rsidRPr="00592D81">
        <w:rPr>
          <w:rFonts w:ascii="Arial" w:hAnsi="Arial" w:cs="Arial"/>
          <w:sz w:val="20"/>
          <w:szCs w:val="20"/>
        </w:rPr>
        <w:t>l tipo de cambio de la fecha de cada transacción</w:t>
      </w:r>
      <w:r w:rsidR="00C46C4A" w:rsidRPr="00592D81">
        <w:rPr>
          <w:rFonts w:ascii="Arial" w:hAnsi="Arial" w:cs="Arial"/>
          <w:sz w:val="20"/>
          <w:szCs w:val="20"/>
        </w:rPr>
        <w:t>,</w:t>
      </w:r>
      <w:r w:rsidR="00347C86" w:rsidRPr="00592D81">
        <w:rPr>
          <w:rFonts w:ascii="Arial" w:hAnsi="Arial" w:cs="Arial"/>
          <w:sz w:val="20"/>
          <w:szCs w:val="20"/>
        </w:rPr>
        <w:t xml:space="preserve"> excepto </w:t>
      </w:r>
      <w:r w:rsidRPr="00592D81">
        <w:rPr>
          <w:rFonts w:ascii="Arial" w:hAnsi="Arial" w:cs="Arial"/>
          <w:sz w:val="20"/>
          <w:szCs w:val="20"/>
        </w:rPr>
        <w:t>que</w:t>
      </w:r>
      <w:r w:rsidR="00347C86" w:rsidRPr="00592D81">
        <w:rPr>
          <w:rFonts w:ascii="Arial" w:hAnsi="Arial" w:cs="Arial"/>
          <w:sz w:val="20"/>
          <w:szCs w:val="20"/>
        </w:rPr>
        <w:t xml:space="preserve"> opte por la solución práctica del párrafo siguiente.</w:t>
      </w:r>
    </w:p>
    <w:p w:rsidR="00421257" w:rsidRPr="00592D81" w:rsidRDefault="00243031" w:rsidP="00A318EA">
      <w:pPr>
        <w:pStyle w:val="Prrafodelista"/>
        <w:numPr>
          <w:ilvl w:val="1"/>
          <w:numId w:val="29"/>
        </w:numPr>
        <w:ind w:left="1559"/>
        <w:contextualSpacing w:val="0"/>
        <w:jc w:val="both"/>
        <w:rPr>
          <w:rFonts w:ascii="Arial" w:hAnsi="Arial" w:cs="Arial"/>
          <w:sz w:val="20"/>
          <w:szCs w:val="20"/>
        </w:rPr>
      </w:pPr>
      <w:r w:rsidRPr="00592D81">
        <w:rPr>
          <w:rFonts w:ascii="Arial" w:hAnsi="Arial" w:cs="Arial"/>
          <w:b/>
          <w:bCs/>
          <w:sz w:val="20"/>
          <w:szCs w:val="20"/>
        </w:rPr>
        <w:t>Reconocerá t</w:t>
      </w:r>
      <w:r w:rsidR="00421257" w:rsidRPr="00592D81">
        <w:rPr>
          <w:rFonts w:ascii="Arial" w:hAnsi="Arial" w:cs="Arial"/>
          <w:b/>
          <w:bCs/>
          <w:sz w:val="20"/>
          <w:szCs w:val="20"/>
        </w:rPr>
        <w:t>odas las diferencias de conversión resultantes</w:t>
      </w:r>
      <w:r w:rsidR="00421257" w:rsidRPr="00592D81">
        <w:rPr>
          <w:rFonts w:ascii="Arial" w:hAnsi="Arial" w:cs="Arial"/>
          <w:sz w:val="20"/>
          <w:szCs w:val="20"/>
        </w:rPr>
        <w:t xml:space="preserve"> </w:t>
      </w:r>
      <w:r w:rsidR="00591A12" w:rsidRPr="00592D81">
        <w:rPr>
          <w:rFonts w:ascii="Arial" w:hAnsi="Arial" w:cs="Arial"/>
          <w:sz w:val="20"/>
          <w:szCs w:val="20"/>
        </w:rPr>
        <w:t>en</w:t>
      </w:r>
      <w:r w:rsidR="00421257" w:rsidRPr="00592D81">
        <w:rPr>
          <w:rFonts w:ascii="Arial" w:hAnsi="Arial" w:cs="Arial"/>
          <w:sz w:val="20"/>
          <w:szCs w:val="20"/>
        </w:rPr>
        <w:t xml:space="preserve"> una partida de </w:t>
      </w:r>
      <w:r w:rsidR="00421257" w:rsidRPr="00592D81">
        <w:rPr>
          <w:rFonts w:ascii="Arial" w:hAnsi="Arial" w:cs="Arial"/>
          <w:b/>
          <w:bCs/>
          <w:sz w:val="20"/>
          <w:szCs w:val="20"/>
        </w:rPr>
        <w:t xml:space="preserve">resultados diferidos </w:t>
      </w:r>
      <w:r w:rsidR="00421257" w:rsidRPr="00592D81">
        <w:rPr>
          <w:rFonts w:ascii="Arial" w:hAnsi="Arial" w:cs="Arial"/>
          <w:sz w:val="20"/>
          <w:szCs w:val="20"/>
        </w:rPr>
        <w:t xml:space="preserve">del período. </w:t>
      </w:r>
    </w:p>
    <w:p w:rsidR="00421257" w:rsidRPr="00592D81" w:rsidRDefault="00D879D3" w:rsidP="00A318EA">
      <w:pPr>
        <w:numPr>
          <w:ilvl w:val="0"/>
          <w:numId w:val="29"/>
        </w:numPr>
        <w:spacing w:after="147" w:line="264" w:lineRule="auto"/>
        <w:jc w:val="both"/>
        <w:rPr>
          <w:rFonts w:ascii="Arial" w:hAnsi="Arial" w:cs="Arial"/>
          <w:sz w:val="20"/>
          <w:szCs w:val="20"/>
        </w:rPr>
      </w:pPr>
      <w:bookmarkStart w:id="1056" w:name="_Ref131174714"/>
      <w:r w:rsidRPr="00592D81">
        <w:rPr>
          <w:rFonts w:ascii="Arial" w:hAnsi="Arial" w:cs="Arial"/>
          <w:sz w:val="20"/>
          <w:szCs w:val="20"/>
        </w:rPr>
        <w:t>Al aplicar el inciso b) del párrafo anterior, u</w:t>
      </w:r>
      <w:r w:rsidR="00421257" w:rsidRPr="00592D81">
        <w:rPr>
          <w:rFonts w:ascii="Arial" w:hAnsi="Arial" w:cs="Arial"/>
          <w:sz w:val="20"/>
          <w:szCs w:val="20"/>
        </w:rPr>
        <w:t xml:space="preserve">na entidad </w:t>
      </w:r>
      <w:r w:rsidR="00347C86" w:rsidRPr="00592D81">
        <w:rPr>
          <w:rFonts w:ascii="Arial" w:hAnsi="Arial" w:cs="Arial"/>
          <w:sz w:val="20"/>
          <w:szCs w:val="20"/>
        </w:rPr>
        <w:t xml:space="preserve">podrá utilizar, como solución práctica, </w:t>
      </w:r>
      <w:r w:rsidR="00421257" w:rsidRPr="00592D81">
        <w:rPr>
          <w:rFonts w:ascii="Arial" w:hAnsi="Arial" w:cs="Arial"/>
          <w:sz w:val="20"/>
          <w:szCs w:val="20"/>
        </w:rPr>
        <w:t xml:space="preserve">un tipo de cambio aproximado (por ejemplo, un promedio), representativo de los tipos existentes durante el período </w:t>
      </w:r>
      <w:r w:rsidR="004B6348" w:rsidRPr="00592D81">
        <w:rPr>
          <w:rFonts w:ascii="Arial" w:hAnsi="Arial" w:cs="Arial"/>
          <w:sz w:val="20"/>
          <w:szCs w:val="20"/>
        </w:rPr>
        <w:t>en el que ocurrieron</w:t>
      </w:r>
      <w:r w:rsidR="00421257" w:rsidRPr="00592D81">
        <w:rPr>
          <w:rFonts w:ascii="Arial" w:hAnsi="Arial" w:cs="Arial"/>
          <w:sz w:val="20"/>
          <w:szCs w:val="20"/>
        </w:rPr>
        <w:t xml:space="preserve"> las transacciones</w:t>
      </w:r>
      <w:r w:rsidR="004B6348" w:rsidRPr="00592D81">
        <w:rPr>
          <w:rFonts w:ascii="Arial" w:hAnsi="Arial" w:cs="Arial"/>
          <w:sz w:val="20"/>
          <w:szCs w:val="20"/>
        </w:rPr>
        <w:t xml:space="preserve"> que dieron lugar a los elementos a convertir</w:t>
      </w:r>
      <w:r w:rsidR="00421257" w:rsidRPr="00592D81">
        <w:rPr>
          <w:rFonts w:ascii="Arial" w:hAnsi="Arial" w:cs="Arial"/>
          <w:sz w:val="20"/>
          <w:szCs w:val="20"/>
        </w:rPr>
        <w:t xml:space="preserve">, </w:t>
      </w:r>
      <w:r w:rsidR="00FC67BE" w:rsidRPr="00592D81">
        <w:rPr>
          <w:rFonts w:ascii="Arial" w:hAnsi="Arial" w:cs="Arial"/>
          <w:sz w:val="20"/>
          <w:szCs w:val="20"/>
        </w:rPr>
        <w:t>siempre que</w:t>
      </w:r>
      <w:r w:rsidR="00421257" w:rsidRPr="00592D81">
        <w:rPr>
          <w:rFonts w:ascii="Arial" w:hAnsi="Arial" w:cs="Arial"/>
          <w:sz w:val="20"/>
          <w:szCs w:val="20"/>
        </w:rPr>
        <w:t xml:space="preserve"> las fluctuaciones en dichos tipos no </w:t>
      </w:r>
      <w:r w:rsidR="005F60A7" w:rsidRPr="00592D81">
        <w:rPr>
          <w:rFonts w:ascii="Arial" w:hAnsi="Arial" w:cs="Arial"/>
          <w:sz w:val="20"/>
          <w:szCs w:val="20"/>
        </w:rPr>
        <w:t>hayan sido</w:t>
      </w:r>
      <w:r w:rsidR="00421257" w:rsidRPr="00592D81">
        <w:rPr>
          <w:rFonts w:ascii="Arial" w:hAnsi="Arial" w:cs="Arial"/>
          <w:sz w:val="20"/>
          <w:szCs w:val="20"/>
        </w:rPr>
        <w:t xml:space="preserve"> significativas</w:t>
      </w:r>
      <w:r w:rsidR="005F60A7" w:rsidRPr="00592D81">
        <w:rPr>
          <w:rFonts w:ascii="Arial" w:hAnsi="Arial" w:cs="Arial"/>
          <w:sz w:val="20"/>
          <w:szCs w:val="20"/>
        </w:rPr>
        <w:t xml:space="preserve"> durante el referido período</w:t>
      </w:r>
      <w:bookmarkEnd w:id="1056"/>
      <w:r w:rsidR="009668F2" w:rsidRPr="00592D81">
        <w:rPr>
          <w:rFonts w:ascii="Arial" w:hAnsi="Arial" w:cs="Arial"/>
          <w:sz w:val="20"/>
          <w:szCs w:val="20"/>
        </w:rPr>
        <w:t xml:space="preserve"> (de acuerdo con lo establecido en el párrafo </w:t>
      </w:r>
      <w:fldSimple w:instr=" REF _Ref75791953 \r \h  \* MERGEFORMAT ">
        <w:r w:rsidR="00D33A5D" w:rsidRPr="00D33A5D">
          <w:rPr>
            <w:rFonts w:ascii="Arial" w:hAnsi="Arial" w:cs="Arial"/>
            <w:sz w:val="20"/>
            <w:szCs w:val="20"/>
          </w:rPr>
          <w:t>82</w:t>
        </w:r>
      </w:fldSimple>
      <w:r w:rsidR="009668F2" w:rsidRPr="00592D81">
        <w:rPr>
          <w:rFonts w:ascii="Arial" w:hAnsi="Arial" w:cs="Arial"/>
          <w:sz w:val="20"/>
          <w:szCs w:val="20"/>
        </w:rPr>
        <w:t>).</w:t>
      </w:r>
    </w:p>
    <w:p w:rsidR="00421257" w:rsidRPr="00592D81" w:rsidRDefault="00421257" w:rsidP="00A318EA">
      <w:pPr>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Una entidad puede tener </w:t>
      </w:r>
      <w:r w:rsidR="009668F2" w:rsidRPr="00592D81">
        <w:rPr>
          <w:rFonts w:ascii="Arial" w:hAnsi="Arial" w:cs="Arial"/>
          <w:sz w:val="20"/>
          <w:szCs w:val="20"/>
        </w:rPr>
        <w:t>cuentas</w:t>
      </w:r>
      <w:r w:rsidRPr="00592D81">
        <w:rPr>
          <w:rFonts w:ascii="Arial" w:hAnsi="Arial" w:cs="Arial"/>
          <w:sz w:val="20"/>
          <w:szCs w:val="20"/>
        </w:rPr>
        <w:t xml:space="preserve"> por cobrar o pagar </w:t>
      </w:r>
      <w:r w:rsidR="00347C86" w:rsidRPr="00592D81">
        <w:rPr>
          <w:rFonts w:ascii="Arial" w:hAnsi="Arial" w:cs="Arial"/>
          <w:sz w:val="20"/>
          <w:szCs w:val="20"/>
        </w:rPr>
        <w:t xml:space="preserve">en </w:t>
      </w:r>
      <w:r w:rsidR="00347C86" w:rsidRPr="00592D81">
        <w:rPr>
          <w:rFonts w:ascii="Arial" w:hAnsi="Arial" w:cs="Arial"/>
          <w:b/>
          <w:bCs/>
          <w:sz w:val="20"/>
          <w:szCs w:val="20"/>
        </w:rPr>
        <w:t>moneda extranjera</w:t>
      </w:r>
      <w:r w:rsidR="00347C86" w:rsidRPr="00592D81">
        <w:rPr>
          <w:rFonts w:ascii="Arial" w:hAnsi="Arial" w:cs="Arial"/>
          <w:sz w:val="20"/>
          <w:szCs w:val="20"/>
        </w:rPr>
        <w:t xml:space="preserve"> </w:t>
      </w:r>
      <w:r w:rsidR="009668F2" w:rsidRPr="00592D81">
        <w:rPr>
          <w:rFonts w:ascii="Arial" w:hAnsi="Arial" w:cs="Arial"/>
          <w:sz w:val="20"/>
          <w:szCs w:val="20"/>
        </w:rPr>
        <w:t>a una</w:t>
      </w:r>
      <w:r w:rsidRPr="00592D81">
        <w:rPr>
          <w:rFonts w:ascii="Arial" w:hAnsi="Arial" w:cs="Arial"/>
          <w:sz w:val="20"/>
          <w:szCs w:val="20"/>
        </w:rPr>
        <w:t xml:space="preserve"> </w:t>
      </w:r>
      <w:r w:rsidRPr="00592D81">
        <w:rPr>
          <w:rFonts w:ascii="Arial" w:hAnsi="Arial" w:cs="Arial"/>
          <w:b/>
          <w:bCs/>
          <w:sz w:val="20"/>
          <w:szCs w:val="20"/>
        </w:rPr>
        <w:t>entidad del exterior</w:t>
      </w:r>
      <w:r w:rsidRPr="00592D81">
        <w:rPr>
          <w:rFonts w:ascii="Arial" w:hAnsi="Arial" w:cs="Arial"/>
          <w:sz w:val="20"/>
          <w:szCs w:val="20"/>
        </w:rPr>
        <w:t xml:space="preserve">. </w:t>
      </w:r>
      <w:r w:rsidR="00347C86" w:rsidRPr="00592D81">
        <w:rPr>
          <w:rFonts w:ascii="Arial" w:hAnsi="Arial" w:cs="Arial"/>
          <w:sz w:val="20"/>
          <w:szCs w:val="20"/>
        </w:rPr>
        <w:t>Cuando la</w:t>
      </w:r>
      <w:r w:rsidRPr="00592D81">
        <w:rPr>
          <w:rFonts w:ascii="Arial" w:hAnsi="Arial" w:cs="Arial"/>
          <w:sz w:val="20"/>
          <w:szCs w:val="20"/>
        </w:rPr>
        <w:t xml:space="preserve"> liquidación </w:t>
      </w:r>
      <w:r w:rsidR="00347C86" w:rsidRPr="00592D81">
        <w:rPr>
          <w:rFonts w:ascii="Arial" w:hAnsi="Arial" w:cs="Arial"/>
          <w:sz w:val="20"/>
          <w:szCs w:val="20"/>
        </w:rPr>
        <w:t xml:space="preserve">de </w:t>
      </w:r>
      <w:r w:rsidR="00C46C4A" w:rsidRPr="00592D81">
        <w:rPr>
          <w:rFonts w:ascii="Arial" w:hAnsi="Arial" w:cs="Arial"/>
          <w:sz w:val="20"/>
          <w:szCs w:val="20"/>
        </w:rPr>
        <w:t>tales</w:t>
      </w:r>
      <w:r w:rsidR="00347C86" w:rsidRPr="00592D81">
        <w:rPr>
          <w:rFonts w:ascii="Arial" w:hAnsi="Arial" w:cs="Arial"/>
          <w:sz w:val="20"/>
          <w:szCs w:val="20"/>
        </w:rPr>
        <w:t xml:space="preserve"> saldos </w:t>
      </w:r>
      <w:r w:rsidRPr="00592D81">
        <w:rPr>
          <w:rFonts w:ascii="Arial" w:hAnsi="Arial" w:cs="Arial"/>
          <w:sz w:val="20"/>
          <w:szCs w:val="20"/>
        </w:rPr>
        <w:t>no est</w:t>
      </w:r>
      <w:r w:rsidR="009668F2" w:rsidRPr="00592D81">
        <w:rPr>
          <w:rFonts w:ascii="Arial" w:hAnsi="Arial" w:cs="Arial"/>
          <w:sz w:val="20"/>
          <w:szCs w:val="20"/>
        </w:rPr>
        <w:t>é</w:t>
      </w:r>
      <w:r w:rsidRPr="00592D81">
        <w:rPr>
          <w:rFonts w:ascii="Arial" w:hAnsi="Arial" w:cs="Arial"/>
          <w:sz w:val="20"/>
          <w:szCs w:val="20"/>
        </w:rPr>
        <w:t xml:space="preserve"> </w:t>
      </w:r>
      <w:r w:rsidR="00347C86" w:rsidRPr="00592D81">
        <w:rPr>
          <w:rFonts w:ascii="Arial" w:hAnsi="Arial" w:cs="Arial"/>
          <w:sz w:val="20"/>
          <w:szCs w:val="20"/>
        </w:rPr>
        <w:t>prevista</w:t>
      </w:r>
      <w:r w:rsidRPr="00592D81">
        <w:rPr>
          <w:rFonts w:ascii="Arial" w:hAnsi="Arial" w:cs="Arial"/>
          <w:sz w:val="20"/>
          <w:szCs w:val="20"/>
        </w:rPr>
        <w:t xml:space="preserve"> ni </w:t>
      </w:r>
      <w:r w:rsidR="00243031" w:rsidRPr="00592D81">
        <w:rPr>
          <w:rFonts w:ascii="Arial" w:hAnsi="Arial" w:cs="Arial"/>
          <w:sz w:val="20"/>
          <w:szCs w:val="20"/>
        </w:rPr>
        <w:t>sea</w:t>
      </w:r>
      <w:r w:rsidRPr="00592D81">
        <w:rPr>
          <w:rFonts w:ascii="Arial" w:hAnsi="Arial" w:cs="Arial"/>
          <w:sz w:val="20"/>
          <w:szCs w:val="20"/>
        </w:rPr>
        <w:t xml:space="preserve"> probable en el futuro previsible</w:t>
      </w:r>
      <w:r w:rsidR="00243031" w:rsidRPr="00592D81">
        <w:rPr>
          <w:rFonts w:ascii="Arial" w:hAnsi="Arial" w:cs="Arial"/>
          <w:sz w:val="20"/>
          <w:szCs w:val="20"/>
        </w:rPr>
        <w:t xml:space="preserve">, </w:t>
      </w:r>
      <w:r w:rsidR="009668F2" w:rsidRPr="00592D81">
        <w:rPr>
          <w:rFonts w:ascii="Arial" w:hAnsi="Arial" w:cs="Arial"/>
          <w:sz w:val="20"/>
          <w:szCs w:val="20"/>
        </w:rPr>
        <w:t>representan</w:t>
      </w:r>
      <w:r w:rsidRPr="00592D81">
        <w:rPr>
          <w:rFonts w:ascii="Arial" w:hAnsi="Arial" w:cs="Arial"/>
          <w:sz w:val="20"/>
          <w:szCs w:val="20"/>
        </w:rPr>
        <w:t xml:space="preserve">, en esencia, una parte de la </w:t>
      </w:r>
      <w:r w:rsidR="00347C86" w:rsidRPr="00592D81">
        <w:rPr>
          <w:rFonts w:ascii="Arial" w:hAnsi="Arial" w:cs="Arial"/>
          <w:sz w:val="20"/>
          <w:szCs w:val="20"/>
        </w:rPr>
        <w:t>inversión</w:t>
      </w:r>
      <w:r w:rsidRPr="00592D81">
        <w:rPr>
          <w:rFonts w:ascii="Arial" w:hAnsi="Arial" w:cs="Arial"/>
          <w:sz w:val="20"/>
          <w:szCs w:val="20"/>
        </w:rPr>
        <w:t xml:space="preserve"> mantenida en la </w:t>
      </w:r>
      <w:r w:rsidRPr="00592D81">
        <w:rPr>
          <w:rFonts w:ascii="Arial" w:hAnsi="Arial" w:cs="Arial"/>
          <w:b/>
          <w:bCs/>
          <w:sz w:val="20"/>
          <w:szCs w:val="20"/>
        </w:rPr>
        <w:t>entidad del exterior</w:t>
      </w:r>
      <w:r w:rsidRPr="00592D81">
        <w:rPr>
          <w:rFonts w:ascii="Arial" w:hAnsi="Arial" w:cs="Arial"/>
          <w:sz w:val="20"/>
          <w:szCs w:val="20"/>
        </w:rPr>
        <w:t xml:space="preserve">. Por lo tanto, una entidad </w:t>
      </w:r>
      <w:r w:rsidR="00416B3C" w:rsidRPr="00592D81">
        <w:rPr>
          <w:rFonts w:ascii="Arial" w:hAnsi="Arial" w:cs="Arial"/>
          <w:sz w:val="20"/>
          <w:szCs w:val="20"/>
        </w:rPr>
        <w:t>tratará a</w:t>
      </w:r>
      <w:r w:rsidRPr="00592D81">
        <w:rPr>
          <w:rFonts w:ascii="Arial" w:hAnsi="Arial" w:cs="Arial"/>
          <w:sz w:val="20"/>
          <w:szCs w:val="20"/>
        </w:rPr>
        <w:t xml:space="preserve"> las diferencias de cambio puestas en evidencia por la conversión de tales </w:t>
      </w:r>
      <w:r w:rsidR="00347C86" w:rsidRPr="00592D81">
        <w:rPr>
          <w:rFonts w:ascii="Arial" w:hAnsi="Arial" w:cs="Arial"/>
          <w:sz w:val="20"/>
          <w:szCs w:val="20"/>
        </w:rPr>
        <w:t>saldos</w:t>
      </w:r>
      <w:r w:rsidRPr="00592D81">
        <w:rPr>
          <w:rFonts w:ascii="Arial" w:hAnsi="Arial" w:cs="Arial"/>
          <w:sz w:val="20"/>
          <w:szCs w:val="20"/>
        </w:rPr>
        <w:t xml:space="preserve"> de acuerdo con lo dispuesto en el inciso c) del párrafo </w:t>
      </w:r>
      <w:fldSimple w:instr=" REF _Ref132041628 \r \h  \* MERGEFORMAT ">
        <w:r w:rsidR="00D33A5D" w:rsidRPr="00D33A5D">
          <w:rPr>
            <w:rFonts w:ascii="Arial" w:hAnsi="Arial" w:cs="Arial"/>
            <w:sz w:val="20"/>
            <w:szCs w:val="20"/>
          </w:rPr>
          <w:t>754</w:t>
        </w:r>
      </w:fldSimple>
      <w:r w:rsidRPr="00592D81">
        <w:rPr>
          <w:rFonts w:ascii="Arial" w:hAnsi="Arial" w:cs="Arial"/>
          <w:sz w:val="20"/>
          <w:szCs w:val="20"/>
        </w:rPr>
        <w:t xml:space="preserve"> y en el párrafo </w:t>
      </w:r>
      <w:fldSimple w:instr=" REF _Ref132041639 \r \h  \* MERGEFORMAT ">
        <w:r w:rsidR="00D33A5D" w:rsidRPr="00D33A5D">
          <w:rPr>
            <w:rFonts w:ascii="Arial" w:hAnsi="Arial" w:cs="Arial"/>
            <w:sz w:val="20"/>
            <w:szCs w:val="20"/>
          </w:rPr>
          <w:t>758</w:t>
        </w:r>
      </w:fldSimple>
      <w:r w:rsidRPr="00592D81">
        <w:rPr>
          <w:rFonts w:ascii="Arial" w:hAnsi="Arial" w:cs="Arial"/>
          <w:sz w:val="20"/>
          <w:szCs w:val="20"/>
        </w:rPr>
        <w:t>.</w:t>
      </w:r>
      <w:r w:rsidR="006F2C57">
        <w:rPr>
          <w:rFonts w:ascii="Arial" w:hAnsi="Arial" w:cs="Arial"/>
          <w:sz w:val="20"/>
          <w:szCs w:val="20"/>
        </w:rPr>
        <w:t xml:space="preserve"> </w:t>
      </w:r>
    </w:p>
    <w:p w:rsidR="00421257" w:rsidRPr="00592D81" w:rsidRDefault="00421257" w:rsidP="00B64FD2">
      <w:pPr>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Una entidad tratará la llave de negocio y los ajustes </w:t>
      </w:r>
      <w:r w:rsidR="00347C86" w:rsidRPr="00592D81">
        <w:rPr>
          <w:rFonts w:ascii="Arial" w:hAnsi="Arial" w:cs="Arial"/>
          <w:sz w:val="20"/>
          <w:szCs w:val="20"/>
        </w:rPr>
        <w:t>del</w:t>
      </w:r>
      <w:r w:rsidRPr="00592D81">
        <w:rPr>
          <w:rFonts w:ascii="Arial" w:hAnsi="Arial" w:cs="Arial"/>
          <w:sz w:val="20"/>
          <w:szCs w:val="20"/>
        </w:rPr>
        <w:t xml:space="preserve"> </w:t>
      </w:r>
      <w:r w:rsidRPr="00592D81">
        <w:rPr>
          <w:rFonts w:ascii="Arial" w:hAnsi="Arial" w:cs="Arial"/>
          <w:b/>
          <w:bCs/>
          <w:sz w:val="20"/>
          <w:szCs w:val="20"/>
        </w:rPr>
        <w:t>valor razonable</w:t>
      </w:r>
      <w:r w:rsidR="00347C86" w:rsidRPr="00592D81">
        <w:rPr>
          <w:rFonts w:ascii="Arial" w:hAnsi="Arial" w:cs="Arial"/>
          <w:b/>
          <w:bCs/>
          <w:sz w:val="20"/>
          <w:szCs w:val="20"/>
        </w:rPr>
        <w:t xml:space="preserve"> </w:t>
      </w:r>
      <w:r w:rsidR="00347C86" w:rsidRPr="00592D81">
        <w:rPr>
          <w:rFonts w:ascii="Arial" w:hAnsi="Arial" w:cs="Arial"/>
          <w:sz w:val="20"/>
          <w:szCs w:val="20"/>
        </w:rPr>
        <w:t xml:space="preserve">que recaen sobre la medición contable de </w:t>
      </w:r>
      <w:r w:rsidR="00CE13D7" w:rsidRPr="00592D81">
        <w:rPr>
          <w:rFonts w:ascii="Arial" w:hAnsi="Arial" w:cs="Arial"/>
          <w:bCs/>
          <w:sz w:val="20"/>
          <w:szCs w:val="20"/>
        </w:rPr>
        <w:t>activos</w:t>
      </w:r>
      <w:r w:rsidR="00347C86" w:rsidRPr="00592D81">
        <w:rPr>
          <w:rFonts w:ascii="Arial" w:hAnsi="Arial" w:cs="Arial"/>
          <w:sz w:val="20"/>
          <w:szCs w:val="20"/>
        </w:rPr>
        <w:t xml:space="preserve"> y </w:t>
      </w:r>
      <w:r w:rsidR="00CE13D7" w:rsidRPr="00592D81">
        <w:rPr>
          <w:rFonts w:ascii="Arial" w:hAnsi="Arial" w:cs="Arial"/>
          <w:bCs/>
          <w:sz w:val="20"/>
          <w:szCs w:val="20"/>
        </w:rPr>
        <w:t>pasivos</w:t>
      </w:r>
      <w:r w:rsidR="00347C86" w:rsidRPr="00592D81">
        <w:rPr>
          <w:rFonts w:ascii="Arial" w:hAnsi="Arial" w:cs="Arial"/>
          <w:sz w:val="20"/>
          <w:szCs w:val="20"/>
        </w:rPr>
        <w:t>,</w:t>
      </w:r>
      <w:r w:rsidRPr="00592D81">
        <w:rPr>
          <w:rFonts w:ascii="Arial" w:hAnsi="Arial" w:cs="Arial"/>
          <w:sz w:val="20"/>
          <w:szCs w:val="20"/>
        </w:rPr>
        <w:t xml:space="preserve"> surgidos de aplicar las disposiciones de la sección “</w:t>
      </w:r>
      <w:r w:rsidRPr="00592D81">
        <w:rPr>
          <w:rFonts w:ascii="Arial" w:hAnsi="Arial" w:cs="Arial"/>
          <w:sz w:val="20"/>
          <w:szCs w:val="20"/>
          <w:u w:val="single"/>
        </w:rPr>
        <w:t>Combinación de negocios</w:t>
      </w:r>
      <w:r w:rsidRPr="00592D81">
        <w:rPr>
          <w:rFonts w:ascii="Arial" w:hAnsi="Arial" w:cs="Arial"/>
          <w:sz w:val="20"/>
          <w:szCs w:val="20"/>
        </w:rPr>
        <w:t xml:space="preserve">” [ver los párrafos </w:t>
      </w:r>
      <w:fldSimple w:instr=" REF _Ref132041816 \r \h  \* MERGEFORMAT ">
        <w:r w:rsidR="00D33A5D" w:rsidRPr="00D33A5D">
          <w:rPr>
            <w:rFonts w:ascii="Arial" w:hAnsi="Arial" w:cs="Arial"/>
            <w:sz w:val="20"/>
            <w:szCs w:val="20"/>
          </w:rPr>
          <w:t>958</w:t>
        </w:r>
      </w:fldSimple>
      <w:r w:rsidR="0042788C" w:rsidRPr="00592D81">
        <w:rPr>
          <w:rFonts w:ascii="Arial" w:hAnsi="Arial" w:cs="Arial"/>
          <w:sz w:val="20"/>
          <w:szCs w:val="20"/>
        </w:rPr>
        <w:t xml:space="preserve"> a </w:t>
      </w:r>
      <w:fldSimple w:instr=" REF _Ref135068151 \r \h  \* MERGEFORMAT ">
        <w:r w:rsidR="00D33A5D" w:rsidRPr="00D33A5D">
          <w:rPr>
            <w:rFonts w:ascii="Arial" w:hAnsi="Arial" w:cs="Arial"/>
            <w:sz w:val="20"/>
            <w:szCs w:val="20"/>
          </w:rPr>
          <w:t>989</w:t>
        </w:r>
      </w:fldSimple>
      <w:r w:rsidRPr="00592D81">
        <w:rPr>
          <w:rFonts w:ascii="Arial" w:hAnsi="Arial" w:cs="Arial"/>
          <w:sz w:val="20"/>
          <w:szCs w:val="20"/>
        </w:rPr>
        <w:t xml:space="preserve">], como parte integrante de los activos y pasivos de la </w:t>
      </w:r>
      <w:r w:rsidRPr="00592D81">
        <w:rPr>
          <w:rFonts w:ascii="Arial" w:hAnsi="Arial" w:cs="Arial"/>
          <w:b/>
          <w:bCs/>
          <w:sz w:val="20"/>
          <w:szCs w:val="20"/>
        </w:rPr>
        <w:t>entidad del exterior</w:t>
      </w:r>
      <w:r w:rsidRPr="00592D81">
        <w:rPr>
          <w:rFonts w:ascii="Arial" w:hAnsi="Arial" w:cs="Arial"/>
          <w:sz w:val="20"/>
          <w:szCs w:val="20"/>
        </w:rPr>
        <w:t xml:space="preserve">. Por lo tanto: </w:t>
      </w:r>
    </w:p>
    <w:p w:rsidR="00421257" w:rsidRPr="00592D81" w:rsidRDefault="00421257" w:rsidP="00C01B25">
      <w:pPr>
        <w:pStyle w:val="NUA-Nivel1"/>
        <w:numPr>
          <w:ilvl w:val="0"/>
          <w:numId w:val="555"/>
        </w:numPr>
        <w:ind w:left="1560" w:hanging="567"/>
      </w:pPr>
      <w:r w:rsidRPr="00592D81">
        <w:lastRenderedPageBreak/>
        <w:t xml:space="preserve">los expresará en la moneda utilizada por la </w:t>
      </w:r>
      <w:r w:rsidRPr="00592D81">
        <w:rPr>
          <w:b/>
          <w:bCs/>
        </w:rPr>
        <w:t>entidad del exterior</w:t>
      </w:r>
      <w:r w:rsidRPr="00592D81">
        <w:t>; y</w:t>
      </w:r>
      <w:r w:rsidR="006F2C57">
        <w:t xml:space="preserve"> </w:t>
      </w:r>
    </w:p>
    <w:p w:rsidR="00421257" w:rsidRPr="00592D81" w:rsidRDefault="00421257" w:rsidP="00C01B25">
      <w:pPr>
        <w:pStyle w:val="NUA-Nivel1"/>
        <w:numPr>
          <w:ilvl w:val="0"/>
          <w:numId w:val="555"/>
        </w:numPr>
        <w:ind w:left="1560" w:hanging="567"/>
      </w:pPr>
      <w:r w:rsidRPr="00592D81">
        <w:t xml:space="preserve">los convertirá al tipo de cambio de cierre, de acuerdo con los párrafos </w:t>
      </w:r>
      <w:fldSimple w:instr=" REF _Ref132041628 \r \h  \* MERGEFORMAT ">
        <w:r w:rsidR="00D33A5D">
          <w:t>754</w:t>
        </w:r>
      </w:fldSimple>
      <w:r w:rsidR="00CF51C2">
        <w:t xml:space="preserve"> y </w:t>
      </w:r>
      <w:r w:rsidR="001C4138">
        <w:fldChar w:fldCharType="begin"/>
      </w:r>
      <w:r w:rsidR="00CF51C2">
        <w:instrText xml:space="preserve"> REF _Ref135129392 \r \h </w:instrText>
      </w:r>
      <w:r w:rsidR="001C4138">
        <w:fldChar w:fldCharType="separate"/>
      </w:r>
      <w:r w:rsidR="00D33A5D">
        <w:t>761</w:t>
      </w:r>
      <w:r w:rsidR="001C4138">
        <w:fldChar w:fldCharType="end"/>
      </w:r>
      <w:r w:rsidR="00CF51C2">
        <w:t>.</w:t>
      </w:r>
    </w:p>
    <w:p w:rsidR="00347C86" w:rsidRPr="00592D81" w:rsidRDefault="00347C86" w:rsidP="00A318EA">
      <w:pPr>
        <w:spacing w:after="149"/>
        <w:ind w:left="993"/>
        <w:jc w:val="both"/>
        <w:rPr>
          <w:rFonts w:ascii="Arial" w:hAnsi="Arial" w:cs="Arial"/>
          <w:sz w:val="20"/>
          <w:szCs w:val="20"/>
        </w:rPr>
      </w:pPr>
    </w:p>
    <w:p w:rsidR="00347C86" w:rsidRPr="00592D81" w:rsidRDefault="00347C86" w:rsidP="00A318EA">
      <w:pPr>
        <w:pStyle w:val="Ttulo2"/>
        <w:rPr>
          <w:rFonts w:cs="Arial"/>
        </w:rPr>
      </w:pPr>
      <w:bookmarkStart w:id="1057" w:name="_Toc139356964"/>
      <w:r w:rsidRPr="00592D81">
        <w:rPr>
          <w:rFonts w:cs="Arial"/>
        </w:rPr>
        <w:t>Tratamiento de la diferencia de conversión</w:t>
      </w:r>
      <w:bookmarkEnd w:id="1057"/>
      <w:r w:rsidRPr="00592D81">
        <w:rPr>
          <w:rFonts w:cs="Arial"/>
        </w:rPr>
        <w:t xml:space="preserve"> </w:t>
      </w:r>
    </w:p>
    <w:p w:rsidR="00421257" w:rsidRPr="00592D81" w:rsidRDefault="00421257" w:rsidP="00A318EA">
      <w:pPr>
        <w:numPr>
          <w:ilvl w:val="0"/>
          <w:numId w:val="29"/>
        </w:numPr>
        <w:spacing w:after="149"/>
        <w:jc w:val="both"/>
        <w:rPr>
          <w:rFonts w:ascii="Arial" w:hAnsi="Arial" w:cs="Arial"/>
          <w:sz w:val="20"/>
          <w:szCs w:val="20"/>
        </w:rPr>
      </w:pPr>
      <w:bookmarkStart w:id="1058" w:name="_Ref132041639"/>
      <w:r w:rsidRPr="00592D81">
        <w:rPr>
          <w:rFonts w:ascii="Arial" w:hAnsi="Arial" w:cs="Arial"/>
          <w:sz w:val="20"/>
          <w:szCs w:val="20"/>
        </w:rPr>
        <w:t>Una entidad:</w:t>
      </w:r>
      <w:bookmarkEnd w:id="1058"/>
      <w:r w:rsidRPr="00592D81">
        <w:rPr>
          <w:rFonts w:ascii="Arial" w:hAnsi="Arial" w:cs="Arial"/>
          <w:sz w:val="20"/>
          <w:szCs w:val="20"/>
        </w:rPr>
        <w:t xml:space="preserve"> </w:t>
      </w:r>
    </w:p>
    <w:p w:rsidR="00421257" w:rsidRPr="00592D81" w:rsidRDefault="00421257" w:rsidP="00C01B25">
      <w:pPr>
        <w:pStyle w:val="NUA-Nivel1"/>
        <w:numPr>
          <w:ilvl w:val="0"/>
          <w:numId w:val="556"/>
        </w:numPr>
        <w:ind w:left="1560" w:hanging="567"/>
      </w:pPr>
      <w:r w:rsidRPr="00592D81">
        <w:t xml:space="preserve">acumulará </w:t>
      </w:r>
      <w:r w:rsidR="00B64FD2" w:rsidRPr="00592D81">
        <w:t>en</w:t>
      </w:r>
      <w:r w:rsidRPr="00592D81">
        <w:t xml:space="preserve"> un componente independiente de los </w:t>
      </w:r>
      <w:r w:rsidRPr="00592D81">
        <w:rPr>
          <w:b/>
          <w:bCs/>
        </w:rPr>
        <w:t>resultados diferidos</w:t>
      </w:r>
      <w:r w:rsidRPr="00592D81">
        <w:t xml:space="preserve"> las diferencias de conversión </w:t>
      </w:r>
      <w:r w:rsidR="00243031" w:rsidRPr="00592D81">
        <w:t>resultantes de</w:t>
      </w:r>
      <w:r w:rsidRPr="00592D81">
        <w:t xml:space="preserve"> aplicar la presente sección; </w:t>
      </w:r>
    </w:p>
    <w:p w:rsidR="00421257" w:rsidRPr="00592D81" w:rsidRDefault="00421257" w:rsidP="00C01B25">
      <w:pPr>
        <w:pStyle w:val="NUA-Nivel1"/>
        <w:numPr>
          <w:ilvl w:val="0"/>
          <w:numId w:val="556"/>
        </w:numPr>
        <w:ind w:left="1560" w:hanging="567"/>
      </w:pPr>
      <w:r w:rsidRPr="00592D81">
        <w:t xml:space="preserve">mantendrá las diferencias de conversión identificadas en el inciso inmediato anterior en los </w:t>
      </w:r>
      <w:r w:rsidRPr="00592D81">
        <w:rPr>
          <w:b/>
          <w:bCs/>
        </w:rPr>
        <w:t>resultados diferidos</w:t>
      </w:r>
      <w:r w:rsidRPr="00592D81">
        <w:t xml:space="preserve"> acumulados hasta que se produzca su venta o el reembolso total o parcial del capital; y</w:t>
      </w:r>
      <w:r w:rsidR="006F2C57">
        <w:t xml:space="preserve"> </w:t>
      </w:r>
    </w:p>
    <w:p w:rsidR="00421257" w:rsidRPr="00592D81" w:rsidRDefault="00421257" w:rsidP="00C01B25">
      <w:pPr>
        <w:pStyle w:val="NUA-Nivel1"/>
        <w:numPr>
          <w:ilvl w:val="0"/>
          <w:numId w:val="556"/>
        </w:numPr>
        <w:ind w:left="1560" w:hanging="567"/>
      </w:pPr>
      <w:r w:rsidRPr="00592D81">
        <w:t>transferirá tales diferencias al resultado del ejercicio cuando tengan lugar los hechos referidos en el inciso anterior.</w:t>
      </w:r>
      <w:r w:rsidR="006F2C57">
        <w:t xml:space="preserve"> </w:t>
      </w:r>
    </w:p>
    <w:p w:rsidR="00347C86" w:rsidRPr="00592D81" w:rsidRDefault="00347C86" w:rsidP="001C7526">
      <w:pPr>
        <w:pStyle w:val="Prrafodelista"/>
        <w:numPr>
          <w:ilvl w:val="0"/>
          <w:numId w:val="29"/>
        </w:numPr>
        <w:spacing w:after="150" w:line="256" w:lineRule="auto"/>
        <w:contextualSpacing w:val="0"/>
        <w:jc w:val="both"/>
        <w:rPr>
          <w:rFonts w:ascii="Arial" w:hAnsi="Arial" w:cs="Arial"/>
          <w:sz w:val="20"/>
          <w:szCs w:val="20"/>
        </w:rPr>
      </w:pPr>
      <w:bookmarkStart w:id="1059" w:name="_Ref132041647"/>
      <w:r w:rsidRPr="00592D81">
        <w:rPr>
          <w:rFonts w:ascii="Arial" w:hAnsi="Arial" w:cs="Arial"/>
          <w:sz w:val="20"/>
          <w:szCs w:val="20"/>
        </w:rPr>
        <w:t xml:space="preserve">Las diferencias de conversión </w:t>
      </w:r>
      <w:r w:rsidR="009668F2" w:rsidRPr="00592D81">
        <w:rPr>
          <w:rFonts w:ascii="Arial" w:hAnsi="Arial" w:cs="Arial"/>
          <w:sz w:val="20"/>
          <w:szCs w:val="20"/>
        </w:rPr>
        <w:t>referidas en el</w:t>
      </w:r>
      <w:r w:rsidRPr="00592D81">
        <w:rPr>
          <w:rFonts w:ascii="Arial" w:hAnsi="Arial" w:cs="Arial"/>
          <w:sz w:val="20"/>
          <w:szCs w:val="20"/>
        </w:rPr>
        <w:t xml:space="preserve"> párrafo anterior proceden de:</w:t>
      </w:r>
      <w:bookmarkEnd w:id="1059"/>
    </w:p>
    <w:p w:rsidR="00347C86" w:rsidRPr="00592D81" w:rsidRDefault="00347C86" w:rsidP="00C01B25">
      <w:pPr>
        <w:pStyle w:val="NUA-Nivel1"/>
        <w:numPr>
          <w:ilvl w:val="0"/>
          <w:numId w:val="557"/>
        </w:numPr>
        <w:ind w:left="1560" w:hanging="567"/>
      </w:pPr>
      <w:r w:rsidRPr="00592D81">
        <w:t xml:space="preserve">la conversión de los </w:t>
      </w:r>
      <w:r w:rsidR="001F38FE" w:rsidRPr="00592D81">
        <w:t>elementos de la</w:t>
      </w:r>
      <w:r w:rsidRPr="00592D81">
        <w:t xml:space="preserve"> </w:t>
      </w:r>
      <w:r w:rsidR="001F38FE" w:rsidRPr="00592D81">
        <w:rPr>
          <w:b/>
          <w:bCs/>
        </w:rPr>
        <w:t>evolución patrimonial</w:t>
      </w:r>
      <w:r w:rsidRPr="00592D81">
        <w:t xml:space="preserve"> a los tipos de cambio correspondientes a las fechas de las transacciones, o el considerado en el párrafo </w:t>
      </w:r>
      <w:fldSimple w:instr=" REF _Ref131174714 \r \h  \* MERGEFORMAT ">
        <w:r w:rsidR="00D33A5D">
          <w:t>755</w:t>
        </w:r>
      </w:fldSimple>
      <w:r w:rsidRPr="00592D81">
        <w:t xml:space="preserve">, y la de los </w:t>
      </w:r>
      <w:r w:rsidR="00E65022" w:rsidRPr="00592D81">
        <w:t>elementos de l</w:t>
      </w:r>
      <w:r w:rsidR="00BB39C4" w:rsidRPr="00592D81">
        <w:t xml:space="preserve">os activos </w:t>
      </w:r>
      <w:r w:rsidR="00D00587" w:rsidRPr="00592D81">
        <w:t>y</w:t>
      </w:r>
      <w:r w:rsidR="00BB39C4" w:rsidRPr="00592D81">
        <w:t xml:space="preserve"> pasivos</w:t>
      </w:r>
      <w:r w:rsidR="00E65022" w:rsidRPr="00592D81">
        <w:rPr>
          <w:b/>
          <w:bCs/>
        </w:rPr>
        <w:t xml:space="preserve"> </w:t>
      </w:r>
      <w:r w:rsidRPr="00592D81">
        <w:t>al tipo de cambio de cierre; y</w:t>
      </w:r>
    </w:p>
    <w:p w:rsidR="00347C86" w:rsidRPr="00592D81" w:rsidRDefault="00347C86" w:rsidP="00C01B25">
      <w:pPr>
        <w:pStyle w:val="NUA-Nivel1"/>
        <w:numPr>
          <w:ilvl w:val="0"/>
          <w:numId w:val="557"/>
        </w:numPr>
        <w:ind w:left="1560" w:hanging="567"/>
      </w:pPr>
      <w:r w:rsidRPr="00592D81">
        <w:t xml:space="preserve">la conversión de los </w:t>
      </w:r>
      <w:r w:rsidR="00CE13D7" w:rsidRPr="00592D81">
        <w:rPr>
          <w:bCs/>
        </w:rPr>
        <w:t>activos</w:t>
      </w:r>
      <w:r w:rsidRPr="00592D81">
        <w:t xml:space="preserve"> menos los </w:t>
      </w:r>
      <w:r w:rsidR="00CE13D7" w:rsidRPr="00592D81">
        <w:rPr>
          <w:bCs/>
        </w:rPr>
        <w:t>pasivos</w:t>
      </w:r>
      <w:r w:rsidRPr="00592D81">
        <w:t xml:space="preserve"> al inicio a un tipo de cambio de cierre diferente del tipo utilizado en el cierre anterior.</w:t>
      </w:r>
    </w:p>
    <w:p w:rsidR="00347C86" w:rsidRPr="00592D81" w:rsidRDefault="00347C86" w:rsidP="00A318EA">
      <w:pPr>
        <w:spacing w:after="150" w:line="256" w:lineRule="auto"/>
        <w:ind w:left="338"/>
        <w:rPr>
          <w:rFonts w:ascii="Arial" w:hAnsi="Arial" w:cs="Arial"/>
          <w:sz w:val="20"/>
          <w:szCs w:val="20"/>
        </w:rPr>
      </w:pPr>
    </w:p>
    <w:p w:rsidR="00421257" w:rsidRPr="00592D81" w:rsidRDefault="00421257" w:rsidP="00A318EA">
      <w:pPr>
        <w:pStyle w:val="Ttulo2"/>
        <w:rPr>
          <w:rFonts w:cs="Arial"/>
        </w:rPr>
      </w:pPr>
      <w:bookmarkStart w:id="1060" w:name="_Toc139356965"/>
      <w:r w:rsidRPr="00592D81">
        <w:rPr>
          <w:rFonts w:cs="Arial"/>
        </w:rPr>
        <w:t>Existencia de un contexto de inflación en el país de la entidad del exterior</w:t>
      </w:r>
      <w:bookmarkEnd w:id="1060"/>
      <w:r w:rsidR="006F2C57">
        <w:rPr>
          <w:rFonts w:cs="Arial"/>
        </w:rPr>
        <w:t xml:space="preserve"> </w:t>
      </w:r>
    </w:p>
    <w:p w:rsidR="009668F2" w:rsidRPr="00592D81" w:rsidRDefault="00421257" w:rsidP="00A318EA">
      <w:pPr>
        <w:numPr>
          <w:ilvl w:val="0"/>
          <w:numId w:val="29"/>
        </w:numPr>
        <w:spacing w:after="147" w:line="264" w:lineRule="auto"/>
        <w:jc w:val="both"/>
        <w:rPr>
          <w:rFonts w:ascii="Arial" w:eastAsia="Times New Roman" w:hAnsi="Arial" w:cs="Arial"/>
          <w:sz w:val="20"/>
          <w:szCs w:val="20"/>
          <w:lang w:eastAsia="es-AR"/>
        </w:rPr>
      </w:pPr>
      <w:bookmarkStart w:id="1061" w:name="_Ref132041649"/>
      <w:r w:rsidRPr="00592D81">
        <w:rPr>
          <w:rFonts w:ascii="Arial" w:hAnsi="Arial" w:cs="Arial"/>
          <w:sz w:val="20"/>
          <w:szCs w:val="20"/>
        </w:rPr>
        <w:t xml:space="preserve">Cuando la moneda de la </w:t>
      </w:r>
      <w:r w:rsidRPr="00592D81">
        <w:rPr>
          <w:rFonts w:ascii="Arial" w:hAnsi="Arial" w:cs="Arial"/>
          <w:b/>
          <w:bCs/>
          <w:sz w:val="20"/>
          <w:szCs w:val="20"/>
        </w:rPr>
        <w:t>entidad del exterior</w:t>
      </w:r>
      <w:r w:rsidRPr="00592D81">
        <w:rPr>
          <w:rFonts w:ascii="Arial" w:hAnsi="Arial" w:cs="Arial"/>
          <w:sz w:val="20"/>
          <w:szCs w:val="20"/>
        </w:rPr>
        <w:t xml:space="preserve"> se corresponda con la de una economía </w:t>
      </w:r>
      <w:r w:rsidR="009668F2" w:rsidRPr="00592D81">
        <w:rPr>
          <w:rFonts w:ascii="Arial" w:hAnsi="Arial" w:cs="Arial"/>
          <w:sz w:val="20"/>
          <w:szCs w:val="20"/>
        </w:rPr>
        <w:t>en</w:t>
      </w:r>
      <w:r w:rsidRPr="00592D81">
        <w:rPr>
          <w:rFonts w:ascii="Arial" w:hAnsi="Arial" w:cs="Arial"/>
          <w:sz w:val="20"/>
          <w:szCs w:val="20"/>
        </w:rPr>
        <w:t xml:space="preserve"> un contexto de inflación, una entidad</w:t>
      </w:r>
      <w:r w:rsidR="009668F2" w:rsidRPr="00592D81">
        <w:rPr>
          <w:rFonts w:ascii="Arial" w:hAnsi="Arial" w:cs="Arial"/>
          <w:sz w:val="20"/>
          <w:szCs w:val="20"/>
        </w:rPr>
        <w:t>:</w:t>
      </w:r>
    </w:p>
    <w:p w:rsidR="00421257" w:rsidRPr="00592D81" w:rsidRDefault="00421257" w:rsidP="00492773">
      <w:pPr>
        <w:numPr>
          <w:ilvl w:val="1"/>
          <w:numId w:val="29"/>
        </w:numPr>
        <w:spacing w:after="147" w:line="264" w:lineRule="auto"/>
        <w:ind w:left="1560"/>
        <w:jc w:val="both"/>
        <w:rPr>
          <w:rFonts w:ascii="Arial" w:eastAsia="Times New Roman" w:hAnsi="Arial" w:cs="Arial"/>
          <w:sz w:val="20"/>
          <w:szCs w:val="20"/>
          <w:lang w:eastAsia="es-AR"/>
        </w:rPr>
      </w:pPr>
      <w:r w:rsidRPr="00592D81">
        <w:rPr>
          <w:rFonts w:ascii="Arial" w:hAnsi="Arial" w:cs="Arial"/>
          <w:sz w:val="20"/>
          <w:szCs w:val="20"/>
        </w:rPr>
        <w:t xml:space="preserve">ajustará </w:t>
      </w:r>
      <w:r w:rsidR="001947B8" w:rsidRPr="00592D81">
        <w:rPr>
          <w:rFonts w:ascii="Arial" w:hAnsi="Arial" w:cs="Arial"/>
          <w:sz w:val="20"/>
          <w:szCs w:val="20"/>
        </w:rPr>
        <w:t>los</w:t>
      </w:r>
      <w:r w:rsidRPr="00592D81">
        <w:rPr>
          <w:rFonts w:ascii="Arial" w:hAnsi="Arial" w:cs="Arial"/>
          <w:sz w:val="20"/>
          <w:szCs w:val="20"/>
        </w:rPr>
        <w:t xml:space="preserve"> </w:t>
      </w:r>
      <w:r w:rsidRPr="00592D81">
        <w:rPr>
          <w:rFonts w:ascii="Arial" w:hAnsi="Arial" w:cs="Arial"/>
          <w:b/>
          <w:bCs/>
          <w:sz w:val="20"/>
          <w:szCs w:val="20"/>
        </w:rPr>
        <w:t>estados contables</w:t>
      </w:r>
      <w:r w:rsidRPr="00592D81">
        <w:rPr>
          <w:rFonts w:ascii="Arial" w:hAnsi="Arial" w:cs="Arial"/>
          <w:sz w:val="20"/>
          <w:szCs w:val="20"/>
        </w:rPr>
        <w:t xml:space="preserve"> </w:t>
      </w:r>
      <w:r w:rsidR="0021411A" w:rsidRPr="00592D81">
        <w:rPr>
          <w:rFonts w:ascii="Arial" w:hAnsi="Arial" w:cs="Arial"/>
          <w:sz w:val="20"/>
          <w:szCs w:val="20"/>
        </w:rPr>
        <w:t xml:space="preserve">de la </w:t>
      </w:r>
      <w:r w:rsidR="0021411A" w:rsidRPr="00592D81">
        <w:rPr>
          <w:rFonts w:ascii="Arial" w:hAnsi="Arial" w:cs="Arial"/>
          <w:b/>
          <w:bCs/>
          <w:sz w:val="20"/>
          <w:szCs w:val="20"/>
        </w:rPr>
        <w:t>entidad del exterior</w:t>
      </w:r>
      <w:r w:rsidR="009668F2" w:rsidRPr="00592D81">
        <w:rPr>
          <w:rFonts w:ascii="Arial" w:hAnsi="Arial" w:cs="Arial"/>
          <w:sz w:val="20"/>
          <w:szCs w:val="20"/>
        </w:rPr>
        <w:t xml:space="preserve">, </w:t>
      </w:r>
      <w:r w:rsidRPr="00592D81">
        <w:rPr>
          <w:rFonts w:ascii="Arial" w:hAnsi="Arial" w:cs="Arial"/>
          <w:sz w:val="20"/>
          <w:szCs w:val="20"/>
        </w:rPr>
        <w:t>aplicando lo dispuesto en la sección “</w:t>
      </w:r>
      <w:r w:rsidRPr="00592D81">
        <w:rPr>
          <w:rFonts w:ascii="Arial" w:hAnsi="Arial" w:cs="Arial"/>
          <w:sz w:val="20"/>
          <w:szCs w:val="20"/>
          <w:u w:val="single" w:color="000000"/>
        </w:rPr>
        <w:t>Expresión de los estados contables en</w:t>
      </w:r>
      <w:r w:rsidRPr="00592D81">
        <w:rPr>
          <w:rFonts w:ascii="Arial" w:hAnsi="Arial" w:cs="Arial"/>
          <w:sz w:val="20"/>
          <w:szCs w:val="20"/>
        </w:rPr>
        <w:t xml:space="preserve"> </w:t>
      </w:r>
      <w:r w:rsidRPr="00592D81">
        <w:rPr>
          <w:rFonts w:ascii="Arial" w:hAnsi="Arial" w:cs="Arial"/>
          <w:sz w:val="20"/>
          <w:szCs w:val="20"/>
          <w:u w:val="single" w:color="000000"/>
        </w:rPr>
        <w:t xml:space="preserve">moneda </w:t>
      </w:r>
      <w:r w:rsidR="00F0601B">
        <w:rPr>
          <w:rFonts w:ascii="Arial" w:hAnsi="Arial" w:cs="Arial"/>
          <w:sz w:val="20"/>
          <w:szCs w:val="20"/>
          <w:u w:val="single" w:color="000000"/>
        </w:rPr>
        <w:t>de cierre</w:t>
      </w:r>
      <w:r w:rsidRPr="00592D81">
        <w:rPr>
          <w:rFonts w:ascii="Arial" w:hAnsi="Arial" w:cs="Arial"/>
          <w:sz w:val="20"/>
          <w:szCs w:val="20"/>
          <w:u w:val="single" w:color="000000"/>
        </w:rPr>
        <w:t xml:space="preserve"> en un contexto de inflación (ajuste por inflación de los estados</w:t>
      </w:r>
      <w:r w:rsidRPr="00592D81">
        <w:rPr>
          <w:rFonts w:ascii="Arial" w:hAnsi="Arial" w:cs="Arial"/>
          <w:sz w:val="20"/>
          <w:szCs w:val="20"/>
        </w:rPr>
        <w:t xml:space="preserve"> </w:t>
      </w:r>
      <w:r w:rsidRPr="00592D81">
        <w:rPr>
          <w:rFonts w:ascii="Arial" w:hAnsi="Arial" w:cs="Arial"/>
          <w:sz w:val="20"/>
          <w:szCs w:val="20"/>
          <w:u w:val="single" w:color="000000"/>
        </w:rPr>
        <w:t>contables)</w:t>
      </w:r>
      <w:r w:rsidRPr="00592D81">
        <w:rPr>
          <w:rFonts w:ascii="Arial" w:hAnsi="Arial" w:cs="Arial"/>
          <w:sz w:val="20"/>
          <w:szCs w:val="20"/>
        </w:rPr>
        <w:t xml:space="preserve">” [ver </w:t>
      </w:r>
      <w:r w:rsidR="00D922C4">
        <w:rPr>
          <w:rFonts w:ascii="Arial" w:hAnsi="Arial" w:cs="Arial"/>
          <w:sz w:val="20"/>
          <w:szCs w:val="20"/>
        </w:rPr>
        <w:t xml:space="preserve">los </w:t>
      </w:r>
      <w:r w:rsidRPr="00592D81">
        <w:rPr>
          <w:rFonts w:ascii="Arial" w:hAnsi="Arial" w:cs="Arial"/>
          <w:sz w:val="20"/>
          <w:szCs w:val="20"/>
        </w:rPr>
        <w:t xml:space="preserve">párrafos </w:t>
      </w:r>
      <w:fldSimple w:instr=" REF _Ref99459117 \r \h  \* MERGEFORMAT ">
        <w:r w:rsidR="00D33A5D" w:rsidRPr="00D33A5D">
          <w:rPr>
            <w:rFonts w:ascii="Arial" w:hAnsi="Arial" w:cs="Arial"/>
            <w:sz w:val="20"/>
            <w:szCs w:val="20"/>
          </w:rPr>
          <w:t>176</w:t>
        </w:r>
      </w:fldSimple>
      <w:r w:rsidR="003047CA"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592D81">
        <w:rPr>
          <w:rFonts w:ascii="Arial" w:hAnsi="Arial" w:cs="Arial"/>
          <w:sz w:val="20"/>
          <w:szCs w:val="20"/>
        </w:rPr>
        <w:t>]</w:t>
      </w:r>
      <w:bookmarkEnd w:id="1061"/>
      <w:r w:rsidR="009668F2" w:rsidRPr="00592D81">
        <w:rPr>
          <w:rFonts w:ascii="Arial" w:hAnsi="Arial" w:cs="Arial"/>
          <w:sz w:val="20"/>
          <w:szCs w:val="20"/>
        </w:rPr>
        <w:t>; y</w:t>
      </w:r>
    </w:p>
    <w:p w:rsidR="009668F2" w:rsidRPr="00592D81" w:rsidRDefault="009668F2" w:rsidP="009668F2">
      <w:pPr>
        <w:numPr>
          <w:ilvl w:val="1"/>
          <w:numId w:val="29"/>
        </w:numPr>
        <w:spacing w:after="147" w:line="264" w:lineRule="auto"/>
        <w:ind w:left="1560"/>
        <w:jc w:val="both"/>
        <w:rPr>
          <w:rFonts w:ascii="Arial" w:hAnsi="Arial" w:cs="Arial"/>
          <w:sz w:val="20"/>
          <w:szCs w:val="20"/>
        </w:rPr>
      </w:pPr>
      <w:r w:rsidRPr="00592D81">
        <w:rPr>
          <w:rFonts w:ascii="Arial" w:hAnsi="Arial" w:cs="Arial"/>
          <w:sz w:val="20"/>
          <w:szCs w:val="20"/>
        </w:rPr>
        <w:t xml:space="preserve">convertirá los </w:t>
      </w:r>
      <w:r w:rsidRPr="00592D81">
        <w:rPr>
          <w:rFonts w:ascii="Arial" w:hAnsi="Arial" w:cs="Arial"/>
          <w:b/>
          <w:bCs/>
          <w:sz w:val="20"/>
          <w:szCs w:val="20"/>
        </w:rPr>
        <w:t>estados contables</w:t>
      </w:r>
      <w:r w:rsidRPr="00592D81">
        <w:rPr>
          <w:rFonts w:ascii="Arial" w:hAnsi="Arial" w:cs="Arial"/>
          <w:sz w:val="20"/>
          <w:szCs w:val="20"/>
        </w:rPr>
        <w:t xml:space="preserve"> de la </w:t>
      </w:r>
      <w:r w:rsidRPr="00592D81">
        <w:rPr>
          <w:rFonts w:ascii="Arial" w:hAnsi="Arial" w:cs="Arial"/>
          <w:b/>
          <w:bCs/>
          <w:sz w:val="20"/>
          <w:szCs w:val="20"/>
        </w:rPr>
        <w:t>entidad del exterior</w:t>
      </w:r>
      <w:r w:rsidRPr="00592D81">
        <w:rPr>
          <w:rFonts w:ascii="Arial" w:hAnsi="Arial" w:cs="Arial"/>
          <w:sz w:val="20"/>
          <w:szCs w:val="20"/>
        </w:rPr>
        <w:t xml:space="preserve"> considerando lo descripto en el párrafo </w:t>
      </w:r>
      <w:fldSimple w:instr=" REF _Ref135129392 \r \h  \* MERGEFORMAT ">
        <w:r w:rsidR="00D33A5D" w:rsidRPr="00D33A5D">
          <w:rPr>
            <w:rFonts w:ascii="Arial" w:hAnsi="Arial" w:cs="Arial"/>
            <w:sz w:val="20"/>
            <w:szCs w:val="20"/>
          </w:rPr>
          <w:t>761</w:t>
        </w:r>
      </w:fldSimple>
      <w:r w:rsidRPr="00592D81">
        <w:rPr>
          <w:rFonts w:ascii="Arial" w:hAnsi="Arial" w:cs="Arial"/>
          <w:sz w:val="20"/>
          <w:szCs w:val="20"/>
        </w:rPr>
        <w:t>.</w:t>
      </w:r>
    </w:p>
    <w:p w:rsidR="00421257" w:rsidRPr="00592D81" w:rsidRDefault="00421257" w:rsidP="00A318EA">
      <w:pPr>
        <w:numPr>
          <w:ilvl w:val="0"/>
          <w:numId w:val="29"/>
        </w:numPr>
        <w:spacing w:after="147" w:line="264" w:lineRule="auto"/>
        <w:jc w:val="both"/>
        <w:rPr>
          <w:rFonts w:ascii="Arial" w:hAnsi="Arial" w:cs="Arial"/>
          <w:sz w:val="20"/>
          <w:szCs w:val="20"/>
        </w:rPr>
      </w:pPr>
      <w:bookmarkStart w:id="1062" w:name="_Ref135129392"/>
      <w:r w:rsidRPr="00592D81">
        <w:rPr>
          <w:rFonts w:ascii="Arial" w:hAnsi="Arial" w:cs="Arial"/>
          <w:sz w:val="20"/>
          <w:szCs w:val="20"/>
        </w:rPr>
        <w:t xml:space="preserve">Cuando aplique el párrafo anterior, una entidad </w:t>
      </w:r>
      <w:r w:rsidR="00E14677" w:rsidRPr="00592D81">
        <w:rPr>
          <w:rFonts w:ascii="Arial" w:hAnsi="Arial" w:cs="Arial"/>
          <w:sz w:val="20"/>
          <w:szCs w:val="20"/>
        </w:rPr>
        <w:t>convertirá:</w:t>
      </w:r>
      <w:bookmarkEnd w:id="1062"/>
    </w:p>
    <w:p w:rsidR="00421257" w:rsidRPr="00592D81" w:rsidRDefault="00E14677" w:rsidP="00C01B25">
      <w:pPr>
        <w:pStyle w:val="NUA-Nivel1"/>
        <w:numPr>
          <w:ilvl w:val="0"/>
          <w:numId w:val="558"/>
        </w:numPr>
        <w:ind w:left="1560" w:hanging="567"/>
      </w:pPr>
      <w:r w:rsidRPr="00592D81">
        <w:t>T</w:t>
      </w:r>
      <w:r w:rsidR="00421257" w:rsidRPr="00592D81">
        <w:t xml:space="preserve">odos los </w:t>
      </w:r>
      <w:r w:rsidR="00885223" w:rsidRPr="00592D81">
        <w:t xml:space="preserve">elementos </w:t>
      </w:r>
      <w:r w:rsidR="008754DC" w:rsidRPr="00592D81">
        <w:t>correspondientes a</w:t>
      </w:r>
      <w:r w:rsidR="00885223" w:rsidRPr="00592D81">
        <w:t xml:space="preserve"> la </w:t>
      </w:r>
      <w:r w:rsidR="00885223" w:rsidRPr="00592D81">
        <w:rPr>
          <w:b/>
          <w:bCs/>
        </w:rPr>
        <w:t>evolución patrimonial</w:t>
      </w:r>
      <w:r w:rsidR="008754DC" w:rsidRPr="00592D81">
        <w:t xml:space="preserve">, los correspondientes a la </w:t>
      </w:r>
      <w:r w:rsidR="008754DC" w:rsidRPr="00592D81">
        <w:rPr>
          <w:b/>
          <w:bCs/>
        </w:rPr>
        <w:t>evolución financiera</w:t>
      </w:r>
      <w:r w:rsidR="008754DC" w:rsidRPr="00592D81">
        <w:t>, y los activos y pasivos</w:t>
      </w:r>
      <w:r w:rsidR="00421257" w:rsidRPr="00592D81">
        <w:t xml:space="preserve"> (es decir, tanto los importes del ejercicio actual como las cifras comparativas) de la </w:t>
      </w:r>
      <w:r w:rsidR="00421257" w:rsidRPr="00592D81">
        <w:rPr>
          <w:b/>
          <w:bCs/>
        </w:rPr>
        <w:t>entidad del exterior</w:t>
      </w:r>
      <w:r w:rsidR="00421257" w:rsidRPr="00592D81">
        <w:t xml:space="preserve"> utilizando el tipo de cambio de cierre del ejercicio actual entre la </w:t>
      </w:r>
      <w:r w:rsidR="00421257" w:rsidRPr="00592D81">
        <w:rPr>
          <w:b/>
          <w:bCs/>
        </w:rPr>
        <w:t>moneda extranjera</w:t>
      </w:r>
      <w:r w:rsidR="00421257" w:rsidRPr="00592D81">
        <w:t xml:space="preserve"> y la </w:t>
      </w:r>
      <w:r w:rsidR="00421257" w:rsidRPr="00592D81">
        <w:rPr>
          <w:b/>
          <w:bCs/>
        </w:rPr>
        <w:t>moneda argentina</w:t>
      </w:r>
      <w:r w:rsidRPr="00592D81">
        <w:t xml:space="preserve">, si la </w:t>
      </w:r>
      <w:r w:rsidRPr="00592D81">
        <w:rPr>
          <w:b/>
          <w:bCs/>
        </w:rPr>
        <w:t>moneda argentina</w:t>
      </w:r>
      <w:r w:rsidRPr="00592D81">
        <w:t xml:space="preserve"> está afectada por un </w:t>
      </w:r>
      <w:r w:rsidRPr="00592D81">
        <w:rPr>
          <w:b/>
          <w:bCs/>
        </w:rPr>
        <w:t>contexto de inflación.</w:t>
      </w:r>
    </w:p>
    <w:p w:rsidR="00421257" w:rsidRPr="00592D81" w:rsidRDefault="00E14677" w:rsidP="00C01B25">
      <w:pPr>
        <w:pStyle w:val="NUA-Nivel1"/>
        <w:numPr>
          <w:ilvl w:val="0"/>
          <w:numId w:val="558"/>
        </w:numPr>
        <w:ind w:left="1560" w:hanging="567"/>
      </w:pPr>
      <w:r w:rsidRPr="00592D81">
        <w:lastRenderedPageBreak/>
        <w:t>L</w:t>
      </w:r>
      <w:r w:rsidR="00421257" w:rsidRPr="00592D81">
        <w:t xml:space="preserve">os resultados, </w:t>
      </w:r>
      <w:r w:rsidR="00421257" w:rsidRPr="00592D81">
        <w:rPr>
          <w:b/>
          <w:bCs/>
        </w:rPr>
        <w:t>resultados diferidos</w:t>
      </w:r>
      <w:r w:rsidR="00421257" w:rsidRPr="00592D81">
        <w:t xml:space="preserve">, otras variaciones del </w:t>
      </w:r>
      <w:r w:rsidR="00421257" w:rsidRPr="00592D81">
        <w:rPr>
          <w:b/>
          <w:bCs/>
        </w:rPr>
        <w:t>patrimonio neto</w:t>
      </w:r>
      <w:r w:rsidR="00421257" w:rsidRPr="00592D81">
        <w:t xml:space="preserve">, flujos de efectivo y elementos de la </w:t>
      </w:r>
      <w:r w:rsidR="00421257" w:rsidRPr="00592D81">
        <w:rPr>
          <w:b/>
          <w:bCs/>
        </w:rPr>
        <w:t xml:space="preserve">situación patrimonial </w:t>
      </w:r>
      <w:r w:rsidR="00421257" w:rsidRPr="00592D81">
        <w:t xml:space="preserve">del ejercicio actual de la </w:t>
      </w:r>
      <w:r w:rsidR="00421257" w:rsidRPr="00592D81">
        <w:rPr>
          <w:b/>
          <w:bCs/>
        </w:rPr>
        <w:t>entidad del exterior</w:t>
      </w:r>
      <w:r w:rsidR="00421257" w:rsidRPr="00592D81">
        <w:t xml:space="preserve"> utilizando el tipo de cambio de cierre del ejercicio actual entre la </w:t>
      </w:r>
      <w:r w:rsidR="00421257" w:rsidRPr="00592D81">
        <w:rPr>
          <w:b/>
          <w:bCs/>
        </w:rPr>
        <w:t>moneda extranjera</w:t>
      </w:r>
      <w:r w:rsidR="00421257" w:rsidRPr="00592D81">
        <w:t xml:space="preserve"> y la </w:t>
      </w:r>
      <w:r w:rsidR="00421257" w:rsidRPr="00592D81">
        <w:rPr>
          <w:b/>
          <w:bCs/>
        </w:rPr>
        <w:t>moneda argentina</w:t>
      </w:r>
      <w:r w:rsidR="00421257" w:rsidRPr="00592D81">
        <w:t xml:space="preserve">, y las cifras comparativas serán las presentadas como importes del año de los </w:t>
      </w:r>
      <w:r w:rsidR="00421257" w:rsidRPr="00592D81">
        <w:rPr>
          <w:b/>
          <w:bCs/>
        </w:rPr>
        <w:t>estados contables</w:t>
      </w:r>
      <w:r w:rsidR="00421257" w:rsidRPr="00592D81">
        <w:t xml:space="preserve"> del periodo precedente</w:t>
      </w:r>
      <w:r w:rsidRPr="00592D81">
        <w:t xml:space="preserve">, si la </w:t>
      </w:r>
      <w:r w:rsidRPr="00592D81">
        <w:rPr>
          <w:b/>
          <w:bCs/>
        </w:rPr>
        <w:t>moneda argentina</w:t>
      </w:r>
      <w:r w:rsidRPr="00592D81">
        <w:t xml:space="preserve"> no está afectada por un </w:t>
      </w:r>
      <w:r w:rsidRPr="00592D81">
        <w:rPr>
          <w:b/>
          <w:bCs/>
        </w:rPr>
        <w:t>contexto de inflación</w:t>
      </w:r>
      <w:r w:rsidRPr="00592D81">
        <w:t>.</w:t>
      </w:r>
    </w:p>
    <w:p w:rsidR="00421257" w:rsidRPr="00592D81" w:rsidRDefault="00421257" w:rsidP="00A318EA">
      <w:pPr>
        <w:spacing w:after="150" w:line="256" w:lineRule="auto"/>
        <w:rPr>
          <w:rFonts w:ascii="Arial" w:hAnsi="Arial" w:cs="Arial"/>
          <w:sz w:val="20"/>
          <w:szCs w:val="20"/>
        </w:rPr>
      </w:pPr>
      <w:r w:rsidRPr="00592D81">
        <w:rPr>
          <w:rFonts w:ascii="Arial" w:hAnsi="Arial" w:cs="Arial"/>
          <w:sz w:val="20"/>
          <w:szCs w:val="20"/>
        </w:rPr>
        <w:t xml:space="preserve"> </w:t>
      </w:r>
    </w:p>
    <w:p w:rsidR="00421257" w:rsidRPr="00592D81" w:rsidRDefault="00421257" w:rsidP="00A318EA">
      <w:pPr>
        <w:pStyle w:val="Ttulo2"/>
        <w:rPr>
          <w:rFonts w:cs="Arial"/>
        </w:rPr>
      </w:pPr>
      <w:bookmarkStart w:id="1063" w:name="_Toc139356966"/>
      <w:r w:rsidRPr="00592D81">
        <w:rPr>
          <w:rFonts w:cs="Arial"/>
        </w:rPr>
        <w:t>Efectos fiscales de la conversión de estados contables de una entidad del exterior</w:t>
      </w:r>
      <w:bookmarkEnd w:id="1063"/>
      <w:r w:rsidR="006F2C57">
        <w:rPr>
          <w:rFonts w:cs="Arial"/>
        </w:rPr>
        <w:t xml:space="preserve"> </w:t>
      </w:r>
    </w:p>
    <w:p w:rsidR="00421257" w:rsidRPr="00592D81" w:rsidRDefault="00421257" w:rsidP="00A318EA">
      <w:pPr>
        <w:numPr>
          <w:ilvl w:val="0"/>
          <w:numId w:val="29"/>
        </w:numPr>
        <w:spacing w:after="147" w:line="264" w:lineRule="auto"/>
        <w:jc w:val="both"/>
        <w:rPr>
          <w:rFonts w:ascii="Arial" w:eastAsia="Times New Roman" w:hAnsi="Arial" w:cs="Arial"/>
          <w:sz w:val="20"/>
          <w:szCs w:val="20"/>
          <w:lang w:eastAsia="es-AR"/>
        </w:rPr>
      </w:pPr>
      <w:r w:rsidRPr="00592D81">
        <w:rPr>
          <w:rFonts w:ascii="Arial" w:hAnsi="Arial" w:cs="Arial"/>
          <w:sz w:val="20"/>
          <w:szCs w:val="20"/>
        </w:rPr>
        <w:t>Una entidad aplicará la sección “</w:t>
      </w:r>
      <w:r w:rsidRPr="00592D81">
        <w:rPr>
          <w:rFonts w:ascii="Arial" w:hAnsi="Arial" w:cs="Arial"/>
          <w:sz w:val="20"/>
          <w:szCs w:val="20"/>
          <w:u w:val="single" w:color="000000"/>
        </w:rPr>
        <w:t>Contabilización del Impuesto a las Ganancias</w:t>
      </w:r>
      <w:r w:rsidRPr="00592D81">
        <w:rPr>
          <w:rFonts w:ascii="Arial" w:hAnsi="Arial" w:cs="Arial"/>
          <w:sz w:val="20"/>
          <w:szCs w:val="20"/>
        </w:rPr>
        <w:t xml:space="preserve">” </w:t>
      </w:r>
      <w:r w:rsidR="001A460A" w:rsidRPr="00355815">
        <w:rPr>
          <w:rFonts w:ascii="Arial" w:hAnsi="Arial" w:cs="Arial"/>
          <w:sz w:val="20"/>
          <w:szCs w:val="20"/>
        </w:rPr>
        <w:t xml:space="preserve">[ver los párrafos </w:t>
      </w:r>
      <w:fldSimple w:instr=" REF _Ref99468407 \r \h  \* MERGEFORMAT ">
        <w:r w:rsidR="00D33A5D" w:rsidRPr="00D33A5D">
          <w:rPr>
            <w:rFonts w:ascii="Arial" w:hAnsi="Arial" w:cs="Arial"/>
            <w:sz w:val="20"/>
            <w:szCs w:val="20"/>
          </w:rPr>
          <w:t>571</w:t>
        </w:r>
      </w:fldSimple>
      <w:r w:rsidR="001A460A" w:rsidRPr="00355815">
        <w:rPr>
          <w:rFonts w:ascii="Arial" w:hAnsi="Arial" w:cs="Arial"/>
          <w:sz w:val="20"/>
          <w:szCs w:val="20"/>
        </w:rPr>
        <w:t xml:space="preserve"> a </w:t>
      </w:r>
      <w:fldSimple w:instr=" REF _Ref135737673 \r \h  \* MERGEFORMAT ">
        <w:r w:rsidR="00D33A5D" w:rsidRPr="00D33A5D">
          <w:rPr>
            <w:rFonts w:ascii="Arial" w:hAnsi="Arial" w:cs="Arial"/>
            <w:sz w:val="20"/>
            <w:szCs w:val="20"/>
          </w:rPr>
          <w:t>600</w:t>
        </w:r>
      </w:fldSimple>
      <w:r w:rsidR="001A460A" w:rsidRPr="00355815">
        <w:rPr>
          <w:rFonts w:ascii="Arial" w:hAnsi="Arial" w:cs="Arial"/>
          <w:sz w:val="20"/>
          <w:szCs w:val="20"/>
        </w:rPr>
        <w:t>]</w:t>
      </w:r>
      <w:r w:rsidRPr="00592D81">
        <w:rPr>
          <w:rFonts w:ascii="Arial" w:hAnsi="Arial" w:cs="Arial"/>
          <w:sz w:val="20"/>
          <w:szCs w:val="20"/>
        </w:rPr>
        <w:t xml:space="preserve">a las diferencias temporarias que surjan por la aplicación de los requerimientos </w:t>
      </w:r>
      <w:r w:rsidR="00243031" w:rsidRPr="00592D81">
        <w:rPr>
          <w:rFonts w:ascii="Arial" w:hAnsi="Arial" w:cs="Arial"/>
          <w:sz w:val="20"/>
          <w:szCs w:val="20"/>
        </w:rPr>
        <w:t>de</w:t>
      </w:r>
      <w:r w:rsidRPr="00592D81">
        <w:rPr>
          <w:rFonts w:ascii="Arial" w:hAnsi="Arial" w:cs="Arial"/>
          <w:sz w:val="20"/>
          <w:szCs w:val="20"/>
        </w:rPr>
        <w:t xml:space="preserve"> la presente sección. </w:t>
      </w:r>
    </w:p>
    <w:p w:rsidR="00421257" w:rsidRPr="00592D81" w:rsidRDefault="00421257" w:rsidP="00A318EA">
      <w:pPr>
        <w:spacing w:after="150" w:line="256" w:lineRule="auto"/>
        <w:rPr>
          <w:rFonts w:ascii="Arial" w:hAnsi="Arial" w:cs="Arial"/>
          <w:sz w:val="20"/>
          <w:szCs w:val="20"/>
        </w:rPr>
      </w:pPr>
      <w:r w:rsidRPr="00592D81">
        <w:rPr>
          <w:rFonts w:ascii="Arial" w:hAnsi="Arial" w:cs="Arial"/>
          <w:sz w:val="20"/>
          <w:szCs w:val="20"/>
        </w:rPr>
        <w:t xml:space="preserve"> </w:t>
      </w:r>
    </w:p>
    <w:p w:rsidR="00421257" w:rsidRPr="00592D81" w:rsidRDefault="00421257" w:rsidP="00A318EA">
      <w:pPr>
        <w:pStyle w:val="Ttulo2"/>
        <w:rPr>
          <w:rFonts w:cs="Arial"/>
        </w:rPr>
      </w:pPr>
      <w:bookmarkStart w:id="1064" w:name="_Toc139356967"/>
      <w:r w:rsidRPr="00592D81">
        <w:rPr>
          <w:rFonts w:cs="Arial"/>
        </w:rPr>
        <w:t>Revelación en notas</w:t>
      </w:r>
      <w:bookmarkEnd w:id="1064"/>
      <w:r w:rsidRPr="00592D81">
        <w:rPr>
          <w:rFonts w:cs="Arial"/>
        </w:rPr>
        <w:t xml:space="preserve"> </w:t>
      </w:r>
    </w:p>
    <w:p w:rsidR="00421257" w:rsidRPr="00592D81" w:rsidRDefault="00421257" w:rsidP="00A318EA">
      <w:pPr>
        <w:numPr>
          <w:ilvl w:val="0"/>
          <w:numId w:val="29"/>
        </w:numPr>
        <w:spacing w:after="149"/>
        <w:jc w:val="both"/>
        <w:rPr>
          <w:rFonts w:ascii="Arial" w:eastAsia="Times New Roman" w:hAnsi="Arial" w:cs="Arial"/>
          <w:sz w:val="20"/>
          <w:szCs w:val="20"/>
          <w:lang w:eastAsia="es-AR"/>
        </w:rPr>
      </w:pPr>
      <w:bookmarkStart w:id="1065" w:name="_Ref136253285"/>
      <w:r w:rsidRPr="00592D81">
        <w:rPr>
          <w:rFonts w:ascii="Arial" w:hAnsi="Arial" w:cs="Arial"/>
          <w:sz w:val="20"/>
          <w:szCs w:val="20"/>
        </w:rPr>
        <w:t>Una entidad revelará en notas:</w:t>
      </w:r>
      <w:bookmarkEnd w:id="1065"/>
      <w:r w:rsidRPr="00592D81">
        <w:rPr>
          <w:rFonts w:ascii="Arial" w:hAnsi="Arial" w:cs="Arial"/>
          <w:sz w:val="20"/>
          <w:szCs w:val="20"/>
        </w:rPr>
        <w:t xml:space="preserve"> </w:t>
      </w:r>
    </w:p>
    <w:p w:rsidR="00347C86" w:rsidRPr="00592D81" w:rsidRDefault="00347C86" w:rsidP="00C01B25">
      <w:pPr>
        <w:pStyle w:val="NUA-Nivel1"/>
        <w:numPr>
          <w:ilvl w:val="0"/>
          <w:numId w:val="559"/>
        </w:numPr>
        <w:ind w:left="1560" w:hanging="567"/>
      </w:pPr>
      <w:r w:rsidRPr="00592D81">
        <w:t xml:space="preserve">La forma mediante la cual identificó </w:t>
      </w:r>
      <w:r w:rsidR="00E14677" w:rsidRPr="00592D81">
        <w:t>la moneda</w:t>
      </w:r>
      <w:r w:rsidRPr="00592D81">
        <w:t xml:space="preserve"> de los </w:t>
      </w:r>
      <w:r w:rsidRPr="00592D81">
        <w:rPr>
          <w:b/>
          <w:bCs/>
        </w:rPr>
        <w:t>estados contables</w:t>
      </w:r>
      <w:r w:rsidRPr="00592D81">
        <w:t xml:space="preserve"> que fueron objeto de conversión.</w:t>
      </w:r>
    </w:p>
    <w:p w:rsidR="00421257" w:rsidRPr="00592D81" w:rsidRDefault="00421257" w:rsidP="00C01B25">
      <w:pPr>
        <w:pStyle w:val="NUA-Nivel1"/>
        <w:numPr>
          <w:ilvl w:val="0"/>
          <w:numId w:val="559"/>
        </w:numPr>
        <w:ind w:left="1560" w:hanging="567"/>
      </w:pPr>
      <w:r w:rsidRPr="00592D81">
        <w:t xml:space="preserve">Los tipos cambio utilizados para la conversión. </w:t>
      </w:r>
    </w:p>
    <w:p w:rsidR="00421257" w:rsidRPr="00592D81" w:rsidRDefault="00421257" w:rsidP="00C01B25">
      <w:pPr>
        <w:pStyle w:val="NUA-Nivel1"/>
        <w:numPr>
          <w:ilvl w:val="0"/>
          <w:numId w:val="559"/>
        </w:numPr>
        <w:ind w:left="1560" w:hanging="567"/>
      </w:pPr>
      <w:r w:rsidRPr="00592D81">
        <w:t xml:space="preserve">Las diferencias de conversión reconocidas como </w:t>
      </w:r>
      <w:r w:rsidRPr="00592D81">
        <w:rPr>
          <w:b/>
          <w:bCs/>
        </w:rPr>
        <w:t>resultados diferidos</w:t>
      </w:r>
      <w:r w:rsidRPr="00592D81">
        <w:t xml:space="preserve"> y presentadas dentro de los </w:t>
      </w:r>
      <w:r w:rsidRPr="00592D81">
        <w:rPr>
          <w:b/>
          <w:bCs/>
        </w:rPr>
        <w:t>resultados diferidos</w:t>
      </w:r>
      <w:r w:rsidRPr="00592D81">
        <w:t xml:space="preserve"> acumulados. </w:t>
      </w:r>
    </w:p>
    <w:p w:rsidR="00421257" w:rsidRPr="00592D81" w:rsidRDefault="00421257" w:rsidP="00C01B25">
      <w:pPr>
        <w:pStyle w:val="NUA-Nivel1"/>
        <w:numPr>
          <w:ilvl w:val="0"/>
          <w:numId w:val="559"/>
        </w:numPr>
        <w:ind w:left="1560" w:hanging="567"/>
      </w:pPr>
      <w:r w:rsidRPr="00592D81">
        <w:t xml:space="preserve">Las diferencias de conversión transferidas desde </w:t>
      </w:r>
      <w:r w:rsidRPr="00592D81">
        <w:rPr>
          <w:b/>
          <w:bCs/>
        </w:rPr>
        <w:t>resultados diferidos</w:t>
      </w:r>
      <w:r w:rsidR="009668F2" w:rsidRPr="00592D81">
        <w:rPr>
          <w:b/>
          <w:bCs/>
        </w:rPr>
        <w:t xml:space="preserve"> </w:t>
      </w:r>
      <w:r w:rsidRPr="00592D81">
        <w:t xml:space="preserve">a resultados del período, como consecuencia de la venta de la </w:t>
      </w:r>
      <w:r w:rsidRPr="00592D81">
        <w:rPr>
          <w:b/>
          <w:bCs/>
        </w:rPr>
        <w:t>entidad del exterior</w:t>
      </w:r>
      <w:r w:rsidRPr="00592D81">
        <w:t xml:space="preserve"> o el reembolso total o parcial del capital</w:t>
      </w:r>
      <w:r w:rsidR="009668F2" w:rsidRPr="00592D81">
        <w:t>.</w:t>
      </w:r>
    </w:p>
    <w:p w:rsidR="009668F2" w:rsidRPr="00592D81" w:rsidRDefault="009668F2" w:rsidP="00C01B25">
      <w:pPr>
        <w:pStyle w:val="NUA-Nivel1"/>
        <w:numPr>
          <w:ilvl w:val="0"/>
          <w:numId w:val="559"/>
        </w:numPr>
        <w:ind w:left="1560" w:hanging="567"/>
      </w:pPr>
      <w:r w:rsidRPr="00592D81">
        <w:t xml:space="preserve">La partida en la cual se presentan las diferencias de conversión transferidas desde </w:t>
      </w:r>
      <w:r w:rsidRPr="00592D81">
        <w:rPr>
          <w:b/>
          <w:bCs/>
        </w:rPr>
        <w:t>resultados diferidos</w:t>
      </w:r>
      <w:r w:rsidRPr="00592D81">
        <w:t>, indicadas en el párrafo anterior.</w:t>
      </w:r>
    </w:p>
    <w:p w:rsidR="00421257" w:rsidRPr="00592D81" w:rsidRDefault="00D8356C" w:rsidP="00C01B25">
      <w:pPr>
        <w:pStyle w:val="NUA-Nivel1"/>
        <w:numPr>
          <w:ilvl w:val="0"/>
          <w:numId w:val="559"/>
        </w:numPr>
        <w:ind w:left="1560" w:hanging="567"/>
      </w:pPr>
      <w:r w:rsidRPr="00592D81">
        <w:t>Cualquier</w:t>
      </w:r>
      <w:r w:rsidR="00421257" w:rsidRPr="00592D81">
        <w:t xml:space="preserve"> </w:t>
      </w:r>
      <w:r w:rsidR="00421257" w:rsidRPr="00592D81">
        <w:rPr>
          <w:b/>
          <w:bCs/>
        </w:rPr>
        <w:t>entidad del exterior</w:t>
      </w:r>
      <w:r w:rsidR="00421257" w:rsidRPr="00592D81">
        <w:t xml:space="preserve"> que emple</w:t>
      </w:r>
      <w:r w:rsidRPr="00592D81">
        <w:t>e</w:t>
      </w:r>
      <w:r w:rsidR="00421257" w:rsidRPr="00592D81">
        <w:t xml:space="preserve"> la moneda de un país en un contexto de inflación. </w:t>
      </w:r>
    </w:p>
    <w:p w:rsidR="00421257" w:rsidRPr="00592D81" w:rsidRDefault="00421257" w:rsidP="00C01B25">
      <w:pPr>
        <w:pStyle w:val="NUA-Nivel1"/>
        <w:numPr>
          <w:ilvl w:val="0"/>
          <w:numId w:val="559"/>
        </w:numPr>
        <w:ind w:left="1560" w:hanging="567"/>
      </w:pPr>
      <w:r w:rsidRPr="00592D81">
        <w:t xml:space="preserve">Si existieran restricciones para el acceso al mercado oficial de cambios, y ciertos activos o pasivos en </w:t>
      </w:r>
      <w:r w:rsidRPr="00592D81">
        <w:rPr>
          <w:b/>
          <w:bCs/>
        </w:rPr>
        <w:t>moneda extranjera</w:t>
      </w:r>
      <w:r w:rsidRPr="00592D81">
        <w:t xml:space="preserve"> tuvieran que liquidarse o cancelarse utilizando mercados alternativos válidos para tal fin, pero a valores sustancialmente distintos a los importes informados en los </w:t>
      </w:r>
      <w:r w:rsidRPr="00592D81">
        <w:rPr>
          <w:b/>
          <w:bCs/>
        </w:rPr>
        <w:t>estados contables</w:t>
      </w:r>
      <w:r w:rsidRPr="00592D81">
        <w:t>, o esto efectivamente haya ocurrido después de</w:t>
      </w:r>
      <w:r w:rsidR="007556AE" w:rsidRPr="00592D81">
        <w:t xml:space="preserve"> la </w:t>
      </w:r>
      <w:r w:rsidR="007556AE" w:rsidRPr="00592D81">
        <w:rPr>
          <w:b/>
          <w:bCs/>
        </w:rPr>
        <w:t>fecha de los estados contables</w:t>
      </w:r>
      <w:r w:rsidRPr="00592D81">
        <w:t xml:space="preserve"> y antes de la aprobación de los </w:t>
      </w:r>
      <w:r w:rsidRPr="00592D81">
        <w:rPr>
          <w:b/>
          <w:bCs/>
        </w:rPr>
        <w:t>estados contables</w:t>
      </w:r>
      <w:r w:rsidRPr="00592D81">
        <w:t xml:space="preserve">, una entidad revelará tales circunstancias en las notas a los </w:t>
      </w:r>
      <w:r w:rsidRPr="00592D81">
        <w:rPr>
          <w:b/>
          <w:bCs/>
        </w:rPr>
        <w:t>estados contables</w:t>
      </w:r>
      <w:r w:rsidRPr="00592D81">
        <w:t xml:space="preserve">. </w:t>
      </w:r>
    </w:p>
    <w:p w:rsidR="0059338B" w:rsidRPr="00592D81" w:rsidRDefault="0059338B" w:rsidP="00A318EA">
      <w:pPr>
        <w:pStyle w:val="Ttulo1"/>
        <w:rPr>
          <w:rFonts w:cs="Arial"/>
          <w:sz w:val="20"/>
          <w:szCs w:val="20"/>
        </w:rPr>
      </w:pPr>
    </w:p>
    <w:p w:rsidR="00421257" w:rsidRPr="00592D81" w:rsidRDefault="00421257" w:rsidP="00A318EA">
      <w:pPr>
        <w:pStyle w:val="Ttulo1"/>
        <w:rPr>
          <w:rFonts w:cs="Arial"/>
          <w:sz w:val="20"/>
          <w:szCs w:val="20"/>
        </w:rPr>
      </w:pPr>
      <w:bookmarkStart w:id="1066" w:name="_Toc139356968"/>
      <w:r w:rsidRPr="00592D81">
        <w:rPr>
          <w:rFonts w:cs="Arial"/>
          <w:sz w:val="20"/>
          <w:szCs w:val="20"/>
        </w:rPr>
        <w:t>PREPARACIÓN DE ESTADOS CONTABLES CONSOLIDADOS</w:t>
      </w:r>
      <w:bookmarkEnd w:id="1066"/>
      <w:r w:rsidR="006F2C57">
        <w:rPr>
          <w:rFonts w:cs="Arial"/>
          <w:sz w:val="20"/>
          <w:szCs w:val="20"/>
        </w:rPr>
        <w:t xml:space="preserve"> </w:t>
      </w:r>
    </w:p>
    <w:p w:rsidR="00421257" w:rsidRPr="00592D81" w:rsidRDefault="00421257" w:rsidP="00A318EA">
      <w:pPr>
        <w:pStyle w:val="Ttulo2"/>
        <w:rPr>
          <w:rFonts w:cs="Arial"/>
        </w:rPr>
      </w:pPr>
      <w:bookmarkStart w:id="1067" w:name="_Toc139356969"/>
      <w:r w:rsidRPr="00592D81">
        <w:rPr>
          <w:rFonts w:cs="Arial"/>
        </w:rPr>
        <w:t>Objetivo</w:t>
      </w:r>
      <w:bookmarkEnd w:id="1067"/>
      <w:r w:rsidR="006F2C57">
        <w:rPr>
          <w:rFonts w:cs="Arial"/>
        </w:rPr>
        <w:t xml:space="preserve"> </w:t>
      </w:r>
    </w:p>
    <w:p w:rsidR="00BB08E1" w:rsidRPr="00592D81" w:rsidRDefault="00421257" w:rsidP="00A318EA">
      <w:pPr>
        <w:numPr>
          <w:ilvl w:val="0"/>
          <w:numId w:val="29"/>
        </w:numPr>
        <w:spacing w:after="147" w:line="264" w:lineRule="auto"/>
        <w:jc w:val="both"/>
        <w:rPr>
          <w:rFonts w:ascii="Arial" w:eastAsia="Times New Roman" w:hAnsi="Arial" w:cs="Arial"/>
          <w:sz w:val="20"/>
          <w:szCs w:val="20"/>
          <w:lang w:eastAsia="es-AR"/>
        </w:rPr>
      </w:pPr>
      <w:bookmarkStart w:id="1068" w:name="_Ref135731811"/>
      <w:bookmarkStart w:id="1069" w:name="_Ref133343886"/>
      <w:r w:rsidRPr="00592D81">
        <w:rPr>
          <w:rFonts w:ascii="Arial" w:hAnsi="Arial" w:cs="Arial"/>
          <w:sz w:val="20"/>
          <w:szCs w:val="20"/>
        </w:rPr>
        <w:t xml:space="preserve">De acuerdo con el párrafo </w:t>
      </w:r>
      <w:r w:rsidR="001C4138">
        <w:rPr>
          <w:rFonts w:ascii="Arial" w:hAnsi="Arial" w:cs="Arial"/>
          <w:sz w:val="20"/>
          <w:szCs w:val="20"/>
        </w:rPr>
        <w:fldChar w:fldCharType="begin"/>
      </w:r>
      <w:r w:rsidR="00190C14">
        <w:rPr>
          <w:rFonts w:ascii="Arial" w:hAnsi="Arial" w:cs="Arial"/>
          <w:sz w:val="20"/>
          <w:szCs w:val="20"/>
        </w:rPr>
        <w:instrText xml:space="preserve"> REF _Ref138960276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33</w:t>
      </w:r>
      <w:r w:rsidR="001C4138">
        <w:rPr>
          <w:rFonts w:ascii="Arial" w:hAnsi="Arial" w:cs="Arial"/>
          <w:sz w:val="20"/>
          <w:szCs w:val="20"/>
        </w:rPr>
        <w:fldChar w:fldCharType="end"/>
      </w:r>
      <w:r w:rsidR="00A65E65" w:rsidRPr="00592D81">
        <w:rPr>
          <w:rFonts w:ascii="Arial" w:hAnsi="Arial" w:cs="Arial"/>
          <w:sz w:val="20"/>
          <w:szCs w:val="20"/>
        </w:rPr>
        <w:t xml:space="preserve"> de esta Resolución Técnica</w:t>
      </w:r>
      <w:r w:rsidRPr="00592D81">
        <w:rPr>
          <w:rFonts w:ascii="Arial" w:hAnsi="Arial" w:cs="Arial"/>
          <w:sz w:val="20"/>
          <w:szCs w:val="20"/>
        </w:rPr>
        <w:t xml:space="preserve">, una entidad presentará </w:t>
      </w:r>
      <w:r w:rsidRPr="00592D81">
        <w:rPr>
          <w:rFonts w:ascii="Arial" w:hAnsi="Arial" w:cs="Arial"/>
          <w:b/>
          <w:bCs/>
          <w:sz w:val="20"/>
          <w:szCs w:val="20"/>
        </w:rPr>
        <w:t>estados contables</w:t>
      </w:r>
      <w:r w:rsidRPr="00592D81">
        <w:rPr>
          <w:rFonts w:ascii="Arial" w:hAnsi="Arial" w:cs="Arial"/>
          <w:sz w:val="20"/>
          <w:szCs w:val="20"/>
        </w:rPr>
        <w:t xml:space="preserve"> </w:t>
      </w:r>
      <w:r w:rsidRPr="00592D81">
        <w:rPr>
          <w:rFonts w:ascii="Arial" w:hAnsi="Arial" w:cs="Arial"/>
          <w:b/>
          <w:bCs/>
          <w:sz w:val="20"/>
          <w:szCs w:val="20"/>
        </w:rPr>
        <w:t>consolidados</w:t>
      </w:r>
      <w:r w:rsidRPr="00592D81">
        <w:rPr>
          <w:rFonts w:ascii="Arial" w:hAnsi="Arial" w:cs="Arial"/>
          <w:sz w:val="20"/>
          <w:szCs w:val="20"/>
        </w:rPr>
        <w:t xml:space="preserve"> cuando contro</w:t>
      </w:r>
      <w:r w:rsidR="00A65E65" w:rsidRPr="00592D81">
        <w:rPr>
          <w:rFonts w:ascii="Arial" w:hAnsi="Arial" w:cs="Arial"/>
          <w:sz w:val="20"/>
          <w:szCs w:val="20"/>
        </w:rPr>
        <w:t>le</w:t>
      </w:r>
      <w:r w:rsidRPr="00592D81">
        <w:rPr>
          <w:rFonts w:ascii="Arial" w:hAnsi="Arial" w:cs="Arial"/>
          <w:sz w:val="20"/>
          <w:szCs w:val="20"/>
        </w:rPr>
        <w:t xml:space="preserve"> a una o más entidades. El objetivo de esta sección consiste en</w:t>
      </w:r>
      <w:r w:rsidR="00BB08E1" w:rsidRPr="00592D81">
        <w:rPr>
          <w:rFonts w:ascii="Arial" w:hAnsi="Arial" w:cs="Arial"/>
          <w:sz w:val="20"/>
          <w:szCs w:val="20"/>
        </w:rPr>
        <w:t>:</w:t>
      </w:r>
      <w:bookmarkEnd w:id="1068"/>
      <w:r w:rsidRPr="00592D81">
        <w:rPr>
          <w:rFonts w:ascii="Arial" w:hAnsi="Arial" w:cs="Arial"/>
          <w:sz w:val="20"/>
          <w:szCs w:val="20"/>
        </w:rPr>
        <w:t xml:space="preserve"> </w:t>
      </w:r>
    </w:p>
    <w:p w:rsidR="00BB08E1" w:rsidRPr="00592D81" w:rsidRDefault="00421257" w:rsidP="00BB08E1">
      <w:pPr>
        <w:numPr>
          <w:ilvl w:val="1"/>
          <w:numId w:val="29"/>
        </w:numPr>
        <w:spacing w:after="147" w:line="264" w:lineRule="auto"/>
        <w:ind w:left="1560"/>
        <w:jc w:val="both"/>
        <w:rPr>
          <w:rFonts w:ascii="Arial" w:eastAsia="Times New Roman" w:hAnsi="Arial" w:cs="Arial"/>
          <w:sz w:val="20"/>
          <w:szCs w:val="20"/>
          <w:lang w:eastAsia="es-AR"/>
        </w:rPr>
      </w:pPr>
      <w:r w:rsidRPr="00592D81">
        <w:rPr>
          <w:rFonts w:ascii="Arial" w:hAnsi="Arial" w:cs="Arial"/>
          <w:sz w:val="20"/>
          <w:szCs w:val="20"/>
        </w:rPr>
        <w:t xml:space="preserve">prescribir </w:t>
      </w:r>
      <w:r w:rsidR="00176C0B" w:rsidRPr="00592D81">
        <w:rPr>
          <w:rFonts w:ascii="Arial" w:hAnsi="Arial" w:cs="Arial"/>
          <w:sz w:val="20"/>
          <w:szCs w:val="20"/>
        </w:rPr>
        <w:t xml:space="preserve">las </w:t>
      </w:r>
      <w:r w:rsidR="00BB08E1" w:rsidRPr="00592D81">
        <w:rPr>
          <w:rFonts w:ascii="Arial" w:hAnsi="Arial" w:cs="Arial"/>
          <w:sz w:val="20"/>
          <w:szCs w:val="20"/>
        </w:rPr>
        <w:t xml:space="preserve">normas sobre </w:t>
      </w:r>
      <w:r w:rsidR="00A65E65" w:rsidRPr="00592D81">
        <w:rPr>
          <w:rFonts w:ascii="Arial" w:hAnsi="Arial" w:cs="Arial"/>
          <w:sz w:val="20"/>
          <w:szCs w:val="20"/>
        </w:rPr>
        <w:t xml:space="preserve">la </w:t>
      </w:r>
      <w:r w:rsidR="00BB08E1" w:rsidRPr="00592D81">
        <w:rPr>
          <w:rFonts w:ascii="Arial" w:hAnsi="Arial" w:cs="Arial"/>
          <w:sz w:val="20"/>
          <w:szCs w:val="20"/>
        </w:rPr>
        <w:t xml:space="preserve">presentación de </w:t>
      </w:r>
      <w:r w:rsidR="00BB08E1" w:rsidRPr="00592D81">
        <w:rPr>
          <w:rFonts w:ascii="Arial" w:hAnsi="Arial" w:cs="Arial"/>
          <w:b/>
          <w:bCs/>
          <w:sz w:val="20"/>
          <w:szCs w:val="20"/>
        </w:rPr>
        <w:t>estados contables consolidados</w:t>
      </w:r>
      <w:r w:rsidR="00BB08E1" w:rsidRPr="00592D81">
        <w:rPr>
          <w:rFonts w:ascii="Arial" w:hAnsi="Arial" w:cs="Arial"/>
          <w:sz w:val="20"/>
          <w:szCs w:val="20"/>
        </w:rPr>
        <w:t xml:space="preserve"> y </w:t>
      </w:r>
      <w:r w:rsidR="00A65E65" w:rsidRPr="00592D81">
        <w:rPr>
          <w:rFonts w:ascii="Arial" w:hAnsi="Arial" w:cs="Arial"/>
          <w:sz w:val="20"/>
          <w:szCs w:val="20"/>
        </w:rPr>
        <w:t xml:space="preserve">la </w:t>
      </w:r>
      <w:r w:rsidR="00BB08E1" w:rsidRPr="00592D81">
        <w:rPr>
          <w:rFonts w:ascii="Arial" w:hAnsi="Arial" w:cs="Arial"/>
          <w:sz w:val="20"/>
          <w:szCs w:val="20"/>
        </w:rPr>
        <w:t>evaluación de control</w:t>
      </w:r>
      <w:bookmarkEnd w:id="1069"/>
      <w:r w:rsidR="00A65E65" w:rsidRPr="00592D81">
        <w:rPr>
          <w:rFonts w:ascii="Arial" w:hAnsi="Arial" w:cs="Arial"/>
          <w:sz w:val="20"/>
          <w:szCs w:val="20"/>
        </w:rPr>
        <w:t xml:space="preserve"> (sobre otra entidad)</w:t>
      </w:r>
      <w:r w:rsidR="00BB08E1" w:rsidRPr="00592D81">
        <w:rPr>
          <w:rFonts w:ascii="Arial" w:hAnsi="Arial" w:cs="Arial"/>
          <w:sz w:val="20"/>
          <w:szCs w:val="20"/>
        </w:rPr>
        <w:t>;</w:t>
      </w:r>
    </w:p>
    <w:p w:rsidR="00421257" w:rsidRPr="00592D81" w:rsidRDefault="00F60950" w:rsidP="00BB08E1">
      <w:pPr>
        <w:numPr>
          <w:ilvl w:val="1"/>
          <w:numId w:val="29"/>
        </w:numPr>
        <w:spacing w:after="147" w:line="264" w:lineRule="auto"/>
        <w:ind w:left="1560"/>
        <w:jc w:val="both"/>
        <w:rPr>
          <w:rFonts w:ascii="Arial" w:eastAsia="Times New Roman" w:hAnsi="Arial" w:cs="Arial"/>
          <w:sz w:val="20"/>
          <w:szCs w:val="20"/>
          <w:lang w:eastAsia="es-AR"/>
        </w:rPr>
      </w:pPr>
      <w:r w:rsidRPr="00592D81">
        <w:rPr>
          <w:rFonts w:ascii="Arial" w:hAnsi="Arial" w:cs="Arial"/>
          <w:sz w:val="20"/>
          <w:szCs w:val="20"/>
        </w:rPr>
        <w:t>describir el c</w:t>
      </w:r>
      <w:r w:rsidR="00792064" w:rsidRPr="00592D81">
        <w:rPr>
          <w:rFonts w:ascii="Arial" w:hAnsi="Arial" w:cs="Arial"/>
          <w:sz w:val="20"/>
          <w:szCs w:val="20"/>
        </w:rPr>
        <w:t>oncepto y contenido mínimo</w:t>
      </w:r>
      <w:r w:rsidR="00421257" w:rsidRPr="00592D81">
        <w:rPr>
          <w:rFonts w:ascii="Arial" w:hAnsi="Arial" w:cs="Arial"/>
          <w:sz w:val="20"/>
          <w:szCs w:val="20"/>
        </w:rPr>
        <w:t xml:space="preserve"> </w:t>
      </w:r>
      <w:r w:rsidRPr="00592D81">
        <w:rPr>
          <w:rFonts w:ascii="Arial" w:hAnsi="Arial" w:cs="Arial"/>
          <w:sz w:val="20"/>
          <w:szCs w:val="20"/>
        </w:rPr>
        <w:t xml:space="preserve">de los </w:t>
      </w:r>
      <w:r w:rsidRPr="00592D81">
        <w:rPr>
          <w:rFonts w:ascii="Arial" w:hAnsi="Arial" w:cs="Arial"/>
          <w:b/>
          <w:bCs/>
          <w:sz w:val="20"/>
          <w:szCs w:val="20"/>
        </w:rPr>
        <w:t>estados contables consolidados</w:t>
      </w:r>
      <w:r w:rsidRPr="00592D81">
        <w:rPr>
          <w:rFonts w:ascii="Arial" w:hAnsi="Arial" w:cs="Arial"/>
          <w:sz w:val="20"/>
          <w:szCs w:val="20"/>
        </w:rPr>
        <w:t>; y</w:t>
      </w:r>
    </w:p>
    <w:p w:rsidR="00F60950" w:rsidRPr="00592D81" w:rsidRDefault="00961CF7" w:rsidP="00BB08E1">
      <w:pPr>
        <w:numPr>
          <w:ilvl w:val="1"/>
          <w:numId w:val="29"/>
        </w:numPr>
        <w:spacing w:after="147" w:line="264" w:lineRule="auto"/>
        <w:ind w:left="1560"/>
        <w:jc w:val="both"/>
        <w:rPr>
          <w:rFonts w:ascii="Arial" w:eastAsia="Times New Roman" w:hAnsi="Arial" w:cs="Arial"/>
          <w:sz w:val="20"/>
          <w:szCs w:val="20"/>
          <w:lang w:eastAsia="es-AR"/>
        </w:rPr>
      </w:pPr>
      <w:r w:rsidRPr="00592D81">
        <w:rPr>
          <w:rFonts w:ascii="Arial" w:eastAsia="Times New Roman" w:hAnsi="Arial" w:cs="Arial"/>
          <w:sz w:val="20"/>
          <w:szCs w:val="20"/>
          <w:lang w:eastAsia="es-AR"/>
        </w:rPr>
        <w:t>establecer el procedimiento de consolidación.</w:t>
      </w:r>
    </w:p>
    <w:p w:rsidR="00961CF7" w:rsidRPr="00AC4AEA" w:rsidRDefault="00961CF7" w:rsidP="00961CF7">
      <w:pPr>
        <w:spacing w:after="147" w:line="264" w:lineRule="auto"/>
        <w:jc w:val="both"/>
        <w:rPr>
          <w:rFonts w:ascii="Arial" w:eastAsia="Times New Roman" w:hAnsi="Arial" w:cs="Arial"/>
          <w:sz w:val="20"/>
          <w:szCs w:val="20"/>
          <w:lang w:eastAsia="es-AR"/>
        </w:rPr>
      </w:pPr>
    </w:p>
    <w:tbl>
      <w:tblPr>
        <w:tblStyle w:val="Tablaconcuadrcula"/>
        <w:tblW w:w="8500" w:type="dxa"/>
        <w:tblLook w:val="04A0"/>
      </w:tblPr>
      <w:tblGrid>
        <w:gridCol w:w="8500"/>
      </w:tblGrid>
      <w:tr w:rsidR="00F71498" w:rsidRPr="00AC4AEA" w:rsidTr="004D3DC9">
        <w:tc>
          <w:tcPr>
            <w:tcW w:w="8500" w:type="dxa"/>
          </w:tcPr>
          <w:p w:rsidR="00961CF7" w:rsidRPr="00AC4AEA" w:rsidRDefault="004D049B" w:rsidP="00961CF7">
            <w:pPr>
              <w:spacing w:after="147" w:line="264" w:lineRule="auto"/>
              <w:rPr>
                <w:rFonts w:ascii="Arial" w:eastAsia="Times New Roman" w:hAnsi="Arial" w:cs="Arial"/>
                <w:color w:val="00B050"/>
                <w:sz w:val="20"/>
                <w:szCs w:val="20"/>
                <w:lang w:eastAsia="es-AR"/>
              </w:rPr>
            </w:pPr>
            <w:r w:rsidRPr="00AC4AEA">
              <w:rPr>
                <w:rFonts w:ascii="Arial" w:eastAsia="Times New Roman" w:hAnsi="Arial" w:cs="Arial"/>
                <w:color w:val="00B050"/>
                <w:sz w:val="20"/>
                <w:szCs w:val="20"/>
                <w:lang w:eastAsia="es-AR"/>
              </w:rPr>
              <w:t xml:space="preserve">Aclaración (texto no integrante de la </w:t>
            </w:r>
            <w:r w:rsidR="00121E7E" w:rsidRPr="00AC4AEA">
              <w:rPr>
                <w:rFonts w:ascii="Arial" w:eastAsia="Times New Roman" w:hAnsi="Arial" w:cs="Arial"/>
                <w:color w:val="00B050"/>
                <w:sz w:val="20"/>
                <w:szCs w:val="20"/>
                <w:lang w:eastAsia="es-AR"/>
              </w:rPr>
              <w:t>presente Resolución Técnica)</w:t>
            </w:r>
          </w:p>
        </w:tc>
      </w:tr>
      <w:tr w:rsidR="00F71498" w:rsidRPr="00AC4AEA" w:rsidTr="004D3DC9">
        <w:tc>
          <w:tcPr>
            <w:tcW w:w="8500" w:type="dxa"/>
          </w:tcPr>
          <w:p w:rsidR="00DD0C0B" w:rsidRPr="00AC4AEA" w:rsidRDefault="00121E7E" w:rsidP="00121E7E">
            <w:pPr>
              <w:rPr>
                <w:rFonts w:ascii="Arial" w:hAnsi="Arial" w:cs="Arial"/>
                <w:color w:val="00B050"/>
                <w:sz w:val="20"/>
                <w:szCs w:val="20"/>
              </w:rPr>
            </w:pPr>
            <w:r w:rsidRPr="00AC4AEA">
              <w:rPr>
                <w:rFonts w:ascii="Arial" w:hAnsi="Arial" w:cs="Arial"/>
                <w:color w:val="00B050"/>
                <w:sz w:val="20"/>
                <w:szCs w:val="20"/>
              </w:rPr>
              <w:t>Los requerimientos de esta sección se basan en el “enfoque de la entidad”, según el cual</w:t>
            </w:r>
            <w:r w:rsidR="00DD0C0B" w:rsidRPr="00AC4AEA">
              <w:rPr>
                <w:rFonts w:ascii="Arial" w:hAnsi="Arial" w:cs="Arial"/>
                <w:color w:val="00B050"/>
                <w:sz w:val="20"/>
                <w:szCs w:val="20"/>
              </w:rPr>
              <w:t>:</w:t>
            </w:r>
          </w:p>
          <w:p w:rsidR="00DD0C0B" w:rsidRPr="00AC4AEA" w:rsidRDefault="00177F0B" w:rsidP="00C01B25">
            <w:pPr>
              <w:pStyle w:val="Prrafodelista"/>
              <w:numPr>
                <w:ilvl w:val="0"/>
                <w:numId w:val="654"/>
              </w:numPr>
              <w:rPr>
                <w:rFonts w:ascii="Arial" w:hAnsi="Arial" w:cs="Arial"/>
                <w:color w:val="00B050"/>
                <w:sz w:val="20"/>
                <w:szCs w:val="20"/>
              </w:rPr>
            </w:pPr>
            <w:r w:rsidRPr="00AC4AEA">
              <w:rPr>
                <w:rFonts w:ascii="Arial" w:hAnsi="Arial" w:cs="Arial"/>
                <w:color w:val="00B050"/>
                <w:sz w:val="20"/>
                <w:szCs w:val="20"/>
              </w:rPr>
              <w:t>L</w:t>
            </w:r>
            <w:r w:rsidR="00DD0C0B" w:rsidRPr="00AC4AEA">
              <w:rPr>
                <w:rFonts w:ascii="Arial" w:hAnsi="Arial" w:cs="Arial"/>
                <w:color w:val="00B050"/>
                <w:sz w:val="20"/>
                <w:szCs w:val="20"/>
              </w:rPr>
              <w:t xml:space="preserve">os </w:t>
            </w:r>
            <w:r w:rsidR="00DD0C0B" w:rsidRPr="00AC4AEA">
              <w:rPr>
                <w:rFonts w:ascii="Arial" w:hAnsi="Arial" w:cs="Arial"/>
                <w:b/>
                <w:bCs/>
                <w:color w:val="00B050"/>
                <w:sz w:val="20"/>
                <w:szCs w:val="20"/>
              </w:rPr>
              <w:t>estados contables consolidados</w:t>
            </w:r>
            <w:r w:rsidR="00DD0C0B" w:rsidRPr="00AC4AEA">
              <w:rPr>
                <w:rFonts w:ascii="Arial" w:hAnsi="Arial" w:cs="Arial"/>
                <w:color w:val="00B050"/>
                <w:sz w:val="20"/>
                <w:szCs w:val="20"/>
              </w:rPr>
              <w:t xml:space="preserve"> </w:t>
            </w:r>
            <w:r w:rsidR="00D60BF4" w:rsidRPr="00AC4AEA">
              <w:rPr>
                <w:rFonts w:ascii="Arial" w:hAnsi="Arial" w:cs="Arial"/>
                <w:color w:val="00B050"/>
                <w:sz w:val="20"/>
                <w:szCs w:val="20"/>
              </w:rPr>
              <w:t>presenta</w:t>
            </w:r>
            <w:r w:rsidR="001D29AB" w:rsidRPr="00AC4AEA">
              <w:rPr>
                <w:rFonts w:ascii="Arial" w:hAnsi="Arial" w:cs="Arial"/>
                <w:color w:val="00B050"/>
                <w:sz w:val="20"/>
                <w:szCs w:val="20"/>
              </w:rPr>
              <w:t>n</w:t>
            </w:r>
            <w:r w:rsidR="00D60BF4" w:rsidRPr="00AC4AEA">
              <w:rPr>
                <w:rFonts w:ascii="Arial" w:hAnsi="Arial" w:cs="Arial"/>
                <w:color w:val="00B050"/>
                <w:sz w:val="20"/>
                <w:szCs w:val="20"/>
              </w:rPr>
              <w:t xml:space="preserve"> la información del grupo</w:t>
            </w:r>
            <w:r w:rsidR="001D29AB" w:rsidRPr="00AC4AEA">
              <w:rPr>
                <w:rFonts w:ascii="Arial" w:hAnsi="Arial" w:cs="Arial"/>
                <w:color w:val="00B050"/>
                <w:sz w:val="20"/>
                <w:szCs w:val="20"/>
              </w:rPr>
              <w:t xml:space="preserve"> desde su propia perspectiva, y no</w:t>
            </w:r>
            <w:r w:rsidR="00D60BF4" w:rsidRPr="00AC4AEA">
              <w:rPr>
                <w:rFonts w:ascii="Arial" w:hAnsi="Arial" w:cs="Arial"/>
                <w:color w:val="00B050"/>
                <w:sz w:val="20"/>
                <w:szCs w:val="20"/>
              </w:rPr>
              <w:t xml:space="preserve"> desde la perspectiva de los propietarios de la </w:t>
            </w:r>
            <w:r w:rsidR="00A07689" w:rsidRPr="00AC4AEA">
              <w:rPr>
                <w:rFonts w:ascii="Arial" w:hAnsi="Arial" w:cs="Arial"/>
                <w:color w:val="00B050"/>
                <w:sz w:val="20"/>
                <w:szCs w:val="20"/>
              </w:rPr>
              <w:t>entidad</w:t>
            </w:r>
            <w:r w:rsidR="00D60BF4" w:rsidRPr="00AC4AEA">
              <w:rPr>
                <w:rFonts w:ascii="Arial" w:hAnsi="Arial" w:cs="Arial"/>
                <w:color w:val="00B050"/>
                <w:sz w:val="20"/>
                <w:szCs w:val="20"/>
              </w:rPr>
              <w:t xml:space="preserve"> controladora</w:t>
            </w:r>
            <w:r w:rsidR="00A07689" w:rsidRPr="00AC4AEA">
              <w:rPr>
                <w:rFonts w:ascii="Arial" w:hAnsi="Arial" w:cs="Arial"/>
                <w:color w:val="00B050"/>
                <w:sz w:val="20"/>
                <w:szCs w:val="20"/>
              </w:rPr>
              <w:t>;</w:t>
            </w:r>
          </w:p>
          <w:p w:rsidR="00AE267D" w:rsidRPr="00AC4AEA" w:rsidRDefault="00177F0B" w:rsidP="00C01B25">
            <w:pPr>
              <w:pStyle w:val="Prrafodelista"/>
              <w:numPr>
                <w:ilvl w:val="0"/>
                <w:numId w:val="654"/>
              </w:numPr>
              <w:rPr>
                <w:rFonts w:ascii="Arial" w:hAnsi="Arial" w:cs="Arial"/>
                <w:color w:val="00B050"/>
                <w:sz w:val="20"/>
                <w:szCs w:val="20"/>
              </w:rPr>
            </w:pPr>
            <w:r w:rsidRPr="00AC4AEA">
              <w:rPr>
                <w:rFonts w:ascii="Arial" w:hAnsi="Arial" w:cs="Arial"/>
                <w:color w:val="00B050"/>
                <w:sz w:val="20"/>
                <w:szCs w:val="20"/>
              </w:rPr>
              <w:t>E</w:t>
            </w:r>
            <w:r w:rsidR="00121E7E" w:rsidRPr="00AC4AEA">
              <w:rPr>
                <w:rFonts w:ascii="Arial" w:hAnsi="Arial" w:cs="Arial"/>
                <w:color w:val="00B050"/>
                <w:sz w:val="20"/>
                <w:szCs w:val="20"/>
              </w:rPr>
              <w:t xml:space="preserve">l </w:t>
            </w:r>
            <w:r w:rsidR="00121E7E" w:rsidRPr="00AC4AEA">
              <w:rPr>
                <w:rFonts w:ascii="Arial" w:hAnsi="Arial" w:cs="Arial"/>
                <w:b/>
                <w:bCs/>
                <w:color w:val="00B050"/>
                <w:sz w:val="20"/>
                <w:szCs w:val="20"/>
              </w:rPr>
              <w:t>patrimonio</w:t>
            </w:r>
            <w:r w:rsidR="00121E7E" w:rsidRPr="00AC4AEA">
              <w:rPr>
                <w:rFonts w:ascii="Arial" w:hAnsi="Arial" w:cs="Arial"/>
                <w:color w:val="00B050"/>
                <w:sz w:val="20"/>
                <w:szCs w:val="20"/>
              </w:rPr>
              <w:t xml:space="preserve"> </w:t>
            </w:r>
            <w:r w:rsidR="00121E7E" w:rsidRPr="00AC4AEA">
              <w:rPr>
                <w:rFonts w:ascii="Arial" w:hAnsi="Arial" w:cs="Arial"/>
                <w:b/>
                <w:bCs/>
                <w:color w:val="00B050"/>
                <w:sz w:val="20"/>
                <w:szCs w:val="20"/>
              </w:rPr>
              <w:t>neto</w:t>
            </w:r>
            <w:r w:rsidR="00121E7E" w:rsidRPr="00AC4AEA">
              <w:rPr>
                <w:rFonts w:ascii="Arial" w:hAnsi="Arial" w:cs="Arial"/>
                <w:color w:val="00B050"/>
                <w:sz w:val="20"/>
                <w:szCs w:val="20"/>
              </w:rPr>
              <w:t xml:space="preserve"> </w:t>
            </w:r>
            <w:r w:rsidR="00DD0C0B" w:rsidRPr="00AC4AEA">
              <w:rPr>
                <w:rFonts w:ascii="Arial" w:hAnsi="Arial" w:cs="Arial"/>
                <w:color w:val="00B050"/>
                <w:sz w:val="20"/>
                <w:szCs w:val="20"/>
              </w:rPr>
              <w:t xml:space="preserve">consolidado </w:t>
            </w:r>
            <w:r w:rsidR="00121E7E" w:rsidRPr="00AC4AEA">
              <w:rPr>
                <w:rFonts w:ascii="Arial" w:hAnsi="Arial" w:cs="Arial"/>
                <w:color w:val="00B050"/>
                <w:sz w:val="20"/>
                <w:szCs w:val="20"/>
              </w:rPr>
              <w:t xml:space="preserve">es la diferencia entre el activo </w:t>
            </w:r>
            <w:r w:rsidRPr="00AC4AEA">
              <w:rPr>
                <w:rFonts w:ascii="Arial" w:hAnsi="Arial" w:cs="Arial"/>
                <w:color w:val="00B050"/>
                <w:sz w:val="20"/>
                <w:szCs w:val="20"/>
              </w:rPr>
              <w:t xml:space="preserve">total, </w:t>
            </w:r>
            <w:r w:rsidR="00121E7E" w:rsidRPr="00AC4AEA">
              <w:rPr>
                <w:rFonts w:ascii="Arial" w:hAnsi="Arial" w:cs="Arial"/>
                <w:color w:val="00B050"/>
                <w:sz w:val="20"/>
                <w:szCs w:val="20"/>
              </w:rPr>
              <w:t>y el pasivo</w:t>
            </w:r>
            <w:r w:rsidRPr="00AC4AEA">
              <w:rPr>
                <w:rFonts w:ascii="Arial" w:hAnsi="Arial" w:cs="Arial"/>
                <w:color w:val="00B050"/>
                <w:sz w:val="20"/>
                <w:szCs w:val="20"/>
              </w:rPr>
              <w:t xml:space="preserve"> total</w:t>
            </w:r>
            <w:r w:rsidR="00121E7E" w:rsidRPr="00AC4AEA">
              <w:rPr>
                <w:rFonts w:ascii="Arial" w:hAnsi="Arial" w:cs="Arial"/>
                <w:color w:val="00B050"/>
                <w:sz w:val="20"/>
                <w:szCs w:val="20"/>
              </w:rPr>
              <w:t xml:space="preserve"> del grupo </w:t>
            </w:r>
            <w:r w:rsidR="00A07689" w:rsidRPr="00AC4AEA">
              <w:rPr>
                <w:rFonts w:ascii="Arial" w:hAnsi="Arial" w:cs="Arial"/>
                <w:color w:val="00B050"/>
                <w:sz w:val="20"/>
                <w:szCs w:val="20"/>
              </w:rPr>
              <w:t>económico</w:t>
            </w:r>
            <w:r w:rsidR="00121E7E" w:rsidRPr="00AC4AEA">
              <w:rPr>
                <w:rFonts w:ascii="Arial" w:hAnsi="Arial" w:cs="Arial"/>
                <w:color w:val="00B050"/>
                <w:sz w:val="20"/>
                <w:szCs w:val="20"/>
              </w:rPr>
              <w:t xml:space="preserve">. </w:t>
            </w:r>
          </w:p>
          <w:p w:rsidR="00121E7E" w:rsidRPr="00AC4AEA" w:rsidRDefault="00177F0B" w:rsidP="00C01B25">
            <w:pPr>
              <w:pStyle w:val="Prrafodelista"/>
              <w:numPr>
                <w:ilvl w:val="0"/>
                <w:numId w:val="654"/>
              </w:numPr>
              <w:rPr>
                <w:rFonts w:ascii="Arial" w:hAnsi="Arial" w:cs="Arial"/>
                <w:color w:val="00B050"/>
                <w:sz w:val="20"/>
                <w:szCs w:val="20"/>
              </w:rPr>
            </w:pPr>
            <w:r w:rsidRPr="00AC4AEA">
              <w:rPr>
                <w:rFonts w:ascii="Arial" w:hAnsi="Arial" w:cs="Arial"/>
                <w:color w:val="00B050"/>
                <w:sz w:val="20"/>
                <w:szCs w:val="20"/>
              </w:rPr>
              <w:t>T</w:t>
            </w:r>
            <w:r w:rsidR="00121E7E" w:rsidRPr="00AC4AEA">
              <w:rPr>
                <w:rFonts w:ascii="Arial" w:hAnsi="Arial" w:cs="Arial"/>
                <w:color w:val="00B050"/>
                <w:sz w:val="20"/>
                <w:szCs w:val="20"/>
              </w:rPr>
              <w:t xml:space="preserve">anto el </w:t>
            </w:r>
            <w:r w:rsidR="00121E7E" w:rsidRPr="00AC4AEA">
              <w:rPr>
                <w:rFonts w:ascii="Arial" w:hAnsi="Arial" w:cs="Arial"/>
                <w:b/>
                <w:bCs/>
                <w:color w:val="00B050"/>
                <w:sz w:val="20"/>
                <w:szCs w:val="20"/>
              </w:rPr>
              <w:t>patrimonio neto</w:t>
            </w:r>
            <w:r w:rsidR="00121E7E" w:rsidRPr="00AC4AEA">
              <w:rPr>
                <w:rFonts w:ascii="Arial" w:hAnsi="Arial" w:cs="Arial"/>
                <w:color w:val="00B050"/>
                <w:sz w:val="20"/>
                <w:szCs w:val="20"/>
              </w:rPr>
              <w:t xml:space="preserve"> como el resultado del período deben </w:t>
            </w:r>
            <w:r w:rsidR="00F41625" w:rsidRPr="00AC4AEA">
              <w:rPr>
                <w:rFonts w:ascii="Arial" w:hAnsi="Arial" w:cs="Arial"/>
                <w:color w:val="00B050"/>
                <w:sz w:val="20"/>
                <w:szCs w:val="20"/>
              </w:rPr>
              <w:t>informar,</w:t>
            </w:r>
            <w:r w:rsidR="00121E7E" w:rsidRPr="00AC4AEA">
              <w:rPr>
                <w:rFonts w:ascii="Arial" w:hAnsi="Arial" w:cs="Arial"/>
                <w:color w:val="00B050"/>
                <w:sz w:val="20"/>
                <w:szCs w:val="20"/>
              </w:rPr>
              <w:t xml:space="preserve"> de </w:t>
            </w:r>
            <w:r w:rsidR="00F41625" w:rsidRPr="00AC4AEA">
              <w:rPr>
                <w:rFonts w:ascii="Arial" w:hAnsi="Arial" w:cs="Arial"/>
                <w:color w:val="00B050"/>
                <w:sz w:val="20"/>
                <w:szCs w:val="20"/>
              </w:rPr>
              <w:t>manera desagregada,</w:t>
            </w:r>
            <w:r w:rsidR="00121E7E" w:rsidRPr="00AC4AEA">
              <w:rPr>
                <w:rFonts w:ascii="Arial" w:hAnsi="Arial" w:cs="Arial"/>
                <w:color w:val="00B050"/>
                <w:sz w:val="20"/>
                <w:szCs w:val="20"/>
              </w:rPr>
              <w:t xml:space="preserve"> las porciones atribuibles</w:t>
            </w:r>
            <w:r w:rsidR="000F2E0C" w:rsidRPr="00AC4AEA">
              <w:rPr>
                <w:rFonts w:ascii="Arial" w:hAnsi="Arial" w:cs="Arial"/>
                <w:color w:val="00B050"/>
                <w:sz w:val="20"/>
                <w:szCs w:val="20"/>
              </w:rPr>
              <w:t xml:space="preserve"> a</w:t>
            </w:r>
            <w:r w:rsidR="00121E7E" w:rsidRPr="00AC4AEA">
              <w:rPr>
                <w:rFonts w:ascii="Arial" w:hAnsi="Arial" w:cs="Arial"/>
                <w:color w:val="00B050"/>
                <w:sz w:val="20"/>
                <w:szCs w:val="20"/>
              </w:rPr>
              <w:t xml:space="preserve">: </w:t>
            </w:r>
          </w:p>
          <w:p w:rsidR="00121E7E" w:rsidRPr="00AC4AEA" w:rsidRDefault="00121E7E" w:rsidP="00C01B25">
            <w:pPr>
              <w:pStyle w:val="Prrafodelista"/>
              <w:numPr>
                <w:ilvl w:val="1"/>
                <w:numId w:val="655"/>
              </w:numPr>
              <w:ind w:left="1442"/>
              <w:rPr>
                <w:rFonts w:ascii="Arial" w:hAnsi="Arial" w:cs="Arial"/>
                <w:color w:val="00B050"/>
                <w:sz w:val="20"/>
                <w:szCs w:val="20"/>
              </w:rPr>
            </w:pPr>
            <w:r w:rsidRPr="00AC4AEA">
              <w:rPr>
                <w:rFonts w:ascii="Arial" w:hAnsi="Arial" w:cs="Arial"/>
                <w:color w:val="00B050"/>
                <w:sz w:val="20"/>
                <w:szCs w:val="20"/>
              </w:rPr>
              <w:t xml:space="preserve">los propietarios de la controladora; y </w:t>
            </w:r>
          </w:p>
          <w:p w:rsidR="00121E7E" w:rsidRPr="00AC4AEA" w:rsidRDefault="00121E7E" w:rsidP="00C01B25">
            <w:pPr>
              <w:pStyle w:val="Prrafodelista"/>
              <w:numPr>
                <w:ilvl w:val="1"/>
                <w:numId w:val="655"/>
              </w:numPr>
              <w:ind w:left="1442"/>
              <w:rPr>
                <w:rFonts w:ascii="Arial" w:hAnsi="Arial" w:cs="Arial"/>
                <w:color w:val="00B050"/>
                <w:sz w:val="20"/>
                <w:szCs w:val="20"/>
              </w:rPr>
            </w:pPr>
            <w:r w:rsidRPr="00AC4AEA">
              <w:rPr>
                <w:rFonts w:ascii="Arial" w:hAnsi="Arial" w:cs="Arial"/>
                <w:color w:val="00B050"/>
                <w:sz w:val="20"/>
                <w:szCs w:val="20"/>
              </w:rPr>
              <w:t>los titulares de las participaciones no controladoras en subsidiarias.</w:t>
            </w:r>
          </w:p>
          <w:p w:rsidR="00121E7E" w:rsidRPr="00AC4AEA" w:rsidRDefault="00121E7E" w:rsidP="00121E7E">
            <w:pPr>
              <w:rPr>
                <w:rFonts w:ascii="Arial" w:hAnsi="Arial" w:cs="Arial"/>
                <w:color w:val="00B050"/>
                <w:sz w:val="20"/>
                <w:szCs w:val="20"/>
              </w:rPr>
            </w:pPr>
            <w:r w:rsidRPr="00AC4AEA">
              <w:rPr>
                <w:rFonts w:ascii="Arial" w:hAnsi="Arial" w:cs="Arial"/>
                <w:color w:val="00B050"/>
                <w:sz w:val="20"/>
                <w:szCs w:val="20"/>
              </w:rPr>
              <w:t>Por el contrario, la RT 21, adoptaba el “</w:t>
            </w:r>
            <w:r w:rsidR="00AE267D" w:rsidRPr="00AC4AEA">
              <w:rPr>
                <w:rFonts w:ascii="Arial" w:hAnsi="Arial" w:cs="Arial"/>
                <w:color w:val="00B050"/>
                <w:sz w:val="20"/>
                <w:szCs w:val="20"/>
              </w:rPr>
              <w:t xml:space="preserve">enfoque </w:t>
            </w:r>
            <w:r w:rsidRPr="00AC4AEA">
              <w:rPr>
                <w:rFonts w:ascii="Arial" w:hAnsi="Arial" w:cs="Arial"/>
                <w:color w:val="00B050"/>
                <w:sz w:val="20"/>
                <w:szCs w:val="20"/>
              </w:rPr>
              <w:t>del propietario”</w:t>
            </w:r>
            <w:r w:rsidR="007E5EBB" w:rsidRPr="00AC4AEA">
              <w:rPr>
                <w:rFonts w:ascii="Arial" w:hAnsi="Arial" w:cs="Arial"/>
                <w:color w:val="00B050"/>
                <w:sz w:val="20"/>
                <w:szCs w:val="20"/>
              </w:rPr>
              <w:t xml:space="preserve"> (RT 21, apartado 2.2.)</w:t>
            </w:r>
            <w:r w:rsidRPr="00AC4AEA">
              <w:rPr>
                <w:rFonts w:ascii="Arial" w:hAnsi="Arial" w:cs="Arial"/>
                <w:color w:val="00B050"/>
                <w:sz w:val="20"/>
                <w:szCs w:val="20"/>
              </w:rPr>
              <w:t>. De acuerdo con este enfoque:</w:t>
            </w:r>
          </w:p>
          <w:p w:rsidR="00121E7E" w:rsidRPr="00AC4AEA" w:rsidRDefault="006A4C5D" w:rsidP="00C01B25">
            <w:pPr>
              <w:pStyle w:val="Prrafodelista"/>
              <w:numPr>
                <w:ilvl w:val="0"/>
                <w:numId w:val="656"/>
              </w:numPr>
              <w:rPr>
                <w:rFonts w:ascii="Arial" w:hAnsi="Arial" w:cs="Arial"/>
                <w:color w:val="00B050"/>
                <w:sz w:val="20"/>
                <w:szCs w:val="20"/>
              </w:rPr>
            </w:pPr>
            <w:r w:rsidRPr="00AC4AEA">
              <w:rPr>
                <w:rFonts w:ascii="Arial" w:hAnsi="Arial" w:cs="Arial"/>
                <w:color w:val="00B050"/>
                <w:sz w:val="20"/>
                <w:szCs w:val="20"/>
              </w:rPr>
              <w:t>L</w:t>
            </w:r>
            <w:r w:rsidR="00121E7E" w:rsidRPr="00AC4AEA">
              <w:rPr>
                <w:rFonts w:ascii="Arial" w:hAnsi="Arial" w:cs="Arial"/>
                <w:color w:val="00B050"/>
                <w:sz w:val="20"/>
                <w:szCs w:val="20"/>
              </w:rPr>
              <w:t xml:space="preserve">os </w:t>
            </w:r>
            <w:r w:rsidR="00121E7E" w:rsidRPr="00AC4AEA">
              <w:rPr>
                <w:rFonts w:ascii="Arial" w:hAnsi="Arial" w:cs="Arial"/>
                <w:b/>
                <w:bCs/>
                <w:color w:val="00B050"/>
                <w:sz w:val="20"/>
                <w:szCs w:val="20"/>
              </w:rPr>
              <w:t>estados contables consolidados</w:t>
            </w:r>
            <w:r w:rsidR="00121E7E" w:rsidRPr="00AC4AEA">
              <w:rPr>
                <w:rFonts w:ascii="Arial" w:hAnsi="Arial" w:cs="Arial"/>
                <w:color w:val="00B050"/>
                <w:sz w:val="20"/>
                <w:szCs w:val="20"/>
              </w:rPr>
              <w:t xml:space="preserve"> </w:t>
            </w:r>
            <w:r w:rsidRPr="00AC4AEA">
              <w:rPr>
                <w:rFonts w:ascii="Arial" w:hAnsi="Arial" w:cs="Arial"/>
                <w:color w:val="00B050"/>
                <w:sz w:val="20"/>
                <w:szCs w:val="20"/>
              </w:rPr>
              <w:t>p</w:t>
            </w:r>
            <w:r w:rsidR="00121E7E" w:rsidRPr="00AC4AEA">
              <w:rPr>
                <w:rFonts w:ascii="Arial" w:hAnsi="Arial" w:cs="Arial"/>
                <w:color w:val="00B050"/>
                <w:sz w:val="20"/>
                <w:szCs w:val="20"/>
              </w:rPr>
              <w:t>resenta</w:t>
            </w:r>
            <w:r w:rsidRPr="00AC4AEA">
              <w:rPr>
                <w:rFonts w:ascii="Arial" w:hAnsi="Arial" w:cs="Arial"/>
                <w:color w:val="00B050"/>
                <w:sz w:val="20"/>
                <w:szCs w:val="20"/>
              </w:rPr>
              <w:t>n</w:t>
            </w:r>
            <w:r w:rsidR="00121E7E" w:rsidRPr="00AC4AEA">
              <w:rPr>
                <w:rFonts w:ascii="Arial" w:hAnsi="Arial" w:cs="Arial"/>
                <w:color w:val="00B050"/>
                <w:sz w:val="20"/>
                <w:szCs w:val="20"/>
              </w:rPr>
              <w:t xml:space="preserve"> el </w:t>
            </w:r>
            <w:r w:rsidR="00121E7E" w:rsidRPr="00AC4AEA">
              <w:rPr>
                <w:rFonts w:ascii="Arial" w:hAnsi="Arial" w:cs="Arial"/>
                <w:b/>
                <w:bCs/>
                <w:color w:val="00B050"/>
                <w:sz w:val="20"/>
                <w:szCs w:val="20"/>
              </w:rPr>
              <w:t>patrimonio</w:t>
            </w:r>
            <w:r w:rsidR="00033996" w:rsidRPr="00AC4AEA">
              <w:rPr>
                <w:rFonts w:ascii="Arial" w:hAnsi="Arial" w:cs="Arial"/>
                <w:b/>
                <w:bCs/>
                <w:color w:val="00B050"/>
                <w:sz w:val="20"/>
                <w:szCs w:val="20"/>
              </w:rPr>
              <w:t xml:space="preserve"> neto</w:t>
            </w:r>
            <w:r w:rsidR="00121E7E" w:rsidRPr="00AC4AEA">
              <w:rPr>
                <w:rFonts w:ascii="Arial" w:hAnsi="Arial" w:cs="Arial"/>
                <w:color w:val="00B050"/>
                <w:sz w:val="20"/>
                <w:szCs w:val="20"/>
              </w:rPr>
              <w:t xml:space="preserve"> sobre </w:t>
            </w:r>
            <w:r w:rsidR="00033996" w:rsidRPr="00AC4AEA">
              <w:rPr>
                <w:rFonts w:ascii="Arial" w:hAnsi="Arial" w:cs="Arial"/>
                <w:color w:val="00B050"/>
                <w:sz w:val="20"/>
                <w:szCs w:val="20"/>
              </w:rPr>
              <w:t>a</w:t>
            </w:r>
            <w:r w:rsidR="00121E7E" w:rsidRPr="00AC4AEA">
              <w:rPr>
                <w:rFonts w:ascii="Arial" w:hAnsi="Arial" w:cs="Arial"/>
                <w:color w:val="00B050"/>
                <w:sz w:val="20"/>
                <w:szCs w:val="20"/>
              </w:rPr>
              <w:t>l que tienen derecho los propietarios de la controladora</w:t>
            </w:r>
            <w:r w:rsidR="00033996" w:rsidRPr="00AC4AEA">
              <w:rPr>
                <w:rFonts w:ascii="Arial" w:hAnsi="Arial" w:cs="Arial"/>
                <w:color w:val="00B050"/>
                <w:sz w:val="20"/>
                <w:szCs w:val="20"/>
              </w:rPr>
              <w:t>.</w:t>
            </w:r>
          </w:p>
          <w:p w:rsidR="00121E7E" w:rsidRPr="00AC4AEA" w:rsidRDefault="00033996" w:rsidP="00C01B25">
            <w:pPr>
              <w:pStyle w:val="Prrafodelista"/>
              <w:numPr>
                <w:ilvl w:val="0"/>
                <w:numId w:val="656"/>
              </w:numPr>
              <w:rPr>
                <w:rFonts w:ascii="Arial" w:hAnsi="Arial" w:cs="Arial"/>
                <w:color w:val="00B050"/>
                <w:sz w:val="20"/>
                <w:szCs w:val="20"/>
              </w:rPr>
            </w:pPr>
            <w:r w:rsidRPr="00AC4AEA">
              <w:rPr>
                <w:rFonts w:ascii="Arial" w:hAnsi="Arial" w:cs="Arial"/>
                <w:color w:val="00B050"/>
                <w:sz w:val="20"/>
                <w:szCs w:val="20"/>
              </w:rPr>
              <w:t>L</w:t>
            </w:r>
            <w:r w:rsidR="00121E7E" w:rsidRPr="00AC4AEA">
              <w:rPr>
                <w:rFonts w:ascii="Arial" w:hAnsi="Arial" w:cs="Arial"/>
                <w:color w:val="00B050"/>
                <w:sz w:val="20"/>
                <w:szCs w:val="20"/>
              </w:rPr>
              <w:t xml:space="preserve">as participaciones no controladoras en subsidiarias se presentan en el estado de situación patrimonial en un capítulo separado entre el </w:t>
            </w:r>
            <w:r w:rsidR="00121E7E" w:rsidRPr="00243031">
              <w:rPr>
                <w:rFonts w:ascii="Arial" w:hAnsi="Arial" w:cs="Arial"/>
                <w:b/>
                <w:bCs/>
                <w:color w:val="00B050"/>
                <w:sz w:val="20"/>
                <w:szCs w:val="20"/>
              </w:rPr>
              <w:t>pasivo</w:t>
            </w:r>
            <w:r w:rsidRPr="00AC4AEA">
              <w:rPr>
                <w:rFonts w:ascii="Arial" w:hAnsi="Arial" w:cs="Arial"/>
                <w:color w:val="00B050"/>
                <w:sz w:val="20"/>
                <w:szCs w:val="20"/>
              </w:rPr>
              <w:t xml:space="preserve"> total</w:t>
            </w:r>
            <w:r w:rsidR="00121E7E" w:rsidRPr="00AC4AEA">
              <w:rPr>
                <w:rFonts w:ascii="Arial" w:hAnsi="Arial" w:cs="Arial"/>
                <w:color w:val="00B050"/>
                <w:sz w:val="20"/>
                <w:szCs w:val="20"/>
              </w:rPr>
              <w:t xml:space="preserve"> y el </w:t>
            </w:r>
            <w:r w:rsidR="00121E7E" w:rsidRPr="00AC4AEA">
              <w:rPr>
                <w:rFonts w:ascii="Arial" w:hAnsi="Arial" w:cs="Arial"/>
                <w:b/>
                <w:bCs/>
                <w:color w:val="00B050"/>
                <w:sz w:val="20"/>
                <w:szCs w:val="20"/>
              </w:rPr>
              <w:t>patrimonio neto</w:t>
            </w:r>
            <w:r w:rsidRPr="00AC4AEA">
              <w:rPr>
                <w:rFonts w:ascii="Arial" w:hAnsi="Arial" w:cs="Arial"/>
                <w:color w:val="00B050"/>
                <w:sz w:val="20"/>
                <w:szCs w:val="20"/>
              </w:rPr>
              <w:t>.</w:t>
            </w:r>
            <w:r w:rsidR="00121E7E" w:rsidRPr="00AC4AEA">
              <w:rPr>
                <w:rFonts w:ascii="Arial" w:hAnsi="Arial" w:cs="Arial"/>
                <w:color w:val="00B050"/>
                <w:sz w:val="20"/>
                <w:szCs w:val="20"/>
              </w:rPr>
              <w:t xml:space="preserve"> </w:t>
            </w:r>
          </w:p>
          <w:p w:rsidR="00961CF7" w:rsidRPr="00AC4AEA" w:rsidRDefault="00033996" w:rsidP="00C01B25">
            <w:pPr>
              <w:pStyle w:val="Prrafodelista"/>
              <w:numPr>
                <w:ilvl w:val="0"/>
                <w:numId w:val="656"/>
              </w:numPr>
              <w:rPr>
                <w:rFonts w:ascii="Arial" w:eastAsia="Times New Roman" w:hAnsi="Arial" w:cs="Arial"/>
                <w:color w:val="00B050"/>
                <w:sz w:val="20"/>
                <w:szCs w:val="20"/>
                <w:lang w:eastAsia="es-AR"/>
              </w:rPr>
            </w:pPr>
            <w:r w:rsidRPr="00AC4AEA">
              <w:rPr>
                <w:rFonts w:ascii="Arial" w:hAnsi="Arial" w:cs="Arial"/>
                <w:color w:val="00B050"/>
                <w:sz w:val="20"/>
                <w:szCs w:val="20"/>
              </w:rPr>
              <w:t>E</w:t>
            </w:r>
            <w:r w:rsidR="00121E7E" w:rsidRPr="00AC4AEA">
              <w:rPr>
                <w:rFonts w:ascii="Arial" w:hAnsi="Arial" w:cs="Arial"/>
                <w:color w:val="00B050"/>
                <w:sz w:val="20"/>
                <w:szCs w:val="20"/>
              </w:rPr>
              <w:t>n el estado de resultados</w:t>
            </w:r>
            <w:r w:rsidRPr="00AC4AEA">
              <w:rPr>
                <w:rFonts w:ascii="Arial" w:hAnsi="Arial" w:cs="Arial"/>
                <w:color w:val="00B050"/>
                <w:sz w:val="20"/>
                <w:szCs w:val="20"/>
              </w:rPr>
              <w:t>,</w:t>
            </w:r>
            <w:r w:rsidR="00121E7E" w:rsidRPr="00AC4AEA">
              <w:rPr>
                <w:rFonts w:ascii="Arial" w:hAnsi="Arial" w:cs="Arial"/>
                <w:color w:val="00B050"/>
                <w:sz w:val="20"/>
                <w:szCs w:val="20"/>
              </w:rPr>
              <w:t xml:space="preserve"> se muestra como una partida separada la porción que le corresponde a las participaciones no controladoras </w:t>
            </w:r>
            <w:r w:rsidR="00716A05" w:rsidRPr="00AC4AEA">
              <w:rPr>
                <w:rFonts w:ascii="Arial" w:hAnsi="Arial" w:cs="Arial"/>
                <w:color w:val="00B050"/>
                <w:sz w:val="20"/>
                <w:szCs w:val="20"/>
              </w:rPr>
              <w:t>d</w:t>
            </w:r>
            <w:r w:rsidR="00121E7E" w:rsidRPr="00AC4AEA">
              <w:rPr>
                <w:rFonts w:ascii="Arial" w:hAnsi="Arial" w:cs="Arial"/>
                <w:color w:val="00B050"/>
                <w:sz w:val="20"/>
                <w:szCs w:val="20"/>
              </w:rPr>
              <w:t xml:space="preserve">el resultado del </w:t>
            </w:r>
            <w:r w:rsidR="00716A05" w:rsidRPr="00AC4AEA">
              <w:rPr>
                <w:rFonts w:ascii="Arial" w:hAnsi="Arial" w:cs="Arial"/>
                <w:color w:val="00B050"/>
                <w:sz w:val="20"/>
                <w:szCs w:val="20"/>
              </w:rPr>
              <w:t>período</w:t>
            </w:r>
            <w:r w:rsidR="00121E7E" w:rsidRPr="00AC4AEA">
              <w:rPr>
                <w:rFonts w:ascii="Arial" w:hAnsi="Arial" w:cs="Arial"/>
                <w:color w:val="00B050"/>
                <w:sz w:val="20"/>
                <w:szCs w:val="20"/>
              </w:rPr>
              <w:t>, a fin de arribar al resultado atribuible a los propietarios de la controladora.</w:t>
            </w:r>
          </w:p>
        </w:tc>
      </w:tr>
    </w:tbl>
    <w:p w:rsidR="00961CF7" w:rsidRPr="00AC4AEA" w:rsidRDefault="00961CF7" w:rsidP="00961CF7">
      <w:pPr>
        <w:spacing w:after="147" w:line="264" w:lineRule="auto"/>
        <w:jc w:val="both"/>
        <w:rPr>
          <w:rFonts w:ascii="Arial" w:eastAsia="Times New Roman" w:hAnsi="Arial" w:cs="Arial"/>
          <w:sz w:val="20"/>
          <w:szCs w:val="20"/>
          <w:lang w:eastAsia="es-AR"/>
        </w:rPr>
      </w:pPr>
    </w:p>
    <w:p w:rsidR="00421257" w:rsidRPr="00592D81" w:rsidRDefault="00421257" w:rsidP="00A318EA">
      <w:pPr>
        <w:pStyle w:val="Ttulo2"/>
        <w:rPr>
          <w:rFonts w:cs="Arial"/>
        </w:rPr>
      </w:pPr>
      <w:bookmarkStart w:id="1070" w:name="_Toc139356970"/>
      <w:r w:rsidRPr="00592D81">
        <w:rPr>
          <w:rFonts w:cs="Arial"/>
        </w:rPr>
        <w:t>Definiciones</w:t>
      </w:r>
      <w:bookmarkEnd w:id="1070"/>
      <w:r w:rsidRPr="00592D81">
        <w:rPr>
          <w:rFonts w:cs="Arial"/>
        </w:rPr>
        <w:t xml:space="preserve"> </w:t>
      </w:r>
    </w:p>
    <w:p w:rsidR="00421257" w:rsidRPr="00592D81" w:rsidRDefault="00421257" w:rsidP="00A318EA">
      <w:pPr>
        <w:numPr>
          <w:ilvl w:val="0"/>
          <w:numId w:val="29"/>
        </w:numPr>
        <w:spacing w:after="147" w:line="264" w:lineRule="auto"/>
        <w:jc w:val="both"/>
        <w:rPr>
          <w:rFonts w:ascii="Arial" w:eastAsia="Times New Roman" w:hAnsi="Arial" w:cs="Arial"/>
          <w:sz w:val="20"/>
          <w:szCs w:val="20"/>
          <w:lang w:eastAsia="es-AR"/>
        </w:rPr>
      </w:pPr>
      <w:bookmarkStart w:id="1071" w:name="_Ref132050914"/>
      <w:r w:rsidRPr="00592D81">
        <w:rPr>
          <w:rFonts w:ascii="Arial" w:hAnsi="Arial" w:cs="Arial"/>
          <w:sz w:val="20"/>
          <w:szCs w:val="20"/>
        </w:rPr>
        <w:t>A los fines en esta sección, una entidad considerará las siguientes definiciones:</w:t>
      </w:r>
      <w:bookmarkEnd w:id="1071"/>
      <w:r w:rsidRPr="00592D81">
        <w:rPr>
          <w:rFonts w:ascii="Arial" w:hAnsi="Arial" w:cs="Arial"/>
          <w:sz w:val="20"/>
          <w:szCs w:val="20"/>
        </w:rPr>
        <w:t xml:space="preserve"> </w:t>
      </w:r>
    </w:p>
    <w:p w:rsidR="000A0BD3" w:rsidRPr="00592D81" w:rsidRDefault="000A0BD3" w:rsidP="00716A05">
      <w:pPr>
        <w:ind w:left="1418"/>
        <w:jc w:val="both"/>
        <w:rPr>
          <w:rFonts w:ascii="Arial" w:hAnsi="Arial" w:cs="Arial"/>
          <w:sz w:val="20"/>
          <w:szCs w:val="20"/>
          <w:u w:color="000000"/>
        </w:rPr>
      </w:pPr>
      <w:r w:rsidRPr="00592D81">
        <w:rPr>
          <w:rFonts w:ascii="Arial" w:hAnsi="Arial" w:cs="Arial"/>
          <w:sz w:val="20"/>
          <w:szCs w:val="20"/>
          <w:u w:val="single" w:color="000000"/>
        </w:rPr>
        <w:t>Actividades relevantes</w:t>
      </w:r>
      <w:r w:rsidRPr="00592D81">
        <w:rPr>
          <w:rFonts w:ascii="Arial" w:hAnsi="Arial" w:cs="Arial"/>
          <w:sz w:val="20"/>
          <w:szCs w:val="20"/>
          <w:u w:color="000000"/>
        </w:rPr>
        <w:t xml:space="preserve">: </w:t>
      </w:r>
      <w:r w:rsidR="00243031" w:rsidRPr="00592D81">
        <w:rPr>
          <w:rFonts w:ascii="Arial" w:hAnsi="Arial" w:cs="Arial"/>
          <w:sz w:val="20"/>
          <w:szCs w:val="20"/>
          <w:u w:color="000000"/>
        </w:rPr>
        <w:t>A</w:t>
      </w:r>
      <w:r w:rsidRPr="00592D81">
        <w:rPr>
          <w:rFonts w:ascii="Arial" w:hAnsi="Arial" w:cs="Arial"/>
          <w:sz w:val="20"/>
          <w:szCs w:val="20"/>
          <w:u w:color="000000"/>
        </w:rPr>
        <w:t>ctividades de la participada que afectan de forma significativa sus rendimientos. Ejemplos de actividades que, dependiendo de las circunstancias, pueden ser relevantes</w:t>
      </w:r>
      <w:r w:rsidR="00CD7FB5" w:rsidRPr="00592D81">
        <w:rPr>
          <w:rFonts w:ascii="Arial" w:hAnsi="Arial" w:cs="Arial"/>
          <w:sz w:val="20"/>
          <w:szCs w:val="20"/>
          <w:u w:color="000000"/>
        </w:rPr>
        <w:t>,</w:t>
      </w:r>
      <w:r w:rsidRPr="00592D81">
        <w:rPr>
          <w:rFonts w:ascii="Arial" w:hAnsi="Arial" w:cs="Arial"/>
          <w:sz w:val="20"/>
          <w:szCs w:val="20"/>
          <w:u w:color="000000"/>
        </w:rPr>
        <w:t xml:space="preserve"> incluyen, pero no se limitan</w:t>
      </w:r>
      <w:r w:rsidR="00CD7FB5" w:rsidRPr="00592D81">
        <w:rPr>
          <w:rFonts w:ascii="Arial" w:hAnsi="Arial" w:cs="Arial"/>
          <w:sz w:val="20"/>
          <w:szCs w:val="20"/>
          <w:u w:color="000000"/>
        </w:rPr>
        <w:t>,</w:t>
      </w:r>
      <w:r w:rsidRPr="00592D81">
        <w:rPr>
          <w:rFonts w:ascii="Arial" w:hAnsi="Arial" w:cs="Arial"/>
          <w:sz w:val="20"/>
          <w:szCs w:val="20"/>
          <w:u w:color="000000"/>
        </w:rPr>
        <w:t xml:space="preserve"> a:</w:t>
      </w:r>
    </w:p>
    <w:p w:rsidR="000A0BD3" w:rsidRPr="00592D81" w:rsidRDefault="003D4745" w:rsidP="00716A05">
      <w:pPr>
        <w:pStyle w:val="Prrafodelista"/>
        <w:numPr>
          <w:ilvl w:val="1"/>
          <w:numId w:val="29"/>
        </w:numPr>
        <w:ind w:left="1985"/>
        <w:jc w:val="both"/>
        <w:rPr>
          <w:rFonts w:ascii="Arial" w:hAnsi="Arial" w:cs="Arial"/>
          <w:sz w:val="20"/>
          <w:szCs w:val="20"/>
          <w:u w:color="000000"/>
        </w:rPr>
      </w:pPr>
      <w:r w:rsidRPr="00592D81">
        <w:rPr>
          <w:rFonts w:ascii="Arial" w:hAnsi="Arial" w:cs="Arial"/>
          <w:sz w:val="20"/>
          <w:szCs w:val="20"/>
          <w:u w:color="000000"/>
        </w:rPr>
        <w:lastRenderedPageBreak/>
        <w:t>V</w:t>
      </w:r>
      <w:r w:rsidR="000A0BD3" w:rsidRPr="00592D81">
        <w:rPr>
          <w:rFonts w:ascii="Arial" w:hAnsi="Arial" w:cs="Arial"/>
          <w:sz w:val="20"/>
          <w:szCs w:val="20"/>
          <w:u w:color="000000"/>
        </w:rPr>
        <w:t>enta y compra de bienes o servicios</w:t>
      </w:r>
      <w:r w:rsidRPr="00592D81">
        <w:rPr>
          <w:rFonts w:ascii="Arial" w:hAnsi="Arial" w:cs="Arial"/>
          <w:sz w:val="20"/>
          <w:szCs w:val="20"/>
          <w:u w:color="000000"/>
        </w:rPr>
        <w:t>.</w:t>
      </w:r>
    </w:p>
    <w:p w:rsidR="000A0BD3" w:rsidRPr="00592D81" w:rsidRDefault="003D4745" w:rsidP="00716A05">
      <w:pPr>
        <w:pStyle w:val="Prrafodelista"/>
        <w:numPr>
          <w:ilvl w:val="1"/>
          <w:numId w:val="29"/>
        </w:numPr>
        <w:ind w:left="1985"/>
        <w:jc w:val="both"/>
        <w:rPr>
          <w:rFonts w:ascii="Arial" w:hAnsi="Arial" w:cs="Arial"/>
          <w:sz w:val="20"/>
          <w:szCs w:val="20"/>
          <w:u w:color="000000"/>
        </w:rPr>
      </w:pPr>
      <w:r w:rsidRPr="00592D81">
        <w:rPr>
          <w:rFonts w:ascii="Arial" w:hAnsi="Arial" w:cs="Arial"/>
          <w:sz w:val="20"/>
          <w:szCs w:val="20"/>
          <w:u w:color="000000"/>
        </w:rPr>
        <w:t>G</w:t>
      </w:r>
      <w:r w:rsidR="000A0BD3" w:rsidRPr="00592D81">
        <w:rPr>
          <w:rFonts w:ascii="Arial" w:hAnsi="Arial" w:cs="Arial"/>
          <w:sz w:val="20"/>
          <w:szCs w:val="20"/>
          <w:u w:color="000000"/>
        </w:rPr>
        <w:t>estión de activos financieros durante su vida (incluyendo cuando haya incumplimiento)</w:t>
      </w:r>
      <w:r w:rsidRPr="00592D81">
        <w:rPr>
          <w:rFonts w:ascii="Arial" w:hAnsi="Arial" w:cs="Arial"/>
          <w:sz w:val="20"/>
          <w:szCs w:val="20"/>
          <w:u w:color="000000"/>
        </w:rPr>
        <w:t>.</w:t>
      </w:r>
    </w:p>
    <w:p w:rsidR="000A0BD3" w:rsidRPr="00592D81" w:rsidRDefault="003D4745" w:rsidP="00716A05">
      <w:pPr>
        <w:pStyle w:val="Prrafodelista"/>
        <w:numPr>
          <w:ilvl w:val="1"/>
          <w:numId w:val="29"/>
        </w:numPr>
        <w:ind w:left="1985"/>
        <w:jc w:val="both"/>
        <w:rPr>
          <w:rFonts w:ascii="Arial" w:hAnsi="Arial" w:cs="Arial"/>
          <w:sz w:val="20"/>
          <w:szCs w:val="20"/>
          <w:u w:color="000000"/>
        </w:rPr>
      </w:pPr>
      <w:r w:rsidRPr="00592D81">
        <w:rPr>
          <w:rFonts w:ascii="Arial" w:hAnsi="Arial" w:cs="Arial"/>
          <w:sz w:val="20"/>
          <w:szCs w:val="20"/>
          <w:u w:color="000000"/>
        </w:rPr>
        <w:t>S</w:t>
      </w:r>
      <w:r w:rsidR="000A0BD3" w:rsidRPr="00592D81">
        <w:rPr>
          <w:rFonts w:ascii="Arial" w:hAnsi="Arial" w:cs="Arial"/>
          <w:sz w:val="20"/>
          <w:szCs w:val="20"/>
          <w:u w:color="000000"/>
        </w:rPr>
        <w:t>elección, adquisición o disposición de activos</w:t>
      </w:r>
      <w:r w:rsidRPr="00592D81">
        <w:rPr>
          <w:rFonts w:ascii="Arial" w:hAnsi="Arial" w:cs="Arial"/>
          <w:sz w:val="20"/>
          <w:szCs w:val="20"/>
          <w:u w:color="000000"/>
        </w:rPr>
        <w:t>.</w:t>
      </w:r>
    </w:p>
    <w:p w:rsidR="000A0BD3" w:rsidRPr="00592D81" w:rsidRDefault="003D4745" w:rsidP="00716A05">
      <w:pPr>
        <w:pStyle w:val="Prrafodelista"/>
        <w:numPr>
          <w:ilvl w:val="1"/>
          <w:numId w:val="29"/>
        </w:numPr>
        <w:ind w:left="1985"/>
        <w:jc w:val="both"/>
        <w:rPr>
          <w:rFonts w:ascii="Arial" w:hAnsi="Arial" w:cs="Arial"/>
          <w:sz w:val="20"/>
          <w:szCs w:val="20"/>
          <w:u w:color="000000"/>
        </w:rPr>
      </w:pPr>
      <w:r w:rsidRPr="00592D81">
        <w:rPr>
          <w:rFonts w:ascii="Arial" w:hAnsi="Arial" w:cs="Arial"/>
          <w:sz w:val="20"/>
          <w:szCs w:val="20"/>
          <w:u w:color="000000"/>
        </w:rPr>
        <w:t>I</w:t>
      </w:r>
      <w:r w:rsidR="000A0BD3" w:rsidRPr="00592D81">
        <w:rPr>
          <w:rFonts w:ascii="Arial" w:hAnsi="Arial" w:cs="Arial"/>
          <w:sz w:val="20"/>
          <w:szCs w:val="20"/>
          <w:u w:color="000000"/>
        </w:rPr>
        <w:t>nvestigación y desarrollo de nuevos productos o procesos</w:t>
      </w:r>
      <w:r w:rsidRPr="00592D81">
        <w:rPr>
          <w:rFonts w:ascii="Arial" w:hAnsi="Arial" w:cs="Arial"/>
          <w:sz w:val="20"/>
          <w:szCs w:val="20"/>
          <w:u w:color="000000"/>
        </w:rPr>
        <w:t>.</w:t>
      </w:r>
    </w:p>
    <w:p w:rsidR="000A0BD3" w:rsidRPr="00592D81" w:rsidRDefault="003D4745" w:rsidP="00716A05">
      <w:pPr>
        <w:pStyle w:val="Prrafodelista"/>
        <w:numPr>
          <w:ilvl w:val="1"/>
          <w:numId w:val="29"/>
        </w:numPr>
        <w:ind w:left="1985"/>
        <w:jc w:val="both"/>
        <w:rPr>
          <w:rFonts w:ascii="Arial" w:hAnsi="Arial" w:cs="Arial"/>
          <w:sz w:val="20"/>
          <w:szCs w:val="20"/>
          <w:u w:color="000000"/>
        </w:rPr>
      </w:pPr>
      <w:r w:rsidRPr="00592D81">
        <w:rPr>
          <w:rFonts w:ascii="Arial" w:hAnsi="Arial" w:cs="Arial"/>
          <w:sz w:val="20"/>
          <w:szCs w:val="20"/>
          <w:u w:color="000000"/>
        </w:rPr>
        <w:t>D</w:t>
      </w:r>
      <w:r w:rsidR="000A0BD3" w:rsidRPr="00592D81">
        <w:rPr>
          <w:rFonts w:ascii="Arial" w:hAnsi="Arial" w:cs="Arial"/>
          <w:sz w:val="20"/>
          <w:szCs w:val="20"/>
          <w:u w:color="000000"/>
        </w:rPr>
        <w:t>eterminación de una estructura de financiación u obtención de financiación.</w:t>
      </w:r>
    </w:p>
    <w:p w:rsidR="00176C0B" w:rsidRPr="00592D81" w:rsidRDefault="00421257" w:rsidP="003D4745">
      <w:pPr>
        <w:ind w:left="1418"/>
        <w:jc w:val="both"/>
        <w:rPr>
          <w:rFonts w:ascii="Arial" w:hAnsi="Arial" w:cs="Arial"/>
          <w:sz w:val="20"/>
          <w:szCs w:val="20"/>
        </w:rPr>
      </w:pPr>
      <w:r w:rsidRPr="00592D81">
        <w:rPr>
          <w:rFonts w:ascii="Arial" w:hAnsi="Arial" w:cs="Arial"/>
          <w:sz w:val="20"/>
          <w:szCs w:val="20"/>
          <w:u w:val="single" w:color="000000"/>
        </w:rPr>
        <w:t>Control (sobre otra entidad)</w:t>
      </w:r>
      <w:r w:rsidRPr="00592D81">
        <w:rPr>
          <w:rFonts w:ascii="Arial" w:hAnsi="Arial" w:cs="Arial"/>
          <w:sz w:val="20"/>
          <w:szCs w:val="20"/>
        </w:rPr>
        <w:t xml:space="preserve">: Una entidad tiene control sobre </w:t>
      </w:r>
      <w:r w:rsidR="00F072CC" w:rsidRPr="00592D81">
        <w:rPr>
          <w:rFonts w:ascii="Arial" w:hAnsi="Arial" w:cs="Arial"/>
          <w:sz w:val="20"/>
          <w:szCs w:val="20"/>
        </w:rPr>
        <w:t>una</w:t>
      </w:r>
      <w:r w:rsidRPr="00592D81">
        <w:rPr>
          <w:rFonts w:ascii="Arial" w:hAnsi="Arial" w:cs="Arial"/>
          <w:sz w:val="20"/>
          <w:szCs w:val="20"/>
        </w:rPr>
        <w:t xml:space="preserve"> participada</w:t>
      </w:r>
      <w:r w:rsidR="00176C0B" w:rsidRPr="00592D81">
        <w:rPr>
          <w:rFonts w:ascii="Arial" w:hAnsi="Arial" w:cs="Arial"/>
          <w:sz w:val="20"/>
          <w:szCs w:val="20"/>
        </w:rPr>
        <w:t>:</w:t>
      </w:r>
    </w:p>
    <w:p w:rsidR="00176C0B" w:rsidRPr="00592D81" w:rsidRDefault="00421257" w:rsidP="00C01B25">
      <w:pPr>
        <w:pStyle w:val="Prrafodelista"/>
        <w:numPr>
          <w:ilvl w:val="0"/>
          <w:numId w:val="669"/>
        </w:numPr>
        <w:ind w:left="1985"/>
        <w:jc w:val="both"/>
        <w:rPr>
          <w:rFonts w:ascii="Arial" w:hAnsi="Arial" w:cs="Arial"/>
          <w:sz w:val="20"/>
          <w:szCs w:val="20"/>
        </w:rPr>
      </w:pPr>
      <w:r w:rsidRPr="00592D81">
        <w:rPr>
          <w:rFonts w:ascii="Arial" w:hAnsi="Arial" w:cs="Arial"/>
          <w:sz w:val="20"/>
          <w:szCs w:val="20"/>
        </w:rPr>
        <w:t>cuando</w:t>
      </w:r>
      <w:r w:rsidR="001D3DDB" w:rsidRPr="00592D81">
        <w:rPr>
          <w:rFonts w:ascii="Arial" w:hAnsi="Arial" w:cs="Arial"/>
          <w:sz w:val="20"/>
          <w:szCs w:val="20"/>
        </w:rPr>
        <w:t xml:space="preserve"> </w:t>
      </w:r>
      <w:r w:rsidR="00A10DEE" w:rsidRPr="00592D81">
        <w:rPr>
          <w:rFonts w:ascii="Arial" w:hAnsi="Arial" w:cs="Arial"/>
          <w:sz w:val="20"/>
          <w:szCs w:val="20"/>
        </w:rPr>
        <w:t xml:space="preserve">detenta el poder para dirigir </w:t>
      </w:r>
      <w:r w:rsidR="00176C0B" w:rsidRPr="00592D81">
        <w:rPr>
          <w:rFonts w:ascii="Arial" w:hAnsi="Arial" w:cs="Arial"/>
          <w:sz w:val="20"/>
          <w:szCs w:val="20"/>
        </w:rPr>
        <w:t>las actividades relevantes de la segunda; y</w:t>
      </w:r>
    </w:p>
    <w:p w:rsidR="00421257" w:rsidRPr="00592D81" w:rsidRDefault="00176C0B" w:rsidP="00C01B25">
      <w:pPr>
        <w:pStyle w:val="Prrafodelista"/>
        <w:numPr>
          <w:ilvl w:val="0"/>
          <w:numId w:val="669"/>
        </w:numPr>
        <w:ind w:left="1985"/>
        <w:jc w:val="both"/>
        <w:rPr>
          <w:rFonts w:ascii="Arial" w:hAnsi="Arial" w:cs="Arial"/>
          <w:sz w:val="20"/>
          <w:szCs w:val="20"/>
        </w:rPr>
      </w:pPr>
      <w:r w:rsidRPr="00592D81">
        <w:rPr>
          <w:rFonts w:ascii="Arial" w:hAnsi="Arial" w:cs="Arial"/>
          <w:sz w:val="20"/>
          <w:szCs w:val="20"/>
        </w:rPr>
        <w:t xml:space="preserve">utiliza </w:t>
      </w:r>
      <w:r w:rsidR="003F01A6" w:rsidRPr="00592D81">
        <w:rPr>
          <w:rFonts w:ascii="Arial" w:hAnsi="Arial" w:cs="Arial"/>
          <w:sz w:val="20"/>
          <w:szCs w:val="20"/>
        </w:rPr>
        <w:t>su</w:t>
      </w:r>
      <w:r w:rsidRPr="00592D81">
        <w:rPr>
          <w:rFonts w:ascii="Arial" w:hAnsi="Arial" w:cs="Arial"/>
          <w:sz w:val="20"/>
          <w:szCs w:val="20"/>
        </w:rPr>
        <w:t xml:space="preserve"> poder </w:t>
      </w:r>
      <w:r w:rsidR="003F01A6" w:rsidRPr="00592D81">
        <w:rPr>
          <w:rFonts w:ascii="Arial" w:hAnsi="Arial" w:cs="Arial"/>
          <w:sz w:val="20"/>
          <w:szCs w:val="20"/>
        </w:rPr>
        <w:t xml:space="preserve">sobre la participada </w:t>
      </w:r>
      <w:r w:rsidRPr="00592D81">
        <w:rPr>
          <w:rFonts w:ascii="Arial" w:hAnsi="Arial" w:cs="Arial"/>
          <w:sz w:val="20"/>
          <w:szCs w:val="20"/>
        </w:rPr>
        <w:t>como principal</w:t>
      </w:r>
      <w:r w:rsidR="003F01A6" w:rsidRPr="00592D81">
        <w:rPr>
          <w:rFonts w:ascii="Arial" w:hAnsi="Arial" w:cs="Arial"/>
          <w:sz w:val="20"/>
          <w:szCs w:val="20"/>
        </w:rPr>
        <w:t>,</w:t>
      </w:r>
      <w:r w:rsidRPr="00592D81">
        <w:rPr>
          <w:rFonts w:ascii="Arial" w:hAnsi="Arial" w:cs="Arial"/>
          <w:sz w:val="20"/>
          <w:szCs w:val="20"/>
        </w:rPr>
        <w:t xml:space="preserve"> y no como mandataria de otra parte.</w:t>
      </w:r>
    </w:p>
    <w:p w:rsidR="00421257" w:rsidRPr="00592D81" w:rsidRDefault="00421257" w:rsidP="00716A05">
      <w:pPr>
        <w:ind w:left="1418"/>
        <w:jc w:val="both"/>
        <w:rPr>
          <w:rFonts w:ascii="Arial" w:hAnsi="Arial" w:cs="Arial"/>
          <w:sz w:val="20"/>
          <w:szCs w:val="20"/>
        </w:rPr>
      </w:pPr>
      <w:r w:rsidRPr="00592D81">
        <w:rPr>
          <w:rFonts w:ascii="Arial" w:hAnsi="Arial" w:cs="Arial"/>
          <w:sz w:val="20"/>
          <w:szCs w:val="20"/>
          <w:u w:val="single" w:color="000000"/>
        </w:rPr>
        <w:t>Controlada (subsidiaria)</w:t>
      </w:r>
      <w:r w:rsidRPr="00592D81">
        <w:rPr>
          <w:rFonts w:ascii="Arial" w:hAnsi="Arial" w:cs="Arial"/>
          <w:sz w:val="20"/>
          <w:szCs w:val="20"/>
        </w:rPr>
        <w:t xml:space="preserve">: </w:t>
      </w:r>
      <w:r w:rsidR="00176C0B" w:rsidRPr="00592D81">
        <w:rPr>
          <w:rFonts w:ascii="Arial" w:hAnsi="Arial" w:cs="Arial"/>
          <w:sz w:val="20"/>
          <w:szCs w:val="20"/>
        </w:rPr>
        <w:t>E</w:t>
      </w:r>
      <w:r w:rsidRPr="00592D81">
        <w:rPr>
          <w:rFonts w:ascii="Arial" w:hAnsi="Arial" w:cs="Arial"/>
          <w:sz w:val="20"/>
          <w:szCs w:val="20"/>
        </w:rPr>
        <w:t xml:space="preserve">ntidad </w:t>
      </w:r>
      <w:r w:rsidR="00F072CC" w:rsidRPr="00592D81">
        <w:rPr>
          <w:rFonts w:ascii="Arial" w:hAnsi="Arial" w:cs="Arial"/>
          <w:sz w:val="20"/>
          <w:szCs w:val="20"/>
        </w:rPr>
        <w:t xml:space="preserve">controlada, directa o indirectamente, por una entidad </w:t>
      </w:r>
      <w:r w:rsidR="002C3D12" w:rsidRPr="00592D81">
        <w:rPr>
          <w:rFonts w:ascii="Arial" w:hAnsi="Arial" w:cs="Arial"/>
          <w:sz w:val="20"/>
          <w:szCs w:val="20"/>
        </w:rPr>
        <w:t>controladora</w:t>
      </w:r>
      <w:r w:rsidR="00F072CC" w:rsidRPr="00592D81">
        <w:rPr>
          <w:rFonts w:ascii="Arial" w:hAnsi="Arial" w:cs="Arial"/>
          <w:sz w:val="20"/>
          <w:szCs w:val="20"/>
        </w:rPr>
        <w:t>.</w:t>
      </w:r>
    </w:p>
    <w:p w:rsidR="000A0BD3" w:rsidRPr="00592D81" w:rsidRDefault="000A0BD3" w:rsidP="00716A05">
      <w:pPr>
        <w:ind w:left="1418"/>
        <w:jc w:val="both"/>
        <w:rPr>
          <w:rFonts w:ascii="Arial" w:hAnsi="Arial" w:cs="Arial"/>
          <w:sz w:val="20"/>
          <w:szCs w:val="20"/>
        </w:rPr>
      </w:pPr>
      <w:r w:rsidRPr="00592D81">
        <w:rPr>
          <w:rFonts w:ascii="Arial" w:hAnsi="Arial" w:cs="Arial"/>
          <w:sz w:val="20"/>
          <w:szCs w:val="20"/>
          <w:u w:val="single"/>
        </w:rPr>
        <w:t>Decisiones sobre actividades relevante</w:t>
      </w:r>
      <w:r w:rsidR="00032FED" w:rsidRPr="00592D81">
        <w:rPr>
          <w:rFonts w:ascii="Arial" w:hAnsi="Arial" w:cs="Arial"/>
          <w:sz w:val="20"/>
          <w:szCs w:val="20"/>
          <w:u w:val="single"/>
        </w:rPr>
        <w:t>s</w:t>
      </w:r>
      <w:r w:rsidRPr="00592D81">
        <w:rPr>
          <w:rFonts w:ascii="Arial" w:hAnsi="Arial" w:cs="Arial"/>
          <w:sz w:val="20"/>
          <w:szCs w:val="20"/>
        </w:rPr>
        <w:t xml:space="preserve">: </w:t>
      </w:r>
      <w:r w:rsidR="00032FED" w:rsidRPr="00592D81">
        <w:rPr>
          <w:rFonts w:ascii="Arial" w:hAnsi="Arial" w:cs="Arial"/>
          <w:sz w:val="20"/>
          <w:szCs w:val="20"/>
        </w:rPr>
        <w:t>I</w:t>
      </w:r>
      <w:r w:rsidR="00716A05" w:rsidRPr="00592D81">
        <w:rPr>
          <w:rFonts w:ascii="Arial" w:hAnsi="Arial" w:cs="Arial"/>
          <w:sz w:val="20"/>
          <w:szCs w:val="20"/>
        </w:rPr>
        <w:t>ncluyen,</w:t>
      </w:r>
      <w:r w:rsidRPr="00592D81">
        <w:rPr>
          <w:rFonts w:ascii="Arial" w:hAnsi="Arial" w:cs="Arial"/>
          <w:sz w:val="20"/>
          <w:szCs w:val="20"/>
        </w:rPr>
        <w:t xml:space="preserve"> pero no se limitan</w:t>
      </w:r>
      <w:r w:rsidR="00032FED" w:rsidRPr="00592D81">
        <w:rPr>
          <w:rFonts w:ascii="Arial" w:hAnsi="Arial" w:cs="Arial"/>
          <w:sz w:val="20"/>
          <w:szCs w:val="20"/>
        </w:rPr>
        <w:t>,</w:t>
      </w:r>
      <w:r w:rsidRPr="00592D81">
        <w:rPr>
          <w:rFonts w:ascii="Arial" w:hAnsi="Arial" w:cs="Arial"/>
          <w:sz w:val="20"/>
          <w:szCs w:val="20"/>
        </w:rPr>
        <w:t xml:space="preserve"> a:</w:t>
      </w:r>
    </w:p>
    <w:p w:rsidR="000A0BD3" w:rsidRPr="00592D81" w:rsidRDefault="00032FED" w:rsidP="00C01B25">
      <w:pPr>
        <w:pStyle w:val="Prrafodelista"/>
        <w:numPr>
          <w:ilvl w:val="0"/>
          <w:numId w:val="631"/>
        </w:numPr>
        <w:ind w:left="1985"/>
        <w:jc w:val="both"/>
        <w:rPr>
          <w:rFonts w:ascii="Arial" w:hAnsi="Arial" w:cs="Arial"/>
          <w:sz w:val="20"/>
          <w:szCs w:val="20"/>
          <w:u w:color="000000"/>
        </w:rPr>
      </w:pPr>
      <w:r w:rsidRPr="00592D81">
        <w:rPr>
          <w:rFonts w:ascii="Arial" w:hAnsi="Arial" w:cs="Arial"/>
          <w:sz w:val="20"/>
          <w:szCs w:val="20"/>
          <w:u w:color="000000"/>
        </w:rPr>
        <w:t>E</w:t>
      </w:r>
      <w:r w:rsidR="000A0BD3" w:rsidRPr="00592D81">
        <w:rPr>
          <w:rFonts w:ascii="Arial" w:hAnsi="Arial" w:cs="Arial"/>
          <w:sz w:val="20"/>
          <w:szCs w:val="20"/>
          <w:u w:color="000000"/>
        </w:rPr>
        <w:t>l establecimiento de decisiones de capital y operativas de la participada, incluyendo presupuestos</w:t>
      </w:r>
      <w:r w:rsidRPr="00592D81">
        <w:rPr>
          <w:rFonts w:ascii="Arial" w:hAnsi="Arial" w:cs="Arial"/>
          <w:sz w:val="20"/>
          <w:szCs w:val="20"/>
          <w:u w:color="000000"/>
        </w:rPr>
        <w:t>.</w:t>
      </w:r>
    </w:p>
    <w:p w:rsidR="000A0BD3" w:rsidRPr="00592D81" w:rsidRDefault="00032FED" w:rsidP="00C01B25">
      <w:pPr>
        <w:pStyle w:val="Prrafodelista"/>
        <w:numPr>
          <w:ilvl w:val="0"/>
          <w:numId w:val="631"/>
        </w:numPr>
        <w:ind w:left="1985"/>
        <w:jc w:val="both"/>
        <w:rPr>
          <w:rFonts w:ascii="Arial" w:hAnsi="Arial" w:cs="Arial"/>
          <w:sz w:val="20"/>
          <w:szCs w:val="20"/>
          <w:u w:color="000000"/>
        </w:rPr>
      </w:pPr>
      <w:r w:rsidRPr="00592D81">
        <w:rPr>
          <w:rFonts w:ascii="Arial" w:hAnsi="Arial" w:cs="Arial"/>
          <w:sz w:val="20"/>
          <w:szCs w:val="20"/>
          <w:u w:color="000000"/>
        </w:rPr>
        <w:t>E</w:t>
      </w:r>
      <w:r w:rsidR="000A0BD3" w:rsidRPr="00592D81">
        <w:rPr>
          <w:rFonts w:ascii="Arial" w:hAnsi="Arial" w:cs="Arial"/>
          <w:sz w:val="20"/>
          <w:szCs w:val="20"/>
          <w:u w:color="000000"/>
        </w:rPr>
        <w:t xml:space="preserve">l nombramiento y remuneración del personal clave de la </w:t>
      </w:r>
      <w:r w:rsidR="009F5573" w:rsidRPr="00592D81">
        <w:rPr>
          <w:rFonts w:ascii="Arial" w:hAnsi="Arial" w:cs="Arial"/>
          <w:b/>
          <w:bCs/>
          <w:sz w:val="20"/>
          <w:szCs w:val="20"/>
          <w:u w:color="000000"/>
        </w:rPr>
        <w:t>dirección</w:t>
      </w:r>
      <w:r w:rsidR="000A0BD3" w:rsidRPr="00592D81">
        <w:rPr>
          <w:rFonts w:ascii="Arial" w:hAnsi="Arial" w:cs="Arial"/>
          <w:sz w:val="20"/>
          <w:szCs w:val="20"/>
          <w:u w:color="000000"/>
        </w:rPr>
        <w:t xml:space="preserve"> de la participada o suministradores de servicios</w:t>
      </w:r>
      <w:r w:rsidR="00D71850" w:rsidRPr="00592D81">
        <w:rPr>
          <w:rFonts w:ascii="Arial" w:hAnsi="Arial" w:cs="Arial"/>
          <w:sz w:val="20"/>
          <w:szCs w:val="20"/>
          <w:u w:color="000000"/>
        </w:rPr>
        <w:t xml:space="preserve"> de gerenciamiento</w:t>
      </w:r>
      <w:r w:rsidR="000A0BD3" w:rsidRPr="00592D81">
        <w:rPr>
          <w:rFonts w:ascii="Arial" w:hAnsi="Arial" w:cs="Arial"/>
          <w:sz w:val="20"/>
          <w:szCs w:val="20"/>
          <w:u w:color="000000"/>
        </w:rPr>
        <w:t xml:space="preserve"> y rescisión de sus servicios o empleo.</w:t>
      </w:r>
    </w:p>
    <w:p w:rsidR="00421257" w:rsidRPr="00592D81" w:rsidRDefault="00421257" w:rsidP="00716A05">
      <w:pPr>
        <w:ind w:left="1418"/>
        <w:jc w:val="both"/>
        <w:rPr>
          <w:rFonts w:ascii="Arial" w:hAnsi="Arial" w:cs="Arial"/>
          <w:sz w:val="20"/>
          <w:szCs w:val="20"/>
        </w:rPr>
      </w:pPr>
      <w:r w:rsidRPr="00592D81">
        <w:rPr>
          <w:rFonts w:ascii="Arial" w:hAnsi="Arial" w:cs="Arial"/>
          <w:sz w:val="20"/>
          <w:szCs w:val="20"/>
          <w:u w:val="single" w:color="000000"/>
        </w:rPr>
        <w:t>Entidad</w:t>
      </w:r>
      <w:r w:rsidRPr="00592D81">
        <w:rPr>
          <w:rFonts w:ascii="Arial" w:hAnsi="Arial" w:cs="Arial"/>
          <w:sz w:val="20"/>
          <w:szCs w:val="20"/>
          <w:u w:color="000000"/>
        </w:rPr>
        <w:t>:</w:t>
      </w:r>
      <w:r w:rsidRPr="00592D81">
        <w:rPr>
          <w:rFonts w:ascii="Arial" w:hAnsi="Arial" w:cs="Arial"/>
          <w:sz w:val="20"/>
          <w:szCs w:val="20"/>
        </w:rPr>
        <w:t xml:space="preserve"> </w:t>
      </w:r>
      <w:r w:rsidR="00243031" w:rsidRPr="00592D81">
        <w:rPr>
          <w:rFonts w:ascii="Arial" w:hAnsi="Arial" w:cs="Arial"/>
          <w:sz w:val="20"/>
          <w:szCs w:val="20"/>
        </w:rPr>
        <w:t>Entidad que</w:t>
      </w:r>
      <w:r w:rsidR="00F072CC" w:rsidRPr="00592D81">
        <w:rPr>
          <w:rFonts w:ascii="Arial" w:hAnsi="Arial" w:cs="Arial"/>
          <w:sz w:val="20"/>
          <w:szCs w:val="20"/>
        </w:rPr>
        <w:t xml:space="preserve"> tiene la obligación</w:t>
      </w:r>
      <w:r w:rsidR="00F35289" w:rsidRPr="00592D81">
        <w:rPr>
          <w:rFonts w:ascii="Arial" w:hAnsi="Arial" w:cs="Arial"/>
          <w:sz w:val="20"/>
          <w:szCs w:val="20"/>
        </w:rPr>
        <w:t xml:space="preserve"> de,</w:t>
      </w:r>
      <w:r w:rsidR="00F072CC" w:rsidRPr="00592D81">
        <w:rPr>
          <w:rFonts w:ascii="Arial" w:hAnsi="Arial" w:cs="Arial"/>
          <w:sz w:val="20"/>
          <w:szCs w:val="20"/>
        </w:rPr>
        <w:t xml:space="preserve"> u opta por</w:t>
      </w:r>
      <w:r w:rsidR="00F35289" w:rsidRPr="00592D81">
        <w:rPr>
          <w:rFonts w:ascii="Arial" w:hAnsi="Arial" w:cs="Arial"/>
          <w:sz w:val="20"/>
          <w:szCs w:val="20"/>
        </w:rPr>
        <w:t>,</w:t>
      </w:r>
      <w:r w:rsidR="00F072CC" w:rsidRPr="00592D81">
        <w:rPr>
          <w:rFonts w:ascii="Arial" w:hAnsi="Arial" w:cs="Arial"/>
          <w:sz w:val="20"/>
          <w:szCs w:val="20"/>
        </w:rPr>
        <w:t xml:space="preserve"> presentar </w:t>
      </w:r>
      <w:r w:rsidR="00F072CC" w:rsidRPr="00592D81">
        <w:rPr>
          <w:rFonts w:ascii="Arial" w:hAnsi="Arial" w:cs="Arial"/>
          <w:b/>
          <w:bCs/>
          <w:sz w:val="20"/>
          <w:szCs w:val="20"/>
        </w:rPr>
        <w:t>estados contables</w:t>
      </w:r>
      <w:r w:rsidR="00F072CC" w:rsidRPr="00592D81">
        <w:rPr>
          <w:rFonts w:ascii="Arial" w:hAnsi="Arial" w:cs="Arial"/>
          <w:sz w:val="20"/>
          <w:szCs w:val="20"/>
        </w:rPr>
        <w:t>. N</w:t>
      </w:r>
      <w:r w:rsidRPr="00592D81">
        <w:rPr>
          <w:rFonts w:ascii="Arial" w:hAnsi="Arial" w:cs="Arial"/>
          <w:sz w:val="20"/>
          <w:szCs w:val="20"/>
        </w:rPr>
        <w:t xml:space="preserve">o es relevante </w:t>
      </w:r>
      <w:r w:rsidR="00F072CC" w:rsidRPr="00592D81">
        <w:rPr>
          <w:rFonts w:ascii="Arial" w:hAnsi="Arial" w:cs="Arial"/>
          <w:sz w:val="20"/>
          <w:szCs w:val="20"/>
        </w:rPr>
        <w:t xml:space="preserve">su </w:t>
      </w:r>
      <w:r w:rsidRPr="00592D81">
        <w:rPr>
          <w:rFonts w:ascii="Arial" w:hAnsi="Arial" w:cs="Arial"/>
          <w:sz w:val="20"/>
          <w:szCs w:val="20"/>
        </w:rPr>
        <w:t xml:space="preserve">personalidad jurídica (por ejemplo, un fideicomiso no cuenta con personalidad jurídica, pero se considera </w:t>
      </w:r>
      <w:r w:rsidR="00F35289" w:rsidRPr="00592D81">
        <w:rPr>
          <w:rFonts w:ascii="Arial" w:hAnsi="Arial" w:cs="Arial"/>
          <w:sz w:val="20"/>
          <w:szCs w:val="20"/>
        </w:rPr>
        <w:t xml:space="preserve">entidad </w:t>
      </w:r>
      <w:r w:rsidR="00275D60" w:rsidRPr="00592D81">
        <w:rPr>
          <w:rFonts w:ascii="Arial" w:hAnsi="Arial" w:cs="Arial"/>
          <w:sz w:val="20"/>
          <w:szCs w:val="20"/>
        </w:rPr>
        <w:t>para fines</w:t>
      </w:r>
      <w:r w:rsidR="00F35289" w:rsidRPr="00592D81">
        <w:rPr>
          <w:rFonts w:ascii="Arial" w:hAnsi="Arial" w:cs="Arial"/>
          <w:sz w:val="20"/>
          <w:szCs w:val="20"/>
        </w:rPr>
        <w:t xml:space="preserve"> contables</w:t>
      </w:r>
      <w:r w:rsidRPr="00592D81">
        <w:rPr>
          <w:rFonts w:ascii="Arial" w:hAnsi="Arial" w:cs="Arial"/>
          <w:sz w:val="20"/>
          <w:szCs w:val="20"/>
        </w:rPr>
        <w:t xml:space="preserve">). </w:t>
      </w:r>
    </w:p>
    <w:p w:rsidR="00421257" w:rsidRPr="00AC4AEA" w:rsidRDefault="00421257" w:rsidP="00716A05">
      <w:pPr>
        <w:ind w:left="1418"/>
        <w:jc w:val="both"/>
        <w:rPr>
          <w:rFonts w:ascii="Arial" w:hAnsi="Arial" w:cs="Arial"/>
          <w:sz w:val="20"/>
          <w:szCs w:val="20"/>
        </w:rPr>
      </w:pPr>
      <w:r w:rsidRPr="00592D81">
        <w:rPr>
          <w:rFonts w:ascii="Arial" w:hAnsi="Arial" w:cs="Arial"/>
          <w:sz w:val="20"/>
          <w:szCs w:val="20"/>
          <w:u w:val="single" w:color="000000"/>
        </w:rPr>
        <w:t>Entidad controladora:</w:t>
      </w:r>
      <w:r w:rsidRPr="00592D81">
        <w:rPr>
          <w:rFonts w:ascii="Arial" w:hAnsi="Arial" w:cs="Arial"/>
          <w:sz w:val="20"/>
          <w:szCs w:val="20"/>
        </w:rPr>
        <w:t xml:space="preserve"> </w:t>
      </w:r>
      <w:r w:rsidR="00F072CC" w:rsidRPr="00592D81">
        <w:rPr>
          <w:rFonts w:ascii="Arial" w:hAnsi="Arial" w:cs="Arial"/>
          <w:b/>
          <w:bCs/>
          <w:sz w:val="20"/>
          <w:szCs w:val="20"/>
        </w:rPr>
        <w:t>E</w:t>
      </w:r>
      <w:r w:rsidRPr="00592D81">
        <w:rPr>
          <w:rFonts w:ascii="Arial" w:hAnsi="Arial" w:cs="Arial"/>
          <w:b/>
          <w:bCs/>
          <w:sz w:val="20"/>
          <w:szCs w:val="20"/>
        </w:rPr>
        <w:t>ntidad emisora de estados contables</w:t>
      </w:r>
      <w:r w:rsidRPr="00592D81">
        <w:rPr>
          <w:rFonts w:ascii="Arial" w:hAnsi="Arial" w:cs="Arial"/>
          <w:sz w:val="20"/>
          <w:szCs w:val="20"/>
        </w:rPr>
        <w:t xml:space="preserve"> que controla a otra</w:t>
      </w:r>
      <w:r w:rsidR="002C3D12" w:rsidRPr="00592D81">
        <w:rPr>
          <w:rFonts w:ascii="Arial" w:hAnsi="Arial" w:cs="Arial"/>
          <w:sz w:val="20"/>
          <w:szCs w:val="20"/>
        </w:rPr>
        <w:t>s</w:t>
      </w:r>
      <w:r w:rsidRPr="00592D81">
        <w:rPr>
          <w:rFonts w:ascii="Arial" w:hAnsi="Arial" w:cs="Arial"/>
          <w:sz w:val="20"/>
          <w:szCs w:val="20"/>
        </w:rPr>
        <w:t xml:space="preserve"> entidad</w:t>
      </w:r>
      <w:r w:rsidR="002C3D12" w:rsidRPr="00592D81">
        <w:rPr>
          <w:rFonts w:ascii="Arial" w:hAnsi="Arial" w:cs="Arial"/>
          <w:sz w:val="20"/>
          <w:szCs w:val="20"/>
        </w:rPr>
        <w:t>es</w:t>
      </w:r>
      <w:r w:rsidRPr="00592D81">
        <w:rPr>
          <w:rFonts w:ascii="Arial" w:hAnsi="Arial" w:cs="Arial"/>
          <w:sz w:val="20"/>
          <w:szCs w:val="20"/>
        </w:rPr>
        <w:t xml:space="preserve">, </w:t>
      </w:r>
      <w:r w:rsidR="007E7A8C" w:rsidRPr="00592D81">
        <w:rPr>
          <w:rFonts w:ascii="Arial" w:hAnsi="Arial" w:cs="Arial"/>
          <w:sz w:val="20"/>
          <w:szCs w:val="20"/>
        </w:rPr>
        <w:t>de</w:t>
      </w:r>
      <w:r w:rsidRPr="00592D81">
        <w:rPr>
          <w:rFonts w:ascii="Arial" w:hAnsi="Arial" w:cs="Arial"/>
          <w:sz w:val="20"/>
          <w:szCs w:val="20"/>
        </w:rPr>
        <w:t xml:space="preserve"> forma directa o indirecta.</w:t>
      </w:r>
      <w:r w:rsidRPr="00AC4AEA">
        <w:rPr>
          <w:rFonts w:ascii="Arial" w:hAnsi="Arial" w:cs="Arial"/>
          <w:sz w:val="20"/>
          <w:szCs w:val="20"/>
        </w:rPr>
        <w:t xml:space="preserve"> </w:t>
      </w:r>
    </w:p>
    <w:p w:rsidR="00421257" w:rsidRPr="00AC4AEA" w:rsidRDefault="00421257" w:rsidP="00716A05">
      <w:pPr>
        <w:ind w:left="1418"/>
        <w:jc w:val="both"/>
        <w:rPr>
          <w:rFonts w:ascii="Arial" w:hAnsi="Arial" w:cs="Arial"/>
          <w:sz w:val="20"/>
          <w:szCs w:val="20"/>
        </w:rPr>
      </w:pPr>
      <w:r w:rsidRPr="00AC4AEA">
        <w:rPr>
          <w:rFonts w:ascii="Arial" w:hAnsi="Arial" w:cs="Arial"/>
          <w:sz w:val="20"/>
          <w:szCs w:val="20"/>
          <w:u w:val="single" w:color="000000"/>
        </w:rPr>
        <w:t>Grupo económico:</w:t>
      </w:r>
      <w:r w:rsidRPr="00AC4AEA">
        <w:rPr>
          <w:rFonts w:ascii="Arial" w:hAnsi="Arial" w:cs="Arial"/>
          <w:sz w:val="20"/>
          <w:szCs w:val="20"/>
        </w:rPr>
        <w:t xml:space="preserve"> Conjunto de entidades constituido por la entidad controladora y todas sus controladas (subsidiarias). </w:t>
      </w:r>
    </w:p>
    <w:p w:rsidR="00C31BF3" w:rsidRPr="00592D81" w:rsidRDefault="00C31BF3" w:rsidP="009C7F45">
      <w:pPr>
        <w:ind w:left="1418"/>
        <w:jc w:val="both"/>
        <w:rPr>
          <w:rFonts w:ascii="Arial" w:hAnsi="Arial" w:cs="Arial"/>
          <w:sz w:val="20"/>
          <w:szCs w:val="20"/>
        </w:rPr>
      </w:pPr>
      <w:r w:rsidRPr="00AC4AEA">
        <w:rPr>
          <w:rFonts w:ascii="Arial" w:hAnsi="Arial" w:cs="Arial"/>
          <w:sz w:val="20"/>
          <w:szCs w:val="20"/>
          <w:u w:val="single" w:color="000000"/>
        </w:rPr>
        <w:t>Participada</w:t>
      </w:r>
      <w:r w:rsidRPr="00AC4AEA">
        <w:rPr>
          <w:rFonts w:ascii="Arial" w:hAnsi="Arial" w:cs="Arial"/>
          <w:sz w:val="20"/>
          <w:szCs w:val="20"/>
        </w:rPr>
        <w:t xml:space="preserve">: Cualquier </w:t>
      </w:r>
      <w:r w:rsidR="008614C2" w:rsidRPr="00AC4AEA">
        <w:rPr>
          <w:rFonts w:ascii="Arial" w:hAnsi="Arial" w:cs="Arial"/>
          <w:sz w:val="20"/>
          <w:szCs w:val="20"/>
        </w:rPr>
        <w:t>otra entidad</w:t>
      </w:r>
      <w:r w:rsidRPr="00AC4AEA">
        <w:rPr>
          <w:rFonts w:ascii="Arial" w:hAnsi="Arial" w:cs="Arial"/>
          <w:sz w:val="20"/>
          <w:szCs w:val="20"/>
        </w:rPr>
        <w:t xml:space="preserve">, con o sin personalidad jurídica, con </w:t>
      </w:r>
      <w:r w:rsidR="008614C2" w:rsidRPr="00AC4AEA">
        <w:rPr>
          <w:rFonts w:ascii="Arial" w:hAnsi="Arial" w:cs="Arial"/>
          <w:sz w:val="20"/>
          <w:szCs w:val="20"/>
        </w:rPr>
        <w:t>la</w:t>
      </w:r>
      <w:r w:rsidRPr="00AC4AEA">
        <w:rPr>
          <w:rFonts w:ascii="Arial" w:hAnsi="Arial" w:cs="Arial"/>
          <w:sz w:val="20"/>
          <w:szCs w:val="20"/>
        </w:rPr>
        <w:t xml:space="preserve"> cual </w:t>
      </w:r>
      <w:r w:rsidR="00812D88" w:rsidRPr="00592D81">
        <w:rPr>
          <w:rFonts w:ascii="Arial" w:hAnsi="Arial" w:cs="Arial"/>
          <w:sz w:val="20"/>
          <w:szCs w:val="20"/>
        </w:rPr>
        <w:t>l</w:t>
      </w:r>
      <w:r w:rsidRPr="00592D81">
        <w:rPr>
          <w:rFonts w:ascii="Arial" w:hAnsi="Arial" w:cs="Arial"/>
          <w:sz w:val="20"/>
          <w:szCs w:val="20"/>
        </w:rPr>
        <w:t xml:space="preserve">a entidad </w:t>
      </w:r>
      <w:r w:rsidR="008614C2" w:rsidRPr="00592D81">
        <w:rPr>
          <w:rFonts w:ascii="Arial" w:hAnsi="Arial" w:cs="Arial"/>
          <w:sz w:val="20"/>
          <w:szCs w:val="20"/>
        </w:rPr>
        <w:t>mantiene</w:t>
      </w:r>
      <w:r w:rsidRPr="00592D81">
        <w:rPr>
          <w:rFonts w:ascii="Arial" w:hAnsi="Arial" w:cs="Arial"/>
          <w:sz w:val="20"/>
          <w:szCs w:val="20"/>
        </w:rPr>
        <w:t xml:space="preserve"> un vínculo</w:t>
      </w:r>
      <w:r w:rsidR="009C7F45" w:rsidRPr="00592D81">
        <w:rPr>
          <w:rFonts w:ascii="Arial" w:hAnsi="Arial" w:cs="Arial"/>
          <w:sz w:val="20"/>
          <w:szCs w:val="20"/>
        </w:rPr>
        <w:t xml:space="preserve"> –</w:t>
      </w:r>
      <w:r w:rsidRPr="00592D81">
        <w:rPr>
          <w:rFonts w:ascii="Arial" w:hAnsi="Arial" w:cs="Arial"/>
          <w:sz w:val="20"/>
          <w:szCs w:val="20"/>
        </w:rPr>
        <w:t>basado en derechos de voto o de otro tipo</w:t>
      </w:r>
      <w:r w:rsidR="009C7F45" w:rsidRPr="00592D81">
        <w:rPr>
          <w:rFonts w:ascii="Arial" w:hAnsi="Arial" w:cs="Arial"/>
          <w:sz w:val="20"/>
          <w:szCs w:val="20"/>
        </w:rPr>
        <w:t>–, y</w:t>
      </w:r>
      <w:r w:rsidRPr="00592D81">
        <w:rPr>
          <w:rFonts w:ascii="Arial" w:hAnsi="Arial" w:cs="Arial"/>
          <w:sz w:val="20"/>
          <w:szCs w:val="20"/>
        </w:rPr>
        <w:t xml:space="preserve"> como consecuencia de</w:t>
      </w:r>
      <w:r w:rsidR="00812D88" w:rsidRPr="00592D81">
        <w:rPr>
          <w:rFonts w:ascii="Arial" w:hAnsi="Arial" w:cs="Arial"/>
          <w:sz w:val="20"/>
          <w:szCs w:val="20"/>
        </w:rPr>
        <w:t>l</w:t>
      </w:r>
      <w:r w:rsidR="009C7F45" w:rsidRPr="00592D81">
        <w:rPr>
          <w:rFonts w:ascii="Arial" w:hAnsi="Arial" w:cs="Arial"/>
          <w:sz w:val="20"/>
          <w:szCs w:val="20"/>
        </w:rPr>
        <w:t xml:space="preserve"> </w:t>
      </w:r>
      <w:r w:rsidR="00F65157" w:rsidRPr="00592D81">
        <w:rPr>
          <w:rFonts w:ascii="Arial" w:hAnsi="Arial" w:cs="Arial"/>
          <w:sz w:val="20"/>
          <w:szCs w:val="20"/>
        </w:rPr>
        <w:t>cual</w:t>
      </w:r>
      <w:r w:rsidRPr="00592D81">
        <w:rPr>
          <w:rFonts w:ascii="Arial" w:hAnsi="Arial" w:cs="Arial"/>
          <w:sz w:val="20"/>
          <w:szCs w:val="20"/>
        </w:rPr>
        <w:t xml:space="preserve"> </w:t>
      </w:r>
      <w:r w:rsidR="006B55BB" w:rsidRPr="00592D81">
        <w:rPr>
          <w:rFonts w:ascii="Arial" w:hAnsi="Arial" w:cs="Arial"/>
          <w:sz w:val="20"/>
          <w:szCs w:val="20"/>
        </w:rPr>
        <w:t xml:space="preserve">la entidad </w:t>
      </w:r>
      <w:r w:rsidRPr="00592D81">
        <w:rPr>
          <w:rFonts w:ascii="Arial" w:hAnsi="Arial" w:cs="Arial"/>
          <w:sz w:val="20"/>
          <w:szCs w:val="20"/>
        </w:rPr>
        <w:t xml:space="preserve">debe evaluar si </w:t>
      </w:r>
      <w:r w:rsidR="00F65157" w:rsidRPr="00592D81">
        <w:rPr>
          <w:rFonts w:ascii="Arial" w:hAnsi="Arial" w:cs="Arial"/>
          <w:sz w:val="20"/>
          <w:szCs w:val="20"/>
        </w:rPr>
        <w:t>tiene</w:t>
      </w:r>
      <w:r w:rsidRPr="00592D81">
        <w:rPr>
          <w:rFonts w:ascii="Arial" w:hAnsi="Arial" w:cs="Arial"/>
          <w:sz w:val="20"/>
          <w:szCs w:val="20"/>
        </w:rPr>
        <w:t xml:space="preserve"> control</w:t>
      </w:r>
      <w:r w:rsidR="00F65157" w:rsidRPr="00592D81">
        <w:rPr>
          <w:rFonts w:ascii="Arial" w:hAnsi="Arial" w:cs="Arial"/>
          <w:sz w:val="20"/>
          <w:szCs w:val="20"/>
        </w:rPr>
        <w:t xml:space="preserve"> sobre </w:t>
      </w:r>
      <w:r w:rsidR="00243031" w:rsidRPr="00592D81">
        <w:rPr>
          <w:rFonts w:ascii="Arial" w:hAnsi="Arial" w:cs="Arial"/>
          <w:sz w:val="20"/>
          <w:szCs w:val="20"/>
        </w:rPr>
        <w:t>ella.</w:t>
      </w:r>
    </w:p>
    <w:p w:rsidR="00421257" w:rsidRPr="00592D81" w:rsidRDefault="00421257" w:rsidP="00716A05">
      <w:pPr>
        <w:ind w:left="1418"/>
        <w:jc w:val="both"/>
        <w:rPr>
          <w:rFonts w:ascii="Arial" w:hAnsi="Arial" w:cs="Arial"/>
          <w:sz w:val="20"/>
          <w:szCs w:val="20"/>
        </w:rPr>
      </w:pPr>
      <w:r w:rsidRPr="00592D81">
        <w:rPr>
          <w:rFonts w:ascii="Arial" w:hAnsi="Arial" w:cs="Arial"/>
          <w:sz w:val="20"/>
          <w:szCs w:val="20"/>
          <w:u w:val="single" w:color="000000"/>
        </w:rPr>
        <w:t>Participación no controladora</w:t>
      </w:r>
      <w:r w:rsidRPr="00592D81">
        <w:rPr>
          <w:rFonts w:ascii="Arial" w:hAnsi="Arial" w:cs="Arial"/>
          <w:sz w:val="20"/>
          <w:szCs w:val="20"/>
        </w:rPr>
        <w:t xml:space="preserve">: </w:t>
      </w:r>
      <w:r w:rsidR="00243031" w:rsidRPr="00592D81">
        <w:rPr>
          <w:rFonts w:ascii="Arial" w:hAnsi="Arial" w:cs="Arial"/>
          <w:sz w:val="20"/>
          <w:szCs w:val="20"/>
        </w:rPr>
        <w:t>Parte del</w:t>
      </w:r>
      <w:r w:rsidRPr="00592D81">
        <w:rPr>
          <w:rFonts w:ascii="Arial" w:hAnsi="Arial" w:cs="Arial"/>
          <w:sz w:val="20"/>
          <w:szCs w:val="20"/>
        </w:rPr>
        <w:t xml:space="preserve"> </w:t>
      </w:r>
      <w:r w:rsidRPr="00592D81">
        <w:rPr>
          <w:rFonts w:ascii="Arial" w:hAnsi="Arial" w:cs="Arial"/>
          <w:b/>
          <w:bCs/>
          <w:sz w:val="20"/>
          <w:szCs w:val="20"/>
        </w:rPr>
        <w:t>patrimonio neto</w:t>
      </w:r>
      <w:r w:rsidRPr="00592D81">
        <w:rPr>
          <w:rFonts w:ascii="Arial" w:hAnsi="Arial" w:cs="Arial"/>
          <w:sz w:val="20"/>
          <w:szCs w:val="20"/>
        </w:rPr>
        <w:t xml:space="preserve"> de una entidad controlada no atribuible, directa o indirectamente, a la entidad controladora. </w:t>
      </w:r>
    </w:p>
    <w:p w:rsidR="00421257" w:rsidRPr="00592D81" w:rsidRDefault="00421257" w:rsidP="00A318EA">
      <w:pPr>
        <w:spacing w:after="150" w:line="256" w:lineRule="auto"/>
        <w:ind w:left="1332"/>
        <w:jc w:val="both"/>
        <w:rPr>
          <w:rFonts w:ascii="Arial" w:hAnsi="Arial" w:cs="Arial"/>
          <w:sz w:val="20"/>
          <w:szCs w:val="20"/>
        </w:rPr>
      </w:pPr>
      <w:r w:rsidRPr="00592D81">
        <w:rPr>
          <w:rFonts w:ascii="Arial" w:hAnsi="Arial" w:cs="Arial"/>
          <w:sz w:val="20"/>
          <w:szCs w:val="20"/>
        </w:rPr>
        <w:t xml:space="preserve"> </w:t>
      </w:r>
    </w:p>
    <w:p w:rsidR="00421257" w:rsidRPr="00592D81" w:rsidRDefault="00421257" w:rsidP="00A318EA">
      <w:pPr>
        <w:pStyle w:val="Ttulo2"/>
        <w:rPr>
          <w:rFonts w:cs="Arial"/>
        </w:rPr>
      </w:pPr>
      <w:bookmarkStart w:id="1072" w:name="_Toc139356971"/>
      <w:r w:rsidRPr="00592D81">
        <w:rPr>
          <w:rFonts w:cs="Arial"/>
        </w:rPr>
        <w:t>Normas sobre presentación de estados contables consolidados y evaluación de control</w:t>
      </w:r>
      <w:bookmarkEnd w:id="1072"/>
      <w:r w:rsidR="006F2C57">
        <w:rPr>
          <w:rFonts w:cs="Arial"/>
        </w:rPr>
        <w:t xml:space="preserve"> </w:t>
      </w:r>
    </w:p>
    <w:p w:rsidR="00421257" w:rsidRPr="00592D81" w:rsidRDefault="00421257" w:rsidP="00A318EA">
      <w:pPr>
        <w:pStyle w:val="Ttulo3"/>
      </w:pPr>
      <w:bookmarkStart w:id="1073" w:name="_Toc139356972"/>
      <w:r w:rsidRPr="00592D81">
        <w:t>Requerimiento de presentación de estados contables consolidados</w:t>
      </w:r>
      <w:bookmarkEnd w:id="1073"/>
      <w:r w:rsidRPr="00592D81">
        <w:t xml:space="preserve"> </w:t>
      </w:r>
    </w:p>
    <w:p w:rsidR="00421257" w:rsidRPr="00592D81" w:rsidRDefault="00421257" w:rsidP="00A318EA">
      <w:pPr>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Excepto por lo permitido o requerido en los párrafos </w:t>
      </w:r>
      <w:fldSimple w:instr=" REF _Ref131509771 \r \h  \* MERGEFORMAT ">
        <w:r w:rsidR="00D33A5D" w:rsidRPr="00D33A5D">
          <w:rPr>
            <w:rFonts w:ascii="Arial" w:hAnsi="Arial" w:cs="Arial"/>
            <w:sz w:val="20"/>
            <w:szCs w:val="20"/>
          </w:rPr>
          <w:t>767</w:t>
        </w:r>
      </w:fldSimple>
      <w:r w:rsidRPr="00592D81">
        <w:rPr>
          <w:rFonts w:ascii="Arial" w:hAnsi="Arial" w:cs="Arial"/>
          <w:sz w:val="20"/>
          <w:szCs w:val="20"/>
        </w:rPr>
        <w:t xml:space="preserve"> y </w:t>
      </w:r>
      <w:fldSimple w:instr=" REF _Ref131509823 \r \h  \* MERGEFORMAT ">
        <w:r w:rsidR="00D33A5D" w:rsidRPr="00D33A5D">
          <w:rPr>
            <w:rFonts w:ascii="Arial" w:hAnsi="Arial" w:cs="Arial"/>
            <w:sz w:val="20"/>
            <w:szCs w:val="20"/>
          </w:rPr>
          <w:t>769</w:t>
        </w:r>
      </w:fldSimple>
      <w:r w:rsidRPr="00592D81">
        <w:rPr>
          <w:rFonts w:ascii="Arial" w:hAnsi="Arial" w:cs="Arial"/>
          <w:sz w:val="20"/>
          <w:szCs w:val="20"/>
        </w:rPr>
        <w:t xml:space="preserve">, una entidad controladora presentará </w:t>
      </w:r>
      <w:r w:rsidRPr="00592D81">
        <w:rPr>
          <w:rFonts w:ascii="Arial" w:hAnsi="Arial" w:cs="Arial"/>
          <w:b/>
          <w:bCs/>
          <w:sz w:val="20"/>
          <w:szCs w:val="20"/>
        </w:rPr>
        <w:t>estados contables consolidados</w:t>
      </w:r>
      <w:r w:rsidRPr="00592D81">
        <w:rPr>
          <w:rFonts w:ascii="Arial" w:hAnsi="Arial" w:cs="Arial"/>
          <w:sz w:val="20"/>
          <w:szCs w:val="20"/>
        </w:rPr>
        <w:t xml:space="preserve"> que comprendan a todas sus controladas (subsidiarias)</w:t>
      </w:r>
      <w:r w:rsidR="00DB5E36" w:rsidRPr="00592D81">
        <w:rPr>
          <w:rFonts w:ascii="Arial" w:hAnsi="Arial" w:cs="Arial"/>
          <w:sz w:val="20"/>
          <w:szCs w:val="20"/>
        </w:rPr>
        <w:t xml:space="preserve">, sea que las controle de forma directa o </w:t>
      </w:r>
      <w:r w:rsidR="00D357E0" w:rsidRPr="00592D81">
        <w:rPr>
          <w:rFonts w:ascii="Arial" w:hAnsi="Arial" w:cs="Arial"/>
          <w:sz w:val="20"/>
          <w:szCs w:val="20"/>
        </w:rPr>
        <w:t>a través de otras controladas (subsidiarias).</w:t>
      </w:r>
      <w:r w:rsidRPr="00592D81">
        <w:rPr>
          <w:rFonts w:ascii="Arial" w:hAnsi="Arial" w:cs="Arial"/>
          <w:sz w:val="20"/>
          <w:szCs w:val="20"/>
        </w:rPr>
        <w:t xml:space="preserve"> </w:t>
      </w:r>
    </w:p>
    <w:p w:rsidR="00421257" w:rsidRPr="00592D81" w:rsidRDefault="00421257" w:rsidP="00A318EA">
      <w:pPr>
        <w:numPr>
          <w:ilvl w:val="0"/>
          <w:numId w:val="29"/>
        </w:numPr>
        <w:spacing w:after="147" w:line="264" w:lineRule="auto"/>
        <w:jc w:val="both"/>
        <w:rPr>
          <w:rFonts w:ascii="Arial" w:hAnsi="Arial" w:cs="Arial"/>
          <w:sz w:val="20"/>
          <w:szCs w:val="20"/>
        </w:rPr>
      </w:pPr>
      <w:bookmarkStart w:id="1074" w:name="_Ref131509771"/>
      <w:r w:rsidRPr="00592D81">
        <w:rPr>
          <w:rFonts w:ascii="Arial" w:hAnsi="Arial" w:cs="Arial"/>
          <w:sz w:val="20"/>
          <w:szCs w:val="20"/>
        </w:rPr>
        <w:lastRenderedPageBreak/>
        <w:t xml:space="preserve">Una entidad controladora no </w:t>
      </w:r>
      <w:r w:rsidR="00EA279F" w:rsidRPr="00592D81">
        <w:rPr>
          <w:rFonts w:ascii="Arial" w:hAnsi="Arial" w:cs="Arial"/>
          <w:sz w:val="20"/>
          <w:szCs w:val="20"/>
        </w:rPr>
        <w:t>necesita</w:t>
      </w:r>
      <w:r w:rsidRPr="00592D81">
        <w:rPr>
          <w:rFonts w:ascii="Arial" w:hAnsi="Arial" w:cs="Arial"/>
          <w:sz w:val="20"/>
          <w:szCs w:val="20"/>
        </w:rPr>
        <w:t xml:space="preserve"> presentar </w:t>
      </w:r>
      <w:r w:rsidRPr="00592D81">
        <w:rPr>
          <w:rFonts w:ascii="Arial" w:hAnsi="Arial" w:cs="Arial"/>
          <w:b/>
          <w:bCs/>
          <w:sz w:val="20"/>
          <w:szCs w:val="20"/>
        </w:rPr>
        <w:t>estados contables consolidados</w:t>
      </w:r>
      <w:r w:rsidRPr="00592D81">
        <w:rPr>
          <w:rFonts w:ascii="Arial" w:hAnsi="Arial" w:cs="Arial"/>
          <w:sz w:val="20"/>
          <w:szCs w:val="20"/>
        </w:rPr>
        <w:t xml:space="preserve"> si</w:t>
      </w:r>
      <w:r w:rsidR="00D915FC" w:rsidRPr="00592D81">
        <w:rPr>
          <w:rFonts w:ascii="Arial" w:hAnsi="Arial" w:cs="Arial"/>
          <w:sz w:val="20"/>
          <w:szCs w:val="20"/>
        </w:rPr>
        <w:t xml:space="preserve"> cumple todas las condiciones siguientes</w:t>
      </w:r>
      <w:r w:rsidRPr="00592D81">
        <w:rPr>
          <w:rFonts w:ascii="Arial" w:hAnsi="Arial" w:cs="Arial"/>
          <w:sz w:val="20"/>
          <w:szCs w:val="20"/>
        </w:rPr>
        <w:t>:</w:t>
      </w:r>
      <w:bookmarkEnd w:id="1074"/>
    </w:p>
    <w:p w:rsidR="00421257" w:rsidRPr="00592D81" w:rsidRDefault="00421257" w:rsidP="00C01B25">
      <w:pPr>
        <w:pStyle w:val="NUA-Nivel1"/>
        <w:numPr>
          <w:ilvl w:val="0"/>
          <w:numId w:val="560"/>
        </w:numPr>
        <w:ind w:left="1560" w:hanging="567"/>
      </w:pPr>
      <w:r w:rsidRPr="00592D81">
        <w:t xml:space="preserve">la controladora es también controlada y </w:t>
      </w:r>
      <w:r w:rsidR="00F072CC" w:rsidRPr="00592D81">
        <w:t>ningún</w:t>
      </w:r>
      <w:r w:rsidRPr="00592D81">
        <w:t xml:space="preserve"> accionista </w:t>
      </w:r>
      <w:r w:rsidR="00F072CC" w:rsidRPr="00592D81">
        <w:t>manifestó</w:t>
      </w:r>
      <w:r w:rsidRPr="00592D81">
        <w:t xml:space="preserve"> </w:t>
      </w:r>
      <w:r w:rsidR="00F072CC" w:rsidRPr="00592D81">
        <w:t>dis</w:t>
      </w:r>
      <w:r w:rsidRPr="00592D81">
        <w:t xml:space="preserve">conformidad </w:t>
      </w:r>
      <w:r w:rsidR="00F072CC" w:rsidRPr="00592D81">
        <w:t>respecto de la decisión de no presentar</w:t>
      </w:r>
      <w:r w:rsidRPr="00592D81">
        <w:t xml:space="preserve"> </w:t>
      </w:r>
      <w:r w:rsidRPr="00592D81">
        <w:rPr>
          <w:b/>
          <w:bCs/>
        </w:rPr>
        <w:t>estados contables consolidados</w:t>
      </w:r>
      <w:r w:rsidRPr="00592D81">
        <w:t>;</w:t>
      </w:r>
      <w:r w:rsidR="006F2C57">
        <w:t xml:space="preserve"> </w:t>
      </w:r>
    </w:p>
    <w:p w:rsidR="00421257" w:rsidRPr="00592D81" w:rsidRDefault="00421257" w:rsidP="00C01B25">
      <w:pPr>
        <w:pStyle w:val="NUA-Nivel1"/>
        <w:numPr>
          <w:ilvl w:val="0"/>
          <w:numId w:val="560"/>
        </w:numPr>
        <w:ind w:left="1560" w:hanging="567"/>
      </w:pPr>
      <w:r w:rsidRPr="00592D81">
        <w:t>no hace oferta pública de sus valores negociables ni se encuentra en proceso de hacerlo</w:t>
      </w:r>
      <w:r w:rsidR="00F072CC" w:rsidRPr="00592D81">
        <w:t>;</w:t>
      </w:r>
      <w:r w:rsidRPr="00592D81">
        <w:t xml:space="preserve"> y </w:t>
      </w:r>
    </w:p>
    <w:p w:rsidR="00421257" w:rsidRPr="00592D81" w:rsidRDefault="00421257" w:rsidP="00C01B25">
      <w:pPr>
        <w:pStyle w:val="NUA-Nivel1"/>
        <w:numPr>
          <w:ilvl w:val="0"/>
          <w:numId w:val="560"/>
        </w:numPr>
        <w:ind w:left="1560" w:hanging="567"/>
      </w:pPr>
      <w:r w:rsidRPr="00592D81">
        <w:t xml:space="preserve">su última controladora (o alguna de las controladoras intermedias) elaboran </w:t>
      </w:r>
      <w:r w:rsidRPr="00592D81">
        <w:rPr>
          <w:b/>
          <w:bCs/>
        </w:rPr>
        <w:t>estados contables consolidados</w:t>
      </w:r>
      <w:r w:rsidRPr="00592D81">
        <w:t xml:space="preserve"> que cumplan con esta Resolución Técnica</w:t>
      </w:r>
      <w:r w:rsidR="00F072CC" w:rsidRPr="00592D81">
        <w:t>,</w:t>
      </w:r>
      <w:r w:rsidRPr="00592D81">
        <w:t xml:space="preserve"> </w:t>
      </w:r>
      <w:r w:rsidRPr="00592D81">
        <w:rPr>
          <w:b/>
          <w:bCs/>
        </w:rPr>
        <w:t>otras normas contables</w:t>
      </w:r>
      <w:r w:rsidR="00F072CC" w:rsidRPr="00592D81">
        <w:rPr>
          <w:b/>
          <w:bCs/>
        </w:rPr>
        <w:t xml:space="preserve"> </w:t>
      </w:r>
      <w:r w:rsidR="00F072CC" w:rsidRPr="00592D81">
        <w:t>o la Resolución Técnica 26.</w:t>
      </w:r>
    </w:p>
    <w:p w:rsidR="00421257" w:rsidRPr="00592D81" w:rsidRDefault="00421257" w:rsidP="00A318EA">
      <w:pPr>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Cuando aplique lo dispuesto en el párrafo anterior, </w:t>
      </w:r>
      <w:r w:rsidR="00243031" w:rsidRPr="00592D81">
        <w:rPr>
          <w:rFonts w:ascii="Arial" w:hAnsi="Arial" w:cs="Arial"/>
          <w:sz w:val="20"/>
          <w:szCs w:val="20"/>
        </w:rPr>
        <w:t xml:space="preserve">una entidad controladora </w:t>
      </w:r>
      <w:r w:rsidRPr="00592D81">
        <w:rPr>
          <w:rFonts w:ascii="Arial" w:hAnsi="Arial" w:cs="Arial"/>
          <w:sz w:val="20"/>
          <w:szCs w:val="20"/>
        </w:rPr>
        <w:t>contabilizará las participaciones que controla de forma directa de acuerdo con lo dispuesto en la sección “</w:t>
      </w:r>
      <w:r w:rsidRPr="00592D81">
        <w:rPr>
          <w:rFonts w:ascii="Arial" w:hAnsi="Arial" w:cs="Arial"/>
          <w:sz w:val="20"/>
          <w:szCs w:val="20"/>
          <w:u w:val="single" w:color="000000"/>
        </w:rPr>
        <w:t>Participaciones en subsidiarias, asociadas y negocios</w:t>
      </w:r>
      <w:r w:rsidRPr="00592D81">
        <w:rPr>
          <w:rFonts w:ascii="Arial" w:hAnsi="Arial" w:cs="Arial"/>
          <w:sz w:val="20"/>
          <w:szCs w:val="20"/>
        </w:rPr>
        <w:t xml:space="preserve"> </w:t>
      </w:r>
      <w:r w:rsidRPr="00592D81">
        <w:rPr>
          <w:rFonts w:ascii="Arial" w:hAnsi="Arial" w:cs="Arial"/>
          <w:sz w:val="20"/>
          <w:szCs w:val="20"/>
          <w:u w:val="single" w:color="000000"/>
        </w:rPr>
        <w:t>conjuntos</w:t>
      </w:r>
      <w:r w:rsidR="00294AE3" w:rsidRPr="00592D81">
        <w:rPr>
          <w:rFonts w:ascii="Arial" w:hAnsi="Arial" w:cs="Arial"/>
          <w:sz w:val="20"/>
          <w:szCs w:val="20"/>
          <w:u w:val="single" w:color="000000"/>
        </w:rPr>
        <w:t xml:space="preserve"> societarios</w:t>
      </w:r>
      <w:r w:rsidRPr="00592D81">
        <w:rPr>
          <w:rFonts w:ascii="Arial" w:hAnsi="Arial" w:cs="Arial"/>
          <w:sz w:val="20"/>
          <w:szCs w:val="20"/>
        </w:rPr>
        <w:t xml:space="preserve">” [ver los </w:t>
      </w:r>
      <w:r w:rsidR="00190C14" w:rsidRPr="00AC4AEA">
        <w:rPr>
          <w:rFonts w:ascii="Arial" w:hAnsi="Arial" w:cs="Arial"/>
          <w:sz w:val="20"/>
          <w:szCs w:val="20"/>
        </w:rPr>
        <w:t xml:space="preserve">párrafos </w:t>
      </w:r>
      <w:fldSimple w:instr=" REF _Ref132052810 \r \h  \* MERGEFORMAT ">
        <w:r w:rsidR="00D33A5D" w:rsidRPr="00D33A5D">
          <w:rPr>
            <w:rFonts w:ascii="Arial" w:hAnsi="Arial" w:cs="Arial"/>
            <w:sz w:val="20"/>
            <w:szCs w:val="20"/>
          </w:rPr>
          <w:t>824</w:t>
        </w:r>
      </w:fldSimple>
      <w:r w:rsidR="00190C14" w:rsidRPr="00AC4AEA">
        <w:rPr>
          <w:rFonts w:ascii="Arial" w:hAnsi="Arial" w:cs="Arial"/>
          <w:sz w:val="20"/>
          <w:szCs w:val="20"/>
        </w:rPr>
        <w:t xml:space="preserve"> a </w:t>
      </w:r>
      <w:fldSimple w:instr=" REF _Ref132050929 \r \h  \* MERGEFORMAT ">
        <w:r w:rsidR="00D33A5D" w:rsidRPr="00D33A5D">
          <w:rPr>
            <w:rFonts w:ascii="Arial" w:hAnsi="Arial" w:cs="Arial"/>
            <w:sz w:val="20"/>
            <w:szCs w:val="20"/>
          </w:rPr>
          <w:t>871</w:t>
        </w:r>
      </w:fldSimple>
      <w:r w:rsidRPr="00592D81">
        <w:rPr>
          <w:rFonts w:ascii="Arial" w:hAnsi="Arial" w:cs="Arial"/>
          <w:sz w:val="20"/>
          <w:szCs w:val="20"/>
        </w:rPr>
        <w:t xml:space="preserve">]. </w:t>
      </w:r>
    </w:p>
    <w:p w:rsidR="00F072CC" w:rsidRPr="00592D81" w:rsidRDefault="00421257" w:rsidP="00A318EA">
      <w:pPr>
        <w:numPr>
          <w:ilvl w:val="0"/>
          <w:numId w:val="29"/>
        </w:numPr>
        <w:spacing w:after="147" w:line="264" w:lineRule="auto"/>
        <w:jc w:val="both"/>
        <w:rPr>
          <w:rFonts w:ascii="Arial" w:hAnsi="Arial" w:cs="Arial"/>
          <w:sz w:val="20"/>
          <w:szCs w:val="20"/>
        </w:rPr>
      </w:pPr>
      <w:bookmarkStart w:id="1075" w:name="_Ref135054353"/>
      <w:bookmarkStart w:id="1076" w:name="_Ref131509823"/>
      <w:r w:rsidRPr="00592D81">
        <w:rPr>
          <w:rFonts w:ascii="Arial" w:hAnsi="Arial" w:cs="Arial"/>
          <w:sz w:val="20"/>
          <w:szCs w:val="20"/>
        </w:rPr>
        <w:t xml:space="preserve">Una entidad controladora no consolidará a una subsidiaria que </w:t>
      </w:r>
      <w:r w:rsidR="00F072CC" w:rsidRPr="00592D81">
        <w:rPr>
          <w:rFonts w:ascii="Arial" w:hAnsi="Arial" w:cs="Arial"/>
          <w:sz w:val="20"/>
          <w:szCs w:val="20"/>
        </w:rPr>
        <w:t>adquirió</w:t>
      </w:r>
      <w:r w:rsidRPr="00592D81">
        <w:rPr>
          <w:rFonts w:ascii="Arial" w:hAnsi="Arial" w:cs="Arial"/>
          <w:sz w:val="20"/>
          <w:szCs w:val="20"/>
        </w:rPr>
        <w:t xml:space="preserve"> y mantiene exclusivamente con la intención de venderla o disponer de ella dentro de un año desde su </w:t>
      </w:r>
      <w:r w:rsidRPr="00592D81">
        <w:rPr>
          <w:rFonts w:ascii="Arial" w:hAnsi="Arial" w:cs="Arial"/>
          <w:b/>
          <w:bCs/>
          <w:sz w:val="20"/>
          <w:szCs w:val="20"/>
        </w:rPr>
        <w:t>fecha de adquisición</w:t>
      </w:r>
      <w:r w:rsidRPr="00592D81">
        <w:rPr>
          <w:rFonts w:ascii="Arial" w:hAnsi="Arial" w:cs="Arial"/>
          <w:sz w:val="20"/>
          <w:szCs w:val="20"/>
        </w:rPr>
        <w:t>. En este caso</w:t>
      </w:r>
      <w:bookmarkEnd w:id="1075"/>
      <w:r w:rsidR="00A922B4" w:rsidRPr="00592D81">
        <w:rPr>
          <w:rFonts w:ascii="Arial" w:hAnsi="Arial" w:cs="Arial"/>
          <w:sz w:val="20"/>
          <w:szCs w:val="20"/>
        </w:rPr>
        <w:t>, una entidad controladora:</w:t>
      </w:r>
    </w:p>
    <w:p w:rsidR="00421257" w:rsidRPr="00592D81" w:rsidRDefault="00A922B4" w:rsidP="00C01B25">
      <w:pPr>
        <w:pStyle w:val="NUA-Nivel1"/>
        <w:numPr>
          <w:ilvl w:val="0"/>
          <w:numId w:val="561"/>
        </w:numPr>
        <w:ind w:left="1560" w:hanging="567"/>
      </w:pPr>
      <w:r w:rsidRPr="00592D81">
        <w:t>C</w:t>
      </w:r>
      <w:r w:rsidR="00421257" w:rsidRPr="00592D81">
        <w:t>ontabilizará esta participación de acuerdo con los requerimientos de la sección “</w:t>
      </w:r>
      <w:r w:rsidR="00421257" w:rsidRPr="00592D81">
        <w:rPr>
          <w:u w:val="single" w:color="000000"/>
        </w:rPr>
        <w:t>Inversiones Financieras</w:t>
      </w:r>
      <w:r w:rsidR="00421257" w:rsidRPr="00592D81">
        <w:t xml:space="preserve">” [ver los párrafos </w:t>
      </w:r>
      <w:fldSimple w:instr=" REF _Ref74756832 \r \h  \* MERGEFORMAT ">
        <w:r w:rsidR="00D33A5D">
          <w:t>212</w:t>
        </w:r>
      </w:fldSimple>
      <w:r w:rsidR="00190C14" w:rsidRPr="00AC4AEA">
        <w:t xml:space="preserve"> a </w:t>
      </w:r>
      <w:fldSimple w:instr=" REF _Ref99468272 \r \h  \* MERGEFORMAT ">
        <w:r w:rsidR="00D33A5D">
          <w:t>235</w:t>
        </w:r>
      </w:fldSimple>
      <w:r w:rsidR="00421257" w:rsidRPr="00592D81">
        <w:t>].</w:t>
      </w:r>
      <w:bookmarkEnd w:id="1076"/>
      <w:r w:rsidR="006F2C57">
        <w:t xml:space="preserve"> </w:t>
      </w:r>
    </w:p>
    <w:p w:rsidR="00F072CC" w:rsidRPr="00592D81" w:rsidRDefault="00BC24B1" w:rsidP="00C01B25">
      <w:pPr>
        <w:pStyle w:val="NUA-Nivel1"/>
        <w:numPr>
          <w:ilvl w:val="0"/>
          <w:numId w:val="561"/>
        </w:numPr>
        <w:ind w:left="1560" w:hanging="567"/>
      </w:pPr>
      <w:r w:rsidRPr="00592D81">
        <w:t>Podrá e</w:t>
      </w:r>
      <w:r w:rsidR="00F072CC" w:rsidRPr="00592D81">
        <w:t xml:space="preserve">xtender el plazo de un año si existieran circunstancias, fuera </w:t>
      </w:r>
      <w:r w:rsidRPr="00592D81">
        <w:t>de su control</w:t>
      </w:r>
      <w:r w:rsidR="00F072CC" w:rsidRPr="00592D81">
        <w:t>, que probablemente demanden mayor tiempo para la venta o disposición</w:t>
      </w:r>
      <w:r w:rsidRPr="00592D81">
        <w:t xml:space="preserve"> </w:t>
      </w:r>
      <w:r w:rsidR="00F072CC" w:rsidRPr="00592D81">
        <w:t xml:space="preserve">(por ejemplo, debido a la existencia de obligaciones contractuales con partes no relacionadas o disposiciones legales o reglamentarias). </w:t>
      </w:r>
    </w:p>
    <w:p w:rsidR="00421257" w:rsidRPr="00592D81" w:rsidRDefault="00421257" w:rsidP="00A318EA">
      <w:pPr>
        <w:spacing w:after="153" w:line="256" w:lineRule="auto"/>
        <w:ind w:left="936"/>
        <w:rPr>
          <w:rFonts w:ascii="Arial" w:hAnsi="Arial" w:cs="Arial"/>
          <w:sz w:val="20"/>
          <w:szCs w:val="20"/>
        </w:rPr>
      </w:pPr>
    </w:p>
    <w:p w:rsidR="00421257" w:rsidRPr="00592D81" w:rsidRDefault="00421257" w:rsidP="00A318EA">
      <w:pPr>
        <w:pStyle w:val="Ttulo3"/>
      </w:pPr>
      <w:bookmarkStart w:id="1077" w:name="_Toc139356973"/>
      <w:r w:rsidRPr="00592D81">
        <w:t>Definición de control (sobre otra entidad)</w:t>
      </w:r>
      <w:bookmarkEnd w:id="1077"/>
      <w:r w:rsidRPr="00592D81">
        <w:t xml:space="preserve"> </w:t>
      </w:r>
    </w:p>
    <w:p w:rsidR="003879BD" w:rsidRPr="00592D81" w:rsidRDefault="00421257" w:rsidP="00DD43EB">
      <w:pPr>
        <w:numPr>
          <w:ilvl w:val="0"/>
          <w:numId w:val="29"/>
        </w:numPr>
        <w:spacing w:after="120" w:line="264" w:lineRule="auto"/>
        <w:jc w:val="both"/>
        <w:rPr>
          <w:rFonts w:ascii="Arial" w:hAnsi="Arial" w:cs="Arial"/>
          <w:sz w:val="20"/>
          <w:szCs w:val="20"/>
        </w:rPr>
      </w:pPr>
      <w:bookmarkStart w:id="1078" w:name="_Ref135762091"/>
      <w:r w:rsidRPr="00592D81">
        <w:rPr>
          <w:rFonts w:ascii="Arial" w:hAnsi="Arial" w:cs="Arial"/>
          <w:sz w:val="20"/>
          <w:szCs w:val="20"/>
        </w:rPr>
        <w:t xml:space="preserve">Una entidad evaluará si tiene control sobre </w:t>
      </w:r>
      <w:r w:rsidR="002C3D12" w:rsidRPr="00592D81">
        <w:rPr>
          <w:rFonts w:ascii="Arial" w:hAnsi="Arial" w:cs="Arial"/>
          <w:sz w:val="20"/>
          <w:szCs w:val="20"/>
        </w:rPr>
        <w:t>una participada</w:t>
      </w:r>
      <w:r w:rsidR="003879BD" w:rsidRPr="00592D81">
        <w:rPr>
          <w:rFonts w:ascii="Arial" w:hAnsi="Arial" w:cs="Arial"/>
          <w:sz w:val="20"/>
          <w:szCs w:val="20"/>
        </w:rPr>
        <w:t xml:space="preserve"> independientemente de:</w:t>
      </w:r>
      <w:bookmarkEnd w:id="1078"/>
    </w:p>
    <w:p w:rsidR="003879BD" w:rsidRPr="00592D81" w:rsidRDefault="003879BD" w:rsidP="00DD43EB">
      <w:pPr>
        <w:numPr>
          <w:ilvl w:val="1"/>
          <w:numId w:val="29"/>
        </w:numPr>
        <w:spacing w:after="120" w:line="264" w:lineRule="auto"/>
        <w:ind w:left="1560"/>
        <w:jc w:val="both"/>
        <w:rPr>
          <w:rFonts w:ascii="Arial" w:hAnsi="Arial" w:cs="Arial"/>
          <w:sz w:val="20"/>
          <w:szCs w:val="20"/>
        </w:rPr>
      </w:pPr>
      <w:r w:rsidRPr="00592D81">
        <w:rPr>
          <w:rFonts w:ascii="Arial" w:hAnsi="Arial" w:cs="Arial"/>
          <w:sz w:val="20"/>
          <w:szCs w:val="20"/>
        </w:rPr>
        <w:t xml:space="preserve">la naturaleza </w:t>
      </w:r>
      <w:r w:rsidR="002C3D12" w:rsidRPr="00592D81">
        <w:rPr>
          <w:rFonts w:ascii="Arial" w:hAnsi="Arial" w:cs="Arial"/>
          <w:sz w:val="20"/>
          <w:szCs w:val="20"/>
        </w:rPr>
        <w:t>del vínculo entre ellas</w:t>
      </w:r>
      <w:r w:rsidRPr="00592D81">
        <w:rPr>
          <w:rFonts w:ascii="Arial" w:hAnsi="Arial" w:cs="Arial"/>
          <w:sz w:val="20"/>
          <w:szCs w:val="20"/>
        </w:rPr>
        <w:t>; o</w:t>
      </w:r>
    </w:p>
    <w:p w:rsidR="00421257" w:rsidRPr="00592D81" w:rsidRDefault="00DD43EB" w:rsidP="00DD43EB">
      <w:pPr>
        <w:numPr>
          <w:ilvl w:val="1"/>
          <w:numId w:val="29"/>
        </w:numPr>
        <w:spacing w:after="120" w:line="264" w:lineRule="auto"/>
        <w:ind w:left="1560"/>
        <w:jc w:val="both"/>
        <w:rPr>
          <w:rFonts w:ascii="Arial" w:hAnsi="Arial" w:cs="Arial"/>
          <w:sz w:val="20"/>
          <w:szCs w:val="20"/>
        </w:rPr>
      </w:pPr>
      <w:r w:rsidRPr="00592D81">
        <w:rPr>
          <w:rFonts w:ascii="Arial" w:hAnsi="Arial" w:cs="Arial"/>
          <w:sz w:val="20"/>
          <w:szCs w:val="20"/>
        </w:rPr>
        <w:t xml:space="preserve">la naturaleza </w:t>
      </w:r>
      <w:r w:rsidR="009715B2" w:rsidRPr="00592D81">
        <w:rPr>
          <w:rFonts w:ascii="Arial" w:hAnsi="Arial" w:cs="Arial"/>
          <w:sz w:val="20"/>
          <w:szCs w:val="20"/>
        </w:rPr>
        <w:t xml:space="preserve">jurídica </w:t>
      </w:r>
      <w:r w:rsidRPr="00592D81">
        <w:rPr>
          <w:rFonts w:ascii="Arial" w:hAnsi="Arial" w:cs="Arial"/>
          <w:sz w:val="20"/>
          <w:szCs w:val="20"/>
        </w:rPr>
        <w:t xml:space="preserve">de </w:t>
      </w:r>
      <w:r w:rsidR="002C3D12" w:rsidRPr="00592D81">
        <w:rPr>
          <w:rFonts w:ascii="Arial" w:hAnsi="Arial" w:cs="Arial"/>
          <w:sz w:val="20"/>
          <w:szCs w:val="20"/>
        </w:rPr>
        <w:t>tal</w:t>
      </w:r>
      <w:r w:rsidRPr="00592D81">
        <w:rPr>
          <w:rFonts w:ascii="Arial" w:hAnsi="Arial" w:cs="Arial"/>
          <w:sz w:val="20"/>
          <w:szCs w:val="20"/>
        </w:rPr>
        <w:t xml:space="preserve"> </w:t>
      </w:r>
      <w:r w:rsidR="00153768" w:rsidRPr="00592D81">
        <w:rPr>
          <w:rFonts w:ascii="Arial" w:hAnsi="Arial" w:cs="Arial"/>
          <w:sz w:val="20"/>
          <w:szCs w:val="20"/>
        </w:rPr>
        <w:t>participada</w:t>
      </w:r>
      <w:r w:rsidRPr="00592D81">
        <w:rPr>
          <w:rFonts w:ascii="Arial" w:hAnsi="Arial" w:cs="Arial"/>
          <w:sz w:val="20"/>
          <w:szCs w:val="20"/>
        </w:rPr>
        <w:t>.</w:t>
      </w:r>
      <w:r w:rsidR="006F2C57">
        <w:rPr>
          <w:rFonts w:ascii="Arial" w:hAnsi="Arial" w:cs="Arial"/>
          <w:sz w:val="20"/>
          <w:szCs w:val="20"/>
        </w:rPr>
        <w:t xml:space="preserve"> </w:t>
      </w:r>
    </w:p>
    <w:p w:rsidR="00421257" w:rsidRPr="00592D81" w:rsidRDefault="002C3D12" w:rsidP="00A318EA">
      <w:pPr>
        <w:numPr>
          <w:ilvl w:val="0"/>
          <w:numId w:val="29"/>
        </w:numPr>
        <w:spacing w:after="147" w:line="264" w:lineRule="auto"/>
        <w:jc w:val="both"/>
        <w:rPr>
          <w:rFonts w:ascii="Arial" w:hAnsi="Arial" w:cs="Arial"/>
          <w:sz w:val="20"/>
          <w:szCs w:val="20"/>
        </w:rPr>
      </w:pPr>
      <w:bookmarkStart w:id="1079" w:name="_Ref135762093"/>
      <w:r w:rsidRPr="00592D81">
        <w:rPr>
          <w:rFonts w:ascii="Arial" w:hAnsi="Arial" w:cs="Arial"/>
          <w:sz w:val="20"/>
          <w:szCs w:val="20"/>
        </w:rPr>
        <w:t>Con el fin de</w:t>
      </w:r>
      <w:r w:rsidR="00153768" w:rsidRPr="00592D81">
        <w:rPr>
          <w:rFonts w:ascii="Arial" w:hAnsi="Arial" w:cs="Arial"/>
          <w:sz w:val="20"/>
          <w:szCs w:val="20"/>
        </w:rPr>
        <w:t xml:space="preserve"> aplicar la definición de control </w:t>
      </w:r>
      <w:r w:rsidR="00EB46F4" w:rsidRPr="00592D81">
        <w:rPr>
          <w:rFonts w:ascii="Arial" w:hAnsi="Arial" w:cs="Arial"/>
          <w:sz w:val="20"/>
          <w:szCs w:val="20"/>
        </w:rPr>
        <w:t xml:space="preserve">incluida en el párrafo </w:t>
      </w:r>
      <w:fldSimple w:instr=" REF _Ref132050914 \r \h  \* MERGEFORMAT ">
        <w:r w:rsidR="00D33A5D" w:rsidRPr="00D33A5D">
          <w:rPr>
            <w:rFonts w:ascii="Arial" w:hAnsi="Arial" w:cs="Arial"/>
            <w:sz w:val="20"/>
            <w:szCs w:val="20"/>
          </w:rPr>
          <w:t>765</w:t>
        </w:r>
      </w:fldSimple>
      <w:r w:rsidR="00153768" w:rsidRPr="00592D81">
        <w:rPr>
          <w:rFonts w:ascii="Arial" w:hAnsi="Arial" w:cs="Arial"/>
          <w:sz w:val="20"/>
          <w:szCs w:val="20"/>
        </w:rPr>
        <w:t xml:space="preserve">, </w:t>
      </w:r>
      <w:r w:rsidR="00A25C96" w:rsidRPr="00592D81">
        <w:rPr>
          <w:rFonts w:ascii="Arial" w:hAnsi="Arial" w:cs="Arial"/>
          <w:sz w:val="20"/>
          <w:szCs w:val="20"/>
        </w:rPr>
        <w:t>se considera</w:t>
      </w:r>
      <w:r w:rsidRPr="00592D81">
        <w:rPr>
          <w:rFonts w:ascii="Arial" w:hAnsi="Arial" w:cs="Arial"/>
          <w:sz w:val="20"/>
          <w:szCs w:val="20"/>
        </w:rPr>
        <w:t>rá</w:t>
      </w:r>
      <w:r w:rsidR="00A25C96" w:rsidRPr="00592D81">
        <w:rPr>
          <w:rFonts w:ascii="Arial" w:hAnsi="Arial" w:cs="Arial"/>
          <w:sz w:val="20"/>
          <w:szCs w:val="20"/>
        </w:rPr>
        <w:t xml:space="preserve"> que </w:t>
      </w:r>
      <w:r w:rsidR="00212019" w:rsidRPr="00592D81">
        <w:rPr>
          <w:rFonts w:ascii="Arial" w:hAnsi="Arial" w:cs="Arial"/>
          <w:sz w:val="20"/>
          <w:szCs w:val="20"/>
        </w:rPr>
        <w:t>u</w:t>
      </w:r>
      <w:r w:rsidR="00421257" w:rsidRPr="00592D81">
        <w:rPr>
          <w:rFonts w:ascii="Arial" w:hAnsi="Arial" w:cs="Arial"/>
          <w:sz w:val="20"/>
          <w:szCs w:val="20"/>
        </w:rPr>
        <w:t>na entidad controla a una participada si, y solo si:</w:t>
      </w:r>
      <w:bookmarkEnd w:id="1079"/>
      <w:r w:rsidR="00421257" w:rsidRPr="00592D81">
        <w:rPr>
          <w:rFonts w:ascii="Arial" w:hAnsi="Arial" w:cs="Arial"/>
          <w:sz w:val="20"/>
          <w:szCs w:val="20"/>
        </w:rPr>
        <w:t xml:space="preserve"> </w:t>
      </w:r>
    </w:p>
    <w:p w:rsidR="00421257" w:rsidRPr="00592D81" w:rsidRDefault="00421257" w:rsidP="00C01B25">
      <w:pPr>
        <w:pStyle w:val="NUA-Nivel1"/>
        <w:numPr>
          <w:ilvl w:val="0"/>
          <w:numId w:val="562"/>
        </w:numPr>
        <w:ind w:left="1560" w:hanging="567"/>
      </w:pPr>
      <w:r w:rsidRPr="00592D81">
        <w:t xml:space="preserve">tiene poder sobre la participada [ver los párrafos </w:t>
      </w:r>
      <w:fldSimple w:instr=" REF _Ref135071494 \r \h  \* MERGEFORMAT ">
        <w:r w:rsidR="00D33A5D">
          <w:t>772</w:t>
        </w:r>
      </w:fldSimple>
      <w:r w:rsidR="00A436B1" w:rsidRPr="00592D81">
        <w:t xml:space="preserve"> a </w:t>
      </w:r>
      <w:fldSimple w:instr=" REF _Ref135071505 \r \h  \* MERGEFORMAT ">
        <w:r w:rsidR="00D33A5D">
          <w:t>779</w:t>
        </w:r>
      </w:fldSimple>
      <w:r w:rsidRPr="00592D81">
        <w:t xml:space="preserve">]; </w:t>
      </w:r>
    </w:p>
    <w:p w:rsidR="00421257" w:rsidRPr="00592D81" w:rsidRDefault="00421257" w:rsidP="00C01B25">
      <w:pPr>
        <w:pStyle w:val="NUA-Nivel1"/>
        <w:numPr>
          <w:ilvl w:val="0"/>
          <w:numId w:val="562"/>
        </w:numPr>
        <w:ind w:left="1560" w:hanging="567"/>
      </w:pPr>
      <w:r w:rsidRPr="00592D81">
        <w:t>está expuesta, o tiene derecho, a rendimientos variables procedentes de</w:t>
      </w:r>
      <w:r w:rsidR="006C59D6" w:rsidRPr="00592D81">
        <w:t>l</w:t>
      </w:r>
      <w:r w:rsidRPr="00592D81">
        <w:t xml:space="preserve"> </w:t>
      </w:r>
      <w:r w:rsidR="006C59D6" w:rsidRPr="00592D81">
        <w:t>vínculo</w:t>
      </w:r>
      <w:r w:rsidRPr="00592D81">
        <w:t xml:space="preserve"> </w:t>
      </w:r>
      <w:r w:rsidR="006C59D6" w:rsidRPr="00592D81">
        <w:t xml:space="preserve">que mantiene con la participada </w:t>
      </w:r>
      <w:r w:rsidRPr="00592D81">
        <w:t xml:space="preserve">[ver los párrafos </w:t>
      </w:r>
      <w:fldSimple w:instr=" REF _Ref135071508 \r \h  \* MERGEFORMAT ">
        <w:r w:rsidR="00D33A5D">
          <w:t>780</w:t>
        </w:r>
      </w:fldSimple>
      <w:r w:rsidR="00A436B1" w:rsidRPr="00592D81">
        <w:t xml:space="preserve"> a</w:t>
      </w:r>
      <w:r w:rsidR="001C4138">
        <w:fldChar w:fldCharType="begin"/>
      </w:r>
      <w:r w:rsidR="00190C14">
        <w:instrText xml:space="preserve"> REF _Ref138960822 \r \h </w:instrText>
      </w:r>
      <w:r w:rsidR="001C4138">
        <w:fldChar w:fldCharType="separate"/>
      </w:r>
      <w:r w:rsidR="00D33A5D">
        <w:t>781</w:t>
      </w:r>
      <w:r w:rsidR="001C4138">
        <w:fldChar w:fldCharType="end"/>
      </w:r>
      <w:r w:rsidRPr="00592D81">
        <w:t xml:space="preserve">]; y </w:t>
      </w:r>
    </w:p>
    <w:p w:rsidR="00421257" w:rsidRPr="00592D81" w:rsidRDefault="00421257" w:rsidP="00C01B25">
      <w:pPr>
        <w:pStyle w:val="NUA-Nivel1"/>
        <w:numPr>
          <w:ilvl w:val="0"/>
          <w:numId w:val="562"/>
        </w:numPr>
        <w:ind w:left="1560" w:hanging="567"/>
      </w:pPr>
      <w:r w:rsidRPr="00592D81">
        <w:t xml:space="preserve">cuenta con la capacidad de utilizar su poder sobre la participada para </w:t>
      </w:r>
      <w:r w:rsidR="00BC24B1" w:rsidRPr="00592D81">
        <w:t>incidir sobre sus</w:t>
      </w:r>
      <w:r w:rsidRPr="00592D81">
        <w:t xml:space="preserve"> propios rendimientos (es decir, los rendimientos de la </w:t>
      </w:r>
      <w:r w:rsidRPr="00592D81">
        <w:rPr>
          <w:b/>
          <w:bCs/>
        </w:rPr>
        <w:t>entidad emisora de estados contables</w:t>
      </w:r>
      <w:r w:rsidRPr="00592D81">
        <w:t xml:space="preserve">) [ver los párrafos </w:t>
      </w:r>
      <w:fldSimple w:instr=" REF _Ref135071517 \r \h  \* MERGEFORMAT ">
        <w:r w:rsidR="00D33A5D">
          <w:t>782</w:t>
        </w:r>
      </w:fldSimple>
      <w:r w:rsidR="00A436B1" w:rsidRPr="00592D81">
        <w:t xml:space="preserve"> a </w:t>
      </w:r>
      <w:fldSimple w:instr=" REF _Ref135071520 \r \h  \* MERGEFORMAT ">
        <w:r w:rsidR="00D33A5D">
          <w:t>783</w:t>
        </w:r>
      </w:fldSimple>
      <w:r w:rsidRPr="00592D81">
        <w:t xml:space="preserve">]. </w:t>
      </w:r>
    </w:p>
    <w:p w:rsidR="00421257" w:rsidRPr="00592D81" w:rsidRDefault="00421257" w:rsidP="00A318EA">
      <w:pPr>
        <w:spacing w:after="150" w:line="256" w:lineRule="auto"/>
        <w:ind w:left="1466"/>
        <w:rPr>
          <w:rFonts w:ascii="Arial" w:hAnsi="Arial" w:cs="Arial"/>
          <w:sz w:val="20"/>
          <w:szCs w:val="20"/>
        </w:rPr>
      </w:pPr>
      <w:r w:rsidRPr="00592D81">
        <w:rPr>
          <w:rFonts w:ascii="Arial" w:hAnsi="Arial" w:cs="Arial"/>
          <w:sz w:val="20"/>
          <w:szCs w:val="20"/>
        </w:rPr>
        <w:t xml:space="preserve"> </w:t>
      </w:r>
    </w:p>
    <w:p w:rsidR="00421257" w:rsidRPr="00592D81" w:rsidRDefault="00421257" w:rsidP="00A318EA">
      <w:pPr>
        <w:pStyle w:val="Ttulo3"/>
      </w:pPr>
      <w:bookmarkStart w:id="1080" w:name="_Toc139356974"/>
      <w:r w:rsidRPr="00592D81">
        <w:lastRenderedPageBreak/>
        <w:t>Aplicación de la definición de control</w:t>
      </w:r>
      <w:bookmarkEnd w:id="1080"/>
      <w:r w:rsidRPr="00592D81">
        <w:t xml:space="preserve"> </w:t>
      </w:r>
    </w:p>
    <w:p w:rsidR="00421257" w:rsidRPr="00592D81" w:rsidRDefault="00421257" w:rsidP="00A318EA">
      <w:pPr>
        <w:pStyle w:val="Ttulo4"/>
      </w:pPr>
      <w:r w:rsidRPr="00592D81">
        <w:t xml:space="preserve">Poder </w:t>
      </w:r>
    </w:p>
    <w:p w:rsidR="00421257" w:rsidRPr="00592D81" w:rsidRDefault="00421257" w:rsidP="00A318EA">
      <w:pPr>
        <w:numPr>
          <w:ilvl w:val="0"/>
          <w:numId w:val="29"/>
        </w:numPr>
        <w:spacing w:after="147" w:line="264" w:lineRule="auto"/>
        <w:jc w:val="both"/>
        <w:rPr>
          <w:rFonts w:ascii="Arial" w:hAnsi="Arial" w:cs="Arial"/>
          <w:sz w:val="20"/>
          <w:szCs w:val="20"/>
        </w:rPr>
      </w:pPr>
      <w:bookmarkStart w:id="1081" w:name="_Ref135071494"/>
      <w:r w:rsidRPr="00592D81">
        <w:rPr>
          <w:rFonts w:ascii="Arial" w:hAnsi="Arial" w:cs="Arial"/>
          <w:sz w:val="20"/>
          <w:szCs w:val="20"/>
        </w:rPr>
        <w:t>Una entidad tiene poder sobre una participada cuando posee derechos que le otorgan la capacidad actual de dirigir las actividades relevantes</w:t>
      </w:r>
      <w:r w:rsidR="00567699" w:rsidRPr="00592D81">
        <w:rPr>
          <w:rFonts w:ascii="Arial" w:hAnsi="Arial" w:cs="Arial"/>
          <w:sz w:val="20"/>
          <w:szCs w:val="20"/>
        </w:rPr>
        <w:t xml:space="preserve"> de la segunda</w:t>
      </w:r>
      <w:r w:rsidRPr="00592D81">
        <w:rPr>
          <w:rFonts w:ascii="Arial" w:hAnsi="Arial" w:cs="Arial"/>
          <w:sz w:val="20"/>
          <w:szCs w:val="20"/>
        </w:rPr>
        <w:t>; es decir, las actividades que afectan de forma significativa a los rendimientos de la participada.</w:t>
      </w:r>
      <w:bookmarkEnd w:id="1081"/>
      <w:r w:rsidR="006F2C57">
        <w:rPr>
          <w:rFonts w:ascii="Arial" w:hAnsi="Arial" w:cs="Arial"/>
          <w:sz w:val="20"/>
          <w:szCs w:val="20"/>
        </w:rPr>
        <w:t xml:space="preserve"> </w:t>
      </w:r>
    </w:p>
    <w:p w:rsidR="00421257" w:rsidRPr="00592D81" w:rsidRDefault="00243031" w:rsidP="00A318EA">
      <w:pPr>
        <w:numPr>
          <w:ilvl w:val="0"/>
          <w:numId w:val="29"/>
        </w:numPr>
        <w:spacing w:after="147" w:line="264" w:lineRule="auto"/>
        <w:jc w:val="both"/>
        <w:rPr>
          <w:rFonts w:ascii="Arial" w:hAnsi="Arial" w:cs="Arial"/>
          <w:sz w:val="20"/>
          <w:szCs w:val="20"/>
        </w:rPr>
      </w:pPr>
      <w:r w:rsidRPr="00592D81">
        <w:rPr>
          <w:rFonts w:ascii="Arial" w:hAnsi="Arial" w:cs="Arial"/>
          <w:sz w:val="20"/>
          <w:szCs w:val="20"/>
        </w:rPr>
        <w:t>Al evaluar si tiene poder sobre una participada, una entidad deberá considerar:</w:t>
      </w:r>
    </w:p>
    <w:p w:rsidR="00421257" w:rsidRPr="00592D81" w:rsidRDefault="00421257" w:rsidP="00C01B25">
      <w:pPr>
        <w:pStyle w:val="NUA-Nivel1"/>
        <w:numPr>
          <w:ilvl w:val="0"/>
          <w:numId w:val="563"/>
        </w:numPr>
        <w:ind w:left="1560" w:hanging="567"/>
      </w:pPr>
      <w:r w:rsidRPr="00592D81">
        <w:t>las actividades relevantes de la participada;</w:t>
      </w:r>
      <w:r w:rsidR="006F2C57">
        <w:t xml:space="preserve"> </w:t>
      </w:r>
    </w:p>
    <w:p w:rsidR="00421257" w:rsidRPr="00592D81" w:rsidRDefault="00421257" w:rsidP="00C01B25">
      <w:pPr>
        <w:pStyle w:val="NUA-Nivel1"/>
        <w:numPr>
          <w:ilvl w:val="0"/>
          <w:numId w:val="563"/>
        </w:numPr>
        <w:ind w:left="1560" w:hanging="567"/>
      </w:pPr>
      <w:r w:rsidRPr="00592D81">
        <w:t>la forma en que se toman las decisiones sobre las actividades a las que se refiere el inciso inmediato anterior; y</w:t>
      </w:r>
      <w:r w:rsidR="006F2C57">
        <w:t xml:space="preserve"> </w:t>
      </w:r>
    </w:p>
    <w:p w:rsidR="00421257" w:rsidRPr="00592D81" w:rsidRDefault="00421257" w:rsidP="00C01B25">
      <w:pPr>
        <w:pStyle w:val="NUA-Nivel1"/>
        <w:numPr>
          <w:ilvl w:val="0"/>
          <w:numId w:val="563"/>
        </w:numPr>
        <w:ind w:left="1560" w:hanging="567"/>
      </w:pPr>
      <w:r w:rsidRPr="00592D81">
        <w:t xml:space="preserve">los derechos </w:t>
      </w:r>
      <w:r w:rsidR="00BC24B1" w:rsidRPr="00592D81">
        <w:t>de</w:t>
      </w:r>
      <w:r w:rsidRPr="00592D81">
        <w:t xml:space="preserve"> la entidad y las </w:t>
      </w:r>
      <w:r w:rsidR="00BC24B1" w:rsidRPr="00592D81">
        <w:t>demás</w:t>
      </w:r>
      <w:r w:rsidRPr="00592D81">
        <w:t xml:space="preserve"> partes </w:t>
      </w:r>
      <w:r w:rsidR="00BC24B1" w:rsidRPr="00592D81">
        <w:t>sobre</w:t>
      </w:r>
      <w:r w:rsidRPr="00592D81">
        <w:t xml:space="preserve"> la participada. </w:t>
      </w:r>
    </w:p>
    <w:p w:rsidR="00421257" w:rsidRPr="00592D81" w:rsidRDefault="00BC24B1" w:rsidP="00A318EA">
      <w:pPr>
        <w:numPr>
          <w:ilvl w:val="0"/>
          <w:numId w:val="29"/>
        </w:numPr>
        <w:spacing w:after="147" w:line="264" w:lineRule="auto"/>
        <w:jc w:val="both"/>
        <w:rPr>
          <w:rFonts w:ascii="Arial" w:hAnsi="Arial" w:cs="Arial"/>
          <w:sz w:val="20"/>
          <w:szCs w:val="20"/>
        </w:rPr>
      </w:pPr>
      <w:r w:rsidRPr="00592D81">
        <w:rPr>
          <w:rFonts w:ascii="Arial" w:hAnsi="Arial" w:cs="Arial"/>
          <w:sz w:val="20"/>
          <w:szCs w:val="20"/>
        </w:rPr>
        <w:t>Una entidad considerará que</w:t>
      </w:r>
      <w:r w:rsidR="00421257" w:rsidRPr="00592D81">
        <w:rPr>
          <w:rFonts w:ascii="Arial" w:hAnsi="Arial" w:cs="Arial"/>
          <w:sz w:val="20"/>
          <w:szCs w:val="20"/>
        </w:rPr>
        <w:t xml:space="preserve"> </w:t>
      </w:r>
      <w:r w:rsidRPr="00592D81">
        <w:rPr>
          <w:rFonts w:ascii="Arial" w:hAnsi="Arial" w:cs="Arial"/>
          <w:sz w:val="20"/>
          <w:szCs w:val="20"/>
        </w:rPr>
        <w:t>las</w:t>
      </w:r>
      <w:r w:rsidR="00421257" w:rsidRPr="00592D81">
        <w:rPr>
          <w:rFonts w:ascii="Arial" w:hAnsi="Arial" w:cs="Arial"/>
          <w:sz w:val="20"/>
          <w:szCs w:val="20"/>
        </w:rPr>
        <w:t xml:space="preserve"> actividades</w:t>
      </w:r>
      <w:r w:rsidRPr="00592D81">
        <w:rPr>
          <w:rFonts w:ascii="Arial" w:hAnsi="Arial" w:cs="Arial"/>
          <w:sz w:val="20"/>
          <w:szCs w:val="20"/>
        </w:rPr>
        <w:t xml:space="preserve"> financieras u operativas relevantes incluyen, entre otras y dependiendo de las circunstancias:</w:t>
      </w:r>
    </w:p>
    <w:p w:rsidR="00421257" w:rsidRPr="00592D81" w:rsidRDefault="00BC24B1" w:rsidP="00C01B25">
      <w:pPr>
        <w:pStyle w:val="NUA-Nivel1"/>
        <w:numPr>
          <w:ilvl w:val="0"/>
          <w:numId w:val="564"/>
        </w:numPr>
        <w:ind w:left="1560" w:hanging="567"/>
      </w:pPr>
      <w:r w:rsidRPr="00592D81">
        <w:t>La v</w:t>
      </w:r>
      <w:r w:rsidR="00421257" w:rsidRPr="00592D81">
        <w:t>enta y compra de bienes o servicios</w:t>
      </w:r>
      <w:r w:rsidRPr="00592D81">
        <w:t>.</w:t>
      </w:r>
      <w:r w:rsidR="00421257" w:rsidRPr="00592D81">
        <w:t xml:space="preserve"> </w:t>
      </w:r>
    </w:p>
    <w:p w:rsidR="00421257" w:rsidRPr="00592D81" w:rsidRDefault="00BC24B1" w:rsidP="00C01B25">
      <w:pPr>
        <w:pStyle w:val="NUA-Nivel1"/>
        <w:numPr>
          <w:ilvl w:val="0"/>
          <w:numId w:val="564"/>
        </w:numPr>
        <w:ind w:left="1560" w:hanging="567"/>
      </w:pPr>
      <w:r w:rsidRPr="00592D81">
        <w:t>La g</w:t>
      </w:r>
      <w:r w:rsidR="00421257" w:rsidRPr="00592D81">
        <w:t>estión de activos financieros</w:t>
      </w:r>
      <w:r w:rsidRPr="00592D81">
        <w:t>.</w:t>
      </w:r>
      <w:r w:rsidR="00421257" w:rsidRPr="00592D81">
        <w:t xml:space="preserve"> </w:t>
      </w:r>
    </w:p>
    <w:p w:rsidR="00421257" w:rsidRPr="00AC4AEA" w:rsidRDefault="00BC24B1" w:rsidP="00C01B25">
      <w:pPr>
        <w:pStyle w:val="NUA-Nivel1"/>
        <w:numPr>
          <w:ilvl w:val="0"/>
          <w:numId w:val="564"/>
        </w:numPr>
        <w:ind w:left="1560" w:hanging="567"/>
      </w:pPr>
      <w:r w:rsidRPr="00AC4AEA">
        <w:t>La s</w:t>
      </w:r>
      <w:r w:rsidR="00421257" w:rsidRPr="00AC4AEA">
        <w:t>elección, adquisición o disposición de activos</w:t>
      </w:r>
      <w:r w:rsidRPr="00AC4AEA">
        <w:t>.</w:t>
      </w:r>
      <w:r w:rsidR="00421257" w:rsidRPr="00AC4AEA">
        <w:t xml:space="preserve"> </w:t>
      </w:r>
    </w:p>
    <w:p w:rsidR="00421257" w:rsidRPr="00AC4AEA" w:rsidRDefault="00BC24B1" w:rsidP="00C01B25">
      <w:pPr>
        <w:pStyle w:val="NUA-Nivel1"/>
        <w:numPr>
          <w:ilvl w:val="0"/>
          <w:numId w:val="564"/>
        </w:numPr>
        <w:ind w:left="1560" w:hanging="567"/>
      </w:pPr>
      <w:r w:rsidRPr="00AC4AEA">
        <w:t>La i</w:t>
      </w:r>
      <w:r w:rsidR="00421257" w:rsidRPr="00AC4AEA">
        <w:t>nvestigación y desarrollo de nuevos productos o procesos</w:t>
      </w:r>
      <w:r w:rsidRPr="00AC4AEA">
        <w:t>.</w:t>
      </w:r>
      <w:r w:rsidR="00421257" w:rsidRPr="00AC4AEA">
        <w:t xml:space="preserve"> </w:t>
      </w:r>
    </w:p>
    <w:p w:rsidR="00421257" w:rsidRPr="00AC4AEA" w:rsidRDefault="00BC24B1" w:rsidP="00C01B25">
      <w:pPr>
        <w:pStyle w:val="NUA-Nivel1"/>
        <w:numPr>
          <w:ilvl w:val="0"/>
          <w:numId w:val="564"/>
        </w:numPr>
        <w:ind w:left="1560" w:hanging="567"/>
      </w:pPr>
      <w:r w:rsidRPr="00AC4AEA">
        <w:t>La d</w:t>
      </w:r>
      <w:r w:rsidR="00421257" w:rsidRPr="00AC4AEA">
        <w:t xml:space="preserve">eterminación de una estructura de financiación u obtención de financiación. </w:t>
      </w:r>
    </w:p>
    <w:p w:rsidR="00421257" w:rsidRPr="00AC4AEA" w:rsidRDefault="00BC24B1" w:rsidP="00A318EA">
      <w:pPr>
        <w:numPr>
          <w:ilvl w:val="0"/>
          <w:numId w:val="29"/>
        </w:numPr>
        <w:spacing w:after="110" w:line="264" w:lineRule="auto"/>
        <w:jc w:val="both"/>
        <w:rPr>
          <w:rFonts w:ascii="Arial" w:hAnsi="Arial" w:cs="Arial"/>
          <w:sz w:val="20"/>
          <w:szCs w:val="20"/>
        </w:rPr>
      </w:pPr>
      <w:r w:rsidRPr="00AC4AEA">
        <w:rPr>
          <w:rFonts w:ascii="Arial" w:hAnsi="Arial" w:cs="Arial"/>
          <w:sz w:val="20"/>
          <w:szCs w:val="20"/>
        </w:rPr>
        <w:t xml:space="preserve">Una entidad considerará que las </w:t>
      </w:r>
      <w:r w:rsidR="00421257" w:rsidRPr="00AC4AEA">
        <w:rPr>
          <w:rFonts w:ascii="Arial" w:hAnsi="Arial" w:cs="Arial"/>
          <w:sz w:val="20"/>
          <w:szCs w:val="20"/>
        </w:rPr>
        <w:t>decisiones sobre actividades relevantes</w:t>
      </w:r>
      <w:r w:rsidRPr="00AC4AEA">
        <w:rPr>
          <w:rFonts w:ascii="Arial" w:hAnsi="Arial" w:cs="Arial"/>
          <w:sz w:val="20"/>
          <w:szCs w:val="20"/>
        </w:rPr>
        <w:t xml:space="preserve"> incluyen, entre otras y dependiendo de las circunstancias:</w:t>
      </w:r>
    </w:p>
    <w:p w:rsidR="00421257" w:rsidRPr="00AC4AEA" w:rsidRDefault="00BC24B1" w:rsidP="00C01B25">
      <w:pPr>
        <w:pStyle w:val="NUA-Nivel1"/>
        <w:numPr>
          <w:ilvl w:val="0"/>
          <w:numId w:val="565"/>
        </w:numPr>
        <w:ind w:left="1560" w:hanging="567"/>
      </w:pPr>
      <w:r w:rsidRPr="00AC4AEA">
        <w:t>El e</w:t>
      </w:r>
      <w:r w:rsidR="00421257" w:rsidRPr="00AC4AEA">
        <w:t>stablecimiento de decisiones de capital y operativas de la participada, incluyendo presupuestos</w:t>
      </w:r>
      <w:r w:rsidRPr="00AC4AEA">
        <w:t>.</w:t>
      </w:r>
      <w:r w:rsidR="00421257" w:rsidRPr="00AC4AEA">
        <w:t xml:space="preserve"> </w:t>
      </w:r>
    </w:p>
    <w:p w:rsidR="00421257" w:rsidRPr="00AC4AEA" w:rsidRDefault="00BC24B1" w:rsidP="00C01B25">
      <w:pPr>
        <w:pStyle w:val="NUA-Nivel1"/>
        <w:numPr>
          <w:ilvl w:val="0"/>
          <w:numId w:val="565"/>
        </w:numPr>
        <w:ind w:left="1560" w:hanging="567"/>
      </w:pPr>
      <w:r w:rsidRPr="00AC4AEA">
        <w:t>El n</w:t>
      </w:r>
      <w:r w:rsidR="00421257" w:rsidRPr="00AC4AEA">
        <w:t xml:space="preserve">ombramiento y remuneración del personal clave de la </w:t>
      </w:r>
      <w:r w:rsidR="00B11C4F" w:rsidRPr="00AC4AEA">
        <w:rPr>
          <w:b/>
          <w:bCs/>
        </w:rPr>
        <w:t>dirección</w:t>
      </w:r>
      <w:r w:rsidR="00421257" w:rsidRPr="00AC4AEA">
        <w:t xml:space="preserve"> de la participada o de los proveedores de servicios y rescisión de los servicios o empleo. </w:t>
      </w:r>
    </w:p>
    <w:p w:rsidR="00421257" w:rsidRPr="00AC4AEA" w:rsidRDefault="00421257" w:rsidP="00A318EA">
      <w:pPr>
        <w:numPr>
          <w:ilvl w:val="0"/>
          <w:numId w:val="29"/>
        </w:numPr>
        <w:spacing w:after="110" w:line="264" w:lineRule="auto"/>
        <w:jc w:val="both"/>
        <w:rPr>
          <w:rFonts w:ascii="Arial" w:hAnsi="Arial" w:cs="Arial"/>
          <w:sz w:val="20"/>
          <w:szCs w:val="20"/>
        </w:rPr>
      </w:pPr>
      <w:r w:rsidRPr="00AC4AEA">
        <w:rPr>
          <w:rFonts w:ascii="Arial" w:hAnsi="Arial" w:cs="Arial"/>
          <w:sz w:val="20"/>
          <w:szCs w:val="20"/>
        </w:rPr>
        <w:t>Al evaluar si tiene poder sobre una participada, una entidad también considerar</w:t>
      </w:r>
      <w:r w:rsidR="00BC24B1" w:rsidRPr="00AC4AEA">
        <w:rPr>
          <w:rFonts w:ascii="Arial" w:hAnsi="Arial" w:cs="Arial"/>
          <w:sz w:val="20"/>
          <w:szCs w:val="20"/>
        </w:rPr>
        <w:t>á</w:t>
      </w:r>
      <w:r w:rsidR="00782A5E" w:rsidRPr="00AC4AEA">
        <w:rPr>
          <w:rFonts w:ascii="Arial" w:hAnsi="Arial" w:cs="Arial"/>
          <w:sz w:val="20"/>
          <w:szCs w:val="20"/>
        </w:rPr>
        <w:t xml:space="preserve"> </w:t>
      </w:r>
      <w:r w:rsidR="000A0BD3" w:rsidRPr="00AC4AEA">
        <w:rPr>
          <w:rFonts w:ascii="Arial" w:hAnsi="Arial" w:cs="Arial"/>
          <w:sz w:val="20"/>
          <w:szCs w:val="20"/>
        </w:rPr>
        <w:t>lo siguiente</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pStyle w:val="NUA-Nivel1"/>
        <w:numPr>
          <w:ilvl w:val="0"/>
          <w:numId w:val="566"/>
        </w:numPr>
        <w:ind w:left="1560" w:hanging="567"/>
      </w:pPr>
      <w:r w:rsidRPr="00AC4AEA">
        <w:t xml:space="preserve">Una entidad con capacidad presente para dirigir las actividades relevantes tiene poder incluso si su derecho a dirigir todavía no se ha ejercido. La evidencia de que una entidad ha estado dirigiendo actividades relevantes puede ayudar a determinar si tiene poder, pero no es, en sí misma, concluyente para determinar si la entidad tiene poder sobre una participada. </w:t>
      </w:r>
    </w:p>
    <w:p w:rsidR="00421257" w:rsidRPr="00AC4AEA" w:rsidRDefault="00421257" w:rsidP="00C01B25">
      <w:pPr>
        <w:pStyle w:val="NUA-Nivel1"/>
        <w:numPr>
          <w:ilvl w:val="0"/>
          <w:numId w:val="566"/>
        </w:numPr>
        <w:ind w:left="1560" w:hanging="567"/>
      </w:pPr>
      <w:r w:rsidRPr="00AC4AEA">
        <w:t>Si dos o más entidades ostentan, cada una, derechos existentes que le conceden la capacidad unilateral para dirigir actividades relevantes diferentes, la entidad que tiene la capacidad presente para dirigir las actividades que afectan de forma más significativa a los rendimientos de la participada tiene el poder sobre la participada.</w:t>
      </w:r>
      <w:r w:rsidR="006F2C57">
        <w:t xml:space="preserve"> </w:t>
      </w:r>
    </w:p>
    <w:p w:rsidR="00421257" w:rsidRPr="00592D81" w:rsidRDefault="00421257" w:rsidP="00A318EA">
      <w:pPr>
        <w:numPr>
          <w:ilvl w:val="0"/>
          <w:numId w:val="29"/>
        </w:numPr>
        <w:spacing w:after="110" w:line="264" w:lineRule="auto"/>
        <w:jc w:val="both"/>
        <w:rPr>
          <w:rFonts w:ascii="Arial" w:hAnsi="Arial" w:cs="Arial"/>
          <w:sz w:val="20"/>
          <w:szCs w:val="20"/>
        </w:rPr>
      </w:pPr>
      <w:r w:rsidRPr="00592D81">
        <w:rPr>
          <w:rFonts w:ascii="Arial" w:hAnsi="Arial" w:cs="Arial"/>
          <w:sz w:val="20"/>
          <w:szCs w:val="20"/>
        </w:rPr>
        <w:lastRenderedPageBreak/>
        <w:t xml:space="preserve">Cuando mantenga derechos de voto y tales derechos </w:t>
      </w:r>
      <w:r w:rsidR="00243031" w:rsidRPr="00592D81">
        <w:rPr>
          <w:rFonts w:ascii="Arial" w:hAnsi="Arial" w:cs="Arial"/>
          <w:sz w:val="20"/>
          <w:szCs w:val="20"/>
        </w:rPr>
        <w:t>sean</w:t>
      </w:r>
      <w:r w:rsidRPr="00592D81">
        <w:rPr>
          <w:rFonts w:ascii="Arial" w:hAnsi="Arial" w:cs="Arial"/>
          <w:sz w:val="20"/>
          <w:szCs w:val="20"/>
        </w:rPr>
        <w:t xml:space="preserve"> un factor decisivo para determinar quién controla a la participada, </w:t>
      </w:r>
      <w:r w:rsidR="00BC24B1" w:rsidRPr="00592D81">
        <w:rPr>
          <w:rFonts w:ascii="Arial" w:hAnsi="Arial" w:cs="Arial"/>
          <w:sz w:val="20"/>
          <w:szCs w:val="20"/>
        </w:rPr>
        <w:t xml:space="preserve">una entidad </w:t>
      </w:r>
      <w:r w:rsidRPr="00592D81">
        <w:rPr>
          <w:rFonts w:ascii="Arial" w:hAnsi="Arial" w:cs="Arial"/>
          <w:sz w:val="20"/>
          <w:szCs w:val="20"/>
        </w:rPr>
        <w:t>presumirá que tiene poder sobre la participada cuando posea, directa o indirectamente</w:t>
      </w:r>
      <w:r w:rsidR="00BC24B1" w:rsidRPr="00592D81">
        <w:rPr>
          <w:rFonts w:ascii="Arial" w:hAnsi="Arial" w:cs="Arial"/>
          <w:sz w:val="20"/>
          <w:szCs w:val="20"/>
        </w:rPr>
        <w:t xml:space="preserve"> a través de subsidiarias</w:t>
      </w:r>
      <w:r w:rsidRPr="00592D81">
        <w:rPr>
          <w:rFonts w:ascii="Arial" w:hAnsi="Arial" w:cs="Arial"/>
          <w:sz w:val="20"/>
          <w:szCs w:val="20"/>
        </w:rPr>
        <w:t xml:space="preserve">, </w:t>
      </w:r>
      <w:r w:rsidR="00723DC2" w:rsidRPr="00592D81">
        <w:rPr>
          <w:rFonts w:ascii="Arial" w:hAnsi="Arial" w:cs="Arial"/>
          <w:sz w:val="20"/>
          <w:szCs w:val="20"/>
        </w:rPr>
        <w:t>l</w:t>
      </w:r>
      <w:r w:rsidRPr="00592D81">
        <w:rPr>
          <w:rFonts w:ascii="Arial" w:hAnsi="Arial" w:cs="Arial"/>
          <w:sz w:val="20"/>
          <w:szCs w:val="20"/>
        </w:rPr>
        <w:t xml:space="preserve">a mayoría de los derechos de voto en la participada. Otros elementos, tales como derechos contractuales, podrían poner en evidencia que </w:t>
      </w:r>
      <w:r w:rsidR="00337664" w:rsidRPr="00592D81">
        <w:rPr>
          <w:rFonts w:ascii="Arial" w:hAnsi="Arial" w:cs="Arial"/>
          <w:sz w:val="20"/>
          <w:szCs w:val="20"/>
        </w:rPr>
        <w:t>l</w:t>
      </w:r>
      <w:r w:rsidRPr="00592D81">
        <w:rPr>
          <w:rFonts w:ascii="Arial" w:hAnsi="Arial" w:cs="Arial"/>
          <w:sz w:val="20"/>
          <w:szCs w:val="20"/>
        </w:rPr>
        <w:t xml:space="preserve">a mayoría de derecho de voto es insuficiente para detentar el poder sobre la participada. Por su parte, algunas participadas son diseñadas de </w:t>
      </w:r>
      <w:r w:rsidR="00BC24B1" w:rsidRPr="00592D81">
        <w:rPr>
          <w:rFonts w:ascii="Arial" w:hAnsi="Arial" w:cs="Arial"/>
          <w:sz w:val="20"/>
          <w:szCs w:val="20"/>
        </w:rPr>
        <w:t>manera</w:t>
      </w:r>
      <w:r w:rsidRPr="00592D81">
        <w:rPr>
          <w:rFonts w:ascii="Arial" w:hAnsi="Arial" w:cs="Arial"/>
          <w:sz w:val="20"/>
          <w:szCs w:val="20"/>
        </w:rPr>
        <w:t xml:space="preserve"> que los derechos de voto o similares no son el factor decisivo para decidir quién controla a esa entidad (por ejemplo, los fideicomisos).</w:t>
      </w:r>
      <w:r w:rsidR="00B1049C" w:rsidRPr="00592D81">
        <w:rPr>
          <w:rFonts w:ascii="Arial" w:hAnsi="Arial" w:cs="Arial"/>
          <w:sz w:val="20"/>
          <w:szCs w:val="20"/>
        </w:rPr>
        <w:t xml:space="preserve"> Esto no impedirá determinar quién </w:t>
      </w:r>
      <w:r w:rsidR="001A3B38" w:rsidRPr="00592D81">
        <w:rPr>
          <w:rFonts w:ascii="Arial" w:hAnsi="Arial" w:cs="Arial"/>
          <w:sz w:val="20"/>
          <w:szCs w:val="20"/>
        </w:rPr>
        <w:t>detenta el poder sobre</w:t>
      </w:r>
      <w:r w:rsidR="00B1049C" w:rsidRPr="00592D81">
        <w:rPr>
          <w:rFonts w:ascii="Arial" w:hAnsi="Arial" w:cs="Arial"/>
          <w:sz w:val="20"/>
          <w:szCs w:val="20"/>
        </w:rPr>
        <w:t xml:space="preserve"> ese tipo de participadas, en el caso de que alguien efectivamente lo haga.</w:t>
      </w:r>
      <w:r w:rsidRPr="00592D81">
        <w:rPr>
          <w:rFonts w:ascii="Arial" w:hAnsi="Arial" w:cs="Arial"/>
          <w:sz w:val="20"/>
          <w:szCs w:val="20"/>
        </w:rPr>
        <w:t xml:space="preserve"> </w:t>
      </w:r>
    </w:p>
    <w:p w:rsidR="00421257" w:rsidRPr="00592D81" w:rsidRDefault="00421257" w:rsidP="00A318EA">
      <w:pPr>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Una entidad puede tener poder incluso si mantiene menos de una mayoría de los derechos de voto de una participada; por ejemplo, a través de: </w:t>
      </w:r>
    </w:p>
    <w:p w:rsidR="00421257" w:rsidRPr="00592D81" w:rsidRDefault="00421257" w:rsidP="00C01B25">
      <w:pPr>
        <w:pStyle w:val="NUA-Nivel1"/>
        <w:numPr>
          <w:ilvl w:val="0"/>
          <w:numId w:val="567"/>
        </w:numPr>
        <w:ind w:left="1560" w:hanging="567"/>
      </w:pPr>
      <w:r w:rsidRPr="00592D81">
        <w:t xml:space="preserve">un acuerdo contractual entre la entidad y otros </w:t>
      </w:r>
      <w:r w:rsidR="00512F8C" w:rsidRPr="00592D81">
        <w:t>titulares de derechos</w:t>
      </w:r>
      <w:r w:rsidRPr="00592D81">
        <w:t xml:space="preserve"> de voto; </w:t>
      </w:r>
    </w:p>
    <w:p w:rsidR="00421257" w:rsidRPr="00592D81" w:rsidRDefault="00421257" w:rsidP="00C01B25">
      <w:pPr>
        <w:pStyle w:val="NUA-Nivel1"/>
        <w:numPr>
          <w:ilvl w:val="0"/>
          <w:numId w:val="567"/>
        </w:numPr>
        <w:ind w:left="1560" w:hanging="567"/>
      </w:pPr>
      <w:r w:rsidRPr="00592D81">
        <w:t xml:space="preserve">otros acuerdos contractuales; </w:t>
      </w:r>
    </w:p>
    <w:p w:rsidR="00421257" w:rsidRPr="00592D81" w:rsidRDefault="00421257" w:rsidP="00C01B25">
      <w:pPr>
        <w:pStyle w:val="NUA-Nivel1"/>
        <w:numPr>
          <w:ilvl w:val="0"/>
          <w:numId w:val="567"/>
        </w:numPr>
        <w:ind w:left="1560" w:hanging="567"/>
      </w:pPr>
      <w:r w:rsidRPr="00592D81">
        <w:t xml:space="preserve">derechos de voto potenciales; o </w:t>
      </w:r>
    </w:p>
    <w:p w:rsidR="00421257" w:rsidRPr="00592D81" w:rsidRDefault="00421257" w:rsidP="00C01B25">
      <w:pPr>
        <w:pStyle w:val="NUA-Nivel1"/>
        <w:numPr>
          <w:ilvl w:val="0"/>
          <w:numId w:val="567"/>
        </w:numPr>
        <w:ind w:left="1560" w:hanging="567"/>
      </w:pPr>
      <w:r w:rsidRPr="00592D81">
        <w:t xml:space="preserve">una combinación de lo referido en los incisos a) a c) del presente párrafo. </w:t>
      </w:r>
    </w:p>
    <w:p w:rsidR="00421257" w:rsidRPr="00AC4AEA" w:rsidRDefault="00421257" w:rsidP="00A318EA">
      <w:pPr>
        <w:numPr>
          <w:ilvl w:val="0"/>
          <w:numId w:val="29"/>
        </w:numPr>
        <w:spacing w:after="147" w:line="264" w:lineRule="auto"/>
        <w:jc w:val="both"/>
        <w:rPr>
          <w:rFonts w:ascii="Arial" w:hAnsi="Arial" w:cs="Arial"/>
          <w:sz w:val="20"/>
          <w:szCs w:val="20"/>
        </w:rPr>
      </w:pPr>
      <w:bookmarkStart w:id="1082" w:name="_Ref135071505"/>
      <w:r w:rsidRPr="00AC4AEA">
        <w:rPr>
          <w:rFonts w:ascii="Arial" w:hAnsi="Arial" w:cs="Arial"/>
          <w:sz w:val="20"/>
          <w:szCs w:val="20"/>
        </w:rPr>
        <w:t>Al evaluar el control, una entidad considerará sus derechos de voto potenciales, así como los derechos de voto potenciales mantenidos por otras partes, para determinar si tiene poder. Los derechos de voto potenciales son derechos actualmente ejercitables para obtener derechos de voto de una participada, tales como los que surgen de instrumentos u opciones convertibles, incluyendo contratos a término. Esos derechos de voto potenciales se consideran solo si el titular del derecho tiene la capacidad práctica de ejercerlo.</w:t>
      </w:r>
      <w:bookmarkEnd w:id="1082"/>
      <w:r w:rsidR="006F2C57">
        <w:rPr>
          <w:rFonts w:ascii="Arial" w:hAnsi="Arial" w:cs="Arial"/>
          <w:sz w:val="20"/>
          <w:szCs w:val="20"/>
        </w:rPr>
        <w:t xml:space="preserve"> </w:t>
      </w:r>
    </w:p>
    <w:p w:rsidR="00421257" w:rsidRPr="00AC4AEA" w:rsidRDefault="00421257" w:rsidP="00A318EA">
      <w:pPr>
        <w:spacing w:after="148"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Rendimientos variables de una entidad procedentes de su </w:t>
      </w:r>
      <w:r w:rsidR="009C6923" w:rsidRPr="00AC4AEA">
        <w:t>vínculo con</w:t>
      </w:r>
      <w:r w:rsidR="00BC24B1" w:rsidRPr="00AC4AEA">
        <w:t xml:space="preserve"> otra entidad</w:t>
      </w:r>
      <w:r w:rsidR="006F2C57">
        <w:t xml:space="preserve"> </w:t>
      </w:r>
    </w:p>
    <w:p w:rsidR="00421257" w:rsidRPr="00AC4AEA" w:rsidRDefault="00421257" w:rsidP="00A318EA">
      <w:pPr>
        <w:numPr>
          <w:ilvl w:val="0"/>
          <w:numId w:val="29"/>
        </w:numPr>
        <w:spacing w:after="147" w:line="264" w:lineRule="auto"/>
        <w:jc w:val="both"/>
        <w:rPr>
          <w:rFonts w:ascii="Arial" w:hAnsi="Arial" w:cs="Arial"/>
          <w:sz w:val="20"/>
          <w:szCs w:val="20"/>
        </w:rPr>
      </w:pPr>
      <w:bookmarkStart w:id="1083" w:name="_Ref135071508"/>
      <w:r w:rsidRPr="00AC4AEA">
        <w:rPr>
          <w:rFonts w:ascii="Arial" w:hAnsi="Arial" w:cs="Arial"/>
          <w:sz w:val="20"/>
          <w:szCs w:val="20"/>
        </w:rPr>
        <w:t xml:space="preserve">Una entidad está expuesta, o tiene derechos, a rendimientos variables procedentes de su </w:t>
      </w:r>
      <w:r w:rsidR="00D55A2C" w:rsidRPr="00AC4AEA">
        <w:rPr>
          <w:rFonts w:ascii="Arial" w:hAnsi="Arial" w:cs="Arial"/>
          <w:sz w:val="20"/>
          <w:szCs w:val="20"/>
        </w:rPr>
        <w:t>vínculo con</w:t>
      </w:r>
      <w:r w:rsidRPr="00AC4AEA">
        <w:rPr>
          <w:rFonts w:ascii="Arial" w:hAnsi="Arial" w:cs="Arial"/>
          <w:sz w:val="20"/>
          <w:szCs w:val="20"/>
        </w:rPr>
        <w:t xml:space="preserve"> </w:t>
      </w:r>
      <w:r w:rsidR="00BC24B1" w:rsidRPr="00AC4AEA">
        <w:rPr>
          <w:rFonts w:ascii="Arial" w:hAnsi="Arial" w:cs="Arial"/>
          <w:sz w:val="20"/>
          <w:szCs w:val="20"/>
        </w:rPr>
        <w:t>otra entidad</w:t>
      </w:r>
      <w:r w:rsidRPr="00AC4AEA">
        <w:rPr>
          <w:rFonts w:ascii="Arial" w:hAnsi="Arial" w:cs="Arial"/>
          <w:sz w:val="20"/>
          <w:szCs w:val="20"/>
        </w:rPr>
        <w:t xml:space="preserve"> cuando sus propios rendimientos tienen el potencial de variar como consecuencia de tal </w:t>
      </w:r>
      <w:r w:rsidR="00391AAB" w:rsidRPr="00AC4AEA">
        <w:rPr>
          <w:rFonts w:ascii="Arial" w:hAnsi="Arial" w:cs="Arial"/>
          <w:sz w:val="20"/>
          <w:szCs w:val="20"/>
        </w:rPr>
        <w:t>vínculo</w:t>
      </w:r>
      <w:r w:rsidRPr="00AC4AEA">
        <w:rPr>
          <w:rFonts w:ascii="Arial" w:hAnsi="Arial" w:cs="Arial"/>
          <w:sz w:val="20"/>
          <w:szCs w:val="20"/>
        </w:rPr>
        <w:t>. La variación de los rendimientos de la entidad puede ser positiva, negativa o ambas.</w:t>
      </w:r>
      <w:bookmarkEnd w:id="1083"/>
      <w:r w:rsidR="006F2C57">
        <w:rPr>
          <w:rFonts w:ascii="Arial" w:hAnsi="Arial" w:cs="Arial"/>
          <w:sz w:val="20"/>
          <w:szCs w:val="20"/>
        </w:rPr>
        <w:t xml:space="preserve"> </w:t>
      </w:r>
    </w:p>
    <w:p w:rsidR="00421257" w:rsidRPr="00AC4AEA" w:rsidRDefault="00421257" w:rsidP="00A318EA">
      <w:pPr>
        <w:numPr>
          <w:ilvl w:val="0"/>
          <w:numId w:val="29"/>
        </w:numPr>
        <w:spacing w:after="147" w:line="264" w:lineRule="auto"/>
        <w:jc w:val="both"/>
        <w:rPr>
          <w:rFonts w:ascii="Arial" w:hAnsi="Arial" w:cs="Arial"/>
          <w:sz w:val="20"/>
          <w:szCs w:val="20"/>
        </w:rPr>
      </w:pPr>
      <w:bookmarkStart w:id="1084" w:name="_Ref138960822"/>
      <w:r w:rsidRPr="00AC4AEA">
        <w:rPr>
          <w:rFonts w:ascii="Arial" w:hAnsi="Arial" w:cs="Arial"/>
          <w:sz w:val="20"/>
          <w:szCs w:val="20"/>
        </w:rPr>
        <w:t>Los rendimientos referidos en el párrafo anterior incluyen:</w:t>
      </w:r>
      <w:bookmarkEnd w:id="1084"/>
      <w:r w:rsidR="006F2C57">
        <w:rPr>
          <w:rFonts w:ascii="Arial" w:hAnsi="Arial" w:cs="Arial"/>
          <w:sz w:val="20"/>
          <w:szCs w:val="20"/>
        </w:rPr>
        <w:t xml:space="preserve"> </w:t>
      </w:r>
    </w:p>
    <w:p w:rsidR="00421257" w:rsidRPr="00AC4AEA" w:rsidRDefault="00421257" w:rsidP="00C01B25">
      <w:pPr>
        <w:pStyle w:val="NUA-Nivel1"/>
        <w:numPr>
          <w:ilvl w:val="0"/>
          <w:numId w:val="568"/>
        </w:numPr>
        <w:ind w:left="1560" w:hanging="567"/>
      </w:pPr>
      <w:r w:rsidRPr="00AC4AEA">
        <w:t xml:space="preserve">Dividendos, otras distribuciones de beneficios económicos procedentes de la participada (por ejemplo, intereses de títulos de deuda emitidos por la participada) y cambios en el valor de la inversión de la </w:t>
      </w:r>
      <w:r w:rsidR="00157330" w:rsidRPr="00AC4AEA">
        <w:t>entidad</w:t>
      </w:r>
      <w:r w:rsidRPr="00AC4AEA">
        <w:t xml:space="preserve"> en la participada. </w:t>
      </w:r>
    </w:p>
    <w:p w:rsidR="00421257" w:rsidRPr="00AC4AEA" w:rsidRDefault="00421257" w:rsidP="00C01B25">
      <w:pPr>
        <w:pStyle w:val="NUA-Nivel1"/>
        <w:numPr>
          <w:ilvl w:val="0"/>
          <w:numId w:val="568"/>
        </w:numPr>
        <w:ind w:left="1560" w:hanging="567"/>
      </w:pPr>
      <w:r w:rsidRPr="00AC4AEA">
        <w:t xml:space="preserve">Remuneración por administrar los activos o pasivos de una participada, comisiones y exposición a pérdidas por proporcionar apoyo de crédito o liquidez, participaciones residuales en los activos y pasivos de la participada en la liquidación de ésta, beneficios fiscales, y acceso a liquidez futura que una entidad tenga por su </w:t>
      </w:r>
      <w:r w:rsidR="00486235" w:rsidRPr="00AC4AEA">
        <w:t>vínculo con</w:t>
      </w:r>
      <w:r w:rsidRPr="00AC4AEA">
        <w:t xml:space="preserve"> </w:t>
      </w:r>
      <w:r w:rsidR="00D44D75" w:rsidRPr="00AC4AEA">
        <w:t>una participada</w:t>
      </w:r>
      <w:r w:rsidRPr="00AC4AEA">
        <w:t>.</w:t>
      </w:r>
      <w:r w:rsidR="006F2C57">
        <w:t xml:space="preserve"> </w:t>
      </w:r>
    </w:p>
    <w:p w:rsidR="00421257" w:rsidRPr="00AC4AEA" w:rsidRDefault="00421257" w:rsidP="00C01B25">
      <w:pPr>
        <w:pStyle w:val="NUA-Nivel1"/>
        <w:numPr>
          <w:ilvl w:val="0"/>
          <w:numId w:val="568"/>
        </w:numPr>
        <w:ind w:left="1560" w:hanging="567"/>
      </w:pPr>
      <w:bookmarkStart w:id="1085" w:name="_Ref135071515"/>
      <w:r w:rsidRPr="00AC4AEA">
        <w:t xml:space="preserve">Rendimientos que no están disponibles para otros tenedores de participaciones. Por ejemplo, una entidad puede utilizar sus activos en combinación con los activos de la participada, tales como una combinación de </w:t>
      </w:r>
      <w:r w:rsidRPr="00AC4AEA">
        <w:lastRenderedPageBreak/>
        <w:t xml:space="preserve">funciones operativas para conseguir economías de escala, ahorro de costos, fuentes de productos escasos, obtener acceso a conocimientos del propietario o limitando algunas operaciones o activos, para mejorar el valor de otros activos de la </w:t>
      </w:r>
      <w:r w:rsidR="003C7F47" w:rsidRPr="00AC4AEA">
        <w:t>entidad</w:t>
      </w:r>
      <w:r w:rsidRPr="00AC4AEA">
        <w:t>.</w:t>
      </w:r>
      <w:bookmarkEnd w:id="1085"/>
      <w:r w:rsidRPr="00AC4AEA">
        <w:t xml:space="preserve"> </w:t>
      </w:r>
    </w:p>
    <w:p w:rsidR="00421257" w:rsidRPr="00AC4AEA" w:rsidRDefault="00421257" w:rsidP="00A318EA">
      <w:pPr>
        <w:spacing w:after="150" w:line="256" w:lineRule="auto"/>
        <w:ind w:left="1334"/>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Forma en la que </w:t>
      </w:r>
      <w:r w:rsidR="00BC24B1" w:rsidRPr="00AC4AEA">
        <w:t>una</w:t>
      </w:r>
      <w:r w:rsidRPr="00AC4AEA">
        <w:t xml:space="preserve"> entidad utiliza su poder en </w:t>
      </w:r>
      <w:r w:rsidR="00BC24B1" w:rsidRPr="00AC4AEA">
        <w:t>una</w:t>
      </w:r>
      <w:r w:rsidRPr="00AC4AEA">
        <w:t xml:space="preserve"> participada</w:t>
      </w:r>
      <w:r w:rsidR="006F2C57">
        <w:t xml:space="preserve"> </w:t>
      </w:r>
    </w:p>
    <w:p w:rsidR="00706E8E" w:rsidRPr="00AC4AEA" w:rsidRDefault="00706E8E" w:rsidP="00A318EA">
      <w:pPr>
        <w:numPr>
          <w:ilvl w:val="0"/>
          <w:numId w:val="29"/>
        </w:numPr>
        <w:spacing w:after="147" w:line="264" w:lineRule="auto"/>
        <w:jc w:val="both"/>
        <w:rPr>
          <w:rFonts w:ascii="Arial" w:hAnsi="Arial" w:cs="Arial"/>
          <w:sz w:val="20"/>
          <w:szCs w:val="20"/>
        </w:rPr>
      </w:pPr>
      <w:bookmarkStart w:id="1086" w:name="_Ref135071517"/>
      <w:r w:rsidRPr="00AC4AEA">
        <w:rPr>
          <w:rFonts w:ascii="Arial" w:hAnsi="Arial" w:cs="Arial"/>
          <w:sz w:val="20"/>
          <w:szCs w:val="20"/>
        </w:rPr>
        <w:t>Cuando evalúa si controla a una participada, una entidad determinará</w:t>
      </w:r>
      <w:r w:rsidR="006C3651" w:rsidRPr="00AC4AEA">
        <w:rPr>
          <w:rFonts w:ascii="Arial" w:hAnsi="Arial" w:cs="Arial"/>
          <w:sz w:val="20"/>
          <w:szCs w:val="20"/>
        </w:rPr>
        <w:t xml:space="preserve"> si</w:t>
      </w:r>
      <w:r w:rsidRPr="00AC4AEA">
        <w:rPr>
          <w:rFonts w:ascii="Arial" w:hAnsi="Arial" w:cs="Arial"/>
          <w:sz w:val="20"/>
          <w:szCs w:val="20"/>
        </w:rPr>
        <w:t>:</w:t>
      </w:r>
      <w:bookmarkEnd w:id="1086"/>
      <w:r w:rsidR="006F2C57">
        <w:rPr>
          <w:rFonts w:ascii="Arial" w:hAnsi="Arial" w:cs="Arial"/>
          <w:sz w:val="20"/>
          <w:szCs w:val="20"/>
        </w:rPr>
        <w:t xml:space="preserve"> </w:t>
      </w:r>
    </w:p>
    <w:p w:rsidR="00706E8E" w:rsidRPr="00AC4AEA" w:rsidRDefault="00706E8E" w:rsidP="00C01B25">
      <w:pPr>
        <w:pStyle w:val="NUA-Nivel1"/>
        <w:numPr>
          <w:ilvl w:val="0"/>
          <w:numId w:val="569"/>
        </w:numPr>
        <w:ind w:left="1560" w:hanging="567"/>
      </w:pPr>
      <w:r w:rsidRPr="00AC4AEA">
        <w:t>es principal (mandante</w:t>
      </w:r>
      <w:r w:rsidR="000A0BD3" w:rsidRPr="00AC4AEA">
        <w:t>)</w:t>
      </w:r>
      <w:r w:rsidRPr="00AC4AEA">
        <w:t xml:space="preserve">; o </w:t>
      </w:r>
    </w:p>
    <w:p w:rsidR="00706E8E" w:rsidRPr="00AC4AEA" w:rsidRDefault="00706E8E" w:rsidP="00C01B25">
      <w:pPr>
        <w:pStyle w:val="NUA-Nivel1"/>
        <w:numPr>
          <w:ilvl w:val="0"/>
          <w:numId w:val="569"/>
        </w:numPr>
        <w:ind w:left="1560" w:hanging="567"/>
      </w:pPr>
      <w:r w:rsidRPr="00AC4AEA">
        <w:t xml:space="preserve">está actuando como una mandataria </w:t>
      </w:r>
      <w:r w:rsidR="006C3651" w:rsidRPr="00AC4AEA">
        <w:t>de otra entidad</w:t>
      </w:r>
      <w:r w:rsidRPr="00AC4AEA">
        <w:t xml:space="preserve">. </w:t>
      </w:r>
    </w:p>
    <w:p w:rsidR="00706E8E" w:rsidRPr="00AC4AEA" w:rsidRDefault="00706E8E" w:rsidP="00A318EA">
      <w:pPr>
        <w:pStyle w:val="NUA-Nivel1"/>
        <w:numPr>
          <w:ilvl w:val="0"/>
          <w:numId w:val="29"/>
        </w:numPr>
      </w:pPr>
      <w:bookmarkStart w:id="1087" w:name="_Ref135071520"/>
      <w:r w:rsidRPr="00AC4AEA">
        <w:t>Una mandataria es una parte dedicada principalmente a actuar en nombre y a beneficio de otra parte (el principal) y, por lo tanto, no controla</w:t>
      </w:r>
      <w:r w:rsidR="000A0BD3" w:rsidRPr="00AC4AEA">
        <w:t xml:space="preserve"> a</w:t>
      </w:r>
      <w:r w:rsidRPr="00AC4AEA">
        <w:t xml:space="preserve"> la participada cuando ejerce su autoridad para tomar decisiones.</w:t>
      </w:r>
      <w:bookmarkEnd w:id="1087"/>
      <w:r w:rsidR="007C3AA0" w:rsidRPr="00AC4AEA">
        <w:t xml:space="preserve"> Por ejemplo, en una entidad que es un fideicomiso, un fiduciario puede actuar en carácter de mandataria de un fiduciante que, a través del contrato, le establece las actividades relevantes que debe realizar.</w:t>
      </w:r>
      <w:r w:rsidR="006F2C57">
        <w:t xml:space="preserve"> </w:t>
      </w:r>
    </w:p>
    <w:p w:rsidR="00421257" w:rsidRPr="00AC4AEA" w:rsidRDefault="00421257" w:rsidP="00A318EA">
      <w:pPr>
        <w:spacing w:after="148" w:line="256" w:lineRule="auto"/>
        <w:ind w:left="1466"/>
        <w:rPr>
          <w:rFonts w:ascii="Arial" w:hAnsi="Arial" w:cs="Arial"/>
          <w:sz w:val="20"/>
          <w:szCs w:val="20"/>
        </w:rPr>
      </w:pPr>
    </w:p>
    <w:p w:rsidR="00421257" w:rsidRPr="00AC4AEA" w:rsidRDefault="00421257" w:rsidP="00A318EA">
      <w:pPr>
        <w:pStyle w:val="Ttulo3"/>
      </w:pPr>
      <w:bookmarkStart w:id="1088" w:name="_Toc139356975"/>
      <w:r w:rsidRPr="00AC4AEA">
        <w:t>Estados contables consolidados: concepto y contenido mínimo</w:t>
      </w:r>
      <w:bookmarkEnd w:id="1088"/>
      <w:r w:rsidRPr="00AC4AEA">
        <w:t xml:space="preserve"> </w:t>
      </w:r>
    </w:p>
    <w:p w:rsidR="00421257" w:rsidRPr="00AC4AEA" w:rsidRDefault="00421257" w:rsidP="00A318EA">
      <w:pPr>
        <w:numPr>
          <w:ilvl w:val="0"/>
          <w:numId w:val="29"/>
        </w:numPr>
        <w:spacing w:after="147" w:line="264" w:lineRule="auto"/>
        <w:jc w:val="both"/>
        <w:rPr>
          <w:rFonts w:ascii="Arial" w:hAnsi="Arial" w:cs="Arial"/>
          <w:sz w:val="20"/>
          <w:szCs w:val="20"/>
        </w:rPr>
      </w:pPr>
      <w:bookmarkStart w:id="1089" w:name="_Ref135071593"/>
      <w:r w:rsidRPr="00AC4AEA">
        <w:rPr>
          <w:rFonts w:ascii="Arial" w:hAnsi="Arial" w:cs="Arial"/>
          <w:sz w:val="20"/>
          <w:szCs w:val="20"/>
        </w:rPr>
        <w:t xml:space="preserve">Los </w:t>
      </w:r>
      <w:r w:rsidRPr="00AC4AEA">
        <w:rPr>
          <w:rFonts w:ascii="Arial" w:hAnsi="Arial" w:cs="Arial"/>
          <w:b/>
          <w:bCs/>
          <w:sz w:val="20"/>
          <w:szCs w:val="20"/>
        </w:rPr>
        <w:t>estados contables consolidados</w:t>
      </w:r>
      <w:r w:rsidRPr="00AC4AEA">
        <w:rPr>
          <w:rFonts w:ascii="Arial" w:hAnsi="Arial" w:cs="Arial"/>
          <w:sz w:val="20"/>
          <w:szCs w:val="20"/>
        </w:rPr>
        <w:t xml:space="preserve"> presentan la información contable de un grupo económico como si se tratara de una sola entidad económica.</w:t>
      </w:r>
      <w:bookmarkEnd w:id="1089"/>
      <w:r w:rsidR="006F2C57">
        <w:rPr>
          <w:rFonts w:ascii="Arial" w:hAnsi="Arial" w:cs="Arial"/>
          <w:sz w:val="20"/>
          <w:szCs w:val="20"/>
        </w:rPr>
        <w:t xml:space="preserve"> </w:t>
      </w:r>
    </w:p>
    <w:p w:rsidR="00421257" w:rsidRPr="00AC4AEA" w:rsidRDefault="00421257" w:rsidP="00A318EA">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 conjunto completo de </w:t>
      </w:r>
      <w:r w:rsidRPr="00AC4AEA">
        <w:rPr>
          <w:rFonts w:ascii="Arial" w:hAnsi="Arial" w:cs="Arial"/>
          <w:b/>
          <w:bCs/>
          <w:sz w:val="20"/>
          <w:szCs w:val="20"/>
        </w:rPr>
        <w:t>estados contables consolidados</w:t>
      </w:r>
      <w:r w:rsidRPr="00AC4AEA">
        <w:rPr>
          <w:rFonts w:ascii="Arial" w:hAnsi="Arial" w:cs="Arial"/>
          <w:sz w:val="20"/>
          <w:szCs w:val="20"/>
        </w:rPr>
        <w:t xml:space="preserve"> comprende:</w:t>
      </w:r>
      <w:r w:rsidR="006F2C57">
        <w:rPr>
          <w:rFonts w:ascii="Arial" w:hAnsi="Arial" w:cs="Arial"/>
          <w:sz w:val="20"/>
          <w:szCs w:val="20"/>
        </w:rPr>
        <w:t xml:space="preserve"> </w:t>
      </w:r>
    </w:p>
    <w:p w:rsidR="00421257" w:rsidRPr="00AC4AEA" w:rsidRDefault="00421257" w:rsidP="00C01B25">
      <w:pPr>
        <w:pStyle w:val="NUA-Nivel1"/>
        <w:numPr>
          <w:ilvl w:val="0"/>
          <w:numId w:val="570"/>
        </w:numPr>
        <w:ind w:left="1560" w:hanging="567"/>
      </w:pPr>
      <w:r w:rsidRPr="00AC4AEA">
        <w:t>el estado de situación patrimonial consolidado o balance general consolidado;</w:t>
      </w:r>
      <w:r w:rsidR="006F2C57">
        <w:t xml:space="preserve"> </w:t>
      </w:r>
    </w:p>
    <w:p w:rsidR="00421257" w:rsidRPr="00AC4AEA" w:rsidRDefault="00421257" w:rsidP="00C01B25">
      <w:pPr>
        <w:pStyle w:val="NUA-Nivel1"/>
        <w:numPr>
          <w:ilvl w:val="0"/>
          <w:numId w:val="570"/>
        </w:numPr>
        <w:ind w:left="1560" w:hanging="567"/>
      </w:pPr>
      <w:r w:rsidRPr="00AC4AEA">
        <w:t>el estado de resultados consolidado;</w:t>
      </w:r>
      <w:r w:rsidR="006F2C57">
        <w:t xml:space="preserve"> </w:t>
      </w:r>
    </w:p>
    <w:p w:rsidR="00421257" w:rsidRPr="00AC4AEA" w:rsidRDefault="00421257" w:rsidP="00C01B25">
      <w:pPr>
        <w:pStyle w:val="NUA-Nivel1"/>
        <w:numPr>
          <w:ilvl w:val="0"/>
          <w:numId w:val="570"/>
        </w:numPr>
        <w:ind w:left="1560" w:hanging="567"/>
      </w:pPr>
      <w:r w:rsidRPr="00AC4AEA">
        <w:t>el estado de evolución del patrimonio neto consolidado;</w:t>
      </w:r>
      <w:r w:rsidR="006F2C57">
        <w:t xml:space="preserve"> </w:t>
      </w:r>
    </w:p>
    <w:p w:rsidR="00421257" w:rsidRPr="00AC4AEA" w:rsidRDefault="00421257" w:rsidP="00C01B25">
      <w:pPr>
        <w:pStyle w:val="NUA-Nivel1"/>
        <w:numPr>
          <w:ilvl w:val="0"/>
          <w:numId w:val="570"/>
        </w:numPr>
        <w:ind w:left="1560" w:hanging="567"/>
      </w:pPr>
      <w:r w:rsidRPr="00AC4AEA">
        <w:t xml:space="preserve">el estado de flujos de efectivo consolidado; y </w:t>
      </w:r>
    </w:p>
    <w:p w:rsidR="00421257" w:rsidRPr="00AC4AEA" w:rsidRDefault="00421257" w:rsidP="00C01B25">
      <w:pPr>
        <w:pStyle w:val="NUA-Nivel1"/>
        <w:numPr>
          <w:ilvl w:val="0"/>
          <w:numId w:val="570"/>
        </w:numPr>
        <w:ind w:left="1560" w:hanging="567"/>
      </w:pPr>
      <w:r w:rsidRPr="00AC4AEA">
        <w:t xml:space="preserve">las notas a los </w:t>
      </w:r>
      <w:r w:rsidRPr="00DD6554">
        <w:rPr>
          <w:b/>
          <w:bCs/>
        </w:rPr>
        <w:t>estados contables consolidados</w:t>
      </w:r>
      <w:r w:rsidRPr="00AC4AEA">
        <w:t xml:space="preserve">, con un resumen de las </w:t>
      </w:r>
      <w:r w:rsidRPr="00AD600B">
        <w:rPr>
          <w:b/>
          <w:bCs/>
        </w:rPr>
        <w:t>políticas contables</w:t>
      </w:r>
      <w:r w:rsidRPr="00AC4AEA">
        <w:t xml:space="preserve"> significativas y cualquier otra información explicativa que permita al conjunto completo satisfacer los </w:t>
      </w:r>
      <w:r w:rsidRPr="00AD600B">
        <w:rPr>
          <w:b/>
          <w:bCs/>
        </w:rPr>
        <w:t>requisitos de la información contenida en los</w:t>
      </w:r>
      <w:r w:rsidRPr="00AC4AEA">
        <w:t xml:space="preserve"> </w:t>
      </w:r>
      <w:r w:rsidRPr="00AC4AEA">
        <w:rPr>
          <w:b/>
          <w:bCs/>
        </w:rPr>
        <w:t>estados contables</w:t>
      </w:r>
      <w:r w:rsidRPr="00AC4AEA">
        <w:t>.</w:t>
      </w:r>
      <w:r w:rsidR="006F2C57">
        <w:t xml:space="preserve"> </w:t>
      </w:r>
      <w:r w:rsidRPr="00AC4AEA">
        <w:t xml:space="preserve"> </w:t>
      </w:r>
    </w:p>
    <w:p w:rsidR="00421257" w:rsidRPr="00AC4AEA" w:rsidRDefault="00421257" w:rsidP="00A318EA">
      <w:pPr>
        <w:spacing w:after="15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090" w:name="_Toc139356976"/>
      <w:r w:rsidRPr="00AC4AEA">
        <w:rPr>
          <w:rFonts w:cs="Arial"/>
        </w:rPr>
        <w:t>Procedimiento de consolidación</w:t>
      </w:r>
      <w:bookmarkEnd w:id="1090"/>
      <w:r w:rsidRPr="00AC4AEA">
        <w:rPr>
          <w:rFonts w:cs="Arial"/>
        </w:rPr>
        <w:t xml:space="preserve"> </w:t>
      </w:r>
    </w:p>
    <w:p w:rsidR="00421257" w:rsidRPr="00AC4AEA" w:rsidRDefault="00421257" w:rsidP="00A318EA">
      <w:pPr>
        <w:pStyle w:val="Ttulo3"/>
      </w:pPr>
      <w:bookmarkStart w:id="1091" w:name="_Toc139356977"/>
      <w:r w:rsidRPr="00AC4AEA">
        <w:t>Requerimientos generales para la preparación de estados contables consolidados</w:t>
      </w:r>
      <w:bookmarkEnd w:id="1091"/>
      <w:r w:rsidRPr="00AC4AEA">
        <w:t xml:space="preserve"> </w:t>
      </w:r>
    </w:p>
    <w:p w:rsidR="00421257" w:rsidRPr="00AC4AEA" w:rsidRDefault="00421257" w:rsidP="00A318EA">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Al preparar los </w:t>
      </w:r>
      <w:r w:rsidRPr="00AC4AEA">
        <w:rPr>
          <w:rFonts w:ascii="Arial" w:hAnsi="Arial" w:cs="Arial"/>
          <w:b/>
          <w:bCs/>
          <w:sz w:val="20"/>
          <w:szCs w:val="20"/>
        </w:rPr>
        <w:t>estados contables consolidados</w:t>
      </w:r>
      <w:r w:rsidRPr="00AC4AEA">
        <w:rPr>
          <w:rFonts w:ascii="Arial" w:hAnsi="Arial" w:cs="Arial"/>
          <w:sz w:val="20"/>
          <w:szCs w:val="20"/>
        </w:rPr>
        <w:t xml:space="preserve">, una entidad: </w:t>
      </w:r>
    </w:p>
    <w:p w:rsidR="00421257" w:rsidRPr="00AC4AEA" w:rsidRDefault="00421257" w:rsidP="00C01B25">
      <w:pPr>
        <w:numPr>
          <w:ilvl w:val="3"/>
          <w:numId w:val="471"/>
        </w:numPr>
        <w:spacing w:after="147" w:line="264" w:lineRule="auto"/>
        <w:ind w:left="1560" w:hanging="567"/>
        <w:jc w:val="both"/>
        <w:rPr>
          <w:rFonts w:ascii="Arial" w:hAnsi="Arial" w:cs="Arial"/>
          <w:sz w:val="20"/>
          <w:szCs w:val="20"/>
        </w:rPr>
      </w:pPr>
      <w:r w:rsidRPr="00AC4AEA">
        <w:rPr>
          <w:rFonts w:ascii="Arial" w:hAnsi="Arial" w:cs="Arial"/>
          <w:sz w:val="20"/>
          <w:szCs w:val="20"/>
        </w:rPr>
        <w:t xml:space="preserve">Combinará los </w:t>
      </w:r>
      <w:r w:rsidRPr="00AC4AEA">
        <w:rPr>
          <w:rFonts w:ascii="Arial" w:hAnsi="Arial" w:cs="Arial"/>
          <w:b/>
          <w:bCs/>
          <w:sz w:val="20"/>
          <w:szCs w:val="20"/>
        </w:rPr>
        <w:t>estados contables</w:t>
      </w:r>
      <w:r w:rsidRPr="00AC4AEA">
        <w:rPr>
          <w:rFonts w:ascii="Arial" w:hAnsi="Arial" w:cs="Arial"/>
          <w:sz w:val="20"/>
          <w:szCs w:val="20"/>
        </w:rPr>
        <w:t xml:space="preserve"> de la entidad controladora y sus controladas, línea por línea, agregando las partidas de activos, pasivos, patrimonio, resultados, </w:t>
      </w:r>
      <w:r w:rsidRPr="00D86B48">
        <w:rPr>
          <w:rFonts w:ascii="Arial" w:hAnsi="Arial" w:cs="Arial"/>
          <w:b/>
          <w:bCs/>
          <w:sz w:val="20"/>
          <w:szCs w:val="20"/>
        </w:rPr>
        <w:t>resultados diferidos</w:t>
      </w:r>
      <w:r w:rsidRPr="00AC4AEA">
        <w:rPr>
          <w:rFonts w:ascii="Arial" w:hAnsi="Arial" w:cs="Arial"/>
          <w:sz w:val="20"/>
          <w:szCs w:val="20"/>
        </w:rPr>
        <w:t xml:space="preserve"> y flujos de efectivo de contenido similar desde el punto de vista del grupo económico. </w:t>
      </w:r>
    </w:p>
    <w:p w:rsidR="00421257" w:rsidRPr="00AC4AEA" w:rsidRDefault="00421257" w:rsidP="00C01B25">
      <w:pPr>
        <w:numPr>
          <w:ilvl w:val="3"/>
          <w:numId w:val="471"/>
        </w:numPr>
        <w:spacing w:after="147" w:line="264" w:lineRule="auto"/>
        <w:ind w:left="1560" w:hanging="567"/>
        <w:jc w:val="both"/>
        <w:rPr>
          <w:rFonts w:ascii="Arial" w:hAnsi="Arial" w:cs="Arial"/>
          <w:sz w:val="20"/>
          <w:szCs w:val="20"/>
        </w:rPr>
      </w:pPr>
      <w:r w:rsidRPr="00AC4AEA">
        <w:rPr>
          <w:rFonts w:ascii="Arial" w:hAnsi="Arial" w:cs="Arial"/>
          <w:sz w:val="20"/>
          <w:szCs w:val="20"/>
        </w:rPr>
        <w:lastRenderedPageBreak/>
        <w:t xml:space="preserve">Eliminará el importe en libros de la inversión que la entidad controladora mantiene en cada entidad controlada junto con la porción del </w:t>
      </w:r>
      <w:r w:rsidRPr="008826C7">
        <w:rPr>
          <w:rFonts w:ascii="Arial" w:hAnsi="Arial" w:cs="Arial"/>
          <w:b/>
          <w:bCs/>
          <w:sz w:val="20"/>
          <w:szCs w:val="20"/>
        </w:rPr>
        <w:t>patrimonio neto</w:t>
      </w:r>
      <w:r w:rsidRPr="00AC4AEA">
        <w:rPr>
          <w:rFonts w:ascii="Arial" w:hAnsi="Arial" w:cs="Arial"/>
          <w:sz w:val="20"/>
          <w:szCs w:val="20"/>
        </w:rPr>
        <w:t xml:space="preserve"> perteneciente a la entidad controladora en cada una de las controladas. </w:t>
      </w:r>
    </w:p>
    <w:p w:rsidR="000A0BD3" w:rsidRPr="00AC4AEA" w:rsidRDefault="00421257" w:rsidP="00C01B25">
      <w:pPr>
        <w:numPr>
          <w:ilvl w:val="3"/>
          <w:numId w:val="471"/>
        </w:numPr>
        <w:spacing w:after="147" w:line="264" w:lineRule="auto"/>
        <w:ind w:left="1560" w:hanging="567"/>
        <w:jc w:val="both"/>
        <w:rPr>
          <w:rFonts w:ascii="Arial" w:hAnsi="Arial" w:cs="Arial"/>
          <w:sz w:val="20"/>
          <w:szCs w:val="20"/>
        </w:rPr>
      </w:pPr>
      <w:r w:rsidRPr="00AC4AEA">
        <w:rPr>
          <w:rFonts w:ascii="Arial" w:hAnsi="Arial" w:cs="Arial"/>
          <w:sz w:val="20"/>
          <w:szCs w:val="20"/>
        </w:rPr>
        <w:t>Eliminará en su totalidad</w:t>
      </w:r>
      <w:r w:rsidR="000A0BD3" w:rsidRPr="00AC4AEA">
        <w:rPr>
          <w:rFonts w:ascii="Arial" w:hAnsi="Arial" w:cs="Arial"/>
          <w:sz w:val="20"/>
          <w:szCs w:val="20"/>
        </w:rPr>
        <w:t xml:space="preserve">, según lo establecido en los párrafos </w:t>
      </w:r>
      <w:fldSimple w:instr=" REF _Ref135298833 \r \h  \* MERGEFORMAT ">
        <w:r w:rsidR="00D33A5D" w:rsidRPr="00D33A5D">
          <w:rPr>
            <w:rFonts w:ascii="Arial" w:hAnsi="Arial" w:cs="Arial"/>
            <w:sz w:val="20"/>
            <w:szCs w:val="20"/>
          </w:rPr>
          <w:t>796</w:t>
        </w:r>
      </w:fldSimple>
      <w:r w:rsidR="000A0BD3" w:rsidRPr="00AC4AEA">
        <w:rPr>
          <w:rFonts w:ascii="Arial" w:hAnsi="Arial" w:cs="Arial"/>
          <w:sz w:val="20"/>
          <w:szCs w:val="20"/>
        </w:rPr>
        <w:t xml:space="preserve"> a </w:t>
      </w:r>
      <w:fldSimple w:instr=" REF _Ref135298836 \r \h  \* MERGEFORMAT ">
        <w:r w:rsidR="00D33A5D" w:rsidRPr="00D33A5D">
          <w:rPr>
            <w:rFonts w:ascii="Arial" w:hAnsi="Arial" w:cs="Arial"/>
            <w:sz w:val="20"/>
            <w:szCs w:val="20"/>
          </w:rPr>
          <w:t>799</w:t>
        </w:r>
      </w:fldSimple>
      <w:r w:rsidR="000A0BD3" w:rsidRPr="00AC4AEA">
        <w:rPr>
          <w:rFonts w:ascii="Arial" w:hAnsi="Arial" w:cs="Arial"/>
          <w:sz w:val="20"/>
          <w:szCs w:val="20"/>
        </w:rPr>
        <w:t>:</w:t>
      </w:r>
    </w:p>
    <w:p w:rsidR="000A0BD3" w:rsidRPr="00AC4AEA" w:rsidRDefault="00421257" w:rsidP="00C01B25">
      <w:pPr>
        <w:numPr>
          <w:ilvl w:val="4"/>
          <w:numId w:val="472"/>
        </w:numPr>
        <w:ind w:left="1985" w:hanging="425"/>
        <w:jc w:val="both"/>
        <w:rPr>
          <w:rFonts w:ascii="Arial" w:hAnsi="Arial" w:cs="Arial"/>
          <w:sz w:val="20"/>
          <w:szCs w:val="20"/>
        </w:rPr>
      </w:pPr>
      <w:r w:rsidRPr="00AC4AEA">
        <w:rPr>
          <w:rFonts w:ascii="Arial" w:hAnsi="Arial" w:cs="Arial"/>
          <w:sz w:val="20"/>
          <w:szCs w:val="20"/>
        </w:rPr>
        <w:t>los saldos</w:t>
      </w:r>
      <w:r w:rsidR="000A0BD3" w:rsidRPr="00AC4AEA">
        <w:rPr>
          <w:rFonts w:ascii="Arial" w:hAnsi="Arial" w:cs="Arial"/>
          <w:sz w:val="20"/>
          <w:szCs w:val="20"/>
        </w:rPr>
        <w:t xml:space="preserve"> de </w:t>
      </w:r>
      <w:r w:rsidR="00CE13D7" w:rsidRPr="00BF0BFA">
        <w:rPr>
          <w:rFonts w:ascii="Arial" w:hAnsi="Arial" w:cs="Arial"/>
          <w:sz w:val="20"/>
          <w:szCs w:val="20"/>
        </w:rPr>
        <w:t>activos</w:t>
      </w:r>
      <w:r w:rsidR="000A0BD3" w:rsidRPr="00AC4AEA">
        <w:rPr>
          <w:rFonts w:ascii="Arial" w:hAnsi="Arial" w:cs="Arial"/>
          <w:sz w:val="20"/>
          <w:szCs w:val="20"/>
        </w:rPr>
        <w:t xml:space="preserve"> y </w:t>
      </w:r>
      <w:r w:rsidR="00CE13D7" w:rsidRPr="00BF0BFA">
        <w:rPr>
          <w:rFonts w:ascii="Arial" w:hAnsi="Arial" w:cs="Arial"/>
          <w:sz w:val="20"/>
          <w:szCs w:val="20"/>
        </w:rPr>
        <w:t>pasivos</w:t>
      </w:r>
      <w:r w:rsidR="000A0BD3" w:rsidRPr="00AC4AEA">
        <w:rPr>
          <w:rFonts w:ascii="Arial" w:hAnsi="Arial" w:cs="Arial"/>
          <w:sz w:val="20"/>
          <w:szCs w:val="20"/>
        </w:rPr>
        <w:t xml:space="preserve"> </w:t>
      </w:r>
      <w:r w:rsidRPr="00AC4AEA">
        <w:rPr>
          <w:rFonts w:ascii="Arial" w:hAnsi="Arial" w:cs="Arial"/>
          <w:sz w:val="20"/>
          <w:szCs w:val="20"/>
        </w:rPr>
        <w:t>intragrupo</w:t>
      </w:r>
      <w:r w:rsidR="000A0BD3" w:rsidRPr="00AC4AEA">
        <w:rPr>
          <w:rFonts w:ascii="Arial" w:hAnsi="Arial" w:cs="Arial"/>
          <w:sz w:val="20"/>
          <w:szCs w:val="20"/>
        </w:rPr>
        <w:t xml:space="preserve">; y </w:t>
      </w:r>
    </w:p>
    <w:p w:rsidR="00421257" w:rsidRPr="00AC4AEA" w:rsidRDefault="000A0BD3" w:rsidP="00C01B25">
      <w:pPr>
        <w:numPr>
          <w:ilvl w:val="4"/>
          <w:numId w:val="472"/>
        </w:numPr>
        <w:ind w:left="1985" w:hanging="425"/>
        <w:jc w:val="both"/>
        <w:rPr>
          <w:rFonts w:ascii="Arial" w:hAnsi="Arial" w:cs="Arial"/>
          <w:sz w:val="20"/>
          <w:szCs w:val="20"/>
        </w:rPr>
      </w:pPr>
      <w:r w:rsidRPr="00AC4AEA">
        <w:rPr>
          <w:rFonts w:ascii="Arial" w:hAnsi="Arial" w:cs="Arial"/>
          <w:sz w:val="20"/>
          <w:szCs w:val="20"/>
        </w:rPr>
        <w:t>las transacciones intragrupo que dan lugar a</w:t>
      </w:r>
      <w:r w:rsidR="00421257" w:rsidRPr="00AC4AEA">
        <w:rPr>
          <w:rFonts w:ascii="Arial" w:hAnsi="Arial" w:cs="Arial"/>
          <w:sz w:val="20"/>
          <w:szCs w:val="20"/>
        </w:rPr>
        <w:t xml:space="preserve"> </w:t>
      </w:r>
      <w:r w:rsidR="00421257" w:rsidRPr="00BF0BFA">
        <w:rPr>
          <w:rFonts w:ascii="Arial" w:hAnsi="Arial" w:cs="Arial"/>
          <w:b/>
          <w:bCs/>
          <w:sz w:val="20"/>
          <w:szCs w:val="20"/>
        </w:rPr>
        <w:t>ingresos</w:t>
      </w:r>
      <w:r w:rsidR="00421257" w:rsidRPr="00BF0BFA">
        <w:rPr>
          <w:rFonts w:ascii="Arial" w:hAnsi="Arial" w:cs="Arial"/>
          <w:sz w:val="20"/>
          <w:szCs w:val="20"/>
        </w:rPr>
        <w:t>,</w:t>
      </w:r>
      <w:r w:rsidR="00421257" w:rsidRPr="00BF0BFA">
        <w:rPr>
          <w:rFonts w:ascii="Arial" w:hAnsi="Arial" w:cs="Arial"/>
          <w:b/>
          <w:bCs/>
          <w:sz w:val="20"/>
          <w:szCs w:val="20"/>
        </w:rPr>
        <w:t xml:space="preserve"> gastos</w:t>
      </w:r>
      <w:r w:rsidR="00421257" w:rsidRPr="00AC4AEA">
        <w:rPr>
          <w:rFonts w:ascii="Arial" w:hAnsi="Arial" w:cs="Arial"/>
          <w:sz w:val="20"/>
          <w:szCs w:val="20"/>
        </w:rPr>
        <w:t>, otras variaciones patrimoniales y flujos de efectivo</w:t>
      </w:r>
      <w:r w:rsidRPr="00AC4AEA">
        <w:rPr>
          <w:rFonts w:ascii="Arial" w:hAnsi="Arial" w:cs="Arial"/>
          <w:sz w:val="20"/>
          <w:szCs w:val="20"/>
        </w:rPr>
        <w:t>.</w:t>
      </w:r>
      <w:r w:rsidR="006F2C57">
        <w:rPr>
          <w:rFonts w:ascii="Arial" w:hAnsi="Arial" w:cs="Arial"/>
          <w:sz w:val="20"/>
          <w:szCs w:val="20"/>
        </w:rPr>
        <w:t xml:space="preserve"> </w:t>
      </w:r>
    </w:p>
    <w:p w:rsidR="000A0BD3" w:rsidRPr="00AC4AEA" w:rsidRDefault="000A0BD3" w:rsidP="00C01B25">
      <w:pPr>
        <w:pStyle w:val="Prrafodelista"/>
        <w:numPr>
          <w:ilvl w:val="3"/>
          <w:numId w:val="471"/>
        </w:numPr>
        <w:spacing w:after="147" w:line="264" w:lineRule="auto"/>
        <w:ind w:hanging="458"/>
        <w:jc w:val="both"/>
        <w:rPr>
          <w:rFonts w:ascii="Arial" w:hAnsi="Arial" w:cs="Arial"/>
          <w:sz w:val="20"/>
          <w:szCs w:val="20"/>
        </w:rPr>
      </w:pPr>
      <w:r w:rsidRPr="00AC4AEA">
        <w:rPr>
          <w:rFonts w:ascii="Arial" w:hAnsi="Arial" w:cs="Arial"/>
          <w:sz w:val="20"/>
          <w:szCs w:val="20"/>
        </w:rPr>
        <w:t xml:space="preserve">Medirá las participaciones no controladoras en los activos netos de las controladas consolidadas por: </w:t>
      </w:r>
    </w:p>
    <w:p w:rsidR="000A0BD3" w:rsidRPr="00AC4AEA" w:rsidRDefault="000A0BD3" w:rsidP="00C01B25">
      <w:pPr>
        <w:numPr>
          <w:ilvl w:val="0"/>
          <w:numId w:val="729"/>
        </w:numPr>
        <w:ind w:left="1984" w:hanging="425"/>
        <w:jc w:val="both"/>
        <w:rPr>
          <w:rFonts w:ascii="Arial" w:hAnsi="Arial" w:cs="Arial"/>
          <w:sz w:val="20"/>
          <w:szCs w:val="20"/>
        </w:rPr>
      </w:pPr>
      <w:r w:rsidRPr="00AC4AEA">
        <w:rPr>
          <w:rFonts w:ascii="Arial" w:hAnsi="Arial" w:cs="Arial"/>
          <w:sz w:val="20"/>
          <w:szCs w:val="20"/>
        </w:rPr>
        <w:t>el importe de esas participaciones no controladoras en la fecha de la combinación inicial, calculado, de corresponder, de acuerdo con el párrafo</w:t>
      </w:r>
      <w:r w:rsidR="005B1DDD" w:rsidRPr="00AC4AEA">
        <w:rPr>
          <w:rFonts w:ascii="Arial" w:hAnsi="Arial" w:cs="Arial"/>
          <w:sz w:val="20"/>
          <w:szCs w:val="20"/>
        </w:rPr>
        <w:t xml:space="preserve"> </w:t>
      </w:r>
      <w:fldSimple w:instr=" REF _Ref135299844 \r \h  \* MERGEFORMAT ">
        <w:r w:rsidR="00D33A5D" w:rsidRPr="00D33A5D">
          <w:rPr>
            <w:rFonts w:ascii="Arial" w:hAnsi="Arial" w:cs="Arial"/>
            <w:sz w:val="20"/>
            <w:szCs w:val="20"/>
          </w:rPr>
          <w:t>977</w:t>
        </w:r>
      </w:fldSimple>
      <w:r w:rsidRPr="00AC4AEA">
        <w:rPr>
          <w:rFonts w:ascii="Arial" w:hAnsi="Arial" w:cs="Arial"/>
          <w:sz w:val="20"/>
          <w:szCs w:val="20"/>
        </w:rPr>
        <w:t xml:space="preserve">; </w:t>
      </w:r>
    </w:p>
    <w:p w:rsidR="000A0BD3" w:rsidRPr="00AC4AEA" w:rsidRDefault="000A0BD3" w:rsidP="00C01B25">
      <w:pPr>
        <w:numPr>
          <w:ilvl w:val="0"/>
          <w:numId w:val="729"/>
        </w:numPr>
        <w:ind w:left="1984" w:hanging="425"/>
        <w:jc w:val="both"/>
        <w:rPr>
          <w:rFonts w:ascii="Arial" w:hAnsi="Arial" w:cs="Arial"/>
          <w:sz w:val="20"/>
          <w:szCs w:val="20"/>
        </w:rPr>
      </w:pPr>
      <w:r w:rsidRPr="00AC4AEA">
        <w:rPr>
          <w:rFonts w:ascii="Arial" w:hAnsi="Arial" w:cs="Arial"/>
          <w:sz w:val="20"/>
          <w:szCs w:val="20"/>
        </w:rPr>
        <w:t xml:space="preserve">la porción de la participación no controladora en los cambios ocurridos en el </w:t>
      </w:r>
      <w:r w:rsidRPr="008826C7">
        <w:rPr>
          <w:rFonts w:ascii="Arial" w:hAnsi="Arial" w:cs="Arial"/>
          <w:b/>
          <w:bCs/>
          <w:sz w:val="20"/>
          <w:szCs w:val="20"/>
        </w:rPr>
        <w:t>patrimonio neto</w:t>
      </w:r>
      <w:r w:rsidRPr="00AC4AEA">
        <w:rPr>
          <w:rFonts w:ascii="Arial" w:hAnsi="Arial" w:cs="Arial"/>
          <w:sz w:val="20"/>
          <w:szCs w:val="20"/>
        </w:rPr>
        <w:t xml:space="preserve"> de la controlada desde la fecha de la combinación; más</w:t>
      </w:r>
    </w:p>
    <w:p w:rsidR="000A0BD3" w:rsidRPr="00AC4AEA" w:rsidRDefault="000A0BD3" w:rsidP="00C01B25">
      <w:pPr>
        <w:numPr>
          <w:ilvl w:val="0"/>
          <w:numId w:val="729"/>
        </w:numPr>
        <w:ind w:left="1984" w:hanging="425"/>
        <w:jc w:val="both"/>
        <w:rPr>
          <w:rFonts w:ascii="Arial" w:hAnsi="Arial" w:cs="Arial"/>
          <w:sz w:val="20"/>
          <w:szCs w:val="20"/>
        </w:rPr>
      </w:pPr>
      <w:r w:rsidRPr="00AC4AEA">
        <w:rPr>
          <w:rFonts w:ascii="Arial" w:hAnsi="Arial" w:cs="Arial"/>
          <w:sz w:val="20"/>
          <w:szCs w:val="20"/>
        </w:rPr>
        <w:t>los cambios en la participación mantenida por los no controladores que no dan lugar a una pérdida de control.</w:t>
      </w:r>
    </w:p>
    <w:p w:rsidR="00421257" w:rsidRPr="00AC4AEA" w:rsidRDefault="000A0BD3" w:rsidP="00C01B25">
      <w:pPr>
        <w:pStyle w:val="Prrafodelista"/>
        <w:numPr>
          <w:ilvl w:val="3"/>
          <w:numId w:val="471"/>
        </w:numPr>
        <w:spacing w:after="147" w:line="264" w:lineRule="auto"/>
        <w:ind w:hanging="458"/>
        <w:jc w:val="both"/>
        <w:rPr>
          <w:rFonts w:ascii="Arial" w:hAnsi="Arial" w:cs="Arial"/>
          <w:sz w:val="20"/>
          <w:szCs w:val="20"/>
        </w:rPr>
      </w:pPr>
      <w:r w:rsidRPr="00AC4AEA">
        <w:rPr>
          <w:rFonts w:ascii="Arial" w:hAnsi="Arial" w:cs="Arial"/>
          <w:sz w:val="20"/>
          <w:szCs w:val="20"/>
        </w:rPr>
        <w:t>P</w:t>
      </w:r>
      <w:r w:rsidR="00421257" w:rsidRPr="00AC4AEA">
        <w:rPr>
          <w:rFonts w:ascii="Arial" w:hAnsi="Arial" w:cs="Arial"/>
          <w:sz w:val="20"/>
          <w:szCs w:val="20"/>
        </w:rPr>
        <w:t>resentará las participaciones no controladoras en los activos netos de las controladas consolidadas</w:t>
      </w:r>
      <w:r w:rsidRPr="00AC4AEA">
        <w:rPr>
          <w:rFonts w:ascii="Arial" w:hAnsi="Arial" w:cs="Arial"/>
          <w:sz w:val="20"/>
          <w:szCs w:val="20"/>
        </w:rPr>
        <w:t xml:space="preserve"> </w:t>
      </w:r>
      <w:r w:rsidR="008206CE" w:rsidRPr="00AC4AEA">
        <w:rPr>
          <w:rFonts w:ascii="Arial" w:hAnsi="Arial" w:cs="Arial"/>
          <w:sz w:val="20"/>
          <w:szCs w:val="20"/>
        </w:rPr>
        <w:t xml:space="preserve">de acuerdo con lo establecido en el párrafo </w:t>
      </w:r>
      <w:fldSimple w:instr=" REF _Ref135302735 \r \h  \* MERGEFORMAT ">
        <w:r w:rsidR="00D33A5D" w:rsidRPr="00D33A5D">
          <w:rPr>
            <w:rFonts w:ascii="Arial" w:hAnsi="Arial" w:cs="Arial"/>
            <w:sz w:val="20"/>
            <w:szCs w:val="20"/>
          </w:rPr>
          <w:t>805</w:t>
        </w:r>
      </w:fldSimple>
      <w:r w:rsidRPr="00AC4AEA">
        <w:rPr>
          <w:rFonts w:ascii="Arial" w:hAnsi="Arial" w:cs="Arial"/>
          <w:sz w:val="20"/>
          <w:szCs w:val="20"/>
        </w:rPr>
        <w:t>.</w:t>
      </w:r>
      <w:r w:rsidR="00421257" w:rsidRPr="00AC4AEA">
        <w:rPr>
          <w:rFonts w:ascii="Arial" w:hAnsi="Arial" w:cs="Arial"/>
          <w:sz w:val="20"/>
          <w:szCs w:val="20"/>
        </w:rPr>
        <w:t xml:space="preserve"> </w:t>
      </w:r>
    </w:p>
    <w:p w:rsidR="000A0BD3" w:rsidRPr="00AC4AEA" w:rsidRDefault="000A0BD3" w:rsidP="000A0BD3">
      <w:pPr>
        <w:pStyle w:val="NUA-Nivel1"/>
        <w:numPr>
          <w:ilvl w:val="0"/>
          <w:numId w:val="29"/>
        </w:numPr>
      </w:pPr>
      <w:r w:rsidRPr="00AC4AEA">
        <w:t>Una entidad:</w:t>
      </w:r>
    </w:p>
    <w:p w:rsidR="00421257" w:rsidRPr="00AC4AEA" w:rsidRDefault="00421257" w:rsidP="00C01B25">
      <w:pPr>
        <w:numPr>
          <w:ilvl w:val="0"/>
          <w:numId w:val="632"/>
        </w:numPr>
        <w:spacing w:after="147" w:line="264" w:lineRule="auto"/>
        <w:ind w:left="1560" w:hanging="567"/>
        <w:jc w:val="both"/>
        <w:rPr>
          <w:rFonts w:ascii="Arial" w:hAnsi="Arial" w:cs="Arial"/>
          <w:sz w:val="20"/>
          <w:szCs w:val="20"/>
        </w:rPr>
      </w:pPr>
      <w:r w:rsidRPr="00AC4AEA">
        <w:rPr>
          <w:rFonts w:ascii="Arial" w:hAnsi="Arial" w:cs="Arial"/>
          <w:sz w:val="20"/>
          <w:szCs w:val="20"/>
        </w:rPr>
        <w:t xml:space="preserve">determinará las proporciones del resultado y de los cambios en el </w:t>
      </w:r>
      <w:r w:rsidRPr="008826C7">
        <w:rPr>
          <w:rFonts w:ascii="Arial" w:hAnsi="Arial" w:cs="Arial"/>
          <w:b/>
          <w:bCs/>
          <w:sz w:val="20"/>
          <w:szCs w:val="20"/>
        </w:rPr>
        <w:t>patrimonio neto</w:t>
      </w:r>
      <w:r w:rsidRPr="00AC4AEA">
        <w:rPr>
          <w:rFonts w:ascii="Arial" w:hAnsi="Arial" w:cs="Arial"/>
          <w:sz w:val="20"/>
          <w:szCs w:val="20"/>
        </w:rPr>
        <w:t xml:space="preserve"> distribuidos a los propietarios de la entidad controladora y a las participaciones no controladoras sobre la base de las participaciones existentes en la propiedad; y</w:t>
      </w:r>
      <w:r w:rsidR="006F2C57">
        <w:rPr>
          <w:rFonts w:ascii="Arial" w:hAnsi="Arial" w:cs="Arial"/>
          <w:sz w:val="20"/>
          <w:szCs w:val="20"/>
        </w:rPr>
        <w:t xml:space="preserve"> </w:t>
      </w:r>
    </w:p>
    <w:p w:rsidR="00421257" w:rsidRPr="00AC4AEA" w:rsidRDefault="00421257" w:rsidP="00C01B25">
      <w:pPr>
        <w:numPr>
          <w:ilvl w:val="0"/>
          <w:numId w:val="632"/>
        </w:numPr>
        <w:spacing w:after="147" w:line="264" w:lineRule="auto"/>
        <w:ind w:left="1560" w:hanging="567"/>
        <w:jc w:val="both"/>
        <w:rPr>
          <w:rFonts w:ascii="Arial" w:hAnsi="Arial" w:cs="Arial"/>
          <w:sz w:val="20"/>
          <w:szCs w:val="20"/>
        </w:rPr>
      </w:pPr>
      <w:r w:rsidRPr="00AC4AEA">
        <w:rPr>
          <w:rFonts w:ascii="Arial" w:hAnsi="Arial" w:cs="Arial"/>
          <w:sz w:val="20"/>
          <w:szCs w:val="20"/>
        </w:rPr>
        <w:t xml:space="preserve">no reflejará el posible ejercicio o conversión de las opciones o instrumentos convertibles.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spacing w:after="149"/>
        <w:ind w:left="-5" w:hanging="10"/>
        <w:rPr>
          <w:rFonts w:ascii="Arial" w:hAnsi="Arial" w:cs="Arial"/>
          <w:b/>
          <w:bCs/>
          <w:sz w:val="20"/>
          <w:szCs w:val="20"/>
        </w:rPr>
      </w:pPr>
      <w:r w:rsidRPr="00AC4AEA">
        <w:rPr>
          <w:rFonts w:ascii="Arial" w:hAnsi="Arial" w:cs="Arial"/>
          <w:b/>
          <w:bCs/>
          <w:sz w:val="20"/>
          <w:szCs w:val="20"/>
        </w:rPr>
        <w:t xml:space="preserve">Pautas mínimas para la preparación de estados contables consolidados </w:t>
      </w:r>
    </w:p>
    <w:p w:rsidR="00421257" w:rsidRPr="00592D81" w:rsidRDefault="00421257" w:rsidP="000A0BD3">
      <w:pPr>
        <w:pStyle w:val="Prrafodelista"/>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Los </w:t>
      </w:r>
      <w:r w:rsidRPr="00592D81">
        <w:rPr>
          <w:rFonts w:ascii="Arial" w:hAnsi="Arial" w:cs="Arial"/>
          <w:b/>
          <w:bCs/>
          <w:sz w:val="20"/>
          <w:szCs w:val="20"/>
        </w:rPr>
        <w:t>estados contables</w:t>
      </w:r>
      <w:r w:rsidRPr="00592D81">
        <w:rPr>
          <w:rFonts w:ascii="Arial" w:hAnsi="Arial" w:cs="Arial"/>
          <w:sz w:val="20"/>
          <w:szCs w:val="20"/>
        </w:rPr>
        <w:t xml:space="preserve"> de todas las entidades que integran el grupo económico deben ser preparados a la </w:t>
      </w:r>
      <w:r w:rsidRPr="00592D81">
        <w:rPr>
          <w:rFonts w:ascii="Arial" w:hAnsi="Arial" w:cs="Arial"/>
          <w:b/>
          <w:bCs/>
          <w:sz w:val="20"/>
          <w:szCs w:val="20"/>
        </w:rPr>
        <w:t xml:space="preserve">fecha de los estados contables </w:t>
      </w:r>
      <w:r w:rsidRPr="00592D81">
        <w:rPr>
          <w:rFonts w:ascii="Arial" w:hAnsi="Arial" w:cs="Arial"/>
          <w:sz w:val="20"/>
          <w:szCs w:val="20"/>
        </w:rPr>
        <w:t>consolidados (es decir, a la fecha de cierre de la entidad controladora) y abarcando igual período</w:t>
      </w:r>
      <w:r w:rsidR="00B25F7C" w:rsidRPr="00592D81">
        <w:rPr>
          <w:rFonts w:ascii="Arial" w:hAnsi="Arial" w:cs="Arial"/>
          <w:sz w:val="20"/>
          <w:szCs w:val="20"/>
        </w:rPr>
        <w:t>, excepto en el ejercicio en el cual comience o cese la consolidación de una subsidiaria</w:t>
      </w:r>
      <w:r w:rsidRPr="00592D81">
        <w:rPr>
          <w:rFonts w:ascii="Arial" w:hAnsi="Arial" w:cs="Arial"/>
          <w:sz w:val="20"/>
          <w:szCs w:val="20"/>
        </w:rPr>
        <w:t xml:space="preserve">. No es necesario que se trate de </w:t>
      </w:r>
      <w:r w:rsidRPr="00592D81">
        <w:rPr>
          <w:rFonts w:ascii="Arial" w:hAnsi="Arial" w:cs="Arial"/>
          <w:b/>
          <w:bCs/>
          <w:sz w:val="20"/>
          <w:szCs w:val="20"/>
        </w:rPr>
        <w:t>estados contables</w:t>
      </w:r>
      <w:r w:rsidRPr="00592D81">
        <w:rPr>
          <w:rFonts w:ascii="Arial" w:hAnsi="Arial" w:cs="Arial"/>
          <w:sz w:val="20"/>
          <w:szCs w:val="20"/>
        </w:rPr>
        <w:t xml:space="preserve"> de cierre de ejercicio, pudiendo prepararse </w:t>
      </w:r>
      <w:r w:rsidRPr="00592D81">
        <w:rPr>
          <w:rFonts w:ascii="Arial" w:hAnsi="Arial" w:cs="Arial"/>
          <w:b/>
          <w:bCs/>
          <w:sz w:val="20"/>
          <w:szCs w:val="20"/>
        </w:rPr>
        <w:t>estados contables</w:t>
      </w:r>
      <w:r w:rsidRPr="00592D81">
        <w:rPr>
          <w:rFonts w:ascii="Arial" w:hAnsi="Arial" w:cs="Arial"/>
          <w:sz w:val="20"/>
          <w:szCs w:val="20"/>
        </w:rPr>
        <w:t xml:space="preserve"> </w:t>
      </w:r>
      <w:r w:rsidR="00112C10" w:rsidRPr="00592D81">
        <w:rPr>
          <w:rFonts w:ascii="Arial" w:hAnsi="Arial" w:cs="Arial"/>
          <w:sz w:val="20"/>
          <w:szCs w:val="20"/>
        </w:rPr>
        <w:t>especiales para</w:t>
      </w:r>
      <w:r w:rsidRPr="00592D81">
        <w:rPr>
          <w:rFonts w:ascii="Arial" w:hAnsi="Arial" w:cs="Arial"/>
          <w:sz w:val="20"/>
          <w:szCs w:val="20"/>
        </w:rPr>
        <w:t xml:space="preserve"> la consolidación. </w:t>
      </w:r>
    </w:p>
    <w:p w:rsidR="00421257" w:rsidRPr="00592D81" w:rsidRDefault="00243031" w:rsidP="000A0BD3">
      <w:pPr>
        <w:numPr>
          <w:ilvl w:val="0"/>
          <w:numId w:val="29"/>
        </w:numPr>
        <w:spacing w:after="147" w:line="264" w:lineRule="auto"/>
        <w:jc w:val="both"/>
        <w:rPr>
          <w:rFonts w:ascii="Arial" w:hAnsi="Arial" w:cs="Arial"/>
          <w:sz w:val="20"/>
          <w:szCs w:val="20"/>
        </w:rPr>
      </w:pPr>
      <w:r w:rsidRPr="00592D81">
        <w:rPr>
          <w:rFonts w:ascii="Arial" w:hAnsi="Arial" w:cs="Arial"/>
          <w:sz w:val="20"/>
          <w:szCs w:val="20"/>
        </w:rPr>
        <w:t>U</w:t>
      </w:r>
      <w:r w:rsidR="00421257" w:rsidRPr="00592D81">
        <w:rPr>
          <w:rFonts w:ascii="Arial" w:hAnsi="Arial" w:cs="Arial"/>
          <w:sz w:val="20"/>
          <w:szCs w:val="20"/>
        </w:rPr>
        <w:t xml:space="preserve">na entidad </w:t>
      </w:r>
      <w:r w:rsidR="00112C10" w:rsidRPr="00592D81">
        <w:rPr>
          <w:rFonts w:ascii="Arial" w:hAnsi="Arial" w:cs="Arial"/>
          <w:sz w:val="20"/>
          <w:szCs w:val="20"/>
        </w:rPr>
        <w:t>podrá optar</w:t>
      </w:r>
      <w:r w:rsidRPr="00592D81">
        <w:rPr>
          <w:rFonts w:ascii="Arial" w:hAnsi="Arial" w:cs="Arial"/>
          <w:sz w:val="20"/>
          <w:szCs w:val="20"/>
        </w:rPr>
        <w:t xml:space="preserve"> por</w:t>
      </w:r>
      <w:r w:rsidR="00421257" w:rsidRPr="00592D81">
        <w:rPr>
          <w:rFonts w:ascii="Arial" w:hAnsi="Arial" w:cs="Arial"/>
          <w:sz w:val="20"/>
          <w:szCs w:val="20"/>
        </w:rPr>
        <w:t xml:space="preserve"> </w:t>
      </w:r>
      <w:r w:rsidR="00112C10" w:rsidRPr="00592D81">
        <w:rPr>
          <w:rFonts w:ascii="Arial" w:hAnsi="Arial" w:cs="Arial"/>
          <w:sz w:val="20"/>
          <w:szCs w:val="20"/>
        </w:rPr>
        <w:t>utilizar</w:t>
      </w:r>
      <w:r w:rsidR="00421257" w:rsidRPr="00592D81">
        <w:rPr>
          <w:rFonts w:ascii="Arial" w:hAnsi="Arial" w:cs="Arial"/>
          <w:sz w:val="20"/>
          <w:szCs w:val="20"/>
        </w:rPr>
        <w:t xml:space="preserve"> los </w:t>
      </w:r>
      <w:r w:rsidR="00421257" w:rsidRPr="00592D81">
        <w:rPr>
          <w:rFonts w:ascii="Arial" w:hAnsi="Arial" w:cs="Arial"/>
          <w:b/>
          <w:bCs/>
          <w:sz w:val="20"/>
          <w:szCs w:val="20"/>
        </w:rPr>
        <w:t>estados contables</w:t>
      </w:r>
      <w:r w:rsidR="00421257" w:rsidRPr="00592D81">
        <w:rPr>
          <w:rFonts w:ascii="Arial" w:hAnsi="Arial" w:cs="Arial"/>
          <w:sz w:val="20"/>
          <w:szCs w:val="20"/>
        </w:rPr>
        <w:t xml:space="preserve"> de una controlada </w:t>
      </w:r>
      <w:r w:rsidR="003955DA" w:rsidRPr="00592D81">
        <w:rPr>
          <w:rFonts w:ascii="Arial" w:hAnsi="Arial" w:cs="Arial"/>
          <w:sz w:val="20"/>
          <w:szCs w:val="20"/>
        </w:rPr>
        <w:t>cuya fecha de cierre difiera de</w:t>
      </w:r>
      <w:r w:rsidR="00421257" w:rsidRPr="00592D81">
        <w:rPr>
          <w:rFonts w:ascii="Arial" w:hAnsi="Arial" w:cs="Arial"/>
          <w:sz w:val="20"/>
          <w:szCs w:val="20"/>
        </w:rPr>
        <w:t xml:space="preserve"> la </w:t>
      </w:r>
      <w:r w:rsidR="00421257" w:rsidRPr="00592D81">
        <w:rPr>
          <w:rFonts w:ascii="Arial" w:hAnsi="Arial" w:cs="Arial"/>
          <w:b/>
          <w:bCs/>
          <w:sz w:val="20"/>
          <w:szCs w:val="20"/>
        </w:rPr>
        <w:t>fecha de los estados contables</w:t>
      </w:r>
      <w:r w:rsidR="00421257" w:rsidRPr="00592D81">
        <w:rPr>
          <w:rFonts w:ascii="Arial" w:hAnsi="Arial" w:cs="Arial"/>
          <w:sz w:val="20"/>
          <w:szCs w:val="20"/>
        </w:rPr>
        <w:t xml:space="preserve"> de la controlad</w:t>
      </w:r>
      <w:r w:rsidR="00597C28" w:rsidRPr="00592D81">
        <w:rPr>
          <w:rFonts w:ascii="Arial" w:hAnsi="Arial" w:cs="Arial"/>
          <w:sz w:val="20"/>
          <w:szCs w:val="20"/>
        </w:rPr>
        <w:t>ora</w:t>
      </w:r>
      <w:r w:rsidR="00421257" w:rsidRPr="00592D81">
        <w:rPr>
          <w:rFonts w:ascii="Arial" w:hAnsi="Arial" w:cs="Arial"/>
          <w:sz w:val="20"/>
          <w:szCs w:val="20"/>
        </w:rPr>
        <w:t xml:space="preserve"> cuando:</w:t>
      </w:r>
      <w:r w:rsidR="006F2C57">
        <w:rPr>
          <w:rFonts w:ascii="Arial" w:hAnsi="Arial" w:cs="Arial"/>
          <w:sz w:val="20"/>
          <w:szCs w:val="20"/>
        </w:rPr>
        <w:t xml:space="preserve"> </w:t>
      </w:r>
    </w:p>
    <w:p w:rsidR="00421257" w:rsidRPr="00592D81" w:rsidRDefault="00421257" w:rsidP="00C01B25">
      <w:pPr>
        <w:pStyle w:val="NUA-Nivel1"/>
        <w:numPr>
          <w:ilvl w:val="0"/>
          <w:numId w:val="571"/>
        </w:numPr>
        <w:ind w:left="1560" w:hanging="567"/>
      </w:pPr>
      <w:r w:rsidRPr="00592D81">
        <w:t>la diferencia entre ambos cierres no supere los tres meses; y</w:t>
      </w:r>
      <w:r w:rsidR="006F2C57">
        <w:t xml:space="preserve"> </w:t>
      </w:r>
    </w:p>
    <w:p w:rsidR="00421257" w:rsidRPr="00592D81" w:rsidRDefault="00421257" w:rsidP="00C01B25">
      <w:pPr>
        <w:pStyle w:val="NUA-Nivel1"/>
        <w:numPr>
          <w:ilvl w:val="0"/>
          <w:numId w:val="571"/>
        </w:numPr>
        <w:ind w:left="1560" w:hanging="567"/>
      </w:pPr>
      <w:r w:rsidRPr="00592D81">
        <w:t xml:space="preserve">la fecha de cierre de los </w:t>
      </w:r>
      <w:r w:rsidRPr="00592D81">
        <w:rPr>
          <w:b/>
          <w:bCs/>
        </w:rPr>
        <w:t>estados contables</w:t>
      </w:r>
      <w:r w:rsidRPr="00592D81">
        <w:t xml:space="preserve"> de la entidad controlada sea anterior a la de la entidad controladora.</w:t>
      </w:r>
      <w:r w:rsidR="006F2C57">
        <w:t xml:space="preserve"> </w:t>
      </w:r>
    </w:p>
    <w:p w:rsidR="00421257" w:rsidRPr="00592D81" w:rsidRDefault="00421257" w:rsidP="000A0BD3">
      <w:pPr>
        <w:numPr>
          <w:ilvl w:val="0"/>
          <w:numId w:val="29"/>
        </w:numPr>
        <w:spacing w:after="147" w:line="264" w:lineRule="auto"/>
        <w:jc w:val="both"/>
        <w:rPr>
          <w:rFonts w:ascii="Arial" w:hAnsi="Arial" w:cs="Arial"/>
          <w:sz w:val="20"/>
          <w:szCs w:val="20"/>
        </w:rPr>
      </w:pPr>
      <w:r w:rsidRPr="00592D81">
        <w:rPr>
          <w:rFonts w:ascii="Arial" w:hAnsi="Arial" w:cs="Arial"/>
          <w:sz w:val="20"/>
          <w:szCs w:val="20"/>
        </w:rPr>
        <w:lastRenderedPageBreak/>
        <w:t xml:space="preserve">Cuando se proceda de acuerdo con </w:t>
      </w:r>
      <w:r w:rsidR="00243031" w:rsidRPr="00592D81">
        <w:rPr>
          <w:rFonts w:ascii="Arial" w:hAnsi="Arial" w:cs="Arial"/>
          <w:sz w:val="20"/>
          <w:szCs w:val="20"/>
        </w:rPr>
        <w:t>lo</w:t>
      </w:r>
      <w:r w:rsidRPr="00592D81">
        <w:rPr>
          <w:rFonts w:ascii="Arial" w:hAnsi="Arial" w:cs="Arial"/>
          <w:sz w:val="20"/>
          <w:szCs w:val="20"/>
        </w:rPr>
        <w:t xml:space="preserve"> establecid</w:t>
      </w:r>
      <w:r w:rsidR="00243031" w:rsidRPr="00592D81">
        <w:rPr>
          <w:rFonts w:ascii="Arial" w:hAnsi="Arial" w:cs="Arial"/>
          <w:sz w:val="20"/>
          <w:szCs w:val="20"/>
        </w:rPr>
        <w:t>o</w:t>
      </w:r>
      <w:r w:rsidRPr="00592D81">
        <w:rPr>
          <w:rFonts w:ascii="Arial" w:hAnsi="Arial" w:cs="Arial"/>
          <w:sz w:val="20"/>
          <w:szCs w:val="20"/>
        </w:rPr>
        <w:t xml:space="preserve"> en el párrafo anterior, una entidad registrará ajustes para reflejar los efectos de:</w:t>
      </w:r>
      <w:r w:rsidR="006F2C57">
        <w:rPr>
          <w:rFonts w:ascii="Arial" w:hAnsi="Arial" w:cs="Arial"/>
          <w:sz w:val="20"/>
          <w:szCs w:val="20"/>
        </w:rPr>
        <w:t xml:space="preserve"> </w:t>
      </w:r>
    </w:p>
    <w:p w:rsidR="00421257" w:rsidRPr="00592D81" w:rsidRDefault="00421257" w:rsidP="00C01B25">
      <w:pPr>
        <w:pStyle w:val="NUA-Nivel1"/>
        <w:numPr>
          <w:ilvl w:val="0"/>
          <w:numId w:val="572"/>
        </w:numPr>
        <w:ind w:left="1560" w:hanging="567"/>
      </w:pPr>
      <w:r w:rsidRPr="00592D81">
        <w:t>las transacciones o eventos significativos para la entidad controladora; y</w:t>
      </w:r>
      <w:r w:rsidR="006F2C57">
        <w:t xml:space="preserve"> </w:t>
      </w:r>
    </w:p>
    <w:p w:rsidR="00421257" w:rsidRPr="00592D81" w:rsidRDefault="00421257" w:rsidP="00C01B25">
      <w:pPr>
        <w:pStyle w:val="NUA-Nivel1"/>
        <w:numPr>
          <w:ilvl w:val="0"/>
          <w:numId w:val="572"/>
        </w:numPr>
        <w:ind w:left="1560" w:hanging="567"/>
      </w:pPr>
      <w:r w:rsidRPr="00592D81">
        <w:t xml:space="preserve">las transacciones entre las entidades controladora y controlada, que modificaron el patrimonio neto de la controlada, y tuvieron lugar entre las fechas de los </w:t>
      </w:r>
      <w:r w:rsidRPr="00592D81">
        <w:rPr>
          <w:b/>
          <w:bCs/>
        </w:rPr>
        <w:t>estados contables</w:t>
      </w:r>
      <w:r w:rsidRPr="00592D81">
        <w:t xml:space="preserve"> de la entidad controlada y de la controladora. </w:t>
      </w:r>
    </w:p>
    <w:p w:rsidR="00421257" w:rsidRPr="00592D81" w:rsidRDefault="00421257" w:rsidP="000A0BD3">
      <w:pPr>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Con el propósito de computar los ajustes mencionados en el párrafo anterior, una entidad controladora podrá </w:t>
      </w:r>
      <w:r w:rsidR="00243031" w:rsidRPr="00592D81">
        <w:rPr>
          <w:rFonts w:ascii="Arial" w:hAnsi="Arial" w:cs="Arial"/>
          <w:sz w:val="20"/>
          <w:szCs w:val="20"/>
        </w:rPr>
        <w:t>basarse en</w:t>
      </w:r>
      <w:r w:rsidRPr="00592D81">
        <w:rPr>
          <w:rFonts w:ascii="Arial" w:hAnsi="Arial" w:cs="Arial"/>
          <w:sz w:val="20"/>
          <w:szCs w:val="20"/>
        </w:rPr>
        <w:t xml:space="preserve"> informes económico financieros emitidos por la </w:t>
      </w:r>
      <w:r w:rsidRPr="00592D81">
        <w:rPr>
          <w:rFonts w:ascii="Arial" w:hAnsi="Arial" w:cs="Arial"/>
          <w:b/>
          <w:bCs/>
          <w:sz w:val="20"/>
          <w:szCs w:val="20"/>
        </w:rPr>
        <w:t>dirección</w:t>
      </w:r>
      <w:r w:rsidRPr="00592D81">
        <w:rPr>
          <w:rFonts w:ascii="Arial" w:hAnsi="Arial" w:cs="Arial"/>
          <w:sz w:val="20"/>
          <w:szCs w:val="20"/>
        </w:rPr>
        <w:t xml:space="preserve"> de la controlada para el control de su gestión. En ningún caso podrán realizarse registros basados en cifras presupuestadas o pronosticadas.</w:t>
      </w:r>
      <w:r w:rsidR="006F2C57">
        <w:rPr>
          <w:rFonts w:ascii="Arial" w:hAnsi="Arial" w:cs="Arial"/>
          <w:sz w:val="20"/>
          <w:szCs w:val="20"/>
        </w:rPr>
        <w:t xml:space="preserve"> </w:t>
      </w:r>
    </w:p>
    <w:p w:rsidR="00421257" w:rsidRPr="00592D81" w:rsidRDefault="00421257" w:rsidP="000A0BD3">
      <w:pPr>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Una entidad expresará los </w:t>
      </w:r>
      <w:r w:rsidRPr="00592D81">
        <w:rPr>
          <w:rFonts w:ascii="Arial" w:hAnsi="Arial" w:cs="Arial"/>
          <w:b/>
          <w:bCs/>
          <w:sz w:val="20"/>
          <w:szCs w:val="20"/>
        </w:rPr>
        <w:t>estados contables consolidados</w:t>
      </w:r>
      <w:r w:rsidRPr="00592D81">
        <w:rPr>
          <w:rFonts w:ascii="Arial" w:hAnsi="Arial" w:cs="Arial"/>
          <w:sz w:val="20"/>
          <w:szCs w:val="20"/>
        </w:rPr>
        <w:t xml:space="preserve"> en moneda de poder adquisitivo de la fecha a la cual corresponden (moneda de cierre), de acuerdo con lo establecido en la sección “</w:t>
      </w:r>
      <w:r w:rsidRPr="00592D81">
        <w:rPr>
          <w:rFonts w:ascii="Arial" w:hAnsi="Arial" w:cs="Arial"/>
          <w:sz w:val="20"/>
          <w:szCs w:val="20"/>
          <w:u w:val="single" w:color="000000"/>
        </w:rPr>
        <w:t xml:space="preserve">Expresión de los estados contables en moneda </w:t>
      </w:r>
      <w:r w:rsidR="00F0601B">
        <w:rPr>
          <w:rFonts w:ascii="Arial" w:hAnsi="Arial" w:cs="Arial"/>
          <w:sz w:val="20"/>
          <w:szCs w:val="20"/>
          <w:u w:val="single" w:color="000000"/>
        </w:rPr>
        <w:t>de cierre</w:t>
      </w:r>
      <w:r w:rsidRPr="00592D81">
        <w:rPr>
          <w:rFonts w:ascii="Arial" w:hAnsi="Arial" w:cs="Arial"/>
          <w:sz w:val="20"/>
          <w:szCs w:val="20"/>
        </w:rPr>
        <w:t xml:space="preserve"> </w:t>
      </w:r>
      <w:r w:rsidRPr="00592D81">
        <w:rPr>
          <w:rFonts w:ascii="Arial" w:hAnsi="Arial" w:cs="Arial"/>
          <w:sz w:val="20"/>
          <w:szCs w:val="20"/>
          <w:u w:val="single" w:color="000000"/>
        </w:rPr>
        <w:t>en un contexto de inflación (ajuste por inflación de los estados contables)</w:t>
      </w:r>
      <w:r w:rsidRPr="00592D81">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005A2E03"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592D81">
        <w:rPr>
          <w:rFonts w:ascii="Arial" w:hAnsi="Arial" w:cs="Arial"/>
          <w:sz w:val="20"/>
          <w:szCs w:val="20"/>
        </w:rPr>
        <w:t xml:space="preserve">]. </w:t>
      </w:r>
    </w:p>
    <w:p w:rsidR="00421257" w:rsidRPr="00592D81" w:rsidRDefault="00421257" w:rsidP="000A0BD3">
      <w:pPr>
        <w:numPr>
          <w:ilvl w:val="0"/>
          <w:numId w:val="29"/>
        </w:numPr>
        <w:spacing w:after="147" w:line="264" w:lineRule="auto"/>
        <w:jc w:val="both"/>
        <w:rPr>
          <w:rFonts w:ascii="Arial" w:hAnsi="Arial" w:cs="Arial"/>
          <w:sz w:val="20"/>
          <w:szCs w:val="20"/>
        </w:rPr>
      </w:pPr>
      <w:r w:rsidRPr="00592D81">
        <w:rPr>
          <w:rFonts w:ascii="Arial" w:hAnsi="Arial" w:cs="Arial"/>
          <w:sz w:val="20"/>
          <w:szCs w:val="20"/>
        </w:rPr>
        <w:t xml:space="preserve">Una entidad convertirá, previamente a la consolidación, los </w:t>
      </w:r>
      <w:r w:rsidRPr="00592D81">
        <w:rPr>
          <w:rFonts w:ascii="Arial" w:hAnsi="Arial" w:cs="Arial"/>
          <w:b/>
          <w:bCs/>
          <w:sz w:val="20"/>
          <w:szCs w:val="20"/>
        </w:rPr>
        <w:t>estados contables</w:t>
      </w:r>
      <w:r w:rsidRPr="00592D81">
        <w:rPr>
          <w:rFonts w:ascii="Arial" w:hAnsi="Arial" w:cs="Arial"/>
          <w:sz w:val="20"/>
          <w:szCs w:val="20"/>
        </w:rPr>
        <w:t xml:space="preserve"> de una controlada (subsidiaria) que sea una </w:t>
      </w:r>
      <w:r w:rsidRPr="00592D81">
        <w:rPr>
          <w:rFonts w:ascii="Arial" w:hAnsi="Arial" w:cs="Arial"/>
          <w:b/>
          <w:bCs/>
          <w:sz w:val="20"/>
          <w:szCs w:val="20"/>
        </w:rPr>
        <w:t>entidad del exterior</w:t>
      </w:r>
      <w:r w:rsidRPr="00592D81">
        <w:rPr>
          <w:rFonts w:ascii="Arial" w:hAnsi="Arial" w:cs="Arial"/>
          <w:sz w:val="20"/>
          <w:szCs w:val="20"/>
        </w:rPr>
        <w:t xml:space="preserve"> de acuerdo con el párrafo</w:t>
      </w:r>
      <w:r w:rsidR="001C4138">
        <w:rPr>
          <w:rFonts w:ascii="Arial" w:hAnsi="Arial" w:cs="Arial"/>
          <w:sz w:val="20"/>
          <w:szCs w:val="20"/>
        </w:rPr>
        <w:fldChar w:fldCharType="begin"/>
      </w:r>
      <w:r w:rsidR="00FA2569">
        <w:rPr>
          <w:rFonts w:ascii="Arial" w:hAnsi="Arial" w:cs="Arial"/>
          <w:sz w:val="20"/>
          <w:szCs w:val="20"/>
        </w:rPr>
        <w:instrText xml:space="preserve"> REF _Ref132042157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753</w:t>
      </w:r>
      <w:r w:rsidR="001C4138">
        <w:rPr>
          <w:rFonts w:ascii="Arial" w:hAnsi="Arial" w:cs="Arial"/>
          <w:sz w:val="20"/>
          <w:szCs w:val="20"/>
        </w:rPr>
        <w:fldChar w:fldCharType="end"/>
      </w:r>
      <w:r w:rsidRPr="00592D81">
        <w:rPr>
          <w:rFonts w:ascii="Arial" w:hAnsi="Arial" w:cs="Arial"/>
          <w:sz w:val="20"/>
          <w:szCs w:val="20"/>
        </w:rPr>
        <w:t>,</w:t>
      </w:r>
      <w:r w:rsidR="00DE0508" w:rsidRPr="00592D81">
        <w:rPr>
          <w:rFonts w:ascii="Arial" w:hAnsi="Arial" w:cs="Arial"/>
          <w:sz w:val="20"/>
          <w:szCs w:val="20"/>
        </w:rPr>
        <w:t xml:space="preserve"> a la </w:t>
      </w:r>
      <w:r w:rsidR="00DE0508" w:rsidRPr="00592D81">
        <w:rPr>
          <w:rFonts w:ascii="Arial" w:hAnsi="Arial" w:cs="Arial"/>
          <w:b/>
          <w:bCs/>
          <w:sz w:val="20"/>
          <w:szCs w:val="20"/>
        </w:rPr>
        <w:t>moneda argentina</w:t>
      </w:r>
      <w:r w:rsidR="00DE0508" w:rsidRPr="00592D81">
        <w:rPr>
          <w:rFonts w:ascii="Arial" w:hAnsi="Arial" w:cs="Arial"/>
          <w:sz w:val="20"/>
          <w:szCs w:val="20"/>
        </w:rPr>
        <w:t xml:space="preserve"> mediante la aplicación de las normas de la sección “</w:t>
      </w:r>
      <w:r w:rsidR="00DE0508" w:rsidRPr="00592D81">
        <w:rPr>
          <w:rFonts w:ascii="Arial" w:hAnsi="Arial" w:cs="Arial"/>
          <w:sz w:val="20"/>
          <w:szCs w:val="20"/>
          <w:u w:val="single"/>
        </w:rPr>
        <w:t>Conversión de estados contables</w:t>
      </w:r>
      <w:r w:rsidR="00DE0508" w:rsidRPr="00592D81">
        <w:rPr>
          <w:rFonts w:ascii="Arial" w:hAnsi="Arial" w:cs="Arial"/>
          <w:sz w:val="20"/>
          <w:szCs w:val="20"/>
        </w:rPr>
        <w:t xml:space="preserve">” [ver </w:t>
      </w:r>
      <w:r w:rsidR="00D922C4">
        <w:rPr>
          <w:rFonts w:ascii="Arial" w:hAnsi="Arial" w:cs="Arial"/>
          <w:sz w:val="20"/>
          <w:szCs w:val="20"/>
        </w:rPr>
        <w:t xml:space="preserve">los </w:t>
      </w:r>
      <w:r w:rsidR="00DE0508" w:rsidRPr="00592D81">
        <w:rPr>
          <w:rFonts w:ascii="Arial" w:hAnsi="Arial" w:cs="Arial"/>
          <w:sz w:val="20"/>
          <w:szCs w:val="20"/>
        </w:rPr>
        <w:t>párrafos</w:t>
      </w:r>
      <w:r w:rsidR="006F2C57">
        <w:rPr>
          <w:rFonts w:ascii="Arial" w:hAnsi="Arial" w:cs="Arial"/>
          <w:sz w:val="20"/>
          <w:szCs w:val="20"/>
        </w:rPr>
        <w:t xml:space="preserve"> </w:t>
      </w:r>
      <w:r w:rsidR="001C4138">
        <w:rPr>
          <w:rFonts w:ascii="Arial" w:hAnsi="Arial" w:cs="Arial"/>
          <w:sz w:val="20"/>
          <w:szCs w:val="20"/>
        </w:rPr>
        <w:fldChar w:fldCharType="begin"/>
      </w:r>
      <w:r w:rsidR="00FA2569">
        <w:rPr>
          <w:rFonts w:ascii="Arial" w:hAnsi="Arial" w:cs="Arial"/>
          <w:sz w:val="20"/>
          <w:szCs w:val="20"/>
        </w:rPr>
        <w:instrText xml:space="preserve"> REF _Ref136253270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752</w:t>
      </w:r>
      <w:r w:rsidR="001C4138">
        <w:rPr>
          <w:rFonts w:ascii="Arial" w:hAnsi="Arial" w:cs="Arial"/>
          <w:sz w:val="20"/>
          <w:szCs w:val="20"/>
        </w:rPr>
        <w:fldChar w:fldCharType="end"/>
      </w:r>
      <w:r w:rsidR="00FA2569">
        <w:rPr>
          <w:rFonts w:ascii="Arial" w:hAnsi="Arial" w:cs="Arial"/>
          <w:sz w:val="20"/>
          <w:szCs w:val="20"/>
        </w:rPr>
        <w:t xml:space="preserve"> </w:t>
      </w:r>
      <w:r w:rsidR="00DE0508" w:rsidRPr="00592D81">
        <w:rPr>
          <w:rFonts w:ascii="Arial" w:hAnsi="Arial" w:cs="Arial"/>
          <w:sz w:val="20"/>
          <w:szCs w:val="20"/>
        </w:rPr>
        <w:t>al</w:t>
      </w:r>
      <w:r w:rsidR="00FA2569">
        <w:rPr>
          <w:rFonts w:ascii="Arial" w:hAnsi="Arial" w:cs="Arial"/>
          <w:sz w:val="20"/>
          <w:szCs w:val="20"/>
        </w:rPr>
        <w:t xml:space="preserve"> </w:t>
      </w:r>
      <w:r w:rsidR="001C4138">
        <w:rPr>
          <w:rFonts w:ascii="Arial" w:hAnsi="Arial" w:cs="Arial"/>
          <w:sz w:val="20"/>
          <w:szCs w:val="20"/>
        </w:rPr>
        <w:fldChar w:fldCharType="begin"/>
      </w:r>
      <w:r w:rsidR="00FA2569">
        <w:rPr>
          <w:rFonts w:ascii="Arial" w:hAnsi="Arial" w:cs="Arial"/>
          <w:sz w:val="20"/>
          <w:szCs w:val="20"/>
        </w:rPr>
        <w:instrText xml:space="preserve"> REF _Ref136253285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763</w:t>
      </w:r>
      <w:r w:rsidR="001C4138">
        <w:rPr>
          <w:rFonts w:ascii="Arial" w:hAnsi="Arial" w:cs="Arial"/>
          <w:sz w:val="20"/>
          <w:szCs w:val="20"/>
        </w:rPr>
        <w:fldChar w:fldCharType="end"/>
      </w:r>
      <w:r w:rsidR="00DE0508" w:rsidRPr="00592D81">
        <w:rPr>
          <w:rFonts w:ascii="Arial" w:hAnsi="Arial" w:cs="Arial"/>
          <w:sz w:val="20"/>
          <w:szCs w:val="20"/>
        </w:rPr>
        <w:t>].</w:t>
      </w:r>
    </w:p>
    <w:p w:rsidR="00421257" w:rsidRPr="00592D81" w:rsidRDefault="00112C10" w:rsidP="000A0BD3">
      <w:pPr>
        <w:numPr>
          <w:ilvl w:val="0"/>
          <w:numId w:val="29"/>
        </w:numPr>
        <w:spacing w:after="120" w:line="264" w:lineRule="auto"/>
        <w:jc w:val="both"/>
        <w:rPr>
          <w:rFonts w:ascii="Arial" w:hAnsi="Arial" w:cs="Arial"/>
          <w:sz w:val="20"/>
          <w:szCs w:val="20"/>
        </w:rPr>
      </w:pPr>
      <w:r w:rsidRPr="00592D81">
        <w:rPr>
          <w:rFonts w:ascii="Arial" w:hAnsi="Arial" w:cs="Arial"/>
          <w:sz w:val="20"/>
          <w:szCs w:val="20"/>
        </w:rPr>
        <w:t>En los</w:t>
      </w:r>
      <w:r w:rsidR="00421257" w:rsidRPr="00592D81">
        <w:rPr>
          <w:rFonts w:ascii="Arial" w:hAnsi="Arial" w:cs="Arial"/>
          <w:sz w:val="20"/>
          <w:szCs w:val="20"/>
        </w:rPr>
        <w:t xml:space="preserve"> </w:t>
      </w:r>
      <w:r w:rsidR="00421257" w:rsidRPr="00592D81">
        <w:rPr>
          <w:rFonts w:ascii="Arial" w:hAnsi="Arial" w:cs="Arial"/>
          <w:b/>
          <w:bCs/>
          <w:sz w:val="20"/>
          <w:szCs w:val="20"/>
        </w:rPr>
        <w:t>estados contables</w:t>
      </w:r>
      <w:r w:rsidR="00421257" w:rsidRPr="00592D81">
        <w:rPr>
          <w:rFonts w:ascii="Arial" w:hAnsi="Arial" w:cs="Arial"/>
          <w:sz w:val="20"/>
          <w:szCs w:val="20"/>
        </w:rPr>
        <w:t xml:space="preserve"> de todas las entidades del grupo económico </w:t>
      </w:r>
      <w:r w:rsidRPr="00592D81">
        <w:rPr>
          <w:rFonts w:ascii="Arial" w:hAnsi="Arial" w:cs="Arial"/>
          <w:sz w:val="20"/>
          <w:szCs w:val="20"/>
        </w:rPr>
        <w:t>deberán aplicarse</w:t>
      </w:r>
      <w:r w:rsidR="00421257" w:rsidRPr="00592D81">
        <w:rPr>
          <w:rFonts w:ascii="Arial" w:hAnsi="Arial" w:cs="Arial"/>
          <w:sz w:val="20"/>
          <w:szCs w:val="20"/>
        </w:rPr>
        <w:t xml:space="preserve"> las mismas normas contables para: </w:t>
      </w:r>
    </w:p>
    <w:p w:rsidR="00421257" w:rsidRPr="00AC4AEA" w:rsidRDefault="00421257" w:rsidP="00C01B25">
      <w:pPr>
        <w:pStyle w:val="NUA-Nivel1"/>
        <w:numPr>
          <w:ilvl w:val="0"/>
          <w:numId w:val="573"/>
        </w:numPr>
        <w:spacing w:after="120"/>
        <w:ind w:left="1560" w:hanging="567"/>
      </w:pPr>
      <w:r w:rsidRPr="00AC4AEA">
        <w:t xml:space="preserve">reconocer y medir los elementos sobre los que se informa en los </w:t>
      </w:r>
      <w:r w:rsidRPr="00AC4AEA">
        <w:rPr>
          <w:b/>
          <w:bCs/>
        </w:rPr>
        <w:t>estados contables</w:t>
      </w:r>
      <w:r w:rsidRPr="00AC4AEA">
        <w:t>;</w:t>
      </w:r>
      <w:r w:rsidR="006F2C57">
        <w:t xml:space="preserve"> </w:t>
      </w:r>
    </w:p>
    <w:p w:rsidR="00421257" w:rsidRPr="00AC4AEA" w:rsidRDefault="00421257" w:rsidP="00C01B25">
      <w:pPr>
        <w:pStyle w:val="NUA-Nivel1"/>
        <w:numPr>
          <w:ilvl w:val="0"/>
          <w:numId w:val="573"/>
        </w:numPr>
        <w:spacing w:after="120"/>
        <w:ind w:left="1560" w:hanging="567"/>
      </w:pPr>
      <w:r w:rsidRPr="00AC4AEA">
        <w:t xml:space="preserve">convertir las mediciones contenidas en los </w:t>
      </w:r>
      <w:r w:rsidRPr="00AC4AEA">
        <w:rPr>
          <w:b/>
          <w:bCs/>
        </w:rPr>
        <w:t>estados contables</w:t>
      </w:r>
      <w:r w:rsidRPr="00AC4AEA">
        <w:t xml:space="preserve">, originalmente expresadas en alguna </w:t>
      </w:r>
      <w:r w:rsidRPr="002B0F58">
        <w:rPr>
          <w:b/>
          <w:bCs/>
        </w:rPr>
        <w:t>moneda extranjera</w:t>
      </w:r>
      <w:r w:rsidRPr="00AC4AEA">
        <w:t xml:space="preserve">; </w:t>
      </w:r>
    </w:p>
    <w:p w:rsidR="00421257" w:rsidRPr="00AC4AEA" w:rsidRDefault="00421257" w:rsidP="00C01B25">
      <w:pPr>
        <w:pStyle w:val="NUA-Nivel1"/>
        <w:numPr>
          <w:ilvl w:val="0"/>
          <w:numId w:val="573"/>
        </w:numPr>
        <w:spacing w:after="120"/>
        <w:ind w:left="1560" w:hanging="567"/>
      </w:pPr>
      <w:r w:rsidRPr="00AC4AEA">
        <w:t>agrupar y presentar las partidas, de acuerdo con lo establecido en el capítulo 6 “</w:t>
      </w:r>
      <w:r w:rsidRPr="00AC4AEA">
        <w:rPr>
          <w:u w:val="single" w:color="000000"/>
        </w:rPr>
        <w:t>Normas generales sobre presentación de estados contables</w:t>
      </w:r>
      <w:r w:rsidRPr="00AC4AEA">
        <w:t xml:space="preserve">”. </w:t>
      </w:r>
    </w:p>
    <w:p w:rsidR="00421257" w:rsidRPr="00AC4AEA" w:rsidRDefault="00421257" w:rsidP="000A0BD3">
      <w:pPr>
        <w:numPr>
          <w:ilvl w:val="0"/>
          <w:numId w:val="29"/>
        </w:numPr>
        <w:spacing w:line="264" w:lineRule="auto"/>
        <w:jc w:val="both"/>
        <w:rPr>
          <w:rFonts w:ascii="Arial" w:hAnsi="Arial" w:cs="Arial"/>
          <w:sz w:val="20"/>
          <w:szCs w:val="20"/>
        </w:rPr>
      </w:pPr>
      <w:r w:rsidRPr="00AC4AEA">
        <w:rPr>
          <w:rFonts w:ascii="Arial" w:hAnsi="Arial" w:cs="Arial"/>
          <w:sz w:val="20"/>
          <w:szCs w:val="20"/>
        </w:rPr>
        <w:t>Si las normas contables aplicadas por las</w:t>
      </w:r>
      <w:r w:rsidR="00433D59" w:rsidRPr="00AC4AEA">
        <w:rPr>
          <w:rFonts w:ascii="Arial" w:hAnsi="Arial" w:cs="Arial"/>
          <w:sz w:val="20"/>
          <w:szCs w:val="20"/>
        </w:rPr>
        <w:t xml:space="preserve"> controladas (subsidiarias) difieren de las utilizadas por la entidad controladora</w:t>
      </w:r>
      <w:r w:rsidRPr="00AC4AEA">
        <w:rPr>
          <w:rFonts w:ascii="Arial" w:hAnsi="Arial" w:cs="Arial"/>
          <w:sz w:val="20"/>
          <w:szCs w:val="20"/>
        </w:rPr>
        <w:t xml:space="preserve">, </w:t>
      </w:r>
      <w:r w:rsidR="00433D59" w:rsidRPr="00AC4AEA">
        <w:rPr>
          <w:rFonts w:ascii="Arial" w:hAnsi="Arial" w:cs="Arial"/>
          <w:sz w:val="20"/>
          <w:szCs w:val="20"/>
        </w:rPr>
        <w:t>ésta realizará los ajustes pertinentes con el fin de</w:t>
      </w:r>
      <w:r w:rsidRPr="00AC4AEA">
        <w:rPr>
          <w:rFonts w:ascii="Arial" w:hAnsi="Arial" w:cs="Arial"/>
          <w:sz w:val="20"/>
          <w:szCs w:val="20"/>
        </w:rPr>
        <w:t xml:space="preserve"> uniformarlas con las propias. </w:t>
      </w:r>
    </w:p>
    <w:p w:rsidR="00421257" w:rsidRPr="00AC4AEA" w:rsidRDefault="00421257" w:rsidP="00A318EA">
      <w:pPr>
        <w:spacing w:after="148"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092" w:name="_Toc139356978"/>
      <w:r w:rsidRPr="00AC4AEA">
        <w:t>Transacciones y saldos intragrupo</w:t>
      </w:r>
      <w:bookmarkEnd w:id="1092"/>
      <w:r w:rsidR="006F2C57">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093" w:name="_Ref135298833"/>
      <w:r w:rsidRPr="00AC4AEA">
        <w:rPr>
          <w:rFonts w:ascii="Arial" w:hAnsi="Arial" w:cs="Arial"/>
          <w:sz w:val="20"/>
          <w:szCs w:val="20"/>
        </w:rPr>
        <w:t>Una entidad eliminará:</w:t>
      </w:r>
      <w:bookmarkEnd w:id="1093"/>
      <w:r w:rsidR="006F2C57">
        <w:rPr>
          <w:rFonts w:ascii="Arial" w:hAnsi="Arial" w:cs="Arial"/>
          <w:sz w:val="20"/>
          <w:szCs w:val="20"/>
        </w:rPr>
        <w:t xml:space="preserve"> </w:t>
      </w:r>
    </w:p>
    <w:p w:rsidR="00433D59" w:rsidRPr="00AC4AEA" w:rsidRDefault="00433D59" w:rsidP="00EE4142">
      <w:pPr>
        <w:pStyle w:val="Prrafodelista"/>
        <w:numPr>
          <w:ilvl w:val="1"/>
          <w:numId w:val="29"/>
        </w:numPr>
        <w:spacing w:line="264" w:lineRule="auto"/>
        <w:ind w:left="1559"/>
        <w:jc w:val="both"/>
        <w:rPr>
          <w:rFonts w:ascii="Arial" w:hAnsi="Arial" w:cs="Arial"/>
          <w:sz w:val="20"/>
          <w:szCs w:val="20"/>
        </w:rPr>
      </w:pPr>
      <w:r w:rsidRPr="00AC4AEA">
        <w:rPr>
          <w:rFonts w:ascii="Arial" w:hAnsi="Arial" w:cs="Arial"/>
          <w:sz w:val="20"/>
          <w:szCs w:val="20"/>
        </w:rPr>
        <w:t xml:space="preserve">los saldos de </w:t>
      </w:r>
      <w:r w:rsidR="00CE13D7" w:rsidRPr="00CE13D7">
        <w:rPr>
          <w:rFonts w:ascii="Arial" w:hAnsi="Arial" w:cs="Arial"/>
          <w:bCs/>
          <w:sz w:val="20"/>
          <w:szCs w:val="20"/>
        </w:rPr>
        <w:t>activos</w:t>
      </w:r>
      <w:r w:rsidRPr="00AC4AEA">
        <w:rPr>
          <w:rFonts w:ascii="Arial" w:hAnsi="Arial" w:cs="Arial"/>
          <w:sz w:val="20"/>
          <w:szCs w:val="20"/>
        </w:rPr>
        <w:t xml:space="preserve"> y </w:t>
      </w:r>
      <w:r w:rsidR="00CE13D7" w:rsidRPr="00CE13D7">
        <w:rPr>
          <w:rFonts w:ascii="Arial" w:hAnsi="Arial" w:cs="Arial"/>
          <w:bCs/>
          <w:sz w:val="20"/>
          <w:szCs w:val="20"/>
        </w:rPr>
        <w:t>pasivos</w:t>
      </w:r>
      <w:r w:rsidRPr="00AC4AEA">
        <w:rPr>
          <w:rFonts w:ascii="Arial" w:hAnsi="Arial" w:cs="Arial"/>
          <w:sz w:val="20"/>
          <w:szCs w:val="20"/>
        </w:rPr>
        <w:t xml:space="preserve"> intragrupo; </w:t>
      </w:r>
    </w:p>
    <w:p w:rsidR="00433D59" w:rsidRPr="00AC4AEA" w:rsidRDefault="00433D59" w:rsidP="00EE4142">
      <w:pPr>
        <w:pStyle w:val="Prrafodelista"/>
        <w:numPr>
          <w:ilvl w:val="1"/>
          <w:numId w:val="29"/>
        </w:numPr>
        <w:spacing w:line="264" w:lineRule="auto"/>
        <w:ind w:left="1559"/>
        <w:jc w:val="both"/>
        <w:rPr>
          <w:rFonts w:ascii="Arial" w:hAnsi="Arial" w:cs="Arial"/>
          <w:sz w:val="20"/>
          <w:szCs w:val="20"/>
        </w:rPr>
      </w:pPr>
      <w:r w:rsidRPr="00AC4AEA">
        <w:rPr>
          <w:rFonts w:ascii="Arial" w:hAnsi="Arial" w:cs="Arial"/>
          <w:sz w:val="20"/>
          <w:szCs w:val="20"/>
        </w:rPr>
        <w:t xml:space="preserve">las transacciones intragrupo que dan lugar a </w:t>
      </w:r>
      <w:r w:rsidRPr="00AC4AEA">
        <w:rPr>
          <w:rFonts w:ascii="Arial" w:hAnsi="Arial" w:cs="Arial"/>
          <w:b/>
          <w:bCs/>
          <w:sz w:val="20"/>
          <w:szCs w:val="20"/>
        </w:rPr>
        <w:t>ingresos</w:t>
      </w:r>
      <w:r w:rsidRPr="00AC4AEA">
        <w:rPr>
          <w:rFonts w:ascii="Arial" w:hAnsi="Arial" w:cs="Arial"/>
          <w:sz w:val="20"/>
          <w:szCs w:val="20"/>
        </w:rPr>
        <w:t xml:space="preserve">, </w:t>
      </w:r>
      <w:r w:rsidRPr="00AC4AEA">
        <w:rPr>
          <w:rFonts w:ascii="Arial" w:hAnsi="Arial" w:cs="Arial"/>
          <w:b/>
          <w:bCs/>
          <w:sz w:val="20"/>
          <w:szCs w:val="20"/>
        </w:rPr>
        <w:t>gastos</w:t>
      </w:r>
      <w:r w:rsidRPr="00AC4AEA">
        <w:rPr>
          <w:rFonts w:ascii="Arial" w:hAnsi="Arial" w:cs="Arial"/>
          <w:sz w:val="20"/>
          <w:szCs w:val="20"/>
        </w:rPr>
        <w:t xml:space="preserve">, otras variaciones patrimoniales y flujos de efectivo; y </w:t>
      </w:r>
    </w:p>
    <w:p w:rsidR="00421257" w:rsidRPr="00592D81" w:rsidRDefault="00421257" w:rsidP="00EE4142">
      <w:pPr>
        <w:pStyle w:val="Prrafodelista"/>
        <w:numPr>
          <w:ilvl w:val="1"/>
          <w:numId w:val="29"/>
        </w:numPr>
        <w:spacing w:line="264" w:lineRule="auto"/>
        <w:ind w:left="1559"/>
        <w:jc w:val="both"/>
        <w:rPr>
          <w:rFonts w:ascii="Arial" w:hAnsi="Arial" w:cs="Arial"/>
          <w:sz w:val="20"/>
          <w:szCs w:val="20"/>
        </w:rPr>
      </w:pPr>
      <w:r w:rsidRPr="00AC4AEA">
        <w:rPr>
          <w:rFonts w:ascii="Arial" w:hAnsi="Arial" w:cs="Arial"/>
          <w:sz w:val="20"/>
          <w:szCs w:val="20"/>
        </w:rPr>
        <w:t xml:space="preserve">las </w:t>
      </w:r>
      <w:r w:rsidRPr="00AC4AEA">
        <w:rPr>
          <w:rFonts w:ascii="Arial" w:hAnsi="Arial" w:cs="Arial"/>
          <w:b/>
          <w:bCs/>
          <w:sz w:val="20"/>
          <w:szCs w:val="20"/>
        </w:rPr>
        <w:t>ganancias</w:t>
      </w:r>
      <w:r w:rsidRPr="00AC4AEA">
        <w:rPr>
          <w:rFonts w:ascii="Arial" w:hAnsi="Arial" w:cs="Arial"/>
          <w:sz w:val="20"/>
          <w:szCs w:val="20"/>
        </w:rPr>
        <w:t xml:space="preserve"> y </w:t>
      </w:r>
      <w:r w:rsidRPr="00AC4AEA">
        <w:rPr>
          <w:rFonts w:ascii="Arial" w:hAnsi="Arial" w:cs="Arial"/>
          <w:b/>
          <w:bCs/>
          <w:sz w:val="20"/>
          <w:szCs w:val="20"/>
        </w:rPr>
        <w:t>pérdidas</w:t>
      </w:r>
      <w:r w:rsidRPr="00AC4AEA">
        <w:rPr>
          <w:rFonts w:ascii="Arial" w:hAnsi="Arial" w:cs="Arial"/>
          <w:sz w:val="20"/>
          <w:szCs w:val="20"/>
        </w:rPr>
        <w:t xml:space="preserve"> procedentes de transacciones intragrupo que estén reconocidas en </w:t>
      </w:r>
      <w:r w:rsidR="00CE13D7" w:rsidRPr="00CE13D7">
        <w:rPr>
          <w:rFonts w:ascii="Arial" w:hAnsi="Arial" w:cs="Arial"/>
          <w:bCs/>
          <w:sz w:val="20"/>
          <w:szCs w:val="20"/>
        </w:rPr>
        <w:t>activos</w:t>
      </w:r>
      <w:r w:rsidRPr="00AC4AEA">
        <w:rPr>
          <w:rFonts w:ascii="Arial" w:hAnsi="Arial" w:cs="Arial"/>
          <w:sz w:val="20"/>
          <w:szCs w:val="20"/>
        </w:rPr>
        <w:t xml:space="preserve">, tales como bienes de cambio o bienes de uso, excepto cuando los </w:t>
      </w:r>
      <w:r w:rsidR="00CE13D7" w:rsidRPr="00CE13D7">
        <w:rPr>
          <w:rFonts w:ascii="Arial" w:hAnsi="Arial" w:cs="Arial"/>
          <w:bCs/>
          <w:sz w:val="20"/>
          <w:szCs w:val="20"/>
        </w:rPr>
        <w:t>activos</w:t>
      </w:r>
      <w:r w:rsidRPr="00AC4AEA">
        <w:rPr>
          <w:rFonts w:ascii="Arial" w:hAnsi="Arial" w:cs="Arial"/>
          <w:sz w:val="20"/>
          <w:szCs w:val="20"/>
        </w:rPr>
        <w:t xml:space="preserve"> que los contengan se encuentren medidos a </w:t>
      </w:r>
      <w:r w:rsidRPr="00AC4AEA">
        <w:rPr>
          <w:rFonts w:ascii="Arial" w:hAnsi="Arial" w:cs="Arial"/>
          <w:b/>
          <w:bCs/>
          <w:sz w:val="20"/>
          <w:szCs w:val="20"/>
        </w:rPr>
        <w:t>valores corrientes</w:t>
      </w:r>
      <w:r w:rsidRPr="00AC4AEA">
        <w:rPr>
          <w:rFonts w:ascii="Arial" w:hAnsi="Arial" w:cs="Arial"/>
          <w:sz w:val="20"/>
          <w:szCs w:val="20"/>
        </w:rPr>
        <w:t xml:space="preserve"> determinados sobre la base de operaciones realizadas con terceros y de acuerdo con las pautas establecidas en esta Resolución Técnica u </w:t>
      </w:r>
      <w:r w:rsidRPr="00AC4AEA">
        <w:rPr>
          <w:rFonts w:ascii="Arial" w:hAnsi="Arial" w:cs="Arial"/>
          <w:b/>
          <w:bCs/>
          <w:sz w:val="20"/>
          <w:szCs w:val="20"/>
        </w:rPr>
        <w:t xml:space="preserve">otras </w:t>
      </w:r>
      <w:r w:rsidRPr="00592D81">
        <w:rPr>
          <w:rFonts w:ascii="Arial" w:hAnsi="Arial" w:cs="Arial"/>
          <w:b/>
          <w:bCs/>
          <w:sz w:val="20"/>
          <w:szCs w:val="20"/>
        </w:rPr>
        <w:t>normas contables</w:t>
      </w:r>
      <w:r w:rsidRPr="00592D81">
        <w:rPr>
          <w:rFonts w:ascii="Arial" w:hAnsi="Arial" w:cs="Arial"/>
          <w:sz w:val="20"/>
          <w:szCs w:val="20"/>
        </w:rPr>
        <w:t xml:space="preserve">. </w:t>
      </w:r>
    </w:p>
    <w:p w:rsidR="00421257" w:rsidRPr="00592D81" w:rsidRDefault="00243031" w:rsidP="000A0BD3">
      <w:pPr>
        <w:numPr>
          <w:ilvl w:val="0"/>
          <w:numId w:val="29"/>
        </w:numPr>
        <w:spacing w:after="147" w:line="264" w:lineRule="auto"/>
        <w:jc w:val="both"/>
        <w:rPr>
          <w:rFonts w:ascii="Arial" w:hAnsi="Arial" w:cs="Arial"/>
          <w:sz w:val="20"/>
          <w:szCs w:val="20"/>
        </w:rPr>
      </w:pPr>
      <w:r w:rsidRPr="00592D81">
        <w:rPr>
          <w:rFonts w:ascii="Arial" w:hAnsi="Arial" w:cs="Arial"/>
          <w:sz w:val="20"/>
          <w:szCs w:val="20"/>
        </w:rPr>
        <w:lastRenderedPageBreak/>
        <w:t>Si</w:t>
      </w:r>
      <w:r w:rsidR="00421257" w:rsidRPr="00592D81">
        <w:rPr>
          <w:rFonts w:ascii="Arial" w:hAnsi="Arial" w:cs="Arial"/>
          <w:sz w:val="20"/>
          <w:szCs w:val="20"/>
        </w:rPr>
        <w:t xml:space="preserve"> las pérdidas intragrupo </w:t>
      </w:r>
      <w:r w:rsidRPr="00592D81">
        <w:rPr>
          <w:rFonts w:ascii="Arial" w:hAnsi="Arial" w:cs="Arial"/>
          <w:sz w:val="20"/>
          <w:szCs w:val="20"/>
        </w:rPr>
        <w:t>reflejan</w:t>
      </w:r>
      <w:r w:rsidR="006F2C57">
        <w:rPr>
          <w:rFonts w:ascii="Arial" w:hAnsi="Arial" w:cs="Arial"/>
          <w:sz w:val="20"/>
          <w:szCs w:val="20"/>
        </w:rPr>
        <w:t xml:space="preserve"> </w:t>
      </w:r>
      <w:r w:rsidR="00421257" w:rsidRPr="00592D81">
        <w:rPr>
          <w:rFonts w:ascii="Arial" w:hAnsi="Arial" w:cs="Arial"/>
          <w:sz w:val="20"/>
          <w:szCs w:val="20"/>
        </w:rPr>
        <w:t>un</w:t>
      </w:r>
      <w:r w:rsidR="00BF520C" w:rsidRPr="00592D81">
        <w:rPr>
          <w:rFonts w:ascii="Arial" w:hAnsi="Arial" w:cs="Arial"/>
          <w:sz w:val="20"/>
          <w:szCs w:val="20"/>
        </w:rPr>
        <w:t>a</w:t>
      </w:r>
      <w:r w:rsidR="00421257" w:rsidRPr="00592D81">
        <w:rPr>
          <w:rFonts w:ascii="Arial" w:hAnsi="Arial" w:cs="Arial"/>
          <w:sz w:val="20"/>
          <w:szCs w:val="20"/>
        </w:rPr>
        <w:t xml:space="preserve"> </w:t>
      </w:r>
      <w:r w:rsidR="00BF520C" w:rsidRPr="00592D81">
        <w:rPr>
          <w:rFonts w:ascii="Arial" w:hAnsi="Arial" w:cs="Arial"/>
          <w:sz w:val="20"/>
          <w:szCs w:val="20"/>
        </w:rPr>
        <w:t>desvalorización</w:t>
      </w:r>
      <w:r w:rsidR="00421257" w:rsidRPr="00592D81">
        <w:rPr>
          <w:rFonts w:ascii="Arial" w:hAnsi="Arial" w:cs="Arial"/>
          <w:sz w:val="20"/>
          <w:szCs w:val="20"/>
        </w:rPr>
        <w:t xml:space="preserve"> de los activos</w:t>
      </w:r>
      <w:r w:rsidRPr="00592D81">
        <w:rPr>
          <w:rFonts w:ascii="Arial" w:hAnsi="Arial" w:cs="Arial"/>
          <w:sz w:val="20"/>
          <w:szCs w:val="20"/>
        </w:rPr>
        <w:t>, una entidad</w:t>
      </w:r>
      <w:r w:rsidR="006F2C57">
        <w:rPr>
          <w:rFonts w:ascii="Arial" w:hAnsi="Arial" w:cs="Arial"/>
          <w:sz w:val="20"/>
          <w:szCs w:val="20"/>
        </w:rPr>
        <w:t xml:space="preserve"> </w:t>
      </w:r>
      <w:r w:rsidR="00421257" w:rsidRPr="00592D81">
        <w:rPr>
          <w:rFonts w:ascii="Arial" w:hAnsi="Arial" w:cs="Arial"/>
          <w:sz w:val="20"/>
          <w:szCs w:val="20"/>
        </w:rPr>
        <w:t>deberá reconocer</w:t>
      </w:r>
      <w:r w:rsidRPr="00592D81">
        <w:rPr>
          <w:rFonts w:ascii="Arial" w:hAnsi="Arial" w:cs="Arial"/>
          <w:sz w:val="20"/>
          <w:szCs w:val="20"/>
        </w:rPr>
        <w:t xml:space="preserve"> dicha desvalorización</w:t>
      </w:r>
      <w:r w:rsidR="00421257" w:rsidRPr="00592D81">
        <w:rPr>
          <w:rFonts w:ascii="Arial" w:hAnsi="Arial" w:cs="Arial"/>
          <w:sz w:val="20"/>
          <w:szCs w:val="20"/>
        </w:rPr>
        <w:t xml:space="preserve"> en los </w:t>
      </w:r>
      <w:r w:rsidR="00421257" w:rsidRPr="00592D81">
        <w:rPr>
          <w:rFonts w:ascii="Arial" w:hAnsi="Arial" w:cs="Arial"/>
          <w:b/>
          <w:bCs/>
          <w:sz w:val="20"/>
          <w:szCs w:val="20"/>
        </w:rPr>
        <w:t>estados contables consolidados</w:t>
      </w:r>
      <w:r w:rsidRPr="00592D81">
        <w:rPr>
          <w:rFonts w:ascii="Arial" w:hAnsi="Arial" w:cs="Arial"/>
          <w:b/>
          <w:bCs/>
          <w:sz w:val="20"/>
          <w:szCs w:val="20"/>
        </w:rPr>
        <w:t xml:space="preserve"> </w:t>
      </w:r>
      <w:r w:rsidRPr="00592D81">
        <w:rPr>
          <w:rFonts w:ascii="Arial" w:hAnsi="Arial" w:cs="Arial"/>
          <w:sz w:val="20"/>
          <w:szCs w:val="20"/>
        </w:rPr>
        <w:t>según</w:t>
      </w:r>
      <w:r w:rsidR="00421257" w:rsidRPr="00592D81">
        <w:rPr>
          <w:rFonts w:ascii="Arial" w:hAnsi="Arial" w:cs="Arial"/>
          <w:sz w:val="20"/>
          <w:szCs w:val="20"/>
        </w:rPr>
        <w:t xml:space="preserve"> lo establecido en esta Resolución Técnica u </w:t>
      </w:r>
      <w:r w:rsidR="00421257" w:rsidRPr="00592D81">
        <w:rPr>
          <w:rFonts w:ascii="Arial" w:hAnsi="Arial" w:cs="Arial"/>
          <w:b/>
          <w:bCs/>
          <w:sz w:val="20"/>
          <w:szCs w:val="20"/>
        </w:rPr>
        <w:t>otras normas contables</w:t>
      </w:r>
      <w:r w:rsidR="00421257" w:rsidRPr="00592D81">
        <w:rPr>
          <w:rFonts w:ascii="Arial" w:hAnsi="Arial" w:cs="Arial"/>
          <w:sz w:val="20"/>
          <w:szCs w:val="20"/>
        </w:rPr>
        <w:t>.</w:t>
      </w:r>
      <w:r w:rsidR="006F2C57">
        <w:rPr>
          <w:rFonts w:ascii="Arial" w:hAnsi="Arial" w:cs="Arial"/>
          <w:sz w:val="20"/>
          <w:szCs w:val="20"/>
        </w:rPr>
        <w:t xml:space="preserve"> </w:t>
      </w:r>
    </w:p>
    <w:p w:rsidR="00421257" w:rsidRPr="00592D81" w:rsidRDefault="00421257" w:rsidP="000A0BD3">
      <w:pPr>
        <w:numPr>
          <w:ilvl w:val="0"/>
          <w:numId w:val="29"/>
        </w:numPr>
        <w:spacing w:after="147" w:line="264" w:lineRule="auto"/>
        <w:jc w:val="both"/>
        <w:rPr>
          <w:rFonts w:ascii="Arial" w:hAnsi="Arial" w:cs="Arial"/>
          <w:sz w:val="20"/>
          <w:szCs w:val="20"/>
        </w:rPr>
      </w:pPr>
      <w:r w:rsidRPr="00592D81">
        <w:rPr>
          <w:rFonts w:ascii="Arial" w:hAnsi="Arial" w:cs="Arial"/>
          <w:sz w:val="20"/>
          <w:szCs w:val="20"/>
        </w:rPr>
        <w:t>Una entidad aplicará la sección “</w:t>
      </w:r>
      <w:r w:rsidRPr="00592D81">
        <w:rPr>
          <w:rFonts w:ascii="Arial" w:hAnsi="Arial" w:cs="Arial"/>
          <w:sz w:val="20"/>
          <w:szCs w:val="20"/>
          <w:u w:val="single" w:color="000000"/>
        </w:rPr>
        <w:t>Contabilización del Impuesto a las Ganancias</w:t>
      </w:r>
      <w:r w:rsidRPr="006D2CB1">
        <w:rPr>
          <w:rFonts w:ascii="Arial" w:hAnsi="Arial" w:cs="Arial"/>
          <w:sz w:val="20"/>
          <w:szCs w:val="20"/>
        </w:rPr>
        <w:t xml:space="preserve">” </w:t>
      </w:r>
      <w:r w:rsidR="006D2CB1" w:rsidRPr="00355815">
        <w:rPr>
          <w:rFonts w:ascii="Arial" w:hAnsi="Arial" w:cs="Arial"/>
          <w:sz w:val="20"/>
          <w:szCs w:val="20"/>
        </w:rPr>
        <w:t xml:space="preserve">[ver los párrafos </w:t>
      </w:r>
      <w:fldSimple w:instr=" REF _Ref99468407 \r \h  \* MERGEFORMAT ">
        <w:r w:rsidR="00D33A5D" w:rsidRPr="00D33A5D">
          <w:rPr>
            <w:rFonts w:ascii="Arial" w:hAnsi="Arial" w:cs="Arial"/>
            <w:sz w:val="20"/>
            <w:szCs w:val="20"/>
          </w:rPr>
          <w:t>571</w:t>
        </w:r>
      </w:fldSimple>
      <w:r w:rsidR="006D2CB1" w:rsidRPr="00355815">
        <w:rPr>
          <w:rFonts w:ascii="Arial" w:hAnsi="Arial" w:cs="Arial"/>
          <w:sz w:val="20"/>
          <w:szCs w:val="20"/>
        </w:rPr>
        <w:t xml:space="preserve"> a </w:t>
      </w:r>
      <w:fldSimple w:instr=" REF _Ref135737673 \r \h  \* MERGEFORMAT ">
        <w:r w:rsidR="00D33A5D" w:rsidRPr="00D33A5D">
          <w:rPr>
            <w:rFonts w:ascii="Arial" w:hAnsi="Arial" w:cs="Arial"/>
            <w:sz w:val="20"/>
            <w:szCs w:val="20"/>
          </w:rPr>
          <w:t>600</w:t>
        </w:r>
      </w:fldSimple>
      <w:r w:rsidR="006D2CB1" w:rsidRPr="00355815">
        <w:rPr>
          <w:rFonts w:ascii="Arial" w:hAnsi="Arial" w:cs="Arial"/>
          <w:sz w:val="20"/>
          <w:szCs w:val="20"/>
        </w:rPr>
        <w:t>]</w:t>
      </w:r>
      <w:r w:rsidRPr="00592D81">
        <w:rPr>
          <w:rFonts w:ascii="Arial" w:hAnsi="Arial" w:cs="Arial"/>
          <w:sz w:val="20"/>
          <w:szCs w:val="20"/>
        </w:rPr>
        <w:t xml:space="preserve">a las diferencias temporarias que surjan de la eliminación de las ganancias y pérdidas procedentes de transacciones intragrupo. </w:t>
      </w:r>
    </w:p>
    <w:p w:rsidR="00421257" w:rsidRPr="00592D81" w:rsidRDefault="00243031" w:rsidP="000A0BD3">
      <w:pPr>
        <w:numPr>
          <w:ilvl w:val="0"/>
          <w:numId w:val="29"/>
        </w:numPr>
        <w:spacing w:after="147" w:line="264" w:lineRule="auto"/>
        <w:jc w:val="both"/>
        <w:rPr>
          <w:rFonts w:ascii="Arial" w:hAnsi="Arial" w:cs="Arial"/>
          <w:sz w:val="20"/>
          <w:szCs w:val="20"/>
        </w:rPr>
      </w:pPr>
      <w:bookmarkStart w:id="1094" w:name="_Ref135298836"/>
      <w:r w:rsidRPr="00592D81">
        <w:rPr>
          <w:rFonts w:ascii="Arial" w:hAnsi="Arial" w:cs="Arial"/>
          <w:sz w:val="20"/>
          <w:szCs w:val="20"/>
        </w:rPr>
        <w:t>La posesión</w:t>
      </w:r>
      <w:r w:rsidR="00421257" w:rsidRPr="00592D81">
        <w:rPr>
          <w:rFonts w:ascii="Arial" w:hAnsi="Arial" w:cs="Arial"/>
          <w:sz w:val="20"/>
          <w:szCs w:val="20"/>
        </w:rPr>
        <w:t xml:space="preserve"> </w:t>
      </w:r>
      <w:r w:rsidRPr="00592D81">
        <w:rPr>
          <w:rFonts w:ascii="Arial" w:hAnsi="Arial" w:cs="Arial"/>
          <w:sz w:val="20"/>
          <w:szCs w:val="20"/>
        </w:rPr>
        <w:t xml:space="preserve">de </w:t>
      </w:r>
      <w:r w:rsidR="00421257" w:rsidRPr="00592D81">
        <w:rPr>
          <w:rFonts w:ascii="Arial" w:hAnsi="Arial" w:cs="Arial"/>
          <w:sz w:val="20"/>
          <w:szCs w:val="20"/>
        </w:rPr>
        <w:t xml:space="preserve">acciones de </w:t>
      </w:r>
      <w:r w:rsidR="00C46C4A" w:rsidRPr="00592D81">
        <w:rPr>
          <w:rFonts w:ascii="Arial" w:hAnsi="Arial" w:cs="Arial"/>
          <w:sz w:val="20"/>
          <w:szCs w:val="20"/>
        </w:rPr>
        <w:t>una</w:t>
      </w:r>
      <w:r w:rsidR="00421257" w:rsidRPr="00592D81">
        <w:rPr>
          <w:rFonts w:ascii="Arial" w:hAnsi="Arial" w:cs="Arial"/>
          <w:sz w:val="20"/>
          <w:szCs w:val="20"/>
        </w:rPr>
        <w:t xml:space="preserve"> entidad </w:t>
      </w:r>
      <w:r w:rsidR="00C46C4A" w:rsidRPr="00592D81">
        <w:rPr>
          <w:rFonts w:ascii="Arial" w:hAnsi="Arial" w:cs="Arial"/>
          <w:sz w:val="20"/>
          <w:szCs w:val="20"/>
        </w:rPr>
        <w:t>del grupo económico</w:t>
      </w:r>
      <w:r w:rsidR="00421257" w:rsidRPr="00592D81">
        <w:rPr>
          <w:rFonts w:ascii="Arial" w:hAnsi="Arial" w:cs="Arial"/>
          <w:sz w:val="20"/>
          <w:szCs w:val="20"/>
        </w:rPr>
        <w:t xml:space="preserve"> </w:t>
      </w:r>
      <w:r w:rsidRPr="00592D81">
        <w:rPr>
          <w:rFonts w:ascii="Arial" w:hAnsi="Arial" w:cs="Arial"/>
          <w:sz w:val="20"/>
          <w:szCs w:val="20"/>
        </w:rPr>
        <w:t xml:space="preserve">por parte de </w:t>
      </w:r>
      <w:r w:rsidR="00C46C4A" w:rsidRPr="00592D81">
        <w:rPr>
          <w:rFonts w:ascii="Arial" w:hAnsi="Arial" w:cs="Arial"/>
          <w:sz w:val="20"/>
          <w:szCs w:val="20"/>
        </w:rPr>
        <w:t>otra</w:t>
      </w:r>
      <w:r w:rsidRPr="00592D81">
        <w:rPr>
          <w:rFonts w:ascii="Arial" w:hAnsi="Arial" w:cs="Arial"/>
          <w:sz w:val="20"/>
          <w:szCs w:val="20"/>
        </w:rPr>
        <w:t xml:space="preserve"> entidad </w:t>
      </w:r>
      <w:r w:rsidR="00C46C4A" w:rsidRPr="00592D81">
        <w:rPr>
          <w:rFonts w:ascii="Arial" w:hAnsi="Arial" w:cs="Arial"/>
          <w:sz w:val="20"/>
          <w:szCs w:val="20"/>
        </w:rPr>
        <w:t>del mismo grupo</w:t>
      </w:r>
      <w:r w:rsidRPr="00592D81">
        <w:rPr>
          <w:rFonts w:ascii="Arial" w:hAnsi="Arial" w:cs="Arial"/>
          <w:sz w:val="20"/>
          <w:szCs w:val="20"/>
        </w:rPr>
        <w:t xml:space="preserve"> </w:t>
      </w:r>
      <w:r w:rsidR="00421257" w:rsidRPr="00592D81">
        <w:rPr>
          <w:rFonts w:ascii="Arial" w:hAnsi="Arial" w:cs="Arial"/>
          <w:sz w:val="20"/>
          <w:szCs w:val="20"/>
        </w:rPr>
        <w:t>es</w:t>
      </w:r>
      <w:r w:rsidRPr="00592D81">
        <w:rPr>
          <w:rFonts w:ascii="Arial" w:hAnsi="Arial" w:cs="Arial"/>
          <w:sz w:val="20"/>
          <w:szCs w:val="20"/>
        </w:rPr>
        <w:t>, en esencia,</w:t>
      </w:r>
      <w:r w:rsidR="00421257" w:rsidRPr="00592D81">
        <w:rPr>
          <w:rFonts w:ascii="Arial" w:hAnsi="Arial" w:cs="Arial"/>
          <w:sz w:val="20"/>
          <w:szCs w:val="20"/>
        </w:rPr>
        <w:t xml:space="preserve"> </w:t>
      </w:r>
      <w:r w:rsidRPr="00592D81">
        <w:rPr>
          <w:rFonts w:ascii="Arial" w:hAnsi="Arial" w:cs="Arial"/>
          <w:sz w:val="20"/>
          <w:szCs w:val="20"/>
        </w:rPr>
        <w:t>equivalente a la tenencia de acciones propias en cartera de</w:t>
      </w:r>
      <w:r w:rsidR="00692DD5" w:rsidRPr="00592D81">
        <w:rPr>
          <w:rFonts w:ascii="Arial" w:hAnsi="Arial" w:cs="Arial"/>
          <w:sz w:val="20"/>
          <w:szCs w:val="20"/>
        </w:rPr>
        <w:t>l grupo, considerado como una única</w:t>
      </w:r>
      <w:r w:rsidRPr="00592D81">
        <w:rPr>
          <w:rFonts w:ascii="Arial" w:hAnsi="Arial" w:cs="Arial"/>
          <w:sz w:val="20"/>
          <w:szCs w:val="20"/>
        </w:rPr>
        <w:t xml:space="preserve"> entidad controladora.</w:t>
      </w:r>
      <w:r w:rsidR="00421257" w:rsidRPr="00592D81">
        <w:rPr>
          <w:rFonts w:ascii="Arial" w:hAnsi="Arial" w:cs="Arial"/>
          <w:sz w:val="20"/>
          <w:szCs w:val="20"/>
        </w:rPr>
        <w:t xml:space="preserve"> </w:t>
      </w:r>
      <w:r w:rsidRPr="00592D81">
        <w:rPr>
          <w:rFonts w:ascii="Arial" w:hAnsi="Arial" w:cs="Arial"/>
          <w:sz w:val="20"/>
          <w:szCs w:val="20"/>
        </w:rPr>
        <w:t>P</w:t>
      </w:r>
      <w:r w:rsidR="00421257" w:rsidRPr="00592D81">
        <w:rPr>
          <w:rFonts w:ascii="Arial" w:hAnsi="Arial" w:cs="Arial"/>
          <w:sz w:val="20"/>
          <w:szCs w:val="20"/>
        </w:rPr>
        <w:t>or lo tanto, una entidad controladora expondrá el costo de tales acciones como una reducción del patrimonio neto consolidado.</w:t>
      </w:r>
      <w:bookmarkEnd w:id="1094"/>
      <w:r w:rsidR="00421257" w:rsidRPr="00592D81">
        <w:rPr>
          <w:rFonts w:ascii="Arial" w:hAnsi="Arial" w:cs="Arial"/>
          <w:sz w:val="20"/>
          <w:szCs w:val="20"/>
        </w:rPr>
        <w:t xml:space="preserve"> </w:t>
      </w:r>
    </w:p>
    <w:p w:rsidR="00421257" w:rsidRPr="00592D81" w:rsidRDefault="00421257" w:rsidP="00A318EA">
      <w:pPr>
        <w:spacing w:after="150" w:line="256" w:lineRule="auto"/>
        <w:rPr>
          <w:rFonts w:ascii="Arial" w:hAnsi="Arial" w:cs="Arial"/>
          <w:sz w:val="20"/>
          <w:szCs w:val="20"/>
        </w:rPr>
      </w:pPr>
      <w:r w:rsidRPr="00592D81">
        <w:rPr>
          <w:rFonts w:ascii="Arial" w:hAnsi="Arial" w:cs="Arial"/>
          <w:sz w:val="20"/>
          <w:szCs w:val="20"/>
        </w:rPr>
        <w:t xml:space="preserve"> </w:t>
      </w:r>
    </w:p>
    <w:p w:rsidR="00421257" w:rsidRPr="00AC4AEA" w:rsidRDefault="00421257" w:rsidP="00A318EA">
      <w:pPr>
        <w:pStyle w:val="Ttulo3"/>
      </w:pPr>
      <w:bookmarkStart w:id="1095" w:name="_Toc139356979"/>
      <w:r w:rsidRPr="00592D81">
        <w:t>Adquisición y disposición de subsidiarias</w:t>
      </w:r>
      <w:bookmarkEnd w:id="1095"/>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Una entidad controladora incluirá los ingresos y los gastos de una entidad controlada</w:t>
      </w:r>
      <w:r w:rsidR="009E1955" w:rsidRPr="00AC4AEA">
        <w:rPr>
          <w:rFonts w:ascii="Arial" w:hAnsi="Arial" w:cs="Arial"/>
          <w:sz w:val="20"/>
          <w:szCs w:val="20"/>
        </w:rPr>
        <w:t>,</w:t>
      </w:r>
      <w:r w:rsidRPr="00AC4AEA">
        <w:rPr>
          <w:rFonts w:ascii="Arial" w:hAnsi="Arial" w:cs="Arial"/>
          <w:sz w:val="20"/>
          <w:szCs w:val="20"/>
        </w:rPr>
        <w:t xml:space="preserve"> en los </w:t>
      </w:r>
      <w:r w:rsidRPr="00AC4AEA">
        <w:rPr>
          <w:rFonts w:ascii="Arial" w:hAnsi="Arial" w:cs="Arial"/>
          <w:b/>
          <w:bCs/>
          <w:sz w:val="20"/>
          <w:szCs w:val="20"/>
        </w:rPr>
        <w:t>estados contables consolidados</w:t>
      </w:r>
      <w:r w:rsidR="009E1955" w:rsidRPr="00AC4AEA">
        <w:rPr>
          <w:rFonts w:ascii="Arial" w:hAnsi="Arial" w:cs="Arial"/>
          <w:sz w:val="20"/>
          <w:szCs w:val="20"/>
        </w:rPr>
        <w:t>,</w:t>
      </w:r>
      <w:r w:rsidRPr="00AC4AEA">
        <w:rPr>
          <w:rFonts w:ascii="Arial" w:hAnsi="Arial" w:cs="Arial"/>
          <w:sz w:val="20"/>
          <w:szCs w:val="20"/>
        </w:rPr>
        <w:t xml:space="preserve"> desde la fecha de su adquisición hasta la fecha en la que la entidad controladora deje de controlar a la entidad controlada.</w:t>
      </w:r>
      <w:r w:rsidR="006F2C57">
        <w:rPr>
          <w:rFonts w:ascii="Arial" w:hAnsi="Arial" w:cs="Arial"/>
          <w:sz w:val="20"/>
          <w:szCs w:val="20"/>
        </w:rPr>
        <w:t xml:space="preserve"> </w:t>
      </w:r>
    </w:p>
    <w:tbl>
      <w:tblPr>
        <w:tblStyle w:val="Tablaconcuadrcula"/>
        <w:tblW w:w="8500" w:type="dxa"/>
        <w:tblLook w:val="04A0"/>
      </w:tblPr>
      <w:tblGrid>
        <w:gridCol w:w="8500"/>
      </w:tblGrid>
      <w:tr w:rsidR="00A034F8" w:rsidRPr="00AC4AEA" w:rsidTr="004D3DC9">
        <w:tc>
          <w:tcPr>
            <w:tcW w:w="8500" w:type="dxa"/>
          </w:tcPr>
          <w:p w:rsidR="008206CE" w:rsidRPr="00AC4AEA" w:rsidRDefault="008206CE" w:rsidP="008206CE">
            <w:pPr>
              <w:spacing w:after="147" w:line="264" w:lineRule="auto"/>
              <w:rPr>
                <w:rFonts w:ascii="Arial" w:hAnsi="Arial" w:cs="Arial"/>
                <w:color w:val="00B050"/>
                <w:sz w:val="20"/>
                <w:szCs w:val="20"/>
              </w:rPr>
            </w:pPr>
            <w:r w:rsidRPr="00AC4AEA">
              <w:rPr>
                <w:rFonts w:ascii="Arial" w:hAnsi="Arial" w:cs="Arial"/>
                <w:color w:val="00B050"/>
                <w:sz w:val="20"/>
                <w:szCs w:val="20"/>
              </w:rPr>
              <w:t>Aclaración (texto no integrante de la presente Resolución Técnica):</w:t>
            </w:r>
          </w:p>
        </w:tc>
      </w:tr>
      <w:tr w:rsidR="00A034F8" w:rsidRPr="00AC4AEA" w:rsidTr="004D3DC9">
        <w:tc>
          <w:tcPr>
            <w:tcW w:w="8500" w:type="dxa"/>
          </w:tcPr>
          <w:p w:rsidR="008206CE" w:rsidRPr="00AC4AEA" w:rsidRDefault="008206CE" w:rsidP="008206CE">
            <w:pPr>
              <w:spacing w:after="147" w:line="264" w:lineRule="auto"/>
              <w:rPr>
                <w:rFonts w:ascii="Arial" w:hAnsi="Arial" w:cs="Arial"/>
                <w:color w:val="00B050"/>
                <w:sz w:val="20"/>
                <w:szCs w:val="20"/>
              </w:rPr>
            </w:pPr>
            <w:r w:rsidRPr="00AC4AEA">
              <w:rPr>
                <w:rFonts w:ascii="Arial" w:hAnsi="Arial" w:cs="Arial"/>
                <w:color w:val="00B050"/>
                <w:sz w:val="20"/>
                <w:szCs w:val="20"/>
              </w:rPr>
              <w:t xml:space="preserve">En </w:t>
            </w:r>
            <w:r w:rsidR="00FA2569">
              <w:rPr>
                <w:rFonts w:ascii="Arial" w:hAnsi="Arial" w:cs="Arial"/>
                <w:color w:val="00B050"/>
                <w:sz w:val="20"/>
                <w:szCs w:val="20"/>
              </w:rPr>
              <w:t>el</w:t>
            </w:r>
            <w:r w:rsidRPr="00AC4AEA">
              <w:rPr>
                <w:rFonts w:ascii="Arial" w:hAnsi="Arial" w:cs="Arial"/>
                <w:color w:val="00B050"/>
                <w:sz w:val="20"/>
                <w:szCs w:val="20"/>
              </w:rPr>
              <w:t xml:space="preserve"> párrafo </w:t>
            </w:r>
            <w:fldSimple w:instr=" REF _Ref135301266 \r \h  \* MERGEFORMAT ">
              <w:r w:rsidR="00D33A5D" w:rsidRPr="00D33A5D">
                <w:rPr>
                  <w:rFonts w:ascii="Arial" w:hAnsi="Arial" w:cs="Arial"/>
                  <w:color w:val="00B050"/>
                  <w:sz w:val="20"/>
                  <w:szCs w:val="20"/>
                </w:rPr>
                <w:t>801</w:t>
              </w:r>
            </w:fldSimple>
            <w:r w:rsidRPr="00AC4AEA">
              <w:rPr>
                <w:rFonts w:ascii="Arial" w:hAnsi="Arial" w:cs="Arial"/>
                <w:color w:val="00B050"/>
                <w:sz w:val="20"/>
                <w:szCs w:val="20"/>
              </w:rPr>
              <w:t xml:space="preserve">, expresiones tales como "la entidad dará de baja en cuenta" o "la entidad reconocerá" hacen referencia a las operaciones descriptas en </w:t>
            </w:r>
            <w:r w:rsidR="00FA2569">
              <w:rPr>
                <w:rFonts w:ascii="Arial" w:hAnsi="Arial" w:cs="Arial"/>
                <w:color w:val="00B050"/>
                <w:sz w:val="20"/>
                <w:szCs w:val="20"/>
              </w:rPr>
              <w:t>la sección</w:t>
            </w:r>
            <w:r w:rsidRPr="00AC4AEA">
              <w:rPr>
                <w:rFonts w:ascii="Arial" w:hAnsi="Arial" w:cs="Arial"/>
                <w:color w:val="00B050"/>
                <w:sz w:val="20"/>
                <w:szCs w:val="20"/>
              </w:rPr>
              <w:t xml:space="preserve"> "</w:t>
            </w:r>
            <w:r w:rsidRPr="00AC4AEA">
              <w:rPr>
                <w:rFonts w:ascii="Arial" w:hAnsi="Arial" w:cs="Arial"/>
                <w:color w:val="00B050"/>
                <w:sz w:val="20"/>
                <w:szCs w:val="20"/>
                <w:u w:val="single"/>
              </w:rPr>
              <w:t>Preparación de estados contables: operaciones fundamentales</w:t>
            </w:r>
            <w:r w:rsidRPr="00AC4AEA">
              <w:rPr>
                <w:rFonts w:ascii="Arial" w:hAnsi="Arial" w:cs="Arial"/>
                <w:color w:val="00B050"/>
                <w:sz w:val="20"/>
                <w:szCs w:val="20"/>
              </w:rPr>
              <w:t xml:space="preserve">" [ver los párrafos </w:t>
            </w:r>
            <w:fldSimple w:instr=" REF _Ref135301315 \r \h  \* MERGEFORMAT ">
              <w:r w:rsidR="00D33A5D" w:rsidRPr="00D33A5D">
                <w:rPr>
                  <w:rFonts w:ascii="Arial" w:hAnsi="Arial" w:cs="Arial"/>
                  <w:color w:val="00B050"/>
                  <w:sz w:val="20"/>
                  <w:szCs w:val="20"/>
                </w:rPr>
                <w:t>34</w:t>
              </w:r>
            </w:fldSimple>
            <w:r w:rsidRPr="00AC4AEA">
              <w:rPr>
                <w:rFonts w:ascii="Arial" w:hAnsi="Arial" w:cs="Arial"/>
                <w:color w:val="00B050"/>
                <w:sz w:val="20"/>
                <w:szCs w:val="20"/>
              </w:rPr>
              <w:t xml:space="preserve"> a </w:t>
            </w:r>
            <w:fldSimple w:instr=" REF _Ref99457811 \r \h  \* MERGEFORMAT ">
              <w:r w:rsidR="00D33A5D" w:rsidRPr="00D33A5D">
                <w:rPr>
                  <w:rFonts w:ascii="Arial" w:hAnsi="Arial" w:cs="Arial"/>
                  <w:color w:val="00B050"/>
                  <w:sz w:val="20"/>
                  <w:szCs w:val="20"/>
                </w:rPr>
                <w:t>70</w:t>
              </w:r>
            </w:fldSimple>
            <w:r w:rsidRPr="00AC4AEA">
              <w:rPr>
                <w:rFonts w:ascii="Arial" w:hAnsi="Arial" w:cs="Arial"/>
                <w:color w:val="00B050"/>
                <w:sz w:val="20"/>
                <w:szCs w:val="20"/>
              </w:rPr>
              <w:t xml:space="preserve">]. </w:t>
            </w:r>
            <w:r w:rsidR="00B322F2" w:rsidRPr="00AC4AEA">
              <w:rPr>
                <w:rFonts w:ascii="Arial" w:hAnsi="Arial" w:cs="Arial"/>
                <w:color w:val="00B050"/>
                <w:sz w:val="20"/>
                <w:szCs w:val="20"/>
              </w:rPr>
              <w:t>Las referidas</w:t>
            </w:r>
            <w:r w:rsidRPr="00AC4AEA">
              <w:rPr>
                <w:rFonts w:ascii="Arial" w:hAnsi="Arial" w:cs="Arial"/>
                <w:color w:val="00B050"/>
                <w:sz w:val="20"/>
                <w:szCs w:val="20"/>
              </w:rPr>
              <w:t xml:space="preserve"> expresiones no establecen la obligación de llevar "registros diarios" o similares y deben ser entendidas bajo un estricto sentido contable.</w:t>
            </w:r>
          </w:p>
        </w:tc>
      </w:tr>
    </w:tbl>
    <w:p w:rsidR="008206CE" w:rsidRPr="00AC4AEA" w:rsidRDefault="008206CE" w:rsidP="008206CE">
      <w:pPr>
        <w:spacing w:after="147" w:line="264" w:lineRule="auto"/>
        <w:jc w:val="both"/>
        <w:rPr>
          <w:rFonts w:ascii="Arial" w:hAnsi="Arial" w:cs="Arial"/>
          <w:sz w:val="20"/>
          <w:szCs w:val="20"/>
        </w:rPr>
      </w:pPr>
    </w:p>
    <w:p w:rsidR="00421257" w:rsidRPr="00AC4AEA" w:rsidRDefault="00421257" w:rsidP="000A0BD3">
      <w:pPr>
        <w:numPr>
          <w:ilvl w:val="0"/>
          <w:numId w:val="29"/>
        </w:numPr>
        <w:spacing w:after="147" w:line="264" w:lineRule="auto"/>
        <w:jc w:val="both"/>
        <w:rPr>
          <w:rFonts w:ascii="Arial" w:hAnsi="Arial" w:cs="Arial"/>
          <w:sz w:val="20"/>
          <w:szCs w:val="20"/>
        </w:rPr>
      </w:pPr>
      <w:bookmarkStart w:id="1096" w:name="_Ref135301266"/>
      <w:r w:rsidRPr="00AC4AEA">
        <w:rPr>
          <w:rFonts w:ascii="Arial" w:hAnsi="Arial" w:cs="Arial"/>
          <w:sz w:val="20"/>
          <w:szCs w:val="20"/>
        </w:rPr>
        <w:t xml:space="preserve">Cuando cese de controlar a </w:t>
      </w:r>
      <w:r w:rsidR="008206CE" w:rsidRPr="00AC4AEA">
        <w:rPr>
          <w:rFonts w:ascii="Arial" w:hAnsi="Arial" w:cs="Arial"/>
          <w:sz w:val="20"/>
          <w:szCs w:val="20"/>
        </w:rPr>
        <w:t>otra entidad</w:t>
      </w:r>
      <w:r w:rsidRPr="00AC4AEA">
        <w:rPr>
          <w:rFonts w:ascii="Arial" w:hAnsi="Arial" w:cs="Arial"/>
          <w:sz w:val="20"/>
          <w:szCs w:val="20"/>
        </w:rPr>
        <w:t>, una entidad controladora</w:t>
      </w:r>
      <w:r w:rsidR="008206CE" w:rsidRPr="00AC4AEA">
        <w:rPr>
          <w:rFonts w:ascii="Arial" w:hAnsi="Arial" w:cs="Arial"/>
          <w:sz w:val="20"/>
          <w:szCs w:val="20"/>
        </w:rPr>
        <w:t xml:space="preserve"> en sus </w:t>
      </w:r>
      <w:r w:rsidR="008206CE" w:rsidRPr="00AC4AEA">
        <w:rPr>
          <w:rFonts w:ascii="Arial" w:hAnsi="Arial" w:cs="Arial"/>
          <w:b/>
          <w:bCs/>
          <w:sz w:val="20"/>
          <w:szCs w:val="20"/>
        </w:rPr>
        <w:t>estados contables consolidados</w:t>
      </w:r>
      <w:r w:rsidRPr="00AC4AEA">
        <w:rPr>
          <w:rFonts w:ascii="Arial" w:hAnsi="Arial" w:cs="Arial"/>
          <w:sz w:val="20"/>
          <w:szCs w:val="20"/>
        </w:rPr>
        <w:t>:</w:t>
      </w:r>
      <w:bookmarkEnd w:id="1096"/>
      <w:r w:rsidR="006F2C57">
        <w:rPr>
          <w:rFonts w:ascii="Arial" w:hAnsi="Arial" w:cs="Arial"/>
          <w:sz w:val="20"/>
          <w:szCs w:val="20"/>
        </w:rPr>
        <w:t xml:space="preserve"> </w:t>
      </w:r>
    </w:p>
    <w:p w:rsidR="00421257" w:rsidRPr="00AC4AEA" w:rsidRDefault="00421257" w:rsidP="00C01B25">
      <w:pPr>
        <w:pStyle w:val="NUA-Nivel1"/>
        <w:numPr>
          <w:ilvl w:val="0"/>
          <w:numId w:val="574"/>
        </w:numPr>
        <w:ind w:left="1560" w:hanging="567"/>
      </w:pPr>
      <w:r w:rsidRPr="00AC4AEA">
        <w:t xml:space="preserve">dará de baja en cuentas: </w:t>
      </w:r>
    </w:p>
    <w:p w:rsidR="00421257" w:rsidRPr="00AC4AEA" w:rsidRDefault="00421257" w:rsidP="00C01B25">
      <w:pPr>
        <w:pStyle w:val="Prrafodelista"/>
        <w:numPr>
          <w:ilvl w:val="0"/>
          <w:numId w:val="535"/>
        </w:numPr>
        <w:ind w:left="1985" w:hanging="425"/>
        <w:contextualSpacing w:val="0"/>
        <w:jc w:val="both"/>
        <w:rPr>
          <w:rFonts w:ascii="Arial" w:hAnsi="Arial" w:cs="Arial"/>
          <w:sz w:val="20"/>
          <w:szCs w:val="20"/>
        </w:rPr>
      </w:pPr>
      <w:r w:rsidRPr="00AC4AEA">
        <w:rPr>
          <w:rFonts w:ascii="Arial" w:hAnsi="Arial" w:cs="Arial"/>
          <w:sz w:val="20"/>
          <w:szCs w:val="20"/>
        </w:rPr>
        <w:t xml:space="preserve">a los </w:t>
      </w:r>
      <w:r w:rsidR="00CE13D7" w:rsidRPr="00CE13D7">
        <w:rPr>
          <w:rFonts w:ascii="Arial" w:hAnsi="Arial" w:cs="Arial"/>
          <w:bCs/>
          <w:sz w:val="20"/>
          <w:szCs w:val="20"/>
        </w:rPr>
        <w:t>activos</w:t>
      </w:r>
      <w:r w:rsidRPr="00AC4AEA">
        <w:rPr>
          <w:rFonts w:ascii="Arial" w:hAnsi="Arial" w:cs="Arial"/>
          <w:sz w:val="20"/>
          <w:szCs w:val="20"/>
        </w:rPr>
        <w:t xml:space="preserve"> (incluyendo la llave de negocios) y </w:t>
      </w:r>
      <w:r w:rsidR="00CE13D7" w:rsidRPr="00CE13D7">
        <w:rPr>
          <w:rFonts w:ascii="Arial" w:hAnsi="Arial" w:cs="Arial"/>
          <w:bCs/>
          <w:sz w:val="20"/>
          <w:szCs w:val="20"/>
        </w:rPr>
        <w:t>pasivos</w:t>
      </w:r>
      <w:r w:rsidRPr="00AC4AEA">
        <w:rPr>
          <w:rFonts w:ascii="Arial" w:hAnsi="Arial" w:cs="Arial"/>
          <w:sz w:val="20"/>
          <w:szCs w:val="20"/>
        </w:rPr>
        <w:t xml:space="preserve"> de la controlada (subsidiaria) por su importe en libros en la fecha en que se</w:t>
      </w:r>
      <w:r w:rsidR="004211A0" w:rsidRPr="00AC4AEA">
        <w:rPr>
          <w:rFonts w:ascii="Arial" w:hAnsi="Arial" w:cs="Arial"/>
          <w:sz w:val="20"/>
          <w:szCs w:val="20"/>
        </w:rPr>
        <w:t xml:space="preserve"> perdió el control; y</w:t>
      </w:r>
      <w:r w:rsidRPr="00AC4AEA">
        <w:rPr>
          <w:rFonts w:ascii="Arial" w:hAnsi="Arial" w:cs="Arial"/>
          <w:sz w:val="20"/>
          <w:szCs w:val="20"/>
        </w:rPr>
        <w:t xml:space="preserve"> </w:t>
      </w:r>
    </w:p>
    <w:p w:rsidR="00421257" w:rsidRPr="00AC4AEA" w:rsidRDefault="00421257" w:rsidP="00C01B25">
      <w:pPr>
        <w:pStyle w:val="Prrafodelista"/>
        <w:numPr>
          <w:ilvl w:val="0"/>
          <w:numId w:val="535"/>
        </w:numPr>
        <w:ind w:left="1985" w:hanging="425"/>
        <w:contextualSpacing w:val="0"/>
        <w:jc w:val="both"/>
        <w:rPr>
          <w:rFonts w:ascii="Arial" w:hAnsi="Arial" w:cs="Arial"/>
          <w:sz w:val="20"/>
          <w:szCs w:val="20"/>
        </w:rPr>
      </w:pPr>
      <w:r w:rsidRPr="00AC4AEA">
        <w:rPr>
          <w:rFonts w:ascii="Arial" w:hAnsi="Arial" w:cs="Arial"/>
          <w:sz w:val="20"/>
          <w:szCs w:val="20"/>
        </w:rPr>
        <w:t xml:space="preserve">al importe en libros de todas las participaciones no controladoras en la anterior controlada (subsidiaria) en la fecha en que se pierda el control (incluyendo todos los componentes de </w:t>
      </w:r>
      <w:r w:rsidRPr="00D86B48">
        <w:rPr>
          <w:rFonts w:ascii="Arial" w:hAnsi="Arial" w:cs="Arial"/>
          <w:b/>
          <w:bCs/>
          <w:sz w:val="20"/>
          <w:szCs w:val="20"/>
        </w:rPr>
        <w:t>resultados diferidos</w:t>
      </w:r>
      <w:r w:rsidRPr="00AC4AEA">
        <w:rPr>
          <w:rFonts w:ascii="Arial" w:hAnsi="Arial" w:cs="Arial"/>
          <w:sz w:val="20"/>
          <w:szCs w:val="20"/>
        </w:rPr>
        <w:t xml:space="preserve"> atribuibles a las mismas); </w:t>
      </w:r>
    </w:p>
    <w:p w:rsidR="00421257" w:rsidRPr="00AC4AEA" w:rsidRDefault="00421257" w:rsidP="00C01B25">
      <w:pPr>
        <w:pStyle w:val="NUA-Nivel1"/>
        <w:numPr>
          <w:ilvl w:val="0"/>
          <w:numId w:val="574"/>
        </w:numPr>
        <w:ind w:left="1560" w:hanging="567"/>
      </w:pPr>
      <w:r w:rsidRPr="00AC4AEA">
        <w:t>reconocerá:</w:t>
      </w:r>
      <w:r w:rsidR="006F2C57">
        <w:t xml:space="preserve"> </w:t>
      </w:r>
    </w:p>
    <w:p w:rsidR="00421257" w:rsidRPr="00AC4AEA" w:rsidRDefault="00421257" w:rsidP="00C01B25">
      <w:pPr>
        <w:pStyle w:val="Prrafodelista"/>
        <w:numPr>
          <w:ilvl w:val="0"/>
          <w:numId w:val="538"/>
        </w:numPr>
        <w:ind w:left="1985" w:hanging="425"/>
        <w:contextualSpacing w:val="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valor razonable</w:t>
      </w:r>
      <w:r w:rsidRPr="00AC4AEA">
        <w:rPr>
          <w:rFonts w:ascii="Arial" w:hAnsi="Arial" w:cs="Arial"/>
          <w:sz w:val="20"/>
          <w:szCs w:val="20"/>
        </w:rPr>
        <w:t xml:space="preserve"> de la contraprestación recibida, si la hubiera, por la transacción, suceso o circunstancias que dieran lugar a la pérdida de control;</w:t>
      </w:r>
      <w:r w:rsidR="006F2C57">
        <w:rPr>
          <w:rFonts w:ascii="Arial" w:hAnsi="Arial" w:cs="Arial"/>
          <w:sz w:val="20"/>
          <w:szCs w:val="20"/>
        </w:rPr>
        <w:t xml:space="preserve"> </w:t>
      </w:r>
    </w:p>
    <w:p w:rsidR="00421257" w:rsidRPr="00AC4AEA" w:rsidRDefault="00421257" w:rsidP="00C01B25">
      <w:pPr>
        <w:pStyle w:val="Prrafodelista"/>
        <w:numPr>
          <w:ilvl w:val="0"/>
          <w:numId w:val="538"/>
        </w:numPr>
        <w:ind w:left="1985" w:hanging="425"/>
        <w:contextualSpacing w:val="0"/>
        <w:jc w:val="both"/>
        <w:rPr>
          <w:rFonts w:ascii="Arial" w:hAnsi="Arial" w:cs="Arial"/>
          <w:sz w:val="20"/>
          <w:szCs w:val="20"/>
        </w:rPr>
      </w:pPr>
      <w:r w:rsidRPr="00AC4AEA">
        <w:rPr>
          <w:rFonts w:ascii="Arial" w:hAnsi="Arial" w:cs="Arial"/>
          <w:sz w:val="20"/>
          <w:szCs w:val="20"/>
        </w:rPr>
        <w:t xml:space="preserve">cuando la transacción, suceso o circunstancia que dé lugar a la pérdida de control conlleve una distribución de acciones de la entidad controlada a los propietarios en su condición de tales, dicha distribución; y </w:t>
      </w:r>
    </w:p>
    <w:p w:rsidR="00421257" w:rsidRPr="00AC4AEA" w:rsidRDefault="00421257" w:rsidP="00C01B25">
      <w:pPr>
        <w:pStyle w:val="Prrafodelista"/>
        <w:numPr>
          <w:ilvl w:val="0"/>
          <w:numId w:val="538"/>
        </w:numPr>
        <w:ind w:left="1985" w:hanging="425"/>
        <w:contextualSpacing w:val="0"/>
        <w:jc w:val="both"/>
        <w:rPr>
          <w:rFonts w:ascii="Arial" w:hAnsi="Arial" w:cs="Arial"/>
          <w:sz w:val="20"/>
          <w:szCs w:val="20"/>
        </w:rPr>
      </w:pPr>
      <w:r w:rsidRPr="00AC4AEA">
        <w:rPr>
          <w:rFonts w:ascii="Arial" w:hAnsi="Arial" w:cs="Arial"/>
          <w:sz w:val="20"/>
          <w:szCs w:val="20"/>
        </w:rPr>
        <w:lastRenderedPageBreak/>
        <w:t xml:space="preserve">la inversión conservada en la que anteriormente fue una entidad controlada por su </w:t>
      </w:r>
      <w:r w:rsidRPr="00AC4AEA">
        <w:rPr>
          <w:rFonts w:ascii="Arial" w:hAnsi="Arial" w:cs="Arial"/>
          <w:b/>
          <w:bCs/>
          <w:sz w:val="20"/>
          <w:szCs w:val="20"/>
        </w:rPr>
        <w:t>valor razonable</w:t>
      </w:r>
      <w:r w:rsidRPr="00AC4AEA">
        <w:rPr>
          <w:rFonts w:ascii="Arial" w:hAnsi="Arial" w:cs="Arial"/>
          <w:sz w:val="20"/>
          <w:szCs w:val="20"/>
        </w:rPr>
        <w:t xml:space="preserve"> en la fecha en que se pierda el control; </w:t>
      </w:r>
    </w:p>
    <w:p w:rsidR="00421257" w:rsidRPr="00AC4AEA" w:rsidRDefault="00421257" w:rsidP="00C01B25">
      <w:pPr>
        <w:pStyle w:val="NUA-Nivel1"/>
        <w:numPr>
          <w:ilvl w:val="0"/>
          <w:numId w:val="574"/>
        </w:numPr>
        <w:ind w:left="1560" w:hanging="567"/>
      </w:pPr>
      <w:r w:rsidRPr="00AC4AEA">
        <w:t xml:space="preserve">reclasificará </w:t>
      </w:r>
      <w:r w:rsidR="005336EF" w:rsidRPr="00AC4AEA">
        <w:t>a</w:t>
      </w:r>
      <w:r w:rsidRPr="00AC4AEA">
        <w:t xml:space="preserve">l resultado del periodo o transferirá directamente a ganancias acumuladas si lo requieren </w:t>
      </w:r>
      <w:r w:rsidR="005336EF" w:rsidRPr="00AC4AEA">
        <w:t xml:space="preserve">esta Resolución Técnica u </w:t>
      </w:r>
      <w:r w:rsidR="005336EF" w:rsidRPr="00AC4AEA">
        <w:rPr>
          <w:b/>
          <w:bCs/>
        </w:rPr>
        <w:t>otras normas contables</w:t>
      </w:r>
      <w:r w:rsidRPr="00AC4AEA">
        <w:t xml:space="preserve">, los importes reconocidos en </w:t>
      </w:r>
      <w:r w:rsidRPr="00AC4AEA">
        <w:rPr>
          <w:b/>
          <w:bCs/>
        </w:rPr>
        <w:t>resultados diferidos</w:t>
      </w:r>
      <w:r w:rsidRPr="00AC4AEA">
        <w:t xml:space="preserve"> en relación con la controlada (subsidiaria); y </w:t>
      </w:r>
    </w:p>
    <w:p w:rsidR="00421257" w:rsidRPr="00AC4AEA" w:rsidRDefault="00421257" w:rsidP="00C01B25">
      <w:pPr>
        <w:pStyle w:val="NUA-Nivel1"/>
        <w:numPr>
          <w:ilvl w:val="0"/>
          <w:numId w:val="574"/>
        </w:numPr>
        <w:ind w:left="1560" w:hanging="567"/>
      </w:pPr>
      <w:r w:rsidRPr="00AC4AEA">
        <w:t xml:space="preserve">reconocerá toda diferencia resultante como </w:t>
      </w:r>
      <w:r w:rsidRPr="00A94103">
        <w:rPr>
          <w:b/>
          <w:bCs/>
        </w:rPr>
        <w:t xml:space="preserve">ganancia </w:t>
      </w:r>
      <w:r w:rsidRPr="00AC4AEA">
        <w:t xml:space="preserve">o </w:t>
      </w:r>
      <w:r w:rsidRPr="008826C7">
        <w:rPr>
          <w:b/>
          <w:bCs/>
        </w:rPr>
        <w:t xml:space="preserve">pérdida </w:t>
      </w:r>
      <w:r w:rsidRPr="00AC4AEA">
        <w:t xml:space="preserve">en el resultado del periodo atribuible a la entidad controladora. </w:t>
      </w:r>
    </w:p>
    <w:p w:rsidR="00421257" w:rsidRPr="00AC4AEA" w:rsidRDefault="008206CE"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Además de lo establecido en el párrafo anterior, cuando deje de consolidar a otra entidad</w:t>
      </w:r>
      <w:r w:rsidR="00421257" w:rsidRPr="00AC4AEA">
        <w:rPr>
          <w:rFonts w:ascii="Arial" w:hAnsi="Arial" w:cs="Arial"/>
          <w:sz w:val="20"/>
          <w:szCs w:val="20"/>
        </w:rPr>
        <w:t xml:space="preserve">, una entidad controladora: </w:t>
      </w:r>
    </w:p>
    <w:p w:rsidR="00421257" w:rsidRPr="00AC4AEA" w:rsidRDefault="00421257" w:rsidP="00C01B25">
      <w:pPr>
        <w:pStyle w:val="NUA-Nivel1"/>
        <w:numPr>
          <w:ilvl w:val="0"/>
          <w:numId w:val="575"/>
        </w:numPr>
        <w:ind w:left="1560" w:hanging="567"/>
      </w:pPr>
      <w:r w:rsidRPr="00AC4AEA">
        <w:t xml:space="preserve">contabilizará todos los importes anteriormente reconocidos en </w:t>
      </w:r>
      <w:r w:rsidRPr="00243031">
        <w:rPr>
          <w:b/>
          <w:bCs/>
        </w:rPr>
        <w:t>resultados diferidos</w:t>
      </w:r>
      <w:r w:rsidRPr="00AC4AEA">
        <w:t xml:space="preserve"> en relación con esa entidad controlada sobre la misma base que se habría requerido si la entidad controladora hubiera dispuesto los </w:t>
      </w:r>
      <w:r w:rsidR="00CE13D7" w:rsidRPr="00CE13D7">
        <w:rPr>
          <w:bCs/>
        </w:rPr>
        <w:t>activos</w:t>
      </w:r>
      <w:r w:rsidRPr="00AC4AEA">
        <w:t xml:space="preserve"> o </w:t>
      </w:r>
      <w:r w:rsidR="00CE13D7" w:rsidRPr="00CE13D7">
        <w:rPr>
          <w:bCs/>
        </w:rPr>
        <w:t>pasivos</w:t>
      </w:r>
      <w:r w:rsidRPr="00AC4AEA">
        <w:t xml:space="preserve"> relacionados; </w:t>
      </w:r>
    </w:p>
    <w:p w:rsidR="00421257" w:rsidRPr="00AC4AEA" w:rsidRDefault="00421257" w:rsidP="00C01B25">
      <w:pPr>
        <w:pStyle w:val="NUA-Nivel1"/>
        <w:numPr>
          <w:ilvl w:val="0"/>
          <w:numId w:val="575"/>
        </w:numPr>
        <w:ind w:left="1560" w:hanging="567"/>
      </w:pPr>
      <w:r w:rsidRPr="00AC4AEA">
        <w:t xml:space="preserve">reclasificará la </w:t>
      </w:r>
      <w:r w:rsidRPr="00A94103">
        <w:rPr>
          <w:b/>
          <w:bCs/>
        </w:rPr>
        <w:t>ganancia</w:t>
      </w:r>
      <w:r w:rsidRPr="00AC4AEA">
        <w:t xml:space="preserve"> o </w:t>
      </w:r>
      <w:r w:rsidRPr="00A94103">
        <w:rPr>
          <w:b/>
          <w:bCs/>
        </w:rPr>
        <w:t>pérdida</w:t>
      </w:r>
      <w:r w:rsidRPr="00AC4AEA">
        <w:t xml:space="preserve"> de patrimonio al resultado del periodo (como un ajuste por reclasificación), si una </w:t>
      </w:r>
      <w:r w:rsidRPr="00A94103">
        <w:rPr>
          <w:b/>
          <w:bCs/>
        </w:rPr>
        <w:t xml:space="preserve">ganancia </w:t>
      </w:r>
      <w:r w:rsidRPr="00AC4AEA">
        <w:t xml:space="preserve">o </w:t>
      </w:r>
      <w:r w:rsidRPr="00A94103">
        <w:rPr>
          <w:b/>
          <w:bCs/>
        </w:rPr>
        <w:t>pérdida</w:t>
      </w:r>
      <w:r w:rsidRPr="00AC4AEA">
        <w:t xml:space="preserve"> anteriormente reconocida en </w:t>
      </w:r>
      <w:r w:rsidRPr="00D86B48">
        <w:rPr>
          <w:b/>
          <w:bCs/>
        </w:rPr>
        <w:t>resultados diferidos</w:t>
      </w:r>
      <w:r w:rsidRPr="00AC4AEA">
        <w:t xml:space="preserve"> se hubiera reclasificado al resultado del periodo por la disposición de los activos o pasivos relacionados; y </w:t>
      </w:r>
    </w:p>
    <w:p w:rsidR="00421257" w:rsidRPr="00AC4AEA" w:rsidRDefault="00421257" w:rsidP="00C01B25">
      <w:pPr>
        <w:pStyle w:val="NUA-Nivel1"/>
        <w:numPr>
          <w:ilvl w:val="0"/>
          <w:numId w:val="575"/>
        </w:numPr>
        <w:ind w:left="1560" w:hanging="567"/>
      </w:pPr>
      <w:r w:rsidRPr="00AC4AEA">
        <w:t xml:space="preserve">transferirá el </w:t>
      </w:r>
      <w:r w:rsidRPr="00D86B48">
        <w:rPr>
          <w:b/>
          <w:bCs/>
        </w:rPr>
        <w:t>saldo por revaluación</w:t>
      </w:r>
      <w:r w:rsidRPr="00AC4AEA">
        <w:t xml:space="preserve"> directamente a resultados no asignados si un </w:t>
      </w:r>
      <w:r w:rsidRPr="00D86B48">
        <w:rPr>
          <w:b/>
          <w:bCs/>
        </w:rPr>
        <w:t>saldo por revaluación</w:t>
      </w:r>
      <w:r w:rsidRPr="00AC4AEA">
        <w:t xml:space="preserve"> anteriormente reconocido en </w:t>
      </w:r>
      <w:r w:rsidRPr="00D86B48">
        <w:rPr>
          <w:b/>
          <w:bCs/>
        </w:rPr>
        <w:t>resultados diferidos</w:t>
      </w:r>
      <w:r w:rsidRPr="00AC4AEA">
        <w:t xml:space="preserve"> se hubiera transferido directamente a resultados no asignados por la disposición del activo.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097" w:name="_Ref135301282"/>
      <w:r w:rsidRPr="00AC4AEA">
        <w:rPr>
          <w:rFonts w:ascii="Arial" w:hAnsi="Arial" w:cs="Arial"/>
          <w:sz w:val="20"/>
          <w:szCs w:val="20"/>
        </w:rPr>
        <w:t>Si deja de ser controladora y continúa manteniendo una inversión en la anterior controlada (subsidiaria), una entidad:</w:t>
      </w:r>
      <w:bookmarkEnd w:id="1097"/>
      <w:r w:rsidRPr="00AC4AEA">
        <w:rPr>
          <w:rFonts w:ascii="Arial" w:hAnsi="Arial" w:cs="Arial"/>
          <w:sz w:val="20"/>
          <w:szCs w:val="20"/>
        </w:rPr>
        <w:t xml:space="preserve"> </w:t>
      </w:r>
    </w:p>
    <w:p w:rsidR="00421257" w:rsidRPr="00AC4AEA" w:rsidRDefault="00123BE3" w:rsidP="00C01B25">
      <w:pPr>
        <w:pStyle w:val="NUA-Nivel1"/>
        <w:numPr>
          <w:ilvl w:val="0"/>
          <w:numId w:val="576"/>
        </w:numPr>
        <w:ind w:left="1560" w:hanging="567"/>
      </w:pPr>
      <w:r w:rsidRPr="00AC4AEA">
        <w:t>E</w:t>
      </w:r>
      <w:r w:rsidR="00421257" w:rsidRPr="00AC4AEA">
        <w:t>n la fecha en que deje de ser controladora, considerará el importe en libros de cualquier participación conservada, medida de acuerdo con el párrafo</w:t>
      </w:r>
      <w:r w:rsidR="001C4138">
        <w:fldChar w:fldCharType="begin"/>
      </w:r>
      <w:r w:rsidR="009D62EC">
        <w:instrText xml:space="preserve"> REF _Ref135301266 \r \h </w:instrText>
      </w:r>
      <w:r w:rsidR="001C4138">
        <w:fldChar w:fldCharType="separate"/>
      </w:r>
      <w:r w:rsidR="00D33A5D">
        <w:t>801</w:t>
      </w:r>
      <w:r w:rsidR="001C4138">
        <w:fldChar w:fldCharType="end"/>
      </w:r>
      <w:r w:rsidR="00421257" w:rsidRPr="00AC4AEA">
        <w:t xml:space="preserve">, como su </w:t>
      </w:r>
      <w:r w:rsidR="00421257" w:rsidRPr="00AC4AEA">
        <w:rPr>
          <w:b/>
          <w:bCs/>
        </w:rPr>
        <w:t>costo atribuido</w:t>
      </w:r>
      <w:r w:rsidRPr="00AC4AEA">
        <w:t>.</w:t>
      </w:r>
      <w:r w:rsidR="006F2C57">
        <w:t xml:space="preserve"> </w:t>
      </w:r>
    </w:p>
    <w:p w:rsidR="008206CE" w:rsidRPr="00AC4AEA" w:rsidRDefault="008206CE" w:rsidP="00C01B25">
      <w:pPr>
        <w:pStyle w:val="NUA-Nivel1"/>
        <w:numPr>
          <w:ilvl w:val="0"/>
          <w:numId w:val="576"/>
        </w:numPr>
        <w:ind w:left="1560" w:hanging="567"/>
      </w:pPr>
      <w:r w:rsidRPr="00AC4AEA">
        <w:t>Desde la fecha en que deje de ser controladora, c</w:t>
      </w:r>
      <w:r w:rsidR="00421257" w:rsidRPr="00AC4AEA">
        <w:t>ontabilizará posteriormente esa participación</w:t>
      </w:r>
      <w:r w:rsidRPr="00AC4AEA">
        <w:t>, según corresponda,</w:t>
      </w:r>
      <w:r w:rsidR="00421257" w:rsidRPr="00AC4AEA">
        <w:t xml:space="preserve"> como</w:t>
      </w:r>
      <w:r w:rsidRPr="00AC4AEA">
        <w:t>:</w:t>
      </w:r>
    </w:p>
    <w:p w:rsidR="00421257" w:rsidRPr="00AC4AEA" w:rsidRDefault="00421257" w:rsidP="00C01B25">
      <w:pPr>
        <w:pStyle w:val="NUA-Nivel1"/>
        <w:numPr>
          <w:ilvl w:val="0"/>
          <w:numId w:val="536"/>
        </w:numPr>
        <w:ind w:left="2127"/>
      </w:pPr>
      <w:r w:rsidRPr="00AC4AEA">
        <w:t xml:space="preserve">un </w:t>
      </w:r>
      <w:r w:rsidRPr="00AC4AEA">
        <w:rPr>
          <w:b/>
          <w:bCs/>
        </w:rPr>
        <w:t>activo financiero</w:t>
      </w:r>
      <w:r w:rsidRPr="00AC4AEA">
        <w:t>, de acuerdo con la sección “</w:t>
      </w:r>
      <w:r w:rsidRPr="00AC4AEA">
        <w:rPr>
          <w:u w:val="single" w:color="000000"/>
        </w:rPr>
        <w:t>Inversiones Financieras</w:t>
      </w:r>
      <w:r w:rsidRPr="00AC4AEA">
        <w:t xml:space="preserve">” [ver los párrafos </w:t>
      </w:r>
      <w:fldSimple w:instr=" REF _Ref74756832 \r \h  \* MERGEFORMAT ">
        <w:r w:rsidR="00D33A5D">
          <w:t>212</w:t>
        </w:r>
      </w:fldSimple>
      <w:r w:rsidR="00190C14" w:rsidRPr="00AC4AEA">
        <w:t xml:space="preserve"> a </w:t>
      </w:r>
      <w:fldSimple w:instr=" REF _Ref99468272 \r \h  \* MERGEFORMAT ">
        <w:r w:rsidR="00D33A5D">
          <w:t>235</w:t>
        </w:r>
      </w:fldSimple>
      <w:r w:rsidR="00190C14">
        <w:t>]]</w:t>
      </w:r>
      <w:r w:rsidR="008206CE" w:rsidRPr="00AC4AEA">
        <w:t>;</w:t>
      </w:r>
    </w:p>
    <w:p w:rsidR="00421257" w:rsidRPr="00AC4AEA" w:rsidRDefault="00421257" w:rsidP="00C01B25">
      <w:pPr>
        <w:pStyle w:val="Prrafodelista"/>
        <w:numPr>
          <w:ilvl w:val="0"/>
          <w:numId w:val="536"/>
        </w:numPr>
        <w:ind w:left="2127" w:hanging="284"/>
        <w:contextualSpacing w:val="0"/>
        <w:jc w:val="both"/>
        <w:rPr>
          <w:rFonts w:ascii="Arial" w:hAnsi="Arial" w:cs="Arial"/>
          <w:sz w:val="20"/>
          <w:szCs w:val="20"/>
        </w:rPr>
      </w:pPr>
      <w:r w:rsidRPr="00AC4AEA">
        <w:rPr>
          <w:rFonts w:ascii="Arial" w:hAnsi="Arial" w:cs="Arial"/>
          <w:sz w:val="20"/>
          <w:szCs w:val="20"/>
        </w:rPr>
        <w:t>una asociada, en cuyo caso aplicará la sección “</w:t>
      </w:r>
      <w:r w:rsidRPr="00AC4AEA">
        <w:rPr>
          <w:rFonts w:ascii="Arial" w:hAnsi="Arial" w:cs="Arial"/>
          <w:sz w:val="20"/>
          <w:szCs w:val="20"/>
          <w:u w:val="single"/>
        </w:rPr>
        <w:t>Participaciones en subsidiarias, asociadas y negocios conjuntos</w:t>
      </w:r>
      <w:r w:rsidR="00081276" w:rsidRPr="00AC4AEA">
        <w:rPr>
          <w:rFonts w:ascii="Arial" w:hAnsi="Arial" w:cs="Arial"/>
          <w:sz w:val="20"/>
          <w:szCs w:val="20"/>
          <w:u w:val="single"/>
        </w:rPr>
        <w:t xml:space="preserve"> societarios</w:t>
      </w:r>
      <w:r w:rsidRPr="00AC4AEA">
        <w:rPr>
          <w:rFonts w:ascii="Arial" w:hAnsi="Arial" w:cs="Arial"/>
          <w:sz w:val="20"/>
          <w:szCs w:val="20"/>
        </w:rPr>
        <w:t xml:space="preserve">” [ver los </w:t>
      </w:r>
      <w:r w:rsidR="00190C14" w:rsidRPr="00AC4AEA">
        <w:rPr>
          <w:rFonts w:ascii="Arial" w:hAnsi="Arial" w:cs="Arial"/>
          <w:sz w:val="20"/>
          <w:szCs w:val="20"/>
        </w:rPr>
        <w:t xml:space="preserve">párrafos </w:t>
      </w:r>
      <w:fldSimple w:instr=" REF _Ref132052810 \r \h  \* MERGEFORMAT ">
        <w:r w:rsidR="00D33A5D" w:rsidRPr="00D33A5D">
          <w:rPr>
            <w:rFonts w:ascii="Arial" w:hAnsi="Arial" w:cs="Arial"/>
            <w:sz w:val="20"/>
            <w:szCs w:val="20"/>
          </w:rPr>
          <w:t>824</w:t>
        </w:r>
      </w:fldSimple>
      <w:r w:rsidR="00190C14" w:rsidRPr="00AC4AEA">
        <w:rPr>
          <w:rFonts w:ascii="Arial" w:hAnsi="Arial" w:cs="Arial"/>
          <w:sz w:val="20"/>
          <w:szCs w:val="20"/>
        </w:rPr>
        <w:t xml:space="preserve"> a </w:t>
      </w:r>
      <w:fldSimple w:instr=" REF _Ref132050929 \r \h  \* MERGEFORMAT ">
        <w:r w:rsidR="00D33A5D" w:rsidRPr="00D33A5D">
          <w:rPr>
            <w:rFonts w:ascii="Arial" w:hAnsi="Arial" w:cs="Arial"/>
            <w:sz w:val="20"/>
            <w:szCs w:val="20"/>
          </w:rPr>
          <w:t>871</w:t>
        </w:r>
      </w:fldSimple>
      <w:r w:rsidRPr="00AC4AEA">
        <w:rPr>
          <w:rFonts w:ascii="Arial" w:hAnsi="Arial" w:cs="Arial"/>
          <w:sz w:val="20"/>
          <w:szCs w:val="20"/>
        </w:rPr>
        <w:t xml:space="preserve">]; o </w:t>
      </w:r>
    </w:p>
    <w:p w:rsidR="00421257" w:rsidRPr="00AC4AEA" w:rsidRDefault="00421257" w:rsidP="00C01B25">
      <w:pPr>
        <w:pStyle w:val="Prrafodelista"/>
        <w:numPr>
          <w:ilvl w:val="0"/>
          <w:numId w:val="536"/>
        </w:numPr>
        <w:ind w:left="2127" w:hanging="284"/>
        <w:contextualSpacing w:val="0"/>
        <w:jc w:val="both"/>
        <w:rPr>
          <w:rFonts w:ascii="Arial" w:hAnsi="Arial" w:cs="Arial"/>
          <w:sz w:val="20"/>
          <w:szCs w:val="20"/>
        </w:rPr>
      </w:pPr>
      <w:r w:rsidRPr="00AC4AEA">
        <w:rPr>
          <w:rFonts w:ascii="Arial" w:hAnsi="Arial" w:cs="Arial"/>
          <w:sz w:val="20"/>
          <w:szCs w:val="20"/>
        </w:rPr>
        <w:t>en una entidad controlada de forma conjunta, en cuyo caso aplicará la sección “</w:t>
      </w:r>
      <w:r w:rsidR="00081276" w:rsidRPr="00AC4AEA">
        <w:rPr>
          <w:rFonts w:ascii="Arial" w:hAnsi="Arial" w:cs="Arial"/>
          <w:sz w:val="20"/>
          <w:szCs w:val="20"/>
          <w:u w:val="single" w:color="000000"/>
        </w:rPr>
        <w:t>Negocios</w:t>
      </w:r>
      <w:r w:rsidRPr="00AC4AEA">
        <w:rPr>
          <w:rFonts w:ascii="Arial" w:hAnsi="Arial" w:cs="Arial"/>
          <w:sz w:val="20"/>
          <w:szCs w:val="20"/>
          <w:u w:val="single" w:color="000000"/>
        </w:rPr>
        <w:t xml:space="preserve"> conjuntos</w:t>
      </w:r>
      <w:r w:rsidRPr="00AC4AEA">
        <w:rPr>
          <w:rFonts w:ascii="Arial" w:hAnsi="Arial" w:cs="Arial"/>
          <w:sz w:val="20"/>
          <w:szCs w:val="20"/>
        </w:rPr>
        <w:t xml:space="preserve">” [ver los párrafos </w:t>
      </w:r>
      <w:fldSimple w:instr=" REF _Ref135731852 \r \h  \* MERGEFORMAT ">
        <w:r w:rsidR="00D33A5D" w:rsidRPr="00D33A5D">
          <w:rPr>
            <w:rFonts w:ascii="Arial" w:hAnsi="Arial" w:cs="Arial"/>
            <w:sz w:val="20"/>
            <w:szCs w:val="20"/>
          </w:rPr>
          <w:t>808</w:t>
        </w:r>
      </w:fldSimple>
      <w:r w:rsidR="009D62EC" w:rsidRPr="00AC4AEA">
        <w:rPr>
          <w:rFonts w:ascii="Arial" w:hAnsi="Arial" w:cs="Arial"/>
          <w:sz w:val="20"/>
          <w:szCs w:val="20"/>
        </w:rPr>
        <w:t xml:space="preserve"> a </w:t>
      </w:r>
      <w:fldSimple w:instr=" REF _Ref132050765 \r \h  \* MERGEFORMAT ">
        <w:r w:rsidR="00D33A5D" w:rsidRPr="00D33A5D">
          <w:rPr>
            <w:rFonts w:ascii="Arial" w:hAnsi="Arial" w:cs="Arial"/>
            <w:sz w:val="20"/>
            <w:szCs w:val="20"/>
          </w:rPr>
          <w:t>823</w:t>
        </w:r>
      </w:fldSimple>
      <w:r w:rsidRPr="00AC4AEA">
        <w:rPr>
          <w:rFonts w:ascii="Arial" w:hAnsi="Arial" w:cs="Arial"/>
          <w:sz w:val="20"/>
          <w:szCs w:val="20"/>
        </w:rPr>
        <w:t>]</w:t>
      </w:r>
      <w:r w:rsidR="00081276" w:rsidRPr="00AC4AEA">
        <w:rPr>
          <w:rFonts w:ascii="Arial" w:hAnsi="Arial" w:cs="Arial"/>
          <w:sz w:val="20"/>
          <w:szCs w:val="20"/>
        </w:rPr>
        <w:t>.</w:t>
      </w:r>
      <w:r w:rsidRPr="00AC4AEA">
        <w:rPr>
          <w:rFonts w:ascii="Arial" w:hAnsi="Arial" w:cs="Arial"/>
          <w:sz w:val="20"/>
          <w:szCs w:val="20"/>
        </w:rPr>
        <w:t xml:space="preserve"> </w:t>
      </w:r>
    </w:p>
    <w:p w:rsidR="00421257" w:rsidRPr="00AC4AEA" w:rsidRDefault="00421257" w:rsidP="00A318EA">
      <w:pPr>
        <w:spacing w:after="150" w:line="256" w:lineRule="auto"/>
        <w:ind w:left="934"/>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098" w:name="_Toc139356980"/>
      <w:r w:rsidRPr="00AC4AEA">
        <w:lastRenderedPageBreak/>
        <w:t>Cambios en las participaciones no controladoras</w:t>
      </w:r>
      <w:bookmarkEnd w:id="1098"/>
      <w:r w:rsidR="006F2C57">
        <w:t xml:space="preserve"> </w:t>
      </w:r>
    </w:p>
    <w:tbl>
      <w:tblPr>
        <w:tblStyle w:val="Tablaconcuadrcula"/>
        <w:tblW w:w="0" w:type="auto"/>
        <w:tblLook w:val="04A0"/>
      </w:tblPr>
      <w:tblGrid>
        <w:gridCol w:w="8122"/>
      </w:tblGrid>
      <w:tr w:rsidR="00866126" w:rsidRPr="00AC4AEA" w:rsidTr="00492773">
        <w:tc>
          <w:tcPr>
            <w:tcW w:w="8122" w:type="dxa"/>
          </w:tcPr>
          <w:p w:rsidR="008206CE" w:rsidRPr="00AC4AEA" w:rsidRDefault="008206CE" w:rsidP="00492773">
            <w:pPr>
              <w:spacing w:after="147" w:line="264" w:lineRule="auto"/>
              <w:rPr>
                <w:rFonts w:ascii="Arial" w:hAnsi="Arial" w:cs="Arial"/>
                <w:color w:val="00B050"/>
                <w:sz w:val="20"/>
                <w:szCs w:val="20"/>
              </w:rPr>
            </w:pPr>
            <w:r w:rsidRPr="00AC4AEA">
              <w:rPr>
                <w:rFonts w:ascii="Arial" w:hAnsi="Arial" w:cs="Arial"/>
                <w:color w:val="00B050"/>
                <w:sz w:val="20"/>
                <w:szCs w:val="20"/>
              </w:rPr>
              <w:t>Aclaración (texto no integrante de la presente Resolución Técnica):</w:t>
            </w:r>
          </w:p>
        </w:tc>
      </w:tr>
      <w:tr w:rsidR="00866126" w:rsidRPr="00AC4AEA" w:rsidTr="00492773">
        <w:tc>
          <w:tcPr>
            <w:tcW w:w="8122" w:type="dxa"/>
          </w:tcPr>
          <w:p w:rsidR="008206CE" w:rsidRPr="00AC4AEA" w:rsidRDefault="008206CE" w:rsidP="00492773">
            <w:pPr>
              <w:spacing w:after="147" w:line="264" w:lineRule="auto"/>
              <w:rPr>
                <w:rFonts w:ascii="Arial" w:hAnsi="Arial" w:cs="Arial"/>
                <w:color w:val="00B050"/>
                <w:sz w:val="20"/>
                <w:szCs w:val="20"/>
              </w:rPr>
            </w:pPr>
            <w:r w:rsidRPr="00AC4AEA">
              <w:rPr>
                <w:rFonts w:ascii="Arial" w:hAnsi="Arial" w:cs="Arial"/>
                <w:color w:val="00B050"/>
                <w:sz w:val="20"/>
                <w:szCs w:val="20"/>
              </w:rPr>
              <w:t xml:space="preserve">En el párrafo </w:t>
            </w:r>
            <w:fldSimple w:instr=" REF _Ref135301523 \r \h  \* MERGEFORMAT ">
              <w:r w:rsidR="00D33A5D" w:rsidRPr="00D33A5D">
                <w:rPr>
                  <w:rFonts w:ascii="Arial" w:hAnsi="Arial" w:cs="Arial"/>
                  <w:color w:val="00B050"/>
                  <w:sz w:val="20"/>
                  <w:szCs w:val="20"/>
                </w:rPr>
                <w:t>804</w:t>
              </w:r>
            </w:fldSimple>
            <w:r w:rsidRPr="00AC4AEA">
              <w:rPr>
                <w:rFonts w:ascii="Arial" w:hAnsi="Arial" w:cs="Arial"/>
                <w:color w:val="00B050"/>
                <w:sz w:val="20"/>
                <w:szCs w:val="20"/>
              </w:rPr>
              <w:t>, expresiones tales como "la entidad ajustará" o "la entidad reconocerá" hacen referencia a las operaciones descriptas en el apartado "</w:t>
            </w:r>
            <w:r w:rsidRPr="00AC4AEA">
              <w:rPr>
                <w:rFonts w:ascii="Arial" w:hAnsi="Arial" w:cs="Arial"/>
                <w:color w:val="00B050"/>
                <w:sz w:val="20"/>
                <w:szCs w:val="20"/>
                <w:u w:val="single"/>
              </w:rPr>
              <w:t>Preparación de estados contables: operaciones fundamentales</w:t>
            </w:r>
            <w:r w:rsidRPr="00AC4AEA">
              <w:rPr>
                <w:rFonts w:ascii="Arial" w:hAnsi="Arial" w:cs="Arial"/>
                <w:color w:val="00B050"/>
                <w:sz w:val="20"/>
                <w:szCs w:val="20"/>
              </w:rPr>
              <w:t xml:space="preserve">" [ver los párrafos </w:t>
            </w:r>
            <w:fldSimple w:instr=" REF _Ref135301315 \r \h  \* MERGEFORMAT ">
              <w:r w:rsidR="00D33A5D" w:rsidRPr="00D33A5D">
                <w:rPr>
                  <w:rFonts w:ascii="Arial" w:hAnsi="Arial" w:cs="Arial"/>
                  <w:color w:val="00B050"/>
                  <w:sz w:val="20"/>
                  <w:szCs w:val="20"/>
                </w:rPr>
                <w:t>34</w:t>
              </w:r>
            </w:fldSimple>
            <w:r w:rsidRPr="00AC4AEA">
              <w:rPr>
                <w:rFonts w:ascii="Arial" w:hAnsi="Arial" w:cs="Arial"/>
                <w:color w:val="00B050"/>
                <w:sz w:val="20"/>
                <w:szCs w:val="20"/>
              </w:rPr>
              <w:t xml:space="preserve"> a </w:t>
            </w:r>
            <w:fldSimple w:instr=" REF _Ref99457811 \r \h  \* MERGEFORMAT ">
              <w:r w:rsidR="00D33A5D" w:rsidRPr="00D33A5D">
                <w:rPr>
                  <w:rFonts w:ascii="Arial" w:hAnsi="Arial" w:cs="Arial"/>
                  <w:color w:val="00B050"/>
                  <w:sz w:val="20"/>
                  <w:szCs w:val="20"/>
                </w:rPr>
                <w:t>70</w:t>
              </w:r>
            </w:fldSimple>
            <w:r w:rsidRPr="00AC4AEA">
              <w:rPr>
                <w:rFonts w:ascii="Arial" w:hAnsi="Arial" w:cs="Arial"/>
                <w:color w:val="00B050"/>
                <w:sz w:val="20"/>
                <w:szCs w:val="20"/>
              </w:rPr>
              <w:t xml:space="preserve">]. </w:t>
            </w:r>
            <w:r w:rsidR="00866126" w:rsidRPr="00AC4AEA">
              <w:rPr>
                <w:rFonts w:ascii="Arial" w:hAnsi="Arial" w:cs="Arial"/>
                <w:color w:val="00B050"/>
                <w:sz w:val="20"/>
                <w:szCs w:val="20"/>
              </w:rPr>
              <w:t>Las referidas</w:t>
            </w:r>
            <w:r w:rsidRPr="00AC4AEA">
              <w:rPr>
                <w:rFonts w:ascii="Arial" w:hAnsi="Arial" w:cs="Arial"/>
                <w:color w:val="00B050"/>
                <w:sz w:val="20"/>
                <w:szCs w:val="20"/>
              </w:rPr>
              <w:t xml:space="preserve"> expresiones no establecen la obligación de realizar "registros diarios" que afecten a la participación no controladora y deben ser entendidas bajo un estricto sentido contable.</w:t>
            </w:r>
          </w:p>
        </w:tc>
      </w:tr>
    </w:tbl>
    <w:p w:rsidR="008206CE" w:rsidRPr="00AC4AEA" w:rsidRDefault="008206CE" w:rsidP="008206CE">
      <w:pPr>
        <w:spacing w:after="147" w:line="264" w:lineRule="auto"/>
        <w:ind w:left="993"/>
        <w:jc w:val="both"/>
        <w:rPr>
          <w:rFonts w:ascii="Arial" w:hAnsi="Arial" w:cs="Arial"/>
          <w:sz w:val="20"/>
          <w:szCs w:val="20"/>
        </w:rPr>
      </w:pPr>
    </w:p>
    <w:p w:rsidR="00421257" w:rsidRPr="00AC4AEA" w:rsidRDefault="00421257" w:rsidP="000A0BD3">
      <w:pPr>
        <w:numPr>
          <w:ilvl w:val="0"/>
          <w:numId w:val="29"/>
        </w:numPr>
        <w:spacing w:after="147" w:line="264" w:lineRule="auto"/>
        <w:jc w:val="both"/>
        <w:rPr>
          <w:rFonts w:ascii="Arial" w:hAnsi="Arial" w:cs="Arial"/>
          <w:sz w:val="20"/>
          <w:szCs w:val="20"/>
        </w:rPr>
      </w:pPr>
      <w:bookmarkStart w:id="1099" w:name="_Ref135301523"/>
      <w:r w:rsidRPr="00AC4AEA">
        <w:rPr>
          <w:rFonts w:ascii="Arial" w:hAnsi="Arial" w:cs="Arial"/>
          <w:sz w:val="20"/>
          <w:szCs w:val="20"/>
        </w:rPr>
        <w:t xml:space="preserve">Cuando cambie la proporción del </w:t>
      </w:r>
      <w:r w:rsidRPr="00AC4AEA">
        <w:rPr>
          <w:rFonts w:ascii="Arial" w:hAnsi="Arial" w:cs="Arial"/>
          <w:b/>
          <w:bCs/>
          <w:sz w:val="20"/>
          <w:szCs w:val="20"/>
        </w:rPr>
        <w:t>patrimonio neto</w:t>
      </w:r>
      <w:r w:rsidRPr="00AC4AEA">
        <w:rPr>
          <w:rFonts w:ascii="Arial" w:hAnsi="Arial" w:cs="Arial"/>
          <w:sz w:val="20"/>
          <w:szCs w:val="20"/>
        </w:rPr>
        <w:t xml:space="preserve"> mantenida por las participaciones no controladoras</w:t>
      </w:r>
      <w:r w:rsidR="000B5F1C" w:rsidRPr="00AC4AEA">
        <w:rPr>
          <w:rFonts w:ascii="Arial" w:hAnsi="Arial" w:cs="Arial"/>
          <w:sz w:val="20"/>
          <w:szCs w:val="20"/>
        </w:rPr>
        <w:t xml:space="preserve"> como consecuencia de una transacción entre los propietarios</w:t>
      </w:r>
      <w:r w:rsidRPr="00AC4AEA">
        <w:rPr>
          <w:rFonts w:ascii="Arial" w:hAnsi="Arial" w:cs="Arial"/>
          <w:sz w:val="20"/>
          <w:szCs w:val="20"/>
        </w:rPr>
        <w:t>, una entidad controladora:</w:t>
      </w:r>
      <w:bookmarkEnd w:id="1099"/>
      <w:r w:rsidR="006F2C57">
        <w:rPr>
          <w:rFonts w:ascii="Arial" w:hAnsi="Arial" w:cs="Arial"/>
          <w:sz w:val="20"/>
          <w:szCs w:val="20"/>
        </w:rPr>
        <w:t xml:space="preserve"> </w:t>
      </w:r>
    </w:p>
    <w:p w:rsidR="00421257" w:rsidRPr="002D302A" w:rsidRDefault="00421257" w:rsidP="00C01B25">
      <w:pPr>
        <w:pStyle w:val="NUA-Nivel1"/>
        <w:numPr>
          <w:ilvl w:val="0"/>
          <w:numId w:val="577"/>
        </w:numPr>
        <w:ind w:left="1560" w:hanging="567"/>
      </w:pPr>
      <w:r w:rsidRPr="002D302A">
        <w:t xml:space="preserve">ajustará, en sus </w:t>
      </w:r>
      <w:r w:rsidRPr="002D302A">
        <w:rPr>
          <w:b/>
          <w:bCs/>
        </w:rPr>
        <w:t>estados contables consolidados</w:t>
      </w:r>
      <w:r w:rsidRPr="002D302A">
        <w:t>, los importes en libros de las participaciones controladoras y no controladoras para reflejar los cambios en sus participaciones relativas en la controlada; y</w:t>
      </w:r>
      <w:r w:rsidR="006F2C57">
        <w:t xml:space="preserve"> </w:t>
      </w:r>
    </w:p>
    <w:p w:rsidR="00421257" w:rsidRPr="00AC4AEA" w:rsidRDefault="00421257" w:rsidP="00C01B25">
      <w:pPr>
        <w:pStyle w:val="NUA-Nivel1"/>
        <w:numPr>
          <w:ilvl w:val="0"/>
          <w:numId w:val="577"/>
        </w:numPr>
        <w:ind w:left="1560" w:hanging="567"/>
      </w:pPr>
      <w:r w:rsidRPr="00AC4AEA">
        <w:t xml:space="preserve">reconocerá directamente en el </w:t>
      </w:r>
      <w:r w:rsidRPr="002D302A">
        <w:rPr>
          <w:b/>
          <w:bCs/>
        </w:rPr>
        <w:t>patrimonio neto</w:t>
      </w:r>
      <w:r w:rsidRPr="00AC4AEA">
        <w:t xml:space="preserve"> consolidado la diferencia entre el importe por el que se ajusten las participaciones no controladoras y el </w:t>
      </w:r>
      <w:r w:rsidRPr="00AC4AEA">
        <w:rPr>
          <w:b/>
          <w:bCs/>
        </w:rPr>
        <w:t>valor razonable</w:t>
      </w:r>
      <w:r w:rsidRPr="00AC4AEA">
        <w:t xml:space="preserve"> de la contraprestación pagada o recibida y atribuida a los propietarios de la controladora.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00" w:name="_Toc139356981"/>
      <w:r w:rsidRPr="00AC4AEA">
        <w:t>P</w:t>
      </w:r>
      <w:r w:rsidR="008206CE" w:rsidRPr="00AC4AEA">
        <w:t>resentación de las p</w:t>
      </w:r>
      <w:r w:rsidRPr="00AC4AEA">
        <w:t>articipaciones no controladoras</w:t>
      </w:r>
      <w:bookmarkEnd w:id="1100"/>
      <w:r w:rsidR="006F2C57">
        <w:t xml:space="preserve"> </w:t>
      </w:r>
    </w:p>
    <w:p w:rsidR="002E4154" w:rsidRPr="00AC4AEA" w:rsidRDefault="00421257" w:rsidP="000A0BD3">
      <w:pPr>
        <w:numPr>
          <w:ilvl w:val="0"/>
          <w:numId w:val="29"/>
        </w:numPr>
        <w:spacing w:after="147" w:line="264" w:lineRule="auto"/>
        <w:jc w:val="both"/>
        <w:rPr>
          <w:rFonts w:ascii="Arial" w:hAnsi="Arial" w:cs="Arial"/>
          <w:sz w:val="20"/>
          <w:szCs w:val="20"/>
        </w:rPr>
      </w:pPr>
      <w:bookmarkStart w:id="1101" w:name="_Ref135302735"/>
      <w:r w:rsidRPr="00AC4AEA">
        <w:rPr>
          <w:rFonts w:ascii="Arial" w:hAnsi="Arial" w:cs="Arial"/>
          <w:sz w:val="20"/>
          <w:szCs w:val="20"/>
        </w:rPr>
        <w:t>Una entidad controladora presentará</w:t>
      </w:r>
      <w:r w:rsidR="002E4154" w:rsidRPr="00AC4AEA">
        <w:rPr>
          <w:rFonts w:ascii="Arial" w:hAnsi="Arial" w:cs="Arial"/>
          <w:sz w:val="20"/>
          <w:szCs w:val="20"/>
        </w:rPr>
        <w:t>:</w:t>
      </w:r>
      <w:bookmarkEnd w:id="1101"/>
    </w:p>
    <w:p w:rsidR="002E4154" w:rsidRPr="00AC4AEA" w:rsidRDefault="002E4154" w:rsidP="00C01B25">
      <w:pPr>
        <w:pStyle w:val="NUA-Nivel1"/>
        <w:numPr>
          <w:ilvl w:val="0"/>
          <w:numId w:val="578"/>
        </w:numPr>
        <w:ind w:left="1560" w:hanging="567"/>
      </w:pPr>
      <w:r w:rsidRPr="00AC4AEA">
        <w:t xml:space="preserve">El total del </w:t>
      </w:r>
      <w:r w:rsidRPr="00AC4AEA">
        <w:rPr>
          <w:b/>
          <w:bCs/>
        </w:rPr>
        <w:t>patrimonio neto</w:t>
      </w:r>
      <w:r w:rsidRPr="00AC4AEA">
        <w:t>, desagregando su importe entre la porción correspondiente a:</w:t>
      </w:r>
    </w:p>
    <w:p w:rsidR="002E4154" w:rsidRPr="00AC4AEA" w:rsidRDefault="002E4154" w:rsidP="000A0BD3">
      <w:pPr>
        <w:pStyle w:val="NUA-Nivel1"/>
        <w:numPr>
          <w:ilvl w:val="2"/>
          <w:numId w:val="29"/>
        </w:numPr>
        <w:ind w:left="1985" w:hanging="284"/>
      </w:pPr>
      <w:r w:rsidRPr="00AC4AEA">
        <w:t>los propietarios de la controladora; y</w:t>
      </w:r>
    </w:p>
    <w:p w:rsidR="00421257" w:rsidRPr="00AC4AEA" w:rsidRDefault="00421257" w:rsidP="000A0BD3">
      <w:pPr>
        <w:pStyle w:val="NUA-Nivel1"/>
        <w:numPr>
          <w:ilvl w:val="2"/>
          <w:numId w:val="29"/>
        </w:numPr>
        <w:ind w:left="1985" w:hanging="284"/>
      </w:pPr>
      <w:r w:rsidRPr="00AC4AEA">
        <w:t xml:space="preserve">las participaciones no controladoras. </w:t>
      </w:r>
    </w:p>
    <w:p w:rsidR="00421257" w:rsidRPr="00AC4AEA" w:rsidRDefault="002E4154" w:rsidP="00C01B25">
      <w:pPr>
        <w:pStyle w:val="NUA-Nivel1"/>
        <w:numPr>
          <w:ilvl w:val="0"/>
          <w:numId w:val="578"/>
        </w:numPr>
        <w:ind w:left="1560" w:hanging="567"/>
      </w:pPr>
      <w:r w:rsidRPr="00AC4AEA">
        <w:t xml:space="preserve">El </w:t>
      </w:r>
      <w:r w:rsidRPr="00AC4AEA">
        <w:rPr>
          <w:b/>
          <w:bCs/>
        </w:rPr>
        <w:t>resultado</w:t>
      </w:r>
      <w:r w:rsidRPr="00AC4AEA">
        <w:t xml:space="preserve"> del ejercicio, desagregando su importe entre la porción correspondiente a:</w:t>
      </w:r>
    </w:p>
    <w:p w:rsidR="002E4154" w:rsidRPr="00AC4AEA" w:rsidRDefault="002E4154" w:rsidP="00C01B25">
      <w:pPr>
        <w:pStyle w:val="NUA-Nivel1"/>
        <w:numPr>
          <w:ilvl w:val="0"/>
          <w:numId w:val="629"/>
        </w:numPr>
        <w:ind w:hanging="247"/>
      </w:pPr>
      <w:r w:rsidRPr="00AC4AEA">
        <w:t>los propietarios de la controladora; y</w:t>
      </w:r>
    </w:p>
    <w:p w:rsidR="00421257" w:rsidRPr="00AC4AEA" w:rsidRDefault="002E4154" w:rsidP="00C01B25">
      <w:pPr>
        <w:pStyle w:val="NUA-Nivel1"/>
        <w:numPr>
          <w:ilvl w:val="0"/>
          <w:numId w:val="629"/>
        </w:numPr>
        <w:ind w:hanging="247"/>
      </w:pPr>
      <w:r w:rsidRPr="00AC4AEA">
        <w:t xml:space="preserve">las participaciones </w:t>
      </w:r>
      <w:r w:rsidR="00AB58F8" w:rsidRPr="00AC4AEA">
        <w:t>no controladoras.</w:t>
      </w:r>
    </w:p>
    <w:p w:rsidR="00421257" w:rsidRPr="00AC4AEA" w:rsidRDefault="00421257" w:rsidP="00A318EA">
      <w:pPr>
        <w:spacing w:after="150" w:line="256" w:lineRule="auto"/>
        <w:rPr>
          <w:rFonts w:ascii="Arial" w:hAnsi="Arial" w:cs="Arial"/>
          <w:sz w:val="20"/>
          <w:szCs w:val="20"/>
        </w:rPr>
      </w:pPr>
    </w:p>
    <w:p w:rsidR="00421257" w:rsidRPr="00AC4AEA" w:rsidRDefault="00421257" w:rsidP="00A318EA">
      <w:pPr>
        <w:pStyle w:val="Ttulo2"/>
        <w:rPr>
          <w:rFonts w:cs="Arial"/>
        </w:rPr>
      </w:pPr>
      <w:bookmarkStart w:id="1102" w:name="_Toc139356982"/>
      <w:r w:rsidRPr="00AC4AEA">
        <w:rPr>
          <w:rFonts w:cs="Arial"/>
        </w:rPr>
        <w:t>Revelación en notas</w:t>
      </w:r>
      <w:bookmarkEnd w:id="1102"/>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bookmarkStart w:id="1103" w:name="_Ref135731820"/>
      <w:r w:rsidRPr="00AC4AEA">
        <w:rPr>
          <w:rFonts w:ascii="Arial" w:hAnsi="Arial" w:cs="Arial"/>
          <w:sz w:val="20"/>
          <w:szCs w:val="20"/>
        </w:rPr>
        <w:t xml:space="preserve">Una entidad controladora revelará, en sus </w:t>
      </w:r>
      <w:r w:rsidRPr="00AC4AEA">
        <w:rPr>
          <w:rFonts w:ascii="Arial" w:hAnsi="Arial" w:cs="Arial"/>
          <w:b/>
          <w:bCs/>
          <w:sz w:val="20"/>
          <w:szCs w:val="20"/>
        </w:rPr>
        <w:t>estados contables consolidados</w:t>
      </w:r>
      <w:r w:rsidRPr="00AC4AEA">
        <w:rPr>
          <w:rFonts w:ascii="Arial" w:hAnsi="Arial" w:cs="Arial"/>
          <w:sz w:val="20"/>
          <w:szCs w:val="20"/>
        </w:rPr>
        <w:t>, la siguiente información:</w:t>
      </w:r>
      <w:bookmarkEnd w:id="1103"/>
      <w:r w:rsidRPr="00AC4AEA">
        <w:rPr>
          <w:rFonts w:ascii="Arial" w:hAnsi="Arial" w:cs="Arial"/>
          <w:sz w:val="20"/>
          <w:szCs w:val="20"/>
        </w:rPr>
        <w:t xml:space="preserve"> </w:t>
      </w:r>
    </w:p>
    <w:p w:rsidR="00421257" w:rsidRPr="00AC4AEA" w:rsidRDefault="00421257" w:rsidP="00C01B25">
      <w:pPr>
        <w:pStyle w:val="NUA-Nivel1"/>
        <w:numPr>
          <w:ilvl w:val="0"/>
          <w:numId w:val="579"/>
        </w:numPr>
        <w:ind w:left="1560" w:hanging="567"/>
      </w:pPr>
      <w:r w:rsidRPr="00AC4AEA">
        <w:t xml:space="preserve">los juicios y supuestos significativos realizados (y cambios en esos juicios y supuestos) para determinar si tiene control (o no) sobre otra entidad; </w:t>
      </w:r>
    </w:p>
    <w:p w:rsidR="00421257" w:rsidRPr="00AC4AEA" w:rsidRDefault="00421257" w:rsidP="00C01B25">
      <w:pPr>
        <w:pStyle w:val="NUA-Nivel1"/>
        <w:numPr>
          <w:ilvl w:val="0"/>
          <w:numId w:val="579"/>
        </w:numPr>
        <w:ind w:left="1560" w:hanging="567"/>
      </w:pPr>
      <w:r w:rsidRPr="00AC4AEA">
        <w:lastRenderedPageBreak/>
        <w:t>la composición del grupo</w:t>
      </w:r>
      <w:r w:rsidR="00B96254" w:rsidRPr="00AC4AEA">
        <w:t>, incluyendo, de corresponder, la participación mantenida por la entidad controladora en el capital de una controlada (subsidiara)</w:t>
      </w:r>
      <w:r w:rsidRPr="00AC4AEA">
        <w:t xml:space="preserve">; </w:t>
      </w:r>
    </w:p>
    <w:p w:rsidR="00421257" w:rsidRPr="00AC4AEA" w:rsidRDefault="00421257" w:rsidP="00C01B25">
      <w:pPr>
        <w:pStyle w:val="NUA-Nivel1"/>
        <w:numPr>
          <w:ilvl w:val="0"/>
          <w:numId w:val="579"/>
        </w:numPr>
        <w:ind w:left="1560" w:hanging="567"/>
      </w:pPr>
      <w:r w:rsidRPr="00AC4AEA">
        <w:t xml:space="preserve">la naturaleza y alcance de restricciones significativas sobre su capacidad para acceder o utilizar activos, y liquidar pasivos, del grupo; </w:t>
      </w:r>
    </w:p>
    <w:p w:rsidR="00421257" w:rsidRPr="00AC4AEA" w:rsidRDefault="00421257" w:rsidP="00C01B25">
      <w:pPr>
        <w:pStyle w:val="NUA-Nivel1"/>
        <w:numPr>
          <w:ilvl w:val="0"/>
          <w:numId w:val="579"/>
        </w:numPr>
        <w:ind w:left="1560" w:hanging="567"/>
      </w:pPr>
      <w:r w:rsidRPr="00AC4AEA">
        <w:t xml:space="preserve">la naturaleza de los riesgos asociados con su participación en entidades a la que controla en virtud de derechos distintos de los de voto; </w:t>
      </w:r>
    </w:p>
    <w:p w:rsidR="00421257" w:rsidRPr="00AC4AEA" w:rsidRDefault="00421257" w:rsidP="00C01B25">
      <w:pPr>
        <w:pStyle w:val="NUA-Nivel1"/>
        <w:numPr>
          <w:ilvl w:val="0"/>
          <w:numId w:val="579"/>
        </w:numPr>
        <w:ind w:left="1560" w:hanging="567"/>
      </w:pPr>
      <w:r w:rsidRPr="00AC4AEA">
        <w:t xml:space="preserve">las consecuencias de cambios en su participación en la propiedad de una controlada (subsidiaria) que no dan lugar a una pérdida del control; </w:t>
      </w:r>
      <w:r w:rsidR="00B96254" w:rsidRPr="00AC4AEA">
        <w:t>y</w:t>
      </w:r>
    </w:p>
    <w:p w:rsidR="00421257" w:rsidRPr="00AC4AEA" w:rsidRDefault="00421257" w:rsidP="00C01B25">
      <w:pPr>
        <w:pStyle w:val="NUA-Nivel1"/>
        <w:numPr>
          <w:ilvl w:val="0"/>
          <w:numId w:val="579"/>
        </w:numPr>
        <w:ind w:left="1560" w:hanging="567"/>
      </w:pPr>
      <w:r w:rsidRPr="00AC4AEA">
        <w:t xml:space="preserve">las consecuencias de la pérdida de control de una controlada (subsidiaria) durante el periodo actual. </w:t>
      </w:r>
    </w:p>
    <w:p w:rsidR="00421257" w:rsidRPr="00AC4AEA" w:rsidRDefault="00421257" w:rsidP="00D95499">
      <w:pPr>
        <w:spacing w:after="150" w:line="256" w:lineRule="auto"/>
        <w:rPr>
          <w:rFonts w:ascii="Arial" w:hAnsi="Arial" w:cs="Arial"/>
          <w:b/>
          <w:bCs/>
          <w:sz w:val="20"/>
          <w:szCs w:val="20"/>
        </w:rPr>
      </w:pPr>
      <w:r w:rsidRPr="00AC4AEA">
        <w:rPr>
          <w:rFonts w:ascii="Arial" w:hAnsi="Arial" w:cs="Arial"/>
          <w:sz w:val="20"/>
          <w:szCs w:val="20"/>
        </w:rPr>
        <w:t xml:space="preserve">   </w:t>
      </w:r>
    </w:p>
    <w:p w:rsidR="00421257" w:rsidRPr="00AC4AEA" w:rsidRDefault="00421257" w:rsidP="00A318EA">
      <w:pPr>
        <w:pStyle w:val="Ttulo1"/>
        <w:rPr>
          <w:rFonts w:cs="Arial"/>
          <w:sz w:val="20"/>
          <w:szCs w:val="20"/>
        </w:rPr>
      </w:pPr>
    </w:p>
    <w:p w:rsidR="007B56D7" w:rsidRDefault="007B56D7">
      <w:pPr>
        <w:spacing w:after="120" w:line="312" w:lineRule="auto"/>
        <w:ind w:left="1559" w:hanging="567"/>
        <w:jc w:val="both"/>
        <w:rPr>
          <w:rFonts w:ascii="Arial" w:hAnsi="Arial" w:cs="Arial"/>
          <w:b/>
          <w:caps/>
          <w:kern w:val="28"/>
          <w:sz w:val="20"/>
          <w:szCs w:val="20"/>
          <w:lang w:val="es-ES"/>
        </w:rPr>
      </w:pPr>
      <w:r>
        <w:rPr>
          <w:rFonts w:cs="Arial"/>
          <w:sz w:val="20"/>
          <w:szCs w:val="20"/>
        </w:rPr>
        <w:br w:type="page"/>
      </w:r>
    </w:p>
    <w:p w:rsidR="00421257" w:rsidRPr="00AC4AEA" w:rsidRDefault="00421257" w:rsidP="00A318EA">
      <w:pPr>
        <w:pStyle w:val="Ttulo1"/>
        <w:rPr>
          <w:rFonts w:cs="Arial"/>
          <w:sz w:val="20"/>
          <w:szCs w:val="20"/>
        </w:rPr>
      </w:pPr>
      <w:bookmarkStart w:id="1104" w:name="_Toc139356983"/>
      <w:r w:rsidRPr="00AC4AEA">
        <w:rPr>
          <w:rFonts w:cs="Arial"/>
          <w:sz w:val="20"/>
          <w:szCs w:val="20"/>
        </w:rPr>
        <w:lastRenderedPageBreak/>
        <w:t>CAPÍTULO 8</w:t>
      </w:r>
      <w:bookmarkEnd w:id="1104"/>
      <w:r w:rsidRPr="00AC4AEA">
        <w:rPr>
          <w:rFonts w:cs="Arial"/>
          <w:sz w:val="20"/>
          <w:szCs w:val="20"/>
        </w:rPr>
        <w:t xml:space="preserve"> </w:t>
      </w:r>
    </w:p>
    <w:p w:rsidR="00421257" w:rsidRPr="00AC4AEA" w:rsidRDefault="00421257" w:rsidP="00A318EA">
      <w:pPr>
        <w:pStyle w:val="Ttulo1"/>
        <w:rPr>
          <w:rFonts w:cs="Arial"/>
          <w:sz w:val="20"/>
          <w:szCs w:val="20"/>
        </w:rPr>
      </w:pPr>
      <w:bookmarkStart w:id="1105" w:name="_Toc139356984"/>
      <w:r w:rsidRPr="00AC4AEA">
        <w:rPr>
          <w:rFonts w:cs="Arial"/>
          <w:sz w:val="20"/>
          <w:szCs w:val="20"/>
        </w:rPr>
        <w:t>RECONOCIMIENTO Y MEDICIÓN DE PARTIDAS PARTICULARES</w:t>
      </w:r>
      <w:bookmarkEnd w:id="1105"/>
      <w:r w:rsidRPr="00AC4AEA">
        <w:rPr>
          <w:rFonts w:cs="Arial"/>
          <w:sz w:val="20"/>
          <w:szCs w:val="20"/>
        </w:rPr>
        <w:t xml:space="preserve"> </w:t>
      </w:r>
    </w:p>
    <w:p w:rsidR="0059338B" w:rsidRPr="00AC4AEA" w:rsidRDefault="0059338B" w:rsidP="00A318EA">
      <w:pPr>
        <w:pStyle w:val="Ttulo1"/>
        <w:rPr>
          <w:rFonts w:cs="Arial"/>
          <w:sz w:val="20"/>
          <w:szCs w:val="20"/>
        </w:rPr>
      </w:pPr>
    </w:p>
    <w:p w:rsidR="00421257" w:rsidRPr="00AC4AEA" w:rsidRDefault="00421257" w:rsidP="00A318EA">
      <w:pPr>
        <w:pStyle w:val="Ttulo1"/>
        <w:rPr>
          <w:rFonts w:cs="Arial"/>
          <w:sz w:val="20"/>
          <w:szCs w:val="20"/>
        </w:rPr>
      </w:pPr>
      <w:bookmarkStart w:id="1106" w:name="_Toc139356985"/>
      <w:r w:rsidRPr="00AC4AEA">
        <w:rPr>
          <w:rFonts w:cs="Arial"/>
          <w:sz w:val="20"/>
          <w:szCs w:val="20"/>
        </w:rPr>
        <w:t>INTRODUCCIÓN AL PRESENTE CAPÍTULO</w:t>
      </w:r>
      <w:bookmarkEnd w:id="1106"/>
      <w:r w:rsidR="006F2C57">
        <w:rPr>
          <w:rFonts w:cs="Arial"/>
          <w:sz w:val="20"/>
          <w:szCs w:val="20"/>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r w:rsidRPr="00AC4AEA">
        <w:rPr>
          <w:rFonts w:ascii="Arial" w:hAnsi="Arial" w:cs="Arial"/>
          <w:sz w:val="20"/>
          <w:szCs w:val="20"/>
        </w:rPr>
        <w:t xml:space="preserve">En este capítulo se describen: </w:t>
      </w:r>
    </w:p>
    <w:p w:rsidR="008423EC" w:rsidRPr="00AC4AEA" w:rsidRDefault="00AB4EEF" w:rsidP="00C01B25">
      <w:pPr>
        <w:pStyle w:val="NUA-Nivel1"/>
        <w:numPr>
          <w:ilvl w:val="0"/>
          <w:numId w:val="580"/>
        </w:numPr>
        <w:ind w:left="1559" w:hanging="567"/>
      </w:pPr>
      <w:r w:rsidRPr="00AC4AEA">
        <w:t>L</w:t>
      </w:r>
      <w:r w:rsidR="00421257" w:rsidRPr="00AC4AEA">
        <w:t>os criterios que una entidad utilizará para</w:t>
      </w:r>
      <w:r w:rsidR="008423EC" w:rsidRPr="00AC4AEA">
        <w:t>:</w:t>
      </w:r>
      <w:r w:rsidR="00421257" w:rsidRPr="00AC4AEA">
        <w:t xml:space="preserve"> </w:t>
      </w:r>
    </w:p>
    <w:p w:rsidR="008423EC" w:rsidRPr="00AC4AEA" w:rsidRDefault="008423EC" w:rsidP="000A0BD3">
      <w:pPr>
        <w:pStyle w:val="NUA-Nivel1"/>
        <w:numPr>
          <w:ilvl w:val="2"/>
          <w:numId w:val="29"/>
        </w:numPr>
        <w:ind w:left="1985"/>
      </w:pPr>
      <w:r w:rsidRPr="00AC4AEA">
        <w:t xml:space="preserve">Identificar </w:t>
      </w:r>
      <w:r w:rsidR="008306C1" w:rsidRPr="00AC4AEA">
        <w:t>si es parte de</w:t>
      </w:r>
      <w:r w:rsidR="00421257" w:rsidRPr="00AC4AEA">
        <w:t xml:space="preserve"> un </w:t>
      </w:r>
      <w:r w:rsidR="0098440E" w:rsidRPr="00AC4AEA">
        <w:t>negocio conjunto</w:t>
      </w:r>
      <w:r w:rsidRPr="00AC4AEA">
        <w:t>.</w:t>
      </w:r>
      <w:r w:rsidR="00421257" w:rsidRPr="00AC4AEA">
        <w:t xml:space="preserve"> </w:t>
      </w:r>
    </w:p>
    <w:p w:rsidR="00421257" w:rsidRPr="00AC4AEA" w:rsidRDefault="008423EC" w:rsidP="000A0BD3">
      <w:pPr>
        <w:pStyle w:val="NUA-Nivel1"/>
        <w:numPr>
          <w:ilvl w:val="2"/>
          <w:numId w:val="29"/>
        </w:numPr>
        <w:ind w:left="1985"/>
      </w:pPr>
      <w:r w:rsidRPr="00AC4AEA">
        <w:t xml:space="preserve">Clasificar a un negocio conjunto </w:t>
      </w:r>
      <w:r w:rsidR="00421257" w:rsidRPr="00AC4AEA">
        <w:t xml:space="preserve">como </w:t>
      </w:r>
      <w:r w:rsidR="0098440E" w:rsidRPr="00AC4AEA">
        <w:t>negocio conjunto no societario</w:t>
      </w:r>
      <w:r w:rsidR="00421257" w:rsidRPr="00AC4AEA">
        <w:t>,</w:t>
      </w:r>
      <w:r w:rsidRPr="00AC4AEA">
        <w:t xml:space="preserve"> o negocio conjunto societarios</w:t>
      </w:r>
      <w:r w:rsidR="00421257" w:rsidRPr="00AC4AEA">
        <w:t>, y su tratamiento contable</w:t>
      </w:r>
      <w:r w:rsidRPr="00AC4AEA">
        <w:t xml:space="preserve"> para cada caso.</w:t>
      </w:r>
      <w:r w:rsidR="00421257" w:rsidRPr="00AC4AEA">
        <w:t xml:space="preserve"> </w:t>
      </w:r>
    </w:p>
    <w:p w:rsidR="00421257" w:rsidRPr="00AC4AEA" w:rsidRDefault="00AB4EEF" w:rsidP="00C01B25">
      <w:pPr>
        <w:pStyle w:val="NUA-Nivel1"/>
        <w:numPr>
          <w:ilvl w:val="0"/>
          <w:numId w:val="580"/>
        </w:numPr>
        <w:ind w:left="1559" w:hanging="567"/>
      </w:pPr>
      <w:r w:rsidRPr="00AC4AEA">
        <w:t>L</w:t>
      </w:r>
      <w:r w:rsidR="00421257" w:rsidRPr="00AC4AEA">
        <w:t xml:space="preserve">as participaciones en otras entidades que: </w:t>
      </w:r>
    </w:p>
    <w:p w:rsidR="00421257" w:rsidRPr="00AC4AEA" w:rsidRDefault="00421257" w:rsidP="00C01B25">
      <w:pPr>
        <w:pStyle w:val="Prrafodelista"/>
        <w:numPr>
          <w:ilvl w:val="0"/>
          <w:numId w:val="539"/>
        </w:numPr>
        <w:ind w:left="1985" w:hanging="142"/>
        <w:contextualSpacing w:val="0"/>
        <w:jc w:val="both"/>
        <w:rPr>
          <w:rFonts w:ascii="Arial" w:hAnsi="Arial" w:cs="Arial"/>
          <w:sz w:val="20"/>
          <w:szCs w:val="20"/>
        </w:rPr>
      </w:pPr>
      <w:r w:rsidRPr="00AC4AEA">
        <w:rPr>
          <w:rFonts w:ascii="Arial" w:hAnsi="Arial" w:cs="Arial"/>
          <w:sz w:val="20"/>
          <w:szCs w:val="20"/>
        </w:rPr>
        <w:t xml:space="preserve">la entidad medirá utilizando el método del </w:t>
      </w:r>
      <w:r w:rsidRPr="00050219">
        <w:rPr>
          <w:rFonts w:ascii="Arial" w:hAnsi="Arial" w:cs="Arial"/>
          <w:b/>
          <w:bCs/>
          <w:sz w:val="20"/>
          <w:szCs w:val="20"/>
        </w:rPr>
        <w:t>valor patrimonial proporcional</w:t>
      </w:r>
      <w:r w:rsidRPr="00AC4AEA">
        <w:rPr>
          <w:rFonts w:ascii="Arial" w:hAnsi="Arial" w:cs="Arial"/>
          <w:sz w:val="20"/>
          <w:szCs w:val="20"/>
        </w:rPr>
        <w:t xml:space="preserve">; y </w:t>
      </w:r>
    </w:p>
    <w:p w:rsidR="00421257" w:rsidRPr="00AC4AEA" w:rsidRDefault="00421257" w:rsidP="00C01B25">
      <w:pPr>
        <w:pStyle w:val="Prrafodelista"/>
        <w:numPr>
          <w:ilvl w:val="0"/>
          <w:numId w:val="539"/>
        </w:numPr>
        <w:ind w:left="1985" w:hanging="142"/>
        <w:contextualSpacing w:val="0"/>
        <w:jc w:val="both"/>
        <w:rPr>
          <w:rFonts w:ascii="Arial" w:hAnsi="Arial" w:cs="Arial"/>
          <w:sz w:val="20"/>
          <w:szCs w:val="20"/>
        </w:rPr>
      </w:pPr>
      <w:r w:rsidRPr="00AC4AEA">
        <w:rPr>
          <w:rFonts w:ascii="Arial" w:hAnsi="Arial" w:cs="Arial"/>
          <w:sz w:val="20"/>
          <w:szCs w:val="20"/>
        </w:rPr>
        <w:t xml:space="preserve">el procedimiento para aplicar el método del </w:t>
      </w:r>
      <w:r w:rsidRPr="00050219">
        <w:rPr>
          <w:rFonts w:ascii="Arial" w:hAnsi="Arial" w:cs="Arial"/>
          <w:b/>
          <w:bCs/>
          <w:sz w:val="20"/>
          <w:szCs w:val="20"/>
        </w:rPr>
        <w:t>valor patrimonial proporcional</w:t>
      </w:r>
      <w:r w:rsidR="00AB4EEF" w:rsidRPr="00AC4AEA">
        <w:rPr>
          <w:rFonts w:ascii="Arial" w:hAnsi="Arial" w:cs="Arial"/>
          <w:sz w:val="20"/>
          <w:szCs w:val="20"/>
        </w:rPr>
        <w:t>.</w:t>
      </w:r>
      <w:r w:rsidRPr="00AC4AEA">
        <w:rPr>
          <w:rFonts w:ascii="Arial" w:hAnsi="Arial" w:cs="Arial"/>
          <w:sz w:val="20"/>
          <w:szCs w:val="20"/>
        </w:rPr>
        <w:t xml:space="preserve"> </w:t>
      </w:r>
    </w:p>
    <w:p w:rsidR="00421257" w:rsidRPr="00AC4AEA" w:rsidRDefault="00AB4EEF" w:rsidP="00C01B25">
      <w:pPr>
        <w:pStyle w:val="NUA-Nivel1"/>
        <w:numPr>
          <w:ilvl w:val="0"/>
          <w:numId w:val="580"/>
        </w:numPr>
        <w:ind w:left="1559" w:hanging="567"/>
      </w:pPr>
      <w:r w:rsidRPr="00AC4AEA">
        <w:t>L</w:t>
      </w:r>
      <w:r w:rsidR="00421257" w:rsidRPr="00AC4AEA">
        <w:t xml:space="preserve">os criterios para reconocer y medir beneficios a los empleados posteriores a la terminación de la relación laboral y otros beneficios a largo plazo. </w:t>
      </w:r>
    </w:p>
    <w:p w:rsidR="0059338B" w:rsidRPr="00AC4AEA" w:rsidRDefault="0059338B" w:rsidP="00A318EA">
      <w:pPr>
        <w:pStyle w:val="Ttulo1"/>
        <w:rPr>
          <w:rFonts w:cs="Arial"/>
          <w:caps w:val="0"/>
          <w:sz w:val="20"/>
          <w:szCs w:val="20"/>
        </w:rPr>
      </w:pPr>
    </w:p>
    <w:p w:rsidR="00421257" w:rsidRPr="00AC4AEA" w:rsidRDefault="00D91504" w:rsidP="00A318EA">
      <w:pPr>
        <w:pStyle w:val="Ttulo1"/>
        <w:rPr>
          <w:rFonts w:cs="Arial"/>
          <w:sz w:val="20"/>
          <w:szCs w:val="20"/>
        </w:rPr>
      </w:pPr>
      <w:bookmarkStart w:id="1107" w:name="_Toc139356986"/>
      <w:r w:rsidRPr="00AC4AEA">
        <w:rPr>
          <w:rFonts w:cs="Arial"/>
          <w:caps w:val="0"/>
          <w:sz w:val="20"/>
          <w:szCs w:val="20"/>
        </w:rPr>
        <w:t>NEGOCIOS CONJUNTOS</w:t>
      </w:r>
      <w:bookmarkEnd w:id="1107"/>
    </w:p>
    <w:p w:rsidR="00421257" w:rsidRPr="00AC4AEA" w:rsidRDefault="00421257" w:rsidP="00A318EA">
      <w:pPr>
        <w:pStyle w:val="Ttulo2"/>
        <w:rPr>
          <w:rFonts w:cs="Arial"/>
        </w:rPr>
      </w:pPr>
      <w:bookmarkStart w:id="1108" w:name="_Toc139356987"/>
      <w:r w:rsidRPr="00AC4AEA">
        <w:rPr>
          <w:rFonts w:cs="Arial"/>
        </w:rPr>
        <w:t>Objetivo</w:t>
      </w:r>
      <w:bookmarkEnd w:id="1108"/>
      <w:r w:rsidR="006F2C57">
        <w:rPr>
          <w:rFonts w:cs="Arial"/>
        </w:rPr>
        <w:t xml:space="preserve"> </w:t>
      </w:r>
    </w:p>
    <w:p w:rsidR="000D172D"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bookmarkStart w:id="1109" w:name="_Ref135731852"/>
      <w:r w:rsidRPr="00AC4AEA">
        <w:rPr>
          <w:rFonts w:ascii="Arial" w:hAnsi="Arial" w:cs="Arial"/>
          <w:sz w:val="20"/>
          <w:szCs w:val="20"/>
        </w:rPr>
        <w:t xml:space="preserve">El objetivo de esta sección es prescribir los criterios que una entidad empleará para identificar si es parte de un </w:t>
      </w:r>
      <w:r w:rsidR="0098440E" w:rsidRPr="00AC4AEA">
        <w:rPr>
          <w:rFonts w:ascii="Arial" w:hAnsi="Arial" w:cs="Arial"/>
          <w:sz w:val="20"/>
          <w:szCs w:val="20"/>
        </w:rPr>
        <w:t>negocio</w:t>
      </w:r>
      <w:r w:rsidRPr="00AC4AEA">
        <w:rPr>
          <w:rFonts w:ascii="Arial" w:hAnsi="Arial" w:cs="Arial"/>
          <w:sz w:val="20"/>
          <w:szCs w:val="20"/>
        </w:rPr>
        <w:t xml:space="preserve"> conjunto y su tratamiento contable.</w:t>
      </w:r>
      <w:bookmarkEnd w:id="1109"/>
      <w:r w:rsidRPr="00AC4AEA">
        <w:rPr>
          <w:rFonts w:ascii="Arial" w:hAnsi="Arial" w:cs="Arial"/>
          <w:sz w:val="20"/>
          <w:szCs w:val="20"/>
        </w:rPr>
        <w:t xml:space="preserve"> </w:t>
      </w:r>
    </w:p>
    <w:p w:rsidR="00030154"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r w:rsidRPr="00AC4AEA">
        <w:rPr>
          <w:rFonts w:ascii="Arial" w:hAnsi="Arial" w:cs="Arial"/>
          <w:sz w:val="20"/>
          <w:szCs w:val="20"/>
        </w:rPr>
        <w:t>Los requerimientos establecidos en esta sección</w:t>
      </w:r>
      <w:r w:rsidR="00030154" w:rsidRPr="00AC4AEA">
        <w:rPr>
          <w:rFonts w:ascii="Arial" w:hAnsi="Arial" w:cs="Arial"/>
          <w:sz w:val="20"/>
          <w:szCs w:val="20"/>
        </w:rPr>
        <w:t>:</w:t>
      </w:r>
      <w:r w:rsidRPr="00AC4AEA">
        <w:rPr>
          <w:rFonts w:ascii="Arial" w:hAnsi="Arial" w:cs="Arial"/>
          <w:sz w:val="20"/>
          <w:szCs w:val="20"/>
        </w:rPr>
        <w:t xml:space="preserve"> </w:t>
      </w:r>
    </w:p>
    <w:p w:rsidR="000D172D" w:rsidRPr="00AC4AEA" w:rsidRDefault="00030154" w:rsidP="00030154">
      <w:pPr>
        <w:numPr>
          <w:ilvl w:val="1"/>
          <w:numId w:val="29"/>
        </w:numPr>
        <w:spacing w:after="147" w:line="264" w:lineRule="auto"/>
        <w:ind w:left="1560"/>
        <w:jc w:val="both"/>
        <w:rPr>
          <w:rFonts w:ascii="Arial" w:eastAsia="Times New Roman" w:hAnsi="Arial" w:cs="Arial"/>
          <w:sz w:val="20"/>
          <w:szCs w:val="20"/>
          <w:lang w:eastAsia="es-AR"/>
        </w:rPr>
      </w:pPr>
      <w:r w:rsidRPr="00AC4AEA">
        <w:rPr>
          <w:rFonts w:ascii="Arial" w:hAnsi="Arial" w:cs="Arial"/>
          <w:sz w:val="20"/>
          <w:szCs w:val="20"/>
        </w:rPr>
        <w:t>R</w:t>
      </w:r>
      <w:r w:rsidR="00421257" w:rsidRPr="00AC4AEA">
        <w:rPr>
          <w:rFonts w:ascii="Arial" w:hAnsi="Arial" w:cs="Arial"/>
          <w:sz w:val="20"/>
          <w:szCs w:val="20"/>
        </w:rPr>
        <w:t>esultan de aplicación a</w:t>
      </w:r>
      <w:r w:rsidR="000D172D" w:rsidRPr="00AC4AEA">
        <w:rPr>
          <w:rFonts w:ascii="Arial" w:hAnsi="Arial" w:cs="Arial"/>
          <w:sz w:val="20"/>
          <w:szCs w:val="20"/>
        </w:rPr>
        <w:t>:</w:t>
      </w:r>
      <w:r w:rsidR="00421257" w:rsidRPr="00AC4AEA">
        <w:rPr>
          <w:rFonts w:ascii="Arial" w:hAnsi="Arial" w:cs="Arial"/>
          <w:sz w:val="20"/>
          <w:szCs w:val="20"/>
        </w:rPr>
        <w:t xml:space="preserve"> </w:t>
      </w:r>
    </w:p>
    <w:p w:rsidR="000D172D" w:rsidRPr="00AC4AEA" w:rsidRDefault="000D172D" w:rsidP="00C01B25">
      <w:pPr>
        <w:pStyle w:val="NUA-Nivel1"/>
        <w:numPr>
          <w:ilvl w:val="0"/>
          <w:numId w:val="581"/>
        </w:numPr>
        <w:ind w:left="1843"/>
        <w:rPr>
          <w:rFonts w:eastAsia="Times New Roman"/>
          <w:lang w:eastAsia="es-AR"/>
        </w:rPr>
      </w:pPr>
      <w:r w:rsidRPr="00AC4AEA">
        <w:t>L</w:t>
      </w:r>
      <w:r w:rsidR="00421257" w:rsidRPr="00AC4AEA">
        <w:t xml:space="preserve">os </w:t>
      </w:r>
      <w:r w:rsidR="00421257" w:rsidRPr="00AC4AEA">
        <w:rPr>
          <w:b/>
          <w:bCs/>
        </w:rPr>
        <w:t>estados contables</w:t>
      </w:r>
      <w:r w:rsidR="00421257" w:rsidRPr="00AC4AEA">
        <w:t xml:space="preserve"> </w:t>
      </w:r>
      <w:r w:rsidR="00421257" w:rsidRPr="00AC4AEA">
        <w:rPr>
          <w:b/>
          <w:bCs/>
        </w:rPr>
        <w:t>consolidados</w:t>
      </w:r>
      <w:r w:rsidR="00421257" w:rsidRPr="00AC4AEA">
        <w:t xml:space="preserve"> o a los </w:t>
      </w:r>
      <w:r w:rsidR="00421257" w:rsidRPr="00AC4AEA">
        <w:rPr>
          <w:b/>
          <w:bCs/>
        </w:rPr>
        <w:t>estados contables separados</w:t>
      </w:r>
      <w:r w:rsidR="00421257" w:rsidRPr="00AC4AEA">
        <w:t>, si la entidad es una controladora</w:t>
      </w:r>
      <w:r w:rsidRPr="00AC4AEA">
        <w:t>.</w:t>
      </w:r>
      <w:r w:rsidR="00421257" w:rsidRPr="00AC4AEA">
        <w:t xml:space="preserve"> </w:t>
      </w:r>
    </w:p>
    <w:p w:rsidR="00030154" w:rsidRPr="00AC4AEA" w:rsidRDefault="000D172D" w:rsidP="00C01B25">
      <w:pPr>
        <w:pStyle w:val="NUA-Nivel1"/>
        <w:numPr>
          <w:ilvl w:val="0"/>
          <w:numId w:val="581"/>
        </w:numPr>
        <w:ind w:left="1843"/>
        <w:rPr>
          <w:rFonts w:eastAsia="Times New Roman"/>
          <w:lang w:eastAsia="es-AR"/>
        </w:rPr>
      </w:pPr>
      <w:r w:rsidRPr="00AC4AEA">
        <w:t>L</w:t>
      </w:r>
      <w:r w:rsidR="00421257" w:rsidRPr="00AC4AEA">
        <w:t xml:space="preserve">os </w:t>
      </w:r>
      <w:r w:rsidR="00421257" w:rsidRPr="00AC4AEA">
        <w:rPr>
          <w:b/>
          <w:bCs/>
        </w:rPr>
        <w:t>estados contables</w:t>
      </w:r>
      <w:r w:rsidR="00421257" w:rsidRPr="00AC4AEA">
        <w:t xml:space="preserve"> </w:t>
      </w:r>
      <w:r w:rsidR="00421257" w:rsidRPr="00AC4AEA">
        <w:rPr>
          <w:b/>
          <w:bCs/>
        </w:rPr>
        <w:t>individuales</w:t>
      </w:r>
      <w:r w:rsidR="00421257" w:rsidRPr="00AC4AEA">
        <w:t xml:space="preserve"> de una entidad que no es una controladora</w:t>
      </w:r>
      <w:r w:rsidR="00030154" w:rsidRPr="00AC4AEA">
        <w:t>.</w:t>
      </w:r>
    </w:p>
    <w:p w:rsidR="00030154" w:rsidRPr="00AC4AEA" w:rsidRDefault="00030154" w:rsidP="00030154">
      <w:pPr>
        <w:pStyle w:val="NUA-Nivel1"/>
        <w:numPr>
          <w:ilvl w:val="1"/>
          <w:numId w:val="29"/>
        </w:numPr>
        <w:ind w:left="1560"/>
        <w:rPr>
          <w:rFonts w:eastAsia="Times New Roman"/>
          <w:lang w:eastAsia="es-AR"/>
        </w:rPr>
      </w:pPr>
      <w:r w:rsidRPr="00AC4AEA">
        <w:rPr>
          <w:rFonts w:eastAsia="Times New Roman"/>
          <w:lang w:eastAsia="es-AR"/>
        </w:rPr>
        <w:t xml:space="preserve">No resultan de aplicación para la preparación de los </w:t>
      </w:r>
      <w:r w:rsidRPr="00AC4AEA">
        <w:rPr>
          <w:rFonts w:eastAsia="Times New Roman"/>
          <w:b/>
          <w:bCs/>
          <w:lang w:eastAsia="es-AR"/>
        </w:rPr>
        <w:t xml:space="preserve">estados contables </w:t>
      </w:r>
      <w:r w:rsidRPr="00AC4AEA">
        <w:rPr>
          <w:rFonts w:eastAsia="Times New Roman"/>
          <w:lang w:eastAsia="es-AR"/>
        </w:rPr>
        <w:t xml:space="preserve">del propio negocio conjunto. Un negocio conjunto preparará sus </w:t>
      </w:r>
      <w:r w:rsidRPr="00AC4AEA">
        <w:rPr>
          <w:rFonts w:eastAsia="Times New Roman"/>
          <w:b/>
          <w:bCs/>
          <w:lang w:eastAsia="es-AR"/>
        </w:rPr>
        <w:t xml:space="preserve">estados contables </w:t>
      </w:r>
      <w:r w:rsidRPr="00AC4AEA">
        <w:rPr>
          <w:rFonts w:eastAsia="Times New Roman"/>
          <w:lang w:eastAsia="es-AR"/>
        </w:rPr>
        <w:t xml:space="preserve">según lo dispuesto en esta Resolución Técnica en general u </w:t>
      </w:r>
      <w:r w:rsidRPr="00AC4AEA">
        <w:rPr>
          <w:rFonts w:eastAsia="Times New Roman"/>
          <w:b/>
          <w:bCs/>
          <w:lang w:eastAsia="es-AR"/>
        </w:rPr>
        <w:t xml:space="preserve">otras normas contables, </w:t>
      </w:r>
      <w:r w:rsidR="007D40B1" w:rsidRPr="00AC4AEA">
        <w:rPr>
          <w:rFonts w:eastAsia="Times New Roman"/>
          <w:lang w:eastAsia="es-AR"/>
        </w:rPr>
        <w:t>y,</w:t>
      </w:r>
      <w:r w:rsidRPr="00AC4AEA">
        <w:rPr>
          <w:rFonts w:eastAsia="Times New Roman"/>
          <w:lang w:eastAsia="es-AR"/>
        </w:rPr>
        <w:t xml:space="preserve"> </w:t>
      </w:r>
      <w:r w:rsidR="007D40B1" w:rsidRPr="00AC4AEA">
        <w:rPr>
          <w:rFonts w:eastAsia="Times New Roman"/>
          <w:lang w:eastAsia="es-AR"/>
        </w:rPr>
        <w:t>además, cuando sea no societario,</w:t>
      </w:r>
      <w:r w:rsidRPr="00AC4AEA">
        <w:rPr>
          <w:rFonts w:eastAsia="Times New Roman"/>
          <w:lang w:eastAsia="es-AR"/>
        </w:rPr>
        <w:t xml:space="preserve"> </w:t>
      </w:r>
      <w:r w:rsidR="007D40B1" w:rsidRPr="00AC4AEA">
        <w:rPr>
          <w:rFonts w:eastAsia="Times New Roman"/>
          <w:lang w:eastAsia="es-AR"/>
        </w:rPr>
        <w:t xml:space="preserve">tendrá en cuenta lo </w:t>
      </w:r>
      <w:r w:rsidRPr="00AC4AEA">
        <w:rPr>
          <w:rFonts w:eastAsia="Times New Roman"/>
          <w:lang w:eastAsia="es-AR"/>
        </w:rPr>
        <w:t>establecido en el capítulo “</w:t>
      </w:r>
      <w:r w:rsidRPr="00AC4AEA">
        <w:rPr>
          <w:rFonts w:eastAsia="Times New Roman"/>
          <w:u w:val="single"/>
          <w:lang w:eastAsia="es-AR"/>
        </w:rPr>
        <w:t>Estados contables de negocios conjuntos</w:t>
      </w:r>
      <w:r w:rsidR="007C1F07" w:rsidRPr="00AC4AEA">
        <w:rPr>
          <w:rFonts w:eastAsia="Times New Roman"/>
          <w:u w:val="single"/>
          <w:lang w:eastAsia="es-AR"/>
        </w:rPr>
        <w:t xml:space="preserve"> no societario</w:t>
      </w:r>
      <w:r w:rsidR="00D2458A" w:rsidRPr="00AC4AEA">
        <w:rPr>
          <w:rFonts w:eastAsia="Times New Roman"/>
          <w:u w:val="single"/>
          <w:lang w:eastAsia="es-AR"/>
        </w:rPr>
        <w:t>s</w:t>
      </w:r>
      <w:r w:rsidRPr="00AC4AEA">
        <w:rPr>
          <w:rFonts w:eastAsia="Times New Roman"/>
          <w:u w:val="single"/>
          <w:lang w:eastAsia="es-AR"/>
        </w:rPr>
        <w:t xml:space="preserve">: </w:t>
      </w:r>
      <w:r w:rsidR="00D2458A" w:rsidRPr="00AC4AEA">
        <w:rPr>
          <w:rFonts w:eastAsia="Times New Roman"/>
          <w:u w:val="single"/>
          <w:lang w:eastAsia="es-AR"/>
        </w:rPr>
        <w:t>cuestiones</w:t>
      </w:r>
      <w:r w:rsidRPr="00AC4AEA">
        <w:rPr>
          <w:rFonts w:eastAsia="Times New Roman"/>
          <w:u w:val="single"/>
          <w:lang w:eastAsia="es-AR"/>
        </w:rPr>
        <w:t xml:space="preserve"> específic</w:t>
      </w:r>
      <w:r w:rsidR="00D2458A" w:rsidRPr="00AC4AEA">
        <w:rPr>
          <w:rFonts w:eastAsia="Times New Roman"/>
          <w:u w:val="single"/>
          <w:lang w:eastAsia="es-AR"/>
        </w:rPr>
        <w:t>a</w:t>
      </w:r>
      <w:r w:rsidRPr="00AC4AEA">
        <w:rPr>
          <w:rFonts w:eastAsia="Times New Roman"/>
          <w:u w:val="single"/>
          <w:lang w:eastAsia="es-AR"/>
        </w:rPr>
        <w:t>s</w:t>
      </w:r>
      <w:r w:rsidRPr="00AC4AEA">
        <w:rPr>
          <w:rFonts w:eastAsia="Times New Roman"/>
          <w:lang w:eastAsia="es-AR"/>
        </w:rPr>
        <w:t>” [ver los párrafos</w:t>
      </w:r>
      <w:r w:rsidR="00CE2181" w:rsidRPr="00AC4AEA">
        <w:rPr>
          <w:rFonts w:eastAsia="Times New Roman"/>
          <w:lang w:eastAsia="es-AR"/>
        </w:rPr>
        <w:t xml:space="preserve"> </w:t>
      </w:r>
      <w:fldSimple w:instr=" REF _Ref135772033 \r \h  \* MERGEFORMAT ">
        <w:r w:rsidR="00D33A5D" w:rsidRPr="00D33A5D">
          <w:rPr>
            <w:rFonts w:eastAsia="Times New Roman"/>
            <w:lang w:eastAsia="es-AR"/>
          </w:rPr>
          <w:t>1042</w:t>
        </w:r>
      </w:fldSimple>
      <w:r w:rsidR="00CE2181" w:rsidRPr="00AC4AEA">
        <w:rPr>
          <w:rFonts w:eastAsia="Times New Roman"/>
          <w:lang w:eastAsia="es-AR"/>
        </w:rPr>
        <w:t xml:space="preserve"> a </w:t>
      </w:r>
      <w:fldSimple w:instr=" REF _Ref135772035 \r \h  \* MERGEFORMAT ">
        <w:r w:rsidR="00D33A5D" w:rsidRPr="00D33A5D">
          <w:rPr>
            <w:rFonts w:eastAsia="Times New Roman"/>
            <w:lang w:eastAsia="es-AR"/>
          </w:rPr>
          <w:t>1045</w:t>
        </w:r>
      </w:fldSimple>
      <w:r w:rsidRPr="00AC4AEA">
        <w:rPr>
          <w:rFonts w:eastAsia="Times New Roman"/>
          <w:lang w:eastAsia="es-AR"/>
        </w:rPr>
        <w:t>]</w:t>
      </w:r>
    </w:p>
    <w:p w:rsidR="00421257" w:rsidRPr="00AC4AEA" w:rsidRDefault="00421257" w:rsidP="00030154">
      <w:pPr>
        <w:pStyle w:val="NUA-Nivel1"/>
        <w:numPr>
          <w:ilvl w:val="0"/>
          <w:numId w:val="0"/>
        </w:numPr>
        <w:rPr>
          <w:rFonts w:eastAsia="Times New Roman"/>
          <w:lang w:eastAsia="es-AR"/>
        </w:rPr>
      </w:pPr>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lastRenderedPageBreak/>
        <w:t xml:space="preserve">Para cumplir su objetivo, en esta sección se establecen: </w:t>
      </w:r>
    </w:p>
    <w:p w:rsidR="00421257" w:rsidRPr="00AC4AEA" w:rsidRDefault="00421257" w:rsidP="00C01B25">
      <w:pPr>
        <w:pStyle w:val="NUA-Nivel1"/>
        <w:numPr>
          <w:ilvl w:val="0"/>
          <w:numId w:val="582"/>
        </w:numPr>
        <w:ind w:left="1559" w:hanging="567"/>
      </w:pPr>
      <w:r w:rsidRPr="00AC4AEA">
        <w:t xml:space="preserve">Los requerimientos para identificar </w:t>
      </w:r>
      <w:r w:rsidR="009A7C9E" w:rsidRPr="00AC4AEA">
        <w:t xml:space="preserve">si una entidad es parte de </w:t>
      </w:r>
      <w:r w:rsidRPr="00AC4AEA">
        <w:t xml:space="preserve">un </w:t>
      </w:r>
      <w:r w:rsidR="0098440E" w:rsidRPr="00AC4AEA">
        <w:t>negocio</w:t>
      </w:r>
      <w:r w:rsidRPr="00AC4AEA">
        <w:t xml:space="preserve"> conjunto [ver los párrafos </w:t>
      </w:r>
      <w:fldSimple w:instr=" REF _Ref132050447 \r \h  \* MERGEFORMAT ">
        <w:r w:rsidR="00D33A5D">
          <w:t>812</w:t>
        </w:r>
      </w:fldSimple>
      <w:r w:rsidR="00F175D9" w:rsidRPr="00AC4AEA">
        <w:t xml:space="preserve"> a </w:t>
      </w:r>
      <w:fldSimple w:instr=" REF _Ref132050454 \r \h  \* MERGEFORMAT ">
        <w:r w:rsidR="00D33A5D">
          <w:t>815</w:t>
        </w:r>
      </w:fldSimple>
      <w:r w:rsidRPr="00AC4AEA">
        <w:t>].</w:t>
      </w:r>
      <w:r w:rsidR="006F2C57">
        <w:t xml:space="preserve"> </w:t>
      </w:r>
    </w:p>
    <w:p w:rsidR="00421257" w:rsidRPr="00AC4AEA" w:rsidRDefault="00421257" w:rsidP="00C01B25">
      <w:pPr>
        <w:pStyle w:val="NUA-Nivel1"/>
        <w:numPr>
          <w:ilvl w:val="0"/>
          <w:numId w:val="582"/>
        </w:numPr>
        <w:ind w:left="1559" w:hanging="567"/>
      </w:pPr>
      <w:r w:rsidRPr="00AC4AEA">
        <w:t xml:space="preserve">Las bases para clasificar un </w:t>
      </w:r>
      <w:r w:rsidR="0098440E" w:rsidRPr="00AC4AEA">
        <w:t>negocio</w:t>
      </w:r>
      <w:r w:rsidRPr="00AC4AEA">
        <w:t xml:space="preserve"> conjunto [ver </w:t>
      </w:r>
      <w:r w:rsidR="00F175D9" w:rsidRPr="00AC4AEA">
        <w:t>el</w:t>
      </w:r>
      <w:r w:rsidRPr="00AC4AEA">
        <w:t xml:space="preserve"> párrafo </w:t>
      </w:r>
      <w:fldSimple w:instr=" REF _Ref132050457 \r \h  \* MERGEFORMAT ">
        <w:r w:rsidR="00D33A5D">
          <w:t>816</w:t>
        </w:r>
      </w:fldSimple>
      <w:r w:rsidRPr="00AC4AEA">
        <w:t>] como:</w:t>
      </w:r>
      <w:r w:rsidR="006F2C57">
        <w:t xml:space="preserve"> </w:t>
      </w:r>
    </w:p>
    <w:p w:rsidR="00421257" w:rsidRPr="00AC4AEA" w:rsidRDefault="0098440E" w:rsidP="00030154">
      <w:pPr>
        <w:pStyle w:val="Prrafodelista"/>
        <w:numPr>
          <w:ilvl w:val="2"/>
          <w:numId w:val="29"/>
        </w:numPr>
        <w:ind w:left="2127"/>
        <w:contextualSpacing w:val="0"/>
        <w:jc w:val="both"/>
        <w:rPr>
          <w:rFonts w:ascii="Arial" w:hAnsi="Arial" w:cs="Arial"/>
          <w:sz w:val="20"/>
          <w:szCs w:val="20"/>
        </w:rPr>
      </w:pPr>
      <w:r w:rsidRPr="00AC4AEA">
        <w:rPr>
          <w:rFonts w:ascii="Arial" w:hAnsi="Arial" w:cs="Arial"/>
          <w:sz w:val="20"/>
          <w:szCs w:val="20"/>
        </w:rPr>
        <w:t>negocio conjunto no societario</w:t>
      </w:r>
      <w:r w:rsidR="00421257" w:rsidRPr="00AC4AEA">
        <w:rPr>
          <w:rFonts w:ascii="Arial" w:hAnsi="Arial" w:cs="Arial"/>
          <w:sz w:val="20"/>
          <w:szCs w:val="20"/>
        </w:rPr>
        <w:t>; o</w:t>
      </w:r>
      <w:r w:rsidR="006F2C57">
        <w:rPr>
          <w:rFonts w:ascii="Arial" w:hAnsi="Arial" w:cs="Arial"/>
          <w:sz w:val="20"/>
          <w:szCs w:val="20"/>
        </w:rPr>
        <w:t xml:space="preserve"> </w:t>
      </w:r>
    </w:p>
    <w:p w:rsidR="00421257" w:rsidRPr="00AC4AEA" w:rsidRDefault="00421257" w:rsidP="00030154">
      <w:pPr>
        <w:pStyle w:val="Prrafodelista"/>
        <w:numPr>
          <w:ilvl w:val="2"/>
          <w:numId w:val="29"/>
        </w:numPr>
        <w:ind w:left="2127"/>
        <w:contextualSpacing w:val="0"/>
        <w:jc w:val="both"/>
        <w:rPr>
          <w:rFonts w:ascii="Arial" w:hAnsi="Arial" w:cs="Arial"/>
          <w:sz w:val="20"/>
          <w:szCs w:val="20"/>
        </w:rPr>
      </w:pPr>
      <w:r w:rsidRPr="00AC4AEA">
        <w:rPr>
          <w:rFonts w:ascii="Arial" w:hAnsi="Arial" w:cs="Arial"/>
          <w:sz w:val="20"/>
          <w:szCs w:val="20"/>
        </w:rPr>
        <w:t>negocio conjunto</w:t>
      </w:r>
      <w:r w:rsidR="0098440E" w:rsidRPr="00AC4AEA">
        <w:rPr>
          <w:rFonts w:ascii="Arial" w:hAnsi="Arial" w:cs="Arial"/>
          <w:sz w:val="20"/>
          <w:szCs w:val="20"/>
        </w:rPr>
        <w:t xml:space="preserve"> societario</w:t>
      </w:r>
      <w:r w:rsidRPr="00AC4AEA">
        <w:rPr>
          <w:rFonts w:ascii="Arial" w:hAnsi="Arial" w:cs="Arial"/>
          <w:sz w:val="20"/>
          <w:szCs w:val="20"/>
        </w:rPr>
        <w:t>.</w:t>
      </w:r>
      <w:r w:rsidR="006F2C57">
        <w:rPr>
          <w:rFonts w:ascii="Arial" w:hAnsi="Arial" w:cs="Arial"/>
          <w:sz w:val="20"/>
          <w:szCs w:val="20"/>
        </w:rPr>
        <w:t xml:space="preserve"> </w:t>
      </w:r>
      <w:r w:rsidRPr="00AC4AEA">
        <w:rPr>
          <w:rFonts w:ascii="Arial" w:hAnsi="Arial" w:cs="Arial"/>
          <w:sz w:val="20"/>
          <w:szCs w:val="20"/>
        </w:rPr>
        <w:t xml:space="preserve"> </w:t>
      </w:r>
    </w:p>
    <w:p w:rsidR="00421257" w:rsidRPr="00AC4AEA" w:rsidRDefault="00421257" w:rsidP="00C01B25">
      <w:pPr>
        <w:pStyle w:val="NUA-Nivel1"/>
        <w:numPr>
          <w:ilvl w:val="0"/>
          <w:numId w:val="582"/>
        </w:numPr>
        <w:ind w:left="1559" w:hanging="567"/>
      </w:pPr>
      <w:r w:rsidRPr="00AC4AEA">
        <w:t xml:space="preserve">La forma de </w:t>
      </w:r>
      <w:r w:rsidR="0098440E" w:rsidRPr="00AC4AEA">
        <w:t>reconocer, medir y revelar</w:t>
      </w:r>
      <w:r w:rsidRPr="00AC4AEA">
        <w:t xml:space="preserve"> un </w:t>
      </w:r>
      <w:r w:rsidR="0098440E" w:rsidRPr="00AC4AEA">
        <w:t>negocio</w:t>
      </w:r>
      <w:r w:rsidRPr="00AC4AEA">
        <w:t xml:space="preserve"> conjunto, de conformidad con su clasificación [ver los párrafos</w:t>
      </w:r>
      <w:r w:rsidR="002E17D0" w:rsidRPr="00AC4AEA">
        <w:t xml:space="preserve"> </w:t>
      </w:r>
      <w:r w:rsidR="001C4138">
        <w:fldChar w:fldCharType="begin"/>
      </w:r>
      <w:r w:rsidR="005C19B4">
        <w:instrText xml:space="preserve"> REF _Ref131511197 \r \h </w:instrText>
      </w:r>
      <w:r w:rsidR="001C4138">
        <w:fldChar w:fldCharType="separate"/>
      </w:r>
      <w:r w:rsidR="00D33A5D">
        <w:t>817</w:t>
      </w:r>
      <w:r w:rsidR="001C4138">
        <w:fldChar w:fldCharType="end"/>
      </w:r>
      <w:r w:rsidR="00CB46C9" w:rsidRPr="00AC4AEA">
        <w:t xml:space="preserve"> a </w:t>
      </w:r>
      <w:fldSimple w:instr=" REF _Ref132050765 \r \h  \* MERGEFORMAT ">
        <w:r w:rsidR="00D33A5D">
          <w:t>823</w:t>
        </w:r>
      </w:fldSimple>
      <w:r w:rsidRPr="00AC4AEA">
        <w:t xml:space="preserve">]. </w:t>
      </w:r>
    </w:p>
    <w:p w:rsidR="00421257" w:rsidRPr="00AC4AEA" w:rsidRDefault="00421257" w:rsidP="00A318EA">
      <w:pPr>
        <w:pStyle w:val="Ttulo2"/>
        <w:rPr>
          <w:rFonts w:cs="Arial"/>
        </w:rPr>
      </w:pPr>
      <w:bookmarkStart w:id="1110" w:name="_Toc139356988"/>
      <w:r w:rsidRPr="00AC4AEA">
        <w:rPr>
          <w:rFonts w:cs="Arial"/>
        </w:rPr>
        <w:t>Definiciones</w:t>
      </w:r>
      <w:bookmarkEnd w:id="1110"/>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bookmarkStart w:id="1111" w:name="_Ref131758320"/>
      <w:r w:rsidRPr="00AC4AEA">
        <w:rPr>
          <w:rFonts w:ascii="Arial" w:hAnsi="Arial" w:cs="Arial"/>
          <w:sz w:val="20"/>
          <w:szCs w:val="20"/>
        </w:rPr>
        <w:t>A los fines de aplicar esta sección, una entidad deberá considerar las siguientes definiciones:</w:t>
      </w:r>
      <w:bookmarkEnd w:id="1111"/>
      <w:r w:rsidRPr="00AC4AEA">
        <w:rPr>
          <w:rFonts w:ascii="Arial" w:hAnsi="Arial" w:cs="Arial"/>
          <w:sz w:val="20"/>
          <w:szCs w:val="20"/>
        </w:rPr>
        <w:t xml:space="preserve"> </w:t>
      </w:r>
    </w:p>
    <w:p w:rsidR="00780930" w:rsidRPr="007B56D7" w:rsidRDefault="00780930" w:rsidP="00780930">
      <w:pPr>
        <w:pStyle w:val="Prrafodelista"/>
        <w:ind w:left="1418"/>
        <w:contextualSpacing w:val="0"/>
        <w:jc w:val="both"/>
        <w:rPr>
          <w:rFonts w:ascii="Arial" w:hAnsi="Arial" w:cs="Arial"/>
          <w:sz w:val="20"/>
          <w:szCs w:val="20"/>
        </w:rPr>
      </w:pPr>
      <w:r w:rsidRPr="007B56D7">
        <w:rPr>
          <w:rFonts w:ascii="Arial" w:hAnsi="Arial" w:cs="Arial"/>
          <w:sz w:val="20"/>
          <w:szCs w:val="20"/>
          <w:u w:val="single" w:color="000000"/>
        </w:rPr>
        <w:t>Consentimiento unánime</w:t>
      </w:r>
      <w:r w:rsidRPr="007B56D7">
        <w:rPr>
          <w:rFonts w:ascii="Arial" w:hAnsi="Arial" w:cs="Arial"/>
          <w:sz w:val="20"/>
          <w:szCs w:val="20"/>
          <w:u w:color="000000"/>
        </w:rPr>
        <w:t>: Existe cuando cualquier parte que tiene el control conjunto de un negocio puede impedir que otra u otras partes tomen decisiones sin su consentimiento.</w:t>
      </w:r>
    </w:p>
    <w:p w:rsidR="0098440E" w:rsidRPr="007B56D7" w:rsidRDefault="0098440E" w:rsidP="0017492C">
      <w:pPr>
        <w:pStyle w:val="Prrafodelista"/>
        <w:ind w:left="1418"/>
        <w:contextualSpacing w:val="0"/>
        <w:jc w:val="both"/>
        <w:rPr>
          <w:rFonts w:ascii="Arial" w:hAnsi="Arial" w:cs="Arial"/>
          <w:sz w:val="20"/>
          <w:szCs w:val="20"/>
        </w:rPr>
      </w:pPr>
      <w:r w:rsidRPr="007B56D7">
        <w:rPr>
          <w:rFonts w:ascii="Arial" w:hAnsi="Arial" w:cs="Arial"/>
          <w:sz w:val="20"/>
          <w:szCs w:val="20"/>
          <w:u w:val="single" w:color="000000"/>
        </w:rPr>
        <w:t>Control conjunto:</w:t>
      </w:r>
      <w:r w:rsidRPr="007B56D7">
        <w:rPr>
          <w:rFonts w:ascii="Arial" w:hAnsi="Arial" w:cs="Arial"/>
          <w:sz w:val="20"/>
          <w:szCs w:val="20"/>
        </w:rPr>
        <w:t xml:space="preserve"> Reparto del control contractualmente decidido de un negocio conjunto, que existe sólo cuando las decisiones sobre las actividades relevantes requieren el consentimiento unánime de las partes que comparten el control. </w:t>
      </w:r>
    </w:p>
    <w:p w:rsidR="00780930" w:rsidRPr="00AC4AEA" w:rsidRDefault="00780930" w:rsidP="00780930">
      <w:pPr>
        <w:ind w:left="1418"/>
        <w:jc w:val="both"/>
        <w:rPr>
          <w:rFonts w:ascii="Arial" w:hAnsi="Arial" w:cs="Arial"/>
          <w:sz w:val="20"/>
          <w:szCs w:val="20"/>
        </w:rPr>
      </w:pPr>
      <w:r w:rsidRPr="007B56D7">
        <w:rPr>
          <w:rFonts w:ascii="Arial" w:hAnsi="Arial" w:cs="Arial"/>
          <w:sz w:val="20"/>
          <w:szCs w:val="20"/>
          <w:u w:val="single" w:color="000000"/>
        </w:rPr>
        <w:t>Controladora conjunta</w:t>
      </w:r>
      <w:r w:rsidRPr="007B56D7">
        <w:rPr>
          <w:rFonts w:ascii="Arial" w:hAnsi="Arial" w:cs="Arial"/>
          <w:sz w:val="20"/>
          <w:szCs w:val="20"/>
          <w:u w:color="000000"/>
        </w:rPr>
        <w:t>: Parte de un negocio conjunto, societario o no societario, que tiene control conjunto sobre éste.</w:t>
      </w:r>
    </w:p>
    <w:p w:rsidR="00421257" w:rsidRPr="00AC4AEA" w:rsidRDefault="0098440E" w:rsidP="0017492C">
      <w:pPr>
        <w:ind w:left="1418"/>
        <w:jc w:val="both"/>
        <w:rPr>
          <w:rFonts w:ascii="Arial" w:hAnsi="Arial" w:cs="Arial"/>
          <w:sz w:val="20"/>
          <w:szCs w:val="20"/>
        </w:rPr>
      </w:pPr>
      <w:r w:rsidRPr="00AC4AEA">
        <w:rPr>
          <w:rFonts w:ascii="Arial" w:hAnsi="Arial" w:cs="Arial"/>
          <w:sz w:val="20"/>
          <w:szCs w:val="20"/>
          <w:u w:val="single" w:color="000000"/>
        </w:rPr>
        <w:t>Negocio</w:t>
      </w:r>
      <w:r w:rsidR="00421257" w:rsidRPr="00AC4AEA">
        <w:rPr>
          <w:rFonts w:ascii="Arial" w:hAnsi="Arial" w:cs="Arial"/>
          <w:sz w:val="20"/>
          <w:szCs w:val="20"/>
          <w:u w:val="single" w:color="000000"/>
        </w:rPr>
        <w:t xml:space="preserve"> conjunto:</w:t>
      </w:r>
      <w:r w:rsidR="00421257" w:rsidRPr="00AC4AEA">
        <w:rPr>
          <w:rFonts w:ascii="Arial" w:hAnsi="Arial" w:cs="Arial"/>
          <w:sz w:val="20"/>
          <w:szCs w:val="20"/>
        </w:rPr>
        <w:t xml:space="preserve"> </w:t>
      </w:r>
      <w:r w:rsidRPr="00AC4AEA">
        <w:rPr>
          <w:rFonts w:ascii="Arial" w:hAnsi="Arial" w:cs="Arial"/>
          <w:sz w:val="20"/>
          <w:szCs w:val="20"/>
        </w:rPr>
        <w:t>A</w:t>
      </w:r>
      <w:r w:rsidR="00421257" w:rsidRPr="00AC4AEA">
        <w:rPr>
          <w:rFonts w:ascii="Arial" w:hAnsi="Arial" w:cs="Arial"/>
          <w:sz w:val="20"/>
          <w:szCs w:val="20"/>
        </w:rPr>
        <w:t>cuerdo</w:t>
      </w:r>
      <w:r w:rsidRPr="00AC4AEA">
        <w:rPr>
          <w:rFonts w:ascii="Arial" w:hAnsi="Arial" w:cs="Arial"/>
          <w:sz w:val="20"/>
          <w:szCs w:val="20"/>
        </w:rPr>
        <w:t xml:space="preserve"> </w:t>
      </w:r>
      <w:r w:rsidR="00421257" w:rsidRPr="00AC4AEA">
        <w:rPr>
          <w:rFonts w:ascii="Arial" w:hAnsi="Arial" w:cs="Arial"/>
          <w:sz w:val="20"/>
          <w:szCs w:val="20"/>
        </w:rPr>
        <w:t xml:space="preserve">por el cual dos o más partes tienen control conjunto. </w:t>
      </w:r>
      <w:r w:rsidRPr="00AC4AEA">
        <w:rPr>
          <w:rFonts w:ascii="Arial" w:hAnsi="Arial" w:cs="Arial"/>
          <w:sz w:val="20"/>
          <w:szCs w:val="20"/>
        </w:rPr>
        <w:t>El acuerdo se puede instrumentar a través de:</w:t>
      </w:r>
    </w:p>
    <w:p w:rsidR="0098440E" w:rsidRPr="00AC4AEA" w:rsidRDefault="0098440E" w:rsidP="00C01B25">
      <w:pPr>
        <w:pStyle w:val="NUA-Nivel1"/>
        <w:numPr>
          <w:ilvl w:val="0"/>
          <w:numId w:val="646"/>
        </w:numPr>
        <w:ind w:left="1843"/>
      </w:pPr>
      <w:r w:rsidRPr="00AC4AEA">
        <w:t xml:space="preserve">un </w:t>
      </w:r>
      <w:r w:rsidRPr="008D4697">
        <w:rPr>
          <w:b/>
          <w:bCs/>
        </w:rPr>
        <w:t>contrato</w:t>
      </w:r>
      <w:r w:rsidRPr="00AC4AEA">
        <w:t xml:space="preserve"> asociativo; o</w:t>
      </w:r>
    </w:p>
    <w:p w:rsidR="0098440E" w:rsidRPr="00AC4AEA" w:rsidRDefault="0098440E" w:rsidP="00C01B25">
      <w:pPr>
        <w:pStyle w:val="NUA-Nivel1"/>
        <w:numPr>
          <w:ilvl w:val="0"/>
          <w:numId w:val="646"/>
        </w:numPr>
        <w:ind w:left="1843"/>
      </w:pPr>
      <w:r w:rsidRPr="00AC4AEA">
        <w:t>una sociedad u otra forma asociativa con personalidad jurídica.</w:t>
      </w:r>
    </w:p>
    <w:p w:rsidR="0098440E" w:rsidRPr="00AC4AEA" w:rsidRDefault="0098440E" w:rsidP="0017492C">
      <w:pPr>
        <w:ind w:left="1418"/>
        <w:jc w:val="both"/>
        <w:rPr>
          <w:rFonts w:ascii="Arial" w:hAnsi="Arial" w:cs="Arial"/>
          <w:sz w:val="20"/>
          <w:szCs w:val="20"/>
        </w:rPr>
      </w:pPr>
      <w:r w:rsidRPr="00AC4AEA">
        <w:rPr>
          <w:rFonts w:ascii="Arial" w:hAnsi="Arial" w:cs="Arial"/>
          <w:sz w:val="20"/>
          <w:szCs w:val="20"/>
          <w:u w:val="single" w:color="000000"/>
        </w:rPr>
        <w:t>Negocio conjunto no societario:</w:t>
      </w:r>
      <w:r w:rsidRPr="00AC4AEA">
        <w:rPr>
          <w:rFonts w:ascii="Arial" w:hAnsi="Arial" w:cs="Arial"/>
          <w:sz w:val="20"/>
          <w:szCs w:val="20"/>
        </w:rPr>
        <w:t xml:space="preserve"> Negocio conjunto mediante el cual las partes que asumen control conjunto del negocio conjunto tienen, en caso de finalización del negocio, derecho a determinados activos y obligación respecto de determinados pasivos, relacionados con el negocio. </w:t>
      </w:r>
    </w:p>
    <w:p w:rsidR="00421257" w:rsidRPr="00AC4AEA" w:rsidRDefault="00421257" w:rsidP="0017492C">
      <w:pPr>
        <w:ind w:left="1418"/>
        <w:jc w:val="both"/>
        <w:rPr>
          <w:rFonts w:ascii="Arial" w:hAnsi="Arial" w:cs="Arial"/>
          <w:sz w:val="20"/>
          <w:szCs w:val="20"/>
        </w:rPr>
      </w:pPr>
      <w:r w:rsidRPr="00AC4AEA">
        <w:rPr>
          <w:rFonts w:ascii="Arial" w:hAnsi="Arial" w:cs="Arial"/>
          <w:sz w:val="20"/>
          <w:szCs w:val="20"/>
          <w:u w:val="single" w:color="000000"/>
        </w:rPr>
        <w:t>Negocio conjunto</w:t>
      </w:r>
      <w:r w:rsidR="0098440E" w:rsidRPr="00AC4AEA">
        <w:rPr>
          <w:rFonts w:ascii="Arial" w:hAnsi="Arial" w:cs="Arial"/>
          <w:sz w:val="20"/>
          <w:szCs w:val="20"/>
          <w:u w:val="single" w:color="000000"/>
        </w:rPr>
        <w:t xml:space="preserve"> societario</w:t>
      </w:r>
      <w:r w:rsidRPr="00AC4AEA">
        <w:rPr>
          <w:rFonts w:ascii="Arial" w:hAnsi="Arial" w:cs="Arial"/>
          <w:sz w:val="20"/>
          <w:szCs w:val="20"/>
          <w:u w:val="single" w:color="000000"/>
        </w:rPr>
        <w:t>:</w:t>
      </w:r>
      <w:r w:rsidRPr="00AC4AEA">
        <w:rPr>
          <w:rFonts w:ascii="Arial" w:hAnsi="Arial" w:cs="Arial"/>
          <w:sz w:val="20"/>
          <w:szCs w:val="20"/>
        </w:rPr>
        <w:t xml:space="preserve"> </w:t>
      </w:r>
      <w:r w:rsidR="0098440E" w:rsidRPr="00AC4AEA">
        <w:rPr>
          <w:rFonts w:ascii="Arial" w:hAnsi="Arial" w:cs="Arial"/>
          <w:sz w:val="20"/>
          <w:szCs w:val="20"/>
        </w:rPr>
        <w:t>Negocio</w:t>
      </w:r>
      <w:r w:rsidRPr="00AC4AEA">
        <w:rPr>
          <w:rFonts w:ascii="Arial" w:hAnsi="Arial" w:cs="Arial"/>
          <w:sz w:val="20"/>
          <w:szCs w:val="20"/>
        </w:rPr>
        <w:t xml:space="preserve"> conjunto mediante el cual las partes que </w:t>
      </w:r>
      <w:r w:rsidR="0098440E" w:rsidRPr="00AC4AEA">
        <w:rPr>
          <w:rFonts w:ascii="Arial" w:hAnsi="Arial" w:cs="Arial"/>
          <w:sz w:val="20"/>
          <w:szCs w:val="20"/>
        </w:rPr>
        <w:t>asumen el</w:t>
      </w:r>
      <w:r w:rsidRPr="00AC4AEA">
        <w:rPr>
          <w:rFonts w:ascii="Arial" w:hAnsi="Arial" w:cs="Arial"/>
          <w:sz w:val="20"/>
          <w:szCs w:val="20"/>
        </w:rPr>
        <w:t xml:space="preserve"> control conjunto del </w:t>
      </w:r>
      <w:r w:rsidR="0098440E" w:rsidRPr="00AC4AEA">
        <w:rPr>
          <w:rFonts w:ascii="Arial" w:hAnsi="Arial" w:cs="Arial"/>
          <w:sz w:val="20"/>
          <w:szCs w:val="20"/>
        </w:rPr>
        <w:t>negocio</w:t>
      </w:r>
      <w:r w:rsidRPr="00AC4AEA">
        <w:rPr>
          <w:rFonts w:ascii="Arial" w:hAnsi="Arial" w:cs="Arial"/>
          <w:sz w:val="20"/>
          <w:szCs w:val="20"/>
        </w:rPr>
        <w:t xml:space="preserve"> tienen derecho</w:t>
      </w:r>
      <w:r w:rsidR="0098440E" w:rsidRPr="00AC4AEA">
        <w:rPr>
          <w:rFonts w:ascii="Arial" w:hAnsi="Arial" w:cs="Arial"/>
          <w:sz w:val="20"/>
          <w:szCs w:val="20"/>
        </w:rPr>
        <w:t>, en caso de finalización del negocio,</w:t>
      </w:r>
      <w:r w:rsidRPr="00AC4AEA">
        <w:rPr>
          <w:rFonts w:ascii="Arial" w:hAnsi="Arial" w:cs="Arial"/>
          <w:sz w:val="20"/>
          <w:szCs w:val="20"/>
        </w:rPr>
        <w:t xml:space="preserve"> </w:t>
      </w:r>
      <w:r w:rsidR="0098440E" w:rsidRPr="00AC4AEA">
        <w:rPr>
          <w:rFonts w:ascii="Arial" w:hAnsi="Arial" w:cs="Arial"/>
          <w:sz w:val="20"/>
          <w:szCs w:val="20"/>
        </w:rPr>
        <w:t>sobre</w:t>
      </w:r>
      <w:r w:rsidRPr="00AC4AEA">
        <w:rPr>
          <w:rFonts w:ascii="Arial" w:hAnsi="Arial" w:cs="Arial"/>
          <w:sz w:val="20"/>
          <w:szCs w:val="20"/>
        </w:rPr>
        <w:t xml:space="preserve"> </w:t>
      </w:r>
      <w:r w:rsidR="0098440E" w:rsidRPr="00AC4AEA">
        <w:rPr>
          <w:rFonts w:ascii="Arial" w:hAnsi="Arial" w:cs="Arial"/>
          <w:sz w:val="20"/>
          <w:szCs w:val="20"/>
        </w:rPr>
        <w:t>sus</w:t>
      </w:r>
      <w:r w:rsidRPr="00AC4AEA">
        <w:rPr>
          <w:rFonts w:ascii="Arial" w:hAnsi="Arial" w:cs="Arial"/>
          <w:sz w:val="20"/>
          <w:szCs w:val="20"/>
        </w:rPr>
        <w:t xml:space="preserve"> activos </w:t>
      </w:r>
      <w:r w:rsidR="00030154" w:rsidRPr="00AC4AEA">
        <w:rPr>
          <w:rFonts w:ascii="Arial" w:hAnsi="Arial" w:cs="Arial"/>
          <w:sz w:val="20"/>
          <w:szCs w:val="20"/>
        </w:rPr>
        <w:t>menos sus pasivos (activos netos)</w:t>
      </w:r>
      <w:r w:rsidRPr="00AC4AEA">
        <w:rPr>
          <w:rFonts w:ascii="Arial" w:hAnsi="Arial" w:cs="Arial"/>
          <w:sz w:val="20"/>
          <w:szCs w:val="20"/>
        </w:rPr>
        <w:t xml:space="preserve">. </w:t>
      </w:r>
    </w:p>
    <w:p w:rsidR="0098440E" w:rsidRPr="00AC4AEA" w:rsidRDefault="0098440E" w:rsidP="0017492C">
      <w:pPr>
        <w:ind w:left="1418"/>
        <w:jc w:val="both"/>
        <w:rPr>
          <w:rFonts w:ascii="Arial" w:hAnsi="Arial" w:cs="Arial"/>
          <w:sz w:val="20"/>
          <w:szCs w:val="20"/>
          <w:u w:color="000000"/>
        </w:rPr>
      </w:pPr>
      <w:r w:rsidRPr="00AC4AEA">
        <w:rPr>
          <w:rFonts w:ascii="Arial" w:hAnsi="Arial" w:cs="Arial"/>
          <w:sz w:val="20"/>
          <w:szCs w:val="20"/>
          <w:u w:val="single" w:color="000000"/>
        </w:rPr>
        <w:t>Parte de un negocio conjunto</w:t>
      </w:r>
      <w:r w:rsidRPr="00AC4AEA">
        <w:rPr>
          <w:rFonts w:ascii="Arial" w:hAnsi="Arial" w:cs="Arial"/>
          <w:sz w:val="20"/>
          <w:szCs w:val="20"/>
          <w:u w:color="000000"/>
        </w:rPr>
        <w:t>: Entidad que participa de un negocio conjunto tenga o no control conjunto sobre dicho negocio.</w:t>
      </w:r>
    </w:p>
    <w:p w:rsidR="00421257" w:rsidRPr="00AC4AEA" w:rsidRDefault="0098440E" w:rsidP="0017492C">
      <w:pPr>
        <w:spacing w:after="26"/>
        <w:ind w:left="1418"/>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 xml:space="preserve">as siguientes expresiones deberán emplearse tal como son definidas en los párrafos </w:t>
      </w:r>
      <w:fldSimple w:instr=" REF _Ref132050914 \r \h  \* MERGEFORMAT ">
        <w:r w:rsidR="00D33A5D" w:rsidRPr="00D33A5D">
          <w:rPr>
            <w:rFonts w:ascii="Arial" w:hAnsi="Arial" w:cs="Arial"/>
            <w:sz w:val="20"/>
            <w:szCs w:val="20"/>
          </w:rPr>
          <w:t>765</w:t>
        </w:r>
      </w:fldSimple>
      <w:r w:rsidR="008F1B15" w:rsidRPr="00AC4AEA">
        <w:rPr>
          <w:rFonts w:ascii="Arial" w:hAnsi="Arial" w:cs="Arial"/>
          <w:sz w:val="20"/>
          <w:szCs w:val="20"/>
        </w:rPr>
        <w:t xml:space="preserve"> u </w:t>
      </w:r>
      <w:r w:rsidR="001C4138">
        <w:rPr>
          <w:rFonts w:ascii="Arial" w:hAnsi="Arial" w:cs="Arial"/>
          <w:sz w:val="20"/>
          <w:szCs w:val="20"/>
        </w:rPr>
        <w:fldChar w:fldCharType="begin"/>
      </w:r>
      <w:r w:rsidR="0000381D">
        <w:rPr>
          <w:rFonts w:ascii="Arial" w:hAnsi="Arial" w:cs="Arial"/>
          <w:sz w:val="20"/>
          <w:szCs w:val="20"/>
        </w:rPr>
        <w:instrText xml:space="preserve"> REF _Ref139221498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827</w:t>
      </w:r>
      <w:r w:rsidR="001C4138">
        <w:rPr>
          <w:rFonts w:ascii="Arial" w:hAnsi="Arial" w:cs="Arial"/>
          <w:sz w:val="20"/>
          <w:szCs w:val="20"/>
        </w:rPr>
        <w:fldChar w:fldCharType="end"/>
      </w:r>
      <w:r w:rsidR="00421257" w:rsidRPr="00AC4AEA">
        <w:rPr>
          <w:rFonts w:ascii="Arial" w:hAnsi="Arial" w:cs="Arial"/>
          <w:sz w:val="20"/>
          <w:szCs w:val="20"/>
        </w:rPr>
        <w:t>:</w:t>
      </w:r>
      <w:r w:rsidR="006F2C57">
        <w:rPr>
          <w:rFonts w:ascii="Arial" w:hAnsi="Arial" w:cs="Arial"/>
          <w:sz w:val="20"/>
          <w:szCs w:val="20"/>
        </w:rPr>
        <w:t xml:space="preserve"> </w:t>
      </w:r>
    </w:p>
    <w:p w:rsidR="005C7025" w:rsidRPr="00AC4AEA" w:rsidRDefault="005C7025" w:rsidP="00C01B25">
      <w:pPr>
        <w:numPr>
          <w:ilvl w:val="0"/>
          <w:numId w:val="473"/>
        </w:numPr>
        <w:spacing w:after="35" w:line="256" w:lineRule="auto"/>
        <w:ind w:left="1701" w:hanging="283"/>
        <w:jc w:val="both"/>
        <w:rPr>
          <w:rFonts w:ascii="Arial" w:hAnsi="Arial" w:cs="Arial"/>
          <w:sz w:val="20"/>
          <w:szCs w:val="20"/>
        </w:rPr>
      </w:pPr>
      <w:r w:rsidRPr="00AC4AEA">
        <w:rPr>
          <w:rFonts w:ascii="Arial" w:hAnsi="Arial" w:cs="Arial"/>
          <w:sz w:val="20"/>
          <w:szCs w:val="20"/>
          <w:u w:val="single"/>
        </w:rPr>
        <w:t>Actividades relevantes</w:t>
      </w:r>
      <w:r w:rsidRPr="00AC4AEA">
        <w:rPr>
          <w:rFonts w:ascii="Arial" w:hAnsi="Arial" w:cs="Arial"/>
          <w:sz w:val="20"/>
          <w:szCs w:val="20"/>
        </w:rPr>
        <w:t>.</w:t>
      </w:r>
    </w:p>
    <w:p w:rsidR="00421257" w:rsidRPr="00AC4AEA" w:rsidRDefault="00421257" w:rsidP="00C01B25">
      <w:pPr>
        <w:numPr>
          <w:ilvl w:val="0"/>
          <w:numId w:val="473"/>
        </w:numPr>
        <w:spacing w:after="35" w:line="256" w:lineRule="auto"/>
        <w:ind w:left="1701" w:hanging="283"/>
        <w:jc w:val="both"/>
        <w:rPr>
          <w:rFonts w:ascii="Arial" w:hAnsi="Arial" w:cs="Arial"/>
          <w:sz w:val="20"/>
          <w:szCs w:val="20"/>
        </w:rPr>
      </w:pPr>
      <w:r w:rsidRPr="00AC4AEA">
        <w:rPr>
          <w:rFonts w:ascii="Arial" w:hAnsi="Arial" w:cs="Arial"/>
          <w:sz w:val="20"/>
          <w:szCs w:val="20"/>
          <w:u w:val="single" w:color="000000"/>
        </w:rPr>
        <w:t>Control.</w:t>
      </w:r>
      <w:r w:rsidRPr="00AC4AEA">
        <w:rPr>
          <w:rFonts w:ascii="Arial" w:hAnsi="Arial" w:cs="Arial"/>
          <w:sz w:val="20"/>
          <w:szCs w:val="20"/>
        </w:rPr>
        <w:t xml:space="preserve"> </w:t>
      </w:r>
      <w:r w:rsidR="005A2E03">
        <w:rPr>
          <w:rFonts w:ascii="Arial" w:hAnsi="Arial" w:cs="Arial"/>
          <w:sz w:val="20"/>
          <w:szCs w:val="20"/>
        </w:rPr>
        <w:t>(sobre otra entidad)</w:t>
      </w:r>
      <w:r w:rsidR="00B94625" w:rsidRPr="00AC4AEA">
        <w:rPr>
          <w:rFonts w:ascii="Arial" w:hAnsi="Arial" w:cs="Arial"/>
          <w:sz w:val="20"/>
          <w:szCs w:val="20"/>
        </w:rPr>
        <w:t xml:space="preserve"> </w:t>
      </w:r>
    </w:p>
    <w:p w:rsidR="00421257" w:rsidRPr="00AC4AEA" w:rsidRDefault="00421257" w:rsidP="00C01B25">
      <w:pPr>
        <w:numPr>
          <w:ilvl w:val="0"/>
          <w:numId w:val="473"/>
        </w:numPr>
        <w:spacing w:after="35" w:line="256" w:lineRule="auto"/>
        <w:ind w:left="1701" w:hanging="283"/>
        <w:jc w:val="both"/>
        <w:rPr>
          <w:rFonts w:ascii="Arial" w:hAnsi="Arial" w:cs="Arial"/>
          <w:sz w:val="20"/>
          <w:szCs w:val="20"/>
        </w:rPr>
      </w:pPr>
      <w:r w:rsidRPr="00AC4AEA">
        <w:rPr>
          <w:rFonts w:ascii="Arial" w:hAnsi="Arial" w:cs="Arial"/>
          <w:sz w:val="20"/>
          <w:szCs w:val="20"/>
          <w:u w:val="single" w:color="000000"/>
        </w:rPr>
        <w:lastRenderedPageBreak/>
        <w:t>Controlada (subsidiaria).</w:t>
      </w:r>
      <w:r w:rsidRPr="00AC4AEA">
        <w:rPr>
          <w:rFonts w:ascii="Arial" w:hAnsi="Arial" w:cs="Arial"/>
          <w:sz w:val="20"/>
          <w:szCs w:val="20"/>
        </w:rPr>
        <w:t xml:space="preserve"> </w:t>
      </w:r>
    </w:p>
    <w:p w:rsidR="005C7025" w:rsidRPr="00AC4AEA" w:rsidRDefault="005C7025" w:rsidP="00C01B25">
      <w:pPr>
        <w:numPr>
          <w:ilvl w:val="0"/>
          <w:numId w:val="473"/>
        </w:numPr>
        <w:spacing w:after="35" w:line="256" w:lineRule="auto"/>
        <w:ind w:left="1701" w:hanging="283"/>
        <w:jc w:val="both"/>
        <w:rPr>
          <w:rFonts w:ascii="Arial" w:hAnsi="Arial" w:cs="Arial"/>
          <w:sz w:val="20"/>
          <w:szCs w:val="20"/>
        </w:rPr>
      </w:pPr>
      <w:r w:rsidRPr="00AC4AEA">
        <w:rPr>
          <w:rFonts w:ascii="Arial" w:hAnsi="Arial" w:cs="Arial"/>
          <w:sz w:val="20"/>
          <w:szCs w:val="20"/>
          <w:u w:val="single"/>
        </w:rPr>
        <w:t>Decisiones sobre actividades relevantes</w:t>
      </w:r>
      <w:r w:rsidRPr="00AC4AEA">
        <w:rPr>
          <w:rFonts w:ascii="Arial" w:hAnsi="Arial" w:cs="Arial"/>
          <w:sz w:val="20"/>
          <w:szCs w:val="20"/>
        </w:rPr>
        <w:t>.</w:t>
      </w:r>
    </w:p>
    <w:p w:rsidR="00421257" w:rsidRPr="00AC4AEA" w:rsidRDefault="00421257" w:rsidP="00C01B25">
      <w:pPr>
        <w:numPr>
          <w:ilvl w:val="0"/>
          <w:numId w:val="473"/>
        </w:numPr>
        <w:spacing w:after="35" w:line="256" w:lineRule="auto"/>
        <w:ind w:left="1701" w:hanging="283"/>
        <w:jc w:val="both"/>
        <w:rPr>
          <w:rFonts w:ascii="Arial" w:hAnsi="Arial" w:cs="Arial"/>
          <w:sz w:val="20"/>
          <w:szCs w:val="20"/>
        </w:rPr>
      </w:pPr>
      <w:r w:rsidRPr="00AC4AEA">
        <w:rPr>
          <w:rFonts w:ascii="Arial" w:hAnsi="Arial" w:cs="Arial"/>
          <w:sz w:val="20"/>
          <w:szCs w:val="20"/>
          <w:u w:val="single" w:color="000000"/>
        </w:rPr>
        <w:t>Entidad</w:t>
      </w:r>
      <w:r w:rsidRPr="00AC4AEA">
        <w:rPr>
          <w:rFonts w:ascii="Arial" w:hAnsi="Arial" w:cs="Arial"/>
          <w:sz w:val="20"/>
          <w:szCs w:val="20"/>
        </w:rPr>
        <w:t xml:space="preserve">. </w:t>
      </w:r>
    </w:p>
    <w:p w:rsidR="00421257" w:rsidRPr="007B56D7" w:rsidRDefault="00421257" w:rsidP="00C01B25">
      <w:pPr>
        <w:numPr>
          <w:ilvl w:val="0"/>
          <w:numId w:val="473"/>
        </w:numPr>
        <w:spacing w:after="35" w:line="256" w:lineRule="auto"/>
        <w:ind w:left="1701" w:hanging="283"/>
        <w:jc w:val="both"/>
        <w:rPr>
          <w:rFonts w:ascii="Arial" w:hAnsi="Arial" w:cs="Arial"/>
          <w:sz w:val="20"/>
          <w:szCs w:val="20"/>
        </w:rPr>
      </w:pPr>
      <w:r w:rsidRPr="007B56D7">
        <w:rPr>
          <w:rFonts w:ascii="Arial" w:hAnsi="Arial" w:cs="Arial"/>
          <w:sz w:val="20"/>
          <w:szCs w:val="20"/>
          <w:u w:val="single" w:color="000000"/>
        </w:rPr>
        <w:t>Entidad controladora</w:t>
      </w:r>
      <w:r w:rsidRPr="007B56D7">
        <w:rPr>
          <w:rFonts w:ascii="Arial" w:hAnsi="Arial" w:cs="Arial"/>
          <w:sz w:val="20"/>
          <w:szCs w:val="20"/>
        </w:rPr>
        <w:t xml:space="preserve">. </w:t>
      </w:r>
    </w:p>
    <w:p w:rsidR="00421257" w:rsidRPr="007B56D7" w:rsidRDefault="00421257" w:rsidP="00C01B25">
      <w:pPr>
        <w:numPr>
          <w:ilvl w:val="0"/>
          <w:numId w:val="473"/>
        </w:numPr>
        <w:spacing w:after="35" w:line="256" w:lineRule="auto"/>
        <w:ind w:left="1701" w:hanging="283"/>
        <w:jc w:val="both"/>
        <w:rPr>
          <w:rFonts w:ascii="Arial" w:hAnsi="Arial" w:cs="Arial"/>
          <w:sz w:val="20"/>
          <w:szCs w:val="20"/>
        </w:rPr>
      </w:pPr>
      <w:r w:rsidRPr="007B56D7">
        <w:rPr>
          <w:rFonts w:ascii="Arial" w:hAnsi="Arial" w:cs="Arial"/>
          <w:sz w:val="20"/>
          <w:szCs w:val="20"/>
          <w:u w:val="single" w:color="000000"/>
        </w:rPr>
        <w:t>Grupo económico</w:t>
      </w:r>
      <w:r w:rsidRPr="007B56D7">
        <w:rPr>
          <w:rFonts w:ascii="Arial" w:hAnsi="Arial" w:cs="Arial"/>
          <w:sz w:val="20"/>
          <w:szCs w:val="20"/>
        </w:rPr>
        <w:t xml:space="preserve">. </w:t>
      </w:r>
    </w:p>
    <w:p w:rsidR="00A21454" w:rsidRPr="007B56D7" w:rsidRDefault="00A21454" w:rsidP="00C01B25">
      <w:pPr>
        <w:numPr>
          <w:ilvl w:val="0"/>
          <w:numId w:val="473"/>
        </w:numPr>
        <w:spacing w:after="35" w:line="256" w:lineRule="auto"/>
        <w:ind w:left="1701" w:hanging="283"/>
        <w:jc w:val="both"/>
        <w:rPr>
          <w:rFonts w:ascii="Arial" w:hAnsi="Arial" w:cs="Arial"/>
          <w:sz w:val="20"/>
          <w:szCs w:val="20"/>
        </w:rPr>
      </w:pPr>
      <w:r w:rsidRPr="007B56D7">
        <w:rPr>
          <w:rFonts w:ascii="Arial" w:hAnsi="Arial" w:cs="Arial"/>
          <w:sz w:val="20"/>
          <w:szCs w:val="20"/>
          <w:u w:val="single" w:color="000000"/>
        </w:rPr>
        <w:t xml:space="preserve">Método del </w:t>
      </w:r>
      <w:r w:rsidRPr="007B56D7">
        <w:rPr>
          <w:rFonts w:ascii="Arial" w:hAnsi="Arial" w:cs="Arial"/>
          <w:b/>
          <w:bCs/>
          <w:sz w:val="20"/>
          <w:szCs w:val="20"/>
          <w:u w:val="single" w:color="000000"/>
        </w:rPr>
        <w:t>valor patrimonial proporcional</w:t>
      </w:r>
      <w:r w:rsidRPr="007B56D7">
        <w:rPr>
          <w:rFonts w:ascii="Arial" w:hAnsi="Arial" w:cs="Arial"/>
          <w:sz w:val="20"/>
          <w:szCs w:val="20"/>
          <w:u w:val="single" w:color="000000"/>
        </w:rPr>
        <w:t xml:space="preserve"> </w:t>
      </w:r>
    </w:p>
    <w:p w:rsidR="00421257" w:rsidRPr="007B56D7" w:rsidRDefault="00421257" w:rsidP="00C01B25">
      <w:pPr>
        <w:numPr>
          <w:ilvl w:val="0"/>
          <w:numId w:val="473"/>
        </w:numPr>
        <w:spacing w:after="35" w:line="256" w:lineRule="auto"/>
        <w:ind w:left="1701" w:hanging="283"/>
        <w:jc w:val="both"/>
        <w:rPr>
          <w:rFonts w:ascii="Arial" w:hAnsi="Arial" w:cs="Arial"/>
          <w:sz w:val="20"/>
          <w:szCs w:val="20"/>
        </w:rPr>
      </w:pPr>
      <w:r w:rsidRPr="007B56D7">
        <w:rPr>
          <w:rFonts w:ascii="Arial" w:hAnsi="Arial" w:cs="Arial"/>
          <w:sz w:val="20"/>
          <w:szCs w:val="20"/>
          <w:u w:val="single" w:color="000000"/>
        </w:rPr>
        <w:t>Participada</w:t>
      </w:r>
      <w:r w:rsidRPr="007B56D7">
        <w:rPr>
          <w:rFonts w:ascii="Arial" w:hAnsi="Arial" w:cs="Arial"/>
          <w:sz w:val="20"/>
          <w:szCs w:val="20"/>
        </w:rPr>
        <w:t xml:space="preserve">. </w:t>
      </w:r>
    </w:p>
    <w:p w:rsidR="00421257" w:rsidRPr="00AC4AEA" w:rsidRDefault="00421257" w:rsidP="00A318EA">
      <w:pPr>
        <w:spacing w:after="148" w:line="256" w:lineRule="auto"/>
        <w:ind w:left="1332"/>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12" w:name="_Toc139356989"/>
      <w:r w:rsidRPr="00AC4AEA">
        <w:rPr>
          <w:rFonts w:cs="Arial"/>
        </w:rPr>
        <w:t xml:space="preserve">Identificación de un </w:t>
      </w:r>
      <w:r w:rsidR="0098440E" w:rsidRPr="00AC4AEA">
        <w:rPr>
          <w:rFonts w:cs="Arial"/>
        </w:rPr>
        <w:t>negocio conjunto</w:t>
      </w:r>
      <w:bookmarkEnd w:id="1112"/>
      <w:r w:rsidR="0098440E" w:rsidRPr="00AC4AEA">
        <w:rPr>
          <w:rFonts w:cs="Arial"/>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13" w:name="_Ref132050447"/>
      <w:r w:rsidRPr="00AC4AEA">
        <w:rPr>
          <w:rFonts w:ascii="Arial" w:hAnsi="Arial" w:cs="Arial"/>
          <w:sz w:val="20"/>
          <w:szCs w:val="20"/>
        </w:rPr>
        <w:t xml:space="preserve">Un </w:t>
      </w:r>
      <w:r w:rsidR="0098440E" w:rsidRPr="00AC4AEA">
        <w:rPr>
          <w:rFonts w:ascii="Arial" w:hAnsi="Arial" w:cs="Arial"/>
          <w:sz w:val="20"/>
          <w:szCs w:val="20"/>
        </w:rPr>
        <w:t>negocio conjunto</w:t>
      </w:r>
      <w:r w:rsidRPr="00AC4AEA">
        <w:rPr>
          <w:rFonts w:ascii="Arial" w:hAnsi="Arial" w:cs="Arial"/>
          <w:sz w:val="20"/>
          <w:szCs w:val="20"/>
        </w:rPr>
        <w:t xml:space="preserve"> tiene las siguientes características:</w:t>
      </w:r>
      <w:bookmarkEnd w:id="1113"/>
      <w:r w:rsidRPr="00AC4AEA">
        <w:rPr>
          <w:rFonts w:ascii="Arial" w:hAnsi="Arial" w:cs="Arial"/>
          <w:sz w:val="20"/>
          <w:szCs w:val="20"/>
        </w:rPr>
        <w:t xml:space="preserve"> </w:t>
      </w:r>
    </w:p>
    <w:p w:rsidR="00421257" w:rsidRPr="00AC4AEA" w:rsidRDefault="00421257" w:rsidP="00C01B25">
      <w:pPr>
        <w:pStyle w:val="NUA-Nivel1"/>
        <w:numPr>
          <w:ilvl w:val="0"/>
          <w:numId w:val="583"/>
        </w:numPr>
        <w:ind w:left="1418"/>
      </w:pPr>
      <w:r w:rsidRPr="00AC4AEA">
        <w:t>las partes están obligadas por un acuerdo contractual</w:t>
      </w:r>
      <w:r w:rsidR="0098440E" w:rsidRPr="00AC4AEA">
        <w:t xml:space="preserve"> que da lugar </w:t>
      </w:r>
      <w:r w:rsidR="001E30DF" w:rsidRPr="00AC4AEA">
        <w:t>a</w:t>
      </w:r>
      <w:r w:rsidR="0098440E" w:rsidRPr="00AC4AEA">
        <w:t xml:space="preserve"> entidades con personalidad jurídica</w:t>
      </w:r>
      <w:r w:rsidR="001E30DF" w:rsidRPr="00AC4AEA">
        <w:t xml:space="preserve"> (acuerdo societario) o sin personalidad jurídica (acuerdo no societario)</w:t>
      </w:r>
      <w:r w:rsidR="0098440E" w:rsidRPr="00AC4AEA">
        <w:t>;</w:t>
      </w:r>
      <w:r w:rsidRPr="00AC4AEA">
        <w:t xml:space="preserve"> y </w:t>
      </w:r>
    </w:p>
    <w:p w:rsidR="00421257" w:rsidRPr="00AC4AEA" w:rsidRDefault="00421257" w:rsidP="00C01B25">
      <w:pPr>
        <w:pStyle w:val="NUA-Nivel1"/>
        <w:numPr>
          <w:ilvl w:val="0"/>
          <w:numId w:val="583"/>
        </w:numPr>
        <w:ind w:left="1418"/>
      </w:pPr>
      <w:r w:rsidRPr="00AC4AEA">
        <w:t xml:space="preserve">el acuerdo contractual otorga a dos o más partes el control conjunto sobre el acuerdo.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14" w:name="_Ref132052211"/>
      <w:r w:rsidRPr="00AC4AEA">
        <w:rPr>
          <w:rFonts w:ascii="Arial" w:hAnsi="Arial" w:cs="Arial"/>
          <w:sz w:val="20"/>
          <w:szCs w:val="20"/>
        </w:rPr>
        <w:t>Un acuerdo contractual otorga a dos o más partes el control conjunto cuando:</w:t>
      </w:r>
      <w:bookmarkEnd w:id="1114"/>
      <w:r w:rsidRPr="00AC4AEA">
        <w:rPr>
          <w:rFonts w:ascii="Arial" w:hAnsi="Arial" w:cs="Arial"/>
          <w:sz w:val="20"/>
          <w:szCs w:val="20"/>
        </w:rPr>
        <w:t xml:space="preserve"> </w:t>
      </w:r>
    </w:p>
    <w:p w:rsidR="00421257" w:rsidRPr="00AC4AEA" w:rsidRDefault="004D25BC" w:rsidP="00C01B25">
      <w:pPr>
        <w:pStyle w:val="NUA-Nivel1"/>
        <w:numPr>
          <w:ilvl w:val="0"/>
          <w:numId w:val="584"/>
        </w:numPr>
        <w:ind w:left="1418"/>
      </w:pPr>
      <w:r w:rsidRPr="00AC4AEA">
        <w:t>esas</w:t>
      </w:r>
      <w:r w:rsidR="00421257" w:rsidRPr="00AC4AEA">
        <w:t xml:space="preserve"> partes</w:t>
      </w:r>
      <w:r w:rsidR="00D92133" w:rsidRPr="00AC4AEA">
        <w:t xml:space="preserve"> </w:t>
      </w:r>
      <w:r w:rsidR="00421257" w:rsidRPr="00AC4AEA">
        <w:t xml:space="preserve">deben actuar conjuntamente para dirigir las actividades que afectan de forma significativa a los rendimientos del </w:t>
      </w:r>
      <w:r w:rsidRPr="00AC4AEA">
        <w:t>acuerdo</w:t>
      </w:r>
      <w:r w:rsidR="00421257" w:rsidRPr="00AC4AEA">
        <w:t xml:space="preserve"> (es decir, las actividades relevantes); y </w:t>
      </w:r>
    </w:p>
    <w:p w:rsidR="00421257" w:rsidRPr="00AC4AEA" w:rsidRDefault="00421257" w:rsidP="00C01B25">
      <w:pPr>
        <w:pStyle w:val="NUA-Nivel1"/>
        <w:numPr>
          <w:ilvl w:val="0"/>
          <w:numId w:val="584"/>
        </w:numPr>
        <w:ind w:left="1418"/>
      </w:pPr>
      <w:r w:rsidRPr="00AC4AEA">
        <w:t xml:space="preserve">las decisiones sobre las actividades relevantes requieren del consentimiento unánime de las partes </w:t>
      </w:r>
      <w:r w:rsidR="000122E0" w:rsidRPr="00AC4AEA">
        <w:t>identificadas en el inciso inmediato anterior</w:t>
      </w:r>
      <w:r w:rsidR="0098440E" w:rsidRPr="00AC4AEA">
        <w:t>.</w:t>
      </w:r>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15" w:name="_Ref139221613"/>
      <w:r w:rsidRPr="00AC4AEA">
        <w:rPr>
          <w:rFonts w:ascii="Arial" w:hAnsi="Arial" w:cs="Arial"/>
          <w:sz w:val="20"/>
          <w:szCs w:val="20"/>
        </w:rPr>
        <w:t>Los acuerdos contractuales</w:t>
      </w:r>
      <w:r w:rsidR="0098440E" w:rsidRPr="00AC4AEA">
        <w:rPr>
          <w:rFonts w:ascii="Arial" w:hAnsi="Arial" w:cs="Arial"/>
          <w:sz w:val="20"/>
          <w:szCs w:val="20"/>
        </w:rPr>
        <w:t xml:space="preserve">, societarios o no societarios, </w:t>
      </w:r>
      <w:r w:rsidRPr="00AC4AEA">
        <w:rPr>
          <w:rFonts w:ascii="Arial" w:hAnsi="Arial" w:cs="Arial"/>
          <w:sz w:val="20"/>
          <w:szCs w:val="20"/>
        </w:rPr>
        <w:t>pueden ponerse de manifiesto de diversas formas. Por ejemplo</w:t>
      </w:r>
      <w:r w:rsidR="0098440E" w:rsidRPr="00AC4AEA">
        <w:rPr>
          <w:rFonts w:ascii="Arial" w:hAnsi="Arial" w:cs="Arial"/>
          <w:sz w:val="20"/>
          <w:szCs w:val="20"/>
        </w:rPr>
        <w:t>:</w:t>
      </w:r>
      <w:bookmarkEnd w:id="1115"/>
    </w:p>
    <w:p w:rsidR="00421257" w:rsidRPr="00AC4AEA" w:rsidRDefault="008A1C1E" w:rsidP="00C01B25">
      <w:pPr>
        <w:pStyle w:val="NUA-Nivel1"/>
        <w:numPr>
          <w:ilvl w:val="0"/>
          <w:numId w:val="585"/>
        </w:numPr>
        <w:ind w:left="1418"/>
      </w:pPr>
      <w:r w:rsidRPr="00AC4AEA">
        <w:t>U</w:t>
      </w:r>
      <w:r w:rsidR="0098440E" w:rsidRPr="00AC4AEA">
        <w:t>niones transitorias de empresas</w:t>
      </w:r>
      <w:r w:rsidRPr="00AC4AEA">
        <w:t>.</w:t>
      </w:r>
    </w:p>
    <w:p w:rsidR="00421257" w:rsidRPr="00AC4AEA" w:rsidRDefault="008A1C1E" w:rsidP="00C01B25">
      <w:pPr>
        <w:pStyle w:val="NUA-Nivel1"/>
        <w:numPr>
          <w:ilvl w:val="0"/>
          <w:numId w:val="585"/>
        </w:numPr>
        <w:ind w:left="1418"/>
      </w:pPr>
      <w:r w:rsidRPr="00AC4AEA">
        <w:t>C</w:t>
      </w:r>
      <w:r w:rsidR="0098440E" w:rsidRPr="00AC4AEA">
        <w:t>onsorcios de cooperación</w:t>
      </w:r>
      <w:r w:rsidRPr="00AC4AEA">
        <w:t>.</w:t>
      </w:r>
      <w:r w:rsidR="0098440E" w:rsidRPr="00AC4AEA">
        <w:t xml:space="preserve"> </w:t>
      </w:r>
    </w:p>
    <w:p w:rsidR="0098440E" w:rsidRPr="00AC4AEA" w:rsidRDefault="008A1C1E" w:rsidP="00C01B25">
      <w:pPr>
        <w:pStyle w:val="NUA-Nivel1"/>
        <w:numPr>
          <w:ilvl w:val="0"/>
          <w:numId w:val="585"/>
        </w:numPr>
        <w:ind w:left="1418"/>
      </w:pPr>
      <w:r w:rsidRPr="00AC4AEA">
        <w:t>A</w:t>
      </w:r>
      <w:r w:rsidR="0098440E" w:rsidRPr="00AC4AEA">
        <w:t>grupaciones de colaboración</w:t>
      </w:r>
      <w:r w:rsidRPr="00AC4AEA">
        <w:t>.</w:t>
      </w:r>
    </w:p>
    <w:p w:rsidR="00421257" w:rsidRPr="00AC4AEA" w:rsidRDefault="008A1C1E" w:rsidP="00C01B25">
      <w:pPr>
        <w:pStyle w:val="NUA-Nivel1"/>
        <w:numPr>
          <w:ilvl w:val="0"/>
          <w:numId w:val="585"/>
        </w:numPr>
        <w:ind w:left="1418"/>
      </w:pPr>
      <w:r w:rsidRPr="00AC4AEA">
        <w:t>S</w:t>
      </w:r>
      <w:r w:rsidR="0098440E" w:rsidRPr="00AC4AEA">
        <w:t>ociedades u otras figuras con personalidad jurídica</w:t>
      </w:r>
      <w:r w:rsidR="00421257" w:rsidRPr="00AC4AEA">
        <w:t xml:space="preserve">. </w:t>
      </w:r>
    </w:p>
    <w:p w:rsidR="00421DAE" w:rsidRPr="00AC4AEA" w:rsidRDefault="00C47393" w:rsidP="000A0BD3">
      <w:pPr>
        <w:numPr>
          <w:ilvl w:val="0"/>
          <w:numId w:val="29"/>
        </w:numPr>
        <w:spacing w:line="264" w:lineRule="auto"/>
        <w:jc w:val="both"/>
        <w:rPr>
          <w:rFonts w:ascii="Arial" w:hAnsi="Arial" w:cs="Arial"/>
          <w:sz w:val="20"/>
          <w:szCs w:val="20"/>
        </w:rPr>
      </w:pPr>
      <w:bookmarkStart w:id="1116" w:name="_Ref132050454"/>
      <w:bookmarkStart w:id="1117" w:name="_Ref132053212"/>
      <w:r w:rsidRPr="00AC4AEA">
        <w:rPr>
          <w:rFonts w:ascii="Arial" w:hAnsi="Arial" w:cs="Arial"/>
          <w:sz w:val="20"/>
          <w:szCs w:val="20"/>
        </w:rPr>
        <w:t>Para</w:t>
      </w:r>
      <w:r w:rsidR="00421257" w:rsidRPr="00AC4AEA">
        <w:rPr>
          <w:rFonts w:ascii="Arial" w:hAnsi="Arial" w:cs="Arial"/>
          <w:sz w:val="20"/>
          <w:szCs w:val="20"/>
        </w:rPr>
        <w:t xml:space="preserve"> evaluar si tiene el control conjunto de un </w:t>
      </w:r>
      <w:r w:rsidR="0098440E" w:rsidRPr="00AC4AEA">
        <w:rPr>
          <w:rFonts w:ascii="Arial" w:hAnsi="Arial" w:cs="Arial"/>
          <w:sz w:val="20"/>
          <w:szCs w:val="20"/>
        </w:rPr>
        <w:t>negocio</w:t>
      </w:r>
      <w:r w:rsidR="00421257" w:rsidRPr="00AC4AEA">
        <w:rPr>
          <w:rFonts w:ascii="Arial" w:hAnsi="Arial" w:cs="Arial"/>
          <w:sz w:val="20"/>
          <w:szCs w:val="20"/>
        </w:rPr>
        <w:t xml:space="preserve">, una entidad que es parte de un </w:t>
      </w:r>
      <w:r w:rsidR="0098440E" w:rsidRPr="00AC4AEA">
        <w:rPr>
          <w:rFonts w:ascii="Arial" w:hAnsi="Arial" w:cs="Arial"/>
          <w:sz w:val="20"/>
          <w:szCs w:val="20"/>
        </w:rPr>
        <w:t>negocio</w:t>
      </w:r>
      <w:bookmarkEnd w:id="1116"/>
      <w:r w:rsidR="00F94312" w:rsidRPr="00AC4AEA">
        <w:rPr>
          <w:rFonts w:ascii="Arial" w:hAnsi="Arial" w:cs="Arial"/>
          <w:sz w:val="20"/>
          <w:szCs w:val="20"/>
        </w:rPr>
        <w:t xml:space="preserve"> podr</w:t>
      </w:r>
      <w:r w:rsidRPr="00AC4AEA">
        <w:rPr>
          <w:rFonts w:ascii="Arial" w:hAnsi="Arial" w:cs="Arial"/>
          <w:sz w:val="20"/>
          <w:szCs w:val="20"/>
        </w:rPr>
        <w:t>ía</w:t>
      </w:r>
      <w:r w:rsidR="00F94312" w:rsidRPr="00AC4AEA">
        <w:rPr>
          <w:rFonts w:ascii="Arial" w:hAnsi="Arial" w:cs="Arial"/>
          <w:sz w:val="20"/>
          <w:szCs w:val="20"/>
        </w:rPr>
        <w:t xml:space="preserve"> tener que recurrir al juicio de la </w:t>
      </w:r>
      <w:r w:rsidR="00F94312" w:rsidRPr="00AC4AEA">
        <w:rPr>
          <w:rFonts w:ascii="Arial" w:hAnsi="Arial" w:cs="Arial"/>
          <w:b/>
          <w:bCs/>
          <w:sz w:val="20"/>
          <w:szCs w:val="20"/>
        </w:rPr>
        <w:t xml:space="preserve">dirección </w:t>
      </w:r>
      <w:r w:rsidR="00F94312" w:rsidRPr="00AC4AEA">
        <w:rPr>
          <w:rFonts w:ascii="Arial" w:hAnsi="Arial" w:cs="Arial"/>
          <w:sz w:val="20"/>
          <w:szCs w:val="20"/>
        </w:rPr>
        <w:t xml:space="preserve">para </w:t>
      </w:r>
      <w:r w:rsidR="00421DAE" w:rsidRPr="00AC4AEA">
        <w:rPr>
          <w:rFonts w:ascii="Arial" w:hAnsi="Arial" w:cs="Arial"/>
          <w:sz w:val="20"/>
          <w:szCs w:val="20"/>
        </w:rPr>
        <w:t xml:space="preserve">completar la </w:t>
      </w:r>
      <w:r w:rsidR="00F94312" w:rsidRPr="00AC4AEA">
        <w:rPr>
          <w:rFonts w:ascii="Arial" w:hAnsi="Arial" w:cs="Arial"/>
          <w:sz w:val="20"/>
          <w:szCs w:val="20"/>
        </w:rPr>
        <w:t>evaluaci</w:t>
      </w:r>
      <w:r w:rsidR="00421DAE" w:rsidRPr="00AC4AEA">
        <w:rPr>
          <w:rFonts w:ascii="Arial" w:hAnsi="Arial" w:cs="Arial"/>
          <w:sz w:val="20"/>
          <w:szCs w:val="20"/>
        </w:rPr>
        <w:t>ón</w:t>
      </w:r>
      <w:r w:rsidR="00F94312" w:rsidRPr="00AC4AEA">
        <w:rPr>
          <w:rFonts w:ascii="Arial" w:hAnsi="Arial" w:cs="Arial"/>
          <w:sz w:val="20"/>
          <w:szCs w:val="20"/>
        </w:rPr>
        <w:t xml:space="preserve"> indicada en </w:t>
      </w:r>
      <w:r w:rsidR="002B5078">
        <w:rPr>
          <w:rFonts w:ascii="Arial" w:hAnsi="Arial" w:cs="Arial"/>
          <w:sz w:val="20"/>
          <w:szCs w:val="20"/>
        </w:rPr>
        <w:t>los</w:t>
      </w:r>
      <w:r w:rsidR="00421DAE" w:rsidRPr="00AC4AEA">
        <w:rPr>
          <w:rFonts w:ascii="Arial" w:hAnsi="Arial" w:cs="Arial"/>
          <w:sz w:val="20"/>
          <w:szCs w:val="20"/>
        </w:rPr>
        <w:t xml:space="preserve"> párrafo</w:t>
      </w:r>
      <w:r w:rsidR="002B5078">
        <w:rPr>
          <w:rFonts w:ascii="Arial" w:hAnsi="Arial" w:cs="Arial"/>
          <w:sz w:val="20"/>
          <w:szCs w:val="20"/>
        </w:rPr>
        <w:t xml:space="preserve">s </w:t>
      </w:r>
      <w:r w:rsidR="001C4138">
        <w:rPr>
          <w:rFonts w:ascii="Arial" w:hAnsi="Arial" w:cs="Arial"/>
          <w:sz w:val="20"/>
          <w:szCs w:val="20"/>
        </w:rPr>
        <w:fldChar w:fldCharType="begin"/>
      </w:r>
      <w:r w:rsidR="002B5078">
        <w:rPr>
          <w:rFonts w:ascii="Arial" w:hAnsi="Arial" w:cs="Arial"/>
          <w:sz w:val="20"/>
          <w:szCs w:val="20"/>
        </w:rPr>
        <w:instrText xml:space="preserve"> REF _Ref132050447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812</w:t>
      </w:r>
      <w:r w:rsidR="001C4138">
        <w:rPr>
          <w:rFonts w:ascii="Arial" w:hAnsi="Arial" w:cs="Arial"/>
          <w:sz w:val="20"/>
          <w:szCs w:val="20"/>
        </w:rPr>
        <w:fldChar w:fldCharType="end"/>
      </w:r>
      <w:r w:rsidR="002B5078">
        <w:rPr>
          <w:rFonts w:ascii="Arial" w:hAnsi="Arial" w:cs="Arial"/>
          <w:sz w:val="20"/>
          <w:szCs w:val="20"/>
        </w:rPr>
        <w:t xml:space="preserve"> a </w:t>
      </w:r>
      <w:r w:rsidR="001C4138">
        <w:rPr>
          <w:rFonts w:ascii="Arial" w:hAnsi="Arial" w:cs="Arial"/>
          <w:sz w:val="20"/>
          <w:szCs w:val="20"/>
        </w:rPr>
        <w:fldChar w:fldCharType="begin"/>
      </w:r>
      <w:r w:rsidR="002B5078">
        <w:rPr>
          <w:rFonts w:ascii="Arial" w:hAnsi="Arial" w:cs="Arial"/>
          <w:sz w:val="20"/>
          <w:szCs w:val="20"/>
        </w:rPr>
        <w:instrText xml:space="preserve"> REF _Ref139221613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814</w:t>
      </w:r>
      <w:r w:rsidR="001C4138">
        <w:rPr>
          <w:rFonts w:ascii="Arial" w:hAnsi="Arial" w:cs="Arial"/>
          <w:sz w:val="20"/>
          <w:szCs w:val="20"/>
        </w:rPr>
        <w:fldChar w:fldCharType="end"/>
      </w:r>
      <w:r w:rsidR="00421DAE" w:rsidRPr="00AC4AEA">
        <w:rPr>
          <w:rFonts w:ascii="Arial" w:hAnsi="Arial" w:cs="Arial"/>
          <w:sz w:val="20"/>
          <w:szCs w:val="20"/>
        </w:rPr>
        <w:t>.</w:t>
      </w:r>
      <w:bookmarkEnd w:id="1117"/>
    </w:p>
    <w:p w:rsidR="0098440E" w:rsidRPr="00AC4AEA" w:rsidRDefault="0098440E" w:rsidP="00A318EA">
      <w:pPr>
        <w:pStyle w:val="A-doctorado"/>
        <w:rPr>
          <w:rFonts w:ascii="Arial" w:hAnsi="Arial"/>
          <w:color w:val="auto"/>
          <w:sz w:val="20"/>
          <w:szCs w:val="20"/>
        </w:rPr>
      </w:pPr>
    </w:p>
    <w:p w:rsidR="00421257" w:rsidRPr="00AC4AEA" w:rsidRDefault="00421257" w:rsidP="00A318EA">
      <w:pPr>
        <w:pStyle w:val="Ttulo2"/>
        <w:rPr>
          <w:rFonts w:cs="Arial"/>
        </w:rPr>
      </w:pPr>
      <w:bookmarkStart w:id="1118" w:name="_Toc139356990"/>
      <w:r w:rsidRPr="00AC4AEA">
        <w:rPr>
          <w:rFonts w:cs="Arial"/>
        </w:rPr>
        <w:t xml:space="preserve">Clasificación de un </w:t>
      </w:r>
      <w:r w:rsidR="0098440E" w:rsidRPr="00AC4AEA">
        <w:rPr>
          <w:rFonts w:cs="Arial"/>
        </w:rPr>
        <w:t>negocio</w:t>
      </w:r>
      <w:r w:rsidRPr="00AC4AEA">
        <w:rPr>
          <w:rFonts w:cs="Arial"/>
        </w:rPr>
        <w:t xml:space="preserve"> conjunto</w:t>
      </w:r>
      <w:bookmarkEnd w:id="1118"/>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bookmarkStart w:id="1119" w:name="_Ref132050457"/>
      <w:r w:rsidRPr="00AC4AEA">
        <w:rPr>
          <w:rFonts w:ascii="Arial" w:hAnsi="Arial" w:cs="Arial"/>
          <w:sz w:val="20"/>
          <w:szCs w:val="20"/>
        </w:rPr>
        <w:t>Una entidad</w:t>
      </w:r>
      <w:r w:rsidR="0098440E" w:rsidRPr="00AC4AEA">
        <w:rPr>
          <w:rFonts w:ascii="Arial" w:hAnsi="Arial" w:cs="Arial"/>
          <w:sz w:val="20"/>
          <w:szCs w:val="20"/>
        </w:rPr>
        <w:t>:</w:t>
      </w:r>
      <w:bookmarkEnd w:id="1119"/>
      <w:r w:rsidR="0098440E" w:rsidRPr="00AC4AEA">
        <w:rPr>
          <w:rFonts w:ascii="Arial" w:hAnsi="Arial" w:cs="Arial"/>
          <w:sz w:val="20"/>
          <w:szCs w:val="20"/>
        </w:rPr>
        <w:t xml:space="preserve"> </w:t>
      </w:r>
    </w:p>
    <w:p w:rsidR="00421257" w:rsidRPr="007B56D7" w:rsidRDefault="0098440E" w:rsidP="00C01B25">
      <w:pPr>
        <w:pStyle w:val="NUA-Nivel1"/>
        <w:numPr>
          <w:ilvl w:val="0"/>
          <w:numId w:val="586"/>
        </w:numPr>
        <w:ind w:left="1418"/>
      </w:pPr>
      <w:r w:rsidRPr="00AC4AEA">
        <w:t xml:space="preserve">Clasificará un negocio conjunto, utilizando las definiciones descriptas en el </w:t>
      </w:r>
      <w:r w:rsidRPr="007B56D7">
        <w:t xml:space="preserve">párrafo </w:t>
      </w:r>
      <w:fldSimple w:instr=" REF _Ref131758320 \r \h  \* MERGEFORMAT ">
        <w:r w:rsidR="00D33A5D">
          <w:t>811</w:t>
        </w:r>
      </w:fldSimple>
      <w:r w:rsidRPr="007B56D7">
        <w:t>.</w:t>
      </w:r>
    </w:p>
    <w:p w:rsidR="0098440E" w:rsidRPr="007B56D7" w:rsidRDefault="00D81E8F" w:rsidP="00C01B25">
      <w:pPr>
        <w:pStyle w:val="NUA-Nivel1"/>
        <w:numPr>
          <w:ilvl w:val="0"/>
          <w:numId w:val="586"/>
        </w:numPr>
        <w:ind w:left="1418"/>
      </w:pPr>
      <w:r w:rsidRPr="007B56D7">
        <w:t>A</w:t>
      </w:r>
      <w:r w:rsidR="0098440E" w:rsidRPr="007B56D7">
        <w:t>plicará</w:t>
      </w:r>
      <w:r w:rsidRPr="007B56D7">
        <w:t>, cuando la instrumentación jurídica no refleje la sustancia económica,</w:t>
      </w:r>
      <w:r w:rsidR="006F2C57">
        <w:t xml:space="preserve"> </w:t>
      </w:r>
      <w:r w:rsidR="0098440E" w:rsidRPr="007B56D7">
        <w:t xml:space="preserve">el juicio de la </w:t>
      </w:r>
      <w:r w:rsidR="0098440E" w:rsidRPr="007B56D7">
        <w:rPr>
          <w:b/>
          <w:bCs/>
        </w:rPr>
        <w:t xml:space="preserve">dirección </w:t>
      </w:r>
      <w:r w:rsidR="0098440E" w:rsidRPr="007B56D7">
        <w:t>para determinar si un negocio conjunto es:</w:t>
      </w:r>
    </w:p>
    <w:p w:rsidR="0098440E" w:rsidRPr="007B56D7" w:rsidRDefault="0098440E" w:rsidP="00030154">
      <w:pPr>
        <w:pStyle w:val="NUA-Nivel1"/>
        <w:numPr>
          <w:ilvl w:val="2"/>
          <w:numId w:val="29"/>
        </w:numPr>
        <w:ind w:left="1985" w:hanging="284"/>
      </w:pPr>
      <w:r w:rsidRPr="007B56D7">
        <w:lastRenderedPageBreak/>
        <w:t>un negocio conjunto no societario; o</w:t>
      </w:r>
    </w:p>
    <w:p w:rsidR="00421257" w:rsidRPr="007B56D7" w:rsidRDefault="0098440E" w:rsidP="00030154">
      <w:pPr>
        <w:pStyle w:val="NUA-Nivel1"/>
        <w:numPr>
          <w:ilvl w:val="2"/>
          <w:numId w:val="29"/>
        </w:numPr>
        <w:ind w:left="1985" w:hanging="284"/>
      </w:pPr>
      <w:r w:rsidRPr="007B56D7">
        <w:t>un negocio conjunto societario.</w:t>
      </w:r>
    </w:p>
    <w:p w:rsidR="0098440E" w:rsidRPr="00AC4AEA" w:rsidRDefault="0098440E" w:rsidP="00A318EA">
      <w:pPr>
        <w:pStyle w:val="A-doctorado"/>
        <w:rPr>
          <w:rFonts w:ascii="Arial" w:hAnsi="Arial"/>
          <w:color w:val="auto"/>
          <w:sz w:val="20"/>
          <w:szCs w:val="20"/>
        </w:rPr>
      </w:pPr>
    </w:p>
    <w:p w:rsidR="00421257" w:rsidRPr="00AC4AEA" w:rsidRDefault="00421257" w:rsidP="00A318EA">
      <w:pPr>
        <w:pStyle w:val="Ttulo2"/>
        <w:rPr>
          <w:rFonts w:cs="Arial"/>
        </w:rPr>
      </w:pPr>
      <w:bookmarkStart w:id="1120" w:name="_Toc139356991"/>
      <w:r w:rsidRPr="00AC4AEA">
        <w:rPr>
          <w:rFonts w:cs="Arial"/>
        </w:rPr>
        <w:t xml:space="preserve">Contabilización de un </w:t>
      </w:r>
      <w:r w:rsidR="0098440E" w:rsidRPr="00AC4AEA">
        <w:rPr>
          <w:rFonts w:cs="Arial"/>
        </w:rPr>
        <w:t>negocio conjunto</w:t>
      </w:r>
      <w:bookmarkEnd w:id="1120"/>
      <w:r w:rsidRPr="00AC4AEA">
        <w:rPr>
          <w:rFonts w:cs="Arial"/>
        </w:rPr>
        <w:t xml:space="preserve"> </w:t>
      </w:r>
    </w:p>
    <w:p w:rsidR="00421257" w:rsidRPr="00AC4AEA" w:rsidRDefault="0098440E" w:rsidP="00A318EA">
      <w:pPr>
        <w:pStyle w:val="Ttulo3"/>
      </w:pPr>
      <w:bookmarkStart w:id="1121" w:name="_Toc139356992"/>
      <w:r w:rsidRPr="00AC4AEA">
        <w:t>Negocios conjuntos no societarios</w:t>
      </w:r>
      <w:bookmarkEnd w:id="1121"/>
    </w:p>
    <w:p w:rsidR="0098440E" w:rsidRPr="00AC4AEA" w:rsidRDefault="0098440E" w:rsidP="00A318EA">
      <w:pPr>
        <w:pStyle w:val="Ttulo3"/>
      </w:pPr>
      <w:bookmarkStart w:id="1122" w:name="_Toc139356993"/>
      <w:r w:rsidRPr="00AC4AEA">
        <w:t xml:space="preserve">Tratamiento en los estados contables de </w:t>
      </w:r>
      <w:r w:rsidR="00030154" w:rsidRPr="00AC4AEA">
        <w:t>una controladora conjunta</w:t>
      </w:r>
      <w:bookmarkEnd w:id="1122"/>
    </w:p>
    <w:p w:rsidR="0098440E" w:rsidRPr="00AC4AEA" w:rsidRDefault="0098440E" w:rsidP="00A318EA">
      <w:pPr>
        <w:pStyle w:val="Ttulo4"/>
      </w:pPr>
      <w:r w:rsidRPr="00AC4AEA">
        <w:t>Reconocimiento</w:t>
      </w:r>
    </w:p>
    <w:p w:rsidR="00421257" w:rsidRPr="00AC4AEA" w:rsidRDefault="00030154" w:rsidP="000A0BD3">
      <w:pPr>
        <w:numPr>
          <w:ilvl w:val="0"/>
          <w:numId w:val="29"/>
        </w:numPr>
        <w:spacing w:after="147" w:line="264" w:lineRule="auto"/>
        <w:jc w:val="both"/>
        <w:rPr>
          <w:rFonts w:ascii="Arial" w:hAnsi="Arial" w:cs="Arial"/>
          <w:sz w:val="20"/>
          <w:szCs w:val="20"/>
        </w:rPr>
      </w:pPr>
      <w:bookmarkStart w:id="1123" w:name="_Ref131511197"/>
      <w:r w:rsidRPr="00AC4AEA">
        <w:rPr>
          <w:rFonts w:ascii="Arial" w:hAnsi="Arial" w:cs="Arial"/>
          <w:sz w:val="20"/>
          <w:szCs w:val="20"/>
        </w:rPr>
        <w:t xml:space="preserve">En sus </w:t>
      </w:r>
      <w:r w:rsidRPr="00AC4AEA">
        <w:rPr>
          <w:rFonts w:ascii="Arial" w:hAnsi="Arial" w:cs="Arial"/>
          <w:b/>
          <w:bCs/>
          <w:sz w:val="20"/>
          <w:szCs w:val="20"/>
        </w:rPr>
        <w:t>estados contables</w:t>
      </w:r>
      <w:r w:rsidRPr="00AC4AEA">
        <w:rPr>
          <w:rFonts w:ascii="Arial" w:hAnsi="Arial" w:cs="Arial"/>
          <w:sz w:val="20"/>
          <w:szCs w:val="20"/>
        </w:rPr>
        <w:t xml:space="preserve"> una</w:t>
      </w:r>
      <w:r w:rsidR="00421257" w:rsidRPr="00AC4AEA">
        <w:rPr>
          <w:rFonts w:ascii="Arial" w:hAnsi="Arial" w:cs="Arial"/>
          <w:sz w:val="20"/>
          <w:szCs w:val="20"/>
        </w:rPr>
        <w:t xml:space="preserve"> </w:t>
      </w:r>
      <w:r w:rsidRPr="00AC4AEA">
        <w:rPr>
          <w:rFonts w:ascii="Arial" w:hAnsi="Arial" w:cs="Arial"/>
          <w:sz w:val="20"/>
          <w:szCs w:val="20"/>
        </w:rPr>
        <w:t xml:space="preserve">controladora conjunta </w:t>
      </w:r>
      <w:r w:rsidR="00421257" w:rsidRPr="00AC4AEA">
        <w:rPr>
          <w:rFonts w:ascii="Arial" w:hAnsi="Arial" w:cs="Arial"/>
          <w:sz w:val="20"/>
          <w:szCs w:val="20"/>
        </w:rPr>
        <w:t>reconocerá:</w:t>
      </w:r>
      <w:bookmarkEnd w:id="1123"/>
      <w:r w:rsidR="00421257" w:rsidRPr="00AC4AEA">
        <w:rPr>
          <w:rFonts w:ascii="Arial" w:hAnsi="Arial" w:cs="Arial"/>
          <w:sz w:val="20"/>
          <w:szCs w:val="20"/>
        </w:rPr>
        <w:t xml:space="preserve"> </w:t>
      </w:r>
    </w:p>
    <w:p w:rsidR="00421257" w:rsidRPr="00AC4AEA" w:rsidRDefault="00421257" w:rsidP="00C01B25">
      <w:pPr>
        <w:pStyle w:val="NUA-Nivel1"/>
        <w:numPr>
          <w:ilvl w:val="0"/>
          <w:numId w:val="587"/>
        </w:numPr>
        <w:ind w:left="1276"/>
      </w:pPr>
      <w:r w:rsidRPr="00AC4AEA">
        <w:t xml:space="preserve">sus </w:t>
      </w:r>
      <w:r w:rsidR="00CE13D7" w:rsidRPr="00CE13D7">
        <w:rPr>
          <w:bCs/>
        </w:rPr>
        <w:t>activos</w:t>
      </w:r>
      <w:r w:rsidRPr="00AC4AEA">
        <w:t xml:space="preserve">, incluyendo su participación en los </w:t>
      </w:r>
      <w:r w:rsidR="00CE13D7" w:rsidRPr="00CE13D7">
        <w:rPr>
          <w:bCs/>
        </w:rPr>
        <w:t>activos</w:t>
      </w:r>
      <w:r w:rsidRPr="00AC4AEA">
        <w:t xml:space="preserve"> mantenidos conjuntamente; </w:t>
      </w:r>
    </w:p>
    <w:p w:rsidR="00421257" w:rsidRPr="00AC4AEA" w:rsidRDefault="00421257" w:rsidP="00C01B25">
      <w:pPr>
        <w:pStyle w:val="NUA-Nivel1"/>
        <w:numPr>
          <w:ilvl w:val="0"/>
          <w:numId w:val="587"/>
        </w:numPr>
        <w:ind w:left="1276"/>
      </w:pPr>
      <w:r w:rsidRPr="00AC4AEA">
        <w:t xml:space="preserve">sus </w:t>
      </w:r>
      <w:r w:rsidR="00CE13D7" w:rsidRPr="00CE13D7">
        <w:rPr>
          <w:bCs/>
        </w:rPr>
        <w:t>pasivos</w:t>
      </w:r>
      <w:r w:rsidRPr="00AC4AEA">
        <w:t xml:space="preserve">, incluyendo su participación en los </w:t>
      </w:r>
      <w:r w:rsidR="00CE13D7" w:rsidRPr="00CE13D7">
        <w:rPr>
          <w:bCs/>
        </w:rPr>
        <w:t>pasivos</w:t>
      </w:r>
      <w:r w:rsidR="00237C5F" w:rsidRPr="00AC4AEA">
        <w:t xml:space="preserve"> </w:t>
      </w:r>
      <w:r w:rsidRPr="00AC4AEA">
        <w:t xml:space="preserve">incurridos conjuntamente; </w:t>
      </w:r>
    </w:p>
    <w:p w:rsidR="00421257" w:rsidRPr="00AC4AEA" w:rsidRDefault="00030154" w:rsidP="00C01B25">
      <w:pPr>
        <w:pStyle w:val="NUA-Nivel1"/>
        <w:numPr>
          <w:ilvl w:val="0"/>
          <w:numId w:val="587"/>
        </w:numPr>
        <w:ind w:left="1276"/>
      </w:pPr>
      <w:r w:rsidRPr="00AC4AEA">
        <w:t>sus</w:t>
      </w:r>
      <w:r w:rsidR="00421257" w:rsidRPr="00AC4AEA">
        <w:t xml:space="preserve"> </w:t>
      </w:r>
      <w:r w:rsidR="00421257" w:rsidRPr="00AC4AEA">
        <w:rPr>
          <w:b/>
          <w:bCs/>
        </w:rPr>
        <w:t>ingresos</w:t>
      </w:r>
      <w:r w:rsidRPr="00AC4AEA">
        <w:rPr>
          <w:b/>
          <w:bCs/>
        </w:rPr>
        <w:t xml:space="preserve">, </w:t>
      </w:r>
      <w:r w:rsidRPr="00AC4AEA">
        <w:t>incluyendo su participación en</w:t>
      </w:r>
      <w:r w:rsidR="00421257" w:rsidRPr="00AC4AEA">
        <w:t xml:space="preserve"> </w:t>
      </w:r>
      <w:r w:rsidRPr="00AC4AEA">
        <w:t xml:space="preserve">los </w:t>
      </w:r>
      <w:r w:rsidRPr="00AC4AEA">
        <w:rPr>
          <w:b/>
          <w:bCs/>
        </w:rPr>
        <w:t>ingresos</w:t>
      </w:r>
      <w:r w:rsidR="00421257" w:rsidRPr="00AC4AEA">
        <w:t xml:space="preserve"> </w:t>
      </w:r>
      <w:r w:rsidRPr="00AC4AEA">
        <w:t>generados conjuntamente</w:t>
      </w:r>
      <w:r w:rsidR="00421257" w:rsidRPr="00AC4AEA">
        <w:t xml:space="preserve">; y </w:t>
      </w:r>
    </w:p>
    <w:p w:rsidR="00421257" w:rsidRPr="00AC4AEA" w:rsidRDefault="00421257" w:rsidP="00C01B25">
      <w:pPr>
        <w:pStyle w:val="NUA-Nivel1"/>
        <w:numPr>
          <w:ilvl w:val="0"/>
          <w:numId w:val="587"/>
        </w:numPr>
        <w:ind w:left="1276"/>
      </w:pPr>
      <w:r w:rsidRPr="00AC4AEA">
        <w:t xml:space="preserve">sus </w:t>
      </w:r>
      <w:r w:rsidRPr="00AC4AEA">
        <w:rPr>
          <w:b/>
          <w:bCs/>
        </w:rPr>
        <w:t>gastos</w:t>
      </w:r>
      <w:r w:rsidRPr="00AC4AEA">
        <w:t xml:space="preserve">, incluyendo su participación en los </w:t>
      </w:r>
      <w:r w:rsidRPr="00AC4AEA">
        <w:rPr>
          <w:b/>
          <w:bCs/>
        </w:rPr>
        <w:t>gastos</w:t>
      </w:r>
      <w:r w:rsidRPr="00AC4AEA">
        <w:t xml:space="preserve"> incurridos conjuntamente. </w:t>
      </w:r>
    </w:p>
    <w:p w:rsidR="0098440E" w:rsidRPr="00AC4AEA" w:rsidRDefault="0098440E" w:rsidP="00030154">
      <w:pPr>
        <w:pStyle w:val="NUA-Nivel1"/>
        <w:numPr>
          <w:ilvl w:val="0"/>
          <w:numId w:val="0"/>
        </w:numPr>
        <w:ind w:left="1276"/>
      </w:pPr>
    </w:p>
    <w:p w:rsidR="0098440E" w:rsidRPr="00AC4AEA" w:rsidRDefault="0098440E" w:rsidP="00A318EA">
      <w:pPr>
        <w:pStyle w:val="Ttulo4"/>
      </w:pPr>
      <w:r w:rsidRPr="00AC4AEA">
        <w:t>Medición</w:t>
      </w:r>
    </w:p>
    <w:p w:rsidR="0098440E" w:rsidRPr="007B56D7" w:rsidRDefault="00030154" w:rsidP="000A0BD3">
      <w:pPr>
        <w:numPr>
          <w:ilvl w:val="0"/>
          <w:numId w:val="29"/>
        </w:numPr>
        <w:spacing w:after="147" w:line="264" w:lineRule="auto"/>
        <w:jc w:val="both"/>
        <w:rPr>
          <w:rFonts w:ascii="Arial" w:hAnsi="Arial" w:cs="Arial"/>
          <w:sz w:val="20"/>
          <w:szCs w:val="20"/>
        </w:rPr>
      </w:pPr>
      <w:bookmarkStart w:id="1124" w:name="_Ref131760004"/>
      <w:bookmarkStart w:id="1125" w:name="_Ref132050751"/>
      <w:r w:rsidRPr="007B56D7">
        <w:rPr>
          <w:rFonts w:ascii="Arial" w:hAnsi="Arial" w:cs="Arial"/>
          <w:sz w:val="20"/>
          <w:szCs w:val="20"/>
        </w:rPr>
        <w:t>Una controladora conjunta</w:t>
      </w:r>
      <w:r w:rsidR="0098440E" w:rsidRPr="007B56D7">
        <w:rPr>
          <w:rFonts w:ascii="Arial" w:hAnsi="Arial" w:cs="Arial"/>
          <w:sz w:val="20"/>
          <w:szCs w:val="20"/>
        </w:rPr>
        <w:t xml:space="preserve"> medirá los activos y pasivos </w:t>
      </w:r>
      <w:bookmarkEnd w:id="1124"/>
      <w:r w:rsidR="0098440E" w:rsidRPr="007B56D7">
        <w:rPr>
          <w:rFonts w:ascii="Arial" w:hAnsi="Arial" w:cs="Arial"/>
          <w:sz w:val="20"/>
          <w:szCs w:val="20"/>
        </w:rPr>
        <w:t>referidos en el párrafo anterior:</w:t>
      </w:r>
      <w:bookmarkEnd w:id="1125"/>
    </w:p>
    <w:p w:rsidR="0098440E" w:rsidRPr="007B56D7" w:rsidRDefault="0098440E" w:rsidP="00C01B25">
      <w:pPr>
        <w:pStyle w:val="NUA-Nivel1"/>
        <w:numPr>
          <w:ilvl w:val="0"/>
          <w:numId w:val="588"/>
        </w:numPr>
        <w:ind w:left="1276"/>
      </w:pPr>
      <w:r w:rsidRPr="007B56D7">
        <w:t xml:space="preserve">Por </w:t>
      </w:r>
      <w:r w:rsidR="00307CF7" w:rsidRPr="007B56D7">
        <w:t>el importe</w:t>
      </w:r>
      <w:r w:rsidRPr="007B56D7">
        <w:t xml:space="preserve"> contable </w:t>
      </w:r>
      <w:r w:rsidR="00030154" w:rsidRPr="007B56D7">
        <w:t>determinado como si no existiera el negocio conjunto</w:t>
      </w:r>
      <w:r w:rsidRPr="007B56D7">
        <w:t xml:space="preserve">, si conserva el control de los activos y </w:t>
      </w:r>
      <w:r w:rsidR="00422D5C" w:rsidRPr="007B56D7">
        <w:t>la</w:t>
      </w:r>
      <w:r w:rsidRPr="007B56D7">
        <w:t xml:space="preserve"> obligación por los pasivos.</w:t>
      </w:r>
    </w:p>
    <w:p w:rsidR="0098440E" w:rsidRPr="007B56D7" w:rsidRDefault="00030154" w:rsidP="00C01B25">
      <w:pPr>
        <w:pStyle w:val="NUA-Nivel1"/>
        <w:numPr>
          <w:ilvl w:val="0"/>
          <w:numId w:val="588"/>
        </w:numPr>
        <w:ind w:left="1276"/>
      </w:pPr>
      <w:r w:rsidRPr="007B56D7">
        <w:t>Multiplicando</w:t>
      </w:r>
      <w:r w:rsidR="0098440E" w:rsidRPr="007B56D7">
        <w:t xml:space="preserve"> el porcentaje de su participación </w:t>
      </w:r>
      <w:r w:rsidRPr="007B56D7">
        <w:t>por el importe de</w:t>
      </w:r>
      <w:r w:rsidR="0098440E" w:rsidRPr="007B56D7">
        <w:t xml:space="preserve"> </w:t>
      </w:r>
      <w:r w:rsidRPr="007B56D7">
        <w:t xml:space="preserve">los activos mantenidos y pasivos incurridos conjuntamente, determinado </w:t>
      </w:r>
      <w:r w:rsidR="0098440E" w:rsidRPr="007B56D7">
        <w:t xml:space="preserve">según lo establecido </w:t>
      </w:r>
      <w:r w:rsidRPr="007B56D7">
        <w:t xml:space="preserve">en esta Resolución Técnica u </w:t>
      </w:r>
      <w:r w:rsidRPr="007B56D7">
        <w:rPr>
          <w:b/>
          <w:bCs/>
        </w:rPr>
        <w:t>otras normas contables</w:t>
      </w:r>
      <w:r w:rsidR="00422D5C" w:rsidRPr="007B56D7">
        <w:t>.</w:t>
      </w:r>
    </w:p>
    <w:p w:rsidR="00E82756" w:rsidRPr="00AC4AEA" w:rsidRDefault="00E82756" w:rsidP="00A318EA">
      <w:pPr>
        <w:pStyle w:val="NUA-Nivel1"/>
        <w:numPr>
          <w:ilvl w:val="0"/>
          <w:numId w:val="0"/>
        </w:numPr>
      </w:pPr>
    </w:p>
    <w:p w:rsidR="0098440E" w:rsidRPr="00AC4AEA" w:rsidRDefault="0098440E" w:rsidP="00A318EA">
      <w:pPr>
        <w:pStyle w:val="Ttulo3"/>
      </w:pPr>
      <w:bookmarkStart w:id="1126" w:name="_Toc139356994"/>
      <w:r w:rsidRPr="00AC4AEA">
        <w:t xml:space="preserve">Tratamiento en los estados contables de una </w:t>
      </w:r>
      <w:r w:rsidR="00030154" w:rsidRPr="00AC4AEA">
        <w:t>parte</w:t>
      </w:r>
      <w:r w:rsidRPr="00AC4AEA">
        <w:t xml:space="preserve"> que </w:t>
      </w:r>
      <w:r w:rsidR="00030154" w:rsidRPr="00AC4AEA">
        <w:t>no es controladora conjunta</w:t>
      </w:r>
      <w:bookmarkEnd w:id="1126"/>
    </w:p>
    <w:p w:rsidR="00421257" w:rsidRPr="00AC4AEA" w:rsidRDefault="0098440E" w:rsidP="000A0BD3">
      <w:pPr>
        <w:numPr>
          <w:ilvl w:val="0"/>
          <w:numId w:val="29"/>
        </w:numPr>
        <w:spacing w:line="264" w:lineRule="auto"/>
        <w:jc w:val="both"/>
        <w:rPr>
          <w:rFonts w:ascii="Arial" w:hAnsi="Arial" w:cs="Arial"/>
          <w:sz w:val="20"/>
          <w:szCs w:val="20"/>
        </w:rPr>
      </w:pPr>
      <w:r w:rsidRPr="00AC4AEA">
        <w:rPr>
          <w:rFonts w:ascii="Arial" w:hAnsi="Arial" w:cs="Arial"/>
          <w:sz w:val="20"/>
          <w:szCs w:val="20"/>
        </w:rPr>
        <w:t>Cuando</w:t>
      </w:r>
      <w:r w:rsidR="00421257" w:rsidRPr="00AC4AEA">
        <w:rPr>
          <w:rFonts w:ascii="Arial" w:hAnsi="Arial" w:cs="Arial"/>
          <w:sz w:val="20"/>
          <w:szCs w:val="20"/>
        </w:rPr>
        <w:t xml:space="preserve"> </w:t>
      </w:r>
      <w:r w:rsidR="00030154" w:rsidRPr="00AC4AEA">
        <w:rPr>
          <w:rFonts w:ascii="Arial" w:hAnsi="Arial" w:cs="Arial"/>
          <w:sz w:val="20"/>
          <w:szCs w:val="20"/>
        </w:rPr>
        <w:t xml:space="preserve">es parte de </w:t>
      </w:r>
      <w:r w:rsidRPr="00AC4AEA">
        <w:rPr>
          <w:rFonts w:ascii="Arial" w:hAnsi="Arial" w:cs="Arial"/>
          <w:sz w:val="20"/>
          <w:szCs w:val="20"/>
        </w:rPr>
        <w:t>un negocio conjunto no societario</w:t>
      </w:r>
      <w:r w:rsidR="00421257" w:rsidRPr="00AC4AEA">
        <w:rPr>
          <w:rFonts w:ascii="Arial" w:hAnsi="Arial" w:cs="Arial"/>
          <w:sz w:val="20"/>
          <w:szCs w:val="20"/>
        </w:rPr>
        <w:t xml:space="preserve">, pero no tiene control conjunto </w:t>
      </w:r>
      <w:r w:rsidRPr="00AC4AEA">
        <w:rPr>
          <w:rFonts w:ascii="Arial" w:hAnsi="Arial" w:cs="Arial"/>
          <w:sz w:val="20"/>
          <w:szCs w:val="20"/>
        </w:rPr>
        <w:t>sobre este</w:t>
      </w:r>
      <w:r w:rsidR="00421257" w:rsidRPr="00AC4AEA">
        <w:rPr>
          <w:rFonts w:ascii="Arial" w:hAnsi="Arial" w:cs="Arial"/>
          <w:sz w:val="20"/>
          <w:szCs w:val="20"/>
        </w:rPr>
        <w:t>,</w:t>
      </w:r>
      <w:r w:rsidRPr="00AC4AEA">
        <w:rPr>
          <w:rFonts w:ascii="Arial" w:hAnsi="Arial" w:cs="Arial"/>
          <w:sz w:val="20"/>
          <w:szCs w:val="20"/>
        </w:rPr>
        <w:t xml:space="preserve"> una entidad</w:t>
      </w:r>
      <w:r w:rsidR="00421257" w:rsidRPr="00AC4AEA">
        <w:rPr>
          <w:rFonts w:ascii="Arial" w:hAnsi="Arial" w:cs="Arial"/>
          <w:sz w:val="20"/>
          <w:szCs w:val="20"/>
        </w:rPr>
        <w:t xml:space="preserve"> </w:t>
      </w:r>
      <w:r w:rsidR="00422D5C" w:rsidRPr="00AC4AEA">
        <w:rPr>
          <w:rFonts w:ascii="Arial" w:hAnsi="Arial" w:cs="Arial"/>
          <w:sz w:val="20"/>
          <w:szCs w:val="20"/>
        </w:rPr>
        <w:t xml:space="preserve">reconocerá y </w:t>
      </w:r>
      <w:r w:rsidR="00DE7C55" w:rsidRPr="00AC4AEA">
        <w:rPr>
          <w:rFonts w:ascii="Arial" w:hAnsi="Arial" w:cs="Arial"/>
          <w:sz w:val="20"/>
          <w:szCs w:val="20"/>
        </w:rPr>
        <w:t>medirá</w:t>
      </w:r>
      <w:r w:rsidR="00421257" w:rsidRPr="00AC4AEA">
        <w:rPr>
          <w:rFonts w:ascii="Arial" w:hAnsi="Arial" w:cs="Arial"/>
          <w:sz w:val="20"/>
          <w:szCs w:val="20"/>
        </w:rPr>
        <w:t xml:space="preserve"> su participación en el </w:t>
      </w:r>
      <w:r w:rsidRPr="00AC4AEA">
        <w:rPr>
          <w:rFonts w:ascii="Arial" w:hAnsi="Arial" w:cs="Arial"/>
          <w:sz w:val="20"/>
          <w:szCs w:val="20"/>
        </w:rPr>
        <w:t>negocio</w:t>
      </w:r>
      <w:r w:rsidR="00421257" w:rsidRPr="00AC4AEA">
        <w:rPr>
          <w:rFonts w:ascii="Arial" w:hAnsi="Arial" w:cs="Arial"/>
          <w:sz w:val="20"/>
          <w:szCs w:val="20"/>
        </w:rPr>
        <w:t>:</w:t>
      </w:r>
      <w:r w:rsidR="006F2C57">
        <w:rPr>
          <w:rFonts w:ascii="Arial" w:hAnsi="Arial" w:cs="Arial"/>
          <w:sz w:val="20"/>
          <w:szCs w:val="20"/>
        </w:rPr>
        <w:t xml:space="preserve"> </w:t>
      </w:r>
    </w:p>
    <w:p w:rsidR="00421257" w:rsidRPr="00AC4AEA" w:rsidRDefault="00422D5C" w:rsidP="00C01B25">
      <w:pPr>
        <w:pStyle w:val="NUA-Nivel1"/>
        <w:numPr>
          <w:ilvl w:val="0"/>
          <w:numId w:val="589"/>
        </w:numPr>
        <w:ind w:left="1418"/>
      </w:pPr>
      <w:r w:rsidRPr="00AC4AEA">
        <w:t>S</w:t>
      </w:r>
      <w:r w:rsidR="00421257" w:rsidRPr="00AC4AEA">
        <w:t xml:space="preserve">egún </w:t>
      </w:r>
      <w:r w:rsidRPr="00AC4AEA">
        <w:t>los</w:t>
      </w:r>
      <w:r w:rsidR="00421257" w:rsidRPr="00AC4AEA">
        <w:t xml:space="preserve"> párrafo</w:t>
      </w:r>
      <w:r w:rsidRPr="00AC4AEA">
        <w:t>s</w:t>
      </w:r>
      <w:r w:rsidR="00421257" w:rsidRPr="00AC4AEA">
        <w:t xml:space="preserve"> </w:t>
      </w:r>
      <w:fldSimple w:instr=" REF _Ref131511197 \r \h  \* MERGEFORMAT ">
        <w:r w:rsidR="00D33A5D">
          <w:t>817</w:t>
        </w:r>
      </w:fldSimple>
      <w:r w:rsidR="0098440E" w:rsidRPr="00AC4AEA">
        <w:t xml:space="preserve"> y </w:t>
      </w:r>
      <w:fldSimple w:instr=" REF _Ref131760004 \r \h  \* MERGEFORMAT ">
        <w:r w:rsidR="00D33A5D">
          <w:t>818</w:t>
        </w:r>
      </w:fldSimple>
      <w:r w:rsidR="00421257" w:rsidRPr="008D4697">
        <w:t xml:space="preserve"> si esa parte tiene derecho a activos</w:t>
      </w:r>
      <w:r w:rsidR="0098440E" w:rsidRPr="008D4697">
        <w:t xml:space="preserve"> determinados</w:t>
      </w:r>
      <w:r w:rsidR="00421257" w:rsidRPr="008D4697">
        <w:t xml:space="preserve"> y obligaci</w:t>
      </w:r>
      <w:r w:rsidR="0098440E" w:rsidRPr="008D4697">
        <w:t>ón</w:t>
      </w:r>
      <w:r w:rsidR="00421257" w:rsidRPr="008D4697">
        <w:t xml:space="preserve"> respecto </w:t>
      </w:r>
      <w:r w:rsidR="0098440E" w:rsidRPr="008D4697">
        <w:t>de</w:t>
      </w:r>
      <w:r w:rsidR="00421257" w:rsidRPr="008D4697">
        <w:t xml:space="preserve"> pasivos</w:t>
      </w:r>
      <w:r w:rsidR="0098440E" w:rsidRPr="008D4697">
        <w:t xml:space="preserve"> d</w:t>
      </w:r>
      <w:r w:rsidR="0098440E" w:rsidRPr="00AC4AEA">
        <w:t>eterminados</w:t>
      </w:r>
      <w:r w:rsidR="00421257" w:rsidRPr="00AC4AEA">
        <w:t>, relativos a</w:t>
      </w:r>
      <w:r w:rsidR="00E82756" w:rsidRPr="00AC4AEA">
        <w:t>l</w:t>
      </w:r>
      <w:r w:rsidR="00421257" w:rsidRPr="00AC4AEA">
        <w:t xml:space="preserve"> </w:t>
      </w:r>
      <w:r w:rsidR="0098440E" w:rsidRPr="00AC4AEA">
        <w:t>negocio conjunto no societario</w:t>
      </w:r>
      <w:r w:rsidRPr="00AC4AEA">
        <w:t>.</w:t>
      </w:r>
      <w:r w:rsidR="00421257" w:rsidRPr="00AC4AEA">
        <w:t xml:space="preserve"> </w:t>
      </w:r>
    </w:p>
    <w:p w:rsidR="00421257" w:rsidRPr="00AC4AEA" w:rsidRDefault="00422D5C" w:rsidP="00C01B25">
      <w:pPr>
        <w:pStyle w:val="NUA-Nivel1"/>
        <w:numPr>
          <w:ilvl w:val="0"/>
          <w:numId w:val="589"/>
        </w:numPr>
        <w:ind w:left="1418"/>
      </w:pPr>
      <w:r w:rsidRPr="00AC4AEA">
        <w:t>D</w:t>
      </w:r>
      <w:r w:rsidR="00421257" w:rsidRPr="00AC4AEA">
        <w:t xml:space="preserve">e acuerdo con las normas aplicables a esa participación, contenidas en la presente Resolución Técnica u </w:t>
      </w:r>
      <w:r w:rsidR="00421257" w:rsidRPr="00AC4AEA">
        <w:rPr>
          <w:b/>
          <w:bCs/>
        </w:rPr>
        <w:t>otras normas contables</w:t>
      </w:r>
      <w:r w:rsidR="00421257" w:rsidRPr="00AC4AEA">
        <w:t xml:space="preserve">, en los restantes casos. </w:t>
      </w:r>
    </w:p>
    <w:p w:rsidR="00422D5C" w:rsidRPr="00AC4AEA" w:rsidRDefault="00422D5C" w:rsidP="00A318EA">
      <w:pPr>
        <w:pStyle w:val="NUA-Nivel1"/>
        <w:numPr>
          <w:ilvl w:val="0"/>
          <w:numId w:val="0"/>
        </w:numPr>
      </w:pPr>
    </w:p>
    <w:p w:rsidR="00422D5C" w:rsidRPr="00AC4AEA" w:rsidRDefault="00422D5C" w:rsidP="00A318EA">
      <w:pPr>
        <w:pStyle w:val="Ttulo3"/>
      </w:pPr>
      <w:bookmarkStart w:id="1127" w:name="_Toc139356995"/>
      <w:r w:rsidRPr="00AC4AEA">
        <w:t>Tratamiento de negocios conjuntos no societarios que son una entidad del exterior</w:t>
      </w:r>
      <w:bookmarkEnd w:id="1127"/>
    </w:p>
    <w:p w:rsidR="00421257" w:rsidRPr="00AC4AEA" w:rsidRDefault="00422D5C"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A</w:t>
      </w:r>
      <w:r w:rsidR="00421257" w:rsidRPr="00AC4AEA">
        <w:rPr>
          <w:rFonts w:ascii="Arial" w:hAnsi="Arial" w:cs="Arial"/>
          <w:sz w:val="20"/>
          <w:szCs w:val="20"/>
        </w:rPr>
        <w:t xml:space="preserve">ntes de aplicar </w:t>
      </w:r>
      <w:r w:rsidRPr="00AC4AEA">
        <w:rPr>
          <w:rFonts w:ascii="Arial" w:hAnsi="Arial" w:cs="Arial"/>
          <w:sz w:val="20"/>
          <w:szCs w:val="20"/>
        </w:rPr>
        <w:t xml:space="preserve">lo descripto en los párrafos </w:t>
      </w:r>
      <w:fldSimple w:instr=" REF _Ref131511197 \r \h  \* MERGEFORMAT ">
        <w:r w:rsidR="00D33A5D" w:rsidRPr="00D33A5D">
          <w:rPr>
            <w:rFonts w:ascii="Arial" w:hAnsi="Arial" w:cs="Arial"/>
            <w:sz w:val="20"/>
            <w:szCs w:val="20"/>
          </w:rPr>
          <w:t>817</w:t>
        </w:r>
      </w:fldSimple>
      <w:r w:rsidRPr="00AC4AEA">
        <w:rPr>
          <w:rFonts w:ascii="Arial" w:hAnsi="Arial" w:cs="Arial"/>
          <w:sz w:val="20"/>
          <w:szCs w:val="20"/>
        </w:rPr>
        <w:t xml:space="preserve"> y </w:t>
      </w:r>
      <w:fldSimple w:instr=" REF _Ref131760004 \r \h  \* MERGEFORMAT ">
        <w:r w:rsidR="00D33A5D" w:rsidRPr="00D33A5D">
          <w:rPr>
            <w:rFonts w:ascii="Arial" w:hAnsi="Arial" w:cs="Arial"/>
            <w:sz w:val="20"/>
            <w:szCs w:val="20"/>
          </w:rPr>
          <w:t>818</w:t>
        </w:r>
      </w:fldSimple>
      <w:r w:rsidR="00421257" w:rsidRPr="00AC4AEA">
        <w:rPr>
          <w:rFonts w:ascii="Arial" w:hAnsi="Arial" w:cs="Arial"/>
          <w:sz w:val="20"/>
          <w:szCs w:val="20"/>
        </w:rPr>
        <w:t xml:space="preserve">, </w:t>
      </w:r>
      <w:r w:rsidRPr="00AC4AEA">
        <w:rPr>
          <w:rFonts w:ascii="Arial" w:hAnsi="Arial" w:cs="Arial"/>
          <w:sz w:val="20"/>
          <w:szCs w:val="20"/>
        </w:rPr>
        <w:t>una entidad convertirá la información contable de un</w:t>
      </w:r>
      <w:r w:rsidR="00421257" w:rsidRPr="00AC4AEA">
        <w:rPr>
          <w:rFonts w:ascii="Arial" w:hAnsi="Arial" w:cs="Arial"/>
          <w:sz w:val="20"/>
          <w:szCs w:val="20"/>
        </w:rPr>
        <w:t xml:space="preserve"> </w:t>
      </w:r>
      <w:r w:rsidR="0098440E" w:rsidRPr="00AC4AEA">
        <w:rPr>
          <w:rFonts w:ascii="Arial" w:hAnsi="Arial" w:cs="Arial"/>
          <w:sz w:val="20"/>
          <w:szCs w:val="20"/>
        </w:rPr>
        <w:t>negocio conjunto no societario</w:t>
      </w:r>
      <w:r w:rsidR="00421257" w:rsidRPr="00AC4AEA">
        <w:rPr>
          <w:rFonts w:ascii="Arial" w:hAnsi="Arial" w:cs="Arial"/>
          <w:sz w:val="20"/>
          <w:szCs w:val="20"/>
        </w:rPr>
        <w:t xml:space="preserve"> que sea una </w:t>
      </w:r>
      <w:r w:rsidR="00421257" w:rsidRPr="00076221">
        <w:rPr>
          <w:rFonts w:ascii="Arial" w:hAnsi="Arial" w:cs="Arial"/>
          <w:b/>
          <w:bCs/>
          <w:sz w:val="20"/>
          <w:szCs w:val="20"/>
        </w:rPr>
        <w:t>entidad del exterior</w:t>
      </w:r>
      <w:r w:rsidR="00421257" w:rsidRPr="00AC4AEA">
        <w:rPr>
          <w:rFonts w:ascii="Arial" w:hAnsi="Arial" w:cs="Arial"/>
          <w:sz w:val="20"/>
          <w:szCs w:val="20"/>
        </w:rPr>
        <w:t xml:space="preserve">, de acuerdo con el párrafo </w:t>
      </w:r>
      <w:fldSimple w:instr=" REF _Ref132042157 \r \h  \* MERGEFORMAT ">
        <w:r w:rsidR="00D33A5D" w:rsidRPr="00D33A5D">
          <w:rPr>
            <w:rFonts w:ascii="Arial" w:hAnsi="Arial" w:cs="Arial"/>
            <w:sz w:val="20"/>
            <w:szCs w:val="20"/>
          </w:rPr>
          <w:t>753</w:t>
        </w:r>
      </w:fldSimple>
      <w:r w:rsidR="00421257" w:rsidRPr="00AC4AEA">
        <w:rPr>
          <w:rFonts w:ascii="Arial" w:hAnsi="Arial" w:cs="Arial"/>
          <w:sz w:val="20"/>
          <w:szCs w:val="20"/>
        </w:rPr>
        <w:t xml:space="preserve">, a la </w:t>
      </w:r>
      <w:r w:rsidR="00421257" w:rsidRPr="002B0F58">
        <w:rPr>
          <w:rFonts w:ascii="Arial" w:hAnsi="Arial" w:cs="Arial"/>
          <w:b/>
          <w:bCs/>
          <w:sz w:val="20"/>
          <w:szCs w:val="20"/>
        </w:rPr>
        <w:t>moneda argentina</w:t>
      </w:r>
      <w:r w:rsidR="00421257" w:rsidRPr="00AC4AEA">
        <w:rPr>
          <w:rFonts w:ascii="Arial" w:hAnsi="Arial" w:cs="Arial"/>
          <w:sz w:val="20"/>
          <w:szCs w:val="20"/>
        </w:rPr>
        <w:t xml:space="preserve"> </w:t>
      </w:r>
      <w:r w:rsidRPr="00AC4AEA">
        <w:rPr>
          <w:rFonts w:ascii="Arial" w:hAnsi="Arial" w:cs="Arial"/>
          <w:sz w:val="20"/>
          <w:szCs w:val="20"/>
        </w:rPr>
        <w:t>según lo establecido en</w:t>
      </w:r>
      <w:r w:rsidR="00421257" w:rsidRPr="00AC4AEA">
        <w:rPr>
          <w:rFonts w:ascii="Arial" w:hAnsi="Arial" w:cs="Arial"/>
          <w:sz w:val="20"/>
          <w:szCs w:val="20"/>
        </w:rPr>
        <w:t xml:space="preserve"> la sección “</w:t>
      </w:r>
      <w:r w:rsidR="00421257" w:rsidRPr="00AC4AEA">
        <w:rPr>
          <w:rFonts w:ascii="Arial" w:hAnsi="Arial" w:cs="Arial"/>
          <w:sz w:val="20"/>
          <w:szCs w:val="20"/>
          <w:u w:val="single" w:color="000000"/>
        </w:rPr>
        <w:t>Conversión de estados contables</w:t>
      </w:r>
      <w:r w:rsidR="00421257" w:rsidRPr="00AC4AEA">
        <w:rPr>
          <w:rFonts w:ascii="Arial" w:hAnsi="Arial" w:cs="Arial"/>
          <w:sz w:val="20"/>
          <w:szCs w:val="20"/>
        </w:rPr>
        <w:t xml:space="preserve">” [ver </w:t>
      </w:r>
      <w:r w:rsidR="00D922C4">
        <w:rPr>
          <w:rFonts w:ascii="Arial" w:hAnsi="Arial" w:cs="Arial"/>
          <w:sz w:val="20"/>
          <w:szCs w:val="20"/>
        </w:rPr>
        <w:t xml:space="preserve">los </w:t>
      </w:r>
      <w:r w:rsidR="00421257" w:rsidRPr="00AC4AEA">
        <w:rPr>
          <w:rFonts w:ascii="Arial" w:hAnsi="Arial" w:cs="Arial"/>
          <w:sz w:val="20"/>
          <w:szCs w:val="20"/>
        </w:rPr>
        <w:t xml:space="preserve">párrafos </w:t>
      </w:r>
      <w:r w:rsidR="001C4138">
        <w:rPr>
          <w:rFonts w:ascii="Arial" w:hAnsi="Arial" w:cs="Arial"/>
          <w:sz w:val="20"/>
          <w:szCs w:val="20"/>
        </w:rPr>
        <w:fldChar w:fldCharType="begin"/>
      </w:r>
      <w:r w:rsidR="00FA2569">
        <w:rPr>
          <w:rFonts w:ascii="Arial" w:hAnsi="Arial" w:cs="Arial"/>
          <w:sz w:val="20"/>
          <w:szCs w:val="20"/>
        </w:rPr>
        <w:instrText xml:space="preserve"> REF _Ref136253270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752</w:t>
      </w:r>
      <w:r w:rsidR="001C4138">
        <w:rPr>
          <w:rFonts w:ascii="Arial" w:hAnsi="Arial" w:cs="Arial"/>
          <w:sz w:val="20"/>
          <w:szCs w:val="20"/>
        </w:rPr>
        <w:fldChar w:fldCharType="end"/>
      </w:r>
      <w:r w:rsidR="00FA2569">
        <w:rPr>
          <w:rFonts w:ascii="Arial" w:hAnsi="Arial" w:cs="Arial"/>
          <w:sz w:val="20"/>
          <w:szCs w:val="20"/>
        </w:rPr>
        <w:t xml:space="preserve"> </w:t>
      </w:r>
      <w:r w:rsidR="00FA2569" w:rsidRPr="00592D81">
        <w:rPr>
          <w:rFonts w:ascii="Arial" w:hAnsi="Arial" w:cs="Arial"/>
          <w:sz w:val="20"/>
          <w:szCs w:val="20"/>
        </w:rPr>
        <w:t>al</w:t>
      </w:r>
      <w:r w:rsidR="00FA2569">
        <w:rPr>
          <w:rFonts w:ascii="Arial" w:hAnsi="Arial" w:cs="Arial"/>
          <w:sz w:val="20"/>
          <w:szCs w:val="20"/>
        </w:rPr>
        <w:t xml:space="preserve"> </w:t>
      </w:r>
      <w:r w:rsidR="001C4138">
        <w:rPr>
          <w:rFonts w:ascii="Arial" w:hAnsi="Arial" w:cs="Arial"/>
          <w:sz w:val="20"/>
          <w:szCs w:val="20"/>
        </w:rPr>
        <w:fldChar w:fldCharType="begin"/>
      </w:r>
      <w:r w:rsidR="00FA2569">
        <w:rPr>
          <w:rFonts w:ascii="Arial" w:hAnsi="Arial" w:cs="Arial"/>
          <w:sz w:val="20"/>
          <w:szCs w:val="20"/>
        </w:rPr>
        <w:instrText xml:space="preserve"> REF _Ref136253285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763</w:t>
      </w:r>
      <w:r w:rsidR="001C4138">
        <w:rPr>
          <w:rFonts w:ascii="Arial" w:hAnsi="Arial" w:cs="Arial"/>
          <w:sz w:val="20"/>
          <w:szCs w:val="20"/>
        </w:rPr>
        <w:fldChar w:fldCharType="end"/>
      </w:r>
      <w:r w:rsidR="00421257" w:rsidRPr="00AC4AEA">
        <w:rPr>
          <w:rFonts w:ascii="Arial" w:hAnsi="Arial" w:cs="Arial"/>
          <w:sz w:val="20"/>
          <w:szCs w:val="20"/>
        </w:rPr>
        <w:t xml:space="preserve">].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28" w:name="_Toc139356996"/>
      <w:r w:rsidRPr="00AC4AEA">
        <w:t xml:space="preserve">Negocios conjuntos </w:t>
      </w:r>
      <w:r w:rsidR="00422D5C" w:rsidRPr="00AC4AEA">
        <w:t>societarios</w:t>
      </w:r>
      <w:bookmarkEnd w:id="1128"/>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Un</w:t>
      </w:r>
      <w:r w:rsidR="00030154" w:rsidRPr="00AC4AEA">
        <w:rPr>
          <w:rFonts w:ascii="Arial" w:hAnsi="Arial" w:cs="Arial"/>
          <w:sz w:val="20"/>
          <w:szCs w:val="20"/>
        </w:rPr>
        <w:t>a controladora conjunta</w:t>
      </w:r>
      <w:r w:rsidRPr="00AC4AEA">
        <w:rPr>
          <w:rFonts w:ascii="Arial" w:hAnsi="Arial" w:cs="Arial"/>
          <w:sz w:val="20"/>
          <w:szCs w:val="20"/>
        </w:rPr>
        <w:t xml:space="preserve"> </w:t>
      </w:r>
      <w:r w:rsidR="00422D5C" w:rsidRPr="00AC4AEA">
        <w:rPr>
          <w:rFonts w:ascii="Arial" w:hAnsi="Arial" w:cs="Arial"/>
          <w:sz w:val="20"/>
          <w:szCs w:val="20"/>
        </w:rPr>
        <w:t>contabilizará</w:t>
      </w:r>
      <w:r w:rsidRPr="00AC4AEA">
        <w:rPr>
          <w:rFonts w:ascii="Arial" w:hAnsi="Arial" w:cs="Arial"/>
          <w:sz w:val="20"/>
          <w:szCs w:val="20"/>
        </w:rPr>
        <w:t xml:space="preserve"> su participación en </w:t>
      </w:r>
      <w:r w:rsidR="00030154" w:rsidRPr="00AC4AEA">
        <w:rPr>
          <w:rFonts w:ascii="Arial" w:hAnsi="Arial" w:cs="Arial"/>
          <w:sz w:val="20"/>
          <w:szCs w:val="20"/>
        </w:rPr>
        <w:t>un negocio conjunto societario de</w:t>
      </w:r>
      <w:r w:rsidRPr="00AC4AEA">
        <w:rPr>
          <w:rFonts w:ascii="Arial" w:hAnsi="Arial" w:cs="Arial"/>
          <w:sz w:val="20"/>
          <w:szCs w:val="20"/>
        </w:rPr>
        <w:t xml:space="preserve"> acuerdo con </w:t>
      </w:r>
      <w:r w:rsidR="00422D5C" w:rsidRPr="00AC4AEA">
        <w:rPr>
          <w:rFonts w:ascii="Arial" w:hAnsi="Arial" w:cs="Arial"/>
          <w:sz w:val="20"/>
          <w:szCs w:val="20"/>
        </w:rPr>
        <w:t>lo establecido en la sección</w:t>
      </w:r>
      <w:r w:rsidRPr="00AC4AEA">
        <w:rPr>
          <w:rFonts w:ascii="Arial" w:hAnsi="Arial" w:cs="Arial"/>
          <w:sz w:val="20"/>
          <w:szCs w:val="20"/>
        </w:rPr>
        <w:t xml:space="preserve"> “</w:t>
      </w:r>
      <w:r w:rsidRPr="00AC4AEA">
        <w:rPr>
          <w:rFonts w:ascii="Arial" w:hAnsi="Arial" w:cs="Arial"/>
          <w:sz w:val="20"/>
          <w:szCs w:val="20"/>
          <w:u w:val="single"/>
        </w:rPr>
        <w:t>Participaciones en subsidiarias, asociadas y negocios conjuntos</w:t>
      </w:r>
      <w:r w:rsidR="00F4025E" w:rsidRPr="00AC4AEA">
        <w:rPr>
          <w:rFonts w:ascii="Arial" w:hAnsi="Arial" w:cs="Arial"/>
          <w:sz w:val="20"/>
          <w:szCs w:val="20"/>
          <w:u w:val="single"/>
        </w:rPr>
        <w:t xml:space="preserve"> societarios</w:t>
      </w:r>
      <w:r w:rsidRPr="00AC4AEA">
        <w:rPr>
          <w:rFonts w:ascii="Arial" w:hAnsi="Arial" w:cs="Arial"/>
          <w:sz w:val="20"/>
          <w:szCs w:val="20"/>
        </w:rPr>
        <w:t xml:space="preserve">” [ver los párrafos </w:t>
      </w:r>
      <w:fldSimple w:instr=" REF _Ref132052810 \r \h  \* MERGEFORMAT ">
        <w:r w:rsidR="00D33A5D" w:rsidRPr="00D33A5D">
          <w:rPr>
            <w:rFonts w:ascii="Arial" w:hAnsi="Arial" w:cs="Arial"/>
            <w:sz w:val="20"/>
            <w:szCs w:val="20"/>
          </w:rPr>
          <w:t>824</w:t>
        </w:r>
      </w:fldSimple>
      <w:r w:rsidR="00003FC1" w:rsidRPr="00AC4AEA">
        <w:rPr>
          <w:rFonts w:ascii="Arial" w:hAnsi="Arial" w:cs="Arial"/>
          <w:sz w:val="20"/>
          <w:szCs w:val="20"/>
        </w:rPr>
        <w:t xml:space="preserve"> a </w:t>
      </w:r>
      <w:fldSimple w:instr=" REF _Ref132050929 \r \h  \* MERGEFORMAT ">
        <w:r w:rsidR="00D33A5D" w:rsidRPr="00D33A5D">
          <w:rPr>
            <w:rFonts w:ascii="Arial" w:hAnsi="Arial" w:cs="Arial"/>
            <w:sz w:val="20"/>
            <w:szCs w:val="20"/>
          </w:rPr>
          <w:t>871</w:t>
        </w:r>
      </w:fldSimple>
      <w:r w:rsidRPr="00AC4AEA">
        <w:rPr>
          <w:rFonts w:ascii="Arial" w:hAnsi="Arial" w:cs="Arial"/>
          <w:sz w:val="20"/>
          <w:szCs w:val="20"/>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Una </w:t>
      </w:r>
      <w:r w:rsidR="00E14677" w:rsidRPr="00AC4AEA">
        <w:rPr>
          <w:rFonts w:ascii="Arial" w:hAnsi="Arial" w:cs="Arial"/>
          <w:sz w:val="20"/>
          <w:szCs w:val="20"/>
        </w:rPr>
        <w:t>entidad</w:t>
      </w:r>
      <w:r w:rsidRPr="00AC4AEA">
        <w:rPr>
          <w:rFonts w:ascii="Arial" w:hAnsi="Arial" w:cs="Arial"/>
          <w:sz w:val="20"/>
          <w:szCs w:val="20"/>
        </w:rPr>
        <w:t xml:space="preserve"> que </w:t>
      </w:r>
      <w:r w:rsidR="00030154" w:rsidRPr="00AC4AEA">
        <w:rPr>
          <w:rFonts w:ascii="Arial" w:hAnsi="Arial" w:cs="Arial"/>
          <w:sz w:val="20"/>
          <w:szCs w:val="20"/>
        </w:rPr>
        <w:t>es parte de</w:t>
      </w:r>
      <w:r w:rsidRPr="00AC4AEA">
        <w:rPr>
          <w:rFonts w:ascii="Arial" w:hAnsi="Arial" w:cs="Arial"/>
          <w:sz w:val="20"/>
          <w:szCs w:val="20"/>
        </w:rPr>
        <w:t xml:space="preserve"> un negocio conjunto</w:t>
      </w:r>
      <w:r w:rsidR="00E14677" w:rsidRPr="00AC4AEA">
        <w:rPr>
          <w:rFonts w:ascii="Arial" w:hAnsi="Arial" w:cs="Arial"/>
          <w:sz w:val="20"/>
          <w:szCs w:val="20"/>
        </w:rPr>
        <w:t xml:space="preserve"> societario</w:t>
      </w:r>
      <w:r w:rsidRPr="00AC4AEA">
        <w:rPr>
          <w:rFonts w:ascii="Arial" w:hAnsi="Arial" w:cs="Arial"/>
          <w:sz w:val="20"/>
          <w:szCs w:val="20"/>
        </w:rPr>
        <w:t xml:space="preserve">, pero no tiene el control conjunto, contabilizará su participación </w:t>
      </w:r>
      <w:r w:rsidR="00030154" w:rsidRPr="00AC4AEA">
        <w:rPr>
          <w:rFonts w:ascii="Arial" w:hAnsi="Arial" w:cs="Arial"/>
          <w:sz w:val="20"/>
          <w:szCs w:val="20"/>
        </w:rPr>
        <w:t>según lo establecido en</w:t>
      </w:r>
      <w:r w:rsidRPr="00AC4AEA">
        <w:rPr>
          <w:rFonts w:ascii="Arial" w:hAnsi="Arial" w:cs="Arial"/>
          <w:sz w:val="20"/>
          <w:szCs w:val="20"/>
        </w:rPr>
        <w:t xml:space="preserve">:  </w:t>
      </w:r>
    </w:p>
    <w:p w:rsidR="00421257" w:rsidRPr="00AC4AEA" w:rsidRDefault="00421257" w:rsidP="00C01B25">
      <w:pPr>
        <w:pStyle w:val="NUA-Nivel1"/>
        <w:numPr>
          <w:ilvl w:val="0"/>
          <w:numId w:val="590"/>
        </w:numPr>
        <w:ind w:left="1559" w:hanging="567"/>
      </w:pPr>
      <w:r w:rsidRPr="00AC4AEA">
        <w:t>la sección “</w:t>
      </w:r>
      <w:r w:rsidRPr="00AC4AEA">
        <w:rPr>
          <w:u w:val="single" w:color="000000"/>
        </w:rPr>
        <w:t>Participaciones en subsidiarias, asociadas y negocios conjuntos</w:t>
      </w:r>
      <w:r w:rsidR="00F4025E" w:rsidRPr="00AC4AEA">
        <w:rPr>
          <w:u w:val="single" w:color="000000"/>
        </w:rPr>
        <w:t xml:space="preserve"> societarios</w:t>
      </w:r>
      <w:r w:rsidRPr="00AC4AEA">
        <w:t xml:space="preserve">” </w:t>
      </w:r>
      <w:r w:rsidR="00003FC1" w:rsidRPr="00AC4AEA">
        <w:t xml:space="preserve">[ver los párrafos </w:t>
      </w:r>
      <w:fldSimple w:instr=" REF _Ref132052810 \r \h  \* MERGEFORMAT ">
        <w:r w:rsidR="00D33A5D">
          <w:t>824</w:t>
        </w:r>
      </w:fldSimple>
      <w:r w:rsidR="00003FC1" w:rsidRPr="00AC4AEA">
        <w:t xml:space="preserve"> a </w:t>
      </w:r>
      <w:fldSimple w:instr=" REF _Ref132050929 \r \h  \* MERGEFORMAT ">
        <w:r w:rsidR="00D33A5D">
          <w:t>871</w:t>
        </w:r>
      </w:fldSimple>
      <w:r w:rsidR="00003FC1" w:rsidRPr="00AC4AEA">
        <w:t>]</w:t>
      </w:r>
      <w:r w:rsidRPr="00AC4AEA">
        <w:t xml:space="preserve"> de la presente Resolución Técnica, si tiene influencia significativa; o </w:t>
      </w:r>
    </w:p>
    <w:p w:rsidR="00421257" w:rsidRPr="00AC4AEA" w:rsidRDefault="00421257" w:rsidP="00C01B25">
      <w:pPr>
        <w:pStyle w:val="NUA-Nivel1"/>
        <w:numPr>
          <w:ilvl w:val="0"/>
          <w:numId w:val="590"/>
        </w:numPr>
        <w:ind w:left="1559" w:hanging="567"/>
      </w:pPr>
      <w:r w:rsidRPr="00AC4AEA">
        <w:t>la sección “</w:t>
      </w:r>
      <w:r w:rsidRPr="00AC4AEA">
        <w:rPr>
          <w:u w:val="single" w:color="000000"/>
        </w:rPr>
        <w:t>Inversiones Financieras</w:t>
      </w:r>
      <w:r w:rsidRPr="00AC4AEA">
        <w:t xml:space="preserve">” [ver los párrafos </w:t>
      </w:r>
      <w:fldSimple w:instr=" REF _Ref132052900 \r \h  \* MERGEFORMAT ">
        <w:r w:rsidR="00D33A5D">
          <w:t>212</w:t>
        </w:r>
      </w:fldSimple>
      <w:r w:rsidR="00003FC1" w:rsidRPr="00AC4AEA">
        <w:t xml:space="preserve"> a </w:t>
      </w:r>
      <w:fldSimple w:instr=" REF _Ref99468272 \r \h  \* MERGEFORMAT ">
        <w:r w:rsidR="00D33A5D">
          <w:t>235</w:t>
        </w:r>
      </w:fldSimple>
      <w:r w:rsidRPr="00AC4AEA">
        <w:t xml:space="preserve">], en los demás casos. </w:t>
      </w:r>
    </w:p>
    <w:p w:rsidR="00421257" w:rsidRPr="00AC4AEA" w:rsidRDefault="00421257" w:rsidP="00A318EA">
      <w:pPr>
        <w:spacing w:after="15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29" w:name="_Toc139356997"/>
      <w:r w:rsidRPr="00AC4AEA">
        <w:rPr>
          <w:rFonts w:cs="Arial"/>
        </w:rPr>
        <w:t>Revelación en notas</w:t>
      </w:r>
      <w:bookmarkEnd w:id="1129"/>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bookmarkStart w:id="1130" w:name="_Ref132050765"/>
      <w:r w:rsidRPr="00AC4AEA">
        <w:rPr>
          <w:rFonts w:ascii="Arial" w:hAnsi="Arial" w:cs="Arial"/>
          <w:sz w:val="20"/>
          <w:szCs w:val="20"/>
        </w:rPr>
        <w:t xml:space="preserve">Una entidad que es parte de un </w:t>
      </w:r>
      <w:r w:rsidR="0098440E" w:rsidRPr="00AC4AEA">
        <w:rPr>
          <w:rFonts w:ascii="Arial" w:hAnsi="Arial" w:cs="Arial"/>
          <w:sz w:val="20"/>
          <w:szCs w:val="20"/>
        </w:rPr>
        <w:t>negocio conjunto</w:t>
      </w:r>
      <w:r w:rsidRPr="00AC4AEA">
        <w:rPr>
          <w:rFonts w:ascii="Arial" w:hAnsi="Arial" w:cs="Arial"/>
          <w:sz w:val="20"/>
          <w:szCs w:val="20"/>
        </w:rPr>
        <w:t xml:space="preserve"> revelará la siguiente información:</w:t>
      </w:r>
      <w:bookmarkEnd w:id="1130"/>
      <w:r w:rsidRPr="00AC4AEA">
        <w:rPr>
          <w:rFonts w:ascii="Arial" w:hAnsi="Arial" w:cs="Arial"/>
          <w:sz w:val="20"/>
          <w:szCs w:val="20"/>
        </w:rPr>
        <w:t xml:space="preserve"> </w:t>
      </w:r>
    </w:p>
    <w:p w:rsidR="00421257" w:rsidRPr="00AC4AEA" w:rsidRDefault="00421257" w:rsidP="00C01B25">
      <w:pPr>
        <w:pStyle w:val="NUA-Nivel1"/>
        <w:numPr>
          <w:ilvl w:val="0"/>
          <w:numId w:val="591"/>
        </w:numPr>
        <w:ind w:left="1559" w:hanging="567"/>
      </w:pPr>
      <w:r w:rsidRPr="00AC4AEA">
        <w:t xml:space="preserve">La naturaleza, alcance y efectos financieros de sus participaciones en </w:t>
      </w:r>
      <w:r w:rsidR="00E14677" w:rsidRPr="00AC4AEA">
        <w:t>negocios</w:t>
      </w:r>
      <w:r w:rsidRPr="00AC4AEA">
        <w:t xml:space="preserve"> conjuntos, incluyendo la naturaleza y efectos de su relación contractual con l</w:t>
      </w:r>
      <w:r w:rsidR="00E11BD9" w:rsidRPr="00AC4AEA">
        <w:t>a</w:t>
      </w:r>
      <w:r w:rsidRPr="00AC4AEA">
        <w:t>s otr</w:t>
      </w:r>
      <w:r w:rsidR="00E11BD9" w:rsidRPr="00AC4AEA">
        <w:t>a</w:t>
      </w:r>
      <w:r w:rsidRPr="00AC4AEA">
        <w:t xml:space="preserve">s </w:t>
      </w:r>
      <w:r w:rsidR="00E11BD9" w:rsidRPr="00AC4AEA">
        <w:t>partes</w:t>
      </w:r>
      <w:r w:rsidRPr="00AC4AEA">
        <w:t xml:space="preserve"> con control conjunto. </w:t>
      </w:r>
    </w:p>
    <w:p w:rsidR="000403FC" w:rsidRPr="00AC4AEA" w:rsidRDefault="00421257" w:rsidP="00C01B25">
      <w:pPr>
        <w:pStyle w:val="NUA-Nivel1"/>
        <w:numPr>
          <w:ilvl w:val="0"/>
          <w:numId w:val="591"/>
        </w:numPr>
        <w:ind w:left="1559" w:hanging="567"/>
      </w:pPr>
      <w:r w:rsidRPr="00AC4AEA">
        <w:t xml:space="preserve">Para cada </w:t>
      </w:r>
      <w:r w:rsidR="0098440E" w:rsidRPr="00AC4AEA">
        <w:t>negocio conjunto</w:t>
      </w:r>
      <w:r w:rsidRPr="00AC4AEA">
        <w:t xml:space="preserve"> significativo</w:t>
      </w:r>
      <w:r w:rsidR="000403FC" w:rsidRPr="00AC4AEA">
        <w:t xml:space="preserve">: </w:t>
      </w:r>
    </w:p>
    <w:p w:rsidR="000403FC" w:rsidRPr="00AC4AEA" w:rsidRDefault="000403FC" w:rsidP="008B1921">
      <w:pPr>
        <w:pStyle w:val="NUA-Nivel1"/>
        <w:numPr>
          <w:ilvl w:val="2"/>
          <w:numId w:val="29"/>
        </w:numPr>
        <w:ind w:left="1956" w:hanging="142"/>
      </w:pPr>
      <w:r w:rsidRPr="00AC4AEA">
        <w:t>El nombre del negocio conjunto.</w:t>
      </w:r>
    </w:p>
    <w:p w:rsidR="00421257" w:rsidRPr="00AC4AEA" w:rsidRDefault="000403FC" w:rsidP="008B1921">
      <w:pPr>
        <w:pStyle w:val="NUA-Nivel1"/>
        <w:numPr>
          <w:ilvl w:val="2"/>
          <w:numId w:val="29"/>
        </w:numPr>
        <w:ind w:left="1956" w:hanging="142"/>
      </w:pPr>
      <w:r w:rsidRPr="00AC4AEA">
        <w:t>La naturaleza de la relación de la entidad con el negocio conjunto.</w:t>
      </w:r>
    </w:p>
    <w:p w:rsidR="000403FC" w:rsidRPr="00AC4AEA" w:rsidRDefault="000403FC" w:rsidP="008B1921">
      <w:pPr>
        <w:pStyle w:val="NUA-Nivel1"/>
        <w:numPr>
          <w:ilvl w:val="2"/>
          <w:numId w:val="29"/>
        </w:numPr>
        <w:ind w:left="1956" w:hanging="142"/>
      </w:pPr>
      <w:r w:rsidRPr="00AC4AEA">
        <w:t xml:space="preserve">El domicilio principal donde el negocio conjunto desarrolla </w:t>
      </w:r>
      <w:r w:rsidR="00A22040" w:rsidRPr="00AC4AEA">
        <w:t>su</w:t>
      </w:r>
      <w:r w:rsidRPr="00AC4AEA">
        <w:t>s actividades (y país donde está constituido, si fuera diferente del domicilio principal).</w:t>
      </w:r>
    </w:p>
    <w:p w:rsidR="00421257" w:rsidRPr="00AC4AEA" w:rsidRDefault="00421257" w:rsidP="008B1921">
      <w:pPr>
        <w:pStyle w:val="NUA-Nivel1"/>
        <w:numPr>
          <w:ilvl w:val="2"/>
          <w:numId w:val="29"/>
        </w:numPr>
        <w:ind w:left="1956" w:hanging="142"/>
      </w:pPr>
      <w:r w:rsidRPr="00AC4AEA">
        <w:t xml:space="preserve">La proporción de participación en la propiedad, o la parte con que participa, mantenida por la entidad y, si fuera diferente, la proporción de derechos de voto mantenida. </w:t>
      </w:r>
    </w:p>
    <w:p w:rsidR="00421257" w:rsidRPr="00AC4AEA" w:rsidRDefault="00421257" w:rsidP="00C01B25">
      <w:pPr>
        <w:pStyle w:val="NUA-Nivel1"/>
        <w:numPr>
          <w:ilvl w:val="0"/>
          <w:numId w:val="591"/>
        </w:numPr>
        <w:ind w:left="1559" w:hanging="567"/>
      </w:pPr>
      <w:r w:rsidRPr="00AC4AEA">
        <w:t xml:space="preserve">La naturaleza y alcance de restricciones significativas sobre su capacidad para acceder o utilizar activos y liquidar pasivos del </w:t>
      </w:r>
      <w:r w:rsidR="0098440E" w:rsidRPr="00AC4AEA">
        <w:t>negocio conjunto</w:t>
      </w:r>
      <w:r w:rsidRPr="00AC4AEA">
        <w:t xml:space="preserve">. </w:t>
      </w:r>
    </w:p>
    <w:p w:rsidR="00421257" w:rsidRPr="00AC4AEA" w:rsidRDefault="00421257" w:rsidP="00C01B25">
      <w:pPr>
        <w:pStyle w:val="NUA-Nivel1"/>
        <w:numPr>
          <w:ilvl w:val="0"/>
          <w:numId w:val="591"/>
        </w:numPr>
        <w:ind w:left="1559" w:hanging="567"/>
      </w:pPr>
      <w:r w:rsidRPr="00AC4AEA">
        <w:lastRenderedPageBreak/>
        <w:t xml:space="preserve">La naturaleza de los riesgos asociados con su participación en </w:t>
      </w:r>
      <w:r w:rsidR="00E14677" w:rsidRPr="00AC4AEA">
        <w:t>negocios</w:t>
      </w:r>
      <w:r w:rsidRPr="00AC4AEA">
        <w:t xml:space="preserve"> conjuntos.</w:t>
      </w:r>
    </w:p>
    <w:p w:rsidR="0059338B" w:rsidRPr="00AC4AEA" w:rsidRDefault="0059338B" w:rsidP="00A318EA">
      <w:pPr>
        <w:pStyle w:val="Ttulo1"/>
        <w:rPr>
          <w:rFonts w:cs="Arial"/>
          <w:sz w:val="20"/>
          <w:szCs w:val="20"/>
        </w:rPr>
      </w:pPr>
    </w:p>
    <w:p w:rsidR="00421257" w:rsidRPr="00AC4AEA" w:rsidRDefault="00421257" w:rsidP="00A318EA">
      <w:pPr>
        <w:pStyle w:val="Ttulo1"/>
        <w:rPr>
          <w:rFonts w:cs="Arial"/>
          <w:sz w:val="20"/>
          <w:szCs w:val="20"/>
        </w:rPr>
      </w:pPr>
      <w:bookmarkStart w:id="1131" w:name="_Toc139356998"/>
      <w:r w:rsidRPr="00AC4AEA">
        <w:rPr>
          <w:rFonts w:cs="Arial"/>
          <w:sz w:val="20"/>
          <w:szCs w:val="20"/>
        </w:rPr>
        <w:t>PARTICIPACIONES EN SUBSIDIARIAS, ASOCIADAS Y NEGOCIOS CONJUNTOS</w:t>
      </w:r>
      <w:r w:rsidR="00D1596F" w:rsidRPr="00AC4AEA">
        <w:rPr>
          <w:rFonts w:cs="Arial"/>
          <w:sz w:val="20"/>
          <w:szCs w:val="20"/>
        </w:rPr>
        <w:t xml:space="preserve"> </w:t>
      </w:r>
      <w:r w:rsidR="00656CCF" w:rsidRPr="00AC4AEA">
        <w:rPr>
          <w:rFonts w:cs="Arial"/>
          <w:sz w:val="20"/>
          <w:szCs w:val="20"/>
        </w:rPr>
        <w:t>SOCIETARIOS</w:t>
      </w:r>
      <w:bookmarkEnd w:id="1131"/>
      <w:r w:rsidRPr="00AC4AEA">
        <w:rPr>
          <w:rFonts w:cs="Arial"/>
          <w:sz w:val="20"/>
          <w:szCs w:val="20"/>
        </w:rPr>
        <w:t xml:space="preserve"> </w:t>
      </w:r>
    </w:p>
    <w:p w:rsidR="00421257" w:rsidRPr="00AC4AEA" w:rsidRDefault="00421257" w:rsidP="00A318EA">
      <w:pPr>
        <w:pStyle w:val="Ttulo2"/>
        <w:rPr>
          <w:rFonts w:cs="Arial"/>
        </w:rPr>
      </w:pPr>
      <w:bookmarkStart w:id="1132" w:name="_Toc139356999"/>
      <w:r w:rsidRPr="00AC4AEA">
        <w:rPr>
          <w:rFonts w:cs="Arial"/>
        </w:rPr>
        <w:t>Objetivo</w:t>
      </w:r>
      <w:bookmarkEnd w:id="1132"/>
      <w:r w:rsidRPr="00AC4AEA">
        <w:rPr>
          <w:rFonts w:cs="Arial"/>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33" w:name="_Ref132052810"/>
      <w:bookmarkStart w:id="1134" w:name="_Ref136255365"/>
      <w:r w:rsidRPr="00AC4AEA">
        <w:rPr>
          <w:rFonts w:ascii="Arial" w:hAnsi="Arial" w:cs="Arial"/>
          <w:sz w:val="20"/>
          <w:szCs w:val="20"/>
        </w:rPr>
        <w:t xml:space="preserve">El objetivo de esta sección es establecer las reglas de reconocimiento, medición, baja en cuentas, comparación con el valor recuperable, presentación en los </w:t>
      </w:r>
      <w:r w:rsidRPr="00AC4AEA">
        <w:rPr>
          <w:rFonts w:ascii="Arial" w:hAnsi="Arial" w:cs="Arial"/>
          <w:b/>
          <w:bCs/>
          <w:sz w:val="20"/>
          <w:szCs w:val="20"/>
        </w:rPr>
        <w:t>estados contables</w:t>
      </w:r>
      <w:r w:rsidRPr="00AC4AEA">
        <w:rPr>
          <w:rFonts w:ascii="Arial" w:hAnsi="Arial" w:cs="Arial"/>
          <w:sz w:val="20"/>
          <w:szCs w:val="20"/>
        </w:rPr>
        <w:t xml:space="preserve"> e información a revelar en notas</w:t>
      </w:r>
      <w:bookmarkEnd w:id="1133"/>
      <w:r w:rsidR="008C74B9" w:rsidRPr="00AC4AEA">
        <w:rPr>
          <w:rFonts w:ascii="Arial" w:hAnsi="Arial" w:cs="Arial"/>
          <w:sz w:val="20"/>
          <w:szCs w:val="20"/>
        </w:rPr>
        <w:t>:</w:t>
      </w:r>
      <w:bookmarkEnd w:id="1134"/>
      <w:r w:rsidR="006F2C57">
        <w:rPr>
          <w:rFonts w:ascii="Arial" w:hAnsi="Arial" w:cs="Arial"/>
          <w:sz w:val="20"/>
          <w:szCs w:val="20"/>
        </w:rPr>
        <w:t xml:space="preserve"> </w:t>
      </w:r>
    </w:p>
    <w:p w:rsidR="00421257" w:rsidRPr="00AC4AEA" w:rsidRDefault="00421257" w:rsidP="00C01B25">
      <w:pPr>
        <w:pStyle w:val="NUA-Nivel1"/>
        <w:numPr>
          <w:ilvl w:val="0"/>
          <w:numId w:val="592"/>
        </w:numPr>
        <w:ind w:left="1559" w:hanging="567"/>
      </w:pPr>
      <w:r w:rsidRPr="00AC4AEA">
        <w:t xml:space="preserve">para las participaciones en subsidiarias, en los </w:t>
      </w:r>
      <w:r w:rsidRPr="00AC4AEA">
        <w:rPr>
          <w:b/>
          <w:bCs/>
        </w:rPr>
        <w:t>estados contables separados</w:t>
      </w:r>
      <w:r w:rsidRPr="00AC4AEA">
        <w:t xml:space="preserve"> de una entidad controladora; y </w:t>
      </w:r>
    </w:p>
    <w:p w:rsidR="00421257" w:rsidRPr="00AC4AEA" w:rsidRDefault="00421257" w:rsidP="00C01B25">
      <w:pPr>
        <w:pStyle w:val="NUA-Nivel1"/>
        <w:numPr>
          <w:ilvl w:val="0"/>
          <w:numId w:val="592"/>
        </w:numPr>
        <w:ind w:left="1559" w:hanging="567"/>
      </w:pPr>
      <w:r w:rsidRPr="00AC4AEA">
        <w:t>para las participaciones en asociadas y en negocios conjuntos</w:t>
      </w:r>
      <w:r w:rsidR="002F206B" w:rsidRPr="00AC4AEA">
        <w:t xml:space="preserve"> societario</w:t>
      </w:r>
      <w:r w:rsidR="00030154" w:rsidRPr="00AC4AEA">
        <w:t>s</w:t>
      </w:r>
      <w:r w:rsidRPr="00AC4AEA">
        <w:t xml:space="preserve">, tanto en los </w:t>
      </w:r>
      <w:r w:rsidRPr="00AC4AEA">
        <w:rPr>
          <w:b/>
          <w:bCs/>
        </w:rPr>
        <w:t>estados contables separados</w:t>
      </w:r>
      <w:r w:rsidRPr="00AC4AEA">
        <w:t xml:space="preserve"> como en los </w:t>
      </w:r>
      <w:r w:rsidRPr="00AC4AEA">
        <w:rPr>
          <w:b/>
          <w:bCs/>
        </w:rPr>
        <w:t>estados contables consolidados</w:t>
      </w:r>
      <w:r w:rsidRPr="00AC4AEA">
        <w:t xml:space="preserve"> de una entidad controladora, o en los </w:t>
      </w:r>
      <w:r w:rsidRPr="00AC4AEA">
        <w:rPr>
          <w:b/>
          <w:bCs/>
        </w:rPr>
        <w:t>estados contables individuales</w:t>
      </w:r>
      <w:r w:rsidRPr="00AC4AEA">
        <w:t xml:space="preserve"> de una </w:t>
      </w:r>
      <w:r w:rsidRPr="00076221">
        <w:rPr>
          <w:b/>
          <w:bCs/>
        </w:rPr>
        <w:t>entidad emisora de estados contables</w:t>
      </w:r>
      <w:r w:rsidRPr="00AC4AEA">
        <w:t xml:space="preserve"> que no es controladora.</w:t>
      </w:r>
      <w:r w:rsidR="006F2C57">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La </w:t>
      </w:r>
      <w:r w:rsidR="00030154" w:rsidRPr="00AC4AEA">
        <w:rPr>
          <w:rFonts w:ascii="Arial" w:hAnsi="Arial" w:cs="Arial"/>
          <w:sz w:val="20"/>
          <w:szCs w:val="20"/>
        </w:rPr>
        <w:t>s</w:t>
      </w:r>
      <w:r w:rsidRPr="00AC4AEA">
        <w:rPr>
          <w:rFonts w:ascii="Arial" w:hAnsi="Arial" w:cs="Arial"/>
          <w:sz w:val="20"/>
          <w:szCs w:val="20"/>
        </w:rPr>
        <w:t>ección “</w:t>
      </w:r>
      <w:r w:rsidRPr="00AC4AEA">
        <w:rPr>
          <w:rFonts w:ascii="Arial" w:hAnsi="Arial" w:cs="Arial"/>
          <w:sz w:val="20"/>
          <w:szCs w:val="20"/>
          <w:u w:val="single" w:color="000000"/>
        </w:rPr>
        <w:t>Preparación de estados contables consolidados</w:t>
      </w:r>
      <w:r w:rsidRPr="00AC4AEA">
        <w:rPr>
          <w:rFonts w:ascii="Arial" w:hAnsi="Arial" w:cs="Arial"/>
          <w:sz w:val="20"/>
          <w:szCs w:val="20"/>
        </w:rPr>
        <w:t>” [ver los párrafos</w:t>
      </w:r>
      <w:r w:rsidR="00030154" w:rsidRPr="00AC4AEA">
        <w:rPr>
          <w:rFonts w:ascii="Arial" w:hAnsi="Arial" w:cs="Arial"/>
          <w:sz w:val="20"/>
          <w:szCs w:val="20"/>
        </w:rPr>
        <w:t xml:space="preserve"> </w:t>
      </w:r>
      <w:fldSimple w:instr=" REF _Ref135731811 \r \h  \* MERGEFORMAT ">
        <w:r w:rsidR="00D33A5D" w:rsidRPr="00D33A5D">
          <w:rPr>
            <w:rFonts w:ascii="Arial" w:hAnsi="Arial" w:cs="Arial"/>
            <w:sz w:val="20"/>
            <w:szCs w:val="20"/>
          </w:rPr>
          <w:t>764</w:t>
        </w:r>
      </w:fldSimple>
      <w:r w:rsidR="00030154" w:rsidRPr="00AC4AEA">
        <w:rPr>
          <w:rFonts w:ascii="Arial" w:hAnsi="Arial" w:cs="Arial"/>
          <w:sz w:val="20"/>
          <w:szCs w:val="20"/>
        </w:rPr>
        <w:t xml:space="preserve"> a </w:t>
      </w:r>
      <w:fldSimple w:instr=" REF _Ref135731820 \r \h  \* MERGEFORMAT ">
        <w:r w:rsidR="00D33A5D" w:rsidRPr="00D33A5D">
          <w:rPr>
            <w:rFonts w:ascii="Arial" w:hAnsi="Arial" w:cs="Arial"/>
            <w:sz w:val="20"/>
            <w:szCs w:val="20"/>
          </w:rPr>
          <w:t>806</w:t>
        </w:r>
      </w:fldSimple>
      <w:r w:rsidRPr="00AC4AEA">
        <w:rPr>
          <w:rFonts w:ascii="Arial" w:hAnsi="Arial" w:cs="Arial"/>
          <w:sz w:val="20"/>
          <w:szCs w:val="20"/>
        </w:rPr>
        <w:t xml:space="preserve">] prescribe las reglas para el tratamiento de las subsidiarias en los </w:t>
      </w:r>
      <w:r w:rsidRPr="00AC4AEA">
        <w:rPr>
          <w:rFonts w:ascii="Arial" w:hAnsi="Arial" w:cs="Arial"/>
          <w:b/>
          <w:bCs/>
          <w:sz w:val="20"/>
          <w:szCs w:val="20"/>
        </w:rPr>
        <w:t>estados contables consolidados</w:t>
      </w:r>
      <w:r w:rsidRPr="00AC4AEA">
        <w:rPr>
          <w:rFonts w:ascii="Arial" w:hAnsi="Arial" w:cs="Arial"/>
          <w:sz w:val="20"/>
          <w:szCs w:val="20"/>
        </w:rPr>
        <w:t xml:space="preserve"> de una entidad controladora. </w:t>
      </w:r>
    </w:p>
    <w:p w:rsidR="00030154"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La </w:t>
      </w:r>
      <w:r w:rsidR="00030154" w:rsidRPr="00AC4AEA">
        <w:rPr>
          <w:rFonts w:ascii="Arial" w:hAnsi="Arial" w:cs="Arial"/>
          <w:sz w:val="20"/>
          <w:szCs w:val="20"/>
        </w:rPr>
        <w:t>s</w:t>
      </w:r>
      <w:r w:rsidRPr="00AC4AEA">
        <w:rPr>
          <w:rFonts w:ascii="Arial" w:hAnsi="Arial" w:cs="Arial"/>
          <w:sz w:val="20"/>
          <w:szCs w:val="20"/>
        </w:rPr>
        <w:t>ección “</w:t>
      </w:r>
      <w:r w:rsidR="00B15C87" w:rsidRPr="00AC4AEA">
        <w:rPr>
          <w:rFonts w:ascii="Arial" w:hAnsi="Arial" w:cs="Arial"/>
          <w:sz w:val="20"/>
          <w:szCs w:val="20"/>
          <w:u w:val="single" w:color="000000"/>
        </w:rPr>
        <w:t>Negocios</w:t>
      </w:r>
      <w:r w:rsidRPr="00AC4AEA">
        <w:rPr>
          <w:rFonts w:ascii="Arial" w:hAnsi="Arial" w:cs="Arial"/>
          <w:sz w:val="20"/>
          <w:szCs w:val="20"/>
          <w:u w:val="single" w:color="000000"/>
        </w:rPr>
        <w:t xml:space="preserve"> conjuntos</w:t>
      </w:r>
      <w:r w:rsidRPr="00AC4AEA">
        <w:rPr>
          <w:rFonts w:ascii="Arial" w:hAnsi="Arial" w:cs="Arial"/>
          <w:sz w:val="20"/>
          <w:szCs w:val="20"/>
        </w:rPr>
        <w:t>” [ver los párrafos</w:t>
      </w:r>
      <w:r w:rsidR="00030154" w:rsidRPr="00AC4AEA">
        <w:rPr>
          <w:rFonts w:ascii="Arial" w:hAnsi="Arial" w:cs="Arial"/>
          <w:sz w:val="20"/>
          <w:szCs w:val="20"/>
        </w:rPr>
        <w:t xml:space="preserve"> </w:t>
      </w:r>
      <w:fldSimple w:instr=" REF _Ref135731852 \r \h  \* MERGEFORMAT ">
        <w:r w:rsidR="00D33A5D" w:rsidRPr="00D33A5D">
          <w:rPr>
            <w:rFonts w:ascii="Arial" w:hAnsi="Arial" w:cs="Arial"/>
            <w:sz w:val="20"/>
            <w:szCs w:val="20"/>
          </w:rPr>
          <w:t>808</w:t>
        </w:r>
      </w:fldSimple>
      <w:r w:rsidR="00030154" w:rsidRPr="00AC4AEA">
        <w:rPr>
          <w:rFonts w:ascii="Arial" w:hAnsi="Arial" w:cs="Arial"/>
          <w:sz w:val="20"/>
          <w:szCs w:val="20"/>
        </w:rPr>
        <w:t xml:space="preserve"> a </w:t>
      </w:r>
      <w:fldSimple w:instr=" REF _Ref132050765 \r \h  \* MERGEFORMAT ">
        <w:r w:rsidR="00D33A5D" w:rsidRPr="00D33A5D">
          <w:rPr>
            <w:rFonts w:ascii="Arial" w:hAnsi="Arial" w:cs="Arial"/>
            <w:sz w:val="20"/>
            <w:szCs w:val="20"/>
          </w:rPr>
          <w:t>823</w:t>
        </w:r>
      </w:fldSimple>
      <w:r w:rsidRPr="00AC4AEA">
        <w:rPr>
          <w:rFonts w:ascii="Arial" w:hAnsi="Arial" w:cs="Arial"/>
          <w:sz w:val="20"/>
          <w:szCs w:val="20"/>
        </w:rPr>
        <w:t xml:space="preserve">] prescribe las reglas </w:t>
      </w:r>
      <w:r w:rsidR="00030154" w:rsidRPr="00AC4AEA">
        <w:rPr>
          <w:rFonts w:ascii="Arial" w:hAnsi="Arial" w:cs="Arial"/>
          <w:sz w:val="20"/>
          <w:szCs w:val="20"/>
        </w:rPr>
        <w:t xml:space="preserve">para: </w:t>
      </w:r>
    </w:p>
    <w:p w:rsidR="00030154" w:rsidRPr="00AC4AEA" w:rsidRDefault="00421257" w:rsidP="00030154">
      <w:pPr>
        <w:numPr>
          <w:ilvl w:val="1"/>
          <w:numId w:val="29"/>
        </w:numPr>
        <w:spacing w:after="147" w:line="264" w:lineRule="auto"/>
        <w:ind w:left="1560"/>
        <w:jc w:val="both"/>
        <w:rPr>
          <w:rFonts w:ascii="Arial" w:hAnsi="Arial" w:cs="Arial"/>
          <w:sz w:val="20"/>
          <w:szCs w:val="20"/>
        </w:rPr>
      </w:pPr>
      <w:r w:rsidRPr="00AC4AEA">
        <w:rPr>
          <w:rFonts w:ascii="Arial" w:hAnsi="Arial" w:cs="Arial"/>
          <w:sz w:val="20"/>
          <w:szCs w:val="20"/>
        </w:rPr>
        <w:t xml:space="preserve">identificar un </w:t>
      </w:r>
      <w:r w:rsidR="0098440E" w:rsidRPr="00AC4AEA">
        <w:rPr>
          <w:rFonts w:ascii="Arial" w:hAnsi="Arial" w:cs="Arial"/>
          <w:sz w:val="20"/>
          <w:szCs w:val="20"/>
        </w:rPr>
        <w:t>negocio conjunto</w:t>
      </w:r>
      <w:r w:rsidR="005F1D14" w:rsidRPr="00AC4AEA">
        <w:rPr>
          <w:rFonts w:ascii="Arial" w:hAnsi="Arial" w:cs="Arial"/>
          <w:sz w:val="20"/>
          <w:szCs w:val="20"/>
        </w:rPr>
        <w:t xml:space="preserve">; </w:t>
      </w:r>
    </w:p>
    <w:p w:rsidR="00030154" w:rsidRPr="00AC4AEA" w:rsidRDefault="005F1D14" w:rsidP="00030154">
      <w:pPr>
        <w:numPr>
          <w:ilvl w:val="1"/>
          <w:numId w:val="29"/>
        </w:numPr>
        <w:spacing w:after="147" w:line="264" w:lineRule="auto"/>
        <w:ind w:left="1560"/>
        <w:jc w:val="both"/>
        <w:rPr>
          <w:rFonts w:ascii="Arial" w:hAnsi="Arial" w:cs="Arial"/>
          <w:sz w:val="20"/>
          <w:szCs w:val="20"/>
        </w:rPr>
      </w:pPr>
      <w:r w:rsidRPr="00AC4AEA">
        <w:rPr>
          <w:rFonts w:ascii="Arial" w:hAnsi="Arial" w:cs="Arial"/>
          <w:sz w:val="20"/>
          <w:szCs w:val="20"/>
        </w:rPr>
        <w:t>clasificar</w:t>
      </w:r>
      <w:r w:rsidR="00030154" w:rsidRPr="00AC4AEA">
        <w:rPr>
          <w:rFonts w:ascii="Arial" w:hAnsi="Arial" w:cs="Arial"/>
          <w:sz w:val="20"/>
          <w:szCs w:val="20"/>
        </w:rPr>
        <w:t>lo</w:t>
      </w:r>
      <w:r w:rsidRPr="00AC4AEA">
        <w:rPr>
          <w:rFonts w:ascii="Arial" w:hAnsi="Arial" w:cs="Arial"/>
          <w:sz w:val="20"/>
          <w:szCs w:val="20"/>
        </w:rPr>
        <w:t>;</w:t>
      </w:r>
      <w:r w:rsidR="00421257" w:rsidRPr="00AC4AEA">
        <w:rPr>
          <w:rFonts w:ascii="Arial" w:hAnsi="Arial" w:cs="Arial"/>
          <w:sz w:val="20"/>
          <w:szCs w:val="20"/>
        </w:rPr>
        <w:t xml:space="preserve"> y </w:t>
      </w:r>
    </w:p>
    <w:p w:rsidR="00421257" w:rsidRPr="00AC4AEA" w:rsidRDefault="00421257" w:rsidP="00030154">
      <w:pPr>
        <w:numPr>
          <w:ilvl w:val="1"/>
          <w:numId w:val="29"/>
        </w:numPr>
        <w:spacing w:after="147" w:line="264" w:lineRule="auto"/>
        <w:ind w:left="1560"/>
        <w:jc w:val="both"/>
        <w:rPr>
          <w:rFonts w:ascii="Arial" w:hAnsi="Arial" w:cs="Arial"/>
          <w:sz w:val="20"/>
          <w:szCs w:val="20"/>
        </w:rPr>
      </w:pPr>
      <w:r w:rsidRPr="00AC4AEA">
        <w:rPr>
          <w:rFonts w:ascii="Arial" w:hAnsi="Arial" w:cs="Arial"/>
          <w:sz w:val="20"/>
          <w:szCs w:val="20"/>
        </w:rPr>
        <w:t>contabilizar</w:t>
      </w:r>
      <w:r w:rsidR="00030154" w:rsidRPr="00AC4AEA">
        <w:rPr>
          <w:rFonts w:ascii="Arial" w:hAnsi="Arial" w:cs="Arial"/>
          <w:sz w:val="20"/>
          <w:szCs w:val="20"/>
        </w:rPr>
        <w:t>lo</w:t>
      </w:r>
      <w:r w:rsidRPr="00AC4AEA">
        <w:rPr>
          <w:rFonts w:ascii="Arial" w:hAnsi="Arial" w:cs="Arial"/>
          <w:sz w:val="20"/>
          <w:szCs w:val="20"/>
        </w:rPr>
        <w:t xml:space="preserve"> </w:t>
      </w:r>
      <w:r w:rsidR="005F1D14" w:rsidRPr="00AC4AEA">
        <w:rPr>
          <w:rFonts w:ascii="Arial" w:hAnsi="Arial" w:cs="Arial"/>
          <w:sz w:val="20"/>
          <w:szCs w:val="20"/>
        </w:rPr>
        <w:t>de acuerdo con su clasificación</w:t>
      </w:r>
      <w:r w:rsidRPr="00AC4AEA">
        <w:rPr>
          <w:rFonts w:ascii="Arial" w:hAnsi="Arial" w:cs="Arial"/>
          <w:sz w:val="20"/>
          <w:szCs w:val="20"/>
        </w:rPr>
        <w:t xml:space="preserve">. </w:t>
      </w:r>
    </w:p>
    <w:p w:rsidR="00421257" w:rsidRPr="00AC4AEA" w:rsidRDefault="00421257" w:rsidP="00A318EA">
      <w:pPr>
        <w:spacing w:after="148" w:line="256" w:lineRule="auto"/>
        <w:ind w:left="338"/>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35" w:name="_Toc139357000"/>
      <w:r w:rsidRPr="00AC4AEA">
        <w:rPr>
          <w:rFonts w:cs="Arial"/>
        </w:rPr>
        <w:t>Definiciones</w:t>
      </w:r>
      <w:bookmarkEnd w:id="1135"/>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bookmarkStart w:id="1136" w:name="_Ref139221498"/>
      <w:r w:rsidRPr="00AC4AEA">
        <w:rPr>
          <w:rFonts w:ascii="Arial" w:hAnsi="Arial" w:cs="Arial"/>
          <w:sz w:val="20"/>
          <w:szCs w:val="20"/>
        </w:rPr>
        <w:t xml:space="preserve">A los fines del tratamiento de </w:t>
      </w:r>
      <w:r w:rsidRPr="008D4697">
        <w:rPr>
          <w:rFonts w:ascii="Arial" w:hAnsi="Arial" w:cs="Arial"/>
          <w:sz w:val="20"/>
          <w:szCs w:val="20"/>
        </w:rPr>
        <w:t>los activos referidos</w:t>
      </w:r>
      <w:r w:rsidRPr="00AC4AEA">
        <w:rPr>
          <w:rFonts w:ascii="Arial" w:hAnsi="Arial" w:cs="Arial"/>
          <w:sz w:val="20"/>
          <w:szCs w:val="20"/>
        </w:rPr>
        <w:t xml:space="preserve"> en esta sección, una entidad deberá considerar las siguientes definiciones:</w:t>
      </w:r>
      <w:bookmarkEnd w:id="1136"/>
      <w:r w:rsidRPr="00AC4AEA">
        <w:rPr>
          <w:rFonts w:ascii="Arial" w:hAnsi="Arial" w:cs="Arial"/>
          <w:sz w:val="20"/>
          <w:szCs w:val="20"/>
        </w:rPr>
        <w:t xml:space="preserve"> </w:t>
      </w:r>
    </w:p>
    <w:p w:rsidR="00421257" w:rsidRPr="00AC4AEA" w:rsidRDefault="00421257" w:rsidP="00A318EA">
      <w:pPr>
        <w:ind w:left="1334"/>
        <w:jc w:val="both"/>
        <w:rPr>
          <w:rFonts w:ascii="Arial" w:hAnsi="Arial" w:cs="Arial"/>
          <w:sz w:val="20"/>
          <w:szCs w:val="20"/>
        </w:rPr>
      </w:pPr>
      <w:r w:rsidRPr="00AC4AEA">
        <w:rPr>
          <w:rFonts w:ascii="Arial" w:hAnsi="Arial" w:cs="Arial"/>
          <w:sz w:val="20"/>
          <w:szCs w:val="20"/>
          <w:u w:val="single" w:color="000000"/>
        </w:rPr>
        <w:t>Asociada</w:t>
      </w:r>
      <w:r w:rsidRPr="00AC4AEA">
        <w:rPr>
          <w:rFonts w:ascii="Arial" w:hAnsi="Arial" w:cs="Arial"/>
          <w:sz w:val="20"/>
          <w:szCs w:val="20"/>
        </w:rPr>
        <w:t xml:space="preserve">: Entidad sobre la que el inversor tiene una influencia significativa. </w:t>
      </w:r>
    </w:p>
    <w:p w:rsidR="00421257" w:rsidRPr="00AC4AEA" w:rsidRDefault="00421257" w:rsidP="00A318EA">
      <w:pPr>
        <w:ind w:left="1334"/>
        <w:jc w:val="both"/>
        <w:rPr>
          <w:rFonts w:ascii="Arial" w:hAnsi="Arial" w:cs="Arial"/>
          <w:sz w:val="20"/>
          <w:szCs w:val="20"/>
        </w:rPr>
      </w:pPr>
      <w:r w:rsidRPr="00AC4AEA">
        <w:rPr>
          <w:rFonts w:ascii="Arial" w:hAnsi="Arial" w:cs="Arial"/>
          <w:sz w:val="20"/>
          <w:szCs w:val="20"/>
          <w:u w:val="single" w:color="000000"/>
        </w:rPr>
        <w:t>Inversor</w:t>
      </w:r>
      <w:r w:rsidRPr="00AC4AEA">
        <w:rPr>
          <w:rFonts w:ascii="Arial" w:hAnsi="Arial" w:cs="Arial"/>
          <w:sz w:val="20"/>
          <w:szCs w:val="20"/>
        </w:rPr>
        <w:t xml:space="preserve">: </w:t>
      </w:r>
      <w:r w:rsidR="00B34D02" w:rsidRPr="00AC4AEA">
        <w:rPr>
          <w:rFonts w:ascii="Arial" w:hAnsi="Arial" w:cs="Arial"/>
          <w:sz w:val="20"/>
          <w:szCs w:val="20"/>
        </w:rPr>
        <w:t>Entidad propietaria</w:t>
      </w:r>
      <w:r w:rsidRPr="00AC4AEA">
        <w:rPr>
          <w:rFonts w:ascii="Arial" w:hAnsi="Arial" w:cs="Arial"/>
          <w:sz w:val="20"/>
          <w:szCs w:val="20"/>
        </w:rPr>
        <w:t xml:space="preserve"> de</w:t>
      </w:r>
      <w:r w:rsidR="00B34D02" w:rsidRPr="00AC4AEA">
        <w:rPr>
          <w:rFonts w:ascii="Arial" w:hAnsi="Arial" w:cs="Arial"/>
          <w:sz w:val="20"/>
          <w:szCs w:val="20"/>
        </w:rPr>
        <w:t xml:space="preserve"> las</w:t>
      </w:r>
      <w:r w:rsidRPr="00AC4AEA">
        <w:rPr>
          <w:rFonts w:ascii="Arial" w:hAnsi="Arial" w:cs="Arial"/>
          <w:sz w:val="20"/>
          <w:szCs w:val="20"/>
        </w:rPr>
        <w:t xml:space="preserve"> inversiones en subsidiarias</w:t>
      </w:r>
      <w:r w:rsidR="00B34D02" w:rsidRPr="00AC4AEA">
        <w:rPr>
          <w:rFonts w:ascii="Arial" w:hAnsi="Arial" w:cs="Arial"/>
          <w:sz w:val="20"/>
          <w:szCs w:val="20"/>
        </w:rPr>
        <w:t>,</w:t>
      </w:r>
      <w:r w:rsidRPr="00AC4AEA">
        <w:rPr>
          <w:rFonts w:ascii="Arial" w:hAnsi="Arial" w:cs="Arial"/>
          <w:sz w:val="20"/>
          <w:szCs w:val="20"/>
        </w:rPr>
        <w:t xml:space="preserve"> asociadas o negocios conjuntos</w:t>
      </w:r>
      <w:r w:rsidR="001E0A8F" w:rsidRPr="00AC4AEA">
        <w:rPr>
          <w:rFonts w:ascii="Arial" w:hAnsi="Arial" w:cs="Arial"/>
          <w:sz w:val="20"/>
          <w:szCs w:val="20"/>
        </w:rPr>
        <w:t xml:space="preserve"> societarios</w:t>
      </w:r>
      <w:r w:rsidRPr="00AC4AEA">
        <w:rPr>
          <w:rFonts w:ascii="Arial" w:hAnsi="Arial" w:cs="Arial"/>
          <w:sz w:val="20"/>
          <w:szCs w:val="20"/>
        </w:rPr>
        <w:t xml:space="preserve">. </w:t>
      </w:r>
    </w:p>
    <w:p w:rsidR="00421257" w:rsidRPr="00AC4AEA" w:rsidRDefault="00421257" w:rsidP="00A318EA">
      <w:pPr>
        <w:ind w:left="1334"/>
        <w:jc w:val="both"/>
        <w:rPr>
          <w:rFonts w:ascii="Arial" w:hAnsi="Arial" w:cs="Arial"/>
          <w:sz w:val="20"/>
          <w:szCs w:val="20"/>
        </w:rPr>
      </w:pPr>
      <w:r w:rsidRPr="00AC4AEA">
        <w:rPr>
          <w:rFonts w:ascii="Arial" w:hAnsi="Arial" w:cs="Arial"/>
          <w:sz w:val="20"/>
          <w:szCs w:val="20"/>
          <w:u w:val="single" w:color="000000"/>
        </w:rPr>
        <w:t>Influencia significativa:</w:t>
      </w:r>
      <w:r w:rsidRPr="00AC4AEA">
        <w:rPr>
          <w:rFonts w:ascii="Arial" w:hAnsi="Arial" w:cs="Arial"/>
          <w:sz w:val="20"/>
          <w:szCs w:val="20"/>
        </w:rPr>
        <w:t xml:space="preserve"> </w:t>
      </w:r>
      <w:r w:rsidR="00B34D02" w:rsidRPr="00AC4AEA">
        <w:rPr>
          <w:rFonts w:ascii="Arial" w:hAnsi="Arial" w:cs="Arial"/>
          <w:sz w:val="20"/>
          <w:szCs w:val="20"/>
        </w:rPr>
        <w:t>P</w:t>
      </w:r>
      <w:r w:rsidRPr="00AC4AEA">
        <w:rPr>
          <w:rFonts w:ascii="Arial" w:hAnsi="Arial" w:cs="Arial"/>
          <w:sz w:val="20"/>
          <w:szCs w:val="20"/>
        </w:rPr>
        <w:t xml:space="preserve">oder de intervenir en las decisiones de política financiera y de operación de la participada, sin llegar a tener el control ni el control conjunto de esta. </w:t>
      </w:r>
    </w:p>
    <w:p w:rsidR="00B34D02" w:rsidRPr="00AC4AEA" w:rsidRDefault="00421257" w:rsidP="00A318EA">
      <w:pPr>
        <w:ind w:left="1334"/>
        <w:jc w:val="both"/>
        <w:rPr>
          <w:rFonts w:ascii="Arial" w:hAnsi="Arial" w:cs="Arial"/>
          <w:sz w:val="20"/>
          <w:szCs w:val="20"/>
        </w:rPr>
      </w:pPr>
      <w:r w:rsidRPr="00AC4AEA">
        <w:rPr>
          <w:rFonts w:ascii="Arial" w:hAnsi="Arial" w:cs="Arial"/>
          <w:sz w:val="20"/>
          <w:szCs w:val="20"/>
          <w:u w:val="single" w:color="000000"/>
        </w:rPr>
        <w:t>Método del valor patrimonial proporcional</w:t>
      </w:r>
      <w:r w:rsidRPr="00AC4AEA">
        <w:rPr>
          <w:rFonts w:ascii="Arial" w:hAnsi="Arial" w:cs="Arial"/>
          <w:sz w:val="20"/>
          <w:szCs w:val="20"/>
        </w:rPr>
        <w:t xml:space="preserve">: </w:t>
      </w:r>
      <w:r w:rsidR="00B34D02" w:rsidRPr="00AC4AEA">
        <w:rPr>
          <w:rFonts w:ascii="Arial" w:hAnsi="Arial" w:cs="Arial"/>
          <w:sz w:val="20"/>
          <w:szCs w:val="20"/>
        </w:rPr>
        <w:t>M</w:t>
      </w:r>
      <w:r w:rsidRPr="00AC4AEA">
        <w:rPr>
          <w:rFonts w:ascii="Arial" w:hAnsi="Arial" w:cs="Arial"/>
          <w:sz w:val="20"/>
          <w:szCs w:val="20"/>
        </w:rPr>
        <w:t xml:space="preserve">étodo de contabilización </w:t>
      </w:r>
      <w:r w:rsidR="00B34D02" w:rsidRPr="00AC4AEA">
        <w:rPr>
          <w:rFonts w:ascii="Arial" w:hAnsi="Arial" w:cs="Arial"/>
          <w:sz w:val="20"/>
          <w:szCs w:val="20"/>
        </w:rPr>
        <w:t>según el cual:</w:t>
      </w:r>
    </w:p>
    <w:p w:rsidR="00B34D02" w:rsidRPr="00AC4AEA" w:rsidRDefault="00B34D02" w:rsidP="00C01B25">
      <w:pPr>
        <w:pStyle w:val="NUA-Nivel1"/>
        <w:numPr>
          <w:ilvl w:val="0"/>
          <w:numId w:val="593"/>
        </w:numPr>
        <w:ind w:left="1843" w:hanging="425"/>
      </w:pPr>
      <w:r w:rsidRPr="00AC4AEA">
        <w:t xml:space="preserve">el inversor mide inicialmente la participación a su </w:t>
      </w:r>
      <w:r w:rsidRPr="00944C3E">
        <w:rPr>
          <w:b/>
          <w:bCs/>
        </w:rPr>
        <w:t>costo de adquisición</w:t>
      </w:r>
      <w:r w:rsidRPr="00AC4AEA">
        <w:t>; y</w:t>
      </w:r>
    </w:p>
    <w:p w:rsidR="00B34D02" w:rsidRPr="00AC4AEA" w:rsidRDefault="00B34D02" w:rsidP="00C01B25">
      <w:pPr>
        <w:pStyle w:val="NUA-Nivel1"/>
        <w:numPr>
          <w:ilvl w:val="0"/>
          <w:numId w:val="593"/>
        </w:numPr>
        <w:ind w:left="1843" w:hanging="425"/>
      </w:pPr>
      <w:r w:rsidRPr="00AC4AEA">
        <w:lastRenderedPageBreak/>
        <w:t xml:space="preserve">modifica posteriormente el </w:t>
      </w:r>
      <w:r w:rsidRPr="00944C3E">
        <w:rPr>
          <w:b/>
          <w:bCs/>
        </w:rPr>
        <w:t>costo de adquisición</w:t>
      </w:r>
      <w:r w:rsidRPr="00AC4AEA">
        <w:t xml:space="preserve"> para reconocer la parte que le corresponde en los cambios en el </w:t>
      </w:r>
      <w:r w:rsidRPr="008826C7">
        <w:rPr>
          <w:b/>
          <w:bCs/>
        </w:rPr>
        <w:t>patrimonio neto</w:t>
      </w:r>
      <w:r w:rsidRPr="00AC4AEA">
        <w:t xml:space="preserve"> de la participada después de la </w:t>
      </w:r>
      <w:r w:rsidRPr="00796FFD">
        <w:rPr>
          <w:b/>
          <w:bCs/>
        </w:rPr>
        <w:t>fecha de adquisición</w:t>
      </w:r>
      <w:r w:rsidRPr="00AC4AEA">
        <w:t>.</w:t>
      </w:r>
      <w:r w:rsidRPr="00AC4AEA">
        <w:rPr>
          <w:u w:val="single" w:color="000000"/>
        </w:rPr>
        <w:t xml:space="preserve"> </w:t>
      </w:r>
    </w:p>
    <w:p w:rsidR="00421257" w:rsidRPr="00AC4AEA" w:rsidRDefault="00421257" w:rsidP="00A318EA">
      <w:pPr>
        <w:spacing w:after="29"/>
        <w:ind w:left="1334"/>
        <w:jc w:val="both"/>
        <w:rPr>
          <w:rFonts w:ascii="Arial" w:hAnsi="Arial" w:cs="Arial"/>
          <w:sz w:val="20"/>
          <w:szCs w:val="20"/>
        </w:rPr>
      </w:pPr>
      <w:r w:rsidRPr="00AC4AEA">
        <w:rPr>
          <w:rFonts w:ascii="Arial" w:hAnsi="Arial" w:cs="Arial"/>
          <w:sz w:val="20"/>
          <w:szCs w:val="20"/>
        </w:rPr>
        <w:t>Además, las siguientes expresiones deberán emplearse tal como son definidas en los párrafos</w:t>
      </w:r>
      <w:r w:rsidR="00030154" w:rsidRPr="00AC4AEA">
        <w:rPr>
          <w:rFonts w:ascii="Arial" w:hAnsi="Arial" w:cs="Arial"/>
          <w:sz w:val="20"/>
          <w:szCs w:val="20"/>
        </w:rPr>
        <w:t xml:space="preserve"> </w:t>
      </w:r>
      <w:fldSimple w:instr=" REF _Ref132050914 \r \h  \* MERGEFORMAT ">
        <w:r w:rsidR="00D33A5D" w:rsidRPr="00D33A5D">
          <w:rPr>
            <w:rFonts w:ascii="Arial" w:hAnsi="Arial" w:cs="Arial"/>
            <w:sz w:val="20"/>
            <w:szCs w:val="20"/>
          </w:rPr>
          <w:t>765</w:t>
        </w:r>
      </w:fldSimple>
      <w:r w:rsidR="00030154" w:rsidRPr="00AC4AEA">
        <w:rPr>
          <w:rFonts w:ascii="Arial" w:hAnsi="Arial" w:cs="Arial"/>
          <w:sz w:val="20"/>
          <w:szCs w:val="20"/>
        </w:rPr>
        <w:t xml:space="preserve"> u </w:t>
      </w:r>
      <w:fldSimple w:instr=" REF _Ref131758320 \r \h  \* MERGEFORMAT ">
        <w:r w:rsidR="00D33A5D" w:rsidRPr="00D33A5D">
          <w:rPr>
            <w:rFonts w:ascii="Arial" w:hAnsi="Arial" w:cs="Arial"/>
            <w:sz w:val="20"/>
            <w:szCs w:val="20"/>
          </w:rPr>
          <w:t>811</w:t>
        </w:r>
      </w:fldSimple>
      <w:r w:rsidRPr="00AC4AEA">
        <w:rPr>
          <w:rFonts w:ascii="Arial" w:hAnsi="Arial" w:cs="Arial"/>
          <w:sz w:val="20"/>
          <w:szCs w:val="20"/>
        </w:rPr>
        <w:t>, según corresponda:</w:t>
      </w:r>
      <w:r w:rsidR="006F2C57">
        <w:rPr>
          <w:rFonts w:ascii="Arial" w:hAnsi="Arial" w:cs="Arial"/>
          <w:sz w:val="20"/>
          <w:szCs w:val="20"/>
        </w:rPr>
        <w:t xml:space="preserve"> </w:t>
      </w:r>
    </w:p>
    <w:p w:rsidR="00421257" w:rsidRPr="007B56D7" w:rsidRDefault="00421257" w:rsidP="00C01B25">
      <w:pPr>
        <w:numPr>
          <w:ilvl w:val="0"/>
          <w:numId w:val="474"/>
        </w:numPr>
        <w:spacing w:after="35" w:line="256" w:lineRule="auto"/>
        <w:ind w:hanging="339"/>
        <w:rPr>
          <w:rFonts w:ascii="Arial" w:hAnsi="Arial" w:cs="Arial"/>
          <w:sz w:val="20"/>
          <w:szCs w:val="20"/>
        </w:rPr>
      </w:pPr>
      <w:r w:rsidRPr="007B56D7">
        <w:rPr>
          <w:rFonts w:ascii="Arial" w:hAnsi="Arial" w:cs="Arial"/>
          <w:sz w:val="20"/>
          <w:szCs w:val="20"/>
          <w:u w:val="single" w:color="000000"/>
        </w:rPr>
        <w:t>Control.</w:t>
      </w:r>
      <w:r w:rsidRPr="007B56D7">
        <w:rPr>
          <w:rFonts w:ascii="Arial" w:hAnsi="Arial" w:cs="Arial"/>
          <w:sz w:val="20"/>
          <w:szCs w:val="20"/>
        </w:rPr>
        <w:t xml:space="preserve"> </w:t>
      </w:r>
    </w:p>
    <w:p w:rsidR="007D6B03" w:rsidRPr="007B56D7" w:rsidRDefault="007D6B03" w:rsidP="00C01B25">
      <w:pPr>
        <w:numPr>
          <w:ilvl w:val="0"/>
          <w:numId w:val="474"/>
        </w:numPr>
        <w:spacing w:after="35" w:line="256" w:lineRule="auto"/>
        <w:ind w:hanging="339"/>
        <w:rPr>
          <w:rFonts w:ascii="Arial" w:hAnsi="Arial" w:cs="Arial"/>
          <w:sz w:val="20"/>
          <w:szCs w:val="20"/>
        </w:rPr>
      </w:pPr>
      <w:r w:rsidRPr="007B56D7">
        <w:rPr>
          <w:rFonts w:ascii="Arial" w:hAnsi="Arial" w:cs="Arial"/>
          <w:sz w:val="20"/>
          <w:szCs w:val="20"/>
          <w:u w:val="single" w:color="000000"/>
        </w:rPr>
        <w:t xml:space="preserve">Control conjunto </w:t>
      </w:r>
    </w:p>
    <w:p w:rsidR="00421257" w:rsidRPr="007B56D7" w:rsidRDefault="00421257" w:rsidP="00C01B25">
      <w:pPr>
        <w:numPr>
          <w:ilvl w:val="0"/>
          <w:numId w:val="474"/>
        </w:numPr>
        <w:spacing w:after="35" w:line="256" w:lineRule="auto"/>
        <w:ind w:hanging="339"/>
        <w:rPr>
          <w:rFonts w:ascii="Arial" w:hAnsi="Arial" w:cs="Arial"/>
          <w:sz w:val="20"/>
          <w:szCs w:val="20"/>
        </w:rPr>
      </w:pPr>
      <w:r w:rsidRPr="007B56D7">
        <w:rPr>
          <w:rFonts w:ascii="Arial" w:hAnsi="Arial" w:cs="Arial"/>
          <w:sz w:val="20"/>
          <w:szCs w:val="20"/>
          <w:u w:val="single" w:color="000000"/>
        </w:rPr>
        <w:t>Controlada (subsidiaria).</w:t>
      </w:r>
      <w:r w:rsidRPr="007B56D7">
        <w:rPr>
          <w:rFonts w:ascii="Arial" w:hAnsi="Arial" w:cs="Arial"/>
          <w:sz w:val="20"/>
          <w:szCs w:val="20"/>
        </w:rPr>
        <w:t xml:space="preserve"> </w:t>
      </w:r>
    </w:p>
    <w:p w:rsidR="00030154" w:rsidRPr="007B56D7" w:rsidRDefault="00030154" w:rsidP="00C01B25">
      <w:pPr>
        <w:numPr>
          <w:ilvl w:val="0"/>
          <w:numId w:val="474"/>
        </w:numPr>
        <w:spacing w:after="35" w:line="256" w:lineRule="auto"/>
        <w:ind w:hanging="339"/>
        <w:rPr>
          <w:rFonts w:ascii="Arial" w:hAnsi="Arial" w:cs="Arial"/>
          <w:sz w:val="20"/>
          <w:szCs w:val="20"/>
          <w:u w:val="single" w:color="000000"/>
        </w:rPr>
      </w:pPr>
      <w:r w:rsidRPr="007B56D7">
        <w:rPr>
          <w:rFonts w:ascii="Arial" w:hAnsi="Arial" w:cs="Arial"/>
          <w:sz w:val="20"/>
          <w:szCs w:val="20"/>
          <w:u w:val="single" w:color="000000"/>
        </w:rPr>
        <w:t>Controladora conjunta.</w:t>
      </w:r>
    </w:p>
    <w:p w:rsidR="00421257" w:rsidRPr="007B56D7" w:rsidRDefault="00421257" w:rsidP="00C01B25">
      <w:pPr>
        <w:numPr>
          <w:ilvl w:val="0"/>
          <w:numId w:val="474"/>
        </w:numPr>
        <w:spacing w:after="35" w:line="256" w:lineRule="auto"/>
        <w:ind w:hanging="339"/>
        <w:rPr>
          <w:rFonts w:ascii="Arial" w:hAnsi="Arial" w:cs="Arial"/>
          <w:sz w:val="20"/>
          <w:szCs w:val="20"/>
        </w:rPr>
      </w:pPr>
      <w:r w:rsidRPr="007B56D7">
        <w:rPr>
          <w:rFonts w:ascii="Arial" w:hAnsi="Arial" w:cs="Arial"/>
          <w:sz w:val="20"/>
          <w:szCs w:val="20"/>
          <w:u w:val="single" w:color="000000"/>
        </w:rPr>
        <w:t>Entidad</w:t>
      </w:r>
      <w:r w:rsidRPr="007B56D7">
        <w:rPr>
          <w:rFonts w:ascii="Arial" w:hAnsi="Arial" w:cs="Arial"/>
          <w:sz w:val="20"/>
          <w:szCs w:val="20"/>
        </w:rPr>
        <w:t xml:space="preserve">. </w:t>
      </w:r>
    </w:p>
    <w:p w:rsidR="00421257" w:rsidRPr="007B56D7" w:rsidRDefault="00421257" w:rsidP="00C01B25">
      <w:pPr>
        <w:numPr>
          <w:ilvl w:val="0"/>
          <w:numId w:val="474"/>
        </w:numPr>
        <w:spacing w:after="35" w:line="256" w:lineRule="auto"/>
        <w:ind w:hanging="339"/>
        <w:rPr>
          <w:rFonts w:ascii="Arial" w:hAnsi="Arial" w:cs="Arial"/>
          <w:sz w:val="20"/>
          <w:szCs w:val="20"/>
        </w:rPr>
      </w:pPr>
      <w:r w:rsidRPr="007B56D7">
        <w:rPr>
          <w:rFonts w:ascii="Arial" w:hAnsi="Arial" w:cs="Arial"/>
          <w:sz w:val="20"/>
          <w:szCs w:val="20"/>
          <w:u w:val="single" w:color="000000"/>
        </w:rPr>
        <w:t>Entidad controladora</w:t>
      </w:r>
      <w:r w:rsidRPr="007B56D7">
        <w:rPr>
          <w:rFonts w:ascii="Arial" w:hAnsi="Arial" w:cs="Arial"/>
          <w:sz w:val="20"/>
          <w:szCs w:val="20"/>
        </w:rPr>
        <w:t xml:space="preserve">. </w:t>
      </w:r>
    </w:p>
    <w:p w:rsidR="00421257" w:rsidRPr="007B56D7" w:rsidRDefault="00421257" w:rsidP="00C01B25">
      <w:pPr>
        <w:numPr>
          <w:ilvl w:val="0"/>
          <w:numId w:val="474"/>
        </w:numPr>
        <w:spacing w:after="35" w:line="256" w:lineRule="auto"/>
        <w:ind w:hanging="339"/>
        <w:rPr>
          <w:rFonts w:ascii="Arial" w:hAnsi="Arial" w:cs="Arial"/>
          <w:sz w:val="20"/>
          <w:szCs w:val="20"/>
        </w:rPr>
      </w:pPr>
      <w:r w:rsidRPr="007B56D7">
        <w:rPr>
          <w:rFonts w:ascii="Arial" w:hAnsi="Arial" w:cs="Arial"/>
          <w:sz w:val="20"/>
          <w:szCs w:val="20"/>
          <w:u w:val="single" w:color="000000"/>
        </w:rPr>
        <w:t>Grupo económico</w:t>
      </w:r>
      <w:r w:rsidRPr="007B56D7">
        <w:rPr>
          <w:rFonts w:ascii="Arial" w:hAnsi="Arial" w:cs="Arial"/>
          <w:sz w:val="20"/>
          <w:szCs w:val="20"/>
        </w:rPr>
        <w:t xml:space="preserve">. </w:t>
      </w:r>
    </w:p>
    <w:p w:rsidR="00421257" w:rsidRPr="007B56D7" w:rsidRDefault="00421257" w:rsidP="00C01B25">
      <w:pPr>
        <w:numPr>
          <w:ilvl w:val="0"/>
          <w:numId w:val="474"/>
        </w:numPr>
        <w:spacing w:after="35" w:line="256" w:lineRule="auto"/>
        <w:ind w:hanging="339"/>
        <w:rPr>
          <w:rFonts w:ascii="Arial" w:hAnsi="Arial" w:cs="Arial"/>
          <w:sz w:val="20"/>
          <w:szCs w:val="20"/>
          <w:u w:val="single" w:color="000000"/>
        </w:rPr>
      </w:pPr>
      <w:r w:rsidRPr="007B56D7">
        <w:rPr>
          <w:rFonts w:ascii="Arial" w:hAnsi="Arial" w:cs="Arial"/>
          <w:sz w:val="20"/>
          <w:szCs w:val="20"/>
          <w:u w:val="single" w:color="000000"/>
        </w:rPr>
        <w:t xml:space="preserve">Negocio conjunto. </w:t>
      </w:r>
    </w:p>
    <w:p w:rsidR="00421257" w:rsidRPr="007B56D7" w:rsidRDefault="00421257" w:rsidP="00C01B25">
      <w:pPr>
        <w:numPr>
          <w:ilvl w:val="0"/>
          <w:numId w:val="474"/>
        </w:numPr>
        <w:spacing w:after="35" w:line="256" w:lineRule="auto"/>
        <w:ind w:hanging="339"/>
        <w:rPr>
          <w:rFonts w:ascii="Arial" w:hAnsi="Arial" w:cs="Arial"/>
          <w:sz w:val="20"/>
          <w:szCs w:val="20"/>
          <w:u w:val="single" w:color="000000"/>
        </w:rPr>
      </w:pPr>
      <w:r w:rsidRPr="007B56D7">
        <w:rPr>
          <w:rFonts w:ascii="Arial" w:hAnsi="Arial" w:cs="Arial"/>
          <w:sz w:val="20"/>
          <w:szCs w:val="20"/>
          <w:u w:val="single" w:color="000000"/>
        </w:rPr>
        <w:t xml:space="preserve">Participada. </w:t>
      </w:r>
    </w:p>
    <w:p w:rsidR="00421257" w:rsidRPr="00AC4AEA" w:rsidRDefault="00421257" w:rsidP="00A318EA">
      <w:pPr>
        <w:spacing w:after="148" w:line="256" w:lineRule="auto"/>
        <w:rPr>
          <w:rFonts w:ascii="Arial" w:hAnsi="Arial" w:cs="Arial"/>
          <w:sz w:val="20"/>
          <w:szCs w:val="20"/>
        </w:rPr>
      </w:pPr>
    </w:p>
    <w:p w:rsidR="00421257" w:rsidRPr="00AC4AEA" w:rsidRDefault="00421257" w:rsidP="00A318EA">
      <w:pPr>
        <w:pStyle w:val="Ttulo2"/>
        <w:rPr>
          <w:rFonts w:cs="Arial"/>
        </w:rPr>
      </w:pPr>
      <w:bookmarkStart w:id="1137" w:name="_Toc139357001"/>
      <w:r w:rsidRPr="00AC4AEA">
        <w:rPr>
          <w:rFonts w:cs="Arial"/>
        </w:rPr>
        <w:t>Alcance</w:t>
      </w:r>
      <w:bookmarkEnd w:id="1137"/>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r w:rsidRPr="00AC4AEA">
        <w:rPr>
          <w:rFonts w:ascii="Arial" w:hAnsi="Arial" w:cs="Arial"/>
          <w:sz w:val="20"/>
          <w:szCs w:val="20"/>
        </w:rPr>
        <w:t>Una entidad aplicará esta sección a las participaciones en:</w:t>
      </w:r>
      <w:r w:rsidR="006F2C57">
        <w:rPr>
          <w:rFonts w:ascii="Arial" w:hAnsi="Arial" w:cs="Arial"/>
          <w:sz w:val="20"/>
          <w:szCs w:val="20"/>
        </w:rPr>
        <w:t xml:space="preserve"> </w:t>
      </w:r>
    </w:p>
    <w:p w:rsidR="00421257" w:rsidRPr="00AC4AEA" w:rsidRDefault="00421257" w:rsidP="00C01B25">
      <w:pPr>
        <w:pStyle w:val="NUA-Nivel1"/>
        <w:numPr>
          <w:ilvl w:val="0"/>
          <w:numId w:val="594"/>
        </w:numPr>
        <w:ind w:left="1560"/>
      </w:pPr>
      <w:r w:rsidRPr="00AC4AEA">
        <w:t xml:space="preserve">subsidiarias controladas de forma directa, al preparar sus </w:t>
      </w:r>
      <w:r w:rsidRPr="00AC4AEA">
        <w:rPr>
          <w:b/>
          <w:bCs/>
        </w:rPr>
        <w:t>estados contables separados</w:t>
      </w:r>
      <w:r w:rsidRPr="00AC4AEA">
        <w:t xml:space="preserve">; y </w:t>
      </w:r>
    </w:p>
    <w:p w:rsidR="00421257" w:rsidRPr="00AC4AEA" w:rsidRDefault="00421257" w:rsidP="00C01B25">
      <w:pPr>
        <w:pStyle w:val="NUA-Nivel1"/>
        <w:numPr>
          <w:ilvl w:val="0"/>
          <w:numId w:val="594"/>
        </w:numPr>
        <w:ind w:left="1560"/>
      </w:pPr>
      <w:r w:rsidRPr="00AC4AEA">
        <w:t>asociadas o negocios conjuntos</w:t>
      </w:r>
      <w:r w:rsidR="00AD215A" w:rsidRPr="00AC4AEA">
        <w:t xml:space="preserve"> societarios</w:t>
      </w:r>
      <w:r w:rsidRPr="00AC4AEA">
        <w:t>, para preparar:</w:t>
      </w:r>
      <w:r w:rsidR="006F2C57">
        <w:t xml:space="preserve"> </w:t>
      </w:r>
    </w:p>
    <w:p w:rsidR="00421257" w:rsidRPr="007B56D7" w:rsidRDefault="00421257" w:rsidP="00C01B25">
      <w:pPr>
        <w:pStyle w:val="Prrafodelista"/>
        <w:numPr>
          <w:ilvl w:val="0"/>
          <w:numId w:val="540"/>
        </w:numPr>
        <w:ind w:left="2127"/>
        <w:contextualSpacing w:val="0"/>
        <w:jc w:val="both"/>
        <w:rPr>
          <w:rFonts w:ascii="Arial" w:hAnsi="Arial" w:cs="Arial"/>
          <w:sz w:val="20"/>
          <w:szCs w:val="20"/>
        </w:rPr>
      </w:pPr>
      <w:r w:rsidRPr="007B56D7">
        <w:rPr>
          <w:rFonts w:ascii="Arial" w:hAnsi="Arial" w:cs="Arial"/>
          <w:sz w:val="20"/>
          <w:szCs w:val="20"/>
        </w:rPr>
        <w:t xml:space="preserve">tanto sus </w:t>
      </w:r>
      <w:r w:rsidRPr="007B56D7">
        <w:rPr>
          <w:rFonts w:ascii="Arial" w:hAnsi="Arial" w:cs="Arial"/>
          <w:b/>
          <w:bCs/>
          <w:sz w:val="20"/>
          <w:szCs w:val="20"/>
        </w:rPr>
        <w:t>estados contables separados</w:t>
      </w:r>
      <w:r w:rsidRPr="007B56D7">
        <w:rPr>
          <w:rFonts w:ascii="Arial" w:hAnsi="Arial" w:cs="Arial"/>
          <w:sz w:val="20"/>
          <w:szCs w:val="20"/>
        </w:rPr>
        <w:t xml:space="preserve"> como sus </w:t>
      </w:r>
      <w:r w:rsidRPr="007B56D7">
        <w:rPr>
          <w:rFonts w:ascii="Arial" w:hAnsi="Arial" w:cs="Arial"/>
          <w:b/>
          <w:bCs/>
          <w:sz w:val="20"/>
          <w:szCs w:val="20"/>
        </w:rPr>
        <w:t>estados contables consolidados</w:t>
      </w:r>
      <w:r w:rsidRPr="007B56D7">
        <w:rPr>
          <w:rFonts w:ascii="Arial" w:hAnsi="Arial" w:cs="Arial"/>
          <w:sz w:val="20"/>
          <w:szCs w:val="20"/>
        </w:rPr>
        <w:t xml:space="preserve">, cuando se trate de una entidad controladora; o </w:t>
      </w:r>
    </w:p>
    <w:p w:rsidR="00421257" w:rsidRPr="007B56D7" w:rsidRDefault="00421257" w:rsidP="00C01B25">
      <w:pPr>
        <w:pStyle w:val="Prrafodelista"/>
        <w:numPr>
          <w:ilvl w:val="0"/>
          <w:numId w:val="540"/>
        </w:numPr>
        <w:tabs>
          <w:tab w:val="center" w:pos="1531"/>
          <w:tab w:val="center" w:pos="4575"/>
        </w:tabs>
        <w:ind w:left="2127"/>
        <w:contextualSpacing w:val="0"/>
        <w:jc w:val="both"/>
        <w:rPr>
          <w:rFonts w:ascii="Arial" w:hAnsi="Arial" w:cs="Arial"/>
          <w:sz w:val="20"/>
          <w:szCs w:val="20"/>
        </w:rPr>
      </w:pPr>
      <w:r w:rsidRPr="007B56D7">
        <w:rPr>
          <w:rFonts w:ascii="Arial" w:hAnsi="Arial" w:cs="Arial"/>
          <w:sz w:val="20"/>
          <w:szCs w:val="20"/>
        </w:rPr>
        <w:tab/>
        <w:t xml:space="preserve">sus </w:t>
      </w:r>
      <w:r w:rsidRPr="007B56D7">
        <w:rPr>
          <w:rFonts w:ascii="Arial" w:hAnsi="Arial" w:cs="Arial"/>
          <w:b/>
          <w:bCs/>
          <w:sz w:val="20"/>
          <w:szCs w:val="20"/>
        </w:rPr>
        <w:t>estados contables individuales</w:t>
      </w:r>
      <w:r w:rsidRPr="007B56D7">
        <w:rPr>
          <w:rFonts w:ascii="Arial" w:hAnsi="Arial" w:cs="Arial"/>
          <w:sz w:val="20"/>
          <w:szCs w:val="20"/>
        </w:rPr>
        <w:t xml:space="preserve">, en los restantes casos.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Sin perjuicio de lo indicado en el párrafo anterior, cuando una entidad adquiere y mantiene una participación en otra entidad con la intención de venderla o disponer de ella dentro de un año desde </w:t>
      </w:r>
      <w:r w:rsidR="00030154" w:rsidRPr="00AC4AEA">
        <w:rPr>
          <w:rFonts w:ascii="Arial" w:hAnsi="Arial" w:cs="Arial"/>
          <w:sz w:val="20"/>
          <w:szCs w:val="20"/>
        </w:rPr>
        <w:t>la</w:t>
      </w:r>
      <w:r w:rsidRPr="00AC4AEA">
        <w:rPr>
          <w:rFonts w:ascii="Arial" w:hAnsi="Arial" w:cs="Arial"/>
          <w:sz w:val="20"/>
          <w:szCs w:val="20"/>
        </w:rPr>
        <w:t xml:space="preserve"> </w:t>
      </w:r>
      <w:r w:rsidRPr="00AC4AEA">
        <w:rPr>
          <w:rFonts w:ascii="Arial" w:hAnsi="Arial" w:cs="Arial"/>
          <w:b/>
          <w:bCs/>
          <w:sz w:val="20"/>
          <w:szCs w:val="20"/>
        </w:rPr>
        <w:t>fecha de</w:t>
      </w:r>
      <w:r w:rsidR="00030154" w:rsidRPr="00AC4AEA">
        <w:rPr>
          <w:rFonts w:ascii="Arial" w:hAnsi="Arial" w:cs="Arial"/>
          <w:b/>
          <w:bCs/>
          <w:sz w:val="20"/>
          <w:szCs w:val="20"/>
        </w:rPr>
        <w:t xml:space="preserve"> </w:t>
      </w:r>
      <w:r w:rsidRPr="00AC4AEA">
        <w:rPr>
          <w:rFonts w:ascii="Arial" w:hAnsi="Arial" w:cs="Arial"/>
          <w:b/>
          <w:bCs/>
          <w:sz w:val="20"/>
          <w:szCs w:val="20"/>
        </w:rPr>
        <w:t>adquisición</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pStyle w:val="NUA-Nivel1"/>
        <w:numPr>
          <w:ilvl w:val="0"/>
          <w:numId w:val="595"/>
        </w:numPr>
        <w:ind w:left="1560"/>
      </w:pPr>
      <w:r w:rsidRPr="00AC4AEA">
        <w:t>no aplicará los requerimientos de esta sección; y</w:t>
      </w:r>
      <w:r w:rsidR="006F2C57">
        <w:t xml:space="preserve"> </w:t>
      </w:r>
    </w:p>
    <w:p w:rsidR="00421257" w:rsidRPr="00AC4AEA" w:rsidRDefault="00421257" w:rsidP="00C01B25">
      <w:pPr>
        <w:pStyle w:val="NUA-Nivel1"/>
        <w:numPr>
          <w:ilvl w:val="0"/>
          <w:numId w:val="595"/>
        </w:numPr>
        <w:ind w:left="1560"/>
      </w:pPr>
      <w:r w:rsidRPr="00AC4AEA">
        <w:t xml:space="preserve">contabilizará esta inversión de acuerdo con los requerimientos de la </w:t>
      </w:r>
      <w:r w:rsidR="00030154" w:rsidRPr="00AC4AEA">
        <w:t>s</w:t>
      </w:r>
      <w:r w:rsidRPr="00AC4AEA">
        <w:t xml:space="preserve">ección </w:t>
      </w:r>
      <w:r w:rsidR="008D4565" w:rsidRPr="00AC4AEA">
        <w:t>“</w:t>
      </w:r>
      <w:r w:rsidR="008D4565" w:rsidRPr="00AC4AEA">
        <w:rPr>
          <w:u w:val="single" w:color="000000"/>
        </w:rPr>
        <w:t>Inversiones Financieras</w:t>
      </w:r>
      <w:r w:rsidR="008D4565" w:rsidRPr="00AC4AEA">
        <w:t xml:space="preserve">” [ver los párrafos </w:t>
      </w:r>
      <w:fldSimple w:instr=" REF _Ref132052900 \r \h  \* MERGEFORMAT ">
        <w:r w:rsidR="00D33A5D">
          <w:t>212</w:t>
        </w:r>
      </w:fldSimple>
      <w:r w:rsidR="008D4565" w:rsidRPr="00AC4AEA">
        <w:t xml:space="preserve"> a </w:t>
      </w:r>
      <w:fldSimple w:instr=" REF _Ref99468272 \r \h  \* MERGEFORMAT ">
        <w:r w:rsidR="00D33A5D">
          <w:t>235</w:t>
        </w:r>
      </w:fldSimple>
      <w:r w:rsidR="008D4565" w:rsidRPr="00AC4AEA">
        <w:t>]</w:t>
      </w:r>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Una entidad podrá extender el plazo de venta o disposición de un año mencionado en el párrafo anterior si a la </w:t>
      </w:r>
      <w:r w:rsidRPr="00AC4AEA">
        <w:rPr>
          <w:rFonts w:ascii="Arial" w:hAnsi="Arial" w:cs="Arial"/>
          <w:b/>
          <w:bCs/>
          <w:sz w:val="20"/>
          <w:szCs w:val="20"/>
        </w:rPr>
        <w:t>fecha de adquisición</w:t>
      </w:r>
      <w:r w:rsidRPr="00AC4AEA">
        <w:rPr>
          <w:rFonts w:ascii="Arial" w:hAnsi="Arial" w:cs="Arial"/>
          <w:sz w:val="20"/>
          <w:szCs w:val="20"/>
        </w:rPr>
        <w:t xml:space="preserve"> existieran circunstancias fuera del control del inversor, que probablemente demanden mayor tiempo para la concreción de la venta o disposición (por ejemplo, debido a la existencia de obligaciones contractuales con partes no relacionadas o disposiciones legales o reglamentarias).</w:t>
      </w:r>
      <w:r w:rsidR="006F2C57">
        <w:rPr>
          <w:rFonts w:ascii="Arial" w:hAnsi="Arial" w:cs="Arial"/>
          <w:sz w:val="20"/>
          <w:szCs w:val="20"/>
        </w:rPr>
        <w:t xml:space="preserve"> </w:t>
      </w:r>
    </w:p>
    <w:p w:rsidR="00421257" w:rsidRPr="00AC4AEA" w:rsidRDefault="00421257" w:rsidP="00A318EA">
      <w:pPr>
        <w:spacing w:after="153"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38" w:name="_Toc139357002"/>
      <w:r w:rsidRPr="00AC4AEA">
        <w:rPr>
          <w:rFonts w:cs="Arial"/>
        </w:rPr>
        <w:t>Reconocimiento</w:t>
      </w:r>
      <w:bookmarkEnd w:id="1138"/>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r w:rsidRPr="00AC4AEA">
        <w:rPr>
          <w:rFonts w:ascii="Arial" w:hAnsi="Arial" w:cs="Arial"/>
          <w:sz w:val="20"/>
          <w:szCs w:val="20"/>
        </w:rPr>
        <w:t xml:space="preserve">Una entidad reconocerá una inversión en </w:t>
      </w:r>
      <w:r w:rsidR="00981A12" w:rsidRPr="00AC4AEA">
        <w:rPr>
          <w:rFonts w:ascii="Arial" w:hAnsi="Arial" w:cs="Arial"/>
          <w:sz w:val="20"/>
          <w:szCs w:val="20"/>
        </w:rPr>
        <w:t xml:space="preserve">una </w:t>
      </w:r>
      <w:r w:rsidRPr="00AC4AEA">
        <w:rPr>
          <w:rFonts w:ascii="Arial" w:hAnsi="Arial" w:cs="Arial"/>
          <w:sz w:val="20"/>
          <w:szCs w:val="20"/>
        </w:rPr>
        <w:t>subsidiaria</w:t>
      </w:r>
      <w:r w:rsidR="00030154" w:rsidRPr="00AC4AEA">
        <w:rPr>
          <w:rFonts w:ascii="Arial" w:hAnsi="Arial" w:cs="Arial"/>
          <w:sz w:val="20"/>
          <w:szCs w:val="20"/>
        </w:rPr>
        <w:t xml:space="preserve"> directa</w:t>
      </w:r>
      <w:r w:rsidRPr="00AC4AEA">
        <w:rPr>
          <w:rFonts w:ascii="Arial" w:hAnsi="Arial" w:cs="Arial"/>
          <w:sz w:val="20"/>
          <w:szCs w:val="20"/>
        </w:rPr>
        <w:t xml:space="preserve"> en </w:t>
      </w:r>
      <w:r w:rsidR="00981A12" w:rsidRPr="00AC4AEA">
        <w:rPr>
          <w:rFonts w:ascii="Arial" w:hAnsi="Arial" w:cs="Arial"/>
          <w:sz w:val="20"/>
          <w:szCs w:val="20"/>
        </w:rPr>
        <w:t>sus</w:t>
      </w:r>
      <w:r w:rsidRPr="00AC4AEA">
        <w:rPr>
          <w:rFonts w:ascii="Arial" w:hAnsi="Arial" w:cs="Arial"/>
          <w:sz w:val="20"/>
          <w:szCs w:val="20"/>
        </w:rPr>
        <w:t xml:space="preserve"> </w:t>
      </w:r>
      <w:r w:rsidRPr="00AC4AEA">
        <w:rPr>
          <w:rFonts w:ascii="Arial" w:hAnsi="Arial" w:cs="Arial"/>
          <w:b/>
          <w:bCs/>
          <w:sz w:val="20"/>
          <w:szCs w:val="20"/>
        </w:rPr>
        <w:t>estados contables separados</w:t>
      </w:r>
      <w:r w:rsidRPr="00AC4AEA">
        <w:rPr>
          <w:rFonts w:ascii="Arial" w:hAnsi="Arial" w:cs="Arial"/>
          <w:sz w:val="20"/>
          <w:szCs w:val="20"/>
        </w:rPr>
        <w:t xml:space="preserve"> desde la </w:t>
      </w:r>
      <w:r w:rsidRPr="00AC4AEA">
        <w:rPr>
          <w:rFonts w:ascii="Arial" w:hAnsi="Arial" w:cs="Arial"/>
          <w:b/>
          <w:bCs/>
          <w:sz w:val="20"/>
          <w:szCs w:val="20"/>
        </w:rPr>
        <w:t xml:space="preserve">fecha </w:t>
      </w:r>
      <w:r w:rsidR="00030154" w:rsidRPr="00AC4AEA">
        <w:rPr>
          <w:rFonts w:ascii="Arial" w:hAnsi="Arial" w:cs="Arial"/>
          <w:b/>
          <w:bCs/>
          <w:sz w:val="20"/>
          <w:szCs w:val="20"/>
        </w:rPr>
        <w:t>de adquisición</w:t>
      </w:r>
      <w:r w:rsidRPr="00AC4AEA">
        <w:rPr>
          <w:rFonts w:ascii="Arial" w:hAnsi="Arial" w:cs="Arial"/>
          <w:sz w:val="20"/>
          <w:szCs w:val="20"/>
        </w:rPr>
        <w:t>. En la sección “</w:t>
      </w:r>
      <w:r w:rsidRPr="00AC4AEA">
        <w:rPr>
          <w:rFonts w:ascii="Arial" w:hAnsi="Arial" w:cs="Arial"/>
          <w:sz w:val="20"/>
          <w:szCs w:val="20"/>
          <w:u w:val="single" w:color="000000"/>
        </w:rPr>
        <w:t xml:space="preserve">Preparación </w:t>
      </w:r>
      <w:r w:rsidRPr="00AC4AEA">
        <w:rPr>
          <w:rFonts w:ascii="Arial" w:hAnsi="Arial" w:cs="Arial"/>
          <w:sz w:val="20"/>
          <w:szCs w:val="20"/>
          <w:u w:val="single" w:color="000000"/>
        </w:rPr>
        <w:lastRenderedPageBreak/>
        <w:t>de estados contables</w:t>
      </w:r>
      <w:r w:rsidRPr="00AC4AEA">
        <w:rPr>
          <w:rFonts w:ascii="Arial" w:hAnsi="Arial" w:cs="Arial"/>
          <w:sz w:val="20"/>
          <w:szCs w:val="20"/>
        </w:rPr>
        <w:t xml:space="preserve"> </w:t>
      </w:r>
      <w:r w:rsidRPr="00AC4AEA">
        <w:rPr>
          <w:rFonts w:ascii="Arial" w:hAnsi="Arial" w:cs="Arial"/>
          <w:sz w:val="20"/>
          <w:szCs w:val="20"/>
          <w:u w:val="single" w:color="000000"/>
        </w:rPr>
        <w:t>consolidados</w:t>
      </w:r>
      <w:r w:rsidRPr="00AC4AEA">
        <w:rPr>
          <w:rFonts w:ascii="Arial" w:hAnsi="Arial" w:cs="Arial"/>
          <w:sz w:val="20"/>
          <w:szCs w:val="20"/>
        </w:rPr>
        <w:t xml:space="preserve">” [ver los párrafos </w:t>
      </w:r>
      <w:fldSimple w:instr=" REF _Ref135731811 \r \h  \* MERGEFORMAT ">
        <w:r w:rsidR="00D33A5D" w:rsidRPr="00D33A5D">
          <w:rPr>
            <w:rFonts w:ascii="Arial" w:hAnsi="Arial" w:cs="Arial"/>
            <w:sz w:val="20"/>
            <w:szCs w:val="20"/>
          </w:rPr>
          <w:t>764</w:t>
        </w:r>
      </w:fldSimple>
      <w:r w:rsidR="005A2E03" w:rsidRPr="00AC4AEA">
        <w:rPr>
          <w:rFonts w:ascii="Arial" w:hAnsi="Arial" w:cs="Arial"/>
          <w:sz w:val="20"/>
          <w:szCs w:val="20"/>
        </w:rPr>
        <w:t xml:space="preserve"> a </w:t>
      </w:r>
      <w:fldSimple w:instr=" REF _Ref135731820 \r \h  \* MERGEFORMAT ">
        <w:r w:rsidR="00D33A5D" w:rsidRPr="00D33A5D">
          <w:rPr>
            <w:rFonts w:ascii="Arial" w:hAnsi="Arial" w:cs="Arial"/>
            <w:sz w:val="20"/>
            <w:szCs w:val="20"/>
          </w:rPr>
          <w:t>806</w:t>
        </w:r>
      </w:fldSimple>
      <w:r w:rsidRPr="00AC4AEA">
        <w:rPr>
          <w:rFonts w:ascii="Arial" w:hAnsi="Arial" w:cs="Arial"/>
          <w:sz w:val="20"/>
          <w:szCs w:val="20"/>
        </w:rPr>
        <w:t xml:space="preserve">] se describen la definición de control (sobre otra entidad) y cómo aplicar tal definición.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Una entidad reconocerá una inversión en un negocio conjunto </w:t>
      </w:r>
      <w:r w:rsidR="00D06B4B" w:rsidRPr="00AC4AEA">
        <w:rPr>
          <w:rFonts w:ascii="Arial" w:hAnsi="Arial" w:cs="Arial"/>
          <w:sz w:val="20"/>
          <w:szCs w:val="20"/>
        </w:rPr>
        <w:t xml:space="preserve">societario </w:t>
      </w:r>
      <w:r w:rsidRPr="00AC4AEA">
        <w:rPr>
          <w:rFonts w:ascii="Arial" w:hAnsi="Arial" w:cs="Arial"/>
          <w:sz w:val="20"/>
          <w:szCs w:val="20"/>
        </w:rPr>
        <w:t xml:space="preserve">desde la </w:t>
      </w:r>
      <w:r w:rsidR="00030154" w:rsidRPr="00AC4AEA">
        <w:rPr>
          <w:rFonts w:ascii="Arial" w:hAnsi="Arial" w:cs="Arial"/>
          <w:b/>
          <w:bCs/>
          <w:sz w:val="20"/>
          <w:szCs w:val="20"/>
        </w:rPr>
        <w:t>fecha de adquisición</w:t>
      </w:r>
      <w:r w:rsidRPr="00AC4AEA">
        <w:rPr>
          <w:rFonts w:ascii="Arial" w:hAnsi="Arial" w:cs="Arial"/>
          <w:sz w:val="20"/>
          <w:szCs w:val="20"/>
        </w:rPr>
        <w:t xml:space="preserve">. En la </w:t>
      </w:r>
      <w:r w:rsidR="00AD215A" w:rsidRPr="00AC4AEA">
        <w:rPr>
          <w:rFonts w:ascii="Arial" w:hAnsi="Arial" w:cs="Arial"/>
          <w:sz w:val="20"/>
          <w:szCs w:val="20"/>
        </w:rPr>
        <w:t>s</w:t>
      </w:r>
      <w:r w:rsidRPr="00AC4AEA">
        <w:rPr>
          <w:rFonts w:ascii="Arial" w:hAnsi="Arial" w:cs="Arial"/>
          <w:sz w:val="20"/>
          <w:szCs w:val="20"/>
        </w:rPr>
        <w:t>ección “</w:t>
      </w:r>
      <w:r w:rsidR="005F1D14" w:rsidRPr="00AC4AEA">
        <w:rPr>
          <w:rFonts w:ascii="Arial" w:hAnsi="Arial" w:cs="Arial"/>
          <w:sz w:val="20"/>
          <w:szCs w:val="20"/>
          <w:u w:val="single" w:color="000000"/>
        </w:rPr>
        <w:t>Negocios</w:t>
      </w:r>
      <w:r w:rsidRPr="00AC4AEA">
        <w:rPr>
          <w:rFonts w:ascii="Arial" w:hAnsi="Arial" w:cs="Arial"/>
          <w:sz w:val="20"/>
          <w:szCs w:val="20"/>
          <w:u w:val="single" w:color="000000"/>
        </w:rPr>
        <w:t xml:space="preserve"> conjuntos</w:t>
      </w:r>
      <w:r w:rsidRPr="00AC4AEA">
        <w:rPr>
          <w:rFonts w:ascii="Arial" w:hAnsi="Arial" w:cs="Arial"/>
          <w:sz w:val="20"/>
          <w:szCs w:val="20"/>
        </w:rPr>
        <w:t xml:space="preserve">” [ver los párrafos </w:t>
      </w:r>
      <w:fldSimple w:instr=" REF _Ref135731852 \r \h  \* MERGEFORMAT ">
        <w:r w:rsidR="00D33A5D" w:rsidRPr="00D33A5D">
          <w:rPr>
            <w:rFonts w:ascii="Arial" w:hAnsi="Arial" w:cs="Arial"/>
            <w:sz w:val="20"/>
            <w:szCs w:val="20"/>
          </w:rPr>
          <w:t>808</w:t>
        </w:r>
      </w:fldSimple>
      <w:r w:rsidR="009D62EC" w:rsidRPr="00AC4AEA">
        <w:rPr>
          <w:rFonts w:ascii="Arial" w:hAnsi="Arial" w:cs="Arial"/>
          <w:sz w:val="20"/>
          <w:szCs w:val="20"/>
        </w:rPr>
        <w:t xml:space="preserve"> a </w:t>
      </w:r>
      <w:fldSimple w:instr=" REF _Ref132050765 \r \h  \* MERGEFORMAT ">
        <w:r w:rsidR="00D33A5D" w:rsidRPr="00D33A5D">
          <w:rPr>
            <w:rFonts w:ascii="Arial" w:hAnsi="Arial" w:cs="Arial"/>
            <w:sz w:val="20"/>
            <w:szCs w:val="20"/>
          </w:rPr>
          <w:t>823</w:t>
        </w:r>
      </w:fldSimple>
      <w:r w:rsidRPr="00AC4AEA">
        <w:rPr>
          <w:rFonts w:ascii="Arial" w:hAnsi="Arial" w:cs="Arial"/>
          <w:sz w:val="20"/>
          <w:szCs w:val="20"/>
        </w:rPr>
        <w:t xml:space="preserve">] se describe la definición de control conjunto, a efectos de </w:t>
      </w:r>
      <w:r w:rsidR="000D57E3" w:rsidRPr="00AC4AEA">
        <w:rPr>
          <w:rFonts w:ascii="Arial" w:hAnsi="Arial" w:cs="Arial"/>
          <w:sz w:val="20"/>
          <w:szCs w:val="20"/>
        </w:rPr>
        <w:t>evaluar si</w:t>
      </w:r>
      <w:r w:rsidRPr="00AC4AEA">
        <w:rPr>
          <w:rFonts w:ascii="Arial" w:hAnsi="Arial" w:cs="Arial"/>
          <w:sz w:val="20"/>
          <w:szCs w:val="20"/>
        </w:rPr>
        <w:t xml:space="preserve"> </w:t>
      </w:r>
      <w:r w:rsidR="000D57E3" w:rsidRPr="00AC4AEA">
        <w:rPr>
          <w:rFonts w:ascii="Arial" w:hAnsi="Arial" w:cs="Arial"/>
          <w:sz w:val="20"/>
          <w:szCs w:val="20"/>
        </w:rPr>
        <w:t xml:space="preserve">la entidad </w:t>
      </w:r>
      <w:r w:rsidR="00030154" w:rsidRPr="00AC4AEA">
        <w:rPr>
          <w:rFonts w:ascii="Arial" w:hAnsi="Arial" w:cs="Arial"/>
          <w:sz w:val="20"/>
          <w:szCs w:val="20"/>
        </w:rPr>
        <w:t>es controladora conjunta</w:t>
      </w:r>
      <w:r w:rsidR="000D57E3" w:rsidRPr="00AC4AEA">
        <w:rPr>
          <w:rFonts w:ascii="Arial" w:hAnsi="Arial" w:cs="Arial"/>
          <w:sz w:val="20"/>
          <w:szCs w:val="20"/>
        </w:rPr>
        <w:t xml:space="preserve"> </w:t>
      </w:r>
      <w:r w:rsidR="00030154" w:rsidRPr="00AC4AEA">
        <w:rPr>
          <w:rFonts w:ascii="Arial" w:hAnsi="Arial" w:cs="Arial"/>
          <w:sz w:val="20"/>
          <w:szCs w:val="20"/>
        </w:rPr>
        <w:t>en un</w:t>
      </w:r>
      <w:r w:rsidRPr="00AC4AEA">
        <w:rPr>
          <w:rFonts w:ascii="Arial" w:hAnsi="Arial" w:cs="Arial"/>
          <w:sz w:val="20"/>
          <w:szCs w:val="20"/>
        </w:rPr>
        <w:t xml:space="preserve"> </w:t>
      </w:r>
      <w:r w:rsidR="0098440E" w:rsidRPr="00AC4AEA">
        <w:rPr>
          <w:rFonts w:ascii="Arial" w:hAnsi="Arial" w:cs="Arial"/>
          <w:sz w:val="20"/>
          <w:szCs w:val="20"/>
        </w:rPr>
        <w:t>negocio conjunto</w:t>
      </w:r>
      <w:r w:rsidR="000D57E3" w:rsidRPr="00AC4AEA">
        <w:rPr>
          <w:rFonts w:ascii="Arial" w:hAnsi="Arial" w:cs="Arial"/>
          <w:sz w:val="20"/>
          <w:szCs w:val="20"/>
        </w:rPr>
        <w:t xml:space="preserve"> societario</w:t>
      </w:r>
      <w:r w:rsidRPr="00AC4AEA">
        <w:rPr>
          <w:rFonts w:ascii="Arial" w:hAnsi="Arial" w:cs="Arial"/>
          <w:sz w:val="20"/>
          <w:szCs w:val="20"/>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Una entidad reconocerá una inversión en </w:t>
      </w:r>
      <w:r w:rsidR="00981A12" w:rsidRPr="00AC4AEA">
        <w:rPr>
          <w:rFonts w:ascii="Arial" w:hAnsi="Arial" w:cs="Arial"/>
          <w:sz w:val="20"/>
          <w:szCs w:val="20"/>
        </w:rPr>
        <w:t xml:space="preserve">una </w:t>
      </w:r>
      <w:r w:rsidRPr="00AC4AEA">
        <w:rPr>
          <w:rFonts w:ascii="Arial" w:hAnsi="Arial" w:cs="Arial"/>
          <w:sz w:val="20"/>
          <w:szCs w:val="20"/>
        </w:rPr>
        <w:t xml:space="preserve">asociada desde la </w:t>
      </w:r>
      <w:r w:rsidRPr="00AC4AEA">
        <w:rPr>
          <w:rFonts w:ascii="Arial" w:hAnsi="Arial" w:cs="Arial"/>
          <w:b/>
          <w:bCs/>
          <w:sz w:val="20"/>
          <w:szCs w:val="20"/>
        </w:rPr>
        <w:t xml:space="preserve">fecha en la que </w:t>
      </w:r>
      <w:r w:rsidR="00AD215A" w:rsidRPr="00AC4AEA">
        <w:rPr>
          <w:rFonts w:ascii="Arial" w:hAnsi="Arial" w:cs="Arial"/>
          <w:b/>
          <w:bCs/>
          <w:sz w:val="20"/>
          <w:szCs w:val="20"/>
        </w:rPr>
        <w:t>tiene</w:t>
      </w:r>
      <w:r w:rsidRPr="00AC4AEA">
        <w:rPr>
          <w:rFonts w:ascii="Arial" w:hAnsi="Arial" w:cs="Arial"/>
          <w:b/>
          <w:bCs/>
          <w:sz w:val="20"/>
          <w:szCs w:val="20"/>
        </w:rPr>
        <w:t xml:space="preserve"> influencia significativa sobre </w:t>
      </w:r>
      <w:r w:rsidR="00981A12" w:rsidRPr="00AC4AEA">
        <w:rPr>
          <w:rFonts w:ascii="Arial" w:hAnsi="Arial" w:cs="Arial"/>
          <w:b/>
          <w:bCs/>
          <w:sz w:val="20"/>
          <w:szCs w:val="20"/>
        </w:rPr>
        <w:t>ella</w:t>
      </w:r>
      <w:r w:rsidRPr="00AC4AEA">
        <w:rPr>
          <w:rFonts w:ascii="Arial" w:hAnsi="Arial" w:cs="Arial"/>
          <w:sz w:val="20"/>
          <w:szCs w:val="20"/>
        </w:rPr>
        <w:t xml:space="preserve">. </w:t>
      </w:r>
    </w:p>
    <w:p w:rsidR="00421257" w:rsidRPr="00AC4AEA" w:rsidRDefault="00421257" w:rsidP="00A318EA">
      <w:pPr>
        <w:spacing w:line="256" w:lineRule="auto"/>
        <w:ind w:left="338"/>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39" w:name="_Toc139357003"/>
      <w:r w:rsidRPr="00AC4AEA">
        <w:rPr>
          <w:rFonts w:cs="Arial"/>
        </w:rPr>
        <w:t>Influencia significativa</w:t>
      </w:r>
      <w:bookmarkEnd w:id="1139"/>
      <w:r w:rsidRPr="00AC4AEA">
        <w:rPr>
          <w:rFonts w:cs="Arial"/>
        </w:rPr>
        <w:t xml:space="preserve"> </w:t>
      </w:r>
    </w:p>
    <w:p w:rsidR="0016344C" w:rsidRPr="00AC4AEA" w:rsidRDefault="0016344C"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Se presume que una entidad </w:t>
      </w:r>
      <w:r w:rsidR="00AD215A" w:rsidRPr="00AC4AEA">
        <w:rPr>
          <w:rFonts w:ascii="Arial" w:hAnsi="Arial" w:cs="Arial"/>
          <w:sz w:val="20"/>
          <w:szCs w:val="20"/>
        </w:rPr>
        <w:t>tiene</w:t>
      </w:r>
      <w:r w:rsidRPr="00AC4AEA">
        <w:rPr>
          <w:rFonts w:ascii="Arial" w:hAnsi="Arial" w:cs="Arial"/>
          <w:sz w:val="20"/>
          <w:szCs w:val="20"/>
        </w:rPr>
        <w:t xml:space="preserve"> influencia significativa si posee, directa o indirectamente (por ejemplo, a través de subsidiarias), el 20 por ciento o más del poder de voto de la participada, sin llegar a tener el control ni el control conjunto, a menos que pueda demostrarse claramente que tal influencia no existe. A la inversa, se presume que la entidad no ejerce influencia significativa si posee, directa o indirectamente (por ejemplo, a través de subsidiarias), menos del 20 por ciento del poder de voto de la participada, a menos que pueda demostrarse claramente que existe tal influencia. La existencia de un inversor que posea una participación que le otorgue control no impide necesariamente que otro inversor </w:t>
      </w:r>
      <w:r w:rsidR="004408DA" w:rsidRPr="00AC4AEA">
        <w:rPr>
          <w:rFonts w:ascii="Arial" w:hAnsi="Arial" w:cs="Arial"/>
          <w:sz w:val="20"/>
          <w:szCs w:val="20"/>
        </w:rPr>
        <w:t>tenga</w:t>
      </w:r>
      <w:r w:rsidRPr="00AC4AEA">
        <w:rPr>
          <w:rFonts w:ascii="Arial" w:hAnsi="Arial" w:cs="Arial"/>
          <w:sz w:val="20"/>
          <w:szCs w:val="20"/>
        </w:rPr>
        <w:t xml:space="preserve"> influencia significativa.</w:t>
      </w:r>
    </w:p>
    <w:p w:rsidR="00421257" w:rsidRPr="00AC4AEA" w:rsidRDefault="0016344C"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Aunque ninguna de las circunstancias sea concluyente ni la lista referida a continuación resulte </w:t>
      </w:r>
      <w:r w:rsidR="00547A49" w:rsidRPr="00AC4AEA">
        <w:rPr>
          <w:rFonts w:ascii="Arial" w:hAnsi="Arial" w:cs="Arial"/>
          <w:sz w:val="20"/>
          <w:szCs w:val="20"/>
        </w:rPr>
        <w:t>taxativa</w:t>
      </w:r>
      <w:r w:rsidRPr="00AC4AEA">
        <w:rPr>
          <w:rFonts w:ascii="Arial" w:hAnsi="Arial" w:cs="Arial"/>
          <w:sz w:val="20"/>
          <w:szCs w:val="20"/>
        </w:rPr>
        <w:t>, la influencia significativa de una entidad sobre otra puede ponerse de manifiesto a través de:</w:t>
      </w:r>
    </w:p>
    <w:p w:rsidR="00421257" w:rsidRPr="00AC4AEA" w:rsidRDefault="0016344C" w:rsidP="00C01B25">
      <w:pPr>
        <w:pStyle w:val="NUA-Nivel1"/>
        <w:numPr>
          <w:ilvl w:val="0"/>
          <w:numId w:val="596"/>
        </w:numPr>
        <w:ind w:left="1418" w:hanging="425"/>
      </w:pPr>
      <w:r w:rsidRPr="00AC4AEA">
        <w:t xml:space="preserve">la </w:t>
      </w:r>
      <w:r w:rsidR="00421257" w:rsidRPr="00AC4AEA">
        <w:t xml:space="preserve">representación en el </w:t>
      </w:r>
      <w:r w:rsidR="00030154" w:rsidRPr="00AC4AEA">
        <w:t>órgano</w:t>
      </w:r>
      <w:r w:rsidR="00421257" w:rsidRPr="00AC4AEA">
        <w:t xml:space="preserve"> de </w:t>
      </w:r>
      <w:r w:rsidR="00030154" w:rsidRPr="00AC4AEA">
        <w:t>administración</w:t>
      </w:r>
      <w:r w:rsidR="00421257" w:rsidRPr="00AC4AEA">
        <w:t xml:space="preserve"> de la entidad participada; </w:t>
      </w:r>
    </w:p>
    <w:p w:rsidR="00421257" w:rsidRPr="00AC4AEA" w:rsidRDefault="0016344C" w:rsidP="00C01B25">
      <w:pPr>
        <w:pStyle w:val="NUA-Nivel1"/>
        <w:numPr>
          <w:ilvl w:val="0"/>
          <w:numId w:val="596"/>
        </w:numPr>
        <w:ind w:left="1418" w:hanging="425"/>
      </w:pPr>
      <w:r w:rsidRPr="00AC4AEA">
        <w:t xml:space="preserve">la </w:t>
      </w:r>
      <w:r w:rsidR="00421257" w:rsidRPr="00AC4AEA">
        <w:t xml:space="preserve">participación en los procesos de fijación de políticas, entre los que se incluyen las participaciones en las decisiones sobre dividendos y otras distribuciones; </w:t>
      </w:r>
    </w:p>
    <w:p w:rsidR="00421257" w:rsidRPr="00AC4AEA" w:rsidRDefault="0016344C" w:rsidP="00C01B25">
      <w:pPr>
        <w:pStyle w:val="NUA-Nivel1"/>
        <w:numPr>
          <w:ilvl w:val="0"/>
          <w:numId w:val="596"/>
        </w:numPr>
        <w:ind w:left="1418" w:hanging="425"/>
      </w:pPr>
      <w:r w:rsidRPr="00AC4AEA">
        <w:t xml:space="preserve">la existencia de </w:t>
      </w:r>
      <w:r w:rsidR="00421257" w:rsidRPr="00AC4AEA">
        <w:t xml:space="preserve">transacciones de importancia relativa entre la entidad y la participada; </w:t>
      </w:r>
    </w:p>
    <w:p w:rsidR="00421257" w:rsidRPr="00AC4AEA" w:rsidRDefault="0016344C" w:rsidP="00C01B25">
      <w:pPr>
        <w:pStyle w:val="NUA-Nivel1"/>
        <w:numPr>
          <w:ilvl w:val="0"/>
          <w:numId w:val="596"/>
        </w:numPr>
        <w:ind w:left="1418" w:hanging="425"/>
      </w:pPr>
      <w:r w:rsidRPr="00AC4AEA">
        <w:t xml:space="preserve">el </w:t>
      </w:r>
      <w:r w:rsidR="00421257" w:rsidRPr="00AC4AEA">
        <w:t xml:space="preserve">intercambio de personal directivo; o </w:t>
      </w:r>
    </w:p>
    <w:p w:rsidR="00421257" w:rsidRPr="00AC4AEA" w:rsidRDefault="0016344C" w:rsidP="00C01B25">
      <w:pPr>
        <w:pStyle w:val="NUA-Nivel1"/>
        <w:numPr>
          <w:ilvl w:val="0"/>
          <w:numId w:val="596"/>
        </w:numPr>
        <w:ind w:left="1418" w:hanging="425"/>
      </w:pPr>
      <w:r w:rsidRPr="00AC4AEA">
        <w:t xml:space="preserve">el </w:t>
      </w:r>
      <w:r w:rsidR="00421257" w:rsidRPr="00AC4AEA">
        <w:t xml:space="preserve">suministro de información técnica esencial.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Cuando evalúe si tiene influencia significativa, una entidad tendrá en cuenta la existencia y </w:t>
      </w:r>
      <w:r w:rsidR="00547A49" w:rsidRPr="00AC4AEA">
        <w:rPr>
          <w:rFonts w:ascii="Arial" w:hAnsi="Arial" w:cs="Arial"/>
          <w:sz w:val="20"/>
          <w:szCs w:val="20"/>
        </w:rPr>
        <w:t xml:space="preserve">los efectos </w:t>
      </w:r>
      <w:r w:rsidRPr="00AC4AEA">
        <w:rPr>
          <w:rFonts w:ascii="Arial" w:hAnsi="Arial" w:cs="Arial"/>
          <w:sz w:val="20"/>
          <w:szCs w:val="20"/>
        </w:rPr>
        <w:t xml:space="preserve">de los derechos de voto potenciales que sean, en ese momento, ejercitables o convertibles, incluyendo los derechos de voto potenciales poseídos por otras entidades.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Al evaluar si los derechos de voto potenciales contribuyen a la existencia de influencia significativa, una entidad examinará todos los hechos y circunstancias (incluyendo las condiciones de ejercicio de tales derechos potenciales de voto y cualesquiera otros acuerdos contractuales, considerados aislada o conjuntamente) que afecten a los mismos, salvo la intención de la </w:t>
      </w:r>
      <w:r w:rsidR="00547A49" w:rsidRPr="00AC4AEA">
        <w:rPr>
          <w:rFonts w:ascii="Arial" w:hAnsi="Arial" w:cs="Arial"/>
          <w:b/>
          <w:bCs/>
          <w:sz w:val="20"/>
          <w:szCs w:val="20"/>
        </w:rPr>
        <w:t>dirección</w:t>
      </w:r>
      <w:r w:rsidRPr="00AC4AEA">
        <w:rPr>
          <w:rFonts w:ascii="Arial" w:hAnsi="Arial" w:cs="Arial"/>
          <w:sz w:val="20"/>
          <w:szCs w:val="20"/>
        </w:rPr>
        <w:t xml:space="preserve"> y la capacidad financiera de ejercer o convertir dichos derechos potenciales. </w:t>
      </w:r>
    </w:p>
    <w:p w:rsidR="00421257" w:rsidRPr="00AC4AEA" w:rsidRDefault="00421257" w:rsidP="000A0BD3">
      <w:pPr>
        <w:numPr>
          <w:ilvl w:val="0"/>
          <w:numId w:val="29"/>
        </w:numPr>
        <w:spacing w:after="148"/>
        <w:jc w:val="both"/>
        <w:rPr>
          <w:rFonts w:ascii="Arial" w:hAnsi="Arial" w:cs="Arial"/>
          <w:sz w:val="20"/>
          <w:szCs w:val="20"/>
        </w:rPr>
      </w:pPr>
      <w:r w:rsidRPr="00AC4AEA">
        <w:rPr>
          <w:rFonts w:ascii="Arial" w:hAnsi="Arial" w:cs="Arial"/>
          <w:sz w:val="20"/>
          <w:szCs w:val="20"/>
        </w:rPr>
        <w:lastRenderedPageBreak/>
        <w:t>Una entidad perderá la influencia significativa sobre la participada cuando carezca del poder de intervenir en las decisiones de política financiera y de operación de ésta. La pérdida de influencia significativa puede tener lugar con o sin un cambio en los niveles absolutos o relativos de propiedad. Podría ocurrir, por ejemplo,</w:t>
      </w:r>
      <w:r w:rsidR="006F2C57">
        <w:rPr>
          <w:rFonts w:ascii="Arial" w:hAnsi="Arial" w:cs="Arial"/>
          <w:sz w:val="20"/>
          <w:szCs w:val="20"/>
        </w:rPr>
        <w:t xml:space="preserve"> </w:t>
      </w:r>
    </w:p>
    <w:p w:rsidR="00421257" w:rsidRPr="00AC4AEA" w:rsidRDefault="00421257" w:rsidP="00C01B25">
      <w:pPr>
        <w:pStyle w:val="NUA-Nivel1"/>
        <w:numPr>
          <w:ilvl w:val="0"/>
          <w:numId w:val="597"/>
        </w:numPr>
        <w:ind w:left="1418" w:hanging="425"/>
      </w:pPr>
      <w:r w:rsidRPr="00AC4AEA">
        <w:t xml:space="preserve">cuando una asociada quedase sujeta al control de una administración pública, tribunal, administrador o regulador; o </w:t>
      </w:r>
    </w:p>
    <w:p w:rsidR="00421257" w:rsidRPr="00AC4AEA" w:rsidRDefault="00421257" w:rsidP="00C01B25">
      <w:pPr>
        <w:pStyle w:val="NUA-Nivel1"/>
        <w:numPr>
          <w:ilvl w:val="0"/>
          <w:numId w:val="597"/>
        </w:numPr>
        <w:ind w:left="1418" w:hanging="425"/>
      </w:pPr>
      <w:r w:rsidRPr="00AC4AEA">
        <w:t xml:space="preserve">como resultado de un acuerdo contractual.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40" w:name="_Toc139357004"/>
      <w:r w:rsidRPr="00AC4AEA">
        <w:rPr>
          <w:rFonts w:cs="Arial"/>
        </w:rPr>
        <w:t>Aplicación del método del valor patrimonial proporcional</w:t>
      </w:r>
      <w:bookmarkEnd w:id="1140"/>
      <w:r w:rsidRPr="00AC4AEA">
        <w:rPr>
          <w:rFonts w:cs="Arial"/>
        </w:rPr>
        <w:t xml:space="preserve"> </w:t>
      </w:r>
    </w:p>
    <w:p w:rsidR="00421257" w:rsidRPr="00AC4AEA" w:rsidRDefault="00421257" w:rsidP="00A318EA">
      <w:pPr>
        <w:pStyle w:val="Ttulo3"/>
      </w:pPr>
      <w:bookmarkStart w:id="1141" w:name="_Toc139357005"/>
      <w:r w:rsidRPr="00AC4AEA">
        <w:t>Medición inicial</w:t>
      </w:r>
      <w:bookmarkEnd w:id="1141"/>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Una entidad medirá inicialmente las participaciones en subsidiarias en los </w:t>
      </w:r>
      <w:r w:rsidRPr="00AC4AEA">
        <w:rPr>
          <w:rFonts w:ascii="Arial" w:hAnsi="Arial" w:cs="Arial"/>
          <w:b/>
          <w:bCs/>
          <w:sz w:val="20"/>
          <w:szCs w:val="20"/>
        </w:rPr>
        <w:t>estados contables separados</w:t>
      </w:r>
      <w:r w:rsidRPr="00AC4AEA">
        <w:rPr>
          <w:rFonts w:ascii="Arial" w:hAnsi="Arial" w:cs="Arial"/>
          <w:sz w:val="20"/>
          <w:szCs w:val="20"/>
        </w:rPr>
        <w:t>, las inversiones en negocios conjuntos</w:t>
      </w:r>
      <w:r w:rsidR="006531EE" w:rsidRPr="00AC4AEA">
        <w:rPr>
          <w:rFonts w:ascii="Arial" w:hAnsi="Arial" w:cs="Arial"/>
          <w:sz w:val="20"/>
          <w:szCs w:val="20"/>
        </w:rPr>
        <w:t xml:space="preserve"> societarios</w:t>
      </w:r>
      <w:r w:rsidRPr="00AC4AEA">
        <w:rPr>
          <w:rFonts w:ascii="Arial" w:hAnsi="Arial" w:cs="Arial"/>
          <w:sz w:val="20"/>
          <w:szCs w:val="20"/>
        </w:rPr>
        <w:t xml:space="preserve"> y las inversiones en asociadas, a su </w:t>
      </w:r>
      <w:r w:rsidRPr="00944C3E">
        <w:rPr>
          <w:rFonts w:ascii="Arial" w:hAnsi="Arial" w:cs="Arial"/>
          <w:b/>
          <w:bCs/>
          <w:sz w:val="20"/>
          <w:szCs w:val="20"/>
        </w:rPr>
        <w:t>costo de adquisición</w:t>
      </w:r>
      <w:r w:rsidR="00C87F38" w:rsidRPr="00AC4AEA">
        <w:rPr>
          <w:rFonts w:ascii="Arial" w:hAnsi="Arial" w:cs="Arial"/>
          <w:sz w:val="20"/>
          <w:szCs w:val="20"/>
        </w:rPr>
        <w:t xml:space="preserve">, de acuerdo con lo establecido en los párrafos </w:t>
      </w:r>
      <w:fldSimple w:instr=" REF _Ref132301849 \r \h  \* MERGEFORMAT ">
        <w:r w:rsidR="00D33A5D" w:rsidRPr="00D33A5D">
          <w:rPr>
            <w:rFonts w:ascii="Arial" w:hAnsi="Arial" w:cs="Arial"/>
            <w:sz w:val="20"/>
            <w:szCs w:val="20"/>
          </w:rPr>
          <w:t>840</w:t>
        </w:r>
      </w:fldSimple>
      <w:r w:rsidR="006518BD" w:rsidRPr="00AC4AEA">
        <w:rPr>
          <w:rFonts w:ascii="Arial" w:hAnsi="Arial" w:cs="Arial"/>
          <w:sz w:val="20"/>
          <w:szCs w:val="20"/>
        </w:rPr>
        <w:t xml:space="preserve"> a </w:t>
      </w:r>
      <w:fldSimple w:instr=" REF _Ref136208571 \r \h  \* MERGEFORMAT ">
        <w:r w:rsidR="00D33A5D" w:rsidRPr="00D33A5D">
          <w:rPr>
            <w:rFonts w:ascii="Arial" w:hAnsi="Arial" w:cs="Arial"/>
            <w:sz w:val="20"/>
            <w:szCs w:val="20"/>
          </w:rPr>
          <w:t>848</w:t>
        </w:r>
      </w:fldSimple>
      <w:r w:rsidRPr="00AC4AEA">
        <w:rPr>
          <w:rFonts w:ascii="Arial" w:hAnsi="Arial" w:cs="Arial"/>
          <w:sz w:val="20"/>
          <w:szCs w:val="20"/>
        </w:rPr>
        <w:t xml:space="preserve">. </w:t>
      </w:r>
    </w:p>
    <w:p w:rsidR="00421257" w:rsidRPr="00AC4AEA" w:rsidRDefault="00421257" w:rsidP="00A318EA">
      <w:pPr>
        <w:spacing w:after="13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42" w:name="_Toc139357006"/>
      <w:r w:rsidRPr="00AC4AEA">
        <w:t>Determinación del costo de adquisición</w:t>
      </w:r>
      <w:bookmarkEnd w:id="1142"/>
      <w:r w:rsidRPr="00AC4AEA">
        <w:t xml:space="preserve"> </w:t>
      </w:r>
    </w:p>
    <w:p w:rsidR="00421257" w:rsidRPr="00AC4AEA" w:rsidRDefault="00421257" w:rsidP="00A318EA">
      <w:pPr>
        <w:pStyle w:val="Ttulo4"/>
      </w:pPr>
      <w:r w:rsidRPr="00AC4AEA">
        <w:t xml:space="preserve">Caso general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43" w:name="_Ref132301849"/>
      <w:r w:rsidRPr="00AC4AEA">
        <w:rPr>
          <w:rFonts w:ascii="Arial" w:hAnsi="Arial" w:cs="Arial"/>
          <w:sz w:val="20"/>
          <w:szCs w:val="20"/>
        </w:rPr>
        <w:t xml:space="preserve">Para determinar el </w:t>
      </w:r>
      <w:r w:rsidRPr="00944C3E">
        <w:rPr>
          <w:rFonts w:ascii="Arial" w:hAnsi="Arial" w:cs="Arial"/>
          <w:b/>
          <w:bCs/>
          <w:sz w:val="20"/>
          <w:szCs w:val="20"/>
        </w:rPr>
        <w:t>costo de adquisición</w:t>
      </w:r>
      <w:r w:rsidRPr="00AC4AEA">
        <w:rPr>
          <w:rFonts w:ascii="Arial" w:hAnsi="Arial" w:cs="Arial"/>
          <w:sz w:val="20"/>
          <w:szCs w:val="20"/>
        </w:rPr>
        <w:t xml:space="preserve"> de una </w:t>
      </w:r>
      <w:r w:rsidR="00547A49" w:rsidRPr="00AC4AEA">
        <w:rPr>
          <w:rFonts w:ascii="Arial" w:hAnsi="Arial" w:cs="Arial"/>
          <w:sz w:val="20"/>
          <w:szCs w:val="20"/>
        </w:rPr>
        <w:t>inversión</w:t>
      </w:r>
      <w:r w:rsidRPr="00AC4AEA">
        <w:rPr>
          <w:rFonts w:ascii="Arial" w:hAnsi="Arial" w:cs="Arial"/>
          <w:sz w:val="20"/>
          <w:szCs w:val="20"/>
        </w:rPr>
        <w:t xml:space="preserve"> </w:t>
      </w:r>
      <w:r w:rsidR="00547A49" w:rsidRPr="00AC4AEA">
        <w:rPr>
          <w:rFonts w:ascii="Arial" w:hAnsi="Arial" w:cs="Arial"/>
          <w:sz w:val="20"/>
          <w:szCs w:val="20"/>
        </w:rPr>
        <w:t>dentro del alcance de esta sección</w:t>
      </w:r>
      <w:r w:rsidRPr="00AC4AEA">
        <w:rPr>
          <w:rFonts w:ascii="Arial" w:hAnsi="Arial" w:cs="Arial"/>
          <w:sz w:val="20"/>
          <w:szCs w:val="20"/>
        </w:rPr>
        <w:t xml:space="preserve">, </w:t>
      </w:r>
      <w:r w:rsidR="00547A49" w:rsidRPr="00AC4AEA">
        <w:rPr>
          <w:rFonts w:ascii="Arial" w:hAnsi="Arial" w:cs="Arial"/>
          <w:sz w:val="20"/>
          <w:szCs w:val="20"/>
        </w:rPr>
        <w:t>un</w:t>
      </w:r>
      <w:r w:rsidR="002C70C6" w:rsidRPr="00AC4AEA">
        <w:rPr>
          <w:rFonts w:ascii="Arial" w:hAnsi="Arial" w:cs="Arial"/>
          <w:sz w:val="20"/>
          <w:szCs w:val="20"/>
        </w:rPr>
        <w:t>a</w:t>
      </w:r>
      <w:r w:rsidR="00547A49" w:rsidRPr="00AC4AEA">
        <w:rPr>
          <w:rFonts w:ascii="Arial" w:hAnsi="Arial" w:cs="Arial"/>
          <w:sz w:val="20"/>
          <w:szCs w:val="20"/>
        </w:rPr>
        <w:t xml:space="preserve"> </w:t>
      </w:r>
      <w:r w:rsidR="002C70C6" w:rsidRPr="00AC4AEA">
        <w:rPr>
          <w:rFonts w:ascii="Arial" w:hAnsi="Arial" w:cs="Arial"/>
          <w:sz w:val="20"/>
          <w:szCs w:val="20"/>
        </w:rPr>
        <w:t>entidad</w:t>
      </w:r>
      <w:r w:rsidRPr="00AC4AEA">
        <w:rPr>
          <w:rFonts w:ascii="Arial" w:hAnsi="Arial" w:cs="Arial"/>
          <w:sz w:val="20"/>
          <w:szCs w:val="20"/>
        </w:rPr>
        <w:t xml:space="preserve"> </w:t>
      </w:r>
      <w:r w:rsidR="00547A49" w:rsidRPr="00AC4AEA">
        <w:rPr>
          <w:rFonts w:ascii="Arial" w:hAnsi="Arial" w:cs="Arial"/>
          <w:sz w:val="20"/>
          <w:szCs w:val="20"/>
        </w:rPr>
        <w:t>computará los siguientes conceptos:</w:t>
      </w:r>
      <w:bookmarkEnd w:id="1143"/>
    </w:p>
    <w:p w:rsidR="00421257" w:rsidRPr="00AC4AEA" w:rsidRDefault="00421257" w:rsidP="00C01B25">
      <w:pPr>
        <w:pStyle w:val="NUA-Nivel1"/>
        <w:numPr>
          <w:ilvl w:val="0"/>
          <w:numId w:val="598"/>
        </w:numPr>
        <w:ind w:left="1560"/>
      </w:pPr>
      <w:r w:rsidRPr="008D4697">
        <w:t>los activos</w:t>
      </w:r>
      <w:r w:rsidRPr="00AC4AEA">
        <w:t xml:space="preserve"> </w:t>
      </w:r>
      <w:r w:rsidR="00030154" w:rsidRPr="00AC4AEA">
        <w:t>entregados</w:t>
      </w:r>
      <w:r w:rsidR="00547A49" w:rsidRPr="00AC4AEA">
        <w:t>,</w:t>
      </w:r>
      <w:r w:rsidRPr="00AC4AEA">
        <w:t xml:space="preserve"> a sus </w:t>
      </w:r>
      <w:r w:rsidRPr="00AC4AEA">
        <w:rPr>
          <w:b/>
          <w:bCs/>
        </w:rPr>
        <w:t>valores razonables</w:t>
      </w:r>
      <w:r w:rsidRPr="00AC4AEA">
        <w:t>;</w:t>
      </w:r>
      <w:r w:rsidR="006F2C57">
        <w:t xml:space="preserve"> </w:t>
      </w:r>
    </w:p>
    <w:p w:rsidR="00421257" w:rsidRPr="00AC4AEA" w:rsidRDefault="00421257" w:rsidP="00C01B25">
      <w:pPr>
        <w:pStyle w:val="NUA-Nivel1"/>
        <w:numPr>
          <w:ilvl w:val="0"/>
          <w:numId w:val="598"/>
        </w:numPr>
        <w:ind w:left="1560"/>
      </w:pPr>
      <w:r w:rsidRPr="00AC4AEA">
        <w:t xml:space="preserve">los </w:t>
      </w:r>
      <w:r w:rsidR="00547A49" w:rsidRPr="008D4697">
        <w:t xml:space="preserve">pasivos </w:t>
      </w:r>
      <w:r w:rsidR="00547A49" w:rsidRPr="00AC4AEA">
        <w:t>asumidos, a su valor descontado;</w:t>
      </w:r>
    </w:p>
    <w:p w:rsidR="00421257" w:rsidRPr="00AC4AEA" w:rsidRDefault="00421257" w:rsidP="00C01B25">
      <w:pPr>
        <w:pStyle w:val="NUA-Nivel1"/>
        <w:numPr>
          <w:ilvl w:val="0"/>
          <w:numId w:val="598"/>
        </w:numPr>
        <w:ind w:left="1560"/>
      </w:pPr>
      <w:r w:rsidRPr="00AC4AEA">
        <w:t xml:space="preserve">las acciones que emita: </w:t>
      </w:r>
    </w:p>
    <w:p w:rsidR="00547A49" w:rsidRPr="00AC4AEA" w:rsidRDefault="00547A49" w:rsidP="000A0BD3">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Al valor calculado en función a la participación que dichas acciones otorguen en el neto de las mediciones asignadas a los </w:t>
      </w:r>
      <w:r w:rsidRPr="008D4697">
        <w:rPr>
          <w:rFonts w:ascii="Arial" w:hAnsi="Arial" w:cs="Arial"/>
          <w:sz w:val="20"/>
          <w:szCs w:val="20"/>
        </w:rPr>
        <w:t>activos</w:t>
      </w:r>
      <w:r w:rsidRPr="00AC4AEA">
        <w:rPr>
          <w:rFonts w:ascii="Arial" w:hAnsi="Arial" w:cs="Arial"/>
          <w:b/>
          <w:bCs/>
          <w:sz w:val="20"/>
          <w:szCs w:val="20"/>
        </w:rPr>
        <w:t xml:space="preserve"> </w:t>
      </w:r>
      <w:r w:rsidRPr="00AC4AEA">
        <w:rPr>
          <w:rFonts w:ascii="Arial" w:hAnsi="Arial" w:cs="Arial"/>
          <w:sz w:val="20"/>
          <w:szCs w:val="20"/>
        </w:rPr>
        <w:t xml:space="preserve">y </w:t>
      </w:r>
      <w:r w:rsidR="00CE13D7" w:rsidRPr="00CE13D7">
        <w:rPr>
          <w:rFonts w:ascii="Arial" w:hAnsi="Arial" w:cs="Arial"/>
          <w:bCs/>
          <w:sz w:val="20"/>
          <w:szCs w:val="20"/>
        </w:rPr>
        <w:t>pasivos</w:t>
      </w:r>
      <w:r w:rsidRPr="00AC4AEA">
        <w:rPr>
          <w:rFonts w:ascii="Arial" w:hAnsi="Arial" w:cs="Arial"/>
          <w:sz w:val="20"/>
          <w:szCs w:val="20"/>
        </w:rPr>
        <w:t xml:space="preserve"> de la adquirida en la </w:t>
      </w:r>
      <w:r w:rsidRPr="00796FFD">
        <w:rPr>
          <w:rFonts w:ascii="Arial" w:hAnsi="Arial" w:cs="Arial"/>
          <w:b/>
          <w:bCs/>
          <w:sz w:val="20"/>
          <w:szCs w:val="20"/>
        </w:rPr>
        <w:t>fecha de adquisición</w:t>
      </w:r>
      <w:r w:rsidRPr="00AC4AEA">
        <w:rPr>
          <w:rFonts w:ascii="Arial" w:hAnsi="Arial" w:cs="Arial"/>
          <w:sz w:val="20"/>
          <w:szCs w:val="20"/>
        </w:rPr>
        <w:t>, si es pequeña o mediana.</w:t>
      </w:r>
    </w:p>
    <w:p w:rsidR="00547A49" w:rsidRPr="00AC4AEA" w:rsidRDefault="00547A49" w:rsidP="000A0BD3">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A</w:t>
      </w:r>
      <w:r w:rsidR="00421257" w:rsidRPr="00AC4AEA">
        <w:rPr>
          <w:rFonts w:ascii="Arial" w:hAnsi="Arial" w:cs="Arial"/>
          <w:sz w:val="20"/>
          <w:szCs w:val="20"/>
        </w:rPr>
        <w:t xml:space="preserve"> su </w:t>
      </w:r>
      <w:r w:rsidR="00421257" w:rsidRPr="00AC4AEA">
        <w:rPr>
          <w:rFonts w:ascii="Arial" w:hAnsi="Arial" w:cs="Arial"/>
          <w:b/>
          <w:bCs/>
          <w:sz w:val="20"/>
          <w:szCs w:val="20"/>
        </w:rPr>
        <w:t>valor razonable</w:t>
      </w:r>
      <w:r w:rsidR="00421257" w:rsidRPr="00AC4AEA">
        <w:rPr>
          <w:rFonts w:ascii="Arial" w:hAnsi="Arial" w:cs="Arial"/>
          <w:sz w:val="20"/>
          <w:szCs w:val="20"/>
        </w:rPr>
        <w:t xml:space="preserve">, </w:t>
      </w:r>
      <w:r w:rsidRPr="00AC4AEA">
        <w:rPr>
          <w:rFonts w:ascii="Arial" w:hAnsi="Arial" w:cs="Arial"/>
          <w:sz w:val="20"/>
          <w:szCs w:val="20"/>
        </w:rPr>
        <w:t>en los restantes casos.</w:t>
      </w:r>
    </w:p>
    <w:p w:rsidR="00421257" w:rsidRPr="007B56D7" w:rsidRDefault="00421257" w:rsidP="00C01B25">
      <w:pPr>
        <w:pStyle w:val="NUA-Nivel1"/>
        <w:numPr>
          <w:ilvl w:val="0"/>
          <w:numId w:val="598"/>
        </w:numPr>
        <w:ind w:left="1560"/>
      </w:pPr>
      <w:r w:rsidRPr="007B56D7">
        <w:t>los ajustes al precio de adquisición que dependan de la concreción de un</w:t>
      </w:r>
      <w:r w:rsidR="007B7331" w:rsidRPr="007B56D7">
        <w:t>o</w:t>
      </w:r>
      <w:r w:rsidRPr="007B56D7">
        <w:t xml:space="preserve"> o más hechos futuros, por su </w:t>
      </w:r>
      <w:r w:rsidRPr="007B56D7">
        <w:rPr>
          <w:b/>
          <w:bCs/>
        </w:rPr>
        <w:t>valor razonable</w:t>
      </w:r>
      <w:r w:rsidR="00547A49" w:rsidRPr="007B56D7">
        <w:rPr>
          <w:b/>
          <w:bCs/>
        </w:rPr>
        <w:t xml:space="preserve"> </w:t>
      </w:r>
      <w:r w:rsidR="00547A49" w:rsidRPr="007B56D7">
        <w:t>si utilizó el criterio indicado en el punto (ii) del inciso anterior</w:t>
      </w:r>
      <w:r w:rsidR="009E2040" w:rsidRPr="007B56D7">
        <w:t>;</w:t>
      </w:r>
      <w:r w:rsidRPr="007B56D7">
        <w:t xml:space="preserve"> y</w:t>
      </w:r>
      <w:r w:rsidR="006F2C57">
        <w:t xml:space="preserve"> </w:t>
      </w:r>
    </w:p>
    <w:p w:rsidR="00547A49" w:rsidRPr="00AC4AEA" w:rsidRDefault="00421257" w:rsidP="00C01B25">
      <w:pPr>
        <w:pStyle w:val="NUA-Nivel1"/>
        <w:numPr>
          <w:ilvl w:val="0"/>
          <w:numId w:val="598"/>
        </w:numPr>
        <w:ind w:left="1560"/>
      </w:pPr>
      <w:r w:rsidRPr="007B56D7">
        <w:t>el importe de los activos y pagos monetarios</w:t>
      </w:r>
      <w:r w:rsidRPr="00AC4AEA">
        <w:t xml:space="preserve"> que la entidad adquirente deba entregar o efectuar por costos directos relacionados con la adquisición (emisión y registro de acciones, honorarios profesionales, etc.). </w:t>
      </w:r>
    </w:p>
    <w:p w:rsidR="00421257" w:rsidRPr="00AC4AEA" w:rsidRDefault="00547A49" w:rsidP="000A0BD3">
      <w:pPr>
        <w:pStyle w:val="NUA-Nivel1"/>
        <w:numPr>
          <w:ilvl w:val="0"/>
          <w:numId w:val="29"/>
        </w:numPr>
      </w:pPr>
      <w:bookmarkStart w:id="1144" w:name="_Ref132301854"/>
      <w:r w:rsidRPr="00AC4AEA">
        <w:t xml:space="preserve">Si el </w:t>
      </w:r>
      <w:r w:rsidRPr="00AC4AEA">
        <w:rPr>
          <w:b/>
          <w:bCs/>
        </w:rPr>
        <w:t>valor razonable</w:t>
      </w:r>
      <w:r w:rsidRPr="00AC4AEA">
        <w:t xml:space="preserve"> de los </w:t>
      </w:r>
      <w:r w:rsidRPr="008D4697">
        <w:t>activos</w:t>
      </w:r>
      <w:r w:rsidRPr="00AC4AEA">
        <w:t xml:space="preserve"> referidos en el inciso a) del párrafo anterior difiere del importe en libros de dichos activos, un inversor computará cualquier diferencia entre ambos en el resultado del período.</w:t>
      </w:r>
      <w:bookmarkEnd w:id="1144"/>
    </w:p>
    <w:p w:rsidR="00547A49" w:rsidRPr="00AC4AEA" w:rsidRDefault="00547A49" w:rsidP="00A318EA">
      <w:pPr>
        <w:pStyle w:val="A-doctorado"/>
        <w:rPr>
          <w:rFonts w:ascii="Arial" w:hAnsi="Arial"/>
          <w:color w:val="auto"/>
          <w:sz w:val="20"/>
          <w:szCs w:val="20"/>
        </w:rPr>
      </w:pPr>
    </w:p>
    <w:p w:rsidR="00547A49" w:rsidRPr="00AC4AEA" w:rsidRDefault="00547A49" w:rsidP="00A318EA">
      <w:pPr>
        <w:pStyle w:val="Ttulo4"/>
      </w:pPr>
      <w:r w:rsidRPr="00AC4AEA">
        <w:lastRenderedPageBreak/>
        <w:t>Caso particular</w:t>
      </w:r>
    </w:p>
    <w:p w:rsidR="00547A49" w:rsidRPr="00AC4AEA" w:rsidRDefault="00547A49" w:rsidP="000A0BD3">
      <w:pPr>
        <w:numPr>
          <w:ilvl w:val="0"/>
          <w:numId w:val="29"/>
        </w:numPr>
        <w:spacing w:after="148" w:line="256" w:lineRule="auto"/>
        <w:jc w:val="both"/>
        <w:rPr>
          <w:rFonts w:ascii="Arial" w:hAnsi="Arial" w:cs="Arial"/>
          <w:sz w:val="20"/>
          <w:szCs w:val="20"/>
        </w:rPr>
      </w:pPr>
      <w:bookmarkStart w:id="1145" w:name="_Ref132301519"/>
      <w:r w:rsidRPr="00AC4AEA">
        <w:rPr>
          <w:rFonts w:ascii="Arial" w:hAnsi="Arial" w:cs="Arial"/>
          <w:sz w:val="20"/>
          <w:szCs w:val="20"/>
        </w:rPr>
        <w:t xml:space="preserve">Una entidad </w:t>
      </w:r>
      <w:r w:rsidR="00030154" w:rsidRPr="00AC4AEA">
        <w:rPr>
          <w:rFonts w:ascii="Arial" w:hAnsi="Arial" w:cs="Arial"/>
          <w:sz w:val="20"/>
          <w:szCs w:val="20"/>
        </w:rPr>
        <w:t xml:space="preserve">podría </w:t>
      </w:r>
      <w:r w:rsidR="00F15FAC" w:rsidRPr="00AC4AEA">
        <w:rPr>
          <w:rFonts w:ascii="Arial" w:hAnsi="Arial" w:cs="Arial"/>
          <w:sz w:val="20"/>
          <w:szCs w:val="20"/>
        </w:rPr>
        <w:t>estar obligada</w:t>
      </w:r>
      <w:r w:rsidR="00030154" w:rsidRPr="00AC4AEA">
        <w:rPr>
          <w:rFonts w:ascii="Arial" w:hAnsi="Arial" w:cs="Arial"/>
          <w:sz w:val="20"/>
          <w:szCs w:val="20"/>
        </w:rPr>
        <w:t xml:space="preserve"> </w:t>
      </w:r>
      <w:r w:rsidR="00F15FAC" w:rsidRPr="00AC4AEA">
        <w:rPr>
          <w:rFonts w:ascii="Arial" w:hAnsi="Arial" w:cs="Arial"/>
          <w:sz w:val="20"/>
          <w:szCs w:val="20"/>
        </w:rPr>
        <w:t>a</w:t>
      </w:r>
      <w:r w:rsidRPr="00AC4AEA">
        <w:rPr>
          <w:rFonts w:ascii="Arial" w:hAnsi="Arial" w:cs="Arial"/>
          <w:sz w:val="20"/>
          <w:szCs w:val="20"/>
        </w:rPr>
        <w:t xml:space="preserve"> utilizar el método del </w:t>
      </w:r>
      <w:r w:rsidRPr="00050219">
        <w:rPr>
          <w:rFonts w:ascii="Arial" w:hAnsi="Arial" w:cs="Arial"/>
          <w:b/>
          <w:bCs/>
          <w:sz w:val="20"/>
          <w:szCs w:val="20"/>
        </w:rPr>
        <w:t>valor patrimonial proporcional</w:t>
      </w:r>
      <w:r w:rsidRPr="00AC4AEA">
        <w:rPr>
          <w:rFonts w:ascii="Arial" w:hAnsi="Arial" w:cs="Arial"/>
          <w:sz w:val="20"/>
          <w:szCs w:val="20"/>
        </w:rPr>
        <w:t xml:space="preserve"> para medir una inversión preexistente que no reunía, hasta ese momento, los requisitos para aplicar tal método. Dicha situación podría ser una consecuencia, entre otras causas, de:</w:t>
      </w:r>
      <w:bookmarkEnd w:id="1145"/>
    </w:p>
    <w:p w:rsidR="00547A49" w:rsidRPr="00AC4AEA" w:rsidRDefault="00547A49" w:rsidP="00C01B25">
      <w:pPr>
        <w:pStyle w:val="NUA-Nivel1"/>
        <w:numPr>
          <w:ilvl w:val="0"/>
          <w:numId w:val="599"/>
        </w:numPr>
        <w:ind w:left="1418"/>
      </w:pPr>
      <w:r w:rsidRPr="00AC4AEA">
        <w:t xml:space="preserve">Una nueva adquisición u otro evento que aumente su porcentaje de participación hasta un punto tal que deba medir toda la inversión en función del método del </w:t>
      </w:r>
      <w:r w:rsidRPr="00050219">
        <w:rPr>
          <w:b/>
          <w:bCs/>
        </w:rPr>
        <w:t>valor patrimonial proporcional</w:t>
      </w:r>
      <w:r w:rsidRPr="00AC4AEA">
        <w:t>.</w:t>
      </w:r>
    </w:p>
    <w:p w:rsidR="00547A49" w:rsidRPr="00AC4AEA" w:rsidRDefault="00547A49" w:rsidP="00C01B25">
      <w:pPr>
        <w:pStyle w:val="NUA-Nivel1"/>
        <w:numPr>
          <w:ilvl w:val="0"/>
          <w:numId w:val="599"/>
        </w:numPr>
        <w:ind w:left="1418"/>
      </w:pPr>
      <w:r w:rsidRPr="00AC4AEA">
        <w:t xml:space="preserve">Otros hechos (tales como acuerdos entre partes) que la obliguen a aplicar el método del </w:t>
      </w:r>
      <w:r w:rsidRPr="00050219">
        <w:rPr>
          <w:b/>
          <w:bCs/>
        </w:rPr>
        <w:t>valor patrimonial proporcional</w:t>
      </w:r>
      <w:r w:rsidRPr="00AC4AEA">
        <w:t>, aunque no modifique su porcentaje de participación.</w:t>
      </w:r>
    </w:p>
    <w:p w:rsidR="00547A49" w:rsidRPr="00AC4AEA" w:rsidRDefault="00547A49" w:rsidP="000A0BD3">
      <w:pPr>
        <w:pStyle w:val="NUA-Nivel1"/>
        <w:numPr>
          <w:ilvl w:val="0"/>
          <w:numId w:val="29"/>
        </w:numPr>
      </w:pPr>
      <w:bookmarkStart w:id="1146" w:name="_Ref133254048"/>
      <w:r w:rsidRPr="00AC4AEA">
        <w:t xml:space="preserve">Cuando se produzcan las circunstancias referidas en el párrafo anterior, un inversor determinará el </w:t>
      </w:r>
      <w:r w:rsidRPr="00AC4AEA">
        <w:rPr>
          <w:b/>
          <w:bCs/>
        </w:rPr>
        <w:t>costo atribuido</w:t>
      </w:r>
      <w:r w:rsidRPr="00AC4AEA">
        <w:t xml:space="preserve"> del total de la inversión resultante computando:</w:t>
      </w:r>
      <w:bookmarkEnd w:id="1146"/>
    </w:p>
    <w:p w:rsidR="00547A49" w:rsidRPr="00AC4AEA" w:rsidRDefault="00547A49" w:rsidP="00C01B25">
      <w:pPr>
        <w:pStyle w:val="NUA-Nivel1"/>
        <w:numPr>
          <w:ilvl w:val="0"/>
          <w:numId w:val="600"/>
        </w:numPr>
        <w:ind w:left="1418"/>
      </w:pPr>
      <w:r w:rsidRPr="00AC4AEA">
        <w:t xml:space="preserve">los conceptos referidos en los párrafos </w:t>
      </w:r>
      <w:fldSimple w:instr=" REF _Ref132301849 \r \h  \* MERGEFORMAT ">
        <w:r w:rsidR="00D33A5D">
          <w:t>840</w:t>
        </w:r>
      </w:fldSimple>
      <w:r w:rsidR="00E72C6D" w:rsidRPr="00AC4AEA">
        <w:t xml:space="preserve"> y </w:t>
      </w:r>
      <w:fldSimple w:instr=" REF _Ref132301854 \r \h  \* MERGEFORMAT ">
        <w:r w:rsidR="00D33A5D">
          <w:t>841</w:t>
        </w:r>
      </w:fldSimple>
      <w:r w:rsidRPr="00AC4AEA">
        <w:t>; y</w:t>
      </w:r>
    </w:p>
    <w:p w:rsidR="00547A49" w:rsidRPr="00AC4AEA" w:rsidRDefault="00547A49" w:rsidP="00C01B25">
      <w:pPr>
        <w:pStyle w:val="NUA-Nivel1"/>
        <w:numPr>
          <w:ilvl w:val="0"/>
          <w:numId w:val="600"/>
        </w:numPr>
        <w:ind w:left="1418"/>
      </w:pPr>
      <w:r w:rsidRPr="00AC4AEA">
        <w:t xml:space="preserve">el </w:t>
      </w:r>
      <w:r w:rsidRPr="00AC4AEA">
        <w:rPr>
          <w:b/>
          <w:bCs/>
        </w:rPr>
        <w:t>costo atribuid</w:t>
      </w:r>
      <w:r w:rsidR="00405A39" w:rsidRPr="00AC4AEA">
        <w:rPr>
          <w:b/>
          <w:bCs/>
        </w:rPr>
        <w:t>o</w:t>
      </w:r>
      <w:r w:rsidR="00E72C6D" w:rsidRPr="00AC4AEA">
        <w:t xml:space="preserve"> de</w:t>
      </w:r>
      <w:r w:rsidRPr="00AC4AEA">
        <w:t xml:space="preserve"> la inversión preexistente</w:t>
      </w:r>
      <w:r w:rsidR="00405A39" w:rsidRPr="00AC4AEA">
        <w:t>, determinado de acuerdo con el párrafo siguiente</w:t>
      </w:r>
      <w:r w:rsidRPr="00AC4AEA">
        <w:t>.</w:t>
      </w:r>
    </w:p>
    <w:p w:rsidR="00547A49" w:rsidRPr="00AC4AEA" w:rsidRDefault="00547A49" w:rsidP="000A0BD3">
      <w:pPr>
        <w:pStyle w:val="NUA-Nivel1"/>
        <w:numPr>
          <w:ilvl w:val="0"/>
          <w:numId w:val="29"/>
        </w:numPr>
      </w:pPr>
      <w:r w:rsidRPr="00AC4AEA">
        <w:t>A los fines de calcular el importe referido en el inciso b) del párrafo anterior, un inversor:</w:t>
      </w:r>
    </w:p>
    <w:p w:rsidR="00547A49" w:rsidRPr="00AC4AEA" w:rsidRDefault="00547A49" w:rsidP="00C01B25">
      <w:pPr>
        <w:pStyle w:val="NUA-Nivel1"/>
        <w:numPr>
          <w:ilvl w:val="0"/>
          <w:numId w:val="601"/>
        </w:numPr>
        <w:ind w:left="1418"/>
      </w:pPr>
      <w:r w:rsidRPr="00AC4AEA">
        <w:t xml:space="preserve">medirá el </w:t>
      </w:r>
      <w:r w:rsidRPr="00AC4AEA">
        <w:rPr>
          <w:b/>
          <w:bCs/>
        </w:rPr>
        <w:t>costo atribuido</w:t>
      </w:r>
      <w:r w:rsidRPr="00AC4AEA">
        <w:t>:</w:t>
      </w:r>
    </w:p>
    <w:p w:rsidR="00547A49" w:rsidRPr="00AC4AEA" w:rsidRDefault="00547A49" w:rsidP="000A0BD3">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Al valor de la participación que dichas acciones otorguen en el neto de las mediciones asignadas a los activos y pasivos de la adquirida en la </w:t>
      </w:r>
      <w:r w:rsidRPr="00796FFD">
        <w:rPr>
          <w:rFonts w:ascii="Arial" w:hAnsi="Arial" w:cs="Arial"/>
          <w:b/>
          <w:bCs/>
          <w:sz w:val="20"/>
          <w:szCs w:val="20"/>
        </w:rPr>
        <w:t>fecha de adquisición</w:t>
      </w:r>
      <w:r w:rsidRPr="00AC4AEA">
        <w:rPr>
          <w:rFonts w:ascii="Arial" w:hAnsi="Arial" w:cs="Arial"/>
          <w:sz w:val="20"/>
          <w:szCs w:val="20"/>
        </w:rPr>
        <w:t>, si es pequeña o mediana.</w:t>
      </w:r>
    </w:p>
    <w:p w:rsidR="00547A49" w:rsidRPr="00AC4AEA" w:rsidRDefault="00547A49" w:rsidP="000A0BD3">
      <w:pPr>
        <w:pStyle w:val="Prrafodelista"/>
        <w:numPr>
          <w:ilvl w:val="2"/>
          <w:numId w:val="29"/>
        </w:numPr>
        <w:ind w:left="1985"/>
        <w:contextualSpacing w:val="0"/>
        <w:jc w:val="both"/>
        <w:rPr>
          <w:rFonts w:ascii="Arial" w:hAnsi="Arial" w:cs="Arial"/>
          <w:sz w:val="20"/>
          <w:szCs w:val="20"/>
        </w:rPr>
      </w:pPr>
      <w:r w:rsidRPr="00AC4AEA">
        <w:rPr>
          <w:rFonts w:ascii="Arial" w:hAnsi="Arial" w:cs="Arial"/>
          <w:sz w:val="20"/>
          <w:szCs w:val="20"/>
        </w:rPr>
        <w:t xml:space="preserve">A su </w:t>
      </w:r>
      <w:r w:rsidRPr="00AC4AEA">
        <w:rPr>
          <w:rFonts w:ascii="Arial" w:hAnsi="Arial" w:cs="Arial"/>
          <w:b/>
          <w:bCs/>
          <w:sz w:val="20"/>
          <w:szCs w:val="20"/>
        </w:rPr>
        <w:t>valor razonable</w:t>
      </w:r>
      <w:r w:rsidRPr="00AC4AEA">
        <w:rPr>
          <w:rFonts w:ascii="Arial" w:hAnsi="Arial" w:cs="Arial"/>
          <w:sz w:val="20"/>
          <w:szCs w:val="20"/>
        </w:rPr>
        <w:t xml:space="preserve">, en los restantes casos; </w:t>
      </w:r>
    </w:p>
    <w:p w:rsidR="00547A49" w:rsidRPr="00AC4AEA" w:rsidRDefault="00547A49" w:rsidP="00C01B25">
      <w:pPr>
        <w:pStyle w:val="NUA-Nivel1"/>
        <w:numPr>
          <w:ilvl w:val="0"/>
          <w:numId w:val="601"/>
        </w:numPr>
        <w:ind w:left="1560" w:hanging="502"/>
      </w:pPr>
      <w:r w:rsidRPr="00AC4AEA">
        <w:t xml:space="preserve">reconocerá en el resultado del período cualquier </w:t>
      </w:r>
      <w:r w:rsidRPr="008826C7">
        <w:rPr>
          <w:b/>
          <w:bCs/>
        </w:rPr>
        <w:t xml:space="preserve">pérdida </w:t>
      </w:r>
      <w:r w:rsidRPr="00AC4AEA">
        <w:t xml:space="preserve">o </w:t>
      </w:r>
      <w:r w:rsidRPr="00A94103">
        <w:rPr>
          <w:b/>
          <w:bCs/>
        </w:rPr>
        <w:t xml:space="preserve">ganancia </w:t>
      </w:r>
      <w:r w:rsidRPr="00AC4AEA">
        <w:t xml:space="preserve">resultante de </w:t>
      </w:r>
      <w:r w:rsidR="002F701F" w:rsidRPr="00AC4AEA">
        <w:t xml:space="preserve">comparar </w:t>
      </w:r>
      <w:r w:rsidRPr="00AC4AEA">
        <w:t xml:space="preserve">la medición de la inversión </w:t>
      </w:r>
      <w:r w:rsidR="001269D8">
        <w:t>medida</w:t>
      </w:r>
      <w:r w:rsidR="002F701F" w:rsidRPr="00AC4AEA">
        <w:t xml:space="preserve"> según lo establecido en el párrafo </w:t>
      </w:r>
      <w:fldSimple w:instr=" REF _Ref133254048 \r \h  \* MERGEFORMAT ">
        <w:r w:rsidR="00D33A5D">
          <w:t>843</w:t>
        </w:r>
      </w:fldSimple>
      <w:r w:rsidR="002F701F" w:rsidRPr="00AC4AEA">
        <w:t xml:space="preserve"> con la suma de:</w:t>
      </w:r>
    </w:p>
    <w:p w:rsidR="00547A49" w:rsidRPr="00AC4AEA" w:rsidRDefault="00547A49" w:rsidP="00C01B25">
      <w:pPr>
        <w:pStyle w:val="NUA-Nivel1"/>
        <w:numPr>
          <w:ilvl w:val="0"/>
          <w:numId w:val="647"/>
        </w:numPr>
        <w:ind w:left="1985"/>
      </w:pPr>
      <w:r w:rsidRPr="00AC4AEA">
        <w:t>el importe en libros de dicha inversión, antes del cambio de circunstancias</w:t>
      </w:r>
      <w:r w:rsidR="002F701F" w:rsidRPr="00AC4AEA">
        <w:t>; y</w:t>
      </w:r>
    </w:p>
    <w:p w:rsidR="002F701F" w:rsidRPr="00AC4AEA" w:rsidRDefault="002F701F" w:rsidP="00C01B25">
      <w:pPr>
        <w:pStyle w:val="NUA-Nivel1"/>
        <w:numPr>
          <w:ilvl w:val="0"/>
          <w:numId w:val="647"/>
        </w:numPr>
        <w:ind w:left="1985"/>
      </w:pPr>
      <w:r w:rsidRPr="00AC4AEA">
        <w:t xml:space="preserve">las diferencias referidas en el párrafo </w:t>
      </w:r>
      <w:fldSimple w:instr=" REF _Ref132301854 \r \h  \* MERGEFORMAT ">
        <w:r w:rsidR="00D33A5D">
          <w:t>841</w:t>
        </w:r>
      </w:fldSimple>
      <w:r w:rsidRPr="00AC4AEA">
        <w:t>.</w:t>
      </w:r>
    </w:p>
    <w:p w:rsidR="00421257" w:rsidRPr="00AC4AEA" w:rsidRDefault="00421257" w:rsidP="00A318EA">
      <w:pPr>
        <w:spacing w:after="148" w:line="256" w:lineRule="auto"/>
        <w:ind w:left="1951"/>
        <w:rPr>
          <w:rFonts w:ascii="Arial" w:hAnsi="Arial" w:cs="Arial"/>
          <w:sz w:val="20"/>
          <w:szCs w:val="20"/>
        </w:rPr>
      </w:pPr>
    </w:p>
    <w:p w:rsidR="00421257" w:rsidRPr="00AC4AEA" w:rsidRDefault="00421257" w:rsidP="00A318EA">
      <w:pPr>
        <w:pStyle w:val="Ttulo4"/>
      </w:pPr>
      <w:r w:rsidRPr="00AC4AEA">
        <w:t xml:space="preserve">Separación del costo de adquisición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47" w:name="_Ref135735817"/>
      <w:r w:rsidRPr="00AC4AEA">
        <w:rPr>
          <w:rFonts w:ascii="Arial" w:hAnsi="Arial" w:cs="Arial"/>
          <w:sz w:val="20"/>
          <w:szCs w:val="20"/>
        </w:rPr>
        <w:t>En el momento de la adquisición de la inversión, un inversor segregará el costo de la adquisición en los siguientes componentes:</w:t>
      </w:r>
      <w:bookmarkEnd w:id="1147"/>
      <w:r w:rsidRPr="00AC4AEA">
        <w:rPr>
          <w:rFonts w:ascii="Arial" w:hAnsi="Arial" w:cs="Arial"/>
          <w:sz w:val="20"/>
          <w:szCs w:val="20"/>
        </w:rPr>
        <w:t xml:space="preserve"> </w:t>
      </w:r>
    </w:p>
    <w:p w:rsidR="00421257" w:rsidRPr="00AC4AEA" w:rsidRDefault="00421257" w:rsidP="00C01B25">
      <w:pPr>
        <w:pStyle w:val="NUA-Nivel1"/>
        <w:numPr>
          <w:ilvl w:val="0"/>
          <w:numId w:val="602"/>
        </w:numPr>
        <w:ind w:left="1418" w:hanging="425"/>
      </w:pPr>
      <w:r w:rsidRPr="00AC4AEA">
        <w:t xml:space="preserve">La proporción sobre el valor de libros del </w:t>
      </w:r>
      <w:r w:rsidRPr="00AC4AEA">
        <w:rPr>
          <w:b/>
          <w:bCs/>
        </w:rPr>
        <w:t xml:space="preserve">patrimonio neto </w:t>
      </w:r>
      <w:r w:rsidRPr="00AC4AEA">
        <w:t xml:space="preserve">de la participada. </w:t>
      </w:r>
    </w:p>
    <w:p w:rsidR="00421257" w:rsidRPr="00AC4AEA" w:rsidRDefault="00421257" w:rsidP="00C01B25">
      <w:pPr>
        <w:pStyle w:val="NUA-Nivel1"/>
        <w:numPr>
          <w:ilvl w:val="0"/>
          <w:numId w:val="602"/>
        </w:numPr>
        <w:ind w:left="1418" w:hanging="425"/>
      </w:pPr>
      <w:r w:rsidRPr="00AC4AEA">
        <w:t xml:space="preserve">La proporción sobre la diferencia entre los </w:t>
      </w:r>
      <w:r w:rsidRPr="00AC4AEA">
        <w:rPr>
          <w:b/>
          <w:bCs/>
        </w:rPr>
        <w:t>valores razonables</w:t>
      </w:r>
      <w:r w:rsidRPr="00AC4AEA">
        <w:t xml:space="preserve"> y los valores de libros de los </w:t>
      </w:r>
      <w:r w:rsidR="00CE13D7" w:rsidRPr="00CE13D7">
        <w:rPr>
          <w:bCs/>
        </w:rPr>
        <w:t>activos</w:t>
      </w:r>
      <w:r w:rsidRPr="00AC4AEA">
        <w:t xml:space="preserve"> identificables y los </w:t>
      </w:r>
      <w:r w:rsidR="00CE13D7" w:rsidRPr="00CE13D7">
        <w:rPr>
          <w:bCs/>
        </w:rPr>
        <w:t>pasivos</w:t>
      </w:r>
      <w:r w:rsidRPr="00AC4AEA">
        <w:t xml:space="preserve"> asumidos de la participada. </w:t>
      </w:r>
    </w:p>
    <w:p w:rsidR="00421257" w:rsidRPr="00AC4AEA" w:rsidRDefault="00421257" w:rsidP="00C01B25">
      <w:pPr>
        <w:pStyle w:val="NUA-Nivel1"/>
        <w:numPr>
          <w:ilvl w:val="0"/>
          <w:numId w:val="602"/>
        </w:numPr>
        <w:ind w:left="1418" w:hanging="425"/>
      </w:pPr>
      <w:r w:rsidRPr="00AC4AEA">
        <w:lastRenderedPageBreak/>
        <w:t xml:space="preserve">La proporción sobre los </w:t>
      </w:r>
      <w:r w:rsidR="00CE13D7" w:rsidRPr="00CE13D7">
        <w:rPr>
          <w:bCs/>
        </w:rPr>
        <w:t>activos</w:t>
      </w:r>
      <w:r w:rsidRPr="00AC4AEA">
        <w:t xml:space="preserve"> y </w:t>
      </w:r>
      <w:r w:rsidR="00CE13D7" w:rsidRPr="00CE13D7">
        <w:rPr>
          <w:bCs/>
        </w:rPr>
        <w:t>pasivos</w:t>
      </w:r>
      <w:r w:rsidRPr="00AC4AEA">
        <w:t xml:space="preserve"> por impuestos diferidos, de acuerdo con los requerimientos de la sección “</w:t>
      </w:r>
      <w:r w:rsidRPr="00AC4AEA">
        <w:rPr>
          <w:u w:val="single" w:color="000000"/>
        </w:rPr>
        <w:t>Contabilización del Impuesto a las</w:t>
      </w:r>
      <w:r w:rsidRPr="00AC4AEA">
        <w:t xml:space="preserve"> </w:t>
      </w:r>
      <w:r w:rsidRPr="00AC4AEA">
        <w:rPr>
          <w:u w:val="single" w:color="000000"/>
        </w:rPr>
        <w:t>Ganancias</w:t>
      </w:r>
      <w:r w:rsidRPr="00AC4AEA">
        <w:t xml:space="preserve">” [ver los párrafos </w:t>
      </w:r>
      <w:fldSimple w:instr=" REF _Ref99468407 \r \h  \* MERGEFORMAT ">
        <w:r w:rsidR="00D33A5D">
          <w:t>571</w:t>
        </w:r>
      </w:fldSimple>
      <w:r w:rsidR="00DE79A2" w:rsidRPr="00AC4AEA">
        <w:t xml:space="preserve"> a </w:t>
      </w:r>
      <w:fldSimple w:instr=" REF _Ref135737673 \r \h  \* MERGEFORMAT ">
        <w:r w:rsidR="00D33A5D">
          <w:t>600</w:t>
        </w:r>
      </w:fldSimple>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48" w:name="_Ref136209073"/>
      <w:r w:rsidRPr="00AC4AEA">
        <w:rPr>
          <w:rFonts w:ascii="Arial" w:hAnsi="Arial" w:cs="Arial"/>
          <w:sz w:val="20"/>
          <w:szCs w:val="20"/>
        </w:rPr>
        <w:t xml:space="preserve">Si el </w:t>
      </w:r>
      <w:r w:rsidRPr="00AC4AEA">
        <w:rPr>
          <w:rFonts w:ascii="Arial" w:hAnsi="Arial" w:cs="Arial"/>
          <w:b/>
          <w:bCs/>
          <w:sz w:val="20"/>
          <w:szCs w:val="20"/>
        </w:rPr>
        <w:t>costo de adquisición</w:t>
      </w:r>
      <w:r w:rsidRPr="00AC4AEA">
        <w:rPr>
          <w:rFonts w:ascii="Arial" w:hAnsi="Arial" w:cs="Arial"/>
          <w:sz w:val="20"/>
          <w:szCs w:val="20"/>
        </w:rPr>
        <w:t xml:space="preserve"> es superior a la suma de los valores mencionadas en el párrafo anterior, un inversor segregará tal excedente como llave de negocio implícita, la cual formará parte del valor de la inversión.</w:t>
      </w:r>
      <w:bookmarkEnd w:id="1148"/>
      <w:r w:rsidRPr="00AC4AEA">
        <w:rPr>
          <w:rFonts w:ascii="Arial" w:hAnsi="Arial" w:cs="Arial"/>
          <w:sz w:val="20"/>
          <w:szCs w:val="20"/>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49" w:name="_Ref135736245"/>
      <w:r w:rsidRPr="00AC4AEA">
        <w:rPr>
          <w:rFonts w:ascii="Arial" w:hAnsi="Arial" w:cs="Arial"/>
          <w:sz w:val="20"/>
          <w:szCs w:val="20"/>
        </w:rPr>
        <w:t xml:space="preserve">Si el </w:t>
      </w:r>
      <w:r w:rsidRPr="00AC4AEA">
        <w:rPr>
          <w:rFonts w:ascii="Arial" w:hAnsi="Arial" w:cs="Arial"/>
          <w:b/>
          <w:bCs/>
          <w:sz w:val="20"/>
          <w:szCs w:val="20"/>
        </w:rPr>
        <w:t>costo de adquisición</w:t>
      </w:r>
      <w:r w:rsidRPr="00AC4AEA">
        <w:rPr>
          <w:rFonts w:ascii="Arial" w:hAnsi="Arial" w:cs="Arial"/>
          <w:sz w:val="20"/>
          <w:szCs w:val="20"/>
        </w:rPr>
        <w:t xml:space="preserve"> es inferior a la suma de mencionados en el párrafo </w:t>
      </w:r>
      <w:fldSimple w:instr=" REF _Ref135735817 \r \h  \* MERGEFORMAT ">
        <w:r w:rsidR="00D33A5D" w:rsidRPr="00D33A5D">
          <w:rPr>
            <w:rFonts w:ascii="Arial" w:hAnsi="Arial" w:cs="Arial"/>
            <w:sz w:val="20"/>
            <w:szCs w:val="20"/>
          </w:rPr>
          <w:t>845</w:t>
        </w:r>
      </w:fldSimple>
      <w:r w:rsidRPr="00AC4AEA">
        <w:rPr>
          <w:rFonts w:ascii="Arial" w:hAnsi="Arial" w:cs="Arial"/>
          <w:sz w:val="20"/>
          <w:szCs w:val="20"/>
        </w:rPr>
        <w:t>, una entidad que adquiere la inversión:</w:t>
      </w:r>
      <w:bookmarkEnd w:id="1149"/>
      <w:r w:rsidRPr="00AC4AEA">
        <w:rPr>
          <w:rFonts w:ascii="Arial" w:hAnsi="Arial" w:cs="Arial"/>
          <w:sz w:val="20"/>
          <w:szCs w:val="20"/>
        </w:rPr>
        <w:t xml:space="preserve"> </w:t>
      </w:r>
    </w:p>
    <w:p w:rsidR="00421257" w:rsidRPr="00AC4AEA" w:rsidRDefault="00421257" w:rsidP="00C01B25">
      <w:pPr>
        <w:pStyle w:val="NUA-Nivel1"/>
        <w:numPr>
          <w:ilvl w:val="0"/>
          <w:numId w:val="603"/>
        </w:numPr>
        <w:ind w:left="1418" w:hanging="425"/>
      </w:pPr>
      <w:r w:rsidRPr="00AC4AEA">
        <w:t xml:space="preserve">identificará y medirá nuevamente los </w:t>
      </w:r>
      <w:r w:rsidR="00CE13D7" w:rsidRPr="00CE13D7">
        <w:rPr>
          <w:bCs/>
        </w:rPr>
        <w:t>activos</w:t>
      </w:r>
      <w:r w:rsidRPr="00AC4AEA">
        <w:t xml:space="preserve"> y </w:t>
      </w:r>
      <w:r w:rsidR="00CE13D7" w:rsidRPr="00CE13D7">
        <w:rPr>
          <w:bCs/>
        </w:rPr>
        <w:t>pasivos</w:t>
      </w:r>
      <w:r w:rsidRPr="00AC4AEA">
        <w:rPr>
          <w:b/>
          <w:bCs/>
        </w:rPr>
        <w:t xml:space="preserve"> </w:t>
      </w:r>
      <w:r w:rsidRPr="00AC4AEA">
        <w:t xml:space="preserve">de la participada; </w:t>
      </w:r>
    </w:p>
    <w:p w:rsidR="00421257" w:rsidRPr="00AC4AEA" w:rsidRDefault="00421257" w:rsidP="00C01B25">
      <w:pPr>
        <w:pStyle w:val="NUA-Nivel1"/>
        <w:numPr>
          <w:ilvl w:val="0"/>
          <w:numId w:val="603"/>
        </w:numPr>
        <w:ind w:left="1418" w:hanging="425"/>
      </w:pPr>
      <w:r w:rsidRPr="00AC4AEA">
        <w:t xml:space="preserve">volverá a medir el </w:t>
      </w:r>
      <w:r w:rsidRPr="00944C3E">
        <w:rPr>
          <w:b/>
          <w:bCs/>
        </w:rPr>
        <w:t>costo de adquisición</w:t>
      </w:r>
      <w:r w:rsidRPr="00AC4AEA">
        <w:t>; y</w:t>
      </w:r>
      <w:r w:rsidR="006F2C57">
        <w:t xml:space="preserve"> </w:t>
      </w:r>
    </w:p>
    <w:p w:rsidR="00421257" w:rsidRPr="00AC4AEA" w:rsidRDefault="00421257" w:rsidP="00C01B25">
      <w:pPr>
        <w:pStyle w:val="NUA-Nivel1"/>
        <w:numPr>
          <w:ilvl w:val="0"/>
          <w:numId w:val="603"/>
        </w:numPr>
        <w:ind w:left="1418" w:hanging="425"/>
      </w:pPr>
      <w:r w:rsidRPr="00AC4AEA">
        <w:t xml:space="preserve">reconocerá inmediatamente en el resultado del período, cualquier diferencia que resulte de la nueva evaluación. </w:t>
      </w:r>
    </w:p>
    <w:p w:rsidR="00421257" w:rsidRPr="00AC4AEA" w:rsidRDefault="00421257" w:rsidP="00A318EA">
      <w:pPr>
        <w:spacing w:after="150" w:line="256" w:lineRule="auto"/>
        <w:ind w:left="338"/>
        <w:rPr>
          <w:rFonts w:ascii="Arial" w:hAnsi="Arial" w:cs="Arial"/>
          <w:sz w:val="20"/>
          <w:szCs w:val="20"/>
        </w:rPr>
      </w:pPr>
      <w:r w:rsidRPr="00AC4AEA">
        <w:rPr>
          <w:rFonts w:ascii="Arial" w:hAnsi="Arial" w:cs="Arial"/>
          <w:sz w:val="20"/>
          <w:szCs w:val="20"/>
        </w:rPr>
        <w:t xml:space="preserve"> </w:t>
      </w:r>
    </w:p>
    <w:p w:rsidR="00421257" w:rsidRPr="00AC4AEA" w:rsidRDefault="00F15FAC" w:rsidP="00A318EA">
      <w:pPr>
        <w:pStyle w:val="Ttulo4"/>
      </w:pPr>
      <w:r w:rsidRPr="00AC4AEA">
        <w:t>Tratamiento durante el período de medición</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50" w:name="_Ref136208571"/>
      <w:r w:rsidRPr="00AC4AEA">
        <w:rPr>
          <w:rFonts w:ascii="Arial" w:hAnsi="Arial" w:cs="Arial"/>
          <w:sz w:val="20"/>
          <w:szCs w:val="20"/>
        </w:rPr>
        <w:t xml:space="preserve">Si la determinación y la segregación inicial del </w:t>
      </w:r>
      <w:r w:rsidRPr="00944C3E">
        <w:rPr>
          <w:rFonts w:ascii="Arial" w:hAnsi="Arial" w:cs="Arial"/>
          <w:b/>
          <w:bCs/>
          <w:sz w:val="20"/>
          <w:szCs w:val="20"/>
        </w:rPr>
        <w:t>costo de adquisición</w:t>
      </w:r>
      <w:r w:rsidRPr="00AC4AEA">
        <w:rPr>
          <w:rFonts w:ascii="Arial" w:hAnsi="Arial" w:cs="Arial"/>
          <w:sz w:val="20"/>
          <w:szCs w:val="20"/>
        </w:rPr>
        <w:t xml:space="preserve">, conforme al párrafo 858, está incompleta al final del período </w:t>
      </w:r>
      <w:r w:rsidR="00F15FAC" w:rsidRPr="00AC4AEA">
        <w:rPr>
          <w:rFonts w:ascii="Arial" w:hAnsi="Arial" w:cs="Arial"/>
          <w:sz w:val="20"/>
          <w:szCs w:val="20"/>
        </w:rPr>
        <w:t xml:space="preserve">durante el cual </w:t>
      </w:r>
      <w:r w:rsidRPr="00AC4AEA">
        <w:rPr>
          <w:rFonts w:ascii="Arial" w:hAnsi="Arial" w:cs="Arial"/>
          <w:sz w:val="20"/>
          <w:szCs w:val="20"/>
        </w:rPr>
        <w:t xml:space="preserve">la adquisición de la inversión </w:t>
      </w:r>
      <w:r w:rsidR="00F15FAC" w:rsidRPr="00AC4AEA">
        <w:rPr>
          <w:rFonts w:ascii="Arial" w:hAnsi="Arial" w:cs="Arial"/>
          <w:sz w:val="20"/>
          <w:szCs w:val="20"/>
        </w:rPr>
        <w:t>tuvo lugar</w:t>
      </w:r>
      <w:r w:rsidRPr="00AC4AEA">
        <w:rPr>
          <w:rFonts w:ascii="Arial" w:hAnsi="Arial" w:cs="Arial"/>
          <w:sz w:val="20"/>
          <w:szCs w:val="20"/>
        </w:rPr>
        <w:t>, una entidad adquirente:</w:t>
      </w:r>
      <w:bookmarkEnd w:id="1150"/>
      <w:r w:rsidRPr="00AC4AEA">
        <w:rPr>
          <w:rFonts w:ascii="Arial" w:hAnsi="Arial" w:cs="Arial"/>
          <w:sz w:val="20"/>
          <w:szCs w:val="20"/>
        </w:rPr>
        <w:t xml:space="preserve"> </w:t>
      </w:r>
    </w:p>
    <w:p w:rsidR="00421257" w:rsidRPr="00AC4AEA" w:rsidRDefault="00421257" w:rsidP="00C01B25">
      <w:pPr>
        <w:pStyle w:val="NUA-Nivel1"/>
        <w:numPr>
          <w:ilvl w:val="0"/>
          <w:numId w:val="604"/>
        </w:numPr>
        <w:ind w:left="1418" w:hanging="425"/>
      </w:pPr>
      <w:r w:rsidRPr="00AC4AEA">
        <w:t xml:space="preserve">A la </w:t>
      </w:r>
      <w:r w:rsidRPr="00AC4AEA">
        <w:rPr>
          <w:b/>
          <w:bCs/>
        </w:rPr>
        <w:t xml:space="preserve">fecha de </w:t>
      </w:r>
      <w:r w:rsidR="00F15FAC" w:rsidRPr="00AC4AEA">
        <w:rPr>
          <w:b/>
          <w:bCs/>
        </w:rPr>
        <w:t>los estados contables</w:t>
      </w:r>
      <w:r w:rsidRPr="00AC4AEA">
        <w:t xml:space="preserve">, reconocerá el importe provisional del </w:t>
      </w:r>
      <w:r w:rsidRPr="00944C3E">
        <w:rPr>
          <w:b/>
          <w:bCs/>
        </w:rPr>
        <w:t>costo de adquisición</w:t>
      </w:r>
      <w:r w:rsidRPr="00AC4AEA">
        <w:t xml:space="preserve"> y de cada uno de sus componentes, que serán segregados, conforme al párrafo 858. </w:t>
      </w:r>
    </w:p>
    <w:p w:rsidR="00421257" w:rsidRPr="00AC4AEA" w:rsidRDefault="00421257" w:rsidP="00C01B25">
      <w:pPr>
        <w:pStyle w:val="NUA-Nivel1"/>
        <w:numPr>
          <w:ilvl w:val="0"/>
          <w:numId w:val="604"/>
        </w:numPr>
        <w:ind w:left="1418" w:hanging="425"/>
      </w:pPr>
      <w:r w:rsidRPr="00AC4AEA">
        <w:t xml:space="preserve">En el </w:t>
      </w:r>
      <w:r w:rsidRPr="00AC4AEA">
        <w:rPr>
          <w:b/>
          <w:bCs/>
        </w:rPr>
        <w:t>período de medición</w:t>
      </w:r>
      <w:r w:rsidRPr="00AC4AEA">
        <w:t xml:space="preserve">: </w:t>
      </w:r>
    </w:p>
    <w:p w:rsidR="00421257" w:rsidRPr="00AC4AEA" w:rsidRDefault="00421257" w:rsidP="00C01B25">
      <w:pPr>
        <w:pStyle w:val="Prrafodelista"/>
        <w:numPr>
          <w:ilvl w:val="0"/>
          <w:numId w:val="541"/>
        </w:numPr>
        <w:ind w:left="1985" w:hanging="218"/>
        <w:contextualSpacing w:val="0"/>
        <w:jc w:val="both"/>
        <w:rPr>
          <w:rFonts w:ascii="Arial" w:hAnsi="Arial" w:cs="Arial"/>
          <w:sz w:val="20"/>
          <w:szCs w:val="20"/>
        </w:rPr>
      </w:pPr>
      <w:r w:rsidRPr="00AC4AEA">
        <w:rPr>
          <w:rFonts w:ascii="Arial" w:hAnsi="Arial" w:cs="Arial"/>
          <w:sz w:val="20"/>
          <w:szCs w:val="20"/>
        </w:rPr>
        <w:t xml:space="preserve">ajustará los importes provisionales referidos en el inciso anterior para reflejar la nueva información obtenida sobre hechos y circunstancias que existían a la </w:t>
      </w:r>
      <w:r w:rsidRPr="00AC4AEA">
        <w:rPr>
          <w:rFonts w:ascii="Arial" w:hAnsi="Arial" w:cs="Arial"/>
          <w:b/>
          <w:bCs/>
          <w:sz w:val="20"/>
          <w:szCs w:val="20"/>
        </w:rPr>
        <w:t>fecha de adquisición</w:t>
      </w:r>
      <w:r w:rsidRPr="00AC4AEA">
        <w:rPr>
          <w:rFonts w:ascii="Arial" w:hAnsi="Arial" w:cs="Arial"/>
          <w:sz w:val="20"/>
          <w:szCs w:val="20"/>
        </w:rPr>
        <w:t xml:space="preserve"> de la inversión y que, si los hubiese conocido, habrían afectado la medición de los importes reconocidos en esa fecha;</w:t>
      </w:r>
      <w:r w:rsidR="006F2C57">
        <w:rPr>
          <w:rFonts w:ascii="Arial" w:hAnsi="Arial" w:cs="Arial"/>
          <w:sz w:val="20"/>
          <w:szCs w:val="20"/>
        </w:rPr>
        <w:t xml:space="preserve"> </w:t>
      </w:r>
    </w:p>
    <w:p w:rsidR="00421257" w:rsidRPr="00AC4AEA" w:rsidRDefault="00421257" w:rsidP="00C01B25">
      <w:pPr>
        <w:pStyle w:val="Prrafodelista"/>
        <w:numPr>
          <w:ilvl w:val="0"/>
          <w:numId w:val="541"/>
        </w:numPr>
        <w:ind w:left="1985" w:hanging="218"/>
        <w:contextualSpacing w:val="0"/>
        <w:jc w:val="both"/>
        <w:rPr>
          <w:rFonts w:ascii="Arial" w:hAnsi="Arial" w:cs="Arial"/>
          <w:sz w:val="20"/>
          <w:szCs w:val="20"/>
        </w:rPr>
      </w:pPr>
      <w:r w:rsidRPr="00AC4AEA">
        <w:rPr>
          <w:rFonts w:ascii="Arial" w:hAnsi="Arial" w:cs="Arial"/>
          <w:sz w:val="20"/>
          <w:szCs w:val="20"/>
        </w:rPr>
        <w:t xml:space="preserve">segregará el </w:t>
      </w:r>
      <w:r w:rsidRPr="00050219">
        <w:rPr>
          <w:rFonts w:ascii="Arial" w:hAnsi="Arial" w:cs="Arial"/>
          <w:b/>
          <w:bCs/>
          <w:sz w:val="20"/>
          <w:szCs w:val="20"/>
        </w:rPr>
        <w:t>valor patrimonial proporcional</w:t>
      </w:r>
      <w:r w:rsidRPr="00AC4AEA">
        <w:rPr>
          <w:rFonts w:ascii="Arial" w:hAnsi="Arial" w:cs="Arial"/>
          <w:sz w:val="20"/>
          <w:szCs w:val="20"/>
        </w:rPr>
        <w:t xml:space="preserve"> sobre </w:t>
      </w:r>
      <w:r w:rsidR="00CE13D7" w:rsidRPr="00CE13D7">
        <w:rPr>
          <w:rFonts w:ascii="Arial" w:hAnsi="Arial" w:cs="Arial"/>
          <w:bCs/>
          <w:sz w:val="20"/>
          <w:szCs w:val="20"/>
        </w:rPr>
        <w:t>activos</w:t>
      </w:r>
      <w:r w:rsidRPr="00AC4AEA">
        <w:rPr>
          <w:rFonts w:ascii="Arial" w:hAnsi="Arial" w:cs="Arial"/>
          <w:b/>
          <w:bCs/>
          <w:sz w:val="20"/>
          <w:szCs w:val="20"/>
        </w:rPr>
        <w:t xml:space="preserve"> </w:t>
      </w:r>
      <w:r w:rsidRPr="00AC4AEA">
        <w:rPr>
          <w:rFonts w:ascii="Arial" w:hAnsi="Arial" w:cs="Arial"/>
          <w:sz w:val="20"/>
          <w:szCs w:val="20"/>
        </w:rPr>
        <w:t>y</w:t>
      </w:r>
      <w:r w:rsidRPr="00AC4AEA">
        <w:rPr>
          <w:rFonts w:ascii="Arial" w:hAnsi="Arial" w:cs="Arial"/>
          <w:b/>
          <w:bCs/>
          <w:sz w:val="20"/>
          <w:szCs w:val="20"/>
        </w:rPr>
        <w:t xml:space="preserve"> </w:t>
      </w:r>
      <w:r w:rsidR="00CE13D7" w:rsidRPr="00CE13D7">
        <w:rPr>
          <w:rFonts w:ascii="Arial" w:hAnsi="Arial" w:cs="Arial"/>
          <w:bCs/>
          <w:sz w:val="20"/>
          <w:szCs w:val="20"/>
        </w:rPr>
        <w:t>pasivos</w:t>
      </w:r>
      <w:r w:rsidRPr="00AC4AEA">
        <w:rPr>
          <w:rFonts w:ascii="Arial" w:hAnsi="Arial" w:cs="Arial"/>
          <w:sz w:val="20"/>
          <w:szCs w:val="20"/>
        </w:rPr>
        <w:t xml:space="preserve"> adicionales, si obtiene nueva información sobre hechos y circunstancias que existían a la </w:t>
      </w:r>
      <w:r w:rsidRPr="00AC4AEA">
        <w:rPr>
          <w:rFonts w:ascii="Arial" w:hAnsi="Arial" w:cs="Arial"/>
          <w:b/>
          <w:bCs/>
          <w:sz w:val="20"/>
          <w:szCs w:val="20"/>
        </w:rPr>
        <w:t>fecha de adquisición</w:t>
      </w:r>
      <w:r w:rsidRPr="00AC4AEA">
        <w:rPr>
          <w:rFonts w:ascii="Arial" w:hAnsi="Arial" w:cs="Arial"/>
          <w:sz w:val="20"/>
          <w:szCs w:val="20"/>
        </w:rPr>
        <w:t xml:space="preserve"> de la inversión y que, si los hubiese conocido, habrían resultado en el reconocimiento de esos </w:t>
      </w:r>
      <w:r w:rsidR="00CE13D7" w:rsidRPr="00CE13D7">
        <w:rPr>
          <w:rFonts w:ascii="Arial" w:hAnsi="Arial" w:cs="Arial"/>
          <w:bCs/>
          <w:sz w:val="20"/>
          <w:szCs w:val="20"/>
        </w:rPr>
        <w:t>activos</w:t>
      </w:r>
      <w:r w:rsidRPr="00AC4AEA">
        <w:rPr>
          <w:rFonts w:ascii="Arial" w:hAnsi="Arial" w:cs="Arial"/>
          <w:b/>
          <w:bCs/>
          <w:sz w:val="20"/>
          <w:szCs w:val="20"/>
        </w:rPr>
        <w:t xml:space="preserve"> </w:t>
      </w:r>
      <w:r w:rsidRPr="00AC4AEA">
        <w:rPr>
          <w:rFonts w:ascii="Arial" w:hAnsi="Arial" w:cs="Arial"/>
          <w:sz w:val="20"/>
          <w:szCs w:val="20"/>
        </w:rPr>
        <w:t>y</w:t>
      </w:r>
      <w:r w:rsidRPr="00AC4AEA">
        <w:rPr>
          <w:rFonts w:ascii="Arial" w:hAnsi="Arial" w:cs="Arial"/>
          <w:b/>
          <w:bCs/>
          <w:sz w:val="20"/>
          <w:szCs w:val="20"/>
        </w:rPr>
        <w:t xml:space="preserve"> </w:t>
      </w:r>
      <w:r w:rsidR="00CE13D7" w:rsidRPr="00CE13D7">
        <w:rPr>
          <w:rFonts w:ascii="Arial" w:hAnsi="Arial" w:cs="Arial"/>
          <w:bCs/>
          <w:sz w:val="20"/>
          <w:szCs w:val="20"/>
        </w:rPr>
        <w:t>pasivos</w:t>
      </w:r>
      <w:r w:rsidRPr="00AC4AEA">
        <w:rPr>
          <w:rFonts w:ascii="Arial" w:hAnsi="Arial" w:cs="Arial"/>
          <w:sz w:val="20"/>
          <w:szCs w:val="20"/>
        </w:rPr>
        <w:t xml:space="preserve"> a esa fecha, en la proporción correspondiente a la entidad que adquiere la inversión; y </w:t>
      </w:r>
    </w:p>
    <w:p w:rsidR="00421257" w:rsidRPr="007B56D7" w:rsidRDefault="00421257" w:rsidP="00C01B25">
      <w:pPr>
        <w:pStyle w:val="Prrafodelista"/>
        <w:numPr>
          <w:ilvl w:val="0"/>
          <w:numId w:val="541"/>
        </w:numPr>
        <w:ind w:left="1985" w:hanging="218"/>
        <w:contextualSpacing w:val="0"/>
        <w:jc w:val="both"/>
        <w:rPr>
          <w:rFonts w:ascii="Arial" w:hAnsi="Arial" w:cs="Arial"/>
          <w:sz w:val="20"/>
          <w:szCs w:val="20"/>
        </w:rPr>
      </w:pPr>
      <w:r w:rsidRPr="007B56D7">
        <w:rPr>
          <w:rFonts w:ascii="Arial" w:hAnsi="Arial" w:cs="Arial"/>
          <w:sz w:val="20"/>
          <w:szCs w:val="20"/>
        </w:rPr>
        <w:t>corregirá, como consecuencia de las tareas especificadas en los in</w:t>
      </w:r>
      <w:r w:rsidR="00A8613B" w:rsidRPr="007B56D7">
        <w:rPr>
          <w:rFonts w:ascii="Arial" w:hAnsi="Arial" w:cs="Arial"/>
          <w:sz w:val="20"/>
          <w:szCs w:val="20"/>
        </w:rPr>
        <w:t>c</w:t>
      </w:r>
      <w:r w:rsidRPr="007B56D7">
        <w:rPr>
          <w:rFonts w:ascii="Arial" w:hAnsi="Arial" w:cs="Arial"/>
          <w:sz w:val="20"/>
          <w:szCs w:val="20"/>
        </w:rPr>
        <w:t>i</w:t>
      </w:r>
      <w:r w:rsidR="00A8613B" w:rsidRPr="007B56D7">
        <w:rPr>
          <w:rFonts w:ascii="Arial" w:hAnsi="Arial" w:cs="Arial"/>
          <w:sz w:val="20"/>
          <w:szCs w:val="20"/>
        </w:rPr>
        <w:t>s</w:t>
      </w:r>
      <w:r w:rsidRPr="007B56D7">
        <w:rPr>
          <w:rFonts w:ascii="Arial" w:hAnsi="Arial" w:cs="Arial"/>
          <w:sz w:val="20"/>
          <w:szCs w:val="20"/>
        </w:rPr>
        <w:t>os anteriores, la medición contable asignada inicialmente a la llave de negocios</w:t>
      </w:r>
      <w:r w:rsidR="00F15FAC" w:rsidRPr="007B56D7">
        <w:rPr>
          <w:rFonts w:ascii="Arial" w:hAnsi="Arial" w:cs="Arial"/>
          <w:sz w:val="20"/>
          <w:szCs w:val="20"/>
        </w:rPr>
        <w:t xml:space="preserve"> implícita</w:t>
      </w:r>
      <w:r w:rsidRPr="007B56D7">
        <w:rPr>
          <w:rFonts w:ascii="Arial" w:hAnsi="Arial" w:cs="Arial"/>
          <w:sz w:val="20"/>
          <w:szCs w:val="20"/>
        </w:rPr>
        <w:t xml:space="preserve"> o </w:t>
      </w:r>
      <w:r w:rsidR="00431F6A" w:rsidRPr="007B56D7">
        <w:rPr>
          <w:rFonts w:ascii="Arial" w:hAnsi="Arial" w:cs="Arial"/>
          <w:sz w:val="20"/>
          <w:szCs w:val="20"/>
        </w:rPr>
        <w:t>el resultado</w:t>
      </w:r>
      <w:r w:rsidRPr="007B56D7">
        <w:rPr>
          <w:rFonts w:ascii="Arial" w:hAnsi="Arial" w:cs="Arial"/>
          <w:sz w:val="20"/>
          <w:szCs w:val="20"/>
        </w:rPr>
        <w:t xml:space="preserve"> </w:t>
      </w:r>
      <w:r w:rsidR="00431F6A" w:rsidRPr="007B56D7">
        <w:rPr>
          <w:rFonts w:ascii="Arial" w:hAnsi="Arial" w:cs="Arial"/>
          <w:sz w:val="20"/>
          <w:szCs w:val="20"/>
        </w:rPr>
        <w:t xml:space="preserve">determinado según el párrafo </w:t>
      </w:r>
      <w:fldSimple w:instr=" REF _Ref135736245 \r \h  \* MERGEFORMAT ">
        <w:r w:rsidR="00D33A5D" w:rsidRPr="00D33A5D">
          <w:rPr>
            <w:rFonts w:ascii="Arial" w:hAnsi="Arial" w:cs="Arial"/>
            <w:sz w:val="20"/>
            <w:szCs w:val="20"/>
          </w:rPr>
          <w:t>847</w:t>
        </w:r>
      </w:fldSimple>
      <w:r w:rsidRPr="007B56D7">
        <w:rPr>
          <w:rFonts w:ascii="Arial" w:hAnsi="Arial" w:cs="Arial"/>
          <w:sz w:val="20"/>
          <w:szCs w:val="20"/>
        </w:rPr>
        <w:t xml:space="preserve">, según corresponda. </w:t>
      </w:r>
    </w:p>
    <w:p w:rsidR="00421257" w:rsidRPr="00AC4AEA" w:rsidRDefault="00421257" w:rsidP="00C01B25">
      <w:pPr>
        <w:pStyle w:val="NUA-Nivel1"/>
        <w:numPr>
          <w:ilvl w:val="0"/>
          <w:numId w:val="604"/>
        </w:numPr>
        <w:ind w:left="1418" w:hanging="425"/>
      </w:pPr>
      <w:r w:rsidRPr="00AC4AEA">
        <w:t xml:space="preserve">Con posterioridad al </w:t>
      </w:r>
      <w:r w:rsidRPr="00AC4AEA">
        <w:rPr>
          <w:b/>
          <w:bCs/>
        </w:rPr>
        <w:t>período de medición</w:t>
      </w:r>
      <w:r w:rsidR="00F15FAC" w:rsidRPr="00AC4AEA">
        <w:t>,</w:t>
      </w:r>
      <w:r w:rsidRPr="00AC4AEA">
        <w:t xml:space="preserve"> reconocerá, si correspondiera, ajustes a la contabilización inicial del </w:t>
      </w:r>
      <w:r w:rsidRPr="00944C3E">
        <w:rPr>
          <w:b/>
          <w:bCs/>
        </w:rPr>
        <w:t>costo de adquisición</w:t>
      </w:r>
      <w:r w:rsidRPr="00AC4AEA">
        <w:t xml:space="preserve"> y de cada uno de los componentes de este que deben ser segregados conforme </w:t>
      </w:r>
      <w:r w:rsidR="001B213A" w:rsidRPr="00AC4AEA">
        <w:t>los</w:t>
      </w:r>
      <w:r w:rsidRPr="00AC4AEA">
        <w:t xml:space="preserve"> párrafo</w:t>
      </w:r>
      <w:r w:rsidR="001B213A" w:rsidRPr="00AC4AEA">
        <w:t>s</w:t>
      </w:r>
      <w:r w:rsidRPr="00AC4AEA">
        <w:t xml:space="preserve"> anterior</w:t>
      </w:r>
      <w:r w:rsidR="001B213A" w:rsidRPr="00AC4AEA">
        <w:t>es pertinentes de esta sección</w:t>
      </w:r>
      <w:r w:rsidRPr="00AC4AEA">
        <w:t xml:space="preserve">, únicamente para corregir errores u </w:t>
      </w:r>
      <w:r w:rsidRPr="00AC4AEA">
        <w:lastRenderedPageBreak/>
        <w:t xml:space="preserve">omisiones de períodos anteriores de acuerdo con </w:t>
      </w:r>
      <w:r w:rsidR="00B45960" w:rsidRPr="00AC4AEA">
        <w:t>lo establecido en esta Resolución Técnica</w:t>
      </w:r>
      <w:r w:rsidRPr="00AC4AEA">
        <w:t xml:space="preserve">. </w:t>
      </w:r>
    </w:p>
    <w:p w:rsidR="00421257" w:rsidRPr="00AC4AEA" w:rsidRDefault="00421257" w:rsidP="00A318EA">
      <w:pPr>
        <w:spacing w:after="150" w:line="256" w:lineRule="auto"/>
        <w:ind w:left="338"/>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51" w:name="_Toc139357007"/>
      <w:r w:rsidRPr="00AC4AEA">
        <w:t>Medición posterior</w:t>
      </w:r>
      <w:bookmarkEnd w:id="1151"/>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Una entidad medirá sus inversiones en subsidiarias, negocios conjuntos</w:t>
      </w:r>
      <w:r w:rsidR="000C478F" w:rsidRPr="00AC4AEA">
        <w:rPr>
          <w:rFonts w:ascii="Arial" w:hAnsi="Arial" w:cs="Arial"/>
          <w:sz w:val="20"/>
          <w:szCs w:val="20"/>
        </w:rPr>
        <w:t xml:space="preserve"> societarios</w:t>
      </w:r>
      <w:r w:rsidRPr="00AC4AEA">
        <w:rPr>
          <w:rFonts w:ascii="Arial" w:hAnsi="Arial" w:cs="Arial"/>
          <w:sz w:val="20"/>
          <w:szCs w:val="20"/>
        </w:rPr>
        <w:t xml:space="preserve"> o asociadas, modificando el </w:t>
      </w:r>
      <w:r w:rsidRPr="00944C3E">
        <w:rPr>
          <w:rFonts w:ascii="Arial" w:hAnsi="Arial" w:cs="Arial"/>
          <w:b/>
          <w:bCs/>
          <w:sz w:val="20"/>
          <w:szCs w:val="20"/>
        </w:rPr>
        <w:t>costo de adquisición</w:t>
      </w:r>
      <w:r w:rsidRPr="00AC4AEA">
        <w:rPr>
          <w:rFonts w:ascii="Arial" w:hAnsi="Arial" w:cs="Arial"/>
          <w:sz w:val="20"/>
          <w:szCs w:val="20"/>
        </w:rPr>
        <w:t xml:space="preserve"> determinado conforme a los párrafos anteriores, por las siguientes causas: </w:t>
      </w:r>
    </w:p>
    <w:p w:rsidR="00421257" w:rsidRPr="00AC4AEA" w:rsidRDefault="00421257" w:rsidP="00C01B25">
      <w:pPr>
        <w:pStyle w:val="NUA-Nivel1"/>
        <w:numPr>
          <w:ilvl w:val="0"/>
          <w:numId w:val="605"/>
        </w:numPr>
        <w:ind w:left="1418" w:hanging="425"/>
      </w:pPr>
      <w:r w:rsidRPr="00AC4AEA">
        <w:t xml:space="preserve">Proporción que le corresponde en los resultados obtenidos por la participada después de la </w:t>
      </w:r>
      <w:r w:rsidRPr="00796FFD">
        <w:rPr>
          <w:b/>
          <w:bCs/>
        </w:rPr>
        <w:t>fecha de adquisición</w:t>
      </w:r>
      <w:r w:rsidRPr="00AC4AEA">
        <w:t xml:space="preserve"> de la inversión, con contrapartida en el resultado del período. </w:t>
      </w:r>
    </w:p>
    <w:p w:rsidR="00421257" w:rsidRPr="00AC4AEA" w:rsidRDefault="00421257" w:rsidP="00C01B25">
      <w:pPr>
        <w:pStyle w:val="NUA-Nivel1"/>
        <w:numPr>
          <w:ilvl w:val="0"/>
          <w:numId w:val="605"/>
        </w:numPr>
        <w:ind w:left="1418" w:hanging="425"/>
      </w:pPr>
      <w:r w:rsidRPr="00AC4AEA">
        <w:t xml:space="preserve">Proporción que le corresponde en los </w:t>
      </w:r>
      <w:r w:rsidRPr="00D86B48">
        <w:rPr>
          <w:b/>
          <w:bCs/>
        </w:rPr>
        <w:t>resultados diferidos</w:t>
      </w:r>
      <w:r w:rsidRPr="00AC4AEA">
        <w:t xml:space="preserve"> obtenidos por la participada después de la </w:t>
      </w:r>
      <w:r w:rsidRPr="00796FFD">
        <w:rPr>
          <w:b/>
          <w:bCs/>
        </w:rPr>
        <w:t>fecha de adquisición</w:t>
      </w:r>
      <w:r w:rsidRPr="00AC4AEA">
        <w:t xml:space="preserve"> de la inversión, con contrapartida en el resultado diferido del período. </w:t>
      </w:r>
    </w:p>
    <w:p w:rsidR="00421257" w:rsidRPr="00AC4AEA" w:rsidRDefault="00421257" w:rsidP="00C01B25">
      <w:pPr>
        <w:pStyle w:val="NUA-Nivel1"/>
        <w:numPr>
          <w:ilvl w:val="0"/>
          <w:numId w:val="605"/>
        </w:numPr>
        <w:ind w:left="1418" w:hanging="425"/>
      </w:pPr>
      <w:r w:rsidRPr="00AC4AEA">
        <w:t xml:space="preserve">Proporción que le corresponde en las distribuciones de ganancias acumuladas decididas por la participada (que no sean dividendos en acciones). </w:t>
      </w:r>
    </w:p>
    <w:p w:rsidR="00421257" w:rsidRPr="00AC4AEA" w:rsidRDefault="00421257" w:rsidP="00C01B25">
      <w:pPr>
        <w:pStyle w:val="NUA-Nivel1"/>
        <w:numPr>
          <w:ilvl w:val="0"/>
          <w:numId w:val="605"/>
        </w:numPr>
        <w:ind w:left="1418" w:hanging="425"/>
      </w:pPr>
      <w:r w:rsidRPr="00AC4AEA">
        <w:t xml:space="preserve">Proporción que le corresponde sobre cualquier otra variación cuantitativa del valor de libros del patrimonio neto de la participada después de la </w:t>
      </w:r>
      <w:r w:rsidRPr="00796FFD">
        <w:rPr>
          <w:b/>
          <w:bCs/>
        </w:rPr>
        <w:t>fecha de adquisición</w:t>
      </w:r>
      <w:r w:rsidRPr="00AC4AEA">
        <w:t xml:space="preserve"> de la inversión, diferentes a los enumerados en los incisos anteriores (ejemplo</w:t>
      </w:r>
      <w:r w:rsidR="006B7E12" w:rsidRPr="00AC4AEA">
        <w:t>s de los conceptos excluidos son los</w:t>
      </w:r>
      <w:r w:rsidRPr="00AC4AEA">
        <w:t xml:space="preserve"> aportes o retiros de capital del inversor en la participada). </w:t>
      </w:r>
    </w:p>
    <w:p w:rsidR="00421257" w:rsidRPr="00AC4AEA" w:rsidRDefault="00421257" w:rsidP="00C01B25">
      <w:pPr>
        <w:pStyle w:val="NUA-Nivel1"/>
        <w:numPr>
          <w:ilvl w:val="0"/>
          <w:numId w:val="605"/>
        </w:numPr>
        <w:ind w:left="1418" w:hanging="425"/>
      </w:pPr>
      <w:r w:rsidRPr="00AC4AEA">
        <w:t xml:space="preserve">Proporción que le corresponde en la variación de los importes mencionados en los incisos </w:t>
      </w:r>
      <w:r w:rsidR="00477320" w:rsidRPr="00AC4AEA">
        <w:t xml:space="preserve">a) </w:t>
      </w:r>
      <w:r w:rsidRPr="00AC4AEA">
        <w:t>b)</w:t>
      </w:r>
      <w:r w:rsidR="005A2E03">
        <w:t xml:space="preserve"> y</w:t>
      </w:r>
      <w:r w:rsidRPr="00AC4AEA">
        <w:t xml:space="preserve"> c) del párrafo </w:t>
      </w:r>
      <w:fldSimple w:instr=" REF _Ref135735817 \r \h  \* MERGEFORMAT ">
        <w:r w:rsidR="00D33A5D">
          <w:t>845</w:t>
        </w:r>
      </w:fldSimple>
      <w:r w:rsidRPr="00AC4AEA">
        <w:t xml:space="preserve">, posteriores a la </w:t>
      </w:r>
      <w:r w:rsidRPr="00796FFD">
        <w:rPr>
          <w:b/>
          <w:bCs/>
        </w:rPr>
        <w:t>fecha de adquisición</w:t>
      </w:r>
      <w:r w:rsidRPr="00AC4AEA">
        <w:t xml:space="preserve"> de la inversión (por ejemplo, un inversor reconocerá la proporción que le corresponda sobre la depreciación adicional sobre la diferencia entre </w:t>
      </w:r>
      <w:r w:rsidR="00477320" w:rsidRPr="00AC4AEA">
        <w:t>el</w:t>
      </w:r>
      <w:r w:rsidRPr="00AC4AEA">
        <w:t xml:space="preserve"> </w:t>
      </w:r>
      <w:r w:rsidRPr="00AC4AEA">
        <w:rPr>
          <w:b/>
          <w:bCs/>
        </w:rPr>
        <w:t>valor razonable</w:t>
      </w:r>
      <w:r w:rsidRPr="00AC4AEA">
        <w:t xml:space="preserve"> y </w:t>
      </w:r>
      <w:r w:rsidR="00477320" w:rsidRPr="00AC4AEA">
        <w:t xml:space="preserve">el valor de libros de </w:t>
      </w:r>
      <w:r w:rsidRPr="00AC4AEA">
        <w:t xml:space="preserve">los bienes de uso adquiridos como parte del </w:t>
      </w:r>
      <w:r w:rsidRPr="00AC4AEA">
        <w:rPr>
          <w:b/>
          <w:bCs/>
        </w:rPr>
        <w:t>patrimonio neto</w:t>
      </w:r>
      <w:r w:rsidRPr="00AC4AEA">
        <w:t xml:space="preserve"> de la participada). </w:t>
      </w:r>
    </w:p>
    <w:p w:rsidR="00421257" w:rsidRPr="00AC4AEA" w:rsidRDefault="00421257" w:rsidP="00C01B25">
      <w:pPr>
        <w:pStyle w:val="NUA-Nivel1"/>
        <w:numPr>
          <w:ilvl w:val="0"/>
          <w:numId w:val="605"/>
        </w:numPr>
        <w:ind w:left="1418" w:hanging="425"/>
      </w:pPr>
      <w:r w:rsidRPr="00AC4AEA">
        <w:t>La amortización de</w:t>
      </w:r>
      <w:r w:rsidR="0011579A" w:rsidRPr="00AC4AEA">
        <w:t xml:space="preserve"> la</w:t>
      </w:r>
      <w:r w:rsidRPr="00AC4AEA">
        <w:t xml:space="preserve"> llave </w:t>
      </w:r>
      <w:r w:rsidR="0011579A" w:rsidRPr="00AC4AEA">
        <w:t xml:space="preserve">de negocio </w:t>
      </w:r>
      <w:r w:rsidR="00856FB5" w:rsidRPr="00AC4AEA">
        <w:t xml:space="preserve">implícita, </w:t>
      </w:r>
      <w:r w:rsidRPr="00AC4AEA">
        <w:t>reconocid</w:t>
      </w:r>
      <w:r w:rsidR="00856FB5" w:rsidRPr="00AC4AEA">
        <w:t>a</w:t>
      </w:r>
      <w:r w:rsidRPr="00AC4AEA">
        <w:t xml:space="preserve"> por aplicación de</w:t>
      </w:r>
      <w:r w:rsidR="00856FB5" w:rsidRPr="00AC4AEA">
        <w:t>l</w:t>
      </w:r>
      <w:r w:rsidRPr="00AC4AEA">
        <w:t xml:space="preserve"> </w:t>
      </w:r>
      <w:r w:rsidR="00856FB5" w:rsidRPr="00AC4AEA">
        <w:t xml:space="preserve">párrafo </w:t>
      </w:r>
      <w:fldSimple w:instr=" REF _Ref136209073 \r \h  \* MERGEFORMAT ">
        <w:r w:rsidR="00D33A5D">
          <w:t>846</w:t>
        </w:r>
      </w:fldSimple>
      <w:r w:rsidR="00856FB5" w:rsidRPr="00AC4AEA">
        <w:t xml:space="preserve">, si de acuerdo con </w:t>
      </w:r>
      <w:r w:rsidRPr="00AC4AEA">
        <w:t xml:space="preserve">los párrafos </w:t>
      </w:r>
      <w:fldSimple w:instr=" REF _Ref135736812 \r \h  \* MERGEFORMAT ">
        <w:r w:rsidR="00D33A5D">
          <w:t>986</w:t>
        </w:r>
      </w:fldSimple>
      <w:r w:rsidR="004D39F2" w:rsidRPr="00AC4AEA">
        <w:t xml:space="preserve"> y </w:t>
      </w:r>
      <w:fldSimple w:instr=" REF _Ref135736814 \r \h  \* MERGEFORMAT ">
        <w:r w:rsidR="00D33A5D">
          <w:t>987</w:t>
        </w:r>
      </w:fldSimple>
      <w:r w:rsidRPr="00AC4AEA">
        <w:t xml:space="preserve"> concluye que es de vida útil definida.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Una entidad determinará las proporciones del resultado y otros cambios en el </w:t>
      </w:r>
      <w:r w:rsidRPr="00AC4AEA">
        <w:rPr>
          <w:rFonts w:ascii="Arial" w:hAnsi="Arial" w:cs="Arial"/>
          <w:b/>
          <w:bCs/>
          <w:sz w:val="20"/>
          <w:szCs w:val="20"/>
        </w:rPr>
        <w:t>patrimonio neto</w:t>
      </w:r>
      <w:r w:rsidRPr="00AC4AEA">
        <w:rPr>
          <w:rFonts w:ascii="Arial" w:hAnsi="Arial" w:cs="Arial"/>
          <w:sz w:val="20"/>
          <w:szCs w:val="20"/>
        </w:rPr>
        <w:t xml:space="preserve"> que le sean atribuibles sobre la base de las participaciones existentes en la propiedad y no reflejarán el posible ejercicio o conversión de las opciones o instrumentos convertibles.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Cuando el </w:t>
      </w:r>
      <w:r w:rsidRPr="00AC4AEA">
        <w:rPr>
          <w:rFonts w:ascii="Arial" w:hAnsi="Arial" w:cs="Arial"/>
          <w:b/>
          <w:bCs/>
          <w:sz w:val="20"/>
          <w:szCs w:val="20"/>
        </w:rPr>
        <w:t>patrimonio neto</w:t>
      </w:r>
      <w:r w:rsidRPr="00AC4AEA">
        <w:rPr>
          <w:rFonts w:ascii="Arial" w:hAnsi="Arial" w:cs="Arial"/>
          <w:sz w:val="20"/>
          <w:szCs w:val="20"/>
        </w:rPr>
        <w:t xml:space="preserve"> de la participada estuviera integrado por aportes irrevocables a cuenta de futuras suscripciones de acciones, una entidad </w:t>
      </w:r>
      <w:r w:rsidR="00AB1370" w:rsidRPr="00AC4AEA">
        <w:rPr>
          <w:rFonts w:ascii="Arial" w:hAnsi="Arial" w:cs="Arial"/>
          <w:sz w:val="20"/>
          <w:szCs w:val="20"/>
        </w:rPr>
        <w:t>inversora</w:t>
      </w:r>
      <w:r w:rsidRPr="00AC4AEA">
        <w:rPr>
          <w:rFonts w:ascii="Arial" w:hAnsi="Arial" w:cs="Arial"/>
          <w:sz w:val="20"/>
          <w:szCs w:val="20"/>
        </w:rPr>
        <w:t xml:space="preserve"> tendrá en cuenta los efectos que las condiciones establecidas para su conversión en acciones podrían tener para el cálculo del </w:t>
      </w:r>
      <w:r w:rsidRPr="00050219">
        <w:rPr>
          <w:rFonts w:ascii="Arial" w:hAnsi="Arial" w:cs="Arial"/>
          <w:b/>
          <w:bCs/>
          <w:sz w:val="20"/>
          <w:szCs w:val="20"/>
        </w:rPr>
        <w:t>valor patrimonial proporcional</w:t>
      </w:r>
      <w:r w:rsidRPr="00AC4AEA">
        <w:rPr>
          <w:rFonts w:ascii="Arial" w:hAnsi="Arial" w:cs="Arial"/>
          <w:sz w:val="20"/>
          <w:szCs w:val="20"/>
        </w:rPr>
        <w:t xml:space="preserve">. </w:t>
      </w:r>
    </w:p>
    <w:p w:rsidR="00421257" w:rsidRPr="00AC4AEA" w:rsidRDefault="00421257" w:rsidP="000A0BD3">
      <w:pPr>
        <w:numPr>
          <w:ilvl w:val="0"/>
          <w:numId w:val="29"/>
        </w:numPr>
        <w:spacing w:after="149"/>
        <w:jc w:val="both"/>
        <w:rPr>
          <w:rFonts w:ascii="Arial" w:hAnsi="Arial" w:cs="Arial"/>
          <w:sz w:val="20"/>
          <w:szCs w:val="20"/>
        </w:rPr>
      </w:pPr>
      <w:r w:rsidRPr="00AC4AEA">
        <w:rPr>
          <w:rFonts w:ascii="Arial" w:hAnsi="Arial" w:cs="Arial"/>
          <w:sz w:val="20"/>
          <w:szCs w:val="20"/>
        </w:rPr>
        <w:t xml:space="preserve">Una entidad calculará el </w:t>
      </w:r>
      <w:r w:rsidRPr="00050219">
        <w:rPr>
          <w:rFonts w:ascii="Arial" w:hAnsi="Arial" w:cs="Arial"/>
          <w:b/>
          <w:bCs/>
          <w:sz w:val="20"/>
          <w:szCs w:val="20"/>
        </w:rPr>
        <w:t>valor patrimonial proporcional</w:t>
      </w:r>
      <w:r w:rsidRPr="00AC4AEA">
        <w:rPr>
          <w:rFonts w:ascii="Arial" w:hAnsi="Arial" w:cs="Arial"/>
          <w:sz w:val="20"/>
          <w:szCs w:val="20"/>
        </w:rPr>
        <w:t xml:space="preserve">: </w:t>
      </w:r>
    </w:p>
    <w:p w:rsidR="00421257" w:rsidRPr="00AC4AEA" w:rsidRDefault="00421257" w:rsidP="00C01B25">
      <w:pPr>
        <w:pStyle w:val="NUA-Nivel1"/>
        <w:numPr>
          <w:ilvl w:val="0"/>
          <w:numId w:val="606"/>
        </w:numPr>
        <w:ind w:left="1418" w:hanging="436"/>
      </w:pPr>
      <w:r w:rsidRPr="00AC4AEA">
        <w:t xml:space="preserve">en función de </w:t>
      </w:r>
      <w:r w:rsidRPr="00AC4AEA">
        <w:rPr>
          <w:b/>
          <w:bCs/>
        </w:rPr>
        <w:t>estados contables</w:t>
      </w:r>
      <w:r w:rsidRPr="00AC4AEA">
        <w:t xml:space="preserve"> de las subsidiarias, negocios conjuntos y asociadas preparados a la </w:t>
      </w:r>
      <w:r w:rsidRPr="00AC4AEA">
        <w:rPr>
          <w:b/>
          <w:bCs/>
        </w:rPr>
        <w:t>fecha de los estados contables</w:t>
      </w:r>
      <w:r w:rsidRPr="00AC4AEA">
        <w:t xml:space="preserve"> del inversor y abarcando igual período de tiempo. No es necesario que se trate de </w:t>
      </w:r>
      <w:r w:rsidRPr="00AC4AEA">
        <w:rPr>
          <w:b/>
          <w:bCs/>
        </w:rPr>
        <w:t xml:space="preserve">estados </w:t>
      </w:r>
      <w:r w:rsidRPr="00AC4AEA">
        <w:rPr>
          <w:b/>
          <w:bCs/>
        </w:rPr>
        <w:lastRenderedPageBreak/>
        <w:t>contables</w:t>
      </w:r>
      <w:r w:rsidRPr="00AC4AEA">
        <w:t xml:space="preserve"> de cierre de ejercicio, pudiendo prepararse </w:t>
      </w:r>
      <w:r w:rsidRPr="00AC4AEA">
        <w:rPr>
          <w:b/>
          <w:bCs/>
        </w:rPr>
        <w:t>estados contables</w:t>
      </w:r>
      <w:r w:rsidRPr="00AC4AEA">
        <w:t xml:space="preserve"> especiales a efectos del cálculo del </w:t>
      </w:r>
      <w:r w:rsidRPr="00050219">
        <w:rPr>
          <w:b/>
          <w:bCs/>
        </w:rPr>
        <w:t>valor patrimonial proporcional</w:t>
      </w:r>
      <w:r w:rsidRPr="00AC4AEA">
        <w:t xml:space="preserve">, o </w:t>
      </w:r>
    </w:p>
    <w:p w:rsidR="00421257" w:rsidRPr="00AC4AEA" w:rsidRDefault="00421257" w:rsidP="00C01B25">
      <w:pPr>
        <w:pStyle w:val="NUA-Nivel1"/>
        <w:numPr>
          <w:ilvl w:val="0"/>
          <w:numId w:val="606"/>
        </w:numPr>
        <w:ind w:left="1418" w:hanging="436"/>
      </w:pPr>
      <w:r w:rsidRPr="00AC4AEA">
        <w:t xml:space="preserve">en función de los </w:t>
      </w:r>
      <w:r w:rsidRPr="00AC4AEA">
        <w:rPr>
          <w:b/>
          <w:bCs/>
        </w:rPr>
        <w:t>estados contable</w:t>
      </w:r>
      <w:r w:rsidRPr="00AC4AEA">
        <w:t>s de la subsidiaria, negocio conjunto</w:t>
      </w:r>
      <w:r w:rsidR="00837ADA" w:rsidRPr="00AC4AEA">
        <w:t xml:space="preserve"> societario</w:t>
      </w:r>
      <w:r w:rsidRPr="00AC4AEA">
        <w:t xml:space="preserve"> o asociadas a la </w:t>
      </w:r>
      <w:r w:rsidRPr="00AC4AEA">
        <w:rPr>
          <w:b/>
          <w:bCs/>
        </w:rPr>
        <w:t>fecha de los estados contables</w:t>
      </w:r>
      <w:r w:rsidRPr="00AC4AEA">
        <w:t xml:space="preserve"> de tales entidades cuando </w:t>
      </w:r>
    </w:p>
    <w:p w:rsidR="00FF1C2E" w:rsidRPr="00AC4AEA" w:rsidRDefault="00421257" w:rsidP="00C01B25">
      <w:pPr>
        <w:pStyle w:val="Prrafodelista"/>
        <w:numPr>
          <w:ilvl w:val="0"/>
          <w:numId w:val="542"/>
        </w:numPr>
        <w:ind w:left="1843" w:hanging="218"/>
        <w:contextualSpacing w:val="0"/>
        <w:jc w:val="both"/>
        <w:rPr>
          <w:rFonts w:ascii="Arial" w:hAnsi="Arial" w:cs="Arial"/>
          <w:sz w:val="20"/>
          <w:szCs w:val="20"/>
        </w:rPr>
      </w:pPr>
      <w:r w:rsidRPr="00AC4AEA">
        <w:rPr>
          <w:rFonts w:ascii="Arial" w:hAnsi="Arial" w:cs="Arial"/>
          <w:sz w:val="20"/>
          <w:szCs w:val="20"/>
        </w:rPr>
        <w:t xml:space="preserve">la diferencia entre ambos cierres no supere los tres meses; y </w:t>
      </w:r>
    </w:p>
    <w:p w:rsidR="00421257" w:rsidRPr="00AC4AEA" w:rsidRDefault="00421257" w:rsidP="00C01B25">
      <w:pPr>
        <w:pStyle w:val="Prrafodelista"/>
        <w:numPr>
          <w:ilvl w:val="0"/>
          <w:numId w:val="542"/>
        </w:numPr>
        <w:ind w:left="1843" w:hanging="218"/>
        <w:contextualSpacing w:val="0"/>
        <w:jc w:val="both"/>
        <w:rPr>
          <w:rFonts w:ascii="Arial" w:hAnsi="Arial" w:cs="Arial"/>
          <w:sz w:val="20"/>
          <w:szCs w:val="20"/>
        </w:rPr>
      </w:pPr>
      <w:r w:rsidRPr="00AC4AEA">
        <w:rPr>
          <w:rFonts w:ascii="Arial" w:hAnsi="Arial" w:cs="Arial"/>
          <w:sz w:val="20"/>
          <w:szCs w:val="20"/>
        </w:rPr>
        <w:t xml:space="preserve">la </w:t>
      </w:r>
      <w:r w:rsidRPr="00AC4AEA">
        <w:rPr>
          <w:rFonts w:ascii="Arial" w:hAnsi="Arial" w:cs="Arial"/>
          <w:b/>
          <w:bCs/>
          <w:sz w:val="20"/>
          <w:szCs w:val="20"/>
        </w:rPr>
        <w:t>fecha de los estados contables</w:t>
      </w:r>
      <w:r w:rsidRPr="00AC4AEA">
        <w:rPr>
          <w:rFonts w:ascii="Arial" w:hAnsi="Arial" w:cs="Arial"/>
          <w:sz w:val="20"/>
          <w:szCs w:val="20"/>
        </w:rPr>
        <w:t xml:space="preserve"> de la participada sea anterior a la del inversor. </w:t>
      </w:r>
    </w:p>
    <w:p w:rsidR="00421257" w:rsidRPr="00AC4AEA" w:rsidRDefault="00421257" w:rsidP="000A0BD3">
      <w:pPr>
        <w:numPr>
          <w:ilvl w:val="0"/>
          <w:numId w:val="29"/>
        </w:numPr>
        <w:spacing w:after="149"/>
        <w:jc w:val="both"/>
        <w:rPr>
          <w:rFonts w:ascii="Arial" w:hAnsi="Arial" w:cs="Arial"/>
          <w:sz w:val="20"/>
          <w:szCs w:val="20"/>
        </w:rPr>
      </w:pPr>
      <w:r w:rsidRPr="00AC4AEA">
        <w:rPr>
          <w:rFonts w:ascii="Arial" w:hAnsi="Arial" w:cs="Arial"/>
          <w:sz w:val="20"/>
          <w:szCs w:val="20"/>
        </w:rPr>
        <w:t xml:space="preserve">En el caso descripto en el inciso b) del párrafo anterior, una entidad registrará ajustes para reflejar los efectos de: </w:t>
      </w:r>
    </w:p>
    <w:p w:rsidR="00421257" w:rsidRPr="00AC4AEA" w:rsidRDefault="00421257" w:rsidP="00C01B25">
      <w:pPr>
        <w:pStyle w:val="NUA-Nivel1"/>
        <w:numPr>
          <w:ilvl w:val="0"/>
          <w:numId w:val="607"/>
        </w:numPr>
        <w:ind w:left="1418" w:hanging="425"/>
      </w:pPr>
      <w:r w:rsidRPr="00AC4AEA">
        <w:t xml:space="preserve">las transacciones o eventos significativos para el inversor; y </w:t>
      </w:r>
    </w:p>
    <w:p w:rsidR="00421257" w:rsidRPr="00AC4AEA" w:rsidRDefault="00421257" w:rsidP="00C01B25">
      <w:pPr>
        <w:pStyle w:val="NUA-Nivel1"/>
        <w:numPr>
          <w:ilvl w:val="0"/>
          <w:numId w:val="607"/>
        </w:numPr>
        <w:ind w:left="1418" w:hanging="425"/>
      </w:pPr>
      <w:r w:rsidRPr="00AC4AEA">
        <w:t xml:space="preserve">las transacciones entre el inversor y la participada, que modificaron el </w:t>
      </w:r>
      <w:r w:rsidRPr="00AC4AEA">
        <w:rPr>
          <w:b/>
          <w:bCs/>
        </w:rPr>
        <w:t xml:space="preserve">patrimonio </w:t>
      </w:r>
      <w:r w:rsidR="00837ADA" w:rsidRPr="00AC4AEA">
        <w:rPr>
          <w:b/>
          <w:bCs/>
        </w:rPr>
        <w:t>neto</w:t>
      </w:r>
      <w:r w:rsidR="00837ADA" w:rsidRPr="00AC4AEA">
        <w:t xml:space="preserve"> </w:t>
      </w:r>
      <w:r w:rsidRPr="00AC4AEA">
        <w:t xml:space="preserve">de ésta última entre la </w:t>
      </w:r>
      <w:r w:rsidRPr="00AC4AEA">
        <w:rPr>
          <w:b/>
          <w:bCs/>
        </w:rPr>
        <w:t>fecha de los estados contables</w:t>
      </w:r>
      <w:r w:rsidRPr="00AC4AEA">
        <w:t xml:space="preserve"> de la participada</w:t>
      </w:r>
      <w:r w:rsidR="00837ADA" w:rsidRPr="00AC4AEA">
        <w:t>,</w:t>
      </w:r>
      <w:r w:rsidRPr="00AC4AEA">
        <w:t xml:space="preserve"> y </w:t>
      </w:r>
      <w:r w:rsidR="00837ADA" w:rsidRPr="00AC4AEA">
        <w:t xml:space="preserve">la </w:t>
      </w:r>
      <w:r w:rsidRPr="00AC4AEA">
        <w:t xml:space="preserve">del inversor. </w:t>
      </w:r>
    </w:p>
    <w:p w:rsidR="00421257" w:rsidRPr="00AC4AEA" w:rsidRDefault="00421257" w:rsidP="000A0BD3">
      <w:pPr>
        <w:numPr>
          <w:ilvl w:val="0"/>
          <w:numId w:val="29"/>
        </w:numPr>
        <w:spacing w:after="149"/>
        <w:jc w:val="both"/>
        <w:rPr>
          <w:rFonts w:ascii="Arial" w:hAnsi="Arial" w:cs="Arial"/>
          <w:sz w:val="20"/>
          <w:szCs w:val="20"/>
        </w:rPr>
      </w:pPr>
      <w:r w:rsidRPr="00AC4AEA">
        <w:rPr>
          <w:rFonts w:ascii="Arial" w:hAnsi="Arial" w:cs="Arial"/>
          <w:sz w:val="20"/>
          <w:szCs w:val="20"/>
        </w:rPr>
        <w:t xml:space="preserve">Con el propósito de computar estos ajustes, un inversor podrá utilizar como fuente de información informes económico-financieros emitidos por la </w:t>
      </w:r>
      <w:r w:rsidRPr="00AC4AEA">
        <w:rPr>
          <w:rFonts w:ascii="Arial" w:hAnsi="Arial" w:cs="Arial"/>
          <w:b/>
          <w:bCs/>
          <w:sz w:val="20"/>
          <w:szCs w:val="20"/>
        </w:rPr>
        <w:t>dirección</w:t>
      </w:r>
      <w:r w:rsidRPr="00AC4AEA">
        <w:rPr>
          <w:rFonts w:ascii="Arial" w:hAnsi="Arial" w:cs="Arial"/>
          <w:sz w:val="20"/>
          <w:szCs w:val="20"/>
        </w:rPr>
        <w:t xml:space="preserve"> de la participada para el control de su gestión. En ningún caso registrará importes basados en cifras presupuestadas o pronosticadas.</w:t>
      </w:r>
      <w:r w:rsidR="006F2C57">
        <w:rPr>
          <w:rFonts w:ascii="Arial" w:hAnsi="Arial" w:cs="Arial"/>
          <w:sz w:val="20"/>
          <w:szCs w:val="20"/>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En su caso, una entidad considerará los cambios en el poder adquisitivo de la </w:t>
      </w:r>
      <w:r w:rsidRPr="002B0F58">
        <w:rPr>
          <w:rFonts w:ascii="Arial" w:hAnsi="Arial" w:cs="Arial"/>
          <w:b/>
          <w:bCs/>
          <w:sz w:val="20"/>
          <w:szCs w:val="20"/>
        </w:rPr>
        <w:t>moneda argentina</w:t>
      </w:r>
      <w:r w:rsidRPr="00AC4AEA">
        <w:rPr>
          <w:rFonts w:ascii="Arial" w:hAnsi="Arial" w:cs="Arial"/>
          <w:sz w:val="20"/>
          <w:szCs w:val="20"/>
        </w:rPr>
        <w:t>, de acuerdo con lo previsto en la sección “</w:t>
      </w:r>
      <w:r w:rsidRPr="00AC4AEA">
        <w:rPr>
          <w:rFonts w:ascii="Arial" w:hAnsi="Arial" w:cs="Arial"/>
          <w:sz w:val="20"/>
          <w:szCs w:val="20"/>
          <w:u w:val="single" w:color="000000"/>
        </w:rPr>
        <w:t>Expresión de los estados</w:t>
      </w:r>
      <w:r w:rsidRPr="00AC4AEA">
        <w:rPr>
          <w:rFonts w:ascii="Arial" w:hAnsi="Arial" w:cs="Arial"/>
          <w:sz w:val="20"/>
          <w:szCs w:val="20"/>
        </w:rPr>
        <w:t xml:space="preserve"> </w:t>
      </w:r>
      <w:r w:rsidRPr="00AC4AEA">
        <w:rPr>
          <w:rFonts w:ascii="Arial" w:hAnsi="Arial" w:cs="Arial"/>
          <w:sz w:val="20"/>
          <w:szCs w:val="20"/>
          <w:u w:val="single" w:color="000000"/>
        </w:rPr>
        <w:t xml:space="preserve">contables en moneda </w:t>
      </w:r>
      <w:r w:rsidR="00F0601B">
        <w:rPr>
          <w:rFonts w:ascii="Arial" w:hAnsi="Arial" w:cs="Arial"/>
          <w:sz w:val="20"/>
          <w:szCs w:val="20"/>
          <w:u w:val="single" w:color="000000"/>
        </w:rPr>
        <w:t>de cierre</w:t>
      </w:r>
      <w:r w:rsidRPr="00AC4AEA">
        <w:rPr>
          <w:rFonts w:ascii="Arial" w:hAnsi="Arial" w:cs="Arial"/>
          <w:sz w:val="20"/>
          <w:szCs w:val="20"/>
          <w:u w:val="single" w:color="000000"/>
        </w:rPr>
        <w:t xml:space="preserve"> en un contexto de inflación (ajuste por inflación de</w:t>
      </w:r>
      <w:r w:rsidRPr="00AC4AEA">
        <w:rPr>
          <w:rFonts w:ascii="Arial" w:hAnsi="Arial" w:cs="Arial"/>
          <w:sz w:val="20"/>
          <w:szCs w:val="20"/>
        </w:rPr>
        <w:t xml:space="preserve"> </w:t>
      </w:r>
      <w:r w:rsidRPr="00AC4AEA">
        <w:rPr>
          <w:rFonts w:ascii="Arial" w:hAnsi="Arial" w:cs="Arial"/>
          <w:sz w:val="20"/>
          <w:szCs w:val="20"/>
          <w:u w:val="single" w:color="000000"/>
        </w:rPr>
        <w:t>los estados contables)</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005A2E03"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Para calcular el </w:t>
      </w:r>
      <w:r w:rsidRPr="00050219">
        <w:rPr>
          <w:rFonts w:ascii="Arial" w:hAnsi="Arial" w:cs="Arial"/>
          <w:b/>
          <w:bCs/>
          <w:sz w:val="20"/>
          <w:szCs w:val="20"/>
        </w:rPr>
        <w:t>valor patrimonial proporcional</w:t>
      </w:r>
      <w:r w:rsidRPr="00AC4AEA">
        <w:rPr>
          <w:rFonts w:ascii="Arial" w:hAnsi="Arial" w:cs="Arial"/>
          <w:sz w:val="20"/>
          <w:szCs w:val="20"/>
        </w:rPr>
        <w:t xml:space="preserve">, una entidad convertirá los </w:t>
      </w:r>
      <w:r w:rsidRPr="00AC4AEA">
        <w:rPr>
          <w:rFonts w:ascii="Arial" w:hAnsi="Arial" w:cs="Arial"/>
          <w:b/>
          <w:bCs/>
          <w:sz w:val="20"/>
          <w:szCs w:val="20"/>
        </w:rPr>
        <w:t>estados contables</w:t>
      </w:r>
      <w:r w:rsidRPr="00AC4AEA">
        <w:rPr>
          <w:rFonts w:ascii="Arial" w:hAnsi="Arial" w:cs="Arial"/>
          <w:sz w:val="20"/>
          <w:szCs w:val="20"/>
        </w:rPr>
        <w:t xml:space="preserve"> de una </w:t>
      </w:r>
      <w:r w:rsidRPr="00AC4AEA">
        <w:rPr>
          <w:rFonts w:ascii="Arial" w:hAnsi="Arial" w:cs="Arial"/>
          <w:b/>
          <w:bCs/>
          <w:sz w:val="20"/>
          <w:szCs w:val="20"/>
        </w:rPr>
        <w:t>entidad del exterior</w:t>
      </w:r>
      <w:r w:rsidRPr="00AC4AEA">
        <w:rPr>
          <w:rFonts w:ascii="Arial" w:hAnsi="Arial" w:cs="Arial"/>
          <w:sz w:val="20"/>
          <w:szCs w:val="20"/>
        </w:rPr>
        <w:t xml:space="preserve"> a </w:t>
      </w:r>
      <w:r w:rsidRPr="002B0F58">
        <w:rPr>
          <w:rFonts w:ascii="Arial" w:hAnsi="Arial" w:cs="Arial"/>
          <w:b/>
          <w:bCs/>
          <w:sz w:val="20"/>
          <w:szCs w:val="20"/>
        </w:rPr>
        <w:t>moneda argentina</w:t>
      </w:r>
      <w:r w:rsidRPr="00AC4AEA">
        <w:rPr>
          <w:rFonts w:ascii="Arial" w:hAnsi="Arial" w:cs="Arial"/>
          <w:sz w:val="20"/>
          <w:szCs w:val="20"/>
        </w:rPr>
        <w:t>, mediante la aplicación de las normas de la sección “</w:t>
      </w:r>
      <w:r w:rsidRPr="00AC4AEA">
        <w:rPr>
          <w:rFonts w:ascii="Arial" w:hAnsi="Arial" w:cs="Arial"/>
          <w:sz w:val="20"/>
          <w:szCs w:val="20"/>
          <w:u w:val="single" w:color="000000"/>
        </w:rPr>
        <w:t>Conversión de estados contables</w:t>
      </w:r>
      <w:r w:rsidRPr="00AC4AEA">
        <w:rPr>
          <w:rFonts w:ascii="Arial" w:hAnsi="Arial" w:cs="Arial"/>
          <w:sz w:val="20"/>
          <w:szCs w:val="20"/>
        </w:rPr>
        <w:t xml:space="preserve">” [ver </w:t>
      </w:r>
      <w:r w:rsidR="00D922C4">
        <w:rPr>
          <w:rFonts w:ascii="Arial" w:hAnsi="Arial" w:cs="Arial"/>
          <w:sz w:val="20"/>
          <w:szCs w:val="20"/>
        </w:rPr>
        <w:t xml:space="preserve">los </w:t>
      </w:r>
      <w:r w:rsidRPr="00AC4AEA">
        <w:rPr>
          <w:rFonts w:ascii="Arial" w:hAnsi="Arial" w:cs="Arial"/>
          <w:sz w:val="20"/>
          <w:szCs w:val="20"/>
        </w:rPr>
        <w:t xml:space="preserve">párrafos </w:t>
      </w:r>
      <w:r w:rsidR="001C4138">
        <w:rPr>
          <w:rFonts w:ascii="Arial" w:hAnsi="Arial" w:cs="Arial"/>
          <w:sz w:val="20"/>
          <w:szCs w:val="20"/>
        </w:rPr>
        <w:fldChar w:fldCharType="begin"/>
      </w:r>
      <w:r w:rsidR="00FA2569">
        <w:rPr>
          <w:rFonts w:ascii="Arial" w:hAnsi="Arial" w:cs="Arial"/>
          <w:sz w:val="20"/>
          <w:szCs w:val="20"/>
        </w:rPr>
        <w:instrText xml:space="preserve"> REF _Ref136253270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752</w:t>
      </w:r>
      <w:r w:rsidR="001C4138">
        <w:rPr>
          <w:rFonts w:ascii="Arial" w:hAnsi="Arial" w:cs="Arial"/>
          <w:sz w:val="20"/>
          <w:szCs w:val="20"/>
        </w:rPr>
        <w:fldChar w:fldCharType="end"/>
      </w:r>
      <w:r w:rsidR="00FA2569">
        <w:rPr>
          <w:rFonts w:ascii="Arial" w:hAnsi="Arial" w:cs="Arial"/>
          <w:sz w:val="20"/>
          <w:szCs w:val="20"/>
        </w:rPr>
        <w:t xml:space="preserve"> </w:t>
      </w:r>
      <w:r w:rsidR="00FA2569" w:rsidRPr="00592D81">
        <w:rPr>
          <w:rFonts w:ascii="Arial" w:hAnsi="Arial" w:cs="Arial"/>
          <w:sz w:val="20"/>
          <w:szCs w:val="20"/>
        </w:rPr>
        <w:t>al</w:t>
      </w:r>
      <w:r w:rsidR="00FA2569">
        <w:rPr>
          <w:rFonts w:ascii="Arial" w:hAnsi="Arial" w:cs="Arial"/>
          <w:sz w:val="20"/>
          <w:szCs w:val="20"/>
        </w:rPr>
        <w:t xml:space="preserve"> </w:t>
      </w:r>
      <w:r w:rsidR="001C4138">
        <w:rPr>
          <w:rFonts w:ascii="Arial" w:hAnsi="Arial" w:cs="Arial"/>
          <w:sz w:val="20"/>
          <w:szCs w:val="20"/>
        </w:rPr>
        <w:fldChar w:fldCharType="begin"/>
      </w:r>
      <w:r w:rsidR="00FA2569">
        <w:rPr>
          <w:rFonts w:ascii="Arial" w:hAnsi="Arial" w:cs="Arial"/>
          <w:sz w:val="20"/>
          <w:szCs w:val="20"/>
        </w:rPr>
        <w:instrText xml:space="preserve"> REF _Ref136253285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763</w:t>
      </w:r>
      <w:r w:rsidR="001C4138">
        <w:rPr>
          <w:rFonts w:ascii="Arial" w:hAnsi="Arial" w:cs="Arial"/>
          <w:sz w:val="20"/>
          <w:szCs w:val="20"/>
        </w:rPr>
        <w:fldChar w:fldCharType="end"/>
      </w:r>
      <w:r w:rsidRPr="00AC4AEA">
        <w:rPr>
          <w:rFonts w:ascii="Arial" w:hAnsi="Arial" w:cs="Arial"/>
          <w:sz w:val="20"/>
          <w:szCs w:val="20"/>
        </w:rPr>
        <w:t xml:space="preserve">]. </w:t>
      </w:r>
    </w:p>
    <w:p w:rsidR="002A0C7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estados contables</w:t>
      </w:r>
      <w:r w:rsidRPr="00AC4AEA">
        <w:rPr>
          <w:rFonts w:ascii="Arial" w:hAnsi="Arial" w:cs="Arial"/>
          <w:sz w:val="20"/>
          <w:szCs w:val="20"/>
        </w:rPr>
        <w:t xml:space="preserve"> de las </w:t>
      </w:r>
      <w:r w:rsidR="002310EA" w:rsidRPr="00AC4AEA">
        <w:rPr>
          <w:rFonts w:ascii="Arial" w:hAnsi="Arial" w:cs="Arial"/>
          <w:sz w:val="20"/>
          <w:szCs w:val="20"/>
        </w:rPr>
        <w:t>otras entidades</w:t>
      </w:r>
      <w:r w:rsidRPr="00AC4AEA">
        <w:rPr>
          <w:rFonts w:ascii="Arial" w:hAnsi="Arial" w:cs="Arial"/>
          <w:sz w:val="20"/>
          <w:szCs w:val="20"/>
        </w:rPr>
        <w:t xml:space="preserve">, utilizados para el cálculo del </w:t>
      </w:r>
      <w:r w:rsidRPr="00050219">
        <w:rPr>
          <w:rFonts w:ascii="Arial" w:hAnsi="Arial" w:cs="Arial"/>
          <w:b/>
          <w:bCs/>
          <w:sz w:val="20"/>
          <w:szCs w:val="20"/>
        </w:rPr>
        <w:t>valor patrimonial proporcional</w:t>
      </w:r>
      <w:r w:rsidRPr="00AC4AEA">
        <w:rPr>
          <w:rFonts w:ascii="Arial" w:hAnsi="Arial" w:cs="Arial"/>
          <w:sz w:val="20"/>
          <w:szCs w:val="20"/>
        </w:rPr>
        <w:t xml:space="preserve"> deben ser preparados</w:t>
      </w:r>
      <w:r w:rsidR="000714D8" w:rsidRPr="00AC4AEA">
        <w:rPr>
          <w:rFonts w:ascii="Arial" w:hAnsi="Arial" w:cs="Arial"/>
          <w:sz w:val="20"/>
          <w:szCs w:val="20"/>
        </w:rPr>
        <w:t>, aplicando:</w:t>
      </w:r>
      <w:r w:rsidRPr="00AC4AEA">
        <w:rPr>
          <w:rFonts w:ascii="Arial" w:hAnsi="Arial" w:cs="Arial"/>
          <w:sz w:val="20"/>
          <w:szCs w:val="20"/>
        </w:rPr>
        <w:t xml:space="preserve"> </w:t>
      </w:r>
    </w:p>
    <w:p w:rsidR="00FD3E09" w:rsidRPr="00AC4AEA" w:rsidRDefault="00421257" w:rsidP="00C01B25">
      <w:pPr>
        <w:pStyle w:val="NUA-Nivel1"/>
        <w:numPr>
          <w:ilvl w:val="0"/>
          <w:numId w:val="648"/>
        </w:numPr>
        <w:ind w:left="1418" w:hanging="425"/>
      </w:pPr>
      <w:r w:rsidRPr="00AC4AEA">
        <w:t>las mismas normas contables</w:t>
      </w:r>
      <w:r w:rsidR="002310EA" w:rsidRPr="00AC4AEA">
        <w:t>, cuando la parti</w:t>
      </w:r>
      <w:r w:rsidR="00FD3E09" w:rsidRPr="00AC4AEA">
        <w:t>ci</w:t>
      </w:r>
      <w:r w:rsidR="002310EA" w:rsidRPr="00AC4AEA">
        <w:t>pa</w:t>
      </w:r>
      <w:r w:rsidR="00FD3E09" w:rsidRPr="00AC4AEA">
        <w:t>d</w:t>
      </w:r>
      <w:r w:rsidR="002310EA" w:rsidRPr="00AC4AEA">
        <w:t>a sea una subsidiaria o un negocio conjunto societario</w:t>
      </w:r>
      <w:r w:rsidR="00FD3E09" w:rsidRPr="00AC4AEA">
        <w:t>; o</w:t>
      </w:r>
    </w:p>
    <w:p w:rsidR="00421257" w:rsidRPr="00AC4AEA" w:rsidRDefault="00FD3E09" w:rsidP="00C01B25">
      <w:pPr>
        <w:pStyle w:val="NUA-Nivel1"/>
        <w:numPr>
          <w:ilvl w:val="0"/>
          <w:numId w:val="648"/>
        </w:numPr>
        <w:ind w:left="1418" w:hanging="425"/>
      </w:pPr>
      <w:r w:rsidRPr="00AC4AEA">
        <w:t>normas contables vigentes, cuando la participada sea una asociada</w:t>
      </w:r>
      <w:r w:rsidR="000714D8" w:rsidRPr="00AC4AEA">
        <w:t>.</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En caso de que existieran errores contables significativos en los </w:t>
      </w:r>
      <w:r w:rsidRPr="00AC4AEA">
        <w:rPr>
          <w:rFonts w:ascii="Arial" w:hAnsi="Arial" w:cs="Arial"/>
          <w:b/>
          <w:bCs/>
          <w:sz w:val="20"/>
          <w:szCs w:val="20"/>
        </w:rPr>
        <w:t>estados contables</w:t>
      </w:r>
      <w:r w:rsidRPr="00AC4AEA">
        <w:rPr>
          <w:rFonts w:ascii="Arial" w:hAnsi="Arial" w:cs="Arial"/>
          <w:sz w:val="20"/>
          <w:szCs w:val="20"/>
        </w:rPr>
        <w:t xml:space="preserve"> de las subsidiarias, negocios conjuntos</w:t>
      </w:r>
      <w:r w:rsidR="00F77917" w:rsidRPr="00AC4AEA">
        <w:rPr>
          <w:rFonts w:ascii="Arial" w:hAnsi="Arial" w:cs="Arial"/>
          <w:sz w:val="20"/>
          <w:szCs w:val="20"/>
        </w:rPr>
        <w:t xml:space="preserve"> societarios</w:t>
      </w:r>
      <w:r w:rsidRPr="00AC4AEA">
        <w:rPr>
          <w:rFonts w:ascii="Arial" w:hAnsi="Arial" w:cs="Arial"/>
          <w:sz w:val="20"/>
          <w:szCs w:val="20"/>
        </w:rPr>
        <w:t xml:space="preserve"> o asociadas, utilizados para el cálculo del </w:t>
      </w:r>
      <w:r w:rsidRPr="00050219">
        <w:rPr>
          <w:rFonts w:ascii="Arial" w:hAnsi="Arial" w:cs="Arial"/>
          <w:b/>
          <w:bCs/>
          <w:sz w:val="20"/>
          <w:szCs w:val="20"/>
        </w:rPr>
        <w:t>valor patrimonial proporcional</w:t>
      </w:r>
      <w:r w:rsidRPr="00AC4AEA">
        <w:rPr>
          <w:rFonts w:ascii="Arial" w:hAnsi="Arial" w:cs="Arial"/>
          <w:sz w:val="20"/>
          <w:szCs w:val="20"/>
        </w:rPr>
        <w:t xml:space="preserve">, un inversor deberá ajustarlos previamente.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Antes de calcular el </w:t>
      </w:r>
      <w:r w:rsidRPr="00050219">
        <w:rPr>
          <w:rFonts w:ascii="Arial" w:hAnsi="Arial" w:cs="Arial"/>
          <w:b/>
          <w:bCs/>
          <w:sz w:val="20"/>
          <w:szCs w:val="20"/>
        </w:rPr>
        <w:t>valor patrimonial proporcional</w:t>
      </w:r>
      <w:r w:rsidRPr="00AC4AEA">
        <w:rPr>
          <w:rFonts w:ascii="Arial" w:hAnsi="Arial" w:cs="Arial"/>
          <w:sz w:val="20"/>
          <w:szCs w:val="20"/>
        </w:rPr>
        <w:t>, una entidad:</w:t>
      </w:r>
      <w:r w:rsidR="006F2C57">
        <w:rPr>
          <w:rFonts w:ascii="Arial" w:hAnsi="Arial" w:cs="Arial"/>
          <w:sz w:val="20"/>
          <w:szCs w:val="20"/>
        </w:rPr>
        <w:t xml:space="preserve"> </w:t>
      </w:r>
    </w:p>
    <w:p w:rsidR="00421257" w:rsidRPr="007B56D7" w:rsidRDefault="00421257" w:rsidP="00C01B25">
      <w:pPr>
        <w:pStyle w:val="NUA-Nivel1"/>
        <w:numPr>
          <w:ilvl w:val="0"/>
          <w:numId w:val="608"/>
        </w:numPr>
        <w:ind w:left="1418" w:hanging="425"/>
      </w:pPr>
      <w:r w:rsidRPr="007B56D7">
        <w:t xml:space="preserve">Eliminará del patrimonio neto de la participada las ganancias y pérdidas procedentes de transacciones intragrupo que estén reconocidas en </w:t>
      </w:r>
      <w:r w:rsidR="00660CF7" w:rsidRPr="007B56D7">
        <w:t xml:space="preserve">saldos finales de </w:t>
      </w:r>
      <w:r w:rsidRPr="007B56D7">
        <w:t>activos, tales como bienes de cambio o bienes de uso</w:t>
      </w:r>
      <w:r w:rsidR="00586AA3" w:rsidRPr="007B56D7">
        <w:t>.</w:t>
      </w:r>
      <w:r w:rsidRPr="007B56D7">
        <w:t xml:space="preserve"> </w:t>
      </w:r>
    </w:p>
    <w:p w:rsidR="00421257" w:rsidRPr="007B56D7" w:rsidRDefault="00421257" w:rsidP="00C01B25">
      <w:pPr>
        <w:pStyle w:val="NUA-Nivel1"/>
        <w:numPr>
          <w:ilvl w:val="0"/>
          <w:numId w:val="608"/>
        </w:numPr>
        <w:ind w:left="1418" w:hanging="425"/>
      </w:pPr>
      <w:r w:rsidRPr="007B56D7">
        <w:lastRenderedPageBreak/>
        <w:t xml:space="preserve">No realizará las eliminaciones del inciso anterior cuando los activos que los contengan se encuentren medidos </w:t>
      </w:r>
      <w:r w:rsidR="00CE7564" w:rsidRPr="007B56D7">
        <w:t>con base en algún</w:t>
      </w:r>
      <w:r w:rsidR="00DE79A2" w:rsidRPr="007B56D7">
        <w:t xml:space="preserve"> </w:t>
      </w:r>
      <w:r w:rsidRPr="007B56D7">
        <w:rPr>
          <w:b/>
          <w:bCs/>
        </w:rPr>
        <w:t xml:space="preserve">valor </w:t>
      </w:r>
      <w:r w:rsidR="00CE7564" w:rsidRPr="007B56D7">
        <w:rPr>
          <w:b/>
          <w:bCs/>
        </w:rPr>
        <w:t>corriente</w:t>
      </w:r>
      <w:r w:rsidRPr="007B56D7">
        <w:t xml:space="preserve"> determinado de acuerdo con las pautas establecidas en esta Resolución Técnica u </w:t>
      </w:r>
      <w:r w:rsidRPr="007B56D7">
        <w:rPr>
          <w:b/>
          <w:bCs/>
        </w:rPr>
        <w:t>otras normas contables</w:t>
      </w:r>
      <w:r w:rsidRPr="007B56D7">
        <w:t xml:space="preserve">. </w:t>
      </w:r>
    </w:p>
    <w:p w:rsidR="00421257" w:rsidRPr="007B56D7" w:rsidRDefault="00421257" w:rsidP="000A0BD3">
      <w:pPr>
        <w:numPr>
          <w:ilvl w:val="0"/>
          <w:numId w:val="29"/>
        </w:numPr>
        <w:spacing w:after="147" w:line="264" w:lineRule="auto"/>
        <w:jc w:val="both"/>
        <w:rPr>
          <w:rFonts w:ascii="Arial" w:hAnsi="Arial" w:cs="Arial"/>
          <w:sz w:val="20"/>
          <w:szCs w:val="20"/>
        </w:rPr>
      </w:pPr>
      <w:r w:rsidRPr="007B56D7">
        <w:rPr>
          <w:rFonts w:ascii="Arial" w:hAnsi="Arial" w:cs="Arial"/>
          <w:sz w:val="20"/>
          <w:szCs w:val="20"/>
        </w:rPr>
        <w:t xml:space="preserve">Antes de calcular el </w:t>
      </w:r>
      <w:r w:rsidRPr="007B56D7">
        <w:rPr>
          <w:rFonts w:ascii="Arial" w:hAnsi="Arial" w:cs="Arial"/>
          <w:b/>
          <w:bCs/>
          <w:sz w:val="20"/>
          <w:szCs w:val="20"/>
        </w:rPr>
        <w:t>valor patrimonial proporcional</w:t>
      </w:r>
      <w:r w:rsidRPr="007B56D7">
        <w:rPr>
          <w:rFonts w:ascii="Arial" w:hAnsi="Arial" w:cs="Arial"/>
          <w:sz w:val="20"/>
          <w:szCs w:val="20"/>
        </w:rPr>
        <w:t xml:space="preserve">, una entidad considerará que las pérdidas intragrupo </w:t>
      </w:r>
      <w:r w:rsidR="00D81E8F" w:rsidRPr="007B56D7">
        <w:rPr>
          <w:rFonts w:ascii="Arial" w:hAnsi="Arial" w:cs="Arial"/>
          <w:sz w:val="20"/>
          <w:szCs w:val="20"/>
        </w:rPr>
        <w:t>podrían</w:t>
      </w:r>
      <w:r w:rsidRPr="007B56D7">
        <w:rPr>
          <w:rFonts w:ascii="Arial" w:hAnsi="Arial" w:cs="Arial"/>
          <w:sz w:val="20"/>
          <w:szCs w:val="20"/>
        </w:rPr>
        <w:t xml:space="preserve"> indicar un</w:t>
      </w:r>
      <w:r w:rsidR="00586AA3" w:rsidRPr="007B56D7">
        <w:rPr>
          <w:rFonts w:ascii="Arial" w:hAnsi="Arial" w:cs="Arial"/>
          <w:sz w:val="20"/>
          <w:szCs w:val="20"/>
        </w:rPr>
        <w:t>a</w:t>
      </w:r>
      <w:r w:rsidRPr="007B56D7">
        <w:rPr>
          <w:rFonts w:ascii="Arial" w:hAnsi="Arial" w:cs="Arial"/>
          <w:sz w:val="20"/>
          <w:szCs w:val="20"/>
        </w:rPr>
        <w:t xml:space="preserve"> </w:t>
      </w:r>
      <w:r w:rsidR="00586AA3" w:rsidRPr="007B56D7">
        <w:rPr>
          <w:rFonts w:ascii="Arial" w:hAnsi="Arial" w:cs="Arial"/>
          <w:b/>
          <w:bCs/>
          <w:sz w:val="20"/>
          <w:szCs w:val="20"/>
        </w:rPr>
        <w:t>desvalorización</w:t>
      </w:r>
      <w:r w:rsidRPr="007B56D7">
        <w:rPr>
          <w:rFonts w:ascii="Arial" w:hAnsi="Arial" w:cs="Arial"/>
          <w:sz w:val="20"/>
          <w:szCs w:val="20"/>
        </w:rPr>
        <w:t xml:space="preserve"> que </w:t>
      </w:r>
      <w:r w:rsidR="00D81E8F" w:rsidRPr="007B56D7">
        <w:rPr>
          <w:rFonts w:ascii="Arial" w:hAnsi="Arial" w:cs="Arial"/>
          <w:sz w:val="20"/>
          <w:szCs w:val="20"/>
        </w:rPr>
        <w:t>exija</w:t>
      </w:r>
      <w:r w:rsidRPr="007B56D7">
        <w:rPr>
          <w:rFonts w:ascii="Arial" w:hAnsi="Arial" w:cs="Arial"/>
          <w:sz w:val="20"/>
          <w:szCs w:val="20"/>
        </w:rPr>
        <w:t xml:space="preserve"> su reconocimiento de acuerdo con lo establecido en esta Resolución Técnica u </w:t>
      </w:r>
      <w:r w:rsidRPr="007B56D7">
        <w:rPr>
          <w:rFonts w:ascii="Arial" w:hAnsi="Arial" w:cs="Arial"/>
          <w:b/>
          <w:bCs/>
          <w:sz w:val="20"/>
          <w:szCs w:val="20"/>
        </w:rPr>
        <w:t>otras normas contables</w:t>
      </w:r>
      <w:r w:rsidRPr="007B56D7">
        <w:rPr>
          <w:rFonts w:ascii="Arial" w:hAnsi="Arial" w:cs="Arial"/>
          <w:sz w:val="20"/>
          <w:szCs w:val="20"/>
        </w:rPr>
        <w:t>.</w:t>
      </w:r>
      <w:r w:rsidR="006F2C57">
        <w:rPr>
          <w:rFonts w:ascii="Arial" w:hAnsi="Arial" w:cs="Arial"/>
          <w:sz w:val="20"/>
          <w:szCs w:val="20"/>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Una entidad aplicará la sección “</w:t>
      </w:r>
      <w:r w:rsidRPr="00AC4AEA">
        <w:rPr>
          <w:rFonts w:ascii="Arial" w:hAnsi="Arial" w:cs="Arial"/>
          <w:sz w:val="20"/>
          <w:szCs w:val="20"/>
          <w:u w:val="single" w:color="000000"/>
        </w:rPr>
        <w:t>Contabilización del Impuesto a las Ganancias</w:t>
      </w:r>
      <w:r w:rsidRPr="00AC4AEA">
        <w:rPr>
          <w:rFonts w:ascii="Arial" w:hAnsi="Arial" w:cs="Arial"/>
          <w:sz w:val="20"/>
          <w:szCs w:val="20"/>
        </w:rPr>
        <w:t xml:space="preserve">” </w:t>
      </w:r>
      <w:r w:rsidR="00586AA3" w:rsidRPr="00AC4AEA">
        <w:rPr>
          <w:rFonts w:ascii="Arial" w:hAnsi="Arial" w:cs="Arial"/>
          <w:sz w:val="20"/>
          <w:szCs w:val="20"/>
        </w:rPr>
        <w:t xml:space="preserve">[ver los párrafos </w:t>
      </w:r>
      <w:fldSimple w:instr=" REF _Ref99468407 \r \h  \* MERGEFORMAT ">
        <w:r w:rsidR="00D33A5D" w:rsidRPr="00D33A5D">
          <w:rPr>
            <w:rFonts w:ascii="Arial" w:hAnsi="Arial" w:cs="Arial"/>
            <w:sz w:val="20"/>
            <w:szCs w:val="20"/>
          </w:rPr>
          <w:t>571</w:t>
        </w:r>
      </w:fldSimple>
      <w:r w:rsidR="00586AA3" w:rsidRPr="00AC4AEA">
        <w:rPr>
          <w:rFonts w:ascii="Arial" w:hAnsi="Arial" w:cs="Arial"/>
          <w:sz w:val="20"/>
          <w:szCs w:val="20"/>
        </w:rPr>
        <w:t xml:space="preserve"> a </w:t>
      </w:r>
      <w:fldSimple w:instr=" REF _Ref135737673 \r \h  \* MERGEFORMAT ">
        <w:r w:rsidR="00D33A5D" w:rsidRPr="00D33A5D">
          <w:rPr>
            <w:rFonts w:ascii="Arial" w:hAnsi="Arial" w:cs="Arial"/>
            <w:sz w:val="20"/>
            <w:szCs w:val="20"/>
          </w:rPr>
          <w:t>600</w:t>
        </w:r>
      </w:fldSimple>
      <w:r w:rsidR="00586AA3" w:rsidRPr="00AC4AEA">
        <w:rPr>
          <w:rFonts w:ascii="Arial" w:hAnsi="Arial" w:cs="Arial"/>
          <w:sz w:val="20"/>
          <w:szCs w:val="20"/>
        </w:rPr>
        <w:t>],</w:t>
      </w:r>
      <w:r w:rsidR="008F1717" w:rsidRPr="00AC4AEA">
        <w:rPr>
          <w:rFonts w:ascii="Arial" w:hAnsi="Arial" w:cs="Arial"/>
          <w:sz w:val="20"/>
          <w:szCs w:val="20"/>
        </w:rPr>
        <w:t xml:space="preserve"> </w:t>
      </w:r>
      <w:r w:rsidRPr="00AC4AEA">
        <w:rPr>
          <w:rFonts w:ascii="Arial" w:hAnsi="Arial" w:cs="Arial"/>
          <w:sz w:val="20"/>
          <w:szCs w:val="20"/>
        </w:rPr>
        <w:t xml:space="preserve">por las diferencias temporarias que surjan de la eliminación de las ganancias y pérdidas procedentes de transacciones intragrupo.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Cuando la participada posea acciones propias en cartera, una entidad: </w:t>
      </w:r>
    </w:p>
    <w:p w:rsidR="00421257" w:rsidRPr="00AC4AEA" w:rsidRDefault="00A87FC9" w:rsidP="00C01B25">
      <w:pPr>
        <w:pStyle w:val="NUA-Nivel1"/>
        <w:numPr>
          <w:ilvl w:val="0"/>
          <w:numId w:val="609"/>
        </w:numPr>
        <w:ind w:left="1418" w:hanging="425"/>
      </w:pPr>
      <w:r w:rsidRPr="00AC4AEA">
        <w:t>C</w:t>
      </w:r>
      <w:r w:rsidR="00421257" w:rsidRPr="00AC4AEA">
        <w:t xml:space="preserve">alculará la tenencia del inversor y de los votos posibles en las reuniones sociales ordinarias sobre la base de las acciones en circulación de la participada. </w:t>
      </w:r>
    </w:p>
    <w:p w:rsidR="00421257" w:rsidRPr="00AC4AEA" w:rsidRDefault="00421257" w:rsidP="00C01B25">
      <w:pPr>
        <w:pStyle w:val="NUA-Nivel1"/>
        <w:numPr>
          <w:ilvl w:val="0"/>
          <w:numId w:val="609"/>
        </w:numPr>
        <w:ind w:left="1418" w:hanging="425"/>
      </w:pPr>
      <w:r w:rsidRPr="00AC4AEA">
        <w:t xml:space="preserve">Registrará el </w:t>
      </w:r>
      <w:r w:rsidRPr="00944C3E">
        <w:rPr>
          <w:b/>
          <w:bCs/>
        </w:rPr>
        <w:t>costo de adquisición</w:t>
      </w:r>
      <w:r w:rsidRPr="00AC4AEA">
        <w:t xml:space="preserve"> de las acciones propias en cartera como una reducción del </w:t>
      </w:r>
      <w:r w:rsidRPr="00AC4AEA">
        <w:rPr>
          <w:b/>
          <w:bCs/>
        </w:rPr>
        <w:t>patrimonio neto</w:t>
      </w:r>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Si al aplicar el método del </w:t>
      </w:r>
      <w:r w:rsidRPr="00050219">
        <w:rPr>
          <w:rFonts w:ascii="Arial" w:hAnsi="Arial" w:cs="Arial"/>
          <w:b/>
          <w:bCs/>
          <w:sz w:val="20"/>
          <w:szCs w:val="20"/>
        </w:rPr>
        <w:t>valor patrimonial proporcional</w:t>
      </w:r>
      <w:r w:rsidRPr="00AC4AEA">
        <w:rPr>
          <w:rFonts w:ascii="Arial" w:hAnsi="Arial" w:cs="Arial"/>
          <w:sz w:val="20"/>
          <w:szCs w:val="20"/>
        </w:rPr>
        <w:t xml:space="preserve">, el valor de libros de la inversión en la subsidiaria, negocio conjunto </w:t>
      </w:r>
      <w:r w:rsidR="00487016" w:rsidRPr="00AC4AEA">
        <w:rPr>
          <w:rFonts w:ascii="Arial" w:hAnsi="Arial" w:cs="Arial"/>
          <w:sz w:val="20"/>
          <w:szCs w:val="20"/>
        </w:rPr>
        <w:t xml:space="preserve">societario </w:t>
      </w:r>
      <w:r w:rsidRPr="00AC4AEA">
        <w:rPr>
          <w:rFonts w:ascii="Arial" w:hAnsi="Arial" w:cs="Arial"/>
          <w:sz w:val="20"/>
          <w:szCs w:val="20"/>
        </w:rPr>
        <w:t>o asociada es menor a cero (es decir, la participación del inversor en las pérdidas de la participada supera el valor de la inversión), un inversor:</w:t>
      </w:r>
      <w:r w:rsidR="006F2C57">
        <w:rPr>
          <w:rFonts w:ascii="Arial" w:hAnsi="Arial" w:cs="Arial"/>
          <w:sz w:val="20"/>
          <w:szCs w:val="20"/>
        </w:rPr>
        <w:t xml:space="preserve"> </w:t>
      </w:r>
    </w:p>
    <w:p w:rsidR="00421257" w:rsidRPr="00AC4AEA" w:rsidRDefault="00421257" w:rsidP="00C01B25">
      <w:pPr>
        <w:pStyle w:val="NUA-Nivel1"/>
        <w:numPr>
          <w:ilvl w:val="0"/>
          <w:numId w:val="610"/>
        </w:numPr>
        <w:ind w:left="1418" w:hanging="425"/>
      </w:pPr>
      <w:r w:rsidRPr="00AC4AEA">
        <w:t>Registrará su proporción en las pérdidas hasta que el valor de la inversión en la participada llegue a cero.</w:t>
      </w:r>
      <w:r w:rsidR="006F2C57">
        <w:t xml:space="preserve"> </w:t>
      </w:r>
    </w:p>
    <w:p w:rsidR="00421257" w:rsidRPr="00AC4AEA" w:rsidRDefault="00421257" w:rsidP="00C01B25">
      <w:pPr>
        <w:pStyle w:val="NUA-Nivel1"/>
        <w:numPr>
          <w:ilvl w:val="0"/>
          <w:numId w:val="610"/>
        </w:numPr>
        <w:ind w:left="1418" w:hanging="425"/>
      </w:pPr>
      <w:r w:rsidRPr="00AC4AEA">
        <w:t xml:space="preserve">Sólo reconocerá las pérdidas adicionales si a la </w:t>
      </w:r>
      <w:r w:rsidRPr="00AC4AEA">
        <w:rPr>
          <w:b/>
          <w:bCs/>
        </w:rPr>
        <w:t>fecha de estados contables</w:t>
      </w:r>
      <w:r w:rsidRPr="00AC4AEA">
        <w:t xml:space="preserve">, el inversor tiene intenciones de continuar financiando las operaciones de la participada y hubiera asumido compromisos para realizar aportes de capital en ésta, para cubrir dichas pérdidas. En este caso, deberá registrar las deudas </w:t>
      </w:r>
      <w:r w:rsidR="00996A4A" w:rsidRPr="00AC4AEA">
        <w:t>con</w:t>
      </w:r>
      <w:r w:rsidRPr="00AC4AEA">
        <w:t xml:space="preserve"> la participada que surja de tales compromisos, según la sección “</w:t>
      </w:r>
      <w:r w:rsidRPr="00AC4AEA">
        <w:rPr>
          <w:u w:val="single" w:color="000000"/>
        </w:rPr>
        <w:t>Compromisos que</w:t>
      </w:r>
      <w:r w:rsidRPr="00AC4AEA">
        <w:t xml:space="preserve"> </w:t>
      </w:r>
      <w:r w:rsidRPr="00AC4AEA">
        <w:rPr>
          <w:u w:val="single" w:color="000000"/>
        </w:rPr>
        <w:t>generan pérdidas (contratos de carácter oneroso)</w:t>
      </w:r>
      <w:r w:rsidRPr="00AC4AEA">
        <w:t xml:space="preserve">” [ver </w:t>
      </w:r>
      <w:r w:rsidR="00D922C4">
        <w:t xml:space="preserve">los </w:t>
      </w:r>
      <w:r w:rsidRPr="00AC4AEA">
        <w:t xml:space="preserve">párrafos </w:t>
      </w:r>
      <w:fldSimple w:instr=" REF _Ref103888717 \r \h  \* MERGEFORMAT ">
        <w:r w:rsidR="00D33A5D">
          <w:t>527</w:t>
        </w:r>
      </w:fldSimple>
      <w:r w:rsidR="0081081E" w:rsidRPr="0087080A">
        <w:t xml:space="preserve"> a </w:t>
      </w:r>
      <w:r w:rsidR="001C4138">
        <w:fldChar w:fldCharType="begin"/>
      </w:r>
      <w:r w:rsidR="0081081E">
        <w:instrText xml:space="preserve"> REF _Ref129077854 \r \h </w:instrText>
      </w:r>
      <w:r w:rsidR="001C4138">
        <w:fldChar w:fldCharType="separate"/>
      </w:r>
      <w:r w:rsidR="00D33A5D">
        <w:t>531</w:t>
      </w:r>
      <w:r w:rsidR="001C4138">
        <w:fldChar w:fldCharType="end"/>
      </w:r>
      <w:r w:rsidRPr="00AC4AEA">
        <w:t>].</w:t>
      </w:r>
      <w:r w:rsidR="006F2C57">
        <w:t xml:space="preserve"> </w:t>
      </w:r>
    </w:p>
    <w:p w:rsidR="00421257" w:rsidRPr="00AC4AEA" w:rsidRDefault="00421257" w:rsidP="00C01B25">
      <w:pPr>
        <w:pStyle w:val="NUA-Nivel1"/>
        <w:numPr>
          <w:ilvl w:val="0"/>
          <w:numId w:val="610"/>
        </w:numPr>
        <w:ind w:left="1418" w:hanging="425"/>
      </w:pPr>
      <w:r w:rsidRPr="00AC4AEA">
        <w:t xml:space="preserve">Cuando lo referido en el inciso anterior implique que el inversor cubra las pérdidas correspondientes a otros inversores, si en períodos posteriores la participada obtiene ganancias, asignará la totalidad de esas ganancias hasta recuperar la porción de las pérdidas de los otros inversores previamente absorbidas. </w:t>
      </w:r>
    </w:p>
    <w:p w:rsidR="00421257" w:rsidRPr="00AC4AEA" w:rsidRDefault="00421257" w:rsidP="00A318EA">
      <w:pPr>
        <w:spacing w:after="149"/>
        <w:ind w:left="-5" w:hanging="10"/>
        <w:rPr>
          <w:rFonts w:ascii="Arial" w:hAnsi="Arial" w:cs="Arial"/>
          <w:b/>
          <w:bCs/>
          <w:sz w:val="20"/>
          <w:szCs w:val="20"/>
        </w:rPr>
      </w:pPr>
    </w:p>
    <w:p w:rsidR="00421257" w:rsidRPr="00AC4AEA" w:rsidRDefault="00421257" w:rsidP="00A318EA">
      <w:pPr>
        <w:pStyle w:val="Ttulo3"/>
      </w:pPr>
      <w:bookmarkStart w:id="1152" w:name="_Toc139357008"/>
      <w:r w:rsidRPr="00AC4AEA">
        <w:t>Comparación con el valor recuperable</w:t>
      </w:r>
      <w:bookmarkEnd w:id="1152"/>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53" w:name="_Ref132051312"/>
      <w:r w:rsidRPr="00AC4AEA">
        <w:rPr>
          <w:rFonts w:ascii="Arial" w:hAnsi="Arial" w:cs="Arial"/>
          <w:sz w:val="20"/>
          <w:szCs w:val="20"/>
        </w:rPr>
        <w:t>A los fines de determinar la necesidad de comparar la medición contable de las participaciones dentro del alcance de esta sección con su valor recuperable, una entidad considerará, entre otros, los siguientes indicios de deterioro:</w:t>
      </w:r>
      <w:bookmarkEnd w:id="1153"/>
      <w:r w:rsidRPr="00AC4AEA">
        <w:rPr>
          <w:rFonts w:ascii="Arial" w:hAnsi="Arial" w:cs="Arial"/>
          <w:sz w:val="20"/>
          <w:szCs w:val="20"/>
        </w:rPr>
        <w:t xml:space="preserve"> </w:t>
      </w:r>
    </w:p>
    <w:p w:rsidR="00421257" w:rsidRPr="00AC4AEA" w:rsidRDefault="00491085" w:rsidP="00C01B25">
      <w:pPr>
        <w:pStyle w:val="NUA-Nivel1"/>
        <w:numPr>
          <w:ilvl w:val="0"/>
          <w:numId w:val="611"/>
        </w:numPr>
        <w:ind w:left="1418" w:hanging="425"/>
      </w:pPr>
      <w:r w:rsidRPr="00AC4AEA">
        <w:t>D</w:t>
      </w:r>
      <w:r w:rsidR="00421257" w:rsidRPr="00AC4AEA">
        <w:t xml:space="preserve">ificultades financieras significativas de la </w:t>
      </w:r>
      <w:r w:rsidR="00864398" w:rsidRPr="00AC4AEA">
        <w:t xml:space="preserve">subsidiaria, </w:t>
      </w:r>
      <w:r w:rsidR="00421257" w:rsidRPr="00AC4AEA">
        <w:t>asociada o negocio conjunto</w:t>
      </w:r>
      <w:r w:rsidRPr="00AC4AEA">
        <w:t xml:space="preserve"> societario.</w:t>
      </w:r>
      <w:r w:rsidR="00421257" w:rsidRPr="00AC4AEA">
        <w:t xml:space="preserve"> </w:t>
      </w:r>
    </w:p>
    <w:p w:rsidR="00421257" w:rsidRPr="00AC4AEA" w:rsidRDefault="00491085" w:rsidP="00C01B25">
      <w:pPr>
        <w:pStyle w:val="NUA-Nivel1"/>
        <w:numPr>
          <w:ilvl w:val="0"/>
          <w:numId w:val="611"/>
        </w:numPr>
        <w:ind w:left="1418" w:hanging="425"/>
      </w:pPr>
      <w:r w:rsidRPr="00AC4AEA">
        <w:lastRenderedPageBreak/>
        <w:t>I</w:t>
      </w:r>
      <w:r w:rsidR="00421257" w:rsidRPr="00AC4AEA">
        <w:t xml:space="preserve">nfracciones </w:t>
      </w:r>
      <w:r w:rsidR="00151BAB">
        <w:t>contractuales</w:t>
      </w:r>
      <w:r w:rsidR="006A0AB3">
        <w:t xml:space="preserve"> en general</w:t>
      </w:r>
      <w:r w:rsidR="00421257" w:rsidRPr="00AC4AEA">
        <w:t>,</w:t>
      </w:r>
      <w:r w:rsidR="00151BAB">
        <w:t xml:space="preserve"> </w:t>
      </w:r>
      <w:r w:rsidR="00421257" w:rsidRPr="00AC4AEA">
        <w:t xml:space="preserve">tales como incumplimientos o demoras en el pago por parte de la </w:t>
      </w:r>
      <w:r w:rsidR="00864398" w:rsidRPr="00AC4AEA">
        <w:t xml:space="preserve">subsidiaria, </w:t>
      </w:r>
      <w:r w:rsidR="00421257" w:rsidRPr="00AC4AEA">
        <w:t>asociada o negocio conjunto</w:t>
      </w:r>
      <w:r w:rsidRPr="00AC4AEA">
        <w:t xml:space="preserve"> societario.</w:t>
      </w:r>
      <w:r w:rsidR="00421257" w:rsidRPr="00AC4AEA">
        <w:t xml:space="preserve"> </w:t>
      </w:r>
    </w:p>
    <w:p w:rsidR="00421257" w:rsidRPr="00AC4AEA" w:rsidRDefault="00491085" w:rsidP="00C01B25">
      <w:pPr>
        <w:pStyle w:val="NUA-Nivel1"/>
        <w:numPr>
          <w:ilvl w:val="0"/>
          <w:numId w:val="611"/>
        </w:numPr>
        <w:ind w:left="1418" w:hanging="425"/>
      </w:pPr>
      <w:r w:rsidRPr="00AC4AEA">
        <w:t>L</w:t>
      </w:r>
      <w:r w:rsidR="00421257" w:rsidRPr="00AC4AEA">
        <w:t xml:space="preserve">a entidad, por razones económicas o legales relacionadas con dificultades financieras de su </w:t>
      </w:r>
      <w:r w:rsidR="00864398" w:rsidRPr="00AC4AEA">
        <w:t xml:space="preserve">subsidiaria, </w:t>
      </w:r>
      <w:r w:rsidR="00421257" w:rsidRPr="00AC4AEA">
        <w:t>asociada o negocio conjunto</w:t>
      </w:r>
      <w:r w:rsidRPr="00AC4AEA">
        <w:t xml:space="preserve"> societario</w:t>
      </w:r>
      <w:r w:rsidR="00421257" w:rsidRPr="00AC4AEA">
        <w:t>, otorga a éstos concesiones que no le habría otorgado en otras circunstancias</w:t>
      </w:r>
      <w:r w:rsidRPr="00AC4AEA">
        <w:t>.</w:t>
      </w:r>
      <w:r w:rsidR="00421257" w:rsidRPr="00AC4AEA">
        <w:t xml:space="preserve"> </w:t>
      </w:r>
    </w:p>
    <w:p w:rsidR="00421257" w:rsidRPr="00AC4AEA" w:rsidRDefault="00864398" w:rsidP="00C01B25">
      <w:pPr>
        <w:pStyle w:val="NUA-Nivel1"/>
        <w:numPr>
          <w:ilvl w:val="0"/>
          <w:numId w:val="611"/>
        </w:numPr>
        <w:ind w:left="1418" w:hanging="425"/>
      </w:pPr>
      <w:r w:rsidRPr="00AC4AEA">
        <w:t>S</w:t>
      </w:r>
      <w:r w:rsidR="00421257" w:rsidRPr="00AC4AEA">
        <w:t xml:space="preserve">ea </w:t>
      </w:r>
      <w:r w:rsidR="00421257" w:rsidRPr="004E1215">
        <w:rPr>
          <w:b/>
          <w:bCs/>
        </w:rPr>
        <w:t>probable</w:t>
      </w:r>
      <w:r w:rsidR="00421257" w:rsidRPr="00AC4AEA">
        <w:t xml:space="preserve"> que la </w:t>
      </w:r>
      <w:r w:rsidRPr="00AC4AEA">
        <w:t xml:space="preserve">subsidiaria, </w:t>
      </w:r>
      <w:r w:rsidR="00421257" w:rsidRPr="00AC4AEA">
        <w:t xml:space="preserve">asociada o negocio conjunto </w:t>
      </w:r>
      <w:r w:rsidRPr="00AC4AEA">
        <w:t xml:space="preserve">societario </w:t>
      </w:r>
      <w:r w:rsidR="00421257" w:rsidRPr="00AC4AEA">
        <w:t>entren en quiebra o en otra forma de reorganización financiera</w:t>
      </w:r>
      <w:r w:rsidRPr="00AC4AEA">
        <w:t>.</w:t>
      </w:r>
      <w:r w:rsidR="00421257" w:rsidRPr="00AC4AEA">
        <w:t xml:space="preserve"> </w:t>
      </w:r>
    </w:p>
    <w:p w:rsidR="00421257" w:rsidRPr="00AC4AEA" w:rsidRDefault="00864398" w:rsidP="00C01B25">
      <w:pPr>
        <w:pStyle w:val="NUA-Nivel1"/>
        <w:numPr>
          <w:ilvl w:val="0"/>
          <w:numId w:val="611"/>
        </w:numPr>
        <w:ind w:left="1418" w:hanging="425"/>
      </w:pPr>
      <w:r w:rsidRPr="00AC4AEA">
        <w:t>L</w:t>
      </w:r>
      <w:r w:rsidR="00421257" w:rsidRPr="00AC4AEA">
        <w:t xml:space="preserve">a desaparición de un </w:t>
      </w:r>
      <w:r w:rsidR="00421257" w:rsidRPr="002A73C3">
        <w:rPr>
          <w:b/>
          <w:bCs/>
        </w:rPr>
        <w:t>mercado activo</w:t>
      </w:r>
      <w:r w:rsidR="00421257" w:rsidRPr="00AC4AEA">
        <w:t xml:space="preserve"> para la inversión neta debido a dificultades financieras de la </w:t>
      </w:r>
      <w:r w:rsidRPr="00AC4AEA">
        <w:t xml:space="preserve">subsidiaria, </w:t>
      </w:r>
      <w:r w:rsidR="00421257" w:rsidRPr="00AC4AEA">
        <w:t>asociada o negocio conjunto</w:t>
      </w:r>
      <w:r w:rsidR="00A56B63" w:rsidRPr="00AC4AEA">
        <w:t xml:space="preserve"> societario</w:t>
      </w:r>
      <w:r w:rsidR="00421257"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bookmarkStart w:id="1154" w:name="_Ref132051316"/>
      <w:r w:rsidRPr="00AC4AEA">
        <w:rPr>
          <w:rFonts w:ascii="Arial" w:hAnsi="Arial" w:cs="Arial"/>
          <w:sz w:val="20"/>
          <w:szCs w:val="20"/>
        </w:rPr>
        <w:t>Cuando existan indicios de que una participación dentro del alcance de esta sección pudiera estar deteriorada de conformidad con el párrafo anterior, una entidad aplicará lo establecido en la sección “</w:t>
      </w:r>
      <w:r w:rsidRPr="00AC4AEA">
        <w:rPr>
          <w:rFonts w:ascii="Arial" w:hAnsi="Arial" w:cs="Arial"/>
          <w:sz w:val="20"/>
          <w:szCs w:val="20"/>
          <w:u w:val="single" w:color="000000"/>
        </w:rPr>
        <w:t>Comparación de la medición de ciertos activos con su</w:t>
      </w:r>
      <w:r w:rsidRPr="00AC4AEA">
        <w:rPr>
          <w:rFonts w:ascii="Arial" w:hAnsi="Arial" w:cs="Arial"/>
          <w:sz w:val="20"/>
          <w:szCs w:val="20"/>
        </w:rPr>
        <w:t xml:space="preserve"> </w:t>
      </w:r>
      <w:r w:rsidRPr="00AC4AEA">
        <w:rPr>
          <w:rFonts w:ascii="Arial" w:hAnsi="Arial" w:cs="Arial"/>
          <w:sz w:val="20"/>
          <w:szCs w:val="20"/>
          <w:u w:val="single" w:color="000000"/>
        </w:rPr>
        <w:t>valor recuperable</w:t>
      </w:r>
      <w:r w:rsidRPr="00AC4AEA">
        <w:rPr>
          <w:rFonts w:ascii="Arial" w:hAnsi="Arial" w:cs="Arial"/>
          <w:sz w:val="20"/>
          <w:szCs w:val="20"/>
        </w:rPr>
        <w:t xml:space="preserve">” [ver los párrafos </w:t>
      </w:r>
      <w:fldSimple w:instr=" REF _Ref99481071 \r \h  \* MERGEFORMAT ">
        <w:r w:rsidR="00D33A5D" w:rsidRPr="00D33A5D">
          <w:rPr>
            <w:rFonts w:ascii="Arial" w:hAnsi="Arial" w:cs="Arial"/>
            <w:sz w:val="20"/>
            <w:szCs w:val="20"/>
          </w:rPr>
          <w:t>145</w:t>
        </w:r>
      </w:fldSimple>
      <w:r w:rsidR="00A56B63" w:rsidRPr="00AC4AEA">
        <w:rPr>
          <w:rFonts w:ascii="Arial" w:hAnsi="Arial" w:cs="Arial"/>
          <w:sz w:val="20"/>
          <w:szCs w:val="20"/>
        </w:rPr>
        <w:t xml:space="preserve"> a </w:t>
      </w:r>
      <w:fldSimple w:instr=" REF _Ref99481072 \r \h  \* MERGEFORMAT ">
        <w:r w:rsidR="00D33A5D" w:rsidRPr="00D33A5D">
          <w:rPr>
            <w:rFonts w:ascii="Arial" w:hAnsi="Arial" w:cs="Arial"/>
            <w:sz w:val="20"/>
            <w:szCs w:val="20"/>
          </w:rPr>
          <w:t>175</w:t>
        </w:r>
      </w:fldSimple>
      <w:r w:rsidRPr="00AC4AEA">
        <w:rPr>
          <w:rFonts w:ascii="Arial" w:hAnsi="Arial" w:cs="Arial"/>
          <w:sz w:val="20"/>
          <w:szCs w:val="20"/>
        </w:rPr>
        <w:t>].</w:t>
      </w:r>
      <w:bookmarkEnd w:id="1154"/>
      <w:r w:rsidRPr="00AC4AEA">
        <w:rPr>
          <w:rFonts w:ascii="Arial" w:hAnsi="Arial" w:cs="Arial"/>
          <w:sz w:val="20"/>
          <w:szCs w:val="20"/>
        </w:rPr>
        <w:t xml:space="preserve"> </w:t>
      </w:r>
    </w:p>
    <w:p w:rsidR="00421257" w:rsidRPr="00AC4AEA" w:rsidRDefault="00421257" w:rsidP="00A318EA">
      <w:pPr>
        <w:spacing w:after="13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55" w:name="_Toc139357009"/>
      <w:r w:rsidRPr="00AC4AEA">
        <w:t xml:space="preserve">Discontinuación </w:t>
      </w:r>
      <w:r w:rsidR="00537A88" w:rsidRPr="00AC4AEA">
        <w:t>en</w:t>
      </w:r>
      <w:r w:rsidRPr="00AC4AEA">
        <w:t xml:space="preserve"> la aplicación del método del valor patrimonial proporcional</w:t>
      </w:r>
      <w:bookmarkEnd w:id="1155"/>
      <w:r w:rsidRPr="00AC4AEA">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 inversor interrumpirá la aplicación del método del </w:t>
      </w:r>
      <w:r w:rsidRPr="00050219">
        <w:rPr>
          <w:rFonts w:ascii="Arial" w:hAnsi="Arial" w:cs="Arial"/>
          <w:b/>
          <w:bCs/>
          <w:sz w:val="20"/>
          <w:szCs w:val="20"/>
        </w:rPr>
        <w:t>valor patrimonial proporcional</w:t>
      </w:r>
      <w:r w:rsidRPr="00AC4AEA">
        <w:rPr>
          <w:rFonts w:ascii="Arial" w:hAnsi="Arial" w:cs="Arial"/>
          <w:sz w:val="20"/>
          <w:szCs w:val="20"/>
        </w:rPr>
        <w:t xml:space="preserve"> a partir de la fecha en que, como consecuencia de una venta parcial o por otras circunstancias, la inversión deje de cumplir las condiciones para </w:t>
      </w:r>
      <w:r w:rsidR="00864398" w:rsidRPr="00AC4AEA">
        <w:rPr>
          <w:rFonts w:ascii="Arial" w:hAnsi="Arial" w:cs="Arial"/>
          <w:sz w:val="20"/>
          <w:szCs w:val="20"/>
        </w:rPr>
        <w:t>ser medida de acuerdo con este</w:t>
      </w:r>
      <w:r w:rsidRPr="00AC4AEA">
        <w:rPr>
          <w:rFonts w:ascii="Arial" w:hAnsi="Arial" w:cs="Arial"/>
          <w:sz w:val="20"/>
          <w:szCs w:val="20"/>
        </w:rPr>
        <w:t xml:space="preserve"> método.</w:t>
      </w:r>
      <w:r w:rsidR="006F2C57">
        <w:rPr>
          <w:rFonts w:ascii="Arial" w:hAnsi="Arial" w:cs="Arial"/>
          <w:sz w:val="20"/>
          <w:szCs w:val="20"/>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Cuando interrumpa el uso del método del </w:t>
      </w:r>
      <w:r w:rsidRPr="00050219">
        <w:rPr>
          <w:rFonts w:ascii="Arial" w:hAnsi="Arial" w:cs="Arial"/>
          <w:b/>
          <w:bCs/>
          <w:sz w:val="20"/>
          <w:szCs w:val="20"/>
        </w:rPr>
        <w:t>valor patrimonial proporcional</w:t>
      </w:r>
      <w:r w:rsidRPr="00AC4AEA">
        <w:rPr>
          <w:rFonts w:ascii="Arial" w:hAnsi="Arial" w:cs="Arial"/>
          <w:sz w:val="20"/>
          <w:szCs w:val="20"/>
        </w:rPr>
        <w:t xml:space="preserve">, una entidad transferirá al resultado del ejercicio todos los importes acumulados como </w:t>
      </w:r>
      <w:r w:rsidRPr="00AC4AEA">
        <w:rPr>
          <w:rFonts w:ascii="Arial" w:hAnsi="Arial" w:cs="Arial"/>
          <w:b/>
          <w:bCs/>
          <w:sz w:val="20"/>
          <w:szCs w:val="20"/>
        </w:rPr>
        <w:t>resultados diferidos</w:t>
      </w:r>
      <w:r w:rsidRPr="00AC4AEA">
        <w:rPr>
          <w:rFonts w:ascii="Arial" w:hAnsi="Arial" w:cs="Arial"/>
          <w:sz w:val="20"/>
          <w:szCs w:val="20"/>
        </w:rPr>
        <w:t xml:space="preserve"> originados por esta inversión</w:t>
      </w:r>
      <w:r w:rsidR="00AA4F1B" w:rsidRPr="00AC4AEA">
        <w:rPr>
          <w:rFonts w:ascii="Arial" w:hAnsi="Arial" w:cs="Arial"/>
          <w:sz w:val="20"/>
          <w:szCs w:val="20"/>
        </w:rPr>
        <w:t xml:space="preserve"> que sean objeto de reclasificación, de acuerdo con esta Resolución Técnica u </w:t>
      </w:r>
      <w:r w:rsidR="00AA4F1B" w:rsidRPr="00AC4AEA">
        <w:rPr>
          <w:rFonts w:ascii="Arial" w:hAnsi="Arial" w:cs="Arial"/>
          <w:b/>
          <w:bCs/>
          <w:sz w:val="20"/>
          <w:szCs w:val="20"/>
        </w:rPr>
        <w:t>otras normas contables</w:t>
      </w:r>
      <w:r w:rsidRPr="00AC4AEA">
        <w:rPr>
          <w:rFonts w:ascii="Arial" w:hAnsi="Arial" w:cs="Arial"/>
          <w:sz w:val="20"/>
          <w:szCs w:val="20"/>
        </w:rPr>
        <w:t xml:space="preserve">. </w:t>
      </w:r>
    </w:p>
    <w:p w:rsidR="00421257" w:rsidRPr="00AC4AEA" w:rsidRDefault="00421257" w:rsidP="00A318EA">
      <w:pPr>
        <w:spacing w:after="153"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56" w:name="_Toc139357010"/>
      <w:r w:rsidRPr="00AC4AEA">
        <w:rPr>
          <w:rFonts w:cs="Arial"/>
        </w:rPr>
        <w:t>Baja en cuentas</w:t>
      </w:r>
      <w:bookmarkEnd w:id="1156"/>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r w:rsidRPr="00AC4AEA">
        <w:rPr>
          <w:rFonts w:ascii="Arial" w:hAnsi="Arial" w:cs="Arial"/>
          <w:sz w:val="20"/>
          <w:szCs w:val="20"/>
        </w:rPr>
        <w:t>Si se vende total o parcialmente la inversión, y esta deja de cumplir con la definición de inversión en subsidiaria, asociada o negocio conjunto</w:t>
      </w:r>
      <w:r w:rsidR="00AA4F1B" w:rsidRPr="00AC4AEA">
        <w:rPr>
          <w:rFonts w:ascii="Arial" w:hAnsi="Arial" w:cs="Arial"/>
          <w:sz w:val="20"/>
          <w:szCs w:val="20"/>
        </w:rPr>
        <w:t xml:space="preserve"> societario</w:t>
      </w:r>
      <w:r w:rsidRPr="00AC4AEA">
        <w:rPr>
          <w:rFonts w:ascii="Arial" w:hAnsi="Arial" w:cs="Arial"/>
          <w:sz w:val="20"/>
          <w:szCs w:val="20"/>
        </w:rPr>
        <w:t xml:space="preserve">, una entidad reconocerá el resultado por la venta. Para tal fin: </w:t>
      </w:r>
    </w:p>
    <w:p w:rsidR="00421257" w:rsidRPr="00AC4AEA" w:rsidRDefault="00421257" w:rsidP="00C01B25">
      <w:pPr>
        <w:pStyle w:val="NUA-Nivel1"/>
        <w:numPr>
          <w:ilvl w:val="0"/>
          <w:numId w:val="612"/>
        </w:numPr>
        <w:ind w:left="1418" w:hanging="425"/>
      </w:pPr>
      <w:r w:rsidRPr="00AC4AEA">
        <w:t xml:space="preserve">reclasificará a resultados los importes contenidos en </w:t>
      </w:r>
      <w:r w:rsidRPr="00AC4AEA">
        <w:rPr>
          <w:b/>
          <w:bCs/>
        </w:rPr>
        <w:t>resultados diferidos</w:t>
      </w:r>
      <w:r w:rsidRPr="00AC4AEA">
        <w:t xml:space="preserve"> acumulados que hayan sido generados por esta inversión (por ejemplo, diferencias de conversión); y </w:t>
      </w:r>
    </w:p>
    <w:p w:rsidR="00421257" w:rsidRPr="00AC4AEA" w:rsidRDefault="00421257" w:rsidP="00C01B25">
      <w:pPr>
        <w:pStyle w:val="NUA-Nivel1"/>
        <w:numPr>
          <w:ilvl w:val="0"/>
          <w:numId w:val="612"/>
        </w:numPr>
        <w:ind w:left="1418" w:hanging="425"/>
      </w:pPr>
      <w:r w:rsidRPr="00AC4AEA">
        <w:t xml:space="preserve">deducirá del precio de venta: </w:t>
      </w:r>
    </w:p>
    <w:p w:rsidR="00421257" w:rsidRPr="00AC4AEA" w:rsidRDefault="002A3C61" w:rsidP="00C01B25">
      <w:pPr>
        <w:pStyle w:val="Prrafodelista"/>
        <w:numPr>
          <w:ilvl w:val="0"/>
          <w:numId w:val="543"/>
        </w:numPr>
        <w:ind w:left="1985" w:hanging="218"/>
        <w:contextualSpacing w:val="0"/>
        <w:jc w:val="both"/>
        <w:rPr>
          <w:rFonts w:ascii="Arial" w:hAnsi="Arial" w:cs="Arial"/>
          <w:sz w:val="20"/>
          <w:szCs w:val="20"/>
        </w:rPr>
      </w:pPr>
      <w:r w:rsidRPr="00AC4AEA">
        <w:rPr>
          <w:rFonts w:ascii="Arial" w:hAnsi="Arial" w:cs="Arial"/>
          <w:sz w:val="20"/>
          <w:szCs w:val="20"/>
        </w:rPr>
        <w:t xml:space="preserve">el </w:t>
      </w:r>
      <w:r w:rsidR="00421257" w:rsidRPr="00AC4AEA">
        <w:rPr>
          <w:rFonts w:ascii="Arial" w:hAnsi="Arial" w:cs="Arial"/>
          <w:sz w:val="20"/>
          <w:szCs w:val="20"/>
        </w:rPr>
        <w:t xml:space="preserve">valor de la inversión al momento de la venta; y </w:t>
      </w:r>
    </w:p>
    <w:p w:rsidR="00421257" w:rsidRPr="00AC4AEA" w:rsidRDefault="00421257" w:rsidP="00C01B25">
      <w:pPr>
        <w:pStyle w:val="Prrafodelista"/>
        <w:numPr>
          <w:ilvl w:val="0"/>
          <w:numId w:val="543"/>
        </w:numPr>
        <w:ind w:left="1985" w:hanging="218"/>
        <w:contextualSpacing w:val="0"/>
        <w:jc w:val="both"/>
        <w:rPr>
          <w:rFonts w:ascii="Arial" w:hAnsi="Arial" w:cs="Arial"/>
          <w:sz w:val="20"/>
          <w:szCs w:val="20"/>
        </w:rPr>
      </w:pPr>
      <w:r w:rsidRPr="00AC4AEA">
        <w:rPr>
          <w:rFonts w:ascii="Arial" w:hAnsi="Arial" w:cs="Arial"/>
          <w:sz w:val="20"/>
          <w:szCs w:val="20"/>
        </w:rPr>
        <w:t xml:space="preserve">los importes reclasificados según lo establecido en el inciso a). </w:t>
      </w:r>
    </w:p>
    <w:p w:rsidR="00421257" w:rsidRPr="004E07AE" w:rsidRDefault="00421257" w:rsidP="000A0BD3">
      <w:pPr>
        <w:numPr>
          <w:ilvl w:val="0"/>
          <w:numId w:val="29"/>
        </w:numPr>
        <w:spacing w:after="147" w:line="264" w:lineRule="auto"/>
        <w:jc w:val="both"/>
        <w:rPr>
          <w:rFonts w:ascii="Arial" w:hAnsi="Arial" w:cs="Arial"/>
          <w:sz w:val="20"/>
          <w:szCs w:val="20"/>
        </w:rPr>
      </w:pPr>
      <w:r w:rsidRPr="004E07AE">
        <w:rPr>
          <w:rFonts w:ascii="Arial" w:hAnsi="Arial" w:cs="Arial"/>
          <w:sz w:val="20"/>
          <w:szCs w:val="20"/>
        </w:rPr>
        <w:t xml:space="preserve">En los casos </w:t>
      </w:r>
      <w:r w:rsidR="00B251F1" w:rsidRPr="004E07AE">
        <w:rPr>
          <w:rFonts w:ascii="Arial" w:hAnsi="Arial" w:cs="Arial"/>
          <w:sz w:val="20"/>
          <w:szCs w:val="20"/>
        </w:rPr>
        <w:t xml:space="preserve">en </w:t>
      </w:r>
      <w:r w:rsidRPr="004E07AE">
        <w:rPr>
          <w:rFonts w:ascii="Arial" w:hAnsi="Arial" w:cs="Arial"/>
          <w:sz w:val="20"/>
          <w:szCs w:val="20"/>
        </w:rPr>
        <w:t xml:space="preserve">que la inversión se reduzca, pero continúe clasificándose como inversión en subsidiaria, asociada o negocio conjunto, una entidad controladora reconocerá el resultado por la venta. Para tal fin: </w:t>
      </w:r>
    </w:p>
    <w:p w:rsidR="00421257" w:rsidRPr="004E07AE" w:rsidRDefault="00421257" w:rsidP="00C01B25">
      <w:pPr>
        <w:pStyle w:val="NUA-Nivel1"/>
        <w:numPr>
          <w:ilvl w:val="0"/>
          <w:numId w:val="613"/>
        </w:numPr>
        <w:ind w:left="1560" w:hanging="567"/>
      </w:pPr>
      <w:r w:rsidRPr="004E07AE">
        <w:lastRenderedPageBreak/>
        <w:t xml:space="preserve">reclasificará a resultados los importes contenidos en resultados diferidos acumulados que hayan sido generados por esta inversión, en la proporción vendida; y </w:t>
      </w:r>
    </w:p>
    <w:p w:rsidR="00421257" w:rsidRPr="004E07AE" w:rsidRDefault="00421257" w:rsidP="00C01B25">
      <w:pPr>
        <w:pStyle w:val="NUA-Nivel1"/>
        <w:numPr>
          <w:ilvl w:val="0"/>
          <w:numId w:val="613"/>
        </w:numPr>
        <w:ind w:left="1560" w:hanging="567"/>
      </w:pPr>
      <w:r w:rsidRPr="004E07AE">
        <w:t xml:space="preserve">deducirá del precio de venta: </w:t>
      </w:r>
    </w:p>
    <w:p w:rsidR="00421257" w:rsidRPr="004E07AE" w:rsidRDefault="00421257" w:rsidP="00C01B25">
      <w:pPr>
        <w:numPr>
          <w:ilvl w:val="0"/>
          <w:numId w:val="532"/>
        </w:numPr>
        <w:spacing w:after="147" w:line="264" w:lineRule="auto"/>
        <w:ind w:left="2127" w:hanging="255"/>
        <w:jc w:val="both"/>
        <w:rPr>
          <w:rFonts w:ascii="Arial" w:hAnsi="Arial" w:cs="Arial"/>
          <w:sz w:val="20"/>
          <w:szCs w:val="20"/>
        </w:rPr>
      </w:pPr>
      <w:r w:rsidRPr="004E07AE">
        <w:rPr>
          <w:rFonts w:ascii="Arial" w:hAnsi="Arial" w:cs="Arial"/>
          <w:sz w:val="20"/>
          <w:szCs w:val="20"/>
        </w:rPr>
        <w:t xml:space="preserve">el valor de la inversión al momento de la venta; y </w:t>
      </w:r>
    </w:p>
    <w:p w:rsidR="00421257" w:rsidRPr="004E07AE" w:rsidRDefault="00421257" w:rsidP="00C01B25">
      <w:pPr>
        <w:numPr>
          <w:ilvl w:val="0"/>
          <w:numId w:val="532"/>
        </w:numPr>
        <w:spacing w:after="147" w:line="264" w:lineRule="auto"/>
        <w:ind w:left="2127" w:hanging="255"/>
        <w:jc w:val="both"/>
        <w:rPr>
          <w:rFonts w:ascii="Arial" w:hAnsi="Arial" w:cs="Arial"/>
          <w:sz w:val="20"/>
          <w:szCs w:val="20"/>
        </w:rPr>
      </w:pPr>
      <w:r w:rsidRPr="004E07AE">
        <w:rPr>
          <w:rFonts w:ascii="Arial" w:hAnsi="Arial" w:cs="Arial"/>
          <w:sz w:val="20"/>
          <w:szCs w:val="20"/>
        </w:rPr>
        <w:t xml:space="preserve">los importes reclasificados según lo establecido en el inciso a). </w:t>
      </w:r>
    </w:p>
    <w:p w:rsidR="00421257" w:rsidRPr="00AC4AEA" w:rsidRDefault="00421257" w:rsidP="00A318EA">
      <w:pPr>
        <w:spacing w:after="13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57" w:name="_Toc139357011"/>
      <w:r w:rsidRPr="00AC4AEA">
        <w:rPr>
          <w:rFonts w:cs="Arial"/>
        </w:rPr>
        <w:t>Presentación en los estados contables</w:t>
      </w:r>
      <w:bookmarkEnd w:id="1157"/>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r w:rsidRPr="00AC4AEA">
        <w:rPr>
          <w:rFonts w:ascii="Arial" w:hAnsi="Arial" w:cs="Arial"/>
          <w:sz w:val="20"/>
          <w:szCs w:val="20"/>
        </w:rPr>
        <w:t xml:space="preserve">Una entidad presentará: </w:t>
      </w:r>
    </w:p>
    <w:p w:rsidR="00421257" w:rsidRPr="00AC4AEA" w:rsidRDefault="00421257" w:rsidP="00C01B25">
      <w:pPr>
        <w:pStyle w:val="NUA-Nivel1"/>
        <w:numPr>
          <w:ilvl w:val="0"/>
          <w:numId w:val="614"/>
        </w:numPr>
        <w:ind w:left="1418" w:hanging="425"/>
      </w:pPr>
      <w:r w:rsidRPr="00AC4AEA">
        <w:t xml:space="preserve">En el estado de situación patrimonial, el saldo de participaciones en subsidiarias, negocios conjuntos </w:t>
      </w:r>
      <w:r w:rsidR="000F01BF" w:rsidRPr="00AC4AEA">
        <w:t xml:space="preserve">societarios </w:t>
      </w:r>
      <w:r w:rsidRPr="00AC4AEA">
        <w:t xml:space="preserve">y asociadas como un activo no corriente. </w:t>
      </w:r>
    </w:p>
    <w:p w:rsidR="00421257" w:rsidRPr="00AC4AEA" w:rsidRDefault="00421257" w:rsidP="00C01B25">
      <w:pPr>
        <w:pStyle w:val="NUA-Nivel1"/>
        <w:numPr>
          <w:ilvl w:val="0"/>
          <w:numId w:val="614"/>
        </w:numPr>
        <w:ind w:left="1418" w:hanging="425"/>
      </w:pPr>
      <w:r w:rsidRPr="00AC4AEA">
        <w:t>En el estado de resultados:</w:t>
      </w:r>
      <w:r w:rsidR="006F2C57">
        <w:t xml:space="preserve"> </w:t>
      </w:r>
    </w:p>
    <w:p w:rsidR="00421257" w:rsidRPr="00AC4AEA" w:rsidRDefault="00421257" w:rsidP="00C01B25">
      <w:pPr>
        <w:numPr>
          <w:ilvl w:val="0"/>
          <w:numId w:val="544"/>
        </w:numPr>
        <w:spacing w:after="147" w:line="264" w:lineRule="auto"/>
        <w:ind w:left="2127" w:hanging="255"/>
        <w:jc w:val="both"/>
        <w:rPr>
          <w:rFonts w:ascii="Arial" w:hAnsi="Arial" w:cs="Arial"/>
          <w:sz w:val="20"/>
          <w:szCs w:val="20"/>
        </w:rPr>
      </w:pPr>
      <w:r w:rsidRPr="00AC4AEA">
        <w:rPr>
          <w:rFonts w:ascii="Arial" w:hAnsi="Arial" w:cs="Arial"/>
          <w:sz w:val="20"/>
          <w:szCs w:val="20"/>
        </w:rPr>
        <w:t>el resultado por participación en subsidiarias, negocios conjuntos</w:t>
      </w:r>
      <w:r w:rsidR="000F01BF" w:rsidRPr="00AC4AEA">
        <w:rPr>
          <w:rFonts w:ascii="Arial" w:hAnsi="Arial" w:cs="Arial"/>
          <w:sz w:val="20"/>
          <w:szCs w:val="20"/>
        </w:rPr>
        <w:t xml:space="preserve"> societarios</w:t>
      </w:r>
      <w:r w:rsidRPr="00AC4AEA">
        <w:rPr>
          <w:rFonts w:ascii="Arial" w:hAnsi="Arial" w:cs="Arial"/>
          <w:sz w:val="20"/>
          <w:szCs w:val="20"/>
        </w:rPr>
        <w:t xml:space="preserve"> y asociadas bajo un título específico; </w:t>
      </w:r>
    </w:p>
    <w:p w:rsidR="00421257" w:rsidRPr="00AC4AEA" w:rsidRDefault="00421257" w:rsidP="00C01B25">
      <w:pPr>
        <w:numPr>
          <w:ilvl w:val="0"/>
          <w:numId w:val="544"/>
        </w:numPr>
        <w:spacing w:after="147" w:line="264" w:lineRule="auto"/>
        <w:ind w:left="2127" w:hanging="255"/>
        <w:jc w:val="both"/>
        <w:rPr>
          <w:rFonts w:ascii="Arial" w:hAnsi="Arial" w:cs="Arial"/>
          <w:sz w:val="20"/>
          <w:szCs w:val="20"/>
        </w:rPr>
      </w:pPr>
      <w:r w:rsidRPr="00AC4AEA">
        <w:rPr>
          <w:rFonts w:ascii="Arial" w:hAnsi="Arial" w:cs="Arial"/>
          <w:sz w:val="20"/>
          <w:szCs w:val="20"/>
        </w:rPr>
        <w:t xml:space="preserve">las </w:t>
      </w:r>
      <w:r w:rsidRPr="008826C7">
        <w:rPr>
          <w:rFonts w:ascii="Arial" w:hAnsi="Arial" w:cs="Arial"/>
          <w:b/>
          <w:bCs/>
          <w:sz w:val="20"/>
          <w:szCs w:val="20"/>
        </w:rPr>
        <w:t>pérdidas por desvalorización</w:t>
      </w:r>
      <w:r w:rsidRPr="00AC4AEA">
        <w:rPr>
          <w:rFonts w:ascii="Arial" w:hAnsi="Arial" w:cs="Arial"/>
          <w:sz w:val="20"/>
          <w:szCs w:val="20"/>
        </w:rPr>
        <w:t xml:space="preserve"> y las reversiones de dichas pérdidas bajo un título específico. </w:t>
      </w:r>
    </w:p>
    <w:p w:rsidR="00421257" w:rsidRPr="00AC4AEA" w:rsidRDefault="00421257" w:rsidP="00C01B25">
      <w:pPr>
        <w:pStyle w:val="NUA-Nivel1"/>
        <w:numPr>
          <w:ilvl w:val="0"/>
          <w:numId w:val="614"/>
        </w:numPr>
        <w:ind w:left="1418" w:hanging="425"/>
      </w:pPr>
      <w:r w:rsidRPr="00AC4AEA">
        <w:t xml:space="preserve">En el estado de evolución del patrimonio neto, por separado, su participación en los </w:t>
      </w:r>
      <w:r w:rsidRPr="00AC4AEA">
        <w:rPr>
          <w:b/>
          <w:bCs/>
        </w:rPr>
        <w:t>resultados diferidos</w:t>
      </w:r>
      <w:r w:rsidRPr="00AC4AEA">
        <w:t xml:space="preserve"> de sus inversiones en subsidiarias, asociadas y negocios conjuntos</w:t>
      </w:r>
      <w:r w:rsidR="000F01BF" w:rsidRPr="00AC4AEA">
        <w:t xml:space="preserve"> societarios</w:t>
      </w:r>
      <w:r w:rsidRPr="00AC4AEA">
        <w:t xml:space="preserve">. </w:t>
      </w:r>
    </w:p>
    <w:p w:rsidR="00421257" w:rsidRPr="00AC4AEA" w:rsidRDefault="00421257" w:rsidP="00A318EA">
      <w:pPr>
        <w:spacing w:after="150" w:line="256" w:lineRule="auto"/>
        <w:ind w:left="677"/>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58" w:name="_Toc139357012"/>
      <w:r w:rsidRPr="00AC4AEA">
        <w:rPr>
          <w:rFonts w:cs="Arial"/>
        </w:rPr>
        <w:t>Revelación en notas</w:t>
      </w:r>
      <w:bookmarkEnd w:id="1158"/>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bookmarkStart w:id="1159" w:name="_Ref132050929"/>
      <w:r w:rsidRPr="00AC4AEA">
        <w:rPr>
          <w:rFonts w:ascii="Arial" w:hAnsi="Arial" w:cs="Arial"/>
          <w:sz w:val="20"/>
          <w:szCs w:val="20"/>
        </w:rPr>
        <w:t>Una entidad que tiene una participación dentro del alcance de esta sección revelará en notas:</w:t>
      </w:r>
      <w:bookmarkEnd w:id="1159"/>
      <w:r w:rsidRPr="00AC4AEA">
        <w:rPr>
          <w:rFonts w:ascii="Arial" w:hAnsi="Arial" w:cs="Arial"/>
          <w:sz w:val="20"/>
          <w:szCs w:val="20"/>
        </w:rPr>
        <w:t xml:space="preserve"> </w:t>
      </w:r>
    </w:p>
    <w:p w:rsidR="00421257" w:rsidRPr="00AC4AEA" w:rsidRDefault="00421257" w:rsidP="00C01B25">
      <w:pPr>
        <w:pStyle w:val="NUA-Nivel1"/>
        <w:numPr>
          <w:ilvl w:val="0"/>
          <w:numId w:val="615"/>
        </w:numPr>
        <w:ind w:left="1418" w:hanging="425"/>
      </w:pPr>
      <w:r w:rsidRPr="00AC4AEA">
        <w:t xml:space="preserve">La naturaleza, alcance y efectos financieros de esas participaciones, incluyendo la naturaleza y efectos de su relación contractual con los otros participantes. </w:t>
      </w:r>
    </w:p>
    <w:p w:rsidR="00421257" w:rsidRPr="00AC4AEA" w:rsidRDefault="00421257" w:rsidP="00C01B25">
      <w:pPr>
        <w:pStyle w:val="NUA-Nivel1"/>
        <w:numPr>
          <w:ilvl w:val="0"/>
          <w:numId w:val="615"/>
        </w:numPr>
        <w:ind w:left="1418" w:hanging="425"/>
      </w:pPr>
      <w:r w:rsidRPr="00AC4AEA">
        <w:t xml:space="preserve">Para cada participación significativa: </w:t>
      </w:r>
    </w:p>
    <w:p w:rsidR="00421257" w:rsidRPr="00AC4AEA" w:rsidRDefault="00421257" w:rsidP="00C01B25">
      <w:pPr>
        <w:pStyle w:val="Prrafodelista"/>
        <w:numPr>
          <w:ilvl w:val="0"/>
          <w:numId w:val="545"/>
        </w:numPr>
        <w:ind w:left="1985" w:hanging="218"/>
        <w:contextualSpacing w:val="0"/>
        <w:jc w:val="both"/>
        <w:rPr>
          <w:rFonts w:ascii="Arial" w:hAnsi="Arial" w:cs="Arial"/>
          <w:sz w:val="20"/>
          <w:szCs w:val="20"/>
        </w:rPr>
      </w:pPr>
      <w:r w:rsidRPr="00AC4AEA">
        <w:rPr>
          <w:rFonts w:ascii="Arial" w:hAnsi="Arial" w:cs="Arial"/>
          <w:sz w:val="20"/>
          <w:szCs w:val="20"/>
        </w:rPr>
        <w:t xml:space="preserve">El nombre la participada. </w:t>
      </w:r>
    </w:p>
    <w:p w:rsidR="00421257" w:rsidRPr="000A5187" w:rsidRDefault="00421257" w:rsidP="00C01B25">
      <w:pPr>
        <w:pStyle w:val="Prrafodelista"/>
        <w:numPr>
          <w:ilvl w:val="0"/>
          <w:numId w:val="545"/>
        </w:numPr>
        <w:ind w:left="1985" w:hanging="218"/>
        <w:contextualSpacing w:val="0"/>
        <w:jc w:val="both"/>
        <w:rPr>
          <w:rFonts w:ascii="Arial" w:hAnsi="Arial" w:cs="Arial"/>
          <w:sz w:val="20"/>
          <w:szCs w:val="20"/>
        </w:rPr>
      </w:pPr>
      <w:r w:rsidRPr="000A5187">
        <w:rPr>
          <w:rFonts w:ascii="Arial" w:hAnsi="Arial" w:cs="Arial"/>
          <w:sz w:val="20"/>
          <w:szCs w:val="20"/>
        </w:rPr>
        <w:t xml:space="preserve">La naturaleza de la relación de la </w:t>
      </w:r>
      <w:r w:rsidRPr="000A5187">
        <w:rPr>
          <w:rFonts w:ascii="Arial" w:hAnsi="Arial" w:cs="Arial"/>
          <w:b/>
          <w:bCs/>
          <w:sz w:val="20"/>
          <w:szCs w:val="20"/>
        </w:rPr>
        <w:t>entidad emisora de estado</w:t>
      </w:r>
      <w:r w:rsidR="00CF2706" w:rsidRPr="000A5187">
        <w:rPr>
          <w:rFonts w:ascii="Arial" w:hAnsi="Arial" w:cs="Arial"/>
          <w:b/>
          <w:bCs/>
          <w:sz w:val="20"/>
          <w:szCs w:val="20"/>
        </w:rPr>
        <w:t>s</w:t>
      </w:r>
      <w:r w:rsidRPr="000A5187">
        <w:rPr>
          <w:rFonts w:ascii="Arial" w:hAnsi="Arial" w:cs="Arial"/>
          <w:b/>
          <w:bCs/>
          <w:sz w:val="20"/>
          <w:szCs w:val="20"/>
        </w:rPr>
        <w:t xml:space="preserve"> contables</w:t>
      </w:r>
      <w:r w:rsidRPr="000A5187">
        <w:rPr>
          <w:rFonts w:ascii="Arial" w:hAnsi="Arial" w:cs="Arial"/>
          <w:sz w:val="20"/>
          <w:szCs w:val="20"/>
        </w:rPr>
        <w:t xml:space="preserve"> con</w:t>
      </w:r>
      <w:r w:rsidR="00CF2706" w:rsidRPr="000A5187">
        <w:rPr>
          <w:rFonts w:ascii="Arial" w:hAnsi="Arial" w:cs="Arial"/>
          <w:sz w:val="20"/>
          <w:szCs w:val="20"/>
        </w:rPr>
        <w:t xml:space="preserve"> la</w:t>
      </w:r>
      <w:r w:rsidRPr="000A5187">
        <w:rPr>
          <w:rFonts w:ascii="Arial" w:hAnsi="Arial" w:cs="Arial"/>
          <w:sz w:val="20"/>
          <w:szCs w:val="20"/>
        </w:rPr>
        <w:t xml:space="preserve"> participada. </w:t>
      </w:r>
    </w:p>
    <w:p w:rsidR="00421257" w:rsidRPr="00AC4AEA" w:rsidRDefault="00421257" w:rsidP="00C01B25">
      <w:pPr>
        <w:pStyle w:val="Prrafodelista"/>
        <w:numPr>
          <w:ilvl w:val="0"/>
          <w:numId w:val="545"/>
        </w:numPr>
        <w:ind w:left="1985" w:hanging="218"/>
        <w:contextualSpacing w:val="0"/>
        <w:jc w:val="both"/>
        <w:rPr>
          <w:rFonts w:ascii="Arial" w:hAnsi="Arial" w:cs="Arial"/>
          <w:sz w:val="20"/>
          <w:szCs w:val="20"/>
        </w:rPr>
      </w:pPr>
      <w:r w:rsidRPr="000A5187">
        <w:rPr>
          <w:rFonts w:ascii="Arial" w:hAnsi="Arial" w:cs="Arial"/>
          <w:sz w:val="20"/>
          <w:szCs w:val="20"/>
        </w:rPr>
        <w:t>El domicilio principal donde</w:t>
      </w:r>
      <w:r w:rsidRPr="00AC4AEA">
        <w:rPr>
          <w:rFonts w:ascii="Arial" w:hAnsi="Arial" w:cs="Arial"/>
          <w:sz w:val="20"/>
          <w:szCs w:val="20"/>
        </w:rPr>
        <w:t xml:space="preserve"> la participada desarrolle las actividades (y país donde está constituida, si fuera diferente del domicilio principal donde desarrolle las actividades). </w:t>
      </w:r>
    </w:p>
    <w:p w:rsidR="00421257" w:rsidRPr="00AC4AEA" w:rsidRDefault="00421257" w:rsidP="00C01B25">
      <w:pPr>
        <w:pStyle w:val="Prrafodelista"/>
        <w:numPr>
          <w:ilvl w:val="0"/>
          <w:numId w:val="545"/>
        </w:numPr>
        <w:ind w:left="1985" w:hanging="218"/>
        <w:contextualSpacing w:val="0"/>
        <w:jc w:val="both"/>
        <w:rPr>
          <w:rFonts w:ascii="Arial" w:hAnsi="Arial" w:cs="Arial"/>
          <w:sz w:val="20"/>
          <w:szCs w:val="20"/>
        </w:rPr>
      </w:pPr>
      <w:r w:rsidRPr="00AC4AEA">
        <w:rPr>
          <w:rFonts w:ascii="Arial" w:hAnsi="Arial" w:cs="Arial"/>
          <w:sz w:val="20"/>
          <w:szCs w:val="20"/>
        </w:rPr>
        <w:t xml:space="preserve">La proporción de participación en la propiedad, o la parte con que participa, mantenida por la entidad y, si fuera diferente, la proporción de derechos de voto mantenida (si fuera aplicable). </w:t>
      </w:r>
    </w:p>
    <w:p w:rsidR="002528E0" w:rsidRPr="00AC4AEA" w:rsidRDefault="002528E0" w:rsidP="00C01B25">
      <w:pPr>
        <w:pStyle w:val="Prrafodelista"/>
        <w:numPr>
          <w:ilvl w:val="0"/>
          <w:numId w:val="545"/>
        </w:numPr>
        <w:ind w:left="1985" w:hanging="218"/>
        <w:contextualSpacing w:val="0"/>
        <w:jc w:val="both"/>
        <w:rPr>
          <w:rFonts w:ascii="Arial" w:hAnsi="Arial" w:cs="Arial"/>
          <w:sz w:val="20"/>
          <w:szCs w:val="20"/>
        </w:rPr>
      </w:pPr>
      <w:r w:rsidRPr="00AC4AEA">
        <w:rPr>
          <w:rFonts w:ascii="Arial" w:hAnsi="Arial" w:cs="Arial"/>
          <w:sz w:val="20"/>
          <w:szCs w:val="20"/>
        </w:rPr>
        <w:lastRenderedPageBreak/>
        <w:t>Información contable resumida de los activos, pasivos, patrimonio, y resultados.</w:t>
      </w:r>
    </w:p>
    <w:p w:rsidR="00D50C25" w:rsidRPr="00AC4AEA" w:rsidRDefault="00D50C25" w:rsidP="00C01B25">
      <w:pPr>
        <w:pStyle w:val="NUA-Nivel1"/>
        <w:numPr>
          <w:ilvl w:val="0"/>
          <w:numId w:val="615"/>
        </w:numPr>
        <w:ind w:left="1418" w:hanging="425"/>
      </w:pPr>
      <w:r w:rsidRPr="00AC4AEA">
        <w:t>Para aquellas participaciones no significativas exponer de forma agregada la información contable resumida.</w:t>
      </w:r>
    </w:p>
    <w:p w:rsidR="00421257" w:rsidRPr="00AC4AEA" w:rsidRDefault="00421257" w:rsidP="00C01B25">
      <w:pPr>
        <w:pStyle w:val="NUA-Nivel1"/>
        <w:numPr>
          <w:ilvl w:val="0"/>
          <w:numId w:val="615"/>
        </w:numPr>
        <w:ind w:left="1418" w:hanging="425"/>
      </w:pPr>
      <w:r w:rsidRPr="00AC4AEA">
        <w:t xml:space="preserve">La naturaleza y alcance de restricciones significativas sobre su capacidad para acceder o utilizar activos, y liquidar pasivos, de la participada. </w:t>
      </w:r>
    </w:p>
    <w:p w:rsidR="00421257" w:rsidRPr="00AC4AEA" w:rsidRDefault="00421257" w:rsidP="00C01B25">
      <w:pPr>
        <w:pStyle w:val="NUA-Nivel1"/>
        <w:numPr>
          <w:ilvl w:val="0"/>
          <w:numId w:val="615"/>
        </w:numPr>
        <w:ind w:left="1418" w:hanging="425"/>
      </w:pPr>
      <w:r w:rsidRPr="00AC4AEA">
        <w:t>La naturaleza de los riesgos asociados con su participación en otras entidades</w:t>
      </w:r>
      <w:r w:rsidR="00D91C54" w:rsidRPr="00AC4AEA">
        <w:t>.</w:t>
      </w:r>
      <w:r w:rsidRPr="00AC4AEA">
        <w:t xml:space="preserve"> </w:t>
      </w:r>
    </w:p>
    <w:p w:rsidR="000F01BF" w:rsidRPr="00AC4AEA" w:rsidRDefault="000F01BF" w:rsidP="00C01B25">
      <w:pPr>
        <w:pStyle w:val="NUA-Nivel1"/>
        <w:numPr>
          <w:ilvl w:val="0"/>
          <w:numId w:val="615"/>
        </w:numPr>
        <w:ind w:left="1418" w:hanging="425"/>
      </w:pPr>
      <w:r w:rsidRPr="00AC4AEA">
        <w:t xml:space="preserve">En el caso de </w:t>
      </w:r>
      <w:r w:rsidR="00647331" w:rsidRPr="00AC4AEA">
        <w:t xml:space="preserve">participaciones presentadas por un importe provisorio durante el </w:t>
      </w:r>
      <w:r w:rsidR="00647331" w:rsidRPr="00AC4AEA">
        <w:rPr>
          <w:b/>
          <w:bCs/>
        </w:rPr>
        <w:t>período de medición</w:t>
      </w:r>
      <w:r w:rsidR="00647331" w:rsidRPr="00AC4AEA">
        <w:t>, tal hecho.</w:t>
      </w:r>
    </w:p>
    <w:p w:rsidR="00E676EE" w:rsidRPr="00AC4AEA" w:rsidRDefault="002528E0" w:rsidP="00C01B25">
      <w:pPr>
        <w:pStyle w:val="NUA-Nivel1"/>
        <w:numPr>
          <w:ilvl w:val="0"/>
          <w:numId w:val="615"/>
        </w:numPr>
        <w:ind w:left="1418" w:hanging="425"/>
      </w:pPr>
      <w:r w:rsidRPr="00AC4AEA">
        <w:t>Para</w:t>
      </w:r>
      <w:r w:rsidR="00E676EE" w:rsidRPr="00AC4AEA">
        <w:t xml:space="preserve"> </w:t>
      </w:r>
      <w:r w:rsidRPr="00AC4AEA">
        <w:t>una participación dentro del alcance de esta sección</w:t>
      </w:r>
      <w:r w:rsidR="00E676EE" w:rsidRPr="00AC4AEA">
        <w:t xml:space="preserve"> </w:t>
      </w:r>
      <w:r w:rsidRPr="00AC4AEA">
        <w:t xml:space="preserve">que </w:t>
      </w:r>
      <w:r w:rsidR="00E676EE" w:rsidRPr="00AC4AEA">
        <w:t>se contabiliza utilizando el método de</w:t>
      </w:r>
      <w:r w:rsidRPr="00AC4AEA">
        <w:t>l</w:t>
      </w:r>
      <w:r w:rsidR="00E676EE" w:rsidRPr="00AC4AEA">
        <w:t xml:space="preserve"> </w:t>
      </w:r>
      <w:r w:rsidRPr="00050219">
        <w:rPr>
          <w:b/>
          <w:bCs/>
        </w:rPr>
        <w:t>valor patrimonial proporcional</w:t>
      </w:r>
      <w:r w:rsidR="00E676EE" w:rsidRPr="00AC4AEA">
        <w:t xml:space="preserve">, </w:t>
      </w:r>
      <w:r w:rsidR="00D50C25" w:rsidRPr="00AC4AEA">
        <w:t xml:space="preserve">una entidad revelará </w:t>
      </w:r>
      <w:r w:rsidR="00E676EE" w:rsidRPr="00AC4AEA">
        <w:t xml:space="preserve">el </w:t>
      </w:r>
      <w:r w:rsidR="00E676EE" w:rsidRPr="00AC4AEA">
        <w:rPr>
          <w:b/>
          <w:bCs/>
        </w:rPr>
        <w:t>valor razonable</w:t>
      </w:r>
      <w:r w:rsidR="00E676EE" w:rsidRPr="00AC4AEA">
        <w:t xml:space="preserve"> si existe un precio de mercado cotizado para la inversión.</w:t>
      </w:r>
    </w:p>
    <w:p w:rsidR="00E676EE" w:rsidRPr="00AC4AEA" w:rsidRDefault="00E676EE" w:rsidP="00C01B25">
      <w:pPr>
        <w:pStyle w:val="NUA-Nivel1"/>
        <w:numPr>
          <w:ilvl w:val="0"/>
          <w:numId w:val="615"/>
        </w:numPr>
        <w:ind w:left="1418" w:hanging="425"/>
      </w:pPr>
      <w:r w:rsidRPr="00AC4AEA">
        <w:t xml:space="preserve">Cuando los </w:t>
      </w:r>
      <w:r w:rsidRPr="00AC4AEA">
        <w:rPr>
          <w:b/>
          <w:bCs/>
        </w:rPr>
        <w:t>estados contables</w:t>
      </w:r>
      <w:r w:rsidR="00D66070" w:rsidRPr="00AC4AEA">
        <w:t xml:space="preserve"> de una participada </w:t>
      </w:r>
      <w:r w:rsidRPr="00AC4AEA">
        <w:t>utilizados para aplicar el método de</w:t>
      </w:r>
      <w:r w:rsidR="00D66070" w:rsidRPr="00AC4AEA">
        <w:t xml:space="preserve">l </w:t>
      </w:r>
      <w:r w:rsidR="00D66070" w:rsidRPr="00050219">
        <w:rPr>
          <w:b/>
          <w:bCs/>
        </w:rPr>
        <w:t>valor patrimonial proporcional</w:t>
      </w:r>
      <w:r w:rsidRPr="00AC4AEA">
        <w:t xml:space="preserve"> est</w:t>
      </w:r>
      <w:r w:rsidR="006645B2" w:rsidRPr="00AC4AEA">
        <w:t>é</w:t>
      </w:r>
      <w:r w:rsidRPr="00AC4AEA">
        <w:t>n referidos a una fecha</w:t>
      </w:r>
      <w:r w:rsidR="0049191B" w:rsidRPr="00AC4AEA">
        <w:t xml:space="preserve"> de cierre</w:t>
      </w:r>
      <w:r w:rsidRPr="00AC4AEA">
        <w:t xml:space="preserve"> o periodo que </w:t>
      </w:r>
      <w:r w:rsidR="006645B2" w:rsidRPr="00AC4AEA">
        <w:t>difieran de</w:t>
      </w:r>
      <w:r w:rsidR="0049191B" w:rsidRPr="00AC4AEA">
        <w:t xml:space="preserve"> la </w:t>
      </w:r>
      <w:r w:rsidR="0049191B" w:rsidRPr="00AC4AEA">
        <w:rPr>
          <w:b/>
          <w:bCs/>
        </w:rPr>
        <w:t>fecha de los estados contables</w:t>
      </w:r>
      <w:r w:rsidRPr="00AC4AEA">
        <w:t xml:space="preserve"> </w:t>
      </w:r>
      <w:r w:rsidR="0049191B" w:rsidRPr="00AC4AEA">
        <w:t xml:space="preserve">o </w:t>
      </w:r>
      <w:r w:rsidR="006645B2" w:rsidRPr="00AC4AEA">
        <w:t>e</w:t>
      </w:r>
      <w:r w:rsidR="0049191B" w:rsidRPr="00AC4AEA">
        <w:t xml:space="preserve">l período cubierto por los </w:t>
      </w:r>
      <w:r w:rsidR="0049191B" w:rsidRPr="00AC4AEA">
        <w:rPr>
          <w:b/>
          <w:bCs/>
        </w:rPr>
        <w:t>estados contables</w:t>
      </w:r>
      <w:r w:rsidR="0049191B" w:rsidRPr="00AC4AEA">
        <w:t xml:space="preserve"> </w:t>
      </w:r>
      <w:r w:rsidRPr="00AC4AEA">
        <w:t>de la entidad</w:t>
      </w:r>
      <w:r w:rsidR="00F3655B" w:rsidRPr="00AC4AEA">
        <w:t xml:space="preserve"> inversora, una entidad revelará</w:t>
      </w:r>
      <w:r w:rsidRPr="00AC4AEA">
        <w:t>:</w:t>
      </w:r>
    </w:p>
    <w:p w:rsidR="00E676EE" w:rsidRPr="00AC4AEA" w:rsidRDefault="00E676EE" w:rsidP="00C01B25">
      <w:pPr>
        <w:pStyle w:val="Prrafodelista"/>
        <w:numPr>
          <w:ilvl w:val="0"/>
          <w:numId w:val="649"/>
        </w:numPr>
        <w:ind w:left="2127" w:hanging="284"/>
        <w:contextualSpacing w:val="0"/>
        <w:jc w:val="both"/>
        <w:rPr>
          <w:rFonts w:ascii="Arial" w:hAnsi="Arial" w:cs="Arial"/>
          <w:sz w:val="20"/>
          <w:szCs w:val="20"/>
        </w:rPr>
      </w:pPr>
      <w:r w:rsidRPr="00AC4AEA">
        <w:rPr>
          <w:rFonts w:ascii="Arial" w:hAnsi="Arial" w:cs="Arial"/>
          <w:sz w:val="20"/>
          <w:szCs w:val="20"/>
        </w:rPr>
        <w:t xml:space="preserve">La </w:t>
      </w:r>
      <w:r w:rsidRPr="00AC4AEA">
        <w:rPr>
          <w:rFonts w:ascii="Arial" w:hAnsi="Arial" w:cs="Arial"/>
          <w:b/>
          <w:bCs/>
          <w:sz w:val="20"/>
          <w:szCs w:val="20"/>
        </w:rPr>
        <w:t xml:space="preserve">fecha </w:t>
      </w:r>
      <w:r w:rsidR="00AB2C03" w:rsidRPr="00AC4AEA">
        <w:rPr>
          <w:rFonts w:ascii="Arial" w:hAnsi="Arial" w:cs="Arial"/>
          <w:b/>
          <w:bCs/>
          <w:sz w:val="20"/>
          <w:szCs w:val="20"/>
        </w:rPr>
        <w:t>de los estados contables</w:t>
      </w:r>
      <w:r w:rsidRPr="00AC4AEA">
        <w:rPr>
          <w:rFonts w:ascii="Arial" w:hAnsi="Arial" w:cs="Arial"/>
          <w:sz w:val="20"/>
          <w:szCs w:val="20"/>
        </w:rPr>
        <w:t xml:space="preserve"> </w:t>
      </w:r>
      <w:r w:rsidR="00AB2C03" w:rsidRPr="00AC4AEA">
        <w:rPr>
          <w:rFonts w:ascii="Arial" w:hAnsi="Arial" w:cs="Arial"/>
          <w:sz w:val="20"/>
          <w:szCs w:val="20"/>
        </w:rPr>
        <w:t>de la participada.</w:t>
      </w:r>
    </w:p>
    <w:p w:rsidR="00AB2C03" w:rsidRPr="00AC4AEA" w:rsidRDefault="00AB2C03" w:rsidP="00C01B25">
      <w:pPr>
        <w:pStyle w:val="Prrafodelista"/>
        <w:numPr>
          <w:ilvl w:val="0"/>
          <w:numId w:val="649"/>
        </w:numPr>
        <w:ind w:left="2127" w:hanging="284"/>
        <w:contextualSpacing w:val="0"/>
        <w:jc w:val="both"/>
        <w:rPr>
          <w:rFonts w:ascii="Arial" w:hAnsi="Arial" w:cs="Arial"/>
          <w:sz w:val="20"/>
          <w:szCs w:val="20"/>
        </w:rPr>
      </w:pPr>
      <w:r w:rsidRPr="00AC4AEA">
        <w:rPr>
          <w:rFonts w:ascii="Arial" w:hAnsi="Arial" w:cs="Arial"/>
          <w:sz w:val="20"/>
          <w:szCs w:val="20"/>
        </w:rPr>
        <w:t xml:space="preserve">El período cubierto por los </w:t>
      </w:r>
      <w:r w:rsidRPr="00AC4AEA">
        <w:rPr>
          <w:rFonts w:ascii="Arial" w:hAnsi="Arial" w:cs="Arial"/>
          <w:b/>
          <w:bCs/>
          <w:sz w:val="20"/>
          <w:szCs w:val="20"/>
        </w:rPr>
        <w:t>estados contables</w:t>
      </w:r>
      <w:r w:rsidRPr="00AC4AEA">
        <w:rPr>
          <w:rFonts w:ascii="Arial" w:hAnsi="Arial" w:cs="Arial"/>
          <w:sz w:val="20"/>
          <w:szCs w:val="20"/>
        </w:rPr>
        <w:t xml:space="preserve"> de la participada.</w:t>
      </w:r>
    </w:p>
    <w:p w:rsidR="00E676EE" w:rsidRPr="00AC4AEA" w:rsidRDefault="00AB2C03" w:rsidP="00C01B25">
      <w:pPr>
        <w:pStyle w:val="Prrafodelista"/>
        <w:numPr>
          <w:ilvl w:val="0"/>
          <w:numId w:val="649"/>
        </w:numPr>
        <w:ind w:left="2127" w:hanging="218"/>
        <w:contextualSpacing w:val="0"/>
        <w:jc w:val="both"/>
        <w:rPr>
          <w:rFonts w:ascii="Arial" w:hAnsi="Arial" w:cs="Arial"/>
          <w:sz w:val="20"/>
          <w:szCs w:val="20"/>
        </w:rPr>
      </w:pPr>
      <w:r w:rsidRPr="00AC4AEA">
        <w:rPr>
          <w:rFonts w:ascii="Arial" w:hAnsi="Arial" w:cs="Arial"/>
          <w:sz w:val="20"/>
          <w:szCs w:val="20"/>
        </w:rPr>
        <w:t>L</w:t>
      </w:r>
      <w:r w:rsidR="00E676EE" w:rsidRPr="00AC4AEA">
        <w:rPr>
          <w:rFonts w:ascii="Arial" w:hAnsi="Arial" w:cs="Arial"/>
          <w:sz w:val="20"/>
          <w:szCs w:val="20"/>
        </w:rPr>
        <w:t xml:space="preserve">a razón </w:t>
      </w:r>
      <w:r w:rsidRPr="00AC4AEA">
        <w:rPr>
          <w:rFonts w:ascii="Arial" w:hAnsi="Arial" w:cs="Arial"/>
          <w:sz w:val="20"/>
          <w:szCs w:val="20"/>
        </w:rPr>
        <w:t>para</w:t>
      </w:r>
      <w:r w:rsidR="00E676EE" w:rsidRPr="00AC4AEA">
        <w:rPr>
          <w:rFonts w:ascii="Arial" w:hAnsi="Arial" w:cs="Arial"/>
          <w:sz w:val="20"/>
          <w:szCs w:val="20"/>
        </w:rPr>
        <w:t xml:space="preserve"> utilizar una fecha o periodo diferente</w:t>
      </w:r>
      <w:r w:rsidRPr="00AC4AEA">
        <w:rPr>
          <w:rFonts w:ascii="Arial" w:hAnsi="Arial" w:cs="Arial"/>
          <w:sz w:val="20"/>
          <w:szCs w:val="20"/>
        </w:rPr>
        <w:t>s a los de la inversora</w:t>
      </w:r>
      <w:r w:rsidR="00E676EE" w:rsidRPr="00AC4AEA">
        <w:rPr>
          <w:rFonts w:ascii="Arial" w:hAnsi="Arial" w:cs="Arial"/>
          <w:sz w:val="20"/>
          <w:szCs w:val="20"/>
        </w:rPr>
        <w:t>.</w:t>
      </w:r>
    </w:p>
    <w:p w:rsidR="00E676EE" w:rsidRPr="00AC4AEA" w:rsidRDefault="00E676EE" w:rsidP="00C01B25">
      <w:pPr>
        <w:pStyle w:val="NUA-Nivel1"/>
        <w:numPr>
          <w:ilvl w:val="0"/>
          <w:numId w:val="615"/>
        </w:numPr>
        <w:ind w:left="1418" w:hanging="425"/>
      </w:pPr>
      <w:r w:rsidRPr="00AC4AEA">
        <w:t>La parte no reconocida en las pérdidas de la participada, tanto para el periodo sobre el que se informa como de forma acumulada, si la entidad ha dejado de reconocer su parte de las pérdidas al aplicar el método de la participación.</w:t>
      </w:r>
    </w:p>
    <w:p w:rsidR="00421257" w:rsidRPr="00AC4AEA" w:rsidRDefault="00421257" w:rsidP="005670A4">
      <w:pPr>
        <w:pStyle w:val="Ttulo1"/>
        <w:jc w:val="both"/>
        <w:rPr>
          <w:sz w:val="20"/>
          <w:szCs w:val="20"/>
          <w:lang w:val="es-AR"/>
        </w:rPr>
      </w:pPr>
      <w:r w:rsidRPr="00AC4AEA">
        <w:rPr>
          <w:rFonts w:cs="Arial"/>
          <w:sz w:val="20"/>
          <w:szCs w:val="20"/>
        </w:rPr>
        <w:t xml:space="preserve"> </w:t>
      </w:r>
    </w:p>
    <w:p w:rsidR="00421257" w:rsidRPr="00AC4AEA" w:rsidRDefault="00421257" w:rsidP="00AA6C99">
      <w:pPr>
        <w:pStyle w:val="Ttulo1"/>
        <w:jc w:val="both"/>
        <w:rPr>
          <w:rFonts w:cs="Arial"/>
          <w:sz w:val="20"/>
          <w:szCs w:val="20"/>
        </w:rPr>
      </w:pPr>
      <w:bookmarkStart w:id="1160" w:name="_Toc139357013"/>
      <w:r w:rsidRPr="00AC4AEA">
        <w:rPr>
          <w:rFonts w:cs="Arial"/>
          <w:sz w:val="20"/>
          <w:szCs w:val="20"/>
        </w:rPr>
        <w:t>BENEFICIOS A LOS EMPLEADOS POSTERIORES A LA TERMINACIÓN DE LA RELACIÓN LABORAL Y OTROS BENEFICIOS A LARGO PLAZO</w:t>
      </w:r>
      <w:bookmarkEnd w:id="1160"/>
      <w:r w:rsidRPr="00AC4AEA">
        <w:rPr>
          <w:rFonts w:cs="Arial"/>
          <w:sz w:val="20"/>
          <w:szCs w:val="20"/>
        </w:rPr>
        <w:t xml:space="preserve"> </w:t>
      </w:r>
    </w:p>
    <w:p w:rsidR="00421257" w:rsidRPr="00AC4AEA" w:rsidRDefault="00421257" w:rsidP="00AA6C99">
      <w:pPr>
        <w:pStyle w:val="Ttulo2"/>
        <w:rPr>
          <w:rFonts w:cs="Arial"/>
        </w:rPr>
      </w:pPr>
      <w:bookmarkStart w:id="1161" w:name="_Toc139357014"/>
      <w:r w:rsidRPr="00AC4AEA">
        <w:rPr>
          <w:rFonts w:cs="Arial"/>
        </w:rPr>
        <w:t>Objetivo</w:t>
      </w:r>
      <w:bookmarkEnd w:id="1161"/>
      <w:r w:rsidRPr="00AC4AEA">
        <w:rPr>
          <w:rFonts w:cs="Arial"/>
        </w:rPr>
        <w:t xml:space="preserve"> </w:t>
      </w:r>
    </w:p>
    <w:p w:rsidR="00494C28"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bookmarkStart w:id="1162" w:name="_Ref132036558"/>
      <w:r w:rsidRPr="00AC4AEA">
        <w:rPr>
          <w:rFonts w:ascii="Arial" w:hAnsi="Arial" w:cs="Arial"/>
          <w:sz w:val="20"/>
          <w:szCs w:val="20"/>
        </w:rPr>
        <w:t>El objetivo de esta sección es definir los criterios de reconocimiento, medición, presentación y revelación aplicables a</w:t>
      </w:r>
      <w:r w:rsidR="00494C28" w:rsidRPr="00AC4AEA">
        <w:rPr>
          <w:rFonts w:ascii="Arial" w:hAnsi="Arial" w:cs="Arial"/>
          <w:sz w:val="20"/>
          <w:szCs w:val="20"/>
        </w:rPr>
        <w:t>:</w:t>
      </w:r>
      <w:r w:rsidRPr="00AC4AEA">
        <w:rPr>
          <w:rFonts w:ascii="Arial" w:hAnsi="Arial" w:cs="Arial"/>
          <w:sz w:val="20"/>
          <w:szCs w:val="20"/>
        </w:rPr>
        <w:t xml:space="preserve"> </w:t>
      </w:r>
    </w:p>
    <w:p w:rsidR="00421257" w:rsidRPr="00AC4AEA" w:rsidRDefault="00421257" w:rsidP="00C01B25">
      <w:pPr>
        <w:pStyle w:val="NUA-Nivel1"/>
        <w:numPr>
          <w:ilvl w:val="0"/>
          <w:numId w:val="617"/>
        </w:numPr>
        <w:ind w:left="1418" w:hanging="425"/>
        <w:rPr>
          <w:rFonts w:eastAsia="Times New Roman"/>
          <w:lang w:eastAsia="es-AR"/>
        </w:rPr>
      </w:pPr>
      <w:r w:rsidRPr="00AC4AEA">
        <w:t>los beneficios a largo plazo que las entidades otorgan a sus empleados con posterioridad a la terminación de la relación laboral, tales como:</w:t>
      </w:r>
      <w:bookmarkEnd w:id="1162"/>
      <w:r w:rsidRPr="00AC4AEA">
        <w:t xml:space="preserve"> </w:t>
      </w:r>
    </w:p>
    <w:p w:rsidR="00421257" w:rsidRPr="00AC4AEA" w:rsidRDefault="00421257" w:rsidP="00C01B25">
      <w:pPr>
        <w:numPr>
          <w:ilvl w:val="0"/>
          <w:numId w:val="546"/>
        </w:numPr>
        <w:spacing w:line="264" w:lineRule="auto"/>
        <w:ind w:left="1985" w:hanging="284"/>
        <w:jc w:val="both"/>
        <w:rPr>
          <w:rFonts w:ascii="Arial" w:hAnsi="Arial" w:cs="Arial"/>
          <w:sz w:val="20"/>
          <w:szCs w:val="20"/>
        </w:rPr>
      </w:pPr>
      <w:r w:rsidRPr="00AC4AEA">
        <w:rPr>
          <w:rFonts w:ascii="Arial" w:hAnsi="Arial" w:cs="Arial"/>
          <w:sz w:val="20"/>
          <w:szCs w:val="20"/>
        </w:rPr>
        <w:t xml:space="preserve">beneficios por retiro; </w:t>
      </w:r>
    </w:p>
    <w:p w:rsidR="00421257" w:rsidRPr="00AC4AEA" w:rsidRDefault="00421257" w:rsidP="00C01B25">
      <w:pPr>
        <w:numPr>
          <w:ilvl w:val="0"/>
          <w:numId w:val="546"/>
        </w:numPr>
        <w:spacing w:line="264" w:lineRule="auto"/>
        <w:ind w:left="1985" w:hanging="284"/>
        <w:jc w:val="both"/>
        <w:rPr>
          <w:rFonts w:ascii="Arial" w:hAnsi="Arial" w:cs="Arial"/>
          <w:sz w:val="20"/>
          <w:szCs w:val="20"/>
        </w:rPr>
      </w:pPr>
      <w:r w:rsidRPr="00AC4AEA">
        <w:rPr>
          <w:rFonts w:ascii="Arial" w:hAnsi="Arial" w:cs="Arial"/>
          <w:sz w:val="20"/>
          <w:szCs w:val="20"/>
        </w:rPr>
        <w:t xml:space="preserve">seguros de vida y atención médica; y </w:t>
      </w:r>
    </w:p>
    <w:p w:rsidR="00421257" w:rsidRPr="00D81E8F" w:rsidRDefault="00421257" w:rsidP="00C01B25">
      <w:pPr>
        <w:pStyle w:val="NUA-Nivel1"/>
        <w:numPr>
          <w:ilvl w:val="0"/>
          <w:numId w:val="617"/>
        </w:numPr>
        <w:ind w:left="1418" w:hanging="425"/>
        <w:rPr>
          <w:color w:val="000000" w:themeColor="text1"/>
        </w:rPr>
      </w:pPr>
      <w:r w:rsidRPr="00AC4AEA">
        <w:t xml:space="preserve">otros beneficios a largo plazo </w:t>
      </w:r>
      <w:r w:rsidR="00C47C7D" w:rsidRPr="00D81E8F">
        <w:rPr>
          <w:color w:val="000000" w:themeColor="text1"/>
        </w:rPr>
        <w:t xml:space="preserve">cuya cancelación ocurre durante el período de la relación laboral, </w:t>
      </w:r>
      <w:r w:rsidRPr="00D81E8F">
        <w:rPr>
          <w:color w:val="000000" w:themeColor="text1"/>
        </w:rPr>
        <w:t>tales como:</w:t>
      </w:r>
      <w:r w:rsidR="006F2C57">
        <w:rPr>
          <w:color w:val="000000" w:themeColor="text1"/>
        </w:rPr>
        <w:t xml:space="preserve"> </w:t>
      </w:r>
    </w:p>
    <w:p w:rsidR="00421257" w:rsidRPr="00AC4AEA" w:rsidRDefault="00421257" w:rsidP="00C01B25">
      <w:pPr>
        <w:numPr>
          <w:ilvl w:val="0"/>
          <w:numId w:val="730"/>
        </w:numPr>
        <w:spacing w:line="264" w:lineRule="auto"/>
        <w:ind w:left="1985" w:hanging="284"/>
        <w:jc w:val="both"/>
        <w:rPr>
          <w:rFonts w:ascii="Arial" w:hAnsi="Arial" w:cs="Arial"/>
          <w:sz w:val="20"/>
          <w:szCs w:val="20"/>
        </w:rPr>
      </w:pPr>
      <w:r w:rsidRPr="00AC4AEA">
        <w:rPr>
          <w:rFonts w:ascii="Arial" w:hAnsi="Arial" w:cs="Arial"/>
          <w:sz w:val="20"/>
          <w:szCs w:val="20"/>
        </w:rPr>
        <w:lastRenderedPageBreak/>
        <w:t xml:space="preserve">las ausencias remuneradas después de largos períodos de servicio; </w:t>
      </w:r>
    </w:p>
    <w:p w:rsidR="00421257" w:rsidRPr="00AC4AEA" w:rsidRDefault="00421257" w:rsidP="00C01B25">
      <w:pPr>
        <w:numPr>
          <w:ilvl w:val="0"/>
          <w:numId w:val="730"/>
        </w:numPr>
        <w:spacing w:line="264" w:lineRule="auto"/>
        <w:ind w:left="1985" w:hanging="284"/>
        <w:jc w:val="both"/>
        <w:rPr>
          <w:rFonts w:ascii="Arial" w:hAnsi="Arial" w:cs="Arial"/>
          <w:sz w:val="20"/>
          <w:szCs w:val="20"/>
        </w:rPr>
      </w:pPr>
      <w:r w:rsidRPr="00AC4AEA">
        <w:rPr>
          <w:rFonts w:ascii="Arial" w:hAnsi="Arial" w:cs="Arial"/>
          <w:sz w:val="20"/>
          <w:szCs w:val="20"/>
        </w:rPr>
        <w:t>los beneficios especiales después de un largo tiempo de servicio;</w:t>
      </w:r>
      <w:r w:rsidR="006F2C57">
        <w:rPr>
          <w:rFonts w:ascii="Arial" w:hAnsi="Arial" w:cs="Arial"/>
          <w:sz w:val="20"/>
          <w:szCs w:val="20"/>
        </w:rPr>
        <w:t xml:space="preserve"> </w:t>
      </w:r>
    </w:p>
    <w:p w:rsidR="00421257" w:rsidRPr="00AC4AEA" w:rsidRDefault="00421257" w:rsidP="00C01B25">
      <w:pPr>
        <w:numPr>
          <w:ilvl w:val="0"/>
          <w:numId w:val="730"/>
        </w:numPr>
        <w:spacing w:line="264" w:lineRule="auto"/>
        <w:ind w:left="1985" w:hanging="284"/>
        <w:jc w:val="both"/>
        <w:rPr>
          <w:rFonts w:ascii="Arial" w:hAnsi="Arial" w:cs="Arial"/>
          <w:sz w:val="20"/>
          <w:szCs w:val="20"/>
        </w:rPr>
      </w:pPr>
      <w:r w:rsidRPr="00AC4AEA">
        <w:rPr>
          <w:rFonts w:ascii="Arial" w:hAnsi="Arial" w:cs="Arial"/>
          <w:sz w:val="20"/>
          <w:szCs w:val="20"/>
        </w:rPr>
        <w:t xml:space="preserve">los beneficios por incapacidad; y </w:t>
      </w:r>
    </w:p>
    <w:p w:rsidR="00421257" w:rsidRPr="00AC4AEA" w:rsidRDefault="00421257" w:rsidP="00C01B25">
      <w:pPr>
        <w:numPr>
          <w:ilvl w:val="0"/>
          <w:numId w:val="730"/>
        </w:numPr>
        <w:spacing w:line="264" w:lineRule="auto"/>
        <w:ind w:left="1985" w:hanging="284"/>
        <w:jc w:val="both"/>
        <w:rPr>
          <w:rFonts w:ascii="Arial" w:hAnsi="Arial" w:cs="Arial"/>
          <w:sz w:val="20"/>
          <w:szCs w:val="20"/>
        </w:rPr>
      </w:pPr>
      <w:r w:rsidRPr="00AC4AEA">
        <w:rPr>
          <w:rFonts w:ascii="Arial" w:hAnsi="Arial" w:cs="Arial"/>
          <w:sz w:val="20"/>
          <w:szCs w:val="20"/>
        </w:rPr>
        <w:t xml:space="preserve">si se pagan en un plazo de doce meses o más después del cierre del ejercicio, la participación en las ganancias, incentivos y otro tipo de compensación salarial diferida. </w:t>
      </w:r>
    </w:p>
    <w:p w:rsidR="003364F3" w:rsidRPr="00AC4AEA" w:rsidRDefault="003364F3" w:rsidP="003364F3">
      <w:pPr>
        <w:pStyle w:val="Prrafodelista"/>
        <w:numPr>
          <w:ilvl w:val="0"/>
          <w:numId w:val="29"/>
        </w:numPr>
        <w:spacing w:line="264" w:lineRule="auto"/>
        <w:jc w:val="both"/>
        <w:rPr>
          <w:rFonts w:ascii="Arial" w:hAnsi="Arial" w:cs="Arial"/>
          <w:sz w:val="20"/>
          <w:szCs w:val="20"/>
        </w:rPr>
      </w:pPr>
      <w:r w:rsidRPr="00AC4AEA">
        <w:rPr>
          <w:rFonts w:ascii="Arial" w:hAnsi="Arial" w:cs="Arial"/>
          <w:sz w:val="20"/>
          <w:szCs w:val="20"/>
        </w:rPr>
        <w:t>Una entidad reconocerá:</w:t>
      </w:r>
    </w:p>
    <w:p w:rsidR="003364F3" w:rsidRPr="00AC4AEA" w:rsidRDefault="003364F3" w:rsidP="00C01B25">
      <w:pPr>
        <w:pStyle w:val="NUA-Nivel1"/>
        <w:numPr>
          <w:ilvl w:val="0"/>
          <w:numId w:val="640"/>
        </w:numPr>
        <w:ind w:left="1418" w:hanging="425"/>
      </w:pPr>
      <w:r w:rsidRPr="00AC4AEA">
        <w:t xml:space="preserve">un </w:t>
      </w:r>
      <w:r w:rsidRPr="008826C7">
        <w:rPr>
          <w:b/>
          <w:bCs/>
        </w:rPr>
        <w:t xml:space="preserve">pasivo </w:t>
      </w:r>
      <w:r w:rsidRPr="00AC4AEA">
        <w:t xml:space="preserve">cuando un empleado ha </w:t>
      </w:r>
      <w:r w:rsidRPr="000A5187">
        <w:t xml:space="preserve">prestado servicios </w:t>
      </w:r>
      <w:r w:rsidR="00D81E8F" w:rsidRPr="000A5187">
        <w:t>que le otorgan</w:t>
      </w:r>
      <w:r w:rsidRPr="000A5187">
        <w:t xml:space="preserve"> el derecho de recibir beneficios posteriores a la terminación de su relación</w:t>
      </w:r>
      <w:r w:rsidRPr="00AC4AEA">
        <w:t xml:space="preserve"> laboral; y</w:t>
      </w:r>
    </w:p>
    <w:p w:rsidR="003364F3" w:rsidRPr="00AC4AEA" w:rsidRDefault="003364F3" w:rsidP="00C01B25">
      <w:pPr>
        <w:pStyle w:val="NUA-Nivel1"/>
        <w:numPr>
          <w:ilvl w:val="0"/>
          <w:numId w:val="640"/>
        </w:numPr>
        <w:ind w:left="1418" w:hanging="425"/>
      </w:pPr>
      <w:r w:rsidRPr="00AC4AEA">
        <w:t xml:space="preserve">un </w:t>
      </w:r>
      <w:r w:rsidRPr="002A73C3">
        <w:rPr>
          <w:b/>
          <w:bCs/>
        </w:rPr>
        <w:t xml:space="preserve">gasto </w:t>
      </w:r>
      <w:r w:rsidRPr="00AC4AEA">
        <w:t xml:space="preserve">a medida que </w:t>
      </w:r>
      <w:r w:rsidR="0084075D" w:rsidRPr="00AC4AEA">
        <w:t>la entidad</w:t>
      </w:r>
      <w:r w:rsidRPr="00AC4AEA">
        <w:t xml:space="preserve"> consum</w:t>
      </w:r>
      <w:r w:rsidR="00D81E8F">
        <w:t>e</w:t>
      </w:r>
      <w:r w:rsidRPr="00AC4AEA">
        <w:t xml:space="preserve"> el beneficio económico procedente del servicio prestado por sus empleados a cambio de los beneficios a largo plazo en cuestión. </w:t>
      </w:r>
    </w:p>
    <w:p w:rsidR="00421257" w:rsidRPr="00AC4AEA" w:rsidRDefault="00421257" w:rsidP="00A318EA">
      <w:pPr>
        <w:pStyle w:val="Ttulo2"/>
        <w:rPr>
          <w:rFonts w:cs="Arial"/>
        </w:rPr>
      </w:pPr>
      <w:bookmarkStart w:id="1163" w:name="_Toc139357015"/>
      <w:r w:rsidRPr="00AC4AEA">
        <w:rPr>
          <w:rFonts w:cs="Arial"/>
        </w:rPr>
        <w:t>Definiciones</w:t>
      </w:r>
      <w:bookmarkEnd w:id="1163"/>
      <w:r w:rsidRPr="00AC4AEA">
        <w:rPr>
          <w:rFonts w:cs="Arial"/>
        </w:rPr>
        <w:t xml:space="preserve"> </w:t>
      </w:r>
    </w:p>
    <w:p w:rsidR="00421257" w:rsidRPr="00AC4AEA" w:rsidRDefault="00421257" w:rsidP="000A0BD3">
      <w:pPr>
        <w:numPr>
          <w:ilvl w:val="0"/>
          <w:numId w:val="29"/>
        </w:numPr>
        <w:spacing w:after="147" w:line="264" w:lineRule="auto"/>
        <w:jc w:val="both"/>
        <w:rPr>
          <w:rFonts w:ascii="Arial" w:eastAsia="Times New Roman" w:hAnsi="Arial" w:cs="Arial"/>
          <w:sz w:val="20"/>
          <w:szCs w:val="20"/>
          <w:lang w:eastAsia="es-AR"/>
        </w:rPr>
      </w:pPr>
      <w:r w:rsidRPr="00AC4AEA">
        <w:rPr>
          <w:rFonts w:ascii="Arial" w:hAnsi="Arial" w:cs="Arial"/>
          <w:sz w:val="20"/>
          <w:szCs w:val="20"/>
        </w:rPr>
        <w:t xml:space="preserve">A los fines de la aplicación de esta sección, una entidad deberá considerar las siguientes definiciones: </w:t>
      </w:r>
    </w:p>
    <w:p w:rsidR="00421257" w:rsidRPr="00AC4AEA" w:rsidRDefault="00421257" w:rsidP="005639A7">
      <w:pPr>
        <w:ind w:left="1418"/>
        <w:rPr>
          <w:rFonts w:ascii="Arial" w:hAnsi="Arial" w:cs="Arial"/>
          <w:sz w:val="20"/>
          <w:szCs w:val="20"/>
        </w:rPr>
      </w:pPr>
      <w:r w:rsidRPr="00AC4AEA">
        <w:rPr>
          <w:rFonts w:ascii="Arial" w:hAnsi="Arial" w:cs="Arial"/>
          <w:sz w:val="20"/>
          <w:szCs w:val="20"/>
          <w:u w:val="single" w:color="000000"/>
        </w:rPr>
        <w:t>Activos del plan</w:t>
      </w:r>
      <w:r w:rsidRPr="00AC4AEA">
        <w:rPr>
          <w:rFonts w:ascii="Arial" w:hAnsi="Arial" w:cs="Arial"/>
          <w:sz w:val="20"/>
          <w:szCs w:val="20"/>
        </w:rPr>
        <w:t xml:space="preserve">: Estos activos comprenden: </w:t>
      </w:r>
    </w:p>
    <w:p w:rsidR="00421257" w:rsidRPr="00AC4AEA" w:rsidRDefault="00421257" w:rsidP="00C01B25">
      <w:pPr>
        <w:numPr>
          <w:ilvl w:val="2"/>
          <w:numId w:val="475"/>
        </w:numPr>
        <w:spacing w:line="264" w:lineRule="auto"/>
        <w:ind w:left="1985" w:hanging="567"/>
        <w:jc w:val="both"/>
        <w:rPr>
          <w:rFonts w:ascii="Arial" w:hAnsi="Arial" w:cs="Arial"/>
          <w:sz w:val="20"/>
          <w:szCs w:val="20"/>
        </w:rPr>
      </w:pPr>
      <w:r w:rsidRPr="00AC4AEA">
        <w:rPr>
          <w:rFonts w:ascii="Arial" w:hAnsi="Arial" w:cs="Arial"/>
          <w:sz w:val="20"/>
          <w:szCs w:val="20"/>
        </w:rPr>
        <w:t xml:space="preserve">los activos depositados en un fondo de beneficios a largo plazo para los empleados; y </w:t>
      </w:r>
    </w:p>
    <w:p w:rsidR="00421257" w:rsidRPr="00AC4AEA" w:rsidRDefault="00421257" w:rsidP="00C01B25">
      <w:pPr>
        <w:numPr>
          <w:ilvl w:val="2"/>
          <w:numId w:val="475"/>
        </w:numPr>
        <w:spacing w:line="264" w:lineRule="auto"/>
        <w:ind w:left="1985" w:hanging="567"/>
        <w:jc w:val="both"/>
        <w:rPr>
          <w:rFonts w:ascii="Arial" w:hAnsi="Arial" w:cs="Arial"/>
          <w:sz w:val="20"/>
          <w:szCs w:val="20"/>
        </w:rPr>
      </w:pPr>
      <w:r w:rsidRPr="00AC4AEA">
        <w:rPr>
          <w:rFonts w:ascii="Arial" w:hAnsi="Arial" w:cs="Arial"/>
          <w:sz w:val="20"/>
          <w:szCs w:val="20"/>
        </w:rPr>
        <w:t xml:space="preserve">las pólizas de seguros aceptables. </w:t>
      </w:r>
    </w:p>
    <w:p w:rsidR="00421257" w:rsidRPr="00AC4AEA" w:rsidRDefault="00421257" w:rsidP="005639A7">
      <w:pPr>
        <w:ind w:left="1418"/>
        <w:jc w:val="both"/>
        <w:rPr>
          <w:rFonts w:ascii="Arial" w:hAnsi="Arial" w:cs="Arial"/>
          <w:sz w:val="20"/>
          <w:szCs w:val="20"/>
        </w:rPr>
      </w:pPr>
      <w:r w:rsidRPr="00AC4AEA">
        <w:rPr>
          <w:rFonts w:ascii="Arial" w:hAnsi="Arial" w:cs="Arial"/>
          <w:sz w:val="20"/>
          <w:szCs w:val="20"/>
          <w:u w:val="single" w:color="000000"/>
        </w:rPr>
        <w:t>Activos depositados en un fondo de beneficios a largo plazo para empleados</w:t>
      </w:r>
      <w:r w:rsidRPr="00AC4AEA">
        <w:rPr>
          <w:rFonts w:ascii="Arial" w:hAnsi="Arial" w:cs="Arial"/>
          <w:sz w:val="20"/>
          <w:szCs w:val="20"/>
        </w:rPr>
        <w:t xml:space="preserve">: Son activos (diferentes de los instrumentos financieros no transferibles emitidos por la entidad) que posee un fondo y que: </w:t>
      </w:r>
    </w:p>
    <w:p w:rsidR="00421257" w:rsidRPr="00AC4AEA" w:rsidRDefault="00421257" w:rsidP="00C01B25">
      <w:pPr>
        <w:pStyle w:val="NUA-Nivel1"/>
        <w:numPr>
          <w:ilvl w:val="0"/>
          <w:numId w:val="618"/>
        </w:numPr>
        <w:ind w:left="1843"/>
      </w:pPr>
      <w:r w:rsidRPr="00AC4AEA">
        <w:t xml:space="preserve">están disponibles únicamente para pagar o financiar beneficios post-relación laboral; y </w:t>
      </w:r>
    </w:p>
    <w:p w:rsidR="00421257" w:rsidRPr="00AC4AEA" w:rsidRDefault="00421257" w:rsidP="00C01B25">
      <w:pPr>
        <w:pStyle w:val="NUA-Nivel1"/>
        <w:numPr>
          <w:ilvl w:val="0"/>
          <w:numId w:val="618"/>
        </w:numPr>
        <w:ind w:left="1843"/>
      </w:pPr>
      <w:r w:rsidRPr="00AC4AEA">
        <w:t xml:space="preserve">no están disponibles para los acreedores de la entidad (ni siquiera en caso de quiebra) y no pueden retornar a la entidad salvo en los siguientes supuestos: </w:t>
      </w:r>
    </w:p>
    <w:p w:rsidR="00421257" w:rsidRPr="00AC4AEA" w:rsidRDefault="00421257" w:rsidP="00C01B25">
      <w:pPr>
        <w:numPr>
          <w:ilvl w:val="3"/>
          <w:numId w:val="547"/>
        </w:numPr>
        <w:spacing w:line="264" w:lineRule="auto"/>
        <w:ind w:left="2410" w:hanging="283"/>
        <w:jc w:val="both"/>
        <w:rPr>
          <w:rFonts w:ascii="Arial" w:hAnsi="Arial" w:cs="Arial"/>
          <w:sz w:val="20"/>
          <w:szCs w:val="20"/>
        </w:rPr>
      </w:pPr>
      <w:r w:rsidRPr="00AC4AEA">
        <w:rPr>
          <w:rFonts w:ascii="Arial" w:hAnsi="Arial" w:cs="Arial"/>
          <w:sz w:val="20"/>
          <w:szCs w:val="20"/>
        </w:rPr>
        <w:t xml:space="preserve">cuando los activos remanentes que quedan en el fondo son suficientes para cumplir todas las obligaciones del plan o de la entidad que estén relacionadas con los beneficios de los empleados; o bien </w:t>
      </w:r>
    </w:p>
    <w:p w:rsidR="00421257" w:rsidRPr="000A5187" w:rsidRDefault="00421257" w:rsidP="00C01B25">
      <w:pPr>
        <w:numPr>
          <w:ilvl w:val="3"/>
          <w:numId w:val="547"/>
        </w:numPr>
        <w:spacing w:line="264" w:lineRule="auto"/>
        <w:ind w:left="2410" w:hanging="283"/>
        <w:jc w:val="both"/>
        <w:rPr>
          <w:rFonts w:ascii="Arial" w:hAnsi="Arial" w:cs="Arial"/>
          <w:sz w:val="20"/>
          <w:szCs w:val="20"/>
        </w:rPr>
      </w:pPr>
      <w:r w:rsidRPr="00AC4AEA">
        <w:rPr>
          <w:rFonts w:ascii="Arial" w:hAnsi="Arial" w:cs="Arial"/>
          <w:sz w:val="20"/>
          <w:szCs w:val="20"/>
        </w:rPr>
        <w:t xml:space="preserve">cuando los </w:t>
      </w:r>
      <w:r w:rsidRPr="000A5187">
        <w:rPr>
          <w:rFonts w:ascii="Arial" w:hAnsi="Arial" w:cs="Arial"/>
          <w:sz w:val="20"/>
          <w:szCs w:val="20"/>
        </w:rPr>
        <w:t xml:space="preserve">activos retornan a la entidad </w:t>
      </w:r>
      <w:r w:rsidR="002E771C" w:rsidRPr="000A5187">
        <w:rPr>
          <w:rFonts w:ascii="Arial" w:hAnsi="Arial" w:cs="Arial"/>
          <w:sz w:val="20"/>
          <w:szCs w:val="20"/>
        </w:rPr>
        <w:t>p</w:t>
      </w:r>
      <w:r w:rsidR="00866AA7" w:rsidRPr="000A5187">
        <w:rPr>
          <w:rFonts w:ascii="Arial" w:hAnsi="Arial" w:cs="Arial"/>
          <w:sz w:val="20"/>
          <w:szCs w:val="20"/>
        </w:rPr>
        <w:t>a</w:t>
      </w:r>
      <w:r w:rsidR="002E771C" w:rsidRPr="000A5187">
        <w:rPr>
          <w:rFonts w:ascii="Arial" w:hAnsi="Arial" w:cs="Arial"/>
          <w:sz w:val="20"/>
          <w:szCs w:val="20"/>
        </w:rPr>
        <w:t>r</w:t>
      </w:r>
      <w:r w:rsidR="00866AA7" w:rsidRPr="000A5187">
        <w:rPr>
          <w:rFonts w:ascii="Arial" w:hAnsi="Arial" w:cs="Arial"/>
          <w:sz w:val="20"/>
          <w:szCs w:val="20"/>
        </w:rPr>
        <w:t>a</w:t>
      </w:r>
      <w:r w:rsidR="002E771C" w:rsidRPr="000A5187">
        <w:rPr>
          <w:rFonts w:ascii="Arial" w:hAnsi="Arial" w:cs="Arial"/>
          <w:sz w:val="20"/>
          <w:szCs w:val="20"/>
        </w:rPr>
        <w:t xml:space="preserve"> reembol</w:t>
      </w:r>
      <w:r w:rsidR="00866AA7" w:rsidRPr="000A5187">
        <w:rPr>
          <w:rFonts w:ascii="Arial" w:hAnsi="Arial" w:cs="Arial"/>
          <w:sz w:val="20"/>
          <w:szCs w:val="20"/>
        </w:rPr>
        <w:t xml:space="preserve">sarla </w:t>
      </w:r>
      <w:r w:rsidRPr="000A5187">
        <w:rPr>
          <w:rFonts w:ascii="Arial" w:hAnsi="Arial" w:cs="Arial"/>
          <w:sz w:val="20"/>
          <w:szCs w:val="20"/>
        </w:rPr>
        <w:t xml:space="preserve">de beneficios a los empleados ya pagados por la entidad. </w:t>
      </w:r>
    </w:p>
    <w:p w:rsidR="00421257" w:rsidRPr="000A5187" w:rsidRDefault="00421257" w:rsidP="005639A7">
      <w:pPr>
        <w:ind w:left="1418"/>
        <w:jc w:val="both"/>
        <w:rPr>
          <w:rFonts w:ascii="Arial" w:hAnsi="Arial" w:cs="Arial"/>
          <w:sz w:val="20"/>
          <w:szCs w:val="20"/>
        </w:rPr>
      </w:pPr>
      <w:r w:rsidRPr="000A5187">
        <w:rPr>
          <w:rFonts w:ascii="Arial" w:hAnsi="Arial" w:cs="Arial"/>
          <w:sz w:val="20"/>
          <w:szCs w:val="20"/>
          <w:u w:val="single" w:color="000000"/>
        </w:rPr>
        <w:t>Beneficios a empleados</w:t>
      </w:r>
      <w:r w:rsidRPr="000A5187">
        <w:rPr>
          <w:rFonts w:ascii="Arial" w:hAnsi="Arial" w:cs="Arial"/>
          <w:sz w:val="20"/>
          <w:szCs w:val="20"/>
        </w:rPr>
        <w:t xml:space="preserve">: </w:t>
      </w:r>
      <w:r w:rsidR="00D81E8F" w:rsidRPr="000A5187">
        <w:rPr>
          <w:rFonts w:ascii="Arial" w:hAnsi="Arial" w:cs="Arial"/>
          <w:sz w:val="20"/>
          <w:szCs w:val="20"/>
        </w:rPr>
        <w:t>T</w:t>
      </w:r>
      <w:r w:rsidRPr="000A5187">
        <w:rPr>
          <w:rFonts w:ascii="Arial" w:hAnsi="Arial" w:cs="Arial"/>
          <w:sz w:val="20"/>
          <w:szCs w:val="20"/>
        </w:rPr>
        <w:t xml:space="preserve">odas las retribuciones que una entidad proporciona a sus empleados a cambio de los servicios prestados, diferentes de las indemnizaciones y otros beneficios por terminación de la relación laboral y de </w:t>
      </w:r>
      <w:r w:rsidRPr="000A5187">
        <w:rPr>
          <w:rFonts w:ascii="Arial" w:hAnsi="Arial" w:cs="Arial"/>
          <w:sz w:val="20"/>
          <w:szCs w:val="20"/>
        </w:rPr>
        <w:lastRenderedPageBreak/>
        <w:t xml:space="preserve">las retribuciones y beneficios mediante instrumentos </w:t>
      </w:r>
      <w:r w:rsidR="0029515E" w:rsidRPr="000A5187">
        <w:rPr>
          <w:rFonts w:ascii="Arial" w:hAnsi="Arial" w:cs="Arial"/>
          <w:sz w:val="20"/>
          <w:szCs w:val="20"/>
        </w:rPr>
        <w:t>de capital propios, o de otra entidad del grupo</w:t>
      </w:r>
      <w:r w:rsidRPr="000A5187">
        <w:rPr>
          <w:rFonts w:ascii="Arial" w:hAnsi="Arial" w:cs="Arial"/>
          <w:sz w:val="20"/>
          <w:szCs w:val="20"/>
        </w:rPr>
        <w:t xml:space="preserve">. </w:t>
      </w:r>
    </w:p>
    <w:p w:rsidR="004659C3" w:rsidRPr="000A5187" w:rsidRDefault="004659C3" w:rsidP="005639A7">
      <w:pPr>
        <w:ind w:left="1418"/>
        <w:jc w:val="both"/>
        <w:rPr>
          <w:rFonts w:ascii="Arial" w:hAnsi="Arial" w:cs="Arial"/>
          <w:sz w:val="20"/>
          <w:szCs w:val="20"/>
          <w:u w:val="single" w:color="000000"/>
        </w:rPr>
      </w:pPr>
      <w:r w:rsidRPr="000A5187">
        <w:rPr>
          <w:rFonts w:ascii="Arial" w:hAnsi="Arial" w:cs="Arial"/>
          <w:sz w:val="20"/>
          <w:szCs w:val="20"/>
          <w:u w:val="single" w:color="000000"/>
        </w:rPr>
        <w:t>Beneficios a corto plazo a empleados:</w:t>
      </w:r>
      <w:r w:rsidRPr="000A5187">
        <w:rPr>
          <w:rFonts w:ascii="Arial" w:hAnsi="Arial" w:cs="Arial"/>
          <w:sz w:val="20"/>
          <w:szCs w:val="20"/>
        </w:rPr>
        <w:t xml:space="preserve"> </w:t>
      </w:r>
      <w:r w:rsidR="00D81E8F" w:rsidRPr="000A5187">
        <w:rPr>
          <w:rFonts w:ascii="Arial" w:hAnsi="Arial" w:cs="Arial"/>
          <w:sz w:val="20"/>
          <w:szCs w:val="20"/>
        </w:rPr>
        <w:t>B</w:t>
      </w:r>
      <w:r w:rsidRPr="000A5187">
        <w:rPr>
          <w:rFonts w:ascii="Arial" w:hAnsi="Arial" w:cs="Arial"/>
          <w:sz w:val="20"/>
          <w:szCs w:val="20"/>
        </w:rPr>
        <w:t>eneficios cuyo pago debe ser atendido en el término de los doce meses siguientes al cierre del periodo en el cual los empleados han prestado sus servicios.</w:t>
      </w:r>
    </w:p>
    <w:p w:rsidR="00421257" w:rsidRPr="000A5187" w:rsidRDefault="00421257" w:rsidP="005639A7">
      <w:pPr>
        <w:ind w:left="1418"/>
        <w:jc w:val="both"/>
        <w:rPr>
          <w:rFonts w:ascii="Arial" w:hAnsi="Arial" w:cs="Arial"/>
          <w:sz w:val="20"/>
          <w:szCs w:val="20"/>
        </w:rPr>
      </w:pPr>
      <w:r w:rsidRPr="000A5187">
        <w:rPr>
          <w:rFonts w:ascii="Arial" w:hAnsi="Arial" w:cs="Arial"/>
          <w:sz w:val="20"/>
          <w:szCs w:val="20"/>
          <w:u w:val="single" w:color="000000"/>
        </w:rPr>
        <w:t>Beneficios a largo plazo a empleados posteriores a la terminación de la relación</w:t>
      </w:r>
      <w:r w:rsidRPr="000A5187">
        <w:rPr>
          <w:rFonts w:ascii="Arial" w:hAnsi="Arial" w:cs="Arial"/>
          <w:sz w:val="20"/>
          <w:szCs w:val="20"/>
        </w:rPr>
        <w:t xml:space="preserve"> </w:t>
      </w:r>
      <w:r w:rsidRPr="000A5187">
        <w:rPr>
          <w:rFonts w:ascii="Arial" w:hAnsi="Arial" w:cs="Arial"/>
          <w:sz w:val="20"/>
          <w:szCs w:val="20"/>
          <w:u w:val="single" w:color="000000"/>
        </w:rPr>
        <w:t>laboral (o “beneficios post-relación laboral”)</w:t>
      </w:r>
      <w:r w:rsidRPr="000A5187">
        <w:rPr>
          <w:rFonts w:ascii="Arial" w:hAnsi="Arial" w:cs="Arial"/>
          <w:sz w:val="20"/>
          <w:szCs w:val="20"/>
        </w:rPr>
        <w:t xml:space="preserve">: </w:t>
      </w:r>
      <w:r w:rsidR="00D81E8F" w:rsidRPr="000A5187">
        <w:rPr>
          <w:rFonts w:ascii="Arial" w:hAnsi="Arial" w:cs="Arial"/>
          <w:sz w:val="20"/>
          <w:szCs w:val="20"/>
        </w:rPr>
        <w:t>B</w:t>
      </w:r>
      <w:r w:rsidRPr="000A5187">
        <w:rPr>
          <w:rFonts w:ascii="Arial" w:hAnsi="Arial" w:cs="Arial"/>
          <w:sz w:val="20"/>
          <w:szCs w:val="20"/>
        </w:rPr>
        <w:t xml:space="preserve">eneficios que se pagan una vez que el empleado cesa en el desempeño de sus funciones. Entre los beneficios post-relación laboral se incluyen, por ejemplo: </w:t>
      </w:r>
    </w:p>
    <w:p w:rsidR="00421257" w:rsidRPr="000A5187" w:rsidRDefault="00421257" w:rsidP="00C01B25">
      <w:pPr>
        <w:numPr>
          <w:ilvl w:val="0"/>
          <w:numId w:val="476"/>
        </w:numPr>
        <w:spacing w:line="264" w:lineRule="auto"/>
        <w:ind w:left="1985" w:hanging="567"/>
        <w:jc w:val="both"/>
        <w:rPr>
          <w:rFonts w:ascii="Arial" w:hAnsi="Arial" w:cs="Arial"/>
          <w:sz w:val="20"/>
          <w:szCs w:val="20"/>
        </w:rPr>
      </w:pPr>
      <w:r w:rsidRPr="000A5187">
        <w:rPr>
          <w:rFonts w:ascii="Arial" w:hAnsi="Arial" w:cs="Arial"/>
          <w:sz w:val="20"/>
          <w:szCs w:val="20"/>
        </w:rPr>
        <w:t xml:space="preserve">beneficios por retiro, tales como las pensiones; y </w:t>
      </w:r>
    </w:p>
    <w:p w:rsidR="00421257" w:rsidRPr="000A5187" w:rsidRDefault="00421257" w:rsidP="00C01B25">
      <w:pPr>
        <w:numPr>
          <w:ilvl w:val="0"/>
          <w:numId w:val="476"/>
        </w:numPr>
        <w:spacing w:line="264" w:lineRule="auto"/>
        <w:ind w:left="1985" w:hanging="567"/>
        <w:jc w:val="both"/>
        <w:rPr>
          <w:rFonts w:ascii="Arial" w:hAnsi="Arial" w:cs="Arial"/>
          <w:sz w:val="20"/>
          <w:szCs w:val="20"/>
        </w:rPr>
      </w:pPr>
      <w:r w:rsidRPr="000A5187">
        <w:rPr>
          <w:rFonts w:ascii="Arial" w:hAnsi="Arial" w:cs="Arial"/>
          <w:sz w:val="20"/>
          <w:szCs w:val="20"/>
        </w:rPr>
        <w:t xml:space="preserve">otros beneficios tales como seguros de vida, atención médica, tratamientos odontológicos, asistencia legal, etc. </w:t>
      </w:r>
    </w:p>
    <w:p w:rsidR="00421257" w:rsidRPr="000A5187" w:rsidRDefault="00421257" w:rsidP="005639A7">
      <w:pPr>
        <w:ind w:left="1418"/>
        <w:jc w:val="both"/>
        <w:rPr>
          <w:rFonts w:ascii="Arial" w:hAnsi="Arial" w:cs="Arial"/>
          <w:sz w:val="20"/>
          <w:szCs w:val="20"/>
        </w:rPr>
      </w:pPr>
      <w:r w:rsidRPr="000A5187">
        <w:rPr>
          <w:rFonts w:ascii="Arial" w:hAnsi="Arial" w:cs="Arial"/>
          <w:sz w:val="20"/>
          <w:szCs w:val="20"/>
          <w:u w:val="single" w:color="000000"/>
        </w:rPr>
        <w:t>Beneficios irrevocables a empleados</w:t>
      </w:r>
      <w:r w:rsidRPr="000A5187">
        <w:rPr>
          <w:rFonts w:ascii="Arial" w:hAnsi="Arial" w:cs="Arial"/>
          <w:sz w:val="20"/>
          <w:szCs w:val="20"/>
          <w:u w:color="000000"/>
        </w:rPr>
        <w:t xml:space="preserve">: </w:t>
      </w:r>
      <w:r w:rsidR="00D81E8F" w:rsidRPr="000A5187">
        <w:rPr>
          <w:rFonts w:ascii="Arial" w:hAnsi="Arial" w:cs="Arial"/>
          <w:sz w:val="20"/>
          <w:szCs w:val="20"/>
        </w:rPr>
        <w:t>R</w:t>
      </w:r>
      <w:r w:rsidRPr="000A5187">
        <w:rPr>
          <w:rFonts w:ascii="Arial" w:hAnsi="Arial" w:cs="Arial"/>
          <w:sz w:val="20"/>
          <w:szCs w:val="20"/>
        </w:rPr>
        <w:t xml:space="preserve">emuneraciones que no están condicionadas por la existencia de una relación de empleo o trabajo futuro del empleado. </w:t>
      </w:r>
    </w:p>
    <w:p w:rsidR="00421257" w:rsidRPr="000A5187" w:rsidRDefault="00421257" w:rsidP="005639A7">
      <w:pPr>
        <w:ind w:left="1418"/>
        <w:jc w:val="both"/>
        <w:rPr>
          <w:rFonts w:ascii="Arial" w:hAnsi="Arial" w:cs="Arial"/>
          <w:sz w:val="20"/>
          <w:szCs w:val="20"/>
        </w:rPr>
      </w:pPr>
      <w:r w:rsidRPr="000A5187">
        <w:rPr>
          <w:rFonts w:ascii="Arial" w:hAnsi="Arial" w:cs="Arial"/>
          <w:sz w:val="20"/>
          <w:szCs w:val="20"/>
          <w:u w:val="single" w:color="000000"/>
        </w:rPr>
        <w:t>Costo de los servicios del período presente</w:t>
      </w:r>
      <w:r w:rsidRPr="000A5187">
        <w:rPr>
          <w:rFonts w:ascii="Arial" w:hAnsi="Arial" w:cs="Arial"/>
          <w:sz w:val="20"/>
          <w:szCs w:val="20"/>
        </w:rPr>
        <w:t xml:space="preserve">: </w:t>
      </w:r>
      <w:r w:rsidR="00D81E8F" w:rsidRPr="000A5187">
        <w:rPr>
          <w:rFonts w:ascii="Arial" w:hAnsi="Arial" w:cs="Arial"/>
          <w:sz w:val="20"/>
          <w:szCs w:val="20"/>
        </w:rPr>
        <w:t>I</w:t>
      </w:r>
      <w:r w:rsidRPr="000A5187">
        <w:rPr>
          <w:rFonts w:ascii="Arial" w:hAnsi="Arial" w:cs="Arial"/>
          <w:sz w:val="20"/>
          <w:szCs w:val="20"/>
        </w:rPr>
        <w:t xml:space="preserve">ncremento en el valor presente de las obligaciones por beneficios definidos que se produce como consecuencia de los servicios prestados por los empleados en el periodo presente. </w:t>
      </w:r>
    </w:p>
    <w:p w:rsidR="00421257" w:rsidRPr="000A5187" w:rsidRDefault="00421257" w:rsidP="005639A7">
      <w:pPr>
        <w:ind w:left="1418"/>
        <w:jc w:val="both"/>
        <w:rPr>
          <w:rFonts w:ascii="Arial" w:hAnsi="Arial" w:cs="Arial"/>
          <w:sz w:val="20"/>
          <w:szCs w:val="20"/>
        </w:rPr>
      </w:pPr>
      <w:r w:rsidRPr="000A5187">
        <w:rPr>
          <w:rFonts w:ascii="Arial" w:hAnsi="Arial" w:cs="Arial"/>
          <w:sz w:val="20"/>
          <w:szCs w:val="20"/>
          <w:u w:val="single" w:color="000000"/>
        </w:rPr>
        <w:t>Costo por servicios prestados en el pasado</w:t>
      </w:r>
      <w:r w:rsidRPr="000A5187">
        <w:rPr>
          <w:rFonts w:ascii="Arial" w:hAnsi="Arial" w:cs="Arial"/>
          <w:sz w:val="20"/>
          <w:szCs w:val="20"/>
        </w:rPr>
        <w:t xml:space="preserve">: </w:t>
      </w:r>
      <w:r w:rsidR="00D81E8F" w:rsidRPr="000A5187">
        <w:rPr>
          <w:rFonts w:ascii="Arial" w:hAnsi="Arial" w:cs="Arial"/>
          <w:sz w:val="20"/>
          <w:szCs w:val="20"/>
        </w:rPr>
        <w:t>I</w:t>
      </w:r>
      <w:r w:rsidRPr="000A5187">
        <w:rPr>
          <w:rFonts w:ascii="Arial" w:hAnsi="Arial" w:cs="Arial"/>
          <w:sz w:val="20"/>
          <w:szCs w:val="20"/>
        </w:rPr>
        <w:t xml:space="preserve">ncremento en el valor presente de las obligaciones por beneficios definidos derivadas del plan debido a servicios prestados por los empleados en períodos anteriores, puestos de manifiesto en el período presente por la introducción de nuevos beneficios post-relación laboral o por la modificación de los ya existentes. El costo por servicios prestados en el pasado puede generar aumentos de pasivos (si se introducen nuevos beneficios o se mejoran los existentes) o reducciones de </w:t>
      </w:r>
      <w:r w:rsidRPr="000A5187">
        <w:rPr>
          <w:rFonts w:ascii="Arial" w:hAnsi="Arial" w:cs="Arial"/>
          <w:b/>
          <w:bCs/>
          <w:sz w:val="20"/>
          <w:szCs w:val="20"/>
        </w:rPr>
        <w:t xml:space="preserve">pasivo </w:t>
      </w:r>
      <w:r w:rsidRPr="000A5187">
        <w:rPr>
          <w:rFonts w:ascii="Arial" w:hAnsi="Arial" w:cs="Arial"/>
          <w:sz w:val="20"/>
          <w:szCs w:val="20"/>
        </w:rPr>
        <w:t xml:space="preserve">(si los beneficios existentes se reducen). </w:t>
      </w:r>
    </w:p>
    <w:p w:rsidR="00421257" w:rsidRPr="00AC4AEA" w:rsidRDefault="00421257" w:rsidP="005639A7">
      <w:pPr>
        <w:ind w:left="1418"/>
        <w:jc w:val="both"/>
        <w:rPr>
          <w:rFonts w:ascii="Arial" w:hAnsi="Arial" w:cs="Arial"/>
          <w:sz w:val="20"/>
          <w:szCs w:val="20"/>
        </w:rPr>
      </w:pPr>
      <w:r w:rsidRPr="000A5187">
        <w:rPr>
          <w:rFonts w:ascii="Arial" w:hAnsi="Arial" w:cs="Arial"/>
          <w:sz w:val="20"/>
          <w:szCs w:val="20"/>
          <w:u w:val="single" w:color="000000"/>
        </w:rPr>
        <w:t>Fondo</w:t>
      </w:r>
      <w:r w:rsidRPr="000A5187">
        <w:rPr>
          <w:rFonts w:ascii="Arial" w:hAnsi="Arial" w:cs="Arial"/>
          <w:sz w:val="20"/>
          <w:szCs w:val="20"/>
        </w:rPr>
        <w:t>: Entidad fiduciaria, jurídicamente separada de</w:t>
      </w:r>
      <w:r w:rsidRPr="00AC4AEA">
        <w:rPr>
          <w:rFonts w:ascii="Arial" w:hAnsi="Arial" w:cs="Arial"/>
          <w:sz w:val="20"/>
          <w:szCs w:val="20"/>
        </w:rPr>
        <w:t xml:space="preserve"> la entidad, encargada de administrar los activos del plan contribuidos por la entidad y eventualmente, por los empleados, y de pagar directamente los beneficios post-relación laboral o de transferir los activos del plan a otra entidad que se encargue del pago de tales beneficios.</w:t>
      </w:r>
      <w:r w:rsidR="006F2C57">
        <w:rPr>
          <w:rFonts w:ascii="Arial" w:hAnsi="Arial" w:cs="Arial"/>
          <w:sz w:val="20"/>
          <w:szCs w:val="20"/>
        </w:rPr>
        <w:t xml:space="preserve"> </w:t>
      </w:r>
    </w:p>
    <w:p w:rsidR="00421257" w:rsidRPr="000A5187" w:rsidRDefault="00421257" w:rsidP="005639A7">
      <w:pPr>
        <w:spacing w:after="151" w:line="256" w:lineRule="auto"/>
        <w:ind w:left="1418" w:hanging="10"/>
        <w:jc w:val="both"/>
        <w:rPr>
          <w:rFonts w:ascii="Arial" w:hAnsi="Arial" w:cs="Arial"/>
          <w:sz w:val="20"/>
          <w:szCs w:val="20"/>
        </w:rPr>
      </w:pPr>
      <w:r w:rsidRPr="000A5187">
        <w:rPr>
          <w:rFonts w:ascii="Arial" w:hAnsi="Arial" w:cs="Arial"/>
          <w:sz w:val="20"/>
          <w:szCs w:val="20"/>
          <w:u w:val="single" w:color="000000"/>
        </w:rPr>
        <w:t>Ganancias y pérdidas actuariales</w:t>
      </w:r>
      <w:r w:rsidRPr="000A5187">
        <w:rPr>
          <w:rFonts w:ascii="Arial" w:hAnsi="Arial" w:cs="Arial"/>
          <w:sz w:val="20"/>
          <w:szCs w:val="20"/>
          <w:u w:color="000000"/>
        </w:rPr>
        <w:t xml:space="preserve">: </w:t>
      </w:r>
      <w:r w:rsidR="00D81E8F" w:rsidRPr="000A5187">
        <w:rPr>
          <w:rFonts w:ascii="Arial" w:hAnsi="Arial" w:cs="Arial"/>
          <w:sz w:val="20"/>
          <w:szCs w:val="20"/>
        </w:rPr>
        <w:t>A</w:t>
      </w:r>
      <w:r w:rsidRPr="000A5187">
        <w:rPr>
          <w:rFonts w:ascii="Arial" w:hAnsi="Arial" w:cs="Arial"/>
          <w:sz w:val="20"/>
          <w:szCs w:val="20"/>
        </w:rPr>
        <w:t>qu</w:t>
      </w:r>
      <w:r w:rsidR="00D81E8F" w:rsidRPr="000A5187">
        <w:rPr>
          <w:rFonts w:ascii="Arial" w:hAnsi="Arial" w:cs="Arial"/>
          <w:sz w:val="20"/>
          <w:szCs w:val="20"/>
        </w:rPr>
        <w:t>e</w:t>
      </w:r>
      <w:r w:rsidRPr="000A5187">
        <w:rPr>
          <w:rFonts w:ascii="Arial" w:hAnsi="Arial" w:cs="Arial"/>
          <w:sz w:val="20"/>
          <w:szCs w:val="20"/>
        </w:rPr>
        <w:t xml:space="preserve">llas que comprenden: </w:t>
      </w:r>
    </w:p>
    <w:p w:rsidR="00421257" w:rsidRPr="000A5187" w:rsidRDefault="00421257" w:rsidP="00C01B25">
      <w:pPr>
        <w:numPr>
          <w:ilvl w:val="0"/>
          <w:numId w:val="477"/>
        </w:numPr>
        <w:spacing w:line="264" w:lineRule="auto"/>
        <w:ind w:left="1985" w:hanging="567"/>
        <w:jc w:val="both"/>
        <w:rPr>
          <w:rFonts w:ascii="Arial" w:hAnsi="Arial" w:cs="Arial"/>
          <w:sz w:val="20"/>
          <w:szCs w:val="20"/>
        </w:rPr>
      </w:pPr>
      <w:r w:rsidRPr="000A5187">
        <w:rPr>
          <w:rFonts w:ascii="Arial" w:hAnsi="Arial" w:cs="Arial"/>
          <w:sz w:val="20"/>
          <w:szCs w:val="20"/>
        </w:rPr>
        <w:t xml:space="preserve">los ajustes por experiencia (que miden los efectos de las diferencias entre los supuestos actuariales previos y los sucesos efectivamente ocurridos en relación con el plan); y </w:t>
      </w:r>
    </w:p>
    <w:p w:rsidR="00421257" w:rsidRPr="000A5187" w:rsidRDefault="00421257" w:rsidP="00C01B25">
      <w:pPr>
        <w:numPr>
          <w:ilvl w:val="0"/>
          <w:numId w:val="477"/>
        </w:numPr>
        <w:spacing w:line="264" w:lineRule="auto"/>
        <w:ind w:left="1985" w:hanging="567"/>
        <w:jc w:val="both"/>
        <w:rPr>
          <w:rFonts w:ascii="Arial" w:hAnsi="Arial" w:cs="Arial"/>
          <w:sz w:val="20"/>
          <w:szCs w:val="20"/>
        </w:rPr>
      </w:pPr>
      <w:r w:rsidRPr="000A5187">
        <w:rPr>
          <w:rFonts w:ascii="Arial" w:hAnsi="Arial" w:cs="Arial"/>
          <w:sz w:val="20"/>
          <w:szCs w:val="20"/>
        </w:rPr>
        <w:t xml:space="preserve">los cambios en los supuestos actuariales. </w:t>
      </w:r>
    </w:p>
    <w:p w:rsidR="00AC27D6" w:rsidRPr="00AC4AEA" w:rsidRDefault="00AC27D6" w:rsidP="005639A7">
      <w:pPr>
        <w:spacing w:line="264" w:lineRule="auto"/>
        <w:ind w:left="1418"/>
        <w:jc w:val="both"/>
        <w:rPr>
          <w:rFonts w:ascii="Arial" w:hAnsi="Arial" w:cs="Arial"/>
          <w:sz w:val="20"/>
          <w:szCs w:val="20"/>
        </w:rPr>
      </w:pPr>
      <w:r w:rsidRPr="00AC4AEA">
        <w:rPr>
          <w:rFonts w:ascii="Arial" w:hAnsi="Arial" w:cs="Arial"/>
          <w:sz w:val="20"/>
          <w:szCs w:val="20"/>
          <w:u w:val="single"/>
        </w:rPr>
        <w:t>Indemnizaciones y otros beneficios por terminación de la relación laboral</w:t>
      </w:r>
      <w:r w:rsidRPr="00AC4AEA">
        <w:rPr>
          <w:rFonts w:ascii="Arial" w:hAnsi="Arial" w:cs="Arial"/>
          <w:sz w:val="20"/>
          <w:szCs w:val="20"/>
        </w:rPr>
        <w:t xml:space="preserve">: </w:t>
      </w:r>
      <w:r w:rsidR="00D81E8F">
        <w:rPr>
          <w:rFonts w:ascii="Arial" w:hAnsi="Arial" w:cs="Arial"/>
          <w:sz w:val="20"/>
          <w:szCs w:val="20"/>
        </w:rPr>
        <w:t>R</w:t>
      </w:r>
      <w:r w:rsidRPr="00AC4AEA">
        <w:rPr>
          <w:rFonts w:ascii="Arial" w:hAnsi="Arial" w:cs="Arial"/>
          <w:sz w:val="20"/>
          <w:szCs w:val="20"/>
        </w:rPr>
        <w:t>emuneraciones que reciben los empleados como consecuencia de:</w:t>
      </w:r>
    </w:p>
    <w:p w:rsidR="00AC27D6" w:rsidRPr="00AC4AEA" w:rsidRDefault="00AC27D6" w:rsidP="00C01B25">
      <w:pPr>
        <w:numPr>
          <w:ilvl w:val="0"/>
          <w:numId w:val="641"/>
        </w:numPr>
        <w:spacing w:line="264" w:lineRule="auto"/>
        <w:ind w:left="1985" w:hanging="567"/>
        <w:jc w:val="both"/>
        <w:rPr>
          <w:rFonts w:ascii="Arial" w:hAnsi="Arial" w:cs="Arial"/>
          <w:sz w:val="20"/>
          <w:szCs w:val="20"/>
        </w:rPr>
      </w:pPr>
      <w:r w:rsidRPr="00AC4AEA">
        <w:rPr>
          <w:rFonts w:ascii="Arial" w:hAnsi="Arial" w:cs="Arial"/>
          <w:sz w:val="20"/>
          <w:szCs w:val="20"/>
        </w:rPr>
        <w:t>una decisión del empleador de terminar la relación laboral antes de la edad de retiro del empleado; o bien</w:t>
      </w:r>
    </w:p>
    <w:p w:rsidR="00AC27D6" w:rsidRPr="00AC4AEA" w:rsidRDefault="00AC27D6" w:rsidP="00C01B25">
      <w:pPr>
        <w:numPr>
          <w:ilvl w:val="0"/>
          <w:numId w:val="641"/>
        </w:numPr>
        <w:spacing w:line="264" w:lineRule="auto"/>
        <w:ind w:left="1985" w:hanging="567"/>
        <w:jc w:val="both"/>
        <w:rPr>
          <w:rFonts w:ascii="Arial" w:hAnsi="Arial" w:cs="Arial"/>
          <w:sz w:val="20"/>
          <w:szCs w:val="20"/>
        </w:rPr>
      </w:pPr>
      <w:r w:rsidRPr="00AC4AEA">
        <w:rPr>
          <w:rFonts w:ascii="Arial" w:hAnsi="Arial" w:cs="Arial"/>
          <w:sz w:val="20"/>
          <w:szCs w:val="20"/>
        </w:rPr>
        <w:lastRenderedPageBreak/>
        <w:t>una decisión del empleado de aceptar voluntariamente la conclusión de la relación laboral a cambio de tales beneficios.</w:t>
      </w:r>
    </w:p>
    <w:p w:rsidR="003D0F9B" w:rsidRPr="000A5187" w:rsidRDefault="003D0F9B" w:rsidP="005639A7">
      <w:pPr>
        <w:ind w:left="1418"/>
        <w:jc w:val="both"/>
        <w:rPr>
          <w:rFonts w:ascii="Arial" w:hAnsi="Arial" w:cs="Arial"/>
          <w:sz w:val="20"/>
          <w:szCs w:val="20"/>
          <w:u w:val="single" w:color="000000"/>
        </w:rPr>
      </w:pPr>
      <w:r w:rsidRPr="00AC4AEA">
        <w:rPr>
          <w:rFonts w:ascii="Arial" w:hAnsi="Arial" w:cs="Arial"/>
          <w:sz w:val="20"/>
          <w:szCs w:val="20"/>
          <w:u w:val="single" w:color="000000"/>
        </w:rPr>
        <w:t xml:space="preserve">Interés neto sobre el pasivo (activo) por beneficios definidos </w:t>
      </w:r>
      <w:r w:rsidRPr="000A5187">
        <w:rPr>
          <w:rFonts w:ascii="Arial" w:hAnsi="Arial" w:cs="Arial"/>
          <w:sz w:val="20"/>
          <w:szCs w:val="20"/>
          <w:u w:val="single" w:color="000000"/>
        </w:rPr>
        <w:t>neto:</w:t>
      </w:r>
      <w:r w:rsidRPr="000A5187">
        <w:rPr>
          <w:rFonts w:ascii="Arial" w:hAnsi="Arial" w:cs="Arial"/>
          <w:sz w:val="20"/>
          <w:szCs w:val="20"/>
        </w:rPr>
        <w:t xml:space="preserve"> </w:t>
      </w:r>
      <w:r w:rsidR="00D81E8F" w:rsidRPr="000A5187">
        <w:rPr>
          <w:rFonts w:ascii="Arial" w:hAnsi="Arial" w:cs="Arial"/>
          <w:sz w:val="20"/>
          <w:szCs w:val="20"/>
        </w:rPr>
        <w:t>C</w:t>
      </w:r>
      <w:r w:rsidRPr="000A5187">
        <w:rPr>
          <w:rFonts w:ascii="Arial" w:hAnsi="Arial" w:cs="Arial"/>
          <w:sz w:val="20"/>
          <w:szCs w:val="20"/>
        </w:rPr>
        <w:t>ambio durante el periodo en el pasivo (activo) por beneficios definidos neto que surge del paso del tiempo.</w:t>
      </w:r>
    </w:p>
    <w:p w:rsidR="00855D07" w:rsidRPr="000A5187" w:rsidRDefault="00855D07" w:rsidP="005639A7">
      <w:pPr>
        <w:ind w:left="1418"/>
        <w:jc w:val="both"/>
        <w:rPr>
          <w:rFonts w:ascii="Arial" w:hAnsi="Arial" w:cs="Arial"/>
          <w:sz w:val="20"/>
          <w:szCs w:val="20"/>
          <w:u w:color="000000"/>
        </w:rPr>
      </w:pPr>
      <w:r w:rsidRPr="000A5187">
        <w:rPr>
          <w:rFonts w:ascii="Arial" w:hAnsi="Arial" w:cs="Arial"/>
          <w:sz w:val="20"/>
          <w:szCs w:val="20"/>
          <w:u w:val="single" w:color="000000"/>
        </w:rPr>
        <w:t xml:space="preserve">Nuevas mediciones del pasivo (activo) por beneficios definidos neto: </w:t>
      </w:r>
      <w:r w:rsidRPr="000A5187">
        <w:rPr>
          <w:rFonts w:ascii="Arial" w:hAnsi="Arial" w:cs="Arial"/>
          <w:sz w:val="20"/>
          <w:szCs w:val="20"/>
          <w:u w:color="000000"/>
        </w:rPr>
        <w:t>Comprenden:</w:t>
      </w:r>
    </w:p>
    <w:p w:rsidR="00855D07" w:rsidRPr="000A5187" w:rsidRDefault="00855D07" w:rsidP="00C01B25">
      <w:pPr>
        <w:pStyle w:val="Prrafodelista"/>
        <w:numPr>
          <w:ilvl w:val="0"/>
          <w:numId w:val="645"/>
        </w:numPr>
        <w:ind w:left="1843" w:hanging="425"/>
        <w:jc w:val="both"/>
        <w:rPr>
          <w:rFonts w:ascii="Arial" w:hAnsi="Arial" w:cs="Arial"/>
          <w:sz w:val="20"/>
          <w:szCs w:val="20"/>
        </w:rPr>
      </w:pPr>
      <w:r w:rsidRPr="000A5187">
        <w:rPr>
          <w:rFonts w:ascii="Arial" w:hAnsi="Arial" w:cs="Arial"/>
          <w:sz w:val="20"/>
          <w:szCs w:val="20"/>
        </w:rPr>
        <w:t>ganancias y pérdidas actuariales;</w:t>
      </w:r>
    </w:p>
    <w:p w:rsidR="00855D07" w:rsidRPr="000A5187" w:rsidRDefault="00855D07" w:rsidP="00C01B25">
      <w:pPr>
        <w:pStyle w:val="Prrafodelista"/>
        <w:numPr>
          <w:ilvl w:val="0"/>
          <w:numId w:val="645"/>
        </w:numPr>
        <w:ind w:left="1843" w:hanging="425"/>
        <w:jc w:val="both"/>
        <w:rPr>
          <w:rFonts w:ascii="Arial" w:hAnsi="Arial" w:cs="Arial"/>
          <w:sz w:val="20"/>
          <w:szCs w:val="20"/>
        </w:rPr>
      </w:pPr>
      <w:r w:rsidRPr="000A5187">
        <w:rPr>
          <w:rFonts w:ascii="Arial" w:hAnsi="Arial" w:cs="Arial"/>
          <w:sz w:val="20"/>
          <w:szCs w:val="20"/>
        </w:rPr>
        <w:t>el rendimiento de los activos del plan, excluyendo los importes incluidos en el interés neto sobre el pasivo (activo) por beneficios definidos neto;</w:t>
      </w:r>
    </w:p>
    <w:p w:rsidR="00BF43A6" w:rsidRPr="000A5187" w:rsidRDefault="00855D07" w:rsidP="00C01B25">
      <w:pPr>
        <w:pStyle w:val="Prrafodelista"/>
        <w:numPr>
          <w:ilvl w:val="0"/>
          <w:numId w:val="645"/>
        </w:numPr>
        <w:ind w:left="1843" w:hanging="425"/>
        <w:jc w:val="both"/>
        <w:rPr>
          <w:rFonts w:ascii="Arial" w:hAnsi="Arial" w:cs="Arial"/>
          <w:sz w:val="20"/>
          <w:szCs w:val="20"/>
        </w:rPr>
      </w:pPr>
      <w:r w:rsidRPr="000A5187">
        <w:rPr>
          <w:rFonts w:ascii="Arial" w:hAnsi="Arial" w:cs="Arial"/>
          <w:sz w:val="20"/>
          <w:szCs w:val="20"/>
        </w:rPr>
        <w:t>los cambios en el efecto del techo del activo, excluyendo los importes incluidos en el interés neto sobre el pasivo (activo) por beneficios definidos neto.</w:t>
      </w:r>
    </w:p>
    <w:p w:rsidR="00421257" w:rsidRPr="000A5187" w:rsidRDefault="00421257" w:rsidP="005639A7">
      <w:pPr>
        <w:ind w:left="1418"/>
        <w:jc w:val="both"/>
        <w:rPr>
          <w:rFonts w:ascii="Arial" w:hAnsi="Arial" w:cs="Arial"/>
          <w:sz w:val="20"/>
          <w:szCs w:val="20"/>
        </w:rPr>
      </w:pPr>
      <w:r w:rsidRPr="000A5187">
        <w:rPr>
          <w:rFonts w:ascii="Arial" w:hAnsi="Arial" w:cs="Arial"/>
          <w:sz w:val="20"/>
          <w:szCs w:val="20"/>
          <w:u w:val="single" w:color="000000"/>
        </w:rPr>
        <w:t>Otros beneficios a largo plazo a empleados</w:t>
      </w:r>
      <w:r w:rsidRPr="000A5187">
        <w:rPr>
          <w:rFonts w:ascii="Arial" w:hAnsi="Arial" w:cs="Arial"/>
          <w:sz w:val="20"/>
          <w:szCs w:val="20"/>
          <w:u w:color="000000"/>
        </w:rPr>
        <w:t>:</w:t>
      </w:r>
      <w:r w:rsidRPr="000A5187">
        <w:rPr>
          <w:rFonts w:ascii="Arial" w:hAnsi="Arial" w:cs="Arial"/>
          <w:sz w:val="20"/>
          <w:szCs w:val="20"/>
        </w:rPr>
        <w:t xml:space="preserve"> </w:t>
      </w:r>
      <w:r w:rsidR="00D81E8F" w:rsidRPr="000A5187">
        <w:rPr>
          <w:rFonts w:ascii="Arial" w:hAnsi="Arial" w:cs="Arial"/>
          <w:sz w:val="20"/>
          <w:szCs w:val="20"/>
        </w:rPr>
        <w:t>R</w:t>
      </w:r>
      <w:r w:rsidRPr="000A5187">
        <w:rPr>
          <w:rFonts w:ascii="Arial" w:hAnsi="Arial" w:cs="Arial"/>
          <w:sz w:val="20"/>
          <w:szCs w:val="20"/>
        </w:rPr>
        <w:t xml:space="preserve">etribuciones a los empleados (diferentes de los beneficios post-relación laboral, de las indemnizaciones y otros beneficios por terminación de la relación laboral y de las retribuciones y beneficios mediante instrumentos financieros de capital) cuyo pago no ha de ser atendido dentro de los doce meses siguientes al cierre del periodo en el cual los empleados han prestado sus servicios. </w:t>
      </w:r>
    </w:p>
    <w:p w:rsidR="00421257" w:rsidRPr="00AC4AEA" w:rsidRDefault="00421257" w:rsidP="005639A7">
      <w:pPr>
        <w:ind w:left="1418"/>
        <w:jc w:val="both"/>
        <w:rPr>
          <w:rFonts w:ascii="Arial" w:hAnsi="Arial" w:cs="Arial"/>
          <w:sz w:val="20"/>
          <w:szCs w:val="20"/>
        </w:rPr>
      </w:pPr>
      <w:r w:rsidRPr="000A5187">
        <w:rPr>
          <w:rFonts w:ascii="Arial" w:hAnsi="Arial" w:cs="Arial"/>
          <w:sz w:val="20"/>
          <w:szCs w:val="20"/>
          <w:u w:val="single" w:color="000000"/>
        </w:rPr>
        <w:t>Planes de beneficios definidos</w:t>
      </w:r>
      <w:r w:rsidRPr="000A5187">
        <w:rPr>
          <w:rFonts w:ascii="Arial" w:hAnsi="Arial" w:cs="Arial"/>
          <w:sz w:val="20"/>
          <w:szCs w:val="20"/>
          <w:u w:color="000000"/>
        </w:rPr>
        <w:t xml:space="preserve">: </w:t>
      </w:r>
      <w:r w:rsidR="00D81E8F" w:rsidRPr="000A5187">
        <w:rPr>
          <w:rFonts w:ascii="Arial" w:hAnsi="Arial" w:cs="Arial"/>
          <w:sz w:val="20"/>
          <w:szCs w:val="20"/>
        </w:rPr>
        <w:t>P</w:t>
      </w:r>
      <w:r w:rsidRPr="000A5187">
        <w:rPr>
          <w:rFonts w:ascii="Arial" w:hAnsi="Arial" w:cs="Arial"/>
          <w:sz w:val="20"/>
          <w:szCs w:val="20"/>
        </w:rPr>
        <w:t>lanes de beneficios post-relación laboral diferentes de los planes de contribuciones definidas.</w:t>
      </w:r>
      <w:r w:rsidRPr="00AC4AEA">
        <w:rPr>
          <w:rFonts w:ascii="Arial" w:hAnsi="Arial" w:cs="Arial"/>
          <w:sz w:val="20"/>
          <w:szCs w:val="20"/>
        </w:rPr>
        <w:t xml:space="preserve"> </w:t>
      </w:r>
    </w:p>
    <w:p w:rsidR="00421257" w:rsidRPr="000A5187" w:rsidRDefault="00421257" w:rsidP="005639A7">
      <w:pPr>
        <w:ind w:left="1418"/>
        <w:jc w:val="both"/>
        <w:rPr>
          <w:rFonts w:ascii="Arial" w:hAnsi="Arial" w:cs="Arial"/>
          <w:sz w:val="20"/>
          <w:szCs w:val="20"/>
        </w:rPr>
      </w:pPr>
      <w:r w:rsidRPr="00AC4AEA">
        <w:rPr>
          <w:rFonts w:ascii="Arial" w:hAnsi="Arial" w:cs="Arial"/>
          <w:sz w:val="20"/>
          <w:szCs w:val="20"/>
          <w:u w:val="single" w:color="000000"/>
        </w:rPr>
        <w:t xml:space="preserve">Planes de </w:t>
      </w:r>
      <w:r w:rsidRPr="000A5187">
        <w:rPr>
          <w:rFonts w:ascii="Arial" w:hAnsi="Arial" w:cs="Arial"/>
          <w:sz w:val="20"/>
          <w:szCs w:val="20"/>
          <w:u w:val="single" w:color="000000"/>
        </w:rPr>
        <w:t>beneficios post-relación laboral</w:t>
      </w:r>
      <w:r w:rsidRPr="000A5187">
        <w:rPr>
          <w:rFonts w:ascii="Arial" w:hAnsi="Arial" w:cs="Arial"/>
          <w:sz w:val="20"/>
          <w:szCs w:val="20"/>
        </w:rPr>
        <w:t xml:space="preserve">: </w:t>
      </w:r>
      <w:r w:rsidR="00D81E8F" w:rsidRPr="000A5187">
        <w:rPr>
          <w:rFonts w:ascii="Arial" w:hAnsi="Arial" w:cs="Arial"/>
          <w:sz w:val="20"/>
          <w:szCs w:val="20"/>
        </w:rPr>
        <w:t>A</w:t>
      </w:r>
      <w:r w:rsidRPr="000A5187">
        <w:rPr>
          <w:rFonts w:ascii="Arial" w:hAnsi="Arial" w:cs="Arial"/>
          <w:sz w:val="20"/>
          <w:szCs w:val="20"/>
        </w:rPr>
        <w:t xml:space="preserve">cuerdos, formales o informales, mediante los cuales una entidad se compromete a brindar beneficios a empleados tras el término de su vida activa como tales. Los planes de beneficios post-relación laboral se pueden clasificar como planes de contribuciones definidas o planes de beneficios definidos, según la sustancia económica que se derive de los términos y condiciones contenidos en ellos. </w:t>
      </w:r>
    </w:p>
    <w:p w:rsidR="00421257" w:rsidRPr="000A5187" w:rsidRDefault="00421257" w:rsidP="005639A7">
      <w:pPr>
        <w:ind w:left="1418"/>
        <w:jc w:val="both"/>
        <w:rPr>
          <w:rFonts w:ascii="Arial" w:hAnsi="Arial" w:cs="Arial"/>
          <w:sz w:val="20"/>
          <w:szCs w:val="20"/>
        </w:rPr>
      </w:pPr>
      <w:r w:rsidRPr="000A5187">
        <w:rPr>
          <w:rFonts w:ascii="Arial" w:hAnsi="Arial" w:cs="Arial"/>
          <w:sz w:val="20"/>
          <w:szCs w:val="20"/>
          <w:u w:val="single" w:color="000000"/>
        </w:rPr>
        <w:t>Planes de contribuciones definidas</w:t>
      </w:r>
      <w:r w:rsidRPr="000A5187">
        <w:rPr>
          <w:rFonts w:ascii="Arial" w:hAnsi="Arial" w:cs="Arial"/>
          <w:sz w:val="20"/>
          <w:szCs w:val="20"/>
        </w:rPr>
        <w:t xml:space="preserve">: </w:t>
      </w:r>
      <w:r w:rsidR="00D81E8F" w:rsidRPr="000A5187">
        <w:rPr>
          <w:rFonts w:ascii="Arial" w:hAnsi="Arial" w:cs="Arial"/>
          <w:sz w:val="20"/>
          <w:szCs w:val="20"/>
        </w:rPr>
        <w:t>P</w:t>
      </w:r>
      <w:r w:rsidRPr="000A5187">
        <w:rPr>
          <w:rFonts w:ascii="Arial" w:hAnsi="Arial" w:cs="Arial"/>
          <w:sz w:val="20"/>
          <w:szCs w:val="20"/>
        </w:rPr>
        <w:t xml:space="preserve">lanes de beneficios post-relación laboral en los cuales una entidad realiza contribuciones de carácter predeterminado a un fondo, sin asumir obligación legal ni implícita de realizar contribuciones adicionales, en el caso que el fondo no mantuviese suficientes activos para atender los beneficios a los que los empleados tengan derecho. </w:t>
      </w:r>
    </w:p>
    <w:p w:rsidR="00421257" w:rsidRPr="00AC4AEA" w:rsidRDefault="00421257" w:rsidP="005639A7">
      <w:pPr>
        <w:ind w:left="1418"/>
        <w:jc w:val="both"/>
        <w:rPr>
          <w:rFonts w:ascii="Arial" w:hAnsi="Arial" w:cs="Arial"/>
          <w:sz w:val="20"/>
          <w:szCs w:val="20"/>
        </w:rPr>
      </w:pPr>
      <w:r w:rsidRPr="000A5187">
        <w:rPr>
          <w:rFonts w:ascii="Arial" w:hAnsi="Arial" w:cs="Arial"/>
          <w:sz w:val="20"/>
          <w:szCs w:val="20"/>
          <w:u w:val="single" w:color="000000"/>
        </w:rPr>
        <w:t>Planes multi-empleador</w:t>
      </w:r>
      <w:r w:rsidRPr="000A5187">
        <w:rPr>
          <w:rFonts w:ascii="Arial" w:hAnsi="Arial" w:cs="Arial"/>
          <w:sz w:val="20"/>
          <w:szCs w:val="20"/>
        </w:rPr>
        <w:t xml:space="preserve">: </w:t>
      </w:r>
      <w:r w:rsidR="00D81E8F" w:rsidRPr="000A5187">
        <w:rPr>
          <w:rFonts w:ascii="Arial" w:hAnsi="Arial" w:cs="Arial"/>
          <w:sz w:val="20"/>
          <w:szCs w:val="20"/>
        </w:rPr>
        <w:t>P</w:t>
      </w:r>
      <w:r w:rsidRPr="000A5187">
        <w:rPr>
          <w:rFonts w:ascii="Arial" w:hAnsi="Arial" w:cs="Arial"/>
          <w:sz w:val="20"/>
          <w:szCs w:val="20"/>
        </w:rPr>
        <w:t>lanes de contribuciones definidas o planes de beneficios definidos (diferentes de los planes</w:t>
      </w:r>
      <w:r w:rsidRPr="00AC4AEA">
        <w:rPr>
          <w:rFonts w:ascii="Arial" w:hAnsi="Arial" w:cs="Arial"/>
          <w:sz w:val="20"/>
          <w:szCs w:val="20"/>
        </w:rPr>
        <w:t xml:space="preserve"> administrados por el Estado) en los cuales se combinan los activos aportados por distintos empleadores no relacionados, con el fin de utilizarlos para proporcionar beneficios a sus empleados, teniendo en cuenta que tanto las contribuciones como los importes de los beneficios se determinan sin tener en cuenta la identidad de los empleadores ni de los empleados cubiertos por el plan. </w:t>
      </w:r>
    </w:p>
    <w:p w:rsidR="00421257" w:rsidRPr="00AC4AEA" w:rsidRDefault="00421257" w:rsidP="005639A7">
      <w:pPr>
        <w:ind w:left="1418"/>
        <w:jc w:val="both"/>
        <w:rPr>
          <w:rFonts w:ascii="Arial" w:hAnsi="Arial" w:cs="Arial"/>
          <w:sz w:val="20"/>
          <w:szCs w:val="20"/>
        </w:rPr>
      </w:pPr>
      <w:r w:rsidRPr="00AC4AEA">
        <w:rPr>
          <w:rFonts w:ascii="Arial" w:hAnsi="Arial" w:cs="Arial"/>
          <w:sz w:val="20"/>
          <w:szCs w:val="20"/>
          <w:u w:val="single" w:color="000000"/>
        </w:rPr>
        <w:t xml:space="preserve">Póliza de seguro </w:t>
      </w:r>
      <w:r w:rsidRPr="000A5187">
        <w:rPr>
          <w:rFonts w:ascii="Arial" w:hAnsi="Arial" w:cs="Arial"/>
          <w:sz w:val="20"/>
          <w:szCs w:val="20"/>
          <w:u w:val="single" w:color="000000"/>
        </w:rPr>
        <w:t>aceptable</w:t>
      </w:r>
      <w:r w:rsidRPr="000A5187">
        <w:rPr>
          <w:rFonts w:ascii="Arial" w:hAnsi="Arial" w:cs="Arial"/>
          <w:sz w:val="20"/>
          <w:szCs w:val="20"/>
        </w:rPr>
        <w:t xml:space="preserve">: </w:t>
      </w:r>
      <w:r w:rsidR="00D81E8F" w:rsidRPr="000A5187">
        <w:rPr>
          <w:rFonts w:ascii="Arial" w:hAnsi="Arial" w:cs="Arial"/>
          <w:sz w:val="20"/>
          <w:szCs w:val="20"/>
        </w:rPr>
        <w:t>P</w:t>
      </w:r>
      <w:r w:rsidRPr="000A5187">
        <w:rPr>
          <w:rFonts w:ascii="Arial" w:hAnsi="Arial" w:cs="Arial"/>
          <w:sz w:val="20"/>
          <w:szCs w:val="20"/>
        </w:rPr>
        <w:t>óliza de seguro emitida por un asegurador que no es una parte relacionada con la entidad, cuando los activos generados por la póliza:</w:t>
      </w:r>
      <w:r w:rsidRPr="00AC4AEA">
        <w:rPr>
          <w:rFonts w:ascii="Arial" w:hAnsi="Arial" w:cs="Arial"/>
          <w:sz w:val="20"/>
          <w:szCs w:val="20"/>
        </w:rPr>
        <w:t xml:space="preserve"> </w:t>
      </w:r>
    </w:p>
    <w:p w:rsidR="00421257" w:rsidRPr="00AC4AEA" w:rsidRDefault="00421257" w:rsidP="00C01B25">
      <w:pPr>
        <w:numPr>
          <w:ilvl w:val="0"/>
          <w:numId w:val="478"/>
        </w:numPr>
        <w:spacing w:line="264" w:lineRule="auto"/>
        <w:ind w:left="1985" w:hanging="567"/>
        <w:jc w:val="both"/>
        <w:rPr>
          <w:rFonts w:ascii="Arial" w:hAnsi="Arial" w:cs="Arial"/>
          <w:sz w:val="20"/>
          <w:szCs w:val="20"/>
        </w:rPr>
      </w:pPr>
      <w:r w:rsidRPr="00AC4AEA">
        <w:rPr>
          <w:rFonts w:ascii="Arial" w:hAnsi="Arial" w:cs="Arial"/>
          <w:sz w:val="20"/>
          <w:szCs w:val="20"/>
        </w:rPr>
        <w:lastRenderedPageBreak/>
        <w:t xml:space="preserve">deben utilizarse solo con el fin de pagar o financiar beneficios a empleados en virtud de un plan de beneficios definidos; </w:t>
      </w:r>
    </w:p>
    <w:p w:rsidR="00421257" w:rsidRPr="00AC4AEA" w:rsidRDefault="00421257" w:rsidP="00C01B25">
      <w:pPr>
        <w:numPr>
          <w:ilvl w:val="0"/>
          <w:numId w:val="478"/>
        </w:numPr>
        <w:spacing w:line="264" w:lineRule="auto"/>
        <w:ind w:left="1985" w:hanging="567"/>
        <w:jc w:val="both"/>
        <w:rPr>
          <w:rFonts w:ascii="Arial" w:hAnsi="Arial" w:cs="Arial"/>
          <w:sz w:val="20"/>
          <w:szCs w:val="20"/>
        </w:rPr>
      </w:pPr>
      <w:r w:rsidRPr="00AC4AEA">
        <w:rPr>
          <w:rFonts w:ascii="Arial" w:hAnsi="Arial" w:cs="Arial"/>
          <w:sz w:val="20"/>
          <w:szCs w:val="20"/>
        </w:rPr>
        <w:t xml:space="preserve">no están disponibles para los acreedores de la entidad (ni siquiera en caso de quiebra) y no pueden ser pagados a la entidad salvo en los siguientes supuestos: </w:t>
      </w:r>
    </w:p>
    <w:p w:rsidR="00421257" w:rsidRPr="00AC4AEA" w:rsidRDefault="00421257" w:rsidP="00C01B25">
      <w:pPr>
        <w:numPr>
          <w:ilvl w:val="1"/>
          <w:numId w:val="478"/>
        </w:numPr>
        <w:spacing w:line="264" w:lineRule="auto"/>
        <w:ind w:left="2410" w:hanging="283"/>
        <w:jc w:val="both"/>
        <w:rPr>
          <w:rFonts w:ascii="Arial" w:hAnsi="Arial" w:cs="Arial"/>
          <w:sz w:val="20"/>
          <w:szCs w:val="20"/>
        </w:rPr>
      </w:pPr>
      <w:r w:rsidRPr="00AC4AEA">
        <w:rPr>
          <w:rFonts w:ascii="Arial" w:hAnsi="Arial" w:cs="Arial"/>
          <w:sz w:val="20"/>
          <w:szCs w:val="20"/>
        </w:rPr>
        <w:t>son activos excedentes, innecesarios para cumplir el resto de las obligaciones relacionadas con el plan de beneficios post-relación laboral; o</w:t>
      </w:r>
      <w:r w:rsidR="006F2C57">
        <w:rPr>
          <w:rFonts w:ascii="Arial" w:hAnsi="Arial" w:cs="Arial"/>
          <w:sz w:val="20"/>
          <w:szCs w:val="20"/>
        </w:rPr>
        <w:t xml:space="preserve"> </w:t>
      </w:r>
    </w:p>
    <w:p w:rsidR="00421257" w:rsidRPr="000A5187" w:rsidRDefault="00421257" w:rsidP="00C01B25">
      <w:pPr>
        <w:numPr>
          <w:ilvl w:val="1"/>
          <w:numId w:val="478"/>
        </w:numPr>
        <w:spacing w:after="147" w:line="264" w:lineRule="auto"/>
        <w:ind w:left="2410" w:hanging="283"/>
        <w:jc w:val="both"/>
        <w:rPr>
          <w:rFonts w:ascii="Arial" w:hAnsi="Arial" w:cs="Arial"/>
          <w:sz w:val="20"/>
          <w:szCs w:val="20"/>
        </w:rPr>
      </w:pPr>
      <w:r w:rsidRPr="00AC4AEA">
        <w:rPr>
          <w:rFonts w:ascii="Arial" w:hAnsi="Arial" w:cs="Arial"/>
          <w:sz w:val="20"/>
          <w:szCs w:val="20"/>
        </w:rPr>
        <w:t xml:space="preserve">retornan a la </w:t>
      </w:r>
      <w:r w:rsidRPr="000A5187">
        <w:rPr>
          <w:rFonts w:ascii="Arial" w:hAnsi="Arial" w:cs="Arial"/>
          <w:sz w:val="20"/>
          <w:szCs w:val="20"/>
        </w:rPr>
        <w:t>entidad para reembolsarl</w:t>
      </w:r>
      <w:r w:rsidR="002E771C" w:rsidRPr="000A5187">
        <w:rPr>
          <w:rFonts w:ascii="Arial" w:hAnsi="Arial" w:cs="Arial"/>
          <w:sz w:val="20"/>
          <w:szCs w:val="20"/>
        </w:rPr>
        <w:t>a</w:t>
      </w:r>
      <w:r w:rsidRPr="000A5187">
        <w:rPr>
          <w:rFonts w:ascii="Arial" w:hAnsi="Arial" w:cs="Arial"/>
          <w:sz w:val="20"/>
          <w:szCs w:val="20"/>
        </w:rPr>
        <w:t xml:space="preserve"> de beneficios a empleados ya pagados por la entidad. </w:t>
      </w:r>
    </w:p>
    <w:p w:rsidR="008452BB" w:rsidRPr="000A5187" w:rsidRDefault="008452BB" w:rsidP="005639A7">
      <w:pPr>
        <w:spacing w:after="148" w:line="256" w:lineRule="auto"/>
        <w:ind w:left="1418" w:hanging="10"/>
        <w:jc w:val="both"/>
        <w:rPr>
          <w:rFonts w:ascii="Arial" w:hAnsi="Arial" w:cs="Arial"/>
          <w:sz w:val="20"/>
          <w:szCs w:val="20"/>
        </w:rPr>
      </w:pPr>
      <w:r w:rsidRPr="000A5187">
        <w:rPr>
          <w:rFonts w:ascii="Arial" w:hAnsi="Arial" w:cs="Arial"/>
          <w:sz w:val="20"/>
          <w:szCs w:val="20"/>
          <w:u w:val="single" w:color="000000"/>
        </w:rPr>
        <w:t>Rendimiento de los activos del plan:</w:t>
      </w:r>
      <w:r w:rsidRPr="000A5187">
        <w:rPr>
          <w:rFonts w:ascii="Arial" w:hAnsi="Arial" w:cs="Arial"/>
          <w:sz w:val="20"/>
          <w:szCs w:val="20"/>
        </w:rPr>
        <w:t xml:space="preserve"> </w:t>
      </w:r>
      <w:r w:rsidR="00D81E8F" w:rsidRPr="000A5187">
        <w:rPr>
          <w:rFonts w:ascii="Arial" w:hAnsi="Arial" w:cs="Arial"/>
          <w:sz w:val="20"/>
          <w:szCs w:val="20"/>
        </w:rPr>
        <w:t>P</w:t>
      </w:r>
      <w:r w:rsidRPr="000A5187">
        <w:rPr>
          <w:rFonts w:ascii="Arial" w:hAnsi="Arial" w:cs="Arial"/>
          <w:sz w:val="20"/>
          <w:szCs w:val="20"/>
        </w:rPr>
        <w:t xml:space="preserve">articipación, dividendos y otros ingresos que provienen de los activos del plan, junto con las ganancias o pérdidas realizadas y no realizadas de los activos del plan, menos: </w:t>
      </w:r>
    </w:p>
    <w:p w:rsidR="008452BB" w:rsidRPr="000A5187" w:rsidRDefault="008452BB" w:rsidP="0070582E">
      <w:pPr>
        <w:pStyle w:val="Prrafodelista"/>
        <w:numPr>
          <w:ilvl w:val="1"/>
          <w:numId w:val="29"/>
        </w:numPr>
        <w:spacing w:after="148" w:line="256" w:lineRule="auto"/>
        <w:ind w:left="1985"/>
        <w:jc w:val="both"/>
        <w:rPr>
          <w:rFonts w:ascii="Arial" w:hAnsi="Arial" w:cs="Arial"/>
          <w:sz w:val="20"/>
          <w:szCs w:val="20"/>
        </w:rPr>
      </w:pPr>
      <w:r w:rsidRPr="000A5187">
        <w:rPr>
          <w:rFonts w:ascii="Arial" w:hAnsi="Arial" w:cs="Arial"/>
          <w:sz w:val="20"/>
          <w:szCs w:val="20"/>
        </w:rPr>
        <w:t>los costos de gestión de los activos del plan; y</w:t>
      </w:r>
    </w:p>
    <w:p w:rsidR="008452BB" w:rsidRPr="000A5187" w:rsidRDefault="008452BB" w:rsidP="0070582E">
      <w:pPr>
        <w:pStyle w:val="Prrafodelista"/>
        <w:numPr>
          <w:ilvl w:val="1"/>
          <w:numId w:val="29"/>
        </w:numPr>
        <w:spacing w:after="148" w:line="256" w:lineRule="auto"/>
        <w:ind w:left="1985"/>
        <w:jc w:val="both"/>
        <w:rPr>
          <w:rFonts w:ascii="Arial" w:hAnsi="Arial" w:cs="Arial"/>
          <w:sz w:val="20"/>
          <w:szCs w:val="20"/>
        </w:rPr>
      </w:pPr>
      <w:r w:rsidRPr="000A5187">
        <w:rPr>
          <w:rFonts w:ascii="Arial" w:hAnsi="Arial" w:cs="Arial"/>
          <w:sz w:val="20"/>
          <w:szCs w:val="20"/>
        </w:rPr>
        <w:t>los impuestos a pagar por el propio plan, distintos de los impuestos incluidos en los supuestos actuariales utilizados para medir el valor presente de la obligación por beneficios definidos.</w:t>
      </w:r>
    </w:p>
    <w:p w:rsidR="00421257" w:rsidRPr="000A5187" w:rsidRDefault="00421257" w:rsidP="005639A7">
      <w:pPr>
        <w:spacing w:after="148" w:line="256" w:lineRule="auto"/>
        <w:ind w:left="1418" w:hanging="10"/>
        <w:jc w:val="both"/>
        <w:rPr>
          <w:rFonts w:ascii="Arial" w:hAnsi="Arial" w:cs="Arial"/>
          <w:sz w:val="20"/>
          <w:szCs w:val="20"/>
        </w:rPr>
      </w:pPr>
      <w:r w:rsidRPr="000A5187">
        <w:rPr>
          <w:rFonts w:ascii="Arial" w:hAnsi="Arial" w:cs="Arial"/>
          <w:sz w:val="20"/>
          <w:szCs w:val="20"/>
          <w:u w:val="single" w:color="000000"/>
        </w:rPr>
        <w:t>Retribuciones y beneficios mediante instrumentos de capital</w:t>
      </w:r>
      <w:r w:rsidR="00266937" w:rsidRPr="000A5187">
        <w:rPr>
          <w:rFonts w:ascii="Arial" w:hAnsi="Arial" w:cs="Arial"/>
          <w:sz w:val="20"/>
          <w:szCs w:val="20"/>
          <w:u w:val="single" w:color="000000"/>
        </w:rPr>
        <w:t xml:space="preserve"> propios</w:t>
      </w:r>
      <w:r w:rsidR="00963177" w:rsidRPr="000A5187">
        <w:rPr>
          <w:rFonts w:ascii="Arial" w:hAnsi="Arial" w:cs="Arial"/>
          <w:sz w:val="20"/>
          <w:szCs w:val="20"/>
          <w:u w:val="single" w:color="000000"/>
        </w:rPr>
        <w:t xml:space="preserve"> (o de otras entidades del grupo)</w:t>
      </w:r>
      <w:r w:rsidRPr="000A5187">
        <w:rPr>
          <w:rFonts w:ascii="Arial" w:hAnsi="Arial" w:cs="Arial"/>
          <w:sz w:val="20"/>
          <w:szCs w:val="20"/>
        </w:rPr>
        <w:t xml:space="preserve">: </w:t>
      </w:r>
      <w:r w:rsidR="00D81E8F" w:rsidRPr="000A5187">
        <w:rPr>
          <w:rFonts w:ascii="Arial" w:hAnsi="Arial" w:cs="Arial"/>
          <w:sz w:val="20"/>
          <w:szCs w:val="20"/>
        </w:rPr>
        <w:t>R</w:t>
      </w:r>
      <w:r w:rsidRPr="000A5187">
        <w:rPr>
          <w:rFonts w:ascii="Arial" w:hAnsi="Arial" w:cs="Arial"/>
          <w:sz w:val="20"/>
          <w:szCs w:val="20"/>
        </w:rPr>
        <w:t xml:space="preserve">emuneraciones a los empleados por las que: </w:t>
      </w:r>
    </w:p>
    <w:p w:rsidR="00421257" w:rsidRPr="000A5187" w:rsidRDefault="00421257" w:rsidP="00C01B25">
      <w:pPr>
        <w:numPr>
          <w:ilvl w:val="0"/>
          <w:numId w:val="479"/>
        </w:numPr>
        <w:spacing w:line="264" w:lineRule="auto"/>
        <w:ind w:left="1985" w:hanging="567"/>
        <w:jc w:val="both"/>
        <w:rPr>
          <w:rFonts w:ascii="Arial" w:hAnsi="Arial" w:cs="Arial"/>
          <w:sz w:val="20"/>
          <w:szCs w:val="20"/>
        </w:rPr>
      </w:pPr>
      <w:r w:rsidRPr="000A5187">
        <w:rPr>
          <w:rFonts w:ascii="Arial" w:hAnsi="Arial" w:cs="Arial"/>
          <w:sz w:val="20"/>
          <w:szCs w:val="20"/>
        </w:rPr>
        <w:t xml:space="preserve">los trabajadores tienen derecho a recibir beneficios en forma de acciones u otros tipos de instrumentos de capital emitidos por </w:t>
      </w:r>
      <w:r w:rsidR="00963177" w:rsidRPr="000A5187">
        <w:rPr>
          <w:rFonts w:ascii="Arial" w:hAnsi="Arial" w:cs="Arial"/>
          <w:sz w:val="20"/>
          <w:szCs w:val="20"/>
        </w:rPr>
        <w:t>l</w:t>
      </w:r>
      <w:r w:rsidRPr="000A5187">
        <w:rPr>
          <w:rFonts w:ascii="Arial" w:hAnsi="Arial" w:cs="Arial"/>
          <w:sz w:val="20"/>
          <w:szCs w:val="20"/>
        </w:rPr>
        <w:t xml:space="preserve">a entidad </w:t>
      </w:r>
      <w:r w:rsidR="00963177" w:rsidRPr="000A5187">
        <w:rPr>
          <w:rFonts w:ascii="Arial" w:hAnsi="Arial" w:cs="Arial"/>
          <w:sz w:val="20"/>
          <w:szCs w:val="20"/>
        </w:rPr>
        <w:t xml:space="preserve">empleadora </w:t>
      </w:r>
      <w:r w:rsidRPr="000A5187">
        <w:rPr>
          <w:rFonts w:ascii="Arial" w:hAnsi="Arial" w:cs="Arial"/>
          <w:sz w:val="20"/>
          <w:szCs w:val="20"/>
        </w:rPr>
        <w:t xml:space="preserve">(o por </w:t>
      </w:r>
      <w:r w:rsidR="00963177" w:rsidRPr="000A5187">
        <w:rPr>
          <w:rFonts w:ascii="Arial" w:hAnsi="Arial" w:cs="Arial"/>
          <w:sz w:val="20"/>
          <w:szCs w:val="20"/>
        </w:rPr>
        <w:t>otra</w:t>
      </w:r>
      <w:r w:rsidRPr="000A5187">
        <w:rPr>
          <w:rFonts w:ascii="Arial" w:hAnsi="Arial" w:cs="Arial"/>
          <w:sz w:val="20"/>
          <w:szCs w:val="20"/>
        </w:rPr>
        <w:t xml:space="preserve"> ent</w:t>
      </w:r>
      <w:r w:rsidR="00963177" w:rsidRPr="000A5187">
        <w:rPr>
          <w:rFonts w:ascii="Arial" w:hAnsi="Arial" w:cs="Arial"/>
          <w:sz w:val="20"/>
          <w:szCs w:val="20"/>
        </w:rPr>
        <w:t>idad</w:t>
      </w:r>
      <w:r w:rsidRPr="000A5187">
        <w:rPr>
          <w:rFonts w:ascii="Arial" w:hAnsi="Arial" w:cs="Arial"/>
          <w:sz w:val="20"/>
          <w:szCs w:val="20"/>
        </w:rPr>
        <w:t xml:space="preserve"> relacionad</w:t>
      </w:r>
      <w:r w:rsidR="00963177" w:rsidRPr="000A5187">
        <w:rPr>
          <w:rFonts w:ascii="Arial" w:hAnsi="Arial" w:cs="Arial"/>
          <w:sz w:val="20"/>
          <w:szCs w:val="20"/>
        </w:rPr>
        <w:t>a</w:t>
      </w:r>
      <w:r w:rsidRPr="000A5187">
        <w:rPr>
          <w:rFonts w:ascii="Arial" w:hAnsi="Arial" w:cs="Arial"/>
          <w:sz w:val="20"/>
          <w:szCs w:val="20"/>
        </w:rPr>
        <w:t xml:space="preserve">); o </w:t>
      </w:r>
    </w:p>
    <w:p w:rsidR="00421257" w:rsidRPr="000A5187" w:rsidRDefault="00421257" w:rsidP="00C01B25">
      <w:pPr>
        <w:numPr>
          <w:ilvl w:val="0"/>
          <w:numId w:val="479"/>
        </w:numPr>
        <w:spacing w:line="264" w:lineRule="auto"/>
        <w:ind w:left="1985" w:hanging="567"/>
        <w:jc w:val="both"/>
        <w:rPr>
          <w:rFonts w:ascii="Arial" w:hAnsi="Arial" w:cs="Arial"/>
          <w:sz w:val="20"/>
          <w:szCs w:val="20"/>
        </w:rPr>
      </w:pPr>
      <w:r w:rsidRPr="000A5187">
        <w:rPr>
          <w:rFonts w:ascii="Arial" w:hAnsi="Arial" w:cs="Arial"/>
          <w:sz w:val="20"/>
          <w:szCs w:val="20"/>
        </w:rPr>
        <w:t xml:space="preserve">el importe de la obligación de pago a los empleados depende del precio futuro de las acciones u otros instrumentos de capital emitidos por la </w:t>
      </w:r>
      <w:r w:rsidR="00A37A46" w:rsidRPr="000A5187">
        <w:rPr>
          <w:rFonts w:ascii="Arial" w:hAnsi="Arial" w:cs="Arial"/>
          <w:sz w:val="20"/>
          <w:szCs w:val="20"/>
        </w:rPr>
        <w:t>entidad empleadora (o por otra entidad relacionada)</w:t>
      </w:r>
      <w:r w:rsidRPr="000A5187">
        <w:rPr>
          <w:rFonts w:ascii="Arial" w:hAnsi="Arial" w:cs="Arial"/>
          <w:sz w:val="20"/>
          <w:szCs w:val="20"/>
        </w:rPr>
        <w:t xml:space="preserve">. </w:t>
      </w:r>
    </w:p>
    <w:p w:rsidR="00421502" w:rsidRPr="000A5187" w:rsidRDefault="00421502" w:rsidP="005639A7">
      <w:pPr>
        <w:ind w:left="1418"/>
        <w:jc w:val="both"/>
        <w:rPr>
          <w:rFonts w:ascii="Arial" w:hAnsi="Arial" w:cs="Arial"/>
          <w:sz w:val="20"/>
          <w:szCs w:val="20"/>
          <w:u w:val="single" w:color="000000"/>
        </w:rPr>
      </w:pPr>
      <w:r w:rsidRPr="000A5187">
        <w:rPr>
          <w:rFonts w:ascii="Arial" w:hAnsi="Arial" w:cs="Arial"/>
          <w:sz w:val="20"/>
          <w:szCs w:val="20"/>
          <w:u w:val="single" w:color="000000"/>
        </w:rPr>
        <w:t>Techo del activo</w:t>
      </w:r>
      <w:r w:rsidRPr="000A5187">
        <w:rPr>
          <w:rFonts w:ascii="Arial" w:hAnsi="Arial" w:cs="Arial"/>
          <w:sz w:val="20"/>
          <w:szCs w:val="20"/>
          <w:u w:color="000000"/>
        </w:rPr>
        <w:t>:</w:t>
      </w:r>
      <w:r w:rsidRPr="000A5187">
        <w:rPr>
          <w:rFonts w:ascii="Arial" w:hAnsi="Arial" w:cs="Arial"/>
          <w:sz w:val="20"/>
          <w:szCs w:val="20"/>
        </w:rPr>
        <w:t xml:space="preserve"> </w:t>
      </w:r>
      <w:r w:rsidR="00D81E8F" w:rsidRPr="000A5187">
        <w:rPr>
          <w:rFonts w:ascii="Arial" w:hAnsi="Arial" w:cs="Arial"/>
          <w:sz w:val="20"/>
          <w:szCs w:val="20"/>
        </w:rPr>
        <w:t>V</w:t>
      </w:r>
      <w:r w:rsidRPr="000A5187">
        <w:rPr>
          <w:rFonts w:ascii="Arial" w:hAnsi="Arial" w:cs="Arial"/>
          <w:sz w:val="20"/>
          <w:szCs w:val="20"/>
        </w:rPr>
        <w:t>alor presente de cualesquiera beneficios económicos disponibles en forma de reembolsos del plan o reducciones en las aportaciones futuras al mismo.</w:t>
      </w:r>
    </w:p>
    <w:p w:rsidR="00421257" w:rsidRPr="00AC4AEA" w:rsidRDefault="00421257" w:rsidP="005639A7">
      <w:pPr>
        <w:ind w:left="1418"/>
        <w:jc w:val="both"/>
        <w:rPr>
          <w:rFonts w:ascii="Arial" w:hAnsi="Arial" w:cs="Arial"/>
          <w:sz w:val="20"/>
          <w:szCs w:val="20"/>
        </w:rPr>
      </w:pPr>
      <w:r w:rsidRPr="000A5187">
        <w:rPr>
          <w:rFonts w:ascii="Arial" w:hAnsi="Arial" w:cs="Arial"/>
          <w:sz w:val="20"/>
          <w:szCs w:val="20"/>
          <w:u w:val="single" w:color="000000"/>
        </w:rPr>
        <w:t>Valor presente de las obligaciones por beneficios definidos</w:t>
      </w:r>
      <w:r w:rsidRPr="000A5187">
        <w:rPr>
          <w:rFonts w:ascii="Arial" w:hAnsi="Arial" w:cs="Arial"/>
          <w:sz w:val="20"/>
          <w:szCs w:val="20"/>
        </w:rPr>
        <w:t xml:space="preserve">: </w:t>
      </w:r>
      <w:r w:rsidR="00D81E8F" w:rsidRPr="000A5187">
        <w:rPr>
          <w:rFonts w:ascii="Arial" w:hAnsi="Arial" w:cs="Arial"/>
          <w:sz w:val="20"/>
          <w:szCs w:val="20"/>
        </w:rPr>
        <w:t>V</w:t>
      </w:r>
      <w:r w:rsidRPr="000A5187">
        <w:rPr>
          <w:rFonts w:ascii="Arial" w:hAnsi="Arial" w:cs="Arial"/>
          <w:sz w:val="20"/>
          <w:szCs w:val="20"/>
        </w:rPr>
        <w:t xml:space="preserve">alor neto descontado, sin deducir </w:t>
      </w:r>
      <w:r w:rsidR="004E1215" w:rsidRPr="000A5187">
        <w:rPr>
          <w:rFonts w:ascii="Arial" w:hAnsi="Arial" w:cs="Arial"/>
          <w:b/>
          <w:bCs/>
          <w:sz w:val="20"/>
          <w:szCs w:val="20"/>
        </w:rPr>
        <w:t xml:space="preserve">activo </w:t>
      </w:r>
      <w:r w:rsidRPr="000A5187">
        <w:rPr>
          <w:rFonts w:ascii="Arial" w:hAnsi="Arial" w:cs="Arial"/>
          <w:sz w:val="20"/>
          <w:szCs w:val="20"/>
        </w:rPr>
        <w:t>alguno perteneciente al plan, de los pagos futuros esperados necesarios para cumplir con los beneficios comprometidos con los empleados por los servicios prestados por éstos en el período presente y en períodos anteriores.</w:t>
      </w:r>
      <w:r w:rsidRPr="00AC4AEA">
        <w:rPr>
          <w:rFonts w:ascii="Arial" w:hAnsi="Arial" w:cs="Arial"/>
          <w:sz w:val="20"/>
          <w:szCs w:val="20"/>
        </w:rPr>
        <w:t xml:space="preserve"> </w:t>
      </w:r>
    </w:p>
    <w:p w:rsidR="00421257" w:rsidRPr="00AC4AEA" w:rsidRDefault="00421257" w:rsidP="00A318EA">
      <w:pPr>
        <w:pStyle w:val="Ttulo2"/>
        <w:rPr>
          <w:rFonts w:cs="Arial"/>
        </w:rPr>
      </w:pPr>
      <w:bookmarkStart w:id="1164" w:name="_Toc139357016"/>
      <w:r w:rsidRPr="00AC4AEA">
        <w:rPr>
          <w:rFonts w:cs="Arial"/>
        </w:rPr>
        <w:t>Alcance</w:t>
      </w:r>
      <w:bookmarkEnd w:id="1164"/>
      <w:r w:rsidRPr="00AC4AEA">
        <w:rPr>
          <w:rFonts w:cs="Arial"/>
        </w:rPr>
        <w:t xml:space="preserve">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Una entidad aplicará esta sección para contabilizar</w:t>
      </w:r>
      <w:r w:rsidR="006F2C57">
        <w:rPr>
          <w:rFonts w:ascii="Arial" w:hAnsi="Arial" w:cs="Arial"/>
          <w:sz w:val="20"/>
          <w:szCs w:val="20"/>
        </w:rPr>
        <w:t xml:space="preserve"> </w:t>
      </w:r>
      <w:r w:rsidRPr="00AC4AEA">
        <w:rPr>
          <w:rFonts w:ascii="Arial" w:hAnsi="Arial" w:cs="Arial"/>
          <w:sz w:val="20"/>
          <w:szCs w:val="20"/>
        </w:rPr>
        <w:t xml:space="preserve"> </w:t>
      </w:r>
    </w:p>
    <w:p w:rsidR="00421257" w:rsidRPr="00AC4AEA" w:rsidRDefault="00421257" w:rsidP="00C01B25">
      <w:pPr>
        <w:pStyle w:val="NUA-Nivel1"/>
        <w:numPr>
          <w:ilvl w:val="0"/>
          <w:numId w:val="619"/>
        </w:numPr>
        <w:ind w:left="1418" w:hanging="425"/>
      </w:pPr>
      <w:r w:rsidRPr="00AC4AEA">
        <w:t xml:space="preserve">los beneficios a largo plazo a empleados, posteriores a la terminación de la relación laboral, que surgen de: </w:t>
      </w:r>
    </w:p>
    <w:p w:rsidR="00421257" w:rsidRPr="00AC4AEA" w:rsidRDefault="00421257" w:rsidP="00C01B25">
      <w:pPr>
        <w:numPr>
          <w:ilvl w:val="0"/>
          <w:numId w:val="642"/>
        </w:numPr>
        <w:spacing w:line="264" w:lineRule="auto"/>
        <w:ind w:left="2127" w:hanging="284"/>
        <w:jc w:val="both"/>
        <w:rPr>
          <w:rFonts w:ascii="Arial" w:hAnsi="Arial" w:cs="Arial"/>
          <w:sz w:val="20"/>
          <w:szCs w:val="20"/>
        </w:rPr>
      </w:pPr>
      <w:r w:rsidRPr="00AC4AEA">
        <w:rPr>
          <w:rFonts w:ascii="Arial" w:hAnsi="Arial" w:cs="Arial"/>
          <w:sz w:val="20"/>
          <w:szCs w:val="20"/>
        </w:rPr>
        <w:t xml:space="preserve">planes u otro tipo de acuerdos formales celebrados entre una entidad y sus empleados, considerados individualmente, con grupos particulares de empleados o con sus representantes; </w:t>
      </w:r>
    </w:p>
    <w:p w:rsidR="00421257" w:rsidRPr="00AC4AEA" w:rsidRDefault="00421257" w:rsidP="00C01B25">
      <w:pPr>
        <w:numPr>
          <w:ilvl w:val="0"/>
          <w:numId w:val="642"/>
        </w:numPr>
        <w:spacing w:line="264" w:lineRule="auto"/>
        <w:ind w:left="2127" w:hanging="284"/>
        <w:jc w:val="both"/>
        <w:rPr>
          <w:rFonts w:ascii="Arial" w:hAnsi="Arial" w:cs="Arial"/>
          <w:sz w:val="20"/>
          <w:szCs w:val="20"/>
        </w:rPr>
      </w:pPr>
      <w:r w:rsidRPr="00AC4AEA">
        <w:rPr>
          <w:rFonts w:ascii="Arial" w:hAnsi="Arial" w:cs="Arial"/>
          <w:sz w:val="20"/>
          <w:szCs w:val="20"/>
        </w:rPr>
        <w:lastRenderedPageBreak/>
        <w:t>exigencias legales o acuerdos tomados en determinados sectores industriales, en virtud de los cuales una entidad se ve obligad</w:t>
      </w:r>
      <w:r w:rsidR="00310151" w:rsidRPr="00AC4AEA">
        <w:rPr>
          <w:rFonts w:ascii="Arial" w:hAnsi="Arial" w:cs="Arial"/>
          <w:sz w:val="20"/>
          <w:szCs w:val="20"/>
        </w:rPr>
        <w:t>a</w:t>
      </w:r>
      <w:r w:rsidRPr="00AC4AEA">
        <w:rPr>
          <w:rFonts w:ascii="Arial" w:hAnsi="Arial" w:cs="Arial"/>
          <w:sz w:val="20"/>
          <w:szCs w:val="20"/>
        </w:rPr>
        <w:t xml:space="preserve"> a realizar contribuciones a planes nacionales, provinciales, sectoriales u otros de carácter multi-empleador; </w:t>
      </w:r>
    </w:p>
    <w:p w:rsidR="00421257" w:rsidRPr="00AC4AEA" w:rsidRDefault="00421257" w:rsidP="00C01B25">
      <w:pPr>
        <w:numPr>
          <w:ilvl w:val="0"/>
          <w:numId w:val="642"/>
        </w:numPr>
        <w:spacing w:line="264" w:lineRule="auto"/>
        <w:ind w:left="2127" w:hanging="284"/>
        <w:jc w:val="both"/>
        <w:rPr>
          <w:rFonts w:ascii="Arial" w:hAnsi="Arial" w:cs="Arial"/>
          <w:sz w:val="20"/>
          <w:szCs w:val="20"/>
        </w:rPr>
      </w:pPr>
      <w:r w:rsidRPr="00AC4AEA">
        <w:rPr>
          <w:rFonts w:ascii="Arial" w:hAnsi="Arial" w:cs="Arial"/>
          <w:sz w:val="20"/>
          <w:szCs w:val="20"/>
        </w:rPr>
        <w:t xml:space="preserve">prácticas </w:t>
      </w:r>
      <w:r w:rsidR="007703DB" w:rsidRPr="00AC4AEA">
        <w:rPr>
          <w:rFonts w:ascii="Arial" w:hAnsi="Arial" w:cs="Arial"/>
          <w:sz w:val="20"/>
          <w:szCs w:val="20"/>
        </w:rPr>
        <w:t xml:space="preserve">de la entidad </w:t>
      </w:r>
      <w:r w:rsidRPr="00AC4AEA">
        <w:rPr>
          <w:rFonts w:ascii="Arial" w:hAnsi="Arial" w:cs="Arial"/>
          <w:sz w:val="20"/>
          <w:szCs w:val="20"/>
        </w:rPr>
        <w:t>no formalizadas dan lugar a obligaciones asumidas voluntariamente; y</w:t>
      </w:r>
      <w:r w:rsidR="006F2C57">
        <w:rPr>
          <w:rFonts w:ascii="Arial" w:hAnsi="Arial" w:cs="Arial"/>
          <w:sz w:val="20"/>
          <w:szCs w:val="20"/>
        </w:rPr>
        <w:t xml:space="preserve"> </w:t>
      </w:r>
    </w:p>
    <w:p w:rsidR="00421257" w:rsidRPr="00AC4AEA" w:rsidRDefault="00421257" w:rsidP="00C01B25">
      <w:pPr>
        <w:pStyle w:val="NUA-Nivel1"/>
        <w:numPr>
          <w:ilvl w:val="0"/>
          <w:numId w:val="619"/>
        </w:numPr>
        <w:ind w:left="1560" w:hanging="567"/>
      </w:pPr>
      <w:r w:rsidRPr="00AC4AEA">
        <w:t>otros beneficios a largo plazo a los empleados</w:t>
      </w:r>
      <w:r w:rsidR="001D0002" w:rsidRPr="00AC4AEA">
        <w:t>, anteriores a la terminación de la relación laboral,</w:t>
      </w:r>
      <w:r w:rsidRPr="00AC4AEA">
        <w:t xml:space="preserve"> que normalmente no están sujetos al mismo grado de incertidumbre que afecta a los beneficios descriptos en </w:t>
      </w:r>
      <w:r w:rsidR="001000A6" w:rsidRPr="00AC4AEA">
        <w:t>el inciso a) de este párrafo</w:t>
      </w:r>
      <w:r w:rsidRPr="00AC4AEA">
        <w:t xml:space="preserve">, para los que se establece un método de registro contable simplificado.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 xml:space="preserve">Una entidad aplicará las disposiciones de esta sección para tratar contablemente estos acuerdos, incluso si ellos implican el establecimiento de una entidad separada para recibir y administrar las contribuciones y realizar los pagos de los beneficios comprometidos. </w:t>
      </w:r>
    </w:p>
    <w:p w:rsidR="00421257" w:rsidRPr="00AC4AEA" w:rsidRDefault="00421257" w:rsidP="000A0BD3">
      <w:pPr>
        <w:numPr>
          <w:ilvl w:val="0"/>
          <w:numId w:val="29"/>
        </w:numPr>
        <w:spacing w:after="147" w:line="264" w:lineRule="auto"/>
        <w:jc w:val="both"/>
        <w:rPr>
          <w:rFonts w:ascii="Arial" w:hAnsi="Arial" w:cs="Arial"/>
          <w:sz w:val="20"/>
          <w:szCs w:val="20"/>
        </w:rPr>
      </w:pPr>
      <w:r w:rsidRPr="00AC4AEA">
        <w:rPr>
          <w:rFonts w:ascii="Arial" w:hAnsi="Arial" w:cs="Arial"/>
          <w:sz w:val="20"/>
          <w:szCs w:val="20"/>
        </w:rPr>
        <w:t>Los beneficios a los empleados:</w:t>
      </w:r>
      <w:r w:rsidR="006F2C57">
        <w:rPr>
          <w:rFonts w:ascii="Arial" w:hAnsi="Arial" w:cs="Arial"/>
          <w:sz w:val="20"/>
          <w:szCs w:val="20"/>
        </w:rPr>
        <w:t xml:space="preserve"> </w:t>
      </w:r>
    </w:p>
    <w:p w:rsidR="00421257" w:rsidRPr="000A5187" w:rsidRDefault="00421257" w:rsidP="00C01B25">
      <w:pPr>
        <w:pStyle w:val="NUA-Nivel1"/>
        <w:numPr>
          <w:ilvl w:val="0"/>
          <w:numId w:val="620"/>
        </w:numPr>
        <w:ind w:left="1560" w:hanging="567"/>
      </w:pPr>
      <w:r w:rsidRPr="00AC4AEA">
        <w:t xml:space="preserve">comprenden tanto los </w:t>
      </w:r>
      <w:r w:rsidRPr="000A5187">
        <w:t xml:space="preserve">proporcionados a los trabajadores como a las personas que dependan de ellos (cónyuges, hijos u otros dependientes) o </w:t>
      </w:r>
      <w:r w:rsidR="00D81E8F" w:rsidRPr="000A5187">
        <w:t xml:space="preserve">a las </w:t>
      </w:r>
      <w:r w:rsidRPr="000A5187">
        <w:t xml:space="preserve">que ellos designen (tales como compañías de seguros); y </w:t>
      </w:r>
    </w:p>
    <w:p w:rsidR="00421257" w:rsidRPr="000A5187" w:rsidRDefault="00421257" w:rsidP="00C01B25">
      <w:pPr>
        <w:pStyle w:val="NUA-Nivel1"/>
        <w:numPr>
          <w:ilvl w:val="0"/>
          <w:numId w:val="620"/>
        </w:numPr>
        <w:ind w:left="1560" w:hanging="567"/>
      </w:pPr>
      <w:r w:rsidRPr="000A5187">
        <w:t xml:space="preserve">pueden ser satisfechos mediante el pago de dinero, la entrega de bienes o la prestación de servicios. </w:t>
      </w:r>
    </w:p>
    <w:p w:rsidR="00532F63" w:rsidRPr="000A5187" w:rsidRDefault="00421257" w:rsidP="000A0BD3">
      <w:pPr>
        <w:numPr>
          <w:ilvl w:val="0"/>
          <w:numId w:val="29"/>
        </w:numPr>
        <w:spacing w:after="147" w:line="264" w:lineRule="auto"/>
        <w:jc w:val="both"/>
        <w:rPr>
          <w:rFonts w:ascii="Arial" w:hAnsi="Arial" w:cs="Arial"/>
          <w:sz w:val="20"/>
          <w:szCs w:val="20"/>
        </w:rPr>
      </w:pPr>
      <w:r w:rsidRPr="000A5187">
        <w:rPr>
          <w:rFonts w:ascii="Arial" w:hAnsi="Arial" w:cs="Arial"/>
          <w:sz w:val="20"/>
          <w:szCs w:val="20"/>
        </w:rPr>
        <w:t xml:space="preserve">Los empleados pueden prestar sus servicios a la entidad a tiempo completo o a tiempo parcial, en forma permanente, ocasional o temporal. Para los propósitos de esta </w:t>
      </w:r>
      <w:r w:rsidR="00532F63" w:rsidRPr="000A5187">
        <w:rPr>
          <w:rFonts w:ascii="Arial" w:hAnsi="Arial" w:cs="Arial"/>
          <w:sz w:val="20"/>
          <w:szCs w:val="20"/>
        </w:rPr>
        <w:t>sección</w:t>
      </w:r>
      <w:r w:rsidRPr="000A5187">
        <w:rPr>
          <w:rFonts w:ascii="Arial" w:hAnsi="Arial" w:cs="Arial"/>
          <w:sz w:val="20"/>
          <w:szCs w:val="20"/>
        </w:rPr>
        <w:t xml:space="preserve">, el término “empleados” incluye a los directores y personal gerencial. </w:t>
      </w:r>
    </w:p>
    <w:p w:rsidR="00421257" w:rsidRPr="000A5187" w:rsidRDefault="00421257" w:rsidP="000A0BD3">
      <w:pPr>
        <w:numPr>
          <w:ilvl w:val="0"/>
          <w:numId w:val="29"/>
        </w:numPr>
        <w:spacing w:after="147" w:line="264" w:lineRule="auto"/>
        <w:jc w:val="both"/>
        <w:rPr>
          <w:rFonts w:ascii="Arial" w:hAnsi="Arial" w:cs="Arial"/>
          <w:sz w:val="20"/>
          <w:szCs w:val="20"/>
        </w:rPr>
      </w:pPr>
      <w:r w:rsidRPr="000A5187">
        <w:rPr>
          <w:rFonts w:ascii="Arial" w:hAnsi="Arial" w:cs="Arial"/>
          <w:sz w:val="20"/>
          <w:szCs w:val="20"/>
        </w:rPr>
        <w:t xml:space="preserve">Esta </w:t>
      </w:r>
      <w:r w:rsidR="00532F63" w:rsidRPr="000A5187">
        <w:rPr>
          <w:rFonts w:ascii="Arial" w:hAnsi="Arial" w:cs="Arial"/>
          <w:sz w:val="20"/>
          <w:szCs w:val="20"/>
        </w:rPr>
        <w:t>sección</w:t>
      </w:r>
      <w:r w:rsidRPr="000A5187">
        <w:rPr>
          <w:rFonts w:ascii="Arial" w:hAnsi="Arial" w:cs="Arial"/>
          <w:sz w:val="20"/>
          <w:szCs w:val="20"/>
        </w:rPr>
        <w:t xml:space="preserve"> no trata las siguientes cuestiones: </w:t>
      </w:r>
    </w:p>
    <w:p w:rsidR="00421257" w:rsidRPr="00AC4AEA" w:rsidRDefault="00421257" w:rsidP="00C01B25">
      <w:pPr>
        <w:pStyle w:val="NUA-Definiciones"/>
        <w:numPr>
          <w:ilvl w:val="0"/>
          <w:numId w:val="533"/>
        </w:numPr>
      </w:pPr>
      <w:r w:rsidRPr="00AC4AEA">
        <w:t xml:space="preserve">beneficios a corto plazo para los empleados en actividad, tales como sueldos, jornales y contribuciones a la seguridad social, ausencias remuneradas por enfermedad, vacaciones anuales y otras licencias, participación en ganancias e incentivos y beneficios no monetarios a corto plazo (tales como asistencia médica, vivienda, automóviles, disposición de bienes o servicios subvencionados o gratuitos); </w:t>
      </w:r>
    </w:p>
    <w:p w:rsidR="00421257" w:rsidRPr="00AC4AEA" w:rsidRDefault="00421257" w:rsidP="00C01B25">
      <w:pPr>
        <w:pStyle w:val="NUA-Definiciones"/>
        <w:numPr>
          <w:ilvl w:val="0"/>
          <w:numId w:val="533"/>
        </w:numPr>
      </w:pPr>
      <w:r w:rsidRPr="00AC4AEA">
        <w:t>indemnizaciones a los empleados y otros beneficios por terminación de la</w:t>
      </w:r>
      <w:r w:rsidR="006B387F" w:rsidRPr="00AC4AEA">
        <w:t xml:space="preserve"> </w:t>
      </w:r>
      <w:r w:rsidRPr="00AC4AEA">
        <w:t>relación laboral;</w:t>
      </w:r>
      <w:r w:rsidR="006F2C57">
        <w:t xml:space="preserve"> </w:t>
      </w:r>
    </w:p>
    <w:p w:rsidR="00421257" w:rsidRPr="00AC4AEA" w:rsidRDefault="00421257" w:rsidP="00C01B25">
      <w:pPr>
        <w:pStyle w:val="NUA-Definiciones"/>
        <w:numPr>
          <w:ilvl w:val="0"/>
          <w:numId w:val="533"/>
        </w:numPr>
      </w:pPr>
      <w:r w:rsidRPr="00AC4AEA">
        <w:t>retribuciones y beneficios a los empleados mediante instrumentos financieros de</w:t>
      </w:r>
      <w:r w:rsidR="006B387F" w:rsidRPr="00AC4AEA">
        <w:t xml:space="preserve"> </w:t>
      </w:r>
      <w:r w:rsidRPr="00AC4AEA">
        <w:t xml:space="preserve">capital; </w:t>
      </w:r>
    </w:p>
    <w:p w:rsidR="00421257" w:rsidRPr="00AC4AEA" w:rsidRDefault="00421257" w:rsidP="00C01B25">
      <w:pPr>
        <w:pStyle w:val="NUA-Definiciones"/>
        <w:numPr>
          <w:ilvl w:val="0"/>
          <w:numId w:val="533"/>
        </w:numPr>
      </w:pPr>
      <w:r w:rsidRPr="00AC4AEA">
        <w:t xml:space="preserve">información que deben suministrar los planes de beneficios a los empleados; y </w:t>
      </w:r>
    </w:p>
    <w:p w:rsidR="00421257" w:rsidRPr="00AC4AEA" w:rsidRDefault="00421257" w:rsidP="00C01B25">
      <w:pPr>
        <w:pStyle w:val="NUA-Definiciones"/>
        <w:numPr>
          <w:ilvl w:val="0"/>
          <w:numId w:val="533"/>
        </w:numPr>
      </w:pPr>
      <w:r w:rsidRPr="00AC4AEA">
        <w:t xml:space="preserve">normas contables aplicables a entidades administradoras de fondos de pensiones y otros beneficios a largo plazo a empleados. </w:t>
      </w:r>
    </w:p>
    <w:p w:rsidR="00421257" w:rsidRPr="00AC4AEA" w:rsidRDefault="00421257" w:rsidP="00A318EA">
      <w:pPr>
        <w:spacing w:after="150" w:line="256" w:lineRule="auto"/>
        <w:rPr>
          <w:rFonts w:ascii="Arial" w:hAnsi="Arial" w:cs="Arial"/>
          <w:sz w:val="20"/>
          <w:szCs w:val="20"/>
        </w:rPr>
      </w:pPr>
    </w:p>
    <w:p w:rsidR="00421257" w:rsidRPr="00AC4AEA" w:rsidRDefault="00421257" w:rsidP="00A318EA">
      <w:pPr>
        <w:pStyle w:val="Ttulo2"/>
        <w:rPr>
          <w:rFonts w:cs="Arial"/>
          <w:bCs/>
        </w:rPr>
      </w:pPr>
      <w:bookmarkStart w:id="1165" w:name="_Toc139357017"/>
      <w:r w:rsidRPr="00AC4AEA">
        <w:rPr>
          <w:rFonts w:cs="Arial"/>
        </w:rPr>
        <w:t>Distinción entre planes de contribuciones definidas y planes de beneficios definidos</w:t>
      </w:r>
      <w:bookmarkEnd w:id="1165"/>
      <w:r w:rsidRPr="00AC4AEA">
        <w:rPr>
          <w:rFonts w:cs="Arial"/>
          <w:bCs/>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deberá distinguir entre planes de contribuciones definidas o planes de beneficios definidos, según la sustancia económica que se derive de los términos y condiciones contenidos en ellos.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En los planes de contribuciones definidas</w:t>
      </w:r>
      <w:r w:rsidR="00B86109" w:rsidRPr="00AC4AEA">
        <w:rPr>
          <w:rFonts w:ascii="Arial" w:hAnsi="Arial" w:cs="Arial"/>
          <w:sz w:val="20"/>
          <w:szCs w:val="20"/>
        </w:rPr>
        <w:t>,</w:t>
      </w:r>
      <w:r w:rsidRPr="00AC4AEA">
        <w:rPr>
          <w:rFonts w:ascii="Arial" w:hAnsi="Arial" w:cs="Arial"/>
          <w:sz w:val="20"/>
          <w:szCs w:val="20"/>
        </w:rPr>
        <w:t xml:space="preserve"> la obligación legal o implícita de la entidad se limita a la contribución que debe entregar al fondo. De esta forma, el importe de los beneficios a recibir por el empleado estará determinado por:</w:t>
      </w:r>
      <w:r w:rsidR="006F2C57">
        <w:rPr>
          <w:rFonts w:ascii="Arial" w:hAnsi="Arial" w:cs="Arial"/>
          <w:sz w:val="20"/>
          <w:szCs w:val="20"/>
        </w:rPr>
        <w:t xml:space="preserve"> </w:t>
      </w:r>
    </w:p>
    <w:p w:rsidR="00421257" w:rsidRPr="009050B5" w:rsidRDefault="00421257" w:rsidP="00C01B25">
      <w:pPr>
        <w:pStyle w:val="NUA-Nivel1"/>
        <w:numPr>
          <w:ilvl w:val="0"/>
          <w:numId w:val="621"/>
        </w:numPr>
        <w:ind w:left="1560" w:hanging="567"/>
      </w:pPr>
      <w:r w:rsidRPr="009050B5">
        <w:t>el importe de las contribuciones que realice la entidad (y eventualmente el propio empleado) al plan de beneficios post-relación laboral o a la compañía de seguros;</w:t>
      </w:r>
      <w:r w:rsidR="006F2C57">
        <w:t xml:space="preserve"> </w:t>
      </w:r>
    </w:p>
    <w:p w:rsidR="00421257" w:rsidRPr="009050B5" w:rsidRDefault="00421257" w:rsidP="00C01B25">
      <w:pPr>
        <w:pStyle w:val="NUA-Nivel1"/>
        <w:numPr>
          <w:ilvl w:val="0"/>
          <w:numId w:val="621"/>
        </w:numPr>
        <w:ind w:left="1560" w:hanging="567"/>
      </w:pPr>
      <w:r w:rsidRPr="009050B5">
        <w:t>el rendimiento obtenido por las inversiones efectuadas con los fondos aportados al plan;</w:t>
      </w:r>
      <w:r w:rsidR="006F2C57">
        <w:t xml:space="preserve"> </w:t>
      </w:r>
    </w:p>
    <w:p w:rsidR="00421257" w:rsidRPr="009050B5" w:rsidRDefault="00421257" w:rsidP="00C01B25">
      <w:pPr>
        <w:pStyle w:val="NUA-Nivel1"/>
        <w:numPr>
          <w:ilvl w:val="0"/>
          <w:numId w:val="621"/>
        </w:numPr>
        <w:ind w:left="1560" w:hanging="567"/>
      </w:pPr>
      <w:r w:rsidRPr="009050B5">
        <w:t xml:space="preserve">cuando estuviera previsto en el plan, la distribución entre las cuentas de los empleados beneficiarios de la porción de beneficios abandonados (no reclamados) por otros participantes; y </w:t>
      </w:r>
    </w:p>
    <w:p w:rsidR="00AE0D79" w:rsidRPr="009050B5" w:rsidRDefault="00AE0D79" w:rsidP="00C01B25">
      <w:pPr>
        <w:pStyle w:val="NUA-Nivel1"/>
        <w:numPr>
          <w:ilvl w:val="0"/>
          <w:numId w:val="621"/>
        </w:numPr>
        <w:ind w:left="1560" w:hanging="567"/>
      </w:pPr>
      <w:r w:rsidRPr="009050B5">
        <w:t>el riesgo actuarial (de que los beneficios sean menores que los esperados) y el riesgo de inversión (de que los activos invertidos sean insuficientes para cubrir los beneficios esperados) son asumidos por los empleados.</w:t>
      </w:r>
    </w:p>
    <w:p w:rsidR="00421257" w:rsidRPr="00AC4AEA" w:rsidRDefault="00421257" w:rsidP="00C01B25">
      <w:pPr>
        <w:pStyle w:val="Prrafodelista"/>
        <w:numPr>
          <w:ilvl w:val="0"/>
          <w:numId w:val="670"/>
        </w:numPr>
        <w:spacing w:line="264" w:lineRule="auto"/>
        <w:ind w:left="993" w:hanging="567"/>
        <w:jc w:val="both"/>
        <w:rPr>
          <w:rFonts w:ascii="Arial" w:hAnsi="Arial" w:cs="Arial"/>
          <w:sz w:val="20"/>
          <w:szCs w:val="20"/>
        </w:rPr>
      </w:pPr>
      <w:r w:rsidRPr="00AC4AEA">
        <w:rPr>
          <w:rFonts w:ascii="Arial" w:hAnsi="Arial" w:cs="Arial"/>
          <w:sz w:val="20"/>
          <w:szCs w:val="20"/>
        </w:rPr>
        <w:t xml:space="preserve">En los planes de beneficios definidos: </w:t>
      </w:r>
    </w:p>
    <w:p w:rsidR="00421257" w:rsidRPr="00AC4AEA" w:rsidRDefault="00421257" w:rsidP="00C01B25">
      <w:pPr>
        <w:pStyle w:val="NUA-Nivel1"/>
        <w:numPr>
          <w:ilvl w:val="0"/>
          <w:numId w:val="731"/>
        </w:numPr>
        <w:ind w:left="1560" w:hanging="567"/>
      </w:pPr>
      <w:r w:rsidRPr="00AC4AEA">
        <w:t xml:space="preserve">la obligación de la entidad consiste en suministrar los beneficios acordados a los empleados presentes y anteriores; y </w:t>
      </w:r>
    </w:p>
    <w:p w:rsidR="00421257" w:rsidRPr="00AC4AEA" w:rsidRDefault="00421257" w:rsidP="00C01B25">
      <w:pPr>
        <w:pStyle w:val="NUA-Nivel1"/>
        <w:numPr>
          <w:ilvl w:val="0"/>
          <w:numId w:val="731"/>
        </w:numPr>
        <w:ind w:left="1560" w:hanging="567"/>
      </w:pPr>
      <w:r w:rsidRPr="00AC4AEA">
        <w:t xml:space="preserve">el riesgo actuarial (de que los beneficios tengan un costo mayor que el esperado) y el riesgo de inversión son asumidos, esencialmente, por la entidad. Por lo tanto, </w:t>
      </w:r>
      <w:r w:rsidR="0056054D" w:rsidRPr="00AC4AEA">
        <w:t>si los resultados actuariales o de la inversión son peores de lo esperado, las obligaciones de la entidad pueden verse aumentadas</w:t>
      </w:r>
      <w:r w:rsidRPr="00AC4AEA">
        <w:t xml:space="preserve">. </w:t>
      </w:r>
    </w:p>
    <w:p w:rsidR="00421257" w:rsidRPr="00AC4AEA" w:rsidRDefault="00421257" w:rsidP="00A318EA">
      <w:pPr>
        <w:spacing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66" w:name="_Toc139357018"/>
      <w:r w:rsidRPr="00AC4AEA">
        <w:rPr>
          <w:rFonts w:cs="Arial"/>
        </w:rPr>
        <w:t>Planes de contribuciones definidas</w:t>
      </w:r>
      <w:bookmarkEnd w:id="1166"/>
      <w:r w:rsidRPr="00AC4AEA">
        <w:rPr>
          <w:rFonts w:cs="Arial"/>
        </w:rPr>
        <w:t xml:space="preserve"> </w:t>
      </w:r>
    </w:p>
    <w:p w:rsidR="00421257" w:rsidRPr="00AC4AEA" w:rsidRDefault="00421257" w:rsidP="00A318EA">
      <w:pPr>
        <w:pStyle w:val="Ttulo3"/>
      </w:pPr>
      <w:bookmarkStart w:id="1167" w:name="_Toc139357019"/>
      <w:r w:rsidRPr="00AC4AEA">
        <w:t>Reconocimiento</w:t>
      </w:r>
      <w:bookmarkEnd w:id="1167"/>
      <w:r w:rsidRPr="00AC4AEA">
        <w:t xml:space="preserve"> </w:t>
      </w:r>
    </w:p>
    <w:p w:rsidR="00BE50A8" w:rsidRPr="00AC4AEA" w:rsidRDefault="00421257" w:rsidP="00C01B25">
      <w:pPr>
        <w:pStyle w:val="Prrafodelista"/>
        <w:numPr>
          <w:ilvl w:val="0"/>
          <w:numId w:val="670"/>
        </w:numPr>
        <w:spacing w:line="264" w:lineRule="auto"/>
        <w:ind w:left="993" w:hanging="567"/>
        <w:jc w:val="both"/>
        <w:rPr>
          <w:rFonts w:ascii="Arial" w:hAnsi="Arial" w:cs="Arial"/>
          <w:sz w:val="20"/>
          <w:szCs w:val="20"/>
        </w:rPr>
      </w:pPr>
      <w:r w:rsidRPr="00AC4AEA">
        <w:rPr>
          <w:rFonts w:ascii="Arial" w:hAnsi="Arial" w:cs="Arial"/>
          <w:sz w:val="20"/>
          <w:szCs w:val="20"/>
        </w:rPr>
        <w:t xml:space="preserve">Cuando un empleado ha prestado sus servicios durante un periodo determinado, una entidad reconocerá la contribución a realizar al plan: </w:t>
      </w:r>
    </w:p>
    <w:p w:rsidR="00BE50A8" w:rsidRPr="00AC4AEA" w:rsidRDefault="00421257" w:rsidP="00C01B25">
      <w:pPr>
        <w:pStyle w:val="NUA-Nivel1"/>
        <w:numPr>
          <w:ilvl w:val="0"/>
          <w:numId w:val="732"/>
        </w:numPr>
        <w:ind w:left="1560" w:hanging="567"/>
      </w:pPr>
      <w:r w:rsidRPr="00AC4AEA">
        <w:t xml:space="preserve">como un </w:t>
      </w:r>
      <w:r w:rsidRPr="00AC4AEA">
        <w:rPr>
          <w:b/>
          <w:bCs/>
        </w:rPr>
        <w:t>pasivo</w:t>
      </w:r>
      <w:r w:rsidRPr="00AC4AEA">
        <w:t xml:space="preserve"> (obligaciones por gastos devengados), después de deducir cualquier importe ya satisfecho; o </w:t>
      </w:r>
    </w:p>
    <w:p w:rsidR="00BE50A8" w:rsidRPr="00AC4AEA" w:rsidRDefault="00421257" w:rsidP="00C01B25">
      <w:pPr>
        <w:pStyle w:val="NUA-Nivel1"/>
        <w:numPr>
          <w:ilvl w:val="0"/>
          <w:numId w:val="732"/>
        </w:numPr>
        <w:ind w:left="1560" w:hanging="567"/>
      </w:pPr>
      <w:r w:rsidRPr="00AC4AEA">
        <w:t xml:space="preserve">como un </w:t>
      </w:r>
      <w:r w:rsidRPr="00AC4AEA">
        <w:rPr>
          <w:b/>
          <w:bCs/>
        </w:rPr>
        <w:t>activo</w:t>
      </w:r>
      <w:r w:rsidRPr="00AC4AEA">
        <w:t xml:space="preserve"> (gasto pagado por anticipado) si los importes pagados fuer</w:t>
      </w:r>
      <w:r w:rsidR="00D81E8F">
        <w:t>o</w:t>
      </w:r>
      <w:r w:rsidRPr="00AC4AEA">
        <w:t xml:space="preserve">n superiores a las contribuciones que debían realizarse por los servicios prestados hasta la fecha de medición (en la medida que el pago por adelantado resulte en una reducción de los pagos a efectuar en el futuro o le otorgue el derecho a un reembolso en efectivo); y </w:t>
      </w:r>
    </w:p>
    <w:p w:rsidR="00421257" w:rsidRPr="00AC4AEA" w:rsidRDefault="00421257" w:rsidP="00C01B25">
      <w:pPr>
        <w:pStyle w:val="NUA-Nivel1"/>
        <w:numPr>
          <w:ilvl w:val="0"/>
          <w:numId w:val="732"/>
        </w:numPr>
        <w:ind w:left="1560" w:hanging="567"/>
      </w:pPr>
      <w:r w:rsidRPr="00AC4AEA">
        <w:lastRenderedPageBreak/>
        <w:t xml:space="preserve">como un </w:t>
      </w:r>
      <w:r w:rsidRPr="002A73C3">
        <w:rPr>
          <w:b/>
          <w:bCs/>
        </w:rPr>
        <w:t xml:space="preserve">gasto </w:t>
      </w:r>
      <w:r w:rsidRPr="00AC4AEA">
        <w:t>del periodo o un componente de algún costo</w:t>
      </w:r>
      <w:r w:rsidR="000A2CAC" w:rsidRPr="00AC4AEA">
        <w:t xml:space="preserve"> de algún </w:t>
      </w:r>
      <w:r w:rsidR="000A2CAC" w:rsidRPr="00AC4AEA">
        <w:rPr>
          <w:b/>
          <w:bCs/>
        </w:rPr>
        <w:t>activo</w:t>
      </w:r>
      <w:r w:rsidR="006A2AEA" w:rsidRPr="00AC4AEA">
        <w:t xml:space="preserve">, de acuerdo con lo establecido por esta Resolución Técnica u </w:t>
      </w:r>
      <w:r w:rsidR="006A2AEA" w:rsidRPr="00AC4AEA">
        <w:rPr>
          <w:b/>
          <w:bCs/>
        </w:rPr>
        <w:t>otras normas contables</w:t>
      </w:r>
      <w:r w:rsidRPr="00AC4AEA">
        <w:t xml:space="preserve">. </w:t>
      </w:r>
    </w:p>
    <w:p w:rsidR="00421257" w:rsidRPr="00AC4AEA" w:rsidRDefault="00421257" w:rsidP="00A318EA">
      <w:pPr>
        <w:spacing w:after="150" w:line="256" w:lineRule="auto"/>
        <w:ind w:left="146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68" w:name="_Toc139357020"/>
      <w:r w:rsidRPr="00AC4AEA">
        <w:t>Revelación en notas</w:t>
      </w:r>
      <w:bookmarkEnd w:id="1168"/>
      <w:r w:rsidRPr="00AC4AEA">
        <w:t xml:space="preserve"> </w:t>
      </w:r>
    </w:p>
    <w:p w:rsidR="00421257" w:rsidRPr="00AC4AEA" w:rsidRDefault="00FC2FCE" w:rsidP="00C01B25">
      <w:pPr>
        <w:numPr>
          <w:ilvl w:val="0"/>
          <w:numId w:val="670"/>
        </w:numPr>
        <w:spacing w:after="147" w:line="264" w:lineRule="auto"/>
        <w:ind w:left="993" w:hanging="536"/>
        <w:jc w:val="both"/>
        <w:rPr>
          <w:rFonts w:ascii="Arial" w:hAnsi="Arial" w:cs="Arial"/>
          <w:sz w:val="20"/>
          <w:szCs w:val="20"/>
        </w:rPr>
      </w:pPr>
      <w:r w:rsidRPr="00AC4AEA">
        <w:rPr>
          <w:rFonts w:ascii="Arial" w:hAnsi="Arial" w:cs="Arial"/>
          <w:sz w:val="20"/>
          <w:szCs w:val="20"/>
        </w:rPr>
        <w:t>U</w:t>
      </w:r>
      <w:r w:rsidR="00421257" w:rsidRPr="00AC4AEA">
        <w:rPr>
          <w:rFonts w:ascii="Arial" w:hAnsi="Arial" w:cs="Arial"/>
          <w:sz w:val="20"/>
          <w:szCs w:val="20"/>
        </w:rPr>
        <w:t xml:space="preserve">na entidad revelará en notas a los </w:t>
      </w:r>
      <w:r w:rsidR="00421257" w:rsidRPr="00AC4AEA">
        <w:rPr>
          <w:rFonts w:ascii="Arial" w:hAnsi="Arial" w:cs="Arial"/>
          <w:b/>
          <w:bCs/>
          <w:sz w:val="20"/>
          <w:szCs w:val="20"/>
        </w:rPr>
        <w:t>estados contables</w:t>
      </w:r>
      <w:r w:rsidR="00421257" w:rsidRPr="00AC4AEA">
        <w:rPr>
          <w:rFonts w:ascii="Arial" w:hAnsi="Arial" w:cs="Arial"/>
          <w:sz w:val="20"/>
          <w:szCs w:val="20"/>
        </w:rPr>
        <w:t xml:space="preserve"> una descripción general del plan y los grupos de empleados alcanzados, las bases para determinar las contribuciones y el importe reconocido en cada período como gasto. </w:t>
      </w:r>
    </w:p>
    <w:p w:rsidR="00421257" w:rsidRPr="00AC4AEA" w:rsidRDefault="00421257" w:rsidP="00A318EA">
      <w:pPr>
        <w:spacing w:after="148"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69" w:name="_Toc139357021"/>
      <w:r w:rsidRPr="00AC4AEA">
        <w:rPr>
          <w:rFonts w:cs="Arial"/>
        </w:rPr>
        <w:t>Planes de beneficios definidos</w:t>
      </w:r>
      <w:bookmarkEnd w:id="1169"/>
      <w:r w:rsidRPr="00AC4AEA">
        <w:rPr>
          <w:rFonts w:cs="Arial"/>
        </w:rPr>
        <w:t xml:space="preserve"> </w:t>
      </w:r>
    </w:p>
    <w:p w:rsidR="00421257" w:rsidRPr="00AC4AEA" w:rsidRDefault="00421257" w:rsidP="00A318EA">
      <w:pPr>
        <w:pStyle w:val="Ttulo3"/>
      </w:pPr>
      <w:bookmarkStart w:id="1170" w:name="_Toc139357022"/>
      <w:r w:rsidRPr="00AC4AEA">
        <w:t>Reconocimiento</w:t>
      </w:r>
      <w:bookmarkEnd w:id="1170"/>
      <w:r w:rsidRPr="00AC4AEA">
        <w:t xml:space="preserve"> </w:t>
      </w:r>
    </w:p>
    <w:p w:rsidR="00421257" w:rsidRPr="00AC4AEA" w:rsidRDefault="00421257" w:rsidP="00C01B25">
      <w:pPr>
        <w:numPr>
          <w:ilvl w:val="0"/>
          <w:numId w:val="670"/>
        </w:numPr>
        <w:spacing w:after="147" w:line="264" w:lineRule="auto"/>
        <w:ind w:left="993" w:hanging="536"/>
        <w:jc w:val="both"/>
        <w:rPr>
          <w:rFonts w:ascii="Arial" w:hAnsi="Arial" w:cs="Arial"/>
          <w:sz w:val="20"/>
          <w:szCs w:val="20"/>
        </w:rPr>
      </w:pPr>
      <w:r w:rsidRPr="00AC4AEA">
        <w:rPr>
          <w:rFonts w:ascii="Arial" w:hAnsi="Arial" w:cs="Arial"/>
          <w:sz w:val="20"/>
          <w:szCs w:val="20"/>
        </w:rPr>
        <w:t>Los planes de beneficios definidos pueden estar cubiertos, total o parcialmente, por contribuciones realizadas por la entidad, y eventualmente por los empleados, a un fondo, o pueden no estar cubiertos. El pago de los beneficios cubiertos a través de un fondo, cuando se convierten en exigibles, depende no sólo de la situación financiera y el rendimiento de las inversiones mantenidas por el fondo sino también de la capacidad y la voluntad de la entidad para cubrir cualquier insuficiencia de los activos del fondo. Por lo tanto, una entidad:</w:t>
      </w:r>
      <w:r w:rsidR="006F2C57">
        <w:rPr>
          <w:rFonts w:ascii="Arial" w:hAnsi="Arial" w:cs="Arial"/>
          <w:sz w:val="20"/>
          <w:szCs w:val="20"/>
        </w:rPr>
        <w:t xml:space="preserve"> </w:t>
      </w:r>
    </w:p>
    <w:p w:rsidR="00421257" w:rsidRPr="00AC4AEA" w:rsidRDefault="00421257" w:rsidP="00D737B5">
      <w:pPr>
        <w:pStyle w:val="NUAVieta1"/>
      </w:pPr>
      <w:r w:rsidRPr="00AC4AEA">
        <w:t xml:space="preserve">es, en esencia, la tomadora de los riesgos actuariales y de inversión asociados con el plan; y </w:t>
      </w:r>
    </w:p>
    <w:p w:rsidR="00421257" w:rsidRPr="00AC4AEA" w:rsidRDefault="00421257" w:rsidP="00D737B5">
      <w:pPr>
        <w:pStyle w:val="NUAVieta1"/>
      </w:pPr>
      <w:r w:rsidRPr="00AC4AEA">
        <w:t xml:space="preserve">reconocerá el </w:t>
      </w:r>
      <w:r w:rsidRPr="002A73C3">
        <w:rPr>
          <w:b/>
          <w:bCs/>
        </w:rPr>
        <w:t xml:space="preserve">gasto </w:t>
      </w:r>
      <w:r w:rsidRPr="00AC4AEA">
        <w:t xml:space="preserve">en un período en relación con un plan de beneficios definidos por un importe que no será necesariamente igual a la cantidad de dinero que se contribuya al fondo en ese período. </w:t>
      </w:r>
    </w:p>
    <w:p w:rsidR="00421257" w:rsidRPr="00AC4AEA" w:rsidRDefault="00421257" w:rsidP="00C01B25">
      <w:pPr>
        <w:numPr>
          <w:ilvl w:val="0"/>
          <w:numId w:val="670"/>
        </w:numPr>
        <w:spacing w:after="147" w:line="264" w:lineRule="auto"/>
        <w:ind w:left="993" w:hanging="536"/>
        <w:jc w:val="both"/>
        <w:rPr>
          <w:rFonts w:ascii="Arial" w:hAnsi="Arial" w:cs="Arial"/>
          <w:sz w:val="20"/>
          <w:szCs w:val="20"/>
        </w:rPr>
      </w:pPr>
      <w:r w:rsidRPr="00AC4AEA">
        <w:rPr>
          <w:rFonts w:ascii="Arial" w:hAnsi="Arial" w:cs="Arial"/>
          <w:sz w:val="20"/>
          <w:szCs w:val="20"/>
        </w:rPr>
        <w:t xml:space="preserve">Para contabilizar un plan de beneficios definidos, una entidad: </w:t>
      </w:r>
    </w:p>
    <w:p w:rsidR="00421257" w:rsidRPr="00AC4AEA" w:rsidRDefault="00421257" w:rsidP="00C01B25">
      <w:pPr>
        <w:pStyle w:val="NUA-Nivel1"/>
        <w:numPr>
          <w:ilvl w:val="0"/>
          <w:numId w:val="733"/>
        </w:numPr>
        <w:ind w:left="1560" w:hanging="567"/>
      </w:pPr>
      <w:r w:rsidRPr="00AC4AEA">
        <w:t xml:space="preserve">utilizará técnicas actuariales para </w:t>
      </w:r>
      <w:r w:rsidR="00D81E8F">
        <w:t>estimar de manera</w:t>
      </w:r>
      <w:r w:rsidRPr="00AC4AEA">
        <w:t xml:space="preserve"> confiable el importe de los beneficios que los empleados han acumulado (o devengado) </w:t>
      </w:r>
      <w:r w:rsidR="00E30858" w:rsidRPr="00AC4AEA">
        <w:t>debido a</w:t>
      </w:r>
      <w:r w:rsidRPr="00AC4AEA">
        <w:t xml:space="preserve"> los servicios que han prestado en el período presente y en períodos anteriores. Para tal fin:</w:t>
      </w:r>
      <w:r w:rsidR="006F2C57">
        <w:t xml:space="preserve"> </w:t>
      </w:r>
    </w:p>
    <w:p w:rsidR="00421257" w:rsidRPr="00AC4AEA" w:rsidRDefault="00421257" w:rsidP="00C01B25">
      <w:pPr>
        <w:numPr>
          <w:ilvl w:val="2"/>
          <w:numId w:val="671"/>
        </w:numPr>
        <w:spacing w:after="147" w:line="264" w:lineRule="auto"/>
        <w:jc w:val="both"/>
        <w:rPr>
          <w:rFonts w:ascii="Arial" w:hAnsi="Arial" w:cs="Arial"/>
          <w:sz w:val="20"/>
          <w:szCs w:val="20"/>
        </w:rPr>
      </w:pPr>
      <w:r w:rsidRPr="00AC4AEA">
        <w:rPr>
          <w:rFonts w:ascii="Arial" w:hAnsi="Arial" w:cs="Arial"/>
          <w:sz w:val="20"/>
          <w:szCs w:val="20"/>
        </w:rPr>
        <w:t>determinará el monto de los beneficios que resultan atribuibles al período presente y a períodos anteriores; y</w:t>
      </w:r>
      <w:r w:rsidR="006F2C57">
        <w:rPr>
          <w:rFonts w:ascii="Arial" w:hAnsi="Arial" w:cs="Arial"/>
          <w:sz w:val="20"/>
          <w:szCs w:val="20"/>
        </w:rPr>
        <w:t xml:space="preserve"> </w:t>
      </w:r>
    </w:p>
    <w:p w:rsidR="00421257" w:rsidRPr="00AC4AEA" w:rsidRDefault="00421257" w:rsidP="00C01B25">
      <w:pPr>
        <w:numPr>
          <w:ilvl w:val="2"/>
          <w:numId w:val="671"/>
        </w:numPr>
        <w:spacing w:after="147" w:line="264" w:lineRule="auto"/>
        <w:jc w:val="both"/>
        <w:rPr>
          <w:rFonts w:ascii="Arial" w:hAnsi="Arial" w:cs="Arial"/>
          <w:sz w:val="20"/>
          <w:szCs w:val="20"/>
        </w:rPr>
      </w:pPr>
      <w:r w:rsidRPr="00AC4AEA">
        <w:rPr>
          <w:rFonts w:ascii="Arial" w:hAnsi="Arial" w:cs="Arial"/>
          <w:sz w:val="20"/>
          <w:szCs w:val="20"/>
        </w:rPr>
        <w:t xml:space="preserve">realizará las estimaciones pertinentes (supuestos actuariales) respecto a las variables demográficas (tales como rotación de los empleados y mortalidad) y financieras (tales como incrementos futuros en los salarios y en los costos de asistencia médica) que influyen en el monto de los beneficios a suministrar; </w:t>
      </w:r>
    </w:p>
    <w:p w:rsidR="00421257" w:rsidRPr="00AC4AEA" w:rsidRDefault="00421257" w:rsidP="00C01B25">
      <w:pPr>
        <w:pStyle w:val="NUA-Nivel1"/>
        <w:numPr>
          <w:ilvl w:val="0"/>
          <w:numId w:val="733"/>
        </w:numPr>
        <w:ind w:left="1560" w:hanging="567"/>
      </w:pPr>
      <w:r w:rsidRPr="00AC4AEA">
        <w:t xml:space="preserve">descontará los beneficios determinados como se describe en el párrafo anterior utilizando el Método de Unidades de Beneficios Proyectados, a fin de calcular el valor presente de las obligaciones por beneficios definidos y el costo de los servicios del período presente; </w:t>
      </w:r>
    </w:p>
    <w:p w:rsidR="00421257" w:rsidRPr="00AC4AEA" w:rsidRDefault="00421257" w:rsidP="00C01B25">
      <w:pPr>
        <w:pStyle w:val="NUA-Nivel1"/>
        <w:numPr>
          <w:ilvl w:val="0"/>
          <w:numId w:val="733"/>
        </w:numPr>
        <w:ind w:left="1560" w:hanging="567"/>
      </w:pPr>
      <w:r w:rsidRPr="00AC4AEA">
        <w:t>determinará:</w:t>
      </w:r>
      <w:r w:rsidR="006F2C57">
        <w:t xml:space="preserve"> </w:t>
      </w:r>
    </w:p>
    <w:p w:rsidR="00421257" w:rsidRPr="00AC4AEA" w:rsidRDefault="00421257" w:rsidP="00C01B25">
      <w:pPr>
        <w:numPr>
          <w:ilvl w:val="2"/>
          <w:numId w:val="672"/>
        </w:numPr>
        <w:spacing w:after="147" w:line="264" w:lineRule="auto"/>
        <w:jc w:val="both"/>
        <w:rPr>
          <w:rFonts w:ascii="Arial" w:hAnsi="Arial" w:cs="Arial"/>
          <w:sz w:val="20"/>
          <w:szCs w:val="20"/>
        </w:rPr>
      </w:pPr>
      <w:r w:rsidRPr="00AC4AEA">
        <w:rPr>
          <w:rFonts w:ascii="Arial" w:hAnsi="Arial" w:cs="Arial"/>
          <w:sz w:val="20"/>
          <w:szCs w:val="20"/>
        </w:rPr>
        <w:lastRenderedPageBreak/>
        <w:t xml:space="preserve">el </w:t>
      </w:r>
      <w:r w:rsidRPr="00AC4AEA">
        <w:rPr>
          <w:rFonts w:ascii="Arial" w:hAnsi="Arial" w:cs="Arial"/>
          <w:b/>
          <w:bCs/>
          <w:sz w:val="20"/>
          <w:szCs w:val="20"/>
        </w:rPr>
        <w:t xml:space="preserve">valor </w:t>
      </w:r>
      <w:r w:rsidR="00FF7BC0" w:rsidRPr="00AC4AEA">
        <w:rPr>
          <w:rFonts w:ascii="Arial" w:hAnsi="Arial" w:cs="Arial"/>
          <w:b/>
          <w:bCs/>
          <w:sz w:val="20"/>
          <w:szCs w:val="20"/>
        </w:rPr>
        <w:t>razonable</w:t>
      </w:r>
      <w:r w:rsidRPr="00AC4AEA">
        <w:rPr>
          <w:rFonts w:ascii="Arial" w:hAnsi="Arial" w:cs="Arial"/>
          <w:sz w:val="20"/>
          <w:szCs w:val="20"/>
        </w:rPr>
        <w:t xml:space="preserve"> de los activos del plan; </w:t>
      </w:r>
    </w:p>
    <w:p w:rsidR="00421257" w:rsidRPr="00AC4AEA" w:rsidRDefault="00421257" w:rsidP="00C01B25">
      <w:pPr>
        <w:numPr>
          <w:ilvl w:val="2"/>
          <w:numId w:val="672"/>
        </w:numPr>
        <w:spacing w:after="147" w:line="264" w:lineRule="auto"/>
        <w:jc w:val="both"/>
        <w:rPr>
          <w:rFonts w:ascii="Arial" w:hAnsi="Arial" w:cs="Arial"/>
          <w:sz w:val="20"/>
          <w:szCs w:val="20"/>
        </w:rPr>
      </w:pPr>
      <w:r w:rsidRPr="00AC4AEA">
        <w:rPr>
          <w:rFonts w:ascii="Arial" w:hAnsi="Arial" w:cs="Arial"/>
          <w:sz w:val="20"/>
          <w:szCs w:val="20"/>
        </w:rPr>
        <w:t xml:space="preserve">el importe total de las pérdidas o ganancias actuariales; </w:t>
      </w:r>
    </w:p>
    <w:p w:rsidR="00421257" w:rsidRPr="00AC4AEA" w:rsidRDefault="00421257" w:rsidP="00C01B25">
      <w:pPr>
        <w:numPr>
          <w:ilvl w:val="2"/>
          <w:numId w:val="672"/>
        </w:numPr>
        <w:spacing w:after="147" w:line="264" w:lineRule="auto"/>
        <w:jc w:val="both"/>
        <w:rPr>
          <w:rFonts w:ascii="Arial" w:hAnsi="Arial" w:cs="Arial"/>
          <w:sz w:val="20"/>
          <w:szCs w:val="20"/>
        </w:rPr>
      </w:pPr>
      <w:r w:rsidRPr="00AC4AEA">
        <w:rPr>
          <w:rFonts w:ascii="Arial" w:hAnsi="Arial" w:cs="Arial"/>
          <w:sz w:val="20"/>
          <w:szCs w:val="20"/>
        </w:rPr>
        <w:t xml:space="preserve">cuando se trate de un nuevo plan o se hayan cambiado las condiciones de un plan existente, el costo </w:t>
      </w:r>
      <w:r w:rsidR="00402499" w:rsidRPr="00AC4AEA">
        <w:rPr>
          <w:rFonts w:ascii="Arial" w:hAnsi="Arial" w:cs="Arial"/>
          <w:sz w:val="20"/>
          <w:szCs w:val="20"/>
        </w:rPr>
        <w:t xml:space="preserve">correspondiente </w:t>
      </w:r>
      <w:r w:rsidRPr="00AC4AEA">
        <w:rPr>
          <w:rFonts w:ascii="Arial" w:hAnsi="Arial" w:cs="Arial"/>
          <w:sz w:val="20"/>
          <w:szCs w:val="20"/>
        </w:rPr>
        <w:t xml:space="preserve">por servicios prestados en el pasado; y </w:t>
      </w:r>
    </w:p>
    <w:p w:rsidR="00421257" w:rsidRPr="00AC4AEA" w:rsidRDefault="00421257" w:rsidP="00C01B25">
      <w:pPr>
        <w:numPr>
          <w:ilvl w:val="2"/>
          <w:numId w:val="672"/>
        </w:numPr>
        <w:spacing w:after="147" w:line="264" w:lineRule="auto"/>
        <w:jc w:val="both"/>
        <w:rPr>
          <w:rFonts w:ascii="Arial" w:hAnsi="Arial" w:cs="Arial"/>
          <w:sz w:val="20"/>
          <w:szCs w:val="20"/>
        </w:rPr>
      </w:pPr>
      <w:r w:rsidRPr="00AC4AEA">
        <w:rPr>
          <w:rFonts w:ascii="Arial" w:hAnsi="Arial" w:cs="Arial"/>
          <w:sz w:val="20"/>
          <w:szCs w:val="20"/>
        </w:rPr>
        <w:t xml:space="preserve">cuando existan reducciones al plan o en caso de su terminación, la </w:t>
      </w:r>
      <w:r w:rsidRPr="00A94103">
        <w:rPr>
          <w:rFonts w:ascii="Arial" w:hAnsi="Arial" w:cs="Arial"/>
          <w:b/>
          <w:bCs/>
          <w:sz w:val="20"/>
          <w:szCs w:val="20"/>
        </w:rPr>
        <w:t xml:space="preserve">ganancia </w:t>
      </w:r>
      <w:r w:rsidRPr="00AC4AEA">
        <w:rPr>
          <w:rFonts w:ascii="Arial" w:hAnsi="Arial" w:cs="Arial"/>
          <w:sz w:val="20"/>
          <w:szCs w:val="20"/>
        </w:rPr>
        <w:t xml:space="preserve">o </w:t>
      </w:r>
      <w:r w:rsidRPr="00A94103">
        <w:rPr>
          <w:rFonts w:ascii="Arial" w:hAnsi="Arial" w:cs="Arial"/>
          <w:b/>
          <w:bCs/>
          <w:sz w:val="20"/>
          <w:szCs w:val="20"/>
        </w:rPr>
        <w:t>pérdida</w:t>
      </w:r>
      <w:r w:rsidRPr="00AC4AEA">
        <w:rPr>
          <w:rFonts w:ascii="Arial" w:hAnsi="Arial" w:cs="Arial"/>
          <w:sz w:val="20"/>
          <w:szCs w:val="20"/>
        </w:rPr>
        <w:t xml:space="preserve"> resultante. </w:t>
      </w:r>
    </w:p>
    <w:p w:rsidR="00421257" w:rsidRPr="00AC4AEA" w:rsidRDefault="00421257" w:rsidP="00C01B25">
      <w:pPr>
        <w:numPr>
          <w:ilvl w:val="0"/>
          <w:numId w:val="670"/>
        </w:numPr>
        <w:spacing w:line="264" w:lineRule="auto"/>
        <w:ind w:left="993" w:hanging="567"/>
        <w:jc w:val="both"/>
        <w:rPr>
          <w:rFonts w:ascii="Arial" w:hAnsi="Arial" w:cs="Arial"/>
          <w:sz w:val="20"/>
          <w:szCs w:val="20"/>
        </w:rPr>
      </w:pPr>
      <w:r w:rsidRPr="00AC4AEA">
        <w:rPr>
          <w:rFonts w:ascii="Arial" w:hAnsi="Arial" w:cs="Arial"/>
          <w:sz w:val="20"/>
          <w:szCs w:val="20"/>
        </w:rPr>
        <w:t xml:space="preserve">Si mantiene más de un plan de beneficios definidos, una entidad aplicará el procedimiento señalado del párrafo anterior por separado para cada uno de los planes que se diferencien significativamente. </w:t>
      </w:r>
    </w:p>
    <w:p w:rsidR="00273D4F" w:rsidRPr="00AC4AEA" w:rsidRDefault="0064073A" w:rsidP="00C01B25">
      <w:pPr>
        <w:numPr>
          <w:ilvl w:val="0"/>
          <w:numId w:val="670"/>
        </w:numPr>
        <w:spacing w:line="264" w:lineRule="auto"/>
        <w:ind w:left="993" w:hanging="567"/>
        <w:jc w:val="both"/>
        <w:rPr>
          <w:rFonts w:ascii="Arial" w:hAnsi="Arial" w:cs="Arial"/>
          <w:sz w:val="20"/>
          <w:szCs w:val="20"/>
        </w:rPr>
      </w:pPr>
      <w:r w:rsidRPr="00AC4AEA">
        <w:rPr>
          <w:rFonts w:ascii="Arial" w:hAnsi="Arial" w:cs="Arial"/>
          <w:sz w:val="20"/>
          <w:szCs w:val="20"/>
        </w:rPr>
        <w:t xml:space="preserve">En algunos casos, una entidad podrá utilizar estimaciones, promedios o métodos abreviados de cálculo, que pueden suministrar una aproximación confiable de los procedimientos </w:t>
      </w:r>
      <w:r w:rsidR="00EB2D20" w:rsidRPr="00AC4AEA">
        <w:rPr>
          <w:rFonts w:ascii="Arial" w:hAnsi="Arial" w:cs="Arial"/>
          <w:sz w:val="20"/>
          <w:szCs w:val="20"/>
        </w:rPr>
        <w:t>dentro del alcance de esta sección</w:t>
      </w:r>
      <w:r w:rsidRPr="00AC4AEA">
        <w:rPr>
          <w:rFonts w:ascii="Arial" w:hAnsi="Arial" w:cs="Arial"/>
          <w:sz w:val="20"/>
          <w:szCs w:val="20"/>
        </w:rPr>
        <w:t>.</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w:t>
      </w:r>
      <w:r w:rsidR="00EB2D20" w:rsidRPr="00AC4AEA">
        <w:rPr>
          <w:rFonts w:ascii="Arial" w:hAnsi="Arial" w:cs="Arial"/>
          <w:sz w:val="20"/>
          <w:szCs w:val="20"/>
        </w:rPr>
        <w:t>c</w:t>
      </w:r>
      <w:r w:rsidRPr="00AC4AEA">
        <w:rPr>
          <w:rFonts w:ascii="Arial" w:hAnsi="Arial" w:cs="Arial"/>
          <w:sz w:val="20"/>
          <w:szCs w:val="20"/>
        </w:rPr>
        <w:t>ontabilizar</w:t>
      </w:r>
      <w:r w:rsidR="00EB2D20" w:rsidRPr="00AC4AEA">
        <w:rPr>
          <w:rFonts w:ascii="Arial" w:hAnsi="Arial" w:cs="Arial"/>
          <w:sz w:val="20"/>
          <w:szCs w:val="20"/>
        </w:rPr>
        <w:t>á</w:t>
      </w:r>
      <w:r w:rsidRPr="00AC4AEA">
        <w:rPr>
          <w:rFonts w:ascii="Arial" w:hAnsi="Arial" w:cs="Arial"/>
          <w:sz w:val="20"/>
          <w:szCs w:val="20"/>
        </w:rPr>
        <w:t xml:space="preserve"> no sólo sus obligaciones legales, según los términos formales del plan de beneficios definidos, sino también las obligaciones implícitas asumidas voluntariamente que se deriven de las prácticas que, no estando formalizadas, son habitualmente seguidas por la entidad. Estas prácticas de carácter no formalizado dan lugar a obligaciones implícitas asumidas voluntariamente, siempre y cuando la entidad no tenga una alternativa viable diferente que la de afrontar los pagos de los correspondientes beneficios a los empleados. Un ejemplo de la existencia de una obligación implícita asumida voluntariamente es cuando la modificación de las prácticas habituales seguidas por la entidad podría producir un daño inaceptable en las relaciones que mantiene con sus empleados.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Los términos y condiciones formales de un plan de beneficios definidos pueden permitir a la entidad retirarse del plan sin hacer frente a los compromisos que asumiera. No obstante, por lo general le resultará difícil cancelar el plan si desea seguir reteniendo a sus empleados. Por tanto, en ausencia de evidencias contrarias, para contabilizar los beneficios post-relación laboral se presume que una entidad que otorgue tales beneficios en el presente continuará otorgándolos durante el resto de la vida activa de sus empleados.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71" w:name="_Toc139357023"/>
      <w:r w:rsidRPr="00AC4AEA">
        <w:t>Tratamiento en los estados contables</w:t>
      </w:r>
      <w:bookmarkEnd w:id="1171"/>
      <w:r w:rsidRPr="00AC4AEA">
        <w:t xml:space="preserve"> </w:t>
      </w:r>
    </w:p>
    <w:p w:rsidR="00421257" w:rsidRPr="00AC4AEA" w:rsidRDefault="00421257" w:rsidP="00A318EA">
      <w:pPr>
        <w:pStyle w:val="Ttulo4"/>
      </w:pPr>
      <w:r w:rsidRPr="00AC4AEA">
        <w:t xml:space="preserve">Estado de situación patrimonial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reconocerá un pasivo </w:t>
      </w:r>
      <w:r w:rsidR="00E32139" w:rsidRPr="00AC4AEA">
        <w:rPr>
          <w:rFonts w:ascii="Arial" w:hAnsi="Arial" w:cs="Arial"/>
          <w:sz w:val="20"/>
          <w:szCs w:val="20"/>
        </w:rPr>
        <w:t xml:space="preserve">(activo) neto </w:t>
      </w:r>
      <w:r w:rsidRPr="00AC4AEA">
        <w:rPr>
          <w:rFonts w:ascii="Arial" w:hAnsi="Arial" w:cs="Arial"/>
          <w:sz w:val="20"/>
          <w:szCs w:val="20"/>
        </w:rPr>
        <w:t xml:space="preserve">por beneficios definidos en el estado de situación patrimonial por un importe equivalente a: </w:t>
      </w:r>
    </w:p>
    <w:p w:rsidR="00421257" w:rsidRPr="00D737B5" w:rsidRDefault="00421257" w:rsidP="00C01B25">
      <w:pPr>
        <w:numPr>
          <w:ilvl w:val="1"/>
          <w:numId w:val="480"/>
        </w:numPr>
        <w:spacing w:line="264" w:lineRule="auto"/>
        <w:ind w:left="1559" w:hanging="567"/>
        <w:jc w:val="both"/>
        <w:rPr>
          <w:rFonts w:ascii="Arial" w:hAnsi="Arial" w:cs="Arial"/>
          <w:sz w:val="20"/>
          <w:szCs w:val="20"/>
        </w:rPr>
      </w:pPr>
      <w:r w:rsidRPr="00D737B5">
        <w:rPr>
          <w:rFonts w:ascii="Arial" w:hAnsi="Arial" w:cs="Arial"/>
          <w:sz w:val="20"/>
          <w:szCs w:val="20"/>
        </w:rPr>
        <w:t xml:space="preserve">el valor presente de las obligaciones por beneficios definidos a la </w:t>
      </w:r>
      <w:r w:rsidRPr="00D737B5">
        <w:rPr>
          <w:rFonts w:ascii="Arial" w:hAnsi="Arial" w:cs="Arial"/>
          <w:b/>
          <w:bCs/>
          <w:sz w:val="20"/>
          <w:szCs w:val="20"/>
        </w:rPr>
        <w:t>fecha de los estados contables</w:t>
      </w:r>
      <w:r w:rsidRPr="00D737B5">
        <w:rPr>
          <w:rFonts w:ascii="Arial" w:hAnsi="Arial" w:cs="Arial"/>
          <w:sz w:val="20"/>
          <w:szCs w:val="20"/>
        </w:rPr>
        <w:t xml:space="preserve">; menos </w:t>
      </w:r>
    </w:p>
    <w:p w:rsidR="00421257" w:rsidRPr="00D737B5" w:rsidRDefault="00421257" w:rsidP="00C01B25">
      <w:pPr>
        <w:numPr>
          <w:ilvl w:val="1"/>
          <w:numId w:val="480"/>
        </w:numPr>
        <w:spacing w:line="264" w:lineRule="auto"/>
        <w:ind w:left="1559" w:hanging="567"/>
        <w:jc w:val="both"/>
        <w:rPr>
          <w:rFonts w:ascii="Arial" w:hAnsi="Arial" w:cs="Arial"/>
          <w:sz w:val="20"/>
          <w:szCs w:val="20"/>
        </w:rPr>
      </w:pPr>
      <w:r w:rsidRPr="00D737B5">
        <w:rPr>
          <w:rFonts w:ascii="Arial" w:hAnsi="Arial" w:cs="Arial"/>
          <w:sz w:val="20"/>
          <w:szCs w:val="20"/>
        </w:rPr>
        <w:t xml:space="preserve">el </w:t>
      </w:r>
      <w:r w:rsidRPr="00D737B5">
        <w:rPr>
          <w:rFonts w:ascii="Arial" w:hAnsi="Arial" w:cs="Arial"/>
          <w:b/>
          <w:bCs/>
          <w:sz w:val="20"/>
          <w:szCs w:val="20"/>
        </w:rPr>
        <w:t>valor razonable</w:t>
      </w:r>
      <w:r w:rsidRPr="00D737B5">
        <w:rPr>
          <w:rFonts w:ascii="Arial" w:hAnsi="Arial" w:cs="Arial"/>
          <w:sz w:val="20"/>
          <w:szCs w:val="20"/>
        </w:rPr>
        <w:t xml:space="preserve">, a la </w:t>
      </w:r>
      <w:r w:rsidRPr="00D737B5">
        <w:rPr>
          <w:rFonts w:ascii="Arial" w:hAnsi="Arial" w:cs="Arial"/>
          <w:b/>
          <w:bCs/>
          <w:sz w:val="20"/>
          <w:szCs w:val="20"/>
        </w:rPr>
        <w:t>fecha de los estados contables</w:t>
      </w:r>
      <w:r w:rsidRPr="00D737B5">
        <w:rPr>
          <w:rFonts w:ascii="Arial" w:hAnsi="Arial" w:cs="Arial"/>
          <w:sz w:val="20"/>
          <w:szCs w:val="20"/>
        </w:rPr>
        <w:t xml:space="preserve">, de los activos del plan con los que se planea liquidar directamente las obligaciones. </w:t>
      </w:r>
    </w:p>
    <w:p w:rsidR="00421257" w:rsidRPr="00AC4AEA" w:rsidRDefault="00421257" w:rsidP="00C01B25">
      <w:pPr>
        <w:numPr>
          <w:ilvl w:val="0"/>
          <w:numId w:val="670"/>
        </w:numPr>
        <w:spacing w:after="147" w:line="264" w:lineRule="auto"/>
        <w:ind w:left="1134" w:hanging="708"/>
        <w:jc w:val="both"/>
        <w:rPr>
          <w:rFonts w:ascii="Arial" w:hAnsi="Arial" w:cs="Arial"/>
          <w:sz w:val="20"/>
          <w:szCs w:val="20"/>
        </w:rPr>
      </w:pPr>
      <w:bookmarkStart w:id="1172" w:name="_Ref135678640"/>
      <w:r w:rsidRPr="00AC4AEA">
        <w:rPr>
          <w:rFonts w:ascii="Arial" w:hAnsi="Arial" w:cs="Arial"/>
          <w:sz w:val="20"/>
          <w:szCs w:val="20"/>
        </w:rPr>
        <w:t xml:space="preserve">Una entidad determinará el valor presente de las obligaciones por beneficios definidos, así como el </w:t>
      </w:r>
      <w:r w:rsidRPr="00AC4AEA">
        <w:rPr>
          <w:rFonts w:ascii="Arial" w:hAnsi="Arial" w:cs="Arial"/>
          <w:b/>
          <w:bCs/>
          <w:sz w:val="20"/>
          <w:szCs w:val="20"/>
        </w:rPr>
        <w:t>valor razonable</w:t>
      </w:r>
      <w:r w:rsidRPr="00AC4AEA">
        <w:rPr>
          <w:rFonts w:ascii="Arial" w:hAnsi="Arial" w:cs="Arial"/>
          <w:sz w:val="20"/>
          <w:szCs w:val="20"/>
        </w:rPr>
        <w:t xml:space="preserve"> de los activos del plan, con la suficiente regularidad para que los saldos reconocidos en los </w:t>
      </w:r>
      <w:r w:rsidRPr="00AC4AEA">
        <w:rPr>
          <w:rFonts w:ascii="Arial" w:hAnsi="Arial" w:cs="Arial"/>
          <w:b/>
          <w:bCs/>
          <w:sz w:val="20"/>
          <w:szCs w:val="20"/>
        </w:rPr>
        <w:t>estados contables</w:t>
      </w:r>
      <w:r w:rsidRPr="00AC4AEA">
        <w:rPr>
          <w:rFonts w:ascii="Arial" w:hAnsi="Arial" w:cs="Arial"/>
          <w:sz w:val="20"/>
          <w:szCs w:val="20"/>
        </w:rPr>
        <w:t xml:space="preserve"> no difieran, </w:t>
      </w:r>
      <w:r w:rsidRPr="00AC4AEA">
        <w:rPr>
          <w:rFonts w:ascii="Arial" w:hAnsi="Arial" w:cs="Arial"/>
          <w:sz w:val="20"/>
          <w:szCs w:val="20"/>
        </w:rPr>
        <w:lastRenderedPageBreak/>
        <w:t xml:space="preserve">en forma significativa, de los importes que podrían determinarse en la </w:t>
      </w:r>
      <w:r w:rsidRPr="00AC4AEA">
        <w:rPr>
          <w:rFonts w:ascii="Arial" w:hAnsi="Arial" w:cs="Arial"/>
          <w:b/>
          <w:bCs/>
          <w:sz w:val="20"/>
          <w:szCs w:val="20"/>
        </w:rPr>
        <w:t>fecha de los estados contables</w:t>
      </w:r>
      <w:r w:rsidRPr="00AC4AEA">
        <w:rPr>
          <w:rFonts w:ascii="Arial" w:hAnsi="Arial" w:cs="Arial"/>
          <w:sz w:val="20"/>
          <w:szCs w:val="20"/>
        </w:rPr>
        <w:t>.</w:t>
      </w:r>
      <w:bookmarkEnd w:id="1172"/>
      <w:r w:rsidRPr="00AC4AEA">
        <w:rPr>
          <w:rFonts w:ascii="Arial" w:hAnsi="Arial" w:cs="Arial"/>
          <w:sz w:val="20"/>
          <w:szCs w:val="20"/>
        </w:rPr>
        <w:t xml:space="preserve"> </w:t>
      </w:r>
    </w:p>
    <w:p w:rsidR="00421257" w:rsidRPr="00AC4AEA" w:rsidRDefault="00421257" w:rsidP="00C01B25">
      <w:pPr>
        <w:numPr>
          <w:ilvl w:val="0"/>
          <w:numId w:val="670"/>
        </w:numPr>
        <w:spacing w:after="147" w:line="264" w:lineRule="auto"/>
        <w:ind w:left="1134" w:hanging="708"/>
        <w:jc w:val="both"/>
        <w:rPr>
          <w:rFonts w:ascii="Arial" w:hAnsi="Arial" w:cs="Arial"/>
          <w:sz w:val="20"/>
          <w:szCs w:val="20"/>
        </w:rPr>
      </w:pPr>
      <w:bookmarkStart w:id="1173" w:name="_Ref135761387"/>
      <w:r w:rsidRPr="00AC4AEA">
        <w:rPr>
          <w:rFonts w:ascii="Arial" w:hAnsi="Arial" w:cs="Arial"/>
          <w:sz w:val="20"/>
          <w:szCs w:val="20"/>
        </w:rPr>
        <w:t>Una entidad:</w:t>
      </w:r>
      <w:bookmarkEnd w:id="1173"/>
      <w:r w:rsidRPr="00AC4AEA">
        <w:rPr>
          <w:rFonts w:ascii="Arial" w:hAnsi="Arial" w:cs="Arial"/>
          <w:sz w:val="20"/>
          <w:szCs w:val="20"/>
        </w:rPr>
        <w:t xml:space="preserve"> </w:t>
      </w:r>
    </w:p>
    <w:p w:rsidR="00421257" w:rsidRPr="00AC4AEA" w:rsidRDefault="00421257" w:rsidP="00C01B25">
      <w:pPr>
        <w:numPr>
          <w:ilvl w:val="0"/>
          <w:numId w:val="734"/>
        </w:numPr>
        <w:spacing w:line="264" w:lineRule="auto"/>
        <w:ind w:left="1559" w:hanging="567"/>
        <w:jc w:val="both"/>
        <w:rPr>
          <w:rFonts w:ascii="Arial" w:hAnsi="Arial" w:cs="Arial"/>
          <w:sz w:val="20"/>
          <w:szCs w:val="20"/>
        </w:rPr>
      </w:pPr>
      <w:r w:rsidRPr="00AC4AEA">
        <w:rPr>
          <w:rFonts w:ascii="Arial" w:hAnsi="Arial" w:cs="Arial"/>
          <w:sz w:val="20"/>
          <w:szCs w:val="20"/>
        </w:rPr>
        <w:t xml:space="preserve">Medirá las obligaciones por beneficios post-relación laboral de carácter significativo sobre la base de las estimaciones de un actuario con experiencia en el tema. </w:t>
      </w:r>
    </w:p>
    <w:p w:rsidR="00421257" w:rsidRPr="00AC4AEA" w:rsidRDefault="00421257" w:rsidP="00C01B25">
      <w:pPr>
        <w:numPr>
          <w:ilvl w:val="0"/>
          <w:numId w:val="734"/>
        </w:numPr>
        <w:spacing w:line="264" w:lineRule="auto"/>
        <w:ind w:left="1559" w:hanging="567"/>
        <w:jc w:val="both"/>
        <w:rPr>
          <w:rFonts w:ascii="Arial" w:hAnsi="Arial" w:cs="Arial"/>
          <w:sz w:val="20"/>
          <w:szCs w:val="20"/>
        </w:rPr>
      </w:pPr>
      <w:r w:rsidRPr="00AC4AEA">
        <w:rPr>
          <w:rFonts w:ascii="Arial" w:hAnsi="Arial" w:cs="Arial"/>
          <w:sz w:val="20"/>
          <w:szCs w:val="20"/>
        </w:rPr>
        <w:t>Por razones prácticas, podrá:</w:t>
      </w:r>
      <w:r w:rsidR="006F2C57">
        <w:rPr>
          <w:rFonts w:ascii="Arial" w:hAnsi="Arial" w:cs="Arial"/>
          <w:sz w:val="20"/>
          <w:szCs w:val="20"/>
        </w:rPr>
        <w:t xml:space="preserve"> </w:t>
      </w:r>
    </w:p>
    <w:p w:rsidR="00421257" w:rsidRPr="00AC4AEA" w:rsidRDefault="00421257" w:rsidP="00C01B25">
      <w:pPr>
        <w:numPr>
          <w:ilvl w:val="3"/>
          <w:numId w:val="481"/>
        </w:numPr>
        <w:spacing w:after="147" w:line="264" w:lineRule="auto"/>
        <w:ind w:left="2127" w:hanging="567"/>
        <w:jc w:val="both"/>
        <w:rPr>
          <w:rFonts w:ascii="Arial" w:hAnsi="Arial" w:cs="Arial"/>
          <w:sz w:val="20"/>
          <w:szCs w:val="20"/>
        </w:rPr>
      </w:pPr>
      <w:r w:rsidRPr="00AC4AEA">
        <w:rPr>
          <w:rFonts w:ascii="Arial" w:hAnsi="Arial" w:cs="Arial"/>
          <w:sz w:val="20"/>
          <w:szCs w:val="20"/>
        </w:rPr>
        <w:t xml:space="preserve">solicitar al actuario que efectúe las mediciones a una fecha anterior a la </w:t>
      </w:r>
      <w:r w:rsidRPr="00AC4AEA">
        <w:rPr>
          <w:rFonts w:ascii="Arial" w:hAnsi="Arial" w:cs="Arial"/>
          <w:b/>
          <w:bCs/>
          <w:sz w:val="20"/>
          <w:szCs w:val="20"/>
        </w:rPr>
        <w:t>fecha de los estados contables</w:t>
      </w:r>
      <w:r w:rsidRPr="00AC4AEA">
        <w:rPr>
          <w:rFonts w:ascii="Arial" w:hAnsi="Arial" w:cs="Arial"/>
          <w:sz w:val="20"/>
          <w:szCs w:val="20"/>
        </w:rPr>
        <w:t xml:space="preserve"> con una anticipación no mayor a tres meses; y </w:t>
      </w:r>
    </w:p>
    <w:p w:rsidR="00421257" w:rsidRPr="00AC4AEA" w:rsidRDefault="00421257" w:rsidP="00C01B25">
      <w:pPr>
        <w:numPr>
          <w:ilvl w:val="3"/>
          <w:numId w:val="481"/>
        </w:numPr>
        <w:spacing w:after="147" w:line="264" w:lineRule="auto"/>
        <w:ind w:left="2127" w:hanging="567"/>
        <w:jc w:val="both"/>
        <w:rPr>
          <w:rFonts w:ascii="Arial" w:hAnsi="Arial" w:cs="Arial"/>
          <w:sz w:val="20"/>
          <w:szCs w:val="20"/>
        </w:rPr>
      </w:pPr>
      <w:r w:rsidRPr="00AC4AEA">
        <w:rPr>
          <w:rFonts w:ascii="Arial" w:hAnsi="Arial" w:cs="Arial"/>
          <w:sz w:val="20"/>
          <w:szCs w:val="20"/>
        </w:rPr>
        <w:t xml:space="preserve">ajustará tales mediciones para reflejar operaciones significativas o cambios en las circunstancias (incluyendo, por ejemplo, un cambio en la tasa de interés) hasta la </w:t>
      </w:r>
      <w:r w:rsidRPr="00AC4AEA">
        <w:rPr>
          <w:rFonts w:ascii="Arial" w:hAnsi="Arial" w:cs="Arial"/>
          <w:b/>
          <w:bCs/>
          <w:sz w:val="20"/>
          <w:szCs w:val="20"/>
        </w:rPr>
        <w:t>fecha de los estados contables</w:t>
      </w:r>
      <w:r w:rsidRPr="00AC4AEA">
        <w:rPr>
          <w:rFonts w:ascii="Arial" w:hAnsi="Arial" w:cs="Arial"/>
          <w:sz w:val="20"/>
          <w:szCs w:val="20"/>
        </w:rPr>
        <w:t xml:space="preserve">. </w:t>
      </w:r>
    </w:p>
    <w:p w:rsidR="00421257" w:rsidRPr="00AC4AEA" w:rsidRDefault="00421257" w:rsidP="00C01B25">
      <w:pPr>
        <w:numPr>
          <w:ilvl w:val="0"/>
          <w:numId w:val="670"/>
        </w:numPr>
        <w:spacing w:line="264" w:lineRule="auto"/>
        <w:ind w:left="993" w:hanging="567"/>
        <w:jc w:val="both"/>
        <w:rPr>
          <w:rFonts w:ascii="Arial" w:hAnsi="Arial" w:cs="Arial"/>
          <w:sz w:val="20"/>
          <w:szCs w:val="20"/>
        </w:rPr>
      </w:pPr>
      <w:r w:rsidRPr="00AC4AEA">
        <w:rPr>
          <w:rFonts w:ascii="Arial" w:hAnsi="Arial" w:cs="Arial"/>
          <w:sz w:val="20"/>
          <w:szCs w:val="20"/>
        </w:rPr>
        <w:t xml:space="preserve">Si importe determinado según el párrafo </w:t>
      </w:r>
      <w:fldSimple w:instr=" REF _Ref135678640 \r \h  \* MERGEFORMAT ">
        <w:r w:rsidR="00D33A5D" w:rsidRPr="00D33A5D">
          <w:rPr>
            <w:rFonts w:ascii="Arial" w:hAnsi="Arial" w:cs="Arial"/>
            <w:sz w:val="20"/>
            <w:szCs w:val="20"/>
          </w:rPr>
          <w:t>892</w:t>
        </w:r>
      </w:fldSimple>
      <w:r w:rsidRPr="00AC4AEA">
        <w:rPr>
          <w:rFonts w:ascii="Arial" w:hAnsi="Arial" w:cs="Arial"/>
          <w:sz w:val="20"/>
          <w:szCs w:val="20"/>
        </w:rPr>
        <w:t xml:space="preserve"> fuera </w:t>
      </w:r>
      <w:r w:rsidR="00AF390C" w:rsidRPr="00AC4AEA">
        <w:rPr>
          <w:rFonts w:ascii="Arial" w:hAnsi="Arial" w:cs="Arial"/>
          <w:sz w:val="20"/>
          <w:szCs w:val="20"/>
        </w:rPr>
        <w:t>deudor</w:t>
      </w:r>
      <w:r w:rsidRPr="00AC4AEA">
        <w:rPr>
          <w:rFonts w:ascii="Arial" w:hAnsi="Arial" w:cs="Arial"/>
          <w:sz w:val="20"/>
          <w:szCs w:val="20"/>
        </w:rPr>
        <w:t xml:space="preserve">, una entidad medirá el </w:t>
      </w:r>
      <w:r w:rsidR="004E1215" w:rsidRPr="004E1215">
        <w:rPr>
          <w:rFonts w:ascii="Arial" w:hAnsi="Arial" w:cs="Arial"/>
          <w:b/>
          <w:bCs/>
          <w:sz w:val="20"/>
          <w:szCs w:val="20"/>
        </w:rPr>
        <w:t xml:space="preserve">activo </w:t>
      </w:r>
      <w:r w:rsidRPr="00AC4AEA">
        <w:rPr>
          <w:rFonts w:ascii="Arial" w:hAnsi="Arial" w:cs="Arial"/>
          <w:sz w:val="20"/>
          <w:szCs w:val="20"/>
        </w:rPr>
        <w:t xml:space="preserve">resultante por el menor de: </w:t>
      </w:r>
    </w:p>
    <w:p w:rsidR="00421257" w:rsidRPr="00AC4AEA" w:rsidRDefault="00421257" w:rsidP="00C01B25">
      <w:pPr>
        <w:pStyle w:val="NUAVieta1"/>
        <w:numPr>
          <w:ilvl w:val="0"/>
          <w:numId w:val="727"/>
        </w:numPr>
        <w:ind w:left="1559" w:hanging="567"/>
      </w:pPr>
      <w:r w:rsidRPr="00AC4AEA">
        <w:t xml:space="preserve">el importe determinado según el párrafo </w:t>
      </w:r>
      <w:fldSimple w:instr=" REF _Ref135678640 \r \h  \* MERGEFORMAT ">
        <w:r w:rsidR="00D33A5D">
          <w:t>892</w:t>
        </w:r>
      </w:fldSimple>
      <w:r w:rsidRPr="00AC4AEA">
        <w:t xml:space="preserve">; y </w:t>
      </w:r>
    </w:p>
    <w:p w:rsidR="00E67DA8" w:rsidRPr="00AC4AEA" w:rsidRDefault="00421257" w:rsidP="00C01B25">
      <w:pPr>
        <w:pStyle w:val="NUAVieta1"/>
        <w:numPr>
          <w:ilvl w:val="0"/>
          <w:numId w:val="727"/>
        </w:numPr>
        <w:ind w:left="1559" w:hanging="567"/>
      </w:pPr>
      <w:r w:rsidRPr="00AC4AEA">
        <w:t xml:space="preserve">el valor presente de beneficios económicos disponibles en la forma de reembolsos procedentes del plan o reducciones en las contribuciones futuras al plan, utilizando para determinar este importe la tasa de interés especificada para tal efecto en </w:t>
      </w:r>
      <w:r w:rsidR="009804E6" w:rsidRPr="00AC4AEA">
        <w:t xml:space="preserve">el párrafo </w:t>
      </w:r>
      <w:fldSimple w:instr=" REF _Ref135682309 \r \h  \* MERGEFORMAT ">
        <w:r w:rsidR="00D33A5D">
          <w:t>908</w:t>
        </w:r>
      </w:fldSimple>
      <w:r w:rsidR="009804E6" w:rsidRPr="00AC4AEA">
        <w:t>.</w:t>
      </w:r>
    </w:p>
    <w:p w:rsidR="00421257" w:rsidRPr="00AC4AEA" w:rsidRDefault="0071443B" w:rsidP="00C01B25">
      <w:pPr>
        <w:numPr>
          <w:ilvl w:val="0"/>
          <w:numId w:val="670"/>
        </w:numPr>
        <w:spacing w:after="147" w:line="264" w:lineRule="auto"/>
        <w:ind w:left="1134" w:hanging="708"/>
        <w:jc w:val="both"/>
        <w:rPr>
          <w:rFonts w:ascii="Arial" w:hAnsi="Arial" w:cs="Arial"/>
          <w:sz w:val="20"/>
          <w:szCs w:val="20"/>
        </w:rPr>
      </w:pPr>
      <w:r w:rsidRPr="00AC4AEA">
        <w:rPr>
          <w:rFonts w:ascii="Arial" w:hAnsi="Arial" w:cs="Arial"/>
          <w:sz w:val="20"/>
          <w:szCs w:val="20"/>
        </w:rPr>
        <w:t xml:space="preserve">Al aplicar el párrafo anterior, una entidad imputará cualquier diferencia entre los importes referidos en los incisos a) y b) (cuando el primero resulta mayor que el </w:t>
      </w:r>
      <w:r w:rsidR="001C7CCA" w:rsidRPr="00AC4AEA">
        <w:rPr>
          <w:rFonts w:ascii="Arial" w:hAnsi="Arial" w:cs="Arial"/>
          <w:sz w:val="20"/>
          <w:szCs w:val="20"/>
        </w:rPr>
        <w:t>segundo</w:t>
      </w:r>
      <w:r w:rsidRPr="00AC4AEA">
        <w:rPr>
          <w:rFonts w:ascii="Arial" w:hAnsi="Arial" w:cs="Arial"/>
          <w:sz w:val="20"/>
          <w:szCs w:val="20"/>
        </w:rPr>
        <w:t xml:space="preserve">) en </w:t>
      </w:r>
      <w:r w:rsidRPr="00AC4AEA">
        <w:rPr>
          <w:rFonts w:ascii="Arial" w:hAnsi="Arial" w:cs="Arial"/>
          <w:b/>
          <w:bCs/>
          <w:sz w:val="20"/>
          <w:szCs w:val="20"/>
        </w:rPr>
        <w:t>resultados diferidos</w:t>
      </w:r>
      <w:r w:rsidRPr="00AC4AEA">
        <w:rPr>
          <w:rFonts w:ascii="Arial" w:hAnsi="Arial" w:cs="Arial"/>
          <w:sz w:val="20"/>
          <w:szCs w:val="20"/>
        </w:rPr>
        <w:t>.</w:t>
      </w:r>
      <w:r w:rsidR="0089300C" w:rsidRPr="00AC4AEA">
        <w:rPr>
          <w:rFonts w:ascii="Arial" w:hAnsi="Arial" w:cs="Arial"/>
          <w:sz w:val="20"/>
          <w:szCs w:val="20"/>
        </w:rPr>
        <w:t xml:space="preserve"> Una entidad no reclasificará a resultado</w:t>
      </w:r>
      <w:r w:rsidR="00D063B9" w:rsidRPr="00AC4AEA">
        <w:rPr>
          <w:rFonts w:ascii="Arial" w:hAnsi="Arial" w:cs="Arial"/>
          <w:sz w:val="20"/>
          <w:szCs w:val="20"/>
        </w:rPr>
        <w:t>s</w:t>
      </w:r>
      <w:r w:rsidR="0089300C" w:rsidRPr="00AC4AEA">
        <w:rPr>
          <w:rFonts w:ascii="Arial" w:hAnsi="Arial" w:cs="Arial"/>
          <w:sz w:val="20"/>
          <w:szCs w:val="20"/>
        </w:rPr>
        <w:t xml:space="preserve"> los saldos </w:t>
      </w:r>
      <w:r w:rsidR="00CA6A70" w:rsidRPr="00AC4AEA">
        <w:rPr>
          <w:rFonts w:ascii="Arial" w:hAnsi="Arial" w:cs="Arial"/>
          <w:sz w:val="20"/>
          <w:szCs w:val="20"/>
        </w:rPr>
        <w:t xml:space="preserve">acumulados </w:t>
      </w:r>
      <w:r w:rsidR="004552FE" w:rsidRPr="00AC4AEA">
        <w:rPr>
          <w:rFonts w:ascii="Arial" w:hAnsi="Arial" w:cs="Arial"/>
          <w:sz w:val="20"/>
          <w:szCs w:val="20"/>
        </w:rPr>
        <w:t>correspondientes a tales</w:t>
      </w:r>
      <w:r w:rsidR="00CA6A70" w:rsidRPr="00AC4AEA">
        <w:rPr>
          <w:rFonts w:ascii="Arial" w:hAnsi="Arial" w:cs="Arial"/>
          <w:sz w:val="20"/>
          <w:szCs w:val="20"/>
        </w:rPr>
        <w:t xml:space="preserve"> </w:t>
      </w:r>
      <w:r w:rsidR="00CA6A70" w:rsidRPr="00AC4AEA">
        <w:rPr>
          <w:rFonts w:ascii="Arial" w:hAnsi="Arial" w:cs="Arial"/>
          <w:b/>
          <w:bCs/>
          <w:sz w:val="20"/>
          <w:szCs w:val="20"/>
        </w:rPr>
        <w:t>resultados diferidos</w:t>
      </w:r>
      <w:r w:rsidR="00CA6A70"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A318EA">
      <w:pPr>
        <w:spacing w:after="150" w:line="256" w:lineRule="auto"/>
        <w:ind w:left="146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Estado de Resultados </w:t>
      </w:r>
    </w:p>
    <w:p w:rsidR="00421257" w:rsidRPr="00E50BD3" w:rsidRDefault="00421257" w:rsidP="00C01B25">
      <w:pPr>
        <w:numPr>
          <w:ilvl w:val="0"/>
          <w:numId w:val="670"/>
        </w:numPr>
        <w:spacing w:after="147" w:line="264" w:lineRule="auto"/>
        <w:ind w:left="1134" w:hanging="708"/>
        <w:jc w:val="both"/>
        <w:rPr>
          <w:rFonts w:ascii="Arial" w:hAnsi="Arial" w:cs="Arial"/>
          <w:sz w:val="20"/>
          <w:szCs w:val="20"/>
        </w:rPr>
      </w:pPr>
      <w:r w:rsidRPr="00E50BD3">
        <w:rPr>
          <w:rFonts w:ascii="Arial" w:hAnsi="Arial" w:cs="Arial"/>
          <w:sz w:val="20"/>
          <w:szCs w:val="20"/>
        </w:rPr>
        <w:t xml:space="preserve">Una entidad reconocerá como resultado el neto de los siguientes importes, a menos que se exija o permita la inclusión del importe determinado en el costo de un activo: </w:t>
      </w:r>
    </w:p>
    <w:p w:rsidR="00421257" w:rsidRPr="00E50BD3" w:rsidRDefault="00421257" w:rsidP="00C01B25">
      <w:pPr>
        <w:pStyle w:val="NUAVieta1"/>
        <w:numPr>
          <w:ilvl w:val="0"/>
          <w:numId w:val="673"/>
        </w:numPr>
        <w:ind w:left="1559" w:hanging="425"/>
      </w:pPr>
      <w:r w:rsidRPr="00E50BD3">
        <w:t xml:space="preserve">el costo de los servicios del período presente; </w:t>
      </w:r>
    </w:p>
    <w:p w:rsidR="00B220A0" w:rsidRPr="00E50BD3" w:rsidRDefault="00B220A0" w:rsidP="00C01B25">
      <w:pPr>
        <w:pStyle w:val="NUAVieta1"/>
        <w:numPr>
          <w:ilvl w:val="0"/>
          <w:numId w:val="673"/>
        </w:numPr>
        <w:ind w:left="1559" w:hanging="425"/>
      </w:pPr>
      <w:r w:rsidRPr="00E50BD3">
        <w:t>el costo por servicios prestados en el pasado;</w:t>
      </w:r>
    </w:p>
    <w:p w:rsidR="00421257" w:rsidRPr="00AC4AEA" w:rsidRDefault="00421257" w:rsidP="00C01B25">
      <w:pPr>
        <w:pStyle w:val="NUAVieta1"/>
        <w:numPr>
          <w:ilvl w:val="0"/>
          <w:numId w:val="673"/>
        </w:numPr>
        <w:ind w:left="1559" w:hanging="425"/>
      </w:pPr>
      <w:r w:rsidRPr="00E50BD3">
        <w:t xml:space="preserve">el </w:t>
      </w:r>
      <w:r w:rsidR="00B31620" w:rsidRPr="00E50BD3">
        <w:t>interés neto sobre el</w:t>
      </w:r>
      <w:r w:rsidR="00B31620" w:rsidRPr="00AC4AEA">
        <w:t xml:space="preserve"> pasivo (activo)por beneficios definidos</w:t>
      </w:r>
      <w:r w:rsidRPr="00AC4AEA">
        <w:t>;</w:t>
      </w:r>
      <w:r w:rsidR="00B500D3" w:rsidRPr="00AC4AEA">
        <w:t xml:space="preserve"> y</w:t>
      </w:r>
      <w:r w:rsidRPr="00AC4AEA">
        <w:t xml:space="preserve"> </w:t>
      </w:r>
    </w:p>
    <w:p w:rsidR="00421257" w:rsidRPr="00AC4AEA" w:rsidRDefault="00421257" w:rsidP="00C01B25">
      <w:pPr>
        <w:pStyle w:val="NUAVieta1"/>
        <w:numPr>
          <w:ilvl w:val="0"/>
          <w:numId w:val="673"/>
        </w:numPr>
        <w:ind w:left="1559" w:hanging="425"/>
      </w:pPr>
      <w:r w:rsidRPr="00AC4AEA">
        <w:t xml:space="preserve">el efecto de cualquier tipo de reducción o terminación del plan. </w:t>
      </w:r>
    </w:p>
    <w:p w:rsidR="00421257" w:rsidRPr="00AC4AEA" w:rsidRDefault="00421257" w:rsidP="00A318EA">
      <w:pPr>
        <w:spacing w:line="256" w:lineRule="auto"/>
        <w:ind w:left="1274"/>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74" w:name="_Toc139357024"/>
      <w:r w:rsidRPr="00AC4AEA">
        <w:t>Valor presente de las obligaciones por beneficios definidos y costo de los servicios del período presente</w:t>
      </w:r>
      <w:bookmarkEnd w:id="1174"/>
      <w:r w:rsidRPr="00AC4AEA">
        <w:t xml:space="preserve"> </w:t>
      </w:r>
    </w:p>
    <w:p w:rsidR="00421257" w:rsidRPr="00AC4AEA" w:rsidRDefault="00421257" w:rsidP="00C01B25">
      <w:pPr>
        <w:numPr>
          <w:ilvl w:val="0"/>
          <w:numId w:val="670"/>
        </w:numPr>
        <w:spacing w:after="147" w:line="264" w:lineRule="auto"/>
        <w:ind w:left="1134" w:hanging="708"/>
        <w:jc w:val="both"/>
        <w:rPr>
          <w:rFonts w:ascii="Arial" w:hAnsi="Arial" w:cs="Arial"/>
          <w:sz w:val="20"/>
          <w:szCs w:val="20"/>
        </w:rPr>
      </w:pPr>
      <w:r w:rsidRPr="00AC4AEA">
        <w:rPr>
          <w:rFonts w:ascii="Arial" w:hAnsi="Arial" w:cs="Arial"/>
          <w:sz w:val="20"/>
          <w:szCs w:val="20"/>
        </w:rPr>
        <w:t xml:space="preserve">A fin de medir el valor presente de las obligaciones por beneficios post relación laboral, así como el correspondiente costo de los servicios del período presente, una entidad: </w:t>
      </w:r>
    </w:p>
    <w:p w:rsidR="00421257" w:rsidRPr="00AC4AEA" w:rsidRDefault="00421257" w:rsidP="00C01B25">
      <w:pPr>
        <w:numPr>
          <w:ilvl w:val="3"/>
          <w:numId w:val="482"/>
        </w:numPr>
        <w:spacing w:line="264" w:lineRule="auto"/>
        <w:ind w:left="1560" w:hanging="426"/>
        <w:jc w:val="both"/>
        <w:rPr>
          <w:rFonts w:ascii="Arial" w:hAnsi="Arial" w:cs="Arial"/>
          <w:sz w:val="20"/>
          <w:szCs w:val="20"/>
        </w:rPr>
      </w:pPr>
      <w:r w:rsidRPr="00AC4AEA">
        <w:rPr>
          <w:rFonts w:ascii="Arial" w:hAnsi="Arial" w:cs="Arial"/>
          <w:sz w:val="20"/>
          <w:szCs w:val="20"/>
        </w:rPr>
        <w:lastRenderedPageBreak/>
        <w:t xml:space="preserve">aplicará un método de valuación actuarial; </w:t>
      </w:r>
    </w:p>
    <w:p w:rsidR="00421257" w:rsidRPr="00AC4AEA" w:rsidRDefault="00421257" w:rsidP="00C01B25">
      <w:pPr>
        <w:numPr>
          <w:ilvl w:val="3"/>
          <w:numId w:val="482"/>
        </w:numPr>
        <w:spacing w:line="264" w:lineRule="auto"/>
        <w:ind w:left="1560" w:hanging="426"/>
        <w:jc w:val="both"/>
        <w:rPr>
          <w:rFonts w:ascii="Arial" w:hAnsi="Arial" w:cs="Arial"/>
          <w:sz w:val="20"/>
          <w:szCs w:val="20"/>
        </w:rPr>
      </w:pPr>
      <w:r w:rsidRPr="00AC4AEA">
        <w:rPr>
          <w:rFonts w:ascii="Arial" w:hAnsi="Arial" w:cs="Arial"/>
          <w:sz w:val="20"/>
          <w:szCs w:val="20"/>
        </w:rPr>
        <w:t xml:space="preserve">asignará los beneficios a los períodos de servicio; y </w:t>
      </w:r>
    </w:p>
    <w:p w:rsidR="00421257" w:rsidRPr="00AC4AEA" w:rsidRDefault="00421257" w:rsidP="00C01B25">
      <w:pPr>
        <w:numPr>
          <w:ilvl w:val="3"/>
          <w:numId w:val="482"/>
        </w:numPr>
        <w:spacing w:line="264" w:lineRule="auto"/>
        <w:ind w:left="1560" w:hanging="426"/>
        <w:jc w:val="both"/>
        <w:rPr>
          <w:rFonts w:ascii="Arial" w:hAnsi="Arial" w:cs="Arial"/>
          <w:sz w:val="20"/>
          <w:szCs w:val="20"/>
        </w:rPr>
      </w:pPr>
      <w:r w:rsidRPr="00AC4AEA">
        <w:rPr>
          <w:rFonts w:ascii="Arial" w:hAnsi="Arial" w:cs="Arial"/>
          <w:sz w:val="20"/>
          <w:szCs w:val="20"/>
        </w:rPr>
        <w:t xml:space="preserve">efectuará supuestos actuariales. </w:t>
      </w:r>
    </w:p>
    <w:p w:rsidR="00421257" w:rsidRPr="00AC4AEA" w:rsidRDefault="00421257" w:rsidP="00A318EA">
      <w:pPr>
        <w:spacing w:after="150" w:line="256" w:lineRule="auto"/>
        <w:ind w:left="1274"/>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Método de valuación actuarial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utilizará el Método de Unidades de Beneficios Proyectados para determinar: </w:t>
      </w:r>
    </w:p>
    <w:p w:rsidR="00421257" w:rsidRPr="0013242A" w:rsidRDefault="00421257" w:rsidP="00C01B25">
      <w:pPr>
        <w:numPr>
          <w:ilvl w:val="3"/>
          <w:numId w:val="483"/>
        </w:numPr>
        <w:spacing w:line="264" w:lineRule="auto"/>
        <w:ind w:left="1418" w:hanging="425"/>
        <w:jc w:val="both"/>
        <w:rPr>
          <w:rFonts w:ascii="Arial" w:hAnsi="Arial" w:cs="Arial"/>
          <w:sz w:val="20"/>
          <w:szCs w:val="20"/>
        </w:rPr>
      </w:pPr>
      <w:r w:rsidRPr="0013242A">
        <w:rPr>
          <w:rFonts w:ascii="Arial" w:hAnsi="Arial" w:cs="Arial"/>
          <w:sz w:val="20"/>
          <w:szCs w:val="20"/>
        </w:rPr>
        <w:t xml:space="preserve">el valor presente de sus obligaciones por beneficios definidos; </w:t>
      </w:r>
    </w:p>
    <w:p w:rsidR="00421257" w:rsidRPr="00AC4AEA" w:rsidRDefault="00421257" w:rsidP="00C01B25">
      <w:pPr>
        <w:numPr>
          <w:ilvl w:val="3"/>
          <w:numId w:val="483"/>
        </w:numPr>
        <w:spacing w:line="264" w:lineRule="auto"/>
        <w:ind w:left="1418" w:hanging="425"/>
        <w:jc w:val="both"/>
        <w:rPr>
          <w:rFonts w:ascii="Arial" w:hAnsi="Arial" w:cs="Arial"/>
          <w:sz w:val="20"/>
          <w:szCs w:val="20"/>
        </w:rPr>
      </w:pPr>
      <w:r w:rsidRPr="00AC4AEA">
        <w:rPr>
          <w:rFonts w:ascii="Arial" w:hAnsi="Arial" w:cs="Arial"/>
          <w:sz w:val="20"/>
          <w:szCs w:val="20"/>
        </w:rPr>
        <w:t xml:space="preserve">el correspondiente costo de los servicios del período presente; y </w:t>
      </w:r>
    </w:p>
    <w:p w:rsidR="00421257" w:rsidRPr="00AC4AEA" w:rsidRDefault="005F42B0" w:rsidP="00C01B25">
      <w:pPr>
        <w:numPr>
          <w:ilvl w:val="3"/>
          <w:numId w:val="483"/>
        </w:numPr>
        <w:spacing w:line="264" w:lineRule="auto"/>
        <w:ind w:left="1418" w:hanging="425"/>
        <w:jc w:val="both"/>
        <w:rPr>
          <w:rFonts w:ascii="Arial" w:hAnsi="Arial" w:cs="Arial"/>
          <w:sz w:val="20"/>
          <w:szCs w:val="20"/>
        </w:rPr>
      </w:pPr>
      <w:r w:rsidRPr="00AC4AEA">
        <w:rPr>
          <w:rFonts w:ascii="Arial" w:hAnsi="Arial" w:cs="Arial"/>
          <w:sz w:val="20"/>
          <w:szCs w:val="20"/>
        </w:rPr>
        <w:t>de</w:t>
      </w:r>
      <w:r w:rsidR="00421257" w:rsidRPr="00AC4AEA">
        <w:rPr>
          <w:rFonts w:ascii="Arial" w:hAnsi="Arial" w:cs="Arial"/>
          <w:sz w:val="20"/>
          <w:szCs w:val="20"/>
        </w:rPr>
        <w:t xml:space="preserve"> correspond</w:t>
      </w:r>
      <w:r w:rsidRPr="00AC4AEA">
        <w:rPr>
          <w:rFonts w:ascii="Arial" w:hAnsi="Arial" w:cs="Arial"/>
          <w:sz w:val="20"/>
          <w:szCs w:val="20"/>
        </w:rPr>
        <w:t>e</w:t>
      </w:r>
      <w:r w:rsidR="00421257" w:rsidRPr="00AC4AEA">
        <w:rPr>
          <w:rFonts w:ascii="Arial" w:hAnsi="Arial" w:cs="Arial"/>
          <w:sz w:val="20"/>
          <w:szCs w:val="20"/>
        </w:rPr>
        <w:t>r, el costo por servicios prestados en el pasado.</w:t>
      </w:r>
      <w:r w:rsidR="006F2C57">
        <w:rPr>
          <w:rFonts w:ascii="Arial" w:hAnsi="Arial"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De acuerdo con el método referido en el párrafo anterior, cada período de servicio genera una unidad adicional de derecho a ese beneficio y mide cada unidad separadamente para determinar la obligación final.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descontará el importe total de la obligación por los beneficios post-relación laboral. </w:t>
      </w:r>
    </w:p>
    <w:p w:rsidR="00D06766" w:rsidRPr="00AC4AEA" w:rsidRDefault="00D06766" w:rsidP="00A318EA">
      <w:pPr>
        <w:spacing w:after="150" w:line="256" w:lineRule="auto"/>
        <w:ind w:left="936"/>
        <w:rPr>
          <w:rFonts w:ascii="Arial" w:hAnsi="Arial" w:cs="Arial"/>
          <w:sz w:val="20"/>
          <w:szCs w:val="20"/>
          <w:lang w:val="es-MX"/>
        </w:rPr>
      </w:pPr>
    </w:p>
    <w:p w:rsidR="00421257" w:rsidRPr="00AC4AEA" w:rsidRDefault="00421257" w:rsidP="00A318EA">
      <w:pPr>
        <w:pStyle w:val="Ttulo4"/>
      </w:pPr>
      <w:r w:rsidRPr="00AC4AEA">
        <w:t xml:space="preserve">Asignación de los beneficios a los períodos de servicio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Al determinar el valor presente de sus obligaciones por beneficios definidos, así como el correspondiente costo de los servicios del período presente y, en su caso, los costos de servicios prestados en el pasado, una entidad asignará los beneficios entre los períodos de servicio utilizando la fórmula de asignación de los beneficios en el tiempo del plan. No obstante, si los servicios a prestar por un empleado en años futuros van a originar un nivel de beneficios significativamente más alto que el nivel alcanzado en los años anteriores, una entidad repartirá linealmente el beneficio en el intervalo de tiempo que medie entre: </w:t>
      </w:r>
    </w:p>
    <w:p w:rsidR="00421257" w:rsidRPr="00AC4AEA" w:rsidRDefault="00421257" w:rsidP="00C01B25">
      <w:pPr>
        <w:numPr>
          <w:ilvl w:val="3"/>
          <w:numId w:val="484"/>
        </w:numPr>
        <w:spacing w:after="147" w:line="264" w:lineRule="auto"/>
        <w:ind w:left="1418" w:hanging="497"/>
        <w:jc w:val="both"/>
        <w:rPr>
          <w:rFonts w:ascii="Arial" w:hAnsi="Arial" w:cs="Arial"/>
          <w:sz w:val="20"/>
          <w:szCs w:val="20"/>
        </w:rPr>
      </w:pPr>
      <w:r w:rsidRPr="00AC4AEA">
        <w:rPr>
          <w:rFonts w:ascii="Arial" w:hAnsi="Arial" w:cs="Arial"/>
          <w:sz w:val="20"/>
          <w:szCs w:val="20"/>
        </w:rPr>
        <w:t xml:space="preserve">la fecha a partir de la cual el servicio prestado por el empleado le da derecho al beneficio según el plan (con independencia de que los beneficios estén sujetos o no a la prestación de servicios futuros); y </w:t>
      </w:r>
    </w:p>
    <w:p w:rsidR="00421257" w:rsidRPr="00AC4AEA" w:rsidRDefault="00421257" w:rsidP="00C01B25">
      <w:pPr>
        <w:numPr>
          <w:ilvl w:val="3"/>
          <w:numId w:val="484"/>
        </w:numPr>
        <w:spacing w:after="147" w:line="264" w:lineRule="auto"/>
        <w:ind w:left="1418" w:hanging="497"/>
        <w:jc w:val="both"/>
        <w:rPr>
          <w:rFonts w:ascii="Arial" w:hAnsi="Arial" w:cs="Arial"/>
          <w:sz w:val="20"/>
          <w:szCs w:val="20"/>
        </w:rPr>
      </w:pPr>
      <w:r w:rsidRPr="00AC4AEA">
        <w:rPr>
          <w:rFonts w:ascii="Arial" w:hAnsi="Arial" w:cs="Arial"/>
          <w:sz w:val="20"/>
          <w:szCs w:val="20"/>
        </w:rPr>
        <w:t xml:space="preserve">la fecha en la que los servicios adicionales a prestar por el empleado no le generen derecho a importes adicionales significativos del beneficio según el plan, salvo por causa de los eventuales futuros incrementos salariales.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Al aplicar el Método de Unidades de Beneficios Proyectados, una entidad:</w:t>
      </w:r>
      <w:r w:rsidR="006F2C57">
        <w:rPr>
          <w:rFonts w:ascii="Arial" w:hAnsi="Arial" w:cs="Arial"/>
          <w:sz w:val="20"/>
          <w:szCs w:val="20"/>
        </w:rPr>
        <w:t xml:space="preserve"> </w:t>
      </w:r>
    </w:p>
    <w:p w:rsidR="00421257" w:rsidRPr="00AC4AEA" w:rsidRDefault="00421257" w:rsidP="00C01B25">
      <w:pPr>
        <w:numPr>
          <w:ilvl w:val="2"/>
          <w:numId w:val="485"/>
        </w:numPr>
        <w:spacing w:line="264" w:lineRule="auto"/>
        <w:ind w:left="1559" w:hanging="567"/>
        <w:jc w:val="both"/>
        <w:rPr>
          <w:rFonts w:ascii="Arial" w:hAnsi="Arial" w:cs="Arial"/>
          <w:sz w:val="20"/>
          <w:szCs w:val="20"/>
        </w:rPr>
      </w:pPr>
      <w:r w:rsidRPr="00AC4AEA">
        <w:rPr>
          <w:rFonts w:ascii="Arial" w:hAnsi="Arial" w:cs="Arial"/>
          <w:sz w:val="20"/>
          <w:szCs w:val="20"/>
        </w:rPr>
        <w:t>atribuirá una parte de los beneficios, que ha de pagar en el futuro, al período presente (con el fin de determinar el costo de los servicios del período presente);</w:t>
      </w:r>
      <w:r w:rsidR="0010308B" w:rsidRPr="00AC4AEA">
        <w:rPr>
          <w:rFonts w:ascii="Arial" w:hAnsi="Arial" w:cs="Arial"/>
          <w:sz w:val="20"/>
          <w:szCs w:val="20"/>
        </w:rPr>
        <w:t xml:space="preserve"> y</w:t>
      </w:r>
      <w:r w:rsidR="006F2C57">
        <w:rPr>
          <w:rFonts w:ascii="Arial" w:hAnsi="Arial" w:cs="Arial"/>
          <w:sz w:val="20"/>
          <w:szCs w:val="20"/>
        </w:rPr>
        <w:t xml:space="preserve"> </w:t>
      </w:r>
    </w:p>
    <w:p w:rsidR="00421257" w:rsidRPr="00AC4AEA" w:rsidRDefault="00421257" w:rsidP="00C01B25">
      <w:pPr>
        <w:numPr>
          <w:ilvl w:val="2"/>
          <w:numId w:val="485"/>
        </w:numPr>
        <w:spacing w:line="264" w:lineRule="auto"/>
        <w:ind w:left="1559" w:hanging="567"/>
        <w:jc w:val="both"/>
        <w:rPr>
          <w:rFonts w:ascii="Arial" w:hAnsi="Arial" w:cs="Arial"/>
          <w:sz w:val="20"/>
          <w:szCs w:val="20"/>
        </w:rPr>
      </w:pPr>
      <w:r w:rsidRPr="00AC4AEA">
        <w:rPr>
          <w:rFonts w:ascii="Arial" w:hAnsi="Arial" w:cs="Arial"/>
          <w:sz w:val="20"/>
          <w:szCs w:val="20"/>
        </w:rPr>
        <w:t xml:space="preserve">asignará el cargo por los beneficios a los períodos en los que surge la obligación por beneficios post-relación laboral, esto es, a medida que los empleados prestan sus servicios a cambio de los beneficios post-relación laboral que la entidad ha comprometido pagarles en períodos futuros. </w:t>
      </w:r>
    </w:p>
    <w:p w:rsidR="00421257" w:rsidRPr="00AC4AEA" w:rsidRDefault="00421257" w:rsidP="00A318EA">
      <w:pPr>
        <w:pStyle w:val="Ttulo4"/>
      </w:pPr>
      <w:r w:rsidRPr="00AC4AEA">
        <w:lastRenderedPageBreak/>
        <w:t xml:space="preserve">Supuestos actuariales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Los supuestos actuariales constituyen las mejores estimaciones que una entidad posee sobre el comportamiento de las variables que determinarán el costo final de otorgar los beneficios post-relación laboral. Los supuestos incluyen lo siguiente: </w:t>
      </w:r>
    </w:p>
    <w:p w:rsidR="00421257" w:rsidRPr="00AC4AEA" w:rsidRDefault="00E32AF9" w:rsidP="00C01B25">
      <w:pPr>
        <w:numPr>
          <w:ilvl w:val="0"/>
          <w:numId w:val="674"/>
        </w:numPr>
        <w:spacing w:line="264" w:lineRule="auto"/>
        <w:ind w:hanging="511"/>
        <w:jc w:val="both"/>
        <w:rPr>
          <w:rFonts w:ascii="Arial" w:hAnsi="Arial" w:cs="Arial"/>
          <w:sz w:val="20"/>
          <w:szCs w:val="20"/>
        </w:rPr>
      </w:pPr>
      <w:r w:rsidRPr="00AC4AEA">
        <w:rPr>
          <w:rFonts w:ascii="Arial" w:hAnsi="Arial" w:cs="Arial"/>
          <w:sz w:val="20"/>
          <w:szCs w:val="20"/>
        </w:rPr>
        <w:t>H</w:t>
      </w:r>
      <w:r w:rsidR="00421257" w:rsidRPr="00AC4AEA">
        <w:rPr>
          <w:rFonts w:ascii="Arial" w:hAnsi="Arial" w:cs="Arial"/>
          <w:sz w:val="20"/>
          <w:szCs w:val="20"/>
        </w:rPr>
        <w:t xml:space="preserve">ipótesis demográficas acerca de las características futuras de los empleados actuales y pasados (así como de sus beneficiarios) que tengan derecho a recibir los beneficios. Las hipótesis demográficas incluyen las siguientes cuestiones: </w:t>
      </w:r>
    </w:p>
    <w:p w:rsidR="00421257" w:rsidRPr="00AC4AEA" w:rsidRDefault="00421257" w:rsidP="00C01B25">
      <w:pPr>
        <w:numPr>
          <w:ilvl w:val="3"/>
          <w:numId w:val="486"/>
        </w:numPr>
        <w:spacing w:after="147" w:line="264" w:lineRule="auto"/>
        <w:ind w:left="1985" w:hanging="394"/>
        <w:jc w:val="both"/>
        <w:rPr>
          <w:rFonts w:ascii="Arial" w:hAnsi="Arial" w:cs="Arial"/>
          <w:sz w:val="20"/>
          <w:szCs w:val="20"/>
        </w:rPr>
      </w:pPr>
      <w:r w:rsidRPr="00AC4AEA">
        <w:rPr>
          <w:rFonts w:ascii="Arial" w:hAnsi="Arial" w:cs="Arial"/>
          <w:sz w:val="20"/>
          <w:szCs w:val="20"/>
        </w:rPr>
        <w:t xml:space="preserve">mortalidad, tanto durante la relación laboral como con posterioridad al cese de ella; </w:t>
      </w:r>
    </w:p>
    <w:p w:rsidR="00421257" w:rsidRPr="00AC4AEA" w:rsidRDefault="00421257" w:rsidP="00C01B25">
      <w:pPr>
        <w:numPr>
          <w:ilvl w:val="3"/>
          <w:numId w:val="486"/>
        </w:numPr>
        <w:spacing w:after="149" w:line="256" w:lineRule="auto"/>
        <w:ind w:left="1985" w:hanging="394"/>
        <w:jc w:val="both"/>
        <w:rPr>
          <w:rFonts w:ascii="Arial" w:hAnsi="Arial" w:cs="Arial"/>
          <w:sz w:val="20"/>
          <w:szCs w:val="20"/>
        </w:rPr>
      </w:pPr>
      <w:r w:rsidRPr="00AC4AEA">
        <w:rPr>
          <w:rFonts w:ascii="Arial" w:hAnsi="Arial" w:cs="Arial"/>
          <w:sz w:val="20"/>
          <w:szCs w:val="20"/>
        </w:rPr>
        <w:t xml:space="preserve">tasas de rotación de empleados, incapacidad y retiros anticipados; </w:t>
      </w:r>
    </w:p>
    <w:p w:rsidR="00421257" w:rsidRPr="00AC4AEA" w:rsidRDefault="00421257" w:rsidP="00C01B25">
      <w:pPr>
        <w:numPr>
          <w:ilvl w:val="3"/>
          <w:numId w:val="486"/>
        </w:numPr>
        <w:spacing w:after="147" w:line="264" w:lineRule="auto"/>
        <w:ind w:left="1985" w:hanging="394"/>
        <w:jc w:val="both"/>
        <w:rPr>
          <w:rFonts w:ascii="Arial" w:hAnsi="Arial" w:cs="Arial"/>
          <w:sz w:val="20"/>
          <w:szCs w:val="20"/>
        </w:rPr>
      </w:pPr>
      <w:r w:rsidRPr="00AC4AEA">
        <w:rPr>
          <w:rFonts w:ascii="Arial" w:hAnsi="Arial" w:cs="Arial"/>
          <w:sz w:val="20"/>
          <w:szCs w:val="20"/>
        </w:rPr>
        <w:t xml:space="preserve">proporción de participantes del plan con beneficiarios con derecho a recibir los beneficios; y </w:t>
      </w:r>
    </w:p>
    <w:p w:rsidR="00421257" w:rsidRPr="00AC4AEA" w:rsidRDefault="00421257" w:rsidP="00C01B25">
      <w:pPr>
        <w:numPr>
          <w:ilvl w:val="3"/>
          <w:numId w:val="486"/>
        </w:numPr>
        <w:spacing w:after="147" w:line="264" w:lineRule="auto"/>
        <w:ind w:left="1985" w:hanging="394"/>
        <w:jc w:val="both"/>
        <w:rPr>
          <w:rFonts w:ascii="Arial" w:hAnsi="Arial" w:cs="Arial"/>
          <w:sz w:val="20"/>
          <w:szCs w:val="20"/>
        </w:rPr>
      </w:pPr>
      <w:r w:rsidRPr="00AC4AEA">
        <w:rPr>
          <w:rFonts w:ascii="Arial" w:hAnsi="Arial" w:cs="Arial"/>
          <w:sz w:val="20"/>
          <w:szCs w:val="20"/>
        </w:rPr>
        <w:t>tasas de solicitudes de atención en los planes por asistencia médica o tratamientos odontológicos</w:t>
      </w:r>
      <w:r w:rsidR="00E32AF9" w:rsidRPr="00AC4AEA">
        <w:rPr>
          <w:rFonts w:ascii="Arial" w:hAnsi="Arial" w:cs="Arial"/>
          <w:sz w:val="20"/>
          <w:szCs w:val="20"/>
        </w:rPr>
        <w:t>.</w:t>
      </w:r>
      <w:r w:rsidRPr="00AC4AEA">
        <w:rPr>
          <w:rFonts w:ascii="Arial" w:hAnsi="Arial" w:cs="Arial"/>
          <w:sz w:val="20"/>
          <w:szCs w:val="20"/>
        </w:rPr>
        <w:t xml:space="preserve"> </w:t>
      </w:r>
    </w:p>
    <w:p w:rsidR="00421257" w:rsidRPr="00AC4AEA" w:rsidRDefault="00E32AF9" w:rsidP="00C01B25">
      <w:pPr>
        <w:numPr>
          <w:ilvl w:val="0"/>
          <w:numId w:val="674"/>
        </w:numPr>
        <w:spacing w:line="264" w:lineRule="auto"/>
        <w:ind w:left="1560" w:hanging="567"/>
        <w:jc w:val="both"/>
        <w:rPr>
          <w:rFonts w:ascii="Arial" w:hAnsi="Arial" w:cs="Arial"/>
          <w:sz w:val="20"/>
          <w:szCs w:val="20"/>
        </w:rPr>
      </w:pPr>
      <w:r w:rsidRPr="00AC4AEA">
        <w:rPr>
          <w:rFonts w:ascii="Arial" w:hAnsi="Arial" w:cs="Arial"/>
          <w:sz w:val="20"/>
          <w:szCs w:val="20"/>
        </w:rPr>
        <w:t>H</w:t>
      </w:r>
      <w:r w:rsidR="00421257" w:rsidRPr="00AC4AEA">
        <w:rPr>
          <w:rFonts w:ascii="Arial" w:hAnsi="Arial" w:cs="Arial"/>
          <w:sz w:val="20"/>
          <w:szCs w:val="20"/>
        </w:rPr>
        <w:t xml:space="preserve">ipótesis financieras </w:t>
      </w:r>
      <w:r w:rsidR="00487A7C" w:rsidRPr="00AC4AEA">
        <w:rPr>
          <w:rFonts w:ascii="Arial" w:hAnsi="Arial" w:cs="Arial"/>
          <w:sz w:val="20"/>
          <w:szCs w:val="20"/>
        </w:rPr>
        <w:t xml:space="preserve">que </w:t>
      </w:r>
      <w:r w:rsidR="00FC3A8F" w:rsidRPr="00AC4AEA">
        <w:rPr>
          <w:rFonts w:ascii="Arial" w:hAnsi="Arial" w:cs="Arial"/>
          <w:sz w:val="20"/>
          <w:szCs w:val="20"/>
        </w:rPr>
        <w:t xml:space="preserve">deben estar basadas en las expectativas de mercado, a la </w:t>
      </w:r>
      <w:r w:rsidR="00FC3A8F" w:rsidRPr="00AC4AEA">
        <w:rPr>
          <w:rFonts w:ascii="Arial" w:hAnsi="Arial" w:cs="Arial"/>
          <w:b/>
          <w:bCs/>
          <w:sz w:val="20"/>
          <w:szCs w:val="20"/>
        </w:rPr>
        <w:t>fecha de los estados contables</w:t>
      </w:r>
      <w:r w:rsidR="00FC3A8F" w:rsidRPr="00AC4AEA">
        <w:rPr>
          <w:rFonts w:ascii="Arial" w:hAnsi="Arial" w:cs="Arial"/>
          <w:sz w:val="20"/>
          <w:szCs w:val="20"/>
        </w:rPr>
        <w:t>, para el período en el que las obligaciones deben ser cumplidas</w:t>
      </w:r>
      <w:r w:rsidR="00487A7C" w:rsidRPr="00AC4AEA">
        <w:rPr>
          <w:rFonts w:ascii="Arial" w:hAnsi="Arial" w:cs="Arial"/>
          <w:sz w:val="20"/>
          <w:szCs w:val="20"/>
        </w:rPr>
        <w:t>. Las hipótesis financieras incluyen las siguientes cuestiones:</w:t>
      </w:r>
      <w:r w:rsidR="006F2C57">
        <w:rPr>
          <w:rFonts w:ascii="Arial" w:hAnsi="Arial" w:cs="Arial"/>
          <w:sz w:val="20"/>
          <w:szCs w:val="20"/>
        </w:rPr>
        <w:t xml:space="preserve"> </w:t>
      </w:r>
    </w:p>
    <w:p w:rsidR="00E32AF9" w:rsidRPr="00AC4AEA" w:rsidRDefault="00E32AF9" w:rsidP="00C01B25">
      <w:pPr>
        <w:numPr>
          <w:ilvl w:val="0"/>
          <w:numId w:val="643"/>
        </w:numPr>
        <w:spacing w:after="147" w:line="264" w:lineRule="auto"/>
        <w:ind w:left="1985" w:hanging="425"/>
        <w:jc w:val="both"/>
        <w:rPr>
          <w:rFonts w:ascii="Arial" w:hAnsi="Arial" w:cs="Arial"/>
          <w:sz w:val="20"/>
          <w:szCs w:val="20"/>
        </w:rPr>
      </w:pPr>
      <w:r w:rsidRPr="00AC4AEA">
        <w:rPr>
          <w:rFonts w:ascii="Arial" w:hAnsi="Arial" w:cs="Arial"/>
          <w:sz w:val="20"/>
          <w:szCs w:val="20"/>
        </w:rPr>
        <w:t xml:space="preserve">la tasa de </w:t>
      </w:r>
      <w:r w:rsidR="002548A8" w:rsidRPr="00AC4AEA">
        <w:rPr>
          <w:rFonts w:ascii="Arial" w:hAnsi="Arial" w:cs="Arial"/>
          <w:sz w:val="20"/>
          <w:szCs w:val="20"/>
        </w:rPr>
        <w:t>descuento</w:t>
      </w:r>
      <w:r w:rsidRPr="00AC4AEA">
        <w:rPr>
          <w:rFonts w:ascii="Arial" w:hAnsi="Arial" w:cs="Arial"/>
          <w:sz w:val="20"/>
          <w:szCs w:val="20"/>
        </w:rPr>
        <w:t>;</w:t>
      </w:r>
    </w:p>
    <w:p w:rsidR="00FC3A8F" w:rsidRPr="00AC4AEA" w:rsidRDefault="00FC3A8F" w:rsidP="00C01B25">
      <w:pPr>
        <w:numPr>
          <w:ilvl w:val="0"/>
          <w:numId w:val="643"/>
        </w:numPr>
        <w:spacing w:after="147" w:line="264" w:lineRule="auto"/>
        <w:ind w:left="1985" w:hanging="425"/>
        <w:jc w:val="both"/>
        <w:rPr>
          <w:rFonts w:ascii="Arial" w:hAnsi="Arial" w:cs="Arial"/>
          <w:sz w:val="20"/>
          <w:szCs w:val="20"/>
        </w:rPr>
      </w:pPr>
      <w:r w:rsidRPr="00AC4AEA">
        <w:rPr>
          <w:rFonts w:ascii="Arial" w:hAnsi="Arial" w:cs="Arial"/>
          <w:sz w:val="20"/>
          <w:szCs w:val="20"/>
        </w:rPr>
        <w:t>los niveles futuros de sueldos y de beneficios, incluyendo en el caso de beneficios por asistencia médica, odontológica, legal, etc., sus costos futuros, y, cuando sean significativos, los costos de administración</w:t>
      </w:r>
      <w:r w:rsidR="00487A7C" w:rsidRPr="00AC4AEA">
        <w:rPr>
          <w:rFonts w:ascii="Arial" w:hAnsi="Arial" w:cs="Arial"/>
          <w:sz w:val="20"/>
          <w:szCs w:val="20"/>
        </w:rPr>
        <w:t>.</w:t>
      </w:r>
    </w:p>
    <w:p w:rsidR="007421DD"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Los supuestos actuariales deben ser objetivos y consistentes entre sí</w:t>
      </w:r>
      <w:r w:rsidR="007421DD" w:rsidRPr="00AC4AEA">
        <w:rPr>
          <w:rFonts w:ascii="Arial" w:hAnsi="Arial" w:cs="Arial"/>
          <w:sz w:val="20"/>
          <w:szCs w:val="20"/>
        </w:rPr>
        <w:t>.</w:t>
      </w:r>
      <w:r w:rsidRPr="00AC4AEA">
        <w:rPr>
          <w:rFonts w:ascii="Arial" w:hAnsi="Arial" w:cs="Arial"/>
          <w:sz w:val="20"/>
          <w:szCs w:val="20"/>
        </w:rPr>
        <w:t xml:space="preserve"> </w:t>
      </w:r>
    </w:p>
    <w:p w:rsidR="00861FEE"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Los supuestos actuariales se considerarán objetivos si cumplen con el requisito de neutralidad que integra los </w:t>
      </w:r>
      <w:r w:rsidRPr="00AD600B">
        <w:rPr>
          <w:rFonts w:ascii="Arial" w:hAnsi="Arial" w:cs="Arial"/>
          <w:b/>
          <w:bCs/>
          <w:sz w:val="20"/>
          <w:szCs w:val="20"/>
        </w:rPr>
        <w:t>requisitos de la información contenida en los</w:t>
      </w:r>
      <w:r w:rsidRPr="00AC4AEA">
        <w:rPr>
          <w:rFonts w:ascii="Arial" w:hAnsi="Arial" w:cs="Arial"/>
          <w:sz w:val="20"/>
          <w:szCs w:val="20"/>
        </w:rPr>
        <w:t xml:space="preserve"> </w:t>
      </w:r>
      <w:r w:rsidRPr="00AC4AEA">
        <w:rPr>
          <w:rFonts w:ascii="Arial" w:hAnsi="Arial" w:cs="Arial"/>
          <w:b/>
          <w:bCs/>
          <w:sz w:val="20"/>
          <w:szCs w:val="20"/>
        </w:rPr>
        <w:t>estados contables</w:t>
      </w:r>
      <w:r w:rsidRPr="00AC4AEA">
        <w:rPr>
          <w:rFonts w:ascii="Arial" w:hAnsi="Arial"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Los supuestos actuariales serán consistentes entre sí cuando reflejen las relaciones económicas existentes entre factores tales como las tasas de aumento de los sueldos, rendimiento de los activos y tasas de interés.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bookmarkStart w:id="1175" w:name="_Ref135684074"/>
      <w:r w:rsidRPr="00AC4AEA">
        <w:rPr>
          <w:rFonts w:ascii="Arial" w:hAnsi="Arial" w:cs="Arial"/>
          <w:sz w:val="20"/>
          <w:szCs w:val="20"/>
        </w:rPr>
        <w:t xml:space="preserve">Una entidad establecerá la tasa de </w:t>
      </w:r>
      <w:r w:rsidR="004C75A6" w:rsidRPr="00AC4AEA">
        <w:rPr>
          <w:rFonts w:ascii="Arial" w:hAnsi="Arial" w:cs="Arial"/>
          <w:sz w:val="20"/>
          <w:szCs w:val="20"/>
        </w:rPr>
        <w:t>descuento</w:t>
      </w:r>
      <w:r w:rsidRPr="00AC4AEA">
        <w:rPr>
          <w:rFonts w:ascii="Arial" w:hAnsi="Arial" w:cs="Arial"/>
          <w:sz w:val="20"/>
          <w:szCs w:val="20"/>
        </w:rPr>
        <w:t xml:space="preserve"> y las demás hipótesis financieras en términos </w:t>
      </w:r>
      <w:r w:rsidR="00B506B9" w:rsidRPr="00AC4AEA">
        <w:rPr>
          <w:rFonts w:ascii="Arial" w:hAnsi="Arial" w:cs="Arial"/>
          <w:sz w:val="20"/>
          <w:szCs w:val="20"/>
        </w:rPr>
        <w:t xml:space="preserve">monetarios o en términos </w:t>
      </w:r>
      <w:r w:rsidRPr="00AC4AEA">
        <w:rPr>
          <w:rFonts w:ascii="Arial" w:hAnsi="Arial" w:cs="Arial"/>
          <w:sz w:val="20"/>
          <w:szCs w:val="20"/>
        </w:rPr>
        <w:t>reales.</w:t>
      </w:r>
      <w:r w:rsidR="004C75A6" w:rsidRPr="00AC4AEA">
        <w:rPr>
          <w:rFonts w:ascii="Arial" w:hAnsi="Arial" w:cs="Arial"/>
          <w:sz w:val="20"/>
          <w:szCs w:val="20"/>
        </w:rPr>
        <w:t xml:space="preserve"> La tasa de descuento </w:t>
      </w:r>
      <w:r w:rsidR="001F23B5" w:rsidRPr="00AC4AEA">
        <w:rPr>
          <w:rFonts w:ascii="Arial" w:hAnsi="Arial" w:cs="Arial"/>
          <w:sz w:val="20"/>
          <w:szCs w:val="20"/>
        </w:rPr>
        <w:t>no debe dar lugar a duplicar</w:t>
      </w:r>
      <w:r w:rsidR="004C75A6" w:rsidRPr="00AC4AEA">
        <w:rPr>
          <w:rFonts w:ascii="Arial" w:hAnsi="Arial" w:cs="Arial"/>
          <w:sz w:val="20"/>
          <w:szCs w:val="20"/>
        </w:rPr>
        <w:t xml:space="preserve"> con </w:t>
      </w:r>
      <w:r w:rsidR="00E25D14" w:rsidRPr="00AC4AEA">
        <w:rPr>
          <w:rFonts w:ascii="Arial" w:hAnsi="Arial" w:cs="Arial"/>
          <w:sz w:val="20"/>
          <w:szCs w:val="20"/>
        </w:rPr>
        <w:t>los supuestos considerados en la determinación de los flujos de efectivo a descontar.</w:t>
      </w:r>
      <w:bookmarkEnd w:id="1175"/>
      <w:r w:rsidRPr="00AC4AEA">
        <w:rPr>
          <w:rFonts w:ascii="Arial" w:hAnsi="Arial" w:cs="Arial"/>
          <w:sz w:val="20"/>
          <w:szCs w:val="20"/>
        </w:rPr>
        <w:t xml:space="preserve"> </w:t>
      </w:r>
    </w:p>
    <w:p w:rsidR="00421257" w:rsidRPr="00AC4AEA" w:rsidRDefault="00421257" w:rsidP="00A318EA">
      <w:pPr>
        <w:spacing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Tasa de </w:t>
      </w:r>
      <w:r w:rsidR="006D5FCE" w:rsidRPr="00AC4AEA">
        <w:t>descuento</w:t>
      </w:r>
      <w:r w:rsidRPr="00AC4AEA">
        <w:t xml:space="preserve"> </w:t>
      </w:r>
    </w:p>
    <w:p w:rsidR="009B23F2" w:rsidRPr="00AC4AEA" w:rsidRDefault="00421257" w:rsidP="00C01B25">
      <w:pPr>
        <w:numPr>
          <w:ilvl w:val="0"/>
          <w:numId w:val="670"/>
        </w:numPr>
        <w:spacing w:after="147" w:line="264" w:lineRule="auto"/>
        <w:ind w:left="993" w:hanging="567"/>
        <w:jc w:val="both"/>
        <w:rPr>
          <w:rFonts w:ascii="Arial" w:hAnsi="Arial" w:cs="Arial"/>
          <w:sz w:val="20"/>
          <w:szCs w:val="20"/>
        </w:rPr>
      </w:pPr>
      <w:bookmarkStart w:id="1176" w:name="_Ref135682309"/>
      <w:bookmarkStart w:id="1177" w:name="_Ref135683997"/>
      <w:r w:rsidRPr="00AC4AEA">
        <w:rPr>
          <w:rFonts w:ascii="Arial" w:hAnsi="Arial" w:cs="Arial"/>
          <w:sz w:val="20"/>
          <w:szCs w:val="20"/>
        </w:rPr>
        <w:t xml:space="preserve">Para descontar los beneficios post-relación laboral, </w:t>
      </w:r>
      <w:bookmarkEnd w:id="1176"/>
      <w:r w:rsidR="00600548" w:rsidRPr="00AC4AEA">
        <w:rPr>
          <w:rFonts w:ascii="Arial" w:hAnsi="Arial" w:cs="Arial"/>
          <w:sz w:val="20"/>
          <w:szCs w:val="20"/>
        </w:rPr>
        <w:t xml:space="preserve">(tanto financiadas como no) una entidad </w:t>
      </w:r>
      <w:r w:rsidR="005D1F6B" w:rsidRPr="00AC4AEA">
        <w:rPr>
          <w:rFonts w:ascii="Arial" w:hAnsi="Arial" w:cs="Arial"/>
          <w:sz w:val="20"/>
          <w:szCs w:val="20"/>
        </w:rPr>
        <w:t xml:space="preserve">estimará la tasa de descuento apropiada, </w:t>
      </w:r>
      <w:r w:rsidR="009B23F2" w:rsidRPr="00AC4AEA">
        <w:rPr>
          <w:rFonts w:ascii="Arial" w:hAnsi="Arial" w:cs="Arial"/>
          <w:sz w:val="20"/>
          <w:szCs w:val="20"/>
        </w:rPr>
        <w:t>para lo cual</w:t>
      </w:r>
      <w:r w:rsidR="00600548" w:rsidRPr="00AC4AEA">
        <w:rPr>
          <w:rFonts w:ascii="Arial" w:hAnsi="Arial" w:cs="Arial"/>
          <w:sz w:val="20"/>
          <w:szCs w:val="20"/>
        </w:rPr>
        <w:t xml:space="preserve"> utiliza</w:t>
      </w:r>
      <w:r w:rsidR="009B23F2" w:rsidRPr="00AC4AEA">
        <w:rPr>
          <w:rFonts w:ascii="Arial" w:hAnsi="Arial" w:cs="Arial"/>
          <w:sz w:val="20"/>
          <w:szCs w:val="20"/>
        </w:rPr>
        <w:t>rá</w:t>
      </w:r>
      <w:r w:rsidR="00600548" w:rsidRPr="00AC4AEA">
        <w:rPr>
          <w:rFonts w:ascii="Arial" w:hAnsi="Arial" w:cs="Arial"/>
          <w:sz w:val="20"/>
          <w:szCs w:val="20"/>
        </w:rPr>
        <w:t xml:space="preserve"> como referencia</w:t>
      </w:r>
      <w:r w:rsidR="009B23F2" w:rsidRPr="00AC4AEA">
        <w:rPr>
          <w:rFonts w:ascii="Arial" w:hAnsi="Arial" w:cs="Arial"/>
          <w:sz w:val="20"/>
          <w:szCs w:val="20"/>
        </w:rPr>
        <w:t>:</w:t>
      </w:r>
      <w:bookmarkEnd w:id="1177"/>
      <w:r w:rsidR="00600548" w:rsidRPr="00AC4AEA">
        <w:rPr>
          <w:rFonts w:ascii="Arial" w:hAnsi="Arial" w:cs="Arial"/>
          <w:sz w:val="20"/>
          <w:szCs w:val="20"/>
        </w:rPr>
        <w:t xml:space="preserve"> </w:t>
      </w:r>
    </w:p>
    <w:p w:rsidR="003F0D83" w:rsidRPr="00AC4AEA" w:rsidRDefault="003F0D83" w:rsidP="00C01B25">
      <w:pPr>
        <w:numPr>
          <w:ilvl w:val="0"/>
          <w:numId w:val="675"/>
        </w:numPr>
        <w:spacing w:after="147" w:line="264" w:lineRule="auto"/>
        <w:ind w:hanging="511"/>
        <w:jc w:val="both"/>
        <w:rPr>
          <w:rFonts w:ascii="Arial" w:hAnsi="Arial" w:cs="Arial"/>
          <w:sz w:val="20"/>
          <w:szCs w:val="20"/>
        </w:rPr>
      </w:pPr>
      <w:r w:rsidRPr="00AC4AEA">
        <w:rPr>
          <w:rFonts w:ascii="Arial" w:hAnsi="Arial" w:cs="Arial"/>
          <w:sz w:val="20"/>
          <w:szCs w:val="20"/>
        </w:rPr>
        <w:lastRenderedPageBreak/>
        <w:t xml:space="preserve">los rendimientos del mercado, a la </w:t>
      </w:r>
      <w:r w:rsidRPr="00AC4AEA">
        <w:rPr>
          <w:rFonts w:ascii="Arial" w:hAnsi="Arial" w:cs="Arial"/>
          <w:b/>
          <w:bCs/>
          <w:sz w:val="20"/>
          <w:szCs w:val="20"/>
        </w:rPr>
        <w:t>fecha de los estados contables</w:t>
      </w:r>
      <w:r w:rsidRPr="00AC4AEA">
        <w:rPr>
          <w:rFonts w:ascii="Arial" w:hAnsi="Arial" w:cs="Arial"/>
          <w:sz w:val="20"/>
          <w:szCs w:val="20"/>
        </w:rPr>
        <w:t xml:space="preserve">, correspondientes a </w:t>
      </w:r>
      <w:r w:rsidR="00600548" w:rsidRPr="00AC4AEA">
        <w:rPr>
          <w:rFonts w:ascii="Arial" w:hAnsi="Arial" w:cs="Arial"/>
          <w:sz w:val="20"/>
          <w:szCs w:val="20"/>
        </w:rPr>
        <w:t>las emisiones de bonos u obligaciones empresariales de alta calidad</w:t>
      </w:r>
      <w:r w:rsidRPr="00AC4AEA">
        <w:rPr>
          <w:rFonts w:ascii="Arial" w:hAnsi="Arial" w:cs="Arial"/>
          <w:sz w:val="20"/>
          <w:szCs w:val="20"/>
        </w:rPr>
        <w:t>;</w:t>
      </w:r>
      <w:r w:rsidR="00600548" w:rsidRPr="00AC4AEA">
        <w:rPr>
          <w:rFonts w:ascii="Arial" w:hAnsi="Arial" w:cs="Arial"/>
          <w:sz w:val="20"/>
          <w:szCs w:val="20"/>
        </w:rPr>
        <w:t xml:space="preserve"> </w:t>
      </w:r>
    </w:p>
    <w:p w:rsidR="003C4AD0" w:rsidRPr="00AC4AEA" w:rsidRDefault="003F0D83" w:rsidP="00C01B25">
      <w:pPr>
        <w:numPr>
          <w:ilvl w:val="0"/>
          <w:numId w:val="675"/>
        </w:numPr>
        <w:spacing w:after="147" w:line="264" w:lineRule="auto"/>
        <w:ind w:hanging="511"/>
        <w:jc w:val="both"/>
        <w:rPr>
          <w:rFonts w:ascii="Arial" w:hAnsi="Arial" w:cs="Arial"/>
          <w:sz w:val="20"/>
          <w:szCs w:val="20"/>
        </w:rPr>
      </w:pPr>
      <w:r w:rsidRPr="00AC4AEA">
        <w:rPr>
          <w:rFonts w:ascii="Arial" w:hAnsi="Arial" w:cs="Arial"/>
          <w:sz w:val="20"/>
          <w:szCs w:val="20"/>
        </w:rPr>
        <w:t>e</w:t>
      </w:r>
      <w:r w:rsidR="00600548" w:rsidRPr="00AC4AEA">
        <w:rPr>
          <w:rFonts w:ascii="Arial" w:hAnsi="Arial" w:cs="Arial"/>
          <w:sz w:val="20"/>
          <w:szCs w:val="20"/>
        </w:rPr>
        <w:t>n monedas para las cuales no exista un mercado profundo para bonos empresariales de alta calidad, los rendimientos de mercado</w:t>
      </w:r>
      <w:r w:rsidRPr="00AC4AEA">
        <w:rPr>
          <w:rFonts w:ascii="Arial" w:hAnsi="Arial" w:cs="Arial"/>
          <w:sz w:val="20"/>
          <w:szCs w:val="20"/>
        </w:rPr>
        <w:t>,</w:t>
      </w:r>
      <w:r w:rsidR="00600548" w:rsidRPr="00AC4AEA">
        <w:rPr>
          <w:rFonts w:ascii="Arial" w:hAnsi="Arial" w:cs="Arial"/>
          <w:sz w:val="20"/>
          <w:szCs w:val="20"/>
        </w:rPr>
        <w:t xml:space="preserve"> </w:t>
      </w:r>
      <w:r w:rsidRPr="00AC4AEA">
        <w:rPr>
          <w:rFonts w:ascii="Arial" w:hAnsi="Arial" w:cs="Arial"/>
          <w:sz w:val="20"/>
          <w:szCs w:val="20"/>
        </w:rPr>
        <w:t xml:space="preserve">a la </w:t>
      </w:r>
      <w:r w:rsidRPr="00AC4AEA">
        <w:rPr>
          <w:rFonts w:ascii="Arial" w:hAnsi="Arial" w:cs="Arial"/>
          <w:b/>
          <w:bCs/>
          <w:sz w:val="20"/>
          <w:szCs w:val="20"/>
        </w:rPr>
        <w:t>fecha de los estados contables</w:t>
      </w:r>
      <w:r w:rsidRPr="00AC4AEA">
        <w:rPr>
          <w:rFonts w:ascii="Arial" w:hAnsi="Arial" w:cs="Arial"/>
          <w:sz w:val="20"/>
          <w:szCs w:val="20"/>
        </w:rPr>
        <w:t xml:space="preserve">, </w:t>
      </w:r>
      <w:r w:rsidR="00600548" w:rsidRPr="00AC4AEA">
        <w:rPr>
          <w:rFonts w:ascii="Arial" w:hAnsi="Arial" w:cs="Arial"/>
          <w:sz w:val="20"/>
          <w:szCs w:val="20"/>
        </w:rPr>
        <w:t xml:space="preserve">de los bonos gubernamentales denominados en esa moneda. </w:t>
      </w:r>
    </w:p>
    <w:p w:rsidR="00421257" w:rsidRPr="00AC4AEA" w:rsidRDefault="00600548" w:rsidP="00C01B25">
      <w:pPr>
        <w:numPr>
          <w:ilvl w:val="0"/>
          <w:numId w:val="670"/>
        </w:numPr>
        <w:spacing w:after="147" w:line="264" w:lineRule="auto"/>
        <w:ind w:left="993" w:hanging="567"/>
        <w:jc w:val="both"/>
        <w:rPr>
          <w:rFonts w:ascii="Arial" w:hAnsi="Arial" w:cs="Arial"/>
          <w:sz w:val="20"/>
          <w:szCs w:val="20"/>
        </w:rPr>
      </w:pPr>
      <w:bookmarkStart w:id="1178" w:name="_Ref135683998"/>
      <w:r w:rsidRPr="00AC4AEA">
        <w:rPr>
          <w:rFonts w:ascii="Arial" w:hAnsi="Arial" w:cs="Arial"/>
          <w:sz w:val="20"/>
          <w:szCs w:val="20"/>
        </w:rPr>
        <w:t>La moneda y el plazo de los bonos corporativos o bonos gubernamentales serán congruentes con la moneda y el plazo estimado de las obligaciones por beneficios post-empleo</w:t>
      </w:r>
      <w:r w:rsidR="00421257" w:rsidRPr="00AC4AEA">
        <w:rPr>
          <w:rFonts w:ascii="Arial" w:hAnsi="Arial" w:cs="Arial"/>
          <w:sz w:val="20"/>
          <w:szCs w:val="20"/>
        </w:rPr>
        <w:t>.</w:t>
      </w:r>
      <w:bookmarkEnd w:id="1178"/>
      <w:r w:rsidR="00421257" w:rsidRPr="00AC4AEA">
        <w:rPr>
          <w:rFonts w:ascii="Arial" w:hAnsi="Arial"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calculará el </w:t>
      </w:r>
      <w:r w:rsidR="008F245B" w:rsidRPr="00AC4AEA">
        <w:rPr>
          <w:rFonts w:ascii="Arial" w:hAnsi="Arial" w:cs="Arial"/>
          <w:sz w:val="20"/>
          <w:szCs w:val="20"/>
        </w:rPr>
        <w:t xml:space="preserve">interés neto sobre el </w:t>
      </w:r>
      <w:r w:rsidR="00D072A0" w:rsidRPr="00AC4AEA">
        <w:rPr>
          <w:rFonts w:ascii="Arial" w:hAnsi="Arial" w:cs="Arial"/>
          <w:sz w:val="20"/>
          <w:szCs w:val="20"/>
        </w:rPr>
        <w:t>pasivo (activo) por beneficios definidos neto</w:t>
      </w:r>
      <w:r w:rsidRPr="00AC4AEA">
        <w:rPr>
          <w:rFonts w:ascii="Arial" w:hAnsi="Arial" w:cs="Arial"/>
          <w:sz w:val="20"/>
          <w:szCs w:val="20"/>
        </w:rPr>
        <w:t xml:space="preserve"> multiplicando la tasa de </w:t>
      </w:r>
      <w:r w:rsidR="00D072A0" w:rsidRPr="00AC4AEA">
        <w:rPr>
          <w:rFonts w:ascii="Arial" w:hAnsi="Arial" w:cs="Arial"/>
          <w:sz w:val="20"/>
          <w:szCs w:val="20"/>
        </w:rPr>
        <w:t>descuento</w:t>
      </w:r>
      <w:r w:rsidRPr="00AC4AEA">
        <w:rPr>
          <w:rFonts w:ascii="Arial" w:hAnsi="Arial" w:cs="Arial"/>
          <w:sz w:val="20"/>
          <w:szCs w:val="20"/>
        </w:rPr>
        <w:t xml:space="preserve"> determinada al principio del período</w:t>
      </w:r>
      <w:r w:rsidR="00B91CBB" w:rsidRPr="00AC4AEA">
        <w:rPr>
          <w:rFonts w:ascii="Arial" w:hAnsi="Arial" w:cs="Arial"/>
          <w:sz w:val="20"/>
          <w:szCs w:val="20"/>
        </w:rPr>
        <w:t xml:space="preserve"> actual (que coincidirá con la utilizada al cierre del período inmediato anterior)</w:t>
      </w:r>
      <w:r w:rsidRPr="00AC4AEA">
        <w:rPr>
          <w:rFonts w:ascii="Arial" w:hAnsi="Arial" w:cs="Arial"/>
          <w:sz w:val="20"/>
          <w:szCs w:val="20"/>
        </w:rPr>
        <w:t>,</w:t>
      </w:r>
      <w:r w:rsidR="006B6E58" w:rsidRPr="00AC4AEA">
        <w:rPr>
          <w:rFonts w:ascii="Arial" w:hAnsi="Arial" w:cs="Arial"/>
          <w:sz w:val="20"/>
          <w:szCs w:val="20"/>
        </w:rPr>
        <w:t xml:space="preserve"> de acuerdo con </w:t>
      </w:r>
      <w:r w:rsidR="000A58AE" w:rsidRPr="00AC4AEA">
        <w:rPr>
          <w:rFonts w:ascii="Arial" w:hAnsi="Arial" w:cs="Arial"/>
          <w:sz w:val="20"/>
          <w:szCs w:val="20"/>
        </w:rPr>
        <w:t xml:space="preserve">los párrafos </w:t>
      </w:r>
      <w:fldSimple w:instr=" REF _Ref135683997 \r \h  \* MERGEFORMAT ">
        <w:r w:rsidR="00D33A5D" w:rsidRPr="00D33A5D">
          <w:rPr>
            <w:rFonts w:ascii="Arial" w:hAnsi="Arial" w:cs="Arial"/>
            <w:sz w:val="20"/>
            <w:szCs w:val="20"/>
          </w:rPr>
          <w:t>908</w:t>
        </w:r>
      </w:fldSimple>
      <w:r w:rsidR="000A58AE" w:rsidRPr="00AC4AEA">
        <w:rPr>
          <w:rFonts w:ascii="Arial" w:hAnsi="Arial" w:cs="Arial"/>
          <w:sz w:val="20"/>
          <w:szCs w:val="20"/>
        </w:rPr>
        <w:t xml:space="preserve"> y </w:t>
      </w:r>
      <w:fldSimple w:instr=" REF _Ref135683998 \r \h  \* MERGEFORMAT ">
        <w:r w:rsidR="00D33A5D" w:rsidRPr="00D33A5D">
          <w:rPr>
            <w:rFonts w:ascii="Arial" w:hAnsi="Arial" w:cs="Arial"/>
            <w:sz w:val="20"/>
            <w:szCs w:val="20"/>
          </w:rPr>
          <w:t>909</w:t>
        </w:r>
      </w:fldSimple>
      <w:r w:rsidR="006B6E58" w:rsidRPr="00AC4AEA">
        <w:rPr>
          <w:rFonts w:ascii="Arial" w:hAnsi="Arial" w:cs="Arial"/>
          <w:sz w:val="20"/>
          <w:szCs w:val="20"/>
        </w:rPr>
        <w:t>,</w:t>
      </w:r>
      <w:r w:rsidRPr="00AC4AEA">
        <w:rPr>
          <w:rFonts w:ascii="Arial" w:hAnsi="Arial" w:cs="Arial"/>
          <w:sz w:val="20"/>
          <w:szCs w:val="20"/>
        </w:rPr>
        <w:t xml:space="preserve"> por el </w:t>
      </w:r>
      <w:r w:rsidR="006B6E58" w:rsidRPr="00AC4AEA">
        <w:rPr>
          <w:rFonts w:ascii="Arial" w:hAnsi="Arial" w:cs="Arial"/>
          <w:sz w:val="20"/>
          <w:szCs w:val="20"/>
        </w:rPr>
        <w:t>por el importe de ese pasivo (activo)</w:t>
      </w:r>
      <w:r w:rsidRPr="00AC4AEA">
        <w:rPr>
          <w:rFonts w:ascii="Arial" w:hAnsi="Arial" w:cs="Arial"/>
          <w:sz w:val="20"/>
          <w:szCs w:val="20"/>
        </w:rPr>
        <w:t>, teniendo en cuenta cualquier cambio significativo en su valor.</w:t>
      </w:r>
      <w:r w:rsidR="000A58AE" w:rsidRPr="00AC4AEA">
        <w:rPr>
          <w:rFonts w:ascii="Arial" w:hAnsi="Arial" w:cs="Arial"/>
          <w:sz w:val="20"/>
          <w:szCs w:val="20"/>
        </w:rPr>
        <w:t xml:space="preserve"> Si, </w:t>
      </w:r>
      <w:r w:rsidR="001F0E67" w:rsidRPr="00AC4AEA">
        <w:rPr>
          <w:rFonts w:ascii="Arial" w:hAnsi="Arial" w:cs="Arial"/>
          <w:sz w:val="20"/>
          <w:szCs w:val="20"/>
        </w:rPr>
        <w:t xml:space="preserve">de conformidad con lo establecido en el párrafo </w:t>
      </w:r>
      <w:fldSimple w:instr=" REF _Ref135684074 \r \h  \* MERGEFORMAT ">
        <w:r w:rsidR="00D33A5D" w:rsidRPr="00D33A5D">
          <w:rPr>
            <w:rFonts w:ascii="Arial" w:hAnsi="Arial" w:cs="Arial"/>
            <w:sz w:val="20"/>
            <w:szCs w:val="20"/>
          </w:rPr>
          <w:t>907</w:t>
        </w:r>
      </w:fldSimple>
      <w:r w:rsidR="001F0E67" w:rsidRPr="00AC4AEA">
        <w:rPr>
          <w:rFonts w:ascii="Arial" w:hAnsi="Arial" w:cs="Arial"/>
          <w:sz w:val="20"/>
          <w:szCs w:val="20"/>
        </w:rPr>
        <w:t xml:space="preserve">, </w:t>
      </w:r>
      <w:r w:rsidR="000A58AE" w:rsidRPr="00AC4AEA">
        <w:rPr>
          <w:rFonts w:ascii="Arial" w:hAnsi="Arial" w:cs="Arial"/>
          <w:sz w:val="20"/>
          <w:szCs w:val="20"/>
        </w:rPr>
        <w:t>al estimar la tasa de descuento, consideró una tasa en términos reales</w:t>
      </w:r>
      <w:r w:rsidR="00A63EA8" w:rsidRPr="00AC4AEA">
        <w:rPr>
          <w:rFonts w:ascii="Arial" w:hAnsi="Arial" w:cs="Arial"/>
          <w:sz w:val="20"/>
          <w:szCs w:val="20"/>
        </w:rPr>
        <w:t>,</w:t>
      </w:r>
      <w:r w:rsidR="000A58AE" w:rsidRPr="00AC4AEA">
        <w:rPr>
          <w:rFonts w:ascii="Arial" w:hAnsi="Arial" w:cs="Arial"/>
          <w:sz w:val="20"/>
          <w:szCs w:val="20"/>
        </w:rPr>
        <w:t xml:space="preserve"> </w:t>
      </w:r>
      <w:r w:rsidR="00A63EA8" w:rsidRPr="00AC4AEA">
        <w:rPr>
          <w:rFonts w:ascii="Arial" w:hAnsi="Arial" w:cs="Arial"/>
          <w:sz w:val="20"/>
          <w:szCs w:val="20"/>
        </w:rPr>
        <w:t xml:space="preserve">la entidad </w:t>
      </w:r>
      <w:r w:rsidR="00FA45D5" w:rsidRPr="00AC4AEA">
        <w:rPr>
          <w:rFonts w:ascii="Arial" w:hAnsi="Arial" w:cs="Arial"/>
          <w:sz w:val="20"/>
          <w:szCs w:val="20"/>
        </w:rPr>
        <w:t xml:space="preserve">calculará la tasa para determinar </w:t>
      </w:r>
      <w:r w:rsidR="00EC6369" w:rsidRPr="00AC4AEA">
        <w:rPr>
          <w:rFonts w:ascii="Arial" w:hAnsi="Arial" w:cs="Arial"/>
          <w:sz w:val="20"/>
          <w:szCs w:val="20"/>
        </w:rPr>
        <w:t xml:space="preserve">el interés neto sobre el pasivo (activo) neto por beneficios definidos neto, </w:t>
      </w:r>
      <w:r w:rsidR="00FA45D5" w:rsidRPr="00AC4AEA">
        <w:rPr>
          <w:rFonts w:ascii="Arial" w:hAnsi="Arial" w:cs="Arial"/>
          <w:sz w:val="20"/>
          <w:szCs w:val="20"/>
        </w:rPr>
        <w:t>ajustando la tasa de descuento para que refleje</w:t>
      </w:r>
      <w:r w:rsidR="00EC6369" w:rsidRPr="00AC4AEA">
        <w:rPr>
          <w:rFonts w:ascii="Arial" w:hAnsi="Arial" w:cs="Arial"/>
          <w:sz w:val="20"/>
          <w:szCs w:val="20"/>
        </w:rPr>
        <w:t xml:space="preserve"> la inflación interanual esperada al principio del período actual</w:t>
      </w:r>
      <w:r w:rsidR="00275804" w:rsidRPr="00AC4AEA">
        <w:rPr>
          <w:rFonts w:ascii="Arial" w:hAnsi="Arial" w:cs="Arial"/>
          <w:sz w:val="20"/>
          <w:szCs w:val="20"/>
        </w:rPr>
        <w:t>.</w:t>
      </w:r>
    </w:p>
    <w:p w:rsidR="00421257" w:rsidRPr="00AC4AEA" w:rsidRDefault="00421257" w:rsidP="00A318EA">
      <w:pPr>
        <w:spacing w:after="15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79" w:name="_Toc139357025"/>
      <w:r w:rsidRPr="00AC4AEA">
        <w:t>Sueldos, beneficios y costos de asistencia médica, odontológica, legal y otros</w:t>
      </w:r>
      <w:bookmarkEnd w:id="1179"/>
      <w:r w:rsidRPr="00AC4AEA">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medirá las obligaciones por beneficios post-relación laboral de manera que reflejen: </w:t>
      </w:r>
    </w:p>
    <w:p w:rsidR="00421257" w:rsidRPr="00AC4AEA" w:rsidRDefault="00421257" w:rsidP="00C01B25">
      <w:pPr>
        <w:numPr>
          <w:ilvl w:val="0"/>
          <w:numId w:val="676"/>
        </w:numPr>
        <w:spacing w:line="264" w:lineRule="auto"/>
        <w:ind w:hanging="511"/>
        <w:jc w:val="both"/>
        <w:rPr>
          <w:rFonts w:ascii="Arial" w:hAnsi="Arial" w:cs="Arial"/>
          <w:sz w:val="20"/>
          <w:szCs w:val="20"/>
        </w:rPr>
      </w:pPr>
      <w:r w:rsidRPr="00AC4AEA">
        <w:rPr>
          <w:rFonts w:ascii="Arial" w:hAnsi="Arial" w:cs="Arial"/>
          <w:sz w:val="20"/>
          <w:szCs w:val="20"/>
        </w:rPr>
        <w:t xml:space="preserve">los incrementos estimados de los sueldos en el futuro; </w:t>
      </w:r>
    </w:p>
    <w:p w:rsidR="00421257" w:rsidRPr="00AC4AEA" w:rsidRDefault="00421257" w:rsidP="00C01B25">
      <w:pPr>
        <w:numPr>
          <w:ilvl w:val="0"/>
          <w:numId w:val="676"/>
        </w:numPr>
        <w:spacing w:line="264" w:lineRule="auto"/>
        <w:ind w:hanging="511"/>
        <w:jc w:val="both"/>
        <w:rPr>
          <w:rFonts w:ascii="Arial" w:hAnsi="Arial" w:cs="Arial"/>
          <w:sz w:val="20"/>
          <w:szCs w:val="20"/>
        </w:rPr>
      </w:pPr>
      <w:r w:rsidRPr="00AC4AEA">
        <w:rPr>
          <w:rFonts w:ascii="Arial" w:hAnsi="Arial" w:cs="Arial"/>
          <w:sz w:val="20"/>
          <w:szCs w:val="20"/>
        </w:rPr>
        <w:t xml:space="preserve">los beneficios establecidos en el plan, a la </w:t>
      </w:r>
      <w:r w:rsidR="00A235EB" w:rsidRPr="00AC4AEA">
        <w:rPr>
          <w:rFonts w:ascii="Arial" w:hAnsi="Arial" w:cs="Arial"/>
          <w:b/>
          <w:bCs/>
          <w:sz w:val="20"/>
          <w:szCs w:val="20"/>
        </w:rPr>
        <w:t>fecha de los estados contables</w:t>
      </w:r>
      <w:r w:rsidRPr="00AC4AEA">
        <w:rPr>
          <w:rFonts w:ascii="Arial" w:hAnsi="Arial" w:cs="Arial"/>
          <w:sz w:val="20"/>
          <w:szCs w:val="20"/>
        </w:rPr>
        <w:t xml:space="preserve">, según los términos del plan (o que resulten de cualquier obligación implícita); y </w:t>
      </w:r>
    </w:p>
    <w:p w:rsidR="00421257" w:rsidRPr="00AC4AEA" w:rsidRDefault="00421257" w:rsidP="00C01B25">
      <w:pPr>
        <w:numPr>
          <w:ilvl w:val="0"/>
          <w:numId w:val="676"/>
        </w:numPr>
        <w:spacing w:line="264" w:lineRule="auto"/>
        <w:ind w:hanging="511"/>
        <w:jc w:val="both"/>
        <w:rPr>
          <w:rFonts w:ascii="Arial" w:hAnsi="Arial" w:cs="Arial"/>
          <w:sz w:val="20"/>
          <w:szCs w:val="20"/>
        </w:rPr>
      </w:pPr>
      <w:r w:rsidRPr="00AC4AEA">
        <w:rPr>
          <w:rFonts w:ascii="Arial" w:hAnsi="Arial" w:cs="Arial"/>
          <w:sz w:val="20"/>
          <w:szCs w:val="20"/>
        </w:rPr>
        <w:t xml:space="preserve">los cambios futuros estimados en el monto de los beneficios gubernamentales, en la medida que afecten a los beneficios a pagar dentro del plan de beneficios definidos, sí y sólo sí: </w:t>
      </w:r>
    </w:p>
    <w:p w:rsidR="00421257" w:rsidRPr="00AC4AEA" w:rsidRDefault="00421257" w:rsidP="00C01B25">
      <w:pPr>
        <w:numPr>
          <w:ilvl w:val="4"/>
          <w:numId w:val="487"/>
        </w:numPr>
        <w:spacing w:after="147" w:line="264" w:lineRule="auto"/>
        <w:ind w:left="1985" w:hanging="567"/>
        <w:jc w:val="both"/>
        <w:rPr>
          <w:rFonts w:ascii="Arial" w:hAnsi="Arial" w:cs="Arial"/>
          <w:sz w:val="20"/>
          <w:szCs w:val="20"/>
        </w:rPr>
      </w:pPr>
      <w:r w:rsidRPr="00AC4AEA">
        <w:rPr>
          <w:rFonts w:ascii="Arial" w:hAnsi="Arial" w:cs="Arial"/>
          <w:sz w:val="20"/>
          <w:szCs w:val="20"/>
        </w:rPr>
        <w:t xml:space="preserve">tales cambios han sido incorporados a una norma legal antes de la </w:t>
      </w:r>
      <w:r w:rsidRPr="00AC4AEA">
        <w:rPr>
          <w:rFonts w:ascii="Arial" w:hAnsi="Arial" w:cs="Arial"/>
          <w:b/>
          <w:bCs/>
          <w:sz w:val="20"/>
          <w:szCs w:val="20"/>
        </w:rPr>
        <w:t xml:space="preserve">fecha </w:t>
      </w:r>
      <w:r w:rsidR="00A235EB" w:rsidRPr="00AC4AEA">
        <w:rPr>
          <w:rFonts w:ascii="Arial" w:hAnsi="Arial" w:cs="Arial"/>
          <w:b/>
          <w:bCs/>
          <w:sz w:val="20"/>
          <w:szCs w:val="20"/>
        </w:rPr>
        <w:t>de los estados contables</w:t>
      </w:r>
      <w:r w:rsidRPr="00AC4AEA">
        <w:rPr>
          <w:rFonts w:ascii="Arial" w:hAnsi="Arial" w:cs="Arial"/>
          <w:sz w:val="20"/>
          <w:szCs w:val="20"/>
        </w:rPr>
        <w:t xml:space="preserve">; o </w:t>
      </w:r>
    </w:p>
    <w:p w:rsidR="00421257" w:rsidRPr="00AC4AEA" w:rsidRDefault="00421257" w:rsidP="00C01B25">
      <w:pPr>
        <w:numPr>
          <w:ilvl w:val="4"/>
          <w:numId w:val="487"/>
        </w:numPr>
        <w:spacing w:after="147" w:line="264" w:lineRule="auto"/>
        <w:ind w:left="1985" w:hanging="567"/>
        <w:jc w:val="both"/>
        <w:rPr>
          <w:rFonts w:ascii="Arial" w:hAnsi="Arial" w:cs="Arial"/>
          <w:sz w:val="20"/>
          <w:szCs w:val="20"/>
        </w:rPr>
      </w:pPr>
      <w:r w:rsidRPr="00AC4AEA">
        <w:rPr>
          <w:rFonts w:ascii="Arial" w:hAnsi="Arial" w:cs="Arial"/>
          <w:sz w:val="20"/>
          <w:szCs w:val="20"/>
        </w:rPr>
        <w:t xml:space="preserve">la historia pasada u otro tipo de evidencia confiable indican que tales beneficios gubernamentales van a ser modificados de una forma previsible, por ejemplo, consistentemente con futuros cambios en los niveles generales de precios o de salarios.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Para estimar los incrementos futuros en los salarios, una entidad</w:t>
      </w:r>
      <w:r w:rsidR="002D19B8" w:rsidRPr="00AC4AEA">
        <w:rPr>
          <w:rFonts w:ascii="Arial" w:hAnsi="Arial" w:cs="Arial"/>
          <w:sz w:val="20"/>
          <w:szCs w:val="20"/>
        </w:rPr>
        <w:t xml:space="preserve"> contemplará la antigüedad, las posibles promociones y otros factores relevantes, tales como la evolución de la oferta y la demanda en el mercado de trabajo.</w:t>
      </w:r>
      <w:r w:rsidRPr="00AC4AEA">
        <w:rPr>
          <w:rFonts w:ascii="Arial" w:hAnsi="Arial"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Si los términos formales de un plan (o cualquier obligación implícita) exigen cambiar los beneficios en periodos futuros, una entidad medirá la obligación correspondiente de manera que refleje tales cambios.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lastRenderedPageBreak/>
        <w:t xml:space="preserve">Una entidad no tendrá que considerar en los supuestos actuariales los cambios en los beneficios futuros no establecidos formalmente en el plan (o en las obligaciones implícitas) a la </w:t>
      </w:r>
      <w:r w:rsidRPr="00AC4AEA">
        <w:rPr>
          <w:rFonts w:ascii="Arial" w:hAnsi="Arial" w:cs="Arial"/>
          <w:b/>
          <w:bCs/>
          <w:sz w:val="20"/>
          <w:szCs w:val="20"/>
        </w:rPr>
        <w:t>fecha de los estados contables</w:t>
      </w:r>
      <w:r w:rsidRPr="00AC4AEA">
        <w:rPr>
          <w:rFonts w:ascii="Arial" w:hAnsi="Arial" w:cs="Arial"/>
          <w:sz w:val="20"/>
          <w:szCs w:val="20"/>
        </w:rPr>
        <w:t xml:space="preserve">. Tales cambios, cuando se produzcan, pueden generar: </w:t>
      </w:r>
    </w:p>
    <w:p w:rsidR="00421257" w:rsidRPr="00AC4AEA" w:rsidRDefault="00421257" w:rsidP="00C01B25">
      <w:pPr>
        <w:numPr>
          <w:ilvl w:val="0"/>
          <w:numId w:val="677"/>
        </w:numPr>
        <w:spacing w:line="264" w:lineRule="auto"/>
        <w:ind w:hanging="511"/>
        <w:jc w:val="both"/>
        <w:rPr>
          <w:rFonts w:ascii="Arial" w:hAnsi="Arial" w:cs="Arial"/>
          <w:sz w:val="20"/>
          <w:szCs w:val="20"/>
        </w:rPr>
      </w:pPr>
      <w:r w:rsidRPr="00AC4AEA">
        <w:rPr>
          <w:rFonts w:ascii="Arial" w:hAnsi="Arial" w:cs="Arial"/>
          <w:sz w:val="20"/>
          <w:szCs w:val="20"/>
        </w:rPr>
        <w:t xml:space="preserve">costos por servicios prestados en el pasado, en la medida que modifiquen los beneficios por servicios prestados con anterioridad al cambio; o bien </w:t>
      </w:r>
    </w:p>
    <w:p w:rsidR="00421257" w:rsidRPr="00AC4AEA" w:rsidRDefault="00421257" w:rsidP="00C01B25">
      <w:pPr>
        <w:numPr>
          <w:ilvl w:val="0"/>
          <w:numId w:val="677"/>
        </w:numPr>
        <w:spacing w:line="264" w:lineRule="auto"/>
        <w:ind w:hanging="511"/>
        <w:jc w:val="both"/>
        <w:rPr>
          <w:rFonts w:ascii="Arial" w:hAnsi="Arial" w:cs="Arial"/>
          <w:sz w:val="20"/>
          <w:szCs w:val="20"/>
        </w:rPr>
      </w:pPr>
      <w:r w:rsidRPr="00AC4AEA">
        <w:rPr>
          <w:rFonts w:ascii="Arial" w:hAnsi="Arial" w:cs="Arial"/>
          <w:sz w:val="20"/>
          <w:szCs w:val="20"/>
        </w:rPr>
        <w:t xml:space="preserve">costos por servicios del período presente para periodos posteriores al cambio, en la medida que modifiquen beneficios por servicios a prestar con posterioridad al cambio.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Algunos beneficios post-relación laboral están ligados a variables tales como el nivel de beneficios gubernamentales por retiro o por atención médica. Una entidad medirá tales beneficios reflejando los cambios esperados en las variables referidas, evaluados a partir de la historia pasada y otro tipo de evidencias confiables.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estimará los costos por atenciones médicas, odontológicas, legales y otras sobre la base de: </w:t>
      </w:r>
    </w:p>
    <w:p w:rsidR="00421257" w:rsidRPr="00AC4AEA" w:rsidRDefault="00421257" w:rsidP="00C01B25">
      <w:pPr>
        <w:numPr>
          <w:ilvl w:val="0"/>
          <w:numId w:val="678"/>
        </w:numPr>
        <w:spacing w:line="264" w:lineRule="auto"/>
        <w:ind w:hanging="511"/>
        <w:jc w:val="both"/>
        <w:rPr>
          <w:rFonts w:ascii="Arial" w:hAnsi="Arial" w:cs="Arial"/>
          <w:sz w:val="20"/>
          <w:szCs w:val="20"/>
        </w:rPr>
      </w:pPr>
      <w:r w:rsidRPr="00AC4AEA">
        <w:rPr>
          <w:rFonts w:ascii="Arial" w:hAnsi="Arial" w:cs="Arial"/>
          <w:sz w:val="20"/>
          <w:szCs w:val="20"/>
        </w:rPr>
        <w:t xml:space="preserve">hipótesis acerca de los cambios futuros estimados en el costo de tales servicios en términos reales (es decir, excluyendo los efectos de los cambios futuros en el poder adquisitivo de la moneda), derivados de las variaciones en los precios específicos de los citados beneficios; </w:t>
      </w:r>
    </w:p>
    <w:p w:rsidR="00421257" w:rsidRPr="00AC4AEA" w:rsidRDefault="00421257" w:rsidP="00C01B25">
      <w:pPr>
        <w:numPr>
          <w:ilvl w:val="0"/>
          <w:numId w:val="678"/>
        </w:numPr>
        <w:spacing w:line="264" w:lineRule="auto"/>
        <w:ind w:hanging="511"/>
        <w:jc w:val="both"/>
        <w:rPr>
          <w:rFonts w:ascii="Arial" w:hAnsi="Arial" w:cs="Arial"/>
          <w:sz w:val="20"/>
          <w:szCs w:val="20"/>
        </w:rPr>
      </w:pPr>
      <w:r w:rsidRPr="00AC4AEA">
        <w:rPr>
          <w:rFonts w:ascii="Arial" w:hAnsi="Arial" w:cs="Arial"/>
          <w:sz w:val="20"/>
          <w:szCs w:val="20"/>
        </w:rPr>
        <w:t>datos históricos, tomados de su propia experiencia, complementados si fuera necesario con datos procedentes de otros empleadores, compañías de seguros, obras sociales, empresas de medicina prepaga u otras fuentes.</w:t>
      </w:r>
      <w:r w:rsidR="006F2C57">
        <w:rPr>
          <w:rFonts w:ascii="Arial" w:hAnsi="Arial" w:cs="Arial"/>
          <w:sz w:val="20"/>
          <w:szCs w:val="20"/>
        </w:rPr>
        <w:t xml:space="preserve"> </w:t>
      </w:r>
    </w:p>
    <w:p w:rsidR="00421257" w:rsidRPr="00AC4AEA" w:rsidRDefault="00421257" w:rsidP="00C01B25">
      <w:pPr>
        <w:numPr>
          <w:ilvl w:val="0"/>
          <w:numId w:val="678"/>
        </w:numPr>
        <w:spacing w:line="264" w:lineRule="auto"/>
        <w:ind w:hanging="511"/>
        <w:jc w:val="both"/>
        <w:rPr>
          <w:rFonts w:ascii="Arial" w:hAnsi="Arial" w:cs="Arial"/>
          <w:sz w:val="20"/>
          <w:szCs w:val="20"/>
        </w:rPr>
      </w:pPr>
      <w:r w:rsidRPr="00AC4AEA">
        <w:rPr>
          <w:rFonts w:ascii="Arial" w:hAnsi="Arial" w:cs="Arial"/>
          <w:sz w:val="20"/>
          <w:szCs w:val="20"/>
        </w:rPr>
        <w:t>el efecto de los avances tecnológicos;</w:t>
      </w:r>
      <w:r w:rsidR="006F2C57">
        <w:rPr>
          <w:rFonts w:ascii="Arial" w:hAnsi="Arial" w:cs="Arial"/>
          <w:sz w:val="20"/>
          <w:szCs w:val="20"/>
        </w:rPr>
        <w:t xml:space="preserve"> </w:t>
      </w:r>
    </w:p>
    <w:p w:rsidR="00421257" w:rsidRPr="00AC4AEA" w:rsidRDefault="00421257" w:rsidP="00C01B25">
      <w:pPr>
        <w:numPr>
          <w:ilvl w:val="0"/>
          <w:numId w:val="678"/>
        </w:numPr>
        <w:spacing w:line="264" w:lineRule="auto"/>
        <w:ind w:hanging="511"/>
        <w:jc w:val="both"/>
        <w:rPr>
          <w:rFonts w:ascii="Arial" w:hAnsi="Arial" w:cs="Arial"/>
          <w:sz w:val="20"/>
          <w:szCs w:val="20"/>
        </w:rPr>
      </w:pPr>
      <w:r w:rsidRPr="00AC4AEA">
        <w:rPr>
          <w:rFonts w:ascii="Arial" w:hAnsi="Arial" w:cs="Arial"/>
          <w:sz w:val="20"/>
          <w:szCs w:val="20"/>
        </w:rPr>
        <w:t>los cambios en la utilización de los beneficios de asistencia médica o patrones de demanda de atención sanitaria; y</w:t>
      </w:r>
      <w:r w:rsidR="006F2C57">
        <w:rPr>
          <w:rFonts w:ascii="Arial" w:hAnsi="Arial" w:cs="Arial"/>
          <w:sz w:val="20"/>
          <w:szCs w:val="20"/>
        </w:rPr>
        <w:t xml:space="preserve"> </w:t>
      </w:r>
    </w:p>
    <w:p w:rsidR="00421257" w:rsidRPr="00AC4AEA" w:rsidRDefault="00421257" w:rsidP="00C01B25">
      <w:pPr>
        <w:numPr>
          <w:ilvl w:val="0"/>
          <w:numId w:val="678"/>
        </w:numPr>
        <w:spacing w:line="264" w:lineRule="auto"/>
        <w:ind w:hanging="511"/>
        <w:jc w:val="both"/>
        <w:rPr>
          <w:rFonts w:ascii="Arial" w:hAnsi="Arial" w:cs="Arial"/>
          <w:sz w:val="20"/>
          <w:szCs w:val="20"/>
        </w:rPr>
      </w:pPr>
      <w:r w:rsidRPr="00AC4AEA">
        <w:rPr>
          <w:rFonts w:ascii="Arial" w:hAnsi="Arial" w:cs="Arial"/>
          <w:sz w:val="20"/>
          <w:szCs w:val="20"/>
        </w:rPr>
        <w:t xml:space="preserve">los cambios en la situación sanitaria de los participantes en el plan.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Una entidad ajustará los datos históricos:</w:t>
      </w:r>
      <w:r w:rsidR="006F2C57">
        <w:rPr>
          <w:rFonts w:ascii="Arial" w:hAnsi="Arial" w:cs="Arial"/>
          <w:sz w:val="20"/>
          <w:szCs w:val="20"/>
        </w:rPr>
        <w:t xml:space="preserve"> </w:t>
      </w:r>
    </w:p>
    <w:p w:rsidR="00421257" w:rsidRPr="00AC4AEA" w:rsidRDefault="00421257" w:rsidP="00C01B25">
      <w:pPr>
        <w:numPr>
          <w:ilvl w:val="0"/>
          <w:numId w:val="679"/>
        </w:numPr>
        <w:spacing w:line="264" w:lineRule="auto"/>
        <w:ind w:hanging="511"/>
        <w:jc w:val="both"/>
        <w:rPr>
          <w:rFonts w:ascii="Arial" w:hAnsi="Arial" w:cs="Arial"/>
          <w:sz w:val="20"/>
          <w:szCs w:val="20"/>
        </w:rPr>
      </w:pPr>
      <w:r w:rsidRPr="00AC4AEA">
        <w:rPr>
          <w:rFonts w:ascii="Arial" w:hAnsi="Arial" w:cs="Arial"/>
          <w:sz w:val="20"/>
          <w:szCs w:val="20"/>
        </w:rPr>
        <w:t>si la mezcla demográfica de la población beneficiaria difiere de la utilizada como base para elaborar los datos históricos; o</w:t>
      </w:r>
      <w:r w:rsidR="006F2C57">
        <w:rPr>
          <w:rFonts w:ascii="Arial" w:hAnsi="Arial" w:cs="Arial"/>
          <w:sz w:val="20"/>
          <w:szCs w:val="20"/>
        </w:rPr>
        <w:t xml:space="preserve"> </w:t>
      </w:r>
    </w:p>
    <w:p w:rsidR="00421257" w:rsidRPr="00AC4AEA" w:rsidRDefault="00421257" w:rsidP="00C01B25">
      <w:pPr>
        <w:numPr>
          <w:ilvl w:val="0"/>
          <w:numId w:val="679"/>
        </w:numPr>
        <w:spacing w:line="264" w:lineRule="auto"/>
        <w:ind w:hanging="511"/>
        <w:jc w:val="both"/>
        <w:rPr>
          <w:rFonts w:ascii="Arial" w:hAnsi="Arial" w:cs="Arial"/>
          <w:sz w:val="20"/>
          <w:szCs w:val="20"/>
        </w:rPr>
      </w:pPr>
      <w:r w:rsidRPr="00AC4AEA">
        <w:rPr>
          <w:rFonts w:ascii="Arial" w:hAnsi="Arial" w:cs="Arial"/>
          <w:sz w:val="20"/>
          <w:szCs w:val="20"/>
        </w:rPr>
        <w:t xml:space="preserve">cuando hay evidencia confiable de que las tendencias históricas no continuarán en el futuro. </w:t>
      </w:r>
    </w:p>
    <w:p w:rsidR="00421257" w:rsidRPr="00AC4AEA" w:rsidRDefault="00421257" w:rsidP="00A318EA">
      <w:pPr>
        <w:spacing w:after="15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Pérdidas y ganancias actuariales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Una entidad medirá las pérdidas y ganancias actuariales</w:t>
      </w:r>
      <w:r w:rsidR="008861A9" w:rsidRPr="00AC4AEA">
        <w:rPr>
          <w:rFonts w:ascii="Arial" w:hAnsi="Arial" w:cs="Arial"/>
          <w:sz w:val="20"/>
          <w:szCs w:val="20"/>
        </w:rPr>
        <w:t>,</w:t>
      </w:r>
      <w:r w:rsidRPr="00AC4AEA">
        <w:rPr>
          <w:rFonts w:ascii="Arial" w:hAnsi="Arial" w:cs="Arial"/>
          <w:sz w:val="20"/>
          <w:szCs w:val="20"/>
        </w:rPr>
        <w:t xml:space="preserve"> que </w:t>
      </w:r>
      <w:r w:rsidR="008861A9" w:rsidRPr="00AC4AEA">
        <w:rPr>
          <w:rFonts w:ascii="Arial" w:hAnsi="Arial" w:cs="Arial"/>
          <w:sz w:val="20"/>
          <w:szCs w:val="20"/>
        </w:rPr>
        <w:t>proceden de incrementos o disminuciones en el valor presente de la obligación por beneficios definidos debidas a cambios en las suposiciones actuariales y ajustes por experiencia. Las causas de las ganancias o pérdidas incluyen las siguientes</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3"/>
          <w:numId w:val="488"/>
        </w:numPr>
        <w:spacing w:line="264" w:lineRule="auto"/>
        <w:ind w:left="1276"/>
        <w:jc w:val="both"/>
        <w:rPr>
          <w:rFonts w:ascii="Arial" w:hAnsi="Arial" w:cs="Arial"/>
          <w:sz w:val="20"/>
          <w:szCs w:val="20"/>
        </w:rPr>
      </w:pPr>
      <w:r w:rsidRPr="00AC4AEA">
        <w:rPr>
          <w:rFonts w:ascii="Arial" w:hAnsi="Arial" w:cs="Arial"/>
          <w:sz w:val="20"/>
          <w:szCs w:val="20"/>
        </w:rPr>
        <w:t>tasas de rotación, de mortalidad, de retiros anticipados o de incremento de salarios inesperadamente altas o bajas entre los empleados;</w:t>
      </w:r>
      <w:r w:rsidR="006F2C57">
        <w:rPr>
          <w:rFonts w:ascii="Arial" w:hAnsi="Arial" w:cs="Arial"/>
          <w:sz w:val="20"/>
          <w:szCs w:val="20"/>
        </w:rPr>
        <w:t xml:space="preserve"> </w:t>
      </w:r>
    </w:p>
    <w:p w:rsidR="00421257" w:rsidRPr="00AC4AEA" w:rsidRDefault="00421257" w:rsidP="00C01B25">
      <w:pPr>
        <w:numPr>
          <w:ilvl w:val="3"/>
          <w:numId w:val="488"/>
        </w:numPr>
        <w:spacing w:after="147" w:line="264" w:lineRule="auto"/>
        <w:ind w:left="1276"/>
        <w:jc w:val="both"/>
        <w:rPr>
          <w:rFonts w:ascii="Arial" w:hAnsi="Arial" w:cs="Arial"/>
          <w:sz w:val="20"/>
          <w:szCs w:val="20"/>
        </w:rPr>
      </w:pPr>
      <w:r w:rsidRPr="00AC4AEA">
        <w:rPr>
          <w:rFonts w:ascii="Arial" w:hAnsi="Arial" w:cs="Arial"/>
          <w:sz w:val="20"/>
          <w:szCs w:val="20"/>
        </w:rPr>
        <w:lastRenderedPageBreak/>
        <w:t>variaciones en los beneficios (si las condiciones formales o implícitas contemplan incrementos cuando haya inflación);</w:t>
      </w:r>
      <w:r w:rsidR="006F2C57">
        <w:rPr>
          <w:rFonts w:ascii="Arial" w:hAnsi="Arial" w:cs="Arial"/>
          <w:sz w:val="20"/>
          <w:szCs w:val="20"/>
        </w:rPr>
        <w:t xml:space="preserve"> </w:t>
      </w:r>
    </w:p>
    <w:p w:rsidR="00421257" w:rsidRPr="00AC4AEA" w:rsidRDefault="00421257" w:rsidP="00C01B25">
      <w:pPr>
        <w:numPr>
          <w:ilvl w:val="3"/>
          <w:numId w:val="488"/>
        </w:numPr>
        <w:spacing w:after="147" w:line="264" w:lineRule="auto"/>
        <w:ind w:left="1276"/>
        <w:jc w:val="both"/>
        <w:rPr>
          <w:rFonts w:ascii="Arial" w:hAnsi="Arial" w:cs="Arial"/>
          <w:sz w:val="20"/>
          <w:szCs w:val="20"/>
        </w:rPr>
      </w:pPr>
      <w:r w:rsidRPr="00AC4AEA">
        <w:rPr>
          <w:rFonts w:ascii="Arial" w:hAnsi="Arial" w:cs="Arial"/>
          <w:sz w:val="20"/>
          <w:szCs w:val="20"/>
        </w:rPr>
        <w:t xml:space="preserve">cambios en los costos de atención médica; </w:t>
      </w:r>
    </w:p>
    <w:p w:rsidR="00421257" w:rsidRPr="00AC4AEA" w:rsidRDefault="00421257" w:rsidP="00C01B25">
      <w:pPr>
        <w:numPr>
          <w:ilvl w:val="3"/>
          <w:numId w:val="488"/>
        </w:numPr>
        <w:spacing w:after="147" w:line="264" w:lineRule="auto"/>
        <w:ind w:left="1276"/>
        <w:jc w:val="both"/>
        <w:rPr>
          <w:rFonts w:ascii="Arial" w:hAnsi="Arial" w:cs="Arial"/>
          <w:sz w:val="20"/>
          <w:szCs w:val="20"/>
        </w:rPr>
      </w:pPr>
      <w:r w:rsidRPr="00AC4AEA">
        <w:rPr>
          <w:rFonts w:ascii="Arial" w:hAnsi="Arial" w:cs="Arial"/>
          <w:sz w:val="20"/>
          <w:szCs w:val="20"/>
        </w:rPr>
        <w:t>cambios en las estimaciones de las tasas futuras de rotación de mortalidad, de retiros anticipados o de incremento de salarios de los empleados,</w:t>
      </w:r>
      <w:r w:rsidR="006F2C57">
        <w:rPr>
          <w:rFonts w:ascii="Arial" w:hAnsi="Arial" w:cs="Arial"/>
          <w:sz w:val="20"/>
          <w:szCs w:val="20"/>
        </w:rPr>
        <w:t xml:space="preserve"> </w:t>
      </w:r>
    </w:p>
    <w:p w:rsidR="00421257" w:rsidRPr="00AC4AEA" w:rsidRDefault="00421257" w:rsidP="00C01B25">
      <w:pPr>
        <w:numPr>
          <w:ilvl w:val="3"/>
          <w:numId w:val="488"/>
        </w:numPr>
        <w:spacing w:after="147" w:line="264" w:lineRule="auto"/>
        <w:ind w:left="1276"/>
        <w:jc w:val="both"/>
        <w:rPr>
          <w:rFonts w:ascii="Arial" w:hAnsi="Arial" w:cs="Arial"/>
          <w:sz w:val="20"/>
          <w:szCs w:val="20"/>
        </w:rPr>
      </w:pPr>
      <w:r w:rsidRPr="00AC4AEA">
        <w:rPr>
          <w:rFonts w:ascii="Arial" w:hAnsi="Arial" w:cs="Arial"/>
          <w:sz w:val="20"/>
          <w:szCs w:val="20"/>
        </w:rPr>
        <w:t xml:space="preserve">el efecto de las variaciones en los beneficios (si las condiciones formales o asumidas contemplan incrementos cuando haya inflación) o en los costos de atención médica cubierta por el plan; </w:t>
      </w:r>
      <w:r w:rsidR="00DC6B73" w:rsidRPr="00AC4AEA">
        <w:rPr>
          <w:rFonts w:ascii="Arial" w:hAnsi="Arial" w:cs="Arial"/>
          <w:sz w:val="20"/>
          <w:szCs w:val="20"/>
        </w:rPr>
        <w:t>y</w:t>
      </w:r>
    </w:p>
    <w:p w:rsidR="00421257" w:rsidRPr="00AC4AEA" w:rsidRDefault="00421257" w:rsidP="00C01B25">
      <w:pPr>
        <w:numPr>
          <w:ilvl w:val="3"/>
          <w:numId w:val="488"/>
        </w:numPr>
        <w:spacing w:after="147" w:line="264" w:lineRule="auto"/>
        <w:ind w:left="1276"/>
        <w:jc w:val="both"/>
        <w:rPr>
          <w:rFonts w:ascii="Arial" w:hAnsi="Arial" w:cs="Arial"/>
          <w:sz w:val="20"/>
          <w:szCs w:val="20"/>
        </w:rPr>
      </w:pPr>
      <w:r w:rsidRPr="00AC4AEA">
        <w:rPr>
          <w:rFonts w:ascii="Arial" w:hAnsi="Arial" w:cs="Arial"/>
          <w:sz w:val="20"/>
          <w:szCs w:val="20"/>
        </w:rPr>
        <w:t xml:space="preserve">variaciones en la tasa de </w:t>
      </w:r>
      <w:r w:rsidR="00DC6B73" w:rsidRPr="00AC4AEA">
        <w:rPr>
          <w:rFonts w:ascii="Arial" w:hAnsi="Arial" w:cs="Arial"/>
          <w:sz w:val="20"/>
          <w:szCs w:val="20"/>
        </w:rPr>
        <w:t>descuento.</w:t>
      </w:r>
      <w:r w:rsidRPr="00AC4AEA">
        <w:rPr>
          <w:rFonts w:ascii="Arial" w:hAnsi="Arial"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Al proceder a la medición de los pasivos por beneficios definidos de acuerdo con esta sección, una entidad reconocerá las ganancias y pérdidas actuariales en </w:t>
      </w:r>
      <w:r w:rsidRPr="00AC4AEA">
        <w:rPr>
          <w:rFonts w:ascii="Arial" w:hAnsi="Arial" w:cs="Arial"/>
          <w:b/>
          <w:bCs/>
          <w:sz w:val="20"/>
          <w:szCs w:val="20"/>
        </w:rPr>
        <w:t>resultados diferidos</w:t>
      </w:r>
      <w:r w:rsidRPr="00AC4AEA">
        <w:rPr>
          <w:rFonts w:ascii="Arial" w:hAnsi="Arial" w:cs="Arial"/>
          <w:sz w:val="20"/>
          <w:szCs w:val="20"/>
        </w:rPr>
        <w:t>.</w:t>
      </w:r>
      <w:r w:rsidR="00F337D1" w:rsidRPr="00AC4AEA">
        <w:rPr>
          <w:rFonts w:ascii="Arial" w:hAnsi="Arial" w:cs="Arial"/>
          <w:sz w:val="20"/>
          <w:szCs w:val="20"/>
        </w:rPr>
        <w:t xml:space="preserve"> </w:t>
      </w:r>
      <w:r w:rsidR="0057438C" w:rsidRPr="00AC4AEA">
        <w:rPr>
          <w:rFonts w:ascii="Arial" w:hAnsi="Arial" w:cs="Arial"/>
          <w:sz w:val="20"/>
          <w:szCs w:val="20"/>
        </w:rPr>
        <w:t>Una</w:t>
      </w:r>
      <w:r w:rsidR="00F337D1" w:rsidRPr="00AC4AEA">
        <w:rPr>
          <w:rFonts w:ascii="Arial" w:hAnsi="Arial" w:cs="Arial"/>
          <w:sz w:val="20"/>
          <w:szCs w:val="20"/>
        </w:rPr>
        <w:t xml:space="preserve"> entidad no reclasificará a</w:t>
      </w:r>
      <w:r w:rsidR="00A8100F" w:rsidRPr="00AC4AEA">
        <w:rPr>
          <w:rFonts w:ascii="Arial" w:hAnsi="Arial" w:cs="Arial"/>
          <w:sz w:val="20"/>
          <w:szCs w:val="20"/>
        </w:rPr>
        <w:t xml:space="preserve"> resultado</w:t>
      </w:r>
      <w:r w:rsidR="0057438C" w:rsidRPr="00AC4AEA">
        <w:rPr>
          <w:rFonts w:ascii="Arial" w:hAnsi="Arial" w:cs="Arial"/>
          <w:sz w:val="20"/>
          <w:szCs w:val="20"/>
        </w:rPr>
        <w:t>s</w:t>
      </w:r>
      <w:r w:rsidR="00A8100F" w:rsidRPr="00AC4AEA">
        <w:rPr>
          <w:rFonts w:ascii="Arial" w:hAnsi="Arial" w:cs="Arial"/>
          <w:sz w:val="20"/>
          <w:szCs w:val="20"/>
        </w:rPr>
        <w:t xml:space="preserve"> los saldos por ganancia y pérdidas actuariales acumuladas.</w:t>
      </w:r>
      <w:r w:rsidRPr="00AC4AEA">
        <w:rPr>
          <w:rFonts w:ascii="Arial" w:hAnsi="Arial" w:cs="Arial"/>
          <w:sz w:val="20"/>
          <w:szCs w:val="20"/>
        </w:rPr>
        <w:t xml:space="preserve"> </w:t>
      </w:r>
    </w:p>
    <w:p w:rsidR="00421257" w:rsidRPr="00AC4AEA" w:rsidRDefault="00421257" w:rsidP="00A318EA">
      <w:pPr>
        <w:spacing w:after="153"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Costos por servicios prestados en el pasado </w:t>
      </w:r>
    </w:p>
    <w:p w:rsidR="0016615C" w:rsidRPr="00AC4AEA" w:rsidRDefault="0016615C"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El costo por servicios prestados en el pasado aparece cuando la entidad introduce un plan de beneficios definidos o cambia los beneficios a recibir dentro de un plan ya existente.</w:t>
      </w:r>
      <w:r w:rsidR="006F2C57">
        <w:rPr>
          <w:rFonts w:ascii="Arial" w:hAnsi="Arial" w:cs="Arial"/>
          <w:sz w:val="20"/>
          <w:szCs w:val="20"/>
        </w:rPr>
        <w:t xml:space="preserve"> </w:t>
      </w:r>
    </w:p>
    <w:p w:rsidR="004A4422"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Al medir sus pasivos por beneficios definidos, una entidad reconocerá el costo por servicios prestados en el pasado en resultados</w:t>
      </w:r>
      <w:r w:rsidR="004A4422" w:rsidRPr="00AC4AEA">
        <w:rPr>
          <w:rFonts w:ascii="Arial" w:hAnsi="Arial" w:cs="Arial"/>
          <w:sz w:val="20"/>
          <w:szCs w:val="20"/>
        </w:rPr>
        <w:t>, en la primera de las siguientes fechas:</w:t>
      </w:r>
    </w:p>
    <w:p w:rsidR="004A4422" w:rsidRPr="00AC4AEA" w:rsidRDefault="004A4422" w:rsidP="00C01B25">
      <w:pPr>
        <w:numPr>
          <w:ilvl w:val="0"/>
          <w:numId w:val="680"/>
        </w:numPr>
        <w:spacing w:after="147" w:line="264" w:lineRule="auto"/>
        <w:ind w:hanging="511"/>
        <w:jc w:val="both"/>
        <w:rPr>
          <w:rFonts w:ascii="Arial" w:hAnsi="Arial" w:cs="Arial"/>
          <w:sz w:val="20"/>
          <w:szCs w:val="20"/>
        </w:rPr>
      </w:pPr>
      <w:r w:rsidRPr="00AC4AEA">
        <w:rPr>
          <w:rFonts w:ascii="Arial" w:hAnsi="Arial" w:cs="Arial"/>
          <w:sz w:val="20"/>
          <w:szCs w:val="20"/>
        </w:rPr>
        <w:t>Cuando tiene lugar la modificación o r</w:t>
      </w:r>
      <w:r w:rsidR="00B91340" w:rsidRPr="00AC4AEA">
        <w:rPr>
          <w:rFonts w:ascii="Arial" w:hAnsi="Arial" w:cs="Arial"/>
          <w:sz w:val="20"/>
          <w:szCs w:val="20"/>
        </w:rPr>
        <w:t>ed</w:t>
      </w:r>
      <w:r w:rsidRPr="00AC4AEA">
        <w:rPr>
          <w:rFonts w:ascii="Arial" w:hAnsi="Arial" w:cs="Arial"/>
          <w:sz w:val="20"/>
          <w:szCs w:val="20"/>
        </w:rPr>
        <w:t>ucción del plan.</w:t>
      </w:r>
    </w:p>
    <w:p w:rsidR="00421257" w:rsidRPr="00AC4AEA" w:rsidRDefault="004A4422" w:rsidP="00C01B25">
      <w:pPr>
        <w:numPr>
          <w:ilvl w:val="0"/>
          <w:numId w:val="680"/>
        </w:numPr>
        <w:spacing w:after="147" w:line="264" w:lineRule="auto"/>
        <w:ind w:hanging="511"/>
        <w:jc w:val="both"/>
        <w:rPr>
          <w:rFonts w:ascii="Arial" w:hAnsi="Arial" w:cs="Arial"/>
          <w:sz w:val="20"/>
          <w:szCs w:val="20"/>
        </w:rPr>
      </w:pPr>
      <w:r w:rsidRPr="00AC4AEA">
        <w:rPr>
          <w:rFonts w:ascii="Arial" w:hAnsi="Arial" w:cs="Arial"/>
          <w:sz w:val="20"/>
          <w:szCs w:val="20"/>
        </w:rPr>
        <w:t xml:space="preserve">Cuando la entidad reconozca los costos por reestructuración relacionados, de acuerdo con </w:t>
      </w:r>
      <w:r w:rsidR="00B91340" w:rsidRPr="00AC4AEA">
        <w:rPr>
          <w:rFonts w:ascii="Arial" w:hAnsi="Arial" w:cs="Arial"/>
          <w:sz w:val="20"/>
          <w:szCs w:val="20"/>
        </w:rPr>
        <w:t xml:space="preserve">lo establecido en </w:t>
      </w:r>
      <w:r w:rsidRPr="00AC4AEA">
        <w:rPr>
          <w:rFonts w:ascii="Arial" w:hAnsi="Arial" w:cs="Arial"/>
          <w:sz w:val="20"/>
          <w:szCs w:val="20"/>
        </w:rPr>
        <w:t xml:space="preserve">la sección </w:t>
      </w:r>
      <w:r w:rsidR="00B91340" w:rsidRPr="00AC4AEA">
        <w:rPr>
          <w:rFonts w:ascii="Arial" w:hAnsi="Arial" w:cs="Arial"/>
          <w:sz w:val="20"/>
          <w:szCs w:val="20"/>
        </w:rPr>
        <w:t>“</w:t>
      </w:r>
      <w:r w:rsidR="00B91340" w:rsidRPr="00AC4AEA">
        <w:rPr>
          <w:rFonts w:ascii="Arial" w:hAnsi="Arial" w:cs="Arial"/>
          <w:sz w:val="20"/>
          <w:szCs w:val="20"/>
          <w:u w:val="single"/>
        </w:rPr>
        <w:t>Reestructuraciones</w:t>
      </w:r>
      <w:r w:rsidR="00B91340" w:rsidRPr="00AC4AEA">
        <w:rPr>
          <w:rFonts w:ascii="Arial" w:hAnsi="Arial" w:cs="Arial"/>
          <w:sz w:val="20"/>
          <w:szCs w:val="20"/>
        </w:rPr>
        <w:t xml:space="preserve">” [ver los párrafos </w:t>
      </w:r>
      <w:fldSimple w:instr=" REF _Ref103716914 \r \h  \* MERGEFORMAT ">
        <w:r w:rsidR="00D33A5D" w:rsidRPr="00D33A5D">
          <w:rPr>
            <w:rFonts w:ascii="Arial" w:hAnsi="Arial" w:cs="Arial"/>
            <w:sz w:val="20"/>
            <w:szCs w:val="20"/>
          </w:rPr>
          <w:t>601</w:t>
        </w:r>
      </w:fldSimple>
      <w:r w:rsidR="00B91340" w:rsidRPr="00AC4AEA">
        <w:rPr>
          <w:rFonts w:ascii="Arial" w:hAnsi="Arial" w:cs="Arial"/>
          <w:sz w:val="20"/>
          <w:szCs w:val="20"/>
        </w:rPr>
        <w:t xml:space="preserve"> a </w:t>
      </w:r>
      <w:fldSimple w:instr=" REF _Ref135685041 \r \h  \* MERGEFORMAT ">
        <w:r w:rsidR="00D33A5D" w:rsidRPr="00D33A5D">
          <w:rPr>
            <w:rFonts w:ascii="Arial" w:hAnsi="Arial" w:cs="Arial"/>
            <w:sz w:val="20"/>
            <w:szCs w:val="20"/>
          </w:rPr>
          <w:t>604</w:t>
        </w:r>
      </w:fldSimple>
      <w:r w:rsidR="00B91340"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excluirá del costo por servicios prestados en el pasado: </w:t>
      </w:r>
    </w:p>
    <w:p w:rsidR="00421257" w:rsidRPr="00AC4AEA" w:rsidRDefault="00421257" w:rsidP="00C01B25">
      <w:pPr>
        <w:numPr>
          <w:ilvl w:val="0"/>
          <w:numId w:val="681"/>
        </w:numPr>
        <w:spacing w:line="264" w:lineRule="auto"/>
        <w:ind w:hanging="370"/>
        <w:jc w:val="both"/>
        <w:rPr>
          <w:rFonts w:ascii="Arial" w:hAnsi="Arial" w:cs="Arial"/>
          <w:sz w:val="20"/>
          <w:szCs w:val="20"/>
        </w:rPr>
      </w:pPr>
      <w:r w:rsidRPr="00AC4AEA">
        <w:rPr>
          <w:rFonts w:ascii="Arial" w:hAnsi="Arial" w:cs="Arial"/>
          <w:sz w:val="20"/>
          <w:szCs w:val="20"/>
        </w:rPr>
        <w:t xml:space="preserve">el efecto de las diferencias entre los incrementos reales de los salarios y los incrementos proyectados (en este caso no hay costo por servicios prestados en el pasado, puesto que los supuestos actuariales deben tener en consideración los incrementos de sueldos proyectados); </w:t>
      </w:r>
    </w:p>
    <w:p w:rsidR="00421257" w:rsidRPr="00AC4AEA" w:rsidRDefault="00421257" w:rsidP="00C01B25">
      <w:pPr>
        <w:numPr>
          <w:ilvl w:val="0"/>
          <w:numId w:val="681"/>
        </w:numPr>
        <w:spacing w:line="264" w:lineRule="auto"/>
        <w:ind w:hanging="370"/>
        <w:jc w:val="both"/>
        <w:rPr>
          <w:rFonts w:ascii="Arial" w:hAnsi="Arial" w:cs="Arial"/>
          <w:sz w:val="20"/>
          <w:szCs w:val="20"/>
        </w:rPr>
      </w:pPr>
      <w:r w:rsidRPr="00AC4AEA">
        <w:rPr>
          <w:rFonts w:ascii="Arial" w:hAnsi="Arial" w:cs="Arial"/>
          <w:sz w:val="20"/>
          <w:szCs w:val="20"/>
        </w:rPr>
        <w:t xml:space="preserve">sobre o subestimaciones de los incrementos de tipo discrecional en las pensiones, en el caso de que la entidad tenga una obligación implícita de otorgar tales aumentos (en este caso no existe costo por servicios prestados en el pasado, porque los supuestos actuariales deben tener en consideración dichos aumentos); c) estimaciones de mejoras en los beneficios, como consecuencia de las ganancias actuariales que hayan sido reconocidas en los </w:t>
      </w:r>
      <w:r w:rsidRPr="00AC4AEA">
        <w:rPr>
          <w:rFonts w:ascii="Arial" w:hAnsi="Arial" w:cs="Arial"/>
          <w:b/>
          <w:bCs/>
          <w:sz w:val="20"/>
          <w:szCs w:val="20"/>
        </w:rPr>
        <w:t>estados contables</w:t>
      </w:r>
      <w:r w:rsidRPr="00AC4AEA">
        <w:rPr>
          <w:rFonts w:ascii="Arial" w:hAnsi="Arial" w:cs="Arial"/>
          <w:sz w:val="20"/>
          <w:szCs w:val="20"/>
        </w:rPr>
        <w:t xml:space="preserve">, siempre que la entidad esté obligado formalmente por los términos del plan (o por las obligaciones implícitas asumidas) o por la legislación, a utilizar a favor de los participantes del plan cualquier excedente que pueda producirse en el plan, incluso si los incrementos en los beneficios no han sido formalmente otorgados (el aumento resultante en el valor de las obligaciones es una pérdida actuarial, no un costo por servicios prestados en el pasado); </w:t>
      </w:r>
    </w:p>
    <w:p w:rsidR="00421257" w:rsidRPr="00AC4AEA" w:rsidRDefault="00421257" w:rsidP="00C01B25">
      <w:pPr>
        <w:numPr>
          <w:ilvl w:val="0"/>
          <w:numId w:val="681"/>
        </w:numPr>
        <w:spacing w:line="264" w:lineRule="auto"/>
        <w:ind w:hanging="370"/>
        <w:jc w:val="both"/>
        <w:rPr>
          <w:rFonts w:ascii="Arial" w:hAnsi="Arial" w:cs="Arial"/>
          <w:sz w:val="20"/>
          <w:szCs w:val="20"/>
        </w:rPr>
      </w:pPr>
      <w:r w:rsidRPr="00AC4AEA">
        <w:rPr>
          <w:rFonts w:ascii="Arial" w:hAnsi="Arial" w:cs="Arial"/>
          <w:sz w:val="20"/>
          <w:szCs w:val="20"/>
        </w:rPr>
        <w:lastRenderedPageBreak/>
        <w:t xml:space="preserve">el incremento en los beneficios perfeccionados irrevocablemente cuando, en ausencia de nuevos beneficios o mejoras, los empleados completan el período de perfeccionamiento (no se da, en este caso, costo por servicios prestados en el pasado porque el costo estimado de los beneficios fue reconocido en su momento como costo de los servicios del período presente, a medida que los servicios correspondientes fueron prestados por los empleados); y </w:t>
      </w:r>
    </w:p>
    <w:p w:rsidR="00421257" w:rsidRPr="00AC4AEA" w:rsidRDefault="00421257" w:rsidP="00C01B25">
      <w:pPr>
        <w:numPr>
          <w:ilvl w:val="0"/>
          <w:numId w:val="681"/>
        </w:numPr>
        <w:spacing w:line="264" w:lineRule="auto"/>
        <w:ind w:hanging="370"/>
        <w:jc w:val="both"/>
        <w:rPr>
          <w:rFonts w:ascii="Arial" w:hAnsi="Arial" w:cs="Arial"/>
          <w:sz w:val="20"/>
          <w:szCs w:val="20"/>
        </w:rPr>
      </w:pPr>
      <w:r w:rsidRPr="00AC4AEA">
        <w:rPr>
          <w:rFonts w:ascii="Arial" w:hAnsi="Arial" w:cs="Arial"/>
          <w:sz w:val="20"/>
          <w:szCs w:val="20"/>
        </w:rPr>
        <w:t xml:space="preserve">el efecto de los ajustes en el plan cuyo efecto es reducir los beneficios correspondientes a servicios futuros (esto es, cuando se produce una reducción).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80" w:name="_Toc139357026"/>
      <w:r w:rsidRPr="00AC4AEA">
        <w:t>Activos del plan</w:t>
      </w:r>
      <w:bookmarkEnd w:id="1180"/>
      <w:r w:rsidRPr="00AC4AEA">
        <w:t xml:space="preserve"> </w:t>
      </w:r>
    </w:p>
    <w:p w:rsidR="00421257" w:rsidRPr="00AC4AEA" w:rsidRDefault="00421257" w:rsidP="00A318EA">
      <w:pPr>
        <w:pStyle w:val="Ttulo4"/>
      </w:pPr>
      <w:r w:rsidRPr="00AC4AEA">
        <w:t xml:space="preserve">Valor razonable de los activos del plan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deducirá el </w:t>
      </w:r>
      <w:r w:rsidRPr="00AC4AEA">
        <w:rPr>
          <w:rFonts w:ascii="Arial" w:hAnsi="Arial" w:cs="Arial"/>
          <w:b/>
          <w:bCs/>
          <w:sz w:val="20"/>
          <w:szCs w:val="20"/>
        </w:rPr>
        <w:t>valor razonable</w:t>
      </w:r>
      <w:r w:rsidRPr="00AC4AEA">
        <w:rPr>
          <w:rFonts w:ascii="Arial" w:hAnsi="Arial" w:cs="Arial"/>
          <w:sz w:val="20"/>
          <w:szCs w:val="20"/>
        </w:rPr>
        <w:t xml:space="preserve"> de los activos del plan de</w:t>
      </w:r>
      <w:r w:rsidR="001A6D6A" w:rsidRPr="00AC4AEA">
        <w:rPr>
          <w:rFonts w:ascii="Arial" w:hAnsi="Arial" w:cs="Arial"/>
          <w:sz w:val="20"/>
          <w:szCs w:val="20"/>
        </w:rPr>
        <w:t>l valor presente</w:t>
      </w:r>
      <w:r w:rsidR="00183442" w:rsidRPr="00AC4AEA">
        <w:rPr>
          <w:rFonts w:ascii="Arial" w:hAnsi="Arial" w:cs="Arial"/>
          <w:sz w:val="20"/>
          <w:szCs w:val="20"/>
        </w:rPr>
        <w:t xml:space="preserve"> de la obligación por beneficios definidos</w:t>
      </w:r>
      <w:r w:rsidRPr="00AC4AEA">
        <w:rPr>
          <w:rFonts w:ascii="Arial" w:hAnsi="Arial" w:cs="Arial"/>
          <w:sz w:val="20"/>
          <w:szCs w:val="20"/>
        </w:rPr>
        <w:t xml:space="preserve"> para determinar el importe que debe reconocerse en el estado de situación patrimonial.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no incluirá dentro de los activos del plan los siguientes conceptos: </w:t>
      </w:r>
    </w:p>
    <w:p w:rsidR="00421257" w:rsidRPr="00AC4AEA" w:rsidRDefault="00421257" w:rsidP="00C01B25">
      <w:pPr>
        <w:numPr>
          <w:ilvl w:val="0"/>
          <w:numId w:val="682"/>
        </w:numPr>
        <w:spacing w:line="264" w:lineRule="auto"/>
        <w:ind w:hanging="511"/>
        <w:jc w:val="both"/>
        <w:rPr>
          <w:rFonts w:ascii="Arial" w:hAnsi="Arial" w:cs="Arial"/>
          <w:sz w:val="20"/>
          <w:szCs w:val="20"/>
        </w:rPr>
      </w:pPr>
      <w:r w:rsidRPr="00AC4AEA">
        <w:rPr>
          <w:rFonts w:ascii="Arial" w:hAnsi="Arial" w:cs="Arial"/>
          <w:sz w:val="20"/>
          <w:szCs w:val="20"/>
        </w:rPr>
        <w:t>las contribuciones pendientes que la entidad deba al fondo; y</w:t>
      </w:r>
      <w:r w:rsidR="006F2C57">
        <w:rPr>
          <w:rFonts w:ascii="Arial" w:hAnsi="Arial" w:cs="Arial"/>
          <w:sz w:val="20"/>
          <w:szCs w:val="20"/>
        </w:rPr>
        <w:t xml:space="preserve"> </w:t>
      </w:r>
    </w:p>
    <w:p w:rsidR="00421257" w:rsidRPr="00AC4AEA" w:rsidRDefault="00421257" w:rsidP="00C01B25">
      <w:pPr>
        <w:numPr>
          <w:ilvl w:val="0"/>
          <w:numId w:val="682"/>
        </w:numPr>
        <w:spacing w:line="264" w:lineRule="auto"/>
        <w:ind w:hanging="511"/>
        <w:jc w:val="both"/>
        <w:rPr>
          <w:rFonts w:ascii="Arial" w:hAnsi="Arial" w:cs="Arial"/>
          <w:sz w:val="20"/>
          <w:szCs w:val="20"/>
        </w:rPr>
      </w:pPr>
      <w:r w:rsidRPr="00AC4AEA">
        <w:rPr>
          <w:rFonts w:ascii="Arial" w:hAnsi="Arial" w:cs="Arial"/>
          <w:sz w:val="20"/>
          <w:szCs w:val="20"/>
        </w:rPr>
        <w:t xml:space="preserve">los instrumentos financieros intransferibles emitidos por la entidad y poseídos por el fondo.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deducirá de los activos del plan cualquier </w:t>
      </w:r>
      <w:r w:rsidRPr="008826C7">
        <w:rPr>
          <w:rFonts w:ascii="Arial" w:hAnsi="Arial" w:cs="Arial"/>
          <w:b/>
          <w:bCs/>
          <w:sz w:val="20"/>
          <w:szCs w:val="20"/>
        </w:rPr>
        <w:t xml:space="preserve">pasivo </w:t>
      </w:r>
      <w:r w:rsidRPr="00AC4AEA">
        <w:rPr>
          <w:rFonts w:ascii="Arial" w:hAnsi="Arial" w:cs="Arial"/>
          <w:sz w:val="20"/>
          <w:szCs w:val="20"/>
        </w:rPr>
        <w:t xml:space="preserve">del fondo que no tenga relación con los beneficios post-relación laboral de los empleados, como, por ejemplo, las cuentas a pagar </w:t>
      </w:r>
      <w:r w:rsidR="005C668B" w:rsidRPr="00AC4AEA">
        <w:rPr>
          <w:rFonts w:ascii="Arial" w:hAnsi="Arial" w:cs="Arial"/>
          <w:sz w:val="20"/>
          <w:szCs w:val="20"/>
        </w:rPr>
        <w:t>(</w:t>
      </w:r>
      <w:r w:rsidRPr="00AC4AEA">
        <w:rPr>
          <w:rFonts w:ascii="Arial" w:hAnsi="Arial" w:cs="Arial"/>
          <w:sz w:val="20"/>
          <w:szCs w:val="20"/>
        </w:rPr>
        <w:t>sean o no de origen comercial</w:t>
      </w:r>
      <w:r w:rsidR="005C668B" w:rsidRPr="00AC4AEA">
        <w:rPr>
          <w:rFonts w:ascii="Arial" w:hAnsi="Arial" w:cs="Arial"/>
          <w:sz w:val="20"/>
          <w:szCs w:val="20"/>
        </w:rPr>
        <w:t>)</w:t>
      </w:r>
      <w:r w:rsidRPr="00AC4AEA">
        <w:rPr>
          <w:rFonts w:ascii="Arial" w:hAnsi="Arial" w:cs="Arial"/>
          <w:sz w:val="20"/>
          <w:szCs w:val="20"/>
        </w:rPr>
        <w:t xml:space="preserve">, y los pasivos que procedan de instrumentos financieros derivados. </w:t>
      </w:r>
    </w:p>
    <w:p w:rsidR="00421257" w:rsidRPr="00AC4AEA" w:rsidRDefault="00421257" w:rsidP="00C01B25">
      <w:pPr>
        <w:numPr>
          <w:ilvl w:val="0"/>
          <w:numId w:val="670"/>
        </w:numPr>
        <w:spacing w:after="150" w:line="256" w:lineRule="auto"/>
        <w:ind w:left="993" w:hanging="567"/>
        <w:jc w:val="both"/>
        <w:rPr>
          <w:rFonts w:ascii="Arial" w:hAnsi="Arial" w:cs="Arial"/>
          <w:sz w:val="20"/>
          <w:szCs w:val="20"/>
        </w:rPr>
      </w:pPr>
      <w:r w:rsidRPr="00AC4AEA">
        <w:rPr>
          <w:rFonts w:ascii="Arial" w:hAnsi="Arial" w:cs="Arial"/>
          <w:sz w:val="20"/>
          <w:szCs w:val="20"/>
        </w:rPr>
        <w:t xml:space="preserve">Cuando los activos del plan comprendan pólizas de seguro aceptables, cuyos flujos se correspondan exactamente, tanto en los importes como en el calendario de pagos, con algunos o todos los beneficios post-relación laboral pagaderos dentro del plan, una entidad considerará que el </w:t>
      </w:r>
      <w:r w:rsidRPr="00AC4AEA">
        <w:rPr>
          <w:rFonts w:ascii="Arial" w:hAnsi="Arial" w:cs="Arial"/>
          <w:b/>
          <w:bCs/>
          <w:sz w:val="20"/>
          <w:szCs w:val="20"/>
        </w:rPr>
        <w:t xml:space="preserve">valor </w:t>
      </w:r>
      <w:r w:rsidR="007761B9" w:rsidRPr="00AC4AEA">
        <w:rPr>
          <w:rFonts w:ascii="Arial" w:hAnsi="Arial" w:cs="Arial"/>
          <w:b/>
          <w:bCs/>
          <w:sz w:val="20"/>
          <w:szCs w:val="20"/>
        </w:rPr>
        <w:t>razonable</w:t>
      </w:r>
      <w:r w:rsidRPr="00AC4AEA">
        <w:rPr>
          <w:rFonts w:ascii="Arial" w:hAnsi="Arial" w:cs="Arial"/>
          <w:sz w:val="20"/>
          <w:szCs w:val="20"/>
        </w:rPr>
        <w:t xml:space="preserve"> de esas pólizas de seguro es igual al </w:t>
      </w:r>
      <w:r w:rsidRPr="00AC4AEA">
        <w:rPr>
          <w:rFonts w:ascii="Arial" w:hAnsi="Arial" w:cs="Arial"/>
          <w:b/>
          <w:bCs/>
          <w:sz w:val="20"/>
          <w:szCs w:val="20"/>
        </w:rPr>
        <w:t xml:space="preserve">valor </w:t>
      </w:r>
      <w:r w:rsidR="007761B9" w:rsidRPr="00AC4AEA">
        <w:rPr>
          <w:rFonts w:ascii="Arial" w:hAnsi="Arial" w:cs="Arial"/>
          <w:b/>
          <w:bCs/>
          <w:sz w:val="20"/>
          <w:szCs w:val="20"/>
        </w:rPr>
        <w:t>razonable</w:t>
      </w:r>
      <w:r w:rsidRPr="00AC4AEA">
        <w:rPr>
          <w:rFonts w:ascii="Arial" w:hAnsi="Arial" w:cs="Arial"/>
          <w:sz w:val="20"/>
          <w:szCs w:val="20"/>
        </w:rPr>
        <w:t xml:space="preserve"> de las obligaciones de pago conexas, (lo cual estará sujeto a cualquier eventual reducción que se requiera si los importes a recibir en virtud de las pólizas de seguro no son totalmente recuperables).</w:t>
      </w:r>
      <w:r w:rsidR="006F2C57">
        <w:rPr>
          <w:rFonts w:ascii="Arial" w:hAnsi="Arial" w:cs="Arial"/>
          <w:sz w:val="20"/>
          <w:szCs w:val="20"/>
        </w:rPr>
        <w:t xml:space="preserve"> </w:t>
      </w:r>
    </w:p>
    <w:p w:rsidR="00421257" w:rsidRPr="00AC4AEA" w:rsidRDefault="00421257" w:rsidP="00A318EA">
      <w:pPr>
        <w:pStyle w:val="Ttulo4"/>
      </w:pPr>
      <w:r w:rsidRPr="00AC4AEA">
        <w:t xml:space="preserve">Reembolsos </w:t>
      </w:r>
    </w:p>
    <w:p w:rsidR="0036466F" w:rsidRPr="00AC4AEA" w:rsidRDefault="0036466F"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Cuando sea prácticamente cierto que un tercero reembolsará alguno o todos los desembolsos requeridos para liquidar una obligación por beneficios definidos, la entidad:</w:t>
      </w:r>
    </w:p>
    <w:p w:rsidR="0036466F" w:rsidRPr="00AC4AEA" w:rsidRDefault="00580282" w:rsidP="00C01B25">
      <w:pPr>
        <w:numPr>
          <w:ilvl w:val="0"/>
          <w:numId w:val="644"/>
        </w:numPr>
        <w:spacing w:after="147" w:line="264" w:lineRule="auto"/>
        <w:ind w:left="1418" w:hanging="425"/>
        <w:jc w:val="both"/>
        <w:rPr>
          <w:rFonts w:ascii="Arial" w:hAnsi="Arial" w:cs="Arial"/>
          <w:sz w:val="20"/>
          <w:szCs w:val="20"/>
        </w:rPr>
      </w:pPr>
      <w:r w:rsidRPr="00AC4AEA">
        <w:rPr>
          <w:rFonts w:ascii="Arial" w:hAnsi="Arial" w:cs="Arial"/>
          <w:sz w:val="20"/>
          <w:szCs w:val="20"/>
        </w:rPr>
        <w:t>R</w:t>
      </w:r>
      <w:r w:rsidR="0036466F" w:rsidRPr="00AC4AEA">
        <w:rPr>
          <w:rFonts w:ascii="Arial" w:hAnsi="Arial" w:cs="Arial"/>
          <w:sz w:val="20"/>
          <w:szCs w:val="20"/>
        </w:rPr>
        <w:t xml:space="preserve">econocerá su derecho al reembolso como un </w:t>
      </w:r>
      <w:r w:rsidR="0036466F" w:rsidRPr="004E1215">
        <w:rPr>
          <w:rFonts w:ascii="Arial" w:hAnsi="Arial" w:cs="Arial"/>
          <w:b/>
          <w:bCs/>
          <w:sz w:val="20"/>
          <w:szCs w:val="20"/>
        </w:rPr>
        <w:t>activo</w:t>
      </w:r>
      <w:r w:rsidR="0036466F" w:rsidRPr="00AC4AEA">
        <w:rPr>
          <w:rFonts w:ascii="Arial" w:hAnsi="Arial" w:cs="Arial"/>
          <w:sz w:val="20"/>
          <w:szCs w:val="20"/>
        </w:rPr>
        <w:t xml:space="preserve"> separado. La entidad medirá el </w:t>
      </w:r>
      <w:r w:rsidR="0036466F" w:rsidRPr="004E1215">
        <w:rPr>
          <w:rFonts w:ascii="Arial" w:hAnsi="Arial" w:cs="Arial"/>
          <w:b/>
          <w:bCs/>
          <w:sz w:val="20"/>
          <w:szCs w:val="20"/>
        </w:rPr>
        <w:t xml:space="preserve">activo </w:t>
      </w:r>
      <w:r w:rsidR="0036466F" w:rsidRPr="00AC4AEA">
        <w:rPr>
          <w:rFonts w:ascii="Arial" w:hAnsi="Arial" w:cs="Arial"/>
          <w:sz w:val="20"/>
          <w:szCs w:val="20"/>
        </w:rPr>
        <w:t xml:space="preserve">a su </w:t>
      </w:r>
      <w:r w:rsidR="0036466F" w:rsidRPr="00AC4AEA">
        <w:rPr>
          <w:rFonts w:ascii="Arial" w:hAnsi="Arial" w:cs="Arial"/>
          <w:b/>
          <w:bCs/>
          <w:sz w:val="20"/>
          <w:szCs w:val="20"/>
        </w:rPr>
        <w:t>valor razonable</w:t>
      </w:r>
      <w:r w:rsidR="0036466F" w:rsidRPr="00AC4AEA">
        <w:rPr>
          <w:rFonts w:ascii="Arial" w:hAnsi="Arial" w:cs="Arial"/>
          <w:sz w:val="20"/>
          <w:szCs w:val="20"/>
        </w:rPr>
        <w:t>.</w:t>
      </w:r>
    </w:p>
    <w:p w:rsidR="0036466F" w:rsidRPr="00AC4AEA" w:rsidRDefault="00580282" w:rsidP="00C01B25">
      <w:pPr>
        <w:numPr>
          <w:ilvl w:val="0"/>
          <w:numId w:val="644"/>
        </w:numPr>
        <w:spacing w:after="147" w:line="264" w:lineRule="auto"/>
        <w:ind w:left="1418" w:hanging="425"/>
        <w:jc w:val="both"/>
        <w:rPr>
          <w:rFonts w:ascii="Arial" w:hAnsi="Arial" w:cs="Arial"/>
          <w:sz w:val="20"/>
          <w:szCs w:val="20"/>
        </w:rPr>
      </w:pPr>
      <w:r w:rsidRPr="00AC4AEA">
        <w:rPr>
          <w:rFonts w:ascii="Arial" w:hAnsi="Arial" w:cs="Arial"/>
          <w:sz w:val="20"/>
          <w:szCs w:val="20"/>
        </w:rPr>
        <w:t>D</w:t>
      </w:r>
      <w:r w:rsidR="0036466F" w:rsidRPr="00AC4AEA">
        <w:rPr>
          <w:rFonts w:ascii="Arial" w:hAnsi="Arial" w:cs="Arial"/>
          <w:sz w:val="20"/>
          <w:szCs w:val="20"/>
        </w:rPr>
        <w:t xml:space="preserve">esagregará y reconocerá los cambios en el </w:t>
      </w:r>
      <w:r w:rsidR="0036466F" w:rsidRPr="00AC4AEA">
        <w:rPr>
          <w:rFonts w:ascii="Arial" w:hAnsi="Arial" w:cs="Arial"/>
          <w:b/>
          <w:bCs/>
          <w:sz w:val="20"/>
          <w:szCs w:val="20"/>
        </w:rPr>
        <w:t>valor razonable</w:t>
      </w:r>
      <w:r w:rsidR="0036466F" w:rsidRPr="00AC4AEA">
        <w:rPr>
          <w:rFonts w:ascii="Arial" w:hAnsi="Arial" w:cs="Arial"/>
          <w:sz w:val="20"/>
          <w:szCs w:val="20"/>
        </w:rPr>
        <w:t xml:space="preserve"> de su derecho al reembolso de la misma forma que los cambios en el </w:t>
      </w:r>
      <w:r w:rsidR="0036466F" w:rsidRPr="00AC4AEA">
        <w:rPr>
          <w:rFonts w:ascii="Arial" w:hAnsi="Arial" w:cs="Arial"/>
          <w:b/>
          <w:bCs/>
          <w:sz w:val="20"/>
          <w:szCs w:val="20"/>
        </w:rPr>
        <w:t>valor razonable</w:t>
      </w:r>
      <w:r w:rsidR="0036466F" w:rsidRPr="00AC4AEA">
        <w:rPr>
          <w:rFonts w:ascii="Arial" w:hAnsi="Arial" w:cs="Arial"/>
          <w:sz w:val="20"/>
          <w:szCs w:val="20"/>
        </w:rPr>
        <w:t xml:space="preserve"> de los activos del plan. Los componentes del costo de los beneficios definidos podrán reconocerse netos de los importes relativos a cambios en el importe en libros del derecho al reembolso.</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lastRenderedPageBreak/>
        <w:t>Una entidad</w:t>
      </w:r>
      <w:r w:rsidR="00DC1F8E" w:rsidRPr="00AC4AEA">
        <w:rPr>
          <w:rFonts w:ascii="Arial" w:hAnsi="Arial" w:cs="Arial"/>
          <w:sz w:val="20"/>
          <w:szCs w:val="20"/>
        </w:rPr>
        <w:t xml:space="preserve"> puede acordar con un tercero, como por ejemplo un asegurador, el pago de una parte o de la totalidad del desembolso exigido para cancelar una obligación por beneficios definidos.</w:t>
      </w:r>
      <w:r w:rsidR="00E81A21" w:rsidRPr="00AC4AEA">
        <w:rPr>
          <w:rFonts w:ascii="Arial" w:hAnsi="Arial" w:cs="Arial"/>
          <w:sz w:val="20"/>
          <w:szCs w:val="20"/>
        </w:rPr>
        <w:t xml:space="preserve"> Las pólizas de seguro aceptables son activos del plan.</w:t>
      </w:r>
    </w:p>
    <w:p w:rsidR="00421257" w:rsidRPr="00AC4AEA" w:rsidRDefault="00D06EAA" w:rsidP="00C01B25">
      <w:pPr>
        <w:pStyle w:val="Prrafodelista"/>
        <w:numPr>
          <w:ilvl w:val="0"/>
          <w:numId w:val="670"/>
        </w:numPr>
        <w:spacing w:line="264" w:lineRule="auto"/>
        <w:ind w:left="993" w:hanging="567"/>
        <w:jc w:val="both"/>
        <w:rPr>
          <w:rFonts w:ascii="Arial" w:hAnsi="Arial" w:cs="Arial"/>
          <w:sz w:val="20"/>
          <w:szCs w:val="20"/>
        </w:rPr>
      </w:pPr>
      <w:r w:rsidRPr="00AC4AEA">
        <w:rPr>
          <w:rFonts w:ascii="Arial" w:hAnsi="Arial" w:cs="Arial"/>
          <w:sz w:val="20"/>
          <w:szCs w:val="20"/>
        </w:rPr>
        <w:t xml:space="preserve">Una entidad </w:t>
      </w:r>
      <w:r w:rsidR="00421257" w:rsidRPr="00AC4AEA">
        <w:rPr>
          <w:rFonts w:ascii="Arial" w:hAnsi="Arial" w:cs="Arial"/>
          <w:sz w:val="20"/>
          <w:szCs w:val="20"/>
        </w:rPr>
        <w:t xml:space="preserve">contabilizará </w:t>
      </w:r>
      <w:r w:rsidRPr="00AC4AEA">
        <w:rPr>
          <w:rFonts w:ascii="Arial" w:hAnsi="Arial" w:cs="Arial"/>
          <w:sz w:val="20"/>
          <w:szCs w:val="20"/>
        </w:rPr>
        <w:t>las</w:t>
      </w:r>
      <w:r w:rsidR="00421257" w:rsidRPr="00AC4AEA">
        <w:rPr>
          <w:rFonts w:ascii="Arial" w:hAnsi="Arial" w:cs="Arial"/>
          <w:sz w:val="20"/>
          <w:szCs w:val="20"/>
        </w:rPr>
        <w:t xml:space="preserve"> pólizas de seguro aceptables </w:t>
      </w:r>
      <w:r w:rsidRPr="00AC4AEA">
        <w:rPr>
          <w:rFonts w:ascii="Arial" w:hAnsi="Arial" w:cs="Arial"/>
          <w:sz w:val="20"/>
          <w:szCs w:val="20"/>
        </w:rPr>
        <w:t xml:space="preserve">indicadas en el párrafo anterior </w:t>
      </w:r>
      <w:r w:rsidR="00421257" w:rsidRPr="00AC4AEA">
        <w:rPr>
          <w:rFonts w:ascii="Arial" w:hAnsi="Arial" w:cs="Arial"/>
          <w:sz w:val="20"/>
          <w:szCs w:val="20"/>
        </w:rPr>
        <w:t>de la misma forma que todos los demás activos del plan; y</w:t>
      </w:r>
      <w:r w:rsidR="00F87036" w:rsidRPr="00AC4AEA">
        <w:rPr>
          <w:rFonts w:ascii="Arial" w:hAnsi="Arial" w:cs="Arial"/>
          <w:sz w:val="20"/>
          <w:szCs w:val="20"/>
        </w:rPr>
        <w:t xml:space="preserve"> no aplicará el párrafo siguiente si no es relevante.</w:t>
      </w:r>
      <w:r w:rsidR="006F2C57">
        <w:rPr>
          <w:rFonts w:ascii="Arial" w:hAnsi="Arial"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Cuando una póliza de seguro no cumple las condiciones para ser aceptable, una entidad no la presentará como un </w:t>
      </w:r>
      <w:r w:rsidRPr="004E1215">
        <w:rPr>
          <w:rFonts w:ascii="Arial" w:hAnsi="Arial" w:cs="Arial"/>
          <w:b/>
          <w:bCs/>
          <w:sz w:val="20"/>
          <w:szCs w:val="20"/>
        </w:rPr>
        <w:t xml:space="preserve">activo </w:t>
      </w:r>
      <w:r w:rsidRPr="00AC4AEA">
        <w:rPr>
          <w:rFonts w:ascii="Arial" w:hAnsi="Arial" w:cs="Arial"/>
          <w:sz w:val="20"/>
          <w:szCs w:val="20"/>
        </w:rPr>
        <w:t>del plan. Si, y solo si, existe virtual certidumbre que un tercero reembolsará alguno o todos los desembolsos exigidos para cancelar una obligación por beneficios definidos, una entidad:</w:t>
      </w:r>
      <w:r w:rsidR="006F2C57">
        <w:rPr>
          <w:rFonts w:ascii="Arial" w:hAnsi="Arial" w:cs="Arial"/>
          <w:sz w:val="20"/>
          <w:szCs w:val="20"/>
        </w:rPr>
        <w:t xml:space="preserve"> </w:t>
      </w:r>
    </w:p>
    <w:p w:rsidR="00421257" w:rsidRPr="00AC4AEA" w:rsidRDefault="00421257" w:rsidP="00C01B25">
      <w:pPr>
        <w:numPr>
          <w:ilvl w:val="0"/>
          <w:numId w:val="683"/>
        </w:numPr>
        <w:spacing w:line="264" w:lineRule="auto"/>
        <w:ind w:hanging="511"/>
        <w:jc w:val="both"/>
        <w:rPr>
          <w:rFonts w:ascii="Arial" w:hAnsi="Arial" w:cs="Arial"/>
          <w:sz w:val="20"/>
          <w:szCs w:val="20"/>
        </w:rPr>
      </w:pPr>
      <w:r w:rsidRPr="00AC4AEA">
        <w:rPr>
          <w:rFonts w:ascii="Arial" w:hAnsi="Arial" w:cs="Arial"/>
          <w:sz w:val="20"/>
          <w:szCs w:val="20"/>
        </w:rPr>
        <w:t xml:space="preserve">reconocerá su derecho al reembolso como un </w:t>
      </w:r>
      <w:r w:rsidRPr="004E1215">
        <w:rPr>
          <w:rFonts w:ascii="Arial" w:hAnsi="Arial" w:cs="Arial"/>
          <w:b/>
          <w:bCs/>
          <w:sz w:val="20"/>
          <w:szCs w:val="20"/>
        </w:rPr>
        <w:t>activo</w:t>
      </w:r>
      <w:r w:rsidRPr="00AC4AEA">
        <w:rPr>
          <w:rFonts w:ascii="Arial" w:hAnsi="Arial" w:cs="Arial"/>
          <w:sz w:val="20"/>
          <w:szCs w:val="20"/>
        </w:rPr>
        <w:t xml:space="preserve"> separado;</w:t>
      </w:r>
      <w:r w:rsidR="006F2C57">
        <w:rPr>
          <w:rFonts w:ascii="Arial" w:hAnsi="Arial" w:cs="Arial"/>
          <w:sz w:val="20"/>
          <w:szCs w:val="20"/>
        </w:rPr>
        <w:t xml:space="preserve"> </w:t>
      </w:r>
    </w:p>
    <w:p w:rsidR="00421257" w:rsidRPr="00AC4AEA" w:rsidRDefault="00421257" w:rsidP="00C01B25">
      <w:pPr>
        <w:numPr>
          <w:ilvl w:val="0"/>
          <w:numId w:val="683"/>
        </w:numPr>
        <w:spacing w:line="264" w:lineRule="auto"/>
        <w:ind w:hanging="511"/>
        <w:jc w:val="both"/>
        <w:rPr>
          <w:rFonts w:ascii="Arial" w:hAnsi="Arial" w:cs="Arial"/>
          <w:sz w:val="20"/>
          <w:szCs w:val="20"/>
        </w:rPr>
      </w:pPr>
      <w:r w:rsidRPr="00AC4AEA">
        <w:rPr>
          <w:rFonts w:ascii="Arial" w:hAnsi="Arial" w:cs="Arial"/>
          <w:sz w:val="20"/>
          <w:szCs w:val="20"/>
        </w:rPr>
        <w:t xml:space="preserve">medirá tal </w:t>
      </w:r>
      <w:r w:rsidR="004E1215" w:rsidRPr="004E1215">
        <w:rPr>
          <w:rFonts w:ascii="Arial" w:hAnsi="Arial" w:cs="Arial"/>
          <w:b/>
          <w:bCs/>
          <w:sz w:val="20"/>
          <w:szCs w:val="20"/>
        </w:rPr>
        <w:t xml:space="preserve">activo </w:t>
      </w:r>
      <w:r w:rsidRPr="00AC4AEA">
        <w:rPr>
          <w:rFonts w:ascii="Arial" w:hAnsi="Arial" w:cs="Arial"/>
          <w:sz w:val="20"/>
          <w:szCs w:val="20"/>
        </w:rPr>
        <w:t xml:space="preserve">a su </w:t>
      </w:r>
      <w:r w:rsidRPr="00AC4AEA">
        <w:rPr>
          <w:rFonts w:ascii="Arial" w:hAnsi="Arial" w:cs="Arial"/>
          <w:b/>
          <w:bCs/>
          <w:sz w:val="20"/>
          <w:szCs w:val="20"/>
        </w:rPr>
        <w:t>valor razonable</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0"/>
          <w:numId w:val="683"/>
        </w:numPr>
        <w:spacing w:line="264" w:lineRule="auto"/>
        <w:ind w:hanging="511"/>
        <w:jc w:val="both"/>
        <w:rPr>
          <w:rFonts w:ascii="Arial" w:hAnsi="Arial" w:cs="Arial"/>
          <w:sz w:val="20"/>
          <w:szCs w:val="20"/>
        </w:rPr>
      </w:pPr>
      <w:r w:rsidRPr="00AC4AEA">
        <w:rPr>
          <w:rFonts w:ascii="Arial" w:hAnsi="Arial" w:cs="Arial"/>
          <w:sz w:val="20"/>
          <w:szCs w:val="20"/>
        </w:rPr>
        <w:t xml:space="preserve">en todo lo demás, tratará tal </w:t>
      </w:r>
      <w:r w:rsidR="004E1215" w:rsidRPr="004E1215">
        <w:rPr>
          <w:rFonts w:ascii="Arial" w:hAnsi="Arial" w:cs="Arial"/>
          <w:b/>
          <w:bCs/>
          <w:sz w:val="20"/>
          <w:szCs w:val="20"/>
        </w:rPr>
        <w:t xml:space="preserve">activo </w:t>
      </w:r>
      <w:r w:rsidRPr="00AC4AEA">
        <w:rPr>
          <w:rFonts w:ascii="Arial" w:hAnsi="Arial" w:cs="Arial"/>
          <w:sz w:val="20"/>
          <w:szCs w:val="20"/>
        </w:rPr>
        <w:t xml:space="preserve">de la misma manera que al resto de los activos del plan; y </w:t>
      </w:r>
    </w:p>
    <w:p w:rsidR="00421257" w:rsidRPr="00AC4AEA" w:rsidRDefault="00421257" w:rsidP="00C01B25">
      <w:pPr>
        <w:numPr>
          <w:ilvl w:val="0"/>
          <w:numId w:val="683"/>
        </w:numPr>
        <w:spacing w:line="264" w:lineRule="auto"/>
        <w:ind w:hanging="511"/>
        <w:jc w:val="both"/>
        <w:rPr>
          <w:rFonts w:ascii="Arial" w:hAnsi="Arial" w:cs="Arial"/>
          <w:sz w:val="20"/>
          <w:szCs w:val="20"/>
        </w:rPr>
      </w:pPr>
      <w:r w:rsidRPr="00AC4AEA">
        <w:rPr>
          <w:rFonts w:ascii="Arial" w:hAnsi="Arial" w:cs="Arial"/>
          <w:sz w:val="20"/>
          <w:szCs w:val="20"/>
        </w:rPr>
        <w:t xml:space="preserve">en el estado de resultados, podrá presentar el </w:t>
      </w:r>
      <w:r w:rsidRPr="002A73C3">
        <w:rPr>
          <w:rFonts w:ascii="Arial" w:hAnsi="Arial" w:cs="Arial"/>
          <w:b/>
          <w:bCs/>
          <w:sz w:val="20"/>
          <w:szCs w:val="20"/>
        </w:rPr>
        <w:t xml:space="preserve">gasto </w:t>
      </w:r>
      <w:r w:rsidRPr="00AC4AEA">
        <w:rPr>
          <w:rFonts w:ascii="Arial" w:hAnsi="Arial" w:cs="Arial"/>
          <w:sz w:val="20"/>
          <w:szCs w:val="20"/>
        </w:rPr>
        <w:t xml:space="preserve">relacionado con el plan de beneficios definidos neto de la cuantía reconocida como reembolsable. </w:t>
      </w:r>
    </w:p>
    <w:p w:rsidR="00321216" w:rsidRPr="00AC4AEA" w:rsidRDefault="00321216" w:rsidP="00321216">
      <w:pPr>
        <w:pStyle w:val="Ttulo4"/>
      </w:pPr>
      <w:r w:rsidRPr="00AC4AEA">
        <w:t>R</w:t>
      </w:r>
      <w:r w:rsidR="00FB59D5" w:rsidRPr="00AC4AEA">
        <w:t>endimientos de los activos del plan</w:t>
      </w:r>
      <w:r w:rsidRPr="00AC4AEA">
        <w:t xml:space="preserve"> </w:t>
      </w:r>
    </w:p>
    <w:p w:rsidR="00321216" w:rsidRPr="00AC4AEA" w:rsidRDefault="00321216" w:rsidP="00C01B25">
      <w:pPr>
        <w:pStyle w:val="Prrafodelista"/>
        <w:numPr>
          <w:ilvl w:val="0"/>
          <w:numId w:val="670"/>
        </w:numPr>
        <w:spacing w:line="264" w:lineRule="auto"/>
        <w:ind w:left="993" w:hanging="567"/>
        <w:jc w:val="both"/>
        <w:rPr>
          <w:rFonts w:ascii="Arial" w:hAnsi="Arial" w:cs="Arial"/>
          <w:sz w:val="20"/>
          <w:szCs w:val="20"/>
        </w:rPr>
      </w:pPr>
      <w:r w:rsidRPr="00AC4AEA">
        <w:rPr>
          <w:rFonts w:ascii="Arial" w:hAnsi="Arial" w:cs="Arial"/>
          <w:sz w:val="20"/>
          <w:szCs w:val="20"/>
        </w:rPr>
        <w:t>Al determinar el rendimiento de los activos del plan, una entidad deducirá los costos de gestión de los activos del plan y cualquier impuesto por pagar por el plan en sí mismo, distinto de los impuestos incluidos en los supuestos actuariales utilizados para medir la obligación por beneficios definidos. Otros costos de administración no se deducirán del rendimiento de los activos del plan.</w:t>
      </w:r>
    </w:p>
    <w:p w:rsidR="00321216" w:rsidRPr="00AC4AEA" w:rsidRDefault="00321216" w:rsidP="00C01B25">
      <w:pPr>
        <w:pStyle w:val="Prrafodelista"/>
        <w:numPr>
          <w:ilvl w:val="0"/>
          <w:numId w:val="670"/>
        </w:numPr>
        <w:spacing w:line="264" w:lineRule="auto"/>
        <w:ind w:left="993" w:hanging="567"/>
        <w:jc w:val="both"/>
        <w:rPr>
          <w:rFonts w:ascii="Arial" w:hAnsi="Arial" w:cs="Arial"/>
          <w:sz w:val="20"/>
          <w:szCs w:val="20"/>
        </w:rPr>
      </w:pPr>
      <w:r w:rsidRPr="00AC4AEA">
        <w:rPr>
          <w:rFonts w:ascii="Arial" w:hAnsi="Arial" w:cs="Arial"/>
          <w:sz w:val="20"/>
          <w:szCs w:val="20"/>
        </w:rPr>
        <w:t xml:space="preserve">Una entidad reconocerá los rendimientos de los activos del plan a los que se refiere el párrafo anterior en </w:t>
      </w:r>
      <w:r w:rsidRPr="00AC4AEA">
        <w:rPr>
          <w:rFonts w:ascii="Arial" w:hAnsi="Arial" w:cs="Arial"/>
          <w:b/>
          <w:bCs/>
          <w:sz w:val="20"/>
          <w:szCs w:val="20"/>
        </w:rPr>
        <w:t>resultados diferidos</w:t>
      </w:r>
      <w:r w:rsidRPr="00AC4AEA">
        <w:rPr>
          <w:rFonts w:ascii="Arial" w:hAnsi="Arial" w:cs="Arial"/>
          <w:sz w:val="20"/>
          <w:szCs w:val="20"/>
        </w:rPr>
        <w:t>.</w:t>
      </w:r>
      <w:r w:rsidR="00A8100F" w:rsidRPr="00AC4AEA">
        <w:rPr>
          <w:rFonts w:ascii="Arial" w:hAnsi="Arial" w:cs="Arial"/>
          <w:sz w:val="20"/>
          <w:szCs w:val="20"/>
        </w:rPr>
        <w:t xml:space="preserve"> </w:t>
      </w:r>
      <w:r w:rsidR="00D00C94" w:rsidRPr="00AC4AEA">
        <w:rPr>
          <w:rFonts w:ascii="Arial" w:hAnsi="Arial" w:cs="Arial"/>
          <w:sz w:val="20"/>
          <w:szCs w:val="20"/>
        </w:rPr>
        <w:t>Una</w:t>
      </w:r>
      <w:r w:rsidR="00A8100F" w:rsidRPr="00AC4AEA">
        <w:rPr>
          <w:rFonts w:ascii="Arial" w:hAnsi="Arial" w:cs="Arial"/>
          <w:sz w:val="20"/>
          <w:szCs w:val="20"/>
        </w:rPr>
        <w:t xml:space="preserve"> entidad no reclasificará a resultado</w:t>
      </w:r>
      <w:r w:rsidR="00D00C94" w:rsidRPr="00AC4AEA">
        <w:rPr>
          <w:rFonts w:ascii="Arial" w:hAnsi="Arial" w:cs="Arial"/>
          <w:sz w:val="20"/>
          <w:szCs w:val="20"/>
        </w:rPr>
        <w:t>s</w:t>
      </w:r>
      <w:r w:rsidR="00A8100F" w:rsidRPr="00AC4AEA">
        <w:rPr>
          <w:rFonts w:ascii="Arial" w:hAnsi="Arial" w:cs="Arial"/>
          <w:sz w:val="20"/>
          <w:szCs w:val="20"/>
        </w:rPr>
        <w:t xml:space="preserve"> los saldos</w:t>
      </w:r>
      <w:r w:rsidR="00D00C94" w:rsidRPr="00AC4AEA">
        <w:rPr>
          <w:rFonts w:ascii="Arial" w:hAnsi="Arial" w:cs="Arial"/>
          <w:sz w:val="20"/>
          <w:szCs w:val="20"/>
        </w:rPr>
        <w:t xml:space="preserve"> acumulados por los</w:t>
      </w:r>
      <w:r w:rsidR="00A8100F" w:rsidRPr="00AC4AEA">
        <w:rPr>
          <w:rFonts w:ascii="Arial" w:hAnsi="Arial" w:cs="Arial"/>
          <w:sz w:val="20"/>
          <w:szCs w:val="20"/>
        </w:rPr>
        <w:t xml:space="preserve"> </w:t>
      </w:r>
      <w:r w:rsidR="00122BF1" w:rsidRPr="00AC4AEA">
        <w:rPr>
          <w:rFonts w:ascii="Arial" w:hAnsi="Arial" w:cs="Arial"/>
          <w:b/>
          <w:bCs/>
          <w:sz w:val="20"/>
          <w:szCs w:val="20"/>
        </w:rPr>
        <w:t>resultados diferidos</w:t>
      </w:r>
      <w:r w:rsidR="00A8100F" w:rsidRPr="00AC4AEA">
        <w:rPr>
          <w:rFonts w:ascii="Arial" w:hAnsi="Arial" w:cs="Arial"/>
          <w:sz w:val="20"/>
          <w:szCs w:val="20"/>
        </w:rPr>
        <w:t xml:space="preserve"> </w:t>
      </w:r>
      <w:r w:rsidR="00122BF1" w:rsidRPr="00AC4AEA">
        <w:rPr>
          <w:rFonts w:ascii="Arial" w:hAnsi="Arial" w:cs="Arial"/>
          <w:sz w:val="20"/>
          <w:szCs w:val="20"/>
        </w:rPr>
        <w:t>a los que se refiere este párrafo</w:t>
      </w:r>
      <w:r w:rsidR="00A8100F" w:rsidRPr="00AC4AEA">
        <w:rPr>
          <w:rFonts w:ascii="Arial" w:hAnsi="Arial" w:cs="Arial"/>
          <w:sz w:val="20"/>
          <w:szCs w:val="20"/>
        </w:rPr>
        <w:t>.</w:t>
      </w:r>
    </w:p>
    <w:p w:rsidR="00421257" w:rsidRPr="00AC4AEA" w:rsidRDefault="00421257" w:rsidP="005C1F59">
      <w:pPr>
        <w:spacing w:after="150" w:line="256" w:lineRule="auto"/>
        <w:ind w:left="802"/>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81" w:name="_Toc139357027"/>
      <w:r w:rsidRPr="00AC4AEA">
        <w:t>Reducciones y terminaciones de planes de servicios definidos</w:t>
      </w:r>
      <w:bookmarkEnd w:id="1181"/>
      <w:r w:rsidRPr="00AC4AEA">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Cuando tengan lugar reducciones o terminaciones en un plan de beneficios definidos, una entidad reconocerá las pérdidas o ganancias correspondientes, que comprenden lo siguiente: </w:t>
      </w:r>
    </w:p>
    <w:p w:rsidR="00421257" w:rsidRPr="00AC4AEA" w:rsidRDefault="00421257" w:rsidP="00C01B25">
      <w:pPr>
        <w:numPr>
          <w:ilvl w:val="0"/>
          <w:numId w:val="684"/>
        </w:numPr>
        <w:spacing w:line="264" w:lineRule="auto"/>
        <w:ind w:hanging="511"/>
        <w:jc w:val="both"/>
        <w:rPr>
          <w:rFonts w:ascii="Arial" w:hAnsi="Arial" w:cs="Arial"/>
          <w:sz w:val="20"/>
          <w:szCs w:val="20"/>
        </w:rPr>
      </w:pPr>
      <w:r w:rsidRPr="00AC4AEA">
        <w:rPr>
          <w:rFonts w:ascii="Arial" w:hAnsi="Arial" w:cs="Arial"/>
          <w:sz w:val="20"/>
          <w:szCs w:val="20"/>
        </w:rPr>
        <w:t xml:space="preserve">cualquier cambio que pudiera resultar en el valor presente de las obligaciones por beneficios definidos contraídos por la entidad; y </w:t>
      </w:r>
    </w:p>
    <w:p w:rsidR="00421257" w:rsidRPr="00AC4AEA" w:rsidRDefault="00421257" w:rsidP="00C01B25">
      <w:pPr>
        <w:numPr>
          <w:ilvl w:val="0"/>
          <w:numId w:val="684"/>
        </w:numPr>
        <w:spacing w:line="264" w:lineRule="auto"/>
        <w:ind w:hanging="511"/>
        <w:jc w:val="both"/>
        <w:rPr>
          <w:rFonts w:ascii="Arial" w:hAnsi="Arial" w:cs="Arial"/>
          <w:sz w:val="20"/>
          <w:szCs w:val="20"/>
        </w:rPr>
      </w:pPr>
      <w:r w:rsidRPr="00AC4AEA">
        <w:rPr>
          <w:rFonts w:ascii="Arial" w:hAnsi="Arial" w:cs="Arial"/>
          <w:sz w:val="20"/>
          <w:szCs w:val="20"/>
        </w:rPr>
        <w:t xml:space="preserve">cualquier variación en el </w:t>
      </w:r>
      <w:r w:rsidRPr="00AC4AEA">
        <w:rPr>
          <w:rFonts w:ascii="Arial" w:hAnsi="Arial" w:cs="Arial"/>
          <w:b/>
          <w:bCs/>
          <w:sz w:val="20"/>
          <w:szCs w:val="20"/>
        </w:rPr>
        <w:t>valor razonable</w:t>
      </w:r>
      <w:r w:rsidRPr="00AC4AEA">
        <w:rPr>
          <w:rFonts w:ascii="Arial" w:hAnsi="Arial" w:cs="Arial"/>
          <w:sz w:val="20"/>
          <w:szCs w:val="20"/>
        </w:rPr>
        <w:t xml:space="preserve"> de los activos del plan.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Antes de proceder a la determinación del efecto de la reducción o de la terminación en cuestión, una entidad volverá a estimar el importe de la obligación contraída (así como el valor de los activos del plan, si existiesen) utilizando supuestos actuariales actualizados (incluyendo las tasas de interés vigentes y otros precios de mercado vigentes).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reducción tiene lugar cuando la entidad: </w:t>
      </w:r>
    </w:p>
    <w:p w:rsidR="00421257" w:rsidRPr="00AC4AEA" w:rsidRDefault="00421257" w:rsidP="00C01B25">
      <w:pPr>
        <w:numPr>
          <w:ilvl w:val="0"/>
          <w:numId w:val="685"/>
        </w:numPr>
        <w:spacing w:line="264" w:lineRule="auto"/>
        <w:ind w:hanging="511"/>
        <w:jc w:val="both"/>
        <w:rPr>
          <w:rFonts w:ascii="Arial" w:hAnsi="Arial" w:cs="Arial"/>
          <w:sz w:val="20"/>
          <w:szCs w:val="20"/>
        </w:rPr>
      </w:pPr>
      <w:r w:rsidRPr="00AC4AEA">
        <w:rPr>
          <w:rFonts w:ascii="Arial" w:hAnsi="Arial" w:cs="Arial"/>
          <w:sz w:val="20"/>
          <w:szCs w:val="20"/>
        </w:rPr>
        <w:lastRenderedPageBreak/>
        <w:t xml:space="preserve">se ha comprometido incuestionablemente a realizar una reducción significativa en el número de empleados cubiertos por el plan; o </w:t>
      </w:r>
    </w:p>
    <w:p w:rsidR="00421257" w:rsidRPr="00AC4AEA" w:rsidRDefault="00421257" w:rsidP="00C01B25">
      <w:pPr>
        <w:numPr>
          <w:ilvl w:val="0"/>
          <w:numId w:val="685"/>
        </w:numPr>
        <w:spacing w:line="264" w:lineRule="auto"/>
        <w:ind w:hanging="511"/>
        <w:jc w:val="both"/>
        <w:rPr>
          <w:rFonts w:ascii="Arial" w:hAnsi="Arial" w:cs="Arial"/>
          <w:sz w:val="20"/>
          <w:szCs w:val="20"/>
        </w:rPr>
      </w:pPr>
      <w:r w:rsidRPr="00AC4AEA">
        <w:rPr>
          <w:rFonts w:ascii="Arial" w:hAnsi="Arial" w:cs="Arial"/>
          <w:sz w:val="20"/>
          <w:szCs w:val="20"/>
        </w:rPr>
        <w:t xml:space="preserve">ajusta los términos del plan de beneficios definidos de forma tal que un componente significativo de los servicios futuros a prestar por los empleados actuales no va a ser tenido en cuenta para el cómputo de los beneficios en su momento, o bien será tenido en cuenta dando lugar a beneficios menores que los actuales.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La reducción puede producirse como consecuencia de un suceso aislado, como por ejemplo el cierre de una fábrica, la interrupción de una actividad productiva o la terminación o suspensión de un plan de beneficios.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 acontecimiento es lo suficientemente significativo para ser considerado como una reducción, si el reconocimiento de las pérdidas y ganancias resultantes de tal reducción son significativos para los </w:t>
      </w:r>
      <w:r w:rsidRPr="00AC4AEA">
        <w:rPr>
          <w:rFonts w:ascii="Arial" w:hAnsi="Arial" w:cs="Arial"/>
          <w:b/>
          <w:bCs/>
          <w:sz w:val="20"/>
          <w:szCs w:val="20"/>
        </w:rPr>
        <w:t>estados contables</w:t>
      </w:r>
      <w:r w:rsidRPr="00AC4AEA">
        <w:rPr>
          <w:rFonts w:ascii="Arial" w:hAnsi="Arial" w:cs="Arial"/>
          <w:sz w:val="20"/>
          <w:szCs w:val="20"/>
        </w:rPr>
        <w:t xml:space="preserve"> de la entidad. Con frecuencia las reducciones están relacionadas con una reestructuración, por lo cual la entidad tendrá que contabilizarlos al mismo tiempo que procede a registrarla.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La terminación del plan ocurre cuanto la entidad lleva a cabo una operación o transacción que tiene por efecto eliminar la obligación legal o implícita de satisfacer la totalidad o una parte de los beneficios otorgados por un plan de beneficios definidos.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En algunos casos, una entidad adquiere una póliza de seguro para financiar una parte o la totalidad de los beneficios de los empleados relacionados con servicios presentes o anteriores. La adquisición de tal póliza no es una terminación del plan si la entidad conserva la obligación, ya sea legal o implícita, de pagar cuando el asegurador no llegue a fondear los beneficios.</w:t>
      </w:r>
      <w:r w:rsidR="006F2C57">
        <w:rPr>
          <w:rFonts w:ascii="Arial" w:hAnsi="Arial" w:cs="Arial"/>
          <w:sz w:val="20"/>
          <w:szCs w:val="20"/>
        </w:rPr>
        <w:t xml:space="preserve"> </w:t>
      </w:r>
    </w:p>
    <w:p w:rsidR="00AA6C99" w:rsidRPr="00AC4AEA" w:rsidRDefault="00AA6C99" w:rsidP="00AA6C99">
      <w:pPr>
        <w:spacing w:after="147" w:line="264" w:lineRule="auto"/>
        <w:ind w:left="937"/>
        <w:jc w:val="both"/>
        <w:rPr>
          <w:rFonts w:ascii="Arial" w:hAnsi="Arial" w:cs="Arial"/>
          <w:sz w:val="20"/>
          <w:szCs w:val="20"/>
        </w:rPr>
      </w:pPr>
    </w:p>
    <w:p w:rsidR="00421257" w:rsidRPr="00AC4AEA" w:rsidRDefault="00421257" w:rsidP="00A318EA">
      <w:pPr>
        <w:pStyle w:val="Ttulo3"/>
      </w:pPr>
      <w:bookmarkStart w:id="1182" w:name="_Toc139357028"/>
      <w:r w:rsidRPr="00AC4AEA">
        <w:t>Revelación en notas</w:t>
      </w:r>
      <w:bookmarkEnd w:id="1182"/>
      <w:r w:rsidRPr="00AC4AEA">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bookmarkStart w:id="1183" w:name="_Ref135686404"/>
      <w:r w:rsidRPr="00AC4AEA">
        <w:rPr>
          <w:rFonts w:ascii="Arial" w:hAnsi="Arial" w:cs="Arial"/>
          <w:sz w:val="20"/>
          <w:szCs w:val="20"/>
        </w:rPr>
        <w:t>En relación con los planes de beneficios definidos, una entidad revelará la siguiente información en nota</w:t>
      </w:r>
      <w:r w:rsidR="00E47FB3" w:rsidRPr="00AC4AEA">
        <w:rPr>
          <w:rFonts w:ascii="Arial" w:hAnsi="Arial" w:cs="Arial"/>
          <w:sz w:val="20"/>
          <w:szCs w:val="20"/>
        </w:rPr>
        <w:t>s</w:t>
      </w:r>
      <w:r w:rsidRPr="00AC4AEA">
        <w:rPr>
          <w:rFonts w:ascii="Arial" w:hAnsi="Arial" w:cs="Arial"/>
          <w:sz w:val="20"/>
          <w:szCs w:val="20"/>
        </w:rPr>
        <w:t xml:space="preserve"> a los </w:t>
      </w:r>
      <w:r w:rsidRPr="00AC4AEA">
        <w:rPr>
          <w:rFonts w:ascii="Arial" w:hAnsi="Arial" w:cs="Arial"/>
          <w:b/>
          <w:bCs/>
          <w:sz w:val="20"/>
          <w:szCs w:val="20"/>
        </w:rPr>
        <w:t>estados contables</w:t>
      </w:r>
      <w:r w:rsidRPr="00AC4AEA">
        <w:rPr>
          <w:rFonts w:ascii="Arial" w:hAnsi="Arial" w:cs="Arial"/>
          <w:sz w:val="20"/>
          <w:szCs w:val="20"/>
        </w:rPr>
        <w:t>:</w:t>
      </w:r>
      <w:bookmarkEnd w:id="1183"/>
      <w:r w:rsidRPr="00AC4AEA">
        <w:rPr>
          <w:rFonts w:ascii="Arial" w:hAnsi="Arial" w:cs="Arial"/>
          <w:sz w:val="20"/>
          <w:szCs w:val="20"/>
        </w:rPr>
        <w:t xml:space="preserve"> </w:t>
      </w:r>
    </w:p>
    <w:p w:rsidR="00421257" w:rsidRPr="00AC4AEA" w:rsidRDefault="00B62123" w:rsidP="00C01B25">
      <w:pPr>
        <w:numPr>
          <w:ilvl w:val="0"/>
          <w:numId w:val="686"/>
        </w:numPr>
        <w:spacing w:line="264" w:lineRule="auto"/>
        <w:ind w:hanging="511"/>
        <w:jc w:val="both"/>
        <w:rPr>
          <w:rFonts w:ascii="Arial" w:hAnsi="Arial" w:cs="Arial"/>
          <w:sz w:val="20"/>
          <w:szCs w:val="20"/>
        </w:rPr>
      </w:pPr>
      <w:r w:rsidRPr="00AC4AEA">
        <w:rPr>
          <w:rFonts w:ascii="Arial" w:hAnsi="Arial" w:cs="Arial"/>
          <w:sz w:val="20"/>
          <w:szCs w:val="20"/>
        </w:rPr>
        <w:t>U</w:t>
      </w:r>
      <w:r w:rsidR="00421257" w:rsidRPr="00AC4AEA">
        <w:rPr>
          <w:rFonts w:ascii="Arial" w:hAnsi="Arial" w:cs="Arial"/>
          <w:sz w:val="20"/>
          <w:szCs w:val="20"/>
        </w:rPr>
        <w:t>na descripción general del tipo de plan que se trate (por ejemplo, plan de beneficio post-relación laboral de importe fijo, basado en las últimas remuneraciones, plan de beneficios por atención médica, etc.)</w:t>
      </w:r>
      <w:r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B62123" w:rsidP="00C01B25">
      <w:pPr>
        <w:numPr>
          <w:ilvl w:val="0"/>
          <w:numId w:val="686"/>
        </w:numPr>
        <w:spacing w:line="264" w:lineRule="auto"/>
        <w:ind w:hanging="511"/>
        <w:jc w:val="both"/>
        <w:rPr>
          <w:rFonts w:ascii="Arial" w:hAnsi="Arial" w:cs="Arial"/>
          <w:sz w:val="20"/>
          <w:szCs w:val="20"/>
        </w:rPr>
      </w:pPr>
      <w:r w:rsidRPr="00AC4AEA">
        <w:rPr>
          <w:rFonts w:ascii="Arial" w:hAnsi="Arial" w:cs="Arial"/>
          <w:sz w:val="20"/>
          <w:szCs w:val="20"/>
        </w:rPr>
        <w:t>U</w:t>
      </w:r>
      <w:r w:rsidR="00421257" w:rsidRPr="00AC4AEA">
        <w:rPr>
          <w:rFonts w:ascii="Arial" w:hAnsi="Arial" w:cs="Arial"/>
          <w:sz w:val="20"/>
          <w:szCs w:val="20"/>
        </w:rPr>
        <w:t xml:space="preserve">na conciliación de los </w:t>
      </w:r>
      <w:r w:rsidR="00CE13D7" w:rsidRPr="00CE13D7">
        <w:rPr>
          <w:rFonts w:ascii="Arial" w:hAnsi="Arial" w:cs="Arial"/>
          <w:bCs/>
          <w:sz w:val="20"/>
          <w:szCs w:val="20"/>
        </w:rPr>
        <w:t>activos</w:t>
      </w:r>
      <w:r w:rsidR="00421257" w:rsidRPr="00AC4AEA">
        <w:rPr>
          <w:rFonts w:ascii="Arial" w:hAnsi="Arial" w:cs="Arial"/>
          <w:sz w:val="20"/>
          <w:szCs w:val="20"/>
        </w:rPr>
        <w:t xml:space="preserve"> y </w:t>
      </w:r>
      <w:r w:rsidR="00CE13D7" w:rsidRPr="00CE13D7">
        <w:rPr>
          <w:rFonts w:ascii="Arial" w:hAnsi="Arial" w:cs="Arial"/>
          <w:bCs/>
          <w:sz w:val="20"/>
          <w:szCs w:val="20"/>
        </w:rPr>
        <w:t>pasivos</w:t>
      </w:r>
      <w:r w:rsidR="00421257" w:rsidRPr="00AC4AEA">
        <w:rPr>
          <w:rFonts w:ascii="Arial" w:hAnsi="Arial" w:cs="Arial"/>
          <w:sz w:val="20"/>
          <w:szCs w:val="20"/>
        </w:rPr>
        <w:t xml:space="preserve"> reconocidos en el </w:t>
      </w:r>
      <w:r w:rsidR="00A34993" w:rsidRPr="00AC4AEA">
        <w:rPr>
          <w:rFonts w:ascii="Arial" w:hAnsi="Arial" w:cs="Arial"/>
          <w:sz w:val="20"/>
          <w:szCs w:val="20"/>
        </w:rPr>
        <w:t>estado de situación patrimonial</w:t>
      </w:r>
      <w:r w:rsidR="00421257" w:rsidRPr="00AC4AEA">
        <w:rPr>
          <w:rFonts w:ascii="Arial" w:hAnsi="Arial" w:cs="Arial"/>
          <w:sz w:val="20"/>
          <w:szCs w:val="20"/>
        </w:rPr>
        <w:t xml:space="preserve">, presentando, como mínimo: </w:t>
      </w:r>
    </w:p>
    <w:p w:rsidR="00421257" w:rsidRPr="00AC4AEA" w:rsidRDefault="00421257" w:rsidP="00C01B25">
      <w:pPr>
        <w:numPr>
          <w:ilvl w:val="4"/>
          <w:numId w:val="489"/>
        </w:numPr>
        <w:spacing w:after="147" w:line="264" w:lineRule="auto"/>
        <w:ind w:left="1985" w:hanging="420"/>
        <w:jc w:val="both"/>
        <w:rPr>
          <w:rFonts w:ascii="Arial" w:hAnsi="Arial" w:cs="Arial"/>
          <w:sz w:val="20"/>
          <w:szCs w:val="20"/>
        </w:rPr>
      </w:pPr>
      <w:r w:rsidRPr="00AC4AEA">
        <w:rPr>
          <w:rFonts w:ascii="Arial" w:hAnsi="Arial" w:cs="Arial"/>
          <w:sz w:val="20"/>
          <w:szCs w:val="20"/>
        </w:rPr>
        <w:t xml:space="preserve">el valor presente, a la </w:t>
      </w:r>
      <w:r w:rsidRPr="00AC4AEA">
        <w:rPr>
          <w:rFonts w:ascii="Arial" w:hAnsi="Arial" w:cs="Arial"/>
          <w:b/>
          <w:bCs/>
          <w:sz w:val="20"/>
          <w:szCs w:val="20"/>
        </w:rPr>
        <w:t xml:space="preserve">fecha </w:t>
      </w:r>
      <w:r w:rsidR="009366E0" w:rsidRPr="00AC4AEA">
        <w:rPr>
          <w:rFonts w:ascii="Arial" w:hAnsi="Arial" w:cs="Arial"/>
          <w:b/>
          <w:bCs/>
          <w:sz w:val="20"/>
          <w:szCs w:val="20"/>
        </w:rPr>
        <w:t>de los estados contables</w:t>
      </w:r>
      <w:r w:rsidRPr="00AC4AEA">
        <w:rPr>
          <w:rFonts w:ascii="Arial" w:hAnsi="Arial" w:cs="Arial"/>
          <w:sz w:val="20"/>
          <w:szCs w:val="20"/>
        </w:rPr>
        <w:t xml:space="preserve">, de las obligaciones por beneficios definidos (antes de deducir el </w:t>
      </w:r>
      <w:r w:rsidRPr="00AC4AEA">
        <w:rPr>
          <w:rFonts w:ascii="Arial" w:hAnsi="Arial" w:cs="Arial"/>
          <w:b/>
          <w:bCs/>
          <w:sz w:val="20"/>
          <w:szCs w:val="20"/>
        </w:rPr>
        <w:t xml:space="preserve">valor </w:t>
      </w:r>
      <w:r w:rsidR="009366E0" w:rsidRPr="00AC4AEA">
        <w:rPr>
          <w:rFonts w:ascii="Arial" w:hAnsi="Arial" w:cs="Arial"/>
          <w:b/>
          <w:bCs/>
          <w:sz w:val="20"/>
          <w:szCs w:val="20"/>
        </w:rPr>
        <w:t>razonable</w:t>
      </w:r>
      <w:r w:rsidRPr="00AC4AEA">
        <w:rPr>
          <w:rFonts w:ascii="Arial" w:hAnsi="Arial" w:cs="Arial"/>
          <w:sz w:val="20"/>
          <w:szCs w:val="20"/>
        </w:rPr>
        <w:t xml:space="preserve"> de los activos del plan) identificando a aquellas que están total o parcialmente fondeadas y a aquellas que no lo están; </w:t>
      </w:r>
    </w:p>
    <w:p w:rsidR="00421257" w:rsidRPr="00AC4AEA" w:rsidRDefault="00421257" w:rsidP="00C01B25">
      <w:pPr>
        <w:numPr>
          <w:ilvl w:val="4"/>
          <w:numId w:val="489"/>
        </w:numPr>
        <w:spacing w:after="149" w:line="256" w:lineRule="auto"/>
        <w:ind w:left="1985" w:hanging="42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 xml:space="preserve">valor </w:t>
      </w:r>
      <w:r w:rsidR="009366E0" w:rsidRPr="00AC4AEA">
        <w:rPr>
          <w:rFonts w:ascii="Arial" w:hAnsi="Arial" w:cs="Arial"/>
          <w:b/>
          <w:bCs/>
          <w:sz w:val="20"/>
          <w:szCs w:val="20"/>
        </w:rPr>
        <w:t>razonable</w:t>
      </w:r>
      <w:r w:rsidR="00A34993" w:rsidRPr="00AC4AEA">
        <w:rPr>
          <w:rFonts w:ascii="Arial" w:hAnsi="Arial" w:cs="Arial"/>
          <w:sz w:val="20"/>
          <w:szCs w:val="20"/>
        </w:rPr>
        <w:t>,</w:t>
      </w:r>
      <w:r w:rsidRPr="00AC4AEA">
        <w:rPr>
          <w:rFonts w:ascii="Arial" w:hAnsi="Arial" w:cs="Arial"/>
          <w:sz w:val="20"/>
          <w:szCs w:val="20"/>
        </w:rPr>
        <w:t xml:space="preserve"> </w:t>
      </w:r>
      <w:r w:rsidR="00B62123" w:rsidRPr="00AC4AEA">
        <w:rPr>
          <w:rFonts w:ascii="Arial" w:hAnsi="Arial" w:cs="Arial"/>
          <w:sz w:val="20"/>
          <w:szCs w:val="20"/>
        </w:rPr>
        <w:t xml:space="preserve">a la </w:t>
      </w:r>
      <w:r w:rsidR="00B62123" w:rsidRPr="00AC4AEA">
        <w:rPr>
          <w:rFonts w:ascii="Arial" w:hAnsi="Arial" w:cs="Arial"/>
          <w:b/>
          <w:bCs/>
          <w:sz w:val="20"/>
          <w:szCs w:val="20"/>
        </w:rPr>
        <w:t>fecha de los estados contables,</w:t>
      </w:r>
      <w:r w:rsidR="00B62123" w:rsidRPr="00AC4AEA">
        <w:rPr>
          <w:rFonts w:ascii="Arial" w:hAnsi="Arial" w:cs="Arial"/>
          <w:sz w:val="20"/>
          <w:szCs w:val="20"/>
        </w:rPr>
        <w:t xml:space="preserve"> </w:t>
      </w:r>
      <w:r w:rsidRPr="00AC4AEA">
        <w:rPr>
          <w:rFonts w:ascii="Arial" w:hAnsi="Arial" w:cs="Arial"/>
          <w:sz w:val="20"/>
          <w:szCs w:val="20"/>
        </w:rPr>
        <w:t xml:space="preserve">de los activos del plan; </w:t>
      </w:r>
      <w:r w:rsidR="009366E0" w:rsidRPr="00AC4AEA">
        <w:rPr>
          <w:rFonts w:ascii="Arial" w:hAnsi="Arial" w:cs="Arial"/>
          <w:sz w:val="20"/>
          <w:szCs w:val="20"/>
        </w:rPr>
        <w:t>y</w:t>
      </w:r>
    </w:p>
    <w:p w:rsidR="009366E0" w:rsidRPr="00AC4AEA" w:rsidRDefault="00421257" w:rsidP="00C01B25">
      <w:pPr>
        <w:numPr>
          <w:ilvl w:val="4"/>
          <w:numId w:val="489"/>
        </w:numPr>
        <w:spacing w:after="147" w:line="264" w:lineRule="auto"/>
        <w:ind w:left="1985" w:hanging="420"/>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valor razonable</w:t>
      </w:r>
      <w:r w:rsidRPr="00AC4AEA">
        <w:rPr>
          <w:rFonts w:ascii="Arial" w:hAnsi="Arial" w:cs="Arial"/>
          <w:sz w:val="20"/>
          <w:szCs w:val="20"/>
        </w:rPr>
        <w:t xml:space="preserve">, a la </w:t>
      </w:r>
      <w:r w:rsidR="009366E0" w:rsidRPr="00AC4AEA">
        <w:rPr>
          <w:rFonts w:ascii="Arial" w:hAnsi="Arial" w:cs="Arial"/>
          <w:b/>
          <w:bCs/>
          <w:sz w:val="20"/>
          <w:szCs w:val="20"/>
        </w:rPr>
        <w:t>fecha de los estados contables</w:t>
      </w:r>
      <w:r w:rsidRPr="00AC4AEA">
        <w:rPr>
          <w:rFonts w:ascii="Arial" w:hAnsi="Arial" w:cs="Arial"/>
          <w:sz w:val="20"/>
          <w:szCs w:val="20"/>
        </w:rPr>
        <w:t>, de cualquier derecho de reembolso reconocido como activo</w:t>
      </w:r>
      <w:r w:rsidR="00800CB8" w:rsidRPr="00AC4AEA">
        <w:rPr>
          <w:rFonts w:ascii="Arial" w:hAnsi="Arial" w:cs="Arial"/>
          <w:sz w:val="20"/>
          <w:szCs w:val="20"/>
        </w:rPr>
        <w:t>.</w:t>
      </w:r>
    </w:p>
    <w:p w:rsidR="00421257" w:rsidRPr="00AC4AEA" w:rsidRDefault="00B62123" w:rsidP="00C01B25">
      <w:pPr>
        <w:numPr>
          <w:ilvl w:val="0"/>
          <w:numId w:val="686"/>
        </w:numPr>
        <w:spacing w:line="264" w:lineRule="auto"/>
        <w:ind w:hanging="511"/>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 xml:space="preserve">os importes de las partidas incluidas dentro del </w:t>
      </w:r>
      <w:r w:rsidR="00421257" w:rsidRPr="00AC4AEA">
        <w:rPr>
          <w:rFonts w:ascii="Arial" w:hAnsi="Arial" w:cs="Arial"/>
          <w:b/>
          <w:bCs/>
          <w:sz w:val="20"/>
          <w:szCs w:val="20"/>
        </w:rPr>
        <w:t xml:space="preserve">valor </w:t>
      </w:r>
      <w:r w:rsidRPr="00AC4AEA">
        <w:rPr>
          <w:rFonts w:ascii="Arial" w:hAnsi="Arial" w:cs="Arial"/>
          <w:b/>
          <w:bCs/>
          <w:sz w:val="20"/>
          <w:szCs w:val="20"/>
        </w:rPr>
        <w:t>razonable</w:t>
      </w:r>
      <w:r w:rsidR="00421257" w:rsidRPr="00AC4AEA">
        <w:rPr>
          <w:rFonts w:ascii="Arial" w:hAnsi="Arial" w:cs="Arial"/>
          <w:sz w:val="20"/>
          <w:szCs w:val="20"/>
        </w:rPr>
        <w:t xml:space="preserve"> de los activos en el plan para: </w:t>
      </w:r>
    </w:p>
    <w:p w:rsidR="00421257" w:rsidRPr="00AC4AEA" w:rsidRDefault="00421257" w:rsidP="00C01B25">
      <w:pPr>
        <w:numPr>
          <w:ilvl w:val="4"/>
          <w:numId w:val="490"/>
        </w:numPr>
        <w:spacing w:after="147" w:line="264" w:lineRule="auto"/>
        <w:ind w:left="1985" w:hanging="370"/>
        <w:jc w:val="both"/>
        <w:rPr>
          <w:rFonts w:ascii="Arial" w:hAnsi="Arial" w:cs="Arial"/>
          <w:sz w:val="20"/>
          <w:szCs w:val="20"/>
        </w:rPr>
      </w:pPr>
      <w:r w:rsidRPr="00AC4AEA">
        <w:rPr>
          <w:rFonts w:ascii="Arial" w:hAnsi="Arial" w:cs="Arial"/>
          <w:sz w:val="20"/>
          <w:szCs w:val="20"/>
        </w:rPr>
        <w:lastRenderedPageBreak/>
        <w:t xml:space="preserve">cada categoría de instrumentos financieros emitidos por la entidad; y </w:t>
      </w:r>
    </w:p>
    <w:p w:rsidR="00421257" w:rsidRPr="00AC4AEA" w:rsidRDefault="00421257" w:rsidP="00C01B25">
      <w:pPr>
        <w:numPr>
          <w:ilvl w:val="4"/>
          <w:numId w:val="490"/>
        </w:numPr>
        <w:spacing w:after="147" w:line="264" w:lineRule="auto"/>
        <w:ind w:left="1985" w:hanging="370"/>
        <w:jc w:val="both"/>
        <w:rPr>
          <w:rFonts w:ascii="Arial" w:hAnsi="Arial" w:cs="Arial"/>
          <w:sz w:val="20"/>
          <w:szCs w:val="20"/>
        </w:rPr>
      </w:pPr>
      <w:r w:rsidRPr="00AC4AEA">
        <w:rPr>
          <w:rFonts w:ascii="Arial" w:hAnsi="Arial" w:cs="Arial"/>
          <w:sz w:val="20"/>
          <w:szCs w:val="20"/>
        </w:rPr>
        <w:t xml:space="preserve">cualquier </w:t>
      </w:r>
      <w:r w:rsidRPr="00AC4AEA">
        <w:rPr>
          <w:rFonts w:ascii="Arial" w:hAnsi="Arial" w:cs="Arial"/>
          <w:b/>
          <w:bCs/>
          <w:sz w:val="20"/>
          <w:szCs w:val="20"/>
        </w:rPr>
        <w:t>activo</w:t>
      </w:r>
      <w:r w:rsidRPr="00AC4AEA">
        <w:rPr>
          <w:rFonts w:ascii="Arial" w:hAnsi="Arial" w:cs="Arial"/>
          <w:sz w:val="20"/>
          <w:szCs w:val="20"/>
        </w:rPr>
        <w:t xml:space="preserve"> que esté siendo utilizado por la entidad</w:t>
      </w:r>
      <w:r w:rsidR="00B62123" w:rsidRPr="00AC4AEA">
        <w:rPr>
          <w:rFonts w:ascii="Arial" w:hAnsi="Arial" w:cs="Arial"/>
          <w:sz w:val="20"/>
          <w:szCs w:val="20"/>
        </w:rPr>
        <w:t>.</w:t>
      </w:r>
      <w:r w:rsidRPr="00AC4AEA">
        <w:rPr>
          <w:rFonts w:ascii="Arial" w:hAnsi="Arial" w:cs="Arial"/>
          <w:sz w:val="20"/>
          <w:szCs w:val="20"/>
        </w:rPr>
        <w:t xml:space="preserve"> </w:t>
      </w:r>
    </w:p>
    <w:p w:rsidR="00421257" w:rsidRPr="00AC4AEA" w:rsidRDefault="00B62123" w:rsidP="00C01B25">
      <w:pPr>
        <w:numPr>
          <w:ilvl w:val="0"/>
          <w:numId w:val="686"/>
        </w:numPr>
        <w:spacing w:line="264" w:lineRule="auto"/>
        <w:ind w:hanging="511"/>
        <w:jc w:val="both"/>
        <w:rPr>
          <w:rFonts w:ascii="Arial" w:hAnsi="Arial" w:cs="Arial"/>
          <w:sz w:val="20"/>
          <w:szCs w:val="20"/>
        </w:rPr>
      </w:pPr>
      <w:r w:rsidRPr="00AC4AEA">
        <w:rPr>
          <w:rFonts w:ascii="Arial" w:hAnsi="Arial" w:cs="Arial"/>
          <w:sz w:val="20"/>
          <w:szCs w:val="20"/>
        </w:rPr>
        <w:t>U</w:t>
      </w:r>
      <w:r w:rsidR="00421257" w:rsidRPr="00AC4AEA">
        <w:rPr>
          <w:rFonts w:ascii="Arial" w:hAnsi="Arial" w:cs="Arial"/>
          <w:sz w:val="20"/>
          <w:szCs w:val="20"/>
        </w:rPr>
        <w:t>na conciliación de los saldos al comienzo y al cierre del período del pasivo (activo) neto por beneficios definidos expuestos en el balance la entidad, que incluya una descripción de los movimientos del período</w:t>
      </w:r>
      <w:r w:rsidR="000A5BE7"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0A5BE7" w:rsidP="00C01B25">
      <w:pPr>
        <w:numPr>
          <w:ilvl w:val="0"/>
          <w:numId w:val="686"/>
        </w:numPr>
        <w:spacing w:line="264" w:lineRule="auto"/>
        <w:ind w:hanging="511"/>
        <w:jc w:val="both"/>
        <w:rPr>
          <w:rFonts w:ascii="Arial" w:hAnsi="Arial" w:cs="Arial"/>
          <w:sz w:val="20"/>
          <w:szCs w:val="20"/>
        </w:rPr>
      </w:pPr>
      <w:r w:rsidRPr="00AC4AEA">
        <w:rPr>
          <w:rFonts w:ascii="Arial" w:hAnsi="Arial" w:cs="Arial"/>
          <w:sz w:val="20"/>
          <w:szCs w:val="20"/>
        </w:rPr>
        <w:t>E</w:t>
      </w:r>
      <w:r w:rsidR="00421257" w:rsidRPr="00AC4AEA">
        <w:rPr>
          <w:rFonts w:ascii="Arial" w:hAnsi="Arial" w:cs="Arial"/>
          <w:sz w:val="20"/>
          <w:szCs w:val="20"/>
        </w:rPr>
        <w:t xml:space="preserve">l </w:t>
      </w:r>
      <w:r w:rsidR="00421257" w:rsidRPr="002A73C3">
        <w:rPr>
          <w:rFonts w:ascii="Arial" w:hAnsi="Arial" w:cs="Arial"/>
          <w:b/>
          <w:bCs/>
          <w:sz w:val="20"/>
          <w:szCs w:val="20"/>
        </w:rPr>
        <w:t xml:space="preserve">gasto </w:t>
      </w:r>
      <w:r w:rsidR="00421257" w:rsidRPr="00AC4AEA">
        <w:rPr>
          <w:rFonts w:ascii="Arial" w:hAnsi="Arial" w:cs="Arial"/>
          <w:sz w:val="20"/>
          <w:szCs w:val="20"/>
        </w:rPr>
        <w:t xml:space="preserve">total reconocido en el estado de resultados y la línea específica del estado de resultados en el que se hayan incluido los importes correspondientes a cada uno de los siguientes conceptos: </w:t>
      </w:r>
    </w:p>
    <w:p w:rsidR="00421257" w:rsidRPr="00AC4AEA" w:rsidRDefault="00104D39" w:rsidP="00C01B25">
      <w:pPr>
        <w:numPr>
          <w:ilvl w:val="4"/>
          <w:numId w:val="491"/>
        </w:numPr>
        <w:spacing w:after="147" w:line="264" w:lineRule="auto"/>
        <w:ind w:left="1985" w:hanging="420"/>
        <w:jc w:val="both"/>
        <w:rPr>
          <w:rFonts w:ascii="Arial" w:hAnsi="Arial" w:cs="Arial"/>
          <w:sz w:val="20"/>
          <w:szCs w:val="20"/>
        </w:rPr>
      </w:pPr>
      <w:r w:rsidRPr="00AC4AEA">
        <w:rPr>
          <w:rFonts w:ascii="Arial" w:hAnsi="Arial" w:cs="Arial"/>
          <w:sz w:val="20"/>
          <w:szCs w:val="20"/>
        </w:rPr>
        <w:t>C</w:t>
      </w:r>
      <w:r w:rsidR="00421257" w:rsidRPr="00AC4AEA">
        <w:rPr>
          <w:rFonts w:ascii="Arial" w:hAnsi="Arial" w:cs="Arial"/>
          <w:sz w:val="20"/>
          <w:szCs w:val="20"/>
        </w:rPr>
        <w:t>osto</w:t>
      </w:r>
      <w:r w:rsidR="009700C6" w:rsidRPr="00AC4AEA">
        <w:rPr>
          <w:rFonts w:ascii="Arial" w:hAnsi="Arial" w:cs="Arial"/>
          <w:sz w:val="20"/>
          <w:szCs w:val="20"/>
        </w:rPr>
        <w:t>s</w:t>
      </w:r>
      <w:r w:rsidR="00421257" w:rsidRPr="00AC4AEA">
        <w:rPr>
          <w:rFonts w:ascii="Arial" w:hAnsi="Arial" w:cs="Arial"/>
          <w:sz w:val="20"/>
          <w:szCs w:val="20"/>
        </w:rPr>
        <w:t xml:space="preserve"> de los servicios del período presente</w:t>
      </w:r>
      <w:r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104D39" w:rsidP="00C01B25">
      <w:pPr>
        <w:numPr>
          <w:ilvl w:val="4"/>
          <w:numId w:val="491"/>
        </w:numPr>
        <w:spacing w:after="147" w:line="264" w:lineRule="auto"/>
        <w:ind w:left="1985" w:hanging="420"/>
        <w:jc w:val="both"/>
        <w:rPr>
          <w:rFonts w:ascii="Arial" w:hAnsi="Arial" w:cs="Arial"/>
          <w:sz w:val="20"/>
          <w:szCs w:val="20"/>
        </w:rPr>
      </w:pPr>
      <w:r w:rsidRPr="00AC4AEA">
        <w:rPr>
          <w:rFonts w:ascii="Arial" w:hAnsi="Arial" w:cs="Arial"/>
          <w:sz w:val="20"/>
          <w:szCs w:val="20"/>
        </w:rPr>
        <w:t>I</w:t>
      </w:r>
      <w:r w:rsidR="00421257" w:rsidRPr="00AC4AEA">
        <w:rPr>
          <w:rFonts w:ascii="Arial" w:hAnsi="Arial" w:cs="Arial"/>
          <w:sz w:val="20"/>
          <w:szCs w:val="20"/>
        </w:rPr>
        <w:t>nter</w:t>
      </w:r>
      <w:r w:rsidR="000A5BE7" w:rsidRPr="00AC4AEA">
        <w:rPr>
          <w:rFonts w:ascii="Arial" w:hAnsi="Arial" w:cs="Arial"/>
          <w:sz w:val="20"/>
          <w:szCs w:val="20"/>
        </w:rPr>
        <w:t>és neto sobre el pasivo (activo) por beneficios definidos neto</w:t>
      </w:r>
      <w:r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9700C6" w:rsidP="00C01B25">
      <w:pPr>
        <w:numPr>
          <w:ilvl w:val="4"/>
          <w:numId w:val="491"/>
        </w:numPr>
        <w:spacing w:after="147" w:line="264" w:lineRule="auto"/>
        <w:ind w:left="1985" w:hanging="420"/>
        <w:jc w:val="both"/>
        <w:rPr>
          <w:rFonts w:ascii="Arial" w:hAnsi="Arial" w:cs="Arial"/>
          <w:sz w:val="20"/>
          <w:szCs w:val="20"/>
        </w:rPr>
      </w:pPr>
      <w:r w:rsidRPr="00AC4AEA">
        <w:rPr>
          <w:rFonts w:ascii="Arial" w:hAnsi="Arial" w:cs="Arial"/>
          <w:sz w:val="20"/>
          <w:szCs w:val="20"/>
        </w:rPr>
        <w:t>C</w:t>
      </w:r>
      <w:r w:rsidR="00421257" w:rsidRPr="00AC4AEA">
        <w:rPr>
          <w:rFonts w:ascii="Arial" w:hAnsi="Arial" w:cs="Arial"/>
          <w:sz w:val="20"/>
          <w:szCs w:val="20"/>
        </w:rPr>
        <w:t>osto</w:t>
      </w:r>
      <w:r w:rsidRPr="00AC4AEA">
        <w:rPr>
          <w:rFonts w:ascii="Arial" w:hAnsi="Arial" w:cs="Arial"/>
          <w:sz w:val="20"/>
          <w:szCs w:val="20"/>
        </w:rPr>
        <w:t>s</w:t>
      </w:r>
      <w:r w:rsidR="00421257" w:rsidRPr="00AC4AEA">
        <w:rPr>
          <w:rFonts w:ascii="Arial" w:hAnsi="Arial" w:cs="Arial"/>
          <w:sz w:val="20"/>
          <w:szCs w:val="20"/>
        </w:rPr>
        <w:t xml:space="preserve"> por servicios prestados en el pasado</w:t>
      </w:r>
      <w:r w:rsidRPr="00AC4AEA">
        <w:rPr>
          <w:rFonts w:ascii="Arial" w:hAnsi="Arial" w:cs="Arial"/>
          <w:sz w:val="20"/>
          <w:szCs w:val="20"/>
        </w:rPr>
        <w:t>.</w:t>
      </w:r>
      <w:r w:rsidR="00421257" w:rsidRPr="00AC4AEA">
        <w:rPr>
          <w:rFonts w:ascii="Arial" w:hAnsi="Arial" w:cs="Arial"/>
          <w:sz w:val="20"/>
          <w:szCs w:val="20"/>
        </w:rPr>
        <w:t xml:space="preserve"> </w:t>
      </w:r>
    </w:p>
    <w:p w:rsidR="000D643F" w:rsidRPr="00AC4AEA" w:rsidRDefault="000D643F" w:rsidP="00C01B25">
      <w:pPr>
        <w:numPr>
          <w:ilvl w:val="4"/>
          <w:numId w:val="491"/>
        </w:numPr>
        <w:spacing w:after="147" w:line="264" w:lineRule="auto"/>
        <w:ind w:left="1985" w:hanging="420"/>
        <w:jc w:val="both"/>
        <w:rPr>
          <w:rFonts w:ascii="Arial" w:hAnsi="Arial" w:cs="Arial"/>
          <w:sz w:val="20"/>
          <w:szCs w:val="20"/>
        </w:rPr>
      </w:pPr>
      <w:r w:rsidRPr="00AC4AEA">
        <w:rPr>
          <w:rFonts w:ascii="Arial" w:hAnsi="Arial" w:cs="Arial"/>
          <w:sz w:val="20"/>
          <w:szCs w:val="20"/>
        </w:rPr>
        <w:t>E</w:t>
      </w:r>
      <w:r w:rsidR="00421257" w:rsidRPr="00AC4AEA">
        <w:rPr>
          <w:rFonts w:ascii="Arial" w:hAnsi="Arial" w:cs="Arial"/>
          <w:sz w:val="20"/>
          <w:szCs w:val="20"/>
        </w:rPr>
        <w:t>l efecto de cualquier reducción o terminación del plan</w:t>
      </w:r>
      <w:r w:rsidRPr="00AC4AEA">
        <w:rPr>
          <w:rFonts w:ascii="Arial" w:hAnsi="Arial" w:cs="Arial"/>
          <w:sz w:val="20"/>
          <w:szCs w:val="20"/>
        </w:rPr>
        <w:t>.</w:t>
      </w:r>
    </w:p>
    <w:p w:rsidR="00421257" w:rsidRPr="00AC4AEA" w:rsidRDefault="000D643F" w:rsidP="00C01B25">
      <w:pPr>
        <w:numPr>
          <w:ilvl w:val="4"/>
          <w:numId w:val="491"/>
        </w:numPr>
        <w:spacing w:after="147" w:line="264" w:lineRule="auto"/>
        <w:ind w:left="1985" w:hanging="420"/>
        <w:jc w:val="both"/>
        <w:rPr>
          <w:rFonts w:ascii="Arial" w:hAnsi="Arial" w:cs="Arial"/>
          <w:sz w:val="20"/>
          <w:szCs w:val="20"/>
        </w:rPr>
      </w:pPr>
      <w:r w:rsidRPr="00AC4AEA">
        <w:rPr>
          <w:rFonts w:ascii="Arial" w:hAnsi="Arial" w:cs="Arial"/>
          <w:sz w:val="20"/>
          <w:szCs w:val="20"/>
        </w:rPr>
        <w:t xml:space="preserve">De corresponder, los efectos de las variaciones en los tipos de cambio de la </w:t>
      </w:r>
      <w:r w:rsidRPr="002B0F58">
        <w:rPr>
          <w:rFonts w:ascii="Arial" w:hAnsi="Arial" w:cs="Arial"/>
          <w:b/>
          <w:bCs/>
          <w:sz w:val="20"/>
          <w:szCs w:val="20"/>
        </w:rPr>
        <w:t>moneda extranjera</w:t>
      </w:r>
      <w:r w:rsidR="00C63FFA"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C63FFA" w:rsidP="00C01B25">
      <w:pPr>
        <w:numPr>
          <w:ilvl w:val="0"/>
          <w:numId w:val="686"/>
        </w:numPr>
        <w:spacing w:line="264" w:lineRule="auto"/>
        <w:ind w:hanging="511"/>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 xml:space="preserve">os principales supuestos actuariales utilizados, con sus valores en términos absolutos, a la fecha de balance, entre los que se incluirán, según corresponda: </w:t>
      </w:r>
    </w:p>
    <w:p w:rsidR="00421257" w:rsidRPr="00AC4AEA" w:rsidRDefault="00421257" w:rsidP="00C01B25">
      <w:pPr>
        <w:numPr>
          <w:ilvl w:val="4"/>
          <w:numId w:val="492"/>
        </w:numPr>
        <w:spacing w:after="147" w:line="264" w:lineRule="auto"/>
        <w:ind w:left="1985" w:hanging="420"/>
        <w:jc w:val="both"/>
        <w:rPr>
          <w:rFonts w:ascii="Arial" w:hAnsi="Arial" w:cs="Arial"/>
          <w:sz w:val="20"/>
          <w:szCs w:val="20"/>
        </w:rPr>
      </w:pPr>
      <w:r w:rsidRPr="00AC4AEA">
        <w:rPr>
          <w:rFonts w:ascii="Arial" w:hAnsi="Arial" w:cs="Arial"/>
          <w:sz w:val="20"/>
          <w:szCs w:val="20"/>
        </w:rPr>
        <w:t xml:space="preserve">las tasas de interés; </w:t>
      </w:r>
    </w:p>
    <w:p w:rsidR="00421257" w:rsidRPr="00AC4AEA" w:rsidRDefault="00421257" w:rsidP="00C01B25">
      <w:pPr>
        <w:numPr>
          <w:ilvl w:val="4"/>
          <w:numId w:val="492"/>
        </w:numPr>
        <w:spacing w:after="147" w:line="264" w:lineRule="auto"/>
        <w:ind w:left="1985" w:hanging="420"/>
        <w:jc w:val="both"/>
        <w:rPr>
          <w:rFonts w:ascii="Arial" w:hAnsi="Arial" w:cs="Arial"/>
          <w:sz w:val="20"/>
          <w:szCs w:val="20"/>
        </w:rPr>
      </w:pPr>
      <w:r w:rsidRPr="00AC4AEA">
        <w:rPr>
          <w:rFonts w:ascii="Arial" w:hAnsi="Arial" w:cs="Arial"/>
          <w:sz w:val="20"/>
          <w:szCs w:val="20"/>
        </w:rPr>
        <w:t xml:space="preserve">las tasas esperadas de incremento en los salarios (y de los cambios en los índices y otras variables especificadas en los términos formales o implícitos del plan como determinantes de los incrementos futuros de los beneficios); </w:t>
      </w:r>
    </w:p>
    <w:p w:rsidR="00421257" w:rsidRPr="00AC4AEA" w:rsidRDefault="00421257" w:rsidP="00C01B25">
      <w:pPr>
        <w:numPr>
          <w:ilvl w:val="4"/>
          <w:numId w:val="492"/>
        </w:numPr>
        <w:spacing w:after="147" w:line="264" w:lineRule="auto"/>
        <w:ind w:left="1985" w:hanging="420"/>
        <w:jc w:val="both"/>
        <w:rPr>
          <w:rFonts w:ascii="Arial" w:hAnsi="Arial" w:cs="Arial"/>
          <w:sz w:val="20"/>
          <w:szCs w:val="20"/>
        </w:rPr>
      </w:pPr>
      <w:r w:rsidRPr="00AC4AEA">
        <w:rPr>
          <w:rFonts w:ascii="Arial" w:hAnsi="Arial" w:cs="Arial"/>
          <w:sz w:val="20"/>
          <w:szCs w:val="20"/>
        </w:rPr>
        <w:t xml:space="preserve">la tendencia de los costos de atención médica, odontológica, legal, y otros; y </w:t>
      </w:r>
    </w:p>
    <w:p w:rsidR="00421257" w:rsidRPr="00AC4AEA" w:rsidRDefault="00421257" w:rsidP="00C01B25">
      <w:pPr>
        <w:numPr>
          <w:ilvl w:val="4"/>
          <w:numId w:val="492"/>
        </w:numPr>
        <w:spacing w:after="147" w:line="264" w:lineRule="auto"/>
        <w:ind w:left="1985" w:hanging="420"/>
        <w:jc w:val="both"/>
        <w:rPr>
          <w:rFonts w:ascii="Arial" w:hAnsi="Arial" w:cs="Arial"/>
          <w:sz w:val="20"/>
          <w:szCs w:val="20"/>
        </w:rPr>
      </w:pPr>
      <w:r w:rsidRPr="00AC4AEA">
        <w:rPr>
          <w:rFonts w:ascii="Arial" w:hAnsi="Arial" w:cs="Arial"/>
          <w:sz w:val="20"/>
          <w:szCs w:val="20"/>
        </w:rPr>
        <w:t>otros supuestos actuariales significativos utilizados</w:t>
      </w:r>
      <w:r w:rsidR="00C63FFA" w:rsidRPr="00AC4AEA">
        <w:rPr>
          <w:rFonts w:ascii="Arial" w:hAnsi="Arial" w:cs="Arial"/>
          <w:sz w:val="20"/>
          <w:szCs w:val="20"/>
        </w:rPr>
        <w:t>.</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Cuando tenga más de un plan de beneficios definidos, una entidad presentará la información de la manera que se considere más útil para el lector de los </w:t>
      </w:r>
      <w:r w:rsidRPr="00AC4AEA">
        <w:rPr>
          <w:rFonts w:ascii="Arial" w:hAnsi="Arial" w:cs="Arial"/>
          <w:b/>
          <w:bCs/>
          <w:sz w:val="20"/>
          <w:szCs w:val="20"/>
        </w:rPr>
        <w:t>estados contables</w:t>
      </w:r>
      <w:r w:rsidRPr="00AC4AEA">
        <w:rPr>
          <w:rFonts w:ascii="Arial" w:hAnsi="Arial" w:cs="Arial"/>
          <w:sz w:val="20"/>
          <w:szCs w:val="20"/>
        </w:rPr>
        <w:t xml:space="preserve">. Por ejemplo, podría presentar la siguiente información: </w:t>
      </w:r>
    </w:p>
    <w:p w:rsidR="00421257" w:rsidRPr="00AC4AEA" w:rsidRDefault="00421257" w:rsidP="00C01B25">
      <w:pPr>
        <w:numPr>
          <w:ilvl w:val="0"/>
          <w:numId w:val="722"/>
        </w:numPr>
        <w:spacing w:line="264" w:lineRule="auto"/>
        <w:ind w:hanging="511"/>
        <w:jc w:val="both"/>
        <w:rPr>
          <w:rFonts w:ascii="Arial" w:hAnsi="Arial" w:cs="Arial"/>
          <w:sz w:val="20"/>
          <w:szCs w:val="20"/>
        </w:rPr>
      </w:pPr>
      <w:r w:rsidRPr="00AC4AEA">
        <w:rPr>
          <w:rFonts w:ascii="Arial" w:hAnsi="Arial" w:cs="Arial"/>
          <w:sz w:val="20"/>
          <w:szCs w:val="20"/>
        </w:rPr>
        <w:t xml:space="preserve">de </w:t>
      </w:r>
      <w:r w:rsidRPr="0013242A">
        <w:rPr>
          <w:rFonts w:ascii="Arial" w:hAnsi="Arial" w:cs="Arial"/>
          <w:sz w:val="20"/>
          <w:szCs w:val="20"/>
        </w:rPr>
        <w:t xml:space="preserve">acuerdo con </w:t>
      </w:r>
      <w:r w:rsidR="003C5B72" w:rsidRPr="0013242A">
        <w:rPr>
          <w:rFonts w:ascii="Arial" w:hAnsi="Arial" w:cs="Arial"/>
          <w:sz w:val="20"/>
          <w:szCs w:val="20"/>
        </w:rPr>
        <w:t xml:space="preserve">la </w:t>
      </w:r>
      <w:r w:rsidRPr="0013242A">
        <w:rPr>
          <w:rFonts w:ascii="Arial" w:hAnsi="Arial" w:cs="Arial"/>
          <w:sz w:val="20"/>
          <w:szCs w:val="20"/>
        </w:rPr>
        <w:t>localización geográfica de los planes, por ejemplo, distinguiendo entre planes en el país</w:t>
      </w:r>
      <w:r w:rsidRPr="00AC4AEA">
        <w:rPr>
          <w:rFonts w:ascii="Arial" w:hAnsi="Arial" w:cs="Arial"/>
          <w:sz w:val="20"/>
          <w:szCs w:val="20"/>
        </w:rPr>
        <w:t xml:space="preserve"> y en el extranjero; o </w:t>
      </w:r>
    </w:p>
    <w:p w:rsidR="00421257" w:rsidRPr="00AC4AEA" w:rsidRDefault="00421257" w:rsidP="00C01B25">
      <w:pPr>
        <w:numPr>
          <w:ilvl w:val="0"/>
          <w:numId w:val="722"/>
        </w:numPr>
        <w:spacing w:line="264" w:lineRule="auto"/>
        <w:ind w:hanging="511"/>
        <w:jc w:val="both"/>
        <w:rPr>
          <w:rFonts w:ascii="Arial" w:hAnsi="Arial" w:cs="Arial"/>
          <w:sz w:val="20"/>
          <w:szCs w:val="20"/>
        </w:rPr>
      </w:pPr>
      <w:r w:rsidRPr="00AC4AEA">
        <w:rPr>
          <w:rFonts w:ascii="Arial" w:hAnsi="Arial" w:cs="Arial"/>
          <w:sz w:val="20"/>
          <w:szCs w:val="20"/>
        </w:rPr>
        <w:t xml:space="preserve">separando aquellos planes que estén sujetos a riesgos significativamente diferentes, por ejemplo, procediendo a distinguir entre las partidas relativas a los planes de beneficios post-relación laboral de importe fijo, los calculados según los sueldos finales o los que consistan en beneficios de atención médica, odontológica, legal, y otros. </w:t>
      </w:r>
    </w:p>
    <w:p w:rsidR="00421257" w:rsidRPr="00AC4AEA" w:rsidRDefault="00421257" w:rsidP="00A318EA">
      <w:pPr>
        <w:spacing w:after="150" w:line="256" w:lineRule="auto"/>
        <w:ind w:left="1274"/>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84" w:name="_Toc139357029"/>
      <w:r w:rsidRPr="00AC4AEA">
        <w:rPr>
          <w:rFonts w:cs="Arial"/>
        </w:rPr>
        <w:t xml:space="preserve">Planes </w:t>
      </w:r>
      <w:r w:rsidR="00800CB8" w:rsidRPr="00AC4AEA">
        <w:rPr>
          <w:rFonts w:cs="Arial"/>
        </w:rPr>
        <w:t>m</w:t>
      </w:r>
      <w:r w:rsidRPr="00AC4AEA">
        <w:rPr>
          <w:rFonts w:cs="Arial"/>
        </w:rPr>
        <w:t>ulti-empleador</w:t>
      </w:r>
      <w:bookmarkEnd w:id="1184"/>
      <w:r w:rsidRPr="00AC4AEA">
        <w:rPr>
          <w:rFonts w:cs="Arial"/>
        </w:rPr>
        <w:t xml:space="preserve"> </w:t>
      </w:r>
    </w:p>
    <w:p w:rsidR="00421257" w:rsidRPr="0013242A" w:rsidRDefault="00421257" w:rsidP="00C01B25">
      <w:pPr>
        <w:numPr>
          <w:ilvl w:val="0"/>
          <w:numId w:val="670"/>
        </w:numPr>
        <w:spacing w:after="147" w:line="264" w:lineRule="auto"/>
        <w:ind w:left="993" w:hanging="426"/>
        <w:jc w:val="both"/>
        <w:rPr>
          <w:rFonts w:ascii="Arial" w:eastAsia="Times New Roman" w:hAnsi="Arial" w:cs="Arial"/>
          <w:sz w:val="20"/>
          <w:szCs w:val="20"/>
          <w:lang w:eastAsia="es-AR"/>
        </w:rPr>
      </w:pPr>
      <w:r w:rsidRPr="00AC4AEA">
        <w:rPr>
          <w:rFonts w:ascii="Arial" w:hAnsi="Arial" w:cs="Arial"/>
          <w:sz w:val="20"/>
          <w:szCs w:val="20"/>
        </w:rPr>
        <w:t xml:space="preserve">Un plan </w:t>
      </w:r>
      <w:r w:rsidRPr="0013242A">
        <w:rPr>
          <w:rFonts w:ascii="Arial" w:hAnsi="Arial" w:cs="Arial"/>
          <w:sz w:val="20"/>
          <w:szCs w:val="20"/>
        </w:rPr>
        <w:t xml:space="preserve">multi-empleador es </w:t>
      </w:r>
      <w:r w:rsidR="00D81E8F" w:rsidRPr="0013242A">
        <w:rPr>
          <w:rFonts w:ascii="Arial" w:hAnsi="Arial" w:cs="Arial"/>
          <w:sz w:val="20"/>
          <w:szCs w:val="20"/>
        </w:rPr>
        <w:t>un plan</w:t>
      </w:r>
      <w:r w:rsidRPr="0013242A">
        <w:rPr>
          <w:rFonts w:ascii="Arial" w:hAnsi="Arial" w:cs="Arial"/>
          <w:sz w:val="20"/>
          <w:szCs w:val="20"/>
        </w:rPr>
        <w:t xml:space="preserve"> fondeado por dos o más empleadores, normalmente, en función de un convenio colectivo de trabajo. </w:t>
      </w:r>
      <w:r w:rsidR="00D81E8F" w:rsidRPr="0013242A">
        <w:rPr>
          <w:rFonts w:ascii="Arial" w:hAnsi="Arial" w:cs="Arial"/>
          <w:sz w:val="20"/>
          <w:szCs w:val="20"/>
        </w:rPr>
        <w:t>Su</w:t>
      </w:r>
      <w:r w:rsidRPr="0013242A">
        <w:rPr>
          <w:rFonts w:ascii="Arial" w:hAnsi="Arial" w:cs="Arial"/>
          <w:sz w:val="20"/>
          <w:szCs w:val="20"/>
        </w:rPr>
        <w:t xml:space="preserve"> característica principal es que los activos contribuidos por una entidad participante pueden ser </w:t>
      </w:r>
      <w:r w:rsidRPr="0013242A">
        <w:rPr>
          <w:rFonts w:ascii="Arial" w:hAnsi="Arial" w:cs="Arial"/>
          <w:sz w:val="20"/>
          <w:szCs w:val="20"/>
        </w:rPr>
        <w:lastRenderedPageBreak/>
        <w:t xml:space="preserve">usados para pagar beneficios a empleados de otro empleador participante, debido a que los activos no están segregados en una cuenta individual de cada empleador o no están restringidos para pagar beneficios de los empleados de la entidad que los aportó. </w:t>
      </w:r>
    </w:p>
    <w:p w:rsidR="00421257" w:rsidRPr="00AC4AEA" w:rsidRDefault="00421257" w:rsidP="00C01B25">
      <w:pPr>
        <w:numPr>
          <w:ilvl w:val="0"/>
          <w:numId w:val="670"/>
        </w:numPr>
        <w:spacing w:after="147" w:line="264" w:lineRule="auto"/>
        <w:ind w:left="993" w:hanging="426"/>
        <w:jc w:val="both"/>
        <w:rPr>
          <w:rFonts w:ascii="Arial" w:hAnsi="Arial" w:cs="Arial"/>
          <w:sz w:val="20"/>
          <w:szCs w:val="20"/>
        </w:rPr>
      </w:pPr>
      <w:r w:rsidRPr="00AC4AEA">
        <w:rPr>
          <w:rFonts w:ascii="Arial" w:hAnsi="Arial" w:cs="Arial"/>
          <w:sz w:val="20"/>
          <w:szCs w:val="20"/>
        </w:rPr>
        <w:t xml:space="preserve">Una entidad clasificará un plan multi-empleador como un plan de contribuciones definidas o de beneficios definidos, en función de sus características. En el caso de que el plan multi-empleador sea un plan de beneficios definidos, una entidad: </w:t>
      </w:r>
    </w:p>
    <w:p w:rsidR="00421257" w:rsidRPr="00AC4AEA" w:rsidRDefault="00421257" w:rsidP="00C01B25">
      <w:pPr>
        <w:numPr>
          <w:ilvl w:val="3"/>
          <w:numId w:val="493"/>
        </w:numPr>
        <w:spacing w:line="264" w:lineRule="auto"/>
        <w:ind w:left="1559" w:hanging="567"/>
        <w:jc w:val="both"/>
        <w:rPr>
          <w:rFonts w:ascii="Arial" w:hAnsi="Arial" w:cs="Arial"/>
          <w:sz w:val="20"/>
          <w:szCs w:val="20"/>
        </w:rPr>
      </w:pPr>
      <w:r w:rsidRPr="00AC4AEA">
        <w:rPr>
          <w:rFonts w:ascii="Arial" w:hAnsi="Arial" w:cs="Arial"/>
          <w:sz w:val="20"/>
          <w:szCs w:val="20"/>
        </w:rPr>
        <w:t>contabilizará su parte proporcional de la obligación por beneficios definidos, de los activos del plan y de los costos asociados con el plan, de la misma manera que haría en el caso de cualquier otro plan de beneficios definidos; y</w:t>
      </w:r>
      <w:r w:rsidR="006F2C57">
        <w:rPr>
          <w:rFonts w:ascii="Arial" w:hAnsi="Arial" w:cs="Arial"/>
          <w:sz w:val="20"/>
          <w:szCs w:val="20"/>
        </w:rPr>
        <w:t xml:space="preserve"> </w:t>
      </w:r>
    </w:p>
    <w:p w:rsidR="00421257" w:rsidRPr="00AC4AEA" w:rsidRDefault="00421257" w:rsidP="00C01B25">
      <w:pPr>
        <w:numPr>
          <w:ilvl w:val="3"/>
          <w:numId w:val="493"/>
        </w:numPr>
        <w:spacing w:line="264" w:lineRule="auto"/>
        <w:ind w:left="1559" w:hanging="567"/>
        <w:jc w:val="both"/>
        <w:rPr>
          <w:rFonts w:ascii="Arial" w:hAnsi="Arial" w:cs="Arial"/>
          <w:sz w:val="20"/>
          <w:szCs w:val="20"/>
        </w:rPr>
      </w:pPr>
      <w:r w:rsidRPr="00AC4AEA">
        <w:rPr>
          <w:rFonts w:ascii="Arial" w:hAnsi="Arial" w:cs="Arial"/>
          <w:sz w:val="20"/>
          <w:szCs w:val="20"/>
        </w:rPr>
        <w:t xml:space="preserve">revelará en sus </w:t>
      </w:r>
      <w:r w:rsidRPr="00AC4AEA">
        <w:rPr>
          <w:rFonts w:ascii="Arial" w:hAnsi="Arial" w:cs="Arial"/>
          <w:b/>
          <w:bCs/>
          <w:sz w:val="20"/>
          <w:szCs w:val="20"/>
        </w:rPr>
        <w:t>estados contables</w:t>
      </w:r>
      <w:r w:rsidRPr="00AC4AEA">
        <w:rPr>
          <w:rFonts w:ascii="Arial" w:hAnsi="Arial" w:cs="Arial"/>
          <w:sz w:val="20"/>
          <w:szCs w:val="20"/>
        </w:rPr>
        <w:t xml:space="preserve"> la información descripta en el párrafo </w:t>
      </w:r>
      <w:fldSimple w:instr=" REF _Ref135686404 \r \h  \* MERGEFORMAT ">
        <w:r w:rsidR="00D33A5D" w:rsidRPr="00D33A5D">
          <w:rPr>
            <w:rFonts w:ascii="Arial" w:hAnsi="Arial" w:cs="Arial"/>
            <w:sz w:val="20"/>
            <w:szCs w:val="20"/>
          </w:rPr>
          <w:t>940</w:t>
        </w:r>
      </w:fldSimple>
      <w:r w:rsidRPr="00AC4AEA">
        <w:rPr>
          <w:rFonts w:ascii="Arial" w:hAnsi="Arial"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Cuando no esté disponible información suficiente para aplicar el tratamiento contable de los planes de beneficios definidos a un plan de beneficios definidos multi-empleador, una entidad: </w:t>
      </w:r>
    </w:p>
    <w:p w:rsidR="00421257" w:rsidRPr="00AC4AEA" w:rsidRDefault="00421257" w:rsidP="00C01B25">
      <w:pPr>
        <w:numPr>
          <w:ilvl w:val="0"/>
          <w:numId w:val="687"/>
        </w:numPr>
        <w:spacing w:line="264" w:lineRule="auto"/>
        <w:ind w:hanging="511"/>
        <w:jc w:val="both"/>
        <w:rPr>
          <w:rFonts w:ascii="Arial" w:hAnsi="Arial" w:cs="Arial"/>
          <w:sz w:val="20"/>
          <w:szCs w:val="20"/>
        </w:rPr>
      </w:pPr>
      <w:r w:rsidRPr="00AC4AEA">
        <w:rPr>
          <w:rFonts w:ascii="Arial" w:hAnsi="Arial" w:cs="Arial"/>
          <w:sz w:val="20"/>
          <w:szCs w:val="20"/>
        </w:rPr>
        <w:t xml:space="preserve">tratará contablemente el plan como si fuera un plan de contribuciones definidas; </w:t>
      </w:r>
    </w:p>
    <w:p w:rsidR="00421257" w:rsidRPr="00AC4AEA" w:rsidRDefault="00421257" w:rsidP="00C01B25">
      <w:pPr>
        <w:numPr>
          <w:ilvl w:val="0"/>
          <w:numId w:val="687"/>
        </w:numPr>
        <w:spacing w:line="264" w:lineRule="auto"/>
        <w:ind w:hanging="511"/>
        <w:jc w:val="both"/>
        <w:rPr>
          <w:rFonts w:ascii="Arial" w:hAnsi="Arial" w:cs="Arial"/>
          <w:sz w:val="20"/>
          <w:szCs w:val="20"/>
        </w:rPr>
      </w:pPr>
      <w:r w:rsidRPr="00AC4AEA">
        <w:rPr>
          <w:rFonts w:ascii="Arial" w:hAnsi="Arial" w:cs="Arial"/>
          <w:sz w:val="20"/>
          <w:szCs w:val="20"/>
        </w:rPr>
        <w:t xml:space="preserve">revelará la siguiente información: </w:t>
      </w:r>
    </w:p>
    <w:p w:rsidR="00421257" w:rsidRPr="00AC4AEA" w:rsidRDefault="00421257" w:rsidP="00C01B25">
      <w:pPr>
        <w:numPr>
          <w:ilvl w:val="4"/>
          <w:numId w:val="494"/>
        </w:numPr>
        <w:spacing w:after="149" w:line="256" w:lineRule="auto"/>
        <w:ind w:right="-4" w:hanging="370"/>
        <w:jc w:val="both"/>
        <w:rPr>
          <w:rFonts w:ascii="Arial" w:hAnsi="Arial" w:cs="Arial"/>
          <w:sz w:val="20"/>
          <w:szCs w:val="20"/>
        </w:rPr>
      </w:pPr>
      <w:r w:rsidRPr="00AC4AEA">
        <w:rPr>
          <w:rFonts w:ascii="Arial" w:hAnsi="Arial" w:cs="Arial"/>
          <w:sz w:val="20"/>
          <w:szCs w:val="20"/>
        </w:rPr>
        <w:t xml:space="preserve">el hecho de que el plan multi-empleador es un plan de beneficios definidos; y </w:t>
      </w:r>
    </w:p>
    <w:p w:rsidR="00421257" w:rsidRPr="00AC4AEA" w:rsidRDefault="00421257" w:rsidP="00C01B25">
      <w:pPr>
        <w:numPr>
          <w:ilvl w:val="4"/>
          <w:numId w:val="494"/>
        </w:numPr>
        <w:spacing w:after="147" w:line="264" w:lineRule="auto"/>
        <w:ind w:right="-4" w:hanging="370"/>
        <w:jc w:val="both"/>
        <w:rPr>
          <w:rFonts w:ascii="Arial" w:hAnsi="Arial" w:cs="Arial"/>
          <w:sz w:val="20"/>
          <w:szCs w:val="20"/>
        </w:rPr>
      </w:pPr>
      <w:r w:rsidRPr="00AC4AEA">
        <w:rPr>
          <w:rFonts w:ascii="Arial" w:hAnsi="Arial" w:cs="Arial"/>
          <w:sz w:val="20"/>
          <w:szCs w:val="20"/>
        </w:rPr>
        <w:t xml:space="preserve">las razones por las que no está disponible la información suficiente para permitir a la entidad contabilizarlo como un plan de beneficios definidos; y </w:t>
      </w:r>
    </w:p>
    <w:p w:rsidR="00421257" w:rsidRPr="00AC4AEA" w:rsidRDefault="00421257" w:rsidP="00C01B25">
      <w:pPr>
        <w:numPr>
          <w:ilvl w:val="0"/>
          <w:numId w:val="687"/>
        </w:numPr>
        <w:spacing w:line="264" w:lineRule="auto"/>
        <w:ind w:hanging="511"/>
        <w:jc w:val="both"/>
        <w:rPr>
          <w:rFonts w:ascii="Arial" w:hAnsi="Arial" w:cs="Arial"/>
          <w:sz w:val="20"/>
          <w:szCs w:val="20"/>
        </w:rPr>
      </w:pPr>
      <w:r w:rsidRPr="00AC4AEA">
        <w:rPr>
          <w:rFonts w:ascii="Arial" w:hAnsi="Arial" w:cs="Arial"/>
          <w:sz w:val="20"/>
          <w:szCs w:val="20"/>
        </w:rPr>
        <w:t xml:space="preserve">en la medida que exista la posibilidad de que un excedente o déficit en el plan pueda afectar al importe de las futuras contribuciones, revelar adicionalmente: </w:t>
      </w:r>
    </w:p>
    <w:p w:rsidR="00421257" w:rsidRPr="00AC4AEA" w:rsidRDefault="00421257" w:rsidP="00C01B25">
      <w:pPr>
        <w:numPr>
          <w:ilvl w:val="4"/>
          <w:numId w:val="495"/>
        </w:numPr>
        <w:spacing w:after="147" w:line="264" w:lineRule="auto"/>
        <w:ind w:left="1985" w:hanging="410"/>
        <w:jc w:val="both"/>
        <w:rPr>
          <w:rFonts w:ascii="Arial" w:hAnsi="Arial" w:cs="Arial"/>
          <w:sz w:val="20"/>
          <w:szCs w:val="20"/>
        </w:rPr>
      </w:pPr>
      <w:r w:rsidRPr="00AC4AEA">
        <w:rPr>
          <w:rFonts w:ascii="Arial" w:hAnsi="Arial" w:cs="Arial"/>
          <w:sz w:val="20"/>
          <w:szCs w:val="20"/>
        </w:rPr>
        <w:t xml:space="preserve">cualquier información respecto a tal excedente o déficit; </w:t>
      </w:r>
    </w:p>
    <w:p w:rsidR="00421257" w:rsidRPr="00AC4AEA" w:rsidRDefault="00421257" w:rsidP="00C01B25">
      <w:pPr>
        <w:numPr>
          <w:ilvl w:val="4"/>
          <w:numId w:val="495"/>
        </w:numPr>
        <w:spacing w:after="147" w:line="264" w:lineRule="auto"/>
        <w:ind w:left="1985" w:hanging="410"/>
        <w:jc w:val="both"/>
        <w:rPr>
          <w:rFonts w:ascii="Arial" w:hAnsi="Arial" w:cs="Arial"/>
          <w:sz w:val="20"/>
          <w:szCs w:val="20"/>
        </w:rPr>
      </w:pPr>
      <w:r w:rsidRPr="00AC4AEA">
        <w:rPr>
          <w:rFonts w:ascii="Arial" w:hAnsi="Arial" w:cs="Arial"/>
          <w:sz w:val="20"/>
          <w:szCs w:val="20"/>
        </w:rPr>
        <w:t xml:space="preserve">las bases utilizadas para su determinación; y </w:t>
      </w:r>
    </w:p>
    <w:p w:rsidR="00421257" w:rsidRPr="00AC4AEA" w:rsidRDefault="00421257" w:rsidP="00C01B25">
      <w:pPr>
        <w:numPr>
          <w:ilvl w:val="4"/>
          <w:numId w:val="495"/>
        </w:numPr>
        <w:spacing w:after="147" w:line="264" w:lineRule="auto"/>
        <w:ind w:left="1985" w:hanging="410"/>
        <w:jc w:val="both"/>
        <w:rPr>
          <w:rFonts w:ascii="Arial" w:hAnsi="Arial" w:cs="Arial"/>
          <w:sz w:val="20"/>
          <w:szCs w:val="20"/>
        </w:rPr>
      </w:pPr>
      <w:r w:rsidRPr="00AC4AEA">
        <w:rPr>
          <w:rFonts w:ascii="Arial" w:hAnsi="Arial" w:cs="Arial"/>
          <w:sz w:val="20"/>
          <w:szCs w:val="20"/>
        </w:rPr>
        <w:t xml:space="preserve">las implicancias que, en su caso, pudieran tener estos desequilibrios para la entidad.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Los planes multi-empleador son diferentes de los planes administrados colectivamente. Un plan administrado colectivamente es una mera acumulación de planes individuales, combinados para permitir a las entidades participantes agrupar sus activos a la hora de realizar inversiones, y así poder obtener mejores rendimientos de sus inversiones y reducir los costos de administración, pero los activos pertenecientes a cada una de las entidades se mantienen segregados para atender los beneficios de sus empleados en particular. Los planes administrados colectivamente no plantean problemas particulares en cuanto a su contabilización, puesto que la información para proceder a su tratamiento contable está siempre disponible y porque tales planes no comportan la exposición de ninguna de las entidades participantes a los riesgos actuariales asociados con empleados activos o jubilados del resto de las entidades participantes. Las definiciones ofrecidas en esta resolución técnica exigen que las entidades clasifiquen los planes administrados colectivamente como planes de contribuciones definidas o de beneficios definidos, de acuerdo con las características de cada uno de ellos. </w:t>
      </w:r>
    </w:p>
    <w:p w:rsidR="00421257" w:rsidRPr="00AC4AEA" w:rsidRDefault="00421257" w:rsidP="00A318EA">
      <w:pPr>
        <w:spacing w:after="148" w:line="256" w:lineRule="auto"/>
        <w:ind w:left="936"/>
        <w:rPr>
          <w:rFonts w:ascii="Arial" w:hAnsi="Arial" w:cs="Arial"/>
          <w:sz w:val="20"/>
          <w:szCs w:val="20"/>
        </w:rPr>
      </w:pPr>
      <w:r w:rsidRPr="00AC4AEA">
        <w:rPr>
          <w:rFonts w:ascii="Arial" w:hAnsi="Arial" w:cs="Arial"/>
          <w:sz w:val="20"/>
          <w:szCs w:val="20"/>
        </w:rPr>
        <w:lastRenderedPageBreak/>
        <w:t xml:space="preserve"> </w:t>
      </w:r>
    </w:p>
    <w:p w:rsidR="00421257" w:rsidRPr="00AC4AEA" w:rsidRDefault="00421257" w:rsidP="00A318EA">
      <w:pPr>
        <w:pStyle w:val="Ttulo2"/>
        <w:rPr>
          <w:rFonts w:cs="Arial"/>
        </w:rPr>
      </w:pPr>
      <w:bookmarkStart w:id="1185" w:name="_Toc139357030"/>
      <w:r w:rsidRPr="00AC4AEA">
        <w:rPr>
          <w:rFonts w:cs="Arial"/>
        </w:rPr>
        <w:t xml:space="preserve">Planes </w:t>
      </w:r>
      <w:r w:rsidR="008F0E4D" w:rsidRPr="00AC4AEA">
        <w:rPr>
          <w:rFonts w:cs="Arial"/>
        </w:rPr>
        <w:t>g</w:t>
      </w:r>
      <w:r w:rsidRPr="00AC4AEA">
        <w:rPr>
          <w:rFonts w:cs="Arial"/>
        </w:rPr>
        <w:t>ubernamentales</w:t>
      </w:r>
      <w:bookmarkEnd w:id="1185"/>
      <w:r w:rsidRPr="00AC4AEA">
        <w:rPr>
          <w:rFonts w:cs="Arial"/>
        </w:rPr>
        <w:t xml:space="preserve"> </w:t>
      </w:r>
    </w:p>
    <w:p w:rsidR="00421257" w:rsidRPr="00AC4AEA" w:rsidRDefault="00421257" w:rsidP="00C01B25">
      <w:pPr>
        <w:numPr>
          <w:ilvl w:val="0"/>
          <w:numId w:val="670"/>
        </w:numPr>
        <w:spacing w:after="147" w:line="264" w:lineRule="auto"/>
        <w:ind w:left="993" w:hanging="567"/>
        <w:jc w:val="both"/>
        <w:rPr>
          <w:rFonts w:ascii="Arial" w:eastAsia="Times New Roman" w:hAnsi="Arial" w:cs="Arial"/>
          <w:sz w:val="20"/>
          <w:szCs w:val="20"/>
          <w:lang w:eastAsia="es-AR"/>
        </w:rPr>
      </w:pPr>
      <w:r w:rsidRPr="00AC4AEA">
        <w:rPr>
          <w:rFonts w:ascii="Arial" w:hAnsi="Arial" w:cs="Arial"/>
          <w:sz w:val="20"/>
          <w:szCs w:val="20"/>
        </w:rPr>
        <w:t xml:space="preserve">Los planes gubernamentales son establecidos por la legislación para cubrir a la totalidad de las entidades (o bien a todos las entidades de una misma clase o categoría, como por ejemplo a los que pertenecen a un sector específico de la industria) y se administran por autoridades nacionales, provinciales o municipales, o bien por otros organismos (por ejemplo, una agencia autónoma creada específicamente para este propósito) que no está sujeto al control o influencia de las entidades cuyos empleados son los beneficiarios.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caracterizará los planes gubernamentales como de contribuciones o de beneficios definidos según la naturaleza de las obligaciones de las entidades que participan en ellos. En la mayoría de los planes gubernamentales, la entidad no tiene obligación legal ni implícita de pagar futuras contribuciones, ya que su único compromiso consiste en pagar las contribuciones a medida que se realizan los pagos a los empleados, de forma </w:t>
      </w:r>
      <w:r w:rsidR="007E4589" w:rsidRPr="00AC4AEA">
        <w:rPr>
          <w:rFonts w:ascii="Arial" w:hAnsi="Arial" w:cs="Arial"/>
          <w:sz w:val="20"/>
          <w:szCs w:val="20"/>
        </w:rPr>
        <w:t>que,</w:t>
      </w:r>
      <w:r w:rsidRPr="00AC4AEA">
        <w:rPr>
          <w:rFonts w:ascii="Arial" w:hAnsi="Arial" w:cs="Arial"/>
          <w:sz w:val="20"/>
          <w:szCs w:val="20"/>
        </w:rPr>
        <w:t xml:space="preserve"> si la entidad dejara de emplear a beneficiarios del plan gubernamental, no tendría obligación de seguir pagando los beneficios acumulados (o devengados) por los años de servicio anteriores de sus empleados. Por esta razón, los planes gubernamentales se clasifican normalmente como planes de contribuciones definidas. </w:t>
      </w:r>
    </w:p>
    <w:p w:rsidR="00421257" w:rsidRPr="0013242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No obstante, en </w:t>
      </w:r>
      <w:r w:rsidRPr="0013242A">
        <w:rPr>
          <w:rFonts w:ascii="Arial" w:hAnsi="Arial" w:cs="Arial"/>
          <w:sz w:val="20"/>
          <w:szCs w:val="20"/>
        </w:rPr>
        <w:t>aquellos casos atípicos en que un plan gubernamental califi</w:t>
      </w:r>
      <w:r w:rsidR="00D81E8F" w:rsidRPr="0013242A">
        <w:rPr>
          <w:rFonts w:ascii="Arial" w:hAnsi="Arial" w:cs="Arial"/>
          <w:sz w:val="20"/>
          <w:szCs w:val="20"/>
        </w:rPr>
        <w:t>que</w:t>
      </w:r>
      <w:r w:rsidRPr="0013242A">
        <w:rPr>
          <w:rFonts w:ascii="Arial" w:hAnsi="Arial" w:cs="Arial"/>
          <w:sz w:val="20"/>
          <w:szCs w:val="20"/>
        </w:rPr>
        <w:t xml:space="preserve"> como un plan de beneficios definidos, una entidad </w:t>
      </w:r>
      <w:r w:rsidR="00D81E8F" w:rsidRPr="0013242A">
        <w:rPr>
          <w:rFonts w:ascii="Arial" w:hAnsi="Arial" w:cs="Arial"/>
          <w:sz w:val="20"/>
          <w:szCs w:val="20"/>
        </w:rPr>
        <w:t>aplicará</w:t>
      </w:r>
      <w:r w:rsidRPr="0013242A">
        <w:rPr>
          <w:rFonts w:ascii="Arial" w:hAnsi="Arial" w:cs="Arial"/>
          <w:sz w:val="20"/>
          <w:szCs w:val="20"/>
        </w:rPr>
        <w:t xml:space="preserve"> el tratamiento establecido en esta sección.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86" w:name="_Toc139357031"/>
      <w:r w:rsidRPr="00AC4AEA">
        <w:rPr>
          <w:rFonts w:cs="Arial"/>
        </w:rPr>
        <w:t xml:space="preserve">Beneficios </w:t>
      </w:r>
      <w:r w:rsidR="008F0E4D" w:rsidRPr="00AC4AEA">
        <w:rPr>
          <w:rFonts w:cs="Arial"/>
        </w:rPr>
        <w:t>a</w:t>
      </w:r>
      <w:r w:rsidRPr="00AC4AEA">
        <w:rPr>
          <w:rFonts w:cs="Arial"/>
        </w:rPr>
        <w:t>segurados</w:t>
      </w:r>
      <w:bookmarkEnd w:id="1186"/>
      <w:r w:rsidR="006F2C57">
        <w:rPr>
          <w:rFonts w:cs="Arial"/>
        </w:rPr>
        <w:t xml:space="preserve"> </w:t>
      </w:r>
    </w:p>
    <w:p w:rsidR="00421257" w:rsidRPr="00AC4AEA" w:rsidRDefault="00421257" w:rsidP="00C01B25">
      <w:pPr>
        <w:numPr>
          <w:ilvl w:val="0"/>
          <w:numId w:val="670"/>
        </w:numPr>
        <w:spacing w:after="147" w:line="264" w:lineRule="auto"/>
        <w:ind w:left="993" w:hanging="567"/>
        <w:jc w:val="both"/>
        <w:rPr>
          <w:rFonts w:ascii="Arial" w:eastAsia="Times New Roman" w:hAnsi="Arial" w:cs="Arial"/>
          <w:sz w:val="20"/>
          <w:szCs w:val="20"/>
          <w:lang w:eastAsia="es-AR"/>
        </w:rPr>
      </w:pPr>
      <w:r w:rsidRPr="00AC4AEA">
        <w:rPr>
          <w:rFonts w:ascii="Arial" w:hAnsi="Arial" w:cs="Arial"/>
          <w:sz w:val="20"/>
          <w:szCs w:val="20"/>
        </w:rPr>
        <w:t xml:space="preserve">Una entidad puede fondear un plan de beneficios post-relación laboral mediante la contratación de una póliza de seguros. Cuando la póliza de seguros está a nombre de uno de los empleados participantes o de un grupo de empleados y la entidad que la ha contratado no tiene obligación legal ni implícita de cubrir las pérdidas derivadas de la póliza, no existiendo para la entidad ningún compromiso de pagar los beneficios de los empleados, puesto que el asegurador es el responsable exclusivo de tales pagos, una entidad tratará el plan como un plan de contribuciones definidas.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Cuando tenga la obligación legal o implícita de: </w:t>
      </w:r>
    </w:p>
    <w:p w:rsidR="00421257" w:rsidRPr="00AC4AEA" w:rsidRDefault="00421257" w:rsidP="00C01B25">
      <w:pPr>
        <w:numPr>
          <w:ilvl w:val="0"/>
          <w:numId w:val="688"/>
        </w:numPr>
        <w:spacing w:line="264" w:lineRule="auto"/>
        <w:ind w:hanging="511"/>
        <w:jc w:val="both"/>
        <w:rPr>
          <w:rFonts w:ascii="Arial" w:hAnsi="Arial" w:cs="Arial"/>
          <w:sz w:val="20"/>
          <w:szCs w:val="20"/>
        </w:rPr>
      </w:pPr>
      <w:r w:rsidRPr="00AC4AEA">
        <w:rPr>
          <w:rFonts w:ascii="Arial" w:hAnsi="Arial" w:cs="Arial"/>
          <w:sz w:val="20"/>
          <w:szCs w:val="20"/>
        </w:rPr>
        <w:t xml:space="preserve">pagar a los empleados los beneficios directamente en el momento en que sean exigibles; o </w:t>
      </w:r>
    </w:p>
    <w:p w:rsidR="00421257" w:rsidRPr="00AC4AEA" w:rsidRDefault="00421257" w:rsidP="00C01B25">
      <w:pPr>
        <w:numPr>
          <w:ilvl w:val="0"/>
          <w:numId w:val="688"/>
        </w:numPr>
        <w:spacing w:line="264" w:lineRule="auto"/>
        <w:ind w:hanging="511"/>
        <w:jc w:val="both"/>
        <w:rPr>
          <w:rFonts w:ascii="Arial" w:hAnsi="Arial" w:cs="Arial"/>
          <w:sz w:val="20"/>
          <w:szCs w:val="20"/>
        </w:rPr>
      </w:pPr>
      <w:r w:rsidRPr="00AC4AEA">
        <w:rPr>
          <w:rFonts w:ascii="Arial" w:hAnsi="Arial" w:cs="Arial"/>
          <w:sz w:val="20"/>
          <w:szCs w:val="20"/>
        </w:rPr>
        <w:t xml:space="preserve">pagar cantidades adicionales si el asegurador no pagara todos los beneficios relativos a los servicios prestados por los empleados en el periodo presente y en los anteriores; la entidad deberá tratar al plan como si fuera un plan de beneficios definidos. Una entidad: </w:t>
      </w:r>
    </w:p>
    <w:p w:rsidR="00421257" w:rsidRPr="00AC4AEA" w:rsidRDefault="00421257" w:rsidP="00C01B25">
      <w:pPr>
        <w:numPr>
          <w:ilvl w:val="4"/>
          <w:numId w:val="496"/>
        </w:numPr>
        <w:spacing w:after="147" w:line="264" w:lineRule="auto"/>
        <w:ind w:left="1985" w:hanging="370"/>
        <w:jc w:val="both"/>
        <w:rPr>
          <w:rFonts w:ascii="Arial" w:hAnsi="Arial" w:cs="Arial"/>
          <w:sz w:val="20"/>
          <w:szCs w:val="20"/>
        </w:rPr>
      </w:pPr>
      <w:r w:rsidRPr="00AC4AEA">
        <w:rPr>
          <w:rFonts w:ascii="Arial" w:hAnsi="Arial" w:cs="Arial"/>
          <w:sz w:val="20"/>
          <w:szCs w:val="20"/>
        </w:rPr>
        <w:t xml:space="preserve">contabilizará la póliza de seguro aceptable como un </w:t>
      </w:r>
      <w:r w:rsidR="004E1215" w:rsidRPr="004E1215">
        <w:rPr>
          <w:rFonts w:ascii="Arial" w:hAnsi="Arial" w:cs="Arial"/>
          <w:b/>
          <w:bCs/>
          <w:sz w:val="20"/>
          <w:szCs w:val="20"/>
        </w:rPr>
        <w:t xml:space="preserve">activo </w:t>
      </w:r>
      <w:r w:rsidRPr="00AC4AEA">
        <w:rPr>
          <w:rFonts w:ascii="Arial" w:hAnsi="Arial" w:cs="Arial"/>
          <w:sz w:val="20"/>
          <w:szCs w:val="20"/>
        </w:rPr>
        <w:t xml:space="preserve">del plan; y </w:t>
      </w:r>
    </w:p>
    <w:p w:rsidR="00421257" w:rsidRPr="00AC4AEA" w:rsidRDefault="00421257" w:rsidP="00C01B25">
      <w:pPr>
        <w:numPr>
          <w:ilvl w:val="4"/>
          <w:numId w:val="496"/>
        </w:numPr>
        <w:spacing w:after="147" w:line="264" w:lineRule="auto"/>
        <w:ind w:left="1985" w:hanging="370"/>
        <w:jc w:val="both"/>
        <w:rPr>
          <w:rFonts w:ascii="Arial" w:hAnsi="Arial" w:cs="Arial"/>
          <w:sz w:val="20"/>
          <w:szCs w:val="20"/>
        </w:rPr>
      </w:pPr>
      <w:r w:rsidRPr="00AC4AEA">
        <w:rPr>
          <w:rFonts w:ascii="Arial" w:hAnsi="Arial" w:cs="Arial"/>
          <w:sz w:val="20"/>
          <w:szCs w:val="20"/>
        </w:rPr>
        <w:t xml:space="preserve">reconocerá las demás pólizas de seguro como derechos de reembolso. </w:t>
      </w:r>
    </w:p>
    <w:p w:rsidR="00421257" w:rsidRPr="00AC4AEA" w:rsidRDefault="00421257" w:rsidP="00A318EA">
      <w:pPr>
        <w:spacing w:after="150" w:line="256" w:lineRule="auto"/>
        <w:ind w:left="1654"/>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187" w:name="_Toc139357032"/>
      <w:r w:rsidRPr="00AC4AEA">
        <w:rPr>
          <w:rFonts w:cs="Arial"/>
        </w:rPr>
        <w:lastRenderedPageBreak/>
        <w:t>Otros beneficios a largo plazo a favor de los empleados</w:t>
      </w:r>
      <w:bookmarkEnd w:id="1187"/>
      <w:r w:rsidRPr="00AC4AEA">
        <w:rPr>
          <w:rFonts w:cs="Arial"/>
        </w:rPr>
        <w:t xml:space="preserve"> </w:t>
      </w:r>
    </w:p>
    <w:p w:rsidR="00421257" w:rsidRPr="00AC4AEA" w:rsidRDefault="00421257" w:rsidP="00C01B25">
      <w:pPr>
        <w:numPr>
          <w:ilvl w:val="0"/>
          <w:numId w:val="670"/>
        </w:numPr>
        <w:spacing w:after="147" w:line="264" w:lineRule="auto"/>
        <w:ind w:left="993" w:hanging="567"/>
        <w:jc w:val="both"/>
        <w:rPr>
          <w:rFonts w:ascii="Arial" w:eastAsia="Times New Roman" w:hAnsi="Arial" w:cs="Arial"/>
          <w:sz w:val="20"/>
          <w:szCs w:val="20"/>
          <w:lang w:eastAsia="es-AR"/>
        </w:rPr>
      </w:pPr>
      <w:r w:rsidRPr="00AC4AEA">
        <w:rPr>
          <w:rFonts w:ascii="Arial" w:hAnsi="Arial" w:cs="Arial"/>
          <w:sz w:val="20"/>
          <w:szCs w:val="20"/>
        </w:rPr>
        <w:t xml:space="preserve">Los otros beneficios a largo plazo a los empleados incluyen, por ejemplo: </w:t>
      </w:r>
    </w:p>
    <w:p w:rsidR="00421257" w:rsidRPr="00AC4AEA" w:rsidRDefault="00421257" w:rsidP="00C01B25">
      <w:pPr>
        <w:numPr>
          <w:ilvl w:val="0"/>
          <w:numId w:val="689"/>
        </w:numPr>
        <w:spacing w:line="264" w:lineRule="auto"/>
        <w:ind w:hanging="511"/>
        <w:jc w:val="both"/>
        <w:rPr>
          <w:rFonts w:ascii="Arial" w:hAnsi="Arial" w:cs="Arial"/>
          <w:sz w:val="20"/>
          <w:szCs w:val="20"/>
        </w:rPr>
      </w:pPr>
      <w:r w:rsidRPr="00AC4AEA">
        <w:rPr>
          <w:rFonts w:ascii="Arial" w:hAnsi="Arial" w:cs="Arial"/>
          <w:sz w:val="20"/>
          <w:szCs w:val="20"/>
        </w:rPr>
        <w:t xml:space="preserve">las ausencias remuneradas a largo plazo, tales como vacaciones especiales tras largos períodos de vida activa o años sabáticos; </w:t>
      </w:r>
    </w:p>
    <w:p w:rsidR="00421257" w:rsidRPr="00AC4AEA" w:rsidRDefault="00421257" w:rsidP="00C01B25">
      <w:pPr>
        <w:numPr>
          <w:ilvl w:val="0"/>
          <w:numId w:val="689"/>
        </w:numPr>
        <w:spacing w:line="264" w:lineRule="auto"/>
        <w:ind w:hanging="511"/>
        <w:jc w:val="both"/>
        <w:rPr>
          <w:rFonts w:ascii="Arial" w:hAnsi="Arial" w:cs="Arial"/>
          <w:sz w:val="20"/>
          <w:szCs w:val="20"/>
        </w:rPr>
      </w:pPr>
      <w:r w:rsidRPr="00AC4AEA">
        <w:rPr>
          <w:rFonts w:ascii="Arial" w:hAnsi="Arial" w:cs="Arial"/>
          <w:sz w:val="20"/>
          <w:szCs w:val="20"/>
        </w:rPr>
        <w:t xml:space="preserve">los premios por antigüedad u otros beneficios por largo tiempo de servicio; </w:t>
      </w:r>
    </w:p>
    <w:p w:rsidR="00421257" w:rsidRPr="00AC4AEA" w:rsidRDefault="00421257" w:rsidP="00C01B25">
      <w:pPr>
        <w:numPr>
          <w:ilvl w:val="0"/>
          <w:numId w:val="689"/>
        </w:numPr>
        <w:spacing w:line="264" w:lineRule="auto"/>
        <w:ind w:hanging="511"/>
        <w:jc w:val="both"/>
        <w:rPr>
          <w:rFonts w:ascii="Arial" w:hAnsi="Arial" w:cs="Arial"/>
          <w:sz w:val="20"/>
          <w:szCs w:val="20"/>
        </w:rPr>
      </w:pPr>
      <w:r w:rsidRPr="00AC4AEA">
        <w:rPr>
          <w:rFonts w:ascii="Arial" w:hAnsi="Arial" w:cs="Arial"/>
          <w:sz w:val="20"/>
          <w:szCs w:val="20"/>
        </w:rPr>
        <w:t xml:space="preserve">los beneficios por invalidez permanente; </w:t>
      </w:r>
    </w:p>
    <w:p w:rsidR="00421257" w:rsidRPr="00AC4AEA" w:rsidRDefault="00421257" w:rsidP="00C01B25">
      <w:pPr>
        <w:numPr>
          <w:ilvl w:val="0"/>
          <w:numId w:val="689"/>
        </w:numPr>
        <w:spacing w:line="264" w:lineRule="auto"/>
        <w:ind w:hanging="511"/>
        <w:jc w:val="both"/>
        <w:rPr>
          <w:rFonts w:ascii="Arial" w:hAnsi="Arial" w:cs="Arial"/>
          <w:sz w:val="20"/>
          <w:szCs w:val="20"/>
        </w:rPr>
      </w:pPr>
      <w:r w:rsidRPr="00AC4AEA">
        <w:rPr>
          <w:rFonts w:ascii="Arial" w:hAnsi="Arial" w:cs="Arial"/>
          <w:sz w:val="20"/>
          <w:szCs w:val="20"/>
        </w:rPr>
        <w:t xml:space="preserve">la participación en ganancias e incentivos pagaderos a partir de los doce meses del cierre del período en el que los empleados han prestado sus servicios correspondientes; y </w:t>
      </w:r>
    </w:p>
    <w:p w:rsidR="00421257" w:rsidRPr="00AC4AEA" w:rsidRDefault="00421257" w:rsidP="00C01B25">
      <w:pPr>
        <w:numPr>
          <w:ilvl w:val="0"/>
          <w:numId w:val="689"/>
        </w:numPr>
        <w:spacing w:line="264" w:lineRule="auto"/>
        <w:ind w:hanging="511"/>
        <w:jc w:val="both"/>
        <w:rPr>
          <w:rFonts w:ascii="Arial" w:hAnsi="Arial" w:cs="Arial"/>
          <w:sz w:val="20"/>
          <w:szCs w:val="20"/>
        </w:rPr>
      </w:pPr>
      <w:r w:rsidRPr="00AC4AEA">
        <w:rPr>
          <w:rFonts w:ascii="Arial" w:hAnsi="Arial" w:cs="Arial"/>
          <w:sz w:val="20"/>
          <w:szCs w:val="20"/>
        </w:rPr>
        <w:t xml:space="preserve">los beneficios diferidos que se recibirán a partir de los doce meses del cierre del período en el que se han ganado.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La medición de los otros beneficios a largo plazo a los empleados no está sujeta, normalmente, al mismo grado de incertidumbre que afecta a los beneficios post-relación laboral. Además, la creación de -o los cambios a- este tipo de beneficios a largo plazo raramente resultan en un importe significativo de costo por servicios prestados en el pasado. Por tales razones, esta resolución técnica exige la utilización de un método simplificado para el registro contable de los otros beneficios a largo plazo a los empleados. Este método difiere de la contabilización exigida para los beneficios post-relación laboral </w:t>
      </w:r>
      <w:r w:rsidR="00A52112" w:rsidRPr="00AC4AEA">
        <w:rPr>
          <w:rFonts w:ascii="Arial" w:hAnsi="Arial" w:cs="Arial"/>
          <w:sz w:val="20"/>
          <w:szCs w:val="20"/>
        </w:rPr>
        <w:t>cualquier efecto por el reconocimiento y la medición del plan se reconoce en resultados.</w:t>
      </w:r>
      <w:r w:rsidRPr="00AC4AEA">
        <w:rPr>
          <w:rFonts w:ascii="Arial" w:hAnsi="Arial" w:cs="Arial"/>
          <w:sz w:val="20"/>
          <w:szCs w:val="20"/>
        </w:rPr>
        <w:t xml:space="preserve"> </w:t>
      </w:r>
    </w:p>
    <w:p w:rsidR="00421257" w:rsidRPr="00AC4AEA" w:rsidRDefault="00421257" w:rsidP="00A318EA">
      <w:pPr>
        <w:spacing w:after="150" w:line="256" w:lineRule="auto"/>
        <w:ind w:left="1274"/>
        <w:rPr>
          <w:rFonts w:ascii="Arial" w:hAnsi="Arial" w:cs="Arial"/>
          <w:sz w:val="20"/>
          <w:szCs w:val="20"/>
        </w:rPr>
      </w:pPr>
    </w:p>
    <w:p w:rsidR="00421257" w:rsidRPr="00AC4AEA" w:rsidRDefault="00421257" w:rsidP="00A318EA">
      <w:pPr>
        <w:pStyle w:val="Ttulo3"/>
      </w:pPr>
      <w:bookmarkStart w:id="1188" w:name="_Toc139357033"/>
      <w:r w:rsidRPr="00AC4AEA">
        <w:t>Reconocimiento</w:t>
      </w:r>
      <w:bookmarkEnd w:id="1188"/>
      <w:r w:rsidRPr="00AC4AEA">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reconocerá un pasivo por otros beneficios a largo plazo a los empleados por un importe equivalente a: </w:t>
      </w:r>
    </w:p>
    <w:p w:rsidR="00421257" w:rsidRPr="00AC4AEA" w:rsidRDefault="00421257" w:rsidP="00C01B25">
      <w:pPr>
        <w:numPr>
          <w:ilvl w:val="0"/>
          <w:numId w:val="690"/>
        </w:numPr>
        <w:spacing w:line="264" w:lineRule="auto"/>
        <w:ind w:hanging="511"/>
        <w:jc w:val="both"/>
        <w:rPr>
          <w:rFonts w:ascii="Arial" w:hAnsi="Arial" w:cs="Arial"/>
          <w:sz w:val="20"/>
          <w:szCs w:val="20"/>
        </w:rPr>
      </w:pPr>
      <w:r w:rsidRPr="00AC4AEA">
        <w:rPr>
          <w:rFonts w:ascii="Arial" w:hAnsi="Arial" w:cs="Arial"/>
          <w:sz w:val="20"/>
          <w:szCs w:val="20"/>
        </w:rPr>
        <w:t xml:space="preserve">el valor presente de la obligación por otros beneficios a largo plazo definidos a la </w:t>
      </w:r>
      <w:r w:rsidRPr="00AC4AEA">
        <w:rPr>
          <w:rFonts w:ascii="Arial" w:hAnsi="Arial" w:cs="Arial"/>
          <w:b/>
          <w:bCs/>
          <w:sz w:val="20"/>
          <w:szCs w:val="20"/>
        </w:rPr>
        <w:t>fecha de los estados contables</w:t>
      </w:r>
      <w:r w:rsidRPr="00AC4AEA">
        <w:rPr>
          <w:rFonts w:ascii="Arial" w:hAnsi="Arial" w:cs="Arial"/>
          <w:sz w:val="20"/>
          <w:szCs w:val="20"/>
        </w:rPr>
        <w:t>; menos</w:t>
      </w:r>
      <w:r w:rsidR="006F2C57">
        <w:rPr>
          <w:rFonts w:ascii="Arial" w:hAnsi="Arial" w:cs="Arial"/>
          <w:sz w:val="20"/>
          <w:szCs w:val="20"/>
        </w:rPr>
        <w:t xml:space="preserve"> </w:t>
      </w:r>
    </w:p>
    <w:p w:rsidR="00421257" w:rsidRPr="00AC4AEA" w:rsidRDefault="00421257" w:rsidP="00C01B25">
      <w:pPr>
        <w:numPr>
          <w:ilvl w:val="0"/>
          <w:numId w:val="690"/>
        </w:numPr>
        <w:spacing w:line="264" w:lineRule="auto"/>
        <w:ind w:hanging="511"/>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valor razonable</w:t>
      </w:r>
      <w:r w:rsidRPr="00AC4AEA">
        <w:rPr>
          <w:rFonts w:ascii="Arial" w:hAnsi="Arial" w:cs="Arial"/>
          <w:sz w:val="20"/>
          <w:szCs w:val="20"/>
        </w:rPr>
        <w:t xml:space="preserve">, a la </w:t>
      </w:r>
      <w:r w:rsidRPr="00AC4AEA">
        <w:rPr>
          <w:rFonts w:ascii="Arial" w:hAnsi="Arial" w:cs="Arial"/>
          <w:b/>
          <w:bCs/>
          <w:sz w:val="20"/>
          <w:szCs w:val="20"/>
        </w:rPr>
        <w:t>fecha de los estados contables</w:t>
      </w:r>
      <w:r w:rsidRPr="00AC4AEA">
        <w:rPr>
          <w:rFonts w:ascii="Arial" w:hAnsi="Arial" w:cs="Arial"/>
          <w:sz w:val="20"/>
          <w:szCs w:val="20"/>
        </w:rPr>
        <w:t xml:space="preserve">, de los activos del plan, si los hubiere, con los que se cancelarán directamente las obligaciones. </w:t>
      </w:r>
    </w:p>
    <w:p w:rsidR="00421257" w:rsidRPr="00AC4AEA" w:rsidRDefault="00421257" w:rsidP="00A318EA">
      <w:pPr>
        <w:spacing w:after="153" w:line="256" w:lineRule="auto"/>
        <w:ind w:left="1274"/>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189" w:name="_Toc139357034"/>
      <w:r w:rsidRPr="00AC4AEA">
        <w:t>Medición</w:t>
      </w:r>
      <w:bookmarkEnd w:id="1189"/>
      <w:r w:rsidRPr="00AC4AEA">
        <w:t xml:space="preserve">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Al medir el importe del pasivo, una entidad aplicará lo establecido para planes de beneficios definidos.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entidad deberá reconocer el importe neto total de las siguientes cantidades como </w:t>
      </w:r>
      <w:r w:rsidRPr="002A73C3">
        <w:rPr>
          <w:rFonts w:ascii="Arial" w:hAnsi="Arial" w:cs="Arial"/>
          <w:b/>
          <w:bCs/>
          <w:sz w:val="20"/>
          <w:szCs w:val="20"/>
        </w:rPr>
        <w:t xml:space="preserve">gasto </w:t>
      </w:r>
      <w:r w:rsidRPr="00AC4AEA">
        <w:rPr>
          <w:rFonts w:ascii="Arial" w:hAnsi="Arial" w:cs="Arial"/>
          <w:sz w:val="20"/>
          <w:szCs w:val="20"/>
        </w:rPr>
        <w:t xml:space="preserve">o como </w:t>
      </w:r>
      <w:r w:rsidRPr="002A73C3">
        <w:rPr>
          <w:rFonts w:ascii="Arial" w:hAnsi="Arial" w:cs="Arial"/>
          <w:b/>
          <w:bCs/>
          <w:sz w:val="20"/>
          <w:szCs w:val="20"/>
        </w:rPr>
        <w:t>ingreso</w:t>
      </w:r>
      <w:r w:rsidRPr="00AC4AEA">
        <w:rPr>
          <w:rFonts w:ascii="Arial" w:hAnsi="Arial" w:cs="Arial"/>
          <w:sz w:val="20"/>
          <w:szCs w:val="20"/>
        </w:rPr>
        <w:t>, o como un componente del costo de un activo</w:t>
      </w:r>
      <w:r w:rsidR="007F6589" w:rsidRPr="00AC4AEA">
        <w:rPr>
          <w:rFonts w:ascii="Arial" w:hAnsi="Arial" w:cs="Arial"/>
          <w:sz w:val="20"/>
          <w:szCs w:val="20"/>
        </w:rPr>
        <w:t xml:space="preserve">, según lo establecido en esta Resolución Técnica u </w:t>
      </w:r>
      <w:r w:rsidR="007F6589" w:rsidRPr="00AC4AEA">
        <w:rPr>
          <w:rFonts w:ascii="Arial" w:hAnsi="Arial" w:cs="Arial"/>
          <w:b/>
          <w:bCs/>
          <w:sz w:val="20"/>
          <w:szCs w:val="20"/>
        </w:rPr>
        <w:t>otras normas contables</w:t>
      </w:r>
      <w:r w:rsidRPr="00AC4AEA">
        <w:rPr>
          <w:rFonts w:ascii="Arial" w:hAnsi="Arial" w:cs="Arial"/>
          <w:sz w:val="20"/>
          <w:szCs w:val="20"/>
        </w:rPr>
        <w:t xml:space="preserve">: </w:t>
      </w:r>
    </w:p>
    <w:p w:rsidR="00421257" w:rsidRPr="00AC4AEA" w:rsidRDefault="00421257" w:rsidP="00C01B25">
      <w:pPr>
        <w:numPr>
          <w:ilvl w:val="0"/>
          <w:numId w:val="691"/>
        </w:numPr>
        <w:spacing w:line="264" w:lineRule="auto"/>
        <w:ind w:hanging="511"/>
        <w:jc w:val="both"/>
        <w:rPr>
          <w:rFonts w:ascii="Arial" w:hAnsi="Arial" w:cs="Arial"/>
          <w:sz w:val="20"/>
          <w:szCs w:val="20"/>
        </w:rPr>
      </w:pPr>
      <w:r w:rsidRPr="00AC4AEA">
        <w:rPr>
          <w:rFonts w:ascii="Arial" w:hAnsi="Arial" w:cs="Arial"/>
          <w:sz w:val="20"/>
          <w:szCs w:val="20"/>
        </w:rPr>
        <w:t xml:space="preserve">el costo de servicio del período presente; </w:t>
      </w:r>
    </w:p>
    <w:p w:rsidR="00421257" w:rsidRPr="00AC4AEA" w:rsidRDefault="00421257" w:rsidP="00C01B25">
      <w:pPr>
        <w:numPr>
          <w:ilvl w:val="0"/>
          <w:numId w:val="691"/>
        </w:numPr>
        <w:spacing w:line="264" w:lineRule="auto"/>
        <w:ind w:hanging="511"/>
        <w:jc w:val="both"/>
        <w:rPr>
          <w:rFonts w:ascii="Arial" w:hAnsi="Arial" w:cs="Arial"/>
          <w:sz w:val="20"/>
          <w:szCs w:val="20"/>
        </w:rPr>
      </w:pPr>
      <w:r w:rsidRPr="00AC4AEA">
        <w:rPr>
          <w:rFonts w:ascii="Arial" w:hAnsi="Arial" w:cs="Arial"/>
          <w:sz w:val="20"/>
          <w:szCs w:val="20"/>
        </w:rPr>
        <w:t xml:space="preserve">el costo por intereses; </w:t>
      </w:r>
    </w:p>
    <w:p w:rsidR="00421257" w:rsidRPr="00AC4AEA" w:rsidRDefault="00421257" w:rsidP="00C01B25">
      <w:pPr>
        <w:numPr>
          <w:ilvl w:val="0"/>
          <w:numId w:val="691"/>
        </w:numPr>
        <w:spacing w:line="264" w:lineRule="auto"/>
        <w:ind w:hanging="511"/>
        <w:jc w:val="both"/>
        <w:rPr>
          <w:rFonts w:ascii="Arial" w:hAnsi="Arial" w:cs="Arial"/>
          <w:sz w:val="20"/>
          <w:szCs w:val="20"/>
        </w:rPr>
      </w:pPr>
      <w:r w:rsidRPr="00AC4AEA">
        <w:rPr>
          <w:rFonts w:ascii="Arial" w:hAnsi="Arial" w:cs="Arial"/>
          <w:sz w:val="20"/>
          <w:szCs w:val="20"/>
        </w:rPr>
        <w:lastRenderedPageBreak/>
        <w:t xml:space="preserve">el rendimiento esperado de los activos del plan y de cualquier derecho de reembolso reconocido como un activo; </w:t>
      </w:r>
    </w:p>
    <w:p w:rsidR="00421257" w:rsidRPr="00AC4AEA" w:rsidRDefault="00421257" w:rsidP="00C01B25">
      <w:pPr>
        <w:numPr>
          <w:ilvl w:val="0"/>
          <w:numId w:val="691"/>
        </w:numPr>
        <w:spacing w:line="264" w:lineRule="auto"/>
        <w:ind w:hanging="511"/>
        <w:jc w:val="both"/>
        <w:rPr>
          <w:rFonts w:ascii="Arial" w:hAnsi="Arial" w:cs="Arial"/>
          <w:sz w:val="20"/>
          <w:szCs w:val="20"/>
        </w:rPr>
      </w:pPr>
      <w:r w:rsidRPr="00AC4AEA">
        <w:rPr>
          <w:rFonts w:ascii="Arial" w:hAnsi="Arial" w:cs="Arial"/>
          <w:sz w:val="20"/>
          <w:szCs w:val="20"/>
        </w:rPr>
        <w:t>las pérdidas y ganancias actuariales,</w:t>
      </w:r>
      <w:r w:rsidR="006F2C57">
        <w:rPr>
          <w:rFonts w:ascii="Arial" w:hAnsi="Arial" w:cs="Arial"/>
          <w:sz w:val="20"/>
          <w:szCs w:val="20"/>
        </w:rPr>
        <w:t xml:space="preserve"> </w:t>
      </w:r>
    </w:p>
    <w:p w:rsidR="00421257" w:rsidRPr="00AC4AEA" w:rsidRDefault="00421257" w:rsidP="00C01B25">
      <w:pPr>
        <w:numPr>
          <w:ilvl w:val="0"/>
          <w:numId w:val="691"/>
        </w:numPr>
        <w:spacing w:line="264" w:lineRule="auto"/>
        <w:ind w:hanging="511"/>
        <w:jc w:val="both"/>
        <w:rPr>
          <w:rFonts w:ascii="Arial" w:hAnsi="Arial" w:cs="Arial"/>
          <w:sz w:val="20"/>
          <w:szCs w:val="20"/>
        </w:rPr>
      </w:pPr>
      <w:r w:rsidRPr="00AC4AEA">
        <w:rPr>
          <w:rFonts w:ascii="Arial" w:hAnsi="Arial" w:cs="Arial"/>
          <w:sz w:val="20"/>
          <w:szCs w:val="20"/>
        </w:rPr>
        <w:t xml:space="preserve">el costo por servicios prestados en el pasado, y </w:t>
      </w:r>
    </w:p>
    <w:p w:rsidR="00421257" w:rsidRPr="00AC4AEA" w:rsidRDefault="00421257" w:rsidP="00C01B25">
      <w:pPr>
        <w:numPr>
          <w:ilvl w:val="0"/>
          <w:numId w:val="691"/>
        </w:numPr>
        <w:spacing w:line="264" w:lineRule="auto"/>
        <w:ind w:hanging="511"/>
        <w:jc w:val="both"/>
        <w:rPr>
          <w:rFonts w:ascii="Arial" w:hAnsi="Arial" w:cs="Arial"/>
          <w:sz w:val="20"/>
          <w:szCs w:val="20"/>
        </w:rPr>
      </w:pPr>
      <w:r w:rsidRPr="00AC4AEA">
        <w:rPr>
          <w:rFonts w:ascii="Arial" w:hAnsi="Arial" w:cs="Arial"/>
          <w:sz w:val="20"/>
          <w:szCs w:val="20"/>
        </w:rPr>
        <w:t xml:space="preserve">el efecto de reducciones o terminaciones. </w:t>
      </w:r>
    </w:p>
    <w:p w:rsidR="00421257" w:rsidRPr="00AC4AEA" w:rsidRDefault="00421257" w:rsidP="00C01B25">
      <w:pPr>
        <w:numPr>
          <w:ilvl w:val="0"/>
          <w:numId w:val="670"/>
        </w:numPr>
        <w:spacing w:after="147" w:line="264" w:lineRule="auto"/>
        <w:ind w:left="993" w:hanging="567"/>
        <w:jc w:val="both"/>
        <w:rPr>
          <w:rFonts w:ascii="Arial" w:hAnsi="Arial" w:cs="Arial"/>
          <w:sz w:val="20"/>
          <w:szCs w:val="20"/>
        </w:rPr>
      </w:pPr>
      <w:bookmarkStart w:id="1190" w:name="_Ref135045493"/>
      <w:r w:rsidRPr="00AC4AEA">
        <w:rPr>
          <w:rFonts w:ascii="Arial" w:hAnsi="Arial" w:cs="Arial"/>
          <w:sz w:val="20"/>
          <w:szCs w:val="20"/>
        </w:rPr>
        <w:t>Una variedad posible de otros beneficios a largo plazo a los empleados es el beneficio por invalidez permanente. Si el importe del beneficio depende del período de servicio activo, la obligación surgirá cuando se preste el servicio. Una entidad:</w:t>
      </w:r>
      <w:bookmarkEnd w:id="1190"/>
      <w:r w:rsidR="006F2C57">
        <w:rPr>
          <w:rFonts w:ascii="Arial" w:hAnsi="Arial" w:cs="Arial"/>
          <w:sz w:val="20"/>
          <w:szCs w:val="20"/>
        </w:rPr>
        <w:t xml:space="preserve"> </w:t>
      </w:r>
    </w:p>
    <w:p w:rsidR="00421257" w:rsidRPr="0013242A" w:rsidRDefault="00421257" w:rsidP="00C01B25">
      <w:pPr>
        <w:numPr>
          <w:ilvl w:val="0"/>
          <w:numId w:val="692"/>
        </w:numPr>
        <w:spacing w:line="264" w:lineRule="auto"/>
        <w:ind w:hanging="511"/>
        <w:jc w:val="both"/>
        <w:rPr>
          <w:rFonts w:ascii="Arial" w:hAnsi="Arial" w:cs="Arial"/>
          <w:sz w:val="20"/>
          <w:szCs w:val="20"/>
        </w:rPr>
      </w:pPr>
      <w:r w:rsidRPr="00AC4AEA">
        <w:rPr>
          <w:rFonts w:ascii="Arial" w:hAnsi="Arial" w:cs="Arial"/>
          <w:sz w:val="20"/>
          <w:szCs w:val="20"/>
        </w:rPr>
        <w:t xml:space="preserve">medirá esta </w:t>
      </w:r>
      <w:r w:rsidRPr="0013242A">
        <w:rPr>
          <w:rFonts w:ascii="Arial" w:hAnsi="Arial" w:cs="Arial"/>
          <w:sz w:val="20"/>
          <w:szCs w:val="20"/>
        </w:rPr>
        <w:t xml:space="preserve">obligación de manera tal que refleje la probabilidad de que el pago pueda ser exigido, así como el intervalo de tiempo a lo largo del cual se espera realizar los pagos; y </w:t>
      </w:r>
    </w:p>
    <w:p w:rsidR="00421257" w:rsidRPr="00AC4AEA" w:rsidRDefault="00421257" w:rsidP="00C01B25">
      <w:pPr>
        <w:numPr>
          <w:ilvl w:val="0"/>
          <w:numId w:val="692"/>
        </w:numPr>
        <w:spacing w:line="264" w:lineRule="auto"/>
        <w:ind w:hanging="511"/>
        <w:jc w:val="both"/>
        <w:rPr>
          <w:rFonts w:ascii="Arial" w:hAnsi="Arial" w:cs="Arial"/>
          <w:sz w:val="20"/>
          <w:szCs w:val="20"/>
        </w:rPr>
      </w:pPr>
      <w:r w:rsidRPr="00AC4AEA">
        <w:rPr>
          <w:rFonts w:ascii="Arial" w:hAnsi="Arial" w:cs="Arial"/>
          <w:sz w:val="20"/>
          <w:szCs w:val="20"/>
        </w:rPr>
        <w:t xml:space="preserve">reconocerá el costo de los beneficios cuando se produzca el suceso que cause la invalidez permanente. </w:t>
      </w:r>
    </w:p>
    <w:p w:rsidR="00421257" w:rsidRPr="00AC4AEA" w:rsidRDefault="00421257" w:rsidP="00A318EA">
      <w:pPr>
        <w:spacing w:after="148" w:line="256" w:lineRule="auto"/>
        <w:rPr>
          <w:rFonts w:ascii="Arial" w:hAnsi="Arial" w:cs="Arial"/>
          <w:sz w:val="20"/>
          <w:szCs w:val="20"/>
        </w:rPr>
      </w:pPr>
    </w:p>
    <w:p w:rsidR="00421257" w:rsidRPr="00AC4AEA" w:rsidRDefault="00421257" w:rsidP="00A318EA">
      <w:pPr>
        <w:spacing w:line="256" w:lineRule="auto"/>
        <w:rPr>
          <w:rFonts w:ascii="Arial" w:hAnsi="Arial" w:cs="Arial"/>
          <w:sz w:val="20"/>
          <w:szCs w:val="20"/>
        </w:rPr>
      </w:pPr>
      <w:r w:rsidRPr="00AC4AEA">
        <w:rPr>
          <w:rFonts w:ascii="Arial" w:hAnsi="Arial" w:cs="Arial"/>
          <w:sz w:val="20"/>
          <w:szCs w:val="20"/>
        </w:rPr>
        <w:t xml:space="preserve"> </w:t>
      </w:r>
      <w:r w:rsidRPr="00AC4AEA">
        <w:rPr>
          <w:rFonts w:ascii="Arial" w:hAnsi="Arial" w:cs="Arial"/>
          <w:sz w:val="20"/>
          <w:szCs w:val="20"/>
        </w:rPr>
        <w:tab/>
        <w:t xml:space="preserve"> </w:t>
      </w:r>
      <w:r w:rsidRPr="00AC4AEA">
        <w:rPr>
          <w:rFonts w:ascii="Arial" w:hAnsi="Arial" w:cs="Arial"/>
          <w:sz w:val="20"/>
          <w:szCs w:val="20"/>
        </w:rPr>
        <w:br w:type="page"/>
      </w:r>
    </w:p>
    <w:p w:rsidR="00421257" w:rsidRPr="00AC4AEA" w:rsidRDefault="00421257" w:rsidP="00A318EA">
      <w:pPr>
        <w:pStyle w:val="Ttulo1"/>
        <w:rPr>
          <w:rFonts w:cs="Arial"/>
          <w:sz w:val="20"/>
          <w:szCs w:val="20"/>
        </w:rPr>
      </w:pPr>
    </w:p>
    <w:p w:rsidR="00421257" w:rsidRPr="00AC4AEA" w:rsidRDefault="00421257" w:rsidP="00A318EA">
      <w:pPr>
        <w:pStyle w:val="Ttulo1"/>
        <w:rPr>
          <w:rFonts w:cs="Arial"/>
          <w:sz w:val="20"/>
          <w:szCs w:val="20"/>
        </w:rPr>
      </w:pPr>
      <w:bookmarkStart w:id="1191" w:name="_Toc139357035"/>
      <w:r w:rsidRPr="00AC4AEA">
        <w:rPr>
          <w:rFonts w:cs="Arial"/>
          <w:sz w:val="20"/>
          <w:szCs w:val="20"/>
        </w:rPr>
        <w:t>CAPÍTULO 9</w:t>
      </w:r>
      <w:bookmarkEnd w:id="1191"/>
      <w:r w:rsidRPr="00AC4AEA">
        <w:rPr>
          <w:rFonts w:cs="Arial"/>
          <w:sz w:val="20"/>
          <w:szCs w:val="20"/>
        </w:rPr>
        <w:t xml:space="preserve"> </w:t>
      </w:r>
    </w:p>
    <w:p w:rsidR="00421257" w:rsidRPr="00AC4AEA" w:rsidRDefault="00421257" w:rsidP="00A318EA">
      <w:pPr>
        <w:pStyle w:val="Ttulo1"/>
        <w:rPr>
          <w:rFonts w:cs="Arial"/>
          <w:sz w:val="20"/>
          <w:szCs w:val="20"/>
        </w:rPr>
      </w:pPr>
      <w:bookmarkStart w:id="1192" w:name="_Toc139357036"/>
      <w:r w:rsidRPr="00AC4AEA">
        <w:rPr>
          <w:rFonts w:cs="Arial"/>
          <w:sz w:val="20"/>
          <w:szCs w:val="20"/>
        </w:rPr>
        <w:t>EFECTOS PROCEDENTES DE DETERMINADAS CIRCUNSTANCIAS, TRANSACCIONES O CONTRATOS PARTICULARES</w:t>
      </w:r>
      <w:bookmarkEnd w:id="1192"/>
      <w:r w:rsidRPr="00AC4AEA">
        <w:rPr>
          <w:rFonts w:cs="Arial"/>
          <w:sz w:val="20"/>
          <w:szCs w:val="20"/>
        </w:rPr>
        <w:t xml:space="preserve"> </w:t>
      </w:r>
    </w:p>
    <w:p w:rsidR="0059338B" w:rsidRPr="00AC4AEA" w:rsidRDefault="0059338B" w:rsidP="00A318EA">
      <w:pPr>
        <w:pStyle w:val="Ttulo1"/>
        <w:rPr>
          <w:rFonts w:cs="Arial"/>
          <w:sz w:val="20"/>
          <w:szCs w:val="20"/>
        </w:rPr>
      </w:pPr>
    </w:p>
    <w:p w:rsidR="00421257" w:rsidRPr="00AC4AEA" w:rsidRDefault="00421257" w:rsidP="00A318EA">
      <w:pPr>
        <w:pStyle w:val="Ttulo1"/>
        <w:rPr>
          <w:rFonts w:cs="Arial"/>
          <w:sz w:val="20"/>
          <w:szCs w:val="20"/>
        </w:rPr>
      </w:pPr>
      <w:bookmarkStart w:id="1193" w:name="_Toc139357037"/>
      <w:r w:rsidRPr="00AC4AEA">
        <w:rPr>
          <w:rFonts w:cs="Arial"/>
          <w:sz w:val="20"/>
          <w:szCs w:val="20"/>
        </w:rPr>
        <w:t>INTRODUCCIÓN AL PRESENTE CAPÍTULO</w:t>
      </w:r>
      <w:bookmarkEnd w:id="1193"/>
      <w:r w:rsidR="006F2C57">
        <w:rPr>
          <w:rFonts w:cs="Arial"/>
          <w:sz w:val="20"/>
          <w:szCs w:val="20"/>
        </w:rPr>
        <w:t xml:space="preserve"> </w:t>
      </w:r>
    </w:p>
    <w:p w:rsidR="00421257" w:rsidRPr="00AC4AEA" w:rsidRDefault="00421257" w:rsidP="00C01B25">
      <w:pPr>
        <w:numPr>
          <w:ilvl w:val="0"/>
          <w:numId w:val="670"/>
        </w:numPr>
        <w:spacing w:after="147" w:line="264" w:lineRule="auto"/>
        <w:ind w:left="993" w:hanging="567"/>
        <w:jc w:val="both"/>
        <w:rPr>
          <w:rFonts w:ascii="Arial" w:eastAsia="Times New Roman" w:hAnsi="Arial" w:cs="Arial"/>
          <w:sz w:val="20"/>
          <w:szCs w:val="20"/>
          <w:lang w:eastAsia="es-AR"/>
        </w:rPr>
      </w:pPr>
      <w:r w:rsidRPr="00AC4AEA">
        <w:rPr>
          <w:rFonts w:ascii="Arial" w:hAnsi="Arial" w:cs="Arial"/>
          <w:sz w:val="20"/>
          <w:szCs w:val="20"/>
        </w:rPr>
        <w:t xml:space="preserve">En este capítulo se describen: </w:t>
      </w:r>
    </w:p>
    <w:p w:rsidR="00421257" w:rsidRPr="00AC4AEA" w:rsidRDefault="001A3098" w:rsidP="00C01B25">
      <w:pPr>
        <w:numPr>
          <w:ilvl w:val="0"/>
          <w:numId w:val="693"/>
        </w:numPr>
        <w:spacing w:line="264" w:lineRule="auto"/>
        <w:ind w:hanging="511"/>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os requerimientos para contabilizar combinaciones de negocios</w:t>
      </w:r>
      <w:r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1A3098" w:rsidP="00C01B25">
      <w:pPr>
        <w:numPr>
          <w:ilvl w:val="0"/>
          <w:numId w:val="693"/>
        </w:numPr>
        <w:spacing w:line="264" w:lineRule="auto"/>
        <w:ind w:hanging="511"/>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 xml:space="preserve">os requerimientos que una entidad empleará para: </w:t>
      </w:r>
    </w:p>
    <w:p w:rsidR="00421257" w:rsidRPr="00AC4AEA" w:rsidRDefault="00421257" w:rsidP="00C01B25">
      <w:pPr>
        <w:numPr>
          <w:ilvl w:val="5"/>
          <w:numId w:val="497"/>
        </w:numPr>
        <w:spacing w:after="147" w:line="264" w:lineRule="auto"/>
        <w:ind w:left="2018" w:hanging="504"/>
        <w:jc w:val="both"/>
        <w:rPr>
          <w:rFonts w:ascii="Arial" w:hAnsi="Arial" w:cs="Arial"/>
          <w:sz w:val="20"/>
          <w:szCs w:val="20"/>
        </w:rPr>
      </w:pPr>
      <w:r w:rsidRPr="00AC4AEA">
        <w:rPr>
          <w:rFonts w:ascii="Arial" w:hAnsi="Arial" w:cs="Arial"/>
          <w:sz w:val="20"/>
          <w:szCs w:val="20"/>
        </w:rPr>
        <w:t xml:space="preserve">reconocer y medir instrumentos financieros derivados y otros contratos de naturaleza similar; y </w:t>
      </w:r>
    </w:p>
    <w:p w:rsidR="00421257" w:rsidRPr="00AC4AEA" w:rsidRDefault="00421257" w:rsidP="00C01B25">
      <w:pPr>
        <w:numPr>
          <w:ilvl w:val="5"/>
          <w:numId w:val="497"/>
        </w:numPr>
        <w:spacing w:after="169" w:line="264" w:lineRule="auto"/>
        <w:ind w:left="2018" w:hanging="504"/>
        <w:jc w:val="both"/>
        <w:rPr>
          <w:rFonts w:ascii="Arial" w:hAnsi="Arial" w:cs="Arial"/>
          <w:sz w:val="20"/>
          <w:szCs w:val="20"/>
        </w:rPr>
      </w:pPr>
      <w:r w:rsidRPr="00AC4AEA">
        <w:rPr>
          <w:rFonts w:ascii="Arial" w:hAnsi="Arial" w:cs="Arial"/>
          <w:sz w:val="20"/>
          <w:szCs w:val="20"/>
        </w:rPr>
        <w:t xml:space="preserve">aplicar “contabilidad de coberturas”. </w:t>
      </w:r>
    </w:p>
    <w:p w:rsidR="0059338B" w:rsidRPr="00AC4AEA" w:rsidRDefault="00421257" w:rsidP="005670A4">
      <w:pPr>
        <w:spacing w:after="132" w:line="256" w:lineRule="auto"/>
        <w:rPr>
          <w:rFonts w:cs="Arial"/>
          <w:sz w:val="20"/>
          <w:szCs w:val="20"/>
        </w:rPr>
      </w:pPr>
      <w:r w:rsidRPr="00AC4AEA">
        <w:rPr>
          <w:rFonts w:ascii="Arial" w:hAnsi="Arial" w:cs="Arial"/>
          <w:sz w:val="20"/>
          <w:szCs w:val="20"/>
        </w:rPr>
        <w:t xml:space="preserve"> </w:t>
      </w:r>
    </w:p>
    <w:p w:rsidR="00421257" w:rsidRPr="00AC4AEA" w:rsidRDefault="00421257" w:rsidP="00A318EA">
      <w:pPr>
        <w:pStyle w:val="Ttulo1"/>
        <w:rPr>
          <w:rFonts w:cs="Arial"/>
          <w:sz w:val="20"/>
          <w:szCs w:val="20"/>
        </w:rPr>
      </w:pPr>
      <w:bookmarkStart w:id="1194" w:name="_Toc139357038"/>
      <w:r w:rsidRPr="00AC4AEA">
        <w:rPr>
          <w:rFonts w:cs="Arial"/>
          <w:sz w:val="20"/>
          <w:szCs w:val="20"/>
        </w:rPr>
        <w:t>COMBINACIONES DE NEGOCIOS</w:t>
      </w:r>
      <w:bookmarkEnd w:id="1194"/>
      <w:r w:rsidRPr="00AC4AEA">
        <w:rPr>
          <w:rFonts w:cs="Arial"/>
          <w:sz w:val="20"/>
          <w:szCs w:val="20"/>
        </w:rPr>
        <w:t xml:space="preserve"> </w:t>
      </w:r>
    </w:p>
    <w:p w:rsidR="00421257" w:rsidRPr="00AC4AEA" w:rsidRDefault="00817478" w:rsidP="00A318EA">
      <w:pPr>
        <w:pStyle w:val="Ttulo2"/>
        <w:rPr>
          <w:rFonts w:cs="Arial"/>
        </w:rPr>
      </w:pPr>
      <w:bookmarkStart w:id="1195" w:name="_Toc139357039"/>
      <w:r w:rsidRPr="00AC4AEA">
        <w:rPr>
          <w:rFonts w:cs="Arial"/>
        </w:rPr>
        <w:t>Objetivo</w:t>
      </w:r>
      <w:bookmarkEnd w:id="1195"/>
      <w:r w:rsidR="006F2C57">
        <w:rPr>
          <w:rFonts w:cs="Arial"/>
        </w:rPr>
        <w:t xml:space="preserve"> </w:t>
      </w:r>
    </w:p>
    <w:p w:rsidR="00421257" w:rsidRPr="00AC4AEA" w:rsidRDefault="007A4AE6" w:rsidP="00C01B25">
      <w:pPr>
        <w:numPr>
          <w:ilvl w:val="0"/>
          <w:numId w:val="670"/>
        </w:numPr>
        <w:spacing w:after="149" w:line="256" w:lineRule="auto"/>
        <w:ind w:left="993" w:hanging="567"/>
        <w:jc w:val="both"/>
        <w:rPr>
          <w:rFonts w:ascii="Arial" w:eastAsia="Times New Roman" w:hAnsi="Arial" w:cs="Arial"/>
          <w:sz w:val="20"/>
          <w:szCs w:val="20"/>
          <w:lang w:eastAsia="es-AR"/>
        </w:rPr>
      </w:pPr>
      <w:bookmarkStart w:id="1196" w:name="_Ref132041816"/>
      <w:r w:rsidRPr="00AC4AEA">
        <w:rPr>
          <w:rFonts w:ascii="Arial" w:hAnsi="Arial" w:cs="Arial"/>
          <w:sz w:val="20"/>
          <w:szCs w:val="20"/>
        </w:rPr>
        <w:t>El objetivo de esta sección es establecer las reglas de reconocimiento, medición, e información a revelar en notas</w:t>
      </w:r>
      <w:r w:rsidR="00EC3CC6" w:rsidRPr="00AC4AEA">
        <w:rPr>
          <w:rFonts w:ascii="Arial" w:hAnsi="Arial" w:cs="Arial"/>
          <w:sz w:val="20"/>
          <w:szCs w:val="20"/>
        </w:rPr>
        <w:t xml:space="preserve">, en los </w:t>
      </w:r>
      <w:r w:rsidR="00EC3CC6" w:rsidRPr="00AC4AEA">
        <w:rPr>
          <w:rFonts w:ascii="Arial" w:hAnsi="Arial" w:cs="Arial"/>
          <w:b/>
          <w:bCs/>
          <w:sz w:val="20"/>
          <w:szCs w:val="20"/>
        </w:rPr>
        <w:t xml:space="preserve">estados </w:t>
      </w:r>
      <w:r w:rsidR="00CF5ED3" w:rsidRPr="00AC4AEA">
        <w:rPr>
          <w:rFonts w:ascii="Arial" w:hAnsi="Arial" w:cs="Arial"/>
          <w:b/>
          <w:bCs/>
          <w:sz w:val="20"/>
          <w:szCs w:val="20"/>
        </w:rPr>
        <w:t>contables</w:t>
      </w:r>
      <w:r w:rsidR="00EC3CC6" w:rsidRPr="00AC4AEA">
        <w:rPr>
          <w:rFonts w:ascii="Arial" w:hAnsi="Arial" w:cs="Arial"/>
          <w:sz w:val="20"/>
          <w:szCs w:val="20"/>
        </w:rPr>
        <w:t xml:space="preserve"> de una adquirente, con relación </w:t>
      </w:r>
      <w:r w:rsidR="00AC116F" w:rsidRPr="00AC4AEA">
        <w:rPr>
          <w:rFonts w:ascii="Arial" w:hAnsi="Arial" w:cs="Arial"/>
          <w:sz w:val="20"/>
          <w:szCs w:val="20"/>
        </w:rPr>
        <w:t>las combinaciones de negocios</w:t>
      </w:r>
      <w:r w:rsidR="007F2CFC">
        <w:rPr>
          <w:rFonts w:ascii="Arial" w:hAnsi="Arial" w:cs="Arial"/>
          <w:sz w:val="20"/>
          <w:szCs w:val="20"/>
        </w:rPr>
        <w:t xml:space="preserve">, considerando el alcance establecido en los párrafos </w:t>
      </w:r>
      <w:r w:rsidR="001C4138">
        <w:rPr>
          <w:rFonts w:ascii="Arial" w:hAnsi="Arial" w:cs="Arial"/>
          <w:sz w:val="20"/>
          <w:szCs w:val="20"/>
        </w:rPr>
        <w:fldChar w:fldCharType="begin"/>
      </w:r>
      <w:r w:rsidR="007F2CFC">
        <w:rPr>
          <w:rFonts w:ascii="Arial" w:hAnsi="Arial" w:cs="Arial"/>
          <w:sz w:val="20"/>
          <w:szCs w:val="20"/>
        </w:rPr>
        <w:instrText xml:space="preserve"> REF _Ref139553610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960</w:t>
      </w:r>
      <w:r w:rsidR="001C4138">
        <w:rPr>
          <w:rFonts w:ascii="Arial" w:hAnsi="Arial" w:cs="Arial"/>
          <w:sz w:val="20"/>
          <w:szCs w:val="20"/>
        </w:rPr>
        <w:fldChar w:fldCharType="end"/>
      </w:r>
      <w:r w:rsidR="007F2CFC">
        <w:rPr>
          <w:rFonts w:ascii="Arial" w:hAnsi="Arial" w:cs="Arial"/>
          <w:sz w:val="20"/>
          <w:szCs w:val="20"/>
        </w:rPr>
        <w:t xml:space="preserve"> y </w:t>
      </w:r>
      <w:r w:rsidR="001C4138">
        <w:rPr>
          <w:rFonts w:ascii="Arial" w:hAnsi="Arial" w:cs="Arial"/>
          <w:sz w:val="20"/>
          <w:szCs w:val="20"/>
        </w:rPr>
        <w:fldChar w:fldCharType="begin"/>
      </w:r>
      <w:r w:rsidR="007F2CFC">
        <w:rPr>
          <w:rFonts w:ascii="Arial" w:hAnsi="Arial" w:cs="Arial"/>
          <w:sz w:val="20"/>
          <w:szCs w:val="20"/>
        </w:rPr>
        <w:instrText xml:space="preserve"> REF _Ref139553611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961</w:t>
      </w:r>
      <w:r w:rsidR="001C4138">
        <w:rPr>
          <w:rFonts w:ascii="Arial" w:hAnsi="Arial" w:cs="Arial"/>
          <w:sz w:val="20"/>
          <w:szCs w:val="20"/>
        </w:rPr>
        <w:fldChar w:fldCharType="end"/>
      </w:r>
      <w:r w:rsidR="00421257" w:rsidRPr="00AC4AEA">
        <w:rPr>
          <w:rFonts w:ascii="Arial" w:hAnsi="Arial" w:cs="Arial"/>
          <w:sz w:val="20"/>
          <w:szCs w:val="20"/>
        </w:rPr>
        <w:t>.</w:t>
      </w:r>
      <w:bookmarkEnd w:id="1196"/>
      <w:r w:rsidR="00421257" w:rsidRPr="00AC4AEA">
        <w:rPr>
          <w:rFonts w:ascii="Arial" w:hAnsi="Arial" w:cs="Arial"/>
          <w:sz w:val="20"/>
          <w:szCs w:val="20"/>
        </w:rPr>
        <w:t xml:space="preserve"> </w:t>
      </w:r>
    </w:p>
    <w:p w:rsidR="00421257" w:rsidRPr="00AC4AEA" w:rsidRDefault="00421257" w:rsidP="00A318EA">
      <w:pPr>
        <w:spacing w:after="150" w:line="256" w:lineRule="auto"/>
        <w:ind w:left="936"/>
        <w:rPr>
          <w:rFonts w:ascii="Arial" w:hAnsi="Arial" w:cs="Arial"/>
          <w:sz w:val="20"/>
          <w:szCs w:val="20"/>
        </w:rPr>
      </w:pPr>
    </w:p>
    <w:p w:rsidR="00421257" w:rsidRPr="00AC4AEA" w:rsidRDefault="00421257" w:rsidP="00A318EA">
      <w:pPr>
        <w:pStyle w:val="Ttulo2"/>
        <w:rPr>
          <w:rFonts w:cs="Arial"/>
        </w:rPr>
      </w:pPr>
      <w:bookmarkStart w:id="1197" w:name="_Toc139357040"/>
      <w:r w:rsidRPr="00AC4AEA">
        <w:rPr>
          <w:rFonts w:cs="Arial"/>
        </w:rPr>
        <w:t>Definiciones</w:t>
      </w:r>
      <w:bookmarkEnd w:id="1197"/>
      <w:r w:rsidRPr="00AC4AEA">
        <w:rPr>
          <w:rFonts w:cs="Arial"/>
        </w:rPr>
        <w:t xml:space="preserve"> </w:t>
      </w:r>
    </w:p>
    <w:p w:rsidR="00421257" w:rsidRPr="00AC4AEA" w:rsidRDefault="00421257" w:rsidP="00C01B25">
      <w:pPr>
        <w:numPr>
          <w:ilvl w:val="0"/>
          <w:numId w:val="670"/>
        </w:numPr>
        <w:spacing w:after="147" w:line="264" w:lineRule="auto"/>
        <w:ind w:left="993" w:hanging="567"/>
        <w:jc w:val="both"/>
        <w:rPr>
          <w:rFonts w:ascii="Arial" w:eastAsia="Times New Roman" w:hAnsi="Arial" w:cs="Arial"/>
          <w:sz w:val="20"/>
          <w:szCs w:val="20"/>
          <w:lang w:eastAsia="es-AR"/>
        </w:rPr>
      </w:pPr>
      <w:r w:rsidRPr="00AC4AEA">
        <w:rPr>
          <w:rFonts w:ascii="Arial" w:hAnsi="Arial" w:cs="Arial"/>
          <w:sz w:val="20"/>
          <w:szCs w:val="20"/>
        </w:rPr>
        <w:t xml:space="preserve">A los fines del tratamiento de las combinaciones de negocios, una entidad deberá considerar las siguientes definiciones: </w:t>
      </w:r>
    </w:p>
    <w:p w:rsidR="00421257" w:rsidRPr="0013242A" w:rsidRDefault="00421257" w:rsidP="00667080">
      <w:pPr>
        <w:spacing w:after="108"/>
        <w:ind w:left="1334"/>
        <w:jc w:val="both"/>
        <w:rPr>
          <w:rFonts w:ascii="Arial" w:hAnsi="Arial" w:cs="Arial"/>
          <w:sz w:val="20"/>
          <w:szCs w:val="20"/>
        </w:rPr>
      </w:pPr>
      <w:r w:rsidRPr="0013242A">
        <w:rPr>
          <w:rFonts w:ascii="Arial" w:hAnsi="Arial" w:cs="Arial"/>
          <w:sz w:val="20"/>
          <w:szCs w:val="20"/>
          <w:u w:val="single" w:color="000000"/>
        </w:rPr>
        <w:t>Adquirente</w:t>
      </w:r>
      <w:r w:rsidRPr="0013242A">
        <w:rPr>
          <w:rFonts w:ascii="Arial" w:hAnsi="Arial" w:cs="Arial"/>
          <w:sz w:val="20"/>
          <w:szCs w:val="20"/>
        </w:rPr>
        <w:t xml:space="preserve">: Entidad que obtiene el control de la adquirida. </w:t>
      </w:r>
    </w:p>
    <w:p w:rsidR="00421257" w:rsidRPr="0013242A" w:rsidRDefault="00421257" w:rsidP="00667080">
      <w:pPr>
        <w:spacing w:after="105"/>
        <w:ind w:left="1334"/>
        <w:jc w:val="both"/>
        <w:rPr>
          <w:rFonts w:ascii="Arial" w:hAnsi="Arial" w:cs="Arial"/>
          <w:sz w:val="20"/>
          <w:szCs w:val="20"/>
        </w:rPr>
      </w:pPr>
      <w:r w:rsidRPr="0013242A">
        <w:rPr>
          <w:rFonts w:ascii="Arial" w:hAnsi="Arial" w:cs="Arial"/>
          <w:sz w:val="20"/>
          <w:szCs w:val="20"/>
          <w:u w:val="single" w:color="000000"/>
        </w:rPr>
        <w:t>Adquirida</w:t>
      </w:r>
      <w:r w:rsidRPr="0013242A">
        <w:rPr>
          <w:rFonts w:ascii="Arial" w:hAnsi="Arial" w:cs="Arial"/>
          <w:sz w:val="20"/>
          <w:szCs w:val="20"/>
        </w:rPr>
        <w:t xml:space="preserve">: </w:t>
      </w:r>
      <w:r w:rsidR="00D81E8F" w:rsidRPr="0013242A">
        <w:rPr>
          <w:rFonts w:ascii="Arial" w:hAnsi="Arial" w:cs="Arial"/>
          <w:sz w:val="20"/>
          <w:szCs w:val="20"/>
        </w:rPr>
        <w:t>N</w:t>
      </w:r>
      <w:r w:rsidRPr="0013242A">
        <w:rPr>
          <w:rFonts w:ascii="Arial" w:hAnsi="Arial" w:cs="Arial"/>
          <w:sz w:val="20"/>
          <w:szCs w:val="20"/>
        </w:rPr>
        <w:t xml:space="preserve">egocio o negocios cuyo control obtiene la adquirente en una combinación de negocios. </w:t>
      </w:r>
    </w:p>
    <w:p w:rsidR="00421257" w:rsidRPr="0013242A" w:rsidRDefault="00421257" w:rsidP="00667080">
      <w:pPr>
        <w:spacing w:after="110"/>
        <w:ind w:left="1334"/>
        <w:jc w:val="both"/>
        <w:rPr>
          <w:rFonts w:ascii="Arial" w:hAnsi="Arial" w:cs="Arial"/>
          <w:sz w:val="20"/>
          <w:szCs w:val="20"/>
        </w:rPr>
      </w:pPr>
      <w:r w:rsidRPr="0013242A">
        <w:rPr>
          <w:rFonts w:ascii="Arial" w:hAnsi="Arial" w:cs="Arial"/>
          <w:sz w:val="20"/>
          <w:szCs w:val="20"/>
          <w:u w:val="single" w:color="000000"/>
        </w:rPr>
        <w:t>Combinación de negocios</w:t>
      </w:r>
      <w:r w:rsidRPr="0013242A">
        <w:rPr>
          <w:rFonts w:ascii="Arial" w:hAnsi="Arial" w:cs="Arial"/>
          <w:sz w:val="20"/>
          <w:szCs w:val="20"/>
        </w:rPr>
        <w:t xml:space="preserve">: </w:t>
      </w:r>
      <w:r w:rsidR="00D81E8F" w:rsidRPr="0013242A">
        <w:rPr>
          <w:rFonts w:ascii="Arial" w:hAnsi="Arial" w:cs="Arial"/>
          <w:sz w:val="20"/>
          <w:szCs w:val="20"/>
        </w:rPr>
        <w:t>T</w:t>
      </w:r>
      <w:r w:rsidRPr="0013242A">
        <w:rPr>
          <w:rFonts w:ascii="Arial" w:hAnsi="Arial" w:cs="Arial"/>
          <w:sz w:val="20"/>
          <w:szCs w:val="20"/>
        </w:rPr>
        <w:t xml:space="preserve">ransacción u otro suceso en el que una adquirente obtiene el control de uno o más negocios. </w:t>
      </w:r>
    </w:p>
    <w:p w:rsidR="00421257" w:rsidRPr="0013242A" w:rsidRDefault="00421257" w:rsidP="00667080">
      <w:pPr>
        <w:spacing w:after="105"/>
        <w:ind w:left="1334"/>
        <w:jc w:val="both"/>
        <w:rPr>
          <w:rFonts w:ascii="Arial" w:hAnsi="Arial" w:cs="Arial"/>
          <w:sz w:val="20"/>
          <w:szCs w:val="20"/>
        </w:rPr>
      </w:pPr>
      <w:r w:rsidRPr="0013242A">
        <w:rPr>
          <w:rFonts w:ascii="Arial" w:hAnsi="Arial" w:cs="Arial"/>
          <w:sz w:val="20"/>
          <w:szCs w:val="20"/>
        </w:rPr>
        <w:t xml:space="preserve">Una combinación de negocios puede estructurarse de diferentes formas, en función de razones legales, fiscales u otras consideraciones relevantes. Puede implicar, por ejemplo: </w:t>
      </w:r>
    </w:p>
    <w:p w:rsidR="00421257" w:rsidRPr="0013242A" w:rsidRDefault="00421257" w:rsidP="00C01B25">
      <w:pPr>
        <w:numPr>
          <w:ilvl w:val="4"/>
          <w:numId w:val="498"/>
        </w:numPr>
        <w:spacing w:after="108" w:line="264" w:lineRule="auto"/>
        <w:ind w:hanging="339"/>
        <w:jc w:val="both"/>
        <w:rPr>
          <w:rFonts w:ascii="Arial" w:hAnsi="Arial" w:cs="Arial"/>
          <w:sz w:val="20"/>
          <w:szCs w:val="20"/>
        </w:rPr>
      </w:pPr>
      <w:r w:rsidRPr="0013242A">
        <w:rPr>
          <w:rFonts w:ascii="Arial" w:hAnsi="Arial" w:cs="Arial"/>
          <w:sz w:val="20"/>
          <w:szCs w:val="20"/>
        </w:rPr>
        <w:t>la compra de los activos netos de otra entidad</w:t>
      </w:r>
      <w:r w:rsidR="0011206C" w:rsidRPr="0013242A">
        <w:rPr>
          <w:rFonts w:ascii="Arial" w:hAnsi="Arial" w:cs="Arial"/>
          <w:sz w:val="20"/>
          <w:szCs w:val="20"/>
        </w:rPr>
        <w:t xml:space="preserve"> que sea un negocio</w:t>
      </w:r>
      <w:r w:rsidRPr="0013242A">
        <w:rPr>
          <w:rFonts w:ascii="Arial" w:hAnsi="Arial" w:cs="Arial"/>
          <w:sz w:val="20"/>
          <w:szCs w:val="20"/>
        </w:rPr>
        <w:t>;</w:t>
      </w:r>
      <w:r w:rsidR="006F2C57">
        <w:rPr>
          <w:rFonts w:ascii="Arial" w:hAnsi="Arial" w:cs="Arial"/>
          <w:sz w:val="20"/>
          <w:szCs w:val="20"/>
        </w:rPr>
        <w:t xml:space="preserve"> </w:t>
      </w:r>
    </w:p>
    <w:p w:rsidR="00421257" w:rsidRPr="0013242A" w:rsidRDefault="00421257" w:rsidP="00C01B25">
      <w:pPr>
        <w:numPr>
          <w:ilvl w:val="4"/>
          <w:numId w:val="498"/>
        </w:numPr>
        <w:spacing w:after="147" w:line="264" w:lineRule="auto"/>
        <w:ind w:hanging="339"/>
        <w:jc w:val="both"/>
        <w:rPr>
          <w:rFonts w:ascii="Arial" w:hAnsi="Arial" w:cs="Arial"/>
          <w:sz w:val="20"/>
          <w:szCs w:val="20"/>
        </w:rPr>
      </w:pPr>
      <w:r w:rsidRPr="0013242A">
        <w:rPr>
          <w:rFonts w:ascii="Arial" w:hAnsi="Arial" w:cs="Arial"/>
          <w:sz w:val="20"/>
          <w:szCs w:val="20"/>
        </w:rPr>
        <w:t>la compra de los títulos representativos del capital de otra entidad, que no pierde su individualidad jurídica, tomando su control</w:t>
      </w:r>
      <w:r w:rsidR="000D2A2E" w:rsidRPr="0013242A">
        <w:rPr>
          <w:rFonts w:ascii="Arial" w:hAnsi="Arial" w:cs="Arial"/>
          <w:sz w:val="20"/>
          <w:szCs w:val="20"/>
        </w:rPr>
        <w:t>, siempre que tal entidad sea un negocio</w:t>
      </w:r>
      <w:r w:rsidRPr="0013242A">
        <w:rPr>
          <w:rFonts w:ascii="Arial" w:hAnsi="Arial" w:cs="Arial"/>
          <w:sz w:val="20"/>
          <w:szCs w:val="20"/>
        </w:rPr>
        <w:t>;</w:t>
      </w:r>
      <w:r w:rsidR="006F2C57">
        <w:rPr>
          <w:rFonts w:ascii="Arial" w:hAnsi="Arial" w:cs="Arial"/>
          <w:sz w:val="20"/>
          <w:szCs w:val="20"/>
        </w:rPr>
        <w:t xml:space="preserve"> </w:t>
      </w:r>
    </w:p>
    <w:p w:rsidR="00421257" w:rsidRPr="0013242A" w:rsidRDefault="00421257" w:rsidP="00C01B25">
      <w:pPr>
        <w:numPr>
          <w:ilvl w:val="4"/>
          <w:numId w:val="498"/>
        </w:numPr>
        <w:spacing w:after="110" w:line="264" w:lineRule="auto"/>
        <w:ind w:hanging="339"/>
        <w:jc w:val="both"/>
        <w:rPr>
          <w:rFonts w:ascii="Arial" w:hAnsi="Arial" w:cs="Arial"/>
          <w:sz w:val="20"/>
          <w:szCs w:val="20"/>
        </w:rPr>
      </w:pPr>
      <w:r w:rsidRPr="0013242A">
        <w:rPr>
          <w:rFonts w:ascii="Arial" w:hAnsi="Arial" w:cs="Arial"/>
          <w:sz w:val="20"/>
          <w:szCs w:val="20"/>
        </w:rPr>
        <w:t>la constitución de una nueva entidad, que tome el control sobre l</w:t>
      </w:r>
      <w:r w:rsidR="000D2A2E" w:rsidRPr="0013242A">
        <w:rPr>
          <w:rFonts w:ascii="Arial" w:hAnsi="Arial" w:cs="Arial"/>
          <w:sz w:val="20"/>
          <w:szCs w:val="20"/>
        </w:rPr>
        <w:t>o</w:t>
      </w:r>
      <w:r w:rsidRPr="0013242A">
        <w:rPr>
          <w:rFonts w:ascii="Arial" w:hAnsi="Arial" w:cs="Arial"/>
          <w:sz w:val="20"/>
          <w:szCs w:val="20"/>
        </w:rPr>
        <w:t xml:space="preserve">s </w:t>
      </w:r>
      <w:r w:rsidR="000D2A2E" w:rsidRPr="0013242A">
        <w:rPr>
          <w:rFonts w:ascii="Arial" w:hAnsi="Arial" w:cs="Arial"/>
          <w:sz w:val="20"/>
          <w:szCs w:val="20"/>
        </w:rPr>
        <w:t>negocios</w:t>
      </w:r>
      <w:r w:rsidRPr="0013242A">
        <w:rPr>
          <w:rFonts w:ascii="Arial" w:hAnsi="Arial" w:cs="Arial"/>
          <w:sz w:val="20"/>
          <w:szCs w:val="20"/>
        </w:rPr>
        <w:t xml:space="preserve"> combinad</w:t>
      </w:r>
      <w:r w:rsidR="000D2A2E" w:rsidRPr="0013242A">
        <w:rPr>
          <w:rFonts w:ascii="Arial" w:hAnsi="Arial" w:cs="Arial"/>
          <w:sz w:val="20"/>
          <w:szCs w:val="20"/>
        </w:rPr>
        <w:t>o</w:t>
      </w:r>
      <w:r w:rsidRPr="0013242A">
        <w:rPr>
          <w:rFonts w:ascii="Arial" w:hAnsi="Arial" w:cs="Arial"/>
          <w:sz w:val="20"/>
          <w:szCs w:val="20"/>
        </w:rPr>
        <w:t>s</w:t>
      </w:r>
      <w:r w:rsidR="000D2A2E" w:rsidRPr="0013242A">
        <w:rPr>
          <w:rFonts w:ascii="Arial" w:hAnsi="Arial" w:cs="Arial"/>
          <w:sz w:val="20"/>
          <w:szCs w:val="20"/>
        </w:rPr>
        <w:t>.</w:t>
      </w:r>
    </w:p>
    <w:p w:rsidR="00421257" w:rsidRPr="0013242A" w:rsidRDefault="00421257" w:rsidP="005D5987">
      <w:pPr>
        <w:spacing w:after="108"/>
        <w:ind w:left="1334"/>
        <w:jc w:val="both"/>
        <w:rPr>
          <w:rFonts w:ascii="Arial" w:hAnsi="Arial" w:cs="Arial"/>
          <w:sz w:val="20"/>
          <w:szCs w:val="20"/>
        </w:rPr>
      </w:pPr>
      <w:r w:rsidRPr="0013242A">
        <w:rPr>
          <w:rFonts w:ascii="Arial" w:hAnsi="Arial" w:cs="Arial"/>
          <w:sz w:val="20"/>
          <w:szCs w:val="20"/>
          <w:u w:val="single" w:color="000000"/>
        </w:rPr>
        <w:lastRenderedPageBreak/>
        <w:t>Combinación de negocios bajo control común:</w:t>
      </w:r>
      <w:r w:rsidRPr="0013242A">
        <w:rPr>
          <w:rFonts w:ascii="Arial" w:hAnsi="Arial" w:cs="Arial"/>
          <w:sz w:val="20"/>
          <w:szCs w:val="20"/>
        </w:rPr>
        <w:t xml:space="preserve"> </w:t>
      </w:r>
      <w:r w:rsidR="00D81E8F" w:rsidRPr="0013242A">
        <w:rPr>
          <w:rFonts w:ascii="Arial" w:hAnsi="Arial" w:cs="Arial"/>
          <w:sz w:val="20"/>
          <w:szCs w:val="20"/>
        </w:rPr>
        <w:t>C</w:t>
      </w:r>
      <w:r w:rsidRPr="0013242A">
        <w:rPr>
          <w:rFonts w:ascii="Arial" w:hAnsi="Arial" w:cs="Arial"/>
          <w:sz w:val="20"/>
          <w:szCs w:val="20"/>
        </w:rPr>
        <w:t>ombinación de negocios en la que tod</w:t>
      </w:r>
      <w:r w:rsidR="00412EC1" w:rsidRPr="0013242A">
        <w:rPr>
          <w:rFonts w:ascii="Arial" w:hAnsi="Arial" w:cs="Arial"/>
          <w:sz w:val="20"/>
          <w:szCs w:val="20"/>
        </w:rPr>
        <w:t>o</w:t>
      </w:r>
      <w:r w:rsidRPr="0013242A">
        <w:rPr>
          <w:rFonts w:ascii="Arial" w:hAnsi="Arial" w:cs="Arial"/>
          <w:sz w:val="20"/>
          <w:szCs w:val="20"/>
        </w:rPr>
        <w:t>s negocios que se combinan están controlad</w:t>
      </w:r>
      <w:r w:rsidR="00412EC1" w:rsidRPr="0013242A">
        <w:rPr>
          <w:rFonts w:ascii="Arial" w:hAnsi="Arial" w:cs="Arial"/>
          <w:sz w:val="20"/>
          <w:szCs w:val="20"/>
        </w:rPr>
        <w:t>o</w:t>
      </w:r>
      <w:r w:rsidRPr="0013242A">
        <w:rPr>
          <w:rFonts w:ascii="Arial" w:hAnsi="Arial" w:cs="Arial"/>
          <w:sz w:val="20"/>
          <w:szCs w:val="20"/>
        </w:rPr>
        <w:t xml:space="preserve">s, en última instancia, por una misma parte o partes, tanto antes como después de la combinación de negocios y ese control no es transitorio. </w:t>
      </w:r>
    </w:p>
    <w:p w:rsidR="00421257" w:rsidRPr="0013242A" w:rsidRDefault="00421257" w:rsidP="00A318EA">
      <w:pPr>
        <w:spacing w:after="108"/>
        <w:ind w:left="1334"/>
        <w:rPr>
          <w:rFonts w:ascii="Arial" w:hAnsi="Arial" w:cs="Arial"/>
          <w:sz w:val="20"/>
          <w:szCs w:val="20"/>
        </w:rPr>
      </w:pPr>
      <w:r w:rsidRPr="0013242A">
        <w:rPr>
          <w:rFonts w:ascii="Arial" w:hAnsi="Arial" w:cs="Arial"/>
          <w:sz w:val="20"/>
          <w:szCs w:val="20"/>
          <w:u w:val="single" w:color="000000"/>
        </w:rPr>
        <w:t>Fecha de adquisición</w:t>
      </w:r>
      <w:r w:rsidRPr="0013242A">
        <w:rPr>
          <w:rFonts w:ascii="Arial" w:hAnsi="Arial" w:cs="Arial"/>
          <w:sz w:val="20"/>
          <w:szCs w:val="20"/>
          <w:u w:color="000000"/>
        </w:rPr>
        <w:t>:</w:t>
      </w:r>
      <w:r w:rsidRPr="0013242A">
        <w:rPr>
          <w:rFonts w:ascii="Arial" w:hAnsi="Arial" w:cs="Arial"/>
          <w:sz w:val="20"/>
          <w:szCs w:val="20"/>
        </w:rPr>
        <w:t xml:space="preserve"> </w:t>
      </w:r>
      <w:r w:rsidR="00D81E8F" w:rsidRPr="0013242A">
        <w:rPr>
          <w:rFonts w:ascii="Arial" w:hAnsi="Arial" w:cs="Arial"/>
          <w:sz w:val="20"/>
          <w:szCs w:val="20"/>
        </w:rPr>
        <w:t>F</w:t>
      </w:r>
      <w:r w:rsidRPr="0013242A">
        <w:rPr>
          <w:rFonts w:ascii="Arial" w:hAnsi="Arial" w:cs="Arial"/>
          <w:sz w:val="20"/>
          <w:szCs w:val="20"/>
        </w:rPr>
        <w:t xml:space="preserve">echa en la que la adquirente obtiene el control sobre la adquirida. </w:t>
      </w:r>
    </w:p>
    <w:p w:rsidR="00421257" w:rsidRPr="0013242A" w:rsidRDefault="00421257" w:rsidP="00433829">
      <w:pPr>
        <w:spacing w:after="108"/>
        <w:ind w:left="1334"/>
        <w:jc w:val="both"/>
        <w:rPr>
          <w:rFonts w:ascii="Arial" w:hAnsi="Arial" w:cs="Arial"/>
          <w:sz w:val="20"/>
          <w:szCs w:val="20"/>
        </w:rPr>
      </w:pPr>
      <w:r w:rsidRPr="0013242A">
        <w:rPr>
          <w:rFonts w:ascii="Arial" w:hAnsi="Arial" w:cs="Arial"/>
          <w:sz w:val="20"/>
          <w:szCs w:val="20"/>
          <w:u w:val="single" w:color="000000"/>
        </w:rPr>
        <w:t>Negocio</w:t>
      </w:r>
      <w:r w:rsidRPr="0013242A">
        <w:rPr>
          <w:rFonts w:ascii="Arial" w:hAnsi="Arial" w:cs="Arial"/>
          <w:sz w:val="20"/>
          <w:szCs w:val="20"/>
        </w:rPr>
        <w:t xml:space="preserve">: </w:t>
      </w:r>
      <w:r w:rsidR="00D81E8F" w:rsidRPr="0013242A">
        <w:rPr>
          <w:rFonts w:ascii="Arial" w:hAnsi="Arial" w:cs="Arial"/>
          <w:sz w:val="20"/>
          <w:szCs w:val="20"/>
        </w:rPr>
        <w:t>C</w:t>
      </w:r>
      <w:r w:rsidRPr="0013242A">
        <w:rPr>
          <w:rFonts w:ascii="Arial" w:hAnsi="Arial" w:cs="Arial"/>
          <w:sz w:val="20"/>
          <w:szCs w:val="20"/>
        </w:rPr>
        <w:t xml:space="preserve">onjunto integrado de actividades y activos susceptibles de ser dirigidos y gestionados con el propósito de proporcionar bienes o servicios a los clientes, que genera </w:t>
      </w:r>
      <w:r w:rsidRPr="0013242A">
        <w:rPr>
          <w:rFonts w:ascii="Arial" w:hAnsi="Arial" w:cs="Arial"/>
          <w:b/>
          <w:bCs/>
          <w:sz w:val="20"/>
          <w:szCs w:val="20"/>
        </w:rPr>
        <w:t>ingresos de actividades ordinarias</w:t>
      </w:r>
      <w:r w:rsidRPr="0013242A">
        <w:rPr>
          <w:rFonts w:ascii="Arial" w:hAnsi="Arial" w:cs="Arial"/>
          <w:sz w:val="20"/>
          <w:szCs w:val="20"/>
        </w:rPr>
        <w:t xml:space="preserve"> o por inversiones (tales como dividendos o intereses). No toda entidad es un negocio; por ejemplo, una entidad podría incluir solo créditos </w:t>
      </w:r>
      <w:r w:rsidR="00433829" w:rsidRPr="0013242A">
        <w:rPr>
          <w:rFonts w:ascii="Arial" w:hAnsi="Arial" w:cs="Arial"/>
          <w:sz w:val="20"/>
          <w:szCs w:val="20"/>
        </w:rPr>
        <w:t xml:space="preserve">procedentes de pérdidas </w:t>
      </w:r>
      <w:r w:rsidRPr="0013242A">
        <w:rPr>
          <w:rFonts w:ascii="Arial" w:hAnsi="Arial" w:cs="Arial"/>
          <w:sz w:val="20"/>
          <w:szCs w:val="20"/>
        </w:rPr>
        <w:t>fiscales</w:t>
      </w:r>
      <w:r w:rsidR="00433829" w:rsidRPr="0013242A">
        <w:rPr>
          <w:rFonts w:ascii="Arial" w:hAnsi="Arial" w:cs="Arial"/>
          <w:sz w:val="20"/>
          <w:szCs w:val="20"/>
        </w:rPr>
        <w:t xml:space="preserve"> acumuladas</w:t>
      </w:r>
      <w:r w:rsidRPr="0013242A">
        <w:rPr>
          <w:rFonts w:ascii="Arial" w:hAnsi="Arial" w:cs="Arial"/>
          <w:sz w:val="20"/>
          <w:szCs w:val="20"/>
        </w:rPr>
        <w:t xml:space="preserve">. </w:t>
      </w:r>
    </w:p>
    <w:p w:rsidR="00421257" w:rsidRPr="0013242A" w:rsidRDefault="00421257" w:rsidP="00707BD5">
      <w:pPr>
        <w:spacing w:after="107"/>
        <w:ind w:left="1334"/>
        <w:jc w:val="both"/>
        <w:rPr>
          <w:rFonts w:ascii="Arial" w:hAnsi="Arial" w:cs="Arial"/>
          <w:sz w:val="20"/>
          <w:szCs w:val="20"/>
        </w:rPr>
      </w:pPr>
      <w:r w:rsidRPr="0013242A">
        <w:rPr>
          <w:rFonts w:ascii="Arial" w:hAnsi="Arial" w:cs="Arial"/>
          <w:sz w:val="20"/>
          <w:szCs w:val="20"/>
          <w:u w:val="single" w:color="000000"/>
        </w:rPr>
        <w:t>Período de la combinación</w:t>
      </w:r>
      <w:r w:rsidRPr="0013242A">
        <w:rPr>
          <w:rFonts w:ascii="Arial" w:hAnsi="Arial" w:cs="Arial"/>
          <w:sz w:val="20"/>
          <w:szCs w:val="20"/>
        </w:rPr>
        <w:t xml:space="preserve">: Ejercicio durante el cual se produce la combinación de negocios. </w:t>
      </w:r>
    </w:p>
    <w:p w:rsidR="00421257" w:rsidRPr="0013242A" w:rsidRDefault="00421257" w:rsidP="00707BD5">
      <w:pPr>
        <w:spacing w:after="108"/>
        <w:ind w:left="1334"/>
        <w:jc w:val="both"/>
        <w:rPr>
          <w:rFonts w:ascii="Arial" w:hAnsi="Arial" w:cs="Arial"/>
          <w:sz w:val="20"/>
          <w:szCs w:val="20"/>
        </w:rPr>
      </w:pPr>
      <w:r w:rsidRPr="0013242A">
        <w:rPr>
          <w:rFonts w:ascii="Arial" w:hAnsi="Arial" w:cs="Arial"/>
          <w:sz w:val="20"/>
          <w:szCs w:val="20"/>
          <w:u w:val="single" w:color="000000"/>
        </w:rPr>
        <w:t>Período de medición</w:t>
      </w:r>
      <w:r w:rsidRPr="0013242A">
        <w:rPr>
          <w:rFonts w:ascii="Arial" w:hAnsi="Arial" w:cs="Arial"/>
          <w:sz w:val="20"/>
          <w:szCs w:val="20"/>
        </w:rPr>
        <w:t xml:space="preserve">: </w:t>
      </w:r>
      <w:r w:rsidR="00D81E8F" w:rsidRPr="0013242A">
        <w:rPr>
          <w:rFonts w:ascii="Arial" w:hAnsi="Arial" w:cs="Arial"/>
          <w:sz w:val="20"/>
          <w:szCs w:val="20"/>
        </w:rPr>
        <w:t>P</w:t>
      </w:r>
      <w:r w:rsidR="00D57A18" w:rsidRPr="0013242A">
        <w:rPr>
          <w:rFonts w:ascii="Arial" w:hAnsi="Arial" w:cs="Arial"/>
          <w:sz w:val="20"/>
          <w:szCs w:val="20"/>
        </w:rPr>
        <w:t xml:space="preserve">lazo de doce meses contado desde la </w:t>
      </w:r>
      <w:r w:rsidR="00D57A18" w:rsidRPr="0013242A">
        <w:rPr>
          <w:rFonts w:ascii="Arial" w:hAnsi="Arial" w:cs="Arial"/>
          <w:b/>
          <w:bCs/>
          <w:sz w:val="20"/>
          <w:szCs w:val="20"/>
        </w:rPr>
        <w:t>fecha de adquisición</w:t>
      </w:r>
      <w:r w:rsidR="00D57A18" w:rsidRPr="0013242A">
        <w:rPr>
          <w:rFonts w:ascii="Arial" w:hAnsi="Arial" w:cs="Arial"/>
          <w:sz w:val="20"/>
          <w:szCs w:val="20"/>
        </w:rPr>
        <w:t>, durante el cual la adquirente realizará, de corresponder, ajustes posteriores al reconocimiento inicial</w:t>
      </w:r>
      <w:r w:rsidR="00FF3923" w:rsidRPr="0013242A">
        <w:rPr>
          <w:rFonts w:ascii="Arial" w:hAnsi="Arial" w:cs="Arial"/>
          <w:sz w:val="20"/>
          <w:szCs w:val="20"/>
        </w:rPr>
        <w:t xml:space="preserve"> relacionados con la combinación de negocios</w:t>
      </w:r>
      <w:r w:rsidRPr="0013242A">
        <w:rPr>
          <w:rFonts w:ascii="Arial" w:hAnsi="Arial" w:cs="Arial"/>
          <w:sz w:val="20"/>
          <w:szCs w:val="20"/>
        </w:rPr>
        <w:t xml:space="preserve">. </w:t>
      </w:r>
    </w:p>
    <w:p w:rsidR="00817478" w:rsidRPr="0013242A" w:rsidRDefault="00817478" w:rsidP="00A318EA">
      <w:pPr>
        <w:spacing w:after="108"/>
        <w:ind w:left="1334"/>
        <w:rPr>
          <w:rFonts w:ascii="Arial" w:hAnsi="Arial" w:cs="Arial"/>
          <w:sz w:val="20"/>
          <w:szCs w:val="20"/>
        </w:rPr>
      </w:pPr>
    </w:p>
    <w:p w:rsidR="00817478" w:rsidRPr="0013242A" w:rsidRDefault="00817478" w:rsidP="00817478">
      <w:pPr>
        <w:pStyle w:val="Ttulo2"/>
        <w:rPr>
          <w:rFonts w:cs="Arial"/>
        </w:rPr>
      </w:pPr>
      <w:bookmarkStart w:id="1198" w:name="_Toc139357041"/>
      <w:r w:rsidRPr="0013242A">
        <w:rPr>
          <w:rFonts w:cs="Arial"/>
        </w:rPr>
        <w:t>Alcance</w:t>
      </w:r>
      <w:bookmarkEnd w:id="1198"/>
      <w:r w:rsidR="006F2C57">
        <w:rPr>
          <w:rFonts w:cs="Arial"/>
        </w:rPr>
        <w:t xml:space="preserve"> </w:t>
      </w:r>
    </w:p>
    <w:p w:rsidR="00817478" w:rsidRPr="0013242A" w:rsidRDefault="00817478" w:rsidP="00C01B25">
      <w:pPr>
        <w:numPr>
          <w:ilvl w:val="0"/>
          <w:numId w:val="694"/>
        </w:numPr>
        <w:spacing w:after="149" w:line="256" w:lineRule="auto"/>
        <w:ind w:left="993" w:hanging="567"/>
        <w:jc w:val="both"/>
        <w:rPr>
          <w:rFonts w:ascii="Arial" w:eastAsia="Times New Roman" w:hAnsi="Arial" w:cs="Arial"/>
          <w:sz w:val="20"/>
          <w:szCs w:val="20"/>
          <w:lang w:eastAsia="es-AR"/>
        </w:rPr>
      </w:pPr>
      <w:bookmarkStart w:id="1199" w:name="_Ref139553610"/>
      <w:r w:rsidRPr="0013242A">
        <w:rPr>
          <w:rFonts w:ascii="Arial" w:hAnsi="Arial" w:cs="Arial"/>
          <w:sz w:val="20"/>
          <w:szCs w:val="20"/>
        </w:rPr>
        <w:t>Una entidad aplicará esta sección para contabilizar una combinación de negocios, distinta de la referida en el inciso b) del párrafo siguiente.</w:t>
      </w:r>
      <w:bookmarkEnd w:id="1199"/>
      <w:r w:rsidRPr="0013242A">
        <w:rPr>
          <w:rFonts w:ascii="Arial" w:hAnsi="Arial" w:cs="Arial"/>
          <w:sz w:val="20"/>
          <w:szCs w:val="20"/>
        </w:rPr>
        <w:t xml:space="preserve"> </w:t>
      </w:r>
    </w:p>
    <w:p w:rsidR="00817478" w:rsidRPr="0013242A" w:rsidRDefault="00817478" w:rsidP="00C01B25">
      <w:pPr>
        <w:numPr>
          <w:ilvl w:val="0"/>
          <w:numId w:val="694"/>
        </w:numPr>
        <w:spacing w:after="147" w:line="264" w:lineRule="auto"/>
        <w:ind w:left="993" w:hanging="567"/>
        <w:jc w:val="both"/>
        <w:rPr>
          <w:rFonts w:ascii="Arial" w:hAnsi="Arial" w:cs="Arial"/>
          <w:sz w:val="20"/>
          <w:szCs w:val="20"/>
        </w:rPr>
      </w:pPr>
      <w:bookmarkStart w:id="1200" w:name="_Ref139553611"/>
      <w:r w:rsidRPr="0013242A">
        <w:rPr>
          <w:rFonts w:ascii="Arial" w:hAnsi="Arial" w:cs="Arial"/>
          <w:sz w:val="20"/>
          <w:szCs w:val="20"/>
        </w:rPr>
        <w:t>Una entidad no aplicará esta sección para contabilizar:</w:t>
      </w:r>
      <w:bookmarkEnd w:id="1200"/>
      <w:r w:rsidRPr="0013242A">
        <w:rPr>
          <w:rFonts w:ascii="Arial" w:hAnsi="Arial" w:cs="Arial"/>
          <w:sz w:val="20"/>
          <w:szCs w:val="20"/>
        </w:rPr>
        <w:t xml:space="preserve"> </w:t>
      </w:r>
    </w:p>
    <w:p w:rsidR="00817478" w:rsidRPr="00AC4AEA" w:rsidRDefault="00817478" w:rsidP="00C01B25">
      <w:pPr>
        <w:numPr>
          <w:ilvl w:val="0"/>
          <w:numId w:val="650"/>
        </w:numPr>
        <w:spacing w:line="264" w:lineRule="auto"/>
        <w:ind w:left="1560" w:hanging="567"/>
        <w:jc w:val="both"/>
        <w:rPr>
          <w:rFonts w:ascii="Arial" w:hAnsi="Arial" w:cs="Arial"/>
          <w:sz w:val="20"/>
          <w:szCs w:val="20"/>
        </w:rPr>
      </w:pPr>
      <w:r w:rsidRPr="00AC4AEA">
        <w:rPr>
          <w:rFonts w:ascii="Arial" w:hAnsi="Arial" w:cs="Arial"/>
          <w:sz w:val="20"/>
          <w:szCs w:val="20"/>
        </w:rPr>
        <w:t>La adquisición de un</w:t>
      </w:r>
      <w:r w:rsidRPr="006F3AE5">
        <w:rPr>
          <w:rFonts w:ascii="Arial" w:hAnsi="Arial" w:cs="Arial"/>
          <w:b/>
          <w:bCs/>
          <w:sz w:val="20"/>
          <w:szCs w:val="20"/>
        </w:rPr>
        <w:t xml:space="preserve"> activo </w:t>
      </w:r>
      <w:r w:rsidRPr="00AC4AEA">
        <w:rPr>
          <w:rFonts w:ascii="Arial" w:hAnsi="Arial" w:cs="Arial"/>
          <w:sz w:val="20"/>
          <w:szCs w:val="20"/>
        </w:rPr>
        <w:t xml:space="preserve">o grupos de activos que no constituyen un negocio. </w:t>
      </w:r>
    </w:p>
    <w:p w:rsidR="00817478" w:rsidRPr="00AC4AEA" w:rsidRDefault="00817478" w:rsidP="00C01B25">
      <w:pPr>
        <w:numPr>
          <w:ilvl w:val="0"/>
          <w:numId w:val="650"/>
        </w:numPr>
        <w:spacing w:line="264" w:lineRule="auto"/>
        <w:ind w:left="1560" w:hanging="567"/>
        <w:jc w:val="both"/>
        <w:rPr>
          <w:rFonts w:ascii="Arial" w:hAnsi="Arial" w:cs="Arial"/>
          <w:sz w:val="20"/>
          <w:szCs w:val="20"/>
        </w:rPr>
      </w:pPr>
      <w:r w:rsidRPr="00AC4AEA">
        <w:rPr>
          <w:rFonts w:ascii="Arial" w:hAnsi="Arial" w:cs="Arial"/>
          <w:sz w:val="20"/>
          <w:szCs w:val="20"/>
        </w:rPr>
        <w:t xml:space="preserve">Una combinación de negocios bajo control común. </w:t>
      </w:r>
    </w:p>
    <w:p w:rsidR="00817478" w:rsidRPr="00AC4AEA" w:rsidRDefault="00817478" w:rsidP="00A318EA">
      <w:pPr>
        <w:spacing w:after="108"/>
        <w:ind w:left="1334"/>
        <w:rPr>
          <w:rFonts w:ascii="Arial" w:hAnsi="Arial" w:cs="Arial"/>
          <w:sz w:val="20"/>
          <w:szCs w:val="20"/>
        </w:rPr>
      </w:pPr>
    </w:p>
    <w:p w:rsidR="00421257" w:rsidRPr="00AC4AEA" w:rsidRDefault="006F2C57" w:rsidP="00A318EA">
      <w:pPr>
        <w:spacing w:after="112" w:line="256" w:lineRule="auto"/>
        <w:ind w:left="1066"/>
        <w:rPr>
          <w:rFonts w:ascii="Arial" w:hAnsi="Arial" w:cs="Arial"/>
          <w:sz w:val="20"/>
          <w:szCs w:val="20"/>
        </w:rPr>
      </w:pPr>
      <w:r>
        <w:rPr>
          <w:rFonts w:ascii="Arial" w:hAnsi="Arial" w:cs="Arial"/>
          <w:sz w:val="20"/>
          <w:szCs w:val="20"/>
        </w:rPr>
        <w:t xml:space="preserve"> </w:t>
      </w:r>
    </w:p>
    <w:p w:rsidR="00421257" w:rsidRPr="00AC4AEA" w:rsidRDefault="00421257" w:rsidP="00A318EA">
      <w:pPr>
        <w:pStyle w:val="Ttulo2"/>
        <w:rPr>
          <w:rFonts w:cs="Arial"/>
        </w:rPr>
      </w:pPr>
      <w:bookmarkStart w:id="1201" w:name="_Toc139357042"/>
      <w:r w:rsidRPr="00AC4AEA">
        <w:rPr>
          <w:rFonts w:cs="Arial"/>
        </w:rPr>
        <w:t>Método de contabilización</w:t>
      </w:r>
      <w:bookmarkEnd w:id="1201"/>
      <w:r w:rsidR="006F2C57">
        <w:rPr>
          <w:rFonts w:cs="Arial"/>
        </w:rPr>
        <w:t xml:space="preserve"> </w:t>
      </w:r>
    </w:p>
    <w:p w:rsidR="00421257" w:rsidRPr="00AC4AEA" w:rsidRDefault="00421257" w:rsidP="00C01B25">
      <w:pPr>
        <w:numPr>
          <w:ilvl w:val="0"/>
          <w:numId w:val="694"/>
        </w:numPr>
        <w:spacing w:after="147" w:line="264" w:lineRule="auto"/>
        <w:ind w:left="993" w:hanging="567"/>
        <w:jc w:val="both"/>
        <w:rPr>
          <w:rFonts w:ascii="Arial" w:eastAsia="Times New Roman" w:hAnsi="Arial" w:cs="Arial"/>
          <w:sz w:val="20"/>
          <w:szCs w:val="20"/>
          <w:lang w:eastAsia="es-AR"/>
        </w:rPr>
      </w:pPr>
      <w:r w:rsidRPr="00AC4AEA">
        <w:rPr>
          <w:rFonts w:ascii="Arial" w:hAnsi="Arial" w:cs="Arial"/>
          <w:sz w:val="20"/>
          <w:szCs w:val="20"/>
        </w:rPr>
        <w:t>Una adquirente contabilizará cada combinación de negocios dentro del alcance de esta sección mediante la aplicación del método de la adquisición.</w:t>
      </w:r>
      <w:r w:rsidR="006F2C57">
        <w:rPr>
          <w:rFonts w:ascii="Arial" w:hAnsi="Arial" w:cs="Arial"/>
          <w:sz w:val="20"/>
          <w:szCs w:val="20"/>
        </w:rPr>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Para aplicar el método de la adquisición, una entidad realizará las siguientes tareas: </w:t>
      </w:r>
    </w:p>
    <w:p w:rsidR="00421257" w:rsidRPr="00AC4AEA" w:rsidRDefault="00421257" w:rsidP="00C01B25">
      <w:pPr>
        <w:numPr>
          <w:ilvl w:val="0"/>
          <w:numId w:val="735"/>
        </w:numPr>
        <w:spacing w:line="264" w:lineRule="auto"/>
        <w:ind w:hanging="511"/>
        <w:jc w:val="both"/>
        <w:rPr>
          <w:rFonts w:ascii="Arial" w:hAnsi="Arial" w:cs="Arial"/>
          <w:sz w:val="20"/>
          <w:szCs w:val="20"/>
        </w:rPr>
      </w:pPr>
      <w:r w:rsidRPr="00AC4AEA">
        <w:rPr>
          <w:rFonts w:ascii="Arial" w:hAnsi="Arial" w:cs="Arial"/>
          <w:sz w:val="20"/>
          <w:szCs w:val="20"/>
        </w:rPr>
        <w:t xml:space="preserve">identificación de la adquirente; </w:t>
      </w:r>
    </w:p>
    <w:p w:rsidR="00421257" w:rsidRPr="00AC4AEA" w:rsidRDefault="00421257" w:rsidP="00C01B25">
      <w:pPr>
        <w:numPr>
          <w:ilvl w:val="0"/>
          <w:numId w:val="735"/>
        </w:numPr>
        <w:spacing w:line="264" w:lineRule="auto"/>
        <w:ind w:left="1560" w:hanging="567"/>
        <w:jc w:val="both"/>
        <w:rPr>
          <w:rFonts w:ascii="Arial" w:hAnsi="Arial" w:cs="Arial"/>
          <w:sz w:val="20"/>
          <w:szCs w:val="20"/>
        </w:rPr>
      </w:pPr>
      <w:r w:rsidRPr="00AC4AEA">
        <w:rPr>
          <w:rFonts w:ascii="Arial" w:hAnsi="Arial" w:cs="Arial"/>
          <w:sz w:val="20"/>
          <w:szCs w:val="20"/>
        </w:rPr>
        <w:t xml:space="preserve">determinación de la </w:t>
      </w:r>
      <w:r w:rsidRPr="00796FFD">
        <w:rPr>
          <w:rFonts w:ascii="Arial" w:hAnsi="Arial" w:cs="Arial"/>
          <w:b/>
          <w:bCs/>
          <w:sz w:val="20"/>
          <w:szCs w:val="20"/>
        </w:rPr>
        <w:t>fecha de adquisición</w:t>
      </w:r>
      <w:r w:rsidRPr="00AC4AEA">
        <w:rPr>
          <w:rFonts w:ascii="Arial" w:hAnsi="Arial" w:cs="Arial"/>
          <w:sz w:val="20"/>
          <w:szCs w:val="20"/>
        </w:rPr>
        <w:t xml:space="preserve">; </w:t>
      </w:r>
    </w:p>
    <w:p w:rsidR="00421257" w:rsidRPr="00AC4AEA" w:rsidRDefault="00421257" w:rsidP="00C01B25">
      <w:pPr>
        <w:numPr>
          <w:ilvl w:val="0"/>
          <w:numId w:val="735"/>
        </w:numPr>
        <w:spacing w:line="264" w:lineRule="auto"/>
        <w:ind w:left="1560" w:hanging="567"/>
        <w:jc w:val="both"/>
        <w:rPr>
          <w:rFonts w:ascii="Arial" w:hAnsi="Arial" w:cs="Arial"/>
          <w:sz w:val="20"/>
          <w:szCs w:val="20"/>
        </w:rPr>
      </w:pPr>
      <w:r w:rsidRPr="00AC4AEA">
        <w:rPr>
          <w:rFonts w:ascii="Arial" w:hAnsi="Arial" w:cs="Arial"/>
          <w:sz w:val="20"/>
          <w:szCs w:val="20"/>
        </w:rPr>
        <w:t xml:space="preserve">medición del costo de la combinación de negocios; </w:t>
      </w:r>
    </w:p>
    <w:p w:rsidR="00421257" w:rsidRPr="00AC4AEA" w:rsidRDefault="00421257" w:rsidP="00C01B25">
      <w:pPr>
        <w:numPr>
          <w:ilvl w:val="0"/>
          <w:numId w:val="735"/>
        </w:numPr>
        <w:spacing w:line="264" w:lineRule="auto"/>
        <w:ind w:left="1560" w:hanging="567"/>
        <w:jc w:val="both"/>
        <w:rPr>
          <w:rFonts w:ascii="Arial" w:hAnsi="Arial" w:cs="Arial"/>
          <w:sz w:val="20"/>
          <w:szCs w:val="20"/>
        </w:rPr>
      </w:pPr>
      <w:r w:rsidRPr="00AC4AEA">
        <w:rPr>
          <w:rFonts w:ascii="Arial" w:hAnsi="Arial" w:cs="Arial"/>
          <w:sz w:val="20"/>
          <w:szCs w:val="20"/>
        </w:rPr>
        <w:t xml:space="preserve">reconocimiento, clasificación y medición de los </w:t>
      </w:r>
      <w:r w:rsidRPr="00A17CD3">
        <w:rPr>
          <w:rFonts w:ascii="Arial" w:hAnsi="Arial" w:cs="Arial"/>
          <w:b/>
          <w:bCs/>
          <w:sz w:val="20"/>
          <w:szCs w:val="20"/>
        </w:rPr>
        <w:t>activos identificables</w:t>
      </w:r>
      <w:r w:rsidRPr="00AC4AEA">
        <w:rPr>
          <w:rFonts w:ascii="Arial" w:hAnsi="Arial" w:cs="Arial"/>
          <w:sz w:val="20"/>
          <w:szCs w:val="20"/>
        </w:rPr>
        <w:t xml:space="preserve"> adquiridos, de los pasivos asumidos y de cualquier participación no controladora en la adquirida; y </w:t>
      </w:r>
    </w:p>
    <w:p w:rsidR="00421257" w:rsidRPr="00AC4AEA" w:rsidRDefault="00421257" w:rsidP="00C01B25">
      <w:pPr>
        <w:numPr>
          <w:ilvl w:val="0"/>
          <w:numId w:val="735"/>
        </w:numPr>
        <w:spacing w:line="264" w:lineRule="auto"/>
        <w:ind w:left="1560" w:hanging="567"/>
        <w:jc w:val="both"/>
        <w:rPr>
          <w:rFonts w:ascii="Arial" w:hAnsi="Arial" w:cs="Arial"/>
          <w:sz w:val="20"/>
          <w:szCs w:val="20"/>
        </w:rPr>
      </w:pPr>
      <w:r w:rsidRPr="00AC4AEA">
        <w:rPr>
          <w:rFonts w:ascii="Arial" w:hAnsi="Arial" w:cs="Arial"/>
          <w:sz w:val="20"/>
          <w:szCs w:val="20"/>
        </w:rPr>
        <w:lastRenderedPageBreak/>
        <w:t xml:space="preserve">reconocimiento y medición de la llave de negocio o de una </w:t>
      </w:r>
      <w:r w:rsidRPr="00A94103">
        <w:rPr>
          <w:rFonts w:ascii="Arial" w:hAnsi="Arial" w:cs="Arial"/>
          <w:b/>
          <w:bCs/>
          <w:sz w:val="20"/>
          <w:szCs w:val="20"/>
        </w:rPr>
        <w:t xml:space="preserve">ganancia </w:t>
      </w:r>
      <w:r w:rsidRPr="00AC4AEA">
        <w:rPr>
          <w:rFonts w:ascii="Arial" w:hAnsi="Arial" w:cs="Arial"/>
          <w:sz w:val="20"/>
          <w:szCs w:val="20"/>
        </w:rPr>
        <w:t xml:space="preserve">por una compra en términos muy ventajosos. </w:t>
      </w:r>
    </w:p>
    <w:p w:rsidR="00421257" w:rsidRPr="00AC4AEA" w:rsidRDefault="00421257" w:rsidP="00A318EA">
      <w:pPr>
        <w:spacing w:after="114"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202" w:name="_Toc139357043"/>
      <w:r w:rsidRPr="00AC4AEA">
        <w:t>Identificación de la adquirente</w:t>
      </w:r>
      <w:bookmarkEnd w:id="1202"/>
      <w:r w:rsidRPr="00AC4AEA">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Una entidad identificará a la adquirente de acuerdo con las disposiciones de la sección “</w:t>
      </w:r>
      <w:r w:rsidRPr="00AC4AEA">
        <w:rPr>
          <w:rFonts w:ascii="Arial" w:hAnsi="Arial" w:cs="Arial"/>
          <w:sz w:val="20"/>
          <w:szCs w:val="20"/>
          <w:u w:val="single" w:color="000000"/>
        </w:rPr>
        <w:t>Definición de control (sobre otra entidad)</w:t>
      </w:r>
      <w:r w:rsidRPr="00AC4AEA">
        <w:rPr>
          <w:rFonts w:ascii="Arial" w:hAnsi="Arial" w:cs="Arial"/>
          <w:sz w:val="20"/>
          <w:szCs w:val="20"/>
        </w:rPr>
        <w:t xml:space="preserve">” [ver los párrafos </w:t>
      </w:r>
      <w:fldSimple w:instr=" REF _Ref135762091 \r \h  \* MERGEFORMAT ">
        <w:r w:rsidR="00D33A5D" w:rsidRPr="00D33A5D">
          <w:rPr>
            <w:rFonts w:ascii="Arial" w:hAnsi="Arial" w:cs="Arial"/>
            <w:sz w:val="20"/>
            <w:szCs w:val="20"/>
          </w:rPr>
          <w:t>770</w:t>
        </w:r>
      </w:fldSimple>
      <w:r w:rsidR="00842CC5" w:rsidRPr="00AC4AEA">
        <w:rPr>
          <w:rFonts w:ascii="Arial" w:hAnsi="Arial" w:cs="Arial"/>
          <w:sz w:val="20"/>
          <w:szCs w:val="20"/>
        </w:rPr>
        <w:t xml:space="preserve"> y </w:t>
      </w:r>
      <w:fldSimple w:instr=" REF _Ref135762093 \r \h  \* MERGEFORMAT ">
        <w:r w:rsidR="00D33A5D" w:rsidRPr="00D33A5D">
          <w:rPr>
            <w:rFonts w:ascii="Arial" w:hAnsi="Arial" w:cs="Arial"/>
            <w:sz w:val="20"/>
            <w:szCs w:val="20"/>
          </w:rPr>
          <w:t>771</w:t>
        </w:r>
      </w:fldSimple>
      <w:r w:rsidRPr="00AC4AEA">
        <w:rPr>
          <w:rFonts w:ascii="Arial" w:hAnsi="Arial" w:cs="Arial"/>
          <w:sz w:val="20"/>
          <w:szCs w:val="20"/>
        </w:rPr>
        <w:t>] y de la sección “</w:t>
      </w:r>
      <w:r w:rsidRPr="00AC4AEA">
        <w:rPr>
          <w:rFonts w:ascii="Arial" w:hAnsi="Arial" w:cs="Arial"/>
          <w:sz w:val="20"/>
          <w:szCs w:val="20"/>
          <w:u w:val="single" w:color="000000"/>
        </w:rPr>
        <w:t>Aplicación de la definición de control</w:t>
      </w:r>
      <w:r w:rsidRPr="00AC4AEA">
        <w:rPr>
          <w:rFonts w:ascii="Arial" w:hAnsi="Arial" w:cs="Arial"/>
          <w:sz w:val="20"/>
          <w:szCs w:val="20"/>
        </w:rPr>
        <w:t xml:space="preserve">” [ver los párrafos </w:t>
      </w:r>
      <w:fldSimple w:instr=" REF _Ref135071494 \r \h  \* MERGEFORMAT ">
        <w:r w:rsidR="00D33A5D" w:rsidRPr="00D33A5D">
          <w:rPr>
            <w:rFonts w:ascii="Arial" w:hAnsi="Arial" w:cs="Arial"/>
            <w:sz w:val="20"/>
            <w:szCs w:val="20"/>
          </w:rPr>
          <w:t>772</w:t>
        </w:r>
      </w:fldSimple>
      <w:r w:rsidR="00203B41" w:rsidRPr="00AC4AEA">
        <w:rPr>
          <w:rFonts w:ascii="Arial" w:hAnsi="Arial" w:cs="Arial"/>
          <w:sz w:val="20"/>
          <w:szCs w:val="20"/>
        </w:rPr>
        <w:t xml:space="preserve"> a </w:t>
      </w:r>
      <w:fldSimple w:instr=" REF _Ref135071520 \r \h  \* MERGEFORMAT ">
        <w:r w:rsidR="00D33A5D" w:rsidRPr="00D33A5D">
          <w:rPr>
            <w:rFonts w:ascii="Arial" w:hAnsi="Arial" w:cs="Arial"/>
            <w:sz w:val="20"/>
            <w:szCs w:val="20"/>
          </w:rPr>
          <w:t>783</w:t>
        </w:r>
      </w:fldSimple>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Cuando, de acuerdo con lo establecido en el párrafo anterior, una entidad no pueda identificar con claridad a la adquirente, considerará que la adquirente generalmente es:</w:t>
      </w:r>
      <w:r w:rsidR="006F2C57">
        <w:rPr>
          <w:rFonts w:ascii="Arial" w:hAnsi="Arial" w:cs="Arial"/>
          <w:sz w:val="20"/>
          <w:szCs w:val="20"/>
        </w:rPr>
        <w:t xml:space="preserve"> </w:t>
      </w:r>
    </w:p>
    <w:p w:rsidR="00421257" w:rsidRPr="00AC4AEA" w:rsidRDefault="00421257" w:rsidP="00C01B25">
      <w:pPr>
        <w:numPr>
          <w:ilvl w:val="1"/>
          <w:numId w:val="499"/>
        </w:numPr>
        <w:spacing w:line="264" w:lineRule="auto"/>
        <w:ind w:left="1560" w:hanging="568"/>
        <w:jc w:val="both"/>
        <w:rPr>
          <w:rFonts w:ascii="Arial" w:hAnsi="Arial" w:cs="Arial"/>
          <w:sz w:val="20"/>
          <w:szCs w:val="20"/>
        </w:rPr>
      </w:pPr>
      <w:r w:rsidRPr="00AC4AEA">
        <w:rPr>
          <w:rFonts w:ascii="Arial" w:hAnsi="Arial" w:cs="Arial"/>
          <w:sz w:val="20"/>
          <w:szCs w:val="20"/>
        </w:rPr>
        <w:t xml:space="preserve">La entidad cuyo tamaño relativo (medido en función de los </w:t>
      </w:r>
      <w:r w:rsidR="00CE13D7" w:rsidRPr="00CE13D7">
        <w:rPr>
          <w:rFonts w:ascii="Arial" w:hAnsi="Arial" w:cs="Arial"/>
          <w:bCs/>
          <w:sz w:val="20"/>
          <w:szCs w:val="20"/>
        </w:rPr>
        <w:t>activos</w:t>
      </w:r>
      <w:r w:rsidRPr="00AC4AEA">
        <w:rPr>
          <w:rFonts w:ascii="Arial" w:hAnsi="Arial" w:cs="Arial"/>
          <w:sz w:val="20"/>
          <w:szCs w:val="20"/>
        </w:rPr>
        <w:t xml:space="preserve">, beneficios, </w:t>
      </w:r>
      <w:r w:rsidRPr="00AC4AEA">
        <w:rPr>
          <w:rFonts w:ascii="Arial" w:hAnsi="Arial" w:cs="Arial"/>
          <w:b/>
          <w:bCs/>
          <w:sz w:val="20"/>
          <w:szCs w:val="20"/>
        </w:rPr>
        <w:t>valor razonable</w:t>
      </w:r>
      <w:r w:rsidRPr="00AC4AEA">
        <w:rPr>
          <w:rFonts w:ascii="Arial" w:hAnsi="Arial" w:cs="Arial"/>
          <w:sz w:val="20"/>
          <w:szCs w:val="20"/>
        </w:rPr>
        <w:t xml:space="preserve"> o </w:t>
      </w:r>
      <w:r w:rsidRPr="00AC4AEA">
        <w:rPr>
          <w:rFonts w:ascii="Arial" w:hAnsi="Arial" w:cs="Arial"/>
          <w:b/>
          <w:bCs/>
          <w:sz w:val="20"/>
          <w:szCs w:val="20"/>
        </w:rPr>
        <w:t>ingresos de actividades ordinarias</w:t>
      </w:r>
      <w:r w:rsidRPr="00AC4AEA">
        <w:rPr>
          <w:rFonts w:ascii="Arial" w:hAnsi="Arial" w:cs="Arial"/>
          <w:sz w:val="20"/>
          <w:szCs w:val="20"/>
        </w:rPr>
        <w:t xml:space="preserve">) es mayor que el de las demás entidades. </w:t>
      </w:r>
    </w:p>
    <w:p w:rsidR="00421257" w:rsidRPr="00AC4AEA" w:rsidRDefault="00421257" w:rsidP="00C01B25">
      <w:pPr>
        <w:numPr>
          <w:ilvl w:val="1"/>
          <w:numId w:val="499"/>
        </w:numPr>
        <w:spacing w:line="264" w:lineRule="auto"/>
        <w:ind w:left="1560" w:hanging="568"/>
        <w:jc w:val="both"/>
        <w:rPr>
          <w:rFonts w:ascii="Arial" w:hAnsi="Arial" w:cs="Arial"/>
          <w:sz w:val="20"/>
          <w:szCs w:val="20"/>
        </w:rPr>
      </w:pPr>
      <w:r w:rsidRPr="00AC4AEA">
        <w:rPr>
          <w:rFonts w:ascii="Arial" w:hAnsi="Arial" w:cs="Arial"/>
          <w:sz w:val="20"/>
          <w:szCs w:val="20"/>
        </w:rPr>
        <w:t>En el caso de combinaciones de negocios que se efectúan mediante la entrega de efectivo, la transferencia de otros activos o la asunción de pasivos: la entidad que:</w:t>
      </w:r>
      <w:r w:rsidR="006F2C57">
        <w:rPr>
          <w:rFonts w:ascii="Arial" w:hAnsi="Arial" w:cs="Arial"/>
          <w:sz w:val="20"/>
          <w:szCs w:val="20"/>
        </w:rPr>
        <w:t xml:space="preserve"> </w:t>
      </w:r>
    </w:p>
    <w:p w:rsidR="00421257" w:rsidRPr="00AC4AEA" w:rsidRDefault="00421257" w:rsidP="00C01B25">
      <w:pPr>
        <w:numPr>
          <w:ilvl w:val="2"/>
          <w:numId w:val="499"/>
        </w:numPr>
        <w:spacing w:after="168" w:line="264" w:lineRule="auto"/>
        <w:ind w:left="1985" w:hanging="425"/>
        <w:jc w:val="both"/>
        <w:rPr>
          <w:rFonts w:ascii="Arial" w:hAnsi="Arial" w:cs="Arial"/>
          <w:sz w:val="20"/>
          <w:szCs w:val="20"/>
        </w:rPr>
      </w:pPr>
      <w:r w:rsidRPr="00AC4AEA">
        <w:rPr>
          <w:rFonts w:ascii="Arial" w:hAnsi="Arial" w:cs="Arial"/>
          <w:sz w:val="20"/>
          <w:szCs w:val="20"/>
        </w:rPr>
        <w:t>entrega el efectivo;</w:t>
      </w:r>
      <w:r w:rsidR="006F2C57">
        <w:rPr>
          <w:rFonts w:ascii="Arial" w:hAnsi="Arial" w:cs="Arial"/>
          <w:sz w:val="20"/>
          <w:szCs w:val="20"/>
        </w:rPr>
        <w:t xml:space="preserve"> </w:t>
      </w:r>
    </w:p>
    <w:p w:rsidR="00421257" w:rsidRPr="00AC4AEA" w:rsidRDefault="00421257" w:rsidP="00C01B25">
      <w:pPr>
        <w:numPr>
          <w:ilvl w:val="2"/>
          <w:numId w:val="499"/>
        </w:numPr>
        <w:spacing w:after="168" w:line="264" w:lineRule="auto"/>
        <w:ind w:left="1985" w:hanging="425"/>
        <w:jc w:val="both"/>
        <w:rPr>
          <w:rFonts w:ascii="Arial" w:hAnsi="Arial" w:cs="Arial"/>
          <w:sz w:val="20"/>
          <w:szCs w:val="20"/>
        </w:rPr>
      </w:pPr>
      <w:r w:rsidRPr="00AC4AEA">
        <w:rPr>
          <w:rFonts w:ascii="Arial" w:hAnsi="Arial" w:cs="Arial"/>
          <w:sz w:val="20"/>
          <w:szCs w:val="20"/>
        </w:rPr>
        <w:t xml:space="preserve">transfiere otros </w:t>
      </w:r>
      <w:r w:rsidR="00CE13D7" w:rsidRPr="00CE13D7">
        <w:rPr>
          <w:rFonts w:ascii="Arial" w:hAnsi="Arial" w:cs="Arial"/>
          <w:bCs/>
          <w:sz w:val="20"/>
          <w:szCs w:val="20"/>
        </w:rPr>
        <w:t>activos</w:t>
      </w:r>
      <w:r w:rsidRPr="00AC4AEA">
        <w:rPr>
          <w:rFonts w:ascii="Arial" w:hAnsi="Arial" w:cs="Arial"/>
          <w:sz w:val="20"/>
          <w:szCs w:val="20"/>
        </w:rPr>
        <w:t>; o</w:t>
      </w:r>
      <w:r w:rsidR="006F2C57">
        <w:rPr>
          <w:rFonts w:ascii="Arial" w:hAnsi="Arial" w:cs="Arial"/>
          <w:sz w:val="20"/>
          <w:szCs w:val="20"/>
        </w:rPr>
        <w:t xml:space="preserve"> </w:t>
      </w:r>
    </w:p>
    <w:p w:rsidR="00421257" w:rsidRPr="00AC4AEA" w:rsidRDefault="00421257" w:rsidP="00C01B25">
      <w:pPr>
        <w:numPr>
          <w:ilvl w:val="2"/>
          <w:numId w:val="499"/>
        </w:numPr>
        <w:spacing w:after="147" w:line="264" w:lineRule="auto"/>
        <w:ind w:left="1985" w:hanging="425"/>
        <w:jc w:val="both"/>
        <w:rPr>
          <w:rFonts w:ascii="Arial" w:hAnsi="Arial" w:cs="Arial"/>
          <w:sz w:val="20"/>
          <w:szCs w:val="20"/>
        </w:rPr>
      </w:pPr>
      <w:r w:rsidRPr="00AC4AEA">
        <w:rPr>
          <w:rFonts w:ascii="Arial" w:hAnsi="Arial" w:cs="Arial"/>
          <w:sz w:val="20"/>
          <w:szCs w:val="20"/>
        </w:rPr>
        <w:t xml:space="preserve">asume </w:t>
      </w:r>
      <w:r w:rsidR="00CE13D7" w:rsidRPr="00CE13D7">
        <w:rPr>
          <w:rFonts w:ascii="Arial" w:hAnsi="Arial" w:cs="Arial"/>
          <w:bCs/>
          <w:sz w:val="20"/>
          <w:szCs w:val="20"/>
        </w:rPr>
        <w:t>pasivos</w:t>
      </w:r>
      <w:r w:rsidR="00685B1C"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1"/>
          <w:numId w:val="499"/>
        </w:numPr>
        <w:spacing w:line="264" w:lineRule="auto"/>
        <w:ind w:left="1559" w:hanging="567"/>
        <w:jc w:val="both"/>
        <w:rPr>
          <w:rFonts w:ascii="Arial" w:hAnsi="Arial" w:cs="Arial"/>
          <w:sz w:val="20"/>
          <w:szCs w:val="20"/>
        </w:rPr>
      </w:pPr>
      <w:r w:rsidRPr="00AC4AEA">
        <w:rPr>
          <w:rFonts w:ascii="Arial" w:hAnsi="Arial" w:cs="Arial"/>
          <w:sz w:val="20"/>
          <w:szCs w:val="20"/>
        </w:rPr>
        <w:t xml:space="preserve">En el caso de combinaciones de negocios que se efectúan mediante el intercambio de instrumentos de patrimonio, la entidad: </w:t>
      </w:r>
    </w:p>
    <w:p w:rsidR="00421257" w:rsidRPr="00AC4AEA" w:rsidRDefault="00421257" w:rsidP="00C01B25">
      <w:pPr>
        <w:numPr>
          <w:ilvl w:val="2"/>
          <w:numId w:val="499"/>
        </w:numPr>
        <w:spacing w:after="147" w:line="264" w:lineRule="auto"/>
        <w:ind w:left="1985" w:hanging="425"/>
        <w:jc w:val="both"/>
        <w:rPr>
          <w:rFonts w:ascii="Arial" w:hAnsi="Arial" w:cs="Arial"/>
          <w:sz w:val="20"/>
          <w:szCs w:val="20"/>
        </w:rPr>
      </w:pPr>
      <w:r w:rsidRPr="00AC4AEA">
        <w:rPr>
          <w:rFonts w:ascii="Arial" w:hAnsi="Arial" w:cs="Arial"/>
          <w:sz w:val="20"/>
          <w:szCs w:val="20"/>
        </w:rPr>
        <w:t>que emite tales instrumentos;</w:t>
      </w:r>
      <w:r w:rsidR="006F2C57">
        <w:rPr>
          <w:rFonts w:ascii="Arial" w:hAnsi="Arial" w:cs="Arial"/>
          <w:sz w:val="20"/>
          <w:szCs w:val="20"/>
        </w:rPr>
        <w:t xml:space="preserve"> </w:t>
      </w:r>
    </w:p>
    <w:p w:rsidR="00421257" w:rsidRPr="00AC4AEA" w:rsidRDefault="00421257" w:rsidP="00C01B25">
      <w:pPr>
        <w:numPr>
          <w:ilvl w:val="2"/>
          <w:numId w:val="499"/>
        </w:numPr>
        <w:spacing w:after="147" w:line="264" w:lineRule="auto"/>
        <w:ind w:left="1985" w:hanging="425"/>
        <w:jc w:val="both"/>
        <w:rPr>
          <w:rFonts w:ascii="Arial" w:hAnsi="Arial" w:cs="Arial"/>
          <w:sz w:val="20"/>
          <w:szCs w:val="20"/>
        </w:rPr>
      </w:pPr>
      <w:r w:rsidRPr="00AC4AEA">
        <w:rPr>
          <w:rFonts w:ascii="Arial" w:hAnsi="Arial" w:cs="Arial"/>
          <w:sz w:val="20"/>
          <w:szCs w:val="20"/>
        </w:rPr>
        <w:t xml:space="preserve">cuyos propietarios tienen la capacidad de elegir, designar o cesar a los miembros del órgano de gobierno de la entidad combinada; </w:t>
      </w:r>
    </w:p>
    <w:p w:rsidR="00421257" w:rsidRPr="00AC4AEA" w:rsidRDefault="00421257" w:rsidP="00C01B25">
      <w:pPr>
        <w:numPr>
          <w:ilvl w:val="2"/>
          <w:numId w:val="499"/>
        </w:numPr>
        <w:spacing w:after="147" w:line="264" w:lineRule="auto"/>
        <w:ind w:left="1985" w:hanging="425"/>
        <w:jc w:val="both"/>
        <w:rPr>
          <w:rFonts w:ascii="Arial" w:hAnsi="Arial" w:cs="Arial"/>
          <w:sz w:val="20"/>
          <w:szCs w:val="20"/>
        </w:rPr>
      </w:pPr>
      <w:r w:rsidRPr="00AC4AEA">
        <w:rPr>
          <w:rFonts w:ascii="Arial" w:hAnsi="Arial" w:cs="Arial"/>
          <w:sz w:val="20"/>
          <w:szCs w:val="20"/>
        </w:rPr>
        <w:t xml:space="preserve">cuya </w:t>
      </w:r>
      <w:r w:rsidRPr="00AC4AEA">
        <w:rPr>
          <w:rFonts w:ascii="Arial" w:hAnsi="Arial" w:cs="Arial"/>
          <w:b/>
          <w:bCs/>
          <w:sz w:val="20"/>
          <w:szCs w:val="20"/>
        </w:rPr>
        <w:t>dirección</w:t>
      </w:r>
      <w:r w:rsidRPr="00AC4AEA">
        <w:rPr>
          <w:rFonts w:ascii="Arial" w:hAnsi="Arial" w:cs="Arial"/>
          <w:sz w:val="20"/>
          <w:szCs w:val="20"/>
        </w:rPr>
        <w:t xml:space="preserve"> (anterior a la combinación) domina a la </w:t>
      </w:r>
      <w:r w:rsidRPr="00AC4AEA">
        <w:rPr>
          <w:rFonts w:ascii="Arial" w:hAnsi="Arial" w:cs="Arial"/>
          <w:b/>
          <w:bCs/>
          <w:sz w:val="20"/>
          <w:szCs w:val="20"/>
        </w:rPr>
        <w:t>dirección</w:t>
      </w:r>
      <w:r w:rsidRPr="00AC4AEA">
        <w:rPr>
          <w:rFonts w:ascii="Arial" w:hAnsi="Arial" w:cs="Arial"/>
          <w:sz w:val="20"/>
          <w:szCs w:val="20"/>
        </w:rPr>
        <w:t xml:space="preserve"> de la entidad combinada; </w:t>
      </w:r>
    </w:p>
    <w:p w:rsidR="00421257" w:rsidRPr="00AC4AEA" w:rsidRDefault="00421257" w:rsidP="00C01B25">
      <w:pPr>
        <w:numPr>
          <w:ilvl w:val="2"/>
          <w:numId w:val="499"/>
        </w:numPr>
        <w:spacing w:after="147" w:line="264" w:lineRule="auto"/>
        <w:ind w:left="1985" w:hanging="425"/>
        <w:jc w:val="both"/>
        <w:rPr>
          <w:rFonts w:ascii="Arial" w:hAnsi="Arial" w:cs="Arial"/>
          <w:sz w:val="20"/>
          <w:szCs w:val="20"/>
        </w:rPr>
      </w:pPr>
      <w:r w:rsidRPr="00AC4AEA">
        <w:rPr>
          <w:rFonts w:ascii="Arial" w:hAnsi="Arial" w:cs="Arial"/>
          <w:sz w:val="20"/>
          <w:szCs w:val="20"/>
        </w:rPr>
        <w:t xml:space="preserve">que paga una prima sobre el </w:t>
      </w:r>
      <w:r w:rsidRPr="00AC4AEA">
        <w:rPr>
          <w:rFonts w:ascii="Arial" w:hAnsi="Arial" w:cs="Arial"/>
          <w:b/>
          <w:bCs/>
          <w:sz w:val="20"/>
          <w:szCs w:val="20"/>
        </w:rPr>
        <w:t>valor razonable</w:t>
      </w:r>
      <w:r w:rsidRPr="00AC4AEA">
        <w:rPr>
          <w:rFonts w:ascii="Arial" w:hAnsi="Arial" w:cs="Arial"/>
          <w:sz w:val="20"/>
          <w:szCs w:val="20"/>
        </w:rPr>
        <w:t xml:space="preserve"> de las participaciones en el </w:t>
      </w:r>
      <w:r w:rsidRPr="00AC4AEA">
        <w:rPr>
          <w:rFonts w:ascii="Arial" w:hAnsi="Arial" w:cs="Arial"/>
          <w:b/>
          <w:bCs/>
          <w:sz w:val="20"/>
          <w:szCs w:val="20"/>
        </w:rPr>
        <w:t xml:space="preserve">patrimonio </w:t>
      </w:r>
      <w:r w:rsidR="00685B1C" w:rsidRPr="00AC4AEA">
        <w:rPr>
          <w:rFonts w:ascii="Arial" w:hAnsi="Arial" w:cs="Arial"/>
          <w:b/>
          <w:bCs/>
          <w:sz w:val="20"/>
          <w:szCs w:val="20"/>
        </w:rPr>
        <w:t>neto</w:t>
      </w:r>
      <w:r w:rsidR="00685B1C" w:rsidRPr="00AC4AEA">
        <w:rPr>
          <w:rFonts w:ascii="Arial" w:hAnsi="Arial" w:cs="Arial"/>
          <w:sz w:val="20"/>
          <w:szCs w:val="20"/>
        </w:rPr>
        <w:t xml:space="preserve"> </w:t>
      </w:r>
      <w:r w:rsidRPr="00AC4AEA">
        <w:rPr>
          <w:rFonts w:ascii="Arial" w:hAnsi="Arial" w:cs="Arial"/>
          <w:sz w:val="20"/>
          <w:szCs w:val="20"/>
        </w:rPr>
        <w:t xml:space="preserve">de las otras entidades (anterior a la combinación); o </w:t>
      </w:r>
    </w:p>
    <w:p w:rsidR="00421257" w:rsidRPr="00AC4AEA" w:rsidRDefault="00421257" w:rsidP="00C01B25">
      <w:pPr>
        <w:numPr>
          <w:ilvl w:val="2"/>
          <w:numId w:val="499"/>
        </w:numPr>
        <w:spacing w:after="147" w:line="264" w:lineRule="auto"/>
        <w:ind w:left="1985" w:hanging="425"/>
        <w:jc w:val="both"/>
        <w:rPr>
          <w:rFonts w:ascii="Arial" w:hAnsi="Arial" w:cs="Arial"/>
          <w:sz w:val="20"/>
          <w:szCs w:val="20"/>
        </w:rPr>
      </w:pPr>
      <w:r w:rsidRPr="00AC4AEA">
        <w:rPr>
          <w:rFonts w:ascii="Arial" w:hAnsi="Arial" w:cs="Arial"/>
          <w:sz w:val="20"/>
          <w:szCs w:val="20"/>
        </w:rPr>
        <w:t xml:space="preserve">cuyos propietarios tienen mayor participación minoritaria en el voto, si el resto de los propietarios no tiene una participación significativa en el derecho a voto. </w:t>
      </w:r>
    </w:p>
    <w:p w:rsidR="00421257" w:rsidRPr="00AC4AEA" w:rsidRDefault="00421257" w:rsidP="00A318EA">
      <w:pPr>
        <w:spacing w:after="15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203" w:name="_Toc139357044"/>
      <w:r w:rsidRPr="00AC4AEA">
        <w:t>Determinación de la fecha de adquisición</w:t>
      </w:r>
      <w:bookmarkEnd w:id="1203"/>
      <w:r w:rsidRPr="00AC4AEA">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adquirente identificará la </w:t>
      </w:r>
      <w:r w:rsidRPr="00796FFD">
        <w:rPr>
          <w:rFonts w:ascii="Arial" w:hAnsi="Arial" w:cs="Arial"/>
          <w:b/>
          <w:bCs/>
          <w:sz w:val="20"/>
          <w:szCs w:val="20"/>
        </w:rPr>
        <w:t>fecha de adquisición</w:t>
      </w:r>
      <w:r w:rsidRPr="00AC4AEA">
        <w:rPr>
          <w:rFonts w:ascii="Arial" w:hAnsi="Arial" w:cs="Arial"/>
          <w:sz w:val="20"/>
          <w:szCs w:val="20"/>
        </w:rPr>
        <w:t xml:space="preserve">, que es aquella en la que obtiene control </w:t>
      </w:r>
      <w:r w:rsidR="00900F61" w:rsidRPr="00AC4AEA">
        <w:rPr>
          <w:rFonts w:ascii="Arial" w:hAnsi="Arial" w:cs="Arial"/>
          <w:sz w:val="20"/>
          <w:szCs w:val="20"/>
        </w:rPr>
        <w:t xml:space="preserve">sus activos menos sus pasivos (activos netos) </w:t>
      </w:r>
      <w:r w:rsidRPr="00AC4AEA">
        <w:rPr>
          <w:rFonts w:ascii="Arial" w:hAnsi="Arial" w:cs="Arial"/>
          <w:sz w:val="20"/>
          <w:szCs w:val="20"/>
        </w:rPr>
        <w:t xml:space="preserve">y las operaciones de la adquirida.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La fecha en la cual la adquirente obtiene el control de la adquirida es generalmente aquélla en la que la adquirente transfiere legalmente la contraprestación, adquiere los activos y asume los pasivos de la adquirida (también conocida como “fecha de cierre”). Sin embargo, la adquirente puede obtener el control en una fecha anterior o </w:t>
      </w:r>
      <w:r w:rsidRPr="00AC4AEA">
        <w:rPr>
          <w:rFonts w:ascii="Arial" w:hAnsi="Arial" w:cs="Arial"/>
          <w:sz w:val="20"/>
          <w:szCs w:val="20"/>
        </w:rPr>
        <w:lastRenderedPageBreak/>
        <w:t xml:space="preserve">posterior a la fecha de cierre. Por ejemplo, la </w:t>
      </w:r>
      <w:r w:rsidRPr="00796FFD">
        <w:rPr>
          <w:rFonts w:ascii="Arial" w:hAnsi="Arial" w:cs="Arial"/>
          <w:b/>
          <w:bCs/>
          <w:sz w:val="20"/>
          <w:szCs w:val="20"/>
        </w:rPr>
        <w:t>fecha de adquisición</w:t>
      </w:r>
      <w:r w:rsidRPr="00AC4AEA">
        <w:rPr>
          <w:rFonts w:ascii="Arial" w:hAnsi="Arial" w:cs="Arial"/>
          <w:sz w:val="20"/>
          <w:szCs w:val="20"/>
        </w:rPr>
        <w:t xml:space="preserve"> precederá a la fecha de cierre si un acuerdo escrito prevé que la adquirente obtenga el control de la adquirida en una fecha anterior a la fecha de cierre. Una adquirente considerará todos los hechos y circunstancias pertinentes.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204" w:name="_Toc139357045"/>
      <w:r w:rsidRPr="00AC4AEA">
        <w:t>Medición del costo de la combinación de negocios</w:t>
      </w:r>
      <w:bookmarkEnd w:id="1204"/>
      <w:r w:rsidRPr="00AC4AEA">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05" w:name="_Ref135764599"/>
      <w:r w:rsidRPr="00AC4AEA">
        <w:rPr>
          <w:rFonts w:ascii="Arial" w:hAnsi="Arial" w:cs="Arial"/>
          <w:sz w:val="20"/>
          <w:szCs w:val="20"/>
        </w:rPr>
        <w:t>Para determinar el costo de la combinación de negocios, una adquirente</w:t>
      </w:r>
      <w:r w:rsidR="00401BC6" w:rsidRPr="00AC4AEA">
        <w:rPr>
          <w:rFonts w:ascii="Arial" w:hAnsi="Arial" w:cs="Arial"/>
          <w:sz w:val="20"/>
          <w:szCs w:val="20"/>
        </w:rPr>
        <w:t xml:space="preserve"> computará los siguientes conceptos</w:t>
      </w:r>
      <w:r w:rsidRPr="00AC4AEA">
        <w:rPr>
          <w:rFonts w:ascii="Arial" w:hAnsi="Arial" w:cs="Arial"/>
          <w:sz w:val="20"/>
          <w:szCs w:val="20"/>
        </w:rPr>
        <w:t>:</w:t>
      </w:r>
      <w:bookmarkEnd w:id="1205"/>
      <w:r w:rsidRPr="00AC4AEA">
        <w:rPr>
          <w:rFonts w:ascii="Arial" w:hAnsi="Arial" w:cs="Arial"/>
          <w:sz w:val="20"/>
          <w:szCs w:val="20"/>
        </w:rPr>
        <w:t xml:space="preserve"> </w:t>
      </w:r>
    </w:p>
    <w:p w:rsidR="00421257" w:rsidRPr="00AC4AEA" w:rsidRDefault="00A855EE" w:rsidP="00C01B25">
      <w:pPr>
        <w:numPr>
          <w:ilvl w:val="0"/>
          <w:numId w:val="695"/>
        </w:numPr>
        <w:spacing w:line="264" w:lineRule="auto"/>
        <w:ind w:hanging="459"/>
        <w:jc w:val="both"/>
        <w:rPr>
          <w:rFonts w:ascii="Arial" w:hAnsi="Arial" w:cs="Arial"/>
          <w:sz w:val="20"/>
          <w:szCs w:val="20"/>
        </w:rPr>
      </w:pPr>
      <w:r w:rsidRPr="00AC4AEA">
        <w:rPr>
          <w:rFonts w:ascii="Arial" w:hAnsi="Arial" w:cs="Arial"/>
          <w:sz w:val="20"/>
          <w:szCs w:val="20"/>
        </w:rPr>
        <w:t xml:space="preserve">Cualquier </w:t>
      </w:r>
      <w:r w:rsidRPr="00AC4AEA">
        <w:rPr>
          <w:rFonts w:ascii="Arial" w:hAnsi="Arial" w:cs="Arial"/>
          <w:b/>
          <w:bCs/>
          <w:sz w:val="20"/>
          <w:szCs w:val="20"/>
        </w:rPr>
        <w:t>activo</w:t>
      </w:r>
      <w:r w:rsidRPr="00AC4AEA">
        <w:rPr>
          <w:rFonts w:ascii="Arial" w:hAnsi="Arial" w:cs="Arial"/>
          <w:sz w:val="20"/>
          <w:szCs w:val="20"/>
        </w:rPr>
        <w:t xml:space="preserve"> entregado, a su </w:t>
      </w:r>
      <w:r w:rsidRPr="00AC4AEA">
        <w:rPr>
          <w:rFonts w:ascii="Arial" w:hAnsi="Arial" w:cs="Arial"/>
          <w:b/>
          <w:bCs/>
          <w:sz w:val="20"/>
          <w:szCs w:val="20"/>
        </w:rPr>
        <w:t>valor razonable</w:t>
      </w:r>
      <w:r w:rsidR="00421257" w:rsidRPr="00AC4AEA">
        <w:rPr>
          <w:rFonts w:ascii="Arial" w:hAnsi="Arial" w:cs="Arial"/>
          <w:sz w:val="20"/>
          <w:szCs w:val="20"/>
        </w:rPr>
        <w:t>.</w:t>
      </w:r>
      <w:r w:rsidR="006F2C57">
        <w:rPr>
          <w:rFonts w:ascii="Arial" w:hAnsi="Arial" w:cs="Arial"/>
          <w:sz w:val="20"/>
          <w:szCs w:val="20"/>
        </w:rPr>
        <w:t xml:space="preserve"> </w:t>
      </w:r>
    </w:p>
    <w:p w:rsidR="00421257" w:rsidRPr="00AC4AEA" w:rsidRDefault="004B604D" w:rsidP="00C01B25">
      <w:pPr>
        <w:numPr>
          <w:ilvl w:val="0"/>
          <w:numId w:val="695"/>
        </w:numPr>
        <w:spacing w:line="264" w:lineRule="auto"/>
        <w:ind w:hanging="459"/>
        <w:jc w:val="both"/>
        <w:rPr>
          <w:rFonts w:ascii="Arial" w:hAnsi="Arial" w:cs="Arial"/>
          <w:sz w:val="20"/>
          <w:szCs w:val="20"/>
        </w:rPr>
      </w:pPr>
      <w:r w:rsidRPr="00AC4AEA">
        <w:rPr>
          <w:rFonts w:ascii="Arial" w:hAnsi="Arial" w:cs="Arial"/>
          <w:sz w:val="20"/>
          <w:szCs w:val="20"/>
        </w:rPr>
        <w:t xml:space="preserve">Cualquier </w:t>
      </w:r>
      <w:r w:rsidRPr="00AC4AEA">
        <w:rPr>
          <w:rFonts w:ascii="Arial" w:hAnsi="Arial" w:cs="Arial"/>
          <w:b/>
          <w:bCs/>
          <w:sz w:val="20"/>
          <w:szCs w:val="20"/>
        </w:rPr>
        <w:t>pasivo</w:t>
      </w:r>
      <w:r w:rsidRPr="00AC4AEA">
        <w:rPr>
          <w:rFonts w:ascii="Arial" w:hAnsi="Arial" w:cs="Arial"/>
          <w:sz w:val="20"/>
          <w:szCs w:val="20"/>
        </w:rPr>
        <w:t xml:space="preserve"> asumido, a su valor descontado</w:t>
      </w:r>
      <w:r w:rsidR="00421257" w:rsidRPr="00AC4AEA">
        <w:rPr>
          <w:rFonts w:ascii="Arial" w:hAnsi="Arial" w:cs="Arial"/>
          <w:sz w:val="20"/>
          <w:szCs w:val="20"/>
        </w:rPr>
        <w:t xml:space="preserve">. </w:t>
      </w:r>
    </w:p>
    <w:p w:rsidR="00421257" w:rsidRPr="00AC4AEA" w:rsidRDefault="004B604D" w:rsidP="00C01B25">
      <w:pPr>
        <w:numPr>
          <w:ilvl w:val="0"/>
          <w:numId w:val="695"/>
        </w:numPr>
        <w:spacing w:line="264" w:lineRule="auto"/>
        <w:ind w:hanging="459"/>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 xml:space="preserve">as acciones que emita: </w:t>
      </w:r>
    </w:p>
    <w:p w:rsidR="00421257" w:rsidRPr="00AC4AEA" w:rsidRDefault="00D60367" w:rsidP="00C01B25">
      <w:pPr>
        <w:numPr>
          <w:ilvl w:val="0"/>
          <w:numId w:val="696"/>
        </w:numPr>
        <w:spacing w:after="147" w:line="264" w:lineRule="auto"/>
        <w:ind w:hanging="643"/>
        <w:jc w:val="both"/>
        <w:rPr>
          <w:rFonts w:ascii="Arial" w:hAnsi="Arial" w:cs="Arial"/>
          <w:sz w:val="20"/>
          <w:szCs w:val="20"/>
        </w:rPr>
      </w:pPr>
      <w:r w:rsidRPr="00AC4AEA">
        <w:rPr>
          <w:rFonts w:ascii="Arial" w:hAnsi="Arial" w:cs="Arial"/>
          <w:sz w:val="20"/>
          <w:szCs w:val="20"/>
        </w:rPr>
        <w:t xml:space="preserve">Al valor calculado en función a la participación que dichas acciones otorguen en el neto de las mediciones asignadas a los </w:t>
      </w:r>
      <w:r w:rsidR="00CE13D7" w:rsidRPr="00CE13D7">
        <w:rPr>
          <w:rFonts w:ascii="Arial" w:hAnsi="Arial" w:cs="Arial"/>
          <w:bCs/>
          <w:sz w:val="20"/>
          <w:szCs w:val="20"/>
        </w:rPr>
        <w:t>activos</w:t>
      </w:r>
      <w:r w:rsidRPr="00AC4AEA">
        <w:rPr>
          <w:rFonts w:ascii="Arial" w:hAnsi="Arial" w:cs="Arial"/>
          <w:sz w:val="20"/>
          <w:szCs w:val="20"/>
        </w:rPr>
        <w:t xml:space="preserve"> y </w:t>
      </w:r>
      <w:r w:rsidR="00CE13D7" w:rsidRPr="00CE13D7">
        <w:rPr>
          <w:rFonts w:ascii="Arial" w:hAnsi="Arial" w:cs="Arial"/>
          <w:bCs/>
          <w:sz w:val="20"/>
          <w:szCs w:val="20"/>
        </w:rPr>
        <w:t>pasivos</w:t>
      </w:r>
      <w:r w:rsidRPr="00AC4AEA">
        <w:rPr>
          <w:rFonts w:ascii="Arial" w:hAnsi="Arial" w:cs="Arial"/>
          <w:sz w:val="20"/>
          <w:szCs w:val="20"/>
        </w:rPr>
        <w:t xml:space="preserve"> de la adquirida en la </w:t>
      </w:r>
      <w:r w:rsidRPr="00796FFD">
        <w:rPr>
          <w:rFonts w:ascii="Arial" w:hAnsi="Arial" w:cs="Arial"/>
          <w:b/>
          <w:bCs/>
          <w:sz w:val="20"/>
          <w:szCs w:val="20"/>
        </w:rPr>
        <w:t>fecha de adquisición</w:t>
      </w:r>
      <w:r w:rsidRPr="00AC4AEA">
        <w:rPr>
          <w:rFonts w:ascii="Arial" w:hAnsi="Arial" w:cs="Arial"/>
          <w:sz w:val="20"/>
          <w:szCs w:val="20"/>
        </w:rPr>
        <w:t>, si es pequeña o mediana</w:t>
      </w:r>
      <w:r w:rsidR="00D81E8F">
        <w:rPr>
          <w:rFonts w:ascii="Arial" w:hAnsi="Arial" w:cs="Arial"/>
          <w:sz w:val="20"/>
          <w:szCs w:val="20"/>
        </w:rPr>
        <w:t>.</w:t>
      </w:r>
      <w:r w:rsidR="00421257" w:rsidRPr="00AC4AEA">
        <w:rPr>
          <w:rFonts w:ascii="Arial" w:hAnsi="Arial" w:cs="Arial"/>
          <w:sz w:val="20"/>
          <w:szCs w:val="20"/>
        </w:rPr>
        <w:t xml:space="preserve"> </w:t>
      </w:r>
    </w:p>
    <w:p w:rsidR="00BD019A" w:rsidRPr="00AC4AEA" w:rsidRDefault="00620488" w:rsidP="00C01B25">
      <w:pPr>
        <w:numPr>
          <w:ilvl w:val="0"/>
          <w:numId w:val="696"/>
        </w:numPr>
        <w:spacing w:after="147" w:line="264" w:lineRule="auto"/>
        <w:ind w:hanging="643"/>
        <w:jc w:val="both"/>
        <w:rPr>
          <w:rFonts w:ascii="Arial" w:hAnsi="Arial" w:cs="Arial"/>
          <w:sz w:val="20"/>
          <w:szCs w:val="20"/>
        </w:rPr>
      </w:pPr>
      <w:r w:rsidRPr="00AC4AEA">
        <w:rPr>
          <w:rFonts w:ascii="Arial" w:hAnsi="Arial" w:cs="Arial"/>
          <w:sz w:val="20"/>
          <w:szCs w:val="20"/>
        </w:rPr>
        <w:t xml:space="preserve">A su </w:t>
      </w:r>
      <w:r w:rsidRPr="00AC4AEA">
        <w:rPr>
          <w:rFonts w:ascii="Arial" w:hAnsi="Arial" w:cs="Arial"/>
          <w:b/>
          <w:bCs/>
          <w:sz w:val="20"/>
          <w:szCs w:val="20"/>
        </w:rPr>
        <w:t>valor razonable</w:t>
      </w:r>
      <w:r w:rsidRPr="00AC4AEA">
        <w:rPr>
          <w:rFonts w:ascii="Arial" w:hAnsi="Arial" w:cs="Arial"/>
          <w:sz w:val="20"/>
          <w:szCs w:val="20"/>
        </w:rPr>
        <w:t>, en los restantes casos</w:t>
      </w:r>
      <w:r w:rsidR="00421257" w:rsidRPr="00AC4AEA">
        <w:rPr>
          <w:rFonts w:ascii="Arial" w:hAnsi="Arial" w:cs="Arial"/>
          <w:sz w:val="20"/>
          <w:szCs w:val="20"/>
        </w:rPr>
        <w:t>.</w:t>
      </w:r>
    </w:p>
    <w:p w:rsidR="00BD019A" w:rsidRPr="00AC4AEA" w:rsidRDefault="009959A9" w:rsidP="00C01B25">
      <w:pPr>
        <w:numPr>
          <w:ilvl w:val="0"/>
          <w:numId w:val="695"/>
        </w:numPr>
        <w:spacing w:line="264" w:lineRule="auto"/>
        <w:ind w:hanging="459"/>
        <w:jc w:val="both"/>
        <w:rPr>
          <w:rFonts w:ascii="Arial" w:hAnsi="Arial" w:cs="Arial"/>
          <w:sz w:val="20"/>
          <w:szCs w:val="20"/>
        </w:rPr>
      </w:pPr>
      <w:r w:rsidRPr="00AC4AEA">
        <w:rPr>
          <w:rFonts w:ascii="Arial" w:hAnsi="Arial" w:cs="Arial"/>
          <w:sz w:val="20"/>
          <w:szCs w:val="20"/>
        </w:rPr>
        <w:t>L</w:t>
      </w:r>
      <w:r w:rsidR="00BD019A" w:rsidRPr="00AC4AEA">
        <w:rPr>
          <w:rFonts w:ascii="Arial" w:hAnsi="Arial" w:cs="Arial"/>
          <w:sz w:val="20"/>
          <w:szCs w:val="20"/>
        </w:rPr>
        <w:t xml:space="preserve">os ajustes al precio de adquisición que dependan de la concreción de un o más hechos futuros, por su </w:t>
      </w:r>
      <w:r w:rsidR="00BD019A" w:rsidRPr="00AC4AEA">
        <w:rPr>
          <w:rFonts w:ascii="Arial" w:hAnsi="Arial" w:cs="Arial"/>
          <w:b/>
          <w:bCs/>
          <w:sz w:val="20"/>
          <w:szCs w:val="20"/>
        </w:rPr>
        <w:t>valor razonable</w:t>
      </w:r>
      <w:r w:rsidR="00BD019A" w:rsidRPr="00AC4AEA">
        <w:rPr>
          <w:rFonts w:ascii="Arial" w:hAnsi="Arial" w:cs="Arial"/>
          <w:sz w:val="20"/>
          <w:szCs w:val="20"/>
        </w:rPr>
        <w:t xml:space="preserve"> si utilizó el criterio indicado en el punto (ii) del inciso anterior</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9959A9" w:rsidP="00C01B25">
      <w:pPr>
        <w:numPr>
          <w:ilvl w:val="0"/>
          <w:numId w:val="695"/>
        </w:numPr>
        <w:spacing w:line="264" w:lineRule="auto"/>
        <w:ind w:hanging="459"/>
        <w:jc w:val="both"/>
        <w:rPr>
          <w:rFonts w:ascii="Arial" w:hAnsi="Arial" w:cs="Arial"/>
          <w:sz w:val="20"/>
          <w:szCs w:val="20"/>
        </w:rPr>
      </w:pPr>
      <w:r w:rsidRPr="00AC4AEA">
        <w:rPr>
          <w:rFonts w:ascii="Arial" w:hAnsi="Arial" w:cs="Arial"/>
          <w:sz w:val="20"/>
          <w:szCs w:val="20"/>
        </w:rPr>
        <w:t>E</w:t>
      </w:r>
      <w:r w:rsidR="00BD019A" w:rsidRPr="00AC4AEA">
        <w:rPr>
          <w:rFonts w:ascii="Arial" w:hAnsi="Arial" w:cs="Arial"/>
          <w:sz w:val="20"/>
          <w:szCs w:val="20"/>
        </w:rPr>
        <w:t xml:space="preserve">l importe de los </w:t>
      </w:r>
      <w:r w:rsidR="00CE13D7" w:rsidRPr="00CE13D7">
        <w:rPr>
          <w:rFonts w:ascii="Arial" w:hAnsi="Arial" w:cs="Arial"/>
          <w:bCs/>
          <w:sz w:val="20"/>
          <w:szCs w:val="20"/>
        </w:rPr>
        <w:t>activos</w:t>
      </w:r>
      <w:r w:rsidR="00BD019A" w:rsidRPr="00AC4AEA">
        <w:rPr>
          <w:rFonts w:ascii="Arial" w:hAnsi="Arial" w:cs="Arial"/>
          <w:sz w:val="20"/>
          <w:szCs w:val="20"/>
        </w:rPr>
        <w:t xml:space="preserve"> y pagos monetarios que la adquirente deba entregar o efectuar por costos directos relacionados con la adquisición (</w:t>
      </w:r>
      <w:r w:rsidRPr="00AC4AEA">
        <w:rPr>
          <w:rFonts w:ascii="Arial" w:hAnsi="Arial" w:cs="Arial"/>
          <w:sz w:val="20"/>
          <w:szCs w:val="20"/>
        </w:rPr>
        <w:t>por ejemplo</w:t>
      </w:r>
      <w:r w:rsidR="00BD019A" w:rsidRPr="00AC4AEA">
        <w:rPr>
          <w:rFonts w:ascii="Arial" w:hAnsi="Arial" w:cs="Arial"/>
          <w:sz w:val="20"/>
          <w:szCs w:val="20"/>
        </w:rPr>
        <w:t>, honorarios profesionales)</w:t>
      </w:r>
      <w:r w:rsidR="008F0E4D"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Tal como </w:t>
      </w:r>
      <w:r w:rsidR="00D6255B" w:rsidRPr="00AC4AEA">
        <w:rPr>
          <w:rFonts w:ascii="Arial" w:hAnsi="Arial" w:cs="Arial"/>
          <w:sz w:val="20"/>
          <w:szCs w:val="20"/>
        </w:rPr>
        <w:t>surge</w:t>
      </w:r>
      <w:r w:rsidRPr="00AC4AEA">
        <w:rPr>
          <w:rFonts w:ascii="Arial" w:hAnsi="Arial" w:cs="Arial"/>
          <w:sz w:val="20"/>
          <w:szCs w:val="20"/>
        </w:rPr>
        <w:t xml:space="preserve"> </w:t>
      </w:r>
      <w:r w:rsidR="00D6255B" w:rsidRPr="00AC4AEA">
        <w:rPr>
          <w:rFonts w:ascii="Arial" w:hAnsi="Arial" w:cs="Arial"/>
          <w:sz w:val="20"/>
          <w:szCs w:val="20"/>
        </w:rPr>
        <w:t>d</w:t>
      </w:r>
      <w:r w:rsidRPr="00AC4AEA">
        <w:rPr>
          <w:rFonts w:ascii="Arial" w:hAnsi="Arial" w:cs="Arial"/>
          <w:sz w:val="20"/>
          <w:szCs w:val="20"/>
        </w:rPr>
        <w:t>el inciso a) del párrafo</w:t>
      </w:r>
      <w:r w:rsidR="00D6255B" w:rsidRPr="00AC4AEA">
        <w:rPr>
          <w:rFonts w:ascii="Arial" w:hAnsi="Arial" w:cs="Arial"/>
          <w:sz w:val="20"/>
          <w:szCs w:val="20"/>
        </w:rPr>
        <w:t xml:space="preserve"> anterior,</w:t>
      </w:r>
      <w:r w:rsidRPr="00AC4AEA">
        <w:rPr>
          <w:rFonts w:ascii="Arial" w:hAnsi="Arial" w:cs="Arial"/>
          <w:sz w:val="20"/>
          <w:szCs w:val="20"/>
        </w:rPr>
        <w:t xml:space="preserve"> el costo de la combinación de negocios puede incluir </w:t>
      </w:r>
      <w:r w:rsidR="00CE13D7" w:rsidRPr="00CE13D7">
        <w:rPr>
          <w:rFonts w:ascii="Arial" w:hAnsi="Arial" w:cs="Arial"/>
          <w:bCs/>
          <w:sz w:val="20"/>
          <w:szCs w:val="20"/>
        </w:rPr>
        <w:t>activos</w:t>
      </w:r>
      <w:r w:rsidRPr="00AC4AEA">
        <w:rPr>
          <w:rFonts w:ascii="Arial" w:hAnsi="Arial" w:cs="Arial"/>
          <w:sz w:val="20"/>
          <w:szCs w:val="20"/>
        </w:rPr>
        <w:t xml:space="preserve"> distintos al efectivo que tengan un importe en libros que difiera de sus </w:t>
      </w:r>
      <w:r w:rsidRPr="00AC4AEA">
        <w:rPr>
          <w:rFonts w:ascii="Arial" w:hAnsi="Arial" w:cs="Arial"/>
          <w:b/>
          <w:bCs/>
          <w:sz w:val="20"/>
          <w:szCs w:val="20"/>
        </w:rPr>
        <w:t>valores razonables</w:t>
      </w:r>
      <w:r w:rsidRPr="00AC4AEA">
        <w:rPr>
          <w:rFonts w:ascii="Arial" w:hAnsi="Arial" w:cs="Arial"/>
          <w:sz w:val="20"/>
          <w:szCs w:val="20"/>
        </w:rPr>
        <w:t xml:space="preserve"> en la </w:t>
      </w:r>
      <w:r w:rsidRPr="00AA50D9">
        <w:rPr>
          <w:rFonts w:ascii="Arial" w:hAnsi="Arial" w:cs="Arial"/>
          <w:b/>
          <w:bCs/>
          <w:sz w:val="20"/>
          <w:szCs w:val="20"/>
        </w:rPr>
        <w:t>fecha de adquisición</w:t>
      </w:r>
      <w:r w:rsidRPr="00AC4AEA">
        <w:rPr>
          <w:rFonts w:ascii="Arial" w:hAnsi="Arial" w:cs="Arial"/>
          <w:sz w:val="20"/>
          <w:szCs w:val="20"/>
        </w:rPr>
        <w:t xml:space="preserve"> (por ejemplo, activos no monetarios). Si así fuera, una adquirente medirá nuevamente los </w:t>
      </w:r>
      <w:r w:rsidR="00CE13D7" w:rsidRPr="00CE13D7">
        <w:rPr>
          <w:rFonts w:ascii="Arial" w:hAnsi="Arial" w:cs="Arial"/>
          <w:bCs/>
          <w:sz w:val="20"/>
          <w:szCs w:val="20"/>
        </w:rPr>
        <w:t>activos</w:t>
      </w:r>
      <w:r w:rsidRPr="00AC4AEA">
        <w:rPr>
          <w:rFonts w:ascii="Arial" w:hAnsi="Arial" w:cs="Arial"/>
          <w:sz w:val="20"/>
          <w:szCs w:val="20"/>
        </w:rPr>
        <w:t xml:space="preserve"> transferidos a sus </w:t>
      </w:r>
      <w:r w:rsidRPr="00AC4AEA">
        <w:rPr>
          <w:rFonts w:ascii="Arial" w:hAnsi="Arial" w:cs="Arial"/>
          <w:b/>
          <w:bCs/>
          <w:sz w:val="20"/>
          <w:szCs w:val="20"/>
        </w:rPr>
        <w:t>valores razonables</w:t>
      </w:r>
      <w:r w:rsidRPr="00AC4AEA">
        <w:rPr>
          <w:rFonts w:ascii="Arial" w:hAnsi="Arial" w:cs="Arial"/>
          <w:sz w:val="20"/>
          <w:szCs w:val="20"/>
        </w:rPr>
        <w:t xml:space="preserve"> en la </w:t>
      </w:r>
      <w:r w:rsidRPr="00AA50D9">
        <w:rPr>
          <w:rFonts w:ascii="Arial" w:hAnsi="Arial" w:cs="Arial"/>
          <w:b/>
          <w:bCs/>
          <w:sz w:val="20"/>
          <w:szCs w:val="20"/>
        </w:rPr>
        <w:t>fecha de adquisición</w:t>
      </w:r>
      <w:r w:rsidRPr="00AC4AEA">
        <w:rPr>
          <w:rFonts w:ascii="Arial" w:hAnsi="Arial" w:cs="Arial"/>
          <w:sz w:val="20"/>
          <w:szCs w:val="20"/>
        </w:rPr>
        <w:t xml:space="preserve"> y reconocerá las ganancias o pérdidas resultantes, si las hubiera, en resultados. Sin embargo, algunas veces los </w:t>
      </w:r>
      <w:r w:rsidR="00CE13D7" w:rsidRPr="00CE13D7">
        <w:rPr>
          <w:rFonts w:ascii="Arial" w:hAnsi="Arial" w:cs="Arial"/>
          <w:bCs/>
          <w:sz w:val="20"/>
          <w:szCs w:val="20"/>
        </w:rPr>
        <w:t>activos</w:t>
      </w:r>
      <w:r w:rsidRPr="00AC4AEA">
        <w:rPr>
          <w:rFonts w:ascii="Arial" w:hAnsi="Arial" w:cs="Arial"/>
          <w:sz w:val="20"/>
          <w:szCs w:val="20"/>
        </w:rPr>
        <w:t xml:space="preserve"> transferidos permanecen en la entidad combinada tras la combinación de negocios (por ejemplo, porque los activos se transfirieron a la adquirida y no a sus anteriores propietarios), y la adquirente, por lo tanto, retiene el control sobre ellos. En esa situación, una adquirente medirá esos </w:t>
      </w:r>
      <w:r w:rsidR="00CE13D7" w:rsidRPr="00CE13D7">
        <w:rPr>
          <w:rFonts w:ascii="Arial" w:hAnsi="Arial" w:cs="Arial"/>
          <w:bCs/>
          <w:sz w:val="20"/>
          <w:szCs w:val="20"/>
        </w:rPr>
        <w:t>activos</w:t>
      </w:r>
      <w:r w:rsidRPr="00AC4AEA">
        <w:rPr>
          <w:rFonts w:ascii="Arial" w:hAnsi="Arial" w:cs="Arial"/>
          <w:sz w:val="20"/>
          <w:szCs w:val="20"/>
        </w:rPr>
        <w:t xml:space="preserve"> por sus importes en libros inmediatamente antes de la </w:t>
      </w:r>
      <w:r w:rsidRPr="00AA50D9">
        <w:rPr>
          <w:rFonts w:ascii="Arial" w:hAnsi="Arial" w:cs="Arial"/>
          <w:b/>
          <w:bCs/>
          <w:sz w:val="20"/>
          <w:szCs w:val="20"/>
        </w:rPr>
        <w:t>fecha de adquisición</w:t>
      </w:r>
      <w:r w:rsidRPr="00AC4AEA">
        <w:rPr>
          <w:rFonts w:ascii="Arial" w:hAnsi="Arial" w:cs="Arial"/>
          <w:sz w:val="20"/>
          <w:szCs w:val="20"/>
        </w:rPr>
        <w:t xml:space="preserve"> y no reconocerá ninguna </w:t>
      </w:r>
      <w:r w:rsidRPr="00A94103">
        <w:rPr>
          <w:rFonts w:ascii="Arial" w:hAnsi="Arial" w:cs="Arial"/>
          <w:b/>
          <w:bCs/>
          <w:sz w:val="20"/>
          <w:szCs w:val="20"/>
        </w:rPr>
        <w:t xml:space="preserve">ganancia </w:t>
      </w:r>
      <w:r w:rsidRPr="00AC4AEA">
        <w:rPr>
          <w:rFonts w:ascii="Arial" w:hAnsi="Arial" w:cs="Arial"/>
          <w:sz w:val="20"/>
          <w:szCs w:val="20"/>
        </w:rPr>
        <w:t xml:space="preserve">o </w:t>
      </w:r>
      <w:r w:rsidRPr="00A94103">
        <w:rPr>
          <w:rFonts w:ascii="Arial" w:hAnsi="Arial" w:cs="Arial"/>
          <w:b/>
          <w:bCs/>
          <w:sz w:val="20"/>
          <w:szCs w:val="20"/>
        </w:rPr>
        <w:t>pérdida</w:t>
      </w:r>
      <w:r w:rsidRPr="00AC4AEA">
        <w:rPr>
          <w:rFonts w:ascii="Arial" w:hAnsi="Arial" w:cs="Arial"/>
          <w:sz w:val="20"/>
          <w:szCs w:val="20"/>
        </w:rPr>
        <w:t xml:space="preserve"> en resultados sobre </w:t>
      </w:r>
      <w:r w:rsidR="00CE13D7" w:rsidRPr="00CE13D7">
        <w:rPr>
          <w:rFonts w:ascii="Arial" w:hAnsi="Arial" w:cs="Arial"/>
          <w:bCs/>
          <w:sz w:val="20"/>
          <w:szCs w:val="20"/>
        </w:rPr>
        <w:t>activos</w:t>
      </w:r>
      <w:r w:rsidRPr="00AC4AEA">
        <w:rPr>
          <w:rFonts w:ascii="Arial" w:hAnsi="Arial" w:cs="Arial"/>
          <w:sz w:val="20"/>
          <w:szCs w:val="20"/>
        </w:rPr>
        <w:t xml:space="preserve"> que controla tanto antes como después de la combinación de negocios.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06" w:name="_Ref135764604"/>
      <w:r w:rsidRPr="00AC4AEA">
        <w:rPr>
          <w:rFonts w:ascii="Arial" w:hAnsi="Arial" w:cs="Arial"/>
          <w:sz w:val="20"/>
          <w:szCs w:val="20"/>
        </w:rPr>
        <w:t xml:space="preserve">Son costos relacionados con la combinación de negocios aquellos en que incurre la adquirente para llevar a cabo una combinación de negocios. Estos costos incluyen los honorarios de búsqueda; asesoramiento, jurídicos, contables, de valoración y otros honorarios profesionales o de consultoría; costos generales de administración, incluyendo los de mantener un departamento interno de adquisiciones; y costos de registro y emisión de títulos de deuda y de patrimonio. Una adquirente contabilizará los costos relacionados con la adquisición como parte del costo de la combinación de negocios, a excepción de los costos de emisión de deuda o títulos de patrimonio, que se reconocerán de acuerdo con los requerimientos de la presente Resolución Técnica </w:t>
      </w:r>
      <w:r w:rsidR="007D4A42" w:rsidRPr="00AC4AEA">
        <w:rPr>
          <w:rFonts w:ascii="Arial" w:hAnsi="Arial" w:cs="Arial"/>
          <w:sz w:val="20"/>
          <w:szCs w:val="20"/>
        </w:rPr>
        <w:t>u</w:t>
      </w:r>
      <w:r w:rsidRPr="00AC4AEA">
        <w:rPr>
          <w:rFonts w:ascii="Arial" w:hAnsi="Arial" w:cs="Arial"/>
          <w:sz w:val="20"/>
          <w:szCs w:val="20"/>
        </w:rPr>
        <w:t xml:space="preserve"> </w:t>
      </w:r>
      <w:r w:rsidRPr="00AC4AEA">
        <w:rPr>
          <w:rFonts w:ascii="Arial" w:hAnsi="Arial" w:cs="Arial"/>
          <w:b/>
          <w:bCs/>
          <w:sz w:val="20"/>
          <w:szCs w:val="20"/>
        </w:rPr>
        <w:t>otras normas contables</w:t>
      </w:r>
      <w:r w:rsidRPr="00AC4AEA">
        <w:rPr>
          <w:rFonts w:ascii="Arial" w:hAnsi="Arial" w:cs="Arial"/>
          <w:sz w:val="20"/>
          <w:szCs w:val="20"/>
        </w:rPr>
        <w:t>, según corresponda.</w:t>
      </w:r>
      <w:bookmarkEnd w:id="1206"/>
      <w:r w:rsidRPr="00AC4AEA">
        <w:rPr>
          <w:rFonts w:ascii="Arial" w:hAnsi="Arial" w:cs="Arial"/>
          <w:sz w:val="20"/>
          <w:szCs w:val="20"/>
        </w:rPr>
        <w:t xml:space="preserve"> </w:t>
      </w:r>
    </w:p>
    <w:p w:rsidR="00421257" w:rsidRPr="00AC4AEA" w:rsidRDefault="00421257" w:rsidP="00A318EA">
      <w:pPr>
        <w:spacing w:after="112" w:line="256" w:lineRule="auto"/>
        <w:rPr>
          <w:rFonts w:ascii="Arial" w:hAnsi="Arial" w:cs="Arial"/>
          <w:sz w:val="20"/>
          <w:szCs w:val="20"/>
        </w:rPr>
      </w:pPr>
      <w:r w:rsidRPr="00AC4AEA">
        <w:rPr>
          <w:rFonts w:ascii="Arial" w:hAnsi="Arial" w:cs="Arial"/>
          <w:sz w:val="20"/>
          <w:szCs w:val="20"/>
        </w:rPr>
        <w:lastRenderedPageBreak/>
        <w:t xml:space="preserve"> </w:t>
      </w:r>
    </w:p>
    <w:p w:rsidR="00421257" w:rsidRPr="00AC4AEA" w:rsidRDefault="00421257" w:rsidP="00A318EA">
      <w:pPr>
        <w:pStyle w:val="Ttulo3"/>
      </w:pPr>
      <w:bookmarkStart w:id="1207" w:name="_Toc139357046"/>
      <w:r w:rsidRPr="00AC4AEA">
        <w:t>Reconocimiento, clasificación y medición de los activos identificables adquiridos, los pasivos asumidos y de cualquier participación no controladora adquirida</w:t>
      </w:r>
      <w:bookmarkEnd w:id="1207"/>
      <w:r w:rsidRPr="00AC4AEA">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A efectos de reconocer, clasificar y medir los </w:t>
      </w:r>
      <w:r w:rsidRPr="00A17CD3">
        <w:rPr>
          <w:rFonts w:ascii="Arial" w:hAnsi="Arial" w:cs="Arial"/>
          <w:b/>
          <w:bCs/>
          <w:sz w:val="20"/>
          <w:szCs w:val="20"/>
        </w:rPr>
        <w:t>activos identificables</w:t>
      </w:r>
      <w:r w:rsidRPr="00AC4AEA">
        <w:rPr>
          <w:rFonts w:ascii="Arial" w:hAnsi="Arial" w:cs="Arial"/>
          <w:sz w:val="20"/>
          <w:szCs w:val="20"/>
        </w:rPr>
        <w:t xml:space="preserve"> adquiridos, los pasivos asumidos y de cualquier participación no controladora adquirida, una entidad aplicará: </w:t>
      </w:r>
    </w:p>
    <w:p w:rsidR="00421257" w:rsidRPr="00AC4AEA" w:rsidRDefault="00421257" w:rsidP="00C01B25">
      <w:pPr>
        <w:numPr>
          <w:ilvl w:val="0"/>
          <w:numId w:val="697"/>
        </w:numPr>
        <w:spacing w:line="264" w:lineRule="auto"/>
        <w:ind w:hanging="459"/>
        <w:jc w:val="both"/>
        <w:rPr>
          <w:rFonts w:ascii="Arial" w:hAnsi="Arial" w:cs="Arial"/>
          <w:sz w:val="20"/>
          <w:szCs w:val="20"/>
        </w:rPr>
      </w:pPr>
      <w:r w:rsidRPr="00AC4AEA">
        <w:rPr>
          <w:rFonts w:ascii="Arial" w:hAnsi="Arial" w:cs="Arial"/>
          <w:sz w:val="20"/>
          <w:szCs w:val="20"/>
        </w:rPr>
        <w:t xml:space="preserve">Los principios generales, establecidos en los párrafos </w:t>
      </w:r>
      <w:fldSimple w:instr=" REF _Ref135763164 \r \h  \* MERGEFORMAT ">
        <w:r w:rsidR="00D33A5D" w:rsidRPr="00D33A5D">
          <w:rPr>
            <w:rFonts w:ascii="Arial" w:hAnsi="Arial" w:cs="Arial"/>
            <w:sz w:val="20"/>
            <w:szCs w:val="20"/>
          </w:rPr>
          <w:t>972</w:t>
        </w:r>
      </w:fldSimple>
      <w:r w:rsidR="00D91205" w:rsidRPr="00AC4AEA">
        <w:rPr>
          <w:rFonts w:ascii="Arial" w:hAnsi="Arial" w:cs="Arial"/>
          <w:sz w:val="20"/>
          <w:szCs w:val="20"/>
        </w:rPr>
        <w:t xml:space="preserve"> </w:t>
      </w:r>
      <w:r w:rsidR="00953713" w:rsidRPr="00AC4AEA">
        <w:rPr>
          <w:rFonts w:ascii="Arial" w:hAnsi="Arial" w:cs="Arial"/>
          <w:sz w:val="20"/>
          <w:szCs w:val="20"/>
        </w:rPr>
        <w:t>a</w:t>
      </w:r>
      <w:r w:rsidR="00D91205" w:rsidRPr="00AC4AEA">
        <w:rPr>
          <w:rFonts w:ascii="Arial" w:hAnsi="Arial" w:cs="Arial"/>
          <w:sz w:val="20"/>
          <w:szCs w:val="20"/>
        </w:rPr>
        <w:t xml:space="preserve"> </w:t>
      </w:r>
      <w:fldSimple w:instr=" REF _Ref135765705 \r \h  \* MERGEFORMAT ">
        <w:r w:rsidR="00D33A5D" w:rsidRPr="00D33A5D">
          <w:rPr>
            <w:rFonts w:ascii="Arial" w:hAnsi="Arial" w:cs="Arial"/>
            <w:sz w:val="20"/>
            <w:szCs w:val="20"/>
          </w:rPr>
          <w:t>975</w:t>
        </w:r>
      </w:fldSimple>
      <w:r w:rsidRPr="00AC4AEA">
        <w:rPr>
          <w:rFonts w:ascii="Arial" w:hAnsi="Arial" w:cs="Arial"/>
          <w:sz w:val="20"/>
          <w:szCs w:val="20"/>
        </w:rPr>
        <w:t xml:space="preserve">. </w:t>
      </w:r>
    </w:p>
    <w:p w:rsidR="00421257" w:rsidRPr="00AC4AEA" w:rsidRDefault="00421257" w:rsidP="00C01B25">
      <w:pPr>
        <w:numPr>
          <w:ilvl w:val="0"/>
          <w:numId w:val="697"/>
        </w:numPr>
        <w:spacing w:line="264" w:lineRule="auto"/>
        <w:ind w:hanging="459"/>
        <w:jc w:val="both"/>
        <w:rPr>
          <w:rFonts w:ascii="Arial" w:hAnsi="Arial" w:cs="Arial"/>
          <w:sz w:val="20"/>
          <w:szCs w:val="20"/>
        </w:rPr>
      </w:pPr>
      <w:r w:rsidRPr="00AC4AEA">
        <w:rPr>
          <w:rFonts w:ascii="Arial" w:hAnsi="Arial" w:cs="Arial"/>
          <w:sz w:val="20"/>
          <w:szCs w:val="20"/>
        </w:rPr>
        <w:t xml:space="preserve">Los requerimientos de aplicación particular, establecidos en el párrafo </w:t>
      </w:r>
      <w:fldSimple w:instr=" REF _Ref135765708 \r \h  \* MERGEFORMAT ">
        <w:r w:rsidR="00D33A5D" w:rsidRPr="00D33A5D">
          <w:rPr>
            <w:rFonts w:ascii="Arial" w:hAnsi="Arial" w:cs="Arial"/>
            <w:sz w:val="20"/>
            <w:szCs w:val="20"/>
          </w:rPr>
          <w:t>976</w:t>
        </w:r>
      </w:fldSimple>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A318EA">
      <w:pPr>
        <w:spacing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Principio general de reconocimiento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08" w:name="_Ref135763164"/>
      <w:r w:rsidRPr="00AC4AEA">
        <w:rPr>
          <w:rFonts w:ascii="Arial" w:hAnsi="Arial" w:cs="Arial"/>
          <w:sz w:val="20"/>
          <w:szCs w:val="20"/>
        </w:rPr>
        <w:t>A la fecha de la adquisición, la adquirente reconocerá por separado de</w:t>
      </w:r>
      <w:r w:rsidR="00E46048" w:rsidRPr="00AC4AEA">
        <w:rPr>
          <w:rFonts w:ascii="Arial" w:hAnsi="Arial" w:cs="Arial"/>
          <w:sz w:val="20"/>
          <w:szCs w:val="20"/>
        </w:rPr>
        <w:t xml:space="preserve"> </w:t>
      </w:r>
      <w:r w:rsidRPr="00AC4AEA">
        <w:rPr>
          <w:rFonts w:ascii="Arial" w:hAnsi="Arial" w:cs="Arial"/>
          <w:sz w:val="20"/>
          <w:szCs w:val="20"/>
        </w:rPr>
        <w:t>l</w:t>
      </w:r>
      <w:r w:rsidR="00E46048" w:rsidRPr="00AC4AEA">
        <w:rPr>
          <w:rFonts w:ascii="Arial" w:hAnsi="Arial" w:cs="Arial"/>
          <w:sz w:val="20"/>
          <w:szCs w:val="20"/>
        </w:rPr>
        <w:t>a</w:t>
      </w:r>
      <w:r w:rsidRPr="00AC4AEA">
        <w:rPr>
          <w:rFonts w:ascii="Arial" w:hAnsi="Arial" w:cs="Arial"/>
          <w:sz w:val="20"/>
          <w:szCs w:val="20"/>
        </w:rPr>
        <w:t xml:space="preserve"> llave</w:t>
      </w:r>
      <w:r w:rsidR="00282758" w:rsidRPr="00AC4AEA">
        <w:rPr>
          <w:rFonts w:ascii="Arial" w:hAnsi="Arial" w:cs="Arial"/>
          <w:sz w:val="20"/>
          <w:szCs w:val="20"/>
        </w:rPr>
        <w:t xml:space="preserve"> de negocio</w:t>
      </w:r>
      <w:r w:rsidRPr="00AC4AEA">
        <w:rPr>
          <w:rFonts w:ascii="Arial" w:hAnsi="Arial" w:cs="Arial"/>
          <w:sz w:val="20"/>
          <w:szCs w:val="20"/>
        </w:rPr>
        <w:t xml:space="preserve">, los </w:t>
      </w:r>
      <w:r w:rsidRPr="00AC4AEA">
        <w:rPr>
          <w:rFonts w:ascii="Arial" w:hAnsi="Arial" w:cs="Arial"/>
          <w:b/>
          <w:bCs/>
          <w:sz w:val="20"/>
          <w:szCs w:val="20"/>
        </w:rPr>
        <w:t>activos</w:t>
      </w:r>
      <w:r w:rsidRPr="00AC4AEA">
        <w:rPr>
          <w:rFonts w:ascii="Arial" w:hAnsi="Arial" w:cs="Arial"/>
          <w:sz w:val="20"/>
          <w:szCs w:val="20"/>
        </w:rPr>
        <w:t xml:space="preserve"> </w:t>
      </w:r>
      <w:r w:rsidRPr="00AC4AEA">
        <w:rPr>
          <w:rFonts w:ascii="Arial" w:hAnsi="Arial" w:cs="Arial"/>
          <w:b/>
          <w:bCs/>
          <w:sz w:val="20"/>
          <w:szCs w:val="20"/>
        </w:rPr>
        <w:t>identificables</w:t>
      </w:r>
      <w:r w:rsidRPr="00AC4AEA">
        <w:rPr>
          <w:rFonts w:ascii="Arial" w:hAnsi="Arial" w:cs="Arial"/>
          <w:sz w:val="20"/>
          <w:szCs w:val="20"/>
        </w:rPr>
        <w:t xml:space="preserve"> adquiridos, los </w:t>
      </w:r>
      <w:r w:rsidR="00CE13D7" w:rsidRPr="00CE13D7">
        <w:rPr>
          <w:rFonts w:ascii="Arial" w:hAnsi="Arial" w:cs="Arial"/>
          <w:bCs/>
          <w:sz w:val="20"/>
          <w:szCs w:val="20"/>
        </w:rPr>
        <w:t>pasivos</w:t>
      </w:r>
      <w:r w:rsidRPr="00AC4AEA">
        <w:rPr>
          <w:rFonts w:ascii="Arial" w:hAnsi="Arial" w:cs="Arial"/>
          <w:sz w:val="20"/>
          <w:szCs w:val="20"/>
        </w:rPr>
        <w:t xml:space="preserve"> asumidos y cualquier participación no controladora en la adquirida.</w:t>
      </w:r>
      <w:bookmarkEnd w:id="1208"/>
      <w:r w:rsidR="006F2C57">
        <w:rPr>
          <w:rFonts w:ascii="Arial" w:hAnsi="Arial" w:cs="Arial"/>
          <w:sz w:val="20"/>
          <w:szCs w:val="20"/>
        </w:rPr>
        <w:t xml:space="preserve"> </w:t>
      </w:r>
    </w:p>
    <w:p w:rsidR="00421257" w:rsidRPr="0013242A" w:rsidRDefault="00421257" w:rsidP="00C01B25">
      <w:pPr>
        <w:numPr>
          <w:ilvl w:val="0"/>
          <w:numId w:val="694"/>
        </w:numPr>
        <w:spacing w:after="147" w:line="264" w:lineRule="auto"/>
        <w:ind w:left="993" w:hanging="567"/>
        <w:jc w:val="both"/>
        <w:rPr>
          <w:rFonts w:ascii="Arial" w:hAnsi="Arial" w:cs="Arial"/>
          <w:sz w:val="20"/>
          <w:szCs w:val="20"/>
        </w:rPr>
      </w:pPr>
      <w:bookmarkStart w:id="1209" w:name="_Ref135763166"/>
      <w:r w:rsidRPr="00AC4AEA">
        <w:rPr>
          <w:rFonts w:ascii="Arial" w:hAnsi="Arial" w:cs="Arial"/>
          <w:sz w:val="20"/>
          <w:szCs w:val="20"/>
        </w:rPr>
        <w:t xml:space="preserve">Para dar </w:t>
      </w:r>
      <w:r w:rsidRPr="0013242A">
        <w:rPr>
          <w:rFonts w:ascii="Arial" w:hAnsi="Arial" w:cs="Arial"/>
          <w:sz w:val="20"/>
          <w:szCs w:val="20"/>
        </w:rPr>
        <w:t xml:space="preserve">cumplimiento a lo requerido en el párrafo anterior, </w:t>
      </w:r>
      <w:r w:rsidR="00D81E8F" w:rsidRPr="0013242A">
        <w:rPr>
          <w:rFonts w:ascii="Arial" w:hAnsi="Arial" w:cs="Arial"/>
          <w:sz w:val="20"/>
          <w:szCs w:val="20"/>
        </w:rPr>
        <w:t xml:space="preserve">una </w:t>
      </w:r>
      <w:r w:rsidRPr="0013242A">
        <w:rPr>
          <w:rFonts w:ascii="Arial" w:hAnsi="Arial" w:cs="Arial"/>
          <w:sz w:val="20"/>
          <w:szCs w:val="20"/>
        </w:rPr>
        <w:t xml:space="preserve">adquirente reconocerá los </w:t>
      </w:r>
      <w:r w:rsidRPr="0013242A">
        <w:rPr>
          <w:rFonts w:ascii="Arial" w:hAnsi="Arial" w:cs="Arial"/>
          <w:b/>
          <w:bCs/>
          <w:sz w:val="20"/>
          <w:szCs w:val="20"/>
        </w:rPr>
        <w:t>activos identificables</w:t>
      </w:r>
      <w:r w:rsidRPr="0013242A">
        <w:rPr>
          <w:rFonts w:ascii="Arial" w:hAnsi="Arial" w:cs="Arial"/>
          <w:sz w:val="20"/>
          <w:szCs w:val="20"/>
        </w:rPr>
        <w:t xml:space="preserve"> adquiridos y los </w:t>
      </w:r>
      <w:r w:rsidR="00CE13D7" w:rsidRPr="0013242A">
        <w:rPr>
          <w:rFonts w:ascii="Arial" w:hAnsi="Arial" w:cs="Arial"/>
          <w:bCs/>
          <w:sz w:val="20"/>
          <w:szCs w:val="20"/>
        </w:rPr>
        <w:t>pasivos</w:t>
      </w:r>
      <w:r w:rsidRPr="0013242A">
        <w:rPr>
          <w:rFonts w:ascii="Arial" w:hAnsi="Arial" w:cs="Arial"/>
          <w:sz w:val="20"/>
          <w:szCs w:val="20"/>
        </w:rPr>
        <w:t xml:space="preserve"> asumidos, procedentes de la adquirida, siempre que, a la </w:t>
      </w:r>
      <w:r w:rsidRPr="0013242A">
        <w:rPr>
          <w:rFonts w:ascii="Arial" w:hAnsi="Arial" w:cs="Arial"/>
          <w:b/>
          <w:bCs/>
          <w:sz w:val="20"/>
          <w:szCs w:val="20"/>
        </w:rPr>
        <w:t>fecha de adquisición</w:t>
      </w:r>
      <w:r w:rsidRPr="0013242A">
        <w:rPr>
          <w:rFonts w:ascii="Arial" w:hAnsi="Arial" w:cs="Arial"/>
          <w:sz w:val="20"/>
          <w:szCs w:val="20"/>
        </w:rPr>
        <w:t>:</w:t>
      </w:r>
      <w:bookmarkEnd w:id="1209"/>
      <w:r w:rsidRPr="0013242A">
        <w:rPr>
          <w:rFonts w:ascii="Arial" w:hAnsi="Arial" w:cs="Arial"/>
          <w:sz w:val="20"/>
          <w:szCs w:val="20"/>
        </w:rPr>
        <w:t xml:space="preserve"> </w:t>
      </w:r>
    </w:p>
    <w:p w:rsidR="0013242A" w:rsidRDefault="00421257" w:rsidP="00C01B25">
      <w:pPr>
        <w:pStyle w:val="Prrafodelista"/>
        <w:numPr>
          <w:ilvl w:val="1"/>
          <w:numId w:val="644"/>
        </w:numPr>
        <w:spacing w:line="264" w:lineRule="auto"/>
        <w:ind w:hanging="511"/>
        <w:jc w:val="both"/>
        <w:rPr>
          <w:rFonts w:ascii="Arial" w:hAnsi="Arial" w:cs="Arial"/>
          <w:sz w:val="20"/>
          <w:szCs w:val="20"/>
        </w:rPr>
      </w:pPr>
      <w:r w:rsidRPr="0013242A">
        <w:rPr>
          <w:rFonts w:ascii="Arial" w:hAnsi="Arial" w:cs="Arial"/>
          <w:sz w:val="20"/>
          <w:szCs w:val="20"/>
        </w:rPr>
        <w:t xml:space="preserve">cumplan las definiciones establecidas en los párrafos </w:t>
      </w:r>
      <w:fldSimple w:instr=" REF _Ref106701972 \r \h  \* MERGEFORMAT ">
        <w:r w:rsidR="00D33A5D" w:rsidRPr="00D33A5D">
          <w:rPr>
            <w:rFonts w:ascii="Arial" w:hAnsi="Arial" w:cs="Arial"/>
            <w:sz w:val="20"/>
            <w:szCs w:val="20"/>
          </w:rPr>
          <w:t>22</w:t>
        </w:r>
      </w:fldSimple>
      <w:r w:rsidR="00D91205" w:rsidRPr="0013242A">
        <w:rPr>
          <w:rFonts w:ascii="Arial" w:hAnsi="Arial" w:cs="Arial"/>
          <w:sz w:val="20"/>
          <w:szCs w:val="20"/>
        </w:rPr>
        <w:t xml:space="preserve"> o </w:t>
      </w:r>
      <w:fldSimple w:instr=" REF _Ref135763194 \r \h  \* MERGEFORMAT ">
        <w:r w:rsidR="00D33A5D" w:rsidRPr="00D33A5D">
          <w:rPr>
            <w:rFonts w:ascii="Arial" w:hAnsi="Arial" w:cs="Arial"/>
            <w:sz w:val="20"/>
            <w:szCs w:val="20"/>
          </w:rPr>
          <w:t>23</w:t>
        </w:r>
      </w:fldSimple>
      <w:r w:rsidRPr="0013242A">
        <w:rPr>
          <w:rFonts w:ascii="Arial" w:hAnsi="Arial" w:cs="Arial"/>
          <w:sz w:val="20"/>
          <w:szCs w:val="20"/>
        </w:rPr>
        <w:t xml:space="preserve">, </w:t>
      </w:r>
      <w:r w:rsidR="00D91205" w:rsidRPr="0013242A">
        <w:rPr>
          <w:rFonts w:ascii="Arial" w:hAnsi="Arial" w:cs="Arial"/>
          <w:sz w:val="20"/>
          <w:szCs w:val="20"/>
        </w:rPr>
        <w:t>según corresponda</w:t>
      </w:r>
      <w:r w:rsidRPr="0013242A">
        <w:rPr>
          <w:rFonts w:ascii="Arial" w:hAnsi="Arial" w:cs="Arial"/>
          <w:sz w:val="20"/>
          <w:szCs w:val="20"/>
        </w:rPr>
        <w:t xml:space="preserve">; y </w:t>
      </w:r>
    </w:p>
    <w:p w:rsidR="00421257" w:rsidRPr="0013242A" w:rsidRDefault="00421257" w:rsidP="00C01B25">
      <w:pPr>
        <w:pStyle w:val="Prrafodelista"/>
        <w:numPr>
          <w:ilvl w:val="1"/>
          <w:numId w:val="644"/>
        </w:numPr>
        <w:spacing w:line="264" w:lineRule="auto"/>
        <w:ind w:hanging="511"/>
        <w:jc w:val="both"/>
        <w:rPr>
          <w:rFonts w:ascii="Arial" w:hAnsi="Arial" w:cs="Arial"/>
          <w:sz w:val="20"/>
          <w:szCs w:val="20"/>
        </w:rPr>
      </w:pPr>
      <w:r w:rsidRPr="0013242A">
        <w:rPr>
          <w:rFonts w:ascii="Arial" w:hAnsi="Arial" w:cs="Arial"/>
          <w:sz w:val="20"/>
          <w:szCs w:val="20"/>
        </w:rPr>
        <w:t>sean parte de lo que la adquirente y la adquirida (o sus anteriores propietarios) intercambiaron en la transacción de la combinación de negocios y no el resultado de transacciones separadas.</w:t>
      </w:r>
      <w:r w:rsidR="006F2C57">
        <w:rPr>
          <w:rFonts w:ascii="Arial" w:hAnsi="Arial" w:cs="Arial"/>
          <w:sz w:val="20"/>
          <w:szCs w:val="20"/>
        </w:rPr>
        <w:t xml:space="preserve"> </w:t>
      </w:r>
    </w:p>
    <w:p w:rsidR="00421257" w:rsidRPr="00AC4AEA" w:rsidRDefault="00421257" w:rsidP="00A318EA">
      <w:pPr>
        <w:spacing w:after="150" w:line="256" w:lineRule="auto"/>
        <w:ind w:left="146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Principio general de clasificación o designación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A la fecha de la adquisición, una adquirente:</w:t>
      </w:r>
      <w:r w:rsidR="006F2C57">
        <w:rPr>
          <w:rFonts w:ascii="Arial" w:hAnsi="Arial" w:cs="Arial"/>
          <w:sz w:val="20"/>
          <w:szCs w:val="20"/>
        </w:rPr>
        <w:t xml:space="preserve"> </w:t>
      </w:r>
    </w:p>
    <w:p w:rsidR="00421257" w:rsidRPr="00AC4AEA" w:rsidRDefault="00421257" w:rsidP="00C01B25">
      <w:pPr>
        <w:numPr>
          <w:ilvl w:val="0"/>
          <w:numId w:val="698"/>
        </w:numPr>
        <w:spacing w:line="264" w:lineRule="auto"/>
        <w:ind w:left="1418" w:hanging="425"/>
        <w:jc w:val="both"/>
        <w:rPr>
          <w:rFonts w:ascii="Arial" w:hAnsi="Arial" w:cs="Arial"/>
          <w:sz w:val="20"/>
          <w:szCs w:val="20"/>
        </w:rPr>
      </w:pPr>
      <w:r w:rsidRPr="00AC4AEA">
        <w:rPr>
          <w:rFonts w:ascii="Arial" w:hAnsi="Arial" w:cs="Arial"/>
          <w:sz w:val="20"/>
          <w:szCs w:val="20"/>
        </w:rPr>
        <w:t xml:space="preserve">clasificará o designará los </w:t>
      </w:r>
      <w:r w:rsidRPr="00A17CD3">
        <w:rPr>
          <w:rFonts w:ascii="Arial" w:hAnsi="Arial" w:cs="Arial"/>
          <w:b/>
          <w:bCs/>
          <w:sz w:val="20"/>
          <w:szCs w:val="20"/>
        </w:rPr>
        <w:t>activos identificables</w:t>
      </w:r>
      <w:r w:rsidRPr="00AC4AEA">
        <w:rPr>
          <w:rFonts w:ascii="Arial" w:hAnsi="Arial" w:cs="Arial"/>
          <w:sz w:val="20"/>
          <w:szCs w:val="20"/>
        </w:rPr>
        <w:t xml:space="preserve"> adquiridos y los pasivos asumidos según sea necesario para la aplicación posterior de esta Resolución Técnica u </w:t>
      </w:r>
      <w:r w:rsidRPr="00AC4AEA">
        <w:rPr>
          <w:rFonts w:ascii="Arial" w:hAnsi="Arial" w:cs="Arial"/>
          <w:b/>
          <w:bCs/>
          <w:sz w:val="20"/>
          <w:szCs w:val="20"/>
        </w:rPr>
        <w:t>otras normas contables</w:t>
      </w:r>
      <w:r w:rsidRPr="00AC4AEA">
        <w:rPr>
          <w:rFonts w:ascii="Arial" w:hAnsi="Arial" w:cs="Arial"/>
          <w:sz w:val="20"/>
          <w:szCs w:val="20"/>
        </w:rPr>
        <w:t>; y</w:t>
      </w:r>
      <w:r w:rsidR="006F2C57">
        <w:rPr>
          <w:rFonts w:ascii="Arial" w:hAnsi="Arial" w:cs="Arial"/>
          <w:sz w:val="20"/>
          <w:szCs w:val="20"/>
        </w:rPr>
        <w:t xml:space="preserve"> </w:t>
      </w:r>
    </w:p>
    <w:p w:rsidR="00421257" w:rsidRPr="00AC4AEA" w:rsidRDefault="00421257" w:rsidP="00C01B25">
      <w:pPr>
        <w:numPr>
          <w:ilvl w:val="0"/>
          <w:numId w:val="698"/>
        </w:numPr>
        <w:spacing w:line="264" w:lineRule="auto"/>
        <w:ind w:left="1418" w:hanging="425"/>
        <w:jc w:val="both"/>
        <w:rPr>
          <w:rFonts w:ascii="Arial" w:hAnsi="Arial" w:cs="Arial"/>
          <w:sz w:val="20"/>
          <w:szCs w:val="20"/>
        </w:rPr>
      </w:pPr>
      <w:r w:rsidRPr="00AC4AEA">
        <w:rPr>
          <w:rFonts w:ascii="Arial" w:hAnsi="Arial" w:cs="Arial"/>
          <w:sz w:val="20"/>
          <w:szCs w:val="20"/>
        </w:rPr>
        <w:t xml:space="preserve">efectuará esas clasificaciones o designaciones sobre la base de los acuerdos contractuales, de las condiciones económicas, de sus </w:t>
      </w:r>
      <w:r w:rsidRPr="00AD600B">
        <w:rPr>
          <w:rFonts w:ascii="Arial" w:hAnsi="Arial" w:cs="Arial"/>
          <w:b/>
          <w:bCs/>
          <w:sz w:val="20"/>
          <w:szCs w:val="20"/>
        </w:rPr>
        <w:t xml:space="preserve">políticas contables </w:t>
      </w:r>
      <w:r w:rsidRPr="00AC4AEA">
        <w:rPr>
          <w:rFonts w:ascii="Arial" w:hAnsi="Arial" w:cs="Arial"/>
          <w:sz w:val="20"/>
          <w:szCs w:val="20"/>
        </w:rPr>
        <w:t>o de operación y de otras condiciones pertinentes tal como existan en la fecha de la adquisición.</w:t>
      </w:r>
      <w:r w:rsidR="006F2C57">
        <w:rPr>
          <w:rFonts w:ascii="Arial" w:hAnsi="Arial" w:cs="Arial"/>
          <w:sz w:val="20"/>
          <w:szCs w:val="20"/>
        </w:rPr>
        <w:t xml:space="preserve"> </w:t>
      </w:r>
    </w:p>
    <w:p w:rsidR="00421257" w:rsidRPr="00AC4AEA" w:rsidRDefault="00421257" w:rsidP="00A318EA">
      <w:pPr>
        <w:spacing w:after="150" w:line="256" w:lineRule="auto"/>
        <w:ind w:left="146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Principio general de medición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10" w:name="_Ref135765705"/>
      <w:r w:rsidRPr="00AC4AEA">
        <w:rPr>
          <w:rFonts w:ascii="Arial" w:hAnsi="Arial" w:cs="Arial"/>
          <w:sz w:val="20"/>
          <w:szCs w:val="20"/>
        </w:rPr>
        <w:t xml:space="preserve">Una adquirente medirá los </w:t>
      </w:r>
      <w:r w:rsidRPr="00AC4AEA">
        <w:rPr>
          <w:rFonts w:ascii="Arial" w:hAnsi="Arial" w:cs="Arial"/>
          <w:b/>
          <w:bCs/>
          <w:sz w:val="20"/>
          <w:szCs w:val="20"/>
        </w:rPr>
        <w:t>activos identificables adquiridos</w:t>
      </w:r>
      <w:r w:rsidRPr="00AC4AEA">
        <w:rPr>
          <w:rFonts w:ascii="Arial" w:hAnsi="Arial" w:cs="Arial"/>
          <w:sz w:val="20"/>
          <w:szCs w:val="20"/>
        </w:rPr>
        <w:t xml:space="preserve"> y los </w:t>
      </w:r>
      <w:r w:rsidR="00CE13D7" w:rsidRPr="00CE13D7">
        <w:rPr>
          <w:rFonts w:ascii="Arial" w:hAnsi="Arial" w:cs="Arial"/>
          <w:bCs/>
          <w:sz w:val="20"/>
          <w:szCs w:val="20"/>
        </w:rPr>
        <w:t>pasivos</w:t>
      </w:r>
      <w:r w:rsidRPr="00AC4AEA">
        <w:rPr>
          <w:rFonts w:ascii="Arial" w:hAnsi="Arial" w:cs="Arial"/>
          <w:sz w:val="20"/>
          <w:szCs w:val="20"/>
        </w:rPr>
        <w:t xml:space="preserve"> asumidos</w:t>
      </w:r>
      <w:r w:rsidR="004374F4" w:rsidRPr="00AC4AEA">
        <w:rPr>
          <w:rFonts w:ascii="Arial" w:hAnsi="Arial" w:cs="Arial"/>
          <w:sz w:val="20"/>
          <w:szCs w:val="20"/>
        </w:rPr>
        <w:t xml:space="preserve"> de una adquirida</w:t>
      </w:r>
      <w:r w:rsidRPr="00AC4AEA">
        <w:rPr>
          <w:rFonts w:ascii="Arial" w:hAnsi="Arial" w:cs="Arial"/>
          <w:sz w:val="20"/>
          <w:szCs w:val="20"/>
        </w:rPr>
        <w:t xml:space="preserve"> a </w:t>
      </w:r>
      <w:r w:rsidRPr="00AC4AEA">
        <w:rPr>
          <w:rFonts w:ascii="Arial" w:hAnsi="Arial" w:cs="Arial"/>
          <w:b/>
          <w:bCs/>
          <w:sz w:val="20"/>
          <w:szCs w:val="20"/>
        </w:rPr>
        <w:t>sus valores razonables</w:t>
      </w:r>
      <w:r w:rsidRPr="00AC4AEA">
        <w:rPr>
          <w:rFonts w:ascii="Arial" w:hAnsi="Arial" w:cs="Arial"/>
          <w:sz w:val="20"/>
          <w:szCs w:val="20"/>
        </w:rPr>
        <w:t xml:space="preserve"> en la </w:t>
      </w:r>
      <w:r w:rsidRPr="00AA50D9">
        <w:rPr>
          <w:rFonts w:ascii="Arial" w:hAnsi="Arial" w:cs="Arial"/>
          <w:b/>
          <w:bCs/>
          <w:sz w:val="20"/>
          <w:szCs w:val="20"/>
        </w:rPr>
        <w:t>fecha de adquisición</w:t>
      </w:r>
      <w:r w:rsidRPr="00AC4AEA">
        <w:rPr>
          <w:rFonts w:ascii="Arial" w:hAnsi="Arial" w:cs="Arial"/>
          <w:sz w:val="20"/>
          <w:szCs w:val="20"/>
        </w:rPr>
        <w:t>.</w:t>
      </w:r>
      <w:bookmarkEnd w:id="1210"/>
      <w:r w:rsidR="006F2C57">
        <w:rPr>
          <w:rFonts w:ascii="Arial" w:hAnsi="Arial" w:cs="Arial"/>
          <w:sz w:val="20"/>
          <w:szCs w:val="20"/>
        </w:rPr>
        <w:t xml:space="preserve"> </w:t>
      </w:r>
    </w:p>
    <w:p w:rsidR="00421257" w:rsidRPr="00AC4AEA" w:rsidRDefault="00421257" w:rsidP="00A318EA">
      <w:pPr>
        <w:spacing w:after="132"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Cuestiones de aplicación en particular </w:t>
      </w:r>
    </w:p>
    <w:p w:rsidR="00421257" w:rsidRPr="00AC4AEA" w:rsidRDefault="00421257" w:rsidP="00C01B25">
      <w:pPr>
        <w:numPr>
          <w:ilvl w:val="0"/>
          <w:numId w:val="694"/>
        </w:numPr>
        <w:spacing w:after="147" w:line="264" w:lineRule="auto"/>
        <w:ind w:left="1134" w:hanging="708"/>
        <w:jc w:val="both"/>
        <w:rPr>
          <w:rFonts w:ascii="Arial" w:hAnsi="Arial" w:cs="Arial"/>
          <w:sz w:val="20"/>
          <w:szCs w:val="20"/>
        </w:rPr>
      </w:pPr>
      <w:bookmarkStart w:id="1211" w:name="_Ref135765708"/>
      <w:r w:rsidRPr="00AC4AEA">
        <w:rPr>
          <w:rFonts w:ascii="Arial" w:hAnsi="Arial" w:cs="Arial"/>
          <w:sz w:val="20"/>
          <w:szCs w:val="20"/>
        </w:rPr>
        <w:t>A la fecha de la adquisición, una adquirente:</w:t>
      </w:r>
      <w:bookmarkEnd w:id="1211"/>
      <w:r w:rsidRPr="00AC4AEA">
        <w:rPr>
          <w:rFonts w:ascii="Arial" w:hAnsi="Arial" w:cs="Arial"/>
          <w:sz w:val="20"/>
          <w:szCs w:val="20"/>
        </w:rPr>
        <w:t xml:space="preserve"> </w:t>
      </w:r>
    </w:p>
    <w:p w:rsidR="007F2BE4" w:rsidRPr="00AC4AEA" w:rsidRDefault="00421257" w:rsidP="00C01B25">
      <w:pPr>
        <w:numPr>
          <w:ilvl w:val="0"/>
          <w:numId w:val="699"/>
        </w:numPr>
        <w:spacing w:line="264" w:lineRule="auto"/>
        <w:ind w:hanging="318"/>
        <w:jc w:val="both"/>
        <w:rPr>
          <w:rFonts w:ascii="Arial" w:hAnsi="Arial" w:cs="Arial"/>
          <w:sz w:val="20"/>
          <w:szCs w:val="20"/>
        </w:rPr>
      </w:pPr>
      <w:r w:rsidRPr="00AC4AEA">
        <w:rPr>
          <w:rFonts w:ascii="Arial" w:hAnsi="Arial" w:cs="Arial"/>
          <w:sz w:val="20"/>
          <w:szCs w:val="20"/>
        </w:rPr>
        <w:lastRenderedPageBreak/>
        <w:t>Reconocerá</w:t>
      </w:r>
      <w:r w:rsidR="007F2BE4" w:rsidRPr="00AC4AEA">
        <w:rPr>
          <w:rFonts w:ascii="Arial" w:hAnsi="Arial" w:cs="Arial"/>
          <w:sz w:val="20"/>
          <w:szCs w:val="20"/>
        </w:rPr>
        <w:t>:</w:t>
      </w:r>
      <w:r w:rsidRPr="00AC4AEA">
        <w:rPr>
          <w:rFonts w:ascii="Arial" w:hAnsi="Arial" w:cs="Arial"/>
          <w:sz w:val="20"/>
          <w:szCs w:val="20"/>
        </w:rPr>
        <w:t xml:space="preserve"> </w:t>
      </w:r>
    </w:p>
    <w:p w:rsidR="00BB09A0" w:rsidRPr="00AC4AEA" w:rsidRDefault="007F2BE4" w:rsidP="00C01B25">
      <w:pPr>
        <w:numPr>
          <w:ilvl w:val="0"/>
          <w:numId w:val="700"/>
        </w:numPr>
        <w:spacing w:line="264" w:lineRule="auto"/>
        <w:ind w:left="2171" w:hanging="357"/>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 xml:space="preserve">os </w:t>
      </w:r>
      <w:r w:rsidR="00CE13D7" w:rsidRPr="00CE13D7">
        <w:rPr>
          <w:rFonts w:ascii="Arial" w:hAnsi="Arial" w:cs="Arial"/>
          <w:bCs/>
          <w:sz w:val="20"/>
          <w:szCs w:val="20"/>
        </w:rPr>
        <w:t>activos</w:t>
      </w:r>
      <w:r w:rsidR="00421257" w:rsidRPr="00AC4AEA">
        <w:rPr>
          <w:rFonts w:ascii="Arial" w:hAnsi="Arial" w:cs="Arial"/>
          <w:sz w:val="20"/>
          <w:szCs w:val="20"/>
        </w:rPr>
        <w:t xml:space="preserve"> intangibles por separado de la llave de negocio </w:t>
      </w:r>
      <w:r w:rsidR="000A4D49" w:rsidRPr="00AC4AEA">
        <w:rPr>
          <w:rFonts w:ascii="Arial" w:hAnsi="Arial" w:cs="Arial"/>
          <w:sz w:val="20"/>
          <w:szCs w:val="20"/>
        </w:rPr>
        <w:t>siempre que</w:t>
      </w:r>
      <w:r w:rsidR="00421257" w:rsidRPr="00AC4AEA">
        <w:rPr>
          <w:rFonts w:ascii="Arial" w:hAnsi="Arial" w:cs="Arial"/>
          <w:sz w:val="20"/>
          <w:szCs w:val="20"/>
        </w:rPr>
        <w:t xml:space="preserve"> sus </w:t>
      </w:r>
      <w:r w:rsidR="00421257" w:rsidRPr="00AC4AEA">
        <w:rPr>
          <w:rFonts w:ascii="Arial" w:hAnsi="Arial" w:cs="Arial"/>
          <w:b/>
          <w:bCs/>
          <w:sz w:val="20"/>
          <w:szCs w:val="20"/>
        </w:rPr>
        <w:t>valores razonables</w:t>
      </w:r>
      <w:r w:rsidR="00421257" w:rsidRPr="00AC4AEA">
        <w:rPr>
          <w:rFonts w:ascii="Arial" w:hAnsi="Arial" w:cs="Arial"/>
          <w:sz w:val="20"/>
          <w:szCs w:val="20"/>
        </w:rPr>
        <w:t xml:space="preserve"> </w:t>
      </w:r>
      <w:r w:rsidR="000A4D49" w:rsidRPr="00AC4AEA">
        <w:rPr>
          <w:rFonts w:ascii="Arial" w:hAnsi="Arial" w:cs="Arial"/>
          <w:sz w:val="20"/>
          <w:szCs w:val="20"/>
        </w:rPr>
        <w:t xml:space="preserve">satisfaga el requisito de </w:t>
      </w:r>
      <w:r w:rsidR="000A4D49" w:rsidRPr="00AC4AEA">
        <w:rPr>
          <w:rFonts w:ascii="Arial" w:hAnsi="Arial" w:cs="Arial"/>
          <w:b/>
          <w:bCs/>
          <w:sz w:val="20"/>
          <w:szCs w:val="20"/>
        </w:rPr>
        <w:t>confiabilidad (credibilidad)</w:t>
      </w:r>
      <w:r w:rsidR="00421257" w:rsidRPr="00AC4AEA">
        <w:rPr>
          <w:rFonts w:ascii="Arial" w:hAnsi="Arial" w:cs="Arial"/>
          <w:sz w:val="20"/>
          <w:szCs w:val="20"/>
        </w:rPr>
        <w:t xml:space="preserve"> </w:t>
      </w:r>
      <w:r w:rsidR="000A4D49" w:rsidRPr="00AC4AEA">
        <w:rPr>
          <w:rFonts w:ascii="Arial" w:hAnsi="Arial" w:cs="Arial"/>
          <w:sz w:val="20"/>
          <w:szCs w:val="20"/>
        </w:rPr>
        <w:t xml:space="preserve">y puedan ser estimados </w:t>
      </w:r>
      <w:r w:rsidR="00421257" w:rsidRPr="00AC4AEA">
        <w:rPr>
          <w:rFonts w:ascii="Arial" w:hAnsi="Arial" w:cs="Arial"/>
          <w:sz w:val="20"/>
          <w:szCs w:val="20"/>
        </w:rPr>
        <w:t>sin un costo o esfuerzo desproporcionado,</w:t>
      </w:r>
      <w:r w:rsidR="00792DEC" w:rsidRPr="00AC4AEA">
        <w:rPr>
          <w:rFonts w:ascii="Arial" w:hAnsi="Arial" w:cs="Arial"/>
          <w:sz w:val="20"/>
          <w:szCs w:val="20"/>
        </w:rPr>
        <w:t xml:space="preserve"> de conformidad co</w:t>
      </w:r>
      <w:r w:rsidR="0035424F" w:rsidRPr="00AC4AEA">
        <w:rPr>
          <w:rFonts w:ascii="Arial" w:hAnsi="Arial" w:cs="Arial"/>
          <w:sz w:val="20"/>
          <w:szCs w:val="20"/>
        </w:rPr>
        <w:t xml:space="preserve">n lo establecido en el párrafo </w:t>
      </w:r>
      <w:r w:rsidR="001C4138">
        <w:rPr>
          <w:rFonts w:ascii="Arial" w:hAnsi="Arial" w:cs="Arial"/>
          <w:sz w:val="20"/>
          <w:szCs w:val="20"/>
        </w:rPr>
        <w:fldChar w:fldCharType="begin"/>
      </w:r>
      <w:r w:rsidR="00CC7B9D">
        <w:rPr>
          <w:rFonts w:ascii="Arial" w:hAnsi="Arial" w:cs="Arial"/>
          <w:sz w:val="20"/>
          <w:szCs w:val="20"/>
        </w:rPr>
        <w:instrText xml:space="preserve"> REF _Ref136445073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83</w:t>
      </w:r>
      <w:r w:rsidR="001C4138">
        <w:rPr>
          <w:rFonts w:ascii="Arial" w:hAnsi="Arial" w:cs="Arial"/>
          <w:sz w:val="20"/>
          <w:szCs w:val="20"/>
        </w:rPr>
        <w:fldChar w:fldCharType="end"/>
      </w:r>
      <w:r w:rsidR="0035424F" w:rsidRPr="00AC4AEA">
        <w:rPr>
          <w:rFonts w:ascii="Arial" w:hAnsi="Arial" w:cs="Arial"/>
          <w:sz w:val="20"/>
          <w:szCs w:val="20"/>
        </w:rPr>
        <w:t>,</w:t>
      </w:r>
      <w:r w:rsidR="00421257" w:rsidRPr="00AC4AEA">
        <w:rPr>
          <w:rFonts w:ascii="Arial" w:hAnsi="Arial" w:cs="Arial"/>
          <w:sz w:val="20"/>
          <w:szCs w:val="20"/>
        </w:rPr>
        <w:t xml:space="preserve"> incluso si no hubieran sido objeto de reconocimiento previo en los libros de la adquirida (por ejemplo, por tratarse de un nombre comercial, una marca, una patente o una relación con un cliente que la adquirente desarrolló internamente y contabilizó como gasto).</w:t>
      </w:r>
    </w:p>
    <w:p w:rsidR="00421257" w:rsidRPr="00AC4AEA" w:rsidRDefault="00BB09A0" w:rsidP="00C01B25">
      <w:pPr>
        <w:numPr>
          <w:ilvl w:val="0"/>
          <w:numId w:val="700"/>
        </w:numPr>
        <w:spacing w:line="264" w:lineRule="auto"/>
        <w:ind w:left="2171" w:hanging="357"/>
        <w:jc w:val="both"/>
        <w:rPr>
          <w:rFonts w:ascii="Arial" w:hAnsi="Arial" w:cs="Arial"/>
          <w:sz w:val="20"/>
          <w:szCs w:val="20"/>
        </w:rPr>
      </w:pPr>
      <w:r w:rsidRPr="00AC4AEA">
        <w:rPr>
          <w:rFonts w:ascii="Arial" w:hAnsi="Arial" w:cs="Arial"/>
          <w:sz w:val="20"/>
          <w:szCs w:val="20"/>
        </w:rPr>
        <w:t>Los pasivos contingentes, sin importar su probabilidad de ocurrencia.</w:t>
      </w:r>
      <w:r w:rsidR="00421257" w:rsidRPr="00AC4AEA">
        <w:rPr>
          <w:rFonts w:ascii="Arial" w:hAnsi="Arial" w:cs="Arial"/>
          <w:sz w:val="20"/>
          <w:szCs w:val="20"/>
        </w:rPr>
        <w:t xml:space="preserve"> </w:t>
      </w:r>
    </w:p>
    <w:p w:rsidR="007F2BE4" w:rsidRPr="00AC4AEA" w:rsidRDefault="00421257" w:rsidP="00C01B25">
      <w:pPr>
        <w:numPr>
          <w:ilvl w:val="0"/>
          <w:numId w:val="699"/>
        </w:numPr>
        <w:spacing w:line="264" w:lineRule="auto"/>
        <w:ind w:hanging="318"/>
        <w:jc w:val="both"/>
        <w:rPr>
          <w:rFonts w:ascii="Arial" w:hAnsi="Arial" w:cs="Arial"/>
          <w:sz w:val="20"/>
          <w:szCs w:val="20"/>
        </w:rPr>
      </w:pPr>
      <w:r w:rsidRPr="00AC4AEA">
        <w:rPr>
          <w:rFonts w:ascii="Arial" w:hAnsi="Arial" w:cs="Arial"/>
          <w:sz w:val="20"/>
          <w:szCs w:val="20"/>
        </w:rPr>
        <w:t>Medirá</w:t>
      </w:r>
      <w:r w:rsidR="007F2BE4" w:rsidRPr="00AC4AEA">
        <w:rPr>
          <w:rFonts w:ascii="Arial" w:hAnsi="Arial" w:cs="Arial"/>
          <w:sz w:val="20"/>
          <w:szCs w:val="20"/>
        </w:rPr>
        <w:t>:</w:t>
      </w:r>
      <w:r w:rsidRPr="00AC4AEA">
        <w:rPr>
          <w:rFonts w:ascii="Arial" w:hAnsi="Arial" w:cs="Arial"/>
          <w:sz w:val="20"/>
          <w:szCs w:val="20"/>
        </w:rPr>
        <w:t xml:space="preserve"> </w:t>
      </w:r>
    </w:p>
    <w:p w:rsidR="00421257" w:rsidRPr="00AC4AEA" w:rsidRDefault="007F2BE4" w:rsidP="00C01B25">
      <w:pPr>
        <w:numPr>
          <w:ilvl w:val="0"/>
          <w:numId w:val="701"/>
        </w:numPr>
        <w:spacing w:line="264" w:lineRule="auto"/>
        <w:ind w:left="2171" w:hanging="357"/>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 xml:space="preserve">os </w:t>
      </w:r>
      <w:r w:rsidR="00CE13D7" w:rsidRPr="00CE13D7">
        <w:rPr>
          <w:rFonts w:ascii="Arial" w:hAnsi="Arial" w:cs="Arial"/>
          <w:bCs/>
          <w:sz w:val="20"/>
          <w:szCs w:val="20"/>
        </w:rPr>
        <w:t>pasivos</w:t>
      </w:r>
      <w:r w:rsidR="00421257" w:rsidRPr="00AC4AEA">
        <w:rPr>
          <w:rFonts w:ascii="Arial" w:hAnsi="Arial" w:cs="Arial"/>
          <w:sz w:val="20"/>
          <w:szCs w:val="20"/>
        </w:rPr>
        <w:t xml:space="preserve"> por obligaciones con los empleados, distintos de los </w:t>
      </w:r>
      <w:r w:rsidR="00330DDE" w:rsidRPr="00AC4AEA">
        <w:rPr>
          <w:rFonts w:ascii="Arial" w:hAnsi="Arial" w:cs="Arial"/>
          <w:sz w:val="20"/>
          <w:szCs w:val="20"/>
        </w:rPr>
        <w:t>referidos en el inciso (ii) siguiente, a su valor nominal</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0"/>
          <w:numId w:val="701"/>
        </w:numPr>
        <w:spacing w:after="147" w:line="264" w:lineRule="auto"/>
        <w:ind w:left="2171" w:hanging="357"/>
        <w:jc w:val="both"/>
        <w:rPr>
          <w:rFonts w:ascii="Arial" w:hAnsi="Arial" w:cs="Arial"/>
          <w:sz w:val="20"/>
          <w:szCs w:val="20"/>
        </w:rPr>
      </w:pPr>
      <w:r w:rsidRPr="00AC4AEA">
        <w:rPr>
          <w:rFonts w:ascii="Arial" w:hAnsi="Arial" w:cs="Arial"/>
          <w:sz w:val="20"/>
          <w:szCs w:val="20"/>
        </w:rPr>
        <w:t>los saldos procedentes de beneficios a los empleados posteriores a la terminación de la relación laboral y otros beneficios a largo plazo</w:t>
      </w:r>
      <w:r w:rsidR="004E147D" w:rsidRPr="00AC4AEA">
        <w:rPr>
          <w:rFonts w:ascii="Arial" w:hAnsi="Arial" w:cs="Arial"/>
          <w:sz w:val="20"/>
          <w:szCs w:val="20"/>
        </w:rPr>
        <w:t>,</w:t>
      </w:r>
      <w:r w:rsidRPr="00AC4AEA">
        <w:rPr>
          <w:rFonts w:ascii="Arial" w:hAnsi="Arial" w:cs="Arial"/>
          <w:sz w:val="20"/>
          <w:szCs w:val="20"/>
        </w:rPr>
        <w:t xml:space="preserve"> de acuerdo con lo establecido en la sección </w:t>
      </w:r>
      <w:r w:rsidR="00330DDE" w:rsidRPr="00AC4AEA">
        <w:rPr>
          <w:rFonts w:ascii="Arial" w:hAnsi="Arial" w:cs="Arial"/>
          <w:sz w:val="20"/>
          <w:szCs w:val="20"/>
        </w:rPr>
        <w:t>“</w:t>
      </w:r>
      <w:r w:rsidR="00330DDE" w:rsidRPr="00AC4AEA">
        <w:rPr>
          <w:rFonts w:ascii="Arial" w:hAnsi="Arial" w:cs="Arial"/>
          <w:sz w:val="20"/>
          <w:szCs w:val="20"/>
          <w:u w:val="single" w:color="000000"/>
        </w:rPr>
        <w:t>Beneficios a los empleados posteriores a la terminación de la</w:t>
      </w:r>
      <w:r w:rsidR="00330DDE" w:rsidRPr="00AC4AEA">
        <w:rPr>
          <w:rFonts w:ascii="Arial" w:hAnsi="Arial" w:cs="Arial"/>
          <w:sz w:val="20"/>
          <w:szCs w:val="20"/>
        </w:rPr>
        <w:t xml:space="preserve"> </w:t>
      </w:r>
      <w:r w:rsidR="00330DDE" w:rsidRPr="00AC4AEA">
        <w:rPr>
          <w:rFonts w:ascii="Arial" w:hAnsi="Arial" w:cs="Arial"/>
          <w:sz w:val="20"/>
          <w:szCs w:val="20"/>
          <w:u w:val="single" w:color="000000"/>
        </w:rPr>
        <w:t>relación laboral y otros beneficios a largo plazo</w:t>
      </w:r>
      <w:r w:rsidR="00330DDE" w:rsidRPr="00AC4AEA">
        <w:rPr>
          <w:rFonts w:ascii="Arial" w:hAnsi="Arial" w:cs="Arial"/>
          <w:sz w:val="20"/>
          <w:szCs w:val="20"/>
        </w:rPr>
        <w:t xml:space="preserve">” [ver los párrafos </w:t>
      </w:r>
      <w:fldSimple w:instr=" REF _Ref132036558 \r \h  \* MERGEFORMAT ">
        <w:r w:rsidR="00D33A5D" w:rsidRPr="00D33A5D">
          <w:rPr>
            <w:rFonts w:ascii="Arial" w:hAnsi="Arial" w:cs="Arial"/>
            <w:sz w:val="20"/>
            <w:szCs w:val="20"/>
          </w:rPr>
          <w:t>872</w:t>
        </w:r>
      </w:fldSimple>
      <w:r w:rsidR="00330DDE" w:rsidRPr="00AC4AEA">
        <w:rPr>
          <w:rFonts w:ascii="Arial" w:hAnsi="Arial" w:cs="Arial"/>
          <w:sz w:val="20"/>
          <w:szCs w:val="20"/>
        </w:rPr>
        <w:t xml:space="preserve"> a </w:t>
      </w:r>
      <w:fldSimple w:instr=" REF _Ref135045493 \r \h  \* MERGEFORMAT ">
        <w:r w:rsidR="00D33A5D" w:rsidRPr="00D33A5D">
          <w:rPr>
            <w:rFonts w:ascii="Arial" w:hAnsi="Arial" w:cs="Arial"/>
            <w:sz w:val="20"/>
            <w:szCs w:val="20"/>
          </w:rPr>
          <w:t>956</w:t>
        </w:r>
      </w:fldSimple>
      <w:r w:rsidR="00330DDE" w:rsidRPr="00AC4AEA">
        <w:rPr>
          <w:rFonts w:ascii="Arial" w:hAnsi="Arial" w:cs="Arial"/>
          <w:sz w:val="20"/>
          <w:szCs w:val="20"/>
        </w:rPr>
        <w:t>]</w:t>
      </w:r>
      <w:r w:rsidRPr="00AC4AEA">
        <w:rPr>
          <w:rFonts w:ascii="Arial" w:hAnsi="Arial" w:cs="Arial"/>
          <w:sz w:val="20"/>
          <w:szCs w:val="20"/>
        </w:rPr>
        <w:t xml:space="preserve">. </w:t>
      </w:r>
    </w:p>
    <w:p w:rsidR="004E147D" w:rsidRPr="00AC4AEA" w:rsidRDefault="004E147D" w:rsidP="00C01B25">
      <w:pPr>
        <w:pStyle w:val="Prrafodelista"/>
        <w:numPr>
          <w:ilvl w:val="0"/>
          <w:numId w:val="701"/>
        </w:numPr>
        <w:ind w:left="2171" w:hanging="357"/>
        <w:jc w:val="both"/>
        <w:rPr>
          <w:rFonts w:ascii="Arial" w:hAnsi="Arial" w:cs="Arial"/>
          <w:sz w:val="20"/>
          <w:szCs w:val="20"/>
        </w:rPr>
      </w:pPr>
      <w:r w:rsidRPr="00AC4AEA">
        <w:rPr>
          <w:rFonts w:ascii="Arial" w:hAnsi="Arial" w:cs="Arial"/>
          <w:sz w:val="20"/>
          <w:szCs w:val="20"/>
        </w:rPr>
        <w:t xml:space="preserve">Los </w:t>
      </w:r>
      <w:r w:rsidR="00CE13D7" w:rsidRPr="00CE13D7">
        <w:rPr>
          <w:rFonts w:ascii="Arial" w:hAnsi="Arial" w:cs="Arial"/>
          <w:bCs/>
          <w:sz w:val="20"/>
          <w:szCs w:val="20"/>
        </w:rPr>
        <w:t>pasivos</w:t>
      </w:r>
      <w:r w:rsidRPr="00AC4AEA">
        <w:rPr>
          <w:rFonts w:ascii="Arial" w:hAnsi="Arial" w:cs="Arial"/>
          <w:sz w:val="20"/>
          <w:szCs w:val="20"/>
        </w:rPr>
        <w:t xml:space="preserve"> originados en arrendamientos financieros, por el importe en libros que tengan en la contabilidad de la adquirida a la </w:t>
      </w:r>
      <w:r w:rsidRPr="00AA50D9">
        <w:rPr>
          <w:rFonts w:ascii="Arial" w:hAnsi="Arial" w:cs="Arial"/>
          <w:b/>
          <w:bCs/>
          <w:sz w:val="20"/>
          <w:szCs w:val="20"/>
        </w:rPr>
        <w:t>fecha de adquisición</w:t>
      </w:r>
      <w:r w:rsidRPr="00AC4AEA">
        <w:rPr>
          <w:rFonts w:ascii="Arial" w:hAnsi="Arial" w:cs="Arial"/>
          <w:sz w:val="20"/>
          <w:szCs w:val="20"/>
        </w:rPr>
        <w:t xml:space="preserve">. </w:t>
      </w:r>
    </w:p>
    <w:p w:rsidR="00330DDE" w:rsidRPr="00AC4AEA" w:rsidRDefault="007F2BE4" w:rsidP="00C01B25">
      <w:pPr>
        <w:numPr>
          <w:ilvl w:val="0"/>
          <w:numId w:val="699"/>
        </w:numPr>
        <w:spacing w:line="264" w:lineRule="auto"/>
        <w:ind w:hanging="318"/>
        <w:jc w:val="both"/>
        <w:rPr>
          <w:rFonts w:ascii="Arial" w:hAnsi="Arial" w:cs="Arial"/>
          <w:sz w:val="20"/>
          <w:szCs w:val="20"/>
        </w:rPr>
      </w:pPr>
      <w:r w:rsidRPr="00AC4AEA">
        <w:rPr>
          <w:rFonts w:ascii="Arial" w:hAnsi="Arial" w:cs="Arial"/>
          <w:sz w:val="20"/>
          <w:szCs w:val="20"/>
        </w:rPr>
        <w:t>Reconocerá y medirá</w:t>
      </w:r>
      <w:r w:rsidR="00330DDE" w:rsidRPr="00AC4AEA">
        <w:rPr>
          <w:rFonts w:ascii="Arial" w:hAnsi="Arial" w:cs="Arial"/>
          <w:sz w:val="20"/>
          <w:szCs w:val="20"/>
        </w:rPr>
        <w:t>:</w:t>
      </w:r>
      <w:r w:rsidRPr="00AC4AEA">
        <w:rPr>
          <w:rFonts w:ascii="Arial" w:hAnsi="Arial" w:cs="Arial"/>
          <w:sz w:val="20"/>
          <w:szCs w:val="20"/>
        </w:rPr>
        <w:t xml:space="preserve"> </w:t>
      </w:r>
    </w:p>
    <w:p w:rsidR="007F2BE4" w:rsidRPr="00AC4AEA" w:rsidRDefault="00A62001" w:rsidP="00C01B25">
      <w:pPr>
        <w:numPr>
          <w:ilvl w:val="0"/>
          <w:numId w:val="702"/>
        </w:numPr>
        <w:spacing w:line="264" w:lineRule="auto"/>
        <w:ind w:left="2098" w:hanging="284"/>
        <w:jc w:val="both"/>
        <w:rPr>
          <w:rFonts w:ascii="Arial" w:hAnsi="Arial" w:cs="Arial"/>
          <w:sz w:val="20"/>
          <w:szCs w:val="20"/>
        </w:rPr>
      </w:pPr>
      <w:r w:rsidRPr="00AC4AEA">
        <w:rPr>
          <w:rFonts w:ascii="Arial" w:hAnsi="Arial" w:cs="Arial"/>
          <w:sz w:val="20"/>
          <w:szCs w:val="20"/>
        </w:rPr>
        <w:t>L</w:t>
      </w:r>
      <w:r w:rsidR="007F2BE4" w:rsidRPr="00AC4AEA">
        <w:rPr>
          <w:rFonts w:ascii="Arial" w:hAnsi="Arial" w:cs="Arial"/>
          <w:sz w:val="20"/>
          <w:szCs w:val="20"/>
        </w:rPr>
        <w:t xml:space="preserve">os </w:t>
      </w:r>
      <w:r w:rsidR="00CE13D7" w:rsidRPr="00CE13D7">
        <w:rPr>
          <w:rFonts w:ascii="Arial" w:hAnsi="Arial" w:cs="Arial"/>
          <w:bCs/>
          <w:sz w:val="20"/>
          <w:szCs w:val="20"/>
        </w:rPr>
        <w:t>activos</w:t>
      </w:r>
      <w:r w:rsidR="007F2BE4" w:rsidRPr="00AC4AEA">
        <w:rPr>
          <w:rFonts w:ascii="Arial" w:hAnsi="Arial" w:cs="Arial"/>
          <w:sz w:val="20"/>
          <w:szCs w:val="20"/>
        </w:rPr>
        <w:t xml:space="preserve"> y </w:t>
      </w:r>
      <w:r w:rsidR="004E1215" w:rsidRPr="004E1215">
        <w:rPr>
          <w:rFonts w:ascii="Arial" w:hAnsi="Arial" w:cs="Arial"/>
          <w:bCs/>
          <w:sz w:val="20"/>
          <w:szCs w:val="20"/>
        </w:rPr>
        <w:t>pasivos</w:t>
      </w:r>
      <w:r w:rsidR="007F2BE4" w:rsidRPr="00AC4AEA">
        <w:rPr>
          <w:rFonts w:ascii="Arial" w:hAnsi="Arial" w:cs="Arial"/>
          <w:sz w:val="20"/>
          <w:szCs w:val="20"/>
        </w:rPr>
        <w:t xml:space="preserve"> relacionados con el impuesto a las ganancias</w:t>
      </w:r>
      <w:r w:rsidR="002061ED" w:rsidRPr="00AC4AEA">
        <w:rPr>
          <w:rFonts w:ascii="Arial" w:hAnsi="Arial" w:cs="Arial"/>
          <w:sz w:val="20"/>
          <w:szCs w:val="20"/>
        </w:rPr>
        <w:t>,</w:t>
      </w:r>
      <w:r w:rsidR="007F2BE4" w:rsidRPr="00AC4AEA">
        <w:rPr>
          <w:rFonts w:ascii="Arial" w:hAnsi="Arial" w:cs="Arial"/>
          <w:sz w:val="20"/>
          <w:szCs w:val="20"/>
        </w:rPr>
        <w:t xml:space="preserve"> de acuerdo con lo establecido en la sección “</w:t>
      </w:r>
      <w:r w:rsidR="007F2BE4" w:rsidRPr="00AC4AEA">
        <w:rPr>
          <w:rFonts w:ascii="Arial" w:hAnsi="Arial" w:cs="Arial"/>
          <w:sz w:val="20"/>
          <w:szCs w:val="20"/>
          <w:u w:val="single"/>
        </w:rPr>
        <w:t>Contabilización del Impuesto a las Ganancias</w:t>
      </w:r>
      <w:r w:rsidR="007F2BE4" w:rsidRPr="00AC4AEA">
        <w:rPr>
          <w:rFonts w:ascii="Arial" w:hAnsi="Arial" w:cs="Arial"/>
          <w:sz w:val="20"/>
          <w:szCs w:val="20"/>
        </w:rPr>
        <w:t xml:space="preserve">” [ver los párrafos </w:t>
      </w:r>
      <w:fldSimple w:instr=" REF _Ref99468407 \r \h  \* MERGEFORMAT ">
        <w:r w:rsidR="00D33A5D" w:rsidRPr="00D33A5D">
          <w:rPr>
            <w:rFonts w:ascii="Arial" w:hAnsi="Arial" w:cs="Arial"/>
            <w:sz w:val="20"/>
            <w:szCs w:val="20"/>
          </w:rPr>
          <w:t>571</w:t>
        </w:r>
      </w:fldSimple>
      <w:r w:rsidRPr="00AC4AEA">
        <w:rPr>
          <w:rFonts w:ascii="Arial" w:hAnsi="Arial" w:cs="Arial"/>
          <w:sz w:val="20"/>
          <w:szCs w:val="20"/>
        </w:rPr>
        <w:t xml:space="preserve"> a </w:t>
      </w:r>
      <w:fldSimple w:instr=" REF _Ref135737673 \r \h  \* MERGEFORMAT ">
        <w:r w:rsidR="00D33A5D" w:rsidRPr="00D33A5D">
          <w:rPr>
            <w:rFonts w:ascii="Arial" w:hAnsi="Arial" w:cs="Arial"/>
            <w:sz w:val="20"/>
            <w:szCs w:val="20"/>
          </w:rPr>
          <w:t>600</w:t>
        </w:r>
      </w:fldSimple>
      <w:r w:rsidR="007F2BE4" w:rsidRPr="00AC4AEA">
        <w:rPr>
          <w:rFonts w:ascii="Arial" w:hAnsi="Arial" w:cs="Arial"/>
          <w:sz w:val="20"/>
          <w:szCs w:val="20"/>
        </w:rPr>
        <w:t>].</w:t>
      </w:r>
    </w:p>
    <w:p w:rsidR="00421257" w:rsidRPr="00AC4AEA" w:rsidRDefault="002061ED" w:rsidP="00C01B25">
      <w:pPr>
        <w:numPr>
          <w:ilvl w:val="0"/>
          <w:numId w:val="702"/>
        </w:numPr>
        <w:spacing w:after="147" w:line="264" w:lineRule="auto"/>
        <w:ind w:left="2098" w:hanging="284"/>
        <w:jc w:val="both"/>
        <w:rPr>
          <w:rFonts w:ascii="Arial" w:hAnsi="Arial" w:cs="Arial"/>
          <w:sz w:val="20"/>
          <w:szCs w:val="20"/>
        </w:rPr>
      </w:pPr>
      <w:r w:rsidRPr="00AC4AEA">
        <w:rPr>
          <w:rFonts w:ascii="Arial" w:hAnsi="Arial" w:cs="Arial"/>
          <w:sz w:val="20"/>
          <w:szCs w:val="20"/>
        </w:rPr>
        <w:t>C</w:t>
      </w:r>
      <w:r w:rsidR="00421257" w:rsidRPr="00AC4AEA">
        <w:rPr>
          <w:rFonts w:ascii="Arial" w:hAnsi="Arial" w:cs="Arial"/>
          <w:sz w:val="20"/>
          <w:szCs w:val="20"/>
        </w:rPr>
        <w:t xml:space="preserve">ualquier </w:t>
      </w:r>
      <w:r w:rsidR="00421257" w:rsidRPr="00AC4AEA">
        <w:rPr>
          <w:rFonts w:ascii="Arial" w:hAnsi="Arial" w:cs="Arial"/>
          <w:b/>
          <w:bCs/>
          <w:sz w:val="20"/>
          <w:szCs w:val="20"/>
        </w:rPr>
        <w:t>activo</w:t>
      </w:r>
      <w:r w:rsidR="00421257" w:rsidRPr="00AC4AEA">
        <w:rPr>
          <w:rFonts w:ascii="Arial" w:hAnsi="Arial" w:cs="Arial"/>
          <w:sz w:val="20"/>
          <w:szCs w:val="20"/>
        </w:rPr>
        <w:t xml:space="preserve"> no corriente adquirido (o un grupo de activos para su disposición) que se clasifique como mantenido para la venta a la fecha de la adquisición</w:t>
      </w:r>
      <w:r w:rsidRPr="00AC4AEA">
        <w:rPr>
          <w:rFonts w:ascii="Arial" w:hAnsi="Arial" w:cs="Arial"/>
          <w:sz w:val="20"/>
          <w:szCs w:val="20"/>
        </w:rPr>
        <w:t>,</w:t>
      </w:r>
      <w:r w:rsidR="00421257" w:rsidRPr="00AC4AEA">
        <w:rPr>
          <w:rFonts w:ascii="Arial" w:hAnsi="Arial" w:cs="Arial"/>
          <w:sz w:val="20"/>
          <w:szCs w:val="20"/>
        </w:rPr>
        <w:t xml:space="preserve"> de acuerdo </w:t>
      </w:r>
      <w:r w:rsidRPr="00AC4AEA">
        <w:rPr>
          <w:rFonts w:ascii="Arial" w:hAnsi="Arial" w:cs="Arial"/>
          <w:sz w:val="20"/>
          <w:szCs w:val="20"/>
        </w:rPr>
        <w:t xml:space="preserve">con lo establecido en </w:t>
      </w:r>
      <w:r w:rsidR="00421257" w:rsidRPr="00AC4AEA">
        <w:rPr>
          <w:rFonts w:ascii="Arial" w:hAnsi="Arial" w:cs="Arial"/>
          <w:sz w:val="20"/>
          <w:szCs w:val="20"/>
        </w:rPr>
        <w:t>la sección “</w:t>
      </w:r>
      <w:r w:rsidR="000305A9" w:rsidRPr="00AC4AEA">
        <w:rPr>
          <w:rFonts w:ascii="Arial" w:hAnsi="Arial" w:cs="Arial"/>
          <w:sz w:val="20"/>
          <w:szCs w:val="20"/>
          <w:u w:val="single"/>
        </w:rPr>
        <w:t>A</w:t>
      </w:r>
      <w:r w:rsidR="00421257" w:rsidRPr="00AC4AEA">
        <w:rPr>
          <w:rFonts w:ascii="Arial" w:hAnsi="Arial" w:cs="Arial"/>
          <w:sz w:val="20"/>
          <w:szCs w:val="20"/>
          <w:u w:val="single"/>
        </w:rPr>
        <w:t>ctivos no corrientes mantenidos para la venta</w:t>
      </w:r>
      <w:r w:rsidR="00421257" w:rsidRPr="00AC4AEA">
        <w:rPr>
          <w:rFonts w:ascii="Arial" w:hAnsi="Arial" w:cs="Arial"/>
          <w:sz w:val="20"/>
          <w:szCs w:val="20"/>
        </w:rPr>
        <w:t xml:space="preserve">” [ver los párrafos </w:t>
      </w:r>
      <w:fldSimple w:instr=" REF _Ref74758072 \r \h  \* MERGEFORMAT ">
        <w:r w:rsidR="00D33A5D" w:rsidRPr="00D33A5D">
          <w:rPr>
            <w:rFonts w:ascii="Arial" w:hAnsi="Arial" w:cs="Arial"/>
            <w:sz w:val="20"/>
            <w:szCs w:val="20"/>
          </w:rPr>
          <w:t>416</w:t>
        </w:r>
      </w:fldSimple>
      <w:r w:rsidRPr="00AC4AEA">
        <w:rPr>
          <w:rFonts w:ascii="Arial" w:hAnsi="Arial" w:cs="Arial"/>
          <w:sz w:val="20"/>
          <w:szCs w:val="20"/>
        </w:rPr>
        <w:t xml:space="preserve"> a </w:t>
      </w:r>
      <w:fldSimple w:instr=" REF _Ref104370269 \r \h  \* MERGEFORMAT ">
        <w:r w:rsidR="00D33A5D" w:rsidRPr="00D33A5D">
          <w:rPr>
            <w:rFonts w:ascii="Arial" w:hAnsi="Arial" w:cs="Arial"/>
            <w:sz w:val="20"/>
            <w:szCs w:val="20"/>
          </w:rPr>
          <w:t>434</w:t>
        </w:r>
      </w:fldSimple>
      <w:r w:rsidR="00421257"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A318EA">
      <w:pPr>
        <w:spacing w:after="150" w:line="256" w:lineRule="auto"/>
        <w:ind w:left="1466"/>
        <w:rPr>
          <w:rFonts w:ascii="Arial" w:hAnsi="Arial" w:cs="Arial"/>
          <w:sz w:val="20"/>
          <w:szCs w:val="20"/>
        </w:rPr>
      </w:pPr>
    </w:p>
    <w:p w:rsidR="00421257" w:rsidRPr="00AC4AEA" w:rsidRDefault="00421257" w:rsidP="00A318EA">
      <w:pPr>
        <w:pStyle w:val="Ttulo4"/>
      </w:pPr>
      <w:r w:rsidRPr="00AC4AEA">
        <w:t xml:space="preserve">Medición de la participación no controladora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12" w:name="_Ref135299844"/>
      <w:r w:rsidRPr="00AC4AEA">
        <w:rPr>
          <w:rFonts w:ascii="Arial" w:hAnsi="Arial" w:cs="Arial"/>
          <w:sz w:val="20"/>
          <w:szCs w:val="20"/>
        </w:rPr>
        <w:t xml:space="preserve">Una adquirente medirá cualquier participación no controladora en la adquirida en función a la proporción que le corresponda en el neto de las medidas asignadas a los </w:t>
      </w:r>
      <w:r w:rsidRPr="00AC4AEA">
        <w:rPr>
          <w:rFonts w:ascii="Arial" w:hAnsi="Arial" w:cs="Arial"/>
          <w:b/>
          <w:bCs/>
          <w:sz w:val="20"/>
          <w:szCs w:val="20"/>
        </w:rPr>
        <w:t>activos identificables</w:t>
      </w:r>
      <w:r w:rsidRPr="00AC4AEA">
        <w:rPr>
          <w:rFonts w:ascii="Arial" w:hAnsi="Arial" w:cs="Arial"/>
          <w:sz w:val="20"/>
          <w:szCs w:val="20"/>
        </w:rPr>
        <w:t xml:space="preserve"> adquiridos</w:t>
      </w:r>
      <w:r w:rsidR="0044712F" w:rsidRPr="00AC4AEA">
        <w:rPr>
          <w:rFonts w:ascii="Arial" w:hAnsi="Arial" w:cs="Arial"/>
          <w:sz w:val="20"/>
          <w:szCs w:val="20"/>
        </w:rPr>
        <w:t xml:space="preserve"> y</w:t>
      </w:r>
      <w:r w:rsidRPr="00AC4AEA">
        <w:rPr>
          <w:rFonts w:ascii="Arial" w:hAnsi="Arial" w:cs="Arial"/>
          <w:sz w:val="20"/>
          <w:szCs w:val="20"/>
        </w:rPr>
        <w:t xml:space="preserve"> los </w:t>
      </w:r>
      <w:r w:rsidR="004E1215" w:rsidRPr="004E1215">
        <w:rPr>
          <w:rFonts w:ascii="Arial" w:hAnsi="Arial" w:cs="Arial"/>
          <w:bCs/>
          <w:sz w:val="20"/>
          <w:szCs w:val="20"/>
        </w:rPr>
        <w:t>pasivos</w:t>
      </w:r>
      <w:r w:rsidRPr="00AC4AEA">
        <w:rPr>
          <w:rFonts w:ascii="Arial" w:hAnsi="Arial" w:cs="Arial"/>
          <w:sz w:val="20"/>
          <w:szCs w:val="20"/>
        </w:rPr>
        <w:t xml:space="preserve"> asumidos de la adquirida, a la </w:t>
      </w:r>
      <w:r w:rsidRPr="00AA50D9">
        <w:rPr>
          <w:rFonts w:ascii="Arial" w:hAnsi="Arial" w:cs="Arial"/>
          <w:b/>
          <w:bCs/>
          <w:sz w:val="20"/>
          <w:szCs w:val="20"/>
        </w:rPr>
        <w:t>fecha de adquisición</w:t>
      </w:r>
      <w:r w:rsidRPr="00AC4AEA">
        <w:rPr>
          <w:rFonts w:ascii="Arial" w:hAnsi="Arial" w:cs="Arial"/>
          <w:sz w:val="20"/>
          <w:szCs w:val="20"/>
        </w:rPr>
        <w:t>.</w:t>
      </w:r>
      <w:bookmarkEnd w:id="1212"/>
      <w:r w:rsidRPr="00AC4AEA">
        <w:rPr>
          <w:rFonts w:ascii="Arial" w:hAnsi="Arial" w:cs="Arial"/>
          <w:sz w:val="20"/>
          <w:szCs w:val="20"/>
        </w:rPr>
        <w:t xml:space="preserve"> </w:t>
      </w:r>
    </w:p>
    <w:p w:rsidR="00421257" w:rsidRPr="00AC4AEA" w:rsidRDefault="00421257" w:rsidP="00A318EA">
      <w:pPr>
        <w:spacing w:after="112"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213" w:name="_Toc139357047"/>
      <w:r w:rsidRPr="00AC4AEA">
        <w:t>Reconocimiento y medición de la llave de negocio o de una ganancia por una compra en términos ventajosos</w:t>
      </w:r>
      <w:bookmarkEnd w:id="1213"/>
      <w:r w:rsidRPr="00AC4AEA">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adquirente reconocerá una llave de negocios, en la fecha de la adquisición, medida como el exceso del </w:t>
      </w:r>
      <w:r w:rsidR="002E0324">
        <w:rPr>
          <w:rFonts w:ascii="Arial" w:hAnsi="Arial" w:cs="Arial"/>
          <w:sz w:val="20"/>
          <w:szCs w:val="20"/>
        </w:rPr>
        <w:t>inciso</w:t>
      </w:r>
      <w:r w:rsidR="002E0324" w:rsidRPr="00AC4AEA">
        <w:rPr>
          <w:rFonts w:ascii="Arial" w:hAnsi="Arial" w:cs="Arial"/>
          <w:sz w:val="20"/>
          <w:szCs w:val="20"/>
        </w:rPr>
        <w:t xml:space="preserve"> </w:t>
      </w:r>
      <w:r w:rsidRPr="00AC4AEA">
        <w:rPr>
          <w:rFonts w:ascii="Arial" w:hAnsi="Arial" w:cs="Arial"/>
          <w:sz w:val="20"/>
          <w:szCs w:val="20"/>
        </w:rPr>
        <w:t xml:space="preserve">(a) sobre el (b) siguientes: </w:t>
      </w:r>
    </w:p>
    <w:p w:rsidR="00421257" w:rsidRPr="00AC4AEA" w:rsidRDefault="00CF0871" w:rsidP="00C01B25">
      <w:pPr>
        <w:numPr>
          <w:ilvl w:val="0"/>
          <w:numId w:val="703"/>
        </w:numPr>
        <w:spacing w:after="168" w:line="264" w:lineRule="auto"/>
        <w:ind w:hanging="459"/>
        <w:jc w:val="both"/>
        <w:rPr>
          <w:rFonts w:ascii="Arial" w:hAnsi="Arial" w:cs="Arial"/>
          <w:sz w:val="20"/>
          <w:szCs w:val="20"/>
        </w:rPr>
      </w:pPr>
      <w:r w:rsidRPr="00AC4AEA">
        <w:rPr>
          <w:rFonts w:ascii="Arial" w:hAnsi="Arial" w:cs="Arial"/>
          <w:sz w:val="20"/>
          <w:szCs w:val="20"/>
        </w:rPr>
        <w:t>La s</w:t>
      </w:r>
      <w:r w:rsidR="00421257" w:rsidRPr="00AC4AEA">
        <w:rPr>
          <w:rFonts w:ascii="Arial" w:hAnsi="Arial" w:cs="Arial"/>
          <w:sz w:val="20"/>
          <w:szCs w:val="20"/>
        </w:rPr>
        <w:t xml:space="preserve">uma de: </w:t>
      </w:r>
    </w:p>
    <w:p w:rsidR="00421257" w:rsidRPr="00AC4AEA" w:rsidRDefault="00BC5073" w:rsidP="00C01B25">
      <w:pPr>
        <w:numPr>
          <w:ilvl w:val="0"/>
          <w:numId w:val="704"/>
        </w:numPr>
        <w:spacing w:after="147" w:line="264" w:lineRule="auto"/>
        <w:ind w:hanging="643"/>
        <w:jc w:val="both"/>
        <w:rPr>
          <w:rFonts w:ascii="Arial" w:hAnsi="Arial" w:cs="Arial"/>
          <w:sz w:val="20"/>
          <w:szCs w:val="20"/>
        </w:rPr>
      </w:pPr>
      <w:r w:rsidRPr="00AC4AEA">
        <w:rPr>
          <w:rFonts w:ascii="Arial" w:hAnsi="Arial" w:cs="Arial"/>
          <w:sz w:val="20"/>
          <w:szCs w:val="20"/>
        </w:rPr>
        <w:lastRenderedPageBreak/>
        <w:t>el costo de la combinación de negocios, medido</w:t>
      </w:r>
      <w:r w:rsidR="00421257" w:rsidRPr="00AC4AEA">
        <w:rPr>
          <w:rFonts w:ascii="Arial" w:hAnsi="Arial" w:cs="Arial"/>
          <w:sz w:val="20"/>
          <w:szCs w:val="20"/>
        </w:rPr>
        <w:t xml:space="preserve"> de acuerdo con </w:t>
      </w:r>
      <w:r w:rsidR="004418C5" w:rsidRPr="00AC4AEA">
        <w:rPr>
          <w:rFonts w:ascii="Arial" w:hAnsi="Arial" w:cs="Arial"/>
          <w:sz w:val="20"/>
          <w:szCs w:val="20"/>
        </w:rPr>
        <w:t xml:space="preserve">lo establecido en los párrafos </w:t>
      </w:r>
      <w:fldSimple w:instr=" REF _Ref135764599 \r \h  \* MERGEFORMAT ">
        <w:r w:rsidR="00D33A5D" w:rsidRPr="00D33A5D">
          <w:rPr>
            <w:rFonts w:ascii="Arial" w:hAnsi="Arial" w:cs="Arial"/>
            <w:sz w:val="20"/>
            <w:szCs w:val="20"/>
          </w:rPr>
          <w:t>968</w:t>
        </w:r>
      </w:fldSimple>
      <w:r w:rsidR="004418C5" w:rsidRPr="00AC4AEA">
        <w:rPr>
          <w:rFonts w:ascii="Arial" w:hAnsi="Arial" w:cs="Arial"/>
          <w:sz w:val="20"/>
          <w:szCs w:val="20"/>
        </w:rPr>
        <w:t xml:space="preserve"> a </w:t>
      </w:r>
      <w:fldSimple w:instr=" REF _Ref135764604 \r \h  \* MERGEFORMAT ">
        <w:r w:rsidR="00D33A5D" w:rsidRPr="00D33A5D">
          <w:rPr>
            <w:rFonts w:ascii="Arial" w:hAnsi="Arial" w:cs="Arial"/>
            <w:sz w:val="20"/>
            <w:szCs w:val="20"/>
          </w:rPr>
          <w:t>970</w:t>
        </w:r>
      </w:fldSimple>
      <w:r w:rsidR="00421257" w:rsidRPr="00AC4AEA">
        <w:rPr>
          <w:rFonts w:ascii="Arial" w:hAnsi="Arial" w:cs="Arial"/>
          <w:sz w:val="20"/>
          <w:szCs w:val="20"/>
        </w:rPr>
        <w:t xml:space="preserve">; </w:t>
      </w:r>
    </w:p>
    <w:p w:rsidR="00421257" w:rsidRPr="00AC4AEA" w:rsidRDefault="00421257" w:rsidP="00C01B25">
      <w:pPr>
        <w:numPr>
          <w:ilvl w:val="0"/>
          <w:numId w:val="704"/>
        </w:numPr>
        <w:spacing w:after="147" w:line="264" w:lineRule="auto"/>
        <w:ind w:hanging="643"/>
        <w:jc w:val="both"/>
        <w:rPr>
          <w:rFonts w:ascii="Arial" w:hAnsi="Arial" w:cs="Arial"/>
          <w:sz w:val="20"/>
          <w:szCs w:val="20"/>
        </w:rPr>
      </w:pPr>
      <w:r w:rsidRPr="00AC4AEA">
        <w:rPr>
          <w:rFonts w:ascii="Arial" w:hAnsi="Arial" w:cs="Arial"/>
          <w:sz w:val="20"/>
          <w:szCs w:val="20"/>
        </w:rPr>
        <w:t xml:space="preserve">el importe de cualquier participación no controladora en la adquirida medida de acuerdo con el párrafo </w:t>
      </w:r>
      <w:fldSimple w:instr=" REF _Ref135299844 \r \h  \* MERGEFORMAT ">
        <w:r w:rsidR="00D33A5D" w:rsidRPr="00D33A5D">
          <w:rPr>
            <w:rFonts w:ascii="Arial" w:hAnsi="Arial" w:cs="Arial"/>
            <w:sz w:val="20"/>
            <w:szCs w:val="20"/>
          </w:rPr>
          <w:t>977</w:t>
        </w:r>
      </w:fldSimple>
      <w:r w:rsidRPr="00AC4AEA">
        <w:rPr>
          <w:rFonts w:ascii="Arial" w:hAnsi="Arial" w:cs="Arial"/>
          <w:sz w:val="20"/>
          <w:szCs w:val="20"/>
        </w:rPr>
        <w:t xml:space="preserve">; y </w:t>
      </w:r>
    </w:p>
    <w:p w:rsidR="00421257" w:rsidRPr="00AC4AEA" w:rsidRDefault="00A91594" w:rsidP="00C01B25">
      <w:pPr>
        <w:numPr>
          <w:ilvl w:val="0"/>
          <w:numId w:val="704"/>
        </w:numPr>
        <w:spacing w:after="147" w:line="264" w:lineRule="auto"/>
        <w:ind w:hanging="643"/>
        <w:jc w:val="both"/>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valor razonable</w:t>
      </w:r>
      <w:r w:rsidRPr="00AC4AEA">
        <w:rPr>
          <w:rFonts w:ascii="Arial" w:hAnsi="Arial" w:cs="Arial"/>
          <w:sz w:val="20"/>
          <w:szCs w:val="20"/>
        </w:rPr>
        <w:t xml:space="preserve"> en la </w:t>
      </w:r>
      <w:r w:rsidRPr="00AA50D9">
        <w:rPr>
          <w:rFonts w:ascii="Arial" w:hAnsi="Arial" w:cs="Arial"/>
          <w:b/>
          <w:bCs/>
          <w:sz w:val="20"/>
          <w:szCs w:val="20"/>
        </w:rPr>
        <w:t>fecha de adquisición</w:t>
      </w:r>
      <w:r w:rsidRPr="00AC4AEA">
        <w:rPr>
          <w:rFonts w:ascii="Arial" w:hAnsi="Arial" w:cs="Arial"/>
          <w:sz w:val="20"/>
          <w:szCs w:val="20"/>
        </w:rPr>
        <w:t xml:space="preserve"> de la participación anteriormente tenida por el adquirente en el patrimonio neto de la adquirida, </w:t>
      </w:r>
      <w:r w:rsidR="00421257" w:rsidRPr="00AC4AEA">
        <w:rPr>
          <w:rFonts w:ascii="Arial" w:hAnsi="Arial" w:cs="Arial"/>
          <w:sz w:val="20"/>
          <w:szCs w:val="20"/>
        </w:rPr>
        <w:t xml:space="preserve">en </w:t>
      </w:r>
      <w:r w:rsidR="00513A15" w:rsidRPr="00AC4AEA">
        <w:rPr>
          <w:rFonts w:ascii="Arial" w:hAnsi="Arial" w:cs="Arial"/>
          <w:sz w:val="20"/>
          <w:szCs w:val="20"/>
        </w:rPr>
        <w:t xml:space="preserve">el caso de una </w:t>
      </w:r>
      <w:r w:rsidR="00421257" w:rsidRPr="00AC4AEA">
        <w:rPr>
          <w:rFonts w:ascii="Arial" w:hAnsi="Arial" w:cs="Arial"/>
          <w:sz w:val="20"/>
          <w:szCs w:val="20"/>
        </w:rPr>
        <w:t>combinación de negocios llevada a cabo por etapas</w:t>
      </w:r>
      <w:r w:rsidR="00BC5073" w:rsidRPr="00AC4AEA">
        <w:rPr>
          <w:rFonts w:ascii="Arial" w:hAnsi="Arial" w:cs="Arial"/>
          <w:sz w:val="20"/>
          <w:szCs w:val="20"/>
        </w:rPr>
        <w:t>, según lo establecido en el</w:t>
      </w:r>
      <w:r w:rsidR="00421257" w:rsidRPr="00AC4AEA">
        <w:rPr>
          <w:rFonts w:ascii="Arial" w:hAnsi="Arial" w:cs="Arial"/>
          <w:sz w:val="20"/>
          <w:szCs w:val="20"/>
        </w:rPr>
        <w:t xml:space="preserve"> párrafo </w:t>
      </w:r>
      <w:fldSimple w:instr=" REF _Ref135764722 \r \h  \* MERGEFORMAT ">
        <w:r w:rsidR="00D33A5D" w:rsidRPr="00D33A5D">
          <w:rPr>
            <w:rFonts w:ascii="Arial" w:hAnsi="Arial" w:cs="Arial"/>
            <w:sz w:val="20"/>
            <w:szCs w:val="20"/>
          </w:rPr>
          <w:t>981</w:t>
        </w:r>
      </w:fldSimple>
      <w:r w:rsidR="00421257" w:rsidRPr="00AC4AEA">
        <w:rPr>
          <w:rFonts w:ascii="Arial" w:hAnsi="Arial" w:cs="Arial"/>
          <w:sz w:val="20"/>
          <w:szCs w:val="20"/>
        </w:rPr>
        <w:t xml:space="preserve">. </w:t>
      </w:r>
    </w:p>
    <w:p w:rsidR="00421257" w:rsidRPr="00AC4AEA" w:rsidRDefault="00BC5073" w:rsidP="00C01B25">
      <w:pPr>
        <w:numPr>
          <w:ilvl w:val="0"/>
          <w:numId w:val="703"/>
        </w:numPr>
        <w:spacing w:after="147" w:line="264" w:lineRule="auto"/>
        <w:ind w:hanging="459"/>
        <w:jc w:val="both"/>
        <w:rPr>
          <w:rFonts w:ascii="Arial" w:hAnsi="Arial" w:cs="Arial"/>
          <w:sz w:val="20"/>
          <w:szCs w:val="20"/>
        </w:rPr>
      </w:pPr>
      <w:r w:rsidRPr="00AC4AEA">
        <w:rPr>
          <w:rFonts w:ascii="Arial" w:hAnsi="Arial" w:cs="Arial"/>
          <w:sz w:val="20"/>
          <w:szCs w:val="20"/>
        </w:rPr>
        <w:t>E</w:t>
      </w:r>
      <w:r w:rsidR="00421257" w:rsidRPr="00AC4AEA">
        <w:rPr>
          <w:rFonts w:ascii="Arial" w:hAnsi="Arial" w:cs="Arial"/>
          <w:sz w:val="20"/>
          <w:szCs w:val="20"/>
        </w:rPr>
        <w:t xml:space="preserve">l neto de los importes en la fecha de la adquisición de los </w:t>
      </w:r>
      <w:r w:rsidR="00421257" w:rsidRPr="00AC4AEA">
        <w:rPr>
          <w:rFonts w:ascii="Arial" w:hAnsi="Arial" w:cs="Arial"/>
          <w:b/>
          <w:bCs/>
          <w:sz w:val="20"/>
          <w:szCs w:val="20"/>
        </w:rPr>
        <w:t>activos identificables adquiridos</w:t>
      </w:r>
      <w:r w:rsidR="00421257" w:rsidRPr="00AC4AEA">
        <w:rPr>
          <w:rFonts w:ascii="Arial" w:hAnsi="Arial" w:cs="Arial"/>
          <w:sz w:val="20"/>
          <w:szCs w:val="20"/>
        </w:rPr>
        <w:t xml:space="preserve"> y de los </w:t>
      </w:r>
      <w:r w:rsidR="004E1215" w:rsidRPr="004E1215">
        <w:rPr>
          <w:rFonts w:ascii="Arial" w:hAnsi="Arial" w:cs="Arial"/>
          <w:bCs/>
          <w:sz w:val="20"/>
          <w:szCs w:val="20"/>
        </w:rPr>
        <w:t>pasivos</w:t>
      </w:r>
      <w:r w:rsidR="00421257" w:rsidRPr="00AC4AEA">
        <w:rPr>
          <w:rFonts w:ascii="Arial" w:hAnsi="Arial" w:cs="Arial"/>
          <w:sz w:val="20"/>
          <w:szCs w:val="20"/>
        </w:rPr>
        <w:t xml:space="preserve"> asumidos</w:t>
      </w:r>
      <w:r w:rsidRPr="00AC4AEA">
        <w:rPr>
          <w:rFonts w:ascii="Arial" w:hAnsi="Arial" w:cs="Arial"/>
          <w:sz w:val="20"/>
          <w:szCs w:val="20"/>
        </w:rPr>
        <w:t xml:space="preserve"> de la adquirida</w:t>
      </w:r>
      <w:r w:rsidR="00421257" w:rsidRPr="00AC4AEA">
        <w:rPr>
          <w:rFonts w:ascii="Arial" w:hAnsi="Arial" w:cs="Arial"/>
          <w:sz w:val="20"/>
          <w:szCs w:val="20"/>
        </w:rPr>
        <w:t>,</w:t>
      </w:r>
      <w:r w:rsidRPr="00AC4AEA">
        <w:rPr>
          <w:rFonts w:ascii="Arial" w:hAnsi="Arial" w:cs="Arial"/>
          <w:sz w:val="20"/>
          <w:szCs w:val="20"/>
        </w:rPr>
        <w:t xml:space="preserve"> reconocidos y</w:t>
      </w:r>
      <w:r w:rsidR="00421257" w:rsidRPr="00AC4AEA">
        <w:rPr>
          <w:rFonts w:ascii="Arial" w:hAnsi="Arial" w:cs="Arial"/>
          <w:sz w:val="20"/>
          <w:szCs w:val="20"/>
        </w:rPr>
        <w:t xml:space="preserve"> medidos de acuerdo con los requerimientos de la presente sección.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14" w:name="_Ref135766975"/>
      <w:r w:rsidRPr="00AC4AEA">
        <w:rPr>
          <w:rFonts w:ascii="Arial" w:hAnsi="Arial" w:cs="Arial"/>
          <w:sz w:val="20"/>
          <w:szCs w:val="20"/>
        </w:rPr>
        <w:t xml:space="preserve">Cuando la aplicación del párrafo anterior dé por resultado que el </w:t>
      </w:r>
      <w:r w:rsidR="002E0324">
        <w:rPr>
          <w:rFonts w:ascii="Arial" w:hAnsi="Arial" w:cs="Arial"/>
          <w:sz w:val="20"/>
          <w:szCs w:val="20"/>
        </w:rPr>
        <w:t>inciso</w:t>
      </w:r>
      <w:r w:rsidR="002E0324" w:rsidRPr="00AC4AEA">
        <w:rPr>
          <w:rFonts w:ascii="Arial" w:hAnsi="Arial" w:cs="Arial"/>
          <w:sz w:val="20"/>
          <w:szCs w:val="20"/>
        </w:rPr>
        <w:t xml:space="preserve"> </w:t>
      </w:r>
      <w:r w:rsidRPr="00AC4AEA">
        <w:rPr>
          <w:rFonts w:ascii="Arial" w:hAnsi="Arial" w:cs="Arial"/>
          <w:sz w:val="20"/>
          <w:szCs w:val="20"/>
        </w:rPr>
        <w:t xml:space="preserve">(a) es inferior al </w:t>
      </w:r>
      <w:r w:rsidR="002E0324">
        <w:rPr>
          <w:rFonts w:ascii="Arial" w:hAnsi="Arial" w:cs="Arial"/>
          <w:sz w:val="20"/>
          <w:szCs w:val="20"/>
        </w:rPr>
        <w:t>inciso</w:t>
      </w:r>
      <w:r w:rsidR="002E0324" w:rsidRPr="00AC4AEA">
        <w:rPr>
          <w:rFonts w:ascii="Arial" w:hAnsi="Arial" w:cs="Arial"/>
          <w:sz w:val="20"/>
          <w:szCs w:val="20"/>
        </w:rPr>
        <w:t xml:space="preserve"> </w:t>
      </w:r>
      <w:r w:rsidRPr="00AC4AEA">
        <w:rPr>
          <w:rFonts w:ascii="Arial" w:hAnsi="Arial" w:cs="Arial"/>
          <w:sz w:val="20"/>
          <w:szCs w:val="20"/>
        </w:rPr>
        <w:t>(b), una adquirente:</w:t>
      </w:r>
      <w:bookmarkEnd w:id="1214"/>
      <w:r w:rsidRPr="00AC4AEA">
        <w:rPr>
          <w:rFonts w:ascii="Arial" w:hAnsi="Arial" w:cs="Arial"/>
          <w:sz w:val="20"/>
          <w:szCs w:val="20"/>
        </w:rPr>
        <w:t xml:space="preserve"> </w:t>
      </w:r>
    </w:p>
    <w:p w:rsidR="00421257" w:rsidRPr="00AC4AEA" w:rsidRDefault="00421257" w:rsidP="00C01B25">
      <w:pPr>
        <w:numPr>
          <w:ilvl w:val="0"/>
          <w:numId w:val="705"/>
        </w:numPr>
        <w:spacing w:line="264" w:lineRule="auto"/>
        <w:ind w:hanging="459"/>
        <w:jc w:val="both"/>
        <w:rPr>
          <w:rFonts w:ascii="Arial" w:hAnsi="Arial" w:cs="Arial"/>
          <w:sz w:val="20"/>
          <w:szCs w:val="20"/>
        </w:rPr>
      </w:pPr>
      <w:r w:rsidRPr="00AC4AEA">
        <w:rPr>
          <w:rFonts w:ascii="Arial" w:hAnsi="Arial" w:cs="Arial"/>
          <w:sz w:val="20"/>
          <w:szCs w:val="20"/>
        </w:rPr>
        <w:t xml:space="preserve">identificará y medirá nuevamente los </w:t>
      </w:r>
      <w:r w:rsidR="00CE13D7" w:rsidRPr="00CE13D7">
        <w:rPr>
          <w:rFonts w:ascii="Arial" w:hAnsi="Arial" w:cs="Arial"/>
          <w:bCs/>
          <w:sz w:val="20"/>
          <w:szCs w:val="20"/>
        </w:rPr>
        <w:t>activos</w:t>
      </w:r>
      <w:r w:rsidRPr="00AC4AEA">
        <w:rPr>
          <w:rFonts w:ascii="Arial" w:hAnsi="Arial" w:cs="Arial"/>
          <w:sz w:val="20"/>
          <w:szCs w:val="20"/>
        </w:rPr>
        <w:t xml:space="preserve"> y </w:t>
      </w:r>
      <w:r w:rsidR="004E1215" w:rsidRPr="004E1215">
        <w:rPr>
          <w:rFonts w:ascii="Arial" w:hAnsi="Arial" w:cs="Arial"/>
          <w:bCs/>
          <w:sz w:val="20"/>
          <w:szCs w:val="20"/>
        </w:rPr>
        <w:t>pasivos</w:t>
      </w:r>
      <w:r w:rsidRPr="00AC4AEA">
        <w:rPr>
          <w:rFonts w:ascii="Arial" w:hAnsi="Arial" w:cs="Arial"/>
          <w:sz w:val="20"/>
          <w:szCs w:val="20"/>
        </w:rPr>
        <w:t xml:space="preserve"> de la adquirida;</w:t>
      </w:r>
      <w:r w:rsidR="006F2C57">
        <w:rPr>
          <w:rFonts w:ascii="Arial" w:hAnsi="Arial" w:cs="Arial"/>
          <w:sz w:val="20"/>
          <w:szCs w:val="20"/>
        </w:rPr>
        <w:t xml:space="preserve"> </w:t>
      </w:r>
    </w:p>
    <w:p w:rsidR="00421257" w:rsidRPr="00AC4AEA" w:rsidRDefault="00421257" w:rsidP="00C01B25">
      <w:pPr>
        <w:numPr>
          <w:ilvl w:val="0"/>
          <w:numId w:val="705"/>
        </w:numPr>
        <w:spacing w:line="264" w:lineRule="auto"/>
        <w:ind w:hanging="459"/>
        <w:jc w:val="both"/>
        <w:rPr>
          <w:rFonts w:ascii="Arial" w:hAnsi="Arial" w:cs="Arial"/>
          <w:sz w:val="20"/>
          <w:szCs w:val="20"/>
        </w:rPr>
      </w:pPr>
      <w:r w:rsidRPr="00AC4AEA">
        <w:rPr>
          <w:rFonts w:ascii="Arial" w:hAnsi="Arial" w:cs="Arial"/>
          <w:sz w:val="20"/>
          <w:szCs w:val="20"/>
        </w:rPr>
        <w:t xml:space="preserve">volverá a medir el costo de la combinación; y </w:t>
      </w:r>
    </w:p>
    <w:p w:rsidR="00421257" w:rsidRPr="00AC4AEA" w:rsidRDefault="00421257" w:rsidP="00C01B25">
      <w:pPr>
        <w:numPr>
          <w:ilvl w:val="0"/>
          <w:numId w:val="705"/>
        </w:numPr>
        <w:spacing w:line="264" w:lineRule="auto"/>
        <w:ind w:hanging="459"/>
        <w:jc w:val="both"/>
        <w:rPr>
          <w:rFonts w:ascii="Arial" w:hAnsi="Arial" w:cs="Arial"/>
          <w:sz w:val="20"/>
          <w:szCs w:val="20"/>
        </w:rPr>
      </w:pPr>
      <w:r w:rsidRPr="00AC4AEA">
        <w:rPr>
          <w:rFonts w:ascii="Arial" w:hAnsi="Arial" w:cs="Arial"/>
          <w:sz w:val="20"/>
          <w:szCs w:val="20"/>
        </w:rPr>
        <w:t xml:space="preserve">reconocerá inmediatamente en el resultado del período cualquier diferencia que resulte de la nueva evaluación. </w:t>
      </w:r>
    </w:p>
    <w:p w:rsidR="00421257" w:rsidRPr="00AC4AEA" w:rsidRDefault="00421257" w:rsidP="00A318EA">
      <w:pPr>
        <w:spacing w:after="112"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215" w:name="_Toc139357048"/>
      <w:r w:rsidRPr="00AC4AEA">
        <w:rPr>
          <w:rFonts w:cs="Arial"/>
        </w:rPr>
        <w:t>Período de medición (ajustes posteriores al reconocimiento inicial)</w:t>
      </w:r>
      <w:bookmarkEnd w:id="1215"/>
      <w:r w:rsidRPr="00AC4AEA">
        <w:rPr>
          <w:rFonts w:cs="Arial"/>
        </w:rPr>
        <w:t xml:space="preserve"> </w:t>
      </w:r>
    </w:p>
    <w:p w:rsidR="00421257" w:rsidRPr="00AC4AEA" w:rsidRDefault="00421257" w:rsidP="00C01B25">
      <w:pPr>
        <w:numPr>
          <w:ilvl w:val="0"/>
          <w:numId w:val="694"/>
        </w:numPr>
        <w:spacing w:after="147" w:line="264" w:lineRule="auto"/>
        <w:ind w:left="1134" w:hanging="567"/>
        <w:jc w:val="both"/>
        <w:rPr>
          <w:rFonts w:ascii="Arial" w:eastAsia="Times New Roman" w:hAnsi="Arial" w:cs="Arial"/>
          <w:sz w:val="20"/>
          <w:szCs w:val="20"/>
          <w:lang w:eastAsia="es-AR"/>
        </w:rPr>
      </w:pPr>
      <w:r w:rsidRPr="00AC4AEA">
        <w:rPr>
          <w:rFonts w:ascii="Arial" w:hAnsi="Arial" w:cs="Arial"/>
          <w:sz w:val="20"/>
          <w:szCs w:val="20"/>
        </w:rPr>
        <w:t xml:space="preserve">Si la contabilización inicial de una combinación de negocios está incompleta al final del período </w:t>
      </w:r>
      <w:r w:rsidR="00B92FE4" w:rsidRPr="00AC4AEA">
        <w:rPr>
          <w:rFonts w:ascii="Arial" w:hAnsi="Arial" w:cs="Arial"/>
          <w:sz w:val="20"/>
          <w:szCs w:val="20"/>
        </w:rPr>
        <w:t>en que</w:t>
      </w:r>
      <w:r w:rsidRPr="00AC4AEA">
        <w:rPr>
          <w:rFonts w:ascii="Arial" w:hAnsi="Arial" w:cs="Arial"/>
          <w:sz w:val="20"/>
          <w:szCs w:val="20"/>
        </w:rPr>
        <w:t xml:space="preserve"> la combinación ocurre, una adquirente: </w:t>
      </w:r>
    </w:p>
    <w:p w:rsidR="00421257" w:rsidRPr="00AC4AEA" w:rsidRDefault="00FE2B5A" w:rsidP="00C01B25">
      <w:pPr>
        <w:numPr>
          <w:ilvl w:val="0"/>
          <w:numId w:val="706"/>
        </w:numPr>
        <w:spacing w:line="264" w:lineRule="auto"/>
        <w:ind w:hanging="318"/>
        <w:jc w:val="both"/>
        <w:rPr>
          <w:rFonts w:ascii="Arial" w:hAnsi="Arial" w:cs="Arial"/>
          <w:sz w:val="20"/>
          <w:szCs w:val="20"/>
        </w:rPr>
      </w:pPr>
      <w:r w:rsidRPr="00AC4AEA">
        <w:rPr>
          <w:rFonts w:ascii="Arial" w:hAnsi="Arial" w:cs="Arial"/>
          <w:sz w:val="20"/>
          <w:szCs w:val="20"/>
        </w:rPr>
        <w:t>A</w:t>
      </w:r>
      <w:r w:rsidR="00421257" w:rsidRPr="00AC4AEA">
        <w:rPr>
          <w:rFonts w:ascii="Arial" w:hAnsi="Arial" w:cs="Arial"/>
          <w:sz w:val="20"/>
          <w:szCs w:val="20"/>
        </w:rPr>
        <w:t xml:space="preserve"> la </w:t>
      </w:r>
      <w:r w:rsidR="00421257" w:rsidRPr="0013242A">
        <w:rPr>
          <w:rFonts w:ascii="Arial" w:hAnsi="Arial" w:cs="Arial"/>
          <w:b/>
          <w:bCs/>
          <w:sz w:val="20"/>
          <w:szCs w:val="20"/>
        </w:rPr>
        <w:t xml:space="preserve">fecha de </w:t>
      </w:r>
      <w:r w:rsidR="0054118F">
        <w:rPr>
          <w:rFonts w:ascii="Arial" w:hAnsi="Arial" w:cs="Arial"/>
          <w:b/>
          <w:bCs/>
          <w:sz w:val="20"/>
          <w:szCs w:val="20"/>
        </w:rPr>
        <w:t>los estados contables</w:t>
      </w:r>
      <w:r w:rsidR="00BC5073" w:rsidRPr="0013242A">
        <w:rPr>
          <w:rFonts w:ascii="Arial" w:hAnsi="Arial" w:cs="Arial"/>
          <w:sz w:val="20"/>
          <w:szCs w:val="20"/>
        </w:rPr>
        <w:t>,</w:t>
      </w:r>
      <w:r w:rsidR="00421257" w:rsidRPr="0013242A">
        <w:rPr>
          <w:rFonts w:ascii="Arial" w:hAnsi="Arial" w:cs="Arial"/>
          <w:sz w:val="20"/>
          <w:szCs w:val="20"/>
        </w:rPr>
        <w:t xml:space="preserve"> reconocerá los importes provisionales de las partidas cuya contabilización está incompleta</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FE2B5A" w:rsidP="00C01B25">
      <w:pPr>
        <w:numPr>
          <w:ilvl w:val="0"/>
          <w:numId w:val="706"/>
        </w:numPr>
        <w:spacing w:line="264" w:lineRule="auto"/>
        <w:ind w:hanging="318"/>
        <w:jc w:val="both"/>
        <w:rPr>
          <w:rFonts w:ascii="Arial" w:hAnsi="Arial" w:cs="Arial"/>
          <w:sz w:val="20"/>
          <w:szCs w:val="20"/>
        </w:rPr>
      </w:pPr>
      <w:r w:rsidRPr="00AC4AEA">
        <w:rPr>
          <w:rFonts w:ascii="Arial" w:hAnsi="Arial" w:cs="Arial"/>
          <w:sz w:val="20"/>
          <w:szCs w:val="20"/>
        </w:rPr>
        <w:t>E</w:t>
      </w:r>
      <w:r w:rsidR="00421257" w:rsidRPr="00AC4AEA">
        <w:rPr>
          <w:rFonts w:ascii="Arial" w:hAnsi="Arial" w:cs="Arial"/>
          <w:sz w:val="20"/>
          <w:szCs w:val="20"/>
        </w:rPr>
        <w:t xml:space="preserve">n el </w:t>
      </w:r>
      <w:r w:rsidR="00421257" w:rsidRPr="00AD600B">
        <w:rPr>
          <w:rFonts w:ascii="Arial" w:hAnsi="Arial" w:cs="Arial"/>
          <w:b/>
          <w:bCs/>
          <w:sz w:val="20"/>
          <w:szCs w:val="20"/>
        </w:rPr>
        <w:t>período de medición</w:t>
      </w:r>
      <w:r w:rsidR="00421257" w:rsidRPr="00AC4AEA">
        <w:rPr>
          <w:rFonts w:ascii="Arial" w:hAnsi="Arial" w:cs="Arial"/>
          <w:sz w:val="20"/>
          <w:szCs w:val="20"/>
        </w:rPr>
        <w:t xml:space="preserve">: </w:t>
      </w:r>
    </w:p>
    <w:p w:rsidR="00421257" w:rsidRPr="00AC4AEA" w:rsidRDefault="00421257" w:rsidP="00C01B25">
      <w:pPr>
        <w:numPr>
          <w:ilvl w:val="0"/>
          <w:numId w:val="707"/>
        </w:numPr>
        <w:spacing w:after="147" w:line="264" w:lineRule="auto"/>
        <w:ind w:hanging="643"/>
        <w:jc w:val="both"/>
        <w:rPr>
          <w:rFonts w:ascii="Arial" w:hAnsi="Arial" w:cs="Arial"/>
          <w:sz w:val="20"/>
          <w:szCs w:val="20"/>
        </w:rPr>
      </w:pPr>
      <w:r w:rsidRPr="00AC4AEA">
        <w:rPr>
          <w:rFonts w:ascii="Arial" w:hAnsi="Arial" w:cs="Arial"/>
          <w:sz w:val="20"/>
          <w:szCs w:val="20"/>
        </w:rPr>
        <w:t xml:space="preserve">ajustará los importes provisionales referidos en el inciso anterior para reflejar la nueva información obtenida sobre hechos y circunstancias que existían a la fecha de la adquisición y que, si los hubiese conocido, habrían afectado la medición de los importes reconocidos en esa fecha; </w:t>
      </w:r>
    </w:p>
    <w:p w:rsidR="00421257" w:rsidRPr="00AC4AEA" w:rsidRDefault="00421257" w:rsidP="00C01B25">
      <w:pPr>
        <w:numPr>
          <w:ilvl w:val="0"/>
          <w:numId w:val="707"/>
        </w:numPr>
        <w:spacing w:after="147" w:line="264" w:lineRule="auto"/>
        <w:ind w:hanging="643"/>
        <w:jc w:val="both"/>
        <w:rPr>
          <w:rFonts w:ascii="Arial" w:hAnsi="Arial" w:cs="Arial"/>
          <w:sz w:val="20"/>
          <w:szCs w:val="20"/>
        </w:rPr>
      </w:pPr>
      <w:r w:rsidRPr="00AC4AEA">
        <w:rPr>
          <w:rFonts w:ascii="Arial" w:hAnsi="Arial" w:cs="Arial"/>
          <w:sz w:val="20"/>
          <w:szCs w:val="20"/>
        </w:rPr>
        <w:t xml:space="preserve">reconocerá </w:t>
      </w:r>
      <w:r w:rsidR="00CE13D7" w:rsidRPr="00CE13D7">
        <w:rPr>
          <w:rFonts w:ascii="Arial" w:hAnsi="Arial" w:cs="Arial"/>
          <w:bCs/>
          <w:sz w:val="20"/>
          <w:szCs w:val="20"/>
        </w:rPr>
        <w:t>activos</w:t>
      </w:r>
      <w:r w:rsidRPr="00AC4AEA">
        <w:rPr>
          <w:rFonts w:ascii="Arial" w:hAnsi="Arial" w:cs="Arial"/>
          <w:sz w:val="20"/>
          <w:szCs w:val="20"/>
        </w:rPr>
        <w:t xml:space="preserve"> y </w:t>
      </w:r>
      <w:r w:rsidR="004E1215" w:rsidRPr="004E1215">
        <w:rPr>
          <w:rFonts w:ascii="Arial" w:hAnsi="Arial" w:cs="Arial"/>
          <w:bCs/>
          <w:sz w:val="20"/>
          <w:szCs w:val="20"/>
        </w:rPr>
        <w:t>pasivos</w:t>
      </w:r>
      <w:r w:rsidRPr="00AC4AEA">
        <w:rPr>
          <w:rFonts w:ascii="Arial" w:hAnsi="Arial" w:cs="Arial"/>
          <w:sz w:val="20"/>
          <w:szCs w:val="20"/>
        </w:rPr>
        <w:t xml:space="preserve"> adicionales si obtiene nueva información sobre hechos y circunstancias que existían a la fecha de la adquisición y que, si los hubiese conocido, habrían resultado en el reconocimiento de esos activos y pasivos a esa fecha; y </w:t>
      </w:r>
    </w:p>
    <w:p w:rsidR="00421257" w:rsidRPr="00AC4AEA" w:rsidRDefault="00421257" w:rsidP="00C01B25">
      <w:pPr>
        <w:numPr>
          <w:ilvl w:val="0"/>
          <w:numId w:val="707"/>
        </w:numPr>
        <w:spacing w:after="147" w:line="264" w:lineRule="auto"/>
        <w:ind w:hanging="643"/>
        <w:jc w:val="both"/>
        <w:rPr>
          <w:rFonts w:ascii="Arial" w:hAnsi="Arial" w:cs="Arial"/>
          <w:sz w:val="20"/>
          <w:szCs w:val="20"/>
        </w:rPr>
      </w:pPr>
      <w:r w:rsidRPr="00AC4AEA">
        <w:rPr>
          <w:rFonts w:ascii="Arial" w:hAnsi="Arial" w:cs="Arial"/>
          <w:sz w:val="20"/>
          <w:szCs w:val="20"/>
        </w:rPr>
        <w:t xml:space="preserve">corregirá, como consecuencia de las tareas especificadas en los incisos anteriores, la medición contable asignada inicialmente a la llave de negocio o a la </w:t>
      </w:r>
      <w:r w:rsidRPr="00A94103">
        <w:rPr>
          <w:rFonts w:ascii="Arial" w:hAnsi="Arial" w:cs="Arial"/>
          <w:b/>
          <w:bCs/>
          <w:sz w:val="20"/>
          <w:szCs w:val="20"/>
        </w:rPr>
        <w:t xml:space="preserve">ganancia </w:t>
      </w:r>
      <w:r w:rsidRPr="00AC4AEA">
        <w:rPr>
          <w:rFonts w:ascii="Arial" w:hAnsi="Arial" w:cs="Arial"/>
          <w:sz w:val="20"/>
          <w:szCs w:val="20"/>
        </w:rPr>
        <w:t>por una compra en términos muy ventajosos, según corresponda</w:t>
      </w:r>
      <w:r w:rsidR="00FE2B5A" w:rsidRPr="00AC4AEA">
        <w:rPr>
          <w:rFonts w:ascii="Arial" w:hAnsi="Arial" w:cs="Arial"/>
          <w:sz w:val="20"/>
          <w:szCs w:val="20"/>
        </w:rPr>
        <w:t>.</w:t>
      </w:r>
      <w:r w:rsidRPr="00AC4AEA">
        <w:rPr>
          <w:rFonts w:ascii="Arial" w:hAnsi="Arial" w:cs="Arial"/>
          <w:sz w:val="20"/>
          <w:szCs w:val="20"/>
        </w:rPr>
        <w:t xml:space="preserve"> </w:t>
      </w:r>
    </w:p>
    <w:p w:rsidR="00421257" w:rsidRPr="00AC4AEA" w:rsidRDefault="00FE2B5A" w:rsidP="00C01B25">
      <w:pPr>
        <w:numPr>
          <w:ilvl w:val="0"/>
          <w:numId w:val="706"/>
        </w:numPr>
        <w:spacing w:line="264" w:lineRule="auto"/>
        <w:ind w:hanging="318"/>
        <w:jc w:val="both"/>
        <w:rPr>
          <w:rFonts w:ascii="Arial" w:hAnsi="Arial" w:cs="Arial"/>
          <w:sz w:val="20"/>
          <w:szCs w:val="20"/>
        </w:rPr>
      </w:pPr>
      <w:r w:rsidRPr="00AC4AEA">
        <w:rPr>
          <w:rFonts w:ascii="Arial" w:hAnsi="Arial" w:cs="Arial"/>
          <w:sz w:val="20"/>
          <w:szCs w:val="20"/>
        </w:rPr>
        <w:t>C</w:t>
      </w:r>
      <w:r w:rsidR="00421257" w:rsidRPr="00AC4AEA">
        <w:rPr>
          <w:rFonts w:ascii="Arial" w:hAnsi="Arial" w:cs="Arial"/>
          <w:sz w:val="20"/>
          <w:szCs w:val="20"/>
        </w:rPr>
        <w:t xml:space="preserve">on posterioridad al </w:t>
      </w:r>
      <w:r w:rsidR="00421257" w:rsidRPr="00AD600B">
        <w:rPr>
          <w:rFonts w:ascii="Arial" w:hAnsi="Arial" w:cs="Arial"/>
          <w:b/>
          <w:bCs/>
          <w:sz w:val="20"/>
          <w:szCs w:val="20"/>
        </w:rPr>
        <w:t>período de medición</w:t>
      </w:r>
      <w:r w:rsidR="00421257" w:rsidRPr="00AC4AEA">
        <w:rPr>
          <w:rFonts w:ascii="Arial" w:hAnsi="Arial" w:cs="Arial"/>
          <w:sz w:val="20"/>
          <w:szCs w:val="20"/>
        </w:rPr>
        <w:t xml:space="preserve">, reconocerá, si correspondiera, ajustes a la contabilización inicial de una combinación de negocios únicamente para corregir errores u omisiones de períodos anteriores de acuerdo con el párrafo </w:t>
      </w:r>
      <w:fldSimple w:instr=" REF _Ref135765006 \r \h  \* MERGEFORMAT ">
        <w:r w:rsidR="00D33A5D" w:rsidRPr="00D33A5D">
          <w:rPr>
            <w:rFonts w:ascii="Arial" w:hAnsi="Arial" w:cs="Arial"/>
            <w:sz w:val="20"/>
            <w:szCs w:val="20"/>
          </w:rPr>
          <w:t>92</w:t>
        </w:r>
      </w:fldSimple>
      <w:r w:rsidR="00421257" w:rsidRPr="00AC4AEA">
        <w:rPr>
          <w:rFonts w:ascii="Arial" w:hAnsi="Arial" w:cs="Arial"/>
          <w:sz w:val="20"/>
          <w:szCs w:val="20"/>
        </w:rPr>
        <w:t xml:space="preserve">. </w:t>
      </w:r>
    </w:p>
    <w:p w:rsidR="00421257" w:rsidRPr="00AC4AEA" w:rsidRDefault="00421257" w:rsidP="00A318EA">
      <w:pPr>
        <w:spacing w:after="112" w:line="256" w:lineRule="auto"/>
        <w:rPr>
          <w:rFonts w:ascii="Arial" w:hAnsi="Arial" w:cs="Arial"/>
          <w:sz w:val="20"/>
          <w:szCs w:val="20"/>
        </w:rPr>
      </w:pPr>
      <w:r w:rsidRPr="00AC4AEA">
        <w:rPr>
          <w:rFonts w:ascii="Arial" w:hAnsi="Arial" w:cs="Arial"/>
          <w:sz w:val="20"/>
          <w:szCs w:val="20"/>
        </w:rPr>
        <w:lastRenderedPageBreak/>
        <w:t xml:space="preserve"> </w:t>
      </w:r>
    </w:p>
    <w:p w:rsidR="00421257" w:rsidRPr="00AC4AEA" w:rsidRDefault="00421257" w:rsidP="00A318EA">
      <w:pPr>
        <w:pStyle w:val="Ttulo2"/>
        <w:rPr>
          <w:rFonts w:cs="Arial"/>
        </w:rPr>
      </w:pPr>
      <w:bookmarkStart w:id="1216" w:name="_Toc139357049"/>
      <w:r w:rsidRPr="00AC4AEA">
        <w:rPr>
          <w:rFonts w:cs="Arial"/>
        </w:rPr>
        <w:t>Combinación de negocios realizada por etapas</w:t>
      </w:r>
      <w:bookmarkEnd w:id="1216"/>
      <w:r w:rsidRPr="00AC4AEA">
        <w:rPr>
          <w:rFonts w:cs="Arial"/>
        </w:rPr>
        <w:t xml:space="preserve"> </w:t>
      </w:r>
    </w:p>
    <w:p w:rsidR="00421257" w:rsidRPr="00AC4AEA" w:rsidRDefault="00421257" w:rsidP="00C01B25">
      <w:pPr>
        <w:numPr>
          <w:ilvl w:val="0"/>
          <w:numId w:val="694"/>
        </w:numPr>
        <w:spacing w:after="147" w:line="264" w:lineRule="auto"/>
        <w:ind w:left="993" w:hanging="567"/>
        <w:jc w:val="both"/>
        <w:rPr>
          <w:rFonts w:ascii="Arial" w:eastAsia="Times New Roman" w:hAnsi="Arial" w:cs="Arial"/>
          <w:sz w:val="20"/>
          <w:szCs w:val="20"/>
          <w:lang w:eastAsia="es-AR"/>
        </w:rPr>
      </w:pPr>
      <w:bookmarkStart w:id="1217" w:name="_Ref135764722"/>
      <w:r w:rsidRPr="00AC4AEA">
        <w:rPr>
          <w:rFonts w:ascii="Arial" w:hAnsi="Arial" w:cs="Arial"/>
          <w:sz w:val="20"/>
          <w:szCs w:val="20"/>
        </w:rPr>
        <w:t xml:space="preserve">Cuando obtenga el control de una adquirida en la que tenía una participación en el </w:t>
      </w:r>
      <w:r w:rsidRPr="008826C7">
        <w:rPr>
          <w:rFonts w:ascii="Arial" w:hAnsi="Arial" w:cs="Arial"/>
          <w:b/>
          <w:bCs/>
          <w:sz w:val="20"/>
          <w:szCs w:val="20"/>
        </w:rPr>
        <w:t>patrimonio neto</w:t>
      </w:r>
      <w:r w:rsidRPr="00AC4AEA">
        <w:rPr>
          <w:rFonts w:ascii="Arial" w:hAnsi="Arial" w:cs="Arial"/>
          <w:sz w:val="20"/>
          <w:szCs w:val="20"/>
        </w:rPr>
        <w:t xml:space="preserve"> antes de la fecha de la adquisición, una adquirente:</w:t>
      </w:r>
      <w:bookmarkEnd w:id="1217"/>
      <w:r w:rsidR="006F2C57">
        <w:rPr>
          <w:rFonts w:ascii="Arial" w:hAnsi="Arial" w:cs="Arial"/>
          <w:sz w:val="20"/>
          <w:szCs w:val="20"/>
        </w:rPr>
        <w:t xml:space="preserve"> </w:t>
      </w:r>
    </w:p>
    <w:p w:rsidR="00421257" w:rsidRPr="00AC4AEA" w:rsidRDefault="00421257" w:rsidP="00C01B25">
      <w:pPr>
        <w:numPr>
          <w:ilvl w:val="0"/>
          <w:numId w:val="708"/>
        </w:numPr>
        <w:spacing w:line="264" w:lineRule="auto"/>
        <w:ind w:hanging="459"/>
        <w:jc w:val="both"/>
        <w:rPr>
          <w:rFonts w:ascii="Arial" w:hAnsi="Arial" w:cs="Arial"/>
          <w:sz w:val="20"/>
          <w:szCs w:val="20"/>
        </w:rPr>
      </w:pPr>
      <w:r w:rsidRPr="00AC4AEA">
        <w:rPr>
          <w:rFonts w:ascii="Arial" w:hAnsi="Arial" w:cs="Arial"/>
          <w:sz w:val="20"/>
          <w:szCs w:val="20"/>
        </w:rPr>
        <w:t xml:space="preserve">medirá nuevamente su participación anterior por su </w:t>
      </w:r>
      <w:r w:rsidRPr="00AC4AEA">
        <w:rPr>
          <w:rFonts w:ascii="Arial" w:hAnsi="Arial" w:cs="Arial"/>
          <w:b/>
          <w:bCs/>
          <w:sz w:val="20"/>
          <w:szCs w:val="20"/>
        </w:rPr>
        <w:t>valor razonable</w:t>
      </w:r>
      <w:r w:rsidRPr="00AC4AEA">
        <w:rPr>
          <w:rFonts w:ascii="Arial" w:hAnsi="Arial" w:cs="Arial"/>
          <w:sz w:val="20"/>
          <w:szCs w:val="20"/>
        </w:rPr>
        <w:t xml:space="preserve"> en la </w:t>
      </w:r>
      <w:r w:rsidRPr="00AA50D9">
        <w:rPr>
          <w:rFonts w:ascii="Arial" w:hAnsi="Arial" w:cs="Arial"/>
          <w:b/>
          <w:bCs/>
          <w:sz w:val="20"/>
          <w:szCs w:val="20"/>
        </w:rPr>
        <w:t>fecha de adquisición</w:t>
      </w:r>
      <w:r w:rsidRPr="00AC4AEA">
        <w:rPr>
          <w:rFonts w:ascii="Arial" w:hAnsi="Arial" w:cs="Arial"/>
          <w:sz w:val="20"/>
          <w:szCs w:val="20"/>
        </w:rPr>
        <w:t>; y</w:t>
      </w:r>
      <w:r w:rsidR="006F2C57">
        <w:rPr>
          <w:rFonts w:ascii="Arial" w:hAnsi="Arial" w:cs="Arial"/>
          <w:sz w:val="20"/>
          <w:szCs w:val="20"/>
        </w:rPr>
        <w:t xml:space="preserve"> </w:t>
      </w:r>
    </w:p>
    <w:p w:rsidR="00421257" w:rsidRPr="00AC4AEA" w:rsidRDefault="00421257" w:rsidP="00C01B25">
      <w:pPr>
        <w:numPr>
          <w:ilvl w:val="0"/>
          <w:numId w:val="708"/>
        </w:numPr>
        <w:spacing w:line="264" w:lineRule="auto"/>
        <w:ind w:hanging="459"/>
        <w:jc w:val="both"/>
        <w:rPr>
          <w:rFonts w:ascii="Arial" w:hAnsi="Arial" w:cs="Arial"/>
          <w:sz w:val="20"/>
          <w:szCs w:val="20"/>
        </w:rPr>
      </w:pPr>
      <w:r w:rsidRPr="00AC4AEA">
        <w:rPr>
          <w:rFonts w:ascii="Arial" w:hAnsi="Arial" w:cs="Arial"/>
          <w:sz w:val="20"/>
          <w:szCs w:val="20"/>
        </w:rPr>
        <w:t xml:space="preserve">reconocerá la </w:t>
      </w:r>
      <w:r w:rsidRPr="00A94103">
        <w:rPr>
          <w:rFonts w:ascii="Arial" w:hAnsi="Arial" w:cs="Arial"/>
          <w:b/>
          <w:bCs/>
          <w:sz w:val="20"/>
          <w:szCs w:val="20"/>
        </w:rPr>
        <w:t xml:space="preserve">ganancia </w:t>
      </w:r>
      <w:r w:rsidRPr="00AC4AEA">
        <w:rPr>
          <w:rFonts w:ascii="Arial" w:hAnsi="Arial" w:cs="Arial"/>
          <w:sz w:val="20"/>
          <w:szCs w:val="20"/>
        </w:rPr>
        <w:t xml:space="preserve">o </w:t>
      </w:r>
      <w:r w:rsidRPr="00A94103">
        <w:rPr>
          <w:rFonts w:ascii="Arial" w:hAnsi="Arial" w:cs="Arial"/>
          <w:b/>
          <w:bCs/>
          <w:sz w:val="20"/>
          <w:szCs w:val="20"/>
        </w:rPr>
        <w:t>pérdida</w:t>
      </w:r>
      <w:r w:rsidRPr="00AC4AEA">
        <w:rPr>
          <w:rFonts w:ascii="Arial" w:hAnsi="Arial" w:cs="Arial"/>
          <w:sz w:val="20"/>
          <w:szCs w:val="20"/>
        </w:rPr>
        <w:t xml:space="preserve"> resultante, si la hubiera, en el resultado del período. </w:t>
      </w:r>
    </w:p>
    <w:p w:rsidR="00421257" w:rsidRPr="00AC4AEA" w:rsidRDefault="00421257" w:rsidP="00A318EA">
      <w:pPr>
        <w:spacing w:after="148"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218" w:name="_Toc139357050"/>
      <w:r w:rsidRPr="00AC4AEA">
        <w:rPr>
          <w:rFonts w:cs="Arial"/>
        </w:rPr>
        <w:t>Medición posterior de la llave de negocio</w:t>
      </w:r>
      <w:bookmarkEnd w:id="1218"/>
      <w:r w:rsidRPr="00AC4AEA">
        <w:rPr>
          <w:rFonts w:cs="Arial"/>
        </w:rPr>
        <w:t xml:space="preserve"> </w:t>
      </w:r>
    </w:p>
    <w:p w:rsidR="00421257" w:rsidRPr="00AC4AEA" w:rsidRDefault="00421257" w:rsidP="00A318EA">
      <w:pPr>
        <w:pStyle w:val="Ttulo4"/>
      </w:pPr>
      <w:r w:rsidRPr="00AC4AEA">
        <w:t xml:space="preserve">Tratamiento general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Después del reconocimiento inicial, una adquirente medirá la llave de negocio: </w:t>
      </w:r>
    </w:p>
    <w:p w:rsidR="00421257" w:rsidRPr="00AC4AEA" w:rsidRDefault="00421257" w:rsidP="00C01B25">
      <w:pPr>
        <w:numPr>
          <w:ilvl w:val="0"/>
          <w:numId w:val="709"/>
        </w:numPr>
        <w:spacing w:line="264" w:lineRule="auto"/>
        <w:ind w:hanging="459"/>
        <w:jc w:val="both"/>
        <w:rPr>
          <w:rFonts w:ascii="Arial" w:hAnsi="Arial" w:cs="Arial"/>
          <w:sz w:val="20"/>
          <w:szCs w:val="20"/>
        </w:rPr>
      </w:pPr>
      <w:r w:rsidRPr="00AC4AEA">
        <w:rPr>
          <w:rFonts w:ascii="Arial" w:hAnsi="Arial" w:cs="Arial"/>
          <w:sz w:val="20"/>
          <w:szCs w:val="20"/>
        </w:rPr>
        <w:t xml:space="preserve">a su </w:t>
      </w:r>
      <w:r w:rsidRPr="00EC48D4">
        <w:rPr>
          <w:rFonts w:ascii="Arial" w:hAnsi="Arial" w:cs="Arial"/>
          <w:b/>
          <w:bCs/>
          <w:sz w:val="20"/>
          <w:szCs w:val="20"/>
        </w:rPr>
        <w:t>costo original</w:t>
      </w:r>
      <w:r w:rsidRPr="00AC4AEA">
        <w:rPr>
          <w:rFonts w:ascii="Arial" w:hAnsi="Arial" w:cs="Arial"/>
          <w:sz w:val="20"/>
          <w:szCs w:val="20"/>
        </w:rPr>
        <w:t xml:space="preserve"> menos amortizaciones y desvalorizaciones acumuladas, si le asignó una vida útil definida; o </w:t>
      </w:r>
    </w:p>
    <w:p w:rsidR="00421257" w:rsidRPr="00AC4AEA" w:rsidRDefault="00421257" w:rsidP="00C01B25">
      <w:pPr>
        <w:numPr>
          <w:ilvl w:val="0"/>
          <w:numId w:val="709"/>
        </w:numPr>
        <w:spacing w:line="264" w:lineRule="auto"/>
        <w:ind w:hanging="459"/>
        <w:jc w:val="both"/>
        <w:rPr>
          <w:rFonts w:ascii="Arial" w:hAnsi="Arial" w:cs="Arial"/>
          <w:sz w:val="20"/>
          <w:szCs w:val="20"/>
        </w:rPr>
      </w:pPr>
      <w:r w:rsidRPr="00AC4AEA">
        <w:rPr>
          <w:rFonts w:ascii="Arial" w:hAnsi="Arial" w:cs="Arial"/>
          <w:sz w:val="20"/>
          <w:szCs w:val="20"/>
        </w:rPr>
        <w:t xml:space="preserve">a su </w:t>
      </w:r>
      <w:r w:rsidRPr="00EC48D4">
        <w:rPr>
          <w:rFonts w:ascii="Arial" w:hAnsi="Arial" w:cs="Arial"/>
          <w:b/>
          <w:bCs/>
          <w:sz w:val="20"/>
          <w:szCs w:val="20"/>
        </w:rPr>
        <w:t>costo original</w:t>
      </w:r>
      <w:r w:rsidRPr="00AC4AEA">
        <w:rPr>
          <w:rFonts w:ascii="Arial" w:hAnsi="Arial" w:cs="Arial"/>
          <w:sz w:val="20"/>
          <w:szCs w:val="20"/>
        </w:rPr>
        <w:t xml:space="preserve"> menos desvalorizaciones acumuladas, en el caso contrario.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Una adquirente revisará tanto la medición inicial como la amortización acumulada de la llave de negocio si, con posterioridad a la </w:t>
      </w:r>
      <w:r w:rsidRPr="00AA50D9">
        <w:rPr>
          <w:rFonts w:ascii="Arial" w:hAnsi="Arial" w:cs="Arial"/>
          <w:b/>
          <w:bCs/>
          <w:sz w:val="20"/>
          <w:szCs w:val="20"/>
        </w:rPr>
        <w:t>fecha de adquisición</w:t>
      </w:r>
      <w:r w:rsidRPr="00AC4AEA">
        <w:rPr>
          <w:rFonts w:ascii="Arial" w:hAnsi="Arial" w:cs="Arial"/>
          <w:sz w:val="20"/>
          <w:szCs w:val="20"/>
        </w:rPr>
        <w:t xml:space="preserve">, ajusta: </w:t>
      </w:r>
    </w:p>
    <w:p w:rsidR="00421257" w:rsidRPr="00AC4AEA" w:rsidRDefault="006468A4" w:rsidP="00C01B25">
      <w:pPr>
        <w:numPr>
          <w:ilvl w:val="0"/>
          <w:numId w:val="710"/>
        </w:numPr>
        <w:spacing w:line="264" w:lineRule="auto"/>
        <w:ind w:hanging="459"/>
        <w:jc w:val="both"/>
        <w:rPr>
          <w:rFonts w:ascii="Arial" w:hAnsi="Arial" w:cs="Arial"/>
          <w:sz w:val="20"/>
          <w:szCs w:val="20"/>
        </w:rPr>
      </w:pPr>
      <w:r w:rsidRPr="00AC4AEA">
        <w:rPr>
          <w:rFonts w:ascii="Arial" w:hAnsi="Arial" w:cs="Arial"/>
          <w:sz w:val="20"/>
          <w:szCs w:val="20"/>
        </w:rPr>
        <w:t>el costo</w:t>
      </w:r>
      <w:r w:rsidR="00421257" w:rsidRPr="00AC4AEA">
        <w:rPr>
          <w:rFonts w:ascii="Arial" w:hAnsi="Arial" w:cs="Arial"/>
          <w:sz w:val="20"/>
          <w:szCs w:val="20"/>
        </w:rPr>
        <w:t xml:space="preserve"> de la combinación; o </w:t>
      </w:r>
    </w:p>
    <w:p w:rsidR="00421257" w:rsidRPr="00AC4AEA" w:rsidRDefault="00421257" w:rsidP="00C01B25">
      <w:pPr>
        <w:numPr>
          <w:ilvl w:val="0"/>
          <w:numId w:val="710"/>
        </w:numPr>
        <w:spacing w:line="264" w:lineRule="auto"/>
        <w:ind w:hanging="459"/>
        <w:jc w:val="both"/>
        <w:rPr>
          <w:rFonts w:ascii="Arial" w:hAnsi="Arial" w:cs="Arial"/>
          <w:sz w:val="20"/>
          <w:szCs w:val="20"/>
        </w:rPr>
      </w:pPr>
      <w:r w:rsidRPr="00AC4AEA">
        <w:rPr>
          <w:rFonts w:ascii="Arial" w:hAnsi="Arial" w:cs="Arial"/>
          <w:sz w:val="20"/>
          <w:szCs w:val="20"/>
        </w:rPr>
        <w:t xml:space="preserve">las mediciones iniciales de los </w:t>
      </w:r>
      <w:r w:rsidRPr="00AC4AEA">
        <w:rPr>
          <w:rFonts w:ascii="Arial" w:hAnsi="Arial" w:cs="Arial"/>
          <w:b/>
          <w:bCs/>
          <w:sz w:val="20"/>
          <w:szCs w:val="20"/>
        </w:rPr>
        <w:t>activos</w:t>
      </w:r>
      <w:r w:rsidR="006468A4" w:rsidRPr="00AC4AEA">
        <w:rPr>
          <w:rFonts w:ascii="Arial" w:hAnsi="Arial" w:cs="Arial"/>
          <w:sz w:val="20"/>
          <w:szCs w:val="20"/>
        </w:rPr>
        <w:t xml:space="preserve"> </w:t>
      </w:r>
      <w:r w:rsidR="006468A4" w:rsidRPr="00AC4AEA">
        <w:rPr>
          <w:rFonts w:ascii="Arial" w:hAnsi="Arial" w:cs="Arial"/>
          <w:b/>
          <w:bCs/>
          <w:sz w:val="20"/>
          <w:szCs w:val="20"/>
        </w:rPr>
        <w:t>identificables</w:t>
      </w:r>
      <w:r w:rsidRPr="00AC4AEA">
        <w:rPr>
          <w:rFonts w:ascii="Arial" w:hAnsi="Arial" w:cs="Arial"/>
          <w:sz w:val="20"/>
          <w:szCs w:val="20"/>
        </w:rPr>
        <w:t xml:space="preserve"> adquiridos </w:t>
      </w:r>
      <w:r w:rsidR="006468A4" w:rsidRPr="00AC4AEA">
        <w:rPr>
          <w:rFonts w:ascii="Arial" w:hAnsi="Arial" w:cs="Arial"/>
          <w:sz w:val="20"/>
          <w:szCs w:val="20"/>
        </w:rPr>
        <w:t>o</w:t>
      </w:r>
      <w:r w:rsidRPr="00AC4AEA">
        <w:rPr>
          <w:rFonts w:ascii="Arial" w:hAnsi="Arial" w:cs="Arial"/>
          <w:sz w:val="20"/>
          <w:szCs w:val="20"/>
        </w:rPr>
        <w:t xml:space="preserve"> los </w:t>
      </w:r>
      <w:r w:rsidR="004E1215" w:rsidRPr="004E1215">
        <w:rPr>
          <w:rFonts w:ascii="Arial" w:hAnsi="Arial" w:cs="Arial"/>
          <w:bCs/>
          <w:sz w:val="20"/>
          <w:szCs w:val="20"/>
        </w:rPr>
        <w:t>pasivos</w:t>
      </w:r>
      <w:r w:rsidRPr="00AC4AEA">
        <w:rPr>
          <w:rFonts w:ascii="Arial" w:hAnsi="Arial" w:cs="Arial"/>
          <w:sz w:val="20"/>
          <w:szCs w:val="20"/>
        </w:rPr>
        <w:t xml:space="preserve"> asumidos, de acuerdo con los requerimientos de la presente sección.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Si la llave de negocio de negocio tiene vida útil indefinida, una adquirente:</w:t>
      </w:r>
      <w:r w:rsidR="006F2C57">
        <w:rPr>
          <w:rFonts w:ascii="Arial" w:hAnsi="Arial" w:cs="Arial"/>
          <w:sz w:val="20"/>
          <w:szCs w:val="20"/>
        </w:rPr>
        <w:t xml:space="preserve"> </w:t>
      </w:r>
    </w:p>
    <w:p w:rsidR="00421257" w:rsidRPr="00AC4AEA" w:rsidRDefault="00421257" w:rsidP="00C01B25">
      <w:pPr>
        <w:numPr>
          <w:ilvl w:val="0"/>
          <w:numId w:val="711"/>
        </w:numPr>
        <w:spacing w:line="264" w:lineRule="auto"/>
        <w:ind w:hanging="459"/>
        <w:jc w:val="both"/>
        <w:rPr>
          <w:rFonts w:ascii="Arial" w:hAnsi="Arial" w:cs="Arial"/>
          <w:sz w:val="20"/>
          <w:szCs w:val="20"/>
        </w:rPr>
      </w:pPr>
      <w:r w:rsidRPr="00AC4AEA">
        <w:rPr>
          <w:rFonts w:ascii="Arial" w:hAnsi="Arial" w:cs="Arial"/>
          <w:sz w:val="20"/>
          <w:szCs w:val="20"/>
        </w:rPr>
        <w:t>evaluará anualmente si los hechos y circunstancias justifican mantener esa asignación de vida útil;</w:t>
      </w:r>
      <w:r w:rsidR="006F2C57">
        <w:rPr>
          <w:rFonts w:ascii="Arial" w:hAnsi="Arial" w:cs="Arial"/>
          <w:sz w:val="20"/>
          <w:szCs w:val="20"/>
        </w:rPr>
        <w:t xml:space="preserve"> </w:t>
      </w:r>
    </w:p>
    <w:p w:rsidR="00421257" w:rsidRPr="00AC4AEA" w:rsidRDefault="00421257" w:rsidP="00C01B25">
      <w:pPr>
        <w:numPr>
          <w:ilvl w:val="0"/>
          <w:numId w:val="711"/>
        </w:numPr>
        <w:spacing w:line="264" w:lineRule="auto"/>
        <w:ind w:hanging="459"/>
        <w:jc w:val="both"/>
        <w:rPr>
          <w:rFonts w:ascii="Arial" w:hAnsi="Arial" w:cs="Arial"/>
          <w:sz w:val="20"/>
          <w:szCs w:val="20"/>
        </w:rPr>
      </w:pPr>
      <w:r w:rsidRPr="00AC4AEA">
        <w:rPr>
          <w:rFonts w:ascii="Arial" w:hAnsi="Arial" w:cs="Arial"/>
          <w:sz w:val="20"/>
          <w:szCs w:val="20"/>
        </w:rPr>
        <w:t xml:space="preserve">revelará las causas que justifican la asignación de una vida útil indefinida; y </w:t>
      </w:r>
    </w:p>
    <w:p w:rsidR="00421257" w:rsidRPr="00AC4AEA" w:rsidRDefault="00421257" w:rsidP="00C01B25">
      <w:pPr>
        <w:numPr>
          <w:ilvl w:val="0"/>
          <w:numId w:val="711"/>
        </w:numPr>
        <w:spacing w:line="264" w:lineRule="auto"/>
        <w:ind w:hanging="459"/>
        <w:jc w:val="both"/>
        <w:rPr>
          <w:rFonts w:ascii="Arial" w:hAnsi="Arial" w:cs="Arial"/>
          <w:sz w:val="20"/>
          <w:szCs w:val="20"/>
        </w:rPr>
      </w:pPr>
      <w:r w:rsidRPr="00AC4AEA">
        <w:rPr>
          <w:rFonts w:ascii="Arial" w:hAnsi="Arial" w:cs="Arial"/>
          <w:sz w:val="20"/>
          <w:szCs w:val="20"/>
        </w:rPr>
        <w:t>comparará anualmente su medición contable con el respectivo valor recuperable</w:t>
      </w:r>
      <w:r w:rsidR="007445CF" w:rsidRPr="00AC4AEA">
        <w:rPr>
          <w:rFonts w:ascii="Arial" w:hAnsi="Arial" w:cs="Arial"/>
          <w:sz w:val="20"/>
          <w:szCs w:val="20"/>
        </w:rPr>
        <w:t>, de acuerdo con lo establecido en la sección “</w:t>
      </w:r>
      <w:r w:rsidR="007445CF" w:rsidRPr="00AC4AEA">
        <w:rPr>
          <w:rFonts w:ascii="Arial" w:hAnsi="Arial" w:cs="Arial"/>
          <w:sz w:val="20"/>
          <w:szCs w:val="20"/>
          <w:u w:val="single"/>
        </w:rPr>
        <w:t xml:space="preserve">Comparación de la medición de ciertos activos </w:t>
      </w:r>
      <w:r w:rsidR="00953A03" w:rsidRPr="00AC4AEA">
        <w:rPr>
          <w:rFonts w:ascii="Arial" w:hAnsi="Arial" w:cs="Arial"/>
          <w:sz w:val="20"/>
          <w:szCs w:val="20"/>
          <w:u w:val="single"/>
        </w:rPr>
        <w:t>con su valor recuperable</w:t>
      </w:r>
      <w:r w:rsidR="00953A03" w:rsidRPr="00AC4AEA">
        <w:rPr>
          <w:rFonts w:ascii="Arial" w:hAnsi="Arial" w:cs="Arial"/>
          <w:sz w:val="20"/>
          <w:szCs w:val="20"/>
        </w:rPr>
        <w:t>”</w:t>
      </w:r>
      <w:r w:rsidR="00446C68" w:rsidRPr="00AC4AEA">
        <w:rPr>
          <w:rFonts w:ascii="Arial" w:hAnsi="Arial" w:cs="Arial"/>
          <w:sz w:val="20"/>
          <w:szCs w:val="20"/>
        </w:rPr>
        <w:t xml:space="preserve"> [ver los párrafos</w:t>
      </w:r>
      <w:r w:rsidR="00CF4E4E" w:rsidRPr="00AC4AEA">
        <w:rPr>
          <w:rFonts w:ascii="Arial" w:hAnsi="Arial" w:cs="Arial"/>
          <w:sz w:val="20"/>
          <w:szCs w:val="20"/>
        </w:rPr>
        <w:t xml:space="preserve"> </w:t>
      </w:r>
      <w:fldSimple w:instr=" REF _Ref99481071 \r \h  \* MERGEFORMAT ">
        <w:r w:rsidR="00D33A5D" w:rsidRPr="00D33A5D">
          <w:rPr>
            <w:rFonts w:ascii="Arial" w:hAnsi="Arial" w:cs="Arial"/>
            <w:sz w:val="20"/>
            <w:szCs w:val="20"/>
          </w:rPr>
          <w:t>145</w:t>
        </w:r>
      </w:fldSimple>
      <w:r w:rsidR="00CF4E4E" w:rsidRPr="00AC4AEA">
        <w:rPr>
          <w:rFonts w:ascii="Arial" w:hAnsi="Arial" w:cs="Arial"/>
          <w:sz w:val="20"/>
          <w:szCs w:val="20"/>
        </w:rPr>
        <w:t xml:space="preserve"> a </w:t>
      </w:r>
      <w:fldSimple w:instr=" REF _Ref99481072 \r \h  \* MERGEFORMAT ">
        <w:r w:rsidR="00D33A5D" w:rsidRPr="00D33A5D">
          <w:rPr>
            <w:rFonts w:ascii="Arial" w:hAnsi="Arial" w:cs="Arial"/>
            <w:sz w:val="20"/>
            <w:szCs w:val="20"/>
          </w:rPr>
          <w:t>175</w:t>
        </w:r>
      </w:fldSimple>
      <w:r w:rsidR="00CF4E4E" w:rsidRPr="00AC4AEA">
        <w:rPr>
          <w:rFonts w:ascii="Arial" w:hAnsi="Arial" w:cs="Arial"/>
          <w:sz w:val="20"/>
          <w:szCs w:val="20"/>
        </w:rPr>
        <w:t>]</w:t>
      </w:r>
      <w:r w:rsidRPr="00AC4AEA">
        <w:rPr>
          <w:rFonts w:ascii="Arial" w:hAnsi="Arial" w:cs="Arial"/>
          <w:sz w:val="20"/>
          <w:szCs w:val="20"/>
        </w:rPr>
        <w:t xml:space="preserve">.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 xml:space="preserve">Si de la consideración de los hechos y circunstancias referidos en el párrafo anterior, una adquirente llega a la conclusión de que debe asignarle a la llave de negocio una vida útil definida, aplicará las disposiciones sobre un cambio en la estimación contable debido a la obtención de nuevos elementos de juicio, de acuerdo con </w:t>
      </w:r>
      <w:r w:rsidR="00BF75C2" w:rsidRPr="00AC4AEA">
        <w:rPr>
          <w:rFonts w:ascii="Arial" w:hAnsi="Arial" w:cs="Arial"/>
          <w:sz w:val="20"/>
          <w:szCs w:val="20"/>
        </w:rPr>
        <w:t>lo establecido en</w:t>
      </w:r>
      <w:r w:rsidRPr="00AC4AEA">
        <w:rPr>
          <w:rFonts w:ascii="Arial" w:hAnsi="Arial" w:cs="Arial"/>
          <w:sz w:val="20"/>
          <w:szCs w:val="20"/>
        </w:rPr>
        <w:t xml:space="preserve"> esta Resolución Técnica. </w:t>
      </w:r>
    </w:p>
    <w:p w:rsidR="00421257" w:rsidRPr="00AC4AEA" w:rsidRDefault="00421257" w:rsidP="00A318EA">
      <w:pPr>
        <w:spacing w:after="112"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Amortizaciones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19" w:name="_Ref135736812"/>
      <w:r w:rsidRPr="00AC4AEA">
        <w:rPr>
          <w:rFonts w:ascii="Arial" w:hAnsi="Arial" w:cs="Arial"/>
          <w:sz w:val="20"/>
          <w:szCs w:val="20"/>
        </w:rPr>
        <w:t>Una adquirente calculará la amortización de la llave de negocio:</w:t>
      </w:r>
      <w:bookmarkEnd w:id="1219"/>
      <w:r w:rsidR="006F2C57">
        <w:rPr>
          <w:rFonts w:ascii="Arial" w:hAnsi="Arial" w:cs="Arial"/>
          <w:sz w:val="20"/>
          <w:szCs w:val="20"/>
        </w:rPr>
        <w:t xml:space="preserve"> </w:t>
      </w:r>
    </w:p>
    <w:p w:rsidR="00421257" w:rsidRPr="00AC4AEA" w:rsidRDefault="00421257" w:rsidP="00C01B25">
      <w:pPr>
        <w:numPr>
          <w:ilvl w:val="0"/>
          <w:numId w:val="712"/>
        </w:numPr>
        <w:spacing w:line="264" w:lineRule="auto"/>
        <w:ind w:hanging="459"/>
        <w:jc w:val="both"/>
        <w:rPr>
          <w:rFonts w:ascii="Arial" w:hAnsi="Arial" w:cs="Arial"/>
          <w:sz w:val="20"/>
          <w:szCs w:val="20"/>
        </w:rPr>
      </w:pPr>
      <w:r w:rsidRPr="00AC4AEA">
        <w:rPr>
          <w:rFonts w:ascii="Arial" w:hAnsi="Arial" w:cs="Arial"/>
          <w:sz w:val="20"/>
          <w:szCs w:val="20"/>
        </w:rPr>
        <w:lastRenderedPageBreak/>
        <w:t xml:space="preserve">Sobre una base sistemática a lo largo de su vida útil, la que debería representar la mejor estimación del período durante el cual se espera recibir beneficios económicos provenientes de la llave. </w:t>
      </w:r>
    </w:p>
    <w:p w:rsidR="00421257" w:rsidRPr="00AC4AEA" w:rsidRDefault="00421257" w:rsidP="00C01B25">
      <w:pPr>
        <w:numPr>
          <w:ilvl w:val="0"/>
          <w:numId w:val="712"/>
        </w:numPr>
        <w:spacing w:line="264" w:lineRule="auto"/>
        <w:ind w:hanging="459"/>
        <w:jc w:val="both"/>
        <w:rPr>
          <w:rFonts w:ascii="Arial" w:hAnsi="Arial" w:cs="Arial"/>
          <w:sz w:val="20"/>
          <w:szCs w:val="20"/>
        </w:rPr>
      </w:pPr>
      <w:r w:rsidRPr="00AC4AEA">
        <w:rPr>
          <w:rFonts w:ascii="Arial" w:hAnsi="Arial" w:cs="Arial"/>
          <w:sz w:val="20"/>
          <w:szCs w:val="20"/>
        </w:rPr>
        <w:t xml:space="preserve">Con el método de la línea recta, excepto que existan evidencias de la existencia de otro método que es más adecuado a las circunstancias. </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20" w:name="_Ref135736814"/>
      <w:r w:rsidRPr="00AC4AEA">
        <w:rPr>
          <w:rFonts w:ascii="Arial" w:hAnsi="Arial" w:cs="Arial"/>
          <w:sz w:val="20"/>
          <w:szCs w:val="20"/>
        </w:rPr>
        <w:t>Para la estimación de la vida útil, una adquirente considerará, entre otros factores:</w:t>
      </w:r>
      <w:bookmarkEnd w:id="1220"/>
      <w:r w:rsidRPr="00AC4AEA">
        <w:rPr>
          <w:rFonts w:ascii="Arial" w:hAnsi="Arial" w:cs="Arial"/>
          <w:sz w:val="20"/>
          <w:szCs w:val="20"/>
        </w:rPr>
        <w:t xml:space="preserve"> </w:t>
      </w:r>
    </w:p>
    <w:p w:rsidR="00421257" w:rsidRPr="00AC4AEA" w:rsidRDefault="00421257" w:rsidP="00C01B25">
      <w:pPr>
        <w:numPr>
          <w:ilvl w:val="0"/>
          <w:numId w:val="713"/>
        </w:numPr>
        <w:spacing w:line="264" w:lineRule="auto"/>
        <w:ind w:hanging="459"/>
        <w:jc w:val="both"/>
        <w:rPr>
          <w:rFonts w:ascii="Arial" w:hAnsi="Arial" w:cs="Arial"/>
          <w:sz w:val="20"/>
          <w:szCs w:val="20"/>
        </w:rPr>
      </w:pPr>
      <w:r w:rsidRPr="00AC4AEA">
        <w:rPr>
          <w:rFonts w:ascii="Arial" w:hAnsi="Arial" w:cs="Arial"/>
          <w:sz w:val="20"/>
          <w:szCs w:val="20"/>
        </w:rPr>
        <w:t xml:space="preserve">la naturaleza y vida previsible del negocio adquirido; </w:t>
      </w:r>
    </w:p>
    <w:p w:rsidR="00421257" w:rsidRPr="00AC4AEA" w:rsidRDefault="00421257" w:rsidP="00C01B25">
      <w:pPr>
        <w:numPr>
          <w:ilvl w:val="0"/>
          <w:numId w:val="713"/>
        </w:numPr>
        <w:spacing w:line="264" w:lineRule="auto"/>
        <w:ind w:hanging="459"/>
        <w:jc w:val="both"/>
        <w:rPr>
          <w:rFonts w:ascii="Arial" w:hAnsi="Arial" w:cs="Arial"/>
          <w:sz w:val="20"/>
          <w:szCs w:val="20"/>
        </w:rPr>
      </w:pPr>
      <w:r w:rsidRPr="00AC4AEA">
        <w:rPr>
          <w:rFonts w:ascii="Arial" w:hAnsi="Arial" w:cs="Arial"/>
          <w:sz w:val="20"/>
          <w:szCs w:val="20"/>
        </w:rPr>
        <w:t xml:space="preserve">la estabilidad y vida previsible del correspondiente ramo de la industria; </w:t>
      </w:r>
    </w:p>
    <w:p w:rsidR="00421257" w:rsidRPr="00AC4AEA" w:rsidRDefault="00421257" w:rsidP="00C01B25">
      <w:pPr>
        <w:numPr>
          <w:ilvl w:val="0"/>
          <w:numId w:val="713"/>
        </w:numPr>
        <w:spacing w:line="264" w:lineRule="auto"/>
        <w:ind w:hanging="459"/>
        <w:jc w:val="both"/>
        <w:rPr>
          <w:rFonts w:ascii="Arial" w:hAnsi="Arial" w:cs="Arial"/>
          <w:sz w:val="20"/>
          <w:szCs w:val="20"/>
        </w:rPr>
      </w:pPr>
      <w:r w:rsidRPr="00AC4AEA">
        <w:rPr>
          <w:rFonts w:ascii="Arial" w:hAnsi="Arial" w:cs="Arial"/>
          <w:sz w:val="20"/>
          <w:szCs w:val="20"/>
        </w:rPr>
        <w:t xml:space="preserve">la información pública sobre las características de la llave en negocios o industrias similares y sobre los ciclos de vida de negocios similares; </w:t>
      </w:r>
    </w:p>
    <w:p w:rsidR="00421257" w:rsidRPr="00AC4AEA" w:rsidRDefault="00421257" w:rsidP="00C01B25">
      <w:pPr>
        <w:numPr>
          <w:ilvl w:val="0"/>
          <w:numId w:val="713"/>
        </w:numPr>
        <w:spacing w:line="264" w:lineRule="auto"/>
        <w:ind w:hanging="459"/>
        <w:jc w:val="both"/>
        <w:rPr>
          <w:rFonts w:ascii="Arial" w:hAnsi="Arial" w:cs="Arial"/>
          <w:sz w:val="20"/>
          <w:szCs w:val="20"/>
        </w:rPr>
      </w:pPr>
      <w:r w:rsidRPr="00AC4AEA">
        <w:rPr>
          <w:rFonts w:ascii="Arial" w:hAnsi="Arial" w:cs="Arial"/>
          <w:sz w:val="20"/>
          <w:szCs w:val="20"/>
        </w:rPr>
        <w:t xml:space="preserve">los efectos que sobre el negocio adquirido tengan la obsolescencia de productos, los cambios en la demanda y otros factores económicos; </w:t>
      </w:r>
    </w:p>
    <w:p w:rsidR="00421257" w:rsidRPr="00AC4AEA" w:rsidRDefault="00421257" w:rsidP="00C01B25">
      <w:pPr>
        <w:numPr>
          <w:ilvl w:val="0"/>
          <w:numId w:val="713"/>
        </w:numPr>
        <w:spacing w:line="264" w:lineRule="auto"/>
        <w:ind w:hanging="459"/>
        <w:jc w:val="both"/>
        <w:rPr>
          <w:rFonts w:ascii="Arial" w:hAnsi="Arial" w:cs="Arial"/>
          <w:sz w:val="20"/>
          <w:szCs w:val="20"/>
        </w:rPr>
      </w:pPr>
      <w:r w:rsidRPr="00AC4AEA">
        <w:rPr>
          <w:rFonts w:ascii="Arial" w:hAnsi="Arial" w:cs="Arial"/>
          <w:sz w:val="20"/>
          <w:szCs w:val="20"/>
        </w:rPr>
        <w:t xml:space="preserve">las expectativas que puedan existir acerca del manejo eficiente del negocio por parte de un grupo gerencial distinto al actual; </w:t>
      </w:r>
    </w:p>
    <w:p w:rsidR="00421257" w:rsidRPr="00AC4AEA" w:rsidRDefault="00421257" w:rsidP="00C01B25">
      <w:pPr>
        <w:numPr>
          <w:ilvl w:val="0"/>
          <w:numId w:val="713"/>
        </w:numPr>
        <w:spacing w:line="264" w:lineRule="auto"/>
        <w:ind w:hanging="459"/>
        <w:jc w:val="both"/>
        <w:rPr>
          <w:rFonts w:ascii="Arial" w:hAnsi="Arial" w:cs="Arial"/>
          <w:sz w:val="20"/>
          <w:szCs w:val="20"/>
        </w:rPr>
      </w:pPr>
      <w:r w:rsidRPr="00AC4AEA">
        <w:rPr>
          <w:rFonts w:ascii="Arial" w:hAnsi="Arial" w:cs="Arial"/>
          <w:sz w:val="20"/>
          <w:szCs w:val="20"/>
        </w:rPr>
        <w:t xml:space="preserve">la factibilidad de mantener el nivel de desembolsos necesario para la obtención de los futuros beneficios económicos por parte del negocio adquirido; </w:t>
      </w:r>
    </w:p>
    <w:p w:rsidR="00421257" w:rsidRPr="00AC4AEA" w:rsidRDefault="00421257" w:rsidP="00C01B25">
      <w:pPr>
        <w:numPr>
          <w:ilvl w:val="0"/>
          <w:numId w:val="713"/>
        </w:numPr>
        <w:spacing w:line="264" w:lineRule="auto"/>
        <w:ind w:hanging="459"/>
        <w:jc w:val="both"/>
        <w:rPr>
          <w:rFonts w:ascii="Arial" w:hAnsi="Arial" w:cs="Arial"/>
          <w:sz w:val="20"/>
          <w:szCs w:val="20"/>
        </w:rPr>
      </w:pPr>
      <w:r w:rsidRPr="00AC4AEA">
        <w:rPr>
          <w:rFonts w:ascii="Arial" w:hAnsi="Arial" w:cs="Arial"/>
          <w:sz w:val="20"/>
          <w:szCs w:val="20"/>
        </w:rPr>
        <w:t xml:space="preserve">las acciones esperadas por parte de competidores actuales o potenciales; y </w:t>
      </w:r>
    </w:p>
    <w:p w:rsidR="00421257" w:rsidRPr="00AC4AEA" w:rsidRDefault="00421257" w:rsidP="00C01B25">
      <w:pPr>
        <w:numPr>
          <w:ilvl w:val="0"/>
          <w:numId w:val="713"/>
        </w:numPr>
        <w:spacing w:line="264" w:lineRule="auto"/>
        <w:ind w:hanging="459"/>
        <w:jc w:val="both"/>
        <w:rPr>
          <w:rFonts w:ascii="Arial" w:hAnsi="Arial" w:cs="Arial"/>
          <w:sz w:val="20"/>
          <w:szCs w:val="20"/>
        </w:rPr>
      </w:pPr>
      <w:r w:rsidRPr="00AC4AEA">
        <w:rPr>
          <w:rFonts w:ascii="Arial" w:hAnsi="Arial" w:cs="Arial"/>
          <w:sz w:val="20"/>
          <w:szCs w:val="20"/>
        </w:rPr>
        <w:t xml:space="preserve">el período de control sobre el negocio adquirido y las disposiciones legales o contractuales que afecten su vida útil. </w:t>
      </w:r>
    </w:p>
    <w:p w:rsidR="00421257" w:rsidRPr="00AC4AEA" w:rsidRDefault="00421257" w:rsidP="00A318EA">
      <w:pPr>
        <w:spacing w:line="256" w:lineRule="auto"/>
        <w:ind w:left="146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221" w:name="_Toc139357051"/>
      <w:r w:rsidRPr="00AC4AEA">
        <w:rPr>
          <w:rFonts w:cs="Arial"/>
        </w:rPr>
        <w:t>Revelación en notas</w:t>
      </w:r>
      <w:bookmarkEnd w:id="1221"/>
      <w:r w:rsidRPr="00AC4AEA">
        <w:rPr>
          <w:rFonts w:cs="Arial"/>
        </w:rPr>
        <w:t xml:space="preserve"> </w:t>
      </w:r>
    </w:p>
    <w:p w:rsidR="00421257" w:rsidRPr="00AC4AEA" w:rsidRDefault="00421257" w:rsidP="00C01B25">
      <w:pPr>
        <w:numPr>
          <w:ilvl w:val="0"/>
          <w:numId w:val="694"/>
        </w:numPr>
        <w:spacing w:after="147" w:line="264" w:lineRule="auto"/>
        <w:ind w:left="993" w:hanging="567"/>
        <w:jc w:val="both"/>
        <w:rPr>
          <w:rFonts w:ascii="Arial" w:eastAsia="Times New Roman" w:hAnsi="Arial" w:cs="Arial"/>
          <w:sz w:val="20"/>
          <w:szCs w:val="20"/>
          <w:lang w:eastAsia="es-AR"/>
        </w:rPr>
      </w:pPr>
      <w:r w:rsidRPr="00AC4AEA">
        <w:rPr>
          <w:rFonts w:ascii="Arial" w:hAnsi="Arial" w:cs="Arial"/>
          <w:sz w:val="20"/>
          <w:szCs w:val="20"/>
        </w:rPr>
        <w:t xml:space="preserve">En los períodos en que se produzcan combinaciones de negocios, una adquirente informará: </w:t>
      </w:r>
    </w:p>
    <w:p w:rsidR="00421257" w:rsidRPr="00AC4AEA" w:rsidRDefault="003C246F"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el</w:t>
      </w:r>
      <w:r w:rsidR="00421257" w:rsidRPr="00AC4AEA">
        <w:rPr>
          <w:rFonts w:ascii="Arial" w:hAnsi="Arial" w:cs="Arial"/>
          <w:sz w:val="20"/>
          <w:szCs w:val="20"/>
        </w:rPr>
        <w:t xml:space="preserve"> nombre y </w:t>
      </w:r>
      <w:r w:rsidRPr="00AC4AEA">
        <w:rPr>
          <w:rFonts w:ascii="Arial" w:hAnsi="Arial" w:cs="Arial"/>
          <w:sz w:val="20"/>
          <w:szCs w:val="20"/>
        </w:rPr>
        <w:t xml:space="preserve">la </w:t>
      </w:r>
      <w:r w:rsidR="00421257" w:rsidRPr="00AC4AEA">
        <w:rPr>
          <w:rFonts w:ascii="Arial" w:hAnsi="Arial" w:cs="Arial"/>
          <w:sz w:val="20"/>
          <w:szCs w:val="20"/>
        </w:rPr>
        <w:t>descripci</w:t>
      </w:r>
      <w:r w:rsidRPr="00AC4AEA">
        <w:rPr>
          <w:rFonts w:ascii="Arial" w:hAnsi="Arial" w:cs="Arial"/>
          <w:sz w:val="20"/>
          <w:szCs w:val="20"/>
        </w:rPr>
        <w:t>ón</w:t>
      </w:r>
      <w:r w:rsidR="00421257" w:rsidRPr="00AC4AEA">
        <w:rPr>
          <w:rFonts w:ascii="Arial" w:hAnsi="Arial" w:cs="Arial"/>
          <w:sz w:val="20"/>
          <w:szCs w:val="20"/>
        </w:rPr>
        <w:t xml:space="preserve"> de</w:t>
      </w:r>
      <w:r w:rsidR="007927BF" w:rsidRPr="00AC4AEA">
        <w:rPr>
          <w:rFonts w:ascii="Arial" w:hAnsi="Arial" w:cs="Arial"/>
          <w:sz w:val="20"/>
          <w:szCs w:val="20"/>
        </w:rPr>
        <w:t xml:space="preserve"> cualquier negocio adquirido</w:t>
      </w:r>
      <w:r w:rsidR="00421257" w:rsidRPr="00AC4AEA">
        <w:rPr>
          <w:rFonts w:ascii="Arial" w:hAnsi="Arial" w:cs="Arial"/>
          <w:sz w:val="20"/>
          <w:szCs w:val="20"/>
        </w:rPr>
        <w:t xml:space="preserve">; </w:t>
      </w:r>
    </w:p>
    <w:p w:rsidR="00421257" w:rsidRPr="00AC4AEA" w:rsidRDefault="00421257"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 xml:space="preserve">la fecha </w:t>
      </w:r>
      <w:r w:rsidR="007927BF" w:rsidRPr="00AC4AEA">
        <w:rPr>
          <w:rFonts w:ascii="Arial" w:hAnsi="Arial" w:cs="Arial"/>
          <w:sz w:val="20"/>
          <w:szCs w:val="20"/>
        </w:rPr>
        <w:t>de la adquisición</w:t>
      </w:r>
      <w:r w:rsidRPr="00AC4AEA">
        <w:rPr>
          <w:rFonts w:ascii="Arial" w:hAnsi="Arial" w:cs="Arial"/>
          <w:sz w:val="20"/>
          <w:szCs w:val="20"/>
        </w:rPr>
        <w:t xml:space="preserve">; </w:t>
      </w:r>
    </w:p>
    <w:p w:rsidR="00421257" w:rsidRPr="00AC4AEA" w:rsidRDefault="003C246F"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cualquier</w:t>
      </w:r>
      <w:r w:rsidR="00421257" w:rsidRPr="00AC4AEA">
        <w:rPr>
          <w:rFonts w:ascii="Arial" w:hAnsi="Arial" w:cs="Arial"/>
          <w:sz w:val="20"/>
          <w:szCs w:val="20"/>
        </w:rPr>
        <w:t xml:space="preserve"> operaci</w:t>
      </w:r>
      <w:r w:rsidRPr="00AC4AEA">
        <w:rPr>
          <w:rFonts w:ascii="Arial" w:hAnsi="Arial" w:cs="Arial"/>
          <w:sz w:val="20"/>
          <w:szCs w:val="20"/>
        </w:rPr>
        <w:t>ón</w:t>
      </w:r>
      <w:r w:rsidR="00421257" w:rsidRPr="00AC4AEA">
        <w:rPr>
          <w:rFonts w:ascii="Arial" w:hAnsi="Arial" w:cs="Arial"/>
          <w:sz w:val="20"/>
          <w:szCs w:val="20"/>
        </w:rPr>
        <w:t xml:space="preserve"> que, con motivo de la combinación, decidió descontinuar; </w:t>
      </w:r>
    </w:p>
    <w:p w:rsidR="00421257" w:rsidRPr="00AC4AEA" w:rsidRDefault="00421257"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 xml:space="preserve">en su caso, el porcentaje de acciones con voto adquirido; </w:t>
      </w:r>
    </w:p>
    <w:p w:rsidR="00E70121" w:rsidRPr="00AC4AEA" w:rsidRDefault="00045B9E"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 xml:space="preserve">los conceptos incluidos para determinar </w:t>
      </w:r>
      <w:r w:rsidR="00421257" w:rsidRPr="00AC4AEA">
        <w:rPr>
          <w:rFonts w:ascii="Arial" w:hAnsi="Arial" w:cs="Arial"/>
          <w:sz w:val="20"/>
          <w:szCs w:val="20"/>
        </w:rPr>
        <w:t xml:space="preserve">el costo de la </w:t>
      </w:r>
      <w:r w:rsidRPr="00AC4AEA">
        <w:rPr>
          <w:rFonts w:ascii="Arial" w:hAnsi="Arial" w:cs="Arial"/>
          <w:sz w:val="20"/>
          <w:szCs w:val="20"/>
        </w:rPr>
        <w:t>combinación de negocios</w:t>
      </w:r>
      <w:r w:rsidR="00421257" w:rsidRPr="00AC4AEA">
        <w:rPr>
          <w:rFonts w:ascii="Arial" w:hAnsi="Arial" w:cs="Arial"/>
          <w:sz w:val="20"/>
          <w:szCs w:val="20"/>
        </w:rPr>
        <w:t xml:space="preserve"> y sus posibles ajustes</w:t>
      </w:r>
      <w:r w:rsidR="00E70121" w:rsidRPr="00AC4AEA">
        <w:rPr>
          <w:rFonts w:ascii="Arial" w:hAnsi="Arial" w:cs="Arial"/>
          <w:sz w:val="20"/>
          <w:szCs w:val="20"/>
        </w:rPr>
        <w:t>;</w:t>
      </w:r>
    </w:p>
    <w:p w:rsidR="00421257" w:rsidRPr="00AC4AEA" w:rsidRDefault="002019B0"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 xml:space="preserve">los </w:t>
      </w:r>
      <w:r w:rsidRPr="00A17CD3">
        <w:rPr>
          <w:rFonts w:ascii="Arial" w:hAnsi="Arial" w:cs="Arial"/>
          <w:b/>
          <w:bCs/>
          <w:sz w:val="20"/>
          <w:szCs w:val="20"/>
        </w:rPr>
        <w:t>activos identificables</w:t>
      </w:r>
      <w:r w:rsidRPr="00AC4AEA">
        <w:rPr>
          <w:rFonts w:ascii="Arial" w:hAnsi="Arial" w:cs="Arial"/>
          <w:sz w:val="20"/>
          <w:szCs w:val="20"/>
        </w:rPr>
        <w:t xml:space="preserve"> adquiridos y los pasivos asumidos de la adquiridas que fueron objeto de reconocimiento en la fecha de la adquisición, junto con sus correspondientes importes;</w:t>
      </w:r>
    </w:p>
    <w:p w:rsidR="002019B0" w:rsidRPr="00AC4AEA" w:rsidRDefault="003A47A1"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 xml:space="preserve">el importe de cualquier </w:t>
      </w:r>
      <w:r w:rsidRPr="00A94103">
        <w:rPr>
          <w:rFonts w:ascii="Arial" w:hAnsi="Arial" w:cs="Arial"/>
          <w:b/>
          <w:bCs/>
          <w:sz w:val="20"/>
          <w:szCs w:val="20"/>
        </w:rPr>
        <w:t xml:space="preserve">ganancia </w:t>
      </w:r>
      <w:r w:rsidRPr="00AC4AEA">
        <w:rPr>
          <w:rFonts w:ascii="Arial" w:hAnsi="Arial" w:cs="Arial"/>
          <w:sz w:val="20"/>
          <w:szCs w:val="20"/>
        </w:rPr>
        <w:t xml:space="preserve">por compra en términos ventajosos, reconocida de acuerdo con lo establecido en el párrafo </w:t>
      </w:r>
      <w:fldSimple w:instr=" REF _Ref135766975 \r \h  \* MERGEFORMAT ">
        <w:r w:rsidR="00D33A5D" w:rsidRPr="00D33A5D">
          <w:rPr>
            <w:rFonts w:ascii="Arial" w:hAnsi="Arial" w:cs="Arial"/>
            <w:sz w:val="20"/>
            <w:szCs w:val="20"/>
          </w:rPr>
          <w:t>979</w:t>
        </w:r>
      </w:fldSimple>
      <w:r w:rsidRPr="00AC4AEA">
        <w:rPr>
          <w:rFonts w:ascii="Arial" w:hAnsi="Arial" w:cs="Arial"/>
          <w:sz w:val="20"/>
          <w:szCs w:val="20"/>
        </w:rPr>
        <w:t>;</w:t>
      </w:r>
    </w:p>
    <w:p w:rsidR="003A47A1" w:rsidRPr="00AC4AEA" w:rsidRDefault="005F44F2"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lastRenderedPageBreak/>
        <w:t>una descripción cualitativa de los factores generadores de la llave de negocio reconocida, como sinergias esperadas de la combinación de negocios o activos intangibles no reconocidos;</w:t>
      </w:r>
    </w:p>
    <w:p w:rsidR="005F44F2" w:rsidRPr="00AC4AEA" w:rsidRDefault="005F44F2"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 xml:space="preserve">la vida útil de la llave de negocio (junto con los factores considerados al determinarla) y la reconciliación del importe en libros al inicio y al cierre, y la línea del estado de resultados donde se imputó la amortización de este </w:t>
      </w:r>
      <w:r w:rsidRPr="00CE20E1">
        <w:rPr>
          <w:rFonts w:ascii="Arial" w:hAnsi="Arial" w:cs="Arial"/>
          <w:b/>
          <w:bCs/>
          <w:sz w:val="20"/>
          <w:szCs w:val="20"/>
        </w:rPr>
        <w:t>activo;</w:t>
      </w:r>
      <w:r w:rsidRPr="00AC4AEA">
        <w:rPr>
          <w:rFonts w:ascii="Arial" w:hAnsi="Arial" w:cs="Arial"/>
          <w:sz w:val="20"/>
          <w:szCs w:val="20"/>
        </w:rPr>
        <w:t xml:space="preserve"> y</w:t>
      </w:r>
    </w:p>
    <w:p w:rsidR="005F44F2" w:rsidRPr="00AC4AEA" w:rsidRDefault="005F44F2" w:rsidP="00C01B25">
      <w:pPr>
        <w:numPr>
          <w:ilvl w:val="0"/>
          <w:numId w:val="714"/>
        </w:numPr>
        <w:spacing w:line="264" w:lineRule="auto"/>
        <w:ind w:hanging="459"/>
        <w:jc w:val="both"/>
        <w:rPr>
          <w:rFonts w:ascii="Arial" w:hAnsi="Arial" w:cs="Arial"/>
          <w:sz w:val="20"/>
          <w:szCs w:val="20"/>
        </w:rPr>
      </w:pPr>
      <w:r w:rsidRPr="00AC4AEA">
        <w:rPr>
          <w:rFonts w:ascii="Arial" w:hAnsi="Arial" w:cs="Arial"/>
          <w:sz w:val="20"/>
          <w:szCs w:val="20"/>
        </w:rPr>
        <w:t>se la amortización de la llave de negocio se computó por un método distinto al de la línea recta, la base utilizada y las razones por las cuales se consideró más adecuado tal tratamiento.</w:t>
      </w:r>
    </w:p>
    <w:p w:rsidR="00421257" w:rsidRPr="00AC4AEA" w:rsidRDefault="00421257" w:rsidP="00C01B25">
      <w:pPr>
        <w:numPr>
          <w:ilvl w:val="0"/>
          <w:numId w:val="694"/>
        </w:numPr>
        <w:spacing w:after="147" w:line="264" w:lineRule="auto"/>
        <w:ind w:left="993" w:hanging="567"/>
        <w:jc w:val="both"/>
        <w:rPr>
          <w:rFonts w:ascii="Arial" w:hAnsi="Arial" w:cs="Arial"/>
          <w:sz w:val="20"/>
          <w:szCs w:val="20"/>
        </w:rPr>
      </w:pPr>
      <w:bookmarkStart w:id="1222" w:name="_Ref135068151"/>
      <w:r w:rsidRPr="00AC4AEA">
        <w:rPr>
          <w:rFonts w:ascii="Arial" w:hAnsi="Arial" w:cs="Arial"/>
          <w:sz w:val="20"/>
          <w:szCs w:val="20"/>
        </w:rPr>
        <w:t xml:space="preserve">Una adquirente suministrará la información referida en el párrafo anterior respecto de las combinaciones de negocios efectuadas después de la </w:t>
      </w:r>
      <w:r w:rsidRPr="00AC4AEA">
        <w:rPr>
          <w:rFonts w:ascii="Arial" w:hAnsi="Arial" w:cs="Arial"/>
          <w:b/>
          <w:bCs/>
          <w:sz w:val="20"/>
          <w:szCs w:val="20"/>
        </w:rPr>
        <w:t>fecha de los estados contables</w:t>
      </w:r>
      <w:r w:rsidRPr="00AC4AEA">
        <w:rPr>
          <w:rFonts w:ascii="Arial" w:hAnsi="Arial" w:cs="Arial"/>
          <w:sz w:val="20"/>
          <w:szCs w:val="20"/>
        </w:rPr>
        <w:t xml:space="preserve">, pero antes de su emisión. Si esto le resultara imposible, una entidad revelará tal imposibilidad en notas a los </w:t>
      </w:r>
      <w:r w:rsidRPr="00AC4AEA">
        <w:rPr>
          <w:rFonts w:ascii="Arial" w:hAnsi="Arial" w:cs="Arial"/>
          <w:b/>
          <w:bCs/>
          <w:sz w:val="20"/>
          <w:szCs w:val="20"/>
        </w:rPr>
        <w:t>estados contables</w:t>
      </w:r>
      <w:r w:rsidRPr="00AC4AEA">
        <w:rPr>
          <w:rFonts w:ascii="Arial" w:hAnsi="Arial" w:cs="Arial"/>
          <w:sz w:val="20"/>
          <w:szCs w:val="20"/>
        </w:rPr>
        <w:t>.</w:t>
      </w:r>
      <w:bookmarkEnd w:id="1222"/>
      <w:r w:rsidRPr="00AC4AEA">
        <w:rPr>
          <w:rFonts w:ascii="Arial" w:hAnsi="Arial" w:cs="Arial"/>
          <w:sz w:val="20"/>
          <w:szCs w:val="20"/>
        </w:rPr>
        <w:t xml:space="preserve"> </w:t>
      </w:r>
    </w:p>
    <w:p w:rsidR="00044E2E" w:rsidRPr="00AC4AEA" w:rsidRDefault="00044E2E" w:rsidP="00A318EA">
      <w:pPr>
        <w:pStyle w:val="Ttulo1"/>
        <w:rPr>
          <w:rFonts w:cs="Arial"/>
          <w:sz w:val="20"/>
          <w:szCs w:val="20"/>
        </w:rPr>
      </w:pPr>
    </w:p>
    <w:p w:rsidR="00421257" w:rsidRPr="00AC4AEA" w:rsidRDefault="00421257" w:rsidP="00A318EA">
      <w:pPr>
        <w:pStyle w:val="Ttulo1"/>
        <w:rPr>
          <w:rFonts w:cs="Arial"/>
          <w:sz w:val="20"/>
          <w:szCs w:val="20"/>
        </w:rPr>
      </w:pPr>
      <w:bookmarkStart w:id="1223" w:name="_Toc139357052"/>
      <w:r w:rsidRPr="00AC4AEA">
        <w:rPr>
          <w:rFonts w:cs="Arial"/>
          <w:sz w:val="20"/>
          <w:szCs w:val="20"/>
        </w:rPr>
        <w:t>INSTRUMENTOS DERIVADOS Y OPERACIONES DE COBERTURA</w:t>
      </w:r>
      <w:bookmarkEnd w:id="1223"/>
      <w:r w:rsidR="006F2C57">
        <w:rPr>
          <w:rFonts w:cs="Arial"/>
          <w:sz w:val="20"/>
          <w:szCs w:val="20"/>
        </w:rPr>
        <w:t xml:space="preserve"> </w:t>
      </w:r>
    </w:p>
    <w:p w:rsidR="00421257" w:rsidRPr="00AC4AEA" w:rsidRDefault="00421257" w:rsidP="00A318EA">
      <w:pPr>
        <w:pStyle w:val="Ttulo2"/>
        <w:rPr>
          <w:rFonts w:cs="Arial"/>
        </w:rPr>
      </w:pPr>
      <w:bookmarkStart w:id="1224" w:name="_Toc139357053"/>
      <w:r w:rsidRPr="00AC4AEA">
        <w:rPr>
          <w:rFonts w:cs="Arial"/>
        </w:rPr>
        <w:t>Objetivo</w:t>
      </w:r>
      <w:bookmarkEnd w:id="1224"/>
      <w:r w:rsidRPr="00AC4AEA">
        <w:rPr>
          <w:rFonts w:cs="Arial"/>
        </w:rPr>
        <w:t xml:space="preserve"> </w:t>
      </w:r>
    </w:p>
    <w:p w:rsidR="00421257" w:rsidRPr="00AC4AEA" w:rsidRDefault="00421257" w:rsidP="00C01B25">
      <w:pPr>
        <w:numPr>
          <w:ilvl w:val="0"/>
          <w:numId w:val="694"/>
        </w:numPr>
        <w:spacing w:after="147" w:line="264" w:lineRule="auto"/>
        <w:ind w:left="993" w:hanging="567"/>
        <w:jc w:val="both"/>
        <w:rPr>
          <w:rFonts w:ascii="Arial" w:eastAsia="Times New Roman" w:hAnsi="Arial" w:cs="Arial"/>
          <w:sz w:val="20"/>
          <w:szCs w:val="20"/>
          <w:lang w:eastAsia="es-AR"/>
        </w:rPr>
      </w:pPr>
      <w:bookmarkStart w:id="1225" w:name="_Ref132036276"/>
      <w:r w:rsidRPr="00AC4AEA">
        <w:rPr>
          <w:rFonts w:ascii="Arial" w:hAnsi="Arial" w:cs="Arial"/>
          <w:sz w:val="20"/>
          <w:szCs w:val="20"/>
        </w:rPr>
        <w:t>El objetivo de la presente sección es prescribir las normas específicas de reconocimiento, medición y presentación correspondiente a instrumentos derivados y operaciones de cobertura.</w:t>
      </w:r>
      <w:bookmarkEnd w:id="1225"/>
      <w:r w:rsidRPr="00AC4AEA">
        <w:rPr>
          <w:rFonts w:ascii="Arial" w:hAnsi="Arial" w:cs="Arial"/>
          <w:sz w:val="20"/>
          <w:szCs w:val="20"/>
        </w:rPr>
        <w:t xml:space="preserve"> </w:t>
      </w:r>
    </w:p>
    <w:tbl>
      <w:tblPr>
        <w:tblStyle w:val="Tablaconcuadrcula"/>
        <w:tblW w:w="8500" w:type="dxa"/>
        <w:tblLook w:val="04A0"/>
      </w:tblPr>
      <w:tblGrid>
        <w:gridCol w:w="8500"/>
      </w:tblGrid>
      <w:tr w:rsidR="00731A33" w:rsidRPr="00AC4AEA" w:rsidTr="00132F4D">
        <w:trPr>
          <w:tblHeader/>
        </w:trPr>
        <w:tc>
          <w:tcPr>
            <w:tcW w:w="8500" w:type="dxa"/>
          </w:tcPr>
          <w:p w:rsidR="00AA157C" w:rsidRPr="00AC4AEA" w:rsidRDefault="00B44057" w:rsidP="00AA157C">
            <w:pPr>
              <w:spacing w:after="147" w:line="264" w:lineRule="auto"/>
              <w:rPr>
                <w:rFonts w:ascii="Arial" w:hAnsi="Arial" w:cs="Arial"/>
                <w:color w:val="00B050"/>
                <w:sz w:val="20"/>
                <w:szCs w:val="20"/>
              </w:rPr>
            </w:pPr>
            <w:r w:rsidRPr="00AC4AEA">
              <w:rPr>
                <w:rFonts w:ascii="Arial" w:eastAsia="Times New Roman" w:hAnsi="Arial" w:cs="Arial"/>
                <w:color w:val="00B050"/>
                <w:sz w:val="20"/>
                <w:szCs w:val="20"/>
                <w:lang w:eastAsia="es-AR"/>
              </w:rPr>
              <w:t>Aclaración (texto no integrante de la presente Resolución Técnica)</w:t>
            </w:r>
          </w:p>
        </w:tc>
      </w:tr>
      <w:tr w:rsidR="00731A33" w:rsidRPr="00AC4AEA" w:rsidTr="00132F4D">
        <w:tc>
          <w:tcPr>
            <w:tcW w:w="8500" w:type="dxa"/>
          </w:tcPr>
          <w:p w:rsidR="00E23F45" w:rsidRPr="00AC4AEA" w:rsidRDefault="00E23F45" w:rsidP="00AA157C">
            <w:pPr>
              <w:spacing w:after="147" w:line="264" w:lineRule="auto"/>
              <w:rPr>
                <w:rFonts w:ascii="Arial" w:hAnsi="Arial" w:cs="Arial"/>
                <w:color w:val="00B050"/>
                <w:sz w:val="20"/>
                <w:szCs w:val="20"/>
                <w:u w:val="single"/>
              </w:rPr>
            </w:pPr>
            <w:r w:rsidRPr="00AC4AEA">
              <w:rPr>
                <w:rFonts w:ascii="Arial" w:hAnsi="Arial" w:cs="Arial"/>
                <w:color w:val="00B050"/>
                <w:sz w:val="20"/>
                <w:szCs w:val="20"/>
                <w:u w:val="single"/>
              </w:rPr>
              <w:t xml:space="preserve">¿Qué son los </w:t>
            </w:r>
            <w:r w:rsidR="00EE1A0F" w:rsidRPr="00AC4AEA">
              <w:rPr>
                <w:rFonts w:ascii="Arial" w:hAnsi="Arial" w:cs="Arial"/>
                <w:color w:val="00B050"/>
                <w:sz w:val="20"/>
                <w:szCs w:val="20"/>
                <w:u w:val="single"/>
              </w:rPr>
              <w:t xml:space="preserve">instrumentos </w:t>
            </w:r>
            <w:r w:rsidRPr="00AC4AEA">
              <w:rPr>
                <w:rFonts w:ascii="Arial" w:hAnsi="Arial" w:cs="Arial"/>
                <w:color w:val="00B050"/>
                <w:sz w:val="20"/>
                <w:szCs w:val="20"/>
                <w:u w:val="single"/>
              </w:rPr>
              <w:t>derivados?</w:t>
            </w:r>
          </w:p>
          <w:p w:rsidR="00AA157C" w:rsidRPr="00AC4AEA" w:rsidRDefault="00B44057" w:rsidP="00AA157C">
            <w:pPr>
              <w:spacing w:after="147" w:line="264" w:lineRule="auto"/>
              <w:rPr>
                <w:rFonts w:ascii="Arial" w:hAnsi="Arial" w:cs="Arial"/>
                <w:color w:val="00B050"/>
                <w:sz w:val="20"/>
                <w:szCs w:val="20"/>
              </w:rPr>
            </w:pPr>
            <w:r w:rsidRPr="00AC4AEA">
              <w:rPr>
                <w:rFonts w:ascii="Arial" w:hAnsi="Arial" w:cs="Arial"/>
                <w:color w:val="00B050"/>
                <w:sz w:val="20"/>
                <w:szCs w:val="20"/>
              </w:rPr>
              <w:t xml:space="preserve">Los </w:t>
            </w:r>
            <w:r w:rsidR="00EE1A0F" w:rsidRPr="00AC4AEA">
              <w:rPr>
                <w:rFonts w:ascii="Arial" w:hAnsi="Arial" w:cs="Arial"/>
                <w:color w:val="00B050"/>
                <w:sz w:val="20"/>
                <w:szCs w:val="20"/>
              </w:rPr>
              <w:t xml:space="preserve">instrumentos </w:t>
            </w:r>
            <w:r w:rsidRPr="00AC4AEA">
              <w:rPr>
                <w:rFonts w:ascii="Arial" w:hAnsi="Arial" w:cs="Arial"/>
                <w:color w:val="00B050"/>
                <w:sz w:val="20"/>
                <w:szCs w:val="20"/>
              </w:rPr>
              <w:t>derivados</w:t>
            </w:r>
            <w:r w:rsidR="00AC0A19" w:rsidRPr="00AC4AEA">
              <w:rPr>
                <w:rFonts w:ascii="Arial" w:hAnsi="Arial" w:cs="Arial"/>
                <w:color w:val="00B050"/>
                <w:sz w:val="20"/>
                <w:szCs w:val="20"/>
              </w:rPr>
              <w:t xml:space="preserve"> son contratos que tienen las siguientes características:</w:t>
            </w:r>
          </w:p>
          <w:p w:rsidR="00AC0A19" w:rsidRPr="00592ED5" w:rsidRDefault="00A077D0" w:rsidP="008F60B1">
            <w:pPr>
              <w:pStyle w:val="Prrafodelista"/>
              <w:numPr>
                <w:ilvl w:val="1"/>
                <w:numId w:val="29"/>
              </w:numPr>
              <w:spacing w:after="147" w:line="264" w:lineRule="auto"/>
              <w:ind w:left="308" w:hanging="284"/>
              <w:rPr>
                <w:rFonts w:ascii="Arial" w:hAnsi="Arial" w:cs="Arial"/>
                <w:color w:val="00B050"/>
                <w:sz w:val="20"/>
                <w:szCs w:val="20"/>
              </w:rPr>
            </w:pPr>
            <w:r w:rsidRPr="00AC4AEA">
              <w:rPr>
                <w:rFonts w:ascii="Arial" w:hAnsi="Arial" w:cs="Arial"/>
                <w:color w:val="00B050"/>
                <w:sz w:val="20"/>
                <w:szCs w:val="20"/>
              </w:rPr>
              <w:t>Su valor cambia en respuesta a los cambios en otra variable</w:t>
            </w:r>
            <w:r w:rsidR="008915C4">
              <w:rPr>
                <w:rFonts w:ascii="Arial" w:hAnsi="Arial" w:cs="Arial"/>
                <w:color w:val="00B050"/>
                <w:sz w:val="20"/>
                <w:szCs w:val="20"/>
              </w:rPr>
              <w:t>.</w:t>
            </w:r>
            <w:r w:rsidRPr="00AC4AEA">
              <w:rPr>
                <w:rFonts w:ascii="Arial" w:hAnsi="Arial" w:cs="Arial"/>
                <w:color w:val="00B050"/>
                <w:sz w:val="20"/>
                <w:szCs w:val="20"/>
              </w:rPr>
              <w:t xml:space="preserve"> </w:t>
            </w:r>
            <w:r w:rsidR="008915C4" w:rsidRPr="00592ED5">
              <w:rPr>
                <w:rFonts w:ascii="Arial" w:hAnsi="Arial" w:cs="Arial"/>
                <w:color w:val="00B050"/>
                <w:sz w:val="20"/>
                <w:szCs w:val="20"/>
              </w:rPr>
              <w:t>Si esta variable no fuera</w:t>
            </w:r>
            <w:r w:rsidRPr="00592ED5">
              <w:rPr>
                <w:rFonts w:ascii="Arial" w:hAnsi="Arial" w:cs="Arial"/>
                <w:color w:val="00B050"/>
                <w:sz w:val="20"/>
                <w:szCs w:val="20"/>
              </w:rPr>
              <w:t xml:space="preserve"> financiera no </w:t>
            </w:r>
            <w:r w:rsidR="008915C4" w:rsidRPr="00592ED5">
              <w:rPr>
                <w:rFonts w:ascii="Arial" w:hAnsi="Arial" w:cs="Arial"/>
                <w:color w:val="00B050"/>
                <w:sz w:val="20"/>
                <w:szCs w:val="20"/>
              </w:rPr>
              <w:t>debe ser</w:t>
            </w:r>
            <w:r w:rsidRPr="00592ED5">
              <w:rPr>
                <w:rFonts w:ascii="Arial" w:hAnsi="Arial" w:cs="Arial"/>
                <w:color w:val="00B050"/>
                <w:sz w:val="20"/>
                <w:szCs w:val="20"/>
              </w:rPr>
              <w:t xml:space="preserve"> específica para una de las partes del </w:t>
            </w:r>
            <w:r w:rsidRPr="00592ED5">
              <w:rPr>
                <w:rFonts w:ascii="Arial" w:hAnsi="Arial" w:cs="Arial"/>
                <w:b/>
                <w:bCs/>
                <w:color w:val="00B050"/>
                <w:sz w:val="20"/>
                <w:szCs w:val="20"/>
              </w:rPr>
              <w:t xml:space="preserve">contrato </w:t>
            </w:r>
            <w:r w:rsidRPr="00592ED5">
              <w:rPr>
                <w:rFonts w:ascii="Arial" w:hAnsi="Arial" w:cs="Arial"/>
                <w:color w:val="00B050"/>
                <w:sz w:val="20"/>
                <w:szCs w:val="20"/>
              </w:rPr>
              <w:t>(a veces se denomina “subyacente” a esta variable).</w:t>
            </w:r>
          </w:p>
          <w:p w:rsidR="00A077D0" w:rsidRPr="0079558C" w:rsidRDefault="008F60B1" w:rsidP="008F60B1">
            <w:pPr>
              <w:pStyle w:val="Prrafodelista"/>
              <w:numPr>
                <w:ilvl w:val="1"/>
                <w:numId w:val="29"/>
              </w:numPr>
              <w:spacing w:after="147" w:line="264" w:lineRule="auto"/>
              <w:ind w:left="308" w:hanging="284"/>
              <w:rPr>
                <w:rFonts w:ascii="Arial" w:hAnsi="Arial" w:cs="Arial"/>
                <w:color w:val="00B050"/>
                <w:sz w:val="20"/>
                <w:szCs w:val="20"/>
              </w:rPr>
            </w:pPr>
            <w:r w:rsidRPr="0079558C">
              <w:rPr>
                <w:rFonts w:ascii="Arial" w:hAnsi="Arial" w:cs="Arial"/>
                <w:color w:val="00B050"/>
                <w:sz w:val="20"/>
                <w:szCs w:val="20"/>
              </w:rPr>
              <w:t>No requiere una inversión inicial neta o solo obliga a realizar una inversión inferior a la que se requeriría para otros tipos de contratos, en los que se podría esperar una respuesta similar ante cambios en las condiciones de mercado.</w:t>
            </w:r>
          </w:p>
          <w:p w:rsidR="008F60B1" w:rsidRPr="0079558C" w:rsidRDefault="008F60B1" w:rsidP="008F60B1">
            <w:pPr>
              <w:pStyle w:val="Prrafodelista"/>
              <w:numPr>
                <w:ilvl w:val="1"/>
                <w:numId w:val="29"/>
              </w:numPr>
              <w:spacing w:after="147" w:line="264" w:lineRule="auto"/>
              <w:ind w:left="308" w:hanging="284"/>
              <w:rPr>
                <w:rFonts w:ascii="Arial" w:hAnsi="Arial" w:cs="Arial"/>
                <w:color w:val="00B050"/>
                <w:sz w:val="20"/>
                <w:szCs w:val="20"/>
              </w:rPr>
            </w:pPr>
            <w:r w:rsidRPr="0079558C">
              <w:rPr>
                <w:rFonts w:ascii="Arial" w:hAnsi="Arial" w:cs="Arial"/>
                <w:color w:val="00B050"/>
                <w:sz w:val="20"/>
                <w:szCs w:val="20"/>
              </w:rPr>
              <w:t>Se liquida</w:t>
            </w:r>
            <w:r w:rsidR="008915C4" w:rsidRPr="0079558C">
              <w:rPr>
                <w:rFonts w:ascii="Arial" w:hAnsi="Arial" w:cs="Arial"/>
                <w:color w:val="00B050"/>
                <w:sz w:val="20"/>
                <w:szCs w:val="20"/>
              </w:rPr>
              <w:t>n</w:t>
            </w:r>
            <w:r w:rsidRPr="0079558C">
              <w:rPr>
                <w:rFonts w:ascii="Arial" w:hAnsi="Arial" w:cs="Arial"/>
                <w:color w:val="00B050"/>
                <w:sz w:val="20"/>
                <w:szCs w:val="20"/>
              </w:rPr>
              <w:t xml:space="preserve"> en una fecha futura.</w:t>
            </w:r>
          </w:p>
          <w:p w:rsidR="00096E12" w:rsidRPr="00AC4AEA" w:rsidRDefault="00096E12" w:rsidP="00096E12">
            <w:pPr>
              <w:spacing w:after="147" w:line="264" w:lineRule="auto"/>
              <w:rPr>
                <w:rFonts w:ascii="Arial" w:hAnsi="Arial" w:cs="Arial"/>
                <w:color w:val="00B050"/>
                <w:sz w:val="20"/>
                <w:szCs w:val="20"/>
              </w:rPr>
            </w:pPr>
            <w:r w:rsidRPr="00AC4AEA">
              <w:rPr>
                <w:rFonts w:ascii="Arial" w:hAnsi="Arial" w:cs="Arial"/>
                <w:color w:val="00B050"/>
                <w:sz w:val="20"/>
                <w:szCs w:val="20"/>
              </w:rPr>
              <w:t xml:space="preserve">Los </w:t>
            </w:r>
            <w:r w:rsidR="00EE1A0F" w:rsidRPr="00AC4AEA">
              <w:rPr>
                <w:rFonts w:ascii="Arial" w:hAnsi="Arial" w:cs="Arial"/>
                <w:color w:val="00B050"/>
                <w:sz w:val="20"/>
                <w:szCs w:val="20"/>
              </w:rPr>
              <w:t xml:space="preserve">instrumentos </w:t>
            </w:r>
            <w:r w:rsidRPr="00AC4AEA">
              <w:rPr>
                <w:rFonts w:ascii="Arial" w:hAnsi="Arial" w:cs="Arial"/>
                <w:color w:val="00B050"/>
                <w:sz w:val="20"/>
                <w:szCs w:val="20"/>
              </w:rPr>
              <w:t>derivados pueden agruparse en:</w:t>
            </w:r>
            <w:r w:rsidR="006F2C57">
              <w:rPr>
                <w:rFonts w:ascii="Arial" w:hAnsi="Arial" w:cs="Arial"/>
                <w:color w:val="00B050"/>
                <w:sz w:val="20"/>
                <w:szCs w:val="20"/>
              </w:rPr>
              <w:t xml:space="preserve"> </w:t>
            </w:r>
          </w:p>
          <w:p w:rsidR="00096E12" w:rsidRPr="00AC4AEA" w:rsidRDefault="00096E12" w:rsidP="00C01B25">
            <w:pPr>
              <w:pStyle w:val="Prrafodelista"/>
              <w:numPr>
                <w:ilvl w:val="0"/>
                <w:numId w:val="637"/>
              </w:numPr>
              <w:spacing w:after="147" w:line="264" w:lineRule="auto"/>
              <w:ind w:left="591"/>
              <w:rPr>
                <w:rFonts w:ascii="Arial" w:hAnsi="Arial" w:cs="Arial"/>
                <w:color w:val="00B050"/>
                <w:sz w:val="20"/>
                <w:szCs w:val="20"/>
              </w:rPr>
            </w:pPr>
            <w:r w:rsidRPr="00AC4AEA">
              <w:rPr>
                <w:rFonts w:ascii="Arial" w:hAnsi="Arial" w:cs="Arial"/>
                <w:color w:val="00B050"/>
                <w:sz w:val="20"/>
                <w:szCs w:val="20"/>
              </w:rPr>
              <w:t xml:space="preserve">contratos a término; </w:t>
            </w:r>
          </w:p>
          <w:p w:rsidR="00096E12" w:rsidRPr="00AC4AEA" w:rsidRDefault="00096E12" w:rsidP="00C01B25">
            <w:pPr>
              <w:pStyle w:val="Prrafodelista"/>
              <w:numPr>
                <w:ilvl w:val="0"/>
                <w:numId w:val="637"/>
              </w:numPr>
              <w:spacing w:after="147" w:line="264" w:lineRule="auto"/>
              <w:ind w:left="591"/>
              <w:rPr>
                <w:rFonts w:ascii="Arial" w:hAnsi="Arial" w:cs="Arial"/>
                <w:color w:val="00B050"/>
                <w:sz w:val="20"/>
                <w:szCs w:val="20"/>
              </w:rPr>
            </w:pPr>
            <w:r w:rsidRPr="00AC4AEA">
              <w:rPr>
                <w:rFonts w:ascii="Arial" w:hAnsi="Arial" w:cs="Arial"/>
                <w:color w:val="00B050"/>
                <w:sz w:val="20"/>
                <w:szCs w:val="20"/>
              </w:rPr>
              <w:t>contratos de futuro;</w:t>
            </w:r>
            <w:r w:rsidR="006F2C57">
              <w:rPr>
                <w:rFonts w:ascii="Arial" w:hAnsi="Arial" w:cs="Arial"/>
                <w:color w:val="00B050"/>
                <w:sz w:val="20"/>
                <w:szCs w:val="20"/>
              </w:rPr>
              <w:t xml:space="preserve"> </w:t>
            </w:r>
          </w:p>
          <w:p w:rsidR="00096E12" w:rsidRPr="00AC4AEA" w:rsidRDefault="00096E12" w:rsidP="00C01B25">
            <w:pPr>
              <w:pStyle w:val="Prrafodelista"/>
              <w:numPr>
                <w:ilvl w:val="0"/>
                <w:numId w:val="637"/>
              </w:numPr>
              <w:spacing w:after="147" w:line="264" w:lineRule="auto"/>
              <w:ind w:left="591"/>
              <w:rPr>
                <w:rFonts w:ascii="Arial" w:hAnsi="Arial" w:cs="Arial"/>
                <w:color w:val="00B050"/>
                <w:sz w:val="20"/>
                <w:szCs w:val="20"/>
              </w:rPr>
            </w:pPr>
            <w:r w:rsidRPr="00AC4AEA">
              <w:rPr>
                <w:rFonts w:ascii="Arial" w:hAnsi="Arial" w:cs="Arial"/>
                <w:color w:val="00B050"/>
                <w:sz w:val="20"/>
                <w:szCs w:val="20"/>
              </w:rPr>
              <w:t>contratos de opciones; o</w:t>
            </w:r>
            <w:r w:rsidR="006F2C57">
              <w:rPr>
                <w:rFonts w:ascii="Arial" w:hAnsi="Arial" w:cs="Arial"/>
                <w:color w:val="00B050"/>
                <w:sz w:val="20"/>
                <w:szCs w:val="20"/>
              </w:rPr>
              <w:t xml:space="preserve"> </w:t>
            </w:r>
          </w:p>
          <w:p w:rsidR="00096E12" w:rsidRPr="0070509F" w:rsidRDefault="00096E12" w:rsidP="00C01B25">
            <w:pPr>
              <w:pStyle w:val="Prrafodelista"/>
              <w:numPr>
                <w:ilvl w:val="0"/>
                <w:numId w:val="637"/>
              </w:numPr>
              <w:spacing w:after="147" w:line="264" w:lineRule="auto"/>
              <w:ind w:left="591"/>
              <w:rPr>
                <w:rFonts w:ascii="Arial" w:hAnsi="Arial" w:cs="Arial"/>
                <w:color w:val="00B050"/>
                <w:sz w:val="20"/>
                <w:szCs w:val="20"/>
                <w:lang w:val="pt-BR"/>
              </w:rPr>
            </w:pPr>
            <w:r w:rsidRPr="0070509F">
              <w:rPr>
                <w:rFonts w:ascii="Arial" w:hAnsi="Arial" w:cs="Arial"/>
                <w:color w:val="00B050"/>
                <w:sz w:val="20"/>
                <w:szCs w:val="20"/>
                <w:lang w:val="pt-BR"/>
              </w:rPr>
              <w:t>contratos de canje o permuta.</w:t>
            </w:r>
            <w:r w:rsidR="006F2C57">
              <w:rPr>
                <w:rFonts w:ascii="Arial" w:hAnsi="Arial" w:cs="Arial"/>
                <w:color w:val="00B050"/>
                <w:sz w:val="20"/>
                <w:szCs w:val="20"/>
                <w:lang w:val="pt-BR"/>
              </w:rPr>
              <w:t xml:space="preserve"> </w:t>
            </w:r>
          </w:p>
          <w:p w:rsidR="00BA5242" w:rsidRPr="00AC4AEA" w:rsidRDefault="00096E12" w:rsidP="00BA5242">
            <w:pPr>
              <w:spacing w:after="147" w:line="264" w:lineRule="auto"/>
              <w:rPr>
                <w:rFonts w:ascii="Arial" w:hAnsi="Arial" w:cs="Arial"/>
                <w:color w:val="00B050"/>
                <w:sz w:val="20"/>
                <w:szCs w:val="20"/>
              </w:rPr>
            </w:pPr>
            <w:r w:rsidRPr="00AC4AEA">
              <w:rPr>
                <w:rFonts w:ascii="Arial" w:hAnsi="Arial" w:cs="Arial"/>
                <w:color w:val="00B050"/>
                <w:sz w:val="20"/>
                <w:szCs w:val="20"/>
              </w:rPr>
              <w:t>Generalmente, l</w:t>
            </w:r>
            <w:r w:rsidR="00BA5242" w:rsidRPr="00AC4AEA">
              <w:rPr>
                <w:rFonts w:ascii="Arial" w:hAnsi="Arial" w:cs="Arial"/>
                <w:color w:val="00B050"/>
                <w:sz w:val="20"/>
                <w:szCs w:val="20"/>
              </w:rPr>
              <w:t xml:space="preserve">os </w:t>
            </w:r>
            <w:r w:rsidR="00C1478B" w:rsidRPr="00AC4AEA">
              <w:rPr>
                <w:rFonts w:ascii="Arial" w:hAnsi="Arial" w:cs="Arial"/>
                <w:color w:val="00B050"/>
                <w:sz w:val="20"/>
                <w:szCs w:val="20"/>
              </w:rPr>
              <w:t xml:space="preserve">instrumentos </w:t>
            </w:r>
            <w:r w:rsidR="00BA5242" w:rsidRPr="00AC4AEA">
              <w:rPr>
                <w:rFonts w:ascii="Arial" w:hAnsi="Arial" w:cs="Arial"/>
                <w:color w:val="00B050"/>
                <w:sz w:val="20"/>
                <w:szCs w:val="20"/>
              </w:rPr>
              <w:t xml:space="preserve">derivados </w:t>
            </w:r>
            <w:r w:rsidRPr="00AC4AEA">
              <w:rPr>
                <w:rFonts w:ascii="Arial" w:hAnsi="Arial" w:cs="Arial"/>
                <w:color w:val="00B050"/>
                <w:sz w:val="20"/>
                <w:szCs w:val="20"/>
              </w:rPr>
              <w:t>se suelen</w:t>
            </w:r>
            <w:r w:rsidR="00BA5242" w:rsidRPr="00AC4AEA">
              <w:rPr>
                <w:rFonts w:ascii="Arial" w:hAnsi="Arial" w:cs="Arial"/>
                <w:color w:val="00B050"/>
                <w:sz w:val="20"/>
                <w:szCs w:val="20"/>
              </w:rPr>
              <w:t xml:space="preserve"> clasificar:</w:t>
            </w:r>
          </w:p>
          <w:p w:rsidR="00E70490" w:rsidRPr="0079558C" w:rsidRDefault="00E70490" w:rsidP="00C01B25">
            <w:pPr>
              <w:pStyle w:val="Prrafodelista"/>
              <w:numPr>
                <w:ilvl w:val="0"/>
                <w:numId w:val="633"/>
              </w:numPr>
              <w:spacing w:after="147" w:line="264" w:lineRule="auto"/>
              <w:ind w:left="449"/>
              <w:rPr>
                <w:rFonts w:ascii="Arial" w:hAnsi="Arial" w:cs="Arial"/>
                <w:color w:val="00B050"/>
                <w:sz w:val="20"/>
                <w:szCs w:val="20"/>
              </w:rPr>
            </w:pPr>
            <w:r w:rsidRPr="00AC4AEA">
              <w:rPr>
                <w:rFonts w:ascii="Arial" w:hAnsi="Arial" w:cs="Arial"/>
                <w:color w:val="00B050"/>
                <w:sz w:val="20"/>
                <w:szCs w:val="20"/>
              </w:rPr>
              <w:t xml:space="preserve">En función al tipo de variable de </w:t>
            </w:r>
            <w:r w:rsidRPr="0079558C">
              <w:rPr>
                <w:rFonts w:ascii="Arial" w:hAnsi="Arial" w:cs="Arial"/>
                <w:color w:val="00B050"/>
                <w:sz w:val="20"/>
                <w:szCs w:val="20"/>
              </w:rPr>
              <w:t>variable subyacente, como:</w:t>
            </w:r>
          </w:p>
          <w:p w:rsidR="00E70490" w:rsidRPr="0079558C" w:rsidRDefault="00C1478B" w:rsidP="00C01B25">
            <w:pPr>
              <w:pStyle w:val="Prrafodelista"/>
              <w:numPr>
                <w:ilvl w:val="1"/>
                <w:numId w:val="633"/>
              </w:numPr>
              <w:spacing w:after="147" w:line="264" w:lineRule="auto"/>
              <w:ind w:left="875"/>
              <w:rPr>
                <w:rFonts w:ascii="Arial" w:hAnsi="Arial" w:cs="Arial"/>
                <w:color w:val="00B050"/>
                <w:sz w:val="20"/>
                <w:szCs w:val="20"/>
              </w:rPr>
            </w:pPr>
            <w:r w:rsidRPr="0079558C">
              <w:rPr>
                <w:rFonts w:ascii="Arial" w:hAnsi="Arial" w:cs="Arial"/>
                <w:color w:val="00B050"/>
                <w:sz w:val="20"/>
                <w:szCs w:val="20"/>
              </w:rPr>
              <w:t>Instrumentos d</w:t>
            </w:r>
            <w:r w:rsidR="00EB5020" w:rsidRPr="0079558C">
              <w:rPr>
                <w:rFonts w:ascii="Arial" w:hAnsi="Arial" w:cs="Arial"/>
                <w:color w:val="00B050"/>
                <w:sz w:val="20"/>
                <w:szCs w:val="20"/>
              </w:rPr>
              <w:t xml:space="preserve">erivados financieros: son aquellos </w:t>
            </w:r>
            <w:r w:rsidR="008915C4" w:rsidRPr="0079558C">
              <w:rPr>
                <w:rFonts w:ascii="Arial" w:hAnsi="Arial" w:cs="Arial"/>
                <w:color w:val="00B050"/>
                <w:sz w:val="20"/>
                <w:szCs w:val="20"/>
              </w:rPr>
              <w:t>cuya</w:t>
            </w:r>
            <w:r w:rsidR="00D51150" w:rsidRPr="0079558C">
              <w:rPr>
                <w:rFonts w:ascii="Arial" w:hAnsi="Arial" w:cs="Arial"/>
                <w:color w:val="00B050"/>
                <w:sz w:val="20"/>
                <w:szCs w:val="20"/>
              </w:rPr>
              <w:t xml:space="preserve"> variable </w:t>
            </w:r>
            <w:r w:rsidR="006C4768" w:rsidRPr="0079558C">
              <w:rPr>
                <w:rFonts w:ascii="Arial" w:hAnsi="Arial" w:cs="Arial"/>
                <w:color w:val="00B050"/>
                <w:sz w:val="20"/>
                <w:szCs w:val="20"/>
              </w:rPr>
              <w:t>subyacente</w:t>
            </w:r>
            <w:r w:rsidR="00D51150" w:rsidRPr="0079558C">
              <w:rPr>
                <w:rFonts w:ascii="Arial" w:hAnsi="Arial" w:cs="Arial"/>
                <w:color w:val="00B050"/>
                <w:sz w:val="20"/>
                <w:szCs w:val="20"/>
              </w:rPr>
              <w:t xml:space="preserve"> es un </w:t>
            </w:r>
            <w:r w:rsidR="006C4768" w:rsidRPr="0079558C">
              <w:rPr>
                <w:rFonts w:ascii="Arial" w:hAnsi="Arial" w:cs="Arial"/>
                <w:b/>
                <w:bCs/>
                <w:color w:val="00B050"/>
                <w:sz w:val="20"/>
                <w:szCs w:val="20"/>
              </w:rPr>
              <w:t>activo financiero</w:t>
            </w:r>
            <w:r w:rsidR="00D51150" w:rsidRPr="0079558C">
              <w:rPr>
                <w:rFonts w:ascii="Arial" w:hAnsi="Arial" w:cs="Arial"/>
                <w:b/>
                <w:bCs/>
                <w:color w:val="00B050"/>
                <w:sz w:val="20"/>
                <w:szCs w:val="20"/>
              </w:rPr>
              <w:t xml:space="preserve"> </w:t>
            </w:r>
            <w:r w:rsidR="00D51150" w:rsidRPr="0079558C">
              <w:rPr>
                <w:rFonts w:ascii="Arial" w:hAnsi="Arial" w:cs="Arial"/>
                <w:color w:val="00B050"/>
                <w:sz w:val="20"/>
                <w:szCs w:val="20"/>
              </w:rPr>
              <w:t>(por ejemplo, una moneda, un instrumento de patrimonio, un instrumento de deuda); u otra</w:t>
            </w:r>
            <w:r w:rsidR="006C4768" w:rsidRPr="0079558C">
              <w:rPr>
                <w:rFonts w:ascii="Arial" w:hAnsi="Arial" w:cs="Arial"/>
                <w:color w:val="00B050"/>
                <w:sz w:val="20"/>
                <w:szCs w:val="20"/>
              </w:rPr>
              <w:t>s</w:t>
            </w:r>
            <w:r w:rsidR="00D51150" w:rsidRPr="0079558C">
              <w:rPr>
                <w:rFonts w:ascii="Arial" w:hAnsi="Arial" w:cs="Arial"/>
                <w:color w:val="00B050"/>
                <w:sz w:val="20"/>
                <w:szCs w:val="20"/>
              </w:rPr>
              <w:t xml:space="preserve"> variable</w:t>
            </w:r>
            <w:r w:rsidR="006C4768" w:rsidRPr="0079558C">
              <w:rPr>
                <w:rFonts w:ascii="Arial" w:hAnsi="Arial" w:cs="Arial"/>
                <w:color w:val="00B050"/>
                <w:sz w:val="20"/>
                <w:szCs w:val="20"/>
              </w:rPr>
              <w:t>s</w:t>
            </w:r>
            <w:r w:rsidR="00D51150" w:rsidRPr="0079558C">
              <w:rPr>
                <w:rFonts w:ascii="Arial" w:hAnsi="Arial" w:cs="Arial"/>
                <w:color w:val="00B050"/>
                <w:sz w:val="20"/>
                <w:szCs w:val="20"/>
              </w:rPr>
              <w:t xml:space="preserve"> que depende</w:t>
            </w:r>
            <w:r w:rsidR="006C4768" w:rsidRPr="0079558C">
              <w:rPr>
                <w:rFonts w:ascii="Arial" w:hAnsi="Arial" w:cs="Arial"/>
                <w:color w:val="00B050"/>
                <w:sz w:val="20"/>
                <w:szCs w:val="20"/>
              </w:rPr>
              <w:t>n de activos financieros (por ejemplo, un tipo de cambio, una tasa de interés, o un índice que refleja la evolución del precio de una acción u otros activos con cotización pública).</w:t>
            </w:r>
          </w:p>
          <w:p w:rsidR="006C4768" w:rsidRPr="0079558C" w:rsidRDefault="00C1478B" w:rsidP="00C01B25">
            <w:pPr>
              <w:pStyle w:val="Prrafodelista"/>
              <w:numPr>
                <w:ilvl w:val="1"/>
                <w:numId w:val="633"/>
              </w:numPr>
              <w:spacing w:after="147" w:line="264" w:lineRule="auto"/>
              <w:ind w:left="875"/>
              <w:rPr>
                <w:rFonts w:ascii="Arial" w:hAnsi="Arial" w:cs="Arial"/>
                <w:color w:val="00B050"/>
                <w:sz w:val="20"/>
                <w:szCs w:val="20"/>
              </w:rPr>
            </w:pPr>
            <w:r w:rsidRPr="0079558C">
              <w:rPr>
                <w:rFonts w:ascii="Arial" w:hAnsi="Arial" w:cs="Arial"/>
                <w:color w:val="00B050"/>
                <w:sz w:val="20"/>
                <w:szCs w:val="20"/>
              </w:rPr>
              <w:lastRenderedPageBreak/>
              <w:t>Instrumentos d</w:t>
            </w:r>
            <w:r w:rsidR="006C4768" w:rsidRPr="0079558C">
              <w:rPr>
                <w:rFonts w:ascii="Arial" w:hAnsi="Arial" w:cs="Arial"/>
                <w:color w:val="00B050"/>
                <w:sz w:val="20"/>
                <w:szCs w:val="20"/>
              </w:rPr>
              <w:t xml:space="preserve">erivados no financieros: son aquellos </w:t>
            </w:r>
            <w:r w:rsidR="008915C4" w:rsidRPr="0079558C">
              <w:rPr>
                <w:rFonts w:ascii="Arial" w:hAnsi="Arial" w:cs="Arial"/>
                <w:color w:val="00B050"/>
                <w:sz w:val="20"/>
                <w:szCs w:val="20"/>
              </w:rPr>
              <w:t>cuya</w:t>
            </w:r>
            <w:r w:rsidR="006C4768" w:rsidRPr="0079558C">
              <w:rPr>
                <w:rFonts w:ascii="Arial" w:hAnsi="Arial" w:cs="Arial"/>
                <w:color w:val="00B050"/>
                <w:sz w:val="20"/>
                <w:szCs w:val="20"/>
              </w:rPr>
              <w:t xml:space="preserve"> variable subyacente es una partida no financiera (por ejemplo, una materia prima cotizada).</w:t>
            </w:r>
          </w:p>
          <w:p w:rsidR="00106FCD" w:rsidRPr="0079558C" w:rsidRDefault="00106FCD" w:rsidP="00C01B25">
            <w:pPr>
              <w:pStyle w:val="Prrafodelista"/>
              <w:numPr>
                <w:ilvl w:val="0"/>
                <w:numId w:val="633"/>
              </w:numPr>
              <w:spacing w:after="147" w:line="264" w:lineRule="auto"/>
              <w:ind w:left="449"/>
              <w:rPr>
                <w:rFonts w:ascii="Arial" w:hAnsi="Arial" w:cs="Arial"/>
                <w:color w:val="00B050"/>
                <w:sz w:val="20"/>
                <w:szCs w:val="20"/>
              </w:rPr>
            </w:pPr>
            <w:r w:rsidRPr="0079558C">
              <w:rPr>
                <w:rFonts w:ascii="Arial" w:hAnsi="Arial" w:cs="Arial"/>
                <w:color w:val="00B050"/>
                <w:sz w:val="20"/>
                <w:szCs w:val="20"/>
              </w:rPr>
              <w:t xml:space="preserve">En función </w:t>
            </w:r>
            <w:r w:rsidR="006400CD" w:rsidRPr="0079558C">
              <w:rPr>
                <w:rFonts w:ascii="Arial" w:hAnsi="Arial" w:cs="Arial"/>
                <w:color w:val="00B050"/>
                <w:sz w:val="20"/>
                <w:szCs w:val="20"/>
              </w:rPr>
              <w:t>a los agentes que intervienen, como:</w:t>
            </w:r>
          </w:p>
          <w:p w:rsidR="006400CD" w:rsidRPr="0079558C" w:rsidRDefault="00C1478B" w:rsidP="00C01B25">
            <w:pPr>
              <w:pStyle w:val="Prrafodelista"/>
              <w:numPr>
                <w:ilvl w:val="1"/>
                <w:numId w:val="633"/>
              </w:numPr>
              <w:spacing w:after="147" w:line="264" w:lineRule="auto"/>
              <w:ind w:left="875"/>
              <w:rPr>
                <w:rFonts w:ascii="Arial" w:hAnsi="Arial" w:cs="Arial"/>
                <w:color w:val="00B050"/>
                <w:sz w:val="20"/>
                <w:szCs w:val="20"/>
              </w:rPr>
            </w:pPr>
            <w:r w:rsidRPr="0079558C">
              <w:rPr>
                <w:rFonts w:ascii="Arial" w:hAnsi="Arial" w:cs="Arial"/>
                <w:color w:val="00B050"/>
                <w:sz w:val="20"/>
                <w:szCs w:val="20"/>
              </w:rPr>
              <w:t>Instrumentos d</w:t>
            </w:r>
            <w:r w:rsidR="006400CD" w:rsidRPr="0079558C">
              <w:rPr>
                <w:rFonts w:ascii="Arial" w:hAnsi="Arial" w:cs="Arial"/>
                <w:color w:val="00B050"/>
                <w:sz w:val="20"/>
                <w:szCs w:val="20"/>
              </w:rPr>
              <w:t xml:space="preserve">erivados </w:t>
            </w:r>
            <w:r w:rsidR="00692DD5" w:rsidRPr="0079558C">
              <w:rPr>
                <w:rFonts w:ascii="Arial" w:hAnsi="Arial" w:cs="Arial"/>
                <w:color w:val="00B050"/>
                <w:sz w:val="20"/>
                <w:szCs w:val="20"/>
              </w:rPr>
              <w:t>extrabursátiles</w:t>
            </w:r>
            <w:r w:rsidR="008915C4" w:rsidRPr="0079558C">
              <w:rPr>
                <w:rFonts w:ascii="Arial" w:hAnsi="Arial" w:cs="Arial"/>
                <w:color w:val="00B050"/>
                <w:sz w:val="20"/>
                <w:szCs w:val="20"/>
              </w:rPr>
              <w:t xml:space="preserve"> (OTC)</w:t>
            </w:r>
            <w:r w:rsidR="006400CD" w:rsidRPr="0079558C">
              <w:rPr>
                <w:rFonts w:ascii="Arial" w:hAnsi="Arial" w:cs="Arial"/>
                <w:color w:val="00B050"/>
                <w:sz w:val="20"/>
                <w:szCs w:val="20"/>
              </w:rPr>
              <w:t xml:space="preserve">: </w:t>
            </w:r>
            <w:r w:rsidR="001F4293" w:rsidRPr="0079558C">
              <w:rPr>
                <w:rFonts w:ascii="Arial" w:hAnsi="Arial" w:cs="Arial"/>
                <w:color w:val="00B050"/>
                <w:sz w:val="20"/>
                <w:szCs w:val="20"/>
              </w:rPr>
              <w:t xml:space="preserve">son </w:t>
            </w:r>
            <w:r w:rsidR="008915C4" w:rsidRPr="0079558C">
              <w:rPr>
                <w:rFonts w:ascii="Arial" w:hAnsi="Arial" w:cs="Arial"/>
                <w:color w:val="00B050"/>
                <w:sz w:val="20"/>
                <w:szCs w:val="20"/>
              </w:rPr>
              <w:t>los</w:t>
            </w:r>
            <w:r w:rsidR="001F4293" w:rsidRPr="0079558C">
              <w:rPr>
                <w:rFonts w:ascii="Arial" w:hAnsi="Arial" w:cs="Arial"/>
                <w:color w:val="00B050"/>
                <w:sz w:val="20"/>
                <w:szCs w:val="20"/>
              </w:rPr>
              <w:t xml:space="preserve"> </w:t>
            </w:r>
            <w:r w:rsidR="008915C4" w:rsidRPr="0079558C">
              <w:rPr>
                <w:rFonts w:ascii="Arial" w:hAnsi="Arial" w:cs="Arial"/>
                <w:color w:val="00B050"/>
                <w:sz w:val="20"/>
                <w:szCs w:val="20"/>
              </w:rPr>
              <w:t>celebrados</w:t>
            </w:r>
            <w:r w:rsidR="001F4293" w:rsidRPr="0079558C">
              <w:rPr>
                <w:rFonts w:ascii="Arial" w:hAnsi="Arial" w:cs="Arial"/>
                <w:color w:val="00B050"/>
                <w:sz w:val="20"/>
                <w:szCs w:val="20"/>
              </w:rPr>
              <w:t xml:space="preserve"> entre particulares (es decir, sin un mercado institucional)</w:t>
            </w:r>
            <w:r w:rsidR="008915C4" w:rsidRPr="0079558C">
              <w:rPr>
                <w:rFonts w:ascii="Arial" w:hAnsi="Arial" w:cs="Arial"/>
                <w:color w:val="00B050"/>
                <w:sz w:val="20"/>
                <w:szCs w:val="20"/>
              </w:rPr>
              <w:t>;</w:t>
            </w:r>
            <w:r w:rsidR="00CB1E41" w:rsidRPr="0079558C">
              <w:rPr>
                <w:rFonts w:ascii="Arial" w:hAnsi="Arial" w:cs="Arial"/>
                <w:color w:val="00B050"/>
                <w:sz w:val="20"/>
                <w:szCs w:val="20"/>
              </w:rPr>
              <w:t xml:space="preserve"> por ejemplo, un forward para comprar cierta materia prima entre un productor agropecuario y una empresa industrial, o una permuta de tasa de interés entre dos bancos.</w:t>
            </w:r>
          </w:p>
          <w:p w:rsidR="00CB1E41" w:rsidRPr="0079558C" w:rsidRDefault="00C1478B" w:rsidP="00C01B25">
            <w:pPr>
              <w:pStyle w:val="Prrafodelista"/>
              <w:numPr>
                <w:ilvl w:val="1"/>
                <w:numId w:val="633"/>
              </w:numPr>
              <w:spacing w:after="147" w:line="264" w:lineRule="auto"/>
              <w:ind w:left="875"/>
              <w:rPr>
                <w:rFonts w:ascii="Arial" w:hAnsi="Arial" w:cs="Arial"/>
                <w:color w:val="00B050"/>
                <w:sz w:val="20"/>
                <w:szCs w:val="20"/>
              </w:rPr>
            </w:pPr>
            <w:r w:rsidRPr="0079558C">
              <w:rPr>
                <w:rFonts w:ascii="Arial" w:hAnsi="Arial" w:cs="Arial"/>
                <w:color w:val="00B050"/>
                <w:sz w:val="20"/>
                <w:szCs w:val="20"/>
              </w:rPr>
              <w:t>Instrumentos d</w:t>
            </w:r>
            <w:r w:rsidR="00CB1E41" w:rsidRPr="0079558C">
              <w:rPr>
                <w:rFonts w:ascii="Arial" w:hAnsi="Arial" w:cs="Arial"/>
                <w:color w:val="00B050"/>
                <w:sz w:val="20"/>
                <w:szCs w:val="20"/>
              </w:rPr>
              <w:t>erivados bursátiles</w:t>
            </w:r>
            <w:r w:rsidR="008915C4" w:rsidRPr="0079558C">
              <w:rPr>
                <w:rFonts w:ascii="Arial" w:hAnsi="Arial" w:cs="Arial"/>
                <w:color w:val="00B050"/>
                <w:sz w:val="20"/>
                <w:szCs w:val="20"/>
              </w:rPr>
              <w:t xml:space="preserve"> (ETC)</w:t>
            </w:r>
            <w:r w:rsidR="00CB1E41" w:rsidRPr="0079558C">
              <w:rPr>
                <w:rFonts w:ascii="Arial" w:hAnsi="Arial" w:cs="Arial"/>
                <w:color w:val="00B050"/>
                <w:sz w:val="20"/>
                <w:szCs w:val="20"/>
              </w:rPr>
              <w:t>: son objeto de compraventa en m</w:t>
            </w:r>
            <w:r w:rsidR="008915C4" w:rsidRPr="0079558C">
              <w:rPr>
                <w:rFonts w:ascii="Arial" w:hAnsi="Arial" w:cs="Arial"/>
                <w:color w:val="00B050"/>
                <w:sz w:val="20"/>
                <w:szCs w:val="20"/>
              </w:rPr>
              <w:t>e</w:t>
            </w:r>
            <w:r w:rsidR="00CB1E41" w:rsidRPr="0079558C">
              <w:rPr>
                <w:rFonts w:ascii="Arial" w:hAnsi="Arial" w:cs="Arial"/>
                <w:color w:val="00B050"/>
                <w:sz w:val="20"/>
                <w:szCs w:val="20"/>
              </w:rPr>
              <w:t>rcados institucionales de derivados.</w:t>
            </w:r>
          </w:p>
          <w:p w:rsidR="00EE1BEB" w:rsidRPr="00AC4AEA" w:rsidRDefault="003B457B" w:rsidP="00BA5242">
            <w:pPr>
              <w:spacing w:after="147" w:line="264" w:lineRule="auto"/>
              <w:rPr>
                <w:rFonts w:ascii="Arial" w:hAnsi="Arial" w:cs="Arial"/>
                <w:color w:val="00B050"/>
                <w:sz w:val="20"/>
                <w:szCs w:val="20"/>
              </w:rPr>
            </w:pPr>
            <w:r w:rsidRPr="0079558C">
              <w:rPr>
                <w:rFonts w:ascii="Arial" w:hAnsi="Arial" w:cs="Arial"/>
                <w:color w:val="00B050"/>
                <w:sz w:val="20"/>
                <w:szCs w:val="20"/>
              </w:rPr>
              <w:t xml:space="preserve">Un </w:t>
            </w:r>
            <w:r w:rsidR="00C1478B" w:rsidRPr="0079558C">
              <w:rPr>
                <w:rFonts w:ascii="Arial" w:hAnsi="Arial" w:cs="Arial"/>
                <w:color w:val="00B050"/>
                <w:sz w:val="20"/>
                <w:szCs w:val="20"/>
              </w:rPr>
              <w:t xml:space="preserve">instrumento </w:t>
            </w:r>
            <w:r w:rsidRPr="0079558C">
              <w:rPr>
                <w:rFonts w:ascii="Arial" w:hAnsi="Arial" w:cs="Arial"/>
                <w:color w:val="00B050"/>
                <w:sz w:val="20"/>
                <w:szCs w:val="20"/>
              </w:rPr>
              <w:t>derivado no financiero podría celebrarse</w:t>
            </w:r>
            <w:r w:rsidR="00EE1BEB" w:rsidRPr="00AC4AEA">
              <w:rPr>
                <w:rFonts w:ascii="Arial" w:hAnsi="Arial" w:cs="Arial"/>
                <w:color w:val="00B050"/>
                <w:sz w:val="20"/>
                <w:szCs w:val="20"/>
              </w:rPr>
              <w:t xml:space="preserve"> con la intención de:</w:t>
            </w:r>
            <w:r w:rsidRPr="00AC4AEA">
              <w:rPr>
                <w:rFonts w:ascii="Arial" w:hAnsi="Arial" w:cs="Arial"/>
                <w:color w:val="00B050"/>
                <w:sz w:val="20"/>
                <w:szCs w:val="20"/>
              </w:rPr>
              <w:t xml:space="preserve"> </w:t>
            </w:r>
          </w:p>
          <w:p w:rsidR="00EE1BEB" w:rsidRPr="00AC4AEA" w:rsidRDefault="003B457B" w:rsidP="00C01B25">
            <w:pPr>
              <w:pStyle w:val="Prrafodelista"/>
              <w:numPr>
                <w:ilvl w:val="4"/>
                <w:numId w:val="548"/>
              </w:numPr>
              <w:spacing w:after="147" w:line="264" w:lineRule="auto"/>
              <w:ind w:left="449"/>
              <w:rPr>
                <w:rFonts w:ascii="Arial" w:hAnsi="Arial" w:cs="Arial"/>
                <w:color w:val="00B050"/>
                <w:sz w:val="20"/>
                <w:szCs w:val="20"/>
              </w:rPr>
            </w:pPr>
            <w:r w:rsidRPr="00AC4AEA">
              <w:rPr>
                <w:rFonts w:ascii="Arial" w:hAnsi="Arial" w:cs="Arial"/>
                <w:color w:val="00B050"/>
                <w:sz w:val="20"/>
                <w:szCs w:val="20"/>
              </w:rPr>
              <w:t>obtener</w:t>
            </w:r>
            <w:r w:rsidR="00095E74" w:rsidRPr="00AC4AEA">
              <w:rPr>
                <w:rFonts w:ascii="Arial" w:hAnsi="Arial" w:cs="Arial"/>
                <w:color w:val="00B050"/>
                <w:sz w:val="20"/>
                <w:szCs w:val="20"/>
              </w:rPr>
              <w:t>/entregar</w:t>
            </w:r>
            <w:r w:rsidRPr="00AC4AEA">
              <w:rPr>
                <w:rFonts w:ascii="Arial" w:hAnsi="Arial" w:cs="Arial"/>
                <w:color w:val="00B050"/>
                <w:sz w:val="20"/>
                <w:szCs w:val="20"/>
              </w:rPr>
              <w:t xml:space="preserve"> el activo subyacente</w:t>
            </w:r>
            <w:r w:rsidR="00EE1BEB" w:rsidRPr="00AC4AEA">
              <w:rPr>
                <w:rFonts w:ascii="Arial" w:hAnsi="Arial" w:cs="Arial"/>
                <w:color w:val="00B050"/>
                <w:sz w:val="20"/>
                <w:szCs w:val="20"/>
              </w:rPr>
              <w:t>;</w:t>
            </w:r>
            <w:r w:rsidRPr="00AC4AEA">
              <w:rPr>
                <w:rFonts w:ascii="Arial" w:hAnsi="Arial" w:cs="Arial"/>
                <w:color w:val="00B050"/>
                <w:sz w:val="20"/>
                <w:szCs w:val="20"/>
              </w:rPr>
              <w:t xml:space="preserve"> o </w:t>
            </w:r>
          </w:p>
          <w:p w:rsidR="00BA5242" w:rsidRPr="00AE711C" w:rsidRDefault="00095E74" w:rsidP="00C01B25">
            <w:pPr>
              <w:pStyle w:val="Prrafodelista"/>
              <w:numPr>
                <w:ilvl w:val="4"/>
                <w:numId w:val="548"/>
              </w:numPr>
              <w:spacing w:after="147" w:line="264" w:lineRule="auto"/>
              <w:ind w:left="449"/>
              <w:rPr>
                <w:rFonts w:ascii="Arial" w:hAnsi="Arial" w:cs="Arial"/>
                <w:color w:val="00B050"/>
                <w:sz w:val="20"/>
                <w:szCs w:val="20"/>
              </w:rPr>
            </w:pPr>
            <w:r w:rsidRPr="00AC4AEA">
              <w:rPr>
                <w:rFonts w:ascii="Arial" w:hAnsi="Arial" w:cs="Arial"/>
                <w:color w:val="00B050"/>
                <w:sz w:val="20"/>
                <w:szCs w:val="20"/>
              </w:rPr>
              <w:t xml:space="preserve">cobrar/pagar las diferencias entre el precio de cotización de la partida no financiera subyacente a la </w:t>
            </w:r>
            <w:r w:rsidRPr="00AE711C">
              <w:rPr>
                <w:rFonts w:ascii="Arial" w:hAnsi="Arial" w:cs="Arial"/>
                <w:color w:val="00B050"/>
                <w:sz w:val="20"/>
                <w:szCs w:val="20"/>
              </w:rPr>
              <w:t xml:space="preserve">fecha de liquidación del </w:t>
            </w:r>
            <w:r w:rsidRPr="00AE711C">
              <w:rPr>
                <w:rFonts w:ascii="Arial" w:hAnsi="Arial" w:cs="Arial"/>
                <w:b/>
                <w:bCs/>
                <w:color w:val="00B050"/>
                <w:sz w:val="20"/>
                <w:szCs w:val="20"/>
              </w:rPr>
              <w:t xml:space="preserve">contrato </w:t>
            </w:r>
            <w:r w:rsidRPr="00AE711C">
              <w:rPr>
                <w:rFonts w:ascii="Arial" w:hAnsi="Arial" w:cs="Arial"/>
                <w:color w:val="00B050"/>
                <w:sz w:val="20"/>
                <w:szCs w:val="20"/>
              </w:rPr>
              <w:t>y el precio acordado</w:t>
            </w:r>
            <w:r w:rsidR="00EE1BEB" w:rsidRPr="00AE711C">
              <w:rPr>
                <w:rFonts w:ascii="Arial" w:hAnsi="Arial" w:cs="Arial"/>
                <w:color w:val="00B050"/>
                <w:sz w:val="20"/>
                <w:szCs w:val="20"/>
              </w:rPr>
              <w:t>.</w:t>
            </w:r>
          </w:p>
          <w:p w:rsidR="00DA7DF1" w:rsidRPr="00AE711C" w:rsidRDefault="00E23F45" w:rsidP="00E23F45">
            <w:pPr>
              <w:spacing w:after="147" w:line="264" w:lineRule="auto"/>
              <w:rPr>
                <w:rFonts w:ascii="Arial" w:hAnsi="Arial" w:cs="Arial"/>
                <w:color w:val="00B050"/>
                <w:sz w:val="20"/>
                <w:szCs w:val="20"/>
              </w:rPr>
            </w:pPr>
            <w:r w:rsidRPr="00AE711C">
              <w:rPr>
                <w:rFonts w:ascii="Arial" w:hAnsi="Arial" w:cs="Arial"/>
                <w:color w:val="00B050"/>
                <w:sz w:val="20"/>
                <w:szCs w:val="20"/>
              </w:rPr>
              <w:t xml:space="preserve">Cuando </w:t>
            </w:r>
            <w:r w:rsidR="00C1478B" w:rsidRPr="00AE711C">
              <w:rPr>
                <w:rFonts w:ascii="Arial" w:hAnsi="Arial" w:cs="Arial"/>
                <w:color w:val="00B050"/>
                <w:sz w:val="20"/>
                <w:szCs w:val="20"/>
              </w:rPr>
              <w:t>un</w:t>
            </w:r>
            <w:r w:rsidRPr="00AE711C">
              <w:rPr>
                <w:rFonts w:ascii="Arial" w:hAnsi="Arial" w:cs="Arial"/>
                <w:color w:val="00B050"/>
                <w:sz w:val="20"/>
                <w:szCs w:val="20"/>
              </w:rPr>
              <w:t xml:space="preserve"> </w:t>
            </w:r>
            <w:r w:rsidR="00C1478B" w:rsidRPr="00AE711C">
              <w:rPr>
                <w:rFonts w:ascii="Arial" w:hAnsi="Arial" w:cs="Arial"/>
                <w:color w:val="00B050"/>
                <w:sz w:val="20"/>
                <w:szCs w:val="20"/>
              </w:rPr>
              <w:t xml:space="preserve">instrumento </w:t>
            </w:r>
            <w:r w:rsidRPr="00AE711C">
              <w:rPr>
                <w:rFonts w:ascii="Arial" w:hAnsi="Arial" w:cs="Arial"/>
                <w:color w:val="00B050"/>
                <w:sz w:val="20"/>
                <w:szCs w:val="20"/>
              </w:rPr>
              <w:t>derivado no financiero se celebra con la intención de obtener/entregar el subyacente</w:t>
            </w:r>
            <w:r w:rsidR="008915C4" w:rsidRPr="00AE711C">
              <w:rPr>
                <w:rFonts w:ascii="Arial" w:hAnsi="Arial" w:cs="Arial"/>
                <w:color w:val="00B050"/>
                <w:sz w:val="20"/>
                <w:szCs w:val="20"/>
              </w:rPr>
              <w:t>;</w:t>
            </w:r>
            <w:r w:rsidRPr="00AE711C">
              <w:rPr>
                <w:rFonts w:ascii="Arial" w:hAnsi="Arial" w:cs="Arial"/>
                <w:color w:val="00B050"/>
                <w:sz w:val="20"/>
                <w:szCs w:val="20"/>
              </w:rPr>
              <w:t xml:space="preserve"> </w:t>
            </w:r>
            <w:r w:rsidR="00A42987" w:rsidRPr="00AE711C">
              <w:rPr>
                <w:rFonts w:ascii="Arial" w:hAnsi="Arial" w:cs="Arial"/>
                <w:color w:val="00B050"/>
                <w:sz w:val="20"/>
                <w:szCs w:val="20"/>
              </w:rPr>
              <w:t>se trata</w:t>
            </w:r>
            <w:r w:rsidR="008915C4" w:rsidRPr="00AE711C">
              <w:rPr>
                <w:rFonts w:ascii="Arial" w:hAnsi="Arial" w:cs="Arial"/>
                <w:color w:val="00B050"/>
                <w:sz w:val="20"/>
                <w:szCs w:val="20"/>
              </w:rPr>
              <w:t>, en esencia,</w:t>
            </w:r>
            <w:r w:rsidR="00A42987" w:rsidRPr="00AE711C">
              <w:rPr>
                <w:rFonts w:ascii="Arial" w:hAnsi="Arial" w:cs="Arial"/>
                <w:color w:val="00B050"/>
                <w:sz w:val="20"/>
                <w:szCs w:val="20"/>
              </w:rPr>
              <w:t xml:space="preserve"> </w:t>
            </w:r>
            <w:r w:rsidRPr="00AE711C">
              <w:rPr>
                <w:rFonts w:ascii="Arial" w:hAnsi="Arial" w:cs="Arial"/>
                <w:color w:val="00B050"/>
                <w:sz w:val="20"/>
                <w:szCs w:val="20"/>
              </w:rPr>
              <w:t xml:space="preserve">de un contrato para </w:t>
            </w:r>
            <w:r w:rsidR="008915C4" w:rsidRPr="00AE711C">
              <w:rPr>
                <w:rFonts w:ascii="Arial" w:hAnsi="Arial" w:cs="Arial"/>
                <w:color w:val="00B050"/>
                <w:sz w:val="20"/>
                <w:szCs w:val="20"/>
              </w:rPr>
              <w:t xml:space="preserve">la </w:t>
            </w:r>
            <w:r w:rsidRPr="00AE711C">
              <w:rPr>
                <w:rFonts w:ascii="Arial" w:hAnsi="Arial" w:cs="Arial"/>
                <w:color w:val="00B050"/>
                <w:sz w:val="20"/>
                <w:szCs w:val="20"/>
              </w:rPr>
              <w:t xml:space="preserve">compra o </w:t>
            </w:r>
            <w:r w:rsidR="008915C4" w:rsidRPr="00AE711C">
              <w:rPr>
                <w:rFonts w:ascii="Arial" w:hAnsi="Arial" w:cs="Arial"/>
                <w:color w:val="00B050"/>
                <w:sz w:val="20"/>
                <w:szCs w:val="20"/>
              </w:rPr>
              <w:t>venta</w:t>
            </w:r>
            <w:r w:rsidRPr="00AE711C">
              <w:rPr>
                <w:rFonts w:ascii="Arial" w:hAnsi="Arial" w:cs="Arial"/>
                <w:color w:val="00B050"/>
                <w:sz w:val="20"/>
                <w:szCs w:val="20"/>
              </w:rPr>
              <w:t xml:space="preserve"> </w:t>
            </w:r>
            <w:r w:rsidR="00012D8F" w:rsidRPr="00AE711C">
              <w:rPr>
                <w:rFonts w:ascii="Arial" w:hAnsi="Arial" w:cs="Arial"/>
                <w:color w:val="00B050"/>
                <w:sz w:val="20"/>
                <w:szCs w:val="20"/>
              </w:rPr>
              <w:t>tal</w:t>
            </w:r>
            <w:r w:rsidRPr="00AE711C">
              <w:rPr>
                <w:rFonts w:ascii="Arial" w:hAnsi="Arial" w:cs="Arial"/>
                <w:color w:val="00B050"/>
                <w:sz w:val="20"/>
                <w:szCs w:val="20"/>
              </w:rPr>
              <w:t xml:space="preserve"> partida</w:t>
            </w:r>
            <w:r w:rsidR="001D6361" w:rsidRPr="00AE711C">
              <w:rPr>
                <w:rFonts w:ascii="Arial" w:hAnsi="Arial" w:cs="Arial"/>
                <w:color w:val="00B050"/>
                <w:sz w:val="20"/>
                <w:szCs w:val="20"/>
              </w:rPr>
              <w:t>.</w:t>
            </w:r>
            <w:r w:rsidRPr="00AE711C">
              <w:rPr>
                <w:rFonts w:ascii="Arial" w:hAnsi="Arial" w:cs="Arial"/>
                <w:color w:val="00B050"/>
                <w:sz w:val="20"/>
                <w:szCs w:val="20"/>
              </w:rPr>
              <w:t xml:space="preserve"> </w:t>
            </w:r>
            <w:r w:rsidR="001D6361" w:rsidRPr="00AE711C">
              <w:rPr>
                <w:rFonts w:ascii="Arial" w:hAnsi="Arial" w:cs="Arial"/>
                <w:color w:val="00B050"/>
                <w:sz w:val="20"/>
                <w:szCs w:val="20"/>
              </w:rPr>
              <w:t>P</w:t>
            </w:r>
            <w:r w:rsidRPr="00AE711C">
              <w:rPr>
                <w:rFonts w:ascii="Arial" w:hAnsi="Arial" w:cs="Arial"/>
                <w:color w:val="00B050"/>
                <w:sz w:val="20"/>
                <w:szCs w:val="20"/>
              </w:rPr>
              <w:t>or lo tanto</w:t>
            </w:r>
            <w:r w:rsidR="001D6361" w:rsidRPr="00AE711C">
              <w:rPr>
                <w:rFonts w:ascii="Arial" w:hAnsi="Arial" w:cs="Arial"/>
                <w:color w:val="00B050"/>
                <w:sz w:val="20"/>
                <w:szCs w:val="20"/>
              </w:rPr>
              <w:t>,</w:t>
            </w:r>
            <w:r w:rsidRPr="00AE711C">
              <w:rPr>
                <w:rFonts w:ascii="Arial" w:hAnsi="Arial" w:cs="Arial"/>
                <w:color w:val="00B050"/>
                <w:sz w:val="20"/>
                <w:szCs w:val="20"/>
              </w:rPr>
              <w:t xml:space="preserve"> </w:t>
            </w:r>
            <w:r w:rsidR="008915C4" w:rsidRPr="00AE711C">
              <w:rPr>
                <w:rFonts w:ascii="Arial" w:hAnsi="Arial" w:cs="Arial"/>
                <w:color w:val="00B050"/>
                <w:sz w:val="20"/>
                <w:szCs w:val="20"/>
              </w:rPr>
              <w:t xml:space="preserve">dicho instrumento no se contabilizará según las disposiciones establecidas en esta sección; </w:t>
            </w:r>
            <w:r w:rsidRPr="00AE711C">
              <w:rPr>
                <w:rFonts w:ascii="Arial" w:hAnsi="Arial" w:cs="Arial"/>
                <w:color w:val="00B050"/>
                <w:sz w:val="20"/>
                <w:szCs w:val="20"/>
              </w:rPr>
              <w:t xml:space="preserve">excepto </w:t>
            </w:r>
            <w:r w:rsidR="008915C4" w:rsidRPr="00AE711C">
              <w:rPr>
                <w:rFonts w:ascii="Arial" w:hAnsi="Arial" w:cs="Arial"/>
                <w:color w:val="00B050"/>
                <w:sz w:val="20"/>
                <w:szCs w:val="20"/>
              </w:rPr>
              <w:t>que deba</w:t>
            </w:r>
            <w:r w:rsidR="00741284" w:rsidRPr="00AE711C">
              <w:rPr>
                <w:rFonts w:ascii="Arial" w:hAnsi="Arial" w:cs="Arial"/>
                <w:color w:val="00B050"/>
                <w:sz w:val="20"/>
                <w:szCs w:val="20"/>
              </w:rPr>
              <w:t xml:space="preserve"> </w:t>
            </w:r>
            <w:r w:rsidR="008915C4" w:rsidRPr="00AE711C">
              <w:rPr>
                <w:rFonts w:ascii="Arial" w:hAnsi="Arial" w:cs="Arial"/>
                <w:color w:val="00B050"/>
                <w:sz w:val="20"/>
                <w:szCs w:val="20"/>
              </w:rPr>
              <w:t>reconocerse</w:t>
            </w:r>
            <w:r w:rsidR="00741284" w:rsidRPr="00AE711C">
              <w:rPr>
                <w:rFonts w:ascii="Arial" w:hAnsi="Arial" w:cs="Arial"/>
                <w:color w:val="00B050"/>
                <w:sz w:val="20"/>
                <w:szCs w:val="20"/>
              </w:rPr>
              <w:t xml:space="preserve"> un derivado implícito</w:t>
            </w:r>
            <w:r w:rsidR="008915C4" w:rsidRPr="00AE711C">
              <w:rPr>
                <w:rFonts w:ascii="Arial" w:hAnsi="Arial" w:cs="Arial"/>
                <w:color w:val="00B050"/>
                <w:sz w:val="20"/>
                <w:szCs w:val="20"/>
              </w:rPr>
              <w:t>,</w:t>
            </w:r>
            <w:r w:rsidR="00DA7DF1" w:rsidRPr="00AE711C">
              <w:rPr>
                <w:rFonts w:ascii="Arial" w:hAnsi="Arial" w:cs="Arial"/>
                <w:color w:val="00B050"/>
                <w:sz w:val="20"/>
                <w:szCs w:val="20"/>
              </w:rPr>
              <w:t xml:space="preserve"> </w:t>
            </w:r>
            <w:r w:rsidR="008915C4" w:rsidRPr="00AE711C">
              <w:rPr>
                <w:rFonts w:ascii="Arial" w:hAnsi="Arial" w:cs="Arial"/>
                <w:color w:val="00B050"/>
                <w:sz w:val="20"/>
                <w:szCs w:val="20"/>
              </w:rPr>
              <w:t>si</w:t>
            </w:r>
            <w:r w:rsidR="00DA7DF1" w:rsidRPr="00AE711C">
              <w:rPr>
                <w:rFonts w:ascii="Arial" w:hAnsi="Arial" w:cs="Arial"/>
                <w:color w:val="00B050"/>
                <w:sz w:val="20"/>
                <w:szCs w:val="20"/>
              </w:rPr>
              <w:t xml:space="preserve"> correspond</w:t>
            </w:r>
            <w:r w:rsidR="008915C4" w:rsidRPr="00AE711C">
              <w:rPr>
                <w:rFonts w:ascii="Arial" w:hAnsi="Arial" w:cs="Arial"/>
                <w:color w:val="00B050"/>
                <w:sz w:val="20"/>
                <w:szCs w:val="20"/>
              </w:rPr>
              <w:t>e</w:t>
            </w:r>
            <w:r w:rsidR="00DA7DF1" w:rsidRPr="00AE711C">
              <w:rPr>
                <w:rFonts w:ascii="Arial" w:hAnsi="Arial" w:cs="Arial"/>
                <w:color w:val="00B050"/>
                <w:sz w:val="20"/>
                <w:szCs w:val="20"/>
              </w:rPr>
              <w:t xml:space="preserve"> su separación</w:t>
            </w:r>
            <w:r w:rsidR="008915C4" w:rsidRPr="00AE711C">
              <w:rPr>
                <w:rFonts w:ascii="Arial" w:hAnsi="Arial" w:cs="Arial"/>
                <w:color w:val="00B050"/>
                <w:sz w:val="20"/>
                <w:szCs w:val="20"/>
              </w:rPr>
              <w:t>,</w:t>
            </w:r>
            <w:r w:rsidR="00DA7DF1" w:rsidRPr="00AE711C">
              <w:rPr>
                <w:rFonts w:ascii="Arial" w:hAnsi="Arial" w:cs="Arial"/>
                <w:color w:val="00B050"/>
                <w:sz w:val="20"/>
                <w:szCs w:val="20"/>
              </w:rPr>
              <w:t xml:space="preserve"> o </w:t>
            </w:r>
            <w:r w:rsidRPr="00AE711C">
              <w:rPr>
                <w:rFonts w:ascii="Arial" w:hAnsi="Arial" w:cs="Arial"/>
                <w:color w:val="00B050"/>
                <w:sz w:val="20"/>
                <w:szCs w:val="20"/>
              </w:rPr>
              <w:t xml:space="preserve">que </w:t>
            </w:r>
            <w:r w:rsidR="00DA7DF1" w:rsidRPr="00AE711C">
              <w:rPr>
                <w:rFonts w:ascii="Arial" w:hAnsi="Arial" w:cs="Arial"/>
                <w:color w:val="00B050"/>
                <w:sz w:val="20"/>
                <w:szCs w:val="20"/>
              </w:rPr>
              <w:t>ese instrumento sea</w:t>
            </w:r>
            <w:r w:rsidRPr="00AE711C">
              <w:rPr>
                <w:rFonts w:ascii="Arial" w:hAnsi="Arial" w:cs="Arial"/>
                <w:color w:val="00B050"/>
                <w:sz w:val="20"/>
                <w:szCs w:val="20"/>
              </w:rPr>
              <w:t xml:space="preserve"> designado como partida cubierta en una relación de cobertura. </w:t>
            </w:r>
          </w:p>
          <w:p w:rsidR="00DA7DF1" w:rsidRPr="00AC4AEA" w:rsidRDefault="008915C4" w:rsidP="00627CAC">
            <w:pPr>
              <w:spacing w:after="147" w:line="264" w:lineRule="auto"/>
              <w:ind w:left="708"/>
              <w:rPr>
                <w:rFonts w:ascii="Arial" w:hAnsi="Arial" w:cs="Arial"/>
                <w:color w:val="00B050"/>
                <w:sz w:val="20"/>
                <w:szCs w:val="20"/>
              </w:rPr>
            </w:pPr>
            <w:r w:rsidRPr="00AE711C">
              <w:rPr>
                <w:rFonts w:ascii="Arial" w:hAnsi="Arial" w:cs="Arial"/>
                <w:color w:val="00B050"/>
                <w:sz w:val="20"/>
                <w:szCs w:val="20"/>
              </w:rPr>
              <w:t>Ejemplo</w:t>
            </w:r>
            <w:r w:rsidR="00C55F77" w:rsidRPr="00AE711C">
              <w:rPr>
                <w:rFonts w:ascii="Arial" w:hAnsi="Arial" w:cs="Arial"/>
                <w:color w:val="00B050"/>
                <w:sz w:val="20"/>
                <w:szCs w:val="20"/>
              </w:rPr>
              <w:t xml:space="preserve"> de </w:t>
            </w:r>
            <w:r w:rsidR="004D73D4" w:rsidRPr="00AE711C">
              <w:rPr>
                <w:rFonts w:ascii="Arial" w:hAnsi="Arial" w:cs="Arial"/>
                <w:color w:val="00B050"/>
                <w:sz w:val="20"/>
                <w:szCs w:val="20"/>
              </w:rPr>
              <w:t>lo indicado en el párrafo anterior</w:t>
            </w:r>
            <w:r w:rsidRPr="00AE711C">
              <w:rPr>
                <w:rFonts w:ascii="Arial" w:hAnsi="Arial" w:cs="Arial"/>
                <w:color w:val="00B050"/>
                <w:sz w:val="20"/>
                <w:szCs w:val="20"/>
              </w:rPr>
              <w:t>:</w:t>
            </w:r>
            <w:r w:rsidR="00C55F77" w:rsidRPr="00AE711C">
              <w:rPr>
                <w:rFonts w:ascii="Arial" w:hAnsi="Arial" w:cs="Arial"/>
                <w:color w:val="00B050"/>
                <w:sz w:val="20"/>
                <w:szCs w:val="20"/>
              </w:rPr>
              <w:t xml:space="preserve"> un contrato de forward </w:t>
            </w:r>
            <w:r w:rsidR="005E0E8A" w:rsidRPr="00AE711C">
              <w:rPr>
                <w:rFonts w:ascii="Arial" w:hAnsi="Arial" w:cs="Arial"/>
                <w:color w:val="00B050"/>
                <w:sz w:val="20"/>
                <w:szCs w:val="20"/>
              </w:rPr>
              <w:t>c</w:t>
            </w:r>
            <w:r w:rsidR="00C55F77" w:rsidRPr="00AE711C">
              <w:rPr>
                <w:rFonts w:ascii="Arial" w:hAnsi="Arial" w:cs="Arial"/>
                <w:color w:val="00B050"/>
                <w:sz w:val="20"/>
                <w:szCs w:val="20"/>
              </w:rPr>
              <w:t>elebra</w:t>
            </w:r>
            <w:r w:rsidR="005E0E8A" w:rsidRPr="00AE711C">
              <w:rPr>
                <w:rFonts w:ascii="Arial" w:hAnsi="Arial" w:cs="Arial"/>
                <w:color w:val="00B050"/>
                <w:sz w:val="20"/>
                <w:szCs w:val="20"/>
              </w:rPr>
              <w:t>do</w:t>
            </w:r>
            <w:r w:rsidR="00C55F77" w:rsidRPr="00AE711C">
              <w:rPr>
                <w:rFonts w:ascii="Arial" w:hAnsi="Arial" w:cs="Arial"/>
                <w:color w:val="00B050"/>
                <w:sz w:val="20"/>
                <w:szCs w:val="20"/>
              </w:rPr>
              <w:t xml:space="preserve"> </w:t>
            </w:r>
            <w:r w:rsidR="006C5CE8" w:rsidRPr="00AE711C">
              <w:rPr>
                <w:rFonts w:ascii="Arial" w:hAnsi="Arial" w:cs="Arial"/>
                <w:color w:val="00B050"/>
                <w:sz w:val="20"/>
                <w:szCs w:val="20"/>
              </w:rPr>
              <w:t xml:space="preserve">entre </w:t>
            </w:r>
            <w:r w:rsidRPr="00AE711C">
              <w:rPr>
                <w:rFonts w:ascii="Arial" w:hAnsi="Arial" w:cs="Arial"/>
                <w:color w:val="00B050"/>
                <w:sz w:val="20"/>
                <w:szCs w:val="20"/>
              </w:rPr>
              <w:t>fabricante de</w:t>
            </w:r>
            <w:r w:rsidR="00C55F77" w:rsidRPr="00AE711C">
              <w:rPr>
                <w:rFonts w:ascii="Arial" w:hAnsi="Arial" w:cs="Arial"/>
                <w:color w:val="00B050"/>
                <w:sz w:val="20"/>
                <w:szCs w:val="20"/>
              </w:rPr>
              <w:t xml:space="preserve"> harina </w:t>
            </w:r>
            <w:r w:rsidR="006C5CE8" w:rsidRPr="00AE711C">
              <w:rPr>
                <w:rFonts w:ascii="Arial" w:hAnsi="Arial" w:cs="Arial"/>
                <w:color w:val="00B050"/>
                <w:sz w:val="20"/>
                <w:szCs w:val="20"/>
              </w:rPr>
              <w:t xml:space="preserve">y un productor agropecuario </w:t>
            </w:r>
            <w:r w:rsidR="00C55F77" w:rsidRPr="00AE711C">
              <w:rPr>
                <w:rFonts w:ascii="Arial" w:hAnsi="Arial" w:cs="Arial"/>
                <w:color w:val="00B050"/>
                <w:sz w:val="20"/>
                <w:szCs w:val="20"/>
              </w:rPr>
              <w:t xml:space="preserve">para </w:t>
            </w:r>
            <w:r w:rsidRPr="00AE711C">
              <w:rPr>
                <w:rFonts w:ascii="Arial" w:hAnsi="Arial" w:cs="Arial"/>
                <w:color w:val="00B050"/>
                <w:sz w:val="20"/>
                <w:szCs w:val="20"/>
              </w:rPr>
              <w:t>intercambiar</w:t>
            </w:r>
            <w:r w:rsidR="006C5CE8" w:rsidRPr="00AE711C">
              <w:rPr>
                <w:rFonts w:ascii="Arial" w:hAnsi="Arial" w:cs="Arial"/>
                <w:color w:val="00B050"/>
                <w:sz w:val="20"/>
                <w:szCs w:val="20"/>
              </w:rPr>
              <w:t>,</w:t>
            </w:r>
            <w:r w:rsidR="00C55F77" w:rsidRPr="00AE711C">
              <w:rPr>
                <w:rFonts w:ascii="Arial" w:hAnsi="Arial" w:cs="Arial"/>
                <w:color w:val="00B050"/>
                <w:sz w:val="20"/>
                <w:szCs w:val="20"/>
              </w:rPr>
              <w:t xml:space="preserve"> </w:t>
            </w:r>
            <w:r w:rsidR="005E0E8A" w:rsidRPr="00AE711C">
              <w:rPr>
                <w:rFonts w:ascii="Arial" w:hAnsi="Arial" w:cs="Arial"/>
                <w:color w:val="00B050"/>
                <w:sz w:val="20"/>
                <w:szCs w:val="20"/>
              </w:rPr>
              <w:t>en una fecha</w:t>
            </w:r>
            <w:r w:rsidR="00C55F77" w:rsidRPr="00AE711C">
              <w:rPr>
                <w:rFonts w:ascii="Arial" w:hAnsi="Arial" w:cs="Arial"/>
                <w:color w:val="00B050"/>
                <w:sz w:val="20"/>
                <w:szCs w:val="20"/>
              </w:rPr>
              <w:t xml:space="preserve"> futur</w:t>
            </w:r>
            <w:r w:rsidR="005E0E8A" w:rsidRPr="00AE711C">
              <w:rPr>
                <w:rFonts w:ascii="Arial" w:hAnsi="Arial" w:cs="Arial"/>
                <w:color w:val="00B050"/>
                <w:sz w:val="20"/>
                <w:szCs w:val="20"/>
              </w:rPr>
              <w:t>a</w:t>
            </w:r>
            <w:r w:rsidR="006C5CE8" w:rsidRPr="00AE711C">
              <w:rPr>
                <w:rFonts w:ascii="Arial" w:hAnsi="Arial" w:cs="Arial"/>
                <w:color w:val="00B050"/>
                <w:sz w:val="20"/>
                <w:szCs w:val="20"/>
              </w:rPr>
              <w:t xml:space="preserve"> establecida, </w:t>
            </w:r>
            <w:r w:rsidR="00C55F77" w:rsidRPr="00AE711C">
              <w:rPr>
                <w:rFonts w:ascii="Arial" w:hAnsi="Arial" w:cs="Arial"/>
                <w:color w:val="00B050"/>
                <w:sz w:val="20"/>
                <w:szCs w:val="20"/>
              </w:rPr>
              <w:t xml:space="preserve">una cantidad determinada de trigo a un </w:t>
            </w:r>
            <w:r w:rsidR="00FA7A5F" w:rsidRPr="00AE711C">
              <w:rPr>
                <w:rFonts w:ascii="Arial" w:hAnsi="Arial" w:cs="Arial"/>
                <w:color w:val="00B050"/>
                <w:sz w:val="20"/>
                <w:szCs w:val="20"/>
              </w:rPr>
              <w:t>precio fijo definido contractualmente</w:t>
            </w:r>
            <w:r w:rsidR="00FD16F8" w:rsidRPr="00AE711C">
              <w:rPr>
                <w:rFonts w:ascii="Arial" w:hAnsi="Arial" w:cs="Arial"/>
                <w:color w:val="00B050"/>
                <w:sz w:val="20"/>
                <w:szCs w:val="20"/>
              </w:rPr>
              <w:t>,</w:t>
            </w:r>
            <w:r w:rsidR="00C55F77" w:rsidRPr="00AE711C">
              <w:rPr>
                <w:rFonts w:ascii="Arial" w:hAnsi="Arial" w:cs="Arial"/>
                <w:color w:val="00B050"/>
                <w:sz w:val="20"/>
                <w:szCs w:val="20"/>
              </w:rPr>
              <w:t xml:space="preserve"> </w:t>
            </w:r>
            <w:r w:rsidR="00FA7A5F" w:rsidRPr="00AE711C">
              <w:rPr>
                <w:rFonts w:ascii="Arial" w:hAnsi="Arial" w:cs="Arial"/>
                <w:color w:val="00B050"/>
                <w:sz w:val="20"/>
                <w:szCs w:val="20"/>
              </w:rPr>
              <w:t xml:space="preserve">y </w:t>
            </w:r>
            <w:r w:rsidR="002C2368" w:rsidRPr="00AE711C">
              <w:rPr>
                <w:rFonts w:ascii="Arial" w:hAnsi="Arial" w:cs="Arial"/>
                <w:color w:val="00B050"/>
                <w:sz w:val="20"/>
                <w:szCs w:val="20"/>
              </w:rPr>
              <w:t xml:space="preserve">que se </w:t>
            </w:r>
            <w:r w:rsidRPr="00AE711C">
              <w:rPr>
                <w:rFonts w:ascii="Arial" w:hAnsi="Arial" w:cs="Arial"/>
                <w:color w:val="00B050"/>
                <w:sz w:val="20"/>
                <w:szCs w:val="20"/>
              </w:rPr>
              <w:t>liquidará</w:t>
            </w:r>
            <w:r w:rsidR="002C2368" w:rsidRPr="00AE711C">
              <w:rPr>
                <w:rFonts w:ascii="Arial" w:hAnsi="Arial" w:cs="Arial"/>
                <w:color w:val="00B050"/>
                <w:sz w:val="20"/>
                <w:szCs w:val="20"/>
              </w:rPr>
              <w:t xml:space="preserve"> con la entrega del trigo y el pago de la suma acordada</w:t>
            </w:r>
            <w:r w:rsidR="004D73D4" w:rsidRPr="00AE711C">
              <w:rPr>
                <w:rFonts w:ascii="Arial" w:hAnsi="Arial" w:cs="Arial"/>
                <w:color w:val="00B050"/>
                <w:sz w:val="20"/>
                <w:szCs w:val="20"/>
              </w:rPr>
              <w:t xml:space="preserve">. Ese </w:t>
            </w:r>
            <w:r w:rsidR="00FA7A5F" w:rsidRPr="00AE711C">
              <w:rPr>
                <w:rFonts w:ascii="Arial" w:hAnsi="Arial" w:cs="Arial"/>
                <w:color w:val="00B050"/>
                <w:sz w:val="20"/>
                <w:szCs w:val="20"/>
              </w:rPr>
              <w:t>instrumento derivado no financiero</w:t>
            </w:r>
            <w:r w:rsidR="004D73D4" w:rsidRPr="00AE711C">
              <w:rPr>
                <w:rFonts w:ascii="Arial" w:hAnsi="Arial" w:cs="Arial"/>
                <w:color w:val="00B050"/>
                <w:sz w:val="20"/>
                <w:szCs w:val="20"/>
              </w:rPr>
              <w:t xml:space="preserve"> es, en esencia, un contrato para</w:t>
            </w:r>
            <w:r w:rsidR="000D62BE" w:rsidRPr="00AE711C">
              <w:rPr>
                <w:rFonts w:ascii="Arial" w:hAnsi="Arial" w:cs="Arial"/>
                <w:color w:val="00B050"/>
                <w:sz w:val="20"/>
                <w:szCs w:val="20"/>
              </w:rPr>
              <w:t xml:space="preserve"> comprar </w:t>
            </w:r>
            <w:r w:rsidRPr="00AE711C">
              <w:rPr>
                <w:rFonts w:ascii="Arial" w:hAnsi="Arial" w:cs="Arial"/>
                <w:color w:val="00B050"/>
                <w:sz w:val="20"/>
                <w:szCs w:val="20"/>
              </w:rPr>
              <w:t>la</w:t>
            </w:r>
            <w:r w:rsidR="000D62BE" w:rsidRPr="00AE711C">
              <w:rPr>
                <w:rFonts w:ascii="Arial" w:hAnsi="Arial" w:cs="Arial"/>
                <w:color w:val="00B050"/>
                <w:sz w:val="20"/>
                <w:szCs w:val="20"/>
              </w:rPr>
              <w:t xml:space="preserve"> materia prima</w:t>
            </w:r>
            <w:r w:rsidR="00E85E1A" w:rsidRPr="00AE711C">
              <w:rPr>
                <w:rFonts w:ascii="Arial" w:hAnsi="Arial" w:cs="Arial"/>
                <w:color w:val="00B050"/>
                <w:sz w:val="20"/>
                <w:szCs w:val="20"/>
              </w:rPr>
              <w:t xml:space="preserve"> (el trigo)</w:t>
            </w:r>
            <w:r w:rsidR="000D62BE" w:rsidRPr="00AE711C">
              <w:rPr>
                <w:rFonts w:ascii="Arial" w:hAnsi="Arial" w:cs="Arial"/>
                <w:color w:val="00B050"/>
                <w:sz w:val="20"/>
                <w:szCs w:val="20"/>
              </w:rPr>
              <w:t>.</w:t>
            </w:r>
          </w:p>
          <w:p w:rsidR="00BA5242" w:rsidRPr="00AE711C" w:rsidRDefault="00E23F45" w:rsidP="00E23F45">
            <w:pPr>
              <w:spacing w:after="147" w:line="264" w:lineRule="auto"/>
              <w:rPr>
                <w:rFonts w:ascii="Arial" w:hAnsi="Arial" w:cs="Arial"/>
                <w:color w:val="00B050"/>
                <w:sz w:val="20"/>
                <w:szCs w:val="20"/>
              </w:rPr>
            </w:pPr>
            <w:r w:rsidRPr="00AC4AEA">
              <w:rPr>
                <w:rFonts w:ascii="Arial" w:hAnsi="Arial" w:cs="Arial"/>
                <w:color w:val="00B050"/>
                <w:sz w:val="20"/>
                <w:szCs w:val="20"/>
              </w:rPr>
              <w:t xml:space="preserve">En cambio, cuando </w:t>
            </w:r>
            <w:r w:rsidR="00A42987" w:rsidRPr="00AC4AEA">
              <w:rPr>
                <w:rFonts w:ascii="Arial" w:hAnsi="Arial" w:cs="Arial"/>
                <w:color w:val="00B050"/>
                <w:sz w:val="20"/>
                <w:szCs w:val="20"/>
              </w:rPr>
              <w:t>un instrumento</w:t>
            </w:r>
            <w:r w:rsidRPr="00AC4AEA">
              <w:rPr>
                <w:rFonts w:ascii="Arial" w:hAnsi="Arial" w:cs="Arial"/>
                <w:color w:val="00B050"/>
                <w:sz w:val="20"/>
                <w:szCs w:val="20"/>
              </w:rPr>
              <w:t xml:space="preserve"> derivado no financiero se celebra con la intención de cobra</w:t>
            </w:r>
            <w:r w:rsidR="008915C4">
              <w:rPr>
                <w:rFonts w:ascii="Arial" w:hAnsi="Arial" w:cs="Arial"/>
                <w:color w:val="00B050"/>
                <w:sz w:val="20"/>
                <w:szCs w:val="20"/>
              </w:rPr>
              <w:t>r</w:t>
            </w:r>
            <w:r w:rsidRPr="00AC4AEA">
              <w:rPr>
                <w:rFonts w:ascii="Arial" w:hAnsi="Arial" w:cs="Arial"/>
                <w:color w:val="00B050"/>
                <w:sz w:val="20"/>
                <w:szCs w:val="20"/>
              </w:rPr>
              <w:t xml:space="preserve"> /</w:t>
            </w:r>
            <w:r w:rsidR="00FE2ED6">
              <w:rPr>
                <w:rFonts w:ascii="Arial" w:hAnsi="Arial" w:cs="Arial"/>
                <w:color w:val="00B050"/>
                <w:sz w:val="20"/>
                <w:szCs w:val="20"/>
              </w:rPr>
              <w:t xml:space="preserve"> </w:t>
            </w:r>
            <w:r w:rsidRPr="00AC4AEA">
              <w:rPr>
                <w:rFonts w:ascii="Arial" w:hAnsi="Arial" w:cs="Arial"/>
                <w:color w:val="00B050"/>
                <w:sz w:val="20"/>
                <w:szCs w:val="20"/>
              </w:rPr>
              <w:t xml:space="preserve">pagar las diferencias entre el precio de la partida no financiera subyacente </w:t>
            </w:r>
            <w:r w:rsidR="001350F7" w:rsidRPr="00AC4AEA">
              <w:rPr>
                <w:rFonts w:ascii="Arial" w:hAnsi="Arial" w:cs="Arial"/>
                <w:color w:val="00B050"/>
                <w:sz w:val="20"/>
                <w:szCs w:val="20"/>
              </w:rPr>
              <w:t>en</w:t>
            </w:r>
            <w:r w:rsidRPr="00AC4AEA">
              <w:rPr>
                <w:rFonts w:ascii="Arial" w:hAnsi="Arial" w:cs="Arial"/>
                <w:color w:val="00B050"/>
                <w:sz w:val="20"/>
                <w:szCs w:val="20"/>
              </w:rPr>
              <w:t xml:space="preserve"> la fecha de liquidación del contrato y el precio </w:t>
            </w:r>
            <w:r w:rsidR="001350F7" w:rsidRPr="00AC4AEA">
              <w:rPr>
                <w:rFonts w:ascii="Arial" w:hAnsi="Arial" w:cs="Arial"/>
                <w:color w:val="00B050"/>
                <w:sz w:val="20"/>
                <w:szCs w:val="20"/>
              </w:rPr>
              <w:t>fijo contractualmente definido</w:t>
            </w:r>
            <w:r w:rsidRPr="00AC4AEA">
              <w:rPr>
                <w:rFonts w:ascii="Arial" w:hAnsi="Arial" w:cs="Arial"/>
                <w:color w:val="00B050"/>
                <w:sz w:val="20"/>
                <w:szCs w:val="20"/>
              </w:rPr>
              <w:t xml:space="preserve">, funciona igual que los </w:t>
            </w:r>
            <w:r w:rsidR="001350F7" w:rsidRPr="00AC4AEA">
              <w:rPr>
                <w:rFonts w:ascii="Arial" w:hAnsi="Arial" w:cs="Arial"/>
                <w:color w:val="00B050"/>
                <w:sz w:val="20"/>
                <w:szCs w:val="20"/>
              </w:rPr>
              <w:t xml:space="preserve">instrumentos </w:t>
            </w:r>
            <w:r w:rsidRPr="00AC4AEA">
              <w:rPr>
                <w:rFonts w:ascii="Arial" w:hAnsi="Arial" w:cs="Arial"/>
                <w:color w:val="00B050"/>
                <w:sz w:val="20"/>
                <w:szCs w:val="20"/>
              </w:rPr>
              <w:t>derivados financieros</w:t>
            </w:r>
            <w:r w:rsidR="008915C4" w:rsidRPr="00AE711C">
              <w:rPr>
                <w:rFonts w:ascii="Arial" w:hAnsi="Arial" w:cs="Arial"/>
                <w:color w:val="00B050"/>
                <w:sz w:val="20"/>
                <w:szCs w:val="20"/>
              </w:rPr>
              <w:t>;</w:t>
            </w:r>
            <w:r w:rsidRPr="00AE711C">
              <w:rPr>
                <w:rFonts w:ascii="Arial" w:hAnsi="Arial" w:cs="Arial"/>
                <w:color w:val="00B050"/>
                <w:sz w:val="20"/>
                <w:szCs w:val="20"/>
              </w:rPr>
              <w:t xml:space="preserve"> por lo tanto</w:t>
            </w:r>
            <w:r w:rsidR="008915C4" w:rsidRPr="00AE711C">
              <w:rPr>
                <w:rFonts w:ascii="Arial" w:hAnsi="Arial" w:cs="Arial"/>
                <w:color w:val="00B050"/>
                <w:sz w:val="20"/>
                <w:szCs w:val="20"/>
              </w:rPr>
              <w:t>,</w:t>
            </w:r>
            <w:r w:rsidRPr="00AE711C">
              <w:rPr>
                <w:rFonts w:ascii="Arial" w:hAnsi="Arial" w:cs="Arial"/>
                <w:color w:val="00B050"/>
                <w:sz w:val="20"/>
                <w:szCs w:val="20"/>
              </w:rPr>
              <w:t xml:space="preserve"> son contratos </w:t>
            </w:r>
            <w:r w:rsidR="008915C4" w:rsidRPr="00AE711C">
              <w:rPr>
                <w:rFonts w:ascii="Arial" w:hAnsi="Arial" w:cs="Arial"/>
                <w:color w:val="00B050"/>
                <w:sz w:val="20"/>
                <w:szCs w:val="20"/>
              </w:rPr>
              <w:t>cuyo tratamiento se rige por lo establecido en esta sección.</w:t>
            </w:r>
          </w:p>
          <w:p w:rsidR="00627CAC" w:rsidRPr="00AC4AEA" w:rsidRDefault="008915C4" w:rsidP="00627CAC">
            <w:pPr>
              <w:spacing w:after="147" w:line="264" w:lineRule="auto"/>
              <w:ind w:left="708"/>
              <w:rPr>
                <w:rFonts w:ascii="Arial" w:hAnsi="Arial" w:cs="Arial"/>
                <w:color w:val="00B050"/>
                <w:sz w:val="20"/>
                <w:szCs w:val="20"/>
              </w:rPr>
            </w:pPr>
            <w:r w:rsidRPr="00AE711C">
              <w:rPr>
                <w:rFonts w:ascii="Arial" w:hAnsi="Arial" w:cs="Arial"/>
                <w:color w:val="00B050"/>
                <w:sz w:val="20"/>
                <w:szCs w:val="20"/>
              </w:rPr>
              <w:t>Ejemplo continuador del anterior:</w:t>
            </w:r>
            <w:r w:rsidR="00627CAC" w:rsidRPr="00AE711C">
              <w:rPr>
                <w:rFonts w:ascii="Arial" w:hAnsi="Arial" w:cs="Arial"/>
                <w:color w:val="00B050"/>
                <w:sz w:val="20"/>
                <w:szCs w:val="20"/>
              </w:rPr>
              <w:t xml:space="preserve"> </w:t>
            </w:r>
            <w:r w:rsidR="00990269">
              <w:rPr>
                <w:rFonts w:ascii="Arial" w:hAnsi="Arial" w:cs="Arial"/>
                <w:color w:val="00B050"/>
                <w:sz w:val="20"/>
                <w:szCs w:val="20"/>
              </w:rPr>
              <w:t>Con posterioridad a haber celebrado el contrato de forward</w:t>
            </w:r>
            <w:r w:rsidR="00A92D64" w:rsidRPr="00AE711C">
              <w:rPr>
                <w:rFonts w:ascii="Arial" w:hAnsi="Arial" w:cs="Arial"/>
                <w:color w:val="00B050"/>
                <w:sz w:val="20"/>
                <w:szCs w:val="20"/>
              </w:rPr>
              <w:t>,</w:t>
            </w:r>
            <w:r w:rsidR="00EC11D2" w:rsidRPr="00AE711C">
              <w:rPr>
                <w:rFonts w:ascii="Arial" w:hAnsi="Arial" w:cs="Arial"/>
                <w:color w:val="00B050"/>
                <w:sz w:val="20"/>
                <w:szCs w:val="20"/>
              </w:rPr>
              <w:t xml:space="preserve"> </w:t>
            </w:r>
            <w:r w:rsidRPr="00AE711C">
              <w:rPr>
                <w:rFonts w:ascii="Arial" w:hAnsi="Arial" w:cs="Arial"/>
                <w:color w:val="00B050"/>
                <w:sz w:val="20"/>
                <w:szCs w:val="20"/>
              </w:rPr>
              <w:t>el</w:t>
            </w:r>
            <w:r w:rsidR="00A92D64" w:rsidRPr="00AE711C">
              <w:rPr>
                <w:rFonts w:ascii="Arial" w:hAnsi="Arial" w:cs="Arial"/>
                <w:color w:val="00B050"/>
                <w:sz w:val="20"/>
                <w:szCs w:val="20"/>
              </w:rPr>
              <w:t xml:space="preserve"> productor </w:t>
            </w:r>
            <w:r w:rsidRPr="00AE711C">
              <w:rPr>
                <w:rFonts w:ascii="Arial" w:hAnsi="Arial" w:cs="Arial"/>
                <w:color w:val="00B050"/>
                <w:sz w:val="20"/>
                <w:szCs w:val="20"/>
              </w:rPr>
              <w:t>espera</w:t>
            </w:r>
            <w:r w:rsidR="00EC11D2" w:rsidRPr="00AE711C">
              <w:rPr>
                <w:rFonts w:ascii="Arial" w:hAnsi="Arial" w:cs="Arial"/>
                <w:color w:val="00B050"/>
                <w:sz w:val="20"/>
                <w:szCs w:val="20"/>
              </w:rPr>
              <w:t xml:space="preserve"> que el precio </w:t>
            </w:r>
            <w:r w:rsidR="00F86AAB">
              <w:rPr>
                <w:rFonts w:ascii="Arial" w:hAnsi="Arial" w:cs="Arial"/>
                <w:color w:val="00B050"/>
                <w:sz w:val="20"/>
                <w:szCs w:val="20"/>
              </w:rPr>
              <w:t xml:space="preserve">de mercado </w:t>
            </w:r>
            <w:r w:rsidR="00EC11D2" w:rsidRPr="00AE711C">
              <w:rPr>
                <w:rFonts w:ascii="Arial" w:hAnsi="Arial" w:cs="Arial"/>
                <w:color w:val="00B050"/>
                <w:sz w:val="20"/>
                <w:szCs w:val="20"/>
              </w:rPr>
              <w:t>del trigo</w:t>
            </w:r>
            <w:r w:rsidR="00243031" w:rsidRPr="00AE711C">
              <w:rPr>
                <w:rFonts w:ascii="Arial" w:hAnsi="Arial" w:cs="Arial"/>
                <w:color w:val="00B050"/>
                <w:sz w:val="20"/>
                <w:szCs w:val="20"/>
              </w:rPr>
              <w:t>,</w:t>
            </w:r>
            <w:r w:rsidR="00EC11D2" w:rsidRPr="00AE711C">
              <w:rPr>
                <w:rFonts w:ascii="Arial" w:hAnsi="Arial" w:cs="Arial"/>
                <w:color w:val="00B050"/>
                <w:sz w:val="20"/>
                <w:szCs w:val="20"/>
              </w:rPr>
              <w:t xml:space="preserve"> </w:t>
            </w:r>
            <w:r w:rsidR="00243031" w:rsidRPr="00AE711C">
              <w:rPr>
                <w:rFonts w:ascii="Arial" w:hAnsi="Arial" w:cs="Arial"/>
                <w:color w:val="00B050"/>
                <w:sz w:val="20"/>
                <w:szCs w:val="20"/>
              </w:rPr>
              <w:t xml:space="preserve">a la fecha de liquidación del forward, </w:t>
            </w:r>
            <w:r w:rsidR="00F86AAB">
              <w:rPr>
                <w:rFonts w:ascii="Arial" w:hAnsi="Arial" w:cs="Arial"/>
                <w:color w:val="00B050"/>
                <w:sz w:val="20"/>
                <w:szCs w:val="20"/>
              </w:rPr>
              <w:t>sea superior</w:t>
            </w:r>
            <w:r w:rsidR="00A92D64" w:rsidRPr="00AE711C">
              <w:rPr>
                <w:rFonts w:ascii="Arial" w:hAnsi="Arial" w:cs="Arial"/>
                <w:color w:val="00B050"/>
                <w:sz w:val="20"/>
                <w:szCs w:val="20"/>
              </w:rPr>
              <w:t xml:space="preserve"> precio </w:t>
            </w:r>
            <w:r w:rsidRPr="00AE711C">
              <w:rPr>
                <w:rFonts w:ascii="Arial" w:hAnsi="Arial" w:cs="Arial"/>
                <w:color w:val="00B050"/>
                <w:sz w:val="20"/>
                <w:szCs w:val="20"/>
              </w:rPr>
              <w:t>pactado</w:t>
            </w:r>
            <w:r w:rsidR="00EC11D2" w:rsidRPr="00AE711C">
              <w:rPr>
                <w:rFonts w:ascii="Arial" w:hAnsi="Arial" w:cs="Arial"/>
                <w:color w:val="00B050"/>
                <w:sz w:val="20"/>
                <w:szCs w:val="20"/>
              </w:rPr>
              <w:t>. Por ello, compra</w:t>
            </w:r>
            <w:r w:rsidR="007A1346" w:rsidRPr="00AE711C">
              <w:rPr>
                <w:rFonts w:ascii="Arial" w:hAnsi="Arial" w:cs="Arial"/>
                <w:color w:val="00B050"/>
                <w:sz w:val="20"/>
                <w:szCs w:val="20"/>
              </w:rPr>
              <w:t xml:space="preserve"> un</w:t>
            </w:r>
            <w:r w:rsidR="0071420B" w:rsidRPr="00AE711C">
              <w:rPr>
                <w:rFonts w:ascii="Arial" w:hAnsi="Arial" w:cs="Arial"/>
                <w:color w:val="00B050"/>
                <w:sz w:val="20"/>
                <w:szCs w:val="20"/>
              </w:rPr>
              <w:t xml:space="preserve"> </w:t>
            </w:r>
            <w:r w:rsidR="00AB0D38" w:rsidRPr="00AE711C">
              <w:rPr>
                <w:rFonts w:ascii="Arial" w:hAnsi="Arial" w:cs="Arial"/>
                <w:color w:val="00B050"/>
                <w:sz w:val="20"/>
                <w:szCs w:val="20"/>
              </w:rPr>
              <w:t>futuro</w:t>
            </w:r>
            <w:r w:rsidR="00817590">
              <w:rPr>
                <w:rFonts w:ascii="Arial" w:hAnsi="Arial" w:cs="Arial"/>
                <w:color w:val="00B050"/>
                <w:sz w:val="20"/>
                <w:szCs w:val="20"/>
              </w:rPr>
              <w:t xml:space="preserve"> </w:t>
            </w:r>
            <w:r w:rsidR="007A1346" w:rsidRPr="00AE711C">
              <w:rPr>
                <w:rFonts w:ascii="Arial" w:hAnsi="Arial" w:cs="Arial"/>
                <w:color w:val="00B050"/>
                <w:sz w:val="20"/>
                <w:szCs w:val="20"/>
              </w:rPr>
              <w:t>para vender</w:t>
            </w:r>
            <w:r w:rsidR="00D9342A" w:rsidRPr="00AE711C">
              <w:rPr>
                <w:rFonts w:ascii="Arial" w:hAnsi="Arial" w:cs="Arial"/>
                <w:color w:val="00B050"/>
                <w:sz w:val="20"/>
                <w:szCs w:val="20"/>
              </w:rPr>
              <w:t xml:space="preserve"> una cantidad </w:t>
            </w:r>
            <w:r w:rsidR="00B94673" w:rsidRPr="00AE711C">
              <w:rPr>
                <w:rFonts w:ascii="Arial" w:hAnsi="Arial" w:cs="Arial"/>
                <w:color w:val="00B050"/>
                <w:sz w:val="20"/>
                <w:szCs w:val="20"/>
              </w:rPr>
              <w:t xml:space="preserve">de trigo </w:t>
            </w:r>
            <w:r w:rsidR="00D9342A" w:rsidRPr="00AE711C">
              <w:rPr>
                <w:rFonts w:ascii="Arial" w:hAnsi="Arial" w:cs="Arial"/>
                <w:color w:val="00B050"/>
                <w:sz w:val="20"/>
                <w:szCs w:val="20"/>
              </w:rPr>
              <w:t xml:space="preserve">similar a la </w:t>
            </w:r>
            <w:r w:rsidR="00243031" w:rsidRPr="00AE711C">
              <w:rPr>
                <w:rFonts w:ascii="Arial" w:hAnsi="Arial" w:cs="Arial"/>
                <w:color w:val="00B050"/>
                <w:sz w:val="20"/>
                <w:szCs w:val="20"/>
              </w:rPr>
              <w:t>d</w:t>
            </w:r>
            <w:r w:rsidR="00B94673" w:rsidRPr="00AE711C">
              <w:rPr>
                <w:rFonts w:ascii="Arial" w:hAnsi="Arial" w:cs="Arial"/>
                <w:color w:val="00B050"/>
                <w:sz w:val="20"/>
                <w:szCs w:val="20"/>
              </w:rPr>
              <w:t>el forward. E</w:t>
            </w:r>
            <w:r w:rsidR="007A1346" w:rsidRPr="00AE711C">
              <w:rPr>
                <w:rFonts w:ascii="Arial" w:hAnsi="Arial" w:cs="Arial"/>
                <w:color w:val="00B050"/>
                <w:sz w:val="20"/>
                <w:szCs w:val="20"/>
              </w:rPr>
              <w:t>n e</w:t>
            </w:r>
            <w:r w:rsidR="00B94673" w:rsidRPr="00AE711C">
              <w:rPr>
                <w:rFonts w:ascii="Arial" w:hAnsi="Arial" w:cs="Arial"/>
                <w:color w:val="00B050"/>
                <w:sz w:val="20"/>
                <w:szCs w:val="20"/>
              </w:rPr>
              <w:t>l</w:t>
            </w:r>
            <w:r w:rsidR="007A1346" w:rsidRPr="00AE711C">
              <w:rPr>
                <w:rFonts w:ascii="Arial" w:hAnsi="Arial" w:cs="Arial"/>
                <w:color w:val="00B050"/>
                <w:sz w:val="20"/>
                <w:szCs w:val="20"/>
              </w:rPr>
              <w:t xml:space="preserve"> mercado</w:t>
            </w:r>
            <w:r w:rsidR="00C460C5" w:rsidRPr="00AE711C">
              <w:rPr>
                <w:rFonts w:ascii="Arial" w:hAnsi="Arial" w:cs="Arial"/>
                <w:color w:val="00B050"/>
                <w:sz w:val="20"/>
                <w:szCs w:val="20"/>
              </w:rPr>
              <w:t xml:space="preserve"> </w:t>
            </w:r>
            <w:r w:rsidR="00B94673" w:rsidRPr="00AE711C">
              <w:rPr>
                <w:rFonts w:ascii="Arial" w:hAnsi="Arial" w:cs="Arial"/>
                <w:color w:val="00B050"/>
                <w:sz w:val="20"/>
                <w:szCs w:val="20"/>
              </w:rPr>
              <w:t>donde el productor compró el futuro para vender trigo los instrumentos derivados no financieros</w:t>
            </w:r>
            <w:r w:rsidR="00C460C5" w:rsidRPr="00AE711C">
              <w:rPr>
                <w:rFonts w:ascii="Arial" w:hAnsi="Arial" w:cs="Arial"/>
                <w:color w:val="00B050"/>
                <w:sz w:val="20"/>
                <w:szCs w:val="20"/>
              </w:rPr>
              <w:t xml:space="preserve"> se liquidan por la diferencia</w:t>
            </w:r>
            <w:r w:rsidR="00733C20" w:rsidRPr="00AE711C">
              <w:rPr>
                <w:rFonts w:ascii="Arial" w:hAnsi="Arial" w:cs="Arial"/>
                <w:color w:val="00B050"/>
                <w:sz w:val="20"/>
                <w:szCs w:val="20"/>
              </w:rPr>
              <w:t xml:space="preserve"> entre el precio </w:t>
            </w:r>
            <w:r w:rsidR="00243031" w:rsidRPr="00AE711C">
              <w:rPr>
                <w:rFonts w:ascii="Arial" w:hAnsi="Arial" w:cs="Arial"/>
                <w:color w:val="00B050"/>
                <w:sz w:val="20"/>
                <w:szCs w:val="20"/>
              </w:rPr>
              <w:t>contractual</w:t>
            </w:r>
            <w:r w:rsidR="007A1346" w:rsidRPr="00AE711C">
              <w:rPr>
                <w:rFonts w:ascii="Arial" w:hAnsi="Arial" w:cs="Arial"/>
                <w:color w:val="00B050"/>
                <w:sz w:val="20"/>
                <w:szCs w:val="20"/>
              </w:rPr>
              <w:t xml:space="preserve"> </w:t>
            </w:r>
            <w:r w:rsidR="00733C20" w:rsidRPr="00AE711C">
              <w:rPr>
                <w:rFonts w:ascii="Arial" w:hAnsi="Arial" w:cs="Arial"/>
                <w:color w:val="00B050"/>
                <w:sz w:val="20"/>
                <w:szCs w:val="20"/>
              </w:rPr>
              <w:t xml:space="preserve">y el precio de mercado </w:t>
            </w:r>
            <w:r w:rsidR="007A1346" w:rsidRPr="00AE711C">
              <w:rPr>
                <w:rFonts w:ascii="Arial" w:hAnsi="Arial" w:cs="Arial"/>
                <w:color w:val="00B050"/>
                <w:sz w:val="20"/>
                <w:szCs w:val="20"/>
              </w:rPr>
              <w:t xml:space="preserve">de la partida no financiera </w:t>
            </w:r>
            <w:r w:rsidR="001D74DD">
              <w:rPr>
                <w:rFonts w:ascii="Arial" w:hAnsi="Arial" w:cs="Arial"/>
                <w:color w:val="00B050"/>
                <w:sz w:val="20"/>
                <w:szCs w:val="20"/>
              </w:rPr>
              <w:t>a</w:t>
            </w:r>
            <w:r w:rsidR="00733C20" w:rsidRPr="00AE711C">
              <w:rPr>
                <w:rFonts w:ascii="Arial" w:hAnsi="Arial" w:cs="Arial"/>
                <w:color w:val="00B050"/>
                <w:sz w:val="20"/>
                <w:szCs w:val="20"/>
              </w:rPr>
              <w:t xml:space="preserve"> la fecha de liquidación. El productor celebra ese contrato para eliminar el riesgo de </w:t>
            </w:r>
            <w:r w:rsidR="00E55647" w:rsidRPr="00AE711C">
              <w:rPr>
                <w:rFonts w:ascii="Arial" w:hAnsi="Arial" w:cs="Arial"/>
                <w:color w:val="00B050"/>
                <w:sz w:val="20"/>
                <w:szCs w:val="20"/>
              </w:rPr>
              <w:t>que el</w:t>
            </w:r>
            <w:r w:rsidR="007A1346" w:rsidRPr="00AE711C">
              <w:rPr>
                <w:rFonts w:ascii="Arial" w:hAnsi="Arial" w:cs="Arial"/>
                <w:color w:val="00B050"/>
                <w:sz w:val="20"/>
                <w:szCs w:val="20"/>
              </w:rPr>
              <w:t xml:space="preserve"> precio </w:t>
            </w:r>
            <w:r w:rsidR="00E55647" w:rsidRPr="00AE711C">
              <w:rPr>
                <w:rFonts w:ascii="Arial" w:hAnsi="Arial" w:cs="Arial"/>
                <w:color w:val="00B050"/>
                <w:sz w:val="20"/>
                <w:szCs w:val="20"/>
              </w:rPr>
              <w:t xml:space="preserve">de venta </w:t>
            </w:r>
            <w:r w:rsidRPr="00AE711C">
              <w:rPr>
                <w:rFonts w:ascii="Arial" w:hAnsi="Arial" w:cs="Arial"/>
                <w:color w:val="00B050"/>
                <w:sz w:val="20"/>
                <w:szCs w:val="20"/>
              </w:rPr>
              <w:t>pactado</w:t>
            </w:r>
            <w:r w:rsidR="007A1346" w:rsidRPr="00AE711C">
              <w:rPr>
                <w:rFonts w:ascii="Arial" w:hAnsi="Arial" w:cs="Arial"/>
                <w:color w:val="00B050"/>
                <w:sz w:val="20"/>
                <w:szCs w:val="20"/>
              </w:rPr>
              <w:t xml:space="preserve"> con el fabricante </w:t>
            </w:r>
            <w:r w:rsidRPr="00AE711C">
              <w:rPr>
                <w:rFonts w:ascii="Arial" w:hAnsi="Arial" w:cs="Arial"/>
                <w:color w:val="00B050"/>
                <w:sz w:val="20"/>
                <w:szCs w:val="20"/>
              </w:rPr>
              <w:t>resulte</w:t>
            </w:r>
            <w:r w:rsidR="00E55647" w:rsidRPr="00AE711C">
              <w:rPr>
                <w:rFonts w:ascii="Arial" w:hAnsi="Arial" w:cs="Arial"/>
                <w:color w:val="00B050"/>
                <w:sz w:val="20"/>
                <w:szCs w:val="20"/>
              </w:rPr>
              <w:t xml:space="preserve"> inferior al precio de mercado del trigo en la fecha de entrega</w:t>
            </w:r>
            <w:r w:rsidR="007A1346" w:rsidRPr="00AE711C">
              <w:rPr>
                <w:rFonts w:ascii="Arial" w:hAnsi="Arial" w:cs="Arial"/>
                <w:color w:val="00B050"/>
                <w:sz w:val="20"/>
                <w:szCs w:val="20"/>
              </w:rPr>
              <w:t xml:space="preserve">. </w:t>
            </w:r>
            <w:r w:rsidR="00E55647" w:rsidRPr="00AE711C">
              <w:rPr>
                <w:rFonts w:ascii="Arial" w:hAnsi="Arial" w:cs="Arial"/>
                <w:color w:val="00B050"/>
                <w:sz w:val="20"/>
                <w:szCs w:val="20"/>
              </w:rPr>
              <w:t>El contrato bursátil para vender trigo a futuro</w:t>
            </w:r>
            <w:r w:rsidR="00A42987" w:rsidRPr="00AE711C">
              <w:rPr>
                <w:rFonts w:ascii="Arial" w:hAnsi="Arial" w:cs="Arial"/>
                <w:color w:val="00B050"/>
                <w:sz w:val="20"/>
                <w:szCs w:val="20"/>
              </w:rPr>
              <w:t xml:space="preserve">, en esencia, funciona igual que un instrumento </w:t>
            </w:r>
            <w:r w:rsidR="00E55647" w:rsidRPr="00AE711C">
              <w:rPr>
                <w:rFonts w:ascii="Arial" w:hAnsi="Arial" w:cs="Arial"/>
                <w:color w:val="00B050"/>
                <w:sz w:val="20"/>
                <w:szCs w:val="20"/>
              </w:rPr>
              <w:t xml:space="preserve">derivado </w:t>
            </w:r>
            <w:r w:rsidR="00A42987" w:rsidRPr="00AE711C">
              <w:rPr>
                <w:rFonts w:ascii="Arial" w:hAnsi="Arial" w:cs="Arial"/>
                <w:color w:val="00B050"/>
                <w:sz w:val="20"/>
                <w:szCs w:val="20"/>
              </w:rPr>
              <w:t>financiero.</w:t>
            </w:r>
          </w:p>
          <w:p w:rsidR="00E23F45" w:rsidRPr="00AC4AEA" w:rsidRDefault="00E23F45" w:rsidP="00E23F45">
            <w:pPr>
              <w:spacing w:after="147" w:line="264" w:lineRule="auto"/>
              <w:rPr>
                <w:rFonts w:ascii="Arial" w:hAnsi="Arial" w:cs="Arial"/>
                <w:color w:val="00B050"/>
                <w:sz w:val="20"/>
                <w:szCs w:val="20"/>
                <w:u w:val="single"/>
              </w:rPr>
            </w:pPr>
            <w:r w:rsidRPr="00AC4AEA">
              <w:rPr>
                <w:rFonts w:ascii="Arial" w:hAnsi="Arial" w:cs="Arial"/>
                <w:color w:val="00B050"/>
                <w:sz w:val="20"/>
                <w:szCs w:val="20"/>
                <w:u w:val="single"/>
              </w:rPr>
              <w:t>¿Para qué se usan los derivados?</w:t>
            </w:r>
          </w:p>
          <w:p w:rsidR="00E23F45" w:rsidRPr="00AC4AEA" w:rsidRDefault="00E23F45" w:rsidP="00E23F45">
            <w:pPr>
              <w:spacing w:after="147" w:line="264" w:lineRule="auto"/>
              <w:rPr>
                <w:rFonts w:ascii="Arial" w:hAnsi="Arial" w:cs="Arial"/>
                <w:color w:val="00B050"/>
                <w:sz w:val="20"/>
                <w:szCs w:val="20"/>
              </w:rPr>
            </w:pPr>
            <w:r w:rsidRPr="00AC4AEA">
              <w:rPr>
                <w:rFonts w:ascii="Arial" w:hAnsi="Arial" w:cs="Arial"/>
                <w:color w:val="00B050"/>
                <w:sz w:val="20"/>
                <w:szCs w:val="20"/>
              </w:rPr>
              <w:t>Se reconocen dos fines por los cuales las entidades celebran este tipo de contratos:</w:t>
            </w:r>
          </w:p>
          <w:p w:rsidR="00E23F45" w:rsidRPr="00AC4AEA" w:rsidRDefault="00E23F45" w:rsidP="00C01B25">
            <w:pPr>
              <w:pStyle w:val="Prrafodelista"/>
              <w:numPr>
                <w:ilvl w:val="0"/>
                <w:numId w:val="634"/>
              </w:numPr>
              <w:spacing w:after="147" w:line="264" w:lineRule="auto"/>
              <w:ind w:left="308" w:hanging="284"/>
              <w:rPr>
                <w:rFonts w:ascii="Arial" w:hAnsi="Arial" w:cs="Arial"/>
                <w:color w:val="00B050"/>
                <w:sz w:val="20"/>
                <w:szCs w:val="20"/>
              </w:rPr>
            </w:pPr>
            <w:r w:rsidRPr="00AC4AEA">
              <w:rPr>
                <w:rFonts w:ascii="Arial" w:hAnsi="Arial" w:cs="Arial"/>
                <w:color w:val="00B050"/>
                <w:sz w:val="20"/>
                <w:szCs w:val="20"/>
              </w:rPr>
              <w:t>Cobertura de un riesgo.</w:t>
            </w:r>
          </w:p>
          <w:p w:rsidR="001D6361" w:rsidRPr="00AC4AEA" w:rsidRDefault="001D6361" w:rsidP="00C01B25">
            <w:pPr>
              <w:pStyle w:val="Prrafodelista"/>
              <w:numPr>
                <w:ilvl w:val="0"/>
                <w:numId w:val="634"/>
              </w:numPr>
              <w:spacing w:after="147" w:line="264" w:lineRule="auto"/>
              <w:ind w:left="308" w:hanging="284"/>
              <w:rPr>
                <w:rFonts w:ascii="Arial" w:hAnsi="Arial" w:cs="Arial"/>
                <w:color w:val="00B050"/>
                <w:sz w:val="20"/>
                <w:szCs w:val="20"/>
              </w:rPr>
            </w:pPr>
            <w:r w:rsidRPr="00AC4AEA">
              <w:rPr>
                <w:rFonts w:ascii="Arial" w:hAnsi="Arial" w:cs="Arial"/>
                <w:color w:val="00B050"/>
                <w:sz w:val="20"/>
                <w:szCs w:val="20"/>
              </w:rPr>
              <w:t>Otros fines (en cuyo caso se suele hablar de “derivados especulativos”).</w:t>
            </w:r>
          </w:p>
        </w:tc>
      </w:tr>
    </w:tbl>
    <w:p w:rsidR="00AA157C" w:rsidRPr="00AC4AEA" w:rsidRDefault="00AA157C" w:rsidP="00990A77">
      <w:pPr>
        <w:tabs>
          <w:tab w:val="left" w:pos="4879"/>
        </w:tabs>
        <w:spacing w:after="147" w:line="264" w:lineRule="auto"/>
        <w:jc w:val="both"/>
        <w:rPr>
          <w:rFonts w:ascii="Arial" w:eastAsia="Times New Roman" w:hAnsi="Arial" w:cs="Arial"/>
          <w:sz w:val="20"/>
          <w:szCs w:val="20"/>
          <w:lang w:eastAsia="es-AR"/>
        </w:rPr>
      </w:pPr>
    </w:p>
    <w:p w:rsidR="00421257" w:rsidRPr="00AC4AEA" w:rsidRDefault="00421257" w:rsidP="00A318EA">
      <w:pPr>
        <w:pStyle w:val="Ttulo2"/>
        <w:rPr>
          <w:rFonts w:cs="Arial"/>
        </w:rPr>
      </w:pPr>
      <w:bookmarkStart w:id="1226" w:name="_Toc139357054"/>
      <w:r w:rsidRPr="00AC4AEA">
        <w:rPr>
          <w:rFonts w:cs="Arial"/>
        </w:rPr>
        <w:t>Alcance</w:t>
      </w:r>
      <w:bookmarkEnd w:id="1226"/>
      <w:r w:rsidRPr="00AC4AEA">
        <w:rPr>
          <w:rFonts w:cs="Arial"/>
        </w:rPr>
        <w:t xml:space="preserve"> </w:t>
      </w:r>
    </w:p>
    <w:p w:rsidR="00421257" w:rsidRPr="00AE711C" w:rsidRDefault="00421257" w:rsidP="00C01B25">
      <w:pPr>
        <w:numPr>
          <w:ilvl w:val="0"/>
          <w:numId w:val="694"/>
        </w:numPr>
        <w:spacing w:after="147" w:line="264" w:lineRule="auto"/>
        <w:ind w:left="993" w:hanging="567"/>
        <w:jc w:val="both"/>
        <w:rPr>
          <w:rFonts w:ascii="Arial" w:eastAsia="Times New Roman" w:hAnsi="Arial" w:cs="Arial"/>
          <w:sz w:val="20"/>
          <w:szCs w:val="20"/>
          <w:lang w:eastAsia="es-AR"/>
        </w:rPr>
      </w:pPr>
      <w:r w:rsidRPr="00AC4AEA">
        <w:rPr>
          <w:rFonts w:ascii="Arial" w:hAnsi="Arial" w:cs="Arial"/>
          <w:sz w:val="20"/>
          <w:szCs w:val="20"/>
        </w:rPr>
        <w:t xml:space="preserve">Una </w:t>
      </w:r>
      <w:r w:rsidRPr="00AE711C">
        <w:rPr>
          <w:rFonts w:ascii="Arial" w:hAnsi="Arial" w:cs="Arial"/>
          <w:sz w:val="20"/>
          <w:szCs w:val="20"/>
        </w:rPr>
        <w:t xml:space="preserve">entidad </w:t>
      </w:r>
      <w:r w:rsidR="00213D55" w:rsidRPr="00AE711C">
        <w:rPr>
          <w:rFonts w:ascii="Arial" w:hAnsi="Arial" w:cs="Arial"/>
          <w:sz w:val="20"/>
          <w:szCs w:val="20"/>
        </w:rPr>
        <w:t xml:space="preserve">aplicará </w:t>
      </w:r>
      <w:r w:rsidRPr="00AE711C">
        <w:rPr>
          <w:rFonts w:ascii="Arial" w:hAnsi="Arial" w:cs="Arial"/>
          <w:sz w:val="20"/>
          <w:szCs w:val="20"/>
        </w:rPr>
        <w:t xml:space="preserve">las disposiciones de esta sección </w:t>
      </w:r>
      <w:r w:rsidR="00213D55" w:rsidRPr="00AE711C">
        <w:rPr>
          <w:rFonts w:ascii="Arial" w:hAnsi="Arial" w:cs="Arial"/>
          <w:sz w:val="20"/>
          <w:szCs w:val="20"/>
        </w:rPr>
        <w:t xml:space="preserve">a las partidas que cumplan </w:t>
      </w:r>
      <w:r w:rsidR="00F078AE" w:rsidRPr="00AE711C">
        <w:rPr>
          <w:rFonts w:ascii="Arial" w:hAnsi="Arial" w:cs="Arial"/>
          <w:sz w:val="20"/>
          <w:szCs w:val="20"/>
        </w:rPr>
        <w:t>las definiciones establecidas</w:t>
      </w:r>
      <w:r w:rsidR="00213D55" w:rsidRPr="00AE711C">
        <w:rPr>
          <w:rFonts w:ascii="Arial" w:hAnsi="Arial" w:cs="Arial"/>
          <w:sz w:val="20"/>
          <w:szCs w:val="20"/>
        </w:rPr>
        <w:t xml:space="preserve"> en el párrafo </w:t>
      </w:r>
      <w:fldSimple w:instr=" REF _Ref135593262 \r \h  \* MERGEFORMAT ">
        <w:r w:rsidR="00D33A5D" w:rsidRPr="00D33A5D">
          <w:rPr>
            <w:rFonts w:ascii="Arial" w:hAnsi="Arial" w:cs="Arial"/>
            <w:sz w:val="20"/>
            <w:szCs w:val="20"/>
          </w:rPr>
          <w:t>993</w:t>
        </w:r>
      </w:fldSimple>
      <w:r w:rsidR="00F078AE" w:rsidRPr="00AE711C">
        <w:rPr>
          <w:rFonts w:ascii="Arial" w:hAnsi="Arial" w:cs="Arial"/>
          <w:sz w:val="20"/>
          <w:szCs w:val="20"/>
        </w:rPr>
        <w:t xml:space="preserve">, excepto </w:t>
      </w:r>
      <w:r w:rsidR="008915C4" w:rsidRPr="00AE711C">
        <w:rPr>
          <w:rFonts w:ascii="Arial" w:hAnsi="Arial" w:cs="Arial"/>
          <w:sz w:val="20"/>
          <w:szCs w:val="20"/>
        </w:rPr>
        <w:t>que se trate de</w:t>
      </w:r>
      <w:r w:rsidRPr="00AE711C">
        <w:rPr>
          <w:rFonts w:ascii="Arial" w:hAnsi="Arial" w:cs="Arial"/>
          <w:sz w:val="20"/>
          <w:szCs w:val="20"/>
        </w:rPr>
        <w:t xml:space="preserve">: </w:t>
      </w:r>
    </w:p>
    <w:p w:rsidR="00421257" w:rsidRPr="00AE711C" w:rsidRDefault="00421257" w:rsidP="00C01B25">
      <w:pPr>
        <w:numPr>
          <w:ilvl w:val="0"/>
          <w:numId w:val="715"/>
        </w:numPr>
        <w:spacing w:line="264" w:lineRule="auto"/>
        <w:ind w:hanging="459"/>
        <w:jc w:val="both"/>
        <w:rPr>
          <w:rFonts w:ascii="Arial" w:hAnsi="Arial" w:cs="Arial"/>
          <w:sz w:val="20"/>
          <w:szCs w:val="20"/>
        </w:rPr>
      </w:pPr>
      <w:r w:rsidRPr="00AE711C">
        <w:rPr>
          <w:rFonts w:ascii="Arial" w:hAnsi="Arial" w:cs="Arial"/>
          <w:sz w:val="20"/>
          <w:szCs w:val="20"/>
        </w:rPr>
        <w:t xml:space="preserve">Contratos de garantía financiera que obligan efectuar determinados pagos si el deudor no </w:t>
      </w:r>
      <w:r w:rsidR="008915C4" w:rsidRPr="00AE711C">
        <w:rPr>
          <w:rFonts w:ascii="Arial" w:hAnsi="Arial" w:cs="Arial"/>
          <w:sz w:val="20"/>
          <w:szCs w:val="20"/>
        </w:rPr>
        <w:t>paga</w:t>
      </w:r>
      <w:r w:rsidRPr="00AE711C">
        <w:rPr>
          <w:rFonts w:ascii="Arial" w:hAnsi="Arial" w:cs="Arial"/>
          <w:sz w:val="20"/>
          <w:szCs w:val="20"/>
        </w:rPr>
        <w:t xml:space="preserve"> al vencimiento.</w:t>
      </w:r>
      <w:r w:rsidR="006F2C57">
        <w:rPr>
          <w:rFonts w:ascii="Arial" w:hAnsi="Arial" w:cs="Arial"/>
          <w:sz w:val="20"/>
          <w:szCs w:val="20"/>
        </w:rPr>
        <w:t xml:space="preserve"> </w:t>
      </w:r>
    </w:p>
    <w:p w:rsidR="00421257" w:rsidRPr="00AE711C" w:rsidRDefault="00421257" w:rsidP="00C01B25">
      <w:pPr>
        <w:numPr>
          <w:ilvl w:val="0"/>
          <w:numId w:val="715"/>
        </w:numPr>
        <w:spacing w:line="264" w:lineRule="auto"/>
        <w:ind w:hanging="459"/>
        <w:jc w:val="both"/>
        <w:rPr>
          <w:rFonts w:ascii="Arial" w:hAnsi="Arial" w:cs="Arial"/>
          <w:sz w:val="20"/>
          <w:szCs w:val="20"/>
        </w:rPr>
      </w:pPr>
      <w:r w:rsidRPr="00AE711C">
        <w:rPr>
          <w:rFonts w:ascii="Arial" w:hAnsi="Arial" w:cs="Arial"/>
          <w:sz w:val="20"/>
          <w:szCs w:val="20"/>
        </w:rPr>
        <w:t xml:space="preserve">Derechos y obligaciones </w:t>
      </w:r>
      <w:r w:rsidR="00562117" w:rsidRPr="00AE711C">
        <w:rPr>
          <w:rFonts w:ascii="Arial" w:hAnsi="Arial" w:cs="Arial"/>
          <w:sz w:val="20"/>
          <w:szCs w:val="20"/>
        </w:rPr>
        <w:t>procedentes</w:t>
      </w:r>
      <w:r w:rsidRPr="00AE711C">
        <w:rPr>
          <w:rFonts w:ascii="Arial" w:hAnsi="Arial" w:cs="Arial"/>
          <w:sz w:val="20"/>
          <w:szCs w:val="20"/>
        </w:rPr>
        <w:t xml:space="preserve"> de contratos de seguros que cubr</w:t>
      </w:r>
      <w:r w:rsidR="008915C4" w:rsidRPr="00AE711C">
        <w:rPr>
          <w:rFonts w:ascii="Arial" w:hAnsi="Arial" w:cs="Arial"/>
          <w:sz w:val="20"/>
          <w:szCs w:val="20"/>
        </w:rPr>
        <w:t>e</w:t>
      </w:r>
      <w:r w:rsidRPr="00AE711C">
        <w:rPr>
          <w:rFonts w:ascii="Arial" w:hAnsi="Arial" w:cs="Arial"/>
          <w:sz w:val="20"/>
          <w:szCs w:val="20"/>
        </w:rPr>
        <w:t xml:space="preserve">n riesgos distintos de cambios en variables financieras (excepto los derivados incorporados a tales contratos). </w:t>
      </w:r>
    </w:p>
    <w:p w:rsidR="00421257" w:rsidRPr="00AE711C" w:rsidRDefault="00421257" w:rsidP="00C01B25">
      <w:pPr>
        <w:numPr>
          <w:ilvl w:val="0"/>
          <w:numId w:val="715"/>
        </w:numPr>
        <w:spacing w:line="264" w:lineRule="auto"/>
        <w:ind w:hanging="459"/>
        <w:jc w:val="both"/>
        <w:rPr>
          <w:rFonts w:ascii="Arial" w:hAnsi="Arial" w:cs="Arial"/>
          <w:sz w:val="20"/>
          <w:szCs w:val="20"/>
        </w:rPr>
      </w:pPr>
      <w:r w:rsidRPr="00AE711C">
        <w:rPr>
          <w:rFonts w:ascii="Arial" w:hAnsi="Arial" w:cs="Arial"/>
          <w:sz w:val="20"/>
          <w:szCs w:val="20"/>
        </w:rPr>
        <w:t xml:space="preserve">Contratos de compras o ventas de </w:t>
      </w:r>
      <w:r w:rsidR="00FF6A88" w:rsidRPr="00AE711C">
        <w:rPr>
          <w:rFonts w:ascii="Arial" w:hAnsi="Arial" w:cs="Arial"/>
          <w:sz w:val="20"/>
          <w:szCs w:val="20"/>
        </w:rPr>
        <w:t>partidas no financieras</w:t>
      </w:r>
      <w:r w:rsidRPr="00AE711C">
        <w:rPr>
          <w:rFonts w:ascii="Arial" w:hAnsi="Arial" w:cs="Arial"/>
          <w:sz w:val="20"/>
          <w:szCs w:val="20"/>
        </w:rPr>
        <w:t xml:space="preserve"> que: </w:t>
      </w:r>
    </w:p>
    <w:p w:rsidR="00421257" w:rsidRPr="00AE711C" w:rsidRDefault="00421257" w:rsidP="00C01B25">
      <w:pPr>
        <w:numPr>
          <w:ilvl w:val="0"/>
          <w:numId w:val="716"/>
        </w:numPr>
        <w:spacing w:after="147" w:line="264" w:lineRule="auto"/>
        <w:ind w:left="1843" w:hanging="425"/>
        <w:jc w:val="both"/>
        <w:rPr>
          <w:rFonts w:ascii="Arial" w:hAnsi="Arial" w:cs="Arial"/>
          <w:sz w:val="20"/>
          <w:szCs w:val="20"/>
        </w:rPr>
      </w:pPr>
      <w:r w:rsidRPr="00AE711C">
        <w:rPr>
          <w:rFonts w:ascii="Arial" w:hAnsi="Arial" w:cs="Arial"/>
          <w:sz w:val="20"/>
          <w:szCs w:val="20"/>
        </w:rPr>
        <w:t>se refieran a cantidades con expectativa de ser utilizadas o vendidas en el giro normal del negocio durante un período razonable de tiempo;</w:t>
      </w:r>
      <w:r w:rsidR="006F2C57">
        <w:rPr>
          <w:rFonts w:ascii="Arial" w:hAnsi="Arial" w:cs="Arial"/>
          <w:sz w:val="20"/>
          <w:szCs w:val="20"/>
        </w:rPr>
        <w:t xml:space="preserve"> </w:t>
      </w:r>
    </w:p>
    <w:p w:rsidR="00421257" w:rsidRPr="00AE711C" w:rsidRDefault="00421257" w:rsidP="00C01B25">
      <w:pPr>
        <w:numPr>
          <w:ilvl w:val="0"/>
          <w:numId w:val="716"/>
        </w:numPr>
        <w:spacing w:after="149" w:line="256" w:lineRule="auto"/>
        <w:ind w:left="1843" w:hanging="425"/>
        <w:jc w:val="both"/>
        <w:rPr>
          <w:rFonts w:ascii="Arial" w:hAnsi="Arial" w:cs="Arial"/>
          <w:sz w:val="20"/>
          <w:szCs w:val="20"/>
        </w:rPr>
      </w:pPr>
      <w:r w:rsidRPr="00AE711C">
        <w:rPr>
          <w:rFonts w:ascii="Arial" w:hAnsi="Arial" w:cs="Arial"/>
          <w:sz w:val="20"/>
          <w:szCs w:val="20"/>
        </w:rPr>
        <w:t>fueron señalados desde el principio para tal propósito; y</w:t>
      </w:r>
      <w:r w:rsidR="006F2C57">
        <w:rPr>
          <w:rFonts w:ascii="Arial" w:hAnsi="Arial" w:cs="Arial"/>
          <w:sz w:val="20"/>
          <w:szCs w:val="20"/>
        </w:rPr>
        <w:t xml:space="preserve"> </w:t>
      </w:r>
    </w:p>
    <w:p w:rsidR="00421257" w:rsidRPr="00AE711C" w:rsidRDefault="00421257" w:rsidP="00C01B25">
      <w:pPr>
        <w:numPr>
          <w:ilvl w:val="0"/>
          <w:numId w:val="716"/>
        </w:numPr>
        <w:spacing w:after="147" w:line="264" w:lineRule="auto"/>
        <w:ind w:left="1843" w:hanging="425"/>
        <w:jc w:val="both"/>
        <w:rPr>
          <w:rFonts w:ascii="Arial" w:hAnsi="Arial" w:cs="Arial"/>
          <w:sz w:val="20"/>
          <w:szCs w:val="20"/>
        </w:rPr>
      </w:pPr>
      <w:r w:rsidRPr="00AE711C">
        <w:rPr>
          <w:rFonts w:ascii="Arial" w:hAnsi="Arial" w:cs="Arial"/>
          <w:sz w:val="20"/>
          <w:szCs w:val="20"/>
        </w:rPr>
        <w:t>se espera cancelar con la entrega de l</w:t>
      </w:r>
      <w:r w:rsidR="00FF6A88" w:rsidRPr="00AE711C">
        <w:rPr>
          <w:rFonts w:ascii="Arial" w:hAnsi="Arial" w:cs="Arial"/>
          <w:sz w:val="20"/>
          <w:szCs w:val="20"/>
        </w:rPr>
        <w:t>a</w:t>
      </w:r>
      <w:r w:rsidRPr="00AE711C">
        <w:rPr>
          <w:rFonts w:ascii="Arial" w:hAnsi="Arial" w:cs="Arial"/>
          <w:sz w:val="20"/>
          <w:szCs w:val="20"/>
        </w:rPr>
        <w:t xml:space="preserve">s </w:t>
      </w:r>
      <w:r w:rsidR="00FF6A88" w:rsidRPr="00AE711C">
        <w:rPr>
          <w:rFonts w:ascii="Arial" w:hAnsi="Arial" w:cs="Arial"/>
          <w:sz w:val="20"/>
          <w:szCs w:val="20"/>
        </w:rPr>
        <w:t>partidas no financieras</w:t>
      </w:r>
      <w:r w:rsidRPr="00AE711C">
        <w:rPr>
          <w:rFonts w:ascii="Arial" w:hAnsi="Arial" w:cs="Arial"/>
          <w:sz w:val="20"/>
          <w:szCs w:val="20"/>
        </w:rPr>
        <w:t xml:space="preserve"> correspondientes. </w:t>
      </w:r>
    </w:p>
    <w:p w:rsidR="00421257" w:rsidRPr="00AC4AEA" w:rsidRDefault="00421257" w:rsidP="00C01B25">
      <w:pPr>
        <w:numPr>
          <w:ilvl w:val="0"/>
          <w:numId w:val="715"/>
        </w:numPr>
        <w:spacing w:line="264" w:lineRule="auto"/>
        <w:ind w:hanging="459"/>
        <w:jc w:val="both"/>
        <w:rPr>
          <w:rFonts w:ascii="Arial" w:hAnsi="Arial" w:cs="Arial"/>
          <w:sz w:val="20"/>
          <w:szCs w:val="20"/>
        </w:rPr>
      </w:pPr>
      <w:r w:rsidRPr="00AE711C">
        <w:rPr>
          <w:rFonts w:ascii="Arial" w:hAnsi="Arial" w:cs="Arial"/>
          <w:sz w:val="20"/>
          <w:szCs w:val="20"/>
        </w:rPr>
        <w:t>Contratos que establecen contrapartidas de carácter contingente en una combinación de negocios para la entidad adquirente</w:t>
      </w:r>
      <w:r w:rsidRPr="00AC4AEA">
        <w:rPr>
          <w:rFonts w:ascii="Arial" w:hAnsi="Arial" w:cs="Arial"/>
          <w:sz w:val="20"/>
          <w:szCs w:val="20"/>
        </w:rPr>
        <w:t xml:space="preserve">. </w:t>
      </w:r>
    </w:p>
    <w:p w:rsidR="00187050" w:rsidRPr="00AC4AEA" w:rsidRDefault="00A56BE7" w:rsidP="00C01B25">
      <w:pPr>
        <w:numPr>
          <w:ilvl w:val="0"/>
          <w:numId w:val="694"/>
        </w:numPr>
        <w:spacing w:after="147" w:line="264" w:lineRule="auto"/>
        <w:ind w:left="993" w:hanging="567"/>
        <w:jc w:val="both"/>
        <w:rPr>
          <w:rFonts w:ascii="Arial" w:hAnsi="Arial" w:cs="Arial"/>
          <w:sz w:val="20"/>
          <w:szCs w:val="20"/>
        </w:rPr>
      </w:pPr>
      <w:r w:rsidRPr="00AC4AEA">
        <w:rPr>
          <w:rFonts w:ascii="Arial" w:hAnsi="Arial" w:cs="Arial"/>
          <w:sz w:val="20"/>
          <w:szCs w:val="20"/>
        </w:rPr>
        <w:t>Si</w:t>
      </w:r>
      <w:r w:rsidR="00187050" w:rsidRPr="00AC4AEA">
        <w:rPr>
          <w:rFonts w:ascii="Arial" w:hAnsi="Arial" w:cs="Arial"/>
          <w:sz w:val="20"/>
          <w:szCs w:val="20"/>
        </w:rPr>
        <w:t>n perjuicio de lo establecido en el inciso c) del párrafo anterior, una entidad aplicará esta sección</w:t>
      </w:r>
      <w:r w:rsidR="007C5D7A" w:rsidRPr="00AC4AEA">
        <w:rPr>
          <w:rFonts w:ascii="Arial" w:hAnsi="Arial" w:cs="Arial"/>
          <w:sz w:val="20"/>
          <w:szCs w:val="20"/>
        </w:rPr>
        <w:t xml:space="preserve"> para contabilizar</w:t>
      </w:r>
      <w:r w:rsidR="00187050" w:rsidRPr="00AC4AEA">
        <w:rPr>
          <w:rFonts w:ascii="Arial" w:hAnsi="Arial" w:cs="Arial"/>
          <w:sz w:val="20"/>
          <w:szCs w:val="20"/>
        </w:rPr>
        <w:t>:</w:t>
      </w:r>
    </w:p>
    <w:p w:rsidR="007C5D7A" w:rsidRPr="00AC4AEA" w:rsidRDefault="007C5D7A" w:rsidP="00C01B25">
      <w:pPr>
        <w:numPr>
          <w:ilvl w:val="0"/>
          <w:numId w:val="717"/>
        </w:numPr>
        <w:spacing w:line="264" w:lineRule="auto"/>
        <w:ind w:hanging="459"/>
        <w:jc w:val="both"/>
        <w:rPr>
          <w:rFonts w:ascii="Arial" w:hAnsi="Arial" w:cs="Arial"/>
          <w:sz w:val="20"/>
          <w:szCs w:val="20"/>
        </w:rPr>
      </w:pPr>
      <w:r w:rsidRPr="00AC4AEA">
        <w:rPr>
          <w:rFonts w:ascii="Arial" w:hAnsi="Arial" w:cs="Arial"/>
          <w:sz w:val="20"/>
          <w:szCs w:val="20"/>
        </w:rPr>
        <w:t>U</w:t>
      </w:r>
      <w:r w:rsidR="00187050" w:rsidRPr="00AC4AEA">
        <w:rPr>
          <w:rFonts w:ascii="Arial" w:hAnsi="Arial" w:cs="Arial"/>
          <w:sz w:val="20"/>
          <w:szCs w:val="20"/>
        </w:rPr>
        <w:t xml:space="preserve">n derivado implícito en un </w:t>
      </w:r>
      <w:r w:rsidR="00187050" w:rsidRPr="003A4B10">
        <w:rPr>
          <w:rFonts w:ascii="Arial" w:hAnsi="Arial" w:cs="Arial"/>
          <w:b/>
          <w:bCs/>
          <w:sz w:val="20"/>
          <w:szCs w:val="20"/>
        </w:rPr>
        <w:t>contrato</w:t>
      </w:r>
      <w:r w:rsidRPr="003A4B10">
        <w:rPr>
          <w:rFonts w:ascii="Arial" w:hAnsi="Arial" w:cs="Arial"/>
          <w:b/>
          <w:bCs/>
          <w:sz w:val="20"/>
          <w:szCs w:val="20"/>
        </w:rPr>
        <w:t xml:space="preserve"> </w:t>
      </w:r>
      <w:r w:rsidRPr="00AC4AEA">
        <w:rPr>
          <w:rFonts w:ascii="Arial" w:hAnsi="Arial" w:cs="Arial"/>
          <w:sz w:val="20"/>
          <w:szCs w:val="20"/>
        </w:rPr>
        <w:t xml:space="preserve">combinado que sea un </w:t>
      </w:r>
      <w:r w:rsidRPr="003A4B10">
        <w:rPr>
          <w:rFonts w:ascii="Arial" w:hAnsi="Arial" w:cs="Arial"/>
          <w:b/>
          <w:bCs/>
          <w:sz w:val="20"/>
          <w:szCs w:val="20"/>
        </w:rPr>
        <w:t>contrato</w:t>
      </w:r>
      <w:r w:rsidR="00187050" w:rsidRPr="003A4B10">
        <w:rPr>
          <w:rFonts w:ascii="Arial" w:hAnsi="Arial" w:cs="Arial"/>
          <w:b/>
          <w:bCs/>
          <w:sz w:val="20"/>
          <w:szCs w:val="20"/>
        </w:rPr>
        <w:t xml:space="preserve"> </w:t>
      </w:r>
      <w:r w:rsidR="00187050" w:rsidRPr="00AC4AEA">
        <w:rPr>
          <w:rFonts w:ascii="Arial" w:hAnsi="Arial" w:cs="Arial"/>
          <w:sz w:val="20"/>
          <w:szCs w:val="20"/>
        </w:rPr>
        <w:t>para comprar o vender una partida no financiera que tenga las características establecidas en el</w:t>
      </w:r>
      <w:r w:rsidRPr="00AC4AEA">
        <w:rPr>
          <w:rFonts w:ascii="Arial" w:hAnsi="Arial" w:cs="Arial"/>
          <w:sz w:val="20"/>
          <w:szCs w:val="20"/>
        </w:rPr>
        <w:t xml:space="preserve"> c) del párrafo anterior, en la medida que corresponda su separación.</w:t>
      </w:r>
    </w:p>
    <w:p w:rsidR="00187050" w:rsidRPr="00AC4AEA" w:rsidRDefault="005D4F75" w:rsidP="00C01B25">
      <w:pPr>
        <w:numPr>
          <w:ilvl w:val="0"/>
          <w:numId w:val="717"/>
        </w:numPr>
        <w:spacing w:line="264" w:lineRule="auto"/>
        <w:ind w:hanging="459"/>
        <w:jc w:val="both"/>
        <w:rPr>
          <w:rFonts w:ascii="Arial" w:hAnsi="Arial" w:cs="Arial"/>
          <w:sz w:val="20"/>
          <w:szCs w:val="20"/>
        </w:rPr>
      </w:pPr>
      <w:r w:rsidRPr="00AC4AEA">
        <w:rPr>
          <w:rFonts w:ascii="Arial" w:hAnsi="Arial" w:cs="Arial"/>
          <w:sz w:val="20"/>
          <w:szCs w:val="20"/>
        </w:rPr>
        <w:t>Tales contratos, cuando son designados como partidas cubiertas en una relación de cobertura.</w:t>
      </w:r>
      <w:r w:rsidR="00187050" w:rsidRPr="00AC4AEA">
        <w:rPr>
          <w:rFonts w:ascii="Arial" w:hAnsi="Arial" w:cs="Arial"/>
          <w:sz w:val="20"/>
          <w:szCs w:val="20"/>
        </w:rPr>
        <w:t xml:space="preserve"> </w:t>
      </w:r>
    </w:p>
    <w:p w:rsidR="00421257" w:rsidRPr="00AC4AEA" w:rsidRDefault="00421257" w:rsidP="00A318EA">
      <w:pPr>
        <w:spacing w:after="136" w:line="256" w:lineRule="auto"/>
        <w:ind w:left="934"/>
        <w:jc w:val="both"/>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227" w:name="_Toc139357055"/>
      <w:r w:rsidRPr="00AC4AEA">
        <w:rPr>
          <w:rFonts w:cs="Arial"/>
        </w:rPr>
        <w:t>Definiciones</w:t>
      </w:r>
      <w:bookmarkEnd w:id="1227"/>
      <w:r w:rsidRPr="00AC4AEA">
        <w:rPr>
          <w:rFonts w:cs="Arial"/>
        </w:rPr>
        <w:t xml:space="preserve"> </w:t>
      </w:r>
    </w:p>
    <w:p w:rsidR="00421257" w:rsidRPr="00AC4AEA" w:rsidRDefault="00421257" w:rsidP="00C01B25">
      <w:pPr>
        <w:numPr>
          <w:ilvl w:val="0"/>
          <w:numId w:val="694"/>
        </w:numPr>
        <w:spacing w:after="147" w:line="264" w:lineRule="auto"/>
        <w:ind w:left="993" w:hanging="567"/>
        <w:jc w:val="both"/>
        <w:rPr>
          <w:rFonts w:ascii="Arial" w:eastAsia="Times New Roman" w:hAnsi="Arial" w:cs="Arial"/>
          <w:sz w:val="20"/>
          <w:szCs w:val="20"/>
          <w:lang w:eastAsia="es-AR"/>
        </w:rPr>
      </w:pPr>
      <w:bookmarkStart w:id="1228" w:name="_Ref135593262"/>
      <w:r w:rsidRPr="00AC4AEA">
        <w:rPr>
          <w:rFonts w:ascii="Arial" w:hAnsi="Arial" w:cs="Arial"/>
          <w:sz w:val="20"/>
          <w:szCs w:val="20"/>
        </w:rPr>
        <w:t>A los fines del tratamiento de los temas abordados en esta sección, una entidad deberá considerar las siguientes definiciones.</w:t>
      </w:r>
      <w:bookmarkEnd w:id="1228"/>
      <w:r w:rsidRPr="00AC4AEA">
        <w:rPr>
          <w:rFonts w:ascii="Arial" w:hAnsi="Arial" w:cs="Arial"/>
          <w:sz w:val="20"/>
          <w:szCs w:val="20"/>
        </w:rPr>
        <w:t xml:space="preserve"> </w:t>
      </w:r>
    </w:p>
    <w:p w:rsidR="00B277BF" w:rsidRPr="00AC4AEA" w:rsidRDefault="00B277BF" w:rsidP="0018394E">
      <w:pPr>
        <w:spacing w:after="143" w:line="247" w:lineRule="auto"/>
        <w:ind w:left="1276"/>
        <w:jc w:val="both"/>
        <w:rPr>
          <w:rFonts w:ascii="Arial" w:hAnsi="Arial" w:cs="Arial"/>
          <w:sz w:val="20"/>
          <w:szCs w:val="20"/>
          <w:u w:val="single" w:color="211E1E"/>
        </w:rPr>
      </w:pPr>
      <w:r w:rsidRPr="00AC4AEA">
        <w:rPr>
          <w:rFonts w:ascii="Arial" w:hAnsi="Arial" w:cs="Arial"/>
          <w:sz w:val="20"/>
          <w:szCs w:val="20"/>
          <w:u w:val="single" w:color="211E1E"/>
        </w:rPr>
        <w:t>Definiciones generales:</w:t>
      </w:r>
    </w:p>
    <w:p w:rsidR="009B5997" w:rsidRPr="00AE711C" w:rsidRDefault="00421257" w:rsidP="00B277BF">
      <w:pPr>
        <w:spacing w:after="143" w:line="247" w:lineRule="auto"/>
        <w:ind w:left="1701"/>
        <w:jc w:val="both"/>
        <w:rPr>
          <w:rFonts w:ascii="Arial" w:hAnsi="Arial" w:cs="Arial"/>
          <w:sz w:val="20"/>
          <w:szCs w:val="20"/>
        </w:rPr>
      </w:pPr>
      <w:r w:rsidRPr="00AE711C">
        <w:rPr>
          <w:rFonts w:ascii="Arial" w:hAnsi="Arial" w:cs="Arial"/>
          <w:sz w:val="20"/>
          <w:szCs w:val="20"/>
          <w:u w:val="single" w:color="211E1E"/>
        </w:rPr>
        <w:t xml:space="preserve">Derivado </w:t>
      </w:r>
      <w:r w:rsidR="00F0220C" w:rsidRPr="00AE711C">
        <w:rPr>
          <w:rFonts w:ascii="Arial" w:hAnsi="Arial" w:cs="Arial"/>
          <w:sz w:val="20"/>
          <w:szCs w:val="20"/>
          <w:u w:val="single" w:color="211E1E"/>
        </w:rPr>
        <w:t>implícito</w:t>
      </w:r>
      <w:r w:rsidRPr="00AE711C">
        <w:rPr>
          <w:rFonts w:ascii="Arial" w:hAnsi="Arial" w:cs="Arial"/>
          <w:sz w:val="20"/>
          <w:szCs w:val="20"/>
        </w:rPr>
        <w:t xml:space="preserve">: </w:t>
      </w:r>
      <w:r w:rsidR="008915C4" w:rsidRPr="00AE711C">
        <w:rPr>
          <w:rFonts w:ascii="Arial" w:hAnsi="Arial" w:cs="Arial"/>
          <w:sz w:val="20"/>
          <w:szCs w:val="20"/>
        </w:rPr>
        <w:t>C</w:t>
      </w:r>
      <w:r w:rsidR="00227AD5" w:rsidRPr="00AE711C">
        <w:rPr>
          <w:rFonts w:ascii="Arial" w:hAnsi="Arial" w:cs="Arial"/>
          <w:sz w:val="20"/>
          <w:szCs w:val="20"/>
        </w:rPr>
        <w:t>omponente</w:t>
      </w:r>
      <w:r w:rsidRPr="00AE711C">
        <w:rPr>
          <w:rFonts w:ascii="Arial" w:hAnsi="Arial" w:cs="Arial"/>
          <w:sz w:val="20"/>
          <w:szCs w:val="20"/>
        </w:rPr>
        <w:t xml:space="preserve"> </w:t>
      </w:r>
      <w:r w:rsidR="00F0220C" w:rsidRPr="00AE711C">
        <w:rPr>
          <w:rFonts w:ascii="Arial" w:hAnsi="Arial" w:cs="Arial"/>
          <w:sz w:val="20"/>
          <w:szCs w:val="20"/>
        </w:rPr>
        <w:t xml:space="preserve">de un </w:t>
      </w:r>
      <w:r w:rsidR="00F0220C" w:rsidRPr="00AE711C">
        <w:rPr>
          <w:rFonts w:ascii="Arial" w:hAnsi="Arial" w:cs="Arial"/>
          <w:b/>
          <w:bCs/>
          <w:sz w:val="20"/>
          <w:szCs w:val="20"/>
        </w:rPr>
        <w:t>contrato</w:t>
      </w:r>
      <w:r w:rsidRPr="00AE711C">
        <w:rPr>
          <w:rFonts w:ascii="Arial" w:hAnsi="Arial" w:cs="Arial"/>
          <w:b/>
          <w:bCs/>
          <w:sz w:val="20"/>
          <w:szCs w:val="20"/>
        </w:rPr>
        <w:t xml:space="preserve"> </w:t>
      </w:r>
      <w:r w:rsidRPr="00AE711C">
        <w:rPr>
          <w:rFonts w:ascii="Arial" w:hAnsi="Arial" w:cs="Arial"/>
          <w:sz w:val="20"/>
          <w:szCs w:val="20"/>
        </w:rPr>
        <w:t xml:space="preserve">combinado, que incluye un </w:t>
      </w:r>
      <w:r w:rsidRPr="00AE711C">
        <w:rPr>
          <w:rFonts w:ascii="Arial" w:hAnsi="Arial" w:cs="Arial"/>
          <w:b/>
          <w:bCs/>
          <w:sz w:val="20"/>
          <w:szCs w:val="20"/>
        </w:rPr>
        <w:t>contrato</w:t>
      </w:r>
      <w:r w:rsidRPr="00AE711C">
        <w:rPr>
          <w:rFonts w:ascii="Arial" w:hAnsi="Arial" w:cs="Arial"/>
          <w:sz w:val="20"/>
          <w:szCs w:val="20"/>
        </w:rPr>
        <w:t xml:space="preserve"> principal </w:t>
      </w:r>
      <w:r w:rsidR="00736750" w:rsidRPr="00AE711C">
        <w:rPr>
          <w:rFonts w:ascii="Arial" w:hAnsi="Arial" w:cs="Arial"/>
          <w:sz w:val="20"/>
          <w:szCs w:val="20"/>
        </w:rPr>
        <w:t>que no es un derivado</w:t>
      </w:r>
      <w:r w:rsidRPr="00AE711C">
        <w:rPr>
          <w:rFonts w:ascii="Arial" w:hAnsi="Arial" w:cs="Arial"/>
          <w:sz w:val="20"/>
          <w:szCs w:val="20"/>
        </w:rPr>
        <w:t xml:space="preserve">, cuyo efecto es que todos o algunos de los flujos de efectivo del </w:t>
      </w:r>
      <w:r w:rsidR="0005508C" w:rsidRPr="00AE711C">
        <w:rPr>
          <w:rFonts w:ascii="Arial" w:hAnsi="Arial" w:cs="Arial"/>
          <w:b/>
          <w:bCs/>
          <w:sz w:val="20"/>
          <w:szCs w:val="20"/>
        </w:rPr>
        <w:t>contrato</w:t>
      </w:r>
      <w:r w:rsidRPr="00AE711C">
        <w:rPr>
          <w:rFonts w:ascii="Arial" w:hAnsi="Arial" w:cs="Arial"/>
          <w:sz w:val="20"/>
          <w:szCs w:val="20"/>
        </w:rPr>
        <w:t xml:space="preserve"> combinado varí</w:t>
      </w:r>
      <w:r w:rsidR="0005508C" w:rsidRPr="00AE711C">
        <w:rPr>
          <w:rFonts w:ascii="Arial" w:hAnsi="Arial" w:cs="Arial"/>
          <w:sz w:val="20"/>
          <w:szCs w:val="20"/>
        </w:rPr>
        <w:t>e</w:t>
      </w:r>
      <w:r w:rsidRPr="00AE711C">
        <w:rPr>
          <w:rFonts w:ascii="Arial" w:hAnsi="Arial" w:cs="Arial"/>
          <w:sz w:val="20"/>
          <w:szCs w:val="20"/>
        </w:rPr>
        <w:t>n en forma similar a los de un derivado considerado independientemente.</w:t>
      </w:r>
      <w:r w:rsidR="006631A4" w:rsidRPr="00AE711C">
        <w:rPr>
          <w:rFonts w:ascii="Arial" w:hAnsi="Arial" w:cs="Arial"/>
          <w:sz w:val="20"/>
          <w:szCs w:val="20"/>
        </w:rPr>
        <w:t xml:space="preserve"> </w:t>
      </w:r>
      <w:r w:rsidR="009B5997" w:rsidRPr="00AE711C">
        <w:rPr>
          <w:rFonts w:ascii="Arial" w:hAnsi="Arial" w:cs="Arial"/>
          <w:sz w:val="20"/>
          <w:szCs w:val="20"/>
        </w:rPr>
        <w:t>El siguiente es un listado no exhaustivo</w:t>
      </w:r>
      <w:r w:rsidR="0076599B" w:rsidRPr="00AE711C">
        <w:rPr>
          <w:rFonts w:ascii="Arial" w:hAnsi="Arial" w:cs="Arial"/>
          <w:sz w:val="20"/>
          <w:szCs w:val="20"/>
        </w:rPr>
        <w:t xml:space="preserve"> de </w:t>
      </w:r>
      <w:r w:rsidR="009B5997" w:rsidRPr="00AE711C">
        <w:rPr>
          <w:rFonts w:ascii="Arial" w:hAnsi="Arial" w:cs="Arial"/>
          <w:sz w:val="20"/>
          <w:szCs w:val="20"/>
        </w:rPr>
        <w:t>e</w:t>
      </w:r>
      <w:r w:rsidR="006631A4" w:rsidRPr="00AE711C">
        <w:rPr>
          <w:rFonts w:ascii="Arial" w:hAnsi="Arial" w:cs="Arial"/>
          <w:sz w:val="20"/>
          <w:szCs w:val="20"/>
        </w:rPr>
        <w:t xml:space="preserve">jemplos de </w:t>
      </w:r>
      <w:r w:rsidR="003E2098" w:rsidRPr="00AE711C">
        <w:rPr>
          <w:rFonts w:ascii="Arial" w:hAnsi="Arial" w:cs="Arial"/>
          <w:sz w:val="20"/>
          <w:szCs w:val="20"/>
        </w:rPr>
        <w:t>contratos combinados que incluyen un derivado implícito</w:t>
      </w:r>
      <w:r w:rsidR="009B5997" w:rsidRPr="00AE711C">
        <w:rPr>
          <w:rFonts w:ascii="Arial" w:hAnsi="Arial" w:cs="Arial"/>
          <w:sz w:val="20"/>
          <w:szCs w:val="20"/>
        </w:rPr>
        <w:t>:</w:t>
      </w:r>
    </w:p>
    <w:p w:rsidR="00B277BF" w:rsidRPr="00AE711C" w:rsidRDefault="009B5997" w:rsidP="00C01B25">
      <w:pPr>
        <w:pStyle w:val="Prrafodelista"/>
        <w:numPr>
          <w:ilvl w:val="0"/>
          <w:numId w:val="636"/>
        </w:numPr>
        <w:spacing w:after="143" w:line="247" w:lineRule="auto"/>
        <w:ind w:left="2127" w:hanging="426"/>
        <w:jc w:val="both"/>
        <w:rPr>
          <w:rFonts w:ascii="Arial" w:hAnsi="Arial" w:cs="Arial"/>
          <w:sz w:val="20"/>
          <w:szCs w:val="20"/>
        </w:rPr>
      </w:pPr>
      <w:r w:rsidRPr="00AE711C">
        <w:rPr>
          <w:rFonts w:ascii="Arial" w:hAnsi="Arial" w:cs="Arial"/>
          <w:sz w:val="20"/>
          <w:szCs w:val="20"/>
        </w:rPr>
        <w:t xml:space="preserve">un </w:t>
      </w:r>
      <w:r w:rsidR="00C85C3D" w:rsidRPr="00AE711C">
        <w:rPr>
          <w:rFonts w:ascii="Arial" w:hAnsi="Arial" w:cs="Arial"/>
          <w:sz w:val="20"/>
          <w:szCs w:val="20"/>
        </w:rPr>
        <w:t xml:space="preserve">instrumento de deuda que paga </w:t>
      </w:r>
      <w:r w:rsidR="00635413" w:rsidRPr="00AE711C">
        <w:rPr>
          <w:rFonts w:ascii="Arial" w:hAnsi="Arial" w:cs="Arial"/>
          <w:sz w:val="20"/>
          <w:szCs w:val="20"/>
        </w:rPr>
        <w:t>un rendimiento basado en una tasa de interés de referencia</w:t>
      </w:r>
      <w:r w:rsidRPr="00AE711C">
        <w:rPr>
          <w:rFonts w:ascii="Arial" w:hAnsi="Arial" w:cs="Arial"/>
          <w:sz w:val="20"/>
          <w:szCs w:val="20"/>
        </w:rPr>
        <w:t xml:space="preserve"> </w:t>
      </w:r>
      <w:r w:rsidR="00D91EB6" w:rsidRPr="00AE711C">
        <w:rPr>
          <w:rFonts w:ascii="Arial" w:hAnsi="Arial" w:cs="Arial"/>
          <w:sz w:val="20"/>
          <w:szCs w:val="20"/>
        </w:rPr>
        <w:t xml:space="preserve">más los cambios en </w:t>
      </w:r>
      <w:r w:rsidRPr="00AE711C">
        <w:rPr>
          <w:rFonts w:ascii="Arial" w:hAnsi="Arial" w:cs="Arial"/>
          <w:sz w:val="20"/>
          <w:szCs w:val="20"/>
        </w:rPr>
        <w:t xml:space="preserve">el precio de </w:t>
      </w:r>
      <w:r w:rsidR="00D91EB6" w:rsidRPr="00AE711C">
        <w:rPr>
          <w:rFonts w:ascii="Arial" w:hAnsi="Arial" w:cs="Arial"/>
          <w:sz w:val="20"/>
          <w:szCs w:val="20"/>
        </w:rPr>
        <w:t>otro</w:t>
      </w:r>
      <w:r w:rsidRPr="00AE711C">
        <w:rPr>
          <w:rFonts w:ascii="Arial" w:hAnsi="Arial" w:cs="Arial"/>
          <w:sz w:val="20"/>
          <w:szCs w:val="20"/>
        </w:rPr>
        <w:t xml:space="preserve"> </w:t>
      </w:r>
      <w:r w:rsidRPr="00AE711C">
        <w:rPr>
          <w:rFonts w:ascii="Arial" w:hAnsi="Arial" w:cs="Arial"/>
          <w:b/>
          <w:bCs/>
          <w:sz w:val="20"/>
          <w:szCs w:val="20"/>
        </w:rPr>
        <w:t>instrumento financiero</w:t>
      </w:r>
      <w:r w:rsidR="00D91EB6" w:rsidRPr="00AE711C">
        <w:rPr>
          <w:rFonts w:ascii="Arial" w:hAnsi="Arial" w:cs="Arial"/>
          <w:sz w:val="20"/>
          <w:szCs w:val="20"/>
        </w:rPr>
        <w:t>;</w:t>
      </w:r>
      <w:r w:rsidRPr="00AE711C">
        <w:rPr>
          <w:rFonts w:ascii="Arial" w:hAnsi="Arial" w:cs="Arial"/>
          <w:sz w:val="20"/>
          <w:szCs w:val="20"/>
        </w:rPr>
        <w:t xml:space="preserve"> </w:t>
      </w:r>
    </w:p>
    <w:p w:rsidR="00B277BF" w:rsidRPr="00AE711C" w:rsidRDefault="00D91EB6" w:rsidP="00C01B25">
      <w:pPr>
        <w:pStyle w:val="Prrafodelista"/>
        <w:numPr>
          <w:ilvl w:val="0"/>
          <w:numId w:val="636"/>
        </w:numPr>
        <w:spacing w:after="143" w:line="247" w:lineRule="auto"/>
        <w:ind w:left="2127" w:hanging="426"/>
        <w:jc w:val="both"/>
        <w:rPr>
          <w:rFonts w:ascii="Arial" w:hAnsi="Arial" w:cs="Arial"/>
          <w:sz w:val="20"/>
          <w:szCs w:val="20"/>
        </w:rPr>
      </w:pPr>
      <w:r w:rsidRPr="00AE711C">
        <w:rPr>
          <w:rFonts w:ascii="Arial" w:hAnsi="Arial" w:cs="Arial"/>
          <w:sz w:val="20"/>
          <w:szCs w:val="20"/>
        </w:rPr>
        <w:t xml:space="preserve">un </w:t>
      </w:r>
      <w:r w:rsidRPr="00AE711C">
        <w:rPr>
          <w:rFonts w:ascii="Arial" w:hAnsi="Arial" w:cs="Arial"/>
          <w:b/>
          <w:bCs/>
          <w:sz w:val="20"/>
          <w:szCs w:val="20"/>
        </w:rPr>
        <w:t xml:space="preserve">contrato </w:t>
      </w:r>
      <w:r w:rsidRPr="00AE711C">
        <w:rPr>
          <w:rFonts w:ascii="Arial" w:hAnsi="Arial" w:cs="Arial"/>
          <w:sz w:val="20"/>
          <w:szCs w:val="20"/>
        </w:rPr>
        <w:t xml:space="preserve">para arrendar </w:t>
      </w:r>
      <w:r w:rsidR="00333486" w:rsidRPr="00AE711C">
        <w:rPr>
          <w:rFonts w:ascii="Arial" w:hAnsi="Arial" w:cs="Arial"/>
          <w:sz w:val="20"/>
          <w:szCs w:val="20"/>
        </w:rPr>
        <w:t>maquinaria agrícola cuyos pagos se basan en el precio</w:t>
      </w:r>
      <w:r w:rsidR="009B5997" w:rsidRPr="00AE711C">
        <w:rPr>
          <w:rFonts w:ascii="Arial" w:hAnsi="Arial" w:cs="Arial"/>
          <w:sz w:val="20"/>
          <w:szCs w:val="20"/>
        </w:rPr>
        <w:t xml:space="preserve"> de una materia prima cotizada</w:t>
      </w:r>
      <w:r w:rsidR="00333486" w:rsidRPr="00AE711C">
        <w:rPr>
          <w:rFonts w:ascii="Arial" w:hAnsi="Arial" w:cs="Arial"/>
          <w:sz w:val="20"/>
          <w:szCs w:val="20"/>
        </w:rPr>
        <w:t>;</w:t>
      </w:r>
      <w:r w:rsidR="009B5997" w:rsidRPr="00AE711C">
        <w:rPr>
          <w:rFonts w:ascii="Arial" w:hAnsi="Arial" w:cs="Arial"/>
          <w:sz w:val="20"/>
          <w:szCs w:val="20"/>
        </w:rPr>
        <w:t xml:space="preserve"> </w:t>
      </w:r>
    </w:p>
    <w:p w:rsidR="00FA55DD" w:rsidRPr="00AE711C" w:rsidRDefault="00333486" w:rsidP="00C01B25">
      <w:pPr>
        <w:pStyle w:val="Prrafodelista"/>
        <w:numPr>
          <w:ilvl w:val="0"/>
          <w:numId w:val="636"/>
        </w:numPr>
        <w:spacing w:after="143" w:line="247" w:lineRule="auto"/>
        <w:ind w:left="2127" w:hanging="426"/>
        <w:jc w:val="both"/>
        <w:rPr>
          <w:rFonts w:ascii="Arial" w:hAnsi="Arial" w:cs="Arial"/>
          <w:sz w:val="20"/>
          <w:szCs w:val="20"/>
        </w:rPr>
      </w:pPr>
      <w:r w:rsidRPr="00AE711C">
        <w:rPr>
          <w:rFonts w:ascii="Arial" w:hAnsi="Arial" w:cs="Arial"/>
          <w:sz w:val="20"/>
          <w:szCs w:val="20"/>
        </w:rPr>
        <w:lastRenderedPageBreak/>
        <w:t xml:space="preserve">un </w:t>
      </w:r>
      <w:r w:rsidRPr="00AE711C">
        <w:rPr>
          <w:rFonts w:ascii="Arial" w:hAnsi="Arial" w:cs="Arial"/>
          <w:b/>
          <w:bCs/>
          <w:sz w:val="20"/>
          <w:szCs w:val="20"/>
        </w:rPr>
        <w:t xml:space="preserve">contrato </w:t>
      </w:r>
      <w:r w:rsidR="0046363E" w:rsidRPr="00AE711C">
        <w:rPr>
          <w:rFonts w:ascii="Arial" w:hAnsi="Arial" w:cs="Arial"/>
          <w:sz w:val="20"/>
          <w:szCs w:val="20"/>
        </w:rPr>
        <w:t xml:space="preserve">para prestar un servicio en el país, cuyo precio se establece en una </w:t>
      </w:r>
      <w:r w:rsidR="0046363E" w:rsidRPr="00AE711C">
        <w:rPr>
          <w:rFonts w:ascii="Arial" w:hAnsi="Arial" w:cs="Arial"/>
          <w:b/>
          <w:bCs/>
          <w:sz w:val="20"/>
          <w:szCs w:val="20"/>
        </w:rPr>
        <w:t>moneda extranjera</w:t>
      </w:r>
      <w:r w:rsidR="0046363E" w:rsidRPr="00AE711C">
        <w:rPr>
          <w:rFonts w:ascii="Arial" w:hAnsi="Arial" w:cs="Arial"/>
          <w:sz w:val="20"/>
          <w:szCs w:val="20"/>
        </w:rPr>
        <w:t>.</w:t>
      </w:r>
      <w:r w:rsidR="003E2098" w:rsidRPr="00AE711C">
        <w:rPr>
          <w:rFonts w:ascii="Arial" w:hAnsi="Arial" w:cs="Arial"/>
          <w:sz w:val="20"/>
          <w:szCs w:val="20"/>
        </w:rPr>
        <w:t xml:space="preserve"> </w:t>
      </w:r>
    </w:p>
    <w:p w:rsidR="0018394E" w:rsidRPr="00AE711C" w:rsidRDefault="0018394E" w:rsidP="0018394E">
      <w:pPr>
        <w:spacing w:after="143" w:line="247" w:lineRule="auto"/>
        <w:ind w:left="1701"/>
        <w:jc w:val="both"/>
        <w:rPr>
          <w:rFonts w:ascii="Arial" w:hAnsi="Arial" w:cs="Arial"/>
          <w:sz w:val="20"/>
          <w:szCs w:val="20"/>
        </w:rPr>
      </w:pPr>
      <w:r w:rsidRPr="00AE711C">
        <w:rPr>
          <w:rFonts w:ascii="Arial" w:hAnsi="Arial" w:cs="Arial"/>
          <w:sz w:val="20"/>
          <w:szCs w:val="20"/>
          <w:u w:val="single" w:color="211E1E"/>
        </w:rPr>
        <w:t>Instrumento derivado:</w:t>
      </w:r>
      <w:r w:rsidRPr="00AE711C">
        <w:rPr>
          <w:rFonts w:ascii="Arial" w:hAnsi="Arial" w:cs="Arial"/>
          <w:sz w:val="20"/>
          <w:szCs w:val="20"/>
        </w:rPr>
        <w:t xml:space="preserve"> </w:t>
      </w:r>
      <w:r w:rsidR="008915C4" w:rsidRPr="00AE711C">
        <w:rPr>
          <w:rFonts w:ascii="Arial" w:hAnsi="Arial" w:cs="Arial"/>
          <w:b/>
          <w:bCs/>
          <w:sz w:val="20"/>
          <w:szCs w:val="20"/>
        </w:rPr>
        <w:t>C</w:t>
      </w:r>
      <w:r w:rsidRPr="00AE711C">
        <w:rPr>
          <w:rFonts w:ascii="Arial" w:hAnsi="Arial" w:cs="Arial"/>
          <w:b/>
          <w:bCs/>
          <w:sz w:val="20"/>
          <w:szCs w:val="20"/>
        </w:rPr>
        <w:t xml:space="preserve">ontrato </w:t>
      </w:r>
      <w:r w:rsidRPr="00AE711C">
        <w:rPr>
          <w:rFonts w:ascii="Arial" w:hAnsi="Arial" w:cs="Arial"/>
          <w:sz w:val="20"/>
          <w:szCs w:val="20"/>
        </w:rPr>
        <w:t>que tiene las tres características siguientes:</w:t>
      </w:r>
    </w:p>
    <w:p w:rsidR="0018394E" w:rsidRPr="00AE711C" w:rsidRDefault="0018394E" w:rsidP="00C01B25">
      <w:pPr>
        <w:pStyle w:val="Prrafodelista"/>
        <w:numPr>
          <w:ilvl w:val="0"/>
          <w:numId w:val="635"/>
        </w:numPr>
        <w:spacing w:after="143" w:line="247" w:lineRule="auto"/>
        <w:ind w:left="2127" w:hanging="426"/>
        <w:jc w:val="both"/>
        <w:rPr>
          <w:rFonts w:ascii="Arial" w:hAnsi="Arial" w:cs="Arial"/>
          <w:sz w:val="20"/>
          <w:szCs w:val="20"/>
        </w:rPr>
      </w:pPr>
      <w:r w:rsidRPr="00AE711C">
        <w:rPr>
          <w:rFonts w:ascii="Arial" w:hAnsi="Arial" w:cs="Arial"/>
          <w:sz w:val="20"/>
          <w:szCs w:val="20"/>
        </w:rPr>
        <w:t xml:space="preserve">Su valor cambia en respuesta a los cambios en una variable (por ejemplo, una tasa de interés especificada; el precio de un </w:t>
      </w:r>
      <w:r w:rsidRPr="00AE711C">
        <w:rPr>
          <w:rFonts w:ascii="Arial" w:hAnsi="Arial" w:cs="Arial"/>
          <w:b/>
          <w:bCs/>
          <w:sz w:val="20"/>
          <w:szCs w:val="20"/>
        </w:rPr>
        <w:t>instrumento financiero</w:t>
      </w:r>
      <w:r w:rsidRPr="00AE711C">
        <w:rPr>
          <w:rFonts w:ascii="Arial" w:hAnsi="Arial" w:cs="Arial"/>
          <w:sz w:val="20"/>
          <w:szCs w:val="20"/>
        </w:rPr>
        <w:t xml:space="preserve">; el precio de una materia prima cotizada; una tasa de cambio de la </w:t>
      </w:r>
      <w:r w:rsidRPr="00AE711C">
        <w:rPr>
          <w:rFonts w:ascii="Arial" w:hAnsi="Arial" w:cs="Arial"/>
          <w:b/>
          <w:bCs/>
          <w:sz w:val="20"/>
          <w:szCs w:val="20"/>
        </w:rPr>
        <w:t>moneda extranjera</w:t>
      </w:r>
      <w:r w:rsidRPr="00AE711C">
        <w:rPr>
          <w:rFonts w:ascii="Arial" w:hAnsi="Arial" w:cs="Arial"/>
          <w:sz w:val="20"/>
          <w:szCs w:val="20"/>
        </w:rPr>
        <w:t>; un índice de precios o de tasas de interés; una calificación o índice de carácter crediticio)</w:t>
      </w:r>
      <w:r w:rsidR="008915C4" w:rsidRPr="00AE711C">
        <w:rPr>
          <w:rFonts w:ascii="Arial" w:hAnsi="Arial" w:cs="Arial"/>
          <w:sz w:val="20"/>
          <w:szCs w:val="20"/>
        </w:rPr>
        <w:t>. Si esta variable</w:t>
      </w:r>
      <w:r w:rsidRPr="00AE711C">
        <w:rPr>
          <w:rFonts w:ascii="Arial" w:hAnsi="Arial" w:cs="Arial"/>
          <w:sz w:val="20"/>
          <w:szCs w:val="20"/>
        </w:rPr>
        <w:t xml:space="preserve"> </w:t>
      </w:r>
      <w:r w:rsidR="008915C4" w:rsidRPr="00AE711C">
        <w:rPr>
          <w:rFonts w:ascii="Arial" w:hAnsi="Arial" w:cs="Arial"/>
          <w:sz w:val="20"/>
          <w:szCs w:val="20"/>
        </w:rPr>
        <w:t>no fuera</w:t>
      </w:r>
      <w:r w:rsidRPr="00AE711C">
        <w:rPr>
          <w:rFonts w:ascii="Arial" w:hAnsi="Arial" w:cs="Arial"/>
          <w:sz w:val="20"/>
          <w:szCs w:val="20"/>
        </w:rPr>
        <w:t xml:space="preserve"> financiera no </w:t>
      </w:r>
      <w:r w:rsidR="008915C4" w:rsidRPr="00AE711C">
        <w:rPr>
          <w:rFonts w:ascii="Arial" w:hAnsi="Arial" w:cs="Arial"/>
          <w:sz w:val="20"/>
          <w:szCs w:val="20"/>
        </w:rPr>
        <w:t>debe ser</w:t>
      </w:r>
      <w:r w:rsidRPr="00AE711C">
        <w:rPr>
          <w:rFonts w:ascii="Arial" w:hAnsi="Arial" w:cs="Arial"/>
          <w:sz w:val="20"/>
          <w:szCs w:val="20"/>
        </w:rPr>
        <w:t xml:space="preserve"> específica para una de las partes del </w:t>
      </w:r>
      <w:r w:rsidRPr="00AE711C">
        <w:rPr>
          <w:rFonts w:ascii="Arial" w:hAnsi="Arial" w:cs="Arial"/>
          <w:b/>
          <w:bCs/>
          <w:sz w:val="20"/>
          <w:szCs w:val="20"/>
        </w:rPr>
        <w:t xml:space="preserve">contrato </w:t>
      </w:r>
      <w:r w:rsidRPr="00AE711C">
        <w:rPr>
          <w:rFonts w:ascii="Arial" w:hAnsi="Arial" w:cs="Arial"/>
          <w:sz w:val="20"/>
          <w:szCs w:val="20"/>
        </w:rPr>
        <w:t>(se denomina “subyacente” a esta variable).</w:t>
      </w:r>
    </w:p>
    <w:p w:rsidR="0018394E" w:rsidRPr="00AE711C" w:rsidRDefault="0018394E" w:rsidP="00C01B25">
      <w:pPr>
        <w:pStyle w:val="Prrafodelista"/>
        <w:numPr>
          <w:ilvl w:val="0"/>
          <w:numId w:val="635"/>
        </w:numPr>
        <w:spacing w:after="143" w:line="247" w:lineRule="auto"/>
        <w:ind w:left="2127" w:hanging="426"/>
        <w:jc w:val="both"/>
        <w:rPr>
          <w:rFonts w:ascii="Arial" w:hAnsi="Arial" w:cs="Arial"/>
          <w:sz w:val="20"/>
          <w:szCs w:val="20"/>
        </w:rPr>
      </w:pPr>
      <w:r w:rsidRPr="00AE711C">
        <w:rPr>
          <w:rFonts w:ascii="Arial" w:hAnsi="Arial" w:cs="Arial"/>
          <w:sz w:val="20"/>
          <w:szCs w:val="20"/>
        </w:rPr>
        <w:t>No requiere una inversión inicial neta o solo obliga a realizar una inversión inferior a la que se requeriría para otros tipos de contratos, en los que se podría esperar una respuesta similar ante cambios en las condiciones de mercado.</w:t>
      </w:r>
    </w:p>
    <w:p w:rsidR="0018394E" w:rsidRPr="00AE711C" w:rsidRDefault="0018394E" w:rsidP="00C01B25">
      <w:pPr>
        <w:pStyle w:val="Prrafodelista"/>
        <w:numPr>
          <w:ilvl w:val="0"/>
          <w:numId w:val="635"/>
        </w:numPr>
        <w:spacing w:after="143" w:line="247" w:lineRule="auto"/>
        <w:ind w:left="2127" w:hanging="426"/>
        <w:jc w:val="both"/>
        <w:rPr>
          <w:rFonts w:ascii="Arial" w:hAnsi="Arial" w:cs="Arial"/>
          <w:sz w:val="20"/>
          <w:szCs w:val="20"/>
        </w:rPr>
      </w:pPr>
      <w:r w:rsidRPr="00AE711C">
        <w:rPr>
          <w:rFonts w:ascii="Arial" w:hAnsi="Arial" w:cs="Arial"/>
          <w:sz w:val="20"/>
          <w:szCs w:val="20"/>
        </w:rPr>
        <w:t>Se liquidará en una fecha futura.</w:t>
      </w:r>
    </w:p>
    <w:p w:rsidR="00FA55DD" w:rsidRPr="00AC4AEA" w:rsidRDefault="00FA55DD" w:rsidP="00FA55DD">
      <w:pPr>
        <w:pStyle w:val="Prrafodelista"/>
        <w:ind w:left="1694"/>
        <w:jc w:val="both"/>
        <w:rPr>
          <w:rFonts w:ascii="Arial" w:hAnsi="Arial" w:cs="Arial"/>
          <w:sz w:val="20"/>
          <w:szCs w:val="20"/>
          <w:u w:val="single" w:color="000000"/>
        </w:rPr>
      </w:pPr>
    </w:p>
    <w:p w:rsidR="00FA55DD" w:rsidRPr="00AC4AEA" w:rsidRDefault="00FA55DD" w:rsidP="00FA55DD">
      <w:pPr>
        <w:pStyle w:val="Prrafodelista"/>
        <w:ind w:left="1694"/>
        <w:jc w:val="both"/>
        <w:rPr>
          <w:rFonts w:ascii="Arial" w:hAnsi="Arial" w:cs="Arial"/>
          <w:sz w:val="20"/>
          <w:szCs w:val="20"/>
        </w:rPr>
      </w:pPr>
      <w:r w:rsidRPr="00AC4AEA">
        <w:rPr>
          <w:rFonts w:ascii="Arial" w:hAnsi="Arial" w:cs="Arial"/>
          <w:sz w:val="20"/>
          <w:szCs w:val="20"/>
          <w:u w:val="single" w:color="000000"/>
        </w:rPr>
        <w:t>Variable subyacente</w:t>
      </w:r>
      <w:r w:rsidRPr="00AC4AEA">
        <w:rPr>
          <w:rFonts w:ascii="Arial" w:hAnsi="Arial" w:cs="Arial"/>
          <w:sz w:val="20"/>
          <w:szCs w:val="20"/>
        </w:rPr>
        <w:t xml:space="preserve">: </w:t>
      </w:r>
      <w:r w:rsidR="008915C4">
        <w:rPr>
          <w:rFonts w:ascii="Arial" w:hAnsi="Arial" w:cs="Arial"/>
          <w:sz w:val="20"/>
          <w:szCs w:val="20"/>
        </w:rPr>
        <w:t>T</w:t>
      </w:r>
      <w:r w:rsidRPr="00AC4AEA">
        <w:rPr>
          <w:rFonts w:ascii="Arial" w:hAnsi="Arial" w:cs="Arial"/>
          <w:sz w:val="20"/>
          <w:szCs w:val="20"/>
        </w:rPr>
        <w:t xml:space="preserve">asa de interés, precio de una materia prima cotizada, </w:t>
      </w:r>
      <w:r w:rsidR="00AE711C">
        <w:rPr>
          <w:rFonts w:ascii="Arial" w:hAnsi="Arial" w:cs="Arial"/>
          <w:sz w:val="20"/>
          <w:szCs w:val="20"/>
        </w:rPr>
        <w:t>tipo</w:t>
      </w:r>
      <w:r w:rsidRPr="00AC4AEA">
        <w:rPr>
          <w:rFonts w:ascii="Arial" w:hAnsi="Arial" w:cs="Arial"/>
          <w:sz w:val="20"/>
          <w:szCs w:val="20"/>
        </w:rPr>
        <w:t xml:space="preserve"> de cambio de una </w:t>
      </w:r>
      <w:r w:rsidRPr="002B0F58">
        <w:rPr>
          <w:rFonts w:ascii="Arial" w:hAnsi="Arial" w:cs="Arial"/>
          <w:b/>
          <w:bCs/>
          <w:sz w:val="20"/>
          <w:szCs w:val="20"/>
        </w:rPr>
        <w:t>moneda extranjera</w:t>
      </w:r>
      <w:r w:rsidRPr="00AC4AEA">
        <w:rPr>
          <w:rFonts w:ascii="Arial" w:hAnsi="Arial" w:cs="Arial"/>
          <w:sz w:val="20"/>
          <w:szCs w:val="20"/>
        </w:rPr>
        <w:t xml:space="preserve">, índice de precios, calificación o </w:t>
      </w:r>
      <w:r w:rsidRPr="00E3371D">
        <w:rPr>
          <w:rFonts w:ascii="Arial" w:hAnsi="Arial" w:cs="Arial"/>
          <w:sz w:val="20"/>
          <w:szCs w:val="20"/>
        </w:rPr>
        <w:t xml:space="preserve">índice de carácter crediticio o cualquier otra variable que, en el caso de no ser financiera, no </w:t>
      </w:r>
      <w:r w:rsidR="008915C4" w:rsidRPr="00E3371D">
        <w:rPr>
          <w:rFonts w:ascii="Arial" w:hAnsi="Arial" w:cs="Arial"/>
          <w:sz w:val="20"/>
          <w:szCs w:val="20"/>
        </w:rPr>
        <w:t>debe ser</w:t>
      </w:r>
      <w:r w:rsidRPr="00E3371D">
        <w:rPr>
          <w:rFonts w:ascii="Arial" w:hAnsi="Arial" w:cs="Arial"/>
          <w:sz w:val="20"/>
          <w:szCs w:val="20"/>
        </w:rPr>
        <w:t xml:space="preserve"> específica para una de las partes del contrato.</w:t>
      </w:r>
      <w:r w:rsidRPr="00AC4AEA">
        <w:rPr>
          <w:rFonts w:ascii="Arial" w:hAnsi="Arial" w:cs="Arial"/>
          <w:sz w:val="20"/>
          <w:szCs w:val="20"/>
        </w:rPr>
        <w:t xml:space="preserve"> </w:t>
      </w:r>
    </w:p>
    <w:p w:rsidR="00B277BF" w:rsidRPr="00DD1431" w:rsidRDefault="00B277BF" w:rsidP="001C660C">
      <w:pPr>
        <w:spacing w:after="143" w:line="247" w:lineRule="auto"/>
        <w:ind w:left="1276"/>
        <w:jc w:val="both"/>
        <w:rPr>
          <w:rFonts w:ascii="Arial" w:hAnsi="Arial" w:cs="Arial"/>
          <w:sz w:val="20"/>
          <w:szCs w:val="20"/>
          <w:u w:val="single" w:color="211E1E"/>
        </w:rPr>
      </w:pPr>
      <w:r w:rsidRPr="00AC4AEA">
        <w:rPr>
          <w:rFonts w:ascii="Arial" w:hAnsi="Arial" w:cs="Arial"/>
          <w:sz w:val="20"/>
          <w:szCs w:val="20"/>
          <w:u w:val="single" w:color="211E1E"/>
        </w:rPr>
        <w:t xml:space="preserve">Definiciones relacionadas con el uso </w:t>
      </w:r>
      <w:r w:rsidRPr="00DD1431">
        <w:rPr>
          <w:rFonts w:ascii="Arial" w:hAnsi="Arial" w:cs="Arial"/>
          <w:sz w:val="20"/>
          <w:szCs w:val="20"/>
          <w:u w:val="single" w:color="211E1E"/>
        </w:rPr>
        <w:t>de contabilidad de coberturas:</w:t>
      </w:r>
    </w:p>
    <w:p w:rsidR="00B277BF" w:rsidRPr="00DD1431" w:rsidRDefault="00B277BF" w:rsidP="00B277BF">
      <w:pPr>
        <w:spacing w:after="148"/>
        <w:ind w:left="1701"/>
        <w:jc w:val="both"/>
        <w:rPr>
          <w:rFonts w:ascii="Arial" w:hAnsi="Arial" w:cs="Arial"/>
          <w:sz w:val="20"/>
          <w:szCs w:val="20"/>
        </w:rPr>
      </w:pPr>
      <w:r w:rsidRPr="00DD1431">
        <w:rPr>
          <w:rFonts w:ascii="Arial" w:hAnsi="Arial" w:cs="Arial"/>
          <w:sz w:val="20"/>
          <w:szCs w:val="20"/>
          <w:u w:val="single" w:color="211E1E"/>
        </w:rPr>
        <w:t>Compromisos en firme no reconocidos contablemente</w:t>
      </w:r>
      <w:r w:rsidRPr="00DD1431">
        <w:rPr>
          <w:rFonts w:ascii="Arial" w:hAnsi="Arial" w:cs="Arial"/>
          <w:sz w:val="20"/>
          <w:szCs w:val="20"/>
        </w:rPr>
        <w:t xml:space="preserve">: </w:t>
      </w:r>
      <w:r w:rsidR="008915C4" w:rsidRPr="00DD1431">
        <w:rPr>
          <w:rFonts w:ascii="Arial" w:hAnsi="Arial" w:cs="Arial"/>
          <w:sz w:val="20"/>
          <w:szCs w:val="20"/>
        </w:rPr>
        <w:t>A</w:t>
      </w:r>
      <w:r w:rsidRPr="00DD1431">
        <w:rPr>
          <w:rFonts w:ascii="Arial" w:hAnsi="Arial" w:cs="Arial"/>
          <w:sz w:val="20"/>
          <w:szCs w:val="20"/>
        </w:rPr>
        <w:t>cuerdo irrevocable para intercambiar una cantidad especificada de recurso a un precio determinado, en una fecha o fechas futuras prefijadas.</w:t>
      </w:r>
      <w:r w:rsidR="006F2C57">
        <w:rPr>
          <w:rFonts w:ascii="Arial" w:hAnsi="Arial" w:cs="Arial"/>
          <w:sz w:val="20"/>
          <w:szCs w:val="20"/>
        </w:rPr>
        <w:t xml:space="preserve"> </w:t>
      </w:r>
    </w:p>
    <w:p w:rsidR="00421257" w:rsidRPr="00AC4AEA" w:rsidRDefault="00421257" w:rsidP="00B277BF">
      <w:pPr>
        <w:spacing w:after="143" w:line="247" w:lineRule="auto"/>
        <w:ind w:left="1701"/>
        <w:jc w:val="both"/>
        <w:rPr>
          <w:rFonts w:ascii="Arial" w:hAnsi="Arial" w:cs="Arial"/>
          <w:sz w:val="20"/>
          <w:szCs w:val="20"/>
        </w:rPr>
      </w:pPr>
      <w:r w:rsidRPr="00DD1431">
        <w:rPr>
          <w:rFonts w:ascii="Arial" w:hAnsi="Arial" w:cs="Arial"/>
          <w:sz w:val="20"/>
          <w:szCs w:val="20"/>
          <w:u w:val="single" w:color="211E1E"/>
        </w:rPr>
        <w:t>Eficacia de la cobertura</w:t>
      </w:r>
      <w:r w:rsidRPr="00DD1431">
        <w:rPr>
          <w:rFonts w:ascii="Arial" w:hAnsi="Arial" w:cs="Arial"/>
          <w:sz w:val="20"/>
          <w:szCs w:val="20"/>
        </w:rPr>
        <w:t xml:space="preserve">: </w:t>
      </w:r>
      <w:r w:rsidR="008915C4" w:rsidRPr="00DD1431">
        <w:rPr>
          <w:rFonts w:ascii="Arial" w:hAnsi="Arial" w:cs="Arial"/>
          <w:sz w:val="20"/>
          <w:szCs w:val="20"/>
        </w:rPr>
        <w:t>G</w:t>
      </w:r>
      <w:r w:rsidRPr="00DD1431">
        <w:rPr>
          <w:rFonts w:ascii="Arial" w:hAnsi="Arial" w:cs="Arial"/>
          <w:sz w:val="20"/>
          <w:szCs w:val="20"/>
        </w:rPr>
        <w:t xml:space="preserve">rado en que los cambios en el </w:t>
      </w:r>
      <w:r w:rsidRPr="00DD1431">
        <w:rPr>
          <w:rFonts w:ascii="Arial" w:hAnsi="Arial" w:cs="Arial"/>
          <w:b/>
          <w:bCs/>
          <w:sz w:val="20"/>
          <w:szCs w:val="20"/>
        </w:rPr>
        <w:t>valor razonable</w:t>
      </w:r>
      <w:r w:rsidRPr="00DD1431">
        <w:rPr>
          <w:rFonts w:ascii="Arial" w:hAnsi="Arial" w:cs="Arial"/>
          <w:sz w:val="20"/>
          <w:szCs w:val="20"/>
        </w:rPr>
        <w:t xml:space="preserve"> o en los flujos de efectivo de la partida cubierta, directamente atribuibles al riesgo cubierto, se compens</w:t>
      </w:r>
      <w:r w:rsidR="008915C4" w:rsidRPr="00DD1431">
        <w:rPr>
          <w:rFonts w:ascii="Arial" w:hAnsi="Arial" w:cs="Arial"/>
          <w:sz w:val="20"/>
          <w:szCs w:val="20"/>
        </w:rPr>
        <w:t>a</w:t>
      </w:r>
      <w:r w:rsidRPr="00DD1431">
        <w:rPr>
          <w:rFonts w:ascii="Arial" w:hAnsi="Arial" w:cs="Arial"/>
          <w:sz w:val="20"/>
          <w:szCs w:val="20"/>
        </w:rPr>
        <w:t xml:space="preserve">n con los cambios en el </w:t>
      </w:r>
      <w:r w:rsidRPr="00DD1431">
        <w:rPr>
          <w:rFonts w:ascii="Arial" w:hAnsi="Arial" w:cs="Arial"/>
          <w:b/>
          <w:bCs/>
          <w:sz w:val="20"/>
          <w:szCs w:val="20"/>
        </w:rPr>
        <w:t>valor razonable</w:t>
      </w:r>
      <w:r w:rsidRPr="00DD1431">
        <w:rPr>
          <w:rFonts w:ascii="Arial" w:hAnsi="Arial" w:cs="Arial"/>
          <w:sz w:val="20"/>
          <w:szCs w:val="20"/>
        </w:rPr>
        <w:t xml:space="preserve"> o los flujos de efectivo del instrumento de cobertura.</w:t>
      </w:r>
      <w:r w:rsidR="006F2C57">
        <w:rPr>
          <w:rFonts w:ascii="Arial" w:hAnsi="Arial" w:cs="Arial"/>
          <w:sz w:val="20"/>
          <w:szCs w:val="20"/>
        </w:rPr>
        <w:t xml:space="preserve"> </w:t>
      </w:r>
    </w:p>
    <w:p w:rsidR="00421257" w:rsidRPr="00DD1431" w:rsidRDefault="00421257" w:rsidP="00B277BF">
      <w:pPr>
        <w:ind w:left="1701"/>
        <w:jc w:val="both"/>
        <w:rPr>
          <w:rFonts w:ascii="Arial" w:hAnsi="Arial" w:cs="Arial"/>
          <w:sz w:val="20"/>
          <w:szCs w:val="20"/>
        </w:rPr>
      </w:pPr>
      <w:r w:rsidRPr="00DD1431">
        <w:rPr>
          <w:rFonts w:ascii="Arial" w:hAnsi="Arial" w:cs="Arial"/>
          <w:sz w:val="20"/>
          <w:szCs w:val="20"/>
          <w:u w:val="single" w:color="000000"/>
        </w:rPr>
        <w:t>Ineficacia de cobertura</w:t>
      </w:r>
      <w:r w:rsidR="002F610C" w:rsidRPr="00DD1431">
        <w:rPr>
          <w:rFonts w:ascii="Arial" w:hAnsi="Arial" w:cs="Arial"/>
          <w:sz w:val="20"/>
          <w:szCs w:val="20"/>
          <w:u w:val="single" w:color="000000"/>
        </w:rPr>
        <w:t xml:space="preserve"> (o parte ineficaz de la cobertura)</w:t>
      </w:r>
      <w:r w:rsidRPr="00DD1431">
        <w:rPr>
          <w:rFonts w:ascii="Arial" w:hAnsi="Arial" w:cs="Arial"/>
          <w:sz w:val="20"/>
          <w:szCs w:val="20"/>
        </w:rPr>
        <w:t xml:space="preserve">: </w:t>
      </w:r>
      <w:r w:rsidR="008915C4" w:rsidRPr="00DD1431">
        <w:rPr>
          <w:rFonts w:ascii="Arial" w:hAnsi="Arial" w:cs="Arial"/>
          <w:sz w:val="20"/>
          <w:szCs w:val="20"/>
        </w:rPr>
        <w:t>M</w:t>
      </w:r>
      <w:r w:rsidRPr="00DD1431">
        <w:rPr>
          <w:rFonts w:ascii="Arial" w:hAnsi="Arial" w:cs="Arial"/>
          <w:sz w:val="20"/>
          <w:szCs w:val="20"/>
        </w:rPr>
        <w:t xml:space="preserve">edida en que los cambios en el </w:t>
      </w:r>
      <w:r w:rsidRPr="00DD1431">
        <w:rPr>
          <w:rFonts w:ascii="Arial" w:hAnsi="Arial" w:cs="Arial"/>
          <w:b/>
          <w:bCs/>
          <w:sz w:val="20"/>
          <w:szCs w:val="20"/>
        </w:rPr>
        <w:t>valor</w:t>
      </w:r>
      <w:r w:rsidR="00FD58AC" w:rsidRPr="00DD1431">
        <w:rPr>
          <w:rFonts w:ascii="Arial" w:hAnsi="Arial" w:cs="Arial"/>
          <w:b/>
          <w:bCs/>
          <w:sz w:val="20"/>
          <w:szCs w:val="20"/>
        </w:rPr>
        <w:t xml:space="preserve"> razonable</w:t>
      </w:r>
      <w:r w:rsidRPr="00DD1431">
        <w:rPr>
          <w:rFonts w:ascii="Arial" w:hAnsi="Arial" w:cs="Arial"/>
          <w:sz w:val="20"/>
          <w:szCs w:val="20"/>
        </w:rPr>
        <w:t xml:space="preserve"> o</w:t>
      </w:r>
      <w:r w:rsidR="00FD58AC" w:rsidRPr="00DD1431">
        <w:rPr>
          <w:rFonts w:ascii="Arial" w:hAnsi="Arial" w:cs="Arial"/>
          <w:sz w:val="20"/>
          <w:szCs w:val="20"/>
        </w:rPr>
        <w:t xml:space="preserve"> en los</w:t>
      </w:r>
      <w:r w:rsidRPr="00DD1431">
        <w:rPr>
          <w:rFonts w:ascii="Arial" w:hAnsi="Arial" w:cs="Arial"/>
          <w:sz w:val="20"/>
          <w:szCs w:val="20"/>
        </w:rPr>
        <w:t xml:space="preserve"> flujos de efectivo del instrumento de cobertura son mayores o menores que los de la partida cubierta. </w:t>
      </w:r>
    </w:p>
    <w:p w:rsidR="00421257" w:rsidRPr="00AC4AEA" w:rsidRDefault="00421257" w:rsidP="00B277BF">
      <w:pPr>
        <w:spacing w:after="143" w:line="247" w:lineRule="auto"/>
        <w:ind w:left="1701"/>
        <w:jc w:val="both"/>
        <w:rPr>
          <w:rFonts w:ascii="Arial" w:hAnsi="Arial" w:cs="Arial"/>
          <w:sz w:val="20"/>
          <w:szCs w:val="20"/>
        </w:rPr>
      </w:pPr>
      <w:r w:rsidRPr="00DD1431">
        <w:rPr>
          <w:rFonts w:ascii="Arial" w:hAnsi="Arial" w:cs="Arial"/>
          <w:sz w:val="20"/>
          <w:szCs w:val="20"/>
          <w:u w:val="single" w:color="211E1E"/>
        </w:rPr>
        <w:t>Instrumento de cobertura</w:t>
      </w:r>
      <w:r w:rsidRPr="00DD1431">
        <w:rPr>
          <w:rFonts w:ascii="Arial" w:hAnsi="Arial" w:cs="Arial"/>
          <w:sz w:val="20"/>
          <w:szCs w:val="20"/>
        </w:rPr>
        <w:t xml:space="preserve">: </w:t>
      </w:r>
      <w:r w:rsidR="008915C4" w:rsidRPr="00DD1431">
        <w:rPr>
          <w:rFonts w:ascii="Arial" w:hAnsi="Arial" w:cs="Arial"/>
          <w:sz w:val="20"/>
          <w:szCs w:val="20"/>
        </w:rPr>
        <w:t>D</w:t>
      </w:r>
      <w:r w:rsidRPr="00DD1431">
        <w:rPr>
          <w:rFonts w:ascii="Arial" w:hAnsi="Arial" w:cs="Arial"/>
          <w:sz w:val="20"/>
          <w:szCs w:val="20"/>
        </w:rPr>
        <w:t xml:space="preserve">erivado </w:t>
      </w:r>
      <w:r w:rsidR="00A10402" w:rsidRPr="00DD1431">
        <w:rPr>
          <w:rFonts w:ascii="Arial" w:hAnsi="Arial" w:cs="Arial"/>
          <w:sz w:val="20"/>
          <w:szCs w:val="20"/>
        </w:rPr>
        <w:t xml:space="preserve">que se mide a </w:t>
      </w:r>
      <w:r w:rsidR="00A10402" w:rsidRPr="00DD1431">
        <w:rPr>
          <w:rFonts w:ascii="Arial" w:hAnsi="Arial" w:cs="Arial"/>
          <w:b/>
          <w:bCs/>
          <w:sz w:val="20"/>
          <w:szCs w:val="20"/>
        </w:rPr>
        <w:t>valor razonable</w:t>
      </w:r>
      <w:r w:rsidR="00A10402" w:rsidRPr="00DD1431">
        <w:rPr>
          <w:rFonts w:ascii="Arial" w:hAnsi="Arial" w:cs="Arial"/>
          <w:sz w:val="20"/>
          <w:szCs w:val="20"/>
        </w:rPr>
        <w:t xml:space="preserve"> (con ciertas excepciones)</w:t>
      </w:r>
      <w:r w:rsidRPr="00DD1431">
        <w:rPr>
          <w:rFonts w:ascii="Arial" w:hAnsi="Arial" w:cs="Arial"/>
          <w:sz w:val="20"/>
          <w:szCs w:val="20"/>
        </w:rPr>
        <w:t xml:space="preserve"> </w:t>
      </w:r>
      <w:r w:rsidR="00A10402" w:rsidRPr="00DD1431">
        <w:rPr>
          <w:rFonts w:ascii="Arial" w:hAnsi="Arial" w:cs="Arial"/>
          <w:sz w:val="20"/>
          <w:szCs w:val="20"/>
        </w:rPr>
        <w:t>u</w:t>
      </w:r>
      <w:r w:rsidRPr="00DD1431">
        <w:rPr>
          <w:rFonts w:ascii="Arial" w:hAnsi="Arial" w:cs="Arial"/>
          <w:sz w:val="20"/>
          <w:szCs w:val="20"/>
        </w:rPr>
        <w:t xml:space="preserve"> otro </w:t>
      </w:r>
      <w:r w:rsidRPr="00DD1431">
        <w:rPr>
          <w:rFonts w:ascii="Arial" w:hAnsi="Arial" w:cs="Arial"/>
          <w:b/>
          <w:bCs/>
          <w:sz w:val="20"/>
          <w:szCs w:val="20"/>
        </w:rPr>
        <w:t xml:space="preserve">activo </w:t>
      </w:r>
      <w:r w:rsidR="00F46C79" w:rsidRPr="00DD1431">
        <w:rPr>
          <w:rFonts w:ascii="Arial" w:hAnsi="Arial" w:cs="Arial"/>
          <w:b/>
          <w:bCs/>
          <w:sz w:val="20"/>
          <w:szCs w:val="20"/>
        </w:rPr>
        <w:t>financiero</w:t>
      </w:r>
      <w:r w:rsidR="00F46C79" w:rsidRPr="00DD1431">
        <w:rPr>
          <w:rFonts w:ascii="Arial" w:hAnsi="Arial" w:cs="Arial"/>
          <w:sz w:val="20"/>
          <w:szCs w:val="20"/>
        </w:rPr>
        <w:t xml:space="preserve"> </w:t>
      </w:r>
      <w:r w:rsidRPr="00DD1431">
        <w:rPr>
          <w:rFonts w:ascii="Arial" w:hAnsi="Arial" w:cs="Arial"/>
          <w:sz w:val="20"/>
          <w:szCs w:val="20"/>
        </w:rPr>
        <w:t xml:space="preserve">o </w:t>
      </w:r>
      <w:r w:rsidRPr="00DD1431">
        <w:rPr>
          <w:rFonts w:ascii="Arial" w:hAnsi="Arial" w:cs="Arial"/>
          <w:b/>
          <w:bCs/>
          <w:sz w:val="20"/>
          <w:szCs w:val="20"/>
        </w:rPr>
        <w:t>pasivo financiero</w:t>
      </w:r>
      <w:r w:rsidR="00A10402" w:rsidRPr="00DD1431">
        <w:rPr>
          <w:rFonts w:ascii="Arial" w:hAnsi="Arial" w:cs="Arial"/>
          <w:b/>
          <w:bCs/>
          <w:sz w:val="20"/>
          <w:szCs w:val="20"/>
        </w:rPr>
        <w:t xml:space="preserve"> </w:t>
      </w:r>
      <w:r w:rsidR="00A10402" w:rsidRPr="00DD1431">
        <w:rPr>
          <w:rFonts w:ascii="Arial" w:hAnsi="Arial" w:cs="Arial"/>
          <w:sz w:val="20"/>
          <w:szCs w:val="20"/>
        </w:rPr>
        <w:t xml:space="preserve">que se mide a </w:t>
      </w:r>
      <w:r w:rsidR="00A10402" w:rsidRPr="00DD1431">
        <w:rPr>
          <w:rFonts w:ascii="Arial" w:hAnsi="Arial" w:cs="Arial"/>
          <w:b/>
          <w:bCs/>
          <w:sz w:val="20"/>
          <w:szCs w:val="20"/>
        </w:rPr>
        <w:t>valor razonable</w:t>
      </w:r>
      <w:r w:rsidR="00A10402" w:rsidRPr="00DD1431">
        <w:rPr>
          <w:rFonts w:ascii="Arial" w:hAnsi="Arial" w:cs="Arial"/>
          <w:sz w:val="20"/>
          <w:szCs w:val="20"/>
        </w:rPr>
        <w:t xml:space="preserve"> con contrapartidas en resultados</w:t>
      </w:r>
      <w:r w:rsidRPr="00DD1431">
        <w:rPr>
          <w:rFonts w:ascii="Arial" w:hAnsi="Arial" w:cs="Arial"/>
          <w:sz w:val="20"/>
          <w:szCs w:val="20"/>
        </w:rPr>
        <w:t xml:space="preserve">, que ha sido </w:t>
      </w:r>
      <w:r w:rsidR="00D461E6" w:rsidRPr="00DD1431">
        <w:rPr>
          <w:rFonts w:ascii="Arial" w:hAnsi="Arial" w:cs="Arial"/>
          <w:sz w:val="20"/>
          <w:szCs w:val="20"/>
        </w:rPr>
        <w:t>designado</w:t>
      </w:r>
      <w:r w:rsidRPr="00DD1431">
        <w:rPr>
          <w:rFonts w:ascii="Arial" w:hAnsi="Arial" w:cs="Arial"/>
          <w:sz w:val="20"/>
          <w:szCs w:val="20"/>
        </w:rPr>
        <w:t xml:space="preserve"> con este propósito y del que se espera que los cambios en su </w:t>
      </w:r>
      <w:r w:rsidRPr="00DD1431">
        <w:rPr>
          <w:rFonts w:ascii="Arial" w:hAnsi="Arial" w:cs="Arial"/>
          <w:b/>
          <w:bCs/>
          <w:sz w:val="20"/>
          <w:szCs w:val="20"/>
        </w:rPr>
        <w:t xml:space="preserve">valor </w:t>
      </w:r>
      <w:r w:rsidR="00D461E6" w:rsidRPr="00DD1431">
        <w:rPr>
          <w:rFonts w:ascii="Arial" w:hAnsi="Arial" w:cs="Arial"/>
          <w:b/>
          <w:bCs/>
          <w:sz w:val="20"/>
          <w:szCs w:val="20"/>
        </w:rPr>
        <w:t>razonable</w:t>
      </w:r>
      <w:r w:rsidRPr="00DD1431">
        <w:rPr>
          <w:rFonts w:ascii="Arial" w:hAnsi="Arial" w:cs="Arial"/>
          <w:sz w:val="20"/>
          <w:szCs w:val="20"/>
        </w:rPr>
        <w:t xml:space="preserve"> o en los flujos de</w:t>
      </w:r>
      <w:r w:rsidRPr="00AC4AEA">
        <w:rPr>
          <w:rFonts w:ascii="Arial" w:hAnsi="Arial" w:cs="Arial"/>
          <w:sz w:val="20"/>
          <w:szCs w:val="20"/>
        </w:rPr>
        <w:t xml:space="preserve"> efectivo generados cubran las diferencias en el </w:t>
      </w:r>
      <w:r w:rsidRPr="00AC4AEA">
        <w:rPr>
          <w:rFonts w:ascii="Arial" w:hAnsi="Arial" w:cs="Arial"/>
          <w:b/>
          <w:bCs/>
          <w:sz w:val="20"/>
          <w:szCs w:val="20"/>
        </w:rPr>
        <w:t xml:space="preserve">valor </w:t>
      </w:r>
      <w:r w:rsidR="00EB3A8A" w:rsidRPr="00AC4AEA">
        <w:rPr>
          <w:rFonts w:ascii="Arial" w:hAnsi="Arial" w:cs="Arial"/>
          <w:b/>
          <w:bCs/>
          <w:sz w:val="20"/>
          <w:szCs w:val="20"/>
        </w:rPr>
        <w:t>razonable</w:t>
      </w:r>
      <w:r w:rsidR="00EB3A8A" w:rsidRPr="00AC4AEA">
        <w:rPr>
          <w:rFonts w:ascii="Arial" w:hAnsi="Arial" w:cs="Arial"/>
          <w:sz w:val="20"/>
          <w:szCs w:val="20"/>
        </w:rPr>
        <w:t xml:space="preserve"> </w:t>
      </w:r>
      <w:r w:rsidRPr="00AC4AEA">
        <w:rPr>
          <w:rFonts w:ascii="Arial" w:hAnsi="Arial" w:cs="Arial"/>
          <w:sz w:val="20"/>
          <w:szCs w:val="20"/>
        </w:rPr>
        <w:t>o en los flujos</w:t>
      </w:r>
      <w:r w:rsidR="00EB3A8A" w:rsidRPr="00AC4AEA">
        <w:rPr>
          <w:rFonts w:ascii="Arial" w:hAnsi="Arial" w:cs="Arial"/>
          <w:sz w:val="20"/>
          <w:szCs w:val="20"/>
        </w:rPr>
        <w:t xml:space="preserve"> de efectivo</w:t>
      </w:r>
      <w:r w:rsidRPr="00AC4AEA">
        <w:rPr>
          <w:rFonts w:ascii="Arial" w:hAnsi="Arial" w:cs="Arial"/>
          <w:sz w:val="20"/>
          <w:szCs w:val="20"/>
        </w:rPr>
        <w:t>, respectivamente, que procedan de la partida cubierta.</w:t>
      </w:r>
      <w:r w:rsidR="006F2C57">
        <w:rPr>
          <w:rFonts w:ascii="Arial" w:hAnsi="Arial" w:cs="Arial"/>
          <w:sz w:val="20"/>
          <w:szCs w:val="20"/>
        </w:rPr>
        <w:t xml:space="preserve"> </w:t>
      </w:r>
    </w:p>
    <w:p w:rsidR="00AC464B" w:rsidRPr="00AC4AEA" w:rsidRDefault="00AC464B" w:rsidP="00B277BF">
      <w:pPr>
        <w:spacing w:after="143" w:line="247" w:lineRule="auto"/>
        <w:ind w:left="1701"/>
        <w:jc w:val="both"/>
        <w:rPr>
          <w:rFonts w:ascii="Arial" w:hAnsi="Arial" w:cs="Arial"/>
          <w:sz w:val="20"/>
          <w:szCs w:val="20"/>
          <w:u w:val="single" w:color="211E1E"/>
        </w:rPr>
      </w:pPr>
      <w:r w:rsidRPr="00AC4AEA">
        <w:rPr>
          <w:rFonts w:ascii="Arial" w:hAnsi="Arial" w:cs="Arial"/>
          <w:sz w:val="20"/>
          <w:szCs w:val="20"/>
          <w:u w:val="single" w:color="211E1E"/>
        </w:rPr>
        <w:t>Operación de cobertura:</w:t>
      </w:r>
      <w:r w:rsidRPr="00AC4AEA">
        <w:rPr>
          <w:rFonts w:ascii="Arial" w:hAnsi="Arial" w:cs="Arial"/>
          <w:sz w:val="20"/>
          <w:szCs w:val="20"/>
        </w:rPr>
        <w:t xml:space="preserve"> </w:t>
      </w:r>
      <w:r w:rsidR="008915C4">
        <w:rPr>
          <w:rFonts w:ascii="Arial" w:hAnsi="Arial" w:cs="Arial"/>
          <w:sz w:val="20"/>
          <w:szCs w:val="20"/>
        </w:rPr>
        <w:t>U</w:t>
      </w:r>
      <w:r w:rsidR="00EE1A0F" w:rsidRPr="00AC4AEA">
        <w:rPr>
          <w:rFonts w:ascii="Arial" w:hAnsi="Arial" w:cs="Arial"/>
          <w:sz w:val="20"/>
          <w:szCs w:val="20"/>
        </w:rPr>
        <w:t xml:space="preserve">no o más instrumentos derivados, designados como instrumentos de cobertura, de forma que el cambio en su </w:t>
      </w:r>
      <w:r w:rsidR="00EE1A0F" w:rsidRPr="00AC4AEA">
        <w:rPr>
          <w:rFonts w:ascii="Arial" w:hAnsi="Arial" w:cs="Arial"/>
          <w:b/>
          <w:bCs/>
          <w:sz w:val="20"/>
          <w:szCs w:val="20"/>
        </w:rPr>
        <w:t>valor razonable</w:t>
      </w:r>
      <w:r w:rsidR="00EE1A0F" w:rsidRPr="00AC4AEA">
        <w:rPr>
          <w:rFonts w:ascii="Arial" w:hAnsi="Arial" w:cs="Arial"/>
          <w:sz w:val="20"/>
          <w:szCs w:val="20"/>
        </w:rPr>
        <w:t xml:space="preserve"> compense total o parcialmente</w:t>
      </w:r>
      <w:r w:rsidR="008915C4">
        <w:rPr>
          <w:rFonts w:ascii="Arial" w:hAnsi="Arial" w:cs="Arial"/>
          <w:sz w:val="20"/>
          <w:szCs w:val="20"/>
        </w:rPr>
        <w:t xml:space="preserve"> </w:t>
      </w:r>
      <w:r w:rsidR="00EE1A0F" w:rsidRPr="00AC4AEA">
        <w:rPr>
          <w:rFonts w:ascii="Arial" w:hAnsi="Arial" w:cs="Arial"/>
          <w:sz w:val="20"/>
          <w:szCs w:val="20"/>
        </w:rPr>
        <w:t xml:space="preserve">el cambio en el </w:t>
      </w:r>
      <w:r w:rsidR="00EE1A0F" w:rsidRPr="00AC4AEA">
        <w:rPr>
          <w:rFonts w:ascii="Arial" w:hAnsi="Arial" w:cs="Arial"/>
          <w:b/>
          <w:bCs/>
          <w:sz w:val="20"/>
          <w:szCs w:val="20"/>
        </w:rPr>
        <w:t>valor razonable</w:t>
      </w:r>
      <w:r w:rsidR="00EE1A0F" w:rsidRPr="00AC4AEA">
        <w:rPr>
          <w:rFonts w:ascii="Arial" w:hAnsi="Arial" w:cs="Arial"/>
          <w:sz w:val="20"/>
          <w:szCs w:val="20"/>
        </w:rPr>
        <w:t xml:space="preserve"> o en los flujos de efectivo de la partida cubierta.</w:t>
      </w:r>
    </w:p>
    <w:p w:rsidR="00421257" w:rsidRPr="00DD1431" w:rsidRDefault="00421257" w:rsidP="00B277BF">
      <w:pPr>
        <w:spacing w:after="143" w:line="247" w:lineRule="auto"/>
        <w:ind w:left="1701"/>
        <w:jc w:val="both"/>
        <w:rPr>
          <w:rFonts w:ascii="Arial" w:hAnsi="Arial" w:cs="Arial"/>
          <w:sz w:val="20"/>
          <w:szCs w:val="20"/>
        </w:rPr>
      </w:pPr>
      <w:r w:rsidRPr="00DD1431">
        <w:rPr>
          <w:rFonts w:ascii="Arial" w:hAnsi="Arial" w:cs="Arial"/>
          <w:sz w:val="20"/>
          <w:szCs w:val="20"/>
          <w:u w:val="single" w:color="211E1E"/>
        </w:rPr>
        <w:t>Partida cubierta</w:t>
      </w:r>
      <w:r w:rsidRPr="00DD1431">
        <w:rPr>
          <w:rFonts w:ascii="Arial" w:hAnsi="Arial" w:cs="Arial"/>
          <w:sz w:val="20"/>
          <w:szCs w:val="20"/>
        </w:rPr>
        <w:t xml:space="preserve">: </w:t>
      </w:r>
      <w:r w:rsidR="008915C4" w:rsidRPr="00DD1431">
        <w:rPr>
          <w:rFonts w:ascii="Arial" w:hAnsi="Arial" w:cs="Arial"/>
          <w:b/>
          <w:bCs/>
          <w:sz w:val="20"/>
          <w:szCs w:val="20"/>
        </w:rPr>
        <w:t>A</w:t>
      </w:r>
      <w:r w:rsidRPr="00DD1431">
        <w:rPr>
          <w:rFonts w:ascii="Arial" w:hAnsi="Arial" w:cs="Arial"/>
          <w:b/>
          <w:bCs/>
          <w:sz w:val="20"/>
          <w:szCs w:val="20"/>
        </w:rPr>
        <w:t>ctivo</w:t>
      </w:r>
      <w:r w:rsidRPr="00DD1431">
        <w:rPr>
          <w:rFonts w:ascii="Arial" w:hAnsi="Arial" w:cs="Arial"/>
          <w:sz w:val="20"/>
          <w:szCs w:val="20"/>
        </w:rPr>
        <w:t xml:space="preserve">, </w:t>
      </w:r>
      <w:r w:rsidRPr="00DD1431">
        <w:rPr>
          <w:rFonts w:ascii="Arial" w:hAnsi="Arial" w:cs="Arial"/>
          <w:b/>
          <w:bCs/>
          <w:sz w:val="20"/>
          <w:szCs w:val="20"/>
        </w:rPr>
        <w:t>pasivo</w:t>
      </w:r>
      <w:r w:rsidRPr="00DD1431">
        <w:rPr>
          <w:rFonts w:ascii="Arial" w:hAnsi="Arial" w:cs="Arial"/>
          <w:sz w:val="20"/>
          <w:szCs w:val="20"/>
        </w:rPr>
        <w:t>, compromiso en firme</w:t>
      </w:r>
      <w:r w:rsidR="00265B2B" w:rsidRPr="00DD1431">
        <w:rPr>
          <w:rFonts w:ascii="Arial" w:hAnsi="Arial" w:cs="Arial"/>
          <w:sz w:val="20"/>
          <w:szCs w:val="20"/>
        </w:rPr>
        <w:t>,</w:t>
      </w:r>
      <w:r w:rsidRPr="00DD1431">
        <w:rPr>
          <w:rFonts w:ascii="Arial" w:hAnsi="Arial" w:cs="Arial"/>
          <w:sz w:val="20"/>
          <w:szCs w:val="20"/>
        </w:rPr>
        <w:t xml:space="preserve"> transacción esperada en el futuro </w:t>
      </w:r>
      <w:r w:rsidR="00B20546" w:rsidRPr="00DD1431">
        <w:rPr>
          <w:rFonts w:ascii="Arial" w:hAnsi="Arial" w:cs="Arial"/>
          <w:sz w:val="20"/>
          <w:szCs w:val="20"/>
        </w:rPr>
        <w:t>(altamente probable)</w:t>
      </w:r>
      <w:r w:rsidR="00265B2B" w:rsidRPr="00DD1431">
        <w:rPr>
          <w:rFonts w:ascii="Arial" w:hAnsi="Arial" w:cs="Arial"/>
          <w:sz w:val="20"/>
          <w:szCs w:val="20"/>
        </w:rPr>
        <w:t xml:space="preserve">, o </w:t>
      </w:r>
      <w:r w:rsidR="00265B2B" w:rsidRPr="00DD1431">
        <w:rPr>
          <w:rFonts w:ascii="Arial" w:hAnsi="Arial" w:cs="Arial"/>
          <w:b/>
          <w:bCs/>
          <w:sz w:val="20"/>
          <w:szCs w:val="20"/>
        </w:rPr>
        <w:t xml:space="preserve">entidad </w:t>
      </w:r>
      <w:r w:rsidR="00503DAB" w:rsidRPr="00DD1431">
        <w:rPr>
          <w:rFonts w:ascii="Arial" w:hAnsi="Arial" w:cs="Arial"/>
          <w:b/>
          <w:bCs/>
          <w:sz w:val="20"/>
          <w:szCs w:val="20"/>
        </w:rPr>
        <w:t>d</w:t>
      </w:r>
      <w:r w:rsidR="00265B2B" w:rsidRPr="00DD1431">
        <w:rPr>
          <w:rFonts w:ascii="Arial" w:hAnsi="Arial" w:cs="Arial"/>
          <w:b/>
          <w:bCs/>
          <w:sz w:val="20"/>
          <w:szCs w:val="20"/>
        </w:rPr>
        <w:t>el exterior</w:t>
      </w:r>
      <w:r w:rsidR="00B20546" w:rsidRPr="00DD1431">
        <w:rPr>
          <w:rFonts w:ascii="Arial" w:hAnsi="Arial" w:cs="Arial"/>
          <w:sz w:val="20"/>
          <w:szCs w:val="20"/>
        </w:rPr>
        <w:t xml:space="preserve"> </w:t>
      </w:r>
      <w:r w:rsidRPr="00DD1431">
        <w:rPr>
          <w:rFonts w:ascii="Arial" w:hAnsi="Arial" w:cs="Arial"/>
          <w:sz w:val="20"/>
          <w:szCs w:val="20"/>
        </w:rPr>
        <w:t>que expone a</w:t>
      </w:r>
      <w:r w:rsidR="000205B7" w:rsidRPr="00DD1431">
        <w:rPr>
          <w:rFonts w:ascii="Arial" w:hAnsi="Arial" w:cs="Arial"/>
          <w:sz w:val="20"/>
          <w:szCs w:val="20"/>
        </w:rPr>
        <w:t xml:space="preserve"> la</w:t>
      </w:r>
      <w:r w:rsidRPr="00DD1431">
        <w:rPr>
          <w:rFonts w:ascii="Arial" w:hAnsi="Arial" w:cs="Arial"/>
          <w:sz w:val="20"/>
          <w:szCs w:val="20"/>
        </w:rPr>
        <w:t xml:space="preserve"> ent</w:t>
      </w:r>
      <w:r w:rsidR="000205B7" w:rsidRPr="00DD1431">
        <w:rPr>
          <w:rFonts w:ascii="Arial" w:hAnsi="Arial" w:cs="Arial"/>
          <w:sz w:val="20"/>
          <w:szCs w:val="20"/>
        </w:rPr>
        <w:t>idad</w:t>
      </w:r>
      <w:r w:rsidRPr="00DD1431">
        <w:rPr>
          <w:rFonts w:ascii="Arial" w:hAnsi="Arial" w:cs="Arial"/>
          <w:sz w:val="20"/>
          <w:szCs w:val="20"/>
        </w:rPr>
        <w:t xml:space="preserve"> a un riesgo de cambio en el </w:t>
      </w:r>
      <w:r w:rsidRPr="00DD1431">
        <w:rPr>
          <w:rFonts w:ascii="Arial" w:hAnsi="Arial" w:cs="Arial"/>
          <w:b/>
          <w:bCs/>
          <w:sz w:val="20"/>
          <w:szCs w:val="20"/>
        </w:rPr>
        <w:t>valor</w:t>
      </w:r>
      <w:r w:rsidR="00925BD9" w:rsidRPr="00DD1431">
        <w:rPr>
          <w:rFonts w:ascii="Arial" w:hAnsi="Arial" w:cs="Arial"/>
          <w:b/>
          <w:bCs/>
          <w:sz w:val="20"/>
          <w:szCs w:val="20"/>
        </w:rPr>
        <w:t xml:space="preserve"> razonable</w:t>
      </w:r>
      <w:r w:rsidRPr="00DD1431">
        <w:rPr>
          <w:rFonts w:ascii="Arial" w:hAnsi="Arial" w:cs="Arial"/>
          <w:sz w:val="20"/>
          <w:szCs w:val="20"/>
        </w:rPr>
        <w:t xml:space="preserve"> o en los flujos de efectivo futuros y que</w:t>
      </w:r>
      <w:r w:rsidR="008915C4" w:rsidRPr="00DD1431">
        <w:rPr>
          <w:rFonts w:ascii="Arial" w:hAnsi="Arial" w:cs="Arial"/>
          <w:sz w:val="20"/>
          <w:szCs w:val="20"/>
        </w:rPr>
        <w:t>,</w:t>
      </w:r>
      <w:r w:rsidRPr="00DD1431">
        <w:rPr>
          <w:rFonts w:ascii="Arial" w:hAnsi="Arial" w:cs="Arial"/>
          <w:sz w:val="20"/>
          <w:szCs w:val="20"/>
        </w:rPr>
        <w:t xml:space="preserve"> para los propósitos de la cobertura contable</w:t>
      </w:r>
      <w:r w:rsidR="008915C4" w:rsidRPr="00DD1431">
        <w:rPr>
          <w:rFonts w:ascii="Arial" w:hAnsi="Arial" w:cs="Arial"/>
          <w:sz w:val="20"/>
          <w:szCs w:val="20"/>
        </w:rPr>
        <w:t>,</w:t>
      </w:r>
      <w:r w:rsidRPr="00DD1431">
        <w:rPr>
          <w:rFonts w:ascii="Arial" w:hAnsi="Arial" w:cs="Arial"/>
          <w:sz w:val="20"/>
          <w:szCs w:val="20"/>
        </w:rPr>
        <w:t xml:space="preserve"> </w:t>
      </w:r>
      <w:r w:rsidR="008915C4" w:rsidRPr="00DD1431">
        <w:rPr>
          <w:rFonts w:ascii="Arial" w:hAnsi="Arial" w:cs="Arial"/>
          <w:sz w:val="20"/>
          <w:szCs w:val="20"/>
        </w:rPr>
        <w:t>fueron</w:t>
      </w:r>
      <w:r w:rsidRPr="00DD1431">
        <w:rPr>
          <w:rFonts w:ascii="Arial" w:hAnsi="Arial" w:cs="Arial"/>
          <w:sz w:val="20"/>
          <w:szCs w:val="20"/>
        </w:rPr>
        <w:t xml:space="preserve"> </w:t>
      </w:r>
      <w:r w:rsidR="00925BD9" w:rsidRPr="00DD1431">
        <w:rPr>
          <w:rFonts w:ascii="Arial" w:hAnsi="Arial" w:cs="Arial"/>
          <w:sz w:val="20"/>
          <w:szCs w:val="20"/>
        </w:rPr>
        <w:t>designados</w:t>
      </w:r>
      <w:r w:rsidRPr="00DD1431">
        <w:rPr>
          <w:rFonts w:ascii="Arial" w:hAnsi="Arial" w:cs="Arial"/>
          <w:sz w:val="20"/>
          <w:szCs w:val="20"/>
        </w:rPr>
        <w:t xml:space="preserve"> explícitamente como objeto de cobertura. </w:t>
      </w:r>
    </w:p>
    <w:p w:rsidR="005E7968" w:rsidRPr="00DD1431" w:rsidRDefault="005E7968" w:rsidP="00B277BF">
      <w:pPr>
        <w:ind w:left="1701"/>
        <w:jc w:val="both"/>
        <w:rPr>
          <w:rFonts w:ascii="Arial" w:hAnsi="Arial" w:cs="Arial"/>
          <w:sz w:val="20"/>
          <w:szCs w:val="20"/>
        </w:rPr>
      </w:pPr>
      <w:r w:rsidRPr="00DD1431">
        <w:rPr>
          <w:rFonts w:ascii="Arial" w:hAnsi="Arial" w:cs="Arial"/>
          <w:sz w:val="20"/>
          <w:szCs w:val="20"/>
          <w:u w:val="single" w:color="000000"/>
        </w:rPr>
        <w:lastRenderedPageBreak/>
        <w:t>Razón de cobertura</w:t>
      </w:r>
      <w:r w:rsidRPr="00DD1431">
        <w:rPr>
          <w:rFonts w:ascii="Arial" w:hAnsi="Arial" w:cs="Arial"/>
          <w:sz w:val="20"/>
          <w:szCs w:val="20"/>
          <w:u w:color="000000"/>
        </w:rPr>
        <w:t>:</w:t>
      </w:r>
      <w:r w:rsidRPr="00DD1431">
        <w:rPr>
          <w:rFonts w:ascii="Arial" w:hAnsi="Arial" w:cs="Arial"/>
          <w:sz w:val="20"/>
          <w:szCs w:val="20"/>
        </w:rPr>
        <w:t xml:space="preserve"> </w:t>
      </w:r>
      <w:r w:rsidR="008915C4" w:rsidRPr="00DD1431">
        <w:rPr>
          <w:rFonts w:ascii="Arial" w:hAnsi="Arial" w:cs="Arial"/>
          <w:sz w:val="20"/>
          <w:szCs w:val="20"/>
        </w:rPr>
        <w:t>R</w:t>
      </w:r>
      <w:r w:rsidRPr="00DD1431">
        <w:rPr>
          <w:rFonts w:ascii="Arial" w:hAnsi="Arial" w:cs="Arial"/>
          <w:sz w:val="20"/>
          <w:szCs w:val="20"/>
        </w:rPr>
        <w:t>elación entre la cantidad de un instrumento de cobertura y la cantidad de una partida cubierta, en términos de su ponderación relativa.</w:t>
      </w:r>
    </w:p>
    <w:p w:rsidR="003F7080" w:rsidRPr="00DD1431" w:rsidRDefault="003F7080" w:rsidP="00B277BF">
      <w:pPr>
        <w:ind w:left="1701"/>
        <w:jc w:val="both"/>
        <w:rPr>
          <w:rFonts w:ascii="Arial" w:hAnsi="Arial" w:cs="Arial"/>
          <w:sz w:val="20"/>
          <w:szCs w:val="20"/>
        </w:rPr>
      </w:pPr>
      <w:r w:rsidRPr="00DD1431">
        <w:rPr>
          <w:rFonts w:ascii="Arial" w:hAnsi="Arial" w:cs="Arial"/>
          <w:sz w:val="20"/>
          <w:szCs w:val="20"/>
          <w:u w:val="single" w:color="000000"/>
        </w:rPr>
        <w:t>Requilibrio de la cobertura</w:t>
      </w:r>
      <w:r w:rsidRPr="00DD1431">
        <w:rPr>
          <w:rFonts w:ascii="Arial" w:hAnsi="Arial" w:cs="Arial"/>
          <w:sz w:val="20"/>
          <w:szCs w:val="20"/>
          <w:u w:color="000000"/>
        </w:rPr>
        <w:t xml:space="preserve">: </w:t>
      </w:r>
      <w:r w:rsidR="008915C4" w:rsidRPr="00DD1431">
        <w:rPr>
          <w:rFonts w:ascii="Arial" w:hAnsi="Arial" w:cs="Arial"/>
          <w:sz w:val="20"/>
          <w:szCs w:val="20"/>
        </w:rPr>
        <w:t>A</w:t>
      </w:r>
      <w:r w:rsidR="00042F8A" w:rsidRPr="00DD1431">
        <w:rPr>
          <w:rFonts w:ascii="Arial" w:hAnsi="Arial" w:cs="Arial"/>
          <w:sz w:val="20"/>
          <w:szCs w:val="20"/>
        </w:rPr>
        <w:t xml:space="preserve">justes realizados en las cantidades designadas de la partida cubierta o del instrumento de cobertura de una relación de cobertura ya existente a efectos de mantener </w:t>
      </w:r>
      <w:r w:rsidR="008915C4" w:rsidRPr="00DD1431">
        <w:rPr>
          <w:rFonts w:ascii="Arial" w:hAnsi="Arial" w:cs="Arial"/>
          <w:sz w:val="20"/>
          <w:szCs w:val="20"/>
        </w:rPr>
        <w:t>una</w:t>
      </w:r>
      <w:r w:rsidR="00042F8A" w:rsidRPr="00DD1431">
        <w:rPr>
          <w:rFonts w:ascii="Arial" w:hAnsi="Arial" w:cs="Arial"/>
          <w:sz w:val="20"/>
          <w:szCs w:val="20"/>
        </w:rPr>
        <w:t xml:space="preserve"> razón de cobertura que cumpla con los requerimientos de la eficacia de la cobertura.</w:t>
      </w:r>
    </w:p>
    <w:p w:rsidR="00421257" w:rsidRPr="00AC4AEA" w:rsidRDefault="00421257" w:rsidP="00B277BF">
      <w:pPr>
        <w:ind w:left="1701"/>
        <w:jc w:val="both"/>
        <w:rPr>
          <w:rFonts w:ascii="Arial" w:hAnsi="Arial" w:cs="Arial"/>
          <w:sz w:val="20"/>
          <w:szCs w:val="20"/>
        </w:rPr>
      </w:pPr>
      <w:r w:rsidRPr="00DD1431">
        <w:rPr>
          <w:rFonts w:ascii="Arial" w:hAnsi="Arial" w:cs="Arial"/>
          <w:sz w:val="20"/>
          <w:szCs w:val="20"/>
          <w:u w:val="single" w:color="000000"/>
        </w:rPr>
        <w:t>Riesgo crediticio</w:t>
      </w:r>
      <w:r w:rsidRPr="00DD1431">
        <w:rPr>
          <w:rFonts w:ascii="Arial" w:hAnsi="Arial" w:cs="Arial"/>
          <w:sz w:val="20"/>
          <w:szCs w:val="20"/>
        </w:rPr>
        <w:t xml:space="preserve">: </w:t>
      </w:r>
      <w:r w:rsidR="008915C4" w:rsidRPr="00DD1431">
        <w:rPr>
          <w:rFonts w:ascii="Arial" w:hAnsi="Arial" w:cs="Arial"/>
          <w:sz w:val="20"/>
          <w:szCs w:val="20"/>
        </w:rPr>
        <w:t>R</w:t>
      </w:r>
      <w:r w:rsidRPr="00DD1431">
        <w:rPr>
          <w:rFonts w:ascii="Arial" w:hAnsi="Arial" w:cs="Arial"/>
          <w:sz w:val="20"/>
          <w:szCs w:val="20"/>
        </w:rPr>
        <w:t xml:space="preserve">iesgo de que una de las partes de un </w:t>
      </w:r>
      <w:r w:rsidRPr="00DD1431">
        <w:rPr>
          <w:rFonts w:ascii="Arial" w:hAnsi="Arial" w:cs="Arial"/>
          <w:b/>
          <w:bCs/>
          <w:sz w:val="20"/>
          <w:szCs w:val="20"/>
        </w:rPr>
        <w:t>instrumento financiero</w:t>
      </w:r>
      <w:r w:rsidRPr="00DD1431">
        <w:rPr>
          <w:rFonts w:ascii="Arial" w:hAnsi="Arial" w:cs="Arial"/>
          <w:sz w:val="20"/>
          <w:szCs w:val="20"/>
        </w:rPr>
        <w:t xml:space="preserve"> cause una pérdida financiera a la otra parte</w:t>
      </w:r>
      <w:r w:rsidRPr="00AC4AEA">
        <w:rPr>
          <w:rFonts w:ascii="Arial" w:hAnsi="Arial" w:cs="Arial"/>
          <w:sz w:val="20"/>
          <w:szCs w:val="20"/>
        </w:rPr>
        <w:t xml:space="preserve"> por incumplir su obligación. </w:t>
      </w:r>
    </w:p>
    <w:p w:rsidR="00421257" w:rsidRPr="00AC4AEA" w:rsidRDefault="00421257" w:rsidP="00B277BF">
      <w:pPr>
        <w:spacing w:after="143" w:line="247" w:lineRule="auto"/>
        <w:ind w:left="1701"/>
        <w:jc w:val="both"/>
        <w:rPr>
          <w:rFonts w:ascii="Arial" w:hAnsi="Arial" w:cs="Arial"/>
          <w:sz w:val="20"/>
          <w:szCs w:val="20"/>
        </w:rPr>
      </w:pPr>
      <w:r w:rsidRPr="00AC4AEA">
        <w:rPr>
          <w:rFonts w:ascii="Arial" w:hAnsi="Arial" w:cs="Arial"/>
          <w:sz w:val="20"/>
          <w:szCs w:val="20"/>
          <w:u w:val="single" w:color="211E1E"/>
        </w:rPr>
        <w:t xml:space="preserve">Riesgo a los cambios en el </w:t>
      </w:r>
      <w:r w:rsidRPr="00050219">
        <w:rPr>
          <w:rFonts w:ascii="Arial" w:hAnsi="Arial" w:cs="Arial"/>
          <w:b/>
          <w:bCs/>
          <w:sz w:val="20"/>
          <w:szCs w:val="20"/>
          <w:u w:val="single" w:color="211E1E"/>
        </w:rPr>
        <w:t xml:space="preserve">valor </w:t>
      </w:r>
      <w:r w:rsidR="000205B7" w:rsidRPr="00050219">
        <w:rPr>
          <w:rFonts w:ascii="Arial" w:hAnsi="Arial" w:cs="Arial"/>
          <w:b/>
          <w:bCs/>
          <w:sz w:val="20"/>
          <w:szCs w:val="20"/>
          <w:u w:val="single" w:color="211E1E"/>
        </w:rPr>
        <w:t>razonable</w:t>
      </w:r>
      <w:r w:rsidRPr="00AC4AEA">
        <w:rPr>
          <w:rFonts w:ascii="Arial" w:hAnsi="Arial" w:cs="Arial"/>
          <w:sz w:val="20"/>
          <w:szCs w:val="20"/>
        </w:rPr>
        <w:t xml:space="preserve">: </w:t>
      </w:r>
      <w:r w:rsidR="008915C4">
        <w:rPr>
          <w:rFonts w:ascii="Arial" w:hAnsi="Arial" w:cs="Arial"/>
          <w:sz w:val="20"/>
          <w:szCs w:val="20"/>
        </w:rPr>
        <w:t>E</w:t>
      </w:r>
      <w:r w:rsidRPr="00AC4AEA">
        <w:rPr>
          <w:rFonts w:ascii="Arial" w:hAnsi="Arial" w:cs="Arial"/>
          <w:sz w:val="20"/>
          <w:szCs w:val="20"/>
        </w:rPr>
        <w:t xml:space="preserve">xposición a los cambios en el total (o una porción identificada) del </w:t>
      </w:r>
      <w:r w:rsidRPr="00AC4AEA">
        <w:rPr>
          <w:rFonts w:ascii="Arial" w:hAnsi="Arial" w:cs="Arial"/>
          <w:b/>
          <w:bCs/>
          <w:sz w:val="20"/>
          <w:szCs w:val="20"/>
        </w:rPr>
        <w:t xml:space="preserve">valor </w:t>
      </w:r>
      <w:r w:rsidR="000205B7" w:rsidRPr="00AC4AEA">
        <w:rPr>
          <w:rFonts w:ascii="Arial" w:hAnsi="Arial" w:cs="Arial"/>
          <w:b/>
          <w:bCs/>
          <w:sz w:val="20"/>
          <w:szCs w:val="20"/>
        </w:rPr>
        <w:t>razonable</w:t>
      </w:r>
      <w:r w:rsidRPr="00AC4AEA">
        <w:rPr>
          <w:rFonts w:ascii="Arial" w:hAnsi="Arial" w:cs="Arial"/>
          <w:sz w:val="20"/>
          <w:szCs w:val="20"/>
        </w:rPr>
        <w:t xml:space="preserve"> de </w:t>
      </w:r>
      <w:r w:rsidR="00CE13D7" w:rsidRPr="00CE13D7">
        <w:rPr>
          <w:rFonts w:ascii="Arial" w:hAnsi="Arial" w:cs="Arial"/>
          <w:bCs/>
          <w:sz w:val="20"/>
          <w:szCs w:val="20"/>
        </w:rPr>
        <w:t>activos</w:t>
      </w:r>
      <w:r w:rsidRPr="00AC4AEA">
        <w:rPr>
          <w:rFonts w:ascii="Arial" w:hAnsi="Arial" w:cs="Arial"/>
          <w:sz w:val="20"/>
          <w:szCs w:val="20"/>
        </w:rPr>
        <w:t xml:space="preserve"> o </w:t>
      </w:r>
      <w:r w:rsidR="004E1215" w:rsidRPr="004E1215">
        <w:rPr>
          <w:rFonts w:ascii="Arial" w:hAnsi="Arial" w:cs="Arial"/>
          <w:bCs/>
          <w:sz w:val="20"/>
          <w:szCs w:val="20"/>
        </w:rPr>
        <w:t>pasivos</w:t>
      </w:r>
      <w:r w:rsidRPr="00AC4AEA">
        <w:rPr>
          <w:rFonts w:ascii="Arial" w:hAnsi="Arial" w:cs="Arial"/>
          <w:sz w:val="20"/>
          <w:szCs w:val="20"/>
        </w:rPr>
        <w:t xml:space="preserve"> reconocidos en los </w:t>
      </w:r>
      <w:r w:rsidRPr="00AC4AEA">
        <w:rPr>
          <w:rFonts w:ascii="Arial" w:hAnsi="Arial" w:cs="Arial"/>
          <w:b/>
          <w:bCs/>
          <w:sz w:val="20"/>
          <w:szCs w:val="20"/>
        </w:rPr>
        <w:t>estados contables</w:t>
      </w:r>
      <w:r w:rsidRPr="00AC4AEA">
        <w:rPr>
          <w:rFonts w:ascii="Arial" w:hAnsi="Arial" w:cs="Arial"/>
          <w:sz w:val="20"/>
          <w:szCs w:val="20"/>
        </w:rPr>
        <w:t>,</w:t>
      </w:r>
      <w:r w:rsidR="00A62676" w:rsidRPr="00AC4AEA">
        <w:rPr>
          <w:rFonts w:ascii="Arial" w:hAnsi="Arial" w:cs="Arial"/>
          <w:sz w:val="20"/>
          <w:szCs w:val="20"/>
        </w:rPr>
        <w:t xml:space="preserve"> o de</w:t>
      </w:r>
      <w:r w:rsidR="00F60FCB" w:rsidRPr="00AC4AEA">
        <w:rPr>
          <w:rFonts w:ascii="Arial" w:hAnsi="Arial" w:cs="Arial"/>
          <w:sz w:val="20"/>
          <w:szCs w:val="20"/>
        </w:rPr>
        <w:t xml:space="preserve"> un compromiso en firme no reconocidos contablemente,</w:t>
      </w:r>
      <w:r w:rsidRPr="00AC4AEA">
        <w:rPr>
          <w:rFonts w:ascii="Arial" w:hAnsi="Arial" w:cs="Arial"/>
          <w:sz w:val="20"/>
          <w:szCs w:val="20"/>
        </w:rPr>
        <w:t xml:space="preserve"> atribuible a un riesgo en particular y que pueda afectar el resultado.</w:t>
      </w:r>
      <w:r w:rsidR="006F2C57">
        <w:rPr>
          <w:rFonts w:ascii="Arial" w:hAnsi="Arial" w:cs="Arial"/>
          <w:sz w:val="20"/>
          <w:szCs w:val="20"/>
        </w:rPr>
        <w:t xml:space="preserve"> </w:t>
      </w:r>
    </w:p>
    <w:p w:rsidR="00421257" w:rsidRPr="00AC4AEA" w:rsidRDefault="00421257" w:rsidP="00B277BF">
      <w:pPr>
        <w:spacing w:after="143" w:line="247" w:lineRule="auto"/>
        <w:ind w:left="1701"/>
        <w:jc w:val="both"/>
        <w:rPr>
          <w:rFonts w:ascii="Arial" w:hAnsi="Arial" w:cs="Arial"/>
          <w:sz w:val="20"/>
          <w:szCs w:val="20"/>
        </w:rPr>
      </w:pPr>
      <w:r w:rsidRPr="00AC4AEA">
        <w:rPr>
          <w:rFonts w:ascii="Arial" w:hAnsi="Arial" w:cs="Arial"/>
          <w:sz w:val="20"/>
          <w:szCs w:val="20"/>
          <w:u w:val="single" w:color="211E1E"/>
        </w:rPr>
        <w:t>Riesgo de flujos de efectivo</w:t>
      </w:r>
      <w:r w:rsidRPr="00AC4AEA">
        <w:rPr>
          <w:rFonts w:ascii="Arial" w:hAnsi="Arial" w:cs="Arial"/>
          <w:sz w:val="20"/>
          <w:szCs w:val="20"/>
        </w:rPr>
        <w:t xml:space="preserve">: </w:t>
      </w:r>
      <w:r w:rsidR="008915C4">
        <w:rPr>
          <w:rFonts w:ascii="Arial" w:hAnsi="Arial" w:cs="Arial"/>
          <w:sz w:val="20"/>
          <w:szCs w:val="20"/>
        </w:rPr>
        <w:t>E</w:t>
      </w:r>
      <w:r w:rsidRPr="00AC4AEA">
        <w:rPr>
          <w:rFonts w:ascii="Arial" w:hAnsi="Arial" w:cs="Arial"/>
          <w:sz w:val="20"/>
          <w:szCs w:val="20"/>
        </w:rPr>
        <w:t>xposición a la variabilidad de los flujos de efectivo que se atribuye a un riesgo particular</w:t>
      </w:r>
      <w:r w:rsidR="00997777" w:rsidRPr="00AC4AEA">
        <w:rPr>
          <w:rFonts w:ascii="Arial" w:hAnsi="Arial" w:cs="Arial"/>
          <w:sz w:val="20"/>
          <w:szCs w:val="20"/>
        </w:rPr>
        <w:t xml:space="preserve"> relacionado con </w:t>
      </w:r>
      <w:r w:rsidR="00CE13D7" w:rsidRPr="00CE13D7">
        <w:rPr>
          <w:rFonts w:ascii="Arial" w:hAnsi="Arial" w:cs="Arial"/>
          <w:bCs/>
          <w:sz w:val="20"/>
          <w:szCs w:val="20"/>
        </w:rPr>
        <w:t>activos</w:t>
      </w:r>
      <w:r w:rsidR="00997777" w:rsidRPr="00AC4AEA">
        <w:rPr>
          <w:rFonts w:ascii="Arial" w:hAnsi="Arial" w:cs="Arial"/>
          <w:sz w:val="20"/>
          <w:szCs w:val="20"/>
        </w:rPr>
        <w:t xml:space="preserve"> y </w:t>
      </w:r>
      <w:r w:rsidR="004E1215" w:rsidRPr="004E1215">
        <w:rPr>
          <w:rFonts w:ascii="Arial" w:hAnsi="Arial" w:cs="Arial"/>
          <w:bCs/>
          <w:sz w:val="20"/>
          <w:szCs w:val="20"/>
        </w:rPr>
        <w:t>pasivos</w:t>
      </w:r>
      <w:r w:rsidR="00997777" w:rsidRPr="00AC4AEA">
        <w:rPr>
          <w:rFonts w:ascii="Arial" w:hAnsi="Arial" w:cs="Arial"/>
          <w:sz w:val="20"/>
          <w:szCs w:val="20"/>
        </w:rPr>
        <w:t xml:space="preserve"> reconocidos, transacciones esperadas en el futuro</w:t>
      </w:r>
      <w:r w:rsidR="00971C44" w:rsidRPr="00AC4AEA">
        <w:rPr>
          <w:rFonts w:ascii="Arial" w:hAnsi="Arial" w:cs="Arial"/>
          <w:sz w:val="20"/>
          <w:szCs w:val="20"/>
        </w:rPr>
        <w:t xml:space="preserve"> (altamente probables)</w:t>
      </w:r>
      <w:r w:rsidR="00997777" w:rsidRPr="00AC4AEA">
        <w:rPr>
          <w:rFonts w:ascii="Arial" w:hAnsi="Arial" w:cs="Arial"/>
          <w:sz w:val="20"/>
          <w:szCs w:val="20"/>
        </w:rPr>
        <w:t xml:space="preserve"> </w:t>
      </w:r>
      <w:r w:rsidR="00CC64A7" w:rsidRPr="00AC4AEA">
        <w:rPr>
          <w:rFonts w:ascii="Arial" w:hAnsi="Arial" w:cs="Arial"/>
          <w:sz w:val="20"/>
          <w:szCs w:val="20"/>
        </w:rPr>
        <w:t xml:space="preserve">o </w:t>
      </w:r>
      <w:r w:rsidR="00997777" w:rsidRPr="00AC4AEA">
        <w:rPr>
          <w:rFonts w:ascii="Arial" w:hAnsi="Arial" w:cs="Arial"/>
          <w:sz w:val="20"/>
          <w:szCs w:val="20"/>
        </w:rPr>
        <w:t>compromisos firmes no reconocidos contablemente (</w:t>
      </w:r>
      <w:r w:rsidR="001C660C" w:rsidRPr="00AC4AEA">
        <w:rPr>
          <w:rFonts w:ascii="Arial" w:hAnsi="Arial" w:cs="Arial"/>
          <w:sz w:val="20"/>
          <w:szCs w:val="20"/>
        </w:rPr>
        <w:t xml:space="preserve">siempre que no </w:t>
      </w:r>
      <w:r w:rsidR="00997777" w:rsidRPr="00AC4AEA">
        <w:rPr>
          <w:rFonts w:ascii="Arial" w:hAnsi="Arial" w:cs="Arial"/>
          <w:sz w:val="20"/>
          <w:szCs w:val="20"/>
        </w:rPr>
        <w:t>se trat</w:t>
      </w:r>
      <w:r w:rsidR="001C660C" w:rsidRPr="00AC4AEA">
        <w:rPr>
          <w:rFonts w:ascii="Arial" w:hAnsi="Arial" w:cs="Arial"/>
          <w:sz w:val="20"/>
          <w:szCs w:val="20"/>
        </w:rPr>
        <w:t>en</w:t>
      </w:r>
      <w:r w:rsidR="00997777" w:rsidRPr="00AC4AEA">
        <w:rPr>
          <w:rFonts w:ascii="Arial" w:hAnsi="Arial" w:cs="Arial"/>
          <w:sz w:val="20"/>
          <w:szCs w:val="20"/>
        </w:rPr>
        <w:t xml:space="preserve"> </w:t>
      </w:r>
      <w:r w:rsidR="001C660C" w:rsidRPr="00AC4AEA">
        <w:rPr>
          <w:rFonts w:ascii="Arial" w:hAnsi="Arial" w:cs="Arial"/>
          <w:sz w:val="20"/>
          <w:szCs w:val="20"/>
        </w:rPr>
        <w:t>como</w:t>
      </w:r>
      <w:r w:rsidR="00997777" w:rsidRPr="00AC4AEA">
        <w:rPr>
          <w:rFonts w:ascii="Arial" w:hAnsi="Arial" w:cs="Arial"/>
          <w:sz w:val="20"/>
          <w:szCs w:val="20"/>
        </w:rPr>
        <w:t xml:space="preserve"> una exposición a los cambios en el </w:t>
      </w:r>
      <w:r w:rsidR="00997777" w:rsidRPr="00AC4AEA">
        <w:rPr>
          <w:rFonts w:ascii="Arial" w:hAnsi="Arial" w:cs="Arial"/>
          <w:b/>
          <w:bCs/>
          <w:sz w:val="20"/>
          <w:szCs w:val="20"/>
        </w:rPr>
        <w:t>valor razonable</w:t>
      </w:r>
      <w:r w:rsidR="00997777" w:rsidRPr="00AC4AEA">
        <w:rPr>
          <w:rFonts w:ascii="Arial" w:hAnsi="Arial" w:cs="Arial"/>
          <w:sz w:val="20"/>
          <w:szCs w:val="20"/>
        </w:rPr>
        <w:t>)</w:t>
      </w:r>
      <w:r w:rsidR="00387D79" w:rsidRPr="00AC4AEA">
        <w:rPr>
          <w:rFonts w:ascii="Arial" w:hAnsi="Arial" w:cs="Arial"/>
          <w:sz w:val="20"/>
          <w:szCs w:val="20"/>
        </w:rPr>
        <w:t>,</w:t>
      </w:r>
      <w:r w:rsidR="00CC64A7" w:rsidRPr="00AC4AEA">
        <w:rPr>
          <w:rFonts w:ascii="Arial" w:hAnsi="Arial" w:cs="Arial"/>
          <w:sz w:val="20"/>
          <w:szCs w:val="20"/>
        </w:rPr>
        <w:t xml:space="preserve"> </w:t>
      </w:r>
      <w:r w:rsidRPr="00AC4AEA">
        <w:rPr>
          <w:rFonts w:ascii="Arial" w:hAnsi="Arial" w:cs="Arial"/>
          <w:sz w:val="20"/>
          <w:szCs w:val="20"/>
        </w:rPr>
        <w:t>y que afectan a los resultados.</w:t>
      </w:r>
      <w:r w:rsidR="006F2C57">
        <w:rPr>
          <w:rFonts w:ascii="Arial" w:hAnsi="Arial" w:cs="Arial"/>
          <w:sz w:val="20"/>
          <w:szCs w:val="20"/>
        </w:rPr>
        <w:t xml:space="preserve"> </w:t>
      </w:r>
    </w:p>
    <w:p w:rsidR="00421257" w:rsidRPr="00AC4AEA" w:rsidRDefault="00421257" w:rsidP="00B277BF">
      <w:pPr>
        <w:spacing w:after="143" w:line="247" w:lineRule="auto"/>
        <w:ind w:left="1701"/>
        <w:jc w:val="both"/>
        <w:rPr>
          <w:rFonts w:ascii="Arial" w:hAnsi="Arial" w:cs="Arial"/>
          <w:sz w:val="20"/>
          <w:szCs w:val="20"/>
        </w:rPr>
      </w:pPr>
      <w:r w:rsidRPr="00AC4AEA">
        <w:rPr>
          <w:rFonts w:ascii="Arial" w:hAnsi="Arial" w:cs="Arial"/>
          <w:sz w:val="20"/>
          <w:szCs w:val="20"/>
          <w:u w:val="single" w:color="211E1E"/>
        </w:rPr>
        <w:t>Riesgo en una inversión neta en una entidad del extranjero</w:t>
      </w:r>
      <w:r w:rsidRPr="00AC4AEA">
        <w:rPr>
          <w:rFonts w:ascii="Arial" w:hAnsi="Arial" w:cs="Arial"/>
          <w:sz w:val="20"/>
          <w:szCs w:val="20"/>
        </w:rPr>
        <w:t xml:space="preserve">: </w:t>
      </w:r>
      <w:r w:rsidR="008915C4">
        <w:rPr>
          <w:rFonts w:ascii="Arial" w:hAnsi="Arial" w:cs="Arial"/>
          <w:sz w:val="20"/>
          <w:szCs w:val="20"/>
        </w:rPr>
        <w:t>E</w:t>
      </w:r>
      <w:r w:rsidRPr="00AC4AEA">
        <w:rPr>
          <w:rFonts w:ascii="Arial" w:hAnsi="Arial" w:cs="Arial"/>
          <w:sz w:val="20"/>
          <w:szCs w:val="20"/>
        </w:rPr>
        <w:t xml:space="preserve">xposición al cambio en los flujos de efectivo correspondiente a la porción que corresponde a la </w:t>
      </w:r>
      <w:r w:rsidR="00E60125" w:rsidRPr="00AC4AEA">
        <w:rPr>
          <w:rFonts w:ascii="Arial" w:hAnsi="Arial" w:cs="Arial"/>
          <w:sz w:val="20"/>
          <w:szCs w:val="20"/>
        </w:rPr>
        <w:t>entidad</w:t>
      </w:r>
      <w:r w:rsidRPr="00AC4AEA">
        <w:rPr>
          <w:rFonts w:ascii="Arial" w:hAnsi="Arial" w:cs="Arial"/>
          <w:sz w:val="20"/>
          <w:szCs w:val="20"/>
        </w:rPr>
        <w:t xml:space="preserve"> en el </w:t>
      </w:r>
      <w:r w:rsidRPr="00AC4AEA">
        <w:rPr>
          <w:rFonts w:ascii="Arial" w:hAnsi="Arial" w:cs="Arial"/>
          <w:b/>
          <w:bCs/>
          <w:sz w:val="20"/>
          <w:szCs w:val="20"/>
        </w:rPr>
        <w:t>patrimonio neto</w:t>
      </w:r>
      <w:r w:rsidRPr="00AC4AEA">
        <w:rPr>
          <w:rFonts w:ascii="Arial" w:hAnsi="Arial" w:cs="Arial"/>
          <w:sz w:val="20"/>
          <w:szCs w:val="20"/>
        </w:rPr>
        <w:t xml:space="preserve"> de una </w:t>
      </w:r>
      <w:r w:rsidRPr="00AC4AEA">
        <w:rPr>
          <w:rFonts w:ascii="Arial" w:hAnsi="Arial" w:cs="Arial"/>
          <w:b/>
          <w:bCs/>
          <w:sz w:val="20"/>
          <w:szCs w:val="20"/>
        </w:rPr>
        <w:t xml:space="preserve">entidad </w:t>
      </w:r>
      <w:r w:rsidR="00CC64A7" w:rsidRPr="00AC4AEA">
        <w:rPr>
          <w:rFonts w:ascii="Arial" w:hAnsi="Arial" w:cs="Arial"/>
          <w:b/>
          <w:bCs/>
          <w:sz w:val="20"/>
          <w:szCs w:val="20"/>
        </w:rPr>
        <w:t>d</w:t>
      </w:r>
      <w:r w:rsidR="00311A7D" w:rsidRPr="00AC4AEA">
        <w:rPr>
          <w:rFonts w:ascii="Arial" w:hAnsi="Arial" w:cs="Arial"/>
          <w:b/>
          <w:bCs/>
          <w:sz w:val="20"/>
          <w:szCs w:val="20"/>
        </w:rPr>
        <w:t>el</w:t>
      </w:r>
      <w:r w:rsidRPr="00AC4AEA">
        <w:rPr>
          <w:rFonts w:ascii="Arial" w:hAnsi="Arial" w:cs="Arial"/>
          <w:b/>
          <w:bCs/>
          <w:sz w:val="20"/>
          <w:szCs w:val="20"/>
        </w:rPr>
        <w:t xml:space="preserve"> exterior</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B277BF">
      <w:pPr>
        <w:spacing w:after="143" w:line="247" w:lineRule="auto"/>
        <w:ind w:left="1701"/>
        <w:jc w:val="both"/>
        <w:rPr>
          <w:rFonts w:ascii="Arial" w:hAnsi="Arial" w:cs="Arial"/>
          <w:sz w:val="20"/>
          <w:szCs w:val="20"/>
        </w:rPr>
      </w:pPr>
      <w:r w:rsidRPr="00AC4AEA">
        <w:rPr>
          <w:rFonts w:ascii="Arial" w:hAnsi="Arial" w:cs="Arial"/>
          <w:sz w:val="20"/>
          <w:szCs w:val="20"/>
          <w:u w:val="single" w:color="211E1E"/>
        </w:rPr>
        <w:t>Transacción esperada en el futuro:</w:t>
      </w:r>
      <w:r w:rsidRPr="00AC4AEA">
        <w:rPr>
          <w:rFonts w:ascii="Arial" w:hAnsi="Arial" w:cs="Arial"/>
          <w:sz w:val="20"/>
          <w:szCs w:val="20"/>
        </w:rPr>
        <w:t xml:space="preserve"> </w:t>
      </w:r>
      <w:r w:rsidR="008915C4">
        <w:rPr>
          <w:rFonts w:ascii="Arial" w:hAnsi="Arial" w:cs="Arial"/>
          <w:sz w:val="20"/>
          <w:szCs w:val="20"/>
        </w:rPr>
        <w:t>T</w:t>
      </w:r>
      <w:r w:rsidRPr="00AC4AEA">
        <w:rPr>
          <w:rFonts w:ascii="Arial" w:hAnsi="Arial" w:cs="Arial"/>
          <w:sz w:val="20"/>
          <w:szCs w:val="20"/>
        </w:rPr>
        <w:t xml:space="preserve">ransacción prevista cuya ocurrencia es </w:t>
      </w:r>
      <w:r w:rsidR="00E60125" w:rsidRPr="00AC4AEA">
        <w:rPr>
          <w:rFonts w:ascii="Arial" w:hAnsi="Arial" w:cs="Arial"/>
          <w:sz w:val="20"/>
          <w:szCs w:val="20"/>
        </w:rPr>
        <w:t xml:space="preserve">altamente </w:t>
      </w:r>
      <w:r w:rsidRPr="00AC4AEA">
        <w:rPr>
          <w:rFonts w:ascii="Arial" w:hAnsi="Arial" w:cs="Arial"/>
          <w:sz w:val="20"/>
          <w:szCs w:val="20"/>
        </w:rPr>
        <w:t>probable (ejemplo: una compra o venta conocida por adelantado).</w:t>
      </w:r>
      <w:r w:rsidR="006F2C57">
        <w:rPr>
          <w:rFonts w:ascii="Arial" w:hAnsi="Arial" w:cs="Arial"/>
          <w:sz w:val="20"/>
          <w:szCs w:val="20"/>
        </w:rPr>
        <w:t xml:space="preserve"> </w:t>
      </w:r>
    </w:p>
    <w:p w:rsidR="00121957" w:rsidRPr="00AC4AEA" w:rsidRDefault="00121957" w:rsidP="00121957">
      <w:pPr>
        <w:spacing w:after="143" w:line="247" w:lineRule="auto"/>
        <w:jc w:val="both"/>
        <w:rPr>
          <w:rFonts w:ascii="Arial" w:hAnsi="Arial" w:cs="Arial"/>
          <w:sz w:val="20"/>
          <w:szCs w:val="20"/>
        </w:rPr>
      </w:pPr>
    </w:p>
    <w:p w:rsidR="009B56F4" w:rsidRPr="00AC4AEA" w:rsidRDefault="00121957" w:rsidP="00121957">
      <w:pPr>
        <w:pStyle w:val="Ttulo2"/>
        <w:rPr>
          <w:rFonts w:cs="Arial"/>
        </w:rPr>
      </w:pPr>
      <w:bookmarkStart w:id="1229" w:name="_Toc139357056"/>
      <w:r w:rsidRPr="00AC4AEA">
        <w:rPr>
          <w:rFonts w:cs="Arial"/>
        </w:rPr>
        <w:t>Contabilidad de coberturas</w:t>
      </w:r>
      <w:bookmarkEnd w:id="1229"/>
    </w:p>
    <w:p w:rsidR="00121957" w:rsidRPr="00AC4AEA" w:rsidRDefault="009B56F4" w:rsidP="009B56F4">
      <w:pPr>
        <w:pStyle w:val="Ttulo3"/>
      </w:pPr>
      <w:bookmarkStart w:id="1230" w:name="_Toc139357057"/>
      <w:r w:rsidRPr="00AC4AEA">
        <w:t xml:space="preserve">Distinción entre </w:t>
      </w:r>
      <w:r w:rsidR="00AD31EC" w:rsidRPr="00AC4AEA">
        <w:t xml:space="preserve">una </w:t>
      </w:r>
      <w:r w:rsidRPr="00AC4AEA">
        <w:t xml:space="preserve">“operación de cobertura” y </w:t>
      </w:r>
      <w:r w:rsidR="00AD31EC" w:rsidRPr="00AC4AEA">
        <w:t xml:space="preserve">aplicar </w:t>
      </w:r>
      <w:r w:rsidRPr="00AC4AEA">
        <w:t>“contabilidad de cobertura</w:t>
      </w:r>
      <w:r w:rsidR="00AD31EC" w:rsidRPr="00AC4AEA">
        <w:t>s</w:t>
      </w:r>
      <w:r w:rsidRPr="00AC4AEA">
        <w:t>”</w:t>
      </w:r>
      <w:bookmarkEnd w:id="1230"/>
    </w:p>
    <w:p w:rsidR="009B56F4" w:rsidRPr="00A47337" w:rsidRDefault="00BC701C" w:rsidP="00C01B25">
      <w:pPr>
        <w:numPr>
          <w:ilvl w:val="0"/>
          <w:numId w:val="718"/>
        </w:numPr>
        <w:spacing w:after="147" w:line="264" w:lineRule="auto"/>
        <w:ind w:left="993" w:hanging="567"/>
        <w:jc w:val="both"/>
        <w:rPr>
          <w:rFonts w:ascii="Arial" w:eastAsia="Times New Roman" w:hAnsi="Arial" w:cs="Arial"/>
          <w:sz w:val="20"/>
          <w:szCs w:val="20"/>
          <w:lang w:eastAsia="es-AR"/>
        </w:rPr>
      </w:pPr>
      <w:r w:rsidRPr="00AC4AEA">
        <w:rPr>
          <w:rFonts w:ascii="Arial" w:eastAsia="Times New Roman" w:hAnsi="Arial" w:cs="Arial"/>
          <w:sz w:val="20"/>
          <w:szCs w:val="20"/>
          <w:lang w:eastAsia="es-AR"/>
        </w:rPr>
        <w:t xml:space="preserve">Una entidad </w:t>
      </w:r>
      <w:r w:rsidR="00626666" w:rsidRPr="00AC4AEA">
        <w:rPr>
          <w:rFonts w:ascii="Arial" w:eastAsia="Times New Roman" w:hAnsi="Arial" w:cs="Arial"/>
          <w:sz w:val="20"/>
          <w:szCs w:val="20"/>
          <w:lang w:eastAsia="es-AR"/>
        </w:rPr>
        <w:t>que</w:t>
      </w:r>
      <w:r w:rsidRPr="00AC4AEA">
        <w:rPr>
          <w:rFonts w:ascii="Arial" w:eastAsia="Times New Roman" w:hAnsi="Arial" w:cs="Arial"/>
          <w:sz w:val="20"/>
          <w:szCs w:val="20"/>
          <w:lang w:eastAsia="es-AR"/>
        </w:rPr>
        <w:t xml:space="preserve"> realiza una operación de </w:t>
      </w:r>
      <w:r w:rsidRPr="00A47337">
        <w:rPr>
          <w:rFonts w:ascii="Arial" w:eastAsia="Times New Roman" w:hAnsi="Arial" w:cs="Arial"/>
          <w:sz w:val="20"/>
          <w:szCs w:val="20"/>
          <w:lang w:eastAsia="es-AR"/>
        </w:rPr>
        <w:t>cobertura</w:t>
      </w:r>
      <w:r w:rsidR="00626666" w:rsidRPr="00A47337">
        <w:rPr>
          <w:rFonts w:ascii="Arial" w:eastAsia="Times New Roman" w:hAnsi="Arial" w:cs="Arial"/>
          <w:sz w:val="20"/>
          <w:szCs w:val="20"/>
          <w:lang w:eastAsia="es-AR"/>
        </w:rPr>
        <w:t xml:space="preserve"> </w:t>
      </w:r>
      <w:r w:rsidR="008915C4" w:rsidRPr="00A47337">
        <w:rPr>
          <w:rFonts w:ascii="Arial" w:eastAsia="Times New Roman" w:hAnsi="Arial" w:cs="Arial"/>
          <w:sz w:val="20"/>
          <w:szCs w:val="20"/>
          <w:lang w:eastAsia="es-AR"/>
        </w:rPr>
        <w:t>podrá</w:t>
      </w:r>
      <w:r w:rsidRPr="00A47337">
        <w:rPr>
          <w:rFonts w:ascii="Arial" w:eastAsia="Times New Roman" w:hAnsi="Arial" w:cs="Arial"/>
          <w:sz w:val="20"/>
          <w:szCs w:val="20"/>
          <w:lang w:eastAsia="es-AR"/>
        </w:rPr>
        <w:t xml:space="preserve"> </w:t>
      </w:r>
      <w:r w:rsidR="008915C4" w:rsidRPr="00A47337">
        <w:rPr>
          <w:rFonts w:ascii="Arial" w:eastAsia="Times New Roman" w:hAnsi="Arial" w:cs="Arial"/>
          <w:sz w:val="20"/>
          <w:szCs w:val="20"/>
          <w:lang w:eastAsia="es-AR"/>
        </w:rPr>
        <w:t xml:space="preserve">aplicar la </w:t>
      </w:r>
      <w:r w:rsidR="008915C4" w:rsidRPr="00A47337">
        <w:rPr>
          <w:rFonts w:ascii="Arial" w:eastAsia="Times New Roman" w:hAnsi="Arial" w:cs="Arial"/>
          <w:b/>
          <w:bCs/>
          <w:sz w:val="20"/>
          <w:szCs w:val="20"/>
          <w:lang w:eastAsia="es-AR"/>
        </w:rPr>
        <w:t>política contable</w:t>
      </w:r>
      <w:r w:rsidR="008915C4" w:rsidRPr="00A47337">
        <w:rPr>
          <w:rFonts w:ascii="Arial" w:eastAsia="Times New Roman" w:hAnsi="Arial" w:cs="Arial"/>
          <w:sz w:val="20"/>
          <w:szCs w:val="20"/>
          <w:lang w:eastAsia="es-AR"/>
        </w:rPr>
        <w:t xml:space="preserve"> establecida en</w:t>
      </w:r>
      <w:r w:rsidR="00D4343B" w:rsidRPr="00A47337">
        <w:rPr>
          <w:rFonts w:ascii="Arial" w:eastAsia="Times New Roman" w:hAnsi="Arial" w:cs="Arial"/>
          <w:sz w:val="20"/>
          <w:szCs w:val="20"/>
          <w:lang w:eastAsia="es-AR"/>
        </w:rPr>
        <w:t xml:space="preserve"> los párrafos </w:t>
      </w:r>
      <w:fldSimple w:instr=" REF _Ref135602448 \r \h  \* MERGEFORMAT ">
        <w:r w:rsidR="00D33A5D" w:rsidRPr="00D33A5D">
          <w:rPr>
            <w:rFonts w:ascii="Arial" w:eastAsia="Times New Roman" w:hAnsi="Arial" w:cs="Arial"/>
            <w:sz w:val="20"/>
            <w:szCs w:val="20"/>
            <w:lang w:eastAsia="es-AR"/>
          </w:rPr>
          <w:t>995</w:t>
        </w:r>
      </w:fldSimple>
      <w:r w:rsidR="008915C4" w:rsidRPr="00A47337">
        <w:rPr>
          <w:rFonts w:ascii="Arial" w:eastAsia="Times New Roman" w:hAnsi="Arial" w:cs="Arial"/>
          <w:sz w:val="20"/>
          <w:szCs w:val="20"/>
          <w:lang w:eastAsia="es-AR"/>
        </w:rPr>
        <w:t xml:space="preserve"> a </w:t>
      </w:r>
      <w:fldSimple w:instr=" REF _Ref135602453 \r \h  \* MERGEFORMAT ">
        <w:r w:rsidR="00D33A5D" w:rsidRPr="00D33A5D">
          <w:rPr>
            <w:rFonts w:ascii="Arial" w:eastAsia="Times New Roman" w:hAnsi="Arial" w:cs="Arial"/>
            <w:sz w:val="20"/>
            <w:szCs w:val="20"/>
            <w:lang w:eastAsia="es-AR"/>
          </w:rPr>
          <w:t>1012</w:t>
        </w:r>
      </w:fldSimple>
      <w:r w:rsidR="008915C4" w:rsidRPr="00A47337">
        <w:rPr>
          <w:rFonts w:ascii="Arial" w:eastAsia="Times New Roman" w:hAnsi="Arial" w:cs="Arial"/>
          <w:sz w:val="20"/>
          <w:szCs w:val="20"/>
          <w:lang w:eastAsia="es-AR"/>
        </w:rPr>
        <w:t>. Mientras que la</w:t>
      </w:r>
      <w:r w:rsidR="00626666" w:rsidRPr="00A47337">
        <w:rPr>
          <w:rFonts w:ascii="Arial" w:eastAsia="Times New Roman" w:hAnsi="Arial" w:cs="Arial"/>
          <w:sz w:val="20"/>
          <w:szCs w:val="20"/>
          <w:lang w:eastAsia="es-AR"/>
        </w:rPr>
        <w:t xml:space="preserve"> operación de cobertura es una decisión de gestión, </w:t>
      </w:r>
      <w:r w:rsidR="008915C4" w:rsidRPr="00A47337">
        <w:rPr>
          <w:rFonts w:ascii="Arial" w:eastAsia="Times New Roman" w:hAnsi="Arial" w:cs="Arial"/>
          <w:sz w:val="20"/>
          <w:szCs w:val="20"/>
          <w:lang w:eastAsia="es-AR"/>
        </w:rPr>
        <w:t>la aplicación de los</w:t>
      </w:r>
      <w:r w:rsidR="00626666" w:rsidRPr="00A47337">
        <w:rPr>
          <w:rFonts w:ascii="Arial" w:eastAsia="Times New Roman" w:hAnsi="Arial" w:cs="Arial"/>
          <w:sz w:val="20"/>
          <w:szCs w:val="20"/>
          <w:lang w:eastAsia="es-AR"/>
        </w:rPr>
        <w:t xml:space="preserve"> requerimientos establecidos en los párrafos </w:t>
      </w:r>
      <w:fldSimple w:instr=" REF _Ref135602448 \r \h  \* MERGEFORMAT ">
        <w:r w:rsidR="00D33A5D" w:rsidRPr="00D33A5D">
          <w:rPr>
            <w:rFonts w:ascii="Arial" w:eastAsia="Times New Roman" w:hAnsi="Arial" w:cs="Arial"/>
            <w:sz w:val="20"/>
            <w:szCs w:val="20"/>
            <w:lang w:eastAsia="es-AR"/>
          </w:rPr>
          <w:t>995</w:t>
        </w:r>
      </w:fldSimple>
      <w:r w:rsidR="00626666" w:rsidRPr="00A47337">
        <w:rPr>
          <w:rFonts w:ascii="Arial" w:eastAsia="Times New Roman" w:hAnsi="Arial" w:cs="Arial"/>
          <w:sz w:val="20"/>
          <w:szCs w:val="20"/>
          <w:lang w:eastAsia="es-AR"/>
        </w:rPr>
        <w:t xml:space="preserve"> a </w:t>
      </w:r>
      <w:fldSimple w:instr=" REF _Ref135602453 \r \h  \* MERGEFORMAT ">
        <w:r w:rsidR="00D33A5D" w:rsidRPr="00D33A5D">
          <w:rPr>
            <w:rFonts w:ascii="Arial" w:eastAsia="Times New Roman" w:hAnsi="Arial" w:cs="Arial"/>
            <w:sz w:val="20"/>
            <w:szCs w:val="20"/>
            <w:lang w:eastAsia="es-AR"/>
          </w:rPr>
          <w:t>1012</w:t>
        </w:r>
      </w:fldSimple>
      <w:r w:rsidR="00626666" w:rsidRPr="00A47337">
        <w:rPr>
          <w:rFonts w:ascii="Arial" w:eastAsia="Times New Roman" w:hAnsi="Arial" w:cs="Arial"/>
          <w:sz w:val="20"/>
          <w:szCs w:val="20"/>
          <w:lang w:eastAsia="es-AR"/>
        </w:rPr>
        <w:t xml:space="preserve"> </w:t>
      </w:r>
      <w:r w:rsidR="003B33D6" w:rsidRPr="00A47337">
        <w:rPr>
          <w:rFonts w:ascii="Arial" w:eastAsia="Times New Roman" w:hAnsi="Arial" w:cs="Arial"/>
          <w:sz w:val="20"/>
          <w:szCs w:val="20"/>
          <w:lang w:eastAsia="es-AR"/>
        </w:rPr>
        <w:t>consiste en</w:t>
      </w:r>
      <w:r w:rsidR="00626666" w:rsidRPr="00A47337">
        <w:rPr>
          <w:rFonts w:ascii="Arial" w:eastAsia="Times New Roman" w:hAnsi="Arial" w:cs="Arial"/>
          <w:sz w:val="20"/>
          <w:szCs w:val="20"/>
          <w:lang w:eastAsia="es-AR"/>
        </w:rPr>
        <w:t xml:space="preserve"> una </w:t>
      </w:r>
      <w:r w:rsidR="00626666" w:rsidRPr="00A47337">
        <w:rPr>
          <w:rFonts w:ascii="Arial" w:eastAsia="Times New Roman" w:hAnsi="Arial" w:cs="Arial"/>
          <w:b/>
          <w:bCs/>
          <w:sz w:val="20"/>
          <w:szCs w:val="20"/>
          <w:lang w:eastAsia="es-AR"/>
        </w:rPr>
        <w:t>política contable</w:t>
      </w:r>
      <w:r w:rsidR="00626666" w:rsidRPr="00A47337">
        <w:rPr>
          <w:rFonts w:ascii="Arial" w:eastAsia="Times New Roman" w:hAnsi="Arial" w:cs="Arial"/>
          <w:sz w:val="20"/>
          <w:szCs w:val="20"/>
          <w:lang w:eastAsia="es-AR"/>
        </w:rPr>
        <w:t xml:space="preserve"> </w:t>
      </w:r>
      <w:r w:rsidR="00F405F3" w:rsidRPr="00A47337">
        <w:rPr>
          <w:rFonts w:ascii="Arial" w:eastAsia="Times New Roman" w:hAnsi="Arial" w:cs="Arial"/>
          <w:sz w:val="20"/>
          <w:szCs w:val="20"/>
          <w:lang w:eastAsia="es-AR"/>
        </w:rPr>
        <w:t>seleccionada por</w:t>
      </w:r>
      <w:r w:rsidR="00626666" w:rsidRPr="00A47337">
        <w:rPr>
          <w:rFonts w:ascii="Arial" w:eastAsia="Times New Roman" w:hAnsi="Arial" w:cs="Arial"/>
          <w:sz w:val="20"/>
          <w:szCs w:val="20"/>
          <w:lang w:eastAsia="es-AR"/>
        </w:rPr>
        <w:t xml:space="preserve"> la </w:t>
      </w:r>
      <w:r w:rsidR="00626666" w:rsidRPr="00A47337">
        <w:rPr>
          <w:rFonts w:ascii="Arial" w:eastAsia="Times New Roman" w:hAnsi="Arial" w:cs="Arial"/>
          <w:b/>
          <w:bCs/>
          <w:sz w:val="20"/>
          <w:szCs w:val="20"/>
          <w:lang w:eastAsia="es-AR"/>
        </w:rPr>
        <w:t>dirección</w:t>
      </w:r>
      <w:r w:rsidR="00626666" w:rsidRPr="00A47337">
        <w:rPr>
          <w:rFonts w:ascii="Arial" w:eastAsia="Times New Roman" w:hAnsi="Arial" w:cs="Arial"/>
          <w:sz w:val="20"/>
          <w:szCs w:val="20"/>
          <w:lang w:eastAsia="es-AR"/>
        </w:rPr>
        <w:t xml:space="preserve"> de la entidad</w:t>
      </w:r>
      <w:r w:rsidR="008915C4" w:rsidRPr="00A47337">
        <w:rPr>
          <w:rFonts w:ascii="Arial" w:eastAsia="Times New Roman" w:hAnsi="Arial" w:cs="Arial"/>
          <w:sz w:val="20"/>
          <w:szCs w:val="20"/>
          <w:lang w:eastAsia="es-AR"/>
        </w:rPr>
        <w:t xml:space="preserve"> </w:t>
      </w:r>
      <w:r w:rsidR="00626666" w:rsidRPr="00A47337">
        <w:rPr>
          <w:rFonts w:ascii="Arial" w:eastAsia="Times New Roman" w:hAnsi="Arial" w:cs="Arial"/>
          <w:sz w:val="20"/>
          <w:szCs w:val="20"/>
          <w:lang w:eastAsia="es-AR"/>
        </w:rPr>
        <w:t xml:space="preserve">Una entidad </w:t>
      </w:r>
      <w:r w:rsidR="008915C4" w:rsidRPr="00A47337">
        <w:rPr>
          <w:rFonts w:ascii="Arial" w:eastAsia="Times New Roman" w:hAnsi="Arial" w:cs="Arial"/>
          <w:sz w:val="20"/>
          <w:szCs w:val="20"/>
          <w:lang w:eastAsia="es-AR"/>
        </w:rPr>
        <w:t>optará por</w:t>
      </w:r>
      <w:r w:rsidR="00626666" w:rsidRPr="00A47337">
        <w:rPr>
          <w:rFonts w:ascii="Arial" w:eastAsia="Times New Roman" w:hAnsi="Arial" w:cs="Arial"/>
          <w:sz w:val="20"/>
          <w:szCs w:val="20"/>
          <w:lang w:eastAsia="es-AR"/>
        </w:rPr>
        <w:t xml:space="preserve"> aplicar los requerimientos de contabilidad de cobertura establecidos en los párrafos </w:t>
      </w:r>
      <w:fldSimple w:instr=" REF _Ref135602448 \r \h  \* MERGEFORMAT ">
        <w:r w:rsidR="00D33A5D" w:rsidRPr="00D33A5D">
          <w:rPr>
            <w:rFonts w:ascii="Arial" w:eastAsia="Times New Roman" w:hAnsi="Arial" w:cs="Arial"/>
            <w:sz w:val="20"/>
            <w:szCs w:val="20"/>
            <w:lang w:eastAsia="es-AR"/>
          </w:rPr>
          <w:t>995</w:t>
        </w:r>
      </w:fldSimple>
      <w:r w:rsidR="00626666" w:rsidRPr="00A47337">
        <w:rPr>
          <w:rFonts w:ascii="Arial" w:eastAsia="Times New Roman" w:hAnsi="Arial" w:cs="Arial"/>
          <w:sz w:val="20"/>
          <w:szCs w:val="20"/>
          <w:lang w:eastAsia="es-AR"/>
        </w:rPr>
        <w:t xml:space="preserve"> a </w:t>
      </w:r>
      <w:fldSimple w:instr=" REF _Ref135602453 \r \h  \* MERGEFORMAT ">
        <w:r w:rsidR="00D33A5D" w:rsidRPr="00D33A5D">
          <w:rPr>
            <w:rFonts w:ascii="Arial" w:eastAsia="Times New Roman" w:hAnsi="Arial" w:cs="Arial"/>
            <w:sz w:val="20"/>
            <w:szCs w:val="20"/>
            <w:lang w:eastAsia="es-AR"/>
          </w:rPr>
          <w:t>1012</w:t>
        </w:r>
      </w:fldSimple>
      <w:r w:rsidR="0046500C" w:rsidRPr="00A47337">
        <w:rPr>
          <w:rFonts w:ascii="Arial" w:eastAsia="Times New Roman" w:hAnsi="Arial" w:cs="Arial"/>
          <w:sz w:val="20"/>
          <w:szCs w:val="20"/>
          <w:lang w:eastAsia="es-AR"/>
        </w:rPr>
        <w:t xml:space="preserve"> para cada operación de cobertura.</w:t>
      </w:r>
    </w:p>
    <w:p w:rsidR="00AD31EC" w:rsidRPr="00AC4AEA" w:rsidRDefault="00AD31EC" w:rsidP="00AD31EC">
      <w:pPr>
        <w:spacing w:after="147" w:line="264" w:lineRule="auto"/>
        <w:ind w:left="937"/>
        <w:jc w:val="both"/>
        <w:rPr>
          <w:rFonts w:ascii="Arial" w:eastAsia="Times New Roman" w:hAnsi="Arial" w:cs="Arial"/>
          <w:sz w:val="20"/>
          <w:szCs w:val="20"/>
          <w:lang w:eastAsia="es-AR"/>
        </w:rPr>
      </w:pPr>
    </w:p>
    <w:p w:rsidR="00BC701C" w:rsidRPr="00AC4AEA" w:rsidRDefault="00D233AC" w:rsidP="009B56F4">
      <w:pPr>
        <w:pStyle w:val="Ttulo3"/>
      </w:pPr>
      <w:bookmarkStart w:id="1231" w:name="_Toc139357058"/>
      <w:r w:rsidRPr="00AC4AEA">
        <w:t>Objetivo y c</w:t>
      </w:r>
      <w:r w:rsidR="009B56F4" w:rsidRPr="00AC4AEA">
        <w:t>ondiciones para aplicar contabilidad de cobertura</w:t>
      </w:r>
      <w:r w:rsidR="00AD31EC" w:rsidRPr="00AC4AEA">
        <w:t>s</w:t>
      </w:r>
      <w:bookmarkEnd w:id="1231"/>
      <w:r w:rsidR="00626666" w:rsidRPr="00AC4AEA">
        <w:t xml:space="preserve"> </w:t>
      </w:r>
    </w:p>
    <w:p w:rsidR="003417E5" w:rsidRPr="00A47337" w:rsidRDefault="003417E5" w:rsidP="00C01B25">
      <w:pPr>
        <w:numPr>
          <w:ilvl w:val="0"/>
          <w:numId w:val="718"/>
        </w:numPr>
        <w:spacing w:after="147" w:line="264" w:lineRule="auto"/>
        <w:ind w:left="937" w:hanging="536"/>
        <w:jc w:val="both"/>
        <w:rPr>
          <w:rFonts w:ascii="Arial" w:eastAsia="Times New Roman" w:hAnsi="Arial" w:cs="Arial"/>
          <w:sz w:val="20"/>
          <w:szCs w:val="20"/>
          <w:lang w:eastAsia="es-AR"/>
        </w:rPr>
      </w:pPr>
      <w:bookmarkStart w:id="1232" w:name="_Ref135602448"/>
      <w:r w:rsidRPr="00A47337">
        <w:rPr>
          <w:rFonts w:ascii="Arial" w:eastAsia="Times New Roman" w:hAnsi="Arial" w:cs="Arial"/>
          <w:sz w:val="20"/>
          <w:szCs w:val="20"/>
          <w:lang w:eastAsia="es-AR"/>
        </w:rPr>
        <w:t xml:space="preserve">El objetivo de la contabilidad de coberturas es representar, en los </w:t>
      </w:r>
      <w:r w:rsidRPr="00A47337">
        <w:rPr>
          <w:rFonts w:ascii="Arial" w:eastAsia="Times New Roman" w:hAnsi="Arial" w:cs="Arial"/>
          <w:b/>
          <w:bCs/>
          <w:sz w:val="20"/>
          <w:szCs w:val="20"/>
          <w:lang w:eastAsia="es-AR"/>
        </w:rPr>
        <w:t>estados contables</w:t>
      </w:r>
      <w:r w:rsidRPr="00A47337">
        <w:rPr>
          <w:rFonts w:ascii="Arial" w:eastAsia="Times New Roman" w:hAnsi="Arial" w:cs="Arial"/>
          <w:sz w:val="20"/>
          <w:szCs w:val="20"/>
          <w:lang w:eastAsia="es-AR"/>
        </w:rPr>
        <w:t xml:space="preserve">, el efecto de las operaciones de cobertura de una entidad que utiliza instrumentos </w:t>
      </w:r>
      <w:r w:rsidR="00C27A79" w:rsidRPr="00A47337">
        <w:rPr>
          <w:rFonts w:ascii="Arial" w:eastAsia="Times New Roman" w:hAnsi="Arial" w:cs="Arial"/>
          <w:sz w:val="20"/>
          <w:szCs w:val="20"/>
          <w:lang w:eastAsia="es-AR"/>
        </w:rPr>
        <w:t xml:space="preserve">derivados u otros instrumentos </w:t>
      </w:r>
      <w:r w:rsidRPr="00A47337">
        <w:rPr>
          <w:rFonts w:ascii="Arial" w:eastAsia="Times New Roman" w:hAnsi="Arial" w:cs="Arial"/>
          <w:sz w:val="20"/>
          <w:szCs w:val="20"/>
          <w:lang w:eastAsia="es-AR"/>
        </w:rPr>
        <w:t>financieros para gestionar las exposiciones que surgen por riesgos concretos que podrían afectar a</w:t>
      </w:r>
      <w:r w:rsidR="00C27A79" w:rsidRPr="00A47337">
        <w:rPr>
          <w:rFonts w:ascii="Arial" w:eastAsia="Times New Roman" w:hAnsi="Arial" w:cs="Arial"/>
          <w:sz w:val="20"/>
          <w:szCs w:val="20"/>
          <w:lang w:eastAsia="es-AR"/>
        </w:rPr>
        <w:t xml:space="preserve"> los</w:t>
      </w:r>
      <w:r w:rsidRPr="00A47337">
        <w:rPr>
          <w:rFonts w:ascii="Arial" w:eastAsia="Times New Roman" w:hAnsi="Arial" w:cs="Arial"/>
          <w:sz w:val="20"/>
          <w:szCs w:val="20"/>
          <w:lang w:eastAsia="es-AR"/>
        </w:rPr>
        <w:t xml:space="preserve"> resultado</w:t>
      </w:r>
      <w:r w:rsidR="00C27A79" w:rsidRPr="00A47337">
        <w:rPr>
          <w:rFonts w:ascii="Arial" w:eastAsia="Times New Roman" w:hAnsi="Arial" w:cs="Arial"/>
          <w:sz w:val="20"/>
          <w:szCs w:val="20"/>
          <w:lang w:eastAsia="es-AR"/>
        </w:rPr>
        <w:t>s</w:t>
      </w:r>
      <w:r w:rsidRPr="00A47337">
        <w:rPr>
          <w:rFonts w:ascii="Arial" w:eastAsia="Times New Roman" w:hAnsi="Arial" w:cs="Arial"/>
          <w:sz w:val="20"/>
          <w:szCs w:val="20"/>
          <w:lang w:eastAsia="es-AR"/>
        </w:rPr>
        <w:t xml:space="preserve"> </w:t>
      </w:r>
      <w:r w:rsidR="008915C4" w:rsidRPr="00A47337">
        <w:rPr>
          <w:rFonts w:ascii="Arial" w:eastAsia="Times New Roman" w:hAnsi="Arial" w:cs="Arial"/>
          <w:sz w:val="20"/>
          <w:szCs w:val="20"/>
          <w:lang w:eastAsia="es-AR"/>
        </w:rPr>
        <w:t>o a</w:t>
      </w:r>
      <w:r w:rsidR="00C27A79" w:rsidRPr="00A47337">
        <w:rPr>
          <w:rFonts w:ascii="Arial" w:eastAsia="Times New Roman" w:hAnsi="Arial" w:cs="Arial"/>
          <w:sz w:val="20"/>
          <w:szCs w:val="20"/>
          <w:lang w:eastAsia="es-AR"/>
        </w:rPr>
        <w:t xml:space="preserve"> los</w:t>
      </w:r>
      <w:r w:rsidRPr="00A47337">
        <w:rPr>
          <w:rFonts w:ascii="Arial" w:eastAsia="Times New Roman" w:hAnsi="Arial" w:cs="Arial"/>
          <w:sz w:val="20"/>
          <w:szCs w:val="20"/>
          <w:lang w:eastAsia="es-AR"/>
        </w:rPr>
        <w:t xml:space="preserve"> </w:t>
      </w:r>
      <w:r w:rsidR="00C27A79" w:rsidRPr="00A47337">
        <w:rPr>
          <w:rFonts w:ascii="Arial" w:eastAsia="Times New Roman" w:hAnsi="Arial" w:cs="Arial"/>
          <w:b/>
          <w:bCs/>
          <w:sz w:val="20"/>
          <w:szCs w:val="20"/>
          <w:lang w:eastAsia="es-AR"/>
        </w:rPr>
        <w:t>resultados diferidos</w:t>
      </w:r>
      <w:r w:rsidRPr="00A47337">
        <w:rPr>
          <w:rFonts w:ascii="Arial" w:eastAsia="Times New Roman" w:hAnsi="Arial" w:cs="Arial"/>
          <w:sz w:val="20"/>
          <w:szCs w:val="20"/>
          <w:lang w:eastAsia="es-AR"/>
        </w:rPr>
        <w:t xml:space="preserve">. Este enfoque pretende representar el contexto de los </w:t>
      </w:r>
      <w:r w:rsidRPr="00A47337">
        <w:rPr>
          <w:rFonts w:ascii="Arial" w:eastAsia="Times New Roman" w:hAnsi="Arial" w:cs="Arial"/>
          <w:sz w:val="20"/>
          <w:szCs w:val="20"/>
          <w:lang w:eastAsia="es-AR"/>
        </w:rPr>
        <w:lastRenderedPageBreak/>
        <w:t>instrumentos de cobertura para los cuales se aplica la contabilidad de coberturas, a fin de permitir conocer mejor sus propósitos y efectos.</w:t>
      </w:r>
    </w:p>
    <w:p w:rsidR="00121957" w:rsidRPr="00A47337" w:rsidRDefault="005B211C" w:rsidP="00C01B25">
      <w:pPr>
        <w:numPr>
          <w:ilvl w:val="0"/>
          <w:numId w:val="718"/>
        </w:numPr>
        <w:spacing w:after="147" w:line="264" w:lineRule="auto"/>
        <w:ind w:left="937" w:hanging="536"/>
        <w:jc w:val="both"/>
        <w:rPr>
          <w:rFonts w:ascii="Arial" w:eastAsia="Times New Roman" w:hAnsi="Arial" w:cs="Arial"/>
          <w:sz w:val="20"/>
          <w:szCs w:val="20"/>
          <w:lang w:eastAsia="es-AR"/>
        </w:rPr>
      </w:pPr>
      <w:r w:rsidRPr="00A47337">
        <w:rPr>
          <w:rFonts w:ascii="Arial" w:hAnsi="Arial" w:cs="Arial"/>
          <w:sz w:val="20"/>
          <w:szCs w:val="20"/>
        </w:rPr>
        <w:t xml:space="preserve">Una </w:t>
      </w:r>
      <w:r w:rsidR="008915C4" w:rsidRPr="00A47337">
        <w:rPr>
          <w:rFonts w:ascii="Arial" w:hAnsi="Arial" w:cs="Arial"/>
          <w:sz w:val="20"/>
          <w:szCs w:val="20"/>
        </w:rPr>
        <w:t>entidad podrá aplicar la contabilidad de cobertura solo si se cumplen todos los requisitos siguientes</w:t>
      </w:r>
      <w:r w:rsidR="00121957" w:rsidRPr="00A47337">
        <w:rPr>
          <w:rFonts w:ascii="Arial" w:hAnsi="Arial" w:cs="Arial"/>
          <w:sz w:val="20"/>
          <w:szCs w:val="20"/>
        </w:rPr>
        <w:t>:</w:t>
      </w:r>
      <w:bookmarkEnd w:id="1232"/>
      <w:r w:rsidR="006F2C57">
        <w:rPr>
          <w:rFonts w:ascii="Arial" w:hAnsi="Arial" w:cs="Arial"/>
          <w:sz w:val="20"/>
          <w:szCs w:val="20"/>
        </w:rPr>
        <w:t xml:space="preserve"> </w:t>
      </w:r>
    </w:p>
    <w:p w:rsidR="00DC7E88" w:rsidRPr="00AC4AEA" w:rsidRDefault="008B5110" w:rsidP="00C01B25">
      <w:pPr>
        <w:numPr>
          <w:ilvl w:val="1"/>
          <w:numId w:val="718"/>
        </w:numPr>
        <w:spacing w:line="264" w:lineRule="auto"/>
        <w:ind w:left="1559" w:hanging="567"/>
        <w:jc w:val="both"/>
        <w:rPr>
          <w:rFonts w:ascii="Arial" w:hAnsi="Arial" w:cs="Arial"/>
          <w:sz w:val="20"/>
          <w:szCs w:val="20"/>
        </w:rPr>
      </w:pPr>
      <w:r w:rsidRPr="00AC4AEA">
        <w:rPr>
          <w:rFonts w:ascii="Arial" w:hAnsi="Arial" w:cs="Arial"/>
          <w:sz w:val="20"/>
          <w:szCs w:val="20"/>
        </w:rPr>
        <w:t>La relación d</w:t>
      </w:r>
      <w:r w:rsidR="00D75850" w:rsidRPr="00AC4AEA">
        <w:rPr>
          <w:rFonts w:ascii="Arial" w:hAnsi="Arial" w:cs="Arial"/>
          <w:sz w:val="20"/>
          <w:szCs w:val="20"/>
        </w:rPr>
        <w:t>e cobertura</w:t>
      </w:r>
      <w:r w:rsidR="00DC7E88" w:rsidRPr="00AC4AEA">
        <w:rPr>
          <w:rFonts w:ascii="Arial" w:hAnsi="Arial" w:cs="Arial"/>
          <w:sz w:val="20"/>
          <w:szCs w:val="20"/>
        </w:rPr>
        <w:t>:</w:t>
      </w:r>
      <w:r w:rsidR="00D75850" w:rsidRPr="00AC4AEA">
        <w:rPr>
          <w:rFonts w:ascii="Arial" w:hAnsi="Arial" w:cs="Arial"/>
          <w:sz w:val="20"/>
          <w:szCs w:val="20"/>
        </w:rPr>
        <w:t xml:space="preserve"> </w:t>
      </w:r>
    </w:p>
    <w:p w:rsidR="00DC7E88" w:rsidRPr="00AC4AEA" w:rsidRDefault="00DC7E88" w:rsidP="00C01B25">
      <w:pPr>
        <w:numPr>
          <w:ilvl w:val="2"/>
          <w:numId w:val="718"/>
        </w:numPr>
        <w:spacing w:after="147" w:line="264" w:lineRule="auto"/>
        <w:ind w:hanging="420"/>
        <w:jc w:val="both"/>
        <w:rPr>
          <w:rFonts w:ascii="Arial" w:hAnsi="Arial" w:cs="Arial"/>
          <w:sz w:val="20"/>
          <w:szCs w:val="20"/>
        </w:rPr>
      </w:pPr>
      <w:r w:rsidRPr="00AC4AEA">
        <w:rPr>
          <w:rFonts w:ascii="Arial" w:hAnsi="Arial" w:cs="Arial"/>
          <w:sz w:val="20"/>
          <w:szCs w:val="20"/>
        </w:rPr>
        <w:t>Consiste en alguno de los tipos de relaciones de coberturas previsto en e</w:t>
      </w:r>
      <w:r w:rsidR="00CF0884" w:rsidRPr="00AC4AEA">
        <w:rPr>
          <w:rFonts w:ascii="Arial" w:hAnsi="Arial" w:cs="Arial"/>
          <w:sz w:val="20"/>
          <w:szCs w:val="20"/>
        </w:rPr>
        <w:t>l párrafo</w:t>
      </w:r>
      <w:r w:rsidR="005665B5" w:rsidRPr="00AC4AEA">
        <w:rPr>
          <w:rFonts w:ascii="Arial" w:hAnsi="Arial" w:cs="Arial"/>
          <w:sz w:val="20"/>
          <w:szCs w:val="20"/>
        </w:rPr>
        <w:t xml:space="preserve"> </w:t>
      </w:r>
      <w:fldSimple w:instr=" REF _Ref135608722 \r \h  \* MERGEFORMAT ">
        <w:r w:rsidR="00D33A5D" w:rsidRPr="00D33A5D">
          <w:rPr>
            <w:rFonts w:ascii="Arial" w:hAnsi="Arial" w:cs="Arial"/>
            <w:sz w:val="20"/>
            <w:szCs w:val="20"/>
          </w:rPr>
          <w:t>997</w:t>
        </w:r>
      </w:fldSimple>
      <w:r w:rsidR="00CF0884" w:rsidRPr="00AC4AEA">
        <w:rPr>
          <w:rFonts w:ascii="Arial" w:hAnsi="Arial" w:cs="Arial"/>
          <w:sz w:val="20"/>
          <w:szCs w:val="20"/>
        </w:rPr>
        <w:t>.</w:t>
      </w:r>
    </w:p>
    <w:p w:rsidR="008B5110" w:rsidRPr="00AC4AEA" w:rsidRDefault="00002103" w:rsidP="00C01B25">
      <w:pPr>
        <w:numPr>
          <w:ilvl w:val="2"/>
          <w:numId w:val="718"/>
        </w:numPr>
        <w:spacing w:after="147" w:line="264" w:lineRule="auto"/>
        <w:ind w:hanging="420"/>
        <w:jc w:val="both"/>
        <w:rPr>
          <w:rFonts w:ascii="Arial" w:hAnsi="Arial" w:cs="Arial"/>
          <w:sz w:val="20"/>
          <w:szCs w:val="20"/>
        </w:rPr>
      </w:pPr>
      <w:r w:rsidRPr="00AC4AEA">
        <w:rPr>
          <w:rFonts w:ascii="Arial" w:hAnsi="Arial" w:cs="Arial"/>
          <w:sz w:val="20"/>
          <w:szCs w:val="20"/>
        </w:rPr>
        <w:t>C</w:t>
      </w:r>
      <w:r w:rsidR="00D75850" w:rsidRPr="00AC4AEA">
        <w:rPr>
          <w:rFonts w:ascii="Arial" w:hAnsi="Arial" w:cs="Arial"/>
          <w:sz w:val="20"/>
          <w:szCs w:val="20"/>
        </w:rPr>
        <w:t>onsta solo de:</w:t>
      </w:r>
    </w:p>
    <w:p w:rsidR="00D75850" w:rsidRPr="00A47337" w:rsidRDefault="00D75850" w:rsidP="00C01B25">
      <w:pPr>
        <w:numPr>
          <w:ilvl w:val="3"/>
          <w:numId w:val="718"/>
        </w:numPr>
        <w:spacing w:after="147" w:line="264" w:lineRule="auto"/>
        <w:ind w:hanging="415"/>
        <w:jc w:val="both"/>
        <w:rPr>
          <w:rFonts w:ascii="Arial" w:hAnsi="Arial" w:cs="Arial"/>
          <w:sz w:val="20"/>
          <w:szCs w:val="20"/>
        </w:rPr>
      </w:pPr>
      <w:r w:rsidRPr="00A47337">
        <w:rPr>
          <w:rFonts w:ascii="Arial" w:hAnsi="Arial" w:cs="Arial"/>
          <w:sz w:val="20"/>
          <w:szCs w:val="20"/>
        </w:rPr>
        <w:t>instrumento</w:t>
      </w:r>
      <w:r w:rsidR="00AE68CF" w:rsidRPr="00A47337">
        <w:rPr>
          <w:rFonts w:ascii="Arial" w:hAnsi="Arial" w:cs="Arial"/>
          <w:sz w:val="20"/>
          <w:szCs w:val="20"/>
        </w:rPr>
        <w:t>s</w:t>
      </w:r>
      <w:r w:rsidRPr="00A47337">
        <w:rPr>
          <w:rFonts w:ascii="Arial" w:hAnsi="Arial" w:cs="Arial"/>
          <w:sz w:val="20"/>
          <w:szCs w:val="20"/>
        </w:rPr>
        <w:t xml:space="preserve"> de cobertura</w:t>
      </w:r>
      <w:r w:rsidR="00AE68CF" w:rsidRPr="00A47337">
        <w:rPr>
          <w:rFonts w:ascii="Arial" w:hAnsi="Arial" w:cs="Arial"/>
          <w:sz w:val="20"/>
          <w:szCs w:val="20"/>
        </w:rPr>
        <w:t>s que</w:t>
      </w:r>
      <w:r w:rsidRPr="00A47337">
        <w:rPr>
          <w:rFonts w:ascii="Arial" w:hAnsi="Arial" w:cs="Arial"/>
          <w:sz w:val="20"/>
          <w:szCs w:val="20"/>
        </w:rPr>
        <w:t xml:space="preserve"> cumple</w:t>
      </w:r>
      <w:r w:rsidR="00AE68CF" w:rsidRPr="00A47337">
        <w:rPr>
          <w:rFonts w:ascii="Arial" w:hAnsi="Arial" w:cs="Arial"/>
          <w:sz w:val="20"/>
          <w:szCs w:val="20"/>
        </w:rPr>
        <w:t>n</w:t>
      </w:r>
      <w:r w:rsidRPr="00A47337">
        <w:rPr>
          <w:rFonts w:ascii="Arial" w:hAnsi="Arial" w:cs="Arial"/>
          <w:sz w:val="20"/>
          <w:szCs w:val="20"/>
        </w:rPr>
        <w:t xml:space="preserve"> con lo especificado en </w:t>
      </w:r>
      <w:r w:rsidR="006D143C" w:rsidRPr="00A47337">
        <w:rPr>
          <w:rFonts w:ascii="Arial" w:hAnsi="Arial" w:cs="Arial"/>
          <w:sz w:val="20"/>
          <w:szCs w:val="20"/>
        </w:rPr>
        <w:t>los</w:t>
      </w:r>
      <w:r w:rsidRPr="00A47337">
        <w:rPr>
          <w:rFonts w:ascii="Arial" w:hAnsi="Arial" w:cs="Arial"/>
          <w:sz w:val="20"/>
          <w:szCs w:val="20"/>
        </w:rPr>
        <w:t xml:space="preserve"> párrafo</w:t>
      </w:r>
      <w:r w:rsidR="006D143C" w:rsidRPr="00A47337">
        <w:rPr>
          <w:rFonts w:ascii="Arial" w:hAnsi="Arial" w:cs="Arial"/>
          <w:sz w:val="20"/>
          <w:szCs w:val="20"/>
        </w:rPr>
        <w:t>s</w:t>
      </w:r>
      <w:r w:rsidRPr="00A47337">
        <w:rPr>
          <w:rFonts w:ascii="Arial" w:hAnsi="Arial" w:cs="Arial"/>
          <w:sz w:val="20"/>
          <w:szCs w:val="20"/>
        </w:rPr>
        <w:t xml:space="preserve"> </w:t>
      </w:r>
      <w:fldSimple w:instr=" REF _Ref135606285 \r \h  \* MERGEFORMAT ">
        <w:r w:rsidR="00D33A5D" w:rsidRPr="00D33A5D">
          <w:rPr>
            <w:rFonts w:ascii="Arial" w:hAnsi="Arial" w:cs="Arial"/>
            <w:sz w:val="20"/>
            <w:szCs w:val="20"/>
          </w:rPr>
          <w:t>998</w:t>
        </w:r>
      </w:fldSimple>
      <w:r w:rsidR="006D143C" w:rsidRPr="00A47337">
        <w:rPr>
          <w:rFonts w:ascii="Arial" w:hAnsi="Arial" w:cs="Arial"/>
          <w:sz w:val="20"/>
          <w:szCs w:val="20"/>
        </w:rPr>
        <w:t xml:space="preserve"> </w:t>
      </w:r>
      <w:r w:rsidR="00C47E3B" w:rsidRPr="00A47337">
        <w:rPr>
          <w:rFonts w:ascii="Arial" w:hAnsi="Arial" w:cs="Arial"/>
          <w:sz w:val="20"/>
          <w:szCs w:val="20"/>
        </w:rPr>
        <w:t>a</w:t>
      </w:r>
      <w:r w:rsidR="006D143C" w:rsidRPr="00A47337">
        <w:rPr>
          <w:rFonts w:ascii="Arial" w:hAnsi="Arial" w:cs="Arial"/>
          <w:sz w:val="20"/>
          <w:szCs w:val="20"/>
        </w:rPr>
        <w:t xml:space="preserve"> </w:t>
      </w:r>
      <w:fldSimple w:instr=" REF _Ref135605220 \r \h  \* MERGEFORMAT ">
        <w:r w:rsidR="00D33A5D" w:rsidRPr="00D33A5D">
          <w:rPr>
            <w:rFonts w:ascii="Arial" w:hAnsi="Arial" w:cs="Arial"/>
            <w:sz w:val="20"/>
            <w:szCs w:val="20"/>
          </w:rPr>
          <w:t>1000</w:t>
        </w:r>
      </w:fldSimple>
      <w:r w:rsidRPr="00A47337">
        <w:rPr>
          <w:rFonts w:ascii="Arial" w:hAnsi="Arial" w:cs="Arial"/>
          <w:sz w:val="20"/>
          <w:szCs w:val="20"/>
        </w:rPr>
        <w:t>;</w:t>
      </w:r>
      <w:r w:rsidR="008915C4" w:rsidRPr="00A47337">
        <w:rPr>
          <w:rFonts w:ascii="Arial" w:hAnsi="Arial" w:cs="Arial"/>
          <w:sz w:val="20"/>
          <w:szCs w:val="20"/>
        </w:rPr>
        <w:t xml:space="preserve"> y</w:t>
      </w:r>
    </w:p>
    <w:p w:rsidR="00D75850" w:rsidRPr="00A47337" w:rsidRDefault="00AE68CF" w:rsidP="00C01B25">
      <w:pPr>
        <w:numPr>
          <w:ilvl w:val="3"/>
          <w:numId w:val="718"/>
        </w:numPr>
        <w:spacing w:after="147" w:line="264" w:lineRule="auto"/>
        <w:ind w:hanging="415"/>
        <w:jc w:val="both"/>
        <w:rPr>
          <w:rFonts w:ascii="Arial" w:hAnsi="Arial" w:cs="Arial"/>
          <w:sz w:val="20"/>
          <w:szCs w:val="20"/>
        </w:rPr>
      </w:pPr>
      <w:r w:rsidRPr="00A47337">
        <w:rPr>
          <w:rFonts w:ascii="Arial" w:hAnsi="Arial" w:cs="Arial"/>
          <w:sz w:val="20"/>
          <w:szCs w:val="20"/>
        </w:rPr>
        <w:t xml:space="preserve">partidas cubiertas que cumplen con lo especificado en </w:t>
      </w:r>
      <w:r w:rsidR="00C47E3B" w:rsidRPr="00A47337">
        <w:rPr>
          <w:rFonts w:ascii="Arial" w:hAnsi="Arial" w:cs="Arial"/>
          <w:sz w:val="20"/>
          <w:szCs w:val="20"/>
        </w:rPr>
        <w:t>los</w:t>
      </w:r>
      <w:r w:rsidRPr="00A47337">
        <w:rPr>
          <w:rFonts w:ascii="Arial" w:hAnsi="Arial" w:cs="Arial"/>
          <w:sz w:val="20"/>
          <w:szCs w:val="20"/>
        </w:rPr>
        <w:t xml:space="preserve"> párrafo</w:t>
      </w:r>
      <w:r w:rsidR="00C47E3B" w:rsidRPr="00A47337">
        <w:rPr>
          <w:rFonts w:ascii="Arial" w:hAnsi="Arial" w:cs="Arial"/>
          <w:sz w:val="20"/>
          <w:szCs w:val="20"/>
        </w:rPr>
        <w:t>s</w:t>
      </w:r>
      <w:r w:rsidRPr="00A47337">
        <w:rPr>
          <w:rFonts w:ascii="Arial" w:hAnsi="Arial" w:cs="Arial"/>
          <w:sz w:val="20"/>
          <w:szCs w:val="20"/>
        </w:rPr>
        <w:t xml:space="preserve"> </w:t>
      </w:r>
      <w:fldSimple w:instr=" REF _Ref135606294 \r \h  \* MERGEFORMAT ">
        <w:r w:rsidR="00D33A5D" w:rsidRPr="00D33A5D">
          <w:rPr>
            <w:rFonts w:ascii="Arial" w:hAnsi="Arial" w:cs="Arial"/>
            <w:sz w:val="20"/>
            <w:szCs w:val="20"/>
          </w:rPr>
          <w:t>1001</w:t>
        </w:r>
      </w:fldSimple>
      <w:r w:rsidR="00C47E3B" w:rsidRPr="00A47337">
        <w:rPr>
          <w:rFonts w:ascii="Arial" w:hAnsi="Arial" w:cs="Arial"/>
          <w:sz w:val="20"/>
          <w:szCs w:val="20"/>
        </w:rPr>
        <w:t xml:space="preserve"> a </w:t>
      </w:r>
      <w:fldSimple w:instr=" REF _Ref135606304 \r \h  \* MERGEFORMAT ">
        <w:r w:rsidR="00D33A5D" w:rsidRPr="00D33A5D">
          <w:rPr>
            <w:rFonts w:ascii="Arial" w:hAnsi="Arial" w:cs="Arial"/>
            <w:sz w:val="20"/>
            <w:szCs w:val="20"/>
          </w:rPr>
          <w:t>1004</w:t>
        </w:r>
      </w:fldSimple>
      <w:r w:rsidR="00150D96" w:rsidRPr="00A47337">
        <w:rPr>
          <w:rFonts w:ascii="Arial" w:hAnsi="Arial" w:cs="Arial"/>
          <w:sz w:val="20"/>
          <w:szCs w:val="20"/>
        </w:rPr>
        <w:t>.</w:t>
      </w:r>
    </w:p>
    <w:p w:rsidR="008915C4" w:rsidRPr="00A47337" w:rsidRDefault="008915C4" w:rsidP="00C01B25">
      <w:pPr>
        <w:numPr>
          <w:ilvl w:val="2"/>
          <w:numId w:val="718"/>
        </w:numPr>
        <w:spacing w:after="147" w:line="264" w:lineRule="auto"/>
        <w:jc w:val="both"/>
        <w:rPr>
          <w:rFonts w:ascii="Arial" w:hAnsi="Arial" w:cs="Arial"/>
          <w:sz w:val="20"/>
          <w:szCs w:val="20"/>
        </w:rPr>
      </w:pPr>
      <w:r w:rsidRPr="00A47337">
        <w:rPr>
          <w:rFonts w:ascii="Arial" w:hAnsi="Arial" w:cs="Arial"/>
          <w:sz w:val="20"/>
          <w:szCs w:val="20"/>
        </w:rPr>
        <w:t>cumple todos los requerimientos de eficacia de la cobertura especificados en l</w:t>
      </w:r>
      <w:r w:rsidR="007F7060">
        <w:rPr>
          <w:rFonts w:ascii="Arial" w:hAnsi="Arial" w:cs="Arial"/>
          <w:sz w:val="20"/>
          <w:szCs w:val="20"/>
        </w:rPr>
        <w:t>os</w:t>
      </w:r>
      <w:r w:rsidRPr="00A47337">
        <w:rPr>
          <w:rFonts w:ascii="Arial" w:hAnsi="Arial" w:cs="Arial"/>
          <w:sz w:val="20"/>
          <w:szCs w:val="20"/>
        </w:rPr>
        <w:t xml:space="preserve"> párrafo</w:t>
      </w:r>
      <w:r w:rsidR="007F7060">
        <w:rPr>
          <w:rFonts w:ascii="Arial" w:hAnsi="Arial" w:cs="Arial"/>
          <w:sz w:val="20"/>
          <w:szCs w:val="20"/>
        </w:rPr>
        <w:t>s</w:t>
      </w:r>
      <w:r w:rsidRPr="00A47337">
        <w:rPr>
          <w:rFonts w:ascii="Arial" w:hAnsi="Arial" w:cs="Arial"/>
          <w:sz w:val="20"/>
          <w:szCs w:val="20"/>
        </w:rPr>
        <w:t xml:space="preserve"> </w:t>
      </w:r>
      <w:fldSimple w:instr=" REF _Ref135607836 \r \h  \* MERGEFORMAT ">
        <w:r w:rsidR="00D33A5D" w:rsidRPr="00D33A5D">
          <w:rPr>
            <w:rFonts w:ascii="Arial" w:hAnsi="Arial" w:cs="Arial"/>
            <w:sz w:val="20"/>
            <w:szCs w:val="20"/>
          </w:rPr>
          <w:t>1005</w:t>
        </w:r>
      </w:fldSimple>
      <w:r w:rsidRPr="00A47337">
        <w:rPr>
          <w:rFonts w:ascii="Arial" w:hAnsi="Arial" w:cs="Arial"/>
          <w:sz w:val="20"/>
          <w:szCs w:val="20"/>
        </w:rPr>
        <w:t xml:space="preserve"> a </w:t>
      </w:r>
      <w:fldSimple w:instr=" REF _Ref135607839 \r \h  \* MERGEFORMAT ">
        <w:r w:rsidR="00D33A5D" w:rsidRPr="00D33A5D">
          <w:rPr>
            <w:rFonts w:ascii="Arial" w:hAnsi="Arial" w:cs="Arial"/>
            <w:sz w:val="20"/>
            <w:szCs w:val="20"/>
          </w:rPr>
          <w:t>1010</w:t>
        </w:r>
      </w:fldSimple>
    </w:p>
    <w:p w:rsidR="00121957" w:rsidRPr="00A47337" w:rsidRDefault="00992643" w:rsidP="00C01B25">
      <w:pPr>
        <w:numPr>
          <w:ilvl w:val="1"/>
          <w:numId w:val="718"/>
        </w:numPr>
        <w:spacing w:line="264" w:lineRule="auto"/>
        <w:ind w:left="1559" w:hanging="567"/>
        <w:jc w:val="both"/>
        <w:rPr>
          <w:rFonts w:ascii="Arial" w:hAnsi="Arial" w:cs="Arial"/>
          <w:sz w:val="20"/>
          <w:szCs w:val="20"/>
        </w:rPr>
      </w:pPr>
      <w:r w:rsidRPr="00A47337">
        <w:rPr>
          <w:rFonts w:ascii="Arial" w:hAnsi="Arial" w:cs="Arial"/>
          <w:sz w:val="20"/>
          <w:szCs w:val="20"/>
        </w:rPr>
        <w:t xml:space="preserve">Al comienzo de la operación de cobertura, </w:t>
      </w:r>
      <w:r w:rsidR="008915C4" w:rsidRPr="00A47337">
        <w:rPr>
          <w:rFonts w:ascii="Arial" w:hAnsi="Arial" w:cs="Arial"/>
          <w:sz w:val="20"/>
          <w:szCs w:val="20"/>
        </w:rPr>
        <w:t xml:space="preserve">existe </w:t>
      </w:r>
      <w:r w:rsidR="00121957" w:rsidRPr="00A47337">
        <w:rPr>
          <w:rFonts w:ascii="Arial" w:hAnsi="Arial" w:cs="Arial"/>
          <w:sz w:val="20"/>
          <w:szCs w:val="20"/>
        </w:rPr>
        <w:t xml:space="preserve">documentación formal que: </w:t>
      </w:r>
    </w:p>
    <w:p w:rsidR="00121957" w:rsidRPr="00A47337" w:rsidRDefault="009D71F4" w:rsidP="00C01B25">
      <w:pPr>
        <w:numPr>
          <w:ilvl w:val="2"/>
          <w:numId w:val="718"/>
        </w:numPr>
        <w:spacing w:after="147" w:line="264" w:lineRule="auto"/>
        <w:ind w:hanging="420"/>
        <w:jc w:val="both"/>
        <w:rPr>
          <w:rFonts w:ascii="Arial" w:hAnsi="Arial" w:cs="Arial"/>
          <w:sz w:val="20"/>
          <w:szCs w:val="20"/>
        </w:rPr>
      </w:pPr>
      <w:r w:rsidRPr="00A47337">
        <w:rPr>
          <w:rFonts w:ascii="Arial" w:hAnsi="Arial" w:cs="Arial"/>
          <w:sz w:val="20"/>
          <w:szCs w:val="20"/>
        </w:rPr>
        <w:t xml:space="preserve">especifique </w:t>
      </w:r>
      <w:r w:rsidR="00121957" w:rsidRPr="00A47337">
        <w:rPr>
          <w:rFonts w:ascii="Arial" w:hAnsi="Arial" w:cs="Arial"/>
          <w:sz w:val="20"/>
          <w:szCs w:val="20"/>
        </w:rPr>
        <w:t>el objetivo y estrategia de la administración en el manejo de riesgos del tipo de los cubiertos para concretar la cobertura;</w:t>
      </w:r>
      <w:r w:rsidR="006F2C57">
        <w:rPr>
          <w:rFonts w:ascii="Arial" w:hAnsi="Arial" w:cs="Arial"/>
          <w:sz w:val="20"/>
          <w:szCs w:val="20"/>
        </w:rPr>
        <w:t xml:space="preserve"> </w:t>
      </w:r>
    </w:p>
    <w:p w:rsidR="00121957" w:rsidRPr="00A47337" w:rsidRDefault="009D71F4" w:rsidP="00C01B25">
      <w:pPr>
        <w:numPr>
          <w:ilvl w:val="2"/>
          <w:numId w:val="718"/>
        </w:numPr>
        <w:spacing w:after="147" w:line="264" w:lineRule="auto"/>
        <w:ind w:hanging="420"/>
        <w:jc w:val="both"/>
        <w:rPr>
          <w:rFonts w:ascii="Arial" w:hAnsi="Arial" w:cs="Arial"/>
          <w:sz w:val="20"/>
          <w:szCs w:val="20"/>
        </w:rPr>
      </w:pPr>
      <w:r w:rsidRPr="00A47337">
        <w:rPr>
          <w:rFonts w:ascii="Arial" w:hAnsi="Arial" w:cs="Arial"/>
          <w:sz w:val="20"/>
          <w:szCs w:val="20"/>
        </w:rPr>
        <w:t>identifique</w:t>
      </w:r>
      <w:r w:rsidR="00121957" w:rsidRPr="00A47337">
        <w:rPr>
          <w:rFonts w:ascii="Arial" w:hAnsi="Arial" w:cs="Arial"/>
          <w:sz w:val="20"/>
          <w:szCs w:val="20"/>
        </w:rPr>
        <w:t xml:space="preserve"> el instrumento de cobertura, la partida a cubrir y la naturaleza de los riesgos que se pretende cubrir;</w:t>
      </w:r>
      <w:r w:rsidR="006F2C57">
        <w:rPr>
          <w:rFonts w:ascii="Arial" w:hAnsi="Arial" w:cs="Arial"/>
          <w:sz w:val="20"/>
          <w:szCs w:val="20"/>
        </w:rPr>
        <w:t xml:space="preserve"> </w:t>
      </w:r>
    </w:p>
    <w:p w:rsidR="00121957" w:rsidRPr="00A47337" w:rsidRDefault="00121957" w:rsidP="00C01B25">
      <w:pPr>
        <w:numPr>
          <w:ilvl w:val="2"/>
          <w:numId w:val="718"/>
        </w:numPr>
        <w:spacing w:after="147" w:line="264" w:lineRule="auto"/>
        <w:ind w:hanging="420"/>
        <w:jc w:val="both"/>
        <w:rPr>
          <w:rFonts w:ascii="Arial" w:hAnsi="Arial" w:cs="Arial"/>
          <w:sz w:val="20"/>
          <w:szCs w:val="20"/>
        </w:rPr>
      </w:pPr>
      <w:r w:rsidRPr="00A47337">
        <w:rPr>
          <w:rFonts w:ascii="Arial" w:hAnsi="Arial" w:cs="Arial"/>
          <w:sz w:val="20"/>
          <w:szCs w:val="20"/>
        </w:rPr>
        <w:t xml:space="preserve">establezca el modo en que se evaluará </w:t>
      </w:r>
      <w:r w:rsidR="009D71F4" w:rsidRPr="00A47337">
        <w:rPr>
          <w:rFonts w:ascii="Arial" w:hAnsi="Arial" w:cs="Arial"/>
          <w:sz w:val="20"/>
          <w:szCs w:val="20"/>
        </w:rPr>
        <w:t>la</w:t>
      </w:r>
      <w:r w:rsidRPr="00A47337">
        <w:rPr>
          <w:rFonts w:ascii="Arial" w:hAnsi="Arial" w:cs="Arial"/>
          <w:sz w:val="20"/>
          <w:szCs w:val="20"/>
        </w:rPr>
        <w:t xml:space="preserve"> eficacia del instrumento de cobertura para cubrir los riesgos que se pretende cubrir. </w:t>
      </w:r>
    </w:p>
    <w:p w:rsidR="002F2C0C" w:rsidRPr="00AC4AEA" w:rsidRDefault="002F2C0C" w:rsidP="002F2C0C">
      <w:pPr>
        <w:spacing w:line="264" w:lineRule="auto"/>
        <w:ind w:left="1559"/>
        <w:jc w:val="both"/>
        <w:rPr>
          <w:rFonts w:ascii="Arial" w:hAnsi="Arial" w:cs="Arial"/>
          <w:sz w:val="20"/>
          <w:szCs w:val="20"/>
        </w:rPr>
      </w:pPr>
    </w:p>
    <w:p w:rsidR="005665B5" w:rsidRPr="00AC4AEA" w:rsidRDefault="005665B5" w:rsidP="005665B5">
      <w:pPr>
        <w:pStyle w:val="Ttulo3"/>
      </w:pPr>
      <w:bookmarkStart w:id="1233" w:name="_Toc139357059"/>
      <w:r w:rsidRPr="00AC4AEA">
        <w:t>Relaciones de cobertura</w:t>
      </w:r>
      <w:bookmarkEnd w:id="1233"/>
    </w:p>
    <w:p w:rsidR="005665B5" w:rsidRPr="00AC4AEA" w:rsidRDefault="005665B5" w:rsidP="00C01B25">
      <w:pPr>
        <w:numPr>
          <w:ilvl w:val="0"/>
          <w:numId w:val="718"/>
        </w:numPr>
        <w:spacing w:after="147" w:line="264" w:lineRule="auto"/>
        <w:ind w:left="937" w:hanging="536"/>
        <w:jc w:val="both"/>
        <w:rPr>
          <w:rFonts w:ascii="Arial" w:hAnsi="Arial" w:cs="Arial"/>
          <w:sz w:val="20"/>
          <w:szCs w:val="20"/>
        </w:rPr>
      </w:pPr>
      <w:bookmarkStart w:id="1234" w:name="_Ref135608722"/>
      <w:r w:rsidRPr="00AC4AEA">
        <w:rPr>
          <w:rFonts w:ascii="Arial" w:hAnsi="Arial" w:cs="Arial"/>
          <w:sz w:val="20"/>
          <w:szCs w:val="20"/>
        </w:rPr>
        <w:t>Existen tres tipos de relaciones de cobertura:</w:t>
      </w:r>
      <w:bookmarkEnd w:id="1234"/>
    </w:p>
    <w:p w:rsidR="005665B5" w:rsidRPr="00AC4AEA" w:rsidRDefault="005665B5" w:rsidP="00C01B25">
      <w:pPr>
        <w:numPr>
          <w:ilvl w:val="1"/>
          <w:numId w:val="638"/>
        </w:numPr>
        <w:spacing w:after="143" w:line="247" w:lineRule="auto"/>
        <w:ind w:hanging="535"/>
        <w:jc w:val="both"/>
        <w:rPr>
          <w:rFonts w:ascii="Arial" w:hAnsi="Arial" w:cs="Arial"/>
          <w:sz w:val="20"/>
          <w:szCs w:val="20"/>
        </w:rPr>
      </w:pPr>
      <w:r w:rsidRPr="00AC4AEA">
        <w:rPr>
          <w:rFonts w:ascii="Arial" w:hAnsi="Arial" w:cs="Arial"/>
          <w:sz w:val="20"/>
          <w:szCs w:val="20"/>
          <w:u w:val="single"/>
        </w:rPr>
        <w:t>Cobertura del valor razonable</w:t>
      </w:r>
      <w:r w:rsidRPr="00AC4AEA">
        <w:rPr>
          <w:rFonts w:ascii="Arial" w:hAnsi="Arial" w:cs="Arial"/>
          <w:sz w:val="20"/>
          <w:szCs w:val="20"/>
        </w:rPr>
        <w:t xml:space="preserve">: </w:t>
      </w:r>
      <w:r w:rsidR="008915C4">
        <w:rPr>
          <w:rFonts w:ascii="Arial" w:hAnsi="Arial" w:cs="Arial"/>
          <w:sz w:val="20"/>
          <w:szCs w:val="20"/>
        </w:rPr>
        <w:t>C</w:t>
      </w:r>
      <w:r w:rsidRPr="00AC4AEA">
        <w:rPr>
          <w:rFonts w:ascii="Arial" w:hAnsi="Arial" w:cs="Arial"/>
          <w:sz w:val="20"/>
          <w:szCs w:val="20"/>
        </w:rPr>
        <w:t xml:space="preserve">obertura de la exposición a los cambios en el </w:t>
      </w:r>
      <w:r w:rsidRPr="00AC4AEA">
        <w:rPr>
          <w:rFonts w:ascii="Arial" w:hAnsi="Arial" w:cs="Arial"/>
          <w:b/>
          <w:bCs/>
          <w:sz w:val="20"/>
          <w:szCs w:val="20"/>
        </w:rPr>
        <w:t xml:space="preserve">valor razonable </w:t>
      </w:r>
      <w:r w:rsidRPr="00AC4AEA">
        <w:rPr>
          <w:rFonts w:ascii="Arial" w:hAnsi="Arial" w:cs="Arial"/>
          <w:sz w:val="20"/>
          <w:szCs w:val="20"/>
        </w:rPr>
        <w:t>de</w:t>
      </w:r>
      <w:r w:rsidR="008E2960" w:rsidRPr="00AC4AEA">
        <w:rPr>
          <w:rFonts w:ascii="Arial" w:hAnsi="Arial" w:cs="Arial"/>
          <w:sz w:val="20"/>
          <w:szCs w:val="20"/>
        </w:rPr>
        <w:t xml:space="preserve"> las siguientes partidas, </w:t>
      </w:r>
      <w:r w:rsidR="00327A8B" w:rsidRPr="00AC4AEA">
        <w:rPr>
          <w:rFonts w:ascii="Arial" w:hAnsi="Arial" w:cs="Arial"/>
          <w:sz w:val="20"/>
          <w:szCs w:val="20"/>
        </w:rPr>
        <w:t xml:space="preserve">siempre </w:t>
      </w:r>
      <w:r w:rsidR="008E2960" w:rsidRPr="00AC4AEA">
        <w:rPr>
          <w:rFonts w:ascii="Arial" w:hAnsi="Arial" w:cs="Arial"/>
          <w:sz w:val="20"/>
          <w:szCs w:val="20"/>
        </w:rPr>
        <w:t>que pued</w:t>
      </w:r>
      <w:r w:rsidR="00327A8B" w:rsidRPr="00AC4AEA">
        <w:rPr>
          <w:rFonts w:ascii="Arial" w:hAnsi="Arial" w:cs="Arial"/>
          <w:sz w:val="20"/>
          <w:szCs w:val="20"/>
        </w:rPr>
        <w:t>a</w:t>
      </w:r>
      <w:r w:rsidR="008E2960" w:rsidRPr="00AC4AEA">
        <w:rPr>
          <w:rFonts w:ascii="Arial" w:hAnsi="Arial" w:cs="Arial"/>
          <w:sz w:val="20"/>
          <w:szCs w:val="20"/>
        </w:rPr>
        <w:t xml:space="preserve"> atribuirse a un riesgo concreto y </w:t>
      </w:r>
      <w:r w:rsidR="00327A8B" w:rsidRPr="00AC4AEA">
        <w:rPr>
          <w:rFonts w:ascii="Arial" w:hAnsi="Arial" w:cs="Arial"/>
          <w:sz w:val="20"/>
          <w:szCs w:val="20"/>
        </w:rPr>
        <w:t>tenga la capacidad de</w:t>
      </w:r>
      <w:r w:rsidR="008E2960" w:rsidRPr="00AC4AEA">
        <w:rPr>
          <w:rFonts w:ascii="Arial" w:hAnsi="Arial" w:cs="Arial"/>
          <w:sz w:val="20"/>
          <w:szCs w:val="20"/>
        </w:rPr>
        <w:t xml:space="preserve"> afectar al resultado del periodo</w:t>
      </w:r>
      <w:r w:rsidRPr="00AC4AEA">
        <w:rPr>
          <w:rFonts w:ascii="Arial" w:hAnsi="Arial" w:cs="Arial"/>
          <w:sz w:val="20"/>
          <w:szCs w:val="20"/>
        </w:rPr>
        <w:t xml:space="preserve">: </w:t>
      </w:r>
    </w:p>
    <w:p w:rsidR="005665B5" w:rsidRPr="00AC4AEA" w:rsidRDefault="00CE13D7" w:rsidP="00C01B25">
      <w:pPr>
        <w:numPr>
          <w:ilvl w:val="2"/>
          <w:numId w:val="718"/>
        </w:numPr>
        <w:spacing w:after="147" w:line="264" w:lineRule="auto"/>
        <w:ind w:hanging="420"/>
        <w:jc w:val="both"/>
        <w:rPr>
          <w:rFonts w:ascii="Arial" w:hAnsi="Arial" w:cs="Arial"/>
          <w:sz w:val="20"/>
          <w:szCs w:val="20"/>
        </w:rPr>
      </w:pPr>
      <w:r w:rsidRPr="00CE13D7">
        <w:rPr>
          <w:rFonts w:ascii="Arial" w:hAnsi="Arial" w:cs="Arial"/>
          <w:bCs/>
          <w:sz w:val="20"/>
          <w:szCs w:val="20"/>
        </w:rPr>
        <w:t>activos</w:t>
      </w:r>
      <w:r w:rsidR="005665B5" w:rsidRPr="00AC4AEA">
        <w:rPr>
          <w:rFonts w:ascii="Arial" w:hAnsi="Arial" w:cs="Arial"/>
          <w:sz w:val="20"/>
          <w:szCs w:val="20"/>
        </w:rPr>
        <w:t xml:space="preserve"> o </w:t>
      </w:r>
      <w:r w:rsidR="004E1215" w:rsidRPr="004E1215">
        <w:rPr>
          <w:rFonts w:ascii="Arial" w:hAnsi="Arial" w:cs="Arial"/>
          <w:bCs/>
          <w:sz w:val="20"/>
          <w:szCs w:val="20"/>
        </w:rPr>
        <w:t>pasivos</w:t>
      </w:r>
      <w:r w:rsidR="005665B5" w:rsidRPr="00AC4AEA">
        <w:rPr>
          <w:rFonts w:ascii="Arial" w:hAnsi="Arial" w:cs="Arial"/>
          <w:sz w:val="20"/>
          <w:szCs w:val="20"/>
        </w:rPr>
        <w:t xml:space="preserve"> reconocidos; </w:t>
      </w:r>
    </w:p>
    <w:p w:rsidR="005665B5" w:rsidRPr="00AC4AEA" w:rsidRDefault="005665B5" w:rsidP="00C01B25">
      <w:pPr>
        <w:numPr>
          <w:ilvl w:val="2"/>
          <w:numId w:val="718"/>
        </w:numPr>
        <w:spacing w:after="147" w:line="264" w:lineRule="auto"/>
        <w:ind w:hanging="420"/>
        <w:jc w:val="both"/>
        <w:rPr>
          <w:rFonts w:ascii="Arial" w:hAnsi="Arial" w:cs="Arial"/>
          <w:sz w:val="20"/>
          <w:szCs w:val="20"/>
        </w:rPr>
      </w:pPr>
      <w:r w:rsidRPr="00AC4AEA">
        <w:rPr>
          <w:rFonts w:ascii="Arial" w:hAnsi="Arial" w:cs="Arial"/>
          <w:sz w:val="20"/>
          <w:szCs w:val="20"/>
        </w:rPr>
        <w:t xml:space="preserve">compromisos en firme no reconocidos, o </w:t>
      </w:r>
    </w:p>
    <w:p w:rsidR="005665B5" w:rsidRPr="00AC4AEA" w:rsidRDefault="005665B5" w:rsidP="00C01B25">
      <w:pPr>
        <w:numPr>
          <w:ilvl w:val="2"/>
          <w:numId w:val="718"/>
        </w:numPr>
        <w:spacing w:after="147" w:line="264" w:lineRule="auto"/>
        <w:ind w:hanging="420"/>
        <w:jc w:val="both"/>
        <w:rPr>
          <w:rFonts w:ascii="Arial" w:hAnsi="Arial" w:cs="Arial"/>
          <w:sz w:val="20"/>
          <w:szCs w:val="20"/>
        </w:rPr>
      </w:pPr>
      <w:r w:rsidRPr="00AC4AEA">
        <w:rPr>
          <w:rFonts w:ascii="Arial" w:hAnsi="Arial" w:cs="Arial"/>
          <w:sz w:val="20"/>
          <w:szCs w:val="20"/>
        </w:rPr>
        <w:t xml:space="preserve">un componente de las partidas </w:t>
      </w:r>
      <w:r w:rsidR="008E2960" w:rsidRPr="00AC4AEA">
        <w:rPr>
          <w:rFonts w:ascii="Arial" w:hAnsi="Arial" w:cs="Arial"/>
          <w:sz w:val="20"/>
          <w:szCs w:val="20"/>
        </w:rPr>
        <w:t>indicadas en (i) o (ii)</w:t>
      </w:r>
      <w:r w:rsidRPr="00AC4AEA">
        <w:rPr>
          <w:rFonts w:ascii="Arial" w:hAnsi="Arial" w:cs="Arial"/>
          <w:sz w:val="20"/>
          <w:szCs w:val="20"/>
        </w:rPr>
        <w:t>.</w:t>
      </w:r>
    </w:p>
    <w:p w:rsidR="00327A8B" w:rsidRPr="00AC4AEA" w:rsidRDefault="005665B5" w:rsidP="00C01B25">
      <w:pPr>
        <w:numPr>
          <w:ilvl w:val="1"/>
          <w:numId w:val="638"/>
        </w:numPr>
        <w:spacing w:after="143" w:line="247" w:lineRule="auto"/>
        <w:ind w:hanging="535"/>
        <w:jc w:val="both"/>
        <w:rPr>
          <w:rFonts w:ascii="Arial" w:hAnsi="Arial" w:cs="Arial"/>
          <w:sz w:val="20"/>
          <w:szCs w:val="20"/>
        </w:rPr>
      </w:pPr>
      <w:r w:rsidRPr="00AC4AEA">
        <w:rPr>
          <w:rFonts w:ascii="Arial" w:hAnsi="Arial" w:cs="Arial"/>
          <w:sz w:val="20"/>
          <w:szCs w:val="20"/>
          <w:u w:val="single"/>
        </w:rPr>
        <w:t>Cobertura de flujos de efectivo</w:t>
      </w:r>
      <w:r w:rsidRPr="00AC4AEA">
        <w:rPr>
          <w:rFonts w:ascii="Arial" w:hAnsi="Arial" w:cs="Arial"/>
          <w:sz w:val="20"/>
          <w:szCs w:val="20"/>
        </w:rPr>
        <w:t xml:space="preserve">: </w:t>
      </w:r>
      <w:r w:rsidR="008915C4">
        <w:rPr>
          <w:rFonts w:ascii="Arial" w:hAnsi="Arial" w:cs="Arial"/>
          <w:sz w:val="20"/>
          <w:szCs w:val="20"/>
        </w:rPr>
        <w:t>C</w:t>
      </w:r>
      <w:r w:rsidRPr="00AC4AEA">
        <w:rPr>
          <w:rFonts w:ascii="Arial" w:hAnsi="Arial" w:cs="Arial"/>
          <w:sz w:val="20"/>
          <w:szCs w:val="20"/>
        </w:rPr>
        <w:t>obertura de la exposición a la variación de los flujos de efectivo que se atribuye a un riesgo concreto</w:t>
      </w:r>
      <w:r w:rsidR="00105B43" w:rsidRPr="00AC4AEA">
        <w:rPr>
          <w:rFonts w:ascii="Arial" w:hAnsi="Arial" w:cs="Arial"/>
          <w:sz w:val="20"/>
          <w:szCs w:val="20"/>
        </w:rPr>
        <w:t>, y que puede afectar al resultado del periodo,</w:t>
      </w:r>
      <w:r w:rsidRPr="00AC4AEA">
        <w:rPr>
          <w:rFonts w:ascii="Arial" w:hAnsi="Arial" w:cs="Arial"/>
          <w:sz w:val="20"/>
          <w:szCs w:val="20"/>
        </w:rPr>
        <w:t xml:space="preserve"> asociado con</w:t>
      </w:r>
      <w:r w:rsidR="00327A8B" w:rsidRPr="00AC4AEA">
        <w:rPr>
          <w:rFonts w:ascii="Arial" w:hAnsi="Arial" w:cs="Arial"/>
          <w:sz w:val="20"/>
          <w:szCs w:val="20"/>
        </w:rPr>
        <w:t>:</w:t>
      </w:r>
      <w:r w:rsidRPr="00AC4AEA">
        <w:rPr>
          <w:rFonts w:ascii="Arial" w:hAnsi="Arial" w:cs="Arial"/>
          <w:sz w:val="20"/>
          <w:szCs w:val="20"/>
        </w:rPr>
        <w:t xml:space="preserve"> </w:t>
      </w:r>
    </w:p>
    <w:p w:rsidR="00327A8B" w:rsidRPr="00AC4AEA" w:rsidRDefault="005665B5" w:rsidP="00C01B25">
      <w:pPr>
        <w:numPr>
          <w:ilvl w:val="0"/>
          <w:numId w:val="639"/>
        </w:numPr>
        <w:spacing w:after="147" w:line="264" w:lineRule="auto"/>
        <w:ind w:hanging="360"/>
        <w:jc w:val="both"/>
        <w:rPr>
          <w:rFonts w:ascii="Arial" w:hAnsi="Arial" w:cs="Arial"/>
          <w:sz w:val="20"/>
          <w:szCs w:val="20"/>
        </w:rPr>
      </w:pPr>
      <w:r w:rsidRPr="00AC4AEA">
        <w:rPr>
          <w:rFonts w:ascii="Arial" w:hAnsi="Arial" w:cs="Arial"/>
          <w:sz w:val="20"/>
          <w:szCs w:val="20"/>
        </w:rPr>
        <w:t xml:space="preserve">un </w:t>
      </w:r>
      <w:r w:rsidRPr="00AC4AEA">
        <w:rPr>
          <w:rFonts w:ascii="Arial" w:hAnsi="Arial" w:cs="Arial"/>
          <w:b/>
          <w:bCs/>
          <w:sz w:val="20"/>
          <w:szCs w:val="20"/>
        </w:rPr>
        <w:t>activo</w:t>
      </w:r>
      <w:r w:rsidRPr="00AC4AEA">
        <w:rPr>
          <w:rFonts w:ascii="Arial" w:hAnsi="Arial" w:cs="Arial"/>
          <w:sz w:val="20"/>
          <w:szCs w:val="20"/>
        </w:rPr>
        <w:t xml:space="preserve"> o </w:t>
      </w:r>
      <w:r w:rsidRPr="00AC4AEA">
        <w:rPr>
          <w:rFonts w:ascii="Arial" w:hAnsi="Arial" w:cs="Arial"/>
          <w:b/>
          <w:bCs/>
          <w:sz w:val="20"/>
          <w:szCs w:val="20"/>
        </w:rPr>
        <w:t>pasivo</w:t>
      </w:r>
      <w:r w:rsidRPr="00AC4AEA">
        <w:rPr>
          <w:rFonts w:ascii="Arial" w:hAnsi="Arial" w:cs="Arial"/>
          <w:sz w:val="20"/>
          <w:szCs w:val="20"/>
        </w:rPr>
        <w:t xml:space="preserve"> reconocido o un componente de éstos (tal como la totalidad o algunos de los pagos futuros de interés de una deuda a interés variable)</w:t>
      </w:r>
      <w:r w:rsidR="00327A8B" w:rsidRPr="00AC4AEA">
        <w:rPr>
          <w:rFonts w:ascii="Arial" w:hAnsi="Arial" w:cs="Arial"/>
          <w:sz w:val="20"/>
          <w:szCs w:val="20"/>
        </w:rPr>
        <w:t>;</w:t>
      </w:r>
      <w:r w:rsidRPr="00AC4AEA">
        <w:rPr>
          <w:rFonts w:ascii="Arial" w:hAnsi="Arial" w:cs="Arial"/>
          <w:sz w:val="20"/>
          <w:szCs w:val="20"/>
        </w:rPr>
        <w:t xml:space="preserve"> o </w:t>
      </w:r>
    </w:p>
    <w:p w:rsidR="005665B5" w:rsidRPr="00AC4AEA" w:rsidRDefault="005665B5" w:rsidP="00C01B25">
      <w:pPr>
        <w:numPr>
          <w:ilvl w:val="0"/>
          <w:numId w:val="639"/>
        </w:numPr>
        <w:spacing w:after="147" w:line="264" w:lineRule="auto"/>
        <w:ind w:hanging="360"/>
        <w:jc w:val="both"/>
        <w:rPr>
          <w:rFonts w:ascii="Arial" w:hAnsi="Arial" w:cs="Arial"/>
          <w:sz w:val="20"/>
          <w:szCs w:val="20"/>
        </w:rPr>
      </w:pPr>
      <w:r w:rsidRPr="00AC4AEA">
        <w:rPr>
          <w:rFonts w:ascii="Arial" w:hAnsi="Arial" w:cs="Arial"/>
          <w:sz w:val="20"/>
          <w:szCs w:val="20"/>
        </w:rPr>
        <w:t>a una transacción esperada en el futuro (altamente probable).</w:t>
      </w:r>
    </w:p>
    <w:p w:rsidR="00981C73" w:rsidRPr="00AC4AEA" w:rsidRDefault="005665B5" w:rsidP="00C01B25">
      <w:pPr>
        <w:numPr>
          <w:ilvl w:val="1"/>
          <w:numId w:val="638"/>
        </w:numPr>
        <w:spacing w:after="143" w:line="247" w:lineRule="auto"/>
        <w:ind w:hanging="535"/>
        <w:jc w:val="both"/>
        <w:rPr>
          <w:rFonts w:ascii="Arial" w:hAnsi="Arial" w:cs="Arial"/>
          <w:sz w:val="20"/>
          <w:szCs w:val="20"/>
        </w:rPr>
      </w:pPr>
      <w:r w:rsidRPr="00AC4AEA">
        <w:rPr>
          <w:rFonts w:ascii="Arial" w:hAnsi="Arial" w:cs="Arial"/>
          <w:sz w:val="20"/>
          <w:szCs w:val="20"/>
          <w:u w:val="single"/>
        </w:rPr>
        <w:t xml:space="preserve">Cobertura de la </w:t>
      </w:r>
      <w:r w:rsidR="00105B43" w:rsidRPr="00AC4AEA">
        <w:rPr>
          <w:rFonts w:ascii="Arial" w:hAnsi="Arial" w:cs="Arial"/>
          <w:sz w:val="20"/>
          <w:szCs w:val="20"/>
          <w:u w:val="single"/>
        </w:rPr>
        <w:t>inversión neta en una entidad del extranjero</w:t>
      </w:r>
      <w:r w:rsidR="006A5A65" w:rsidRPr="00AC4AEA">
        <w:rPr>
          <w:rFonts w:ascii="Arial" w:hAnsi="Arial" w:cs="Arial"/>
          <w:sz w:val="20"/>
          <w:szCs w:val="20"/>
        </w:rPr>
        <w:t>.</w:t>
      </w:r>
    </w:p>
    <w:p w:rsidR="005665B5" w:rsidRPr="00AC4AEA" w:rsidRDefault="005665B5" w:rsidP="00981C73">
      <w:pPr>
        <w:spacing w:line="264" w:lineRule="auto"/>
        <w:ind w:left="1559"/>
        <w:jc w:val="both"/>
        <w:rPr>
          <w:rFonts w:ascii="Arial" w:hAnsi="Arial" w:cs="Arial"/>
          <w:sz w:val="20"/>
          <w:szCs w:val="20"/>
        </w:rPr>
      </w:pPr>
    </w:p>
    <w:p w:rsidR="007E17C2" w:rsidRPr="00AC4AEA" w:rsidRDefault="007E17C2" w:rsidP="007E17C2">
      <w:pPr>
        <w:pStyle w:val="Ttulo3"/>
      </w:pPr>
      <w:bookmarkStart w:id="1235" w:name="_Toc139357060"/>
      <w:r w:rsidRPr="00AC4AEA">
        <w:t xml:space="preserve">Instrumentos de cobertura </w:t>
      </w:r>
      <w:r w:rsidR="007D6E46" w:rsidRPr="00AC4AEA">
        <w:t>y partidas cubiertas</w:t>
      </w:r>
      <w:bookmarkEnd w:id="1235"/>
    </w:p>
    <w:p w:rsidR="00121957" w:rsidRPr="00A47337" w:rsidRDefault="007D6E46" w:rsidP="00C01B25">
      <w:pPr>
        <w:numPr>
          <w:ilvl w:val="0"/>
          <w:numId w:val="719"/>
        </w:numPr>
        <w:spacing w:after="147" w:line="264" w:lineRule="auto"/>
        <w:ind w:left="993" w:hanging="567"/>
        <w:jc w:val="both"/>
        <w:rPr>
          <w:rFonts w:ascii="Arial" w:hAnsi="Arial" w:cs="Arial"/>
          <w:sz w:val="20"/>
          <w:szCs w:val="20"/>
        </w:rPr>
      </w:pPr>
      <w:bookmarkStart w:id="1236" w:name="_Ref135606285"/>
      <w:r w:rsidRPr="00AC4AEA">
        <w:rPr>
          <w:rFonts w:ascii="Arial" w:hAnsi="Arial" w:cs="Arial"/>
          <w:sz w:val="20"/>
          <w:szCs w:val="20"/>
        </w:rPr>
        <w:t>Un</w:t>
      </w:r>
      <w:r w:rsidR="00121957" w:rsidRPr="00AC4AEA">
        <w:rPr>
          <w:rFonts w:ascii="Arial" w:hAnsi="Arial" w:cs="Arial"/>
          <w:sz w:val="20"/>
          <w:szCs w:val="20"/>
        </w:rPr>
        <w:t xml:space="preserve"> </w:t>
      </w:r>
      <w:r w:rsidR="00121957" w:rsidRPr="00A47337">
        <w:rPr>
          <w:rFonts w:ascii="Arial" w:hAnsi="Arial" w:cs="Arial"/>
          <w:sz w:val="20"/>
          <w:szCs w:val="20"/>
        </w:rPr>
        <w:t xml:space="preserve">instrumento de cobertura </w:t>
      </w:r>
      <w:r w:rsidR="008915C4" w:rsidRPr="00A47337">
        <w:rPr>
          <w:rFonts w:ascii="Arial" w:hAnsi="Arial" w:cs="Arial"/>
          <w:sz w:val="20"/>
          <w:szCs w:val="20"/>
        </w:rPr>
        <w:t>cumplirá</w:t>
      </w:r>
      <w:r w:rsidR="00121957" w:rsidRPr="00A47337">
        <w:rPr>
          <w:rFonts w:ascii="Arial" w:hAnsi="Arial" w:cs="Arial"/>
          <w:sz w:val="20"/>
          <w:szCs w:val="20"/>
        </w:rPr>
        <w:t xml:space="preserve"> las condiciones</w:t>
      </w:r>
      <w:r w:rsidR="00331149">
        <w:rPr>
          <w:rFonts w:ascii="Arial" w:hAnsi="Arial" w:cs="Arial"/>
          <w:sz w:val="20"/>
          <w:szCs w:val="20"/>
        </w:rPr>
        <w:t xml:space="preserve"> a) y b) siguientes</w:t>
      </w:r>
      <w:r w:rsidR="00121957" w:rsidRPr="00A47337">
        <w:rPr>
          <w:rFonts w:ascii="Arial" w:hAnsi="Arial" w:cs="Arial"/>
          <w:sz w:val="20"/>
          <w:szCs w:val="20"/>
        </w:rPr>
        <w:t>:</w:t>
      </w:r>
      <w:bookmarkEnd w:id="1236"/>
      <w:r w:rsidR="00121957" w:rsidRPr="00A47337">
        <w:rPr>
          <w:rFonts w:ascii="Arial" w:hAnsi="Arial" w:cs="Arial"/>
          <w:sz w:val="20"/>
          <w:szCs w:val="20"/>
        </w:rPr>
        <w:t xml:space="preserve"> </w:t>
      </w:r>
    </w:p>
    <w:p w:rsidR="0092314F" w:rsidRPr="00A47337" w:rsidRDefault="001747B7" w:rsidP="00C01B25">
      <w:pPr>
        <w:numPr>
          <w:ilvl w:val="1"/>
          <w:numId w:val="719"/>
        </w:numPr>
        <w:spacing w:line="264" w:lineRule="auto"/>
        <w:ind w:left="1559" w:hanging="567"/>
        <w:jc w:val="both"/>
        <w:rPr>
          <w:rFonts w:ascii="Arial" w:hAnsi="Arial" w:cs="Arial"/>
          <w:sz w:val="20"/>
          <w:szCs w:val="20"/>
        </w:rPr>
      </w:pPr>
      <w:r>
        <w:rPr>
          <w:rFonts w:ascii="Arial" w:hAnsi="Arial" w:cs="Arial"/>
          <w:sz w:val="20"/>
          <w:szCs w:val="20"/>
        </w:rPr>
        <w:t>D</w:t>
      </w:r>
      <w:r w:rsidR="008915C4" w:rsidRPr="00A47337">
        <w:rPr>
          <w:rFonts w:ascii="Arial" w:hAnsi="Arial" w:cs="Arial"/>
          <w:sz w:val="20"/>
          <w:szCs w:val="20"/>
        </w:rPr>
        <w:t>ebe ser</w:t>
      </w:r>
      <w:r w:rsidR="0092314F" w:rsidRPr="00A47337">
        <w:rPr>
          <w:rFonts w:ascii="Arial" w:hAnsi="Arial" w:cs="Arial"/>
          <w:sz w:val="20"/>
          <w:szCs w:val="20"/>
        </w:rPr>
        <w:t>:</w:t>
      </w:r>
      <w:r w:rsidR="009E6E61" w:rsidRPr="00A47337">
        <w:rPr>
          <w:rFonts w:ascii="Arial" w:hAnsi="Arial" w:cs="Arial"/>
          <w:sz w:val="20"/>
          <w:szCs w:val="20"/>
        </w:rPr>
        <w:t xml:space="preserve"> </w:t>
      </w:r>
    </w:p>
    <w:p w:rsidR="0092314F" w:rsidRPr="00A47337" w:rsidRDefault="009E6E61" w:rsidP="00C01B25">
      <w:pPr>
        <w:numPr>
          <w:ilvl w:val="2"/>
          <w:numId w:val="719"/>
        </w:numPr>
        <w:spacing w:after="147" w:line="264" w:lineRule="auto"/>
        <w:ind w:hanging="360"/>
        <w:jc w:val="both"/>
        <w:rPr>
          <w:rFonts w:ascii="Arial" w:hAnsi="Arial" w:cs="Arial"/>
          <w:sz w:val="20"/>
          <w:szCs w:val="20"/>
        </w:rPr>
      </w:pPr>
      <w:r w:rsidRPr="00A47337">
        <w:rPr>
          <w:rFonts w:ascii="Arial" w:hAnsi="Arial" w:cs="Arial"/>
          <w:sz w:val="20"/>
          <w:szCs w:val="20"/>
        </w:rPr>
        <w:t>un derivado</w:t>
      </w:r>
      <w:r w:rsidR="0092314F" w:rsidRPr="00A47337">
        <w:rPr>
          <w:rFonts w:ascii="Arial" w:hAnsi="Arial" w:cs="Arial"/>
          <w:sz w:val="20"/>
          <w:szCs w:val="20"/>
        </w:rPr>
        <w:t xml:space="preserve"> que se mide a </w:t>
      </w:r>
      <w:r w:rsidR="0092314F" w:rsidRPr="00A47337">
        <w:rPr>
          <w:rFonts w:ascii="Arial" w:hAnsi="Arial" w:cs="Arial"/>
          <w:b/>
          <w:bCs/>
          <w:sz w:val="20"/>
          <w:szCs w:val="20"/>
        </w:rPr>
        <w:t>valor razonable</w:t>
      </w:r>
      <w:r w:rsidR="008834DE" w:rsidRPr="00A47337">
        <w:rPr>
          <w:rFonts w:ascii="Arial" w:hAnsi="Arial" w:cs="Arial"/>
          <w:sz w:val="20"/>
          <w:szCs w:val="20"/>
        </w:rPr>
        <w:t xml:space="preserve">, excepto </w:t>
      </w:r>
      <w:r w:rsidR="0058662C" w:rsidRPr="00A47337">
        <w:rPr>
          <w:rFonts w:ascii="Arial" w:hAnsi="Arial" w:cs="Arial"/>
          <w:sz w:val="20"/>
          <w:szCs w:val="20"/>
        </w:rPr>
        <w:t>ciertas</w:t>
      </w:r>
      <w:r w:rsidR="008834DE" w:rsidRPr="00A47337">
        <w:rPr>
          <w:rFonts w:ascii="Arial" w:hAnsi="Arial" w:cs="Arial"/>
          <w:sz w:val="20"/>
          <w:szCs w:val="20"/>
        </w:rPr>
        <w:t xml:space="preserve"> opciones emitidas</w:t>
      </w:r>
      <w:r w:rsidR="0058662C" w:rsidRPr="00A47337">
        <w:rPr>
          <w:rFonts w:ascii="Arial" w:hAnsi="Arial" w:cs="Arial"/>
          <w:sz w:val="20"/>
          <w:szCs w:val="20"/>
        </w:rPr>
        <w:t xml:space="preserve"> referidas en el párrafo siguiente</w:t>
      </w:r>
      <w:r w:rsidR="0092314F" w:rsidRPr="00A47337">
        <w:rPr>
          <w:rFonts w:ascii="Arial" w:hAnsi="Arial" w:cs="Arial"/>
          <w:sz w:val="20"/>
          <w:szCs w:val="20"/>
        </w:rPr>
        <w:t>;</w:t>
      </w:r>
      <w:r w:rsidRPr="00A47337">
        <w:rPr>
          <w:rFonts w:ascii="Arial" w:hAnsi="Arial" w:cs="Arial"/>
          <w:sz w:val="20"/>
          <w:szCs w:val="20"/>
        </w:rPr>
        <w:t xml:space="preserve"> o</w:t>
      </w:r>
    </w:p>
    <w:p w:rsidR="00121957" w:rsidRPr="00A47337" w:rsidRDefault="00DB66A1" w:rsidP="00C01B25">
      <w:pPr>
        <w:numPr>
          <w:ilvl w:val="2"/>
          <w:numId w:val="719"/>
        </w:numPr>
        <w:spacing w:after="147" w:line="264" w:lineRule="auto"/>
        <w:ind w:hanging="360"/>
        <w:jc w:val="both"/>
        <w:rPr>
          <w:rFonts w:ascii="Arial" w:hAnsi="Arial" w:cs="Arial"/>
          <w:sz w:val="20"/>
          <w:szCs w:val="20"/>
        </w:rPr>
      </w:pPr>
      <w:r w:rsidRPr="00A47337">
        <w:rPr>
          <w:rFonts w:ascii="Arial" w:hAnsi="Arial" w:cs="Arial"/>
          <w:sz w:val="20"/>
          <w:szCs w:val="20"/>
        </w:rPr>
        <w:t>un</w:t>
      </w:r>
      <w:r w:rsidR="009E6E61" w:rsidRPr="00A47337">
        <w:rPr>
          <w:rFonts w:ascii="Arial" w:hAnsi="Arial" w:cs="Arial"/>
          <w:sz w:val="20"/>
          <w:szCs w:val="20"/>
        </w:rPr>
        <w:t xml:space="preserve"> </w:t>
      </w:r>
      <w:r w:rsidR="009E6E61" w:rsidRPr="00A47337">
        <w:rPr>
          <w:rFonts w:ascii="Arial" w:hAnsi="Arial" w:cs="Arial"/>
          <w:b/>
          <w:bCs/>
          <w:sz w:val="20"/>
          <w:szCs w:val="20"/>
        </w:rPr>
        <w:t>activo</w:t>
      </w:r>
      <w:r w:rsidR="009E6E61" w:rsidRPr="00A47337">
        <w:rPr>
          <w:rFonts w:ascii="Arial" w:hAnsi="Arial" w:cs="Arial"/>
          <w:sz w:val="20"/>
          <w:szCs w:val="20"/>
        </w:rPr>
        <w:t xml:space="preserve"> </w:t>
      </w:r>
      <w:r w:rsidR="009E6E61" w:rsidRPr="00A47337">
        <w:rPr>
          <w:rFonts w:ascii="Arial" w:hAnsi="Arial" w:cs="Arial"/>
          <w:b/>
          <w:bCs/>
          <w:sz w:val="20"/>
          <w:szCs w:val="20"/>
        </w:rPr>
        <w:t>financiero</w:t>
      </w:r>
      <w:r w:rsidR="009E6E61" w:rsidRPr="00A47337">
        <w:rPr>
          <w:rFonts w:ascii="Arial" w:hAnsi="Arial" w:cs="Arial"/>
          <w:sz w:val="20"/>
          <w:szCs w:val="20"/>
        </w:rPr>
        <w:t xml:space="preserve"> o </w:t>
      </w:r>
      <w:r w:rsidR="009E6E61" w:rsidRPr="00A47337">
        <w:rPr>
          <w:rFonts w:ascii="Arial" w:hAnsi="Arial" w:cs="Arial"/>
          <w:b/>
          <w:bCs/>
          <w:sz w:val="20"/>
          <w:szCs w:val="20"/>
        </w:rPr>
        <w:t>pasivo financiero</w:t>
      </w:r>
      <w:r w:rsidRPr="00A47337">
        <w:rPr>
          <w:rFonts w:ascii="Arial" w:hAnsi="Arial" w:cs="Arial"/>
          <w:b/>
          <w:bCs/>
          <w:sz w:val="20"/>
          <w:szCs w:val="20"/>
        </w:rPr>
        <w:t xml:space="preserve"> no derivados</w:t>
      </w:r>
      <w:r w:rsidR="009E6E61" w:rsidRPr="00A47337">
        <w:rPr>
          <w:rFonts w:ascii="Arial" w:hAnsi="Arial" w:cs="Arial"/>
          <w:sz w:val="20"/>
          <w:szCs w:val="20"/>
        </w:rPr>
        <w:t xml:space="preserve"> </w:t>
      </w:r>
      <w:r w:rsidR="00C359FF" w:rsidRPr="00A47337">
        <w:rPr>
          <w:rFonts w:ascii="Arial" w:hAnsi="Arial" w:cs="Arial"/>
          <w:sz w:val="20"/>
          <w:szCs w:val="20"/>
        </w:rPr>
        <w:t xml:space="preserve">que se midan a </w:t>
      </w:r>
      <w:r w:rsidR="00C359FF" w:rsidRPr="00A47337">
        <w:rPr>
          <w:rFonts w:ascii="Arial" w:hAnsi="Arial" w:cs="Arial"/>
          <w:b/>
          <w:bCs/>
          <w:sz w:val="20"/>
          <w:szCs w:val="20"/>
        </w:rPr>
        <w:t>valor razonable</w:t>
      </w:r>
      <w:r w:rsidR="00C359FF" w:rsidRPr="00A47337">
        <w:rPr>
          <w:rFonts w:ascii="Arial" w:hAnsi="Arial" w:cs="Arial"/>
          <w:sz w:val="20"/>
          <w:szCs w:val="20"/>
        </w:rPr>
        <w:t xml:space="preserve"> con cambios en resultados</w:t>
      </w:r>
      <w:r w:rsidR="001747B7">
        <w:rPr>
          <w:rFonts w:ascii="Arial" w:hAnsi="Arial" w:cs="Arial"/>
          <w:sz w:val="20"/>
          <w:szCs w:val="20"/>
        </w:rPr>
        <w:t>.</w:t>
      </w:r>
    </w:p>
    <w:p w:rsidR="00121957" w:rsidRPr="00AC4AEA" w:rsidRDefault="001747B7" w:rsidP="00C01B25">
      <w:pPr>
        <w:numPr>
          <w:ilvl w:val="1"/>
          <w:numId w:val="719"/>
        </w:numPr>
        <w:spacing w:line="264" w:lineRule="auto"/>
        <w:ind w:left="1559" w:hanging="567"/>
        <w:jc w:val="both"/>
        <w:rPr>
          <w:rFonts w:ascii="Arial" w:hAnsi="Arial" w:cs="Arial"/>
          <w:sz w:val="20"/>
          <w:szCs w:val="20"/>
        </w:rPr>
      </w:pPr>
      <w:r>
        <w:rPr>
          <w:rFonts w:ascii="Arial" w:hAnsi="Arial" w:cs="Arial"/>
          <w:sz w:val="20"/>
          <w:szCs w:val="20"/>
        </w:rPr>
        <w:t>D</w:t>
      </w:r>
      <w:r w:rsidR="008915C4" w:rsidRPr="00A47337">
        <w:rPr>
          <w:rFonts w:ascii="Arial" w:hAnsi="Arial" w:cs="Arial"/>
          <w:sz w:val="20"/>
          <w:szCs w:val="20"/>
        </w:rPr>
        <w:t xml:space="preserve">ebe </w:t>
      </w:r>
      <w:r w:rsidR="00121957" w:rsidRPr="00A47337">
        <w:rPr>
          <w:rFonts w:ascii="Arial" w:hAnsi="Arial" w:cs="Arial"/>
          <w:sz w:val="20"/>
          <w:szCs w:val="20"/>
        </w:rPr>
        <w:t>involucra</w:t>
      </w:r>
      <w:r w:rsidR="008915C4" w:rsidRPr="00A47337">
        <w:rPr>
          <w:rFonts w:ascii="Arial" w:hAnsi="Arial" w:cs="Arial"/>
          <w:sz w:val="20"/>
          <w:szCs w:val="20"/>
        </w:rPr>
        <w:t>r</w:t>
      </w:r>
      <w:r w:rsidR="00121957" w:rsidRPr="00A47337">
        <w:rPr>
          <w:rFonts w:ascii="Arial" w:hAnsi="Arial" w:cs="Arial"/>
          <w:sz w:val="20"/>
          <w:szCs w:val="20"/>
        </w:rPr>
        <w:t xml:space="preserve"> </w:t>
      </w:r>
      <w:r w:rsidR="008915C4" w:rsidRPr="00A47337">
        <w:rPr>
          <w:rFonts w:ascii="Arial" w:hAnsi="Arial" w:cs="Arial"/>
          <w:sz w:val="20"/>
          <w:szCs w:val="20"/>
        </w:rPr>
        <w:t xml:space="preserve">a </w:t>
      </w:r>
      <w:r w:rsidR="00121957" w:rsidRPr="00A47337">
        <w:rPr>
          <w:rFonts w:ascii="Arial" w:hAnsi="Arial" w:cs="Arial"/>
          <w:sz w:val="20"/>
          <w:szCs w:val="20"/>
        </w:rPr>
        <w:t>una</w:t>
      </w:r>
      <w:r w:rsidR="00121957" w:rsidRPr="00AC4AEA">
        <w:rPr>
          <w:rFonts w:ascii="Arial" w:hAnsi="Arial" w:cs="Arial"/>
          <w:sz w:val="20"/>
          <w:szCs w:val="20"/>
        </w:rPr>
        <w:t xml:space="preserve"> parte externa de la entidad</w:t>
      </w:r>
      <w:r w:rsidR="002953DA" w:rsidRPr="00AC4AEA">
        <w:rPr>
          <w:rFonts w:ascii="Arial" w:hAnsi="Arial" w:cs="Arial"/>
          <w:sz w:val="20"/>
          <w:szCs w:val="20"/>
        </w:rPr>
        <w:t>.</w:t>
      </w:r>
      <w:r w:rsidR="00121957" w:rsidRPr="00AC4AEA">
        <w:rPr>
          <w:rFonts w:ascii="Arial" w:hAnsi="Arial" w:cs="Arial"/>
          <w:sz w:val="20"/>
          <w:szCs w:val="20"/>
        </w:rPr>
        <w:t xml:space="preserve"> </w:t>
      </w:r>
    </w:p>
    <w:p w:rsidR="00EE1306" w:rsidRPr="00AC4AEA" w:rsidRDefault="00EE1306" w:rsidP="00C01B25">
      <w:pPr>
        <w:numPr>
          <w:ilvl w:val="0"/>
          <w:numId w:val="719"/>
        </w:numPr>
        <w:spacing w:after="147" w:line="264" w:lineRule="auto"/>
        <w:ind w:left="937" w:hanging="536"/>
        <w:jc w:val="both"/>
        <w:rPr>
          <w:rFonts w:ascii="Arial" w:hAnsi="Arial" w:cs="Arial"/>
          <w:sz w:val="20"/>
          <w:szCs w:val="20"/>
        </w:rPr>
      </w:pPr>
      <w:r w:rsidRPr="00AC4AEA">
        <w:rPr>
          <w:rFonts w:ascii="Arial" w:hAnsi="Arial" w:cs="Arial"/>
          <w:sz w:val="20"/>
          <w:szCs w:val="20"/>
        </w:rPr>
        <w:t xml:space="preserve">Una opción emitida no cumple con los requisitos de instrumento de cobertura a menos que se designe para compensar una opción comprada, incluyendo una opción que esté implícita en otro </w:t>
      </w:r>
      <w:r w:rsidRPr="002A73C3">
        <w:rPr>
          <w:rFonts w:ascii="Arial" w:hAnsi="Arial" w:cs="Arial"/>
          <w:b/>
          <w:bCs/>
          <w:sz w:val="20"/>
          <w:szCs w:val="20"/>
        </w:rPr>
        <w:t>instrumento financiero</w:t>
      </w:r>
      <w:r w:rsidRPr="00AC4AEA">
        <w:rPr>
          <w:rFonts w:ascii="Arial" w:hAnsi="Arial" w:cs="Arial"/>
          <w:sz w:val="20"/>
          <w:szCs w:val="20"/>
        </w:rPr>
        <w:t xml:space="preserve"> (por ejemplo, una opción de compra emitida utilizada para cubrir un pasivo rescatable)</w:t>
      </w:r>
    </w:p>
    <w:p w:rsidR="0065028F" w:rsidRPr="00AC4AEA" w:rsidRDefault="002953DA" w:rsidP="00C01B25">
      <w:pPr>
        <w:numPr>
          <w:ilvl w:val="0"/>
          <w:numId w:val="719"/>
        </w:numPr>
        <w:spacing w:after="147" w:line="264" w:lineRule="auto"/>
        <w:ind w:left="937" w:hanging="536"/>
        <w:jc w:val="both"/>
        <w:rPr>
          <w:rFonts w:ascii="Arial" w:hAnsi="Arial" w:cs="Arial"/>
          <w:sz w:val="20"/>
          <w:szCs w:val="20"/>
        </w:rPr>
      </w:pPr>
      <w:bookmarkStart w:id="1237" w:name="_Ref135605220"/>
      <w:r w:rsidRPr="00AC4AEA">
        <w:rPr>
          <w:rFonts w:ascii="Arial" w:hAnsi="Arial" w:cs="Arial"/>
          <w:sz w:val="20"/>
          <w:szCs w:val="20"/>
        </w:rPr>
        <w:t>Además, u</w:t>
      </w:r>
      <w:r w:rsidR="00265054" w:rsidRPr="00AC4AEA">
        <w:rPr>
          <w:rFonts w:ascii="Arial" w:hAnsi="Arial" w:cs="Arial"/>
          <w:sz w:val="20"/>
          <w:szCs w:val="20"/>
        </w:rPr>
        <w:t>na entidad podrá</w:t>
      </w:r>
      <w:r w:rsidR="001947B0" w:rsidRPr="00AC4AEA">
        <w:rPr>
          <w:rFonts w:ascii="Arial" w:hAnsi="Arial" w:cs="Arial"/>
          <w:sz w:val="20"/>
          <w:szCs w:val="20"/>
        </w:rPr>
        <w:t xml:space="preserve"> designar como instrumento de cobertura</w:t>
      </w:r>
      <w:r w:rsidR="0065028F" w:rsidRPr="00AC4AEA">
        <w:rPr>
          <w:rFonts w:ascii="Arial" w:hAnsi="Arial" w:cs="Arial"/>
          <w:sz w:val="20"/>
          <w:szCs w:val="20"/>
        </w:rPr>
        <w:t>:</w:t>
      </w:r>
      <w:bookmarkEnd w:id="1237"/>
      <w:r w:rsidR="00265054" w:rsidRPr="00AC4AEA">
        <w:rPr>
          <w:rFonts w:ascii="Arial" w:hAnsi="Arial" w:cs="Arial"/>
          <w:sz w:val="20"/>
          <w:szCs w:val="20"/>
        </w:rPr>
        <w:t xml:space="preserve"> </w:t>
      </w:r>
    </w:p>
    <w:p w:rsidR="0065028F" w:rsidRPr="00AC4AEA" w:rsidRDefault="001947B0"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Una proporción de un instrumento </w:t>
      </w:r>
      <w:r w:rsidR="009336CA" w:rsidRPr="00AC4AEA">
        <w:rPr>
          <w:rFonts w:ascii="Arial" w:hAnsi="Arial" w:cs="Arial"/>
          <w:sz w:val="20"/>
          <w:szCs w:val="20"/>
        </w:rPr>
        <w:t xml:space="preserve">que cumpla las condiciones establecidas en </w:t>
      </w:r>
      <w:r w:rsidR="005910AF" w:rsidRPr="00AC4AEA">
        <w:rPr>
          <w:rFonts w:ascii="Arial" w:hAnsi="Arial" w:cs="Arial"/>
          <w:sz w:val="20"/>
          <w:szCs w:val="20"/>
        </w:rPr>
        <w:t>los</w:t>
      </w:r>
      <w:r w:rsidR="009336CA" w:rsidRPr="00AC4AEA">
        <w:rPr>
          <w:rFonts w:ascii="Arial" w:hAnsi="Arial" w:cs="Arial"/>
          <w:sz w:val="20"/>
          <w:szCs w:val="20"/>
        </w:rPr>
        <w:t xml:space="preserve"> </w:t>
      </w:r>
      <w:r w:rsidR="005910AF" w:rsidRPr="00AC4AEA">
        <w:rPr>
          <w:rFonts w:ascii="Arial" w:hAnsi="Arial" w:cs="Arial"/>
          <w:sz w:val="20"/>
          <w:szCs w:val="20"/>
        </w:rPr>
        <w:t xml:space="preserve">dos </w:t>
      </w:r>
      <w:r w:rsidR="009336CA" w:rsidRPr="00AC4AEA">
        <w:rPr>
          <w:rFonts w:ascii="Arial" w:hAnsi="Arial" w:cs="Arial"/>
          <w:sz w:val="20"/>
          <w:szCs w:val="20"/>
        </w:rPr>
        <w:t>párrafo</w:t>
      </w:r>
      <w:r w:rsidR="005910AF" w:rsidRPr="00AC4AEA">
        <w:rPr>
          <w:rFonts w:ascii="Arial" w:hAnsi="Arial" w:cs="Arial"/>
          <w:sz w:val="20"/>
          <w:szCs w:val="20"/>
        </w:rPr>
        <w:t>s</w:t>
      </w:r>
      <w:r w:rsidR="009336CA" w:rsidRPr="00AC4AEA">
        <w:rPr>
          <w:rFonts w:ascii="Arial" w:hAnsi="Arial" w:cs="Arial"/>
          <w:sz w:val="20"/>
          <w:szCs w:val="20"/>
        </w:rPr>
        <w:t xml:space="preserve"> </w:t>
      </w:r>
      <w:r w:rsidR="005910AF" w:rsidRPr="00AC4AEA">
        <w:rPr>
          <w:rFonts w:ascii="Arial" w:hAnsi="Arial" w:cs="Arial"/>
          <w:sz w:val="20"/>
          <w:szCs w:val="20"/>
        </w:rPr>
        <w:t xml:space="preserve">inmediatos </w:t>
      </w:r>
      <w:r w:rsidR="009336CA" w:rsidRPr="00AC4AEA">
        <w:rPr>
          <w:rFonts w:ascii="Arial" w:hAnsi="Arial" w:cs="Arial"/>
          <w:sz w:val="20"/>
          <w:szCs w:val="20"/>
        </w:rPr>
        <w:t>anterior</w:t>
      </w:r>
      <w:r w:rsidR="005910AF" w:rsidRPr="00AC4AEA">
        <w:rPr>
          <w:rFonts w:ascii="Arial" w:hAnsi="Arial" w:cs="Arial"/>
          <w:sz w:val="20"/>
          <w:szCs w:val="20"/>
        </w:rPr>
        <w:t>es</w:t>
      </w:r>
      <w:r w:rsidR="009336CA" w:rsidRPr="00AC4AEA">
        <w:rPr>
          <w:rFonts w:ascii="Arial" w:hAnsi="Arial" w:cs="Arial"/>
          <w:sz w:val="20"/>
          <w:szCs w:val="20"/>
        </w:rPr>
        <w:t>.</w:t>
      </w:r>
      <w:r w:rsidRPr="00AC4AEA">
        <w:rPr>
          <w:rFonts w:ascii="Arial" w:hAnsi="Arial" w:cs="Arial"/>
          <w:sz w:val="20"/>
          <w:szCs w:val="20"/>
        </w:rPr>
        <w:t xml:space="preserve"> </w:t>
      </w:r>
    </w:p>
    <w:p w:rsidR="00265054" w:rsidRPr="00AC4AEA" w:rsidRDefault="009336CA"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Una</w:t>
      </w:r>
      <w:r w:rsidR="00265054" w:rsidRPr="00AC4AEA">
        <w:rPr>
          <w:rFonts w:ascii="Arial" w:hAnsi="Arial" w:cs="Arial"/>
          <w:sz w:val="20"/>
          <w:szCs w:val="20"/>
        </w:rPr>
        <w:t xml:space="preserve"> combinación</w:t>
      </w:r>
      <w:r w:rsidR="008B53D4" w:rsidRPr="00AC4AEA">
        <w:rPr>
          <w:rFonts w:ascii="Arial" w:hAnsi="Arial" w:cs="Arial"/>
          <w:sz w:val="20"/>
          <w:szCs w:val="20"/>
        </w:rPr>
        <w:t xml:space="preserve"> de</w:t>
      </w:r>
      <w:r w:rsidR="00265054" w:rsidRPr="00AC4AEA">
        <w:rPr>
          <w:rFonts w:ascii="Arial" w:hAnsi="Arial" w:cs="Arial"/>
          <w:sz w:val="20"/>
          <w:szCs w:val="20"/>
        </w:rPr>
        <w:t>:</w:t>
      </w:r>
    </w:p>
    <w:p w:rsidR="00265054" w:rsidRPr="00AC4AEA" w:rsidRDefault="00C30DD8"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i</w:t>
      </w:r>
      <w:r w:rsidR="008B53D4" w:rsidRPr="00AC4AEA">
        <w:rPr>
          <w:rFonts w:ascii="Arial" w:hAnsi="Arial" w:cs="Arial"/>
          <w:sz w:val="20"/>
          <w:szCs w:val="20"/>
        </w:rPr>
        <w:t xml:space="preserve">nstrumentos </w:t>
      </w:r>
      <w:r w:rsidR="00265054" w:rsidRPr="00AC4AEA">
        <w:rPr>
          <w:rFonts w:ascii="Arial" w:hAnsi="Arial" w:cs="Arial"/>
          <w:sz w:val="20"/>
          <w:szCs w:val="20"/>
        </w:rPr>
        <w:t xml:space="preserve">derivados </w:t>
      </w:r>
      <w:r w:rsidR="008B53D4" w:rsidRPr="00AC4AEA">
        <w:rPr>
          <w:rFonts w:ascii="Arial" w:hAnsi="Arial" w:cs="Arial"/>
          <w:sz w:val="20"/>
          <w:szCs w:val="20"/>
        </w:rPr>
        <w:t>que cumpl</w:t>
      </w:r>
      <w:r w:rsidRPr="00AC4AEA">
        <w:rPr>
          <w:rFonts w:ascii="Arial" w:hAnsi="Arial" w:cs="Arial"/>
          <w:sz w:val="20"/>
          <w:szCs w:val="20"/>
        </w:rPr>
        <w:t xml:space="preserve">an las condiciones establecidas en </w:t>
      </w:r>
      <w:r w:rsidR="005910AF" w:rsidRPr="00AC4AEA">
        <w:rPr>
          <w:rFonts w:ascii="Arial" w:hAnsi="Arial" w:cs="Arial"/>
          <w:sz w:val="20"/>
          <w:szCs w:val="20"/>
        </w:rPr>
        <w:t>los dos párrafos inmediatos anteriores</w:t>
      </w:r>
      <w:r w:rsidRPr="00AC4AEA">
        <w:rPr>
          <w:rFonts w:ascii="Arial" w:hAnsi="Arial" w:cs="Arial"/>
          <w:sz w:val="20"/>
          <w:szCs w:val="20"/>
        </w:rPr>
        <w:t xml:space="preserve">, </w:t>
      </w:r>
      <w:r w:rsidR="00265054" w:rsidRPr="00AC4AEA">
        <w:rPr>
          <w:rFonts w:ascii="Arial" w:hAnsi="Arial" w:cs="Arial"/>
          <w:sz w:val="20"/>
          <w:szCs w:val="20"/>
        </w:rPr>
        <w:t>o una proporción de éstos; y</w:t>
      </w:r>
    </w:p>
    <w:p w:rsidR="00CB6AF9" w:rsidRPr="00AC4AEA" w:rsidRDefault="0021052C"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 xml:space="preserve">otro </w:t>
      </w:r>
      <w:r w:rsidRPr="00AC4AEA">
        <w:rPr>
          <w:rFonts w:ascii="Arial" w:hAnsi="Arial" w:cs="Arial"/>
          <w:b/>
          <w:bCs/>
          <w:sz w:val="20"/>
          <w:szCs w:val="20"/>
        </w:rPr>
        <w:t>activo financiero</w:t>
      </w:r>
      <w:r w:rsidRPr="00AC4AEA">
        <w:rPr>
          <w:rFonts w:ascii="Arial" w:hAnsi="Arial" w:cs="Arial"/>
          <w:sz w:val="20"/>
          <w:szCs w:val="20"/>
        </w:rPr>
        <w:t xml:space="preserve"> o </w:t>
      </w:r>
      <w:r w:rsidRPr="00AC4AEA">
        <w:rPr>
          <w:rFonts w:ascii="Arial" w:hAnsi="Arial" w:cs="Arial"/>
          <w:b/>
          <w:bCs/>
          <w:sz w:val="20"/>
          <w:szCs w:val="20"/>
        </w:rPr>
        <w:t>pasivo financiero</w:t>
      </w:r>
      <w:r w:rsidRPr="00AC4AEA">
        <w:rPr>
          <w:rFonts w:ascii="Arial" w:hAnsi="Arial" w:cs="Arial"/>
          <w:sz w:val="20"/>
          <w:szCs w:val="20"/>
        </w:rPr>
        <w:t xml:space="preserve"> </w:t>
      </w:r>
      <w:r w:rsidR="00265054" w:rsidRPr="00AC4AEA">
        <w:rPr>
          <w:rFonts w:ascii="Arial" w:hAnsi="Arial" w:cs="Arial"/>
          <w:sz w:val="20"/>
          <w:szCs w:val="20"/>
        </w:rPr>
        <w:t xml:space="preserve">no derivados </w:t>
      </w:r>
      <w:r w:rsidR="00C30DD8" w:rsidRPr="00AC4AEA">
        <w:rPr>
          <w:rFonts w:ascii="Arial" w:hAnsi="Arial" w:cs="Arial"/>
          <w:sz w:val="20"/>
          <w:szCs w:val="20"/>
        </w:rPr>
        <w:t xml:space="preserve">que cumplan las condiciones establecidas en </w:t>
      </w:r>
      <w:r w:rsidR="005910AF" w:rsidRPr="00AC4AEA">
        <w:rPr>
          <w:rFonts w:ascii="Arial" w:hAnsi="Arial" w:cs="Arial"/>
          <w:sz w:val="20"/>
          <w:szCs w:val="20"/>
        </w:rPr>
        <w:t>los dos párrafos inmediatos anteriores</w:t>
      </w:r>
      <w:r w:rsidR="00C30DD8" w:rsidRPr="00AC4AEA">
        <w:rPr>
          <w:rFonts w:ascii="Arial" w:hAnsi="Arial" w:cs="Arial"/>
          <w:sz w:val="20"/>
          <w:szCs w:val="20"/>
        </w:rPr>
        <w:t xml:space="preserve"> </w:t>
      </w:r>
      <w:r w:rsidR="00265054" w:rsidRPr="00AC4AEA">
        <w:rPr>
          <w:rFonts w:ascii="Arial" w:hAnsi="Arial" w:cs="Arial"/>
          <w:sz w:val="20"/>
          <w:szCs w:val="20"/>
        </w:rPr>
        <w:t>o una proporción de éstos.</w:t>
      </w:r>
    </w:p>
    <w:p w:rsidR="00D22393" w:rsidRPr="00331149" w:rsidRDefault="00EC3F71" w:rsidP="00C01B25">
      <w:pPr>
        <w:numPr>
          <w:ilvl w:val="0"/>
          <w:numId w:val="719"/>
        </w:numPr>
        <w:spacing w:after="143" w:line="247" w:lineRule="auto"/>
        <w:ind w:left="937" w:hanging="536"/>
        <w:jc w:val="both"/>
        <w:rPr>
          <w:rFonts w:ascii="Arial" w:hAnsi="Arial" w:cs="Arial"/>
          <w:sz w:val="20"/>
          <w:szCs w:val="20"/>
        </w:rPr>
      </w:pPr>
      <w:bookmarkStart w:id="1238" w:name="_Ref135606294"/>
      <w:r w:rsidRPr="00AC4AEA">
        <w:rPr>
          <w:rFonts w:ascii="Arial" w:hAnsi="Arial" w:cs="Arial"/>
          <w:sz w:val="20"/>
          <w:szCs w:val="20"/>
        </w:rPr>
        <w:t>Un</w:t>
      </w:r>
      <w:r w:rsidR="00EE1B83" w:rsidRPr="00AC4AEA">
        <w:rPr>
          <w:rFonts w:ascii="Arial" w:hAnsi="Arial" w:cs="Arial"/>
          <w:sz w:val="20"/>
          <w:szCs w:val="20"/>
        </w:rPr>
        <w:t xml:space="preserve">a entidad </w:t>
      </w:r>
      <w:r w:rsidR="00EE1B83" w:rsidRPr="00331149">
        <w:rPr>
          <w:rFonts w:ascii="Arial" w:hAnsi="Arial" w:cs="Arial"/>
          <w:sz w:val="20"/>
          <w:szCs w:val="20"/>
        </w:rPr>
        <w:t xml:space="preserve">podrá considerar como </w:t>
      </w:r>
      <w:r w:rsidR="0037530F" w:rsidRPr="00331149">
        <w:rPr>
          <w:rFonts w:ascii="Arial" w:hAnsi="Arial" w:cs="Arial"/>
          <w:sz w:val="20"/>
          <w:szCs w:val="20"/>
        </w:rPr>
        <w:t>partida de cobertura a cualquier</w:t>
      </w:r>
      <w:r w:rsidR="008915C4" w:rsidRPr="00331149">
        <w:rPr>
          <w:rFonts w:ascii="Arial" w:hAnsi="Arial" w:cs="Arial"/>
          <w:sz w:val="20"/>
          <w:szCs w:val="20"/>
        </w:rPr>
        <w:t>a</w:t>
      </w:r>
      <w:r w:rsidR="0037530F" w:rsidRPr="00331149">
        <w:rPr>
          <w:rFonts w:ascii="Arial" w:hAnsi="Arial" w:cs="Arial"/>
          <w:sz w:val="20"/>
          <w:szCs w:val="20"/>
        </w:rPr>
        <w:t xml:space="preserve"> de las siguientes, en la medida que exponga a la entidad a un riesgo de cambio en el </w:t>
      </w:r>
      <w:r w:rsidR="0037530F" w:rsidRPr="00331149">
        <w:rPr>
          <w:rFonts w:ascii="Arial" w:hAnsi="Arial" w:cs="Arial"/>
          <w:b/>
          <w:bCs/>
          <w:sz w:val="20"/>
          <w:szCs w:val="20"/>
        </w:rPr>
        <w:t>valor razonable</w:t>
      </w:r>
      <w:r w:rsidR="0037530F" w:rsidRPr="00331149">
        <w:rPr>
          <w:rFonts w:ascii="Arial" w:hAnsi="Arial" w:cs="Arial"/>
          <w:sz w:val="20"/>
          <w:szCs w:val="20"/>
        </w:rPr>
        <w:t xml:space="preserve"> o en los flujos de efectivo futuros y que para los propósitos de la cobertura contable ha sido designados explícitamente como objeto de cobertura</w:t>
      </w:r>
      <w:r w:rsidR="00D22393" w:rsidRPr="00331149">
        <w:rPr>
          <w:rFonts w:ascii="Arial" w:hAnsi="Arial" w:cs="Arial"/>
          <w:sz w:val="20"/>
          <w:szCs w:val="20"/>
        </w:rPr>
        <w:t>:</w:t>
      </w:r>
      <w:bookmarkEnd w:id="1238"/>
    </w:p>
    <w:p w:rsidR="00D22393" w:rsidRPr="00331149" w:rsidRDefault="0037530F" w:rsidP="00C01B25">
      <w:pPr>
        <w:numPr>
          <w:ilvl w:val="1"/>
          <w:numId w:val="719"/>
        </w:numPr>
        <w:spacing w:line="264" w:lineRule="auto"/>
        <w:ind w:left="1559" w:hanging="567"/>
        <w:jc w:val="both"/>
        <w:rPr>
          <w:rFonts w:ascii="Arial" w:hAnsi="Arial" w:cs="Arial"/>
          <w:sz w:val="20"/>
          <w:szCs w:val="20"/>
        </w:rPr>
      </w:pPr>
      <w:r w:rsidRPr="00331149">
        <w:rPr>
          <w:rFonts w:ascii="Arial" w:hAnsi="Arial" w:cs="Arial"/>
          <w:sz w:val="20"/>
          <w:szCs w:val="20"/>
        </w:rPr>
        <w:t xml:space="preserve">un </w:t>
      </w:r>
      <w:r w:rsidRPr="00331149">
        <w:rPr>
          <w:rFonts w:ascii="Arial" w:hAnsi="Arial" w:cs="Arial"/>
          <w:b/>
          <w:bCs/>
          <w:sz w:val="20"/>
          <w:szCs w:val="20"/>
        </w:rPr>
        <w:t>activo</w:t>
      </w:r>
      <w:r w:rsidR="00D22393" w:rsidRPr="00331149">
        <w:rPr>
          <w:rFonts w:ascii="Arial" w:hAnsi="Arial" w:cs="Arial"/>
          <w:sz w:val="20"/>
          <w:szCs w:val="20"/>
        </w:rPr>
        <w:t xml:space="preserve"> o</w:t>
      </w:r>
      <w:r w:rsidRPr="00331149">
        <w:rPr>
          <w:rFonts w:ascii="Arial" w:hAnsi="Arial" w:cs="Arial"/>
          <w:sz w:val="20"/>
          <w:szCs w:val="20"/>
        </w:rPr>
        <w:t xml:space="preserve"> </w:t>
      </w:r>
      <w:r w:rsidRPr="00331149">
        <w:rPr>
          <w:rFonts w:ascii="Arial" w:hAnsi="Arial" w:cs="Arial"/>
          <w:b/>
          <w:bCs/>
          <w:sz w:val="20"/>
          <w:szCs w:val="20"/>
        </w:rPr>
        <w:t>pasivo</w:t>
      </w:r>
      <w:r w:rsidR="00D22393" w:rsidRPr="00331149">
        <w:rPr>
          <w:rFonts w:ascii="Arial" w:hAnsi="Arial" w:cs="Arial"/>
          <w:sz w:val="20"/>
          <w:szCs w:val="20"/>
        </w:rPr>
        <w:t xml:space="preserve"> reconocidos;</w:t>
      </w:r>
      <w:r w:rsidRPr="00331149">
        <w:rPr>
          <w:rFonts w:ascii="Arial" w:hAnsi="Arial" w:cs="Arial"/>
          <w:sz w:val="20"/>
          <w:szCs w:val="20"/>
        </w:rPr>
        <w:t xml:space="preserve"> </w:t>
      </w:r>
    </w:p>
    <w:p w:rsidR="00D22393" w:rsidRPr="00AC4AEA" w:rsidRDefault="00D22393"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un </w:t>
      </w:r>
      <w:r w:rsidR="0037530F" w:rsidRPr="00AC4AEA">
        <w:rPr>
          <w:rFonts w:ascii="Arial" w:hAnsi="Arial" w:cs="Arial"/>
          <w:sz w:val="20"/>
          <w:szCs w:val="20"/>
        </w:rPr>
        <w:t>compromiso en firme</w:t>
      </w:r>
      <w:r w:rsidRPr="00AC4AEA">
        <w:rPr>
          <w:rFonts w:ascii="Arial" w:hAnsi="Arial" w:cs="Arial"/>
          <w:sz w:val="20"/>
          <w:szCs w:val="20"/>
        </w:rPr>
        <w:t>;</w:t>
      </w:r>
      <w:r w:rsidR="0037530F" w:rsidRPr="00AC4AEA">
        <w:rPr>
          <w:rFonts w:ascii="Arial" w:hAnsi="Arial" w:cs="Arial"/>
          <w:sz w:val="20"/>
          <w:szCs w:val="20"/>
        </w:rPr>
        <w:t xml:space="preserve"> </w:t>
      </w:r>
    </w:p>
    <w:p w:rsidR="004F0EE8" w:rsidRPr="00AC4AEA" w:rsidRDefault="0037530F"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una transacción esperada en el futuro (altamente probable)</w:t>
      </w:r>
      <w:r w:rsidR="004F0EE8" w:rsidRPr="00AC4AEA">
        <w:rPr>
          <w:rFonts w:ascii="Arial" w:hAnsi="Arial" w:cs="Arial"/>
          <w:sz w:val="20"/>
          <w:szCs w:val="20"/>
        </w:rPr>
        <w:t>; o</w:t>
      </w:r>
    </w:p>
    <w:p w:rsidR="00EC3F71" w:rsidRPr="00AC4AEA" w:rsidRDefault="004F0EE8"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una </w:t>
      </w:r>
      <w:r w:rsidRPr="00AC4AEA">
        <w:rPr>
          <w:rFonts w:ascii="Arial" w:hAnsi="Arial" w:cs="Arial"/>
          <w:b/>
          <w:bCs/>
          <w:sz w:val="20"/>
          <w:szCs w:val="20"/>
        </w:rPr>
        <w:t xml:space="preserve">entidad </w:t>
      </w:r>
      <w:r w:rsidR="00524AA3" w:rsidRPr="00AC4AEA">
        <w:rPr>
          <w:rFonts w:ascii="Arial" w:hAnsi="Arial" w:cs="Arial"/>
          <w:b/>
          <w:bCs/>
          <w:sz w:val="20"/>
          <w:szCs w:val="20"/>
        </w:rPr>
        <w:t>d</w:t>
      </w:r>
      <w:r w:rsidRPr="00AC4AEA">
        <w:rPr>
          <w:rFonts w:ascii="Arial" w:hAnsi="Arial" w:cs="Arial"/>
          <w:b/>
          <w:bCs/>
          <w:sz w:val="20"/>
          <w:szCs w:val="20"/>
        </w:rPr>
        <w:t>el exterior</w:t>
      </w:r>
      <w:r w:rsidRPr="00AC4AEA">
        <w:rPr>
          <w:rFonts w:ascii="Arial" w:hAnsi="Arial" w:cs="Arial"/>
          <w:sz w:val="20"/>
          <w:szCs w:val="20"/>
        </w:rPr>
        <w:t>.</w:t>
      </w:r>
      <w:r w:rsidR="0037530F" w:rsidRPr="00AC4AEA">
        <w:rPr>
          <w:rFonts w:ascii="Arial" w:hAnsi="Arial" w:cs="Arial"/>
          <w:sz w:val="20"/>
          <w:szCs w:val="20"/>
        </w:rPr>
        <w:t xml:space="preserve"> </w:t>
      </w:r>
    </w:p>
    <w:p w:rsidR="009167D0" w:rsidRPr="00AC4AEA" w:rsidRDefault="009167D0" w:rsidP="00C01B25">
      <w:pPr>
        <w:numPr>
          <w:ilvl w:val="0"/>
          <w:numId w:val="719"/>
        </w:numPr>
        <w:spacing w:after="143" w:line="247" w:lineRule="auto"/>
        <w:ind w:left="937" w:hanging="536"/>
        <w:jc w:val="both"/>
        <w:rPr>
          <w:rFonts w:ascii="Arial" w:hAnsi="Arial" w:cs="Arial"/>
          <w:sz w:val="20"/>
          <w:szCs w:val="20"/>
        </w:rPr>
      </w:pPr>
      <w:r w:rsidRPr="00AC4AEA">
        <w:rPr>
          <w:rFonts w:ascii="Arial" w:hAnsi="Arial" w:cs="Arial"/>
          <w:sz w:val="20"/>
          <w:szCs w:val="20"/>
        </w:rPr>
        <w:t>Además de lo indicado en el párrafo anterior, para considerar a una partida como partida cubierta de una relación de coberturas, una entidad:</w:t>
      </w:r>
    </w:p>
    <w:p w:rsidR="009167D0" w:rsidRPr="00AC4AEA" w:rsidRDefault="00954924"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Deberá poder medir a esa partida de manera fiable.</w:t>
      </w:r>
    </w:p>
    <w:p w:rsidR="00AD11E4" w:rsidRPr="00AC4AEA" w:rsidRDefault="00AD11E4"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Deberá involucrar a una parte externa a </w:t>
      </w:r>
      <w:r w:rsidR="002F1844" w:rsidRPr="00AC4AEA">
        <w:rPr>
          <w:rFonts w:ascii="Arial" w:hAnsi="Arial" w:cs="Arial"/>
          <w:sz w:val="20"/>
          <w:szCs w:val="20"/>
        </w:rPr>
        <w:t>l</w:t>
      </w:r>
      <w:r w:rsidRPr="00AC4AEA">
        <w:rPr>
          <w:rFonts w:ascii="Arial" w:hAnsi="Arial" w:cs="Arial"/>
          <w:sz w:val="20"/>
          <w:szCs w:val="20"/>
        </w:rPr>
        <w:t>a e</w:t>
      </w:r>
      <w:r w:rsidR="002F1844" w:rsidRPr="00AC4AEA">
        <w:rPr>
          <w:rFonts w:ascii="Arial" w:hAnsi="Arial" w:cs="Arial"/>
          <w:sz w:val="20"/>
          <w:szCs w:val="20"/>
        </w:rPr>
        <w:t>n</w:t>
      </w:r>
      <w:r w:rsidRPr="00AC4AEA">
        <w:rPr>
          <w:rFonts w:ascii="Arial" w:hAnsi="Arial" w:cs="Arial"/>
          <w:sz w:val="20"/>
          <w:szCs w:val="20"/>
        </w:rPr>
        <w:t>tidad</w:t>
      </w:r>
      <w:r w:rsidR="00F67034" w:rsidRPr="00AC4AEA">
        <w:rPr>
          <w:rFonts w:ascii="Arial" w:hAnsi="Arial" w:cs="Arial"/>
          <w:sz w:val="20"/>
          <w:szCs w:val="20"/>
        </w:rPr>
        <w:t xml:space="preserve">, excepto por lo que se indica en </w:t>
      </w:r>
      <w:r w:rsidR="00AD1C6A" w:rsidRPr="00AC4AEA">
        <w:rPr>
          <w:rFonts w:ascii="Arial" w:hAnsi="Arial" w:cs="Arial"/>
          <w:sz w:val="20"/>
          <w:szCs w:val="20"/>
        </w:rPr>
        <w:t>el</w:t>
      </w:r>
      <w:r w:rsidR="00B0553D" w:rsidRPr="00AC4AEA">
        <w:rPr>
          <w:rFonts w:ascii="Arial" w:hAnsi="Arial" w:cs="Arial"/>
          <w:sz w:val="20"/>
          <w:szCs w:val="20"/>
        </w:rPr>
        <w:t xml:space="preserve"> </w:t>
      </w:r>
      <w:r w:rsidR="00F67034" w:rsidRPr="00AC4AEA">
        <w:rPr>
          <w:rFonts w:ascii="Arial" w:hAnsi="Arial" w:cs="Arial"/>
          <w:sz w:val="20"/>
          <w:szCs w:val="20"/>
        </w:rPr>
        <w:t xml:space="preserve">párrafo </w:t>
      </w:r>
      <w:fldSimple w:instr=" REF _Ref135606304 \r \h  \* MERGEFORMAT ">
        <w:r w:rsidR="00D33A5D" w:rsidRPr="00D33A5D">
          <w:rPr>
            <w:rFonts w:ascii="Arial" w:hAnsi="Arial" w:cs="Arial"/>
            <w:sz w:val="20"/>
            <w:szCs w:val="20"/>
          </w:rPr>
          <w:t>1004</w:t>
        </w:r>
      </w:fldSimple>
      <w:r w:rsidR="00F67034" w:rsidRPr="00AC4AEA">
        <w:rPr>
          <w:rFonts w:ascii="Arial" w:hAnsi="Arial" w:cs="Arial"/>
          <w:sz w:val="20"/>
          <w:szCs w:val="20"/>
        </w:rPr>
        <w:t>.</w:t>
      </w:r>
    </w:p>
    <w:p w:rsidR="00F67034" w:rsidRPr="00AC4AEA" w:rsidRDefault="005B25E9" w:rsidP="00C01B25">
      <w:pPr>
        <w:numPr>
          <w:ilvl w:val="0"/>
          <w:numId w:val="719"/>
        </w:numPr>
        <w:spacing w:after="143" w:line="247" w:lineRule="auto"/>
        <w:ind w:left="937" w:hanging="536"/>
        <w:jc w:val="both"/>
        <w:rPr>
          <w:rFonts w:ascii="Arial" w:hAnsi="Arial" w:cs="Arial"/>
          <w:sz w:val="20"/>
          <w:szCs w:val="20"/>
        </w:rPr>
      </w:pPr>
      <w:r w:rsidRPr="00AC4AEA">
        <w:rPr>
          <w:rFonts w:ascii="Arial" w:hAnsi="Arial" w:cs="Arial"/>
          <w:sz w:val="20"/>
          <w:szCs w:val="20"/>
        </w:rPr>
        <w:t xml:space="preserve">Una entidad podrá aplicar contabilidad de coberturas a transacciones entre entidades dentro del mismo grupo solo en el caso de </w:t>
      </w:r>
      <w:r w:rsidRPr="00AC4AEA">
        <w:rPr>
          <w:rFonts w:ascii="Arial" w:hAnsi="Arial" w:cs="Arial"/>
          <w:b/>
          <w:bCs/>
          <w:sz w:val="20"/>
          <w:szCs w:val="20"/>
        </w:rPr>
        <w:t>estados contables separados</w:t>
      </w:r>
      <w:r w:rsidRPr="00AC4AEA">
        <w:rPr>
          <w:rFonts w:ascii="Arial" w:hAnsi="Arial" w:cs="Arial"/>
          <w:sz w:val="20"/>
          <w:szCs w:val="20"/>
        </w:rPr>
        <w:t xml:space="preserve"> o</w:t>
      </w:r>
      <w:r w:rsidR="00AD1C6A" w:rsidRPr="00AC4AEA">
        <w:rPr>
          <w:rFonts w:ascii="Arial" w:hAnsi="Arial" w:cs="Arial"/>
          <w:sz w:val="20"/>
          <w:szCs w:val="20"/>
        </w:rPr>
        <w:t xml:space="preserve"> en los </w:t>
      </w:r>
      <w:r w:rsidR="00AD1C6A" w:rsidRPr="00AC4AEA">
        <w:rPr>
          <w:rFonts w:ascii="Arial" w:hAnsi="Arial" w:cs="Arial"/>
          <w:b/>
          <w:bCs/>
          <w:sz w:val="20"/>
          <w:szCs w:val="20"/>
        </w:rPr>
        <w:t>estados contables</w:t>
      </w:r>
      <w:r w:rsidRPr="00AC4AEA">
        <w:rPr>
          <w:rFonts w:ascii="Arial" w:hAnsi="Arial" w:cs="Arial"/>
          <w:b/>
          <w:bCs/>
          <w:sz w:val="20"/>
          <w:szCs w:val="20"/>
        </w:rPr>
        <w:t xml:space="preserve"> individuales</w:t>
      </w:r>
      <w:r w:rsidRPr="00AC4AEA">
        <w:rPr>
          <w:rFonts w:ascii="Arial" w:hAnsi="Arial" w:cs="Arial"/>
          <w:sz w:val="20"/>
          <w:szCs w:val="20"/>
        </w:rPr>
        <w:t xml:space="preserve"> de las </w:t>
      </w:r>
      <w:r w:rsidR="00F86F4E" w:rsidRPr="00AC4AEA">
        <w:rPr>
          <w:rFonts w:ascii="Arial" w:hAnsi="Arial" w:cs="Arial"/>
          <w:sz w:val="20"/>
          <w:szCs w:val="20"/>
        </w:rPr>
        <w:t>entidades,</w:t>
      </w:r>
      <w:r w:rsidRPr="00AC4AEA">
        <w:rPr>
          <w:rFonts w:ascii="Arial" w:hAnsi="Arial" w:cs="Arial"/>
          <w:sz w:val="20"/>
          <w:szCs w:val="20"/>
        </w:rPr>
        <w:t xml:space="preserve"> pero no en los </w:t>
      </w:r>
      <w:r w:rsidRPr="00AC4AEA">
        <w:rPr>
          <w:rFonts w:ascii="Arial" w:hAnsi="Arial" w:cs="Arial"/>
          <w:b/>
          <w:bCs/>
          <w:sz w:val="20"/>
          <w:szCs w:val="20"/>
        </w:rPr>
        <w:t xml:space="preserve">estados </w:t>
      </w:r>
      <w:r w:rsidRPr="00AC4AEA">
        <w:rPr>
          <w:rFonts w:ascii="Arial" w:hAnsi="Arial" w:cs="Arial"/>
          <w:b/>
          <w:bCs/>
          <w:sz w:val="20"/>
          <w:szCs w:val="20"/>
        </w:rPr>
        <w:lastRenderedPageBreak/>
        <w:t>contables consolidados</w:t>
      </w:r>
      <w:r w:rsidRPr="00AC4AEA">
        <w:rPr>
          <w:rFonts w:ascii="Arial" w:hAnsi="Arial" w:cs="Arial"/>
          <w:sz w:val="20"/>
          <w:szCs w:val="20"/>
        </w:rPr>
        <w:t xml:space="preserve"> del grupo</w:t>
      </w:r>
      <w:r w:rsidR="00AD1C6A" w:rsidRPr="00AC4AEA">
        <w:rPr>
          <w:rFonts w:ascii="Arial" w:hAnsi="Arial" w:cs="Arial"/>
          <w:sz w:val="20"/>
          <w:szCs w:val="20"/>
        </w:rPr>
        <w:t>, a excepción de lo establecido en el siguiente párrafo</w:t>
      </w:r>
      <w:r w:rsidRPr="00AC4AEA">
        <w:rPr>
          <w:rFonts w:ascii="Arial" w:hAnsi="Arial" w:cs="Arial"/>
          <w:sz w:val="20"/>
          <w:szCs w:val="20"/>
        </w:rPr>
        <w:t>.</w:t>
      </w:r>
      <w:r w:rsidR="00AD1C6A" w:rsidRPr="00AC4AEA">
        <w:rPr>
          <w:rFonts w:ascii="Arial" w:hAnsi="Arial" w:cs="Arial"/>
          <w:sz w:val="20"/>
          <w:szCs w:val="20"/>
        </w:rPr>
        <w:t xml:space="preserve"> </w:t>
      </w:r>
    </w:p>
    <w:p w:rsidR="00F86F4E" w:rsidRPr="00AC4AEA" w:rsidRDefault="00AD1C6A" w:rsidP="00C01B25">
      <w:pPr>
        <w:numPr>
          <w:ilvl w:val="0"/>
          <w:numId w:val="719"/>
        </w:numPr>
        <w:spacing w:after="143" w:line="247" w:lineRule="auto"/>
        <w:ind w:left="937" w:hanging="536"/>
        <w:jc w:val="both"/>
        <w:rPr>
          <w:rFonts w:ascii="Arial" w:hAnsi="Arial" w:cs="Arial"/>
          <w:sz w:val="20"/>
          <w:szCs w:val="20"/>
        </w:rPr>
      </w:pPr>
      <w:bookmarkStart w:id="1239" w:name="_Ref135606304"/>
      <w:r w:rsidRPr="00AC4AEA">
        <w:rPr>
          <w:rFonts w:ascii="Arial" w:hAnsi="Arial" w:cs="Arial"/>
          <w:sz w:val="20"/>
          <w:szCs w:val="20"/>
        </w:rPr>
        <w:t>U</w:t>
      </w:r>
      <w:r w:rsidR="00D9600D" w:rsidRPr="00AC4AEA">
        <w:rPr>
          <w:rFonts w:ascii="Arial" w:hAnsi="Arial" w:cs="Arial"/>
          <w:sz w:val="20"/>
          <w:szCs w:val="20"/>
        </w:rPr>
        <w:t xml:space="preserve">na entidad podrá cubrir </w:t>
      </w:r>
      <w:r w:rsidR="00F86F4E" w:rsidRPr="00AC4AEA">
        <w:rPr>
          <w:rFonts w:ascii="Arial" w:hAnsi="Arial" w:cs="Arial"/>
          <w:sz w:val="20"/>
          <w:szCs w:val="20"/>
        </w:rPr>
        <w:t xml:space="preserve">el riesgo de </w:t>
      </w:r>
      <w:r w:rsidRPr="00AC4AEA">
        <w:rPr>
          <w:rFonts w:ascii="Arial" w:hAnsi="Arial" w:cs="Arial"/>
          <w:sz w:val="20"/>
          <w:szCs w:val="20"/>
        </w:rPr>
        <w:t>tipo</w:t>
      </w:r>
      <w:r w:rsidR="00F86F4E" w:rsidRPr="00AC4AEA">
        <w:rPr>
          <w:rFonts w:ascii="Arial" w:hAnsi="Arial" w:cs="Arial"/>
          <w:sz w:val="20"/>
          <w:szCs w:val="20"/>
        </w:rPr>
        <w:t xml:space="preserve"> de cambio de la </w:t>
      </w:r>
      <w:r w:rsidR="00F86F4E" w:rsidRPr="002B0F58">
        <w:rPr>
          <w:rFonts w:ascii="Arial" w:hAnsi="Arial" w:cs="Arial"/>
          <w:b/>
          <w:bCs/>
          <w:sz w:val="20"/>
          <w:szCs w:val="20"/>
        </w:rPr>
        <w:t>moneda extranjera</w:t>
      </w:r>
      <w:r w:rsidR="00F86F4E" w:rsidRPr="00AC4AEA">
        <w:rPr>
          <w:rFonts w:ascii="Arial" w:hAnsi="Arial" w:cs="Arial"/>
          <w:sz w:val="20"/>
          <w:szCs w:val="20"/>
        </w:rPr>
        <w:t xml:space="preserve"> de </w:t>
      </w:r>
      <w:r w:rsidR="00D964EC" w:rsidRPr="00AC4AEA">
        <w:rPr>
          <w:rFonts w:ascii="Arial" w:hAnsi="Arial" w:cs="Arial"/>
          <w:sz w:val="20"/>
          <w:szCs w:val="20"/>
        </w:rPr>
        <w:t>cuentas por cobrar o pagar en moneda</w:t>
      </w:r>
      <w:r w:rsidR="00F86F4E" w:rsidRPr="00AC4AEA">
        <w:rPr>
          <w:rFonts w:ascii="Arial" w:hAnsi="Arial" w:cs="Arial"/>
          <w:sz w:val="20"/>
          <w:szCs w:val="20"/>
        </w:rPr>
        <w:t xml:space="preserve"> intragrupo (por ejemplo, una partida por cobrar o pagar entre dos subsidiarias) en los </w:t>
      </w:r>
      <w:r w:rsidR="00F86F4E" w:rsidRPr="00AC4AEA">
        <w:rPr>
          <w:rFonts w:ascii="Arial" w:hAnsi="Arial" w:cs="Arial"/>
          <w:b/>
          <w:bCs/>
          <w:sz w:val="20"/>
          <w:szCs w:val="20"/>
        </w:rPr>
        <w:t xml:space="preserve">estados </w:t>
      </w:r>
      <w:r w:rsidR="00D9600D" w:rsidRPr="00AC4AEA">
        <w:rPr>
          <w:rFonts w:ascii="Arial" w:hAnsi="Arial" w:cs="Arial"/>
          <w:b/>
          <w:bCs/>
          <w:sz w:val="20"/>
          <w:szCs w:val="20"/>
        </w:rPr>
        <w:t>contables</w:t>
      </w:r>
      <w:r w:rsidR="00F86F4E" w:rsidRPr="00AC4AEA">
        <w:rPr>
          <w:rFonts w:ascii="Arial" w:hAnsi="Arial" w:cs="Arial"/>
          <w:b/>
          <w:bCs/>
          <w:sz w:val="20"/>
          <w:szCs w:val="20"/>
        </w:rPr>
        <w:t xml:space="preserve"> consolidados</w:t>
      </w:r>
      <w:r w:rsidR="00F86F4E" w:rsidRPr="00AC4AEA">
        <w:rPr>
          <w:rFonts w:ascii="Arial" w:hAnsi="Arial" w:cs="Arial"/>
          <w:sz w:val="20"/>
          <w:szCs w:val="20"/>
        </w:rPr>
        <w:t xml:space="preserve"> si provoca una exposición a las ganancias o pérdidas por </w:t>
      </w:r>
      <w:r w:rsidR="00F24D21" w:rsidRPr="00AC4AEA">
        <w:rPr>
          <w:rFonts w:ascii="Arial" w:hAnsi="Arial" w:cs="Arial"/>
          <w:sz w:val="20"/>
          <w:szCs w:val="20"/>
        </w:rPr>
        <w:t xml:space="preserve">movimientos en el </w:t>
      </w:r>
      <w:r w:rsidR="00F24D21" w:rsidRPr="00AC4AEA">
        <w:rPr>
          <w:rFonts w:ascii="Arial" w:hAnsi="Arial" w:cs="Arial"/>
          <w:b/>
          <w:bCs/>
          <w:sz w:val="20"/>
          <w:szCs w:val="20"/>
        </w:rPr>
        <w:t>tipo</w:t>
      </w:r>
      <w:r w:rsidR="00F86F4E" w:rsidRPr="00AC4AEA">
        <w:rPr>
          <w:rFonts w:ascii="Arial" w:hAnsi="Arial" w:cs="Arial"/>
          <w:b/>
          <w:bCs/>
          <w:sz w:val="20"/>
          <w:szCs w:val="20"/>
        </w:rPr>
        <w:t xml:space="preserve"> de cambio</w:t>
      </w:r>
      <w:r w:rsidR="00F86F4E" w:rsidRPr="00AC4AEA">
        <w:rPr>
          <w:rFonts w:ascii="Arial" w:hAnsi="Arial" w:cs="Arial"/>
          <w:sz w:val="20"/>
          <w:szCs w:val="20"/>
        </w:rPr>
        <w:t xml:space="preserve"> que no son completamente eliminadas en la consolidación.</w:t>
      </w:r>
      <w:bookmarkEnd w:id="1239"/>
      <w:r w:rsidR="00F86F4E" w:rsidRPr="00AC4AEA">
        <w:rPr>
          <w:rFonts w:ascii="Arial" w:hAnsi="Arial" w:cs="Arial"/>
          <w:sz w:val="20"/>
          <w:szCs w:val="20"/>
        </w:rPr>
        <w:t xml:space="preserve"> </w:t>
      </w:r>
    </w:p>
    <w:p w:rsidR="00A635FA" w:rsidRPr="00AC4AEA" w:rsidRDefault="00A635FA" w:rsidP="00A635FA">
      <w:pPr>
        <w:spacing w:after="143" w:line="247" w:lineRule="auto"/>
        <w:ind w:left="937"/>
        <w:jc w:val="both"/>
        <w:rPr>
          <w:rFonts w:ascii="Arial" w:hAnsi="Arial" w:cs="Arial"/>
          <w:sz w:val="20"/>
          <w:szCs w:val="20"/>
        </w:rPr>
      </w:pPr>
    </w:p>
    <w:p w:rsidR="00A635FA" w:rsidRPr="00AC4AEA" w:rsidRDefault="00A635FA" w:rsidP="00A635FA">
      <w:pPr>
        <w:pStyle w:val="Ttulo3"/>
      </w:pPr>
      <w:bookmarkStart w:id="1240" w:name="_Toc139357061"/>
      <w:r w:rsidRPr="00AC4AEA">
        <w:t>Requisitos de eficacia de la cobertura</w:t>
      </w:r>
      <w:bookmarkEnd w:id="1240"/>
    </w:p>
    <w:p w:rsidR="00121957" w:rsidRPr="00AC4AEA" w:rsidRDefault="00121957" w:rsidP="00C01B25">
      <w:pPr>
        <w:numPr>
          <w:ilvl w:val="0"/>
          <w:numId w:val="719"/>
        </w:numPr>
        <w:spacing w:after="143" w:line="247" w:lineRule="auto"/>
        <w:ind w:left="937" w:hanging="536"/>
        <w:jc w:val="both"/>
        <w:rPr>
          <w:rFonts w:ascii="Arial" w:hAnsi="Arial" w:cs="Arial"/>
          <w:sz w:val="20"/>
          <w:szCs w:val="20"/>
        </w:rPr>
      </w:pPr>
      <w:bookmarkStart w:id="1241" w:name="_Ref135607836"/>
      <w:r w:rsidRPr="00AC4AEA">
        <w:rPr>
          <w:rFonts w:ascii="Arial" w:hAnsi="Arial" w:cs="Arial"/>
          <w:sz w:val="20"/>
          <w:szCs w:val="20"/>
        </w:rPr>
        <w:t xml:space="preserve">Una entidad </w:t>
      </w:r>
      <w:r w:rsidR="001C2B31" w:rsidRPr="00AC4AEA">
        <w:rPr>
          <w:rFonts w:ascii="Arial" w:hAnsi="Arial" w:cs="Arial"/>
          <w:sz w:val="20"/>
          <w:szCs w:val="20"/>
        </w:rPr>
        <w:t>considerará que una relación de cobertura es eficaz si cumple todos los requisitos siguientes</w:t>
      </w:r>
      <w:r w:rsidRPr="00AC4AEA">
        <w:rPr>
          <w:rFonts w:ascii="Arial" w:hAnsi="Arial" w:cs="Arial"/>
          <w:sz w:val="20"/>
          <w:szCs w:val="20"/>
        </w:rPr>
        <w:t>:</w:t>
      </w:r>
      <w:bookmarkEnd w:id="1241"/>
      <w:r w:rsidR="006F2C57">
        <w:rPr>
          <w:rFonts w:ascii="Arial" w:hAnsi="Arial" w:cs="Arial"/>
          <w:sz w:val="20"/>
          <w:szCs w:val="20"/>
        </w:rPr>
        <w:t xml:space="preserve"> </w:t>
      </w:r>
    </w:p>
    <w:p w:rsidR="00121957" w:rsidRPr="00AC4AEA" w:rsidRDefault="00121957"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existe una relación económica entre la partida cubierta y el instrumento de cobertura; </w:t>
      </w:r>
    </w:p>
    <w:p w:rsidR="00121957" w:rsidRPr="00AC4AEA" w:rsidRDefault="00121957"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el efecto del riesgo crediticio no predomina sobre los cambios de valor que proceden de esa relación económica; y </w:t>
      </w:r>
    </w:p>
    <w:p w:rsidR="00121957" w:rsidRPr="00AC4AEA" w:rsidRDefault="00121957"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la razón de cobertura es la misma que la procedente de la cantidad de la partida cubierta y la cantidad del instrumento de cobertura que es realmente utilizado para cubrir dicha cantidad de la partida cubierta. Sin embargo, dicha designación no reflejará un desequilibrio entre las ponderaciones de la partida cubierta y el instrumento de cobertura que crearía una ineficacia de la cobertura (independientemente de si está reconocida o no) que podría dar lugar a un resultado contable que sería incongruente con el propósito de la contabilidad de coberturas.</w:t>
      </w:r>
      <w:r w:rsidR="006F2C57">
        <w:rPr>
          <w:rFonts w:ascii="Arial" w:hAnsi="Arial" w:cs="Arial"/>
          <w:sz w:val="20"/>
          <w:szCs w:val="20"/>
        </w:rPr>
        <w:t xml:space="preserve"> </w:t>
      </w:r>
    </w:p>
    <w:p w:rsidR="00121957" w:rsidRPr="00AC4AEA" w:rsidRDefault="00121957" w:rsidP="00C01B25">
      <w:pPr>
        <w:numPr>
          <w:ilvl w:val="0"/>
          <w:numId w:val="719"/>
        </w:numPr>
        <w:spacing w:after="143" w:line="247" w:lineRule="auto"/>
        <w:ind w:left="937" w:hanging="536"/>
        <w:jc w:val="both"/>
        <w:rPr>
          <w:rFonts w:ascii="Arial" w:hAnsi="Arial" w:cs="Arial"/>
          <w:sz w:val="20"/>
          <w:szCs w:val="20"/>
        </w:rPr>
      </w:pPr>
      <w:r w:rsidRPr="00AC4AEA">
        <w:rPr>
          <w:rFonts w:ascii="Arial" w:hAnsi="Arial" w:cs="Arial"/>
          <w:sz w:val="20"/>
          <w:szCs w:val="20"/>
        </w:rPr>
        <w:t>Una entidad evaluará la eficacia de la cobertura</w:t>
      </w:r>
      <w:r w:rsidR="006F2C57">
        <w:rPr>
          <w:rFonts w:ascii="Arial" w:hAnsi="Arial" w:cs="Arial"/>
          <w:sz w:val="20"/>
          <w:szCs w:val="20"/>
        </w:rPr>
        <w:t xml:space="preserve"> </w:t>
      </w:r>
    </w:p>
    <w:p w:rsidR="00121957" w:rsidRPr="00AC4AEA" w:rsidRDefault="00121957"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 xml:space="preserve">cada vez que se produzcan cambios significativos en las circunstancias que afectan los requerimientos de la eficacia de la cobertura; o </w:t>
      </w:r>
    </w:p>
    <w:p w:rsidR="00121957" w:rsidRPr="00AC4AEA" w:rsidRDefault="00121957"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 xml:space="preserve">a la </w:t>
      </w:r>
      <w:r w:rsidRPr="00AC4AEA">
        <w:rPr>
          <w:rFonts w:ascii="Arial" w:hAnsi="Arial" w:cs="Arial"/>
          <w:b/>
          <w:bCs/>
          <w:sz w:val="20"/>
          <w:szCs w:val="20"/>
        </w:rPr>
        <w:t>fecha de los estados contables</w:t>
      </w:r>
      <w:r w:rsidRPr="00AC4AEA">
        <w:rPr>
          <w:rFonts w:ascii="Arial" w:hAnsi="Arial" w:cs="Arial"/>
          <w:sz w:val="20"/>
          <w:szCs w:val="20"/>
        </w:rPr>
        <w:t xml:space="preserve">, cuando no se cumplen las condiciones del inciso anterior. </w:t>
      </w:r>
    </w:p>
    <w:p w:rsidR="00121957" w:rsidRPr="00AC4AEA" w:rsidRDefault="00121957" w:rsidP="00C01B25">
      <w:pPr>
        <w:numPr>
          <w:ilvl w:val="0"/>
          <w:numId w:val="719"/>
        </w:numPr>
        <w:spacing w:after="143" w:line="247" w:lineRule="auto"/>
        <w:ind w:left="937" w:hanging="536"/>
        <w:jc w:val="both"/>
        <w:rPr>
          <w:rFonts w:ascii="Arial" w:hAnsi="Arial" w:cs="Arial"/>
          <w:sz w:val="20"/>
          <w:szCs w:val="20"/>
        </w:rPr>
      </w:pPr>
      <w:r w:rsidRPr="00AC4AEA">
        <w:rPr>
          <w:rFonts w:ascii="Arial" w:hAnsi="Arial" w:cs="Arial"/>
          <w:sz w:val="20"/>
          <w:szCs w:val="20"/>
        </w:rPr>
        <w:t xml:space="preserve">A los fines de medir la ineficacia de la cobertura, una entidad considerará el valor temporal del dinero. </w:t>
      </w:r>
    </w:p>
    <w:p w:rsidR="005A0ABF" w:rsidRPr="00AC4AEA" w:rsidRDefault="005A0ABF" w:rsidP="00C01B25">
      <w:pPr>
        <w:numPr>
          <w:ilvl w:val="0"/>
          <w:numId w:val="719"/>
        </w:numPr>
        <w:spacing w:after="143" w:line="247" w:lineRule="auto"/>
        <w:ind w:left="937" w:hanging="536"/>
        <w:jc w:val="both"/>
        <w:rPr>
          <w:rFonts w:ascii="Arial" w:hAnsi="Arial" w:cs="Arial"/>
          <w:sz w:val="20"/>
          <w:szCs w:val="20"/>
        </w:rPr>
      </w:pPr>
      <w:r w:rsidRPr="00AC4AEA">
        <w:rPr>
          <w:rFonts w:ascii="Arial" w:hAnsi="Arial" w:cs="Arial"/>
          <w:sz w:val="20"/>
          <w:szCs w:val="20"/>
        </w:rPr>
        <w:t xml:space="preserve">Si una relación de cobertura deja de cumplir el requerimiento de eficacia de la cobertura relativo a la razón de cobertura, pero el objetivo de gestión de riesgos para esa relación de cobertura designada se mantiene invariable, una entidad ajustará la razón de cobertura de la relación de cobertura de forma que cumpla de nuevo los criterios requeridos (a esto se hace referencia en esta </w:t>
      </w:r>
      <w:r w:rsidR="00830E92" w:rsidRPr="00AC4AEA">
        <w:rPr>
          <w:rFonts w:ascii="Arial" w:hAnsi="Arial" w:cs="Arial"/>
          <w:sz w:val="20"/>
          <w:szCs w:val="20"/>
        </w:rPr>
        <w:t>sección</w:t>
      </w:r>
      <w:r w:rsidRPr="00AC4AEA">
        <w:rPr>
          <w:rFonts w:ascii="Arial" w:hAnsi="Arial" w:cs="Arial"/>
          <w:sz w:val="20"/>
          <w:szCs w:val="20"/>
        </w:rPr>
        <w:t xml:space="preserve"> como “reequilibrio</w:t>
      </w:r>
      <w:r w:rsidR="00830E92" w:rsidRPr="00AC4AEA">
        <w:rPr>
          <w:rFonts w:ascii="Arial" w:hAnsi="Arial" w:cs="Arial"/>
          <w:sz w:val="20"/>
          <w:szCs w:val="20"/>
        </w:rPr>
        <w:t xml:space="preserve"> de la cobertura”).</w:t>
      </w:r>
    </w:p>
    <w:p w:rsidR="00F50216" w:rsidRPr="00AC4AEA" w:rsidRDefault="00F50216" w:rsidP="00C01B25">
      <w:pPr>
        <w:numPr>
          <w:ilvl w:val="0"/>
          <w:numId w:val="719"/>
        </w:numPr>
        <w:spacing w:after="143" w:line="247" w:lineRule="auto"/>
        <w:ind w:left="937" w:hanging="536"/>
        <w:jc w:val="both"/>
        <w:rPr>
          <w:rFonts w:ascii="Arial" w:hAnsi="Arial" w:cs="Arial"/>
          <w:sz w:val="20"/>
          <w:szCs w:val="20"/>
        </w:rPr>
      </w:pPr>
      <w:r w:rsidRPr="00AC4AEA">
        <w:rPr>
          <w:rFonts w:ascii="Arial" w:hAnsi="Arial" w:cs="Arial"/>
          <w:sz w:val="20"/>
          <w:szCs w:val="20"/>
        </w:rPr>
        <w:t>Una entidad:</w:t>
      </w:r>
    </w:p>
    <w:p w:rsidR="0019607A" w:rsidRPr="00AC4AEA" w:rsidRDefault="00F50216"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 xml:space="preserve">Contabilizará el reequilibrio como una continuación de la relación de cobertura. </w:t>
      </w:r>
    </w:p>
    <w:p w:rsidR="00F50216" w:rsidRPr="00AC4AEA" w:rsidRDefault="00F50216"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 xml:space="preserve">En el momento del reequilibrio, </w:t>
      </w:r>
      <w:r w:rsidR="009C529A" w:rsidRPr="00AC4AEA">
        <w:rPr>
          <w:rFonts w:ascii="Arial" w:hAnsi="Arial" w:cs="Arial"/>
          <w:sz w:val="20"/>
          <w:szCs w:val="20"/>
        </w:rPr>
        <w:t xml:space="preserve">determinará y reconocerá de forma inmediata </w:t>
      </w:r>
      <w:r w:rsidRPr="00AC4AEA">
        <w:rPr>
          <w:rFonts w:ascii="Arial" w:hAnsi="Arial" w:cs="Arial"/>
          <w:sz w:val="20"/>
          <w:szCs w:val="20"/>
        </w:rPr>
        <w:t>la ineficacia de cobertura de la relación de cobertura de forma inmediata antes de ajustar la relación de cobertura.</w:t>
      </w:r>
    </w:p>
    <w:p w:rsidR="00830E92" w:rsidRPr="00AC4AEA" w:rsidRDefault="007345D7" w:rsidP="00C01B25">
      <w:pPr>
        <w:numPr>
          <w:ilvl w:val="0"/>
          <w:numId w:val="719"/>
        </w:numPr>
        <w:spacing w:after="143" w:line="247" w:lineRule="auto"/>
        <w:ind w:left="937" w:hanging="536"/>
        <w:jc w:val="both"/>
        <w:rPr>
          <w:rFonts w:ascii="Arial" w:hAnsi="Arial" w:cs="Arial"/>
          <w:sz w:val="20"/>
          <w:szCs w:val="20"/>
        </w:rPr>
      </w:pPr>
      <w:bookmarkStart w:id="1242" w:name="_Ref135607839"/>
      <w:r w:rsidRPr="00AC4AEA">
        <w:rPr>
          <w:rFonts w:ascii="Arial" w:hAnsi="Arial" w:cs="Arial"/>
          <w:sz w:val="20"/>
          <w:szCs w:val="20"/>
        </w:rPr>
        <w:t>Una entidad discontinuará la contabilidad de coberturas de forma prospectiva</w:t>
      </w:r>
      <w:r w:rsidR="00174D43" w:rsidRPr="00AC4AEA">
        <w:rPr>
          <w:rFonts w:ascii="Arial" w:hAnsi="Arial" w:cs="Arial"/>
          <w:sz w:val="20"/>
          <w:szCs w:val="20"/>
        </w:rPr>
        <w:t xml:space="preserve"> </w:t>
      </w:r>
      <w:r w:rsidRPr="00AC4AEA">
        <w:rPr>
          <w:rFonts w:ascii="Arial" w:hAnsi="Arial" w:cs="Arial"/>
          <w:sz w:val="20"/>
          <w:szCs w:val="20"/>
        </w:rPr>
        <w:t xml:space="preserve">solo cuando la relación de cobertura (o una parte de una relación de cobertura) deje de </w:t>
      </w:r>
      <w:r w:rsidRPr="00AC4AEA">
        <w:rPr>
          <w:rFonts w:ascii="Arial" w:hAnsi="Arial" w:cs="Arial"/>
          <w:sz w:val="20"/>
          <w:szCs w:val="20"/>
        </w:rPr>
        <w:lastRenderedPageBreak/>
        <w:t>cumplir los criterios requeridos (después de tener en cuenta cualquier reequilibrio de la relación de cobertura, si procede).</w:t>
      </w:r>
      <w:bookmarkEnd w:id="1242"/>
    </w:p>
    <w:p w:rsidR="00CD54C6" w:rsidRPr="00AC4AEA" w:rsidRDefault="00CD54C6" w:rsidP="00CD54C6">
      <w:pPr>
        <w:spacing w:after="143" w:line="247" w:lineRule="auto"/>
        <w:ind w:left="401"/>
        <w:jc w:val="both"/>
        <w:rPr>
          <w:rFonts w:ascii="Arial" w:hAnsi="Arial" w:cs="Arial"/>
          <w:sz w:val="20"/>
          <w:szCs w:val="20"/>
        </w:rPr>
      </w:pPr>
    </w:p>
    <w:p w:rsidR="00CD54C6" w:rsidRPr="00AC4AEA" w:rsidRDefault="001B6384" w:rsidP="00CD54C6">
      <w:pPr>
        <w:pStyle w:val="Ttulo3"/>
      </w:pPr>
      <w:bookmarkStart w:id="1243" w:name="_Toc139357062"/>
      <w:r w:rsidRPr="00AC4AEA">
        <w:t>Contabilización de los distintos tipos de r</w:t>
      </w:r>
      <w:r w:rsidR="00CD54C6" w:rsidRPr="00AC4AEA">
        <w:t>elaciones de cobertura</w:t>
      </w:r>
      <w:bookmarkEnd w:id="1243"/>
    </w:p>
    <w:p w:rsidR="00CD54C6" w:rsidRPr="00AC4AEA" w:rsidRDefault="001B6384" w:rsidP="00C01B25">
      <w:pPr>
        <w:numPr>
          <w:ilvl w:val="0"/>
          <w:numId w:val="719"/>
        </w:numPr>
        <w:spacing w:after="143" w:line="247" w:lineRule="auto"/>
        <w:ind w:left="937" w:hanging="536"/>
        <w:jc w:val="both"/>
        <w:rPr>
          <w:rFonts w:ascii="Arial" w:hAnsi="Arial" w:cs="Arial"/>
          <w:sz w:val="20"/>
          <w:szCs w:val="20"/>
        </w:rPr>
      </w:pPr>
      <w:bookmarkStart w:id="1244" w:name="_Ref135611739"/>
      <w:r w:rsidRPr="00AC4AEA">
        <w:rPr>
          <w:rFonts w:ascii="Arial" w:hAnsi="Arial" w:cs="Arial"/>
          <w:sz w:val="20"/>
          <w:szCs w:val="20"/>
        </w:rPr>
        <w:t>Una entidad contabilizará una relación de cobertura de la siguiente manera</w:t>
      </w:r>
      <w:r w:rsidR="00CD54C6" w:rsidRPr="00AC4AEA">
        <w:rPr>
          <w:rFonts w:ascii="Arial" w:hAnsi="Arial" w:cs="Arial"/>
          <w:sz w:val="20"/>
          <w:szCs w:val="20"/>
        </w:rPr>
        <w:t>:</w:t>
      </w:r>
      <w:bookmarkEnd w:id="1244"/>
    </w:p>
    <w:p w:rsidR="00CD54C6" w:rsidRPr="00AC4AEA" w:rsidRDefault="00CD54C6"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 xml:space="preserve">Cobertura del </w:t>
      </w:r>
      <w:r w:rsidRPr="00050219">
        <w:rPr>
          <w:rFonts w:ascii="Arial" w:hAnsi="Arial" w:cs="Arial"/>
          <w:b/>
          <w:bCs/>
          <w:sz w:val="20"/>
          <w:szCs w:val="20"/>
        </w:rPr>
        <w:t>valor razonable</w:t>
      </w:r>
      <w:r w:rsidR="001B6384" w:rsidRPr="00AC4AEA">
        <w:rPr>
          <w:rFonts w:ascii="Arial" w:hAnsi="Arial" w:cs="Arial"/>
          <w:sz w:val="20"/>
          <w:szCs w:val="20"/>
        </w:rPr>
        <w:t xml:space="preserve"> </w:t>
      </w:r>
      <w:r w:rsidR="00C8083C" w:rsidRPr="00AC4AEA">
        <w:rPr>
          <w:rFonts w:ascii="Arial" w:hAnsi="Arial" w:cs="Arial"/>
          <w:sz w:val="20"/>
          <w:szCs w:val="20"/>
        </w:rPr>
        <w:t>cuya partida cubierta es</w:t>
      </w:r>
      <w:r w:rsidR="001B6384" w:rsidRPr="00AC4AEA">
        <w:rPr>
          <w:rFonts w:ascii="Arial" w:hAnsi="Arial" w:cs="Arial"/>
          <w:sz w:val="20"/>
          <w:szCs w:val="20"/>
        </w:rPr>
        <w:t xml:space="preserve"> un </w:t>
      </w:r>
      <w:r w:rsidR="001B6384" w:rsidRPr="00AC4AEA">
        <w:rPr>
          <w:rFonts w:ascii="Arial" w:hAnsi="Arial" w:cs="Arial"/>
          <w:b/>
          <w:bCs/>
          <w:sz w:val="20"/>
          <w:szCs w:val="20"/>
        </w:rPr>
        <w:t>activo</w:t>
      </w:r>
      <w:r w:rsidR="001B6384" w:rsidRPr="00AC4AEA">
        <w:rPr>
          <w:rFonts w:ascii="Arial" w:hAnsi="Arial" w:cs="Arial"/>
          <w:sz w:val="20"/>
          <w:szCs w:val="20"/>
        </w:rPr>
        <w:t xml:space="preserve"> o un </w:t>
      </w:r>
      <w:r w:rsidR="001B6384" w:rsidRPr="00AC4AEA">
        <w:rPr>
          <w:rFonts w:ascii="Arial" w:hAnsi="Arial" w:cs="Arial"/>
          <w:b/>
          <w:bCs/>
          <w:sz w:val="20"/>
          <w:szCs w:val="20"/>
        </w:rPr>
        <w:t>pasivo</w:t>
      </w:r>
      <w:r w:rsidR="001B6384" w:rsidRPr="00AC4AEA">
        <w:rPr>
          <w:rFonts w:ascii="Arial" w:hAnsi="Arial" w:cs="Arial"/>
          <w:sz w:val="20"/>
          <w:szCs w:val="20"/>
        </w:rPr>
        <w:t xml:space="preserve"> reconocido:</w:t>
      </w:r>
      <w:r w:rsidR="00C8083C" w:rsidRPr="00AC4AEA">
        <w:rPr>
          <w:rFonts w:ascii="Arial" w:hAnsi="Arial" w:cs="Arial"/>
          <w:sz w:val="20"/>
          <w:szCs w:val="20"/>
        </w:rPr>
        <w:t xml:space="preserve"> </w:t>
      </w:r>
    </w:p>
    <w:p w:rsidR="00B526D5" w:rsidRPr="00AC4AEA" w:rsidRDefault="005672CF"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Reconocerá u</w:t>
      </w:r>
      <w:r w:rsidR="00C8083C" w:rsidRPr="00AC4AEA">
        <w:rPr>
          <w:rFonts w:ascii="Arial" w:hAnsi="Arial" w:cs="Arial"/>
          <w:sz w:val="20"/>
          <w:szCs w:val="20"/>
        </w:rPr>
        <w:t>na partida por</w:t>
      </w:r>
      <w:r w:rsidR="00B526D5" w:rsidRPr="00AC4AEA">
        <w:rPr>
          <w:rFonts w:ascii="Arial" w:hAnsi="Arial" w:cs="Arial"/>
          <w:sz w:val="20"/>
          <w:szCs w:val="20"/>
        </w:rPr>
        <w:t xml:space="preserve"> la diferencia entre el valor en libros y el </w:t>
      </w:r>
      <w:r w:rsidR="00B526D5" w:rsidRPr="00AC4AEA">
        <w:rPr>
          <w:rFonts w:ascii="Arial" w:hAnsi="Arial" w:cs="Arial"/>
          <w:b/>
          <w:bCs/>
          <w:sz w:val="20"/>
          <w:szCs w:val="20"/>
        </w:rPr>
        <w:t>valor razonable</w:t>
      </w:r>
      <w:r w:rsidR="00B526D5" w:rsidRPr="00AC4AEA">
        <w:rPr>
          <w:rFonts w:ascii="Arial" w:hAnsi="Arial" w:cs="Arial"/>
          <w:sz w:val="20"/>
          <w:szCs w:val="20"/>
        </w:rPr>
        <w:t xml:space="preserve"> de la partida cubierta</w:t>
      </w:r>
      <w:r w:rsidR="009F23B3" w:rsidRPr="00AC4AEA">
        <w:rPr>
          <w:rFonts w:ascii="Arial" w:hAnsi="Arial" w:cs="Arial"/>
          <w:sz w:val="20"/>
          <w:szCs w:val="20"/>
        </w:rPr>
        <w:t>, con contrapartida en resultados.</w:t>
      </w:r>
    </w:p>
    <w:p w:rsidR="00C8083C" w:rsidRPr="00AC4AEA" w:rsidRDefault="005672CF"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Imputará l</w:t>
      </w:r>
      <w:r w:rsidR="00C8083C" w:rsidRPr="00AC4AEA">
        <w:rPr>
          <w:rFonts w:ascii="Arial" w:hAnsi="Arial" w:cs="Arial"/>
          <w:sz w:val="20"/>
          <w:szCs w:val="20"/>
        </w:rPr>
        <w:t>os cambios de</w:t>
      </w:r>
      <w:r w:rsidR="009F23B3" w:rsidRPr="00AC4AEA">
        <w:rPr>
          <w:rFonts w:ascii="Arial" w:hAnsi="Arial" w:cs="Arial"/>
          <w:sz w:val="20"/>
          <w:szCs w:val="20"/>
        </w:rPr>
        <w:t xml:space="preserve">l </w:t>
      </w:r>
      <w:r w:rsidR="009F23B3" w:rsidRPr="00AC4AEA">
        <w:rPr>
          <w:rFonts w:ascii="Arial" w:hAnsi="Arial" w:cs="Arial"/>
          <w:b/>
          <w:bCs/>
          <w:sz w:val="20"/>
          <w:szCs w:val="20"/>
        </w:rPr>
        <w:t>valor razonable</w:t>
      </w:r>
      <w:r w:rsidR="009F23B3" w:rsidRPr="00AC4AEA">
        <w:rPr>
          <w:rFonts w:ascii="Arial" w:hAnsi="Arial" w:cs="Arial"/>
          <w:sz w:val="20"/>
          <w:szCs w:val="20"/>
        </w:rPr>
        <w:t xml:space="preserve"> del</w:t>
      </w:r>
      <w:r w:rsidR="00C8083C" w:rsidRPr="00AC4AEA">
        <w:rPr>
          <w:rFonts w:ascii="Arial" w:hAnsi="Arial" w:cs="Arial"/>
          <w:sz w:val="20"/>
          <w:szCs w:val="20"/>
        </w:rPr>
        <w:t xml:space="preserve"> instrumento de cobertura en resultados.</w:t>
      </w:r>
    </w:p>
    <w:p w:rsidR="00C8083C" w:rsidRPr="00AC4AEA" w:rsidRDefault="00C8083C"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 xml:space="preserve">Cobertura del </w:t>
      </w:r>
      <w:r w:rsidRPr="00050219">
        <w:rPr>
          <w:rFonts w:ascii="Arial" w:hAnsi="Arial" w:cs="Arial"/>
          <w:b/>
          <w:bCs/>
          <w:sz w:val="20"/>
          <w:szCs w:val="20"/>
        </w:rPr>
        <w:t>valor razonable</w:t>
      </w:r>
      <w:r w:rsidRPr="00AC4AEA">
        <w:rPr>
          <w:rFonts w:ascii="Arial" w:hAnsi="Arial" w:cs="Arial"/>
          <w:sz w:val="20"/>
          <w:szCs w:val="20"/>
        </w:rPr>
        <w:t xml:space="preserve"> cuya partida cubierta es un compromiso en firme: </w:t>
      </w:r>
    </w:p>
    <w:p w:rsidR="00C8083C" w:rsidRPr="00AC4AEA" w:rsidRDefault="005672CF"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Reconocerá u</w:t>
      </w:r>
      <w:r w:rsidR="00C8083C" w:rsidRPr="00AC4AEA">
        <w:rPr>
          <w:rFonts w:ascii="Arial" w:hAnsi="Arial" w:cs="Arial"/>
          <w:sz w:val="20"/>
          <w:szCs w:val="20"/>
        </w:rPr>
        <w:t xml:space="preserve">na partida </w:t>
      </w:r>
      <w:r w:rsidR="009F23B3" w:rsidRPr="00AC4AEA">
        <w:rPr>
          <w:rFonts w:ascii="Arial" w:hAnsi="Arial" w:cs="Arial"/>
          <w:sz w:val="20"/>
          <w:szCs w:val="20"/>
        </w:rPr>
        <w:t>para representar los cambios en</w:t>
      </w:r>
      <w:r w:rsidR="00C8083C" w:rsidRPr="00AC4AEA">
        <w:rPr>
          <w:rFonts w:ascii="Arial" w:hAnsi="Arial" w:cs="Arial"/>
          <w:sz w:val="20"/>
          <w:szCs w:val="20"/>
        </w:rPr>
        <w:t xml:space="preserve"> el </w:t>
      </w:r>
      <w:r w:rsidR="00C8083C" w:rsidRPr="00AC4AEA">
        <w:rPr>
          <w:rFonts w:ascii="Arial" w:hAnsi="Arial" w:cs="Arial"/>
          <w:b/>
          <w:bCs/>
          <w:sz w:val="20"/>
          <w:szCs w:val="20"/>
        </w:rPr>
        <w:t>valor razonable</w:t>
      </w:r>
      <w:r w:rsidR="00C8083C" w:rsidRPr="00AC4AEA">
        <w:rPr>
          <w:rFonts w:ascii="Arial" w:hAnsi="Arial" w:cs="Arial"/>
          <w:sz w:val="20"/>
          <w:szCs w:val="20"/>
        </w:rPr>
        <w:t xml:space="preserve"> de</w:t>
      </w:r>
      <w:r w:rsidR="009F23B3" w:rsidRPr="00AC4AEA">
        <w:rPr>
          <w:rFonts w:ascii="Arial" w:hAnsi="Arial" w:cs="Arial"/>
          <w:sz w:val="20"/>
          <w:szCs w:val="20"/>
        </w:rPr>
        <w:t>l</w:t>
      </w:r>
      <w:r w:rsidR="00C8083C" w:rsidRPr="00AC4AEA">
        <w:rPr>
          <w:rFonts w:ascii="Arial" w:hAnsi="Arial" w:cs="Arial"/>
          <w:sz w:val="20"/>
          <w:szCs w:val="20"/>
        </w:rPr>
        <w:t xml:space="preserve"> </w:t>
      </w:r>
      <w:r w:rsidR="009F23B3" w:rsidRPr="00AC4AEA">
        <w:rPr>
          <w:rFonts w:ascii="Arial" w:hAnsi="Arial" w:cs="Arial"/>
          <w:sz w:val="20"/>
          <w:szCs w:val="20"/>
        </w:rPr>
        <w:t>compromiso en firme no reconocido contablemente, con contrapartida en resultados</w:t>
      </w:r>
      <w:r w:rsidR="00C8083C" w:rsidRPr="00AC4AEA">
        <w:rPr>
          <w:rFonts w:ascii="Arial" w:hAnsi="Arial" w:cs="Arial"/>
          <w:sz w:val="20"/>
          <w:szCs w:val="20"/>
        </w:rPr>
        <w:t>.</w:t>
      </w:r>
    </w:p>
    <w:p w:rsidR="00C8083C" w:rsidRPr="00AC4AEA" w:rsidRDefault="005672CF"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Imputará l</w:t>
      </w:r>
      <w:r w:rsidR="009F23B3" w:rsidRPr="00AC4AEA">
        <w:rPr>
          <w:rFonts w:ascii="Arial" w:hAnsi="Arial" w:cs="Arial"/>
          <w:sz w:val="20"/>
          <w:szCs w:val="20"/>
        </w:rPr>
        <w:t xml:space="preserve">os cambios del </w:t>
      </w:r>
      <w:r w:rsidR="009F23B3" w:rsidRPr="00AC4AEA">
        <w:rPr>
          <w:rFonts w:ascii="Arial" w:hAnsi="Arial" w:cs="Arial"/>
          <w:b/>
          <w:bCs/>
          <w:sz w:val="20"/>
          <w:szCs w:val="20"/>
        </w:rPr>
        <w:t>valor razonable</w:t>
      </w:r>
      <w:r w:rsidR="009F23B3" w:rsidRPr="00AC4AEA">
        <w:rPr>
          <w:rFonts w:ascii="Arial" w:hAnsi="Arial" w:cs="Arial"/>
          <w:sz w:val="20"/>
          <w:szCs w:val="20"/>
        </w:rPr>
        <w:t xml:space="preserve"> del instrumento de cobertura en resultados</w:t>
      </w:r>
      <w:r w:rsidR="00C8083C" w:rsidRPr="00AC4AEA">
        <w:rPr>
          <w:rFonts w:ascii="Arial" w:hAnsi="Arial" w:cs="Arial"/>
          <w:sz w:val="20"/>
          <w:szCs w:val="20"/>
        </w:rPr>
        <w:t>.</w:t>
      </w:r>
    </w:p>
    <w:p w:rsidR="00863617" w:rsidRPr="00AC4AEA" w:rsidRDefault="00BE49E6"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 xml:space="preserve">Cobertura de flujos de efectivo: </w:t>
      </w:r>
    </w:p>
    <w:p w:rsidR="00BD4B21" w:rsidRPr="00AC4AEA" w:rsidRDefault="00C3569B"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Calculará la reserva de cobertura de flujos de efectivo como un</w:t>
      </w:r>
      <w:r w:rsidR="00BD4B21" w:rsidRPr="00AC4AEA">
        <w:rPr>
          <w:rFonts w:ascii="Arial" w:hAnsi="Arial" w:cs="Arial"/>
          <w:sz w:val="20"/>
          <w:szCs w:val="20"/>
        </w:rPr>
        <w:t xml:space="preserve"> componente separado de patrimonio asociado con la partida cubierta </w:t>
      </w:r>
      <w:r w:rsidRPr="00AC4AEA">
        <w:rPr>
          <w:rFonts w:ascii="Arial" w:hAnsi="Arial" w:cs="Arial"/>
          <w:sz w:val="20"/>
          <w:szCs w:val="20"/>
        </w:rPr>
        <w:t>como el</w:t>
      </w:r>
      <w:r w:rsidR="00BD4B21" w:rsidRPr="00AC4AEA">
        <w:rPr>
          <w:rFonts w:ascii="Arial" w:hAnsi="Arial" w:cs="Arial"/>
          <w:sz w:val="20"/>
          <w:szCs w:val="20"/>
        </w:rPr>
        <w:t xml:space="preserve"> menor</w:t>
      </w:r>
      <w:r w:rsidRPr="00AC4AEA">
        <w:rPr>
          <w:rFonts w:ascii="Arial" w:hAnsi="Arial" w:cs="Arial"/>
          <w:sz w:val="20"/>
          <w:szCs w:val="20"/>
        </w:rPr>
        <w:t>,</w:t>
      </w:r>
      <w:r w:rsidR="00BD4B21" w:rsidRPr="00AC4AEA">
        <w:rPr>
          <w:rFonts w:ascii="Arial" w:hAnsi="Arial" w:cs="Arial"/>
          <w:sz w:val="20"/>
          <w:szCs w:val="20"/>
        </w:rPr>
        <w:t xml:space="preserve"> en términos absolutos</w:t>
      </w:r>
      <w:r w:rsidR="00EF7FA4" w:rsidRPr="00AC4AEA">
        <w:rPr>
          <w:rFonts w:ascii="Arial" w:hAnsi="Arial" w:cs="Arial"/>
          <w:sz w:val="20"/>
          <w:szCs w:val="20"/>
        </w:rPr>
        <w:t>, de</w:t>
      </w:r>
      <w:r w:rsidR="00BD4B21" w:rsidRPr="00AC4AEA">
        <w:rPr>
          <w:rFonts w:ascii="Arial" w:hAnsi="Arial" w:cs="Arial"/>
          <w:sz w:val="20"/>
          <w:szCs w:val="20"/>
        </w:rPr>
        <w:t>:</w:t>
      </w:r>
    </w:p>
    <w:p w:rsidR="00BD4B21" w:rsidRPr="00AC4AEA" w:rsidRDefault="00EF7FA4" w:rsidP="00C01B25">
      <w:pPr>
        <w:numPr>
          <w:ilvl w:val="3"/>
          <w:numId w:val="719"/>
        </w:numPr>
        <w:spacing w:after="147" w:line="264" w:lineRule="auto"/>
        <w:ind w:hanging="415"/>
        <w:jc w:val="both"/>
        <w:rPr>
          <w:rFonts w:ascii="Arial" w:hAnsi="Arial" w:cs="Arial"/>
          <w:sz w:val="20"/>
          <w:szCs w:val="20"/>
        </w:rPr>
      </w:pPr>
      <w:r w:rsidRPr="00AC4AEA">
        <w:rPr>
          <w:rFonts w:ascii="Arial" w:hAnsi="Arial" w:cs="Arial"/>
          <w:sz w:val="20"/>
          <w:szCs w:val="20"/>
        </w:rPr>
        <w:t>e</w:t>
      </w:r>
      <w:r w:rsidR="00BD4B21" w:rsidRPr="00AC4AEA">
        <w:rPr>
          <w:rFonts w:ascii="Arial" w:hAnsi="Arial" w:cs="Arial"/>
          <w:sz w:val="20"/>
          <w:szCs w:val="20"/>
        </w:rPr>
        <w:t>l resultado acumulado del instrumento de cobertura desde el inicio de la cobertura; y</w:t>
      </w:r>
    </w:p>
    <w:p w:rsidR="009F23B3" w:rsidRPr="00AC4AEA" w:rsidRDefault="00BD4B21" w:rsidP="00C01B25">
      <w:pPr>
        <w:numPr>
          <w:ilvl w:val="3"/>
          <w:numId w:val="719"/>
        </w:numPr>
        <w:spacing w:after="147" w:line="264" w:lineRule="auto"/>
        <w:ind w:hanging="415"/>
        <w:jc w:val="both"/>
        <w:rPr>
          <w:rFonts w:ascii="Arial" w:hAnsi="Arial" w:cs="Arial"/>
          <w:sz w:val="20"/>
          <w:szCs w:val="20"/>
        </w:rPr>
      </w:pPr>
      <w:r w:rsidRPr="00AC4AEA">
        <w:rPr>
          <w:rFonts w:ascii="Arial" w:hAnsi="Arial" w:cs="Arial"/>
          <w:sz w:val="20"/>
          <w:szCs w:val="20"/>
        </w:rPr>
        <w:t xml:space="preserve">el cambio acumulado en el </w:t>
      </w:r>
      <w:r w:rsidRPr="00AC4AEA">
        <w:rPr>
          <w:rFonts w:ascii="Arial" w:hAnsi="Arial" w:cs="Arial"/>
          <w:b/>
          <w:bCs/>
          <w:sz w:val="20"/>
          <w:szCs w:val="20"/>
        </w:rPr>
        <w:t>valor razonable</w:t>
      </w:r>
      <w:r w:rsidRPr="00AC4AEA">
        <w:rPr>
          <w:rFonts w:ascii="Arial" w:hAnsi="Arial" w:cs="Arial"/>
          <w:sz w:val="20"/>
          <w:szCs w:val="20"/>
        </w:rPr>
        <w:t xml:space="preserve"> de la partida cubierta (es decir, el valor presente del cambio acumulado en los flujos de efectivo futuros esperados cubiertos) desde el inicio de la cobertura.</w:t>
      </w:r>
      <w:r w:rsidR="00CE33A1" w:rsidRPr="00AC4AEA">
        <w:rPr>
          <w:rFonts w:ascii="Arial" w:hAnsi="Arial" w:cs="Arial"/>
          <w:sz w:val="20"/>
          <w:szCs w:val="20"/>
        </w:rPr>
        <w:t xml:space="preserve"> </w:t>
      </w:r>
    </w:p>
    <w:p w:rsidR="00EF7FA4" w:rsidRPr="00AC4AEA" w:rsidRDefault="00230A67"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Imputará</w:t>
      </w:r>
      <w:r w:rsidR="0048738A" w:rsidRPr="00AC4AEA">
        <w:rPr>
          <w:rFonts w:ascii="Arial" w:hAnsi="Arial" w:cs="Arial"/>
          <w:sz w:val="20"/>
          <w:szCs w:val="20"/>
        </w:rPr>
        <w:t xml:space="preserve"> l</w:t>
      </w:r>
      <w:r w:rsidR="001C5B19" w:rsidRPr="00AC4AEA">
        <w:rPr>
          <w:rFonts w:ascii="Arial" w:hAnsi="Arial" w:cs="Arial"/>
          <w:sz w:val="20"/>
          <w:szCs w:val="20"/>
        </w:rPr>
        <w:t xml:space="preserve">a parte de los cambios en el </w:t>
      </w:r>
      <w:r w:rsidR="001C5B19" w:rsidRPr="00AC4AEA">
        <w:rPr>
          <w:rFonts w:ascii="Arial" w:hAnsi="Arial" w:cs="Arial"/>
          <w:b/>
          <w:bCs/>
          <w:sz w:val="20"/>
          <w:szCs w:val="20"/>
        </w:rPr>
        <w:t>valor razonable</w:t>
      </w:r>
      <w:r w:rsidR="001C5B19" w:rsidRPr="00AC4AEA">
        <w:rPr>
          <w:rFonts w:ascii="Arial" w:hAnsi="Arial" w:cs="Arial"/>
          <w:sz w:val="20"/>
          <w:szCs w:val="20"/>
        </w:rPr>
        <w:t xml:space="preserve"> del instrumento de cobertura que se haya determinado como cobertura efectiva [es decir, la parte que se compensa por el cambio en la reserva de cobertura de flujos de efectivo calculada de acuerdo con (</w:t>
      </w:r>
      <w:r w:rsidR="00B922FD" w:rsidRPr="00AC4AEA">
        <w:rPr>
          <w:rFonts w:ascii="Arial" w:hAnsi="Arial" w:cs="Arial"/>
          <w:sz w:val="20"/>
          <w:szCs w:val="20"/>
        </w:rPr>
        <w:t>i</w:t>
      </w:r>
      <w:r w:rsidR="001C5B19" w:rsidRPr="00AC4AEA">
        <w:rPr>
          <w:rFonts w:ascii="Arial" w:hAnsi="Arial" w:cs="Arial"/>
          <w:sz w:val="20"/>
          <w:szCs w:val="20"/>
        </w:rPr>
        <w:t xml:space="preserve">)] en </w:t>
      </w:r>
      <w:r w:rsidR="00B922FD" w:rsidRPr="00AC4AEA">
        <w:rPr>
          <w:rFonts w:ascii="Arial" w:hAnsi="Arial" w:cs="Arial"/>
          <w:b/>
          <w:bCs/>
          <w:sz w:val="20"/>
          <w:szCs w:val="20"/>
        </w:rPr>
        <w:t>resultados diferido</w:t>
      </w:r>
      <w:r w:rsidR="001C5B19" w:rsidRPr="00AC4AEA">
        <w:rPr>
          <w:rFonts w:ascii="Arial" w:hAnsi="Arial" w:cs="Arial"/>
          <w:sz w:val="20"/>
          <w:szCs w:val="20"/>
        </w:rPr>
        <w:t>.</w:t>
      </w:r>
    </w:p>
    <w:p w:rsidR="00B922FD" w:rsidRPr="00AC4AEA" w:rsidRDefault="00230A67"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Imputará</w:t>
      </w:r>
      <w:r w:rsidR="0048738A" w:rsidRPr="00AC4AEA">
        <w:rPr>
          <w:rFonts w:ascii="Arial" w:hAnsi="Arial" w:cs="Arial"/>
          <w:sz w:val="20"/>
          <w:szCs w:val="20"/>
        </w:rPr>
        <w:t xml:space="preserve"> c</w:t>
      </w:r>
      <w:r w:rsidR="0048221C" w:rsidRPr="00AC4AEA">
        <w:rPr>
          <w:rFonts w:ascii="Arial" w:hAnsi="Arial" w:cs="Arial"/>
          <w:sz w:val="20"/>
          <w:szCs w:val="20"/>
        </w:rPr>
        <w:t xml:space="preserve">ualquier cambio restante en el </w:t>
      </w:r>
      <w:r w:rsidR="003102E1" w:rsidRPr="00AC4AEA">
        <w:rPr>
          <w:rFonts w:ascii="Arial" w:hAnsi="Arial" w:cs="Arial"/>
          <w:b/>
          <w:bCs/>
          <w:sz w:val="20"/>
          <w:szCs w:val="20"/>
        </w:rPr>
        <w:t>valor razonable</w:t>
      </w:r>
      <w:r w:rsidR="003102E1" w:rsidRPr="00AC4AEA">
        <w:rPr>
          <w:rFonts w:ascii="Arial" w:hAnsi="Arial" w:cs="Arial"/>
          <w:sz w:val="20"/>
          <w:szCs w:val="20"/>
        </w:rPr>
        <w:t xml:space="preserve"> del </w:t>
      </w:r>
      <w:r w:rsidR="0048221C" w:rsidRPr="00AC4AEA">
        <w:rPr>
          <w:rFonts w:ascii="Arial" w:hAnsi="Arial" w:cs="Arial"/>
          <w:sz w:val="20"/>
          <w:szCs w:val="20"/>
        </w:rPr>
        <w:t xml:space="preserve">instrumento de cobertura distinta a la referida en el punto (ii) inmediato anterior </w:t>
      </w:r>
      <w:r w:rsidRPr="00AC4AEA">
        <w:rPr>
          <w:rFonts w:ascii="Arial" w:hAnsi="Arial" w:cs="Arial"/>
          <w:sz w:val="20"/>
          <w:szCs w:val="20"/>
        </w:rPr>
        <w:t xml:space="preserve">en resultados, dado que se trata de </w:t>
      </w:r>
      <w:r w:rsidR="0048221C" w:rsidRPr="00AC4AEA">
        <w:rPr>
          <w:rFonts w:ascii="Arial" w:hAnsi="Arial" w:cs="Arial"/>
          <w:sz w:val="20"/>
          <w:szCs w:val="20"/>
        </w:rPr>
        <w:t>ineficacia de cobertura.</w:t>
      </w:r>
    </w:p>
    <w:p w:rsidR="00EF5F16" w:rsidRPr="00331149" w:rsidRDefault="0094321C" w:rsidP="00C01B25">
      <w:pPr>
        <w:numPr>
          <w:ilvl w:val="1"/>
          <w:numId w:val="719"/>
        </w:numPr>
        <w:spacing w:after="143" w:line="247" w:lineRule="auto"/>
        <w:ind w:hanging="535"/>
        <w:jc w:val="both"/>
        <w:rPr>
          <w:rFonts w:ascii="Arial" w:hAnsi="Arial" w:cs="Arial"/>
          <w:sz w:val="20"/>
          <w:szCs w:val="20"/>
        </w:rPr>
      </w:pPr>
      <w:r w:rsidRPr="00331149">
        <w:rPr>
          <w:rFonts w:ascii="Arial" w:hAnsi="Arial" w:cs="Arial"/>
          <w:sz w:val="20"/>
          <w:szCs w:val="20"/>
        </w:rPr>
        <w:t xml:space="preserve">Cobertura de </w:t>
      </w:r>
      <w:r w:rsidR="00AE70CF" w:rsidRPr="00331149">
        <w:rPr>
          <w:rFonts w:ascii="Arial" w:hAnsi="Arial" w:cs="Arial"/>
          <w:sz w:val="20"/>
          <w:szCs w:val="20"/>
        </w:rPr>
        <w:t>una inversión neta en una entidad del extranjero</w:t>
      </w:r>
      <w:r w:rsidR="005F12EF" w:rsidRPr="00331149">
        <w:rPr>
          <w:rFonts w:ascii="Arial" w:hAnsi="Arial" w:cs="Arial"/>
          <w:sz w:val="20"/>
          <w:szCs w:val="20"/>
        </w:rPr>
        <w:t xml:space="preserve">: </w:t>
      </w:r>
      <w:r w:rsidR="00230A67" w:rsidRPr="00331149">
        <w:rPr>
          <w:rFonts w:ascii="Arial" w:hAnsi="Arial" w:cs="Arial"/>
          <w:sz w:val="20"/>
          <w:szCs w:val="20"/>
        </w:rPr>
        <w:t>D</w:t>
      </w:r>
      <w:r w:rsidR="005F12EF" w:rsidRPr="00331149">
        <w:rPr>
          <w:rFonts w:ascii="Arial" w:hAnsi="Arial" w:cs="Arial"/>
          <w:sz w:val="20"/>
          <w:szCs w:val="20"/>
        </w:rPr>
        <w:t>e forma similar a las coberturas de flujos de efectivo</w:t>
      </w:r>
      <w:r w:rsidR="008915C4" w:rsidRPr="00331149">
        <w:rPr>
          <w:rFonts w:ascii="Arial" w:hAnsi="Arial" w:cs="Arial"/>
          <w:sz w:val="20"/>
          <w:szCs w:val="20"/>
        </w:rPr>
        <w:t>. Es decir:</w:t>
      </w:r>
    </w:p>
    <w:p w:rsidR="005F12EF" w:rsidRPr="00331149" w:rsidRDefault="00230A67" w:rsidP="00C01B25">
      <w:pPr>
        <w:numPr>
          <w:ilvl w:val="2"/>
          <w:numId w:val="719"/>
        </w:numPr>
        <w:spacing w:after="147" w:line="264" w:lineRule="auto"/>
        <w:ind w:hanging="360"/>
        <w:jc w:val="both"/>
        <w:rPr>
          <w:rFonts w:ascii="Arial" w:hAnsi="Arial" w:cs="Arial"/>
          <w:sz w:val="20"/>
          <w:szCs w:val="20"/>
        </w:rPr>
      </w:pPr>
      <w:r w:rsidRPr="00331149">
        <w:rPr>
          <w:rFonts w:ascii="Arial" w:hAnsi="Arial" w:cs="Arial"/>
          <w:sz w:val="20"/>
          <w:szCs w:val="20"/>
        </w:rPr>
        <w:t>Imputará l</w:t>
      </w:r>
      <w:r w:rsidR="004742A7" w:rsidRPr="00331149">
        <w:rPr>
          <w:rFonts w:ascii="Arial" w:hAnsi="Arial" w:cs="Arial"/>
          <w:sz w:val="20"/>
          <w:szCs w:val="20"/>
        </w:rPr>
        <w:t>a parte de</w:t>
      </w:r>
      <w:r w:rsidR="003102E1" w:rsidRPr="00331149">
        <w:rPr>
          <w:rFonts w:ascii="Arial" w:hAnsi="Arial" w:cs="Arial"/>
          <w:sz w:val="20"/>
          <w:szCs w:val="20"/>
        </w:rPr>
        <w:t xml:space="preserve"> </w:t>
      </w:r>
      <w:r w:rsidR="004742A7" w:rsidRPr="00331149">
        <w:rPr>
          <w:rFonts w:ascii="Arial" w:hAnsi="Arial" w:cs="Arial"/>
          <w:sz w:val="20"/>
          <w:szCs w:val="20"/>
        </w:rPr>
        <w:t>l</w:t>
      </w:r>
      <w:r w:rsidR="003102E1" w:rsidRPr="00331149">
        <w:rPr>
          <w:rFonts w:ascii="Arial" w:hAnsi="Arial" w:cs="Arial"/>
          <w:sz w:val="20"/>
          <w:szCs w:val="20"/>
        </w:rPr>
        <w:t>os</w:t>
      </w:r>
      <w:r w:rsidR="004742A7" w:rsidRPr="00331149">
        <w:rPr>
          <w:rFonts w:ascii="Arial" w:hAnsi="Arial" w:cs="Arial"/>
          <w:sz w:val="20"/>
          <w:szCs w:val="20"/>
        </w:rPr>
        <w:t xml:space="preserve"> cambio</w:t>
      </w:r>
      <w:r w:rsidR="003102E1" w:rsidRPr="00331149">
        <w:rPr>
          <w:rFonts w:ascii="Arial" w:hAnsi="Arial" w:cs="Arial"/>
          <w:sz w:val="20"/>
          <w:szCs w:val="20"/>
        </w:rPr>
        <w:t>s</w:t>
      </w:r>
      <w:r w:rsidR="004742A7" w:rsidRPr="00331149">
        <w:rPr>
          <w:rFonts w:ascii="Arial" w:hAnsi="Arial" w:cs="Arial"/>
          <w:sz w:val="20"/>
          <w:szCs w:val="20"/>
        </w:rPr>
        <w:t xml:space="preserve"> de</w:t>
      </w:r>
      <w:r w:rsidR="003102E1" w:rsidRPr="00331149">
        <w:rPr>
          <w:rFonts w:ascii="Arial" w:hAnsi="Arial" w:cs="Arial"/>
          <w:sz w:val="20"/>
          <w:szCs w:val="20"/>
        </w:rPr>
        <w:t>l</w:t>
      </w:r>
      <w:r w:rsidR="004742A7" w:rsidRPr="00331149">
        <w:rPr>
          <w:rFonts w:ascii="Arial" w:hAnsi="Arial" w:cs="Arial"/>
          <w:sz w:val="20"/>
          <w:szCs w:val="20"/>
        </w:rPr>
        <w:t xml:space="preserve"> </w:t>
      </w:r>
      <w:r w:rsidR="004742A7" w:rsidRPr="00331149">
        <w:rPr>
          <w:rFonts w:ascii="Arial" w:hAnsi="Arial" w:cs="Arial"/>
          <w:b/>
          <w:bCs/>
          <w:sz w:val="20"/>
          <w:szCs w:val="20"/>
        </w:rPr>
        <w:t>valor</w:t>
      </w:r>
      <w:r w:rsidR="003102E1" w:rsidRPr="00331149">
        <w:rPr>
          <w:rFonts w:ascii="Arial" w:hAnsi="Arial" w:cs="Arial"/>
          <w:b/>
          <w:bCs/>
          <w:sz w:val="20"/>
          <w:szCs w:val="20"/>
        </w:rPr>
        <w:t xml:space="preserve"> razonable</w:t>
      </w:r>
      <w:r w:rsidR="004742A7" w:rsidRPr="00331149">
        <w:rPr>
          <w:rFonts w:ascii="Arial" w:hAnsi="Arial" w:cs="Arial"/>
          <w:sz w:val="20"/>
          <w:szCs w:val="20"/>
        </w:rPr>
        <w:t xml:space="preserve"> en el instrumento de cobertura que se considera efectiva en </w:t>
      </w:r>
      <w:r w:rsidR="004742A7" w:rsidRPr="00331149">
        <w:rPr>
          <w:rFonts w:ascii="Arial" w:hAnsi="Arial" w:cs="Arial"/>
          <w:b/>
          <w:bCs/>
          <w:sz w:val="20"/>
          <w:szCs w:val="20"/>
        </w:rPr>
        <w:t>resultados diferidos</w:t>
      </w:r>
      <w:r w:rsidR="004742A7" w:rsidRPr="00331149">
        <w:rPr>
          <w:rFonts w:ascii="Arial" w:hAnsi="Arial" w:cs="Arial"/>
          <w:sz w:val="20"/>
          <w:szCs w:val="20"/>
        </w:rPr>
        <w:t>.</w:t>
      </w:r>
    </w:p>
    <w:p w:rsidR="00ED108F" w:rsidRPr="00331149" w:rsidRDefault="00230A67" w:rsidP="00C01B25">
      <w:pPr>
        <w:numPr>
          <w:ilvl w:val="2"/>
          <w:numId w:val="719"/>
        </w:numPr>
        <w:spacing w:after="147" w:line="264" w:lineRule="auto"/>
        <w:ind w:hanging="360"/>
        <w:jc w:val="both"/>
        <w:rPr>
          <w:rFonts w:ascii="Arial" w:hAnsi="Arial" w:cs="Arial"/>
          <w:sz w:val="20"/>
          <w:szCs w:val="20"/>
        </w:rPr>
      </w:pPr>
      <w:r w:rsidRPr="00331149">
        <w:rPr>
          <w:rFonts w:ascii="Arial" w:hAnsi="Arial" w:cs="Arial"/>
          <w:sz w:val="20"/>
          <w:szCs w:val="20"/>
        </w:rPr>
        <w:t>Imputará l</w:t>
      </w:r>
      <w:r w:rsidR="00ED108F" w:rsidRPr="00331149">
        <w:rPr>
          <w:rFonts w:ascii="Arial" w:hAnsi="Arial" w:cs="Arial"/>
          <w:sz w:val="20"/>
          <w:szCs w:val="20"/>
        </w:rPr>
        <w:t xml:space="preserve">a parte de los cambios del </w:t>
      </w:r>
      <w:r w:rsidR="00ED108F" w:rsidRPr="00331149">
        <w:rPr>
          <w:rFonts w:ascii="Arial" w:hAnsi="Arial" w:cs="Arial"/>
          <w:b/>
          <w:bCs/>
          <w:sz w:val="20"/>
          <w:szCs w:val="20"/>
        </w:rPr>
        <w:t>valor razonable</w:t>
      </w:r>
      <w:r w:rsidR="00ED108F" w:rsidRPr="00331149">
        <w:rPr>
          <w:rFonts w:ascii="Arial" w:hAnsi="Arial" w:cs="Arial"/>
          <w:sz w:val="20"/>
          <w:szCs w:val="20"/>
        </w:rPr>
        <w:t xml:space="preserve"> en el instrumento de cobertura que se considera ineficaz en resultados.</w:t>
      </w:r>
    </w:p>
    <w:p w:rsidR="00D4343B" w:rsidRPr="00AC4AEA" w:rsidRDefault="00ED108F" w:rsidP="00C01B25">
      <w:pPr>
        <w:numPr>
          <w:ilvl w:val="0"/>
          <w:numId w:val="719"/>
        </w:numPr>
        <w:spacing w:after="143" w:line="247" w:lineRule="auto"/>
        <w:ind w:left="937" w:hanging="536"/>
        <w:jc w:val="both"/>
        <w:rPr>
          <w:rFonts w:ascii="Arial" w:hAnsi="Arial" w:cs="Arial"/>
          <w:sz w:val="20"/>
          <w:szCs w:val="20"/>
        </w:rPr>
      </w:pPr>
      <w:bookmarkStart w:id="1245" w:name="_Ref135611919"/>
      <w:bookmarkStart w:id="1246" w:name="_Ref135602453"/>
      <w:r w:rsidRPr="00AC4AEA">
        <w:rPr>
          <w:rFonts w:ascii="Arial" w:hAnsi="Arial" w:cs="Arial"/>
          <w:sz w:val="20"/>
          <w:szCs w:val="20"/>
        </w:rPr>
        <w:t xml:space="preserve">Cuando una entidad </w:t>
      </w:r>
      <w:r w:rsidR="008B5494" w:rsidRPr="00AC4AEA">
        <w:rPr>
          <w:rFonts w:ascii="Arial" w:hAnsi="Arial" w:cs="Arial"/>
          <w:sz w:val="20"/>
          <w:szCs w:val="20"/>
        </w:rPr>
        <w:t>finalice de contabilizar una relación de cobertura:</w:t>
      </w:r>
      <w:bookmarkEnd w:id="1245"/>
    </w:p>
    <w:p w:rsidR="008B5494" w:rsidRPr="00AC4AEA" w:rsidRDefault="006D144A"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lastRenderedPageBreak/>
        <w:t xml:space="preserve">Del </w:t>
      </w:r>
      <w:r w:rsidRPr="00050219">
        <w:rPr>
          <w:rFonts w:ascii="Arial" w:hAnsi="Arial" w:cs="Arial"/>
          <w:b/>
          <w:bCs/>
          <w:sz w:val="20"/>
          <w:szCs w:val="20"/>
        </w:rPr>
        <w:t>valor razonable</w:t>
      </w:r>
      <w:r w:rsidRPr="00AC4AEA">
        <w:rPr>
          <w:rFonts w:ascii="Arial" w:hAnsi="Arial" w:cs="Arial"/>
          <w:sz w:val="20"/>
          <w:szCs w:val="20"/>
        </w:rPr>
        <w:t>: d</w:t>
      </w:r>
      <w:r w:rsidR="008E52B7" w:rsidRPr="00AC4AEA">
        <w:rPr>
          <w:rFonts w:ascii="Arial" w:hAnsi="Arial" w:cs="Arial"/>
          <w:sz w:val="20"/>
          <w:szCs w:val="20"/>
        </w:rPr>
        <w:t>ará de baja en cuentas</w:t>
      </w:r>
      <w:r w:rsidR="00230A67" w:rsidRPr="00AC4AEA">
        <w:rPr>
          <w:rFonts w:ascii="Arial" w:hAnsi="Arial" w:cs="Arial"/>
          <w:sz w:val="20"/>
          <w:szCs w:val="20"/>
        </w:rPr>
        <w:t xml:space="preserve"> cualquier ajuste determinado</w:t>
      </w:r>
      <w:r w:rsidR="008E52B7" w:rsidRPr="00AC4AEA">
        <w:rPr>
          <w:rFonts w:ascii="Arial" w:hAnsi="Arial" w:cs="Arial"/>
          <w:sz w:val="20"/>
          <w:szCs w:val="20"/>
        </w:rPr>
        <w:t xml:space="preserve"> de conformidad con los incisos </w:t>
      </w:r>
      <w:r w:rsidR="00FC3F21" w:rsidRPr="00AC4AEA">
        <w:rPr>
          <w:rFonts w:ascii="Arial" w:hAnsi="Arial" w:cs="Arial"/>
          <w:sz w:val="20"/>
          <w:szCs w:val="20"/>
        </w:rPr>
        <w:t>a)(i) y b)(i) del párrafo anterior en resultados.</w:t>
      </w:r>
    </w:p>
    <w:p w:rsidR="00A0344E" w:rsidRPr="00AC4AEA" w:rsidRDefault="006D144A"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De flujos de efectivo</w:t>
      </w:r>
      <w:r w:rsidR="00A0344E" w:rsidRPr="00AC4AEA">
        <w:rPr>
          <w:rFonts w:ascii="Arial" w:hAnsi="Arial" w:cs="Arial"/>
          <w:sz w:val="20"/>
          <w:szCs w:val="20"/>
        </w:rPr>
        <w:t>:</w:t>
      </w:r>
      <w:r w:rsidR="00FC3F21" w:rsidRPr="00AC4AEA">
        <w:rPr>
          <w:rFonts w:ascii="Arial" w:hAnsi="Arial" w:cs="Arial"/>
          <w:sz w:val="20"/>
          <w:szCs w:val="20"/>
        </w:rPr>
        <w:t xml:space="preserve"> </w:t>
      </w:r>
    </w:p>
    <w:p w:rsidR="00A0344E" w:rsidRPr="00AC4AEA" w:rsidRDefault="007779CB"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Manten</w:t>
      </w:r>
      <w:r w:rsidR="006D144A" w:rsidRPr="00AC4AEA">
        <w:rPr>
          <w:rFonts w:ascii="Arial" w:hAnsi="Arial" w:cs="Arial"/>
          <w:sz w:val="20"/>
          <w:szCs w:val="20"/>
        </w:rPr>
        <w:t>drá</w:t>
      </w:r>
      <w:r w:rsidRPr="00AC4AEA">
        <w:rPr>
          <w:rFonts w:ascii="Arial" w:hAnsi="Arial" w:cs="Arial"/>
          <w:sz w:val="20"/>
          <w:szCs w:val="20"/>
        </w:rPr>
        <w:t xml:space="preserve"> en un componente </w:t>
      </w:r>
      <w:r w:rsidR="006D144A" w:rsidRPr="00AC4AEA">
        <w:rPr>
          <w:rFonts w:ascii="Arial" w:hAnsi="Arial" w:cs="Arial"/>
          <w:sz w:val="20"/>
          <w:szCs w:val="20"/>
        </w:rPr>
        <w:t xml:space="preserve">separado </w:t>
      </w:r>
      <w:r w:rsidRPr="00AC4AEA">
        <w:rPr>
          <w:rFonts w:ascii="Arial" w:hAnsi="Arial" w:cs="Arial"/>
          <w:sz w:val="20"/>
          <w:szCs w:val="20"/>
        </w:rPr>
        <w:t>de</w:t>
      </w:r>
      <w:r w:rsidR="006D144A" w:rsidRPr="00AC4AEA">
        <w:rPr>
          <w:rFonts w:ascii="Arial" w:hAnsi="Arial" w:cs="Arial"/>
          <w:sz w:val="20"/>
          <w:szCs w:val="20"/>
        </w:rPr>
        <w:t xml:space="preserve">l </w:t>
      </w:r>
      <w:r w:rsidR="006D144A" w:rsidRPr="00AC4AEA">
        <w:rPr>
          <w:rFonts w:ascii="Arial" w:hAnsi="Arial" w:cs="Arial"/>
          <w:b/>
          <w:bCs/>
          <w:sz w:val="20"/>
          <w:szCs w:val="20"/>
        </w:rPr>
        <w:t>patrimonio neto</w:t>
      </w:r>
      <w:r w:rsidR="006D144A" w:rsidRPr="00AC4AEA">
        <w:rPr>
          <w:rFonts w:ascii="Arial" w:hAnsi="Arial" w:cs="Arial"/>
          <w:sz w:val="20"/>
          <w:szCs w:val="20"/>
        </w:rPr>
        <w:t xml:space="preserve"> los saldos</w:t>
      </w:r>
      <w:r w:rsidRPr="00AC4AEA">
        <w:rPr>
          <w:rFonts w:ascii="Arial" w:hAnsi="Arial" w:cs="Arial"/>
          <w:sz w:val="20"/>
          <w:szCs w:val="20"/>
        </w:rPr>
        <w:t xml:space="preserve"> </w:t>
      </w:r>
      <w:r w:rsidR="006D144A" w:rsidRPr="00AC4AEA">
        <w:rPr>
          <w:rFonts w:ascii="Arial" w:hAnsi="Arial" w:cs="Arial"/>
          <w:sz w:val="20"/>
          <w:szCs w:val="20"/>
        </w:rPr>
        <w:t xml:space="preserve">de </w:t>
      </w:r>
      <w:r w:rsidRPr="00AC4AEA">
        <w:rPr>
          <w:rFonts w:ascii="Arial" w:hAnsi="Arial" w:cs="Arial"/>
          <w:b/>
          <w:bCs/>
          <w:sz w:val="20"/>
          <w:szCs w:val="20"/>
        </w:rPr>
        <w:t>resultad</w:t>
      </w:r>
      <w:r w:rsidR="004115AA" w:rsidRPr="00AC4AEA">
        <w:rPr>
          <w:rFonts w:ascii="Arial" w:hAnsi="Arial" w:cs="Arial"/>
          <w:b/>
          <w:bCs/>
          <w:sz w:val="20"/>
          <w:szCs w:val="20"/>
        </w:rPr>
        <w:t>o diferidos acumulados</w:t>
      </w:r>
      <w:r w:rsidR="000E031B" w:rsidRPr="00AC4AEA">
        <w:rPr>
          <w:rFonts w:ascii="Arial" w:hAnsi="Arial" w:cs="Arial"/>
          <w:sz w:val="20"/>
          <w:szCs w:val="20"/>
        </w:rPr>
        <w:t xml:space="preserve"> </w:t>
      </w:r>
      <w:r w:rsidR="004115AA" w:rsidRPr="00AC4AEA">
        <w:rPr>
          <w:rFonts w:ascii="Arial" w:hAnsi="Arial" w:cs="Arial"/>
          <w:sz w:val="20"/>
          <w:szCs w:val="20"/>
        </w:rPr>
        <w:t xml:space="preserve">relacionados con una partida que es transacción esperada en el futuro que </w:t>
      </w:r>
      <w:r w:rsidR="006D144A" w:rsidRPr="00AC4AEA">
        <w:rPr>
          <w:rFonts w:ascii="Arial" w:hAnsi="Arial" w:cs="Arial"/>
          <w:sz w:val="20"/>
          <w:szCs w:val="20"/>
        </w:rPr>
        <w:t>d</w:t>
      </w:r>
      <w:r w:rsidR="004115AA" w:rsidRPr="00AC4AEA">
        <w:rPr>
          <w:rFonts w:ascii="Arial" w:hAnsi="Arial" w:cs="Arial"/>
          <w:sz w:val="20"/>
          <w:szCs w:val="20"/>
        </w:rPr>
        <w:t>ej</w:t>
      </w:r>
      <w:r w:rsidR="006D144A" w:rsidRPr="00AC4AEA">
        <w:rPr>
          <w:rFonts w:ascii="Arial" w:hAnsi="Arial" w:cs="Arial"/>
          <w:sz w:val="20"/>
          <w:szCs w:val="20"/>
        </w:rPr>
        <w:t>ó</w:t>
      </w:r>
      <w:r w:rsidR="004115AA" w:rsidRPr="00AC4AEA">
        <w:rPr>
          <w:rFonts w:ascii="Arial" w:hAnsi="Arial" w:cs="Arial"/>
          <w:sz w:val="20"/>
          <w:szCs w:val="20"/>
        </w:rPr>
        <w:t xml:space="preserve"> de ser altamente probable</w:t>
      </w:r>
      <w:r w:rsidR="000E031B" w:rsidRPr="00AC4AEA">
        <w:rPr>
          <w:rFonts w:ascii="Arial" w:hAnsi="Arial" w:cs="Arial"/>
          <w:sz w:val="20"/>
          <w:szCs w:val="20"/>
        </w:rPr>
        <w:t xml:space="preserve">, </w:t>
      </w:r>
      <w:r w:rsidR="006D144A" w:rsidRPr="00AC4AEA">
        <w:rPr>
          <w:rFonts w:ascii="Arial" w:hAnsi="Arial" w:cs="Arial"/>
          <w:sz w:val="20"/>
          <w:szCs w:val="20"/>
        </w:rPr>
        <w:t>en la medida en que</w:t>
      </w:r>
      <w:r w:rsidR="000E031B" w:rsidRPr="00AC4AEA">
        <w:rPr>
          <w:rFonts w:ascii="Arial" w:hAnsi="Arial" w:cs="Arial"/>
          <w:sz w:val="20"/>
          <w:szCs w:val="20"/>
        </w:rPr>
        <w:t xml:space="preserve"> se</w:t>
      </w:r>
      <w:r w:rsidR="00640F0E" w:rsidRPr="00AC4AEA">
        <w:rPr>
          <w:rFonts w:ascii="Arial" w:hAnsi="Arial" w:cs="Arial"/>
          <w:sz w:val="20"/>
          <w:szCs w:val="20"/>
        </w:rPr>
        <w:t xml:space="preserve"> esper</w:t>
      </w:r>
      <w:r w:rsidR="006D144A" w:rsidRPr="00AC4AEA">
        <w:rPr>
          <w:rFonts w:ascii="Arial" w:hAnsi="Arial" w:cs="Arial"/>
          <w:sz w:val="20"/>
          <w:szCs w:val="20"/>
        </w:rPr>
        <w:t>e</w:t>
      </w:r>
      <w:r w:rsidR="00640F0E" w:rsidRPr="00AC4AEA">
        <w:rPr>
          <w:rFonts w:ascii="Arial" w:hAnsi="Arial" w:cs="Arial"/>
          <w:sz w:val="20"/>
          <w:szCs w:val="20"/>
        </w:rPr>
        <w:t xml:space="preserve"> que los flujos de efectivo cubiertos todavía ocurran</w:t>
      </w:r>
      <w:r w:rsidR="006D144A" w:rsidRPr="00AC4AEA">
        <w:rPr>
          <w:rFonts w:ascii="Arial" w:hAnsi="Arial" w:cs="Arial"/>
          <w:sz w:val="20"/>
          <w:szCs w:val="20"/>
        </w:rPr>
        <w:t>.</w:t>
      </w:r>
    </w:p>
    <w:p w:rsidR="006D144A" w:rsidRPr="008915C4" w:rsidRDefault="006D144A" w:rsidP="00C01B25">
      <w:pPr>
        <w:numPr>
          <w:ilvl w:val="2"/>
          <w:numId w:val="719"/>
        </w:numPr>
        <w:spacing w:after="147" w:line="264" w:lineRule="auto"/>
        <w:ind w:hanging="360"/>
        <w:jc w:val="both"/>
        <w:rPr>
          <w:rFonts w:ascii="Arial" w:hAnsi="Arial" w:cs="Arial"/>
          <w:sz w:val="20"/>
          <w:szCs w:val="20"/>
        </w:rPr>
      </w:pPr>
      <w:r w:rsidRPr="00AC4AEA">
        <w:rPr>
          <w:rFonts w:ascii="Arial" w:hAnsi="Arial" w:cs="Arial"/>
          <w:sz w:val="20"/>
          <w:szCs w:val="20"/>
        </w:rPr>
        <w:t>E</w:t>
      </w:r>
      <w:r w:rsidR="007C7603" w:rsidRPr="00AC4AEA">
        <w:rPr>
          <w:rFonts w:ascii="Arial" w:hAnsi="Arial" w:cs="Arial"/>
          <w:sz w:val="20"/>
          <w:szCs w:val="20"/>
        </w:rPr>
        <w:t>liminar</w:t>
      </w:r>
      <w:r w:rsidRPr="00AC4AEA">
        <w:rPr>
          <w:rFonts w:ascii="Arial" w:hAnsi="Arial" w:cs="Arial"/>
          <w:sz w:val="20"/>
          <w:szCs w:val="20"/>
        </w:rPr>
        <w:t>á</w:t>
      </w:r>
      <w:r w:rsidR="007C7603" w:rsidRPr="00AC4AEA">
        <w:rPr>
          <w:rFonts w:ascii="Arial" w:hAnsi="Arial" w:cs="Arial"/>
          <w:sz w:val="20"/>
          <w:szCs w:val="20"/>
        </w:rPr>
        <w:t xml:space="preserve"> cualquier </w:t>
      </w:r>
      <w:r w:rsidRPr="00AC4AEA">
        <w:rPr>
          <w:rFonts w:ascii="Arial" w:hAnsi="Arial" w:cs="Arial"/>
          <w:sz w:val="20"/>
          <w:szCs w:val="20"/>
        </w:rPr>
        <w:t xml:space="preserve">componente separado del </w:t>
      </w:r>
      <w:r w:rsidRPr="00AC4AEA">
        <w:rPr>
          <w:rFonts w:ascii="Arial" w:hAnsi="Arial" w:cs="Arial"/>
          <w:b/>
          <w:bCs/>
          <w:sz w:val="20"/>
          <w:szCs w:val="20"/>
        </w:rPr>
        <w:t>patrimonio neto</w:t>
      </w:r>
      <w:r w:rsidRPr="00AC4AEA">
        <w:rPr>
          <w:rFonts w:ascii="Arial" w:hAnsi="Arial" w:cs="Arial"/>
          <w:sz w:val="20"/>
          <w:szCs w:val="20"/>
        </w:rPr>
        <w:t xml:space="preserve"> los saldos de </w:t>
      </w:r>
      <w:r w:rsidRPr="00AC4AEA">
        <w:rPr>
          <w:rFonts w:ascii="Arial" w:hAnsi="Arial" w:cs="Arial"/>
          <w:b/>
          <w:bCs/>
          <w:sz w:val="20"/>
          <w:szCs w:val="20"/>
        </w:rPr>
        <w:t>resultado diferidos acumulados</w:t>
      </w:r>
      <w:r w:rsidRPr="008915C4">
        <w:rPr>
          <w:rFonts w:ascii="Arial" w:hAnsi="Arial" w:cs="Arial"/>
          <w:sz w:val="20"/>
          <w:szCs w:val="20"/>
        </w:rPr>
        <w:t xml:space="preserve">, en los casos distintos al referido en el inciso (i) inmediato anterior. </w:t>
      </w:r>
    </w:p>
    <w:p w:rsidR="00FC3F21" w:rsidRPr="00AC4AEA" w:rsidRDefault="006D144A"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De</w:t>
      </w:r>
      <w:r w:rsidR="00AE70CF" w:rsidRPr="00AC4AEA">
        <w:rPr>
          <w:rFonts w:ascii="Arial" w:hAnsi="Arial" w:cs="Arial"/>
          <w:sz w:val="20"/>
          <w:szCs w:val="20"/>
        </w:rPr>
        <w:t xml:space="preserve"> </w:t>
      </w:r>
      <w:r w:rsidRPr="00AC4AEA">
        <w:rPr>
          <w:rFonts w:ascii="Arial" w:hAnsi="Arial" w:cs="Arial"/>
          <w:sz w:val="20"/>
          <w:szCs w:val="20"/>
        </w:rPr>
        <w:t>una inversión neta en una entidad del extranjero</w:t>
      </w:r>
      <w:r w:rsidR="008915C4">
        <w:rPr>
          <w:rFonts w:ascii="Arial" w:hAnsi="Arial" w:cs="Arial"/>
          <w:sz w:val="20"/>
          <w:szCs w:val="20"/>
        </w:rPr>
        <w:t>:</w:t>
      </w:r>
      <w:r w:rsidR="00AE70CF" w:rsidRPr="00AC4AEA">
        <w:rPr>
          <w:rFonts w:ascii="Arial" w:hAnsi="Arial" w:cs="Arial"/>
          <w:sz w:val="20"/>
          <w:szCs w:val="20"/>
        </w:rPr>
        <w:t xml:space="preserve"> </w:t>
      </w:r>
      <w:r w:rsidRPr="00AC4AEA">
        <w:rPr>
          <w:rFonts w:ascii="Arial" w:hAnsi="Arial" w:cs="Arial"/>
          <w:sz w:val="20"/>
          <w:szCs w:val="20"/>
        </w:rPr>
        <w:t xml:space="preserve">Eliminará cualquier componente separado del </w:t>
      </w:r>
      <w:r w:rsidRPr="00AC4AEA">
        <w:rPr>
          <w:rFonts w:ascii="Arial" w:hAnsi="Arial" w:cs="Arial"/>
          <w:b/>
          <w:bCs/>
          <w:sz w:val="20"/>
          <w:szCs w:val="20"/>
        </w:rPr>
        <w:t>patrimonio neto</w:t>
      </w:r>
      <w:r w:rsidRPr="00AC4AEA">
        <w:rPr>
          <w:rFonts w:ascii="Arial" w:hAnsi="Arial" w:cs="Arial"/>
          <w:sz w:val="20"/>
          <w:szCs w:val="20"/>
        </w:rPr>
        <w:t xml:space="preserve"> los saldos de </w:t>
      </w:r>
      <w:r w:rsidRPr="00AC4AEA">
        <w:rPr>
          <w:rFonts w:ascii="Arial" w:hAnsi="Arial" w:cs="Arial"/>
          <w:b/>
          <w:bCs/>
          <w:sz w:val="20"/>
          <w:szCs w:val="20"/>
        </w:rPr>
        <w:t xml:space="preserve">resultado diferidos </w:t>
      </w:r>
      <w:r w:rsidRPr="00AC4AEA">
        <w:rPr>
          <w:rFonts w:ascii="Arial" w:hAnsi="Arial" w:cs="Arial"/>
          <w:sz w:val="20"/>
          <w:szCs w:val="20"/>
        </w:rPr>
        <w:t>acumulados</w:t>
      </w:r>
      <w:r w:rsidR="00DB7482" w:rsidRPr="00AC4AEA">
        <w:rPr>
          <w:rFonts w:ascii="Arial" w:hAnsi="Arial" w:cs="Arial"/>
          <w:sz w:val="20"/>
          <w:szCs w:val="20"/>
        </w:rPr>
        <w:t xml:space="preserve"> cuando la entidad deba reconocer en resultados el saldo por conversión, de acuerdo con lo establecido en </w:t>
      </w:r>
      <w:r w:rsidR="009015A0" w:rsidRPr="00AC4AEA">
        <w:rPr>
          <w:rFonts w:ascii="Arial" w:hAnsi="Arial" w:cs="Arial"/>
          <w:sz w:val="20"/>
          <w:szCs w:val="20"/>
        </w:rPr>
        <w:t>los</w:t>
      </w:r>
      <w:r w:rsidR="00DB7482" w:rsidRPr="00AC4AEA">
        <w:rPr>
          <w:rFonts w:ascii="Arial" w:hAnsi="Arial" w:cs="Arial"/>
          <w:sz w:val="20"/>
          <w:szCs w:val="20"/>
        </w:rPr>
        <w:t xml:space="preserve"> párrafo</w:t>
      </w:r>
      <w:r w:rsidR="009015A0" w:rsidRPr="00AC4AEA">
        <w:rPr>
          <w:rFonts w:ascii="Arial" w:hAnsi="Arial" w:cs="Arial"/>
          <w:sz w:val="20"/>
          <w:szCs w:val="20"/>
        </w:rPr>
        <w:t xml:space="preserve">s </w:t>
      </w:r>
      <w:fldSimple w:instr=" REF _Ref132041639 \r \h  \* MERGEFORMAT ">
        <w:r w:rsidR="00D33A5D" w:rsidRPr="00D33A5D">
          <w:rPr>
            <w:rFonts w:ascii="Arial" w:hAnsi="Arial" w:cs="Arial"/>
            <w:sz w:val="20"/>
            <w:szCs w:val="20"/>
          </w:rPr>
          <w:t>758</w:t>
        </w:r>
      </w:fldSimple>
      <w:r w:rsidR="009015A0" w:rsidRPr="00AC4AEA">
        <w:rPr>
          <w:rFonts w:ascii="Arial" w:hAnsi="Arial" w:cs="Arial"/>
          <w:sz w:val="20"/>
          <w:szCs w:val="20"/>
        </w:rPr>
        <w:t xml:space="preserve"> y </w:t>
      </w:r>
      <w:fldSimple w:instr=" REF _Ref132041647 \r \h  \* MERGEFORMAT ">
        <w:r w:rsidR="00D33A5D" w:rsidRPr="00D33A5D">
          <w:rPr>
            <w:rFonts w:ascii="Arial" w:hAnsi="Arial" w:cs="Arial"/>
            <w:sz w:val="20"/>
            <w:szCs w:val="20"/>
          </w:rPr>
          <w:t>759</w:t>
        </w:r>
      </w:fldSimple>
      <w:r w:rsidR="00DB7482" w:rsidRPr="00AC4AEA">
        <w:rPr>
          <w:rFonts w:ascii="Arial" w:hAnsi="Arial" w:cs="Arial"/>
          <w:sz w:val="20"/>
          <w:szCs w:val="20"/>
        </w:rPr>
        <w:t xml:space="preserve"> </w:t>
      </w:r>
      <w:r w:rsidR="00AE70CF" w:rsidRPr="00AC4AEA">
        <w:rPr>
          <w:rFonts w:ascii="Arial" w:hAnsi="Arial" w:cs="Arial"/>
          <w:sz w:val="20"/>
          <w:szCs w:val="20"/>
        </w:rPr>
        <w:t>.</w:t>
      </w:r>
    </w:p>
    <w:bookmarkEnd w:id="1246"/>
    <w:p w:rsidR="00421257" w:rsidRPr="00AC4AEA" w:rsidRDefault="00421257" w:rsidP="00A318EA">
      <w:pPr>
        <w:spacing w:after="133" w:line="256" w:lineRule="auto"/>
        <w:ind w:left="934"/>
        <w:jc w:val="both"/>
        <w:rPr>
          <w:rFonts w:ascii="Arial" w:hAnsi="Arial" w:cs="Arial"/>
          <w:sz w:val="20"/>
          <w:szCs w:val="20"/>
        </w:rPr>
      </w:pPr>
    </w:p>
    <w:p w:rsidR="00D6308E" w:rsidRPr="00AC4AEA" w:rsidRDefault="00D6308E" w:rsidP="00A318EA">
      <w:pPr>
        <w:pStyle w:val="Ttulo2"/>
        <w:rPr>
          <w:rFonts w:cs="Arial"/>
        </w:rPr>
      </w:pPr>
      <w:bookmarkStart w:id="1247" w:name="_Toc139357063"/>
      <w:r w:rsidRPr="00AC4AEA">
        <w:rPr>
          <w:rFonts w:cs="Arial"/>
        </w:rPr>
        <w:t>Instrumentos derivados</w:t>
      </w:r>
      <w:bookmarkEnd w:id="1247"/>
    </w:p>
    <w:p w:rsidR="00421257" w:rsidRPr="00AC4AEA" w:rsidRDefault="00421257" w:rsidP="00D6308E">
      <w:pPr>
        <w:pStyle w:val="Ttulo3"/>
      </w:pPr>
      <w:bookmarkStart w:id="1248" w:name="_Toc139357064"/>
      <w:r w:rsidRPr="00AC4AEA">
        <w:t>Reconocimiento</w:t>
      </w:r>
      <w:bookmarkEnd w:id="1248"/>
      <w:r w:rsidR="006F2C57">
        <w:t xml:space="preserve"> </w:t>
      </w:r>
    </w:p>
    <w:p w:rsidR="00D0161C" w:rsidRPr="00AC4AEA" w:rsidRDefault="00B956B5" w:rsidP="00D6308E">
      <w:pPr>
        <w:pStyle w:val="Ttulo4"/>
      </w:pPr>
      <w:r w:rsidRPr="00AC4AEA">
        <w:t>Reconocimiento de un</w:t>
      </w:r>
      <w:r w:rsidR="001D30EB" w:rsidRPr="00AC4AEA">
        <w:t xml:space="preserve"> </w:t>
      </w:r>
      <w:r w:rsidRPr="00AC4AEA">
        <w:t>instrumento derivado, en general</w:t>
      </w:r>
    </w:p>
    <w:p w:rsidR="003D12A2" w:rsidRPr="00AC4AEA" w:rsidRDefault="003D12A2" w:rsidP="00C01B25">
      <w:pPr>
        <w:numPr>
          <w:ilvl w:val="0"/>
          <w:numId w:val="719"/>
        </w:numPr>
        <w:spacing w:after="143" w:line="247" w:lineRule="auto"/>
        <w:ind w:left="937" w:hanging="536"/>
        <w:jc w:val="both"/>
        <w:rPr>
          <w:rFonts w:ascii="Arial" w:hAnsi="Arial" w:cs="Arial"/>
          <w:sz w:val="20"/>
          <w:szCs w:val="20"/>
        </w:rPr>
      </w:pPr>
      <w:r w:rsidRPr="00AC4AEA">
        <w:rPr>
          <w:rFonts w:ascii="Arial" w:hAnsi="Arial" w:cs="Arial"/>
          <w:sz w:val="20"/>
          <w:szCs w:val="20"/>
        </w:rPr>
        <w:t xml:space="preserve">Una entidad reconocerá un elemento como un instrumento derivado cuando se cumpla la definición específica contenida en el párrafo </w:t>
      </w:r>
      <w:fldSimple w:instr=" REF _Ref135593262 \r \h  \* MERGEFORMAT ">
        <w:r w:rsidR="00D33A5D" w:rsidRPr="00D33A5D">
          <w:rPr>
            <w:rFonts w:ascii="Arial" w:hAnsi="Arial" w:cs="Arial"/>
            <w:sz w:val="20"/>
            <w:szCs w:val="20"/>
          </w:rPr>
          <w:t>993</w:t>
        </w:r>
      </w:fldSimple>
      <w:r w:rsidRPr="00AC4AEA">
        <w:rPr>
          <w:rFonts w:ascii="Arial" w:hAnsi="Arial" w:cs="Arial"/>
          <w:sz w:val="20"/>
          <w:szCs w:val="20"/>
        </w:rPr>
        <w:t xml:space="preserve"> (por ejemplo, cuando una entidad </w:t>
      </w:r>
      <w:r w:rsidR="00D0161C" w:rsidRPr="00AC4AEA">
        <w:rPr>
          <w:rFonts w:ascii="Arial" w:hAnsi="Arial" w:cs="Arial"/>
          <w:sz w:val="20"/>
          <w:szCs w:val="20"/>
        </w:rPr>
        <w:t>se convierte en parte de</w:t>
      </w:r>
      <w:r w:rsidRPr="00AC4AEA">
        <w:rPr>
          <w:rFonts w:ascii="Arial" w:hAnsi="Arial" w:cs="Arial"/>
          <w:sz w:val="20"/>
          <w:szCs w:val="20"/>
        </w:rPr>
        <w:t xml:space="preserve"> un </w:t>
      </w:r>
      <w:r w:rsidR="002E0477" w:rsidRPr="00AC4AEA">
        <w:rPr>
          <w:rFonts w:ascii="Arial" w:hAnsi="Arial" w:cs="Arial"/>
          <w:sz w:val="20"/>
          <w:szCs w:val="20"/>
        </w:rPr>
        <w:t xml:space="preserve">instrumento derivado para comprar </w:t>
      </w:r>
      <w:r w:rsidR="002E0477" w:rsidRPr="002B0F58">
        <w:rPr>
          <w:rFonts w:ascii="Arial" w:hAnsi="Arial" w:cs="Arial"/>
          <w:b/>
          <w:bCs/>
          <w:sz w:val="20"/>
          <w:szCs w:val="20"/>
        </w:rPr>
        <w:t>moneda extranjera</w:t>
      </w:r>
      <w:r w:rsidR="002E0477" w:rsidRPr="00AC4AEA">
        <w:rPr>
          <w:rFonts w:ascii="Arial" w:hAnsi="Arial" w:cs="Arial"/>
          <w:sz w:val="20"/>
          <w:szCs w:val="20"/>
        </w:rPr>
        <w:t xml:space="preserve"> a futuro</w:t>
      </w:r>
      <w:r w:rsidRPr="00AC4AEA">
        <w:rPr>
          <w:rFonts w:ascii="Arial" w:hAnsi="Arial" w:cs="Arial"/>
          <w:sz w:val="20"/>
          <w:szCs w:val="20"/>
        </w:rPr>
        <w:t xml:space="preserve"> reconocerá </w:t>
      </w:r>
      <w:r w:rsidR="002E0477" w:rsidRPr="00AC4AEA">
        <w:rPr>
          <w:rFonts w:ascii="Arial" w:hAnsi="Arial" w:cs="Arial"/>
          <w:sz w:val="20"/>
          <w:szCs w:val="20"/>
        </w:rPr>
        <w:t>tiene un instrumento derivado</w:t>
      </w:r>
      <w:r w:rsidRPr="00AC4AEA">
        <w:rPr>
          <w:rFonts w:ascii="Arial" w:hAnsi="Arial" w:cs="Arial"/>
          <w:sz w:val="20"/>
          <w:szCs w:val="20"/>
        </w:rPr>
        <w:t xml:space="preserve"> dado que cumple la definición de</w:t>
      </w:r>
      <w:r w:rsidR="00BB1CAD" w:rsidRPr="00AC4AEA">
        <w:rPr>
          <w:rFonts w:ascii="Arial" w:hAnsi="Arial" w:cs="Arial"/>
          <w:sz w:val="20"/>
          <w:szCs w:val="20"/>
        </w:rPr>
        <w:t>l párrafo</w:t>
      </w:r>
      <w:r w:rsidRPr="00AC4AEA">
        <w:rPr>
          <w:rFonts w:ascii="Arial" w:hAnsi="Arial" w:cs="Arial"/>
          <w:sz w:val="20"/>
          <w:szCs w:val="20"/>
        </w:rPr>
        <w:t xml:space="preserve"> </w:t>
      </w:r>
      <w:fldSimple w:instr=" REF _Ref135593262 \r \h  \* MERGEFORMAT ">
        <w:r w:rsidR="00D33A5D" w:rsidRPr="00D33A5D">
          <w:rPr>
            <w:rFonts w:ascii="Arial" w:hAnsi="Arial" w:cs="Arial"/>
            <w:sz w:val="20"/>
            <w:szCs w:val="20"/>
          </w:rPr>
          <w:t>993</w:t>
        </w:r>
      </w:fldSimple>
      <w:r w:rsidRPr="00AC4AEA">
        <w:rPr>
          <w:rFonts w:ascii="Arial" w:hAnsi="Arial" w:cs="Arial"/>
          <w:sz w:val="20"/>
          <w:szCs w:val="20"/>
        </w:rPr>
        <w:t xml:space="preserve">). </w:t>
      </w:r>
      <w:r w:rsidR="00B956B5" w:rsidRPr="00AC4AEA">
        <w:rPr>
          <w:rFonts w:ascii="Arial" w:hAnsi="Arial" w:cs="Arial"/>
          <w:sz w:val="20"/>
          <w:szCs w:val="20"/>
        </w:rPr>
        <w:t>Por lo general, en la fecha del reconocimiento, el importe contable que una entidad le asignará a un derivado será nulo (excepto cuando se trate de un</w:t>
      </w:r>
      <w:r w:rsidR="007F4CFE" w:rsidRPr="00AC4AEA">
        <w:rPr>
          <w:rFonts w:ascii="Arial" w:hAnsi="Arial" w:cs="Arial"/>
          <w:sz w:val="20"/>
          <w:szCs w:val="20"/>
        </w:rPr>
        <w:t>a opción de compra o una opción de venta).</w:t>
      </w:r>
    </w:p>
    <w:p w:rsidR="007F4CFE" w:rsidRPr="00AC4AEA" w:rsidRDefault="007F4CFE" w:rsidP="00D6308E">
      <w:pPr>
        <w:pStyle w:val="Ttulo4"/>
      </w:pPr>
      <w:r w:rsidRPr="00AC4AEA">
        <w:t>Reconocimiento de por separado de un derivado implícito</w:t>
      </w:r>
    </w:p>
    <w:p w:rsidR="00421257" w:rsidRPr="00331149" w:rsidRDefault="00421257" w:rsidP="00C01B25">
      <w:pPr>
        <w:numPr>
          <w:ilvl w:val="0"/>
          <w:numId w:val="719"/>
        </w:numPr>
        <w:spacing w:after="143" w:line="247" w:lineRule="auto"/>
        <w:ind w:left="937" w:hanging="536"/>
        <w:jc w:val="both"/>
        <w:rPr>
          <w:rFonts w:ascii="Arial" w:hAnsi="Arial" w:cs="Arial"/>
          <w:sz w:val="20"/>
          <w:szCs w:val="20"/>
        </w:rPr>
      </w:pPr>
      <w:r w:rsidRPr="00331149">
        <w:rPr>
          <w:rFonts w:ascii="Arial" w:hAnsi="Arial" w:cs="Arial"/>
          <w:sz w:val="20"/>
          <w:szCs w:val="20"/>
        </w:rPr>
        <w:t xml:space="preserve">Una entidad </w:t>
      </w:r>
      <w:r w:rsidR="00BD6232" w:rsidRPr="00331149">
        <w:rPr>
          <w:rFonts w:ascii="Arial" w:hAnsi="Arial" w:cs="Arial"/>
          <w:sz w:val="20"/>
          <w:szCs w:val="20"/>
        </w:rPr>
        <w:t xml:space="preserve">que no sea una entidad pequeña o una entidad mediana </w:t>
      </w:r>
      <w:r w:rsidRPr="00331149">
        <w:rPr>
          <w:rFonts w:ascii="Arial" w:hAnsi="Arial" w:cs="Arial"/>
          <w:sz w:val="20"/>
          <w:szCs w:val="20"/>
        </w:rPr>
        <w:t xml:space="preserve">reconocerá un derivado </w:t>
      </w:r>
      <w:r w:rsidR="006121C0" w:rsidRPr="00331149">
        <w:rPr>
          <w:rFonts w:ascii="Arial" w:hAnsi="Arial" w:cs="Arial"/>
          <w:sz w:val="20"/>
          <w:szCs w:val="20"/>
        </w:rPr>
        <w:t>implícito</w:t>
      </w:r>
      <w:r w:rsidRPr="00331149">
        <w:rPr>
          <w:rFonts w:ascii="Arial" w:hAnsi="Arial" w:cs="Arial"/>
          <w:sz w:val="20"/>
          <w:szCs w:val="20"/>
        </w:rPr>
        <w:t xml:space="preserve"> </w:t>
      </w:r>
      <w:r w:rsidR="006121C0" w:rsidRPr="00331149">
        <w:rPr>
          <w:rFonts w:ascii="Arial" w:hAnsi="Arial" w:cs="Arial"/>
          <w:sz w:val="20"/>
          <w:szCs w:val="20"/>
        </w:rPr>
        <w:t>por</w:t>
      </w:r>
      <w:r w:rsidRPr="00331149">
        <w:rPr>
          <w:rFonts w:ascii="Arial" w:hAnsi="Arial" w:cs="Arial"/>
          <w:sz w:val="20"/>
          <w:szCs w:val="20"/>
        </w:rPr>
        <w:t xml:space="preserve"> separado del </w:t>
      </w:r>
      <w:r w:rsidR="006121C0" w:rsidRPr="00331149">
        <w:rPr>
          <w:rFonts w:ascii="Arial" w:hAnsi="Arial" w:cs="Arial"/>
          <w:b/>
          <w:bCs/>
          <w:sz w:val="20"/>
          <w:szCs w:val="20"/>
        </w:rPr>
        <w:t>contrato</w:t>
      </w:r>
      <w:r w:rsidR="006121C0" w:rsidRPr="00331149">
        <w:rPr>
          <w:rFonts w:ascii="Arial" w:hAnsi="Arial" w:cs="Arial"/>
          <w:sz w:val="20"/>
          <w:szCs w:val="20"/>
        </w:rPr>
        <w:t xml:space="preserve"> </w:t>
      </w:r>
      <w:r w:rsidRPr="00331149">
        <w:rPr>
          <w:rFonts w:ascii="Arial" w:hAnsi="Arial" w:cs="Arial"/>
          <w:sz w:val="20"/>
          <w:szCs w:val="20"/>
        </w:rPr>
        <w:t>principal</w:t>
      </w:r>
      <w:r w:rsidR="00CF0A2B" w:rsidRPr="00331149">
        <w:rPr>
          <w:rFonts w:ascii="Arial" w:hAnsi="Arial" w:cs="Arial"/>
          <w:sz w:val="20"/>
          <w:szCs w:val="20"/>
        </w:rPr>
        <w:t xml:space="preserve">, siempre que el </w:t>
      </w:r>
      <w:r w:rsidR="00CE20E1" w:rsidRPr="00331149">
        <w:rPr>
          <w:rFonts w:ascii="Arial" w:hAnsi="Arial" w:cs="Arial"/>
          <w:b/>
          <w:bCs/>
          <w:sz w:val="20"/>
          <w:szCs w:val="20"/>
        </w:rPr>
        <w:t xml:space="preserve">contrato </w:t>
      </w:r>
      <w:r w:rsidR="00CF0A2B" w:rsidRPr="00331149">
        <w:rPr>
          <w:rFonts w:ascii="Arial" w:hAnsi="Arial" w:cs="Arial"/>
          <w:sz w:val="20"/>
          <w:szCs w:val="20"/>
        </w:rPr>
        <w:t xml:space="preserve">combinado no se mida por su </w:t>
      </w:r>
      <w:r w:rsidR="00CF0A2B" w:rsidRPr="00331149">
        <w:rPr>
          <w:rFonts w:ascii="Arial" w:hAnsi="Arial" w:cs="Arial"/>
          <w:b/>
          <w:bCs/>
          <w:sz w:val="20"/>
          <w:szCs w:val="20"/>
        </w:rPr>
        <w:t>valor razonable</w:t>
      </w:r>
      <w:r w:rsidR="00CF0A2B" w:rsidRPr="00331149">
        <w:rPr>
          <w:rFonts w:ascii="Arial" w:hAnsi="Arial" w:cs="Arial"/>
          <w:sz w:val="20"/>
          <w:szCs w:val="20"/>
        </w:rPr>
        <w:t xml:space="preserve"> con contrapartida en resultados</w:t>
      </w:r>
      <w:r w:rsidR="008915C4" w:rsidRPr="00331149">
        <w:rPr>
          <w:rFonts w:ascii="Arial" w:hAnsi="Arial" w:cs="Arial"/>
          <w:sz w:val="20"/>
          <w:szCs w:val="20"/>
        </w:rPr>
        <w:t xml:space="preserve"> y cumpla las siguientes condiciones:</w:t>
      </w:r>
      <w:r w:rsidRPr="00331149">
        <w:rPr>
          <w:rFonts w:ascii="Arial" w:hAnsi="Arial" w:cs="Arial"/>
          <w:sz w:val="20"/>
          <w:szCs w:val="20"/>
        </w:rPr>
        <w:t xml:space="preserve"> </w:t>
      </w:r>
    </w:p>
    <w:p w:rsidR="00421257" w:rsidRPr="00331149" w:rsidRDefault="00421257" w:rsidP="00C01B25">
      <w:pPr>
        <w:numPr>
          <w:ilvl w:val="0"/>
          <w:numId w:val="723"/>
        </w:numPr>
        <w:spacing w:line="264" w:lineRule="auto"/>
        <w:ind w:hanging="459"/>
        <w:jc w:val="both"/>
        <w:rPr>
          <w:rFonts w:ascii="Arial" w:hAnsi="Arial" w:cs="Arial"/>
          <w:sz w:val="20"/>
          <w:szCs w:val="20"/>
        </w:rPr>
      </w:pPr>
      <w:r w:rsidRPr="00331149">
        <w:rPr>
          <w:rFonts w:ascii="Arial" w:hAnsi="Arial" w:cs="Arial"/>
          <w:sz w:val="20"/>
          <w:szCs w:val="20"/>
        </w:rPr>
        <w:t xml:space="preserve">las características económicas y </w:t>
      </w:r>
      <w:r w:rsidR="006121C0" w:rsidRPr="00331149">
        <w:rPr>
          <w:rFonts w:ascii="Arial" w:hAnsi="Arial" w:cs="Arial"/>
          <w:sz w:val="20"/>
          <w:szCs w:val="20"/>
        </w:rPr>
        <w:t xml:space="preserve">los </w:t>
      </w:r>
      <w:r w:rsidRPr="00331149">
        <w:rPr>
          <w:rFonts w:ascii="Arial" w:hAnsi="Arial" w:cs="Arial"/>
          <w:sz w:val="20"/>
          <w:szCs w:val="20"/>
        </w:rPr>
        <w:t>riesgos inherentes al derivado</w:t>
      </w:r>
      <w:r w:rsidR="006121C0" w:rsidRPr="00331149">
        <w:rPr>
          <w:rFonts w:ascii="Arial" w:hAnsi="Arial" w:cs="Arial"/>
          <w:sz w:val="20"/>
          <w:szCs w:val="20"/>
        </w:rPr>
        <w:t xml:space="preserve"> implícito</w:t>
      </w:r>
      <w:r w:rsidRPr="00331149">
        <w:rPr>
          <w:rFonts w:ascii="Arial" w:hAnsi="Arial" w:cs="Arial"/>
          <w:sz w:val="20"/>
          <w:szCs w:val="20"/>
        </w:rPr>
        <w:t xml:space="preserve"> no están relacionados estrechamente con las correspondientes al </w:t>
      </w:r>
      <w:r w:rsidR="00CE20E1" w:rsidRPr="00331149">
        <w:rPr>
          <w:rFonts w:ascii="Arial" w:hAnsi="Arial" w:cs="Arial"/>
          <w:b/>
          <w:bCs/>
          <w:sz w:val="20"/>
          <w:szCs w:val="20"/>
        </w:rPr>
        <w:t xml:space="preserve">contrato </w:t>
      </w:r>
      <w:r w:rsidRPr="00331149">
        <w:rPr>
          <w:rFonts w:ascii="Arial" w:hAnsi="Arial" w:cs="Arial"/>
          <w:sz w:val="20"/>
          <w:szCs w:val="20"/>
        </w:rPr>
        <w:t>principal;</w:t>
      </w:r>
      <w:r w:rsidR="006F2C57">
        <w:rPr>
          <w:rFonts w:ascii="Arial" w:hAnsi="Arial" w:cs="Arial"/>
          <w:sz w:val="20"/>
          <w:szCs w:val="20"/>
        </w:rPr>
        <w:t xml:space="preserve"> </w:t>
      </w:r>
    </w:p>
    <w:p w:rsidR="00421257" w:rsidRPr="00331149" w:rsidRDefault="00421257" w:rsidP="00C01B25">
      <w:pPr>
        <w:numPr>
          <w:ilvl w:val="0"/>
          <w:numId w:val="723"/>
        </w:numPr>
        <w:spacing w:line="264" w:lineRule="auto"/>
        <w:ind w:hanging="459"/>
        <w:jc w:val="both"/>
        <w:rPr>
          <w:rFonts w:ascii="Arial" w:hAnsi="Arial" w:cs="Arial"/>
          <w:sz w:val="20"/>
          <w:szCs w:val="20"/>
        </w:rPr>
      </w:pPr>
      <w:r w:rsidRPr="00331149">
        <w:rPr>
          <w:rFonts w:ascii="Arial" w:hAnsi="Arial" w:cs="Arial"/>
          <w:sz w:val="20"/>
          <w:szCs w:val="20"/>
        </w:rPr>
        <w:t xml:space="preserve">un instrumento independiente, con las mismas condiciones del derivado, </w:t>
      </w:r>
      <w:r w:rsidR="006121C0" w:rsidRPr="00331149">
        <w:rPr>
          <w:rFonts w:ascii="Arial" w:hAnsi="Arial" w:cs="Arial"/>
          <w:sz w:val="20"/>
          <w:szCs w:val="20"/>
        </w:rPr>
        <w:t>c</w:t>
      </w:r>
      <w:r w:rsidRPr="00331149">
        <w:rPr>
          <w:rFonts w:ascii="Arial" w:hAnsi="Arial" w:cs="Arial"/>
          <w:sz w:val="20"/>
          <w:szCs w:val="20"/>
        </w:rPr>
        <w:t>umpl</w:t>
      </w:r>
      <w:r w:rsidR="006121C0" w:rsidRPr="00331149">
        <w:rPr>
          <w:rFonts w:ascii="Arial" w:hAnsi="Arial" w:cs="Arial"/>
          <w:sz w:val="20"/>
          <w:szCs w:val="20"/>
        </w:rPr>
        <w:t>e</w:t>
      </w:r>
      <w:r w:rsidRPr="00331149">
        <w:rPr>
          <w:rFonts w:ascii="Arial" w:hAnsi="Arial" w:cs="Arial"/>
          <w:sz w:val="20"/>
          <w:szCs w:val="20"/>
        </w:rPr>
        <w:t xml:space="preserve"> con la definición de instrumento derivado; y</w:t>
      </w:r>
      <w:r w:rsidR="006F2C57">
        <w:rPr>
          <w:rFonts w:ascii="Arial" w:hAnsi="Arial" w:cs="Arial"/>
          <w:sz w:val="20"/>
          <w:szCs w:val="20"/>
        </w:rPr>
        <w:t xml:space="preserve"> </w:t>
      </w:r>
    </w:p>
    <w:p w:rsidR="00421257" w:rsidRPr="00331149" w:rsidRDefault="00421257" w:rsidP="00C01B25">
      <w:pPr>
        <w:numPr>
          <w:ilvl w:val="0"/>
          <w:numId w:val="723"/>
        </w:numPr>
        <w:spacing w:line="264" w:lineRule="auto"/>
        <w:ind w:hanging="459"/>
        <w:jc w:val="both"/>
        <w:rPr>
          <w:rFonts w:ascii="Arial" w:hAnsi="Arial" w:cs="Arial"/>
          <w:sz w:val="20"/>
          <w:szCs w:val="20"/>
        </w:rPr>
      </w:pPr>
      <w:r w:rsidRPr="00331149">
        <w:rPr>
          <w:rFonts w:ascii="Arial" w:hAnsi="Arial" w:cs="Arial"/>
          <w:sz w:val="20"/>
          <w:szCs w:val="20"/>
        </w:rPr>
        <w:t xml:space="preserve">el </w:t>
      </w:r>
      <w:r w:rsidR="00CE20E1" w:rsidRPr="00331149">
        <w:rPr>
          <w:rFonts w:ascii="Arial" w:hAnsi="Arial" w:cs="Arial"/>
          <w:b/>
          <w:bCs/>
          <w:sz w:val="20"/>
          <w:szCs w:val="20"/>
        </w:rPr>
        <w:t xml:space="preserve">contrato </w:t>
      </w:r>
      <w:r w:rsidRPr="00331149">
        <w:rPr>
          <w:rFonts w:ascii="Arial" w:hAnsi="Arial" w:cs="Arial"/>
          <w:sz w:val="20"/>
          <w:szCs w:val="20"/>
        </w:rPr>
        <w:t xml:space="preserve">combinado no se </w:t>
      </w:r>
      <w:r w:rsidR="006121C0" w:rsidRPr="00331149">
        <w:rPr>
          <w:rFonts w:ascii="Arial" w:hAnsi="Arial" w:cs="Arial"/>
          <w:sz w:val="20"/>
          <w:szCs w:val="20"/>
        </w:rPr>
        <w:t>mide</w:t>
      </w:r>
      <w:r w:rsidRPr="00331149">
        <w:rPr>
          <w:rFonts w:ascii="Arial" w:hAnsi="Arial" w:cs="Arial"/>
          <w:sz w:val="20"/>
          <w:szCs w:val="20"/>
        </w:rPr>
        <w:t xml:space="preserve"> por su </w:t>
      </w:r>
      <w:r w:rsidRPr="00331149">
        <w:rPr>
          <w:rFonts w:ascii="Arial" w:hAnsi="Arial" w:cs="Arial"/>
          <w:b/>
          <w:bCs/>
          <w:sz w:val="20"/>
          <w:szCs w:val="20"/>
        </w:rPr>
        <w:t xml:space="preserve">valor </w:t>
      </w:r>
      <w:r w:rsidR="006121C0" w:rsidRPr="00331149">
        <w:rPr>
          <w:rFonts w:ascii="Arial" w:hAnsi="Arial" w:cs="Arial"/>
          <w:b/>
          <w:bCs/>
          <w:sz w:val="20"/>
          <w:szCs w:val="20"/>
        </w:rPr>
        <w:t>razonable</w:t>
      </w:r>
      <w:r w:rsidR="006121C0" w:rsidRPr="00331149">
        <w:rPr>
          <w:rFonts w:ascii="Arial" w:hAnsi="Arial" w:cs="Arial"/>
          <w:sz w:val="20"/>
          <w:szCs w:val="20"/>
        </w:rPr>
        <w:t xml:space="preserve"> con cambios en resultados</w:t>
      </w:r>
      <w:r w:rsidRPr="00331149">
        <w:rPr>
          <w:rFonts w:ascii="Arial" w:hAnsi="Arial" w:cs="Arial"/>
          <w:sz w:val="20"/>
          <w:szCs w:val="20"/>
        </w:rPr>
        <w:t xml:space="preserve">. </w:t>
      </w:r>
    </w:p>
    <w:p w:rsidR="00421257" w:rsidRPr="00331149" w:rsidRDefault="00421257" w:rsidP="00D6308E">
      <w:pPr>
        <w:pStyle w:val="Ttulo3"/>
      </w:pPr>
      <w:bookmarkStart w:id="1249" w:name="_Toc139357065"/>
      <w:r w:rsidRPr="00331149">
        <w:t>Baja</w:t>
      </w:r>
      <w:bookmarkEnd w:id="1249"/>
      <w:r w:rsidRPr="00331149">
        <w:t xml:space="preserve"> </w:t>
      </w:r>
    </w:p>
    <w:p w:rsidR="00421257" w:rsidRPr="00331149" w:rsidRDefault="00421257" w:rsidP="00C01B25">
      <w:pPr>
        <w:numPr>
          <w:ilvl w:val="0"/>
          <w:numId w:val="719"/>
        </w:numPr>
        <w:spacing w:after="143" w:line="247" w:lineRule="auto"/>
        <w:ind w:left="937" w:hanging="536"/>
        <w:jc w:val="both"/>
        <w:rPr>
          <w:rFonts w:ascii="Arial" w:eastAsia="Times New Roman" w:hAnsi="Arial" w:cs="Arial"/>
          <w:sz w:val="20"/>
          <w:szCs w:val="20"/>
          <w:lang w:eastAsia="es-AR"/>
        </w:rPr>
      </w:pPr>
      <w:r w:rsidRPr="00331149">
        <w:rPr>
          <w:rFonts w:ascii="Arial" w:hAnsi="Arial" w:cs="Arial"/>
          <w:sz w:val="20"/>
          <w:szCs w:val="20"/>
        </w:rPr>
        <w:t xml:space="preserve">Una entidad dará de baja un instrumento </w:t>
      </w:r>
      <w:r w:rsidR="00C84085" w:rsidRPr="00331149">
        <w:rPr>
          <w:rFonts w:ascii="Arial" w:hAnsi="Arial" w:cs="Arial"/>
          <w:sz w:val="20"/>
          <w:szCs w:val="20"/>
        </w:rPr>
        <w:t xml:space="preserve">derivado </w:t>
      </w:r>
      <w:r w:rsidRPr="00331149">
        <w:rPr>
          <w:rFonts w:ascii="Arial" w:hAnsi="Arial" w:cs="Arial"/>
          <w:sz w:val="20"/>
          <w:szCs w:val="20"/>
        </w:rPr>
        <w:t xml:space="preserve">cuando: </w:t>
      </w:r>
    </w:p>
    <w:p w:rsidR="00421257" w:rsidRPr="00331149" w:rsidRDefault="00421257" w:rsidP="00C01B25">
      <w:pPr>
        <w:numPr>
          <w:ilvl w:val="0"/>
          <w:numId w:val="724"/>
        </w:numPr>
        <w:spacing w:line="264" w:lineRule="auto"/>
        <w:ind w:hanging="459"/>
        <w:jc w:val="both"/>
        <w:rPr>
          <w:rFonts w:ascii="Arial" w:hAnsi="Arial" w:cs="Arial"/>
          <w:sz w:val="20"/>
          <w:szCs w:val="20"/>
        </w:rPr>
      </w:pPr>
      <w:r w:rsidRPr="00331149">
        <w:rPr>
          <w:rFonts w:ascii="Arial" w:hAnsi="Arial" w:cs="Arial"/>
          <w:sz w:val="20"/>
          <w:szCs w:val="20"/>
        </w:rPr>
        <w:t>los derechos se hayan realizado, cedidos a un tercero o expirados; o</w:t>
      </w:r>
      <w:r w:rsidR="006F2C57">
        <w:rPr>
          <w:rFonts w:ascii="Arial" w:hAnsi="Arial" w:cs="Arial"/>
          <w:sz w:val="20"/>
          <w:szCs w:val="20"/>
        </w:rPr>
        <w:t xml:space="preserve"> </w:t>
      </w:r>
    </w:p>
    <w:p w:rsidR="00421257" w:rsidRPr="00331149" w:rsidRDefault="00421257" w:rsidP="00C01B25">
      <w:pPr>
        <w:numPr>
          <w:ilvl w:val="0"/>
          <w:numId w:val="724"/>
        </w:numPr>
        <w:spacing w:line="264" w:lineRule="auto"/>
        <w:ind w:hanging="459"/>
        <w:jc w:val="both"/>
        <w:rPr>
          <w:rFonts w:ascii="Arial" w:hAnsi="Arial" w:cs="Arial"/>
          <w:sz w:val="20"/>
          <w:szCs w:val="20"/>
        </w:rPr>
      </w:pPr>
      <w:r w:rsidRPr="00331149">
        <w:rPr>
          <w:rFonts w:ascii="Arial" w:hAnsi="Arial" w:cs="Arial"/>
          <w:sz w:val="20"/>
          <w:szCs w:val="20"/>
        </w:rPr>
        <w:lastRenderedPageBreak/>
        <w:t>la obligación se haya extinguido.</w:t>
      </w:r>
      <w:r w:rsidR="006F2C57">
        <w:rPr>
          <w:rFonts w:ascii="Arial" w:hAnsi="Arial" w:cs="Arial"/>
          <w:sz w:val="20"/>
          <w:szCs w:val="20"/>
        </w:rPr>
        <w:t xml:space="preserve"> </w:t>
      </w:r>
    </w:p>
    <w:p w:rsidR="00421257" w:rsidRPr="00AC4AEA" w:rsidRDefault="00421257" w:rsidP="00A318EA">
      <w:pPr>
        <w:spacing w:after="131" w:line="256" w:lineRule="auto"/>
        <w:ind w:left="934"/>
        <w:jc w:val="both"/>
        <w:rPr>
          <w:rFonts w:ascii="Arial" w:hAnsi="Arial" w:cs="Arial"/>
          <w:sz w:val="20"/>
          <w:szCs w:val="20"/>
        </w:rPr>
      </w:pPr>
      <w:r w:rsidRPr="00AC4AEA">
        <w:rPr>
          <w:rFonts w:ascii="Arial" w:hAnsi="Arial" w:cs="Arial"/>
          <w:sz w:val="20"/>
          <w:szCs w:val="20"/>
        </w:rPr>
        <w:t xml:space="preserve"> </w:t>
      </w:r>
    </w:p>
    <w:p w:rsidR="00421257" w:rsidRPr="00AC4AEA" w:rsidRDefault="00421257" w:rsidP="00D6308E">
      <w:pPr>
        <w:pStyle w:val="Ttulo3"/>
      </w:pPr>
      <w:bookmarkStart w:id="1250" w:name="_Toc139357066"/>
      <w:r w:rsidRPr="00AC4AEA">
        <w:t>Medición inicial</w:t>
      </w:r>
      <w:bookmarkEnd w:id="1250"/>
      <w:r w:rsidR="006F2C57">
        <w:t xml:space="preserve"> </w:t>
      </w:r>
    </w:p>
    <w:p w:rsidR="00421257" w:rsidRPr="00AC4AEA" w:rsidRDefault="00421257" w:rsidP="00C01B25">
      <w:pPr>
        <w:numPr>
          <w:ilvl w:val="0"/>
          <w:numId w:val="719"/>
        </w:numPr>
        <w:spacing w:after="143" w:line="247" w:lineRule="auto"/>
        <w:ind w:left="937" w:hanging="536"/>
        <w:jc w:val="both"/>
        <w:rPr>
          <w:rFonts w:ascii="Arial" w:eastAsia="Times New Roman" w:hAnsi="Arial" w:cs="Arial"/>
          <w:sz w:val="20"/>
          <w:szCs w:val="20"/>
          <w:lang w:eastAsia="es-AR"/>
        </w:rPr>
      </w:pPr>
      <w:r w:rsidRPr="00AC4AEA">
        <w:rPr>
          <w:rFonts w:ascii="Arial" w:hAnsi="Arial" w:cs="Arial"/>
          <w:sz w:val="20"/>
          <w:szCs w:val="20"/>
        </w:rPr>
        <w:t>Una entidad medirá inicialmente un instrumento derivado:</w:t>
      </w:r>
      <w:r w:rsidR="006F2C57">
        <w:rPr>
          <w:rFonts w:ascii="Arial" w:hAnsi="Arial" w:cs="Arial"/>
          <w:sz w:val="20"/>
          <w:szCs w:val="20"/>
        </w:rPr>
        <w:t xml:space="preserve"> </w:t>
      </w:r>
    </w:p>
    <w:p w:rsidR="00421257" w:rsidRPr="00AC4AEA" w:rsidRDefault="00421257" w:rsidP="00C01B25">
      <w:pPr>
        <w:numPr>
          <w:ilvl w:val="1"/>
          <w:numId w:val="719"/>
        </w:numPr>
        <w:spacing w:after="147" w:line="264" w:lineRule="auto"/>
        <w:ind w:hanging="535"/>
        <w:jc w:val="both"/>
        <w:rPr>
          <w:rFonts w:ascii="Arial" w:hAnsi="Arial" w:cs="Arial"/>
          <w:sz w:val="20"/>
          <w:szCs w:val="20"/>
        </w:rPr>
      </w:pPr>
      <w:r w:rsidRPr="00AC4AEA">
        <w:rPr>
          <w:rFonts w:ascii="Arial" w:hAnsi="Arial" w:cs="Arial"/>
          <w:sz w:val="20"/>
          <w:szCs w:val="20"/>
        </w:rPr>
        <w:t xml:space="preserve">Por su </w:t>
      </w:r>
      <w:r w:rsidRPr="00AC4AEA">
        <w:rPr>
          <w:rFonts w:ascii="Arial" w:hAnsi="Arial" w:cs="Arial"/>
          <w:b/>
          <w:bCs/>
          <w:sz w:val="20"/>
          <w:szCs w:val="20"/>
        </w:rPr>
        <w:t>valor razonable</w:t>
      </w:r>
      <w:r w:rsidRPr="00AC4AEA">
        <w:rPr>
          <w:rFonts w:ascii="Arial" w:hAnsi="Arial" w:cs="Arial"/>
          <w:sz w:val="20"/>
          <w:szCs w:val="20"/>
        </w:rPr>
        <w:t>, de acuerdo con lo dispuesto en el apartado “</w:t>
      </w:r>
      <w:r w:rsidRPr="00AC4AEA">
        <w:rPr>
          <w:rFonts w:ascii="Arial" w:hAnsi="Arial" w:cs="Arial"/>
          <w:sz w:val="20"/>
          <w:szCs w:val="20"/>
          <w:u w:val="single" w:color="000000"/>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00572664"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 xml:space="preserve">]. </w:t>
      </w:r>
    </w:p>
    <w:p w:rsidR="00421257" w:rsidRPr="00AC4AEA" w:rsidRDefault="00421257" w:rsidP="00C01B25">
      <w:pPr>
        <w:numPr>
          <w:ilvl w:val="1"/>
          <w:numId w:val="719"/>
        </w:numPr>
        <w:spacing w:after="147" w:line="264" w:lineRule="auto"/>
        <w:ind w:hanging="535"/>
        <w:jc w:val="both"/>
        <w:rPr>
          <w:rFonts w:ascii="Arial" w:hAnsi="Arial" w:cs="Arial"/>
          <w:sz w:val="20"/>
          <w:szCs w:val="20"/>
        </w:rPr>
      </w:pPr>
      <w:r w:rsidRPr="00AC4AEA">
        <w:rPr>
          <w:rFonts w:ascii="Arial" w:hAnsi="Arial" w:cs="Arial"/>
          <w:sz w:val="20"/>
          <w:szCs w:val="20"/>
        </w:rPr>
        <w:t xml:space="preserve">Por la suma de dinero u otra contraprestación entregada o recibida, si no fuera posible aplicar lo dispuesto en el inciso precedente. </w:t>
      </w:r>
    </w:p>
    <w:p w:rsidR="00421257" w:rsidRPr="00AC4AEA" w:rsidRDefault="00421257" w:rsidP="00A318EA">
      <w:pPr>
        <w:spacing w:after="131" w:line="256" w:lineRule="auto"/>
        <w:ind w:left="934"/>
        <w:jc w:val="both"/>
        <w:rPr>
          <w:rFonts w:ascii="Arial" w:hAnsi="Arial" w:cs="Arial"/>
          <w:sz w:val="20"/>
          <w:szCs w:val="20"/>
        </w:rPr>
      </w:pPr>
      <w:r w:rsidRPr="00AC4AEA">
        <w:rPr>
          <w:rFonts w:ascii="Arial" w:hAnsi="Arial" w:cs="Arial"/>
          <w:sz w:val="20"/>
          <w:szCs w:val="20"/>
        </w:rPr>
        <w:t xml:space="preserve"> </w:t>
      </w:r>
    </w:p>
    <w:p w:rsidR="00601360" w:rsidRPr="00AC4AEA" w:rsidRDefault="00421257" w:rsidP="008909A6">
      <w:pPr>
        <w:pStyle w:val="Ttulo3"/>
      </w:pPr>
      <w:bookmarkStart w:id="1251" w:name="_Toc139357067"/>
      <w:r w:rsidRPr="00AC4AEA">
        <w:t>Medición posterior</w:t>
      </w:r>
      <w:bookmarkEnd w:id="1251"/>
    </w:p>
    <w:p w:rsidR="00421257" w:rsidRPr="00AC4AEA" w:rsidRDefault="008C447A" w:rsidP="008C447A">
      <w:pPr>
        <w:pStyle w:val="Ttulo4"/>
      </w:pPr>
      <w:r w:rsidRPr="00AC4AEA">
        <w:t>Importe por el que se presentan en el estado de situación patrimonial</w:t>
      </w:r>
      <w:r w:rsidR="006F2C57">
        <w:t xml:space="preserve"> </w:t>
      </w:r>
    </w:p>
    <w:p w:rsidR="00421257" w:rsidRPr="00AC4AEA" w:rsidRDefault="00421257" w:rsidP="00C01B25">
      <w:pPr>
        <w:numPr>
          <w:ilvl w:val="0"/>
          <w:numId w:val="719"/>
        </w:numPr>
        <w:spacing w:after="127" w:line="264" w:lineRule="auto"/>
        <w:ind w:left="937" w:hanging="536"/>
        <w:jc w:val="both"/>
        <w:rPr>
          <w:rFonts w:ascii="Arial" w:eastAsia="Times New Roman" w:hAnsi="Arial" w:cs="Arial"/>
          <w:sz w:val="20"/>
          <w:szCs w:val="20"/>
          <w:lang w:eastAsia="es-AR"/>
        </w:rPr>
      </w:pPr>
      <w:r w:rsidRPr="00AC4AEA">
        <w:rPr>
          <w:rFonts w:ascii="Arial" w:hAnsi="Arial" w:cs="Arial"/>
          <w:sz w:val="20"/>
          <w:szCs w:val="20"/>
        </w:rPr>
        <w:t xml:space="preserve">Una entidad medirá un </w:t>
      </w:r>
      <w:r w:rsidRPr="002A73C3">
        <w:rPr>
          <w:rFonts w:ascii="Arial" w:hAnsi="Arial" w:cs="Arial"/>
          <w:b/>
          <w:bCs/>
          <w:sz w:val="20"/>
          <w:szCs w:val="20"/>
        </w:rPr>
        <w:t>instrumento financiero</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1"/>
          <w:numId w:val="719"/>
        </w:numPr>
        <w:spacing w:after="147" w:line="264" w:lineRule="auto"/>
        <w:ind w:hanging="535"/>
        <w:jc w:val="both"/>
        <w:rPr>
          <w:rFonts w:ascii="Arial" w:hAnsi="Arial" w:cs="Arial"/>
          <w:sz w:val="20"/>
          <w:szCs w:val="20"/>
        </w:rPr>
      </w:pPr>
      <w:r w:rsidRPr="00AC4AEA">
        <w:rPr>
          <w:rFonts w:ascii="Arial" w:hAnsi="Arial" w:cs="Arial"/>
          <w:sz w:val="20"/>
          <w:szCs w:val="20"/>
        </w:rPr>
        <w:t xml:space="preserve">Por su </w:t>
      </w:r>
      <w:r w:rsidRPr="00AC4AEA">
        <w:rPr>
          <w:rFonts w:ascii="Arial" w:hAnsi="Arial" w:cs="Arial"/>
          <w:b/>
          <w:bCs/>
          <w:sz w:val="20"/>
          <w:szCs w:val="20"/>
        </w:rPr>
        <w:t>valor razonable</w:t>
      </w:r>
      <w:r w:rsidRPr="00AC4AEA">
        <w:rPr>
          <w:rFonts w:ascii="Arial" w:hAnsi="Arial" w:cs="Arial"/>
          <w:sz w:val="20"/>
          <w:szCs w:val="20"/>
        </w:rPr>
        <w:t>, de acuerdo con lo dispuesto en el apartado “</w:t>
      </w:r>
      <w:r w:rsidRPr="00AC4AEA">
        <w:rPr>
          <w:rFonts w:ascii="Arial" w:hAnsi="Arial" w:cs="Arial"/>
          <w:sz w:val="20"/>
          <w:szCs w:val="20"/>
          <w:u w:val="single" w:color="000000"/>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00572664"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 xml:space="preserve">]. </w:t>
      </w:r>
    </w:p>
    <w:p w:rsidR="00421257" w:rsidRPr="00AC4AEA" w:rsidRDefault="00421257" w:rsidP="00C01B25">
      <w:pPr>
        <w:numPr>
          <w:ilvl w:val="1"/>
          <w:numId w:val="719"/>
        </w:numPr>
        <w:spacing w:after="147" w:line="264" w:lineRule="auto"/>
        <w:ind w:hanging="535"/>
        <w:jc w:val="both"/>
        <w:rPr>
          <w:rFonts w:ascii="Arial" w:hAnsi="Arial" w:cs="Arial"/>
          <w:sz w:val="20"/>
          <w:szCs w:val="20"/>
        </w:rPr>
      </w:pPr>
      <w:r w:rsidRPr="00AC4AEA">
        <w:rPr>
          <w:rFonts w:ascii="Arial" w:hAnsi="Arial" w:cs="Arial"/>
          <w:sz w:val="20"/>
          <w:szCs w:val="20"/>
        </w:rPr>
        <w:t xml:space="preserve">Por </w:t>
      </w:r>
      <w:r w:rsidR="00C475B9" w:rsidRPr="00AC4AEA">
        <w:rPr>
          <w:rFonts w:ascii="Arial" w:hAnsi="Arial" w:cs="Arial"/>
          <w:sz w:val="20"/>
          <w:szCs w:val="20"/>
        </w:rPr>
        <w:t>un importe determinado en una instancia anterior</w:t>
      </w:r>
      <w:r w:rsidRPr="00AC4AEA">
        <w:rPr>
          <w:rFonts w:ascii="Arial" w:hAnsi="Arial" w:cs="Arial"/>
          <w:sz w:val="20"/>
          <w:szCs w:val="20"/>
        </w:rPr>
        <w:t xml:space="preserve">, si no fuera posible aplicar lo dispuesto en el inciso precedente. </w:t>
      </w:r>
    </w:p>
    <w:p w:rsidR="00421257" w:rsidRPr="00AC4AEA" w:rsidRDefault="00421257" w:rsidP="008C447A">
      <w:pPr>
        <w:spacing w:line="256" w:lineRule="auto"/>
        <w:ind w:left="934"/>
        <w:jc w:val="both"/>
        <w:rPr>
          <w:rFonts w:ascii="Arial" w:hAnsi="Arial" w:cs="Arial"/>
          <w:sz w:val="20"/>
          <w:szCs w:val="20"/>
        </w:rPr>
      </w:pPr>
      <w:r w:rsidRPr="00AC4AEA">
        <w:rPr>
          <w:rFonts w:ascii="Arial" w:hAnsi="Arial" w:cs="Arial"/>
          <w:sz w:val="20"/>
          <w:szCs w:val="20"/>
        </w:rPr>
        <w:t xml:space="preserve"> </w:t>
      </w:r>
    </w:p>
    <w:p w:rsidR="00421257" w:rsidRPr="00AC4AEA" w:rsidRDefault="00601360" w:rsidP="008C447A">
      <w:pPr>
        <w:pStyle w:val="Ttulo4"/>
      </w:pPr>
      <w:r w:rsidRPr="00AC4AEA">
        <w:t>Imputación de los cambios en el valor razonable de un instrumento derivado</w:t>
      </w:r>
      <w:r w:rsidR="006F2C57">
        <w:t xml:space="preserve"> </w:t>
      </w:r>
    </w:p>
    <w:p w:rsidR="00421257" w:rsidRPr="00AC4AEA" w:rsidRDefault="00421257" w:rsidP="00C01B25">
      <w:pPr>
        <w:numPr>
          <w:ilvl w:val="0"/>
          <w:numId w:val="719"/>
        </w:numPr>
        <w:spacing w:after="143" w:line="247" w:lineRule="auto"/>
        <w:ind w:left="937" w:hanging="536"/>
        <w:jc w:val="both"/>
        <w:rPr>
          <w:rFonts w:ascii="Arial" w:eastAsia="Times New Roman" w:hAnsi="Arial" w:cs="Arial"/>
          <w:sz w:val="20"/>
          <w:szCs w:val="20"/>
          <w:lang w:eastAsia="es-AR"/>
        </w:rPr>
      </w:pPr>
      <w:r w:rsidRPr="00AC4AEA">
        <w:rPr>
          <w:rFonts w:ascii="Arial" w:hAnsi="Arial" w:cs="Arial"/>
          <w:sz w:val="20"/>
          <w:szCs w:val="20"/>
        </w:rPr>
        <w:t xml:space="preserve">Una entidad </w:t>
      </w:r>
      <w:r w:rsidR="00601360" w:rsidRPr="00AC4AEA">
        <w:rPr>
          <w:rFonts w:ascii="Arial" w:hAnsi="Arial" w:cs="Arial"/>
          <w:sz w:val="20"/>
          <w:szCs w:val="20"/>
        </w:rPr>
        <w:t>imputará</w:t>
      </w:r>
      <w:r w:rsidRPr="00AC4AEA">
        <w:rPr>
          <w:rFonts w:ascii="Arial" w:hAnsi="Arial" w:cs="Arial"/>
          <w:sz w:val="20"/>
          <w:szCs w:val="20"/>
        </w:rPr>
        <w:t xml:space="preserve"> las diferencias entre la medición de un instrumento derivado a la </w:t>
      </w:r>
      <w:r w:rsidRPr="00AC4AEA">
        <w:rPr>
          <w:rFonts w:ascii="Arial" w:hAnsi="Arial" w:cs="Arial"/>
          <w:b/>
          <w:bCs/>
          <w:sz w:val="20"/>
          <w:szCs w:val="20"/>
        </w:rPr>
        <w:t>fecha de los estados contables</w:t>
      </w:r>
      <w:r w:rsidRPr="00AC4AEA">
        <w:rPr>
          <w:rFonts w:ascii="Arial" w:hAnsi="Arial" w:cs="Arial"/>
          <w:sz w:val="20"/>
          <w:szCs w:val="20"/>
        </w:rPr>
        <w:t xml:space="preserve"> y su medición anterior del siguiente modo: </w:t>
      </w:r>
    </w:p>
    <w:p w:rsidR="00421257" w:rsidRPr="00AC4AEA" w:rsidRDefault="00421257"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Si no l</w:t>
      </w:r>
      <w:r w:rsidR="008C447A" w:rsidRPr="00AC4AEA">
        <w:rPr>
          <w:rFonts w:ascii="Arial" w:hAnsi="Arial" w:cs="Arial"/>
          <w:sz w:val="20"/>
          <w:szCs w:val="20"/>
        </w:rPr>
        <w:t>o</w:t>
      </w:r>
      <w:r w:rsidRPr="00AC4AEA">
        <w:rPr>
          <w:rFonts w:ascii="Arial" w:hAnsi="Arial" w:cs="Arial"/>
          <w:sz w:val="20"/>
          <w:szCs w:val="20"/>
        </w:rPr>
        <w:t xml:space="preserve"> </w:t>
      </w:r>
      <w:r w:rsidR="008C447A" w:rsidRPr="00AC4AEA">
        <w:rPr>
          <w:rFonts w:ascii="Arial" w:hAnsi="Arial" w:cs="Arial"/>
          <w:sz w:val="20"/>
          <w:szCs w:val="20"/>
        </w:rPr>
        <w:t>desi</w:t>
      </w:r>
      <w:r w:rsidRPr="00AC4AEA">
        <w:rPr>
          <w:rFonts w:ascii="Arial" w:hAnsi="Arial" w:cs="Arial"/>
          <w:sz w:val="20"/>
          <w:szCs w:val="20"/>
        </w:rPr>
        <w:t xml:space="preserve">gnó </w:t>
      </w:r>
      <w:r w:rsidR="008C447A" w:rsidRPr="00AC4AEA">
        <w:rPr>
          <w:rFonts w:ascii="Arial" w:hAnsi="Arial" w:cs="Arial"/>
          <w:sz w:val="20"/>
          <w:szCs w:val="20"/>
        </w:rPr>
        <w:t>como un</w:t>
      </w:r>
      <w:r w:rsidRPr="00AC4AEA">
        <w:rPr>
          <w:rFonts w:ascii="Arial" w:hAnsi="Arial" w:cs="Arial"/>
          <w:sz w:val="20"/>
          <w:szCs w:val="20"/>
        </w:rPr>
        <w:t xml:space="preserve"> instrumento de cobertura: </w:t>
      </w:r>
      <w:r w:rsidR="008C447A" w:rsidRPr="00AC4AEA">
        <w:rPr>
          <w:rFonts w:ascii="Arial" w:hAnsi="Arial" w:cs="Arial"/>
          <w:sz w:val="20"/>
          <w:szCs w:val="20"/>
        </w:rPr>
        <w:t>en</w:t>
      </w:r>
      <w:r w:rsidRPr="00AC4AEA">
        <w:rPr>
          <w:rFonts w:ascii="Arial" w:hAnsi="Arial" w:cs="Arial"/>
          <w:sz w:val="20"/>
          <w:szCs w:val="20"/>
        </w:rPr>
        <w:t xml:space="preserve"> </w:t>
      </w:r>
      <w:r w:rsidR="00601360" w:rsidRPr="00AC4AEA">
        <w:rPr>
          <w:rFonts w:ascii="Arial" w:hAnsi="Arial" w:cs="Arial"/>
          <w:sz w:val="20"/>
          <w:szCs w:val="20"/>
        </w:rPr>
        <w:t>resultados</w:t>
      </w:r>
      <w:r w:rsidRPr="00AC4AEA">
        <w:rPr>
          <w:rFonts w:ascii="Arial" w:hAnsi="Arial" w:cs="Arial"/>
          <w:sz w:val="20"/>
          <w:szCs w:val="20"/>
        </w:rPr>
        <w:t xml:space="preserve">. </w:t>
      </w:r>
    </w:p>
    <w:p w:rsidR="00447976" w:rsidRPr="00331149" w:rsidRDefault="00421257" w:rsidP="00C01B25">
      <w:pPr>
        <w:numPr>
          <w:ilvl w:val="1"/>
          <w:numId w:val="719"/>
        </w:numPr>
        <w:spacing w:after="143" w:line="247" w:lineRule="auto"/>
        <w:ind w:hanging="535"/>
        <w:jc w:val="both"/>
        <w:rPr>
          <w:rFonts w:ascii="Arial" w:hAnsi="Arial" w:cs="Arial"/>
          <w:sz w:val="20"/>
          <w:szCs w:val="20"/>
        </w:rPr>
      </w:pPr>
      <w:r w:rsidRPr="00AC4AEA">
        <w:rPr>
          <w:rFonts w:ascii="Arial" w:hAnsi="Arial" w:cs="Arial"/>
          <w:sz w:val="20"/>
          <w:szCs w:val="20"/>
        </w:rPr>
        <w:t xml:space="preserve">Si </w:t>
      </w:r>
      <w:r w:rsidR="008C447A" w:rsidRPr="00AC4AEA">
        <w:rPr>
          <w:rFonts w:ascii="Arial" w:hAnsi="Arial" w:cs="Arial"/>
          <w:sz w:val="20"/>
          <w:szCs w:val="20"/>
        </w:rPr>
        <w:t>lo designó como</w:t>
      </w:r>
      <w:r w:rsidRPr="00AC4AEA">
        <w:rPr>
          <w:rFonts w:ascii="Arial" w:hAnsi="Arial" w:cs="Arial"/>
          <w:sz w:val="20"/>
          <w:szCs w:val="20"/>
        </w:rPr>
        <w:t xml:space="preserve"> </w:t>
      </w:r>
      <w:r w:rsidR="008C447A" w:rsidRPr="00AC4AEA">
        <w:rPr>
          <w:rFonts w:ascii="Arial" w:hAnsi="Arial" w:cs="Arial"/>
          <w:sz w:val="20"/>
          <w:szCs w:val="20"/>
        </w:rPr>
        <w:t>un</w:t>
      </w:r>
      <w:r w:rsidRPr="00AC4AEA">
        <w:rPr>
          <w:rFonts w:ascii="Arial" w:hAnsi="Arial" w:cs="Arial"/>
          <w:sz w:val="20"/>
          <w:szCs w:val="20"/>
        </w:rPr>
        <w:t xml:space="preserve"> instrumento de </w:t>
      </w:r>
      <w:r w:rsidR="00537DB0" w:rsidRPr="00AC4AEA">
        <w:rPr>
          <w:rFonts w:ascii="Arial" w:hAnsi="Arial" w:cs="Arial"/>
          <w:sz w:val="20"/>
          <w:szCs w:val="20"/>
        </w:rPr>
        <w:t>cobertura</w:t>
      </w:r>
      <w:r w:rsidR="00DB0B3A" w:rsidRPr="00AC4AEA">
        <w:rPr>
          <w:rFonts w:ascii="Arial" w:hAnsi="Arial" w:cs="Arial"/>
          <w:sz w:val="20"/>
          <w:szCs w:val="20"/>
        </w:rPr>
        <w:t xml:space="preserve"> e</w:t>
      </w:r>
      <w:r w:rsidR="00447976" w:rsidRPr="00AC4AEA">
        <w:rPr>
          <w:rFonts w:ascii="Arial" w:hAnsi="Arial" w:cs="Arial"/>
          <w:sz w:val="20"/>
          <w:szCs w:val="20"/>
        </w:rPr>
        <w:t xml:space="preserve">n una relación de cobertura </w:t>
      </w:r>
      <w:r w:rsidR="00447976" w:rsidRPr="00331149">
        <w:rPr>
          <w:rFonts w:ascii="Arial" w:hAnsi="Arial" w:cs="Arial"/>
          <w:sz w:val="20"/>
          <w:szCs w:val="20"/>
        </w:rPr>
        <w:t xml:space="preserve">del </w:t>
      </w:r>
      <w:r w:rsidR="00447976" w:rsidRPr="00331149">
        <w:rPr>
          <w:rFonts w:ascii="Arial" w:hAnsi="Arial" w:cs="Arial"/>
          <w:b/>
          <w:bCs/>
          <w:sz w:val="20"/>
          <w:szCs w:val="20"/>
        </w:rPr>
        <w:t>valor razonable</w:t>
      </w:r>
      <w:r w:rsidR="00447976" w:rsidRPr="00331149">
        <w:rPr>
          <w:rFonts w:ascii="Arial" w:hAnsi="Arial" w:cs="Arial"/>
          <w:sz w:val="20"/>
          <w:szCs w:val="20"/>
        </w:rPr>
        <w:t>: en resultados.</w:t>
      </w:r>
    </w:p>
    <w:p w:rsidR="00AD23C7" w:rsidRPr="00331149" w:rsidRDefault="00DB0B3A" w:rsidP="00C01B25">
      <w:pPr>
        <w:numPr>
          <w:ilvl w:val="1"/>
          <w:numId w:val="719"/>
        </w:numPr>
        <w:spacing w:after="143" w:line="247" w:lineRule="auto"/>
        <w:ind w:hanging="535"/>
        <w:jc w:val="both"/>
        <w:rPr>
          <w:rFonts w:ascii="Arial" w:hAnsi="Arial" w:cs="Arial"/>
          <w:sz w:val="20"/>
          <w:szCs w:val="20"/>
        </w:rPr>
      </w:pPr>
      <w:r w:rsidRPr="00331149">
        <w:rPr>
          <w:rFonts w:ascii="Arial" w:hAnsi="Arial" w:cs="Arial"/>
          <w:sz w:val="20"/>
          <w:szCs w:val="20"/>
        </w:rPr>
        <w:t>Si lo designó como un instrumento de cobertura e</w:t>
      </w:r>
      <w:r w:rsidR="00447976" w:rsidRPr="00331149">
        <w:rPr>
          <w:rFonts w:ascii="Arial" w:hAnsi="Arial" w:cs="Arial"/>
          <w:sz w:val="20"/>
          <w:szCs w:val="20"/>
        </w:rPr>
        <w:t>n una relación de cobertura del flujo de efectivo</w:t>
      </w:r>
      <w:r w:rsidR="00AD23C7" w:rsidRPr="00331149">
        <w:rPr>
          <w:rFonts w:ascii="Arial" w:hAnsi="Arial" w:cs="Arial"/>
          <w:sz w:val="20"/>
          <w:szCs w:val="20"/>
        </w:rPr>
        <w:t xml:space="preserve"> o </w:t>
      </w:r>
      <w:r w:rsidRPr="00331149">
        <w:rPr>
          <w:rFonts w:ascii="Arial" w:hAnsi="Arial" w:cs="Arial"/>
          <w:sz w:val="20"/>
          <w:szCs w:val="20"/>
        </w:rPr>
        <w:t xml:space="preserve">en una relación </w:t>
      </w:r>
      <w:r w:rsidR="00AD23C7" w:rsidRPr="00331149">
        <w:rPr>
          <w:rFonts w:ascii="Arial" w:hAnsi="Arial" w:cs="Arial"/>
          <w:sz w:val="20"/>
          <w:szCs w:val="20"/>
        </w:rPr>
        <w:t>de una inversión neta en una entidad del extranjero</w:t>
      </w:r>
      <w:r w:rsidRPr="00331149">
        <w:rPr>
          <w:rFonts w:ascii="Arial" w:hAnsi="Arial" w:cs="Arial"/>
          <w:sz w:val="20"/>
          <w:szCs w:val="20"/>
        </w:rPr>
        <w:t xml:space="preserve">, de conformidad con lo indicado en el párrafo </w:t>
      </w:r>
      <w:fldSimple w:instr=" REF _Ref135611739 \r \h  \* MERGEFORMAT ">
        <w:r w:rsidR="00D33A5D" w:rsidRPr="00D33A5D">
          <w:rPr>
            <w:rFonts w:ascii="Arial" w:hAnsi="Arial" w:cs="Arial"/>
            <w:sz w:val="20"/>
            <w:szCs w:val="20"/>
          </w:rPr>
          <w:t>1011</w:t>
        </w:r>
      </w:fldSimple>
      <w:r w:rsidR="008915C4" w:rsidRPr="00331149">
        <w:rPr>
          <w:rFonts w:ascii="Arial" w:hAnsi="Arial" w:cs="Arial"/>
          <w:sz w:val="20"/>
          <w:szCs w:val="20"/>
        </w:rPr>
        <w:t>. Por lo tanto:</w:t>
      </w:r>
    </w:p>
    <w:p w:rsidR="00AD23C7" w:rsidRPr="00331149" w:rsidRDefault="00AD23C7" w:rsidP="00C01B25">
      <w:pPr>
        <w:numPr>
          <w:ilvl w:val="2"/>
          <w:numId w:val="719"/>
        </w:numPr>
        <w:spacing w:after="147" w:line="264" w:lineRule="auto"/>
        <w:ind w:hanging="360"/>
        <w:jc w:val="both"/>
        <w:rPr>
          <w:rFonts w:ascii="Arial" w:hAnsi="Arial" w:cs="Arial"/>
          <w:sz w:val="20"/>
          <w:szCs w:val="20"/>
        </w:rPr>
      </w:pPr>
      <w:r w:rsidRPr="00331149">
        <w:rPr>
          <w:rFonts w:ascii="Arial" w:hAnsi="Arial" w:cs="Arial"/>
          <w:sz w:val="20"/>
          <w:szCs w:val="20"/>
        </w:rPr>
        <w:t xml:space="preserve">Imputará la parte de los cambios del </w:t>
      </w:r>
      <w:r w:rsidRPr="00331149">
        <w:rPr>
          <w:rFonts w:ascii="Arial" w:hAnsi="Arial" w:cs="Arial"/>
          <w:b/>
          <w:bCs/>
          <w:sz w:val="20"/>
          <w:szCs w:val="20"/>
        </w:rPr>
        <w:t>valor razonable</w:t>
      </w:r>
      <w:r w:rsidRPr="00331149">
        <w:rPr>
          <w:rFonts w:ascii="Arial" w:hAnsi="Arial" w:cs="Arial"/>
          <w:sz w:val="20"/>
          <w:szCs w:val="20"/>
        </w:rPr>
        <w:t xml:space="preserve"> en el instrumento de cobertura que se considera efectiva en </w:t>
      </w:r>
      <w:r w:rsidRPr="00331149">
        <w:rPr>
          <w:rFonts w:ascii="Arial" w:hAnsi="Arial" w:cs="Arial"/>
          <w:b/>
          <w:bCs/>
          <w:sz w:val="20"/>
          <w:szCs w:val="20"/>
        </w:rPr>
        <w:t>resultados diferidos</w:t>
      </w:r>
      <w:r w:rsidRPr="00331149">
        <w:rPr>
          <w:rFonts w:ascii="Arial" w:hAnsi="Arial" w:cs="Arial"/>
          <w:sz w:val="20"/>
          <w:szCs w:val="20"/>
        </w:rPr>
        <w:t>.</w:t>
      </w:r>
    </w:p>
    <w:p w:rsidR="00447976" w:rsidRPr="00331149" w:rsidRDefault="00AD23C7" w:rsidP="00C01B25">
      <w:pPr>
        <w:numPr>
          <w:ilvl w:val="2"/>
          <w:numId w:val="719"/>
        </w:numPr>
        <w:spacing w:after="147" w:line="264" w:lineRule="auto"/>
        <w:ind w:hanging="420"/>
        <w:jc w:val="both"/>
        <w:rPr>
          <w:rFonts w:ascii="Arial" w:hAnsi="Arial" w:cs="Arial"/>
          <w:sz w:val="20"/>
          <w:szCs w:val="20"/>
        </w:rPr>
      </w:pPr>
      <w:r w:rsidRPr="00331149">
        <w:rPr>
          <w:rFonts w:ascii="Arial" w:hAnsi="Arial" w:cs="Arial"/>
          <w:sz w:val="20"/>
          <w:szCs w:val="20"/>
        </w:rPr>
        <w:t xml:space="preserve">Imputará la parte de los cambios del </w:t>
      </w:r>
      <w:r w:rsidRPr="00331149">
        <w:rPr>
          <w:rFonts w:ascii="Arial" w:hAnsi="Arial" w:cs="Arial"/>
          <w:b/>
          <w:bCs/>
          <w:sz w:val="20"/>
          <w:szCs w:val="20"/>
        </w:rPr>
        <w:t>valor razonable</w:t>
      </w:r>
      <w:r w:rsidRPr="00331149">
        <w:rPr>
          <w:rFonts w:ascii="Arial" w:hAnsi="Arial" w:cs="Arial"/>
          <w:sz w:val="20"/>
          <w:szCs w:val="20"/>
        </w:rPr>
        <w:t xml:space="preserve"> en el instrumento de cobertura que se considera ineficaz en resultados.</w:t>
      </w:r>
    </w:p>
    <w:p w:rsidR="00421257" w:rsidRPr="00AC4AEA" w:rsidRDefault="009E6630" w:rsidP="00C01B25">
      <w:pPr>
        <w:numPr>
          <w:ilvl w:val="0"/>
          <w:numId w:val="719"/>
        </w:numPr>
        <w:spacing w:after="143" w:line="247" w:lineRule="auto"/>
        <w:ind w:left="937" w:hanging="536"/>
        <w:jc w:val="both"/>
        <w:rPr>
          <w:rFonts w:ascii="Arial" w:hAnsi="Arial" w:cs="Arial"/>
          <w:sz w:val="20"/>
          <w:szCs w:val="20"/>
        </w:rPr>
      </w:pPr>
      <w:r w:rsidRPr="00AC4AEA">
        <w:rPr>
          <w:rFonts w:ascii="Arial" w:hAnsi="Arial" w:cs="Arial"/>
          <w:sz w:val="20"/>
          <w:szCs w:val="20"/>
        </w:rPr>
        <w:t xml:space="preserve">Cuando una entidad haya designado a un instrumento derivado como un instrumento de cobertura, </w:t>
      </w:r>
      <w:r w:rsidR="00686346" w:rsidRPr="00AC4AEA">
        <w:rPr>
          <w:rFonts w:ascii="Arial" w:hAnsi="Arial" w:cs="Arial"/>
          <w:sz w:val="20"/>
          <w:szCs w:val="20"/>
        </w:rPr>
        <w:t xml:space="preserve">tratará cualquier saldo acumulado en resultados diferido de conformidad con lo establecido en el párrafo </w:t>
      </w:r>
      <w:fldSimple w:instr=" REF _Ref135611919 \r \h  \* MERGEFORMAT ">
        <w:r w:rsidR="00D33A5D" w:rsidRPr="00D33A5D">
          <w:rPr>
            <w:rFonts w:ascii="Arial" w:hAnsi="Arial" w:cs="Arial"/>
            <w:sz w:val="20"/>
            <w:szCs w:val="20"/>
          </w:rPr>
          <w:t>1012</w:t>
        </w:r>
      </w:fldSimple>
      <w:r w:rsidR="00686346" w:rsidRPr="00AC4AEA">
        <w:rPr>
          <w:rFonts w:ascii="Arial" w:hAnsi="Arial" w:cs="Arial"/>
          <w:sz w:val="20"/>
          <w:szCs w:val="20"/>
        </w:rPr>
        <w:t>.</w:t>
      </w:r>
      <w:r w:rsidR="00421257" w:rsidRPr="00AC4AEA">
        <w:rPr>
          <w:rFonts w:ascii="Arial" w:hAnsi="Arial" w:cs="Arial"/>
          <w:sz w:val="20"/>
          <w:szCs w:val="20"/>
        </w:rPr>
        <w:t xml:space="preserve"> </w:t>
      </w:r>
    </w:p>
    <w:p w:rsidR="00E93FBA" w:rsidRPr="00AC4AEA" w:rsidRDefault="00E93FBA" w:rsidP="00E93FBA">
      <w:pPr>
        <w:spacing w:after="143" w:line="247" w:lineRule="auto"/>
        <w:ind w:left="1456"/>
        <w:jc w:val="both"/>
        <w:rPr>
          <w:rFonts w:ascii="Arial" w:hAnsi="Arial" w:cs="Arial"/>
          <w:sz w:val="20"/>
          <w:szCs w:val="20"/>
        </w:rPr>
      </w:pPr>
    </w:p>
    <w:p w:rsidR="00421257" w:rsidRPr="00AC4AEA" w:rsidRDefault="00421257" w:rsidP="00A318EA">
      <w:pPr>
        <w:pStyle w:val="Ttulo2"/>
        <w:rPr>
          <w:rFonts w:cs="Arial"/>
        </w:rPr>
      </w:pPr>
      <w:bookmarkStart w:id="1252" w:name="_Toc139357068"/>
      <w:r w:rsidRPr="00AC4AEA">
        <w:rPr>
          <w:rFonts w:cs="Arial"/>
        </w:rPr>
        <w:t>Revelación en notas</w:t>
      </w:r>
      <w:bookmarkEnd w:id="1252"/>
      <w:r w:rsidRPr="00AC4AEA">
        <w:rPr>
          <w:rFonts w:cs="Arial"/>
        </w:rPr>
        <w:t xml:space="preserve"> </w:t>
      </w:r>
    </w:p>
    <w:p w:rsidR="00421257" w:rsidRPr="00AC4AEA" w:rsidRDefault="00421257" w:rsidP="00C01B25">
      <w:pPr>
        <w:numPr>
          <w:ilvl w:val="0"/>
          <w:numId w:val="719"/>
        </w:numPr>
        <w:spacing w:after="143" w:line="247" w:lineRule="auto"/>
        <w:ind w:left="937" w:hanging="536"/>
        <w:jc w:val="both"/>
        <w:rPr>
          <w:rFonts w:ascii="Arial" w:eastAsia="Times New Roman" w:hAnsi="Arial" w:cs="Arial"/>
          <w:sz w:val="20"/>
          <w:szCs w:val="20"/>
          <w:lang w:eastAsia="es-AR"/>
        </w:rPr>
      </w:pPr>
      <w:bookmarkStart w:id="1253" w:name="_Ref135045581"/>
      <w:r w:rsidRPr="00AC4AEA">
        <w:rPr>
          <w:rFonts w:ascii="Arial" w:hAnsi="Arial" w:cs="Arial"/>
          <w:sz w:val="20"/>
          <w:szCs w:val="20"/>
        </w:rPr>
        <w:t>Una entidad revelará en notas:</w:t>
      </w:r>
      <w:bookmarkEnd w:id="1253"/>
      <w:r w:rsidRPr="00AC4AEA">
        <w:rPr>
          <w:rFonts w:ascii="Arial" w:hAnsi="Arial" w:cs="Arial"/>
          <w:sz w:val="20"/>
          <w:szCs w:val="20"/>
        </w:rPr>
        <w:t xml:space="preserve"> </w:t>
      </w:r>
    </w:p>
    <w:p w:rsidR="00421257" w:rsidRPr="00AC4AEA" w:rsidRDefault="00421257"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Para cada grupo homogéneo </w:t>
      </w:r>
      <w:r w:rsidR="00A374C9" w:rsidRPr="00AC4AEA">
        <w:rPr>
          <w:rFonts w:ascii="Arial" w:hAnsi="Arial" w:cs="Arial"/>
          <w:sz w:val="20"/>
          <w:szCs w:val="20"/>
        </w:rPr>
        <w:t xml:space="preserve">instrumentos derivados que no se hayan medido por su </w:t>
      </w:r>
      <w:r w:rsidR="00A374C9" w:rsidRPr="00AC4AEA">
        <w:rPr>
          <w:rFonts w:ascii="Arial" w:hAnsi="Arial" w:cs="Arial"/>
          <w:b/>
          <w:bCs/>
          <w:sz w:val="20"/>
          <w:szCs w:val="20"/>
        </w:rPr>
        <w:t>valor razonable</w:t>
      </w:r>
      <w:r w:rsidRPr="00AC4AEA">
        <w:rPr>
          <w:rFonts w:ascii="Arial" w:hAnsi="Arial" w:cs="Arial"/>
          <w:sz w:val="20"/>
          <w:szCs w:val="20"/>
        </w:rPr>
        <w:t xml:space="preserve">: </w:t>
      </w:r>
    </w:p>
    <w:p w:rsidR="00A374C9" w:rsidRPr="00AC4AEA" w:rsidRDefault="004133ED" w:rsidP="00C01B25">
      <w:pPr>
        <w:numPr>
          <w:ilvl w:val="2"/>
          <w:numId w:val="719"/>
        </w:numPr>
        <w:spacing w:after="147" w:line="264" w:lineRule="auto"/>
        <w:ind w:hanging="420"/>
        <w:jc w:val="both"/>
        <w:rPr>
          <w:rFonts w:ascii="Arial" w:hAnsi="Arial" w:cs="Arial"/>
          <w:sz w:val="20"/>
          <w:szCs w:val="20"/>
        </w:rPr>
      </w:pPr>
      <w:r w:rsidRPr="00AC4AEA">
        <w:rPr>
          <w:rFonts w:ascii="Arial" w:hAnsi="Arial" w:cs="Arial"/>
          <w:sz w:val="20"/>
          <w:szCs w:val="20"/>
        </w:rPr>
        <w:lastRenderedPageBreak/>
        <w:t>el</w:t>
      </w:r>
      <w:r w:rsidR="00421257" w:rsidRPr="00AC4AEA">
        <w:rPr>
          <w:rFonts w:ascii="Arial" w:hAnsi="Arial" w:cs="Arial"/>
          <w:sz w:val="20"/>
          <w:szCs w:val="20"/>
        </w:rPr>
        <w:t xml:space="preserve"> </w:t>
      </w:r>
      <w:r w:rsidRPr="00AC4AEA">
        <w:rPr>
          <w:rFonts w:ascii="Arial" w:hAnsi="Arial" w:cs="Arial"/>
          <w:sz w:val="20"/>
          <w:szCs w:val="20"/>
        </w:rPr>
        <w:t xml:space="preserve">hecho de que su </w:t>
      </w:r>
      <w:r w:rsidR="00421257" w:rsidRPr="00AC4AEA">
        <w:rPr>
          <w:rFonts w:ascii="Arial" w:hAnsi="Arial" w:cs="Arial"/>
          <w:sz w:val="20"/>
          <w:szCs w:val="20"/>
        </w:rPr>
        <w:t>medición contable responda a otros criterios</w:t>
      </w:r>
      <w:r w:rsidRPr="00AC4AEA">
        <w:rPr>
          <w:rFonts w:ascii="Arial" w:hAnsi="Arial" w:cs="Arial"/>
          <w:sz w:val="20"/>
          <w:szCs w:val="20"/>
        </w:rPr>
        <w:t xml:space="preserve"> distintos del </w:t>
      </w:r>
      <w:r w:rsidRPr="00AC4AEA">
        <w:rPr>
          <w:rFonts w:ascii="Arial" w:hAnsi="Arial" w:cs="Arial"/>
          <w:b/>
          <w:bCs/>
          <w:sz w:val="20"/>
          <w:szCs w:val="20"/>
        </w:rPr>
        <w:t>valor razonable</w:t>
      </w:r>
      <w:r w:rsidR="00421257" w:rsidRPr="00AC4AEA">
        <w:rPr>
          <w:rFonts w:ascii="Arial" w:hAnsi="Arial" w:cs="Arial"/>
          <w:sz w:val="20"/>
          <w:szCs w:val="20"/>
        </w:rPr>
        <w:t xml:space="preserve">; </w:t>
      </w:r>
    </w:p>
    <w:p w:rsidR="00421257" w:rsidRPr="00AC4AEA" w:rsidRDefault="00A374C9" w:rsidP="00C01B25">
      <w:pPr>
        <w:numPr>
          <w:ilvl w:val="2"/>
          <w:numId w:val="719"/>
        </w:numPr>
        <w:spacing w:after="147" w:line="264" w:lineRule="auto"/>
        <w:ind w:hanging="420"/>
        <w:jc w:val="both"/>
        <w:rPr>
          <w:rFonts w:ascii="Arial" w:hAnsi="Arial" w:cs="Arial"/>
          <w:sz w:val="20"/>
          <w:szCs w:val="20"/>
        </w:rPr>
      </w:pPr>
      <w:r w:rsidRPr="00AC4AEA">
        <w:rPr>
          <w:rFonts w:ascii="Arial" w:hAnsi="Arial" w:cs="Arial"/>
          <w:sz w:val="20"/>
          <w:szCs w:val="20"/>
        </w:rPr>
        <w:t xml:space="preserve">el criterio de medición empleado; </w:t>
      </w:r>
      <w:r w:rsidR="00421257" w:rsidRPr="00AC4AEA">
        <w:rPr>
          <w:rFonts w:ascii="Arial" w:hAnsi="Arial" w:cs="Arial"/>
          <w:sz w:val="20"/>
          <w:szCs w:val="20"/>
        </w:rPr>
        <w:t xml:space="preserve">y </w:t>
      </w:r>
    </w:p>
    <w:p w:rsidR="00421257" w:rsidRPr="00AC4AEA" w:rsidRDefault="00421257" w:rsidP="00C01B25">
      <w:pPr>
        <w:numPr>
          <w:ilvl w:val="2"/>
          <w:numId w:val="719"/>
        </w:numPr>
        <w:spacing w:after="147" w:line="264" w:lineRule="auto"/>
        <w:ind w:hanging="420"/>
        <w:jc w:val="both"/>
        <w:rPr>
          <w:rFonts w:ascii="Arial" w:hAnsi="Arial" w:cs="Arial"/>
          <w:sz w:val="20"/>
          <w:szCs w:val="20"/>
        </w:rPr>
      </w:pPr>
      <w:r w:rsidRPr="00AC4AEA">
        <w:rPr>
          <w:rFonts w:ascii="Arial" w:hAnsi="Arial" w:cs="Arial"/>
          <w:sz w:val="20"/>
          <w:szCs w:val="20"/>
        </w:rPr>
        <w:t xml:space="preserve">los motivos para no aplicar el criterio referido en el inciso </w:t>
      </w:r>
      <w:r w:rsidR="00A374C9" w:rsidRPr="00AC4AEA">
        <w:rPr>
          <w:rFonts w:ascii="Arial" w:hAnsi="Arial" w:cs="Arial"/>
          <w:sz w:val="20"/>
          <w:szCs w:val="20"/>
        </w:rPr>
        <w:t xml:space="preserve">(i) </w:t>
      </w:r>
      <w:r w:rsidRPr="00AC4AEA">
        <w:rPr>
          <w:rFonts w:ascii="Arial" w:hAnsi="Arial" w:cs="Arial"/>
          <w:sz w:val="20"/>
          <w:szCs w:val="20"/>
        </w:rPr>
        <w:t xml:space="preserve">anterior. </w:t>
      </w:r>
    </w:p>
    <w:p w:rsidR="00421257" w:rsidRPr="00AC4AEA" w:rsidRDefault="00A374C9"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Para cada grupo homogéneo instrumentos derivados que se hayan medido por su </w:t>
      </w:r>
      <w:r w:rsidRPr="00AC4AEA">
        <w:rPr>
          <w:rFonts w:ascii="Arial" w:hAnsi="Arial" w:cs="Arial"/>
          <w:b/>
          <w:bCs/>
          <w:sz w:val="20"/>
          <w:szCs w:val="20"/>
        </w:rPr>
        <w:t>valor razonable,</w:t>
      </w:r>
      <w:r w:rsidRPr="00AC4AEA">
        <w:rPr>
          <w:rFonts w:ascii="Arial" w:hAnsi="Arial" w:cs="Arial"/>
          <w:sz w:val="20"/>
          <w:szCs w:val="20"/>
        </w:rPr>
        <w:t xml:space="preserve"> </w:t>
      </w:r>
      <w:r w:rsidR="00421257" w:rsidRPr="00AC4AEA">
        <w:rPr>
          <w:rFonts w:ascii="Arial" w:hAnsi="Arial" w:cs="Arial"/>
          <w:sz w:val="20"/>
          <w:szCs w:val="20"/>
        </w:rPr>
        <w:t xml:space="preserve">los métodos y principales presunciones empleadas para determinar </w:t>
      </w:r>
      <w:r w:rsidRPr="00AC4AEA">
        <w:rPr>
          <w:rFonts w:ascii="Arial" w:hAnsi="Arial" w:cs="Arial"/>
          <w:sz w:val="20"/>
          <w:szCs w:val="20"/>
        </w:rPr>
        <w:t>tales valores</w:t>
      </w:r>
      <w:r w:rsidR="00477C6F"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477C6F"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as causas de las reclasificaciones de activos financieros que hayan implicado el abandono de los criterios de medición basados en</w:t>
      </w:r>
      <w:r w:rsidRPr="00AC4AEA">
        <w:rPr>
          <w:rFonts w:ascii="Arial" w:hAnsi="Arial" w:cs="Arial"/>
          <w:sz w:val="20"/>
          <w:szCs w:val="20"/>
        </w:rPr>
        <w:t xml:space="preserve"> el </w:t>
      </w:r>
      <w:r w:rsidRPr="00AC4AEA">
        <w:rPr>
          <w:rFonts w:ascii="Arial" w:hAnsi="Arial" w:cs="Arial"/>
          <w:b/>
          <w:bCs/>
          <w:sz w:val="20"/>
          <w:szCs w:val="20"/>
        </w:rPr>
        <w:t>valor razonable</w:t>
      </w:r>
      <w:r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477C6F"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L</w:t>
      </w:r>
      <w:r w:rsidR="00421257" w:rsidRPr="00AC4AEA">
        <w:rPr>
          <w:rFonts w:ascii="Arial" w:hAnsi="Arial" w:cs="Arial"/>
          <w:sz w:val="20"/>
          <w:szCs w:val="20"/>
        </w:rPr>
        <w:t>as concentraciones del riesgo crediticio</w:t>
      </w:r>
      <w:r w:rsidRPr="00AC4AEA">
        <w:rPr>
          <w:rFonts w:ascii="Arial" w:hAnsi="Arial" w:cs="Arial"/>
          <w:sz w:val="20"/>
          <w:szCs w:val="20"/>
        </w:rPr>
        <w:t>.</w:t>
      </w:r>
      <w:r w:rsidR="00421257" w:rsidRPr="00AC4AEA">
        <w:rPr>
          <w:rFonts w:ascii="Arial" w:hAnsi="Arial" w:cs="Arial"/>
          <w:sz w:val="20"/>
          <w:szCs w:val="20"/>
        </w:rPr>
        <w:t xml:space="preserve"> </w:t>
      </w:r>
    </w:p>
    <w:p w:rsidR="00421257" w:rsidRPr="00AC4AEA" w:rsidRDefault="00477C6F"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E</w:t>
      </w:r>
      <w:r w:rsidR="00421257" w:rsidRPr="00AC4AEA">
        <w:rPr>
          <w:rFonts w:ascii="Arial" w:hAnsi="Arial" w:cs="Arial"/>
          <w:sz w:val="20"/>
          <w:szCs w:val="20"/>
        </w:rPr>
        <w:t xml:space="preserve">l máximo riesgo crediticio involucrado (sin considerar el efecto de las garantías recibidas), cuando su importe difiriera del presentado para el rubro en el estado de situación patrimonial (por ejemplo, en los casos de créditos susceptibles de compensación con deudas que se exponen en el pasivo). </w:t>
      </w:r>
    </w:p>
    <w:p w:rsidR="00421257" w:rsidRPr="00AC4AEA" w:rsidRDefault="00421257" w:rsidP="00C01B25">
      <w:pPr>
        <w:numPr>
          <w:ilvl w:val="1"/>
          <w:numId w:val="719"/>
        </w:numPr>
        <w:spacing w:line="264" w:lineRule="auto"/>
        <w:ind w:left="1559" w:hanging="567"/>
        <w:jc w:val="both"/>
        <w:rPr>
          <w:rFonts w:ascii="Arial" w:hAnsi="Arial" w:cs="Arial"/>
          <w:sz w:val="20"/>
          <w:szCs w:val="20"/>
        </w:rPr>
      </w:pPr>
      <w:r w:rsidRPr="00AC4AEA">
        <w:rPr>
          <w:rFonts w:ascii="Arial" w:hAnsi="Arial" w:cs="Arial"/>
          <w:sz w:val="20"/>
          <w:szCs w:val="20"/>
        </w:rPr>
        <w:t xml:space="preserve">La descripción de los objetivos y políticas en materia de gestión de riesgos, incluyendo: </w:t>
      </w:r>
    </w:p>
    <w:p w:rsidR="00421257" w:rsidRPr="00331149" w:rsidRDefault="00421257" w:rsidP="00C01B25">
      <w:pPr>
        <w:numPr>
          <w:ilvl w:val="2"/>
          <w:numId w:val="719"/>
        </w:numPr>
        <w:spacing w:after="147" w:line="264" w:lineRule="auto"/>
        <w:ind w:hanging="420"/>
        <w:jc w:val="both"/>
        <w:rPr>
          <w:rFonts w:ascii="Arial" w:hAnsi="Arial" w:cs="Arial"/>
          <w:sz w:val="20"/>
          <w:szCs w:val="20"/>
        </w:rPr>
      </w:pPr>
      <w:r w:rsidRPr="00331149">
        <w:rPr>
          <w:rFonts w:ascii="Arial" w:hAnsi="Arial" w:cs="Arial"/>
          <w:sz w:val="20"/>
          <w:szCs w:val="20"/>
        </w:rPr>
        <w:t>políticas de cobertura para cada un</w:t>
      </w:r>
      <w:r w:rsidR="00A8613B" w:rsidRPr="00331149">
        <w:rPr>
          <w:rFonts w:ascii="Arial" w:hAnsi="Arial" w:cs="Arial"/>
          <w:sz w:val="20"/>
          <w:szCs w:val="20"/>
        </w:rPr>
        <w:t>a</w:t>
      </w:r>
      <w:r w:rsidRPr="00331149">
        <w:rPr>
          <w:rFonts w:ascii="Arial" w:hAnsi="Arial" w:cs="Arial"/>
          <w:sz w:val="20"/>
          <w:szCs w:val="20"/>
        </w:rPr>
        <w:t xml:space="preserve"> de las operaciones previstas significativas; </w:t>
      </w:r>
    </w:p>
    <w:p w:rsidR="00421257" w:rsidRPr="00AC4AEA" w:rsidRDefault="00421257" w:rsidP="00C01B25">
      <w:pPr>
        <w:numPr>
          <w:ilvl w:val="2"/>
          <w:numId w:val="719"/>
        </w:numPr>
        <w:spacing w:after="147" w:line="264" w:lineRule="auto"/>
        <w:ind w:hanging="420"/>
        <w:jc w:val="both"/>
        <w:rPr>
          <w:rFonts w:ascii="Arial" w:hAnsi="Arial" w:cs="Arial"/>
          <w:sz w:val="20"/>
          <w:szCs w:val="20"/>
        </w:rPr>
      </w:pPr>
      <w:r w:rsidRPr="00331149">
        <w:rPr>
          <w:rFonts w:ascii="Arial" w:hAnsi="Arial" w:cs="Arial"/>
          <w:sz w:val="20"/>
          <w:szCs w:val="20"/>
        </w:rPr>
        <w:t>para cada uno de los tipos de riesgos (</w:t>
      </w:r>
      <w:r w:rsidRPr="00331149">
        <w:rPr>
          <w:rFonts w:ascii="Arial" w:hAnsi="Arial" w:cs="Arial"/>
          <w:b/>
          <w:bCs/>
          <w:sz w:val="20"/>
          <w:szCs w:val="20"/>
        </w:rPr>
        <w:t xml:space="preserve">valor </w:t>
      </w:r>
      <w:r w:rsidR="00F9244B" w:rsidRPr="00331149">
        <w:rPr>
          <w:rFonts w:ascii="Arial" w:hAnsi="Arial" w:cs="Arial"/>
          <w:b/>
          <w:bCs/>
          <w:sz w:val="20"/>
          <w:szCs w:val="20"/>
        </w:rPr>
        <w:t>razonable</w:t>
      </w:r>
      <w:r w:rsidRPr="00331149">
        <w:rPr>
          <w:rFonts w:ascii="Arial" w:hAnsi="Arial" w:cs="Arial"/>
          <w:sz w:val="20"/>
          <w:szCs w:val="20"/>
        </w:rPr>
        <w:t>, flujos de efectivo e inversión neta en una entidad extranjera</w:t>
      </w:r>
      <w:r w:rsidRPr="00AC4AEA">
        <w:rPr>
          <w:rFonts w:ascii="Arial" w:hAnsi="Arial" w:cs="Arial"/>
          <w:sz w:val="20"/>
          <w:szCs w:val="20"/>
        </w:rPr>
        <w:t xml:space="preserve">): </w:t>
      </w:r>
    </w:p>
    <w:p w:rsidR="00421257" w:rsidRPr="00AC4AEA" w:rsidRDefault="00421257" w:rsidP="00C01B25">
      <w:pPr>
        <w:numPr>
          <w:ilvl w:val="3"/>
          <w:numId w:val="719"/>
        </w:numPr>
        <w:spacing w:after="147" w:line="264" w:lineRule="auto"/>
        <w:ind w:hanging="372"/>
        <w:jc w:val="both"/>
        <w:rPr>
          <w:rFonts w:ascii="Arial" w:hAnsi="Arial" w:cs="Arial"/>
          <w:sz w:val="20"/>
          <w:szCs w:val="20"/>
        </w:rPr>
      </w:pPr>
      <w:r w:rsidRPr="00AC4AEA">
        <w:rPr>
          <w:rFonts w:ascii="Arial" w:hAnsi="Arial" w:cs="Arial"/>
          <w:sz w:val="20"/>
          <w:szCs w:val="20"/>
        </w:rPr>
        <w:t>descripción de la operación de cobertura;</w:t>
      </w:r>
      <w:r w:rsidR="006F2C57">
        <w:rPr>
          <w:rFonts w:ascii="Arial" w:hAnsi="Arial" w:cs="Arial"/>
          <w:sz w:val="20"/>
          <w:szCs w:val="20"/>
        </w:rPr>
        <w:t xml:space="preserve"> </w:t>
      </w:r>
    </w:p>
    <w:p w:rsidR="00421257" w:rsidRPr="00AC4AEA" w:rsidRDefault="00421257" w:rsidP="00C01B25">
      <w:pPr>
        <w:numPr>
          <w:ilvl w:val="3"/>
          <w:numId w:val="719"/>
        </w:numPr>
        <w:spacing w:after="147" w:line="264" w:lineRule="auto"/>
        <w:ind w:hanging="372"/>
        <w:jc w:val="both"/>
        <w:rPr>
          <w:rFonts w:ascii="Arial" w:hAnsi="Arial" w:cs="Arial"/>
          <w:sz w:val="20"/>
          <w:szCs w:val="20"/>
        </w:rPr>
      </w:pPr>
      <w:r w:rsidRPr="00AC4AEA">
        <w:rPr>
          <w:rFonts w:ascii="Arial" w:hAnsi="Arial" w:cs="Arial"/>
          <w:sz w:val="20"/>
          <w:szCs w:val="20"/>
        </w:rPr>
        <w:t>descripción de</w:t>
      </w:r>
      <w:r w:rsidR="00F9244B" w:rsidRPr="00AC4AEA">
        <w:rPr>
          <w:rFonts w:ascii="Arial" w:hAnsi="Arial" w:cs="Arial"/>
          <w:sz w:val="20"/>
          <w:szCs w:val="20"/>
        </w:rPr>
        <w:t>l</w:t>
      </w:r>
      <w:r w:rsidRPr="00AC4AEA">
        <w:rPr>
          <w:rFonts w:ascii="Arial" w:hAnsi="Arial" w:cs="Arial"/>
          <w:sz w:val="20"/>
          <w:szCs w:val="20"/>
        </w:rPr>
        <w:t xml:space="preserve"> </w:t>
      </w:r>
      <w:r w:rsidR="00F9244B" w:rsidRPr="00AC4AEA">
        <w:rPr>
          <w:rFonts w:ascii="Arial" w:hAnsi="Arial" w:cs="Arial"/>
          <w:sz w:val="20"/>
          <w:szCs w:val="20"/>
        </w:rPr>
        <w:t xml:space="preserve">instrumento </w:t>
      </w:r>
      <w:r w:rsidRPr="00AC4AEA">
        <w:rPr>
          <w:rFonts w:ascii="Arial" w:hAnsi="Arial" w:cs="Arial"/>
          <w:sz w:val="20"/>
          <w:szCs w:val="20"/>
        </w:rPr>
        <w:t xml:space="preserve">de cobertura, y </w:t>
      </w:r>
      <w:r w:rsidR="00F9244B" w:rsidRPr="00AC4AEA">
        <w:rPr>
          <w:rFonts w:ascii="Arial" w:hAnsi="Arial" w:cs="Arial"/>
          <w:sz w:val="20"/>
          <w:szCs w:val="20"/>
        </w:rPr>
        <w:t>su correspondiente</w:t>
      </w:r>
      <w:r w:rsidRPr="00AC4AEA">
        <w:rPr>
          <w:rFonts w:ascii="Arial" w:hAnsi="Arial" w:cs="Arial"/>
          <w:sz w:val="20"/>
          <w:szCs w:val="20"/>
        </w:rPr>
        <w:t xml:space="preserve"> </w:t>
      </w:r>
      <w:r w:rsidRPr="00AC4AEA">
        <w:rPr>
          <w:rFonts w:ascii="Arial" w:hAnsi="Arial" w:cs="Arial"/>
          <w:b/>
          <w:bCs/>
          <w:sz w:val="20"/>
          <w:szCs w:val="20"/>
        </w:rPr>
        <w:t xml:space="preserve">valor </w:t>
      </w:r>
      <w:r w:rsidR="00F9244B" w:rsidRPr="00AC4AEA">
        <w:rPr>
          <w:rFonts w:ascii="Arial" w:hAnsi="Arial" w:cs="Arial"/>
          <w:b/>
          <w:bCs/>
          <w:sz w:val="20"/>
          <w:szCs w:val="20"/>
        </w:rPr>
        <w:t>razonable</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3"/>
          <w:numId w:val="719"/>
        </w:numPr>
        <w:spacing w:after="168" w:line="264" w:lineRule="auto"/>
        <w:ind w:hanging="372"/>
        <w:jc w:val="both"/>
        <w:rPr>
          <w:rFonts w:ascii="Arial" w:hAnsi="Arial" w:cs="Arial"/>
          <w:sz w:val="20"/>
          <w:szCs w:val="20"/>
        </w:rPr>
      </w:pPr>
      <w:r w:rsidRPr="00AC4AEA">
        <w:rPr>
          <w:rFonts w:ascii="Arial" w:hAnsi="Arial" w:cs="Arial"/>
          <w:sz w:val="20"/>
          <w:szCs w:val="20"/>
        </w:rPr>
        <w:t>la naturaleza y cuantificación de los riesgos que han sido cubiertos;</w:t>
      </w:r>
      <w:r w:rsidR="006F2C57">
        <w:rPr>
          <w:rFonts w:ascii="Arial" w:hAnsi="Arial" w:cs="Arial"/>
          <w:sz w:val="20"/>
          <w:szCs w:val="20"/>
        </w:rPr>
        <w:t xml:space="preserve"> </w:t>
      </w:r>
    </w:p>
    <w:p w:rsidR="00421257" w:rsidRPr="00AC4AEA" w:rsidRDefault="00421257" w:rsidP="00C01B25">
      <w:pPr>
        <w:numPr>
          <w:ilvl w:val="3"/>
          <w:numId w:val="719"/>
        </w:numPr>
        <w:spacing w:after="147" w:line="264" w:lineRule="auto"/>
        <w:ind w:hanging="372"/>
        <w:jc w:val="both"/>
        <w:rPr>
          <w:rFonts w:ascii="Arial" w:hAnsi="Arial" w:cs="Arial"/>
          <w:sz w:val="20"/>
          <w:szCs w:val="20"/>
        </w:rPr>
      </w:pPr>
      <w:r w:rsidRPr="00AC4AEA">
        <w:rPr>
          <w:rFonts w:ascii="Arial" w:hAnsi="Arial" w:cs="Arial"/>
          <w:sz w:val="20"/>
          <w:szCs w:val="20"/>
        </w:rPr>
        <w:t>para la cobertura de transacciones esperadas en el futuro</w:t>
      </w:r>
      <w:r w:rsidR="00F9244B" w:rsidRPr="00AC4AEA">
        <w:rPr>
          <w:rFonts w:ascii="Arial" w:hAnsi="Arial" w:cs="Arial"/>
          <w:sz w:val="20"/>
          <w:szCs w:val="20"/>
        </w:rPr>
        <w:t xml:space="preserve"> (altamente probable)</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4"/>
          <w:numId w:val="719"/>
        </w:numPr>
        <w:spacing w:after="143" w:line="247" w:lineRule="auto"/>
        <w:ind w:hanging="338"/>
        <w:jc w:val="both"/>
        <w:rPr>
          <w:rFonts w:ascii="Arial" w:hAnsi="Arial" w:cs="Arial"/>
          <w:sz w:val="20"/>
          <w:szCs w:val="20"/>
        </w:rPr>
      </w:pPr>
      <w:r w:rsidRPr="00AC4AEA">
        <w:rPr>
          <w:rFonts w:ascii="Arial" w:hAnsi="Arial" w:cs="Arial"/>
          <w:sz w:val="20"/>
          <w:szCs w:val="20"/>
        </w:rPr>
        <w:t>los períodos en que se espera que las transacciones ocurran;</w:t>
      </w:r>
      <w:r w:rsidR="006F2C57">
        <w:rPr>
          <w:rFonts w:ascii="Arial" w:hAnsi="Arial" w:cs="Arial"/>
          <w:sz w:val="20"/>
          <w:szCs w:val="20"/>
        </w:rPr>
        <w:t xml:space="preserve"> </w:t>
      </w:r>
    </w:p>
    <w:p w:rsidR="00421257" w:rsidRPr="00AC4AEA" w:rsidRDefault="00421257" w:rsidP="00C01B25">
      <w:pPr>
        <w:numPr>
          <w:ilvl w:val="4"/>
          <w:numId w:val="719"/>
        </w:numPr>
        <w:spacing w:after="143" w:line="247" w:lineRule="auto"/>
        <w:ind w:hanging="338"/>
        <w:jc w:val="both"/>
        <w:rPr>
          <w:rFonts w:ascii="Arial" w:hAnsi="Arial" w:cs="Arial"/>
          <w:sz w:val="20"/>
          <w:szCs w:val="20"/>
        </w:rPr>
      </w:pPr>
      <w:r w:rsidRPr="00AC4AEA">
        <w:rPr>
          <w:rFonts w:ascii="Arial" w:hAnsi="Arial" w:cs="Arial"/>
          <w:sz w:val="20"/>
          <w:szCs w:val="20"/>
        </w:rPr>
        <w:t>los períodos en que se espera que las transacciones afecten a los resultados;</w:t>
      </w:r>
      <w:r w:rsidR="00F9244B" w:rsidRPr="00AC4AEA">
        <w:rPr>
          <w:rFonts w:ascii="Arial" w:hAnsi="Arial" w:cs="Arial"/>
          <w:sz w:val="20"/>
          <w:szCs w:val="20"/>
        </w:rPr>
        <w:t xml:space="preserve"> y</w:t>
      </w:r>
      <w:r w:rsidR="006F2C57">
        <w:rPr>
          <w:rFonts w:ascii="Arial" w:hAnsi="Arial" w:cs="Arial"/>
          <w:sz w:val="20"/>
          <w:szCs w:val="20"/>
        </w:rPr>
        <w:t xml:space="preserve"> </w:t>
      </w:r>
    </w:p>
    <w:p w:rsidR="00421257" w:rsidRPr="00AC4AEA" w:rsidRDefault="00421257" w:rsidP="00C01B25">
      <w:pPr>
        <w:numPr>
          <w:ilvl w:val="4"/>
          <w:numId w:val="719"/>
        </w:numPr>
        <w:spacing w:after="143" w:line="247" w:lineRule="auto"/>
        <w:ind w:hanging="338"/>
        <w:jc w:val="both"/>
        <w:rPr>
          <w:rFonts w:ascii="Arial" w:hAnsi="Arial" w:cs="Arial"/>
          <w:sz w:val="20"/>
          <w:szCs w:val="20"/>
        </w:rPr>
      </w:pPr>
      <w:r w:rsidRPr="00AC4AEA">
        <w:rPr>
          <w:rFonts w:ascii="Arial" w:hAnsi="Arial" w:cs="Arial"/>
          <w:sz w:val="20"/>
          <w:szCs w:val="20"/>
        </w:rPr>
        <w:t>una descripción de las transacciones esperadas en el futuro para las que se ha usado la contabilidad de coberturas y se espera que no se presentarán en el futuro;</w:t>
      </w:r>
      <w:r w:rsidR="006F2C57">
        <w:rPr>
          <w:rFonts w:ascii="Arial" w:hAnsi="Arial" w:cs="Arial"/>
          <w:sz w:val="20"/>
          <w:szCs w:val="20"/>
        </w:rPr>
        <w:t xml:space="preserve"> </w:t>
      </w:r>
    </w:p>
    <w:p w:rsidR="00421257" w:rsidRPr="00AC4AEA" w:rsidRDefault="00421257" w:rsidP="00C01B25">
      <w:pPr>
        <w:numPr>
          <w:ilvl w:val="3"/>
          <w:numId w:val="719"/>
        </w:numPr>
        <w:spacing w:after="147" w:line="264" w:lineRule="auto"/>
        <w:ind w:hanging="372"/>
        <w:jc w:val="both"/>
        <w:rPr>
          <w:rFonts w:ascii="Arial" w:hAnsi="Arial" w:cs="Arial"/>
          <w:sz w:val="20"/>
          <w:szCs w:val="20"/>
        </w:rPr>
      </w:pPr>
      <w:r w:rsidRPr="00AC4AEA">
        <w:rPr>
          <w:rFonts w:ascii="Arial" w:hAnsi="Arial" w:cs="Arial"/>
          <w:sz w:val="20"/>
          <w:szCs w:val="20"/>
        </w:rPr>
        <w:t xml:space="preserve">respecto de los importes tratados como </w:t>
      </w:r>
      <w:r w:rsidRPr="00AC4AEA">
        <w:rPr>
          <w:rFonts w:ascii="Arial" w:hAnsi="Arial" w:cs="Arial"/>
          <w:b/>
          <w:bCs/>
          <w:sz w:val="20"/>
          <w:szCs w:val="20"/>
        </w:rPr>
        <w:t>resultados diferidos</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4"/>
          <w:numId w:val="719"/>
        </w:numPr>
        <w:spacing w:after="143" w:line="247" w:lineRule="auto"/>
        <w:ind w:hanging="338"/>
        <w:jc w:val="both"/>
        <w:rPr>
          <w:rFonts w:ascii="Arial" w:hAnsi="Arial" w:cs="Arial"/>
          <w:sz w:val="20"/>
          <w:szCs w:val="20"/>
        </w:rPr>
      </w:pPr>
      <w:r w:rsidRPr="00AC4AEA">
        <w:rPr>
          <w:rFonts w:ascii="Arial" w:hAnsi="Arial" w:cs="Arial"/>
          <w:sz w:val="20"/>
          <w:szCs w:val="20"/>
        </w:rPr>
        <w:t>los del ejercicio;</w:t>
      </w:r>
      <w:r w:rsidR="006F2C57">
        <w:rPr>
          <w:rFonts w:ascii="Arial" w:hAnsi="Arial" w:cs="Arial"/>
          <w:sz w:val="20"/>
          <w:szCs w:val="20"/>
        </w:rPr>
        <w:t xml:space="preserve"> </w:t>
      </w:r>
    </w:p>
    <w:p w:rsidR="00421257" w:rsidRPr="00AC4AEA" w:rsidRDefault="00421257" w:rsidP="00C01B25">
      <w:pPr>
        <w:numPr>
          <w:ilvl w:val="4"/>
          <w:numId w:val="719"/>
        </w:numPr>
        <w:spacing w:after="143" w:line="247" w:lineRule="auto"/>
        <w:ind w:hanging="338"/>
        <w:jc w:val="both"/>
        <w:rPr>
          <w:rFonts w:ascii="Arial" w:hAnsi="Arial" w:cs="Arial"/>
          <w:sz w:val="20"/>
          <w:szCs w:val="20"/>
        </w:rPr>
      </w:pPr>
      <w:r w:rsidRPr="00AC4AEA">
        <w:rPr>
          <w:rFonts w:ascii="Arial" w:hAnsi="Arial" w:cs="Arial"/>
          <w:sz w:val="20"/>
          <w:szCs w:val="20"/>
        </w:rPr>
        <w:t>los clasificados como resultados del ejercicio;</w:t>
      </w:r>
      <w:r w:rsidR="006F2C57">
        <w:rPr>
          <w:rFonts w:ascii="Arial" w:hAnsi="Arial" w:cs="Arial"/>
          <w:sz w:val="20"/>
          <w:szCs w:val="20"/>
        </w:rPr>
        <w:t xml:space="preserve"> </w:t>
      </w:r>
    </w:p>
    <w:p w:rsidR="00421257" w:rsidRPr="00AC4AEA" w:rsidRDefault="00421257" w:rsidP="00C01B25">
      <w:pPr>
        <w:numPr>
          <w:ilvl w:val="4"/>
          <w:numId w:val="719"/>
        </w:numPr>
        <w:spacing w:after="143" w:line="247" w:lineRule="auto"/>
        <w:ind w:hanging="338"/>
        <w:jc w:val="both"/>
        <w:rPr>
          <w:rFonts w:ascii="Arial" w:hAnsi="Arial" w:cs="Arial"/>
          <w:sz w:val="20"/>
          <w:szCs w:val="20"/>
        </w:rPr>
      </w:pPr>
      <w:r w:rsidRPr="00AC4AEA">
        <w:rPr>
          <w:rFonts w:ascii="Arial" w:hAnsi="Arial" w:cs="Arial"/>
          <w:sz w:val="20"/>
          <w:szCs w:val="20"/>
        </w:rPr>
        <w:t>los desafectados como tal y computados la medición inicial del</w:t>
      </w:r>
      <w:r w:rsidRPr="006F3AE5">
        <w:rPr>
          <w:rFonts w:ascii="Arial" w:hAnsi="Arial" w:cs="Arial"/>
          <w:b/>
          <w:bCs/>
          <w:sz w:val="20"/>
          <w:szCs w:val="20"/>
        </w:rPr>
        <w:t xml:space="preserve"> activo </w:t>
      </w:r>
      <w:r w:rsidRPr="00AC4AEA">
        <w:rPr>
          <w:rFonts w:ascii="Arial" w:hAnsi="Arial" w:cs="Arial"/>
          <w:sz w:val="20"/>
          <w:szCs w:val="20"/>
        </w:rPr>
        <w:t xml:space="preserve">o pasivo, en el caso de transacciones esperadas </w:t>
      </w:r>
      <w:r w:rsidRPr="00AC4AEA">
        <w:rPr>
          <w:rFonts w:ascii="Arial" w:hAnsi="Arial" w:cs="Arial"/>
          <w:sz w:val="20"/>
          <w:szCs w:val="20"/>
        </w:rPr>
        <w:lastRenderedPageBreak/>
        <w:t>en el futuro</w:t>
      </w:r>
      <w:r w:rsidR="009C3A6A" w:rsidRPr="00AC4AEA">
        <w:rPr>
          <w:rFonts w:ascii="Arial" w:hAnsi="Arial" w:cs="Arial"/>
          <w:sz w:val="20"/>
          <w:szCs w:val="20"/>
        </w:rPr>
        <w:t xml:space="preserve"> que dejaron de ser altamente probable y ya no se espera que ocurran</w:t>
      </w:r>
      <w:r w:rsidRPr="00AC4AEA">
        <w:rPr>
          <w:rFonts w:ascii="Arial" w:hAnsi="Arial" w:cs="Arial"/>
          <w:sz w:val="20"/>
          <w:szCs w:val="20"/>
        </w:rPr>
        <w:t xml:space="preserve">. </w:t>
      </w:r>
    </w:p>
    <w:p w:rsidR="00421257" w:rsidRPr="00AC4AEA" w:rsidRDefault="00421257" w:rsidP="00A318EA">
      <w:pPr>
        <w:spacing w:after="133" w:line="256" w:lineRule="auto"/>
        <w:ind w:left="934"/>
        <w:jc w:val="both"/>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spacing w:after="241" w:line="256" w:lineRule="auto"/>
        <w:rPr>
          <w:rFonts w:ascii="Arial" w:hAnsi="Arial" w:cs="Arial"/>
          <w:sz w:val="20"/>
          <w:szCs w:val="20"/>
        </w:rPr>
      </w:pPr>
    </w:p>
    <w:p w:rsidR="00421257" w:rsidRPr="00AC4AEA" w:rsidRDefault="00421257" w:rsidP="00A318EA">
      <w:pPr>
        <w:spacing w:line="256" w:lineRule="auto"/>
        <w:ind w:left="1466"/>
        <w:rPr>
          <w:rFonts w:ascii="Arial" w:hAnsi="Arial" w:cs="Arial"/>
          <w:sz w:val="20"/>
          <w:szCs w:val="20"/>
        </w:rPr>
      </w:pPr>
      <w:r w:rsidRPr="00AC4AEA">
        <w:rPr>
          <w:rFonts w:ascii="Arial" w:hAnsi="Arial" w:cs="Arial"/>
          <w:sz w:val="20"/>
          <w:szCs w:val="20"/>
        </w:rPr>
        <w:t xml:space="preserve"> </w:t>
      </w:r>
      <w:r w:rsidRPr="00AC4AEA">
        <w:rPr>
          <w:rFonts w:ascii="Arial" w:hAnsi="Arial" w:cs="Arial"/>
          <w:sz w:val="20"/>
          <w:szCs w:val="20"/>
        </w:rPr>
        <w:tab/>
        <w:t xml:space="preserve"> </w:t>
      </w:r>
      <w:r w:rsidRPr="00AC4AEA">
        <w:rPr>
          <w:rFonts w:ascii="Arial" w:hAnsi="Arial" w:cs="Arial"/>
          <w:sz w:val="20"/>
          <w:szCs w:val="20"/>
        </w:rPr>
        <w:br w:type="page"/>
      </w:r>
    </w:p>
    <w:p w:rsidR="00421257" w:rsidRPr="00AC4AEA" w:rsidRDefault="00421257" w:rsidP="00A318EA">
      <w:pPr>
        <w:pStyle w:val="Ttulo1"/>
        <w:rPr>
          <w:rFonts w:cs="Arial"/>
          <w:sz w:val="20"/>
          <w:szCs w:val="20"/>
        </w:rPr>
      </w:pPr>
      <w:r w:rsidRPr="00AC4AEA">
        <w:rPr>
          <w:rFonts w:cs="Arial"/>
          <w:sz w:val="20"/>
          <w:szCs w:val="20"/>
        </w:rPr>
        <w:lastRenderedPageBreak/>
        <w:t xml:space="preserve"> </w:t>
      </w:r>
    </w:p>
    <w:p w:rsidR="009E43CF" w:rsidRPr="00AC4AEA" w:rsidRDefault="00421257" w:rsidP="00A318EA">
      <w:pPr>
        <w:pStyle w:val="Ttulo1"/>
        <w:rPr>
          <w:rFonts w:cs="Arial"/>
          <w:sz w:val="20"/>
          <w:szCs w:val="20"/>
        </w:rPr>
      </w:pPr>
      <w:bookmarkStart w:id="1254" w:name="_Toc139357069"/>
      <w:r w:rsidRPr="00AC4AEA">
        <w:rPr>
          <w:rFonts w:cs="Arial"/>
          <w:sz w:val="20"/>
          <w:szCs w:val="20"/>
        </w:rPr>
        <w:t>RESOLUCIÓN TÉCNICA N°54</w:t>
      </w:r>
      <w:bookmarkEnd w:id="1254"/>
    </w:p>
    <w:p w:rsidR="00421257" w:rsidRPr="00AC4AEA" w:rsidRDefault="00B34D02" w:rsidP="00A318EA">
      <w:pPr>
        <w:pStyle w:val="Ttulo1"/>
        <w:rPr>
          <w:rFonts w:cs="Arial"/>
          <w:sz w:val="20"/>
          <w:szCs w:val="20"/>
        </w:rPr>
      </w:pPr>
      <w:bookmarkStart w:id="1255" w:name="_Toc139357070"/>
      <w:r w:rsidRPr="00AC4AEA">
        <w:rPr>
          <w:rFonts w:cs="Arial"/>
          <w:sz w:val="20"/>
          <w:szCs w:val="20"/>
        </w:rPr>
        <w:t>TITULO</w:t>
      </w:r>
      <w:r w:rsidR="00FC0098" w:rsidRPr="00AC4AEA">
        <w:rPr>
          <w:rFonts w:cs="Arial"/>
          <w:sz w:val="20"/>
          <w:szCs w:val="20"/>
        </w:rPr>
        <w:t xml:space="preserve"> III</w:t>
      </w:r>
      <w:bookmarkEnd w:id="1255"/>
      <w:r w:rsidR="00421257" w:rsidRPr="00AC4AEA">
        <w:rPr>
          <w:rFonts w:cs="Arial"/>
          <w:sz w:val="20"/>
          <w:szCs w:val="20"/>
        </w:rPr>
        <w:t xml:space="preserve"> </w:t>
      </w:r>
    </w:p>
    <w:p w:rsidR="00FC0098" w:rsidRPr="00AC4AEA" w:rsidRDefault="009E43CF" w:rsidP="00A318EA">
      <w:pPr>
        <w:pStyle w:val="Ttulo1"/>
        <w:rPr>
          <w:rFonts w:cs="Arial"/>
          <w:sz w:val="20"/>
          <w:szCs w:val="20"/>
        </w:rPr>
      </w:pPr>
      <w:bookmarkStart w:id="1256" w:name="_Toc139357071"/>
      <w:r w:rsidRPr="00AC4AEA">
        <w:rPr>
          <w:rFonts w:cs="Arial"/>
          <w:sz w:val="20"/>
          <w:szCs w:val="20"/>
        </w:rPr>
        <w:t>~</w:t>
      </w:r>
      <w:r w:rsidR="00421257" w:rsidRPr="00AC4AEA">
        <w:rPr>
          <w:rFonts w:cs="Arial"/>
          <w:sz w:val="20"/>
          <w:szCs w:val="20"/>
        </w:rPr>
        <w:t>NORMAS ESPECÍFICAS</w:t>
      </w:r>
      <w:r w:rsidRPr="00AC4AEA">
        <w:rPr>
          <w:rFonts w:cs="Arial"/>
          <w:sz w:val="20"/>
          <w:szCs w:val="20"/>
        </w:rPr>
        <w:t>~</w:t>
      </w:r>
      <w:bookmarkEnd w:id="1256"/>
    </w:p>
    <w:p w:rsidR="0059338B" w:rsidRPr="00AC4AEA" w:rsidRDefault="0059338B" w:rsidP="00A318EA">
      <w:pPr>
        <w:pStyle w:val="Ttulo1"/>
        <w:rPr>
          <w:rFonts w:cs="Arial"/>
          <w:sz w:val="20"/>
          <w:szCs w:val="20"/>
        </w:rPr>
      </w:pPr>
    </w:p>
    <w:p w:rsidR="00421257" w:rsidRPr="00AC4AEA" w:rsidRDefault="00421257" w:rsidP="00A318EA">
      <w:pPr>
        <w:pStyle w:val="Ttulo1"/>
        <w:rPr>
          <w:rFonts w:cs="Arial"/>
          <w:sz w:val="20"/>
          <w:szCs w:val="20"/>
        </w:rPr>
      </w:pPr>
      <w:bookmarkStart w:id="1257" w:name="_Toc139357072"/>
      <w:r w:rsidRPr="00AC4AEA">
        <w:rPr>
          <w:rFonts w:cs="Arial"/>
          <w:sz w:val="20"/>
          <w:szCs w:val="20"/>
        </w:rPr>
        <w:t>CAPÍTULO 1</w:t>
      </w:r>
      <w:r w:rsidR="006C30F7" w:rsidRPr="00AC4AEA">
        <w:rPr>
          <w:rFonts w:cs="Arial"/>
          <w:sz w:val="20"/>
          <w:szCs w:val="20"/>
        </w:rPr>
        <w:t>0</w:t>
      </w:r>
      <w:bookmarkEnd w:id="1257"/>
      <w:r w:rsidRPr="00AC4AEA">
        <w:rPr>
          <w:rFonts w:cs="Arial"/>
          <w:sz w:val="20"/>
          <w:szCs w:val="20"/>
        </w:rPr>
        <w:t xml:space="preserve"> </w:t>
      </w:r>
    </w:p>
    <w:p w:rsidR="00421257" w:rsidRPr="00AC4AEA" w:rsidRDefault="00421257" w:rsidP="00A318EA">
      <w:pPr>
        <w:pStyle w:val="Ttulo1"/>
        <w:rPr>
          <w:rFonts w:cs="Arial"/>
          <w:sz w:val="20"/>
          <w:szCs w:val="20"/>
        </w:rPr>
      </w:pPr>
      <w:bookmarkStart w:id="1258" w:name="_Toc139357073"/>
      <w:r w:rsidRPr="00AC4AEA">
        <w:rPr>
          <w:rFonts w:cs="Arial"/>
          <w:sz w:val="20"/>
          <w:szCs w:val="20"/>
        </w:rPr>
        <w:t>ACTIVIDAD AGROPECUARIA</w:t>
      </w:r>
      <w:bookmarkEnd w:id="1258"/>
      <w:r w:rsidRPr="00AC4AEA">
        <w:rPr>
          <w:rFonts w:cs="Arial"/>
          <w:sz w:val="20"/>
          <w:szCs w:val="20"/>
        </w:rPr>
        <w:t xml:space="preserve"> </w:t>
      </w:r>
    </w:p>
    <w:p w:rsidR="00421257" w:rsidRPr="00AC4AEA" w:rsidRDefault="00421257" w:rsidP="00A318EA">
      <w:pPr>
        <w:pStyle w:val="Ttulo2"/>
        <w:rPr>
          <w:rFonts w:cs="Arial"/>
        </w:rPr>
      </w:pPr>
      <w:bookmarkStart w:id="1259" w:name="_Toc139357074"/>
      <w:r w:rsidRPr="00AC4AEA">
        <w:rPr>
          <w:rFonts w:cs="Arial"/>
        </w:rPr>
        <w:t>Objetivo</w:t>
      </w:r>
      <w:bookmarkEnd w:id="1259"/>
      <w:r w:rsidRPr="00AC4AEA">
        <w:rPr>
          <w:rFonts w:cs="Arial"/>
        </w:rPr>
        <w:t xml:space="preserve"> </w:t>
      </w:r>
    </w:p>
    <w:p w:rsidR="00421257" w:rsidRPr="00AC4AEA" w:rsidRDefault="00421257" w:rsidP="00C01B25">
      <w:pPr>
        <w:pStyle w:val="Prrafodelista"/>
        <w:numPr>
          <w:ilvl w:val="0"/>
          <w:numId w:val="719"/>
        </w:numPr>
        <w:spacing w:after="147" w:line="264" w:lineRule="auto"/>
        <w:ind w:hanging="652"/>
        <w:jc w:val="both"/>
        <w:rPr>
          <w:rFonts w:ascii="Arial" w:eastAsia="Times New Roman" w:hAnsi="Arial" w:cs="Arial"/>
          <w:sz w:val="20"/>
          <w:szCs w:val="20"/>
          <w:lang w:eastAsia="es-AR"/>
        </w:rPr>
      </w:pPr>
      <w:bookmarkStart w:id="1260" w:name="_Ref135047906"/>
      <w:r w:rsidRPr="00AC4AEA">
        <w:rPr>
          <w:rFonts w:ascii="Arial" w:hAnsi="Arial" w:cs="Arial"/>
          <w:sz w:val="20"/>
          <w:szCs w:val="20"/>
        </w:rPr>
        <w:t>El objetivo de la presente sección es prescribir las normas de reconocimiento, medición</w:t>
      </w:r>
      <w:r w:rsidR="004D5A22" w:rsidRPr="00AC4AEA">
        <w:rPr>
          <w:rFonts w:ascii="Arial" w:hAnsi="Arial" w:cs="Arial"/>
          <w:sz w:val="20"/>
          <w:szCs w:val="20"/>
        </w:rPr>
        <w:t>,</w:t>
      </w:r>
      <w:r w:rsidRPr="00AC4AEA">
        <w:rPr>
          <w:rFonts w:ascii="Arial" w:hAnsi="Arial" w:cs="Arial"/>
          <w:sz w:val="20"/>
          <w:szCs w:val="20"/>
        </w:rPr>
        <w:t xml:space="preserve"> presentación</w:t>
      </w:r>
      <w:r w:rsidR="004D5A22" w:rsidRPr="00AC4AEA">
        <w:rPr>
          <w:rFonts w:ascii="Arial" w:hAnsi="Arial" w:cs="Arial"/>
          <w:sz w:val="20"/>
          <w:szCs w:val="20"/>
        </w:rPr>
        <w:t xml:space="preserve">, e información a revelar en notas, </w:t>
      </w:r>
      <w:r w:rsidR="00CD6BCA" w:rsidRPr="00AC4AEA">
        <w:rPr>
          <w:rFonts w:ascii="Arial" w:hAnsi="Arial" w:cs="Arial"/>
          <w:sz w:val="20"/>
          <w:szCs w:val="20"/>
        </w:rPr>
        <w:t>aplicables a</w:t>
      </w:r>
      <w:r w:rsidRPr="00AC4AEA">
        <w:rPr>
          <w:rFonts w:ascii="Arial" w:hAnsi="Arial" w:cs="Arial"/>
          <w:sz w:val="20"/>
          <w:szCs w:val="20"/>
        </w:rPr>
        <w:t xml:space="preserve"> </w:t>
      </w:r>
      <w:r w:rsidR="00CD6BCA" w:rsidRPr="00AC4AEA">
        <w:rPr>
          <w:rFonts w:ascii="Arial" w:hAnsi="Arial" w:cs="Arial"/>
          <w:sz w:val="20"/>
          <w:szCs w:val="20"/>
        </w:rPr>
        <w:t>las siguientes partidas</w:t>
      </w:r>
      <w:r w:rsidRPr="00AC4AEA">
        <w:rPr>
          <w:rFonts w:ascii="Arial" w:hAnsi="Arial" w:cs="Arial"/>
          <w:sz w:val="20"/>
          <w:szCs w:val="20"/>
        </w:rPr>
        <w:t>:</w:t>
      </w:r>
      <w:bookmarkEnd w:id="1260"/>
      <w:r w:rsidR="006F2C57">
        <w:rPr>
          <w:rFonts w:ascii="Arial" w:hAnsi="Arial" w:cs="Arial"/>
          <w:sz w:val="20"/>
          <w:szCs w:val="20"/>
        </w:rPr>
        <w:t xml:space="preserve"> </w:t>
      </w:r>
    </w:p>
    <w:p w:rsidR="00421257" w:rsidRPr="00AC4AEA" w:rsidRDefault="00CD6BCA"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b/>
          <w:bCs/>
          <w:sz w:val="20"/>
          <w:szCs w:val="20"/>
        </w:rPr>
        <w:t>A</w:t>
      </w:r>
      <w:r w:rsidR="00421257" w:rsidRPr="00AC4AEA">
        <w:rPr>
          <w:rFonts w:ascii="Arial" w:hAnsi="Arial" w:cs="Arial"/>
          <w:b/>
          <w:bCs/>
          <w:sz w:val="20"/>
          <w:szCs w:val="20"/>
        </w:rPr>
        <w:t>ctivos biológico</w:t>
      </w:r>
      <w:r w:rsidR="00B73D0B" w:rsidRPr="00AC4AEA">
        <w:rPr>
          <w:rFonts w:ascii="Arial" w:hAnsi="Arial" w:cs="Arial"/>
          <w:b/>
          <w:bCs/>
          <w:sz w:val="20"/>
          <w:szCs w:val="20"/>
        </w:rPr>
        <w:t>s</w:t>
      </w:r>
      <w:r w:rsidR="00B73D0B" w:rsidRPr="00AC4AEA">
        <w:rPr>
          <w:rFonts w:ascii="Arial" w:hAnsi="Arial" w:cs="Arial"/>
          <w:sz w:val="20"/>
          <w:szCs w:val="20"/>
        </w:rPr>
        <w:t xml:space="preserve">, excepto los </w:t>
      </w:r>
      <w:r w:rsidR="00B73D0B" w:rsidRPr="00AC4AEA">
        <w:rPr>
          <w:rFonts w:ascii="Arial" w:hAnsi="Arial" w:cs="Arial"/>
          <w:b/>
          <w:bCs/>
          <w:sz w:val="20"/>
          <w:szCs w:val="20"/>
        </w:rPr>
        <w:t xml:space="preserve">activos biológicos utilizados como factores de producción en el curso normal de las operaciones </w:t>
      </w:r>
      <w:r w:rsidR="00B73D0B" w:rsidRPr="00AC4AEA">
        <w:rPr>
          <w:rFonts w:ascii="Arial" w:hAnsi="Arial" w:cs="Arial"/>
          <w:sz w:val="20"/>
          <w:szCs w:val="20"/>
        </w:rPr>
        <w:t xml:space="preserve">de acuerdo con lo referido en el inciso b) del párrafo </w:t>
      </w:r>
      <w:fldSimple w:instr=" REF _Ref134179735 \r \h  \* MERGEFORMAT ">
        <w:r w:rsidR="00D33A5D" w:rsidRPr="00D33A5D">
          <w:rPr>
            <w:rFonts w:ascii="Arial" w:hAnsi="Arial" w:cs="Arial"/>
            <w:sz w:val="20"/>
            <w:szCs w:val="20"/>
          </w:rPr>
          <w:t>1023</w:t>
        </w:r>
      </w:fldSimple>
      <w:r w:rsidRPr="00AC4AEA">
        <w:rPr>
          <w:rFonts w:ascii="Arial" w:hAnsi="Arial" w:cs="Arial"/>
          <w:sz w:val="20"/>
          <w:szCs w:val="20"/>
        </w:rPr>
        <w:t>.</w:t>
      </w:r>
      <w:r w:rsidR="00421257" w:rsidRPr="00AC4AEA">
        <w:rPr>
          <w:rFonts w:ascii="Arial" w:hAnsi="Arial" w:cs="Arial"/>
          <w:sz w:val="20"/>
          <w:szCs w:val="20"/>
        </w:rPr>
        <w:t xml:space="preserve"> </w:t>
      </w:r>
    </w:p>
    <w:p w:rsidR="006403CF" w:rsidRPr="00AC4AEA" w:rsidRDefault="00CD6BCA" w:rsidP="00C01B25">
      <w:pPr>
        <w:numPr>
          <w:ilvl w:val="1"/>
          <w:numId w:val="719"/>
        </w:numPr>
        <w:spacing w:line="264" w:lineRule="auto"/>
        <w:ind w:left="1418" w:hanging="426"/>
        <w:jc w:val="both"/>
        <w:rPr>
          <w:rFonts w:ascii="Arial" w:hAnsi="Arial" w:cs="Arial"/>
          <w:sz w:val="20"/>
          <w:szCs w:val="20"/>
        </w:rPr>
      </w:pPr>
      <w:r w:rsidRPr="00AD600B">
        <w:rPr>
          <w:rFonts w:ascii="Arial" w:hAnsi="Arial" w:cs="Arial"/>
          <w:b/>
          <w:bCs/>
          <w:sz w:val="20"/>
          <w:szCs w:val="20"/>
        </w:rPr>
        <w:t>P</w:t>
      </w:r>
      <w:r w:rsidR="00421257" w:rsidRPr="00AD600B">
        <w:rPr>
          <w:rFonts w:ascii="Arial" w:hAnsi="Arial" w:cs="Arial"/>
          <w:b/>
          <w:bCs/>
          <w:sz w:val="20"/>
          <w:szCs w:val="20"/>
        </w:rPr>
        <w:t>roductos agropecuarios</w:t>
      </w:r>
      <w:r w:rsidR="00421257" w:rsidRPr="00AC4AEA">
        <w:rPr>
          <w:rFonts w:ascii="Arial" w:hAnsi="Arial" w:cs="Arial"/>
          <w:sz w:val="20"/>
          <w:szCs w:val="20"/>
        </w:rPr>
        <w:t xml:space="preserve"> en el momento de la cosecha, recolección, obtención o faena</w:t>
      </w:r>
      <w:r w:rsidRPr="00AC4AEA">
        <w:rPr>
          <w:rFonts w:ascii="Arial" w:hAnsi="Arial" w:cs="Arial"/>
          <w:sz w:val="20"/>
          <w:szCs w:val="20"/>
        </w:rPr>
        <w:t>.</w:t>
      </w:r>
    </w:p>
    <w:p w:rsidR="00421257" w:rsidRPr="00AC4AEA" w:rsidRDefault="00CD6BCA"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R</w:t>
      </w:r>
      <w:r w:rsidR="00421257" w:rsidRPr="00AC4AEA">
        <w:rPr>
          <w:rFonts w:ascii="Arial" w:hAnsi="Arial" w:cs="Arial"/>
          <w:sz w:val="20"/>
          <w:szCs w:val="20"/>
        </w:rPr>
        <w:t xml:space="preserve">esultados atribuidos a la producción agropecuaria, cuyos componentes principales son los resultados generados por la transformación biológica. </w:t>
      </w:r>
    </w:p>
    <w:p w:rsidR="00421257" w:rsidRPr="00AC4AEA" w:rsidRDefault="00421257" w:rsidP="00A318EA">
      <w:pPr>
        <w:spacing w:after="150" w:line="256" w:lineRule="auto"/>
        <w:rPr>
          <w:rFonts w:ascii="Arial" w:hAnsi="Arial" w:cs="Arial"/>
          <w:strike/>
          <w:sz w:val="20"/>
          <w:szCs w:val="20"/>
        </w:rPr>
      </w:pPr>
    </w:p>
    <w:p w:rsidR="00421257" w:rsidRPr="00AC4AEA" w:rsidRDefault="00421257" w:rsidP="00A318EA">
      <w:pPr>
        <w:pStyle w:val="Ttulo2"/>
        <w:rPr>
          <w:rFonts w:cs="Arial"/>
        </w:rPr>
      </w:pPr>
      <w:bookmarkStart w:id="1261" w:name="_Toc139357075"/>
      <w:r w:rsidRPr="00AC4AEA">
        <w:rPr>
          <w:rFonts w:cs="Arial"/>
        </w:rPr>
        <w:t>Alcance</w:t>
      </w:r>
      <w:bookmarkEnd w:id="1261"/>
      <w:r w:rsidRPr="00AC4AEA">
        <w:rPr>
          <w:rFonts w:cs="Arial"/>
        </w:rPr>
        <w:t xml:space="preserve"> </w:t>
      </w:r>
    </w:p>
    <w:p w:rsidR="00421257" w:rsidRPr="00AC4AEA" w:rsidRDefault="0023776D" w:rsidP="00C01B25">
      <w:pPr>
        <w:numPr>
          <w:ilvl w:val="0"/>
          <w:numId w:val="719"/>
        </w:numPr>
        <w:spacing w:line="264" w:lineRule="auto"/>
        <w:ind w:left="937" w:hanging="536"/>
        <w:jc w:val="both"/>
        <w:rPr>
          <w:rFonts w:ascii="Arial" w:hAnsi="Arial" w:cs="Arial"/>
          <w:sz w:val="20"/>
          <w:szCs w:val="20"/>
        </w:rPr>
      </w:pPr>
      <w:r w:rsidRPr="00AC4AEA">
        <w:rPr>
          <w:rFonts w:ascii="Arial" w:hAnsi="Arial" w:cs="Arial"/>
          <w:sz w:val="20"/>
          <w:szCs w:val="20"/>
        </w:rPr>
        <w:t xml:space="preserve">Para contabilizar otras partidas vinculadas con la </w:t>
      </w:r>
      <w:r w:rsidRPr="00847DC6">
        <w:rPr>
          <w:rFonts w:ascii="Arial" w:hAnsi="Arial" w:cs="Arial"/>
          <w:b/>
          <w:bCs/>
          <w:sz w:val="20"/>
          <w:szCs w:val="20"/>
        </w:rPr>
        <w:t>actividad agropecuaria</w:t>
      </w:r>
      <w:r w:rsidRPr="00AC4AEA">
        <w:rPr>
          <w:rFonts w:ascii="Arial" w:hAnsi="Arial" w:cs="Arial"/>
          <w:sz w:val="20"/>
          <w:szCs w:val="20"/>
        </w:rPr>
        <w:t xml:space="preserve"> distintas a los referidas en el párrafo anterior (por ejemplo, la tierra agropecuaria</w:t>
      </w:r>
      <w:r w:rsidR="007D6D95">
        <w:rPr>
          <w:rFonts w:ascii="Arial" w:hAnsi="Arial" w:cs="Arial"/>
          <w:sz w:val="20"/>
          <w:szCs w:val="20"/>
        </w:rPr>
        <w:t>,</w:t>
      </w:r>
      <w:r w:rsidRPr="00AC4AEA">
        <w:rPr>
          <w:rFonts w:ascii="Arial" w:hAnsi="Arial" w:cs="Arial"/>
          <w:sz w:val="20"/>
          <w:szCs w:val="20"/>
        </w:rPr>
        <w:t xml:space="preserve"> o los </w:t>
      </w:r>
      <w:r w:rsidRPr="00AD600B">
        <w:rPr>
          <w:rFonts w:ascii="Arial" w:hAnsi="Arial" w:cs="Arial"/>
          <w:b/>
          <w:bCs/>
          <w:sz w:val="20"/>
          <w:szCs w:val="20"/>
        </w:rPr>
        <w:t>productos agropecuarios</w:t>
      </w:r>
      <w:r w:rsidRPr="00AC4AEA">
        <w:rPr>
          <w:rFonts w:ascii="Arial" w:hAnsi="Arial" w:cs="Arial"/>
          <w:sz w:val="20"/>
          <w:szCs w:val="20"/>
        </w:rPr>
        <w:t xml:space="preserve"> después del punto de cosecha o recolección), u</w:t>
      </w:r>
      <w:r w:rsidR="00421257" w:rsidRPr="00AC4AEA">
        <w:rPr>
          <w:rFonts w:ascii="Arial" w:hAnsi="Arial" w:cs="Arial"/>
          <w:sz w:val="20"/>
          <w:szCs w:val="20"/>
        </w:rPr>
        <w:t xml:space="preserve">na entidad </w:t>
      </w:r>
      <w:r w:rsidRPr="00AC4AEA">
        <w:rPr>
          <w:rFonts w:ascii="Arial" w:hAnsi="Arial" w:cs="Arial"/>
          <w:sz w:val="20"/>
          <w:szCs w:val="20"/>
        </w:rPr>
        <w:t xml:space="preserve">aplicará </w:t>
      </w:r>
      <w:r w:rsidR="00421257" w:rsidRPr="00AC4AEA">
        <w:rPr>
          <w:rFonts w:ascii="Arial" w:hAnsi="Arial" w:cs="Arial"/>
          <w:sz w:val="20"/>
          <w:szCs w:val="20"/>
        </w:rPr>
        <w:t xml:space="preserve">las restantes secciones de la presente Resolución Técnica </w:t>
      </w:r>
      <w:r w:rsidRPr="00AC4AEA">
        <w:rPr>
          <w:rFonts w:ascii="Arial" w:hAnsi="Arial" w:cs="Arial"/>
          <w:sz w:val="20"/>
          <w:szCs w:val="20"/>
        </w:rPr>
        <w:t>u</w:t>
      </w:r>
      <w:r w:rsidR="00421257" w:rsidRPr="00AC4AEA">
        <w:rPr>
          <w:rFonts w:ascii="Arial" w:hAnsi="Arial" w:cs="Arial"/>
          <w:sz w:val="20"/>
          <w:szCs w:val="20"/>
        </w:rPr>
        <w:t xml:space="preserve"> </w:t>
      </w:r>
      <w:r w:rsidR="00421257" w:rsidRPr="00AC4AEA">
        <w:rPr>
          <w:rFonts w:ascii="Arial" w:hAnsi="Arial" w:cs="Arial"/>
          <w:b/>
          <w:bCs/>
          <w:sz w:val="20"/>
          <w:szCs w:val="20"/>
        </w:rPr>
        <w:t>otras normas contables</w:t>
      </w:r>
      <w:r w:rsidR="00421257" w:rsidRPr="00AC4AEA">
        <w:rPr>
          <w:rFonts w:ascii="Arial" w:hAnsi="Arial" w:cs="Arial"/>
          <w:sz w:val="20"/>
          <w:szCs w:val="20"/>
        </w:rPr>
        <w:t xml:space="preserve">. </w:t>
      </w:r>
    </w:p>
    <w:p w:rsidR="00CD6BCA" w:rsidRPr="00B93B4D" w:rsidRDefault="00B73D0B" w:rsidP="00C01B25">
      <w:pPr>
        <w:numPr>
          <w:ilvl w:val="0"/>
          <w:numId w:val="719"/>
        </w:numPr>
        <w:spacing w:line="264" w:lineRule="auto"/>
        <w:ind w:left="937" w:hanging="536"/>
        <w:jc w:val="both"/>
        <w:rPr>
          <w:rFonts w:ascii="Arial" w:hAnsi="Arial" w:cs="Arial"/>
          <w:sz w:val="20"/>
          <w:szCs w:val="20"/>
        </w:rPr>
      </w:pPr>
      <w:bookmarkStart w:id="1262" w:name="_Ref134179735"/>
      <w:r w:rsidRPr="00B93B4D">
        <w:rPr>
          <w:rFonts w:ascii="Arial" w:hAnsi="Arial" w:cs="Arial"/>
          <w:sz w:val="20"/>
          <w:szCs w:val="20"/>
        </w:rPr>
        <w:t>A los fines del</w:t>
      </w:r>
      <w:r w:rsidR="00CD6BCA" w:rsidRPr="00B93B4D">
        <w:rPr>
          <w:rFonts w:ascii="Arial" w:hAnsi="Arial" w:cs="Arial"/>
          <w:sz w:val="20"/>
          <w:szCs w:val="20"/>
        </w:rPr>
        <w:t xml:space="preserve"> tratamiento de los </w:t>
      </w:r>
      <w:r w:rsidR="00CD6BCA" w:rsidRPr="00B93B4D">
        <w:rPr>
          <w:rFonts w:ascii="Arial" w:hAnsi="Arial" w:cs="Arial"/>
          <w:b/>
          <w:bCs/>
          <w:sz w:val="20"/>
          <w:szCs w:val="20"/>
        </w:rPr>
        <w:t>activos biológicos utilizados como factores de producción en el curso normal de las operaciones,</w:t>
      </w:r>
      <w:r w:rsidR="00CD6BCA" w:rsidRPr="00B93B4D">
        <w:rPr>
          <w:rFonts w:ascii="Arial" w:hAnsi="Arial" w:cs="Arial"/>
          <w:sz w:val="20"/>
          <w:szCs w:val="20"/>
        </w:rPr>
        <w:t xml:space="preserve"> una entidad:</w:t>
      </w:r>
      <w:bookmarkEnd w:id="1262"/>
      <w:r w:rsidR="00CD6BCA" w:rsidRPr="00B93B4D">
        <w:rPr>
          <w:rFonts w:ascii="Arial" w:hAnsi="Arial" w:cs="Arial"/>
          <w:sz w:val="20"/>
          <w:szCs w:val="20"/>
        </w:rPr>
        <w:t xml:space="preserve"> </w:t>
      </w:r>
    </w:p>
    <w:p w:rsidR="00E0792F" w:rsidRPr="00B93B4D" w:rsidRDefault="00CD6BCA" w:rsidP="00C01B25">
      <w:pPr>
        <w:numPr>
          <w:ilvl w:val="1"/>
          <w:numId w:val="719"/>
        </w:numPr>
        <w:spacing w:line="264" w:lineRule="auto"/>
        <w:ind w:left="1418" w:hanging="426"/>
        <w:jc w:val="both"/>
        <w:rPr>
          <w:rFonts w:ascii="Arial" w:hAnsi="Arial" w:cs="Arial"/>
          <w:sz w:val="20"/>
          <w:szCs w:val="20"/>
        </w:rPr>
      </w:pPr>
      <w:r w:rsidRPr="00B93B4D">
        <w:rPr>
          <w:rFonts w:ascii="Arial" w:hAnsi="Arial" w:cs="Arial"/>
          <w:sz w:val="20"/>
          <w:szCs w:val="20"/>
        </w:rPr>
        <w:t>Aplicará lo establecido</w:t>
      </w:r>
      <w:r w:rsidR="00E0792F" w:rsidRPr="00B93B4D">
        <w:rPr>
          <w:rFonts w:ascii="Arial" w:hAnsi="Arial" w:cs="Arial"/>
          <w:sz w:val="20"/>
          <w:szCs w:val="20"/>
        </w:rPr>
        <w:t>:</w:t>
      </w:r>
      <w:r w:rsidRPr="00B93B4D">
        <w:rPr>
          <w:rFonts w:ascii="Arial" w:hAnsi="Arial" w:cs="Arial"/>
          <w:sz w:val="20"/>
          <w:szCs w:val="20"/>
        </w:rPr>
        <w:t xml:space="preserve"> </w:t>
      </w:r>
    </w:p>
    <w:p w:rsidR="00E0792F" w:rsidRPr="00B93B4D" w:rsidRDefault="00EC7C7E" w:rsidP="00C01B25">
      <w:pPr>
        <w:numPr>
          <w:ilvl w:val="2"/>
          <w:numId w:val="719"/>
        </w:numPr>
        <w:spacing w:line="264" w:lineRule="auto"/>
        <w:ind w:hanging="502"/>
        <w:jc w:val="both"/>
        <w:rPr>
          <w:rFonts w:ascii="Arial" w:hAnsi="Arial" w:cs="Arial"/>
          <w:sz w:val="20"/>
          <w:szCs w:val="20"/>
        </w:rPr>
      </w:pPr>
      <w:r w:rsidRPr="00B93B4D">
        <w:rPr>
          <w:rFonts w:ascii="Arial" w:hAnsi="Arial" w:cs="Arial"/>
          <w:sz w:val="20"/>
          <w:szCs w:val="20"/>
        </w:rPr>
        <w:t>e</w:t>
      </w:r>
      <w:r w:rsidR="00E0792F" w:rsidRPr="00B93B4D">
        <w:rPr>
          <w:rFonts w:ascii="Arial" w:hAnsi="Arial" w:cs="Arial"/>
          <w:sz w:val="20"/>
          <w:szCs w:val="20"/>
        </w:rPr>
        <w:t xml:space="preserve">n el párrafo </w:t>
      </w:r>
      <w:fldSimple w:instr=" REF _Ref137550279 \r \h  \* MERGEFORMAT ">
        <w:r w:rsidR="00D33A5D" w:rsidRPr="00D33A5D">
          <w:rPr>
            <w:rFonts w:ascii="Arial" w:hAnsi="Arial" w:cs="Arial"/>
            <w:sz w:val="20"/>
            <w:szCs w:val="20"/>
          </w:rPr>
          <w:t>1025</w:t>
        </w:r>
      </w:fldSimple>
      <w:r w:rsidRPr="00B93B4D">
        <w:rPr>
          <w:rFonts w:ascii="Arial" w:hAnsi="Arial" w:cs="Arial"/>
          <w:sz w:val="20"/>
          <w:szCs w:val="20"/>
        </w:rPr>
        <w:t xml:space="preserve"> para su reconocimiento, y en el </w:t>
      </w:r>
      <w:fldSimple w:instr=" REF _Ref137550281 \r \h  \* MERGEFORMAT ">
        <w:r w:rsidR="00D33A5D" w:rsidRPr="00D33A5D">
          <w:rPr>
            <w:rFonts w:ascii="Arial" w:hAnsi="Arial" w:cs="Arial"/>
            <w:sz w:val="20"/>
            <w:szCs w:val="20"/>
          </w:rPr>
          <w:t>1026</w:t>
        </w:r>
      </w:fldSimple>
      <w:r w:rsidRPr="00B93B4D">
        <w:rPr>
          <w:rFonts w:ascii="Arial" w:hAnsi="Arial" w:cs="Arial"/>
          <w:sz w:val="20"/>
          <w:szCs w:val="20"/>
        </w:rPr>
        <w:t xml:space="preserve"> para su medición inicial;</w:t>
      </w:r>
    </w:p>
    <w:p w:rsidR="00CD6BCA" w:rsidRPr="00B93B4D" w:rsidRDefault="00CD6BCA" w:rsidP="00C01B25">
      <w:pPr>
        <w:numPr>
          <w:ilvl w:val="2"/>
          <w:numId w:val="719"/>
        </w:numPr>
        <w:spacing w:line="264" w:lineRule="auto"/>
        <w:ind w:hanging="502"/>
        <w:jc w:val="both"/>
        <w:rPr>
          <w:rFonts w:ascii="Arial" w:hAnsi="Arial" w:cs="Arial"/>
          <w:sz w:val="20"/>
          <w:szCs w:val="20"/>
        </w:rPr>
      </w:pPr>
      <w:r w:rsidRPr="00B93B4D">
        <w:rPr>
          <w:rFonts w:ascii="Arial" w:hAnsi="Arial" w:cs="Arial"/>
          <w:sz w:val="20"/>
          <w:szCs w:val="20"/>
        </w:rPr>
        <w:t xml:space="preserve">en el párrafo </w:t>
      </w:r>
      <w:fldSimple w:instr=" REF _Ref134179167 \r \h  \* MERGEFORMAT ">
        <w:r w:rsidR="00D33A5D" w:rsidRPr="00D33A5D">
          <w:rPr>
            <w:rFonts w:ascii="Arial" w:hAnsi="Arial" w:cs="Arial"/>
            <w:sz w:val="20"/>
            <w:szCs w:val="20"/>
          </w:rPr>
          <w:t>1029</w:t>
        </w:r>
      </w:fldSimple>
      <w:r w:rsidR="00B26A54" w:rsidRPr="00B93B4D">
        <w:rPr>
          <w:rFonts w:ascii="Arial" w:hAnsi="Arial" w:cs="Arial"/>
          <w:sz w:val="20"/>
          <w:szCs w:val="20"/>
        </w:rPr>
        <w:t xml:space="preserve"> para su</w:t>
      </w:r>
      <w:r w:rsidRPr="00B93B4D">
        <w:rPr>
          <w:rFonts w:ascii="Arial" w:hAnsi="Arial" w:cs="Arial"/>
          <w:sz w:val="20"/>
          <w:szCs w:val="20"/>
        </w:rPr>
        <w:t xml:space="preserve"> medición </w:t>
      </w:r>
      <w:r w:rsidR="00B26A54" w:rsidRPr="00B93B4D">
        <w:rPr>
          <w:rFonts w:ascii="Arial" w:hAnsi="Arial" w:cs="Arial"/>
          <w:sz w:val="20"/>
          <w:szCs w:val="20"/>
        </w:rPr>
        <w:t>posterior</w:t>
      </w:r>
      <w:r w:rsidRPr="00B93B4D">
        <w:rPr>
          <w:rFonts w:ascii="Arial" w:hAnsi="Arial" w:cs="Arial"/>
          <w:sz w:val="20"/>
          <w:szCs w:val="20"/>
        </w:rPr>
        <w:t xml:space="preserve">. </w:t>
      </w:r>
    </w:p>
    <w:p w:rsidR="00B26A54" w:rsidRPr="00B93B4D" w:rsidRDefault="00B26A54" w:rsidP="00C01B25">
      <w:pPr>
        <w:numPr>
          <w:ilvl w:val="1"/>
          <w:numId w:val="719"/>
        </w:numPr>
        <w:spacing w:line="264" w:lineRule="auto"/>
        <w:ind w:left="1418" w:hanging="426"/>
        <w:jc w:val="both"/>
        <w:rPr>
          <w:rFonts w:ascii="Arial" w:hAnsi="Arial" w:cs="Arial"/>
          <w:sz w:val="20"/>
          <w:szCs w:val="20"/>
        </w:rPr>
      </w:pPr>
      <w:r w:rsidRPr="00B93B4D">
        <w:rPr>
          <w:rFonts w:ascii="Arial" w:hAnsi="Arial" w:cs="Arial"/>
          <w:sz w:val="20"/>
          <w:szCs w:val="20"/>
        </w:rPr>
        <w:t xml:space="preserve">Podrá aplicar este capítulo para su presentación y revelación en notas, según se describe en el inciso b) del párrafo </w:t>
      </w:r>
      <w:fldSimple w:instr=" REF _Ref134179055 \r \h  \* MERGEFORMAT ">
        <w:r w:rsidR="00D33A5D" w:rsidRPr="00D33A5D">
          <w:rPr>
            <w:rFonts w:ascii="Arial" w:hAnsi="Arial" w:cs="Arial"/>
            <w:sz w:val="20"/>
            <w:szCs w:val="20"/>
          </w:rPr>
          <w:t>1033</w:t>
        </w:r>
      </w:fldSimple>
      <w:r w:rsidRPr="00B93B4D">
        <w:rPr>
          <w:rFonts w:ascii="Arial" w:hAnsi="Arial" w:cs="Arial"/>
          <w:sz w:val="20"/>
          <w:szCs w:val="20"/>
        </w:rPr>
        <w:t xml:space="preserve">. </w:t>
      </w:r>
    </w:p>
    <w:p w:rsidR="00421257" w:rsidRPr="00AC4AEA" w:rsidRDefault="00421257" w:rsidP="00A318EA">
      <w:pPr>
        <w:spacing w:after="150" w:line="256" w:lineRule="auto"/>
        <w:ind w:left="936"/>
        <w:rPr>
          <w:rFonts w:ascii="Arial" w:hAnsi="Arial" w:cs="Arial"/>
          <w:sz w:val="20"/>
          <w:szCs w:val="20"/>
        </w:rPr>
      </w:pPr>
    </w:p>
    <w:p w:rsidR="00421257" w:rsidRPr="00AC4AEA" w:rsidRDefault="00421257" w:rsidP="00A318EA">
      <w:pPr>
        <w:pStyle w:val="Ttulo2"/>
        <w:rPr>
          <w:rFonts w:cs="Arial"/>
        </w:rPr>
      </w:pPr>
      <w:bookmarkStart w:id="1263" w:name="_Toc139357076"/>
      <w:r w:rsidRPr="00AC4AEA">
        <w:rPr>
          <w:rFonts w:cs="Arial"/>
        </w:rPr>
        <w:lastRenderedPageBreak/>
        <w:t>Definiciones</w:t>
      </w:r>
      <w:bookmarkEnd w:id="1263"/>
      <w:r w:rsidRPr="00AC4AEA">
        <w:rPr>
          <w:rFonts w:cs="Arial"/>
        </w:rPr>
        <w:t xml:space="preserve"> </w:t>
      </w:r>
    </w:p>
    <w:p w:rsidR="00421257" w:rsidRPr="00AC4AEA" w:rsidRDefault="00421257" w:rsidP="00C01B25">
      <w:pPr>
        <w:numPr>
          <w:ilvl w:val="0"/>
          <w:numId w:val="719"/>
        </w:numPr>
        <w:spacing w:after="147" w:line="264" w:lineRule="auto"/>
        <w:ind w:left="937" w:hanging="536"/>
        <w:jc w:val="both"/>
        <w:rPr>
          <w:rFonts w:ascii="Arial" w:eastAsia="Times New Roman" w:hAnsi="Arial" w:cs="Arial"/>
          <w:sz w:val="20"/>
          <w:szCs w:val="20"/>
          <w:lang w:eastAsia="es-AR"/>
        </w:rPr>
      </w:pPr>
      <w:bookmarkStart w:id="1264" w:name="_Ref133312222"/>
      <w:r w:rsidRPr="00AC4AEA">
        <w:rPr>
          <w:rFonts w:ascii="Arial" w:hAnsi="Arial" w:cs="Arial"/>
          <w:sz w:val="20"/>
          <w:szCs w:val="20"/>
        </w:rPr>
        <w:t>A los fines del tratamiento de los temas abordados en esta sección, una entidad deberá considerar las siguientes definiciones.</w:t>
      </w:r>
      <w:bookmarkEnd w:id="1264"/>
      <w:r w:rsidRPr="00AC4AEA">
        <w:rPr>
          <w:rFonts w:ascii="Arial" w:hAnsi="Arial" w:cs="Arial"/>
          <w:sz w:val="20"/>
          <w:szCs w:val="20"/>
        </w:rPr>
        <w:t xml:space="preserve"> </w:t>
      </w:r>
    </w:p>
    <w:p w:rsidR="00B73D0B" w:rsidRPr="00B93B4D" w:rsidRDefault="00421257" w:rsidP="00A318EA">
      <w:pPr>
        <w:ind w:left="1332"/>
        <w:jc w:val="both"/>
        <w:rPr>
          <w:rFonts w:ascii="Arial" w:hAnsi="Arial" w:cs="Arial"/>
          <w:sz w:val="20"/>
          <w:szCs w:val="20"/>
        </w:rPr>
      </w:pPr>
      <w:r w:rsidRPr="00AC4AEA">
        <w:rPr>
          <w:rFonts w:ascii="Arial" w:hAnsi="Arial" w:cs="Arial"/>
          <w:sz w:val="20"/>
          <w:szCs w:val="20"/>
          <w:u w:val="single" w:color="000000"/>
        </w:rPr>
        <w:t>Actividad agropecuaria</w:t>
      </w:r>
      <w:r w:rsidRPr="00AC4AEA">
        <w:rPr>
          <w:rFonts w:ascii="Arial" w:hAnsi="Arial" w:cs="Arial"/>
          <w:sz w:val="20"/>
          <w:szCs w:val="20"/>
        </w:rPr>
        <w:t xml:space="preserve">: Producción de bienes </w:t>
      </w:r>
      <w:r w:rsidRPr="00331149">
        <w:rPr>
          <w:rFonts w:ascii="Arial" w:hAnsi="Arial" w:cs="Arial"/>
          <w:sz w:val="20"/>
          <w:szCs w:val="20"/>
        </w:rPr>
        <w:t xml:space="preserve">económicos </w:t>
      </w:r>
      <w:r w:rsidR="00174676" w:rsidRPr="00331149">
        <w:rPr>
          <w:rFonts w:ascii="Arial" w:hAnsi="Arial" w:cs="Arial"/>
          <w:sz w:val="20"/>
          <w:szCs w:val="20"/>
        </w:rPr>
        <w:t>mediante</w:t>
      </w:r>
      <w:r w:rsidRPr="00331149">
        <w:rPr>
          <w:rFonts w:ascii="Arial" w:hAnsi="Arial" w:cs="Arial"/>
          <w:sz w:val="20"/>
          <w:szCs w:val="20"/>
        </w:rPr>
        <w:t xml:space="preserve"> la combinación del esfuerzo del hombre y la naturaleza, para favorecer la actividad biológica de plantas y animales; incluyendo su reproducción, mejoramiento</w:t>
      </w:r>
      <w:r w:rsidRPr="00AC4AEA">
        <w:rPr>
          <w:rFonts w:ascii="Arial" w:hAnsi="Arial" w:cs="Arial"/>
          <w:sz w:val="20"/>
          <w:szCs w:val="20"/>
        </w:rPr>
        <w:t xml:space="preserve">, degradación y/o crecimiento que conforman su desarrollo biológico. La intervención del hombre en la gestión del desarrollo biológico implica que la cosecha, recolección u obtención de recursos no gestionados previamente y que sean meramente extractivas (tales como la pesca en el océano y la tala de </w:t>
      </w:r>
      <w:r w:rsidRPr="00B93B4D">
        <w:rPr>
          <w:rFonts w:ascii="Arial" w:hAnsi="Arial" w:cs="Arial"/>
          <w:sz w:val="20"/>
          <w:szCs w:val="20"/>
        </w:rPr>
        <w:t xml:space="preserve">bosques naturales) no constituyen </w:t>
      </w:r>
      <w:r w:rsidRPr="00B93B4D">
        <w:rPr>
          <w:rFonts w:ascii="Arial" w:hAnsi="Arial" w:cs="Arial"/>
          <w:b/>
          <w:bCs/>
          <w:sz w:val="20"/>
          <w:szCs w:val="20"/>
        </w:rPr>
        <w:t>actividad agropecuaria</w:t>
      </w:r>
      <w:r w:rsidRPr="00B93B4D">
        <w:rPr>
          <w:rFonts w:ascii="Arial" w:hAnsi="Arial" w:cs="Arial"/>
          <w:sz w:val="20"/>
          <w:szCs w:val="20"/>
        </w:rPr>
        <w:t>.</w:t>
      </w:r>
    </w:p>
    <w:p w:rsidR="004B7D25" w:rsidRPr="00B93B4D" w:rsidRDefault="00B73D0B" w:rsidP="00A318EA">
      <w:pPr>
        <w:ind w:left="1332"/>
        <w:jc w:val="both"/>
        <w:rPr>
          <w:rFonts w:ascii="Arial" w:hAnsi="Arial" w:cs="Arial"/>
          <w:b/>
          <w:bCs/>
          <w:sz w:val="20"/>
          <w:szCs w:val="20"/>
          <w:u w:color="000000"/>
        </w:rPr>
      </w:pPr>
      <w:r w:rsidRPr="00B93B4D">
        <w:rPr>
          <w:rFonts w:ascii="Arial" w:hAnsi="Arial" w:cs="Arial"/>
          <w:b/>
          <w:bCs/>
          <w:sz w:val="20"/>
          <w:szCs w:val="20"/>
          <w:u w:color="000000"/>
        </w:rPr>
        <w:t>Definiciones r</w:t>
      </w:r>
      <w:r w:rsidR="004B7D25" w:rsidRPr="00B93B4D">
        <w:rPr>
          <w:rFonts w:ascii="Arial" w:hAnsi="Arial" w:cs="Arial"/>
          <w:b/>
          <w:bCs/>
          <w:sz w:val="20"/>
          <w:szCs w:val="20"/>
          <w:u w:color="000000"/>
        </w:rPr>
        <w:t xml:space="preserve">elacionadas con </w:t>
      </w:r>
      <w:r w:rsidR="00D01D79" w:rsidRPr="00B93B4D">
        <w:rPr>
          <w:rFonts w:ascii="Arial" w:hAnsi="Arial" w:cs="Arial"/>
          <w:b/>
          <w:bCs/>
          <w:sz w:val="20"/>
          <w:szCs w:val="20"/>
          <w:u w:color="000000"/>
        </w:rPr>
        <w:t>“</w:t>
      </w:r>
      <w:r w:rsidR="004B7D25" w:rsidRPr="00B93B4D">
        <w:rPr>
          <w:rFonts w:ascii="Arial" w:hAnsi="Arial" w:cs="Arial"/>
          <w:b/>
          <w:bCs/>
          <w:sz w:val="20"/>
          <w:szCs w:val="20"/>
          <w:u w:color="000000"/>
        </w:rPr>
        <w:t>activo</w:t>
      </w:r>
      <w:r w:rsidR="00D01D79" w:rsidRPr="00B93B4D">
        <w:rPr>
          <w:rFonts w:ascii="Arial" w:hAnsi="Arial" w:cs="Arial"/>
          <w:b/>
          <w:bCs/>
          <w:sz w:val="20"/>
          <w:szCs w:val="20"/>
          <w:u w:color="000000"/>
        </w:rPr>
        <w:t>s</w:t>
      </w:r>
      <w:r w:rsidRPr="00B93B4D">
        <w:rPr>
          <w:rFonts w:ascii="Arial" w:hAnsi="Arial" w:cs="Arial"/>
          <w:b/>
          <w:bCs/>
          <w:sz w:val="20"/>
          <w:szCs w:val="20"/>
          <w:u w:color="000000"/>
        </w:rPr>
        <w:t xml:space="preserve"> </w:t>
      </w:r>
      <w:r w:rsidR="004B7D25" w:rsidRPr="00B93B4D">
        <w:rPr>
          <w:rFonts w:ascii="Arial" w:hAnsi="Arial" w:cs="Arial"/>
          <w:b/>
          <w:bCs/>
          <w:sz w:val="20"/>
          <w:szCs w:val="20"/>
          <w:u w:color="000000"/>
        </w:rPr>
        <w:t>biológico</w:t>
      </w:r>
      <w:r w:rsidRPr="00B93B4D">
        <w:rPr>
          <w:rFonts w:ascii="Arial" w:hAnsi="Arial" w:cs="Arial"/>
          <w:b/>
          <w:bCs/>
          <w:sz w:val="20"/>
          <w:szCs w:val="20"/>
          <w:u w:color="000000"/>
        </w:rPr>
        <w:t>s</w:t>
      </w:r>
      <w:r w:rsidR="00D01D79" w:rsidRPr="00B93B4D">
        <w:rPr>
          <w:rFonts w:ascii="Arial" w:hAnsi="Arial" w:cs="Arial"/>
          <w:b/>
          <w:bCs/>
          <w:sz w:val="20"/>
          <w:szCs w:val="20"/>
          <w:u w:color="000000"/>
        </w:rPr>
        <w:t>”</w:t>
      </w:r>
      <w:r w:rsidR="00C1101A" w:rsidRPr="00B93B4D">
        <w:rPr>
          <w:rFonts w:ascii="Arial" w:hAnsi="Arial" w:cs="Arial"/>
          <w:b/>
          <w:bCs/>
          <w:sz w:val="20"/>
          <w:szCs w:val="20"/>
          <w:u w:color="000000"/>
        </w:rPr>
        <w:t xml:space="preserve"> y </w:t>
      </w:r>
      <w:r w:rsidR="00D01D79" w:rsidRPr="00B93B4D">
        <w:rPr>
          <w:rFonts w:ascii="Arial" w:hAnsi="Arial" w:cs="Arial"/>
          <w:b/>
          <w:bCs/>
          <w:sz w:val="20"/>
          <w:szCs w:val="20"/>
          <w:u w:color="000000"/>
        </w:rPr>
        <w:t>“</w:t>
      </w:r>
      <w:r w:rsidR="00C1101A" w:rsidRPr="00B93B4D">
        <w:rPr>
          <w:rFonts w:ascii="Arial" w:hAnsi="Arial" w:cs="Arial"/>
          <w:b/>
          <w:bCs/>
          <w:sz w:val="20"/>
          <w:szCs w:val="20"/>
          <w:u w:color="000000"/>
        </w:rPr>
        <w:t>productos agropecuarios</w:t>
      </w:r>
      <w:r w:rsidR="00D01D79" w:rsidRPr="00B93B4D">
        <w:rPr>
          <w:rFonts w:ascii="Arial" w:hAnsi="Arial" w:cs="Arial"/>
          <w:b/>
          <w:bCs/>
          <w:sz w:val="20"/>
          <w:szCs w:val="20"/>
          <w:u w:color="000000"/>
        </w:rPr>
        <w:t>”</w:t>
      </w:r>
    </w:p>
    <w:p w:rsidR="00EF6296" w:rsidRPr="00B93B4D" w:rsidRDefault="00EF6296" w:rsidP="003E72D9">
      <w:pPr>
        <w:ind w:left="1701"/>
        <w:jc w:val="both"/>
        <w:rPr>
          <w:rFonts w:ascii="Arial" w:hAnsi="Arial" w:cs="Arial"/>
          <w:b/>
          <w:bCs/>
          <w:sz w:val="20"/>
          <w:szCs w:val="20"/>
          <w:u w:color="000000"/>
        </w:rPr>
      </w:pPr>
      <w:r w:rsidRPr="00B93B4D">
        <w:rPr>
          <w:rFonts w:ascii="Arial" w:hAnsi="Arial" w:cs="Arial"/>
          <w:b/>
          <w:bCs/>
          <w:sz w:val="20"/>
          <w:szCs w:val="20"/>
          <w:u w:val="single" w:color="000000"/>
        </w:rPr>
        <w:t>Activo</w:t>
      </w:r>
      <w:r w:rsidR="00B73D0B" w:rsidRPr="00B93B4D">
        <w:rPr>
          <w:rFonts w:ascii="Arial" w:hAnsi="Arial" w:cs="Arial"/>
          <w:b/>
          <w:bCs/>
          <w:sz w:val="20"/>
          <w:szCs w:val="20"/>
          <w:u w:val="single" w:color="000000"/>
        </w:rPr>
        <w:t>s</w:t>
      </w:r>
      <w:r w:rsidRPr="00B93B4D">
        <w:rPr>
          <w:rFonts w:ascii="Arial" w:hAnsi="Arial" w:cs="Arial"/>
          <w:b/>
          <w:bCs/>
          <w:sz w:val="20"/>
          <w:szCs w:val="20"/>
          <w:u w:val="single" w:color="000000"/>
        </w:rPr>
        <w:t xml:space="preserve"> biológico</w:t>
      </w:r>
      <w:r w:rsidR="00B73D0B" w:rsidRPr="00B93B4D">
        <w:rPr>
          <w:rFonts w:ascii="Arial" w:hAnsi="Arial" w:cs="Arial"/>
          <w:b/>
          <w:bCs/>
          <w:sz w:val="20"/>
          <w:szCs w:val="20"/>
          <w:u w:val="single" w:color="000000"/>
        </w:rPr>
        <w:t>s</w:t>
      </w:r>
      <w:r w:rsidRPr="00B93B4D">
        <w:rPr>
          <w:rFonts w:ascii="Arial" w:hAnsi="Arial" w:cs="Arial"/>
          <w:b/>
          <w:bCs/>
          <w:sz w:val="20"/>
          <w:szCs w:val="20"/>
          <w:u w:color="000000"/>
        </w:rPr>
        <w:t>:</w:t>
      </w:r>
      <w:r w:rsidRPr="00B93B4D">
        <w:rPr>
          <w:rFonts w:ascii="Arial" w:hAnsi="Arial" w:cs="Arial"/>
          <w:sz w:val="20"/>
          <w:szCs w:val="20"/>
          <w:u w:color="000000"/>
        </w:rPr>
        <w:t xml:space="preserve"> </w:t>
      </w:r>
      <w:r w:rsidR="00B73D0B" w:rsidRPr="00B93B4D">
        <w:rPr>
          <w:rFonts w:ascii="Arial" w:hAnsi="Arial" w:cs="Arial"/>
          <w:sz w:val="20"/>
          <w:szCs w:val="20"/>
          <w:u w:color="000000"/>
        </w:rPr>
        <w:t xml:space="preserve">Plantas y animales vivientes utilizados en la </w:t>
      </w:r>
      <w:r w:rsidR="00B73D0B" w:rsidRPr="00B93B4D">
        <w:rPr>
          <w:rFonts w:ascii="Arial" w:hAnsi="Arial" w:cs="Arial"/>
          <w:b/>
          <w:bCs/>
          <w:sz w:val="20"/>
          <w:szCs w:val="20"/>
          <w:u w:color="000000"/>
        </w:rPr>
        <w:t>actividad agropecuaria</w:t>
      </w:r>
      <w:r w:rsidR="00B73D0B" w:rsidRPr="00B93B4D">
        <w:rPr>
          <w:rFonts w:ascii="Arial" w:hAnsi="Arial" w:cs="Arial"/>
          <w:sz w:val="20"/>
          <w:szCs w:val="20"/>
          <w:u w:color="000000"/>
        </w:rPr>
        <w:t xml:space="preserve">. Excluye a los </w:t>
      </w:r>
      <w:r w:rsidR="00B73D0B" w:rsidRPr="00B93B4D">
        <w:rPr>
          <w:rFonts w:ascii="Arial" w:hAnsi="Arial" w:cs="Arial"/>
          <w:b/>
          <w:bCs/>
          <w:sz w:val="20"/>
          <w:szCs w:val="20"/>
          <w:u w:color="000000"/>
        </w:rPr>
        <w:t>activos biológicos utilizados como factor de producción en el curso normal de las operaciones.</w:t>
      </w:r>
    </w:p>
    <w:p w:rsidR="00E659C8" w:rsidRPr="00B93B4D" w:rsidRDefault="00421257" w:rsidP="003E72D9">
      <w:pPr>
        <w:ind w:left="1701"/>
        <w:jc w:val="both"/>
        <w:rPr>
          <w:rFonts w:ascii="Arial" w:hAnsi="Arial" w:cs="Arial"/>
          <w:sz w:val="20"/>
          <w:szCs w:val="20"/>
        </w:rPr>
      </w:pPr>
      <w:r w:rsidRPr="00B93B4D">
        <w:rPr>
          <w:rFonts w:ascii="Arial" w:hAnsi="Arial" w:cs="Arial"/>
          <w:sz w:val="20"/>
          <w:szCs w:val="20"/>
          <w:u w:val="single" w:color="000000"/>
        </w:rPr>
        <w:t>Activos biológicos en desarrollo</w:t>
      </w:r>
      <w:r w:rsidRPr="00B93B4D">
        <w:rPr>
          <w:rFonts w:ascii="Arial" w:hAnsi="Arial" w:cs="Arial"/>
          <w:sz w:val="20"/>
          <w:szCs w:val="20"/>
        </w:rPr>
        <w:t xml:space="preserve">: </w:t>
      </w:r>
      <w:r w:rsidR="00B73D0B" w:rsidRPr="00B93B4D">
        <w:rPr>
          <w:rFonts w:ascii="Arial" w:hAnsi="Arial" w:cs="Arial"/>
          <w:b/>
          <w:bCs/>
          <w:sz w:val="20"/>
          <w:szCs w:val="20"/>
        </w:rPr>
        <w:t>Activos biológicos</w:t>
      </w:r>
      <w:r w:rsidRPr="00B93B4D">
        <w:rPr>
          <w:rFonts w:ascii="Arial" w:hAnsi="Arial" w:cs="Arial"/>
          <w:sz w:val="20"/>
          <w:szCs w:val="20"/>
        </w:rPr>
        <w:t xml:space="preserve"> que no </w:t>
      </w:r>
      <w:r w:rsidR="00174676" w:rsidRPr="00B93B4D">
        <w:rPr>
          <w:rFonts w:ascii="Arial" w:hAnsi="Arial" w:cs="Arial"/>
          <w:sz w:val="20"/>
          <w:szCs w:val="20"/>
        </w:rPr>
        <w:t>completaron</w:t>
      </w:r>
      <w:r w:rsidRPr="00B93B4D">
        <w:rPr>
          <w:rFonts w:ascii="Arial" w:hAnsi="Arial" w:cs="Arial"/>
          <w:sz w:val="20"/>
          <w:szCs w:val="20"/>
        </w:rPr>
        <w:t xml:space="preserve"> su proceso de desarrollo </w:t>
      </w:r>
      <w:r w:rsidR="00174676" w:rsidRPr="00B93B4D">
        <w:rPr>
          <w:rFonts w:ascii="Arial" w:hAnsi="Arial" w:cs="Arial"/>
          <w:sz w:val="20"/>
          <w:szCs w:val="20"/>
        </w:rPr>
        <w:t xml:space="preserve">y no pueden </w:t>
      </w:r>
      <w:r w:rsidRPr="00B93B4D">
        <w:rPr>
          <w:rFonts w:ascii="Arial" w:hAnsi="Arial" w:cs="Arial"/>
          <w:sz w:val="20"/>
          <w:szCs w:val="20"/>
        </w:rPr>
        <w:t xml:space="preserve">ser considerados como “en producción, consumibles o terminados” (por ejemplo: bosques, terneros, alevines, sementeras, frutas inmaduras, etc., cuyo proceso biológico de crecimiento no </w:t>
      </w:r>
      <w:r w:rsidR="00174676" w:rsidRPr="00B93B4D">
        <w:rPr>
          <w:rFonts w:ascii="Arial" w:hAnsi="Arial" w:cs="Arial"/>
          <w:sz w:val="20"/>
          <w:szCs w:val="20"/>
        </w:rPr>
        <w:t>concluyó</w:t>
      </w:r>
      <w:r w:rsidRPr="00B93B4D">
        <w:rPr>
          <w:rFonts w:ascii="Arial" w:hAnsi="Arial" w:cs="Arial"/>
          <w:sz w:val="20"/>
          <w:szCs w:val="20"/>
        </w:rPr>
        <w:t>, aunque se puedan obtener de los mismos bienes secundarios comercializables).</w:t>
      </w:r>
    </w:p>
    <w:p w:rsidR="00296863" w:rsidRPr="00AC4AEA" w:rsidRDefault="00296863" w:rsidP="003E72D9">
      <w:pPr>
        <w:ind w:left="1701"/>
        <w:jc w:val="both"/>
        <w:rPr>
          <w:rFonts w:ascii="Arial" w:hAnsi="Arial" w:cs="Arial"/>
          <w:sz w:val="20"/>
          <w:szCs w:val="20"/>
        </w:rPr>
      </w:pPr>
      <w:r w:rsidRPr="00B93B4D">
        <w:rPr>
          <w:rFonts w:ascii="Arial" w:hAnsi="Arial" w:cs="Arial"/>
          <w:sz w:val="20"/>
          <w:szCs w:val="20"/>
          <w:u w:val="single" w:color="000000"/>
        </w:rPr>
        <w:t xml:space="preserve">Activos biológicos </w:t>
      </w:r>
      <w:r w:rsidR="00F162F2" w:rsidRPr="00B93B4D">
        <w:rPr>
          <w:rFonts w:ascii="Arial" w:hAnsi="Arial" w:cs="Arial"/>
          <w:sz w:val="20"/>
          <w:szCs w:val="20"/>
          <w:u w:val="single" w:color="000000"/>
        </w:rPr>
        <w:t xml:space="preserve">producidos o </w:t>
      </w:r>
      <w:r w:rsidRPr="00B93B4D">
        <w:rPr>
          <w:rFonts w:ascii="Arial" w:hAnsi="Arial" w:cs="Arial"/>
          <w:sz w:val="20"/>
          <w:szCs w:val="20"/>
          <w:u w:val="single" w:color="000000"/>
        </w:rPr>
        <w:t>terminado</w:t>
      </w:r>
      <w:r w:rsidR="00232ED6" w:rsidRPr="00B93B4D">
        <w:rPr>
          <w:rFonts w:ascii="Arial" w:hAnsi="Arial" w:cs="Arial"/>
          <w:sz w:val="20"/>
          <w:szCs w:val="20"/>
          <w:u w:val="single" w:color="000000"/>
        </w:rPr>
        <w:t>s</w:t>
      </w:r>
      <w:r w:rsidRPr="00B93B4D">
        <w:rPr>
          <w:rFonts w:ascii="Arial" w:hAnsi="Arial" w:cs="Arial"/>
          <w:sz w:val="20"/>
          <w:szCs w:val="20"/>
        </w:rPr>
        <w:t xml:space="preserve">: </w:t>
      </w:r>
      <w:r w:rsidR="00B73D0B" w:rsidRPr="00B93B4D">
        <w:rPr>
          <w:rFonts w:ascii="Arial" w:hAnsi="Arial" w:cs="Arial"/>
          <w:b/>
          <w:bCs/>
          <w:sz w:val="20"/>
          <w:szCs w:val="20"/>
        </w:rPr>
        <w:t>Activos biológicos</w:t>
      </w:r>
      <w:r w:rsidR="00B73D0B" w:rsidRPr="00B93B4D">
        <w:rPr>
          <w:rFonts w:ascii="Arial" w:hAnsi="Arial" w:cs="Arial"/>
          <w:sz w:val="20"/>
          <w:szCs w:val="20"/>
        </w:rPr>
        <w:t xml:space="preserve"> que </w:t>
      </w:r>
      <w:r w:rsidR="00174676" w:rsidRPr="00B93B4D">
        <w:rPr>
          <w:rFonts w:ascii="Arial" w:hAnsi="Arial" w:cs="Arial"/>
          <w:sz w:val="20"/>
          <w:szCs w:val="20"/>
        </w:rPr>
        <w:t>concluyeron</w:t>
      </w:r>
      <w:r w:rsidR="00B73D0B" w:rsidRPr="00B93B4D">
        <w:rPr>
          <w:rFonts w:ascii="Arial" w:hAnsi="Arial" w:cs="Arial"/>
          <w:sz w:val="20"/>
          <w:szCs w:val="20"/>
        </w:rPr>
        <w:t xml:space="preserve"> su proceso de desarrollo y </w:t>
      </w:r>
      <w:r w:rsidR="00174676" w:rsidRPr="00B93B4D">
        <w:rPr>
          <w:rFonts w:ascii="Arial" w:hAnsi="Arial" w:cs="Arial"/>
          <w:sz w:val="20"/>
          <w:szCs w:val="20"/>
        </w:rPr>
        <w:t>están</w:t>
      </w:r>
      <w:r w:rsidR="00B73D0B" w:rsidRPr="00B93B4D">
        <w:rPr>
          <w:rFonts w:ascii="Arial" w:hAnsi="Arial" w:cs="Arial"/>
          <w:sz w:val="20"/>
          <w:szCs w:val="20"/>
        </w:rPr>
        <w:t xml:space="preserve"> en condiciones de ser vendidos, transformados en </w:t>
      </w:r>
      <w:r w:rsidR="00B73D0B" w:rsidRPr="00B93B4D">
        <w:rPr>
          <w:rFonts w:ascii="Arial" w:hAnsi="Arial" w:cs="Arial"/>
          <w:b/>
          <w:bCs/>
          <w:sz w:val="20"/>
          <w:szCs w:val="20"/>
        </w:rPr>
        <w:t>productos agropecuarios</w:t>
      </w:r>
      <w:r w:rsidR="00B73D0B" w:rsidRPr="00B93B4D">
        <w:rPr>
          <w:rFonts w:ascii="Arial" w:hAnsi="Arial" w:cs="Arial"/>
          <w:sz w:val="20"/>
          <w:szCs w:val="20"/>
        </w:rPr>
        <w:t xml:space="preserve"> o utilizados en otros procesos productivos (plantines para su venta como tales, novillos terminados, frutos maduros, bosques aptos para la tala, etc.). Ciertos activos pueden calificar</w:t>
      </w:r>
      <w:r w:rsidR="00B73D0B" w:rsidRPr="00331149">
        <w:rPr>
          <w:rFonts w:ascii="Arial" w:hAnsi="Arial" w:cs="Arial"/>
          <w:sz w:val="20"/>
          <w:szCs w:val="20"/>
        </w:rPr>
        <w:t xml:space="preserve"> como “activos biológicos en desarrollo” en una actividad y como “activos biológicos producidos o terminados” en otra, </w:t>
      </w:r>
      <w:r w:rsidR="00174676" w:rsidRPr="00331149">
        <w:rPr>
          <w:rFonts w:ascii="Arial" w:hAnsi="Arial" w:cs="Arial"/>
          <w:sz w:val="20"/>
          <w:szCs w:val="20"/>
        </w:rPr>
        <w:t>según</w:t>
      </w:r>
      <w:r w:rsidR="00B73D0B" w:rsidRPr="00331149">
        <w:rPr>
          <w:rFonts w:ascii="Arial" w:hAnsi="Arial" w:cs="Arial"/>
          <w:sz w:val="20"/>
          <w:szCs w:val="20"/>
        </w:rPr>
        <w:t xml:space="preserve"> la extensión del ciclo biológico. Por ejemplo, los plantines pueden </w:t>
      </w:r>
      <w:r w:rsidR="00174676" w:rsidRPr="00331149">
        <w:rPr>
          <w:rFonts w:ascii="Arial" w:hAnsi="Arial" w:cs="Arial"/>
          <w:sz w:val="20"/>
          <w:szCs w:val="20"/>
        </w:rPr>
        <w:t>destinarse</w:t>
      </w:r>
      <w:r w:rsidR="00B73D0B" w:rsidRPr="00331149">
        <w:rPr>
          <w:rFonts w:ascii="Arial" w:hAnsi="Arial" w:cs="Arial"/>
          <w:sz w:val="20"/>
          <w:szCs w:val="20"/>
        </w:rPr>
        <w:t xml:space="preserve"> a la venta o </w:t>
      </w:r>
      <w:r w:rsidR="00174676" w:rsidRPr="00331149">
        <w:rPr>
          <w:rFonts w:ascii="Arial" w:hAnsi="Arial" w:cs="Arial"/>
          <w:sz w:val="20"/>
          <w:szCs w:val="20"/>
        </w:rPr>
        <w:t>utilizarse</w:t>
      </w:r>
      <w:r w:rsidR="00B73D0B" w:rsidRPr="00331149">
        <w:rPr>
          <w:rFonts w:ascii="Arial" w:hAnsi="Arial" w:cs="Arial"/>
          <w:sz w:val="20"/>
          <w:szCs w:val="20"/>
        </w:rPr>
        <w:t xml:space="preserve"> en explotaciones de bosques.</w:t>
      </w:r>
    </w:p>
    <w:p w:rsidR="00B73D0B" w:rsidRPr="00AC4AEA" w:rsidRDefault="00B73D0B" w:rsidP="003E72D9">
      <w:pPr>
        <w:ind w:left="1701"/>
        <w:jc w:val="both"/>
        <w:rPr>
          <w:rFonts w:ascii="Arial" w:hAnsi="Arial" w:cs="Arial"/>
          <w:sz w:val="20"/>
          <w:szCs w:val="20"/>
        </w:rPr>
      </w:pPr>
      <w:r w:rsidRPr="00AC4AEA">
        <w:rPr>
          <w:rFonts w:ascii="Arial" w:hAnsi="Arial" w:cs="Arial"/>
          <w:b/>
          <w:bCs/>
          <w:sz w:val="20"/>
          <w:szCs w:val="20"/>
          <w:u w:val="single" w:color="000000"/>
        </w:rPr>
        <w:t>Activos biológicos utilizados como factor de producción en el curso normal de las operaciones</w:t>
      </w:r>
      <w:r w:rsidRPr="00AC4AEA">
        <w:rPr>
          <w:rFonts w:ascii="Arial" w:hAnsi="Arial" w:cs="Arial"/>
          <w:sz w:val="20"/>
          <w:szCs w:val="20"/>
          <w:u w:color="000000"/>
        </w:rPr>
        <w:t xml:space="preserve">: </w:t>
      </w:r>
      <w:r w:rsidRPr="00AC4AEA">
        <w:rPr>
          <w:rFonts w:ascii="Arial" w:hAnsi="Arial" w:cs="Arial"/>
          <w:b/>
          <w:bCs/>
          <w:sz w:val="20"/>
          <w:szCs w:val="20"/>
          <w:u w:color="000000"/>
        </w:rPr>
        <w:t>Activos biológicos</w:t>
      </w:r>
      <w:r w:rsidRPr="00AC4AEA">
        <w:rPr>
          <w:rFonts w:ascii="Arial" w:hAnsi="Arial" w:cs="Arial"/>
          <w:sz w:val="20"/>
          <w:szCs w:val="20"/>
          <w:u w:color="000000"/>
        </w:rPr>
        <w:t xml:space="preserve"> que cumplen la definición de “plantas productoras”, “animales productores” o “</w:t>
      </w:r>
      <w:r w:rsidR="00154E0D" w:rsidRPr="00AC4AEA">
        <w:rPr>
          <w:rFonts w:ascii="Arial" w:hAnsi="Arial" w:cs="Arial"/>
          <w:sz w:val="20"/>
          <w:szCs w:val="20"/>
          <w:u w:color="000000"/>
        </w:rPr>
        <w:t>animales reproductores</w:t>
      </w:r>
      <w:r w:rsidRPr="00AC4AEA">
        <w:rPr>
          <w:rFonts w:ascii="Arial" w:hAnsi="Arial" w:cs="Arial"/>
          <w:sz w:val="20"/>
          <w:szCs w:val="20"/>
          <w:u w:color="000000"/>
        </w:rPr>
        <w:t xml:space="preserve">”. </w:t>
      </w:r>
    </w:p>
    <w:p w:rsidR="00B73D0B" w:rsidRPr="00AC4AEA" w:rsidRDefault="00B73D0B" w:rsidP="003E72D9">
      <w:pPr>
        <w:ind w:left="1701"/>
        <w:jc w:val="both"/>
        <w:rPr>
          <w:rFonts w:ascii="Arial" w:hAnsi="Arial" w:cs="Arial"/>
          <w:sz w:val="20"/>
          <w:szCs w:val="20"/>
          <w:u w:color="000000"/>
        </w:rPr>
      </w:pPr>
      <w:r w:rsidRPr="00AC4AEA">
        <w:rPr>
          <w:rFonts w:ascii="Arial" w:hAnsi="Arial" w:cs="Arial"/>
          <w:sz w:val="20"/>
          <w:szCs w:val="20"/>
          <w:u w:val="single" w:color="000000"/>
        </w:rPr>
        <w:t>Animales productores</w:t>
      </w:r>
      <w:r w:rsidRPr="00AC4AEA">
        <w:rPr>
          <w:rFonts w:ascii="Arial" w:hAnsi="Arial" w:cs="Arial"/>
          <w:sz w:val="20"/>
          <w:szCs w:val="20"/>
          <w:u w:color="000000"/>
        </w:rPr>
        <w:t>: Activos que:</w:t>
      </w:r>
    </w:p>
    <w:p w:rsidR="00B73D0B" w:rsidRPr="00B93B4D" w:rsidRDefault="00B73D0B" w:rsidP="00C01B25">
      <w:pPr>
        <w:pStyle w:val="Prrafodelista"/>
        <w:numPr>
          <w:ilvl w:val="0"/>
          <w:numId w:val="549"/>
        </w:numPr>
        <w:ind w:left="2127"/>
        <w:contextualSpacing w:val="0"/>
        <w:jc w:val="both"/>
        <w:rPr>
          <w:rFonts w:ascii="Arial" w:hAnsi="Arial" w:cs="Arial"/>
          <w:sz w:val="20"/>
          <w:szCs w:val="20"/>
          <w:u w:color="000000"/>
        </w:rPr>
      </w:pPr>
      <w:r w:rsidRPr="00331149">
        <w:rPr>
          <w:rFonts w:ascii="Arial" w:hAnsi="Arial" w:cs="Arial"/>
          <w:sz w:val="20"/>
          <w:szCs w:val="20"/>
          <w:u w:color="000000"/>
        </w:rPr>
        <w:t xml:space="preserve">se utilizan en forma predominante para la obtención de productos </w:t>
      </w:r>
      <w:r w:rsidRPr="00B93B4D">
        <w:rPr>
          <w:rFonts w:ascii="Arial" w:hAnsi="Arial" w:cs="Arial"/>
          <w:sz w:val="20"/>
          <w:szCs w:val="20"/>
          <w:u w:color="000000"/>
        </w:rPr>
        <w:t>pecuarios (lana, leche, etc</w:t>
      </w:r>
      <w:r w:rsidR="007723B3" w:rsidRPr="00B93B4D">
        <w:rPr>
          <w:rFonts w:ascii="Arial" w:hAnsi="Arial" w:cs="Arial"/>
          <w:sz w:val="20"/>
          <w:szCs w:val="20"/>
          <w:u w:color="000000"/>
        </w:rPr>
        <w:t>.</w:t>
      </w:r>
      <w:r w:rsidRPr="00B93B4D">
        <w:rPr>
          <w:rFonts w:ascii="Arial" w:hAnsi="Arial" w:cs="Arial"/>
          <w:sz w:val="20"/>
          <w:szCs w:val="20"/>
          <w:u w:color="000000"/>
        </w:rPr>
        <w:t>);</w:t>
      </w:r>
    </w:p>
    <w:p w:rsidR="00B73D0B" w:rsidRPr="00B93B4D" w:rsidRDefault="00B73D0B" w:rsidP="00C01B25">
      <w:pPr>
        <w:pStyle w:val="Prrafodelista"/>
        <w:numPr>
          <w:ilvl w:val="0"/>
          <w:numId w:val="549"/>
        </w:numPr>
        <w:ind w:left="2127"/>
        <w:contextualSpacing w:val="0"/>
        <w:jc w:val="both"/>
        <w:rPr>
          <w:rFonts w:ascii="Arial" w:hAnsi="Arial" w:cs="Arial"/>
          <w:sz w:val="20"/>
          <w:szCs w:val="20"/>
          <w:u w:color="000000"/>
        </w:rPr>
      </w:pPr>
      <w:r w:rsidRPr="00B93B4D">
        <w:rPr>
          <w:rFonts w:ascii="Arial" w:hAnsi="Arial" w:cs="Arial"/>
          <w:sz w:val="20"/>
          <w:szCs w:val="20"/>
          <w:u w:color="000000"/>
        </w:rPr>
        <w:t>se espera que su vida productiv</w:t>
      </w:r>
      <w:r w:rsidR="00F4676A" w:rsidRPr="00B93B4D">
        <w:rPr>
          <w:rFonts w:ascii="Arial" w:hAnsi="Arial" w:cs="Arial"/>
          <w:sz w:val="20"/>
          <w:szCs w:val="20"/>
          <w:u w:color="000000"/>
        </w:rPr>
        <w:t>a</w:t>
      </w:r>
      <w:r w:rsidRPr="00B93B4D">
        <w:rPr>
          <w:rFonts w:ascii="Arial" w:hAnsi="Arial" w:cs="Arial"/>
          <w:sz w:val="20"/>
          <w:szCs w:val="20"/>
          <w:u w:color="000000"/>
        </w:rPr>
        <w:t xml:space="preserve"> dure más de un período; y</w:t>
      </w:r>
    </w:p>
    <w:p w:rsidR="00B73D0B" w:rsidRPr="00B93B4D" w:rsidRDefault="00174676" w:rsidP="00C01B25">
      <w:pPr>
        <w:pStyle w:val="Prrafodelista"/>
        <w:numPr>
          <w:ilvl w:val="0"/>
          <w:numId w:val="549"/>
        </w:numPr>
        <w:ind w:left="2127"/>
        <w:contextualSpacing w:val="0"/>
        <w:jc w:val="both"/>
        <w:rPr>
          <w:rFonts w:ascii="Arial" w:hAnsi="Arial" w:cs="Arial"/>
          <w:sz w:val="20"/>
          <w:szCs w:val="20"/>
          <w:u w:color="000000"/>
        </w:rPr>
      </w:pPr>
      <w:r w:rsidRPr="00B93B4D">
        <w:rPr>
          <w:rFonts w:ascii="Arial" w:hAnsi="Arial" w:cs="Arial"/>
          <w:sz w:val="20"/>
          <w:szCs w:val="20"/>
          <w:u w:color="000000"/>
        </w:rPr>
        <w:t>tienen una</w:t>
      </w:r>
      <w:r w:rsidR="00B73D0B" w:rsidRPr="00B93B4D">
        <w:rPr>
          <w:rFonts w:ascii="Arial" w:hAnsi="Arial" w:cs="Arial"/>
          <w:sz w:val="20"/>
          <w:szCs w:val="20"/>
          <w:u w:color="000000"/>
        </w:rPr>
        <w:t xml:space="preserve"> probabilidad de venta remota, excepto como animales de descarte al final de su período productivo.</w:t>
      </w:r>
    </w:p>
    <w:p w:rsidR="00421257" w:rsidRPr="00B93B4D" w:rsidRDefault="00421257" w:rsidP="003E72D9">
      <w:pPr>
        <w:ind w:left="1701"/>
        <w:jc w:val="both"/>
        <w:rPr>
          <w:rFonts w:ascii="Arial" w:hAnsi="Arial" w:cs="Arial"/>
          <w:sz w:val="20"/>
          <w:szCs w:val="20"/>
        </w:rPr>
      </w:pPr>
      <w:r w:rsidRPr="00B93B4D">
        <w:rPr>
          <w:rFonts w:ascii="Arial" w:hAnsi="Arial" w:cs="Arial"/>
          <w:sz w:val="20"/>
          <w:szCs w:val="20"/>
          <w:u w:val="single" w:color="000000"/>
        </w:rPr>
        <w:lastRenderedPageBreak/>
        <w:t>Animales</w:t>
      </w:r>
      <w:r w:rsidR="00B73D0B" w:rsidRPr="00B93B4D">
        <w:rPr>
          <w:rFonts w:ascii="Arial" w:hAnsi="Arial" w:cs="Arial"/>
          <w:sz w:val="20"/>
          <w:szCs w:val="20"/>
          <w:u w:val="single" w:color="000000"/>
        </w:rPr>
        <w:t xml:space="preserve"> </w:t>
      </w:r>
      <w:r w:rsidRPr="00B93B4D">
        <w:rPr>
          <w:rFonts w:ascii="Arial" w:hAnsi="Arial" w:cs="Arial"/>
          <w:sz w:val="20"/>
          <w:szCs w:val="20"/>
          <w:u w:val="single" w:color="000000"/>
        </w:rPr>
        <w:t>reproductores</w:t>
      </w:r>
      <w:r w:rsidRPr="00B93B4D">
        <w:rPr>
          <w:rFonts w:ascii="Arial" w:hAnsi="Arial" w:cs="Arial"/>
          <w:sz w:val="20"/>
          <w:szCs w:val="20"/>
        </w:rPr>
        <w:t xml:space="preserve">: </w:t>
      </w:r>
      <w:r w:rsidR="00B73D0B" w:rsidRPr="00B93B4D">
        <w:rPr>
          <w:rFonts w:ascii="Arial" w:hAnsi="Arial" w:cs="Arial"/>
          <w:sz w:val="20"/>
          <w:szCs w:val="20"/>
        </w:rPr>
        <w:t>A</w:t>
      </w:r>
      <w:r w:rsidRPr="00B93B4D">
        <w:rPr>
          <w:rFonts w:ascii="Arial" w:hAnsi="Arial" w:cs="Arial"/>
          <w:sz w:val="20"/>
          <w:szCs w:val="20"/>
        </w:rPr>
        <w:t xml:space="preserve">nimales machos o hembras destinados exclusivamente a la procreación de nuevos individuos de su especie, desde su categorización como tales por la entidad y hasta que cambien de destino. </w:t>
      </w:r>
    </w:p>
    <w:p w:rsidR="004B7D25" w:rsidRPr="00B93B4D" w:rsidRDefault="004B7D25" w:rsidP="003E72D9">
      <w:pPr>
        <w:ind w:left="1701"/>
        <w:jc w:val="both"/>
        <w:rPr>
          <w:rFonts w:ascii="Arial" w:hAnsi="Arial" w:cs="Arial"/>
          <w:sz w:val="20"/>
          <w:szCs w:val="20"/>
        </w:rPr>
      </w:pPr>
      <w:r w:rsidRPr="00B93B4D">
        <w:rPr>
          <w:rFonts w:ascii="Arial" w:hAnsi="Arial" w:cs="Arial"/>
          <w:sz w:val="20"/>
          <w:szCs w:val="20"/>
          <w:u w:val="single" w:color="000000"/>
        </w:rPr>
        <w:t>Plantas productoras</w:t>
      </w:r>
      <w:r w:rsidRPr="00B93B4D">
        <w:rPr>
          <w:rFonts w:ascii="Arial" w:hAnsi="Arial" w:cs="Arial"/>
          <w:sz w:val="20"/>
          <w:szCs w:val="20"/>
        </w:rPr>
        <w:t>:</w:t>
      </w:r>
      <w:r w:rsidR="00B73D0B" w:rsidRPr="00B93B4D">
        <w:rPr>
          <w:rFonts w:ascii="Arial" w:hAnsi="Arial" w:cs="Arial"/>
          <w:sz w:val="20"/>
          <w:szCs w:val="20"/>
        </w:rPr>
        <w:t xml:space="preserve"> Plantas vivas que:</w:t>
      </w:r>
    </w:p>
    <w:p w:rsidR="00B73D0B" w:rsidRPr="00B93B4D" w:rsidRDefault="00B73D0B" w:rsidP="00C01B25">
      <w:pPr>
        <w:pStyle w:val="Prrafodelista"/>
        <w:numPr>
          <w:ilvl w:val="0"/>
          <w:numId w:val="550"/>
        </w:numPr>
        <w:ind w:left="2127"/>
        <w:contextualSpacing w:val="0"/>
        <w:jc w:val="both"/>
        <w:rPr>
          <w:rFonts w:ascii="Arial" w:hAnsi="Arial" w:cs="Arial"/>
          <w:sz w:val="20"/>
          <w:szCs w:val="20"/>
        </w:rPr>
      </w:pPr>
      <w:r w:rsidRPr="00B93B4D">
        <w:rPr>
          <w:rFonts w:ascii="Arial" w:hAnsi="Arial" w:cs="Arial"/>
          <w:sz w:val="20"/>
          <w:szCs w:val="20"/>
        </w:rPr>
        <w:t xml:space="preserve">permiten </w:t>
      </w:r>
      <w:r w:rsidR="001927E9" w:rsidRPr="00B93B4D">
        <w:rPr>
          <w:rFonts w:ascii="Arial" w:hAnsi="Arial" w:cs="Arial"/>
          <w:sz w:val="20"/>
          <w:szCs w:val="20"/>
        </w:rPr>
        <w:t xml:space="preserve">obtener </w:t>
      </w:r>
      <w:r w:rsidRPr="00B93B4D">
        <w:rPr>
          <w:rFonts w:ascii="Arial" w:hAnsi="Arial" w:cs="Arial"/>
          <w:sz w:val="20"/>
          <w:szCs w:val="20"/>
        </w:rPr>
        <w:t xml:space="preserve">productos agrícolas; </w:t>
      </w:r>
    </w:p>
    <w:p w:rsidR="00B73D0B" w:rsidRPr="00B93B4D" w:rsidRDefault="00B73D0B" w:rsidP="00C01B25">
      <w:pPr>
        <w:pStyle w:val="Prrafodelista"/>
        <w:numPr>
          <w:ilvl w:val="0"/>
          <w:numId w:val="550"/>
        </w:numPr>
        <w:ind w:left="2127"/>
        <w:contextualSpacing w:val="0"/>
        <w:jc w:val="both"/>
        <w:rPr>
          <w:rFonts w:ascii="Arial" w:hAnsi="Arial" w:cs="Arial"/>
          <w:sz w:val="20"/>
          <w:szCs w:val="20"/>
          <w:u w:color="000000"/>
        </w:rPr>
      </w:pPr>
      <w:r w:rsidRPr="00B93B4D">
        <w:rPr>
          <w:rFonts w:ascii="Arial" w:hAnsi="Arial" w:cs="Arial"/>
          <w:sz w:val="20"/>
          <w:szCs w:val="20"/>
          <w:u w:color="000000"/>
        </w:rPr>
        <w:t>se espera que su vida productiv</w:t>
      </w:r>
      <w:r w:rsidR="001927E9" w:rsidRPr="00B93B4D">
        <w:rPr>
          <w:rFonts w:ascii="Arial" w:hAnsi="Arial" w:cs="Arial"/>
          <w:sz w:val="20"/>
          <w:szCs w:val="20"/>
          <w:u w:color="000000"/>
        </w:rPr>
        <w:t>a</w:t>
      </w:r>
      <w:r w:rsidRPr="00B93B4D">
        <w:rPr>
          <w:rFonts w:ascii="Arial" w:hAnsi="Arial" w:cs="Arial"/>
          <w:sz w:val="20"/>
          <w:szCs w:val="20"/>
          <w:u w:color="000000"/>
        </w:rPr>
        <w:t xml:space="preserve"> dure más de un período; y</w:t>
      </w:r>
    </w:p>
    <w:p w:rsidR="00B73D0B" w:rsidRPr="00331149" w:rsidRDefault="00174676" w:rsidP="00C01B25">
      <w:pPr>
        <w:pStyle w:val="Prrafodelista"/>
        <w:numPr>
          <w:ilvl w:val="0"/>
          <w:numId w:val="550"/>
        </w:numPr>
        <w:ind w:left="2127"/>
        <w:contextualSpacing w:val="0"/>
        <w:jc w:val="both"/>
        <w:rPr>
          <w:rFonts w:ascii="Arial" w:hAnsi="Arial" w:cs="Arial"/>
          <w:sz w:val="20"/>
          <w:szCs w:val="20"/>
          <w:u w:color="000000"/>
        </w:rPr>
      </w:pPr>
      <w:r w:rsidRPr="00331149">
        <w:rPr>
          <w:rFonts w:ascii="Arial" w:hAnsi="Arial" w:cs="Arial"/>
          <w:sz w:val="20"/>
          <w:szCs w:val="20"/>
          <w:u w:color="000000"/>
        </w:rPr>
        <w:t>tienen una probabilidad de venta remota</w:t>
      </w:r>
      <w:r w:rsidR="00B73D0B" w:rsidRPr="00331149">
        <w:rPr>
          <w:rFonts w:ascii="Arial" w:hAnsi="Arial" w:cs="Arial"/>
          <w:sz w:val="20"/>
          <w:szCs w:val="20"/>
          <w:u w:color="000000"/>
        </w:rPr>
        <w:t>, excepto por cuestiones incidentales como raleos y podas.</w:t>
      </w:r>
    </w:p>
    <w:p w:rsidR="00B73D0B" w:rsidRPr="00AC4AEA" w:rsidRDefault="00B73D0B" w:rsidP="003E72D9">
      <w:pPr>
        <w:pStyle w:val="Prrafodelista"/>
        <w:ind w:left="1701"/>
        <w:contextualSpacing w:val="0"/>
        <w:jc w:val="both"/>
        <w:rPr>
          <w:rFonts w:ascii="Arial" w:hAnsi="Arial" w:cs="Arial"/>
          <w:sz w:val="20"/>
          <w:szCs w:val="20"/>
          <w:u w:color="000000"/>
        </w:rPr>
      </w:pPr>
      <w:r w:rsidRPr="00AC4AEA">
        <w:rPr>
          <w:rFonts w:ascii="Arial" w:hAnsi="Arial" w:cs="Arial"/>
          <w:sz w:val="20"/>
          <w:szCs w:val="20"/>
          <w:u w:color="000000"/>
        </w:rPr>
        <w:t>No son plantas</w:t>
      </w:r>
      <w:r w:rsidR="009A2267">
        <w:rPr>
          <w:rFonts w:ascii="Arial" w:hAnsi="Arial" w:cs="Arial"/>
          <w:sz w:val="20"/>
          <w:szCs w:val="20"/>
          <w:u w:color="000000"/>
        </w:rPr>
        <w:t xml:space="preserve"> productoras</w:t>
      </w:r>
      <w:r w:rsidRPr="00AC4AEA">
        <w:rPr>
          <w:rFonts w:ascii="Arial" w:hAnsi="Arial" w:cs="Arial"/>
          <w:sz w:val="20"/>
          <w:szCs w:val="20"/>
          <w:u w:color="000000"/>
        </w:rPr>
        <w:t xml:space="preserve"> las que se espera cosechar como productos agrícolas (por ejemplo, los bosques cultivados para madera o pasta para papel).</w:t>
      </w:r>
    </w:p>
    <w:p w:rsidR="00B73D0B" w:rsidRPr="00AC4AEA" w:rsidRDefault="00B73D0B" w:rsidP="003E72D9">
      <w:pPr>
        <w:ind w:left="1701"/>
        <w:jc w:val="both"/>
        <w:rPr>
          <w:rFonts w:ascii="Arial" w:hAnsi="Arial" w:cs="Arial"/>
          <w:sz w:val="20"/>
          <w:szCs w:val="20"/>
        </w:rPr>
      </w:pPr>
      <w:r w:rsidRPr="00AC4AEA">
        <w:rPr>
          <w:rFonts w:ascii="Arial" w:hAnsi="Arial" w:cs="Arial"/>
          <w:sz w:val="20"/>
          <w:szCs w:val="20"/>
          <w:u w:val="single" w:color="000000"/>
        </w:rPr>
        <w:t>Productos agropecuarios</w:t>
      </w:r>
      <w:r w:rsidRPr="00AC4AEA">
        <w:rPr>
          <w:rFonts w:ascii="Arial" w:hAnsi="Arial" w:cs="Arial"/>
          <w:sz w:val="20"/>
          <w:szCs w:val="20"/>
        </w:rPr>
        <w:t xml:space="preserve">: Productos resultantes de la acción descripta en el punto “Obtención de productos agropecuarios” (por ejemplo: cereales cosechados, leche, lana, madera, frutos cosechados, etc.). </w:t>
      </w:r>
    </w:p>
    <w:p w:rsidR="002507B6" w:rsidRDefault="002507B6" w:rsidP="00A318EA">
      <w:pPr>
        <w:ind w:left="1332"/>
        <w:jc w:val="both"/>
        <w:rPr>
          <w:rFonts w:ascii="Arial" w:hAnsi="Arial" w:cs="Arial"/>
          <w:b/>
          <w:bCs/>
          <w:sz w:val="20"/>
          <w:szCs w:val="20"/>
          <w:u w:color="000000"/>
        </w:rPr>
      </w:pPr>
    </w:p>
    <w:p w:rsidR="00B73D0B" w:rsidRPr="00AC4AEA" w:rsidRDefault="00B73D0B" w:rsidP="00A318EA">
      <w:pPr>
        <w:ind w:left="1332"/>
        <w:jc w:val="both"/>
        <w:rPr>
          <w:rFonts w:ascii="Arial" w:hAnsi="Arial" w:cs="Arial"/>
          <w:b/>
          <w:bCs/>
          <w:sz w:val="20"/>
          <w:szCs w:val="20"/>
          <w:u w:color="000000"/>
        </w:rPr>
      </w:pPr>
      <w:r w:rsidRPr="00AC4AEA">
        <w:rPr>
          <w:rFonts w:ascii="Arial" w:hAnsi="Arial" w:cs="Arial"/>
          <w:b/>
          <w:bCs/>
          <w:sz w:val="20"/>
          <w:szCs w:val="20"/>
          <w:u w:color="000000"/>
        </w:rPr>
        <w:t>Ejemplos de activos biológicos, productos agropecuarios y productos resultantes de su procesamiento</w:t>
      </w:r>
    </w:p>
    <w:tbl>
      <w:tblPr>
        <w:tblStyle w:val="TableNormal"/>
        <w:tblW w:w="890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8"/>
        <w:gridCol w:w="2968"/>
        <w:gridCol w:w="2969"/>
      </w:tblGrid>
      <w:tr w:rsidR="00DC1034" w:rsidRPr="00AC4AEA" w:rsidTr="00B331B4">
        <w:trPr>
          <w:trHeight w:val="632"/>
        </w:trPr>
        <w:tc>
          <w:tcPr>
            <w:tcW w:w="2968" w:type="dxa"/>
            <w:shd w:val="clear" w:color="auto" w:fill="EEECE1" w:themeFill="background2"/>
            <w:vAlign w:val="center"/>
          </w:tcPr>
          <w:p w:rsidR="00B73D0B" w:rsidRPr="00AC4AEA" w:rsidRDefault="00B73D0B" w:rsidP="00A318EA">
            <w:pPr>
              <w:pStyle w:val="TableParagraph"/>
              <w:spacing w:before="0"/>
              <w:ind w:right="313"/>
              <w:rPr>
                <w:rFonts w:ascii="Arial" w:hAnsi="Arial" w:cs="Arial"/>
                <w:b/>
                <w:sz w:val="20"/>
                <w:szCs w:val="20"/>
              </w:rPr>
            </w:pPr>
            <w:r w:rsidRPr="00AC4AEA">
              <w:rPr>
                <w:rFonts w:ascii="Arial" w:hAnsi="Arial" w:cs="Arial"/>
                <w:b/>
                <w:sz w:val="20"/>
                <w:szCs w:val="20"/>
              </w:rPr>
              <w:t>Activos</w:t>
            </w:r>
            <w:r w:rsidRPr="00AC4AEA">
              <w:rPr>
                <w:rFonts w:ascii="Arial" w:hAnsi="Arial" w:cs="Arial"/>
                <w:b/>
                <w:spacing w:val="-5"/>
                <w:sz w:val="20"/>
                <w:szCs w:val="20"/>
              </w:rPr>
              <w:t xml:space="preserve"> </w:t>
            </w:r>
            <w:r w:rsidRPr="00AC4AEA">
              <w:rPr>
                <w:rFonts w:ascii="Arial" w:hAnsi="Arial" w:cs="Arial"/>
                <w:b/>
                <w:spacing w:val="-2"/>
                <w:sz w:val="20"/>
                <w:szCs w:val="20"/>
              </w:rPr>
              <w:t>biológicos</w:t>
            </w:r>
          </w:p>
        </w:tc>
        <w:tc>
          <w:tcPr>
            <w:tcW w:w="2968" w:type="dxa"/>
            <w:shd w:val="clear" w:color="auto" w:fill="EEECE1" w:themeFill="background2"/>
            <w:vAlign w:val="center"/>
          </w:tcPr>
          <w:p w:rsidR="00B73D0B" w:rsidRPr="00AC4AEA" w:rsidRDefault="00B73D0B" w:rsidP="00A318EA">
            <w:pPr>
              <w:pStyle w:val="TableParagraph"/>
              <w:spacing w:before="0"/>
              <w:ind w:left="0" w:right="96"/>
              <w:rPr>
                <w:rFonts w:ascii="Arial" w:hAnsi="Arial" w:cs="Arial"/>
                <w:b/>
                <w:sz w:val="20"/>
                <w:szCs w:val="20"/>
              </w:rPr>
            </w:pPr>
            <w:r w:rsidRPr="00AC4AEA">
              <w:rPr>
                <w:rFonts w:ascii="Arial" w:hAnsi="Arial" w:cs="Arial"/>
                <w:b/>
                <w:sz w:val="20"/>
                <w:szCs w:val="20"/>
              </w:rPr>
              <w:t>Productos a</w:t>
            </w:r>
            <w:r w:rsidRPr="00AC4AEA">
              <w:rPr>
                <w:rFonts w:ascii="Arial" w:hAnsi="Arial" w:cs="Arial"/>
                <w:b/>
                <w:spacing w:val="-2"/>
                <w:sz w:val="20"/>
                <w:szCs w:val="20"/>
              </w:rPr>
              <w:t>gropecuarios</w:t>
            </w:r>
          </w:p>
        </w:tc>
        <w:tc>
          <w:tcPr>
            <w:tcW w:w="2969" w:type="dxa"/>
            <w:shd w:val="clear" w:color="auto" w:fill="EEECE1" w:themeFill="background2"/>
            <w:vAlign w:val="center"/>
          </w:tcPr>
          <w:p w:rsidR="00B73D0B" w:rsidRPr="00AC4AEA" w:rsidRDefault="00B73D0B" w:rsidP="00A318EA">
            <w:pPr>
              <w:pStyle w:val="TableParagraph"/>
              <w:spacing w:before="26" w:line="237" w:lineRule="auto"/>
              <w:ind w:left="0"/>
              <w:rPr>
                <w:rFonts w:ascii="Arial" w:hAnsi="Arial" w:cs="Arial"/>
                <w:b/>
                <w:sz w:val="20"/>
                <w:szCs w:val="20"/>
              </w:rPr>
            </w:pPr>
            <w:r w:rsidRPr="00AC4AEA">
              <w:rPr>
                <w:rFonts w:ascii="Arial" w:hAnsi="Arial" w:cs="Arial"/>
                <w:b/>
                <w:sz w:val="20"/>
                <w:szCs w:val="20"/>
              </w:rPr>
              <w:t>Productos</w:t>
            </w:r>
            <w:r w:rsidRPr="00AC4AEA">
              <w:rPr>
                <w:rFonts w:ascii="Arial" w:hAnsi="Arial" w:cs="Arial"/>
                <w:b/>
                <w:spacing w:val="-14"/>
                <w:sz w:val="20"/>
                <w:szCs w:val="20"/>
              </w:rPr>
              <w:t xml:space="preserve"> </w:t>
            </w:r>
            <w:r w:rsidRPr="00AC4AEA">
              <w:rPr>
                <w:rFonts w:ascii="Arial" w:hAnsi="Arial" w:cs="Arial"/>
                <w:b/>
                <w:sz w:val="20"/>
                <w:szCs w:val="20"/>
              </w:rPr>
              <w:t>resultantes</w:t>
            </w:r>
            <w:r w:rsidRPr="00AC4AEA">
              <w:rPr>
                <w:rFonts w:ascii="Arial" w:hAnsi="Arial" w:cs="Arial"/>
                <w:b/>
                <w:spacing w:val="-14"/>
                <w:sz w:val="20"/>
                <w:szCs w:val="20"/>
              </w:rPr>
              <w:t xml:space="preserve"> </w:t>
            </w:r>
            <w:r w:rsidRPr="00AC4AEA">
              <w:rPr>
                <w:rFonts w:ascii="Arial" w:hAnsi="Arial" w:cs="Arial"/>
                <w:b/>
                <w:sz w:val="20"/>
                <w:szCs w:val="20"/>
              </w:rPr>
              <w:t>del procesamiento tras la cosecha o recolección</w:t>
            </w:r>
          </w:p>
        </w:tc>
      </w:tr>
      <w:tr w:rsidR="00DC1034" w:rsidRPr="00AC4AEA" w:rsidTr="00B331B4">
        <w:trPr>
          <w:trHeight w:val="252"/>
        </w:trPr>
        <w:tc>
          <w:tcPr>
            <w:tcW w:w="2968" w:type="dxa"/>
          </w:tcPr>
          <w:p w:rsidR="00B73D0B" w:rsidRPr="00AC4AEA" w:rsidRDefault="00B73D0B" w:rsidP="00A318EA">
            <w:pPr>
              <w:pStyle w:val="TableParagraph"/>
              <w:ind w:left="13" w:right="107"/>
              <w:jc w:val="left"/>
              <w:rPr>
                <w:rFonts w:ascii="Arial" w:hAnsi="Arial" w:cs="Arial"/>
                <w:sz w:val="20"/>
                <w:szCs w:val="20"/>
              </w:rPr>
            </w:pPr>
            <w:r w:rsidRPr="00AC4AEA">
              <w:rPr>
                <w:rFonts w:ascii="Arial" w:hAnsi="Arial" w:cs="Arial"/>
                <w:spacing w:val="-2"/>
                <w:sz w:val="20"/>
                <w:szCs w:val="20"/>
              </w:rPr>
              <w:t>Bovinos</w:t>
            </w:r>
          </w:p>
        </w:tc>
        <w:tc>
          <w:tcPr>
            <w:tcW w:w="2968" w:type="dxa"/>
          </w:tcPr>
          <w:p w:rsidR="00B73D0B" w:rsidRPr="00AC4AEA" w:rsidRDefault="00B73D0B" w:rsidP="00A318EA">
            <w:pPr>
              <w:pStyle w:val="TableParagraph"/>
              <w:ind w:left="25" w:right="96"/>
              <w:jc w:val="left"/>
              <w:rPr>
                <w:rFonts w:ascii="Arial" w:hAnsi="Arial" w:cs="Arial"/>
                <w:sz w:val="20"/>
                <w:szCs w:val="20"/>
              </w:rPr>
            </w:pPr>
            <w:r w:rsidRPr="00AC4AEA">
              <w:rPr>
                <w:rFonts w:ascii="Arial" w:hAnsi="Arial" w:cs="Arial"/>
                <w:sz w:val="20"/>
                <w:szCs w:val="20"/>
              </w:rPr>
              <w:t>Reses</w:t>
            </w:r>
            <w:r w:rsidRPr="00AC4AEA">
              <w:rPr>
                <w:rFonts w:ascii="Arial" w:hAnsi="Arial" w:cs="Arial"/>
                <w:spacing w:val="-5"/>
                <w:sz w:val="20"/>
                <w:szCs w:val="20"/>
              </w:rPr>
              <w:t xml:space="preserve"> </w:t>
            </w:r>
            <w:r w:rsidRPr="00AC4AEA">
              <w:rPr>
                <w:rFonts w:ascii="Arial" w:hAnsi="Arial" w:cs="Arial"/>
                <w:spacing w:val="-2"/>
                <w:sz w:val="20"/>
                <w:szCs w:val="20"/>
              </w:rPr>
              <w:t>faenadas</w:t>
            </w:r>
          </w:p>
        </w:tc>
        <w:tc>
          <w:tcPr>
            <w:tcW w:w="2969" w:type="dxa"/>
          </w:tcPr>
          <w:p w:rsidR="00B73D0B" w:rsidRPr="00AC4AEA" w:rsidRDefault="00B73D0B" w:rsidP="00A318EA">
            <w:pPr>
              <w:pStyle w:val="TableParagraph"/>
              <w:ind w:left="36" w:right="347"/>
              <w:jc w:val="left"/>
              <w:rPr>
                <w:rFonts w:ascii="Arial" w:hAnsi="Arial" w:cs="Arial"/>
                <w:sz w:val="20"/>
                <w:szCs w:val="20"/>
              </w:rPr>
            </w:pPr>
            <w:r w:rsidRPr="00AC4AEA">
              <w:rPr>
                <w:rFonts w:ascii="Arial" w:hAnsi="Arial" w:cs="Arial"/>
                <w:sz w:val="20"/>
                <w:szCs w:val="20"/>
              </w:rPr>
              <w:t>Hamburguesas,</w:t>
            </w:r>
            <w:r w:rsidRPr="00AC4AEA">
              <w:rPr>
                <w:rFonts w:ascii="Arial" w:hAnsi="Arial" w:cs="Arial"/>
                <w:spacing w:val="-3"/>
                <w:sz w:val="20"/>
                <w:szCs w:val="20"/>
              </w:rPr>
              <w:t xml:space="preserve"> </w:t>
            </w:r>
            <w:r w:rsidRPr="00AC4AEA">
              <w:rPr>
                <w:rFonts w:ascii="Arial" w:hAnsi="Arial" w:cs="Arial"/>
                <w:spacing w:val="-2"/>
                <w:sz w:val="20"/>
                <w:szCs w:val="20"/>
              </w:rPr>
              <w:t>chacinados</w:t>
            </w:r>
          </w:p>
        </w:tc>
      </w:tr>
      <w:tr w:rsidR="00DC1034" w:rsidRPr="00AC4AEA" w:rsidTr="00B331B4">
        <w:trPr>
          <w:trHeight w:val="444"/>
        </w:trPr>
        <w:tc>
          <w:tcPr>
            <w:tcW w:w="2968" w:type="dxa"/>
          </w:tcPr>
          <w:p w:rsidR="00B73D0B" w:rsidRPr="00AC4AEA" w:rsidRDefault="00B73D0B" w:rsidP="00A318EA">
            <w:pPr>
              <w:pStyle w:val="TableParagraph"/>
              <w:ind w:left="13" w:right="107"/>
              <w:jc w:val="left"/>
              <w:rPr>
                <w:rFonts w:ascii="Arial" w:hAnsi="Arial" w:cs="Arial"/>
                <w:spacing w:val="-2"/>
                <w:sz w:val="20"/>
                <w:szCs w:val="20"/>
              </w:rPr>
            </w:pPr>
            <w:r w:rsidRPr="00AC4AEA">
              <w:rPr>
                <w:rFonts w:ascii="Arial" w:hAnsi="Arial" w:cs="Arial"/>
                <w:spacing w:val="-2"/>
                <w:sz w:val="20"/>
                <w:szCs w:val="20"/>
              </w:rPr>
              <w:t xml:space="preserve">Árboles de una plantación </w:t>
            </w:r>
            <w:r w:rsidR="00B331B4" w:rsidRPr="00AC4AEA">
              <w:rPr>
                <w:rFonts w:ascii="Arial" w:hAnsi="Arial" w:cs="Arial"/>
                <w:spacing w:val="-2"/>
                <w:sz w:val="20"/>
                <w:szCs w:val="20"/>
              </w:rPr>
              <w:t>f</w:t>
            </w:r>
            <w:r w:rsidRPr="00AC4AEA">
              <w:rPr>
                <w:rFonts w:ascii="Arial" w:hAnsi="Arial" w:cs="Arial"/>
                <w:spacing w:val="-2"/>
                <w:sz w:val="20"/>
                <w:szCs w:val="20"/>
              </w:rPr>
              <w:t>orestal</w:t>
            </w:r>
          </w:p>
        </w:tc>
        <w:tc>
          <w:tcPr>
            <w:tcW w:w="2968" w:type="dxa"/>
          </w:tcPr>
          <w:p w:rsidR="00B73D0B" w:rsidRPr="00AC4AEA" w:rsidRDefault="00B73D0B" w:rsidP="00A318EA">
            <w:pPr>
              <w:pStyle w:val="TableParagraph"/>
              <w:ind w:left="25" w:right="96"/>
              <w:jc w:val="left"/>
              <w:rPr>
                <w:rFonts w:ascii="Arial" w:hAnsi="Arial" w:cs="Arial"/>
                <w:spacing w:val="-2"/>
                <w:sz w:val="20"/>
                <w:szCs w:val="20"/>
              </w:rPr>
            </w:pPr>
            <w:r w:rsidRPr="00AC4AEA">
              <w:rPr>
                <w:rFonts w:ascii="Arial" w:hAnsi="Arial" w:cs="Arial"/>
                <w:spacing w:val="-2"/>
                <w:sz w:val="20"/>
                <w:szCs w:val="20"/>
              </w:rPr>
              <w:t>Árboles talados</w:t>
            </w:r>
          </w:p>
        </w:tc>
        <w:tc>
          <w:tcPr>
            <w:tcW w:w="2969" w:type="dxa"/>
          </w:tcPr>
          <w:p w:rsidR="00B73D0B" w:rsidRPr="00AC4AEA" w:rsidRDefault="00B73D0B" w:rsidP="00A318EA">
            <w:pPr>
              <w:pStyle w:val="TableParagraph"/>
              <w:ind w:left="36" w:right="313"/>
              <w:jc w:val="left"/>
              <w:rPr>
                <w:rFonts w:ascii="Arial" w:hAnsi="Arial" w:cs="Arial"/>
                <w:spacing w:val="-2"/>
                <w:sz w:val="20"/>
                <w:szCs w:val="20"/>
              </w:rPr>
            </w:pPr>
            <w:r w:rsidRPr="00AC4AEA">
              <w:rPr>
                <w:rFonts w:ascii="Arial" w:hAnsi="Arial" w:cs="Arial"/>
                <w:spacing w:val="-2"/>
                <w:sz w:val="20"/>
                <w:szCs w:val="20"/>
              </w:rPr>
              <w:t>Troncos, maderas</w:t>
            </w:r>
          </w:p>
        </w:tc>
      </w:tr>
      <w:tr w:rsidR="00DC1034" w:rsidRPr="00AC4AEA" w:rsidTr="00B331B4">
        <w:trPr>
          <w:trHeight w:val="252"/>
        </w:trPr>
        <w:tc>
          <w:tcPr>
            <w:tcW w:w="2968" w:type="dxa"/>
          </w:tcPr>
          <w:p w:rsidR="00B73D0B" w:rsidRPr="00AC4AEA" w:rsidRDefault="00B73D0B" w:rsidP="00A318EA">
            <w:pPr>
              <w:pStyle w:val="TableParagraph"/>
              <w:ind w:left="13" w:right="107"/>
              <w:jc w:val="left"/>
              <w:rPr>
                <w:rFonts w:ascii="Arial" w:hAnsi="Arial" w:cs="Arial"/>
                <w:sz w:val="20"/>
                <w:szCs w:val="20"/>
              </w:rPr>
            </w:pPr>
            <w:r w:rsidRPr="00AC4AEA">
              <w:rPr>
                <w:rFonts w:ascii="Arial" w:hAnsi="Arial" w:cs="Arial"/>
                <w:spacing w:val="-2"/>
                <w:sz w:val="20"/>
                <w:szCs w:val="20"/>
              </w:rPr>
              <w:t>Porcinos</w:t>
            </w:r>
          </w:p>
        </w:tc>
        <w:tc>
          <w:tcPr>
            <w:tcW w:w="2968" w:type="dxa"/>
          </w:tcPr>
          <w:p w:rsidR="00B73D0B" w:rsidRPr="00AC4AEA" w:rsidRDefault="00B73D0B" w:rsidP="00A318EA">
            <w:pPr>
              <w:pStyle w:val="TableParagraph"/>
              <w:ind w:left="25" w:right="96"/>
              <w:jc w:val="left"/>
              <w:rPr>
                <w:rFonts w:ascii="Arial" w:hAnsi="Arial" w:cs="Arial"/>
                <w:sz w:val="20"/>
                <w:szCs w:val="20"/>
              </w:rPr>
            </w:pPr>
            <w:r w:rsidRPr="00AC4AEA">
              <w:rPr>
                <w:rFonts w:ascii="Arial" w:hAnsi="Arial" w:cs="Arial"/>
                <w:sz w:val="20"/>
                <w:szCs w:val="20"/>
              </w:rPr>
              <w:t>Reses</w:t>
            </w:r>
            <w:r w:rsidRPr="00AC4AEA">
              <w:rPr>
                <w:rFonts w:ascii="Arial" w:hAnsi="Arial" w:cs="Arial"/>
                <w:spacing w:val="-5"/>
                <w:sz w:val="20"/>
                <w:szCs w:val="20"/>
              </w:rPr>
              <w:t xml:space="preserve"> </w:t>
            </w:r>
            <w:r w:rsidRPr="00AC4AEA">
              <w:rPr>
                <w:rFonts w:ascii="Arial" w:hAnsi="Arial" w:cs="Arial"/>
                <w:spacing w:val="-2"/>
                <w:sz w:val="20"/>
                <w:szCs w:val="20"/>
              </w:rPr>
              <w:t>sacrificadas</w:t>
            </w:r>
          </w:p>
        </w:tc>
        <w:tc>
          <w:tcPr>
            <w:tcW w:w="2969" w:type="dxa"/>
          </w:tcPr>
          <w:p w:rsidR="00B73D0B" w:rsidRPr="00AC4AEA" w:rsidRDefault="00B73D0B" w:rsidP="00A318EA">
            <w:pPr>
              <w:pStyle w:val="TableParagraph"/>
              <w:ind w:left="36" w:right="286"/>
              <w:jc w:val="left"/>
              <w:rPr>
                <w:rFonts w:ascii="Arial" w:hAnsi="Arial" w:cs="Arial"/>
                <w:sz w:val="20"/>
                <w:szCs w:val="20"/>
              </w:rPr>
            </w:pPr>
            <w:r w:rsidRPr="00AC4AEA">
              <w:rPr>
                <w:rFonts w:ascii="Arial" w:hAnsi="Arial" w:cs="Arial"/>
                <w:sz w:val="20"/>
                <w:szCs w:val="20"/>
              </w:rPr>
              <w:t>Salchichas,</w:t>
            </w:r>
            <w:r w:rsidRPr="00AC4AEA">
              <w:rPr>
                <w:rFonts w:ascii="Arial" w:hAnsi="Arial" w:cs="Arial"/>
                <w:spacing w:val="-1"/>
                <w:sz w:val="20"/>
                <w:szCs w:val="20"/>
              </w:rPr>
              <w:t xml:space="preserve"> </w:t>
            </w:r>
            <w:r w:rsidRPr="00AC4AEA">
              <w:rPr>
                <w:rFonts w:ascii="Arial" w:hAnsi="Arial" w:cs="Arial"/>
                <w:sz w:val="20"/>
                <w:szCs w:val="20"/>
              </w:rPr>
              <w:t>jamones</w:t>
            </w:r>
            <w:r w:rsidRPr="00AC4AEA">
              <w:rPr>
                <w:rFonts w:ascii="Arial" w:hAnsi="Arial" w:cs="Arial"/>
                <w:spacing w:val="-1"/>
                <w:sz w:val="20"/>
                <w:szCs w:val="20"/>
              </w:rPr>
              <w:t xml:space="preserve"> </w:t>
            </w:r>
            <w:r w:rsidRPr="00AC4AEA">
              <w:rPr>
                <w:rFonts w:ascii="Arial" w:hAnsi="Arial" w:cs="Arial"/>
                <w:spacing w:val="-2"/>
                <w:sz w:val="20"/>
                <w:szCs w:val="20"/>
              </w:rPr>
              <w:t>curados</w:t>
            </w:r>
          </w:p>
        </w:tc>
      </w:tr>
      <w:tr w:rsidR="00DC1034" w:rsidRPr="00AC4AEA" w:rsidTr="00B331B4">
        <w:trPr>
          <w:trHeight w:val="252"/>
        </w:trPr>
        <w:tc>
          <w:tcPr>
            <w:tcW w:w="2968" w:type="dxa"/>
          </w:tcPr>
          <w:p w:rsidR="00B73D0B" w:rsidRPr="00AC4AEA" w:rsidRDefault="00B73D0B" w:rsidP="00A318EA">
            <w:pPr>
              <w:pStyle w:val="TableParagraph"/>
              <w:ind w:left="13" w:right="107"/>
              <w:jc w:val="left"/>
              <w:rPr>
                <w:rFonts w:ascii="Arial" w:hAnsi="Arial" w:cs="Arial"/>
                <w:sz w:val="20"/>
                <w:szCs w:val="20"/>
              </w:rPr>
            </w:pPr>
            <w:r w:rsidRPr="00AC4AEA">
              <w:rPr>
                <w:rFonts w:ascii="Arial" w:hAnsi="Arial" w:cs="Arial"/>
                <w:sz w:val="20"/>
                <w:szCs w:val="20"/>
              </w:rPr>
              <w:t xml:space="preserve">Caña de </w:t>
            </w:r>
            <w:r w:rsidRPr="00AC4AEA">
              <w:rPr>
                <w:rFonts w:ascii="Arial" w:hAnsi="Arial" w:cs="Arial"/>
                <w:spacing w:val="-2"/>
                <w:sz w:val="20"/>
                <w:szCs w:val="20"/>
              </w:rPr>
              <w:t>azúcar</w:t>
            </w:r>
          </w:p>
        </w:tc>
        <w:tc>
          <w:tcPr>
            <w:tcW w:w="2968" w:type="dxa"/>
          </w:tcPr>
          <w:p w:rsidR="00B73D0B" w:rsidRPr="00AC4AEA" w:rsidRDefault="00B73D0B" w:rsidP="00A318EA">
            <w:pPr>
              <w:pStyle w:val="TableParagraph"/>
              <w:ind w:left="25" w:right="96"/>
              <w:jc w:val="left"/>
              <w:rPr>
                <w:rFonts w:ascii="Arial" w:hAnsi="Arial" w:cs="Arial"/>
                <w:sz w:val="20"/>
                <w:szCs w:val="20"/>
              </w:rPr>
            </w:pPr>
            <w:r w:rsidRPr="00AC4AEA">
              <w:rPr>
                <w:rFonts w:ascii="Arial" w:hAnsi="Arial" w:cs="Arial"/>
                <w:sz w:val="20"/>
                <w:szCs w:val="20"/>
              </w:rPr>
              <w:t xml:space="preserve">Caña </w:t>
            </w:r>
            <w:r w:rsidRPr="00AC4AEA">
              <w:rPr>
                <w:rFonts w:ascii="Arial" w:hAnsi="Arial" w:cs="Arial"/>
                <w:spacing w:val="-2"/>
                <w:sz w:val="20"/>
                <w:szCs w:val="20"/>
              </w:rPr>
              <w:t>cortada</w:t>
            </w:r>
          </w:p>
        </w:tc>
        <w:tc>
          <w:tcPr>
            <w:tcW w:w="2969" w:type="dxa"/>
          </w:tcPr>
          <w:p w:rsidR="00B73D0B" w:rsidRPr="00AC4AEA" w:rsidRDefault="00B73D0B" w:rsidP="00A318EA">
            <w:pPr>
              <w:pStyle w:val="TableParagraph"/>
              <w:ind w:left="36" w:right="791"/>
              <w:jc w:val="left"/>
              <w:rPr>
                <w:rFonts w:ascii="Arial" w:hAnsi="Arial" w:cs="Arial"/>
                <w:sz w:val="20"/>
                <w:szCs w:val="20"/>
              </w:rPr>
            </w:pPr>
            <w:r w:rsidRPr="00AC4AEA">
              <w:rPr>
                <w:rFonts w:ascii="Arial" w:hAnsi="Arial" w:cs="Arial"/>
                <w:spacing w:val="-2"/>
                <w:sz w:val="20"/>
                <w:szCs w:val="20"/>
              </w:rPr>
              <w:t>Azúcar</w:t>
            </w:r>
          </w:p>
        </w:tc>
      </w:tr>
      <w:tr w:rsidR="00B73D0B" w:rsidRPr="00AC4AEA" w:rsidTr="00B331B4">
        <w:trPr>
          <w:trHeight w:val="252"/>
        </w:trPr>
        <w:tc>
          <w:tcPr>
            <w:tcW w:w="2968" w:type="dxa"/>
          </w:tcPr>
          <w:p w:rsidR="00B73D0B" w:rsidRPr="00AC4AEA" w:rsidRDefault="00B73D0B" w:rsidP="00A318EA">
            <w:pPr>
              <w:pStyle w:val="TableParagraph"/>
              <w:ind w:left="13" w:right="107"/>
              <w:jc w:val="left"/>
              <w:rPr>
                <w:rFonts w:ascii="Arial" w:hAnsi="Arial" w:cs="Arial"/>
                <w:sz w:val="20"/>
                <w:szCs w:val="20"/>
              </w:rPr>
            </w:pPr>
            <w:r w:rsidRPr="00AC4AEA">
              <w:rPr>
                <w:rFonts w:ascii="Arial" w:hAnsi="Arial" w:cs="Arial"/>
                <w:sz w:val="20"/>
                <w:szCs w:val="20"/>
              </w:rPr>
              <w:t>Sementera</w:t>
            </w:r>
            <w:r w:rsidRPr="00AC4AEA">
              <w:rPr>
                <w:rFonts w:ascii="Arial" w:hAnsi="Arial" w:cs="Arial"/>
                <w:spacing w:val="-2"/>
                <w:sz w:val="20"/>
                <w:szCs w:val="20"/>
              </w:rPr>
              <w:t xml:space="preserve"> </w:t>
            </w:r>
            <w:r w:rsidRPr="00AC4AEA">
              <w:rPr>
                <w:rFonts w:ascii="Arial" w:hAnsi="Arial" w:cs="Arial"/>
                <w:sz w:val="20"/>
                <w:szCs w:val="20"/>
              </w:rPr>
              <w:t>de</w:t>
            </w:r>
            <w:r w:rsidRPr="00AC4AEA">
              <w:rPr>
                <w:rFonts w:ascii="Arial" w:hAnsi="Arial" w:cs="Arial"/>
                <w:spacing w:val="-2"/>
                <w:sz w:val="20"/>
                <w:szCs w:val="20"/>
              </w:rPr>
              <w:t xml:space="preserve"> trigo</w:t>
            </w:r>
          </w:p>
        </w:tc>
        <w:tc>
          <w:tcPr>
            <w:tcW w:w="2968" w:type="dxa"/>
          </w:tcPr>
          <w:p w:rsidR="00B73D0B" w:rsidRPr="00AC4AEA" w:rsidRDefault="00B73D0B" w:rsidP="00A318EA">
            <w:pPr>
              <w:pStyle w:val="TableParagraph"/>
              <w:ind w:left="25" w:right="96"/>
              <w:jc w:val="left"/>
              <w:rPr>
                <w:rFonts w:ascii="Arial" w:hAnsi="Arial" w:cs="Arial"/>
                <w:sz w:val="20"/>
                <w:szCs w:val="20"/>
              </w:rPr>
            </w:pPr>
            <w:r w:rsidRPr="00AC4AEA">
              <w:rPr>
                <w:rFonts w:ascii="Arial" w:hAnsi="Arial" w:cs="Arial"/>
                <w:spacing w:val="-2"/>
                <w:sz w:val="20"/>
                <w:szCs w:val="20"/>
              </w:rPr>
              <w:t>Trigo</w:t>
            </w:r>
            <w:r w:rsidRPr="00AC4AEA">
              <w:rPr>
                <w:rFonts w:ascii="Arial" w:hAnsi="Arial" w:cs="Arial"/>
                <w:spacing w:val="-6"/>
                <w:sz w:val="20"/>
                <w:szCs w:val="20"/>
              </w:rPr>
              <w:t xml:space="preserve"> </w:t>
            </w:r>
            <w:r w:rsidRPr="00AC4AEA">
              <w:rPr>
                <w:rFonts w:ascii="Arial" w:hAnsi="Arial" w:cs="Arial"/>
                <w:spacing w:val="-2"/>
                <w:sz w:val="20"/>
                <w:szCs w:val="20"/>
              </w:rPr>
              <w:t>cosechado</w:t>
            </w:r>
          </w:p>
        </w:tc>
        <w:tc>
          <w:tcPr>
            <w:tcW w:w="2969" w:type="dxa"/>
          </w:tcPr>
          <w:p w:rsidR="00B73D0B" w:rsidRPr="00AC4AEA" w:rsidRDefault="00B73D0B" w:rsidP="00A318EA">
            <w:pPr>
              <w:pStyle w:val="TableParagraph"/>
              <w:ind w:left="36" w:right="792"/>
              <w:jc w:val="left"/>
              <w:rPr>
                <w:rFonts w:ascii="Arial" w:hAnsi="Arial" w:cs="Arial"/>
                <w:sz w:val="20"/>
                <w:szCs w:val="20"/>
              </w:rPr>
            </w:pPr>
            <w:r w:rsidRPr="00AC4AEA">
              <w:rPr>
                <w:rFonts w:ascii="Arial" w:hAnsi="Arial" w:cs="Arial"/>
                <w:spacing w:val="-2"/>
                <w:sz w:val="20"/>
                <w:szCs w:val="20"/>
              </w:rPr>
              <w:t>Harina</w:t>
            </w:r>
          </w:p>
        </w:tc>
      </w:tr>
    </w:tbl>
    <w:p w:rsidR="00B331B4" w:rsidRPr="00AC4AEA" w:rsidRDefault="00B331B4" w:rsidP="00A318EA">
      <w:pPr>
        <w:ind w:left="1332"/>
        <w:jc w:val="both"/>
        <w:rPr>
          <w:rFonts w:ascii="Arial" w:hAnsi="Arial" w:cs="Arial"/>
          <w:b/>
          <w:bCs/>
          <w:sz w:val="20"/>
          <w:szCs w:val="20"/>
          <w:u w:color="000000"/>
        </w:rPr>
      </w:pPr>
    </w:p>
    <w:p w:rsidR="00B73D0B" w:rsidRPr="00AC4AEA" w:rsidRDefault="00B73D0B" w:rsidP="00A318EA">
      <w:pPr>
        <w:ind w:left="1332"/>
        <w:jc w:val="both"/>
        <w:rPr>
          <w:rFonts w:ascii="Arial" w:hAnsi="Arial" w:cs="Arial"/>
          <w:b/>
          <w:bCs/>
          <w:sz w:val="20"/>
          <w:szCs w:val="20"/>
          <w:u w:color="000000"/>
        </w:rPr>
      </w:pPr>
      <w:r w:rsidRPr="00AC4AEA">
        <w:rPr>
          <w:rFonts w:ascii="Arial" w:hAnsi="Arial" w:cs="Arial"/>
          <w:b/>
          <w:bCs/>
          <w:sz w:val="20"/>
          <w:szCs w:val="20"/>
          <w:u w:color="000000"/>
        </w:rPr>
        <w:t>Ejemplos de activos biológicos utilizados como factor de producción en el curso normal de las operaciones, productos agropecuarios y productos resultantes de su procesamiento</w:t>
      </w:r>
    </w:p>
    <w:tbl>
      <w:tblPr>
        <w:tblStyle w:val="TableNormal"/>
        <w:tblW w:w="890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5"/>
        <w:gridCol w:w="2979"/>
        <w:gridCol w:w="2971"/>
      </w:tblGrid>
      <w:tr w:rsidR="00DC1034" w:rsidRPr="00AC4AEA" w:rsidTr="00B331B4">
        <w:trPr>
          <w:trHeight w:val="632"/>
        </w:trPr>
        <w:tc>
          <w:tcPr>
            <w:tcW w:w="2955" w:type="dxa"/>
            <w:shd w:val="clear" w:color="auto" w:fill="EEECE1" w:themeFill="background2"/>
            <w:vAlign w:val="center"/>
          </w:tcPr>
          <w:p w:rsidR="00B73D0B" w:rsidRPr="00AC4AEA" w:rsidRDefault="00B73D0B" w:rsidP="00C67716">
            <w:pPr>
              <w:pStyle w:val="TableParagraph"/>
              <w:spacing w:before="0"/>
              <w:ind w:left="0" w:right="313"/>
              <w:rPr>
                <w:rFonts w:ascii="Arial" w:hAnsi="Arial" w:cs="Arial"/>
                <w:b/>
                <w:sz w:val="20"/>
                <w:szCs w:val="20"/>
              </w:rPr>
            </w:pPr>
            <w:r w:rsidRPr="000E6504">
              <w:rPr>
                <w:rFonts w:ascii="Arial" w:hAnsi="Arial" w:cs="Arial"/>
                <w:b/>
                <w:sz w:val="20"/>
                <w:szCs w:val="20"/>
              </w:rPr>
              <w:t>Activos</w:t>
            </w:r>
            <w:r w:rsidRPr="000E6504">
              <w:rPr>
                <w:rFonts w:ascii="Arial" w:hAnsi="Arial" w:cs="Arial"/>
                <w:b/>
                <w:spacing w:val="-5"/>
                <w:sz w:val="20"/>
                <w:szCs w:val="20"/>
              </w:rPr>
              <w:t xml:space="preserve"> </w:t>
            </w:r>
            <w:r w:rsidRPr="000E6504">
              <w:rPr>
                <w:rFonts w:ascii="Arial" w:hAnsi="Arial" w:cs="Arial"/>
                <w:b/>
                <w:spacing w:val="-2"/>
                <w:sz w:val="20"/>
                <w:szCs w:val="20"/>
              </w:rPr>
              <w:t>biológicos</w:t>
            </w:r>
            <w:r w:rsidR="00C67716" w:rsidRPr="000E6504">
              <w:rPr>
                <w:rFonts w:ascii="Arial" w:hAnsi="Arial" w:cs="Arial"/>
                <w:b/>
                <w:spacing w:val="-2"/>
                <w:sz w:val="20"/>
                <w:szCs w:val="20"/>
              </w:rPr>
              <w:t xml:space="preserve"> </w:t>
            </w:r>
            <w:r w:rsidR="00C67716" w:rsidRPr="000E6504">
              <w:rPr>
                <w:rFonts w:ascii="Arial" w:hAnsi="Arial" w:cs="Arial"/>
                <w:b/>
                <w:bCs/>
                <w:sz w:val="20"/>
                <w:szCs w:val="20"/>
                <w:u w:color="000000"/>
              </w:rPr>
              <w:t>utilizados como factor de producción en el curso normal de las operaciones</w:t>
            </w:r>
          </w:p>
        </w:tc>
        <w:tc>
          <w:tcPr>
            <w:tcW w:w="2979" w:type="dxa"/>
            <w:shd w:val="clear" w:color="auto" w:fill="EEECE1" w:themeFill="background2"/>
            <w:vAlign w:val="center"/>
          </w:tcPr>
          <w:p w:rsidR="00B73D0B" w:rsidRPr="00AC4AEA" w:rsidRDefault="00B73D0B" w:rsidP="00A318EA">
            <w:pPr>
              <w:pStyle w:val="TableParagraph"/>
              <w:spacing w:before="0"/>
              <w:ind w:left="0"/>
              <w:rPr>
                <w:rFonts w:ascii="Arial" w:hAnsi="Arial" w:cs="Arial"/>
                <w:b/>
                <w:sz w:val="20"/>
                <w:szCs w:val="20"/>
              </w:rPr>
            </w:pPr>
            <w:r w:rsidRPr="00AC4AEA">
              <w:rPr>
                <w:rFonts w:ascii="Arial" w:hAnsi="Arial" w:cs="Arial"/>
                <w:b/>
                <w:sz w:val="20"/>
                <w:szCs w:val="20"/>
              </w:rPr>
              <w:t xml:space="preserve">Productos </w:t>
            </w:r>
            <w:r w:rsidRPr="00AC4AEA">
              <w:rPr>
                <w:rFonts w:ascii="Arial" w:hAnsi="Arial" w:cs="Arial"/>
                <w:b/>
                <w:spacing w:val="-2"/>
                <w:sz w:val="20"/>
                <w:szCs w:val="20"/>
              </w:rPr>
              <w:t>agropecuarios</w:t>
            </w:r>
          </w:p>
        </w:tc>
        <w:tc>
          <w:tcPr>
            <w:tcW w:w="2971" w:type="dxa"/>
            <w:shd w:val="clear" w:color="auto" w:fill="EEECE1" w:themeFill="background2"/>
            <w:vAlign w:val="center"/>
          </w:tcPr>
          <w:p w:rsidR="00B73D0B" w:rsidRPr="00AC4AEA" w:rsidRDefault="00B73D0B" w:rsidP="00A318EA">
            <w:pPr>
              <w:pStyle w:val="TableParagraph"/>
              <w:spacing w:before="26" w:line="237" w:lineRule="auto"/>
              <w:ind w:left="0"/>
              <w:rPr>
                <w:rFonts w:ascii="Arial" w:hAnsi="Arial" w:cs="Arial"/>
                <w:b/>
                <w:sz w:val="20"/>
                <w:szCs w:val="20"/>
              </w:rPr>
            </w:pPr>
            <w:r w:rsidRPr="00AC4AEA">
              <w:rPr>
                <w:rFonts w:ascii="Arial" w:hAnsi="Arial" w:cs="Arial"/>
                <w:b/>
                <w:sz w:val="20"/>
                <w:szCs w:val="20"/>
              </w:rPr>
              <w:t>Productos</w:t>
            </w:r>
            <w:r w:rsidRPr="00AC4AEA">
              <w:rPr>
                <w:rFonts w:ascii="Arial" w:hAnsi="Arial" w:cs="Arial"/>
                <w:b/>
                <w:spacing w:val="-14"/>
                <w:sz w:val="20"/>
                <w:szCs w:val="20"/>
              </w:rPr>
              <w:t xml:space="preserve"> </w:t>
            </w:r>
            <w:r w:rsidRPr="00AC4AEA">
              <w:rPr>
                <w:rFonts w:ascii="Arial" w:hAnsi="Arial" w:cs="Arial"/>
                <w:b/>
                <w:sz w:val="20"/>
                <w:szCs w:val="20"/>
              </w:rPr>
              <w:t>resultantes</w:t>
            </w:r>
            <w:r w:rsidRPr="00AC4AEA">
              <w:rPr>
                <w:rFonts w:ascii="Arial" w:hAnsi="Arial" w:cs="Arial"/>
                <w:b/>
                <w:spacing w:val="-14"/>
                <w:sz w:val="20"/>
                <w:szCs w:val="20"/>
              </w:rPr>
              <w:t xml:space="preserve"> </w:t>
            </w:r>
            <w:r w:rsidRPr="00AC4AEA">
              <w:rPr>
                <w:rFonts w:ascii="Arial" w:hAnsi="Arial" w:cs="Arial"/>
                <w:b/>
                <w:sz w:val="20"/>
                <w:szCs w:val="20"/>
              </w:rPr>
              <w:t>del procesamiento</w:t>
            </w:r>
            <w:r w:rsidR="00B331B4" w:rsidRPr="00AC4AEA">
              <w:rPr>
                <w:rFonts w:ascii="Arial" w:hAnsi="Arial" w:cs="Arial"/>
                <w:b/>
                <w:sz w:val="20"/>
                <w:szCs w:val="20"/>
              </w:rPr>
              <w:t xml:space="preserve"> </w:t>
            </w:r>
            <w:r w:rsidRPr="00AC4AEA">
              <w:rPr>
                <w:rFonts w:ascii="Arial" w:hAnsi="Arial" w:cs="Arial"/>
                <w:b/>
                <w:sz w:val="20"/>
                <w:szCs w:val="20"/>
              </w:rPr>
              <w:t>tras la cosecha o recolección</w:t>
            </w:r>
          </w:p>
        </w:tc>
      </w:tr>
      <w:tr w:rsidR="00DC1034" w:rsidRPr="00AC4AEA" w:rsidTr="00B73D0B">
        <w:trPr>
          <w:trHeight w:val="252"/>
        </w:trPr>
        <w:tc>
          <w:tcPr>
            <w:tcW w:w="2955" w:type="dxa"/>
          </w:tcPr>
          <w:p w:rsidR="00B73D0B" w:rsidRPr="00AC4AEA" w:rsidRDefault="00B73D0B" w:rsidP="00A318EA">
            <w:pPr>
              <w:pStyle w:val="TableParagraph"/>
              <w:ind w:left="13" w:right="96"/>
              <w:jc w:val="left"/>
              <w:rPr>
                <w:rFonts w:ascii="Arial" w:hAnsi="Arial" w:cs="Arial"/>
                <w:sz w:val="20"/>
                <w:szCs w:val="20"/>
              </w:rPr>
            </w:pPr>
            <w:r w:rsidRPr="00AC4AEA">
              <w:rPr>
                <w:rFonts w:ascii="Arial" w:hAnsi="Arial" w:cs="Arial"/>
                <w:spacing w:val="-2"/>
                <w:sz w:val="20"/>
                <w:szCs w:val="20"/>
              </w:rPr>
              <w:t>Ovinos</w:t>
            </w:r>
          </w:p>
        </w:tc>
        <w:tc>
          <w:tcPr>
            <w:tcW w:w="2979" w:type="dxa"/>
          </w:tcPr>
          <w:p w:rsidR="00B73D0B" w:rsidRPr="00AC4AEA" w:rsidRDefault="00B73D0B" w:rsidP="00A318EA">
            <w:pPr>
              <w:pStyle w:val="TableParagraph"/>
              <w:ind w:left="36" w:right="96"/>
              <w:jc w:val="left"/>
              <w:rPr>
                <w:rFonts w:ascii="Arial" w:hAnsi="Arial" w:cs="Arial"/>
                <w:sz w:val="20"/>
                <w:szCs w:val="20"/>
              </w:rPr>
            </w:pPr>
            <w:r w:rsidRPr="00AC4AEA">
              <w:rPr>
                <w:rFonts w:ascii="Arial" w:hAnsi="Arial" w:cs="Arial"/>
                <w:spacing w:val="-4"/>
                <w:sz w:val="20"/>
                <w:szCs w:val="20"/>
              </w:rPr>
              <w:t>Lana</w:t>
            </w:r>
          </w:p>
        </w:tc>
        <w:tc>
          <w:tcPr>
            <w:tcW w:w="2971" w:type="dxa"/>
          </w:tcPr>
          <w:p w:rsidR="00B73D0B" w:rsidRPr="00AC4AEA" w:rsidRDefault="00B73D0B" w:rsidP="00A318EA">
            <w:pPr>
              <w:pStyle w:val="TableParagraph"/>
              <w:ind w:left="36"/>
              <w:jc w:val="left"/>
              <w:rPr>
                <w:rFonts w:ascii="Arial" w:hAnsi="Arial" w:cs="Arial"/>
                <w:sz w:val="20"/>
                <w:szCs w:val="20"/>
              </w:rPr>
            </w:pPr>
            <w:r w:rsidRPr="00AC4AEA">
              <w:rPr>
                <w:rFonts w:ascii="Arial" w:hAnsi="Arial" w:cs="Arial"/>
                <w:sz w:val="20"/>
                <w:szCs w:val="20"/>
              </w:rPr>
              <w:t xml:space="preserve">Hilo de </w:t>
            </w:r>
            <w:r w:rsidRPr="00AC4AEA">
              <w:rPr>
                <w:rFonts w:ascii="Arial" w:hAnsi="Arial" w:cs="Arial"/>
                <w:spacing w:val="-4"/>
                <w:sz w:val="20"/>
                <w:szCs w:val="20"/>
              </w:rPr>
              <w:t>lana</w:t>
            </w:r>
          </w:p>
        </w:tc>
      </w:tr>
      <w:tr w:rsidR="00DC1034" w:rsidRPr="00AC4AEA" w:rsidTr="00B73D0B">
        <w:trPr>
          <w:trHeight w:val="246"/>
        </w:trPr>
        <w:tc>
          <w:tcPr>
            <w:tcW w:w="2955" w:type="dxa"/>
          </w:tcPr>
          <w:p w:rsidR="00B73D0B" w:rsidRPr="00AC4AEA" w:rsidRDefault="00B73D0B" w:rsidP="00A318EA">
            <w:pPr>
              <w:pStyle w:val="TableParagraph"/>
              <w:ind w:left="13" w:right="96"/>
              <w:jc w:val="left"/>
              <w:rPr>
                <w:rFonts w:ascii="Arial" w:hAnsi="Arial" w:cs="Arial"/>
                <w:sz w:val="20"/>
                <w:szCs w:val="20"/>
              </w:rPr>
            </w:pPr>
            <w:r w:rsidRPr="00AC4AEA">
              <w:rPr>
                <w:rFonts w:ascii="Arial" w:hAnsi="Arial" w:cs="Arial"/>
                <w:sz w:val="20"/>
                <w:szCs w:val="20"/>
              </w:rPr>
              <w:lastRenderedPageBreak/>
              <w:t>Plantas</w:t>
            </w:r>
            <w:r w:rsidRPr="00AC4AEA">
              <w:rPr>
                <w:rFonts w:ascii="Arial" w:hAnsi="Arial" w:cs="Arial"/>
                <w:spacing w:val="-1"/>
                <w:sz w:val="20"/>
                <w:szCs w:val="20"/>
              </w:rPr>
              <w:t xml:space="preserve"> </w:t>
            </w:r>
            <w:r w:rsidRPr="00AC4AEA">
              <w:rPr>
                <w:rFonts w:ascii="Arial" w:hAnsi="Arial" w:cs="Arial"/>
                <w:sz w:val="20"/>
                <w:szCs w:val="20"/>
              </w:rPr>
              <w:t xml:space="preserve">de </w:t>
            </w:r>
            <w:r w:rsidRPr="00AC4AEA">
              <w:rPr>
                <w:rFonts w:ascii="Arial" w:hAnsi="Arial" w:cs="Arial"/>
                <w:spacing w:val="-2"/>
                <w:sz w:val="20"/>
                <w:szCs w:val="20"/>
              </w:rPr>
              <w:t>algodón</w:t>
            </w:r>
          </w:p>
        </w:tc>
        <w:tc>
          <w:tcPr>
            <w:tcW w:w="2979" w:type="dxa"/>
          </w:tcPr>
          <w:p w:rsidR="00B73D0B" w:rsidRPr="00AC4AEA" w:rsidRDefault="00B73D0B" w:rsidP="00A318EA">
            <w:pPr>
              <w:pStyle w:val="TableParagraph"/>
              <w:ind w:left="36" w:right="96"/>
              <w:jc w:val="left"/>
              <w:rPr>
                <w:rFonts w:ascii="Arial" w:hAnsi="Arial" w:cs="Arial"/>
                <w:sz w:val="20"/>
                <w:szCs w:val="20"/>
              </w:rPr>
            </w:pPr>
            <w:r w:rsidRPr="00AC4AEA">
              <w:rPr>
                <w:rFonts w:ascii="Arial" w:hAnsi="Arial" w:cs="Arial"/>
                <w:sz w:val="20"/>
                <w:szCs w:val="20"/>
              </w:rPr>
              <w:t>Algodón</w:t>
            </w:r>
            <w:r w:rsidRPr="00AC4AEA">
              <w:rPr>
                <w:rFonts w:ascii="Arial" w:hAnsi="Arial" w:cs="Arial"/>
                <w:spacing w:val="-2"/>
                <w:sz w:val="20"/>
                <w:szCs w:val="20"/>
              </w:rPr>
              <w:t xml:space="preserve"> cosechado</w:t>
            </w:r>
          </w:p>
        </w:tc>
        <w:tc>
          <w:tcPr>
            <w:tcW w:w="2971" w:type="dxa"/>
          </w:tcPr>
          <w:p w:rsidR="00B73D0B" w:rsidRPr="00AC4AEA" w:rsidRDefault="00B73D0B" w:rsidP="00A318EA">
            <w:pPr>
              <w:pStyle w:val="TableParagraph"/>
              <w:ind w:left="36"/>
              <w:jc w:val="left"/>
              <w:rPr>
                <w:rFonts w:ascii="Arial" w:hAnsi="Arial" w:cs="Arial"/>
                <w:sz w:val="20"/>
                <w:szCs w:val="20"/>
              </w:rPr>
            </w:pPr>
            <w:r w:rsidRPr="00AC4AEA">
              <w:rPr>
                <w:rFonts w:ascii="Arial" w:hAnsi="Arial" w:cs="Arial"/>
                <w:sz w:val="20"/>
                <w:szCs w:val="20"/>
              </w:rPr>
              <w:t>Hilo</w:t>
            </w:r>
            <w:r w:rsidRPr="00AC4AEA">
              <w:rPr>
                <w:rFonts w:ascii="Arial" w:hAnsi="Arial" w:cs="Arial"/>
                <w:spacing w:val="-1"/>
                <w:sz w:val="20"/>
                <w:szCs w:val="20"/>
              </w:rPr>
              <w:t xml:space="preserve"> </w:t>
            </w:r>
            <w:r w:rsidRPr="00AC4AEA">
              <w:rPr>
                <w:rFonts w:ascii="Arial" w:hAnsi="Arial" w:cs="Arial"/>
                <w:sz w:val="20"/>
                <w:szCs w:val="20"/>
              </w:rPr>
              <w:t>de</w:t>
            </w:r>
            <w:r w:rsidRPr="00AC4AEA">
              <w:rPr>
                <w:rFonts w:ascii="Arial" w:hAnsi="Arial" w:cs="Arial"/>
                <w:spacing w:val="-1"/>
                <w:sz w:val="20"/>
                <w:szCs w:val="20"/>
              </w:rPr>
              <w:t xml:space="preserve"> </w:t>
            </w:r>
            <w:r w:rsidRPr="00AC4AEA">
              <w:rPr>
                <w:rFonts w:ascii="Arial" w:hAnsi="Arial" w:cs="Arial"/>
                <w:sz w:val="20"/>
                <w:szCs w:val="20"/>
              </w:rPr>
              <w:t xml:space="preserve">algodón, </w:t>
            </w:r>
            <w:r w:rsidRPr="00AC4AEA">
              <w:rPr>
                <w:rFonts w:ascii="Arial" w:hAnsi="Arial" w:cs="Arial"/>
                <w:spacing w:val="-2"/>
                <w:sz w:val="20"/>
                <w:szCs w:val="20"/>
              </w:rPr>
              <w:t>vestidos</w:t>
            </w:r>
          </w:p>
        </w:tc>
      </w:tr>
      <w:tr w:rsidR="00DC1034" w:rsidRPr="00AC4AEA" w:rsidTr="00B73D0B">
        <w:trPr>
          <w:trHeight w:val="252"/>
        </w:trPr>
        <w:tc>
          <w:tcPr>
            <w:tcW w:w="2955" w:type="dxa"/>
          </w:tcPr>
          <w:p w:rsidR="00B73D0B" w:rsidRPr="00AC4AEA" w:rsidRDefault="00B73D0B" w:rsidP="00A318EA">
            <w:pPr>
              <w:pStyle w:val="TableParagraph"/>
              <w:ind w:left="13" w:right="96"/>
              <w:jc w:val="left"/>
              <w:rPr>
                <w:rFonts w:ascii="Arial" w:hAnsi="Arial" w:cs="Arial"/>
                <w:sz w:val="20"/>
                <w:szCs w:val="20"/>
              </w:rPr>
            </w:pPr>
            <w:r w:rsidRPr="00AC4AEA">
              <w:rPr>
                <w:rFonts w:ascii="Arial" w:hAnsi="Arial" w:cs="Arial"/>
                <w:sz w:val="20"/>
                <w:szCs w:val="20"/>
              </w:rPr>
              <w:t>Plantas</w:t>
            </w:r>
            <w:r w:rsidRPr="00AC4AEA">
              <w:rPr>
                <w:rFonts w:ascii="Arial" w:hAnsi="Arial" w:cs="Arial"/>
                <w:spacing w:val="-3"/>
                <w:sz w:val="20"/>
                <w:szCs w:val="20"/>
              </w:rPr>
              <w:t xml:space="preserve"> </w:t>
            </w:r>
            <w:r w:rsidRPr="00AC4AEA">
              <w:rPr>
                <w:rFonts w:ascii="Arial" w:hAnsi="Arial" w:cs="Arial"/>
                <w:sz w:val="20"/>
                <w:szCs w:val="20"/>
              </w:rPr>
              <w:t xml:space="preserve">de </w:t>
            </w:r>
            <w:r w:rsidRPr="00AC4AEA">
              <w:rPr>
                <w:rFonts w:ascii="Arial" w:hAnsi="Arial" w:cs="Arial"/>
                <w:spacing w:val="-2"/>
                <w:sz w:val="20"/>
                <w:szCs w:val="20"/>
              </w:rPr>
              <w:t>tabaco</w:t>
            </w:r>
          </w:p>
        </w:tc>
        <w:tc>
          <w:tcPr>
            <w:tcW w:w="2979" w:type="dxa"/>
          </w:tcPr>
          <w:p w:rsidR="00B73D0B" w:rsidRPr="00AC4AEA" w:rsidRDefault="00B73D0B" w:rsidP="00A318EA">
            <w:pPr>
              <w:pStyle w:val="TableParagraph"/>
              <w:ind w:left="36" w:right="96"/>
              <w:jc w:val="left"/>
              <w:rPr>
                <w:rFonts w:ascii="Arial" w:hAnsi="Arial" w:cs="Arial"/>
                <w:sz w:val="20"/>
                <w:szCs w:val="20"/>
              </w:rPr>
            </w:pPr>
            <w:r w:rsidRPr="00AC4AEA">
              <w:rPr>
                <w:rFonts w:ascii="Arial" w:hAnsi="Arial" w:cs="Arial"/>
                <w:sz w:val="20"/>
                <w:szCs w:val="20"/>
              </w:rPr>
              <w:t xml:space="preserve">Hojas </w:t>
            </w:r>
            <w:r w:rsidRPr="00AC4AEA">
              <w:rPr>
                <w:rFonts w:ascii="Arial" w:hAnsi="Arial" w:cs="Arial"/>
                <w:spacing w:val="-2"/>
                <w:sz w:val="20"/>
                <w:szCs w:val="20"/>
              </w:rPr>
              <w:t>recolectadas</w:t>
            </w:r>
          </w:p>
        </w:tc>
        <w:tc>
          <w:tcPr>
            <w:tcW w:w="2971" w:type="dxa"/>
          </w:tcPr>
          <w:p w:rsidR="00B73D0B" w:rsidRPr="00AC4AEA" w:rsidRDefault="00B73D0B" w:rsidP="00A318EA">
            <w:pPr>
              <w:pStyle w:val="TableParagraph"/>
              <w:ind w:left="36" w:right="791"/>
              <w:jc w:val="left"/>
              <w:rPr>
                <w:rFonts w:ascii="Arial" w:hAnsi="Arial" w:cs="Arial"/>
                <w:sz w:val="20"/>
                <w:szCs w:val="20"/>
              </w:rPr>
            </w:pPr>
            <w:r w:rsidRPr="00AC4AEA">
              <w:rPr>
                <w:rFonts w:ascii="Arial" w:hAnsi="Arial" w:cs="Arial"/>
                <w:spacing w:val="-2"/>
                <w:sz w:val="20"/>
                <w:szCs w:val="20"/>
              </w:rPr>
              <w:t>Tabaco</w:t>
            </w:r>
            <w:r w:rsidRPr="00AC4AEA">
              <w:rPr>
                <w:rFonts w:ascii="Arial" w:hAnsi="Arial" w:cs="Arial"/>
                <w:spacing w:val="-8"/>
                <w:sz w:val="20"/>
                <w:szCs w:val="20"/>
              </w:rPr>
              <w:t xml:space="preserve"> </w:t>
            </w:r>
            <w:r w:rsidRPr="00AC4AEA">
              <w:rPr>
                <w:rFonts w:ascii="Arial" w:hAnsi="Arial" w:cs="Arial"/>
                <w:spacing w:val="-2"/>
                <w:sz w:val="20"/>
                <w:szCs w:val="20"/>
              </w:rPr>
              <w:t>curado</w:t>
            </w:r>
          </w:p>
        </w:tc>
      </w:tr>
      <w:tr w:rsidR="00DC1034" w:rsidRPr="00AC4AEA" w:rsidTr="00B73D0B">
        <w:trPr>
          <w:trHeight w:val="252"/>
        </w:trPr>
        <w:tc>
          <w:tcPr>
            <w:tcW w:w="2955" w:type="dxa"/>
          </w:tcPr>
          <w:p w:rsidR="00B73D0B" w:rsidRPr="00AC4AEA" w:rsidRDefault="00B73D0B" w:rsidP="00A318EA">
            <w:pPr>
              <w:pStyle w:val="TableParagraph"/>
              <w:ind w:left="13" w:right="96"/>
              <w:jc w:val="left"/>
              <w:rPr>
                <w:rFonts w:ascii="Arial" w:hAnsi="Arial" w:cs="Arial"/>
                <w:sz w:val="20"/>
                <w:szCs w:val="20"/>
              </w:rPr>
            </w:pPr>
            <w:r w:rsidRPr="00AC4AEA">
              <w:rPr>
                <w:rFonts w:ascii="Arial" w:hAnsi="Arial" w:cs="Arial"/>
                <w:sz w:val="20"/>
                <w:szCs w:val="20"/>
              </w:rPr>
              <w:t>Plantas</w:t>
            </w:r>
            <w:r w:rsidRPr="00AC4AEA">
              <w:rPr>
                <w:rFonts w:ascii="Arial" w:hAnsi="Arial" w:cs="Arial"/>
                <w:spacing w:val="-3"/>
                <w:sz w:val="20"/>
                <w:szCs w:val="20"/>
              </w:rPr>
              <w:t xml:space="preserve"> </w:t>
            </w:r>
            <w:r w:rsidRPr="00AC4AEA">
              <w:rPr>
                <w:rFonts w:ascii="Arial" w:hAnsi="Arial" w:cs="Arial"/>
                <w:sz w:val="20"/>
                <w:szCs w:val="20"/>
              </w:rPr>
              <w:t>Productoras</w:t>
            </w:r>
            <w:r w:rsidRPr="00AC4AEA">
              <w:rPr>
                <w:rFonts w:ascii="Arial" w:hAnsi="Arial" w:cs="Arial"/>
                <w:spacing w:val="-2"/>
                <w:sz w:val="20"/>
                <w:szCs w:val="20"/>
              </w:rPr>
              <w:t xml:space="preserve"> </w:t>
            </w:r>
            <w:r w:rsidRPr="00AC4AEA">
              <w:rPr>
                <w:rFonts w:ascii="Arial" w:hAnsi="Arial" w:cs="Arial"/>
                <w:sz w:val="20"/>
                <w:szCs w:val="20"/>
              </w:rPr>
              <w:t>de</w:t>
            </w:r>
            <w:r w:rsidRPr="00AC4AEA">
              <w:rPr>
                <w:rFonts w:ascii="Arial" w:hAnsi="Arial" w:cs="Arial"/>
                <w:spacing w:val="-2"/>
                <w:sz w:val="20"/>
                <w:szCs w:val="20"/>
              </w:rPr>
              <w:t xml:space="preserve"> </w:t>
            </w:r>
            <w:r w:rsidRPr="00AC4AEA">
              <w:rPr>
                <w:rFonts w:ascii="Arial" w:hAnsi="Arial" w:cs="Arial"/>
                <w:spacing w:val="-5"/>
                <w:sz w:val="20"/>
                <w:szCs w:val="20"/>
              </w:rPr>
              <w:t>té</w:t>
            </w:r>
          </w:p>
        </w:tc>
        <w:tc>
          <w:tcPr>
            <w:tcW w:w="2979" w:type="dxa"/>
          </w:tcPr>
          <w:p w:rsidR="00B73D0B" w:rsidRPr="00AC4AEA" w:rsidRDefault="00B73D0B" w:rsidP="00A318EA">
            <w:pPr>
              <w:pStyle w:val="TableParagraph"/>
              <w:ind w:left="36" w:right="96"/>
              <w:jc w:val="left"/>
              <w:rPr>
                <w:rFonts w:ascii="Arial" w:hAnsi="Arial" w:cs="Arial"/>
                <w:sz w:val="20"/>
                <w:szCs w:val="20"/>
              </w:rPr>
            </w:pPr>
            <w:r w:rsidRPr="00AC4AEA">
              <w:rPr>
                <w:rFonts w:ascii="Arial" w:hAnsi="Arial" w:cs="Arial"/>
                <w:sz w:val="20"/>
                <w:szCs w:val="20"/>
              </w:rPr>
              <w:t xml:space="preserve">Hojas </w:t>
            </w:r>
            <w:r w:rsidRPr="00AC4AEA">
              <w:rPr>
                <w:rFonts w:ascii="Arial" w:hAnsi="Arial" w:cs="Arial"/>
                <w:spacing w:val="-2"/>
                <w:sz w:val="20"/>
                <w:szCs w:val="20"/>
              </w:rPr>
              <w:t>recolectadas</w:t>
            </w:r>
          </w:p>
        </w:tc>
        <w:tc>
          <w:tcPr>
            <w:tcW w:w="2971" w:type="dxa"/>
          </w:tcPr>
          <w:p w:rsidR="00B73D0B" w:rsidRPr="00AC4AEA" w:rsidRDefault="00B73D0B" w:rsidP="00A318EA">
            <w:pPr>
              <w:pStyle w:val="TableParagraph"/>
              <w:ind w:left="36" w:right="791"/>
              <w:jc w:val="left"/>
              <w:rPr>
                <w:rFonts w:ascii="Arial" w:hAnsi="Arial" w:cs="Arial"/>
                <w:sz w:val="20"/>
                <w:szCs w:val="20"/>
              </w:rPr>
            </w:pPr>
            <w:r w:rsidRPr="00AC4AEA">
              <w:rPr>
                <w:rFonts w:ascii="Arial" w:hAnsi="Arial" w:cs="Arial"/>
                <w:spacing w:val="-5"/>
                <w:sz w:val="20"/>
                <w:szCs w:val="20"/>
              </w:rPr>
              <w:t>Té</w:t>
            </w:r>
          </w:p>
        </w:tc>
      </w:tr>
      <w:tr w:rsidR="00DC1034" w:rsidRPr="00AC4AEA" w:rsidTr="00893CEC">
        <w:trPr>
          <w:trHeight w:val="444"/>
        </w:trPr>
        <w:tc>
          <w:tcPr>
            <w:tcW w:w="2955" w:type="dxa"/>
          </w:tcPr>
          <w:p w:rsidR="00B73D0B" w:rsidRPr="00AC4AEA" w:rsidRDefault="00B73D0B" w:rsidP="00A318EA">
            <w:pPr>
              <w:pStyle w:val="TableParagraph"/>
              <w:ind w:left="13" w:right="96"/>
              <w:jc w:val="left"/>
              <w:rPr>
                <w:rFonts w:ascii="Arial" w:hAnsi="Arial" w:cs="Arial"/>
                <w:sz w:val="20"/>
                <w:szCs w:val="20"/>
              </w:rPr>
            </w:pPr>
            <w:r w:rsidRPr="00AC4AEA">
              <w:rPr>
                <w:rFonts w:ascii="Arial" w:hAnsi="Arial" w:cs="Arial"/>
                <w:spacing w:val="-2"/>
                <w:sz w:val="20"/>
                <w:szCs w:val="20"/>
              </w:rPr>
              <w:t>Plantas productoras: viñedos</w:t>
            </w:r>
          </w:p>
        </w:tc>
        <w:tc>
          <w:tcPr>
            <w:tcW w:w="2979" w:type="dxa"/>
          </w:tcPr>
          <w:p w:rsidR="00893CEC" w:rsidRPr="00893CEC" w:rsidRDefault="00B73D0B" w:rsidP="00893CEC">
            <w:pPr>
              <w:pStyle w:val="TableParagraph"/>
              <w:ind w:left="13" w:right="96"/>
              <w:jc w:val="left"/>
              <w:rPr>
                <w:rFonts w:ascii="Arial" w:hAnsi="Arial" w:cs="Arial"/>
                <w:spacing w:val="-2"/>
                <w:sz w:val="20"/>
                <w:szCs w:val="20"/>
              </w:rPr>
            </w:pPr>
            <w:r w:rsidRPr="00893CEC">
              <w:rPr>
                <w:rFonts w:ascii="Arial" w:hAnsi="Arial" w:cs="Arial"/>
                <w:spacing w:val="-2"/>
                <w:sz w:val="20"/>
                <w:szCs w:val="20"/>
              </w:rPr>
              <w:t xml:space="preserve">Uvas </w:t>
            </w:r>
            <w:r w:rsidRPr="00AC4AEA">
              <w:rPr>
                <w:rFonts w:ascii="Arial" w:hAnsi="Arial" w:cs="Arial"/>
                <w:spacing w:val="-2"/>
                <w:sz w:val="20"/>
                <w:szCs w:val="20"/>
              </w:rPr>
              <w:t>vendimiadas</w:t>
            </w:r>
          </w:p>
        </w:tc>
        <w:tc>
          <w:tcPr>
            <w:tcW w:w="2971" w:type="dxa"/>
          </w:tcPr>
          <w:p w:rsidR="00B73D0B" w:rsidRPr="00893CEC" w:rsidRDefault="00B73D0B" w:rsidP="00893CEC">
            <w:pPr>
              <w:pStyle w:val="TableParagraph"/>
              <w:ind w:left="13" w:right="791"/>
              <w:jc w:val="left"/>
              <w:rPr>
                <w:rFonts w:ascii="Arial" w:hAnsi="Arial" w:cs="Arial"/>
                <w:spacing w:val="-2"/>
                <w:sz w:val="20"/>
                <w:szCs w:val="20"/>
              </w:rPr>
            </w:pPr>
            <w:r w:rsidRPr="00893CEC">
              <w:rPr>
                <w:rFonts w:ascii="Arial" w:hAnsi="Arial" w:cs="Arial"/>
                <w:spacing w:val="-2"/>
                <w:sz w:val="20"/>
                <w:szCs w:val="20"/>
              </w:rPr>
              <w:t>Vino</w:t>
            </w:r>
          </w:p>
        </w:tc>
      </w:tr>
      <w:tr w:rsidR="00DC1034" w:rsidRPr="00AC4AEA" w:rsidTr="00B73D0B">
        <w:trPr>
          <w:trHeight w:val="252"/>
        </w:trPr>
        <w:tc>
          <w:tcPr>
            <w:tcW w:w="2955" w:type="dxa"/>
          </w:tcPr>
          <w:p w:rsidR="00B73D0B" w:rsidRPr="00AC4AEA" w:rsidRDefault="00B73D0B" w:rsidP="00A318EA">
            <w:pPr>
              <w:pStyle w:val="TableParagraph"/>
              <w:ind w:left="13" w:right="96"/>
              <w:jc w:val="left"/>
              <w:rPr>
                <w:rFonts w:ascii="Arial" w:hAnsi="Arial" w:cs="Arial"/>
                <w:sz w:val="20"/>
                <w:szCs w:val="20"/>
              </w:rPr>
            </w:pPr>
            <w:r w:rsidRPr="00AC4AEA">
              <w:rPr>
                <w:rFonts w:ascii="Arial" w:hAnsi="Arial" w:cs="Arial"/>
                <w:sz w:val="20"/>
                <w:szCs w:val="20"/>
              </w:rPr>
              <w:t>Plantas</w:t>
            </w:r>
            <w:r w:rsidRPr="00AC4AEA">
              <w:rPr>
                <w:rFonts w:ascii="Arial" w:hAnsi="Arial" w:cs="Arial"/>
                <w:spacing w:val="-4"/>
                <w:sz w:val="20"/>
                <w:szCs w:val="20"/>
              </w:rPr>
              <w:t xml:space="preserve"> </w:t>
            </w:r>
            <w:r w:rsidRPr="00AC4AEA">
              <w:rPr>
                <w:rFonts w:ascii="Arial" w:hAnsi="Arial" w:cs="Arial"/>
                <w:sz w:val="20"/>
                <w:szCs w:val="20"/>
              </w:rPr>
              <w:t>productoras:</w:t>
            </w:r>
            <w:r w:rsidRPr="00AC4AEA">
              <w:rPr>
                <w:rFonts w:ascii="Arial" w:hAnsi="Arial" w:cs="Arial"/>
                <w:spacing w:val="-3"/>
                <w:sz w:val="20"/>
                <w:szCs w:val="20"/>
              </w:rPr>
              <w:t xml:space="preserve"> </w:t>
            </w:r>
            <w:r w:rsidRPr="00AC4AEA">
              <w:rPr>
                <w:rFonts w:ascii="Arial" w:hAnsi="Arial" w:cs="Arial"/>
                <w:spacing w:val="-2"/>
                <w:sz w:val="20"/>
                <w:szCs w:val="20"/>
              </w:rPr>
              <w:t>frutales</w:t>
            </w:r>
          </w:p>
        </w:tc>
        <w:tc>
          <w:tcPr>
            <w:tcW w:w="2979" w:type="dxa"/>
          </w:tcPr>
          <w:p w:rsidR="00B73D0B" w:rsidRPr="00AC4AEA" w:rsidRDefault="00B73D0B" w:rsidP="00A318EA">
            <w:pPr>
              <w:pStyle w:val="TableParagraph"/>
              <w:ind w:left="36" w:right="96"/>
              <w:jc w:val="left"/>
              <w:rPr>
                <w:rFonts w:ascii="Arial" w:hAnsi="Arial" w:cs="Arial"/>
                <w:sz w:val="20"/>
                <w:szCs w:val="20"/>
              </w:rPr>
            </w:pPr>
            <w:r w:rsidRPr="00AC4AEA">
              <w:rPr>
                <w:rFonts w:ascii="Arial" w:hAnsi="Arial" w:cs="Arial"/>
                <w:sz w:val="20"/>
                <w:szCs w:val="20"/>
              </w:rPr>
              <w:t xml:space="preserve">Fruta </w:t>
            </w:r>
            <w:r w:rsidRPr="00AC4AEA">
              <w:rPr>
                <w:rFonts w:ascii="Arial" w:hAnsi="Arial" w:cs="Arial"/>
                <w:spacing w:val="-2"/>
                <w:sz w:val="20"/>
                <w:szCs w:val="20"/>
              </w:rPr>
              <w:t>recolectada</w:t>
            </w:r>
          </w:p>
        </w:tc>
        <w:tc>
          <w:tcPr>
            <w:tcW w:w="2971" w:type="dxa"/>
          </w:tcPr>
          <w:p w:rsidR="00B73D0B" w:rsidRPr="00AC4AEA" w:rsidRDefault="00B73D0B" w:rsidP="00A318EA">
            <w:pPr>
              <w:pStyle w:val="TableParagraph"/>
              <w:ind w:left="36" w:right="792"/>
              <w:jc w:val="left"/>
              <w:rPr>
                <w:rFonts w:ascii="Arial" w:hAnsi="Arial" w:cs="Arial"/>
                <w:sz w:val="20"/>
                <w:szCs w:val="20"/>
              </w:rPr>
            </w:pPr>
            <w:r w:rsidRPr="00AC4AEA">
              <w:rPr>
                <w:rFonts w:ascii="Arial" w:hAnsi="Arial" w:cs="Arial"/>
                <w:sz w:val="20"/>
                <w:szCs w:val="20"/>
              </w:rPr>
              <w:t xml:space="preserve">Fruta </w:t>
            </w:r>
            <w:r w:rsidRPr="00AC4AEA">
              <w:rPr>
                <w:rFonts w:ascii="Arial" w:hAnsi="Arial" w:cs="Arial"/>
                <w:spacing w:val="-2"/>
                <w:sz w:val="20"/>
                <w:szCs w:val="20"/>
              </w:rPr>
              <w:t>procesada</w:t>
            </w:r>
          </w:p>
        </w:tc>
      </w:tr>
      <w:tr w:rsidR="00B73D0B" w:rsidRPr="00AC4AEA" w:rsidTr="00B73D0B">
        <w:trPr>
          <w:trHeight w:val="247"/>
        </w:trPr>
        <w:tc>
          <w:tcPr>
            <w:tcW w:w="2955" w:type="dxa"/>
          </w:tcPr>
          <w:p w:rsidR="00B73D0B" w:rsidRPr="00AC4AEA" w:rsidRDefault="00B73D0B" w:rsidP="00A318EA">
            <w:pPr>
              <w:pStyle w:val="TableParagraph"/>
              <w:ind w:left="-1069" w:right="313" w:firstLine="1069"/>
              <w:jc w:val="left"/>
              <w:rPr>
                <w:rFonts w:ascii="Arial" w:hAnsi="Arial" w:cs="Arial"/>
                <w:sz w:val="20"/>
                <w:szCs w:val="20"/>
              </w:rPr>
            </w:pPr>
            <w:r w:rsidRPr="00AC4AEA">
              <w:rPr>
                <w:rFonts w:ascii="Arial" w:hAnsi="Arial" w:cs="Arial"/>
                <w:sz w:val="20"/>
                <w:szCs w:val="20"/>
              </w:rPr>
              <w:t>Plantas</w:t>
            </w:r>
            <w:r w:rsidRPr="00AC4AEA">
              <w:rPr>
                <w:rFonts w:ascii="Arial" w:hAnsi="Arial" w:cs="Arial"/>
                <w:spacing w:val="-4"/>
                <w:sz w:val="20"/>
                <w:szCs w:val="20"/>
              </w:rPr>
              <w:t xml:space="preserve"> </w:t>
            </w:r>
            <w:r w:rsidRPr="00AC4AEA">
              <w:rPr>
                <w:rFonts w:ascii="Arial" w:hAnsi="Arial" w:cs="Arial"/>
                <w:sz w:val="20"/>
                <w:szCs w:val="20"/>
              </w:rPr>
              <w:t>productoras:</w:t>
            </w:r>
            <w:r w:rsidRPr="00AC4AEA">
              <w:rPr>
                <w:rFonts w:ascii="Arial" w:hAnsi="Arial" w:cs="Arial"/>
                <w:spacing w:val="-3"/>
                <w:sz w:val="20"/>
                <w:szCs w:val="20"/>
              </w:rPr>
              <w:t xml:space="preserve"> </w:t>
            </w:r>
            <w:r w:rsidRPr="00AC4AEA">
              <w:rPr>
                <w:rFonts w:ascii="Arial" w:hAnsi="Arial" w:cs="Arial"/>
                <w:spacing w:val="-4"/>
                <w:sz w:val="20"/>
                <w:szCs w:val="20"/>
              </w:rPr>
              <w:t>olivo</w:t>
            </w:r>
          </w:p>
        </w:tc>
        <w:tc>
          <w:tcPr>
            <w:tcW w:w="2979" w:type="dxa"/>
          </w:tcPr>
          <w:p w:rsidR="00B73D0B" w:rsidRPr="00AC4AEA" w:rsidRDefault="00B73D0B" w:rsidP="00A318EA">
            <w:pPr>
              <w:pStyle w:val="TableParagraph"/>
              <w:ind w:left="36" w:right="96"/>
              <w:jc w:val="left"/>
              <w:rPr>
                <w:rFonts w:ascii="Arial" w:hAnsi="Arial" w:cs="Arial"/>
                <w:sz w:val="20"/>
                <w:szCs w:val="20"/>
              </w:rPr>
            </w:pPr>
            <w:r w:rsidRPr="00AC4AEA">
              <w:rPr>
                <w:rFonts w:ascii="Arial" w:hAnsi="Arial" w:cs="Arial"/>
                <w:sz w:val="20"/>
                <w:szCs w:val="20"/>
              </w:rPr>
              <w:t>Aceitunas</w:t>
            </w:r>
            <w:r w:rsidRPr="00AC4AEA">
              <w:rPr>
                <w:rFonts w:ascii="Arial" w:hAnsi="Arial" w:cs="Arial"/>
                <w:spacing w:val="-2"/>
                <w:sz w:val="20"/>
                <w:szCs w:val="20"/>
              </w:rPr>
              <w:t xml:space="preserve"> recolectadas</w:t>
            </w:r>
          </w:p>
        </w:tc>
        <w:tc>
          <w:tcPr>
            <w:tcW w:w="2971" w:type="dxa"/>
          </w:tcPr>
          <w:p w:rsidR="00B73D0B" w:rsidRPr="00AC4AEA" w:rsidRDefault="00B73D0B" w:rsidP="00A318EA">
            <w:pPr>
              <w:pStyle w:val="TableParagraph"/>
              <w:ind w:left="36" w:right="791"/>
              <w:jc w:val="left"/>
              <w:rPr>
                <w:rFonts w:ascii="Arial" w:hAnsi="Arial" w:cs="Arial"/>
                <w:sz w:val="20"/>
                <w:szCs w:val="20"/>
              </w:rPr>
            </w:pPr>
            <w:r w:rsidRPr="00AC4AEA">
              <w:rPr>
                <w:rFonts w:ascii="Arial" w:hAnsi="Arial" w:cs="Arial"/>
                <w:sz w:val="20"/>
                <w:szCs w:val="20"/>
              </w:rPr>
              <w:t>Aceite</w:t>
            </w:r>
            <w:r w:rsidRPr="00AC4AEA">
              <w:rPr>
                <w:rFonts w:ascii="Arial" w:hAnsi="Arial" w:cs="Arial"/>
                <w:spacing w:val="-1"/>
                <w:sz w:val="20"/>
                <w:szCs w:val="20"/>
              </w:rPr>
              <w:t xml:space="preserve"> </w:t>
            </w:r>
            <w:r w:rsidRPr="00AC4AEA">
              <w:rPr>
                <w:rFonts w:ascii="Arial" w:hAnsi="Arial" w:cs="Arial"/>
                <w:sz w:val="20"/>
                <w:szCs w:val="20"/>
              </w:rPr>
              <w:t xml:space="preserve">de </w:t>
            </w:r>
            <w:r w:rsidRPr="00AC4AEA">
              <w:rPr>
                <w:rFonts w:ascii="Arial" w:hAnsi="Arial" w:cs="Arial"/>
                <w:spacing w:val="-2"/>
                <w:sz w:val="20"/>
                <w:szCs w:val="20"/>
              </w:rPr>
              <w:t>oliva</w:t>
            </w:r>
          </w:p>
        </w:tc>
      </w:tr>
    </w:tbl>
    <w:p w:rsidR="00B73D0B" w:rsidRPr="00AC4AEA" w:rsidRDefault="00B73D0B" w:rsidP="00A318EA">
      <w:pPr>
        <w:ind w:left="1332"/>
        <w:jc w:val="both"/>
        <w:rPr>
          <w:rFonts w:ascii="Arial" w:hAnsi="Arial" w:cs="Arial"/>
          <w:sz w:val="20"/>
          <w:szCs w:val="20"/>
          <w:u w:color="000000"/>
        </w:rPr>
      </w:pPr>
    </w:p>
    <w:p w:rsidR="004B7D25" w:rsidRPr="00AC4AEA" w:rsidRDefault="00B73D0B" w:rsidP="00A318EA">
      <w:pPr>
        <w:ind w:left="1332"/>
        <w:jc w:val="both"/>
        <w:rPr>
          <w:rFonts w:ascii="Arial" w:hAnsi="Arial" w:cs="Arial"/>
          <w:b/>
          <w:bCs/>
          <w:sz w:val="20"/>
          <w:szCs w:val="20"/>
        </w:rPr>
      </w:pPr>
      <w:r w:rsidRPr="00AC4AEA">
        <w:rPr>
          <w:rFonts w:ascii="Arial" w:hAnsi="Arial" w:cs="Arial"/>
          <w:b/>
          <w:bCs/>
          <w:sz w:val="20"/>
          <w:szCs w:val="20"/>
          <w:u w:color="000000"/>
        </w:rPr>
        <w:t>Definiciones r</w:t>
      </w:r>
      <w:r w:rsidR="004B7D25" w:rsidRPr="00AC4AEA">
        <w:rPr>
          <w:rFonts w:ascii="Arial" w:hAnsi="Arial" w:cs="Arial"/>
          <w:b/>
          <w:bCs/>
          <w:sz w:val="20"/>
          <w:szCs w:val="20"/>
          <w:u w:color="000000"/>
        </w:rPr>
        <w:t>elacionadas con el proceso de desarrollo o transformación</w:t>
      </w:r>
    </w:p>
    <w:p w:rsidR="00421257" w:rsidRPr="00AC4AEA" w:rsidRDefault="00421257" w:rsidP="003E72D9">
      <w:pPr>
        <w:ind w:left="1701"/>
        <w:jc w:val="both"/>
        <w:rPr>
          <w:rFonts w:ascii="Arial" w:hAnsi="Arial" w:cs="Arial"/>
          <w:sz w:val="20"/>
          <w:szCs w:val="20"/>
        </w:rPr>
      </w:pPr>
      <w:r w:rsidRPr="00AC4AEA">
        <w:rPr>
          <w:rFonts w:ascii="Arial" w:hAnsi="Arial" w:cs="Arial"/>
          <w:sz w:val="20"/>
          <w:szCs w:val="20"/>
          <w:u w:val="single" w:color="000000"/>
        </w:rPr>
        <w:t xml:space="preserve">Desarrollo </w:t>
      </w:r>
      <w:r w:rsidR="00945C26" w:rsidRPr="00AC4AEA">
        <w:rPr>
          <w:rFonts w:ascii="Arial" w:hAnsi="Arial" w:cs="Arial"/>
          <w:sz w:val="20"/>
          <w:szCs w:val="20"/>
          <w:u w:val="single" w:color="000000"/>
        </w:rPr>
        <w:t xml:space="preserve">(transformación) </w:t>
      </w:r>
      <w:r w:rsidRPr="00AC4AEA">
        <w:rPr>
          <w:rFonts w:ascii="Arial" w:hAnsi="Arial" w:cs="Arial"/>
          <w:sz w:val="20"/>
          <w:szCs w:val="20"/>
          <w:u w:val="single" w:color="000000"/>
        </w:rPr>
        <w:t>biológico</w:t>
      </w:r>
      <w:r w:rsidRPr="00AC4AEA">
        <w:rPr>
          <w:rFonts w:ascii="Arial" w:hAnsi="Arial" w:cs="Arial"/>
          <w:sz w:val="20"/>
          <w:szCs w:val="20"/>
        </w:rPr>
        <w:t xml:space="preserve">: </w:t>
      </w:r>
      <w:r w:rsidR="00174676" w:rsidRPr="002507B6">
        <w:rPr>
          <w:rFonts w:ascii="Arial" w:hAnsi="Arial" w:cs="Arial"/>
          <w:sz w:val="20"/>
          <w:szCs w:val="20"/>
        </w:rPr>
        <w:t>Conjunto de</w:t>
      </w:r>
      <w:r w:rsidRPr="002507B6">
        <w:rPr>
          <w:rFonts w:ascii="Arial" w:hAnsi="Arial" w:cs="Arial"/>
          <w:sz w:val="20"/>
          <w:szCs w:val="20"/>
        </w:rPr>
        <w:t xml:space="preserve"> procesos</w:t>
      </w:r>
      <w:r w:rsidR="00174676" w:rsidRPr="002507B6">
        <w:rPr>
          <w:rFonts w:ascii="Arial" w:hAnsi="Arial" w:cs="Arial"/>
          <w:sz w:val="20"/>
          <w:szCs w:val="20"/>
        </w:rPr>
        <w:t xml:space="preserve"> que constituyen la causa de los cambios cualitativos o cuantitativos en los</w:t>
      </w:r>
      <w:r w:rsidR="00174676" w:rsidRPr="002507B6">
        <w:rPr>
          <w:rFonts w:ascii="Arial" w:hAnsi="Arial" w:cs="Arial"/>
          <w:b/>
          <w:bCs/>
          <w:sz w:val="20"/>
          <w:szCs w:val="20"/>
        </w:rPr>
        <w:t xml:space="preserve"> activos biológicos</w:t>
      </w:r>
      <w:r w:rsidR="007723B3" w:rsidRPr="002507B6">
        <w:rPr>
          <w:rFonts w:ascii="Arial" w:hAnsi="Arial" w:cs="Arial"/>
          <w:sz w:val="20"/>
          <w:szCs w:val="20"/>
        </w:rPr>
        <w:t>.</w:t>
      </w:r>
      <w:r w:rsidR="00174676" w:rsidRPr="002507B6">
        <w:rPr>
          <w:rFonts w:ascii="Arial" w:hAnsi="Arial" w:cs="Arial"/>
          <w:sz w:val="20"/>
          <w:szCs w:val="20"/>
        </w:rPr>
        <w:t xml:space="preserve"> </w:t>
      </w:r>
      <w:r w:rsidR="007723B3" w:rsidRPr="002507B6">
        <w:rPr>
          <w:rFonts w:ascii="Arial" w:hAnsi="Arial" w:cs="Arial"/>
          <w:sz w:val="20"/>
          <w:szCs w:val="20"/>
        </w:rPr>
        <w:t>C</w:t>
      </w:r>
      <w:r w:rsidR="00174676" w:rsidRPr="002507B6">
        <w:rPr>
          <w:rFonts w:ascii="Arial" w:hAnsi="Arial" w:cs="Arial"/>
          <w:sz w:val="20"/>
          <w:szCs w:val="20"/>
        </w:rPr>
        <w:t>omprende</w:t>
      </w:r>
      <w:r w:rsidRPr="002507B6">
        <w:rPr>
          <w:rFonts w:ascii="Arial" w:hAnsi="Arial" w:cs="Arial"/>
          <w:sz w:val="20"/>
          <w:szCs w:val="20"/>
        </w:rPr>
        <w:t xml:space="preserve"> </w:t>
      </w:r>
      <w:r w:rsidR="00174676" w:rsidRPr="002507B6">
        <w:rPr>
          <w:rFonts w:ascii="Arial" w:hAnsi="Arial" w:cs="Arial"/>
          <w:sz w:val="20"/>
          <w:szCs w:val="20"/>
        </w:rPr>
        <w:t>el</w:t>
      </w:r>
      <w:r w:rsidRPr="002507B6">
        <w:rPr>
          <w:rFonts w:ascii="Arial" w:hAnsi="Arial" w:cs="Arial"/>
          <w:sz w:val="20"/>
          <w:szCs w:val="20"/>
        </w:rPr>
        <w:t xml:space="preserve"> crecimiento, </w:t>
      </w:r>
      <w:r w:rsidR="00174676" w:rsidRPr="002507B6">
        <w:rPr>
          <w:rFonts w:ascii="Arial" w:hAnsi="Arial" w:cs="Arial"/>
          <w:sz w:val="20"/>
          <w:szCs w:val="20"/>
        </w:rPr>
        <w:t xml:space="preserve">la </w:t>
      </w:r>
      <w:r w:rsidRPr="002507B6">
        <w:rPr>
          <w:rFonts w:ascii="Arial" w:hAnsi="Arial" w:cs="Arial"/>
          <w:sz w:val="20"/>
          <w:szCs w:val="20"/>
        </w:rPr>
        <w:t>degradación</w:t>
      </w:r>
      <w:r w:rsidR="00411C66" w:rsidRPr="002507B6">
        <w:rPr>
          <w:rFonts w:ascii="Arial" w:hAnsi="Arial" w:cs="Arial"/>
          <w:sz w:val="20"/>
          <w:szCs w:val="20"/>
        </w:rPr>
        <w:t xml:space="preserve"> o deterioro</w:t>
      </w:r>
      <w:r w:rsidRPr="002507B6">
        <w:rPr>
          <w:rFonts w:ascii="Arial" w:hAnsi="Arial" w:cs="Arial"/>
          <w:sz w:val="20"/>
          <w:szCs w:val="20"/>
        </w:rPr>
        <w:t xml:space="preserve">, </w:t>
      </w:r>
      <w:r w:rsidR="00174676" w:rsidRPr="002507B6">
        <w:rPr>
          <w:rFonts w:ascii="Arial" w:hAnsi="Arial" w:cs="Arial"/>
          <w:sz w:val="20"/>
          <w:szCs w:val="20"/>
        </w:rPr>
        <w:t xml:space="preserve">la </w:t>
      </w:r>
      <w:r w:rsidRPr="002507B6">
        <w:rPr>
          <w:rFonts w:ascii="Arial" w:hAnsi="Arial" w:cs="Arial"/>
          <w:sz w:val="20"/>
          <w:szCs w:val="20"/>
        </w:rPr>
        <w:t xml:space="preserve">producción y </w:t>
      </w:r>
      <w:r w:rsidR="00174676" w:rsidRPr="002507B6">
        <w:rPr>
          <w:rFonts w:ascii="Arial" w:hAnsi="Arial" w:cs="Arial"/>
          <w:sz w:val="20"/>
          <w:szCs w:val="20"/>
        </w:rPr>
        <w:t xml:space="preserve">la </w:t>
      </w:r>
      <w:r w:rsidRPr="002507B6">
        <w:rPr>
          <w:rFonts w:ascii="Arial" w:hAnsi="Arial" w:cs="Arial"/>
          <w:sz w:val="20"/>
          <w:szCs w:val="20"/>
        </w:rPr>
        <w:t>procreación.</w:t>
      </w:r>
      <w:r w:rsidRPr="00AC4AEA">
        <w:rPr>
          <w:rFonts w:ascii="Arial" w:hAnsi="Arial" w:cs="Arial"/>
          <w:sz w:val="20"/>
          <w:szCs w:val="20"/>
        </w:rPr>
        <w:t xml:space="preserve"> </w:t>
      </w:r>
    </w:p>
    <w:p w:rsidR="00421257" w:rsidRPr="00AC4AEA" w:rsidRDefault="00421257" w:rsidP="003E72D9">
      <w:pPr>
        <w:ind w:left="1701"/>
        <w:jc w:val="both"/>
        <w:rPr>
          <w:rFonts w:ascii="Arial" w:hAnsi="Arial" w:cs="Arial"/>
          <w:sz w:val="20"/>
          <w:szCs w:val="20"/>
        </w:rPr>
      </w:pPr>
      <w:r w:rsidRPr="00AC4AEA">
        <w:rPr>
          <w:rFonts w:ascii="Arial" w:hAnsi="Arial" w:cs="Arial"/>
          <w:sz w:val="20"/>
          <w:szCs w:val="20"/>
          <w:u w:val="single" w:color="000000"/>
        </w:rPr>
        <w:t>Etapa inicial de</w:t>
      </w:r>
      <w:r w:rsidR="00C62CA9" w:rsidRPr="00AC4AEA">
        <w:rPr>
          <w:rFonts w:ascii="Arial" w:hAnsi="Arial" w:cs="Arial"/>
          <w:sz w:val="20"/>
          <w:szCs w:val="20"/>
          <w:u w:val="single" w:color="000000"/>
        </w:rPr>
        <w:t>l</w:t>
      </w:r>
      <w:r w:rsidRPr="00AC4AEA">
        <w:rPr>
          <w:rFonts w:ascii="Arial" w:hAnsi="Arial" w:cs="Arial"/>
          <w:sz w:val="20"/>
          <w:szCs w:val="20"/>
          <w:u w:val="single" w:color="000000"/>
        </w:rPr>
        <w:t xml:space="preserve"> desarrollo biológico</w:t>
      </w:r>
      <w:r w:rsidRPr="00AC4AEA">
        <w:rPr>
          <w:rFonts w:ascii="Arial" w:hAnsi="Arial" w:cs="Arial"/>
          <w:sz w:val="20"/>
          <w:szCs w:val="20"/>
        </w:rPr>
        <w:t xml:space="preserve">: </w:t>
      </w:r>
      <w:r w:rsidR="00174676">
        <w:rPr>
          <w:rFonts w:ascii="Arial" w:hAnsi="Arial" w:cs="Arial"/>
          <w:sz w:val="20"/>
          <w:szCs w:val="20"/>
        </w:rPr>
        <w:t>E</w:t>
      </w:r>
      <w:r w:rsidRPr="00AC4AEA">
        <w:rPr>
          <w:rFonts w:ascii="Arial" w:hAnsi="Arial" w:cs="Arial"/>
          <w:sz w:val="20"/>
          <w:szCs w:val="20"/>
        </w:rPr>
        <w:t>tapa que abarca desde las tareas preparatorias previas al desarrollo biológico propiamente dicho hasta el momento en que se evidencie un crecimiento biológico que permita realizar una medición confiable y verificable de dicho desarrollo</w:t>
      </w:r>
      <w:r w:rsidR="00174676">
        <w:rPr>
          <w:rFonts w:ascii="Arial" w:hAnsi="Arial" w:cs="Arial"/>
          <w:sz w:val="20"/>
          <w:szCs w:val="20"/>
        </w:rPr>
        <w:t>,</w:t>
      </w:r>
      <w:r w:rsidRPr="00AC4AEA">
        <w:rPr>
          <w:rFonts w:ascii="Arial" w:hAnsi="Arial" w:cs="Arial"/>
          <w:sz w:val="20"/>
          <w:szCs w:val="20"/>
        </w:rPr>
        <w:t xml:space="preserve"> utilizando estimaciones técnicas de valoración adecuadas. </w:t>
      </w:r>
    </w:p>
    <w:p w:rsidR="00421257" w:rsidRPr="00AC4AEA" w:rsidRDefault="00421257" w:rsidP="003E72D9">
      <w:pPr>
        <w:ind w:left="1701"/>
        <w:jc w:val="both"/>
        <w:rPr>
          <w:rFonts w:ascii="Arial" w:hAnsi="Arial" w:cs="Arial"/>
          <w:sz w:val="20"/>
          <w:szCs w:val="20"/>
        </w:rPr>
      </w:pPr>
      <w:r w:rsidRPr="00AC4AEA">
        <w:rPr>
          <w:rFonts w:ascii="Arial" w:hAnsi="Arial" w:cs="Arial"/>
          <w:sz w:val="20"/>
          <w:szCs w:val="20"/>
          <w:u w:val="single" w:color="000000"/>
        </w:rPr>
        <w:t xml:space="preserve">Etapa posterior </w:t>
      </w:r>
      <w:r w:rsidR="00E4542B" w:rsidRPr="00AC4AEA">
        <w:rPr>
          <w:rFonts w:ascii="Arial" w:hAnsi="Arial" w:cs="Arial"/>
          <w:sz w:val="20"/>
          <w:szCs w:val="20"/>
          <w:u w:val="single" w:color="000000"/>
        </w:rPr>
        <w:t>de</w:t>
      </w:r>
      <w:r w:rsidR="00C62CA9" w:rsidRPr="00AC4AEA">
        <w:rPr>
          <w:rFonts w:ascii="Arial" w:hAnsi="Arial" w:cs="Arial"/>
          <w:sz w:val="20"/>
          <w:szCs w:val="20"/>
          <w:u w:val="single" w:color="000000"/>
        </w:rPr>
        <w:t>l</w:t>
      </w:r>
      <w:r w:rsidRPr="00AC4AEA">
        <w:rPr>
          <w:rFonts w:ascii="Arial" w:hAnsi="Arial" w:cs="Arial"/>
          <w:sz w:val="20"/>
          <w:szCs w:val="20"/>
          <w:u w:val="single" w:color="000000"/>
        </w:rPr>
        <w:t xml:space="preserve"> desarrollo biológico</w:t>
      </w:r>
      <w:r w:rsidRPr="00AC4AEA">
        <w:rPr>
          <w:rFonts w:ascii="Arial" w:hAnsi="Arial" w:cs="Arial"/>
          <w:sz w:val="20"/>
          <w:szCs w:val="20"/>
        </w:rPr>
        <w:t xml:space="preserve">: Abarca desde el momento en que se evidencie un crecimiento biológico que permita realizar una medición </w:t>
      </w:r>
      <w:r w:rsidRPr="000E6504">
        <w:rPr>
          <w:rFonts w:ascii="Arial" w:hAnsi="Arial" w:cs="Arial"/>
          <w:sz w:val="20"/>
          <w:szCs w:val="20"/>
        </w:rPr>
        <w:t>confiable y verificable de dicho desarrollo</w:t>
      </w:r>
      <w:r w:rsidR="00174676" w:rsidRPr="000E6504">
        <w:rPr>
          <w:rFonts w:ascii="Arial" w:hAnsi="Arial" w:cs="Arial"/>
          <w:sz w:val="20"/>
          <w:szCs w:val="20"/>
        </w:rPr>
        <w:t>,</w:t>
      </w:r>
      <w:r w:rsidRPr="000E6504">
        <w:rPr>
          <w:rFonts w:ascii="Arial" w:hAnsi="Arial" w:cs="Arial"/>
          <w:sz w:val="20"/>
          <w:szCs w:val="20"/>
        </w:rPr>
        <w:t xml:space="preserve"> utilizando técnicas de valoración adecuadas, hasta que se transforme en un producto agropecuario</w:t>
      </w:r>
      <w:r w:rsidR="00BE2BD2" w:rsidRPr="000E6504">
        <w:rPr>
          <w:rFonts w:ascii="Arial" w:hAnsi="Arial" w:cs="Arial"/>
          <w:sz w:val="20"/>
          <w:szCs w:val="20"/>
        </w:rPr>
        <w:t>, o se transforme en otro activo biológico</w:t>
      </w:r>
      <w:r w:rsidRPr="000E6504">
        <w:rPr>
          <w:rFonts w:ascii="Arial" w:hAnsi="Arial" w:cs="Arial"/>
          <w:sz w:val="20"/>
          <w:szCs w:val="20"/>
        </w:rPr>
        <w:t>.</w:t>
      </w:r>
      <w:r w:rsidRPr="00AC4AEA">
        <w:rPr>
          <w:rFonts w:ascii="Arial" w:hAnsi="Arial" w:cs="Arial"/>
          <w:sz w:val="20"/>
          <w:szCs w:val="20"/>
        </w:rPr>
        <w:t xml:space="preserve"> </w:t>
      </w:r>
    </w:p>
    <w:p w:rsidR="00C1101A" w:rsidRPr="00AC4AEA" w:rsidRDefault="00C1101A" w:rsidP="00A318EA">
      <w:pPr>
        <w:ind w:left="1332"/>
        <w:jc w:val="both"/>
        <w:rPr>
          <w:rFonts w:ascii="Arial" w:hAnsi="Arial" w:cs="Arial"/>
          <w:b/>
          <w:bCs/>
          <w:sz w:val="20"/>
          <w:szCs w:val="20"/>
          <w:u w:color="000000"/>
        </w:rPr>
      </w:pPr>
      <w:r w:rsidRPr="00AC4AEA">
        <w:rPr>
          <w:rFonts w:ascii="Arial" w:hAnsi="Arial" w:cs="Arial"/>
          <w:b/>
          <w:bCs/>
          <w:sz w:val="20"/>
          <w:szCs w:val="20"/>
          <w:u w:color="000000"/>
        </w:rPr>
        <w:t>Otras definiciones</w:t>
      </w:r>
    </w:p>
    <w:p w:rsidR="00421257" w:rsidRPr="002507B6" w:rsidRDefault="00421257" w:rsidP="003E72D9">
      <w:pPr>
        <w:ind w:left="1701"/>
        <w:jc w:val="both"/>
        <w:rPr>
          <w:rFonts w:ascii="Arial" w:hAnsi="Arial" w:cs="Arial"/>
          <w:sz w:val="20"/>
          <w:szCs w:val="20"/>
        </w:rPr>
      </w:pPr>
      <w:r w:rsidRPr="00AC4AEA">
        <w:rPr>
          <w:rFonts w:ascii="Arial" w:hAnsi="Arial" w:cs="Arial"/>
          <w:sz w:val="20"/>
          <w:szCs w:val="20"/>
          <w:u w:val="single" w:color="000000"/>
        </w:rPr>
        <w:t>Gastos estimados en el punto de venta</w:t>
      </w:r>
      <w:r w:rsidRPr="00AC4AEA">
        <w:rPr>
          <w:rFonts w:ascii="Arial" w:hAnsi="Arial" w:cs="Arial"/>
          <w:sz w:val="20"/>
          <w:szCs w:val="20"/>
        </w:rPr>
        <w:t xml:space="preserve">: Son los gastos directos relacionados con la venta en que incurre el vendedor desde el momento en que los bienes están en condiciones de ser vendidos hasta que se transfieren los riesgos y beneficios inherentes a la propiedad de tales bienes a su comprador. Incluye, entre </w:t>
      </w:r>
      <w:r w:rsidRPr="002507B6">
        <w:rPr>
          <w:rFonts w:ascii="Arial" w:hAnsi="Arial" w:cs="Arial"/>
          <w:sz w:val="20"/>
          <w:szCs w:val="20"/>
        </w:rPr>
        <w:t xml:space="preserve">otros, comisiones, impuestos sobre la venta y seguros. </w:t>
      </w:r>
      <w:r w:rsidR="00174676" w:rsidRPr="002507B6">
        <w:rPr>
          <w:rFonts w:ascii="Arial" w:hAnsi="Arial" w:cs="Arial"/>
          <w:sz w:val="20"/>
          <w:szCs w:val="20"/>
        </w:rPr>
        <w:t>No incluye l</w:t>
      </w:r>
      <w:r w:rsidRPr="002507B6">
        <w:rPr>
          <w:rFonts w:ascii="Arial" w:hAnsi="Arial" w:cs="Arial"/>
          <w:sz w:val="20"/>
          <w:szCs w:val="20"/>
        </w:rPr>
        <w:t xml:space="preserve">os fletes para </w:t>
      </w:r>
      <w:r w:rsidR="00174676" w:rsidRPr="002507B6">
        <w:rPr>
          <w:rFonts w:ascii="Arial" w:hAnsi="Arial" w:cs="Arial"/>
          <w:sz w:val="20"/>
          <w:szCs w:val="20"/>
        </w:rPr>
        <w:t>transportar</w:t>
      </w:r>
      <w:r w:rsidRPr="002507B6">
        <w:rPr>
          <w:rFonts w:ascii="Arial" w:hAnsi="Arial" w:cs="Arial"/>
          <w:sz w:val="20"/>
          <w:szCs w:val="20"/>
        </w:rPr>
        <w:t xml:space="preserve"> los productos al mercado en que se comercializan</w:t>
      </w:r>
      <w:r w:rsidR="00174676" w:rsidRPr="002507B6">
        <w:rPr>
          <w:rFonts w:ascii="Arial" w:hAnsi="Arial" w:cs="Arial"/>
          <w:sz w:val="20"/>
          <w:szCs w:val="20"/>
        </w:rPr>
        <w:t>,</w:t>
      </w:r>
      <w:r w:rsidRPr="002507B6">
        <w:rPr>
          <w:rFonts w:ascii="Arial" w:hAnsi="Arial" w:cs="Arial"/>
          <w:sz w:val="20"/>
          <w:szCs w:val="20"/>
        </w:rPr>
        <w:t xml:space="preserve"> porque </w:t>
      </w:r>
      <w:r w:rsidR="00174676" w:rsidRPr="002507B6">
        <w:rPr>
          <w:rFonts w:ascii="Arial" w:hAnsi="Arial" w:cs="Arial"/>
          <w:sz w:val="20"/>
          <w:szCs w:val="20"/>
        </w:rPr>
        <w:t>tales componentes</w:t>
      </w:r>
      <w:r w:rsidRPr="002507B6">
        <w:rPr>
          <w:rFonts w:ascii="Arial" w:hAnsi="Arial" w:cs="Arial"/>
          <w:sz w:val="20"/>
          <w:szCs w:val="20"/>
        </w:rPr>
        <w:t xml:space="preserve"> son </w:t>
      </w:r>
      <w:r w:rsidR="00174676" w:rsidRPr="002507B6">
        <w:rPr>
          <w:rFonts w:ascii="Arial" w:hAnsi="Arial" w:cs="Arial"/>
          <w:sz w:val="20"/>
          <w:szCs w:val="20"/>
        </w:rPr>
        <w:t>contemplados</w:t>
      </w:r>
      <w:r w:rsidRPr="002507B6">
        <w:rPr>
          <w:rFonts w:ascii="Arial" w:hAnsi="Arial" w:cs="Arial"/>
          <w:sz w:val="20"/>
          <w:szCs w:val="20"/>
        </w:rPr>
        <w:t xml:space="preserve"> en la medición del </w:t>
      </w:r>
      <w:r w:rsidRPr="002507B6">
        <w:rPr>
          <w:rFonts w:ascii="Arial" w:hAnsi="Arial" w:cs="Arial"/>
          <w:b/>
          <w:bCs/>
          <w:sz w:val="20"/>
          <w:szCs w:val="20"/>
        </w:rPr>
        <w:t>valor razonable</w:t>
      </w:r>
      <w:r w:rsidRPr="002507B6">
        <w:rPr>
          <w:rFonts w:ascii="Arial" w:hAnsi="Arial" w:cs="Arial"/>
          <w:sz w:val="20"/>
          <w:szCs w:val="20"/>
        </w:rPr>
        <w:t xml:space="preserve">. </w:t>
      </w:r>
    </w:p>
    <w:p w:rsidR="00421257" w:rsidRPr="002507B6" w:rsidRDefault="00421257" w:rsidP="003E72D9">
      <w:pPr>
        <w:ind w:left="1701"/>
        <w:jc w:val="both"/>
        <w:rPr>
          <w:rFonts w:ascii="Arial" w:hAnsi="Arial" w:cs="Arial"/>
          <w:sz w:val="20"/>
          <w:szCs w:val="20"/>
        </w:rPr>
      </w:pPr>
      <w:r w:rsidRPr="002507B6">
        <w:rPr>
          <w:rFonts w:ascii="Arial" w:hAnsi="Arial" w:cs="Arial"/>
          <w:sz w:val="20"/>
          <w:szCs w:val="20"/>
          <w:u w:val="single" w:color="000000"/>
        </w:rPr>
        <w:t>Ingreso por producción</w:t>
      </w:r>
      <w:r w:rsidR="00CF1AF8" w:rsidRPr="002507B6">
        <w:rPr>
          <w:rFonts w:ascii="Arial" w:hAnsi="Arial" w:cs="Arial"/>
          <w:sz w:val="20"/>
          <w:szCs w:val="20"/>
          <w:u w:val="single" w:color="000000"/>
        </w:rPr>
        <w:t xml:space="preserve"> agropecuaria</w:t>
      </w:r>
      <w:r w:rsidRPr="002507B6">
        <w:rPr>
          <w:rFonts w:ascii="Arial" w:hAnsi="Arial" w:cs="Arial"/>
          <w:sz w:val="20"/>
          <w:szCs w:val="20"/>
          <w:u w:val="single" w:color="000000"/>
        </w:rPr>
        <w:t>:</w:t>
      </w:r>
      <w:r w:rsidRPr="002507B6">
        <w:rPr>
          <w:rFonts w:ascii="Arial" w:hAnsi="Arial" w:cs="Arial"/>
          <w:sz w:val="20"/>
          <w:szCs w:val="20"/>
        </w:rPr>
        <w:t xml:space="preserve"> </w:t>
      </w:r>
      <w:r w:rsidR="00174676" w:rsidRPr="002507B6">
        <w:rPr>
          <w:rFonts w:ascii="Arial" w:hAnsi="Arial" w:cs="Arial"/>
          <w:sz w:val="20"/>
          <w:szCs w:val="20"/>
        </w:rPr>
        <w:t>R</w:t>
      </w:r>
      <w:r w:rsidRPr="002507B6">
        <w:rPr>
          <w:rFonts w:ascii="Arial" w:hAnsi="Arial" w:cs="Arial"/>
          <w:sz w:val="20"/>
          <w:szCs w:val="20"/>
        </w:rPr>
        <w:t xml:space="preserve">esultado por cambios en el </w:t>
      </w:r>
      <w:r w:rsidRPr="002507B6">
        <w:rPr>
          <w:rFonts w:ascii="Arial" w:hAnsi="Arial" w:cs="Arial"/>
          <w:b/>
          <w:bCs/>
          <w:sz w:val="20"/>
          <w:szCs w:val="20"/>
        </w:rPr>
        <w:t>valor razonable</w:t>
      </w:r>
      <w:r w:rsidRPr="002507B6">
        <w:rPr>
          <w:rFonts w:ascii="Arial" w:hAnsi="Arial" w:cs="Arial"/>
          <w:sz w:val="20"/>
          <w:szCs w:val="20"/>
        </w:rPr>
        <w:t xml:space="preserve"> menos gastos estimados en el punto de venta, </w:t>
      </w:r>
      <w:r w:rsidR="00174676" w:rsidRPr="002507B6">
        <w:rPr>
          <w:rFonts w:ascii="Arial" w:hAnsi="Arial" w:cs="Arial"/>
          <w:sz w:val="20"/>
          <w:szCs w:val="20"/>
        </w:rPr>
        <w:t xml:space="preserve">generado </w:t>
      </w:r>
      <w:r w:rsidRPr="002507B6">
        <w:rPr>
          <w:rFonts w:ascii="Arial" w:hAnsi="Arial" w:cs="Arial"/>
          <w:sz w:val="20"/>
          <w:szCs w:val="20"/>
        </w:rPr>
        <w:t xml:space="preserve">desde la última medición </w:t>
      </w:r>
      <w:r w:rsidRPr="000E6504">
        <w:rPr>
          <w:rFonts w:ascii="Arial" w:hAnsi="Arial" w:cs="Arial"/>
          <w:sz w:val="20"/>
          <w:szCs w:val="20"/>
        </w:rPr>
        <w:t>anterior</w:t>
      </w:r>
      <w:r w:rsidR="00E074FC" w:rsidRPr="000E6504">
        <w:rPr>
          <w:rFonts w:ascii="Arial" w:hAnsi="Arial" w:cs="Arial"/>
          <w:sz w:val="20"/>
          <w:szCs w:val="20"/>
        </w:rPr>
        <w:t xml:space="preserve"> de los</w:t>
      </w:r>
      <w:r w:rsidR="00E074FC" w:rsidRPr="000E6504">
        <w:rPr>
          <w:rFonts w:ascii="Arial" w:hAnsi="Arial" w:cs="Arial"/>
          <w:b/>
          <w:bCs/>
          <w:sz w:val="20"/>
          <w:szCs w:val="20"/>
        </w:rPr>
        <w:t xml:space="preserve"> activos biológicos</w:t>
      </w:r>
      <w:r w:rsidR="00174676" w:rsidRPr="000E6504">
        <w:rPr>
          <w:rFonts w:ascii="Arial" w:hAnsi="Arial" w:cs="Arial"/>
          <w:sz w:val="20"/>
          <w:szCs w:val="20"/>
        </w:rPr>
        <w:t>.</w:t>
      </w:r>
      <w:r w:rsidRPr="000E6504">
        <w:rPr>
          <w:rFonts w:ascii="Arial" w:hAnsi="Arial" w:cs="Arial"/>
          <w:sz w:val="20"/>
          <w:szCs w:val="20"/>
        </w:rPr>
        <w:t xml:space="preserve"> </w:t>
      </w:r>
      <w:r w:rsidR="00174676" w:rsidRPr="000E6504">
        <w:rPr>
          <w:rFonts w:ascii="Arial" w:hAnsi="Arial" w:cs="Arial"/>
          <w:sz w:val="20"/>
          <w:szCs w:val="20"/>
        </w:rPr>
        <w:t>Incluye</w:t>
      </w:r>
      <w:r w:rsidRPr="000E6504">
        <w:rPr>
          <w:rFonts w:ascii="Arial" w:hAnsi="Arial" w:cs="Arial"/>
          <w:sz w:val="20"/>
          <w:szCs w:val="20"/>
        </w:rPr>
        <w:t xml:space="preserve"> la variación en </w:t>
      </w:r>
      <w:r w:rsidR="00174676" w:rsidRPr="000E6504">
        <w:rPr>
          <w:rFonts w:ascii="Arial" w:hAnsi="Arial" w:cs="Arial"/>
          <w:sz w:val="20"/>
          <w:szCs w:val="20"/>
        </w:rPr>
        <w:t>el valor</w:t>
      </w:r>
      <w:r w:rsidRPr="000E6504">
        <w:rPr>
          <w:rFonts w:ascii="Arial" w:hAnsi="Arial" w:cs="Arial"/>
          <w:sz w:val="20"/>
          <w:szCs w:val="20"/>
        </w:rPr>
        <w:t xml:space="preserve"> de los</w:t>
      </w:r>
      <w:r w:rsidRPr="000E6504">
        <w:rPr>
          <w:rFonts w:ascii="Arial" w:hAnsi="Arial" w:cs="Arial"/>
          <w:b/>
          <w:bCs/>
          <w:sz w:val="20"/>
          <w:szCs w:val="20"/>
        </w:rPr>
        <w:t xml:space="preserve"> activos biológicos</w:t>
      </w:r>
      <w:r w:rsidRPr="000E6504">
        <w:rPr>
          <w:rFonts w:ascii="Arial" w:hAnsi="Arial" w:cs="Arial"/>
          <w:sz w:val="20"/>
          <w:szCs w:val="20"/>
        </w:rPr>
        <w:t xml:space="preserve"> resultante de su</w:t>
      </w:r>
      <w:r w:rsidRPr="002507B6">
        <w:rPr>
          <w:rFonts w:ascii="Arial" w:hAnsi="Arial" w:cs="Arial"/>
          <w:sz w:val="20"/>
          <w:szCs w:val="20"/>
        </w:rPr>
        <w:t xml:space="preserve"> transformación biológica</w:t>
      </w:r>
      <w:r w:rsidR="00174676" w:rsidRPr="002507B6">
        <w:rPr>
          <w:rFonts w:ascii="Arial" w:hAnsi="Arial" w:cs="Arial"/>
          <w:sz w:val="20"/>
          <w:szCs w:val="20"/>
        </w:rPr>
        <w:t>, producida entre</w:t>
      </w:r>
      <w:r w:rsidRPr="002507B6">
        <w:rPr>
          <w:rFonts w:ascii="Arial" w:hAnsi="Arial" w:cs="Arial"/>
          <w:sz w:val="20"/>
          <w:szCs w:val="20"/>
        </w:rPr>
        <w:t xml:space="preserve"> la etapa posterior de desarrollo biológico </w:t>
      </w:r>
      <w:r w:rsidR="00174676" w:rsidRPr="002507B6">
        <w:rPr>
          <w:rFonts w:ascii="Arial" w:hAnsi="Arial" w:cs="Arial"/>
          <w:sz w:val="20"/>
          <w:szCs w:val="20"/>
        </w:rPr>
        <w:t>y</w:t>
      </w:r>
      <w:r w:rsidRPr="002507B6">
        <w:rPr>
          <w:rFonts w:ascii="Arial" w:hAnsi="Arial" w:cs="Arial"/>
          <w:sz w:val="20"/>
          <w:szCs w:val="20"/>
        </w:rPr>
        <w:t xml:space="preserve"> la medición </w:t>
      </w:r>
      <w:r w:rsidR="00174676" w:rsidRPr="002507B6">
        <w:rPr>
          <w:rFonts w:ascii="Arial" w:hAnsi="Arial" w:cs="Arial"/>
          <w:sz w:val="20"/>
          <w:szCs w:val="20"/>
        </w:rPr>
        <w:t xml:space="preserve">a la </w:t>
      </w:r>
      <w:r w:rsidR="00174676" w:rsidRPr="002507B6">
        <w:rPr>
          <w:rFonts w:ascii="Arial" w:hAnsi="Arial" w:cs="Arial"/>
          <w:b/>
          <w:bCs/>
          <w:sz w:val="20"/>
          <w:szCs w:val="20"/>
        </w:rPr>
        <w:t>fecha de los estados contables</w:t>
      </w:r>
      <w:r w:rsidR="00174676" w:rsidRPr="002507B6">
        <w:rPr>
          <w:rFonts w:ascii="Arial" w:hAnsi="Arial" w:cs="Arial"/>
          <w:sz w:val="20"/>
          <w:szCs w:val="20"/>
        </w:rPr>
        <w:t>,</w:t>
      </w:r>
      <w:r w:rsidRPr="002507B6">
        <w:rPr>
          <w:rFonts w:ascii="Arial" w:hAnsi="Arial" w:cs="Arial"/>
          <w:sz w:val="20"/>
          <w:szCs w:val="20"/>
        </w:rPr>
        <w:t xml:space="preserve"> si </w:t>
      </w:r>
      <w:r w:rsidR="00174676" w:rsidRPr="002507B6">
        <w:rPr>
          <w:rFonts w:ascii="Arial" w:hAnsi="Arial" w:cs="Arial"/>
          <w:sz w:val="20"/>
          <w:szCs w:val="20"/>
        </w:rPr>
        <w:t xml:space="preserve">esta </w:t>
      </w:r>
      <w:r w:rsidRPr="002507B6">
        <w:rPr>
          <w:rFonts w:ascii="Arial" w:hAnsi="Arial" w:cs="Arial"/>
          <w:sz w:val="20"/>
          <w:szCs w:val="20"/>
        </w:rPr>
        <w:t>es anterior al momento de la cosecha, recolección o faena (ejemplo:</w:t>
      </w:r>
      <w:r w:rsidRPr="002507B6">
        <w:rPr>
          <w:rFonts w:ascii="Arial" w:hAnsi="Arial" w:cs="Arial"/>
          <w:b/>
          <w:bCs/>
          <w:sz w:val="20"/>
          <w:szCs w:val="20"/>
        </w:rPr>
        <w:t xml:space="preserve"> activos biológicos</w:t>
      </w:r>
      <w:r w:rsidRPr="002507B6">
        <w:rPr>
          <w:rFonts w:ascii="Arial" w:hAnsi="Arial" w:cs="Arial"/>
          <w:sz w:val="20"/>
          <w:szCs w:val="20"/>
        </w:rPr>
        <w:t xml:space="preserve"> de ciclos plurianuales)</w:t>
      </w:r>
      <w:r w:rsidR="005C79C3" w:rsidRPr="002507B6">
        <w:rPr>
          <w:rFonts w:ascii="Arial" w:hAnsi="Arial" w:cs="Arial"/>
          <w:sz w:val="20"/>
          <w:szCs w:val="20"/>
        </w:rPr>
        <w:t>.</w:t>
      </w:r>
      <w:r w:rsidR="006F2C57">
        <w:rPr>
          <w:rFonts w:ascii="Arial" w:hAnsi="Arial" w:cs="Arial"/>
          <w:sz w:val="20"/>
          <w:szCs w:val="20"/>
        </w:rPr>
        <w:t xml:space="preserve"> </w:t>
      </w:r>
    </w:p>
    <w:p w:rsidR="00421257" w:rsidRPr="00AC4AEA" w:rsidRDefault="00421257" w:rsidP="003E72D9">
      <w:pPr>
        <w:ind w:left="1701"/>
        <w:jc w:val="both"/>
        <w:rPr>
          <w:rFonts w:ascii="Arial" w:hAnsi="Arial" w:cs="Arial"/>
          <w:sz w:val="20"/>
          <w:szCs w:val="20"/>
        </w:rPr>
      </w:pPr>
      <w:r w:rsidRPr="002507B6">
        <w:rPr>
          <w:rFonts w:ascii="Arial" w:hAnsi="Arial" w:cs="Arial"/>
          <w:sz w:val="20"/>
          <w:szCs w:val="20"/>
          <w:u w:val="single" w:color="000000"/>
        </w:rPr>
        <w:lastRenderedPageBreak/>
        <w:t>Obtención de productos agropecuarios</w:t>
      </w:r>
      <w:r w:rsidRPr="002507B6">
        <w:rPr>
          <w:rFonts w:ascii="Arial" w:hAnsi="Arial" w:cs="Arial"/>
          <w:sz w:val="20"/>
          <w:szCs w:val="20"/>
        </w:rPr>
        <w:t xml:space="preserve">: </w:t>
      </w:r>
      <w:r w:rsidR="00174676" w:rsidRPr="002507B6">
        <w:rPr>
          <w:rFonts w:ascii="Arial" w:hAnsi="Arial" w:cs="Arial"/>
          <w:sz w:val="20"/>
          <w:szCs w:val="20"/>
        </w:rPr>
        <w:t>S</w:t>
      </w:r>
      <w:r w:rsidRPr="002507B6">
        <w:rPr>
          <w:rFonts w:ascii="Arial" w:hAnsi="Arial" w:cs="Arial"/>
          <w:sz w:val="20"/>
          <w:szCs w:val="20"/>
        </w:rPr>
        <w:t xml:space="preserve">eparación de los frutos de un activo biológico o la interrupción de su proceso vital. En las distintas actividades agropecuarias adopta el nombre de cosecha, ordeñe, esquila, tala, recolección, etc. Estas actividades incluyen los procesos de adecuación de los </w:t>
      </w:r>
      <w:r w:rsidRPr="002507B6">
        <w:rPr>
          <w:rFonts w:ascii="Arial" w:hAnsi="Arial" w:cs="Arial"/>
          <w:b/>
          <w:bCs/>
          <w:sz w:val="20"/>
          <w:szCs w:val="20"/>
        </w:rPr>
        <w:t>productos agropecuarios</w:t>
      </w:r>
      <w:r w:rsidRPr="002507B6">
        <w:rPr>
          <w:rFonts w:ascii="Arial" w:hAnsi="Arial" w:cs="Arial"/>
          <w:sz w:val="20"/>
          <w:szCs w:val="20"/>
        </w:rPr>
        <w:t>, necesarios para su posterior conservación o venta en condiciones técnicamente aceptables.</w:t>
      </w:r>
      <w:r w:rsidRPr="00AC4AEA">
        <w:rPr>
          <w:rFonts w:ascii="Arial" w:hAnsi="Arial" w:cs="Arial"/>
          <w:sz w:val="20"/>
          <w:szCs w:val="20"/>
        </w:rPr>
        <w:t xml:space="preserve"> </w:t>
      </w:r>
    </w:p>
    <w:p w:rsidR="00B73D0B" w:rsidRPr="00AC4AEA" w:rsidRDefault="00B73D0B" w:rsidP="00A318EA">
      <w:pPr>
        <w:pStyle w:val="A-doctorado"/>
        <w:rPr>
          <w:rFonts w:ascii="Arial" w:hAnsi="Arial"/>
          <w:color w:val="auto"/>
          <w:sz w:val="20"/>
          <w:szCs w:val="20"/>
        </w:rPr>
      </w:pPr>
    </w:p>
    <w:p w:rsidR="00421257" w:rsidRPr="00AC4AEA" w:rsidRDefault="00421257" w:rsidP="00A318EA">
      <w:pPr>
        <w:pStyle w:val="Ttulo2"/>
        <w:rPr>
          <w:rFonts w:cs="Arial"/>
        </w:rPr>
      </w:pPr>
      <w:bookmarkStart w:id="1265" w:name="_Toc139357077"/>
      <w:r w:rsidRPr="00AC4AEA">
        <w:rPr>
          <w:rFonts w:cs="Arial"/>
        </w:rPr>
        <w:t>Reconocimiento</w:t>
      </w:r>
      <w:r w:rsidR="00A3002A" w:rsidRPr="00AC4AEA">
        <w:rPr>
          <w:rFonts w:cs="Arial"/>
        </w:rPr>
        <w:t xml:space="preserve"> de un activo biológico o </w:t>
      </w:r>
      <w:r w:rsidR="0056468E" w:rsidRPr="00AC4AEA">
        <w:rPr>
          <w:rFonts w:cs="Arial"/>
        </w:rPr>
        <w:t xml:space="preserve">de </w:t>
      </w:r>
      <w:r w:rsidR="00A3002A" w:rsidRPr="00AC4AEA">
        <w:rPr>
          <w:rFonts w:cs="Arial"/>
        </w:rPr>
        <w:t>un producto agropecuario en el momento de la cosecha, recolección, obtención o faena</w:t>
      </w:r>
      <w:bookmarkEnd w:id="1265"/>
      <w:r w:rsidRPr="00AC4AEA">
        <w:rPr>
          <w:rFonts w:cs="Arial"/>
        </w:rPr>
        <w:t xml:space="preserve"> </w:t>
      </w:r>
    </w:p>
    <w:p w:rsidR="00421257" w:rsidRPr="00AC4AEA" w:rsidRDefault="00421257" w:rsidP="00C01B25">
      <w:pPr>
        <w:pStyle w:val="Prrafodelista"/>
        <w:numPr>
          <w:ilvl w:val="0"/>
          <w:numId w:val="719"/>
        </w:numPr>
        <w:spacing w:after="147" w:line="264" w:lineRule="auto"/>
        <w:ind w:hanging="652"/>
        <w:jc w:val="both"/>
        <w:rPr>
          <w:rFonts w:ascii="Arial" w:eastAsia="Times New Roman" w:hAnsi="Arial" w:cs="Arial"/>
          <w:sz w:val="20"/>
          <w:szCs w:val="20"/>
          <w:lang w:eastAsia="es-AR"/>
        </w:rPr>
      </w:pPr>
      <w:bookmarkStart w:id="1266" w:name="_Ref137550279"/>
      <w:r w:rsidRPr="00AC4AEA">
        <w:rPr>
          <w:rFonts w:ascii="Arial" w:hAnsi="Arial" w:cs="Arial"/>
          <w:sz w:val="20"/>
          <w:szCs w:val="20"/>
        </w:rPr>
        <w:t xml:space="preserve">Una entidad reconocerá </w:t>
      </w:r>
      <w:r w:rsidR="00F72A1C" w:rsidRPr="00AC4AEA">
        <w:rPr>
          <w:rFonts w:ascii="Arial" w:hAnsi="Arial" w:cs="Arial"/>
          <w:sz w:val="20"/>
          <w:szCs w:val="20"/>
        </w:rPr>
        <w:t>un</w:t>
      </w:r>
      <w:r w:rsidRPr="00AC4AEA">
        <w:rPr>
          <w:rFonts w:ascii="Arial" w:hAnsi="Arial" w:cs="Arial"/>
          <w:sz w:val="20"/>
          <w:szCs w:val="20"/>
        </w:rPr>
        <w:t xml:space="preserve"> </w:t>
      </w:r>
      <w:r w:rsidRPr="00AC4AEA">
        <w:rPr>
          <w:rFonts w:ascii="Arial" w:hAnsi="Arial" w:cs="Arial"/>
          <w:b/>
          <w:bCs/>
          <w:sz w:val="20"/>
          <w:szCs w:val="20"/>
        </w:rPr>
        <w:t>activo biológico</w:t>
      </w:r>
      <w:r w:rsidRPr="00AC4AEA">
        <w:rPr>
          <w:rFonts w:ascii="Arial" w:hAnsi="Arial" w:cs="Arial"/>
          <w:sz w:val="20"/>
          <w:szCs w:val="20"/>
        </w:rPr>
        <w:t xml:space="preserve"> o </w:t>
      </w:r>
      <w:r w:rsidR="00F72A1C" w:rsidRPr="00AC4AEA">
        <w:rPr>
          <w:rFonts w:ascii="Arial" w:hAnsi="Arial" w:cs="Arial"/>
          <w:sz w:val="20"/>
          <w:szCs w:val="20"/>
        </w:rPr>
        <w:t xml:space="preserve">un </w:t>
      </w:r>
      <w:r w:rsidRPr="00AC4AEA">
        <w:rPr>
          <w:rFonts w:ascii="Arial" w:hAnsi="Arial" w:cs="Arial"/>
          <w:sz w:val="20"/>
          <w:szCs w:val="20"/>
        </w:rPr>
        <w:t>producto agropecuario</w:t>
      </w:r>
      <w:r w:rsidR="00870C54" w:rsidRPr="00AC4AEA">
        <w:rPr>
          <w:rFonts w:ascii="Arial" w:hAnsi="Arial" w:cs="Arial"/>
          <w:sz w:val="20"/>
          <w:szCs w:val="20"/>
        </w:rPr>
        <w:t xml:space="preserve"> en el momento de la cosecha, recolección, obtención o faena</w:t>
      </w:r>
      <w:r w:rsidRPr="00AC4AEA">
        <w:rPr>
          <w:rFonts w:ascii="Arial" w:hAnsi="Arial" w:cs="Arial"/>
          <w:sz w:val="20"/>
          <w:szCs w:val="20"/>
        </w:rPr>
        <w:t>, según corresponda, cuando:</w:t>
      </w:r>
      <w:bookmarkEnd w:id="1266"/>
      <w:r w:rsidR="006F2C57">
        <w:rPr>
          <w:rFonts w:ascii="Arial" w:hAnsi="Arial" w:cs="Arial"/>
          <w:sz w:val="20"/>
          <w:szCs w:val="20"/>
        </w:rPr>
        <w:t xml:space="preserve">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 xml:space="preserve">cumpla con la definición general del párrafo </w:t>
      </w:r>
      <w:r w:rsidR="001C4138">
        <w:rPr>
          <w:rFonts w:ascii="Arial" w:hAnsi="Arial" w:cs="Arial"/>
          <w:sz w:val="20"/>
          <w:szCs w:val="20"/>
        </w:rPr>
        <w:fldChar w:fldCharType="begin"/>
      </w:r>
      <w:r w:rsidR="00572664">
        <w:rPr>
          <w:rFonts w:ascii="Arial" w:hAnsi="Arial" w:cs="Arial"/>
          <w:sz w:val="20"/>
          <w:szCs w:val="20"/>
        </w:rPr>
        <w:instrText xml:space="preserve"> REF _Ref106701972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22</w:t>
      </w:r>
      <w:r w:rsidR="001C4138">
        <w:rPr>
          <w:rFonts w:ascii="Arial" w:hAnsi="Arial" w:cs="Arial"/>
          <w:sz w:val="20"/>
          <w:szCs w:val="20"/>
        </w:rPr>
        <w:fldChar w:fldCharType="end"/>
      </w:r>
      <w:r w:rsidRPr="00AC4AEA">
        <w:rPr>
          <w:rFonts w:ascii="Arial" w:hAnsi="Arial" w:cs="Arial"/>
          <w:sz w:val="20"/>
          <w:szCs w:val="20"/>
        </w:rPr>
        <w:t xml:space="preserve"> y las definiciones específicas </w:t>
      </w:r>
      <w:r w:rsidR="00F72A1C" w:rsidRPr="00AC4AEA">
        <w:rPr>
          <w:rFonts w:ascii="Arial" w:hAnsi="Arial" w:cs="Arial"/>
          <w:sz w:val="20"/>
          <w:szCs w:val="20"/>
        </w:rPr>
        <w:t>d</w:t>
      </w:r>
      <w:r w:rsidRPr="00AC4AEA">
        <w:rPr>
          <w:rFonts w:ascii="Arial" w:hAnsi="Arial" w:cs="Arial"/>
          <w:sz w:val="20"/>
          <w:szCs w:val="20"/>
        </w:rPr>
        <w:t xml:space="preserve">el párrafo </w:t>
      </w:r>
      <w:r w:rsidR="001C4138">
        <w:rPr>
          <w:rFonts w:ascii="Arial" w:hAnsi="Arial" w:cs="Arial"/>
          <w:sz w:val="20"/>
          <w:szCs w:val="20"/>
        </w:rPr>
        <w:fldChar w:fldCharType="begin"/>
      </w:r>
      <w:r w:rsidR="00572664">
        <w:rPr>
          <w:rFonts w:ascii="Arial" w:hAnsi="Arial" w:cs="Arial"/>
          <w:sz w:val="20"/>
          <w:szCs w:val="20"/>
        </w:rPr>
        <w:instrText xml:space="preserve"> REF _Ref133312222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1024</w:t>
      </w:r>
      <w:r w:rsidR="001C4138">
        <w:rPr>
          <w:rFonts w:ascii="Arial" w:hAnsi="Arial" w:cs="Arial"/>
          <w:sz w:val="20"/>
          <w:szCs w:val="20"/>
        </w:rPr>
        <w:fldChar w:fldCharType="end"/>
      </w:r>
      <w:r w:rsidRPr="00AC4AEA">
        <w:rPr>
          <w:rFonts w:ascii="Arial" w:hAnsi="Arial" w:cs="Arial"/>
          <w:sz w:val="20"/>
          <w:szCs w:val="20"/>
        </w:rPr>
        <w:t xml:space="preserve"> o en el glosario, según corresponda;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 xml:space="preserve">su medición satisfaga el requisito de </w:t>
      </w:r>
      <w:r w:rsidRPr="00AC4AEA">
        <w:rPr>
          <w:rFonts w:ascii="Arial" w:hAnsi="Arial" w:cs="Arial"/>
          <w:b/>
          <w:bCs/>
          <w:sz w:val="20"/>
          <w:szCs w:val="20"/>
        </w:rPr>
        <w:t>confiabilidad (credibilidad)</w:t>
      </w:r>
      <w:r w:rsidRPr="00AC4AEA">
        <w:rPr>
          <w:rFonts w:ascii="Arial" w:hAnsi="Arial" w:cs="Arial"/>
          <w:sz w:val="20"/>
          <w:szCs w:val="20"/>
        </w:rPr>
        <w:t xml:space="preserve">; y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 xml:space="preserve">su contribución a los beneficios económicos futuros de la entidad resulte </w:t>
      </w:r>
      <w:r w:rsidRPr="0062355E">
        <w:rPr>
          <w:rFonts w:ascii="Arial" w:hAnsi="Arial" w:cs="Arial"/>
          <w:b/>
          <w:bCs/>
          <w:sz w:val="20"/>
          <w:szCs w:val="20"/>
        </w:rPr>
        <w:t>probable.</w:t>
      </w:r>
      <w:r w:rsidR="006F2C57">
        <w:rPr>
          <w:rFonts w:ascii="Arial" w:hAnsi="Arial" w:cs="Arial"/>
          <w:sz w:val="20"/>
          <w:szCs w:val="20"/>
        </w:rPr>
        <w:t xml:space="preserve"> </w:t>
      </w:r>
    </w:p>
    <w:p w:rsidR="00421257" w:rsidRPr="00AC4AEA" w:rsidRDefault="00421257" w:rsidP="00A318EA">
      <w:pPr>
        <w:spacing w:after="132"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267" w:name="_Toc139357078"/>
      <w:r w:rsidRPr="00AC4AEA">
        <w:rPr>
          <w:rFonts w:cs="Arial"/>
        </w:rPr>
        <w:t>Medición de activos biológicos</w:t>
      </w:r>
      <w:bookmarkEnd w:id="1267"/>
      <w:r w:rsidRPr="00AC4AEA">
        <w:rPr>
          <w:rFonts w:cs="Arial"/>
        </w:rPr>
        <w:t xml:space="preserve"> </w:t>
      </w:r>
    </w:p>
    <w:p w:rsidR="00421257" w:rsidRPr="00AC4AEA" w:rsidRDefault="00421257" w:rsidP="00A318EA">
      <w:pPr>
        <w:pStyle w:val="Ttulo3"/>
      </w:pPr>
      <w:bookmarkStart w:id="1268" w:name="_Toc139357079"/>
      <w:r w:rsidRPr="00AC4AEA">
        <w:t>Medición inicial</w:t>
      </w:r>
      <w:bookmarkEnd w:id="1268"/>
      <w:r w:rsidRPr="00AC4AEA">
        <w:t xml:space="preserve"> </w:t>
      </w:r>
    </w:p>
    <w:p w:rsidR="00421257" w:rsidRPr="00AC4AEA" w:rsidRDefault="00421257" w:rsidP="00C01B25">
      <w:pPr>
        <w:numPr>
          <w:ilvl w:val="0"/>
          <w:numId w:val="719"/>
        </w:numPr>
        <w:spacing w:after="149" w:line="256" w:lineRule="auto"/>
        <w:ind w:left="937" w:hanging="536"/>
        <w:jc w:val="both"/>
        <w:rPr>
          <w:rFonts w:ascii="Arial" w:hAnsi="Arial" w:cs="Arial"/>
          <w:sz w:val="20"/>
          <w:szCs w:val="20"/>
        </w:rPr>
      </w:pPr>
      <w:bookmarkStart w:id="1269" w:name="_Ref137550281"/>
      <w:r w:rsidRPr="00AC4AEA">
        <w:rPr>
          <w:rFonts w:ascii="Arial" w:hAnsi="Arial" w:cs="Arial"/>
          <w:sz w:val="20"/>
          <w:szCs w:val="20"/>
        </w:rPr>
        <w:t xml:space="preserve">Una entidad medirá sus </w:t>
      </w:r>
      <w:r w:rsidRPr="00AC4AEA">
        <w:rPr>
          <w:rFonts w:ascii="Arial" w:hAnsi="Arial" w:cs="Arial"/>
          <w:b/>
          <w:bCs/>
          <w:sz w:val="20"/>
          <w:szCs w:val="20"/>
        </w:rPr>
        <w:t>activos biológicos</w:t>
      </w:r>
      <w:r w:rsidRPr="00AC4AEA">
        <w:rPr>
          <w:rFonts w:ascii="Arial" w:hAnsi="Arial" w:cs="Arial"/>
          <w:sz w:val="20"/>
          <w:szCs w:val="20"/>
        </w:rPr>
        <w:t xml:space="preserve"> mediante alguno de los siguientes criterios:</w:t>
      </w:r>
      <w:bookmarkEnd w:id="1269"/>
      <w:r w:rsidRPr="00AC4AEA">
        <w:rPr>
          <w:rFonts w:ascii="Arial" w:hAnsi="Arial" w:cs="Arial"/>
          <w:sz w:val="20"/>
          <w:szCs w:val="20"/>
        </w:rPr>
        <w:t xml:space="preserve">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 xml:space="preserve">Activos biológicos adquiridos: sobre la base de su </w:t>
      </w:r>
      <w:r w:rsidRPr="00AC4AEA">
        <w:rPr>
          <w:rFonts w:ascii="Arial" w:hAnsi="Arial" w:cs="Arial"/>
          <w:b/>
          <w:bCs/>
          <w:sz w:val="20"/>
          <w:szCs w:val="20"/>
        </w:rPr>
        <w:t>costo de adquisición</w:t>
      </w:r>
      <w:r w:rsidRPr="00AC4AEA">
        <w:rPr>
          <w:rFonts w:ascii="Arial" w:hAnsi="Arial" w:cs="Arial"/>
          <w:sz w:val="20"/>
          <w:szCs w:val="20"/>
        </w:rPr>
        <w:t xml:space="preserve">.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EE705C">
        <w:rPr>
          <w:rFonts w:ascii="Arial" w:hAnsi="Arial" w:cs="Arial"/>
          <w:b/>
          <w:bCs/>
          <w:sz w:val="20"/>
          <w:szCs w:val="20"/>
        </w:rPr>
        <w:t xml:space="preserve">Activos biológicos en </w:t>
      </w:r>
      <w:r w:rsidR="00894191" w:rsidRPr="00EE705C">
        <w:rPr>
          <w:rFonts w:ascii="Arial" w:hAnsi="Arial" w:cs="Arial"/>
          <w:b/>
          <w:bCs/>
          <w:sz w:val="20"/>
          <w:szCs w:val="20"/>
        </w:rPr>
        <w:t>de</w:t>
      </w:r>
      <w:r w:rsidR="00DB426C" w:rsidRPr="00EE705C">
        <w:rPr>
          <w:rFonts w:ascii="Arial" w:hAnsi="Arial" w:cs="Arial"/>
          <w:b/>
          <w:bCs/>
          <w:sz w:val="20"/>
          <w:szCs w:val="20"/>
        </w:rPr>
        <w:t>sarrollo</w:t>
      </w:r>
      <w:r w:rsidRPr="00AC4AEA">
        <w:rPr>
          <w:rFonts w:ascii="Arial" w:hAnsi="Arial" w:cs="Arial"/>
          <w:sz w:val="20"/>
          <w:szCs w:val="20"/>
        </w:rPr>
        <w:t xml:space="preserve">: en función de su </w:t>
      </w:r>
      <w:r w:rsidRPr="00AC4AEA">
        <w:rPr>
          <w:rFonts w:ascii="Arial" w:hAnsi="Arial" w:cs="Arial"/>
          <w:b/>
          <w:bCs/>
          <w:sz w:val="20"/>
          <w:szCs w:val="20"/>
        </w:rPr>
        <w:t>costo de producción</w:t>
      </w:r>
      <w:r w:rsidRPr="00AC4AEA">
        <w:rPr>
          <w:rFonts w:ascii="Arial" w:hAnsi="Arial" w:cs="Arial"/>
          <w:sz w:val="20"/>
          <w:szCs w:val="20"/>
        </w:rPr>
        <w:t xml:space="preserve">.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EE705C">
        <w:rPr>
          <w:rFonts w:ascii="Arial" w:hAnsi="Arial" w:cs="Arial"/>
          <w:b/>
          <w:bCs/>
          <w:sz w:val="20"/>
          <w:szCs w:val="20"/>
        </w:rPr>
        <w:t>Activos biológicos producidos</w:t>
      </w:r>
      <w:r w:rsidR="00F162F2" w:rsidRPr="00EE705C">
        <w:rPr>
          <w:rFonts w:ascii="Arial" w:hAnsi="Arial" w:cs="Arial"/>
          <w:b/>
          <w:bCs/>
          <w:sz w:val="20"/>
          <w:szCs w:val="20"/>
        </w:rPr>
        <w:t xml:space="preserve"> o terminados</w:t>
      </w:r>
      <w:r w:rsidRPr="00AC4AEA">
        <w:rPr>
          <w:rFonts w:ascii="Arial" w:hAnsi="Arial" w:cs="Arial"/>
          <w:sz w:val="20"/>
          <w:szCs w:val="20"/>
        </w:rPr>
        <w:t xml:space="preserve">: en función de su </w:t>
      </w:r>
      <w:r w:rsidRPr="00AC4AEA">
        <w:rPr>
          <w:rFonts w:ascii="Arial" w:hAnsi="Arial" w:cs="Arial"/>
          <w:b/>
          <w:bCs/>
          <w:sz w:val="20"/>
          <w:szCs w:val="20"/>
        </w:rPr>
        <w:t>valor razonable</w:t>
      </w:r>
      <w:r w:rsidRPr="00AC4AEA">
        <w:rPr>
          <w:rFonts w:ascii="Arial" w:hAnsi="Arial" w:cs="Arial"/>
          <w:sz w:val="20"/>
          <w:szCs w:val="20"/>
        </w:rPr>
        <w:t xml:space="preserve"> menos </w:t>
      </w:r>
      <w:r w:rsidR="00713613" w:rsidRPr="00AC4AEA">
        <w:rPr>
          <w:rFonts w:ascii="Arial" w:hAnsi="Arial" w:cs="Arial"/>
          <w:sz w:val="20"/>
          <w:szCs w:val="20"/>
        </w:rPr>
        <w:t xml:space="preserve">los </w:t>
      </w:r>
      <w:r w:rsidRPr="00AC4AEA">
        <w:rPr>
          <w:rFonts w:ascii="Arial" w:hAnsi="Arial" w:cs="Arial"/>
          <w:sz w:val="20"/>
          <w:szCs w:val="20"/>
        </w:rPr>
        <w:t xml:space="preserve">gastos estimados en el punto de venta.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 xml:space="preserve">Activos biológicos recibidos mediante aportes o donaciones: de acuerdo con lo establecido en el inciso c) del párrafo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 xml:space="preserve">.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Activos biológicos</w:t>
      </w:r>
      <w:r w:rsidRPr="00AC4AEA">
        <w:rPr>
          <w:rFonts w:ascii="Arial" w:hAnsi="Arial" w:cs="Arial"/>
          <w:b/>
          <w:bCs/>
          <w:sz w:val="20"/>
          <w:szCs w:val="20"/>
        </w:rPr>
        <w:t xml:space="preserve"> </w:t>
      </w:r>
      <w:r w:rsidRPr="00AC4AEA">
        <w:rPr>
          <w:rFonts w:ascii="Arial" w:hAnsi="Arial" w:cs="Arial"/>
          <w:sz w:val="20"/>
          <w:szCs w:val="20"/>
        </w:rPr>
        <w:t xml:space="preserve">recibidos mediante trueques o canjes: de acuerdo con lo establecido en el inciso d) del párrafo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 xml:space="preserve">. </w:t>
      </w:r>
    </w:p>
    <w:p w:rsidR="00421257" w:rsidRPr="00AC4AEA" w:rsidRDefault="00421257" w:rsidP="00A318EA">
      <w:pPr>
        <w:spacing w:after="150" w:line="256" w:lineRule="auto"/>
        <w:ind w:left="936"/>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270" w:name="_Toc139357080"/>
      <w:r w:rsidRPr="00AC4AEA">
        <w:t>Medición posterior</w:t>
      </w:r>
      <w:bookmarkEnd w:id="1270"/>
      <w:r w:rsidRPr="00AC4AEA">
        <w:t xml:space="preserve"> </w:t>
      </w:r>
    </w:p>
    <w:p w:rsidR="003E2703" w:rsidRPr="00AC4AEA" w:rsidRDefault="00421257" w:rsidP="00A318EA">
      <w:pPr>
        <w:pStyle w:val="Ttulo4"/>
      </w:pPr>
      <w:r w:rsidRPr="00AC4AEA">
        <w:t>Activos biológicos destinados a la venta o a su consumo en el curso normal de la</w:t>
      </w:r>
      <w:r w:rsidR="00686EB4" w:rsidRPr="00AC4AEA">
        <w:t>s</w:t>
      </w:r>
      <w:r w:rsidRPr="00AC4AEA">
        <w:t xml:space="preserve"> </w:t>
      </w:r>
      <w:r w:rsidR="00686EB4" w:rsidRPr="00AC4AEA">
        <w:t>operaciones</w:t>
      </w:r>
    </w:p>
    <w:p w:rsidR="00421257" w:rsidRPr="00AC4AEA" w:rsidRDefault="003E2703" w:rsidP="00A318EA">
      <w:pPr>
        <w:pStyle w:val="Ttulo5"/>
        <w:ind w:left="993"/>
        <w:rPr>
          <w:rFonts w:ascii="Arial" w:hAnsi="Arial" w:cs="Arial"/>
          <w:b/>
          <w:bCs/>
          <w:sz w:val="20"/>
          <w:szCs w:val="20"/>
        </w:rPr>
      </w:pPr>
      <w:r w:rsidRPr="00AC4AEA">
        <w:rPr>
          <w:rFonts w:ascii="Arial" w:hAnsi="Arial" w:cs="Arial"/>
          <w:b/>
          <w:bCs/>
          <w:sz w:val="20"/>
          <w:szCs w:val="20"/>
        </w:rPr>
        <w:t>Criterio general</w:t>
      </w:r>
      <w:r w:rsidR="006F2C57">
        <w:rPr>
          <w:rFonts w:ascii="Arial" w:hAnsi="Arial" w:cs="Arial"/>
          <w:b/>
          <w:bCs/>
          <w:sz w:val="20"/>
          <w:szCs w:val="20"/>
        </w:rPr>
        <w:t xml:space="preserve"> </w:t>
      </w:r>
    </w:p>
    <w:p w:rsidR="00421257" w:rsidRPr="0087080A" w:rsidRDefault="00421257" w:rsidP="00C01B25">
      <w:pPr>
        <w:numPr>
          <w:ilvl w:val="0"/>
          <w:numId w:val="719"/>
        </w:numPr>
        <w:spacing w:after="147" w:line="264" w:lineRule="auto"/>
        <w:ind w:left="937" w:hanging="536"/>
        <w:jc w:val="both"/>
        <w:rPr>
          <w:rFonts w:ascii="Arial" w:hAnsi="Arial" w:cs="Arial"/>
          <w:sz w:val="20"/>
          <w:szCs w:val="20"/>
        </w:rPr>
      </w:pPr>
      <w:bookmarkStart w:id="1271" w:name="_Ref136199922"/>
      <w:r w:rsidRPr="00AC4AEA">
        <w:rPr>
          <w:rFonts w:ascii="Arial" w:hAnsi="Arial" w:cs="Arial"/>
          <w:sz w:val="20"/>
          <w:szCs w:val="20"/>
        </w:rPr>
        <w:lastRenderedPageBreak/>
        <w:t xml:space="preserve">En la </w:t>
      </w:r>
      <w:r w:rsidRPr="0087080A">
        <w:rPr>
          <w:rFonts w:ascii="Arial" w:hAnsi="Arial" w:cs="Arial"/>
          <w:b/>
          <w:bCs/>
          <w:sz w:val="20"/>
          <w:szCs w:val="20"/>
        </w:rPr>
        <w:t>fecha de los estados contables</w:t>
      </w:r>
      <w:r w:rsidRPr="0087080A">
        <w:rPr>
          <w:rFonts w:ascii="Arial" w:hAnsi="Arial" w:cs="Arial"/>
          <w:sz w:val="20"/>
          <w:szCs w:val="20"/>
        </w:rPr>
        <w:t xml:space="preserve">, una entidad medirá sus </w:t>
      </w:r>
      <w:r w:rsidRPr="0087080A">
        <w:rPr>
          <w:rFonts w:ascii="Arial" w:hAnsi="Arial" w:cs="Arial"/>
          <w:b/>
          <w:bCs/>
          <w:sz w:val="20"/>
          <w:szCs w:val="20"/>
        </w:rPr>
        <w:t>activos biológicos</w:t>
      </w:r>
      <w:r w:rsidRPr="0087080A">
        <w:rPr>
          <w:rFonts w:ascii="Arial" w:hAnsi="Arial" w:cs="Arial"/>
          <w:sz w:val="20"/>
          <w:szCs w:val="20"/>
        </w:rPr>
        <w:t xml:space="preserve"> destinados a la venta </w:t>
      </w:r>
      <w:r w:rsidR="0070509F" w:rsidRPr="0087080A">
        <w:rPr>
          <w:rFonts w:ascii="Arial" w:hAnsi="Arial" w:cs="Arial"/>
          <w:sz w:val="20"/>
          <w:szCs w:val="20"/>
        </w:rPr>
        <w:t>o a su consumo</w:t>
      </w:r>
      <w:r w:rsidRPr="0087080A">
        <w:rPr>
          <w:rFonts w:ascii="Arial" w:hAnsi="Arial" w:cs="Arial"/>
          <w:sz w:val="20"/>
          <w:szCs w:val="20"/>
        </w:rPr>
        <w:t xml:space="preserve"> en el curso normal de la actividad de acuerdo con los siguientes criterios, según corresponda:</w:t>
      </w:r>
      <w:bookmarkEnd w:id="1271"/>
      <w:r w:rsidR="006F2C57">
        <w:rPr>
          <w:rFonts w:ascii="Arial" w:hAnsi="Arial" w:cs="Arial"/>
          <w:sz w:val="20"/>
          <w:szCs w:val="20"/>
        </w:rPr>
        <w:t xml:space="preserve"> </w:t>
      </w:r>
    </w:p>
    <w:p w:rsidR="00421257" w:rsidRPr="0087080A" w:rsidRDefault="00421257" w:rsidP="00C01B25">
      <w:pPr>
        <w:numPr>
          <w:ilvl w:val="1"/>
          <w:numId w:val="719"/>
        </w:numPr>
        <w:spacing w:line="264" w:lineRule="auto"/>
        <w:ind w:left="1418" w:hanging="426"/>
        <w:jc w:val="both"/>
        <w:rPr>
          <w:rFonts w:ascii="Arial" w:hAnsi="Arial" w:cs="Arial"/>
          <w:sz w:val="20"/>
          <w:szCs w:val="20"/>
        </w:rPr>
      </w:pPr>
      <w:r w:rsidRPr="0087080A">
        <w:rPr>
          <w:rFonts w:ascii="Arial" w:hAnsi="Arial" w:cs="Arial"/>
          <w:b/>
          <w:bCs/>
          <w:sz w:val="20"/>
          <w:szCs w:val="20"/>
        </w:rPr>
        <w:t>Activos biológicos</w:t>
      </w:r>
      <w:r w:rsidRPr="0087080A">
        <w:rPr>
          <w:rFonts w:ascii="Arial" w:hAnsi="Arial" w:cs="Arial"/>
          <w:sz w:val="20"/>
          <w:szCs w:val="20"/>
        </w:rPr>
        <w:t xml:space="preserve"> en la etapa </w:t>
      </w:r>
      <w:r w:rsidR="00990872" w:rsidRPr="0087080A">
        <w:rPr>
          <w:rFonts w:ascii="Arial" w:hAnsi="Arial" w:cs="Arial"/>
          <w:sz w:val="20"/>
          <w:szCs w:val="20"/>
        </w:rPr>
        <w:t xml:space="preserve">inicial </w:t>
      </w:r>
      <w:r w:rsidRPr="0087080A">
        <w:rPr>
          <w:rFonts w:ascii="Arial" w:hAnsi="Arial" w:cs="Arial"/>
          <w:sz w:val="20"/>
          <w:szCs w:val="20"/>
        </w:rPr>
        <w:t xml:space="preserve">de desarrollo biológico: en función de su </w:t>
      </w:r>
      <w:r w:rsidRPr="0087080A">
        <w:rPr>
          <w:rFonts w:ascii="Arial" w:hAnsi="Arial" w:cs="Arial"/>
          <w:b/>
          <w:bCs/>
          <w:sz w:val="20"/>
          <w:szCs w:val="20"/>
        </w:rPr>
        <w:t>costo de producción</w:t>
      </w:r>
      <w:r w:rsidRPr="0087080A">
        <w:rPr>
          <w:rFonts w:ascii="Arial" w:hAnsi="Arial" w:cs="Arial"/>
          <w:sz w:val="20"/>
          <w:szCs w:val="20"/>
        </w:rPr>
        <w:t xml:space="preserve">. </w:t>
      </w:r>
    </w:p>
    <w:p w:rsidR="00421257" w:rsidRPr="0087080A" w:rsidRDefault="00421257" w:rsidP="00C01B25">
      <w:pPr>
        <w:numPr>
          <w:ilvl w:val="1"/>
          <w:numId w:val="719"/>
        </w:numPr>
        <w:spacing w:line="264" w:lineRule="auto"/>
        <w:ind w:left="1418" w:hanging="426"/>
        <w:jc w:val="both"/>
        <w:rPr>
          <w:rFonts w:ascii="Arial" w:hAnsi="Arial" w:cs="Arial"/>
          <w:sz w:val="20"/>
          <w:szCs w:val="20"/>
        </w:rPr>
      </w:pPr>
      <w:r w:rsidRPr="0087080A">
        <w:rPr>
          <w:rFonts w:ascii="Arial" w:hAnsi="Arial" w:cs="Arial"/>
          <w:b/>
          <w:bCs/>
          <w:sz w:val="20"/>
          <w:szCs w:val="20"/>
        </w:rPr>
        <w:t>Activos biológicos</w:t>
      </w:r>
      <w:r w:rsidRPr="0087080A">
        <w:rPr>
          <w:rFonts w:ascii="Arial" w:hAnsi="Arial" w:cs="Arial"/>
          <w:sz w:val="20"/>
          <w:szCs w:val="20"/>
        </w:rPr>
        <w:t xml:space="preserve"> en la etapa posterior de desarrollo biológico:</w:t>
      </w:r>
      <w:r w:rsidR="006F2C57">
        <w:rPr>
          <w:rFonts w:ascii="Arial" w:hAnsi="Arial" w:cs="Arial"/>
          <w:sz w:val="20"/>
          <w:szCs w:val="20"/>
        </w:rPr>
        <w:t xml:space="preserve"> </w:t>
      </w:r>
    </w:p>
    <w:p w:rsidR="00421257" w:rsidRPr="0087080A" w:rsidRDefault="00421257" w:rsidP="00C01B25">
      <w:pPr>
        <w:numPr>
          <w:ilvl w:val="2"/>
          <w:numId w:val="719"/>
        </w:numPr>
        <w:spacing w:after="147" w:line="264" w:lineRule="auto"/>
        <w:ind w:hanging="515"/>
        <w:jc w:val="both"/>
        <w:rPr>
          <w:rFonts w:ascii="Arial" w:hAnsi="Arial" w:cs="Arial"/>
          <w:sz w:val="20"/>
          <w:szCs w:val="20"/>
        </w:rPr>
      </w:pPr>
      <w:r w:rsidRPr="0087080A">
        <w:rPr>
          <w:rFonts w:ascii="Arial" w:hAnsi="Arial" w:cs="Arial"/>
          <w:sz w:val="20"/>
          <w:szCs w:val="20"/>
        </w:rPr>
        <w:t xml:space="preserve">Si la entidad es pequeña, podrá utilizar el </w:t>
      </w:r>
      <w:r w:rsidRPr="0087080A">
        <w:rPr>
          <w:rFonts w:ascii="Arial" w:hAnsi="Arial" w:cs="Arial"/>
          <w:b/>
          <w:bCs/>
          <w:sz w:val="20"/>
          <w:szCs w:val="20"/>
        </w:rPr>
        <w:t>costo de adquisición</w:t>
      </w:r>
      <w:r w:rsidRPr="0087080A">
        <w:rPr>
          <w:rFonts w:ascii="Arial" w:hAnsi="Arial" w:cs="Arial"/>
          <w:sz w:val="20"/>
          <w:szCs w:val="20"/>
        </w:rPr>
        <w:t xml:space="preserve"> o </w:t>
      </w:r>
      <w:r w:rsidRPr="0087080A">
        <w:rPr>
          <w:rFonts w:ascii="Arial" w:hAnsi="Arial" w:cs="Arial"/>
          <w:b/>
          <w:bCs/>
          <w:sz w:val="20"/>
          <w:szCs w:val="20"/>
        </w:rPr>
        <w:t>costo de producción</w:t>
      </w:r>
      <w:r w:rsidRPr="0087080A">
        <w:rPr>
          <w:rFonts w:ascii="Arial" w:hAnsi="Arial" w:cs="Arial"/>
          <w:sz w:val="20"/>
          <w:szCs w:val="20"/>
        </w:rPr>
        <w:t xml:space="preserve">, según corresponda. </w:t>
      </w:r>
    </w:p>
    <w:p w:rsidR="00421257" w:rsidRPr="0087080A" w:rsidRDefault="00421257" w:rsidP="00C01B25">
      <w:pPr>
        <w:numPr>
          <w:ilvl w:val="2"/>
          <w:numId w:val="719"/>
        </w:numPr>
        <w:spacing w:line="264" w:lineRule="auto"/>
        <w:ind w:hanging="515"/>
        <w:jc w:val="both"/>
        <w:rPr>
          <w:rFonts w:ascii="Arial" w:hAnsi="Arial" w:cs="Arial"/>
          <w:sz w:val="20"/>
          <w:szCs w:val="20"/>
        </w:rPr>
      </w:pPr>
      <w:r w:rsidRPr="0087080A">
        <w:rPr>
          <w:rFonts w:ascii="Arial" w:hAnsi="Arial" w:cs="Arial"/>
          <w:sz w:val="20"/>
          <w:szCs w:val="20"/>
        </w:rPr>
        <w:t xml:space="preserve">Si la entidad es mediana, podrá utilizar el </w:t>
      </w:r>
      <w:r w:rsidRPr="0087080A">
        <w:rPr>
          <w:rFonts w:ascii="Arial" w:hAnsi="Arial" w:cs="Arial"/>
          <w:b/>
          <w:bCs/>
          <w:sz w:val="20"/>
          <w:szCs w:val="20"/>
        </w:rPr>
        <w:t>costo de adquisición</w:t>
      </w:r>
      <w:r w:rsidRPr="0087080A">
        <w:rPr>
          <w:rFonts w:ascii="Arial" w:hAnsi="Arial" w:cs="Arial"/>
          <w:sz w:val="20"/>
          <w:szCs w:val="20"/>
        </w:rPr>
        <w:t xml:space="preserve"> o </w:t>
      </w:r>
      <w:r w:rsidRPr="0087080A">
        <w:rPr>
          <w:rFonts w:ascii="Arial" w:hAnsi="Arial" w:cs="Arial"/>
          <w:b/>
          <w:bCs/>
          <w:sz w:val="20"/>
          <w:szCs w:val="20"/>
        </w:rPr>
        <w:t>costo de producción</w:t>
      </w:r>
      <w:r w:rsidRPr="0087080A">
        <w:rPr>
          <w:rFonts w:ascii="Arial" w:hAnsi="Arial" w:cs="Arial"/>
          <w:sz w:val="20"/>
          <w:szCs w:val="20"/>
        </w:rPr>
        <w:t xml:space="preserve">, según corresponda, en la medida en que estimar el </w:t>
      </w:r>
      <w:r w:rsidRPr="0087080A">
        <w:rPr>
          <w:rFonts w:ascii="Arial" w:hAnsi="Arial" w:cs="Arial"/>
          <w:b/>
          <w:bCs/>
          <w:sz w:val="20"/>
          <w:szCs w:val="20"/>
        </w:rPr>
        <w:t>valor razonable</w:t>
      </w:r>
      <w:r w:rsidR="00E22993" w:rsidRPr="0087080A">
        <w:rPr>
          <w:rFonts w:ascii="Arial" w:hAnsi="Arial" w:cs="Arial"/>
          <w:sz w:val="20"/>
          <w:szCs w:val="20"/>
        </w:rPr>
        <w:t>,</w:t>
      </w:r>
      <w:r w:rsidRPr="0087080A">
        <w:rPr>
          <w:rFonts w:ascii="Arial" w:hAnsi="Arial" w:cs="Arial"/>
          <w:sz w:val="20"/>
          <w:szCs w:val="20"/>
        </w:rPr>
        <w:t xml:space="preserve"> menos los gastos estimados en el punto de venta</w:t>
      </w:r>
      <w:r w:rsidR="00E22993" w:rsidRPr="0087080A">
        <w:rPr>
          <w:rFonts w:ascii="Arial" w:hAnsi="Arial" w:cs="Arial"/>
          <w:sz w:val="20"/>
          <w:szCs w:val="20"/>
        </w:rPr>
        <w:t>,</w:t>
      </w:r>
      <w:r w:rsidRPr="0087080A">
        <w:rPr>
          <w:rFonts w:ascii="Arial" w:hAnsi="Arial" w:cs="Arial"/>
          <w:sz w:val="20"/>
          <w:szCs w:val="20"/>
        </w:rPr>
        <w:t xml:space="preserve"> implique un costo o esfuerzo desproporcionado, según la evaluación establecida en el párrafo </w:t>
      </w:r>
      <w:fldSimple w:instr=" REF _Ref136445073 \r \h  \* MERGEFORMAT ">
        <w:r w:rsidR="00D33A5D" w:rsidRPr="00D33A5D">
          <w:rPr>
            <w:rFonts w:ascii="Arial" w:hAnsi="Arial" w:cs="Arial"/>
            <w:sz w:val="20"/>
            <w:szCs w:val="20"/>
          </w:rPr>
          <w:t>83</w:t>
        </w:r>
      </w:fldSimple>
      <w:r w:rsidRPr="0087080A">
        <w:rPr>
          <w:rFonts w:ascii="Arial" w:hAnsi="Arial" w:cs="Arial"/>
          <w:sz w:val="20"/>
          <w:szCs w:val="20"/>
        </w:rPr>
        <w:t xml:space="preserve">. </w:t>
      </w:r>
    </w:p>
    <w:p w:rsidR="00421257" w:rsidRPr="0087080A" w:rsidRDefault="00421257" w:rsidP="00C01B25">
      <w:pPr>
        <w:numPr>
          <w:ilvl w:val="2"/>
          <w:numId w:val="719"/>
        </w:numPr>
        <w:spacing w:line="264" w:lineRule="auto"/>
        <w:ind w:hanging="515"/>
        <w:jc w:val="both"/>
        <w:rPr>
          <w:rFonts w:ascii="Arial" w:hAnsi="Arial" w:cs="Arial"/>
          <w:sz w:val="20"/>
          <w:szCs w:val="20"/>
        </w:rPr>
      </w:pPr>
      <w:r w:rsidRPr="0087080A">
        <w:rPr>
          <w:rFonts w:ascii="Arial" w:hAnsi="Arial" w:cs="Arial"/>
          <w:sz w:val="20"/>
          <w:szCs w:val="20"/>
        </w:rPr>
        <w:t xml:space="preserve">En los demás casos, a su </w:t>
      </w:r>
      <w:r w:rsidRPr="0087080A">
        <w:rPr>
          <w:rFonts w:ascii="Arial" w:hAnsi="Arial" w:cs="Arial"/>
          <w:b/>
          <w:bCs/>
          <w:sz w:val="20"/>
          <w:szCs w:val="20"/>
        </w:rPr>
        <w:t>valor razonable</w:t>
      </w:r>
      <w:r w:rsidRPr="0087080A">
        <w:rPr>
          <w:rFonts w:ascii="Arial" w:hAnsi="Arial" w:cs="Arial"/>
          <w:sz w:val="20"/>
          <w:szCs w:val="20"/>
        </w:rPr>
        <w:t xml:space="preserve"> menos los gastos estimados en el punto de venta. </w:t>
      </w:r>
    </w:p>
    <w:p w:rsidR="00D40585" w:rsidRPr="0087080A" w:rsidRDefault="00D40585" w:rsidP="00A318EA">
      <w:pPr>
        <w:spacing w:line="264" w:lineRule="auto"/>
        <w:ind w:left="2044"/>
        <w:jc w:val="both"/>
        <w:rPr>
          <w:rFonts w:ascii="Arial" w:hAnsi="Arial" w:cs="Arial"/>
          <w:sz w:val="20"/>
          <w:szCs w:val="20"/>
        </w:rPr>
      </w:pPr>
    </w:p>
    <w:p w:rsidR="00D72ED5" w:rsidRPr="0087080A" w:rsidRDefault="00D72ED5" w:rsidP="00A318EA">
      <w:pPr>
        <w:pStyle w:val="Ttulo5"/>
        <w:ind w:left="993"/>
        <w:rPr>
          <w:rFonts w:ascii="Arial" w:hAnsi="Arial" w:cs="Arial"/>
          <w:b/>
          <w:bCs/>
          <w:sz w:val="20"/>
          <w:szCs w:val="20"/>
        </w:rPr>
      </w:pPr>
      <w:r w:rsidRPr="0087080A">
        <w:rPr>
          <w:rFonts w:ascii="Arial" w:hAnsi="Arial" w:cs="Arial"/>
          <w:b/>
          <w:bCs/>
          <w:sz w:val="20"/>
          <w:szCs w:val="20"/>
        </w:rPr>
        <w:t>Comparación de los activos biológicos con su valor recuperable</w:t>
      </w:r>
    </w:p>
    <w:p w:rsidR="00D72ED5" w:rsidRPr="0087080A" w:rsidRDefault="00DF37FD" w:rsidP="00C01B25">
      <w:pPr>
        <w:numPr>
          <w:ilvl w:val="0"/>
          <w:numId w:val="719"/>
        </w:numPr>
        <w:spacing w:after="147" w:line="264" w:lineRule="auto"/>
        <w:ind w:left="937" w:hanging="536"/>
        <w:jc w:val="both"/>
        <w:rPr>
          <w:rFonts w:ascii="Arial" w:hAnsi="Arial" w:cs="Arial"/>
          <w:sz w:val="20"/>
          <w:szCs w:val="20"/>
        </w:rPr>
      </w:pPr>
      <w:r w:rsidRPr="0087080A">
        <w:rPr>
          <w:rFonts w:ascii="Arial" w:hAnsi="Arial" w:cs="Arial"/>
          <w:sz w:val="20"/>
          <w:szCs w:val="20"/>
        </w:rPr>
        <w:t>U</w:t>
      </w:r>
      <w:r w:rsidR="00D72ED5" w:rsidRPr="0087080A">
        <w:rPr>
          <w:rFonts w:ascii="Arial" w:hAnsi="Arial" w:cs="Arial"/>
          <w:sz w:val="20"/>
          <w:szCs w:val="20"/>
        </w:rPr>
        <w:t>na entidad aplicará lo establecido en el apartado “</w:t>
      </w:r>
      <w:r w:rsidR="00D72ED5" w:rsidRPr="0087080A">
        <w:rPr>
          <w:rFonts w:ascii="Arial" w:hAnsi="Arial" w:cs="Arial"/>
          <w:sz w:val="20"/>
          <w:szCs w:val="20"/>
          <w:u w:val="single"/>
        </w:rPr>
        <w:t>Comparación con el valor recuperable</w:t>
      </w:r>
      <w:r w:rsidR="00D72ED5" w:rsidRPr="0087080A">
        <w:rPr>
          <w:rFonts w:ascii="Arial" w:hAnsi="Arial" w:cs="Arial"/>
          <w:sz w:val="20"/>
          <w:szCs w:val="20"/>
        </w:rPr>
        <w:t xml:space="preserve">” [ver los párrafos </w:t>
      </w:r>
      <w:fldSimple w:instr=" REF _Ref134185539 \r \h  \* MERGEFORMAT ">
        <w:r w:rsidR="00D33A5D" w:rsidRPr="00D33A5D">
          <w:rPr>
            <w:rFonts w:ascii="Arial" w:hAnsi="Arial" w:cs="Arial"/>
            <w:sz w:val="20"/>
            <w:szCs w:val="20"/>
          </w:rPr>
          <w:t>296</w:t>
        </w:r>
      </w:fldSimple>
      <w:r w:rsidR="00D72ED5" w:rsidRPr="0087080A">
        <w:rPr>
          <w:rFonts w:ascii="Arial" w:hAnsi="Arial" w:cs="Arial"/>
          <w:sz w:val="20"/>
          <w:szCs w:val="20"/>
        </w:rPr>
        <w:t xml:space="preserve"> a </w:t>
      </w:r>
      <w:fldSimple w:instr=" REF _Ref102161197 \r \h  \* MERGEFORMAT ">
        <w:r w:rsidR="00D33A5D" w:rsidRPr="00D33A5D">
          <w:rPr>
            <w:rFonts w:ascii="Arial" w:hAnsi="Arial" w:cs="Arial"/>
            <w:sz w:val="20"/>
            <w:szCs w:val="20"/>
          </w:rPr>
          <w:t>300</w:t>
        </w:r>
      </w:fldSimple>
      <w:r w:rsidR="00D72ED5" w:rsidRPr="0087080A">
        <w:rPr>
          <w:rFonts w:ascii="Arial" w:hAnsi="Arial" w:cs="Arial"/>
          <w:sz w:val="20"/>
          <w:szCs w:val="20"/>
        </w:rPr>
        <w:t xml:space="preserve">] a los </w:t>
      </w:r>
      <w:r w:rsidR="00D72ED5" w:rsidRPr="0087080A">
        <w:rPr>
          <w:rFonts w:ascii="Arial" w:hAnsi="Arial" w:cs="Arial"/>
          <w:b/>
          <w:bCs/>
          <w:sz w:val="20"/>
          <w:szCs w:val="20"/>
        </w:rPr>
        <w:t>activos biológicos</w:t>
      </w:r>
      <w:r w:rsidR="00D72ED5" w:rsidRPr="0087080A">
        <w:rPr>
          <w:rFonts w:ascii="Arial" w:hAnsi="Arial" w:cs="Arial"/>
          <w:sz w:val="20"/>
          <w:szCs w:val="20"/>
        </w:rPr>
        <w:t xml:space="preserve"> </w:t>
      </w:r>
      <w:r w:rsidR="00D72ED5" w:rsidRPr="0087080A">
        <w:rPr>
          <w:rFonts w:ascii="Arial" w:hAnsi="Arial" w:cs="Arial"/>
          <w:b/>
          <w:bCs/>
          <w:sz w:val="20"/>
          <w:szCs w:val="20"/>
        </w:rPr>
        <w:t>destinados a la venta en el curso normal de las operaciones</w:t>
      </w:r>
      <w:r w:rsidR="00D40585" w:rsidRPr="0087080A">
        <w:rPr>
          <w:rFonts w:ascii="Arial" w:hAnsi="Arial" w:cs="Arial"/>
          <w:sz w:val="20"/>
          <w:szCs w:val="20"/>
        </w:rPr>
        <w:t xml:space="preserve">, cuando no los mida </w:t>
      </w:r>
      <w:r w:rsidR="00174676" w:rsidRPr="0087080A">
        <w:rPr>
          <w:rFonts w:ascii="Arial" w:hAnsi="Arial" w:cs="Arial"/>
          <w:sz w:val="20"/>
          <w:szCs w:val="20"/>
        </w:rPr>
        <w:t>al</w:t>
      </w:r>
      <w:r w:rsidR="00D40585" w:rsidRPr="0087080A">
        <w:rPr>
          <w:rFonts w:ascii="Arial" w:hAnsi="Arial" w:cs="Arial"/>
          <w:sz w:val="20"/>
          <w:szCs w:val="20"/>
        </w:rPr>
        <w:t xml:space="preserve"> </w:t>
      </w:r>
      <w:r w:rsidR="00D40585" w:rsidRPr="0087080A">
        <w:rPr>
          <w:rFonts w:ascii="Arial" w:hAnsi="Arial" w:cs="Arial"/>
          <w:b/>
          <w:bCs/>
          <w:sz w:val="20"/>
          <w:szCs w:val="20"/>
        </w:rPr>
        <w:t>valor razonable</w:t>
      </w:r>
      <w:r w:rsidR="00D40585" w:rsidRPr="0087080A">
        <w:rPr>
          <w:rFonts w:ascii="Arial" w:hAnsi="Arial" w:cs="Arial"/>
          <w:sz w:val="20"/>
          <w:szCs w:val="20"/>
        </w:rPr>
        <w:t xml:space="preserve"> menos </w:t>
      </w:r>
      <w:r w:rsidR="00E01344" w:rsidRPr="0087080A">
        <w:rPr>
          <w:rFonts w:ascii="Arial" w:hAnsi="Arial" w:cs="Arial"/>
          <w:sz w:val="20"/>
          <w:szCs w:val="20"/>
        </w:rPr>
        <w:t>los gastos estimados en el punto de venta</w:t>
      </w:r>
      <w:r w:rsidR="00D72ED5" w:rsidRPr="0087080A">
        <w:rPr>
          <w:rFonts w:ascii="Arial" w:hAnsi="Arial" w:cs="Arial"/>
          <w:sz w:val="20"/>
          <w:szCs w:val="20"/>
        </w:rPr>
        <w:t xml:space="preserve">. </w:t>
      </w:r>
    </w:p>
    <w:p w:rsidR="00421257" w:rsidRPr="00AC4AEA" w:rsidRDefault="00421257" w:rsidP="00A318EA">
      <w:pPr>
        <w:spacing w:after="150" w:line="256" w:lineRule="auto"/>
        <w:ind w:left="1867"/>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4"/>
      </w:pPr>
      <w:r w:rsidRPr="00AC4AEA">
        <w:t xml:space="preserve">Activos biológicos utilizados como factor de la producción en el curso normal de </w:t>
      </w:r>
      <w:r w:rsidR="00F72A1C" w:rsidRPr="00AC4AEA">
        <w:t>las operaciones</w:t>
      </w:r>
      <w:r w:rsidR="006F2C57">
        <w:t xml:space="preserve"> </w:t>
      </w:r>
    </w:p>
    <w:p w:rsidR="00421257" w:rsidRPr="00AC4AEA" w:rsidRDefault="00421257" w:rsidP="00C01B25">
      <w:pPr>
        <w:numPr>
          <w:ilvl w:val="0"/>
          <w:numId w:val="719"/>
        </w:numPr>
        <w:spacing w:after="168" w:line="264" w:lineRule="auto"/>
        <w:ind w:left="937" w:hanging="536"/>
        <w:jc w:val="both"/>
        <w:rPr>
          <w:rFonts w:ascii="Arial" w:hAnsi="Arial" w:cs="Arial"/>
          <w:sz w:val="20"/>
          <w:szCs w:val="20"/>
        </w:rPr>
      </w:pPr>
      <w:bookmarkStart w:id="1272" w:name="_Ref134179167"/>
      <w:r w:rsidRPr="00AC4AEA">
        <w:rPr>
          <w:rFonts w:ascii="Arial" w:hAnsi="Arial" w:cs="Arial"/>
          <w:sz w:val="20"/>
          <w:szCs w:val="20"/>
        </w:rPr>
        <w:t xml:space="preserve">En la </w:t>
      </w:r>
      <w:r w:rsidRPr="00AC4AEA">
        <w:rPr>
          <w:rFonts w:ascii="Arial" w:hAnsi="Arial" w:cs="Arial"/>
          <w:b/>
          <w:bCs/>
          <w:sz w:val="20"/>
          <w:szCs w:val="20"/>
        </w:rPr>
        <w:t>fecha de los estados contables</w:t>
      </w:r>
      <w:r w:rsidRPr="00AC4AEA">
        <w:rPr>
          <w:rFonts w:ascii="Arial" w:hAnsi="Arial" w:cs="Arial"/>
          <w:sz w:val="20"/>
          <w:szCs w:val="20"/>
        </w:rPr>
        <w:t xml:space="preserve">, una entidad medirá los </w:t>
      </w:r>
      <w:r w:rsidRPr="00AC4AEA">
        <w:rPr>
          <w:rFonts w:ascii="Arial" w:hAnsi="Arial" w:cs="Arial"/>
          <w:b/>
          <w:bCs/>
          <w:sz w:val="20"/>
          <w:szCs w:val="20"/>
        </w:rPr>
        <w:t xml:space="preserve">activos biológicos </w:t>
      </w:r>
      <w:r w:rsidR="00F72A1C" w:rsidRPr="00AC4AEA">
        <w:rPr>
          <w:rFonts w:ascii="Arial" w:hAnsi="Arial" w:cs="Arial"/>
          <w:b/>
          <w:bCs/>
          <w:sz w:val="20"/>
          <w:szCs w:val="20"/>
        </w:rPr>
        <w:t>utilizados</w:t>
      </w:r>
      <w:r w:rsidRPr="00AC4AEA">
        <w:rPr>
          <w:rFonts w:ascii="Arial" w:hAnsi="Arial" w:cs="Arial"/>
          <w:b/>
          <w:bCs/>
          <w:sz w:val="20"/>
          <w:szCs w:val="20"/>
        </w:rPr>
        <w:t xml:space="preserve"> como factor de producción en el curso normal </w:t>
      </w:r>
      <w:r w:rsidR="00F72A1C" w:rsidRPr="00AC4AEA">
        <w:rPr>
          <w:rFonts w:ascii="Arial" w:hAnsi="Arial" w:cs="Arial"/>
          <w:b/>
          <w:bCs/>
          <w:sz w:val="20"/>
          <w:szCs w:val="20"/>
        </w:rPr>
        <w:t>de las operaciones</w:t>
      </w:r>
      <w:r w:rsidRPr="00AC4AEA">
        <w:rPr>
          <w:rFonts w:ascii="Arial" w:hAnsi="Arial" w:cs="Arial"/>
          <w:sz w:val="20"/>
          <w:szCs w:val="20"/>
        </w:rPr>
        <w:t xml:space="preserve"> según lo establecido en la sección “</w:t>
      </w:r>
      <w:r w:rsidRPr="00AC4AEA">
        <w:rPr>
          <w:rFonts w:ascii="Arial" w:hAnsi="Arial" w:cs="Arial"/>
          <w:sz w:val="20"/>
          <w:szCs w:val="20"/>
          <w:u w:val="single" w:color="000000"/>
        </w:rPr>
        <w:t>Bienes de uso y depreciaciones</w:t>
      </w:r>
      <w:r w:rsidRPr="00AC4AEA">
        <w:rPr>
          <w:rFonts w:ascii="Arial" w:hAnsi="Arial" w:cs="Arial"/>
          <w:sz w:val="20"/>
          <w:szCs w:val="20"/>
        </w:rPr>
        <w:t xml:space="preserve">” [ver los párrafos </w:t>
      </w:r>
      <w:fldSimple w:instr=" REF _Ref74757440 \r \h  \* MERGEFORMAT ">
        <w:r w:rsidR="00D33A5D" w:rsidRPr="00D33A5D">
          <w:rPr>
            <w:rFonts w:ascii="Arial" w:hAnsi="Arial" w:cs="Arial"/>
            <w:sz w:val="20"/>
            <w:szCs w:val="20"/>
          </w:rPr>
          <w:t>313</w:t>
        </w:r>
      </w:fldSimple>
      <w:r w:rsidR="00C0435B" w:rsidRPr="00AC4AEA">
        <w:rPr>
          <w:rFonts w:ascii="Arial" w:hAnsi="Arial" w:cs="Arial"/>
          <w:sz w:val="20"/>
          <w:szCs w:val="20"/>
        </w:rPr>
        <w:t xml:space="preserve"> a </w:t>
      </w:r>
      <w:fldSimple w:instr=" REF _Ref99481656 \r \h  \* MERGEFORMAT ">
        <w:r w:rsidR="00D33A5D" w:rsidRPr="00D33A5D">
          <w:rPr>
            <w:rFonts w:ascii="Arial" w:hAnsi="Arial" w:cs="Arial"/>
            <w:sz w:val="20"/>
            <w:szCs w:val="20"/>
          </w:rPr>
          <w:t>358</w:t>
        </w:r>
      </w:fldSimple>
      <w:r w:rsidRPr="00AC4AEA">
        <w:rPr>
          <w:rFonts w:ascii="Arial" w:hAnsi="Arial" w:cs="Arial"/>
          <w:sz w:val="20"/>
          <w:szCs w:val="20"/>
        </w:rPr>
        <w:t>].</w:t>
      </w:r>
      <w:bookmarkEnd w:id="1272"/>
      <w:r w:rsidRPr="00AC4AEA">
        <w:rPr>
          <w:rFonts w:ascii="Arial" w:hAnsi="Arial" w:cs="Arial"/>
          <w:sz w:val="20"/>
          <w:szCs w:val="20"/>
        </w:rPr>
        <w:t xml:space="preserve"> </w:t>
      </w:r>
    </w:p>
    <w:p w:rsidR="00421257" w:rsidRPr="00AC4AEA" w:rsidRDefault="006F2C57" w:rsidP="00A318EA">
      <w:pPr>
        <w:spacing w:after="132" w:line="256" w:lineRule="auto"/>
        <w:rPr>
          <w:rFonts w:ascii="Arial" w:hAnsi="Arial" w:cs="Arial"/>
          <w:sz w:val="20"/>
          <w:szCs w:val="20"/>
        </w:rPr>
      </w:pPr>
      <w:r>
        <w:rPr>
          <w:rFonts w:ascii="Arial" w:hAnsi="Arial" w:cs="Arial"/>
          <w:sz w:val="20"/>
          <w:szCs w:val="20"/>
        </w:rPr>
        <w:t xml:space="preserve"> </w:t>
      </w:r>
    </w:p>
    <w:p w:rsidR="00BD534A" w:rsidRPr="00AC4AEA" w:rsidRDefault="006F049C" w:rsidP="00A318EA">
      <w:pPr>
        <w:pStyle w:val="Ttulo2"/>
        <w:rPr>
          <w:rFonts w:cs="Arial"/>
        </w:rPr>
      </w:pPr>
      <w:bookmarkStart w:id="1273" w:name="_Toc139357081"/>
      <w:r w:rsidRPr="00AC4AEA">
        <w:rPr>
          <w:rFonts w:cs="Arial"/>
        </w:rPr>
        <w:t>P</w:t>
      </w:r>
      <w:r w:rsidR="00421257" w:rsidRPr="00AC4AEA">
        <w:rPr>
          <w:rFonts w:cs="Arial"/>
        </w:rPr>
        <w:t>roductos agropecuarios</w:t>
      </w:r>
      <w:bookmarkEnd w:id="1273"/>
      <w:r w:rsidR="005E3D6A" w:rsidRPr="00AC4AEA">
        <w:rPr>
          <w:rFonts w:cs="Arial"/>
        </w:rPr>
        <w:t xml:space="preserve"> </w:t>
      </w:r>
    </w:p>
    <w:p w:rsidR="00421257" w:rsidRPr="00AC4AEA" w:rsidRDefault="00BD534A" w:rsidP="00A318EA">
      <w:pPr>
        <w:pStyle w:val="Ttulo3"/>
      </w:pPr>
      <w:bookmarkStart w:id="1274" w:name="_Toc139357082"/>
      <w:r w:rsidRPr="00AC4AEA">
        <w:t xml:space="preserve">Medición </w:t>
      </w:r>
      <w:r w:rsidR="005E3D6A" w:rsidRPr="00AC4AEA">
        <w:t>en el momento de la cosecha, recolección, obtención o faena</w:t>
      </w:r>
      <w:bookmarkEnd w:id="1274"/>
      <w:r w:rsidR="00421257" w:rsidRPr="00AC4AEA">
        <w:t xml:space="preserve"> </w:t>
      </w:r>
    </w:p>
    <w:p w:rsidR="00421257" w:rsidRPr="0087080A" w:rsidRDefault="00421257" w:rsidP="00C01B25">
      <w:pPr>
        <w:numPr>
          <w:ilvl w:val="0"/>
          <w:numId w:val="719"/>
        </w:numPr>
        <w:spacing w:after="148" w:line="256" w:lineRule="auto"/>
        <w:ind w:left="937" w:hanging="536"/>
        <w:jc w:val="both"/>
        <w:rPr>
          <w:rFonts w:ascii="Arial" w:hAnsi="Arial" w:cs="Arial"/>
          <w:sz w:val="20"/>
          <w:szCs w:val="20"/>
        </w:rPr>
      </w:pPr>
      <w:bookmarkStart w:id="1275" w:name="_Ref133349299"/>
      <w:r w:rsidRPr="00AC4AEA">
        <w:rPr>
          <w:rFonts w:ascii="Arial" w:hAnsi="Arial" w:cs="Arial"/>
          <w:sz w:val="20"/>
          <w:szCs w:val="20"/>
        </w:rPr>
        <w:t xml:space="preserve">Una entidad medirá sus </w:t>
      </w:r>
      <w:r w:rsidRPr="00AD600B">
        <w:rPr>
          <w:rFonts w:ascii="Arial" w:hAnsi="Arial" w:cs="Arial"/>
          <w:b/>
          <w:bCs/>
          <w:sz w:val="20"/>
          <w:szCs w:val="20"/>
        </w:rPr>
        <w:t>productos agropecuarios</w:t>
      </w:r>
      <w:r w:rsidRPr="00AC4AEA">
        <w:rPr>
          <w:rFonts w:ascii="Arial" w:hAnsi="Arial" w:cs="Arial"/>
          <w:sz w:val="20"/>
          <w:szCs w:val="20"/>
        </w:rPr>
        <w:t xml:space="preserve"> en </w:t>
      </w:r>
      <w:r w:rsidRPr="0087080A">
        <w:rPr>
          <w:rFonts w:ascii="Arial" w:hAnsi="Arial" w:cs="Arial"/>
          <w:sz w:val="20"/>
          <w:szCs w:val="20"/>
        </w:rPr>
        <w:t xml:space="preserve">el momento de </w:t>
      </w:r>
      <w:r w:rsidR="00174676" w:rsidRPr="0087080A">
        <w:rPr>
          <w:rFonts w:ascii="Arial" w:hAnsi="Arial" w:cs="Arial"/>
          <w:sz w:val="20"/>
          <w:szCs w:val="20"/>
        </w:rPr>
        <w:t>la</w:t>
      </w:r>
      <w:r w:rsidRPr="0087080A">
        <w:rPr>
          <w:rFonts w:ascii="Arial" w:hAnsi="Arial" w:cs="Arial"/>
          <w:sz w:val="20"/>
          <w:szCs w:val="20"/>
        </w:rPr>
        <w:t xml:space="preserve"> cosecha</w:t>
      </w:r>
      <w:r w:rsidR="004731A1" w:rsidRPr="0087080A">
        <w:rPr>
          <w:rFonts w:ascii="Arial" w:hAnsi="Arial" w:cs="Arial"/>
          <w:sz w:val="20"/>
          <w:szCs w:val="20"/>
        </w:rPr>
        <w:t>,</w:t>
      </w:r>
      <w:r w:rsidRPr="0087080A">
        <w:rPr>
          <w:rFonts w:ascii="Arial" w:hAnsi="Arial" w:cs="Arial"/>
          <w:sz w:val="20"/>
          <w:szCs w:val="20"/>
        </w:rPr>
        <w:t xml:space="preserve"> recolección</w:t>
      </w:r>
      <w:r w:rsidR="004731A1" w:rsidRPr="0087080A">
        <w:rPr>
          <w:rFonts w:ascii="Arial" w:hAnsi="Arial" w:cs="Arial"/>
          <w:sz w:val="20"/>
          <w:szCs w:val="20"/>
        </w:rPr>
        <w:t>, obtención o faena</w:t>
      </w:r>
      <w:r w:rsidRPr="0087080A">
        <w:rPr>
          <w:rFonts w:ascii="Arial" w:hAnsi="Arial" w:cs="Arial"/>
          <w:sz w:val="20"/>
          <w:szCs w:val="20"/>
        </w:rPr>
        <w:t xml:space="preserve"> a su </w:t>
      </w:r>
      <w:r w:rsidRPr="0087080A">
        <w:rPr>
          <w:rFonts w:ascii="Arial" w:hAnsi="Arial" w:cs="Arial"/>
          <w:b/>
          <w:bCs/>
          <w:sz w:val="20"/>
          <w:szCs w:val="20"/>
        </w:rPr>
        <w:t>valor razonable</w:t>
      </w:r>
      <w:r w:rsidRPr="0087080A">
        <w:rPr>
          <w:rFonts w:ascii="Arial" w:hAnsi="Arial" w:cs="Arial"/>
          <w:sz w:val="20"/>
          <w:szCs w:val="20"/>
        </w:rPr>
        <w:t xml:space="preserve"> menos los gastos estimados en el punto de venta.</w:t>
      </w:r>
      <w:bookmarkEnd w:id="1275"/>
      <w:r w:rsidR="006F2C57">
        <w:rPr>
          <w:rFonts w:ascii="Arial" w:hAnsi="Arial" w:cs="Arial"/>
          <w:sz w:val="20"/>
          <w:szCs w:val="20"/>
        </w:rPr>
        <w:t xml:space="preserve"> </w:t>
      </w:r>
    </w:p>
    <w:p w:rsidR="00AC177E" w:rsidRPr="0087080A" w:rsidRDefault="00AC177E" w:rsidP="00A318EA">
      <w:pPr>
        <w:pStyle w:val="Ttulo3"/>
      </w:pPr>
      <w:bookmarkStart w:id="1276" w:name="_Toc139357083"/>
      <w:r w:rsidRPr="0087080A">
        <w:t xml:space="preserve">Medición </w:t>
      </w:r>
      <w:r w:rsidR="00161ADD" w:rsidRPr="0087080A">
        <w:t>después de concluida la cosecha, recolección, obtención o faena</w:t>
      </w:r>
      <w:bookmarkEnd w:id="1276"/>
    </w:p>
    <w:p w:rsidR="00CF1AF8" w:rsidRPr="0087080A" w:rsidRDefault="005307E3" w:rsidP="00C01B25">
      <w:pPr>
        <w:numPr>
          <w:ilvl w:val="0"/>
          <w:numId w:val="719"/>
        </w:numPr>
        <w:spacing w:after="147" w:line="264" w:lineRule="auto"/>
        <w:ind w:left="937" w:hanging="536"/>
        <w:jc w:val="both"/>
        <w:rPr>
          <w:rFonts w:ascii="Arial" w:hAnsi="Arial" w:cs="Arial"/>
          <w:sz w:val="20"/>
          <w:szCs w:val="20"/>
        </w:rPr>
      </w:pPr>
      <w:r w:rsidRPr="0087080A">
        <w:rPr>
          <w:rFonts w:ascii="Arial" w:hAnsi="Arial" w:cs="Arial"/>
          <w:sz w:val="20"/>
          <w:szCs w:val="20"/>
        </w:rPr>
        <w:t>Después del momento de la cosecha, recolección, obtención o faena, u</w:t>
      </w:r>
      <w:r w:rsidR="00421257" w:rsidRPr="0087080A">
        <w:rPr>
          <w:rFonts w:ascii="Arial" w:hAnsi="Arial" w:cs="Arial"/>
          <w:sz w:val="20"/>
          <w:szCs w:val="20"/>
        </w:rPr>
        <w:t>na entidad</w:t>
      </w:r>
      <w:r w:rsidRPr="0087080A">
        <w:rPr>
          <w:rFonts w:ascii="Arial" w:hAnsi="Arial" w:cs="Arial"/>
          <w:sz w:val="20"/>
          <w:szCs w:val="20"/>
        </w:rPr>
        <w:t xml:space="preserve"> </w:t>
      </w:r>
      <w:r w:rsidR="00174676" w:rsidRPr="0087080A">
        <w:rPr>
          <w:rFonts w:ascii="Arial" w:hAnsi="Arial" w:cs="Arial"/>
          <w:sz w:val="20"/>
          <w:szCs w:val="20"/>
        </w:rPr>
        <w:t>medirá</w:t>
      </w:r>
      <w:r w:rsidR="00421257" w:rsidRPr="0087080A">
        <w:rPr>
          <w:rFonts w:ascii="Arial" w:hAnsi="Arial" w:cs="Arial"/>
          <w:sz w:val="20"/>
          <w:szCs w:val="20"/>
        </w:rPr>
        <w:t xml:space="preserve"> </w:t>
      </w:r>
      <w:r w:rsidR="00BB5C9C" w:rsidRPr="0087080A">
        <w:rPr>
          <w:rFonts w:ascii="Arial" w:hAnsi="Arial" w:cs="Arial"/>
          <w:sz w:val="20"/>
          <w:szCs w:val="20"/>
        </w:rPr>
        <w:t>los</w:t>
      </w:r>
      <w:r w:rsidR="00421257" w:rsidRPr="0087080A">
        <w:rPr>
          <w:rFonts w:ascii="Arial" w:hAnsi="Arial" w:cs="Arial"/>
          <w:sz w:val="20"/>
          <w:szCs w:val="20"/>
        </w:rPr>
        <w:t xml:space="preserve"> productos </w:t>
      </w:r>
      <w:r w:rsidR="00BB5C9C" w:rsidRPr="0087080A">
        <w:rPr>
          <w:rFonts w:ascii="Arial" w:hAnsi="Arial" w:cs="Arial"/>
          <w:sz w:val="20"/>
          <w:szCs w:val="20"/>
        </w:rPr>
        <w:t>obtenidos</w:t>
      </w:r>
      <w:r w:rsidR="0096365E" w:rsidRPr="0087080A">
        <w:rPr>
          <w:rFonts w:ascii="Arial" w:hAnsi="Arial" w:cs="Arial"/>
          <w:sz w:val="20"/>
          <w:szCs w:val="20"/>
        </w:rPr>
        <w:t xml:space="preserve"> </w:t>
      </w:r>
      <w:r w:rsidR="00174676" w:rsidRPr="0087080A">
        <w:rPr>
          <w:rFonts w:ascii="Arial" w:hAnsi="Arial" w:cs="Arial"/>
          <w:sz w:val="20"/>
          <w:szCs w:val="20"/>
        </w:rPr>
        <w:t>según</w:t>
      </w:r>
      <w:r w:rsidR="00C762CC" w:rsidRPr="0087080A">
        <w:rPr>
          <w:rFonts w:ascii="Arial" w:hAnsi="Arial" w:cs="Arial"/>
          <w:sz w:val="20"/>
          <w:szCs w:val="20"/>
        </w:rPr>
        <w:t xml:space="preserve"> lo establecido en </w:t>
      </w:r>
      <w:r w:rsidR="0096365E" w:rsidRPr="0087080A">
        <w:rPr>
          <w:rFonts w:ascii="Arial" w:hAnsi="Arial" w:cs="Arial"/>
          <w:sz w:val="20"/>
          <w:szCs w:val="20"/>
        </w:rPr>
        <w:t>la sección “</w:t>
      </w:r>
      <w:r w:rsidR="0096365E" w:rsidRPr="0087080A">
        <w:rPr>
          <w:rFonts w:ascii="Arial" w:hAnsi="Arial" w:cs="Arial"/>
          <w:sz w:val="20"/>
          <w:szCs w:val="20"/>
          <w:u w:val="single" w:color="000000"/>
        </w:rPr>
        <w:t>Bienes de cambio y costo de los</w:t>
      </w:r>
      <w:r w:rsidR="0096365E" w:rsidRPr="0087080A">
        <w:rPr>
          <w:rFonts w:ascii="Arial" w:hAnsi="Arial" w:cs="Arial"/>
          <w:sz w:val="20"/>
          <w:szCs w:val="20"/>
        </w:rPr>
        <w:t xml:space="preserve"> </w:t>
      </w:r>
      <w:r w:rsidR="0096365E" w:rsidRPr="0087080A">
        <w:rPr>
          <w:rFonts w:ascii="Arial" w:hAnsi="Arial" w:cs="Arial"/>
          <w:sz w:val="20"/>
          <w:szCs w:val="20"/>
          <w:u w:val="single" w:color="000000"/>
        </w:rPr>
        <w:t>bienes vendidos (o de los servicios prestados)</w:t>
      </w:r>
      <w:r w:rsidR="0096365E" w:rsidRPr="0087080A">
        <w:rPr>
          <w:rFonts w:ascii="Arial" w:hAnsi="Arial" w:cs="Arial"/>
          <w:sz w:val="20"/>
          <w:szCs w:val="20"/>
        </w:rPr>
        <w:t xml:space="preserve">” [ver los párrafos </w:t>
      </w:r>
      <w:fldSimple w:instr=" REF _Ref74757260 \r \h  \* MERGEFORMAT ">
        <w:r w:rsidR="00D33A5D" w:rsidRPr="00D33A5D">
          <w:rPr>
            <w:rFonts w:ascii="Arial" w:hAnsi="Arial" w:cs="Arial"/>
            <w:sz w:val="20"/>
            <w:szCs w:val="20"/>
          </w:rPr>
          <w:t>287</w:t>
        </w:r>
      </w:fldSimple>
      <w:r w:rsidR="00E75EC0" w:rsidRPr="0087080A">
        <w:rPr>
          <w:rFonts w:ascii="Arial" w:hAnsi="Arial" w:cs="Arial"/>
          <w:sz w:val="20"/>
          <w:szCs w:val="20"/>
        </w:rPr>
        <w:t xml:space="preserve"> a </w:t>
      </w:r>
      <w:fldSimple w:instr=" REF _Ref135770785 \r \h  \* MERGEFORMAT ">
        <w:r w:rsidR="00D33A5D" w:rsidRPr="00D33A5D">
          <w:rPr>
            <w:rFonts w:ascii="Arial" w:hAnsi="Arial" w:cs="Arial"/>
            <w:sz w:val="20"/>
            <w:szCs w:val="20"/>
          </w:rPr>
          <w:t>312</w:t>
        </w:r>
      </w:fldSimple>
      <w:r w:rsidR="0096365E" w:rsidRPr="0087080A">
        <w:rPr>
          <w:rFonts w:ascii="Arial" w:hAnsi="Arial" w:cs="Arial"/>
          <w:sz w:val="20"/>
          <w:szCs w:val="20"/>
        </w:rPr>
        <w:t>]</w:t>
      </w:r>
      <w:r w:rsidR="00A00192" w:rsidRPr="0087080A">
        <w:rPr>
          <w:rFonts w:ascii="Arial" w:hAnsi="Arial" w:cs="Arial"/>
          <w:sz w:val="20"/>
          <w:szCs w:val="20"/>
        </w:rPr>
        <w:t>.</w:t>
      </w:r>
      <w:r w:rsidR="0096365E" w:rsidRPr="0087080A">
        <w:rPr>
          <w:rFonts w:ascii="Arial" w:hAnsi="Arial" w:cs="Arial"/>
          <w:sz w:val="20"/>
          <w:szCs w:val="20"/>
        </w:rPr>
        <w:t xml:space="preserve"> </w:t>
      </w:r>
    </w:p>
    <w:p w:rsidR="00002C72" w:rsidRPr="00AC4AEA" w:rsidRDefault="00002C72" w:rsidP="00A318EA">
      <w:pPr>
        <w:rPr>
          <w:rFonts w:ascii="Arial" w:hAnsi="Arial" w:cs="Arial"/>
          <w:sz w:val="20"/>
          <w:szCs w:val="20"/>
        </w:rPr>
      </w:pPr>
    </w:p>
    <w:p w:rsidR="00B71236" w:rsidRPr="00AC4AEA" w:rsidRDefault="009E2505" w:rsidP="00A318EA">
      <w:pPr>
        <w:pStyle w:val="Ttulo2"/>
        <w:rPr>
          <w:rFonts w:cs="Arial"/>
        </w:rPr>
      </w:pPr>
      <w:bookmarkStart w:id="1277" w:name="_Toc139357084"/>
      <w:r w:rsidRPr="00AC4AEA">
        <w:rPr>
          <w:rFonts w:cs="Arial"/>
        </w:rPr>
        <w:lastRenderedPageBreak/>
        <w:t xml:space="preserve">Contratos de </w:t>
      </w:r>
      <w:r w:rsidR="00D020B1" w:rsidRPr="00AC4AEA">
        <w:rPr>
          <w:rFonts w:cs="Arial"/>
        </w:rPr>
        <w:t xml:space="preserve">compra o </w:t>
      </w:r>
      <w:r w:rsidRPr="00AC4AEA">
        <w:rPr>
          <w:rFonts w:cs="Arial"/>
        </w:rPr>
        <w:t>venta de activos biológicos o productos agropecuarios a futuro</w:t>
      </w:r>
      <w:bookmarkEnd w:id="1277"/>
    </w:p>
    <w:p w:rsidR="00C336DB" w:rsidRPr="0087080A" w:rsidRDefault="0037269C" w:rsidP="00C01B25">
      <w:pPr>
        <w:numPr>
          <w:ilvl w:val="0"/>
          <w:numId w:val="719"/>
        </w:numPr>
        <w:spacing w:after="147" w:line="264" w:lineRule="auto"/>
        <w:ind w:left="937" w:hanging="536"/>
        <w:jc w:val="both"/>
        <w:rPr>
          <w:rFonts w:ascii="Arial" w:hAnsi="Arial" w:cs="Arial"/>
          <w:sz w:val="20"/>
          <w:szCs w:val="20"/>
        </w:rPr>
      </w:pPr>
      <w:r w:rsidRPr="0087080A">
        <w:rPr>
          <w:rFonts w:ascii="Arial" w:hAnsi="Arial" w:cs="Arial"/>
          <w:sz w:val="20"/>
          <w:szCs w:val="20"/>
        </w:rPr>
        <w:t xml:space="preserve">Una entidad </w:t>
      </w:r>
      <w:r w:rsidR="00174676" w:rsidRPr="0087080A">
        <w:rPr>
          <w:rFonts w:ascii="Arial" w:hAnsi="Arial" w:cs="Arial"/>
          <w:sz w:val="20"/>
          <w:szCs w:val="20"/>
        </w:rPr>
        <w:t>tratará</w:t>
      </w:r>
      <w:r w:rsidR="00D020B1" w:rsidRPr="0087080A">
        <w:rPr>
          <w:rFonts w:ascii="Arial" w:hAnsi="Arial" w:cs="Arial"/>
          <w:sz w:val="20"/>
          <w:szCs w:val="20"/>
        </w:rPr>
        <w:t xml:space="preserve"> </w:t>
      </w:r>
      <w:r w:rsidR="00174676" w:rsidRPr="0087080A">
        <w:rPr>
          <w:rFonts w:ascii="Arial" w:hAnsi="Arial" w:cs="Arial"/>
          <w:sz w:val="20"/>
          <w:szCs w:val="20"/>
        </w:rPr>
        <w:t>los</w:t>
      </w:r>
      <w:r w:rsidR="00D020B1" w:rsidRPr="0087080A">
        <w:rPr>
          <w:rFonts w:ascii="Arial" w:hAnsi="Arial" w:cs="Arial"/>
          <w:sz w:val="20"/>
          <w:szCs w:val="20"/>
        </w:rPr>
        <w:t xml:space="preserve"> contrato</w:t>
      </w:r>
      <w:r w:rsidR="00174676" w:rsidRPr="0087080A">
        <w:rPr>
          <w:rFonts w:ascii="Arial" w:hAnsi="Arial" w:cs="Arial"/>
          <w:sz w:val="20"/>
          <w:szCs w:val="20"/>
        </w:rPr>
        <w:t>s</w:t>
      </w:r>
      <w:r w:rsidR="00D020B1" w:rsidRPr="0087080A">
        <w:rPr>
          <w:rFonts w:ascii="Arial" w:hAnsi="Arial" w:cs="Arial"/>
          <w:sz w:val="20"/>
          <w:szCs w:val="20"/>
        </w:rPr>
        <w:t xml:space="preserve"> </w:t>
      </w:r>
      <w:r w:rsidR="00174676" w:rsidRPr="0087080A">
        <w:rPr>
          <w:rFonts w:ascii="Arial" w:hAnsi="Arial" w:cs="Arial"/>
          <w:sz w:val="20"/>
          <w:szCs w:val="20"/>
        </w:rPr>
        <w:t>para la</w:t>
      </w:r>
      <w:r w:rsidR="00D020B1" w:rsidRPr="0087080A">
        <w:rPr>
          <w:rFonts w:ascii="Arial" w:hAnsi="Arial" w:cs="Arial"/>
          <w:sz w:val="20"/>
          <w:szCs w:val="20"/>
        </w:rPr>
        <w:t xml:space="preserve"> compra o venta </w:t>
      </w:r>
      <w:r w:rsidR="00C667D0" w:rsidRPr="0087080A">
        <w:rPr>
          <w:rFonts w:ascii="Arial" w:hAnsi="Arial" w:cs="Arial"/>
          <w:sz w:val="20"/>
          <w:szCs w:val="20"/>
        </w:rPr>
        <w:t xml:space="preserve">de </w:t>
      </w:r>
      <w:r w:rsidR="00C667D0" w:rsidRPr="0087080A">
        <w:rPr>
          <w:rFonts w:ascii="Arial" w:hAnsi="Arial" w:cs="Arial"/>
          <w:b/>
          <w:bCs/>
          <w:sz w:val="20"/>
          <w:szCs w:val="20"/>
        </w:rPr>
        <w:t>activos biológicos</w:t>
      </w:r>
      <w:r w:rsidR="00C667D0" w:rsidRPr="0087080A">
        <w:rPr>
          <w:rFonts w:ascii="Arial" w:hAnsi="Arial" w:cs="Arial"/>
          <w:sz w:val="20"/>
          <w:szCs w:val="20"/>
        </w:rPr>
        <w:t xml:space="preserve"> o </w:t>
      </w:r>
      <w:r w:rsidR="00C667D0" w:rsidRPr="0087080A">
        <w:rPr>
          <w:rFonts w:ascii="Arial" w:hAnsi="Arial" w:cs="Arial"/>
          <w:b/>
          <w:bCs/>
          <w:sz w:val="20"/>
          <w:szCs w:val="20"/>
        </w:rPr>
        <w:t>productos agropecuarios</w:t>
      </w:r>
      <w:r w:rsidR="00C667D0" w:rsidRPr="0087080A">
        <w:rPr>
          <w:rFonts w:ascii="Arial" w:hAnsi="Arial" w:cs="Arial"/>
          <w:sz w:val="20"/>
          <w:szCs w:val="20"/>
        </w:rPr>
        <w:t xml:space="preserve"> </w:t>
      </w:r>
      <w:r w:rsidR="00174676" w:rsidRPr="0087080A">
        <w:rPr>
          <w:rFonts w:ascii="Arial" w:hAnsi="Arial" w:cs="Arial"/>
          <w:sz w:val="20"/>
          <w:szCs w:val="20"/>
        </w:rPr>
        <w:t>del siguiente modo</w:t>
      </w:r>
      <w:r w:rsidR="00C336DB" w:rsidRPr="0087080A">
        <w:rPr>
          <w:rFonts w:ascii="Arial" w:hAnsi="Arial" w:cs="Arial"/>
          <w:sz w:val="20"/>
          <w:szCs w:val="20"/>
        </w:rPr>
        <w:t>:</w:t>
      </w:r>
    </w:p>
    <w:p w:rsidR="007F40EB" w:rsidRPr="0087080A" w:rsidRDefault="00C336DB" w:rsidP="00C01B25">
      <w:pPr>
        <w:numPr>
          <w:ilvl w:val="1"/>
          <w:numId w:val="719"/>
        </w:numPr>
        <w:spacing w:line="264" w:lineRule="auto"/>
        <w:ind w:left="1418" w:hanging="425"/>
        <w:jc w:val="both"/>
        <w:rPr>
          <w:rFonts w:ascii="Arial" w:hAnsi="Arial" w:cs="Arial"/>
          <w:sz w:val="20"/>
          <w:szCs w:val="20"/>
        </w:rPr>
      </w:pPr>
      <w:r w:rsidRPr="0087080A">
        <w:rPr>
          <w:rFonts w:ascii="Arial" w:hAnsi="Arial" w:cs="Arial"/>
          <w:sz w:val="20"/>
          <w:szCs w:val="20"/>
        </w:rPr>
        <w:t xml:space="preserve">Cuando los </w:t>
      </w:r>
      <w:r w:rsidR="00174676" w:rsidRPr="0087080A">
        <w:rPr>
          <w:rFonts w:ascii="Arial" w:hAnsi="Arial" w:cs="Arial"/>
          <w:sz w:val="20"/>
          <w:szCs w:val="20"/>
        </w:rPr>
        <w:t>celebre</w:t>
      </w:r>
      <w:r w:rsidR="00366FDC" w:rsidRPr="0087080A">
        <w:rPr>
          <w:rFonts w:ascii="Arial" w:hAnsi="Arial" w:cs="Arial"/>
          <w:sz w:val="20"/>
          <w:szCs w:val="20"/>
        </w:rPr>
        <w:t xml:space="preserve"> con la intención de cancelar</w:t>
      </w:r>
      <w:r w:rsidR="00225396" w:rsidRPr="0087080A">
        <w:rPr>
          <w:rFonts w:ascii="Arial" w:hAnsi="Arial" w:cs="Arial"/>
          <w:sz w:val="20"/>
          <w:szCs w:val="20"/>
        </w:rPr>
        <w:t>los</w:t>
      </w:r>
      <w:r w:rsidR="00366FDC" w:rsidRPr="0087080A">
        <w:rPr>
          <w:rFonts w:ascii="Arial" w:hAnsi="Arial" w:cs="Arial"/>
          <w:sz w:val="20"/>
          <w:szCs w:val="20"/>
        </w:rPr>
        <w:t xml:space="preserve"> mediante la entrega </w:t>
      </w:r>
      <w:r w:rsidR="002F1D30" w:rsidRPr="0087080A">
        <w:rPr>
          <w:rFonts w:ascii="Arial" w:hAnsi="Arial" w:cs="Arial"/>
          <w:sz w:val="20"/>
          <w:szCs w:val="20"/>
        </w:rPr>
        <w:t xml:space="preserve">o recepción </w:t>
      </w:r>
      <w:r w:rsidR="00366FDC" w:rsidRPr="0087080A">
        <w:rPr>
          <w:rFonts w:ascii="Arial" w:hAnsi="Arial" w:cs="Arial"/>
          <w:sz w:val="20"/>
          <w:szCs w:val="20"/>
        </w:rPr>
        <w:t>de</w:t>
      </w:r>
      <w:r w:rsidR="008E0F23" w:rsidRPr="0087080A">
        <w:rPr>
          <w:rFonts w:ascii="Arial" w:hAnsi="Arial" w:cs="Arial"/>
          <w:sz w:val="20"/>
          <w:szCs w:val="20"/>
        </w:rPr>
        <w:t xml:space="preserve"> los</w:t>
      </w:r>
      <w:r w:rsidR="00366FDC" w:rsidRPr="0087080A">
        <w:rPr>
          <w:rFonts w:ascii="Arial" w:hAnsi="Arial" w:cs="Arial"/>
          <w:sz w:val="20"/>
          <w:szCs w:val="20"/>
        </w:rPr>
        <w:t xml:space="preserve"> </w:t>
      </w:r>
      <w:r w:rsidR="00EE1968" w:rsidRPr="0087080A">
        <w:rPr>
          <w:rFonts w:ascii="Arial" w:hAnsi="Arial" w:cs="Arial"/>
          <w:b/>
          <w:bCs/>
          <w:sz w:val="20"/>
          <w:szCs w:val="20"/>
        </w:rPr>
        <w:t>activos biológicos</w:t>
      </w:r>
      <w:r w:rsidR="00EE1968" w:rsidRPr="0087080A">
        <w:rPr>
          <w:rFonts w:ascii="Arial" w:hAnsi="Arial" w:cs="Arial"/>
          <w:sz w:val="20"/>
          <w:szCs w:val="20"/>
        </w:rPr>
        <w:t xml:space="preserve"> o </w:t>
      </w:r>
      <w:r w:rsidR="00EE1968" w:rsidRPr="0087080A">
        <w:rPr>
          <w:rFonts w:ascii="Arial" w:hAnsi="Arial" w:cs="Arial"/>
          <w:b/>
          <w:bCs/>
          <w:sz w:val="20"/>
          <w:szCs w:val="20"/>
        </w:rPr>
        <w:t>productos agropecuarios</w:t>
      </w:r>
      <w:r w:rsidR="008E0F23" w:rsidRPr="0087080A">
        <w:rPr>
          <w:rFonts w:ascii="Arial" w:hAnsi="Arial" w:cs="Arial"/>
          <w:sz w:val="20"/>
          <w:szCs w:val="20"/>
        </w:rPr>
        <w:t>, porque los emplea en su activi</w:t>
      </w:r>
      <w:r w:rsidR="00A73D54" w:rsidRPr="0087080A">
        <w:rPr>
          <w:rFonts w:ascii="Arial" w:hAnsi="Arial" w:cs="Arial"/>
          <w:sz w:val="20"/>
          <w:szCs w:val="20"/>
        </w:rPr>
        <w:t>dad</w:t>
      </w:r>
      <w:r w:rsidR="002F1D30" w:rsidRPr="0087080A">
        <w:rPr>
          <w:rFonts w:ascii="Arial" w:hAnsi="Arial" w:cs="Arial"/>
          <w:sz w:val="20"/>
          <w:szCs w:val="20"/>
        </w:rPr>
        <w:t xml:space="preserve">: no reconocerá tales contratos </w:t>
      </w:r>
      <w:r w:rsidR="00174676" w:rsidRPr="0087080A">
        <w:rPr>
          <w:rFonts w:ascii="Arial" w:hAnsi="Arial" w:cs="Arial"/>
          <w:sz w:val="20"/>
          <w:szCs w:val="20"/>
        </w:rPr>
        <w:t>excepto</w:t>
      </w:r>
      <w:r w:rsidR="00366FDC" w:rsidRPr="0087080A">
        <w:rPr>
          <w:rFonts w:ascii="Arial" w:hAnsi="Arial" w:cs="Arial"/>
          <w:sz w:val="20"/>
          <w:szCs w:val="20"/>
        </w:rPr>
        <w:t xml:space="preserve"> que se</w:t>
      </w:r>
      <w:r w:rsidR="00174676" w:rsidRPr="0087080A">
        <w:rPr>
          <w:rFonts w:ascii="Arial" w:hAnsi="Arial" w:cs="Arial"/>
          <w:sz w:val="20"/>
          <w:szCs w:val="20"/>
        </w:rPr>
        <w:t xml:space="preserve"> conviertan en</w:t>
      </w:r>
      <w:r w:rsidR="00366FDC" w:rsidRPr="0087080A">
        <w:rPr>
          <w:rFonts w:ascii="Arial" w:hAnsi="Arial" w:cs="Arial"/>
          <w:sz w:val="20"/>
          <w:szCs w:val="20"/>
        </w:rPr>
        <w:t xml:space="preserve"> contratos </w:t>
      </w:r>
      <w:r w:rsidR="00542752" w:rsidRPr="0087080A">
        <w:rPr>
          <w:rFonts w:ascii="Arial" w:hAnsi="Arial" w:cs="Arial"/>
          <w:sz w:val="20"/>
          <w:szCs w:val="20"/>
        </w:rPr>
        <w:t xml:space="preserve">onerosos, en cuyo caso </w:t>
      </w:r>
      <w:r w:rsidR="00174676" w:rsidRPr="0087080A">
        <w:rPr>
          <w:rFonts w:ascii="Arial" w:hAnsi="Arial" w:cs="Arial"/>
          <w:sz w:val="20"/>
          <w:szCs w:val="20"/>
        </w:rPr>
        <w:t>aplicará</w:t>
      </w:r>
      <w:r w:rsidR="00700617" w:rsidRPr="0087080A">
        <w:rPr>
          <w:rFonts w:ascii="Arial" w:hAnsi="Arial" w:cs="Arial"/>
          <w:sz w:val="20"/>
          <w:szCs w:val="20"/>
        </w:rPr>
        <w:t xml:space="preserve"> la sección “</w:t>
      </w:r>
      <w:r w:rsidR="00700617" w:rsidRPr="0087080A">
        <w:rPr>
          <w:rFonts w:ascii="Arial" w:hAnsi="Arial" w:cs="Arial"/>
          <w:sz w:val="20"/>
          <w:szCs w:val="20"/>
          <w:u w:val="single"/>
        </w:rPr>
        <w:t xml:space="preserve">Compromisos que generan pérdidas (contratos </w:t>
      </w:r>
      <w:r w:rsidR="00572664">
        <w:rPr>
          <w:rFonts w:ascii="Arial" w:hAnsi="Arial" w:cs="Arial"/>
          <w:sz w:val="20"/>
          <w:szCs w:val="20"/>
          <w:u w:val="single"/>
        </w:rPr>
        <w:t xml:space="preserve">de carácter </w:t>
      </w:r>
      <w:r w:rsidR="00700617" w:rsidRPr="0087080A">
        <w:rPr>
          <w:rFonts w:ascii="Arial" w:hAnsi="Arial" w:cs="Arial"/>
          <w:sz w:val="20"/>
          <w:szCs w:val="20"/>
          <w:u w:val="single"/>
        </w:rPr>
        <w:t>onerosos)</w:t>
      </w:r>
      <w:r w:rsidR="00700617" w:rsidRPr="0087080A">
        <w:rPr>
          <w:rFonts w:ascii="Arial" w:hAnsi="Arial" w:cs="Arial"/>
          <w:sz w:val="20"/>
          <w:szCs w:val="20"/>
        </w:rPr>
        <w:t xml:space="preserve">” [ver los párrafos </w:t>
      </w:r>
      <w:fldSimple w:instr=" REF _Ref103888717 \r \h  \* MERGEFORMAT ">
        <w:r w:rsidR="00D33A5D" w:rsidRPr="00D33A5D">
          <w:rPr>
            <w:rFonts w:ascii="Arial" w:hAnsi="Arial" w:cs="Arial"/>
            <w:sz w:val="20"/>
            <w:szCs w:val="20"/>
          </w:rPr>
          <w:t>527</w:t>
        </w:r>
      </w:fldSimple>
      <w:r w:rsidR="00700617" w:rsidRPr="0087080A">
        <w:rPr>
          <w:rFonts w:ascii="Arial" w:hAnsi="Arial" w:cs="Arial"/>
          <w:sz w:val="20"/>
          <w:szCs w:val="20"/>
        </w:rPr>
        <w:t xml:space="preserve"> a </w:t>
      </w:r>
      <w:r w:rsidR="001C4138">
        <w:rPr>
          <w:rFonts w:ascii="Arial" w:hAnsi="Arial" w:cs="Arial"/>
          <w:sz w:val="20"/>
          <w:szCs w:val="20"/>
        </w:rPr>
        <w:fldChar w:fldCharType="begin"/>
      </w:r>
      <w:r w:rsidR="003E4DD2">
        <w:rPr>
          <w:rFonts w:ascii="Arial" w:hAnsi="Arial" w:cs="Arial"/>
          <w:sz w:val="20"/>
          <w:szCs w:val="20"/>
        </w:rPr>
        <w:instrText xml:space="preserve"> REF _Ref129077854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531</w:t>
      </w:r>
      <w:r w:rsidR="001C4138">
        <w:rPr>
          <w:rFonts w:ascii="Arial" w:hAnsi="Arial" w:cs="Arial"/>
          <w:sz w:val="20"/>
          <w:szCs w:val="20"/>
        </w:rPr>
        <w:fldChar w:fldCharType="end"/>
      </w:r>
      <w:r w:rsidR="00700617" w:rsidRPr="0087080A">
        <w:rPr>
          <w:rFonts w:ascii="Arial" w:hAnsi="Arial" w:cs="Arial"/>
          <w:sz w:val="20"/>
          <w:szCs w:val="20"/>
        </w:rPr>
        <w:t>].</w:t>
      </w:r>
      <w:r w:rsidR="00366FDC" w:rsidRPr="0087080A">
        <w:rPr>
          <w:rFonts w:ascii="Arial" w:hAnsi="Arial" w:cs="Arial"/>
          <w:sz w:val="20"/>
          <w:szCs w:val="20"/>
        </w:rPr>
        <w:t xml:space="preserve"> </w:t>
      </w:r>
    </w:p>
    <w:p w:rsidR="00421257" w:rsidRPr="0087080A" w:rsidRDefault="00A73D54" w:rsidP="00C01B25">
      <w:pPr>
        <w:numPr>
          <w:ilvl w:val="1"/>
          <w:numId w:val="719"/>
        </w:numPr>
        <w:spacing w:line="264" w:lineRule="auto"/>
        <w:ind w:left="1418" w:hanging="425"/>
        <w:jc w:val="both"/>
        <w:rPr>
          <w:rFonts w:ascii="Arial" w:hAnsi="Arial" w:cs="Arial"/>
          <w:sz w:val="20"/>
          <w:szCs w:val="20"/>
        </w:rPr>
      </w:pPr>
      <w:r w:rsidRPr="0087080A">
        <w:rPr>
          <w:rFonts w:ascii="Arial" w:hAnsi="Arial" w:cs="Arial"/>
          <w:sz w:val="20"/>
          <w:szCs w:val="20"/>
        </w:rPr>
        <w:t>En los restantes casos: evaluará si tales contratos</w:t>
      </w:r>
      <w:r w:rsidR="00366FDC" w:rsidRPr="0087080A">
        <w:rPr>
          <w:rFonts w:ascii="Arial" w:hAnsi="Arial" w:cs="Arial"/>
          <w:sz w:val="20"/>
          <w:szCs w:val="20"/>
        </w:rPr>
        <w:t xml:space="preserve"> califica</w:t>
      </w:r>
      <w:r w:rsidRPr="0087080A">
        <w:rPr>
          <w:rFonts w:ascii="Arial" w:hAnsi="Arial" w:cs="Arial"/>
          <w:sz w:val="20"/>
          <w:szCs w:val="20"/>
        </w:rPr>
        <w:t>n</w:t>
      </w:r>
      <w:r w:rsidR="00366FDC" w:rsidRPr="0087080A">
        <w:rPr>
          <w:rFonts w:ascii="Arial" w:hAnsi="Arial" w:cs="Arial"/>
          <w:sz w:val="20"/>
          <w:szCs w:val="20"/>
        </w:rPr>
        <w:t xml:space="preserve"> como instrumentos derivados</w:t>
      </w:r>
      <w:r w:rsidRPr="0087080A">
        <w:rPr>
          <w:rFonts w:ascii="Arial" w:hAnsi="Arial" w:cs="Arial"/>
          <w:sz w:val="20"/>
          <w:szCs w:val="20"/>
        </w:rPr>
        <w:t xml:space="preserve">, en cuyo caso </w:t>
      </w:r>
      <w:r w:rsidR="00174676" w:rsidRPr="0087080A">
        <w:rPr>
          <w:rFonts w:ascii="Arial" w:hAnsi="Arial" w:cs="Arial"/>
          <w:sz w:val="20"/>
          <w:szCs w:val="20"/>
        </w:rPr>
        <w:t>aplicará</w:t>
      </w:r>
      <w:r w:rsidR="00366FDC" w:rsidRPr="0087080A">
        <w:rPr>
          <w:rFonts w:ascii="Arial" w:hAnsi="Arial" w:cs="Arial"/>
          <w:sz w:val="20"/>
          <w:szCs w:val="20"/>
        </w:rPr>
        <w:t xml:space="preserve"> </w:t>
      </w:r>
      <w:r w:rsidRPr="0087080A">
        <w:rPr>
          <w:rFonts w:ascii="Arial" w:hAnsi="Arial" w:cs="Arial"/>
          <w:sz w:val="20"/>
          <w:szCs w:val="20"/>
        </w:rPr>
        <w:t xml:space="preserve">la sección </w:t>
      </w:r>
      <w:r w:rsidR="004D2A05" w:rsidRPr="0087080A">
        <w:rPr>
          <w:rFonts w:ascii="Arial" w:hAnsi="Arial" w:cs="Arial"/>
          <w:sz w:val="20"/>
          <w:szCs w:val="20"/>
        </w:rPr>
        <w:t>“</w:t>
      </w:r>
      <w:r w:rsidR="004D2A05" w:rsidRPr="0087080A">
        <w:rPr>
          <w:rFonts w:ascii="Arial" w:hAnsi="Arial" w:cs="Arial"/>
          <w:sz w:val="20"/>
          <w:szCs w:val="20"/>
          <w:u w:val="single"/>
        </w:rPr>
        <w:t>Instrumentos derivados y operaciones de cobertura”</w:t>
      </w:r>
      <w:r w:rsidR="004D2A05" w:rsidRPr="0087080A">
        <w:rPr>
          <w:rFonts w:ascii="Arial" w:hAnsi="Arial" w:cs="Arial"/>
          <w:sz w:val="20"/>
          <w:szCs w:val="20"/>
        </w:rPr>
        <w:t xml:space="preserve"> [ver los párrafos </w:t>
      </w:r>
      <w:fldSimple w:instr=" REF _Ref132036276 \r \h  \* MERGEFORMAT ">
        <w:r w:rsidR="00D33A5D" w:rsidRPr="00D33A5D">
          <w:rPr>
            <w:rFonts w:ascii="Arial" w:hAnsi="Arial" w:cs="Arial"/>
            <w:sz w:val="20"/>
            <w:szCs w:val="20"/>
          </w:rPr>
          <w:t>990</w:t>
        </w:r>
      </w:fldSimple>
      <w:r w:rsidR="004D2A05" w:rsidRPr="0087080A">
        <w:rPr>
          <w:rFonts w:ascii="Arial" w:hAnsi="Arial" w:cs="Arial"/>
          <w:sz w:val="20"/>
          <w:szCs w:val="20"/>
        </w:rPr>
        <w:t xml:space="preserve"> a </w:t>
      </w:r>
      <w:fldSimple w:instr=" REF _Ref135045581 \r \h  \* MERGEFORMAT ">
        <w:r w:rsidR="00D33A5D" w:rsidRPr="00D33A5D">
          <w:rPr>
            <w:rFonts w:ascii="Arial" w:hAnsi="Arial" w:cs="Arial"/>
            <w:sz w:val="20"/>
            <w:szCs w:val="20"/>
          </w:rPr>
          <w:t>1020</w:t>
        </w:r>
      </w:fldSimple>
      <w:r w:rsidR="004D2A05" w:rsidRPr="0087080A">
        <w:rPr>
          <w:rFonts w:ascii="Arial" w:hAnsi="Arial" w:cs="Arial"/>
          <w:sz w:val="20"/>
          <w:szCs w:val="20"/>
        </w:rPr>
        <w:t>]</w:t>
      </w:r>
      <w:r w:rsidR="00366FDC" w:rsidRPr="0087080A">
        <w:rPr>
          <w:rFonts w:ascii="Arial" w:hAnsi="Arial" w:cs="Arial"/>
          <w:sz w:val="20"/>
          <w:szCs w:val="20"/>
        </w:rPr>
        <w:t>.</w:t>
      </w:r>
      <w:r w:rsidR="00421257" w:rsidRPr="0087080A">
        <w:rPr>
          <w:rFonts w:ascii="Arial" w:hAnsi="Arial" w:cs="Arial"/>
          <w:sz w:val="20"/>
          <w:szCs w:val="20"/>
        </w:rPr>
        <w:t xml:space="preserve"> </w:t>
      </w:r>
    </w:p>
    <w:p w:rsidR="007E285A" w:rsidRPr="00AC4AEA" w:rsidRDefault="007E285A" w:rsidP="007E285A">
      <w:pPr>
        <w:pStyle w:val="A-azul"/>
        <w:rPr>
          <w:rFonts w:ascii="Arial" w:hAnsi="Arial" w:cs="Arial"/>
          <w:i w:val="0"/>
          <w:iCs/>
          <w:color w:val="auto"/>
          <w:sz w:val="20"/>
          <w:szCs w:val="20"/>
        </w:rPr>
      </w:pPr>
    </w:p>
    <w:p w:rsidR="00421257" w:rsidRPr="00AC4AEA" w:rsidRDefault="00421257" w:rsidP="00A318EA">
      <w:pPr>
        <w:pStyle w:val="Ttulo2"/>
        <w:rPr>
          <w:rFonts w:cs="Arial"/>
        </w:rPr>
      </w:pPr>
      <w:bookmarkStart w:id="1278" w:name="_Toc139357085"/>
      <w:r w:rsidRPr="00AC4AEA">
        <w:rPr>
          <w:rFonts w:cs="Arial"/>
        </w:rPr>
        <w:t>Presentación en los estados contables</w:t>
      </w:r>
      <w:bookmarkEnd w:id="1278"/>
      <w:r w:rsidRPr="00AC4AEA">
        <w:rPr>
          <w:rFonts w:cs="Arial"/>
        </w:rPr>
        <w:t xml:space="preserve"> </w:t>
      </w:r>
    </w:p>
    <w:p w:rsidR="00421257" w:rsidRPr="00AC4AEA" w:rsidRDefault="00421257" w:rsidP="00A318EA">
      <w:pPr>
        <w:pStyle w:val="Ttulo3"/>
      </w:pPr>
      <w:bookmarkStart w:id="1279" w:name="_Toc139357086"/>
      <w:r w:rsidRPr="00AC4AEA">
        <w:t>Estado de situación patrimonial</w:t>
      </w:r>
      <w:bookmarkEnd w:id="1279"/>
      <w:r w:rsidRPr="00AC4AEA">
        <w:t xml:space="preserve"> </w:t>
      </w:r>
    </w:p>
    <w:p w:rsidR="00421257" w:rsidRPr="0087080A" w:rsidRDefault="00421257" w:rsidP="00C01B25">
      <w:pPr>
        <w:numPr>
          <w:ilvl w:val="0"/>
          <w:numId w:val="719"/>
        </w:numPr>
        <w:spacing w:after="147" w:line="264" w:lineRule="auto"/>
        <w:ind w:left="937" w:hanging="536"/>
        <w:jc w:val="both"/>
        <w:rPr>
          <w:rFonts w:ascii="Arial" w:hAnsi="Arial" w:cs="Arial"/>
          <w:sz w:val="20"/>
          <w:szCs w:val="20"/>
        </w:rPr>
      </w:pPr>
      <w:bookmarkStart w:id="1280" w:name="_Ref134179055"/>
      <w:r w:rsidRPr="00AC4AEA">
        <w:rPr>
          <w:rFonts w:ascii="Arial" w:hAnsi="Arial" w:cs="Arial"/>
          <w:sz w:val="20"/>
          <w:szCs w:val="20"/>
        </w:rPr>
        <w:t xml:space="preserve">En el </w:t>
      </w:r>
      <w:r w:rsidRPr="0087080A">
        <w:rPr>
          <w:rFonts w:ascii="Arial" w:hAnsi="Arial" w:cs="Arial"/>
          <w:sz w:val="20"/>
          <w:szCs w:val="20"/>
        </w:rPr>
        <w:t>estado de situación patrimonial, una entidad:</w:t>
      </w:r>
      <w:bookmarkEnd w:id="1280"/>
      <w:r w:rsidR="006F2C57">
        <w:rPr>
          <w:rFonts w:ascii="Arial" w:hAnsi="Arial" w:cs="Arial"/>
          <w:sz w:val="20"/>
          <w:szCs w:val="20"/>
        </w:rPr>
        <w:t xml:space="preserve"> </w:t>
      </w:r>
    </w:p>
    <w:p w:rsidR="00421257" w:rsidRPr="0087080A" w:rsidRDefault="00174676" w:rsidP="00C01B25">
      <w:pPr>
        <w:numPr>
          <w:ilvl w:val="1"/>
          <w:numId w:val="719"/>
        </w:numPr>
        <w:spacing w:line="264" w:lineRule="auto"/>
        <w:ind w:left="1418" w:hanging="426"/>
        <w:jc w:val="both"/>
        <w:rPr>
          <w:rFonts w:ascii="Arial" w:hAnsi="Arial" w:cs="Arial"/>
          <w:sz w:val="20"/>
          <w:szCs w:val="20"/>
        </w:rPr>
      </w:pPr>
      <w:r w:rsidRPr="0087080A">
        <w:rPr>
          <w:rFonts w:ascii="Arial" w:hAnsi="Arial" w:cs="Arial"/>
          <w:sz w:val="20"/>
          <w:szCs w:val="20"/>
        </w:rPr>
        <w:t>Presentará</w:t>
      </w:r>
      <w:r w:rsidR="00421257" w:rsidRPr="0087080A">
        <w:rPr>
          <w:rFonts w:ascii="Arial" w:hAnsi="Arial" w:cs="Arial"/>
          <w:sz w:val="20"/>
          <w:szCs w:val="20"/>
        </w:rPr>
        <w:t xml:space="preserve"> un rubro específico de “activos biológicos</w:t>
      </w:r>
      <w:r w:rsidR="00792CC1" w:rsidRPr="0087080A">
        <w:rPr>
          <w:rFonts w:ascii="Arial" w:hAnsi="Arial" w:cs="Arial"/>
          <w:sz w:val="20"/>
          <w:szCs w:val="20"/>
        </w:rPr>
        <w:t>”</w:t>
      </w:r>
      <w:r w:rsidR="00421257" w:rsidRPr="0087080A">
        <w:rPr>
          <w:rFonts w:ascii="Arial" w:hAnsi="Arial" w:cs="Arial"/>
          <w:sz w:val="20"/>
          <w:szCs w:val="20"/>
        </w:rPr>
        <w:t xml:space="preserve">. </w:t>
      </w:r>
    </w:p>
    <w:p w:rsidR="00421257" w:rsidRPr="0087080A" w:rsidRDefault="00421257" w:rsidP="00C01B25">
      <w:pPr>
        <w:numPr>
          <w:ilvl w:val="1"/>
          <w:numId w:val="719"/>
        </w:numPr>
        <w:spacing w:line="264" w:lineRule="auto"/>
        <w:ind w:left="1418" w:hanging="426"/>
        <w:jc w:val="both"/>
        <w:rPr>
          <w:rFonts w:ascii="Arial" w:hAnsi="Arial" w:cs="Arial"/>
          <w:sz w:val="20"/>
          <w:szCs w:val="20"/>
        </w:rPr>
      </w:pPr>
      <w:r w:rsidRPr="0087080A">
        <w:rPr>
          <w:rFonts w:ascii="Arial" w:hAnsi="Arial" w:cs="Arial"/>
          <w:sz w:val="20"/>
          <w:szCs w:val="20"/>
        </w:rPr>
        <w:t>Podrá, por aplicación de los requerimientos establecidos en el apartado “</w:t>
      </w:r>
      <w:r w:rsidRPr="0087080A">
        <w:rPr>
          <w:rFonts w:ascii="Arial" w:hAnsi="Arial" w:cs="Arial"/>
          <w:sz w:val="20"/>
          <w:szCs w:val="20"/>
          <w:u w:val="single"/>
        </w:rPr>
        <w:t>Síntesis y flexibilidad</w:t>
      </w:r>
      <w:r w:rsidRPr="0087080A">
        <w:rPr>
          <w:rFonts w:ascii="Arial" w:hAnsi="Arial" w:cs="Arial"/>
          <w:sz w:val="20"/>
          <w:szCs w:val="20"/>
        </w:rPr>
        <w:t xml:space="preserve">” [ver los párrafos </w:t>
      </w:r>
      <w:fldSimple w:instr=" REF _Ref135770595 \r \h  \* MERGEFORMAT ">
        <w:r w:rsidR="00D33A5D" w:rsidRPr="00D33A5D">
          <w:rPr>
            <w:rFonts w:ascii="Arial" w:hAnsi="Arial" w:cs="Arial"/>
            <w:sz w:val="20"/>
            <w:szCs w:val="20"/>
          </w:rPr>
          <w:t>55</w:t>
        </w:r>
      </w:fldSimple>
      <w:r w:rsidR="00BF28A5" w:rsidRPr="0087080A">
        <w:rPr>
          <w:rFonts w:ascii="Arial" w:hAnsi="Arial" w:cs="Arial"/>
          <w:sz w:val="20"/>
          <w:szCs w:val="20"/>
        </w:rPr>
        <w:t xml:space="preserve"> y </w:t>
      </w:r>
      <w:fldSimple w:instr=" REF _Ref77153867 \r \h  \* MERGEFORMAT ">
        <w:r w:rsidR="00D33A5D" w:rsidRPr="00D33A5D">
          <w:rPr>
            <w:rFonts w:ascii="Arial" w:hAnsi="Arial" w:cs="Arial"/>
            <w:sz w:val="20"/>
            <w:szCs w:val="20"/>
          </w:rPr>
          <w:t>56</w:t>
        </w:r>
      </w:fldSimple>
      <w:r w:rsidRPr="0087080A">
        <w:rPr>
          <w:rFonts w:ascii="Arial" w:hAnsi="Arial" w:cs="Arial"/>
          <w:sz w:val="20"/>
          <w:szCs w:val="20"/>
        </w:rPr>
        <w:t xml:space="preserve">], presentar los </w:t>
      </w:r>
      <w:r w:rsidRPr="0087080A">
        <w:rPr>
          <w:rFonts w:ascii="Arial" w:hAnsi="Arial" w:cs="Arial"/>
          <w:b/>
          <w:bCs/>
          <w:sz w:val="20"/>
          <w:szCs w:val="20"/>
        </w:rPr>
        <w:t>activos biológicos utilizados como factores de producción en el curso norma</w:t>
      </w:r>
      <w:r w:rsidR="00486D44" w:rsidRPr="0087080A">
        <w:rPr>
          <w:rFonts w:ascii="Arial" w:hAnsi="Arial" w:cs="Arial"/>
          <w:b/>
          <w:bCs/>
          <w:sz w:val="20"/>
          <w:szCs w:val="20"/>
        </w:rPr>
        <w:t>l</w:t>
      </w:r>
      <w:r w:rsidRPr="0087080A">
        <w:rPr>
          <w:rFonts w:ascii="Arial" w:hAnsi="Arial" w:cs="Arial"/>
          <w:b/>
          <w:bCs/>
          <w:sz w:val="20"/>
          <w:szCs w:val="20"/>
        </w:rPr>
        <w:t xml:space="preserve"> de las operaciones</w:t>
      </w:r>
      <w:r w:rsidRPr="0087080A">
        <w:rPr>
          <w:rFonts w:ascii="Arial" w:hAnsi="Arial" w:cs="Arial"/>
          <w:sz w:val="20"/>
          <w:szCs w:val="20"/>
        </w:rPr>
        <w:t xml:space="preserve">: </w:t>
      </w:r>
    </w:p>
    <w:p w:rsidR="00421257" w:rsidRPr="0087080A" w:rsidRDefault="00421257" w:rsidP="00C01B25">
      <w:pPr>
        <w:numPr>
          <w:ilvl w:val="2"/>
          <w:numId w:val="719"/>
        </w:numPr>
        <w:spacing w:line="264" w:lineRule="auto"/>
        <w:ind w:hanging="515"/>
        <w:jc w:val="both"/>
        <w:rPr>
          <w:rFonts w:ascii="Arial" w:hAnsi="Arial" w:cs="Arial"/>
          <w:sz w:val="20"/>
          <w:szCs w:val="20"/>
        </w:rPr>
      </w:pPr>
      <w:r w:rsidRPr="0087080A">
        <w:rPr>
          <w:rFonts w:ascii="Arial" w:hAnsi="Arial" w:cs="Arial"/>
          <w:sz w:val="20"/>
          <w:szCs w:val="20"/>
        </w:rPr>
        <w:t>en un rubro específico; o</w:t>
      </w:r>
      <w:r w:rsidR="006F2C57">
        <w:rPr>
          <w:rFonts w:ascii="Arial" w:hAnsi="Arial" w:cs="Arial"/>
          <w:sz w:val="20"/>
          <w:szCs w:val="20"/>
        </w:rPr>
        <w:t xml:space="preserve"> </w:t>
      </w:r>
    </w:p>
    <w:p w:rsidR="00421257" w:rsidRPr="0087080A" w:rsidRDefault="00421257" w:rsidP="00C01B25">
      <w:pPr>
        <w:numPr>
          <w:ilvl w:val="2"/>
          <w:numId w:val="719"/>
        </w:numPr>
        <w:spacing w:after="147" w:line="264" w:lineRule="auto"/>
        <w:ind w:hanging="515"/>
        <w:jc w:val="both"/>
        <w:rPr>
          <w:rFonts w:ascii="Arial" w:hAnsi="Arial" w:cs="Arial"/>
          <w:sz w:val="20"/>
          <w:szCs w:val="20"/>
        </w:rPr>
      </w:pPr>
      <w:r w:rsidRPr="0087080A">
        <w:rPr>
          <w:rFonts w:ascii="Arial" w:hAnsi="Arial" w:cs="Arial"/>
          <w:sz w:val="20"/>
          <w:szCs w:val="20"/>
        </w:rPr>
        <w:t>dentro de</w:t>
      </w:r>
      <w:r w:rsidR="00143C73" w:rsidRPr="0087080A">
        <w:rPr>
          <w:rFonts w:ascii="Arial" w:hAnsi="Arial" w:cs="Arial"/>
          <w:sz w:val="20"/>
          <w:szCs w:val="20"/>
        </w:rPr>
        <w:t>l rubro</w:t>
      </w:r>
      <w:r w:rsidRPr="0087080A">
        <w:rPr>
          <w:rFonts w:ascii="Arial" w:hAnsi="Arial" w:cs="Arial"/>
          <w:sz w:val="20"/>
          <w:szCs w:val="20"/>
        </w:rPr>
        <w:t xml:space="preserve"> </w:t>
      </w:r>
      <w:r w:rsidR="00F64209" w:rsidRPr="0087080A">
        <w:rPr>
          <w:rFonts w:ascii="Arial" w:hAnsi="Arial" w:cs="Arial"/>
          <w:sz w:val="20"/>
          <w:szCs w:val="20"/>
        </w:rPr>
        <w:t>“</w:t>
      </w:r>
      <w:r w:rsidRPr="0087080A">
        <w:rPr>
          <w:rFonts w:ascii="Arial" w:hAnsi="Arial" w:cs="Arial"/>
          <w:sz w:val="20"/>
          <w:szCs w:val="20"/>
        </w:rPr>
        <w:t>bienes de uso</w:t>
      </w:r>
      <w:r w:rsidR="00F64209" w:rsidRPr="0087080A">
        <w:rPr>
          <w:rFonts w:ascii="Arial" w:hAnsi="Arial" w:cs="Arial"/>
          <w:sz w:val="20"/>
          <w:szCs w:val="20"/>
        </w:rPr>
        <w:t>”</w:t>
      </w:r>
      <w:r w:rsidRPr="0087080A">
        <w:rPr>
          <w:rFonts w:ascii="Arial" w:hAnsi="Arial" w:cs="Arial"/>
          <w:sz w:val="20"/>
          <w:szCs w:val="20"/>
        </w:rPr>
        <w:t xml:space="preserve"> (discriminándolos como una clase separada). </w:t>
      </w:r>
    </w:p>
    <w:p w:rsidR="00421257" w:rsidRPr="00AC4AEA" w:rsidRDefault="00421257" w:rsidP="00A318EA">
      <w:pPr>
        <w:spacing w:after="150"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3"/>
      </w:pPr>
      <w:bookmarkStart w:id="1281" w:name="_Toc139357087"/>
      <w:r w:rsidRPr="00AC4AEA">
        <w:t>Estado de resultados</w:t>
      </w:r>
      <w:bookmarkEnd w:id="1281"/>
      <w:r w:rsidRPr="00AC4AEA">
        <w:t xml:space="preserve"> </w:t>
      </w:r>
    </w:p>
    <w:p w:rsidR="00421257" w:rsidRPr="00AC4AEA" w:rsidRDefault="00421257" w:rsidP="00C01B25">
      <w:pPr>
        <w:numPr>
          <w:ilvl w:val="0"/>
          <w:numId w:val="719"/>
        </w:numPr>
        <w:spacing w:after="147" w:line="264" w:lineRule="auto"/>
        <w:ind w:left="937" w:hanging="536"/>
        <w:jc w:val="both"/>
        <w:rPr>
          <w:rFonts w:ascii="Arial" w:hAnsi="Arial" w:cs="Arial"/>
          <w:sz w:val="20"/>
          <w:szCs w:val="20"/>
        </w:rPr>
      </w:pPr>
      <w:r w:rsidRPr="00AC4AEA">
        <w:rPr>
          <w:rFonts w:ascii="Arial" w:hAnsi="Arial" w:cs="Arial"/>
          <w:sz w:val="20"/>
          <w:szCs w:val="20"/>
        </w:rPr>
        <w:t xml:space="preserve">Una entidad que mida sus </w:t>
      </w:r>
      <w:r w:rsidRPr="00AC4AEA">
        <w:rPr>
          <w:rFonts w:ascii="Arial" w:hAnsi="Arial" w:cs="Arial"/>
          <w:b/>
          <w:bCs/>
          <w:sz w:val="20"/>
          <w:szCs w:val="20"/>
        </w:rPr>
        <w:t>activos biológicos</w:t>
      </w:r>
      <w:r w:rsidRPr="00AC4AEA">
        <w:rPr>
          <w:rFonts w:ascii="Arial" w:hAnsi="Arial" w:cs="Arial"/>
          <w:sz w:val="20"/>
          <w:szCs w:val="20"/>
        </w:rPr>
        <w:t xml:space="preserve"> a </w:t>
      </w:r>
      <w:r w:rsidRPr="00AC4AEA">
        <w:rPr>
          <w:rFonts w:ascii="Arial" w:hAnsi="Arial" w:cs="Arial"/>
          <w:b/>
          <w:bCs/>
          <w:sz w:val="20"/>
          <w:szCs w:val="20"/>
        </w:rPr>
        <w:t>valor razonable</w:t>
      </w:r>
      <w:r w:rsidRPr="00AC4AEA">
        <w:rPr>
          <w:rFonts w:ascii="Arial" w:hAnsi="Arial" w:cs="Arial"/>
          <w:sz w:val="20"/>
          <w:szCs w:val="20"/>
        </w:rPr>
        <w:t xml:space="preserve"> menos los gastos estimados en el punto de venta</w:t>
      </w:r>
      <w:r w:rsidR="00F64209" w:rsidRPr="00AC4AEA">
        <w:rPr>
          <w:rFonts w:ascii="Arial" w:hAnsi="Arial" w:cs="Arial"/>
          <w:sz w:val="20"/>
          <w:szCs w:val="20"/>
        </w:rPr>
        <w:t>,</w:t>
      </w:r>
      <w:r w:rsidRPr="00AC4AEA">
        <w:rPr>
          <w:rFonts w:ascii="Arial" w:hAnsi="Arial" w:cs="Arial"/>
          <w:sz w:val="20"/>
          <w:szCs w:val="20"/>
        </w:rPr>
        <w:t xml:space="preserve"> presentará el resultado de la producción agropecuaria, procedente de considerar el </w:t>
      </w:r>
      <w:r w:rsidRPr="002A73C3">
        <w:rPr>
          <w:rFonts w:ascii="Arial" w:hAnsi="Arial" w:cs="Arial"/>
          <w:b/>
          <w:bCs/>
          <w:sz w:val="20"/>
          <w:szCs w:val="20"/>
        </w:rPr>
        <w:t xml:space="preserve">ingreso </w:t>
      </w:r>
      <w:r w:rsidRPr="00AC4AEA">
        <w:rPr>
          <w:rFonts w:ascii="Arial" w:hAnsi="Arial" w:cs="Arial"/>
          <w:sz w:val="20"/>
          <w:szCs w:val="20"/>
        </w:rPr>
        <w:t xml:space="preserve">por la producción y sus costos asociados, en el cuerpo del estado de resultados del siguiente modo: </w:t>
      </w:r>
    </w:p>
    <w:p w:rsidR="00421257" w:rsidRPr="00AC4AE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 xml:space="preserve">Cuando la </w:t>
      </w:r>
      <w:r w:rsidRPr="00847DC6">
        <w:rPr>
          <w:rFonts w:ascii="Arial" w:hAnsi="Arial" w:cs="Arial"/>
          <w:b/>
          <w:bCs/>
          <w:sz w:val="20"/>
          <w:szCs w:val="20"/>
        </w:rPr>
        <w:t>actividad agropecuaria</w:t>
      </w:r>
      <w:r w:rsidRPr="00AC4AEA">
        <w:rPr>
          <w:rFonts w:ascii="Arial" w:hAnsi="Arial" w:cs="Arial"/>
          <w:sz w:val="20"/>
          <w:szCs w:val="20"/>
        </w:rPr>
        <w:t xml:space="preserve"> sea la predominante respecto del conjunto de las restantes actividades: en primer lugar. </w:t>
      </w:r>
    </w:p>
    <w:p w:rsidR="00421257" w:rsidRPr="0087080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 xml:space="preserve">En los restantes casos: a continuación del resultado bruto por la venta de bienes y la </w:t>
      </w:r>
      <w:r w:rsidRPr="0087080A">
        <w:rPr>
          <w:rFonts w:ascii="Arial" w:hAnsi="Arial" w:cs="Arial"/>
          <w:sz w:val="20"/>
          <w:szCs w:val="20"/>
        </w:rPr>
        <w:t xml:space="preserve">prestación de servicios y antes </w:t>
      </w:r>
      <w:r w:rsidR="00174676" w:rsidRPr="0087080A">
        <w:rPr>
          <w:rFonts w:ascii="Arial" w:hAnsi="Arial" w:cs="Arial"/>
          <w:sz w:val="20"/>
          <w:szCs w:val="20"/>
        </w:rPr>
        <w:t xml:space="preserve">de </w:t>
      </w:r>
      <w:r w:rsidRPr="0087080A">
        <w:rPr>
          <w:rFonts w:ascii="Arial" w:hAnsi="Arial" w:cs="Arial"/>
          <w:sz w:val="20"/>
          <w:szCs w:val="20"/>
        </w:rPr>
        <w:t xml:space="preserve">los resultados por medición de bienes de cambio al </w:t>
      </w:r>
      <w:r w:rsidRPr="0087080A">
        <w:rPr>
          <w:rFonts w:ascii="Arial" w:hAnsi="Arial" w:cs="Arial"/>
          <w:b/>
          <w:bCs/>
          <w:sz w:val="20"/>
          <w:szCs w:val="20"/>
        </w:rPr>
        <w:t>valor neto de realización</w:t>
      </w:r>
      <w:r w:rsidR="00E55D1C" w:rsidRPr="0087080A">
        <w:rPr>
          <w:rFonts w:ascii="Arial" w:hAnsi="Arial" w:cs="Arial"/>
          <w:sz w:val="20"/>
          <w:szCs w:val="20"/>
        </w:rPr>
        <w:t>, de corresponder</w:t>
      </w:r>
      <w:r w:rsidRPr="0087080A">
        <w:rPr>
          <w:rFonts w:ascii="Arial" w:hAnsi="Arial" w:cs="Arial"/>
          <w:sz w:val="20"/>
          <w:szCs w:val="20"/>
        </w:rPr>
        <w:t xml:space="preserve"> (según el inciso c, del párrafo </w:t>
      </w:r>
      <w:fldSimple w:instr=" REF _Ref135770882 \r \h  \* MERGEFORMAT ">
        <w:r w:rsidR="00D33A5D" w:rsidRPr="00D33A5D">
          <w:rPr>
            <w:rFonts w:ascii="Arial" w:hAnsi="Arial" w:cs="Arial"/>
            <w:sz w:val="20"/>
            <w:szCs w:val="20"/>
          </w:rPr>
          <w:t>629</w:t>
        </w:r>
      </w:fldSimple>
      <w:r w:rsidRPr="0087080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0"/>
          <w:numId w:val="719"/>
        </w:numPr>
        <w:spacing w:line="264" w:lineRule="auto"/>
        <w:ind w:left="937" w:hanging="536"/>
        <w:jc w:val="both"/>
        <w:rPr>
          <w:rFonts w:ascii="Arial" w:hAnsi="Arial" w:cs="Arial"/>
          <w:sz w:val="20"/>
          <w:szCs w:val="20"/>
        </w:rPr>
      </w:pPr>
      <w:r w:rsidRPr="0087080A">
        <w:rPr>
          <w:rFonts w:ascii="Arial" w:hAnsi="Arial" w:cs="Arial"/>
          <w:sz w:val="20"/>
          <w:szCs w:val="20"/>
        </w:rPr>
        <w:t>Una entidad presentará</w:t>
      </w:r>
      <w:r w:rsidRPr="00AC4AEA">
        <w:rPr>
          <w:rFonts w:ascii="Arial" w:hAnsi="Arial" w:cs="Arial"/>
          <w:sz w:val="20"/>
          <w:szCs w:val="20"/>
        </w:rPr>
        <w:t xml:space="preserve"> los ingresos de actividades ordinarias procedentes de transacciones (operaciones de intercambio) de conformidad con la sección “</w:t>
      </w:r>
      <w:r w:rsidR="007A33D5">
        <w:rPr>
          <w:rFonts w:ascii="Arial" w:hAnsi="Arial" w:cs="Arial"/>
          <w:sz w:val="20"/>
          <w:szCs w:val="20"/>
        </w:rPr>
        <w:t xml:space="preserve">Reconocimiento de </w:t>
      </w:r>
      <w:r w:rsidRPr="00AC4AEA">
        <w:rPr>
          <w:rFonts w:ascii="Arial" w:hAnsi="Arial" w:cs="Arial"/>
          <w:sz w:val="20"/>
          <w:szCs w:val="20"/>
          <w:u w:val="single"/>
        </w:rPr>
        <w:t>Ingresos de actividades ordinarias procedentes de transacciones (operaciones de intercambio)</w:t>
      </w:r>
      <w:r w:rsidRPr="00AC4AEA">
        <w:rPr>
          <w:rFonts w:ascii="Arial" w:hAnsi="Arial" w:cs="Arial"/>
          <w:sz w:val="20"/>
          <w:szCs w:val="20"/>
        </w:rPr>
        <w:t xml:space="preserve">” [ver los párrafos </w:t>
      </w:r>
      <w:fldSimple w:instr=" REF _Ref129077804 \r \h  \* MERGEFORMAT ">
        <w:r w:rsidR="00D33A5D" w:rsidRPr="00D33A5D">
          <w:rPr>
            <w:rFonts w:ascii="Arial" w:hAnsi="Arial" w:cs="Arial"/>
            <w:sz w:val="20"/>
            <w:szCs w:val="20"/>
          </w:rPr>
          <w:t>522</w:t>
        </w:r>
      </w:fldSimple>
      <w:r w:rsidR="00C76632" w:rsidRPr="00AC4AEA">
        <w:rPr>
          <w:rFonts w:ascii="Arial" w:hAnsi="Arial" w:cs="Arial"/>
          <w:sz w:val="20"/>
          <w:szCs w:val="20"/>
        </w:rPr>
        <w:t xml:space="preserve"> a </w:t>
      </w:r>
      <w:fldSimple w:instr=" REF _Ref104535952 \r \h  \* MERGEFORMAT ">
        <w:r w:rsidR="00D33A5D" w:rsidRPr="00D33A5D">
          <w:rPr>
            <w:rFonts w:ascii="Arial" w:hAnsi="Arial" w:cs="Arial"/>
            <w:sz w:val="20"/>
            <w:szCs w:val="20"/>
          </w:rPr>
          <w:t>526</w:t>
        </w:r>
      </w:fldSimple>
      <w:r w:rsidRPr="00AC4AEA">
        <w:rPr>
          <w:rFonts w:ascii="Arial" w:hAnsi="Arial" w:cs="Arial"/>
          <w:sz w:val="20"/>
          <w:szCs w:val="20"/>
        </w:rPr>
        <w:t xml:space="preserve">]. </w:t>
      </w:r>
    </w:p>
    <w:p w:rsidR="00421257" w:rsidRPr="00AC4AEA" w:rsidRDefault="00421257" w:rsidP="00A318EA">
      <w:pPr>
        <w:spacing w:after="1" w:line="256" w:lineRule="auto"/>
        <w:ind w:left="936"/>
        <w:rPr>
          <w:rFonts w:ascii="Arial" w:hAnsi="Arial" w:cs="Arial"/>
          <w:sz w:val="20"/>
          <w:szCs w:val="20"/>
        </w:rPr>
      </w:pPr>
      <w:r w:rsidRPr="00AC4AEA">
        <w:rPr>
          <w:rFonts w:ascii="Arial" w:hAnsi="Arial" w:cs="Arial"/>
          <w:sz w:val="20"/>
          <w:szCs w:val="20"/>
        </w:rPr>
        <w:lastRenderedPageBreak/>
        <w:t xml:space="preserve"> </w:t>
      </w:r>
    </w:p>
    <w:p w:rsidR="00421257" w:rsidRPr="00AC4AEA" w:rsidRDefault="00421257" w:rsidP="00A318EA">
      <w:pPr>
        <w:spacing w:after="150" w:line="256" w:lineRule="auto"/>
        <w:ind w:left="338"/>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282" w:name="_Toc139357088"/>
      <w:r w:rsidRPr="00AC4AEA">
        <w:rPr>
          <w:rFonts w:cs="Arial"/>
        </w:rPr>
        <w:t>Revelación en notas</w:t>
      </w:r>
      <w:bookmarkEnd w:id="1282"/>
      <w:r w:rsidRPr="00AC4AEA">
        <w:rPr>
          <w:rFonts w:cs="Arial"/>
        </w:rPr>
        <w:t xml:space="preserve"> </w:t>
      </w:r>
    </w:p>
    <w:p w:rsidR="00421257" w:rsidRPr="00AC4AEA" w:rsidRDefault="00421257" w:rsidP="00C01B25">
      <w:pPr>
        <w:numPr>
          <w:ilvl w:val="0"/>
          <w:numId w:val="719"/>
        </w:numPr>
        <w:spacing w:line="264" w:lineRule="auto"/>
        <w:ind w:left="937" w:hanging="536"/>
        <w:jc w:val="both"/>
        <w:rPr>
          <w:rFonts w:ascii="Arial" w:eastAsia="Times New Roman" w:hAnsi="Arial" w:cs="Arial"/>
          <w:sz w:val="20"/>
          <w:szCs w:val="20"/>
          <w:lang w:eastAsia="es-AR"/>
        </w:rPr>
      </w:pPr>
      <w:r w:rsidRPr="00AC4AEA">
        <w:rPr>
          <w:rFonts w:ascii="Arial" w:hAnsi="Arial" w:cs="Arial"/>
          <w:sz w:val="20"/>
          <w:szCs w:val="20"/>
        </w:rPr>
        <w:t>Una entidad revelará en notas:</w:t>
      </w:r>
      <w:r w:rsidR="006F2C57">
        <w:rPr>
          <w:rFonts w:ascii="Arial" w:hAnsi="Arial" w:cs="Arial"/>
          <w:sz w:val="20"/>
          <w:szCs w:val="20"/>
        </w:rPr>
        <w:t xml:space="preserve"> </w:t>
      </w:r>
    </w:p>
    <w:p w:rsidR="00421257" w:rsidRPr="0087080A" w:rsidRDefault="00421257" w:rsidP="00C01B25">
      <w:pPr>
        <w:numPr>
          <w:ilvl w:val="1"/>
          <w:numId w:val="719"/>
        </w:numPr>
        <w:spacing w:line="264" w:lineRule="auto"/>
        <w:ind w:left="1418" w:hanging="426"/>
        <w:jc w:val="both"/>
        <w:rPr>
          <w:rFonts w:ascii="Arial" w:hAnsi="Arial" w:cs="Arial"/>
          <w:sz w:val="20"/>
          <w:szCs w:val="20"/>
        </w:rPr>
      </w:pPr>
      <w:r w:rsidRPr="00AC4AEA">
        <w:rPr>
          <w:rFonts w:ascii="Arial" w:hAnsi="Arial" w:cs="Arial"/>
          <w:sz w:val="20"/>
          <w:szCs w:val="20"/>
        </w:rPr>
        <w:t xml:space="preserve">las </w:t>
      </w:r>
      <w:r w:rsidRPr="0087080A">
        <w:rPr>
          <w:rFonts w:ascii="Arial" w:hAnsi="Arial" w:cs="Arial"/>
          <w:b/>
          <w:bCs/>
          <w:sz w:val="20"/>
          <w:szCs w:val="20"/>
        </w:rPr>
        <w:t xml:space="preserve">políticas contables </w:t>
      </w:r>
      <w:r w:rsidRPr="0087080A">
        <w:rPr>
          <w:rFonts w:ascii="Arial" w:hAnsi="Arial" w:cs="Arial"/>
          <w:sz w:val="20"/>
          <w:szCs w:val="20"/>
        </w:rPr>
        <w:t xml:space="preserve">empleadas y los criterios de medición aplicados para </w:t>
      </w:r>
      <w:r w:rsidR="00771ED7" w:rsidRPr="0087080A">
        <w:rPr>
          <w:rFonts w:ascii="Arial" w:hAnsi="Arial" w:cs="Arial"/>
          <w:sz w:val="20"/>
          <w:szCs w:val="20"/>
        </w:rPr>
        <w:t xml:space="preserve">medir los </w:t>
      </w:r>
      <w:r w:rsidR="00771ED7" w:rsidRPr="0087080A">
        <w:rPr>
          <w:rFonts w:ascii="Arial" w:hAnsi="Arial" w:cs="Arial"/>
          <w:b/>
          <w:bCs/>
          <w:sz w:val="20"/>
          <w:szCs w:val="20"/>
        </w:rPr>
        <w:t>activos biológicos</w:t>
      </w:r>
      <w:r w:rsidR="00771ED7" w:rsidRPr="0087080A">
        <w:rPr>
          <w:rFonts w:ascii="Arial" w:hAnsi="Arial" w:cs="Arial"/>
          <w:sz w:val="20"/>
          <w:szCs w:val="20"/>
        </w:rPr>
        <w:t xml:space="preserve"> y los </w:t>
      </w:r>
      <w:r w:rsidR="00771ED7" w:rsidRPr="0087080A">
        <w:rPr>
          <w:rFonts w:ascii="Arial" w:hAnsi="Arial" w:cs="Arial"/>
          <w:b/>
          <w:bCs/>
          <w:sz w:val="20"/>
          <w:szCs w:val="20"/>
        </w:rPr>
        <w:t>productos agropecuarios</w:t>
      </w:r>
      <w:r w:rsidR="00CF1AF8" w:rsidRPr="0087080A">
        <w:rPr>
          <w:rFonts w:ascii="Arial" w:hAnsi="Arial" w:cs="Arial"/>
          <w:sz w:val="20"/>
          <w:szCs w:val="20"/>
        </w:rPr>
        <w:t xml:space="preserve"> en el </w:t>
      </w:r>
      <w:r w:rsidR="00174676" w:rsidRPr="0087080A">
        <w:rPr>
          <w:rFonts w:ascii="Arial" w:hAnsi="Arial" w:cs="Arial"/>
          <w:sz w:val="20"/>
          <w:szCs w:val="20"/>
        </w:rPr>
        <w:t>momento</w:t>
      </w:r>
      <w:r w:rsidR="00CF1AF8" w:rsidRPr="0087080A">
        <w:rPr>
          <w:rFonts w:ascii="Arial" w:hAnsi="Arial" w:cs="Arial"/>
          <w:sz w:val="20"/>
          <w:szCs w:val="20"/>
        </w:rPr>
        <w:t xml:space="preserve"> </w:t>
      </w:r>
      <w:r w:rsidR="004731A1" w:rsidRPr="0087080A">
        <w:rPr>
          <w:rFonts w:ascii="Arial" w:hAnsi="Arial" w:cs="Arial"/>
          <w:sz w:val="20"/>
          <w:szCs w:val="20"/>
        </w:rPr>
        <w:t xml:space="preserve">de </w:t>
      </w:r>
      <w:r w:rsidR="00174676" w:rsidRPr="0087080A">
        <w:rPr>
          <w:rFonts w:ascii="Arial" w:hAnsi="Arial" w:cs="Arial"/>
          <w:sz w:val="20"/>
          <w:szCs w:val="20"/>
        </w:rPr>
        <w:t xml:space="preserve">la </w:t>
      </w:r>
      <w:r w:rsidR="004731A1" w:rsidRPr="0087080A">
        <w:rPr>
          <w:rFonts w:ascii="Arial" w:hAnsi="Arial" w:cs="Arial"/>
          <w:sz w:val="20"/>
          <w:szCs w:val="20"/>
        </w:rPr>
        <w:t>cosecha, recolección, obtención o faena</w:t>
      </w:r>
      <w:r w:rsidRPr="0087080A">
        <w:rPr>
          <w:rFonts w:ascii="Arial" w:hAnsi="Arial" w:cs="Arial"/>
          <w:sz w:val="20"/>
          <w:szCs w:val="20"/>
        </w:rPr>
        <w:t xml:space="preserve">; y </w:t>
      </w:r>
    </w:p>
    <w:p w:rsidR="00421257" w:rsidRPr="0087080A" w:rsidRDefault="00421257" w:rsidP="00C01B25">
      <w:pPr>
        <w:numPr>
          <w:ilvl w:val="1"/>
          <w:numId w:val="719"/>
        </w:numPr>
        <w:spacing w:line="264" w:lineRule="auto"/>
        <w:ind w:left="1418" w:hanging="426"/>
        <w:jc w:val="both"/>
        <w:rPr>
          <w:rFonts w:ascii="Arial" w:hAnsi="Arial" w:cs="Arial"/>
          <w:sz w:val="20"/>
          <w:szCs w:val="20"/>
        </w:rPr>
      </w:pPr>
      <w:r w:rsidRPr="0087080A">
        <w:rPr>
          <w:rFonts w:ascii="Arial" w:hAnsi="Arial" w:cs="Arial"/>
          <w:sz w:val="20"/>
          <w:szCs w:val="20"/>
        </w:rPr>
        <w:t xml:space="preserve">las bases y métodos utilizados y los supuestos considerados en las mediciones basadas en </w:t>
      </w:r>
      <w:r w:rsidR="00CF1AF8" w:rsidRPr="0087080A">
        <w:rPr>
          <w:rFonts w:ascii="Arial" w:hAnsi="Arial" w:cs="Arial"/>
          <w:sz w:val="20"/>
          <w:szCs w:val="20"/>
        </w:rPr>
        <w:t xml:space="preserve">el </w:t>
      </w:r>
      <w:r w:rsidRPr="0087080A">
        <w:rPr>
          <w:rFonts w:ascii="Arial" w:hAnsi="Arial" w:cs="Arial"/>
          <w:b/>
          <w:bCs/>
          <w:sz w:val="20"/>
          <w:szCs w:val="20"/>
        </w:rPr>
        <w:t xml:space="preserve">valor </w:t>
      </w:r>
      <w:r w:rsidR="00CF1AF8" w:rsidRPr="0087080A">
        <w:rPr>
          <w:rFonts w:ascii="Arial" w:hAnsi="Arial" w:cs="Arial"/>
          <w:b/>
          <w:bCs/>
          <w:sz w:val="20"/>
          <w:szCs w:val="20"/>
        </w:rPr>
        <w:t>razonable</w:t>
      </w:r>
      <w:r w:rsidRPr="0087080A">
        <w:rPr>
          <w:rFonts w:ascii="Arial" w:hAnsi="Arial" w:cs="Arial"/>
          <w:sz w:val="20"/>
          <w:szCs w:val="20"/>
        </w:rPr>
        <w:t xml:space="preserve">. </w:t>
      </w:r>
    </w:p>
    <w:p w:rsidR="00421257" w:rsidRPr="0087080A" w:rsidRDefault="00421257" w:rsidP="00C01B25">
      <w:pPr>
        <w:numPr>
          <w:ilvl w:val="0"/>
          <w:numId w:val="719"/>
        </w:numPr>
        <w:spacing w:after="147" w:line="264" w:lineRule="auto"/>
        <w:ind w:left="937" w:hanging="536"/>
        <w:jc w:val="both"/>
        <w:rPr>
          <w:rFonts w:ascii="Arial" w:hAnsi="Arial" w:cs="Arial"/>
          <w:sz w:val="20"/>
          <w:szCs w:val="20"/>
        </w:rPr>
      </w:pPr>
      <w:r w:rsidRPr="0087080A">
        <w:rPr>
          <w:rFonts w:ascii="Arial" w:hAnsi="Arial" w:cs="Arial"/>
          <w:sz w:val="20"/>
          <w:szCs w:val="20"/>
        </w:rPr>
        <w:t xml:space="preserve">Una entidad informará el grado de incertidumbre asociado al proceso de medición del </w:t>
      </w:r>
      <w:r w:rsidRPr="0087080A">
        <w:rPr>
          <w:rFonts w:ascii="Arial" w:hAnsi="Arial" w:cs="Arial"/>
          <w:b/>
          <w:bCs/>
          <w:sz w:val="20"/>
          <w:szCs w:val="20"/>
        </w:rPr>
        <w:t>valor razonable</w:t>
      </w:r>
      <w:r w:rsidRPr="0087080A">
        <w:rPr>
          <w:rFonts w:ascii="Arial" w:hAnsi="Arial" w:cs="Arial"/>
          <w:sz w:val="20"/>
          <w:szCs w:val="20"/>
        </w:rPr>
        <w:t xml:space="preserve"> de sus</w:t>
      </w:r>
      <w:r w:rsidRPr="0087080A">
        <w:rPr>
          <w:rFonts w:ascii="Arial" w:hAnsi="Arial" w:cs="Arial"/>
          <w:b/>
          <w:bCs/>
          <w:sz w:val="20"/>
          <w:szCs w:val="20"/>
        </w:rPr>
        <w:t xml:space="preserve"> activos biológicos</w:t>
      </w:r>
      <w:r w:rsidRPr="0087080A">
        <w:rPr>
          <w:rFonts w:ascii="Arial" w:hAnsi="Arial" w:cs="Arial"/>
          <w:sz w:val="20"/>
          <w:szCs w:val="20"/>
        </w:rPr>
        <w:t xml:space="preserve"> y de sus </w:t>
      </w:r>
      <w:r w:rsidRPr="0087080A">
        <w:rPr>
          <w:rFonts w:ascii="Arial" w:hAnsi="Arial" w:cs="Arial"/>
          <w:b/>
          <w:bCs/>
          <w:sz w:val="20"/>
          <w:szCs w:val="20"/>
        </w:rPr>
        <w:t>productos agropecuarios</w:t>
      </w:r>
      <w:r w:rsidR="00CF1AF8" w:rsidRPr="0087080A">
        <w:rPr>
          <w:rFonts w:ascii="Arial" w:hAnsi="Arial" w:cs="Arial"/>
          <w:sz w:val="20"/>
          <w:szCs w:val="20"/>
        </w:rPr>
        <w:t xml:space="preserve"> en el </w:t>
      </w:r>
      <w:r w:rsidR="00174676" w:rsidRPr="0087080A">
        <w:rPr>
          <w:rFonts w:ascii="Arial" w:hAnsi="Arial" w:cs="Arial"/>
          <w:sz w:val="20"/>
          <w:szCs w:val="20"/>
        </w:rPr>
        <w:t>momento de la</w:t>
      </w:r>
      <w:r w:rsidR="00BF62DA" w:rsidRPr="0087080A">
        <w:rPr>
          <w:rFonts w:ascii="Arial" w:hAnsi="Arial" w:cs="Arial"/>
          <w:sz w:val="20"/>
          <w:szCs w:val="20"/>
        </w:rPr>
        <w:t xml:space="preserve"> cosecha, recolección, obtención o faena</w:t>
      </w:r>
      <w:r w:rsidRPr="0087080A">
        <w:rPr>
          <w:rFonts w:ascii="Arial" w:hAnsi="Arial" w:cs="Arial"/>
          <w:sz w:val="20"/>
          <w:szCs w:val="20"/>
        </w:rPr>
        <w:t xml:space="preserve">. </w:t>
      </w:r>
    </w:p>
    <w:p w:rsidR="00421257" w:rsidRPr="00AC4AEA" w:rsidRDefault="00421257" w:rsidP="00C01B25">
      <w:pPr>
        <w:numPr>
          <w:ilvl w:val="0"/>
          <w:numId w:val="719"/>
        </w:numPr>
        <w:spacing w:after="147" w:line="264" w:lineRule="auto"/>
        <w:ind w:left="937" w:hanging="536"/>
        <w:jc w:val="both"/>
        <w:rPr>
          <w:rFonts w:ascii="Arial" w:hAnsi="Arial" w:cs="Arial"/>
          <w:sz w:val="20"/>
          <w:szCs w:val="20"/>
        </w:rPr>
      </w:pPr>
      <w:r w:rsidRPr="0087080A">
        <w:rPr>
          <w:rFonts w:ascii="Arial" w:hAnsi="Arial" w:cs="Arial"/>
          <w:sz w:val="20"/>
          <w:szCs w:val="20"/>
        </w:rPr>
        <w:t>Una entidad revelará cualquier</w:t>
      </w:r>
      <w:r w:rsidRPr="00AC4AEA">
        <w:rPr>
          <w:rFonts w:ascii="Arial" w:hAnsi="Arial" w:cs="Arial"/>
          <w:sz w:val="20"/>
          <w:szCs w:val="20"/>
        </w:rPr>
        <w:t xml:space="preserve"> base de medición utilizada distinta del </w:t>
      </w:r>
      <w:r w:rsidRPr="00AC4AEA">
        <w:rPr>
          <w:rFonts w:ascii="Arial" w:hAnsi="Arial" w:cs="Arial"/>
          <w:b/>
          <w:bCs/>
          <w:sz w:val="20"/>
          <w:szCs w:val="20"/>
        </w:rPr>
        <w:t>valor razonable</w:t>
      </w:r>
      <w:r w:rsidRPr="00AC4AEA">
        <w:rPr>
          <w:rFonts w:ascii="Arial" w:hAnsi="Arial" w:cs="Arial"/>
          <w:sz w:val="20"/>
          <w:szCs w:val="20"/>
        </w:rPr>
        <w:t xml:space="preserve"> menos gastos estimados en el punto de venta admitidas por esta sección, junto con una descripción de las limitaciones que la llevaron a utilizar ese otro criterio. </w:t>
      </w:r>
    </w:p>
    <w:p w:rsidR="00421257" w:rsidRPr="00AC4AEA" w:rsidRDefault="00421257" w:rsidP="00C01B25">
      <w:pPr>
        <w:numPr>
          <w:ilvl w:val="0"/>
          <w:numId w:val="719"/>
        </w:numPr>
        <w:spacing w:line="264" w:lineRule="auto"/>
        <w:ind w:left="937" w:hanging="536"/>
        <w:jc w:val="both"/>
        <w:rPr>
          <w:rFonts w:ascii="Arial" w:hAnsi="Arial" w:cs="Arial"/>
          <w:sz w:val="20"/>
          <w:szCs w:val="20"/>
        </w:rPr>
      </w:pPr>
      <w:r w:rsidRPr="00AC4AEA">
        <w:rPr>
          <w:rFonts w:ascii="Arial" w:hAnsi="Arial" w:cs="Arial"/>
          <w:sz w:val="20"/>
          <w:szCs w:val="20"/>
        </w:rPr>
        <w:t>Una entidad revelará la composición de los ingresos por producción</w:t>
      </w:r>
      <w:r w:rsidR="00CF1AF8" w:rsidRPr="00AC4AEA">
        <w:rPr>
          <w:rFonts w:ascii="Arial" w:hAnsi="Arial" w:cs="Arial"/>
          <w:sz w:val="20"/>
          <w:szCs w:val="20"/>
        </w:rPr>
        <w:t xml:space="preserve"> agropecuaria</w:t>
      </w:r>
      <w:r w:rsidRPr="00AC4AEA">
        <w:rPr>
          <w:rFonts w:ascii="Arial" w:hAnsi="Arial" w:cs="Arial"/>
          <w:sz w:val="20"/>
          <w:szCs w:val="20"/>
        </w:rPr>
        <w:t>.</w:t>
      </w:r>
      <w:r w:rsidR="006F2C57">
        <w:rPr>
          <w:rFonts w:ascii="Arial" w:hAnsi="Arial" w:cs="Arial"/>
          <w:sz w:val="20"/>
          <w:szCs w:val="20"/>
        </w:rPr>
        <w:t xml:space="preserve"> </w:t>
      </w:r>
    </w:p>
    <w:p w:rsidR="00421257" w:rsidRPr="00AC4AEA" w:rsidRDefault="00421257" w:rsidP="00C01B25">
      <w:pPr>
        <w:numPr>
          <w:ilvl w:val="0"/>
          <w:numId w:val="719"/>
        </w:numPr>
        <w:spacing w:after="147" w:line="264" w:lineRule="auto"/>
        <w:ind w:left="937" w:hanging="536"/>
        <w:jc w:val="both"/>
        <w:rPr>
          <w:rFonts w:ascii="Arial" w:hAnsi="Arial" w:cs="Arial"/>
          <w:sz w:val="20"/>
          <w:szCs w:val="20"/>
        </w:rPr>
      </w:pPr>
      <w:r w:rsidRPr="00AC4AEA">
        <w:rPr>
          <w:rFonts w:ascii="Arial" w:hAnsi="Arial" w:cs="Arial"/>
          <w:sz w:val="20"/>
          <w:szCs w:val="20"/>
        </w:rPr>
        <w:t>Una entidad revelará, mediante una nota o anexo, los costos de producción</w:t>
      </w:r>
      <w:r w:rsidR="00CF1AF8" w:rsidRPr="00AC4AEA">
        <w:rPr>
          <w:rFonts w:ascii="Arial" w:hAnsi="Arial" w:cs="Arial"/>
          <w:sz w:val="20"/>
          <w:szCs w:val="20"/>
        </w:rPr>
        <w:t xml:space="preserve"> relacionados con los ingresos de producción agropecuaria</w:t>
      </w:r>
      <w:r w:rsidRPr="00AC4AEA">
        <w:rPr>
          <w:rFonts w:ascii="Arial" w:hAnsi="Arial" w:cs="Arial"/>
          <w:sz w:val="20"/>
          <w:szCs w:val="20"/>
        </w:rPr>
        <w:t xml:space="preserve">, clasificados por su naturaleza y por su función. </w:t>
      </w:r>
    </w:p>
    <w:p w:rsidR="00421257" w:rsidRPr="00AC4AEA" w:rsidRDefault="00421257" w:rsidP="00A318EA">
      <w:pPr>
        <w:spacing w:after="148" w:line="256" w:lineRule="auto"/>
        <w:rPr>
          <w:rFonts w:ascii="Arial" w:hAnsi="Arial" w:cs="Arial"/>
          <w:sz w:val="20"/>
          <w:szCs w:val="20"/>
        </w:rPr>
      </w:pPr>
      <w:r w:rsidRPr="00AC4AEA">
        <w:rPr>
          <w:rFonts w:ascii="Arial" w:hAnsi="Arial" w:cs="Arial"/>
          <w:sz w:val="20"/>
          <w:szCs w:val="20"/>
        </w:rPr>
        <w:t xml:space="preserve"> </w:t>
      </w:r>
    </w:p>
    <w:p w:rsidR="00421257" w:rsidRPr="00AC4AEA" w:rsidRDefault="00421257" w:rsidP="00A318EA">
      <w:pPr>
        <w:pStyle w:val="Ttulo2"/>
        <w:rPr>
          <w:rFonts w:cs="Arial"/>
        </w:rPr>
      </w:pPr>
      <w:bookmarkStart w:id="1283" w:name="_Toc139357089"/>
      <w:r w:rsidRPr="00AC4AEA">
        <w:rPr>
          <w:rFonts w:cs="Arial"/>
        </w:rPr>
        <w:t>Otras normas aplicables</w:t>
      </w:r>
      <w:bookmarkEnd w:id="1283"/>
      <w:r w:rsidRPr="00AC4AEA">
        <w:rPr>
          <w:rFonts w:cs="Arial"/>
        </w:rPr>
        <w:t xml:space="preserve"> </w:t>
      </w:r>
    </w:p>
    <w:p w:rsidR="00421257" w:rsidRPr="0087080A" w:rsidRDefault="00421257" w:rsidP="00C01B25">
      <w:pPr>
        <w:numPr>
          <w:ilvl w:val="0"/>
          <w:numId w:val="719"/>
        </w:numPr>
        <w:spacing w:after="147" w:line="264" w:lineRule="auto"/>
        <w:ind w:left="937" w:hanging="536"/>
        <w:jc w:val="both"/>
        <w:rPr>
          <w:rFonts w:ascii="Arial" w:eastAsia="Times New Roman" w:hAnsi="Arial" w:cs="Arial"/>
          <w:sz w:val="20"/>
          <w:szCs w:val="20"/>
          <w:lang w:eastAsia="es-AR"/>
        </w:rPr>
      </w:pPr>
      <w:bookmarkStart w:id="1284" w:name="_Ref135047919"/>
      <w:r w:rsidRPr="00AC4AEA">
        <w:rPr>
          <w:rFonts w:ascii="Arial" w:hAnsi="Arial" w:cs="Arial"/>
          <w:sz w:val="20"/>
          <w:szCs w:val="20"/>
        </w:rPr>
        <w:t xml:space="preserve">Para el </w:t>
      </w:r>
      <w:r w:rsidRPr="0087080A">
        <w:rPr>
          <w:rFonts w:ascii="Arial" w:hAnsi="Arial" w:cs="Arial"/>
          <w:sz w:val="20"/>
          <w:szCs w:val="20"/>
        </w:rPr>
        <w:t xml:space="preserve">tratamiento contable de </w:t>
      </w:r>
      <w:r w:rsidR="00174676" w:rsidRPr="0087080A">
        <w:rPr>
          <w:rFonts w:ascii="Arial" w:hAnsi="Arial" w:cs="Arial"/>
          <w:sz w:val="20"/>
          <w:szCs w:val="20"/>
        </w:rPr>
        <w:t xml:space="preserve">los </w:t>
      </w:r>
      <w:r w:rsidRPr="0087080A">
        <w:rPr>
          <w:rFonts w:ascii="Arial" w:hAnsi="Arial" w:cs="Arial"/>
          <w:sz w:val="20"/>
          <w:szCs w:val="20"/>
        </w:rPr>
        <w:t xml:space="preserve">rubros </w:t>
      </w:r>
      <w:r w:rsidR="00174676" w:rsidRPr="0087080A">
        <w:rPr>
          <w:rFonts w:ascii="Arial" w:hAnsi="Arial" w:cs="Arial"/>
          <w:sz w:val="20"/>
          <w:szCs w:val="20"/>
        </w:rPr>
        <w:t>contemplados</w:t>
      </w:r>
      <w:r w:rsidRPr="0087080A">
        <w:rPr>
          <w:rFonts w:ascii="Arial" w:hAnsi="Arial" w:cs="Arial"/>
          <w:sz w:val="20"/>
          <w:szCs w:val="20"/>
        </w:rPr>
        <w:t xml:space="preserve"> en esta sección, una entidad deberá contemplar, en tanto resulten pertinentes y no contradigan lo establecido en esta sección, otras disposiciones de esta Resolución Técnica u </w:t>
      </w:r>
      <w:r w:rsidRPr="0087080A">
        <w:rPr>
          <w:rFonts w:ascii="Arial" w:hAnsi="Arial" w:cs="Arial"/>
          <w:b/>
          <w:bCs/>
          <w:sz w:val="20"/>
          <w:szCs w:val="20"/>
        </w:rPr>
        <w:t>otras normas contables</w:t>
      </w:r>
      <w:r w:rsidRPr="0087080A">
        <w:rPr>
          <w:rFonts w:ascii="Arial" w:hAnsi="Arial" w:cs="Arial"/>
          <w:sz w:val="20"/>
          <w:szCs w:val="20"/>
        </w:rPr>
        <w:t>. Por ejemplo:</w:t>
      </w:r>
      <w:bookmarkEnd w:id="1284"/>
      <w:r w:rsidRPr="0087080A">
        <w:rPr>
          <w:rFonts w:ascii="Arial" w:hAnsi="Arial" w:cs="Arial"/>
          <w:sz w:val="20"/>
          <w:szCs w:val="20"/>
        </w:rPr>
        <w:t xml:space="preserve"> </w:t>
      </w:r>
    </w:p>
    <w:p w:rsidR="00421257" w:rsidRPr="00AC4AEA" w:rsidRDefault="00421257" w:rsidP="00C01B25">
      <w:pPr>
        <w:numPr>
          <w:ilvl w:val="1"/>
          <w:numId w:val="719"/>
        </w:numPr>
        <w:spacing w:after="172" w:line="256" w:lineRule="auto"/>
        <w:ind w:left="1418" w:hanging="463"/>
        <w:jc w:val="both"/>
        <w:rPr>
          <w:rFonts w:ascii="Arial" w:hAnsi="Arial" w:cs="Arial"/>
          <w:sz w:val="20"/>
          <w:szCs w:val="20"/>
        </w:rPr>
      </w:pPr>
      <w:r w:rsidRPr="0087080A">
        <w:rPr>
          <w:rFonts w:ascii="Arial" w:hAnsi="Arial" w:cs="Arial"/>
          <w:sz w:val="20"/>
          <w:szCs w:val="20"/>
        </w:rPr>
        <w:t>“</w:t>
      </w:r>
      <w:r w:rsidRPr="0087080A">
        <w:rPr>
          <w:rFonts w:ascii="Arial" w:hAnsi="Arial" w:cs="Arial"/>
          <w:sz w:val="20"/>
          <w:szCs w:val="20"/>
          <w:u w:val="single" w:color="000000"/>
        </w:rPr>
        <w:t>Medición de costos</w:t>
      </w:r>
      <w:r w:rsidRPr="0087080A">
        <w:rPr>
          <w:rFonts w:ascii="Arial" w:hAnsi="Arial" w:cs="Arial"/>
          <w:sz w:val="20"/>
          <w:szCs w:val="20"/>
        </w:rPr>
        <w:t>” [ver los párrafos</w:t>
      </w:r>
      <w:r w:rsidRPr="00AC4AEA">
        <w:rPr>
          <w:rFonts w:ascii="Arial" w:hAnsi="Arial" w:cs="Arial"/>
          <w:sz w:val="20"/>
          <w:szCs w:val="20"/>
        </w:rPr>
        <w:t xml:space="preserve"> </w:t>
      </w:r>
      <w:fldSimple w:instr=" REF _Ref99459939 \r \h  \* MERGEFORMAT ">
        <w:r w:rsidR="00D33A5D" w:rsidRPr="00D33A5D">
          <w:rPr>
            <w:rFonts w:ascii="Arial" w:hAnsi="Arial" w:cs="Arial"/>
            <w:sz w:val="20"/>
            <w:szCs w:val="20"/>
          </w:rPr>
          <w:t>102</w:t>
        </w:r>
      </w:fldSimple>
      <w:r w:rsidR="00572664" w:rsidRPr="00AC4AEA">
        <w:rPr>
          <w:rFonts w:ascii="Arial" w:hAnsi="Arial" w:cs="Arial"/>
          <w:sz w:val="20"/>
          <w:szCs w:val="20"/>
        </w:rPr>
        <w:t xml:space="preserve"> a </w:t>
      </w:r>
      <w:fldSimple w:instr=" REF _Ref99459944 \r \h  \* MERGEFORMAT ">
        <w:r w:rsidR="00D33A5D" w:rsidRPr="00D33A5D">
          <w:rPr>
            <w:rFonts w:ascii="Arial" w:hAnsi="Arial" w:cs="Arial"/>
            <w:sz w:val="20"/>
            <w:szCs w:val="20"/>
          </w:rPr>
          <w:t>110</w:t>
        </w:r>
      </w:fldSimple>
      <w:r w:rsidRPr="00AC4AEA">
        <w:rPr>
          <w:rFonts w:ascii="Arial" w:hAnsi="Arial" w:cs="Arial"/>
          <w:sz w:val="20"/>
          <w:szCs w:val="20"/>
        </w:rPr>
        <w:t>]</w:t>
      </w:r>
      <w:r w:rsidR="004E39D6" w:rsidRPr="00AC4AEA">
        <w:rPr>
          <w:rFonts w:ascii="Arial" w:hAnsi="Arial" w:cs="Arial"/>
          <w:sz w:val="20"/>
          <w:szCs w:val="20"/>
        </w:rPr>
        <w:t>.</w:t>
      </w:r>
      <w:r w:rsidRPr="00AC4AEA">
        <w:rPr>
          <w:rFonts w:ascii="Arial" w:hAnsi="Arial" w:cs="Arial"/>
          <w:sz w:val="20"/>
          <w:szCs w:val="20"/>
        </w:rPr>
        <w:t xml:space="preserve"> </w:t>
      </w:r>
    </w:p>
    <w:p w:rsidR="00421257" w:rsidRPr="00AC4AEA" w:rsidRDefault="00421257" w:rsidP="00C01B25">
      <w:pPr>
        <w:numPr>
          <w:ilvl w:val="1"/>
          <w:numId w:val="719"/>
        </w:numPr>
        <w:spacing w:after="173" w:line="256" w:lineRule="auto"/>
        <w:ind w:left="1418" w:hanging="463"/>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color="000000"/>
        </w:rPr>
        <w:t>Medición inicial de bienes o servicios</w:t>
      </w:r>
      <w:r w:rsidRPr="00AC4AEA">
        <w:rPr>
          <w:rFonts w:ascii="Arial" w:hAnsi="Arial" w:cs="Arial"/>
          <w:sz w:val="20"/>
          <w:szCs w:val="20"/>
        </w:rPr>
        <w:t xml:space="preserve">” [ver los párrafos </w:t>
      </w:r>
      <w:fldSimple w:instr=" REF _Ref99460116 \r \h  \* MERGEFORMAT ">
        <w:r w:rsidR="00D33A5D" w:rsidRPr="00D33A5D">
          <w:rPr>
            <w:rFonts w:ascii="Arial" w:hAnsi="Arial" w:cs="Arial"/>
            <w:sz w:val="20"/>
            <w:szCs w:val="20"/>
          </w:rPr>
          <w:t>203</w:t>
        </w:r>
      </w:fldSimple>
      <w:r w:rsidR="00572664" w:rsidRPr="00AC4AEA">
        <w:rPr>
          <w:rFonts w:ascii="Arial" w:hAnsi="Arial" w:cs="Arial"/>
          <w:sz w:val="20"/>
          <w:szCs w:val="20"/>
        </w:rPr>
        <w:t xml:space="preserve"> a </w:t>
      </w:r>
      <w:fldSimple w:instr=" REF _Ref81056357 \r \h  \* MERGEFORMAT ">
        <w:r w:rsidR="00D33A5D" w:rsidRPr="00D33A5D">
          <w:rPr>
            <w:rFonts w:ascii="Arial" w:hAnsi="Arial" w:cs="Arial"/>
            <w:sz w:val="20"/>
            <w:szCs w:val="20"/>
          </w:rPr>
          <w:t>204</w:t>
        </w:r>
      </w:fldSimple>
      <w:r w:rsidRPr="00AC4AEA">
        <w:rPr>
          <w:rFonts w:ascii="Arial" w:hAnsi="Arial" w:cs="Arial"/>
          <w:sz w:val="20"/>
          <w:szCs w:val="20"/>
        </w:rPr>
        <w:t>]</w:t>
      </w:r>
      <w:r w:rsidR="004E39D6" w:rsidRPr="00AC4AEA">
        <w:rPr>
          <w:rFonts w:ascii="Arial" w:hAnsi="Arial" w:cs="Arial"/>
          <w:sz w:val="20"/>
          <w:szCs w:val="20"/>
        </w:rPr>
        <w:t>.</w:t>
      </w:r>
      <w:r w:rsidRPr="00AC4AEA">
        <w:rPr>
          <w:rFonts w:ascii="Arial" w:hAnsi="Arial" w:cs="Arial"/>
          <w:sz w:val="20"/>
          <w:szCs w:val="20"/>
        </w:rPr>
        <w:t xml:space="preserve"> </w:t>
      </w:r>
    </w:p>
    <w:p w:rsidR="00421257" w:rsidRPr="00AC4AEA" w:rsidRDefault="00421257" w:rsidP="00C01B25">
      <w:pPr>
        <w:numPr>
          <w:ilvl w:val="1"/>
          <w:numId w:val="719"/>
        </w:numPr>
        <w:spacing w:after="173" w:line="256" w:lineRule="auto"/>
        <w:ind w:left="1418" w:hanging="463"/>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color="000000"/>
        </w:rPr>
        <w:t>Medición de valores corrientes</w:t>
      </w:r>
      <w:r w:rsidRPr="00AC4AEA">
        <w:rPr>
          <w:rFonts w:ascii="Arial" w:hAnsi="Arial" w:cs="Arial"/>
          <w:sz w:val="20"/>
          <w:szCs w:val="20"/>
        </w:rPr>
        <w:t xml:space="preserve">” [ver los párrafos </w:t>
      </w:r>
      <w:fldSimple w:instr=" REF _Ref99459999 \r \h  \* MERGEFORMAT ">
        <w:r w:rsidR="00D33A5D" w:rsidRPr="00D33A5D">
          <w:rPr>
            <w:rFonts w:ascii="Arial" w:hAnsi="Arial" w:cs="Arial"/>
            <w:sz w:val="20"/>
            <w:szCs w:val="20"/>
          </w:rPr>
          <w:t>117</w:t>
        </w:r>
      </w:fldSimple>
      <w:r w:rsidR="00572664" w:rsidRPr="00AC4AEA">
        <w:rPr>
          <w:rFonts w:ascii="Arial" w:hAnsi="Arial" w:cs="Arial"/>
          <w:sz w:val="20"/>
          <w:szCs w:val="20"/>
        </w:rPr>
        <w:t xml:space="preserve"> a </w:t>
      </w:r>
      <w:fldSimple w:instr=" REF _Ref99460009 \r \h  \* MERGEFORMAT ">
        <w:r w:rsidR="00D33A5D" w:rsidRPr="00D33A5D">
          <w:rPr>
            <w:rFonts w:ascii="Arial" w:hAnsi="Arial" w:cs="Arial"/>
            <w:sz w:val="20"/>
            <w:szCs w:val="20"/>
          </w:rPr>
          <w:t>122</w:t>
        </w:r>
      </w:fldSimple>
      <w:r w:rsidRPr="00AC4AEA">
        <w:rPr>
          <w:rFonts w:ascii="Arial" w:hAnsi="Arial" w:cs="Arial"/>
          <w:sz w:val="20"/>
          <w:szCs w:val="20"/>
        </w:rPr>
        <w:t xml:space="preserve">]. </w:t>
      </w:r>
    </w:p>
    <w:p w:rsidR="00421257" w:rsidRPr="00AC4AEA" w:rsidRDefault="00421257" w:rsidP="00C01B25">
      <w:pPr>
        <w:numPr>
          <w:ilvl w:val="1"/>
          <w:numId w:val="719"/>
        </w:numPr>
        <w:spacing w:after="173" w:line="256" w:lineRule="auto"/>
        <w:ind w:left="1418" w:hanging="463"/>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color="000000"/>
        </w:rPr>
        <w:t>Mediciones en moneda extranjera</w:t>
      </w:r>
      <w:r w:rsidRPr="00AC4AEA">
        <w:rPr>
          <w:rFonts w:ascii="Arial" w:hAnsi="Arial" w:cs="Arial"/>
          <w:sz w:val="20"/>
          <w:szCs w:val="20"/>
        </w:rPr>
        <w:t xml:space="preserve">” [ver los párrafos </w:t>
      </w:r>
      <w:r w:rsidR="001C4138">
        <w:rPr>
          <w:rFonts w:ascii="Arial" w:hAnsi="Arial" w:cs="Arial"/>
          <w:sz w:val="20"/>
          <w:szCs w:val="20"/>
        </w:rPr>
        <w:fldChar w:fldCharType="begin"/>
      </w:r>
      <w:r w:rsidR="00BF70B7">
        <w:rPr>
          <w:rFonts w:ascii="Arial" w:hAnsi="Arial" w:cs="Arial"/>
          <w:sz w:val="20"/>
          <w:szCs w:val="20"/>
        </w:rPr>
        <w:instrText xml:space="preserve"> REF _Ref139272499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124</w:t>
      </w:r>
      <w:r w:rsidR="001C4138">
        <w:rPr>
          <w:rFonts w:ascii="Arial" w:hAnsi="Arial" w:cs="Arial"/>
          <w:sz w:val="20"/>
          <w:szCs w:val="20"/>
        </w:rPr>
        <w:fldChar w:fldCharType="end"/>
      </w:r>
      <w:r w:rsidR="00BF70B7" w:rsidRPr="00AC4AEA">
        <w:rPr>
          <w:rFonts w:ascii="Arial" w:hAnsi="Arial" w:cs="Arial"/>
          <w:sz w:val="20"/>
          <w:szCs w:val="20"/>
        </w:rPr>
        <w:t xml:space="preserve"> </w:t>
      </w:r>
      <w:r w:rsidRPr="00AC4AEA">
        <w:rPr>
          <w:rFonts w:ascii="Arial" w:hAnsi="Arial" w:cs="Arial"/>
          <w:sz w:val="20"/>
          <w:szCs w:val="20"/>
        </w:rPr>
        <w:t xml:space="preserve">a 128]. </w:t>
      </w:r>
    </w:p>
    <w:p w:rsidR="00421257" w:rsidRPr="00AC4AEA" w:rsidRDefault="00421257" w:rsidP="00C01B25">
      <w:pPr>
        <w:numPr>
          <w:ilvl w:val="1"/>
          <w:numId w:val="719"/>
        </w:numPr>
        <w:spacing w:after="173" w:line="256" w:lineRule="auto"/>
        <w:ind w:left="1418" w:hanging="463"/>
        <w:jc w:val="both"/>
        <w:rPr>
          <w:rFonts w:ascii="Arial" w:hAnsi="Arial" w:cs="Arial"/>
          <w:sz w:val="20"/>
          <w:szCs w:val="20"/>
        </w:rPr>
      </w:pPr>
      <w:r w:rsidRPr="00AC4AEA">
        <w:rPr>
          <w:rFonts w:ascii="Arial" w:hAnsi="Arial" w:cs="Arial"/>
          <w:sz w:val="20"/>
          <w:szCs w:val="20"/>
        </w:rPr>
        <w:t>“</w:t>
      </w:r>
      <w:r w:rsidRPr="00AC4AEA">
        <w:rPr>
          <w:rFonts w:ascii="Arial" w:hAnsi="Arial" w:cs="Arial"/>
          <w:sz w:val="20"/>
          <w:szCs w:val="20"/>
          <w:u w:val="single" w:color="000000"/>
        </w:rPr>
        <w:t xml:space="preserve">Expresión de los estados contables en moneda </w:t>
      </w:r>
      <w:r w:rsidR="00F0601B">
        <w:rPr>
          <w:rFonts w:ascii="Arial" w:hAnsi="Arial" w:cs="Arial"/>
          <w:sz w:val="20"/>
          <w:szCs w:val="20"/>
          <w:u w:val="single" w:color="000000"/>
        </w:rPr>
        <w:t>de cierre</w:t>
      </w:r>
      <w:r w:rsidRPr="00AC4AEA">
        <w:rPr>
          <w:rFonts w:ascii="Arial" w:hAnsi="Arial" w:cs="Arial"/>
          <w:sz w:val="20"/>
          <w:szCs w:val="20"/>
          <w:u w:val="single" w:color="000000"/>
        </w:rPr>
        <w:t xml:space="preserve"> en un contexto de</w:t>
      </w:r>
      <w:r w:rsidRPr="00AC4AEA">
        <w:rPr>
          <w:rFonts w:ascii="Arial" w:hAnsi="Arial" w:cs="Arial"/>
          <w:sz w:val="20"/>
          <w:szCs w:val="20"/>
        </w:rPr>
        <w:t xml:space="preserve"> </w:t>
      </w:r>
      <w:r w:rsidRPr="00AC4AEA">
        <w:rPr>
          <w:rFonts w:ascii="Arial" w:hAnsi="Arial" w:cs="Arial"/>
          <w:sz w:val="20"/>
          <w:szCs w:val="20"/>
          <w:u w:val="single" w:color="000000"/>
        </w:rPr>
        <w:t>inflación (ajuste por inflación de los estados contables)</w:t>
      </w:r>
      <w:r w:rsidRPr="00AC4AEA">
        <w:rPr>
          <w:rFonts w:ascii="Arial" w:hAnsi="Arial" w:cs="Arial"/>
          <w:sz w:val="20"/>
          <w:szCs w:val="20"/>
        </w:rPr>
        <w:t xml:space="preserve">” [ver los párrafos </w:t>
      </w:r>
      <w:fldSimple w:instr=" REF _Ref99459117 \r \h  \* MERGEFORMAT ">
        <w:r w:rsidR="00D33A5D" w:rsidRPr="00D33A5D">
          <w:rPr>
            <w:rFonts w:ascii="Arial" w:hAnsi="Arial" w:cs="Arial"/>
            <w:sz w:val="20"/>
            <w:szCs w:val="20"/>
          </w:rPr>
          <w:t>176</w:t>
        </w:r>
      </w:fldSimple>
      <w:r w:rsidR="0081081E" w:rsidRPr="00AC4AEA">
        <w:rPr>
          <w:rFonts w:ascii="Arial" w:hAnsi="Arial" w:cs="Arial"/>
          <w:sz w:val="20"/>
          <w:szCs w:val="20"/>
        </w:rPr>
        <w:t xml:space="preserve"> a </w:t>
      </w:r>
      <w:fldSimple w:instr=" REF _Ref99459144 \r \h  \* MERGEFORMAT ">
        <w:r w:rsidR="00D33A5D" w:rsidRPr="00D33A5D">
          <w:rPr>
            <w:rFonts w:ascii="Arial" w:hAnsi="Arial" w:cs="Arial"/>
            <w:sz w:val="20"/>
            <w:szCs w:val="20"/>
          </w:rPr>
          <w:t>200</w:t>
        </w:r>
      </w:fldSimple>
      <w:r w:rsidRPr="00AC4AEA">
        <w:rPr>
          <w:rFonts w:ascii="Arial" w:hAnsi="Arial" w:cs="Arial"/>
          <w:sz w:val="20"/>
          <w:szCs w:val="20"/>
        </w:rPr>
        <w:t xml:space="preserve">]. </w:t>
      </w:r>
    </w:p>
    <w:p w:rsidR="0059338B" w:rsidRPr="00AC4AEA" w:rsidRDefault="0059338B" w:rsidP="003738D3">
      <w:pPr>
        <w:pStyle w:val="Ttulo1"/>
        <w:rPr>
          <w:rFonts w:cs="Arial"/>
          <w:sz w:val="20"/>
          <w:szCs w:val="20"/>
        </w:rPr>
      </w:pPr>
    </w:p>
    <w:p w:rsidR="003738D3" w:rsidRPr="00AC4AEA" w:rsidRDefault="003738D3" w:rsidP="003738D3">
      <w:pPr>
        <w:pStyle w:val="Ttulo1"/>
        <w:rPr>
          <w:rFonts w:cs="Arial"/>
          <w:sz w:val="20"/>
          <w:szCs w:val="20"/>
        </w:rPr>
      </w:pPr>
      <w:bookmarkStart w:id="1285" w:name="_Toc139357090"/>
      <w:r w:rsidRPr="00AC4AEA">
        <w:rPr>
          <w:rFonts w:cs="Arial"/>
          <w:sz w:val="20"/>
          <w:szCs w:val="20"/>
        </w:rPr>
        <w:t>CAPÍTULO 11</w:t>
      </w:r>
      <w:bookmarkEnd w:id="1285"/>
      <w:r w:rsidRPr="00AC4AEA">
        <w:rPr>
          <w:rFonts w:cs="Arial"/>
          <w:sz w:val="20"/>
          <w:szCs w:val="20"/>
        </w:rPr>
        <w:t xml:space="preserve"> </w:t>
      </w:r>
    </w:p>
    <w:p w:rsidR="003738D3" w:rsidRPr="00AC4AEA" w:rsidRDefault="00305329" w:rsidP="003738D3">
      <w:pPr>
        <w:pStyle w:val="Ttulo1"/>
        <w:rPr>
          <w:rFonts w:cs="Arial"/>
          <w:sz w:val="20"/>
          <w:szCs w:val="20"/>
        </w:rPr>
      </w:pPr>
      <w:bookmarkStart w:id="1286" w:name="_Toc139357091"/>
      <w:r w:rsidRPr="00AC4AEA">
        <w:rPr>
          <w:rFonts w:cs="Arial"/>
          <w:caps w:val="0"/>
          <w:sz w:val="20"/>
          <w:szCs w:val="20"/>
        </w:rPr>
        <w:t>ESTADOS CONTABLES DE NEGOCIOS CONJUNTOS</w:t>
      </w:r>
      <w:r w:rsidR="003E0320" w:rsidRPr="00AC4AEA">
        <w:rPr>
          <w:rFonts w:cs="Arial"/>
          <w:caps w:val="0"/>
          <w:sz w:val="20"/>
          <w:szCs w:val="20"/>
        </w:rPr>
        <w:t xml:space="preserve"> NO SOCIETARIOS</w:t>
      </w:r>
      <w:r w:rsidRPr="00AC4AEA">
        <w:rPr>
          <w:rFonts w:cs="Arial"/>
          <w:caps w:val="0"/>
          <w:sz w:val="20"/>
          <w:szCs w:val="20"/>
        </w:rPr>
        <w:t xml:space="preserve">: </w:t>
      </w:r>
      <w:r w:rsidR="003E0320" w:rsidRPr="00AC4AEA">
        <w:rPr>
          <w:rFonts w:cs="Arial"/>
          <w:caps w:val="0"/>
          <w:sz w:val="20"/>
          <w:szCs w:val="20"/>
        </w:rPr>
        <w:t>CUESTIONES</w:t>
      </w:r>
      <w:r w:rsidRPr="00AC4AEA">
        <w:rPr>
          <w:rFonts w:cs="Arial"/>
          <w:caps w:val="0"/>
          <w:sz w:val="20"/>
          <w:szCs w:val="20"/>
        </w:rPr>
        <w:t xml:space="preserve"> ESPECÍFIC</w:t>
      </w:r>
      <w:r w:rsidR="003E0320" w:rsidRPr="00AC4AEA">
        <w:rPr>
          <w:rFonts w:cs="Arial"/>
          <w:caps w:val="0"/>
          <w:sz w:val="20"/>
          <w:szCs w:val="20"/>
        </w:rPr>
        <w:t>A</w:t>
      </w:r>
      <w:r w:rsidRPr="00AC4AEA">
        <w:rPr>
          <w:rFonts w:cs="Arial"/>
          <w:caps w:val="0"/>
          <w:sz w:val="20"/>
          <w:szCs w:val="20"/>
        </w:rPr>
        <w:t>S</w:t>
      </w:r>
      <w:bookmarkEnd w:id="1286"/>
      <w:r w:rsidRPr="00AC4AEA">
        <w:rPr>
          <w:rFonts w:cs="Arial"/>
          <w:caps w:val="0"/>
          <w:sz w:val="20"/>
          <w:szCs w:val="20"/>
        </w:rPr>
        <w:t xml:space="preserve"> </w:t>
      </w:r>
    </w:p>
    <w:p w:rsidR="00724778" w:rsidRPr="00AC4AEA" w:rsidRDefault="008C6CE4" w:rsidP="00C01B25">
      <w:pPr>
        <w:pStyle w:val="Prrafodelista"/>
        <w:numPr>
          <w:ilvl w:val="0"/>
          <w:numId w:val="719"/>
        </w:numPr>
        <w:spacing w:line="256" w:lineRule="auto"/>
        <w:ind w:left="1134" w:hanging="708"/>
        <w:jc w:val="both"/>
        <w:rPr>
          <w:rFonts w:ascii="Arial" w:hAnsi="Arial" w:cs="Arial"/>
          <w:sz w:val="20"/>
          <w:szCs w:val="20"/>
        </w:rPr>
      </w:pPr>
      <w:bookmarkStart w:id="1287" w:name="_Ref135772033"/>
      <w:r w:rsidRPr="00AC4AEA">
        <w:rPr>
          <w:rFonts w:ascii="Arial" w:hAnsi="Arial" w:cs="Arial"/>
          <w:sz w:val="20"/>
          <w:szCs w:val="20"/>
        </w:rPr>
        <w:t xml:space="preserve">Si bien el negocio conjunto no societario, por no ser sujeto de derecho, no puede adquirir bienes ni contraer obligaciones, resulta conveniente </w:t>
      </w:r>
      <w:r w:rsidR="004E7854" w:rsidRPr="00AC4AEA">
        <w:rPr>
          <w:rFonts w:ascii="Arial" w:hAnsi="Arial" w:cs="Arial"/>
          <w:sz w:val="20"/>
          <w:szCs w:val="20"/>
        </w:rPr>
        <w:t xml:space="preserve">que </w:t>
      </w:r>
      <w:r w:rsidRPr="00AC4AEA">
        <w:rPr>
          <w:rFonts w:ascii="Arial" w:hAnsi="Arial" w:cs="Arial"/>
          <w:sz w:val="20"/>
          <w:szCs w:val="20"/>
        </w:rPr>
        <w:t>confeccion</w:t>
      </w:r>
      <w:r w:rsidR="004E7854" w:rsidRPr="00AC4AEA">
        <w:rPr>
          <w:rFonts w:ascii="Arial" w:hAnsi="Arial" w:cs="Arial"/>
          <w:sz w:val="20"/>
          <w:szCs w:val="20"/>
        </w:rPr>
        <w:t>e</w:t>
      </w:r>
      <w:r w:rsidR="005B0D32" w:rsidRPr="00AC4AEA">
        <w:rPr>
          <w:rFonts w:ascii="Arial" w:hAnsi="Arial" w:cs="Arial"/>
          <w:sz w:val="20"/>
          <w:szCs w:val="20"/>
        </w:rPr>
        <w:t xml:space="preserve"> </w:t>
      </w:r>
      <w:r w:rsidRPr="00AC4AEA">
        <w:rPr>
          <w:rFonts w:ascii="Arial" w:hAnsi="Arial" w:cs="Arial"/>
          <w:b/>
          <w:bCs/>
          <w:sz w:val="20"/>
          <w:szCs w:val="20"/>
        </w:rPr>
        <w:t>estados contables</w:t>
      </w:r>
      <w:r w:rsidRPr="00AC4AEA">
        <w:rPr>
          <w:rFonts w:ascii="Arial" w:hAnsi="Arial" w:cs="Arial"/>
          <w:sz w:val="20"/>
          <w:szCs w:val="20"/>
        </w:rPr>
        <w:t xml:space="preserve"> que muestren el patrimonio en condominio de l</w:t>
      </w:r>
      <w:r w:rsidR="005B0D32" w:rsidRPr="00AC4AEA">
        <w:rPr>
          <w:rFonts w:ascii="Arial" w:hAnsi="Arial" w:cs="Arial"/>
          <w:sz w:val="20"/>
          <w:szCs w:val="20"/>
        </w:rPr>
        <w:t xml:space="preserve">as partes </w:t>
      </w:r>
      <w:r w:rsidRPr="00AC4AEA">
        <w:rPr>
          <w:rFonts w:ascii="Arial" w:hAnsi="Arial" w:cs="Arial"/>
          <w:sz w:val="20"/>
          <w:szCs w:val="20"/>
        </w:rPr>
        <w:t xml:space="preserve">y los resultados del negocio </w:t>
      </w:r>
      <w:r w:rsidR="005B0D32" w:rsidRPr="00AC4AEA">
        <w:rPr>
          <w:rFonts w:ascii="Arial" w:hAnsi="Arial" w:cs="Arial"/>
          <w:sz w:val="20"/>
          <w:szCs w:val="20"/>
        </w:rPr>
        <w:t>conjunto no societario</w:t>
      </w:r>
      <w:r w:rsidRPr="00AC4AEA">
        <w:rPr>
          <w:rFonts w:ascii="Arial" w:hAnsi="Arial" w:cs="Arial"/>
          <w:sz w:val="20"/>
          <w:szCs w:val="20"/>
        </w:rPr>
        <w:t>, de modo que cada un</w:t>
      </w:r>
      <w:r w:rsidR="00724778" w:rsidRPr="00AC4AEA">
        <w:rPr>
          <w:rFonts w:ascii="Arial" w:hAnsi="Arial" w:cs="Arial"/>
          <w:sz w:val="20"/>
          <w:szCs w:val="20"/>
        </w:rPr>
        <w:t>a</w:t>
      </w:r>
      <w:r w:rsidRPr="00AC4AEA">
        <w:rPr>
          <w:rFonts w:ascii="Arial" w:hAnsi="Arial" w:cs="Arial"/>
          <w:sz w:val="20"/>
          <w:szCs w:val="20"/>
        </w:rPr>
        <w:t xml:space="preserve"> de </w:t>
      </w:r>
      <w:r w:rsidR="004E7854" w:rsidRPr="00AC4AEA">
        <w:rPr>
          <w:rFonts w:ascii="Arial" w:hAnsi="Arial" w:cs="Arial"/>
          <w:sz w:val="20"/>
          <w:szCs w:val="20"/>
        </w:rPr>
        <w:t>sus</w:t>
      </w:r>
      <w:r w:rsidRPr="00AC4AEA">
        <w:rPr>
          <w:rFonts w:ascii="Arial" w:hAnsi="Arial" w:cs="Arial"/>
          <w:sz w:val="20"/>
          <w:szCs w:val="20"/>
        </w:rPr>
        <w:t xml:space="preserve"> </w:t>
      </w:r>
      <w:r w:rsidR="00724778" w:rsidRPr="00AC4AEA">
        <w:rPr>
          <w:rFonts w:ascii="Arial" w:hAnsi="Arial" w:cs="Arial"/>
          <w:sz w:val="20"/>
          <w:szCs w:val="20"/>
        </w:rPr>
        <w:t xml:space="preserve">partes </w:t>
      </w:r>
      <w:r w:rsidRPr="00AC4AEA">
        <w:rPr>
          <w:rFonts w:ascii="Arial" w:hAnsi="Arial" w:cs="Arial"/>
          <w:sz w:val="20"/>
          <w:szCs w:val="20"/>
        </w:rPr>
        <w:t>pueda utilizarlos como base para reflejar</w:t>
      </w:r>
      <w:r w:rsidR="004E7854" w:rsidRPr="00AC4AEA">
        <w:rPr>
          <w:rFonts w:ascii="Arial" w:hAnsi="Arial" w:cs="Arial"/>
          <w:sz w:val="20"/>
          <w:szCs w:val="20"/>
        </w:rPr>
        <w:t>,</w:t>
      </w:r>
      <w:r w:rsidRPr="00AC4AEA">
        <w:rPr>
          <w:rFonts w:ascii="Arial" w:hAnsi="Arial" w:cs="Arial"/>
          <w:sz w:val="20"/>
          <w:szCs w:val="20"/>
        </w:rPr>
        <w:t xml:space="preserve"> en sus propios </w:t>
      </w:r>
      <w:r w:rsidRPr="00AC4AEA">
        <w:rPr>
          <w:rFonts w:ascii="Arial" w:hAnsi="Arial" w:cs="Arial"/>
          <w:b/>
          <w:bCs/>
          <w:sz w:val="20"/>
          <w:szCs w:val="20"/>
        </w:rPr>
        <w:t>estados contables</w:t>
      </w:r>
      <w:r w:rsidR="004E7854" w:rsidRPr="00AC4AEA">
        <w:rPr>
          <w:rFonts w:ascii="Arial" w:hAnsi="Arial" w:cs="Arial"/>
          <w:sz w:val="20"/>
          <w:szCs w:val="20"/>
        </w:rPr>
        <w:t>,</w:t>
      </w:r>
      <w:r w:rsidRPr="00AC4AEA">
        <w:rPr>
          <w:rFonts w:ascii="Arial" w:hAnsi="Arial" w:cs="Arial"/>
          <w:sz w:val="20"/>
          <w:szCs w:val="20"/>
        </w:rPr>
        <w:t xml:space="preserve"> su participación en ellos.</w:t>
      </w:r>
      <w:bookmarkEnd w:id="1287"/>
      <w:r w:rsidRPr="00AC4AEA">
        <w:rPr>
          <w:rFonts w:ascii="Arial" w:hAnsi="Arial" w:cs="Arial"/>
          <w:sz w:val="20"/>
          <w:szCs w:val="20"/>
        </w:rPr>
        <w:t xml:space="preserve"> </w:t>
      </w:r>
    </w:p>
    <w:p w:rsidR="00724778" w:rsidRPr="00AC4AEA" w:rsidRDefault="00724778" w:rsidP="00C01B25">
      <w:pPr>
        <w:pStyle w:val="Prrafodelista"/>
        <w:numPr>
          <w:ilvl w:val="0"/>
          <w:numId w:val="719"/>
        </w:numPr>
        <w:spacing w:line="256" w:lineRule="auto"/>
        <w:ind w:left="1134" w:hanging="708"/>
        <w:jc w:val="both"/>
        <w:rPr>
          <w:rFonts w:ascii="Arial" w:hAnsi="Arial" w:cs="Arial"/>
          <w:sz w:val="20"/>
          <w:szCs w:val="20"/>
        </w:rPr>
      </w:pPr>
      <w:r w:rsidRPr="00AC4AEA">
        <w:rPr>
          <w:rFonts w:ascii="Arial" w:hAnsi="Arial" w:cs="Arial"/>
          <w:sz w:val="20"/>
          <w:szCs w:val="20"/>
        </w:rPr>
        <w:t xml:space="preserve">En sus </w:t>
      </w:r>
      <w:r w:rsidRPr="00AC4AEA">
        <w:rPr>
          <w:rFonts w:ascii="Arial" w:hAnsi="Arial" w:cs="Arial"/>
          <w:b/>
          <w:bCs/>
          <w:sz w:val="20"/>
          <w:szCs w:val="20"/>
        </w:rPr>
        <w:t>estados contables</w:t>
      </w:r>
      <w:r w:rsidRPr="00AC4AEA">
        <w:rPr>
          <w:rFonts w:ascii="Arial" w:hAnsi="Arial" w:cs="Arial"/>
          <w:sz w:val="20"/>
          <w:szCs w:val="20"/>
        </w:rPr>
        <w:t>, un negocio conjunto no societario n</w:t>
      </w:r>
      <w:r w:rsidR="008C6CE4" w:rsidRPr="00AC4AEA">
        <w:rPr>
          <w:rFonts w:ascii="Arial" w:hAnsi="Arial" w:cs="Arial"/>
          <w:sz w:val="20"/>
          <w:szCs w:val="20"/>
        </w:rPr>
        <w:t xml:space="preserve">o </w:t>
      </w:r>
      <w:r w:rsidRPr="00AC4AEA">
        <w:rPr>
          <w:rFonts w:ascii="Arial" w:hAnsi="Arial" w:cs="Arial"/>
          <w:sz w:val="20"/>
          <w:szCs w:val="20"/>
        </w:rPr>
        <w:t>r</w:t>
      </w:r>
      <w:r w:rsidR="008C6CE4" w:rsidRPr="00AC4AEA">
        <w:rPr>
          <w:rFonts w:ascii="Arial" w:hAnsi="Arial" w:cs="Arial"/>
          <w:sz w:val="20"/>
          <w:szCs w:val="20"/>
        </w:rPr>
        <w:t>econoc</w:t>
      </w:r>
      <w:r w:rsidRPr="00AC4AEA">
        <w:rPr>
          <w:rFonts w:ascii="Arial" w:hAnsi="Arial" w:cs="Arial"/>
          <w:sz w:val="20"/>
          <w:szCs w:val="20"/>
        </w:rPr>
        <w:t>erá</w:t>
      </w:r>
      <w:r w:rsidR="008C6CE4" w:rsidRPr="00AC4AEA">
        <w:rPr>
          <w:rFonts w:ascii="Arial" w:hAnsi="Arial" w:cs="Arial"/>
          <w:sz w:val="20"/>
          <w:szCs w:val="20"/>
        </w:rPr>
        <w:t xml:space="preserve"> como </w:t>
      </w:r>
      <w:r w:rsidR="00CE13D7" w:rsidRPr="00CE13D7">
        <w:rPr>
          <w:rFonts w:ascii="Arial" w:hAnsi="Arial" w:cs="Arial"/>
          <w:bCs/>
          <w:sz w:val="20"/>
          <w:szCs w:val="20"/>
        </w:rPr>
        <w:t>activos</w:t>
      </w:r>
      <w:r w:rsidR="008C6CE4" w:rsidRPr="00AC4AEA">
        <w:rPr>
          <w:rFonts w:ascii="Arial" w:hAnsi="Arial" w:cs="Arial"/>
          <w:sz w:val="20"/>
          <w:szCs w:val="20"/>
        </w:rPr>
        <w:t xml:space="preserve"> los derechos de uso constituidos sobre bienes de propiedad de l</w:t>
      </w:r>
      <w:r w:rsidRPr="00AC4AEA">
        <w:rPr>
          <w:rFonts w:ascii="Arial" w:hAnsi="Arial" w:cs="Arial"/>
          <w:sz w:val="20"/>
          <w:szCs w:val="20"/>
        </w:rPr>
        <w:t>a</w:t>
      </w:r>
      <w:r w:rsidR="008C6CE4" w:rsidRPr="00AC4AEA">
        <w:rPr>
          <w:rFonts w:ascii="Arial" w:hAnsi="Arial" w:cs="Arial"/>
          <w:sz w:val="20"/>
          <w:szCs w:val="20"/>
        </w:rPr>
        <w:t xml:space="preserve">s </w:t>
      </w:r>
      <w:r w:rsidRPr="00AC4AEA">
        <w:rPr>
          <w:rFonts w:ascii="Arial" w:hAnsi="Arial" w:cs="Arial"/>
          <w:sz w:val="20"/>
          <w:szCs w:val="20"/>
        </w:rPr>
        <w:t>partes</w:t>
      </w:r>
      <w:r w:rsidR="008C6CE4" w:rsidRPr="00AC4AEA">
        <w:rPr>
          <w:rFonts w:ascii="Arial" w:hAnsi="Arial" w:cs="Arial"/>
          <w:sz w:val="20"/>
          <w:szCs w:val="20"/>
        </w:rPr>
        <w:t xml:space="preserve">. </w:t>
      </w:r>
    </w:p>
    <w:p w:rsidR="00BF46E8" w:rsidRPr="00AC4AEA" w:rsidRDefault="00724778" w:rsidP="00C01B25">
      <w:pPr>
        <w:pStyle w:val="Prrafodelista"/>
        <w:numPr>
          <w:ilvl w:val="0"/>
          <w:numId w:val="719"/>
        </w:numPr>
        <w:spacing w:line="256" w:lineRule="auto"/>
        <w:ind w:left="1134" w:hanging="708"/>
        <w:jc w:val="both"/>
        <w:rPr>
          <w:rFonts w:ascii="Arial" w:hAnsi="Arial" w:cs="Arial"/>
          <w:sz w:val="20"/>
          <w:szCs w:val="20"/>
        </w:rPr>
      </w:pPr>
      <w:r w:rsidRPr="00AC4AEA">
        <w:rPr>
          <w:rFonts w:ascii="Arial" w:hAnsi="Arial" w:cs="Arial"/>
          <w:sz w:val="20"/>
          <w:szCs w:val="20"/>
        </w:rPr>
        <w:t>E</w:t>
      </w:r>
      <w:r w:rsidR="008C6CE4" w:rsidRPr="00AC4AEA">
        <w:rPr>
          <w:rFonts w:ascii="Arial" w:hAnsi="Arial" w:cs="Arial"/>
          <w:sz w:val="20"/>
          <w:szCs w:val="20"/>
        </w:rPr>
        <w:t xml:space="preserve">n </w:t>
      </w:r>
      <w:r w:rsidRPr="00AC4AEA">
        <w:rPr>
          <w:rFonts w:ascii="Arial" w:hAnsi="Arial" w:cs="Arial"/>
          <w:sz w:val="20"/>
          <w:szCs w:val="20"/>
        </w:rPr>
        <w:t>sus</w:t>
      </w:r>
      <w:r w:rsidR="008C6CE4" w:rsidRPr="00AC4AEA">
        <w:rPr>
          <w:rFonts w:ascii="Arial" w:hAnsi="Arial" w:cs="Arial"/>
          <w:sz w:val="20"/>
          <w:szCs w:val="20"/>
        </w:rPr>
        <w:t xml:space="preserve"> </w:t>
      </w:r>
      <w:r w:rsidR="008C6CE4" w:rsidRPr="00AC4AEA">
        <w:rPr>
          <w:rFonts w:ascii="Arial" w:hAnsi="Arial" w:cs="Arial"/>
          <w:b/>
          <w:bCs/>
          <w:sz w:val="20"/>
          <w:szCs w:val="20"/>
        </w:rPr>
        <w:t>estados contables</w:t>
      </w:r>
      <w:r w:rsidRPr="00AC4AEA">
        <w:rPr>
          <w:rFonts w:ascii="Arial" w:hAnsi="Arial" w:cs="Arial"/>
          <w:sz w:val="20"/>
          <w:szCs w:val="20"/>
        </w:rPr>
        <w:t>, un</w:t>
      </w:r>
      <w:r w:rsidR="008C6CE4" w:rsidRPr="00AC4AEA">
        <w:rPr>
          <w:rFonts w:ascii="Arial" w:hAnsi="Arial" w:cs="Arial"/>
          <w:sz w:val="20"/>
          <w:szCs w:val="20"/>
        </w:rPr>
        <w:t xml:space="preserve"> negocio conjunto </w:t>
      </w:r>
      <w:r w:rsidRPr="00AC4AEA">
        <w:rPr>
          <w:rFonts w:ascii="Arial" w:hAnsi="Arial" w:cs="Arial"/>
          <w:sz w:val="20"/>
          <w:szCs w:val="20"/>
        </w:rPr>
        <w:t xml:space="preserve">no societario </w:t>
      </w:r>
      <w:r w:rsidR="00A7028C" w:rsidRPr="00AC4AEA">
        <w:rPr>
          <w:rFonts w:ascii="Arial" w:hAnsi="Arial" w:cs="Arial"/>
          <w:sz w:val="20"/>
          <w:szCs w:val="20"/>
        </w:rPr>
        <w:t xml:space="preserve">reconocerá </w:t>
      </w:r>
      <w:r w:rsidR="008C6CE4" w:rsidRPr="00AC4AEA">
        <w:rPr>
          <w:rFonts w:ascii="Arial" w:hAnsi="Arial" w:cs="Arial"/>
          <w:sz w:val="20"/>
          <w:szCs w:val="20"/>
        </w:rPr>
        <w:t xml:space="preserve">los aportes en </w:t>
      </w:r>
      <w:r w:rsidR="00A7028C" w:rsidRPr="00AC4AEA">
        <w:rPr>
          <w:rFonts w:ascii="Arial" w:hAnsi="Arial" w:cs="Arial"/>
          <w:sz w:val="20"/>
          <w:szCs w:val="20"/>
        </w:rPr>
        <w:t>activos</w:t>
      </w:r>
      <w:r w:rsidR="008C6CE4" w:rsidRPr="00AC4AEA">
        <w:rPr>
          <w:rFonts w:ascii="Arial" w:hAnsi="Arial" w:cs="Arial"/>
          <w:sz w:val="20"/>
          <w:szCs w:val="20"/>
        </w:rPr>
        <w:t xml:space="preserve"> intangibles</w:t>
      </w:r>
      <w:r w:rsidR="00BF46E8" w:rsidRPr="00AC4AEA">
        <w:rPr>
          <w:rFonts w:ascii="Arial" w:hAnsi="Arial" w:cs="Arial"/>
          <w:sz w:val="20"/>
          <w:szCs w:val="20"/>
        </w:rPr>
        <w:t>:</w:t>
      </w:r>
      <w:r w:rsidR="008C6CE4" w:rsidRPr="00AC4AEA">
        <w:rPr>
          <w:rFonts w:ascii="Arial" w:hAnsi="Arial" w:cs="Arial"/>
          <w:sz w:val="20"/>
          <w:szCs w:val="20"/>
        </w:rPr>
        <w:t xml:space="preserve"> </w:t>
      </w:r>
    </w:p>
    <w:p w:rsidR="00C16659" w:rsidRPr="00AC4AEA" w:rsidRDefault="008C6CE4" w:rsidP="00C01B25">
      <w:pPr>
        <w:pStyle w:val="Prrafodelista"/>
        <w:numPr>
          <w:ilvl w:val="1"/>
          <w:numId w:val="719"/>
        </w:numPr>
        <w:spacing w:line="256" w:lineRule="auto"/>
        <w:ind w:left="1560" w:hanging="426"/>
        <w:jc w:val="both"/>
        <w:rPr>
          <w:rFonts w:ascii="Arial" w:hAnsi="Arial" w:cs="Arial"/>
          <w:sz w:val="20"/>
          <w:szCs w:val="20"/>
        </w:rPr>
      </w:pPr>
      <w:r w:rsidRPr="00AC4AEA">
        <w:rPr>
          <w:rFonts w:ascii="Arial" w:hAnsi="Arial" w:cs="Arial"/>
          <w:sz w:val="20"/>
          <w:szCs w:val="20"/>
        </w:rPr>
        <w:t xml:space="preserve">sólo si, de acuerdo con las normas contables </w:t>
      </w:r>
      <w:r w:rsidR="00A7028C" w:rsidRPr="00AC4AEA">
        <w:rPr>
          <w:rFonts w:ascii="Arial" w:hAnsi="Arial" w:cs="Arial"/>
          <w:sz w:val="20"/>
          <w:szCs w:val="20"/>
        </w:rPr>
        <w:t>establecidas en esta Resolución Técnica</w:t>
      </w:r>
      <w:r w:rsidR="00C410D5" w:rsidRPr="00AC4AEA">
        <w:rPr>
          <w:rFonts w:ascii="Arial" w:hAnsi="Arial" w:cs="Arial"/>
          <w:sz w:val="20"/>
          <w:szCs w:val="20"/>
        </w:rPr>
        <w:t xml:space="preserve"> u </w:t>
      </w:r>
      <w:r w:rsidR="00C410D5" w:rsidRPr="00AC4AEA">
        <w:rPr>
          <w:rFonts w:ascii="Arial" w:hAnsi="Arial" w:cs="Arial"/>
          <w:b/>
          <w:bCs/>
          <w:sz w:val="20"/>
          <w:szCs w:val="20"/>
        </w:rPr>
        <w:t>otras normas contables</w:t>
      </w:r>
      <w:r w:rsidRPr="00AC4AEA">
        <w:rPr>
          <w:rFonts w:ascii="Arial" w:hAnsi="Arial" w:cs="Arial"/>
          <w:sz w:val="20"/>
          <w:szCs w:val="20"/>
        </w:rPr>
        <w:t>, estuvieran reconocidos previamente en la contabilidad del aportante</w:t>
      </w:r>
      <w:r w:rsidR="00BF46E8" w:rsidRPr="00AC4AEA">
        <w:rPr>
          <w:rFonts w:ascii="Arial" w:hAnsi="Arial" w:cs="Arial"/>
          <w:sz w:val="20"/>
          <w:szCs w:val="20"/>
        </w:rPr>
        <w:t>;</w:t>
      </w:r>
      <w:r w:rsidRPr="00AC4AEA">
        <w:rPr>
          <w:rFonts w:ascii="Arial" w:hAnsi="Arial" w:cs="Arial"/>
          <w:sz w:val="20"/>
          <w:szCs w:val="20"/>
        </w:rPr>
        <w:t xml:space="preserve"> y </w:t>
      </w:r>
    </w:p>
    <w:p w:rsidR="00AF25C9" w:rsidRPr="00AC4AEA" w:rsidRDefault="008C6CE4" w:rsidP="00C01B25">
      <w:pPr>
        <w:pStyle w:val="Prrafodelista"/>
        <w:numPr>
          <w:ilvl w:val="1"/>
          <w:numId w:val="719"/>
        </w:numPr>
        <w:spacing w:line="256" w:lineRule="auto"/>
        <w:ind w:left="1560" w:hanging="426"/>
        <w:jc w:val="both"/>
        <w:rPr>
          <w:rFonts w:ascii="Arial" w:hAnsi="Arial" w:cs="Arial"/>
          <w:sz w:val="20"/>
          <w:szCs w:val="20"/>
        </w:rPr>
      </w:pPr>
      <w:r w:rsidRPr="00AC4AEA">
        <w:rPr>
          <w:rFonts w:ascii="Arial" w:hAnsi="Arial" w:cs="Arial"/>
          <w:sz w:val="20"/>
          <w:szCs w:val="20"/>
        </w:rPr>
        <w:t>por el mismo valor al que se encuentran registrados en los libros de</w:t>
      </w:r>
      <w:r w:rsidR="00C16659" w:rsidRPr="00AC4AEA">
        <w:rPr>
          <w:rFonts w:ascii="Arial" w:hAnsi="Arial" w:cs="Arial"/>
          <w:sz w:val="20"/>
          <w:szCs w:val="20"/>
        </w:rPr>
        <w:t>l</w:t>
      </w:r>
      <w:r w:rsidRPr="00AC4AEA">
        <w:rPr>
          <w:rFonts w:ascii="Arial" w:hAnsi="Arial" w:cs="Arial"/>
          <w:sz w:val="20"/>
          <w:szCs w:val="20"/>
        </w:rPr>
        <w:t xml:space="preserve"> </w:t>
      </w:r>
      <w:r w:rsidR="00C16659" w:rsidRPr="00AC4AEA">
        <w:rPr>
          <w:rFonts w:ascii="Arial" w:hAnsi="Arial" w:cs="Arial"/>
          <w:sz w:val="20"/>
          <w:szCs w:val="20"/>
        </w:rPr>
        <w:t>aportante</w:t>
      </w:r>
      <w:r w:rsidRPr="00AC4AEA">
        <w:rPr>
          <w:rFonts w:ascii="Arial" w:hAnsi="Arial" w:cs="Arial"/>
          <w:sz w:val="20"/>
          <w:szCs w:val="20"/>
        </w:rPr>
        <w:t xml:space="preserve">. </w:t>
      </w:r>
    </w:p>
    <w:p w:rsidR="0081405C" w:rsidRPr="00AC4AEA" w:rsidRDefault="008C6CE4" w:rsidP="00C01B25">
      <w:pPr>
        <w:pStyle w:val="Prrafodelista"/>
        <w:numPr>
          <w:ilvl w:val="0"/>
          <w:numId w:val="719"/>
        </w:numPr>
        <w:spacing w:line="256" w:lineRule="auto"/>
        <w:ind w:left="1134" w:hanging="708"/>
        <w:jc w:val="both"/>
        <w:rPr>
          <w:rFonts w:cs="Arial"/>
          <w:sz w:val="20"/>
          <w:szCs w:val="20"/>
        </w:rPr>
      </w:pPr>
      <w:bookmarkStart w:id="1288" w:name="_Ref135772035"/>
      <w:r w:rsidRPr="00AC4AEA">
        <w:rPr>
          <w:rFonts w:ascii="Arial" w:hAnsi="Arial" w:cs="Arial"/>
          <w:sz w:val="20"/>
          <w:szCs w:val="20"/>
        </w:rPr>
        <w:t xml:space="preserve">Si los </w:t>
      </w:r>
      <w:r w:rsidRPr="00AC4AEA">
        <w:rPr>
          <w:rFonts w:ascii="Arial" w:hAnsi="Arial" w:cs="Arial"/>
          <w:b/>
          <w:bCs/>
          <w:sz w:val="20"/>
          <w:szCs w:val="20"/>
        </w:rPr>
        <w:t>estados contables</w:t>
      </w:r>
      <w:r w:rsidRPr="00AC4AEA">
        <w:rPr>
          <w:rFonts w:ascii="Arial" w:hAnsi="Arial" w:cs="Arial"/>
          <w:sz w:val="20"/>
          <w:szCs w:val="20"/>
        </w:rPr>
        <w:t xml:space="preserve"> del negocio conjunto </w:t>
      </w:r>
      <w:r w:rsidR="00AF25C9" w:rsidRPr="00AC4AEA">
        <w:rPr>
          <w:rFonts w:ascii="Arial" w:hAnsi="Arial" w:cs="Arial"/>
          <w:sz w:val="20"/>
          <w:szCs w:val="20"/>
        </w:rPr>
        <w:t xml:space="preserve">no societario </w:t>
      </w:r>
      <w:r w:rsidRPr="00AC4AEA">
        <w:rPr>
          <w:rFonts w:ascii="Arial" w:hAnsi="Arial" w:cs="Arial"/>
          <w:sz w:val="20"/>
          <w:szCs w:val="20"/>
        </w:rPr>
        <w:t xml:space="preserve">hubieran sido emitidos en una </w:t>
      </w:r>
      <w:r w:rsidRPr="002B0F58">
        <w:rPr>
          <w:rFonts w:ascii="Arial" w:hAnsi="Arial" w:cs="Arial"/>
          <w:b/>
          <w:bCs/>
          <w:sz w:val="20"/>
          <w:szCs w:val="20"/>
        </w:rPr>
        <w:t>moneda extranjera</w:t>
      </w:r>
      <w:r w:rsidRPr="00AC4AEA">
        <w:rPr>
          <w:rFonts w:ascii="Arial" w:hAnsi="Arial" w:cs="Arial"/>
          <w:sz w:val="20"/>
          <w:szCs w:val="20"/>
        </w:rPr>
        <w:t xml:space="preserve">, </w:t>
      </w:r>
      <w:r w:rsidR="00FC373A" w:rsidRPr="00AC4AEA">
        <w:rPr>
          <w:rFonts w:ascii="Arial" w:hAnsi="Arial" w:cs="Arial"/>
          <w:sz w:val="20"/>
          <w:szCs w:val="20"/>
        </w:rPr>
        <w:t xml:space="preserve">se </w:t>
      </w:r>
      <w:r w:rsidRPr="00AC4AEA">
        <w:rPr>
          <w:rFonts w:ascii="Arial" w:hAnsi="Arial" w:cs="Arial"/>
          <w:sz w:val="20"/>
          <w:szCs w:val="20"/>
        </w:rPr>
        <w:t>deberá</w:t>
      </w:r>
      <w:r w:rsidR="00FC373A" w:rsidRPr="00AC4AEA">
        <w:rPr>
          <w:rFonts w:ascii="Arial" w:hAnsi="Arial" w:cs="Arial"/>
          <w:sz w:val="20"/>
          <w:szCs w:val="20"/>
        </w:rPr>
        <w:t>n</w:t>
      </w:r>
      <w:r w:rsidRPr="00AC4AEA">
        <w:rPr>
          <w:rFonts w:ascii="Arial" w:hAnsi="Arial" w:cs="Arial"/>
          <w:sz w:val="20"/>
          <w:szCs w:val="20"/>
        </w:rPr>
        <w:t xml:space="preserve"> convert</w:t>
      </w:r>
      <w:r w:rsidR="00FC373A" w:rsidRPr="00AC4AEA">
        <w:rPr>
          <w:rFonts w:ascii="Arial" w:hAnsi="Arial" w:cs="Arial"/>
          <w:sz w:val="20"/>
          <w:szCs w:val="20"/>
        </w:rPr>
        <w:t>i</w:t>
      </w:r>
      <w:r w:rsidRPr="00AC4AEA">
        <w:rPr>
          <w:rFonts w:ascii="Arial" w:hAnsi="Arial" w:cs="Arial"/>
          <w:sz w:val="20"/>
          <w:szCs w:val="20"/>
        </w:rPr>
        <w:t xml:space="preserve">r a </w:t>
      </w:r>
      <w:r w:rsidRPr="002B0F58">
        <w:rPr>
          <w:rFonts w:ascii="Arial" w:hAnsi="Arial" w:cs="Arial"/>
          <w:b/>
          <w:bCs/>
          <w:sz w:val="20"/>
          <w:szCs w:val="20"/>
        </w:rPr>
        <w:t>moneda argentina</w:t>
      </w:r>
      <w:r w:rsidRPr="00AC4AEA">
        <w:rPr>
          <w:rFonts w:ascii="Arial" w:hAnsi="Arial" w:cs="Arial"/>
          <w:sz w:val="20"/>
          <w:szCs w:val="20"/>
        </w:rPr>
        <w:t xml:space="preserve"> aplicando las normas de la sección </w:t>
      </w:r>
      <w:r w:rsidR="00FC373A" w:rsidRPr="00AC4AEA">
        <w:rPr>
          <w:rFonts w:ascii="Arial" w:hAnsi="Arial" w:cs="Arial"/>
          <w:sz w:val="20"/>
          <w:szCs w:val="20"/>
        </w:rPr>
        <w:t>“</w:t>
      </w:r>
      <w:r w:rsidR="00FC373A" w:rsidRPr="00AC4AEA">
        <w:rPr>
          <w:rFonts w:ascii="Arial" w:hAnsi="Arial" w:cs="Arial"/>
          <w:sz w:val="20"/>
          <w:szCs w:val="20"/>
          <w:u w:val="single" w:color="000000"/>
        </w:rPr>
        <w:t>Conversión de estados contables</w:t>
      </w:r>
      <w:r w:rsidR="00FC373A" w:rsidRPr="00AC4AEA">
        <w:rPr>
          <w:rFonts w:ascii="Arial" w:hAnsi="Arial" w:cs="Arial"/>
          <w:sz w:val="20"/>
          <w:szCs w:val="20"/>
        </w:rPr>
        <w:t xml:space="preserve">” [ver </w:t>
      </w:r>
      <w:r w:rsidR="00D922C4">
        <w:rPr>
          <w:rFonts w:ascii="Arial" w:hAnsi="Arial" w:cs="Arial"/>
          <w:sz w:val="20"/>
          <w:szCs w:val="20"/>
        </w:rPr>
        <w:t xml:space="preserve">los </w:t>
      </w:r>
      <w:r w:rsidR="00FC373A" w:rsidRPr="00AC4AEA">
        <w:rPr>
          <w:rFonts w:ascii="Arial" w:hAnsi="Arial" w:cs="Arial"/>
          <w:sz w:val="20"/>
          <w:szCs w:val="20"/>
        </w:rPr>
        <w:t xml:space="preserve">párrafos </w:t>
      </w:r>
      <w:r w:rsidR="001C4138">
        <w:rPr>
          <w:rFonts w:ascii="Arial" w:hAnsi="Arial" w:cs="Arial"/>
          <w:sz w:val="20"/>
          <w:szCs w:val="20"/>
        </w:rPr>
        <w:fldChar w:fldCharType="begin"/>
      </w:r>
      <w:r w:rsidR="00FA2569">
        <w:rPr>
          <w:rFonts w:ascii="Arial" w:hAnsi="Arial" w:cs="Arial"/>
          <w:sz w:val="20"/>
          <w:szCs w:val="20"/>
        </w:rPr>
        <w:instrText xml:space="preserve"> REF _Ref136253270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752</w:t>
      </w:r>
      <w:r w:rsidR="001C4138">
        <w:rPr>
          <w:rFonts w:ascii="Arial" w:hAnsi="Arial" w:cs="Arial"/>
          <w:sz w:val="20"/>
          <w:szCs w:val="20"/>
        </w:rPr>
        <w:fldChar w:fldCharType="end"/>
      </w:r>
      <w:r w:rsidR="00FA2569">
        <w:rPr>
          <w:rFonts w:ascii="Arial" w:hAnsi="Arial" w:cs="Arial"/>
          <w:sz w:val="20"/>
          <w:szCs w:val="20"/>
        </w:rPr>
        <w:t xml:space="preserve"> </w:t>
      </w:r>
      <w:r w:rsidR="00FA2569" w:rsidRPr="00592D81">
        <w:rPr>
          <w:rFonts w:ascii="Arial" w:hAnsi="Arial" w:cs="Arial"/>
          <w:sz w:val="20"/>
          <w:szCs w:val="20"/>
        </w:rPr>
        <w:t>al</w:t>
      </w:r>
      <w:r w:rsidR="00FA2569">
        <w:rPr>
          <w:rFonts w:ascii="Arial" w:hAnsi="Arial" w:cs="Arial"/>
          <w:sz w:val="20"/>
          <w:szCs w:val="20"/>
        </w:rPr>
        <w:t xml:space="preserve"> </w:t>
      </w:r>
      <w:r w:rsidR="001C4138">
        <w:rPr>
          <w:rFonts w:ascii="Arial" w:hAnsi="Arial" w:cs="Arial"/>
          <w:sz w:val="20"/>
          <w:szCs w:val="20"/>
        </w:rPr>
        <w:fldChar w:fldCharType="begin"/>
      </w:r>
      <w:r w:rsidR="00FA2569">
        <w:rPr>
          <w:rFonts w:ascii="Arial" w:hAnsi="Arial" w:cs="Arial"/>
          <w:sz w:val="20"/>
          <w:szCs w:val="20"/>
        </w:rPr>
        <w:instrText xml:space="preserve"> REF _Ref136253285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763</w:t>
      </w:r>
      <w:r w:rsidR="001C4138">
        <w:rPr>
          <w:rFonts w:ascii="Arial" w:hAnsi="Arial" w:cs="Arial"/>
          <w:sz w:val="20"/>
          <w:szCs w:val="20"/>
        </w:rPr>
        <w:fldChar w:fldCharType="end"/>
      </w:r>
      <w:r w:rsidR="00FC373A" w:rsidRPr="00AC4AEA">
        <w:rPr>
          <w:rFonts w:ascii="Arial" w:hAnsi="Arial" w:cs="Arial"/>
          <w:sz w:val="20"/>
          <w:szCs w:val="20"/>
        </w:rPr>
        <w:t>]</w:t>
      </w:r>
      <w:r w:rsidRPr="00AC4AEA">
        <w:rPr>
          <w:rFonts w:ascii="Arial" w:hAnsi="Arial" w:cs="Arial"/>
          <w:sz w:val="20"/>
          <w:szCs w:val="20"/>
        </w:rPr>
        <w:t>.</w:t>
      </w:r>
      <w:bookmarkEnd w:id="1288"/>
    </w:p>
    <w:p w:rsidR="00DE7057" w:rsidRPr="00AC4AEA" w:rsidRDefault="00DE7057" w:rsidP="00A318EA">
      <w:pPr>
        <w:pStyle w:val="Ttulo1"/>
        <w:rPr>
          <w:rFonts w:cs="Arial"/>
          <w:sz w:val="20"/>
          <w:szCs w:val="20"/>
        </w:rPr>
        <w:sectPr w:rsidR="00DE7057" w:rsidRPr="00AC4AEA" w:rsidSect="001F038F">
          <w:footerReference w:type="default" r:id="rId11"/>
          <w:pgSz w:w="11907" w:h="16840" w:code="9"/>
          <w:pgMar w:top="1418" w:right="1701" w:bottom="1418" w:left="1701" w:header="720" w:footer="803" w:gutter="0"/>
          <w:cols w:space="720"/>
        </w:sectPr>
      </w:pPr>
    </w:p>
    <w:p w:rsidR="00116CB3" w:rsidRPr="00AC4AEA" w:rsidRDefault="00116CB3" w:rsidP="00A318EA">
      <w:pPr>
        <w:pStyle w:val="Ttulo1"/>
        <w:rPr>
          <w:rFonts w:cs="Arial"/>
          <w:sz w:val="20"/>
          <w:szCs w:val="20"/>
        </w:rPr>
      </w:pPr>
    </w:p>
    <w:p w:rsidR="002E4F8B" w:rsidRPr="00AC4AEA" w:rsidRDefault="002E4F8B" w:rsidP="00A318EA">
      <w:pPr>
        <w:pStyle w:val="Ttulo1"/>
        <w:rPr>
          <w:rFonts w:cs="Arial"/>
          <w:sz w:val="20"/>
          <w:szCs w:val="20"/>
        </w:rPr>
      </w:pPr>
      <w:bookmarkStart w:id="1289" w:name="_Toc139357092"/>
      <w:r w:rsidRPr="00AC4AEA">
        <w:rPr>
          <w:rFonts w:cs="Arial"/>
          <w:sz w:val="20"/>
          <w:szCs w:val="20"/>
        </w:rPr>
        <w:t>APÉNDICE A: NORMAS</w:t>
      </w:r>
      <w:r w:rsidRPr="00AC4AEA">
        <w:rPr>
          <w:rFonts w:cs="Arial"/>
          <w:sz w:val="20"/>
          <w:szCs w:val="20"/>
          <w:lang w:val="es-AR"/>
        </w:rPr>
        <w:t xml:space="preserve"> </w:t>
      </w:r>
      <w:r w:rsidRPr="00AC4AEA">
        <w:rPr>
          <w:rFonts w:cs="Arial"/>
          <w:sz w:val="20"/>
          <w:szCs w:val="20"/>
        </w:rPr>
        <w:t>DE TRANSICIÓN</w:t>
      </w:r>
      <w:bookmarkEnd w:id="1289"/>
    </w:p>
    <w:p w:rsidR="002E4F8B" w:rsidRPr="00AC4AEA" w:rsidRDefault="002E4F8B" w:rsidP="00A318EA">
      <w:pPr>
        <w:spacing w:after="132" w:line="256" w:lineRule="auto"/>
        <w:rPr>
          <w:rFonts w:ascii="Arial" w:hAnsi="Arial" w:cs="Arial"/>
          <w:sz w:val="20"/>
          <w:szCs w:val="20"/>
          <w:lang w:val="es-ES"/>
        </w:rPr>
      </w:pPr>
    </w:p>
    <w:p w:rsidR="002E4F8B" w:rsidRPr="00AC4AEA" w:rsidRDefault="002E4F8B" w:rsidP="00A318EA">
      <w:pPr>
        <w:pStyle w:val="Ttulo2"/>
        <w:rPr>
          <w:rFonts w:cs="Arial"/>
        </w:rPr>
      </w:pPr>
      <w:bookmarkStart w:id="1290" w:name="_Toc139357093"/>
      <w:r w:rsidRPr="00AC4AEA">
        <w:rPr>
          <w:rFonts w:cs="Arial"/>
        </w:rPr>
        <w:t>Alcance</w:t>
      </w:r>
      <w:bookmarkEnd w:id="1290"/>
      <w:r w:rsidRPr="00AC4AEA">
        <w:rPr>
          <w:rFonts w:cs="Arial"/>
        </w:rPr>
        <w:t xml:space="preserve"> </w:t>
      </w:r>
    </w:p>
    <w:p w:rsidR="00282B04" w:rsidRPr="00AC4AEA" w:rsidRDefault="00282B04" w:rsidP="00C01B25">
      <w:pPr>
        <w:pStyle w:val="Prrafodelista"/>
        <w:numPr>
          <w:ilvl w:val="0"/>
          <w:numId w:val="658"/>
        </w:numPr>
        <w:ind w:left="709" w:hanging="709"/>
        <w:jc w:val="both"/>
        <w:rPr>
          <w:rFonts w:ascii="Arial" w:hAnsi="Arial" w:cs="Arial"/>
          <w:sz w:val="20"/>
          <w:szCs w:val="20"/>
        </w:rPr>
      </w:pPr>
      <w:r w:rsidRPr="00AC4AEA">
        <w:rPr>
          <w:rFonts w:ascii="Arial" w:hAnsi="Arial" w:cs="Arial"/>
          <w:sz w:val="20"/>
          <w:szCs w:val="20"/>
        </w:rPr>
        <w:t xml:space="preserve">Una entidad aplicará las disposiciones del presente Apéndice para la preparación de: </w:t>
      </w:r>
    </w:p>
    <w:p w:rsidR="00282B04" w:rsidRPr="00AC4AEA" w:rsidRDefault="00282B04" w:rsidP="00C01B25">
      <w:pPr>
        <w:numPr>
          <w:ilvl w:val="0"/>
          <w:numId w:val="657"/>
        </w:numPr>
        <w:spacing w:after="120" w:line="264" w:lineRule="auto"/>
        <w:ind w:left="1560" w:hanging="709"/>
        <w:jc w:val="both"/>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estados contables</w:t>
      </w:r>
      <w:r w:rsidRPr="00AC4AEA">
        <w:rPr>
          <w:rFonts w:ascii="Arial" w:hAnsi="Arial" w:cs="Arial"/>
          <w:sz w:val="20"/>
          <w:szCs w:val="20"/>
        </w:rPr>
        <w:t xml:space="preserve"> correspondientes al primer ejercicio en que utilice los requerimientos contenidos en la presente Resolución Técnica; y </w:t>
      </w:r>
    </w:p>
    <w:p w:rsidR="00282B04" w:rsidRPr="00AC4AEA" w:rsidRDefault="00282B04" w:rsidP="00C01B25">
      <w:pPr>
        <w:numPr>
          <w:ilvl w:val="0"/>
          <w:numId w:val="657"/>
        </w:numPr>
        <w:spacing w:after="120" w:line="264" w:lineRule="auto"/>
        <w:ind w:left="1560" w:hanging="709"/>
        <w:jc w:val="both"/>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estados contables</w:t>
      </w:r>
      <w:r w:rsidRPr="00AC4AEA">
        <w:rPr>
          <w:rFonts w:ascii="Arial" w:hAnsi="Arial" w:cs="Arial"/>
          <w:sz w:val="20"/>
          <w:szCs w:val="20"/>
        </w:rPr>
        <w:t xml:space="preserve"> de períodos intermedios comprendidos en el referido ejercicio. </w:t>
      </w:r>
    </w:p>
    <w:p w:rsidR="002E4F8B" w:rsidRPr="00AC4AEA" w:rsidRDefault="002E4F8B" w:rsidP="00A318EA">
      <w:pPr>
        <w:spacing w:after="148" w:line="256" w:lineRule="auto"/>
        <w:jc w:val="both"/>
        <w:rPr>
          <w:rFonts w:ascii="Arial" w:hAnsi="Arial" w:cs="Arial"/>
          <w:sz w:val="20"/>
          <w:szCs w:val="20"/>
        </w:rPr>
      </w:pPr>
    </w:p>
    <w:p w:rsidR="002E4F8B" w:rsidRPr="00AC4AEA" w:rsidRDefault="002E4F8B" w:rsidP="00A318EA">
      <w:pPr>
        <w:pStyle w:val="Ttulo2"/>
        <w:rPr>
          <w:rFonts w:cs="Arial"/>
        </w:rPr>
      </w:pPr>
      <w:bookmarkStart w:id="1291" w:name="_Toc139357094"/>
      <w:r w:rsidRPr="00AC4AEA">
        <w:rPr>
          <w:rFonts w:cs="Arial"/>
        </w:rPr>
        <w:t>Definiciones</w:t>
      </w:r>
      <w:bookmarkEnd w:id="1291"/>
      <w:r w:rsidRPr="00AC4AEA">
        <w:rPr>
          <w:rFonts w:cs="Arial"/>
        </w:rPr>
        <w:t xml:space="preserve"> </w:t>
      </w:r>
    </w:p>
    <w:p w:rsidR="002E4F8B" w:rsidRPr="00AC4AEA" w:rsidRDefault="002E4F8B" w:rsidP="00C01B25">
      <w:pPr>
        <w:pStyle w:val="Prrafodelista"/>
        <w:numPr>
          <w:ilvl w:val="0"/>
          <w:numId w:val="658"/>
        </w:numPr>
        <w:ind w:left="709" w:hanging="709"/>
        <w:jc w:val="both"/>
        <w:rPr>
          <w:rFonts w:ascii="Arial" w:hAnsi="Arial" w:cs="Arial"/>
          <w:sz w:val="20"/>
          <w:szCs w:val="20"/>
        </w:rPr>
      </w:pPr>
      <w:r w:rsidRPr="00AC4AEA">
        <w:rPr>
          <w:rFonts w:ascii="Arial" w:hAnsi="Arial" w:cs="Arial"/>
          <w:sz w:val="20"/>
          <w:szCs w:val="20"/>
        </w:rPr>
        <w:t xml:space="preserve">A los fines de este Apéndice, una entidad considerará las definiciones siguientes: </w:t>
      </w:r>
    </w:p>
    <w:p w:rsidR="002E4F8B" w:rsidRPr="00AC4AEA" w:rsidRDefault="002E4F8B" w:rsidP="00A318EA">
      <w:pPr>
        <w:ind w:left="1332"/>
        <w:jc w:val="both"/>
        <w:rPr>
          <w:rFonts w:ascii="Arial" w:hAnsi="Arial" w:cs="Arial"/>
          <w:sz w:val="20"/>
          <w:szCs w:val="20"/>
        </w:rPr>
      </w:pPr>
      <w:r w:rsidRPr="00AC4AEA">
        <w:rPr>
          <w:rFonts w:ascii="Arial" w:hAnsi="Arial" w:cs="Arial"/>
          <w:sz w:val="20"/>
          <w:szCs w:val="20"/>
          <w:u w:val="single"/>
        </w:rPr>
        <w:t>Fecha de aplicación inicial</w:t>
      </w:r>
      <w:r w:rsidRPr="00AC4AEA">
        <w:rPr>
          <w:rFonts w:ascii="Arial" w:hAnsi="Arial" w:cs="Arial"/>
          <w:sz w:val="20"/>
          <w:szCs w:val="20"/>
        </w:rPr>
        <w:t xml:space="preserve">: Fecha de inicio del primer ejercicio en el cual una entidad utilice los requerimientos de esta Resolución Técnica para la preparación de sus </w:t>
      </w:r>
      <w:r w:rsidRPr="00AC4AEA">
        <w:rPr>
          <w:rFonts w:ascii="Arial" w:hAnsi="Arial" w:cs="Arial"/>
          <w:b/>
          <w:bCs/>
          <w:sz w:val="20"/>
          <w:szCs w:val="20"/>
        </w:rPr>
        <w:t>estados contables</w:t>
      </w:r>
      <w:r w:rsidRPr="00AC4AEA">
        <w:rPr>
          <w:rFonts w:ascii="Arial" w:hAnsi="Arial" w:cs="Arial"/>
          <w:sz w:val="20"/>
          <w:szCs w:val="20"/>
        </w:rPr>
        <w:t xml:space="preserve"> (por ejemplo, para una entidad cuyos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los requerimientos de esta Resolución Técnica sean los del ejercicio finalizado el 31 de diciembre de 2024, la fecha de aplicación inicial será el 1º de enero de 2024). </w:t>
      </w:r>
    </w:p>
    <w:p w:rsidR="002E4F8B" w:rsidRPr="00AC4AEA" w:rsidRDefault="002E4F8B" w:rsidP="00A318EA">
      <w:pPr>
        <w:ind w:left="1332"/>
        <w:jc w:val="both"/>
        <w:rPr>
          <w:rFonts w:ascii="Arial" w:hAnsi="Arial" w:cs="Arial"/>
          <w:sz w:val="20"/>
          <w:szCs w:val="20"/>
        </w:rPr>
      </w:pPr>
      <w:r w:rsidRPr="00AC4AEA">
        <w:rPr>
          <w:rFonts w:ascii="Arial" w:hAnsi="Arial" w:cs="Arial"/>
          <w:sz w:val="20"/>
          <w:szCs w:val="20"/>
          <w:u w:val="single"/>
        </w:rPr>
        <w:t>Inicio del año comparativo</w:t>
      </w:r>
      <w:r w:rsidRPr="00AC4AEA">
        <w:rPr>
          <w:rFonts w:ascii="Arial" w:hAnsi="Arial" w:cs="Arial"/>
          <w:sz w:val="20"/>
          <w:szCs w:val="20"/>
        </w:rPr>
        <w:t xml:space="preserve">: Primer día del ejercicio comparativo incluido en los </w:t>
      </w:r>
      <w:r w:rsidRPr="00AC4AEA">
        <w:rPr>
          <w:rFonts w:ascii="Arial" w:hAnsi="Arial" w:cs="Arial"/>
          <w:b/>
          <w:bCs/>
          <w:sz w:val="20"/>
          <w:szCs w:val="20"/>
        </w:rPr>
        <w:t>estados contables</w:t>
      </w:r>
      <w:r w:rsidRPr="00AC4AEA">
        <w:rPr>
          <w:rFonts w:ascii="Arial" w:hAnsi="Arial" w:cs="Arial"/>
          <w:sz w:val="20"/>
          <w:szCs w:val="20"/>
        </w:rPr>
        <w:t xml:space="preserve"> correspondientes al primer ejercicio en el cual una entidad apli</w:t>
      </w:r>
      <w:r w:rsidR="00F71D7E" w:rsidRPr="00AC4AEA">
        <w:rPr>
          <w:rFonts w:ascii="Arial" w:hAnsi="Arial" w:cs="Arial"/>
          <w:sz w:val="20"/>
          <w:szCs w:val="20"/>
        </w:rPr>
        <w:t>que</w:t>
      </w:r>
      <w:r w:rsidRPr="00AC4AEA">
        <w:rPr>
          <w:rFonts w:ascii="Arial" w:hAnsi="Arial" w:cs="Arial"/>
          <w:sz w:val="20"/>
          <w:szCs w:val="20"/>
        </w:rPr>
        <w:t xml:space="preserve"> los requerimientos de esta Resolución Técnica por primera vez (por ejemplo, para una entidad cuyos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los requerimientos de esta Resolución Técnica sean los correspondientes al ejercicio finalizado el 31 de diciembre de 2024, la fecha de inicio del año comparativo será el 1º de enero de 2023). </w:t>
      </w:r>
    </w:p>
    <w:p w:rsidR="002E4F8B" w:rsidRPr="000E3F4B" w:rsidRDefault="002E4F8B" w:rsidP="00A318EA">
      <w:pPr>
        <w:ind w:left="1332"/>
        <w:jc w:val="both"/>
        <w:rPr>
          <w:rFonts w:ascii="Arial" w:hAnsi="Arial" w:cs="Arial"/>
          <w:sz w:val="20"/>
          <w:szCs w:val="20"/>
        </w:rPr>
      </w:pPr>
      <w:r w:rsidRPr="00AC4AEA">
        <w:rPr>
          <w:rFonts w:ascii="Arial" w:hAnsi="Arial" w:cs="Arial"/>
          <w:sz w:val="20"/>
          <w:szCs w:val="20"/>
          <w:u w:val="single"/>
        </w:rPr>
        <w:t>Normas anteriores</w:t>
      </w:r>
      <w:r w:rsidRPr="00AC4AEA">
        <w:rPr>
          <w:rFonts w:ascii="Arial" w:hAnsi="Arial" w:cs="Arial"/>
          <w:sz w:val="20"/>
          <w:szCs w:val="20"/>
        </w:rPr>
        <w:t xml:space="preserve">: Son las normas que utilizó la entidad </w:t>
      </w:r>
      <w:r w:rsidR="002334DC" w:rsidRPr="00AC4AEA">
        <w:rPr>
          <w:rFonts w:ascii="Arial" w:hAnsi="Arial" w:cs="Arial"/>
          <w:sz w:val="20"/>
          <w:szCs w:val="20"/>
        </w:rPr>
        <w:t xml:space="preserve">para preparar los </w:t>
      </w:r>
      <w:r w:rsidR="002334DC" w:rsidRPr="00AC4AEA">
        <w:rPr>
          <w:rFonts w:ascii="Arial" w:hAnsi="Arial" w:cs="Arial"/>
          <w:b/>
          <w:bCs/>
          <w:sz w:val="20"/>
          <w:szCs w:val="20"/>
        </w:rPr>
        <w:t>estados contables</w:t>
      </w:r>
      <w:r w:rsidR="002334DC" w:rsidRPr="00AC4AEA">
        <w:rPr>
          <w:rFonts w:ascii="Arial" w:hAnsi="Arial" w:cs="Arial"/>
          <w:sz w:val="20"/>
          <w:szCs w:val="20"/>
        </w:rPr>
        <w:t xml:space="preserve"> correspondientes</w:t>
      </w:r>
      <w:r w:rsidRPr="00AC4AEA">
        <w:rPr>
          <w:rFonts w:ascii="Arial" w:hAnsi="Arial" w:cs="Arial"/>
          <w:sz w:val="20"/>
          <w:szCs w:val="20"/>
        </w:rPr>
        <w:t xml:space="preserve"> </w:t>
      </w:r>
      <w:r w:rsidR="002334DC" w:rsidRPr="00AC4AEA">
        <w:rPr>
          <w:rFonts w:ascii="Arial" w:hAnsi="Arial" w:cs="Arial"/>
          <w:sz w:val="20"/>
          <w:szCs w:val="20"/>
        </w:rPr>
        <w:t>a</w:t>
      </w:r>
      <w:r w:rsidRPr="00AC4AEA">
        <w:rPr>
          <w:rFonts w:ascii="Arial" w:hAnsi="Arial" w:cs="Arial"/>
          <w:sz w:val="20"/>
          <w:szCs w:val="20"/>
        </w:rPr>
        <w:t xml:space="preserve">l último ejercicio previo a la aplicación inicial los requerimientos de esta Resolución Técnica (por ejemplo, si el primer ejercicio en el cual la entidad confecciona sus </w:t>
      </w:r>
      <w:r w:rsidRPr="00AC4AEA">
        <w:rPr>
          <w:rFonts w:ascii="Arial" w:hAnsi="Arial" w:cs="Arial"/>
          <w:b/>
          <w:bCs/>
          <w:sz w:val="20"/>
          <w:szCs w:val="20"/>
        </w:rPr>
        <w:t>estados contables</w:t>
      </w:r>
      <w:r w:rsidRPr="00AC4AEA">
        <w:rPr>
          <w:rFonts w:ascii="Arial" w:hAnsi="Arial" w:cs="Arial"/>
          <w:sz w:val="20"/>
          <w:szCs w:val="20"/>
        </w:rPr>
        <w:t xml:space="preserve"> de acuerdo los requerimientos de esta Resolución Técnica es el finalizado el 31 de diciembre de 2024, y en sus </w:t>
      </w:r>
      <w:r w:rsidRPr="00AC4AEA">
        <w:rPr>
          <w:rFonts w:ascii="Arial" w:hAnsi="Arial" w:cs="Arial"/>
          <w:b/>
          <w:bCs/>
          <w:sz w:val="20"/>
          <w:szCs w:val="20"/>
        </w:rPr>
        <w:t>estados contables</w:t>
      </w:r>
      <w:r w:rsidRPr="00AC4AEA">
        <w:rPr>
          <w:rFonts w:ascii="Arial" w:hAnsi="Arial" w:cs="Arial"/>
          <w:sz w:val="20"/>
          <w:szCs w:val="20"/>
        </w:rPr>
        <w:t xml:space="preserve"> referidos al ejercicio finalizado el 31 de diciembre de 2023 la norma de reconocimiento y medición general que utilizaba era la Resolución Técnica N° 41, las normas anteriores comprenden a la Resolución Técnica N° 41 y todas las demás aplicadas para la emisión de tales </w:t>
      </w:r>
      <w:r w:rsidRPr="000E3F4B">
        <w:rPr>
          <w:rFonts w:ascii="Arial" w:hAnsi="Arial" w:cs="Arial"/>
          <w:b/>
          <w:bCs/>
          <w:sz w:val="20"/>
          <w:szCs w:val="20"/>
        </w:rPr>
        <w:t>estados contables</w:t>
      </w:r>
      <w:r w:rsidRPr="000E3F4B">
        <w:rPr>
          <w:rFonts w:ascii="Arial" w:hAnsi="Arial" w:cs="Arial"/>
          <w:sz w:val="20"/>
          <w:szCs w:val="20"/>
        </w:rPr>
        <w:t xml:space="preserve">). </w:t>
      </w:r>
    </w:p>
    <w:p w:rsidR="00F27CB2" w:rsidRPr="00AC4AEA" w:rsidRDefault="00F27CB2" w:rsidP="00F27CB2">
      <w:pPr>
        <w:ind w:left="1332"/>
        <w:jc w:val="both"/>
        <w:rPr>
          <w:rFonts w:ascii="Arial" w:hAnsi="Arial" w:cs="Arial"/>
          <w:sz w:val="20"/>
          <w:szCs w:val="20"/>
        </w:rPr>
      </w:pPr>
      <w:r w:rsidRPr="000E3F4B">
        <w:rPr>
          <w:rFonts w:ascii="Arial" w:hAnsi="Arial" w:cs="Arial"/>
          <w:sz w:val="20"/>
          <w:szCs w:val="20"/>
          <w:u w:val="single"/>
        </w:rPr>
        <w:t>Requerimientos de esta Resolución Técnica</w:t>
      </w:r>
      <w:r w:rsidRPr="000E3F4B">
        <w:rPr>
          <w:rFonts w:ascii="Arial" w:hAnsi="Arial" w:cs="Arial"/>
          <w:sz w:val="20"/>
          <w:szCs w:val="20"/>
        </w:rPr>
        <w:t>: A los fines de este Apéndice, son los contenidos en la presente Resolución Técnica.</w:t>
      </w:r>
      <w:r w:rsidRPr="00AC4AEA">
        <w:rPr>
          <w:rFonts w:ascii="Arial" w:hAnsi="Arial" w:cs="Arial"/>
          <w:sz w:val="20"/>
          <w:szCs w:val="20"/>
        </w:rPr>
        <w:t xml:space="preserve"> </w:t>
      </w:r>
    </w:p>
    <w:p w:rsidR="00F27CB2" w:rsidRPr="00AC4AEA" w:rsidRDefault="00F27CB2" w:rsidP="00A318EA">
      <w:pPr>
        <w:ind w:left="1332"/>
        <w:jc w:val="both"/>
        <w:rPr>
          <w:rFonts w:ascii="Arial" w:hAnsi="Arial" w:cs="Arial"/>
          <w:sz w:val="20"/>
          <w:szCs w:val="20"/>
        </w:rPr>
      </w:pPr>
    </w:p>
    <w:p w:rsidR="002E4F8B" w:rsidRPr="00AC4AEA" w:rsidRDefault="002E4F8B" w:rsidP="00A318EA">
      <w:pPr>
        <w:spacing w:line="256" w:lineRule="auto"/>
        <w:jc w:val="both"/>
        <w:rPr>
          <w:rFonts w:ascii="Arial" w:hAnsi="Arial" w:cs="Arial"/>
          <w:sz w:val="20"/>
          <w:szCs w:val="20"/>
        </w:rPr>
      </w:pPr>
      <w:r w:rsidRPr="00AC4AEA">
        <w:rPr>
          <w:rFonts w:ascii="Arial" w:hAnsi="Arial" w:cs="Arial"/>
          <w:sz w:val="20"/>
          <w:szCs w:val="20"/>
        </w:rPr>
        <w:t xml:space="preserve"> </w:t>
      </w:r>
    </w:p>
    <w:p w:rsidR="002E4F8B" w:rsidRPr="00AC4AEA" w:rsidRDefault="002E4F8B" w:rsidP="00A318EA">
      <w:pPr>
        <w:spacing w:after="149" w:line="256" w:lineRule="auto"/>
        <w:ind w:left="-5" w:hanging="10"/>
        <w:jc w:val="both"/>
        <w:rPr>
          <w:rFonts w:ascii="Arial" w:hAnsi="Arial" w:cs="Arial"/>
          <w:b/>
          <w:bCs/>
          <w:sz w:val="20"/>
          <w:szCs w:val="20"/>
        </w:rPr>
      </w:pPr>
    </w:p>
    <w:p w:rsidR="002E4F8B" w:rsidRPr="00AC4AEA" w:rsidRDefault="002E4F8B" w:rsidP="00A318EA">
      <w:pPr>
        <w:spacing w:after="149" w:line="256" w:lineRule="auto"/>
        <w:ind w:left="-5" w:hanging="10"/>
        <w:jc w:val="both"/>
        <w:rPr>
          <w:rFonts w:ascii="Arial" w:hAnsi="Arial" w:cs="Arial"/>
          <w:b/>
          <w:bCs/>
          <w:sz w:val="20"/>
          <w:szCs w:val="20"/>
        </w:rPr>
      </w:pPr>
    </w:p>
    <w:p w:rsidR="002E4F8B" w:rsidRPr="00AC4AEA" w:rsidRDefault="002E4F8B" w:rsidP="00A318EA">
      <w:pPr>
        <w:spacing w:after="149" w:line="256" w:lineRule="auto"/>
        <w:ind w:left="-5" w:hanging="10"/>
        <w:jc w:val="both"/>
        <w:rPr>
          <w:rFonts w:ascii="Arial" w:hAnsi="Arial" w:cs="Arial"/>
          <w:b/>
          <w:bCs/>
          <w:sz w:val="20"/>
          <w:szCs w:val="20"/>
        </w:rPr>
      </w:pPr>
    </w:p>
    <w:p w:rsidR="002E4F8B" w:rsidRPr="00AC4AEA" w:rsidRDefault="002E4F8B" w:rsidP="00A318EA">
      <w:pPr>
        <w:pStyle w:val="Ttulo2"/>
        <w:rPr>
          <w:rFonts w:cs="Arial"/>
        </w:rPr>
      </w:pPr>
      <w:bookmarkStart w:id="1292" w:name="_Toc139357095"/>
      <w:r w:rsidRPr="00AC4AEA">
        <w:rPr>
          <w:rFonts w:cs="Arial"/>
        </w:rPr>
        <w:t xml:space="preserve">Guías para la aplicación </w:t>
      </w:r>
      <w:r w:rsidR="00A97DC0" w:rsidRPr="00AC4AEA">
        <w:rPr>
          <w:rFonts w:cs="Arial"/>
        </w:rPr>
        <w:t xml:space="preserve">de </w:t>
      </w:r>
      <w:r w:rsidRPr="00AC4AEA">
        <w:rPr>
          <w:rFonts w:cs="Arial"/>
        </w:rPr>
        <w:t>la presente Resolución Técnica</w:t>
      </w:r>
      <w:r w:rsidR="00A97DC0" w:rsidRPr="00AC4AEA">
        <w:rPr>
          <w:rFonts w:cs="Arial"/>
        </w:rPr>
        <w:t xml:space="preserve"> </w:t>
      </w:r>
      <w:r w:rsidR="00B4683C" w:rsidRPr="00AC4AEA">
        <w:rPr>
          <w:rFonts w:cs="Arial"/>
        </w:rPr>
        <w:t>por primera vez, en general</w:t>
      </w:r>
      <w:bookmarkEnd w:id="1292"/>
      <w:r w:rsidRPr="00AC4AEA">
        <w:rPr>
          <w:rFonts w:cs="Arial"/>
        </w:rPr>
        <w:t xml:space="preserve"> </w:t>
      </w:r>
    </w:p>
    <w:p w:rsidR="002E4F8B" w:rsidRPr="00AC4AEA" w:rsidRDefault="002E4F8B" w:rsidP="00A318EA">
      <w:pPr>
        <w:pStyle w:val="Ttulo2"/>
        <w:rPr>
          <w:rFonts w:cs="Arial"/>
        </w:rPr>
      </w:pPr>
      <w:bookmarkStart w:id="1293" w:name="_Toc139357096"/>
      <w:r w:rsidRPr="00AC4AEA">
        <w:rPr>
          <w:rFonts w:cs="Arial"/>
        </w:rPr>
        <w:t>Clasificación de la entidad. Efectos.</w:t>
      </w:r>
      <w:bookmarkEnd w:id="1293"/>
      <w:r w:rsidRPr="00AC4AEA">
        <w:rPr>
          <w:rFonts w:cs="Arial"/>
        </w:rPr>
        <w:t xml:space="preserve"> </w:t>
      </w:r>
    </w:p>
    <w:p w:rsidR="002E4F8B" w:rsidRPr="00AC4AEA" w:rsidRDefault="002E4F8B" w:rsidP="00C01B25">
      <w:pPr>
        <w:pStyle w:val="Prrafodelista"/>
        <w:numPr>
          <w:ilvl w:val="0"/>
          <w:numId w:val="658"/>
        </w:numPr>
        <w:ind w:left="709" w:hanging="709"/>
        <w:jc w:val="both"/>
        <w:rPr>
          <w:rFonts w:ascii="Arial" w:hAnsi="Arial" w:cs="Arial"/>
          <w:sz w:val="20"/>
          <w:szCs w:val="20"/>
        </w:rPr>
      </w:pPr>
      <w:r w:rsidRPr="00AC4AEA">
        <w:rPr>
          <w:rFonts w:ascii="Arial" w:hAnsi="Arial" w:cs="Arial"/>
          <w:sz w:val="20"/>
          <w:szCs w:val="20"/>
        </w:rPr>
        <w:t xml:space="preserve">En la fecha de la aplicación inicial, una entidad aplicará los párrafos </w:t>
      </w:r>
      <w:r w:rsidR="001C4138">
        <w:rPr>
          <w:rFonts w:ascii="Arial" w:hAnsi="Arial" w:cs="Arial"/>
          <w:sz w:val="20"/>
          <w:szCs w:val="20"/>
        </w:rPr>
        <w:fldChar w:fldCharType="begin"/>
      </w:r>
      <w:r w:rsidR="00572664">
        <w:rPr>
          <w:rFonts w:ascii="Arial" w:hAnsi="Arial" w:cs="Arial"/>
          <w:sz w:val="20"/>
          <w:szCs w:val="20"/>
        </w:rPr>
        <w:instrText xml:space="preserve"> REF _Ref74652078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6</w:t>
      </w:r>
      <w:r w:rsidR="001C4138">
        <w:rPr>
          <w:rFonts w:ascii="Arial" w:hAnsi="Arial" w:cs="Arial"/>
          <w:sz w:val="20"/>
          <w:szCs w:val="20"/>
        </w:rPr>
        <w:fldChar w:fldCharType="end"/>
      </w:r>
      <w:r w:rsidRPr="00AC4AEA">
        <w:rPr>
          <w:rFonts w:ascii="Arial" w:hAnsi="Arial" w:cs="Arial"/>
          <w:sz w:val="20"/>
          <w:szCs w:val="20"/>
        </w:rPr>
        <w:t xml:space="preserve"> y </w:t>
      </w:r>
      <w:r w:rsidR="001C4138">
        <w:rPr>
          <w:rFonts w:ascii="Arial" w:hAnsi="Arial" w:cs="Arial"/>
          <w:sz w:val="20"/>
          <w:szCs w:val="20"/>
        </w:rPr>
        <w:fldChar w:fldCharType="begin"/>
      </w:r>
      <w:r w:rsidR="00572664">
        <w:rPr>
          <w:rFonts w:ascii="Arial" w:hAnsi="Arial" w:cs="Arial"/>
          <w:sz w:val="20"/>
          <w:szCs w:val="20"/>
        </w:rPr>
        <w:instrText xml:space="preserve"> REF _Ref107941907 \r \h </w:instrText>
      </w:r>
      <w:r w:rsidR="001C4138">
        <w:rPr>
          <w:rFonts w:ascii="Arial" w:hAnsi="Arial" w:cs="Arial"/>
          <w:sz w:val="20"/>
          <w:szCs w:val="20"/>
        </w:rPr>
      </w:r>
      <w:r w:rsidR="001C4138">
        <w:rPr>
          <w:rFonts w:ascii="Arial" w:hAnsi="Arial" w:cs="Arial"/>
          <w:sz w:val="20"/>
          <w:szCs w:val="20"/>
        </w:rPr>
        <w:fldChar w:fldCharType="separate"/>
      </w:r>
      <w:r w:rsidR="00D33A5D">
        <w:rPr>
          <w:rFonts w:ascii="Arial" w:hAnsi="Arial" w:cs="Arial"/>
          <w:sz w:val="20"/>
          <w:szCs w:val="20"/>
        </w:rPr>
        <w:t>7</w:t>
      </w:r>
      <w:r w:rsidR="001C4138">
        <w:rPr>
          <w:rFonts w:ascii="Arial" w:hAnsi="Arial" w:cs="Arial"/>
          <w:sz w:val="20"/>
          <w:szCs w:val="20"/>
        </w:rPr>
        <w:fldChar w:fldCharType="end"/>
      </w:r>
      <w:r w:rsidRPr="00AC4AEA">
        <w:rPr>
          <w:rFonts w:ascii="Arial" w:hAnsi="Arial" w:cs="Arial"/>
          <w:sz w:val="20"/>
          <w:szCs w:val="20"/>
        </w:rPr>
        <w:t xml:space="preserve"> de esta Resolución Técnica con el objeto de determinar su clasificación como: </w:t>
      </w:r>
    </w:p>
    <w:p w:rsidR="002E4F8B" w:rsidRPr="00AC4AEA" w:rsidRDefault="002E4F8B" w:rsidP="00C01B25">
      <w:pPr>
        <w:numPr>
          <w:ilvl w:val="0"/>
          <w:numId w:val="534"/>
        </w:numPr>
        <w:spacing w:line="264" w:lineRule="auto"/>
        <w:ind w:left="1276" w:hanging="567"/>
        <w:jc w:val="both"/>
        <w:rPr>
          <w:rFonts w:ascii="Arial" w:hAnsi="Arial" w:cs="Arial"/>
          <w:sz w:val="20"/>
          <w:szCs w:val="20"/>
        </w:rPr>
      </w:pPr>
      <w:r w:rsidRPr="00AC4AEA">
        <w:rPr>
          <w:rFonts w:ascii="Arial" w:hAnsi="Arial" w:cs="Arial"/>
          <w:sz w:val="20"/>
          <w:szCs w:val="20"/>
        </w:rPr>
        <w:t xml:space="preserve">entidad pequeña; </w:t>
      </w:r>
    </w:p>
    <w:p w:rsidR="002E4F8B" w:rsidRPr="00AC4AEA" w:rsidRDefault="002E4F8B" w:rsidP="00C01B25">
      <w:pPr>
        <w:numPr>
          <w:ilvl w:val="0"/>
          <w:numId w:val="534"/>
        </w:numPr>
        <w:spacing w:line="264" w:lineRule="auto"/>
        <w:ind w:left="1276" w:hanging="567"/>
        <w:jc w:val="both"/>
        <w:rPr>
          <w:rFonts w:ascii="Arial" w:hAnsi="Arial" w:cs="Arial"/>
          <w:sz w:val="20"/>
          <w:szCs w:val="20"/>
        </w:rPr>
      </w:pPr>
      <w:r w:rsidRPr="00AC4AEA">
        <w:rPr>
          <w:rFonts w:ascii="Arial" w:hAnsi="Arial" w:cs="Arial"/>
          <w:sz w:val="20"/>
          <w:szCs w:val="20"/>
        </w:rPr>
        <w:t xml:space="preserve">entidad mediana; o </w:t>
      </w:r>
    </w:p>
    <w:p w:rsidR="002E4F8B" w:rsidRPr="00AC4AEA" w:rsidRDefault="002E4F8B" w:rsidP="00C01B25">
      <w:pPr>
        <w:numPr>
          <w:ilvl w:val="0"/>
          <w:numId w:val="534"/>
        </w:numPr>
        <w:spacing w:line="264" w:lineRule="auto"/>
        <w:ind w:left="1276" w:hanging="567"/>
        <w:jc w:val="both"/>
        <w:rPr>
          <w:rFonts w:ascii="Arial" w:hAnsi="Arial" w:cs="Arial"/>
          <w:sz w:val="20"/>
          <w:szCs w:val="20"/>
        </w:rPr>
      </w:pPr>
      <w:r w:rsidRPr="00AC4AEA">
        <w:rPr>
          <w:rFonts w:ascii="Arial" w:hAnsi="Arial" w:cs="Arial"/>
          <w:sz w:val="20"/>
          <w:szCs w:val="20"/>
        </w:rPr>
        <w:t xml:space="preserve">una de las restantes entidades. </w:t>
      </w:r>
    </w:p>
    <w:p w:rsidR="004F0384"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Para aplicar los requerimientos de esta Resolución Técnica, incluyendo este Apéndice, una entidad seleccionará </w:t>
      </w:r>
      <w:r w:rsidRPr="00AD600B">
        <w:rPr>
          <w:rFonts w:ascii="Arial" w:hAnsi="Arial" w:cs="Arial"/>
          <w:b/>
          <w:bCs/>
          <w:sz w:val="20"/>
          <w:szCs w:val="20"/>
        </w:rPr>
        <w:t xml:space="preserve">políticas contables </w:t>
      </w:r>
      <w:r w:rsidRPr="00AC4AEA">
        <w:rPr>
          <w:rFonts w:ascii="Arial" w:hAnsi="Arial" w:cs="Arial"/>
          <w:sz w:val="20"/>
          <w:szCs w:val="20"/>
        </w:rPr>
        <w:t>que sean consistentes con la clasificación</w:t>
      </w:r>
      <w:r w:rsidR="004F0384" w:rsidRPr="00AC4AEA">
        <w:rPr>
          <w:rFonts w:ascii="Arial" w:hAnsi="Arial" w:cs="Arial"/>
          <w:sz w:val="20"/>
          <w:szCs w:val="20"/>
        </w:rPr>
        <w:t xml:space="preserve"> </w:t>
      </w:r>
      <w:r w:rsidRPr="00AC4AEA">
        <w:rPr>
          <w:rFonts w:ascii="Arial" w:hAnsi="Arial" w:cs="Arial"/>
          <w:sz w:val="20"/>
          <w:szCs w:val="20"/>
        </w:rPr>
        <w:t>que haya determinado de acuerdo con el párrafo anterior.</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bookmarkStart w:id="1294" w:name="_Ref136253031"/>
      <w:r w:rsidRPr="00AC4AEA">
        <w:rPr>
          <w:rFonts w:ascii="Arial" w:hAnsi="Arial" w:cs="Arial"/>
          <w:sz w:val="20"/>
          <w:szCs w:val="20"/>
        </w:rPr>
        <w:t>Cuando, en el primer ejercicio de aplicación de la presente Resolución Técnica, una entidad deba cambiar de categoría debido a los umbrales establecidos en los párrafos 6 y 7:</w:t>
      </w:r>
      <w:bookmarkEnd w:id="1294"/>
      <w:r w:rsidR="006F2C57">
        <w:rPr>
          <w:rFonts w:ascii="Arial" w:hAnsi="Arial" w:cs="Arial"/>
          <w:sz w:val="20"/>
          <w:szCs w:val="20"/>
        </w:rPr>
        <w:t xml:space="preserve"> </w:t>
      </w:r>
    </w:p>
    <w:p w:rsidR="002E4F8B" w:rsidRPr="00AC4AEA" w:rsidRDefault="002E4F8B" w:rsidP="00C01B25">
      <w:pPr>
        <w:numPr>
          <w:ilvl w:val="0"/>
          <w:numId w:val="522"/>
        </w:numPr>
        <w:spacing w:after="120"/>
        <w:ind w:left="1276" w:hanging="567"/>
        <w:jc w:val="both"/>
        <w:rPr>
          <w:rFonts w:ascii="Arial" w:hAnsi="Arial" w:cs="Arial"/>
          <w:sz w:val="20"/>
          <w:szCs w:val="20"/>
        </w:rPr>
      </w:pPr>
      <w:r w:rsidRPr="00AC4AEA">
        <w:rPr>
          <w:rFonts w:ascii="Arial" w:hAnsi="Arial" w:cs="Arial"/>
          <w:sz w:val="20"/>
          <w:szCs w:val="20"/>
        </w:rPr>
        <w:t xml:space="preserve">no aplicará lo indicado en el </w:t>
      </w:r>
      <w:r w:rsidR="003D726C" w:rsidRPr="00AC4AEA">
        <w:rPr>
          <w:rFonts w:ascii="Arial" w:hAnsi="Arial" w:cs="Arial"/>
          <w:sz w:val="20"/>
          <w:szCs w:val="20"/>
        </w:rPr>
        <w:t xml:space="preserve">inciso c) del </w:t>
      </w:r>
      <w:r w:rsidRPr="00AC4AEA">
        <w:rPr>
          <w:rFonts w:ascii="Arial" w:hAnsi="Arial" w:cs="Arial"/>
          <w:sz w:val="20"/>
          <w:szCs w:val="20"/>
        </w:rPr>
        <w:t xml:space="preserve">párrafo </w:t>
      </w:r>
      <w:fldSimple w:instr=" REF _Ref136248346 \r \h  \* MERGEFORMAT ">
        <w:r w:rsidR="00D33A5D" w:rsidRPr="00D33A5D">
          <w:rPr>
            <w:rFonts w:ascii="Arial" w:hAnsi="Arial" w:cs="Arial"/>
            <w:sz w:val="20"/>
            <w:szCs w:val="20"/>
          </w:rPr>
          <w:t>88</w:t>
        </w:r>
      </w:fldSimple>
      <w:r w:rsidRPr="00AC4AEA">
        <w:rPr>
          <w:rFonts w:ascii="Arial" w:hAnsi="Arial" w:cs="Arial"/>
          <w:sz w:val="20"/>
          <w:szCs w:val="20"/>
        </w:rPr>
        <w:t xml:space="preserve">; y </w:t>
      </w:r>
    </w:p>
    <w:p w:rsidR="002E4F8B" w:rsidRPr="00AC4AEA" w:rsidRDefault="002E4F8B" w:rsidP="00C01B25">
      <w:pPr>
        <w:numPr>
          <w:ilvl w:val="0"/>
          <w:numId w:val="522"/>
        </w:numPr>
        <w:spacing w:after="120"/>
        <w:ind w:left="1276" w:hanging="567"/>
        <w:jc w:val="both"/>
        <w:rPr>
          <w:rFonts w:ascii="Arial" w:hAnsi="Arial" w:cs="Arial"/>
          <w:sz w:val="20"/>
          <w:szCs w:val="20"/>
        </w:rPr>
      </w:pPr>
      <w:r w:rsidRPr="00AC4AEA">
        <w:rPr>
          <w:rFonts w:ascii="Arial" w:hAnsi="Arial" w:cs="Arial"/>
          <w:sz w:val="20"/>
          <w:szCs w:val="20"/>
        </w:rPr>
        <w:t xml:space="preserve">considerará la aplicación de un nuevo criterio contable introducido por la presente Resolución Técnica, de corresponder, como un cambio obligatorio de </w:t>
      </w:r>
      <w:r w:rsidRPr="00AD600B">
        <w:rPr>
          <w:rFonts w:ascii="Arial" w:hAnsi="Arial" w:cs="Arial"/>
          <w:b/>
          <w:bCs/>
          <w:sz w:val="20"/>
          <w:szCs w:val="20"/>
        </w:rPr>
        <w:t>política contable</w:t>
      </w:r>
      <w:r w:rsidRPr="00AC4AEA">
        <w:rPr>
          <w:rFonts w:ascii="Arial" w:hAnsi="Arial" w:cs="Arial"/>
          <w:sz w:val="20"/>
          <w:szCs w:val="20"/>
        </w:rPr>
        <w:t xml:space="preserve"> [ver el </w:t>
      </w:r>
      <w:r w:rsidR="00097EF6" w:rsidRPr="00AC4AEA">
        <w:rPr>
          <w:rFonts w:ascii="Arial" w:hAnsi="Arial" w:cs="Arial"/>
          <w:sz w:val="20"/>
          <w:szCs w:val="20"/>
        </w:rPr>
        <w:t xml:space="preserve">inciso a) del </w:t>
      </w:r>
      <w:r w:rsidRPr="00AC4AEA">
        <w:rPr>
          <w:rFonts w:ascii="Arial" w:hAnsi="Arial" w:cs="Arial"/>
          <w:sz w:val="20"/>
          <w:szCs w:val="20"/>
        </w:rPr>
        <w:t xml:space="preserve">párrafo </w:t>
      </w:r>
      <w:fldSimple w:instr=" REF _Ref77187714 \r \h  \* MERGEFORMAT ">
        <w:r w:rsidR="00D33A5D" w:rsidRPr="00D33A5D">
          <w:rPr>
            <w:rFonts w:ascii="Arial" w:hAnsi="Arial" w:cs="Arial"/>
            <w:sz w:val="20"/>
            <w:szCs w:val="20"/>
          </w:rPr>
          <w:t>84</w:t>
        </w:r>
      </w:fldSimple>
      <w:r w:rsidRPr="00AC4AEA">
        <w:rPr>
          <w:rFonts w:ascii="Arial" w:hAnsi="Arial" w:cs="Arial"/>
          <w:sz w:val="20"/>
          <w:szCs w:val="20"/>
        </w:rPr>
        <w:t xml:space="preserve">].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bookmarkStart w:id="1295" w:name="_Ref136253033"/>
      <w:r w:rsidRPr="00AC4AEA">
        <w:rPr>
          <w:rFonts w:ascii="Arial" w:hAnsi="Arial" w:cs="Arial"/>
          <w:sz w:val="20"/>
          <w:szCs w:val="20"/>
        </w:rPr>
        <w:t xml:space="preserve">Una entidad considerará un cambio voluntario de </w:t>
      </w:r>
      <w:r w:rsidRPr="00AD600B">
        <w:rPr>
          <w:rFonts w:ascii="Arial" w:hAnsi="Arial" w:cs="Arial"/>
          <w:b/>
          <w:bCs/>
          <w:sz w:val="20"/>
          <w:szCs w:val="20"/>
        </w:rPr>
        <w:t>política contable</w:t>
      </w:r>
      <w:r w:rsidR="00F4344A" w:rsidRPr="00AC4AEA">
        <w:rPr>
          <w:rFonts w:ascii="Arial" w:hAnsi="Arial" w:cs="Arial"/>
          <w:sz w:val="20"/>
          <w:szCs w:val="20"/>
        </w:rPr>
        <w:t>, y por lo tanto dará cumplimiento a lo establecido en el inciso</w:t>
      </w:r>
      <w:r w:rsidRPr="00AC4AEA">
        <w:rPr>
          <w:rFonts w:ascii="Arial" w:hAnsi="Arial" w:cs="Arial"/>
          <w:sz w:val="20"/>
          <w:szCs w:val="20"/>
        </w:rPr>
        <w:t xml:space="preserve"> </w:t>
      </w:r>
      <w:r w:rsidR="00B90D99" w:rsidRPr="00AC4AEA">
        <w:rPr>
          <w:rFonts w:ascii="Arial" w:hAnsi="Arial" w:cs="Arial"/>
          <w:sz w:val="20"/>
          <w:szCs w:val="20"/>
        </w:rPr>
        <w:t>b</w:t>
      </w:r>
      <w:r w:rsidR="00097EF6" w:rsidRPr="00AC4AEA">
        <w:rPr>
          <w:rFonts w:ascii="Arial" w:hAnsi="Arial" w:cs="Arial"/>
          <w:sz w:val="20"/>
          <w:szCs w:val="20"/>
        </w:rPr>
        <w:t xml:space="preserve">) del párrafo </w:t>
      </w:r>
      <w:fldSimple w:instr=" REF _Ref77187714 \r \h  \* MERGEFORMAT ">
        <w:r w:rsidR="00D33A5D" w:rsidRPr="00D33A5D">
          <w:rPr>
            <w:rFonts w:ascii="Arial" w:hAnsi="Arial" w:cs="Arial"/>
            <w:sz w:val="20"/>
            <w:szCs w:val="20"/>
          </w:rPr>
          <w:t>84</w:t>
        </w:r>
      </w:fldSimple>
      <w:r w:rsidR="00B90D99" w:rsidRPr="00AC4AEA">
        <w:rPr>
          <w:rFonts w:ascii="Arial" w:hAnsi="Arial" w:cs="Arial"/>
          <w:sz w:val="20"/>
          <w:szCs w:val="20"/>
        </w:rPr>
        <w:t>,</w:t>
      </w:r>
      <w:r w:rsidRPr="00AC4AEA">
        <w:rPr>
          <w:rFonts w:ascii="Arial" w:hAnsi="Arial" w:cs="Arial"/>
          <w:sz w:val="20"/>
          <w:szCs w:val="20"/>
        </w:rPr>
        <w:t xml:space="preserve"> cualquier modificación respecto de los criterios utilizados en los últimos </w:t>
      </w:r>
      <w:r w:rsidRPr="00AC4AEA">
        <w:rPr>
          <w:rFonts w:ascii="Arial" w:hAnsi="Arial" w:cs="Arial"/>
          <w:b/>
          <w:bCs/>
          <w:sz w:val="20"/>
          <w:szCs w:val="20"/>
        </w:rPr>
        <w:t>estados contables</w:t>
      </w:r>
      <w:r w:rsidRPr="00AC4AEA">
        <w:rPr>
          <w:rFonts w:ascii="Arial" w:hAnsi="Arial" w:cs="Arial"/>
          <w:sz w:val="20"/>
          <w:szCs w:val="20"/>
        </w:rPr>
        <w:t xml:space="preserve"> preparados conforme a normas anteriores, siempre que:</w:t>
      </w:r>
      <w:bookmarkEnd w:id="1295"/>
      <w:r w:rsidR="006F2C57">
        <w:rPr>
          <w:rFonts w:ascii="Arial" w:hAnsi="Arial" w:cs="Arial"/>
          <w:sz w:val="20"/>
          <w:szCs w:val="20"/>
        </w:rPr>
        <w:t xml:space="preserve"> </w:t>
      </w:r>
    </w:p>
    <w:p w:rsidR="002E4F8B" w:rsidRPr="00AC4AEA" w:rsidRDefault="002E4F8B" w:rsidP="00C01B25">
      <w:pPr>
        <w:numPr>
          <w:ilvl w:val="0"/>
          <w:numId w:val="523"/>
        </w:numPr>
        <w:spacing w:after="171"/>
        <w:ind w:left="1276" w:hanging="567"/>
        <w:jc w:val="both"/>
        <w:rPr>
          <w:rFonts w:ascii="Arial" w:hAnsi="Arial" w:cs="Arial"/>
          <w:sz w:val="20"/>
          <w:szCs w:val="20"/>
        </w:rPr>
      </w:pPr>
      <w:r w:rsidRPr="00AC4AEA">
        <w:rPr>
          <w:rFonts w:ascii="Arial" w:hAnsi="Arial" w:cs="Arial"/>
          <w:sz w:val="20"/>
          <w:szCs w:val="20"/>
        </w:rPr>
        <w:t xml:space="preserve">no resulte de los factores referidos en el </w:t>
      </w:r>
      <w:r w:rsidR="009B268A" w:rsidRPr="00AC4AEA">
        <w:rPr>
          <w:rFonts w:ascii="Arial" w:hAnsi="Arial" w:cs="Arial"/>
          <w:sz w:val="20"/>
          <w:szCs w:val="20"/>
        </w:rPr>
        <w:t>párrafo</w:t>
      </w:r>
      <w:r w:rsidRPr="00AC4AEA">
        <w:rPr>
          <w:rFonts w:ascii="Arial" w:hAnsi="Arial" w:cs="Arial"/>
          <w:sz w:val="20"/>
          <w:szCs w:val="20"/>
        </w:rPr>
        <w:t xml:space="preserve"> anterior; y </w:t>
      </w:r>
    </w:p>
    <w:p w:rsidR="002E4F8B" w:rsidRPr="00AC4AEA" w:rsidRDefault="002E4F8B" w:rsidP="00C01B25">
      <w:pPr>
        <w:numPr>
          <w:ilvl w:val="0"/>
          <w:numId w:val="523"/>
        </w:numPr>
        <w:spacing w:after="150"/>
        <w:ind w:left="1276" w:hanging="567"/>
        <w:jc w:val="both"/>
        <w:rPr>
          <w:rFonts w:ascii="Arial" w:hAnsi="Arial" w:cs="Arial"/>
          <w:sz w:val="20"/>
          <w:szCs w:val="20"/>
        </w:rPr>
      </w:pPr>
      <w:r w:rsidRPr="00AC4AEA">
        <w:rPr>
          <w:rFonts w:ascii="Arial" w:hAnsi="Arial" w:cs="Arial"/>
          <w:sz w:val="20"/>
          <w:szCs w:val="20"/>
        </w:rPr>
        <w:t>era</w:t>
      </w:r>
      <w:r w:rsidR="00700FE3" w:rsidRPr="00AC4AEA">
        <w:rPr>
          <w:rFonts w:ascii="Arial" w:hAnsi="Arial" w:cs="Arial"/>
          <w:sz w:val="20"/>
          <w:szCs w:val="20"/>
        </w:rPr>
        <w:t>n</w:t>
      </w:r>
      <w:r w:rsidRPr="00AC4AEA">
        <w:rPr>
          <w:rFonts w:ascii="Arial" w:hAnsi="Arial" w:cs="Arial"/>
          <w:sz w:val="20"/>
          <w:szCs w:val="20"/>
        </w:rPr>
        <w:t xml:space="preserve"> admitid</w:t>
      </w:r>
      <w:r w:rsidR="00700FE3" w:rsidRPr="00AC4AEA">
        <w:rPr>
          <w:rFonts w:ascii="Arial" w:hAnsi="Arial" w:cs="Arial"/>
          <w:sz w:val="20"/>
          <w:szCs w:val="20"/>
        </w:rPr>
        <w:t>os</w:t>
      </w:r>
      <w:r w:rsidRPr="00AC4AEA">
        <w:rPr>
          <w:rFonts w:ascii="Arial" w:hAnsi="Arial" w:cs="Arial"/>
          <w:sz w:val="20"/>
          <w:szCs w:val="20"/>
        </w:rPr>
        <w:t xml:space="preserve"> por las normas anteriores </w:t>
      </w:r>
      <w:r w:rsidR="00700FE3" w:rsidRPr="00AC4AEA">
        <w:rPr>
          <w:rFonts w:ascii="Arial" w:hAnsi="Arial" w:cs="Arial"/>
          <w:sz w:val="20"/>
          <w:szCs w:val="20"/>
        </w:rPr>
        <w:t>a la vez que</w:t>
      </w:r>
      <w:r w:rsidRPr="00AC4AEA">
        <w:rPr>
          <w:rFonts w:ascii="Arial" w:hAnsi="Arial" w:cs="Arial"/>
          <w:sz w:val="20"/>
          <w:szCs w:val="20"/>
        </w:rPr>
        <w:t xml:space="preserve"> </w:t>
      </w:r>
      <w:r w:rsidR="00700FE3" w:rsidRPr="00AC4AEA">
        <w:rPr>
          <w:rFonts w:ascii="Arial" w:hAnsi="Arial" w:cs="Arial"/>
          <w:sz w:val="20"/>
          <w:szCs w:val="20"/>
        </w:rPr>
        <w:t>son</w:t>
      </w:r>
      <w:r w:rsidRPr="00AC4AEA">
        <w:rPr>
          <w:rFonts w:ascii="Arial" w:hAnsi="Arial" w:cs="Arial"/>
          <w:sz w:val="20"/>
          <w:szCs w:val="20"/>
        </w:rPr>
        <w:t xml:space="preserve"> admitid</w:t>
      </w:r>
      <w:r w:rsidR="00700FE3" w:rsidRPr="00AC4AEA">
        <w:rPr>
          <w:rFonts w:ascii="Arial" w:hAnsi="Arial" w:cs="Arial"/>
          <w:sz w:val="20"/>
          <w:szCs w:val="20"/>
        </w:rPr>
        <w:t>os</w:t>
      </w:r>
      <w:r w:rsidRPr="00AC4AEA">
        <w:rPr>
          <w:rFonts w:ascii="Arial" w:hAnsi="Arial" w:cs="Arial"/>
          <w:sz w:val="20"/>
          <w:szCs w:val="20"/>
        </w:rPr>
        <w:t xml:space="preserve"> por esta Resolución Técnica. </w:t>
      </w:r>
    </w:p>
    <w:tbl>
      <w:tblPr>
        <w:tblStyle w:val="Tablaconcuadrcula"/>
        <w:tblW w:w="0" w:type="auto"/>
        <w:tblLook w:val="04A0"/>
      </w:tblPr>
      <w:tblGrid>
        <w:gridCol w:w="8495"/>
      </w:tblGrid>
      <w:tr w:rsidR="00CA243C" w:rsidRPr="00AC4AEA" w:rsidTr="00CA243C">
        <w:tc>
          <w:tcPr>
            <w:tcW w:w="8495" w:type="dxa"/>
          </w:tcPr>
          <w:p w:rsidR="00CA243C" w:rsidRPr="00AC4AEA" w:rsidRDefault="00CA243C" w:rsidP="006A51BA">
            <w:pPr>
              <w:spacing w:after="150"/>
              <w:rPr>
                <w:rFonts w:ascii="Arial" w:hAnsi="Arial" w:cs="Arial"/>
                <w:color w:val="00B050"/>
                <w:sz w:val="20"/>
                <w:szCs w:val="20"/>
              </w:rPr>
            </w:pPr>
            <w:r w:rsidRPr="00AC4AEA">
              <w:rPr>
                <w:rFonts w:ascii="Arial" w:hAnsi="Arial" w:cs="Arial"/>
                <w:color w:val="00B050"/>
                <w:sz w:val="20"/>
                <w:szCs w:val="20"/>
              </w:rPr>
              <w:t xml:space="preserve">Aclaración (texto no integrante de la </w:t>
            </w:r>
            <w:r w:rsidR="00CA728B" w:rsidRPr="00AC4AEA">
              <w:rPr>
                <w:rFonts w:ascii="Arial" w:hAnsi="Arial" w:cs="Arial"/>
                <w:color w:val="00B050"/>
                <w:sz w:val="20"/>
                <w:szCs w:val="20"/>
              </w:rPr>
              <w:t xml:space="preserve">presente </w:t>
            </w:r>
            <w:r w:rsidRPr="00AC4AEA">
              <w:rPr>
                <w:rFonts w:ascii="Arial" w:hAnsi="Arial" w:cs="Arial"/>
                <w:color w:val="00B050"/>
                <w:sz w:val="20"/>
                <w:szCs w:val="20"/>
              </w:rPr>
              <w:t>Resolución Técnica)</w:t>
            </w:r>
          </w:p>
        </w:tc>
      </w:tr>
      <w:tr w:rsidR="00CA243C" w:rsidRPr="00AC4AEA" w:rsidTr="00CA243C">
        <w:tc>
          <w:tcPr>
            <w:tcW w:w="8495" w:type="dxa"/>
          </w:tcPr>
          <w:p w:rsidR="00F53C4B" w:rsidRPr="00AC4AEA" w:rsidRDefault="00F53C4B" w:rsidP="00F53C4B">
            <w:pPr>
              <w:spacing w:after="150"/>
              <w:rPr>
                <w:rFonts w:ascii="Arial" w:hAnsi="Arial" w:cs="Arial"/>
                <w:color w:val="00B050"/>
                <w:sz w:val="20"/>
                <w:szCs w:val="20"/>
              </w:rPr>
            </w:pPr>
            <w:r w:rsidRPr="00AC4AEA">
              <w:rPr>
                <w:rFonts w:ascii="Arial" w:hAnsi="Arial" w:cs="Arial"/>
                <w:color w:val="00B050"/>
                <w:sz w:val="20"/>
                <w:szCs w:val="20"/>
              </w:rPr>
              <w:t xml:space="preserve">Existen dos tipos de cambios que podrían tener lugar como consecuencia de </w:t>
            </w:r>
            <w:r w:rsidR="00CA728B" w:rsidRPr="00AC4AEA">
              <w:rPr>
                <w:rFonts w:ascii="Arial" w:hAnsi="Arial" w:cs="Arial"/>
                <w:color w:val="00B050"/>
                <w:sz w:val="20"/>
                <w:szCs w:val="20"/>
              </w:rPr>
              <w:t>la</w:t>
            </w:r>
            <w:r w:rsidRPr="00AC4AEA">
              <w:rPr>
                <w:rFonts w:ascii="Arial" w:hAnsi="Arial" w:cs="Arial"/>
                <w:color w:val="00B050"/>
                <w:sz w:val="20"/>
                <w:szCs w:val="20"/>
              </w:rPr>
              <w:t xml:space="preserve"> aplicación inicial</w:t>
            </w:r>
            <w:r w:rsidR="00CA728B" w:rsidRPr="00AC4AEA">
              <w:rPr>
                <w:rFonts w:ascii="Arial" w:hAnsi="Arial" w:cs="Arial"/>
                <w:color w:val="00B050"/>
                <w:sz w:val="20"/>
                <w:szCs w:val="20"/>
              </w:rPr>
              <w:t xml:space="preserve"> de la presente Resolución Técnica</w:t>
            </w:r>
            <w:r w:rsidRPr="00AC4AEA">
              <w:rPr>
                <w:rFonts w:ascii="Arial" w:hAnsi="Arial" w:cs="Arial"/>
                <w:color w:val="00B050"/>
                <w:sz w:val="20"/>
                <w:szCs w:val="20"/>
              </w:rPr>
              <w:t>:</w:t>
            </w:r>
          </w:p>
          <w:p w:rsidR="00F53C4B" w:rsidRPr="00AC4AEA" w:rsidRDefault="00F53C4B" w:rsidP="00C01B25">
            <w:pPr>
              <w:pStyle w:val="Prrafodelista"/>
              <w:numPr>
                <w:ilvl w:val="0"/>
                <w:numId w:val="659"/>
              </w:numPr>
              <w:spacing w:after="150"/>
              <w:rPr>
                <w:rFonts w:ascii="Arial" w:hAnsi="Arial" w:cs="Arial"/>
                <w:color w:val="00B050"/>
                <w:sz w:val="20"/>
                <w:szCs w:val="20"/>
              </w:rPr>
            </w:pPr>
            <w:r w:rsidRPr="00AC4AEA">
              <w:rPr>
                <w:rFonts w:ascii="Arial" w:hAnsi="Arial" w:cs="Arial"/>
                <w:color w:val="00B050"/>
                <w:sz w:val="20"/>
                <w:szCs w:val="20"/>
              </w:rPr>
              <w:t>Cambios de criterios que no podrían haberse efectuado aplicando las normas anteriores (“cambios tipo 1”).</w:t>
            </w:r>
          </w:p>
          <w:p w:rsidR="00CA243C" w:rsidRPr="00AC4AEA" w:rsidRDefault="00F53C4B" w:rsidP="00C01B25">
            <w:pPr>
              <w:pStyle w:val="Prrafodelista"/>
              <w:numPr>
                <w:ilvl w:val="0"/>
                <w:numId w:val="659"/>
              </w:numPr>
              <w:spacing w:after="150"/>
              <w:rPr>
                <w:rFonts w:ascii="Arial" w:hAnsi="Arial" w:cs="Arial"/>
                <w:color w:val="00B050"/>
                <w:sz w:val="20"/>
                <w:szCs w:val="20"/>
              </w:rPr>
            </w:pPr>
            <w:r w:rsidRPr="00AC4AEA">
              <w:rPr>
                <w:rFonts w:ascii="Arial" w:hAnsi="Arial" w:cs="Arial"/>
                <w:color w:val="00B050"/>
                <w:sz w:val="20"/>
                <w:szCs w:val="20"/>
              </w:rPr>
              <w:t xml:space="preserve">Cambios de criterios respecto de los utilizados en los últimos </w:t>
            </w:r>
            <w:r w:rsidRPr="00AC4AEA">
              <w:rPr>
                <w:rFonts w:ascii="Arial" w:hAnsi="Arial" w:cs="Arial"/>
                <w:b/>
                <w:bCs/>
                <w:color w:val="00B050"/>
                <w:sz w:val="20"/>
                <w:szCs w:val="20"/>
              </w:rPr>
              <w:t>estados contables</w:t>
            </w:r>
            <w:r w:rsidRPr="00AC4AEA">
              <w:rPr>
                <w:rFonts w:ascii="Arial" w:hAnsi="Arial" w:cs="Arial"/>
                <w:color w:val="00B050"/>
                <w:sz w:val="20"/>
                <w:szCs w:val="20"/>
              </w:rPr>
              <w:t xml:space="preserve"> preparados conforme a normas anteriores, que podrían haberse efectuado aplicando las normas anteriores (“cambios tipo 2”).</w:t>
            </w:r>
          </w:p>
          <w:p w:rsidR="003E50C1" w:rsidRPr="00AC4AEA" w:rsidRDefault="003E50C1" w:rsidP="00CA728B">
            <w:pPr>
              <w:spacing w:after="150"/>
              <w:rPr>
                <w:rFonts w:ascii="Arial" w:hAnsi="Arial" w:cs="Arial"/>
                <w:b/>
                <w:bCs/>
                <w:color w:val="00B050"/>
                <w:sz w:val="20"/>
                <w:szCs w:val="20"/>
              </w:rPr>
            </w:pPr>
          </w:p>
          <w:p w:rsidR="00CA728B" w:rsidRPr="00AC4AEA" w:rsidRDefault="00CA728B" w:rsidP="00CA728B">
            <w:pPr>
              <w:spacing w:after="150"/>
              <w:rPr>
                <w:rFonts w:ascii="Arial" w:hAnsi="Arial" w:cs="Arial"/>
                <w:b/>
                <w:bCs/>
                <w:color w:val="00B050"/>
                <w:sz w:val="20"/>
                <w:szCs w:val="20"/>
              </w:rPr>
            </w:pPr>
            <w:r w:rsidRPr="00AC4AEA">
              <w:rPr>
                <w:rFonts w:ascii="Arial" w:hAnsi="Arial" w:cs="Arial"/>
                <w:b/>
                <w:bCs/>
                <w:color w:val="00B050"/>
                <w:sz w:val="20"/>
                <w:szCs w:val="20"/>
              </w:rPr>
              <w:t>Ejemplos: Cambios “tipo 1”</w:t>
            </w:r>
          </w:p>
          <w:p w:rsidR="00CA728B" w:rsidRPr="00AC4AEA" w:rsidRDefault="00CA728B" w:rsidP="00CA728B">
            <w:pPr>
              <w:spacing w:after="150"/>
              <w:rPr>
                <w:rFonts w:ascii="Arial" w:hAnsi="Arial" w:cs="Arial"/>
                <w:i/>
                <w:iCs/>
                <w:color w:val="00B050"/>
                <w:sz w:val="20"/>
                <w:szCs w:val="20"/>
              </w:rPr>
            </w:pPr>
            <w:r w:rsidRPr="00AC4AEA">
              <w:rPr>
                <w:rFonts w:ascii="Arial" w:hAnsi="Arial" w:cs="Arial"/>
                <w:i/>
                <w:iCs/>
                <w:color w:val="00B050"/>
                <w:sz w:val="20"/>
                <w:szCs w:val="20"/>
              </w:rPr>
              <w:t>Ejemplo 1</w:t>
            </w:r>
          </w:p>
          <w:p w:rsidR="00CA728B" w:rsidRPr="00AC4AEA" w:rsidRDefault="00CA728B" w:rsidP="00CA728B">
            <w:pPr>
              <w:spacing w:after="150"/>
              <w:rPr>
                <w:rFonts w:ascii="Arial" w:hAnsi="Arial" w:cs="Arial"/>
                <w:color w:val="00B050"/>
                <w:sz w:val="20"/>
                <w:szCs w:val="20"/>
              </w:rPr>
            </w:pPr>
            <w:r w:rsidRPr="00AC4AEA">
              <w:rPr>
                <w:rFonts w:ascii="Arial" w:hAnsi="Arial" w:cs="Arial"/>
                <w:color w:val="00B050"/>
                <w:sz w:val="20"/>
                <w:szCs w:val="20"/>
              </w:rPr>
              <w:t xml:space="preserve">Una entidad, al determinar su clasificación en la fecha de la aplicación inicial, pasa a ser </w:t>
            </w:r>
            <w:r w:rsidRPr="00AC4AEA">
              <w:rPr>
                <w:rFonts w:ascii="Arial" w:hAnsi="Arial" w:cs="Arial"/>
                <w:color w:val="00B050"/>
                <w:sz w:val="20"/>
                <w:szCs w:val="20"/>
              </w:rPr>
              <w:lastRenderedPageBreak/>
              <w:t xml:space="preserve">considerada pequeña. De acuerdo con los parámetros de la Resolución Técnica N° 41 habría sido clasificado como mediana. </w:t>
            </w:r>
          </w:p>
          <w:p w:rsidR="00CA728B" w:rsidRPr="00AC4AEA" w:rsidRDefault="00CA728B" w:rsidP="00CA728B">
            <w:pPr>
              <w:spacing w:after="150"/>
              <w:rPr>
                <w:rFonts w:ascii="Arial" w:hAnsi="Arial" w:cs="Arial"/>
                <w:color w:val="00B050"/>
                <w:sz w:val="20"/>
                <w:szCs w:val="20"/>
              </w:rPr>
            </w:pPr>
            <w:r w:rsidRPr="00AC4AEA">
              <w:rPr>
                <w:rFonts w:ascii="Arial" w:hAnsi="Arial" w:cs="Arial"/>
                <w:color w:val="00B050"/>
                <w:sz w:val="20"/>
                <w:szCs w:val="20"/>
              </w:rPr>
              <w:t>Si la entidad optara por no aplicar el método del impuesto diferido a causa de su nueva categoría, al ser un cambio que no podría haber efectuado aplica</w:t>
            </w:r>
            <w:r w:rsidR="005E485B" w:rsidRPr="00AC4AEA">
              <w:rPr>
                <w:rFonts w:ascii="Arial" w:hAnsi="Arial" w:cs="Arial"/>
                <w:color w:val="00B050"/>
                <w:sz w:val="20"/>
                <w:szCs w:val="20"/>
              </w:rPr>
              <w:t>n</w:t>
            </w:r>
            <w:r w:rsidRPr="00AC4AEA">
              <w:rPr>
                <w:rFonts w:ascii="Arial" w:hAnsi="Arial" w:cs="Arial"/>
                <w:color w:val="00B050"/>
                <w:sz w:val="20"/>
                <w:szCs w:val="20"/>
              </w:rPr>
              <w:t>do las normas anteriores, considerará tal modificación de criterio como si tratara de un cambio obligatorio de política contable.</w:t>
            </w:r>
          </w:p>
          <w:p w:rsidR="00CA728B" w:rsidRPr="00AC4AEA" w:rsidRDefault="00CA728B" w:rsidP="00CA728B">
            <w:pPr>
              <w:spacing w:after="150"/>
              <w:rPr>
                <w:rFonts w:ascii="Arial" w:hAnsi="Arial" w:cs="Arial"/>
                <w:i/>
                <w:iCs/>
                <w:color w:val="00B050"/>
                <w:sz w:val="20"/>
                <w:szCs w:val="20"/>
              </w:rPr>
            </w:pPr>
            <w:r w:rsidRPr="00AC4AEA">
              <w:rPr>
                <w:rFonts w:ascii="Arial" w:hAnsi="Arial" w:cs="Arial"/>
                <w:i/>
                <w:iCs/>
                <w:color w:val="00B050"/>
                <w:sz w:val="20"/>
                <w:szCs w:val="20"/>
              </w:rPr>
              <w:t>Ejemplo 2</w:t>
            </w:r>
          </w:p>
          <w:p w:rsidR="00CA728B" w:rsidRPr="00AC4AEA" w:rsidRDefault="00CA728B" w:rsidP="00CA728B">
            <w:pPr>
              <w:spacing w:after="150"/>
              <w:rPr>
                <w:rFonts w:ascii="Arial" w:hAnsi="Arial" w:cs="Arial"/>
                <w:color w:val="00B050"/>
                <w:sz w:val="20"/>
                <w:szCs w:val="20"/>
              </w:rPr>
            </w:pPr>
            <w:r w:rsidRPr="00AC4AEA">
              <w:rPr>
                <w:rFonts w:ascii="Arial" w:hAnsi="Arial" w:cs="Arial"/>
                <w:color w:val="00B050"/>
                <w:sz w:val="20"/>
                <w:szCs w:val="20"/>
              </w:rPr>
              <w:t xml:space="preserve">Una entidad, al determinar su clasificación en la fecha de la aplicación inicial, no cambió de categoría. </w:t>
            </w:r>
          </w:p>
          <w:p w:rsidR="00CA728B" w:rsidRPr="00AC4AEA" w:rsidRDefault="00FA11AC" w:rsidP="00CA728B">
            <w:pPr>
              <w:spacing w:after="150"/>
              <w:rPr>
                <w:rFonts w:ascii="Arial" w:hAnsi="Arial" w:cs="Arial"/>
                <w:color w:val="00B050"/>
                <w:sz w:val="20"/>
                <w:szCs w:val="20"/>
              </w:rPr>
            </w:pPr>
            <w:r>
              <w:rPr>
                <w:rFonts w:ascii="Arial" w:hAnsi="Arial" w:cs="Arial"/>
                <w:color w:val="00B050"/>
                <w:sz w:val="20"/>
                <w:szCs w:val="20"/>
              </w:rPr>
              <w:t>Esta</w:t>
            </w:r>
            <w:r w:rsidR="00CA728B" w:rsidRPr="00AC4AEA">
              <w:rPr>
                <w:rFonts w:ascii="Arial" w:hAnsi="Arial" w:cs="Arial"/>
                <w:color w:val="00B050"/>
                <w:sz w:val="20"/>
                <w:szCs w:val="20"/>
              </w:rPr>
              <w:t xml:space="preserve"> Resolución Técnica permite medir sus bienes de cambio en función a las últimas compras, mientras que la Resolución Técnica N° 17 no lo admitía. Si la entidad optara por medir sus bienes de cambio en función a las últimas compras, considerará tal modificación de criterio como si tratara de un cambio obligatorio de política contable.</w:t>
            </w:r>
          </w:p>
          <w:p w:rsidR="00CA728B" w:rsidRPr="00AC4AEA" w:rsidRDefault="00CA728B" w:rsidP="00CA728B">
            <w:pPr>
              <w:spacing w:after="150"/>
              <w:rPr>
                <w:rFonts w:ascii="Arial" w:hAnsi="Arial" w:cs="Arial"/>
                <w:b/>
                <w:bCs/>
                <w:color w:val="00B050"/>
                <w:sz w:val="20"/>
                <w:szCs w:val="20"/>
              </w:rPr>
            </w:pPr>
            <w:r w:rsidRPr="00AC4AEA">
              <w:rPr>
                <w:rFonts w:ascii="Arial" w:hAnsi="Arial" w:cs="Arial"/>
                <w:b/>
                <w:bCs/>
                <w:color w:val="00B050"/>
                <w:sz w:val="20"/>
                <w:szCs w:val="20"/>
              </w:rPr>
              <w:t>El efecto es que la entidad no deberá justificar que el nuevo criterio produce mejor información que el aplicado de acuerdo con las normas anteriores para utilizarlo.</w:t>
            </w:r>
          </w:p>
          <w:p w:rsidR="003E50C1" w:rsidRPr="00AC4AEA" w:rsidRDefault="003E50C1" w:rsidP="000533F0">
            <w:pPr>
              <w:spacing w:after="150"/>
              <w:rPr>
                <w:rFonts w:ascii="Arial" w:hAnsi="Arial" w:cs="Arial"/>
                <w:b/>
                <w:bCs/>
                <w:color w:val="00B050"/>
                <w:sz w:val="20"/>
                <w:szCs w:val="20"/>
              </w:rPr>
            </w:pPr>
          </w:p>
          <w:p w:rsidR="000533F0" w:rsidRPr="00AC4AEA" w:rsidRDefault="000533F0" w:rsidP="000533F0">
            <w:pPr>
              <w:spacing w:after="150"/>
              <w:rPr>
                <w:rFonts w:ascii="Arial" w:hAnsi="Arial" w:cs="Arial"/>
                <w:b/>
                <w:bCs/>
                <w:color w:val="00B050"/>
                <w:sz w:val="20"/>
                <w:szCs w:val="20"/>
              </w:rPr>
            </w:pPr>
            <w:r w:rsidRPr="00AC4AEA">
              <w:rPr>
                <w:rFonts w:ascii="Arial" w:hAnsi="Arial" w:cs="Arial"/>
                <w:b/>
                <w:bCs/>
                <w:color w:val="00B050"/>
                <w:sz w:val="20"/>
                <w:szCs w:val="20"/>
              </w:rPr>
              <w:t>Ejemplos: Cambios “tipo 2”</w:t>
            </w:r>
          </w:p>
          <w:p w:rsidR="00A75DED" w:rsidRPr="00AC4AEA" w:rsidRDefault="00A75DED" w:rsidP="00A75DED">
            <w:pPr>
              <w:rPr>
                <w:rFonts w:ascii="Arial" w:hAnsi="Arial" w:cs="Arial"/>
                <w:i/>
                <w:iCs/>
                <w:color w:val="00B050"/>
                <w:sz w:val="20"/>
                <w:szCs w:val="20"/>
                <w:u w:val="single"/>
                <w:lang w:val="es-ES"/>
              </w:rPr>
            </w:pPr>
            <w:r w:rsidRPr="00AC4AEA">
              <w:rPr>
                <w:rFonts w:ascii="Arial" w:hAnsi="Arial" w:cs="Arial"/>
                <w:i/>
                <w:iCs/>
                <w:color w:val="00B050"/>
                <w:sz w:val="20"/>
                <w:szCs w:val="20"/>
                <w:u w:val="single"/>
                <w:lang w:val="es-ES"/>
              </w:rPr>
              <w:t>Ejemplo 1</w:t>
            </w:r>
          </w:p>
          <w:p w:rsidR="00A75DED" w:rsidRPr="00AC4AEA" w:rsidRDefault="00A75DED" w:rsidP="00A75DED">
            <w:pPr>
              <w:rPr>
                <w:rFonts w:ascii="Arial" w:hAnsi="Arial" w:cs="Arial"/>
                <w:color w:val="00B050"/>
                <w:sz w:val="20"/>
                <w:szCs w:val="20"/>
                <w:lang w:val="es-ES"/>
              </w:rPr>
            </w:pPr>
            <w:r w:rsidRPr="00AC4AEA">
              <w:rPr>
                <w:rFonts w:ascii="Arial" w:hAnsi="Arial" w:cs="Arial"/>
                <w:color w:val="00B050"/>
                <w:sz w:val="20"/>
                <w:szCs w:val="20"/>
                <w:lang w:val="es-ES"/>
              </w:rPr>
              <w:t xml:space="preserve">Una entidad, al determinar su clasificación en la fecha de la aplicación inicial, es considerada pequeña. De acuerdo con los parámetros de la Resolución Técnica N° 41 también habría sido considerada pequeña. </w:t>
            </w:r>
          </w:p>
          <w:p w:rsidR="00A75DED" w:rsidRPr="00AC4AEA" w:rsidRDefault="00A75DED" w:rsidP="00A75DED">
            <w:pPr>
              <w:rPr>
                <w:rFonts w:ascii="Arial" w:hAnsi="Arial" w:cs="Arial"/>
                <w:color w:val="00B050"/>
                <w:sz w:val="20"/>
                <w:szCs w:val="20"/>
                <w:lang w:val="es-ES"/>
              </w:rPr>
            </w:pPr>
            <w:r w:rsidRPr="00AC4AEA">
              <w:rPr>
                <w:rFonts w:ascii="Arial" w:hAnsi="Arial" w:cs="Arial"/>
                <w:color w:val="00B050"/>
                <w:sz w:val="20"/>
                <w:szCs w:val="20"/>
                <w:lang w:val="es-ES"/>
              </w:rPr>
              <w:t>Si la entidad optara por no segregar componentes financieros, cuando antes los segregaba, deberá tratar tal modificación de criterio como si un cambio voluntario de política contable.</w:t>
            </w:r>
          </w:p>
          <w:p w:rsidR="00A75DED" w:rsidRPr="00AC4AEA" w:rsidRDefault="00A75DED" w:rsidP="00A75DED">
            <w:pPr>
              <w:rPr>
                <w:rFonts w:ascii="Arial" w:hAnsi="Arial" w:cs="Arial"/>
                <w:i/>
                <w:iCs/>
                <w:color w:val="00B050"/>
                <w:sz w:val="20"/>
                <w:szCs w:val="20"/>
                <w:u w:val="single"/>
                <w:lang w:val="es-ES"/>
              </w:rPr>
            </w:pPr>
            <w:r w:rsidRPr="00AC4AEA">
              <w:rPr>
                <w:rFonts w:ascii="Arial" w:hAnsi="Arial" w:cs="Arial"/>
                <w:i/>
                <w:iCs/>
                <w:color w:val="00B050"/>
                <w:sz w:val="20"/>
                <w:szCs w:val="20"/>
                <w:u w:val="single"/>
                <w:lang w:val="es-ES"/>
              </w:rPr>
              <w:t>Ejemplo 2</w:t>
            </w:r>
          </w:p>
          <w:p w:rsidR="00A75DED" w:rsidRPr="00AC4AEA" w:rsidRDefault="00A75DED" w:rsidP="00A75DED">
            <w:pPr>
              <w:rPr>
                <w:rFonts w:ascii="Arial" w:hAnsi="Arial" w:cs="Arial"/>
                <w:color w:val="00B050"/>
                <w:sz w:val="20"/>
                <w:szCs w:val="20"/>
                <w:lang w:val="es-ES"/>
              </w:rPr>
            </w:pPr>
            <w:r w:rsidRPr="00AC4AEA">
              <w:rPr>
                <w:rFonts w:ascii="Arial" w:hAnsi="Arial" w:cs="Arial"/>
                <w:color w:val="00B050"/>
                <w:sz w:val="20"/>
                <w:szCs w:val="20"/>
                <w:lang w:val="es-ES"/>
              </w:rPr>
              <w:t xml:space="preserve">Una entidad, al determinar su clasificación en la fecha de la aplicación inicial, pasa a ser considerada pequeña. De acuerdo con los parámetros de la Resolución Técnica N° 41 habría sido clasificado como mediana. </w:t>
            </w:r>
          </w:p>
          <w:p w:rsidR="00A75DED" w:rsidRPr="00AC4AEA" w:rsidRDefault="00FA11AC" w:rsidP="00A75DED">
            <w:pPr>
              <w:rPr>
                <w:rFonts w:ascii="Arial" w:hAnsi="Arial" w:cs="Arial"/>
                <w:color w:val="00B050"/>
                <w:sz w:val="20"/>
                <w:szCs w:val="20"/>
                <w:lang w:val="es-ES"/>
              </w:rPr>
            </w:pPr>
            <w:r>
              <w:rPr>
                <w:rFonts w:ascii="Arial" w:hAnsi="Arial" w:cs="Arial"/>
                <w:color w:val="00B050"/>
                <w:sz w:val="20"/>
                <w:szCs w:val="20"/>
                <w:lang w:val="es-ES"/>
              </w:rPr>
              <w:t>Esta</w:t>
            </w:r>
            <w:r w:rsidR="00A75DED" w:rsidRPr="00AC4AEA">
              <w:rPr>
                <w:rFonts w:ascii="Arial" w:hAnsi="Arial" w:cs="Arial"/>
                <w:color w:val="00B050"/>
                <w:sz w:val="20"/>
                <w:szCs w:val="20"/>
                <w:lang w:val="es-ES"/>
              </w:rPr>
              <w:t xml:space="preserve"> Resolución Técnica permite aplicar el modelo de revaluación, y las normas anteriores también se lo permitía. Si la entidad optara por medir una o más clases de sus bienes de uso utilizando el modelo de revaluación, considerará tal modificación de criterio como un cambio voluntario de política contable.</w:t>
            </w:r>
          </w:p>
          <w:p w:rsidR="002F17A3" w:rsidRPr="00AC4AEA" w:rsidRDefault="00A75DED" w:rsidP="003E50C1">
            <w:pPr>
              <w:rPr>
                <w:rFonts w:ascii="Arial" w:hAnsi="Arial" w:cs="Arial"/>
                <w:color w:val="00B050"/>
                <w:sz w:val="20"/>
                <w:szCs w:val="20"/>
              </w:rPr>
            </w:pPr>
            <w:r w:rsidRPr="00AC4AEA">
              <w:rPr>
                <w:rFonts w:ascii="Arial" w:hAnsi="Arial" w:cs="Arial"/>
                <w:b/>
                <w:bCs/>
                <w:color w:val="00B050"/>
                <w:sz w:val="20"/>
                <w:szCs w:val="20"/>
                <w:lang w:val="es-ES"/>
              </w:rPr>
              <w:t>El efecto es que la entidad deberá justificar que el nuevo criterio produce mejor información que el aplicado de acuerdo con las normas anteriores para utilizarlo</w:t>
            </w:r>
            <w:r w:rsidR="0011683A" w:rsidRPr="00AC4AEA">
              <w:rPr>
                <w:rFonts w:ascii="Arial" w:hAnsi="Arial" w:cs="Arial"/>
                <w:b/>
                <w:bCs/>
                <w:color w:val="00B050"/>
                <w:sz w:val="20"/>
                <w:szCs w:val="20"/>
              </w:rPr>
              <w:t xml:space="preserve">, según el inciso b) del párrafo </w:t>
            </w:r>
            <w:r w:rsidR="001C4138">
              <w:rPr>
                <w:rFonts w:ascii="Arial" w:hAnsi="Arial" w:cs="Arial"/>
                <w:b/>
                <w:bCs/>
                <w:color w:val="00B050"/>
                <w:sz w:val="20"/>
                <w:szCs w:val="20"/>
              </w:rPr>
              <w:fldChar w:fldCharType="begin"/>
            </w:r>
            <w:r w:rsidR="00BB369E">
              <w:rPr>
                <w:rFonts w:ascii="Arial" w:hAnsi="Arial" w:cs="Arial"/>
                <w:b/>
                <w:bCs/>
                <w:color w:val="00B050"/>
                <w:sz w:val="20"/>
                <w:szCs w:val="20"/>
              </w:rPr>
              <w:instrText xml:space="preserve"> REF _Ref138966538 \r \h </w:instrText>
            </w:r>
            <w:r w:rsidR="001C4138">
              <w:rPr>
                <w:rFonts w:ascii="Arial" w:hAnsi="Arial" w:cs="Arial"/>
                <w:b/>
                <w:bCs/>
                <w:color w:val="00B050"/>
                <w:sz w:val="20"/>
                <w:szCs w:val="20"/>
              </w:rPr>
            </w:r>
            <w:r w:rsidR="001C4138">
              <w:rPr>
                <w:rFonts w:ascii="Arial" w:hAnsi="Arial" w:cs="Arial"/>
                <w:b/>
                <w:bCs/>
                <w:color w:val="00B050"/>
                <w:sz w:val="20"/>
                <w:szCs w:val="20"/>
              </w:rPr>
              <w:fldChar w:fldCharType="separate"/>
            </w:r>
            <w:r w:rsidR="00D33A5D">
              <w:rPr>
                <w:rFonts w:ascii="Arial" w:hAnsi="Arial" w:cs="Arial"/>
                <w:b/>
                <w:bCs/>
                <w:color w:val="00B050"/>
                <w:sz w:val="20"/>
                <w:szCs w:val="20"/>
              </w:rPr>
              <w:t>87</w:t>
            </w:r>
            <w:r w:rsidR="001C4138">
              <w:rPr>
                <w:rFonts w:ascii="Arial" w:hAnsi="Arial" w:cs="Arial"/>
                <w:b/>
                <w:bCs/>
                <w:color w:val="00B050"/>
                <w:sz w:val="20"/>
                <w:szCs w:val="20"/>
              </w:rPr>
              <w:fldChar w:fldCharType="end"/>
            </w:r>
            <w:r w:rsidRPr="00AC4AEA">
              <w:rPr>
                <w:rFonts w:ascii="Arial" w:hAnsi="Arial" w:cs="Arial"/>
                <w:b/>
                <w:bCs/>
                <w:color w:val="00B050"/>
                <w:sz w:val="20"/>
                <w:szCs w:val="20"/>
                <w:lang w:val="es-ES"/>
              </w:rPr>
              <w:t>.</w:t>
            </w:r>
          </w:p>
        </w:tc>
      </w:tr>
    </w:tbl>
    <w:p w:rsidR="006A51BA" w:rsidRPr="00AC4AEA" w:rsidRDefault="006A51BA" w:rsidP="006A51BA">
      <w:pPr>
        <w:spacing w:after="150"/>
        <w:jc w:val="both"/>
        <w:rPr>
          <w:rFonts w:ascii="Arial" w:hAnsi="Arial" w:cs="Arial"/>
          <w:sz w:val="20"/>
          <w:szCs w:val="20"/>
        </w:rPr>
      </w:pPr>
    </w:p>
    <w:p w:rsidR="001A6991"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La decisión de aplicar la solución práctica establecida en los párrafos </w:t>
      </w:r>
      <w:fldSimple w:instr=" REF _Ref136252843 \r \h  \* MERGEFORMAT ">
        <w:r w:rsidR="00D33A5D" w:rsidRPr="00D33A5D">
          <w:rPr>
            <w:rFonts w:ascii="Arial" w:hAnsi="Arial" w:cs="Arial"/>
            <w:sz w:val="20"/>
            <w:szCs w:val="20"/>
          </w:rPr>
          <w:t>A15</w:t>
        </w:r>
      </w:fldSimple>
      <w:r w:rsidR="00A3111D" w:rsidRPr="00AC4AEA">
        <w:rPr>
          <w:rFonts w:ascii="Arial" w:hAnsi="Arial" w:cs="Arial"/>
          <w:sz w:val="20"/>
          <w:szCs w:val="20"/>
        </w:rPr>
        <w:t xml:space="preserve"> a </w:t>
      </w:r>
      <w:fldSimple w:instr=" REF _Ref136252847 \r \h  \* MERGEFORMAT ">
        <w:r w:rsidR="00D33A5D" w:rsidRPr="00D33A5D">
          <w:rPr>
            <w:rFonts w:ascii="Arial" w:hAnsi="Arial" w:cs="Arial"/>
            <w:sz w:val="20"/>
            <w:szCs w:val="20"/>
          </w:rPr>
          <w:t>A17</w:t>
        </w:r>
      </w:fldSimple>
      <w:r w:rsidRPr="00AC4AEA">
        <w:rPr>
          <w:rFonts w:ascii="Arial" w:hAnsi="Arial" w:cs="Arial"/>
          <w:sz w:val="20"/>
          <w:szCs w:val="20"/>
        </w:rPr>
        <w:t xml:space="preserve"> de este Apéndice no será considerado un cambio de </w:t>
      </w:r>
      <w:r w:rsidRPr="00AD600B">
        <w:rPr>
          <w:rFonts w:ascii="Arial" w:hAnsi="Arial" w:cs="Arial"/>
          <w:b/>
          <w:bCs/>
          <w:sz w:val="20"/>
          <w:szCs w:val="20"/>
        </w:rPr>
        <w:t>política contable</w:t>
      </w:r>
      <w:r w:rsidRPr="00AC4AEA">
        <w:rPr>
          <w:rFonts w:ascii="Arial" w:hAnsi="Arial" w:cs="Arial"/>
          <w:sz w:val="20"/>
          <w:szCs w:val="20"/>
        </w:rPr>
        <w:t xml:space="preserve"> [ver el párrafo </w:t>
      </w:r>
      <w:fldSimple w:instr=" REF _Ref136252843 \r \h  \* MERGEFORMAT ">
        <w:r w:rsidR="00D33A5D" w:rsidRPr="00D33A5D">
          <w:rPr>
            <w:rFonts w:ascii="Arial" w:hAnsi="Arial" w:cs="Arial"/>
            <w:sz w:val="20"/>
            <w:szCs w:val="20"/>
          </w:rPr>
          <w:t>A15</w:t>
        </w:r>
      </w:fldSimple>
      <w:r w:rsidRPr="00AC4AEA">
        <w:rPr>
          <w:rFonts w:ascii="Arial" w:hAnsi="Arial" w:cs="Arial"/>
          <w:sz w:val="20"/>
          <w:szCs w:val="20"/>
        </w:rPr>
        <w:t xml:space="preserve">].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lastRenderedPageBreak/>
        <w:t>Al aplicar</w:t>
      </w:r>
      <w:r w:rsidR="00165CEA" w:rsidRPr="00AC4AEA">
        <w:rPr>
          <w:rFonts w:ascii="Arial" w:hAnsi="Arial" w:cs="Arial"/>
          <w:sz w:val="20"/>
          <w:szCs w:val="20"/>
        </w:rPr>
        <w:t xml:space="preserve"> los tratamientos establecidos en</w:t>
      </w:r>
      <w:r w:rsidRPr="00AC4AEA">
        <w:rPr>
          <w:rFonts w:ascii="Arial" w:hAnsi="Arial" w:cs="Arial"/>
          <w:sz w:val="20"/>
          <w:szCs w:val="20"/>
        </w:rPr>
        <w:t xml:space="preserve"> el </w:t>
      </w:r>
      <w:r w:rsidR="00165CEA" w:rsidRPr="00AC4AEA">
        <w:rPr>
          <w:rFonts w:ascii="Arial" w:hAnsi="Arial" w:cs="Arial"/>
          <w:sz w:val="20"/>
          <w:szCs w:val="20"/>
        </w:rPr>
        <w:t xml:space="preserve">párrafo </w:t>
      </w:r>
      <w:fldSimple w:instr=" REF _Ref136199597 \r \h  \* MERGEFORMAT ">
        <w:r w:rsidR="00D33A5D" w:rsidRPr="00D33A5D">
          <w:rPr>
            <w:rFonts w:ascii="Arial" w:hAnsi="Arial" w:cs="Arial"/>
            <w:sz w:val="20"/>
            <w:szCs w:val="20"/>
          </w:rPr>
          <w:t>573</w:t>
        </w:r>
      </w:fldSimple>
      <w:r w:rsidR="00165CEA" w:rsidRPr="00AC4AEA">
        <w:rPr>
          <w:rFonts w:ascii="Arial" w:hAnsi="Arial" w:cs="Arial"/>
          <w:sz w:val="20"/>
          <w:szCs w:val="20"/>
        </w:rPr>
        <w:t xml:space="preserve">, el inciso a) (i) del párrafo </w:t>
      </w:r>
      <w:fldSimple w:instr=" REF _Ref135765708 \r \h  \* MERGEFORMAT ">
        <w:r w:rsidR="00D33A5D" w:rsidRPr="00D33A5D">
          <w:rPr>
            <w:rFonts w:ascii="Arial" w:hAnsi="Arial" w:cs="Arial"/>
            <w:sz w:val="20"/>
            <w:szCs w:val="20"/>
          </w:rPr>
          <w:t>976</w:t>
        </w:r>
      </w:fldSimple>
      <w:r w:rsidR="00165CEA" w:rsidRPr="00AC4AEA">
        <w:rPr>
          <w:rFonts w:ascii="Arial" w:hAnsi="Arial" w:cs="Arial"/>
          <w:sz w:val="20"/>
          <w:szCs w:val="20"/>
        </w:rPr>
        <w:t xml:space="preserve">, o el inciso b) (ii) del párrafo </w:t>
      </w:r>
      <w:fldSimple w:instr=" REF _Ref136199922 \r \h  \* MERGEFORMAT ">
        <w:r w:rsidR="00D33A5D" w:rsidRPr="00D33A5D">
          <w:rPr>
            <w:rFonts w:ascii="Arial" w:hAnsi="Arial" w:cs="Arial"/>
            <w:sz w:val="20"/>
            <w:szCs w:val="20"/>
          </w:rPr>
          <w:t>1027</w:t>
        </w:r>
      </w:fldSimple>
      <w:r w:rsidR="00165CEA" w:rsidRPr="00AC4AEA">
        <w:rPr>
          <w:rFonts w:ascii="Arial" w:hAnsi="Arial" w:cs="Arial"/>
          <w:sz w:val="20"/>
          <w:szCs w:val="20"/>
        </w:rPr>
        <w:t xml:space="preserve">, </w:t>
      </w:r>
      <w:r w:rsidRPr="00AC4AEA">
        <w:rPr>
          <w:rFonts w:ascii="Arial" w:hAnsi="Arial" w:cs="Arial"/>
          <w:sz w:val="20"/>
          <w:szCs w:val="20"/>
        </w:rPr>
        <w:t xml:space="preserve">la entidad deberá determinar si la condición de costo o esfuerzo desproporcionado se cumple en la fecha de la aplicación inicial. </w:t>
      </w:r>
    </w:p>
    <w:p w:rsidR="002E4F8B" w:rsidRPr="00AC4AEA" w:rsidRDefault="002E4F8B" w:rsidP="00A318EA">
      <w:pPr>
        <w:spacing w:after="148" w:line="256" w:lineRule="auto"/>
        <w:jc w:val="both"/>
        <w:rPr>
          <w:rFonts w:ascii="Arial" w:hAnsi="Arial" w:cs="Arial"/>
          <w:sz w:val="20"/>
          <w:szCs w:val="20"/>
        </w:rPr>
      </w:pPr>
      <w:r w:rsidRPr="00AC4AEA">
        <w:rPr>
          <w:rFonts w:ascii="Arial" w:hAnsi="Arial" w:cs="Arial"/>
          <w:sz w:val="20"/>
          <w:szCs w:val="20"/>
        </w:rPr>
        <w:t xml:space="preserve"> </w:t>
      </w:r>
    </w:p>
    <w:p w:rsidR="002E4F8B" w:rsidRPr="00AC4AEA" w:rsidRDefault="002E4F8B" w:rsidP="00A318EA">
      <w:pPr>
        <w:pStyle w:val="Ttulo2"/>
        <w:rPr>
          <w:rFonts w:cs="Arial"/>
        </w:rPr>
      </w:pPr>
      <w:bookmarkStart w:id="1296" w:name="_Toc139357097"/>
      <w:r w:rsidRPr="00AC4AEA">
        <w:rPr>
          <w:rFonts w:cs="Arial"/>
        </w:rPr>
        <w:t>Enfoques para la aplicación inicial</w:t>
      </w:r>
      <w:bookmarkEnd w:id="1296"/>
      <w:r w:rsidRPr="00AC4AEA">
        <w:rPr>
          <w:rFonts w:cs="Arial"/>
        </w:rPr>
        <w:t xml:space="preserve">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Para aplicar inicialmente los requerimientos de esta Resolución Técnica, una entidad:</w:t>
      </w:r>
      <w:r w:rsidR="006F2C57">
        <w:rPr>
          <w:rFonts w:ascii="Arial" w:hAnsi="Arial" w:cs="Arial"/>
          <w:sz w:val="20"/>
          <w:szCs w:val="20"/>
        </w:rPr>
        <w:t xml:space="preserve"> </w:t>
      </w:r>
    </w:p>
    <w:p w:rsidR="002E4F8B" w:rsidRPr="00AC4AEA" w:rsidRDefault="002E4F8B" w:rsidP="00C01B25">
      <w:pPr>
        <w:numPr>
          <w:ilvl w:val="0"/>
          <w:numId w:val="524"/>
        </w:numPr>
        <w:spacing w:after="171"/>
        <w:ind w:left="1276" w:hanging="471"/>
        <w:jc w:val="both"/>
        <w:rPr>
          <w:rFonts w:ascii="Arial" w:hAnsi="Arial" w:cs="Arial"/>
          <w:sz w:val="20"/>
          <w:szCs w:val="20"/>
        </w:rPr>
      </w:pPr>
      <w:r w:rsidRPr="00AC4AEA">
        <w:rPr>
          <w:rFonts w:ascii="Arial" w:hAnsi="Arial" w:cs="Arial"/>
          <w:sz w:val="20"/>
          <w:szCs w:val="20"/>
        </w:rPr>
        <w:t xml:space="preserve">Aplicará alguno de los siguientes enfoques: </w:t>
      </w:r>
    </w:p>
    <w:p w:rsidR="002E4F8B" w:rsidRPr="00AC4AEA" w:rsidRDefault="002E4F8B" w:rsidP="00C01B25">
      <w:pPr>
        <w:pStyle w:val="Prrafodelista"/>
        <w:numPr>
          <w:ilvl w:val="0"/>
          <w:numId w:val="660"/>
        </w:numPr>
        <w:jc w:val="both"/>
        <w:rPr>
          <w:rFonts w:ascii="Arial" w:hAnsi="Arial" w:cs="Arial"/>
          <w:sz w:val="20"/>
          <w:szCs w:val="20"/>
        </w:rPr>
      </w:pPr>
      <w:r w:rsidRPr="00AC4AEA">
        <w:rPr>
          <w:rFonts w:ascii="Arial" w:hAnsi="Arial" w:cs="Arial"/>
          <w:sz w:val="20"/>
          <w:szCs w:val="20"/>
        </w:rPr>
        <w:t xml:space="preserve">enfoque retroactivo integral [ver los párrafos </w:t>
      </w:r>
      <w:fldSimple w:instr=" REF _Ref136252917 \r \h  \* MERGEFORMAT ">
        <w:r w:rsidR="00D33A5D" w:rsidRPr="00D33A5D">
          <w:rPr>
            <w:rFonts w:ascii="Arial" w:hAnsi="Arial" w:cs="Arial"/>
            <w:sz w:val="20"/>
            <w:szCs w:val="20"/>
          </w:rPr>
          <w:t>A11</w:t>
        </w:r>
      </w:fldSimple>
      <w:r w:rsidR="00A3111D" w:rsidRPr="00AC4AEA">
        <w:rPr>
          <w:rFonts w:ascii="Arial" w:hAnsi="Arial" w:cs="Arial"/>
          <w:sz w:val="20"/>
          <w:szCs w:val="20"/>
        </w:rPr>
        <w:t xml:space="preserve"> y </w:t>
      </w:r>
      <w:fldSimple w:instr=" REF _Ref136252919 \r \h  \* MERGEFORMAT ">
        <w:r w:rsidR="00D33A5D" w:rsidRPr="00D33A5D">
          <w:rPr>
            <w:rFonts w:ascii="Arial" w:hAnsi="Arial" w:cs="Arial"/>
            <w:sz w:val="20"/>
            <w:szCs w:val="20"/>
          </w:rPr>
          <w:t>A12</w:t>
        </w:r>
      </w:fldSimple>
      <w:r w:rsidRPr="00AC4AEA">
        <w:rPr>
          <w:rFonts w:ascii="Arial" w:hAnsi="Arial" w:cs="Arial"/>
          <w:sz w:val="20"/>
          <w:szCs w:val="20"/>
        </w:rPr>
        <w:t xml:space="preserve">]; o </w:t>
      </w:r>
    </w:p>
    <w:p w:rsidR="002E4F8B" w:rsidRPr="00AC4AEA" w:rsidRDefault="002E4F8B" w:rsidP="00C01B25">
      <w:pPr>
        <w:pStyle w:val="Prrafodelista"/>
        <w:numPr>
          <w:ilvl w:val="0"/>
          <w:numId w:val="660"/>
        </w:numPr>
        <w:jc w:val="both"/>
        <w:rPr>
          <w:rFonts w:ascii="Arial" w:hAnsi="Arial" w:cs="Arial"/>
          <w:sz w:val="20"/>
          <w:szCs w:val="20"/>
        </w:rPr>
      </w:pPr>
      <w:r w:rsidRPr="00AC4AEA">
        <w:rPr>
          <w:rFonts w:ascii="Arial" w:hAnsi="Arial" w:cs="Arial"/>
          <w:sz w:val="20"/>
          <w:szCs w:val="20"/>
        </w:rPr>
        <w:t xml:space="preserve">enfoque retroactivo simplificado [ver los párrafos </w:t>
      </w:r>
      <w:fldSimple w:instr=" REF _Ref136252924 \r \h  \* MERGEFORMAT ">
        <w:r w:rsidR="00D33A5D" w:rsidRPr="00D33A5D">
          <w:rPr>
            <w:rFonts w:ascii="Arial" w:hAnsi="Arial" w:cs="Arial"/>
            <w:sz w:val="20"/>
            <w:szCs w:val="20"/>
          </w:rPr>
          <w:t>A13</w:t>
        </w:r>
      </w:fldSimple>
      <w:r w:rsidR="00A3111D" w:rsidRPr="00AC4AEA">
        <w:rPr>
          <w:rFonts w:ascii="Arial" w:hAnsi="Arial" w:cs="Arial"/>
          <w:sz w:val="20"/>
          <w:szCs w:val="20"/>
        </w:rPr>
        <w:t xml:space="preserve"> y </w:t>
      </w:r>
      <w:fldSimple w:instr=" REF _Ref136252927 \r \h  \* MERGEFORMAT ">
        <w:r w:rsidR="00D33A5D" w:rsidRPr="00D33A5D">
          <w:rPr>
            <w:rFonts w:ascii="Arial" w:hAnsi="Arial" w:cs="Arial"/>
            <w:sz w:val="20"/>
            <w:szCs w:val="20"/>
          </w:rPr>
          <w:t>A14</w:t>
        </w:r>
      </w:fldSimple>
      <w:r w:rsidRPr="00AC4AEA">
        <w:rPr>
          <w:rFonts w:ascii="Arial" w:hAnsi="Arial" w:cs="Arial"/>
          <w:sz w:val="20"/>
          <w:szCs w:val="20"/>
        </w:rPr>
        <w:t xml:space="preserve">]. </w:t>
      </w:r>
    </w:p>
    <w:p w:rsidR="002E4F8B" w:rsidRPr="00AC4AEA" w:rsidRDefault="002E4F8B" w:rsidP="00C01B25">
      <w:pPr>
        <w:numPr>
          <w:ilvl w:val="0"/>
          <w:numId w:val="524"/>
        </w:numPr>
        <w:spacing w:after="150"/>
        <w:ind w:left="1276" w:hanging="471"/>
        <w:jc w:val="both"/>
        <w:rPr>
          <w:rFonts w:ascii="Arial" w:hAnsi="Arial" w:cs="Arial"/>
          <w:sz w:val="20"/>
          <w:szCs w:val="20"/>
        </w:rPr>
      </w:pPr>
      <w:r w:rsidRPr="00AC4AEA">
        <w:rPr>
          <w:rFonts w:ascii="Arial" w:hAnsi="Arial" w:cs="Arial"/>
          <w:sz w:val="20"/>
          <w:szCs w:val="20"/>
        </w:rPr>
        <w:t xml:space="preserve">Sin perjuicio del enfoque que haya seleccionado de acuerdo con el inciso a) de este párrafo, podrá utilizar la solución práctica prevista en los párrafos </w:t>
      </w:r>
      <w:fldSimple w:instr=" REF _Ref136252843 \r \h  \* MERGEFORMAT ">
        <w:r w:rsidR="00D33A5D" w:rsidRPr="00D33A5D">
          <w:rPr>
            <w:rFonts w:ascii="Arial" w:hAnsi="Arial" w:cs="Arial"/>
            <w:sz w:val="20"/>
            <w:szCs w:val="20"/>
          </w:rPr>
          <w:t>A15</w:t>
        </w:r>
      </w:fldSimple>
      <w:r w:rsidR="00A3111D" w:rsidRPr="00AC4AEA">
        <w:rPr>
          <w:rFonts w:ascii="Arial" w:hAnsi="Arial" w:cs="Arial"/>
          <w:sz w:val="20"/>
          <w:szCs w:val="20"/>
        </w:rPr>
        <w:t xml:space="preserve"> a </w:t>
      </w:r>
      <w:fldSimple w:instr=" REF _Ref136252847 \r \h  \* MERGEFORMAT ">
        <w:r w:rsidR="00D33A5D" w:rsidRPr="00D33A5D">
          <w:rPr>
            <w:rFonts w:ascii="Arial" w:hAnsi="Arial" w:cs="Arial"/>
            <w:sz w:val="20"/>
            <w:szCs w:val="20"/>
          </w:rPr>
          <w:t>A17</w:t>
        </w:r>
      </w:fldSimple>
      <w:r w:rsidRPr="00AC4AEA">
        <w:rPr>
          <w:rFonts w:ascii="Arial" w:hAnsi="Arial" w:cs="Arial"/>
          <w:sz w:val="20"/>
          <w:szCs w:val="20"/>
        </w:rPr>
        <w:t>.</w:t>
      </w:r>
      <w:r w:rsidR="006F2C57">
        <w:rPr>
          <w:rFonts w:ascii="Arial" w:hAnsi="Arial" w:cs="Arial"/>
          <w:sz w:val="20"/>
          <w:szCs w:val="20"/>
        </w:rPr>
        <w:t xml:space="preserve">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En el ejercicio de aplicación inicial de los requerimientos de esta Resolución Técnica, una entidad deberá revelar en notas: </w:t>
      </w:r>
    </w:p>
    <w:p w:rsidR="002E4F8B" w:rsidRPr="00AC4AEA" w:rsidRDefault="002E4F8B" w:rsidP="00C01B25">
      <w:pPr>
        <w:numPr>
          <w:ilvl w:val="0"/>
          <w:numId w:val="525"/>
        </w:numPr>
        <w:spacing w:after="171"/>
        <w:ind w:hanging="471"/>
        <w:jc w:val="both"/>
        <w:rPr>
          <w:rFonts w:ascii="Arial" w:hAnsi="Arial" w:cs="Arial"/>
          <w:sz w:val="20"/>
          <w:szCs w:val="20"/>
        </w:rPr>
      </w:pPr>
      <w:r w:rsidRPr="00AC4AEA">
        <w:rPr>
          <w:rFonts w:ascii="Arial" w:hAnsi="Arial" w:cs="Arial"/>
          <w:sz w:val="20"/>
          <w:szCs w:val="20"/>
        </w:rPr>
        <w:t xml:space="preserve">El enfoque utilizado para efectuar tal aplicación inicial. </w:t>
      </w:r>
    </w:p>
    <w:p w:rsidR="002E4F8B" w:rsidRPr="00AC4AEA" w:rsidRDefault="002E4F8B" w:rsidP="00C01B25">
      <w:pPr>
        <w:numPr>
          <w:ilvl w:val="0"/>
          <w:numId w:val="525"/>
        </w:numPr>
        <w:spacing w:after="150"/>
        <w:ind w:hanging="471"/>
        <w:jc w:val="both"/>
        <w:rPr>
          <w:rFonts w:ascii="Arial" w:hAnsi="Arial" w:cs="Arial"/>
          <w:sz w:val="20"/>
          <w:szCs w:val="20"/>
        </w:rPr>
      </w:pPr>
      <w:r w:rsidRPr="00AC4AEA">
        <w:rPr>
          <w:rFonts w:ascii="Arial" w:hAnsi="Arial" w:cs="Arial"/>
          <w:sz w:val="20"/>
          <w:szCs w:val="20"/>
        </w:rPr>
        <w:t xml:space="preserve">Los criterios específicos seleccionados para aplicar el enfoque utilizado. </w:t>
      </w:r>
    </w:p>
    <w:p w:rsidR="002E4F8B" w:rsidRPr="00AC4AEA" w:rsidRDefault="002E4F8B" w:rsidP="00C01B25">
      <w:pPr>
        <w:numPr>
          <w:ilvl w:val="0"/>
          <w:numId w:val="525"/>
        </w:numPr>
        <w:spacing w:after="150"/>
        <w:ind w:hanging="471"/>
        <w:jc w:val="both"/>
        <w:rPr>
          <w:rFonts w:ascii="Arial" w:hAnsi="Arial" w:cs="Arial"/>
          <w:sz w:val="20"/>
          <w:szCs w:val="20"/>
        </w:rPr>
      </w:pPr>
      <w:r w:rsidRPr="00AC4AEA">
        <w:rPr>
          <w:rFonts w:ascii="Arial" w:hAnsi="Arial" w:cs="Arial"/>
          <w:sz w:val="20"/>
          <w:szCs w:val="20"/>
        </w:rPr>
        <w:t>En el caso de haber optado por aplicar el enfoque simplificado, el hecho de haber utilizado el enfoque integral para un rubro específico, tal como lo admite el</w:t>
      </w:r>
      <w:r w:rsidR="002E75C5" w:rsidRPr="00AC4AEA">
        <w:rPr>
          <w:rFonts w:ascii="Arial" w:hAnsi="Arial" w:cs="Arial"/>
          <w:sz w:val="20"/>
          <w:szCs w:val="20"/>
        </w:rPr>
        <w:t xml:space="preserve"> inciso a) del</w:t>
      </w:r>
      <w:r w:rsidRPr="00AC4AEA">
        <w:rPr>
          <w:rFonts w:ascii="Arial" w:hAnsi="Arial" w:cs="Arial"/>
          <w:sz w:val="20"/>
          <w:szCs w:val="20"/>
        </w:rPr>
        <w:t xml:space="preserve"> párrafo </w:t>
      </w:r>
      <w:fldSimple w:instr=" REF _Ref136252927 \r \h  \* MERGEFORMAT ">
        <w:r w:rsidR="00D33A5D" w:rsidRPr="00D33A5D">
          <w:rPr>
            <w:rFonts w:ascii="Arial" w:hAnsi="Arial" w:cs="Arial"/>
            <w:sz w:val="20"/>
            <w:szCs w:val="20"/>
          </w:rPr>
          <w:t>A14</w:t>
        </w:r>
      </w:fldSimple>
      <w:r w:rsidRPr="00AC4AEA">
        <w:rPr>
          <w:rFonts w:ascii="Arial" w:hAnsi="Arial" w:cs="Arial"/>
          <w:sz w:val="20"/>
          <w:szCs w:val="20"/>
        </w:rPr>
        <w:t xml:space="preserve">. </w:t>
      </w:r>
    </w:p>
    <w:p w:rsidR="002E4F8B" w:rsidRPr="00AC4AEA" w:rsidRDefault="002E4F8B" w:rsidP="00A318EA">
      <w:pPr>
        <w:spacing w:line="256" w:lineRule="auto"/>
        <w:jc w:val="both"/>
        <w:rPr>
          <w:rFonts w:ascii="Arial" w:hAnsi="Arial" w:cs="Arial"/>
          <w:sz w:val="20"/>
          <w:szCs w:val="20"/>
        </w:rPr>
      </w:pPr>
      <w:r w:rsidRPr="00AC4AEA">
        <w:rPr>
          <w:rFonts w:ascii="Arial" w:hAnsi="Arial" w:cs="Arial"/>
          <w:sz w:val="20"/>
          <w:szCs w:val="20"/>
        </w:rPr>
        <w:t xml:space="preserve"> </w:t>
      </w:r>
    </w:p>
    <w:p w:rsidR="002E4F8B" w:rsidRPr="00AC4AEA" w:rsidRDefault="002E4F8B" w:rsidP="002F10C5">
      <w:pPr>
        <w:pStyle w:val="Ttulo3"/>
      </w:pPr>
      <w:bookmarkStart w:id="1297" w:name="_Toc139357098"/>
      <w:r w:rsidRPr="00AC4AEA">
        <w:t>Enfoque retroactivo integral</w:t>
      </w:r>
      <w:bookmarkEnd w:id="1297"/>
      <w:r w:rsidRPr="00AC4AEA">
        <w:t xml:space="preserve">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bookmarkStart w:id="1298" w:name="_Ref136252917"/>
      <w:r w:rsidRPr="00AC4AEA">
        <w:rPr>
          <w:rFonts w:ascii="Arial" w:hAnsi="Arial" w:cs="Arial"/>
          <w:sz w:val="20"/>
          <w:szCs w:val="20"/>
        </w:rPr>
        <w:t>Al inicio del año comparativo, una entidad:</w:t>
      </w:r>
      <w:bookmarkEnd w:id="1298"/>
      <w:r w:rsidRPr="00AC4AEA">
        <w:rPr>
          <w:rFonts w:ascii="Arial" w:hAnsi="Arial" w:cs="Arial"/>
          <w:sz w:val="20"/>
          <w:szCs w:val="20"/>
        </w:rPr>
        <w:t xml:space="preserve"> </w:t>
      </w:r>
    </w:p>
    <w:p w:rsidR="002E4F8B" w:rsidRPr="00AC4AEA" w:rsidRDefault="002E4F8B" w:rsidP="00C01B25">
      <w:pPr>
        <w:numPr>
          <w:ilvl w:val="0"/>
          <w:numId w:val="526"/>
        </w:numPr>
        <w:spacing w:after="150"/>
        <w:ind w:hanging="471"/>
        <w:jc w:val="both"/>
        <w:rPr>
          <w:rFonts w:ascii="Arial" w:hAnsi="Arial" w:cs="Arial"/>
          <w:sz w:val="20"/>
          <w:szCs w:val="20"/>
        </w:rPr>
      </w:pPr>
      <w:r w:rsidRPr="00AC4AEA">
        <w:rPr>
          <w:rFonts w:ascii="Arial" w:hAnsi="Arial" w:cs="Arial"/>
          <w:sz w:val="20"/>
          <w:szCs w:val="20"/>
        </w:rPr>
        <w:t xml:space="preserve">reconocerá todos los activos y pasivos cuyo reconocimiento sea requerido por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w:t>
      </w:r>
    </w:p>
    <w:p w:rsidR="002E4F8B" w:rsidRPr="00AC4AEA" w:rsidRDefault="002E4F8B" w:rsidP="00C01B25">
      <w:pPr>
        <w:numPr>
          <w:ilvl w:val="0"/>
          <w:numId w:val="526"/>
        </w:numPr>
        <w:spacing w:after="150"/>
        <w:ind w:hanging="471"/>
        <w:jc w:val="both"/>
        <w:rPr>
          <w:rFonts w:ascii="Arial" w:hAnsi="Arial" w:cs="Arial"/>
          <w:sz w:val="20"/>
          <w:szCs w:val="20"/>
        </w:rPr>
      </w:pPr>
      <w:r w:rsidRPr="00AC4AEA">
        <w:rPr>
          <w:rFonts w:ascii="Arial" w:hAnsi="Arial" w:cs="Arial"/>
          <w:sz w:val="20"/>
          <w:szCs w:val="20"/>
        </w:rPr>
        <w:t xml:space="preserve">no reconocerá partidas como activos o pasivos si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no lo permiten; </w:t>
      </w:r>
    </w:p>
    <w:p w:rsidR="002E4F8B" w:rsidRPr="00AC4AEA" w:rsidRDefault="002E4F8B" w:rsidP="00C01B25">
      <w:pPr>
        <w:numPr>
          <w:ilvl w:val="0"/>
          <w:numId w:val="526"/>
        </w:numPr>
        <w:spacing w:after="150"/>
        <w:ind w:hanging="471"/>
        <w:jc w:val="both"/>
        <w:rPr>
          <w:rFonts w:ascii="Arial" w:hAnsi="Arial" w:cs="Arial"/>
          <w:sz w:val="20"/>
          <w:szCs w:val="20"/>
        </w:rPr>
      </w:pPr>
      <w:r w:rsidRPr="00AC4AEA">
        <w:rPr>
          <w:rFonts w:ascii="Arial" w:hAnsi="Arial" w:cs="Arial"/>
          <w:sz w:val="20"/>
          <w:szCs w:val="20"/>
        </w:rPr>
        <w:t xml:space="preserve">clasificará las partidas reconocidas aplicando las normas de presentación contenidas en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y </w:t>
      </w:r>
    </w:p>
    <w:p w:rsidR="002E4F8B" w:rsidRPr="00AC4AEA" w:rsidRDefault="002E4F8B" w:rsidP="00C01B25">
      <w:pPr>
        <w:numPr>
          <w:ilvl w:val="0"/>
          <w:numId w:val="526"/>
        </w:numPr>
        <w:spacing w:after="150"/>
        <w:ind w:hanging="471"/>
        <w:jc w:val="both"/>
        <w:rPr>
          <w:rFonts w:ascii="Arial" w:hAnsi="Arial" w:cs="Arial"/>
          <w:sz w:val="20"/>
          <w:szCs w:val="20"/>
        </w:rPr>
      </w:pPr>
      <w:r w:rsidRPr="00AC4AEA">
        <w:rPr>
          <w:rFonts w:ascii="Arial" w:hAnsi="Arial" w:cs="Arial"/>
          <w:sz w:val="20"/>
          <w:szCs w:val="20"/>
        </w:rPr>
        <w:t xml:space="preserve">aplicará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para medir todos los activos y pasivos reconocidos.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bookmarkStart w:id="1299" w:name="_Ref136252919"/>
      <w:r w:rsidRPr="00AC4AEA">
        <w:rPr>
          <w:rFonts w:ascii="Arial" w:hAnsi="Arial" w:cs="Arial"/>
          <w:sz w:val="20"/>
          <w:szCs w:val="20"/>
        </w:rPr>
        <w:t>Al aplicar el enfoque retroactivo integral, una entidad:</w:t>
      </w:r>
      <w:bookmarkEnd w:id="1299"/>
      <w:r w:rsidR="006F2C57">
        <w:rPr>
          <w:rFonts w:ascii="Arial" w:hAnsi="Arial" w:cs="Arial"/>
          <w:sz w:val="20"/>
          <w:szCs w:val="20"/>
        </w:rPr>
        <w:t xml:space="preserve"> </w:t>
      </w:r>
    </w:p>
    <w:p w:rsidR="002E4F8B" w:rsidRPr="00AC4AEA" w:rsidRDefault="002E4F8B" w:rsidP="00C01B25">
      <w:pPr>
        <w:numPr>
          <w:ilvl w:val="0"/>
          <w:numId w:val="527"/>
        </w:numPr>
        <w:spacing w:after="150"/>
        <w:ind w:left="1418" w:hanging="567"/>
        <w:jc w:val="both"/>
        <w:rPr>
          <w:rFonts w:ascii="Arial" w:hAnsi="Arial" w:cs="Arial"/>
          <w:sz w:val="20"/>
          <w:szCs w:val="20"/>
        </w:rPr>
      </w:pPr>
      <w:r w:rsidRPr="00AC4AEA">
        <w:rPr>
          <w:rFonts w:ascii="Arial" w:hAnsi="Arial" w:cs="Arial"/>
          <w:sz w:val="20"/>
          <w:szCs w:val="20"/>
        </w:rPr>
        <w:t xml:space="preserve">Expondrá su efecto sobre los saldos al inicio del año comparativo que se presenten en el estado de evolución de patrimonio neto y, cuando correspondiere, en el estado de flujos de efectivo, a excepción de los que surjan de aplicar la solución práctica establecida en los párrafos </w:t>
      </w:r>
      <w:fldSimple w:instr=" REF _Ref136252843 \r \h  \* MERGEFORMAT ">
        <w:r w:rsidR="00D33A5D" w:rsidRPr="00D33A5D">
          <w:rPr>
            <w:rFonts w:ascii="Arial" w:hAnsi="Arial" w:cs="Arial"/>
            <w:sz w:val="20"/>
            <w:szCs w:val="20"/>
          </w:rPr>
          <w:t>A15</w:t>
        </w:r>
      </w:fldSimple>
      <w:r w:rsidR="002E75C5" w:rsidRPr="00AC4AEA">
        <w:rPr>
          <w:rFonts w:ascii="Arial" w:hAnsi="Arial" w:cs="Arial"/>
          <w:sz w:val="20"/>
          <w:szCs w:val="20"/>
        </w:rPr>
        <w:t xml:space="preserve"> a </w:t>
      </w:r>
      <w:fldSimple w:instr=" REF _Ref136252847 \r \h  \* MERGEFORMAT ">
        <w:r w:rsidR="00D33A5D" w:rsidRPr="00D33A5D">
          <w:rPr>
            <w:rFonts w:ascii="Arial" w:hAnsi="Arial" w:cs="Arial"/>
            <w:sz w:val="20"/>
            <w:szCs w:val="20"/>
          </w:rPr>
          <w:t>A17</w:t>
        </w:r>
      </w:fldSimple>
      <w:r w:rsidR="002E75C5" w:rsidRPr="00AC4AEA">
        <w:rPr>
          <w:rFonts w:ascii="Arial" w:hAnsi="Arial" w:cs="Arial"/>
          <w:sz w:val="20"/>
          <w:szCs w:val="20"/>
        </w:rPr>
        <w:t xml:space="preserve"> </w:t>
      </w:r>
      <w:r w:rsidRPr="00AC4AEA">
        <w:rPr>
          <w:rFonts w:ascii="Arial" w:hAnsi="Arial" w:cs="Arial"/>
          <w:sz w:val="20"/>
          <w:szCs w:val="20"/>
        </w:rPr>
        <w:t>de este Apéndice.</w:t>
      </w:r>
      <w:r w:rsidR="006F2C57">
        <w:rPr>
          <w:rFonts w:ascii="Arial" w:hAnsi="Arial" w:cs="Arial"/>
          <w:sz w:val="20"/>
          <w:szCs w:val="20"/>
        </w:rPr>
        <w:t xml:space="preserve"> </w:t>
      </w:r>
    </w:p>
    <w:p w:rsidR="002E4F8B" w:rsidRPr="00AC4AEA" w:rsidRDefault="002E4F8B" w:rsidP="00C01B25">
      <w:pPr>
        <w:numPr>
          <w:ilvl w:val="0"/>
          <w:numId w:val="527"/>
        </w:numPr>
        <w:spacing w:after="150"/>
        <w:ind w:left="1418" w:hanging="567"/>
        <w:jc w:val="both"/>
        <w:rPr>
          <w:rFonts w:ascii="Arial" w:hAnsi="Arial" w:cs="Arial"/>
          <w:sz w:val="20"/>
          <w:szCs w:val="20"/>
        </w:rPr>
      </w:pPr>
      <w:r w:rsidRPr="00AC4AEA">
        <w:rPr>
          <w:rFonts w:ascii="Arial" w:hAnsi="Arial" w:cs="Arial"/>
          <w:sz w:val="20"/>
          <w:szCs w:val="20"/>
        </w:rPr>
        <w:t>Adecuará las cifras correspondientes a los períodos previos que se incluyan como información comparativa.</w:t>
      </w:r>
      <w:r w:rsidR="006F2C57">
        <w:rPr>
          <w:rFonts w:ascii="Arial" w:hAnsi="Arial" w:cs="Arial"/>
          <w:sz w:val="20"/>
          <w:szCs w:val="20"/>
        </w:rPr>
        <w:t xml:space="preserve"> </w:t>
      </w:r>
    </w:p>
    <w:p w:rsidR="002E4F8B" w:rsidRPr="00AC4AEA" w:rsidRDefault="002E4F8B" w:rsidP="00C01B25">
      <w:pPr>
        <w:numPr>
          <w:ilvl w:val="0"/>
          <w:numId w:val="527"/>
        </w:numPr>
        <w:spacing w:after="150"/>
        <w:ind w:left="1418" w:hanging="567"/>
        <w:jc w:val="both"/>
        <w:rPr>
          <w:rFonts w:ascii="Arial" w:hAnsi="Arial" w:cs="Arial"/>
          <w:sz w:val="20"/>
          <w:szCs w:val="20"/>
        </w:rPr>
      </w:pPr>
      <w:r w:rsidRPr="00AC4AEA">
        <w:rPr>
          <w:rFonts w:ascii="Arial" w:hAnsi="Arial" w:cs="Arial"/>
          <w:sz w:val="20"/>
          <w:szCs w:val="20"/>
        </w:rPr>
        <w:lastRenderedPageBreak/>
        <w:t xml:space="preserve">Además de todo lo requerido por esta Resolución Técnica sobre un cambio en </w:t>
      </w:r>
      <w:r w:rsidRPr="00AD600B">
        <w:rPr>
          <w:rFonts w:ascii="Arial" w:hAnsi="Arial" w:cs="Arial"/>
          <w:b/>
          <w:bCs/>
          <w:sz w:val="20"/>
          <w:szCs w:val="20"/>
        </w:rPr>
        <w:t>política contable</w:t>
      </w:r>
      <w:r w:rsidR="001D5654" w:rsidRPr="00AC4AEA">
        <w:rPr>
          <w:rFonts w:ascii="Arial" w:hAnsi="Arial" w:cs="Arial"/>
          <w:sz w:val="20"/>
          <w:szCs w:val="20"/>
        </w:rPr>
        <w:t xml:space="preserve"> (por ejemplo, la revelación de motivos exigida por el inciso b) del párrafo </w:t>
      </w:r>
      <w:fldSimple w:instr=" REF _Ref77187714 \r \h  \* MERGEFORMAT ">
        <w:r w:rsidR="00D33A5D" w:rsidRPr="00D33A5D">
          <w:rPr>
            <w:rFonts w:ascii="Arial" w:hAnsi="Arial" w:cs="Arial"/>
            <w:sz w:val="20"/>
            <w:szCs w:val="20"/>
          </w:rPr>
          <w:t>84</w:t>
        </w:r>
      </w:fldSimple>
      <w:r w:rsidR="00B235B0" w:rsidRPr="00AC4AEA">
        <w:rPr>
          <w:rFonts w:ascii="Arial" w:hAnsi="Arial" w:cs="Arial"/>
          <w:sz w:val="20"/>
          <w:szCs w:val="20"/>
        </w:rPr>
        <w:t>)</w:t>
      </w:r>
      <w:r w:rsidRPr="00AC4AEA">
        <w:rPr>
          <w:rFonts w:ascii="Arial" w:hAnsi="Arial" w:cs="Arial"/>
          <w:sz w:val="20"/>
          <w:szCs w:val="20"/>
        </w:rPr>
        <w:t xml:space="preserve">, describirá en notas las principales partidas que fueron afectadas por los cambios en criterios de reconocimiento, medición o presentación, distinguiendo los efectos de: </w:t>
      </w:r>
    </w:p>
    <w:p w:rsidR="002E4F8B" w:rsidRPr="00AC4AEA" w:rsidRDefault="002E4F8B" w:rsidP="00C01B25">
      <w:pPr>
        <w:pStyle w:val="Prrafodelista"/>
        <w:numPr>
          <w:ilvl w:val="0"/>
          <w:numId w:val="661"/>
        </w:numPr>
        <w:ind w:left="1843"/>
        <w:jc w:val="both"/>
        <w:rPr>
          <w:rFonts w:ascii="Arial" w:hAnsi="Arial" w:cs="Arial"/>
          <w:sz w:val="20"/>
          <w:szCs w:val="20"/>
        </w:rPr>
      </w:pPr>
      <w:r w:rsidRPr="00AC4AEA">
        <w:rPr>
          <w:rFonts w:ascii="Arial" w:hAnsi="Arial" w:cs="Arial"/>
          <w:sz w:val="20"/>
          <w:szCs w:val="20"/>
        </w:rPr>
        <w:t xml:space="preserve">Los cambios </w:t>
      </w:r>
      <w:r w:rsidR="00EA262C" w:rsidRPr="00AC4AEA">
        <w:rPr>
          <w:rFonts w:ascii="Arial" w:hAnsi="Arial" w:cs="Arial"/>
          <w:sz w:val="20"/>
          <w:szCs w:val="20"/>
        </w:rPr>
        <w:t>requeridos</w:t>
      </w:r>
      <w:r w:rsidRPr="00AC4AEA">
        <w:rPr>
          <w:rFonts w:ascii="Arial" w:hAnsi="Arial" w:cs="Arial"/>
          <w:sz w:val="20"/>
          <w:szCs w:val="20"/>
        </w:rPr>
        <w:t xml:space="preserve"> en sus políticas contables, de acuerdo con lo indicado en el párrafo </w:t>
      </w:r>
      <w:fldSimple w:instr=" REF _Ref136253031 \r \h  \* MERGEFORMAT ">
        <w:r w:rsidR="00D33A5D" w:rsidRPr="00D33A5D">
          <w:rPr>
            <w:rFonts w:ascii="Arial" w:hAnsi="Arial" w:cs="Arial"/>
            <w:sz w:val="20"/>
            <w:szCs w:val="20"/>
          </w:rPr>
          <w:t>A5</w:t>
        </w:r>
      </w:fldSimple>
      <w:r w:rsidRPr="00AC4AEA">
        <w:rPr>
          <w:rFonts w:ascii="Arial" w:hAnsi="Arial" w:cs="Arial"/>
          <w:sz w:val="20"/>
          <w:szCs w:val="20"/>
        </w:rPr>
        <w:t xml:space="preserve"> del presente Anexo. </w:t>
      </w:r>
    </w:p>
    <w:p w:rsidR="002E4F8B" w:rsidRPr="00AC4AEA" w:rsidRDefault="002E4F8B" w:rsidP="00C01B25">
      <w:pPr>
        <w:pStyle w:val="Prrafodelista"/>
        <w:numPr>
          <w:ilvl w:val="0"/>
          <w:numId w:val="661"/>
        </w:numPr>
        <w:ind w:left="1843"/>
        <w:jc w:val="both"/>
        <w:rPr>
          <w:rFonts w:ascii="Arial" w:hAnsi="Arial" w:cs="Arial"/>
          <w:sz w:val="20"/>
          <w:szCs w:val="20"/>
        </w:rPr>
      </w:pPr>
      <w:r w:rsidRPr="00AC4AEA">
        <w:rPr>
          <w:rFonts w:ascii="Arial" w:hAnsi="Arial" w:cs="Arial"/>
          <w:sz w:val="20"/>
          <w:szCs w:val="20"/>
        </w:rPr>
        <w:t xml:space="preserve">Los cambios </w:t>
      </w:r>
      <w:r w:rsidR="00EA262C" w:rsidRPr="00AC4AEA">
        <w:rPr>
          <w:rFonts w:ascii="Arial" w:hAnsi="Arial" w:cs="Arial"/>
          <w:sz w:val="20"/>
          <w:szCs w:val="20"/>
        </w:rPr>
        <w:t>admitidos</w:t>
      </w:r>
      <w:r w:rsidRPr="00AC4AEA">
        <w:rPr>
          <w:rFonts w:ascii="Arial" w:hAnsi="Arial" w:cs="Arial"/>
          <w:sz w:val="20"/>
          <w:szCs w:val="20"/>
        </w:rPr>
        <w:t xml:space="preserve"> en sus políticas contables, de acuerdo con lo indicado en el párrafo </w:t>
      </w:r>
      <w:fldSimple w:instr=" REF _Ref136253033 \r \h  \* MERGEFORMAT ">
        <w:r w:rsidR="00D33A5D" w:rsidRPr="00D33A5D">
          <w:rPr>
            <w:rFonts w:ascii="Arial" w:hAnsi="Arial" w:cs="Arial"/>
            <w:sz w:val="20"/>
            <w:szCs w:val="20"/>
          </w:rPr>
          <w:t>A6</w:t>
        </w:r>
      </w:fldSimple>
      <w:r w:rsidRPr="00AC4AEA">
        <w:rPr>
          <w:rFonts w:ascii="Arial" w:hAnsi="Arial" w:cs="Arial"/>
          <w:sz w:val="20"/>
          <w:szCs w:val="20"/>
        </w:rPr>
        <w:t xml:space="preserve"> del presente Anexo</w:t>
      </w:r>
      <w:r w:rsidR="008C7F35" w:rsidRPr="00AC4AEA">
        <w:rPr>
          <w:rFonts w:ascii="Arial" w:hAnsi="Arial" w:cs="Arial"/>
          <w:sz w:val="20"/>
          <w:szCs w:val="20"/>
        </w:rPr>
        <w:t>.</w:t>
      </w:r>
      <w:r w:rsidRPr="00AC4AEA">
        <w:rPr>
          <w:rFonts w:ascii="Arial" w:hAnsi="Arial" w:cs="Arial"/>
          <w:sz w:val="20"/>
          <w:szCs w:val="20"/>
        </w:rPr>
        <w:t xml:space="preserve"> </w:t>
      </w:r>
    </w:p>
    <w:p w:rsidR="002E4F8B" w:rsidRPr="00AC4AEA" w:rsidRDefault="002E4F8B" w:rsidP="00A318EA">
      <w:pPr>
        <w:spacing w:line="256" w:lineRule="auto"/>
        <w:jc w:val="both"/>
        <w:rPr>
          <w:rFonts w:ascii="Arial" w:hAnsi="Arial" w:cs="Arial"/>
          <w:sz w:val="20"/>
          <w:szCs w:val="20"/>
        </w:rPr>
      </w:pPr>
      <w:r w:rsidRPr="00AC4AEA">
        <w:rPr>
          <w:rFonts w:ascii="Arial" w:hAnsi="Arial" w:cs="Arial"/>
          <w:sz w:val="20"/>
          <w:szCs w:val="20"/>
        </w:rPr>
        <w:t xml:space="preserve"> </w:t>
      </w:r>
    </w:p>
    <w:p w:rsidR="002E4F8B" w:rsidRPr="00AC4AEA" w:rsidRDefault="002E4F8B" w:rsidP="002F10C5">
      <w:pPr>
        <w:pStyle w:val="Ttulo3"/>
      </w:pPr>
      <w:bookmarkStart w:id="1300" w:name="_Toc139357099"/>
      <w:r w:rsidRPr="00AC4AEA">
        <w:t>Enfoque retroactivo simplificado</w:t>
      </w:r>
      <w:bookmarkEnd w:id="1300"/>
      <w:r w:rsidRPr="00AC4AEA">
        <w:t xml:space="preserve">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bookmarkStart w:id="1301" w:name="_Ref136252924"/>
      <w:r w:rsidRPr="00AC4AEA">
        <w:rPr>
          <w:rFonts w:ascii="Arial" w:hAnsi="Arial" w:cs="Arial"/>
          <w:sz w:val="20"/>
          <w:szCs w:val="20"/>
        </w:rPr>
        <w:t>En la fecha de aplicación inicial, una entidad:</w:t>
      </w:r>
      <w:bookmarkEnd w:id="1301"/>
      <w:r w:rsidRPr="00AC4AEA">
        <w:rPr>
          <w:rFonts w:ascii="Arial" w:hAnsi="Arial" w:cs="Arial"/>
          <w:sz w:val="20"/>
          <w:szCs w:val="20"/>
        </w:rPr>
        <w:t xml:space="preserve"> </w:t>
      </w:r>
    </w:p>
    <w:p w:rsidR="00951340" w:rsidRPr="00AC4AEA" w:rsidRDefault="002E4F8B" w:rsidP="00C01B25">
      <w:pPr>
        <w:numPr>
          <w:ilvl w:val="0"/>
          <w:numId w:val="662"/>
        </w:numPr>
        <w:spacing w:after="150"/>
        <w:ind w:left="1418" w:hanging="709"/>
        <w:jc w:val="both"/>
        <w:rPr>
          <w:rFonts w:ascii="Arial" w:hAnsi="Arial" w:cs="Arial"/>
          <w:sz w:val="20"/>
          <w:szCs w:val="20"/>
        </w:rPr>
      </w:pPr>
      <w:r w:rsidRPr="00AC4AEA">
        <w:rPr>
          <w:rFonts w:ascii="Arial" w:hAnsi="Arial" w:cs="Arial"/>
          <w:sz w:val="20"/>
          <w:szCs w:val="20"/>
        </w:rPr>
        <w:t xml:space="preserve">reconocerá todos los activos y pasivos cuyo reconocimiento sea requerido por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w:t>
      </w:r>
    </w:p>
    <w:p w:rsidR="00DC25D0" w:rsidRPr="00AC4AEA" w:rsidRDefault="002E4F8B" w:rsidP="00C01B25">
      <w:pPr>
        <w:numPr>
          <w:ilvl w:val="0"/>
          <w:numId w:val="662"/>
        </w:numPr>
        <w:spacing w:after="150"/>
        <w:ind w:left="1418" w:hanging="709"/>
        <w:jc w:val="both"/>
        <w:rPr>
          <w:rFonts w:ascii="Arial" w:hAnsi="Arial" w:cs="Arial"/>
          <w:sz w:val="20"/>
          <w:szCs w:val="20"/>
        </w:rPr>
      </w:pPr>
      <w:r w:rsidRPr="00AC4AEA">
        <w:rPr>
          <w:rFonts w:ascii="Arial" w:hAnsi="Arial" w:cs="Arial"/>
          <w:sz w:val="20"/>
          <w:szCs w:val="20"/>
        </w:rPr>
        <w:t xml:space="preserve">no reconocerá partidas como activos o pasivos si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no lo permiten; </w:t>
      </w:r>
    </w:p>
    <w:p w:rsidR="00DC25D0" w:rsidRPr="00AC4AEA" w:rsidRDefault="002E4F8B" w:rsidP="00C01B25">
      <w:pPr>
        <w:numPr>
          <w:ilvl w:val="0"/>
          <w:numId w:val="662"/>
        </w:numPr>
        <w:spacing w:after="150"/>
        <w:ind w:left="1418" w:hanging="709"/>
        <w:jc w:val="both"/>
        <w:rPr>
          <w:rFonts w:ascii="Arial" w:hAnsi="Arial" w:cs="Arial"/>
          <w:sz w:val="20"/>
          <w:szCs w:val="20"/>
        </w:rPr>
      </w:pPr>
      <w:r w:rsidRPr="00AC4AEA">
        <w:rPr>
          <w:rFonts w:ascii="Arial" w:hAnsi="Arial" w:cs="Arial"/>
          <w:sz w:val="20"/>
          <w:szCs w:val="20"/>
        </w:rPr>
        <w:t xml:space="preserve">clasificará las partidas reconocidas aplicando las normas de presentación contenidas en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y </w:t>
      </w:r>
    </w:p>
    <w:p w:rsidR="002E4F8B" w:rsidRPr="00AC4AEA" w:rsidRDefault="002E4F8B" w:rsidP="00C01B25">
      <w:pPr>
        <w:numPr>
          <w:ilvl w:val="0"/>
          <w:numId w:val="662"/>
        </w:numPr>
        <w:spacing w:after="150"/>
        <w:ind w:left="1418" w:hanging="709"/>
        <w:jc w:val="both"/>
        <w:rPr>
          <w:rFonts w:ascii="Arial" w:hAnsi="Arial" w:cs="Arial"/>
          <w:sz w:val="20"/>
          <w:szCs w:val="20"/>
        </w:rPr>
      </w:pPr>
      <w:r w:rsidRPr="00AC4AEA">
        <w:rPr>
          <w:rFonts w:ascii="Arial" w:hAnsi="Arial" w:cs="Arial"/>
          <w:sz w:val="20"/>
          <w:szCs w:val="20"/>
        </w:rPr>
        <w:t xml:space="preserve">aplicará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para medir todos los activos y pasivos reconocidos.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bookmarkStart w:id="1302" w:name="_Ref136252927"/>
      <w:r w:rsidRPr="00AC4AEA">
        <w:rPr>
          <w:rFonts w:ascii="Arial" w:hAnsi="Arial" w:cs="Arial"/>
          <w:sz w:val="20"/>
          <w:szCs w:val="20"/>
        </w:rPr>
        <w:t>Al aplicar el enfoque retroactivo simplificado, una entidad:</w:t>
      </w:r>
      <w:bookmarkEnd w:id="1302"/>
      <w:r w:rsidR="006F2C57">
        <w:rPr>
          <w:rFonts w:ascii="Arial" w:hAnsi="Arial" w:cs="Arial"/>
          <w:sz w:val="20"/>
          <w:szCs w:val="20"/>
        </w:rPr>
        <w:t xml:space="preserve"> </w:t>
      </w:r>
    </w:p>
    <w:p w:rsidR="002E4F8B" w:rsidRPr="00AC4AEA" w:rsidRDefault="002E4F8B" w:rsidP="00C01B25">
      <w:pPr>
        <w:numPr>
          <w:ilvl w:val="0"/>
          <w:numId w:val="528"/>
        </w:numPr>
        <w:spacing w:after="150"/>
        <w:ind w:left="1418" w:hanging="709"/>
        <w:jc w:val="both"/>
        <w:rPr>
          <w:rFonts w:ascii="Arial" w:hAnsi="Arial" w:cs="Arial"/>
          <w:sz w:val="20"/>
          <w:szCs w:val="20"/>
        </w:rPr>
      </w:pPr>
      <w:r w:rsidRPr="00AC4AEA">
        <w:rPr>
          <w:rFonts w:ascii="Arial" w:hAnsi="Arial" w:cs="Arial"/>
          <w:sz w:val="20"/>
          <w:szCs w:val="20"/>
        </w:rPr>
        <w:t xml:space="preserve">Podrá aplicar a un rubro específico los criterios establecidos en los párrafos </w:t>
      </w:r>
      <w:fldSimple w:instr=" REF _Ref136252917 \r \h  \* MERGEFORMAT ">
        <w:r w:rsidR="00D33A5D" w:rsidRPr="00D33A5D">
          <w:rPr>
            <w:rFonts w:ascii="Arial" w:hAnsi="Arial" w:cs="Arial"/>
            <w:sz w:val="20"/>
            <w:szCs w:val="20"/>
          </w:rPr>
          <w:t>A11</w:t>
        </w:r>
      </w:fldSimple>
      <w:r w:rsidR="002E75C5" w:rsidRPr="00AC4AEA">
        <w:rPr>
          <w:rFonts w:ascii="Arial" w:hAnsi="Arial" w:cs="Arial"/>
          <w:sz w:val="20"/>
          <w:szCs w:val="20"/>
        </w:rPr>
        <w:t xml:space="preserve"> y </w:t>
      </w:r>
      <w:fldSimple w:instr=" REF _Ref136252919 \r \h  \* MERGEFORMAT ">
        <w:r w:rsidR="00D33A5D" w:rsidRPr="00D33A5D">
          <w:rPr>
            <w:rFonts w:ascii="Arial" w:hAnsi="Arial" w:cs="Arial"/>
            <w:sz w:val="20"/>
            <w:szCs w:val="20"/>
          </w:rPr>
          <w:t>A12</w:t>
        </w:r>
      </w:fldSimple>
      <w:r w:rsidRPr="00AC4AEA">
        <w:rPr>
          <w:rFonts w:ascii="Arial" w:hAnsi="Arial" w:cs="Arial"/>
          <w:sz w:val="20"/>
          <w:szCs w:val="20"/>
        </w:rPr>
        <w:t xml:space="preserve">. Tal decisión afecta solo a ese rubro, y no contradice el enfoque seleccionado. </w:t>
      </w:r>
    </w:p>
    <w:p w:rsidR="002E4F8B" w:rsidRPr="00AC4AEA" w:rsidRDefault="002E4F8B" w:rsidP="00C01B25">
      <w:pPr>
        <w:numPr>
          <w:ilvl w:val="0"/>
          <w:numId w:val="528"/>
        </w:numPr>
        <w:spacing w:after="150"/>
        <w:ind w:left="1418" w:hanging="709"/>
        <w:jc w:val="both"/>
        <w:rPr>
          <w:rFonts w:ascii="Arial" w:hAnsi="Arial" w:cs="Arial"/>
          <w:sz w:val="20"/>
          <w:szCs w:val="20"/>
        </w:rPr>
      </w:pPr>
      <w:r w:rsidRPr="00AC4AEA">
        <w:rPr>
          <w:rFonts w:ascii="Arial" w:hAnsi="Arial" w:cs="Arial"/>
          <w:sz w:val="20"/>
          <w:szCs w:val="20"/>
        </w:rPr>
        <w:t xml:space="preserve">Adecuará las cifras comparativas incluidas en el estado de situación patrimonial de acuerdo con los criterios de reconocimiento y medición establecidos en esta Resolución Técnica u </w:t>
      </w:r>
      <w:r w:rsidRPr="00AC4AEA">
        <w:rPr>
          <w:rFonts w:ascii="Arial" w:hAnsi="Arial" w:cs="Arial"/>
          <w:b/>
          <w:bCs/>
          <w:sz w:val="20"/>
          <w:szCs w:val="20"/>
        </w:rPr>
        <w:t>otras normas contables</w:t>
      </w:r>
      <w:r w:rsidRPr="00AC4AEA">
        <w:rPr>
          <w:rFonts w:ascii="Arial" w:hAnsi="Arial" w:cs="Arial"/>
          <w:sz w:val="20"/>
          <w:szCs w:val="20"/>
        </w:rPr>
        <w:t>, y las notas y anexos relacionados. Sin embargo, no adecuará la información comparativa del estado de resultados, del estado de flujos de efectivo, del estado de evolución del patrimonio neto, y de las notas y anexos relacionados, para reflejar los cambios en criterios de reconocimiento y medición establecidos en la presente Resolución Técnica</w:t>
      </w:r>
      <w:r w:rsidR="00FB0086" w:rsidRPr="00AC4AEA">
        <w:rPr>
          <w:rFonts w:ascii="Arial" w:hAnsi="Arial" w:cs="Arial"/>
          <w:sz w:val="20"/>
          <w:szCs w:val="20"/>
        </w:rPr>
        <w:t xml:space="preserve"> u </w:t>
      </w:r>
      <w:r w:rsidR="00FB0086" w:rsidRPr="00AC4AEA">
        <w:rPr>
          <w:rFonts w:ascii="Arial" w:hAnsi="Arial" w:cs="Arial"/>
          <w:b/>
          <w:bCs/>
          <w:sz w:val="20"/>
          <w:szCs w:val="20"/>
        </w:rPr>
        <w:t>otras normas contables</w:t>
      </w:r>
      <w:r w:rsidRPr="00AC4AEA">
        <w:rPr>
          <w:rFonts w:ascii="Arial" w:hAnsi="Arial" w:cs="Arial"/>
          <w:sz w:val="20"/>
          <w:szCs w:val="20"/>
        </w:rPr>
        <w:t xml:space="preserve">, excepto que aplique la opción establecida en el inciso anterior de este párrafo. </w:t>
      </w:r>
    </w:p>
    <w:p w:rsidR="002E4F8B" w:rsidRPr="00AC4AEA" w:rsidRDefault="002E4F8B" w:rsidP="00C01B25">
      <w:pPr>
        <w:numPr>
          <w:ilvl w:val="0"/>
          <w:numId w:val="528"/>
        </w:numPr>
        <w:spacing w:after="150"/>
        <w:ind w:left="1418" w:hanging="709"/>
        <w:jc w:val="both"/>
        <w:rPr>
          <w:rFonts w:ascii="Arial" w:hAnsi="Arial" w:cs="Arial"/>
          <w:sz w:val="20"/>
          <w:szCs w:val="20"/>
        </w:rPr>
      </w:pPr>
      <w:r w:rsidRPr="00AC4AEA">
        <w:rPr>
          <w:rFonts w:ascii="Arial" w:hAnsi="Arial" w:cs="Arial"/>
          <w:sz w:val="20"/>
          <w:szCs w:val="20"/>
        </w:rPr>
        <w:t xml:space="preserve">Adecuará las cifras que se incluyan como información comparativa de acuerdo con los criterios de presentación establecidos en esta Resolución Técnica u </w:t>
      </w:r>
      <w:r w:rsidRPr="00AC4AEA">
        <w:rPr>
          <w:rFonts w:ascii="Arial" w:hAnsi="Arial" w:cs="Arial"/>
          <w:b/>
          <w:bCs/>
          <w:sz w:val="20"/>
          <w:szCs w:val="20"/>
        </w:rPr>
        <w:t>otras normas contables</w:t>
      </w:r>
      <w:r w:rsidRPr="00AC4AEA">
        <w:rPr>
          <w:rFonts w:ascii="Arial" w:hAnsi="Arial" w:cs="Arial"/>
          <w:sz w:val="20"/>
          <w:szCs w:val="20"/>
        </w:rPr>
        <w:t>.</w:t>
      </w:r>
      <w:r w:rsidR="006F2C57">
        <w:rPr>
          <w:rFonts w:ascii="Arial" w:hAnsi="Arial" w:cs="Arial"/>
          <w:sz w:val="20"/>
          <w:szCs w:val="20"/>
        </w:rPr>
        <w:t xml:space="preserve"> </w:t>
      </w:r>
    </w:p>
    <w:p w:rsidR="002E4F8B" w:rsidRPr="00AC4AEA" w:rsidRDefault="002E4F8B" w:rsidP="00C01B25">
      <w:pPr>
        <w:numPr>
          <w:ilvl w:val="0"/>
          <w:numId w:val="528"/>
        </w:numPr>
        <w:spacing w:after="150"/>
        <w:ind w:left="1418" w:hanging="709"/>
        <w:jc w:val="both"/>
        <w:rPr>
          <w:rFonts w:ascii="Arial" w:hAnsi="Arial" w:cs="Arial"/>
          <w:sz w:val="20"/>
          <w:szCs w:val="20"/>
        </w:rPr>
      </w:pPr>
      <w:r w:rsidRPr="00AC4AEA">
        <w:rPr>
          <w:rFonts w:ascii="Arial" w:hAnsi="Arial" w:cs="Arial"/>
          <w:sz w:val="20"/>
          <w:szCs w:val="20"/>
        </w:rPr>
        <w:t xml:space="preserve">Expondrá el efecto de aplicar este enfoque sobre los saldos a la fecha de aplicación inicial que se presenten en el estado de evolución de patrimonio neto y, cuando correspondiere, en el estado de flujos de efectivo, incluyendo los que surgen de aplicar solución práctica establecida en los párrafos </w:t>
      </w:r>
      <w:fldSimple w:instr=" REF _Ref136252843 \r \h  \* MERGEFORMAT ">
        <w:r w:rsidR="00D33A5D" w:rsidRPr="00D33A5D">
          <w:rPr>
            <w:rFonts w:ascii="Arial" w:hAnsi="Arial" w:cs="Arial"/>
            <w:sz w:val="20"/>
            <w:szCs w:val="20"/>
          </w:rPr>
          <w:t>A15</w:t>
        </w:r>
      </w:fldSimple>
      <w:r w:rsidR="002E75C5" w:rsidRPr="00AC4AEA">
        <w:rPr>
          <w:rFonts w:ascii="Arial" w:hAnsi="Arial" w:cs="Arial"/>
          <w:sz w:val="20"/>
          <w:szCs w:val="20"/>
        </w:rPr>
        <w:t xml:space="preserve"> a </w:t>
      </w:r>
      <w:fldSimple w:instr=" REF _Ref136252847 \r \h  \* MERGEFORMAT ">
        <w:r w:rsidR="00D33A5D" w:rsidRPr="00D33A5D">
          <w:rPr>
            <w:rFonts w:ascii="Arial" w:hAnsi="Arial" w:cs="Arial"/>
            <w:sz w:val="20"/>
            <w:szCs w:val="20"/>
          </w:rPr>
          <w:t>A17</w:t>
        </w:r>
      </w:fldSimple>
      <w:r w:rsidRPr="00AC4AEA">
        <w:rPr>
          <w:rFonts w:ascii="Arial" w:hAnsi="Arial" w:cs="Arial"/>
          <w:sz w:val="20"/>
          <w:szCs w:val="20"/>
        </w:rPr>
        <w:t xml:space="preserve"> de este Apéndice, excepto que utilice la opción establecida en el inciso a) de este párrafo, en cuyo caso expondrá solo los efectos relacionados con el rubro seleccionado al inicio del ejercicio comparativo,</w:t>
      </w:r>
      <w:r w:rsidR="006F2C57">
        <w:rPr>
          <w:rFonts w:ascii="Arial" w:hAnsi="Arial" w:cs="Arial"/>
          <w:sz w:val="20"/>
          <w:szCs w:val="20"/>
        </w:rPr>
        <w:t xml:space="preserve"> </w:t>
      </w:r>
      <w:r w:rsidRPr="00AC4AEA">
        <w:rPr>
          <w:rFonts w:ascii="Arial" w:hAnsi="Arial" w:cs="Arial"/>
          <w:sz w:val="20"/>
          <w:szCs w:val="20"/>
        </w:rPr>
        <w:t xml:space="preserve"> </w:t>
      </w:r>
    </w:p>
    <w:p w:rsidR="002E4F8B" w:rsidRPr="00AC4AEA" w:rsidRDefault="002E4F8B" w:rsidP="00C01B25">
      <w:pPr>
        <w:numPr>
          <w:ilvl w:val="0"/>
          <w:numId w:val="528"/>
        </w:numPr>
        <w:spacing w:after="150"/>
        <w:ind w:left="1418" w:hanging="709"/>
        <w:jc w:val="both"/>
        <w:rPr>
          <w:rFonts w:ascii="Arial" w:hAnsi="Arial" w:cs="Arial"/>
          <w:sz w:val="20"/>
          <w:szCs w:val="20"/>
        </w:rPr>
      </w:pPr>
      <w:r w:rsidRPr="00AC4AEA">
        <w:rPr>
          <w:rFonts w:ascii="Arial" w:hAnsi="Arial" w:cs="Arial"/>
          <w:sz w:val="20"/>
          <w:szCs w:val="20"/>
        </w:rPr>
        <w:lastRenderedPageBreak/>
        <w:t xml:space="preserve">Además de lo establecido por esta Resolución Técnica respecto de un cambio en la </w:t>
      </w:r>
      <w:r w:rsidRPr="00AD600B">
        <w:rPr>
          <w:rFonts w:ascii="Arial" w:hAnsi="Arial" w:cs="Arial"/>
          <w:b/>
          <w:bCs/>
          <w:sz w:val="20"/>
          <w:szCs w:val="20"/>
        </w:rPr>
        <w:t>política contable</w:t>
      </w:r>
      <w:r w:rsidR="00B235B0" w:rsidRPr="00AC4AEA">
        <w:rPr>
          <w:rFonts w:ascii="Arial" w:hAnsi="Arial" w:cs="Arial"/>
          <w:sz w:val="20"/>
          <w:szCs w:val="20"/>
        </w:rPr>
        <w:t xml:space="preserve">, (por ejemplo, la revelación de motivos exigida por el inciso b) del párrafo </w:t>
      </w:r>
      <w:fldSimple w:instr=" REF _Ref77187714 \r \h  \* MERGEFORMAT ">
        <w:r w:rsidR="00D33A5D" w:rsidRPr="00D33A5D">
          <w:rPr>
            <w:rFonts w:ascii="Arial" w:hAnsi="Arial" w:cs="Arial"/>
            <w:sz w:val="20"/>
            <w:szCs w:val="20"/>
          </w:rPr>
          <w:t>84</w:t>
        </w:r>
      </w:fldSimple>
      <w:r w:rsidR="00B235B0" w:rsidRPr="00AC4AEA">
        <w:rPr>
          <w:rFonts w:ascii="Arial" w:hAnsi="Arial" w:cs="Arial"/>
          <w:sz w:val="20"/>
          <w:szCs w:val="20"/>
        </w:rPr>
        <w:t>)</w:t>
      </w:r>
      <w:r w:rsidR="0060022D" w:rsidRPr="00AC4AEA">
        <w:rPr>
          <w:rFonts w:ascii="Arial" w:hAnsi="Arial" w:cs="Arial"/>
          <w:sz w:val="20"/>
          <w:szCs w:val="20"/>
        </w:rPr>
        <w:t>, una entidad</w:t>
      </w:r>
      <w:r w:rsidR="0055746B" w:rsidRPr="00AC4AEA">
        <w:rPr>
          <w:rFonts w:ascii="Arial" w:hAnsi="Arial" w:cs="Arial"/>
          <w:sz w:val="20"/>
          <w:szCs w:val="20"/>
        </w:rPr>
        <w:t xml:space="preserve"> describirá en notas</w:t>
      </w:r>
      <w:r w:rsidRPr="00AC4AEA">
        <w:rPr>
          <w:rFonts w:ascii="Arial" w:hAnsi="Arial" w:cs="Arial"/>
          <w:sz w:val="20"/>
          <w:szCs w:val="20"/>
        </w:rPr>
        <w:t>:</w:t>
      </w:r>
      <w:r w:rsidR="006F2C57">
        <w:rPr>
          <w:rFonts w:ascii="Arial" w:hAnsi="Arial" w:cs="Arial"/>
          <w:sz w:val="20"/>
          <w:szCs w:val="20"/>
        </w:rPr>
        <w:t xml:space="preserve"> </w:t>
      </w:r>
    </w:p>
    <w:p w:rsidR="002E4F8B" w:rsidRPr="00AC4AEA" w:rsidRDefault="0055746B" w:rsidP="00C01B25">
      <w:pPr>
        <w:pStyle w:val="Prrafodelista"/>
        <w:numPr>
          <w:ilvl w:val="0"/>
          <w:numId w:val="663"/>
        </w:numPr>
        <w:ind w:left="1701" w:hanging="141"/>
        <w:jc w:val="both"/>
        <w:rPr>
          <w:rFonts w:ascii="Arial" w:hAnsi="Arial" w:cs="Arial"/>
          <w:sz w:val="20"/>
          <w:szCs w:val="20"/>
        </w:rPr>
      </w:pPr>
      <w:r w:rsidRPr="00AC4AEA">
        <w:rPr>
          <w:rFonts w:ascii="Arial" w:hAnsi="Arial" w:cs="Arial"/>
          <w:sz w:val="20"/>
          <w:szCs w:val="20"/>
        </w:rPr>
        <w:t>L</w:t>
      </w:r>
      <w:r w:rsidR="002E4F8B" w:rsidRPr="00AC4AEA">
        <w:rPr>
          <w:rFonts w:ascii="Arial" w:hAnsi="Arial" w:cs="Arial"/>
          <w:sz w:val="20"/>
          <w:szCs w:val="20"/>
        </w:rPr>
        <w:t xml:space="preserve">as principales partidas que fueron afectadas por cambios en criterios de reconocimiento, medición o presentación, distinguiendo: </w:t>
      </w:r>
    </w:p>
    <w:p w:rsidR="002E4F8B" w:rsidRPr="00AC4AEA" w:rsidRDefault="002E4F8B" w:rsidP="00C01B25">
      <w:pPr>
        <w:numPr>
          <w:ilvl w:val="1"/>
          <w:numId w:val="528"/>
        </w:numPr>
        <w:spacing w:after="150"/>
        <w:ind w:left="2694" w:hanging="400"/>
        <w:jc w:val="both"/>
        <w:rPr>
          <w:rFonts w:ascii="Arial" w:hAnsi="Arial" w:cs="Arial"/>
          <w:sz w:val="20"/>
          <w:szCs w:val="20"/>
        </w:rPr>
      </w:pPr>
      <w:r w:rsidRPr="00AC4AEA">
        <w:rPr>
          <w:rFonts w:ascii="Arial" w:hAnsi="Arial" w:cs="Arial"/>
          <w:sz w:val="20"/>
          <w:szCs w:val="20"/>
        </w:rPr>
        <w:t xml:space="preserve">Los cambios </w:t>
      </w:r>
      <w:r w:rsidR="00EC546B" w:rsidRPr="00AC4AEA">
        <w:rPr>
          <w:rFonts w:ascii="Arial" w:hAnsi="Arial" w:cs="Arial"/>
          <w:sz w:val="20"/>
          <w:szCs w:val="20"/>
        </w:rPr>
        <w:t>requeridos</w:t>
      </w:r>
      <w:r w:rsidRPr="00AC4AEA">
        <w:rPr>
          <w:rFonts w:ascii="Arial" w:hAnsi="Arial" w:cs="Arial"/>
          <w:sz w:val="20"/>
          <w:szCs w:val="20"/>
        </w:rPr>
        <w:t xml:space="preserve"> en sus políticas contables, de acuerdo con lo indicado en el párrafo </w:t>
      </w:r>
      <w:fldSimple w:instr=" REF _Ref136253031 \r \h  \* MERGEFORMAT ">
        <w:r w:rsidR="00D33A5D" w:rsidRPr="00D33A5D">
          <w:rPr>
            <w:rFonts w:ascii="Arial" w:hAnsi="Arial" w:cs="Arial"/>
            <w:sz w:val="20"/>
            <w:szCs w:val="20"/>
          </w:rPr>
          <w:t>A5</w:t>
        </w:r>
      </w:fldSimple>
      <w:r w:rsidRPr="00AC4AEA">
        <w:rPr>
          <w:rFonts w:ascii="Arial" w:hAnsi="Arial" w:cs="Arial"/>
          <w:sz w:val="20"/>
          <w:szCs w:val="20"/>
        </w:rPr>
        <w:t xml:space="preserve"> del presente Anexo. </w:t>
      </w:r>
    </w:p>
    <w:p w:rsidR="002E4F8B" w:rsidRPr="00AC4AEA" w:rsidRDefault="002E4F8B" w:rsidP="00C01B25">
      <w:pPr>
        <w:numPr>
          <w:ilvl w:val="1"/>
          <w:numId w:val="528"/>
        </w:numPr>
        <w:spacing w:after="150"/>
        <w:ind w:left="2694" w:hanging="400"/>
        <w:jc w:val="both"/>
        <w:rPr>
          <w:rFonts w:ascii="Arial" w:hAnsi="Arial" w:cs="Arial"/>
          <w:sz w:val="20"/>
          <w:szCs w:val="20"/>
        </w:rPr>
      </w:pPr>
      <w:r w:rsidRPr="00AC4AEA">
        <w:rPr>
          <w:rFonts w:ascii="Arial" w:hAnsi="Arial" w:cs="Arial"/>
          <w:sz w:val="20"/>
          <w:szCs w:val="20"/>
        </w:rPr>
        <w:t xml:space="preserve">Los cambios </w:t>
      </w:r>
      <w:r w:rsidR="00EC546B" w:rsidRPr="00AC4AEA">
        <w:rPr>
          <w:rFonts w:ascii="Arial" w:hAnsi="Arial" w:cs="Arial"/>
          <w:sz w:val="20"/>
          <w:szCs w:val="20"/>
        </w:rPr>
        <w:t>admitidos</w:t>
      </w:r>
      <w:r w:rsidRPr="00AC4AEA">
        <w:rPr>
          <w:rFonts w:ascii="Arial" w:hAnsi="Arial" w:cs="Arial"/>
          <w:sz w:val="20"/>
          <w:szCs w:val="20"/>
        </w:rPr>
        <w:t xml:space="preserve"> en sus políticas contables, de acuerdo con lo indicado en el párrafo </w:t>
      </w:r>
      <w:fldSimple w:instr=" REF _Ref136253033 \r \h  \* MERGEFORMAT ">
        <w:r w:rsidR="00D33A5D" w:rsidRPr="00D33A5D">
          <w:rPr>
            <w:rFonts w:ascii="Arial" w:hAnsi="Arial" w:cs="Arial"/>
            <w:sz w:val="20"/>
            <w:szCs w:val="20"/>
          </w:rPr>
          <w:t>A6</w:t>
        </w:r>
      </w:fldSimple>
      <w:r w:rsidRPr="00AC4AEA">
        <w:rPr>
          <w:rFonts w:ascii="Arial" w:hAnsi="Arial" w:cs="Arial"/>
          <w:sz w:val="20"/>
          <w:szCs w:val="20"/>
        </w:rPr>
        <w:t xml:space="preserve"> del presente Anexo. </w:t>
      </w:r>
    </w:p>
    <w:p w:rsidR="002E4F8B" w:rsidRPr="00AC4AEA" w:rsidRDefault="0055746B" w:rsidP="00C01B25">
      <w:pPr>
        <w:pStyle w:val="Prrafodelista"/>
        <w:numPr>
          <w:ilvl w:val="0"/>
          <w:numId w:val="663"/>
        </w:numPr>
        <w:ind w:left="1701" w:hanging="141"/>
        <w:jc w:val="both"/>
        <w:rPr>
          <w:rFonts w:ascii="Arial" w:hAnsi="Arial" w:cs="Arial"/>
          <w:sz w:val="20"/>
          <w:szCs w:val="20"/>
        </w:rPr>
      </w:pPr>
      <w:r w:rsidRPr="00AC4AEA">
        <w:rPr>
          <w:rFonts w:ascii="Arial" w:hAnsi="Arial" w:cs="Arial"/>
          <w:sz w:val="20"/>
          <w:szCs w:val="20"/>
        </w:rPr>
        <w:t>D</w:t>
      </w:r>
      <w:r w:rsidR="002E4F8B" w:rsidRPr="00AC4AEA">
        <w:rPr>
          <w:rFonts w:ascii="Arial" w:hAnsi="Arial" w:cs="Arial"/>
          <w:sz w:val="20"/>
          <w:szCs w:val="20"/>
        </w:rPr>
        <w:t xml:space="preserve">e corresponder, </w:t>
      </w:r>
      <w:r w:rsidRPr="00AC4AEA">
        <w:rPr>
          <w:rFonts w:ascii="Arial" w:hAnsi="Arial" w:cs="Arial"/>
          <w:sz w:val="20"/>
          <w:szCs w:val="20"/>
        </w:rPr>
        <w:t xml:space="preserve">el hecho de </w:t>
      </w:r>
      <w:r w:rsidR="002E4F8B" w:rsidRPr="00AC4AEA">
        <w:rPr>
          <w:rFonts w:ascii="Arial" w:hAnsi="Arial" w:cs="Arial"/>
          <w:sz w:val="20"/>
          <w:szCs w:val="20"/>
        </w:rPr>
        <w:t xml:space="preserve">que los criterios aplicados a las cifras comparativas difieren de los utilizados para la preparación de las cifras del período actual y que tal hecho deberá ser considerado al analizar esos </w:t>
      </w:r>
      <w:r w:rsidR="002E4F8B" w:rsidRPr="00AC4AEA">
        <w:rPr>
          <w:rFonts w:ascii="Arial" w:hAnsi="Arial" w:cs="Arial"/>
          <w:b/>
          <w:bCs/>
          <w:sz w:val="20"/>
          <w:szCs w:val="20"/>
        </w:rPr>
        <w:t>estados contables</w:t>
      </w:r>
      <w:r w:rsidR="002E4F8B" w:rsidRPr="00AC4AEA">
        <w:rPr>
          <w:rFonts w:ascii="Arial" w:hAnsi="Arial" w:cs="Arial"/>
          <w:sz w:val="20"/>
          <w:szCs w:val="20"/>
        </w:rPr>
        <w:t xml:space="preserve">. </w:t>
      </w:r>
    </w:p>
    <w:p w:rsidR="002E4F8B" w:rsidRPr="00AC4AEA" w:rsidRDefault="0055746B" w:rsidP="00C01B25">
      <w:pPr>
        <w:pStyle w:val="Prrafodelista"/>
        <w:numPr>
          <w:ilvl w:val="0"/>
          <w:numId w:val="663"/>
        </w:numPr>
        <w:ind w:left="2268" w:hanging="141"/>
        <w:jc w:val="both"/>
        <w:rPr>
          <w:rFonts w:ascii="Arial" w:hAnsi="Arial" w:cs="Arial"/>
          <w:sz w:val="20"/>
          <w:szCs w:val="20"/>
        </w:rPr>
      </w:pPr>
      <w:r w:rsidRPr="00AC4AEA">
        <w:rPr>
          <w:rFonts w:ascii="Arial" w:hAnsi="Arial" w:cs="Arial"/>
          <w:sz w:val="20"/>
          <w:szCs w:val="20"/>
        </w:rPr>
        <w:t>L</w:t>
      </w:r>
      <w:r w:rsidR="002E4F8B" w:rsidRPr="00AC4AEA">
        <w:rPr>
          <w:rFonts w:ascii="Arial" w:hAnsi="Arial" w:cs="Arial"/>
          <w:sz w:val="20"/>
          <w:szCs w:val="20"/>
        </w:rPr>
        <w:t xml:space="preserve">os rubros del estado de situación patrimonial y las partidas del estado de resultados afectados por la diferencia de criterios referida en el inciso anterior. </w:t>
      </w:r>
    </w:p>
    <w:p w:rsidR="002E4F8B" w:rsidRPr="00AC4AEA" w:rsidRDefault="002E4F8B" w:rsidP="003B4AA5">
      <w:pPr>
        <w:ind w:left="1985" w:hanging="461"/>
        <w:jc w:val="both"/>
        <w:rPr>
          <w:rFonts w:ascii="Arial" w:hAnsi="Arial" w:cs="Arial"/>
          <w:sz w:val="20"/>
          <w:szCs w:val="20"/>
        </w:rPr>
      </w:pPr>
      <w:r w:rsidRPr="00AC4AEA">
        <w:rPr>
          <w:rFonts w:ascii="Arial" w:hAnsi="Arial" w:cs="Arial"/>
          <w:sz w:val="20"/>
          <w:szCs w:val="20"/>
        </w:rPr>
        <w:t xml:space="preserve"> </w:t>
      </w:r>
    </w:p>
    <w:p w:rsidR="002E4F8B" w:rsidRPr="00AC4AEA" w:rsidRDefault="002E4F8B" w:rsidP="00A318EA">
      <w:pPr>
        <w:pStyle w:val="Ttulo2"/>
        <w:rPr>
          <w:rFonts w:cs="Arial"/>
        </w:rPr>
      </w:pPr>
      <w:bookmarkStart w:id="1303" w:name="_Toc139357100"/>
      <w:r w:rsidRPr="00AC4AEA">
        <w:rPr>
          <w:rFonts w:cs="Arial"/>
        </w:rPr>
        <w:t>Solución práctica: posibilidad de discontinuar la aplicación del modelo de revaluación (bienes de uso) o el modelo del valor neto de realización (propiedades de inversión)</w:t>
      </w:r>
      <w:bookmarkEnd w:id="1303"/>
      <w:r w:rsidRPr="00AC4AEA">
        <w:rPr>
          <w:rFonts w:cs="Arial"/>
        </w:rPr>
        <w:t xml:space="preserve">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bookmarkStart w:id="1304" w:name="_Ref136252843"/>
      <w:r w:rsidRPr="00AC4AEA">
        <w:rPr>
          <w:rFonts w:ascii="Arial" w:hAnsi="Arial" w:cs="Arial"/>
          <w:sz w:val="20"/>
          <w:szCs w:val="20"/>
        </w:rPr>
        <w:t xml:space="preserve">Una entidad que, de acuerdo con las normas anteriores, hubiese aplicado el modelo de revaluación para bienes de uso o el modelo de </w:t>
      </w:r>
      <w:r w:rsidRPr="00050219">
        <w:rPr>
          <w:rFonts w:ascii="Arial" w:hAnsi="Arial" w:cs="Arial"/>
          <w:b/>
          <w:bCs/>
          <w:sz w:val="20"/>
          <w:szCs w:val="20"/>
        </w:rPr>
        <w:t>valor neto de realización</w:t>
      </w:r>
      <w:r w:rsidRPr="00AC4AEA">
        <w:rPr>
          <w:rFonts w:ascii="Arial" w:hAnsi="Arial" w:cs="Arial"/>
          <w:sz w:val="20"/>
          <w:szCs w:val="20"/>
        </w:rPr>
        <w:t xml:space="preserve"> para propiedades de inversión, podrá discontinuar su aplicación de forma prospectiva a partir de la fecha de la aplicación inicial. Esta discontinuación no será considerada un cambio de </w:t>
      </w:r>
      <w:r w:rsidRPr="00AD600B">
        <w:rPr>
          <w:rFonts w:ascii="Arial" w:hAnsi="Arial" w:cs="Arial"/>
          <w:b/>
          <w:bCs/>
          <w:sz w:val="20"/>
          <w:szCs w:val="20"/>
        </w:rPr>
        <w:t>política contable</w:t>
      </w:r>
      <w:r w:rsidRPr="00AC4AEA">
        <w:rPr>
          <w:rFonts w:ascii="Arial" w:hAnsi="Arial" w:cs="Arial"/>
          <w:sz w:val="20"/>
          <w:szCs w:val="20"/>
        </w:rPr>
        <w:t>.</w:t>
      </w:r>
      <w:bookmarkEnd w:id="1304"/>
      <w:r w:rsidRPr="00AC4AEA">
        <w:rPr>
          <w:rFonts w:ascii="Arial" w:hAnsi="Arial" w:cs="Arial"/>
          <w:sz w:val="20"/>
          <w:szCs w:val="20"/>
        </w:rPr>
        <w:t xml:space="preserve">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Al aplicar la discontinuación a la que se refiere el párrafo anterior, una entidad: </w:t>
      </w:r>
    </w:p>
    <w:p w:rsidR="002E4F8B" w:rsidRPr="00AC4AEA" w:rsidRDefault="002E4F8B" w:rsidP="00C01B25">
      <w:pPr>
        <w:numPr>
          <w:ilvl w:val="0"/>
          <w:numId w:val="529"/>
        </w:numPr>
        <w:ind w:hanging="338"/>
        <w:jc w:val="both"/>
        <w:rPr>
          <w:rFonts w:ascii="Arial" w:hAnsi="Arial" w:cs="Arial"/>
          <w:sz w:val="20"/>
          <w:szCs w:val="20"/>
        </w:rPr>
      </w:pPr>
      <w:r w:rsidRPr="00AC4AEA">
        <w:rPr>
          <w:rFonts w:ascii="Arial" w:hAnsi="Arial" w:cs="Arial"/>
          <w:sz w:val="20"/>
          <w:szCs w:val="20"/>
        </w:rPr>
        <w:t>ejercerá la opción, de forma independiente, para cada clase de bienes de uso y para el rubro propiedades de inversión;</w:t>
      </w:r>
      <w:r w:rsidR="006F2C57">
        <w:rPr>
          <w:rFonts w:ascii="Arial" w:hAnsi="Arial" w:cs="Arial"/>
          <w:sz w:val="20"/>
          <w:szCs w:val="20"/>
        </w:rPr>
        <w:t xml:space="preserve"> </w:t>
      </w:r>
    </w:p>
    <w:p w:rsidR="002E4F8B" w:rsidRPr="00AC4AEA" w:rsidRDefault="002E4F8B" w:rsidP="00C01B25">
      <w:pPr>
        <w:numPr>
          <w:ilvl w:val="0"/>
          <w:numId w:val="529"/>
        </w:numPr>
        <w:ind w:hanging="338"/>
        <w:jc w:val="both"/>
        <w:rPr>
          <w:rFonts w:ascii="Arial" w:hAnsi="Arial" w:cs="Arial"/>
          <w:sz w:val="20"/>
          <w:szCs w:val="20"/>
        </w:rPr>
      </w:pPr>
      <w:r w:rsidRPr="00AC4AEA">
        <w:rPr>
          <w:rFonts w:ascii="Arial" w:hAnsi="Arial" w:cs="Arial"/>
          <w:sz w:val="20"/>
          <w:szCs w:val="20"/>
        </w:rPr>
        <w:t xml:space="preserve">considerará al último importe revaluado o al último </w:t>
      </w:r>
      <w:r w:rsidRPr="00050219">
        <w:rPr>
          <w:rFonts w:ascii="Arial" w:hAnsi="Arial" w:cs="Arial"/>
          <w:b/>
          <w:bCs/>
          <w:sz w:val="20"/>
          <w:szCs w:val="20"/>
        </w:rPr>
        <w:t>valor neto de realización</w:t>
      </w:r>
      <w:r w:rsidRPr="00AC4AEA">
        <w:rPr>
          <w:rFonts w:ascii="Arial" w:hAnsi="Arial" w:cs="Arial"/>
          <w:sz w:val="20"/>
          <w:szCs w:val="20"/>
        </w:rPr>
        <w:t xml:space="preserve">, según corresponda, como </w:t>
      </w:r>
      <w:r w:rsidRPr="008D0FFE">
        <w:rPr>
          <w:rFonts w:ascii="Arial" w:hAnsi="Arial" w:cs="Arial"/>
          <w:b/>
          <w:bCs/>
          <w:sz w:val="20"/>
          <w:szCs w:val="20"/>
        </w:rPr>
        <w:t xml:space="preserve">costo atribuido </w:t>
      </w:r>
      <w:r w:rsidRPr="00AC4AEA">
        <w:rPr>
          <w:rFonts w:ascii="Arial" w:hAnsi="Arial" w:cs="Arial"/>
          <w:sz w:val="20"/>
          <w:szCs w:val="20"/>
        </w:rPr>
        <w:t>de cada</w:t>
      </w:r>
      <w:r w:rsidRPr="00847DC6">
        <w:rPr>
          <w:rFonts w:ascii="Arial" w:hAnsi="Arial" w:cs="Arial"/>
          <w:b/>
          <w:bCs/>
          <w:sz w:val="20"/>
          <w:szCs w:val="20"/>
        </w:rPr>
        <w:t xml:space="preserve"> activo </w:t>
      </w:r>
      <w:r w:rsidRPr="00AC4AEA">
        <w:rPr>
          <w:rFonts w:ascii="Arial" w:hAnsi="Arial" w:cs="Arial"/>
          <w:sz w:val="20"/>
          <w:szCs w:val="20"/>
        </w:rPr>
        <w:t xml:space="preserve">a la fecha de la aplicación inicial; y </w:t>
      </w:r>
    </w:p>
    <w:p w:rsidR="002E4F8B" w:rsidRPr="00AC4AEA" w:rsidRDefault="002E4F8B" w:rsidP="00C01B25">
      <w:pPr>
        <w:numPr>
          <w:ilvl w:val="0"/>
          <w:numId w:val="529"/>
        </w:numPr>
        <w:ind w:hanging="338"/>
        <w:jc w:val="both"/>
        <w:rPr>
          <w:rFonts w:ascii="Arial" w:hAnsi="Arial" w:cs="Arial"/>
          <w:sz w:val="20"/>
          <w:szCs w:val="20"/>
        </w:rPr>
      </w:pPr>
      <w:r w:rsidRPr="00AC4AEA">
        <w:rPr>
          <w:rFonts w:ascii="Arial" w:hAnsi="Arial" w:cs="Arial"/>
          <w:sz w:val="20"/>
          <w:szCs w:val="20"/>
        </w:rPr>
        <w:t xml:space="preserve">transferirá a </w:t>
      </w:r>
      <w:r w:rsidR="00843562">
        <w:rPr>
          <w:rFonts w:ascii="Arial" w:hAnsi="Arial" w:cs="Arial"/>
          <w:sz w:val="20"/>
          <w:szCs w:val="20"/>
        </w:rPr>
        <w:t>resultados no asignados</w:t>
      </w:r>
      <w:r w:rsidRPr="00AC4AEA">
        <w:rPr>
          <w:rFonts w:ascii="Arial" w:hAnsi="Arial" w:cs="Arial"/>
          <w:sz w:val="20"/>
          <w:szCs w:val="20"/>
        </w:rPr>
        <w:t xml:space="preserve"> cualquier importe reconocido en el </w:t>
      </w:r>
      <w:r w:rsidRPr="008826C7">
        <w:rPr>
          <w:rFonts w:ascii="Arial" w:hAnsi="Arial" w:cs="Arial"/>
          <w:b/>
          <w:bCs/>
          <w:sz w:val="20"/>
          <w:szCs w:val="20"/>
        </w:rPr>
        <w:t>patrimonio neto</w:t>
      </w:r>
      <w:r w:rsidRPr="00AC4AEA">
        <w:rPr>
          <w:rFonts w:ascii="Arial" w:hAnsi="Arial" w:cs="Arial"/>
          <w:sz w:val="20"/>
          <w:szCs w:val="20"/>
        </w:rPr>
        <w:t xml:space="preserve"> dentro del rubro “saldo por revaluación”, relacionado con la clase para la que decida discontinuar el modelo de revaluación. </w:t>
      </w:r>
    </w:p>
    <w:p w:rsidR="002E4F8B" w:rsidRPr="00AC4AEA" w:rsidRDefault="002E4F8B" w:rsidP="00C01B25">
      <w:pPr>
        <w:pStyle w:val="Prrafodelista"/>
        <w:numPr>
          <w:ilvl w:val="0"/>
          <w:numId w:val="658"/>
        </w:numPr>
        <w:spacing w:after="120"/>
        <w:ind w:left="709" w:hanging="709"/>
        <w:contextualSpacing w:val="0"/>
        <w:jc w:val="both"/>
        <w:rPr>
          <w:rFonts w:ascii="Arial" w:hAnsi="Arial" w:cs="Arial"/>
          <w:sz w:val="20"/>
          <w:szCs w:val="20"/>
        </w:rPr>
      </w:pPr>
      <w:bookmarkStart w:id="1305" w:name="_Ref136252847"/>
      <w:r w:rsidRPr="00AC4AEA">
        <w:rPr>
          <w:rFonts w:ascii="Arial" w:hAnsi="Arial" w:cs="Arial"/>
          <w:sz w:val="20"/>
          <w:szCs w:val="20"/>
        </w:rPr>
        <w:t xml:space="preserve">Si optara por utilizar la solución práctica prevista en esta sección, una entidad revelará tal aplicación en los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w:t>
      </w:r>
      <w:bookmarkEnd w:id="1305"/>
      <w:r w:rsidRPr="00AC4AEA">
        <w:rPr>
          <w:rFonts w:ascii="Arial" w:hAnsi="Arial" w:cs="Arial"/>
          <w:sz w:val="20"/>
          <w:szCs w:val="20"/>
        </w:rPr>
        <w:t xml:space="preserve"> </w:t>
      </w:r>
    </w:p>
    <w:p w:rsidR="00E60566" w:rsidRPr="00AC4AEA" w:rsidRDefault="00E60566" w:rsidP="00A318EA">
      <w:pPr>
        <w:ind w:left="667" w:hanging="667"/>
        <w:jc w:val="both"/>
        <w:rPr>
          <w:rFonts w:ascii="Arial" w:hAnsi="Arial" w:cs="Arial"/>
          <w:sz w:val="20"/>
          <w:szCs w:val="20"/>
        </w:rPr>
      </w:pPr>
    </w:p>
    <w:p w:rsidR="00B4683C" w:rsidRPr="00AC4AEA" w:rsidRDefault="00B4683C" w:rsidP="00B4683C">
      <w:pPr>
        <w:pStyle w:val="Ttulo2"/>
        <w:rPr>
          <w:rFonts w:cs="Arial"/>
        </w:rPr>
      </w:pPr>
      <w:bookmarkStart w:id="1306" w:name="_Toc139357101"/>
      <w:r w:rsidRPr="00AC4AEA">
        <w:rPr>
          <w:rFonts w:cs="Arial"/>
        </w:rPr>
        <w:lastRenderedPageBreak/>
        <w:t>Guías para la aplicación de la presente Resolución Técnica por primera vez, en particular</w:t>
      </w:r>
      <w:bookmarkEnd w:id="1306"/>
      <w:r w:rsidRPr="00AC4AEA">
        <w:rPr>
          <w:rFonts w:cs="Arial"/>
        </w:rPr>
        <w:t xml:space="preserve"> </w:t>
      </w:r>
    </w:p>
    <w:p w:rsidR="00E60566" w:rsidRPr="00AC4AEA" w:rsidRDefault="00E60566" w:rsidP="002F10C5">
      <w:pPr>
        <w:pStyle w:val="Ttulo3"/>
      </w:pPr>
      <w:bookmarkStart w:id="1307" w:name="_Toc139357102"/>
      <w:r w:rsidRPr="00AC4AEA">
        <w:t xml:space="preserve">Conversión de </w:t>
      </w:r>
      <w:r w:rsidR="00FC7462" w:rsidRPr="00AC4AEA">
        <w:t>e</w:t>
      </w:r>
      <w:r w:rsidRPr="00AC4AEA">
        <w:t xml:space="preserve">stados </w:t>
      </w:r>
      <w:r w:rsidR="00FC7462" w:rsidRPr="00AC4AEA">
        <w:t>c</w:t>
      </w:r>
      <w:r w:rsidRPr="00AC4AEA">
        <w:t>ontables</w:t>
      </w:r>
      <w:bookmarkEnd w:id="1307"/>
    </w:p>
    <w:p w:rsidR="00E721FD" w:rsidRPr="00AC4AEA" w:rsidRDefault="00E60566"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En </w:t>
      </w:r>
      <w:r w:rsidR="00F7175F" w:rsidRPr="00AC4AEA">
        <w:rPr>
          <w:rFonts w:ascii="Arial" w:hAnsi="Arial" w:cs="Arial"/>
          <w:sz w:val="20"/>
          <w:szCs w:val="20"/>
        </w:rPr>
        <w:t xml:space="preserve">los </w:t>
      </w:r>
      <w:r w:rsidR="004010BE" w:rsidRPr="00AC4AEA">
        <w:rPr>
          <w:rFonts w:ascii="Arial" w:hAnsi="Arial" w:cs="Arial"/>
          <w:sz w:val="20"/>
          <w:szCs w:val="20"/>
        </w:rPr>
        <w:t xml:space="preserve">primeros </w:t>
      </w:r>
      <w:r w:rsidR="004010BE" w:rsidRPr="00AC4AEA">
        <w:rPr>
          <w:rFonts w:ascii="Arial" w:hAnsi="Arial" w:cs="Arial"/>
          <w:b/>
          <w:bCs/>
          <w:sz w:val="20"/>
          <w:szCs w:val="20"/>
        </w:rPr>
        <w:t>estados contables</w:t>
      </w:r>
      <w:r w:rsidR="004010BE" w:rsidRPr="00AC4AEA">
        <w:rPr>
          <w:rFonts w:ascii="Arial" w:hAnsi="Arial" w:cs="Arial"/>
          <w:sz w:val="20"/>
          <w:szCs w:val="20"/>
        </w:rPr>
        <w:t xml:space="preserve"> preparados de acuerdo con esta Resolución Técnica</w:t>
      </w:r>
      <w:r w:rsidRPr="00AC4AEA">
        <w:rPr>
          <w:rFonts w:ascii="Arial" w:hAnsi="Arial" w:cs="Arial"/>
          <w:sz w:val="20"/>
          <w:szCs w:val="20"/>
        </w:rPr>
        <w:t xml:space="preserve">, una entidad aplicará los requerimientos establecidos en los párrafos </w:t>
      </w:r>
      <w:fldSimple w:instr=" REF _Ref136253270 \r \h  \* MERGEFORMAT ">
        <w:r w:rsidR="00D33A5D" w:rsidRPr="00D33A5D">
          <w:rPr>
            <w:rFonts w:ascii="Arial" w:hAnsi="Arial" w:cs="Arial"/>
            <w:sz w:val="20"/>
            <w:szCs w:val="20"/>
          </w:rPr>
          <w:t>752</w:t>
        </w:r>
      </w:fldSimple>
      <w:r w:rsidR="00DC2040" w:rsidRPr="00AC4AEA">
        <w:rPr>
          <w:rFonts w:ascii="Arial" w:hAnsi="Arial" w:cs="Arial"/>
          <w:sz w:val="20"/>
          <w:szCs w:val="20"/>
        </w:rPr>
        <w:t xml:space="preserve"> al </w:t>
      </w:r>
      <w:fldSimple w:instr=" REF _Ref136253285 \r \h  \* MERGEFORMAT ">
        <w:r w:rsidR="00D33A5D" w:rsidRPr="00D33A5D">
          <w:rPr>
            <w:rFonts w:ascii="Arial" w:hAnsi="Arial" w:cs="Arial"/>
            <w:sz w:val="20"/>
            <w:szCs w:val="20"/>
          </w:rPr>
          <w:t>763</w:t>
        </w:r>
      </w:fldSimple>
      <w:r w:rsidR="00E721FD" w:rsidRPr="00AC4AEA">
        <w:rPr>
          <w:rFonts w:ascii="Arial" w:hAnsi="Arial" w:cs="Arial"/>
          <w:sz w:val="20"/>
          <w:szCs w:val="20"/>
        </w:rPr>
        <w:t>:</w:t>
      </w:r>
      <w:r w:rsidRPr="00AC4AEA">
        <w:rPr>
          <w:rFonts w:ascii="Arial" w:hAnsi="Arial" w:cs="Arial"/>
          <w:sz w:val="20"/>
          <w:szCs w:val="20"/>
        </w:rPr>
        <w:t xml:space="preserve"> </w:t>
      </w:r>
    </w:p>
    <w:p w:rsidR="002947BA" w:rsidRPr="00AC4AEA" w:rsidRDefault="005E5D0E" w:rsidP="00C01B25">
      <w:pPr>
        <w:pStyle w:val="Prrafodelista"/>
        <w:numPr>
          <w:ilvl w:val="1"/>
          <w:numId w:val="658"/>
        </w:numPr>
        <w:spacing w:after="120"/>
        <w:contextualSpacing w:val="0"/>
        <w:jc w:val="both"/>
        <w:rPr>
          <w:rFonts w:ascii="Arial" w:hAnsi="Arial" w:cs="Arial"/>
          <w:sz w:val="20"/>
          <w:szCs w:val="20"/>
        </w:rPr>
      </w:pPr>
      <w:r w:rsidRPr="00AC4AEA">
        <w:rPr>
          <w:rFonts w:ascii="Arial" w:hAnsi="Arial" w:cs="Arial"/>
          <w:sz w:val="20"/>
          <w:szCs w:val="20"/>
        </w:rPr>
        <w:t>a</w:t>
      </w:r>
      <w:r w:rsidR="002947BA" w:rsidRPr="00AC4AEA">
        <w:rPr>
          <w:rFonts w:ascii="Arial" w:hAnsi="Arial" w:cs="Arial"/>
          <w:sz w:val="20"/>
          <w:szCs w:val="20"/>
        </w:rPr>
        <w:t xml:space="preserve"> partir de la fecha de inicio del año comparativo, cuando haya seleccionado enfoque retroactivo integral [ver los párrafos </w:t>
      </w:r>
      <w:fldSimple w:instr=" REF _Ref136252917 \r \h  \* MERGEFORMAT ">
        <w:r w:rsidR="00D33A5D" w:rsidRPr="00D33A5D">
          <w:rPr>
            <w:rFonts w:ascii="Arial" w:hAnsi="Arial" w:cs="Arial"/>
            <w:sz w:val="20"/>
            <w:szCs w:val="20"/>
          </w:rPr>
          <w:t>A11</w:t>
        </w:r>
      </w:fldSimple>
      <w:r w:rsidR="002947BA" w:rsidRPr="00AC4AEA">
        <w:rPr>
          <w:rFonts w:ascii="Arial" w:hAnsi="Arial" w:cs="Arial"/>
          <w:sz w:val="20"/>
          <w:szCs w:val="20"/>
        </w:rPr>
        <w:t xml:space="preserve"> y </w:t>
      </w:r>
      <w:fldSimple w:instr=" REF _Ref136252919 \r \h  \* MERGEFORMAT ">
        <w:r w:rsidR="00D33A5D" w:rsidRPr="00D33A5D">
          <w:rPr>
            <w:rFonts w:ascii="Arial" w:hAnsi="Arial" w:cs="Arial"/>
            <w:sz w:val="20"/>
            <w:szCs w:val="20"/>
          </w:rPr>
          <w:t>A12</w:t>
        </w:r>
      </w:fldSimple>
      <w:r w:rsidR="002947BA" w:rsidRPr="00AC4AEA">
        <w:rPr>
          <w:rFonts w:ascii="Arial" w:hAnsi="Arial" w:cs="Arial"/>
          <w:sz w:val="20"/>
          <w:szCs w:val="20"/>
        </w:rPr>
        <w:t xml:space="preserve">]; o </w:t>
      </w:r>
    </w:p>
    <w:p w:rsidR="00E60566" w:rsidRPr="00AC4AEA" w:rsidRDefault="005E5D0E" w:rsidP="00C01B25">
      <w:pPr>
        <w:pStyle w:val="Prrafodelista"/>
        <w:numPr>
          <w:ilvl w:val="1"/>
          <w:numId w:val="658"/>
        </w:numPr>
        <w:spacing w:after="120"/>
        <w:contextualSpacing w:val="0"/>
        <w:jc w:val="both"/>
        <w:rPr>
          <w:rFonts w:ascii="Arial" w:hAnsi="Arial" w:cs="Arial"/>
          <w:sz w:val="20"/>
          <w:szCs w:val="20"/>
        </w:rPr>
      </w:pPr>
      <w:r w:rsidRPr="00AC4AEA">
        <w:rPr>
          <w:rFonts w:ascii="Arial" w:hAnsi="Arial" w:cs="Arial"/>
          <w:sz w:val="20"/>
          <w:szCs w:val="20"/>
        </w:rPr>
        <w:t>a</w:t>
      </w:r>
      <w:r w:rsidR="002947BA" w:rsidRPr="00AC4AEA">
        <w:rPr>
          <w:rFonts w:ascii="Arial" w:hAnsi="Arial" w:cs="Arial"/>
          <w:sz w:val="20"/>
          <w:szCs w:val="20"/>
        </w:rPr>
        <w:t xml:space="preserve"> partir de la fecha de </w:t>
      </w:r>
      <w:r w:rsidR="00CE6A92" w:rsidRPr="00AC4AEA">
        <w:rPr>
          <w:rFonts w:ascii="Arial" w:hAnsi="Arial" w:cs="Arial"/>
          <w:sz w:val="20"/>
          <w:szCs w:val="20"/>
        </w:rPr>
        <w:t>aplicación inicial, cuando haya seleccionado el</w:t>
      </w:r>
      <w:r w:rsidR="002947BA" w:rsidRPr="00AC4AEA">
        <w:rPr>
          <w:rFonts w:ascii="Arial" w:hAnsi="Arial" w:cs="Arial"/>
          <w:sz w:val="20"/>
          <w:szCs w:val="20"/>
        </w:rPr>
        <w:t xml:space="preserve"> enfoque retroactivo simplificado [ver los párrafos </w:t>
      </w:r>
      <w:fldSimple w:instr=" REF _Ref136252924 \r \h  \* MERGEFORMAT ">
        <w:r w:rsidR="00D33A5D" w:rsidRPr="00D33A5D">
          <w:rPr>
            <w:rFonts w:ascii="Arial" w:hAnsi="Arial" w:cs="Arial"/>
            <w:sz w:val="20"/>
            <w:szCs w:val="20"/>
          </w:rPr>
          <w:t>A13</w:t>
        </w:r>
      </w:fldSimple>
      <w:r w:rsidR="002947BA" w:rsidRPr="00AC4AEA">
        <w:rPr>
          <w:rFonts w:ascii="Arial" w:hAnsi="Arial" w:cs="Arial"/>
          <w:sz w:val="20"/>
          <w:szCs w:val="20"/>
        </w:rPr>
        <w:t xml:space="preserve"> y </w:t>
      </w:r>
      <w:fldSimple w:instr=" REF _Ref136252927 \r \h  \* MERGEFORMAT ">
        <w:r w:rsidR="00D33A5D" w:rsidRPr="00D33A5D">
          <w:rPr>
            <w:rFonts w:ascii="Arial" w:hAnsi="Arial" w:cs="Arial"/>
            <w:sz w:val="20"/>
            <w:szCs w:val="20"/>
          </w:rPr>
          <w:t>A14</w:t>
        </w:r>
      </w:fldSimple>
      <w:r w:rsidR="002947BA" w:rsidRPr="00AC4AEA">
        <w:rPr>
          <w:rFonts w:ascii="Arial" w:hAnsi="Arial" w:cs="Arial"/>
          <w:sz w:val="20"/>
          <w:szCs w:val="20"/>
        </w:rPr>
        <w:t>]</w:t>
      </w:r>
      <w:r w:rsidR="00E60566" w:rsidRPr="00AC4AEA">
        <w:rPr>
          <w:rFonts w:ascii="Arial" w:hAnsi="Arial" w:cs="Arial"/>
          <w:sz w:val="20"/>
          <w:szCs w:val="20"/>
        </w:rPr>
        <w:t xml:space="preserve">. </w:t>
      </w:r>
    </w:p>
    <w:p w:rsidR="00E4044A" w:rsidRPr="00AC4AEA" w:rsidRDefault="00E4044A"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Cualquier diferencia de conversión</w:t>
      </w:r>
      <w:r w:rsidR="009562EF" w:rsidRPr="00AC4AEA">
        <w:rPr>
          <w:rFonts w:ascii="Arial" w:hAnsi="Arial" w:cs="Arial"/>
          <w:sz w:val="20"/>
          <w:szCs w:val="20"/>
        </w:rPr>
        <w:t xml:space="preserve"> acumulada</w:t>
      </w:r>
      <w:r w:rsidRPr="00AC4AEA">
        <w:rPr>
          <w:rFonts w:ascii="Arial" w:hAnsi="Arial" w:cs="Arial"/>
          <w:sz w:val="20"/>
          <w:szCs w:val="20"/>
        </w:rPr>
        <w:t xml:space="preserve"> que la entidad hubiera determinado por aplicación de las normas anteriores será co</w:t>
      </w:r>
      <w:r w:rsidR="009562EF" w:rsidRPr="00AC4AEA">
        <w:rPr>
          <w:rFonts w:ascii="Arial" w:hAnsi="Arial" w:cs="Arial"/>
          <w:sz w:val="20"/>
          <w:szCs w:val="20"/>
        </w:rPr>
        <w:t>nsiderada</w:t>
      </w:r>
      <w:r w:rsidRPr="00AC4AEA">
        <w:rPr>
          <w:rFonts w:ascii="Arial" w:hAnsi="Arial" w:cs="Arial"/>
          <w:sz w:val="20"/>
          <w:szCs w:val="20"/>
        </w:rPr>
        <w:t xml:space="preserve"> </w:t>
      </w:r>
      <w:r w:rsidR="009562EF" w:rsidRPr="00AC4AEA">
        <w:rPr>
          <w:rFonts w:ascii="Arial" w:hAnsi="Arial" w:cs="Arial"/>
          <w:sz w:val="20"/>
          <w:szCs w:val="20"/>
        </w:rPr>
        <w:t>nula en la fecha que corresponda, según lo esta</w:t>
      </w:r>
      <w:r w:rsidR="00FC7462" w:rsidRPr="00AC4AEA">
        <w:rPr>
          <w:rFonts w:ascii="Arial" w:hAnsi="Arial" w:cs="Arial"/>
          <w:sz w:val="20"/>
          <w:szCs w:val="20"/>
        </w:rPr>
        <w:t>blecido en el párrafo anterior.</w:t>
      </w:r>
    </w:p>
    <w:p w:rsidR="00E60566" w:rsidRPr="00AC4AEA" w:rsidRDefault="001877C2"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Además de lo establecido por esta Resolución Técnica, una entidad revelará las notas de los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w:t>
      </w:r>
      <w:r w:rsidR="00E60566" w:rsidRPr="00AC4AEA">
        <w:rPr>
          <w:rFonts w:ascii="Arial" w:hAnsi="Arial" w:cs="Arial"/>
          <w:sz w:val="20"/>
          <w:szCs w:val="20"/>
        </w:rPr>
        <w:t>:</w:t>
      </w:r>
      <w:r w:rsidR="006F2C57">
        <w:rPr>
          <w:rFonts w:ascii="Arial" w:hAnsi="Arial" w:cs="Arial"/>
          <w:sz w:val="20"/>
          <w:szCs w:val="20"/>
        </w:rPr>
        <w:t xml:space="preserve"> </w:t>
      </w:r>
    </w:p>
    <w:p w:rsidR="00E60566" w:rsidRPr="00AC4AEA" w:rsidRDefault="00E60566" w:rsidP="00C01B25">
      <w:pPr>
        <w:pStyle w:val="NUA-Nivel1"/>
        <w:numPr>
          <w:ilvl w:val="0"/>
          <w:numId w:val="553"/>
        </w:numPr>
        <w:ind w:left="1276" w:hanging="567"/>
      </w:pPr>
      <w:r w:rsidRPr="00AC4AEA">
        <w:t xml:space="preserve">Si los criterios aplicados a las cifras comparativas difieren de los utilizados para la conversión de las cifras del período actual, y en tal caso, que este hecho deberá ser considerado al analizar esos </w:t>
      </w:r>
      <w:r w:rsidRPr="00AC4AEA">
        <w:rPr>
          <w:b/>
          <w:bCs/>
        </w:rPr>
        <w:t>estados contables</w:t>
      </w:r>
      <w:r w:rsidRPr="00AC4AEA">
        <w:t xml:space="preserve">. </w:t>
      </w:r>
    </w:p>
    <w:p w:rsidR="00E60566" w:rsidRPr="00AC4AEA" w:rsidRDefault="00E60566" w:rsidP="00C01B25">
      <w:pPr>
        <w:pStyle w:val="NUA-Nivel1"/>
        <w:numPr>
          <w:ilvl w:val="0"/>
          <w:numId w:val="553"/>
        </w:numPr>
        <w:ind w:left="1276" w:hanging="567"/>
      </w:pPr>
      <w:r w:rsidRPr="00AC4AEA">
        <w:t xml:space="preserve">Los rubros del estado de situación patrimonial y las partidas del estado de resultados afectados por la diferencia de criterios referida en el inciso anterior. </w:t>
      </w:r>
    </w:p>
    <w:p w:rsidR="00E60566" w:rsidRPr="00AC4AEA" w:rsidRDefault="006F4EB3" w:rsidP="002F10C5">
      <w:pPr>
        <w:pStyle w:val="Ttulo3"/>
      </w:pPr>
      <w:bookmarkStart w:id="1308" w:name="_Toc139357103"/>
      <w:r w:rsidRPr="00AC4AEA">
        <w:t xml:space="preserve">Preparación de </w:t>
      </w:r>
      <w:r w:rsidR="001332B6" w:rsidRPr="00AC4AEA">
        <w:t>e</w:t>
      </w:r>
      <w:r w:rsidRPr="00AC4AEA">
        <w:t xml:space="preserve">stados </w:t>
      </w:r>
      <w:r w:rsidR="001332B6" w:rsidRPr="00AC4AEA">
        <w:t>c</w:t>
      </w:r>
      <w:r w:rsidRPr="00AC4AEA">
        <w:t>ontables consolidados</w:t>
      </w:r>
      <w:bookmarkEnd w:id="1308"/>
    </w:p>
    <w:p w:rsidR="00E60566" w:rsidRPr="00AC4AEA" w:rsidRDefault="00791468"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En </w:t>
      </w:r>
      <w:r w:rsidR="00F7175F" w:rsidRPr="00AC4AEA">
        <w:rPr>
          <w:rFonts w:ascii="Arial" w:hAnsi="Arial" w:cs="Arial"/>
          <w:sz w:val="20"/>
          <w:szCs w:val="20"/>
        </w:rPr>
        <w:t xml:space="preserve">los </w:t>
      </w:r>
      <w:r w:rsidRPr="00AC4AEA">
        <w:rPr>
          <w:rFonts w:ascii="Arial" w:hAnsi="Arial" w:cs="Arial"/>
          <w:sz w:val="20"/>
          <w:szCs w:val="20"/>
        </w:rPr>
        <w:t xml:space="preserve">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 una entidad</w:t>
      </w:r>
      <w:r w:rsidR="00E60566" w:rsidRPr="00AC4AEA">
        <w:rPr>
          <w:rFonts w:ascii="Arial" w:hAnsi="Arial" w:cs="Arial"/>
          <w:sz w:val="20"/>
          <w:szCs w:val="20"/>
        </w:rPr>
        <w:t>:</w:t>
      </w:r>
      <w:r w:rsidR="006F2C57">
        <w:rPr>
          <w:rFonts w:ascii="Arial" w:hAnsi="Arial" w:cs="Arial"/>
          <w:sz w:val="20"/>
          <w:szCs w:val="20"/>
        </w:rPr>
        <w:t xml:space="preserve"> </w:t>
      </w:r>
    </w:p>
    <w:p w:rsidR="00E60566" w:rsidRPr="00AC4AEA" w:rsidRDefault="00C217F7" w:rsidP="00C01B25">
      <w:pPr>
        <w:pStyle w:val="NUA-Nivel1"/>
        <w:numPr>
          <w:ilvl w:val="0"/>
          <w:numId w:val="664"/>
        </w:numPr>
        <w:ind w:left="1134" w:hanging="425"/>
      </w:pPr>
      <w:r w:rsidRPr="00AC4AEA">
        <w:t>e</w:t>
      </w:r>
      <w:r w:rsidR="00E60566" w:rsidRPr="00AC4AEA">
        <w:t>valuará</w:t>
      </w:r>
      <w:r w:rsidR="00435451" w:rsidRPr="00AC4AEA">
        <w:t>, en la fecha de aplicación inicial</w:t>
      </w:r>
      <w:r w:rsidRPr="00AC4AEA">
        <w:t>,</w:t>
      </w:r>
      <w:r w:rsidR="00E60566" w:rsidRPr="00AC4AEA">
        <w:t xml:space="preserve"> qué entidades deben ser consolidadas, empleando el apartado “</w:t>
      </w:r>
      <w:r w:rsidR="00E60566" w:rsidRPr="00AC4AEA">
        <w:rPr>
          <w:u w:val="single" w:color="000000"/>
        </w:rPr>
        <w:t>Definición de control (sobre otra entidad)</w:t>
      </w:r>
      <w:r w:rsidR="00E60566" w:rsidRPr="00AC4AEA">
        <w:t xml:space="preserve">” [ver los párrafos </w:t>
      </w:r>
      <w:fldSimple w:instr=" REF _Ref135762091 \r \h  \* MERGEFORMAT ">
        <w:r w:rsidR="00D33A5D">
          <w:t>770</w:t>
        </w:r>
      </w:fldSimple>
      <w:r w:rsidR="006D2E77" w:rsidRPr="00AC4AEA">
        <w:t xml:space="preserve"> a </w:t>
      </w:r>
      <w:fldSimple w:instr=" REF _Ref135762093 \r \h  \* MERGEFORMAT ">
        <w:r w:rsidR="00D33A5D">
          <w:t>771</w:t>
        </w:r>
      </w:fldSimple>
      <w:r w:rsidR="00E60566" w:rsidRPr="00AC4AEA">
        <w:t>] y el apartado “</w:t>
      </w:r>
      <w:r w:rsidR="00E60566" w:rsidRPr="00AC4AEA">
        <w:rPr>
          <w:u w:val="single" w:color="000000"/>
        </w:rPr>
        <w:t>Aplicación de la definición de control</w:t>
      </w:r>
      <w:r w:rsidR="00E60566" w:rsidRPr="00AC4AEA">
        <w:t xml:space="preserve">” [ver los párrafos </w:t>
      </w:r>
      <w:fldSimple w:instr=" REF _Ref135071494 \r \h  \* MERGEFORMAT ">
        <w:r w:rsidR="00D33A5D">
          <w:t>772</w:t>
        </w:r>
      </w:fldSimple>
      <w:r w:rsidR="006D2E77" w:rsidRPr="00AC4AEA">
        <w:t xml:space="preserve"> a </w:t>
      </w:r>
      <w:fldSimple w:instr=" REF _Ref135071520 \r \h  \* MERGEFORMAT ">
        <w:r w:rsidR="00D33A5D">
          <w:t>783</w:t>
        </w:r>
      </w:fldSimple>
      <w:r w:rsidR="00E60566" w:rsidRPr="00AC4AEA">
        <w:t xml:space="preserve">]; y </w:t>
      </w:r>
    </w:p>
    <w:p w:rsidR="00EE2455" w:rsidRPr="00AC4AEA" w:rsidRDefault="00E60566" w:rsidP="00C01B25">
      <w:pPr>
        <w:pStyle w:val="NUA-Nivel1"/>
        <w:numPr>
          <w:ilvl w:val="0"/>
          <w:numId w:val="664"/>
        </w:numPr>
        <w:ind w:left="1134" w:hanging="425"/>
      </w:pPr>
      <w:r w:rsidRPr="00AC4AEA">
        <w:t>consolidará todas las entidades que controle a la fecha de aplicación inicial</w:t>
      </w:r>
      <w:r w:rsidR="004768F9" w:rsidRPr="00AC4AEA">
        <w:t>:</w:t>
      </w:r>
    </w:p>
    <w:p w:rsidR="00EE2455" w:rsidRPr="00AC4AEA" w:rsidRDefault="00EE2455" w:rsidP="00C01B25">
      <w:pPr>
        <w:pStyle w:val="Prrafodelista"/>
        <w:numPr>
          <w:ilvl w:val="1"/>
          <w:numId w:val="665"/>
        </w:numPr>
        <w:spacing w:after="120"/>
        <w:contextualSpacing w:val="0"/>
        <w:jc w:val="both"/>
        <w:rPr>
          <w:rFonts w:ascii="Arial" w:hAnsi="Arial" w:cs="Arial"/>
          <w:sz w:val="20"/>
          <w:szCs w:val="20"/>
        </w:rPr>
      </w:pPr>
      <w:r w:rsidRPr="00AC4AEA">
        <w:rPr>
          <w:rFonts w:ascii="Arial" w:hAnsi="Arial" w:cs="Arial"/>
          <w:sz w:val="20"/>
          <w:szCs w:val="20"/>
        </w:rPr>
        <w:t xml:space="preserve">a partir de la fecha de inicio del año comparativo, cuando haya seleccionado enfoque retroactivo integral [ver los párrafos </w:t>
      </w:r>
      <w:fldSimple w:instr=" REF _Ref136252917 \r \h  \* MERGEFORMAT ">
        <w:r w:rsidR="00D33A5D" w:rsidRPr="00D33A5D">
          <w:rPr>
            <w:rFonts w:ascii="Arial" w:hAnsi="Arial" w:cs="Arial"/>
            <w:sz w:val="20"/>
            <w:szCs w:val="20"/>
          </w:rPr>
          <w:t>A11</w:t>
        </w:r>
      </w:fldSimple>
      <w:r w:rsidRPr="00AC4AEA">
        <w:rPr>
          <w:rFonts w:ascii="Arial" w:hAnsi="Arial" w:cs="Arial"/>
          <w:sz w:val="20"/>
          <w:szCs w:val="20"/>
        </w:rPr>
        <w:t xml:space="preserve"> y </w:t>
      </w:r>
      <w:fldSimple w:instr=" REF _Ref136252919 \r \h  \* MERGEFORMAT ">
        <w:r w:rsidR="00D33A5D" w:rsidRPr="00D33A5D">
          <w:rPr>
            <w:rFonts w:ascii="Arial" w:hAnsi="Arial" w:cs="Arial"/>
            <w:sz w:val="20"/>
            <w:szCs w:val="20"/>
          </w:rPr>
          <w:t>A12</w:t>
        </w:r>
      </w:fldSimple>
      <w:r w:rsidRPr="00AC4AEA">
        <w:rPr>
          <w:rFonts w:ascii="Arial" w:hAnsi="Arial" w:cs="Arial"/>
          <w:sz w:val="20"/>
          <w:szCs w:val="20"/>
        </w:rPr>
        <w:t xml:space="preserve">]; o </w:t>
      </w:r>
    </w:p>
    <w:p w:rsidR="00EE2455" w:rsidRPr="00AC4AEA" w:rsidRDefault="00EE2455" w:rsidP="00C01B25">
      <w:pPr>
        <w:pStyle w:val="Prrafodelista"/>
        <w:numPr>
          <w:ilvl w:val="1"/>
          <w:numId w:val="665"/>
        </w:numPr>
        <w:spacing w:after="120"/>
        <w:contextualSpacing w:val="0"/>
        <w:jc w:val="both"/>
        <w:rPr>
          <w:rFonts w:ascii="Arial" w:hAnsi="Arial" w:cs="Arial"/>
          <w:sz w:val="20"/>
          <w:szCs w:val="20"/>
        </w:rPr>
      </w:pPr>
      <w:r w:rsidRPr="00AC4AEA">
        <w:rPr>
          <w:rFonts w:ascii="Arial" w:hAnsi="Arial" w:cs="Arial"/>
          <w:sz w:val="20"/>
          <w:szCs w:val="20"/>
        </w:rPr>
        <w:t xml:space="preserve">a partir de la fecha de aplicación inicial, cuando haya seleccionado el enfoque retroactivo simplificado [ver los párrafos </w:t>
      </w:r>
      <w:fldSimple w:instr=" REF _Ref136252924 \r \h  \* MERGEFORMAT ">
        <w:r w:rsidR="00D33A5D" w:rsidRPr="00D33A5D">
          <w:rPr>
            <w:rFonts w:ascii="Arial" w:hAnsi="Arial" w:cs="Arial"/>
            <w:sz w:val="20"/>
            <w:szCs w:val="20"/>
          </w:rPr>
          <w:t>A13</w:t>
        </w:r>
      </w:fldSimple>
      <w:r w:rsidRPr="00AC4AEA">
        <w:rPr>
          <w:rFonts w:ascii="Arial" w:hAnsi="Arial" w:cs="Arial"/>
          <w:sz w:val="20"/>
          <w:szCs w:val="20"/>
        </w:rPr>
        <w:t xml:space="preserve"> y </w:t>
      </w:r>
      <w:fldSimple w:instr=" REF _Ref136252927 \r \h  \* MERGEFORMAT ">
        <w:r w:rsidR="00D33A5D" w:rsidRPr="00D33A5D">
          <w:rPr>
            <w:rFonts w:ascii="Arial" w:hAnsi="Arial" w:cs="Arial"/>
            <w:sz w:val="20"/>
            <w:szCs w:val="20"/>
          </w:rPr>
          <w:t>A14</w:t>
        </w:r>
      </w:fldSimple>
      <w:r w:rsidRPr="00AC4AEA">
        <w:rPr>
          <w:rFonts w:ascii="Arial" w:hAnsi="Arial" w:cs="Arial"/>
          <w:sz w:val="20"/>
          <w:szCs w:val="20"/>
        </w:rPr>
        <w:t xml:space="preserve">]. </w:t>
      </w:r>
    </w:p>
    <w:p w:rsidR="001332B6" w:rsidRPr="00AC4AEA" w:rsidRDefault="001332B6" w:rsidP="00C01B25">
      <w:pPr>
        <w:pStyle w:val="Prrafodelista"/>
        <w:numPr>
          <w:ilvl w:val="0"/>
          <w:numId w:val="658"/>
        </w:numPr>
        <w:spacing w:after="120"/>
        <w:ind w:left="709" w:hanging="709"/>
        <w:contextualSpacing w:val="0"/>
        <w:jc w:val="both"/>
        <w:rPr>
          <w:rFonts w:ascii="Arial" w:hAnsi="Arial" w:cs="Arial"/>
          <w:sz w:val="20"/>
          <w:szCs w:val="20"/>
        </w:rPr>
      </w:pPr>
      <w:bookmarkStart w:id="1309" w:name="_Ref133343913"/>
      <w:r w:rsidRPr="00AC4AEA">
        <w:rPr>
          <w:rFonts w:ascii="Arial" w:hAnsi="Arial" w:cs="Arial"/>
          <w:sz w:val="20"/>
          <w:szCs w:val="20"/>
        </w:rPr>
        <w:t xml:space="preserve">Cuando una entidad opte por consolidar las subsidiarias </w:t>
      </w:r>
      <w:r w:rsidR="0032297E" w:rsidRPr="00AC4AEA">
        <w:rPr>
          <w:rFonts w:ascii="Arial" w:hAnsi="Arial" w:cs="Arial"/>
          <w:sz w:val="20"/>
          <w:szCs w:val="20"/>
        </w:rPr>
        <w:t xml:space="preserve">de acuerdo con el enfoque indicado en el inciso b) (ii) del párrafo anterior, presentará los primeros </w:t>
      </w:r>
      <w:r w:rsidR="0032297E" w:rsidRPr="00AC4AEA">
        <w:rPr>
          <w:rFonts w:ascii="Arial" w:hAnsi="Arial" w:cs="Arial"/>
          <w:b/>
          <w:bCs/>
          <w:sz w:val="20"/>
          <w:szCs w:val="20"/>
        </w:rPr>
        <w:t>estados contables consolidados</w:t>
      </w:r>
      <w:r w:rsidR="0032297E" w:rsidRPr="00AC4AEA">
        <w:rPr>
          <w:rFonts w:ascii="Arial" w:hAnsi="Arial" w:cs="Arial"/>
          <w:sz w:val="20"/>
          <w:szCs w:val="20"/>
        </w:rPr>
        <w:t xml:space="preserve"> de acuerdo con esta Resolución Técnica sin incluir información comparativa, en la medida en que dicha información coincida con la contenida en los </w:t>
      </w:r>
      <w:r w:rsidR="0032297E" w:rsidRPr="00AC4AEA">
        <w:rPr>
          <w:rFonts w:ascii="Arial" w:hAnsi="Arial" w:cs="Arial"/>
          <w:b/>
          <w:bCs/>
          <w:sz w:val="20"/>
          <w:szCs w:val="20"/>
        </w:rPr>
        <w:t xml:space="preserve">estados </w:t>
      </w:r>
      <w:r w:rsidR="0032297E" w:rsidRPr="0062355E">
        <w:rPr>
          <w:rFonts w:ascii="Arial" w:hAnsi="Arial" w:cs="Arial"/>
          <w:b/>
          <w:bCs/>
          <w:sz w:val="20"/>
          <w:szCs w:val="20"/>
        </w:rPr>
        <w:t>contables separados</w:t>
      </w:r>
      <w:r w:rsidR="0032297E" w:rsidRPr="00AC4AEA">
        <w:rPr>
          <w:rFonts w:ascii="Arial" w:hAnsi="Arial" w:cs="Arial"/>
          <w:sz w:val="20"/>
          <w:szCs w:val="20"/>
        </w:rPr>
        <w:t xml:space="preserve"> de la misma entidad.</w:t>
      </w:r>
    </w:p>
    <w:p w:rsidR="00E60566" w:rsidRPr="00AC4AEA" w:rsidRDefault="001877C2"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Además de lo establecido por esta Resolución Técnica, una entidad revelará las notas de los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w:t>
      </w:r>
      <w:r w:rsidR="00E60566" w:rsidRPr="00AC4AEA">
        <w:rPr>
          <w:rFonts w:ascii="Arial" w:hAnsi="Arial" w:cs="Arial"/>
          <w:sz w:val="20"/>
          <w:szCs w:val="20"/>
        </w:rPr>
        <w:t>:</w:t>
      </w:r>
      <w:bookmarkEnd w:id="1309"/>
      <w:r w:rsidR="006F2C57">
        <w:rPr>
          <w:rFonts w:ascii="Arial" w:hAnsi="Arial" w:cs="Arial"/>
          <w:sz w:val="20"/>
          <w:szCs w:val="20"/>
        </w:rPr>
        <w:t xml:space="preserve"> </w:t>
      </w:r>
    </w:p>
    <w:p w:rsidR="00E60566" w:rsidRPr="00AC4AEA" w:rsidRDefault="00E60566" w:rsidP="00C01B25">
      <w:pPr>
        <w:pStyle w:val="NUA-Nivel1"/>
        <w:numPr>
          <w:ilvl w:val="0"/>
          <w:numId w:val="554"/>
        </w:numPr>
        <w:ind w:left="1560" w:hanging="851"/>
      </w:pPr>
      <w:r w:rsidRPr="00AC4AEA">
        <w:lastRenderedPageBreak/>
        <w:t xml:space="preserve">las principales partidas que fueron afectadas por cambios en criterios de consolidación; </w:t>
      </w:r>
    </w:p>
    <w:p w:rsidR="00E60566" w:rsidRPr="00AC4AEA" w:rsidRDefault="008E610E" w:rsidP="00C01B25">
      <w:pPr>
        <w:pStyle w:val="NUA-Nivel1"/>
        <w:numPr>
          <w:ilvl w:val="0"/>
          <w:numId w:val="554"/>
        </w:numPr>
        <w:ind w:left="1560" w:hanging="851"/>
      </w:pPr>
      <w:r w:rsidRPr="00AC4AEA">
        <w:t xml:space="preserve">en caso de corresponder, que </w:t>
      </w:r>
      <w:r w:rsidR="00E60566" w:rsidRPr="00AC4AEA">
        <w:t>los criterios aplicados a las cifras comparativas difieren de los utilizados para la preparación de las cifras del período actual</w:t>
      </w:r>
      <w:r w:rsidRPr="00AC4AEA">
        <w:t>,</w:t>
      </w:r>
      <w:r w:rsidR="00EC64C7" w:rsidRPr="00AC4AEA">
        <w:t xml:space="preserve"> y</w:t>
      </w:r>
      <w:r w:rsidR="00E60566" w:rsidRPr="00AC4AEA">
        <w:t xml:space="preserve"> tal hecho deberá ser considerado al analizar esos </w:t>
      </w:r>
      <w:r w:rsidR="00E60566" w:rsidRPr="00AC4AEA">
        <w:rPr>
          <w:b/>
          <w:bCs/>
        </w:rPr>
        <w:t>estados contables</w:t>
      </w:r>
      <w:r w:rsidR="00E60566" w:rsidRPr="00AC4AEA">
        <w:t xml:space="preserve">; y </w:t>
      </w:r>
    </w:p>
    <w:p w:rsidR="00E60566" w:rsidRPr="00AC4AEA" w:rsidRDefault="00E60566" w:rsidP="00C01B25">
      <w:pPr>
        <w:pStyle w:val="NUA-Nivel1"/>
        <w:numPr>
          <w:ilvl w:val="0"/>
          <w:numId w:val="554"/>
        </w:numPr>
        <w:ind w:left="1560" w:hanging="851"/>
      </w:pPr>
      <w:r w:rsidRPr="00AC4AEA">
        <w:t xml:space="preserve">los rubros del estado de situación patrimonial y las partidas del estado de resultados afectados por la diferencia de criterios referida en el inciso anterior. </w:t>
      </w:r>
    </w:p>
    <w:p w:rsidR="002E4F8B" w:rsidRPr="00AC4AEA" w:rsidRDefault="002E4F8B" w:rsidP="00A318EA">
      <w:pPr>
        <w:pStyle w:val="A-Normal11"/>
        <w:jc w:val="both"/>
        <w:rPr>
          <w:rFonts w:ascii="Arial" w:hAnsi="Arial" w:cs="Arial"/>
          <w:sz w:val="20"/>
        </w:rPr>
      </w:pPr>
    </w:p>
    <w:p w:rsidR="00D73211" w:rsidRPr="00AC4AEA" w:rsidRDefault="008D633A" w:rsidP="002F10C5">
      <w:pPr>
        <w:pStyle w:val="Ttulo3"/>
      </w:pPr>
      <w:bookmarkStart w:id="1310" w:name="_Toc139357104"/>
      <w:r w:rsidRPr="00AC4AEA">
        <w:t xml:space="preserve">Negocios </w:t>
      </w:r>
      <w:r w:rsidR="00435451" w:rsidRPr="00AC4AEA">
        <w:t>c</w:t>
      </w:r>
      <w:r w:rsidRPr="00AC4AEA">
        <w:t>onjuntos</w:t>
      </w:r>
      <w:bookmarkEnd w:id="1310"/>
    </w:p>
    <w:p w:rsidR="00D73211" w:rsidRPr="00AC4AEA" w:rsidRDefault="00F7175F"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En los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 una entidad</w:t>
      </w:r>
      <w:r w:rsidR="00D73211" w:rsidRPr="00AC4AEA">
        <w:rPr>
          <w:rFonts w:ascii="Arial" w:hAnsi="Arial" w:cs="Arial"/>
          <w:sz w:val="20"/>
          <w:szCs w:val="20"/>
        </w:rPr>
        <w:t>:</w:t>
      </w:r>
      <w:r w:rsidR="006F2C57">
        <w:rPr>
          <w:rFonts w:ascii="Arial" w:hAnsi="Arial" w:cs="Arial"/>
          <w:sz w:val="20"/>
          <w:szCs w:val="20"/>
        </w:rPr>
        <w:t xml:space="preserve"> </w:t>
      </w:r>
    </w:p>
    <w:p w:rsidR="00C217F7" w:rsidRPr="00AC4AEA" w:rsidRDefault="00C217F7" w:rsidP="00C01B25">
      <w:pPr>
        <w:pStyle w:val="NUA-Nivel1"/>
        <w:numPr>
          <w:ilvl w:val="0"/>
          <w:numId w:val="622"/>
        </w:numPr>
        <w:ind w:left="1560" w:hanging="851"/>
      </w:pPr>
      <w:r w:rsidRPr="00AC4AEA">
        <w:t>en la fecha de aplicación inicial,</w:t>
      </w:r>
      <w:r w:rsidR="00D73211" w:rsidRPr="00AC4AEA">
        <w:t xml:space="preserve"> </w:t>
      </w:r>
    </w:p>
    <w:p w:rsidR="00D73211" w:rsidRPr="00AC4AEA" w:rsidRDefault="006E0D0B" w:rsidP="00C01B25">
      <w:pPr>
        <w:pStyle w:val="NUA-Nivel1"/>
        <w:numPr>
          <w:ilvl w:val="1"/>
          <w:numId w:val="622"/>
        </w:numPr>
        <w:ind w:left="2665" w:hanging="851"/>
      </w:pPr>
      <w:r w:rsidRPr="00AC4AEA">
        <w:t xml:space="preserve">evaluará </w:t>
      </w:r>
      <w:r w:rsidR="00D73211" w:rsidRPr="00AC4AEA">
        <w:t xml:space="preserve">los negocios conjuntos en los que participa, empleando los párrafos </w:t>
      </w:r>
      <w:fldSimple w:instr=" REF _Ref132050447 \r \h  \* MERGEFORMAT ">
        <w:r w:rsidR="00D33A5D">
          <w:t>812</w:t>
        </w:r>
      </w:fldSimple>
      <w:r w:rsidR="00D73211" w:rsidRPr="00AC4AEA">
        <w:t xml:space="preserve"> a </w:t>
      </w:r>
      <w:fldSimple w:instr=" REF _Ref132053212 \r \h  \* MERGEFORMAT ">
        <w:r w:rsidR="00D33A5D">
          <w:t>815</w:t>
        </w:r>
      </w:fldSimple>
      <w:r w:rsidRPr="00AC4AEA">
        <w:t>;</w:t>
      </w:r>
    </w:p>
    <w:p w:rsidR="006E0D0B" w:rsidRPr="00AC4AEA" w:rsidRDefault="006E0D0B" w:rsidP="00C01B25">
      <w:pPr>
        <w:pStyle w:val="NUA-Nivel1"/>
        <w:numPr>
          <w:ilvl w:val="1"/>
          <w:numId w:val="622"/>
        </w:numPr>
        <w:ind w:left="2665" w:hanging="851"/>
      </w:pPr>
      <w:r w:rsidRPr="00AC4AEA">
        <w:t xml:space="preserve">clasificará todos los negocios conjuntos de los que participa a esa fecha, de acuerdo con el párrafo </w:t>
      </w:r>
      <w:fldSimple w:instr=" REF _Ref132050457 \r \h  \* MERGEFORMAT ">
        <w:r w:rsidR="00D33A5D">
          <w:t>816</w:t>
        </w:r>
      </w:fldSimple>
    </w:p>
    <w:p w:rsidR="004D5D08" w:rsidRPr="00AC4AEA" w:rsidRDefault="00D73211" w:rsidP="00C01B25">
      <w:pPr>
        <w:pStyle w:val="NUA-Nivel1"/>
        <w:numPr>
          <w:ilvl w:val="0"/>
          <w:numId w:val="622"/>
        </w:numPr>
        <w:ind w:left="1560" w:hanging="851"/>
      </w:pPr>
      <w:r w:rsidRPr="00AC4AEA">
        <w:t>medirá todos los negocios conjuntos</w:t>
      </w:r>
      <w:r w:rsidR="004D5D08" w:rsidRPr="00AC4AEA">
        <w:t>, de conformidad con lo establecido en la presente Resolución Técnica:</w:t>
      </w:r>
    </w:p>
    <w:p w:rsidR="004D5D08" w:rsidRPr="00AC4AEA" w:rsidRDefault="004D5D08" w:rsidP="00C01B25">
      <w:pPr>
        <w:pStyle w:val="Prrafodelista"/>
        <w:numPr>
          <w:ilvl w:val="1"/>
          <w:numId w:val="622"/>
        </w:numPr>
        <w:spacing w:after="120"/>
        <w:ind w:left="2665" w:hanging="851"/>
        <w:contextualSpacing w:val="0"/>
        <w:jc w:val="both"/>
        <w:rPr>
          <w:rFonts w:ascii="Arial" w:hAnsi="Arial" w:cs="Arial"/>
          <w:sz w:val="20"/>
          <w:szCs w:val="20"/>
        </w:rPr>
      </w:pPr>
      <w:r w:rsidRPr="00AC4AEA">
        <w:rPr>
          <w:rFonts w:ascii="Arial" w:hAnsi="Arial" w:cs="Arial"/>
          <w:sz w:val="20"/>
          <w:szCs w:val="20"/>
        </w:rPr>
        <w:t xml:space="preserve">a partir de la fecha de inicio del año comparativo, cuando haya seleccionado enfoque retroactivo integral [ver los párrafos </w:t>
      </w:r>
      <w:fldSimple w:instr=" REF _Ref136252917 \r \h  \* MERGEFORMAT ">
        <w:r w:rsidR="00D33A5D" w:rsidRPr="00D33A5D">
          <w:rPr>
            <w:rFonts w:ascii="Arial" w:hAnsi="Arial" w:cs="Arial"/>
            <w:sz w:val="20"/>
            <w:szCs w:val="20"/>
          </w:rPr>
          <w:t>A11</w:t>
        </w:r>
      </w:fldSimple>
      <w:r w:rsidRPr="00AC4AEA">
        <w:rPr>
          <w:rFonts w:ascii="Arial" w:hAnsi="Arial" w:cs="Arial"/>
          <w:sz w:val="20"/>
          <w:szCs w:val="20"/>
        </w:rPr>
        <w:t xml:space="preserve"> y </w:t>
      </w:r>
      <w:fldSimple w:instr=" REF _Ref136252919 \r \h  \* MERGEFORMAT ">
        <w:r w:rsidR="00D33A5D" w:rsidRPr="00D33A5D">
          <w:rPr>
            <w:rFonts w:ascii="Arial" w:hAnsi="Arial" w:cs="Arial"/>
            <w:sz w:val="20"/>
            <w:szCs w:val="20"/>
          </w:rPr>
          <w:t>A12</w:t>
        </w:r>
      </w:fldSimple>
      <w:r w:rsidRPr="00AC4AEA">
        <w:rPr>
          <w:rFonts w:ascii="Arial" w:hAnsi="Arial" w:cs="Arial"/>
          <w:sz w:val="20"/>
          <w:szCs w:val="20"/>
        </w:rPr>
        <w:t xml:space="preserve">]; o </w:t>
      </w:r>
    </w:p>
    <w:p w:rsidR="004D5D08" w:rsidRPr="00AC4AEA" w:rsidRDefault="004D5D08" w:rsidP="00C01B25">
      <w:pPr>
        <w:pStyle w:val="Prrafodelista"/>
        <w:numPr>
          <w:ilvl w:val="1"/>
          <w:numId w:val="622"/>
        </w:numPr>
        <w:spacing w:after="120"/>
        <w:ind w:left="2665" w:hanging="851"/>
        <w:contextualSpacing w:val="0"/>
        <w:jc w:val="both"/>
        <w:rPr>
          <w:rFonts w:ascii="Arial" w:hAnsi="Arial" w:cs="Arial"/>
          <w:sz w:val="20"/>
          <w:szCs w:val="20"/>
        </w:rPr>
      </w:pPr>
      <w:r w:rsidRPr="00AC4AEA">
        <w:rPr>
          <w:rFonts w:ascii="Arial" w:hAnsi="Arial" w:cs="Arial"/>
          <w:sz w:val="20"/>
          <w:szCs w:val="20"/>
        </w:rPr>
        <w:t xml:space="preserve">a partir de la fecha de aplicación inicial, cuando haya seleccionado el enfoque retroactivo simplificado [ver los párrafos </w:t>
      </w:r>
      <w:fldSimple w:instr=" REF _Ref136252924 \r \h  \* MERGEFORMAT ">
        <w:r w:rsidR="00D33A5D" w:rsidRPr="00D33A5D">
          <w:rPr>
            <w:rFonts w:ascii="Arial" w:hAnsi="Arial" w:cs="Arial"/>
            <w:sz w:val="20"/>
            <w:szCs w:val="20"/>
          </w:rPr>
          <w:t>A13</w:t>
        </w:r>
      </w:fldSimple>
      <w:r w:rsidRPr="00AC4AEA">
        <w:rPr>
          <w:rFonts w:ascii="Arial" w:hAnsi="Arial" w:cs="Arial"/>
          <w:sz w:val="20"/>
          <w:szCs w:val="20"/>
        </w:rPr>
        <w:t xml:space="preserve"> y </w:t>
      </w:r>
      <w:fldSimple w:instr=" REF _Ref136252927 \r \h  \* MERGEFORMAT ">
        <w:r w:rsidR="00D33A5D" w:rsidRPr="00D33A5D">
          <w:rPr>
            <w:rFonts w:ascii="Arial" w:hAnsi="Arial" w:cs="Arial"/>
            <w:sz w:val="20"/>
            <w:szCs w:val="20"/>
          </w:rPr>
          <w:t>A14</w:t>
        </w:r>
      </w:fldSimple>
      <w:r w:rsidRPr="00AC4AEA">
        <w:rPr>
          <w:rFonts w:ascii="Arial" w:hAnsi="Arial" w:cs="Arial"/>
          <w:sz w:val="20"/>
          <w:szCs w:val="20"/>
        </w:rPr>
        <w:t xml:space="preserve">]. </w:t>
      </w:r>
    </w:p>
    <w:p w:rsidR="00D73211" w:rsidRPr="00AC4AEA" w:rsidRDefault="00D73211" w:rsidP="004D5D08">
      <w:pPr>
        <w:pStyle w:val="NUA-Nivel1"/>
        <w:numPr>
          <w:ilvl w:val="0"/>
          <w:numId w:val="0"/>
        </w:numPr>
        <w:ind w:left="1723"/>
      </w:pPr>
    </w:p>
    <w:p w:rsidR="00D73211" w:rsidRPr="00AC4AEA" w:rsidRDefault="00603F5F"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Además de lo establecido por esta Resolución Técnica, una entidad revelará las notas de los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w:t>
      </w:r>
      <w:r w:rsidR="00D73211" w:rsidRPr="00AC4AEA">
        <w:rPr>
          <w:rFonts w:ascii="Arial" w:hAnsi="Arial" w:cs="Arial"/>
          <w:sz w:val="20"/>
          <w:szCs w:val="20"/>
        </w:rPr>
        <w:t>:</w:t>
      </w:r>
      <w:r w:rsidR="006F2C57">
        <w:rPr>
          <w:rFonts w:ascii="Arial" w:hAnsi="Arial" w:cs="Arial"/>
          <w:sz w:val="20"/>
          <w:szCs w:val="20"/>
        </w:rPr>
        <w:t xml:space="preserve"> </w:t>
      </w:r>
    </w:p>
    <w:p w:rsidR="00D73211" w:rsidRPr="00AC4AEA" w:rsidRDefault="004D5D08" w:rsidP="00C01B25">
      <w:pPr>
        <w:pStyle w:val="NUA-Nivel1"/>
        <w:numPr>
          <w:ilvl w:val="0"/>
          <w:numId w:val="623"/>
        </w:numPr>
        <w:ind w:left="1134"/>
      </w:pPr>
      <w:r w:rsidRPr="00AC4AEA">
        <w:t xml:space="preserve">de corresponder, </w:t>
      </w:r>
      <w:r w:rsidR="00D73211" w:rsidRPr="00AC4AEA">
        <w:t xml:space="preserve">si los criterios aplicados a las cifras comparativas difieren de los utilizados para la preparación de las cifras del período actual y, en el caso de que así fuera, que tal hecho deberá ser considerado al analizar esos </w:t>
      </w:r>
      <w:r w:rsidR="00D73211" w:rsidRPr="00AC4AEA">
        <w:rPr>
          <w:b/>
          <w:bCs/>
        </w:rPr>
        <w:t>estados contables</w:t>
      </w:r>
      <w:r w:rsidR="00D73211" w:rsidRPr="00AC4AEA">
        <w:t xml:space="preserve">; y </w:t>
      </w:r>
    </w:p>
    <w:p w:rsidR="00D73211" w:rsidRPr="00AC4AEA" w:rsidRDefault="00D73211" w:rsidP="00C01B25">
      <w:pPr>
        <w:pStyle w:val="NUA-Nivel1"/>
        <w:numPr>
          <w:ilvl w:val="0"/>
          <w:numId w:val="623"/>
        </w:numPr>
        <w:ind w:left="1134"/>
      </w:pPr>
      <w:r w:rsidRPr="00AC4AEA">
        <w:t xml:space="preserve">los rubros del estado de situación patrimonial y las partidas del estado de resultados afectados por la diferencia de criterios referida en el inciso anterior. </w:t>
      </w:r>
    </w:p>
    <w:p w:rsidR="00D73211" w:rsidRPr="00AC4AEA" w:rsidRDefault="00D73211" w:rsidP="00A318EA">
      <w:pPr>
        <w:spacing w:after="120" w:line="312" w:lineRule="auto"/>
        <w:jc w:val="both"/>
        <w:rPr>
          <w:rFonts w:ascii="Arial" w:hAnsi="Arial" w:cs="Arial"/>
          <w:b/>
          <w:caps/>
          <w:kern w:val="28"/>
          <w:sz w:val="20"/>
          <w:szCs w:val="20"/>
          <w:lang w:val="es-ES"/>
        </w:rPr>
      </w:pPr>
    </w:p>
    <w:p w:rsidR="006F297B" w:rsidRPr="00AC4AEA" w:rsidRDefault="006F297B" w:rsidP="002F10C5">
      <w:pPr>
        <w:pStyle w:val="Ttulo3"/>
      </w:pPr>
      <w:bookmarkStart w:id="1311" w:name="_Toc139357105"/>
      <w:r w:rsidRPr="00AC4AEA">
        <w:t>Participaciones en subsidiarias, asociadas y negocios conjuntos societarios</w:t>
      </w:r>
      <w:bookmarkEnd w:id="1311"/>
      <w:r w:rsidRPr="00AC4AEA">
        <w:t xml:space="preserve"> </w:t>
      </w:r>
    </w:p>
    <w:p w:rsidR="006F297B" w:rsidRPr="00AC4AEA" w:rsidRDefault="004D5D08" w:rsidP="00C01B25">
      <w:pPr>
        <w:pStyle w:val="Prrafodelista"/>
        <w:numPr>
          <w:ilvl w:val="0"/>
          <w:numId w:val="658"/>
        </w:numPr>
        <w:spacing w:after="120"/>
        <w:ind w:left="709" w:hanging="709"/>
        <w:contextualSpacing w:val="0"/>
        <w:jc w:val="both"/>
        <w:rPr>
          <w:rFonts w:ascii="Arial" w:eastAsia="Times New Roman" w:hAnsi="Arial" w:cs="Arial"/>
          <w:sz w:val="20"/>
          <w:szCs w:val="20"/>
          <w:lang w:eastAsia="es-AR"/>
        </w:rPr>
      </w:pPr>
      <w:r w:rsidRPr="00AC4AEA">
        <w:rPr>
          <w:rFonts w:ascii="Arial" w:hAnsi="Arial" w:cs="Arial"/>
          <w:sz w:val="20"/>
          <w:szCs w:val="20"/>
        </w:rPr>
        <w:t xml:space="preserve">En los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 una entidad</w:t>
      </w:r>
      <w:r w:rsidR="006F297B" w:rsidRPr="00AC4AEA">
        <w:rPr>
          <w:rFonts w:ascii="Arial" w:hAnsi="Arial" w:cs="Arial"/>
          <w:sz w:val="20"/>
          <w:szCs w:val="20"/>
        </w:rPr>
        <w:t xml:space="preserve">, una entidad medirá todas las participaciones dentro del alcance </w:t>
      </w:r>
      <w:r w:rsidR="006F297B" w:rsidRPr="00AC4AEA">
        <w:rPr>
          <w:rFonts w:ascii="Arial" w:hAnsi="Arial" w:cs="Arial"/>
          <w:sz w:val="20"/>
          <w:szCs w:val="20"/>
        </w:rPr>
        <w:lastRenderedPageBreak/>
        <w:t xml:space="preserve">de </w:t>
      </w:r>
      <w:r w:rsidR="00617795" w:rsidRPr="00AC4AEA">
        <w:rPr>
          <w:rFonts w:ascii="Arial" w:hAnsi="Arial" w:cs="Arial"/>
          <w:sz w:val="20"/>
          <w:szCs w:val="20"/>
        </w:rPr>
        <w:t>l</w:t>
      </w:r>
      <w:r w:rsidR="006F297B" w:rsidRPr="00AC4AEA">
        <w:rPr>
          <w:rFonts w:ascii="Arial" w:hAnsi="Arial" w:cs="Arial"/>
          <w:sz w:val="20"/>
          <w:szCs w:val="20"/>
        </w:rPr>
        <w:t xml:space="preserve">a sección </w:t>
      </w:r>
      <w:r w:rsidRPr="00AC4AEA">
        <w:rPr>
          <w:rFonts w:ascii="Arial" w:hAnsi="Arial" w:cs="Arial"/>
          <w:sz w:val="20"/>
          <w:szCs w:val="20"/>
        </w:rPr>
        <w:t>“</w:t>
      </w:r>
      <w:r w:rsidRPr="00AC4AEA">
        <w:rPr>
          <w:rFonts w:ascii="Arial" w:hAnsi="Arial" w:cs="Arial"/>
          <w:sz w:val="20"/>
          <w:szCs w:val="20"/>
          <w:u w:val="single"/>
        </w:rPr>
        <w:t>Participaciones en subsidiarias, asociadas y negocios conjuntos societarios</w:t>
      </w:r>
      <w:r w:rsidRPr="00AC4AEA">
        <w:rPr>
          <w:rFonts w:ascii="Arial" w:hAnsi="Arial" w:cs="Arial"/>
          <w:sz w:val="20"/>
          <w:szCs w:val="20"/>
        </w:rPr>
        <w:t xml:space="preserve">” [ver los párrafos </w:t>
      </w:r>
      <w:fldSimple w:instr=" REF _Ref136255365 \r \h  \* MERGEFORMAT ">
        <w:r w:rsidR="00D33A5D" w:rsidRPr="00D33A5D">
          <w:rPr>
            <w:rFonts w:ascii="Arial" w:hAnsi="Arial" w:cs="Arial"/>
            <w:sz w:val="20"/>
            <w:szCs w:val="20"/>
          </w:rPr>
          <w:t>824</w:t>
        </w:r>
      </w:fldSimple>
      <w:r w:rsidR="002D5FF5" w:rsidRPr="00AC4AEA">
        <w:rPr>
          <w:rFonts w:ascii="Arial" w:hAnsi="Arial" w:cs="Arial"/>
          <w:sz w:val="20"/>
          <w:szCs w:val="20"/>
        </w:rPr>
        <w:t xml:space="preserve"> a </w:t>
      </w:r>
      <w:fldSimple w:instr=" REF _Ref132050929 \r \h  \* MERGEFORMAT ">
        <w:r w:rsidR="00D33A5D" w:rsidRPr="00D33A5D">
          <w:rPr>
            <w:rFonts w:ascii="Arial" w:hAnsi="Arial" w:cs="Arial"/>
            <w:sz w:val="20"/>
            <w:szCs w:val="20"/>
          </w:rPr>
          <w:t>871</w:t>
        </w:r>
      </w:fldSimple>
      <w:r w:rsidR="002D5FF5" w:rsidRPr="00AC4AEA">
        <w:rPr>
          <w:rFonts w:ascii="Arial" w:hAnsi="Arial" w:cs="Arial"/>
          <w:sz w:val="20"/>
          <w:szCs w:val="20"/>
        </w:rPr>
        <w:t>]</w:t>
      </w:r>
      <w:r w:rsidR="006F297B" w:rsidRPr="00AC4AEA">
        <w:rPr>
          <w:rFonts w:ascii="Arial" w:hAnsi="Arial" w:cs="Arial"/>
          <w:sz w:val="20"/>
          <w:szCs w:val="20"/>
        </w:rPr>
        <w:t>,</w:t>
      </w:r>
      <w:r w:rsidR="002D5FF5" w:rsidRPr="00AC4AEA">
        <w:rPr>
          <w:rFonts w:ascii="Arial" w:hAnsi="Arial" w:cs="Arial"/>
          <w:sz w:val="20"/>
          <w:szCs w:val="20"/>
        </w:rPr>
        <w:t xml:space="preserve"> de forma consistente con el enfoque seleccionado de acuerdo con el presente Apéndice [ver los párrafos </w:t>
      </w:r>
      <w:fldSimple w:instr=" REF _Ref136252917 \r \h  \* MERGEFORMAT ">
        <w:r w:rsidR="00D33A5D" w:rsidRPr="00D33A5D">
          <w:rPr>
            <w:rFonts w:ascii="Arial" w:hAnsi="Arial" w:cs="Arial"/>
            <w:sz w:val="20"/>
            <w:szCs w:val="20"/>
          </w:rPr>
          <w:t>A11</w:t>
        </w:r>
      </w:fldSimple>
      <w:r w:rsidR="002D5FF5" w:rsidRPr="00AC4AEA">
        <w:rPr>
          <w:rFonts w:ascii="Arial" w:hAnsi="Arial" w:cs="Arial"/>
          <w:sz w:val="20"/>
          <w:szCs w:val="20"/>
        </w:rPr>
        <w:t xml:space="preserve"> y </w:t>
      </w:r>
      <w:fldSimple w:instr=" REF _Ref136252919 \r \h  \* MERGEFORMAT ">
        <w:r w:rsidR="00D33A5D" w:rsidRPr="00D33A5D">
          <w:rPr>
            <w:rFonts w:ascii="Arial" w:hAnsi="Arial" w:cs="Arial"/>
            <w:sz w:val="20"/>
            <w:szCs w:val="20"/>
          </w:rPr>
          <w:t>A12</w:t>
        </w:r>
      </w:fldSimple>
      <w:r w:rsidR="006845A0" w:rsidRPr="00AC4AEA">
        <w:rPr>
          <w:rFonts w:ascii="Arial" w:hAnsi="Arial" w:cs="Arial"/>
          <w:sz w:val="20"/>
          <w:szCs w:val="20"/>
        </w:rPr>
        <w:t xml:space="preserve">, y </w:t>
      </w:r>
      <w:fldSimple w:instr=" REF _Ref136252924 \r \h  \* MERGEFORMAT ">
        <w:r w:rsidR="00D33A5D" w:rsidRPr="00D33A5D">
          <w:rPr>
            <w:rFonts w:ascii="Arial" w:hAnsi="Arial" w:cs="Arial"/>
            <w:sz w:val="20"/>
            <w:szCs w:val="20"/>
          </w:rPr>
          <w:t>A13</w:t>
        </w:r>
      </w:fldSimple>
      <w:r w:rsidR="006845A0" w:rsidRPr="00AC4AEA">
        <w:rPr>
          <w:rFonts w:ascii="Arial" w:hAnsi="Arial" w:cs="Arial"/>
          <w:sz w:val="20"/>
          <w:szCs w:val="20"/>
        </w:rPr>
        <w:t xml:space="preserve"> y </w:t>
      </w:r>
      <w:fldSimple w:instr=" REF _Ref136252927 \r \h  \* MERGEFORMAT ">
        <w:r w:rsidR="00D33A5D" w:rsidRPr="00D33A5D">
          <w:rPr>
            <w:rFonts w:ascii="Arial" w:hAnsi="Arial" w:cs="Arial"/>
            <w:sz w:val="20"/>
            <w:szCs w:val="20"/>
          </w:rPr>
          <w:t>A14</w:t>
        </w:r>
      </w:fldSimple>
      <w:r w:rsidR="006845A0" w:rsidRPr="00AC4AEA">
        <w:rPr>
          <w:rFonts w:ascii="Arial" w:hAnsi="Arial" w:cs="Arial"/>
          <w:sz w:val="20"/>
          <w:szCs w:val="20"/>
        </w:rPr>
        <w:t>],</w:t>
      </w:r>
      <w:r w:rsidR="006F297B" w:rsidRPr="00AC4AEA">
        <w:rPr>
          <w:rFonts w:ascii="Arial" w:hAnsi="Arial" w:cs="Arial"/>
          <w:sz w:val="20"/>
          <w:szCs w:val="20"/>
        </w:rPr>
        <w:t xml:space="preserve"> </w:t>
      </w:r>
      <w:r w:rsidR="006845A0" w:rsidRPr="00AC4AEA">
        <w:rPr>
          <w:rFonts w:ascii="Arial" w:hAnsi="Arial" w:cs="Arial"/>
          <w:sz w:val="20"/>
          <w:szCs w:val="20"/>
        </w:rPr>
        <w:t>e</w:t>
      </w:r>
      <w:r w:rsidR="006F297B" w:rsidRPr="00AC4AEA">
        <w:rPr>
          <w:rFonts w:ascii="Arial" w:hAnsi="Arial" w:cs="Arial"/>
          <w:sz w:val="20"/>
          <w:szCs w:val="20"/>
        </w:rPr>
        <w:t>xcep</w:t>
      </w:r>
      <w:r w:rsidR="006845A0" w:rsidRPr="00AC4AEA">
        <w:rPr>
          <w:rFonts w:ascii="Arial" w:hAnsi="Arial" w:cs="Arial"/>
          <w:sz w:val="20"/>
          <w:szCs w:val="20"/>
        </w:rPr>
        <w:t>to por lo</w:t>
      </w:r>
      <w:r w:rsidR="006F297B" w:rsidRPr="00AC4AEA">
        <w:rPr>
          <w:rFonts w:ascii="Arial" w:hAnsi="Arial" w:cs="Arial"/>
          <w:sz w:val="20"/>
          <w:szCs w:val="20"/>
        </w:rPr>
        <w:t xml:space="preserve"> establecid</w:t>
      </w:r>
      <w:r w:rsidR="006845A0" w:rsidRPr="00AC4AEA">
        <w:rPr>
          <w:rFonts w:ascii="Arial" w:hAnsi="Arial" w:cs="Arial"/>
          <w:sz w:val="20"/>
          <w:szCs w:val="20"/>
        </w:rPr>
        <w:t>o</w:t>
      </w:r>
      <w:r w:rsidR="006F297B" w:rsidRPr="00AC4AEA">
        <w:rPr>
          <w:rFonts w:ascii="Arial" w:hAnsi="Arial" w:cs="Arial"/>
          <w:sz w:val="20"/>
          <w:szCs w:val="20"/>
        </w:rPr>
        <w:t xml:space="preserve"> en el párrafo siguiente. </w:t>
      </w:r>
    </w:p>
    <w:p w:rsidR="006F297B" w:rsidRPr="00AC4AEA" w:rsidRDefault="006F297B" w:rsidP="00C01B25">
      <w:pPr>
        <w:pStyle w:val="Prrafodelista"/>
        <w:numPr>
          <w:ilvl w:val="0"/>
          <w:numId w:val="658"/>
        </w:numPr>
        <w:spacing w:after="120"/>
        <w:ind w:left="709" w:hanging="709"/>
        <w:contextualSpacing w:val="0"/>
        <w:jc w:val="both"/>
        <w:rPr>
          <w:rFonts w:ascii="Arial" w:hAnsi="Arial" w:cs="Arial"/>
          <w:sz w:val="20"/>
          <w:szCs w:val="20"/>
        </w:rPr>
      </w:pPr>
      <w:r w:rsidRPr="00AC4AEA">
        <w:rPr>
          <w:rFonts w:ascii="Arial" w:hAnsi="Arial" w:cs="Arial"/>
          <w:sz w:val="20"/>
          <w:szCs w:val="20"/>
        </w:rPr>
        <w:t xml:space="preserve">Una entidad no estará obligada a modificar, de forma retroactiva, aquellas participaciones dentro del alcance de </w:t>
      </w:r>
      <w:r w:rsidR="00617795" w:rsidRPr="00AC4AEA">
        <w:rPr>
          <w:rFonts w:ascii="Arial" w:hAnsi="Arial" w:cs="Arial"/>
          <w:sz w:val="20"/>
          <w:szCs w:val="20"/>
        </w:rPr>
        <w:t>la sección “</w:t>
      </w:r>
      <w:r w:rsidR="00617795" w:rsidRPr="00AC4AEA">
        <w:rPr>
          <w:rFonts w:ascii="Arial" w:hAnsi="Arial" w:cs="Arial"/>
          <w:sz w:val="20"/>
          <w:szCs w:val="20"/>
          <w:u w:val="single"/>
        </w:rPr>
        <w:t>Participaciones en subsidiarias, asociadas y negocios conjuntos societarios</w:t>
      </w:r>
      <w:r w:rsidR="00617795" w:rsidRPr="00AC4AEA">
        <w:rPr>
          <w:rFonts w:ascii="Arial" w:hAnsi="Arial" w:cs="Arial"/>
          <w:sz w:val="20"/>
          <w:szCs w:val="20"/>
        </w:rPr>
        <w:t xml:space="preserve">” [ver los párrafos </w:t>
      </w:r>
      <w:fldSimple w:instr=" REF _Ref136255365 \r \h  \* MERGEFORMAT ">
        <w:r w:rsidR="00D33A5D" w:rsidRPr="00D33A5D">
          <w:rPr>
            <w:rFonts w:ascii="Arial" w:hAnsi="Arial" w:cs="Arial"/>
            <w:sz w:val="20"/>
            <w:szCs w:val="20"/>
          </w:rPr>
          <w:t>824</w:t>
        </w:r>
      </w:fldSimple>
      <w:r w:rsidR="00617795" w:rsidRPr="00AC4AEA">
        <w:rPr>
          <w:rFonts w:ascii="Arial" w:hAnsi="Arial" w:cs="Arial"/>
          <w:sz w:val="20"/>
          <w:szCs w:val="20"/>
        </w:rPr>
        <w:t xml:space="preserve"> a </w:t>
      </w:r>
      <w:fldSimple w:instr=" REF _Ref132050929 \r \h  \* MERGEFORMAT ">
        <w:r w:rsidR="00D33A5D" w:rsidRPr="00D33A5D">
          <w:rPr>
            <w:rFonts w:ascii="Arial" w:hAnsi="Arial" w:cs="Arial"/>
            <w:sz w:val="20"/>
            <w:szCs w:val="20"/>
          </w:rPr>
          <w:t>871</w:t>
        </w:r>
      </w:fldSimple>
      <w:r w:rsidR="00617795" w:rsidRPr="00AC4AEA">
        <w:rPr>
          <w:rFonts w:ascii="Arial" w:hAnsi="Arial" w:cs="Arial"/>
          <w:sz w:val="20"/>
          <w:szCs w:val="20"/>
        </w:rPr>
        <w:t>]</w:t>
      </w:r>
      <w:r w:rsidRPr="00AC4AEA">
        <w:rPr>
          <w:rFonts w:ascii="Arial" w:hAnsi="Arial" w:cs="Arial"/>
          <w:sz w:val="20"/>
          <w:szCs w:val="20"/>
        </w:rPr>
        <w:t xml:space="preserve"> de las que no fuere parte en la fecha de aplicación inicial de la presente Resolución Técnica. </w:t>
      </w:r>
    </w:p>
    <w:p w:rsidR="006F297B" w:rsidRPr="00AC4AEA" w:rsidRDefault="006F297B" w:rsidP="00C01B25">
      <w:pPr>
        <w:pStyle w:val="Prrafodelista"/>
        <w:numPr>
          <w:ilvl w:val="0"/>
          <w:numId w:val="658"/>
        </w:numPr>
        <w:spacing w:after="120"/>
        <w:ind w:left="709" w:hanging="709"/>
        <w:contextualSpacing w:val="0"/>
        <w:jc w:val="both"/>
        <w:rPr>
          <w:rFonts w:ascii="Arial" w:hAnsi="Arial" w:cs="Arial"/>
          <w:sz w:val="20"/>
          <w:szCs w:val="20"/>
        </w:rPr>
      </w:pPr>
      <w:bookmarkStart w:id="1312" w:name="_Ref132052820"/>
      <w:r w:rsidRPr="00AC4AEA">
        <w:rPr>
          <w:rFonts w:ascii="Arial" w:hAnsi="Arial" w:cs="Arial"/>
          <w:sz w:val="20"/>
          <w:szCs w:val="20"/>
        </w:rPr>
        <w:t xml:space="preserve">Además de lo establecido por esta Resolución Técnica, una entidad revelará </w:t>
      </w:r>
      <w:r w:rsidR="00603F5F" w:rsidRPr="00AC4AEA">
        <w:rPr>
          <w:rFonts w:ascii="Arial" w:hAnsi="Arial" w:cs="Arial"/>
          <w:sz w:val="20"/>
          <w:szCs w:val="20"/>
        </w:rPr>
        <w:t xml:space="preserve">las notas de los primeros </w:t>
      </w:r>
      <w:r w:rsidR="00603F5F" w:rsidRPr="00AC4AEA">
        <w:rPr>
          <w:rFonts w:ascii="Arial" w:hAnsi="Arial" w:cs="Arial"/>
          <w:b/>
          <w:bCs/>
          <w:sz w:val="20"/>
          <w:szCs w:val="20"/>
        </w:rPr>
        <w:t>estados contables</w:t>
      </w:r>
      <w:r w:rsidR="00603F5F" w:rsidRPr="00AC4AEA">
        <w:rPr>
          <w:rFonts w:ascii="Arial" w:hAnsi="Arial" w:cs="Arial"/>
          <w:sz w:val="20"/>
          <w:szCs w:val="20"/>
        </w:rPr>
        <w:t xml:space="preserve"> preparados de acuerdo con esta Resolución Técnica</w:t>
      </w:r>
      <w:r w:rsidRPr="00AC4AEA">
        <w:rPr>
          <w:rFonts w:ascii="Arial" w:hAnsi="Arial" w:cs="Arial"/>
          <w:sz w:val="20"/>
          <w:szCs w:val="20"/>
        </w:rPr>
        <w:t>:</w:t>
      </w:r>
      <w:bookmarkEnd w:id="1312"/>
      <w:r w:rsidR="006F2C57">
        <w:rPr>
          <w:rFonts w:ascii="Arial" w:hAnsi="Arial" w:cs="Arial"/>
          <w:sz w:val="20"/>
          <w:szCs w:val="20"/>
        </w:rPr>
        <w:t xml:space="preserve"> </w:t>
      </w:r>
    </w:p>
    <w:p w:rsidR="006F297B" w:rsidRPr="00AC4AEA" w:rsidRDefault="006F297B" w:rsidP="00C01B25">
      <w:pPr>
        <w:pStyle w:val="NUA-Nivel1"/>
        <w:numPr>
          <w:ilvl w:val="0"/>
          <w:numId w:val="616"/>
        </w:numPr>
        <w:ind w:left="1276" w:hanging="578"/>
      </w:pPr>
      <w:r w:rsidRPr="00AC4AEA">
        <w:t xml:space="preserve">Las principales partidas que fueron afectadas por cambios en criterios para medir las participaciones dentro del alcance de esta sección. </w:t>
      </w:r>
    </w:p>
    <w:p w:rsidR="006F297B" w:rsidRPr="00AC4AEA" w:rsidRDefault="00AD2673" w:rsidP="00C01B25">
      <w:pPr>
        <w:pStyle w:val="NUA-Nivel1"/>
        <w:numPr>
          <w:ilvl w:val="0"/>
          <w:numId w:val="616"/>
        </w:numPr>
        <w:ind w:left="1276" w:hanging="578"/>
      </w:pPr>
      <w:r w:rsidRPr="00AC4AEA">
        <w:t>De corresponder, s</w:t>
      </w:r>
      <w:r w:rsidR="006F297B" w:rsidRPr="00AC4AEA">
        <w:t xml:space="preserve">i los criterios aplicados a las cifras comparativas difieren de los utilizados para la preparación de las cifras del período actual y, en caso de que así fuere, que tal hecho deberá ser considerado al analizar esos </w:t>
      </w:r>
      <w:r w:rsidR="006F297B" w:rsidRPr="00AC4AEA">
        <w:rPr>
          <w:b/>
          <w:bCs/>
        </w:rPr>
        <w:t>estados contables</w:t>
      </w:r>
      <w:r w:rsidR="006F297B" w:rsidRPr="00AC4AEA">
        <w:t xml:space="preserve">. </w:t>
      </w:r>
    </w:p>
    <w:p w:rsidR="006F297B" w:rsidRPr="00AC4AEA" w:rsidRDefault="006F297B" w:rsidP="00C01B25">
      <w:pPr>
        <w:pStyle w:val="NUA-Nivel1"/>
        <w:numPr>
          <w:ilvl w:val="0"/>
          <w:numId w:val="616"/>
        </w:numPr>
        <w:spacing w:after="164" w:line="256" w:lineRule="auto"/>
        <w:ind w:left="1276" w:hanging="578"/>
        <w:rPr>
          <w:b/>
          <w:bCs/>
        </w:rPr>
      </w:pPr>
      <w:r w:rsidRPr="00AC4AEA">
        <w:t>Los rubros del estado de situación patrimonial y las partidas del estado de resultados afectados por la diferencia de criterios referida en el inciso anterior.</w:t>
      </w:r>
      <w:r w:rsidR="006F2C57">
        <w:t xml:space="preserve"> </w:t>
      </w:r>
    </w:p>
    <w:p w:rsidR="006F297B" w:rsidRDefault="006F297B" w:rsidP="00A318EA">
      <w:pPr>
        <w:spacing w:after="120" w:line="312" w:lineRule="auto"/>
        <w:jc w:val="both"/>
        <w:rPr>
          <w:rFonts w:ascii="Arial" w:hAnsi="Arial" w:cs="Arial"/>
          <w:b/>
          <w:caps/>
          <w:kern w:val="28"/>
          <w:sz w:val="20"/>
          <w:szCs w:val="20"/>
        </w:rPr>
      </w:pPr>
    </w:p>
    <w:p w:rsidR="00B66CA2" w:rsidRPr="00AC4AEA" w:rsidRDefault="006C0BC1" w:rsidP="00B66CA2">
      <w:pPr>
        <w:pStyle w:val="Ttulo3"/>
      </w:pPr>
      <w:bookmarkStart w:id="1313" w:name="_Toc139357106"/>
      <w:r w:rsidRPr="006C0BC1">
        <w:t>Beneficios a los empleados posteriores a la terminación laboral y otros beneficios a largo plazo</w:t>
      </w:r>
      <w:bookmarkEnd w:id="1313"/>
      <w:r w:rsidR="00B66CA2" w:rsidRPr="00AC4AEA">
        <w:t xml:space="preserve"> </w:t>
      </w:r>
    </w:p>
    <w:p w:rsidR="007E14E0" w:rsidRPr="007E14E0" w:rsidRDefault="00C33566" w:rsidP="00C01B25">
      <w:pPr>
        <w:pStyle w:val="Prrafodelista"/>
        <w:numPr>
          <w:ilvl w:val="0"/>
          <w:numId w:val="658"/>
        </w:numPr>
        <w:spacing w:after="120"/>
        <w:ind w:left="709" w:hanging="709"/>
        <w:contextualSpacing w:val="0"/>
        <w:jc w:val="both"/>
        <w:rPr>
          <w:rFonts w:ascii="Arial" w:eastAsia="Times New Roman" w:hAnsi="Arial" w:cs="Arial"/>
          <w:sz w:val="20"/>
          <w:szCs w:val="20"/>
          <w:lang w:eastAsia="es-AR"/>
        </w:rPr>
      </w:pPr>
      <w:r>
        <w:rPr>
          <w:rFonts w:ascii="Arial" w:hAnsi="Arial" w:cs="Arial"/>
          <w:sz w:val="20"/>
          <w:szCs w:val="20"/>
        </w:rPr>
        <w:t xml:space="preserve">Al aplicar </w:t>
      </w:r>
      <w:r w:rsidR="00C00AF9">
        <w:rPr>
          <w:rFonts w:ascii="Arial" w:hAnsi="Arial" w:cs="Arial"/>
          <w:sz w:val="20"/>
          <w:szCs w:val="20"/>
        </w:rPr>
        <w:t xml:space="preserve">la sección </w:t>
      </w:r>
      <w:r w:rsidR="00C00AF9" w:rsidRPr="00AC4AEA">
        <w:rPr>
          <w:rFonts w:ascii="Arial" w:hAnsi="Arial" w:cs="Arial"/>
          <w:sz w:val="20"/>
          <w:szCs w:val="20"/>
        </w:rPr>
        <w:t>“</w:t>
      </w:r>
      <w:bookmarkStart w:id="1314" w:name="_Hlk136444791"/>
      <w:r w:rsidR="00C00AF9" w:rsidRPr="00AC4AEA">
        <w:rPr>
          <w:rFonts w:ascii="Arial" w:hAnsi="Arial" w:cs="Arial"/>
          <w:sz w:val="20"/>
          <w:szCs w:val="20"/>
          <w:u w:val="single"/>
        </w:rPr>
        <w:t>Beneficios a los empleados posteriores a la terminación laboral y otros beneficios a largo plazo</w:t>
      </w:r>
      <w:bookmarkEnd w:id="1314"/>
      <w:r w:rsidR="00C00AF9" w:rsidRPr="00AC4AEA">
        <w:rPr>
          <w:rFonts w:ascii="Arial" w:hAnsi="Arial" w:cs="Arial"/>
          <w:sz w:val="20"/>
          <w:szCs w:val="20"/>
        </w:rPr>
        <w:t xml:space="preserve">” [ver los párrafos </w:t>
      </w:r>
      <w:fldSimple w:instr=" REF _Ref132036558 \r \h  \* MERGEFORMAT ">
        <w:r w:rsidR="00D33A5D" w:rsidRPr="00D33A5D">
          <w:rPr>
            <w:rFonts w:ascii="Arial" w:hAnsi="Arial" w:cs="Arial"/>
            <w:sz w:val="20"/>
            <w:szCs w:val="20"/>
          </w:rPr>
          <w:t>872</w:t>
        </w:r>
      </w:fldSimple>
      <w:r w:rsidR="00C00AF9" w:rsidRPr="00AC4AEA">
        <w:rPr>
          <w:rFonts w:ascii="Arial" w:hAnsi="Arial" w:cs="Arial"/>
          <w:sz w:val="20"/>
          <w:szCs w:val="20"/>
        </w:rPr>
        <w:t xml:space="preserve"> a </w:t>
      </w:r>
      <w:fldSimple w:instr=" REF _Ref135045493 \r \h  \* MERGEFORMAT ">
        <w:r w:rsidR="00D33A5D" w:rsidRPr="00D33A5D">
          <w:rPr>
            <w:rFonts w:ascii="Arial" w:hAnsi="Arial" w:cs="Arial"/>
            <w:sz w:val="20"/>
            <w:szCs w:val="20"/>
          </w:rPr>
          <w:t>956</w:t>
        </w:r>
      </w:fldSimple>
      <w:r w:rsidR="00C00AF9" w:rsidRPr="00AC4AEA">
        <w:rPr>
          <w:rFonts w:ascii="Arial" w:hAnsi="Arial" w:cs="Arial"/>
          <w:sz w:val="20"/>
          <w:szCs w:val="20"/>
        </w:rPr>
        <w:t>]</w:t>
      </w:r>
      <w:r w:rsidR="00C00AF9">
        <w:rPr>
          <w:rFonts w:ascii="Arial" w:hAnsi="Arial" w:cs="Arial"/>
          <w:sz w:val="20"/>
          <w:szCs w:val="20"/>
        </w:rPr>
        <w:t xml:space="preserve"> e</w:t>
      </w:r>
      <w:r w:rsidR="00B66CA2" w:rsidRPr="00AC4AEA">
        <w:rPr>
          <w:rFonts w:ascii="Arial" w:hAnsi="Arial" w:cs="Arial"/>
          <w:sz w:val="20"/>
          <w:szCs w:val="20"/>
        </w:rPr>
        <w:t xml:space="preserve">n los primeros </w:t>
      </w:r>
      <w:r w:rsidR="00B66CA2" w:rsidRPr="00AC4AEA">
        <w:rPr>
          <w:rFonts w:ascii="Arial" w:hAnsi="Arial" w:cs="Arial"/>
          <w:b/>
          <w:bCs/>
          <w:sz w:val="20"/>
          <w:szCs w:val="20"/>
        </w:rPr>
        <w:t>estados contables</w:t>
      </w:r>
      <w:r w:rsidR="00B66CA2" w:rsidRPr="00AC4AEA">
        <w:rPr>
          <w:rFonts w:ascii="Arial" w:hAnsi="Arial" w:cs="Arial"/>
          <w:sz w:val="20"/>
          <w:szCs w:val="20"/>
        </w:rPr>
        <w:t xml:space="preserve"> preparados de acuerdo con esta Resolución Técnica, una entidad, </w:t>
      </w:r>
      <w:r w:rsidR="00C00AF9">
        <w:rPr>
          <w:rFonts w:ascii="Arial" w:hAnsi="Arial" w:cs="Arial"/>
          <w:sz w:val="20"/>
          <w:szCs w:val="20"/>
        </w:rPr>
        <w:t>imputará</w:t>
      </w:r>
      <w:r w:rsidR="00B66CA2" w:rsidRPr="00AC4AEA">
        <w:rPr>
          <w:rFonts w:ascii="Arial" w:hAnsi="Arial" w:cs="Arial"/>
          <w:sz w:val="20"/>
          <w:szCs w:val="20"/>
        </w:rPr>
        <w:t xml:space="preserve">, de forma consistente con el enfoque seleccionado de acuerdo con el presente Apéndice [ver los párrafos </w:t>
      </w:r>
      <w:fldSimple w:instr=" REF _Ref136252917 \r \h  \* MERGEFORMAT ">
        <w:r w:rsidR="00D33A5D" w:rsidRPr="00D33A5D">
          <w:rPr>
            <w:rFonts w:ascii="Arial" w:hAnsi="Arial" w:cs="Arial"/>
            <w:sz w:val="20"/>
            <w:szCs w:val="20"/>
          </w:rPr>
          <w:t>A11</w:t>
        </w:r>
      </w:fldSimple>
      <w:r w:rsidR="00B66CA2" w:rsidRPr="00AC4AEA">
        <w:rPr>
          <w:rFonts w:ascii="Arial" w:hAnsi="Arial" w:cs="Arial"/>
          <w:sz w:val="20"/>
          <w:szCs w:val="20"/>
        </w:rPr>
        <w:t xml:space="preserve"> y </w:t>
      </w:r>
      <w:fldSimple w:instr=" REF _Ref136252919 \r \h  \* MERGEFORMAT ">
        <w:r w:rsidR="00D33A5D" w:rsidRPr="00D33A5D">
          <w:rPr>
            <w:rFonts w:ascii="Arial" w:hAnsi="Arial" w:cs="Arial"/>
            <w:sz w:val="20"/>
            <w:szCs w:val="20"/>
          </w:rPr>
          <w:t>A12</w:t>
        </w:r>
      </w:fldSimple>
      <w:r w:rsidR="00B66CA2" w:rsidRPr="00AC4AEA">
        <w:rPr>
          <w:rFonts w:ascii="Arial" w:hAnsi="Arial" w:cs="Arial"/>
          <w:sz w:val="20"/>
          <w:szCs w:val="20"/>
        </w:rPr>
        <w:t xml:space="preserve">, y </w:t>
      </w:r>
      <w:fldSimple w:instr=" REF _Ref136252924 \r \h  \* MERGEFORMAT ">
        <w:r w:rsidR="00D33A5D" w:rsidRPr="00D33A5D">
          <w:rPr>
            <w:rFonts w:ascii="Arial" w:hAnsi="Arial" w:cs="Arial"/>
            <w:sz w:val="20"/>
            <w:szCs w:val="20"/>
          </w:rPr>
          <w:t>A13</w:t>
        </w:r>
      </w:fldSimple>
      <w:r w:rsidR="00B66CA2" w:rsidRPr="00AC4AEA">
        <w:rPr>
          <w:rFonts w:ascii="Arial" w:hAnsi="Arial" w:cs="Arial"/>
          <w:sz w:val="20"/>
          <w:szCs w:val="20"/>
        </w:rPr>
        <w:t xml:space="preserve"> y </w:t>
      </w:r>
      <w:fldSimple w:instr=" REF _Ref136252927 \r \h  \* MERGEFORMAT ">
        <w:r w:rsidR="00D33A5D" w:rsidRPr="00D33A5D">
          <w:rPr>
            <w:rFonts w:ascii="Arial" w:hAnsi="Arial" w:cs="Arial"/>
            <w:sz w:val="20"/>
            <w:szCs w:val="20"/>
          </w:rPr>
          <w:t>A14</w:t>
        </w:r>
      </w:fldSimple>
      <w:r w:rsidR="00B66CA2" w:rsidRPr="00AC4AEA">
        <w:rPr>
          <w:rFonts w:ascii="Arial" w:hAnsi="Arial" w:cs="Arial"/>
          <w:sz w:val="20"/>
          <w:szCs w:val="20"/>
        </w:rPr>
        <w:t>]</w:t>
      </w:r>
      <w:r w:rsidR="007E14E0">
        <w:rPr>
          <w:rFonts w:ascii="Arial" w:hAnsi="Arial" w:cs="Arial"/>
          <w:sz w:val="20"/>
          <w:szCs w:val="20"/>
        </w:rPr>
        <w:t>:</w:t>
      </w:r>
    </w:p>
    <w:p w:rsidR="00B66CA2" w:rsidRPr="00373B8F" w:rsidRDefault="006C0BC1" w:rsidP="00C01B25">
      <w:pPr>
        <w:pStyle w:val="Prrafodelista"/>
        <w:numPr>
          <w:ilvl w:val="1"/>
          <w:numId w:val="658"/>
        </w:numPr>
        <w:spacing w:after="120"/>
        <w:contextualSpacing w:val="0"/>
        <w:jc w:val="both"/>
        <w:rPr>
          <w:rFonts w:ascii="Arial" w:eastAsia="Times New Roman" w:hAnsi="Arial" w:cs="Arial"/>
          <w:sz w:val="20"/>
          <w:szCs w:val="20"/>
          <w:lang w:eastAsia="es-AR"/>
        </w:rPr>
      </w:pPr>
      <w:r>
        <w:rPr>
          <w:rFonts w:ascii="Arial" w:hAnsi="Arial" w:cs="Arial"/>
          <w:sz w:val="20"/>
          <w:szCs w:val="20"/>
        </w:rPr>
        <w:t>l</w:t>
      </w:r>
      <w:r w:rsidR="007E14E0">
        <w:rPr>
          <w:rFonts w:ascii="Arial" w:hAnsi="Arial" w:cs="Arial"/>
          <w:sz w:val="20"/>
          <w:szCs w:val="20"/>
        </w:rPr>
        <w:t>a baja en cuenta de cualquier partida surgida de aplicar el “método del corredor</w:t>
      </w:r>
      <w:r w:rsidR="00C2546D">
        <w:rPr>
          <w:rFonts w:ascii="Arial" w:hAnsi="Arial" w:cs="Arial"/>
          <w:sz w:val="20"/>
          <w:szCs w:val="20"/>
        </w:rPr>
        <w:t>”</w:t>
      </w:r>
      <w:r w:rsidR="00373B8F">
        <w:rPr>
          <w:rFonts w:ascii="Arial" w:hAnsi="Arial" w:cs="Arial"/>
          <w:sz w:val="20"/>
          <w:szCs w:val="20"/>
        </w:rPr>
        <w:t xml:space="preserve"> que establecía la Resolución Técnica N° 23</w:t>
      </w:r>
      <w:r w:rsidR="00C2546D">
        <w:rPr>
          <w:rFonts w:ascii="Arial" w:hAnsi="Arial" w:cs="Arial"/>
          <w:sz w:val="20"/>
          <w:szCs w:val="20"/>
        </w:rPr>
        <w:t xml:space="preserve">, </w:t>
      </w:r>
      <w:r w:rsidR="00797161">
        <w:rPr>
          <w:rFonts w:ascii="Arial" w:hAnsi="Arial" w:cs="Arial"/>
          <w:sz w:val="20"/>
          <w:szCs w:val="20"/>
        </w:rPr>
        <w:t>en</w:t>
      </w:r>
      <w:r w:rsidR="00C2546D">
        <w:rPr>
          <w:rFonts w:ascii="Arial" w:hAnsi="Arial" w:cs="Arial"/>
          <w:sz w:val="20"/>
          <w:szCs w:val="20"/>
        </w:rPr>
        <w:t xml:space="preserve"> una partida de </w:t>
      </w:r>
      <w:r w:rsidR="00C2546D" w:rsidRPr="00C2546D">
        <w:rPr>
          <w:rFonts w:ascii="Arial" w:hAnsi="Arial" w:cs="Arial"/>
          <w:b/>
          <w:bCs/>
          <w:sz w:val="20"/>
          <w:szCs w:val="20"/>
        </w:rPr>
        <w:t>resultados diferidos</w:t>
      </w:r>
      <w:r w:rsidR="00C2546D">
        <w:rPr>
          <w:rFonts w:ascii="Arial" w:hAnsi="Arial" w:cs="Arial"/>
          <w:sz w:val="20"/>
          <w:szCs w:val="20"/>
        </w:rPr>
        <w:t xml:space="preserve"> acumulados</w:t>
      </w:r>
      <w:r>
        <w:rPr>
          <w:rFonts w:ascii="Arial" w:hAnsi="Arial" w:cs="Arial"/>
          <w:sz w:val="20"/>
          <w:szCs w:val="20"/>
        </w:rPr>
        <w:t>: y</w:t>
      </w:r>
      <w:r w:rsidR="00B66CA2" w:rsidRPr="00AC4AEA">
        <w:rPr>
          <w:rFonts w:ascii="Arial" w:hAnsi="Arial" w:cs="Arial"/>
          <w:sz w:val="20"/>
          <w:szCs w:val="20"/>
        </w:rPr>
        <w:t xml:space="preserve"> </w:t>
      </w:r>
    </w:p>
    <w:p w:rsidR="00373B8F" w:rsidRPr="00AC4AEA" w:rsidRDefault="006C0BC1" w:rsidP="00C01B25">
      <w:pPr>
        <w:pStyle w:val="Prrafodelista"/>
        <w:numPr>
          <w:ilvl w:val="1"/>
          <w:numId w:val="658"/>
        </w:numPr>
        <w:spacing w:after="120"/>
        <w:contextualSpacing w:val="0"/>
        <w:jc w:val="both"/>
        <w:rPr>
          <w:rFonts w:ascii="Arial" w:eastAsia="Times New Roman" w:hAnsi="Arial" w:cs="Arial"/>
          <w:sz w:val="20"/>
          <w:szCs w:val="20"/>
          <w:lang w:eastAsia="es-AR"/>
        </w:rPr>
      </w:pPr>
      <w:r>
        <w:rPr>
          <w:rFonts w:ascii="Arial" w:hAnsi="Arial" w:cs="Arial"/>
          <w:sz w:val="20"/>
          <w:szCs w:val="20"/>
        </w:rPr>
        <w:t>c</w:t>
      </w:r>
      <w:r w:rsidR="00373B8F">
        <w:rPr>
          <w:rFonts w:ascii="Arial" w:hAnsi="Arial" w:cs="Arial"/>
          <w:sz w:val="20"/>
          <w:szCs w:val="20"/>
        </w:rPr>
        <w:t>ualquier otro cambio</w:t>
      </w:r>
      <w:r>
        <w:rPr>
          <w:rFonts w:ascii="Arial" w:hAnsi="Arial" w:cs="Arial"/>
          <w:sz w:val="20"/>
          <w:szCs w:val="20"/>
        </w:rPr>
        <w:t xml:space="preserve">, </w:t>
      </w:r>
      <w:r w:rsidR="00797161">
        <w:rPr>
          <w:rFonts w:ascii="Arial" w:hAnsi="Arial" w:cs="Arial"/>
          <w:sz w:val="20"/>
          <w:szCs w:val="20"/>
        </w:rPr>
        <w:t>en</w:t>
      </w:r>
      <w:r>
        <w:rPr>
          <w:rFonts w:ascii="Arial" w:hAnsi="Arial" w:cs="Arial"/>
          <w:sz w:val="20"/>
          <w:szCs w:val="20"/>
        </w:rPr>
        <w:t xml:space="preserve"> resultados no asignados.</w:t>
      </w:r>
    </w:p>
    <w:p w:rsidR="00B66CA2" w:rsidRDefault="00B66CA2" w:rsidP="00A318EA">
      <w:pPr>
        <w:spacing w:after="120" w:line="312" w:lineRule="auto"/>
        <w:jc w:val="both"/>
        <w:rPr>
          <w:rFonts w:ascii="Arial" w:hAnsi="Arial" w:cs="Arial"/>
          <w:b/>
          <w:caps/>
          <w:kern w:val="28"/>
          <w:sz w:val="20"/>
          <w:szCs w:val="20"/>
        </w:rPr>
      </w:pPr>
    </w:p>
    <w:p w:rsidR="00B66CA2" w:rsidRPr="00AC4AEA" w:rsidRDefault="00B66CA2" w:rsidP="00A318EA">
      <w:pPr>
        <w:spacing w:after="120" w:line="312" w:lineRule="auto"/>
        <w:jc w:val="both"/>
        <w:rPr>
          <w:rFonts w:ascii="Arial" w:hAnsi="Arial" w:cs="Arial"/>
          <w:b/>
          <w:caps/>
          <w:kern w:val="28"/>
          <w:sz w:val="20"/>
          <w:szCs w:val="20"/>
        </w:rPr>
      </w:pPr>
    </w:p>
    <w:p w:rsidR="006F297B" w:rsidRPr="00AC4AEA" w:rsidRDefault="006F297B" w:rsidP="002F10C5">
      <w:pPr>
        <w:pStyle w:val="Ttulo3"/>
      </w:pPr>
      <w:bookmarkStart w:id="1315" w:name="_Toc139357107"/>
      <w:r w:rsidRPr="00AC4AEA">
        <w:t>Combinaciones de negocios</w:t>
      </w:r>
      <w:bookmarkEnd w:id="1315"/>
    </w:p>
    <w:p w:rsidR="006F297B" w:rsidRPr="00AC4AEA" w:rsidRDefault="003F5953" w:rsidP="00C01B25">
      <w:pPr>
        <w:pStyle w:val="Prrafodelista"/>
        <w:numPr>
          <w:ilvl w:val="0"/>
          <w:numId w:val="658"/>
        </w:numPr>
        <w:spacing w:after="120"/>
        <w:ind w:left="709" w:hanging="709"/>
        <w:contextualSpacing w:val="0"/>
        <w:jc w:val="both"/>
        <w:rPr>
          <w:rFonts w:ascii="Arial" w:eastAsia="Times New Roman" w:hAnsi="Arial" w:cs="Arial"/>
          <w:sz w:val="20"/>
          <w:szCs w:val="20"/>
          <w:lang w:eastAsia="es-AR"/>
        </w:rPr>
      </w:pPr>
      <w:r w:rsidRPr="00AC4AEA">
        <w:rPr>
          <w:rFonts w:ascii="Arial" w:hAnsi="Arial" w:cs="Arial"/>
          <w:sz w:val="20"/>
          <w:szCs w:val="20"/>
        </w:rPr>
        <w:t xml:space="preserve">En los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 una entidad</w:t>
      </w:r>
      <w:r w:rsidR="006F297B" w:rsidRPr="00AC4AEA">
        <w:rPr>
          <w:rFonts w:ascii="Arial" w:hAnsi="Arial" w:cs="Arial"/>
          <w:sz w:val="20"/>
          <w:szCs w:val="20"/>
        </w:rPr>
        <w:t>:</w:t>
      </w:r>
      <w:r w:rsidR="006F2C57">
        <w:rPr>
          <w:rFonts w:ascii="Arial" w:hAnsi="Arial" w:cs="Arial"/>
          <w:sz w:val="20"/>
          <w:szCs w:val="20"/>
        </w:rPr>
        <w:t xml:space="preserve"> </w:t>
      </w:r>
    </w:p>
    <w:p w:rsidR="006F297B" w:rsidRPr="00AC4AEA" w:rsidRDefault="006F297B" w:rsidP="00C01B25">
      <w:pPr>
        <w:numPr>
          <w:ilvl w:val="1"/>
          <w:numId w:val="624"/>
        </w:numPr>
        <w:spacing w:line="264" w:lineRule="auto"/>
        <w:ind w:left="1418" w:hanging="709"/>
        <w:jc w:val="both"/>
        <w:rPr>
          <w:rFonts w:ascii="Arial" w:hAnsi="Arial" w:cs="Arial"/>
          <w:sz w:val="20"/>
          <w:szCs w:val="20"/>
        </w:rPr>
      </w:pPr>
      <w:r w:rsidRPr="00AC4AEA">
        <w:rPr>
          <w:rFonts w:ascii="Arial" w:hAnsi="Arial" w:cs="Arial"/>
          <w:sz w:val="20"/>
          <w:szCs w:val="20"/>
        </w:rPr>
        <w:t xml:space="preserve">Aplicará los requerimientos establecidos en </w:t>
      </w:r>
      <w:r w:rsidR="003F5953" w:rsidRPr="00AC4AEA">
        <w:rPr>
          <w:rFonts w:ascii="Arial" w:hAnsi="Arial" w:cs="Arial"/>
          <w:sz w:val="20"/>
          <w:szCs w:val="20"/>
        </w:rPr>
        <w:t>la sección “</w:t>
      </w:r>
      <w:r w:rsidR="003F5953" w:rsidRPr="00AC4AEA">
        <w:rPr>
          <w:rFonts w:ascii="Arial" w:hAnsi="Arial" w:cs="Arial"/>
          <w:sz w:val="20"/>
          <w:szCs w:val="20"/>
          <w:u w:val="single"/>
        </w:rPr>
        <w:t>Combinaciones de negocios</w:t>
      </w:r>
      <w:r w:rsidR="003F5953" w:rsidRPr="00AC4AEA">
        <w:rPr>
          <w:rFonts w:ascii="Arial" w:hAnsi="Arial" w:cs="Arial"/>
          <w:sz w:val="20"/>
          <w:szCs w:val="20"/>
        </w:rPr>
        <w:t xml:space="preserve">” [ver </w:t>
      </w:r>
      <w:r w:rsidRPr="00AC4AEA">
        <w:rPr>
          <w:rFonts w:ascii="Arial" w:hAnsi="Arial" w:cs="Arial"/>
          <w:sz w:val="20"/>
          <w:szCs w:val="20"/>
        </w:rPr>
        <w:t>los párrafos</w:t>
      </w:r>
      <w:r w:rsidR="00EC716F" w:rsidRPr="00AC4AEA">
        <w:rPr>
          <w:rFonts w:ascii="Arial" w:hAnsi="Arial" w:cs="Arial"/>
          <w:sz w:val="20"/>
          <w:szCs w:val="20"/>
        </w:rPr>
        <w:t xml:space="preserve"> </w:t>
      </w:r>
      <w:fldSimple w:instr=" REF _Ref132041816 \r \h  \* MERGEFORMAT ">
        <w:r w:rsidR="00D33A5D" w:rsidRPr="00D33A5D">
          <w:rPr>
            <w:rFonts w:ascii="Arial" w:hAnsi="Arial" w:cs="Arial"/>
            <w:sz w:val="20"/>
            <w:szCs w:val="20"/>
          </w:rPr>
          <w:t>958</w:t>
        </w:r>
      </w:fldSimple>
      <w:r w:rsidR="006F7702" w:rsidRPr="00AC4AEA">
        <w:rPr>
          <w:rFonts w:ascii="Arial" w:hAnsi="Arial" w:cs="Arial"/>
          <w:sz w:val="20"/>
          <w:szCs w:val="20"/>
        </w:rPr>
        <w:t xml:space="preserve"> a </w:t>
      </w:r>
      <w:fldSimple w:instr=" REF _Ref135068151 \r \h  \* MERGEFORMAT ">
        <w:r w:rsidR="00D33A5D" w:rsidRPr="00D33A5D">
          <w:rPr>
            <w:rFonts w:ascii="Arial" w:hAnsi="Arial" w:cs="Arial"/>
            <w:sz w:val="20"/>
            <w:szCs w:val="20"/>
          </w:rPr>
          <w:t>989</w:t>
        </w:r>
      </w:fldSimple>
      <w:r w:rsidR="006F7702" w:rsidRPr="00AC4AEA">
        <w:rPr>
          <w:rFonts w:ascii="Arial" w:hAnsi="Arial" w:cs="Arial"/>
          <w:sz w:val="20"/>
          <w:szCs w:val="20"/>
        </w:rPr>
        <w:t>]</w:t>
      </w:r>
      <w:r w:rsidRPr="00AC4AEA">
        <w:rPr>
          <w:rFonts w:ascii="Arial" w:hAnsi="Arial" w:cs="Arial"/>
          <w:sz w:val="20"/>
          <w:szCs w:val="20"/>
        </w:rPr>
        <w:t xml:space="preserve"> de forma prospectiva para contabilizar las combinaciones de negocios que ocurran a partir de la fecha de aplicación inicial. </w:t>
      </w:r>
    </w:p>
    <w:p w:rsidR="00EB2C5C" w:rsidRPr="00AC4AEA" w:rsidRDefault="00EB2C5C" w:rsidP="00C01B25">
      <w:pPr>
        <w:numPr>
          <w:ilvl w:val="1"/>
          <w:numId w:val="624"/>
        </w:numPr>
        <w:spacing w:line="264" w:lineRule="auto"/>
        <w:ind w:left="1418" w:hanging="709"/>
        <w:jc w:val="both"/>
        <w:rPr>
          <w:rFonts w:ascii="Arial" w:hAnsi="Arial" w:cs="Arial"/>
          <w:sz w:val="20"/>
          <w:szCs w:val="20"/>
        </w:rPr>
      </w:pPr>
      <w:r w:rsidRPr="00AC4AEA">
        <w:rPr>
          <w:rFonts w:ascii="Arial" w:hAnsi="Arial" w:cs="Arial"/>
          <w:sz w:val="20"/>
          <w:szCs w:val="20"/>
        </w:rPr>
        <w:lastRenderedPageBreak/>
        <w:t xml:space="preserve">No revisará el tratamiento de las combinaciones de negocios, previamente reconocidas, de conformidad con normas anteriores. </w:t>
      </w:r>
    </w:p>
    <w:p w:rsidR="006F297B" w:rsidRPr="00AC4AEA" w:rsidRDefault="006F297B" w:rsidP="00C01B25">
      <w:pPr>
        <w:numPr>
          <w:ilvl w:val="1"/>
          <w:numId w:val="624"/>
        </w:numPr>
        <w:spacing w:line="264" w:lineRule="auto"/>
        <w:ind w:left="1418" w:hanging="709"/>
        <w:jc w:val="both"/>
        <w:rPr>
          <w:rFonts w:ascii="Arial" w:hAnsi="Arial" w:cs="Arial"/>
          <w:sz w:val="20"/>
          <w:szCs w:val="20"/>
        </w:rPr>
      </w:pPr>
      <w:r w:rsidRPr="00AC4AEA">
        <w:rPr>
          <w:rFonts w:ascii="Arial" w:hAnsi="Arial" w:cs="Arial"/>
          <w:sz w:val="20"/>
          <w:szCs w:val="20"/>
        </w:rPr>
        <w:t xml:space="preserve">Dará de baja cualquier llave </w:t>
      </w:r>
      <w:r w:rsidR="00EB2C5C" w:rsidRPr="00AC4AEA">
        <w:rPr>
          <w:rFonts w:ascii="Arial" w:hAnsi="Arial" w:cs="Arial"/>
          <w:sz w:val="20"/>
          <w:szCs w:val="20"/>
        </w:rPr>
        <w:t>negativa</w:t>
      </w:r>
      <w:r w:rsidRPr="00AC4AEA">
        <w:rPr>
          <w:rFonts w:ascii="Arial" w:hAnsi="Arial" w:cs="Arial"/>
          <w:sz w:val="20"/>
          <w:szCs w:val="20"/>
        </w:rPr>
        <w:t xml:space="preserve"> que existiera a la fecha de aplicación inicial</w:t>
      </w:r>
      <w:r w:rsidR="00EB2C5C" w:rsidRPr="00AC4AEA">
        <w:rPr>
          <w:rFonts w:ascii="Arial" w:hAnsi="Arial" w:cs="Arial"/>
          <w:sz w:val="20"/>
          <w:szCs w:val="20"/>
        </w:rPr>
        <w:t>, que hubiera reconocido por haber empleado normas anteriores</w:t>
      </w:r>
      <w:r w:rsidRPr="00AC4AEA">
        <w:rPr>
          <w:rFonts w:ascii="Arial" w:hAnsi="Arial" w:cs="Arial"/>
          <w:sz w:val="20"/>
          <w:szCs w:val="20"/>
        </w:rPr>
        <w:t xml:space="preserve">. </w:t>
      </w:r>
    </w:p>
    <w:p w:rsidR="006F297B" w:rsidRPr="00AC4AEA" w:rsidRDefault="006F297B" w:rsidP="00C01B25">
      <w:pPr>
        <w:pStyle w:val="Prrafodelista"/>
        <w:numPr>
          <w:ilvl w:val="0"/>
          <w:numId w:val="658"/>
        </w:numPr>
        <w:spacing w:after="120"/>
        <w:ind w:left="709" w:hanging="709"/>
        <w:contextualSpacing w:val="0"/>
        <w:jc w:val="both"/>
        <w:rPr>
          <w:rFonts w:ascii="Arial" w:hAnsi="Arial" w:cs="Arial"/>
          <w:sz w:val="20"/>
          <w:szCs w:val="20"/>
        </w:rPr>
      </w:pPr>
      <w:bookmarkStart w:id="1316" w:name="_Ref132041826"/>
      <w:r w:rsidRPr="00AC4AEA">
        <w:rPr>
          <w:rFonts w:ascii="Arial" w:hAnsi="Arial" w:cs="Arial"/>
          <w:sz w:val="20"/>
          <w:szCs w:val="20"/>
        </w:rPr>
        <w:t xml:space="preserve">Además de lo establecido por esta Resolución Técnica, una entidad revelará en </w:t>
      </w:r>
      <w:r w:rsidR="00603F5F" w:rsidRPr="00AC4AEA">
        <w:rPr>
          <w:rFonts w:ascii="Arial" w:hAnsi="Arial" w:cs="Arial"/>
          <w:sz w:val="20"/>
          <w:szCs w:val="20"/>
        </w:rPr>
        <w:t xml:space="preserve">las </w:t>
      </w:r>
      <w:r w:rsidRPr="00AC4AEA">
        <w:rPr>
          <w:rFonts w:ascii="Arial" w:hAnsi="Arial" w:cs="Arial"/>
          <w:sz w:val="20"/>
          <w:szCs w:val="20"/>
        </w:rPr>
        <w:t>notas</w:t>
      </w:r>
      <w:r w:rsidR="00603F5F" w:rsidRPr="00AC4AEA">
        <w:rPr>
          <w:rFonts w:ascii="Arial" w:hAnsi="Arial" w:cs="Arial"/>
          <w:sz w:val="20"/>
          <w:szCs w:val="20"/>
        </w:rPr>
        <w:t xml:space="preserve"> de los primeros </w:t>
      </w:r>
      <w:r w:rsidR="00603F5F" w:rsidRPr="00AC4AEA">
        <w:rPr>
          <w:rFonts w:ascii="Arial" w:hAnsi="Arial" w:cs="Arial"/>
          <w:b/>
          <w:bCs/>
          <w:sz w:val="20"/>
          <w:szCs w:val="20"/>
        </w:rPr>
        <w:t>estados contables</w:t>
      </w:r>
      <w:r w:rsidR="00603F5F" w:rsidRPr="00AC4AEA">
        <w:rPr>
          <w:rFonts w:ascii="Arial" w:hAnsi="Arial" w:cs="Arial"/>
          <w:sz w:val="20"/>
          <w:szCs w:val="20"/>
        </w:rPr>
        <w:t xml:space="preserve"> preparados de acuerdo con esta Resolución Técnica</w:t>
      </w:r>
      <w:r w:rsidRPr="00AC4AEA">
        <w:rPr>
          <w:rFonts w:ascii="Arial" w:hAnsi="Arial" w:cs="Arial"/>
          <w:sz w:val="20"/>
          <w:szCs w:val="20"/>
        </w:rPr>
        <w:t>:</w:t>
      </w:r>
      <w:bookmarkEnd w:id="1316"/>
      <w:r w:rsidR="006F2C57">
        <w:rPr>
          <w:rFonts w:ascii="Arial" w:hAnsi="Arial" w:cs="Arial"/>
          <w:sz w:val="20"/>
          <w:szCs w:val="20"/>
        </w:rPr>
        <w:t xml:space="preserve"> </w:t>
      </w:r>
    </w:p>
    <w:p w:rsidR="006F297B" w:rsidRPr="00AC4AEA" w:rsidRDefault="006F297B" w:rsidP="00C01B25">
      <w:pPr>
        <w:numPr>
          <w:ilvl w:val="0"/>
          <w:numId w:val="625"/>
        </w:numPr>
        <w:spacing w:line="264" w:lineRule="auto"/>
        <w:ind w:left="1418" w:hanging="709"/>
        <w:jc w:val="both"/>
        <w:rPr>
          <w:rFonts w:ascii="Arial" w:hAnsi="Arial" w:cs="Arial"/>
          <w:sz w:val="20"/>
          <w:szCs w:val="20"/>
        </w:rPr>
      </w:pPr>
      <w:r w:rsidRPr="00AC4AEA">
        <w:rPr>
          <w:rFonts w:ascii="Arial" w:hAnsi="Arial" w:cs="Arial"/>
          <w:sz w:val="20"/>
          <w:szCs w:val="20"/>
        </w:rPr>
        <w:t xml:space="preserve">Las principales partidas que fueron afectadas por </w:t>
      </w:r>
      <w:r w:rsidR="005536B7" w:rsidRPr="00AC4AEA">
        <w:rPr>
          <w:rFonts w:ascii="Arial" w:hAnsi="Arial" w:cs="Arial"/>
          <w:sz w:val="20"/>
          <w:szCs w:val="20"/>
        </w:rPr>
        <w:t>no revisar las combinaciones de negocios contabilizadas según normas anteriores</w:t>
      </w:r>
      <w:r w:rsidRPr="00AC4AEA">
        <w:rPr>
          <w:rFonts w:ascii="Arial" w:hAnsi="Arial" w:cs="Arial"/>
          <w:sz w:val="20"/>
          <w:szCs w:val="20"/>
        </w:rPr>
        <w:t xml:space="preserve">. </w:t>
      </w:r>
    </w:p>
    <w:p w:rsidR="006F297B" w:rsidRPr="00AC4AEA" w:rsidRDefault="005536B7" w:rsidP="00C01B25">
      <w:pPr>
        <w:numPr>
          <w:ilvl w:val="0"/>
          <w:numId w:val="625"/>
        </w:numPr>
        <w:spacing w:line="264" w:lineRule="auto"/>
        <w:ind w:left="1418" w:hanging="709"/>
        <w:jc w:val="both"/>
        <w:rPr>
          <w:rFonts w:ascii="Arial" w:hAnsi="Arial" w:cs="Arial"/>
          <w:sz w:val="20"/>
          <w:szCs w:val="20"/>
        </w:rPr>
      </w:pPr>
      <w:r w:rsidRPr="00AC4AEA">
        <w:rPr>
          <w:rFonts w:ascii="Arial" w:hAnsi="Arial" w:cs="Arial"/>
          <w:sz w:val="20"/>
          <w:szCs w:val="20"/>
        </w:rPr>
        <w:t>De corresponder, q</w:t>
      </w:r>
      <w:r w:rsidR="006F297B" w:rsidRPr="00AC4AEA">
        <w:rPr>
          <w:rFonts w:ascii="Arial" w:hAnsi="Arial" w:cs="Arial"/>
          <w:sz w:val="20"/>
          <w:szCs w:val="20"/>
        </w:rPr>
        <w:t xml:space="preserve">ue los criterios aplicados a las cifras comparativas difieren de los utilizados </w:t>
      </w:r>
      <w:r w:rsidRPr="00AC4AEA">
        <w:rPr>
          <w:rFonts w:ascii="Arial" w:hAnsi="Arial" w:cs="Arial"/>
          <w:sz w:val="20"/>
          <w:szCs w:val="20"/>
        </w:rPr>
        <w:t>en</w:t>
      </w:r>
      <w:r w:rsidR="006F297B" w:rsidRPr="00AC4AEA">
        <w:rPr>
          <w:rFonts w:ascii="Arial" w:hAnsi="Arial" w:cs="Arial"/>
          <w:sz w:val="20"/>
          <w:szCs w:val="20"/>
        </w:rPr>
        <w:t xml:space="preserve"> el período actual </w:t>
      </w:r>
      <w:r w:rsidRPr="00AC4AEA">
        <w:rPr>
          <w:rFonts w:ascii="Arial" w:hAnsi="Arial" w:cs="Arial"/>
          <w:sz w:val="20"/>
          <w:szCs w:val="20"/>
        </w:rPr>
        <w:t xml:space="preserve">para contabilizar combinaciones de negocios, </w:t>
      </w:r>
      <w:r w:rsidR="006F297B" w:rsidRPr="00AC4AEA">
        <w:rPr>
          <w:rFonts w:ascii="Arial" w:hAnsi="Arial" w:cs="Arial"/>
          <w:sz w:val="20"/>
          <w:szCs w:val="20"/>
        </w:rPr>
        <w:t xml:space="preserve">y que tal hecho deberá ser considerado al analizar esos </w:t>
      </w:r>
      <w:r w:rsidR="006F297B" w:rsidRPr="00AC4AEA">
        <w:rPr>
          <w:rFonts w:ascii="Arial" w:hAnsi="Arial" w:cs="Arial"/>
          <w:b/>
          <w:bCs/>
          <w:sz w:val="20"/>
          <w:szCs w:val="20"/>
        </w:rPr>
        <w:t>estados contables</w:t>
      </w:r>
      <w:r w:rsidR="006F297B" w:rsidRPr="00AC4AEA">
        <w:rPr>
          <w:rFonts w:ascii="Arial" w:hAnsi="Arial" w:cs="Arial"/>
          <w:sz w:val="20"/>
          <w:szCs w:val="20"/>
        </w:rPr>
        <w:t xml:space="preserve">. </w:t>
      </w:r>
    </w:p>
    <w:p w:rsidR="006F297B" w:rsidRPr="00AC4AEA" w:rsidRDefault="006F297B" w:rsidP="00A318EA">
      <w:pPr>
        <w:spacing w:after="120" w:line="312" w:lineRule="auto"/>
        <w:jc w:val="both"/>
        <w:rPr>
          <w:rFonts w:ascii="Arial" w:hAnsi="Arial" w:cs="Arial"/>
          <w:b/>
          <w:caps/>
          <w:kern w:val="28"/>
          <w:sz w:val="20"/>
          <w:szCs w:val="20"/>
        </w:rPr>
      </w:pPr>
    </w:p>
    <w:p w:rsidR="00F50E19" w:rsidRPr="00AC4AEA" w:rsidRDefault="00F50E19" w:rsidP="002F10C5">
      <w:pPr>
        <w:pStyle w:val="Ttulo3"/>
      </w:pPr>
      <w:bookmarkStart w:id="1317" w:name="_Toc139357108"/>
      <w:r w:rsidRPr="00AC4AEA">
        <w:t>Instrumentos derivados y operaciones de cobertura</w:t>
      </w:r>
      <w:bookmarkEnd w:id="1317"/>
    </w:p>
    <w:p w:rsidR="00F50E19" w:rsidRPr="00AC4AEA" w:rsidRDefault="00DE3BB5" w:rsidP="00C01B25">
      <w:pPr>
        <w:pStyle w:val="Prrafodelista"/>
        <w:numPr>
          <w:ilvl w:val="0"/>
          <w:numId w:val="658"/>
        </w:numPr>
        <w:spacing w:after="120"/>
        <w:ind w:left="709" w:hanging="709"/>
        <w:contextualSpacing w:val="0"/>
        <w:jc w:val="both"/>
        <w:rPr>
          <w:rFonts w:ascii="Arial" w:eastAsia="Times New Roman" w:hAnsi="Arial" w:cs="Arial"/>
          <w:sz w:val="20"/>
          <w:szCs w:val="20"/>
          <w:lang w:eastAsia="es-AR"/>
        </w:rPr>
      </w:pPr>
      <w:bookmarkStart w:id="1318" w:name="_Ref132036293"/>
      <w:r w:rsidRPr="00AC4AEA">
        <w:rPr>
          <w:rFonts w:ascii="Arial" w:hAnsi="Arial" w:cs="Arial"/>
          <w:sz w:val="20"/>
          <w:szCs w:val="20"/>
        </w:rPr>
        <w:t xml:space="preserve">En los primeros </w:t>
      </w:r>
      <w:r w:rsidRPr="00AC4AEA">
        <w:rPr>
          <w:rFonts w:ascii="Arial" w:hAnsi="Arial" w:cs="Arial"/>
          <w:b/>
          <w:bCs/>
          <w:sz w:val="20"/>
          <w:szCs w:val="20"/>
        </w:rPr>
        <w:t>estados contables</w:t>
      </w:r>
      <w:r w:rsidRPr="00AC4AEA">
        <w:rPr>
          <w:rFonts w:ascii="Arial" w:hAnsi="Arial" w:cs="Arial"/>
          <w:sz w:val="20"/>
          <w:szCs w:val="20"/>
        </w:rPr>
        <w:t xml:space="preserve"> preparados de acuerdo con esta Resolución Técnica, una entidad</w:t>
      </w:r>
      <w:r w:rsidR="00F50E19" w:rsidRPr="00AC4AEA">
        <w:rPr>
          <w:rFonts w:ascii="Arial" w:hAnsi="Arial" w:cs="Arial"/>
          <w:sz w:val="20"/>
          <w:szCs w:val="20"/>
        </w:rPr>
        <w:t>:</w:t>
      </w:r>
      <w:bookmarkEnd w:id="1318"/>
      <w:r w:rsidR="00F50E19" w:rsidRPr="00AC4AEA">
        <w:rPr>
          <w:rFonts w:ascii="Arial" w:hAnsi="Arial" w:cs="Arial"/>
          <w:sz w:val="20"/>
          <w:szCs w:val="20"/>
        </w:rPr>
        <w:t xml:space="preserve"> </w:t>
      </w:r>
    </w:p>
    <w:p w:rsidR="00F50E19" w:rsidRPr="00AC4AEA" w:rsidRDefault="00F50E19" w:rsidP="00C01B25">
      <w:pPr>
        <w:numPr>
          <w:ilvl w:val="0"/>
          <w:numId w:val="626"/>
        </w:numPr>
        <w:spacing w:line="264" w:lineRule="auto"/>
        <w:ind w:left="1276" w:hanging="567"/>
        <w:jc w:val="both"/>
        <w:rPr>
          <w:rFonts w:ascii="Arial" w:hAnsi="Arial" w:cs="Arial"/>
          <w:sz w:val="20"/>
          <w:szCs w:val="20"/>
        </w:rPr>
      </w:pPr>
      <w:r w:rsidRPr="00AC4AEA">
        <w:rPr>
          <w:rFonts w:ascii="Arial" w:hAnsi="Arial" w:cs="Arial"/>
          <w:sz w:val="20"/>
          <w:szCs w:val="20"/>
        </w:rPr>
        <w:t xml:space="preserve">aplicará los requerimientos de </w:t>
      </w:r>
      <w:r w:rsidR="00DE3BB5" w:rsidRPr="00AC4AEA">
        <w:rPr>
          <w:rFonts w:ascii="Arial" w:hAnsi="Arial" w:cs="Arial"/>
          <w:sz w:val="20"/>
          <w:szCs w:val="20"/>
        </w:rPr>
        <w:t>la</w:t>
      </w:r>
      <w:r w:rsidRPr="00AC4AEA">
        <w:rPr>
          <w:rFonts w:ascii="Arial" w:hAnsi="Arial" w:cs="Arial"/>
          <w:sz w:val="20"/>
          <w:szCs w:val="20"/>
        </w:rPr>
        <w:t xml:space="preserve"> sección </w:t>
      </w:r>
      <w:r w:rsidR="00DE3BB5" w:rsidRPr="00AC4AEA">
        <w:rPr>
          <w:rFonts w:ascii="Arial" w:hAnsi="Arial" w:cs="Arial"/>
          <w:sz w:val="20"/>
          <w:szCs w:val="20"/>
        </w:rPr>
        <w:t>“</w:t>
      </w:r>
      <w:r w:rsidR="00DE3BB5" w:rsidRPr="00AC4AEA">
        <w:rPr>
          <w:rFonts w:ascii="Arial" w:hAnsi="Arial" w:cs="Arial"/>
          <w:sz w:val="20"/>
          <w:szCs w:val="20"/>
          <w:u w:val="single"/>
        </w:rPr>
        <w:t>Instrumentos derivados y operaciones de cobertura</w:t>
      </w:r>
      <w:r w:rsidR="00DE3BB5" w:rsidRPr="00AC4AEA">
        <w:rPr>
          <w:rFonts w:ascii="Arial" w:hAnsi="Arial" w:cs="Arial"/>
          <w:sz w:val="20"/>
          <w:szCs w:val="20"/>
        </w:rPr>
        <w:t xml:space="preserve">” [ver los párrafos </w:t>
      </w:r>
      <w:fldSimple w:instr=" REF _Ref132036276 \r \h  \* MERGEFORMAT ">
        <w:r w:rsidR="00D33A5D" w:rsidRPr="00D33A5D">
          <w:rPr>
            <w:rFonts w:ascii="Arial" w:hAnsi="Arial" w:cs="Arial"/>
            <w:sz w:val="20"/>
            <w:szCs w:val="20"/>
          </w:rPr>
          <w:t>990</w:t>
        </w:r>
      </w:fldSimple>
      <w:r w:rsidR="00CF1E86" w:rsidRPr="00AC4AEA">
        <w:rPr>
          <w:rFonts w:ascii="Arial" w:hAnsi="Arial" w:cs="Arial"/>
          <w:sz w:val="20"/>
          <w:szCs w:val="20"/>
        </w:rPr>
        <w:t xml:space="preserve"> a </w:t>
      </w:r>
      <w:fldSimple w:instr=" REF _Ref135045581 \r \h  \* MERGEFORMAT ">
        <w:r w:rsidR="00D33A5D" w:rsidRPr="00D33A5D">
          <w:rPr>
            <w:rFonts w:ascii="Arial" w:hAnsi="Arial" w:cs="Arial"/>
            <w:sz w:val="20"/>
            <w:szCs w:val="20"/>
          </w:rPr>
          <w:t>1020</w:t>
        </w:r>
      </w:fldSimple>
      <w:r w:rsidR="00CF1E86" w:rsidRPr="00AC4AEA">
        <w:rPr>
          <w:rFonts w:ascii="Arial" w:hAnsi="Arial" w:cs="Arial"/>
          <w:sz w:val="20"/>
          <w:szCs w:val="20"/>
        </w:rPr>
        <w:t>]</w:t>
      </w:r>
      <w:r w:rsidR="00750E70" w:rsidRPr="00AC4AEA">
        <w:rPr>
          <w:rFonts w:ascii="Arial" w:hAnsi="Arial" w:cs="Arial"/>
          <w:sz w:val="20"/>
          <w:szCs w:val="20"/>
        </w:rPr>
        <w:t xml:space="preserve"> </w:t>
      </w:r>
      <w:r w:rsidRPr="00AC4AEA">
        <w:rPr>
          <w:rFonts w:ascii="Arial" w:hAnsi="Arial" w:cs="Arial"/>
          <w:sz w:val="20"/>
          <w:szCs w:val="20"/>
        </w:rPr>
        <w:t xml:space="preserve">de forma prospectiva, a las nuevas relaciones de coberturas que designe; y </w:t>
      </w:r>
    </w:p>
    <w:p w:rsidR="00F50E19" w:rsidRPr="00AC4AEA" w:rsidRDefault="00F50E19" w:rsidP="00C01B25">
      <w:pPr>
        <w:numPr>
          <w:ilvl w:val="0"/>
          <w:numId w:val="626"/>
        </w:numPr>
        <w:spacing w:line="264" w:lineRule="auto"/>
        <w:ind w:left="1276" w:hanging="567"/>
        <w:jc w:val="both"/>
        <w:rPr>
          <w:rFonts w:ascii="Arial" w:hAnsi="Arial" w:cs="Arial"/>
          <w:sz w:val="20"/>
          <w:szCs w:val="20"/>
        </w:rPr>
      </w:pPr>
      <w:r w:rsidRPr="00AC4AEA">
        <w:rPr>
          <w:rFonts w:ascii="Arial" w:hAnsi="Arial" w:cs="Arial"/>
          <w:sz w:val="20"/>
          <w:szCs w:val="20"/>
        </w:rPr>
        <w:t xml:space="preserve">continuará aplicando las disposiciones de las normas anteriores para las relaciones de cobertura: </w:t>
      </w:r>
    </w:p>
    <w:p w:rsidR="00F50E19" w:rsidRPr="00AC4AEA" w:rsidRDefault="00F50E19" w:rsidP="00C01B25">
      <w:pPr>
        <w:numPr>
          <w:ilvl w:val="1"/>
          <w:numId w:val="500"/>
        </w:numPr>
        <w:spacing w:after="143" w:line="247" w:lineRule="auto"/>
        <w:ind w:hanging="370"/>
        <w:jc w:val="both"/>
        <w:rPr>
          <w:rFonts w:ascii="Arial" w:hAnsi="Arial" w:cs="Arial"/>
          <w:sz w:val="20"/>
          <w:szCs w:val="20"/>
        </w:rPr>
      </w:pPr>
      <w:r w:rsidRPr="00AC4AEA">
        <w:rPr>
          <w:rFonts w:ascii="Arial" w:hAnsi="Arial" w:cs="Arial"/>
          <w:sz w:val="20"/>
          <w:szCs w:val="20"/>
        </w:rPr>
        <w:t xml:space="preserve">existentes a la fecha de la aplicación inicial; y </w:t>
      </w:r>
    </w:p>
    <w:p w:rsidR="00F50E19" w:rsidRPr="00AC4AEA" w:rsidRDefault="00F50E19" w:rsidP="00C01B25">
      <w:pPr>
        <w:numPr>
          <w:ilvl w:val="1"/>
          <w:numId w:val="500"/>
        </w:numPr>
        <w:spacing w:after="143" w:line="247" w:lineRule="auto"/>
        <w:ind w:hanging="370"/>
        <w:jc w:val="both"/>
        <w:rPr>
          <w:rFonts w:ascii="Arial" w:hAnsi="Arial" w:cs="Arial"/>
          <w:sz w:val="20"/>
          <w:szCs w:val="20"/>
        </w:rPr>
      </w:pPr>
      <w:r w:rsidRPr="00AC4AEA">
        <w:rPr>
          <w:rFonts w:ascii="Arial" w:hAnsi="Arial" w:cs="Arial"/>
          <w:sz w:val="20"/>
          <w:szCs w:val="20"/>
        </w:rPr>
        <w:t xml:space="preserve">que </w:t>
      </w:r>
      <w:r w:rsidRPr="008F020F">
        <w:rPr>
          <w:rFonts w:ascii="Arial" w:hAnsi="Arial" w:cs="Arial"/>
          <w:sz w:val="20"/>
          <w:szCs w:val="20"/>
        </w:rPr>
        <w:t>continuará</w:t>
      </w:r>
      <w:r w:rsidR="00750E70" w:rsidRPr="008F020F">
        <w:rPr>
          <w:rFonts w:ascii="Arial" w:hAnsi="Arial" w:cs="Arial"/>
          <w:sz w:val="20"/>
          <w:szCs w:val="20"/>
        </w:rPr>
        <w:t>n</w:t>
      </w:r>
      <w:r w:rsidRPr="008F020F">
        <w:rPr>
          <w:rFonts w:ascii="Arial" w:hAnsi="Arial" w:cs="Arial"/>
          <w:sz w:val="20"/>
          <w:szCs w:val="20"/>
        </w:rPr>
        <w:t xml:space="preserve"> existiendo luego</w:t>
      </w:r>
      <w:r w:rsidR="00A8613B" w:rsidRPr="008F020F">
        <w:rPr>
          <w:rFonts w:ascii="Arial" w:hAnsi="Arial" w:cs="Arial"/>
          <w:sz w:val="20"/>
          <w:szCs w:val="20"/>
        </w:rPr>
        <w:t xml:space="preserve"> de</w:t>
      </w:r>
      <w:r w:rsidRPr="008F020F">
        <w:rPr>
          <w:rFonts w:ascii="Arial" w:hAnsi="Arial" w:cs="Arial"/>
          <w:sz w:val="20"/>
          <w:szCs w:val="20"/>
        </w:rPr>
        <w:t xml:space="preserve"> la fecha referida en</w:t>
      </w:r>
      <w:r w:rsidRPr="00AC4AEA">
        <w:rPr>
          <w:rFonts w:ascii="Arial" w:hAnsi="Arial" w:cs="Arial"/>
          <w:sz w:val="20"/>
          <w:szCs w:val="20"/>
        </w:rPr>
        <w:t xml:space="preserve"> el punto anterior.</w:t>
      </w:r>
    </w:p>
    <w:p w:rsidR="00750E70" w:rsidRPr="00AC4AEA" w:rsidRDefault="00750E70" w:rsidP="00A318EA">
      <w:pPr>
        <w:pStyle w:val="Ttulo1"/>
        <w:rPr>
          <w:rFonts w:cs="Arial"/>
          <w:sz w:val="20"/>
          <w:szCs w:val="20"/>
        </w:rPr>
        <w:sectPr w:rsidR="00750E70" w:rsidRPr="00AC4AEA" w:rsidSect="00E1777C">
          <w:pgSz w:w="11907" w:h="16840" w:code="9"/>
          <w:pgMar w:top="1418" w:right="1701" w:bottom="1418" w:left="1701" w:header="720" w:footer="720" w:gutter="0"/>
          <w:cols w:space="720"/>
        </w:sectPr>
      </w:pPr>
      <w:bookmarkStart w:id="1319" w:name="GLOSARIO"/>
      <w:bookmarkEnd w:id="1319"/>
    </w:p>
    <w:p w:rsidR="002F10C5" w:rsidRPr="00AC4AEA" w:rsidRDefault="002F10C5" w:rsidP="00A318EA">
      <w:pPr>
        <w:pStyle w:val="Ttulo1"/>
        <w:rPr>
          <w:rFonts w:cs="Arial"/>
          <w:sz w:val="20"/>
          <w:szCs w:val="20"/>
        </w:rPr>
      </w:pPr>
    </w:p>
    <w:p w:rsidR="00421257" w:rsidRPr="00AC4AEA" w:rsidRDefault="00421257" w:rsidP="00A318EA">
      <w:pPr>
        <w:pStyle w:val="Ttulo1"/>
        <w:rPr>
          <w:rFonts w:cs="Arial"/>
          <w:sz w:val="20"/>
          <w:szCs w:val="20"/>
        </w:rPr>
      </w:pPr>
      <w:bookmarkStart w:id="1320" w:name="_Toc139357109"/>
      <w:r w:rsidRPr="00AC4AEA">
        <w:rPr>
          <w:rFonts w:cs="Arial"/>
          <w:sz w:val="20"/>
          <w:szCs w:val="20"/>
        </w:rPr>
        <w:t>GLOSARIO</w:t>
      </w:r>
      <w:bookmarkEnd w:id="1320"/>
      <w:r w:rsidRPr="00AC4AEA">
        <w:rPr>
          <w:rFonts w:cs="Arial"/>
          <w:sz w:val="20"/>
          <w:szCs w:val="20"/>
        </w:rPr>
        <w:t xml:space="preserve"> </w:t>
      </w:r>
    </w:p>
    <w:tbl>
      <w:tblPr>
        <w:tblW w:w="8063" w:type="dxa"/>
        <w:tblLook w:val="04A0"/>
      </w:tblPr>
      <w:tblGrid>
        <w:gridCol w:w="3609"/>
        <w:gridCol w:w="4454"/>
      </w:tblGrid>
      <w:tr w:rsidR="00DC1034" w:rsidRPr="00AC4AEA" w:rsidTr="00421257">
        <w:trPr>
          <w:tblHeader/>
        </w:trPr>
        <w:tc>
          <w:tcPr>
            <w:tcW w:w="3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1257" w:rsidRPr="00AC4AEA" w:rsidRDefault="00421257" w:rsidP="00A318EA">
            <w:pPr>
              <w:tabs>
                <w:tab w:val="left" w:pos="1872"/>
              </w:tabs>
              <w:snapToGrid w:val="0"/>
              <w:jc w:val="center"/>
              <w:rPr>
                <w:rFonts w:ascii="Arial" w:eastAsia="Times New Roman" w:hAnsi="Arial" w:cs="Arial"/>
                <w:b/>
                <w:bCs/>
                <w:sz w:val="20"/>
                <w:szCs w:val="20"/>
                <w:lang w:val="es-ES_tradnl" w:eastAsia="es-ES"/>
              </w:rPr>
            </w:pPr>
            <w:r w:rsidRPr="00AC4AEA">
              <w:rPr>
                <w:rFonts w:ascii="Arial" w:hAnsi="Arial" w:cs="Arial"/>
                <w:b/>
                <w:bCs/>
                <w:sz w:val="20"/>
                <w:szCs w:val="20"/>
              </w:rPr>
              <w:t>Término</w:t>
            </w:r>
          </w:p>
        </w:tc>
        <w:tc>
          <w:tcPr>
            <w:tcW w:w="4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21257" w:rsidRPr="00AC4AEA" w:rsidRDefault="00421257" w:rsidP="00A318EA">
            <w:pPr>
              <w:pStyle w:val="A-Normal11"/>
              <w:snapToGrid w:val="0"/>
              <w:ind w:firstLine="250"/>
              <w:jc w:val="center"/>
              <w:rPr>
                <w:rFonts w:ascii="Arial" w:hAnsi="Arial" w:cs="Arial"/>
                <w:b/>
                <w:bCs/>
                <w:sz w:val="20"/>
              </w:rPr>
            </w:pPr>
            <w:r w:rsidRPr="00AC4AEA">
              <w:rPr>
                <w:rFonts w:ascii="Arial" w:hAnsi="Arial" w:cs="Arial"/>
                <w:b/>
                <w:bCs/>
                <w:sz w:val="20"/>
              </w:rPr>
              <w:t>Definición</w:t>
            </w:r>
          </w:p>
        </w:tc>
      </w:tr>
    </w:tbl>
    <w:tbl>
      <w:tblPr>
        <w:tblStyle w:val="Tablaconcuadrcula"/>
        <w:tblW w:w="8063" w:type="dxa"/>
        <w:tblLook w:val="04A0"/>
      </w:tblPr>
      <w:tblGrid>
        <w:gridCol w:w="2288"/>
        <w:gridCol w:w="5775"/>
      </w:tblGrid>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Activación</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750E70">
            <w:pPr>
              <w:pStyle w:val="A-Normal11"/>
              <w:snapToGrid w:val="0"/>
              <w:rPr>
                <w:rFonts w:ascii="Arial" w:hAnsi="Arial" w:cs="Arial"/>
                <w:sz w:val="20"/>
              </w:rPr>
            </w:pPr>
            <w:r w:rsidRPr="00AC4AEA">
              <w:rPr>
                <w:rFonts w:ascii="Arial" w:hAnsi="Arial" w:cs="Arial"/>
                <w:sz w:val="20"/>
              </w:rPr>
              <w:t xml:space="preserve">A los fines de esta Resolución Técnica, representa el reconocimiento o incorporación adicional de costos en algún componente del </w:t>
            </w:r>
            <w:r w:rsidRPr="00AC4AEA">
              <w:rPr>
                <w:rFonts w:ascii="Arial" w:hAnsi="Arial" w:cs="Arial"/>
                <w:b/>
                <w:bCs/>
                <w:sz w:val="20"/>
              </w:rPr>
              <w:t>activo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2A0457" w:rsidRPr="00AC4AEA" w:rsidRDefault="002A0457" w:rsidP="00A318EA">
            <w:pPr>
              <w:tabs>
                <w:tab w:val="left" w:pos="1872"/>
              </w:tabs>
              <w:snapToGrid w:val="0"/>
              <w:rPr>
                <w:rFonts w:ascii="Arial" w:hAnsi="Arial" w:cs="Arial"/>
                <w:b/>
                <w:bCs/>
                <w:sz w:val="20"/>
                <w:szCs w:val="20"/>
              </w:rPr>
            </w:pPr>
            <w:r w:rsidRPr="00AC4AEA">
              <w:rPr>
                <w:rFonts w:ascii="Arial" w:hAnsi="Arial" w:cs="Arial"/>
                <w:b/>
                <w:bCs/>
                <w:sz w:val="20"/>
                <w:szCs w:val="20"/>
                <w:u w:color="000000"/>
              </w:rPr>
              <w:t>Actividad agropecuaria</w:t>
            </w:r>
            <w:r w:rsidRPr="00AC4AEA">
              <w:rPr>
                <w:rFonts w:ascii="Arial" w:hAnsi="Arial" w:cs="Arial"/>
                <w:sz w:val="20"/>
                <w:szCs w:val="20"/>
              </w:rPr>
              <w:t>:</w:t>
            </w:r>
          </w:p>
        </w:tc>
        <w:tc>
          <w:tcPr>
            <w:tcW w:w="4454" w:type="dxa"/>
            <w:tcBorders>
              <w:top w:val="single" w:sz="4" w:space="0" w:color="auto"/>
              <w:left w:val="single" w:sz="4" w:space="0" w:color="auto"/>
              <w:bottom w:val="single" w:sz="4" w:space="0" w:color="auto"/>
              <w:right w:val="single" w:sz="4" w:space="0" w:color="auto"/>
            </w:tcBorders>
          </w:tcPr>
          <w:p w:rsidR="002A0457" w:rsidRPr="00AC4AEA" w:rsidRDefault="002A0457" w:rsidP="00750E70">
            <w:pPr>
              <w:rPr>
                <w:rFonts w:ascii="Arial" w:hAnsi="Arial" w:cs="Arial"/>
                <w:sz w:val="20"/>
              </w:rPr>
            </w:pPr>
            <w:r w:rsidRPr="00AC4AEA">
              <w:rPr>
                <w:rFonts w:ascii="Arial" w:hAnsi="Arial" w:cs="Arial"/>
                <w:sz w:val="20"/>
                <w:szCs w:val="20"/>
              </w:rPr>
              <w:t xml:space="preserve">Producción de bienes económicos a partir de la combinación del esfuerzo del hombre y la naturaleza, para favorecer la actividad biológica de plantas y animales; incluyendo su reproducción, mejoramiento, degradación y/o crecimiento que conforman su desarrollo biológico. La intervención del hombre en la gestión del desarrollo biológico implica que la cosecha, recolección u obtención de recursos no gestionados previamente y que sean meramente extractivas (tales como la pesca en el océano y la tala de bosques naturales) no constituyen </w:t>
            </w:r>
            <w:r w:rsidRPr="00847DC6">
              <w:rPr>
                <w:rFonts w:ascii="Arial" w:hAnsi="Arial" w:cs="Arial"/>
                <w:b/>
                <w:bCs/>
                <w:sz w:val="20"/>
                <w:szCs w:val="20"/>
              </w:rPr>
              <w:t>actividad agropecuaria</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Activo</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A42A5" w:rsidRPr="00AC4AEA" w:rsidRDefault="00421257" w:rsidP="002C0214">
            <w:pPr>
              <w:snapToGrid w:val="0"/>
              <w:rPr>
                <w:rFonts w:ascii="Arial" w:hAnsi="Arial" w:cs="Arial"/>
                <w:sz w:val="20"/>
                <w:szCs w:val="20"/>
              </w:rPr>
            </w:pPr>
            <w:r w:rsidRPr="00AC4AEA">
              <w:rPr>
                <w:rFonts w:ascii="Arial" w:hAnsi="Arial" w:cs="Arial"/>
                <w:sz w:val="20"/>
                <w:szCs w:val="20"/>
              </w:rPr>
              <w:t>Es un recurso económico (material o inmaterial) controlado por la entidad, como consecuencia de hechos ya ocurridos.</w:t>
            </w:r>
            <w:r w:rsidR="004A42A5" w:rsidRPr="00AC4AEA">
              <w:rPr>
                <w:rFonts w:ascii="Arial" w:hAnsi="Arial" w:cs="Arial"/>
                <w:sz w:val="20"/>
                <w:szCs w:val="20"/>
              </w:rPr>
              <w:t xml:space="preserve"> </w:t>
            </w:r>
            <w:r w:rsidR="009C72EA">
              <w:rPr>
                <w:rFonts w:ascii="Arial" w:hAnsi="Arial" w:cs="Arial"/>
                <w:sz w:val="20"/>
                <w:szCs w:val="20"/>
              </w:rPr>
              <w:t>Un r</w:t>
            </w:r>
            <w:r w:rsidR="004A42A5" w:rsidRPr="00AC4AEA">
              <w:rPr>
                <w:rFonts w:ascii="Arial" w:hAnsi="Arial" w:cs="Arial"/>
                <w:sz w:val="20"/>
                <w:szCs w:val="20"/>
              </w:rPr>
              <w:t>ecurso económico es un bien o un derecho que tiene la capacidad de generar beneficios económicos.</w:t>
            </w:r>
          </w:p>
          <w:p w:rsidR="004A42A5" w:rsidRPr="00AC4AEA" w:rsidRDefault="004A42A5" w:rsidP="002C0214">
            <w:pPr>
              <w:snapToGrid w:val="0"/>
              <w:rPr>
                <w:rFonts w:ascii="Arial" w:hAnsi="Arial" w:cs="Arial"/>
                <w:sz w:val="20"/>
                <w:szCs w:val="20"/>
              </w:rPr>
            </w:pPr>
            <w:r w:rsidRPr="00AC4AEA">
              <w:rPr>
                <w:rFonts w:ascii="Arial" w:hAnsi="Arial" w:cs="Arial"/>
                <w:sz w:val="20"/>
                <w:szCs w:val="20"/>
              </w:rPr>
              <w:t xml:space="preserve">Los beneficios económicos existen si el recurso tiene </w:t>
            </w:r>
            <w:r w:rsidRPr="00D86B48">
              <w:rPr>
                <w:rFonts w:ascii="Arial" w:hAnsi="Arial" w:cs="Arial"/>
                <w:b/>
                <w:bCs/>
                <w:sz w:val="20"/>
                <w:szCs w:val="20"/>
              </w:rPr>
              <w:t>valor de uso</w:t>
            </w:r>
            <w:r w:rsidRPr="00AC4AEA">
              <w:rPr>
                <w:rFonts w:ascii="Arial" w:hAnsi="Arial" w:cs="Arial"/>
                <w:sz w:val="20"/>
                <w:szCs w:val="20"/>
              </w:rPr>
              <w:t xml:space="preserve"> o valor de cambio para una entidad.</w:t>
            </w:r>
          </w:p>
          <w:p w:rsidR="00421257" w:rsidRPr="00AC4AEA" w:rsidRDefault="00421257" w:rsidP="00A318EA">
            <w:pPr>
              <w:pStyle w:val="Prrafodelista"/>
              <w:snapToGrid w:val="0"/>
              <w:spacing w:line="256" w:lineRule="auto"/>
              <w:ind w:left="459"/>
              <w:contextualSpacing w:val="0"/>
              <w:rPr>
                <w:rFonts w:ascii="Arial" w:hAnsi="Arial" w:cs="Arial"/>
                <w:sz w:val="20"/>
                <w:szCs w:val="20"/>
              </w:rPr>
            </w:pP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354"/>
              </w:tabs>
              <w:snapToGrid w:val="0"/>
              <w:rPr>
                <w:rFonts w:ascii="Arial" w:hAnsi="Arial" w:cs="Arial"/>
                <w:b/>
                <w:bCs/>
                <w:sz w:val="20"/>
                <w:szCs w:val="20"/>
              </w:rPr>
            </w:pPr>
            <w:r w:rsidRPr="00AC4AEA">
              <w:rPr>
                <w:rFonts w:ascii="Arial" w:hAnsi="Arial" w:cs="Arial"/>
                <w:b/>
                <w:bCs/>
                <w:sz w:val="20"/>
                <w:szCs w:val="20"/>
              </w:rPr>
              <w:t>Activos aptos para la activación de costos financieros</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750E70">
            <w:pPr>
              <w:pStyle w:val="A-Normal11"/>
              <w:snapToGrid w:val="0"/>
              <w:ind w:hanging="31"/>
              <w:rPr>
                <w:rFonts w:ascii="Arial" w:hAnsi="Arial" w:cs="Arial"/>
                <w:sz w:val="20"/>
              </w:rPr>
            </w:pPr>
            <w:r w:rsidRPr="00AC4AEA">
              <w:rPr>
                <w:rFonts w:ascii="Arial" w:hAnsi="Arial" w:cs="Arial"/>
                <w:sz w:val="20"/>
              </w:rPr>
              <w:t xml:space="preserve">Son activos que requieren de un prolongado proceso de producción, construcción, montaje o terminación antes de estar en condiciones de ser vendido o utilizado, lo que correspondiere según su destino. </w:t>
            </w:r>
          </w:p>
          <w:p w:rsidR="00421257" w:rsidRPr="00AC4AEA" w:rsidRDefault="00421257" w:rsidP="00750E70">
            <w:pPr>
              <w:pStyle w:val="A-Normal11"/>
              <w:snapToGrid w:val="0"/>
              <w:ind w:hanging="31"/>
              <w:rPr>
                <w:rFonts w:ascii="Arial" w:hAnsi="Arial" w:cs="Arial"/>
                <w:sz w:val="20"/>
              </w:rPr>
            </w:pPr>
            <w:r w:rsidRPr="00AC4AEA">
              <w:rPr>
                <w:rFonts w:ascii="Arial" w:hAnsi="Arial" w:cs="Arial"/>
                <w:sz w:val="20"/>
              </w:rPr>
              <w:t>Estos activos comprenden, entre otros, bienes de cambio, bienes de uso, propiedades de inversión o activos intangibles.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581"/>
              </w:tabs>
              <w:snapToGrid w:val="0"/>
              <w:rPr>
                <w:rFonts w:ascii="Arial" w:hAnsi="Arial" w:cs="Arial"/>
                <w:b/>
                <w:bCs/>
                <w:sz w:val="20"/>
                <w:szCs w:val="20"/>
              </w:rPr>
            </w:pPr>
            <w:r w:rsidRPr="00AC4AEA">
              <w:rPr>
                <w:rFonts w:ascii="Arial" w:hAnsi="Arial" w:cs="Arial"/>
                <w:b/>
                <w:bCs/>
                <w:sz w:val="20"/>
                <w:szCs w:val="20"/>
              </w:rPr>
              <w:t xml:space="preserve">Activos biológicos </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EE0D78" w:rsidRPr="00AC4AEA" w:rsidRDefault="00B4498D" w:rsidP="00750E70">
            <w:pPr>
              <w:pStyle w:val="A-Normal11"/>
              <w:snapToGrid w:val="0"/>
              <w:rPr>
                <w:rFonts w:ascii="Arial" w:hAnsi="Arial" w:cs="Arial"/>
                <w:sz w:val="20"/>
              </w:rPr>
            </w:pPr>
            <w:r w:rsidRPr="00AC4AEA">
              <w:rPr>
                <w:rFonts w:ascii="Arial" w:hAnsi="Arial" w:cs="Arial"/>
                <w:sz w:val="20"/>
                <w:u w:color="000000"/>
              </w:rPr>
              <w:t xml:space="preserve">Son </w:t>
            </w:r>
            <w:r w:rsidR="00750E70" w:rsidRPr="00AC4AEA">
              <w:rPr>
                <w:rFonts w:ascii="Arial" w:hAnsi="Arial" w:cs="Arial"/>
                <w:sz w:val="20"/>
                <w:u w:color="000000"/>
              </w:rPr>
              <w:t>p</w:t>
            </w:r>
            <w:r w:rsidRPr="00AC4AEA">
              <w:rPr>
                <w:rFonts w:ascii="Arial" w:hAnsi="Arial" w:cs="Arial"/>
                <w:sz w:val="20"/>
                <w:u w:color="000000"/>
              </w:rPr>
              <w:t xml:space="preserve">lantas y animales vivientes utilizados en la </w:t>
            </w:r>
            <w:r w:rsidRPr="00847DC6">
              <w:rPr>
                <w:rFonts w:ascii="Arial" w:hAnsi="Arial" w:cs="Arial"/>
                <w:b/>
                <w:bCs/>
                <w:sz w:val="20"/>
                <w:u w:color="000000"/>
              </w:rPr>
              <w:t>actividad agropecuaria</w:t>
            </w:r>
            <w:r w:rsidRPr="00AC4AEA">
              <w:rPr>
                <w:rFonts w:ascii="Arial" w:hAnsi="Arial" w:cs="Arial"/>
                <w:sz w:val="20"/>
                <w:u w:color="000000"/>
              </w:rPr>
              <w:t xml:space="preserve"> (por ejemplo, un árbol limonero). Excluye a los </w:t>
            </w:r>
            <w:r w:rsidRPr="00AC4AEA">
              <w:rPr>
                <w:rFonts w:ascii="Arial" w:hAnsi="Arial" w:cs="Arial"/>
                <w:b/>
                <w:bCs/>
                <w:sz w:val="20"/>
                <w:u w:color="000000"/>
              </w:rPr>
              <w:t>activos biológicos utilizados como factor de producción en el curso normal de las operaciones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B4498D" w:rsidRPr="00AC4AEA" w:rsidRDefault="00B4498D" w:rsidP="00A318EA">
            <w:pPr>
              <w:tabs>
                <w:tab w:val="left" w:pos="1581"/>
              </w:tabs>
              <w:snapToGrid w:val="0"/>
              <w:rPr>
                <w:rFonts w:ascii="Arial" w:hAnsi="Arial" w:cs="Arial"/>
                <w:b/>
                <w:bCs/>
                <w:sz w:val="20"/>
                <w:szCs w:val="20"/>
              </w:rPr>
            </w:pPr>
            <w:r w:rsidRPr="00AC4AEA">
              <w:rPr>
                <w:rFonts w:ascii="Arial" w:hAnsi="Arial" w:cs="Arial"/>
                <w:b/>
                <w:bCs/>
                <w:sz w:val="20"/>
                <w:szCs w:val="20"/>
              </w:rPr>
              <w:t>Activos biológicos en desarrollo:</w:t>
            </w:r>
          </w:p>
        </w:tc>
        <w:tc>
          <w:tcPr>
            <w:tcW w:w="4454" w:type="dxa"/>
            <w:tcBorders>
              <w:top w:val="single" w:sz="4" w:space="0" w:color="auto"/>
              <w:left w:val="single" w:sz="4" w:space="0" w:color="auto"/>
              <w:bottom w:val="single" w:sz="4" w:space="0" w:color="auto"/>
              <w:right w:val="single" w:sz="4" w:space="0" w:color="auto"/>
            </w:tcBorders>
          </w:tcPr>
          <w:p w:rsidR="00B4498D" w:rsidRPr="008F020F" w:rsidRDefault="00B4498D" w:rsidP="00750E70">
            <w:pPr>
              <w:rPr>
                <w:rFonts w:ascii="Arial" w:hAnsi="Arial" w:cs="Arial"/>
                <w:sz w:val="20"/>
              </w:rPr>
            </w:pPr>
            <w:r w:rsidRPr="008F020F">
              <w:rPr>
                <w:rFonts w:ascii="Arial" w:hAnsi="Arial" w:cs="Arial"/>
                <w:sz w:val="20"/>
                <w:szCs w:val="20"/>
              </w:rPr>
              <w:t xml:space="preserve">Son </w:t>
            </w:r>
            <w:r w:rsidR="00750E70" w:rsidRPr="008F020F">
              <w:rPr>
                <w:rFonts w:ascii="Arial" w:hAnsi="Arial" w:cs="Arial"/>
                <w:b/>
                <w:bCs/>
                <w:sz w:val="20"/>
                <w:szCs w:val="20"/>
              </w:rPr>
              <w:t>a</w:t>
            </w:r>
            <w:r w:rsidRPr="008F020F">
              <w:rPr>
                <w:rFonts w:ascii="Arial" w:hAnsi="Arial" w:cs="Arial"/>
                <w:b/>
                <w:bCs/>
                <w:sz w:val="20"/>
                <w:szCs w:val="20"/>
              </w:rPr>
              <w:t>ctivos biológicos</w:t>
            </w:r>
            <w:r w:rsidRPr="008F020F">
              <w:rPr>
                <w:rFonts w:ascii="Arial" w:hAnsi="Arial" w:cs="Arial"/>
                <w:sz w:val="20"/>
                <w:szCs w:val="20"/>
              </w:rPr>
              <w:t xml:space="preserve"> </w:t>
            </w:r>
            <w:r w:rsidR="00CD5A6B" w:rsidRPr="008F020F">
              <w:rPr>
                <w:rFonts w:ascii="Arial" w:hAnsi="Arial" w:cs="Arial"/>
                <w:sz w:val="20"/>
                <w:szCs w:val="20"/>
              </w:rPr>
              <w:t xml:space="preserve">que no completaron su proceso de desarrollo y no pueden ser considerados como “en producción, consumibles o terminados” (por ejemplo: árboles frutales, bosques, terneros, alevines, sementeras, frutas inmaduras, etc., cuyo proceso biológico de crecimiento no concluyó, </w:t>
            </w:r>
            <w:r w:rsidRPr="008F020F">
              <w:rPr>
                <w:rFonts w:ascii="Arial" w:hAnsi="Arial" w:cs="Arial"/>
                <w:sz w:val="20"/>
                <w:szCs w:val="20"/>
              </w:rPr>
              <w:t>aunque se puedan obtener de los mismos bienes secundarios comercializables).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B4498D" w:rsidRPr="00AC4AEA" w:rsidRDefault="00B4498D" w:rsidP="00A318EA">
            <w:pPr>
              <w:tabs>
                <w:tab w:val="left" w:pos="1581"/>
              </w:tabs>
              <w:snapToGrid w:val="0"/>
              <w:rPr>
                <w:rFonts w:ascii="Arial" w:hAnsi="Arial" w:cs="Arial"/>
                <w:b/>
                <w:bCs/>
                <w:sz w:val="20"/>
                <w:szCs w:val="20"/>
              </w:rPr>
            </w:pPr>
            <w:r w:rsidRPr="00AC4AEA">
              <w:rPr>
                <w:rFonts w:ascii="Arial" w:hAnsi="Arial" w:cs="Arial"/>
                <w:b/>
                <w:bCs/>
                <w:sz w:val="20"/>
                <w:szCs w:val="20"/>
                <w:u w:color="000000"/>
              </w:rPr>
              <w:t xml:space="preserve">Activos biológicos </w:t>
            </w:r>
            <w:r w:rsidRPr="00AC4AEA">
              <w:rPr>
                <w:rFonts w:ascii="Arial" w:hAnsi="Arial" w:cs="Arial"/>
                <w:b/>
                <w:bCs/>
                <w:sz w:val="20"/>
                <w:szCs w:val="20"/>
                <w:u w:color="000000"/>
              </w:rPr>
              <w:lastRenderedPageBreak/>
              <w:t>producidos o terminados</w:t>
            </w:r>
          </w:p>
        </w:tc>
        <w:tc>
          <w:tcPr>
            <w:tcW w:w="4454" w:type="dxa"/>
            <w:tcBorders>
              <w:top w:val="single" w:sz="4" w:space="0" w:color="auto"/>
              <w:left w:val="single" w:sz="4" w:space="0" w:color="auto"/>
              <w:bottom w:val="single" w:sz="4" w:space="0" w:color="auto"/>
              <w:right w:val="single" w:sz="4" w:space="0" w:color="auto"/>
            </w:tcBorders>
          </w:tcPr>
          <w:p w:rsidR="00B4498D" w:rsidRPr="008F020F" w:rsidRDefault="00B4498D" w:rsidP="00750E70">
            <w:pPr>
              <w:rPr>
                <w:rFonts w:ascii="Arial" w:hAnsi="Arial" w:cs="Arial"/>
                <w:sz w:val="20"/>
              </w:rPr>
            </w:pPr>
            <w:r w:rsidRPr="008F020F">
              <w:rPr>
                <w:rFonts w:ascii="Arial" w:hAnsi="Arial" w:cs="Arial"/>
                <w:sz w:val="20"/>
                <w:szCs w:val="20"/>
              </w:rPr>
              <w:lastRenderedPageBreak/>
              <w:t xml:space="preserve">Son </w:t>
            </w:r>
            <w:r w:rsidR="00750E70" w:rsidRPr="008F020F">
              <w:rPr>
                <w:rFonts w:ascii="Arial" w:hAnsi="Arial" w:cs="Arial"/>
                <w:b/>
                <w:bCs/>
                <w:sz w:val="20"/>
                <w:szCs w:val="20"/>
              </w:rPr>
              <w:t>a</w:t>
            </w:r>
            <w:r w:rsidRPr="008F020F">
              <w:rPr>
                <w:rFonts w:ascii="Arial" w:hAnsi="Arial" w:cs="Arial"/>
                <w:b/>
                <w:bCs/>
                <w:sz w:val="20"/>
                <w:szCs w:val="20"/>
              </w:rPr>
              <w:t>ctivos biológicos</w:t>
            </w:r>
            <w:r w:rsidRPr="008F020F">
              <w:rPr>
                <w:rFonts w:ascii="Arial" w:hAnsi="Arial" w:cs="Arial"/>
                <w:sz w:val="20"/>
                <w:szCs w:val="20"/>
              </w:rPr>
              <w:t xml:space="preserve"> que han concluido su proceso de </w:t>
            </w:r>
            <w:r w:rsidRPr="008F020F">
              <w:rPr>
                <w:rFonts w:ascii="Arial" w:hAnsi="Arial" w:cs="Arial"/>
                <w:sz w:val="20"/>
                <w:szCs w:val="20"/>
              </w:rPr>
              <w:lastRenderedPageBreak/>
              <w:t xml:space="preserve">desarrollo y se encuentra en condiciones de ser vendidos, transformados en </w:t>
            </w:r>
            <w:r w:rsidRPr="008F020F">
              <w:rPr>
                <w:rFonts w:ascii="Arial" w:hAnsi="Arial" w:cs="Arial"/>
                <w:b/>
                <w:bCs/>
                <w:sz w:val="20"/>
                <w:szCs w:val="20"/>
              </w:rPr>
              <w:t>productos agropecuarios</w:t>
            </w:r>
            <w:r w:rsidRPr="008F020F">
              <w:rPr>
                <w:rFonts w:ascii="Arial" w:hAnsi="Arial" w:cs="Arial"/>
                <w:sz w:val="20"/>
                <w:szCs w:val="20"/>
              </w:rPr>
              <w:t xml:space="preserve"> o utilizados en otros procesos productivos (plantines para su venta como tales, novillos terminados, frutos maduros, bosques aptos para la tala, etc.). Ciertos activos pueden calificar como “activos biológicos en desarrollo” en una actividad y como “activos biológicos producidos o terminados” en otra, de acuerdo con la extensión del ciclo biológico. Por ejemplo, los plantines pueden estar destinados a la venta o ser utilizados en explotaciones de bosques.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BA5C69" w:rsidRPr="00AC4AEA" w:rsidRDefault="00BA5C69" w:rsidP="00A318EA">
            <w:pPr>
              <w:tabs>
                <w:tab w:val="left" w:pos="1581"/>
              </w:tabs>
              <w:snapToGrid w:val="0"/>
              <w:rPr>
                <w:rFonts w:ascii="Arial" w:hAnsi="Arial" w:cs="Arial"/>
                <w:b/>
                <w:bCs/>
                <w:sz w:val="20"/>
                <w:szCs w:val="20"/>
              </w:rPr>
            </w:pPr>
            <w:r w:rsidRPr="00AC4AEA">
              <w:rPr>
                <w:rFonts w:ascii="Arial" w:hAnsi="Arial" w:cs="Arial"/>
                <w:b/>
                <w:bCs/>
                <w:sz w:val="20"/>
                <w:szCs w:val="20"/>
              </w:rPr>
              <w:lastRenderedPageBreak/>
              <w:t xml:space="preserve">Activos biológicos utilizados como factor de producción en el curso normal de </w:t>
            </w:r>
            <w:r w:rsidR="008E4AF3" w:rsidRPr="00AC4AEA">
              <w:rPr>
                <w:rFonts w:ascii="Arial" w:hAnsi="Arial" w:cs="Arial"/>
                <w:b/>
                <w:bCs/>
                <w:sz w:val="20"/>
                <w:szCs w:val="20"/>
              </w:rPr>
              <w:t>las operaciones</w:t>
            </w:r>
          </w:p>
        </w:tc>
        <w:tc>
          <w:tcPr>
            <w:tcW w:w="4454" w:type="dxa"/>
            <w:tcBorders>
              <w:top w:val="single" w:sz="4" w:space="0" w:color="auto"/>
              <w:left w:val="single" w:sz="4" w:space="0" w:color="auto"/>
              <w:bottom w:val="single" w:sz="4" w:space="0" w:color="auto"/>
              <w:right w:val="single" w:sz="4" w:space="0" w:color="auto"/>
            </w:tcBorders>
          </w:tcPr>
          <w:p w:rsidR="008E4AF3" w:rsidRPr="00AC4AEA" w:rsidRDefault="008E4AF3" w:rsidP="00A318EA">
            <w:pPr>
              <w:rPr>
                <w:rFonts w:ascii="Arial" w:hAnsi="Arial" w:cs="Arial"/>
                <w:sz w:val="20"/>
                <w:szCs w:val="20"/>
              </w:rPr>
            </w:pPr>
            <w:r w:rsidRPr="00AC4AEA">
              <w:rPr>
                <w:rFonts w:ascii="Arial" w:hAnsi="Arial" w:cs="Arial"/>
                <w:sz w:val="20"/>
                <w:szCs w:val="20"/>
                <w:u w:color="000000"/>
              </w:rPr>
              <w:t xml:space="preserve">Son </w:t>
            </w:r>
            <w:r w:rsidR="00750E70" w:rsidRPr="00AC4AEA">
              <w:rPr>
                <w:rFonts w:ascii="Arial" w:hAnsi="Arial" w:cs="Arial"/>
                <w:b/>
                <w:bCs/>
                <w:sz w:val="20"/>
                <w:szCs w:val="20"/>
                <w:u w:color="000000"/>
              </w:rPr>
              <w:t>a</w:t>
            </w:r>
            <w:r w:rsidRPr="00AC4AEA">
              <w:rPr>
                <w:rFonts w:ascii="Arial" w:hAnsi="Arial" w:cs="Arial"/>
                <w:b/>
                <w:bCs/>
                <w:sz w:val="20"/>
                <w:szCs w:val="20"/>
                <w:u w:color="000000"/>
              </w:rPr>
              <w:t>ctivos biológicos</w:t>
            </w:r>
            <w:r w:rsidRPr="00AC4AEA">
              <w:rPr>
                <w:rFonts w:ascii="Arial" w:hAnsi="Arial" w:cs="Arial"/>
                <w:sz w:val="20"/>
                <w:szCs w:val="20"/>
                <w:u w:color="000000"/>
              </w:rPr>
              <w:t xml:space="preserve"> que cumplen la definición de “plantas productoras”, “animales productores” o “animales reproductores”. </w:t>
            </w:r>
          </w:p>
          <w:p w:rsidR="00BA5C69" w:rsidRPr="00AC4AEA" w:rsidRDefault="00BA5C69" w:rsidP="00C01B25">
            <w:pPr>
              <w:pStyle w:val="A-Normal11"/>
              <w:numPr>
                <w:ilvl w:val="1"/>
                <w:numId w:val="552"/>
              </w:numPr>
              <w:spacing w:after="120" w:line="312" w:lineRule="auto"/>
              <w:ind w:left="314"/>
              <w:rPr>
                <w:rFonts w:ascii="Arial" w:hAnsi="Arial" w:cs="Arial"/>
                <w:sz w:val="20"/>
              </w:rPr>
            </w:pPr>
            <w:r w:rsidRPr="00AC4AEA">
              <w:rPr>
                <w:rFonts w:ascii="Arial" w:hAnsi="Arial" w:cs="Arial"/>
                <w:b/>
                <w:bCs/>
                <w:sz w:val="20"/>
              </w:rPr>
              <w:t>Animales productores</w:t>
            </w:r>
            <w:r w:rsidRPr="00AC4AEA">
              <w:rPr>
                <w:rFonts w:ascii="Arial" w:hAnsi="Arial" w:cs="Arial"/>
                <w:sz w:val="20"/>
              </w:rPr>
              <w:t>: son activos que:</w:t>
            </w:r>
          </w:p>
          <w:p w:rsidR="00BA5C69" w:rsidRPr="00AC4AEA" w:rsidRDefault="00BA5C69" w:rsidP="00C01B25">
            <w:pPr>
              <w:pStyle w:val="A-Normal11"/>
              <w:numPr>
                <w:ilvl w:val="2"/>
                <w:numId w:val="552"/>
              </w:numPr>
              <w:spacing w:after="120" w:line="312" w:lineRule="auto"/>
              <w:rPr>
                <w:rFonts w:ascii="Arial" w:hAnsi="Arial" w:cs="Arial"/>
                <w:sz w:val="20"/>
              </w:rPr>
            </w:pPr>
            <w:r w:rsidRPr="00AC4AEA">
              <w:rPr>
                <w:rFonts w:ascii="Arial" w:hAnsi="Arial" w:cs="Arial"/>
                <w:sz w:val="20"/>
              </w:rPr>
              <w:t xml:space="preserve">Se utilizan, en forma predominante, para la obtención de sus frutos como productos pecuarios (lana, leche, etc.); </w:t>
            </w:r>
          </w:p>
          <w:p w:rsidR="00BA5C69" w:rsidRPr="00AC4AEA" w:rsidRDefault="00BA5C69" w:rsidP="00C01B25">
            <w:pPr>
              <w:pStyle w:val="A-Normal11"/>
              <w:numPr>
                <w:ilvl w:val="2"/>
                <w:numId w:val="552"/>
              </w:numPr>
              <w:spacing w:after="120" w:line="312" w:lineRule="auto"/>
              <w:rPr>
                <w:rFonts w:ascii="Arial" w:hAnsi="Arial" w:cs="Arial"/>
                <w:sz w:val="20"/>
              </w:rPr>
            </w:pPr>
            <w:r w:rsidRPr="00AC4AEA">
              <w:rPr>
                <w:rFonts w:ascii="Arial" w:hAnsi="Arial" w:cs="Arial"/>
                <w:sz w:val="20"/>
              </w:rPr>
              <w:t xml:space="preserve">se espera que su vida productiva dure más de un período; y </w:t>
            </w:r>
          </w:p>
          <w:p w:rsidR="00BA5C69" w:rsidRPr="00AC4AEA" w:rsidRDefault="00BA5C69" w:rsidP="00C01B25">
            <w:pPr>
              <w:pStyle w:val="A-Normal11"/>
              <w:numPr>
                <w:ilvl w:val="2"/>
                <w:numId w:val="552"/>
              </w:numPr>
              <w:spacing w:after="120" w:line="312" w:lineRule="auto"/>
              <w:rPr>
                <w:rFonts w:ascii="Arial" w:hAnsi="Arial" w:cs="Arial"/>
                <w:sz w:val="20"/>
              </w:rPr>
            </w:pPr>
            <w:r w:rsidRPr="00AC4AEA">
              <w:rPr>
                <w:rFonts w:ascii="Arial" w:hAnsi="Arial" w:cs="Arial"/>
                <w:sz w:val="20"/>
              </w:rPr>
              <w:t>cuya probabilidad de su venta como</w:t>
            </w:r>
            <w:r w:rsidRPr="00CD5A6B">
              <w:rPr>
                <w:rFonts w:ascii="Arial" w:hAnsi="Arial" w:cs="Arial"/>
                <w:b/>
                <w:bCs/>
                <w:sz w:val="20"/>
              </w:rPr>
              <w:t xml:space="preserve"> activos biológicos</w:t>
            </w:r>
            <w:r w:rsidRPr="00AC4AEA">
              <w:rPr>
                <w:rFonts w:ascii="Arial" w:hAnsi="Arial" w:cs="Arial"/>
                <w:sz w:val="20"/>
              </w:rPr>
              <w:t xml:space="preserve"> es remota, excepto por las ventas al final de su período reproductivo como animales de descarte.</w:t>
            </w:r>
          </w:p>
          <w:p w:rsidR="00BA5C69" w:rsidRPr="00AC4AEA" w:rsidRDefault="00BA5C69" w:rsidP="00C01B25">
            <w:pPr>
              <w:pStyle w:val="A-Normal11"/>
              <w:numPr>
                <w:ilvl w:val="1"/>
                <w:numId w:val="552"/>
              </w:numPr>
              <w:spacing w:after="120" w:line="312" w:lineRule="auto"/>
              <w:ind w:left="300"/>
              <w:rPr>
                <w:rFonts w:ascii="Arial" w:hAnsi="Arial" w:cs="Arial"/>
                <w:sz w:val="20"/>
              </w:rPr>
            </w:pPr>
            <w:r w:rsidRPr="00AC4AEA">
              <w:rPr>
                <w:rFonts w:ascii="Arial" w:hAnsi="Arial" w:cs="Arial"/>
                <w:b/>
                <w:bCs/>
                <w:sz w:val="20"/>
              </w:rPr>
              <w:t>Animales reproductores</w:t>
            </w:r>
            <w:r w:rsidRPr="00AC4AEA">
              <w:rPr>
                <w:rFonts w:ascii="Arial" w:hAnsi="Arial" w:cs="Arial"/>
                <w:sz w:val="20"/>
              </w:rPr>
              <w:t>: son activos que:</w:t>
            </w:r>
          </w:p>
          <w:p w:rsidR="00BA5C69" w:rsidRPr="00AC4AEA" w:rsidRDefault="00BA5C69" w:rsidP="00C01B25">
            <w:pPr>
              <w:pStyle w:val="A-Normal11"/>
              <w:numPr>
                <w:ilvl w:val="2"/>
                <w:numId w:val="552"/>
              </w:numPr>
              <w:spacing w:after="120" w:line="312" w:lineRule="auto"/>
              <w:rPr>
                <w:rFonts w:ascii="Arial" w:hAnsi="Arial" w:cs="Arial"/>
                <w:sz w:val="20"/>
              </w:rPr>
            </w:pPr>
            <w:r w:rsidRPr="00AC4AEA">
              <w:rPr>
                <w:rFonts w:ascii="Arial" w:hAnsi="Arial" w:cs="Arial"/>
                <w:sz w:val="20"/>
              </w:rPr>
              <w:t>se utilizan</w:t>
            </w:r>
            <w:r w:rsidR="00750E70" w:rsidRPr="00AC4AEA">
              <w:rPr>
                <w:rFonts w:ascii="Arial" w:hAnsi="Arial" w:cs="Arial"/>
                <w:sz w:val="20"/>
              </w:rPr>
              <w:t>,</w:t>
            </w:r>
            <w:r w:rsidRPr="00AC4AEA">
              <w:rPr>
                <w:rFonts w:ascii="Arial" w:hAnsi="Arial" w:cs="Arial"/>
                <w:sz w:val="20"/>
              </w:rPr>
              <w:t xml:space="preserve"> predominante</w:t>
            </w:r>
            <w:r w:rsidR="00C04FC5" w:rsidRPr="00AC4AEA">
              <w:rPr>
                <w:rFonts w:ascii="Arial" w:hAnsi="Arial" w:cs="Arial"/>
                <w:sz w:val="20"/>
              </w:rPr>
              <w:t>mente,</w:t>
            </w:r>
            <w:r w:rsidRPr="00AC4AEA">
              <w:rPr>
                <w:rFonts w:ascii="Arial" w:hAnsi="Arial" w:cs="Arial"/>
                <w:sz w:val="20"/>
              </w:rPr>
              <w:t xml:space="preserve"> para la reproducción de su especie; </w:t>
            </w:r>
          </w:p>
          <w:p w:rsidR="00BA5C69" w:rsidRPr="00AC4AEA" w:rsidRDefault="00BA5C69" w:rsidP="00C01B25">
            <w:pPr>
              <w:pStyle w:val="A-Normal11"/>
              <w:numPr>
                <w:ilvl w:val="2"/>
                <w:numId w:val="552"/>
              </w:numPr>
              <w:spacing w:after="120" w:line="312" w:lineRule="auto"/>
              <w:rPr>
                <w:rFonts w:ascii="Arial" w:hAnsi="Arial" w:cs="Arial"/>
                <w:sz w:val="20"/>
              </w:rPr>
            </w:pPr>
            <w:r w:rsidRPr="00AC4AEA">
              <w:rPr>
                <w:rFonts w:ascii="Arial" w:hAnsi="Arial" w:cs="Arial"/>
                <w:sz w:val="20"/>
              </w:rPr>
              <w:t>se espera que su vida reproductiva dure más de un período; y</w:t>
            </w:r>
          </w:p>
          <w:p w:rsidR="00BA5C69" w:rsidRPr="00AC4AEA" w:rsidRDefault="00BA5C69" w:rsidP="00C01B25">
            <w:pPr>
              <w:pStyle w:val="A-Normal11"/>
              <w:numPr>
                <w:ilvl w:val="2"/>
                <w:numId w:val="552"/>
              </w:numPr>
              <w:spacing w:after="120" w:line="312" w:lineRule="auto"/>
              <w:rPr>
                <w:rFonts w:ascii="Arial" w:hAnsi="Arial" w:cs="Arial"/>
                <w:b/>
                <w:bCs/>
                <w:sz w:val="20"/>
              </w:rPr>
            </w:pPr>
            <w:r w:rsidRPr="00AC4AEA">
              <w:rPr>
                <w:rFonts w:ascii="Arial" w:hAnsi="Arial" w:cs="Arial"/>
                <w:sz w:val="20"/>
              </w:rPr>
              <w:t>cuya probabilidad de su venta como</w:t>
            </w:r>
            <w:r w:rsidRPr="00CD5A6B">
              <w:rPr>
                <w:rFonts w:ascii="Arial" w:hAnsi="Arial" w:cs="Arial"/>
                <w:b/>
                <w:bCs/>
                <w:sz w:val="20"/>
              </w:rPr>
              <w:t xml:space="preserve"> activos biológicos</w:t>
            </w:r>
            <w:r w:rsidRPr="00AC4AEA">
              <w:rPr>
                <w:rFonts w:ascii="Arial" w:hAnsi="Arial" w:cs="Arial"/>
                <w:sz w:val="20"/>
              </w:rPr>
              <w:t xml:space="preserve"> es remota, excepto por las ventas al final de su período reproductivo como animales de descarte.</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pStyle w:val="A-Normal11"/>
              <w:tabs>
                <w:tab w:val="left" w:pos="1872"/>
              </w:tabs>
              <w:snapToGrid w:val="0"/>
              <w:rPr>
                <w:rFonts w:ascii="Arial" w:hAnsi="Arial" w:cs="Arial"/>
                <w:b/>
                <w:bCs/>
                <w:sz w:val="20"/>
              </w:rPr>
            </w:pPr>
            <w:r w:rsidRPr="00AC4AEA">
              <w:rPr>
                <w:rFonts w:ascii="Arial" w:hAnsi="Arial" w:cs="Arial"/>
                <w:b/>
                <w:bCs/>
                <w:sz w:val="20"/>
              </w:rPr>
              <w:t>Activo financiero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C04FC5">
            <w:pPr>
              <w:pStyle w:val="A-Normal11"/>
              <w:snapToGrid w:val="0"/>
              <w:rPr>
                <w:rFonts w:ascii="Arial" w:hAnsi="Arial" w:cs="Arial"/>
                <w:sz w:val="20"/>
              </w:rPr>
            </w:pPr>
            <w:r w:rsidRPr="00AC4AEA">
              <w:rPr>
                <w:rFonts w:ascii="Arial" w:hAnsi="Arial" w:cs="Arial"/>
                <w:b/>
                <w:bCs/>
                <w:sz w:val="20"/>
              </w:rPr>
              <w:t>Activo</w:t>
            </w:r>
            <w:r w:rsidRPr="00AC4AEA">
              <w:rPr>
                <w:rFonts w:ascii="Arial" w:hAnsi="Arial" w:cs="Arial"/>
                <w:sz w:val="20"/>
              </w:rPr>
              <w:t xml:space="preserve"> representado por:</w:t>
            </w:r>
          </w:p>
          <w:p w:rsidR="00421257" w:rsidRPr="00AC4AEA" w:rsidRDefault="00421257" w:rsidP="00C01B25">
            <w:pPr>
              <w:pStyle w:val="A-Normal11"/>
              <w:numPr>
                <w:ilvl w:val="0"/>
                <w:numId w:val="501"/>
              </w:numPr>
              <w:snapToGrid w:val="0"/>
              <w:spacing w:line="256" w:lineRule="auto"/>
              <w:rPr>
                <w:rFonts w:ascii="Arial" w:hAnsi="Arial" w:cs="Arial"/>
                <w:sz w:val="20"/>
              </w:rPr>
            </w:pPr>
            <w:r w:rsidRPr="00AC4AEA">
              <w:rPr>
                <w:rFonts w:ascii="Arial" w:hAnsi="Arial" w:cs="Arial"/>
                <w:sz w:val="20"/>
              </w:rPr>
              <w:t>efectivo;</w:t>
            </w:r>
          </w:p>
          <w:p w:rsidR="00421257" w:rsidRPr="00AC4AEA" w:rsidRDefault="00421257" w:rsidP="00C01B25">
            <w:pPr>
              <w:pStyle w:val="A-Normal11"/>
              <w:numPr>
                <w:ilvl w:val="0"/>
                <w:numId w:val="501"/>
              </w:numPr>
              <w:snapToGrid w:val="0"/>
              <w:spacing w:line="256" w:lineRule="auto"/>
              <w:rPr>
                <w:rFonts w:ascii="Arial" w:hAnsi="Arial" w:cs="Arial"/>
                <w:sz w:val="20"/>
              </w:rPr>
            </w:pPr>
            <w:r w:rsidRPr="00AC4AEA">
              <w:rPr>
                <w:rFonts w:ascii="Arial" w:hAnsi="Arial" w:cs="Arial"/>
                <w:sz w:val="20"/>
              </w:rPr>
              <w:t xml:space="preserve">derecho a recibir efectivo u otro </w:t>
            </w:r>
            <w:r w:rsidRPr="00AC4AEA">
              <w:rPr>
                <w:rFonts w:ascii="Arial" w:hAnsi="Arial" w:cs="Arial"/>
                <w:b/>
                <w:bCs/>
                <w:sz w:val="20"/>
              </w:rPr>
              <w:t>activo</w:t>
            </w:r>
            <w:r w:rsidRPr="00AC4AEA">
              <w:rPr>
                <w:rFonts w:ascii="Arial" w:hAnsi="Arial" w:cs="Arial"/>
                <w:sz w:val="20"/>
              </w:rPr>
              <w:t xml:space="preserve"> financiero de otra entidad; o</w:t>
            </w:r>
          </w:p>
          <w:p w:rsidR="00421257" w:rsidRPr="00AC4AEA" w:rsidRDefault="00421257" w:rsidP="00C01B25">
            <w:pPr>
              <w:pStyle w:val="A-Normal11"/>
              <w:numPr>
                <w:ilvl w:val="0"/>
                <w:numId w:val="501"/>
              </w:numPr>
              <w:snapToGrid w:val="0"/>
              <w:spacing w:line="256" w:lineRule="auto"/>
              <w:rPr>
                <w:rFonts w:ascii="Arial" w:hAnsi="Arial" w:cs="Arial"/>
                <w:sz w:val="20"/>
              </w:rPr>
            </w:pPr>
            <w:r w:rsidRPr="00AC4AEA">
              <w:rPr>
                <w:rFonts w:ascii="Arial" w:hAnsi="Arial" w:cs="Arial"/>
                <w:sz w:val="20"/>
              </w:rPr>
              <w:t>instrumento de patrimonio de otra entidad.</w:t>
            </w:r>
          </w:p>
        </w:tc>
      </w:tr>
      <w:tr w:rsidR="00DC1034" w:rsidRPr="00AC4AEA" w:rsidTr="00492773">
        <w:tc>
          <w:tcPr>
            <w:tcW w:w="3609" w:type="dxa"/>
            <w:tcBorders>
              <w:top w:val="single" w:sz="4" w:space="0" w:color="auto"/>
              <w:left w:val="single" w:sz="4" w:space="0" w:color="auto"/>
              <w:bottom w:val="single" w:sz="4" w:space="0" w:color="auto"/>
              <w:right w:val="single" w:sz="4" w:space="0" w:color="auto"/>
            </w:tcBorders>
          </w:tcPr>
          <w:p w:rsidR="006056E5" w:rsidRPr="00AC4AEA" w:rsidRDefault="006056E5" w:rsidP="00492773">
            <w:pPr>
              <w:pStyle w:val="A-Normal11"/>
              <w:tabs>
                <w:tab w:val="left" w:pos="1872"/>
              </w:tabs>
              <w:snapToGrid w:val="0"/>
              <w:rPr>
                <w:rFonts w:ascii="Arial" w:hAnsi="Arial" w:cs="Arial"/>
                <w:b/>
                <w:bCs/>
                <w:sz w:val="20"/>
              </w:rPr>
            </w:pPr>
            <w:r w:rsidRPr="00AC4AEA">
              <w:rPr>
                <w:rFonts w:ascii="Arial" w:hAnsi="Arial" w:cs="Arial"/>
                <w:b/>
                <w:bCs/>
                <w:sz w:val="20"/>
              </w:rPr>
              <w:t>Activos generales</w:t>
            </w:r>
          </w:p>
          <w:p w:rsidR="006056E5" w:rsidRPr="00AC4AEA" w:rsidRDefault="006056E5" w:rsidP="00492773">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6056E5" w:rsidRPr="00AC4AEA" w:rsidRDefault="006056E5" w:rsidP="006056E5">
            <w:pPr>
              <w:pStyle w:val="A-Normal11"/>
              <w:snapToGrid w:val="0"/>
              <w:rPr>
                <w:rFonts w:ascii="Arial" w:hAnsi="Arial" w:cs="Arial"/>
                <w:sz w:val="20"/>
              </w:rPr>
            </w:pPr>
            <w:r w:rsidRPr="00AC4AEA">
              <w:rPr>
                <w:rFonts w:ascii="Arial" w:hAnsi="Arial" w:cs="Arial"/>
                <w:sz w:val="20"/>
              </w:rPr>
              <w:t>Activos que contribuyen a la obtención de flujos de efectivo futuros en todas las actividades generadoras de efectivo existentes y son distintos del valor llave (por ejemplo: los edificios de la administración general o del área de tecnología de la información).</w:t>
            </w:r>
          </w:p>
        </w:tc>
      </w:tr>
      <w:tr w:rsidR="00DC1034" w:rsidRPr="00AC4AEA" w:rsidTr="007723B3">
        <w:tc>
          <w:tcPr>
            <w:tcW w:w="3609" w:type="dxa"/>
            <w:tcBorders>
              <w:top w:val="single" w:sz="4" w:space="0" w:color="auto"/>
              <w:left w:val="single" w:sz="4" w:space="0" w:color="auto"/>
              <w:bottom w:val="single" w:sz="4" w:space="0" w:color="auto"/>
              <w:right w:val="single" w:sz="4" w:space="0" w:color="auto"/>
            </w:tcBorders>
            <w:shd w:val="clear" w:color="auto" w:fill="auto"/>
          </w:tcPr>
          <w:p w:rsidR="00421257" w:rsidRPr="008F020F" w:rsidRDefault="00421257" w:rsidP="00A318EA">
            <w:pPr>
              <w:pStyle w:val="A-Normal11"/>
              <w:tabs>
                <w:tab w:val="left" w:pos="1872"/>
              </w:tabs>
              <w:snapToGrid w:val="0"/>
              <w:rPr>
                <w:rFonts w:ascii="Arial" w:hAnsi="Arial" w:cs="Arial"/>
                <w:b/>
                <w:bCs/>
                <w:sz w:val="20"/>
              </w:rPr>
            </w:pPr>
            <w:r w:rsidRPr="008F020F">
              <w:rPr>
                <w:rFonts w:ascii="Arial" w:hAnsi="Arial" w:cs="Arial"/>
                <w:b/>
                <w:bCs/>
                <w:sz w:val="20"/>
              </w:rPr>
              <w:t xml:space="preserve">Activos </w:t>
            </w:r>
            <w:r w:rsidR="006056E5" w:rsidRPr="008F020F">
              <w:rPr>
                <w:rFonts w:ascii="Arial" w:hAnsi="Arial" w:cs="Arial"/>
                <w:b/>
                <w:bCs/>
                <w:sz w:val="20"/>
              </w:rPr>
              <w:t>identificables</w:t>
            </w:r>
          </w:p>
          <w:p w:rsidR="00421257" w:rsidRPr="008F020F"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shd w:val="clear" w:color="auto" w:fill="auto"/>
            <w:hideMark/>
          </w:tcPr>
          <w:p w:rsidR="0067193B" w:rsidRPr="008F020F" w:rsidRDefault="0067193B" w:rsidP="0067193B">
            <w:pPr>
              <w:pStyle w:val="A-Normal11"/>
              <w:snapToGrid w:val="0"/>
              <w:ind w:hanging="31"/>
              <w:rPr>
                <w:rFonts w:ascii="Arial" w:hAnsi="Arial" w:cs="Arial"/>
                <w:sz w:val="20"/>
              </w:rPr>
            </w:pPr>
            <w:r w:rsidRPr="008F020F">
              <w:rPr>
                <w:rFonts w:ascii="Arial" w:hAnsi="Arial" w:cs="Arial"/>
                <w:sz w:val="20"/>
              </w:rPr>
              <w:t>Un</w:t>
            </w:r>
            <w:r w:rsidRPr="008F020F">
              <w:rPr>
                <w:rFonts w:ascii="Arial" w:hAnsi="Arial" w:cs="Arial"/>
                <w:b/>
                <w:bCs/>
                <w:sz w:val="20"/>
              </w:rPr>
              <w:t xml:space="preserve"> activo </w:t>
            </w:r>
            <w:r w:rsidRPr="008F020F">
              <w:rPr>
                <w:rFonts w:ascii="Arial" w:hAnsi="Arial" w:cs="Arial"/>
                <w:sz w:val="20"/>
              </w:rPr>
              <w:t>es identificable si:</w:t>
            </w:r>
          </w:p>
          <w:p w:rsidR="0067193B" w:rsidRPr="008F020F" w:rsidRDefault="0067193B" w:rsidP="00C01B25">
            <w:pPr>
              <w:pStyle w:val="A-Normal11"/>
              <w:numPr>
                <w:ilvl w:val="0"/>
                <w:numId w:val="666"/>
              </w:numPr>
              <w:snapToGrid w:val="0"/>
              <w:ind w:left="394"/>
              <w:rPr>
                <w:rFonts w:ascii="Arial" w:hAnsi="Arial" w:cs="Arial"/>
                <w:sz w:val="20"/>
              </w:rPr>
            </w:pPr>
            <w:r w:rsidRPr="008F020F">
              <w:rPr>
                <w:rFonts w:ascii="Arial" w:hAnsi="Arial" w:cs="Arial"/>
                <w:sz w:val="20"/>
              </w:rPr>
              <w:t xml:space="preserve">es separable, es decir, susceptible de ser separado o escindido de la entidad y vendido, transferido, dado en explotación, arrendado o intercambiado, ya sea individualmente o junto con un </w:t>
            </w:r>
            <w:r w:rsidRPr="008F020F">
              <w:rPr>
                <w:rFonts w:ascii="Arial" w:hAnsi="Arial" w:cs="Arial"/>
                <w:b/>
                <w:bCs/>
                <w:sz w:val="20"/>
              </w:rPr>
              <w:t xml:space="preserve">contrato </w:t>
            </w:r>
            <w:r w:rsidRPr="008F020F">
              <w:rPr>
                <w:rFonts w:ascii="Arial" w:hAnsi="Arial" w:cs="Arial"/>
                <w:sz w:val="20"/>
              </w:rPr>
              <w:t>relacionado,</w:t>
            </w:r>
            <w:r w:rsidRPr="008F020F">
              <w:rPr>
                <w:rFonts w:ascii="Arial" w:hAnsi="Arial" w:cs="Arial"/>
                <w:b/>
                <w:bCs/>
                <w:sz w:val="20"/>
              </w:rPr>
              <w:t xml:space="preserve"> activo </w:t>
            </w:r>
            <w:r w:rsidRPr="008F020F">
              <w:rPr>
                <w:rFonts w:ascii="Arial" w:hAnsi="Arial" w:cs="Arial"/>
                <w:sz w:val="20"/>
              </w:rPr>
              <w:t xml:space="preserve">o </w:t>
            </w:r>
            <w:r w:rsidRPr="008F020F">
              <w:rPr>
                <w:rFonts w:ascii="Arial" w:hAnsi="Arial" w:cs="Arial"/>
                <w:b/>
                <w:bCs/>
                <w:sz w:val="20"/>
              </w:rPr>
              <w:t xml:space="preserve">pasivo </w:t>
            </w:r>
            <w:r w:rsidRPr="008F020F">
              <w:rPr>
                <w:rFonts w:ascii="Arial" w:hAnsi="Arial" w:cs="Arial"/>
                <w:sz w:val="20"/>
              </w:rPr>
              <w:t>identificable con los que guarde relación, independientemente de que la entidad tenga la intención de llevar a cabo la separación; o</w:t>
            </w:r>
          </w:p>
          <w:p w:rsidR="00421257" w:rsidRPr="008F020F" w:rsidRDefault="0067193B" w:rsidP="00C01B25">
            <w:pPr>
              <w:pStyle w:val="A-Normal11"/>
              <w:numPr>
                <w:ilvl w:val="0"/>
                <w:numId w:val="666"/>
              </w:numPr>
              <w:snapToGrid w:val="0"/>
              <w:ind w:left="394"/>
              <w:rPr>
                <w:rFonts w:ascii="Arial" w:hAnsi="Arial" w:cs="Arial"/>
                <w:sz w:val="20"/>
              </w:rPr>
            </w:pPr>
            <w:r w:rsidRPr="008F020F">
              <w:rPr>
                <w:rFonts w:ascii="Arial" w:hAnsi="Arial" w:cs="Arial"/>
                <w:sz w:val="20"/>
              </w:rPr>
              <w:t>surge de derechos contractuales o de otros derechos de tipo legal, con independencia de que esos derechos sean transferibles o separables de la entidad o de otros derechos y obligaciones.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Actividad generadora de efectivo</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Es la actividad o línea de negocio identificable, cuyo desarrollo por parte de la entidad genera entradas de efectivo independientes de otras actividades o líneas de negocio (por ejemplo, actividad industrial, agropecuaria, comercial, servicios, frutihortícola, etc.).</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Aportes</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Es la suma de:</w:t>
            </w:r>
          </w:p>
          <w:p w:rsidR="00421257" w:rsidRPr="00AC4AEA" w:rsidRDefault="00421257" w:rsidP="00C01B25">
            <w:pPr>
              <w:pStyle w:val="Prrafodelista"/>
              <w:numPr>
                <w:ilvl w:val="4"/>
                <w:numId w:val="552"/>
              </w:numPr>
              <w:snapToGrid w:val="0"/>
              <w:spacing w:after="120"/>
              <w:ind w:left="392"/>
              <w:contextualSpacing w:val="0"/>
              <w:rPr>
                <w:rFonts w:ascii="Arial" w:hAnsi="Arial" w:cs="Arial"/>
                <w:sz w:val="20"/>
                <w:szCs w:val="20"/>
              </w:rPr>
            </w:pPr>
            <w:r w:rsidRPr="00AC4AEA">
              <w:rPr>
                <w:rFonts w:ascii="Arial" w:hAnsi="Arial" w:cs="Arial"/>
                <w:sz w:val="20"/>
                <w:szCs w:val="20"/>
              </w:rPr>
              <w:t>el capital suscripto (aportado o comprometido a aportar); y</w:t>
            </w:r>
          </w:p>
          <w:p w:rsidR="00421257" w:rsidRPr="00AC4AEA" w:rsidRDefault="00421257" w:rsidP="00C01B25">
            <w:pPr>
              <w:pStyle w:val="Prrafodelista"/>
              <w:numPr>
                <w:ilvl w:val="4"/>
                <w:numId w:val="552"/>
              </w:numPr>
              <w:snapToGrid w:val="0"/>
              <w:spacing w:after="120"/>
              <w:ind w:left="392"/>
              <w:contextualSpacing w:val="0"/>
              <w:rPr>
                <w:rFonts w:ascii="Arial" w:hAnsi="Arial" w:cs="Arial"/>
                <w:sz w:val="20"/>
                <w:szCs w:val="20"/>
              </w:rPr>
            </w:pPr>
            <w:r w:rsidRPr="00AC4AEA">
              <w:rPr>
                <w:rFonts w:ascii="Arial" w:hAnsi="Arial" w:cs="Arial"/>
                <w:sz w:val="20"/>
                <w:szCs w:val="20"/>
              </w:rPr>
              <w:t xml:space="preserve">los aportes no capitalizados. </w:t>
            </w:r>
          </w:p>
          <w:p w:rsidR="008E4AF3" w:rsidRPr="00AC4AEA" w:rsidRDefault="008E4AF3" w:rsidP="00A318EA">
            <w:pPr>
              <w:pStyle w:val="Prrafodelista"/>
              <w:snapToGrid w:val="0"/>
              <w:spacing w:after="120" w:line="264" w:lineRule="auto"/>
              <w:ind w:left="459"/>
              <w:contextualSpacing w:val="0"/>
              <w:rPr>
                <w:rFonts w:ascii="Arial" w:hAnsi="Arial" w:cs="Arial"/>
                <w:b/>
                <w:bCs/>
                <w:sz w:val="20"/>
                <w:szCs w:val="20"/>
              </w:rPr>
            </w:pP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440"/>
              </w:tabs>
              <w:snapToGrid w:val="0"/>
              <w:rPr>
                <w:rFonts w:ascii="Arial" w:hAnsi="Arial" w:cs="Arial"/>
                <w:b/>
                <w:bCs/>
                <w:sz w:val="20"/>
                <w:szCs w:val="20"/>
              </w:rPr>
            </w:pPr>
            <w:r w:rsidRPr="00AC4AEA">
              <w:rPr>
                <w:rFonts w:ascii="Arial" w:hAnsi="Arial" w:cs="Arial"/>
                <w:b/>
                <w:bCs/>
                <w:sz w:val="20"/>
                <w:szCs w:val="20"/>
              </w:rPr>
              <w:t>Componentes financieros implícitos</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tcPr>
          <w:p w:rsidR="00421257" w:rsidRPr="00AC4AEA" w:rsidRDefault="00421257" w:rsidP="0067193B">
            <w:pPr>
              <w:pStyle w:val="A-Normal11"/>
              <w:snapToGrid w:val="0"/>
              <w:rPr>
                <w:rFonts w:ascii="Arial" w:hAnsi="Arial" w:cs="Arial"/>
                <w:sz w:val="20"/>
              </w:rPr>
            </w:pPr>
            <w:r w:rsidRPr="00AC4AEA">
              <w:rPr>
                <w:rFonts w:ascii="Arial" w:hAnsi="Arial" w:cs="Arial"/>
                <w:sz w:val="20"/>
              </w:rPr>
              <w:t>Representan, en operaciones de compra (o venta) de bienes o servicios, la diferencia entre los precios de compra (o venta) al contado de bienes o servicios y los correspondientes a operaciones a plazo que no se encuentran explicitadas en la documentación que respalda la operación.</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Confiabilidad (credibilidad)</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ind w:left="109"/>
              <w:rPr>
                <w:rFonts w:ascii="Arial" w:hAnsi="Arial" w:cs="Arial"/>
                <w:sz w:val="20"/>
                <w:szCs w:val="20"/>
              </w:rPr>
            </w:pPr>
            <w:r w:rsidRPr="00AC4AEA">
              <w:rPr>
                <w:rFonts w:ascii="Arial" w:hAnsi="Arial" w:cs="Arial"/>
                <w:sz w:val="20"/>
                <w:szCs w:val="20"/>
              </w:rPr>
              <w:t xml:space="preserve">La información debe ser creíble para sus </w:t>
            </w:r>
            <w:r w:rsidRPr="0062355E">
              <w:rPr>
                <w:rFonts w:ascii="Arial" w:hAnsi="Arial" w:cs="Arial"/>
                <w:b/>
                <w:bCs/>
                <w:sz w:val="20"/>
                <w:szCs w:val="20"/>
              </w:rPr>
              <w:t>usuarios</w:t>
            </w:r>
            <w:r w:rsidRPr="00AC4AEA">
              <w:rPr>
                <w:rFonts w:ascii="Arial" w:hAnsi="Arial" w:cs="Arial"/>
                <w:sz w:val="20"/>
                <w:szCs w:val="20"/>
              </w:rPr>
              <w:t xml:space="preserve">, de manera que estos la acepten para tomar sus decisiones. </w:t>
            </w:r>
          </w:p>
          <w:p w:rsidR="00421257" w:rsidRPr="00AC4AEA" w:rsidRDefault="00421257" w:rsidP="00A318EA">
            <w:pPr>
              <w:snapToGrid w:val="0"/>
              <w:spacing w:after="120"/>
              <w:ind w:left="109"/>
              <w:rPr>
                <w:rFonts w:ascii="Arial" w:hAnsi="Arial" w:cs="Arial"/>
                <w:sz w:val="20"/>
                <w:szCs w:val="20"/>
              </w:rPr>
            </w:pPr>
            <w:r w:rsidRPr="00AC4AEA">
              <w:rPr>
                <w:rFonts w:ascii="Arial" w:hAnsi="Arial" w:cs="Arial"/>
                <w:sz w:val="20"/>
                <w:szCs w:val="20"/>
              </w:rPr>
              <w:t>Una información confiable reúne los requisitos de aproximación a la realidad y verificabilidad.</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Contrato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ind w:left="109"/>
              <w:rPr>
                <w:rFonts w:ascii="Arial" w:hAnsi="Arial" w:cs="Arial"/>
                <w:sz w:val="20"/>
                <w:szCs w:val="20"/>
              </w:rPr>
            </w:pPr>
            <w:r w:rsidRPr="00AC4AEA">
              <w:rPr>
                <w:rFonts w:ascii="Arial" w:hAnsi="Arial" w:cs="Arial"/>
                <w:sz w:val="20"/>
                <w:szCs w:val="20"/>
              </w:rPr>
              <w:t>Acuerdo entre dos o más partes que crea derechos y obligaciones exigibles. Pueden ser escritos, orales o estar implícitos en las prácticas de negocios de la entidad.</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ind w:left="109"/>
              <w:rPr>
                <w:rFonts w:ascii="Arial" w:hAnsi="Arial" w:cs="Arial"/>
                <w:sz w:val="20"/>
                <w:szCs w:val="20"/>
              </w:rPr>
            </w:pPr>
            <w:r w:rsidRPr="00AC4AEA">
              <w:rPr>
                <w:rFonts w:ascii="Arial" w:hAnsi="Arial" w:cs="Arial"/>
                <w:sz w:val="20"/>
                <w:szCs w:val="20"/>
              </w:rPr>
              <w:t xml:space="preserve">El costo de un </w:t>
            </w:r>
            <w:r w:rsidRPr="00AC4AEA">
              <w:rPr>
                <w:rFonts w:ascii="Arial" w:hAnsi="Arial" w:cs="Arial"/>
                <w:b/>
                <w:bCs/>
                <w:sz w:val="20"/>
                <w:szCs w:val="20"/>
              </w:rPr>
              <w:t>activo</w:t>
            </w:r>
            <w:r w:rsidRPr="00AC4AEA">
              <w:rPr>
                <w:rFonts w:ascii="Arial" w:hAnsi="Arial" w:cs="Arial"/>
                <w:sz w:val="20"/>
                <w:szCs w:val="20"/>
              </w:rPr>
              <w:t xml:space="preserve"> es el sacrificio económico necesario para ponerlo en condiciones de ser vendido o utilizado, lo que corresponda en función de su destino. </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amortizado</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rPr>
                <w:rFonts w:ascii="Arial" w:hAnsi="Arial" w:cs="Arial"/>
                <w:sz w:val="20"/>
                <w:szCs w:val="20"/>
              </w:rPr>
            </w:pPr>
            <w:r w:rsidRPr="00AC4AEA">
              <w:rPr>
                <w:rFonts w:ascii="Arial" w:hAnsi="Arial" w:cs="Arial"/>
                <w:sz w:val="20"/>
                <w:szCs w:val="20"/>
              </w:rPr>
              <w:t>Es la suma algebraica de:</w:t>
            </w:r>
          </w:p>
          <w:p w:rsidR="00421257" w:rsidRPr="00AC4AEA" w:rsidRDefault="00421257" w:rsidP="00C01B25">
            <w:pPr>
              <w:pStyle w:val="Prrafodelista"/>
              <w:numPr>
                <w:ilvl w:val="0"/>
                <w:numId w:val="502"/>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el importe de la medición inicial de un crédito, inversión o deuda más</w:t>
            </w:r>
          </w:p>
          <w:p w:rsidR="00421257" w:rsidRPr="00AC4AEA" w:rsidRDefault="00421257" w:rsidP="00C01B25">
            <w:pPr>
              <w:pStyle w:val="Prrafodelista"/>
              <w:numPr>
                <w:ilvl w:val="0"/>
                <w:numId w:val="502"/>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los componentes financieros devengados menos</w:t>
            </w:r>
          </w:p>
          <w:p w:rsidR="00421257" w:rsidRPr="00AC4AEA" w:rsidRDefault="00421257" w:rsidP="00C01B25">
            <w:pPr>
              <w:pStyle w:val="Prrafodelista"/>
              <w:numPr>
                <w:ilvl w:val="0"/>
                <w:numId w:val="502"/>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las cobranzas de créditos e inversiones o el pago de deudas.</w:t>
            </w:r>
          </w:p>
          <w:p w:rsidR="00421257" w:rsidRPr="00AC4AEA" w:rsidRDefault="00421257" w:rsidP="00A318EA">
            <w:pPr>
              <w:snapToGrid w:val="0"/>
              <w:rPr>
                <w:rFonts w:ascii="Arial" w:hAnsi="Arial" w:cs="Arial"/>
                <w:sz w:val="20"/>
                <w:szCs w:val="20"/>
              </w:rPr>
            </w:pPr>
            <w:r w:rsidRPr="00AC4AEA">
              <w:rPr>
                <w:rFonts w:ascii="Arial" w:hAnsi="Arial" w:cs="Arial"/>
                <w:sz w:val="20"/>
                <w:szCs w:val="20"/>
              </w:rPr>
              <w:t>A los fines de calcular los componentes financieros devengados, se utilizará la tasa efectiva que iguale la medición inicial de los activos o pasivos con los flujos de efectivo por cobrar o por pagar, respectivamente (método de la tasa efectiva).</w:t>
            </w:r>
          </w:p>
          <w:p w:rsidR="00421257" w:rsidRPr="00AC4AEA" w:rsidRDefault="00421257" w:rsidP="00A318EA">
            <w:pPr>
              <w:pStyle w:val="A-Normal11"/>
              <w:snapToGrid w:val="0"/>
              <w:rPr>
                <w:rFonts w:ascii="Arial" w:hAnsi="Arial" w:cs="Arial"/>
                <w:sz w:val="20"/>
              </w:rPr>
            </w:pPr>
            <w:r w:rsidRPr="00AC4AEA">
              <w:rPr>
                <w:rFonts w:ascii="Arial" w:hAnsi="Arial" w:cs="Arial"/>
                <w:sz w:val="20"/>
              </w:rPr>
              <w:t xml:space="preserve">Cuando una entidad opte por la </w:t>
            </w:r>
            <w:r w:rsidRPr="00AC4AEA">
              <w:rPr>
                <w:rFonts w:ascii="Arial" w:hAnsi="Arial" w:cs="Arial"/>
                <w:b/>
                <w:bCs/>
                <w:sz w:val="20"/>
              </w:rPr>
              <w:t xml:space="preserve">política contable </w:t>
            </w:r>
            <w:r w:rsidRPr="00AC4AEA">
              <w:rPr>
                <w:rFonts w:ascii="Arial" w:hAnsi="Arial" w:cs="Arial"/>
                <w:sz w:val="20"/>
              </w:rPr>
              <w:t xml:space="preserve">establecida en esta u </w:t>
            </w:r>
            <w:r w:rsidRPr="00AC4AEA">
              <w:rPr>
                <w:rFonts w:ascii="Arial" w:hAnsi="Arial" w:cs="Arial"/>
                <w:b/>
                <w:sz w:val="20"/>
              </w:rPr>
              <w:t>otras normas contables</w:t>
            </w:r>
            <w:r w:rsidRPr="00AC4AEA">
              <w:rPr>
                <w:rFonts w:ascii="Arial" w:hAnsi="Arial" w:cs="Arial"/>
                <w:sz w:val="20"/>
              </w:rPr>
              <w:t xml:space="preserve"> de medir ciertos activos o pasivos procedentes de transacciones con </w:t>
            </w:r>
            <w:r w:rsidRPr="00AC4AEA">
              <w:rPr>
                <w:rFonts w:ascii="Arial" w:hAnsi="Arial" w:cs="Arial"/>
                <w:b/>
                <w:sz w:val="20"/>
              </w:rPr>
              <w:t>partes relacionadas</w:t>
            </w:r>
            <w:r w:rsidRPr="00AC4AEA">
              <w:rPr>
                <w:rFonts w:ascii="Arial" w:hAnsi="Arial" w:cs="Arial"/>
                <w:sz w:val="20"/>
              </w:rPr>
              <w:t xml:space="preserve"> según las condiciones pactadas, la tasa efectiva a la que se refiere el párrafo inmediato precedente será consistente con la referida </w:t>
            </w:r>
            <w:r w:rsidRPr="00AC4AEA">
              <w:rPr>
                <w:rFonts w:ascii="Arial" w:hAnsi="Arial" w:cs="Arial"/>
                <w:b/>
                <w:sz w:val="20"/>
              </w:rPr>
              <w:t>política contable</w:t>
            </w:r>
            <w:r w:rsidRPr="00AC4AEA">
              <w:rPr>
                <w:rFonts w:ascii="Arial" w:hAnsi="Arial" w:cs="Arial"/>
                <w:sz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atribuido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Importe que representa un sustituto del </w:t>
            </w:r>
            <w:r w:rsidRPr="008D0FFE">
              <w:rPr>
                <w:rFonts w:ascii="Arial" w:hAnsi="Arial" w:cs="Arial"/>
                <w:b/>
                <w:bCs/>
                <w:sz w:val="20"/>
                <w:szCs w:val="20"/>
              </w:rPr>
              <w:t xml:space="preserve">costo </w:t>
            </w:r>
            <w:r w:rsidRPr="00AC4AEA">
              <w:rPr>
                <w:rFonts w:ascii="Arial" w:hAnsi="Arial" w:cs="Arial"/>
                <w:sz w:val="20"/>
                <w:szCs w:val="20"/>
              </w:rPr>
              <w:t xml:space="preserve">a una fecha determinada. Por ejemplo, el </w:t>
            </w:r>
            <w:r w:rsidRPr="00AC4AEA">
              <w:rPr>
                <w:rFonts w:ascii="Arial" w:hAnsi="Arial" w:cs="Arial"/>
                <w:b/>
                <w:bCs/>
                <w:sz w:val="20"/>
                <w:szCs w:val="20"/>
              </w:rPr>
              <w:t>valor corriente</w:t>
            </w:r>
            <w:r w:rsidRPr="00AC4AEA">
              <w:rPr>
                <w:rFonts w:ascii="Arial" w:hAnsi="Arial" w:cs="Arial"/>
                <w:sz w:val="20"/>
                <w:szCs w:val="20"/>
              </w:rPr>
              <w:t xml:space="preserve"> utilizado para medir inicialmente un </w:t>
            </w:r>
            <w:r w:rsidRPr="00AC4AEA">
              <w:rPr>
                <w:rFonts w:ascii="Arial" w:hAnsi="Arial" w:cs="Arial"/>
                <w:b/>
                <w:bCs/>
                <w:sz w:val="20"/>
                <w:szCs w:val="20"/>
              </w:rPr>
              <w:t>activo</w:t>
            </w:r>
            <w:r w:rsidRPr="00AC4AEA">
              <w:rPr>
                <w:rFonts w:ascii="Arial" w:hAnsi="Arial" w:cs="Arial"/>
                <w:sz w:val="20"/>
                <w:szCs w:val="20"/>
              </w:rPr>
              <w:t xml:space="preserve"> recibido por donación o aporte que luego deberá medirse en función del costo.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corriente en el momento de la venta</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b/>
                <w:bCs/>
                <w:sz w:val="20"/>
                <w:szCs w:val="20"/>
              </w:rPr>
              <w:t>Costo de reposición</w:t>
            </w:r>
            <w:r w:rsidRPr="00AC4AEA">
              <w:rPr>
                <w:rFonts w:ascii="Arial" w:hAnsi="Arial" w:cs="Arial"/>
                <w:sz w:val="20"/>
                <w:szCs w:val="20"/>
              </w:rPr>
              <w:t xml:space="preserve">, </w:t>
            </w:r>
            <w:r w:rsidRPr="00AC4AEA">
              <w:rPr>
                <w:rFonts w:ascii="Arial" w:hAnsi="Arial" w:cs="Arial"/>
                <w:b/>
                <w:bCs/>
                <w:sz w:val="20"/>
                <w:szCs w:val="20"/>
              </w:rPr>
              <w:t>costo de reproducción y/o reconstrucción</w:t>
            </w:r>
            <w:r w:rsidRPr="00AC4AEA">
              <w:rPr>
                <w:rFonts w:ascii="Arial" w:hAnsi="Arial" w:cs="Arial"/>
                <w:sz w:val="20"/>
                <w:szCs w:val="20"/>
              </w:rPr>
              <w:t xml:space="preserve"> de los bienes de cambio vendidos, en el momento de la venta.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de adquisición</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la suma de los costos necesarios para adquirir un </w:t>
            </w:r>
            <w:r w:rsidRPr="00AC4AEA">
              <w:rPr>
                <w:rFonts w:ascii="Arial" w:hAnsi="Arial" w:cs="Arial"/>
                <w:b/>
                <w:bCs/>
                <w:sz w:val="20"/>
                <w:szCs w:val="20"/>
              </w:rPr>
              <w:t>activo</w:t>
            </w:r>
            <w:r w:rsidRPr="00AC4AEA">
              <w:rPr>
                <w:rFonts w:ascii="Arial" w:hAnsi="Arial" w:cs="Arial"/>
                <w:sz w:val="20"/>
                <w:szCs w:val="20"/>
              </w:rPr>
              <w:t xml:space="preserve"> o servicio.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de construcción</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la suma de los costos necesarios para construir un </w:t>
            </w:r>
            <w:r w:rsidRPr="00AC4AEA">
              <w:rPr>
                <w:rFonts w:ascii="Arial" w:hAnsi="Arial" w:cs="Arial"/>
                <w:b/>
                <w:bCs/>
                <w:sz w:val="20"/>
                <w:szCs w:val="20"/>
              </w:rPr>
              <w:t>activo</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de desarrollo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Es la suma de los costos necesarios para desarrollar un activo intangible mediante la aplicación de conocimientos científicos o de los resultados de una investigación a un plan o diseño para la producción de materiales, dispositivos, productos, métodos, procesos o sistemas nuevos, o sustancialmente mejorados, antes del comienzo de su producción o utilización comercial.</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de implantación</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la suma de los costos necesarios para implantar una </w:t>
            </w:r>
            <w:r w:rsidRPr="00AC4AEA">
              <w:rPr>
                <w:rFonts w:ascii="Arial" w:hAnsi="Arial" w:cs="Arial"/>
                <w:b/>
                <w:bCs/>
                <w:sz w:val="20"/>
                <w:szCs w:val="20"/>
              </w:rPr>
              <w:t>planta productora</w:t>
            </w:r>
            <w:r w:rsidRPr="00AC4AEA">
              <w:rPr>
                <w:rFonts w:ascii="Arial" w:hAnsi="Arial" w:cs="Arial"/>
                <w:sz w:val="20"/>
                <w:szCs w:val="20"/>
              </w:rPr>
              <w:t xml:space="preserve">. Contempla todas las erogaciones necesarias desde la preparación del suelo hasta que la planta está en condiciones de producir frutos en cantidad y calidad suficiente para una explotación comercial, en cuyo momento debe cesar la </w:t>
            </w:r>
            <w:r w:rsidRPr="00847DC6">
              <w:rPr>
                <w:rFonts w:ascii="Arial" w:hAnsi="Arial" w:cs="Arial"/>
                <w:b/>
                <w:bCs/>
                <w:sz w:val="20"/>
                <w:szCs w:val="20"/>
              </w:rPr>
              <w:t>activación</w:t>
            </w:r>
            <w:r w:rsidRPr="00AC4AEA">
              <w:rPr>
                <w:rFonts w:ascii="Arial" w:hAnsi="Arial" w:cs="Arial"/>
                <w:sz w:val="20"/>
                <w:szCs w:val="20"/>
              </w:rPr>
              <w:t xml:space="preserve">. Incluye entre otros los siguientes conceptos: preparación de los suelos, plantines, mano de obra, riego, productos químicos, etc. </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de producción</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la suma de los costos necesarios para producir un </w:t>
            </w:r>
            <w:r w:rsidRPr="00AC4AEA">
              <w:rPr>
                <w:rFonts w:ascii="Arial" w:hAnsi="Arial" w:cs="Arial"/>
                <w:b/>
                <w:bCs/>
                <w:sz w:val="20"/>
                <w:szCs w:val="20"/>
              </w:rPr>
              <w:t>activo</w:t>
            </w:r>
            <w:r w:rsidRPr="00AC4AEA">
              <w:rPr>
                <w:rFonts w:ascii="Arial" w:hAnsi="Arial" w:cs="Arial"/>
                <w:sz w:val="20"/>
                <w:szCs w:val="20"/>
              </w:rPr>
              <w:t xml:space="preserve"> o prestar un servicio.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de reposición</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el importe que surge de acumular todos los componentes del </w:t>
            </w:r>
            <w:r w:rsidRPr="00AC4AEA">
              <w:rPr>
                <w:rFonts w:ascii="Arial" w:hAnsi="Arial" w:cs="Arial"/>
                <w:b/>
                <w:bCs/>
                <w:sz w:val="20"/>
                <w:szCs w:val="20"/>
              </w:rPr>
              <w:t>costo de adquisición</w:t>
            </w:r>
            <w:r w:rsidRPr="00AC4AEA">
              <w:rPr>
                <w:rFonts w:ascii="Arial" w:hAnsi="Arial" w:cs="Arial"/>
                <w:sz w:val="20"/>
                <w:szCs w:val="20"/>
              </w:rPr>
              <w:t xml:space="preserve"> expresando cada uno de ellos en términos de su reposición, a la </w:t>
            </w:r>
            <w:r w:rsidRPr="00AC4AEA">
              <w:rPr>
                <w:rFonts w:ascii="Arial" w:hAnsi="Arial" w:cs="Arial"/>
                <w:b/>
                <w:bCs/>
                <w:sz w:val="20"/>
                <w:szCs w:val="20"/>
              </w:rPr>
              <w:t>fecha de la medición</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de reproducción y/o reconstrucción</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el importe que surge de acumular todos los componentes del </w:t>
            </w:r>
            <w:r w:rsidRPr="00AC4AEA">
              <w:rPr>
                <w:rFonts w:ascii="Arial" w:hAnsi="Arial" w:cs="Arial"/>
                <w:b/>
                <w:bCs/>
                <w:sz w:val="20"/>
                <w:szCs w:val="20"/>
              </w:rPr>
              <w:t xml:space="preserve">costo de producción </w:t>
            </w:r>
            <w:r w:rsidRPr="00AC4AEA">
              <w:rPr>
                <w:rFonts w:ascii="Arial" w:hAnsi="Arial" w:cs="Arial"/>
                <w:sz w:val="20"/>
                <w:szCs w:val="20"/>
              </w:rPr>
              <w:t>o</w:t>
            </w:r>
            <w:r w:rsidRPr="00AC4AEA">
              <w:rPr>
                <w:rFonts w:ascii="Arial" w:hAnsi="Arial" w:cs="Arial"/>
                <w:b/>
                <w:bCs/>
                <w:sz w:val="20"/>
                <w:szCs w:val="20"/>
              </w:rPr>
              <w:t xml:space="preserve"> costo de construcción </w:t>
            </w:r>
            <w:r w:rsidRPr="00AC4AEA">
              <w:rPr>
                <w:rFonts w:ascii="Arial" w:hAnsi="Arial" w:cs="Arial"/>
                <w:sz w:val="20"/>
                <w:szCs w:val="20"/>
              </w:rPr>
              <w:t xml:space="preserve">expresando cada uno de ellos en términos de su reposición, a la </w:t>
            </w:r>
            <w:r w:rsidRPr="00AC4AEA">
              <w:rPr>
                <w:rFonts w:ascii="Arial" w:hAnsi="Arial" w:cs="Arial"/>
                <w:b/>
                <w:bCs/>
                <w:sz w:val="20"/>
                <w:szCs w:val="20"/>
              </w:rPr>
              <w:t>fecha de la medición</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Costos financieros</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Se considerarán como tales a los intereses (explícitos o implícitos que se hayan segregado), actualizaciones monetarias, diferencias de cambio, premios por seguros de cambio o similares derivados de la utilización de capital ajeno, netos, en su caso, del correspondiente resultado por exposición al cambio en el poder adquisitivo de la moneda.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Costo original</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Importe asignado a un elemento en oportunidad de su reconocimiento inicial, más los desembolsos subsiguientes que sean activados hasta alguna fecha determinada según esta Resolución Técnica u </w:t>
            </w:r>
            <w:r w:rsidRPr="00AC4AEA">
              <w:rPr>
                <w:rFonts w:ascii="Arial" w:hAnsi="Arial" w:cs="Arial"/>
                <w:b/>
                <w:bCs/>
                <w:sz w:val="20"/>
                <w:szCs w:val="20"/>
              </w:rPr>
              <w:t>otras normas contables</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C1634B" w:rsidRPr="00AC4AEA" w:rsidRDefault="00C1634B" w:rsidP="00A318EA">
            <w:pPr>
              <w:tabs>
                <w:tab w:val="left" w:pos="1872"/>
              </w:tabs>
              <w:snapToGrid w:val="0"/>
              <w:rPr>
                <w:rFonts w:ascii="Arial" w:hAnsi="Arial" w:cs="Arial"/>
                <w:b/>
                <w:bCs/>
                <w:sz w:val="20"/>
                <w:szCs w:val="20"/>
              </w:rPr>
            </w:pPr>
            <w:r w:rsidRPr="00AC4AEA">
              <w:rPr>
                <w:rFonts w:ascii="Arial" w:hAnsi="Arial" w:cs="Arial"/>
                <w:b/>
                <w:bCs/>
                <w:sz w:val="20"/>
                <w:szCs w:val="20"/>
                <w:lang w:val="es-ES_tradnl"/>
              </w:rPr>
              <w:t>Cotización sucedánea</w:t>
            </w:r>
          </w:p>
        </w:tc>
        <w:tc>
          <w:tcPr>
            <w:tcW w:w="4454" w:type="dxa"/>
            <w:tcBorders>
              <w:top w:val="single" w:sz="4" w:space="0" w:color="auto"/>
              <w:left w:val="single" w:sz="4" w:space="0" w:color="auto"/>
              <w:bottom w:val="single" w:sz="4" w:space="0" w:color="auto"/>
              <w:right w:val="single" w:sz="4" w:space="0" w:color="auto"/>
            </w:tcBorders>
          </w:tcPr>
          <w:p w:rsidR="00C1634B" w:rsidRPr="00AC4AEA" w:rsidRDefault="00C1634B" w:rsidP="00A318EA">
            <w:pPr>
              <w:rPr>
                <w:rFonts w:ascii="Arial" w:hAnsi="Arial" w:cs="Arial"/>
                <w:sz w:val="20"/>
                <w:szCs w:val="20"/>
                <w:lang w:val="es-ES_tradnl"/>
              </w:rPr>
            </w:pPr>
            <w:r w:rsidRPr="00AC4AEA">
              <w:rPr>
                <w:rFonts w:ascii="Arial" w:hAnsi="Arial" w:cs="Arial"/>
                <w:sz w:val="20"/>
                <w:szCs w:val="20"/>
                <w:lang w:val="es-ES_tradnl"/>
              </w:rPr>
              <w:t xml:space="preserve">Es el precio directamente observable que se recibiría por vender un </w:t>
            </w:r>
            <w:r w:rsidRPr="00AC4AEA">
              <w:rPr>
                <w:rFonts w:ascii="Arial" w:hAnsi="Arial" w:cs="Arial"/>
                <w:b/>
                <w:bCs/>
                <w:sz w:val="20"/>
                <w:szCs w:val="20"/>
                <w:lang w:val="es-ES_tradnl"/>
              </w:rPr>
              <w:t>activo</w:t>
            </w:r>
            <w:r w:rsidRPr="00AC4AEA">
              <w:rPr>
                <w:rFonts w:ascii="Arial" w:hAnsi="Arial" w:cs="Arial"/>
                <w:sz w:val="20"/>
                <w:szCs w:val="20"/>
                <w:lang w:val="es-ES_tradnl"/>
              </w:rPr>
              <w:t xml:space="preserve"> (es decir, un precio de salida) o que se pagaría por transferir un </w:t>
            </w:r>
            <w:r w:rsidRPr="00AC4AEA">
              <w:rPr>
                <w:rFonts w:ascii="Arial" w:hAnsi="Arial" w:cs="Arial"/>
                <w:b/>
                <w:bCs/>
                <w:sz w:val="20"/>
                <w:szCs w:val="20"/>
                <w:lang w:val="es-ES_tradnl"/>
              </w:rPr>
              <w:t xml:space="preserve">pasivo, </w:t>
            </w:r>
            <w:r w:rsidRPr="00AC4AEA">
              <w:rPr>
                <w:rFonts w:ascii="Arial" w:hAnsi="Arial" w:cs="Arial"/>
                <w:sz w:val="20"/>
                <w:szCs w:val="20"/>
                <w:lang w:val="es-ES_tradnl"/>
              </w:rPr>
              <w:t xml:space="preserve">en un mercado que no reúne todas las condiciones de un </w:t>
            </w:r>
            <w:r w:rsidRPr="00AC4AEA">
              <w:rPr>
                <w:rFonts w:ascii="Arial" w:hAnsi="Arial" w:cs="Arial"/>
                <w:b/>
                <w:bCs/>
                <w:sz w:val="20"/>
                <w:szCs w:val="20"/>
                <w:lang w:val="es-ES_tradnl"/>
              </w:rPr>
              <w:t xml:space="preserve">mercado activo. </w:t>
            </w:r>
            <w:r w:rsidRPr="00AC4AEA">
              <w:rPr>
                <w:rFonts w:ascii="Arial" w:hAnsi="Arial" w:cs="Arial"/>
                <w:sz w:val="20"/>
                <w:szCs w:val="20"/>
                <w:lang w:val="es-ES_tradnl"/>
              </w:rPr>
              <w:t>Sólo puede utilizarse para la medición de activos o pasivos si:</w:t>
            </w:r>
          </w:p>
          <w:p w:rsidR="00C1634B" w:rsidRPr="00AC4AEA" w:rsidRDefault="00C1634B" w:rsidP="00C01B25">
            <w:pPr>
              <w:pStyle w:val="Prrafodelista"/>
              <w:numPr>
                <w:ilvl w:val="4"/>
                <w:numId w:val="530"/>
              </w:numPr>
              <w:spacing w:line="256" w:lineRule="auto"/>
              <w:ind w:left="300"/>
              <w:contextualSpacing w:val="0"/>
              <w:rPr>
                <w:rFonts w:ascii="Arial" w:hAnsi="Arial" w:cs="Arial"/>
                <w:sz w:val="20"/>
                <w:szCs w:val="20"/>
                <w:lang w:val="es-ES_tradnl"/>
              </w:rPr>
            </w:pPr>
            <w:r w:rsidRPr="00AC4AEA">
              <w:rPr>
                <w:rFonts w:ascii="Arial" w:hAnsi="Arial" w:cs="Arial"/>
                <w:sz w:val="20"/>
                <w:szCs w:val="20"/>
                <w:lang w:val="es-ES_tradnl"/>
              </w:rPr>
              <w:t xml:space="preserve">lo admite esta Resolución Técnica u </w:t>
            </w:r>
            <w:r w:rsidRPr="00AC4AEA">
              <w:rPr>
                <w:rFonts w:ascii="Arial" w:hAnsi="Arial" w:cs="Arial"/>
                <w:b/>
                <w:bCs/>
                <w:sz w:val="20"/>
                <w:szCs w:val="20"/>
                <w:lang w:val="es-ES_tradnl"/>
              </w:rPr>
              <w:t>otras normas contables</w:t>
            </w:r>
            <w:r w:rsidRPr="00AC4AEA">
              <w:rPr>
                <w:rFonts w:ascii="Arial" w:hAnsi="Arial" w:cs="Arial"/>
                <w:sz w:val="20"/>
                <w:szCs w:val="20"/>
                <w:lang w:val="es-ES_tradnl"/>
              </w:rPr>
              <w:t>; y</w:t>
            </w:r>
          </w:p>
          <w:p w:rsidR="00C1634B" w:rsidRPr="00AC4AEA" w:rsidRDefault="00C1634B" w:rsidP="00C01B25">
            <w:pPr>
              <w:pStyle w:val="Prrafodelista"/>
              <w:numPr>
                <w:ilvl w:val="4"/>
                <w:numId w:val="530"/>
              </w:numPr>
              <w:spacing w:line="256" w:lineRule="auto"/>
              <w:ind w:left="300"/>
              <w:contextualSpacing w:val="0"/>
              <w:rPr>
                <w:rFonts w:ascii="Arial" w:hAnsi="Arial" w:cs="Arial"/>
                <w:sz w:val="20"/>
                <w:szCs w:val="20"/>
                <w:lang w:val="es-ES_tradnl"/>
              </w:rPr>
            </w:pPr>
            <w:r w:rsidRPr="00AC4AEA">
              <w:rPr>
                <w:rFonts w:ascii="Arial" w:hAnsi="Arial" w:cs="Arial"/>
                <w:sz w:val="20"/>
                <w:szCs w:val="20"/>
                <w:lang w:val="es-ES_tradnl"/>
              </w:rPr>
              <w:t xml:space="preserve">no es posible determinar el </w:t>
            </w:r>
            <w:r w:rsidRPr="00AC4AEA">
              <w:rPr>
                <w:rFonts w:ascii="Arial" w:hAnsi="Arial" w:cs="Arial"/>
                <w:b/>
                <w:bCs/>
                <w:sz w:val="20"/>
                <w:szCs w:val="20"/>
                <w:lang w:val="es-ES_tradnl"/>
              </w:rPr>
              <w:t>valor razonable</w:t>
            </w:r>
            <w:r w:rsidRPr="00AC4AEA">
              <w:rPr>
                <w:rFonts w:ascii="Arial" w:hAnsi="Arial" w:cs="Arial"/>
                <w:sz w:val="20"/>
                <w:szCs w:val="20"/>
                <w:lang w:val="es-ES_tradnl"/>
              </w:rPr>
              <w:t xml:space="preserve"> del </w:t>
            </w:r>
            <w:r w:rsidRPr="00AC4AEA">
              <w:rPr>
                <w:rFonts w:ascii="Arial" w:hAnsi="Arial" w:cs="Arial"/>
                <w:b/>
                <w:bCs/>
                <w:sz w:val="20"/>
                <w:szCs w:val="20"/>
                <w:lang w:val="es-ES_tradnl"/>
              </w:rPr>
              <w:t>activo</w:t>
            </w:r>
            <w:r w:rsidRPr="00AC4AEA">
              <w:rPr>
                <w:rFonts w:ascii="Arial" w:hAnsi="Arial" w:cs="Arial"/>
                <w:sz w:val="20"/>
                <w:szCs w:val="20"/>
                <w:lang w:val="es-ES_tradnl"/>
              </w:rPr>
              <w:t xml:space="preserve"> o </w:t>
            </w:r>
            <w:r w:rsidRPr="00AC4AEA">
              <w:rPr>
                <w:rFonts w:ascii="Arial" w:hAnsi="Arial" w:cs="Arial"/>
                <w:b/>
                <w:bCs/>
                <w:sz w:val="20"/>
                <w:szCs w:val="20"/>
                <w:lang w:val="es-ES_tradnl"/>
              </w:rPr>
              <w:t>pasivo</w:t>
            </w:r>
            <w:r w:rsidRPr="00AC4AEA">
              <w:rPr>
                <w:rFonts w:ascii="Arial" w:hAnsi="Arial" w:cs="Arial"/>
                <w:sz w:val="20"/>
                <w:szCs w:val="20"/>
                <w:lang w:val="es-ES_tradnl"/>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Deudas computables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Deudas cuyos </w:t>
            </w:r>
            <w:r w:rsidRPr="00AC4AEA">
              <w:rPr>
                <w:rFonts w:ascii="Arial" w:hAnsi="Arial" w:cs="Arial"/>
                <w:b/>
                <w:bCs/>
                <w:sz w:val="20"/>
                <w:szCs w:val="20"/>
              </w:rPr>
              <w:t>costos financieros</w:t>
            </w:r>
            <w:r w:rsidRPr="00AC4AEA">
              <w:rPr>
                <w:rFonts w:ascii="Arial" w:hAnsi="Arial" w:cs="Arial"/>
                <w:sz w:val="20"/>
                <w:szCs w:val="20"/>
              </w:rPr>
              <w:t xml:space="preserve"> pueden contabilizarse como parte del </w:t>
            </w:r>
            <w:r w:rsidRPr="008D0FFE">
              <w:rPr>
                <w:rFonts w:ascii="Arial" w:hAnsi="Arial" w:cs="Arial"/>
                <w:b/>
                <w:bCs/>
                <w:sz w:val="20"/>
                <w:szCs w:val="20"/>
              </w:rPr>
              <w:t xml:space="preserve">costo </w:t>
            </w:r>
            <w:r w:rsidRPr="00AC4AEA">
              <w:rPr>
                <w:rFonts w:ascii="Arial" w:hAnsi="Arial" w:cs="Arial"/>
                <w:sz w:val="20"/>
                <w:szCs w:val="20"/>
              </w:rPr>
              <w:t xml:space="preserve">de un </w:t>
            </w:r>
            <w:r w:rsidRPr="00AC4AEA">
              <w:rPr>
                <w:rFonts w:ascii="Arial" w:hAnsi="Arial" w:cs="Arial"/>
                <w:b/>
                <w:bCs/>
                <w:sz w:val="20"/>
                <w:szCs w:val="20"/>
              </w:rPr>
              <w:t>activo apto para activación de costos financieros.</w:t>
            </w:r>
            <w:r w:rsidRPr="00AC4AEA">
              <w:rPr>
                <w:rFonts w:ascii="Arial" w:hAnsi="Arial" w:cs="Arial"/>
                <w:sz w:val="20"/>
                <w:szCs w:val="20"/>
              </w:rPr>
              <w:t xml:space="preserve"> Comprenden obligaciones tales como las contraídas con los proveedores de préstamos, tenedores de obligaciones negociables o bonos similares, y las originadas en compras de bienes y/o servicios cuando los plazos de financiación convenidos excedan a los habituales de mercado.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Diferencias de inventario</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Es la técnica consistente en medir el costo de los bienes vendidos o servicios prestados mediante la siguiente fórmula:</w:t>
            </w:r>
          </w:p>
          <w:p w:rsidR="00421257" w:rsidRPr="00AC4AEA" w:rsidRDefault="00421257" w:rsidP="00C01B25">
            <w:pPr>
              <w:pStyle w:val="Prrafodelista"/>
              <w:numPr>
                <w:ilvl w:val="0"/>
                <w:numId w:val="503"/>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Medición de la existencia inicial de bienes de cambio.</w:t>
            </w:r>
          </w:p>
          <w:p w:rsidR="00421257" w:rsidRPr="00AC4AEA" w:rsidRDefault="00421257" w:rsidP="00C01B25">
            <w:pPr>
              <w:pStyle w:val="Prrafodelista"/>
              <w:numPr>
                <w:ilvl w:val="0"/>
                <w:numId w:val="503"/>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(más) Compras de bienes de cambio.</w:t>
            </w:r>
          </w:p>
          <w:p w:rsidR="00237FBE" w:rsidRPr="00AC4AEA" w:rsidRDefault="00421257" w:rsidP="00C01B25">
            <w:pPr>
              <w:pStyle w:val="Prrafodelista"/>
              <w:numPr>
                <w:ilvl w:val="0"/>
                <w:numId w:val="503"/>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(más) Gastos de producción o construcción.</w:t>
            </w:r>
          </w:p>
          <w:p w:rsidR="00237FBE" w:rsidRPr="00AC4AEA" w:rsidRDefault="00237FBE" w:rsidP="00C01B25">
            <w:pPr>
              <w:pStyle w:val="Prrafodelista"/>
              <w:numPr>
                <w:ilvl w:val="0"/>
                <w:numId w:val="503"/>
              </w:numPr>
              <w:spacing w:line="256" w:lineRule="auto"/>
              <w:ind w:left="459" w:hanging="459"/>
              <w:contextualSpacing w:val="0"/>
              <w:rPr>
                <w:rFonts w:ascii="Arial" w:hAnsi="Arial" w:cs="Arial"/>
                <w:sz w:val="20"/>
                <w:szCs w:val="20"/>
              </w:rPr>
            </w:pPr>
            <w:r w:rsidRPr="00AC4AEA">
              <w:rPr>
                <w:rFonts w:ascii="Arial" w:hAnsi="Arial" w:cs="Arial"/>
                <w:sz w:val="20"/>
                <w:szCs w:val="20"/>
              </w:rPr>
              <w:t xml:space="preserve">(más / menos) </w:t>
            </w:r>
            <w:r w:rsidR="006056E5" w:rsidRPr="00AC4AEA">
              <w:rPr>
                <w:rFonts w:ascii="Arial" w:hAnsi="Arial" w:cs="Arial"/>
                <w:sz w:val="20"/>
                <w:szCs w:val="20"/>
              </w:rPr>
              <w:t>otras variaciones no consideradas en los incisos anteriores, debiendo indicar, en el caso en que presente esta partida, los conceptos incluidos en ella;</w:t>
            </w:r>
          </w:p>
          <w:p w:rsidR="00421257" w:rsidRPr="00AC4AEA" w:rsidRDefault="00421257" w:rsidP="00C01B25">
            <w:pPr>
              <w:pStyle w:val="Prrafodelista"/>
              <w:numPr>
                <w:ilvl w:val="0"/>
                <w:numId w:val="503"/>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(menos) Medición de la existencia final.</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Dirección</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Persona o grupo de personas con atribuciones y responsabilidad legal para la emisión de </w:t>
            </w:r>
            <w:r w:rsidRPr="00AC4AEA">
              <w:rPr>
                <w:rFonts w:ascii="Arial" w:hAnsi="Arial" w:cs="Arial"/>
                <w:b/>
                <w:bCs/>
                <w:sz w:val="20"/>
                <w:szCs w:val="20"/>
              </w:rPr>
              <w:t>estados contables</w:t>
            </w:r>
            <w:r w:rsidRPr="00AC4AEA">
              <w:rPr>
                <w:rFonts w:ascii="Arial" w:hAnsi="Arial" w:cs="Arial"/>
                <w:sz w:val="20"/>
                <w:szCs w:val="20"/>
              </w:rPr>
              <w:t>. En general, coincidirá con el órgano de administración de una entidad.</w:t>
            </w:r>
          </w:p>
        </w:tc>
      </w:tr>
      <w:tr w:rsidR="00DC1034" w:rsidRPr="00AC4AEA" w:rsidTr="00492773">
        <w:tc>
          <w:tcPr>
            <w:tcW w:w="3609" w:type="dxa"/>
            <w:tcBorders>
              <w:top w:val="single" w:sz="4" w:space="0" w:color="auto"/>
              <w:left w:val="single" w:sz="4" w:space="0" w:color="auto"/>
              <w:bottom w:val="single" w:sz="4" w:space="0" w:color="auto"/>
              <w:right w:val="single" w:sz="4" w:space="0" w:color="auto"/>
            </w:tcBorders>
          </w:tcPr>
          <w:p w:rsidR="009668F2" w:rsidRPr="00AC4AEA" w:rsidRDefault="009668F2" w:rsidP="00492773">
            <w:pPr>
              <w:tabs>
                <w:tab w:val="left" w:pos="1872"/>
              </w:tabs>
              <w:snapToGrid w:val="0"/>
              <w:rPr>
                <w:rFonts w:ascii="Arial" w:hAnsi="Arial" w:cs="Arial"/>
                <w:b/>
                <w:bCs/>
                <w:sz w:val="20"/>
                <w:szCs w:val="20"/>
              </w:rPr>
            </w:pPr>
            <w:r w:rsidRPr="00AC4AEA">
              <w:rPr>
                <w:rFonts w:ascii="Arial" w:hAnsi="Arial" w:cs="Arial"/>
                <w:b/>
                <w:bCs/>
                <w:sz w:val="20"/>
                <w:szCs w:val="20"/>
              </w:rPr>
              <w:t>Entidad del exterior</w:t>
            </w:r>
          </w:p>
          <w:p w:rsidR="009668F2" w:rsidRPr="00AC4AEA" w:rsidRDefault="009668F2" w:rsidP="00492773">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9668F2" w:rsidRPr="00AC4AEA" w:rsidRDefault="009668F2" w:rsidP="009668F2">
            <w:pPr>
              <w:spacing w:after="151" w:line="256" w:lineRule="auto"/>
              <w:ind w:hanging="10"/>
              <w:rPr>
                <w:rFonts w:ascii="Arial" w:hAnsi="Arial" w:cs="Arial"/>
                <w:sz w:val="20"/>
                <w:szCs w:val="20"/>
              </w:rPr>
            </w:pPr>
            <w:r w:rsidRPr="00AC4AEA">
              <w:rPr>
                <w:rFonts w:ascii="Arial" w:hAnsi="Arial" w:cs="Arial"/>
                <w:sz w:val="20"/>
                <w:szCs w:val="20"/>
              </w:rPr>
              <w:t>Entidad que:</w:t>
            </w:r>
            <w:r w:rsidR="006F2C57">
              <w:rPr>
                <w:rFonts w:ascii="Arial" w:hAnsi="Arial" w:cs="Arial"/>
                <w:sz w:val="20"/>
                <w:szCs w:val="20"/>
              </w:rPr>
              <w:t xml:space="preserve"> </w:t>
            </w:r>
          </w:p>
          <w:p w:rsidR="009668F2" w:rsidRPr="00AC4AEA" w:rsidRDefault="009668F2" w:rsidP="00C01B25">
            <w:pPr>
              <w:numPr>
                <w:ilvl w:val="0"/>
                <w:numId w:val="630"/>
              </w:numPr>
              <w:ind w:left="392"/>
              <w:rPr>
                <w:rFonts w:ascii="Arial" w:hAnsi="Arial" w:cs="Arial"/>
                <w:sz w:val="20"/>
                <w:szCs w:val="20"/>
              </w:rPr>
            </w:pPr>
            <w:r w:rsidRPr="00AC4AEA">
              <w:rPr>
                <w:rStyle w:val="NUA-DefinicionesCar"/>
                <w:sz w:val="20"/>
                <w:szCs w:val="20"/>
              </w:rPr>
              <w:t xml:space="preserve">utiliza una </w:t>
            </w:r>
            <w:r w:rsidRPr="002B0F58">
              <w:rPr>
                <w:rStyle w:val="NUA-DefinicionesCar"/>
                <w:b/>
                <w:bCs/>
                <w:sz w:val="20"/>
                <w:szCs w:val="20"/>
              </w:rPr>
              <w:t>moneda extranjera</w:t>
            </w:r>
            <w:r w:rsidRPr="00AC4AEA">
              <w:rPr>
                <w:rStyle w:val="NUA-DefinicionesCar"/>
                <w:sz w:val="20"/>
                <w:szCs w:val="20"/>
              </w:rPr>
              <w:t xml:space="preserve"> para la preparación de sus </w:t>
            </w:r>
            <w:r w:rsidRPr="00AC4AEA">
              <w:rPr>
                <w:rStyle w:val="NUA-DefinicionesCar"/>
                <w:b/>
                <w:bCs/>
                <w:sz w:val="20"/>
                <w:szCs w:val="20"/>
              </w:rPr>
              <w:t>estados contables</w:t>
            </w:r>
            <w:r w:rsidRPr="00AC4AEA">
              <w:rPr>
                <w:rStyle w:val="NUA-DefinicionesCar"/>
                <w:sz w:val="20"/>
                <w:szCs w:val="20"/>
              </w:rPr>
              <w:t>;</w:t>
            </w:r>
            <w:r w:rsidRPr="00AC4AEA">
              <w:rPr>
                <w:rFonts w:ascii="Arial" w:hAnsi="Arial" w:cs="Arial"/>
                <w:sz w:val="20"/>
                <w:szCs w:val="20"/>
              </w:rPr>
              <w:t xml:space="preserve"> y</w:t>
            </w:r>
            <w:r w:rsidR="006F2C57">
              <w:rPr>
                <w:rFonts w:ascii="Arial" w:hAnsi="Arial" w:cs="Arial"/>
                <w:sz w:val="20"/>
                <w:szCs w:val="20"/>
              </w:rPr>
              <w:t xml:space="preserve"> </w:t>
            </w:r>
          </w:p>
          <w:p w:rsidR="009668F2" w:rsidRPr="00AC4AEA" w:rsidRDefault="009668F2" w:rsidP="00C01B25">
            <w:pPr>
              <w:numPr>
                <w:ilvl w:val="0"/>
                <w:numId w:val="630"/>
              </w:numPr>
              <w:ind w:left="392" w:hanging="392"/>
              <w:rPr>
                <w:rFonts w:ascii="Arial" w:hAnsi="Arial" w:cs="Arial"/>
                <w:sz w:val="20"/>
                <w:szCs w:val="20"/>
              </w:rPr>
            </w:pPr>
            <w:r w:rsidRPr="00AC4AEA">
              <w:rPr>
                <w:rFonts w:ascii="Arial" w:hAnsi="Arial" w:cs="Arial"/>
                <w:sz w:val="20"/>
                <w:szCs w:val="20"/>
              </w:rPr>
              <w:t xml:space="preserve">es controlada, controlada conjuntamente o asociada de la entidad emisora de los </w:t>
            </w:r>
            <w:r w:rsidRPr="00AC4AEA">
              <w:rPr>
                <w:rFonts w:ascii="Arial" w:hAnsi="Arial" w:cs="Arial"/>
                <w:b/>
                <w:bCs/>
                <w:sz w:val="20"/>
                <w:szCs w:val="20"/>
              </w:rPr>
              <w:t>estados contables</w:t>
            </w:r>
            <w:r w:rsidRPr="00AC4AEA">
              <w:rPr>
                <w:rFonts w:ascii="Arial" w:hAnsi="Arial" w:cs="Arial"/>
                <w:sz w:val="20"/>
                <w:szCs w:val="20"/>
              </w:rPr>
              <w:t xml:space="preserve">. </w:t>
            </w:r>
          </w:p>
          <w:p w:rsidR="009668F2" w:rsidRPr="00AC4AEA" w:rsidRDefault="009668F2" w:rsidP="00492773">
            <w:pPr>
              <w:snapToGrid w:val="0"/>
              <w:spacing w:after="120"/>
              <w:rPr>
                <w:rFonts w:ascii="Arial" w:hAnsi="Arial" w:cs="Arial"/>
                <w:sz w:val="20"/>
                <w:szCs w:val="20"/>
              </w:rPr>
            </w:pP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 xml:space="preserve">Empresa en marcha </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Es aquella que está en funcionamiento y se espera continuará con sus actividades dentro del futuro previsible.</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Entidad emisora de estados contables</w:t>
            </w:r>
          </w:p>
        </w:tc>
        <w:tc>
          <w:tcPr>
            <w:tcW w:w="4454" w:type="dxa"/>
            <w:tcBorders>
              <w:top w:val="single" w:sz="4" w:space="0" w:color="auto"/>
              <w:left w:val="single" w:sz="4" w:space="0" w:color="auto"/>
              <w:bottom w:val="single" w:sz="4" w:space="0" w:color="auto"/>
              <w:right w:val="single" w:sz="4" w:space="0" w:color="auto"/>
            </w:tcBorders>
          </w:tcPr>
          <w:p w:rsidR="00421257" w:rsidRPr="00AC4AEA" w:rsidRDefault="00421257" w:rsidP="0067193B">
            <w:pPr>
              <w:pStyle w:val="Prrafodelista"/>
              <w:snapToGrid w:val="0"/>
              <w:ind w:left="0"/>
              <w:contextualSpacing w:val="0"/>
              <w:rPr>
                <w:rFonts w:ascii="Arial" w:hAnsi="Arial" w:cs="Arial"/>
                <w:sz w:val="20"/>
                <w:szCs w:val="20"/>
              </w:rPr>
            </w:pPr>
            <w:r w:rsidRPr="00AC4AEA">
              <w:rPr>
                <w:rFonts w:ascii="Arial" w:hAnsi="Arial" w:cs="Arial"/>
                <w:sz w:val="20"/>
                <w:szCs w:val="20"/>
              </w:rPr>
              <w:t xml:space="preserve">Cualquier entidad que está obligada, o elige, presentar </w:t>
            </w:r>
            <w:r w:rsidRPr="00AC4AEA">
              <w:rPr>
                <w:rFonts w:ascii="Arial" w:hAnsi="Arial" w:cs="Arial"/>
                <w:b/>
                <w:bCs/>
                <w:sz w:val="20"/>
                <w:szCs w:val="20"/>
              </w:rPr>
              <w:t>estados contables</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Estados contables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Presentación estructurada de información contable histórica, que incluye notas explicativas, cuya finalidad es la de informar sobre los recursos económicos y las obligaciones de una entidad en un momento determinado o sobre los cambios registrados en ellos en un período de tiempo, de conformidad con un marco de información contable. Las notas explicativas normalmente incluyen un resumen de las </w:t>
            </w:r>
            <w:r w:rsidRPr="00AC4AEA">
              <w:rPr>
                <w:rFonts w:ascii="Arial" w:hAnsi="Arial" w:cs="Arial"/>
                <w:b/>
                <w:bCs/>
                <w:sz w:val="20"/>
                <w:szCs w:val="20"/>
              </w:rPr>
              <w:t>políticas contables</w:t>
            </w:r>
            <w:r w:rsidRPr="00AC4AEA">
              <w:rPr>
                <w:rFonts w:ascii="Arial" w:hAnsi="Arial" w:cs="Arial"/>
                <w:sz w:val="20"/>
                <w:szCs w:val="20"/>
              </w:rPr>
              <w:t xml:space="preserve"> significativas y otra información explicativa. El término “</w:t>
            </w:r>
            <w:r w:rsidRPr="00AC4AEA">
              <w:rPr>
                <w:rFonts w:ascii="Arial" w:hAnsi="Arial" w:cs="Arial"/>
                <w:b/>
                <w:bCs/>
                <w:sz w:val="20"/>
                <w:szCs w:val="20"/>
              </w:rPr>
              <w:t>estados contables</w:t>
            </w:r>
            <w:r w:rsidRPr="00AC4AEA">
              <w:rPr>
                <w:rFonts w:ascii="Arial" w:hAnsi="Arial" w:cs="Arial"/>
                <w:sz w:val="20"/>
                <w:szCs w:val="20"/>
              </w:rPr>
              <w:t xml:space="preserve">” normalmente se refiere a un conjunto completo de </w:t>
            </w:r>
            <w:r w:rsidRPr="00AC4AEA">
              <w:rPr>
                <w:rFonts w:ascii="Arial" w:hAnsi="Arial" w:cs="Arial"/>
                <w:b/>
                <w:bCs/>
                <w:sz w:val="20"/>
                <w:szCs w:val="20"/>
              </w:rPr>
              <w:t>estados contables</w:t>
            </w:r>
            <w:r w:rsidRPr="00AC4AEA">
              <w:rPr>
                <w:rFonts w:ascii="Arial" w:hAnsi="Arial" w:cs="Arial"/>
                <w:sz w:val="20"/>
                <w:szCs w:val="20"/>
              </w:rPr>
              <w:t xml:space="preserve"> establecido por los requerimientos del marco de información contable aplicable, pero también puede referirse a un solo estado contable.</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Estados contables consolidados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Son los </w:t>
            </w:r>
            <w:r w:rsidRPr="00AC4AEA">
              <w:rPr>
                <w:rFonts w:ascii="Arial" w:hAnsi="Arial" w:cs="Arial"/>
                <w:b/>
                <w:bCs/>
                <w:sz w:val="20"/>
                <w:szCs w:val="20"/>
              </w:rPr>
              <w:t>estados contables</w:t>
            </w:r>
            <w:r w:rsidRPr="00AC4AEA">
              <w:rPr>
                <w:rFonts w:ascii="Arial" w:hAnsi="Arial" w:cs="Arial"/>
                <w:sz w:val="20"/>
                <w:szCs w:val="20"/>
              </w:rPr>
              <w:t xml:space="preserve"> donde se presentan los activos, pasivos, componentes del </w:t>
            </w:r>
            <w:r w:rsidRPr="008826C7">
              <w:rPr>
                <w:rFonts w:ascii="Arial" w:hAnsi="Arial" w:cs="Arial"/>
                <w:b/>
                <w:bCs/>
                <w:sz w:val="20"/>
                <w:szCs w:val="20"/>
              </w:rPr>
              <w:t>patrimonio neto</w:t>
            </w:r>
            <w:r w:rsidRPr="00AC4AEA">
              <w:rPr>
                <w:rFonts w:ascii="Arial" w:hAnsi="Arial" w:cs="Arial"/>
                <w:sz w:val="20"/>
                <w:szCs w:val="20"/>
              </w:rPr>
              <w:t>, ingresos, gastos, ganancias, pérdidas y flujos de efectivo de la controladora y sus controladas (identificadas como un grupo) como si fueran los de una sola entidad económica.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Estados contables individuales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Son los </w:t>
            </w:r>
            <w:r w:rsidRPr="00AC4AEA">
              <w:rPr>
                <w:rFonts w:ascii="Arial" w:hAnsi="Arial" w:cs="Arial"/>
                <w:b/>
                <w:bCs/>
                <w:sz w:val="20"/>
                <w:szCs w:val="20"/>
              </w:rPr>
              <w:t>estados contables</w:t>
            </w:r>
            <w:r w:rsidRPr="00AC4AEA">
              <w:rPr>
                <w:rFonts w:ascii="Arial" w:hAnsi="Arial" w:cs="Arial"/>
                <w:sz w:val="20"/>
                <w:szCs w:val="20"/>
              </w:rPr>
              <w:t xml:space="preserve"> que elabora una entidad individual que no controla a ninguna otra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Estados contables separados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Son los </w:t>
            </w:r>
            <w:r w:rsidRPr="00AC4AEA">
              <w:rPr>
                <w:rFonts w:ascii="Arial" w:hAnsi="Arial" w:cs="Arial"/>
                <w:b/>
                <w:bCs/>
                <w:sz w:val="20"/>
                <w:szCs w:val="20"/>
              </w:rPr>
              <w:t>estados contables</w:t>
            </w:r>
            <w:r w:rsidRPr="00AC4AEA">
              <w:rPr>
                <w:rFonts w:ascii="Arial" w:hAnsi="Arial" w:cs="Arial"/>
                <w:sz w:val="20"/>
                <w:szCs w:val="20"/>
              </w:rPr>
              <w:t xml:space="preserve"> elaborados por una entidad individual que es una entidad controladora. En tales </w:t>
            </w:r>
            <w:r w:rsidRPr="00AC4AEA">
              <w:rPr>
                <w:rFonts w:ascii="Arial" w:hAnsi="Arial" w:cs="Arial"/>
                <w:b/>
                <w:bCs/>
                <w:sz w:val="20"/>
                <w:szCs w:val="20"/>
              </w:rPr>
              <w:t>estados contables</w:t>
            </w:r>
            <w:r w:rsidRPr="00AC4AEA">
              <w:rPr>
                <w:rFonts w:ascii="Arial" w:hAnsi="Arial" w:cs="Arial"/>
                <w:sz w:val="20"/>
                <w:szCs w:val="20"/>
              </w:rPr>
              <w:t xml:space="preserve">, la entidad mide sus participaciones en entidades controladas, negocios conjuntos en los que ejerce control conjunto o asociadas utilizando el método del </w:t>
            </w:r>
            <w:r w:rsidRPr="00050219">
              <w:rPr>
                <w:rFonts w:ascii="Arial" w:hAnsi="Arial" w:cs="Arial"/>
                <w:b/>
                <w:bCs/>
                <w:sz w:val="20"/>
                <w:szCs w:val="20"/>
              </w:rPr>
              <w:t>valor patrimonial proporcional</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 xml:space="preserve">Evolución financiera </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El concepto de recursos financieros a ser utilizado como base para la preparación de las informaciones contables referidas a la </w:t>
            </w:r>
            <w:r w:rsidRPr="00DD6554">
              <w:rPr>
                <w:rFonts w:ascii="Arial" w:hAnsi="Arial" w:cs="Arial"/>
                <w:b/>
                <w:bCs/>
                <w:sz w:val="20"/>
                <w:szCs w:val="20"/>
              </w:rPr>
              <w:t>evolución financiera</w:t>
            </w:r>
            <w:r w:rsidRPr="00AC4AEA">
              <w:rPr>
                <w:rFonts w:ascii="Arial" w:hAnsi="Arial" w:cs="Arial"/>
                <w:sz w:val="20"/>
                <w:szCs w:val="20"/>
              </w:rPr>
              <w:t xml:space="preserve"> debería integrarse con: </w:t>
            </w:r>
          </w:p>
          <w:p w:rsidR="00421257" w:rsidRPr="00AC4AEA" w:rsidRDefault="00421257" w:rsidP="00C01B25">
            <w:pPr>
              <w:pStyle w:val="Prrafodelista"/>
              <w:numPr>
                <w:ilvl w:val="0"/>
                <w:numId w:val="504"/>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 xml:space="preserve">el efectivo; </w:t>
            </w:r>
          </w:p>
          <w:p w:rsidR="00421257" w:rsidRPr="00AC4AEA" w:rsidRDefault="00421257" w:rsidP="00C01B25">
            <w:pPr>
              <w:pStyle w:val="Prrafodelista"/>
              <w:numPr>
                <w:ilvl w:val="0"/>
                <w:numId w:val="504"/>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 xml:space="preserve">los equivalentes de efectivo, considerándose como tales a las inversiones de alta liquidez que son fácilmente convertibles en efectivo y están sujetas a riesgos insignificantes de cambios de valor. </w:t>
            </w:r>
          </w:p>
          <w:p w:rsidR="00421257" w:rsidRPr="00AC4AEA" w:rsidRDefault="00421257" w:rsidP="00A318EA">
            <w:pPr>
              <w:snapToGrid w:val="0"/>
              <w:rPr>
                <w:rFonts w:ascii="Arial" w:hAnsi="Arial" w:cs="Arial"/>
                <w:sz w:val="20"/>
                <w:szCs w:val="20"/>
              </w:rPr>
            </w:pPr>
            <w:r w:rsidRPr="00AC4AEA">
              <w:rPr>
                <w:rFonts w:ascii="Arial" w:hAnsi="Arial" w:cs="Arial"/>
                <w:sz w:val="20"/>
                <w:szCs w:val="20"/>
              </w:rPr>
              <w:t xml:space="preserve">Las variaciones del efectivo y sus equivalentes constituyen: </w:t>
            </w:r>
          </w:p>
          <w:p w:rsidR="00421257" w:rsidRPr="00AC4AEA" w:rsidRDefault="00421257" w:rsidP="00C01B25">
            <w:pPr>
              <w:pStyle w:val="Prrafodelista"/>
              <w:numPr>
                <w:ilvl w:val="0"/>
                <w:numId w:val="505"/>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 xml:space="preserve">entradas de efectivo y sus equivalentes; y </w:t>
            </w:r>
          </w:p>
          <w:p w:rsidR="00421257" w:rsidRPr="00AC4AEA" w:rsidRDefault="00421257" w:rsidP="00C01B25">
            <w:pPr>
              <w:pStyle w:val="Prrafodelista"/>
              <w:numPr>
                <w:ilvl w:val="0"/>
                <w:numId w:val="505"/>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salidas de efectivo y sus equivalentes.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 xml:space="preserve">Evolución patrimonial </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ind w:left="111" w:hanging="1"/>
              <w:rPr>
                <w:rFonts w:ascii="Arial" w:hAnsi="Arial" w:cs="Arial"/>
                <w:sz w:val="20"/>
                <w:szCs w:val="20"/>
              </w:rPr>
            </w:pPr>
            <w:r w:rsidRPr="00AC4AEA">
              <w:rPr>
                <w:rFonts w:ascii="Arial" w:hAnsi="Arial" w:cs="Arial"/>
                <w:sz w:val="20"/>
                <w:szCs w:val="20"/>
              </w:rPr>
              <w:t xml:space="preserve">A lo largo de un período, la cuantía del </w:t>
            </w:r>
            <w:r w:rsidRPr="00AC4AEA">
              <w:rPr>
                <w:rFonts w:ascii="Arial" w:hAnsi="Arial" w:cs="Arial"/>
                <w:b/>
                <w:bCs/>
                <w:sz w:val="20"/>
                <w:szCs w:val="20"/>
              </w:rPr>
              <w:t>patrimonio neto</w:t>
            </w:r>
            <w:r w:rsidRPr="00AC4AEA">
              <w:rPr>
                <w:rFonts w:ascii="Arial" w:hAnsi="Arial" w:cs="Arial"/>
                <w:sz w:val="20"/>
                <w:szCs w:val="20"/>
              </w:rPr>
              <w:t xml:space="preserve"> de una entidad varía como consecuencia de las transacciones con los propietarios en su carácter de tales (o sus equivalentes, en las entidades sin fines de lucro) y el resultado de un período, que es la variación patrimonial no atribuible a dichas transacciones. </w:t>
            </w:r>
          </w:p>
          <w:p w:rsidR="00421257" w:rsidRPr="00AC4AEA" w:rsidRDefault="00421257" w:rsidP="00424708">
            <w:pPr>
              <w:snapToGrid w:val="0"/>
              <w:ind w:left="111" w:firstLine="1"/>
              <w:rPr>
                <w:rFonts w:ascii="Arial" w:hAnsi="Arial" w:cs="Arial"/>
                <w:sz w:val="20"/>
                <w:szCs w:val="20"/>
              </w:rPr>
            </w:pPr>
            <w:r w:rsidRPr="00AC4AEA">
              <w:rPr>
                <w:rFonts w:ascii="Arial" w:hAnsi="Arial" w:cs="Arial"/>
                <w:sz w:val="20"/>
                <w:szCs w:val="20"/>
              </w:rPr>
              <w:t>El resultado del período se compone de los siguientes elementos:</w:t>
            </w:r>
          </w:p>
          <w:p w:rsidR="00421257" w:rsidRPr="00AC4AEA" w:rsidRDefault="00421257" w:rsidP="00C01B25">
            <w:pPr>
              <w:pStyle w:val="Prrafodelista"/>
              <w:numPr>
                <w:ilvl w:val="0"/>
                <w:numId w:val="506"/>
              </w:numPr>
              <w:snapToGrid w:val="0"/>
              <w:spacing w:line="264" w:lineRule="auto"/>
              <w:ind w:left="395" w:hanging="283"/>
              <w:contextualSpacing w:val="0"/>
              <w:rPr>
                <w:rFonts w:ascii="Arial" w:hAnsi="Arial" w:cs="Arial"/>
                <w:sz w:val="20"/>
                <w:szCs w:val="20"/>
              </w:rPr>
            </w:pPr>
            <w:r w:rsidRPr="00AC4AEA">
              <w:rPr>
                <w:rFonts w:ascii="Arial" w:hAnsi="Arial" w:cs="Arial"/>
                <w:sz w:val="20"/>
                <w:szCs w:val="20"/>
              </w:rPr>
              <w:t>ingresos, gastos, ganancias y pérdidas;</w:t>
            </w:r>
          </w:p>
          <w:p w:rsidR="00421257" w:rsidRPr="00AC4AEA" w:rsidRDefault="00421257" w:rsidP="00C01B25">
            <w:pPr>
              <w:pStyle w:val="Prrafodelista"/>
              <w:numPr>
                <w:ilvl w:val="0"/>
                <w:numId w:val="506"/>
              </w:numPr>
              <w:snapToGrid w:val="0"/>
              <w:spacing w:line="264" w:lineRule="auto"/>
              <w:ind w:left="395" w:hanging="283"/>
              <w:contextualSpacing w:val="0"/>
              <w:rPr>
                <w:rFonts w:ascii="Arial" w:hAnsi="Arial" w:cs="Arial"/>
                <w:sz w:val="20"/>
                <w:szCs w:val="20"/>
              </w:rPr>
            </w:pPr>
            <w:r w:rsidRPr="00AC4AEA">
              <w:rPr>
                <w:rFonts w:ascii="Arial" w:hAnsi="Arial" w:cs="Arial"/>
                <w:sz w:val="20"/>
                <w:szCs w:val="20"/>
              </w:rPr>
              <w:t xml:space="preserve">impuestos que gravan las ganancias finales. </w:t>
            </w:r>
          </w:p>
          <w:p w:rsidR="00421257" w:rsidRPr="00AC4AEA" w:rsidRDefault="00421257" w:rsidP="00160F73">
            <w:pPr>
              <w:snapToGrid w:val="0"/>
              <w:rPr>
                <w:rFonts w:ascii="Arial" w:hAnsi="Arial" w:cs="Arial"/>
                <w:sz w:val="20"/>
                <w:szCs w:val="20"/>
              </w:rPr>
            </w:pPr>
            <w:r w:rsidRPr="00AC4AEA">
              <w:rPr>
                <w:rFonts w:ascii="Arial" w:hAnsi="Arial" w:cs="Arial"/>
                <w:sz w:val="20"/>
                <w:szCs w:val="20"/>
              </w:rPr>
              <w:t xml:space="preserve">El resultado del período se denomina </w:t>
            </w:r>
            <w:r w:rsidRPr="00AC4AEA">
              <w:rPr>
                <w:rFonts w:ascii="Arial" w:hAnsi="Arial" w:cs="Arial"/>
                <w:b/>
                <w:bCs/>
                <w:sz w:val="20"/>
                <w:szCs w:val="20"/>
              </w:rPr>
              <w:t xml:space="preserve">ganancia </w:t>
            </w:r>
            <w:r w:rsidRPr="00AC4AEA">
              <w:rPr>
                <w:rFonts w:ascii="Arial" w:hAnsi="Arial" w:cs="Arial"/>
                <w:sz w:val="20"/>
                <w:szCs w:val="20"/>
              </w:rPr>
              <w:t xml:space="preserve">o superávit cuando aumenta el </w:t>
            </w:r>
            <w:r w:rsidRPr="00AC4AEA">
              <w:rPr>
                <w:rFonts w:ascii="Arial" w:hAnsi="Arial" w:cs="Arial"/>
                <w:b/>
                <w:bCs/>
                <w:sz w:val="20"/>
                <w:szCs w:val="20"/>
              </w:rPr>
              <w:t>patrimonio neto</w:t>
            </w:r>
            <w:r w:rsidRPr="00AC4AEA">
              <w:rPr>
                <w:rFonts w:ascii="Arial" w:hAnsi="Arial" w:cs="Arial"/>
                <w:sz w:val="20"/>
                <w:szCs w:val="20"/>
              </w:rPr>
              <w:t xml:space="preserve"> y </w:t>
            </w:r>
            <w:r w:rsidRPr="00AC4AEA">
              <w:rPr>
                <w:rFonts w:ascii="Arial" w:hAnsi="Arial" w:cs="Arial"/>
                <w:b/>
                <w:bCs/>
                <w:sz w:val="20"/>
                <w:szCs w:val="20"/>
              </w:rPr>
              <w:t xml:space="preserve">pérdida </w:t>
            </w:r>
            <w:r w:rsidRPr="00AC4AEA">
              <w:rPr>
                <w:rFonts w:ascii="Arial" w:hAnsi="Arial" w:cs="Arial"/>
                <w:sz w:val="20"/>
                <w:szCs w:val="20"/>
              </w:rPr>
              <w:t>o déficit en el caso contrario.</w:t>
            </w:r>
          </w:p>
          <w:p w:rsidR="00421257" w:rsidRPr="00AC4AEA" w:rsidRDefault="00421257" w:rsidP="00160F73">
            <w:pPr>
              <w:snapToGrid w:val="0"/>
              <w:rPr>
                <w:rFonts w:ascii="Arial" w:hAnsi="Arial" w:cs="Arial"/>
                <w:sz w:val="20"/>
                <w:szCs w:val="20"/>
              </w:rPr>
            </w:pPr>
            <w:r w:rsidRPr="00AC4AEA">
              <w:rPr>
                <w:rFonts w:ascii="Arial" w:hAnsi="Arial" w:cs="Arial"/>
                <w:sz w:val="20"/>
                <w:szCs w:val="20"/>
              </w:rPr>
              <w:t xml:space="preserve">Algunas operaciones no alteran la cuantía del </w:t>
            </w:r>
            <w:r w:rsidRPr="00AC4AEA">
              <w:rPr>
                <w:rFonts w:ascii="Arial" w:hAnsi="Arial" w:cs="Arial"/>
                <w:b/>
                <w:bCs/>
                <w:sz w:val="20"/>
                <w:szCs w:val="20"/>
              </w:rPr>
              <w:t>patrimonio neto</w:t>
            </w:r>
            <w:r w:rsidRPr="00AC4AEA">
              <w:rPr>
                <w:rFonts w:ascii="Arial" w:hAnsi="Arial" w:cs="Arial"/>
                <w:sz w:val="20"/>
                <w:szCs w:val="20"/>
              </w:rPr>
              <w:t>, por tratarse de variaciones patrimoniales cualitativas (por ejemplo, constitución/desafectación de reservas o capitalización de resultados acumulados).</w:t>
            </w:r>
          </w:p>
        </w:tc>
      </w:tr>
      <w:tr w:rsidR="00C64206" w:rsidRPr="00AC4AEA" w:rsidTr="00421257">
        <w:tc>
          <w:tcPr>
            <w:tcW w:w="3609" w:type="dxa"/>
            <w:tcBorders>
              <w:top w:val="single" w:sz="4" w:space="0" w:color="auto"/>
              <w:left w:val="single" w:sz="4" w:space="0" w:color="auto"/>
              <w:bottom w:val="single" w:sz="4" w:space="0" w:color="auto"/>
              <w:right w:val="single" w:sz="4" w:space="0" w:color="auto"/>
            </w:tcBorders>
          </w:tcPr>
          <w:p w:rsidR="00C64206" w:rsidRPr="00AC4AEA" w:rsidRDefault="00C64206" w:rsidP="00C64206">
            <w:pPr>
              <w:tabs>
                <w:tab w:val="left" w:pos="1872"/>
              </w:tabs>
              <w:snapToGrid w:val="0"/>
              <w:rPr>
                <w:rFonts w:ascii="Arial" w:hAnsi="Arial" w:cs="Arial"/>
                <w:b/>
                <w:bCs/>
                <w:sz w:val="20"/>
                <w:szCs w:val="20"/>
              </w:rPr>
            </w:pPr>
            <w:r>
              <w:rPr>
                <w:rFonts w:ascii="Arial" w:hAnsi="Arial" w:cs="Arial"/>
                <w:b/>
                <w:bCs/>
                <w:sz w:val="20"/>
                <w:szCs w:val="20"/>
                <w:lang w:val="es-ES_tradnl"/>
              </w:rPr>
              <w:t>Fecha de adquisición</w:t>
            </w:r>
            <w:r>
              <w:rPr>
                <w:rFonts w:ascii="Arial" w:hAnsi="Arial" w:cs="Arial"/>
                <w:sz w:val="20"/>
                <w:szCs w:val="20"/>
                <w:lang w:val="es-ES_tradnl"/>
              </w:rPr>
              <w:t xml:space="preserve"> (de otra entidad)</w:t>
            </w:r>
          </w:p>
        </w:tc>
        <w:tc>
          <w:tcPr>
            <w:tcW w:w="4454" w:type="dxa"/>
            <w:tcBorders>
              <w:top w:val="single" w:sz="4" w:space="0" w:color="auto"/>
              <w:left w:val="single" w:sz="4" w:space="0" w:color="auto"/>
              <w:bottom w:val="single" w:sz="4" w:space="0" w:color="auto"/>
              <w:right w:val="single" w:sz="4" w:space="0" w:color="auto"/>
            </w:tcBorders>
          </w:tcPr>
          <w:p w:rsidR="00C64206" w:rsidRPr="00AC4AEA" w:rsidRDefault="00C64206" w:rsidP="00160F73">
            <w:pPr>
              <w:snapToGrid w:val="0"/>
              <w:spacing w:after="120"/>
              <w:rPr>
                <w:rFonts w:ascii="Arial" w:hAnsi="Arial" w:cs="Arial"/>
                <w:sz w:val="20"/>
                <w:szCs w:val="20"/>
              </w:rPr>
            </w:pPr>
            <w:r>
              <w:rPr>
                <w:rFonts w:ascii="Arial" w:hAnsi="Arial" w:cs="Arial"/>
                <w:sz w:val="20"/>
                <w:szCs w:val="20"/>
                <w:lang w:val="es-ES_tradnl"/>
              </w:rPr>
              <w:t>Fecha en la que una entidad obtiene control, participación en un negocio conjunto o influencia significativa sobre otra entidad.</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Fecha de la medición</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la fecha correspondiente al momento en el cual se mide un elemento sobre el cual se informa en los </w:t>
            </w:r>
            <w:r w:rsidRPr="00AC4AEA">
              <w:rPr>
                <w:rFonts w:ascii="Arial" w:hAnsi="Arial" w:cs="Arial"/>
                <w:b/>
                <w:bCs/>
                <w:sz w:val="20"/>
                <w:szCs w:val="20"/>
              </w:rPr>
              <w:t>estados contables</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Fecha de los estados contables</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la fecha correspondiente al final del período sobre el cual informan los </w:t>
            </w:r>
            <w:r w:rsidRPr="00AC4AEA">
              <w:rPr>
                <w:rFonts w:ascii="Arial" w:hAnsi="Arial" w:cs="Arial"/>
                <w:b/>
                <w:bCs/>
                <w:sz w:val="20"/>
                <w:szCs w:val="20"/>
              </w:rPr>
              <w:t>estados contables</w:t>
            </w:r>
            <w:r w:rsidRPr="00AC4AEA">
              <w:rPr>
                <w:rFonts w:ascii="Arial" w:hAnsi="Arial" w:cs="Arial"/>
                <w:sz w:val="20"/>
                <w:szCs w:val="20"/>
              </w:rPr>
              <w:t>. Dicha fecha coincidirá con la fecha de cierre de ejercicio o con la fecha final del período intermedio al cual se refieren dichos estados.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Ganancia</w:t>
            </w:r>
          </w:p>
        </w:tc>
        <w:tc>
          <w:tcPr>
            <w:tcW w:w="4454" w:type="dxa"/>
            <w:tcBorders>
              <w:top w:val="single" w:sz="4" w:space="0" w:color="auto"/>
              <w:left w:val="single" w:sz="4" w:space="0" w:color="auto"/>
              <w:bottom w:val="single" w:sz="4" w:space="0" w:color="auto"/>
              <w:right w:val="single" w:sz="4" w:space="0" w:color="auto"/>
            </w:tcBorders>
            <w:hideMark/>
          </w:tcPr>
          <w:p w:rsidR="00EB07B9"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Es el aumento del </w:t>
            </w:r>
            <w:r w:rsidRPr="00AC4AEA">
              <w:rPr>
                <w:rFonts w:ascii="Arial" w:hAnsi="Arial" w:cs="Arial"/>
                <w:b/>
                <w:bCs/>
                <w:sz w:val="20"/>
                <w:szCs w:val="20"/>
              </w:rPr>
              <w:t>patrimonio neto</w:t>
            </w:r>
            <w:r w:rsidRPr="00AC4AEA">
              <w:rPr>
                <w:rFonts w:ascii="Arial" w:hAnsi="Arial" w:cs="Arial"/>
                <w:sz w:val="20"/>
                <w:szCs w:val="20"/>
              </w:rPr>
              <w:t xml:space="preserve"> debido a operaciones secundarias u otras transacciones</w:t>
            </w:r>
            <w:r w:rsidR="00EB07B9">
              <w:rPr>
                <w:rFonts w:ascii="Arial" w:hAnsi="Arial" w:cs="Arial"/>
                <w:sz w:val="20"/>
                <w:szCs w:val="20"/>
              </w:rPr>
              <w:t>, hechos</w:t>
            </w:r>
            <w:r w:rsidRPr="00AC4AEA">
              <w:rPr>
                <w:rFonts w:ascii="Arial" w:hAnsi="Arial" w:cs="Arial"/>
                <w:sz w:val="20"/>
                <w:szCs w:val="20"/>
              </w:rPr>
              <w:t xml:space="preserve"> o circunstancias, no proveniente de ingresos o transacciones con los propietarios en su carácter de tales</w:t>
            </w:r>
            <w:r w:rsidR="00EB07B9">
              <w:rPr>
                <w:rFonts w:ascii="Arial" w:hAnsi="Arial" w:cs="Arial"/>
                <w:sz w:val="20"/>
                <w:szCs w:val="20"/>
              </w:rPr>
              <w:t xml:space="preserve"> </w:t>
            </w:r>
            <w:r w:rsidR="00EB07B9" w:rsidRPr="00EB07B9">
              <w:rPr>
                <w:rFonts w:ascii="Arial" w:hAnsi="Arial" w:cs="Arial"/>
                <w:sz w:val="20"/>
                <w:szCs w:val="20"/>
              </w:rPr>
              <w:t>que, de acuerdo con esta Resolución Técnica u otras normas contables, no se reconocen en los resultados diferidos.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Gasto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b/>
                <w:bCs/>
                <w:sz w:val="20"/>
                <w:szCs w:val="20"/>
              </w:rPr>
              <w:t>Gasto</w:t>
            </w:r>
            <w:r w:rsidRPr="00AC4AEA">
              <w:rPr>
                <w:rFonts w:ascii="Arial" w:hAnsi="Arial" w:cs="Arial"/>
                <w:sz w:val="20"/>
                <w:szCs w:val="20"/>
              </w:rPr>
              <w:t xml:space="preserve"> es la disminución del </w:t>
            </w:r>
            <w:r w:rsidRPr="00AC4AEA">
              <w:rPr>
                <w:rFonts w:ascii="Arial" w:hAnsi="Arial" w:cs="Arial"/>
                <w:b/>
                <w:bCs/>
                <w:sz w:val="20"/>
                <w:szCs w:val="20"/>
              </w:rPr>
              <w:t>patrimonio neto</w:t>
            </w:r>
            <w:r w:rsidRPr="00AC4AEA">
              <w:rPr>
                <w:rFonts w:ascii="Arial" w:hAnsi="Arial" w:cs="Arial"/>
                <w:sz w:val="20"/>
                <w:szCs w:val="20"/>
              </w:rPr>
              <w:t xml:space="preserve"> no derivada de transacciones con los propietarios en su carácter de tales, relacionada con las actividades principales de la entidad.</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Impracticable</w:t>
            </w:r>
          </w:p>
        </w:tc>
        <w:tc>
          <w:tcPr>
            <w:tcW w:w="4454" w:type="dxa"/>
            <w:tcBorders>
              <w:top w:val="single" w:sz="4" w:space="0" w:color="auto"/>
              <w:left w:val="single" w:sz="4" w:space="0" w:color="auto"/>
              <w:bottom w:val="single" w:sz="4" w:space="0" w:color="auto"/>
              <w:right w:val="single" w:sz="4" w:space="0" w:color="auto"/>
            </w:tcBorders>
          </w:tcPr>
          <w:p w:rsidR="00421257" w:rsidRPr="00893898" w:rsidRDefault="00421257" w:rsidP="00160F73">
            <w:pPr>
              <w:snapToGrid w:val="0"/>
              <w:spacing w:after="120"/>
              <w:rPr>
                <w:rFonts w:ascii="Arial" w:hAnsi="Arial" w:cs="Arial"/>
                <w:sz w:val="20"/>
                <w:szCs w:val="20"/>
              </w:rPr>
            </w:pPr>
            <w:r w:rsidRPr="00AC4AEA">
              <w:rPr>
                <w:rFonts w:ascii="Arial" w:hAnsi="Arial" w:cs="Arial"/>
                <w:sz w:val="20"/>
                <w:szCs w:val="20"/>
              </w:rPr>
              <w:t xml:space="preserve">A una entidad le resultará </w:t>
            </w:r>
            <w:r w:rsidRPr="00AC4AEA">
              <w:rPr>
                <w:rFonts w:ascii="Arial" w:hAnsi="Arial" w:cs="Arial"/>
                <w:b/>
                <w:bCs/>
                <w:sz w:val="20"/>
                <w:szCs w:val="20"/>
              </w:rPr>
              <w:t>impracticable</w:t>
            </w:r>
            <w:r w:rsidRPr="00AC4AEA">
              <w:rPr>
                <w:rFonts w:ascii="Arial" w:hAnsi="Arial" w:cs="Arial"/>
                <w:sz w:val="20"/>
                <w:szCs w:val="20"/>
              </w:rPr>
              <w:t xml:space="preserve"> modificar la información de períodos anteriores </w:t>
            </w:r>
            <w:r w:rsidRPr="00893898">
              <w:rPr>
                <w:rFonts w:ascii="Arial" w:hAnsi="Arial" w:cs="Arial"/>
                <w:sz w:val="20"/>
                <w:szCs w:val="20"/>
              </w:rPr>
              <w:t xml:space="preserve">por un cambio de norma o </w:t>
            </w:r>
            <w:r w:rsidRPr="00893898">
              <w:rPr>
                <w:rFonts w:ascii="Arial" w:hAnsi="Arial" w:cs="Arial"/>
                <w:b/>
                <w:bCs/>
                <w:sz w:val="20"/>
                <w:szCs w:val="20"/>
              </w:rPr>
              <w:t>política contable</w:t>
            </w:r>
            <w:r w:rsidRPr="00893898">
              <w:rPr>
                <w:rFonts w:ascii="Arial" w:hAnsi="Arial" w:cs="Arial"/>
                <w:sz w:val="20"/>
                <w:szCs w:val="20"/>
              </w:rPr>
              <w:t xml:space="preserve"> o por corrección de un error cuando: </w:t>
            </w:r>
          </w:p>
          <w:p w:rsidR="00421257" w:rsidRPr="00893898" w:rsidRDefault="00421257" w:rsidP="00C01B25">
            <w:pPr>
              <w:pStyle w:val="Prrafodelista"/>
              <w:numPr>
                <w:ilvl w:val="0"/>
                <w:numId w:val="507"/>
              </w:numPr>
              <w:snapToGrid w:val="0"/>
              <w:spacing w:after="120" w:line="264" w:lineRule="auto"/>
              <w:ind w:left="535" w:hanging="535"/>
              <w:contextualSpacing w:val="0"/>
              <w:rPr>
                <w:rFonts w:ascii="Arial" w:hAnsi="Arial" w:cs="Arial"/>
                <w:sz w:val="20"/>
                <w:szCs w:val="20"/>
              </w:rPr>
            </w:pPr>
            <w:r w:rsidRPr="00893898">
              <w:rPr>
                <w:rFonts w:ascii="Arial" w:hAnsi="Arial" w:cs="Arial"/>
                <w:sz w:val="20"/>
                <w:szCs w:val="20"/>
              </w:rPr>
              <w:t>los efectos de la aplicación retroactiva no son determinables (por ejemplo, si en el período cuya información deba modificar no hubiese recopilado los datos necesarios para tal modificación y no resulte factible su reconstrucción); </w:t>
            </w:r>
          </w:p>
          <w:p w:rsidR="00421257" w:rsidRPr="00893898" w:rsidRDefault="00421257" w:rsidP="00C01B25">
            <w:pPr>
              <w:pStyle w:val="Prrafodelista"/>
              <w:numPr>
                <w:ilvl w:val="0"/>
                <w:numId w:val="507"/>
              </w:numPr>
              <w:snapToGrid w:val="0"/>
              <w:spacing w:after="120" w:line="264" w:lineRule="auto"/>
              <w:ind w:left="535" w:hanging="535"/>
              <w:contextualSpacing w:val="0"/>
              <w:rPr>
                <w:rFonts w:ascii="Arial" w:hAnsi="Arial" w:cs="Arial"/>
                <w:sz w:val="20"/>
                <w:szCs w:val="20"/>
              </w:rPr>
            </w:pPr>
            <w:r w:rsidRPr="00893898">
              <w:rPr>
                <w:rFonts w:ascii="Arial" w:hAnsi="Arial" w:cs="Arial"/>
                <w:sz w:val="20"/>
                <w:szCs w:val="20"/>
              </w:rPr>
              <w:t>necesite estimaciones significativas relativas a transacciones, eventos o condiciones de ese período anterior y no cuente con evidencias acerca de las circunstancias para efectuar tales estimaciones; o </w:t>
            </w:r>
          </w:p>
          <w:p w:rsidR="00421257" w:rsidRPr="00AC4AEA" w:rsidRDefault="00421257" w:rsidP="00C01B25">
            <w:pPr>
              <w:pStyle w:val="Prrafodelista"/>
              <w:numPr>
                <w:ilvl w:val="0"/>
                <w:numId w:val="507"/>
              </w:numPr>
              <w:snapToGrid w:val="0"/>
              <w:spacing w:after="120" w:line="264" w:lineRule="auto"/>
              <w:ind w:left="535" w:hanging="535"/>
              <w:contextualSpacing w:val="0"/>
              <w:rPr>
                <w:rFonts w:ascii="Arial" w:hAnsi="Arial" w:cs="Arial"/>
                <w:sz w:val="20"/>
                <w:szCs w:val="20"/>
              </w:rPr>
            </w:pPr>
            <w:r w:rsidRPr="00893898">
              <w:rPr>
                <w:rFonts w:ascii="Arial" w:hAnsi="Arial" w:cs="Arial"/>
                <w:sz w:val="20"/>
                <w:szCs w:val="20"/>
              </w:rPr>
              <w:t xml:space="preserve">no pueda establecer si las evidencias disponibles ya existían a la fecha en que los </w:t>
            </w:r>
            <w:r w:rsidRPr="00893898">
              <w:rPr>
                <w:rFonts w:ascii="Arial" w:hAnsi="Arial" w:cs="Arial"/>
                <w:b/>
                <w:bCs/>
                <w:sz w:val="20"/>
                <w:szCs w:val="20"/>
              </w:rPr>
              <w:t>estados contables</w:t>
            </w:r>
            <w:r w:rsidRPr="00893898">
              <w:rPr>
                <w:rFonts w:ascii="Arial" w:hAnsi="Arial" w:cs="Arial"/>
                <w:sz w:val="20"/>
                <w:szCs w:val="20"/>
              </w:rPr>
              <w:t xml:space="preserve"> a modificar fueron originalmente emitidos o si están basadas en información posterior, a la que no corresponde dar efecto retroactivo.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Índice de precios FACPCE</w:t>
            </w:r>
          </w:p>
        </w:tc>
        <w:tc>
          <w:tcPr>
            <w:tcW w:w="4454" w:type="dxa"/>
            <w:tcBorders>
              <w:top w:val="single" w:sz="4" w:space="0" w:color="auto"/>
              <w:left w:val="single" w:sz="4" w:space="0" w:color="auto"/>
              <w:bottom w:val="single" w:sz="4" w:space="0" w:color="auto"/>
              <w:right w:val="single" w:sz="4" w:space="0" w:color="auto"/>
            </w:tcBorders>
          </w:tcPr>
          <w:p w:rsidR="00421257" w:rsidRPr="00AC4AEA" w:rsidRDefault="00421257" w:rsidP="00160F73">
            <w:pPr>
              <w:snapToGrid w:val="0"/>
              <w:rPr>
                <w:rFonts w:ascii="Arial" w:hAnsi="Arial" w:cs="Arial"/>
                <w:sz w:val="20"/>
                <w:szCs w:val="20"/>
              </w:rPr>
            </w:pPr>
            <w:r w:rsidRPr="00AC4AEA">
              <w:rPr>
                <w:rFonts w:ascii="Arial" w:hAnsi="Arial" w:cs="Arial"/>
                <w:sz w:val="20"/>
                <w:szCs w:val="20"/>
              </w:rPr>
              <w:t>Es el resultante de combinar los siguientes índices publicados por el INDEC:</w:t>
            </w:r>
          </w:p>
          <w:p w:rsidR="00421257" w:rsidRPr="00AC4AEA" w:rsidRDefault="00421257" w:rsidP="00C01B25">
            <w:pPr>
              <w:pStyle w:val="Prrafodelista"/>
              <w:numPr>
                <w:ilvl w:val="0"/>
                <w:numId w:val="508"/>
              </w:numPr>
              <w:snapToGrid w:val="0"/>
              <w:spacing w:line="256" w:lineRule="auto"/>
              <w:ind w:left="325"/>
              <w:contextualSpacing w:val="0"/>
              <w:rPr>
                <w:rFonts w:ascii="Arial" w:hAnsi="Arial" w:cs="Arial"/>
                <w:sz w:val="20"/>
                <w:szCs w:val="20"/>
              </w:rPr>
            </w:pPr>
            <w:r w:rsidRPr="00AC4AEA">
              <w:rPr>
                <w:rFonts w:ascii="Arial" w:hAnsi="Arial" w:cs="Arial"/>
                <w:sz w:val="20"/>
                <w:szCs w:val="20"/>
              </w:rPr>
              <w:t>el índice de precios internos mayoristas (IPIM) hasta diciembre de 2016, según lo establecido por la Resolución (JG) 517/2016; y</w:t>
            </w:r>
          </w:p>
          <w:p w:rsidR="00421257" w:rsidRPr="00AC4AEA" w:rsidRDefault="00421257" w:rsidP="00C01B25">
            <w:pPr>
              <w:pStyle w:val="Prrafodelista"/>
              <w:numPr>
                <w:ilvl w:val="0"/>
                <w:numId w:val="508"/>
              </w:numPr>
              <w:snapToGrid w:val="0"/>
              <w:spacing w:line="256" w:lineRule="auto"/>
              <w:ind w:left="325"/>
              <w:contextualSpacing w:val="0"/>
              <w:rPr>
                <w:rFonts w:ascii="Arial" w:hAnsi="Arial" w:cs="Arial"/>
                <w:sz w:val="20"/>
                <w:szCs w:val="20"/>
              </w:rPr>
            </w:pPr>
            <w:r w:rsidRPr="00AC4AEA">
              <w:rPr>
                <w:rFonts w:ascii="Arial" w:hAnsi="Arial" w:cs="Arial"/>
                <w:sz w:val="20"/>
                <w:szCs w:val="20"/>
              </w:rPr>
              <w:t>el índice de precios al consumidor (IPC) nacional, mes base: diciembre de 2016.</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Ingreso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rPr>
                <w:rFonts w:ascii="Arial" w:hAnsi="Arial" w:cs="Arial"/>
                <w:sz w:val="20"/>
                <w:szCs w:val="20"/>
              </w:rPr>
            </w:pPr>
            <w:r w:rsidRPr="00AC4AEA">
              <w:rPr>
                <w:rFonts w:ascii="Arial" w:hAnsi="Arial" w:cs="Arial"/>
                <w:sz w:val="20"/>
                <w:szCs w:val="20"/>
              </w:rPr>
              <w:t xml:space="preserve">Es el aumento del </w:t>
            </w:r>
            <w:r w:rsidRPr="00AC4AEA">
              <w:rPr>
                <w:rFonts w:ascii="Arial" w:hAnsi="Arial" w:cs="Arial"/>
                <w:b/>
                <w:bCs/>
                <w:sz w:val="20"/>
                <w:szCs w:val="20"/>
              </w:rPr>
              <w:t>patrimonio neto</w:t>
            </w:r>
            <w:r w:rsidRPr="00AC4AEA">
              <w:rPr>
                <w:rFonts w:ascii="Arial" w:hAnsi="Arial" w:cs="Arial"/>
                <w:sz w:val="20"/>
                <w:szCs w:val="20"/>
              </w:rPr>
              <w:t xml:space="preserve"> no derivado de transacciones con los propietarios en su carácter de tales y generado por:</w:t>
            </w:r>
          </w:p>
          <w:p w:rsidR="00421257" w:rsidRPr="00AC4AEA" w:rsidRDefault="00421257" w:rsidP="00C01B25">
            <w:pPr>
              <w:pStyle w:val="Prrafodelista"/>
              <w:numPr>
                <w:ilvl w:val="0"/>
                <w:numId w:val="509"/>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la producción o venta de bienes, prestación de servicios, contratos de construcción u otros hechos vinculados con las actividades principales de la entidad; y</w:t>
            </w:r>
          </w:p>
          <w:p w:rsidR="00421257" w:rsidRPr="00AC4AEA" w:rsidRDefault="00421257" w:rsidP="00C01B25">
            <w:pPr>
              <w:pStyle w:val="Prrafodelista"/>
              <w:numPr>
                <w:ilvl w:val="0"/>
                <w:numId w:val="509"/>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actividades internas, tales como el crecimiento natural o inducido de la extracción de petróleo o gas.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Ingresos de actividades ordinarias</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Son los aumentos del </w:t>
            </w:r>
            <w:r w:rsidRPr="00AC4AEA">
              <w:rPr>
                <w:rFonts w:ascii="Arial" w:hAnsi="Arial" w:cs="Arial"/>
                <w:b/>
                <w:bCs/>
                <w:sz w:val="20"/>
                <w:szCs w:val="20"/>
              </w:rPr>
              <w:t>patrimonio neto</w:t>
            </w:r>
            <w:r w:rsidRPr="00AC4AEA">
              <w:rPr>
                <w:rFonts w:ascii="Arial" w:hAnsi="Arial" w:cs="Arial"/>
                <w:sz w:val="20"/>
                <w:szCs w:val="20"/>
              </w:rPr>
              <w:t xml:space="preserve"> originados en la producción o venta de bienes, en la prestación de servicios, la construcción de activos u otros hechos que hacen a las actividades principales de la entidad.</w:t>
            </w:r>
          </w:p>
          <w:p w:rsidR="00421257" w:rsidRPr="00AC4AEA" w:rsidRDefault="00421257" w:rsidP="00A318EA">
            <w:pPr>
              <w:tabs>
                <w:tab w:val="left" w:pos="1872"/>
              </w:tabs>
              <w:snapToGrid w:val="0"/>
              <w:spacing w:after="120"/>
              <w:rPr>
                <w:rFonts w:ascii="Arial" w:hAnsi="Arial" w:cs="Arial"/>
                <w:sz w:val="20"/>
                <w:szCs w:val="20"/>
              </w:rPr>
            </w:pPr>
            <w:r w:rsidRPr="00AC4AEA">
              <w:rPr>
                <w:rFonts w:ascii="Arial" w:hAnsi="Arial" w:cs="Arial"/>
                <w:sz w:val="20"/>
                <w:szCs w:val="20"/>
              </w:rPr>
              <w:t>Incluyen:</w:t>
            </w:r>
          </w:p>
          <w:p w:rsidR="00421257" w:rsidRPr="00AC4AEA" w:rsidRDefault="00421257" w:rsidP="00C01B25">
            <w:pPr>
              <w:pStyle w:val="Prrafodelista"/>
              <w:numPr>
                <w:ilvl w:val="0"/>
                <w:numId w:val="510"/>
              </w:numPr>
              <w:snapToGrid w:val="0"/>
              <w:spacing w:line="256" w:lineRule="auto"/>
              <w:ind w:left="457"/>
              <w:contextualSpacing w:val="0"/>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ingresos de actividades ordinarias</w:t>
            </w:r>
            <w:r w:rsidRPr="00AC4AEA">
              <w:rPr>
                <w:rFonts w:ascii="Arial" w:hAnsi="Arial" w:cs="Arial"/>
                <w:sz w:val="20"/>
                <w:szCs w:val="20"/>
              </w:rPr>
              <w:t xml:space="preserve"> procedentes de transacciones (operaciones de intercambio); y</w:t>
            </w:r>
          </w:p>
          <w:p w:rsidR="00421257" w:rsidRPr="00AC4AEA" w:rsidRDefault="00421257" w:rsidP="00C01B25">
            <w:pPr>
              <w:pStyle w:val="Prrafodelista"/>
              <w:numPr>
                <w:ilvl w:val="0"/>
                <w:numId w:val="510"/>
              </w:numPr>
              <w:snapToGrid w:val="0"/>
              <w:spacing w:line="256" w:lineRule="auto"/>
              <w:ind w:left="457"/>
              <w:contextualSpacing w:val="0"/>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ingresos</w:t>
            </w:r>
            <w:r w:rsidRPr="00AC4AEA">
              <w:rPr>
                <w:rFonts w:ascii="Arial" w:hAnsi="Arial" w:cs="Arial"/>
                <w:sz w:val="20"/>
                <w:szCs w:val="20"/>
              </w:rPr>
              <w:t xml:space="preserve"> generados por actividades internas, tales como el crecimiento natural o inducido de determinados activos en una explotación agropecuaria o la extracción de petróleo o gas en esta industria. </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Ingresos financieros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ind w:left="112"/>
              <w:rPr>
                <w:rFonts w:ascii="Arial" w:hAnsi="Arial" w:cs="Arial"/>
                <w:sz w:val="20"/>
                <w:szCs w:val="20"/>
              </w:rPr>
            </w:pPr>
            <w:r w:rsidRPr="00AC4AEA">
              <w:rPr>
                <w:rFonts w:ascii="Arial" w:hAnsi="Arial" w:cs="Arial"/>
                <w:sz w:val="20"/>
                <w:szCs w:val="20"/>
              </w:rPr>
              <w:t>Se considerarán como tales a los intereses (explícitos o implícitos que se hayan segregado), actualizaciones monetarias y diferencias de cambio (netas de premios por seguros de cambio) derivados de las inversiones financieras realizadas y de los créditos en moneda otorgados a terceros, netos, en su caso, del correspondiente resultado por exposición al cambio en el poder adquisitivo de la moneda.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Instrumento financiero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pStyle w:val="Default"/>
              <w:snapToGrid w:val="0"/>
              <w:spacing w:after="160" w:line="240" w:lineRule="auto"/>
              <w:ind w:left="109" w:firstLine="0"/>
              <w:rPr>
                <w:color w:val="auto"/>
                <w:sz w:val="20"/>
                <w:szCs w:val="20"/>
                <w:lang w:val="es-AR"/>
              </w:rPr>
            </w:pPr>
            <w:r w:rsidRPr="00AC4AEA">
              <w:rPr>
                <w:color w:val="auto"/>
                <w:sz w:val="20"/>
                <w:szCs w:val="20"/>
                <w:lang w:val="es-AR"/>
              </w:rPr>
              <w:t xml:space="preserve">Es un </w:t>
            </w:r>
            <w:r w:rsidRPr="003A4B10">
              <w:rPr>
                <w:b/>
                <w:bCs/>
                <w:color w:val="auto"/>
                <w:sz w:val="20"/>
                <w:szCs w:val="20"/>
                <w:lang w:val="es-AR"/>
              </w:rPr>
              <w:t xml:space="preserve">contrato </w:t>
            </w:r>
            <w:r w:rsidRPr="00AC4AEA">
              <w:rPr>
                <w:color w:val="auto"/>
                <w:sz w:val="20"/>
                <w:szCs w:val="20"/>
                <w:lang w:val="es-AR"/>
              </w:rPr>
              <w:t xml:space="preserve">que genera un </w:t>
            </w:r>
            <w:r w:rsidRPr="00A17CD3">
              <w:rPr>
                <w:b/>
                <w:bCs/>
                <w:color w:val="auto"/>
                <w:sz w:val="20"/>
                <w:szCs w:val="20"/>
                <w:lang w:val="es-AR"/>
              </w:rPr>
              <w:t xml:space="preserve">activo financiero </w:t>
            </w:r>
            <w:r w:rsidRPr="00AC4AEA">
              <w:rPr>
                <w:color w:val="auto"/>
                <w:sz w:val="20"/>
                <w:szCs w:val="20"/>
                <w:lang w:val="es-AR"/>
              </w:rPr>
              <w:t xml:space="preserve">para una entidad y un </w:t>
            </w:r>
            <w:r w:rsidRPr="008826C7">
              <w:rPr>
                <w:b/>
                <w:bCs/>
                <w:color w:val="auto"/>
                <w:sz w:val="20"/>
                <w:szCs w:val="20"/>
                <w:lang w:val="es-AR"/>
              </w:rPr>
              <w:t>pasivo financiero</w:t>
            </w:r>
            <w:r w:rsidRPr="00AC4AEA">
              <w:rPr>
                <w:color w:val="auto"/>
                <w:sz w:val="20"/>
                <w:szCs w:val="20"/>
                <w:lang w:val="es-AR"/>
              </w:rPr>
              <w:t xml:space="preserve"> o un instrumento de patrimonio para otra entidad.</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sz w:val="20"/>
                <w:szCs w:val="20"/>
                <w:lang w:val="es-ES_tradnl"/>
              </w:rPr>
            </w:pPr>
            <w:r w:rsidRPr="00AC4AEA">
              <w:rPr>
                <w:rFonts w:ascii="Arial" w:hAnsi="Arial" w:cs="Arial"/>
                <w:b/>
                <w:bCs/>
                <w:sz w:val="20"/>
                <w:szCs w:val="20"/>
              </w:rPr>
              <w:t>Mercado activo</w:t>
            </w:r>
            <w:r w:rsidRPr="00AC4AEA">
              <w:rPr>
                <w:rFonts w:ascii="Arial" w:hAnsi="Arial" w:cs="Arial"/>
                <w:sz w:val="20"/>
                <w:szCs w:val="20"/>
              </w:rPr>
              <w:t xml:space="preserve"> </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ind w:left="112"/>
              <w:rPr>
                <w:rFonts w:ascii="Arial" w:hAnsi="Arial" w:cs="Arial"/>
                <w:sz w:val="20"/>
                <w:szCs w:val="20"/>
              </w:rPr>
            </w:pPr>
            <w:r w:rsidRPr="00AC4AEA">
              <w:rPr>
                <w:rFonts w:ascii="Arial" w:hAnsi="Arial" w:cs="Arial"/>
                <w:sz w:val="20"/>
                <w:szCs w:val="20"/>
              </w:rPr>
              <w:t>Es el mercado en el cual las transacciones de los activos o pasivos tienen lugar con frecuencia y volumen suficiente para proporcionar información para fijar precios sobre una base de negocio en marcha.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pStyle w:val="A-Norgra"/>
              <w:tabs>
                <w:tab w:val="left" w:pos="1872"/>
              </w:tabs>
              <w:snapToGrid w:val="0"/>
              <w:rPr>
                <w:rFonts w:ascii="Arial" w:hAnsi="Arial" w:cs="Arial"/>
                <w:b/>
                <w:bCs/>
                <w:color w:val="auto"/>
                <w:sz w:val="20"/>
                <w:szCs w:val="20"/>
              </w:rPr>
            </w:pPr>
            <w:r w:rsidRPr="00AC4AEA">
              <w:rPr>
                <w:rFonts w:ascii="Arial" w:hAnsi="Arial" w:cs="Arial"/>
                <w:b/>
                <w:bCs/>
                <w:color w:val="auto"/>
                <w:sz w:val="20"/>
                <w:szCs w:val="20"/>
              </w:rPr>
              <w:t>Mercado principal</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pStyle w:val="A-Norgra"/>
              <w:snapToGrid w:val="0"/>
              <w:rPr>
                <w:rFonts w:ascii="Arial" w:hAnsi="Arial" w:cs="Arial"/>
                <w:color w:val="auto"/>
                <w:sz w:val="20"/>
                <w:szCs w:val="20"/>
              </w:rPr>
            </w:pPr>
            <w:r w:rsidRPr="00AC4AEA">
              <w:rPr>
                <w:rFonts w:ascii="Arial" w:hAnsi="Arial" w:cs="Arial"/>
                <w:color w:val="auto"/>
                <w:sz w:val="20"/>
                <w:szCs w:val="20"/>
              </w:rPr>
              <w:t xml:space="preserve">Es el </w:t>
            </w:r>
            <w:r w:rsidRPr="00AC4AEA">
              <w:rPr>
                <w:rFonts w:ascii="Arial" w:hAnsi="Arial" w:cs="Arial"/>
                <w:b/>
                <w:bCs/>
                <w:color w:val="auto"/>
                <w:sz w:val="20"/>
                <w:szCs w:val="20"/>
              </w:rPr>
              <w:t>mercado activo</w:t>
            </w:r>
            <w:r w:rsidRPr="00AC4AEA">
              <w:rPr>
                <w:rFonts w:ascii="Arial" w:hAnsi="Arial" w:cs="Arial"/>
                <w:color w:val="auto"/>
                <w:sz w:val="20"/>
                <w:szCs w:val="20"/>
              </w:rPr>
              <w:t xml:space="preserve"> con el mayor volumen de transacciones para el</w:t>
            </w:r>
            <w:r w:rsidRPr="00847DC6">
              <w:rPr>
                <w:rFonts w:ascii="Arial" w:hAnsi="Arial" w:cs="Arial"/>
                <w:b/>
                <w:bCs/>
                <w:color w:val="auto"/>
                <w:sz w:val="20"/>
                <w:szCs w:val="20"/>
              </w:rPr>
              <w:t xml:space="preserve"> activo </w:t>
            </w:r>
            <w:r w:rsidRPr="00AC4AEA">
              <w:rPr>
                <w:rFonts w:ascii="Arial" w:hAnsi="Arial" w:cs="Arial"/>
                <w:color w:val="auto"/>
                <w:sz w:val="20"/>
                <w:szCs w:val="20"/>
              </w:rPr>
              <w:t>o pasivo.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pStyle w:val="A-Norgra"/>
              <w:tabs>
                <w:tab w:val="left" w:pos="1872"/>
              </w:tabs>
              <w:snapToGrid w:val="0"/>
              <w:rPr>
                <w:rFonts w:ascii="Arial" w:hAnsi="Arial" w:cs="Arial"/>
                <w:b/>
                <w:bCs/>
                <w:color w:val="auto"/>
                <w:sz w:val="20"/>
                <w:szCs w:val="20"/>
              </w:rPr>
            </w:pPr>
            <w:r w:rsidRPr="00AC4AEA">
              <w:rPr>
                <w:rFonts w:ascii="Arial" w:hAnsi="Arial" w:cs="Arial"/>
                <w:b/>
                <w:bCs/>
                <w:color w:val="auto"/>
                <w:sz w:val="20"/>
                <w:szCs w:val="20"/>
              </w:rPr>
              <w:t>Mercado más ventajoso</w:t>
            </w:r>
          </w:p>
          <w:p w:rsidR="00421257" w:rsidRPr="00AC4AEA" w:rsidRDefault="00421257" w:rsidP="00A318EA">
            <w:pPr>
              <w:pStyle w:val="A-Norgra"/>
              <w:tabs>
                <w:tab w:val="left" w:pos="1872"/>
              </w:tabs>
              <w:snapToGrid w:val="0"/>
              <w:rPr>
                <w:rFonts w:ascii="Arial" w:hAnsi="Arial" w:cs="Arial"/>
                <w:b/>
                <w:bCs/>
                <w:color w:val="auto"/>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pStyle w:val="A-Norgra"/>
              <w:snapToGrid w:val="0"/>
              <w:rPr>
                <w:rFonts w:ascii="Arial" w:hAnsi="Arial" w:cs="Arial"/>
                <w:color w:val="auto"/>
                <w:sz w:val="20"/>
                <w:szCs w:val="20"/>
              </w:rPr>
            </w:pPr>
            <w:r w:rsidRPr="00AC4AEA">
              <w:rPr>
                <w:rFonts w:ascii="Arial" w:hAnsi="Arial" w:cs="Arial"/>
                <w:color w:val="auto"/>
                <w:sz w:val="20"/>
                <w:szCs w:val="20"/>
              </w:rPr>
              <w:t xml:space="preserve">Es el </w:t>
            </w:r>
            <w:r w:rsidRPr="00AC4AEA">
              <w:rPr>
                <w:rFonts w:ascii="Arial" w:hAnsi="Arial" w:cs="Arial"/>
                <w:b/>
                <w:bCs/>
                <w:color w:val="auto"/>
                <w:sz w:val="20"/>
                <w:szCs w:val="20"/>
              </w:rPr>
              <w:t>mercado activo</w:t>
            </w:r>
            <w:r w:rsidRPr="00AC4AEA">
              <w:rPr>
                <w:rFonts w:ascii="Arial" w:hAnsi="Arial" w:cs="Arial"/>
                <w:color w:val="auto"/>
                <w:sz w:val="20"/>
                <w:szCs w:val="20"/>
              </w:rPr>
              <w:t xml:space="preserve"> donde se maximiza el precio de venta de un</w:t>
            </w:r>
            <w:r w:rsidRPr="00847DC6">
              <w:rPr>
                <w:rFonts w:ascii="Arial" w:hAnsi="Arial" w:cs="Arial"/>
                <w:b/>
                <w:bCs/>
                <w:color w:val="auto"/>
                <w:sz w:val="20"/>
                <w:szCs w:val="20"/>
              </w:rPr>
              <w:t xml:space="preserve"> activo </w:t>
            </w:r>
            <w:r w:rsidRPr="00AC4AEA">
              <w:rPr>
                <w:rFonts w:ascii="Arial" w:hAnsi="Arial" w:cs="Arial"/>
                <w:color w:val="auto"/>
                <w:sz w:val="20"/>
                <w:szCs w:val="20"/>
              </w:rPr>
              <w:t>o minimiza el precio de transferencia de un pasivo, neto de los costos de transacción y transporte.</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 xml:space="preserve">Modelo de costeo completo </w:t>
            </w:r>
          </w:p>
          <w:p w:rsidR="00421257" w:rsidRPr="00AC4AEA" w:rsidRDefault="00421257" w:rsidP="00A318EA">
            <w:pPr>
              <w:pStyle w:val="A-Norgra"/>
              <w:tabs>
                <w:tab w:val="left" w:pos="1872"/>
              </w:tabs>
              <w:snapToGrid w:val="0"/>
              <w:rPr>
                <w:rFonts w:ascii="Arial" w:hAnsi="Arial" w:cs="Arial"/>
                <w:b/>
                <w:bCs/>
                <w:color w:val="auto"/>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893898" w:rsidRDefault="00421257" w:rsidP="00160F73">
            <w:pPr>
              <w:snapToGrid w:val="0"/>
              <w:ind w:left="112"/>
              <w:rPr>
                <w:rFonts w:ascii="Arial" w:hAnsi="Arial" w:cs="Arial"/>
                <w:sz w:val="20"/>
                <w:szCs w:val="20"/>
              </w:rPr>
            </w:pPr>
            <w:r w:rsidRPr="00893898">
              <w:rPr>
                <w:rFonts w:ascii="Arial" w:hAnsi="Arial" w:cs="Arial"/>
                <w:sz w:val="20"/>
                <w:szCs w:val="20"/>
              </w:rPr>
              <w:t>Es el resultante de computar los costos de materiales e insumos y conversión tanto variables como fijos, sean directos o indirectos, correspondientes a la función producción y considerados sobre una base normal.</w:t>
            </w:r>
          </w:p>
          <w:p w:rsidR="00421257" w:rsidRPr="00893898" w:rsidRDefault="00421257" w:rsidP="00A318EA">
            <w:pPr>
              <w:snapToGrid w:val="0"/>
              <w:ind w:left="112"/>
              <w:rPr>
                <w:rFonts w:ascii="Arial" w:hAnsi="Arial" w:cs="Arial"/>
                <w:sz w:val="20"/>
                <w:szCs w:val="20"/>
              </w:rPr>
            </w:pPr>
            <w:r w:rsidRPr="00893898">
              <w:rPr>
                <w:rFonts w:ascii="Arial" w:hAnsi="Arial" w:cs="Arial"/>
                <w:sz w:val="20"/>
                <w:szCs w:val="20"/>
              </w:rPr>
              <w:t>El costo unitario completo resulta de la suma de:</w:t>
            </w:r>
          </w:p>
          <w:p w:rsidR="007723B3" w:rsidRPr="00893898" w:rsidRDefault="00421257" w:rsidP="00C01B25">
            <w:pPr>
              <w:pStyle w:val="Prrafodelista"/>
              <w:numPr>
                <w:ilvl w:val="1"/>
                <w:numId w:val="658"/>
              </w:numPr>
              <w:snapToGrid w:val="0"/>
              <w:ind w:left="393"/>
              <w:rPr>
                <w:rFonts w:ascii="Arial" w:hAnsi="Arial" w:cs="Arial"/>
                <w:sz w:val="20"/>
                <w:szCs w:val="20"/>
              </w:rPr>
            </w:pPr>
            <w:r w:rsidRPr="00893898">
              <w:rPr>
                <w:rFonts w:ascii="Arial" w:hAnsi="Arial" w:cs="Arial"/>
                <w:sz w:val="20"/>
                <w:szCs w:val="20"/>
              </w:rPr>
              <w:t>los costos variables (directos e indirectos) del producto; y</w:t>
            </w:r>
          </w:p>
          <w:p w:rsidR="00421257" w:rsidRPr="00893898" w:rsidRDefault="00421257" w:rsidP="00C01B25">
            <w:pPr>
              <w:pStyle w:val="Prrafodelista"/>
              <w:numPr>
                <w:ilvl w:val="1"/>
                <w:numId w:val="658"/>
              </w:numPr>
              <w:snapToGrid w:val="0"/>
              <w:ind w:left="393"/>
              <w:rPr>
                <w:rFonts w:ascii="Arial" w:hAnsi="Arial" w:cs="Arial"/>
                <w:sz w:val="20"/>
                <w:szCs w:val="20"/>
              </w:rPr>
            </w:pPr>
            <w:r w:rsidRPr="00893898">
              <w:rPr>
                <w:rFonts w:ascii="Arial" w:hAnsi="Arial" w:cs="Arial"/>
                <w:sz w:val="20"/>
                <w:szCs w:val="20"/>
              </w:rPr>
              <w:t>la porción asignable a cada unidad de los costos fijos (directos e indirectos).</w:t>
            </w:r>
          </w:p>
          <w:p w:rsidR="00421257" w:rsidRPr="00893898" w:rsidRDefault="00421257" w:rsidP="00160F73">
            <w:pPr>
              <w:snapToGrid w:val="0"/>
              <w:spacing w:after="120"/>
              <w:ind w:hanging="2"/>
              <w:rPr>
                <w:rFonts w:ascii="Arial" w:hAnsi="Arial" w:cs="Arial"/>
                <w:sz w:val="20"/>
                <w:szCs w:val="20"/>
              </w:rPr>
            </w:pPr>
            <w:r w:rsidRPr="00893898">
              <w:rPr>
                <w:rFonts w:ascii="Arial" w:hAnsi="Arial" w:cs="Arial"/>
                <w:sz w:val="20"/>
                <w:szCs w:val="20"/>
              </w:rPr>
              <w:t>El cómputo de costos variables y fijos se efectúa en función del consumo o utilización normal de los factores de producción.</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Moneda argentina</w:t>
            </w:r>
          </w:p>
        </w:tc>
        <w:tc>
          <w:tcPr>
            <w:tcW w:w="4454" w:type="dxa"/>
            <w:tcBorders>
              <w:top w:val="single" w:sz="4" w:space="0" w:color="auto"/>
              <w:left w:val="single" w:sz="4" w:space="0" w:color="auto"/>
              <w:bottom w:val="single" w:sz="4" w:space="0" w:color="auto"/>
              <w:right w:val="single" w:sz="4" w:space="0" w:color="auto"/>
            </w:tcBorders>
          </w:tcPr>
          <w:p w:rsidR="00421257" w:rsidRPr="00AC4AEA" w:rsidRDefault="00421257" w:rsidP="00424708">
            <w:pPr>
              <w:pStyle w:val="Prrafodelista"/>
              <w:snapToGrid w:val="0"/>
              <w:ind w:left="0" w:hanging="33"/>
              <w:contextualSpacing w:val="0"/>
              <w:rPr>
                <w:rFonts w:ascii="Arial" w:hAnsi="Arial" w:cs="Arial"/>
                <w:sz w:val="20"/>
                <w:szCs w:val="20"/>
              </w:rPr>
            </w:pPr>
            <w:r w:rsidRPr="00AC4AEA">
              <w:rPr>
                <w:rFonts w:ascii="Arial" w:hAnsi="Arial" w:cs="Arial"/>
                <w:sz w:val="20"/>
                <w:szCs w:val="20"/>
              </w:rPr>
              <w:t>Es la moneda de curso legal en Argentina.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Moneda extranjera</w:t>
            </w:r>
          </w:p>
        </w:tc>
        <w:tc>
          <w:tcPr>
            <w:tcW w:w="4454" w:type="dxa"/>
            <w:tcBorders>
              <w:top w:val="single" w:sz="4" w:space="0" w:color="auto"/>
              <w:left w:val="single" w:sz="4" w:space="0" w:color="auto"/>
              <w:bottom w:val="single" w:sz="4" w:space="0" w:color="auto"/>
              <w:right w:val="single" w:sz="4" w:space="0" w:color="auto"/>
            </w:tcBorders>
          </w:tcPr>
          <w:p w:rsidR="00421257" w:rsidRPr="00AC4AEA" w:rsidRDefault="00421257" w:rsidP="00424708">
            <w:pPr>
              <w:pStyle w:val="Prrafodelista"/>
              <w:snapToGrid w:val="0"/>
              <w:ind w:left="0"/>
              <w:contextualSpacing w:val="0"/>
              <w:rPr>
                <w:rFonts w:ascii="Arial" w:hAnsi="Arial" w:cs="Arial"/>
                <w:sz w:val="20"/>
                <w:szCs w:val="20"/>
              </w:rPr>
            </w:pPr>
            <w:r w:rsidRPr="00AC4AEA">
              <w:rPr>
                <w:rFonts w:ascii="Arial" w:hAnsi="Arial" w:cs="Arial"/>
                <w:sz w:val="20"/>
                <w:szCs w:val="20"/>
              </w:rPr>
              <w:t xml:space="preserve">Es cualquier moneda distinta de la </w:t>
            </w:r>
            <w:r w:rsidRPr="002B0F58">
              <w:rPr>
                <w:rFonts w:ascii="Arial" w:hAnsi="Arial" w:cs="Arial"/>
                <w:b/>
                <w:bCs/>
                <w:sz w:val="20"/>
                <w:szCs w:val="20"/>
              </w:rPr>
              <w:t>moneda argentina</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Otras normas contables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424708">
            <w:pPr>
              <w:snapToGrid w:val="0"/>
              <w:rPr>
                <w:rFonts w:ascii="Arial" w:hAnsi="Arial" w:cs="Arial"/>
                <w:sz w:val="20"/>
                <w:szCs w:val="20"/>
              </w:rPr>
            </w:pPr>
            <w:r w:rsidRPr="00AC4AEA">
              <w:rPr>
                <w:rFonts w:ascii="Arial" w:hAnsi="Arial" w:cs="Arial"/>
                <w:sz w:val="20"/>
                <w:szCs w:val="20"/>
              </w:rPr>
              <w:t>Comprenden:</w:t>
            </w:r>
          </w:p>
          <w:p w:rsidR="00421257" w:rsidRPr="00AC4AEA" w:rsidRDefault="00421257" w:rsidP="00C01B25">
            <w:pPr>
              <w:pStyle w:val="Prrafodelista"/>
              <w:numPr>
                <w:ilvl w:val="0"/>
                <w:numId w:val="511"/>
              </w:numPr>
              <w:snapToGrid w:val="0"/>
              <w:spacing w:line="256" w:lineRule="auto"/>
              <w:ind w:left="325"/>
              <w:contextualSpacing w:val="0"/>
              <w:rPr>
                <w:rFonts w:ascii="Arial" w:hAnsi="Arial" w:cs="Arial"/>
                <w:sz w:val="20"/>
                <w:szCs w:val="20"/>
              </w:rPr>
            </w:pPr>
            <w:r w:rsidRPr="00AC4AEA">
              <w:rPr>
                <w:rFonts w:ascii="Arial" w:hAnsi="Arial" w:cs="Arial"/>
                <w:sz w:val="20"/>
                <w:szCs w:val="20"/>
              </w:rPr>
              <w:t>las resoluciones técnicas, distintas de la RT N° 26 y de la presente Resolución Técnica;</w:t>
            </w:r>
          </w:p>
          <w:p w:rsidR="00421257" w:rsidRPr="00AC4AEA" w:rsidRDefault="00421257" w:rsidP="00C01B25">
            <w:pPr>
              <w:pStyle w:val="Prrafodelista"/>
              <w:numPr>
                <w:ilvl w:val="0"/>
                <w:numId w:val="511"/>
              </w:numPr>
              <w:snapToGrid w:val="0"/>
              <w:spacing w:line="256" w:lineRule="auto"/>
              <w:ind w:left="325"/>
              <w:contextualSpacing w:val="0"/>
              <w:rPr>
                <w:rFonts w:ascii="Arial" w:hAnsi="Arial" w:cs="Arial"/>
                <w:sz w:val="20"/>
                <w:szCs w:val="20"/>
              </w:rPr>
            </w:pPr>
            <w:r w:rsidRPr="00AC4AEA">
              <w:rPr>
                <w:rFonts w:ascii="Arial" w:hAnsi="Arial" w:cs="Arial"/>
                <w:sz w:val="20"/>
                <w:szCs w:val="20"/>
              </w:rPr>
              <w:t>las interpretaciones; y</w:t>
            </w:r>
          </w:p>
          <w:p w:rsidR="00421257" w:rsidRPr="00AC4AEA" w:rsidRDefault="00421257" w:rsidP="00C01B25">
            <w:pPr>
              <w:pStyle w:val="Prrafodelista"/>
              <w:numPr>
                <w:ilvl w:val="0"/>
                <w:numId w:val="511"/>
              </w:numPr>
              <w:snapToGrid w:val="0"/>
              <w:spacing w:line="256" w:lineRule="auto"/>
              <w:ind w:left="325"/>
              <w:contextualSpacing w:val="0"/>
              <w:rPr>
                <w:rFonts w:ascii="Arial" w:hAnsi="Arial" w:cs="Arial"/>
                <w:sz w:val="20"/>
                <w:szCs w:val="20"/>
              </w:rPr>
            </w:pPr>
            <w:r w:rsidRPr="00AC4AEA">
              <w:rPr>
                <w:rFonts w:ascii="Arial" w:hAnsi="Arial" w:cs="Arial"/>
                <w:sz w:val="20"/>
                <w:szCs w:val="20"/>
              </w:rPr>
              <w:t>cualquier norma emitida por la Mesa Directiva o la Junta de Gobierno de acuerdo con las previsiones reglamentarias.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Partes relacionadas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Una parte se considera relacionada con otra parte si una de ellas tiene la posibilidad de:</w:t>
            </w:r>
          </w:p>
          <w:p w:rsidR="00421257" w:rsidRPr="00AC4AEA" w:rsidRDefault="00421257" w:rsidP="00C01B25">
            <w:pPr>
              <w:pStyle w:val="Prrafodelista"/>
              <w:numPr>
                <w:ilvl w:val="0"/>
                <w:numId w:val="512"/>
              </w:numPr>
              <w:snapToGrid w:val="0"/>
              <w:spacing w:line="256" w:lineRule="auto"/>
              <w:ind w:left="317"/>
              <w:contextualSpacing w:val="0"/>
              <w:rPr>
                <w:rFonts w:ascii="Arial" w:hAnsi="Arial" w:cs="Arial"/>
                <w:sz w:val="20"/>
                <w:szCs w:val="20"/>
              </w:rPr>
            </w:pPr>
            <w:r w:rsidRPr="00AC4AEA">
              <w:rPr>
                <w:rFonts w:ascii="Arial" w:hAnsi="Arial" w:cs="Arial"/>
                <w:sz w:val="20"/>
                <w:szCs w:val="20"/>
              </w:rPr>
              <w:t xml:space="preserve">ejercer el control, individual o conjunto, sobre la otra; o </w:t>
            </w:r>
          </w:p>
          <w:p w:rsidR="00421257" w:rsidRPr="00AC4AEA" w:rsidRDefault="00421257" w:rsidP="00C01B25">
            <w:pPr>
              <w:pStyle w:val="Prrafodelista"/>
              <w:numPr>
                <w:ilvl w:val="0"/>
                <w:numId w:val="512"/>
              </w:numPr>
              <w:snapToGrid w:val="0"/>
              <w:spacing w:line="256" w:lineRule="auto"/>
              <w:ind w:left="325"/>
              <w:contextualSpacing w:val="0"/>
              <w:rPr>
                <w:rFonts w:ascii="Arial" w:hAnsi="Arial" w:cs="Arial"/>
                <w:sz w:val="20"/>
                <w:szCs w:val="20"/>
              </w:rPr>
            </w:pPr>
            <w:r w:rsidRPr="00AC4AEA">
              <w:rPr>
                <w:rFonts w:ascii="Arial" w:hAnsi="Arial" w:cs="Arial"/>
                <w:sz w:val="20"/>
                <w:szCs w:val="20"/>
              </w:rPr>
              <w:t xml:space="preserve">ejercer influencia significativa sobre ella al tomar sus decisiones operativas y financieras. </w:t>
            </w:r>
          </w:p>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 xml:space="preserve">[Al respecto, ver las definiciones establecidas en párrafo </w:t>
            </w:r>
            <w:fldSimple w:instr=" REF _Ref99491840 \r \h  \* MERGEFORMAT ">
              <w:r w:rsidR="00D33A5D" w:rsidRPr="00D33A5D">
                <w:rPr>
                  <w:rFonts w:ascii="Arial" w:hAnsi="Arial" w:cs="Arial"/>
                  <w:b/>
                  <w:bCs/>
                  <w:sz w:val="20"/>
                  <w:szCs w:val="20"/>
                  <w:lang w:val="es-ES"/>
                </w:rPr>
                <w:t>673</w:t>
              </w:r>
            </w:fldSimple>
            <w:r w:rsidRPr="00AC4AEA">
              <w:rPr>
                <w:rFonts w:ascii="Arial" w:hAnsi="Arial" w:cs="Arial"/>
                <w:sz w:val="20"/>
                <w:szCs w:val="20"/>
              </w:rPr>
              <w:t xml:space="preserve"> de esta Resolución Técnica].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Pasivo</w:t>
            </w:r>
          </w:p>
        </w:tc>
        <w:tc>
          <w:tcPr>
            <w:tcW w:w="4454" w:type="dxa"/>
            <w:tcBorders>
              <w:top w:val="single" w:sz="4" w:space="0" w:color="auto"/>
              <w:left w:val="single" w:sz="4" w:space="0" w:color="auto"/>
              <w:bottom w:val="single" w:sz="4" w:space="0" w:color="auto"/>
              <w:right w:val="single" w:sz="4" w:space="0" w:color="auto"/>
            </w:tcBorders>
            <w:hideMark/>
          </w:tcPr>
          <w:p w:rsidR="004A42A5" w:rsidRPr="00893898" w:rsidRDefault="004A42A5" w:rsidP="00160F73">
            <w:pPr>
              <w:snapToGrid w:val="0"/>
              <w:rPr>
                <w:rFonts w:ascii="Arial" w:hAnsi="Arial" w:cs="Arial"/>
                <w:sz w:val="20"/>
                <w:szCs w:val="20"/>
              </w:rPr>
            </w:pPr>
            <w:r w:rsidRPr="00AC4AEA">
              <w:rPr>
                <w:rFonts w:ascii="Arial" w:hAnsi="Arial" w:cs="Arial"/>
                <w:sz w:val="20"/>
                <w:szCs w:val="20"/>
              </w:rPr>
              <w:t xml:space="preserve">Es una obligación de entregar activos o prestar servicios a terceros, como consecuencia de hechos ya ocurridos. Un </w:t>
            </w:r>
            <w:r w:rsidRPr="00C73D55">
              <w:rPr>
                <w:rFonts w:ascii="Arial" w:hAnsi="Arial" w:cs="Arial"/>
                <w:b/>
                <w:bCs/>
                <w:sz w:val="20"/>
                <w:szCs w:val="20"/>
              </w:rPr>
              <w:t xml:space="preserve">pasivo </w:t>
            </w:r>
            <w:r w:rsidRPr="00AC4AEA">
              <w:rPr>
                <w:rFonts w:ascii="Arial" w:hAnsi="Arial" w:cs="Arial"/>
                <w:sz w:val="20"/>
                <w:szCs w:val="20"/>
              </w:rPr>
              <w:t xml:space="preserve">puede incluir </w:t>
            </w:r>
            <w:r w:rsidRPr="00893898">
              <w:rPr>
                <w:rFonts w:ascii="Arial" w:hAnsi="Arial" w:cs="Arial"/>
                <w:sz w:val="20"/>
                <w:szCs w:val="20"/>
              </w:rPr>
              <w:t>obligaciones:</w:t>
            </w:r>
          </w:p>
          <w:p w:rsidR="004A42A5" w:rsidRPr="00893898" w:rsidRDefault="004A42A5" w:rsidP="007723B3">
            <w:pPr>
              <w:snapToGrid w:val="0"/>
              <w:ind w:left="251" w:hanging="251"/>
              <w:rPr>
                <w:rFonts w:ascii="Arial" w:hAnsi="Arial" w:cs="Arial"/>
                <w:sz w:val="20"/>
                <w:szCs w:val="20"/>
              </w:rPr>
            </w:pPr>
            <w:r w:rsidRPr="00893898">
              <w:rPr>
                <w:rFonts w:ascii="Arial" w:hAnsi="Arial" w:cs="Arial"/>
                <w:sz w:val="20"/>
                <w:szCs w:val="20"/>
              </w:rPr>
              <w:t>a)</w:t>
            </w:r>
            <w:r w:rsidRPr="00893898">
              <w:rPr>
                <w:rFonts w:ascii="Arial" w:hAnsi="Arial" w:cs="Arial"/>
                <w:sz w:val="20"/>
                <w:szCs w:val="20"/>
              </w:rPr>
              <w:tab/>
              <w:t>legales, que son las originadas en:</w:t>
            </w:r>
          </w:p>
          <w:p w:rsidR="004A42A5" w:rsidRPr="00893898" w:rsidRDefault="004A42A5" w:rsidP="00A318EA">
            <w:pPr>
              <w:snapToGrid w:val="0"/>
              <w:ind w:left="250"/>
              <w:rPr>
                <w:rFonts w:ascii="Arial" w:hAnsi="Arial" w:cs="Arial"/>
                <w:sz w:val="20"/>
                <w:szCs w:val="20"/>
              </w:rPr>
            </w:pPr>
            <w:r w:rsidRPr="00893898">
              <w:rPr>
                <w:rFonts w:ascii="Arial" w:hAnsi="Arial" w:cs="Arial"/>
                <w:sz w:val="20"/>
                <w:szCs w:val="20"/>
              </w:rPr>
              <w:t>(i)</w:t>
            </w:r>
            <w:r w:rsidRPr="00893898">
              <w:rPr>
                <w:rFonts w:ascii="Arial" w:hAnsi="Arial" w:cs="Arial"/>
                <w:sz w:val="20"/>
                <w:szCs w:val="20"/>
              </w:rPr>
              <w:tab/>
              <w:t>la legislación;</w:t>
            </w:r>
          </w:p>
          <w:p w:rsidR="004A42A5" w:rsidRPr="00893898" w:rsidRDefault="004A42A5" w:rsidP="00A318EA">
            <w:pPr>
              <w:snapToGrid w:val="0"/>
              <w:ind w:left="250"/>
              <w:rPr>
                <w:rFonts w:ascii="Arial" w:hAnsi="Arial" w:cs="Arial"/>
                <w:sz w:val="20"/>
                <w:szCs w:val="20"/>
              </w:rPr>
            </w:pPr>
            <w:r w:rsidRPr="00893898">
              <w:rPr>
                <w:rFonts w:ascii="Arial" w:hAnsi="Arial" w:cs="Arial"/>
                <w:sz w:val="20"/>
                <w:szCs w:val="20"/>
              </w:rPr>
              <w:t>(ii)</w:t>
            </w:r>
            <w:r w:rsidRPr="00893898">
              <w:rPr>
                <w:rFonts w:ascii="Arial" w:hAnsi="Arial" w:cs="Arial"/>
                <w:sz w:val="20"/>
                <w:szCs w:val="20"/>
              </w:rPr>
              <w:tab/>
              <w:t>contratos o acuerdos entre partes; o</w:t>
            </w:r>
          </w:p>
          <w:p w:rsidR="004A42A5" w:rsidRPr="00893898" w:rsidRDefault="004A42A5" w:rsidP="00A318EA">
            <w:pPr>
              <w:snapToGrid w:val="0"/>
              <w:ind w:left="250"/>
              <w:rPr>
                <w:rFonts w:ascii="Arial" w:hAnsi="Arial" w:cs="Arial"/>
                <w:sz w:val="20"/>
                <w:szCs w:val="20"/>
              </w:rPr>
            </w:pPr>
            <w:r w:rsidRPr="00893898">
              <w:rPr>
                <w:rFonts w:ascii="Arial" w:hAnsi="Arial" w:cs="Arial"/>
                <w:sz w:val="20"/>
                <w:szCs w:val="20"/>
              </w:rPr>
              <w:t>(iii)</w:t>
            </w:r>
            <w:r w:rsidRPr="00893898">
              <w:rPr>
                <w:rFonts w:ascii="Arial" w:hAnsi="Arial" w:cs="Arial"/>
                <w:sz w:val="20"/>
                <w:szCs w:val="20"/>
              </w:rPr>
              <w:tab/>
              <w:t>alguna otra causa legal; o</w:t>
            </w:r>
          </w:p>
          <w:p w:rsidR="004A42A5" w:rsidRPr="00893898" w:rsidRDefault="004A42A5" w:rsidP="00160F73">
            <w:pPr>
              <w:snapToGrid w:val="0"/>
              <w:ind w:left="251" w:hanging="251"/>
              <w:rPr>
                <w:rFonts w:ascii="Arial" w:hAnsi="Arial" w:cs="Arial"/>
                <w:sz w:val="20"/>
                <w:szCs w:val="20"/>
              </w:rPr>
            </w:pPr>
            <w:r w:rsidRPr="00893898">
              <w:rPr>
                <w:rFonts w:ascii="Arial" w:hAnsi="Arial" w:cs="Arial"/>
                <w:sz w:val="20"/>
                <w:szCs w:val="20"/>
              </w:rPr>
              <w:t>b)</w:t>
            </w:r>
            <w:r w:rsidRPr="00893898">
              <w:rPr>
                <w:rFonts w:ascii="Arial" w:hAnsi="Arial" w:cs="Arial"/>
                <w:sz w:val="20"/>
                <w:szCs w:val="20"/>
              </w:rPr>
              <w:tab/>
              <w:t>voluntarias, que son los compromisos o responsabilidades asumidas por una entidad:</w:t>
            </w:r>
          </w:p>
          <w:p w:rsidR="004A42A5" w:rsidRPr="00AC4AEA" w:rsidRDefault="004A42A5" w:rsidP="00A318EA">
            <w:pPr>
              <w:snapToGrid w:val="0"/>
              <w:ind w:left="676" w:hanging="426"/>
              <w:rPr>
                <w:rFonts w:ascii="Arial" w:hAnsi="Arial" w:cs="Arial"/>
                <w:sz w:val="20"/>
                <w:szCs w:val="20"/>
              </w:rPr>
            </w:pPr>
            <w:r w:rsidRPr="00893898">
              <w:rPr>
                <w:rFonts w:ascii="Arial" w:hAnsi="Arial" w:cs="Arial"/>
                <w:sz w:val="20"/>
                <w:szCs w:val="20"/>
              </w:rPr>
              <w:t>(i)</w:t>
            </w:r>
            <w:r w:rsidRPr="00893898">
              <w:rPr>
                <w:rFonts w:ascii="Arial" w:hAnsi="Arial" w:cs="Arial"/>
                <w:sz w:val="20"/>
                <w:szCs w:val="20"/>
              </w:rPr>
              <w:tab/>
              <w:t>como consecuencia</w:t>
            </w:r>
            <w:r w:rsidRPr="00AC4AEA">
              <w:rPr>
                <w:rFonts w:ascii="Arial" w:hAnsi="Arial" w:cs="Arial"/>
                <w:sz w:val="20"/>
                <w:szCs w:val="20"/>
              </w:rPr>
              <w:t xml:space="preserve"> de un patrón de comportamiento, políticas empresariales de dominio público o declaraciones suficientemente concretas; y</w:t>
            </w:r>
          </w:p>
          <w:p w:rsidR="00421257" w:rsidRPr="00AC4AEA" w:rsidRDefault="004A42A5" w:rsidP="00A318EA">
            <w:pPr>
              <w:pStyle w:val="Prrafodelista"/>
              <w:snapToGrid w:val="0"/>
              <w:spacing w:line="256" w:lineRule="auto"/>
              <w:ind w:left="676" w:hanging="426"/>
              <w:contextualSpacing w:val="0"/>
              <w:rPr>
                <w:rFonts w:ascii="Arial" w:hAnsi="Arial" w:cs="Arial"/>
                <w:sz w:val="20"/>
                <w:szCs w:val="20"/>
              </w:rPr>
            </w:pPr>
            <w:r w:rsidRPr="00AC4AEA">
              <w:rPr>
                <w:rFonts w:ascii="Arial" w:hAnsi="Arial" w:cs="Arial"/>
                <w:sz w:val="20"/>
                <w:szCs w:val="20"/>
              </w:rPr>
              <w:t>(ii)</w:t>
            </w:r>
            <w:r w:rsidRPr="00AC4AEA">
              <w:rPr>
                <w:rFonts w:ascii="Arial" w:hAnsi="Arial" w:cs="Arial"/>
                <w:sz w:val="20"/>
                <w:szCs w:val="20"/>
              </w:rPr>
              <w:tab/>
              <w:t>mediante los cuales crea en terceros expectativas de que va a cumplir dichos compromisos o responsabilidades.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Pasivo financiero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b/>
                <w:bCs/>
                <w:sz w:val="20"/>
                <w:szCs w:val="20"/>
              </w:rPr>
              <w:t xml:space="preserve">Pasivo </w:t>
            </w:r>
            <w:r w:rsidRPr="00AC4AEA">
              <w:rPr>
                <w:rFonts w:ascii="Arial" w:hAnsi="Arial" w:cs="Arial"/>
                <w:sz w:val="20"/>
                <w:szCs w:val="20"/>
              </w:rPr>
              <w:t xml:space="preserve">representado por obligación de entregar efectivo u otro </w:t>
            </w:r>
            <w:r w:rsidRPr="00AC4AEA">
              <w:rPr>
                <w:rFonts w:ascii="Arial" w:hAnsi="Arial" w:cs="Arial"/>
                <w:b/>
                <w:bCs/>
                <w:sz w:val="20"/>
                <w:szCs w:val="20"/>
              </w:rPr>
              <w:t>activo financiero</w:t>
            </w:r>
            <w:r w:rsidRPr="00AC4AEA">
              <w:rPr>
                <w:rFonts w:ascii="Arial" w:hAnsi="Arial" w:cs="Arial"/>
                <w:sz w:val="20"/>
                <w:szCs w:val="20"/>
              </w:rPr>
              <w:t xml:space="preserve"> a otra entidad.</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Patrimonio neto</w:t>
            </w:r>
          </w:p>
          <w:p w:rsidR="00421257" w:rsidRPr="00AC4AEA" w:rsidRDefault="00421257" w:rsidP="00A318EA">
            <w:pPr>
              <w:pStyle w:val="A-Norgra"/>
              <w:tabs>
                <w:tab w:val="left" w:pos="1872"/>
              </w:tabs>
              <w:snapToGrid w:val="0"/>
              <w:rPr>
                <w:rFonts w:ascii="Arial" w:hAnsi="Arial" w:cs="Arial"/>
                <w:b/>
                <w:bCs/>
                <w:color w:val="auto"/>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ind w:left="112" w:hanging="79"/>
              <w:rPr>
                <w:rFonts w:ascii="Arial" w:hAnsi="Arial" w:cs="Arial"/>
                <w:sz w:val="20"/>
                <w:szCs w:val="20"/>
              </w:rPr>
            </w:pPr>
            <w:r w:rsidRPr="00AC4AEA">
              <w:rPr>
                <w:rFonts w:ascii="Arial" w:hAnsi="Arial" w:cs="Arial"/>
                <w:sz w:val="20"/>
                <w:szCs w:val="20"/>
              </w:rPr>
              <w:t>Es la suma de:</w:t>
            </w:r>
          </w:p>
          <w:p w:rsidR="00421257" w:rsidRPr="00AC4AEA" w:rsidRDefault="00421257" w:rsidP="00C01B25">
            <w:pPr>
              <w:pStyle w:val="Prrafodelista"/>
              <w:numPr>
                <w:ilvl w:val="0"/>
                <w:numId w:val="513"/>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 xml:space="preserve">los </w:t>
            </w:r>
            <w:r w:rsidRPr="003A4B10">
              <w:rPr>
                <w:rFonts w:ascii="Arial" w:hAnsi="Arial" w:cs="Arial"/>
                <w:b/>
                <w:bCs/>
                <w:sz w:val="20"/>
                <w:szCs w:val="20"/>
              </w:rPr>
              <w:t>aportes</w:t>
            </w:r>
            <w:r w:rsidRPr="00AC4AEA">
              <w:rPr>
                <w:rFonts w:ascii="Arial" w:hAnsi="Arial" w:cs="Arial"/>
                <w:sz w:val="20"/>
                <w:szCs w:val="20"/>
              </w:rPr>
              <w:t xml:space="preserve"> de los propietarios o de los asociados (distintos de cuotas sociales que puedan considerarse como </w:t>
            </w:r>
            <w:r w:rsidRPr="00AC4AEA">
              <w:rPr>
                <w:rFonts w:ascii="Arial" w:hAnsi="Arial" w:cs="Arial"/>
                <w:b/>
                <w:bCs/>
                <w:sz w:val="20"/>
                <w:szCs w:val="20"/>
              </w:rPr>
              <w:t>ingreso de actividades ordinarias</w:t>
            </w:r>
            <w:r w:rsidRPr="00AC4AEA">
              <w:rPr>
                <w:rFonts w:ascii="Arial" w:hAnsi="Arial" w:cs="Arial"/>
                <w:sz w:val="20"/>
                <w:szCs w:val="20"/>
              </w:rPr>
              <w:t xml:space="preserve">) de una entidad; y </w:t>
            </w:r>
          </w:p>
          <w:p w:rsidR="00421257" w:rsidRPr="00AC4AEA" w:rsidRDefault="00421257" w:rsidP="00C01B25">
            <w:pPr>
              <w:pStyle w:val="Prrafodelista"/>
              <w:numPr>
                <w:ilvl w:val="0"/>
                <w:numId w:val="513"/>
              </w:numPr>
              <w:snapToGrid w:val="0"/>
              <w:spacing w:line="256" w:lineRule="auto"/>
              <w:ind w:left="459" w:hanging="459"/>
              <w:contextualSpacing w:val="0"/>
              <w:rPr>
                <w:rFonts w:ascii="Arial" w:hAnsi="Arial" w:cs="Arial"/>
                <w:sz w:val="20"/>
                <w:szCs w:val="20"/>
              </w:rPr>
            </w:pPr>
            <w:r w:rsidRPr="00AC4AEA">
              <w:rPr>
                <w:rFonts w:ascii="Arial" w:hAnsi="Arial" w:cs="Arial"/>
                <w:sz w:val="20"/>
                <w:szCs w:val="20"/>
              </w:rPr>
              <w:t>los resultados acumulados.</w:t>
            </w:r>
          </w:p>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Por su origen, el </w:t>
            </w:r>
            <w:r w:rsidRPr="00AC4AEA">
              <w:rPr>
                <w:rFonts w:ascii="Arial" w:hAnsi="Arial" w:cs="Arial"/>
                <w:b/>
                <w:bCs/>
                <w:sz w:val="20"/>
                <w:szCs w:val="20"/>
              </w:rPr>
              <w:t>patrimonio neto</w:t>
            </w:r>
            <w:r w:rsidRPr="00AC4AEA">
              <w:rPr>
                <w:rFonts w:ascii="Arial" w:hAnsi="Arial" w:cs="Arial"/>
                <w:sz w:val="20"/>
                <w:szCs w:val="20"/>
              </w:rPr>
              <w:t xml:space="preserve"> puede desagregarse del siguiente modo (excepto en las entidades sin fines de lucro que no tengan </w:t>
            </w:r>
            <w:r w:rsidRPr="003A4B10">
              <w:rPr>
                <w:rFonts w:ascii="Arial" w:hAnsi="Arial" w:cs="Arial"/>
                <w:b/>
                <w:bCs/>
                <w:sz w:val="20"/>
                <w:szCs w:val="20"/>
              </w:rPr>
              <w:t>aportes</w:t>
            </w:r>
            <w:r w:rsidRPr="00AC4AEA">
              <w:rPr>
                <w:rFonts w:ascii="Arial" w:hAnsi="Arial" w:cs="Arial"/>
                <w:sz w:val="20"/>
                <w:szCs w:val="20"/>
              </w:rPr>
              <w:t>):</w:t>
            </w:r>
          </w:p>
          <w:p w:rsidR="00421257" w:rsidRPr="00AC4AEA" w:rsidRDefault="00421257" w:rsidP="00A318EA">
            <w:pPr>
              <w:snapToGrid w:val="0"/>
              <w:spacing w:after="120"/>
              <w:jc w:val="center"/>
              <w:rPr>
                <w:rFonts w:ascii="Arial" w:hAnsi="Arial" w:cs="Arial"/>
                <w:sz w:val="20"/>
                <w:szCs w:val="20"/>
              </w:rPr>
            </w:pPr>
            <w:r w:rsidRPr="00AC4AEA">
              <w:rPr>
                <w:rFonts w:ascii="Arial" w:hAnsi="Arial" w:cs="Arial"/>
                <w:b/>
                <w:bCs/>
                <w:sz w:val="20"/>
                <w:szCs w:val="20"/>
              </w:rPr>
              <w:t>Patrimonio neto</w:t>
            </w:r>
            <w:r w:rsidRPr="00AC4AEA">
              <w:rPr>
                <w:rFonts w:ascii="Arial" w:hAnsi="Arial" w:cs="Arial"/>
                <w:sz w:val="20"/>
                <w:szCs w:val="20"/>
              </w:rPr>
              <w:t xml:space="preserve"> = </w:t>
            </w:r>
            <w:r w:rsidRPr="003A4B10">
              <w:rPr>
                <w:rFonts w:ascii="Arial" w:hAnsi="Arial" w:cs="Arial"/>
                <w:b/>
                <w:bCs/>
                <w:sz w:val="20"/>
                <w:szCs w:val="20"/>
              </w:rPr>
              <w:t>Aportes</w:t>
            </w:r>
            <w:r w:rsidRPr="00AC4AEA">
              <w:rPr>
                <w:rFonts w:ascii="Arial" w:hAnsi="Arial" w:cs="Arial"/>
                <w:sz w:val="20"/>
                <w:szCs w:val="20"/>
              </w:rPr>
              <w:t xml:space="preserve"> + Resultados acumulados</w:t>
            </w:r>
          </w:p>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Conceptualmente, podría determinarse del siguiente modo:</w:t>
            </w:r>
          </w:p>
          <w:p w:rsidR="00421257" w:rsidRPr="00AC4AEA" w:rsidRDefault="00421257" w:rsidP="00A318EA">
            <w:pPr>
              <w:snapToGrid w:val="0"/>
              <w:spacing w:after="120"/>
              <w:jc w:val="center"/>
              <w:rPr>
                <w:rFonts w:ascii="Arial" w:hAnsi="Arial" w:cs="Arial"/>
                <w:sz w:val="20"/>
                <w:szCs w:val="20"/>
              </w:rPr>
            </w:pPr>
            <w:r w:rsidRPr="00AC4AEA">
              <w:rPr>
                <w:rFonts w:ascii="Arial" w:hAnsi="Arial" w:cs="Arial"/>
                <w:b/>
                <w:bCs/>
                <w:sz w:val="20"/>
                <w:szCs w:val="20"/>
              </w:rPr>
              <w:t>Patrimonio neto</w:t>
            </w:r>
            <w:r w:rsidRPr="00AC4AEA">
              <w:rPr>
                <w:rFonts w:ascii="Arial" w:hAnsi="Arial" w:cs="Arial"/>
                <w:sz w:val="20"/>
                <w:szCs w:val="20"/>
              </w:rPr>
              <w:t xml:space="preserve"> = </w:t>
            </w:r>
            <w:r w:rsidR="00847DC6" w:rsidRPr="00847DC6">
              <w:rPr>
                <w:rFonts w:ascii="Arial" w:hAnsi="Arial" w:cs="Arial"/>
                <w:b/>
                <w:sz w:val="20"/>
                <w:szCs w:val="20"/>
              </w:rPr>
              <w:t>Activo</w:t>
            </w:r>
            <w:r w:rsidRPr="00AC4AEA">
              <w:rPr>
                <w:rFonts w:ascii="Arial" w:hAnsi="Arial" w:cs="Arial"/>
                <w:sz w:val="20"/>
                <w:szCs w:val="20"/>
              </w:rPr>
              <w:t xml:space="preserve">- </w:t>
            </w:r>
            <w:r w:rsidRPr="0062355E">
              <w:rPr>
                <w:rFonts w:ascii="Arial" w:hAnsi="Arial" w:cs="Arial"/>
                <w:b/>
                <w:bCs/>
                <w:sz w:val="20"/>
                <w:szCs w:val="20"/>
              </w:rPr>
              <w:t>Pasivo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Pérdida</w:t>
            </w:r>
          </w:p>
        </w:tc>
        <w:tc>
          <w:tcPr>
            <w:tcW w:w="4454" w:type="dxa"/>
            <w:tcBorders>
              <w:top w:val="single" w:sz="4" w:space="0" w:color="auto"/>
              <w:left w:val="single" w:sz="4" w:space="0" w:color="auto"/>
              <w:bottom w:val="single" w:sz="4" w:space="0" w:color="auto"/>
              <w:right w:val="single" w:sz="4" w:space="0" w:color="auto"/>
            </w:tcBorders>
            <w:hideMark/>
          </w:tcPr>
          <w:p w:rsidR="00D90B9F" w:rsidRPr="00AC4AEA" w:rsidRDefault="00421257" w:rsidP="00B93153">
            <w:pPr>
              <w:pStyle w:val="A-Normal11"/>
              <w:snapToGrid w:val="0"/>
              <w:rPr>
                <w:rFonts w:ascii="Arial" w:hAnsi="Arial" w:cs="Arial"/>
                <w:sz w:val="20"/>
              </w:rPr>
            </w:pPr>
            <w:r w:rsidRPr="00AC4AEA">
              <w:rPr>
                <w:rFonts w:ascii="Arial" w:hAnsi="Arial" w:cs="Arial"/>
                <w:sz w:val="20"/>
              </w:rPr>
              <w:t xml:space="preserve">Es la disminución del </w:t>
            </w:r>
            <w:r w:rsidRPr="00AC4AEA">
              <w:rPr>
                <w:rFonts w:ascii="Arial" w:hAnsi="Arial" w:cs="Arial"/>
                <w:b/>
                <w:bCs/>
                <w:sz w:val="20"/>
              </w:rPr>
              <w:t>patrimonio neto</w:t>
            </w:r>
            <w:r w:rsidRPr="00AC4AEA">
              <w:rPr>
                <w:rFonts w:ascii="Arial" w:hAnsi="Arial" w:cs="Arial"/>
                <w:sz w:val="20"/>
              </w:rPr>
              <w:t xml:space="preserve"> generada por operaciones secundarias u otras transacciones</w:t>
            </w:r>
            <w:r w:rsidR="00D90B9F">
              <w:rPr>
                <w:rFonts w:ascii="Arial" w:hAnsi="Arial" w:cs="Arial"/>
                <w:sz w:val="20"/>
              </w:rPr>
              <w:t>, hechos</w:t>
            </w:r>
            <w:r w:rsidRPr="00AC4AEA">
              <w:rPr>
                <w:rFonts w:ascii="Arial" w:hAnsi="Arial" w:cs="Arial"/>
                <w:sz w:val="20"/>
              </w:rPr>
              <w:t xml:space="preserve"> o circunstancias, no proveniente de gastos o transacciones con los propietarios en su carácter de tales</w:t>
            </w:r>
            <w:r w:rsidR="00D90B9F">
              <w:rPr>
                <w:rFonts w:ascii="Arial" w:hAnsi="Arial" w:cs="Arial"/>
                <w:sz w:val="20"/>
              </w:rPr>
              <w:t xml:space="preserve"> </w:t>
            </w:r>
            <w:r w:rsidR="00D90B9F" w:rsidRPr="00D90B9F">
              <w:rPr>
                <w:rFonts w:ascii="Arial" w:hAnsi="Arial" w:cs="Arial"/>
                <w:sz w:val="20"/>
              </w:rPr>
              <w:t>que, de acuerdo con esta Resolución Técnica u otras normas contables, no se reconocen en los resultados diferidos.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Pérdida(s) por desvalorización</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424708">
            <w:pPr>
              <w:pStyle w:val="A-Normal11"/>
              <w:snapToGrid w:val="0"/>
              <w:ind w:hanging="31"/>
              <w:rPr>
                <w:rFonts w:ascii="Arial" w:hAnsi="Arial" w:cs="Arial"/>
                <w:sz w:val="20"/>
              </w:rPr>
            </w:pPr>
            <w:r w:rsidRPr="00AC4AEA">
              <w:rPr>
                <w:rFonts w:ascii="Arial" w:hAnsi="Arial" w:cs="Arial"/>
                <w:sz w:val="20"/>
              </w:rPr>
              <w:t xml:space="preserve">Una </w:t>
            </w:r>
            <w:r w:rsidRPr="008826C7">
              <w:rPr>
                <w:rFonts w:ascii="Arial" w:hAnsi="Arial" w:cs="Arial"/>
                <w:b/>
                <w:bCs/>
                <w:sz w:val="20"/>
              </w:rPr>
              <w:t>pérdida por desvalorización</w:t>
            </w:r>
            <w:r w:rsidRPr="00AC4AEA">
              <w:rPr>
                <w:rFonts w:ascii="Arial" w:hAnsi="Arial" w:cs="Arial"/>
                <w:sz w:val="20"/>
              </w:rPr>
              <w:t xml:space="preserve"> de un</w:t>
            </w:r>
            <w:r w:rsidRPr="00847DC6">
              <w:rPr>
                <w:rFonts w:ascii="Arial" w:hAnsi="Arial" w:cs="Arial"/>
                <w:b/>
                <w:bCs/>
                <w:sz w:val="20"/>
              </w:rPr>
              <w:t xml:space="preserve"> activo </w:t>
            </w:r>
            <w:r w:rsidRPr="00AC4AEA">
              <w:rPr>
                <w:rFonts w:ascii="Arial" w:hAnsi="Arial" w:cs="Arial"/>
                <w:sz w:val="20"/>
              </w:rPr>
              <w:t xml:space="preserve">surge cuando su medición contable resulta superior a su </w:t>
            </w:r>
            <w:r w:rsidRPr="00AC4AEA">
              <w:rPr>
                <w:rFonts w:ascii="Arial" w:hAnsi="Arial" w:cs="Arial"/>
                <w:b/>
                <w:bCs/>
                <w:sz w:val="20"/>
                <w:u w:val="single"/>
              </w:rPr>
              <w:t>valor recuperable</w:t>
            </w:r>
            <w:r w:rsidRPr="00AC4AEA">
              <w:rPr>
                <w:rFonts w:ascii="Arial" w:hAnsi="Arial" w:cs="Arial"/>
                <w:sz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F15FAC" w:rsidRPr="00AC4AEA" w:rsidRDefault="00F15FAC" w:rsidP="00A318EA">
            <w:pPr>
              <w:pStyle w:val="A-Normal11"/>
              <w:tabs>
                <w:tab w:val="left" w:pos="1872"/>
              </w:tabs>
              <w:snapToGrid w:val="0"/>
              <w:rPr>
                <w:rFonts w:ascii="Arial" w:hAnsi="Arial" w:cs="Arial"/>
                <w:b/>
                <w:bCs/>
                <w:sz w:val="20"/>
              </w:rPr>
            </w:pPr>
            <w:r w:rsidRPr="00AC4AEA">
              <w:rPr>
                <w:rFonts w:ascii="Arial" w:hAnsi="Arial" w:cs="Arial"/>
                <w:b/>
                <w:bCs/>
                <w:sz w:val="20"/>
              </w:rPr>
              <w:t>Período de medición</w:t>
            </w:r>
          </w:p>
        </w:tc>
        <w:tc>
          <w:tcPr>
            <w:tcW w:w="4454" w:type="dxa"/>
            <w:tcBorders>
              <w:top w:val="single" w:sz="4" w:space="0" w:color="auto"/>
              <w:left w:val="single" w:sz="4" w:space="0" w:color="auto"/>
              <w:bottom w:val="single" w:sz="4" w:space="0" w:color="auto"/>
              <w:right w:val="single" w:sz="4" w:space="0" w:color="auto"/>
            </w:tcBorders>
          </w:tcPr>
          <w:p w:rsidR="00F15FAC" w:rsidRPr="00AC4AEA" w:rsidRDefault="00F15FAC" w:rsidP="00160F73">
            <w:pPr>
              <w:pStyle w:val="A-Normal11"/>
              <w:rPr>
                <w:rFonts w:ascii="Arial" w:hAnsi="Arial" w:cs="Arial"/>
                <w:sz w:val="20"/>
                <w:lang w:val="es-ES_tradnl"/>
              </w:rPr>
            </w:pPr>
            <w:r w:rsidRPr="00AC4AEA">
              <w:rPr>
                <w:rFonts w:ascii="Arial" w:hAnsi="Arial" w:cs="Arial"/>
                <w:sz w:val="20"/>
                <w:u w:color="000000"/>
              </w:rPr>
              <w:t xml:space="preserve">Plazo de doce meses contado desde la </w:t>
            </w:r>
            <w:r w:rsidRPr="00796FFD">
              <w:rPr>
                <w:rFonts w:ascii="Arial" w:hAnsi="Arial" w:cs="Arial"/>
                <w:b/>
                <w:bCs/>
                <w:sz w:val="20"/>
                <w:u w:color="000000"/>
              </w:rPr>
              <w:t>fecha de adquisición</w:t>
            </w:r>
            <w:r w:rsidRPr="00AC4AEA">
              <w:rPr>
                <w:rFonts w:ascii="Arial" w:hAnsi="Arial" w:cs="Arial"/>
                <w:sz w:val="20"/>
                <w:u w:color="000000"/>
              </w:rPr>
              <w:t xml:space="preserve"> de la participación en una subsidiaria, asociada o negocio conjunto societario. Durante este plazo la entidad adquirente puede ajustar los importes provisionales utilizados en el reconocimiento y la medición inicial.</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pStyle w:val="A-Normal11"/>
              <w:tabs>
                <w:tab w:val="left" w:pos="1872"/>
              </w:tabs>
              <w:snapToGrid w:val="0"/>
              <w:rPr>
                <w:rFonts w:ascii="Arial" w:hAnsi="Arial" w:cs="Arial"/>
                <w:b/>
                <w:bCs/>
                <w:sz w:val="20"/>
              </w:rPr>
            </w:pPr>
            <w:r w:rsidRPr="00AC4AEA">
              <w:rPr>
                <w:rFonts w:ascii="Arial" w:hAnsi="Arial" w:cs="Arial"/>
                <w:b/>
                <w:bCs/>
                <w:sz w:val="20"/>
              </w:rPr>
              <w:t>Política(s) contable(s)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pStyle w:val="A-Normal11"/>
              <w:rPr>
                <w:rFonts w:ascii="Arial" w:hAnsi="Arial" w:cs="Arial"/>
                <w:sz w:val="20"/>
              </w:rPr>
            </w:pPr>
            <w:r w:rsidRPr="00AC4AEA">
              <w:rPr>
                <w:rFonts w:ascii="Arial" w:hAnsi="Arial" w:cs="Arial"/>
                <w:sz w:val="20"/>
                <w:lang w:val="es-ES_tradnl"/>
              </w:rPr>
              <w:t xml:space="preserve">Principios específicos, bases, reglas y procedimientos adoptados por una entidad para la elaboración y presentación de sus </w:t>
            </w:r>
            <w:r w:rsidRPr="00AC4AEA">
              <w:rPr>
                <w:rFonts w:ascii="Arial" w:hAnsi="Arial" w:cs="Arial"/>
                <w:b/>
                <w:bCs/>
                <w:sz w:val="20"/>
                <w:lang w:val="es-ES_tradnl"/>
              </w:rPr>
              <w:t>estados contables</w:t>
            </w:r>
            <w:r w:rsidRPr="00AC4AEA">
              <w:rPr>
                <w:rFonts w:ascii="Arial" w:hAnsi="Arial" w:cs="Arial"/>
                <w:sz w:val="20"/>
                <w:lang w:val="es-ES_tradnl"/>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735F0E" w:rsidRPr="00AC4AEA" w:rsidRDefault="00735F0E" w:rsidP="00A318EA">
            <w:pPr>
              <w:pStyle w:val="A-Normal11"/>
              <w:tabs>
                <w:tab w:val="left" w:pos="1872"/>
              </w:tabs>
              <w:snapToGrid w:val="0"/>
              <w:rPr>
                <w:rFonts w:ascii="Arial" w:hAnsi="Arial" w:cs="Arial"/>
                <w:b/>
                <w:bCs/>
                <w:sz w:val="20"/>
              </w:rPr>
            </w:pPr>
            <w:r w:rsidRPr="00AC4AEA">
              <w:rPr>
                <w:rFonts w:ascii="Arial" w:hAnsi="Arial" w:cs="Arial"/>
                <w:b/>
                <w:bCs/>
                <w:sz w:val="20"/>
                <w:lang w:val="es-ES_tradnl"/>
              </w:rPr>
              <w:t>Precio convenido</w:t>
            </w:r>
          </w:p>
        </w:tc>
        <w:tc>
          <w:tcPr>
            <w:tcW w:w="4454" w:type="dxa"/>
            <w:tcBorders>
              <w:top w:val="single" w:sz="4" w:space="0" w:color="auto"/>
              <w:left w:val="single" w:sz="4" w:space="0" w:color="auto"/>
              <w:bottom w:val="single" w:sz="4" w:space="0" w:color="auto"/>
              <w:right w:val="single" w:sz="4" w:space="0" w:color="auto"/>
            </w:tcBorders>
          </w:tcPr>
          <w:p w:rsidR="00735F0E" w:rsidRPr="00AC4AEA" w:rsidRDefault="00735F0E" w:rsidP="00160F73">
            <w:pPr>
              <w:pStyle w:val="A-Normal11"/>
              <w:rPr>
                <w:rFonts w:ascii="Arial" w:hAnsi="Arial" w:cs="Arial"/>
                <w:sz w:val="20"/>
              </w:rPr>
            </w:pPr>
            <w:r w:rsidRPr="00AC4AEA">
              <w:rPr>
                <w:rFonts w:ascii="Arial" w:hAnsi="Arial" w:cs="Arial"/>
                <w:sz w:val="20"/>
                <w:lang w:val="es-ES_tradnl"/>
              </w:rPr>
              <w:t>Importe convenido por una entidad con sus clientes o proveedores, de acuerdo con las prácticas imperantes</w:t>
            </w:r>
            <w:r w:rsidR="002B47F2" w:rsidRPr="00AC4AEA">
              <w:rPr>
                <w:rFonts w:ascii="Arial" w:hAnsi="Arial" w:cs="Arial"/>
                <w:sz w:val="20"/>
                <w:lang w:val="es-ES_tradnl"/>
              </w:rPr>
              <w:t xml:space="preserve">, </w:t>
            </w:r>
            <w:r w:rsidRPr="00AC4AEA">
              <w:rPr>
                <w:rFonts w:ascii="Arial" w:hAnsi="Arial" w:cs="Arial"/>
                <w:sz w:val="20"/>
                <w:lang w:val="es-ES_tradnl"/>
              </w:rPr>
              <w:t>para la operación de que se trate, en el respectivo sector, ramo de actividad o industria.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pStyle w:val="A-Normal11"/>
              <w:tabs>
                <w:tab w:val="left" w:pos="1872"/>
              </w:tabs>
              <w:snapToGrid w:val="0"/>
              <w:rPr>
                <w:rFonts w:ascii="Arial" w:hAnsi="Arial" w:cs="Arial"/>
                <w:b/>
                <w:bCs/>
                <w:sz w:val="20"/>
              </w:rPr>
            </w:pPr>
            <w:r w:rsidRPr="00AC4AEA">
              <w:rPr>
                <w:rFonts w:ascii="Arial" w:hAnsi="Arial" w:cs="Arial"/>
                <w:b/>
                <w:bCs/>
                <w:sz w:val="20"/>
              </w:rPr>
              <w:t>Probable</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pStyle w:val="A-Normal11"/>
              <w:snapToGrid w:val="0"/>
              <w:rPr>
                <w:rFonts w:ascii="Arial" w:hAnsi="Arial" w:cs="Arial"/>
                <w:sz w:val="20"/>
              </w:rPr>
            </w:pPr>
            <w:r w:rsidRPr="00AC4AEA">
              <w:rPr>
                <w:rFonts w:ascii="Arial" w:hAnsi="Arial" w:cs="Arial"/>
                <w:sz w:val="20"/>
                <w:lang w:val="es-ES_tradnl"/>
              </w:rPr>
              <w:t>Cuando en esta Resolución Técnica se utiliza este término como condición para el reconocimiento de una partida determinada, deberá entenderse equivalente a que tiene más probabilidad de que ocurra que de lo contrario. Para fines prácticos, una entidad considerará que un evento es más probable cuando la probabilidad de que ocurra es mayor al 50%, y es improbable cuando su probabilidad de ocurrencia es del 50% o menor</w:t>
            </w:r>
            <w:r w:rsidRPr="00AC4AEA">
              <w:rPr>
                <w:rFonts w:ascii="Arial" w:hAnsi="Arial" w:cs="Arial"/>
                <w:sz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985B0D" w:rsidRPr="00AC4AEA" w:rsidRDefault="00985B0D" w:rsidP="00A318EA">
            <w:pPr>
              <w:pStyle w:val="A-Normal11"/>
              <w:tabs>
                <w:tab w:val="left" w:pos="1872"/>
              </w:tabs>
              <w:snapToGrid w:val="0"/>
              <w:rPr>
                <w:rFonts w:ascii="Arial" w:hAnsi="Arial" w:cs="Arial"/>
                <w:b/>
                <w:bCs/>
                <w:sz w:val="20"/>
              </w:rPr>
            </w:pPr>
            <w:r w:rsidRPr="00AC4AEA">
              <w:rPr>
                <w:rFonts w:ascii="Arial" w:hAnsi="Arial" w:cs="Arial"/>
                <w:b/>
                <w:bCs/>
                <w:sz w:val="20"/>
                <w:lang w:val="es-ES_tradnl"/>
              </w:rPr>
              <w:t>Productos agropecuarios:</w:t>
            </w:r>
          </w:p>
        </w:tc>
        <w:tc>
          <w:tcPr>
            <w:tcW w:w="4454" w:type="dxa"/>
            <w:tcBorders>
              <w:top w:val="single" w:sz="4" w:space="0" w:color="auto"/>
              <w:left w:val="single" w:sz="4" w:space="0" w:color="auto"/>
              <w:bottom w:val="single" w:sz="4" w:space="0" w:color="auto"/>
              <w:right w:val="single" w:sz="4" w:space="0" w:color="auto"/>
            </w:tcBorders>
          </w:tcPr>
          <w:p w:rsidR="00985B0D" w:rsidRPr="00AC4AEA" w:rsidRDefault="00985B0D" w:rsidP="00A318EA">
            <w:pPr>
              <w:rPr>
                <w:rFonts w:ascii="Arial" w:hAnsi="Arial" w:cs="Arial"/>
                <w:sz w:val="20"/>
                <w:szCs w:val="20"/>
              </w:rPr>
            </w:pPr>
            <w:r w:rsidRPr="00AC4AEA">
              <w:rPr>
                <w:rFonts w:ascii="Arial" w:hAnsi="Arial" w:cs="Arial"/>
                <w:sz w:val="20"/>
                <w:szCs w:val="20"/>
              </w:rPr>
              <w:t xml:space="preserve">Son productos resultantes de la acción descripta en el punto “Obtención de productos agropecuarios” (por ejemplo: cereales cosechados, leche, lana, madera, frutos cosechados, etc.). </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pStyle w:val="A-Normal11"/>
              <w:tabs>
                <w:tab w:val="left" w:pos="1872"/>
              </w:tabs>
              <w:snapToGrid w:val="0"/>
              <w:rPr>
                <w:rFonts w:ascii="Arial" w:hAnsi="Arial" w:cs="Arial"/>
                <w:b/>
                <w:bCs/>
                <w:sz w:val="20"/>
              </w:rPr>
            </w:pPr>
            <w:r w:rsidRPr="00AC4AEA">
              <w:rPr>
                <w:rFonts w:ascii="Arial" w:hAnsi="Arial" w:cs="Arial"/>
                <w:b/>
                <w:bCs/>
                <w:sz w:val="20"/>
              </w:rPr>
              <w:t>Requisitos de la información contenida en los estados contables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424708">
            <w:pPr>
              <w:pStyle w:val="A-Normal11"/>
              <w:snapToGrid w:val="0"/>
              <w:rPr>
                <w:rFonts w:ascii="Arial" w:hAnsi="Arial" w:cs="Arial"/>
                <w:sz w:val="20"/>
              </w:rPr>
            </w:pPr>
            <w:r w:rsidRPr="00AC4AEA">
              <w:rPr>
                <w:rFonts w:ascii="Arial" w:hAnsi="Arial" w:cs="Arial"/>
                <w:sz w:val="20"/>
              </w:rPr>
              <w:t xml:space="preserve">Los </w:t>
            </w:r>
            <w:r w:rsidRPr="00AD600B">
              <w:rPr>
                <w:rFonts w:ascii="Arial" w:hAnsi="Arial" w:cs="Arial"/>
                <w:b/>
                <w:bCs/>
                <w:sz w:val="20"/>
              </w:rPr>
              <w:t>requisitos de la información contenida en los</w:t>
            </w:r>
            <w:r w:rsidRPr="00AC4AEA">
              <w:rPr>
                <w:rFonts w:ascii="Arial" w:hAnsi="Arial" w:cs="Arial"/>
                <w:sz w:val="20"/>
              </w:rPr>
              <w:t xml:space="preserve"> </w:t>
            </w:r>
            <w:r w:rsidRPr="00AC4AEA">
              <w:rPr>
                <w:rFonts w:ascii="Arial" w:hAnsi="Arial" w:cs="Arial"/>
                <w:b/>
                <w:bCs/>
                <w:sz w:val="20"/>
              </w:rPr>
              <w:t>estados contables</w:t>
            </w:r>
            <w:r w:rsidRPr="00AC4AEA">
              <w:rPr>
                <w:rFonts w:ascii="Arial" w:hAnsi="Arial" w:cs="Arial"/>
                <w:sz w:val="20"/>
              </w:rPr>
              <w:t xml:space="preserve"> están definidos en la sección 3 de la Resolución Técnica N° 16. En dicha Resolución Técnica se establecen los siguientes requisitos:</w:t>
            </w:r>
          </w:p>
          <w:p w:rsidR="00421257" w:rsidRPr="00AC4AEA" w:rsidRDefault="00421257" w:rsidP="00C01B25">
            <w:pPr>
              <w:pStyle w:val="A-Normal11"/>
              <w:numPr>
                <w:ilvl w:val="0"/>
                <w:numId w:val="514"/>
              </w:numPr>
              <w:snapToGrid w:val="0"/>
              <w:spacing w:line="256" w:lineRule="auto"/>
              <w:ind w:left="459" w:hanging="459"/>
              <w:rPr>
                <w:rFonts w:ascii="Arial" w:hAnsi="Arial" w:cs="Arial"/>
                <w:sz w:val="20"/>
              </w:rPr>
            </w:pPr>
            <w:r w:rsidRPr="00AC4AEA">
              <w:rPr>
                <w:rFonts w:ascii="Arial" w:hAnsi="Arial" w:cs="Arial"/>
                <w:sz w:val="20"/>
              </w:rPr>
              <w:t>Atributos:</w:t>
            </w:r>
          </w:p>
          <w:p w:rsidR="00421257" w:rsidRPr="00AC4AEA" w:rsidRDefault="00421257" w:rsidP="00C01B25">
            <w:pPr>
              <w:pStyle w:val="A-Normal11"/>
              <w:numPr>
                <w:ilvl w:val="1"/>
                <w:numId w:val="515"/>
              </w:numPr>
              <w:snapToGrid w:val="0"/>
              <w:spacing w:after="120" w:line="256" w:lineRule="auto"/>
              <w:ind w:left="1026" w:hanging="170"/>
              <w:rPr>
                <w:rFonts w:ascii="Arial" w:hAnsi="Arial" w:cs="Arial"/>
                <w:sz w:val="20"/>
              </w:rPr>
            </w:pPr>
            <w:r w:rsidRPr="00AC4AEA">
              <w:rPr>
                <w:rFonts w:ascii="Arial" w:hAnsi="Arial" w:cs="Arial"/>
                <w:sz w:val="20"/>
              </w:rPr>
              <w:t>Pertinencia (atingencia).</w:t>
            </w:r>
          </w:p>
          <w:p w:rsidR="00421257" w:rsidRPr="0062355E" w:rsidRDefault="00421257" w:rsidP="00C01B25">
            <w:pPr>
              <w:pStyle w:val="A-Normal11"/>
              <w:numPr>
                <w:ilvl w:val="1"/>
                <w:numId w:val="515"/>
              </w:numPr>
              <w:snapToGrid w:val="0"/>
              <w:spacing w:after="120" w:line="256" w:lineRule="auto"/>
              <w:ind w:left="1026" w:hanging="170"/>
              <w:rPr>
                <w:rFonts w:ascii="Arial" w:hAnsi="Arial" w:cs="Arial"/>
                <w:b/>
                <w:bCs/>
                <w:sz w:val="20"/>
              </w:rPr>
            </w:pPr>
            <w:r w:rsidRPr="0062355E">
              <w:rPr>
                <w:rFonts w:ascii="Arial" w:hAnsi="Arial" w:cs="Arial"/>
                <w:b/>
                <w:bCs/>
                <w:sz w:val="20"/>
              </w:rPr>
              <w:t>Confiabilidad (credibilidad).</w:t>
            </w:r>
          </w:p>
          <w:p w:rsidR="00421257" w:rsidRPr="00AC4AEA" w:rsidRDefault="00421257" w:rsidP="00C01B25">
            <w:pPr>
              <w:pStyle w:val="A-Normal11"/>
              <w:numPr>
                <w:ilvl w:val="1"/>
                <w:numId w:val="514"/>
              </w:numPr>
              <w:snapToGrid w:val="0"/>
              <w:spacing w:line="256" w:lineRule="auto"/>
              <w:ind w:left="1735"/>
              <w:rPr>
                <w:rFonts w:ascii="Arial" w:hAnsi="Arial" w:cs="Arial"/>
                <w:sz w:val="20"/>
              </w:rPr>
            </w:pPr>
            <w:r w:rsidRPr="00AC4AEA">
              <w:rPr>
                <w:rFonts w:ascii="Arial" w:hAnsi="Arial" w:cs="Arial"/>
                <w:sz w:val="20"/>
              </w:rPr>
              <w:t>Aproximación a la realidad.</w:t>
            </w:r>
          </w:p>
          <w:p w:rsidR="00421257" w:rsidRPr="00AC4AEA" w:rsidRDefault="00421257" w:rsidP="00C01B25">
            <w:pPr>
              <w:pStyle w:val="A-Normal11"/>
              <w:numPr>
                <w:ilvl w:val="2"/>
                <w:numId w:val="516"/>
              </w:numPr>
              <w:snapToGrid w:val="0"/>
              <w:spacing w:line="256" w:lineRule="auto"/>
              <w:ind w:left="2444" w:hanging="464"/>
              <w:rPr>
                <w:rFonts w:ascii="Arial" w:hAnsi="Arial" w:cs="Arial"/>
                <w:sz w:val="20"/>
              </w:rPr>
            </w:pPr>
            <w:r w:rsidRPr="00AC4AEA">
              <w:rPr>
                <w:rFonts w:ascii="Arial" w:hAnsi="Arial" w:cs="Arial"/>
                <w:sz w:val="20"/>
              </w:rPr>
              <w:t>Esencialidad (sustancia sobre forma).</w:t>
            </w:r>
          </w:p>
          <w:p w:rsidR="00421257" w:rsidRPr="00AC4AEA" w:rsidRDefault="00421257" w:rsidP="00C01B25">
            <w:pPr>
              <w:pStyle w:val="A-Normal11"/>
              <w:numPr>
                <w:ilvl w:val="2"/>
                <w:numId w:val="516"/>
              </w:numPr>
              <w:snapToGrid w:val="0"/>
              <w:spacing w:line="256" w:lineRule="auto"/>
              <w:ind w:left="2444" w:hanging="464"/>
              <w:rPr>
                <w:rFonts w:ascii="Arial" w:hAnsi="Arial" w:cs="Arial"/>
                <w:sz w:val="20"/>
              </w:rPr>
            </w:pPr>
            <w:r w:rsidRPr="00AC4AEA">
              <w:rPr>
                <w:rFonts w:ascii="Arial" w:hAnsi="Arial" w:cs="Arial"/>
                <w:sz w:val="20"/>
              </w:rPr>
              <w:t>Neutralidad (objetividad o ausencia de sesgos).</w:t>
            </w:r>
          </w:p>
          <w:p w:rsidR="00421257" w:rsidRPr="00AC4AEA" w:rsidRDefault="00421257" w:rsidP="00C01B25">
            <w:pPr>
              <w:pStyle w:val="A-Normal11"/>
              <w:numPr>
                <w:ilvl w:val="2"/>
                <w:numId w:val="516"/>
              </w:numPr>
              <w:snapToGrid w:val="0"/>
              <w:spacing w:line="256" w:lineRule="auto"/>
              <w:ind w:left="2444" w:hanging="464"/>
              <w:rPr>
                <w:rFonts w:ascii="Arial" w:hAnsi="Arial" w:cs="Arial"/>
                <w:sz w:val="20"/>
              </w:rPr>
            </w:pPr>
            <w:r w:rsidRPr="00AC4AEA">
              <w:rPr>
                <w:rFonts w:ascii="Arial" w:hAnsi="Arial" w:cs="Arial"/>
                <w:sz w:val="20"/>
              </w:rPr>
              <w:t>Integridad.</w:t>
            </w:r>
          </w:p>
          <w:p w:rsidR="00421257" w:rsidRPr="00AC4AEA" w:rsidRDefault="00421257" w:rsidP="00C01B25">
            <w:pPr>
              <w:pStyle w:val="A-Normal11"/>
              <w:numPr>
                <w:ilvl w:val="1"/>
                <w:numId w:val="514"/>
              </w:numPr>
              <w:snapToGrid w:val="0"/>
              <w:spacing w:line="256" w:lineRule="auto"/>
              <w:ind w:left="1735"/>
              <w:rPr>
                <w:rFonts w:ascii="Arial" w:hAnsi="Arial" w:cs="Arial"/>
                <w:sz w:val="20"/>
              </w:rPr>
            </w:pPr>
            <w:r w:rsidRPr="00AC4AEA">
              <w:rPr>
                <w:rFonts w:ascii="Arial" w:hAnsi="Arial" w:cs="Arial"/>
                <w:sz w:val="20"/>
              </w:rPr>
              <w:t>Verificabilidad.</w:t>
            </w:r>
          </w:p>
          <w:p w:rsidR="00421257" w:rsidRPr="00AC4AEA" w:rsidRDefault="00421257" w:rsidP="00C01B25">
            <w:pPr>
              <w:pStyle w:val="A-Normal11"/>
              <w:numPr>
                <w:ilvl w:val="1"/>
                <w:numId w:val="515"/>
              </w:numPr>
              <w:snapToGrid w:val="0"/>
              <w:spacing w:line="256" w:lineRule="auto"/>
              <w:rPr>
                <w:rFonts w:ascii="Arial" w:hAnsi="Arial" w:cs="Arial"/>
                <w:sz w:val="20"/>
              </w:rPr>
            </w:pPr>
            <w:r w:rsidRPr="00AC4AEA">
              <w:rPr>
                <w:rFonts w:ascii="Arial" w:hAnsi="Arial" w:cs="Arial"/>
                <w:sz w:val="20"/>
              </w:rPr>
              <w:t>Sistematicidad.</w:t>
            </w:r>
          </w:p>
          <w:p w:rsidR="00421257" w:rsidRPr="00AC4AEA" w:rsidRDefault="00421257" w:rsidP="00C01B25">
            <w:pPr>
              <w:pStyle w:val="A-Normal11"/>
              <w:numPr>
                <w:ilvl w:val="1"/>
                <w:numId w:val="515"/>
              </w:numPr>
              <w:snapToGrid w:val="0"/>
              <w:spacing w:line="256" w:lineRule="auto"/>
              <w:rPr>
                <w:rFonts w:ascii="Arial" w:hAnsi="Arial" w:cs="Arial"/>
                <w:sz w:val="20"/>
              </w:rPr>
            </w:pPr>
            <w:r w:rsidRPr="00AC4AEA">
              <w:rPr>
                <w:rFonts w:ascii="Arial" w:hAnsi="Arial" w:cs="Arial"/>
                <w:sz w:val="20"/>
              </w:rPr>
              <w:t>Comparabilidad.</w:t>
            </w:r>
          </w:p>
          <w:p w:rsidR="00421257" w:rsidRPr="00AC4AEA" w:rsidRDefault="00421257" w:rsidP="00C01B25">
            <w:pPr>
              <w:pStyle w:val="A-Normal11"/>
              <w:numPr>
                <w:ilvl w:val="1"/>
                <w:numId w:val="515"/>
              </w:numPr>
              <w:snapToGrid w:val="0"/>
              <w:spacing w:line="256" w:lineRule="auto"/>
              <w:rPr>
                <w:rFonts w:ascii="Arial" w:hAnsi="Arial" w:cs="Arial"/>
                <w:sz w:val="20"/>
              </w:rPr>
            </w:pPr>
            <w:r w:rsidRPr="00AC4AEA">
              <w:rPr>
                <w:rFonts w:ascii="Arial" w:hAnsi="Arial" w:cs="Arial"/>
                <w:sz w:val="20"/>
              </w:rPr>
              <w:t>Claridad.</w:t>
            </w:r>
          </w:p>
          <w:p w:rsidR="00421257" w:rsidRPr="00AC4AEA" w:rsidRDefault="00421257" w:rsidP="00C01B25">
            <w:pPr>
              <w:pStyle w:val="A-Normal11"/>
              <w:numPr>
                <w:ilvl w:val="0"/>
                <w:numId w:val="514"/>
              </w:numPr>
              <w:snapToGrid w:val="0"/>
              <w:spacing w:line="256" w:lineRule="auto"/>
              <w:ind w:left="459" w:hanging="459"/>
              <w:rPr>
                <w:rFonts w:ascii="Arial" w:hAnsi="Arial" w:cs="Arial"/>
                <w:sz w:val="20"/>
              </w:rPr>
            </w:pPr>
            <w:r w:rsidRPr="00AC4AEA">
              <w:rPr>
                <w:rFonts w:ascii="Arial" w:hAnsi="Arial" w:cs="Arial"/>
                <w:sz w:val="20"/>
              </w:rPr>
              <w:t>Restricciones que condicionan el cumplimiento de los requisitos:</w:t>
            </w:r>
          </w:p>
          <w:p w:rsidR="00421257" w:rsidRPr="00AC4AEA" w:rsidRDefault="00421257" w:rsidP="00C01B25">
            <w:pPr>
              <w:pStyle w:val="A-Normal11"/>
              <w:numPr>
                <w:ilvl w:val="1"/>
                <w:numId w:val="517"/>
              </w:numPr>
              <w:snapToGrid w:val="0"/>
              <w:spacing w:line="256" w:lineRule="auto"/>
              <w:ind w:left="1026" w:hanging="141"/>
              <w:rPr>
                <w:rFonts w:ascii="Arial" w:hAnsi="Arial" w:cs="Arial"/>
                <w:sz w:val="20"/>
              </w:rPr>
            </w:pPr>
            <w:r w:rsidRPr="00AC4AEA">
              <w:rPr>
                <w:rFonts w:ascii="Arial" w:hAnsi="Arial" w:cs="Arial"/>
                <w:sz w:val="20"/>
              </w:rPr>
              <w:t>Oportunidad.</w:t>
            </w:r>
          </w:p>
          <w:p w:rsidR="00421257" w:rsidRPr="00AC4AEA" w:rsidRDefault="00421257" w:rsidP="00C01B25">
            <w:pPr>
              <w:pStyle w:val="A-Normal11"/>
              <w:numPr>
                <w:ilvl w:val="1"/>
                <w:numId w:val="517"/>
              </w:numPr>
              <w:snapToGrid w:val="0"/>
              <w:spacing w:line="256" w:lineRule="auto"/>
              <w:ind w:left="1026" w:hanging="141"/>
              <w:rPr>
                <w:rFonts w:ascii="Arial" w:hAnsi="Arial" w:cs="Arial"/>
                <w:sz w:val="20"/>
              </w:rPr>
            </w:pPr>
            <w:r w:rsidRPr="00AC4AEA">
              <w:rPr>
                <w:rFonts w:ascii="Arial" w:hAnsi="Arial" w:cs="Arial"/>
                <w:sz w:val="20"/>
              </w:rPr>
              <w:t>Equilibrio entre costos y beneficios.</w:t>
            </w:r>
          </w:p>
          <w:p w:rsidR="00421257" w:rsidRPr="00AC4AEA" w:rsidRDefault="00421257" w:rsidP="00C01B25">
            <w:pPr>
              <w:pStyle w:val="A-Normal11"/>
              <w:numPr>
                <w:ilvl w:val="1"/>
                <w:numId w:val="517"/>
              </w:numPr>
              <w:snapToGrid w:val="0"/>
              <w:spacing w:line="256" w:lineRule="auto"/>
              <w:ind w:left="1026" w:hanging="141"/>
              <w:rPr>
                <w:rFonts w:ascii="Arial" w:hAnsi="Arial" w:cs="Arial"/>
                <w:sz w:val="20"/>
              </w:rPr>
            </w:pPr>
            <w:r w:rsidRPr="00AC4AEA">
              <w:rPr>
                <w:rFonts w:ascii="Arial" w:hAnsi="Arial" w:cs="Arial"/>
                <w:sz w:val="20"/>
              </w:rPr>
              <w:t>Impracticabilidad.</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Resultados diferidos</w:t>
            </w:r>
          </w:p>
        </w:tc>
        <w:tc>
          <w:tcPr>
            <w:tcW w:w="4454" w:type="dxa"/>
            <w:tcBorders>
              <w:top w:val="single" w:sz="4" w:space="0" w:color="auto"/>
              <w:left w:val="single" w:sz="4" w:space="0" w:color="auto"/>
              <w:bottom w:val="single" w:sz="4" w:space="0" w:color="auto"/>
              <w:right w:val="single" w:sz="4" w:space="0" w:color="auto"/>
            </w:tcBorders>
            <w:hideMark/>
          </w:tcPr>
          <w:p w:rsidR="00865248" w:rsidRPr="00AC4AEA" w:rsidRDefault="00421257" w:rsidP="00160F73">
            <w:pPr>
              <w:snapToGrid w:val="0"/>
              <w:spacing w:after="120"/>
              <w:rPr>
                <w:rFonts w:ascii="Arial" w:hAnsi="Arial" w:cs="Arial"/>
                <w:sz w:val="20"/>
                <w:szCs w:val="20"/>
              </w:rPr>
            </w:pPr>
            <w:r w:rsidRPr="00AC4AEA">
              <w:rPr>
                <w:rFonts w:ascii="Arial" w:hAnsi="Arial" w:cs="Arial"/>
                <w:sz w:val="20"/>
                <w:szCs w:val="20"/>
              </w:rPr>
              <w:t>Son resultados</w:t>
            </w:r>
            <w:r w:rsidR="00865248">
              <w:rPr>
                <w:rFonts w:ascii="Arial" w:hAnsi="Arial" w:cs="Arial"/>
                <w:sz w:val="20"/>
                <w:szCs w:val="20"/>
              </w:rPr>
              <w:t xml:space="preserve"> </w:t>
            </w:r>
            <w:r w:rsidRPr="00AC4AEA">
              <w:rPr>
                <w:rFonts w:ascii="Arial" w:hAnsi="Arial" w:cs="Arial"/>
                <w:sz w:val="20"/>
                <w:szCs w:val="20"/>
              </w:rPr>
              <w:t xml:space="preserve">que, de acuerdo con lo exigido o permitido por esta u </w:t>
            </w:r>
            <w:r w:rsidRPr="00B93153">
              <w:rPr>
                <w:rFonts w:ascii="Arial" w:hAnsi="Arial" w:cs="Arial"/>
                <w:b/>
                <w:bCs/>
                <w:sz w:val="20"/>
                <w:szCs w:val="20"/>
              </w:rPr>
              <w:t xml:space="preserve">otras </w:t>
            </w:r>
            <w:r w:rsidR="00217CDD" w:rsidRPr="00B93153">
              <w:rPr>
                <w:rFonts w:ascii="Arial" w:hAnsi="Arial" w:cs="Arial"/>
                <w:b/>
                <w:bCs/>
                <w:sz w:val="20"/>
                <w:szCs w:val="20"/>
              </w:rPr>
              <w:t>normas contables</w:t>
            </w:r>
            <w:r w:rsidRPr="00AC4AEA">
              <w:rPr>
                <w:rFonts w:ascii="Arial" w:hAnsi="Arial" w:cs="Arial"/>
                <w:sz w:val="20"/>
                <w:szCs w:val="20"/>
              </w:rPr>
              <w:t xml:space="preserve">, no se reconocen dentro del resultado del período. Los </w:t>
            </w:r>
            <w:r w:rsidRPr="00AD600B">
              <w:rPr>
                <w:rFonts w:ascii="Arial" w:hAnsi="Arial" w:cs="Arial"/>
                <w:b/>
                <w:bCs/>
                <w:sz w:val="20"/>
                <w:szCs w:val="20"/>
              </w:rPr>
              <w:t>resultados diferidos</w:t>
            </w:r>
            <w:r w:rsidRPr="00AC4AEA">
              <w:rPr>
                <w:rFonts w:ascii="Arial" w:hAnsi="Arial" w:cs="Arial"/>
                <w:sz w:val="20"/>
                <w:szCs w:val="20"/>
              </w:rPr>
              <w:t xml:space="preserve"> se mantendrán como tales hasta que esta Resolución Técnica u </w:t>
            </w:r>
            <w:r w:rsidRPr="00AC4AEA">
              <w:rPr>
                <w:rFonts w:ascii="Arial" w:hAnsi="Arial" w:cs="Arial"/>
                <w:b/>
                <w:bCs/>
                <w:sz w:val="20"/>
                <w:szCs w:val="20"/>
              </w:rPr>
              <w:t>otras normas contables</w:t>
            </w:r>
            <w:r w:rsidRPr="00AC4AEA">
              <w:rPr>
                <w:rFonts w:ascii="Arial" w:hAnsi="Arial" w:cs="Arial"/>
                <w:sz w:val="20"/>
                <w:szCs w:val="20"/>
              </w:rPr>
              <w:t xml:space="preserve"> permitan o exijan su reclasificación a resultados o su transferencia a resultados acumulados no asignados.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Saldo por revaluación</w:t>
            </w:r>
          </w:p>
          <w:p w:rsidR="00421257" w:rsidRPr="00AC4AEA" w:rsidRDefault="00421257" w:rsidP="00A318EA">
            <w:pPr>
              <w:pStyle w:val="A-Normal11"/>
              <w:tabs>
                <w:tab w:val="left" w:pos="1872"/>
              </w:tabs>
              <w:snapToGrid w:val="0"/>
              <w:rPr>
                <w:rFonts w:ascii="Arial" w:hAnsi="Arial" w:cs="Arial"/>
                <w:b/>
                <w:bCs/>
                <w:sz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Partida a la cual se imputan las diferencias entre el </w:t>
            </w:r>
            <w:r w:rsidRPr="00AC4AEA">
              <w:rPr>
                <w:rFonts w:ascii="Arial" w:hAnsi="Arial" w:cs="Arial"/>
                <w:b/>
                <w:bCs/>
                <w:sz w:val="20"/>
                <w:szCs w:val="20"/>
              </w:rPr>
              <w:t>valor razonable</w:t>
            </w:r>
            <w:r w:rsidRPr="00AC4AEA">
              <w:rPr>
                <w:rFonts w:ascii="Arial" w:hAnsi="Arial" w:cs="Arial"/>
                <w:sz w:val="20"/>
                <w:szCs w:val="20"/>
              </w:rPr>
              <w:t xml:space="preserve"> de los bienes de uso y su medición contable cuando se aplica el modelo de la revaluación.</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Significación</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Criterio por el cual una entidad podrá no aplicar una norma contenida en esta Resolución Técnica u </w:t>
            </w:r>
            <w:r w:rsidRPr="00AC4AEA">
              <w:rPr>
                <w:rFonts w:ascii="Arial" w:hAnsi="Arial" w:cs="Arial"/>
                <w:b/>
                <w:bCs/>
                <w:sz w:val="20"/>
                <w:szCs w:val="20"/>
              </w:rPr>
              <w:t xml:space="preserve">otras normas contables </w:t>
            </w:r>
            <w:r w:rsidRPr="00AC4AEA">
              <w:rPr>
                <w:rFonts w:ascii="Arial" w:hAnsi="Arial" w:cs="Arial"/>
                <w:sz w:val="20"/>
                <w:szCs w:val="20"/>
              </w:rPr>
              <w:t xml:space="preserve">cuando tal desviación no distorsiona significativamente la información contenida en los </w:t>
            </w:r>
            <w:r w:rsidRPr="00AC4AEA">
              <w:rPr>
                <w:rFonts w:ascii="Arial" w:hAnsi="Arial" w:cs="Arial"/>
                <w:b/>
                <w:bCs/>
                <w:sz w:val="20"/>
                <w:szCs w:val="20"/>
              </w:rPr>
              <w:t>estados contables</w:t>
            </w:r>
            <w:r w:rsidRPr="00AC4AEA">
              <w:rPr>
                <w:rFonts w:ascii="Arial" w:hAnsi="Arial" w:cs="Arial"/>
                <w:sz w:val="20"/>
                <w:szCs w:val="20"/>
              </w:rPr>
              <w:t xml:space="preserve"> tomados en su conjunto</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 xml:space="preserve">Situación patrimonial </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Los elementos relacionados directamente con la </w:t>
            </w:r>
            <w:r w:rsidRPr="00D86B48">
              <w:rPr>
                <w:rFonts w:ascii="Arial" w:hAnsi="Arial" w:cs="Arial"/>
                <w:b/>
                <w:bCs/>
                <w:sz w:val="20"/>
                <w:szCs w:val="20"/>
              </w:rPr>
              <w:t xml:space="preserve">situación patrimonial </w:t>
            </w:r>
            <w:r w:rsidRPr="00AC4AEA">
              <w:rPr>
                <w:rFonts w:ascii="Arial" w:hAnsi="Arial" w:cs="Arial"/>
                <w:sz w:val="20"/>
                <w:szCs w:val="20"/>
              </w:rPr>
              <w:t xml:space="preserve">son los activos, los pasivos y el </w:t>
            </w:r>
            <w:r w:rsidRPr="00AC4AEA">
              <w:rPr>
                <w:rFonts w:ascii="Arial" w:hAnsi="Arial" w:cs="Arial"/>
                <w:b/>
                <w:bCs/>
                <w:sz w:val="20"/>
                <w:szCs w:val="20"/>
              </w:rPr>
              <w:t>patrimonio neto</w:t>
            </w:r>
            <w:r w:rsidRPr="00AC4AEA">
              <w:rPr>
                <w:rFonts w:ascii="Arial" w:hAnsi="Arial" w:cs="Arial"/>
                <w:sz w:val="20"/>
                <w:szCs w:val="20"/>
              </w:rPr>
              <w:t xml:space="preserve"> a una fecha determinada.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Temas de</w:t>
            </w:r>
            <w:r w:rsidRPr="00AC4AEA">
              <w:rPr>
                <w:rFonts w:ascii="Arial" w:hAnsi="Arial" w:cs="Arial"/>
                <w:sz w:val="20"/>
                <w:szCs w:val="20"/>
              </w:rPr>
              <w:t xml:space="preserve"> </w:t>
            </w:r>
            <w:r w:rsidRPr="00AC4AEA">
              <w:rPr>
                <w:rFonts w:ascii="Arial" w:hAnsi="Arial" w:cs="Arial"/>
                <w:b/>
                <w:bCs/>
                <w:sz w:val="20"/>
                <w:szCs w:val="20"/>
              </w:rPr>
              <w:t>baja complejidad contable</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 xml:space="preserve">Son aquellos implicados en la preparación de una </w:t>
            </w:r>
            <w:r w:rsidRPr="00076221">
              <w:rPr>
                <w:rFonts w:ascii="Arial" w:hAnsi="Arial" w:cs="Arial"/>
                <w:b/>
                <w:bCs/>
                <w:sz w:val="20"/>
                <w:szCs w:val="20"/>
              </w:rPr>
              <w:t>entidad emisora de estados contables</w:t>
            </w:r>
            <w:r w:rsidRPr="00AC4AEA">
              <w:rPr>
                <w:rFonts w:ascii="Arial" w:hAnsi="Arial" w:cs="Arial"/>
                <w:sz w:val="20"/>
                <w:szCs w:val="20"/>
              </w:rPr>
              <w:t xml:space="preserve"> que presenta, generalmente, una o más de las siguientes características:</w:t>
            </w:r>
          </w:p>
          <w:p w:rsidR="00421257" w:rsidRPr="00AC4AEA" w:rsidRDefault="00421257" w:rsidP="00C01B25">
            <w:pPr>
              <w:pStyle w:val="Prrafodelista"/>
              <w:numPr>
                <w:ilvl w:val="0"/>
                <w:numId w:val="518"/>
              </w:numPr>
              <w:snapToGrid w:val="0"/>
              <w:spacing w:line="256" w:lineRule="auto"/>
              <w:ind w:left="469"/>
              <w:contextualSpacing w:val="0"/>
              <w:rPr>
                <w:rFonts w:ascii="Arial" w:hAnsi="Arial" w:cs="Arial"/>
                <w:sz w:val="20"/>
                <w:szCs w:val="20"/>
              </w:rPr>
            </w:pPr>
            <w:r w:rsidRPr="00AC4AEA">
              <w:rPr>
                <w:rFonts w:ascii="Arial" w:hAnsi="Arial" w:cs="Arial"/>
                <w:sz w:val="20"/>
                <w:szCs w:val="20"/>
              </w:rPr>
              <w:t xml:space="preserve">no está alcanzada por la Ley de Entidades Financieras y no realiza operaciones de capitalización o ahorro ni requiere recursos del público con promesa de prestaciones o beneficios futuros; </w:t>
            </w:r>
          </w:p>
          <w:p w:rsidR="00421257" w:rsidRPr="00AC4AEA" w:rsidRDefault="00421257" w:rsidP="00C01B25">
            <w:pPr>
              <w:pStyle w:val="Prrafodelista"/>
              <w:numPr>
                <w:ilvl w:val="0"/>
                <w:numId w:val="518"/>
              </w:numPr>
              <w:snapToGrid w:val="0"/>
              <w:spacing w:line="256" w:lineRule="auto"/>
              <w:ind w:left="459" w:hanging="425"/>
              <w:contextualSpacing w:val="0"/>
              <w:rPr>
                <w:rFonts w:ascii="Arial" w:hAnsi="Arial" w:cs="Arial"/>
                <w:sz w:val="20"/>
                <w:szCs w:val="20"/>
              </w:rPr>
            </w:pPr>
            <w:r w:rsidRPr="00AC4AEA">
              <w:rPr>
                <w:rFonts w:ascii="Arial" w:hAnsi="Arial" w:cs="Arial"/>
                <w:sz w:val="20"/>
                <w:szCs w:val="20"/>
              </w:rPr>
              <w:t xml:space="preserve">no es una entidad aseguradora bajo el control de la Superintendencia de Seguros de la Nación; </w:t>
            </w:r>
          </w:p>
          <w:p w:rsidR="00421257" w:rsidRPr="00AC4AEA" w:rsidRDefault="00421257" w:rsidP="00C01B25">
            <w:pPr>
              <w:pStyle w:val="Prrafodelista"/>
              <w:numPr>
                <w:ilvl w:val="0"/>
                <w:numId w:val="518"/>
              </w:numPr>
              <w:snapToGrid w:val="0"/>
              <w:spacing w:line="256" w:lineRule="auto"/>
              <w:ind w:left="459" w:hanging="425"/>
              <w:contextualSpacing w:val="0"/>
              <w:rPr>
                <w:rFonts w:ascii="Arial" w:hAnsi="Arial" w:cs="Arial"/>
                <w:sz w:val="20"/>
                <w:szCs w:val="20"/>
              </w:rPr>
            </w:pPr>
            <w:r w:rsidRPr="00AC4AEA">
              <w:rPr>
                <w:rFonts w:ascii="Arial" w:hAnsi="Arial" w:cs="Arial"/>
                <w:sz w:val="20"/>
                <w:szCs w:val="20"/>
              </w:rPr>
              <w:t xml:space="preserve">no es una sociedad anónima con participación estatal mayoritaria o de economía mixta; </w:t>
            </w:r>
          </w:p>
          <w:p w:rsidR="00421257" w:rsidRPr="00AC4AEA" w:rsidRDefault="00421257" w:rsidP="00C01B25">
            <w:pPr>
              <w:pStyle w:val="Prrafodelista"/>
              <w:numPr>
                <w:ilvl w:val="0"/>
                <w:numId w:val="518"/>
              </w:numPr>
              <w:snapToGrid w:val="0"/>
              <w:spacing w:line="256" w:lineRule="auto"/>
              <w:ind w:left="459" w:hanging="425"/>
              <w:contextualSpacing w:val="0"/>
              <w:rPr>
                <w:rFonts w:ascii="Arial" w:hAnsi="Arial" w:cs="Arial"/>
                <w:sz w:val="20"/>
                <w:szCs w:val="20"/>
              </w:rPr>
            </w:pPr>
            <w:r w:rsidRPr="00AC4AEA">
              <w:rPr>
                <w:rFonts w:ascii="Arial" w:hAnsi="Arial" w:cs="Arial"/>
                <w:sz w:val="20"/>
                <w:szCs w:val="20"/>
              </w:rPr>
              <w:t>no es una controladora de un grupo económico;</w:t>
            </w:r>
          </w:p>
          <w:p w:rsidR="00421257" w:rsidRPr="00AC4AEA" w:rsidRDefault="00421257" w:rsidP="00C01B25">
            <w:pPr>
              <w:pStyle w:val="Prrafodelista"/>
              <w:numPr>
                <w:ilvl w:val="0"/>
                <w:numId w:val="518"/>
              </w:numPr>
              <w:snapToGrid w:val="0"/>
              <w:spacing w:line="256" w:lineRule="auto"/>
              <w:ind w:left="459" w:hanging="425"/>
              <w:contextualSpacing w:val="0"/>
              <w:rPr>
                <w:rFonts w:ascii="Arial" w:hAnsi="Arial" w:cs="Arial"/>
                <w:sz w:val="20"/>
                <w:szCs w:val="20"/>
              </w:rPr>
            </w:pPr>
            <w:r w:rsidRPr="00AC4AEA">
              <w:rPr>
                <w:rFonts w:ascii="Arial" w:hAnsi="Arial" w:cs="Arial"/>
                <w:sz w:val="20"/>
                <w:szCs w:val="20"/>
              </w:rPr>
              <w:t>no posee participaciones que le otorgan control conjunto o influencia significativa sobre otras entidades;</w:t>
            </w:r>
          </w:p>
          <w:p w:rsidR="00421257" w:rsidRPr="00AC4AEA" w:rsidRDefault="00421257" w:rsidP="00C01B25">
            <w:pPr>
              <w:pStyle w:val="Prrafodelista"/>
              <w:numPr>
                <w:ilvl w:val="0"/>
                <w:numId w:val="518"/>
              </w:numPr>
              <w:snapToGrid w:val="0"/>
              <w:spacing w:line="256" w:lineRule="auto"/>
              <w:ind w:left="459" w:hanging="425"/>
              <w:contextualSpacing w:val="0"/>
              <w:rPr>
                <w:rFonts w:ascii="Arial" w:hAnsi="Arial" w:cs="Arial"/>
                <w:sz w:val="20"/>
                <w:szCs w:val="20"/>
              </w:rPr>
            </w:pPr>
            <w:r w:rsidRPr="00AC4AEA">
              <w:rPr>
                <w:rFonts w:ascii="Arial" w:hAnsi="Arial" w:cs="Arial"/>
                <w:sz w:val="20"/>
                <w:szCs w:val="20"/>
              </w:rPr>
              <w:t>no cuenta con una estructura organizativa, de propiedad o de supervisión complejas;</w:t>
            </w:r>
          </w:p>
          <w:p w:rsidR="00421257" w:rsidRPr="00AC4AEA" w:rsidRDefault="00421257" w:rsidP="00C01B25">
            <w:pPr>
              <w:pStyle w:val="Prrafodelista"/>
              <w:numPr>
                <w:ilvl w:val="0"/>
                <w:numId w:val="518"/>
              </w:numPr>
              <w:snapToGrid w:val="0"/>
              <w:spacing w:line="256" w:lineRule="auto"/>
              <w:ind w:left="459" w:hanging="425"/>
              <w:contextualSpacing w:val="0"/>
              <w:rPr>
                <w:rFonts w:ascii="Arial" w:hAnsi="Arial" w:cs="Arial"/>
                <w:sz w:val="20"/>
                <w:szCs w:val="20"/>
              </w:rPr>
            </w:pPr>
            <w:r w:rsidRPr="00AC4AEA">
              <w:rPr>
                <w:rFonts w:ascii="Arial" w:hAnsi="Arial" w:cs="Arial"/>
                <w:sz w:val="20"/>
                <w:szCs w:val="20"/>
              </w:rPr>
              <w:t xml:space="preserve">sus transacciones o el sistema de información y los procesos relacionados relevantes para preparar los </w:t>
            </w:r>
            <w:r w:rsidRPr="00AC4AEA">
              <w:rPr>
                <w:rFonts w:ascii="Arial" w:hAnsi="Arial" w:cs="Arial"/>
                <w:b/>
                <w:bCs/>
                <w:sz w:val="20"/>
                <w:szCs w:val="20"/>
              </w:rPr>
              <w:t>estados contables</w:t>
            </w:r>
            <w:r w:rsidRPr="00AC4AEA">
              <w:rPr>
                <w:rFonts w:ascii="Arial" w:hAnsi="Arial" w:cs="Arial"/>
                <w:sz w:val="20"/>
                <w:szCs w:val="20"/>
              </w:rPr>
              <w:t xml:space="preserve"> de la entidad no son complejos; o</w:t>
            </w:r>
          </w:p>
          <w:p w:rsidR="00421257" w:rsidRPr="00AC4AEA" w:rsidRDefault="00421257" w:rsidP="00C01B25">
            <w:pPr>
              <w:pStyle w:val="Prrafodelista"/>
              <w:numPr>
                <w:ilvl w:val="0"/>
                <w:numId w:val="518"/>
              </w:numPr>
              <w:snapToGrid w:val="0"/>
              <w:spacing w:line="256" w:lineRule="auto"/>
              <w:ind w:left="459" w:hanging="425"/>
              <w:contextualSpacing w:val="0"/>
              <w:rPr>
                <w:rFonts w:ascii="Arial" w:hAnsi="Arial" w:cs="Arial"/>
                <w:sz w:val="20"/>
                <w:szCs w:val="20"/>
              </w:rPr>
            </w:pPr>
            <w:r w:rsidRPr="00AC4AEA">
              <w:rPr>
                <w:rFonts w:ascii="Arial" w:hAnsi="Arial" w:cs="Arial"/>
                <w:sz w:val="20"/>
                <w:szCs w:val="20"/>
              </w:rPr>
              <w:t xml:space="preserve">las estimaciones contables que la entidad realiza para elaborar sus </w:t>
            </w:r>
            <w:r w:rsidRPr="00AC4AEA">
              <w:rPr>
                <w:rFonts w:ascii="Arial" w:hAnsi="Arial" w:cs="Arial"/>
                <w:b/>
                <w:bCs/>
                <w:sz w:val="20"/>
                <w:szCs w:val="20"/>
              </w:rPr>
              <w:t>estados contables</w:t>
            </w:r>
            <w:r w:rsidRPr="00AC4AEA">
              <w:rPr>
                <w:rFonts w:ascii="Arial" w:hAnsi="Arial" w:cs="Arial"/>
                <w:sz w:val="20"/>
                <w:szCs w:val="20"/>
              </w:rPr>
              <w:t xml:space="preserve"> no implican cálculos complejos.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Transacciones financieras</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Son operaciones de otorgamiento u obtención de recursos financieros (efectivo y equivalentes). Incluyen otorgamiento de préstamos, obtención de préstamos, emisión de bonos u obligaciones negociables y similares.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 xml:space="preserve">Usuarios </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 xml:space="preserve">Son </w:t>
            </w:r>
            <w:r w:rsidR="004D2E72" w:rsidRPr="00AC4AEA">
              <w:rPr>
                <w:rFonts w:ascii="Arial" w:hAnsi="Arial" w:cs="Arial"/>
                <w:sz w:val="20"/>
                <w:szCs w:val="20"/>
              </w:rPr>
              <w:t xml:space="preserve">quienes, a una fecha determinada, se espera razonablemente que </w:t>
            </w:r>
            <w:r w:rsidR="00494A01" w:rsidRPr="00AC4AEA">
              <w:rPr>
                <w:rFonts w:ascii="Arial" w:hAnsi="Arial" w:cs="Arial"/>
                <w:sz w:val="20"/>
                <w:szCs w:val="20"/>
              </w:rPr>
              <w:t>podrían tener interés</w:t>
            </w:r>
            <w:r w:rsidRPr="00AC4AEA">
              <w:rPr>
                <w:rFonts w:ascii="Arial" w:hAnsi="Arial" w:cs="Arial"/>
                <w:sz w:val="20"/>
                <w:szCs w:val="20"/>
              </w:rPr>
              <w:t xml:space="preserve"> </w:t>
            </w:r>
            <w:r w:rsidR="00494A01" w:rsidRPr="00AC4AEA">
              <w:rPr>
                <w:rFonts w:ascii="Arial" w:hAnsi="Arial" w:cs="Arial"/>
                <w:sz w:val="20"/>
                <w:szCs w:val="20"/>
              </w:rPr>
              <w:t>en</w:t>
            </w:r>
            <w:r w:rsidRPr="00AC4AEA">
              <w:rPr>
                <w:rFonts w:ascii="Arial" w:hAnsi="Arial" w:cs="Arial"/>
                <w:sz w:val="20"/>
                <w:szCs w:val="20"/>
              </w:rPr>
              <w:t xml:space="preserve"> los </w:t>
            </w:r>
            <w:r w:rsidRPr="00AC4AEA">
              <w:rPr>
                <w:rFonts w:ascii="Arial" w:hAnsi="Arial" w:cs="Arial"/>
                <w:b/>
                <w:bCs/>
                <w:sz w:val="20"/>
                <w:szCs w:val="20"/>
              </w:rPr>
              <w:t>estados contables</w:t>
            </w:r>
            <w:r w:rsidRPr="00AC4AEA">
              <w:rPr>
                <w:rFonts w:ascii="Arial" w:hAnsi="Arial" w:cs="Arial"/>
                <w:sz w:val="20"/>
                <w:szCs w:val="20"/>
              </w:rPr>
              <w:t xml:space="preserve"> de una entidad</w:t>
            </w:r>
            <w:r w:rsidR="008E4AF3" w:rsidRPr="00AC4AEA">
              <w:rPr>
                <w:rFonts w:ascii="Arial" w:hAnsi="Arial" w:cs="Arial"/>
                <w:sz w:val="20"/>
                <w:szCs w:val="20"/>
              </w:rPr>
              <w:t>. Entre ellos se incluyen:</w:t>
            </w:r>
          </w:p>
          <w:p w:rsidR="008E4AF3" w:rsidRPr="00AC4AEA" w:rsidRDefault="008E4AF3" w:rsidP="00C01B25">
            <w:pPr>
              <w:pStyle w:val="Prrafodelista"/>
              <w:numPr>
                <w:ilvl w:val="4"/>
                <w:numId w:val="667"/>
              </w:numPr>
              <w:snapToGrid w:val="0"/>
              <w:spacing w:after="120"/>
              <w:ind w:left="394" w:hanging="394"/>
              <w:contextualSpacing w:val="0"/>
              <w:rPr>
                <w:rFonts w:ascii="Arial" w:hAnsi="Arial" w:cs="Arial"/>
                <w:sz w:val="20"/>
                <w:szCs w:val="20"/>
              </w:rPr>
            </w:pPr>
            <w:r w:rsidRPr="00AC4AEA">
              <w:rPr>
                <w:rFonts w:ascii="Arial" w:hAnsi="Arial" w:cs="Arial"/>
                <w:sz w:val="20"/>
                <w:szCs w:val="20"/>
              </w:rPr>
              <w:t xml:space="preserve">Los </w:t>
            </w:r>
            <w:r w:rsidRPr="00AC4AEA">
              <w:rPr>
                <w:rFonts w:ascii="Arial" w:hAnsi="Arial" w:cs="Arial"/>
                <w:b/>
                <w:bCs/>
                <w:sz w:val="20"/>
                <w:szCs w:val="20"/>
              </w:rPr>
              <w:t>usuarios tipo.</w:t>
            </w:r>
          </w:p>
          <w:p w:rsidR="008E4AF3" w:rsidRPr="00AC4AEA" w:rsidRDefault="008E4AF3" w:rsidP="00C01B25">
            <w:pPr>
              <w:pStyle w:val="Prrafodelista"/>
              <w:numPr>
                <w:ilvl w:val="4"/>
                <w:numId w:val="667"/>
              </w:numPr>
              <w:snapToGrid w:val="0"/>
              <w:spacing w:after="120"/>
              <w:ind w:left="392"/>
              <w:contextualSpacing w:val="0"/>
              <w:rPr>
                <w:rFonts w:ascii="Arial" w:hAnsi="Arial" w:cs="Arial"/>
                <w:sz w:val="20"/>
                <w:szCs w:val="20"/>
              </w:rPr>
            </w:pPr>
            <w:r w:rsidRPr="00AC4AEA">
              <w:rPr>
                <w:rFonts w:ascii="Arial" w:hAnsi="Arial" w:cs="Arial"/>
                <w:sz w:val="20"/>
                <w:szCs w:val="20"/>
              </w:rPr>
              <w:t>Otros usuarios</w:t>
            </w:r>
            <w:r w:rsidR="00B4711B" w:rsidRPr="00AC4AEA">
              <w:rPr>
                <w:rFonts w:ascii="Arial" w:hAnsi="Arial" w:cs="Arial"/>
                <w:sz w:val="20"/>
                <w:szCs w:val="20"/>
              </w:rPr>
              <w:t xml:space="preserve">, distintos de los </w:t>
            </w:r>
            <w:r w:rsidR="00B4711B" w:rsidRPr="00AC4AEA">
              <w:rPr>
                <w:rFonts w:ascii="Arial" w:hAnsi="Arial" w:cs="Arial"/>
                <w:b/>
                <w:bCs/>
                <w:sz w:val="20"/>
                <w:szCs w:val="20"/>
              </w:rPr>
              <w:t>usuarios tipos</w:t>
            </w:r>
            <w:r w:rsidR="00B4711B" w:rsidRPr="00AC4AEA">
              <w:rPr>
                <w:rFonts w:ascii="Arial" w:hAnsi="Arial" w:cs="Arial"/>
                <w:sz w:val="20"/>
                <w:szCs w:val="20"/>
              </w:rPr>
              <w:t>,</w:t>
            </w:r>
            <w:r w:rsidRPr="00AC4AEA">
              <w:rPr>
                <w:rFonts w:ascii="Arial" w:hAnsi="Arial" w:cs="Arial"/>
                <w:sz w:val="20"/>
                <w:szCs w:val="20"/>
              </w:rPr>
              <w:t xml:space="preserve"> que exigen o solicitan </w:t>
            </w:r>
            <w:r w:rsidR="00B543C9" w:rsidRPr="00AC4AEA">
              <w:rPr>
                <w:rFonts w:ascii="Arial" w:hAnsi="Arial" w:cs="Arial"/>
                <w:sz w:val="20"/>
                <w:szCs w:val="20"/>
              </w:rPr>
              <w:t>que</w:t>
            </w:r>
            <w:r w:rsidRPr="00AC4AEA">
              <w:rPr>
                <w:rFonts w:ascii="Arial" w:hAnsi="Arial" w:cs="Arial"/>
                <w:sz w:val="20"/>
                <w:szCs w:val="20"/>
              </w:rPr>
              <w:t xml:space="preserve"> la entidad</w:t>
            </w:r>
            <w:r w:rsidR="00B543C9" w:rsidRPr="00AC4AEA">
              <w:rPr>
                <w:rFonts w:ascii="Arial" w:hAnsi="Arial" w:cs="Arial"/>
                <w:sz w:val="20"/>
                <w:szCs w:val="20"/>
              </w:rPr>
              <w:t xml:space="preserve"> les</w:t>
            </w:r>
            <w:r w:rsidRPr="00AC4AEA">
              <w:rPr>
                <w:rFonts w:ascii="Arial" w:hAnsi="Arial" w:cs="Arial"/>
                <w:sz w:val="20"/>
                <w:szCs w:val="20"/>
              </w:rPr>
              <w:t xml:space="preserve"> present</w:t>
            </w:r>
            <w:r w:rsidR="00B543C9" w:rsidRPr="00AC4AEA">
              <w:rPr>
                <w:rFonts w:ascii="Arial" w:hAnsi="Arial" w:cs="Arial"/>
                <w:sz w:val="20"/>
                <w:szCs w:val="20"/>
              </w:rPr>
              <w:t>e sus</w:t>
            </w:r>
            <w:r w:rsidRPr="00AC4AEA">
              <w:rPr>
                <w:rFonts w:ascii="Arial" w:hAnsi="Arial" w:cs="Arial"/>
                <w:sz w:val="20"/>
                <w:szCs w:val="20"/>
              </w:rPr>
              <w:t xml:space="preserve"> </w:t>
            </w:r>
            <w:r w:rsidRPr="00AC4AEA">
              <w:rPr>
                <w:rFonts w:ascii="Arial" w:hAnsi="Arial" w:cs="Arial"/>
                <w:b/>
                <w:bCs/>
                <w:sz w:val="20"/>
                <w:szCs w:val="20"/>
              </w:rPr>
              <w:t>estados contables</w:t>
            </w:r>
            <w:r w:rsidRPr="00AC4AEA">
              <w:rPr>
                <w:rFonts w:ascii="Arial" w:hAnsi="Arial" w:cs="Arial"/>
                <w:sz w:val="20"/>
                <w:szCs w:val="20"/>
              </w:rPr>
              <w:t xml:space="preserve"> </w:t>
            </w:r>
            <w:r w:rsidR="00B4711B" w:rsidRPr="00AC4AEA">
              <w:rPr>
                <w:rFonts w:ascii="Arial" w:hAnsi="Arial" w:cs="Arial"/>
                <w:sz w:val="20"/>
                <w:szCs w:val="20"/>
              </w:rPr>
              <w:t>por diversas razones</w:t>
            </w:r>
            <w:r w:rsidRPr="00AC4AEA">
              <w:rPr>
                <w:rFonts w:ascii="Arial" w:hAnsi="Arial" w:cs="Arial"/>
                <w:sz w:val="20"/>
                <w:szCs w:val="20"/>
              </w:rPr>
              <w:t>. Por ejemplo:</w:t>
            </w:r>
          </w:p>
          <w:p w:rsidR="008E4AF3" w:rsidRPr="00AC4AEA" w:rsidRDefault="008E4AF3" w:rsidP="00C01B25">
            <w:pPr>
              <w:pStyle w:val="Prrafodelista"/>
              <w:numPr>
                <w:ilvl w:val="5"/>
                <w:numId w:val="667"/>
              </w:numPr>
              <w:snapToGrid w:val="0"/>
              <w:spacing w:after="120"/>
              <w:ind w:left="676"/>
              <w:contextualSpacing w:val="0"/>
              <w:rPr>
                <w:rFonts w:ascii="Arial" w:hAnsi="Arial" w:cs="Arial"/>
                <w:sz w:val="20"/>
                <w:szCs w:val="20"/>
              </w:rPr>
            </w:pPr>
            <w:r w:rsidRPr="00AC4AEA">
              <w:rPr>
                <w:rFonts w:ascii="Arial" w:hAnsi="Arial" w:cs="Arial"/>
                <w:sz w:val="20"/>
                <w:szCs w:val="20"/>
              </w:rPr>
              <w:t>los órganos de control societario; o</w:t>
            </w:r>
          </w:p>
          <w:p w:rsidR="008E4AF3" w:rsidRPr="00AC4AEA" w:rsidRDefault="008E4AF3" w:rsidP="00C01B25">
            <w:pPr>
              <w:pStyle w:val="Prrafodelista"/>
              <w:numPr>
                <w:ilvl w:val="5"/>
                <w:numId w:val="667"/>
              </w:numPr>
              <w:snapToGrid w:val="0"/>
              <w:spacing w:after="120"/>
              <w:ind w:left="676"/>
              <w:contextualSpacing w:val="0"/>
              <w:rPr>
                <w:rFonts w:ascii="Arial" w:hAnsi="Arial" w:cs="Arial"/>
                <w:sz w:val="20"/>
                <w:szCs w:val="20"/>
              </w:rPr>
            </w:pPr>
            <w:r w:rsidRPr="00AC4AEA">
              <w:rPr>
                <w:rFonts w:ascii="Arial" w:hAnsi="Arial" w:cs="Arial"/>
                <w:sz w:val="20"/>
                <w:szCs w:val="20"/>
              </w:rPr>
              <w:t xml:space="preserve"> los organismos de recaudación fiscal o previsional.</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Usuarios tipo</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 xml:space="preserve">Son </w:t>
            </w:r>
            <w:r w:rsidRPr="00D86B48">
              <w:rPr>
                <w:rFonts w:ascii="Arial" w:hAnsi="Arial" w:cs="Arial"/>
                <w:b/>
                <w:bCs/>
                <w:sz w:val="20"/>
                <w:szCs w:val="20"/>
              </w:rPr>
              <w:t xml:space="preserve">usuarios </w:t>
            </w:r>
            <w:r w:rsidRPr="00AC4AEA">
              <w:rPr>
                <w:rFonts w:ascii="Arial" w:hAnsi="Arial" w:cs="Arial"/>
                <w:sz w:val="20"/>
                <w:szCs w:val="20"/>
              </w:rPr>
              <w:t xml:space="preserve">tipo de los </w:t>
            </w:r>
            <w:r w:rsidRPr="00AC4AEA">
              <w:rPr>
                <w:rFonts w:ascii="Arial" w:hAnsi="Arial" w:cs="Arial"/>
                <w:b/>
                <w:bCs/>
                <w:sz w:val="20"/>
                <w:szCs w:val="20"/>
              </w:rPr>
              <w:t>estados contables</w:t>
            </w:r>
            <w:r w:rsidRPr="00AC4AEA">
              <w:rPr>
                <w:rFonts w:ascii="Arial" w:hAnsi="Arial" w:cs="Arial"/>
                <w:sz w:val="20"/>
                <w:szCs w:val="20"/>
              </w:rPr>
              <w:t>:</w:t>
            </w:r>
          </w:p>
          <w:p w:rsidR="00421257" w:rsidRPr="00AC4AEA" w:rsidRDefault="00421257" w:rsidP="00C01B25">
            <w:pPr>
              <w:pStyle w:val="Prrafodelista"/>
              <w:numPr>
                <w:ilvl w:val="0"/>
                <w:numId w:val="519"/>
              </w:numPr>
              <w:snapToGrid w:val="0"/>
              <w:spacing w:line="256" w:lineRule="auto"/>
              <w:ind w:left="678" w:hanging="567"/>
              <w:contextualSpacing w:val="0"/>
              <w:rPr>
                <w:rFonts w:ascii="Arial" w:hAnsi="Arial" w:cs="Arial"/>
                <w:sz w:val="20"/>
                <w:szCs w:val="20"/>
              </w:rPr>
            </w:pPr>
            <w:r w:rsidRPr="00AC4AEA">
              <w:rPr>
                <w:rFonts w:ascii="Arial" w:hAnsi="Arial" w:cs="Arial"/>
                <w:sz w:val="20"/>
                <w:szCs w:val="20"/>
              </w:rPr>
              <w:t>En el caso de las entidades en general</w:t>
            </w:r>
            <w:r w:rsidR="004836EF" w:rsidRPr="00AC4AEA">
              <w:rPr>
                <w:rFonts w:ascii="Arial" w:hAnsi="Arial" w:cs="Arial"/>
                <w:sz w:val="20"/>
                <w:szCs w:val="20"/>
              </w:rPr>
              <w:t>, sus inversores, prestamistas, y otros acreedores, tanto actuales como potenciales. Entre ellos, y sin constituir un listado exhaustivo, se encuentran los siguientes ejemplos:</w:t>
            </w:r>
          </w:p>
          <w:p w:rsidR="004836EF" w:rsidRPr="00AC4AEA" w:rsidRDefault="004836EF" w:rsidP="00C01B25">
            <w:pPr>
              <w:pStyle w:val="Prrafodelista"/>
              <w:numPr>
                <w:ilvl w:val="1"/>
                <w:numId w:val="668"/>
              </w:numPr>
              <w:snapToGrid w:val="0"/>
              <w:spacing w:line="256" w:lineRule="auto"/>
              <w:ind w:left="1240"/>
              <w:contextualSpacing w:val="0"/>
              <w:rPr>
                <w:rFonts w:ascii="Arial" w:hAnsi="Arial" w:cs="Arial"/>
                <w:sz w:val="20"/>
                <w:szCs w:val="20"/>
              </w:rPr>
            </w:pPr>
            <w:r w:rsidRPr="00AC4AEA">
              <w:rPr>
                <w:rFonts w:ascii="Arial" w:hAnsi="Arial" w:cs="Arial"/>
                <w:sz w:val="20"/>
                <w:szCs w:val="20"/>
              </w:rPr>
              <w:t>Un inversor que no participa de la gestión.</w:t>
            </w:r>
          </w:p>
          <w:p w:rsidR="004836EF" w:rsidRPr="00AC4AEA" w:rsidRDefault="004836EF" w:rsidP="00C01B25">
            <w:pPr>
              <w:pStyle w:val="Prrafodelista"/>
              <w:numPr>
                <w:ilvl w:val="1"/>
                <w:numId w:val="668"/>
              </w:numPr>
              <w:snapToGrid w:val="0"/>
              <w:spacing w:line="256" w:lineRule="auto"/>
              <w:ind w:left="1240"/>
              <w:contextualSpacing w:val="0"/>
              <w:rPr>
                <w:rFonts w:ascii="Arial" w:hAnsi="Arial" w:cs="Arial"/>
                <w:sz w:val="20"/>
                <w:szCs w:val="20"/>
              </w:rPr>
            </w:pPr>
            <w:r w:rsidRPr="00AC4AEA">
              <w:rPr>
                <w:rFonts w:ascii="Arial" w:hAnsi="Arial" w:cs="Arial"/>
                <w:sz w:val="20"/>
                <w:szCs w:val="20"/>
              </w:rPr>
              <w:t xml:space="preserve">Un banco ante el cual se presentan los </w:t>
            </w:r>
            <w:r w:rsidRPr="00AC4AEA">
              <w:rPr>
                <w:rFonts w:ascii="Arial" w:hAnsi="Arial" w:cs="Arial"/>
                <w:b/>
                <w:bCs/>
                <w:sz w:val="20"/>
                <w:szCs w:val="20"/>
              </w:rPr>
              <w:t>estados contables</w:t>
            </w:r>
            <w:r w:rsidRPr="00AC4AEA">
              <w:rPr>
                <w:rFonts w:ascii="Arial" w:hAnsi="Arial" w:cs="Arial"/>
                <w:sz w:val="20"/>
                <w:szCs w:val="20"/>
              </w:rPr>
              <w:t xml:space="preserve"> a efectos de obtener financiación.</w:t>
            </w:r>
          </w:p>
          <w:p w:rsidR="008E4AF3" w:rsidRPr="00AC4AEA" w:rsidRDefault="00C63B4D" w:rsidP="00C01B25">
            <w:pPr>
              <w:pStyle w:val="Prrafodelista"/>
              <w:numPr>
                <w:ilvl w:val="1"/>
                <w:numId w:val="668"/>
              </w:numPr>
              <w:snapToGrid w:val="0"/>
              <w:spacing w:line="256" w:lineRule="auto"/>
              <w:ind w:left="1240"/>
              <w:contextualSpacing w:val="0"/>
              <w:rPr>
                <w:rFonts w:ascii="Arial" w:hAnsi="Arial" w:cs="Arial"/>
                <w:sz w:val="20"/>
                <w:szCs w:val="20"/>
              </w:rPr>
            </w:pPr>
            <w:r w:rsidRPr="00AC4AEA">
              <w:rPr>
                <w:rFonts w:ascii="Arial" w:hAnsi="Arial" w:cs="Arial"/>
                <w:sz w:val="20"/>
                <w:szCs w:val="20"/>
              </w:rPr>
              <w:t>Un o</w:t>
            </w:r>
            <w:r w:rsidR="008E4AF3" w:rsidRPr="00AC4AEA">
              <w:rPr>
                <w:rFonts w:ascii="Arial" w:hAnsi="Arial" w:cs="Arial"/>
                <w:sz w:val="20"/>
                <w:szCs w:val="20"/>
              </w:rPr>
              <w:t xml:space="preserve">rganismo gubernamental o </w:t>
            </w:r>
            <w:r w:rsidRPr="00AC4AEA">
              <w:rPr>
                <w:rFonts w:ascii="Arial" w:hAnsi="Arial" w:cs="Arial"/>
                <w:sz w:val="20"/>
                <w:szCs w:val="20"/>
              </w:rPr>
              <w:t xml:space="preserve">una </w:t>
            </w:r>
            <w:r w:rsidR="008E4AF3" w:rsidRPr="00AC4AEA">
              <w:rPr>
                <w:rFonts w:ascii="Arial" w:hAnsi="Arial" w:cs="Arial"/>
                <w:sz w:val="20"/>
                <w:szCs w:val="20"/>
              </w:rPr>
              <w:t xml:space="preserve">entidad privada que utiliza los </w:t>
            </w:r>
            <w:r w:rsidR="008E4AF3" w:rsidRPr="00AC4AEA">
              <w:rPr>
                <w:rFonts w:ascii="Arial" w:hAnsi="Arial" w:cs="Arial"/>
                <w:b/>
                <w:bCs/>
                <w:sz w:val="20"/>
                <w:szCs w:val="20"/>
              </w:rPr>
              <w:t>estados contables</w:t>
            </w:r>
            <w:r w:rsidR="008E4AF3" w:rsidRPr="00AC4AEA">
              <w:rPr>
                <w:rFonts w:ascii="Arial" w:hAnsi="Arial" w:cs="Arial"/>
                <w:sz w:val="20"/>
                <w:szCs w:val="20"/>
              </w:rPr>
              <w:t xml:space="preserve"> para tomar decisiones de inversión, financiamiento o similares (por ejemplo, adjudicar una licitación o celebrar un </w:t>
            </w:r>
            <w:r w:rsidR="008E4AF3" w:rsidRPr="003A4B10">
              <w:rPr>
                <w:rFonts w:ascii="Arial" w:hAnsi="Arial" w:cs="Arial"/>
                <w:b/>
                <w:bCs/>
                <w:sz w:val="20"/>
                <w:szCs w:val="20"/>
              </w:rPr>
              <w:t xml:space="preserve">contrato </w:t>
            </w:r>
            <w:r w:rsidR="008E4AF3" w:rsidRPr="00AC4AEA">
              <w:rPr>
                <w:rFonts w:ascii="Arial" w:hAnsi="Arial" w:cs="Arial"/>
                <w:sz w:val="20"/>
                <w:szCs w:val="20"/>
              </w:rPr>
              <w:t>de prestación de bienes o servicios)</w:t>
            </w:r>
            <w:r w:rsidR="00137182" w:rsidRPr="00AC4AEA">
              <w:rPr>
                <w:rFonts w:ascii="Arial" w:hAnsi="Arial" w:cs="Arial"/>
                <w:sz w:val="20"/>
                <w:szCs w:val="20"/>
              </w:rPr>
              <w:t>.</w:t>
            </w:r>
          </w:p>
          <w:p w:rsidR="00421257" w:rsidRPr="00AC4AEA" w:rsidRDefault="00421257" w:rsidP="00C01B25">
            <w:pPr>
              <w:pStyle w:val="Prrafodelista"/>
              <w:numPr>
                <w:ilvl w:val="0"/>
                <w:numId w:val="519"/>
              </w:numPr>
              <w:snapToGrid w:val="0"/>
              <w:spacing w:line="256" w:lineRule="auto"/>
              <w:ind w:left="678" w:hanging="567"/>
              <w:contextualSpacing w:val="0"/>
              <w:rPr>
                <w:rFonts w:ascii="Arial" w:hAnsi="Arial" w:cs="Arial"/>
                <w:sz w:val="20"/>
                <w:szCs w:val="20"/>
              </w:rPr>
            </w:pPr>
            <w:r w:rsidRPr="00AC4AEA">
              <w:rPr>
                <w:rFonts w:ascii="Arial" w:hAnsi="Arial" w:cs="Arial"/>
                <w:sz w:val="20"/>
                <w:szCs w:val="20"/>
              </w:rPr>
              <w:t xml:space="preserve">En el caso de las entidades sin fines de lucro no gubernamentales, </w:t>
            </w:r>
            <w:r w:rsidR="008E4AF3" w:rsidRPr="00AC4AEA">
              <w:rPr>
                <w:rFonts w:ascii="Arial" w:hAnsi="Arial" w:cs="Arial"/>
                <w:sz w:val="20"/>
                <w:szCs w:val="20"/>
              </w:rPr>
              <w:t>las personas o entidades que</w:t>
            </w:r>
            <w:r w:rsidRPr="00AC4AEA">
              <w:rPr>
                <w:rFonts w:ascii="Arial" w:hAnsi="Arial" w:cs="Arial"/>
                <w:sz w:val="20"/>
                <w:szCs w:val="20"/>
              </w:rPr>
              <w:t xml:space="preserve"> les proveen o les podrían suministrar recursos (por ejemplo, los socios de una asociación civil).</w:t>
            </w:r>
          </w:p>
          <w:p w:rsidR="00421257" w:rsidRPr="00AC4AEA" w:rsidRDefault="00421257" w:rsidP="00C01B25">
            <w:pPr>
              <w:pStyle w:val="Prrafodelista"/>
              <w:numPr>
                <w:ilvl w:val="0"/>
                <w:numId w:val="519"/>
              </w:numPr>
              <w:snapToGrid w:val="0"/>
              <w:spacing w:line="256" w:lineRule="auto"/>
              <w:ind w:left="678" w:hanging="567"/>
              <w:contextualSpacing w:val="0"/>
              <w:rPr>
                <w:rFonts w:ascii="Arial" w:hAnsi="Arial" w:cs="Arial"/>
                <w:sz w:val="20"/>
                <w:szCs w:val="20"/>
              </w:rPr>
            </w:pPr>
            <w:r w:rsidRPr="00AC4AEA">
              <w:rPr>
                <w:rFonts w:ascii="Arial" w:hAnsi="Arial" w:cs="Arial"/>
                <w:sz w:val="20"/>
                <w:szCs w:val="20"/>
              </w:rPr>
              <w:t>En el caso de las entidades gubernamentales, los correspondientes cuerpos legislativos y de fiscalización.</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Valor corriente</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Es una gama de valores basados en el mercado; entre ellos, los siguientes:</w:t>
            </w:r>
          </w:p>
          <w:p w:rsidR="00421257" w:rsidRPr="00AC4AEA" w:rsidRDefault="00421257" w:rsidP="00C01B25">
            <w:pPr>
              <w:pStyle w:val="Prrafodelista"/>
              <w:numPr>
                <w:ilvl w:val="0"/>
                <w:numId w:val="520"/>
              </w:numPr>
              <w:snapToGrid w:val="0"/>
              <w:spacing w:line="256" w:lineRule="auto"/>
              <w:ind w:left="459" w:hanging="501"/>
              <w:contextualSpacing w:val="0"/>
              <w:rPr>
                <w:rFonts w:ascii="Arial" w:hAnsi="Arial" w:cs="Arial"/>
                <w:sz w:val="20"/>
                <w:szCs w:val="20"/>
              </w:rPr>
            </w:pPr>
            <w:r w:rsidRPr="00AC4AEA">
              <w:rPr>
                <w:rFonts w:ascii="Arial" w:hAnsi="Arial" w:cs="Arial"/>
                <w:b/>
                <w:bCs/>
                <w:sz w:val="20"/>
                <w:szCs w:val="20"/>
              </w:rPr>
              <w:t>Costo de reposición</w:t>
            </w:r>
            <w:r w:rsidRPr="00AC4AEA">
              <w:rPr>
                <w:rFonts w:ascii="Arial" w:hAnsi="Arial" w:cs="Arial"/>
                <w:sz w:val="20"/>
                <w:szCs w:val="20"/>
              </w:rPr>
              <w:t>.</w:t>
            </w:r>
          </w:p>
          <w:p w:rsidR="00421257" w:rsidRPr="00AC4AEA" w:rsidRDefault="00421257" w:rsidP="00C01B25">
            <w:pPr>
              <w:pStyle w:val="Prrafodelista"/>
              <w:numPr>
                <w:ilvl w:val="0"/>
                <w:numId w:val="520"/>
              </w:numPr>
              <w:snapToGrid w:val="0"/>
              <w:spacing w:line="256" w:lineRule="auto"/>
              <w:ind w:left="459" w:hanging="501"/>
              <w:contextualSpacing w:val="0"/>
              <w:rPr>
                <w:rFonts w:ascii="Arial" w:hAnsi="Arial" w:cs="Arial"/>
                <w:sz w:val="20"/>
                <w:szCs w:val="20"/>
              </w:rPr>
            </w:pPr>
            <w:r w:rsidRPr="00AC4AEA">
              <w:rPr>
                <w:rFonts w:ascii="Arial" w:hAnsi="Arial" w:cs="Arial"/>
                <w:b/>
                <w:bCs/>
                <w:sz w:val="20"/>
                <w:szCs w:val="20"/>
              </w:rPr>
              <w:t>Costo de reproducción y/o reconstrucción</w:t>
            </w:r>
            <w:r w:rsidRPr="00AC4AEA">
              <w:rPr>
                <w:rFonts w:ascii="Arial" w:hAnsi="Arial" w:cs="Arial"/>
                <w:sz w:val="20"/>
                <w:szCs w:val="20"/>
              </w:rPr>
              <w:t>.</w:t>
            </w:r>
          </w:p>
          <w:p w:rsidR="00421257" w:rsidRPr="00AC4AEA" w:rsidRDefault="00421257" w:rsidP="00C01B25">
            <w:pPr>
              <w:pStyle w:val="Prrafodelista"/>
              <w:numPr>
                <w:ilvl w:val="0"/>
                <w:numId w:val="520"/>
              </w:numPr>
              <w:snapToGrid w:val="0"/>
              <w:spacing w:line="256" w:lineRule="auto"/>
              <w:ind w:left="459" w:hanging="501"/>
              <w:contextualSpacing w:val="0"/>
              <w:rPr>
                <w:rFonts w:ascii="Arial" w:hAnsi="Arial" w:cs="Arial"/>
                <w:sz w:val="20"/>
                <w:szCs w:val="20"/>
              </w:rPr>
            </w:pPr>
            <w:r w:rsidRPr="00AC4AEA">
              <w:rPr>
                <w:rFonts w:ascii="Arial" w:hAnsi="Arial" w:cs="Arial"/>
                <w:b/>
                <w:bCs/>
                <w:sz w:val="20"/>
                <w:szCs w:val="20"/>
              </w:rPr>
              <w:t>Valor neto de realización</w:t>
            </w:r>
            <w:r w:rsidRPr="00AC4AEA">
              <w:rPr>
                <w:rFonts w:ascii="Arial" w:hAnsi="Arial" w:cs="Arial"/>
                <w:sz w:val="20"/>
                <w:szCs w:val="20"/>
              </w:rPr>
              <w:t>.</w:t>
            </w:r>
          </w:p>
          <w:p w:rsidR="00421257" w:rsidRPr="00AC4AEA" w:rsidRDefault="00421257" w:rsidP="00C01B25">
            <w:pPr>
              <w:pStyle w:val="Prrafodelista"/>
              <w:numPr>
                <w:ilvl w:val="0"/>
                <w:numId w:val="520"/>
              </w:numPr>
              <w:snapToGrid w:val="0"/>
              <w:spacing w:line="256" w:lineRule="auto"/>
              <w:ind w:left="459" w:hanging="501"/>
              <w:contextualSpacing w:val="0"/>
              <w:rPr>
                <w:rFonts w:ascii="Arial" w:hAnsi="Arial" w:cs="Arial"/>
                <w:sz w:val="20"/>
                <w:szCs w:val="20"/>
              </w:rPr>
            </w:pPr>
            <w:r w:rsidRPr="00AC4AEA">
              <w:rPr>
                <w:rFonts w:ascii="Arial" w:hAnsi="Arial" w:cs="Arial"/>
                <w:b/>
                <w:bCs/>
                <w:sz w:val="20"/>
                <w:szCs w:val="20"/>
              </w:rPr>
              <w:t>Valor razonable</w:t>
            </w:r>
            <w:r w:rsidRPr="00AC4AEA">
              <w:rPr>
                <w:rFonts w:ascii="Arial" w:hAnsi="Arial" w:cs="Arial"/>
                <w:sz w:val="20"/>
                <w:szCs w:val="20"/>
              </w:rPr>
              <w:t>.</w:t>
            </w:r>
          </w:p>
          <w:p w:rsidR="00421257" w:rsidRPr="00AC4AEA" w:rsidRDefault="00421257" w:rsidP="00C01B25">
            <w:pPr>
              <w:pStyle w:val="Prrafodelista"/>
              <w:numPr>
                <w:ilvl w:val="0"/>
                <w:numId w:val="520"/>
              </w:numPr>
              <w:snapToGrid w:val="0"/>
              <w:spacing w:line="256" w:lineRule="auto"/>
              <w:ind w:left="459" w:hanging="501"/>
              <w:contextualSpacing w:val="0"/>
              <w:rPr>
                <w:rFonts w:ascii="Arial" w:hAnsi="Arial" w:cs="Arial"/>
                <w:sz w:val="20"/>
                <w:szCs w:val="20"/>
              </w:rPr>
            </w:pPr>
            <w:r w:rsidRPr="00AC4AEA">
              <w:rPr>
                <w:rFonts w:ascii="Arial" w:hAnsi="Arial" w:cs="Arial"/>
                <w:sz w:val="20"/>
                <w:szCs w:val="20"/>
              </w:rPr>
              <w:t xml:space="preserve">Valor descontado en función una tasa de interés correspondiente al momento de la medición. </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Valor de uso</w:t>
            </w:r>
          </w:p>
          <w:p w:rsidR="00421257" w:rsidRPr="00AC4AEA" w:rsidRDefault="00421257" w:rsidP="00A318EA">
            <w:pPr>
              <w:tabs>
                <w:tab w:val="left" w:pos="1872"/>
              </w:tabs>
              <w:snapToGrid w:val="0"/>
              <w:rPr>
                <w:rFonts w:ascii="Arial" w:hAnsi="Arial" w:cs="Arial"/>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ind w:left="38" w:hanging="38"/>
              <w:rPr>
                <w:rFonts w:ascii="Arial" w:hAnsi="Arial" w:cs="Arial"/>
                <w:sz w:val="20"/>
                <w:szCs w:val="20"/>
              </w:rPr>
            </w:pPr>
            <w:r w:rsidRPr="00AC4AEA">
              <w:rPr>
                <w:rFonts w:ascii="Arial" w:hAnsi="Arial" w:cs="Arial"/>
                <w:sz w:val="20"/>
                <w:szCs w:val="20"/>
              </w:rPr>
              <w:t>Es el valor actual de los flujos netos de efectivo esperados que deberían surgir del uso de los bienes y de su disposición al final de su vida útil (o de su venta anticipada, si ella hubiera sido resuelta).</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Valor neto de realización</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snapToGrid w:val="0"/>
              <w:spacing w:after="120"/>
              <w:rPr>
                <w:rFonts w:ascii="Arial" w:hAnsi="Arial" w:cs="Arial"/>
                <w:sz w:val="20"/>
                <w:szCs w:val="20"/>
              </w:rPr>
            </w:pPr>
            <w:r w:rsidRPr="00AC4AEA">
              <w:rPr>
                <w:rFonts w:ascii="Arial" w:hAnsi="Arial" w:cs="Arial"/>
                <w:sz w:val="20"/>
                <w:szCs w:val="20"/>
              </w:rPr>
              <w:t>En su determinación se considerarán:</w:t>
            </w:r>
          </w:p>
          <w:p w:rsidR="00421257" w:rsidRPr="00AC4AEA" w:rsidRDefault="00DD22A7" w:rsidP="00C01B25">
            <w:pPr>
              <w:pStyle w:val="Prrafodelista"/>
              <w:numPr>
                <w:ilvl w:val="0"/>
                <w:numId w:val="521"/>
              </w:numPr>
              <w:snapToGrid w:val="0"/>
              <w:spacing w:line="256" w:lineRule="auto"/>
              <w:contextualSpacing w:val="0"/>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valor razonable</w:t>
            </w:r>
            <w:r w:rsidRPr="00AC4AEA">
              <w:rPr>
                <w:rFonts w:ascii="Arial" w:hAnsi="Arial" w:cs="Arial"/>
                <w:sz w:val="20"/>
                <w:szCs w:val="20"/>
              </w:rPr>
              <w:t xml:space="preserve"> (</w:t>
            </w:r>
            <w:r w:rsidR="0026379D" w:rsidRPr="00AC4AEA">
              <w:rPr>
                <w:rFonts w:ascii="Arial" w:hAnsi="Arial" w:cs="Arial"/>
                <w:sz w:val="20"/>
                <w:szCs w:val="20"/>
              </w:rPr>
              <w:t xml:space="preserve">que incluye </w:t>
            </w:r>
            <w:r w:rsidR="00421257" w:rsidRPr="00AC4AEA">
              <w:rPr>
                <w:rFonts w:ascii="Arial" w:hAnsi="Arial" w:cs="Arial"/>
                <w:sz w:val="20"/>
                <w:szCs w:val="20"/>
              </w:rPr>
              <w:t xml:space="preserve">los ingresos adicionales, no atribuibles a la financiación, que la venta genere por sí misma </w:t>
            </w:r>
            <w:r w:rsidR="0026379D" w:rsidRPr="00AC4AEA">
              <w:rPr>
                <w:rFonts w:ascii="Arial" w:hAnsi="Arial" w:cs="Arial"/>
                <w:sz w:val="20"/>
                <w:szCs w:val="20"/>
              </w:rPr>
              <w:t>–</w:t>
            </w:r>
            <w:r w:rsidR="00421257" w:rsidRPr="00AC4AEA">
              <w:rPr>
                <w:rFonts w:ascii="Arial" w:hAnsi="Arial" w:cs="Arial"/>
                <w:sz w:val="20"/>
                <w:szCs w:val="20"/>
              </w:rPr>
              <w:t>por ejemplo, un reembolso de exportación</w:t>
            </w:r>
            <w:r w:rsidR="0026379D" w:rsidRPr="00AC4AEA">
              <w:rPr>
                <w:rFonts w:ascii="Arial" w:hAnsi="Arial" w:cs="Arial"/>
                <w:sz w:val="20"/>
                <w:szCs w:val="20"/>
              </w:rPr>
              <w:t>–</w:t>
            </w:r>
            <w:r w:rsidR="00421257" w:rsidRPr="00AC4AEA">
              <w:rPr>
                <w:rFonts w:ascii="Arial" w:hAnsi="Arial" w:cs="Arial"/>
                <w:sz w:val="20"/>
                <w:szCs w:val="20"/>
              </w:rPr>
              <w:t>); y</w:t>
            </w:r>
          </w:p>
          <w:p w:rsidR="00421257" w:rsidRPr="00AC4AEA" w:rsidRDefault="00421257" w:rsidP="00C01B25">
            <w:pPr>
              <w:pStyle w:val="Prrafodelista"/>
              <w:numPr>
                <w:ilvl w:val="0"/>
                <w:numId w:val="521"/>
              </w:numPr>
              <w:snapToGrid w:val="0"/>
              <w:spacing w:line="256" w:lineRule="auto"/>
              <w:contextualSpacing w:val="0"/>
              <w:rPr>
                <w:rFonts w:ascii="Arial" w:hAnsi="Arial" w:cs="Arial"/>
                <w:sz w:val="20"/>
                <w:szCs w:val="20"/>
              </w:rPr>
            </w:pPr>
            <w:r w:rsidRPr="00AC4AEA">
              <w:rPr>
                <w:rFonts w:ascii="Arial" w:hAnsi="Arial" w:cs="Arial"/>
                <w:sz w:val="20"/>
                <w:szCs w:val="20"/>
              </w:rPr>
              <w:t>los costos ocasionados directamente por la venta (comisiones, impuesto a los ingresos brutos y similares).</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Valor patrimonial proporcional</w:t>
            </w: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 xml:space="preserve">Según el método del </w:t>
            </w:r>
            <w:r w:rsidRPr="00050219">
              <w:rPr>
                <w:rFonts w:ascii="Arial" w:hAnsi="Arial" w:cs="Arial"/>
                <w:b/>
                <w:bCs/>
                <w:sz w:val="20"/>
                <w:szCs w:val="20"/>
              </w:rPr>
              <w:t>valor patrimonial proporcional</w:t>
            </w:r>
            <w:r w:rsidRPr="00AC4AEA">
              <w:rPr>
                <w:rFonts w:ascii="Arial" w:hAnsi="Arial" w:cs="Arial"/>
                <w:sz w:val="20"/>
                <w:szCs w:val="20"/>
              </w:rPr>
              <w:t xml:space="preserve">, en el reconocimiento inicial la participación en una subsidiaria (en los </w:t>
            </w:r>
            <w:r w:rsidRPr="00AC4AEA">
              <w:rPr>
                <w:rFonts w:ascii="Arial" w:hAnsi="Arial" w:cs="Arial"/>
                <w:b/>
                <w:bCs/>
                <w:sz w:val="20"/>
                <w:szCs w:val="20"/>
              </w:rPr>
              <w:t>estados contables</w:t>
            </w:r>
            <w:r w:rsidRPr="00AC4AEA">
              <w:rPr>
                <w:rFonts w:ascii="Arial" w:hAnsi="Arial" w:cs="Arial"/>
                <w:sz w:val="20"/>
                <w:szCs w:val="20"/>
              </w:rPr>
              <w:t xml:space="preserve"> separados) en una asociada o negocio conjunto se registrará al costo, y el importe en libros se incrementará o disminuirá para reconocer la parte del inversor en el resultado del periodo de la participada, después de la </w:t>
            </w:r>
            <w:r w:rsidRPr="00796FFD">
              <w:rPr>
                <w:rFonts w:ascii="Arial" w:hAnsi="Arial" w:cs="Arial"/>
                <w:b/>
                <w:bCs/>
                <w:sz w:val="20"/>
                <w:szCs w:val="20"/>
              </w:rPr>
              <w:t>fecha de adquisición</w:t>
            </w:r>
            <w:r w:rsidRPr="00AC4AEA">
              <w:rPr>
                <w:rFonts w:ascii="Arial" w:hAnsi="Arial" w:cs="Arial"/>
                <w:sz w:val="20"/>
                <w:szCs w:val="20"/>
              </w:rPr>
              <w:t xml:space="preserve">. La parte del inversor en el resultado del periodo de la participada se reconocerá en el resultado del periodo del inversor. Las distribuciones recibidas de la participada reducirán el importe en libros de la inversión. Podría ser necesaria la realización de ajustes al importe por cambios en la participación proporcional del inversor en la participada que surjan por cambios en los </w:t>
            </w:r>
            <w:r w:rsidRPr="00AC4AEA">
              <w:rPr>
                <w:rFonts w:ascii="Arial" w:hAnsi="Arial" w:cs="Arial"/>
                <w:b/>
                <w:bCs/>
                <w:sz w:val="20"/>
                <w:szCs w:val="20"/>
              </w:rPr>
              <w:t>resultados diferidos</w:t>
            </w:r>
            <w:r w:rsidRPr="00AC4AEA">
              <w:rPr>
                <w:rFonts w:ascii="Arial" w:hAnsi="Arial" w:cs="Arial"/>
                <w:sz w:val="20"/>
                <w:szCs w:val="20"/>
              </w:rPr>
              <w:t xml:space="preserve"> de la participada. La parte que corresponda al inversor en esos cambios se reconocerá en </w:t>
            </w:r>
            <w:r w:rsidRPr="00AC4AEA">
              <w:rPr>
                <w:rFonts w:ascii="Arial" w:hAnsi="Arial" w:cs="Arial"/>
                <w:b/>
                <w:bCs/>
                <w:sz w:val="20"/>
                <w:szCs w:val="20"/>
              </w:rPr>
              <w:t>resultados diferidos</w:t>
            </w:r>
            <w:r w:rsidRPr="00AC4AEA">
              <w:rPr>
                <w:rFonts w:ascii="Arial" w:hAnsi="Arial" w:cs="Arial"/>
                <w:sz w:val="20"/>
                <w:szCs w:val="20"/>
              </w:rPr>
              <w:t>.</w:t>
            </w:r>
          </w:p>
        </w:tc>
      </w:tr>
      <w:tr w:rsidR="00DC1034" w:rsidRPr="00AC4AEA" w:rsidTr="00421257">
        <w:tc>
          <w:tcPr>
            <w:tcW w:w="3609" w:type="dxa"/>
            <w:tcBorders>
              <w:top w:val="single" w:sz="4" w:space="0" w:color="auto"/>
              <w:left w:val="single" w:sz="4" w:space="0" w:color="auto"/>
              <w:bottom w:val="single" w:sz="4" w:space="0" w:color="auto"/>
              <w:right w:val="single" w:sz="4" w:space="0" w:color="auto"/>
            </w:tcBorders>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Valor razonable</w:t>
            </w:r>
          </w:p>
          <w:p w:rsidR="00421257" w:rsidRPr="00AC4AEA" w:rsidRDefault="00421257" w:rsidP="00A318EA">
            <w:pPr>
              <w:tabs>
                <w:tab w:val="left" w:pos="1872"/>
              </w:tabs>
              <w:snapToGrid w:val="0"/>
              <w:rPr>
                <w:rFonts w:ascii="Arial" w:hAnsi="Arial" w:cs="Arial"/>
                <w:b/>
                <w:bCs/>
                <w:sz w:val="20"/>
                <w:szCs w:val="20"/>
              </w:rPr>
            </w:pPr>
          </w:p>
        </w:tc>
        <w:tc>
          <w:tcPr>
            <w:tcW w:w="4454" w:type="dxa"/>
            <w:tcBorders>
              <w:top w:val="single" w:sz="4" w:space="0" w:color="auto"/>
              <w:left w:val="single" w:sz="4" w:space="0" w:color="auto"/>
              <w:bottom w:val="single" w:sz="4" w:space="0" w:color="auto"/>
              <w:right w:val="single" w:sz="4" w:space="0" w:color="auto"/>
            </w:tcBorders>
            <w:hideMark/>
          </w:tcPr>
          <w:p w:rsidR="00421257" w:rsidRPr="00AC4AEA" w:rsidRDefault="00421257" w:rsidP="00160F73">
            <w:pPr>
              <w:snapToGrid w:val="0"/>
              <w:spacing w:after="120"/>
              <w:rPr>
                <w:rFonts w:ascii="Arial" w:hAnsi="Arial" w:cs="Arial"/>
                <w:sz w:val="20"/>
                <w:szCs w:val="20"/>
              </w:rPr>
            </w:pPr>
            <w:r w:rsidRPr="00AC4AEA">
              <w:rPr>
                <w:rFonts w:ascii="Arial" w:hAnsi="Arial" w:cs="Arial"/>
                <w:sz w:val="20"/>
                <w:szCs w:val="20"/>
              </w:rPr>
              <w:t>Es el precio que se recibiría por vender un</w:t>
            </w:r>
            <w:r w:rsidRPr="00847DC6">
              <w:rPr>
                <w:rFonts w:ascii="Arial" w:hAnsi="Arial" w:cs="Arial"/>
                <w:b/>
                <w:bCs/>
                <w:sz w:val="20"/>
                <w:szCs w:val="20"/>
              </w:rPr>
              <w:t xml:space="preserve"> activo </w:t>
            </w:r>
            <w:r w:rsidRPr="00AC4AEA">
              <w:rPr>
                <w:rFonts w:ascii="Arial" w:hAnsi="Arial" w:cs="Arial"/>
                <w:sz w:val="20"/>
                <w:szCs w:val="20"/>
              </w:rPr>
              <w:t xml:space="preserve">(es decir, un precio de salida) o que se pagaría por transferir un </w:t>
            </w:r>
            <w:r w:rsidRPr="00AC4AEA">
              <w:rPr>
                <w:rFonts w:ascii="Arial" w:hAnsi="Arial" w:cs="Arial"/>
                <w:b/>
                <w:bCs/>
                <w:sz w:val="20"/>
                <w:szCs w:val="20"/>
              </w:rPr>
              <w:t xml:space="preserve">pasivo </w:t>
            </w:r>
            <w:r w:rsidRPr="00AC4AEA">
              <w:rPr>
                <w:rFonts w:ascii="Arial" w:hAnsi="Arial" w:cs="Arial"/>
                <w:sz w:val="20"/>
                <w:szCs w:val="20"/>
              </w:rPr>
              <w:t xml:space="preserve">en una transacción ordenada entre participantes del mercado en la </w:t>
            </w:r>
            <w:r w:rsidRPr="00AC4AEA">
              <w:rPr>
                <w:rFonts w:ascii="Arial" w:hAnsi="Arial" w:cs="Arial"/>
                <w:b/>
                <w:bCs/>
                <w:sz w:val="20"/>
                <w:szCs w:val="20"/>
              </w:rPr>
              <w:t>fecha de la medición</w:t>
            </w:r>
            <w:r w:rsidRPr="00AC4AEA">
              <w:rPr>
                <w:rFonts w:ascii="Arial" w:hAnsi="Arial" w:cs="Arial"/>
                <w:sz w:val="20"/>
                <w:szCs w:val="20"/>
              </w:rPr>
              <w:t>.</w:t>
            </w:r>
          </w:p>
          <w:p w:rsidR="00EB3902" w:rsidRPr="00AC4AEA" w:rsidRDefault="00EB3902" w:rsidP="00EB3902">
            <w:pPr>
              <w:snapToGrid w:val="0"/>
              <w:spacing w:after="120"/>
              <w:rPr>
                <w:rFonts w:ascii="Arial" w:hAnsi="Arial" w:cs="Arial"/>
                <w:sz w:val="20"/>
                <w:szCs w:val="20"/>
              </w:rPr>
            </w:pPr>
            <w:r w:rsidRPr="00AC4AEA">
              <w:rPr>
                <w:rFonts w:ascii="Arial" w:hAnsi="Arial" w:cs="Arial"/>
                <w:sz w:val="20"/>
                <w:szCs w:val="20"/>
              </w:rPr>
              <w:t xml:space="preserve">El </w:t>
            </w:r>
            <w:r w:rsidRPr="00AC4AEA">
              <w:rPr>
                <w:rFonts w:ascii="Arial" w:hAnsi="Arial" w:cs="Arial"/>
                <w:b/>
                <w:bCs/>
                <w:sz w:val="20"/>
                <w:szCs w:val="20"/>
              </w:rPr>
              <w:t>valor razonable</w:t>
            </w:r>
            <w:r w:rsidRPr="00AC4AEA">
              <w:rPr>
                <w:rFonts w:ascii="Arial" w:hAnsi="Arial" w:cs="Arial"/>
                <w:sz w:val="20"/>
                <w:szCs w:val="20"/>
              </w:rPr>
              <w:t xml:space="preserve">: </w:t>
            </w:r>
          </w:p>
          <w:p w:rsidR="00CA1A1E" w:rsidRPr="00AC4AEA" w:rsidRDefault="00EB3902" w:rsidP="00C01B25">
            <w:pPr>
              <w:pStyle w:val="Prrafodelista"/>
              <w:numPr>
                <w:ilvl w:val="0"/>
                <w:numId w:val="720"/>
              </w:numPr>
              <w:snapToGrid w:val="0"/>
              <w:spacing w:after="120"/>
              <w:ind w:left="391"/>
              <w:rPr>
                <w:rFonts w:ascii="Arial" w:hAnsi="Arial" w:cs="Arial"/>
                <w:sz w:val="20"/>
                <w:szCs w:val="20"/>
              </w:rPr>
            </w:pPr>
            <w:r w:rsidRPr="00AC4AEA">
              <w:rPr>
                <w:rFonts w:ascii="Arial" w:hAnsi="Arial" w:cs="Arial"/>
                <w:sz w:val="20"/>
                <w:szCs w:val="20"/>
              </w:rPr>
              <w:t xml:space="preserve">Debe referirse a un </w:t>
            </w:r>
            <w:r w:rsidRPr="00AC4AEA">
              <w:rPr>
                <w:rFonts w:ascii="Arial" w:hAnsi="Arial" w:cs="Arial"/>
                <w:b/>
                <w:bCs/>
                <w:sz w:val="20"/>
                <w:szCs w:val="20"/>
              </w:rPr>
              <w:t>activo</w:t>
            </w:r>
            <w:r w:rsidRPr="00AC4AEA">
              <w:rPr>
                <w:rFonts w:ascii="Arial" w:hAnsi="Arial" w:cs="Arial"/>
                <w:sz w:val="20"/>
                <w:szCs w:val="20"/>
              </w:rPr>
              <w:t xml:space="preserve"> o </w:t>
            </w:r>
            <w:r w:rsidRPr="00AC4AEA">
              <w:rPr>
                <w:rFonts w:ascii="Arial" w:hAnsi="Arial" w:cs="Arial"/>
                <w:b/>
                <w:bCs/>
                <w:sz w:val="20"/>
                <w:szCs w:val="20"/>
              </w:rPr>
              <w:t>pasivo</w:t>
            </w:r>
            <w:r w:rsidRPr="00AC4AEA">
              <w:rPr>
                <w:rFonts w:ascii="Arial" w:hAnsi="Arial" w:cs="Arial"/>
                <w:sz w:val="20"/>
                <w:szCs w:val="20"/>
              </w:rPr>
              <w:t xml:space="preserve"> concreto. Por ejemplo, corresponderá tener en cuenta</w:t>
            </w:r>
          </w:p>
          <w:p w:rsidR="00CA1A1E" w:rsidRPr="00AC4AEA" w:rsidRDefault="00EB3902" w:rsidP="00C01B25">
            <w:pPr>
              <w:pStyle w:val="Prrafodelista"/>
              <w:numPr>
                <w:ilvl w:val="1"/>
                <w:numId w:val="721"/>
              </w:numPr>
              <w:snapToGrid w:val="0"/>
              <w:spacing w:after="120"/>
              <w:ind w:left="958"/>
              <w:rPr>
                <w:rFonts w:ascii="Arial" w:hAnsi="Arial" w:cs="Arial"/>
                <w:sz w:val="20"/>
                <w:szCs w:val="20"/>
              </w:rPr>
            </w:pPr>
            <w:r w:rsidRPr="00AC4AEA">
              <w:rPr>
                <w:rFonts w:ascii="Arial" w:hAnsi="Arial" w:cs="Arial"/>
                <w:sz w:val="20"/>
                <w:szCs w:val="20"/>
              </w:rPr>
              <w:t>En el caso de los activos no financieros: su condición o estado de conservación, su localización y las restricciones para su venta.</w:t>
            </w:r>
          </w:p>
          <w:p w:rsidR="00CA1A1E" w:rsidRPr="00AC4AEA" w:rsidRDefault="00EB3902" w:rsidP="00C01B25">
            <w:pPr>
              <w:pStyle w:val="Prrafodelista"/>
              <w:numPr>
                <w:ilvl w:val="1"/>
                <w:numId w:val="721"/>
              </w:numPr>
              <w:snapToGrid w:val="0"/>
              <w:spacing w:after="120"/>
              <w:ind w:left="958"/>
              <w:rPr>
                <w:rFonts w:ascii="Arial" w:hAnsi="Arial" w:cs="Arial"/>
                <w:sz w:val="20"/>
                <w:szCs w:val="20"/>
              </w:rPr>
            </w:pPr>
            <w:r w:rsidRPr="00AC4AEA">
              <w:rPr>
                <w:rFonts w:ascii="Arial" w:hAnsi="Arial" w:cs="Arial"/>
                <w:sz w:val="20"/>
                <w:szCs w:val="20"/>
              </w:rPr>
              <w:t>En el caso de los activos y pasivos financieros: su riesgos crediticios, cambiarios y similares.</w:t>
            </w:r>
          </w:p>
          <w:p w:rsidR="00EB3902" w:rsidRPr="00AC4AEA" w:rsidRDefault="00EB3902" w:rsidP="00C01B25">
            <w:pPr>
              <w:pStyle w:val="Prrafodelista"/>
              <w:numPr>
                <w:ilvl w:val="0"/>
                <w:numId w:val="720"/>
              </w:numPr>
              <w:snapToGrid w:val="0"/>
              <w:spacing w:after="120"/>
              <w:ind w:left="391"/>
              <w:rPr>
                <w:rFonts w:ascii="Arial" w:hAnsi="Arial" w:cs="Arial"/>
                <w:sz w:val="20"/>
                <w:szCs w:val="20"/>
              </w:rPr>
            </w:pPr>
            <w:r w:rsidRPr="00AC4AEA">
              <w:rPr>
                <w:rFonts w:ascii="Arial" w:hAnsi="Arial" w:cs="Arial"/>
                <w:sz w:val="20"/>
                <w:szCs w:val="20"/>
              </w:rPr>
              <w:t xml:space="preserve">No debe contemplar los costos de transacción, porque no son inherentes al </w:t>
            </w:r>
            <w:r w:rsidRPr="00AC4AEA">
              <w:rPr>
                <w:rFonts w:ascii="Arial" w:hAnsi="Arial" w:cs="Arial"/>
                <w:b/>
                <w:bCs/>
                <w:sz w:val="20"/>
                <w:szCs w:val="20"/>
              </w:rPr>
              <w:t>activo</w:t>
            </w:r>
            <w:r w:rsidRPr="00AC4AEA">
              <w:rPr>
                <w:rFonts w:ascii="Arial" w:hAnsi="Arial" w:cs="Arial"/>
                <w:sz w:val="20"/>
                <w:szCs w:val="20"/>
              </w:rPr>
              <w:t xml:space="preserve"> o </w:t>
            </w:r>
            <w:r w:rsidRPr="00AC4AEA">
              <w:rPr>
                <w:rFonts w:ascii="Arial" w:hAnsi="Arial" w:cs="Arial"/>
                <w:b/>
                <w:bCs/>
                <w:sz w:val="20"/>
                <w:szCs w:val="20"/>
              </w:rPr>
              <w:t>pasivo</w:t>
            </w:r>
            <w:r w:rsidR="00676E28" w:rsidRPr="00AC4AEA">
              <w:rPr>
                <w:rFonts w:ascii="Arial" w:hAnsi="Arial" w:cs="Arial"/>
                <w:sz w:val="20"/>
                <w:szCs w:val="20"/>
              </w:rPr>
              <w:t>,</w:t>
            </w:r>
            <w:r w:rsidRPr="00AC4AEA">
              <w:rPr>
                <w:rFonts w:ascii="Arial" w:hAnsi="Arial" w:cs="Arial"/>
                <w:sz w:val="20"/>
                <w:szCs w:val="20"/>
              </w:rPr>
              <w:t xml:space="preserve"> sino al intercambio.</w:t>
            </w:r>
          </w:p>
        </w:tc>
      </w:tr>
      <w:tr w:rsidR="00421257" w:rsidRPr="00E618EF" w:rsidTr="00421257">
        <w:tc>
          <w:tcPr>
            <w:tcW w:w="3609" w:type="dxa"/>
            <w:tcBorders>
              <w:top w:val="single" w:sz="4" w:space="0" w:color="auto"/>
              <w:left w:val="single" w:sz="4" w:space="0" w:color="auto"/>
              <w:bottom w:val="single" w:sz="4" w:space="0" w:color="auto"/>
              <w:right w:val="single" w:sz="4" w:space="0" w:color="auto"/>
            </w:tcBorders>
            <w:hideMark/>
          </w:tcPr>
          <w:p w:rsidR="00421257" w:rsidRPr="00AC4AEA" w:rsidRDefault="00421257" w:rsidP="00A318EA">
            <w:pPr>
              <w:tabs>
                <w:tab w:val="left" w:pos="1872"/>
              </w:tabs>
              <w:snapToGrid w:val="0"/>
              <w:rPr>
                <w:rFonts w:ascii="Arial" w:hAnsi="Arial" w:cs="Arial"/>
                <w:b/>
                <w:bCs/>
                <w:sz w:val="20"/>
                <w:szCs w:val="20"/>
              </w:rPr>
            </w:pPr>
            <w:r w:rsidRPr="00AC4AEA">
              <w:rPr>
                <w:rFonts w:ascii="Arial" w:hAnsi="Arial" w:cs="Arial"/>
                <w:b/>
                <w:bCs/>
                <w:sz w:val="20"/>
                <w:szCs w:val="20"/>
              </w:rPr>
              <w:t>Valor recuperable</w:t>
            </w:r>
          </w:p>
        </w:tc>
        <w:tc>
          <w:tcPr>
            <w:tcW w:w="4454" w:type="dxa"/>
            <w:tcBorders>
              <w:top w:val="single" w:sz="4" w:space="0" w:color="auto"/>
              <w:left w:val="single" w:sz="4" w:space="0" w:color="auto"/>
              <w:bottom w:val="single" w:sz="4" w:space="0" w:color="auto"/>
              <w:right w:val="single" w:sz="4" w:space="0" w:color="auto"/>
            </w:tcBorders>
            <w:hideMark/>
          </w:tcPr>
          <w:p w:rsidR="00421257" w:rsidRPr="00E618EF" w:rsidRDefault="00421257" w:rsidP="00160F73">
            <w:pPr>
              <w:snapToGrid w:val="0"/>
              <w:spacing w:after="120"/>
              <w:rPr>
                <w:rFonts w:ascii="Arial" w:hAnsi="Arial" w:cs="Arial"/>
                <w:sz w:val="20"/>
                <w:szCs w:val="20"/>
              </w:rPr>
            </w:pPr>
            <w:r w:rsidRPr="00AC4AEA">
              <w:rPr>
                <w:rFonts w:ascii="Arial" w:hAnsi="Arial" w:cs="Arial"/>
                <w:sz w:val="20"/>
                <w:szCs w:val="20"/>
              </w:rPr>
              <w:t xml:space="preserve">Es el mayor importe entre el </w:t>
            </w:r>
            <w:r w:rsidRPr="00AC4AEA">
              <w:rPr>
                <w:rFonts w:ascii="Arial" w:hAnsi="Arial" w:cs="Arial"/>
                <w:b/>
                <w:bCs/>
                <w:sz w:val="20"/>
                <w:szCs w:val="20"/>
              </w:rPr>
              <w:t>valor neto de realización</w:t>
            </w:r>
            <w:r w:rsidRPr="00AC4AEA">
              <w:rPr>
                <w:rFonts w:ascii="Arial" w:hAnsi="Arial" w:cs="Arial"/>
                <w:sz w:val="20"/>
                <w:szCs w:val="20"/>
              </w:rPr>
              <w:t xml:space="preserve"> y el </w:t>
            </w:r>
            <w:r w:rsidRPr="00AC4AEA">
              <w:rPr>
                <w:rFonts w:ascii="Arial" w:hAnsi="Arial" w:cs="Arial"/>
                <w:b/>
                <w:bCs/>
                <w:sz w:val="20"/>
                <w:szCs w:val="20"/>
              </w:rPr>
              <w:t>valor de uso</w:t>
            </w:r>
            <w:r w:rsidRPr="00AC4AEA">
              <w:rPr>
                <w:rFonts w:ascii="Arial" w:hAnsi="Arial" w:cs="Arial"/>
                <w:sz w:val="20"/>
                <w:szCs w:val="20"/>
              </w:rPr>
              <w:t xml:space="preserve"> de un activo.</w:t>
            </w:r>
          </w:p>
        </w:tc>
      </w:tr>
    </w:tbl>
    <w:p w:rsidR="00C123C7" w:rsidRPr="00E618EF" w:rsidRDefault="00C123C7" w:rsidP="00A318EA">
      <w:pPr>
        <w:jc w:val="both"/>
        <w:rPr>
          <w:rFonts w:ascii="Arial" w:hAnsi="Arial" w:cs="Arial"/>
          <w:b/>
          <w:bCs/>
          <w:sz w:val="20"/>
          <w:szCs w:val="20"/>
        </w:rPr>
      </w:pPr>
    </w:p>
    <w:sectPr w:rsidR="00C123C7" w:rsidRPr="00E618EF" w:rsidSect="00E1777C">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32" w:rsidRDefault="00010132">
      <w:r>
        <w:separator/>
      </w:r>
    </w:p>
  </w:endnote>
  <w:endnote w:type="continuationSeparator" w:id="0">
    <w:p w:rsidR="00010132" w:rsidRDefault="00010132">
      <w:r>
        <w:continuationSeparator/>
      </w:r>
    </w:p>
  </w:endnote>
  <w:endnote w:type="continuationNotice" w:id="1">
    <w:p w:rsidR="00010132" w:rsidRDefault="000101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Fonts w:ascii="Arial" w:hAnsi="Arial" w:cs="Arial"/>
      </w:rPr>
      <w:id w:val="94550491"/>
      <w:docPartObj>
        <w:docPartGallery w:val="Page Numbers (Bottom of Page)"/>
        <w:docPartUnique/>
      </w:docPartObj>
    </w:sdtPr>
    <w:sdtContent>
      <w:p w:rsidR="00010132" w:rsidRPr="00E1777C" w:rsidRDefault="001C4138" w:rsidP="00DE1FA7">
        <w:pPr>
          <w:pStyle w:val="Piedepgina"/>
          <w:framePr w:wrap="none" w:vAnchor="text" w:hAnchor="margin" w:xAlign="right" w:y="1"/>
          <w:rPr>
            <w:rStyle w:val="Nmerodepgina"/>
            <w:rFonts w:ascii="Arial" w:hAnsi="Arial" w:cs="Arial"/>
          </w:rPr>
        </w:pPr>
        <w:r w:rsidRPr="00E1777C">
          <w:rPr>
            <w:rStyle w:val="Nmerodepgina"/>
            <w:rFonts w:ascii="Arial" w:hAnsi="Arial" w:cs="Arial"/>
          </w:rPr>
          <w:fldChar w:fldCharType="begin"/>
        </w:r>
        <w:r w:rsidR="00010132" w:rsidRPr="00E1777C">
          <w:rPr>
            <w:rStyle w:val="Nmerodepgina"/>
            <w:rFonts w:ascii="Arial" w:hAnsi="Arial" w:cs="Arial"/>
          </w:rPr>
          <w:instrText xml:space="preserve"> PAGE </w:instrText>
        </w:r>
        <w:r w:rsidRPr="00E1777C">
          <w:rPr>
            <w:rStyle w:val="Nmerodepgina"/>
            <w:rFonts w:ascii="Arial" w:hAnsi="Arial" w:cs="Arial"/>
          </w:rPr>
          <w:fldChar w:fldCharType="separate"/>
        </w:r>
        <w:r w:rsidR="00057FFE">
          <w:rPr>
            <w:rStyle w:val="Nmerodepgina"/>
            <w:rFonts w:ascii="Arial" w:hAnsi="Arial" w:cs="Arial"/>
            <w:noProof/>
          </w:rPr>
          <w:t>316</w:t>
        </w:r>
        <w:r w:rsidRPr="00E1777C">
          <w:rPr>
            <w:rStyle w:val="Nmerodepgina"/>
            <w:rFonts w:ascii="Arial" w:hAnsi="Arial" w:cs="Arial"/>
          </w:rPr>
          <w:fldChar w:fldCharType="end"/>
        </w:r>
      </w:p>
    </w:sdtContent>
  </w:sdt>
  <w:sdt>
    <w:sdtPr>
      <w:id w:val="94550492"/>
      <w:docPartObj>
        <w:docPartGallery w:val="Page Numbers (Bottom of Page)"/>
        <w:docPartUnique/>
      </w:docPartObj>
    </w:sdtPr>
    <w:sdtEndPr>
      <w:rPr>
        <w:rFonts w:ascii="Arial" w:hAnsi="Arial" w:cs="Arial"/>
        <w:sz w:val="22"/>
      </w:rPr>
    </w:sdtEndPr>
    <w:sdtContent>
      <w:p w:rsidR="00010132" w:rsidRDefault="00010132" w:rsidP="00B15CAF">
        <w:pPr>
          <w:pStyle w:val="Piedepgina"/>
          <w:ind w:right="360"/>
          <w:jc w:val="center"/>
        </w:pPr>
      </w:p>
      <w:p w:rsidR="00010132" w:rsidRPr="00473BF0" w:rsidRDefault="001C4138">
        <w:pPr>
          <w:pStyle w:val="Piedepgina"/>
          <w:jc w:val="center"/>
          <w:rPr>
            <w:rFonts w:ascii="Arial" w:hAnsi="Arial" w:cs="Arial"/>
            <w:sz w:val="22"/>
          </w:rPr>
        </w:pPr>
      </w:p>
    </w:sdtContent>
  </w:sdt>
  <w:p w:rsidR="00010132" w:rsidRDefault="000101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32" w:rsidRDefault="00010132">
      <w:r>
        <w:separator/>
      </w:r>
    </w:p>
  </w:footnote>
  <w:footnote w:type="continuationSeparator" w:id="0">
    <w:p w:rsidR="00010132" w:rsidRDefault="00010132">
      <w:r>
        <w:continuationSeparator/>
      </w:r>
    </w:p>
  </w:footnote>
  <w:footnote w:type="continuationNotice" w:id="1">
    <w:p w:rsidR="00010132" w:rsidRDefault="00010132"/>
  </w:footnote>
  <w:footnote w:id="2">
    <w:p w:rsidR="00010132" w:rsidRPr="004134E0" w:rsidRDefault="00010132" w:rsidP="00720143">
      <w:pPr>
        <w:pStyle w:val="Textonotapie"/>
        <w:jc w:val="both"/>
        <w:rPr>
          <w:rFonts w:ascii="Arial" w:hAnsi="Arial" w:cs="Arial"/>
        </w:rPr>
      </w:pPr>
      <w:r w:rsidRPr="004134E0">
        <w:rPr>
          <w:rStyle w:val="Refdenotaalpie"/>
          <w:rFonts w:ascii="Arial" w:hAnsi="Arial" w:cs="Arial"/>
        </w:rPr>
        <w:footnoteRef/>
      </w:r>
      <w:r w:rsidRPr="004134E0">
        <w:rPr>
          <w:rFonts w:ascii="Arial" w:hAnsi="Arial" w:cs="Arial"/>
        </w:rPr>
        <w:t xml:space="preserve"> En el documento “Guías </w:t>
      </w:r>
      <w:r>
        <w:rPr>
          <w:rFonts w:ascii="Arial" w:hAnsi="Arial" w:cs="Arial"/>
        </w:rPr>
        <w:t>o</w:t>
      </w:r>
      <w:r w:rsidRPr="004134E0">
        <w:rPr>
          <w:rFonts w:ascii="Arial" w:hAnsi="Arial" w:cs="Arial"/>
        </w:rPr>
        <w:t xml:space="preserve">rientativas para la </w:t>
      </w:r>
      <w:r>
        <w:rPr>
          <w:rFonts w:ascii="Arial" w:hAnsi="Arial" w:cs="Arial"/>
        </w:rPr>
        <w:t>p</w:t>
      </w:r>
      <w:r w:rsidRPr="004134E0">
        <w:rPr>
          <w:rFonts w:ascii="Arial" w:hAnsi="Arial" w:cs="Arial"/>
        </w:rPr>
        <w:t xml:space="preserve">reparación de </w:t>
      </w:r>
      <w:r>
        <w:rPr>
          <w:rFonts w:ascii="Arial" w:hAnsi="Arial" w:cs="Arial"/>
        </w:rPr>
        <w:t>e</w:t>
      </w:r>
      <w:r w:rsidRPr="004134E0">
        <w:rPr>
          <w:rFonts w:ascii="Arial" w:hAnsi="Arial" w:cs="Arial"/>
        </w:rPr>
        <w:t xml:space="preserve">stados </w:t>
      </w:r>
      <w:r>
        <w:rPr>
          <w:rFonts w:ascii="Arial" w:hAnsi="Arial" w:cs="Arial"/>
        </w:rPr>
        <w:t>c</w:t>
      </w:r>
      <w:r w:rsidRPr="004134E0">
        <w:rPr>
          <w:rFonts w:ascii="Arial" w:hAnsi="Arial" w:cs="Arial"/>
        </w:rPr>
        <w:t xml:space="preserve">ontables de </w:t>
      </w:r>
      <w:r>
        <w:rPr>
          <w:rFonts w:ascii="Arial" w:hAnsi="Arial" w:cs="Arial"/>
        </w:rPr>
        <w:t>e</w:t>
      </w:r>
      <w:r w:rsidRPr="004134E0">
        <w:rPr>
          <w:rFonts w:ascii="Arial" w:hAnsi="Arial" w:cs="Arial"/>
        </w:rPr>
        <w:t xml:space="preserve">ntidades que </w:t>
      </w:r>
      <w:r>
        <w:rPr>
          <w:rFonts w:ascii="Arial" w:hAnsi="Arial" w:cs="Arial"/>
        </w:rPr>
        <w:t>n</w:t>
      </w:r>
      <w:r w:rsidRPr="004134E0">
        <w:rPr>
          <w:rFonts w:ascii="Arial" w:hAnsi="Arial" w:cs="Arial"/>
        </w:rPr>
        <w:t xml:space="preserve">o </w:t>
      </w:r>
      <w:r>
        <w:rPr>
          <w:rFonts w:ascii="Arial" w:hAnsi="Arial" w:cs="Arial"/>
        </w:rPr>
        <w:t>c</w:t>
      </w:r>
      <w:r w:rsidRPr="004134E0">
        <w:rPr>
          <w:rFonts w:ascii="Arial" w:hAnsi="Arial" w:cs="Arial"/>
        </w:rPr>
        <w:t xml:space="preserve">umplen con el </w:t>
      </w:r>
      <w:r>
        <w:rPr>
          <w:rFonts w:ascii="Arial" w:hAnsi="Arial" w:cs="Arial"/>
        </w:rPr>
        <w:t>p</w:t>
      </w:r>
      <w:r w:rsidRPr="004134E0">
        <w:rPr>
          <w:rFonts w:ascii="Arial" w:hAnsi="Arial" w:cs="Arial"/>
        </w:rPr>
        <w:t xml:space="preserve">rincipio de </w:t>
      </w:r>
      <w:r>
        <w:rPr>
          <w:rFonts w:ascii="Arial" w:hAnsi="Arial" w:cs="Arial"/>
        </w:rPr>
        <w:t>e</w:t>
      </w:r>
      <w:r w:rsidRPr="004134E0">
        <w:rPr>
          <w:rFonts w:ascii="Arial" w:hAnsi="Arial" w:cs="Arial"/>
        </w:rPr>
        <w:t xml:space="preserve">mpresa en </w:t>
      </w:r>
      <w:r>
        <w:rPr>
          <w:rFonts w:ascii="Arial" w:hAnsi="Arial" w:cs="Arial"/>
        </w:rPr>
        <w:t>m</w:t>
      </w:r>
      <w:r w:rsidRPr="004134E0">
        <w:rPr>
          <w:rFonts w:ascii="Arial" w:hAnsi="Arial" w:cs="Arial"/>
        </w:rPr>
        <w:t xml:space="preserve">archa (EnM)” de la FACPCE, se analiza qué normas podría aplicar la entidad que no cumple con el principio de EnM. Básicamente desarrolla: </w:t>
      </w:r>
    </w:p>
    <w:p w:rsidR="00010132" w:rsidRPr="004134E0" w:rsidRDefault="00010132">
      <w:pPr>
        <w:pStyle w:val="Textonotapie"/>
        <w:numPr>
          <w:ilvl w:val="0"/>
          <w:numId w:val="310"/>
        </w:numPr>
        <w:jc w:val="both"/>
        <w:rPr>
          <w:rFonts w:ascii="Arial" w:hAnsi="Arial" w:cs="Arial"/>
          <w:lang w:val="es-ES"/>
        </w:rPr>
      </w:pPr>
      <w:r w:rsidRPr="004134E0">
        <w:rPr>
          <w:rFonts w:ascii="Arial" w:hAnsi="Arial" w:cs="Arial"/>
        </w:rPr>
        <w:t xml:space="preserve">normas aplicables; </w:t>
      </w:r>
    </w:p>
    <w:p w:rsidR="00010132" w:rsidRPr="004134E0" w:rsidRDefault="00010132">
      <w:pPr>
        <w:pStyle w:val="Textonotapie"/>
        <w:numPr>
          <w:ilvl w:val="0"/>
          <w:numId w:val="310"/>
        </w:numPr>
        <w:jc w:val="both"/>
        <w:rPr>
          <w:rFonts w:ascii="Arial" w:hAnsi="Arial" w:cs="Arial"/>
          <w:lang w:val="es-ES"/>
        </w:rPr>
      </w:pPr>
      <w:r w:rsidRPr="004134E0">
        <w:rPr>
          <w:rFonts w:ascii="Arial" w:hAnsi="Arial" w:cs="Arial"/>
        </w:rPr>
        <w:t xml:space="preserve">si las EnM son aquellas que están en liquidación legal; </w:t>
      </w:r>
    </w:p>
    <w:p w:rsidR="00010132" w:rsidRPr="004134E0" w:rsidRDefault="00010132">
      <w:pPr>
        <w:pStyle w:val="Textonotapie"/>
        <w:numPr>
          <w:ilvl w:val="0"/>
          <w:numId w:val="310"/>
        </w:numPr>
        <w:jc w:val="both"/>
        <w:rPr>
          <w:rFonts w:ascii="Arial" w:hAnsi="Arial" w:cs="Arial"/>
          <w:lang w:val="es-ES"/>
        </w:rPr>
      </w:pPr>
      <w:r w:rsidRPr="004134E0">
        <w:rPr>
          <w:rFonts w:ascii="Arial" w:hAnsi="Arial" w:cs="Arial"/>
        </w:rPr>
        <w:t xml:space="preserve">qué normas corresponde aplicar; </w:t>
      </w:r>
    </w:p>
    <w:p w:rsidR="00010132" w:rsidRPr="004134E0" w:rsidRDefault="00010132">
      <w:pPr>
        <w:pStyle w:val="Textonotapie"/>
        <w:numPr>
          <w:ilvl w:val="0"/>
          <w:numId w:val="310"/>
        </w:numPr>
        <w:jc w:val="both"/>
        <w:rPr>
          <w:rFonts w:ascii="Arial" w:hAnsi="Arial" w:cs="Arial"/>
          <w:lang w:val="es-ES"/>
        </w:rPr>
      </w:pPr>
      <w:r w:rsidRPr="004134E0">
        <w:rPr>
          <w:rFonts w:ascii="Arial" w:hAnsi="Arial" w:cs="Arial"/>
        </w:rPr>
        <w:t>revelaciones;</w:t>
      </w:r>
    </w:p>
    <w:p w:rsidR="00010132" w:rsidRPr="004134E0" w:rsidRDefault="00010132">
      <w:pPr>
        <w:pStyle w:val="Textonotapie"/>
        <w:numPr>
          <w:ilvl w:val="0"/>
          <w:numId w:val="310"/>
        </w:numPr>
        <w:jc w:val="both"/>
        <w:rPr>
          <w:rFonts w:ascii="Arial" w:hAnsi="Arial" w:cs="Arial"/>
          <w:lang w:val="es-ES"/>
        </w:rPr>
      </w:pPr>
      <w:r w:rsidRPr="004134E0">
        <w:rPr>
          <w:rFonts w:ascii="Arial" w:hAnsi="Arial" w:cs="Arial"/>
          <w:lang w:val="es-ES"/>
        </w:rPr>
        <w:t>c</w:t>
      </w:r>
      <w:r w:rsidRPr="004134E0">
        <w:rPr>
          <w:rFonts w:ascii="Arial" w:hAnsi="Arial" w:cs="Arial"/>
        </w:rPr>
        <w:t xml:space="preserve">uándo aplicar una base de EnM; </w:t>
      </w:r>
    </w:p>
    <w:p w:rsidR="00010132" w:rsidRPr="004134E0" w:rsidRDefault="00010132">
      <w:pPr>
        <w:pStyle w:val="Textonotapie"/>
        <w:numPr>
          <w:ilvl w:val="0"/>
          <w:numId w:val="310"/>
        </w:numPr>
        <w:jc w:val="both"/>
        <w:rPr>
          <w:rFonts w:ascii="Arial" w:hAnsi="Arial" w:cs="Arial"/>
          <w:lang w:val="es-ES"/>
        </w:rPr>
      </w:pPr>
      <w:r w:rsidRPr="004134E0">
        <w:rPr>
          <w:rFonts w:ascii="Arial" w:hAnsi="Arial" w:cs="Arial"/>
          <w:lang w:val="es-ES"/>
        </w:rPr>
        <w:t xml:space="preserve">si </w:t>
      </w:r>
      <w:r w:rsidRPr="004134E0">
        <w:rPr>
          <w:rFonts w:ascii="Arial" w:hAnsi="Arial" w:cs="Arial"/>
        </w:rPr>
        <w:t xml:space="preserve">una EnM puede indicar que sus estados contables están de acuerdo con las NCA o NIIF; </w:t>
      </w:r>
    </w:p>
    <w:p w:rsidR="00010132" w:rsidRPr="004134E0" w:rsidRDefault="00010132">
      <w:pPr>
        <w:pStyle w:val="Textonotapie"/>
        <w:numPr>
          <w:ilvl w:val="0"/>
          <w:numId w:val="310"/>
        </w:numPr>
        <w:jc w:val="both"/>
        <w:rPr>
          <w:rFonts w:ascii="Arial" w:hAnsi="Arial" w:cs="Arial"/>
          <w:lang w:val="es-ES"/>
        </w:rPr>
      </w:pPr>
      <w:r w:rsidRPr="004134E0">
        <w:rPr>
          <w:rFonts w:ascii="Arial" w:hAnsi="Arial" w:cs="Arial"/>
        </w:rPr>
        <w:t xml:space="preserve">cómo medir los elementos de los estados contables; y </w:t>
      </w:r>
    </w:p>
    <w:p w:rsidR="00010132" w:rsidRPr="004134E0" w:rsidRDefault="00010132">
      <w:pPr>
        <w:pStyle w:val="Textonotapie"/>
        <w:numPr>
          <w:ilvl w:val="0"/>
          <w:numId w:val="310"/>
        </w:numPr>
        <w:jc w:val="both"/>
        <w:rPr>
          <w:rFonts w:ascii="Arial" w:hAnsi="Arial" w:cs="Arial"/>
          <w:lang w:val="es-ES"/>
        </w:rPr>
      </w:pPr>
      <w:r w:rsidRPr="004134E0">
        <w:rPr>
          <w:rFonts w:ascii="Arial" w:hAnsi="Arial" w:cs="Arial"/>
        </w:rPr>
        <w:t>qué aspectos de presentación debe considerar.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EC3"/>
    <w:multiLevelType w:val="hybridMultilevel"/>
    <w:tmpl w:val="26B44BFA"/>
    <w:lvl w:ilvl="0" w:tplc="11F65130">
      <w:start w:val="1"/>
      <w:numFmt w:val="upperRoman"/>
      <w:lvlText w:val="(%1)."/>
      <w:lvlJc w:val="left"/>
      <w:pPr>
        <w:ind w:left="1440" w:hanging="360"/>
      </w:pPr>
      <w:rPr>
        <w:rFonts w:hint="default"/>
        <w:i w:val="0"/>
        <w:iCs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40520BDC"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0DD45D1"/>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455999"/>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
    <w:nsid w:val="0163744E"/>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8208E5"/>
    <w:multiLevelType w:val="hybridMultilevel"/>
    <w:tmpl w:val="BEBCE57E"/>
    <w:lvl w:ilvl="0" w:tplc="9EDAA0CC">
      <w:start w:val="906"/>
      <w:numFmt w:val="decimal"/>
      <w:lvlText w:val="%1."/>
      <w:lvlJc w:val="left"/>
      <w:pPr>
        <w:ind w:left="937"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9E2A33D6">
      <w:start w:val="1"/>
      <w:numFmt w:val="lowerLetter"/>
      <w:lvlText w:val="%2)"/>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8F2060EE">
      <w:start w:val="1"/>
      <w:numFmt w:val="lowerRoman"/>
      <w:lvlText w:val="%3"/>
      <w:lvlJc w:val="left"/>
      <w:pPr>
        <w:ind w:left="161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FAEA83BE">
      <w:start w:val="1"/>
      <w:numFmt w:val="decimal"/>
      <w:lvlText w:val="%4"/>
      <w:lvlJc w:val="left"/>
      <w:pPr>
        <w:ind w:left="233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933A7F86">
      <w:start w:val="1"/>
      <w:numFmt w:val="lowerLetter"/>
      <w:lvlText w:val="%5"/>
      <w:lvlJc w:val="left"/>
      <w:pPr>
        <w:ind w:left="305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A0043BEA">
      <w:start w:val="1"/>
      <w:numFmt w:val="lowerRoman"/>
      <w:lvlText w:val="%6"/>
      <w:lvlJc w:val="left"/>
      <w:pPr>
        <w:ind w:left="377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DC181B1C">
      <w:start w:val="1"/>
      <w:numFmt w:val="decimal"/>
      <w:lvlText w:val="%7"/>
      <w:lvlJc w:val="left"/>
      <w:pPr>
        <w:ind w:left="449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435C8292">
      <w:start w:val="1"/>
      <w:numFmt w:val="lowerLetter"/>
      <w:lvlText w:val="%8"/>
      <w:lvlJc w:val="left"/>
      <w:pPr>
        <w:ind w:left="521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C4C2EDC0">
      <w:start w:val="1"/>
      <w:numFmt w:val="lowerRoman"/>
      <w:lvlText w:val="%9"/>
      <w:lvlJc w:val="left"/>
      <w:pPr>
        <w:ind w:left="593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
    <w:nsid w:val="01D20822"/>
    <w:multiLevelType w:val="hybridMultilevel"/>
    <w:tmpl w:val="635631D2"/>
    <w:lvl w:ilvl="0" w:tplc="A4084F52">
      <w:start w:val="1"/>
      <w:numFmt w:val="lowerLetter"/>
      <w:lvlText w:val="%1)"/>
      <w:lvlJc w:val="left"/>
      <w:pPr>
        <w:ind w:left="1694" w:hanging="360"/>
      </w:pPr>
      <w:rPr>
        <w:rFonts w:hint="default"/>
      </w:rPr>
    </w:lvl>
    <w:lvl w:ilvl="1" w:tplc="2C0A0019" w:tentative="1">
      <w:start w:val="1"/>
      <w:numFmt w:val="lowerLetter"/>
      <w:lvlText w:val="%2."/>
      <w:lvlJc w:val="left"/>
      <w:pPr>
        <w:ind w:left="2414" w:hanging="360"/>
      </w:pPr>
    </w:lvl>
    <w:lvl w:ilvl="2" w:tplc="2C0A001B" w:tentative="1">
      <w:start w:val="1"/>
      <w:numFmt w:val="lowerRoman"/>
      <w:lvlText w:val="%3."/>
      <w:lvlJc w:val="right"/>
      <w:pPr>
        <w:ind w:left="3134" w:hanging="180"/>
      </w:pPr>
    </w:lvl>
    <w:lvl w:ilvl="3" w:tplc="2C0A000F" w:tentative="1">
      <w:start w:val="1"/>
      <w:numFmt w:val="decimal"/>
      <w:lvlText w:val="%4."/>
      <w:lvlJc w:val="left"/>
      <w:pPr>
        <w:ind w:left="3854" w:hanging="360"/>
      </w:pPr>
    </w:lvl>
    <w:lvl w:ilvl="4" w:tplc="2C0A0019" w:tentative="1">
      <w:start w:val="1"/>
      <w:numFmt w:val="lowerLetter"/>
      <w:lvlText w:val="%5."/>
      <w:lvlJc w:val="left"/>
      <w:pPr>
        <w:ind w:left="4574" w:hanging="360"/>
      </w:pPr>
    </w:lvl>
    <w:lvl w:ilvl="5" w:tplc="2C0A001B" w:tentative="1">
      <w:start w:val="1"/>
      <w:numFmt w:val="lowerRoman"/>
      <w:lvlText w:val="%6."/>
      <w:lvlJc w:val="right"/>
      <w:pPr>
        <w:ind w:left="5294" w:hanging="180"/>
      </w:pPr>
    </w:lvl>
    <w:lvl w:ilvl="6" w:tplc="2C0A000F" w:tentative="1">
      <w:start w:val="1"/>
      <w:numFmt w:val="decimal"/>
      <w:lvlText w:val="%7."/>
      <w:lvlJc w:val="left"/>
      <w:pPr>
        <w:ind w:left="6014" w:hanging="360"/>
      </w:pPr>
    </w:lvl>
    <w:lvl w:ilvl="7" w:tplc="2C0A0019" w:tentative="1">
      <w:start w:val="1"/>
      <w:numFmt w:val="lowerLetter"/>
      <w:lvlText w:val="%8."/>
      <w:lvlJc w:val="left"/>
      <w:pPr>
        <w:ind w:left="6734" w:hanging="360"/>
      </w:pPr>
    </w:lvl>
    <w:lvl w:ilvl="8" w:tplc="2C0A001B" w:tentative="1">
      <w:start w:val="1"/>
      <w:numFmt w:val="lowerRoman"/>
      <w:lvlText w:val="%9."/>
      <w:lvlJc w:val="right"/>
      <w:pPr>
        <w:ind w:left="7454" w:hanging="180"/>
      </w:pPr>
    </w:lvl>
  </w:abstractNum>
  <w:abstractNum w:abstractNumId="6">
    <w:nsid w:val="01F12C1C"/>
    <w:multiLevelType w:val="hybridMultilevel"/>
    <w:tmpl w:val="4AF61CA0"/>
    <w:lvl w:ilvl="0" w:tplc="FFFFFFFF">
      <w:start w:val="1"/>
      <w:numFmt w:val="lowerLetter"/>
      <w:lvlText w:val="%1)"/>
      <w:lvlJc w:val="left"/>
      <w:pPr>
        <w:ind w:left="1134" w:hanging="567"/>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2C030A"/>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8">
    <w:nsid w:val="029A74DD"/>
    <w:multiLevelType w:val="hybridMultilevel"/>
    <w:tmpl w:val="EA78A76A"/>
    <w:lvl w:ilvl="0" w:tplc="D0026A88">
      <w:start w:val="1"/>
      <w:numFmt w:val="lowerLetter"/>
      <w:lvlText w:val="%1)"/>
      <w:lvlJc w:val="left"/>
      <w:pPr>
        <w:ind w:left="1867"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5B66B27C">
      <w:start w:val="1"/>
      <w:numFmt w:val="lowerRoman"/>
      <w:lvlText w:val="(%2)"/>
      <w:lvlJc w:val="right"/>
      <w:pPr>
        <w:ind w:left="2232" w:hanging="360"/>
      </w:pPr>
      <w:rPr>
        <w:rFonts w:hint="default"/>
      </w:rPr>
    </w:lvl>
    <w:lvl w:ilvl="2" w:tplc="67301C08">
      <w:start w:val="1"/>
      <w:numFmt w:val="lowerRoman"/>
      <w:lvlText w:val="%3"/>
      <w:lvlJc w:val="left"/>
      <w:pPr>
        <w:ind w:left="153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B238A5B2">
      <w:start w:val="1"/>
      <w:numFmt w:val="decimal"/>
      <w:lvlText w:val="%4"/>
      <w:lvlJc w:val="left"/>
      <w:pPr>
        <w:ind w:left="225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37C610B2">
      <w:start w:val="1"/>
      <w:numFmt w:val="lowerLetter"/>
      <w:lvlText w:val="%5"/>
      <w:lvlJc w:val="left"/>
      <w:pPr>
        <w:ind w:left="297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BB2AF03A">
      <w:start w:val="1"/>
      <w:numFmt w:val="lowerRoman"/>
      <w:lvlText w:val="%6"/>
      <w:lvlJc w:val="left"/>
      <w:pPr>
        <w:ind w:left="369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0A62520">
      <w:start w:val="1"/>
      <w:numFmt w:val="decimal"/>
      <w:lvlText w:val="%7"/>
      <w:lvlJc w:val="left"/>
      <w:pPr>
        <w:ind w:left="441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88767F58">
      <w:start w:val="1"/>
      <w:numFmt w:val="lowerLetter"/>
      <w:lvlText w:val="%8"/>
      <w:lvlJc w:val="left"/>
      <w:pPr>
        <w:ind w:left="513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CD02517E">
      <w:start w:val="1"/>
      <w:numFmt w:val="lowerRoman"/>
      <w:lvlText w:val="%9"/>
      <w:lvlJc w:val="left"/>
      <w:pPr>
        <w:ind w:left="585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9">
    <w:nsid w:val="029F29BB"/>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2BF1313"/>
    <w:multiLevelType w:val="hybridMultilevel"/>
    <w:tmpl w:val="A21CBE94"/>
    <w:lvl w:ilvl="0" w:tplc="C3566662">
      <w:start w:val="1"/>
      <w:numFmt w:val="lowerLetter"/>
      <w:lvlText w:val="%1)"/>
      <w:lvlJc w:val="left"/>
      <w:pPr>
        <w:ind w:left="1134" w:hanging="567"/>
      </w:pPr>
      <w:rPr>
        <w:rFonts w:ascii="Arial" w:hAnsi="Arial" w:cs="Arial" w:hint="default"/>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02BF7A5A"/>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3003B6A"/>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3">
    <w:nsid w:val="039360C0"/>
    <w:multiLevelType w:val="hybridMultilevel"/>
    <w:tmpl w:val="AB660218"/>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04153674"/>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42949A7"/>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43C238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4667C8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4B70E9F"/>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4D63904"/>
    <w:multiLevelType w:val="hybridMultilevel"/>
    <w:tmpl w:val="BA46ADD0"/>
    <w:lvl w:ilvl="0" w:tplc="FFFFFFFF">
      <w:start w:val="998"/>
      <w:numFmt w:val="decimal"/>
      <w:lvlText w:val="%1."/>
      <w:lvlJc w:val="left"/>
      <w:pPr>
        <w:ind w:left="936" w:firstLine="0"/>
      </w:pPr>
      <w:rPr>
        <w:rFonts w:ascii="Arial" w:eastAsia="Times New Roman" w:hAnsi="Arial" w:cs="Arial" w:hint="default"/>
        <w:b w:val="0"/>
        <w:i w:val="0"/>
        <w:strike w:val="0"/>
        <w:dstrike w:val="0"/>
        <w:color w:val="211E1E"/>
        <w:sz w:val="20"/>
        <w:szCs w:val="20"/>
        <w:u w:val="none" w:color="000000"/>
        <w:effect w:val="none"/>
        <w:bdr w:val="none" w:sz="0" w:space="0" w:color="auto" w:frame="1"/>
        <w:vertAlign w:val="baseline"/>
      </w:rPr>
    </w:lvl>
    <w:lvl w:ilvl="1" w:tplc="FFFFFFFF">
      <w:start w:val="1"/>
      <w:numFmt w:val="lowerLetter"/>
      <w:lvlText w:val="%2)"/>
      <w:lvlJc w:val="left"/>
      <w:pPr>
        <w:ind w:left="1456"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FFFFFFFF">
      <w:start w:val="1"/>
      <w:numFmt w:val="lowerRoman"/>
      <w:lvlText w:val="(%3)"/>
      <w:lvlJc w:val="left"/>
      <w:pPr>
        <w:ind w:left="192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3" w:tplc="FFFFFFFF">
      <w:start w:val="1"/>
      <w:numFmt w:val="decimal"/>
      <w:lvlText w:val="%4."/>
      <w:lvlJc w:val="left"/>
      <w:pPr>
        <w:ind w:left="240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FFFFFFFF">
      <w:start w:val="1"/>
      <w:numFmt w:val="lowerLetter"/>
      <w:lvlText w:val="%5."/>
      <w:lvlJc w:val="left"/>
      <w:pPr>
        <w:ind w:left="3045" w:firstLine="0"/>
      </w:pPr>
      <w:rPr>
        <w:rFonts w:ascii="Arial" w:eastAsia="Times New Roman" w:hAnsi="Arial" w:cs="Arial" w:hint="default"/>
        <w:b w:val="0"/>
        <w:i w:val="0"/>
        <w:strike w:val="0"/>
        <w:dstrike w:val="0"/>
        <w:color w:val="211E1E"/>
        <w:sz w:val="20"/>
        <w:szCs w:val="20"/>
        <w:u w:val="none" w:color="000000"/>
        <w:effect w:val="none"/>
        <w:bdr w:val="none" w:sz="0" w:space="0" w:color="auto" w:frame="1"/>
        <w:vertAlign w:val="baseline"/>
      </w:rPr>
    </w:lvl>
    <w:lvl w:ilvl="5" w:tplc="FFFFFFFF">
      <w:start w:val="1"/>
      <w:numFmt w:val="lowerRoman"/>
      <w:lvlText w:val="%6"/>
      <w:lvlJc w:val="left"/>
      <w:pPr>
        <w:ind w:left="3787"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6" w:tplc="FFFFFFFF">
      <w:start w:val="1"/>
      <w:numFmt w:val="decimal"/>
      <w:lvlText w:val="%7"/>
      <w:lvlJc w:val="left"/>
      <w:pPr>
        <w:ind w:left="4507"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7" w:tplc="FFFFFFFF">
      <w:start w:val="1"/>
      <w:numFmt w:val="lowerLetter"/>
      <w:lvlText w:val="%8"/>
      <w:lvlJc w:val="left"/>
      <w:pPr>
        <w:ind w:left="5227"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8" w:tplc="FFFFFFFF">
      <w:start w:val="1"/>
      <w:numFmt w:val="lowerRoman"/>
      <w:lvlText w:val="%9"/>
      <w:lvlJc w:val="left"/>
      <w:pPr>
        <w:ind w:left="5947"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abstractNum>
  <w:abstractNum w:abstractNumId="20">
    <w:nsid w:val="05147B84"/>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1">
    <w:nsid w:val="05496E48"/>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5524CC9"/>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56B188A"/>
    <w:multiLevelType w:val="hybridMultilevel"/>
    <w:tmpl w:val="E90036C4"/>
    <w:lvl w:ilvl="0" w:tplc="FFFFFFFF">
      <w:start w:val="1"/>
      <w:numFmt w:val="decimal"/>
      <w:lvlText w:val="%1."/>
      <w:lvlJc w:val="lef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057344A9"/>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5">
    <w:nsid w:val="058C7A5C"/>
    <w:multiLevelType w:val="multilevel"/>
    <w:tmpl w:val="F5D8FBCE"/>
    <w:styleLink w:val="Listaactual16"/>
    <w:lvl w:ilvl="0">
      <w:start w:val="1"/>
      <w:numFmt w:val="lowerLetter"/>
      <w:lvlText w:val="%1)"/>
      <w:lvlJc w:val="left"/>
      <w:pPr>
        <w:ind w:left="1134" w:hanging="567"/>
      </w:pPr>
      <w:rPr>
        <w:rFonts w:hint="default"/>
        <w:b w:val="0"/>
        <w:bCs/>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59301D8"/>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59A1F97"/>
    <w:multiLevelType w:val="hybridMultilevel"/>
    <w:tmpl w:val="CBD2B942"/>
    <w:lvl w:ilvl="0" w:tplc="3D92618E">
      <w:start w:val="1"/>
      <w:numFmt w:val="lowerLetter"/>
      <w:lvlText w:val="%1)"/>
      <w:lvlJc w:val="left"/>
      <w:pPr>
        <w:ind w:left="927"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05FA0330"/>
    <w:multiLevelType w:val="hybridMultilevel"/>
    <w:tmpl w:val="09BE36D0"/>
    <w:lvl w:ilvl="0" w:tplc="5B66B27C">
      <w:start w:val="1"/>
      <w:numFmt w:val="lowerRoman"/>
      <w:lvlText w:val="(%1)"/>
      <w:lvlJc w:val="right"/>
      <w:pPr>
        <w:ind w:left="2534" w:hanging="360"/>
      </w:pPr>
      <w:rPr>
        <w:rFonts w:hint="default"/>
        <w:b w:val="0"/>
        <w:bCs w:val="0"/>
        <w:sz w:val="20"/>
        <w:szCs w:val="20"/>
      </w:rPr>
    </w:lvl>
    <w:lvl w:ilvl="1" w:tplc="FFFFFFFF" w:tentative="1">
      <w:start w:val="1"/>
      <w:numFmt w:val="lowerLetter"/>
      <w:lvlText w:val="%2."/>
      <w:lvlJc w:val="left"/>
      <w:pPr>
        <w:ind w:left="3254" w:hanging="360"/>
      </w:pPr>
    </w:lvl>
    <w:lvl w:ilvl="2" w:tplc="FFFFFFFF" w:tentative="1">
      <w:start w:val="1"/>
      <w:numFmt w:val="lowerRoman"/>
      <w:lvlText w:val="%3."/>
      <w:lvlJc w:val="right"/>
      <w:pPr>
        <w:ind w:left="3974" w:hanging="180"/>
      </w:pPr>
    </w:lvl>
    <w:lvl w:ilvl="3" w:tplc="FFFFFFFF" w:tentative="1">
      <w:start w:val="1"/>
      <w:numFmt w:val="decimal"/>
      <w:lvlText w:val="%4."/>
      <w:lvlJc w:val="left"/>
      <w:pPr>
        <w:ind w:left="4694" w:hanging="360"/>
      </w:pPr>
    </w:lvl>
    <w:lvl w:ilvl="4" w:tplc="FFFFFFFF" w:tentative="1">
      <w:start w:val="1"/>
      <w:numFmt w:val="lowerLetter"/>
      <w:lvlText w:val="%5."/>
      <w:lvlJc w:val="left"/>
      <w:pPr>
        <w:ind w:left="5414" w:hanging="360"/>
      </w:pPr>
    </w:lvl>
    <w:lvl w:ilvl="5" w:tplc="FFFFFFFF" w:tentative="1">
      <w:start w:val="1"/>
      <w:numFmt w:val="lowerRoman"/>
      <w:lvlText w:val="%6."/>
      <w:lvlJc w:val="right"/>
      <w:pPr>
        <w:ind w:left="6134" w:hanging="180"/>
      </w:pPr>
    </w:lvl>
    <w:lvl w:ilvl="6" w:tplc="FFFFFFFF" w:tentative="1">
      <w:start w:val="1"/>
      <w:numFmt w:val="decimal"/>
      <w:lvlText w:val="%7."/>
      <w:lvlJc w:val="left"/>
      <w:pPr>
        <w:ind w:left="6854" w:hanging="360"/>
      </w:pPr>
    </w:lvl>
    <w:lvl w:ilvl="7" w:tplc="FFFFFFFF" w:tentative="1">
      <w:start w:val="1"/>
      <w:numFmt w:val="lowerLetter"/>
      <w:lvlText w:val="%8."/>
      <w:lvlJc w:val="left"/>
      <w:pPr>
        <w:ind w:left="7574" w:hanging="360"/>
      </w:pPr>
    </w:lvl>
    <w:lvl w:ilvl="8" w:tplc="FFFFFFFF" w:tentative="1">
      <w:start w:val="1"/>
      <w:numFmt w:val="lowerRoman"/>
      <w:lvlText w:val="%9."/>
      <w:lvlJc w:val="right"/>
      <w:pPr>
        <w:ind w:left="8294" w:hanging="180"/>
      </w:pPr>
    </w:lvl>
  </w:abstractNum>
  <w:abstractNum w:abstractNumId="29">
    <w:nsid w:val="06470906"/>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65B7CC9"/>
    <w:multiLevelType w:val="hybridMultilevel"/>
    <w:tmpl w:val="382C6F04"/>
    <w:lvl w:ilvl="0" w:tplc="DC067FB2">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58AE793C">
      <w:start w:val="1"/>
      <w:numFmt w:val="decimal"/>
      <w:lvlText w:val="%2."/>
      <w:lvlJc w:val="left"/>
      <w:pPr>
        <w:ind w:left="239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99A288BC">
      <w:start w:val="1"/>
      <w:numFmt w:val="lowerRoman"/>
      <w:lvlText w:val="%3"/>
      <w:lvlJc w:val="left"/>
      <w:pPr>
        <w:ind w:left="307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056AF362">
      <w:start w:val="1"/>
      <w:numFmt w:val="decimal"/>
      <w:lvlText w:val="%4"/>
      <w:lvlJc w:val="left"/>
      <w:pPr>
        <w:ind w:left="379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8AA097A4">
      <w:start w:val="1"/>
      <w:numFmt w:val="lowerLetter"/>
      <w:lvlText w:val="%5"/>
      <w:lvlJc w:val="left"/>
      <w:pPr>
        <w:ind w:left="451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EF82F46A">
      <w:start w:val="1"/>
      <w:numFmt w:val="lowerRoman"/>
      <w:lvlText w:val="%6"/>
      <w:lvlJc w:val="left"/>
      <w:pPr>
        <w:ind w:left="523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138C425A">
      <w:start w:val="1"/>
      <w:numFmt w:val="decimal"/>
      <w:lvlText w:val="%7"/>
      <w:lvlJc w:val="left"/>
      <w:pPr>
        <w:ind w:left="595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C167404">
      <w:start w:val="1"/>
      <w:numFmt w:val="lowerLetter"/>
      <w:lvlText w:val="%8"/>
      <w:lvlJc w:val="left"/>
      <w:pPr>
        <w:ind w:left="667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1F2C4E3A">
      <w:start w:val="1"/>
      <w:numFmt w:val="lowerRoman"/>
      <w:lvlText w:val="%9"/>
      <w:lvlJc w:val="left"/>
      <w:pPr>
        <w:ind w:left="739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1">
    <w:nsid w:val="06C5643D"/>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2">
    <w:nsid w:val="06E07A34"/>
    <w:multiLevelType w:val="hybridMultilevel"/>
    <w:tmpl w:val="40AA186C"/>
    <w:lvl w:ilvl="0" w:tplc="6AFA7B86">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EA00C8AE">
      <w:start w:val="1"/>
      <w:numFmt w:val="lowerLetter"/>
      <w:lvlText w:val="%2"/>
      <w:lvlJc w:val="left"/>
      <w:pPr>
        <w:ind w:left="20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52169BFE">
      <w:start w:val="1"/>
      <w:numFmt w:val="lowerRoman"/>
      <w:lvlText w:val="%3"/>
      <w:lvlJc w:val="left"/>
      <w:pPr>
        <w:ind w:left="27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DB4C6E94">
      <w:start w:val="1"/>
      <w:numFmt w:val="decimal"/>
      <w:lvlText w:val="%4"/>
      <w:lvlJc w:val="left"/>
      <w:pPr>
        <w:ind w:left="35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B0C88E7E">
      <w:start w:val="1"/>
      <w:numFmt w:val="lowerLetter"/>
      <w:lvlText w:val="%5"/>
      <w:lvlJc w:val="left"/>
      <w:pPr>
        <w:ind w:left="42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306AFC8">
      <w:start w:val="1"/>
      <w:numFmt w:val="lowerRoman"/>
      <w:lvlText w:val="%6"/>
      <w:lvlJc w:val="left"/>
      <w:pPr>
        <w:ind w:left="49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29E45536">
      <w:start w:val="1"/>
      <w:numFmt w:val="decimal"/>
      <w:lvlText w:val="%7"/>
      <w:lvlJc w:val="left"/>
      <w:pPr>
        <w:ind w:left="56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35AF5F0">
      <w:start w:val="1"/>
      <w:numFmt w:val="lowerLetter"/>
      <w:lvlText w:val="%8"/>
      <w:lvlJc w:val="left"/>
      <w:pPr>
        <w:ind w:left="63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A440C502">
      <w:start w:val="1"/>
      <w:numFmt w:val="lowerRoman"/>
      <w:lvlText w:val="%9"/>
      <w:lvlJc w:val="left"/>
      <w:pPr>
        <w:ind w:left="71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3">
    <w:nsid w:val="070568CD"/>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4">
    <w:nsid w:val="07126AB8"/>
    <w:multiLevelType w:val="hybridMultilevel"/>
    <w:tmpl w:val="C53AE0A0"/>
    <w:lvl w:ilvl="0" w:tplc="E4645F62">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071C7AF9"/>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74216D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079F1F40"/>
    <w:multiLevelType w:val="hybridMultilevel"/>
    <w:tmpl w:val="1F2433DA"/>
    <w:lvl w:ilvl="0" w:tplc="9E2A33D6">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07A732DC"/>
    <w:multiLevelType w:val="hybridMultilevel"/>
    <w:tmpl w:val="EF52C342"/>
    <w:lvl w:ilvl="0" w:tplc="5B66B27C">
      <w:start w:val="1"/>
      <w:numFmt w:val="lowerRoman"/>
      <w:lvlText w:val="(%1)"/>
      <w:lvlJc w:val="right"/>
      <w:pPr>
        <w:ind w:left="2534" w:hanging="360"/>
      </w:pPr>
      <w:rPr>
        <w:rFonts w:hint="default"/>
        <w:b w:val="0"/>
        <w:bCs w:val="0"/>
        <w:sz w:val="20"/>
        <w:szCs w:val="20"/>
      </w:rPr>
    </w:lvl>
    <w:lvl w:ilvl="1" w:tplc="FFFFFFFF" w:tentative="1">
      <w:start w:val="1"/>
      <w:numFmt w:val="lowerLetter"/>
      <w:lvlText w:val="%2."/>
      <w:lvlJc w:val="left"/>
      <w:pPr>
        <w:ind w:left="3254" w:hanging="360"/>
      </w:pPr>
    </w:lvl>
    <w:lvl w:ilvl="2" w:tplc="FFFFFFFF" w:tentative="1">
      <w:start w:val="1"/>
      <w:numFmt w:val="lowerRoman"/>
      <w:lvlText w:val="%3."/>
      <w:lvlJc w:val="right"/>
      <w:pPr>
        <w:ind w:left="3974" w:hanging="180"/>
      </w:pPr>
    </w:lvl>
    <w:lvl w:ilvl="3" w:tplc="FFFFFFFF" w:tentative="1">
      <w:start w:val="1"/>
      <w:numFmt w:val="decimal"/>
      <w:lvlText w:val="%4."/>
      <w:lvlJc w:val="left"/>
      <w:pPr>
        <w:ind w:left="4694" w:hanging="360"/>
      </w:pPr>
    </w:lvl>
    <w:lvl w:ilvl="4" w:tplc="FFFFFFFF" w:tentative="1">
      <w:start w:val="1"/>
      <w:numFmt w:val="lowerLetter"/>
      <w:lvlText w:val="%5."/>
      <w:lvlJc w:val="left"/>
      <w:pPr>
        <w:ind w:left="5414" w:hanging="360"/>
      </w:pPr>
    </w:lvl>
    <w:lvl w:ilvl="5" w:tplc="FFFFFFFF" w:tentative="1">
      <w:start w:val="1"/>
      <w:numFmt w:val="lowerRoman"/>
      <w:lvlText w:val="%6."/>
      <w:lvlJc w:val="right"/>
      <w:pPr>
        <w:ind w:left="6134" w:hanging="180"/>
      </w:pPr>
    </w:lvl>
    <w:lvl w:ilvl="6" w:tplc="FFFFFFFF" w:tentative="1">
      <w:start w:val="1"/>
      <w:numFmt w:val="decimal"/>
      <w:lvlText w:val="%7."/>
      <w:lvlJc w:val="left"/>
      <w:pPr>
        <w:ind w:left="6854" w:hanging="360"/>
      </w:pPr>
    </w:lvl>
    <w:lvl w:ilvl="7" w:tplc="FFFFFFFF" w:tentative="1">
      <w:start w:val="1"/>
      <w:numFmt w:val="lowerLetter"/>
      <w:lvlText w:val="%8."/>
      <w:lvlJc w:val="left"/>
      <w:pPr>
        <w:ind w:left="7574" w:hanging="360"/>
      </w:pPr>
    </w:lvl>
    <w:lvl w:ilvl="8" w:tplc="FFFFFFFF" w:tentative="1">
      <w:start w:val="1"/>
      <w:numFmt w:val="lowerRoman"/>
      <w:lvlText w:val="%9."/>
      <w:lvlJc w:val="right"/>
      <w:pPr>
        <w:ind w:left="8294" w:hanging="180"/>
      </w:pPr>
    </w:lvl>
  </w:abstractNum>
  <w:abstractNum w:abstractNumId="39">
    <w:nsid w:val="087A533C"/>
    <w:multiLevelType w:val="hybridMultilevel"/>
    <w:tmpl w:val="8DFCA1C8"/>
    <w:lvl w:ilvl="0" w:tplc="ABD47578">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EAD80C72">
      <w:start w:val="1"/>
      <w:numFmt w:val="lowerLetter"/>
      <w:lvlText w:val="%2"/>
      <w:lvlJc w:val="left"/>
      <w:pPr>
        <w:ind w:left="67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AFC83D40">
      <w:start w:val="1"/>
      <w:numFmt w:val="lowerRoman"/>
      <w:lvlText w:val="%3"/>
      <w:lvlJc w:val="left"/>
      <w:pPr>
        <w:ind w:left="98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19007AD0">
      <w:start w:val="1"/>
      <w:numFmt w:val="lowerLetter"/>
      <w:lvlRestart w:val="0"/>
      <w:lvlText w:val="%4)"/>
      <w:lvlJc w:val="left"/>
      <w:pPr>
        <w:ind w:left="125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CFE2AD84">
      <w:start w:val="1"/>
      <w:numFmt w:val="lowerLetter"/>
      <w:lvlText w:val="%5"/>
      <w:lvlJc w:val="left"/>
      <w:pPr>
        <w:ind w:left="20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310CFBDA">
      <w:start w:val="1"/>
      <w:numFmt w:val="lowerRoman"/>
      <w:lvlText w:val="%6"/>
      <w:lvlJc w:val="left"/>
      <w:pPr>
        <w:ind w:left="27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8CE48FC0">
      <w:start w:val="1"/>
      <w:numFmt w:val="decimal"/>
      <w:lvlText w:val="%7"/>
      <w:lvlJc w:val="left"/>
      <w:pPr>
        <w:ind w:left="34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417459F0">
      <w:start w:val="1"/>
      <w:numFmt w:val="lowerLetter"/>
      <w:lvlText w:val="%8"/>
      <w:lvlJc w:val="left"/>
      <w:pPr>
        <w:ind w:left="41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A5DEE39C">
      <w:start w:val="1"/>
      <w:numFmt w:val="lowerRoman"/>
      <w:lvlText w:val="%9"/>
      <w:lvlJc w:val="left"/>
      <w:pPr>
        <w:ind w:left="48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0">
    <w:nsid w:val="08CA69B3"/>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08CB10DE"/>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08DB75C9"/>
    <w:multiLevelType w:val="multilevel"/>
    <w:tmpl w:val="289AEBFE"/>
    <w:numStyleLink w:val="Estilo2"/>
  </w:abstractNum>
  <w:abstractNum w:abstractNumId="43">
    <w:nsid w:val="08F54BD6"/>
    <w:multiLevelType w:val="hybridMultilevel"/>
    <w:tmpl w:val="5C9EAD88"/>
    <w:lvl w:ilvl="0" w:tplc="EDCE94B2">
      <w:start w:val="1"/>
      <w:numFmt w:val="lowerLetter"/>
      <w:lvlText w:val="%1)"/>
      <w:lvlJc w:val="left"/>
      <w:pPr>
        <w:ind w:left="1560" w:hanging="567"/>
      </w:pPr>
      <w:rPr>
        <w:rFonts w:ascii="Arial" w:hAnsi="Arial" w:cs="Arial" w:hint="default"/>
        <w:b w:val="0"/>
        <w:bCs/>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44">
    <w:nsid w:val="08F97A9C"/>
    <w:multiLevelType w:val="hybridMultilevel"/>
    <w:tmpl w:val="AB660218"/>
    <w:lvl w:ilvl="0" w:tplc="FFFFFFFF">
      <w:start w:val="1"/>
      <w:numFmt w:val="lowerRoman"/>
      <w:lvlText w:val="(%1)"/>
      <w:lvlJc w:val="right"/>
      <w:pPr>
        <w:ind w:left="1985" w:hanging="170"/>
      </w:pPr>
      <w:rPr>
        <w:rFonts w:hint="default"/>
      </w:r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45">
    <w:nsid w:val="08FA090E"/>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094A1962"/>
    <w:multiLevelType w:val="hybridMultilevel"/>
    <w:tmpl w:val="675EE812"/>
    <w:lvl w:ilvl="0" w:tplc="9DD8E37E">
      <w:start w:val="1"/>
      <w:numFmt w:val="lowerLetter"/>
      <w:lvlText w:val="%1)"/>
      <w:lvlJc w:val="left"/>
      <w:pPr>
        <w:ind w:left="1560" w:hanging="567"/>
      </w:pPr>
      <w:rPr>
        <w:rFonts w:hint="default"/>
        <w:b w:val="0"/>
        <w:bCs/>
        <w:lang w:val="es-ES"/>
      </w:rPr>
    </w:lvl>
    <w:lvl w:ilvl="1" w:tplc="2C0A0019">
      <w:start w:val="1"/>
      <w:numFmt w:val="lowerLetter"/>
      <w:lvlText w:val="%2."/>
      <w:lvlJc w:val="left"/>
      <w:pPr>
        <w:ind w:left="1866" w:hanging="360"/>
      </w:pPr>
    </w:lvl>
    <w:lvl w:ilvl="2" w:tplc="2C0A001B">
      <w:start w:val="1"/>
      <w:numFmt w:val="lowerRoman"/>
      <w:lvlText w:val="%3."/>
      <w:lvlJc w:val="right"/>
      <w:pPr>
        <w:ind w:left="2586" w:hanging="180"/>
      </w:pPr>
    </w:lvl>
    <w:lvl w:ilvl="3" w:tplc="2C0A000F">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47">
    <w:nsid w:val="09577C92"/>
    <w:multiLevelType w:val="hybridMultilevel"/>
    <w:tmpl w:val="EB34C122"/>
    <w:lvl w:ilvl="0" w:tplc="FFFFFFFF">
      <w:start w:val="1"/>
      <w:numFmt w:val="lowerLetter"/>
      <w:lvlText w:val="%1)"/>
      <w:lvlJc w:val="right"/>
      <w:pPr>
        <w:ind w:left="1758" w:hanging="170"/>
      </w:pPr>
      <w:rPr>
        <w:rFonts w:ascii="Arial" w:eastAsia="Times New Roman" w:hAnsi="Arial" w:cs="Arial"/>
        <w:b w:val="0"/>
        <w:bCs w:val="0"/>
      </w:rPr>
    </w:lvl>
    <w:lvl w:ilvl="1" w:tplc="FFFFFFFF">
      <w:start w:val="1"/>
      <w:numFmt w:val="lowerLetter"/>
      <w:lvlText w:val="%2."/>
      <w:lvlJc w:val="left"/>
      <w:pPr>
        <w:ind w:left="1440" w:hanging="360"/>
      </w:pPr>
    </w:lvl>
    <w:lvl w:ilvl="2" w:tplc="BE880E2A">
      <w:start w:val="1"/>
      <w:numFmt w:val="lowerRoman"/>
      <w:lvlText w:val="(%3)"/>
      <w:lvlJc w:val="right"/>
      <w:pPr>
        <w:ind w:left="2160" w:hanging="180"/>
      </w:pPr>
      <w:rPr>
        <w:rFonts w:ascii="Arial" w:eastAsia="Times New Roman"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097C79D2"/>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09DC740E"/>
    <w:multiLevelType w:val="multilevel"/>
    <w:tmpl w:val="A81006EE"/>
    <w:name w:val="Nua Nivel 2"/>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09F81521"/>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0A063336"/>
    <w:multiLevelType w:val="hybridMultilevel"/>
    <w:tmpl w:val="74FC751E"/>
    <w:lvl w:ilvl="0" w:tplc="FFFFFFFF">
      <w:start w:val="1"/>
      <w:numFmt w:val="lowerRoman"/>
      <w:lvlText w:val="(%1)"/>
      <w:lvlJc w:val="right"/>
      <w:pPr>
        <w:ind w:left="1872" w:firstLine="0"/>
      </w:pPr>
      <w:rPr>
        <w:rFonts w:hint="default"/>
        <w:b w:val="0"/>
        <w:i w:val="0"/>
        <w:strike w:val="0"/>
        <w:dstrike w:val="0"/>
        <w:color w:val="000000"/>
        <w:sz w:val="19"/>
        <w:szCs w:val="19"/>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0A1206B5"/>
    <w:multiLevelType w:val="hybridMultilevel"/>
    <w:tmpl w:val="24180360"/>
    <w:lvl w:ilvl="0" w:tplc="ED18527C">
      <w:start w:val="1"/>
      <w:numFmt w:val="lowerLetter"/>
      <w:lvlText w:val="%1)"/>
      <w:lvlJc w:val="left"/>
      <w:pPr>
        <w:ind w:left="720" w:hanging="360"/>
      </w:pPr>
      <w:rPr>
        <w:rFonts w:ascii="Arial" w:hAnsi="Arial"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nsid w:val="0A5F17E5"/>
    <w:multiLevelType w:val="hybridMultilevel"/>
    <w:tmpl w:val="BD420EDE"/>
    <w:lvl w:ilvl="0" w:tplc="DBE68C92">
      <w:start w:val="1"/>
      <w:numFmt w:val="lowerLetter"/>
      <w:lvlText w:val="%1)"/>
      <w:lvlJc w:val="left"/>
      <w:pPr>
        <w:ind w:left="1560" w:hanging="567"/>
      </w:pPr>
      <w:rPr>
        <w:rFonts w:ascii="Arial" w:eastAsiaTheme="minorHAnsi" w:hAnsi="Arial" w:cs="Arial"/>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4">
    <w:nsid w:val="0ACC61E1"/>
    <w:multiLevelType w:val="hybridMultilevel"/>
    <w:tmpl w:val="4AF61CA0"/>
    <w:lvl w:ilvl="0" w:tplc="B650C092">
      <w:start w:val="1"/>
      <w:numFmt w:val="lowerLetter"/>
      <w:lvlText w:val="%1)"/>
      <w:lvlJc w:val="left"/>
      <w:pPr>
        <w:ind w:left="4820" w:hanging="567"/>
      </w:pPr>
      <w:rPr>
        <w:rFonts w:hint="default"/>
        <w:b w:val="0"/>
        <w:bCs/>
      </w:rPr>
    </w:lvl>
    <w:lvl w:ilvl="1" w:tplc="080A0019" w:tentative="1">
      <w:start w:val="1"/>
      <w:numFmt w:val="lowerLetter"/>
      <w:lvlText w:val="%2."/>
      <w:lvlJc w:val="left"/>
      <w:pPr>
        <w:ind w:left="5126" w:hanging="360"/>
      </w:pPr>
    </w:lvl>
    <w:lvl w:ilvl="2" w:tplc="080A001B" w:tentative="1">
      <w:start w:val="1"/>
      <w:numFmt w:val="lowerRoman"/>
      <w:lvlText w:val="%3."/>
      <w:lvlJc w:val="right"/>
      <w:pPr>
        <w:ind w:left="5846" w:hanging="180"/>
      </w:pPr>
    </w:lvl>
    <w:lvl w:ilvl="3" w:tplc="080A000F" w:tentative="1">
      <w:start w:val="1"/>
      <w:numFmt w:val="decimal"/>
      <w:lvlText w:val="%4."/>
      <w:lvlJc w:val="left"/>
      <w:pPr>
        <w:ind w:left="6566" w:hanging="360"/>
      </w:pPr>
    </w:lvl>
    <w:lvl w:ilvl="4" w:tplc="080A0019" w:tentative="1">
      <w:start w:val="1"/>
      <w:numFmt w:val="lowerLetter"/>
      <w:lvlText w:val="%5."/>
      <w:lvlJc w:val="left"/>
      <w:pPr>
        <w:ind w:left="7286" w:hanging="360"/>
      </w:pPr>
    </w:lvl>
    <w:lvl w:ilvl="5" w:tplc="080A001B" w:tentative="1">
      <w:start w:val="1"/>
      <w:numFmt w:val="lowerRoman"/>
      <w:lvlText w:val="%6."/>
      <w:lvlJc w:val="right"/>
      <w:pPr>
        <w:ind w:left="8006" w:hanging="180"/>
      </w:pPr>
    </w:lvl>
    <w:lvl w:ilvl="6" w:tplc="080A000F" w:tentative="1">
      <w:start w:val="1"/>
      <w:numFmt w:val="decimal"/>
      <w:lvlText w:val="%7."/>
      <w:lvlJc w:val="left"/>
      <w:pPr>
        <w:ind w:left="8726" w:hanging="360"/>
      </w:pPr>
    </w:lvl>
    <w:lvl w:ilvl="7" w:tplc="080A0019" w:tentative="1">
      <w:start w:val="1"/>
      <w:numFmt w:val="lowerLetter"/>
      <w:lvlText w:val="%8."/>
      <w:lvlJc w:val="left"/>
      <w:pPr>
        <w:ind w:left="9446" w:hanging="360"/>
      </w:pPr>
    </w:lvl>
    <w:lvl w:ilvl="8" w:tplc="080A001B" w:tentative="1">
      <w:start w:val="1"/>
      <w:numFmt w:val="lowerRoman"/>
      <w:lvlText w:val="%9."/>
      <w:lvlJc w:val="right"/>
      <w:pPr>
        <w:ind w:left="10166" w:hanging="180"/>
      </w:pPr>
    </w:lvl>
  </w:abstractNum>
  <w:abstractNum w:abstractNumId="55">
    <w:nsid w:val="0AF87ED7"/>
    <w:multiLevelType w:val="hybridMultilevel"/>
    <w:tmpl w:val="EF3EDC3E"/>
    <w:lvl w:ilvl="0" w:tplc="72B893D8">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6A56C976">
      <w:start w:val="1"/>
      <w:numFmt w:val="lowerLetter"/>
      <w:lvlText w:val="%2"/>
      <w:lvlJc w:val="left"/>
      <w:pPr>
        <w:ind w:left="6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39A8665E">
      <w:start w:val="1"/>
      <w:numFmt w:val="lowerRoman"/>
      <w:lvlText w:val="%3"/>
      <w:lvlJc w:val="left"/>
      <w:pPr>
        <w:ind w:left="101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ACC468B8">
      <w:start w:val="1"/>
      <w:numFmt w:val="decimal"/>
      <w:lvlText w:val="%4"/>
      <w:lvlJc w:val="left"/>
      <w:pPr>
        <w:ind w:left="133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AD2EE6A">
      <w:start w:val="1"/>
      <w:numFmt w:val="lowerRoman"/>
      <w:lvlRestart w:val="0"/>
      <w:lvlText w:val="(%5)"/>
      <w:lvlJc w:val="left"/>
      <w:pPr>
        <w:ind w:left="1675"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E7F08572">
      <w:start w:val="1"/>
      <w:numFmt w:val="lowerRoman"/>
      <w:lvlText w:val="%6"/>
      <w:lvlJc w:val="left"/>
      <w:pPr>
        <w:ind w:left="23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05723AE8">
      <w:start w:val="1"/>
      <w:numFmt w:val="decimal"/>
      <w:lvlText w:val="%7"/>
      <w:lvlJc w:val="left"/>
      <w:pPr>
        <w:ind w:left="31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62A8BAA">
      <w:start w:val="1"/>
      <w:numFmt w:val="lowerLetter"/>
      <w:lvlText w:val="%8"/>
      <w:lvlJc w:val="left"/>
      <w:pPr>
        <w:ind w:left="382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59F0CA14">
      <w:start w:val="1"/>
      <w:numFmt w:val="lowerRoman"/>
      <w:lvlText w:val="%9"/>
      <w:lvlJc w:val="left"/>
      <w:pPr>
        <w:ind w:left="454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6">
    <w:nsid w:val="0AF9253F"/>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0B9626B9"/>
    <w:multiLevelType w:val="hybridMultilevel"/>
    <w:tmpl w:val="89B0BCD0"/>
    <w:lvl w:ilvl="0" w:tplc="0032E808">
      <w:start w:val="1"/>
      <w:numFmt w:val="bullet"/>
      <w:lvlText w:val="•"/>
      <w:lvlJc w:val="left"/>
      <w:pPr>
        <w:ind w:left="171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1D161D3E">
      <w:start w:val="1"/>
      <w:numFmt w:val="bullet"/>
      <w:lvlText w:val="o"/>
      <w:lvlJc w:val="left"/>
      <w:pPr>
        <w:ind w:left="247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53985AEC">
      <w:start w:val="1"/>
      <w:numFmt w:val="bullet"/>
      <w:lvlText w:val="▪"/>
      <w:lvlJc w:val="left"/>
      <w:pPr>
        <w:ind w:left="319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6EF2A63C">
      <w:start w:val="1"/>
      <w:numFmt w:val="bullet"/>
      <w:lvlText w:val="•"/>
      <w:lvlJc w:val="left"/>
      <w:pPr>
        <w:ind w:left="391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C1A0C1F6">
      <w:start w:val="1"/>
      <w:numFmt w:val="bullet"/>
      <w:lvlText w:val="o"/>
      <w:lvlJc w:val="left"/>
      <w:pPr>
        <w:ind w:left="463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9D401714">
      <w:start w:val="1"/>
      <w:numFmt w:val="bullet"/>
      <w:lvlText w:val="▪"/>
      <w:lvlJc w:val="left"/>
      <w:pPr>
        <w:ind w:left="535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B87CF6B2">
      <w:start w:val="1"/>
      <w:numFmt w:val="bullet"/>
      <w:lvlText w:val="•"/>
      <w:lvlJc w:val="left"/>
      <w:pPr>
        <w:ind w:left="607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BD3ADE58">
      <w:start w:val="1"/>
      <w:numFmt w:val="bullet"/>
      <w:lvlText w:val="o"/>
      <w:lvlJc w:val="left"/>
      <w:pPr>
        <w:ind w:left="679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8A880312">
      <w:start w:val="1"/>
      <w:numFmt w:val="bullet"/>
      <w:lvlText w:val="▪"/>
      <w:lvlJc w:val="left"/>
      <w:pPr>
        <w:ind w:left="751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8">
    <w:nsid w:val="0B9E5F81"/>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9">
    <w:nsid w:val="0BC528CE"/>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0">
    <w:nsid w:val="0C4F570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0C7E6F1F"/>
    <w:multiLevelType w:val="hybridMultilevel"/>
    <w:tmpl w:val="9A563F8E"/>
    <w:lvl w:ilvl="0" w:tplc="3CBED572">
      <w:start w:val="1"/>
      <w:numFmt w:val="lowerLetter"/>
      <w:lvlText w:val="%1)"/>
      <w:lvlJc w:val="left"/>
      <w:pPr>
        <w:ind w:left="1692" w:hanging="360"/>
      </w:pPr>
      <w:rPr>
        <w:rFonts w:ascii="Arial" w:hAnsi="Arial" w:cs="Arial" w:hint="default"/>
        <w:b w:val="0"/>
        <w:bCs/>
        <w:i w:val="0"/>
        <w:iCs w:val="0"/>
        <w:sz w:val="20"/>
        <w:szCs w:val="20"/>
      </w:rPr>
    </w:lvl>
    <w:lvl w:ilvl="1" w:tplc="080A0019" w:tentative="1">
      <w:start w:val="1"/>
      <w:numFmt w:val="lowerLetter"/>
      <w:lvlText w:val="%2."/>
      <w:lvlJc w:val="left"/>
      <w:pPr>
        <w:ind w:left="2412" w:hanging="360"/>
      </w:pPr>
    </w:lvl>
    <w:lvl w:ilvl="2" w:tplc="080A001B" w:tentative="1">
      <w:start w:val="1"/>
      <w:numFmt w:val="lowerRoman"/>
      <w:lvlText w:val="%3."/>
      <w:lvlJc w:val="right"/>
      <w:pPr>
        <w:ind w:left="3132" w:hanging="180"/>
      </w:pPr>
    </w:lvl>
    <w:lvl w:ilvl="3" w:tplc="080A000F" w:tentative="1">
      <w:start w:val="1"/>
      <w:numFmt w:val="decimal"/>
      <w:lvlText w:val="%4."/>
      <w:lvlJc w:val="left"/>
      <w:pPr>
        <w:ind w:left="3852" w:hanging="360"/>
      </w:pPr>
    </w:lvl>
    <w:lvl w:ilvl="4" w:tplc="080A0019" w:tentative="1">
      <w:start w:val="1"/>
      <w:numFmt w:val="lowerLetter"/>
      <w:lvlText w:val="%5."/>
      <w:lvlJc w:val="left"/>
      <w:pPr>
        <w:ind w:left="4572" w:hanging="360"/>
      </w:pPr>
    </w:lvl>
    <w:lvl w:ilvl="5" w:tplc="080A001B" w:tentative="1">
      <w:start w:val="1"/>
      <w:numFmt w:val="lowerRoman"/>
      <w:lvlText w:val="%6."/>
      <w:lvlJc w:val="right"/>
      <w:pPr>
        <w:ind w:left="5292" w:hanging="180"/>
      </w:pPr>
    </w:lvl>
    <w:lvl w:ilvl="6" w:tplc="080A000F" w:tentative="1">
      <w:start w:val="1"/>
      <w:numFmt w:val="decimal"/>
      <w:lvlText w:val="%7."/>
      <w:lvlJc w:val="left"/>
      <w:pPr>
        <w:ind w:left="6012" w:hanging="360"/>
      </w:pPr>
    </w:lvl>
    <w:lvl w:ilvl="7" w:tplc="080A0019" w:tentative="1">
      <w:start w:val="1"/>
      <w:numFmt w:val="lowerLetter"/>
      <w:lvlText w:val="%8."/>
      <w:lvlJc w:val="left"/>
      <w:pPr>
        <w:ind w:left="6732" w:hanging="360"/>
      </w:pPr>
    </w:lvl>
    <w:lvl w:ilvl="8" w:tplc="080A001B" w:tentative="1">
      <w:start w:val="1"/>
      <w:numFmt w:val="lowerRoman"/>
      <w:lvlText w:val="%9."/>
      <w:lvlJc w:val="right"/>
      <w:pPr>
        <w:ind w:left="7452" w:hanging="180"/>
      </w:pPr>
    </w:lvl>
  </w:abstractNum>
  <w:abstractNum w:abstractNumId="62">
    <w:nsid w:val="0C80440F"/>
    <w:multiLevelType w:val="hybridMultilevel"/>
    <w:tmpl w:val="6CF0B928"/>
    <w:lvl w:ilvl="0" w:tplc="5B66B27C">
      <w:start w:val="1"/>
      <w:numFmt w:val="lowerRoman"/>
      <w:lvlText w:val="(%1)"/>
      <w:lvlJc w:val="right"/>
      <w:pPr>
        <w:ind w:left="2534" w:hanging="360"/>
      </w:pPr>
      <w:rPr>
        <w:rFonts w:hint="default"/>
      </w:rPr>
    </w:lvl>
    <w:lvl w:ilvl="1" w:tplc="2C0A0019" w:tentative="1">
      <w:start w:val="1"/>
      <w:numFmt w:val="lowerLetter"/>
      <w:lvlText w:val="%2."/>
      <w:lvlJc w:val="left"/>
      <w:pPr>
        <w:ind w:left="3254" w:hanging="360"/>
      </w:pPr>
    </w:lvl>
    <w:lvl w:ilvl="2" w:tplc="2C0A001B" w:tentative="1">
      <w:start w:val="1"/>
      <w:numFmt w:val="lowerRoman"/>
      <w:lvlText w:val="%3."/>
      <w:lvlJc w:val="right"/>
      <w:pPr>
        <w:ind w:left="3974" w:hanging="180"/>
      </w:pPr>
    </w:lvl>
    <w:lvl w:ilvl="3" w:tplc="2C0A000F" w:tentative="1">
      <w:start w:val="1"/>
      <w:numFmt w:val="decimal"/>
      <w:lvlText w:val="%4."/>
      <w:lvlJc w:val="left"/>
      <w:pPr>
        <w:ind w:left="4694" w:hanging="360"/>
      </w:pPr>
    </w:lvl>
    <w:lvl w:ilvl="4" w:tplc="2C0A0019" w:tentative="1">
      <w:start w:val="1"/>
      <w:numFmt w:val="lowerLetter"/>
      <w:lvlText w:val="%5."/>
      <w:lvlJc w:val="left"/>
      <w:pPr>
        <w:ind w:left="5414" w:hanging="360"/>
      </w:pPr>
    </w:lvl>
    <w:lvl w:ilvl="5" w:tplc="2C0A001B" w:tentative="1">
      <w:start w:val="1"/>
      <w:numFmt w:val="lowerRoman"/>
      <w:lvlText w:val="%6."/>
      <w:lvlJc w:val="right"/>
      <w:pPr>
        <w:ind w:left="6134" w:hanging="180"/>
      </w:pPr>
    </w:lvl>
    <w:lvl w:ilvl="6" w:tplc="2C0A000F" w:tentative="1">
      <w:start w:val="1"/>
      <w:numFmt w:val="decimal"/>
      <w:lvlText w:val="%7."/>
      <w:lvlJc w:val="left"/>
      <w:pPr>
        <w:ind w:left="6854" w:hanging="360"/>
      </w:pPr>
    </w:lvl>
    <w:lvl w:ilvl="7" w:tplc="2C0A0019" w:tentative="1">
      <w:start w:val="1"/>
      <w:numFmt w:val="lowerLetter"/>
      <w:lvlText w:val="%8."/>
      <w:lvlJc w:val="left"/>
      <w:pPr>
        <w:ind w:left="7574" w:hanging="360"/>
      </w:pPr>
    </w:lvl>
    <w:lvl w:ilvl="8" w:tplc="2C0A001B" w:tentative="1">
      <w:start w:val="1"/>
      <w:numFmt w:val="lowerRoman"/>
      <w:lvlText w:val="%9."/>
      <w:lvlJc w:val="right"/>
      <w:pPr>
        <w:ind w:left="8294" w:hanging="180"/>
      </w:pPr>
    </w:lvl>
  </w:abstractNum>
  <w:abstractNum w:abstractNumId="63">
    <w:nsid w:val="0CA67331"/>
    <w:multiLevelType w:val="hybridMultilevel"/>
    <w:tmpl w:val="CA42C6BA"/>
    <w:lvl w:ilvl="0" w:tplc="4BB85AF6">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4">
    <w:nsid w:val="0CCD52F9"/>
    <w:multiLevelType w:val="hybridMultilevel"/>
    <w:tmpl w:val="63DA32B2"/>
    <w:lvl w:ilvl="0" w:tplc="FFFFFFFF">
      <w:start w:val="1"/>
      <w:numFmt w:val="lowerLetter"/>
      <w:lvlText w:val="%1)"/>
      <w:lvlJc w:val="left"/>
      <w:pPr>
        <w:ind w:left="1647" w:hanging="567"/>
      </w:pPr>
      <w:rPr>
        <w:rFonts w:hint="default"/>
        <w:b w:val="0"/>
        <w:bCs/>
      </w:rPr>
    </w:lvl>
    <w:lvl w:ilvl="1" w:tplc="FFFFFFFF" w:tentative="1">
      <w:start w:val="1"/>
      <w:numFmt w:val="lowerLetter"/>
      <w:lvlText w:val="%2."/>
      <w:lvlJc w:val="left"/>
      <w:pPr>
        <w:ind w:left="1953" w:hanging="360"/>
      </w:pPr>
    </w:lvl>
    <w:lvl w:ilvl="2" w:tplc="FFFFFFFF" w:tentative="1">
      <w:start w:val="1"/>
      <w:numFmt w:val="lowerRoman"/>
      <w:lvlText w:val="%3."/>
      <w:lvlJc w:val="right"/>
      <w:pPr>
        <w:ind w:left="2673" w:hanging="180"/>
      </w:pPr>
    </w:lvl>
    <w:lvl w:ilvl="3" w:tplc="FFFFFFFF" w:tentative="1">
      <w:start w:val="1"/>
      <w:numFmt w:val="decimal"/>
      <w:lvlText w:val="%4."/>
      <w:lvlJc w:val="left"/>
      <w:pPr>
        <w:ind w:left="3393" w:hanging="360"/>
      </w:pPr>
    </w:lvl>
    <w:lvl w:ilvl="4" w:tplc="FFFFFFFF" w:tentative="1">
      <w:start w:val="1"/>
      <w:numFmt w:val="lowerLetter"/>
      <w:lvlText w:val="%5."/>
      <w:lvlJc w:val="left"/>
      <w:pPr>
        <w:ind w:left="4113" w:hanging="360"/>
      </w:pPr>
    </w:lvl>
    <w:lvl w:ilvl="5" w:tplc="FFFFFFFF" w:tentative="1">
      <w:start w:val="1"/>
      <w:numFmt w:val="lowerRoman"/>
      <w:lvlText w:val="%6."/>
      <w:lvlJc w:val="right"/>
      <w:pPr>
        <w:ind w:left="4833" w:hanging="180"/>
      </w:pPr>
    </w:lvl>
    <w:lvl w:ilvl="6" w:tplc="FFFFFFFF" w:tentative="1">
      <w:start w:val="1"/>
      <w:numFmt w:val="decimal"/>
      <w:lvlText w:val="%7."/>
      <w:lvlJc w:val="left"/>
      <w:pPr>
        <w:ind w:left="5553" w:hanging="360"/>
      </w:pPr>
    </w:lvl>
    <w:lvl w:ilvl="7" w:tplc="FFFFFFFF" w:tentative="1">
      <w:start w:val="1"/>
      <w:numFmt w:val="lowerLetter"/>
      <w:lvlText w:val="%8."/>
      <w:lvlJc w:val="left"/>
      <w:pPr>
        <w:ind w:left="6273" w:hanging="360"/>
      </w:pPr>
    </w:lvl>
    <w:lvl w:ilvl="8" w:tplc="FFFFFFFF" w:tentative="1">
      <w:start w:val="1"/>
      <w:numFmt w:val="lowerRoman"/>
      <w:lvlText w:val="%9."/>
      <w:lvlJc w:val="right"/>
      <w:pPr>
        <w:ind w:left="6993" w:hanging="180"/>
      </w:pPr>
    </w:lvl>
  </w:abstractNum>
  <w:abstractNum w:abstractNumId="65">
    <w:nsid w:val="0CD914E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0CEE3D85"/>
    <w:multiLevelType w:val="hybridMultilevel"/>
    <w:tmpl w:val="BAEA4036"/>
    <w:lvl w:ilvl="0" w:tplc="FFFFFFFF">
      <w:start w:val="1"/>
      <w:numFmt w:val="lowerRoman"/>
      <w:lvlText w:val="(%1)"/>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0D0E1438"/>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0D1C159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0D1C289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0">
    <w:nsid w:val="0DC200A0"/>
    <w:multiLevelType w:val="multilevel"/>
    <w:tmpl w:val="FB7C48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0DE23718"/>
    <w:multiLevelType w:val="hybridMultilevel"/>
    <w:tmpl w:val="252C80B0"/>
    <w:lvl w:ilvl="0" w:tplc="FFFFFFFF">
      <w:start w:val="1"/>
      <w:numFmt w:val="lowerRoman"/>
      <w:lvlText w:val="(%1)"/>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0DF22F0B"/>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3">
    <w:nsid w:val="0E2607CE"/>
    <w:multiLevelType w:val="hybridMultilevel"/>
    <w:tmpl w:val="BD30659E"/>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22EA8CE">
      <w:start w:val="1"/>
      <w:numFmt w:val="decimal"/>
      <w:lvlText w:val="%4)"/>
      <w:lvlJc w:val="left"/>
      <w:pPr>
        <w:ind w:left="3220" w:hanging="7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EA466B1"/>
    <w:multiLevelType w:val="hybridMultilevel"/>
    <w:tmpl w:val="E90036C4"/>
    <w:lvl w:ilvl="0" w:tplc="FFFFFFFF">
      <w:start w:val="1"/>
      <w:numFmt w:val="decimal"/>
      <w:lvlText w:val="%1."/>
      <w:lvlJc w:val="lef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0EA87FA3"/>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0EC24AA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0EE109E3"/>
    <w:multiLevelType w:val="multilevel"/>
    <w:tmpl w:val="37B0D474"/>
    <w:styleLink w:val="Listaactual1"/>
    <w:lvl w:ilvl="0">
      <w:start w:val="1"/>
      <w:numFmt w:val="lowerLetter"/>
      <w:lvlText w:val="%1)"/>
      <w:lvlJc w:val="left"/>
      <w:pPr>
        <w:ind w:left="720" w:hanging="360"/>
      </w:pPr>
      <w:rPr>
        <w:rFonts w:ascii="Arial" w:hAnsi="Arial" w:hint="default"/>
        <w:b w:val="0"/>
        <w:i w:val="0"/>
        <w:w w:val="103"/>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0EEF1D21"/>
    <w:multiLevelType w:val="hybridMultilevel"/>
    <w:tmpl w:val="4AF61CA0"/>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0F1B4460"/>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0F1F50DB"/>
    <w:multiLevelType w:val="hybridMultilevel"/>
    <w:tmpl w:val="70447A74"/>
    <w:lvl w:ilvl="0" w:tplc="2DB87B84">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8F145A84">
      <w:start w:val="1"/>
      <w:numFmt w:val="lowerLetter"/>
      <w:lvlText w:val="%2"/>
      <w:lvlJc w:val="left"/>
      <w:pPr>
        <w:ind w:left="20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0A662DF0">
      <w:start w:val="1"/>
      <w:numFmt w:val="lowerRoman"/>
      <w:lvlText w:val="%3"/>
      <w:lvlJc w:val="left"/>
      <w:pPr>
        <w:ind w:left="27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9C9206E6">
      <w:start w:val="1"/>
      <w:numFmt w:val="decimal"/>
      <w:lvlText w:val="%4"/>
      <w:lvlJc w:val="left"/>
      <w:pPr>
        <w:ind w:left="35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0F707C92">
      <w:start w:val="1"/>
      <w:numFmt w:val="lowerLetter"/>
      <w:lvlText w:val="%5"/>
      <w:lvlJc w:val="left"/>
      <w:pPr>
        <w:ind w:left="42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8A92A580">
      <w:start w:val="1"/>
      <w:numFmt w:val="lowerRoman"/>
      <w:lvlText w:val="%6"/>
      <w:lvlJc w:val="left"/>
      <w:pPr>
        <w:ind w:left="49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BD0636EA">
      <w:start w:val="1"/>
      <w:numFmt w:val="decimal"/>
      <w:lvlText w:val="%7"/>
      <w:lvlJc w:val="left"/>
      <w:pPr>
        <w:ind w:left="56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1B3E661E">
      <w:start w:val="1"/>
      <w:numFmt w:val="lowerLetter"/>
      <w:lvlText w:val="%8"/>
      <w:lvlJc w:val="left"/>
      <w:pPr>
        <w:ind w:left="63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012AF734">
      <w:start w:val="1"/>
      <w:numFmt w:val="lowerRoman"/>
      <w:lvlText w:val="%9"/>
      <w:lvlJc w:val="left"/>
      <w:pPr>
        <w:ind w:left="71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81">
    <w:nsid w:val="0F2B214A"/>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0F4D26D6"/>
    <w:multiLevelType w:val="hybridMultilevel"/>
    <w:tmpl w:val="0FBAC018"/>
    <w:lvl w:ilvl="0" w:tplc="FFFFFFFF">
      <w:start w:val="1"/>
      <w:numFmt w:val="lowerLetter"/>
      <w:lvlText w:val="%1)"/>
      <w:lvlJc w:val="left"/>
      <w:pPr>
        <w:ind w:left="720" w:hanging="360"/>
      </w:pPr>
      <w:rPr>
        <w:rFonts w:hint="default"/>
      </w:rPr>
    </w:lvl>
    <w:lvl w:ilvl="1" w:tplc="FFFFFFFF">
      <w:start w:val="1"/>
      <w:numFmt w:val="upperRoman"/>
      <w:lvlText w:val="(%2)."/>
      <w:lvlJc w:val="left"/>
      <w:pPr>
        <w:ind w:left="1440" w:hanging="360"/>
      </w:pPr>
      <w:rPr>
        <w:rFonts w:hint="default"/>
        <w:i w:val="0"/>
        <w:iCs w:val="0"/>
        <w:sz w:val="20"/>
        <w:szCs w:val="20"/>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0F711042"/>
    <w:multiLevelType w:val="multilevel"/>
    <w:tmpl w:val="289AEBFE"/>
    <w:numStyleLink w:val="Estilo2"/>
  </w:abstractNum>
  <w:abstractNum w:abstractNumId="84">
    <w:nsid w:val="0FA85CFC"/>
    <w:multiLevelType w:val="hybridMultilevel"/>
    <w:tmpl w:val="6DDAC28E"/>
    <w:lvl w:ilvl="0" w:tplc="7CAC4CE8">
      <w:start w:val="1"/>
      <w:numFmt w:val="lowerLetter"/>
      <w:lvlText w:val="%1)"/>
      <w:lvlJc w:val="left"/>
      <w:pPr>
        <w:ind w:left="567" w:hanging="567"/>
      </w:pPr>
      <w:rPr>
        <w:rFonts w:hint="default"/>
        <w:b w:val="0"/>
        <w:bCs/>
        <w:i w:val="0"/>
        <w:sz w:val="20"/>
        <w:szCs w:val="20"/>
      </w:rPr>
    </w:lvl>
    <w:lvl w:ilvl="1" w:tplc="FFFFFFFF">
      <w:start w:val="1"/>
      <w:numFmt w:val="lowerLetter"/>
      <w:lvlText w:val="%2)"/>
      <w:lvlJc w:val="left"/>
      <w:pPr>
        <w:ind w:left="708" w:hanging="567"/>
      </w:pPr>
      <w:rPr>
        <w:rFonts w:hint="default"/>
        <w:b w:val="0"/>
        <w:bCs/>
        <w:i w:val="0"/>
        <w:iCs w:val="0"/>
        <w:sz w:val="22"/>
        <w:szCs w:val="22"/>
      </w:rPr>
    </w:lvl>
    <w:lvl w:ilvl="2" w:tplc="FFFFFFFF">
      <w:start w:val="1"/>
      <w:numFmt w:val="lowerRoman"/>
      <w:lvlText w:val="(%3)"/>
      <w:lvlJc w:val="right"/>
      <w:pPr>
        <w:ind w:left="1332" w:hanging="170"/>
      </w:pPr>
      <w:rPr>
        <w:rFonts w:hint="default"/>
      </w:rPr>
    </w:lvl>
    <w:lvl w:ilvl="3" w:tplc="FFFFFFFF">
      <w:start w:val="1"/>
      <w:numFmt w:val="decimal"/>
      <w:lvlText w:val="%4."/>
      <w:lvlJc w:val="left"/>
      <w:pPr>
        <w:ind w:left="2094" w:hanging="360"/>
      </w:pPr>
    </w:lvl>
    <w:lvl w:ilvl="4" w:tplc="FFFFFFFF">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85">
    <w:nsid w:val="0FFD1888"/>
    <w:multiLevelType w:val="hybridMultilevel"/>
    <w:tmpl w:val="EA043DB6"/>
    <w:lvl w:ilvl="0" w:tplc="37B0C8C4">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B7CEFFBE">
      <w:start w:val="1"/>
      <w:numFmt w:val="lowerLetter"/>
      <w:lvlText w:val="%2"/>
      <w:lvlJc w:val="left"/>
      <w:pPr>
        <w:ind w:left="6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D7B03862">
      <w:start w:val="1"/>
      <w:numFmt w:val="lowerRoman"/>
      <w:lvlText w:val="%3"/>
      <w:lvlJc w:val="left"/>
      <w:pPr>
        <w:ind w:left="101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86C6F5CA">
      <w:start w:val="1"/>
      <w:numFmt w:val="decimal"/>
      <w:lvlText w:val="%4"/>
      <w:lvlJc w:val="left"/>
      <w:pPr>
        <w:ind w:left="133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746F1F8">
      <w:start w:val="1"/>
      <w:numFmt w:val="lowerRoman"/>
      <w:lvlRestart w:val="0"/>
      <w:lvlText w:val="(%5)"/>
      <w:lvlJc w:val="left"/>
      <w:pPr>
        <w:ind w:left="1676"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DE1ED524">
      <w:start w:val="1"/>
      <w:numFmt w:val="lowerRoman"/>
      <w:lvlText w:val="%6"/>
      <w:lvlJc w:val="left"/>
      <w:pPr>
        <w:ind w:left="23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828FBB0">
      <w:start w:val="1"/>
      <w:numFmt w:val="decimal"/>
      <w:lvlText w:val="%7"/>
      <w:lvlJc w:val="left"/>
      <w:pPr>
        <w:ind w:left="31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3C0FAC4">
      <w:start w:val="1"/>
      <w:numFmt w:val="lowerLetter"/>
      <w:lvlText w:val="%8"/>
      <w:lvlJc w:val="left"/>
      <w:pPr>
        <w:ind w:left="382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B456BE04">
      <w:start w:val="1"/>
      <w:numFmt w:val="lowerRoman"/>
      <w:lvlText w:val="%9"/>
      <w:lvlJc w:val="left"/>
      <w:pPr>
        <w:ind w:left="454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86">
    <w:nsid w:val="101D4A45"/>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104018A1"/>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104605F7"/>
    <w:multiLevelType w:val="hybridMultilevel"/>
    <w:tmpl w:val="77A8D67E"/>
    <w:lvl w:ilvl="0" w:tplc="3A007A5E">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10460CF9"/>
    <w:multiLevelType w:val="hybridMultilevel"/>
    <w:tmpl w:val="9BB4C0A2"/>
    <w:lvl w:ilvl="0" w:tplc="5B66B27C">
      <w:start w:val="1"/>
      <w:numFmt w:val="lowerRoman"/>
      <w:lvlText w:val="(%1)"/>
      <w:lvlJc w:val="right"/>
      <w:pPr>
        <w:ind w:left="2534" w:hanging="360"/>
      </w:pPr>
      <w:rPr>
        <w:rFonts w:hint="default"/>
        <w:b w:val="0"/>
        <w:bCs w:val="0"/>
        <w:sz w:val="20"/>
        <w:szCs w:val="20"/>
      </w:rPr>
    </w:lvl>
    <w:lvl w:ilvl="1" w:tplc="FFFFFFFF" w:tentative="1">
      <w:start w:val="1"/>
      <w:numFmt w:val="lowerLetter"/>
      <w:lvlText w:val="%2."/>
      <w:lvlJc w:val="left"/>
      <w:pPr>
        <w:ind w:left="3254" w:hanging="360"/>
      </w:pPr>
    </w:lvl>
    <w:lvl w:ilvl="2" w:tplc="FFFFFFFF" w:tentative="1">
      <w:start w:val="1"/>
      <w:numFmt w:val="lowerRoman"/>
      <w:lvlText w:val="%3."/>
      <w:lvlJc w:val="right"/>
      <w:pPr>
        <w:ind w:left="3974" w:hanging="180"/>
      </w:pPr>
    </w:lvl>
    <w:lvl w:ilvl="3" w:tplc="FFFFFFFF" w:tentative="1">
      <w:start w:val="1"/>
      <w:numFmt w:val="decimal"/>
      <w:lvlText w:val="%4."/>
      <w:lvlJc w:val="left"/>
      <w:pPr>
        <w:ind w:left="4694" w:hanging="360"/>
      </w:pPr>
    </w:lvl>
    <w:lvl w:ilvl="4" w:tplc="FFFFFFFF" w:tentative="1">
      <w:start w:val="1"/>
      <w:numFmt w:val="lowerLetter"/>
      <w:lvlText w:val="%5."/>
      <w:lvlJc w:val="left"/>
      <w:pPr>
        <w:ind w:left="5414" w:hanging="360"/>
      </w:pPr>
    </w:lvl>
    <w:lvl w:ilvl="5" w:tplc="FFFFFFFF" w:tentative="1">
      <w:start w:val="1"/>
      <w:numFmt w:val="lowerRoman"/>
      <w:lvlText w:val="%6."/>
      <w:lvlJc w:val="right"/>
      <w:pPr>
        <w:ind w:left="6134" w:hanging="180"/>
      </w:pPr>
    </w:lvl>
    <w:lvl w:ilvl="6" w:tplc="FFFFFFFF" w:tentative="1">
      <w:start w:val="1"/>
      <w:numFmt w:val="decimal"/>
      <w:lvlText w:val="%7."/>
      <w:lvlJc w:val="left"/>
      <w:pPr>
        <w:ind w:left="6854" w:hanging="360"/>
      </w:pPr>
    </w:lvl>
    <w:lvl w:ilvl="7" w:tplc="FFFFFFFF" w:tentative="1">
      <w:start w:val="1"/>
      <w:numFmt w:val="lowerLetter"/>
      <w:lvlText w:val="%8."/>
      <w:lvlJc w:val="left"/>
      <w:pPr>
        <w:ind w:left="7574" w:hanging="360"/>
      </w:pPr>
    </w:lvl>
    <w:lvl w:ilvl="8" w:tplc="FFFFFFFF" w:tentative="1">
      <w:start w:val="1"/>
      <w:numFmt w:val="lowerRoman"/>
      <w:lvlText w:val="%9."/>
      <w:lvlJc w:val="right"/>
      <w:pPr>
        <w:ind w:left="8294" w:hanging="180"/>
      </w:pPr>
    </w:lvl>
  </w:abstractNum>
  <w:abstractNum w:abstractNumId="90">
    <w:nsid w:val="107C1BDF"/>
    <w:multiLevelType w:val="hybridMultilevel"/>
    <w:tmpl w:val="C99AA8B0"/>
    <w:lvl w:ilvl="0" w:tplc="F450520A">
      <w:start w:val="1"/>
      <w:numFmt w:val="lowerLetter"/>
      <w:lvlText w:val="%1)"/>
      <w:lvlJc w:val="left"/>
      <w:pPr>
        <w:ind w:left="1134" w:hanging="567"/>
      </w:pPr>
      <w:rPr>
        <w:rFonts w:hint="default"/>
        <w:b w:val="0"/>
        <w:bCs/>
        <w:i w:val="0"/>
        <w:iCs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107F14EE"/>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92">
    <w:nsid w:val="10AE2730"/>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11410FB7"/>
    <w:multiLevelType w:val="hybridMultilevel"/>
    <w:tmpl w:val="1F8A6296"/>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nsid w:val="114B0FF6"/>
    <w:multiLevelType w:val="multilevel"/>
    <w:tmpl w:val="065C30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114F2595"/>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115F1F06"/>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97">
    <w:nsid w:val="1180094D"/>
    <w:multiLevelType w:val="multilevel"/>
    <w:tmpl w:val="FB7C48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11C6133D"/>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121307FC"/>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nsid w:val="121604A6"/>
    <w:multiLevelType w:val="hybridMultilevel"/>
    <w:tmpl w:val="F1BA24E4"/>
    <w:lvl w:ilvl="0" w:tplc="A7A267D2">
      <w:start w:val="1"/>
      <w:numFmt w:val="lowerRoman"/>
      <w:lvlRestart w:val="0"/>
      <w:lvlText w:val="(%1)"/>
      <w:lvlJc w:val="left"/>
      <w:pPr>
        <w:ind w:left="1753" w:firstLine="0"/>
      </w:pPr>
      <w:rPr>
        <w:rFonts w:ascii="Arial" w:eastAsiaTheme="minorHAnsi" w:hAnsi="Arial" w:cs="Arial"/>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1">
    <w:nsid w:val="126C6D3E"/>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13264CF0"/>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135C7484"/>
    <w:multiLevelType w:val="hybridMultilevel"/>
    <w:tmpl w:val="0F1E5ECC"/>
    <w:lvl w:ilvl="0" w:tplc="324258A6">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2F52D24E">
      <w:start w:val="1"/>
      <w:numFmt w:val="lowerLetter"/>
      <w:lvlText w:val="%2"/>
      <w:lvlJc w:val="left"/>
      <w:pPr>
        <w:ind w:left="67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B2502CBC">
      <w:start w:val="1"/>
      <w:numFmt w:val="lowerRoman"/>
      <w:lvlText w:val="%3"/>
      <w:lvlJc w:val="left"/>
      <w:pPr>
        <w:ind w:left="98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1A1606DE">
      <w:start w:val="1"/>
      <w:numFmt w:val="lowerLetter"/>
      <w:lvlRestart w:val="0"/>
      <w:lvlText w:val="%4)"/>
      <w:lvlJc w:val="left"/>
      <w:pPr>
        <w:ind w:left="125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1E0C2FB6">
      <w:start w:val="1"/>
      <w:numFmt w:val="lowerLetter"/>
      <w:lvlText w:val="%5"/>
      <w:lvlJc w:val="left"/>
      <w:pPr>
        <w:ind w:left="20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C250F124">
      <w:start w:val="1"/>
      <w:numFmt w:val="lowerRoman"/>
      <w:lvlText w:val="%6"/>
      <w:lvlJc w:val="left"/>
      <w:pPr>
        <w:ind w:left="27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842E5478">
      <w:start w:val="1"/>
      <w:numFmt w:val="decimal"/>
      <w:lvlText w:val="%7"/>
      <w:lvlJc w:val="left"/>
      <w:pPr>
        <w:ind w:left="34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3B8BAEE">
      <w:start w:val="1"/>
      <w:numFmt w:val="lowerLetter"/>
      <w:lvlText w:val="%8"/>
      <w:lvlJc w:val="left"/>
      <w:pPr>
        <w:ind w:left="41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EFD0C882">
      <w:start w:val="1"/>
      <w:numFmt w:val="lowerRoman"/>
      <w:lvlText w:val="%9"/>
      <w:lvlJc w:val="left"/>
      <w:pPr>
        <w:ind w:left="48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04">
    <w:nsid w:val="1368201E"/>
    <w:multiLevelType w:val="hybridMultilevel"/>
    <w:tmpl w:val="AB660218"/>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1398574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13BA6A8D"/>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13C102EF"/>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14814194"/>
    <w:multiLevelType w:val="hybridMultilevel"/>
    <w:tmpl w:val="268668D8"/>
    <w:lvl w:ilvl="0" w:tplc="FFFFFFFF">
      <w:start w:val="1"/>
      <w:numFmt w:val="lowerRoman"/>
      <w:lvlText w:val="(%1)"/>
      <w:lvlJc w:val="right"/>
      <w:pPr>
        <w:ind w:left="1928" w:hanging="170"/>
      </w:pPr>
      <w:rPr>
        <w:rFonts w:hint="default"/>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109">
    <w:nsid w:val="14A11D69"/>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10">
    <w:nsid w:val="14A7713E"/>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14D970AC"/>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150B0102"/>
    <w:multiLevelType w:val="hybridMultilevel"/>
    <w:tmpl w:val="56183572"/>
    <w:lvl w:ilvl="0" w:tplc="B650C092">
      <w:start w:val="1"/>
      <w:numFmt w:val="lowerLetter"/>
      <w:lvlText w:val="%1)"/>
      <w:lvlJc w:val="left"/>
      <w:pPr>
        <w:ind w:left="1647" w:hanging="567"/>
      </w:pPr>
      <w:rPr>
        <w:rFonts w:hint="default"/>
        <w:b w:val="0"/>
        <w:bCs/>
      </w:rPr>
    </w:lvl>
    <w:lvl w:ilvl="1" w:tplc="2C0A0019" w:tentative="1">
      <w:start w:val="1"/>
      <w:numFmt w:val="lowerLetter"/>
      <w:lvlText w:val="%2."/>
      <w:lvlJc w:val="left"/>
      <w:pPr>
        <w:ind w:left="1953" w:hanging="360"/>
      </w:pPr>
    </w:lvl>
    <w:lvl w:ilvl="2" w:tplc="2C0A001B" w:tentative="1">
      <w:start w:val="1"/>
      <w:numFmt w:val="lowerRoman"/>
      <w:lvlText w:val="%3."/>
      <w:lvlJc w:val="right"/>
      <w:pPr>
        <w:ind w:left="2673" w:hanging="180"/>
      </w:pPr>
    </w:lvl>
    <w:lvl w:ilvl="3" w:tplc="2C0A000F" w:tentative="1">
      <w:start w:val="1"/>
      <w:numFmt w:val="decimal"/>
      <w:lvlText w:val="%4."/>
      <w:lvlJc w:val="left"/>
      <w:pPr>
        <w:ind w:left="3393" w:hanging="360"/>
      </w:pPr>
    </w:lvl>
    <w:lvl w:ilvl="4" w:tplc="2C0A0019" w:tentative="1">
      <w:start w:val="1"/>
      <w:numFmt w:val="lowerLetter"/>
      <w:lvlText w:val="%5."/>
      <w:lvlJc w:val="left"/>
      <w:pPr>
        <w:ind w:left="4113" w:hanging="360"/>
      </w:pPr>
    </w:lvl>
    <w:lvl w:ilvl="5" w:tplc="2C0A001B" w:tentative="1">
      <w:start w:val="1"/>
      <w:numFmt w:val="lowerRoman"/>
      <w:lvlText w:val="%6."/>
      <w:lvlJc w:val="right"/>
      <w:pPr>
        <w:ind w:left="4833" w:hanging="180"/>
      </w:pPr>
    </w:lvl>
    <w:lvl w:ilvl="6" w:tplc="2C0A000F" w:tentative="1">
      <w:start w:val="1"/>
      <w:numFmt w:val="decimal"/>
      <w:lvlText w:val="%7."/>
      <w:lvlJc w:val="left"/>
      <w:pPr>
        <w:ind w:left="5553" w:hanging="360"/>
      </w:pPr>
    </w:lvl>
    <w:lvl w:ilvl="7" w:tplc="2C0A0019" w:tentative="1">
      <w:start w:val="1"/>
      <w:numFmt w:val="lowerLetter"/>
      <w:lvlText w:val="%8."/>
      <w:lvlJc w:val="left"/>
      <w:pPr>
        <w:ind w:left="6273" w:hanging="360"/>
      </w:pPr>
    </w:lvl>
    <w:lvl w:ilvl="8" w:tplc="2C0A001B" w:tentative="1">
      <w:start w:val="1"/>
      <w:numFmt w:val="lowerRoman"/>
      <w:lvlText w:val="%9."/>
      <w:lvlJc w:val="right"/>
      <w:pPr>
        <w:ind w:left="6993" w:hanging="180"/>
      </w:pPr>
    </w:lvl>
  </w:abstractNum>
  <w:abstractNum w:abstractNumId="113">
    <w:nsid w:val="15E7694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15F21383"/>
    <w:multiLevelType w:val="hybridMultilevel"/>
    <w:tmpl w:val="728A8878"/>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nsid w:val="17085556"/>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nsid w:val="170E34BA"/>
    <w:multiLevelType w:val="hybridMultilevel"/>
    <w:tmpl w:val="E90036C4"/>
    <w:lvl w:ilvl="0" w:tplc="FFFFFFFF">
      <w:start w:val="1"/>
      <w:numFmt w:val="decimal"/>
      <w:lvlText w:val="%1."/>
      <w:lvlJc w:val="lef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nsid w:val="173E5732"/>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18">
    <w:nsid w:val="17543275"/>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nsid w:val="184A05C5"/>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187C097A"/>
    <w:multiLevelType w:val="hybridMultilevel"/>
    <w:tmpl w:val="8960BC06"/>
    <w:lvl w:ilvl="0" w:tplc="BA222704">
      <w:start w:val="1"/>
      <w:numFmt w:val="upperRoman"/>
      <w:lvlText w:val="(%1)"/>
      <w:lvlJc w:val="right"/>
      <w:pPr>
        <w:ind w:left="2534" w:hanging="360"/>
      </w:pPr>
      <w:rPr>
        <w:rFonts w:hint="default"/>
        <w:b w:val="0"/>
        <w:bCs w:val="0"/>
        <w:sz w:val="20"/>
        <w:szCs w:val="20"/>
      </w:rPr>
    </w:lvl>
    <w:lvl w:ilvl="1" w:tplc="FFFFFFFF" w:tentative="1">
      <w:start w:val="1"/>
      <w:numFmt w:val="lowerLetter"/>
      <w:lvlText w:val="%2."/>
      <w:lvlJc w:val="left"/>
      <w:pPr>
        <w:ind w:left="3254" w:hanging="360"/>
      </w:pPr>
    </w:lvl>
    <w:lvl w:ilvl="2" w:tplc="FFFFFFFF" w:tentative="1">
      <w:start w:val="1"/>
      <w:numFmt w:val="lowerRoman"/>
      <w:lvlText w:val="%3."/>
      <w:lvlJc w:val="right"/>
      <w:pPr>
        <w:ind w:left="3974" w:hanging="180"/>
      </w:pPr>
    </w:lvl>
    <w:lvl w:ilvl="3" w:tplc="FFFFFFFF" w:tentative="1">
      <w:start w:val="1"/>
      <w:numFmt w:val="decimal"/>
      <w:lvlText w:val="%4."/>
      <w:lvlJc w:val="left"/>
      <w:pPr>
        <w:ind w:left="4694" w:hanging="360"/>
      </w:pPr>
    </w:lvl>
    <w:lvl w:ilvl="4" w:tplc="FFFFFFFF" w:tentative="1">
      <w:start w:val="1"/>
      <w:numFmt w:val="lowerLetter"/>
      <w:lvlText w:val="%5."/>
      <w:lvlJc w:val="left"/>
      <w:pPr>
        <w:ind w:left="5414" w:hanging="360"/>
      </w:pPr>
    </w:lvl>
    <w:lvl w:ilvl="5" w:tplc="FFFFFFFF" w:tentative="1">
      <w:start w:val="1"/>
      <w:numFmt w:val="lowerRoman"/>
      <w:lvlText w:val="%6."/>
      <w:lvlJc w:val="right"/>
      <w:pPr>
        <w:ind w:left="6134" w:hanging="180"/>
      </w:pPr>
    </w:lvl>
    <w:lvl w:ilvl="6" w:tplc="FFFFFFFF" w:tentative="1">
      <w:start w:val="1"/>
      <w:numFmt w:val="decimal"/>
      <w:lvlText w:val="%7."/>
      <w:lvlJc w:val="left"/>
      <w:pPr>
        <w:ind w:left="6854" w:hanging="360"/>
      </w:pPr>
    </w:lvl>
    <w:lvl w:ilvl="7" w:tplc="FFFFFFFF" w:tentative="1">
      <w:start w:val="1"/>
      <w:numFmt w:val="lowerLetter"/>
      <w:lvlText w:val="%8."/>
      <w:lvlJc w:val="left"/>
      <w:pPr>
        <w:ind w:left="7574" w:hanging="360"/>
      </w:pPr>
    </w:lvl>
    <w:lvl w:ilvl="8" w:tplc="FFFFFFFF" w:tentative="1">
      <w:start w:val="1"/>
      <w:numFmt w:val="lowerRoman"/>
      <w:lvlText w:val="%9."/>
      <w:lvlJc w:val="right"/>
      <w:pPr>
        <w:ind w:left="8294" w:hanging="180"/>
      </w:pPr>
    </w:lvl>
  </w:abstractNum>
  <w:abstractNum w:abstractNumId="121">
    <w:nsid w:val="189535EE"/>
    <w:multiLevelType w:val="hybridMultilevel"/>
    <w:tmpl w:val="4AF61CA0"/>
    <w:lvl w:ilvl="0" w:tplc="FFFFFFFF">
      <w:start w:val="1"/>
      <w:numFmt w:val="lowerLetter"/>
      <w:lvlText w:val="%1)"/>
      <w:lvlJc w:val="left"/>
      <w:pPr>
        <w:ind w:left="4820" w:hanging="567"/>
      </w:pPr>
      <w:rPr>
        <w:rFonts w:hint="default"/>
        <w:b w:val="0"/>
        <w:bCs/>
      </w:rPr>
    </w:lvl>
    <w:lvl w:ilvl="1" w:tplc="FFFFFFFF">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122">
    <w:nsid w:val="18AD4C8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18AE0C9C"/>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18CB6440"/>
    <w:multiLevelType w:val="hybridMultilevel"/>
    <w:tmpl w:val="574C8848"/>
    <w:lvl w:ilvl="0" w:tplc="2C0A0017">
      <w:start w:val="1"/>
      <w:numFmt w:val="lowerLetter"/>
      <w:lvlText w:val="%1)"/>
      <w:lvlJc w:val="left"/>
      <w:pPr>
        <w:ind w:left="927" w:hanging="360"/>
      </w:pPr>
    </w:lvl>
    <w:lvl w:ilvl="1" w:tplc="2C0A0019">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25">
    <w:nsid w:val="18EA002A"/>
    <w:multiLevelType w:val="hybridMultilevel"/>
    <w:tmpl w:val="DFA8B7A8"/>
    <w:lvl w:ilvl="0" w:tplc="5B66B27C">
      <w:start w:val="1"/>
      <w:numFmt w:val="lowerRoman"/>
      <w:lvlText w:val="(%1)"/>
      <w:lvlJc w:val="right"/>
      <w:pPr>
        <w:ind w:left="1872" w:firstLine="0"/>
      </w:pPr>
      <w:rPr>
        <w:rFonts w:hint="default"/>
        <w:b w:val="0"/>
        <w:i w:val="0"/>
        <w:strike w:val="0"/>
        <w:dstrike w:val="0"/>
        <w:color w:val="000000"/>
        <w:sz w:val="19"/>
        <w:szCs w:val="19"/>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nsid w:val="190B0071"/>
    <w:multiLevelType w:val="hybridMultilevel"/>
    <w:tmpl w:val="AB660218"/>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nsid w:val="191165D5"/>
    <w:multiLevelType w:val="hybridMultilevel"/>
    <w:tmpl w:val="DA626D76"/>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19201C73"/>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195C047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30">
    <w:nsid w:val="19812AB0"/>
    <w:multiLevelType w:val="hybridMultilevel"/>
    <w:tmpl w:val="AB660218"/>
    <w:lvl w:ilvl="0" w:tplc="FFFFFFFF">
      <w:start w:val="1"/>
      <w:numFmt w:val="lowerRoman"/>
      <w:lvlText w:val="(%1)"/>
      <w:lvlJc w:val="right"/>
      <w:pPr>
        <w:ind w:left="2155" w:hanging="170"/>
      </w:pPr>
      <w:rPr>
        <w:rFonts w:hint="default"/>
      </w:rPr>
    </w:lvl>
    <w:lvl w:ilvl="1" w:tplc="FFFFFFFF">
      <w:start w:val="1"/>
      <w:numFmt w:val="lowerLetter"/>
      <w:lvlText w:val="%2."/>
      <w:lvlJc w:val="left"/>
      <w:pPr>
        <w:ind w:left="1837" w:hanging="360"/>
      </w:pPr>
    </w:lvl>
    <w:lvl w:ilvl="2" w:tplc="FFFFFFFF">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31">
    <w:nsid w:val="198F3A70"/>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19A212E5"/>
    <w:multiLevelType w:val="hybridMultilevel"/>
    <w:tmpl w:val="252C80B0"/>
    <w:lvl w:ilvl="0" w:tplc="804A3746">
      <w:start w:val="1"/>
      <w:numFmt w:val="lowerRoman"/>
      <w:lvlText w:val="(%1)"/>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3">
    <w:nsid w:val="1A0B42F4"/>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1A5A23D2"/>
    <w:multiLevelType w:val="hybridMultilevel"/>
    <w:tmpl w:val="4AF61CA0"/>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nsid w:val="1A6F3770"/>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nsid w:val="1A7D65F5"/>
    <w:multiLevelType w:val="hybridMultilevel"/>
    <w:tmpl w:val="A70892C2"/>
    <w:lvl w:ilvl="0" w:tplc="07AC97BA">
      <w:start w:val="994"/>
      <w:numFmt w:val="decimal"/>
      <w:lvlText w:val="%1."/>
      <w:lvlJc w:val="left"/>
      <w:pPr>
        <w:ind w:left="1334" w:firstLine="0"/>
      </w:pPr>
      <w:rPr>
        <w:rFonts w:ascii="Arial" w:eastAsia="Times New Roman" w:hAnsi="Arial" w:cs="Arial" w:hint="default"/>
        <w:b w:val="0"/>
        <w:i w:val="0"/>
        <w:strike w:val="0"/>
        <w:dstrike w:val="0"/>
        <w:color w:val="211E1E"/>
        <w:sz w:val="20"/>
        <w:szCs w:val="20"/>
        <w:u w:val="none" w:color="000000"/>
        <w:effect w:val="none"/>
        <w:vertAlign w:val="baseline"/>
      </w:rPr>
    </w:lvl>
    <w:lvl w:ilvl="1" w:tplc="2C0A0017">
      <w:start w:val="1"/>
      <w:numFmt w:val="lowerLetter"/>
      <w:lvlText w:val="%2)"/>
      <w:lvlJc w:val="left"/>
      <w:pPr>
        <w:ind w:left="720" w:hanging="360"/>
      </w:pPr>
    </w:lvl>
    <w:lvl w:ilvl="2" w:tplc="5B66B27C">
      <w:start w:val="1"/>
      <w:numFmt w:val="lowerRoman"/>
      <w:lvlText w:val="(%3)"/>
      <w:lvlJc w:val="right"/>
      <w:pPr>
        <w:ind w:left="2232" w:hanging="360"/>
      </w:pPr>
      <w:rPr>
        <w:rFonts w:hint="default"/>
      </w:r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7">
    <w:nsid w:val="1A7E7FC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1A933CB1"/>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nsid w:val="1AC951A1"/>
    <w:multiLevelType w:val="hybridMultilevel"/>
    <w:tmpl w:val="6DDCFDB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1B0A0155"/>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1">
    <w:nsid w:val="1B9F60DB"/>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2">
    <w:nsid w:val="1BA36B8A"/>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3">
    <w:nsid w:val="1BE00A0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1BEA29A8"/>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1C8D7CA1"/>
    <w:multiLevelType w:val="hybridMultilevel"/>
    <w:tmpl w:val="020CF128"/>
    <w:lvl w:ilvl="0" w:tplc="3F2C0E3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6">
    <w:nsid w:val="1CA77B76"/>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7">
    <w:nsid w:val="1CB7529E"/>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nsid w:val="1CD83E47"/>
    <w:multiLevelType w:val="hybridMultilevel"/>
    <w:tmpl w:val="94C831B0"/>
    <w:lvl w:ilvl="0" w:tplc="FFFFFFFF">
      <w:start w:val="1"/>
      <w:numFmt w:val="lowerLetter"/>
      <w:lvlText w:val="%1)"/>
      <w:lvlJc w:val="left"/>
      <w:pPr>
        <w:ind w:left="720" w:hanging="360"/>
      </w:pPr>
    </w:lvl>
    <w:lvl w:ilvl="1" w:tplc="5B66B27C">
      <w:start w:val="1"/>
      <w:numFmt w:val="lowerRoman"/>
      <w:lvlText w:val="(%2)"/>
      <w:lvlJc w:val="right"/>
      <w:pPr>
        <w:ind w:left="2083"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nsid w:val="1D0914FF"/>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50">
    <w:nsid w:val="1D1B4524"/>
    <w:multiLevelType w:val="multilevel"/>
    <w:tmpl w:val="3D8A59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nsid w:val="1D270E4A"/>
    <w:multiLevelType w:val="hybridMultilevel"/>
    <w:tmpl w:val="7BC247C0"/>
    <w:lvl w:ilvl="0" w:tplc="5B66B27C">
      <w:start w:val="1"/>
      <w:numFmt w:val="lowerRoman"/>
      <w:lvlText w:val="(%1)"/>
      <w:lvlJc w:val="right"/>
      <w:pPr>
        <w:ind w:left="1872" w:firstLine="0"/>
      </w:pPr>
      <w:rPr>
        <w:rFonts w:hint="default"/>
        <w:b w:val="0"/>
        <w:i w:val="0"/>
        <w:strike w:val="0"/>
        <w:dstrike w:val="0"/>
        <w:color w:val="000000"/>
        <w:sz w:val="19"/>
        <w:szCs w:val="19"/>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1D545E35"/>
    <w:multiLevelType w:val="hybridMultilevel"/>
    <w:tmpl w:val="05FA80BA"/>
    <w:lvl w:ilvl="0" w:tplc="FFFFFFFF">
      <w:start w:val="1"/>
      <w:numFmt w:val="lowerLetter"/>
      <w:lvlText w:val="%1)"/>
      <w:lvlJc w:val="left"/>
      <w:pPr>
        <w:ind w:left="720" w:hanging="360"/>
      </w:pPr>
      <w:rPr>
        <w:rFonts w:hint="default"/>
      </w:rPr>
    </w:lvl>
    <w:lvl w:ilvl="1" w:tplc="5B66B27C">
      <w:start w:val="1"/>
      <w:numFmt w:val="lowerRoman"/>
      <w:lvlText w:val="(%2)"/>
      <w:lvlJc w:val="right"/>
      <w:pPr>
        <w:ind w:left="2083" w:hanging="360"/>
      </w:pPr>
      <w:rPr>
        <w:rFonts w:hint="default"/>
      </w:rPr>
    </w:lvl>
    <w:lvl w:ilvl="2" w:tplc="2C0A000F">
      <w:start w:val="1"/>
      <w:numFmt w:val="decimal"/>
      <w:lvlText w:val="%3."/>
      <w:lvlJc w:val="left"/>
      <w:pPr>
        <w:ind w:left="14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nsid w:val="1D5B71E1"/>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54">
    <w:nsid w:val="1D7678B0"/>
    <w:multiLevelType w:val="hybridMultilevel"/>
    <w:tmpl w:val="A1FE3A3A"/>
    <w:lvl w:ilvl="0" w:tplc="2CFC40DA">
      <w:start w:val="3"/>
      <w:numFmt w:val="lowerLetter"/>
      <w:lvlText w:val="%1)"/>
      <w:lvlJc w:val="left"/>
      <w:pPr>
        <w:ind w:left="1134" w:hanging="567"/>
      </w:pPr>
      <w:rPr>
        <w:rFonts w:hint="default"/>
        <w:b w:val="0"/>
        <w:bCs/>
        <w:i w:val="0"/>
        <w:iCs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5">
    <w:nsid w:val="1D8A6EBB"/>
    <w:multiLevelType w:val="hybridMultilevel"/>
    <w:tmpl w:val="9FFE648A"/>
    <w:lvl w:ilvl="0" w:tplc="FFFFFFFF">
      <w:start w:val="1"/>
      <w:numFmt w:val="lowerLetter"/>
      <w:lvlRestart w:val="0"/>
      <w:lvlText w:val="%1)"/>
      <w:lvlJc w:val="left"/>
      <w:pPr>
        <w:ind w:left="2019" w:firstLine="0"/>
      </w:pPr>
      <w:rPr>
        <w:rFonts w:ascii="Arial" w:eastAsia="Times New Roman" w:hAnsi="Arial" w:cs="Arial" w:hint="default"/>
        <w:b w:val="0"/>
        <w:i w:val="0"/>
        <w:strike w:val="0"/>
        <w:dstrike w:val="0"/>
        <w:color w:val="000000"/>
        <w:sz w:val="20"/>
        <w:szCs w:val="20"/>
        <w:u w:val="none" w:color="000000"/>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1DCB2979"/>
    <w:multiLevelType w:val="hybridMultilevel"/>
    <w:tmpl w:val="BF9EB3E4"/>
    <w:lvl w:ilvl="0" w:tplc="C35C16EC">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1DFD3908"/>
    <w:multiLevelType w:val="multilevel"/>
    <w:tmpl w:val="A81006EE"/>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1E01500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1E7B1E90"/>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1E7E7C43"/>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1E8638C1"/>
    <w:multiLevelType w:val="hybridMultilevel"/>
    <w:tmpl w:val="10F85E10"/>
    <w:lvl w:ilvl="0" w:tplc="2A627618">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62">
    <w:nsid w:val="1F1E0477"/>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nsid w:val="1F326B13"/>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nsid w:val="1F7A3474"/>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1FD55F7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66">
    <w:nsid w:val="1FE83D6F"/>
    <w:multiLevelType w:val="hybridMultilevel"/>
    <w:tmpl w:val="AB660218"/>
    <w:lvl w:ilvl="0" w:tplc="FFFFFFFF">
      <w:start w:val="1"/>
      <w:numFmt w:val="lowerRoman"/>
      <w:lvlText w:val="(%1)"/>
      <w:lvlJc w:val="right"/>
      <w:pPr>
        <w:ind w:left="2155" w:hanging="170"/>
      </w:pPr>
      <w:rPr>
        <w:rFonts w:hint="default"/>
      </w:rPr>
    </w:lvl>
    <w:lvl w:ilvl="1" w:tplc="FFFFFFFF">
      <w:start w:val="1"/>
      <w:numFmt w:val="lowerLetter"/>
      <w:lvlText w:val="%2."/>
      <w:lvlJc w:val="left"/>
      <w:pPr>
        <w:ind w:left="1837" w:hanging="360"/>
      </w:pPr>
    </w:lvl>
    <w:lvl w:ilvl="2" w:tplc="FFFFFFFF">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67">
    <w:nsid w:val="20063AD6"/>
    <w:multiLevelType w:val="hybridMultilevel"/>
    <w:tmpl w:val="9070A95C"/>
    <w:lvl w:ilvl="0" w:tplc="FFFFFFFF">
      <w:start w:val="1"/>
      <w:numFmt w:val="lowerLetter"/>
      <w:lvlText w:val="%1)"/>
      <w:lvlJc w:val="left"/>
      <w:pPr>
        <w:ind w:left="1134" w:hanging="567"/>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20454027"/>
    <w:multiLevelType w:val="hybridMultilevel"/>
    <w:tmpl w:val="91DADD6A"/>
    <w:lvl w:ilvl="0" w:tplc="FFFFFFFF">
      <w:start w:val="1"/>
      <w:numFmt w:val="lowerLetter"/>
      <w:lvlText w:val="%1)"/>
      <w:lvlJc w:val="left"/>
      <w:pPr>
        <w:ind w:left="1812" w:hanging="360"/>
      </w:pPr>
    </w:lvl>
    <w:lvl w:ilvl="1" w:tplc="2C0A0019" w:tentative="1">
      <w:start w:val="1"/>
      <w:numFmt w:val="lowerLetter"/>
      <w:lvlText w:val="%2."/>
      <w:lvlJc w:val="left"/>
      <w:pPr>
        <w:ind w:left="1540" w:hanging="360"/>
      </w:pPr>
    </w:lvl>
    <w:lvl w:ilvl="2" w:tplc="2C0A001B" w:tentative="1">
      <w:start w:val="1"/>
      <w:numFmt w:val="lowerRoman"/>
      <w:lvlText w:val="%3."/>
      <w:lvlJc w:val="right"/>
      <w:pPr>
        <w:ind w:left="2260" w:hanging="180"/>
      </w:pPr>
    </w:lvl>
    <w:lvl w:ilvl="3" w:tplc="2C0A000F" w:tentative="1">
      <w:start w:val="1"/>
      <w:numFmt w:val="decimal"/>
      <w:lvlText w:val="%4."/>
      <w:lvlJc w:val="left"/>
      <w:pPr>
        <w:ind w:left="2980" w:hanging="360"/>
      </w:pPr>
    </w:lvl>
    <w:lvl w:ilvl="4" w:tplc="2C0A0019" w:tentative="1">
      <w:start w:val="1"/>
      <w:numFmt w:val="lowerLetter"/>
      <w:lvlText w:val="%5."/>
      <w:lvlJc w:val="left"/>
      <w:pPr>
        <w:ind w:left="3700" w:hanging="360"/>
      </w:pPr>
    </w:lvl>
    <w:lvl w:ilvl="5" w:tplc="2C0A001B" w:tentative="1">
      <w:start w:val="1"/>
      <w:numFmt w:val="lowerRoman"/>
      <w:lvlText w:val="%6."/>
      <w:lvlJc w:val="right"/>
      <w:pPr>
        <w:ind w:left="4420" w:hanging="180"/>
      </w:pPr>
    </w:lvl>
    <w:lvl w:ilvl="6" w:tplc="2C0A000F" w:tentative="1">
      <w:start w:val="1"/>
      <w:numFmt w:val="decimal"/>
      <w:lvlText w:val="%7."/>
      <w:lvlJc w:val="left"/>
      <w:pPr>
        <w:ind w:left="5140" w:hanging="360"/>
      </w:pPr>
    </w:lvl>
    <w:lvl w:ilvl="7" w:tplc="2C0A0019" w:tentative="1">
      <w:start w:val="1"/>
      <w:numFmt w:val="lowerLetter"/>
      <w:lvlText w:val="%8."/>
      <w:lvlJc w:val="left"/>
      <w:pPr>
        <w:ind w:left="5860" w:hanging="360"/>
      </w:pPr>
    </w:lvl>
    <w:lvl w:ilvl="8" w:tplc="2C0A001B" w:tentative="1">
      <w:start w:val="1"/>
      <w:numFmt w:val="lowerRoman"/>
      <w:lvlText w:val="%9."/>
      <w:lvlJc w:val="right"/>
      <w:pPr>
        <w:ind w:left="6580" w:hanging="180"/>
      </w:pPr>
    </w:lvl>
  </w:abstractNum>
  <w:abstractNum w:abstractNumId="169">
    <w:nsid w:val="204F2A14"/>
    <w:multiLevelType w:val="hybridMultilevel"/>
    <w:tmpl w:val="6DDCFDB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nsid w:val="20574EAA"/>
    <w:multiLevelType w:val="hybridMultilevel"/>
    <w:tmpl w:val="ABF2FE44"/>
    <w:lvl w:ilvl="0" w:tplc="FFFFFFFF">
      <w:start w:val="1"/>
      <w:numFmt w:val="lowerRoman"/>
      <w:lvlText w:val="(%1)"/>
      <w:lvlJc w:val="right"/>
      <w:pPr>
        <w:ind w:left="2270" w:hanging="170"/>
      </w:pPr>
      <w:rPr>
        <w:rFonts w:hint="default"/>
      </w:rPr>
    </w:lvl>
    <w:lvl w:ilvl="1" w:tplc="FFFFFFFF" w:tentative="1">
      <w:start w:val="1"/>
      <w:numFmt w:val="lowerLetter"/>
      <w:lvlText w:val="%2."/>
      <w:lvlJc w:val="left"/>
      <w:pPr>
        <w:ind w:left="1952" w:hanging="360"/>
      </w:pPr>
    </w:lvl>
    <w:lvl w:ilvl="2" w:tplc="FFFFFFFF" w:tentative="1">
      <w:start w:val="1"/>
      <w:numFmt w:val="lowerRoman"/>
      <w:lvlText w:val="%3."/>
      <w:lvlJc w:val="right"/>
      <w:pPr>
        <w:ind w:left="2672" w:hanging="180"/>
      </w:pPr>
    </w:lvl>
    <w:lvl w:ilvl="3" w:tplc="FFFFFFFF" w:tentative="1">
      <w:start w:val="1"/>
      <w:numFmt w:val="decimal"/>
      <w:lvlText w:val="%4."/>
      <w:lvlJc w:val="left"/>
      <w:pPr>
        <w:ind w:left="3392" w:hanging="360"/>
      </w:pPr>
    </w:lvl>
    <w:lvl w:ilvl="4" w:tplc="FFFFFFFF" w:tentative="1">
      <w:start w:val="1"/>
      <w:numFmt w:val="lowerLetter"/>
      <w:lvlText w:val="%5."/>
      <w:lvlJc w:val="left"/>
      <w:pPr>
        <w:ind w:left="4112" w:hanging="360"/>
      </w:pPr>
    </w:lvl>
    <w:lvl w:ilvl="5" w:tplc="FFFFFFFF" w:tentative="1">
      <w:start w:val="1"/>
      <w:numFmt w:val="lowerRoman"/>
      <w:lvlText w:val="%6."/>
      <w:lvlJc w:val="right"/>
      <w:pPr>
        <w:ind w:left="4832" w:hanging="180"/>
      </w:pPr>
    </w:lvl>
    <w:lvl w:ilvl="6" w:tplc="FFFFFFFF" w:tentative="1">
      <w:start w:val="1"/>
      <w:numFmt w:val="decimal"/>
      <w:lvlText w:val="%7."/>
      <w:lvlJc w:val="left"/>
      <w:pPr>
        <w:ind w:left="5552" w:hanging="360"/>
      </w:pPr>
    </w:lvl>
    <w:lvl w:ilvl="7" w:tplc="FFFFFFFF" w:tentative="1">
      <w:start w:val="1"/>
      <w:numFmt w:val="lowerLetter"/>
      <w:lvlText w:val="%8."/>
      <w:lvlJc w:val="left"/>
      <w:pPr>
        <w:ind w:left="6272" w:hanging="360"/>
      </w:pPr>
    </w:lvl>
    <w:lvl w:ilvl="8" w:tplc="FFFFFFFF" w:tentative="1">
      <w:start w:val="1"/>
      <w:numFmt w:val="lowerRoman"/>
      <w:lvlText w:val="%9."/>
      <w:lvlJc w:val="right"/>
      <w:pPr>
        <w:ind w:left="6992" w:hanging="180"/>
      </w:pPr>
    </w:lvl>
  </w:abstractNum>
  <w:abstractNum w:abstractNumId="171">
    <w:nsid w:val="20C9777D"/>
    <w:multiLevelType w:val="hybridMultilevel"/>
    <w:tmpl w:val="3B569FAA"/>
    <w:lvl w:ilvl="0" w:tplc="FFFFFFFF">
      <w:start w:val="1"/>
      <w:numFmt w:val="lowerLetter"/>
      <w:lvlText w:val="%1)"/>
      <w:lvlJc w:val="left"/>
      <w:pPr>
        <w:ind w:left="720" w:hanging="360"/>
      </w:pPr>
      <w:rPr>
        <w:rFonts w:ascii="Arial" w:hAnsi="Arial" w:hint="default"/>
        <w:b w:val="0"/>
        <w:i w:val="0"/>
        <w:w w:val="103"/>
        <w:sz w:val="22"/>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nsid w:val="20CC5DA6"/>
    <w:multiLevelType w:val="hybridMultilevel"/>
    <w:tmpl w:val="2FDC9518"/>
    <w:lvl w:ilvl="0" w:tplc="2C0A000F">
      <w:start w:val="1"/>
      <w:numFmt w:val="decimal"/>
      <w:lvlText w:val="%1."/>
      <w:lvlJc w:val="left"/>
      <w:pPr>
        <w:ind w:left="25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20CF4C0E"/>
    <w:multiLevelType w:val="hybridMultilevel"/>
    <w:tmpl w:val="0B32BF46"/>
    <w:lvl w:ilvl="0" w:tplc="FFFFFFFF">
      <w:start w:val="1"/>
      <w:numFmt w:val="lowerLetter"/>
      <w:lvlText w:val="%1)"/>
      <w:lvlJc w:val="left"/>
      <w:pPr>
        <w:ind w:left="1778" w:hanging="360"/>
      </w:pPr>
      <w:rPr>
        <w:rFonts w:hint="default"/>
        <w:b w:val="0"/>
        <w:i w:val="0"/>
        <w:strike w:val="0"/>
        <w:dstrike w:val="0"/>
        <w:color w:val="000000"/>
        <w:sz w:val="20"/>
        <w:szCs w:val="20"/>
        <w:u w:val="none" w:color="000000"/>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nsid w:val="210D207C"/>
    <w:multiLevelType w:val="multilevel"/>
    <w:tmpl w:val="FB7C48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nsid w:val="21795D44"/>
    <w:multiLevelType w:val="hybridMultilevel"/>
    <w:tmpl w:val="ABF2FE44"/>
    <w:lvl w:ilvl="0" w:tplc="FFFFFFFF">
      <w:start w:val="1"/>
      <w:numFmt w:val="lowerRoman"/>
      <w:lvlText w:val="(%1)"/>
      <w:lvlJc w:val="right"/>
      <w:pPr>
        <w:ind w:left="1985" w:hanging="170"/>
      </w:pPr>
      <w:rPr>
        <w:rFonts w:hint="default"/>
      </w:r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176">
    <w:nsid w:val="21934C20"/>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nsid w:val="21CE1E55"/>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nsid w:val="21D47A9D"/>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79">
    <w:nsid w:val="21EF064D"/>
    <w:multiLevelType w:val="hybridMultilevel"/>
    <w:tmpl w:val="3D3EF362"/>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222177A6"/>
    <w:multiLevelType w:val="hybridMultilevel"/>
    <w:tmpl w:val="B56A13BA"/>
    <w:lvl w:ilvl="0" w:tplc="6BDA1B10">
      <w:start w:val="1"/>
      <w:numFmt w:val="lowerLetter"/>
      <w:lvlText w:val="%1)"/>
      <w:lvlJc w:val="left"/>
      <w:pPr>
        <w:ind w:left="937" w:firstLine="0"/>
      </w:pPr>
      <w:rPr>
        <w:rFonts w:ascii="Arial" w:hAnsi="Arial" w:hint="default"/>
        <w:b w:val="0"/>
        <w:i w:val="0"/>
        <w:strike w:val="0"/>
        <w:dstrike w:val="0"/>
        <w:color w:val="000000"/>
        <w:w w:val="103"/>
        <w:sz w:val="20"/>
        <w:szCs w:val="20"/>
        <w:u w:val="none" w:color="000000"/>
        <w:effect w:val="none"/>
        <w:bdr w:val="none" w:sz="0" w:space="0" w:color="auto" w:frame="1"/>
        <w:vertAlign w:val="baseline"/>
      </w:rPr>
    </w:lvl>
    <w:lvl w:ilvl="1" w:tplc="FFFFFFFF">
      <w:start w:val="1"/>
      <w:numFmt w:val="lowerLetter"/>
      <w:lvlText w:val="%2)"/>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FFFFFFFF">
      <w:start w:val="1"/>
      <w:numFmt w:val="lowerRoman"/>
      <w:lvlText w:val="%3"/>
      <w:lvlJc w:val="left"/>
      <w:pPr>
        <w:ind w:left="161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FFFFFFFF">
      <w:start w:val="1"/>
      <w:numFmt w:val="decimal"/>
      <w:lvlText w:val="%4"/>
      <w:lvlJc w:val="left"/>
      <w:pPr>
        <w:ind w:left="233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FFFFFFF">
      <w:start w:val="1"/>
      <w:numFmt w:val="lowerLetter"/>
      <w:lvlText w:val="%5"/>
      <w:lvlJc w:val="left"/>
      <w:pPr>
        <w:ind w:left="305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FFFFFFF">
      <w:start w:val="1"/>
      <w:numFmt w:val="lowerRoman"/>
      <w:lvlText w:val="%6"/>
      <w:lvlJc w:val="left"/>
      <w:pPr>
        <w:ind w:left="377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FFFFFFFF">
      <w:start w:val="1"/>
      <w:numFmt w:val="decimal"/>
      <w:lvlText w:val="%7"/>
      <w:lvlJc w:val="left"/>
      <w:pPr>
        <w:ind w:left="449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FFFFFFF">
      <w:start w:val="1"/>
      <w:numFmt w:val="lowerLetter"/>
      <w:lvlText w:val="%8"/>
      <w:lvlJc w:val="left"/>
      <w:pPr>
        <w:ind w:left="521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FFFFFFF">
      <w:start w:val="1"/>
      <w:numFmt w:val="lowerRoman"/>
      <w:lvlText w:val="%9"/>
      <w:lvlJc w:val="left"/>
      <w:pPr>
        <w:ind w:left="593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81">
    <w:nsid w:val="223D3623"/>
    <w:multiLevelType w:val="hybridMultilevel"/>
    <w:tmpl w:val="34842FBE"/>
    <w:lvl w:ilvl="0" w:tplc="A47A8FBA">
      <w:start w:val="1"/>
      <w:numFmt w:val="lowerLetter"/>
      <w:lvlText w:val="%1)"/>
      <w:lvlJc w:val="left"/>
      <w:pPr>
        <w:ind w:left="1694" w:hanging="360"/>
      </w:pPr>
      <w:rPr>
        <w:rFonts w:hint="default"/>
      </w:rPr>
    </w:lvl>
    <w:lvl w:ilvl="1" w:tplc="2C0A0019" w:tentative="1">
      <w:start w:val="1"/>
      <w:numFmt w:val="lowerLetter"/>
      <w:lvlText w:val="%2."/>
      <w:lvlJc w:val="left"/>
      <w:pPr>
        <w:ind w:left="2414" w:hanging="360"/>
      </w:pPr>
    </w:lvl>
    <w:lvl w:ilvl="2" w:tplc="2C0A001B" w:tentative="1">
      <w:start w:val="1"/>
      <w:numFmt w:val="lowerRoman"/>
      <w:lvlText w:val="%3."/>
      <w:lvlJc w:val="right"/>
      <w:pPr>
        <w:ind w:left="3134" w:hanging="180"/>
      </w:pPr>
    </w:lvl>
    <w:lvl w:ilvl="3" w:tplc="2C0A000F" w:tentative="1">
      <w:start w:val="1"/>
      <w:numFmt w:val="decimal"/>
      <w:lvlText w:val="%4."/>
      <w:lvlJc w:val="left"/>
      <w:pPr>
        <w:ind w:left="3854" w:hanging="360"/>
      </w:pPr>
    </w:lvl>
    <w:lvl w:ilvl="4" w:tplc="2C0A0019" w:tentative="1">
      <w:start w:val="1"/>
      <w:numFmt w:val="lowerLetter"/>
      <w:lvlText w:val="%5."/>
      <w:lvlJc w:val="left"/>
      <w:pPr>
        <w:ind w:left="4574" w:hanging="360"/>
      </w:pPr>
    </w:lvl>
    <w:lvl w:ilvl="5" w:tplc="2C0A001B" w:tentative="1">
      <w:start w:val="1"/>
      <w:numFmt w:val="lowerRoman"/>
      <w:lvlText w:val="%6."/>
      <w:lvlJc w:val="right"/>
      <w:pPr>
        <w:ind w:left="5294" w:hanging="180"/>
      </w:pPr>
    </w:lvl>
    <w:lvl w:ilvl="6" w:tplc="2C0A000F" w:tentative="1">
      <w:start w:val="1"/>
      <w:numFmt w:val="decimal"/>
      <w:lvlText w:val="%7."/>
      <w:lvlJc w:val="left"/>
      <w:pPr>
        <w:ind w:left="6014" w:hanging="360"/>
      </w:pPr>
    </w:lvl>
    <w:lvl w:ilvl="7" w:tplc="2C0A0019" w:tentative="1">
      <w:start w:val="1"/>
      <w:numFmt w:val="lowerLetter"/>
      <w:lvlText w:val="%8."/>
      <w:lvlJc w:val="left"/>
      <w:pPr>
        <w:ind w:left="6734" w:hanging="360"/>
      </w:pPr>
    </w:lvl>
    <w:lvl w:ilvl="8" w:tplc="2C0A001B" w:tentative="1">
      <w:start w:val="1"/>
      <w:numFmt w:val="lowerRoman"/>
      <w:lvlText w:val="%9."/>
      <w:lvlJc w:val="right"/>
      <w:pPr>
        <w:ind w:left="7454" w:hanging="180"/>
      </w:pPr>
    </w:lvl>
  </w:abstractNum>
  <w:abstractNum w:abstractNumId="182">
    <w:nsid w:val="227E063A"/>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nsid w:val="22A37C2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84">
    <w:nsid w:val="23122ED3"/>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nsid w:val="233D215D"/>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234B1BD4"/>
    <w:multiLevelType w:val="hybridMultilevel"/>
    <w:tmpl w:val="4AF61CA0"/>
    <w:lvl w:ilvl="0" w:tplc="FFFFFFFF">
      <w:start w:val="1"/>
      <w:numFmt w:val="lowerLetter"/>
      <w:lvlText w:val="%1)"/>
      <w:lvlJc w:val="left"/>
      <w:pPr>
        <w:ind w:left="1560" w:hanging="567"/>
      </w:pPr>
      <w:rPr>
        <w:rFonts w:hint="default"/>
        <w:b w:val="0"/>
        <w:bCs/>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7">
    <w:nsid w:val="23DF4892"/>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240F0C2D"/>
    <w:multiLevelType w:val="hybridMultilevel"/>
    <w:tmpl w:val="97A2989A"/>
    <w:lvl w:ilvl="0" w:tplc="3CBED572">
      <w:start w:val="1"/>
      <w:numFmt w:val="lowerLetter"/>
      <w:lvlText w:val="%1)"/>
      <w:lvlJc w:val="left"/>
      <w:pPr>
        <w:ind w:left="1134" w:hanging="567"/>
      </w:pPr>
      <w:rPr>
        <w:rFonts w:ascii="Arial" w:hAnsi="Arial" w:cs="Arial" w:hint="default"/>
        <w:b w:val="0"/>
        <w:bCs/>
        <w:i w:val="0"/>
        <w:iCs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9">
    <w:nsid w:val="24BC70C2"/>
    <w:multiLevelType w:val="hybridMultilevel"/>
    <w:tmpl w:val="94B466BA"/>
    <w:lvl w:ilvl="0" w:tplc="6BDA1B10">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nsid w:val="24C264C8"/>
    <w:multiLevelType w:val="hybridMultilevel"/>
    <w:tmpl w:val="88942268"/>
    <w:lvl w:ilvl="0" w:tplc="B734E508">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0FC4481C">
      <w:start w:val="1"/>
      <w:numFmt w:val="lowerLetter"/>
      <w:lvlText w:val="%2"/>
      <w:lvlJc w:val="left"/>
      <w:pPr>
        <w:ind w:left="728"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3EE8C93E">
      <w:start w:val="1"/>
      <w:numFmt w:val="lowerLetter"/>
      <w:lvlRestart w:val="0"/>
      <w:lvlText w:val="%3)"/>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3" w:tplc="6A1E86A0">
      <w:start w:val="1"/>
      <w:numFmt w:val="decimal"/>
      <w:lvlText w:val="%4"/>
      <w:lvlJc w:val="left"/>
      <w:pPr>
        <w:ind w:left="18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4CBA0A7E">
      <w:start w:val="1"/>
      <w:numFmt w:val="lowerLetter"/>
      <w:lvlText w:val="%5"/>
      <w:lvlJc w:val="left"/>
      <w:pPr>
        <w:ind w:left="25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EABCEE52">
      <w:start w:val="1"/>
      <w:numFmt w:val="lowerRoman"/>
      <w:lvlText w:val="%6"/>
      <w:lvlJc w:val="left"/>
      <w:pPr>
        <w:ind w:left="32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602C179E">
      <w:start w:val="1"/>
      <w:numFmt w:val="decimal"/>
      <w:lvlText w:val="%7"/>
      <w:lvlJc w:val="left"/>
      <w:pPr>
        <w:ind w:left="39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7BC829AC">
      <w:start w:val="1"/>
      <w:numFmt w:val="lowerLetter"/>
      <w:lvlText w:val="%8"/>
      <w:lvlJc w:val="left"/>
      <w:pPr>
        <w:ind w:left="46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A58C2DE">
      <w:start w:val="1"/>
      <w:numFmt w:val="lowerRoman"/>
      <w:lvlText w:val="%9"/>
      <w:lvlJc w:val="left"/>
      <w:pPr>
        <w:ind w:left="54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91">
    <w:nsid w:val="24D95194"/>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nsid w:val="24E761E4"/>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nsid w:val="251678DD"/>
    <w:multiLevelType w:val="multilevel"/>
    <w:tmpl w:val="3D8A59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nsid w:val="256B28E4"/>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nsid w:val="25AB518F"/>
    <w:multiLevelType w:val="hybridMultilevel"/>
    <w:tmpl w:val="2B9C7AEE"/>
    <w:lvl w:ilvl="0" w:tplc="6A3C00B0">
      <w:start w:val="1"/>
      <w:numFmt w:val="lowerLetter"/>
      <w:lvlText w:val="%1)"/>
      <w:lvlJc w:val="left"/>
      <w:pPr>
        <w:ind w:left="720" w:hanging="360"/>
      </w:pPr>
      <w:rPr>
        <w:rFonts w:ascii="Arial" w:hAnsi="Arial" w:hint="default"/>
        <w:b w:val="0"/>
        <w:i w:val="0"/>
        <w:w w:val="103"/>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6">
    <w:nsid w:val="25BE1334"/>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nsid w:val="261361F0"/>
    <w:multiLevelType w:val="hybridMultilevel"/>
    <w:tmpl w:val="2EDC123E"/>
    <w:lvl w:ilvl="0" w:tplc="1D70C72C">
      <w:start w:val="1"/>
      <w:numFmt w:val="lowerLetter"/>
      <w:lvlText w:val="%1)"/>
      <w:lvlJc w:val="left"/>
      <w:pPr>
        <w:ind w:left="1712" w:hanging="360"/>
      </w:pPr>
      <w:rPr>
        <w:b w:val="0"/>
        <w:bCs w:val="0"/>
      </w:r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98">
    <w:nsid w:val="2616537E"/>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nsid w:val="26373922"/>
    <w:multiLevelType w:val="hybridMultilevel"/>
    <w:tmpl w:val="2646D6BA"/>
    <w:lvl w:ilvl="0" w:tplc="21C00C3A">
      <w:start w:val="1"/>
      <w:numFmt w:val="lowerRoman"/>
      <w:lvlText w:val="(%1)"/>
      <w:lvlJc w:val="left"/>
      <w:pPr>
        <w:ind w:left="2724" w:hanging="360"/>
      </w:pPr>
      <w:rPr>
        <w:rFonts w:ascii="Arial" w:eastAsia="Times New Roman" w:hAnsi="Arial" w:cs="Arial" w:hint="default"/>
        <w:b w:val="0"/>
        <w:i w:val="0"/>
        <w:strike w:val="0"/>
        <w:dstrike w:val="0"/>
        <w:color w:val="211E1E"/>
        <w:sz w:val="20"/>
        <w:szCs w:val="20"/>
        <w:u w:val="none" w:color="000000"/>
        <w:effect w:val="none"/>
        <w:bdr w:val="none" w:sz="0" w:space="0" w:color="auto" w:frame="1"/>
        <w:vertAlign w:val="baseline"/>
      </w:rPr>
    </w:lvl>
    <w:lvl w:ilvl="1" w:tplc="2C0A0019" w:tentative="1">
      <w:start w:val="1"/>
      <w:numFmt w:val="lowerLetter"/>
      <w:lvlText w:val="%2."/>
      <w:lvlJc w:val="left"/>
      <w:pPr>
        <w:ind w:left="3444" w:hanging="360"/>
      </w:pPr>
    </w:lvl>
    <w:lvl w:ilvl="2" w:tplc="2C0A001B" w:tentative="1">
      <w:start w:val="1"/>
      <w:numFmt w:val="lowerRoman"/>
      <w:lvlText w:val="%3."/>
      <w:lvlJc w:val="right"/>
      <w:pPr>
        <w:ind w:left="4164" w:hanging="180"/>
      </w:pPr>
    </w:lvl>
    <w:lvl w:ilvl="3" w:tplc="2C0A000F" w:tentative="1">
      <w:start w:val="1"/>
      <w:numFmt w:val="decimal"/>
      <w:lvlText w:val="%4."/>
      <w:lvlJc w:val="left"/>
      <w:pPr>
        <w:ind w:left="4884" w:hanging="360"/>
      </w:pPr>
    </w:lvl>
    <w:lvl w:ilvl="4" w:tplc="2C0A0019" w:tentative="1">
      <w:start w:val="1"/>
      <w:numFmt w:val="lowerLetter"/>
      <w:lvlText w:val="%5."/>
      <w:lvlJc w:val="left"/>
      <w:pPr>
        <w:ind w:left="5604" w:hanging="360"/>
      </w:pPr>
    </w:lvl>
    <w:lvl w:ilvl="5" w:tplc="2C0A001B" w:tentative="1">
      <w:start w:val="1"/>
      <w:numFmt w:val="lowerRoman"/>
      <w:lvlText w:val="%6."/>
      <w:lvlJc w:val="right"/>
      <w:pPr>
        <w:ind w:left="6324" w:hanging="180"/>
      </w:pPr>
    </w:lvl>
    <w:lvl w:ilvl="6" w:tplc="2C0A000F" w:tentative="1">
      <w:start w:val="1"/>
      <w:numFmt w:val="decimal"/>
      <w:lvlText w:val="%7."/>
      <w:lvlJc w:val="left"/>
      <w:pPr>
        <w:ind w:left="7044" w:hanging="360"/>
      </w:pPr>
    </w:lvl>
    <w:lvl w:ilvl="7" w:tplc="2C0A0019" w:tentative="1">
      <w:start w:val="1"/>
      <w:numFmt w:val="lowerLetter"/>
      <w:lvlText w:val="%8."/>
      <w:lvlJc w:val="left"/>
      <w:pPr>
        <w:ind w:left="7764" w:hanging="360"/>
      </w:pPr>
    </w:lvl>
    <w:lvl w:ilvl="8" w:tplc="2C0A001B" w:tentative="1">
      <w:start w:val="1"/>
      <w:numFmt w:val="lowerRoman"/>
      <w:lvlText w:val="%9."/>
      <w:lvlJc w:val="right"/>
      <w:pPr>
        <w:ind w:left="8484" w:hanging="180"/>
      </w:pPr>
    </w:lvl>
  </w:abstractNum>
  <w:abstractNum w:abstractNumId="200">
    <w:nsid w:val="269850ED"/>
    <w:multiLevelType w:val="hybridMultilevel"/>
    <w:tmpl w:val="E2EE782A"/>
    <w:lvl w:ilvl="0" w:tplc="40CEAD16">
      <w:start w:val="1"/>
      <w:numFmt w:val="lowerLetter"/>
      <w:lvlText w:val="%1)"/>
      <w:lvlJc w:val="left"/>
      <w:pPr>
        <w:ind w:left="1713" w:hanging="360"/>
      </w:pPr>
      <w:rPr>
        <w:rFonts w:ascii="Arial" w:hAnsi="Arial" w:cs="Verdana" w:hint="default"/>
        <w:w w:val="103"/>
        <w:sz w:val="20"/>
        <w:szCs w:val="20"/>
      </w:rPr>
    </w:lvl>
    <w:lvl w:ilvl="1" w:tplc="2C0A0019" w:tentative="1">
      <w:start w:val="1"/>
      <w:numFmt w:val="lowerLetter"/>
      <w:lvlText w:val="%2."/>
      <w:lvlJc w:val="left"/>
      <w:pPr>
        <w:ind w:left="2433" w:hanging="360"/>
      </w:pPr>
    </w:lvl>
    <w:lvl w:ilvl="2" w:tplc="2C0A001B" w:tentative="1">
      <w:start w:val="1"/>
      <w:numFmt w:val="lowerRoman"/>
      <w:lvlText w:val="%3."/>
      <w:lvlJc w:val="right"/>
      <w:pPr>
        <w:ind w:left="3153" w:hanging="180"/>
      </w:pPr>
    </w:lvl>
    <w:lvl w:ilvl="3" w:tplc="2C0A000F" w:tentative="1">
      <w:start w:val="1"/>
      <w:numFmt w:val="decimal"/>
      <w:lvlText w:val="%4."/>
      <w:lvlJc w:val="left"/>
      <w:pPr>
        <w:ind w:left="3873" w:hanging="360"/>
      </w:pPr>
    </w:lvl>
    <w:lvl w:ilvl="4" w:tplc="2C0A0019" w:tentative="1">
      <w:start w:val="1"/>
      <w:numFmt w:val="lowerLetter"/>
      <w:lvlText w:val="%5."/>
      <w:lvlJc w:val="left"/>
      <w:pPr>
        <w:ind w:left="4593" w:hanging="360"/>
      </w:pPr>
    </w:lvl>
    <w:lvl w:ilvl="5" w:tplc="2C0A001B" w:tentative="1">
      <w:start w:val="1"/>
      <w:numFmt w:val="lowerRoman"/>
      <w:lvlText w:val="%6."/>
      <w:lvlJc w:val="right"/>
      <w:pPr>
        <w:ind w:left="5313" w:hanging="180"/>
      </w:pPr>
    </w:lvl>
    <w:lvl w:ilvl="6" w:tplc="2C0A000F" w:tentative="1">
      <w:start w:val="1"/>
      <w:numFmt w:val="decimal"/>
      <w:lvlText w:val="%7."/>
      <w:lvlJc w:val="left"/>
      <w:pPr>
        <w:ind w:left="6033" w:hanging="360"/>
      </w:pPr>
    </w:lvl>
    <w:lvl w:ilvl="7" w:tplc="2C0A0019" w:tentative="1">
      <w:start w:val="1"/>
      <w:numFmt w:val="lowerLetter"/>
      <w:lvlText w:val="%8."/>
      <w:lvlJc w:val="left"/>
      <w:pPr>
        <w:ind w:left="6753" w:hanging="360"/>
      </w:pPr>
    </w:lvl>
    <w:lvl w:ilvl="8" w:tplc="2C0A001B" w:tentative="1">
      <w:start w:val="1"/>
      <w:numFmt w:val="lowerRoman"/>
      <w:lvlText w:val="%9."/>
      <w:lvlJc w:val="right"/>
      <w:pPr>
        <w:ind w:left="7473" w:hanging="180"/>
      </w:pPr>
    </w:lvl>
  </w:abstractNum>
  <w:abstractNum w:abstractNumId="201">
    <w:nsid w:val="269F4A52"/>
    <w:multiLevelType w:val="hybridMultilevel"/>
    <w:tmpl w:val="E334C0A6"/>
    <w:lvl w:ilvl="0" w:tplc="B650C092">
      <w:start w:val="1"/>
      <w:numFmt w:val="lowerLetter"/>
      <w:lvlText w:val="%1)"/>
      <w:lvlJc w:val="left"/>
      <w:pPr>
        <w:ind w:left="1560" w:hanging="567"/>
      </w:pPr>
      <w:rPr>
        <w:rFonts w:hint="default"/>
        <w:b w:val="0"/>
        <w:bCs/>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02">
    <w:nsid w:val="26A42731"/>
    <w:multiLevelType w:val="hybridMultilevel"/>
    <w:tmpl w:val="752691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26F074BB"/>
    <w:multiLevelType w:val="hybridMultilevel"/>
    <w:tmpl w:val="F086E404"/>
    <w:lvl w:ilvl="0" w:tplc="4BEE6E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271B0143"/>
    <w:multiLevelType w:val="multilevel"/>
    <w:tmpl w:val="33629A50"/>
    <w:styleLink w:val="Listaactual8"/>
    <w:lvl w:ilvl="0">
      <w:start w:val="1"/>
      <w:numFmt w:val="decimal"/>
      <w:lvlText w:val="%1."/>
      <w:lvlJc w:val="left"/>
      <w:pPr>
        <w:ind w:left="993" w:hanging="567"/>
      </w:pPr>
      <w:rPr>
        <w:rFonts w:ascii="Arial" w:hAnsi="Arial" w:cs="Arial" w:hint="default"/>
        <w:b w:val="0"/>
        <w:bCs/>
        <w:sz w:val="22"/>
        <w:szCs w:val="22"/>
      </w:rPr>
    </w:lvl>
    <w:lvl w:ilvl="1">
      <w:start w:val="1"/>
      <w:numFmt w:val="lowerLetter"/>
      <w:lvlText w:val="%2)"/>
      <w:lvlJc w:val="left"/>
      <w:pPr>
        <w:ind w:left="1134" w:hanging="567"/>
      </w:pPr>
      <w:rPr>
        <w:rFonts w:hint="default"/>
        <w:b w:val="0"/>
        <w:bCs/>
      </w:rPr>
    </w:lvl>
    <w:lvl w:ilvl="2">
      <w:start w:val="1"/>
      <w:numFmt w:val="lowerRoman"/>
      <w:lvlText w:val="(%3)"/>
      <w:lvlJc w:val="right"/>
      <w:pPr>
        <w:ind w:left="1758" w:hanging="17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nsid w:val="27313324"/>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27797623"/>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7">
    <w:nsid w:val="27841B19"/>
    <w:multiLevelType w:val="hybridMultilevel"/>
    <w:tmpl w:val="39AAA812"/>
    <w:lvl w:ilvl="0" w:tplc="DBD89474">
      <w:start w:val="1"/>
      <w:numFmt w:val="decimal"/>
      <w:lvlText w:val="A%1."/>
      <w:lvlJc w:val="left"/>
      <w:pPr>
        <w:ind w:left="360" w:hanging="360"/>
      </w:pPr>
      <w:rPr>
        <w:rFonts w:hint="default"/>
        <w:sz w:val="20"/>
        <w:szCs w:val="20"/>
      </w:rPr>
    </w:lvl>
    <w:lvl w:ilvl="1" w:tplc="2C0A0017">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8">
    <w:nsid w:val="27F6337B"/>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nsid w:val="281017EF"/>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285B658D"/>
    <w:multiLevelType w:val="hybridMultilevel"/>
    <w:tmpl w:val="3F46B7F2"/>
    <w:lvl w:ilvl="0" w:tplc="2C0A0017">
      <w:start w:val="1"/>
      <w:numFmt w:val="lowerLetter"/>
      <w:lvlText w:val="%1)"/>
      <w:lvlJc w:val="left"/>
      <w:pPr>
        <w:ind w:left="689" w:hanging="360"/>
      </w:pPr>
    </w:lvl>
    <w:lvl w:ilvl="1" w:tplc="2C0A0019" w:tentative="1">
      <w:start w:val="1"/>
      <w:numFmt w:val="lowerLetter"/>
      <w:lvlText w:val="%2."/>
      <w:lvlJc w:val="left"/>
      <w:pPr>
        <w:ind w:left="1409" w:hanging="360"/>
      </w:pPr>
    </w:lvl>
    <w:lvl w:ilvl="2" w:tplc="2C0A001B" w:tentative="1">
      <w:start w:val="1"/>
      <w:numFmt w:val="lowerRoman"/>
      <w:lvlText w:val="%3."/>
      <w:lvlJc w:val="right"/>
      <w:pPr>
        <w:ind w:left="2129" w:hanging="180"/>
      </w:pPr>
    </w:lvl>
    <w:lvl w:ilvl="3" w:tplc="2C0A000F" w:tentative="1">
      <w:start w:val="1"/>
      <w:numFmt w:val="decimal"/>
      <w:lvlText w:val="%4."/>
      <w:lvlJc w:val="left"/>
      <w:pPr>
        <w:ind w:left="2849" w:hanging="360"/>
      </w:pPr>
    </w:lvl>
    <w:lvl w:ilvl="4" w:tplc="2C0A0019" w:tentative="1">
      <w:start w:val="1"/>
      <w:numFmt w:val="lowerLetter"/>
      <w:lvlText w:val="%5."/>
      <w:lvlJc w:val="left"/>
      <w:pPr>
        <w:ind w:left="3569" w:hanging="360"/>
      </w:pPr>
    </w:lvl>
    <w:lvl w:ilvl="5" w:tplc="2C0A001B" w:tentative="1">
      <w:start w:val="1"/>
      <w:numFmt w:val="lowerRoman"/>
      <w:lvlText w:val="%6."/>
      <w:lvlJc w:val="right"/>
      <w:pPr>
        <w:ind w:left="4289" w:hanging="180"/>
      </w:pPr>
    </w:lvl>
    <w:lvl w:ilvl="6" w:tplc="2C0A000F" w:tentative="1">
      <w:start w:val="1"/>
      <w:numFmt w:val="decimal"/>
      <w:lvlText w:val="%7."/>
      <w:lvlJc w:val="left"/>
      <w:pPr>
        <w:ind w:left="5009" w:hanging="360"/>
      </w:pPr>
    </w:lvl>
    <w:lvl w:ilvl="7" w:tplc="2C0A0019" w:tentative="1">
      <w:start w:val="1"/>
      <w:numFmt w:val="lowerLetter"/>
      <w:lvlText w:val="%8."/>
      <w:lvlJc w:val="left"/>
      <w:pPr>
        <w:ind w:left="5729" w:hanging="360"/>
      </w:pPr>
    </w:lvl>
    <w:lvl w:ilvl="8" w:tplc="2C0A001B" w:tentative="1">
      <w:start w:val="1"/>
      <w:numFmt w:val="lowerRoman"/>
      <w:lvlText w:val="%9."/>
      <w:lvlJc w:val="right"/>
      <w:pPr>
        <w:ind w:left="6449" w:hanging="180"/>
      </w:pPr>
    </w:lvl>
  </w:abstractNum>
  <w:abstractNum w:abstractNumId="211">
    <w:nsid w:val="28684AF6"/>
    <w:multiLevelType w:val="hybridMultilevel"/>
    <w:tmpl w:val="314ED644"/>
    <w:lvl w:ilvl="0" w:tplc="937EDF96">
      <w:start w:val="1"/>
      <w:numFmt w:val="lowerLetter"/>
      <w:lvlText w:val="%1)"/>
      <w:lvlJc w:val="left"/>
      <w:pPr>
        <w:ind w:left="720" w:hanging="360"/>
      </w:pPr>
      <w:rPr>
        <w:rFonts w:ascii="Arial" w:hAnsi="Arial" w:hint="default"/>
        <w:b w:val="0"/>
        <w:i w:val="0"/>
        <w:w w:val="103"/>
        <w:sz w:val="20"/>
        <w:szCs w:val="20"/>
      </w:rPr>
    </w:lvl>
    <w:lvl w:ilvl="1" w:tplc="2C0A000F">
      <w:start w:val="1"/>
      <w:numFmt w:val="decimal"/>
      <w:lvlText w:val="%2."/>
      <w:lvlJc w:val="left"/>
      <w:pPr>
        <w:ind w:left="1440" w:hanging="360"/>
      </w:pPr>
      <w:rPr>
        <w:rFonts w:hint="default"/>
      </w:rPr>
    </w:lvl>
    <w:lvl w:ilvl="2" w:tplc="C114AECC">
      <w:start w:val="1"/>
      <w:numFmt w:val="decimal"/>
      <w:lvlText w:val="%3."/>
      <w:lvlJc w:val="left"/>
      <w:pPr>
        <w:ind w:left="2160" w:hanging="180"/>
      </w:pPr>
      <w:rPr>
        <w:rFonts w:ascii="Arial" w:hAnsi="Arial" w:cs="Arial" w:hint="default"/>
        <w:b w:val="0"/>
        <w:bCs/>
        <w:sz w:val="22"/>
        <w:szCs w:val="22"/>
      </w:rPr>
    </w:lvl>
    <w:lvl w:ilvl="3" w:tplc="2C0A0015">
      <w:start w:val="1"/>
      <w:numFmt w:val="upperLetter"/>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nsid w:val="28C1282E"/>
    <w:multiLevelType w:val="hybridMultilevel"/>
    <w:tmpl w:val="AB660218"/>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nsid w:val="29207506"/>
    <w:multiLevelType w:val="multilevel"/>
    <w:tmpl w:val="FB7C48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nsid w:val="293936AE"/>
    <w:multiLevelType w:val="hybridMultilevel"/>
    <w:tmpl w:val="698CA29E"/>
    <w:lvl w:ilvl="0" w:tplc="F4C82B3A">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nsid w:val="29B701FA"/>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16">
    <w:nsid w:val="2A291740"/>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2AAA6B78"/>
    <w:multiLevelType w:val="hybridMultilevel"/>
    <w:tmpl w:val="BFAA7E76"/>
    <w:lvl w:ilvl="0" w:tplc="F8BE28A6">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E3CCC1D2">
      <w:start w:val="1"/>
      <w:numFmt w:val="lowerLetter"/>
      <w:lvlText w:val="%2"/>
      <w:lvlJc w:val="left"/>
      <w:pPr>
        <w:ind w:left="67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22686660">
      <w:start w:val="1"/>
      <w:numFmt w:val="lowerRoman"/>
      <w:lvlText w:val="%3"/>
      <w:lvlJc w:val="left"/>
      <w:pPr>
        <w:ind w:left="98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DD20D8B8">
      <w:start w:val="1"/>
      <w:numFmt w:val="lowerLetter"/>
      <w:lvlRestart w:val="0"/>
      <w:lvlText w:val="%4)"/>
      <w:lvlJc w:val="left"/>
      <w:pPr>
        <w:ind w:left="131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D2606208">
      <w:start w:val="1"/>
      <w:numFmt w:val="lowerLetter"/>
      <w:lvlText w:val="%5"/>
      <w:lvlJc w:val="left"/>
      <w:pPr>
        <w:ind w:left="20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44CE0DAA">
      <w:start w:val="1"/>
      <w:numFmt w:val="lowerRoman"/>
      <w:lvlText w:val="%6"/>
      <w:lvlJc w:val="left"/>
      <w:pPr>
        <w:ind w:left="27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8E0244A8">
      <w:start w:val="1"/>
      <w:numFmt w:val="decimal"/>
      <w:lvlText w:val="%7"/>
      <w:lvlJc w:val="left"/>
      <w:pPr>
        <w:ind w:left="34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65503C08">
      <w:start w:val="1"/>
      <w:numFmt w:val="lowerLetter"/>
      <w:lvlText w:val="%8"/>
      <w:lvlJc w:val="left"/>
      <w:pPr>
        <w:ind w:left="41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764CB13A">
      <w:start w:val="1"/>
      <w:numFmt w:val="lowerRoman"/>
      <w:lvlText w:val="%9"/>
      <w:lvlJc w:val="left"/>
      <w:pPr>
        <w:ind w:left="48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18">
    <w:nsid w:val="2AB80791"/>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nsid w:val="2ABD40FA"/>
    <w:multiLevelType w:val="hybridMultilevel"/>
    <w:tmpl w:val="9070A95C"/>
    <w:lvl w:ilvl="0" w:tplc="FFFFFFFF">
      <w:start w:val="1"/>
      <w:numFmt w:val="lowerLetter"/>
      <w:lvlText w:val="%1)"/>
      <w:lvlJc w:val="left"/>
      <w:pPr>
        <w:ind w:left="1560" w:hanging="567"/>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0">
    <w:nsid w:val="2AE00F65"/>
    <w:multiLevelType w:val="hybridMultilevel"/>
    <w:tmpl w:val="B8B8E47E"/>
    <w:lvl w:ilvl="0" w:tplc="6FCEB9E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1">
    <w:nsid w:val="2AF005D5"/>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2B2856AD"/>
    <w:multiLevelType w:val="multilevel"/>
    <w:tmpl w:val="FC8AD4DA"/>
    <w:lvl w:ilvl="0">
      <w:start w:val="1"/>
      <w:numFmt w:val="decimal"/>
      <w:lvlText w:val="%1."/>
      <w:lvlJc w:val="left"/>
      <w:pPr>
        <w:ind w:left="360" w:hanging="360"/>
      </w:pPr>
      <w:rPr>
        <w:rFonts w:hint="default"/>
      </w:rPr>
    </w:lvl>
    <w:lvl w:ilvl="1">
      <w:start w:val="1"/>
      <w:numFmt w:val="lowerLetter"/>
      <w:lvlText w:val="%2)"/>
      <w:lvlJc w:val="left"/>
      <w:pPr>
        <w:ind w:left="1559" w:hanging="567"/>
      </w:pPr>
      <w:rPr>
        <w:rFonts w:hint="default"/>
        <w:lang w:val="es-AR"/>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3">
    <w:nsid w:val="2B91259C"/>
    <w:multiLevelType w:val="hybridMultilevel"/>
    <w:tmpl w:val="510A7FAE"/>
    <w:lvl w:ilvl="0" w:tplc="D102CA74">
      <w:start w:val="1"/>
      <w:numFmt w:val="lowerLetter"/>
      <w:lvlText w:val="%1)"/>
      <w:lvlJc w:val="left"/>
      <w:pPr>
        <w:ind w:left="1692" w:hanging="360"/>
      </w:pPr>
      <w:rPr>
        <w:rFonts w:hint="default"/>
        <w:u w:val="none"/>
      </w:rPr>
    </w:lvl>
    <w:lvl w:ilvl="1" w:tplc="080A0019" w:tentative="1">
      <w:start w:val="1"/>
      <w:numFmt w:val="lowerLetter"/>
      <w:lvlText w:val="%2."/>
      <w:lvlJc w:val="left"/>
      <w:pPr>
        <w:ind w:left="2412" w:hanging="360"/>
      </w:pPr>
    </w:lvl>
    <w:lvl w:ilvl="2" w:tplc="080A001B" w:tentative="1">
      <w:start w:val="1"/>
      <w:numFmt w:val="lowerRoman"/>
      <w:lvlText w:val="%3."/>
      <w:lvlJc w:val="right"/>
      <w:pPr>
        <w:ind w:left="3132" w:hanging="180"/>
      </w:pPr>
    </w:lvl>
    <w:lvl w:ilvl="3" w:tplc="080A000F" w:tentative="1">
      <w:start w:val="1"/>
      <w:numFmt w:val="decimal"/>
      <w:lvlText w:val="%4."/>
      <w:lvlJc w:val="left"/>
      <w:pPr>
        <w:ind w:left="3852" w:hanging="360"/>
      </w:pPr>
    </w:lvl>
    <w:lvl w:ilvl="4" w:tplc="080A0019" w:tentative="1">
      <w:start w:val="1"/>
      <w:numFmt w:val="lowerLetter"/>
      <w:lvlText w:val="%5."/>
      <w:lvlJc w:val="left"/>
      <w:pPr>
        <w:ind w:left="4572" w:hanging="360"/>
      </w:pPr>
    </w:lvl>
    <w:lvl w:ilvl="5" w:tplc="080A001B" w:tentative="1">
      <w:start w:val="1"/>
      <w:numFmt w:val="lowerRoman"/>
      <w:lvlText w:val="%6."/>
      <w:lvlJc w:val="right"/>
      <w:pPr>
        <w:ind w:left="5292" w:hanging="180"/>
      </w:pPr>
    </w:lvl>
    <w:lvl w:ilvl="6" w:tplc="080A000F" w:tentative="1">
      <w:start w:val="1"/>
      <w:numFmt w:val="decimal"/>
      <w:lvlText w:val="%7."/>
      <w:lvlJc w:val="left"/>
      <w:pPr>
        <w:ind w:left="6012" w:hanging="360"/>
      </w:pPr>
    </w:lvl>
    <w:lvl w:ilvl="7" w:tplc="080A0019" w:tentative="1">
      <w:start w:val="1"/>
      <w:numFmt w:val="lowerLetter"/>
      <w:lvlText w:val="%8."/>
      <w:lvlJc w:val="left"/>
      <w:pPr>
        <w:ind w:left="6732" w:hanging="360"/>
      </w:pPr>
    </w:lvl>
    <w:lvl w:ilvl="8" w:tplc="080A001B" w:tentative="1">
      <w:start w:val="1"/>
      <w:numFmt w:val="lowerRoman"/>
      <w:lvlText w:val="%9."/>
      <w:lvlJc w:val="right"/>
      <w:pPr>
        <w:ind w:left="7452" w:hanging="180"/>
      </w:pPr>
    </w:lvl>
  </w:abstractNum>
  <w:abstractNum w:abstractNumId="224">
    <w:nsid w:val="2B9B191B"/>
    <w:multiLevelType w:val="multilevel"/>
    <w:tmpl w:val="E1D40540"/>
    <w:styleLink w:val="Estil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nsid w:val="2BB91C3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nsid w:val="2BDB2E34"/>
    <w:multiLevelType w:val="hybridMultilevel"/>
    <w:tmpl w:val="88BE8904"/>
    <w:lvl w:ilvl="0" w:tplc="FFFFFFFF">
      <w:start w:val="1"/>
      <w:numFmt w:val="lowerLetter"/>
      <w:lvlText w:val="%1)"/>
      <w:lvlJc w:val="left"/>
      <w:pPr>
        <w:ind w:left="1560" w:hanging="567"/>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7">
    <w:nsid w:val="2BF8086C"/>
    <w:multiLevelType w:val="hybridMultilevel"/>
    <w:tmpl w:val="66A2EDD0"/>
    <w:lvl w:ilvl="0" w:tplc="DD78BDE6">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D81EB830">
      <w:start w:val="1"/>
      <w:numFmt w:val="lowerLetter"/>
      <w:lvlText w:val="%2"/>
      <w:lvlJc w:val="left"/>
      <w:pPr>
        <w:ind w:left="6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8D46454E">
      <w:start w:val="1"/>
      <w:numFmt w:val="lowerRoman"/>
      <w:lvlText w:val="%3"/>
      <w:lvlJc w:val="left"/>
      <w:pPr>
        <w:ind w:left="101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A0484A2">
      <w:start w:val="1"/>
      <w:numFmt w:val="lowerRoman"/>
      <w:lvlRestart w:val="0"/>
      <w:lvlText w:val="(%4)"/>
      <w:lvlJc w:val="left"/>
      <w:pPr>
        <w:ind w:left="173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D5163C92">
      <w:start w:val="1"/>
      <w:numFmt w:val="lowerLetter"/>
      <w:lvlText w:val="%5"/>
      <w:lvlJc w:val="left"/>
      <w:pPr>
        <w:ind w:left="2058"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33825D32">
      <w:start w:val="1"/>
      <w:numFmt w:val="lowerRoman"/>
      <w:lvlText w:val="%6"/>
      <w:lvlJc w:val="left"/>
      <w:pPr>
        <w:ind w:left="2778"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AAE2188A">
      <w:start w:val="1"/>
      <w:numFmt w:val="decimal"/>
      <w:lvlText w:val="%7"/>
      <w:lvlJc w:val="left"/>
      <w:pPr>
        <w:ind w:left="3498"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1F4FFE0">
      <w:start w:val="1"/>
      <w:numFmt w:val="lowerLetter"/>
      <w:lvlText w:val="%8"/>
      <w:lvlJc w:val="left"/>
      <w:pPr>
        <w:ind w:left="4218"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EA10F664">
      <w:start w:val="1"/>
      <w:numFmt w:val="lowerRoman"/>
      <w:lvlText w:val="%9"/>
      <w:lvlJc w:val="left"/>
      <w:pPr>
        <w:ind w:left="4938"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28">
    <w:nsid w:val="2C5A41D4"/>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nsid w:val="2CB5558F"/>
    <w:multiLevelType w:val="hybridMultilevel"/>
    <w:tmpl w:val="40C8898E"/>
    <w:lvl w:ilvl="0" w:tplc="5B66B27C">
      <w:start w:val="1"/>
      <w:numFmt w:val="lowerRoman"/>
      <w:lvlText w:val="(%1)"/>
      <w:lvlJc w:val="right"/>
      <w:pPr>
        <w:ind w:left="1872" w:firstLine="0"/>
      </w:pPr>
      <w:rPr>
        <w:rFonts w:hint="default"/>
        <w:b w:val="0"/>
        <w:i w:val="0"/>
        <w:strike w:val="0"/>
        <w:dstrike w:val="0"/>
        <w:color w:val="000000"/>
        <w:sz w:val="19"/>
        <w:szCs w:val="19"/>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0">
    <w:nsid w:val="2CC06AA7"/>
    <w:multiLevelType w:val="hybridMultilevel"/>
    <w:tmpl w:val="E90036C4"/>
    <w:lvl w:ilvl="0" w:tplc="2C0A000F">
      <w:start w:val="1"/>
      <w:numFmt w:val="decimal"/>
      <w:lvlText w:val="%1."/>
      <w:lvlJc w:val="lef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nsid w:val="2CC42455"/>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nsid w:val="2CD35624"/>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nsid w:val="2CEF03DB"/>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nsid w:val="2D1B28A9"/>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nsid w:val="2D524E25"/>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nsid w:val="2D570E2F"/>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nsid w:val="2DA144EC"/>
    <w:multiLevelType w:val="hybridMultilevel"/>
    <w:tmpl w:val="9070A95C"/>
    <w:lvl w:ilvl="0" w:tplc="FFFFFFFF">
      <w:start w:val="1"/>
      <w:numFmt w:val="lowerLetter"/>
      <w:lvlText w:val="%1)"/>
      <w:lvlJc w:val="left"/>
      <w:pPr>
        <w:ind w:left="1560" w:hanging="567"/>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8">
    <w:nsid w:val="2DA42E3E"/>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nsid w:val="2DB37A3C"/>
    <w:multiLevelType w:val="hybridMultilevel"/>
    <w:tmpl w:val="CDDC17FC"/>
    <w:lvl w:ilvl="0" w:tplc="A522836C">
      <w:start w:val="1"/>
      <w:numFmt w:val="lowerRoman"/>
      <w:lvlText w:val="(%1)"/>
      <w:lvlJc w:val="left"/>
      <w:pPr>
        <w:ind w:left="1134" w:hanging="567"/>
      </w:pPr>
      <w:rPr>
        <w:rFonts w:ascii="Arial" w:eastAsiaTheme="minorHAnsi" w:hAnsi="Arial" w:cs="Arial"/>
        <w:b w:val="0"/>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nsid w:val="2DFD75AF"/>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nsid w:val="2E361A28"/>
    <w:multiLevelType w:val="hybridMultilevel"/>
    <w:tmpl w:val="4AF61CA0"/>
    <w:lvl w:ilvl="0" w:tplc="FFFFFFFF">
      <w:start w:val="1"/>
      <w:numFmt w:val="lowerLetter"/>
      <w:lvlText w:val="%1)"/>
      <w:lvlJc w:val="left"/>
      <w:pPr>
        <w:ind w:left="4820" w:hanging="567"/>
      </w:pPr>
      <w:rPr>
        <w:rFonts w:hint="default"/>
        <w:b w:val="0"/>
        <w:bCs/>
      </w:rPr>
    </w:lvl>
    <w:lvl w:ilvl="1" w:tplc="FFFFFFFF">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242">
    <w:nsid w:val="2E4A0C4B"/>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43">
    <w:nsid w:val="2E4A17CB"/>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nsid w:val="2E8C754B"/>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nsid w:val="2EB639BA"/>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46">
    <w:nsid w:val="2ECA2520"/>
    <w:multiLevelType w:val="hybridMultilevel"/>
    <w:tmpl w:val="DA6874DC"/>
    <w:lvl w:ilvl="0" w:tplc="C01A3C7A">
      <w:start w:val="3"/>
      <w:numFmt w:val="lowerLetter"/>
      <w:lvlText w:val="%1)"/>
      <w:lvlJc w:val="left"/>
      <w:pPr>
        <w:ind w:left="1134" w:hanging="567"/>
      </w:pPr>
      <w:rPr>
        <w:rFonts w:hint="default"/>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7">
    <w:nsid w:val="2EF775A8"/>
    <w:multiLevelType w:val="hybridMultilevel"/>
    <w:tmpl w:val="1ED0624E"/>
    <w:lvl w:ilvl="0" w:tplc="9E2A33D6">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8">
    <w:nsid w:val="2EFC4212"/>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49">
    <w:nsid w:val="2F15662A"/>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50">
    <w:nsid w:val="2F7720F5"/>
    <w:multiLevelType w:val="hybridMultilevel"/>
    <w:tmpl w:val="CD0A9BA0"/>
    <w:lvl w:ilvl="0" w:tplc="3D02C27E">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1">
    <w:nsid w:val="2FE63D88"/>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nsid w:val="300145E8"/>
    <w:multiLevelType w:val="hybridMultilevel"/>
    <w:tmpl w:val="017E859E"/>
    <w:lvl w:ilvl="0" w:tplc="1158B4F4">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6742B3DA">
      <w:start w:val="1"/>
      <w:numFmt w:val="lowerLetter"/>
      <w:lvlText w:val="%2"/>
      <w:lvlJc w:val="left"/>
      <w:pPr>
        <w:ind w:left="67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65061BC4">
      <w:start w:val="1"/>
      <w:numFmt w:val="lowerRoman"/>
      <w:lvlText w:val="%3"/>
      <w:lvlJc w:val="left"/>
      <w:pPr>
        <w:ind w:left="99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9A8A4CAA">
      <w:start w:val="1"/>
      <w:numFmt w:val="decimal"/>
      <w:lvlText w:val="%4"/>
      <w:lvlJc w:val="left"/>
      <w:pPr>
        <w:ind w:left="131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A4B668DE">
      <w:start w:val="1"/>
      <w:numFmt w:val="lowerRoman"/>
      <w:lvlRestart w:val="0"/>
      <w:lvlText w:val="(%5)"/>
      <w:lvlJc w:val="left"/>
      <w:pPr>
        <w:ind w:left="1678"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48AAF626">
      <w:start w:val="1"/>
      <w:numFmt w:val="lowerRoman"/>
      <w:lvlText w:val="%6"/>
      <w:lvlJc w:val="left"/>
      <w:pPr>
        <w:ind w:left="234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BE901A6C">
      <w:start w:val="1"/>
      <w:numFmt w:val="decimal"/>
      <w:lvlText w:val="%7"/>
      <w:lvlJc w:val="left"/>
      <w:pPr>
        <w:ind w:left="306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7FC6D24">
      <w:start w:val="1"/>
      <w:numFmt w:val="lowerLetter"/>
      <w:lvlText w:val="%8"/>
      <w:lvlJc w:val="left"/>
      <w:pPr>
        <w:ind w:left="37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669C0234">
      <w:start w:val="1"/>
      <w:numFmt w:val="lowerRoman"/>
      <w:lvlText w:val="%9"/>
      <w:lvlJc w:val="left"/>
      <w:pPr>
        <w:ind w:left="45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53">
    <w:nsid w:val="30030F7F"/>
    <w:multiLevelType w:val="hybridMultilevel"/>
    <w:tmpl w:val="0FD25584"/>
    <w:lvl w:ilvl="0" w:tplc="29CA9766">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nsid w:val="30197012"/>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55">
    <w:nsid w:val="302E23D3"/>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56">
    <w:nsid w:val="30573957"/>
    <w:multiLevelType w:val="hybridMultilevel"/>
    <w:tmpl w:val="1A9E631C"/>
    <w:lvl w:ilvl="0" w:tplc="FFFFFFFF">
      <w:start w:val="1"/>
      <w:numFmt w:val="decimal"/>
      <w:lvlText w:val="%1."/>
      <w:lvlJc w:val="left"/>
      <w:pPr>
        <w:ind w:left="993" w:hanging="567"/>
      </w:pPr>
      <w:rPr>
        <w:rFonts w:ascii="Arial" w:hAnsi="Arial" w:cs="Arial" w:hint="default"/>
        <w:b w:val="0"/>
        <w:bCs/>
        <w:i w:val="0"/>
        <w:sz w:val="20"/>
        <w:szCs w:val="20"/>
      </w:rPr>
    </w:lvl>
    <w:lvl w:ilvl="1" w:tplc="FFFFFFFF">
      <w:start w:val="1"/>
      <w:numFmt w:val="lowerLetter"/>
      <w:lvlText w:val="%2)"/>
      <w:lvlJc w:val="left"/>
      <w:pPr>
        <w:ind w:left="1134" w:hanging="567"/>
      </w:pPr>
      <w:rPr>
        <w:rFonts w:hint="default"/>
        <w:b w:val="0"/>
        <w:bCs/>
        <w:i w:val="0"/>
        <w:iCs w:val="0"/>
        <w:sz w:val="22"/>
        <w:szCs w:val="22"/>
      </w:rPr>
    </w:lvl>
    <w:lvl w:ilvl="2" w:tplc="FFFFFFFF">
      <w:start w:val="1"/>
      <w:numFmt w:val="lowerRoman"/>
      <w:lvlText w:val="(%3)"/>
      <w:lvlJc w:val="right"/>
      <w:pPr>
        <w:ind w:left="1758" w:hanging="170"/>
      </w:pPr>
      <w:rPr>
        <w:rFont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7">
    <w:nsid w:val="307C32BF"/>
    <w:multiLevelType w:val="multilevel"/>
    <w:tmpl w:val="FB7C48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8">
    <w:nsid w:val="30D64E50"/>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nsid w:val="310664E0"/>
    <w:multiLevelType w:val="hybridMultilevel"/>
    <w:tmpl w:val="070A8920"/>
    <w:lvl w:ilvl="0" w:tplc="F3664F1C">
      <w:start w:val="1"/>
      <w:numFmt w:val="lowerLetter"/>
      <w:lvlText w:val="%1)"/>
      <w:lvlJc w:val="left"/>
      <w:pPr>
        <w:ind w:left="1755" w:hanging="340"/>
      </w:pPr>
      <w:rPr>
        <w:rFonts w:ascii="Arial" w:hAnsi="Arial" w:hint="default"/>
        <w:b w:val="0"/>
        <w:i w:val="0"/>
        <w:w w:val="103"/>
        <w:sz w:val="20"/>
        <w:szCs w:val="20"/>
      </w:rPr>
    </w:lvl>
    <w:lvl w:ilvl="1" w:tplc="FFFFFFFF" w:tentative="1">
      <w:start w:val="1"/>
      <w:numFmt w:val="lowerLetter"/>
      <w:lvlText w:val="%2."/>
      <w:lvlJc w:val="left"/>
      <w:pPr>
        <w:ind w:left="2061" w:hanging="360"/>
      </w:pPr>
    </w:lvl>
    <w:lvl w:ilvl="2" w:tplc="FFFFFFFF" w:tentative="1">
      <w:start w:val="1"/>
      <w:numFmt w:val="lowerRoman"/>
      <w:lvlText w:val="%3."/>
      <w:lvlJc w:val="right"/>
      <w:pPr>
        <w:ind w:left="2781" w:hanging="180"/>
      </w:pPr>
    </w:lvl>
    <w:lvl w:ilvl="3" w:tplc="FFFFFFFF" w:tentative="1">
      <w:start w:val="1"/>
      <w:numFmt w:val="decimal"/>
      <w:lvlText w:val="%4."/>
      <w:lvlJc w:val="left"/>
      <w:pPr>
        <w:ind w:left="3501" w:hanging="360"/>
      </w:pPr>
    </w:lvl>
    <w:lvl w:ilvl="4" w:tplc="FFFFFFFF" w:tentative="1">
      <w:start w:val="1"/>
      <w:numFmt w:val="lowerLetter"/>
      <w:lvlText w:val="%5."/>
      <w:lvlJc w:val="left"/>
      <w:pPr>
        <w:ind w:left="4221" w:hanging="360"/>
      </w:pPr>
    </w:lvl>
    <w:lvl w:ilvl="5" w:tplc="FFFFFFFF" w:tentative="1">
      <w:start w:val="1"/>
      <w:numFmt w:val="lowerRoman"/>
      <w:lvlText w:val="%6."/>
      <w:lvlJc w:val="right"/>
      <w:pPr>
        <w:ind w:left="4941" w:hanging="180"/>
      </w:pPr>
    </w:lvl>
    <w:lvl w:ilvl="6" w:tplc="FFFFFFFF" w:tentative="1">
      <w:start w:val="1"/>
      <w:numFmt w:val="decimal"/>
      <w:lvlText w:val="%7."/>
      <w:lvlJc w:val="left"/>
      <w:pPr>
        <w:ind w:left="5661" w:hanging="360"/>
      </w:pPr>
    </w:lvl>
    <w:lvl w:ilvl="7" w:tplc="FFFFFFFF" w:tentative="1">
      <w:start w:val="1"/>
      <w:numFmt w:val="lowerLetter"/>
      <w:lvlText w:val="%8."/>
      <w:lvlJc w:val="left"/>
      <w:pPr>
        <w:ind w:left="6381" w:hanging="360"/>
      </w:pPr>
    </w:lvl>
    <w:lvl w:ilvl="8" w:tplc="FFFFFFFF" w:tentative="1">
      <w:start w:val="1"/>
      <w:numFmt w:val="lowerRoman"/>
      <w:lvlText w:val="%9."/>
      <w:lvlJc w:val="right"/>
      <w:pPr>
        <w:ind w:left="7101" w:hanging="180"/>
      </w:pPr>
    </w:lvl>
  </w:abstractNum>
  <w:abstractNum w:abstractNumId="260">
    <w:nsid w:val="31067753"/>
    <w:multiLevelType w:val="multilevel"/>
    <w:tmpl w:val="8E7E1312"/>
    <w:styleLink w:val="Listaactual6"/>
    <w:lvl w:ilvl="0">
      <w:start w:val="1"/>
      <w:numFmt w:val="lowerLetter"/>
      <w:lvlText w:val="%1)"/>
      <w:lvlJc w:val="left"/>
      <w:pPr>
        <w:ind w:left="720" w:hanging="360"/>
      </w:pPr>
      <w:rPr>
        <w:rFonts w:ascii="Arial" w:hAnsi="Arial" w:hint="default"/>
        <w:b w:val="0"/>
        <w:i w:val="0"/>
        <w:w w:val="103"/>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nsid w:val="317519D1"/>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nsid w:val="317B7237"/>
    <w:multiLevelType w:val="hybridMultilevel"/>
    <w:tmpl w:val="0B807626"/>
    <w:lvl w:ilvl="0" w:tplc="0FDCE8D8">
      <w:start w:val="1"/>
      <w:numFmt w:val="lowerLetter"/>
      <w:lvlText w:val="%1)"/>
      <w:lvlJc w:val="left"/>
      <w:pPr>
        <w:ind w:left="1733"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1534B4E6">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6EF407F4">
      <w:start w:val="1"/>
      <w:numFmt w:val="lowerRoman"/>
      <w:lvlText w:val="%3"/>
      <w:lvlJc w:val="left"/>
      <w:pPr>
        <w:ind w:left="252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7E9C889E">
      <w:start w:val="1"/>
      <w:numFmt w:val="decimal"/>
      <w:lvlText w:val="%4"/>
      <w:lvlJc w:val="left"/>
      <w:pPr>
        <w:ind w:left="324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BD72723C">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594DBAC">
      <w:start w:val="1"/>
      <w:numFmt w:val="lowerRoman"/>
      <w:lvlText w:val="%6"/>
      <w:lvlJc w:val="left"/>
      <w:pPr>
        <w:ind w:left="468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191CAACC">
      <w:start w:val="1"/>
      <w:numFmt w:val="decimal"/>
      <w:lvlText w:val="%7"/>
      <w:lvlJc w:val="left"/>
      <w:pPr>
        <w:ind w:left="540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BEAC53C0">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3DF8A6E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63">
    <w:nsid w:val="319B4D93"/>
    <w:multiLevelType w:val="hybridMultilevel"/>
    <w:tmpl w:val="AB660218"/>
    <w:lvl w:ilvl="0" w:tplc="FFFFFFFF">
      <w:start w:val="1"/>
      <w:numFmt w:val="lowerRoman"/>
      <w:lvlText w:val="(%1)"/>
      <w:lvlJc w:val="right"/>
      <w:pPr>
        <w:ind w:left="2155" w:hanging="170"/>
      </w:pPr>
      <w:rPr>
        <w:rFonts w:hint="default"/>
      </w:rPr>
    </w:lvl>
    <w:lvl w:ilvl="1" w:tplc="FFFFFFFF">
      <w:start w:val="1"/>
      <w:numFmt w:val="lowerLetter"/>
      <w:lvlText w:val="%2."/>
      <w:lvlJc w:val="left"/>
      <w:pPr>
        <w:ind w:left="1837" w:hanging="360"/>
      </w:pPr>
    </w:lvl>
    <w:lvl w:ilvl="2" w:tplc="FFFFFFFF">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264">
    <w:nsid w:val="31B51774"/>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nsid w:val="31CE7924"/>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nsid w:val="31F3714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nsid w:val="31FA098F"/>
    <w:multiLevelType w:val="hybridMultilevel"/>
    <w:tmpl w:val="A4B435D0"/>
    <w:lvl w:ilvl="0" w:tplc="9CA84F8E">
      <w:start w:val="1"/>
      <w:numFmt w:val="lowerLetter"/>
      <w:lvlText w:val="%1)"/>
      <w:lvlJc w:val="left"/>
      <w:pPr>
        <w:ind w:left="181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8">
    <w:nsid w:val="32302A01"/>
    <w:multiLevelType w:val="hybridMultilevel"/>
    <w:tmpl w:val="E9087D0A"/>
    <w:lvl w:ilvl="0" w:tplc="5F803710">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D76A8532">
      <w:start w:val="1"/>
      <w:numFmt w:val="lowerLetter"/>
      <w:lvlText w:val="%2"/>
      <w:lvlJc w:val="left"/>
      <w:pPr>
        <w:ind w:left="73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32289ACA">
      <w:start w:val="1"/>
      <w:numFmt w:val="lowerRoman"/>
      <w:lvlText w:val="%3"/>
      <w:lvlJc w:val="left"/>
      <w:pPr>
        <w:ind w:left="11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5122FF42">
      <w:start w:val="1"/>
      <w:numFmt w:val="lowerRoman"/>
      <w:lvlRestart w:val="0"/>
      <w:lvlText w:val="(%4)"/>
      <w:lvlJc w:val="left"/>
      <w:pPr>
        <w:ind w:left="1888"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D01EB7A4">
      <w:start w:val="1"/>
      <w:numFmt w:val="lowerLetter"/>
      <w:lvlText w:val="%5"/>
      <w:lvlJc w:val="left"/>
      <w:pPr>
        <w:ind w:left="22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B48E3EF6">
      <w:start w:val="1"/>
      <w:numFmt w:val="lowerRoman"/>
      <w:lvlText w:val="%6"/>
      <w:lvlJc w:val="left"/>
      <w:pPr>
        <w:ind w:left="29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D3E48F5E">
      <w:start w:val="1"/>
      <w:numFmt w:val="decimal"/>
      <w:lvlText w:val="%7"/>
      <w:lvlJc w:val="left"/>
      <w:pPr>
        <w:ind w:left="36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7E645574">
      <w:start w:val="1"/>
      <w:numFmt w:val="lowerLetter"/>
      <w:lvlText w:val="%8"/>
      <w:lvlJc w:val="left"/>
      <w:pPr>
        <w:ind w:left="4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C7F46198">
      <w:start w:val="1"/>
      <w:numFmt w:val="lowerRoman"/>
      <w:lvlText w:val="%9"/>
      <w:lvlJc w:val="left"/>
      <w:pPr>
        <w:ind w:left="5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69">
    <w:nsid w:val="323151F7"/>
    <w:multiLevelType w:val="hybridMultilevel"/>
    <w:tmpl w:val="8894F8E8"/>
    <w:lvl w:ilvl="0" w:tplc="3C26DFD4">
      <w:start w:val="1"/>
      <w:numFmt w:val="lowerRoman"/>
      <w:lvlText w:val="(%1)"/>
      <w:lvlJc w:val="righ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270">
    <w:nsid w:val="327C096A"/>
    <w:multiLevelType w:val="hybridMultilevel"/>
    <w:tmpl w:val="BE9E2B9E"/>
    <w:lvl w:ilvl="0" w:tplc="94F4B8B8">
      <w:start w:val="1"/>
      <w:numFmt w:val="lowerLetter"/>
      <w:lvlText w:val="%1)"/>
      <w:lvlJc w:val="left"/>
      <w:pPr>
        <w:ind w:left="927" w:hanging="360"/>
      </w:pPr>
      <w:rPr>
        <w:rFonts w:ascii="Arial" w:hAnsi="Arial" w:hint="default"/>
        <w:b w:val="0"/>
        <w:i w:val="0"/>
        <w:w w:val="103"/>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1">
    <w:nsid w:val="329E15E5"/>
    <w:multiLevelType w:val="hybridMultilevel"/>
    <w:tmpl w:val="35126998"/>
    <w:lvl w:ilvl="0" w:tplc="FFFFFFFF">
      <w:start w:val="1"/>
      <w:numFmt w:val="lowerLetter"/>
      <w:lvlText w:val="%1)"/>
      <w:lvlJc w:val="left"/>
      <w:pPr>
        <w:ind w:left="1867"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72">
    <w:nsid w:val="33016D87"/>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nsid w:val="3336669D"/>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nsid w:val="3373767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nsid w:val="33755BF6"/>
    <w:multiLevelType w:val="hybridMultilevel"/>
    <w:tmpl w:val="A4B8C848"/>
    <w:lvl w:ilvl="0" w:tplc="FB4E78C8">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nsid w:val="33783F97"/>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nsid w:val="338E0030"/>
    <w:multiLevelType w:val="hybridMultilevel"/>
    <w:tmpl w:val="9FA2A312"/>
    <w:lvl w:ilvl="0" w:tplc="6BDA1B10">
      <w:start w:val="1"/>
      <w:numFmt w:val="lowerLetter"/>
      <w:lvlText w:val="%1)"/>
      <w:lvlJc w:val="left"/>
      <w:pPr>
        <w:ind w:left="2054" w:hanging="360"/>
      </w:pPr>
      <w:rPr>
        <w:rFonts w:ascii="Arial" w:hAnsi="Arial" w:hint="default"/>
        <w:b w:val="0"/>
        <w:i w:val="0"/>
        <w:w w:val="103"/>
        <w:sz w:val="20"/>
        <w:szCs w:val="20"/>
      </w:rPr>
    </w:lvl>
    <w:lvl w:ilvl="1" w:tplc="2C0A0019" w:tentative="1">
      <w:start w:val="1"/>
      <w:numFmt w:val="lowerLetter"/>
      <w:lvlText w:val="%2."/>
      <w:lvlJc w:val="left"/>
      <w:pPr>
        <w:ind w:left="2774" w:hanging="360"/>
      </w:pPr>
    </w:lvl>
    <w:lvl w:ilvl="2" w:tplc="2C0A001B" w:tentative="1">
      <w:start w:val="1"/>
      <w:numFmt w:val="lowerRoman"/>
      <w:lvlText w:val="%3."/>
      <w:lvlJc w:val="right"/>
      <w:pPr>
        <w:ind w:left="3494" w:hanging="180"/>
      </w:pPr>
    </w:lvl>
    <w:lvl w:ilvl="3" w:tplc="2C0A000F" w:tentative="1">
      <w:start w:val="1"/>
      <w:numFmt w:val="decimal"/>
      <w:lvlText w:val="%4."/>
      <w:lvlJc w:val="left"/>
      <w:pPr>
        <w:ind w:left="4214" w:hanging="360"/>
      </w:pPr>
    </w:lvl>
    <w:lvl w:ilvl="4" w:tplc="2C0A0019" w:tentative="1">
      <w:start w:val="1"/>
      <w:numFmt w:val="lowerLetter"/>
      <w:lvlText w:val="%5."/>
      <w:lvlJc w:val="left"/>
      <w:pPr>
        <w:ind w:left="4934" w:hanging="360"/>
      </w:pPr>
    </w:lvl>
    <w:lvl w:ilvl="5" w:tplc="2C0A001B" w:tentative="1">
      <w:start w:val="1"/>
      <w:numFmt w:val="lowerRoman"/>
      <w:lvlText w:val="%6."/>
      <w:lvlJc w:val="right"/>
      <w:pPr>
        <w:ind w:left="5654" w:hanging="180"/>
      </w:pPr>
    </w:lvl>
    <w:lvl w:ilvl="6" w:tplc="2C0A000F" w:tentative="1">
      <w:start w:val="1"/>
      <w:numFmt w:val="decimal"/>
      <w:lvlText w:val="%7."/>
      <w:lvlJc w:val="left"/>
      <w:pPr>
        <w:ind w:left="6374" w:hanging="360"/>
      </w:pPr>
    </w:lvl>
    <w:lvl w:ilvl="7" w:tplc="2C0A0019" w:tentative="1">
      <w:start w:val="1"/>
      <w:numFmt w:val="lowerLetter"/>
      <w:lvlText w:val="%8."/>
      <w:lvlJc w:val="left"/>
      <w:pPr>
        <w:ind w:left="7094" w:hanging="360"/>
      </w:pPr>
    </w:lvl>
    <w:lvl w:ilvl="8" w:tplc="2C0A001B" w:tentative="1">
      <w:start w:val="1"/>
      <w:numFmt w:val="lowerRoman"/>
      <w:lvlText w:val="%9."/>
      <w:lvlJc w:val="right"/>
      <w:pPr>
        <w:ind w:left="7814" w:hanging="180"/>
      </w:pPr>
    </w:lvl>
  </w:abstractNum>
  <w:abstractNum w:abstractNumId="278">
    <w:nsid w:val="3395132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nsid w:val="33B61633"/>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nsid w:val="33C67386"/>
    <w:multiLevelType w:val="hybridMultilevel"/>
    <w:tmpl w:val="809C624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1">
    <w:nsid w:val="33E33986"/>
    <w:multiLevelType w:val="hybridMultilevel"/>
    <w:tmpl w:val="AB660218"/>
    <w:lvl w:ilvl="0" w:tplc="FFFFFFFF">
      <w:start w:val="1"/>
      <w:numFmt w:val="lowerRoman"/>
      <w:lvlText w:val="(%1)"/>
      <w:lvlJc w:val="right"/>
      <w:pPr>
        <w:ind w:left="2155" w:hanging="170"/>
      </w:pPr>
      <w:rPr>
        <w:rFonts w:hint="default"/>
      </w:rPr>
    </w:lvl>
    <w:lvl w:ilvl="1" w:tplc="FFFFFFFF">
      <w:start w:val="1"/>
      <w:numFmt w:val="lowerLetter"/>
      <w:lvlText w:val="%2."/>
      <w:lvlJc w:val="left"/>
      <w:pPr>
        <w:ind w:left="1837" w:hanging="360"/>
      </w:pPr>
    </w:lvl>
    <w:lvl w:ilvl="2" w:tplc="FFFFFFFF">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282">
    <w:nsid w:val="33F4467A"/>
    <w:multiLevelType w:val="multilevel"/>
    <w:tmpl w:val="E3E0B7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Theme="minorHAnsi"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3">
    <w:nsid w:val="34084D40"/>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4">
    <w:nsid w:val="3438746B"/>
    <w:multiLevelType w:val="hybridMultilevel"/>
    <w:tmpl w:val="E676B824"/>
    <w:lvl w:ilvl="0" w:tplc="F4C4AA18">
      <w:start w:val="1"/>
      <w:numFmt w:val="lowerRoman"/>
      <w:lvlText w:val="(%1)"/>
      <w:lvlJc w:val="left"/>
      <w:pPr>
        <w:ind w:left="1134" w:hanging="567"/>
      </w:pPr>
      <w:rPr>
        <w:rFonts w:ascii="Arial" w:eastAsiaTheme="minorHAnsi" w:hAnsi="Arial" w:cs="Arial" w:hint="default"/>
        <w:b w:val="0"/>
        <w:bCs/>
        <w:i w:val="0"/>
        <w:iCs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5">
    <w:nsid w:val="344F78EC"/>
    <w:multiLevelType w:val="hybridMultilevel"/>
    <w:tmpl w:val="01D0D238"/>
    <w:lvl w:ilvl="0" w:tplc="7B1C6672">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B2C4A84A">
      <w:start w:val="1"/>
      <w:numFmt w:val="lowerLetter"/>
      <w:lvlText w:val="%2"/>
      <w:lvlJc w:val="left"/>
      <w:pPr>
        <w:ind w:left="70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A9CCA292">
      <w:start w:val="1"/>
      <w:numFmt w:val="lowerRoman"/>
      <w:lvlText w:val="%3"/>
      <w:lvlJc w:val="left"/>
      <w:pPr>
        <w:ind w:left="105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39747A14">
      <w:start w:val="1"/>
      <w:numFmt w:val="decimal"/>
      <w:lvlText w:val="%4"/>
      <w:lvlJc w:val="left"/>
      <w:pPr>
        <w:ind w:left="1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66A438EE">
      <w:start w:val="1"/>
      <w:numFmt w:val="lowerRoman"/>
      <w:lvlRestart w:val="0"/>
      <w:lvlText w:val="(%5)"/>
      <w:lvlJc w:val="left"/>
      <w:pPr>
        <w:ind w:left="1753"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966C1D02">
      <w:start w:val="1"/>
      <w:numFmt w:val="lowerRoman"/>
      <w:lvlText w:val="%6"/>
      <w:lvlJc w:val="left"/>
      <w:pPr>
        <w:ind w:left="246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385A493A">
      <w:start w:val="1"/>
      <w:numFmt w:val="decimal"/>
      <w:lvlText w:val="%7"/>
      <w:lvlJc w:val="left"/>
      <w:pPr>
        <w:ind w:left="31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B0261D56">
      <w:start w:val="1"/>
      <w:numFmt w:val="lowerLetter"/>
      <w:lvlText w:val="%8"/>
      <w:lvlJc w:val="left"/>
      <w:pPr>
        <w:ind w:left="39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22C4996">
      <w:start w:val="1"/>
      <w:numFmt w:val="lowerRoman"/>
      <w:lvlText w:val="%9"/>
      <w:lvlJc w:val="left"/>
      <w:pPr>
        <w:ind w:left="462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86">
    <w:nsid w:val="349D2551"/>
    <w:multiLevelType w:val="hybridMultilevel"/>
    <w:tmpl w:val="1F8A6296"/>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7">
    <w:nsid w:val="34BB356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nsid w:val="352F028F"/>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9">
    <w:nsid w:val="35345B75"/>
    <w:multiLevelType w:val="multilevel"/>
    <w:tmpl w:val="E50A474A"/>
    <w:styleLink w:val="Listaactual10"/>
    <w:lvl w:ilvl="0">
      <w:start w:val="1"/>
      <w:numFmt w:val="decimal"/>
      <w:lvlText w:val="%1."/>
      <w:lvlJc w:val="left"/>
      <w:pPr>
        <w:ind w:left="993" w:hanging="567"/>
      </w:pPr>
      <w:rPr>
        <w:rFonts w:ascii="Arial" w:hAnsi="Arial" w:cs="Arial" w:hint="default"/>
        <w:b w:val="0"/>
        <w:bCs/>
        <w:sz w:val="22"/>
        <w:szCs w:val="22"/>
      </w:rPr>
    </w:lvl>
    <w:lvl w:ilvl="1">
      <w:start w:val="1"/>
      <w:numFmt w:val="lowerLetter"/>
      <w:lvlText w:val="%2)"/>
      <w:lvlJc w:val="left"/>
      <w:pPr>
        <w:ind w:left="1134" w:hanging="567"/>
      </w:pPr>
      <w:rPr>
        <w:rFonts w:hint="default"/>
        <w:b w:val="0"/>
        <w:bCs/>
      </w:rPr>
    </w:lvl>
    <w:lvl w:ilvl="2">
      <w:start w:val="1"/>
      <w:numFmt w:val="lowerRoman"/>
      <w:lvlText w:val="(%3)"/>
      <w:lvlJc w:val="right"/>
      <w:pPr>
        <w:ind w:left="1758" w:hanging="17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0">
    <w:nsid w:val="35694109"/>
    <w:multiLevelType w:val="hybridMultilevel"/>
    <w:tmpl w:val="A12EE3BA"/>
    <w:lvl w:ilvl="0" w:tplc="01383A26">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14C8B8DA">
      <w:start w:val="1"/>
      <w:numFmt w:val="lowerLetter"/>
      <w:lvlText w:val="%2"/>
      <w:lvlJc w:val="left"/>
      <w:pPr>
        <w:ind w:left="20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315ACEFA">
      <w:start w:val="1"/>
      <w:numFmt w:val="lowerRoman"/>
      <w:lvlText w:val="%3"/>
      <w:lvlJc w:val="left"/>
      <w:pPr>
        <w:ind w:left="27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31828C0">
      <w:start w:val="1"/>
      <w:numFmt w:val="decimal"/>
      <w:lvlText w:val="%4"/>
      <w:lvlJc w:val="left"/>
      <w:pPr>
        <w:ind w:left="35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A7ACFC14">
      <w:start w:val="1"/>
      <w:numFmt w:val="lowerLetter"/>
      <w:lvlText w:val="%5"/>
      <w:lvlJc w:val="left"/>
      <w:pPr>
        <w:ind w:left="42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53042C08">
      <w:start w:val="1"/>
      <w:numFmt w:val="lowerRoman"/>
      <w:lvlText w:val="%6"/>
      <w:lvlJc w:val="left"/>
      <w:pPr>
        <w:ind w:left="49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C6249DA">
      <w:start w:val="1"/>
      <w:numFmt w:val="decimal"/>
      <w:lvlText w:val="%7"/>
      <w:lvlJc w:val="left"/>
      <w:pPr>
        <w:ind w:left="56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928CAB22">
      <w:start w:val="1"/>
      <w:numFmt w:val="lowerLetter"/>
      <w:lvlText w:val="%8"/>
      <w:lvlJc w:val="left"/>
      <w:pPr>
        <w:ind w:left="63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B490885A">
      <w:start w:val="1"/>
      <w:numFmt w:val="lowerRoman"/>
      <w:lvlText w:val="%9"/>
      <w:lvlJc w:val="left"/>
      <w:pPr>
        <w:ind w:left="71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91">
    <w:nsid w:val="36035464"/>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92">
    <w:nsid w:val="364F2015"/>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3">
    <w:nsid w:val="367862CB"/>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4">
    <w:nsid w:val="367F6CFF"/>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nsid w:val="3723049C"/>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6">
    <w:nsid w:val="37324A35"/>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97">
    <w:nsid w:val="379A4BA3"/>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nsid w:val="37AB5DA0"/>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99">
    <w:nsid w:val="382E6E4C"/>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nsid w:val="3831602E"/>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nsid w:val="384C0C56"/>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2">
    <w:nsid w:val="386707FC"/>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3">
    <w:nsid w:val="38920072"/>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nsid w:val="38DF1033"/>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05">
    <w:nsid w:val="39426424"/>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nsid w:val="3962351A"/>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nsid w:val="39CB59AE"/>
    <w:multiLevelType w:val="multilevel"/>
    <w:tmpl w:val="6F6E2AD2"/>
    <w:lvl w:ilvl="0">
      <w:start w:val="1"/>
      <w:numFmt w:val="decimal"/>
      <w:pStyle w:val="NUA-Definicion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efinicionesNU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8">
    <w:nsid w:val="39DB4886"/>
    <w:multiLevelType w:val="hybridMultilevel"/>
    <w:tmpl w:val="52B2CFA2"/>
    <w:lvl w:ilvl="0" w:tplc="FFFFFFFF">
      <w:start w:val="1"/>
      <w:numFmt w:val="lowerLetter"/>
      <w:lvlText w:val="%1)"/>
      <w:lvlJc w:val="left"/>
      <w:pPr>
        <w:ind w:left="1134" w:hanging="567"/>
      </w:pPr>
      <w:rPr>
        <w:rFonts w:hint="default"/>
        <w:b w:val="0"/>
        <w:bCs/>
      </w:rPr>
    </w:lvl>
    <w:lvl w:ilvl="1" w:tplc="FFFFFFFF">
      <w:start w:val="1"/>
      <w:numFmt w:val="upp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9">
    <w:nsid w:val="39E305CE"/>
    <w:multiLevelType w:val="hybridMultilevel"/>
    <w:tmpl w:val="D99E16B0"/>
    <w:lvl w:ilvl="0" w:tplc="3C26DFD4">
      <w:start w:val="1"/>
      <w:numFmt w:val="lowerRoman"/>
      <w:lvlText w:val="(%1)"/>
      <w:lvlJc w:val="right"/>
      <w:pPr>
        <w:ind w:left="2007" w:hanging="360"/>
      </w:pPr>
      <w:rPr>
        <w:rFonts w:hint="default"/>
      </w:rPr>
    </w:lvl>
    <w:lvl w:ilvl="1" w:tplc="2C0A0019">
      <w:start w:val="1"/>
      <w:numFmt w:val="lowerLetter"/>
      <w:lvlText w:val="%2."/>
      <w:lvlJc w:val="left"/>
      <w:pPr>
        <w:ind w:left="2727" w:hanging="360"/>
      </w:pPr>
    </w:lvl>
    <w:lvl w:ilvl="2" w:tplc="2C0A001B" w:tentative="1">
      <w:start w:val="1"/>
      <w:numFmt w:val="lowerRoman"/>
      <w:lvlText w:val="%3."/>
      <w:lvlJc w:val="right"/>
      <w:pPr>
        <w:ind w:left="3447" w:hanging="180"/>
      </w:pPr>
    </w:lvl>
    <w:lvl w:ilvl="3" w:tplc="2C0A000F" w:tentative="1">
      <w:start w:val="1"/>
      <w:numFmt w:val="decimal"/>
      <w:lvlText w:val="%4."/>
      <w:lvlJc w:val="left"/>
      <w:pPr>
        <w:ind w:left="4167" w:hanging="360"/>
      </w:pPr>
    </w:lvl>
    <w:lvl w:ilvl="4" w:tplc="2C0A0019" w:tentative="1">
      <w:start w:val="1"/>
      <w:numFmt w:val="lowerLetter"/>
      <w:lvlText w:val="%5."/>
      <w:lvlJc w:val="left"/>
      <w:pPr>
        <w:ind w:left="4887" w:hanging="360"/>
      </w:pPr>
    </w:lvl>
    <w:lvl w:ilvl="5" w:tplc="2C0A001B" w:tentative="1">
      <w:start w:val="1"/>
      <w:numFmt w:val="lowerRoman"/>
      <w:lvlText w:val="%6."/>
      <w:lvlJc w:val="right"/>
      <w:pPr>
        <w:ind w:left="5607" w:hanging="180"/>
      </w:pPr>
    </w:lvl>
    <w:lvl w:ilvl="6" w:tplc="2C0A000F" w:tentative="1">
      <w:start w:val="1"/>
      <w:numFmt w:val="decimal"/>
      <w:lvlText w:val="%7."/>
      <w:lvlJc w:val="left"/>
      <w:pPr>
        <w:ind w:left="6327" w:hanging="360"/>
      </w:pPr>
    </w:lvl>
    <w:lvl w:ilvl="7" w:tplc="2C0A0019" w:tentative="1">
      <w:start w:val="1"/>
      <w:numFmt w:val="lowerLetter"/>
      <w:lvlText w:val="%8."/>
      <w:lvlJc w:val="left"/>
      <w:pPr>
        <w:ind w:left="7047" w:hanging="360"/>
      </w:pPr>
    </w:lvl>
    <w:lvl w:ilvl="8" w:tplc="2C0A001B" w:tentative="1">
      <w:start w:val="1"/>
      <w:numFmt w:val="lowerRoman"/>
      <w:lvlText w:val="%9."/>
      <w:lvlJc w:val="right"/>
      <w:pPr>
        <w:ind w:left="7767" w:hanging="180"/>
      </w:pPr>
    </w:lvl>
  </w:abstractNum>
  <w:abstractNum w:abstractNumId="310">
    <w:nsid w:val="39EC4144"/>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1">
    <w:nsid w:val="39F80C3A"/>
    <w:multiLevelType w:val="hybridMultilevel"/>
    <w:tmpl w:val="B8B8E47E"/>
    <w:lvl w:ilvl="0" w:tplc="6FCEB9E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2">
    <w:nsid w:val="3A396745"/>
    <w:multiLevelType w:val="multilevel"/>
    <w:tmpl w:val="C7BE7754"/>
    <w:styleLink w:val="Listaactual4"/>
    <w:lvl w:ilvl="0">
      <w:start w:val="1"/>
      <w:numFmt w:val="lowerLetter"/>
      <w:lvlText w:val="%1)"/>
      <w:lvlJc w:val="left"/>
      <w:pPr>
        <w:ind w:left="720" w:hanging="360"/>
      </w:pPr>
      <w:rPr>
        <w:rFonts w:ascii="Arial" w:hAnsi="Arial" w:hint="default"/>
        <w:b w:val="0"/>
        <w:i w:val="0"/>
        <w:w w:val="103"/>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nsid w:val="3AE34AD0"/>
    <w:multiLevelType w:val="hybridMultilevel"/>
    <w:tmpl w:val="9070A95C"/>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nsid w:val="3B847A0F"/>
    <w:multiLevelType w:val="multilevel"/>
    <w:tmpl w:val="289AEBFE"/>
    <w:styleLink w:val="Estilo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5">
    <w:nsid w:val="3BC95A82"/>
    <w:multiLevelType w:val="hybridMultilevel"/>
    <w:tmpl w:val="068A4688"/>
    <w:lvl w:ilvl="0" w:tplc="26CE16D0">
      <w:start w:val="1"/>
      <w:numFmt w:val="lowerLetter"/>
      <w:lvlText w:val="%1)"/>
      <w:lvlJc w:val="left"/>
      <w:pPr>
        <w:ind w:left="360" w:hanging="360"/>
      </w:pPr>
      <w:rPr>
        <w:rFonts w:hint="default"/>
        <w:b w:val="0"/>
        <w:i w:val="0"/>
        <w:w w:val="103"/>
        <w:sz w:val="20"/>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6">
    <w:nsid w:val="3BD057E4"/>
    <w:multiLevelType w:val="hybridMultilevel"/>
    <w:tmpl w:val="AC4EC184"/>
    <w:lvl w:ilvl="0" w:tplc="8974BE62">
      <w:start w:val="1"/>
      <w:numFmt w:val="lowerLetter"/>
      <w:lvlText w:val="%1)"/>
      <w:lvlJc w:val="left"/>
      <w:pPr>
        <w:ind w:left="93" w:hanging="360"/>
      </w:pPr>
      <w:rPr>
        <w:rFonts w:hint="default"/>
        <w:b w:val="0"/>
        <w:bCs/>
      </w:rPr>
    </w:lvl>
    <w:lvl w:ilvl="1" w:tplc="080A0019" w:tentative="1">
      <w:start w:val="1"/>
      <w:numFmt w:val="lowerLetter"/>
      <w:lvlText w:val="%2."/>
      <w:lvlJc w:val="left"/>
      <w:pPr>
        <w:ind w:left="813" w:hanging="360"/>
      </w:pPr>
    </w:lvl>
    <w:lvl w:ilvl="2" w:tplc="080A001B" w:tentative="1">
      <w:start w:val="1"/>
      <w:numFmt w:val="lowerRoman"/>
      <w:lvlText w:val="%3."/>
      <w:lvlJc w:val="right"/>
      <w:pPr>
        <w:ind w:left="1533" w:hanging="180"/>
      </w:pPr>
    </w:lvl>
    <w:lvl w:ilvl="3" w:tplc="080A000F" w:tentative="1">
      <w:start w:val="1"/>
      <w:numFmt w:val="decimal"/>
      <w:lvlText w:val="%4."/>
      <w:lvlJc w:val="left"/>
      <w:pPr>
        <w:ind w:left="2253" w:hanging="360"/>
      </w:pPr>
    </w:lvl>
    <w:lvl w:ilvl="4" w:tplc="080A0019" w:tentative="1">
      <w:start w:val="1"/>
      <w:numFmt w:val="lowerLetter"/>
      <w:lvlText w:val="%5."/>
      <w:lvlJc w:val="left"/>
      <w:pPr>
        <w:ind w:left="2973" w:hanging="360"/>
      </w:pPr>
    </w:lvl>
    <w:lvl w:ilvl="5" w:tplc="080A001B" w:tentative="1">
      <w:start w:val="1"/>
      <w:numFmt w:val="lowerRoman"/>
      <w:lvlText w:val="%6."/>
      <w:lvlJc w:val="right"/>
      <w:pPr>
        <w:ind w:left="3693" w:hanging="180"/>
      </w:pPr>
    </w:lvl>
    <w:lvl w:ilvl="6" w:tplc="080A000F" w:tentative="1">
      <w:start w:val="1"/>
      <w:numFmt w:val="decimal"/>
      <w:lvlText w:val="%7."/>
      <w:lvlJc w:val="left"/>
      <w:pPr>
        <w:ind w:left="4413" w:hanging="360"/>
      </w:pPr>
    </w:lvl>
    <w:lvl w:ilvl="7" w:tplc="080A0019" w:tentative="1">
      <w:start w:val="1"/>
      <w:numFmt w:val="lowerLetter"/>
      <w:lvlText w:val="%8."/>
      <w:lvlJc w:val="left"/>
      <w:pPr>
        <w:ind w:left="5133" w:hanging="360"/>
      </w:pPr>
    </w:lvl>
    <w:lvl w:ilvl="8" w:tplc="080A001B" w:tentative="1">
      <w:start w:val="1"/>
      <w:numFmt w:val="lowerRoman"/>
      <w:lvlText w:val="%9."/>
      <w:lvlJc w:val="right"/>
      <w:pPr>
        <w:ind w:left="5853" w:hanging="180"/>
      </w:pPr>
    </w:lvl>
  </w:abstractNum>
  <w:abstractNum w:abstractNumId="317">
    <w:nsid w:val="3BEA3755"/>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8">
    <w:nsid w:val="3BED2B42"/>
    <w:multiLevelType w:val="hybridMultilevel"/>
    <w:tmpl w:val="88BE8904"/>
    <w:lvl w:ilvl="0" w:tplc="FFFFFFFF">
      <w:start w:val="1"/>
      <w:numFmt w:val="lowerLetter"/>
      <w:lvlText w:val="%1)"/>
      <w:lvlJc w:val="left"/>
      <w:pPr>
        <w:ind w:left="1560" w:hanging="567"/>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9">
    <w:nsid w:val="3C223733"/>
    <w:multiLevelType w:val="multilevel"/>
    <w:tmpl w:val="2048BFD4"/>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0">
    <w:nsid w:val="3C2A650A"/>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1">
    <w:nsid w:val="3C3C19D3"/>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2">
    <w:nsid w:val="3C5307DF"/>
    <w:multiLevelType w:val="hybridMultilevel"/>
    <w:tmpl w:val="11B800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3">
    <w:nsid w:val="3C781AD5"/>
    <w:multiLevelType w:val="hybridMultilevel"/>
    <w:tmpl w:val="550660DC"/>
    <w:lvl w:ilvl="0" w:tplc="FBAA5FD8">
      <w:start w:val="1"/>
      <w:numFmt w:val="lowerLetter"/>
      <w:lvlText w:val="%1)"/>
      <w:lvlJc w:val="left"/>
      <w:pPr>
        <w:ind w:left="1559"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4">
    <w:nsid w:val="3C820A5E"/>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25">
    <w:nsid w:val="3C960237"/>
    <w:multiLevelType w:val="multilevel"/>
    <w:tmpl w:val="156AD164"/>
    <w:styleLink w:val="Listaactual7"/>
    <w:lvl w:ilvl="0">
      <w:start w:val="1"/>
      <w:numFmt w:val="lowerLetter"/>
      <w:lvlText w:val="%1)"/>
      <w:lvlJc w:val="left"/>
      <w:pPr>
        <w:ind w:left="720" w:hanging="360"/>
      </w:pPr>
      <w:rPr>
        <w:rFonts w:ascii="Arial" w:hAnsi="Arial" w:hint="default"/>
        <w:b w:val="0"/>
        <w:i w:val="0"/>
        <w:w w:val="103"/>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nsid w:val="3CA250E3"/>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nsid w:val="3CED1BC2"/>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8">
    <w:nsid w:val="3D96730F"/>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9">
    <w:nsid w:val="3DA40AD4"/>
    <w:multiLevelType w:val="hybridMultilevel"/>
    <w:tmpl w:val="DC043BBE"/>
    <w:lvl w:ilvl="0" w:tplc="EC1443A6">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A3BE1C72">
      <w:start w:val="1"/>
      <w:numFmt w:val="lowerLetter"/>
      <w:lvlText w:val="%2"/>
      <w:lvlJc w:val="left"/>
      <w:pPr>
        <w:ind w:left="70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CB6464EE">
      <w:start w:val="1"/>
      <w:numFmt w:val="lowerRoman"/>
      <w:lvlText w:val="%3"/>
      <w:lvlJc w:val="left"/>
      <w:pPr>
        <w:ind w:left="105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594C3F02">
      <w:start w:val="1"/>
      <w:numFmt w:val="decimal"/>
      <w:lvlText w:val="%4"/>
      <w:lvlJc w:val="left"/>
      <w:pPr>
        <w:ind w:left="14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6A6E81F6">
      <w:start w:val="1"/>
      <w:numFmt w:val="lowerLetter"/>
      <w:lvlRestart w:val="0"/>
      <w:lvlText w:val="%5)"/>
      <w:lvlJc w:val="left"/>
      <w:pPr>
        <w:ind w:left="1733"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54C46C74">
      <w:start w:val="1"/>
      <w:numFmt w:val="lowerRoman"/>
      <w:lvlText w:val="%6"/>
      <w:lvlJc w:val="left"/>
      <w:pPr>
        <w:ind w:left="247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0EA67B7A">
      <w:start w:val="1"/>
      <w:numFmt w:val="decimal"/>
      <w:lvlText w:val="%7"/>
      <w:lvlJc w:val="left"/>
      <w:pPr>
        <w:ind w:left="319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9A366F0C">
      <w:start w:val="1"/>
      <w:numFmt w:val="lowerLetter"/>
      <w:lvlText w:val="%8"/>
      <w:lvlJc w:val="left"/>
      <w:pPr>
        <w:ind w:left="391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9D729A9E">
      <w:start w:val="1"/>
      <w:numFmt w:val="lowerRoman"/>
      <w:lvlText w:val="%9"/>
      <w:lvlJc w:val="left"/>
      <w:pPr>
        <w:ind w:left="463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30">
    <w:nsid w:val="3DD3072C"/>
    <w:multiLevelType w:val="hybridMultilevel"/>
    <w:tmpl w:val="2AC2C4F6"/>
    <w:lvl w:ilvl="0" w:tplc="B650C092">
      <w:start w:val="1"/>
      <w:numFmt w:val="lowerLetter"/>
      <w:lvlText w:val="%1)"/>
      <w:lvlJc w:val="left"/>
      <w:pPr>
        <w:ind w:left="1560" w:hanging="567"/>
      </w:pPr>
      <w:rPr>
        <w:rFonts w:hint="default"/>
        <w:b w:val="0"/>
        <w:bCs/>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331">
    <w:nsid w:val="3E5D3F48"/>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2">
    <w:nsid w:val="3E6313E9"/>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3">
    <w:nsid w:val="3EB150C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nsid w:val="3EC37456"/>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5">
    <w:nsid w:val="3EE94407"/>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36">
    <w:nsid w:val="3F427DAF"/>
    <w:multiLevelType w:val="hybridMultilevel"/>
    <w:tmpl w:val="AB660218"/>
    <w:lvl w:ilvl="0" w:tplc="FFFFFFFF">
      <w:start w:val="1"/>
      <w:numFmt w:val="lowerRoman"/>
      <w:lvlText w:val="(%1)"/>
      <w:lvlJc w:val="right"/>
      <w:pPr>
        <w:ind w:left="2155" w:hanging="170"/>
      </w:pPr>
      <w:rPr>
        <w:rFonts w:hint="default"/>
      </w:rPr>
    </w:lvl>
    <w:lvl w:ilvl="1" w:tplc="FFFFFFFF">
      <w:start w:val="1"/>
      <w:numFmt w:val="lowerLetter"/>
      <w:lvlText w:val="%2."/>
      <w:lvlJc w:val="left"/>
      <w:pPr>
        <w:ind w:left="1837" w:hanging="360"/>
      </w:pPr>
    </w:lvl>
    <w:lvl w:ilvl="2" w:tplc="FFFFFFFF">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37">
    <w:nsid w:val="3F5F598E"/>
    <w:multiLevelType w:val="hybridMultilevel"/>
    <w:tmpl w:val="AA6EB9EC"/>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nsid w:val="3F6124F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39">
    <w:nsid w:val="3F915CB4"/>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0">
    <w:nsid w:val="3F97391F"/>
    <w:multiLevelType w:val="hybridMultilevel"/>
    <w:tmpl w:val="8F5C3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nsid w:val="3FB6769C"/>
    <w:multiLevelType w:val="multilevel"/>
    <w:tmpl w:val="289AEB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2">
    <w:nsid w:val="3FD870D9"/>
    <w:multiLevelType w:val="hybridMultilevel"/>
    <w:tmpl w:val="C91CC9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3">
    <w:nsid w:val="404145B4"/>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4">
    <w:nsid w:val="409B432E"/>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nsid w:val="40AE2351"/>
    <w:multiLevelType w:val="hybridMultilevel"/>
    <w:tmpl w:val="DC9C069A"/>
    <w:lvl w:ilvl="0" w:tplc="A1EEB1FE">
      <w:start w:val="971"/>
      <w:numFmt w:val="decimal"/>
      <w:lvlText w:val="%1."/>
      <w:lvlJc w:val="left"/>
      <w:pPr>
        <w:ind w:left="937"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4BB85AF6">
      <w:start w:val="1"/>
      <w:numFmt w:val="lowerLetter"/>
      <w:lvlText w:val="%2)"/>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804A3746">
      <w:start w:val="1"/>
      <w:numFmt w:val="lowerRoman"/>
      <w:lvlText w:val="(%3)"/>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3" w:tplc="6A5EFE0C">
      <w:start w:val="1"/>
      <w:numFmt w:val="decimal"/>
      <w:lvlText w:val="%4"/>
      <w:lvlJc w:val="left"/>
      <w:pPr>
        <w:ind w:left="254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AE5C69C8">
      <w:start w:val="1"/>
      <w:numFmt w:val="lowerLetter"/>
      <w:lvlText w:val="%5"/>
      <w:lvlJc w:val="left"/>
      <w:pPr>
        <w:ind w:left="326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9940CB34">
      <w:start w:val="1"/>
      <w:numFmt w:val="lowerRoman"/>
      <w:lvlText w:val="%6"/>
      <w:lvlJc w:val="left"/>
      <w:pPr>
        <w:ind w:left="398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3EA22402">
      <w:start w:val="1"/>
      <w:numFmt w:val="decimal"/>
      <w:lvlText w:val="%7"/>
      <w:lvlJc w:val="left"/>
      <w:pPr>
        <w:ind w:left="470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B274A65E">
      <w:start w:val="1"/>
      <w:numFmt w:val="lowerLetter"/>
      <w:lvlText w:val="%8"/>
      <w:lvlJc w:val="left"/>
      <w:pPr>
        <w:ind w:left="542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DCAEA956">
      <w:start w:val="1"/>
      <w:numFmt w:val="lowerRoman"/>
      <w:lvlText w:val="%9"/>
      <w:lvlJc w:val="left"/>
      <w:pPr>
        <w:ind w:left="614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46">
    <w:nsid w:val="40CE6DDF"/>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nsid w:val="40D74019"/>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8">
    <w:nsid w:val="40E419DD"/>
    <w:multiLevelType w:val="hybridMultilevel"/>
    <w:tmpl w:val="0FBAC018"/>
    <w:lvl w:ilvl="0" w:tplc="FFFFFFFF">
      <w:start w:val="1"/>
      <w:numFmt w:val="lowerLetter"/>
      <w:lvlText w:val="%1)"/>
      <w:lvlJc w:val="left"/>
      <w:pPr>
        <w:ind w:left="720" w:hanging="360"/>
      </w:pPr>
      <w:rPr>
        <w:rFonts w:hint="default"/>
      </w:rPr>
    </w:lvl>
    <w:lvl w:ilvl="1" w:tplc="11F65130">
      <w:start w:val="1"/>
      <w:numFmt w:val="upperRoman"/>
      <w:lvlText w:val="(%2)."/>
      <w:lvlJc w:val="left"/>
      <w:pPr>
        <w:ind w:left="1440" w:hanging="360"/>
      </w:pPr>
      <w:rPr>
        <w:rFonts w:hint="default"/>
        <w:i w:val="0"/>
        <w:iCs w:val="0"/>
        <w:sz w:val="20"/>
        <w:szCs w:val="20"/>
      </w:rPr>
    </w:lvl>
    <w:lvl w:ilvl="2" w:tplc="03A898B8">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9">
    <w:nsid w:val="41356109"/>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0">
    <w:nsid w:val="417205E5"/>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1">
    <w:nsid w:val="418C65CF"/>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2">
    <w:nsid w:val="41D96125"/>
    <w:multiLevelType w:val="hybridMultilevel"/>
    <w:tmpl w:val="2A6A6AD6"/>
    <w:lvl w:ilvl="0" w:tplc="5B66B27C">
      <w:start w:val="1"/>
      <w:numFmt w:val="lowerRoman"/>
      <w:lvlText w:val="(%1)"/>
      <w:lvlJc w:val="right"/>
      <w:pPr>
        <w:ind w:left="2098" w:hanging="170"/>
      </w:pPr>
      <w:rPr>
        <w:rFonts w:hint="default"/>
      </w:rPr>
    </w:lvl>
    <w:lvl w:ilvl="1" w:tplc="2C0A0019" w:tentative="1">
      <w:start w:val="1"/>
      <w:numFmt w:val="lowerLetter"/>
      <w:lvlText w:val="%2."/>
      <w:lvlJc w:val="left"/>
      <w:pPr>
        <w:ind w:left="1780" w:hanging="360"/>
      </w:pPr>
    </w:lvl>
    <w:lvl w:ilvl="2" w:tplc="2C0A001B" w:tentative="1">
      <w:start w:val="1"/>
      <w:numFmt w:val="lowerRoman"/>
      <w:lvlText w:val="%3."/>
      <w:lvlJc w:val="right"/>
      <w:pPr>
        <w:ind w:left="2500" w:hanging="180"/>
      </w:pPr>
    </w:lvl>
    <w:lvl w:ilvl="3" w:tplc="2C0A000F" w:tentative="1">
      <w:start w:val="1"/>
      <w:numFmt w:val="decimal"/>
      <w:lvlText w:val="%4."/>
      <w:lvlJc w:val="left"/>
      <w:pPr>
        <w:ind w:left="3220" w:hanging="360"/>
      </w:pPr>
    </w:lvl>
    <w:lvl w:ilvl="4" w:tplc="2C0A0019" w:tentative="1">
      <w:start w:val="1"/>
      <w:numFmt w:val="lowerLetter"/>
      <w:lvlText w:val="%5."/>
      <w:lvlJc w:val="left"/>
      <w:pPr>
        <w:ind w:left="3940" w:hanging="360"/>
      </w:pPr>
    </w:lvl>
    <w:lvl w:ilvl="5" w:tplc="2C0A001B" w:tentative="1">
      <w:start w:val="1"/>
      <w:numFmt w:val="lowerRoman"/>
      <w:lvlText w:val="%6."/>
      <w:lvlJc w:val="right"/>
      <w:pPr>
        <w:ind w:left="4660" w:hanging="180"/>
      </w:pPr>
    </w:lvl>
    <w:lvl w:ilvl="6" w:tplc="2C0A000F" w:tentative="1">
      <w:start w:val="1"/>
      <w:numFmt w:val="decimal"/>
      <w:lvlText w:val="%7."/>
      <w:lvlJc w:val="left"/>
      <w:pPr>
        <w:ind w:left="5380" w:hanging="360"/>
      </w:pPr>
    </w:lvl>
    <w:lvl w:ilvl="7" w:tplc="2C0A0019" w:tentative="1">
      <w:start w:val="1"/>
      <w:numFmt w:val="lowerLetter"/>
      <w:lvlText w:val="%8."/>
      <w:lvlJc w:val="left"/>
      <w:pPr>
        <w:ind w:left="6100" w:hanging="360"/>
      </w:pPr>
    </w:lvl>
    <w:lvl w:ilvl="8" w:tplc="2C0A001B" w:tentative="1">
      <w:start w:val="1"/>
      <w:numFmt w:val="lowerRoman"/>
      <w:lvlText w:val="%9."/>
      <w:lvlJc w:val="right"/>
      <w:pPr>
        <w:ind w:left="6820" w:hanging="180"/>
      </w:pPr>
    </w:lvl>
  </w:abstractNum>
  <w:abstractNum w:abstractNumId="353">
    <w:nsid w:val="420C06FC"/>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4">
    <w:nsid w:val="42173AF5"/>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5">
    <w:nsid w:val="421C5F55"/>
    <w:multiLevelType w:val="hybridMultilevel"/>
    <w:tmpl w:val="291A491E"/>
    <w:lvl w:ilvl="0" w:tplc="FFFFFFFF">
      <w:start w:val="1"/>
      <w:numFmt w:val="lowerLetter"/>
      <w:lvlText w:val="%1)"/>
      <w:lvlJc w:val="left"/>
      <w:pPr>
        <w:ind w:left="1712" w:hanging="360"/>
      </w:pPr>
    </w:lvl>
    <w:lvl w:ilvl="1" w:tplc="FFFFFFFF">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56">
    <w:nsid w:val="421D0473"/>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7">
    <w:nsid w:val="422C5AD8"/>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nsid w:val="42515C0A"/>
    <w:multiLevelType w:val="multilevel"/>
    <w:tmpl w:val="FB7C48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9">
    <w:nsid w:val="42591741"/>
    <w:multiLevelType w:val="hybridMultilevel"/>
    <w:tmpl w:val="7A0EDDA6"/>
    <w:lvl w:ilvl="0" w:tplc="415497B2">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0">
    <w:nsid w:val="42A574CE"/>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61">
    <w:nsid w:val="42E34C94"/>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2">
    <w:nsid w:val="42F43ADF"/>
    <w:multiLevelType w:val="hybridMultilevel"/>
    <w:tmpl w:val="252C80B0"/>
    <w:lvl w:ilvl="0" w:tplc="FFFFFFFF">
      <w:start w:val="1"/>
      <w:numFmt w:val="lowerRoman"/>
      <w:lvlText w:val="(%1)"/>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3">
    <w:nsid w:val="43392751"/>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4">
    <w:nsid w:val="433D4F16"/>
    <w:multiLevelType w:val="multilevel"/>
    <w:tmpl w:val="4F62C326"/>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5">
    <w:nsid w:val="434314D3"/>
    <w:multiLevelType w:val="hybridMultilevel"/>
    <w:tmpl w:val="3F6685E4"/>
    <w:lvl w:ilvl="0" w:tplc="0C36B00C">
      <w:start w:val="1"/>
      <w:numFmt w:val="decimal"/>
      <w:lvlText w:val="%1."/>
      <w:lvlJc w:val="left"/>
      <w:pPr>
        <w:ind w:left="993" w:hanging="567"/>
      </w:pPr>
      <w:rPr>
        <w:rFonts w:ascii="Arial" w:hAnsi="Arial" w:cs="Arial" w:hint="default"/>
        <w:b w:val="0"/>
        <w:bCs/>
        <w:sz w:val="22"/>
        <w:szCs w:val="22"/>
      </w:rPr>
    </w:lvl>
    <w:lvl w:ilvl="1" w:tplc="B650C092">
      <w:start w:val="1"/>
      <w:numFmt w:val="lowerLetter"/>
      <w:lvlText w:val="%2)"/>
      <w:lvlJc w:val="left"/>
      <w:pPr>
        <w:ind w:left="1134" w:hanging="567"/>
      </w:pPr>
      <w:rPr>
        <w:rFonts w:hint="default"/>
        <w:b w:val="0"/>
        <w:bCs/>
      </w:rPr>
    </w:lvl>
    <w:lvl w:ilvl="2" w:tplc="FA66E34A">
      <w:start w:val="1"/>
      <w:numFmt w:val="lowerLetter"/>
      <w:lvlText w:val="%3)"/>
      <w:lvlJc w:val="left"/>
      <w:pPr>
        <w:ind w:left="1758" w:hanging="170"/>
      </w:pPr>
      <w:rPr>
        <w:rFonts w:hint="default"/>
        <w:b w:val="0"/>
        <w:bCs w:val="0"/>
      </w:r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6">
    <w:nsid w:val="435546E4"/>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7">
    <w:nsid w:val="446176F6"/>
    <w:multiLevelType w:val="hybridMultilevel"/>
    <w:tmpl w:val="2098A74E"/>
    <w:lvl w:ilvl="0" w:tplc="FFFFFFFF">
      <w:start w:val="1"/>
      <w:numFmt w:val="lowerLetter"/>
      <w:lvlText w:val="%1)"/>
      <w:lvlJc w:val="left"/>
      <w:pPr>
        <w:ind w:left="1712" w:hanging="360"/>
      </w:pPr>
    </w:lvl>
    <w:lvl w:ilvl="1" w:tplc="5B66B27C">
      <w:start w:val="1"/>
      <w:numFmt w:val="lowerRoman"/>
      <w:lvlText w:val="(%2)"/>
      <w:lvlJc w:val="right"/>
      <w:pPr>
        <w:ind w:left="2083"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68">
    <w:nsid w:val="44867C84"/>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9">
    <w:nsid w:val="448A27BE"/>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0">
    <w:nsid w:val="44942672"/>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71">
    <w:nsid w:val="44AA72D1"/>
    <w:multiLevelType w:val="multilevel"/>
    <w:tmpl w:val="FB7C48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2">
    <w:nsid w:val="44AB0F0B"/>
    <w:multiLevelType w:val="hybridMultilevel"/>
    <w:tmpl w:val="9070A95C"/>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nsid w:val="44C868B2"/>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nsid w:val="44D268E1"/>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5">
    <w:nsid w:val="452C69A7"/>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6">
    <w:nsid w:val="458C49A7"/>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7">
    <w:nsid w:val="45940127"/>
    <w:multiLevelType w:val="multilevel"/>
    <w:tmpl w:val="32B484BE"/>
    <w:styleLink w:val="Listaactual1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nsid w:val="45AD3162"/>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79">
    <w:nsid w:val="45C12EC4"/>
    <w:multiLevelType w:val="hybridMultilevel"/>
    <w:tmpl w:val="0FBAC018"/>
    <w:lvl w:ilvl="0" w:tplc="FFFFFFFF">
      <w:start w:val="1"/>
      <w:numFmt w:val="lowerLetter"/>
      <w:lvlText w:val="%1)"/>
      <w:lvlJc w:val="left"/>
      <w:pPr>
        <w:ind w:left="720" w:hanging="360"/>
      </w:pPr>
      <w:rPr>
        <w:rFonts w:hint="default"/>
      </w:rPr>
    </w:lvl>
    <w:lvl w:ilvl="1" w:tplc="FFFFFFFF">
      <w:start w:val="1"/>
      <w:numFmt w:val="upperRoman"/>
      <w:lvlText w:val="(%2)."/>
      <w:lvlJc w:val="left"/>
      <w:pPr>
        <w:ind w:left="1440" w:hanging="360"/>
      </w:pPr>
      <w:rPr>
        <w:rFonts w:hint="default"/>
        <w:i w:val="0"/>
        <w:iCs w:val="0"/>
        <w:sz w:val="20"/>
        <w:szCs w:val="20"/>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0">
    <w:nsid w:val="464D2E63"/>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1">
    <w:nsid w:val="46590361"/>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2">
    <w:nsid w:val="465F7D15"/>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83">
    <w:nsid w:val="46601647"/>
    <w:multiLevelType w:val="multilevel"/>
    <w:tmpl w:val="FC8AD4DA"/>
    <w:lvl w:ilvl="0">
      <w:start w:val="1"/>
      <w:numFmt w:val="decimal"/>
      <w:lvlText w:val="%1."/>
      <w:lvlJc w:val="left"/>
      <w:pPr>
        <w:ind w:left="360" w:hanging="360"/>
      </w:pPr>
      <w:rPr>
        <w:rFonts w:hint="default"/>
      </w:rPr>
    </w:lvl>
    <w:lvl w:ilvl="1">
      <w:start w:val="1"/>
      <w:numFmt w:val="lowerLetter"/>
      <w:lvlText w:val="%2)"/>
      <w:lvlJc w:val="left"/>
      <w:pPr>
        <w:ind w:left="1559" w:hanging="567"/>
      </w:pPr>
      <w:rPr>
        <w:rFonts w:hint="default"/>
        <w:lang w:val="es-AR"/>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4">
    <w:nsid w:val="466B47A0"/>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5">
    <w:nsid w:val="467F38A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6">
    <w:nsid w:val="468A6D28"/>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7">
    <w:nsid w:val="47110FD5"/>
    <w:multiLevelType w:val="hybridMultilevel"/>
    <w:tmpl w:val="44F85CDC"/>
    <w:lvl w:ilvl="0" w:tplc="9E2A33D6">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8">
    <w:nsid w:val="47722986"/>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9">
    <w:nsid w:val="47857684"/>
    <w:multiLevelType w:val="hybridMultilevel"/>
    <w:tmpl w:val="252C80B0"/>
    <w:lvl w:ilvl="0" w:tplc="FFFFFFFF">
      <w:start w:val="1"/>
      <w:numFmt w:val="lowerRoman"/>
      <w:lvlText w:val="(%1)"/>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0">
    <w:nsid w:val="47B072E0"/>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1">
    <w:nsid w:val="47BD4FCB"/>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2">
    <w:nsid w:val="48176377"/>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3">
    <w:nsid w:val="48CB4D96"/>
    <w:multiLevelType w:val="hybridMultilevel"/>
    <w:tmpl w:val="11E040D6"/>
    <w:lvl w:ilvl="0" w:tplc="BA1898C2">
      <w:start w:val="1"/>
      <w:numFmt w:val="lowerRoman"/>
      <w:lvlText w:val="(%1)"/>
      <w:lvlJc w:val="left"/>
      <w:pPr>
        <w:ind w:left="1920" w:hanging="360"/>
      </w:pPr>
      <w:rPr>
        <w:rFonts w:ascii="Arial" w:eastAsiaTheme="minorHAnsi" w:hAnsi="Arial" w:cs="Arial"/>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94">
    <w:nsid w:val="49131137"/>
    <w:multiLevelType w:val="hybridMultilevel"/>
    <w:tmpl w:val="B89CF2C2"/>
    <w:lvl w:ilvl="0" w:tplc="5B66B27C">
      <w:start w:val="1"/>
      <w:numFmt w:val="lowerRoman"/>
      <w:lvlText w:val="(%1)"/>
      <w:lvlJc w:val="right"/>
      <w:pPr>
        <w:ind w:left="2534" w:hanging="360"/>
      </w:pPr>
      <w:rPr>
        <w:rFonts w:hint="default"/>
        <w:b w:val="0"/>
        <w:bCs w:val="0"/>
        <w:sz w:val="20"/>
        <w:szCs w:val="20"/>
      </w:rPr>
    </w:lvl>
    <w:lvl w:ilvl="1" w:tplc="FFFFFFFF" w:tentative="1">
      <w:start w:val="1"/>
      <w:numFmt w:val="lowerLetter"/>
      <w:lvlText w:val="%2."/>
      <w:lvlJc w:val="left"/>
      <w:pPr>
        <w:ind w:left="3254" w:hanging="360"/>
      </w:pPr>
    </w:lvl>
    <w:lvl w:ilvl="2" w:tplc="FFFFFFFF" w:tentative="1">
      <w:start w:val="1"/>
      <w:numFmt w:val="lowerRoman"/>
      <w:lvlText w:val="%3."/>
      <w:lvlJc w:val="right"/>
      <w:pPr>
        <w:ind w:left="3974" w:hanging="180"/>
      </w:pPr>
    </w:lvl>
    <w:lvl w:ilvl="3" w:tplc="FFFFFFFF" w:tentative="1">
      <w:start w:val="1"/>
      <w:numFmt w:val="decimal"/>
      <w:lvlText w:val="%4."/>
      <w:lvlJc w:val="left"/>
      <w:pPr>
        <w:ind w:left="4694" w:hanging="360"/>
      </w:pPr>
    </w:lvl>
    <w:lvl w:ilvl="4" w:tplc="FFFFFFFF" w:tentative="1">
      <w:start w:val="1"/>
      <w:numFmt w:val="lowerLetter"/>
      <w:lvlText w:val="%5."/>
      <w:lvlJc w:val="left"/>
      <w:pPr>
        <w:ind w:left="5414" w:hanging="360"/>
      </w:pPr>
    </w:lvl>
    <w:lvl w:ilvl="5" w:tplc="FFFFFFFF" w:tentative="1">
      <w:start w:val="1"/>
      <w:numFmt w:val="lowerRoman"/>
      <w:lvlText w:val="%6."/>
      <w:lvlJc w:val="right"/>
      <w:pPr>
        <w:ind w:left="6134" w:hanging="180"/>
      </w:pPr>
    </w:lvl>
    <w:lvl w:ilvl="6" w:tplc="FFFFFFFF" w:tentative="1">
      <w:start w:val="1"/>
      <w:numFmt w:val="decimal"/>
      <w:lvlText w:val="%7."/>
      <w:lvlJc w:val="left"/>
      <w:pPr>
        <w:ind w:left="6854" w:hanging="360"/>
      </w:pPr>
    </w:lvl>
    <w:lvl w:ilvl="7" w:tplc="FFFFFFFF" w:tentative="1">
      <w:start w:val="1"/>
      <w:numFmt w:val="lowerLetter"/>
      <w:lvlText w:val="%8."/>
      <w:lvlJc w:val="left"/>
      <w:pPr>
        <w:ind w:left="7574" w:hanging="360"/>
      </w:pPr>
    </w:lvl>
    <w:lvl w:ilvl="8" w:tplc="FFFFFFFF" w:tentative="1">
      <w:start w:val="1"/>
      <w:numFmt w:val="lowerRoman"/>
      <w:lvlText w:val="%9."/>
      <w:lvlJc w:val="right"/>
      <w:pPr>
        <w:ind w:left="8294" w:hanging="180"/>
      </w:pPr>
    </w:lvl>
  </w:abstractNum>
  <w:abstractNum w:abstractNumId="395">
    <w:nsid w:val="496C7894"/>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6">
    <w:nsid w:val="49C07EAB"/>
    <w:multiLevelType w:val="hybridMultilevel"/>
    <w:tmpl w:val="92B257CC"/>
    <w:lvl w:ilvl="0" w:tplc="63ECE8B2">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AD6A4364">
      <w:start w:val="1"/>
      <w:numFmt w:val="lowerLetter"/>
      <w:lvlText w:val="%2"/>
      <w:lvlJc w:val="left"/>
      <w:pPr>
        <w:ind w:left="67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DC343C26">
      <w:start w:val="1"/>
      <w:numFmt w:val="lowerRoman"/>
      <w:lvlText w:val="%3"/>
      <w:lvlJc w:val="left"/>
      <w:pPr>
        <w:ind w:left="98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6BDA1B10">
      <w:start w:val="1"/>
      <w:numFmt w:val="lowerLetter"/>
      <w:lvlText w:val="%4)"/>
      <w:lvlJc w:val="left"/>
      <w:pPr>
        <w:ind w:left="720" w:hanging="360"/>
      </w:pPr>
      <w:rPr>
        <w:rFonts w:ascii="Arial" w:hAnsi="Arial" w:hint="default"/>
        <w:b w:val="0"/>
        <w:i w:val="0"/>
        <w:w w:val="103"/>
        <w:sz w:val="20"/>
        <w:szCs w:val="20"/>
      </w:rPr>
    </w:lvl>
    <w:lvl w:ilvl="4" w:tplc="4C245A90">
      <w:start w:val="1"/>
      <w:numFmt w:val="lowerRoman"/>
      <w:lvlRestart w:val="0"/>
      <w:lvlText w:val="(%5)"/>
      <w:lvlJc w:val="left"/>
      <w:pPr>
        <w:ind w:left="1867"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60982396">
      <w:start w:val="1"/>
      <w:numFmt w:val="lowerRoman"/>
      <w:lvlText w:val="%6"/>
      <w:lvlJc w:val="left"/>
      <w:pPr>
        <w:ind w:left="232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9B883A52">
      <w:start w:val="1"/>
      <w:numFmt w:val="decimal"/>
      <w:lvlText w:val="%7"/>
      <w:lvlJc w:val="left"/>
      <w:pPr>
        <w:ind w:left="304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CD65766">
      <w:start w:val="1"/>
      <w:numFmt w:val="lowerLetter"/>
      <w:lvlText w:val="%8"/>
      <w:lvlJc w:val="left"/>
      <w:pPr>
        <w:ind w:left="376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6A7469C8">
      <w:start w:val="1"/>
      <w:numFmt w:val="lowerRoman"/>
      <w:lvlText w:val="%9"/>
      <w:lvlJc w:val="left"/>
      <w:pPr>
        <w:ind w:left="448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97">
    <w:nsid w:val="4A130CA2"/>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8">
    <w:nsid w:val="4A155EC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9">
    <w:nsid w:val="4A4E578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00">
    <w:nsid w:val="4A8B0646"/>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1">
    <w:nsid w:val="4AA31355"/>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2">
    <w:nsid w:val="4AB66E0C"/>
    <w:multiLevelType w:val="hybridMultilevel"/>
    <w:tmpl w:val="FE9AE376"/>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403">
    <w:nsid w:val="4B071EA6"/>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4">
    <w:nsid w:val="4B0D653E"/>
    <w:multiLevelType w:val="hybridMultilevel"/>
    <w:tmpl w:val="ABF2FE44"/>
    <w:lvl w:ilvl="0" w:tplc="FFFFFFFF">
      <w:start w:val="1"/>
      <w:numFmt w:val="lowerRoman"/>
      <w:lvlText w:val="(%1)"/>
      <w:lvlJc w:val="right"/>
      <w:pPr>
        <w:ind w:left="1985" w:hanging="170"/>
      </w:pPr>
      <w:rPr>
        <w:rFonts w:hint="default"/>
      </w:r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405">
    <w:nsid w:val="4B391B85"/>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6">
    <w:nsid w:val="4B4C55AE"/>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07">
    <w:nsid w:val="4B5E08DB"/>
    <w:multiLevelType w:val="hybridMultilevel"/>
    <w:tmpl w:val="0E8A3422"/>
    <w:lvl w:ilvl="0" w:tplc="FFFFFFFF">
      <w:start w:val="971"/>
      <w:numFmt w:val="decimal"/>
      <w:lvlText w:val="%1."/>
      <w:lvlJc w:val="left"/>
      <w:pPr>
        <w:ind w:left="937"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start w:val="1"/>
      <w:numFmt w:val="lowerLetter"/>
      <w:lvlText w:val="%2)"/>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FFFFFFFF">
      <w:start w:val="1"/>
      <w:numFmt w:val="lowerRoman"/>
      <w:lvlText w:val="(%3)"/>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3" w:tplc="FFFFFFFF">
      <w:start w:val="1"/>
      <w:numFmt w:val="decimal"/>
      <w:lvlText w:val="%4"/>
      <w:lvlJc w:val="left"/>
      <w:pPr>
        <w:ind w:left="254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FFFFFFF">
      <w:start w:val="1"/>
      <w:numFmt w:val="lowerLetter"/>
      <w:lvlText w:val="%5"/>
      <w:lvlJc w:val="left"/>
      <w:pPr>
        <w:ind w:left="326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FFFFFFF">
      <w:start w:val="1"/>
      <w:numFmt w:val="lowerRoman"/>
      <w:lvlText w:val="%6"/>
      <w:lvlJc w:val="left"/>
      <w:pPr>
        <w:ind w:left="398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FFFFFFFF">
      <w:start w:val="1"/>
      <w:numFmt w:val="decimal"/>
      <w:lvlText w:val="%7"/>
      <w:lvlJc w:val="left"/>
      <w:pPr>
        <w:ind w:left="470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FFFFFFF">
      <w:start w:val="1"/>
      <w:numFmt w:val="lowerLetter"/>
      <w:lvlText w:val="%8"/>
      <w:lvlJc w:val="left"/>
      <w:pPr>
        <w:ind w:left="542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FFFFFFF">
      <w:start w:val="1"/>
      <w:numFmt w:val="lowerRoman"/>
      <w:lvlText w:val="%9"/>
      <w:lvlJc w:val="left"/>
      <w:pPr>
        <w:ind w:left="614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08">
    <w:nsid w:val="4BB52234"/>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9">
    <w:nsid w:val="4BC05B88"/>
    <w:multiLevelType w:val="hybridMultilevel"/>
    <w:tmpl w:val="88BE8904"/>
    <w:lvl w:ilvl="0" w:tplc="FFFFFFFF">
      <w:start w:val="1"/>
      <w:numFmt w:val="lowerLetter"/>
      <w:lvlText w:val="%1)"/>
      <w:lvlJc w:val="left"/>
      <w:pPr>
        <w:ind w:left="1560" w:hanging="567"/>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0">
    <w:nsid w:val="4C046D59"/>
    <w:multiLevelType w:val="hybridMultilevel"/>
    <w:tmpl w:val="16D07EE4"/>
    <w:lvl w:ilvl="0" w:tplc="6AB8AD7C">
      <w:start w:val="1"/>
      <w:numFmt w:val="lowerLetter"/>
      <w:lvlText w:val="(%1)"/>
      <w:lvlJc w:val="left"/>
      <w:pPr>
        <w:ind w:left="360" w:hanging="360"/>
      </w:pPr>
      <w:rPr>
        <w:rFonts w:ascii="Arial" w:hAnsi="Arial" w:cs="Arial" w:hint="default"/>
        <w:color w:val="auto"/>
        <w:sz w:val="16"/>
        <w:szCs w:val="16"/>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1">
    <w:nsid w:val="4C8F559A"/>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2">
    <w:nsid w:val="4CC5772D"/>
    <w:multiLevelType w:val="hybridMultilevel"/>
    <w:tmpl w:val="9070A95C"/>
    <w:lvl w:ilvl="0" w:tplc="FFFFFFFF">
      <w:start w:val="1"/>
      <w:numFmt w:val="lowerLetter"/>
      <w:lvlText w:val="%1)"/>
      <w:lvlJc w:val="left"/>
      <w:pPr>
        <w:ind w:left="1560" w:hanging="567"/>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3">
    <w:nsid w:val="4CEC3A1A"/>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4">
    <w:nsid w:val="4CF63100"/>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5">
    <w:nsid w:val="4D033EED"/>
    <w:multiLevelType w:val="multilevel"/>
    <w:tmpl w:val="289AEBFE"/>
    <w:numStyleLink w:val="Estilo2"/>
  </w:abstractNum>
  <w:abstractNum w:abstractNumId="416">
    <w:nsid w:val="4D7D7AC9"/>
    <w:multiLevelType w:val="hybridMultilevel"/>
    <w:tmpl w:val="4AF61CA0"/>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7">
    <w:nsid w:val="4D8F2567"/>
    <w:multiLevelType w:val="hybridMultilevel"/>
    <w:tmpl w:val="63DA32B2"/>
    <w:lvl w:ilvl="0" w:tplc="FFFFFFFF">
      <w:start w:val="1"/>
      <w:numFmt w:val="lowerLetter"/>
      <w:lvlText w:val="%1)"/>
      <w:lvlJc w:val="left"/>
      <w:pPr>
        <w:ind w:left="1647" w:hanging="567"/>
      </w:pPr>
      <w:rPr>
        <w:rFonts w:hint="default"/>
        <w:b w:val="0"/>
        <w:bCs/>
      </w:rPr>
    </w:lvl>
    <w:lvl w:ilvl="1" w:tplc="FFFFFFFF" w:tentative="1">
      <w:start w:val="1"/>
      <w:numFmt w:val="lowerLetter"/>
      <w:lvlText w:val="%2."/>
      <w:lvlJc w:val="left"/>
      <w:pPr>
        <w:ind w:left="1953" w:hanging="360"/>
      </w:pPr>
    </w:lvl>
    <w:lvl w:ilvl="2" w:tplc="FFFFFFFF" w:tentative="1">
      <w:start w:val="1"/>
      <w:numFmt w:val="lowerRoman"/>
      <w:lvlText w:val="%3."/>
      <w:lvlJc w:val="right"/>
      <w:pPr>
        <w:ind w:left="2673" w:hanging="180"/>
      </w:pPr>
    </w:lvl>
    <w:lvl w:ilvl="3" w:tplc="FFFFFFFF" w:tentative="1">
      <w:start w:val="1"/>
      <w:numFmt w:val="decimal"/>
      <w:lvlText w:val="%4."/>
      <w:lvlJc w:val="left"/>
      <w:pPr>
        <w:ind w:left="3393" w:hanging="360"/>
      </w:pPr>
    </w:lvl>
    <w:lvl w:ilvl="4" w:tplc="FFFFFFFF" w:tentative="1">
      <w:start w:val="1"/>
      <w:numFmt w:val="lowerLetter"/>
      <w:lvlText w:val="%5."/>
      <w:lvlJc w:val="left"/>
      <w:pPr>
        <w:ind w:left="4113" w:hanging="360"/>
      </w:pPr>
    </w:lvl>
    <w:lvl w:ilvl="5" w:tplc="FFFFFFFF" w:tentative="1">
      <w:start w:val="1"/>
      <w:numFmt w:val="lowerRoman"/>
      <w:lvlText w:val="%6."/>
      <w:lvlJc w:val="right"/>
      <w:pPr>
        <w:ind w:left="4833" w:hanging="180"/>
      </w:pPr>
    </w:lvl>
    <w:lvl w:ilvl="6" w:tplc="FFFFFFFF" w:tentative="1">
      <w:start w:val="1"/>
      <w:numFmt w:val="decimal"/>
      <w:lvlText w:val="%7."/>
      <w:lvlJc w:val="left"/>
      <w:pPr>
        <w:ind w:left="5553" w:hanging="360"/>
      </w:pPr>
    </w:lvl>
    <w:lvl w:ilvl="7" w:tplc="FFFFFFFF" w:tentative="1">
      <w:start w:val="1"/>
      <w:numFmt w:val="lowerLetter"/>
      <w:lvlText w:val="%8."/>
      <w:lvlJc w:val="left"/>
      <w:pPr>
        <w:ind w:left="6273" w:hanging="360"/>
      </w:pPr>
    </w:lvl>
    <w:lvl w:ilvl="8" w:tplc="FFFFFFFF" w:tentative="1">
      <w:start w:val="1"/>
      <w:numFmt w:val="lowerRoman"/>
      <w:lvlText w:val="%9."/>
      <w:lvlJc w:val="right"/>
      <w:pPr>
        <w:ind w:left="6993" w:hanging="180"/>
      </w:pPr>
    </w:lvl>
  </w:abstractNum>
  <w:abstractNum w:abstractNumId="418">
    <w:nsid w:val="4DF2000F"/>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9">
    <w:nsid w:val="4DF442AF"/>
    <w:multiLevelType w:val="hybridMultilevel"/>
    <w:tmpl w:val="0FD25584"/>
    <w:lvl w:ilvl="0" w:tplc="FFFFFFFF">
      <w:start w:val="1"/>
      <w:numFmt w:val="lowerLetter"/>
      <w:lvlText w:val="%1)"/>
      <w:lvlJc w:val="left"/>
      <w:pPr>
        <w:ind w:left="1068" w:hanging="360"/>
      </w:pPr>
      <w:rPr>
        <w:rFonts w:ascii="Arial" w:hAnsi="Arial" w:hint="default"/>
        <w:b w:val="0"/>
        <w:i w:val="0"/>
        <w:w w:val="103"/>
        <w:sz w:val="20"/>
        <w:szCs w:val="2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0">
    <w:nsid w:val="4E607A3F"/>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1">
    <w:nsid w:val="4EA4387D"/>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2">
    <w:nsid w:val="4EC403BA"/>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3">
    <w:nsid w:val="4F49671B"/>
    <w:multiLevelType w:val="multilevel"/>
    <w:tmpl w:val="289AEB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4">
    <w:nsid w:val="4F5E08D8"/>
    <w:multiLevelType w:val="hybridMultilevel"/>
    <w:tmpl w:val="ABF2FE44"/>
    <w:lvl w:ilvl="0" w:tplc="FFFFFFFF">
      <w:start w:val="1"/>
      <w:numFmt w:val="lowerRoman"/>
      <w:lvlText w:val="(%1)"/>
      <w:lvlJc w:val="right"/>
      <w:pPr>
        <w:ind w:left="1985" w:hanging="170"/>
      </w:pPr>
      <w:rPr>
        <w:rFonts w:hint="default"/>
      </w:r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425">
    <w:nsid w:val="4F6F09B3"/>
    <w:multiLevelType w:val="hybridMultilevel"/>
    <w:tmpl w:val="C91CC9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6">
    <w:nsid w:val="4FBC2BE8"/>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7">
    <w:nsid w:val="4FCA42EB"/>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8">
    <w:nsid w:val="500B7E5A"/>
    <w:multiLevelType w:val="hybridMultilevel"/>
    <w:tmpl w:val="0B32BF46"/>
    <w:lvl w:ilvl="0" w:tplc="59D49968">
      <w:start w:val="1"/>
      <w:numFmt w:val="lowerLetter"/>
      <w:lvlText w:val="%1)"/>
      <w:lvlJc w:val="left"/>
      <w:pPr>
        <w:ind w:left="1778" w:hanging="360"/>
      </w:pPr>
      <w:rPr>
        <w:rFonts w:hint="default"/>
        <w:b w:val="0"/>
        <w:i w:val="0"/>
        <w:strike w:val="0"/>
        <w:dstrike w:val="0"/>
        <w:color w:val="000000"/>
        <w:sz w:val="20"/>
        <w:szCs w:val="20"/>
        <w:u w:val="none" w:color="000000"/>
        <w:effect w:val="none"/>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9">
    <w:nsid w:val="5025714D"/>
    <w:multiLevelType w:val="hybridMultilevel"/>
    <w:tmpl w:val="4AF61CA0"/>
    <w:lvl w:ilvl="0" w:tplc="FFFFFFFF">
      <w:start w:val="1"/>
      <w:numFmt w:val="lowerLetter"/>
      <w:lvlText w:val="%1)"/>
      <w:lvlJc w:val="left"/>
      <w:pPr>
        <w:ind w:left="4820" w:hanging="567"/>
      </w:pPr>
      <w:rPr>
        <w:rFonts w:hint="default"/>
        <w:b w:val="0"/>
        <w:bCs/>
      </w:rPr>
    </w:lvl>
    <w:lvl w:ilvl="1" w:tplc="FFFFFFFF" w:tentative="1">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430">
    <w:nsid w:val="504F21A8"/>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1">
    <w:nsid w:val="50760839"/>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2">
    <w:nsid w:val="507E4847"/>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3">
    <w:nsid w:val="50866D60"/>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4">
    <w:nsid w:val="50E940EC"/>
    <w:multiLevelType w:val="hybridMultilevel"/>
    <w:tmpl w:val="92EE254A"/>
    <w:lvl w:ilvl="0" w:tplc="63D696C6">
      <w:start w:val="1"/>
      <w:numFmt w:val="lowerRoman"/>
      <w:lvlText w:val="(%1)"/>
      <w:lvlJc w:val="right"/>
      <w:pPr>
        <w:ind w:left="1985" w:hanging="17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5">
    <w:nsid w:val="513A52B6"/>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6">
    <w:nsid w:val="51445FFF"/>
    <w:multiLevelType w:val="multilevel"/>
    <w:tmpl w:val="322E75B2"/>
    <w:styleLink w:val="Listaactual1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7">
    <w:nsid w:val="514925B2"/>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8">
    <w:nsid w:val="51697C2F"/>
    <w:multiLevelType w:val="hybridMultilevel"/>
    <w:tmpl w:val="5E74EEEA"/>
    <w:lvl w:ilvl="0" w:tplc="264A4A50">
      <w:start w:val="1"/>
      <w:numFmt w:val="lowerLetter"/>
      <w:lvlText w:val="%1)"/>
      <w:lvlJc w:val="left"/>
      <w:pPr>
        <w:ind w:left="1069"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9">
    <w:nsid w:val="523805CA"/>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40">
    <w:nsid w:val="52536F31"/>
    <w:multiLevelType w:val="multilevel"/>
    <w:tmpl w:val="32B484BE"/>
    <w:styleLink w:val="Listaactual13"/>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nsid w:val="526356D4"/>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2">
    <w:nsid w:val="526B234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3">
    <w:nsid w:val="52960A7D"/>
    <w:multiLevelType w:val="hybridMultilevel"/>
    <w:tmpl w:val="350A25C2"/>
    <w:lvl w:ilvl="0" w:tplc="3CBED572">
      <w:start w:val="1"/>
      <w:numFmt w:val="lowerLetter"/>
      <w:lvlText w:val="%1)"/>
      <w:lvlJc w:val="left"/>
      <w:pPr>
        <w:ind w:left="1134" w:hanging="567"/>
      </w:pPr>
      <w:rPr>
        <w:rFonts w:ascii="Arial" w:hAnsi="Arial" w:cs="Arial" w:hint="default"/>
        <w:b w:val="0"/>
        <w:bCs/>
        <w:i w:val="0"/>
        <w:iCs w:val="0"/>
        <w:sz w:val="20"/>
        <w:szCs w:val="2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4">
    <w:nsid w:val="52AD70E0"/>
    <w:multiLevelType w:val="hybridMultilevel"/>
    <w:tmpl w:val="A7109526"/>
    <w:lvl w:ilvl="0" w:tplc="4A4A7404">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5">
    <w:nsid w:val="52B07866"/>
    <w:multiLevelType w:val="hybridMultilevel"/>
    <w:tmpl w:val="475AA92A"/>
    <w:lvl w:ilvl="0" w:tplc="AAB0AC2A">
      <w:start w:val="880"/>
      <w:numFmt w:val="decimal"/>
      <w:lvlText w:val="%1."/>
      <w:lvlJc w:val="left"/>
      <w:pPr>
        <w:ind w:left="2019" w:firstLine="0"/>
      </w:pPr>
      <w:rPr>
        <w:rFonts w:ascii="Arial" w:eastAsia="Times New Roman" w:hAnsi="Arial" w:cs="Arial" w:hint="default"/>
        <w:b w:val="0"/>
        <w:i w:val="0"/>
        <w:strike w:val="0"/>
        <w:dstrike w:val="0"/>
        <w:color w:val="000000"/>
        <w:sz w:val="20"/>
        <w:szCs w:val="20"/>
        <w:u w:val="none" w:color="000000"/>
        <w:effect w:val="none"/>
        <w:vertAlign w:val="baseline"/>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6">
    <w:nsid w:val="52B23CD4"/>
    <w:multiLevelType w:val="hybridMultilevel"/>
    <w:tmpl w:val="8444BC42"/>
    <w:lvl w:ilvl="0" w:tplc="5B66B27C">
      <w:start w:val="1"/>
      <w:numFmt w:val="lowerRoman"/>
      <w:lvlText w:val="(%1)"/>
      <w:lvlJc w:val="right"/>
      <w:pPr>
        <w:ind w:left="2150" w:hanging="170"/>
      </w:pPr>
      <w:rPr>
        <w:rFonts w:hint="default"/>
      </w:rPr>
    </w:lvl>
    <w:lvl w:ilvl="1" w:tplc="2C0A0019" w:tentative="1">
      <w:start w:val="1"/>
      <w:numFmt w:val="lowerLetter"/>
      <w:lvlText w:val="%2."/>
      <w:lvlJc w:val="left"/>
      <w:pPr>
        <w:ind w:left="1832" w:hanging="360"/>
      </w:pPr>
    </w:lvl>
    <w:lvl w:ilvl="2" w:tplc="2C0A001B" w:tentative="1">
      <w:start w:val="1"/>
      <w:numFmt w:val="lowerRoman"/>
      <w:lvlText w:val="%3."/>
      <w:lvlJc w:val="right"/>
      <w:pPr>
        <w:ind w:left="2552" w:hanging="180"/>
      </w:pPr>
    </w:lvl>
    <w:lvl w:ilvl="3" w:tplc="2C0A000F" w:tentative="1">
      <w:start w:val="1"/>
      <w:numFmt w:val="decimal"/>
      <w:lvlText w:val="%4."/>
      <w:lvlJc w:val="left"/>
      <w:pPr>
        <w:ind w:left="3272" w:hanging="360"/>
      </w:pPr>
    </w:lvl>
    <w:lvl w:ilvl="4" w:tplc="2C0A0019" w:tentative="1">
      <w:start w:val="1"/>
      <w:numFmt w:val="lowerLetter"/>
      <w:lvlText w:val="%5."/>
      <w:lvlJc w:val="left"/>
      <w:pPr>
        <w:ind w:left="3992" w:hanging="360"/>
      </w:pPr>
    </w:lvl>
    <w:lvl w:ilvl="5" w:tplc="2C0A001B" w:tentative="1">
      <w:start w:val="1"/>
      <w:numFmt w:val="lowerRoman"/>
      <w:lvlText w:val="%6."/>
      <w:lvlJc w:val="right"/>
      <w:pPr>
        <w:ind w:left="4712" w:hanging="180"/>
      </w:pPr>
    </w:lvl>
    <w:lvl w:ilvl="6" w:tplc="2C0A000F" w:tentative="1">
      <w:start w:val="1"/>
      <w:numFmt w:val="decimal"/>
      <w:lvlText w:val="%7."/>
      <w:lvlJc w:val="left"/>
      <w:pPr>
        <w:ind w:left="5432" w:hanging="360"/>
      </w:pPr>
    </w:lvl>
    <w:lvl w:ilvl="7" w:tplc="2C0A0019" w:tentative="1">
      <w:start w:val="1"/>
      <w:numFmt w:val="lowerLetter"/>
      <w:lvlText w:val="%8."/>
      <w:lvlJc w:val="left"/>
      <w:pPr>
        <w:ind w:left="6152" w:hanging="360"/>
      </w:pPr>
    </w:lvl>
    <w:lvl w:ilvl="8" w:tplc="2C0A001B" w:tentative="1">
      <w:start w:val="1"/>
      <w:numFmt w:val="lowerRoman"/>
      <w:lvlText w:val="%9."/>
      <w:lvlJc w:val="right"/>
      <w:pPr>
        <w:ind w:left="6872" w:hanging="180"/>
      </w:pPr>
    </w:lvl>
  </w:abstractNum>
  <w:abstractNum w:abstractNumId="447">
    <w:nsid w:val="52D75892"/>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8">
    <w:nsid w:val="52DA4A26"/>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9">
    <w:nsid w:val="52FC612D"/>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50">
    <w:nsid w:val="53227541"/>
    <w:multiLevelType w:val="hybridMultilevel"/>
    <w:tmpl w:val="E90036C4"/>
    <w:lvl w:ilvl="0" w:tplc="FFFFFFFF">
      <w:start w:val="1"/>
      <w:numFmt w:val="decimal"/>
      <w:lvlText w:val="%1."/>
      <w:lvlJc w:val="lef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1">
    <w:nsid w:val="53250542"/>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52">
    <w:nsid w:val="534B3164"/>
    <w:multiLevelType w:val="hybridMultilevel"/>
    <w:tmpl w:val="1F6E41B6"/>
    <w:lvl w:ilvl="0" w:tplc="2C0A000F">
      <w:start w:val="1"/>
      <w:numFmt w:val="decimal"/>
      <w:lvlText w:val="%1."/>
      <w:lvlJc w:val="left"/>
      <w:pPr>
        <w:ind w:left="2484" w:hanging="360"/>
      </w:p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453">
    <w:nsid w:val="53553A03"/>
    <w:multiLevelType w:val="hybridMultilevel"/>
    <w:tmpl w:val="A2B6AA2C"/>
    <w:lvl w:ilvl="0" w:tplc="C7B4F9BE">
      <w:start w:val="1"/>
      <w:numFmt w:val="lowerRoman"/>
      <w:lvlText w:val="(%1)"/>
      <w:lvlJc w:val="left"/>
      <w:pPr>
        <w:ind w:left="192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4">
    <w:nsid w:val="53593D87"/>
    <w:multiLevelType w:val="hybridMultilevel"/>
    <w:tmpl w:val="F5A0A00C"/>
    <w:lvl w:ilvl="0" w:tplc="92949BB2">
      <w:start w:val="1"/>
      <w:numFmt w:val="lowerLetter"/>
      <w:lvlText w:val="%1)"/>
      <w:lvlJc w:val="right"/>
      <w:pPr>
        <w:ind w:left="1758" w:hanging="170"/>
      </w:pPr>
      <w:rPr>
        <w:rFonts w:ascii="Arial" w:eastAsia="Times New Roman" w:hAnsi="Arial" w:cs="Arial"/>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5">
    <w:nsid w:val="5390016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56">
    <w:nsid w:val="53DD148E"/>
    <w:multiLevelType w:val="hybridMultilevel"/>
    <w:tmpl w:val="8444BC42"/>
    <w:lvl w:ilvl="0" w:tplc="5B66B27C">
      <w:start w:val="1"/>
      <w:numFmt w:val="lowerRoman"/>
      <w:lvlText w:val="(%1)"/>
      <w:lvlJc w:val="right"/>
      <w:pPr>
        <w:ind w:left="2150" w:hanging="170"/>
      </w:pPr>
      <w:rPr>
        <w:rFonts w:hint="default"/>
      </w:rPr>
    </w:lvl>
    <w:lvl w:ilvl="1" w:tplc="2C0A0019" w:tentative="1">
      <w:start w:val="1"/>
      <w:numFmt w:val="lowerLetter"/>
      <w:lvlText w:val="%2."/>
      <w:lvlJc w:val="left"/>
      <w:pPr>
        <w:ind w:left="1832" w:hanging="360"/>
      </w:pPr>
    </w:lvl>
    <w:lvl w:ilvl="2" w:tplc="2C0A001B" w:tentative="1">
      <w:start w:val="1"/>
      <w:numFmt w:val="lowerRoman"/>
      <w:lvlText w:val="%3."/>
      <w:lvlJc w:val="right"/>
      <w:pPr>
        <w:ind w:left="2552" w:hanging="180"/>
      </w:pPr>
    </w:lvl>
    <w:lvl w:ilvl="3" w:tplc="2C0A000F" w:tentative="1">
      <w:start w:val="1"/>
      <w:numFmt w:val="decimal"/>
      <w:lvlText w:val="%4."/>
      <w:lvlJc w:val="left"/>
      <w:pPr>
        <w:ind w:left="3272" w:hanging="360"/>
      </w:pPr>
    </w:lvl>
    <w:lvl w:ilvl="4" w:tplc="2C0A0019" w:tentative="1">
      <w:start w:val="1"/>
      <w:numFmt w:val="lowerLetter"/>
      <w:lvlText w:val="%5."/>
      <w:lvlJc w:val="left"/>
      <w:pPr>
        <w:ind w:left="3992" w:hanging="360"/>
      </w:pPr>
    </w:lvl>
    <w:lvl w:ilvl="5" w:tplc="2C0A001B" w:tentative="1">
      <w:start w:val="1"/>
      <w:numFmt w:val="lowerRoman"/>
      <w:lvlText w:val="%6."/>
      <w:lvlJc w:val="right"/>
      <w:pPr>
        <w:ind w:left="4712" w:hanging="180"/>
      </w:pPr>
    </w:lvl>
    <w:lvl w:ilvl="6" w:tplc="2C0A000F" w:tentative="1">
      <w:start w:val="1"/>
      <w:numFmt w:val="decimal"/>
      <w:lvlText w:val="%7."/>
      <w:lvlJc w:val="left"/>
      <w:pPr>
        <w:ind w:left="5432" w:hanging="360"/>
      </w:pPr>
    </w:lvl>
    <w:lvl w:ilvl="7" w:tplc="2C0A0019" w:tentative="1">
      <w:start w:val="1"/>
      <w:numFmt w:val="lowerLetter"/>
      <w:lvlText w:val="%8."/>
      <w:lvlJc w:val="left"/>
      <w:pPr>
        <w:ind w:left="6152" w:hanging="360"/>
      </w:pPr>
    </w:lvl>
    <w:lvl w:ilvl="8" w:tplc="2C0A001B" w:tentative="1">
      <w:start w:val="1"/>
      <w:numFmt w:val="lowerRoman"/>
      <w:lvlText w:val="%9."/>
      <w:lvlJc w:val="right"/>
      <w:pPr>
        <w:ind w:left="6872" w:hanging="180"/>
      </w:pPr>
    </w:lvl>
  </w:abstractNum>
  <w:abstractNum w:abstractNumId="457">
    <w:nsid w:val="53E245E5"/>
    <w:multiLevelType w:val="multilevel"/>
    <w:tmpl w:val="7FAEB3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8">
    <w:nsid w:val="53EA7716"/>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9">
    <w:nsid w:val="53F6497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60">
    <w:nsid w:val="546E49D6"/>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1">
    <w:nsid w:val="54714137"/>
    <w:multiLevelType w:val="hybridMultilevel"/>
    <w:tmpl w:val="400A2E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2">
    <w:nsid w:val="54737961"/>
    <w:multiLevelType w:val="hybridMultilevel"/>
    <w:tmpl w:val="2AC2C4F6"/>
    <w:lvl w:ilvl="0" w:tplc="FFFFFFFF">
      <w:start w:val="1"/>
      <w:numFmt w:val="lowerLetter"/>
      <w:lvlText w:val="%1)"/>
      <w:lvlJc w:val="left"/>
      <w:pPr>
        <w:ind w:left="1560" w:hanging="567"/>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63">
    <w:nsid w:val="547970B8"/>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4">
    <w:nsid w:val="54A20AD8"/>
    <w:multiLevelType w:val="hybridMultilevel"/>
    <w:tmpl w:val="280EE6BC"/>
    <w:lvl w:ilvl="0" w:tplc="401E0EFE">
      <w:start w:val="1"/>
      <w:numFmt w:val="lowerLetter"/>
      <w:lvlText w:val="%1)"/>
      <w:lvlJc w:val="left"/>
      <w:pPr>
        <w:ind w:left="1867"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3B2C55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044A01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75281996">
      <w:start w:val="1"/>
      <w:numFmt w:val="decimal"/>
      <w:lvlText w:val="%4"/>
      <w:lvlJc w:val="left"/>
      <w:pPr>
        <w:ind w:left="2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D57A4A9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B93A73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244A6CF4">
      <w:start w:val="1"/>
      <w:numFmt w:val="decimal"/>
      <w:lvlText w:val="%7"/>
      <w:lvlJc w:val="left"/>
      <w:pPr>
        <w:ind w:left="4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672A13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1A3E076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65">
    <w:nsid w:val="54FE63F2"/>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6">
    <w:nsid w:val="551A2115"/>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7">
    <w:nsid w:val="552A62D4"/>
    <w:multiLevelType w:val="hybridMultilevel"/>
    <w:tmpl w:val="F6E450A2"/>
    <w:lvl w:ilvl="0" w:tplc="BA222704">
      <w:start w:val="1"/>
      <w:numFmt w:val="upperRoman"/>
      <w:lvlText w:val="(%1)"/>
      <w:lvlJc w:val="right"/>
      <w:pPr>
        <w:ind w:left="2534" w:hanging="360"/>
      </w:pPr>
      <w:rPr>
        <w:rFonts w:hint="default"/>
        <w:b w:val="0"/>
        <w:bCs w:val="0"/>
        <w:sz w:val="20"/>
        <w:szCs w:val="20"/>
      </w:rPr>
    </w:lvl>
    <w:lvl w:ilvl="1" w:tplc="FFFFFFFF" w:tentative="1">
      <w:start w:val="1"/>
      <w:numFmt w:val="lowerLetter"/>
      <w:lvlText w:val="%2."/>
      <w:lvlJc w:val="left"/>
      <w:pPr>
        <w:ind w:left="3254" w:hanging="360"/>
      </w:pPr>
    </w:lvl>
    <w:lvl w:ilvl="2" w:tplc="FFFFFFFF" w:tentative="1">
      <w:start w:val="1"/>
      <w:numFmt w:val="lowerRoman"/>
      <w:lvlText w:val="%3."/>
      <w:lvlJc w:val="right"/>
      <w:pPr>
        <w:ind w:left="3974" w:hanging="180"/>
      </w:pPr>
    </w:lvl>
    <w:lvl w:ilvl="3" w:tplc="FFFFFFFF" w:tentative="1">
      <w:start w:val="1"/>
      <w:numFmt w:val="decimal"/>
      <w:lvlText w:val="%4."/>
      <w:lvlJc w:val="left"/>
      <w:pPr>
        <w:ind w:left="4694" w:hanging="360"/>
      </w:pPr>
    </w:lvl>
    <w:lvl w:ilvl="4" w:tplc="FFFFFFFF" w:tentative="1">
      <w:start w:val="1"/>
      <w:numFmt w:val="lowerLetter"/>
      <w:lvlText w:val="%5."/>
      <w:lvlJc w:val="left"/>
      <w:pPr>
        <w:ind w:left="5414" w:hanging="360"/>
      </w:pPr>
    </w:lvl>
    <w:lvl w:ilvl="5" w:tplc="FFFFFFFF" w:tentative="1">
      <w:start w:val="1"/>
      <w:numFmt w:val="lowerRoman"/>
      <w:lvlText w:val="%6."/>
      <w:lvlJc w:val="right"/>
      <w:pPr>
        <w:ind w:left="6134" w:hanging="180"/>
      </w:pPr>
    </w:lvl>
    <w:lvl w:ilvl="6" w:tplc="FFFFFFFF" w:tentative="1">
      <w:start w:val="1"/>
      <w:numFmt w:val="decimal"/>
      <w:lvlText w:val="%7."/>
      <w:lvlJc w:val="left"/>
      <w:pPr>
        <w:ind w:left="6854" w:hanging="360"/>
      </w:pPr>
    </w:lvl>
    <w:lvl w:ilvl="7" w:tplc="FFFFFFFF" w:tentative="1">
      <w:start w:val="1"/>
      <w:numFmt w:val="lowerLetter"/>
      <w:lvlText w:val="%8."/>
      <w:lvlJc w:val="left"/>
      <w:pPr>
        <w:ind w:left="7574" w:hanging="360"/>
      </w:pPr>
    </w:lvl>
    <w:lvl w:ilvl="8" w:tplc="FFFFFFFF" w:tentative="1">
      <w:start w:val="1"/>
      <w:numFmt w:val="lowerRoman"/>
      <w:lvlText w:val="%9."/>
      <w:lvlJc w:val="right"/>
      <w:pPr>
        <w:ind w:left="8294" w:hanging="180"/>
      </w:pPr>
    </w:lvl>
  </w:abstractNum>
  <w:abstractNum w:abstractNumId="468">
    <w:nsid w:val="55A0178D"/>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69">
    <w:nsid w:val="566A6852"/>
    <w:multiLevelType w:val="multilevel"/>
    <w:tmpl w:val="065C30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0">
    <w:nsid w:val="568F7575"/>
    <w:multiLevelType w:val="hybridMultilevel"/>
    <w:tmpl w:val="291A491E"/>
    <w:lvl w:ilvl="0" w:tplc="FFFFFFFF">
      <w:start w:val="1"/>
      <w:numFmt w:val="lowerLetter"/>
      <w:lvlText w:val="%1)"/>
      <w:lvlJc w:val="left"/>
      <w:pPr>
        <w:ind w:left="1712" w:hanging="360"/>
      </w:pPr>
    </w:lvl>
    <w:lvl w:ilvl="1" w:tplc="FFFFFFFF">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71">
    <w:nsid w:val="569B3C47"/>
    <w:multiLevelType w:val="hybridMultilevel"/>
    <w:tmpl w:val="4AF61CA0"/>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2">
    <w:nsid w:val="56BC4186"/>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3">
    <w:nsid w:val="56DB6264"/>
    <w:multiLevelType w:val="hybridMultilevel"/>
    <w:tmpl w:val="728A8878"/>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4">
    <w:nsid w:val="57756D5B"/>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5">
    <w:nsid w:val="57A51DE8"/>
    <w:multiLevelType w:val="hybridMultilevel"/>
    <w:tmpl w:val="10EA3922"/>
    <w:lvl w:ilvl="0" w:tplc="3D92618E">
      <w:start w:val="1"/>
      <w:numFmt w:val="lowerLetter"/>
      <w:lvlText w:val="%1)"/>
      <w:lvlJc w:val="left"/>
      <w:pPr>
        <w:ind w:left="927" w:hanging="360"/>
      </w:pPr>
      <w:rPr>
        <w:rFonts w:hint="default"/>
      </w:rPr>
    </w:lvl>
    <w:lvl w:ilvl="1" w:tplc="2C0A0019">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476">
    <w:nsid w:val="57AE0599"/>
    <w:multiLevelType w:val="hybridMultilevel"/>
    <w:tmpl w:val="E8E406FA"/>
    <w:lvl w:ilvl="0" w:tplc="FFFFFFFF">
      <w:start w:val="880"/>
      <w:numFmt w:val="decimal"/>
      <w:lvlText w:val="%1."/>
      <w:lvlJc w:val="left"/>
      <w:pPr>
        <w:ind w:left="2019" w:firstLine="0"/>
      </w:pPr>
      <w:rPr>
        <w:rFonts w:ascii="Arial" w:eastAsia="Times New Roman" w:hAnsi="Arial" w:cs="Arial" w:hint="default"/>
        <w:b w:val="0"/>
        <w:i w:val="0"/>
        <w:strike w:val="0"/>
        <w:dstrike w:val="0"/>
        <w:color w:val="000000"/>
        <w:sz w:val="20"/>
        <w:szCs w:val="20"/>
        <w:u w:val="none" w:color="000000"/>
        <w:effect w:val="none"/>
        <w:vertAlign w:val="baseline"/>
      </w:rPr>
    </w:lvl>
    <w:lvl w:ilvl="1" w:tplc="FFFFFFFF">
      <w:start w:val="1"/>
      <w:numFmt w:val="lowerLetter"/>
      <w:lvlText w:val="%2."/>
      <w:lvlJc w:val="left"/>
      <w:pPr>
        <w:ind w:left="1440" w:hanging="360"/>
      </w:pPr>
    </w:lvl>
    <w:lvl w:ilvl="2" w:tplc="5B66B27C">
      <w:start w:val="1"/>
      <w:numFmt w:val="lowerRoman"/>
      <w:lvlText w:val="(%3)"/>
      <w:lvlJc w:val="right"/>
      <w:pPr>
        <w:ind w:left="2232"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7">
    <w:nsid w:val="57B576CE"/>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78">
    <w:nsid w:val="58283295"/>
    <w:multiLevelType w:val="hybridMultilevel"/>
    <w:tmpl w:val="614891F6"/>
    <w:lvl w:ilvl="0" w:tplc="87B4A58A">
      <w:start w:val="1"/>
      <w:numFmt w:val="upperRoman"/>
      <w:lvlText w:val="(%1)."/>
      <w:lvlJc w:val="left"/>
      <w:pPr>
        <w:ind w:left="1452" w:firstLine="0"/>
      </w:pPr>
      <w:rPr>
        <w:rFonts w:hint="default"/>
        <w:b w:val="0"/>
        <w:i w:val="0"/>
        <w:strike w:val="0"/>
        <w:dstrike w:val="0"/>
        <w:color w:val="000000"/>
        <w:sz w:val="20"/>
        <w:szCs w:val="20"/>
        <w:u w:val="none" w:color="000000"/>
        <w:effect w:val="none"/>
        <w:bdr w:val="none" w:sz="0" w:space="0" w:color="auto" w:frame="1"/>
        <w:vertAlign w:val="baseline"/>
      </w:rPr>
    </w:lvl>
    <w:lvl w:ilvl="1" w:tplc="FFFFFFFF">
      <w:start w:val="1"/>
      <w:numFmt w:val="lowerLetter"/>
      <w:lvlText w:val="%2"/>
      <w:lvlJc w:val="left"/>
      <w:pPr>
        <w:ind w:left="20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FFFFFFFF">
      <w:start w:val="1"/>
      <w:numFmt w:val="lowerRoman"/>
      <w:lvlText w:val="%3"/>
      <w:lvlJc w:val="left"/>
      <w:pPr>
        <w:ind w:left="27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FFFFFFFF">
      <w:start w:val="1"/>
      <w:numFmt w:val="decimal"/>
      <w:lvlText w:val="%4"/>
      <w:lvlJc w:val="left"/>
      <w:pPr>
        <w:ind w:left="35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FFFFFFF">
      <w:start w:val="1"/>
      <w:numFmt w:val="lowerLetter"/>
      <w:lvlText w:val="%5"/>
      <w:lvlJc w:val="left"/>
      <w:pPr>
        <w:ind w:left="42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FFFFFFF">
      <w:start w:val="1"/>
      <w:numFmt w:val="lowerRoman"/>
      <w:lvlText w:val="%6"/>
      <w:lvlJc w:val="left"/>
      <w:pPr>
        <w:ind w:left="49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FFFFFFFF">
      <w:start w:val="1"/>
      <w:numFmt w:val="decimal"/>
      <w:lvlText w:val="%7"/>
      <w:lvlJc w:val="left"/>
      <w:pPr>
        <w:ind w:left="56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FFFFFFF">
      <w:start w:val="1"/>
      <w:numFmt w:val="lowerLetter"/>
      <w:lvlText w:val="%8"/>
      <w:lvlJc w:val="left"/>
      <w:pPr>
        <w:ind w:left="63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FFFFFFF">
      <w:start w:val="1"/>
      <w:numFmt w:val="lowerRoman"/>
      <w:lvlText w:val="%9"/>
      <w:lvlJc w:val="left"/>
      <w:pPr>
        <w:ind w:left="71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79">
    <w:nsid w:val="58307CB8"/>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0">
    <w:nsid w:val="58992229"/>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1">
    <w:nsid w:val="58C557B0"/>
    <w:multiLevelType w:val="hybridMultilevel"/>
    <w:tmpl w:val="AB660218"/>
    <w:lvl w:ilvl="0" w:tplc="FFFFFFFF">
      <w:start w:val="1"/>
      <w:numFmt w:val="lowerRoman"/>
      <w:lvlText w:val="(%1)"/>
      <w:lvlJc w:val="right"/>
      <w:pPr>
        <w:ind w:left="1985" w:hanging="170"/>
      </w:pPr>
      <w:rPr>
        <w:rFonts w:hint="default"/>
      </w:rPr>
    </w:lvl>
    <w:lvl w:ilvl="1" w:tplc="FFFFFFFF" w:tentative="1">
      <w:start w:val="1"/>
      <w:numFmt w:val="lowerLetter"/>
      <w:lvlText w:val="%2."/>
      <w:lvlJc w:val="left"/>
      <w:pPr>
        <w:ind w:left="1667" w:hanging="360"/>
      </w:pPr>
    </w:lvl>
    <w:lvl w:ilvl="2" w:tplc="FFFFFFFF" w:tentative="1">
      <w:start w:val="1"/>
      <w:numFmt w:val="lowerRoman"/>
      <w:lvlText w:val="%3."/>
      <w:lvlJc w:val="right"/>
      <w:pPr>
        <w:ind w:left="2387" w:hanging="180"/>
      </w:pPr>
    </w:lvl>
    <w:lvl w:ilvl="3" w:tplc="FFFFFFFF" w:tentative="1">
      <w:start w:val="1"/>
      <w:numFmt w:val="decimal"/>
      <w:lvlText w:val="%4."/>
      <w:lvlJc w:val="left"/>
      <w:pPr>
        <w:ind w:left="3107" w:hanging="360"/>
      </w:pPr>
    </w:lvl>
    <w:lvl w:ilvl="4" w:tplc="FFFFFFFF" w:tentative="1">
      <w:start w:val="1"/>
      <w:numFmt w:val="lowerLetter"/>
      <w:lvlText w:val="%5."/>
      <w:lvlJc w:val="left"/>
      <w:pPr>
        <w:ind w:left="3827" w:hanging="360"/>
      </w:pPr>
    </w:lvl>
    <w:lvl w:ilvl="5" w:tplc="FFFFFFFF" w:tentative="1">
      <w:start w:val="1"/>
      <w:numFmt w:val="lowerRoman"/>
      <w:lvlText w:val="%6."/>
      <w:lvlJc w:val="right"/>
      <w:pPr>
        <w:ind w:left="4547" w:hanging="180"/>
      </w:pPr>
    </w:lvl>
    <w:lvl w:ilvl="6" w:tplc="FFFFFFFF" w:tentative="1">
      <w:start w:val="1"/>
      <w:numFmt w:val="decimal"/>
      <w:lvlText w:val="%7."/>
      <w:lvlJc w:val="left"/>
      <w:pPr>
        <w:ind w:left="5267" w:hanging="360"/>
      </w:pPr>
    </w:lvl>
    <w:lvl w:ilvl="7" w:tplc="FFFFFFFF" w:tentative="1">
      <w:start w:val="1"/>
      <w:numFmt w:val="lowerLetter"/>
      <w:lvlText w:val="%8."/>
      <w:lvlJc w:val="left"/>
      <w:pPr>
        <w:ind w:left="5987" w:hanging="360"/>
      </w:pPr>
    </w:lvl>
    <w:lvl w:ilvl="8" w:tplc="FFFFFFFF" w:tentative="1">
      <w:start w:val="1"/>
      <w:numFmt w:val="lowerRoman"/>
      <w:lvlText w:val="%9."/>
      <w:lvlJc w:val="right"/>
      <w:pPr>
        <w:ind w:left="6707" w:hanging="180"/>
      </w:pPr>
    </w:lvl>
  </w:abstractNum>
  <w:abstractNum w:abstractNumId="482">
    <w:nsid w:val="58C709E5"/>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83">
    <w:nsid w:val="591C5B55"/>
    <w:multiLevelType w:val="hybridMultilevel"/>
    <w:tmpl w:val="5FD8542C"/>
    <w:lvl w:ilvl="0" w:tplc="921E289E">
      <w:start w:val="1"/>
      <w:numFmt w:val="lowerLetter"/>
      <w:lvlText w:val="%1)"/>
      <w:lvlJc w:val="left"/>
      <w:pPr>
        <w:ind w:left="1134" w:hanging="34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4">
    <w:nsid w:val="594D2B96"/>
    <w:multiLevelType w:val="hybridMultilevel"/>
    <w:tmpl w:val="901061BC"/>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start w:val="1"/>
      <w:numFmt w:val="lowerLetter"/>
      <w:lvlText w:val="%2"/>
      <w:lvlJc w:val="left"/>
      <w:pPr>
        <w:ind w:left="20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FFFFFFFF">
      <w:start w:val="1"/>
      <w:numFmt w:val="lowerRoman"/>
      <w:lvlText w:val="%3"/>
      <w:lvlJc w:val="left"/>
      <w:pPr>
        <w:ind w:left="27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FFFFFFFF">
      <w:start w:val="1"/>
      <w:numFmt w:val="decimal"/>
      <w:lvlText w:val="%4"/>
      <w:lvlJc w:val="left"/>
      <w:pPr>
        <w:ind w:left="35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FFFFFFF">
      <w:start w:val="1"/>
      <w:numFmt w:val="lowerLetter"/>
      <w:lvlText w:val="%5"/>
      <w:lvlJc w:val="left"/>
      <w:pPr>
        <w:ind w:left="42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FFFFFFF">
      <w:start w:val="1"/>
      <w:numFmt w:val="lowerRoman"/>
      <w:lvlText w:val="%6"/>
      <w:lvlJc w:val="left"/>
      <w:pPr>
        <w:ind w:left="49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FFFFFFFF">
      <w:start w:val="1"/>
      <w:numFmt w:val="decimal"/>
      <w:lvlText w:val="%7"/>
      <w:lvlJc w:val="left"/>
      <w:pPr>
        <w:ind w:left="56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FFFFFFF">
      <w:start w:val="1"/>
      <w:numFmt w:val="lowerLetter"/>
      <w:lvlText w:val="%8"/>
      <w:lvlJc w:val="left"/>
      <w:pPr>
        <w:ind w:left="63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FFFFFFF">
      <w:start w:val="1"/>
      <w:numFmt w:val="lowerRoman"/>
      <w:lvlText w:val="%9"/>
      <w:lvlJc w:val="left"/>
      <w:pPr>
        <w:ind w:left="71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85">
    <w:nsid w:val="597C3D0F"/>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6">
    <w:nsid w:val="59957A84"/>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7">
    <w:nsid w:val="59957EE6"/>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8">
    <w:nsid w:val="59974572"/>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9">
    <w:nsid w:val="59AC774B"/>
    <w:multiLevelType w:val="hybridMultilevel"/>
    <w:tmpl w:val="135E83E6"/>
    <w:lvl w:ilvl="0" w:tplc="F1F86FB4">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BB6E0A98">
      <w:start w:val="1"/>
      <w:numFmt w:val="lowerLetter"/>
      <w:lvlText w:val="%2"/>
      <w:lvlJc w:val="left"/>
      <w:pPr>
        <w:ind w:left="102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E7CC01E">
      <w:start w:val="1"/>
      <w:numFmt w:val="lowerLetter"/>
      <w:lvlRestart w:val="0"/>
      <w:lvlText w:val="%3)"/>
      <w:lvlJc w:val="left"/>
      <w:pPr>
        <w:ind w:left="1865"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3" w:tplc="01021FF2">
      <w:start w:val="1"/>
      <w:numFmt w:val="decimal"/>
      <w:lvlText w:val="%4"/>
      <w:lvlJc w:val="left"/>
      <w:pPr>
        <w:ind w:left="241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E4401366">
      <w:start w:val="1"/>
      <w:numFmt w:val="lowerLetter"/>
      <w:lvlText w:val="%5"/>
      <w:lvlJc w:val="left"/>
      <w:pPr>
        <w:ind w:left="313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A120E01E">
      <w:start w:val="1"/>
      <w:numFmt w:val="lowerRoman"/>
      <w:lvlText w:val="%6"/>
      <w:lvlJc w:val="left"/>
      <w:pPr>
        <w:ind w:left="385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D4686BE">
      <w:start w:val="1"/>
      <w:numFmt w:val="decimal"/>
      <w:lvlText w:val="%7"/>
      <w:lvlJc w:val="left"/>
      <w:pPr>
        <w:ind w:left="457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9F6ED242">
      <w:start w:val="1"/>
      <w:numFmt w:val="lowerLetter"/>
      <w:lvlText w:val="%8"/>
      <w:lvlJc w:val="left"/>
      <w:pPr>
        <w:ind w:left="529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E048BA10">
      <w:start w:val="1"/>
      <w:numFmt w:val="lowerRoman"/>
      <w:lvlText w:val="%9"/>
      <w:lvlJc w:val="left"/>
      <w:pPr>
        <w:ind w:left="601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90">
    <w:nsid w:val="59AD04FE"/>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91">
    <w:nsid w:val="59B53E6E"/>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2">
    <w:nsid w:val="59E7468E"/>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3">
    <w:nsid w:val="5A1A5F01"/>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4">
    <w:nsid w:val="5A5C3E7F"/>
    <w:multiLevelType w:val="hybridMultilevel"/>
    <w:tmpl w:val="5DD651BC"/>
    <w:lvl w:ilvl="0" w:tplc="F1B8D85A">
      <w:start w:val="1"/>
      <w:numFmt w:val="lowerLetter"/>
      <w:lvlText w:val="%1)"/>
      <w:lvlJc w:val="left"/>
      <w:pPr>
        <w:ind w:left="720" w:hanging="360"/>
      </w:pPr>
      <w:rPr>
        <w:rFonts w:ascii="Arial" w:hAnsi="Arial" w:hint="default"/>
        <w:b w:val="0"/>
        <w:i w:val="0"/>
        <w:w w:val="103"/>
        <w:sz w:val="22"/>
        <w:szCs w:val="17"/>
      </w:rPr>
    </w:lvl>
    <w:lvl w:ilvl="1" w:tplc="15B06A04">
      <w:start w:val="1"/>
      <w:numFmt w:val="lowerRoman"/>
      <w:lvlText w:val="(%2)."/>
      <w:lvlJc w:val="right"/>
      <w:pPr>
        <w:ind w:left="1440" w:hanging="360"/>
      </w:pPr>
      <w:rPr>
        <w:rFonts w:hint="default"/>
        <w:b w:val="0"/>
        <w:bCs w:val="0"/>
        <w:sz w:val="20"/>
        <w:szCs w:val="20"/>
      </w:rPr>
    </w:lvl>
    <w:lvl w:ilvl="2" w:tplc="C114AECC">
      <w:start w:val="1"/>
      <w:numFmt w:val="decimal"/>
      <w:lvlText w:val="%3."/>
      <w:lvlJc w:val="left"/>
      <w:pPr>
        <w:ind w:left="2160" w:hanging="180"/>
      </w:pPr>
      <w:rPr>
        <w:rFonts w:ascii="Arial" w:hAnsi="Arial" w:cs="Arial" w:hint="default"/>
        <w:b w:val="0"/>
        <w:bCs/>
        <w:sz w:val="22"/>
        <w:szCs w:val="22"/>
      </w:rPr>
    </w:lvl>
    <w:lvl w:ilvl="3" w:tplc="2C0A0015">
      <w:start w:val="1"/>
      <w:numFmt w:val="upp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5">
    <w:nsid w:val="5A7B5ABC"/>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496">
    <w:nsid w:val="5AA24C58"/>
    <w:multiLevelType w:val="hybridMultilevel"/>
    <w:tmpl w:val="F880E6A2"/>
    <w:lvl w:ilvl="0" w:tplc="55A29F28">
      <w:start w:val="1"/>
      <w:numFmt w:val="lowerLetter"/>
      <w:lvlText w:val="%1)"/>
      <w:lvlJc w:val="left"/>
      <w:pPr>
        <w:ind w:left="720" w:hanging="360"/>
      </w:pPr>
      <w:rPr>
        <w:rFonts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7">
    <w:nsid w:val="5AB066AE"/>
    <w:multiLevelType w:val="hybridMultilevel"/>
    <w:tmpl w:val="C89455AC"/>
    <w:lvl w:ilvl="0" w:tplc="2C0A0017">
      <w:start w:val="1"/>
      <w:numFmt w:val="lowerLetter"/>
      <w:lvlText w:val="%1)"/>
      <w:lvlJc w:val="left"/>
      <w:pPr>
        <w:ind w:left="1776" w:hanging="360"/>
      </w:p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498">
    <w:nsid w:val="5AB7750C"/>
    <w:multiLevelType w:val="hybridMultilevel"/>
    <w:tmpl w:val="26308C96"/>
    <w:lvl w:ilvl="0" w:tplc="2C0A0017">
      <w:start w:val="1"/>
      <w:numFmt w:val="lowerLetter"/>
      <w:lvlText w:val="%1)"/>
      <w:lvlJc w:val="left"/>
      <w:pPr>
        <w:ind w:left="720" w:hanging="360"/>
      </w:pPr>
    </w:lvl>
    <w:lvl w:ilvl="1" w:tplc="BD94575C">
      <w:start w:val="1"/>
      <w:numFmt w:val="lowerRoman"/>
      <w:lvlText w:val="(%2)"/>
      <w:lvlJc w:val="left"/>
      <w:pPr>
        <w:ind w:left="1440" w:hanging="360"/>
      </w:pPr>
      <w:rPr>
        <w:rFonts w:ascii="Arial" w:eastAsia="Times New Roman" w:hAnsi="Arial" w:cs="Arial" w:hint="default"/>
        <w:b w:val="0"/>
        <w:i w:val="0"/>
        <w:strike w:val="0"/>
        <w:dstrike w:val="0"/>
        <w:color w:val="00B050"/>
        <w:sz w:val="20"/>
        <w:szCs w:val="20"/>
        <w:u w:val="none" w:color="000000"/>
        <w:bdr w:val="none" w:sz="0" w:space="0" w:color="auto"/>
        <w:shd w:val="clear" w:color="auto" w:fill="auto"/>
        <w:vertAlign w:val="baseline"/>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9">
    <w:nsid w:val="5B1047AF"/>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00">
    <w:nsid w:val="5B1D41D5"/>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1">
    <w:nsid w:val="5BAE7DD6"/>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2">
    <w:nsid w:val="5BD3663F"/>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3">
    <w:nsid w:val="5BE10317"/>
    <w:multiLevelType w:val="hybridMultilevel"/>
    <w:tmpl w:val="AB660218"/>
    <w:lvl w:ilvl="0" w:tplc="FFFFFFFF">
      <w:start w:val="1"/>
      <w:numFmt w:val="lowerRoman"/>
      <w:lvlText w:val="(%1)"/>
      <w:lvlJc w:val="right"/>
      <w:pPr>
        <w:ind w:left="2155" w:hanging="170"/>
      </w:pPr>
      <w:rPr>
        <w:rFonts w:hint="default"/>
      </w:rPr>
    </w:lvl>
    <w:lvl w:ilvl="1" w:tplc="FFFFFFFF">
      <w:start w:val="1"/>
      <w:numFmt w:val="lowerLetter"/>
      <w:lvlText w:val="%2."/>
      <w:lvlJc w:val="left"/>
      <w:pPr>
        <w:ind w:left="1837" w:hanging="360"/>
      </w:pPr>
    </w:lvl>
    <w:lvl w:ilvl="2" w:tplc="FFFFFFFF">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504">
    <w:nsid w:val="5BE23C87"/>
    <w:multiLevelType w:val="hybridMultilevel"/>
    <w:tmpl w:val="609CD682"/>
    <w:lvl w:ilvl="0" w:tplc="66623A7E">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441EB7EE">
      <w:start w:val="1"/>
      <w:numFmt w:val="lowerLetter"/>
      <w:lvlText w:val="%2"/>
      <w:lvlJc w:val="left"/>
      <w:pPr>
        <w:ind w:left="67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AF7CAA6C">
      <w:start w:val="1"/>
      <w:numFmt w:val="lowerRoman"/>
      <w:lvlText w:val="%3"/>
      <w:lvlJc w:val="left"/>
      <w:pPr>
        <w:ind w:left="98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DCEE39EE">
      <w:start w:val="1"/>
      <w:numFmt w:val="lowerLetter"/>
      <w:lvlRestart w:val="0"/>
      <w:lvlText w:val="%4)"/>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B406EC80">
      <w:start w:val="1"/>
      <w:numFmt w:val="lowerLetter"/>
      <w:lvlText w:val="%5"/>
      <w:lvlJc w:val="left"/>
      <w:pPr>
        <w:ind w:left="20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B010E404">
      <w:start w:val="1"/>
      <w:numFmt w:val="lowerRoman"/>
      <w:lvlText w:val="%6"/>
      <w:lvlJc w:val="left"/>
      <w:pPr>
        <w:ind w:left="27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F466A904">
      <w:start w:val="1"/>
      <w:numFmt w:val="decimal"/>
      <w:lvlText w:val="%7"/>
      <w:lvlJc w:val="left"/>
      <w:pPr>
        <w:ind w:left="34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B16ABA0A">
      <w:start w:val="1"/>
      <w:numFmt w:val="lowerLetter"/>
      <w:lvlText w:val="%8"/>
      <w:lvlJc w:val="left"/>
      <w:pPr>
        <w:ind w:left="41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896EBE4C">
      <w:start w:val="1"/>
      <w:numFmt w:val="lowerRoman"/>
      <w:lvlText w:val="%9"/>
      <w:lvlJc w:val="left"/>
      <w:pPr>
        <w:ind w:left="48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05">
    <w:nsid w:val="5BE4044D"/>
    <w:multiLevelType w:val="hybridMultilevel"/>
    <w:tmpl w:val="2FDC9518"/>
    <w:lvl w:ilvl="0" w:tplc="2C0A000F">
      <w:start w:val="1"/>
      <w:numFmt w:val="decimal"/>
      <w:lvlText w:val="%1."/>
      <w:lvlJc w:val="left"/>
      <w:pPr>
        <w:ind w:left="25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6">
    <w:nsid w:val="5BED5CD1"/>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7">
    <w:nsid w:val="5C0E5CD1"/>
    <w:multiLevelType w:val="hybridMultilevel"/>
    <w:tmpl w:val="52B2CFA2"/>
    <w:lvl w:ilvl="0" w:tplc="FFFFFFFF">
      <w:start w:val="1"/>
      <w:numFmt w:val="lowerLetter"/>
      <w:lvlText w:val="%1)"/>
      <w:lvlJc w:val="left"/>
      <w:pPr>
        <w:ind w:left="1134" w:hanging="567"/>
      </w:pPr>
      <w:rPr>
        <w:rFonts w:hint="default"/>
        <w:b w:val="0"/>
        <w:bCs/>
      </w:rPr>
    </w:lvl>
    <w:lvl w:ilvl="1" w:tplc="FFFFFFFF">
      <w:start w:val="1"/>
      <w:numFmt w:val="upp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8">
    <w:nsid w:val="5C614ECB"/>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9">
    <w:nsid w:val="5C685158"/>
    <w:multiLevelType w:val="hybridMultilevel"/>
    <w:tmpl w:val="242C1108"/>
    <w:lvl w:ilvl="0" w:tplc="A8AA12F0">
      <w:start w:val="1"/>
      <w:numFmt w:val="lowerLetter"/>
      <w:lvlText w:val="%1)"/>
      <w:lvlJc w:val="left"/>
      <w:pPr>
        <w:ind w:left="1134" w:hanging="567"/>
      </w:pPr>
      <w:rPr>
        <w:rFonts w:hint="default"/>
        <w:b w:val="0"/>
        <w:bCs/>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0">
    <w:nsid w:val="5C8A5FB6"/>
    <w:multiLevelType w:val="hybridMultilevel"/>
    <w:tmpl w:val="29F285D6"/>
    <w:lvl w:ilvl="0" w:tplc="66A438EE">
      <w:start w:val="1"/>
      <w:numFmt w:val="lowerRoman"/>
      <w:lvlRestart w:val="0"/>
      <w:lvlText w:val="(%1)"/>
      <w:lvlJc w:val="left"/>
      <w:pPr>
        <w:ind w:left="1753"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1">
    <w:nsid w:val="5CA03EA9"/>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12">
    <w:nsid w:val="5CA97E32"/>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3">
    <w:nsid w:val="5CB8440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4">
    <w:nsid w:val="5CF97D15"/>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15">
    <w:nsid w:val="5D2C2B2F"/>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6">
    <w:nsid w:val="5D3035E6"/>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7">
    <w:nsid w:val="5D4A36E0"/>
    <w:multiLevelType w:val="hybridMultilevel"/>
    <w:tmpl w:val="35126998"/>
    <w:lvl w:ilvl="0" w:tplc="4A68DB04">
      <w:start w:val="1"/>
      <w:numFmt w:val="lowerLetter"/>
      <w:lvlText w:val="%1)"/>
      <w:lvlJc w:val="left"/>
      <w:pPr>
        <w:ind w:left="1867"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B5E90A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9716CB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B8E9590">
      <w:start w:val="1"/>
      <w:numFmt w:val="decimal"/>
      <w:lvlText w:val="%4"/>
      <w:lvlJc w:val="left"/>
      <w:pPr>
        <w:ind w:left="2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2594E8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1CBE16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AC22014C">
      <w:start w:val="1"/>
      <w:numFmt w:val="decimal"/>
      <w:lvlText w:val="%7"/>
      <w:lvlJc w:val="left"/>
      <w:pPr>
        <w:ind w:left="4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1D406A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A600C6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18">
    <w:nsid w:val="5D6A6B13"/>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19">
    <w:nsid w:val="5D8C149F"/>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0">
    <w:nsid w:val="5D8D45C1"/>
    <w:multiLevelType w:val="hybridMultilevel"/>
    <w:tmpl w:val="4AF61CA0"/>
    <w:lvl w:ilvl="0" w:tplc="FFFFFFFF">
      <w:start w:val="1"/>
      <w:numFmt w:val="lowerLetter"/>
      <w:lvlText w:val="%1)"/>
      <w:lvlJc w:val="left"/>
      <w:pPr>
        <w:ind w:left="1560" w:hanging="567"/>
      </w:pPr>
      <w:rPr>
        <w:rFonts w:hint="default"/>
        <w:b w:val="0"/>
        <w:bCs/>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21">
    <w:nsid w:val="5D8E6B2C"/>
    <w:multiLevelType w:val="hybridMultilevel"/>
    <w:tmpl w:val="AA6EB9EC"/>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2">
    <w:nsid w:val="5D901DA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3">
    <w:nsid w:val="5DB40B9A"/>
    <w:multiLevelType w:val="hybridMultilevel"/>
    <w:tmpl w:val="63DA32B2"/>
    <w:lvl w:ilvl="0" w:tplc="FFFFFFFF">
      <w:start w:val="1"/>
      <w:numFmt w:val="lowerLetter"/>
      <w:lvlText w:val="%1)"/>
      <w:lvlJc w:val="left"/>
      <w:pPr>
        <w:ind w:left="1647" w:hanging="567"/>
      </w:pPr>
      <w:rPr>
        <w:rFonts w:hint="default"/>
        <w:b w:val="0"/>
        <w:bCs/>
      </w:rPr>
    </w:lvl>
    <w:lvl w:ilvl="1" w:tplc="FFFFFFFF" w:tentative="1">
      <w:start w:val="1"/>
      <w:numFmt w:val="lowerLetter"/>
      <w:lvlText w:val="%2."/>
      <w:lvlJc w:val="left"/>
      <w:pPr>
        <w:ind w:left="1953" w:hanging="360"/>
      </w:pPr>
    </w:lvl>
    <w:lvl w:ilvl="2" w:tplc="FFFFFFFF" w:tentative="1">
      <w:start w:val="1"/>
      <w:numFmt w:val="lowerRoman"/>
      <w:lvlText w:val="%3."/>
      <w:lvlJc w:val="right"/>
      <w:pPr>
        <w:ind w:left="2673" w:hanging="180"/>
      </w:pPr>
    </w:lvl>
    <w:lvl w:ilvl="3" w:tplc="FFFFFFFF" w:tentative="1">
      <w:start w:val="1"/>
      <w:numFmt w:val="decimal"/>
      <w:lvlText w:val="%4."/>
      <w:lvlJc w:val="left"/>
      <w:pPr>
        <w:ind w:left="3393" w:hanging="360"/>
      </w:pPr>
    </w:lvl>
    <w:lvl w:ilvl="4" w:tplc="FFFFFFFF" w:tentative="1">
      <w:start w:val="1"/>
      <w:numFmt w:val="lowerLetter"/>
      <w:lvlText w:val="%5."/>
      <w:lvlJc w:val="left"/>
      <w:pPr>
        <w:ind w:left="4113" w:hanging="360"/>
      </w:pPr>
    </w:lvl>
    <w:lvl w:ilvl="5" w:tplc="FFFFFFFF" w:tentative="1">
      <w:start w:val="1"/>
      <w:numFmt w:val="lowerRoman"/>
      <w:lvlText w:val="%6."/>
      <w:lvlJc w:val="right"/>
      <w:pPr>
        <w:ind w:left="4833" w:hanging="180"/>
      </w:pPr>
    </w:lvl>
    <w:lvl w:ilvl="6" w:tplc="FFFFFFFF" w:tentative="1">
      <w:start w:val="1"/>
      <w:numFmt w:val="decimal"/>
      <w:lvlText w:val="%7."/>
      <w:lvlJc w:val="left"/>
      <w:pPr>
        <w:ind w:left="5553" w:hanging="360"/>
      </w:pPr>
    </w:lvl>
    <w:lvl w:ilvl="7" w:tplc="FFFFFFFF" w:tentative="1">
      <w:start w:val="1"/>
      <w:numFmt w:val="lowerLetter"/>
      <w:lvlText w:val="%8."/>
      <w:lvlJc w:val="left"/>
      <w:pPr>
        <w:ind w:left="6273" w:hanging="360"/>
      </w:pPr>
    </w:lvl>
    <w:lvl w:ilvl="8" w:tplc="FFFFFFFF" w:tentative="1">
      <w:start w:val="1"/>
      <w:numFmt w:val="lowerRoman"/>
      <w:lvlText w:val="%9."/>
      <w:lvlJc w:val="right"/>
      <w:pPr>
        <w:ind w:left="6993" w:hanging="180"/>
      </w:pPr>
    </w:lvl>
  </w:abstractNum>
  <w:abstractNum w:abstractNumId="524">
    <w:nsid w:val="5DC80398"/>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5">
    <w:nsid w:val="5E5350ED"/>
    <w:multiLevelType w:val="hybridMultilevel"/>
    <w:tmpl w:val="8ED89132"/>
    <w:lvl w:ilvl="0" w:tplc="6380A76E">
      <w:start w:val="5"/>
      <w:numFmt w:val="lowerLetter"/>
      <w:lvlText w:val="%1)"/>
      <w:lvlJc w:val="left"/>
      <w:pPr>
        <w:ind w:left="92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6">
    <w:nsid w:val="5E5D5D88"/>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7">
    <w:nsid w:val="5E6A5F66"/>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8">
    <w:nsid w:val="5E6B6F92"/>
    <w:multiLevelType w:val="hybridMultilevel"/>
    <w:tmpl w:val="5F2809DE"/>
    <w:lvl w:ilvl="0" w:tplc="6FCEB9E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29">
    <w:nsid w:val="5E936F74"/>
    <w:multiLevelType w:val="hybridMultilevel"/>
    <w:tmpl w:val="392CDD5C"/>
    <w:lvl w:ilvl="0" w:tplc="FFFFFFFF">
      <w:start w:val="880"/>
      <w:numFmt w:val="decimal"/>
      <w:lvlText w:val="%1."/>
      <w:lvlJc w:val="left"/>
      <w:pPr>
        <w:ind w:left="2019" w:firstLine="0"/>
      </w:pPr>
      <w:rPr>
        <w:rFonts w:ascii="Arial" w:eastAsia="Times New Roman" w:hAnsi="Arial" w:cs="Arial" w:hint="default"/>
        <w:b w:val="0"/>
        <w:i w:val="0"/>
        <w:strike w:val="0"/>
        <w:dstrike w:val="0"/>
        <w:color w:val="000000"/>
        <w:sz w:val="20"/>
        <w:szCs w:val="20"/>
        <w:u w:val="none" w:color="000000"/>
        <w:effect w:val="none"/>
        <w:vertAlign w:val="baseline"/>
      </w:rPr>
    </w:lvl>
    <w:lvl w:ilvl="1" w:tplc="FFFFFFFF">
      <w:start w:val="1"/>
      <w:numFmt w:val="lowerLetter"/>
      <w:lvlText w:val="%2."/>
      <w:lvlJc w:val="left"/>
      <w:pPr>
        <w:ind w:left="1440" w:hanging="360"/>
      </w:pPr>
    </w:lvl>
    <w:lvl w:ilvl="2" w:tplc="5B66B27C">
      <w:start w:val="1"/>
      <w:numFmt w:val="lowerRoman"/>
      <w:lvlText w:val="(%3)"/>
      <w:lvlJc w:val="right"/>
      <w:pPr>
        <w:ind w:left="2232"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0">
    <w:nsid w:val="5ECD255B"/>
    <w:multiLevelType w:val="hybridMultilevel"/>
    <w:tmpl w:val="331ADE2E"/>
    <w:lvl w:ilvl="0" w:tplc="1EAE7A6A">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4AB0CCCC">
      <w:start w:val="1"/>
      <w:numFmt w:val="lowerLetter"/>
      <w:lvlText w:val="%2"/>
      <w:lvlJc w:val="left"/>
      <w:pPr>
        <w:ind w:left="20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32A2FF34">
      <w:start w:val="1"/>
      <w:numFmt w:val="lowerRoman"/>
      <w:lvlText w:val="%3"/>
      <w:lvlJc w:val="left"/>
      <w:pPr>
        <w:ind w:left="27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30E2CF06">
      <w:start w:val="1"/>
      <w:numFmt w:val="decimal"/>
      <w:lvlText w:val="%4"/>
      <w:lvlJc w:val="left"/>
      <w:pPr>
        <w:ind w:left="35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8EFCF51C">
      <w:start w:val="1"/>
      <w:numFmt w:val="lowerLetter"/>
      <w:lvlText w:val="%5"/>
      <w:lvlJc w:val="left"/>
      <w:pPr>
        <w:ind w:left="42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C488098E">
      <w:start w:val="1"/>
      <w:numFmt w:val="lowerRoman"/>
      <w:lvlText w:val="%6"/>
      <w:lvlJc w:val="left"/>
      <w:pPr>
        <w:ind w:left="49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D528D644">
      <w:start w:val="1"/>
      <w:numFmt w:val="decimal"/>
      <w:lvlText w:val="%7"/>
      <w:lvlJc w:val="left"/>
      <w:pPr>
        <w:ind w:left="56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73E46EDA">
      <w:start w:val="1"/>
      <w:numFmt w:val="lowerLetter"/>
      <w:lvlText w:val="%8"/>
      <w:lvlJc w:val="left"/>
      <w:pPr>
        <w:ind w:left="63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0888C610">
      <w:start w:val="1"/>
      <w:numFmt w:val="lowerRoman"/>
      <w:lvlText w:val="%9"/>
      <w:lvlJc w:val="left"/>
      <w:pPr>
        <w:ind w:left="71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31">
    <w:nsid w:val="5ED56D16"/>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32">
    <w:nsid w:val="5EEB35AC"/>
    <w:multiLevelType w:val="hybridMultilevel"/>
    <w:tmpl w:val="7110E3B8"/>
    <w:lvl w:ilvl="0" w:tplc="7AE88B54">
      <w:start w:val="1"/>
      <w:numFmt w:val="lowerLetter"/>
      <w:lvlText w:val="%1)"/>
      <w:lvlJc w:val="left"/>
      <w:pPr>
        <w:ind w:left="1134" w:hanging="567"/>
      </w:pPr>
      <w:rPr>
        <w:rFonts w:hint="default"/>
        <w:b w:val="0"/>
        <w:bCs/>
        <w:i w:val="0"/>
        <w:iCs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3">
    <w:nsid w:val="5EF17EB3"/>
    <w:multiLevelType w:val="hybridMultilevel"/>
    <w:tmpl w:val="E62A76AE"/>
    <w:lvl w:ilvl="0" w:tplc="5B66B27C">
      <w:start w:val="1"/>
      <w:numFmt w:val="lowerRoman"/>
      <w:lvlText w:val="(%1)"/>
      <w:lvlJc w:val="right"/>
      <w:pPr>
        <w:ind w:left="2083" w:hanging="360"/>
      </w:pPr>
      <w:rPr>
        <w:rFonts w:hint="default"/>
      </w:rPr>
    </w:lvl>
    <w:lvl w:ilvl="1" w:tplc="2C0A0019" w:tentative="1">
      <w:start w:val="1"/>
      <w:numFmt w:val="lowerLetter"/>
      <w:lvlText w:val="%2."/>
      <w:lvlJc w:val="left"/>
      <w:pPr>
        <w:ind w:left="2803" w:hanging="360"/>
      </w:pPr>
    </w:lvl>
    <w:lvl w:ilvl="2" w:tplc="2C0A001B" w:tentative="1">
      <w:start w:val="1"/>
      <w:numFmt w:val="lowerRoman"/>
      <w:lvlText w:val="%3."/>
      <w:lvlJc w:val="right"/>
      <w:pPr>
        <w:ind w:left="3523" w:hanging="180"/>
      </w:pPr>
    </w:lvl>
    <w:lvl w:ilvl="3" w:tplc="2C0A000F" w:tentative="1">
      <w:start w:val="1"/>
      <w:numFmt w:val="decimal"/>
      <w:lvlText w:val="%4."/>
      <w:lvlJc w:val="left"/>
      <w:pPr>
        <w:ind w:left="4243" w:hanging="360"/>
      </w:pPr>
    </w:lvl>
    <w:lvl w:ilvl="4" w:tplc="2C0A0019" w:tentative="1">
      <w:start w:val="1"/>
      <w:numFmt w:val="lowerLetter"/>
      <w:lvlText w:val="%5."/>
      <w:lvlJc w:val="left"/>
      <w:pPr>
        <w:ind w:left="4963" w:hanging="360"/>
      </w:pPr>
    </w:lvl>
    <w:lvl w:ilvl="5" w:tplc="2C0A001B" w:tentative="1">
      <w:start w:val="1"/>
      <w:numFmt w:val="lowerRoman"/>
      <w:lvlText w:val="%6."/>
      <w:lvlJc w:val="right"/>
      <w:pPr>
        <w:ind w:left="5683" w:hanging="180"/>
      </w:pPr>
    </w:lvl>
    <w:lvl w:ilvl="6" w:tplc="2C0A000F" w:tentative="1">
      <w:start w:val="1"/>
      <w:numFmt w:val="decimal"/>
      <w:lvlText w:val="%7."/>
      <w:lvlJc w:val="left"/>
      <w:pPr>
        <w:ind w:left="6403" w:hanging="360"/>
      </w:pPr>
    </w:lvl>
    <w:lvl w:ilvl="7" w:tplc="2C0A0019" w:tentative="1">
      <w:start w:val="1"/>
      <w:numFmt w:val="lowerLetter"/>
      <w:lvlText w:val="%8."/>
      <w:lvlJc w:val="left"/>
      <w:pPr>
        <w:ind w:left="7123" w:hanging="360"/>
      </w:pPr>
    </w:lvl>
    <w:lvl w:ilvl="8" w:tplc="2C0A001B" w:tentative="1">
      <w:start w:val="1"/>
      <w:numFmt w:val="lowerRoman"/>
      <w:lvlText w:val="%9."/>
      <w:lvlJc w:val="right"/>
      <w:pPr>
        <w:ind w:left="7843" w:hanging="180"/>
      </w:pPr>
    </w:lvl>
  </w:abstractNum>
  <w:abstractNum w:abstractNumId="534">
    <w:nsid w:val="5F2B2DE6"/>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5">
    <w:nsid w:val="602E7DA6"/>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36">
    <w:nsid w:val="603B756E"/>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7">
    <w:nsid w:val="6069579F"/>
    <w:multiLevelType w:val="hybridMultilevel"/>
    <w:tmpl w:val="BC523ABA"/>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38">
    <w:nsid w:val="60863458"/>
    <w:multiLevelType w:val="hybridMultilevel"/>
    <w:tmpl w:val="7DFE1B10"/>
    <w:lvl w:ilvl="0" w:tplc="ABF2EC94">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9B28CDEC">
      <w:start w:val="1"/>
      <w:numFmt w:val="lowerLetter"/>
      <w:lvlText w:val="%2"/>
      <w:lvlJc w:val="left"/>
      <w:pPr>
        <w:ind w:left="6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80AA5794">
      <w:start w:val="1"/>
      <w:numFmt w:val="lowerRoman"/>
      <w:lvlText w:val="%3"/>
      <w:lvlJc w:val="left"/>
      <w:pPr>
        <w:ind w:left="101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3776369E">
      <w:start w:val="1"/>
      <w:numFmt w:val="decimal"/>
      <w:lvlText w:val="%4"/>
      <w:lvlJc w:val="left"/>
      <w:pPr>
        <w:ind w:left="133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7D28C434">
      <w:start w:val="1"/>
      <w:numFmt w:val="lowerRoman"/>
      <w:lvlRestart w:val="0"/>
      <w:lvlText w:val="(%5)"/>
      <w:lvlJc w:val="left"/>
      <w:pPr>
        <w:ind w:left="1676"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020E4FC4">
      <w:start w:val="1"/>
      <w:numFmt w:val="lowerRoman"/>
      <w:lvlText w:val="%6"/>
      <w:lvlJc w:val="left"/>
      <w:pPr>
        <w:ind w:left="23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6CA8F79C">
      <w:start w:val="1"/>
      <w:numFmt w:val="decimal"/>
      <w:lvlText w:val="%7"/>
      <w:lvlJc w:val="left"/>
      <w:pPr>
        <w:ind w:left="31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B09AB842">
      <w:start w:val="1"/>
      <w:numFmt w:val="lowerLetter"/>
      <w:lvlText w:val="%8"/>
      <w:lvlJc w:val="left"/>
      <w:pPr>
        <w:ind w:left="382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667E4F46">
      <w:start w:val="1"/>
      <w:numFmt w:val="lowerRoman"/>
      <w:lvlText w:val="%9"/>
      <w:lvlJc w:val="left"/>
      <w:pPr>
        <w:ind w:left="454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39">
    <w:nsid w:val="608D5AD9"/>
    <w:multiLevelType w:val="hybridMultilevel"/>
    <w:tmpl w:val="74FC751E"/>
    <w:lvl w:ilvl="0" w:tplc="5B66B27C">
      <w:start w:val="1"/>
      <w:numFmt w:val="lowerRoman"/>
      <w:lvlText w:val="(%1)"/>
      <w:lvlJc w:val="right"/>
      <w:pPr>
        <w:ind w:left="1872" w:firstLine="0"/>
      </w:pPr>
      <w:rPr>
        <w:rFonts w:hint="default"/>
        <w:b w:val="0"/>
        <w:i w:val="0"/>
        <w:strike w:val="0"/>
        <w:dstrike w:val="0"/>
        <w:color w:val="000000"/>
        <w:sz w:val="19"/>
        <w:szCs w:val="19"/>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0">
    <w:nsid w:val="60903FBD"/>
    <w:multiLevelType w:val="hybridMultilevel"/>
    <w:tmpl w:val="744C1DF8"/>
    <w:lvl w:ilvl="0" w:tplc="1FDA5360">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9814D2CE">
      <w:start w:val="1"/>
      <w:numFmt w:val="lowerLetter"/>
      <w:lvlText w:val="%2"/>
      <w:lvlJc w:val="left"/>
      <w:pPr>
        <w:ind w:left="20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E182DFA8">
      <w:start w:val="1"/>
      <w:numFmt w:val="lowerRoman"/>
      <w:lvlText w:val="%3"/>
      <w:lvlJc w:val="left"/>
      <w:pPr>
        <w:ind w:left="27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ECAAC5E0">
      <w:start w:val="1"/>
      <w:numFmt w:val="decimal"/>
      <w:lvlText w:val="%4"/>
      <w:lvlJc w:val="left"/>
      <w:pPr>
        <w:ind w:left="35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A1420E96">
      <w:start w:val="1"/>
      <w:numFmt w:val="lowerLetter"/>
      <w:lvlText w:val="%5"/>
      <w:lvlJc w:val="left"/>
      <w:pPr>
        <w:ind w:left="42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0F0E260">
      <w:start w:val="1"/>
      <w:numFmt w:val="lowerRoman"/>
      <w:lvlText w:val="%6"/>
      <w:lvlJc w:val="left"/>
      <w:pPr>
        <w:ind w:left="49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24149EC6">
      <w:start w:val="1"/>
      <w:numFmt w:val="decimal"/>
      <w:lvlText w:val="%7"/>
      <w:lvlJc w:val="left"/>
      <w:pPr>
        <w:ind w:left="56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917E2EB4">
      <w:start w:val="1"/>
      <w:numFmt w:val="lowerLetter"/>
      <w:lvlText w:val="%8"/>
      <w:lvlJc w:val="left"/>
      <w:pPr>
        <w:ind w:left="63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E48B73A">
      <w:start w:val="1"/>
      <w:numFmt w:val="lowerRoman"/>
      <w:lvlText w:val="%9"/>
      <w:lvlJc w:val="left"/>
      <w:pPr>
        <w:ind w:left="71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41">
    <w:nsid w:val="609D305F"/>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2">
    <w:nsid w:val="60EB61A5"/>
    <w:multiLevelType w:val="hybridMultilevel"/>
    <w:tmpl w:val="9808197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3">
    <w:nsid w:val="61153035"/>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4">
    <w:nsid w:val="611F3B3D"/>
    <w:multiLevelType w:val="hybridMultilevel"/>
    <w:tmpl w:val="178EF7C4"/>
    <w:lvl w:ilvl="0" w:tplc="FFFFFFFF">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FFFFFFFF">
      <w:start w:val="1"/>
      <w:numFmt w:val="lowerLetter"/>
      <w:lvlText w:val="%2"/>
      <w:lvlJc w:val="left"/>
      <w:pPr>
        <w:ind w:left="95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FFFFFFFF">
      <w:start w:val="1"/>
      <w:numFmt w:val="lowerRoman"/>
      <w:lvlText w:val="%3"/>
      <w:lvlJc w:val="left"/>
      <w:pPr>
        <w:ind w:left="155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5B66B27C">
      <w:start w:val="1"/>
      <w:numFmt w:val="lowerRoman"/>
      <w:lvlText w:val="(%4)"/>
      <w:lvlJc w:val="right"/>
      <w:pPr>
        <w:ind w:left="2232" w:hanging="360"/>
      </w:pPr>
      <w:rPr>
        <w:rFonts w:hint="default"/>
      </w:rPr>
    </w:lvl>
    <w:lvl w:ilvl="4" w:tplc="FFFFFFFF">
      <w:start w:val="1"/>
      <w:numFmt w:val="lowerLetter"/>
      <w:lvlText w:val="%5"/>
      <w:lvlJc w:val="left"/>
      <w:pPr>
        <w:ind w:left="286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FFFFFFFF">
      <w:start w:val="1"/>
      <w:numFmt w:val="lowerRoman"/>
      <w:lvlText w:val="%6"/>
      <w:lvlJc w:val="left"/>
      <w:pPr>
        <w:ind w:left="35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FFFFFFFF">
      <w:start w:val="1"/>
      <w:numFmt w:val="decimal"/>
      <w:lvlText w:val="%7"/>
      <w:lvlJc w:val="left"/>
      <w:pPr>
        <w:ind w:left="43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FFFFFFF">
      <w:start w:val="1"/>
      <w:numFmt w:val="lowerLetter"/>
      <w:lvlText w:val="%8"/>
      <w:lvlJc w:val="left"/>
      <w:pPr>
        <w:ind w:left="502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FFFFFFFF">
      <w:start w:val="1"/>
      <w:numFmt w:val="lowerRoman"/>
      <w:lvlText w:val="%9"/>
      <w:lvlJc w:val="left"/>
      <w:pPr>
        <w:ind w:left="574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45">
    <w:nsid w:val="612D4915"/>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6">
    <w:nsid w:val="613B62B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7">
    <w:nsid w:val="614F5E31"/>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8">
    <w:nsid w:val="615D72CF"/>
    <w:multiLevelType w:val="hybridMultilevel"/>
    <w:tmpl w:val="85743C2E"/>
    <w:lvl w:ilvl="0" w:tplc="3C723F6C">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9">
    <w:nsid w:val="617C187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0">
    <w:nsid w:val="61D91890"/>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1">
    <w:nsid w:val="61F54F2A"/>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2">
    <w:nsid w:val="620365EB"/>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3">
    <w:nsid w:val="6208164D"/>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4">
    <w:nsid w:val="621B6E9A"/>
    <w:multiLevelType w:val="hybridMultilevel"/>
    <w:tmpl w:val="AD341AD4"/>
    <w:lvl w:ilvl="0" w:tplc="FFFFFFFF">
      <w:start w:val="1"/>
      <w:numFmt w:val="lowerLetter"/>
      <w:lvlText w:val="%1)"/>
      <w:lvlJc w:val="left"/>
      <w:pPr>
        <w:ind w:left="1560" w:hanging="567"/>
      </w:pPr>
      <w:rPr>
        <w:rFonts w:hint="default"/>
        <w:b w:val="0"/>
        <w:bCs/>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5">
    <w:nsid w:val="6299453E"/>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6">
    <w:nsid w:val="62D41F71"/>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57">
    <w:nsid w:val="63090F46"/>
    <w:multiLevelType w:val="hybridMultilevel"/>
    <w:tmpl w:val="66B6ADFE"/>
    <w:lvl w:ilvl="0" w:tplc="835616C0">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8">
    <w:nsid w:val="637F4928"/>
    <w:multiLevelType w:val="hybridMultilevel"/>
    <w:tmpl w:val="1F8A6296"/>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59">
    <w:nsid w:val="63853116"/>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0">
    <w:nsid w:val="638E1384"/>
    <w:multiLevelType w:val="hybridMultilevel"/>
    <w:tmpl w:val="AB660218"/>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1">
    <w:nsid w:val="63B1485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2">
    <w:nsid w:val="63E21E92"/>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3">
    <w:nsid w:val="64403541"/>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4">
    <w:nsid w:val="64736E25"/>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5">
    <w:nsid w:val="647D690C"/>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6">
    <w:nsid w:val="648F1474"/>
    <w:multiLevelType w:val="hybridMultilevel"/>
    <w:tmpl w:val="8F5C331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7">
    <w:nsid w:val="64990094"/>
    <w:multiLevelType w:val="hybridMultilevel"/>
    <w:tmpl w:val="DD885726"/>
    <w:lvl w:ilvl="0" w:tplc="BE50A142">
      <w:start w:val="1"/>
      <w:numFmt w:val="bullet"/>
      <w:lvlText w:val="•"/>
      <w:lvlJc w:val="left"/>
      <w:pPr>
        <w:ind w:left="171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E7D6A6A4">
      <w:start w:val="1"/>
      <w:numFmt w:val="bullet"/>
      <w:lvlText w:val="o"/>
      <w:lvlJc w:val="left"/>
      <w:pPr>
        <w:ind w:left="247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82A45A58">
      <w:start w:val="1"/>
      <w:numFmt w:val="bullet"/>
      <w:lvlText w:val="▪"/>
      <w:lvlJc w:val="left"/>
      <w:pPr>
        <w:ind w:left="319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4324096A">
      <w:start w:val="1"/>
      <w:numFmt w:val="bullet"/>
      <w:lvlText w:val="•"/>
      <w:lvlJc w:val="left"/>
      <w:pPr>
        <w:ind w:left="391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A4CC97C4">
      <w:start w:val="1"/>
      <w:numFmt w:val="bullet"/>
      <w:lvlText w:val="o"/>
      <w:lvlJc w:val="left"/>
      <w:pPr>
        <w:ind w:left="463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BD4EEED0">
      <w:start w:val="1"/>
      <w:numFmt w:val="bullet"/>
      <w:lvlText w:val="▪"/>
      <w:lvlJc w:val="left"/>
      <w:pPr>
        <w:ind w:left="535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6252604E">
      <w:start w:val="1"/>
      <w:numFmt w:val="bullet"/>
      <w:lvlText w:val="•"/>
      <w:lvlJc w:val="left"/>
      <w:pPr>
        <w:ind w:left="607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1B8B554">
      <w:start w:val="1"/>
      <w:numFmt w:val="bullet"/>
      <w:lvlText w:val="o"/>
      <w:lvlJc w:val="left"/>
      <w:pPr>
        <w:ind w:left="679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E0501F3E">
      <w:start w:val="1"/>
      <w:numFmt w:val="bullet"/>
      <w:lvlText w:val="▪"/>
      <w:lvlJc w:val="left"/>
      <w:pPr>
        <w:ind w:left="751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68">
    <w:nsid w:val="64AB4359"/>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9">
    <w:nsid w:val="64AF6857"/>
    <w:multiLevelType w:val="hybridMultilevel"/>
    <w:tmpl w:val="10063784"/>
    <w:lvl w:ilvl="0" w:tplc="0700DFF4">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3CB69A62">
      <w:start w:val="1"/>
      <w:numFmt w:val="lowerLetter"/>
      <w:lvlText w:val="%2"/>
      <w:lvlJc w:val="left"/>
      <w:pPr>
        <w:ind w:left="678"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0908E480">
      <w:start w:val="1"/>
      <w:numFmt w:val="lowerRoman"/>
      <w:lvlText w:val="%3"/>
      <w:lvlJc w:val="left"/>
      <w:pPr>
        <w:ind w:left="9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B19E9600">
      <w:start w:val="1"/>
      <w:numFmt w:val="decimal"/>
      <w:lvlText w:val="%4"/>
      <w:lvlJc w:val="left"/>
      <w:pPr>
        <w:ind w:left="131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49967622">
      <w:start w:val="1"/>
      <w:numFmt w:val="lowerRoman"/>
      <w:lvlRestart w:val="0"/>
      <w:lvlText w:val="(%5)"/>
      <w:lvlJc w:val="left"/>
      <w:pPr>
        <w:ind w:left="1658"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09F2F3D2">
      <w:start w:val="1"/>
      <w:numFmt w:val="lowerRoman"/>
      <w:lvlText w:val="%6"/>
      <w:lvlJc w:val="left"/>
      <w:pPr>
        <w:ind w:left="235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59EC29F8">
      <w:start w:val="1"/>
      <w:numFmt w:val="decimal"/>
      <w:lvlText w:val="%7"/>
      <w:lvlJc w:val="left"/>
      <w:pPr>
        <w:ind w:left="307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1E403F6">
      <w:start w:val="1"/>
      <w:numFmt w:val="lowerLetter"/>
      <w:lvlText w:val="%8"/>
      <w:lvlJc w:val="left"/>
      <w:pPr>
        <w:ind w:left="379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3FF2A1C2">
      <w:start w:val="1"/>
      <w:numFmt w:val="lowerRoman"/>
      <w:lvlText w:val="%9"/>
      <w:lvlJc w:val="left"/>
      <w:pPr>
        <w:ind w:left="451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70">
    <w:nsid w:val="64B36A4A"/>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1">
    <w:nsid w:val="651F3436"/>
    <w:multiLevelType w:val="hybridMultilevel"/>
    <w:tmpl w:val="252C80B0"/>
    <w:lvl w:ilvl="0" w:tplc="FFFFFFFF">
      <w:start w:val="1"/>
      <w:numFmt w:val="lowerRoman"/>
      <w:lvlText w:val="(%1)"/>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2">
    <w:nsid w:val="652B6C24"/>
    <w:multiLevelType w:val="hybridMultilevel"/>
    <w:tmpl w:val="1F64B0F0"/>
    <w:lvl w:ilvl="0" w:tplc="2C0A000F">
      <w:start w:val="1"/>
      <w:numFmt w:val="decimal"/>
      <w:lvlText w:val="%1."/>
      <w:lvlJc w:val="lef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3">
    <w:nsid w:val="65343AA6"/>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4">
    <w:nsid w:val="656E73B6"/>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5">
    <w:nsid w:val="658C7B46"/>
    <w:multiLevelType w:val="multilevel"/>
    <w:tmpl w:val="229AD2C2"/>
    <w:styleLink w:val="Listaactual5"/>
    <w:lvl w:ilvl="0">
      <w:start w:val="1"/>
      <w:numFmt w:val="lowerLetter"/>
      <w:lvlText w:val="%1)"/>
      <w:lvlJc w:val="left"/>
      <w:pPr>
        <w:ind w:left="720" w:hanging="360"/>
      </w:pPr>
      <w:rPr>
        <w:rFonts w:ascii="Arial" w:hAnsi="Arial" w:hint="default"/>
        <w:b w:val="0"/>
        <w:i w:val="0"/>
        <w:w w:val="103"/>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6">
    <w:nsid w:val="659D0DDB"/>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7">
    <w:nsid w:val="65BA5D75"/>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78">
    <w:nsid w:val="65DF6C11"/>
    <w:multiLevelType w:val="hybridMultilevel"/>
    <w:tmpl w:val="3A52D98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9">
    <w:nsid w:val="65EB3562"/>
    <w:multiLevelType w:val="hybridMultilevel"/>
    <w:tmpl w:val="B1E64AA8"/>
    <w:lvl w:ilvl="0" w:tplc="A3880360">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FA24F420">
      <w:start w:val="1"/>
      <w:numFmt w:val="lowerLetter"/>
      <w:lvlText w:val="%2"/>
      <w:lvlJc w:val="left"/>
      <w:pPr>
        <w:ind w:left="67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153E4452">
      <w:start w:val="1"/>
      <w:numFmt w:val="lowerRoman"/>
      <w:lvlText w:val="%3"/>
      <w:lvlJc w:val="left"/>
      <w:pPr>
        <w:ind w:left="98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77AEC06E">
      <w:start w:val="1"/>
      <w:numFmt w:val="lowerLetter"/>
      <w:lvlRestart w:val="0"/>
      <w:lvlText w:val="%4)"/>
      <w:lvlJc w:val="left"/>
      <w:pPr>
        <w:ind w:left="145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06AEAE48">
      <w:start w:val="1"/>
      <w:numFmt w:val="lowerLetter"/>
      <w:lvlText w:val="%5"/>
      <w:lvlJc w:val="left"/>
      <w:pPr>
        <w:ind w:left="20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7DA22B50">
      <w:start w:val="1"/>
      <w:numFmt w:val="lowerRoman"/>
      <w:lvlText w:val="%6"/>
      <w:lvlJc w:val="left"/>
      <w:pPr>
        <w:ind w:left="27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1DAEE79C">
      <w:start w:val="1"/>
      <w:numFmt w:val="decimal"/>
      <w:lvlText w:val="%7"/>
      <w:lvlJc w:val="left"/>
      <w:pPr>
        <w:ind w:left="34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D166CCB0">
      <w:start w:val="1"/>
      <w:numFmt w:val="lowerLetter"/>
      <w:lvlText w:val="%8"/>
      <w:lvlJc w:val="left"/>
      <w:pPr>
        <w:ind w:left="41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0FD6C2DE">
      <w:start w:val="1"/>
      <w:numFmt w:val="lowerRoman"/>
      <w:lvlText w:val="%9"/>
      <w:lvlJc w:val="left"/>
      <w:pPr>
        <w:ind w:left="48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80">
    <w:nsid w:val="665515FB"/>
    <w:multiLevelType w:val="hybridMultilevel"/>
    <w:tmpl w:val="F4E8ED00"/>
    <w:lvl w:ilvl="0" w:tplc="CA0484A2">
      <w:start w:val="1"/>
      <w:numFmt w:val="lowerRoman"/>
      <w:lvlRestart w:val="0"/>
      <w:lvlText w:val="(%1)"/>
      <w:lvlJc w:val="left"/>
      <w:pPr>
        <w:ind w:left="173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1">
    <w:nsid w:val="66702023"/>
    <w:multiLevelType w:val="hybridMultilevel"/>
    <w:tmpl w:val="133063E4"/>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2">
    <w:nsid w:val="66755C18"/>
    <w:multiLevelType w:val="hybridMultilevel"/>
    <w:tmpl w:val="7F7E73A8"/>
    <w:lvl w:ilvl="0" w:tplc="503EAEF8">
      <w:start w:val="960"/>
      <w:numFmt w:val="decimal"/>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vertAlign w:val="baseline"/>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3">
    <w:nsid w:val="669001BA"/>
    <w:multiLevelType w:val="multilevel"/>
    <w:tmpl w:val="33629A50"/>
    <w:styleLink w:val="Listaactual9"/>
    <w:lvl w:ilvl="0">
      <w:start w:val="1"/>
      <w:numFmt w:val="decimal"/>
      <w:lvlText w:val="%1."/>
      <w:lvlJc w:val="left"/>
      <w:pPr>
        <w:ind w:left="993" w:hanging="567"/>
      </w:pPr>
      <w:rPr>
        <w:rFonts w:ascii="Arial" w:hAnsi="Arial" w:cs="Arial" w:hint="default"/>
        <w:b w:val="0"/>
        <w:bCs/>
        <w:sz w:val="22"/>
        <w:szCs w:val="22"/>
      </w:rPr>
    </w:lvl>
    <w:lvl w:ilvl="1">
      <w:start w:val="1"/>
      <w:numFmt w:val="lowerLetter"/>
      <w:lvlText w:val="%2)"/>
      <w:lvlJc w:val="left"/>
      <w:pPr>
        <w:ind w:left="1134" w:hanging="567"/>
      </w:pPr>
      <w:rPr>
        <w:rFonts w:hint="default"/>
        <w:b w:val="0"/>
        <w:bCs/>
      </w:rPr>
    </w:lvl>
    <w:lvl w:ilvl="2">
      <w:start w:val="1"/>
      <w:numFmt w:val="lowerRoman"/>
      <w:lvlText w:val="(%3)"/>
      <w:lvlJc w:val="right"/>
      <w:pPr>
        <w:ind w:left="1758" w:hanging="17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4">
    <w:nsid w:val="6691178A"/>
    <w:multiLevelType w:val="hybridMultilevel"/>
    <w:tmpl w:val="C4CAF188"/>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5">
    <w:nsid w:val="669125A6"/>
    <w:multiLevelType w:val="hybridMultilevel"/>
    <w:tmpl w:val="DFEE3AE8"/>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6">
    <w:nsid w:val="66B21AD6"/>
    <w:multiLevelType w:val="hybridMultilevel"/>
    <w:tmpl w:val="DEA02A6E"/>
    <w:lvl w:ilvl="0" w:tplc="FFFFFFFF">
      <w:start w:val="1"/>
      <w:numFmt w:val="lowerLetter"/>
      <w:lvlText w:val="%1)"/>
      <w:lvlJc w:val="left"/>
      <w:pPr>
        <w:ind w:left="1134" w:hanging="567"/>
      </w:pPr>
      <w:rPr>
        <w:rFonts w:ascii="Arial" w:hAnsi="Arial" w:cs="Arial" w:hint="default"/>
        <w:b w:val="0"/>
        <w:bCs/>
        <w:i w:val="0"/>
        <w:iCs w:val="0"/>
        <w:sz w:val="20"/>
        <w:szCs w:val="20"/>
      </w:rPr>
    </w:lvl>
    <w:lvl w:ilvl="1" w:tplc="5B66B27C">
      <w:start w:val="1"/>
      <w:numFmt w:val="lowerRoman"/>
      <w:lvlText w:val="(%2)"/>
      <w:lvlJc w:val="right"/>
      <w:pPr>
        <w:ind w:left="2083"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7">
    <w:nsid w:val="66BB5783"/>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8">
    <w:nsid w:val="67CD6C02"/>
    <w:multiLevelType w:val="hybridMultilevel"/>
    <w:tmpl w:val="6DF26964"/>
    <w:lvl w:ilvl="0" w:tplc="4716637A">
      <w:start w:val="1"/>
      <w:numFmt w:val="lowerLetter"/>
      <w:lvlText w:val="%1)"/>
      <w:lvlJc w:val="left"/>
      <w:pPr>
        <w:ind w:left="1287" w:hanging="360"/>
      </w:pPr>
      <w:rPr>
        <w:rFonts w:ascii="Arial" w:hAnsi="Arial" w:hint="default"/>
        <w:sz w:val="22"/>
      </w:rPr>
    </w:lvl>
    <w:lvl w:ilvl="1" w:tplc="A6D0FA4A">
      <w:start w:val="1"/>
      <w:numFmt w:val="lowerLetter"/>
      <w:lvlText w:val="%2)"/>
      <w:lvlJc w:val="left"/>
      <w:pPr>
        <w:ind w:left="1440" w:hanging="360"/>
      </w:pPr>
      <w:rPr>
        <w:rFonts w:ascii="Arial" w:hAnsi="Arial" w:hint="default"/>
        <w:sz w:val="20"/>
        <w:szCs w:val="20"/>
      </w:rPr>
    </w:lvl>
    <w:lvl w:ilvl="2" w:tplc="C2B41EFC">
      <w:start w:val="5"/>
      <w:numFmt w:val="upperLetter"/>
      <w:lvlText w:val="%3)"/>
      <w:lvlJc w:val="left"/>
      <w:pPr>
        <w:ind w:left="2907" w:hanging="360"/>
      </w:pPr>
      <w:rPr>
        <w:rFonts w:hint="default"/>
      </w:r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589">
    <w:nsid w:val="68171972"/>
    <w:multiLevelType w:val="hybridMultilevel"/>
    <w:tmpl w:val="AD341AD4"/>
    <w:lvl w:ilvl="0" w:tplc="FFFFFFFF">
      <w:start w:val="1"/>
      <w:numFmt w:val="lowerLetter"/>
      <w:lvlText w:val="%1)"/>
      <w:lvlJc w:val="left"/>
      <w:pPr>
        <w:ind w:left="1560" w:hanging="567"/>
      </w:pPr>
      <w:rPr>
        <w:rFonts w:hint="default"/>
        <w:b w:val="0"/>
        <w:bCs/>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90">
    <w:nsid w:val="68751E25"/>
    <w:multiLevelType w:val="hybridMultilevel"/>
    <w:tmpl w:val="252C80B0"/>
    <w:lvl w:ilvl="0" w:tplc="FFFFFFFF">
      <w:start w:val="1"/>
      <w:numFmt w:val="lowerRoman"/>
      <w:lvlText w:val="(%1)"/>
      <w:lvlJc w:val="left"/>
      <w:pPr>
        <w:ind w:left="206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1">
    <w:nsid w:val="68AC4B53"/>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2">
    <w:nsid w:val="68B0637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3">
    <w:nsid w:val="68BD7A61"/>
    <w:multiLevelType w:val="hybridMultilevel"/>
    <w:tmpl w:val="9070A95C"/>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4">
    <w:nsid w:val="68CE0321"/>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5">
    <w:nsid w:val="68D32892"/>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6">
    <w:nsid w:val="68D44C05"/>
    <w:multiLevelType w:val="multilevel"/>
    <w:tmpl w:val="6DDCFDBC"/>
    <w:styleLink w:val="Listaactual1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7">
    <w:nsid w:val="68E852FE"/>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98">
    <w:nsid w:val="69897DB6"/>
    <w:multiLevelType w:val="hybridMultilevel"/>
    <w:tmpl w:val="E84AE4D8"/>
    <w:lvl w:ilvl="0" w:tplc="FFFFFFFF">
      <w:start w:val="1"/>
      <w:numFmt w:val="lowerRoman"/>
      <w:lvlText w:val="(%1)"/>
      <w:lvlJc w:val="right"/>
      <w:pPr>
        <w:ind w:left="2534" w:hanging="360"/>
      </w:pPr>
      <w:rPr>
        <w:rFonts w:ascii="Arial" w:eastAsiaTheme="minorHAnsi" w:hAnsi="Arial" w:cs="Arial"/>
        <w:b w:val="0"/>
        <w:bCs w:val="0"/>
        <w:sz w:val="20"/>
        <w:szCs w:val="20"/>
      </w:rPr>
    </w:lvl>
    <w:lvl w:ilvl="1" w:tplc="FFFFFFFF" w:tentative="1">
      <w:start w:val="1"/>
      <w:numFmt w:val="bullet"/>
      <w:lvlText w:val="o"/>
      <w:lvlJc w:val="left"/>
      <w:pPr>
        <w:ind w:left="3254" w:hanging="360"/>
      </w:pPr>
      <w:rPr>
        <w:rFonts w:ascii="Courier New" w:hAnsi="Courier New" w:cs="Courier New" w:hint="default"/>
      </w:rPr>
    </w:lvl>
    <w:lvl w:ilvl="2" w:tplc="FFFFFFFF" w:tentative="1">
      <w:start w:val="1"/>
      <w:numFmt w:val="bullet"/>
      <w:lvlText w:val=""/>
      <w:lvlJc w:val="left"/>
      <w:pPr>
        <w:ind w:left="3974" w:hanging="360"/>
      </w:pPr>
      <w:rPr>
        <w:rFonts w:ascii="Wingdings" w:hAnsi="Wingdings" w:hint="default"/>
      </w:rPr>
    </w:lvl>
    <w:lvl w:ilvl="3" w:tplc="FFFFFFFF" w:tentative="1">
      <w:start w:val="1"/>
      <w:numFmt w:val="bullet"/>
      <w:lvlText w:val=""/>
      <w:lvlJc w:val="left"/>
      <w:pPr>
        <w:ind w:left="4694" w:hanging="360"/>
      </w:pPr>
      <w:rPr>
        <w:rFonts w:ascii="Symbol" w:hAnsi="Symbol" w:hint="default"/>
      </w:rPr>
    </w:lvl>
    <w:lvl w:ilvl="4" w:tplc="FFFFFFFF" w:tentative="1">
      <w:start w:val="1"/>
      <w:numFmt w:val="bullet"/>
      <w:lvlText w:val="o"/>
      <w:lvlJc w:val="left"/>
      <w:pPr>
        <w:ind w:left="5414" w:hanging="360"/>
      </w:pPr>
      <w:rPr>
        <w:rFonts w:ascii="Courier New" w:hAnsi="Courier New" w:cs="Courier New" w:hint="default"/>
      </w:rPr>
    </w:lvl>
    <w:lvl w:ilvl="5" w:tplc="FFFFFFFF" w:tentative="1">
      <w:start w:val="1"/>
      <w:numFmt w:val="bullet"/>
      <w:lvlText w:val=""/>
      <w:lvlJc w:val="left"/>
      <w:pPr>
        <w:ind w:left="6134" w:hanging="360"/>
      </w:pPr>
      <w:rPr>
        <w:rFonts w:ascii="Wingdings" w:hAnsi="Wingdings" w:hint="default"/>
      </w:rPr>
    </w:lvl>
    <w:lvl w:ilvl="6" w:tplc="FFFFFFFF" w:tentative="1">
      <w:start w:val="1"/>
      <w:numFmt w:val="bullet"/>
      <w:lvlText w:val=""/>
      <w:lvlJc w:val="left"/>
      <w:pPr>
        <w:ind w:left="6854" w:hanging="360"/>
      </w:pPr>
      <w:rPr>
        <w:rFonts w:ascii="Symbol" w:hAnsi="Symbol" w:hint="default"/>
      </w:rPr>
    </w:lvl>
    <w:lvl w:ilvl="7" w:tplc="FFFFFFFF" w:tentative="1">
      <w:start w:val="1"/>
      <w:numFmt w:val="bullet"/>
      <w:lvlText w:val="o"/>
      <w:lvlJc w:val="left"/>
      <w:pPr>
        <w:ind w:left="7574" w:hanging="360"/>
      </w:pPr>
      <w:rPr>
        <w:rFonts w:ascii="Courier New" w:hAnsi="Courier New" w:cs="Courier New" w:hint="default"/>
      </w:rPr>
    </w:lvl>
    <w:lvl w:ilvl="8" w:tplc="FFFFFFFF" w:tentative="1">
      <w:start w:val="1"/>
      <w:numFmt w:val="bullet"/>
      <w:lvlText w:val=""/>
      <w:lvlJc w:val="left"/>
      <w:pPr>
        <w:ind w:left="8294" w:hanging="360"/>
      </w:pPr>
      <w:rPr>
        <w:rFonts w:ascii="Wingdings" w:hAnsi="Wingdings" w:hint="default"/>
      </w:rPr>
    </w:lvl>
  </w:abstractNum>
  <w:abstractNum w:abstractNumId="599">
    <w:nsid w:val="69942F87"/>
    <w:multiLevelType w:val="hybridMultilevel"/>
    <w:tmpl w:val="1F1616C6"/>
    <w:lvl w:ilvl="0" w:tplc="8DC8A558">
      <w:start w:val="1"/>
      <w:numFmt w:val="decimal"/>
      <w:pStyle w:val="NUA-Nivel1"/>
      <w:lvlText w:val="%1."/>
      <w:lvlJc w:val="left"/>
      <w:pPr>
        <w:ind w:left="1712" w:hanging="360"/>
      </w:pPr>
    </w:lvl>
    <w:lvl w:ilvl="1" w:tplc="2C0A0019" w:tentative="1">
      <w:start w:val="1"/>
      <w:numFmt w:val="lowerLetter"/>
      <w:lvlText w:val="%2."/>
      <w:lvlJc w:val="left"/>
      <w:pPr>
        <w:ind w:left="2432" w:hanging="360"/>
      </w:pPr>
    </w:lvl>
    <w:lvl w:ilvl="2" w:tplc="2C0A001B" w:tentative="1">
      <w:start w:val="1"/>
      <w:numFmt w:val="lowerRoman"/>
      <w:lvlText w:val="%3."/>
      <w:lvlJc w:val="right"/>
      <w:pPr>
        <w:ind w:left="3152" w:hanging="180"/>
      </w:pPr>
    </w:lvl>
    <w:lvl w:ilvl="3" w:tplc="2C0A000F" w:tentative="1">
      <w:start w:val="1"/>
      <w:numFmt w:val="decimal"/>
      <w:lvlText w:val="%4."/>
      <w:lvlJc w:val="left"/>
      <w:pPr>
        <w:ind w:left="3872" w:hanging="360"/>
      </w:pPr>
    </w:lvl>
    <w:lvl w:ilvl="4" w:tplc="2C0A0019" w:tentative="1">
      <w:start w:val="1"/>
      <w:numFmt w:val="lowerLetter"/>
      <w:lvlText w:val="%5."/>
      <w:lvlJc w:val="left"/>
      <w:pPr>
        <w:ind w:left="4592" w:hanging="360"/>
      </w:pPr>
    </w:lvl>
    <w:lvl w:ilvl="5" w:tplc="2C0A001B" w:tentative="1">
      <w:start w:val="1"/>
      <w:numFmt w:val="lowerRoman"/>
      <w:lvlText w:val="%6."/>
      <w:lvlJc w:val="right"/>
      <w:pPr>
        <w:ind w:left="5312" w:hanging="180"/>
      </w:pPr>
    </w:lvl>
    <w:lvl w:ilvl="6" w:tplc="2C0A000F" w:tentative="1">
      <w:start w:val="1"/>
      <w:numFmt w:val="decimal"/>
      <w:lvlText w:val="%7."/>
      <w:lvlJc w:val="left"/>
      <w:pPr>
        <w:ind w:left="6032" w:hanging="360"/>
      </w:pPr>
    </w:lvl>
    <w:lvl w:ilvl="7" w:tplc="2C0A0019" w:tentative="1">
      <w:start w:val="1"/>
      <w:numFmt w:val="lowerLetter"/>
      <w:lvlText w:val="%8."/>
      <w:lvlJc w:val="left"/>
      <w:pPr>
        <w:ind w:left="6752" w:hanging="360"/>
      </w:pPr>
    </w:lvl>
    <w:lvl w:ilvl="8" w:tplc="2C0A001B" w:tentative="1">
      <w:start w:val="1"/>
      <w:numFmt w:val="lowerRoman"/>
      <w:lvlText w:val="%9."/>
      <w:lvlJc w:val="right"/>
      <w:pPr>
        <w:ind w:left="7472" w:hanging="180"/>
      </w:pPr>
    </w:lvl>
  </w:abstractNum>
  <w:abstractNum w:abstractNumId="600">
    <w:nsid w:val="69A12603"/>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1">
    <w:nsid w:val="69B356F9"/>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2">
    <w:nsid w:val="69B51C57"/>
    <w:multiLevelType w:val="hybridMultilevel"/>
    <w:tmpl w:val="9E525374"/>
    <w:lvl w:ilvl="0" w:tplc="04381F42">
      <w:start w:val="1"/>
      <w:numFmt w:val="lowerLetter"/>
      <w:lvlText w:val="%1)"/>
      <w:lvlJc w:val="left"/>
      <w:pPr>
        <w:ind w:left="1559"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3">
    <w:nsid w:val="6A0B71EA"/>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4">
    <w:nsid w:val="6A2E34C1"/>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5">
    <w:nsid w:val="6A451C00"/>
    <w:multiLevelType w:val="hybridMultilevel"/>
    <w:tmpl w:val="A466509E"/>
    <w:lvl w:ilvl="0" w:tplc="568A4E96">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4B6E27D4">
      <w:start w:val="1"/>
      <w:numFmt w:val="lowerLetter"/>
      <w:lvlText w:val="%2"/>
      <w:lvlJc w:val="left"/>
      <w:pPr>
        <w:ind w:left="67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6A1888EE">
      <w:start w:val="1"/>
      <w:numFmt w:val="lowerRoman"/>
      <w:lvlText w:val="%3"/>
      <w:lvlJc w:val="left"/>
      <w:pPr>
        <w:ind w:left="99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B8F8B3C4">
      <w:start w:val="1"/>
      <w:numFmt w:val="decimal"/>
      <w:lvlText w:val="%4"/>
      <w:lvlJc w:val="left"/>
      <w:pPr>
        <w:ind w:left="131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5528333C">
      <w:start w:val="1"/>
      <w:numFmt w:val="lowerRoman"/>
      <w:lvlRestart w:val="0"/>
      <w:lvlText w:val="(%5)"/>
      <w:lvlJc w:val="left"/>
      <w:pPr>
        <w:ind w:left="1678"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41420704">
      <w:start w:val="1"/>
      <w:numFmt w:val="lowerRoman"/>
      <w:lvlText w:val="%6"/>
      <w:lvlJc w:val="left"/>
      <w:pPr>
        <w:ind w:left="234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09EFBA0">
      <w:start w:val="1"/>
      <w:numFmt w:val="decimal"/>
      <w:lvlText w:val="%7"/>
      <w:lvlJc w:val="left"/>
      <w:pPr>
        <w:ind w:left="306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A0C8E80">
      <w:start w:val="1"/>
      <w:numFmt w:val="lowerLetter"/>
      <w:lvlText w:val="%8"/>
      <w:lvlJc w:val="left"/>
      <w:pPr>
        <w:ind w:left="37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37C026E6">
      <w:start w:val="1"/>
      <w:numFmt w:val="lowerRoman"/>
      <w:lvlText w:val="%9"/>
      <w:lvlJc w:val="left"/>
      <w:pPr>
        <w:ind w:left="45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606">
    <w:nsid w:val="6A5A5480"/>
    <w:multiLevelType w:val="hybridMultilevel"/>
    <w:tmpl w:val="FC3E7CCC"/>
    <w:lvl w:ilvl="0" w:tplc="1F5A07A0">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BE8EE8B0">
      <w:start w:val="1"/>
      <w:numFmt w:val="lowerLetter"/>
      <w:lvlText w:val="%2"/>
      <w:lvlJc w:val="left"/>
      <w:pPr>
        <w:ind w:left="6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3976F152">
      <w:start w:val="1"/>
      <w:numFmt w:val="lowerRoman"/>
      <w:lvlText w:val="%3"/>
      <w:lvlJc w:val="left"/>
      <w:pPr>
        <w:ind w:left="101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A09CFE96">
      <w:start w:val="1"/>
      <w:numFmt w:val="decimal"/>
      <w:lvlText w:val="%4"/>
      <w:lvlJc w:val="left"/>
      <w:pPr>
        <w:ind w:left="133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03A89D0A">
      <w:start w:val="1"/>
      <w:numFmt w:val="lowerRoman"/>
      <w:lvlRestart w:val="0"/>
      <w:lvlText w:val="(%5)"/>
      <w:lvlJc w:val="left"/>
      <w:pPr>
        <w:ind w:left="206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2B244E7E">
      <w:start w:val="1"/>
      <w:numFmt w:val="lowerRoman"/>
      <w:lvlText w:val="%6"/>
      <w:lvlJc w:val="left"/>
      <w:pPr>
        <w:ind w:left="238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D038A252">
      <w:start w:val="1"/>
      <w:numFmt w:val="decimal"/>
      <w:lvlText w:val="%7"/>
      <w:lvlJc w:val="left"/>
      <w:pPr>
        <w:ind w:left="310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CA0EF792">
      <w:start w:val="1"/>
      <w:numFmt w:val="lowerLetter"/>
      <w:lvlText w:val="%8"/>
      <w:lvlJc w:val="left"/>
      <w:pPr>
        <w:ind w:left="382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21E8239E">
      <w:start w:val="1"/>
      <w:numFmt w:val="lowerRoman"/>
      <w:lvlText w:val="%9"/>
      <w:lvlJc w:val="left"/>
      <w:pPr>
        <w:ind w:left="454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607">
    <w:nsid w:val="6A742D81"/>
    <w:multiLevelType w:val="hybridMultilevel"/>
    <w:tmpl w:val="D4E60B40"/>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8">
    <w:nsid w:val="6A7D0B3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9">
    <w:nsid w:val="6AA806D1"/>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0">
    <w:nsid w:val="6ABA2764"/>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1">
    <w:nsid w:val="6AE77B23"/>
    <w:multiLevelType w:val="hybridMultilevel"/>
    <w:tmpl w:val="4AF61CA0"/>
    <w:lvl w:ilvl="0" w:tplc="FFFFFFFF">
      <w:start w:val="1"/>
      <w:numFmt w:val="lowerLetter"/>
      <w:lvlText w:val="%1)"/>
      <w:lvlJc w:val="left"/>
      <w:pPr>
        <w:ind w:left="4820" w:hanging="567"/>
      </w:pPr>
      <w:rPr>
        <w:rFonts w:hint="default"/>
        <w:b w:val="0"/>
        <w:bCs/>
      </w:rPr>
    </w:lvl>
    <w:lvl w:ilvl="1" w:tplc="FFFFFFFF">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612">
    <w:nsid w:val="6AF03713"/>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3">
    <w:nsid w:val="6B027CC5"/>
    <w:multiLevelType w:val="hybridMultilevel"/>
    <w:tmpl w:val="C4CAF188"/>
    <w:lvl w:ilvl="0" w:tplc="5B66B27C">
      <w:start w:val="1"/>
      <w:numFmt w:val="lowerRoman"/>
      <w:lvlText w:val="(%1)"/>
      <w:lvlJc w:val="right"/>
      <w:pPr>
        <w:ind w:left="1758" w:hanging="17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4">
    <w:nsid w:val="6B4D47E5"/>
    <w:multiLevelType w:val="hybridMultilevel"/>
    <w:tmpl w:val="AA6EB9EC"/>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5">
    <w:nsid w:val="6B8052FC"/>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6">
    <w:nsid w:val="6B863C48"/>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7">
    <w:nsid w:val="6B8A4C80"/>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8">
    <w:nsid w:val="6BAC61B0"/>
    <w:multiLevelType w:val="hybridMultilevel"/>
    <w:tmpl w:val="EF542408"/>
    <w:lvl w:ilvl="0" w:tplc="A83A3E44">
      <w:start w:val="1"/>
      <w:numFmt w:val="lowerLetter"/>
      <w:lvlText w:val="%1)"/>
      <w:lvlJc w:val="left"/>
      <w:pPr>
        <w:ind w:left="1776" w:hanging="360"/>
      </w:pPr>
      <w:rPr>
        <w:rFonts w:hint="default"/>
        <w:b w:val="0"/>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19">
    <w:nsid w:val="6C055B08"/>
    <w:multiLevelType w:val="hybridMultilevel"/>
    <w:tmpl w:val="0910048A"/>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20">
    <w:nsid w:val="6C107A84"/>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1">
    <w:nsid w:val="6C635862"/>
    <w:multiLevelType w:val="hybridMultilevel"/>
    <w:tmpl w:val="AB660218"/>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2">
    <w:nsid w:val="6C890316"/>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3">
    <w:nsid w:val="6CA1216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4">
    <w:nsid w:val="6CAF342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5">
    <w:nsid w:val="6CCC09F3"/>
    <w:multiLevelType w:val="hybridMultilevel"/>
    <w:tmpl w:val="C318142C"/>
    <w:lvl w:ilvl="0" w:tplc="B650C092">
      <w:start w:val="1"/>
      <w:numFmt w:val="lowerLetter"/>
      <w:lvlText w:val="%1)"/>
      <w:lvlJc w:val="left"/>
      <w:pPr>
        <w:ind w:left="1134" w:hanging="567"/>
      </w:pPr>
      <w:rPr>
        <w:rFonts w:hint="default"/>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6">
    <w:nsid w:val="6CE2693F"/>
    <w:multiLevelType w:val="hybridMultilevel"/>
    <w:tmpl w:val="C648431E"/>
    <w:lvl w:ilvl="0" w:tplc="7AE88B54">
      <w:start w:val="1"/>
      <w:numFmt w:val="lowerLetter"/>
      <w:lvlText w:val="%1)"/>
      <w:lvlJc w:val="left"/>
      <w:pPr>
        <w:ind w:left="1134" w:hanging="567"/>
      </w:pPr>
      <w:rPr>
        <w:rFonts w:hint="default"/>
        <w:b w:val="0"/>
        <w:bCs/>
        <w:i w:val="0"/>
        <w:iCs w:val="0"/>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7">
    <w:nsid w:val="6D0347D9"/>
    <w:multiLevelType w:val="hybridMultilevel"/>
    <w:tmpl w:val="5862292C"/>
    <w:lvl w:ilvl="0" w:tplc="FFFFFFFF">
      <w:start w:val="1"/>
      <w:numFmt w:val="lowerLetter"/>
      <w:lvlText w:val="%1)"/>
      <w:lvlJc w:val="left"/>
      <w:pPr>
        <w:ind w:left="720" w:hanging="360"/>
      </w:pPr>
    </w:lvl>
    <w:lvl w:ilvl="1" w:tplc="5B66B27C">
      <w:start w:val="1"/>
      <w:numFmt w:val="lowerRoman"/>
      <w:lvlText w:val="(%2)"/>
      <w:lvlJc w:val="right"/>
      <w:pPr>
        <w:ind w:left="2534"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8">
    <w:nsid w:val="6D216CA3"/>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9">
    <w:nsid w:val="6D4D7F2C"/>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0">
    <w:nsid w:val="6D510ED8"/>
    <w:multiLevelType w:val="multilevel"/>
    <w:tmpl w:val="289AEB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1">
    <w:nsid w:val="6D925654"/>
    <w:multiLevelType w:val="hybridMultilevel"/>
    <w:tmpl w:val="90906F68"/>
    <w:lvl w:ilvl="0" w:tplc="6CDC9A66">
      <w:start w:val="1"/>
      <w:numFmt w:val="lowerLetter"/>
      <w:lvlText w:val="%1)"/>
      <w:lvlJc w:val="left"/>
      <w:pPr>
        <w:ind w:left="1134" w:hanging="34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2">
    <w:nsid w:val="6DAC1EAE"/>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3">
    <w:nsid w:val="6DD97A3C"/>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4">
    <w:nsid w:val="6E046272"/>
    <w:multiLevelType w:val="hybridMultilevel"/>
    <w:tmpl w:val="E8E8BCA4"/>
    <w:lvl w:ilvl="0" w:tplc="3CBED572">
      <w:start w:val="1"/>
      <w:numFmt w:val="lowerLetter"/>
      <w:lvlText w:val="%1)"/>
      <w:lvlJc w:val="left"/>
      <w:pPr>
        <w:ind w:left="1134" w:hanging="567"/>
      </w:pPr>
      <w:rPr>
        <w:rFonts w:ascii="Arial" w:hAnsi="Arial" w:cs="Arial" w:hint="default"/>
        <w:b w:val="0"/>
        <w:bCs/>
        <w:i w:val="0"/>
        <w:iCs w:val="0"/>
        <w:sz w:val="20"/>
        <w:szCs w:val="20"/>
      </w:rPr>
    </w:lvl>
    <w:lvl w:ilvl="1" w:tplc="6E1496A6">
      <w:start w:val="1"/>
      <w:numFmt w:val="lowerLetter"/>
      <w:lvlText w:val="%2)"/>
      <w:lvlJc w:val="left"/>
      <w:pPr>
        <w:ind w:left="1440" w:hanging="360"/>
      </w:pPr>
      <w:rPr>
        <w:rFonts w:ascii="Arial" w:eastAsia="Times New Roman" w:hAnsi="Arial" w:cs="Arial"/>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5">
    <w:nsid w:val="6E2E289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6">
    <w:nsid w:val="6EB57433"/>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37">
    <w:nsid w:val="6EF32165"/>
    <w:multiLevelType w:val="multilevel"/>
    <w:tmpl w:val="6F3491D6"/>
    <w:styleLink w:val="Listaactual2"/>
    <w:lvl w:ilvl="0">
      <w:start w:val="1"/>
      <w:numFmt w:val="lowerLetter"/>
      <w:lvlText w:val="%1)"/>
      <w:lvlJc w:val="left"/>
      <w:pPr>
        <w:ind w:left="720" w:hanging="360"/>
      </w:pPr>
      <w:rPr>
        <w:rFonts w:ascii="Arial" w:hAnsi="Arial" w:hint="default"/>
        <w:b w:val="0"/>
        <w:i w:val="0"/>
        <w:w w:val="103"/>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8">
    <w:nsid w:val="6F346A95"/>
    <w:multiLevelType w:val="hybridMultilevel"/>
    <w:tmpl w:val="6452F222"/>
    <w:lvl w:ilvl="0" w:tplc="236AFDD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39">
    <w:nsid w:val="6F8479DD"/>
    <w:multiLevelType w:val="hybridMultilevel"/>
    <w:tmpl w:val="B6A44FB0"/>
    <w:lvl w:ilvl="0" w:tplc="7FBE1B82">
      <w:start w:val="1"/>
      <w:numFmt w:val="lowerLetter"/>
      <w:lvlText w:val="%1)"/>
      <w:lvlJc w:val="left"/>
      <w:pPr>
        <w:ind w:left="1065"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724CF92">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8C701C7E">
      <w:start w:val="1"/>
      <w:numFmt w:val="lowerRoman"/>
      <w:lvlText w:val="%3"/>
      <w:lvlJc w:val="left"/>
      <w:pPr>
        <w:ind w:left="252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9760E630">
      <w:start w:val="1"/>
      <w:numFmt w:val="decimal"/>
      <w:lvlText w:val="%4"/>
      <w:lvlJc w:val="left"/>
      <w:pPr>
        <w:ind w:left="324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4A5C0834">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2B1C2B88">
      <w:start w:val="1"/>
      <w:numFmt w:val="lowerRoman"/>
      <w:lvlText w:val="%6"/>
      <w:lvlJc w:val="left"/>
      <w:pPr>
        <w:ind w:left="468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88E2C26E">
      <w:start w:val="1"/>
      <w:numFmt w:val="decimal"/>
      <w:lvlText w:val="%7"/>
      <w:lvlJc w:val="left"/>
      <w:pPr>
        <w:ind w:left="540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8CFC0C2A">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089816CC">
      <w:start w:val="1"/>
      <w:numFmt w:val="lowerRoman"/>
      <w:lvlText w:val="%9"/>
      <w:lvlJc w:val="left"/>
      <w:pPr>
        <w:ind w:left="6847"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640">
    <w:nsid w:val="6F8E5CD6"/>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1">
    <w:nsid w:val="6FF44013"/>
    <w:multiLevelType w:val="hybridMultilevel"/>
    <w:tmpl w:val="AA6EB9EC"/>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2">
    <w:nsid w:val="7026392E"/>
    <w:multiLevelType w:val="hybridMultilevel"/>
    <w:tmpl w:val="4AF61CA0"/>
    <w:lvl w:ilvl="0" w:tplc="FFFFFFFF">
      <w:start w:val="1"/>
      <w:numFmt w:val="lowerLetter"/>
      <w:lvlText w:val="%1)"/>
      <w:lvlJc w:val="left"/>
      <w:pPr>
        <w:ind w:left="4820" w:hanging="567"/>
      </w:pPr>
      <w:rPr>
        <w:rFonts w:hint="default"/>
        <w:b w:val="0"/>
        <w:bCs/>
      </w:rPr>
    </w:lvl>
    <w:lvl w:ilvl="1" w:tplc="FFFFFFFF">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643">
    <w:nsid w:val="7092649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4">
    <w:nsid w:val="70955C18"/>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45">
    <w:nsid w:val="70B6482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6">
    <w:nsid w:val="71535D83"/>
    <w:multiLevelType w:val="hybridMultilevel"/>
    <w:tmpl w:val="CA42C6BA"/>
    <w:lvl w:ilvl="0" w:tplc="FFFFFFFF">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7">
    <w:nsid w:val="716B7786"/>
    <w:multiLevelType w:val="multilevel"/>
    <w:tmpl w:val="3FA4EB06"/>
    <w:styleLink w:val="Listaactual3"/>
    <w:lvl w:ilvl="0">
      <w:start w:val="1"/>
      <w:numFmt w:val="lowerLetter"/>
      <w:lvlText w:val="%1)"/>
      <w:lvlJc w:val="left"/>
      <w:pPr>
        <w:ind w:left="720" w:hanging="360"/>
      </w:pPr>
      <w:rPr>
        <w:rFonts w:ascii="Arial" w:hAnsi="Arial" w:hint="default"/>
        <w:b w:val="0"/>
        <w:i w:val="0"/>
        <w:w w:val="103"/>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8">
    <w:nsid w:val="71CF60F9"/>
    <w:multiLevelType w:val="hybridMultilevel"/>
    <w:tmpl w:val="6452F22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9">
    <w:nsid w:val="71F04C25"/>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0">
    <w:nsid w:val="71F21FA5"/>
    <w:multiLevelType w:val="hybridMultilevel"/>
    <w:tmpl w:val="4AF61CA0"/>
    <w:lvl w:ilvl="0" w:tplc="FFFFFFFF">
      <w:start w:val="1"/>
      <w:numFmt w:val="lowerLetter"/>
      <w:lvlText w:val="%1)"/>
      <w:lvlJc w:val="left"/>
      <w:pPr>
        <w:ind w:left="1560" w:hanging="567"/>
      </w:pPr>
      <w:rPr>
        <w:rFonts w:hint="default"/>
        <w:b w:val="0"/>
        <w:bCs/>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51">
    <w:nsid w:val="72101119"/>
    <w:multiLevelType w:val="multilevel"/>
    <w:tmpl w:val="289AEB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2">
    <w:nsid w:val="722D6DC7"/>
    <w:multiLevelType w:val="hybridMultilevel"/>
    <w:tmpl w:val="F1BA24E4"/>
    <w:lvl w:ilvl="0" w:tplc="FFFFFFFF">
      <w:start w:val="1"/>
      <w:numFmt w:val="lowerRoman"/>
      <w:lvlRestart w:val="0"/>
      <w:lvlText w:val="(%1)"/>
      <w:lvlJc w:val="left"/>
      <w:pPr>
        <w:ind w:left="1753" w:firstLine="0"/>
      </w:pPr>
      <w:rPr>
        <w:rFonts w:ascii="Arial" w:eastAsiaTheme="minorHAnsi" w:hAnsi="Arial" w:cs="Arial"/>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3">
    <w:nsid w:val="724929FF"/>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54">
    <w:nsid w:val="72630DA6"/>
    <w:multiLevelType w:val="hybridMultilevel"/>
    <w:tmpl w:val="B0A0626E"/>
    <w:lvl w:ilvl="0" w:tplc="A462DCCA">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5">
    <w:nsid w:val="726F54D4"/>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6">
    <w:nsid w:val="72B97AE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7">
    <w:nsid w:val="72BE2E6C"/>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8">
    <w:nsid w:val="72E92751"/>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9">
    <w:nsid w:val="72ED4551"/>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0">
    <w:nsid w:val="73123D2B"/>
    <w:multiLevelType w:val="hybridMultilevel"/>
    <w:tmpl w:val="624803FC"/>
    <w:lvl w:ilvl="0" w:tplc="FFFFFFFF">
      <w:start w:val="1"/>
      <w:numFmt w:val="lowerLetter"/>
      <w:lvlText w:val="%1)"/>
      <w:lvlJc w:val="left"/>
      <w:pPr>
        <w:ind w:left="1226" w:hanging="360"/>
      </w:pPr>
      <w:rPr>
        <w:rFonts w:hint="default"/>
      </w:rPr>
    </w:lvl>
    <w:lvl w:ilvl="1" w:tplc="FFFFFFFF" w:tentative="1">
      <w:start w:val="1"/>
      <w:numFmt w:val="lowerLetter"/>
      <w:lvlText w:val="%2."/>
      <w:lvlJc w:val="left"/>
      <w:pPr>
        <w:ind w:left="1946" w:hanging="360"/>
      </w:pPr>
    </w:lvl>
    <w:lvl w:ilvl="2" w:tplc="FFFFFFFF" w:tentative="1">
      <w:start w:val="1"/>
      <w:numFmt w:val="lowerRoman"/>
      <w:lvlText w:val="%3."/>
      <w:lvlJc w:val="right"/>
      <w:pPr>
        <w:ind w:left="2666" w:hanging="180"/>
      </w:pPr>
    </w:lvl>
    <w:lvl w:ilvl="3" w:tplc="FFFFFFFF" w:tentative="1">
      <w:start w:val="1"/>
      <w:numFmt w:val="decimal"/>
      <w:lvlText w:val="%4."/>
      <w:lvlJc w:val="left"/>
      <w:pPr>
        <w:ind w:left="3386" w:hanging="360"/>
      </w:pPr>
    </w:lvl>
    <w:lvl w:ilvl="4" w:tplc="FFFFFFFF" w:tentative="1">
      <w:start w:val="1"/>
      <w:numFmt w:val="lowerLetter"/>
      <w:lvlText w:val="%5."/>
      <w:lvlJc w:val="left"/>
      <w:pPr>
        <w:ind w:left="4106" w:hanging="360"/>
      </w:pPr>
    </w:lvl>
    <w:lvl w:ilvl="5" w:tplc="FFFFFFFF" w:tentative="1">
      <w:start w:val="1"/>
      <w:numFmt w:val="lowerRoman"/>
      <w:lvlText w:val="%6."/>
      <w:lvlJc w:val="right"/>
      <w:pPr>
        <w:ind w:left="4826" w:hanging="180"/>
      </w:pPr>
    </w:lvl>
    <w:lvl w:ilvl="6" w:tplc="FFFFFFFF" w:tentative="1">
      <w:start w:val="1"/>
      <w:numFmt w:val="decimal"/>
      <w:lvlText w:val="%7."/>
      <w:lvlJc w:val="left"/>
      <w:pPr>
        <w:ind w:left="5546" w:hanging="360"/>
      </w:pPr>
    </w:lvl>
    <w:lvl w:ilvl="7" w:tplc="FFFFFFFF" w:tentative="1">
      <w:start w:val="1"/>
      <w:numFmt w:val="lowerLetter"/>
      <w:lvlText w:val="%8."/>
      <w:lvlJc w:val="left"/>
      <w:pPr>
        <w:ind w:left="6266" w:hanging="360"/>
      </w:pPr>
    </w:lvl>
    <w:lvl w:ilvl="8" w:tplc="FFFFFFFF" w:tentative="1">
      <w:start w:val="1"/>
      <w:numFmt w:val="lowerRoman"/>
      <w:lvlText w:val="%9."/>
      <w:lvlJc w:val="right"/>
      <w:pPr>
        <w:ind w:left="6986" w:hanging="180"/>
      </w:pPr>
    </w:lvl>
  </w:abstractNum>
  <w:abstractNum w:abstractNumId="661">
    <w:nsid w:val="732814BC"/>
    <w:multiLevelType w:val="multilevel"/>
    <w:tmpl w:val="289AEBFE"/>
    <w:numStyleLink w:val="Estilo2"/>
  </w:abstractNum>
  <w:abstractNum w:abstractNumId="662">
    <w:nsid w:val="73512C61"/>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63">
    <w:nsid w:val="735C65B1"/>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4">
    <w:nsid w:val="7399780F"/>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5">
    <w:nsid w:val="73B417A0"/>
    <w:multiLevelType w:val="hybridMultilevel"/>
    <w:tmpl w:val="B62E8CBC"/>
    <w:lvl w:ilvl="0" w:tplc="63DC7544">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21CCE0DA">
      <w:start w:val="1"/>
      <w:numFmt w:val="lowerLetter"/>
      <w:lvlText w:val="%2"/>
      <w:lvlJc w:val="left"/>
      <w:pPr>
        <w:ind w:left="663"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A53C881C">
      <w:start w:val="1"/>
      <w:numFmt w:val="lowerRoman"/>
      <w:lvlText w:val="%3"/>
      <w:lvlJc w:val="left"/>
      <w:pPr>
        <w:ind w:left="96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FC584EA8">
      <w:start w:val="1"/>
      <w:numFmt w:val="decimal"/>
      <w:lvlText w:val="%4"/>
      <w:lvlJc w:val="left"/>
      <w:pPr>
        <w:ind w:left="126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7B0ABFA">
      <w:start w:val="1"/>
      <w:numFmt w:val="lowerLetter"/>
      <w:lvlText w:val="%5"/>
      <w:lvlJc w:val="left"/>
      <w:pPr>
        <w:ind w:left="157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6C2C6F12">
      <w:start w:val="1"/>
      <w:numFmt w:val="lowerRoman"/>
      <w:lvlRestart w:val="0"/>
      <w:lvlText w:val="(%6)"/>
      <w:lvlJc w:val="left"/>
      <w:pPr>
        <w:ind w:left="201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6" w:tplc="EFCE466A">
      <w:start w:val="1"/>
      <w:numFmt w:val="decimal"/>
      <w:lvlText w:val="%7"/>
      <w:lvlJc w:val="left"/>
      <w:pPr>
        <w:ind w:left="259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A3F8D9A0">
      <w:start w:val="1"/>
      <w:numFmt w:val="lowerLetter"/>
      <w:lvlText w:val="%8"/>
      <w:lvlJc w:val="left"/>
      <w:pPr>
        <w:ind w:left="331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6B1A5EE2">
      <w:start w:val="1"/>
      <w:numFmt w:val="lowerRoman"/>
      <w:lvlText w:val="%9"/>
      <w:lvlJc w:val="left"/>
      <w:pPr>
        <w:ind w:left="403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666">
    <w:nsid w:val="73E3119E"/>
    <w:multiLevelType w:val="hybridMultilevel"/>
    <w:tmpl w:val="229E7EE8"/>
    <w:lvl w:ilvl="0" w:tplc="3CBED572">
      <w:start w:val="1"/>
      <w:numFmt w:val="lowerLetter"/>
      <w:lvlText w:val="%1)"/>
      <w:lvlJc w:val="left"/>
      <w:pPr>
        <w:ind w:left="1134" w:hanging="567"/>
      </w:pPr>
      <w:rPr>
        <w:rFonts w:ascii="Arial" w:hAnsi="Arial" w:cs="Arial" w:hint="default"/>
        <w:b w:val="0"/>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7">
    <w:nsid w:val="73F01741"/>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8">
    <w:nsid w:val="74275179"/>
    <w:multiLevelType w:val="hybridMultilevel"/>
    <w:tmpl w:val="70060FE6"/>
    <w:lvl w:ilvl="0" w:tplc="B650C092">
      <w:start w:val="1"/>
      <w:numFmt w:val="lowerLetter"/>
      <w:lvlText w:val="%1)"/>
      <w:lvlJc w:val="left"/>
      <w:pPr>
        <w:ind w:left="1134" w:hanging="567"/>
      </w:pPr>
      <w:rPr>
        <w:rFonts w:hint="default"/>
        <w:b w:val="0"/>
        <w:bCs/>
      </w:rPr>
    </w:lvl>
    <w:lvl w:ilvl="1" w:tplc="BA222704">
      <w:start w:val="1"/>
      <w:numFmt w:val="upperRoman"/>
      <w:lvlText w:val="(%2)"/>
      <w:lvlJc w:val="righ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9">
    <w:nsid w:val="74BA5D68"/>
    <w:multiLevelType w:val="hybridMultilevel"/>
    <w:tmpl w:val="624803FC"/>
    <w:lvl w:ilvl="0" w:tplc="FFFFFFFF">
      <w:start w:val="1"/>
      <w:numFmt w:val="lowerLetter"/>
      <w:lvlText w:val="%1)"/>
      <w:lvlJc w:val="left"/>
      <w:pPr>
        <w:ind w:left="1226" w:hanging="360"/>
      </w:pPr>
      <w:rPr>
        <w:rFonts w:hint="default"/>
      </w:rPr>
    </w:lvl>
    <w:lvl w:ilvl="1" w:tplc="FFFFFFFF" w:tentative="1">
      <w:start w:val="1"/>
      <w:numFmt w:val="lowerLetter"/>
      <w:lvlText w:val="%2."/>
      <w:lvlJc w:val="left"/>
      <w:pPr>
        <w:ind w:left="1946" w:hanging="360"/>
      </w:pPr>
    </w:lvl>
    <w:lvl w:ilvl="2" w:tplc="FFFFFFFF" w:tentative="1">
      <w:start w:val="1"/>
      <w:numFmt w:val="lowerRoman"/>
      <w:lvlText w:val="%3."/>
      <w:lvlJc w:val="right"/>
      <w:pPr>
        <w:ind w:left="2666" w:hanging="180"/>
      </w:pPr>
    </w:lvl>
    <w:lvl w:ilvl="3" w:tplc="FFFFFFFF" w:tentative="1">
      <w:start w:val="1"/>
      <w:numFmt w:val="decimal"/>
      <w:lvlText w:val="%4."/>
      <w:lvlJc w:val="left"/>
      <w:pPr>
        <w:ind w:left="3386" w:hanging="360"/>
      </w:pPr>
    </w:lvl>
    <w:lvl w:ilvl="4" w:tplc="FFFFFFFF" w:tentative="1">
      <w:start w:val="1"/>
      <w:numFmt w:val="lowerLetter"/>
      <w:lvlText w:val="%5."/>
      <w:lvlJc w:val="left"/>
      <w:pPr>
        <w:ind w:left="4106" w:hanging="360"/>
      </w:pPr>
    </w:lvl>
    <w:lvl w:ilvl="5" w:tplc="FFFFFFFF" w:tentative="1">
      <w:start w:val="1"/>
      <w:numFmt w:val="lowerRoman"/>
      <w:lvlText w:val="%6."/>
      <w:lvlJc w:val="right"/>
      <w:pPr>
        <w:ind w:left="4826" w:hanging="180"/>
      </w:pPr>
    </w:lvl>
    <w:lvl w:ilvl="6" w:tplc="FFFFFFFF" w:tentative="1">
      <w:start w:val="1"/>
      <w:numFmt w:val="decimal"/>
      <w:lvlText w:val="%7."/>
      <w:lvlJc w:val="left"/>
      <w:pPr>
        <w:ind w:left="5546" w:hanging="360"/>
      </w:pPr>
    </w:lvl>
    <w:lvl w:ilvl="7" w:tplc="FFFFFFFF" w:tentative="1">
      <w:start w:val="1"/>
      <w:numFmt w:val="lowerLetter"/>
      <w:lvlText w:val="%8."/>
      <w:lvlJc w:val="left"/>
      <w:pPr>
        <w:ind w:left="6266" w:hanging="360"/>
      </w:pPr>
    </w:lvl>
    <w:lvl w:ilvl="8" w:tplc="FFFFFFFF" w:tentative="1">
      <w:start w:val="1"/>
      <w:numFmt w:val="lowerRoman"/>
      <w:lvlText w:val="%9."/>
      <w:lvlJc w:val="right"/>
      <w:pPr>
        <w:ind w:left="6986" w:hanging="180"/>
      </w:pPr>
    </w:lvl>
  </w:abstractNum>
  <w:abstractNum w:abstractNumId="670">
    <w:nsid w:val="74E548BD"/>
    <w:multiLevelType w:val="hybridMultilevel"/>
    <w:tmpl w:val="74D8101E"/>
    <w:lvl w:ilvl="0" w:tplc="5B66B27C">
      <w:start w:val="1"/>
      <w:numFmt w:val="lowerRoman"/>
      <w:lvlText w:val="(%1)"/>
      <w:lvlJc w:val="right"/>
      <w:pPr>
        <w:ind w:left="1948" w:hanging="360"/>
      </w:pPr>
      <w:rPr>
        <w:rFonts w:hint="default"/>
      </w:rPr>
    </w:lvl>
    <w:lvl w:ilvl="1" w:tplc="2C0A0019" w:tentative="1">
      <w:start w:val="1"/>
      <w:numFmt w:val="lowerLetter"/>
      <w:lvlText w:val="%2."/>
      <w:lvlJc w:val="left"/>
      <w:pPr>
        <w:ind w:left="2668" w:hanging="360"/>
      </w:pPr>
    </w:lvl>
    <w:lvl w:ilvl="2" w:tplc="2C0A001B" w:tentative="1">
      <w:start w:val="1"/>
      <w:numFmt w:val="lowerRoman"/>
      <w:lvlText w:val="%3."/>
      <w:lvlJc w:val="right"/>
      <w:pPr>
        <w:ind w:left="3388" w:hanging="180"/>
      </w:pPr>
    </w:lvl>
    <w:lvl w:ilvl="3" w:tplc="2C0A000F" w:tentative="1">
      <w:start w:val="1"/>
      <w:numFmt w:val="decimal"/>
      <w:lvlText w:val="%4."/>
      <w:lvlJc w:val="left"/>
      <w:pPr>
        <w:ind w:left="4108" w:hanging="360"/>
      </w:pPr>
    </w:lvl>
    <w:lvl w:ilvl="4" w:tplc="2C0A0019" w:tentative="1">
      <w:start w:val="1"/>
      <w:numFmt w:val="lowerLetter"/>
      <w:lvlText w:val="%5."/>
      <w:lvlJc w:val="left"/>
      <w:pPr>
        <w:ind w:left="4828" w:hanging="360"/>
      </w:pPr>
    </w:lvl>
    <w:lvl w:ilvl="5" w:tplc="2C0A001B" w:tentative="1">
      <w:start w:val="1"/>
      <w:numFmt w:val="lowerRoman"/>
      <w:lvlText w:val="%6."/>
      <w:lvlJc w:val="right"/>
      <w:pPr>
        <w:ind w:left="5548" w:hanging="180"/>
      </w:pPr>
    </w:lvl>
    <w:lvl w:ilvl="6" w:tplc="2C0A000F" w:tentative="1">
      <w:start w:val="1"/>
      <w:numFmt w:val="decimal"/>
      <w:lvlText w:val="%7."/>
      <w:lvlJc w:val="left"/>
      <w:pPr>
        <w:ind w:left="6268" w:hanging="360"/>
      </w:pPr>
    </w:lvl>
    <w:lvl w:ilvl="7" w:tplc="2C0A0019" w:tentative="1">
      <w:start w:val="1"/>
      <w:numFmt w:val="lowerLetter"/>
      <w:lvlText w:val="%8."/>
      <w:lvlJc w:val="left"/>
      <w:pPr>
        <w:ind w:left="6988" w:hanging="360"/>
      </w:pPr>
    </w:lvl>
    <w:lvl w:ilvl="8" w:tplc="2C0A001B" w:tentative="1">
      <w:start w:val="1"/>
      <w:numFmt w:val="lowerRoman"/>
      <w:lvlText w:val="%9."/>
      <w:lvlJc w:val="right"/>
      <w:pPr>
        <w:ind w:left="7708" w:hanging="180"/>
      </w:pPr>
    </w:lvl>
  </w:abstractNum>
  <w:abstractNum w:abstractNumId="671">
    <w:nsid w:val="7535400D"/>
    <w:multiLevelType w:val="multilevel"/>
    <w:tmpl w:val="065C30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2">
    <w:nsid w:val="7570088D"/>
    <w:multiLevelType w:val="hybridMultilevel"/>
    <w:tmpl w:val="63DA32B2"/>
    <w:lvl w:ilvl="0" w:tplc="FFFFFFFF">
      <w:start w:val="1"/>
      <w:numFmt w:val="lowerLetter"/>
      <w:lvlText w:val="%1)"/>
      <w:lvlJc w:val="left"/>
      <w:pPr>
        <w:ind w:left="1647" w:hanging="567"/>
      </w:pPr>
      <w:rPr>
        <w:rFonts w:hint="default"/>
        <w:b w:val="0"/>
        <w:bCs/>
      </w:rPr>
    </w:lvl>
    <w:lvl w:ilvl="1" w:tplc="FFFFFFFF" w:tentative="1">
      <w:start w:val="1"/>
      <w:numFmt w:val="lowerLetter"/>
      <w:lvlText w:val="%2."/>
      <w:lvlJc w:val="left"/>
      <w:pPr>
        <w:ind w:left="1953" w:hanging="360"/>
      </w:pPr>
    </w:lvl>
    <w:lvl w:ilvl="2" w:tplc="FFFFFFFF" w:tentative="1">
      <w:start w:val="1"/>
      <w:numFmt w:val="lowerRoman"/>
      <w:lvlText w:val="%3."/>
      <w:lvlJc w:val="right"/>
      <w:pPr>
        <w:ind w:left="2673" w:hanging="180"/>
      </w:pPr>
    </w:lvl>
    <w:lvl w:ilvl="3" w:tplc="FFFFFFFF" w:tentative="1">
      <w:start w:val="1"/>
      <w:numFmt w:val="decimal"/>
      <w:lvlText w:val="%4."/>
      <w:lvlJc w:val="left"/>
      <w:pPr>
        <w:ind w:left="3393" w:hanging="360"/>
      </w:pPr>
    </w:lvl>
    <w:lvl w:ilvl="4" w:tplc="FFFFFFFF" w:tentative="1">
      <w:start w:val="1"/>
      <w:numFmt w:val="lowerLetter"/>
      <w:lvlText w:val="%5."/>
      <w:lvlJc w:val="left"/>
      <w:pPr>
        <w:ind w:left="4113" w:hanging="360"/>
      </w:pPr>
    </w:lvl>
    <w:lvl w:ilvl="5" w:tplc="FFFFFFFF" w:tentative="1">
      <w:start w:val="1"/>
      <w:numFmt w:val="lowerRoman"/>
      <w:lvlText w:val="%6."/>
      <w:lvlJc w:val="right"/>
      <w:pPr>
        <w:ind w:left="4833" w:hanging="180"/>
      </w:pPr>
    </w:lvl>
    <w:lvl w:ilvl="6" w:tplc="FFFFFFFF" w:tentative="1">
      <w:start w:val="1"/>
      <w:numFmt w:val="decimal"/>
      <w:lvlText w:val="%7."/>
      <w:lvlJc w:val="left"/>
      <w:pPr>
        <w:ind w:left="5553" w:hanging="360"/>
      </w:pPr>
    </w:lvl>
    <w:lvl w:ilvl="7" w:tplc="FFFFFFFF" w:tentative="1">
      <w:start w:val="1"/>
      <w:numFmt w:val="lowerLetter"/>
      <w:lvlText w:val="%8."/>
      <w:lvlJc w:val="left"/>
      <w:pPr>
        <w:ind w:left="6273" w:hanging="360"/>
      </w:pPr>
    </w:lvl>
    <w:lvl w:ilvl="8" w:tplc="FFFFFFFF" w:tentative="1">
      <w:start w:val="1"/>
      <w:numFmt w:val="lowerRoman"/>
      <w:lvlText w:val="%9."/>
      <w:lvlJc w:val="right"/>
      <w:pPr>
        <w:ind w:left="6993" w:hanging="180"/>
      </w:pPr>
    </w:lvl>
  </w:abstractNum>
  <w:abstractNum w:abstractNumId="673">
    <w:nsid w:val="75BC7AB5"/>
    <w:multiLevelType w:val="hybridMultilevel"/>
    <w:tmpl w:val="AA6EB9EC"/>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4">
    <w:nsid w:val="766435C6"/>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5">
    <w:nsid w:val="76BE22A3"/>
    <w:multiLevelType w:val="hybridMultilevel"/>
    <w:tmpl w:val="BEB6D68C"/>
    <w:lvl w:ilvl="0" w:tplc="F1B8D85A">
      <w:start w:val="1"/>
      <w:numFmt w:val="lowerLetter"/>
      <w:lvlText w:val="%1)"/>
      <w:lvlJc w:val="left"/>
      <w:pPr>
        <w:ind w:left="720" w:hanging="360"/>
      </w:pPr>
      <w:rPr>
        <w:rFonts w:ascii="Arial" w:hAnsi="Arial" w:hint="default"/>
        <w:b w:val="0"/>
        <w:i w:val="0"/>
        <w:w w:val="103"/>
        <w:sz w:val="22"/>
        <w:szCs w:val="17"/>
      </w:rPr>
    </w:lvl>
    <w:lvl w:ilvl="1" w:tplc="2C0A000F">
      <w:start w:val="1"/>
      <w:numFmt w:val="decimal"/>
      <w:lvlText w:val="%2."/>
      <w:lvlJc w:val="left"/>
      <w:pPr>
        <w:ind w:left="1440" w:hanging="360"/>
      </w:pPr>
      <w:rPr>
        <w:rFonts w:hint="default"/>
      </w:rPr>
    </w:lvl>
    <w:lvl w:ilvl="2" w:tplc="7AE421E8">
      <w:start w:val="1"/>
      <w:numFmt w:val="lowerLetter"/>
      <w:lvlText w:val="%3."/>
      <w:lvlJc w:val="left"/>
      <w:pPr>
        <w:ind w:left="2160" w:hanging="180"/>
      </w:pPr>
      <w:rPr>
        <w:rFonts w:hint="default"/>
        <w:b w:val="0"/>
        <w:bCs/>
        <w:sz w:val="20"/>
        <w:szCs w:val="20"/>
      </w:rPr>
    </w:lvl>
    <w:lvl w:ilvl="3" w:tplc="2C0A0015">
      <w:start w:val="1"/>
      <w:numFmt w:val="upperLetter"/>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6">
    <w:nsid w:val="77221C44"/>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7">
    <w:nsid w:val="77512EA0"/>
    <w:multiLevelType w:val="hybridMultilevel"/>
    <w:tmpl w:val="8BA84542"/>
    <w:lvl w:ilvl="0" w:tplc="61EC102A">
      <w:start w:val="1"/>
      <w:numFmt w:val="lowerLetter"/>
      <w:lvlText w:val="%1)"/>
      <w:lvlJc w:val="left"/>
      <w:pPr>
        <w:ind w:left="927" w:hanging="360"/>
      </w:pPr>
      <w:rPr>
        <w:rFonts w:hint="default"/>
        <w:b w:val="0"/>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78">
    <w:nsid w:val="777E6C32"/>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79">
    <w:nsid w:val="7780317C"/>
    <w:multiLevelType w:val="hybridMultilevel"/>
    <w:tmpl w:val="88BE8904"/>
    <w:lvl w:ilvl="0" w:tplc="FFFFFFFF">
      <w:start w:val="1"/>
      <w:numFmt w:val="lowerLetter"/>
      <w:lvlText w:val="%1)"/>
      <w:lvlJc w:val="left"/>
      <w:pPr>
        <w:ind w:left="1560" w:hanging="567"/>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0">
    <w:nsid w:val="778446A2"/>
    <w:multiLevelType w:val="hybridMultilevel"/>
    <w:tmpl w:val="0958EFD6"/>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81">
    <w:nsid w:val="77E27527"/>
    <w:multiLevelType w:val="hybridMultilevel"/>
    <w:tmpl w:val="54E0A300"/>
    <w:lvl w:ilvl="0" w:tplc="2C0A0017">
      <w:start w:val="1"/>
      <w:numFmt w:val="lowerLetter"/>
      <w:lvlText w:val="%1)"/>
      <w:lvlJc w:val="left"/>
      <w:pPr>
        <w:ind w:left="993" w:hanging="567"/>
      </w:pPr>
      <w:rPr>
        <w:rFonts w:hint="default"/>
        <w:b w:val="0"/>
        <w:bCs/>
        <w:i w:val="0"/>
        <w:sz w:val="20"/>
        <w:szCs w:val="20"/>
      </w:rPr>
    </w:lvl>
    <w:lvl w:ilvl="1" w:tplc="FFFFFFFF">
      <w:start w:val="1"/>
      <w:numFmt w:val="lowerLetter"/>
      <w:lvlText w:val="%2)"/>
      <w:lvlJc w:val="left"/>
      <w:pPr>
        <w:ind w:left="1134" w:hanging="567"/>
      </w:pPr>
      <w:rPr>
        <w:rFonts w:ascii="Arial" w:hAnsi="Arial" w:cs="Arial" w:hint="default"/>
        <w:b w:val="0"/>
        <w:bCs/>
        <w:i w:val="0"/>
        <w:iCs w:val="0"/>
        <w:sz w:val="20"/>
        <w:szCs w:val="20"/>
      </w:rPr>
    </w:lvl>
    <w:lvl w:ilvl="2" w:tplc="FFFFFFFF">
      <w:start w:val="1"/>
      <w:numFmt w:val="lowerRoman"/>
      <w:lvlText w:val="(%3)"/>
      <w:lvlJc w:val="right"/>
      <w:pPr>
        <w:ind w:left="1758" w:hanging="170"/>
      </w:pPr>
      <w:rPr>
        <w:rFont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2"/>
      <w:numFmt w:val="lowerRoman"/>
      <w:lvlText w:val="%6)"/>
      <w:lvlJc w:val="left"/>
      <w:pPr>
        <w:ind w:left="4500" w:hanging="720"/>
      </w:pPr>
      <w:rPr>
        <w:rFonts w:hint="default"/>
      </w:r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2">
    <w:nsid w:val="780A6610"/>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3">
    <w:nsid w:val="78547AC9"/>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4">
    <w:nsid w:val="78676B85"/>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5">
    <w:nsid w:val="78844404"/>
    <w:multiLevelType w:val="hybridMultilevel"/>
    <w:tmpl w:val="291A491E"/>
    <w:lvl w:ilvl="0" w:tplc="FFFFFFFF">
      <w:start w:val="1"/>
      <w:numFmt w:val="lowerLetter"/>
      <w:lvlText w:val="%1)"/>
      <w:lvlJc w:val="left"/>
      <w:pPr>
        <w:ind w:left="1712" w:hanging="360"/>
      </w:p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686">
    <w:nsid w:val="788F5899"/>
    <w:multiLevelType w:val="multilevel"/>
    <w:tmpl w:val="FB7C48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7">
    <w:nsid w:val="78906F3A"/>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8">
    <w:nsid w:val="789717E1"/>
    <w:multiLevelType w:val="multilevel"/>
    <w:tmpl w:val="AB660218"/>
    <w:styleLink w:val="Listaactual15"/>
    <w:lvl w:ilvl="0">
      <w:start w:val="1"/>
      <w:numFmt w:val="lowerRoman"/>
      <w:lvlText w:val="(%1)"/>
      <w:lvlJc w:val="right"/>
      <w:pPr>
        <w:ind w:left="1758"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9">
    <w:nsid w:val="78AB0CAB"/>
    <w:multiLevelType w:val="hybridMultilevel"/>
    <w:tmpl w:val="901061BC"/>
    <w:lvl w:ilvl="0" w:tplc="F5E4B2FE">
      <w:start w:val="1"/>
      <w:numFmt w:val="lowerLetter"/>
      <w:lvlText w:val="%1)"/>
      <w:lvlJc w:val="left"/>
      <w:pPr>
        <w:ind w:left="1452"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57CA380E">
      <w:start w:val="1"/>
      <w:numFmt w:val="lowerLetter"/>
      <w:lvlText w:val="%2"/>
      <w:lvlJc w:val="left"/>
      <w:pPr>
        <w:ind w:left="20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D6786850">
      <w:start w:val="1"/>
      <w:numFmt w:val="lowerRoman"/>
      <w:lvlText w:val="%3"/>
      <w:lvlJc w:val="left"/>
      <w:pPr>
        <w:ind w:left="27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42309AF4">
      <w:start w:val="1"/>
      <w:numFmt w:val="decimal"/>
      <w:lvlText w:val="%4"/>
      <w:lvlJc w:val="left"/>
      <w:pPr>
        <w:ind w:left="35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5F2C95E">
      <w:start w:val="1"/>
      <w:numFmt w:val="lowerLetter"/>
      <w:lvlText w:val="%5"/>
      <w:lvlJc w:val="left"/>
      <w:pPr>
        <w:ind w:left="423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D00C0F62">
      <w:start w:val="1"/>
      <w:numFmt w:val="lowerRoman"/>
      <w:lvlText w:val="%6"/>
      <w:lvlJc w:val="left"/>
      <w:pPr>
        <w:ind w:left="495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9DA42114">
      <w:start w:val="1"/>
      <w:numFmt w:val="decimal"/>
      <w:lvlText w:val="%7"/>
      <w:lvlJc w:val="left"/>
      <w:pPr>
        <w:ind w:left="567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2528F64">
      <w:start w:val="1"/>
      <w:numFmt w:val="lowerLetter"/>
      <w:lvlText w:val="%8"/>
      <w:lvlJc w:val="left"/>
      <w:pPr>
        <w:ind w:left="639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83ACECD6">
      <w:start w:val="1"/>
      <w:numFmt w:val="lowerRoman"/>
      <w:lvlText w:val="%9"/>
      <w:lvlJc w:val="left"/>
      <w:pPr>
        <w:ind w:left="711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690">
    <w:nsid w:val="78C14D57"/>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1">
    <w:nsid w:val="78E42319"/>
    <w:multiLevelType w:val="multilevel"/>
    <w:tmpl w:val="A81006EE"/>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2">
    <w:nsid w:val="78EA08D8"/>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3">
    <w:nsid w:val="79C4344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4">
    <w:nsid w:val="7A137B2D"/>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5">
    <w:nsid w:val="7A461C7C"/>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6">
    <w:nsid w:val="7A6B354B"/>
    <w:multiLevelType w:val="hybridMultilevel"/>
    <w:tmpl w:val="9070A95C"/>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7">
    <w:nsid w:val="7A6E24A6"/>
    <w:multiLevelType w:val="hybridMultilevel"/>
    <w:tmpl w:val="ECF86F2C"/>
    <w:lvl w:ilvl="0" w:tplc="30C8C27C">
      <w:start w:val="1"/>
      <w:numFmt w:val="lowerLetter"/>
      <w:lvlText w:val="%1)"/>
      <w:lvlJc w:val="left"/>
      <w:pPr>
        <w:ind w:left="720" w:hanging="360"/>
      </w:pPr>
      <w:rPr>
        <w:rFonts w:hint="default"/>
      </w:rPr>
    </w:lvl>
    <w:lvl w:ilvl="1" w:tplc="5B66B27C">
      <w:start w:val="1"/>
      <w:numFmt w:val="lowerRoman"/>
      <w:lvlText w:val="(%2)"/>
      <w:lvlJc w:val="righ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8">
    <w:nsid w:val="7AE620F6"/>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9">
    <w:nsid w:val="7B1C3C2C"/>
    <w:multiLevelType w:val="hybridMultilevel"/>
    <w:tmpl w:val="188C351A"/>
    <w:lvl w:ilvl="0" w:tplc="D1DA3F5C">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0">
    <w:nsid w:val="7B29254C"/>
    <w:multiLevelType w:val="hybridMultilevel"/>
    <w:tmpl w:val="400A2E74"/>
    <w:lvl w:ilvl="0" w:tplc="2C0A0017">
      <w:start w:val="1"/>
      <w:numFmt w:val="lowerLetter"/>
      <w:lvlText w:val="%1)"/>
      <w:lvlJc w:val="left"/>
      <w:pPr>
        <w:ind w:left="1002" w:hanging="360"/>
      </w:pPr>
      <w:rPr>
        <w:rFonts w:hint="default"/>
      </w:rPr>
    </w:lvl>
    <w:lvl w:ilvl="1" w:tplc="2C0A0019" w:tentative="1">
      <w:start w:val="1"/>
      <w:numFmt w:val="lowerLetter"/>
      <w:lvlText w:val="%2."/>
      <w:lvlJc w:val="left"/>
      <w:pPr>
        <w:ind w:left="1722" w:hanging="360"/>
      </w:pPr>
    </w:lvl>
    <w:lvl w:ilvl="2" w:tplc="2C0A001B" w:tentative="1">
      <w:start w:val="1"/>
      <w:numFmt w:val="lowerRoman"/>
      <w:lvlText w:val="%3."/>
      <w:lvlJc w:val="right"/>
      <w:pPr>
        <w:ind w:left="2442" w:hanging="180"/>
      </w:pPr>
    </w:lvl>
    <w:lvl w:ilvl="3" w:tplc="2C0A000F" w:tentative="1">
      <w:start w:val="1"/>
      <w:numFmt w:val="decimal"/>
      <w:lvlText w:val="%4."/>
      <w:lvlJc w:val="left"/>
      <w:pPr>
        <w:ind w:left="3162" w:hanging="360"/>
      </w:pPr>
    </w:lvl>
    <w:lvl w:ilvl="4" w:tplc="2C0A0019" w:tentative="1">
      <w:start w:val="1"/>
      <w:numFmt w:val="lowerLetter"/>
      <w:lvlText w:val="%5."/>
      <w:lvlJc w:val="left"/>
      <w:pPr>
        <w:ind w:left="3882" w:hanging="360"/>
      </w:pPr>
    </w:lvl>
    <w:lvl w:ilvl="5" w:tplc="2C0A001B" w:tentative="1">
      <w:start w:val="1"/>
      <w:numFmt w:val="lowerRoman"/>
      <w:lvlText w:val="%6."/>
      <w:lvlJc w:val="right"/>
      <w:pPr>
        <w:ind w:left="4602" w:hanging="180"/>
      </w:pPr>
    </w:lvl>
    <w:lvl w:ilvl="6" w:tplc="2C0A000F" w:tentative="1">
      <w:start w:val="1"/>
      <w:numFmt w:val="decimal"/>
      <w:lvlText w:val="%7."/>
      <w:lvlJc w:val="left"/>
      <w:pPr>
        <w:ind w:left="5322" w:hanging="360"/>
      </w:pPr>
    </w:lvl>
    <w:lvl w:ilvl="7" w:tplc="2C0A0019" w:tentative="1">
      <w:start w:val="1"/>
      <w:numFmt w:val="lowerLetter"/>
      <w:lvlText w:val="%8."/>
      <w:lvlJc w:val="left"/>
      <w:pPr>
        <w:ind w:left="6042" w:hanging="360"/>
      </w:pPr>
    </w:lvl>
    <w:lvl w:ilvl="8" w:tplc="2C0A001B" w:tentative="1">
      <w:start w:val="1"/>
      <w:numFmt w:val="lowerRoman"/>
      <w:lvlText w:val="%9."/>
      <w:lvlJc w:val="right"/>
      <w:pPr>
        <w:ind w:left="6762" w:hanging="180"/>
      </w:pPr>
    </w:lvl>
  </w:abstractNum>
  <w:abstractNum w:abstractNumId="701">
    <w:nsid w:val="7B803947"/>
    <w:multiLevelType w:val="hybridMultilevel"/>
    <w:tmpl w:val="71F40B9A"/>
    <w:lvl w:ilvl="0" w:tplc="2C0A0017">
      <w:start w:val="1"/>
      <w:numFmt w:val="lowerLetter"/>
      <w:lvlText w:val="%1)"/>
      <w:lvlJc w:val="left"/>
      <w:pPr>
        <w:ind w:left="1504" w:firstLine="0"/>
      </w:pPr>
      <w:rPr>
        <w:rFonts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2">
    <w:nsid w:val="7B832239"/>
    <w:multiLevelType w:val="hybridMultilevel"/>
    <w:tmpl w:val="F4E6CE9C"/>
    <w:lvl w:ilvl="0" w:tplc="EFA2D452">
      <w:start w:val="1"/>
      <w:numFmt w:val="lowerLetter"/>
      <w:lvlText w:val="%1)"/>
      <w:lvlJc w:val="left"/>
      <w:pPr>
        <w:ind w:left="720" w:hanging="360"/>
      </w:pPr>
      <w:rPr>
        <w:rFonts w:ascii="Arial" w:hAnsi="Arial" w:hint="default"/>
        <w:b w:val="0"/>
        <w:i w:val="0"/>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3">
    <w:nsid w:val="7BCB60B3"/>
    <w:multiLevelType w:val="hybridMultilevel"/>
    <w:tmpl w:val="DFEE3AE8"/>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4">
    <w:nsid w:val="7C245792"/>
    <w:multiLevelType w:val="hybridMultilevel"/>
    <w:tmpl w:val="2766D14E"/>
    <w:lvl w:ilvl="0" w:tplc="10F8733A">
      <w:start w:val="1"/>
      <w:numFmt w:val="decimal"/>
      <w:lvlText w:val="%1."/>
      <w:lvlJc w:val="left"/>
      <w:pPr>
        <w:ind w:left="993" w:hanging="567"/>
      </w:pPr>
      <w:rPr>
        <w:rFonts w:ascii="Arial" w:hAnsi="Arial" w:cs="Arial" w:hint="default"/>
        <w:b w:val="0"/>
        <w:bCs/>
        <w:i w:val="0"/>
        <w:sz w:val="20"/>
        <w:szCs w:val="20"/>
      </w:rPr>
    </w:lvl>
    <w:lvl w:ilvl="1" w:tplc="2F4A8CCA">
      <w:start w:val="1"/>
      <w:numFmt w:val="lowerLetter"/>
      <w:pStyle w:val="NUAVieta1"/>
      <w:lvlText w:val="%2)"/>
      <w:lvlJc w:val="left"/>
      <w:pPr>
        <w:ind w:left="1134" w:hanging="567"/>
      </w:pPr>
      <w:rPr>
        <w:rFonts w:ascii="Arial" w:hAnsi="Arial" w:cs="Arial" w:hint="default"/>
        <w:b w:val="0"/>
        <w:bCs/>
        <w:i w:val="0"/>
        <w:iCs w:val="0"/>
        <w:sz w:val="20"/>
        <w:szCs w:val="20"/>
      </w:rPr>
    </w:lvl>
    <w:lvl w:ilvl="2" w:tplc="5B66B27C">
      <w:start w:val="1"/>
      <w:numFmt w:val="lowerRoman"/>
      <w:lvlText w:val="(%3)"/>
      <w:lvlJc w:val="right"/>
      <w:pPr>
        <w:ind w:left="1758" w:hanging="170"/>
      </w:pPr>
      <w:rPr>
        <w:rFonts w:hint="default"/>
      </w:r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C11A7E7E">
      <w:start w:val="2"/>
      <w:numFmt w:val="lowerRoman"/>
      <w:lvlText w:val="%6)"/>
      <w:lvlJc w:val="left"/>
      <w:pPr>
        <w:ind w:left="4500" w:hanging="720"/>
      </w:pPr>
      <w:rPr>
        <w:rFonts w:hint="default"/>
      </w:r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05">
    <w:nsid w:val="7C616BF8"/>
    <w:multiLevelType w:val="hybridMultilevel"/>
    <w:tmpl w:val="BA46ADD0"/>
    <w:lvl w:ilvl="0" w:tplc="AC909DE6">
      <w:start w:val="998"/>
      <w:numFmt w:val="decimal"/>
      <w:lvlText w:val="%1."/>
      <w:lvlJc w:val="left"/>
      <w:pPr>
        <w:ind w:left="936" w:firstLine="0"/>
      </w:pPr>
      <w:rPr>
        <w:rFonts w:ascii="Arial" w:eastAsia="Times New Roman" w:hAnsi="Arial" w:cs="Arial" w:hint="default"/>
        <w:b w:val="0"/>
        <w:i w:val="0"/>
        <w:strike w:val="0"/>
        <w:dstrike w:val="0"/>
        <w:color w:val="211E1E"/>
        <w:sz w:val="20"/>
        <w:szCs w:val="20"/>
        <w:u w:val="none" w:color="000000"/>
        <w:effect w:val="none"/>
        <w:bdr w:val="none" w:sz="0" w:space="0" w:color="auto" w:frame="1"/>
        <w:vertAlign w:val="baseline"/>
      </w:rPr>
    </w:lvl>
    <w:lvl w:ilvl="1" w:tplc="FFFFFFFF">
      <w:start w:val="1"/>
      <w:numFmt w:val="lowerLetter"/>
      <w:lvlText w:val="%2)"/>
      <w:lvlJc w:val="left"/>
      <w:pPr>
        <w:ind w:left="1456"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2" w:tplc="FFFFFFFF">
      <w:start w:val="1"/>
      <w:numFmt w:val="lowerRoman"/>
      <w:lvlText w:val="(%3)"/>
      <w:lvlJc w:val="left"/>
      <w:pPr>
        <w:ind w:left="192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3" w:tplc="FFFFFFFF">
      <w:start w:val="1"/>
      <w:numFmt w:val="decimal"/>
      <w:lvlText w:val="%4."/>
      <w:lvlJc w:val="left"/>
      <w:pPr>
        <w:ind w:left="240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4" w:tplc="7A72F058">
      <w:start w:val="1"/>
      <w:numFmt w:val="lowerLetter"/>
      <w:lvlText w:val="%5."/>
      <w:lvlJc w:val="left"/>
      <w:pPr>
        <w:ind w:left="3045" w:firstLine="0"/>
      </w:pPr>
      <w:rPr>
        <w:rFonts w:ascii="Arial" w:eastAsia="Times New Roman" w:hAnsi="Arial" w:cs="Arial" w:hint="default"/>
        <w:b w:val="0"/>
        <w:i w:val="0"/>
        <w:strike w:val="0"/>
        <w:dstrike w:val="0"/>
        <w:color w:val="211E1E"/>
        <w:sz w:val="20"/>
        <w:szCs w:val="20"/>
        <w:u w:val="none" w:color="000000"/>
        <w:effect w:val="none"/>
        <w:bdr w:val="none" w:sz="0" w:space="0" w:color="auto" w:frame="1"/>
        <w:vertAlign w:val="baseline"/>
      </w:rPr>
    </w:lvl>
    <w:lvl w:ilvl="5" w:tplc="FFFFFFFF">
      <w:start w:val="1"/>
      <w:numFmt w:val="lowerRoman"/>
      <w:lvlText w:val="%6"/>
      <w:lvlJc w:val="left"/>
      <w:pPr>
        <w:ind w:left="3787"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6" w:tplc="FFFFFFFF">
      <w:start w:val="1"/>
      <w:numFmt w:val="decimal"/>
      <w:lvlText w:val="%7"/>
      <w:lvlJc w:val="left"/>
      <w:pPr>
        <w:ind w:left="4507"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7" w:tplc="FFFFFFFF">
      <w:start w:val="1"/>
      <w:numFmt w:val="lowerLetter"/>
      <w:lvlText w:val="%8"/>
      <w:lvlJc w:val="left"/>
      <w:pPr>
        <w:ind w:left="5227"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8" w:tplc="FFFFFFFF">
      <w:start w:val="1"/>
      <w:numFmt w:val="lowerRoman"/>
      <w:lvlText w:val="%9"/>
      <w:lvlJc w:val="left"/>
      <w:pPr>
        <w:ind w:left="5947"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abstractNum>
  <w:abstractNum w:abstractNumId="706">
    <w:nsid w:val="7C9C3A6E"/>
    <w:multiLevelType w:val="hybridMultilevel"/>
    <w:tmpl w:val="C4CAF188"/>
    <w:lvl w:ilvl="0" w:tplc="FFFFFFFF">
      <w:start w:val="1"/>
      <w:numFmt w:val="lowerRoman"/>
      <w:lvlText w:val="(%1)"/>
      <w:lvlJc w:val="right"/>
      <w:pPr>
        <w:ind w:left="3714"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7">
    <w:nsid w:val="7CC27F48"/>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8">
    <w:nsid w:val="7CCB4BC9"/>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9">
    <w:nsid w:val="7D0322E3"/>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0">
    <w:nsid w:val="7D131E1A"/>
    <w:multiLevelType w:val="hybridMultilevel"/>
    <w:tmpl w:val="E84AE4D8"/>
    <w:lvl w:ilvl="0" w:tplc="E234AB10">
      <w:start w:val="1"/>
      <w:numFmt w:val="lowerRoman"/>
      <w:lvlText w:val="(%1)"/>
      <w:lvlJc w:val="right"/>
      <w:pPr>
        <w:ind w:left="2534" w:hanging="360"/>
      </w:pPr>
      <w:rPr>
        <w:rFonts w:ascii="Arial" w:eastAsiaTheme="minorHAnsi" w:hAnsi="Arial" w:cs="Arial"/>
        <w:b w:val="0"/>
        <w:bCs w:val="0"/>
        <w:sz w:val="20"/>
        <w:szCs w:val="20"/>
      </w:rPr>
    </w:lvl>
    <w:lvl w:ilvl="1" w:tplc="FFFFFFFF" w:tentative="1">
      <w:start w:val="1"/>
      <w:numFmt w:val="bullet"/>
      <w:lvlText w:val="o"/>
      <w:lvlJc w:val="left"/>
      <w:pPr>
        <w:ind w:left="3254" w:hanging="360"/>
      </w:pPr>
      <w:rPr>
        <w:rFonts w:ascii="Courier New" w:hAnsi="Courier New" w:cs="Courier New" w:hint="default"/>
      </w:rPr>
    </w:lvl>
    <w:lvl w:ilvl="2" w:tplc="FFFFFFFF" w:tentative="1">
      <w:start w:val="1"/>
      <w:numFmt w:val="bullet"/>
      <w:lvlText w:val=""/>
      <w:lvlJc w:val="left"/>
      <w:pPr>
        <w:ind w:left="3974" w:hanging="360"/>
      </w:pPr>
      <w:rPr>
        <w:rFonts w:ascii="Wingdings" w:hAnsi="Wingdings" w:hint="default"/>
      </w:rPr>
    </w:lvl>
    <w:lvl w:ilvl="3" w:tplc="FFFFFFFF" w:tentative="1">
      <w:start w:val="1"/>
      <w:numFmt w:val="bullet"/>
      <w:lvlText w:val=""/>
      <w:lvlJc w:val="left"/>
      <w:pPr>
        <w:ind w:left="4694" w:hanging="360"/>
      </w:pPr>
      <w:rPr>
        <w:rFonts w:ascii="Symbol" w:hAnsi="Symbol" w:hint="default"/>
      </w:rPr>
    </w:lvl>
    <w:lvl w:ilvl="4" w:tplc="FFFFFFFF" w:tentative="1">
      <w:start w:val="1"/>
      <w:numFmt w:val="bullet"/>
      <w:lvlText w:val="o"/>
      <w:lvlJc w:val="left"/>
      <w:pPr>
        <w:ind w:left="5414" w:hanging="360"/>
      </w:pPr>
      <w:rPr>
        <w:rFonts w:ascii="Courier New" w:hAnsi="Courier New" w:cs="Courier New" w:hint="default"/>
      </w:rPr>
    </w:lvl>
    <w:lvl w:ilvl="5" w:tplc="FFFFFFFF" w:tentative="1">
      <w:start w:val="1"/>
      <w:numFmt w:val="bullet"/>
      <w:lvlText w:val=""/>
      <w:lvlJc w:val="left"/>
      <w:pPr>
        <w:ind w:left="6134" w:hanging="360"/>
      </w:pPr>
      <w:rPr>
        <w:rFonts w:ascii="Wingdings" w:hAnsi="Wingdings" w:hint="default"/>
      </w:rPr>
    </w:lvl>
    <w:lvl w:ilvl="6" w:tplc="FFFFFFFF" w:tentative="1">
      <w:start w:val="1"/>
      <w:numFmt w:val="bullet"/>
      <w:lvlText w:val=""/>
      <w:lvlJc w:val="left"/>
      <w:pPr>
        <w:ind w:left="6854" w:hanging="360"/>
      </w:pPr>
      <w:rPr>
        <w:rFonts w:ascii="Symbol" w:hAnsi="Symbol" w:hint="default"/>
      </w:rPr>
    </w:lvl>
    <w:lvl w:ilvl="7" w:tplc="FFFFFFFF" w:tentative="1">
      <w:start w:val="1"/>
      <w:numFmt w:val="bullet"/>
      <w:lvlText w:val="o"/>
      <w:lvlJc w:val="left"/>
      <w:pPr>
        <w:ind w:left="7574" w:hanging="360"/>
      </w:pPr>
      <w:rPr>
        <w:rFonts w:ascii="Courier New" w:hAnsi="Courier New" w:cs="Courier New" w:hint="default"/>
      </w:rPr>
    </w:lvl>
    <w:lvl w:ilvl="8" w:tplc="FFFFFFFF" w:tentative="1">
      <w:start w:val="1"/>
      <w:numFmt w:val="bullet"/>
      <w:lvlText w:val=""/>
      <w:lvlJc w:val="left"/>
      <w:pPr>
        <w:ind w:left="8294" w:hanging="360"/>
      </w:pPr>
      <w:rPr>
        <w:rFonts w:ascii="Wingdings" w:hAnsi="Wingdings" w:hint="default"/>
      </w:rPr>
    </w:lvl>
  </w:abstractNum>
  <w:abstractNum w:abstractNumId="711">
    <w:nsid w:val="7D171ECA"/>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2">
    <w:nsid w:val="7D213099"/>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3">
    <w:nsid w:val="7D4F1E02"/>
    <w:multiLevelType w:val="hybridMultilevel"/>
    <w:tmpl w:val="AD341AD4"/>
    <w:lvl w:ilvl="0" w:tplc="FFFFFFFF">
      <w:start w:val="1"/>
      <w:numFmt w:val="lowerLetter"/>
      <w:lvlText w:val="%1)"/>
      <w:lvlJc w:val="left"/>
      <w:pPr>
        <w:ind w:left="1134" w:hanging="567"/>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4">
    <w:nsid w:val="7D904C30"/>
    <w:multiLevelType w:val="hybridMultilevel"/>
    <w:tmpl w:val="4AF61CA0"/>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5">
    <w:nsid w:val="7D9474E6"/>
    <w:multiLevelType w:val="hybridMultilevel"/>
    <w:tmpl w:val="62C20050"/>
    <w:lvl w:ilvl="0" w:tplc="54EE883C">
      <w:start w:val="1"/>
      <w:numFmt w:val="lowerLetter"/>
      <w:lvlText w:val="%1)"/>
      <w:lvlJc w:val="left"/>
      <w:pPr>
        <w:ind w:left="720" w:hanging="360"/>
      </w:pPr>
      <w:rPr>
        <w:rFonts w:ascii="Arial" w:hAnsi="Arial" w:hint="default"/>
        <w:b w:val="0"/>
        <w:i w:val="0"/>
        <w:w w:val="103"/>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6">
    <w:nsid w:val="7D97623B"/>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7">
    <w:nsid w:val="7DBB32F1"/>
    <w:multiLevelType w:val="hybridMultilevel"/>
    <w:tmpl w:val="2C88B436"/>
    <w:lvl w:ilvl="0" w:tplc="F1B8D85A">
      <w:start w:val="1"/>
      <w:numFmt w:val="lowerLetter"/>
      <w:lvlText w:val="%1)"/>
      <w:lvlJc w:val="left"/>
      <w:pPr>
        <w:ind w:left="720" w:hanging="360"/>
      </w:pPr>
      <w:rPr>
        <w:rFonts w:ascii="Arial" w:hAnsi="Arial" w:hint="default"/>
        <w:b w:val="0"/>
        <w:i w:val="0"/>
        <w:w w:val="103"/>
        <w:sz w:val="22"/>
        <w:szCs w:val="17"/>
      </w:rPr>
    </w:lvl>
    <w:lvl w:ilvl="1" w:tplc="179E55D6">
      <w:start w:val="1"/>
      <w:numFmt w:val="lowerRoman"/>
      <w:lvlText w:val="(%2)."/>
      <w:lvlJc w:val="right"/>
      <w:pPr>
        <w:ind w:left="1440" w:hanging="360"/>
      </w:pPr>
      <w:rPr>
        <w:rFonts w:hint="default"/>
        <w:b w:val="0"/>
        <w:bCs w:val="0"/>
        <w:sz w:val="20"/>
        <w:szCs w:val="20"/>
      </w:rPr>
    </w:lvl>
    <w:lvl w:ilvl="2" w:tplc="C114AECC">
      <w:start w:val="1"/>
      <w:numFmt w:val="decimal"/>
      <w:lvlText w:val="%3."/>
      <w:lvlJc w:val="left"/>
      <w:pPr>
        <w:ind w:left="2160" w:hanging="180"/>
      </w:pPr>
      <w:rPr>
        <w:rFonts w:ascii="Arial" w:hAnsi="Arial" w:cs="Arial" w:hint="default"/>
        <w:b w:val="0"/>
        <w:bCs/>
        <w:sz w:val="22"/>
        <w:szCs w:val="22"/>
      </w:rPr>
    </w:lvl>
    <w:lvl w:ilvl="3" w:tplc="2C0A0015">
      <w:start w:val="1"/>
      <w:numFmt w:val="upperLetter"/>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8">
    <w:nsid w:val="7DBF4A74"/>
    <w:multiLevelType w:val="hybridMultilevel"/>
    <w:tmpl w:val="4AF61CA0"/>
    <w:lvl w:ilvl="0" w:tplc="FFFFFFFF">
      <w:start w:val="1"/>
      <w:numFmt w:val="lowerLetter"/>
      <w:lvlText w:val="%1)"/>
      <w:lvlJc w:val="left"/>
      <w:pPr>
        <w:ind w:left="4820" w:hanging="567"/>
      </w:pPr>
      <w:rPr>
        <w:rFonts w:hint="default"/>
        <w:b w:val="0"/>
        <w:bCs/>
      </w:rPr>
    </w:lvl>
    <w:lvl w:ilvl="1" w:tplc="FFFFFFFF">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719">
    <w:nsid w:val="7E567738"/>
    <w:multiLevelType w:val="hybridMultilevel"/>
    <w:tmpl w:val="8C202C0E"/>
    <w:lvl w:ilvl="0" w:tplc="6C684DE6">
      <w:start w:val="1"/>
      <w:numFmt w:val="decimal"/>
      <w:lvlText w:val="%1"/>
      <w:lvlJc w:val="left"/>
      <w:pPr>
        <w:ind w:left="3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FCE43DB4">
      <w:start w:val="1"/>
      <w:numFmt w:val="lowerLetter"/>
      <w:lvlText w:val="%2"/>
      <w:lvlJc w:val="left"/>
      <w:pPr>
        <w:ind w:left="68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892A8F70">
      <w:start w:val="1"/>
      <w:numFmt w:val="lowerRoman"/>
      <w:lvlText w:val="%3"/>
      <w:lvlJc w:val="left"/>
      <w:pPr>
        <w:ind w:left="100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3FE46BE0">
      <w:start w:val="1"/>
      <w:numFmt w:val="decimal"/>
      <w:lvlText w:val="%4"/>
      <w:lvlJc w:val="left"/>
      <w:pPr>
        <w:ind w:left="1324"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81F86780">
      <w:start w:val="1"/>
      <w:numFmt w:val="lowerRoman"/>
      <w:lvlRestart w:val="0"/>
      <w:lvlText w:val="(%5)"/>
      <w:lvlJc w:val="left"/>
      <w:pPr>
        <w:ind w:left="169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5" w:tplc="EBF6FB14">
      <w:start w:val="1"/>
      <w:numFmt w:val="lowerRoman"/>
      <w:lvlText w:val="%6"/>
      <w:lvlJc w:val="left"/>
      <w:pPr>
        <w:ind w:left="236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E8B294CC">
      <w:start w:val="1"/>
      <w:numFmt w:val="decimal"/>
      <w:lvlText w:val="%7"/>
      <w:lvlJc w:val="left"/>
      <w:pPr>
        <w:ind w:left="308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F168D5CA">
      <w:start w:val="1"/>
      <w:numFmt w:val="lowerLetter"/>
      <w:lvlText w:val="%8"/>
      <w:lvlJc w:val="left"/>
      <w:pPr>
        <w:ind w:left="380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281ABC6A">
      <w:start w:val="1"/>
      <w:numFmt w:val="lowerRoman"/>
      <w:lvlText w:val="%9"/>
      <w:lvlJc w:val="left"/>
      <w:pPr>
        <w:ind w:left="4525"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720">
    <w:nsid w:val="7E7A527A"/>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1">
    <w:nsid w:val="7EA54193"/>
    <w:multiLevelType w:val="hybridMultilevel"/>
    <w:tmpl w:val="4AF61CA0"/>
    <w:lvl w:ilvl="0" w:tplc="FFFFFFFF">
      <w:start w:val="1"/>
      <w:numFmt w:val="lowerLetter"/>
      <w:lvlText w:val="%1)"/>
      <w:lvlJc w:val="left"/>
      <w:pPr>
        <w:ind w:left="4820" w:hanging="567"/>
      </w:pPr>
      <w:rPr>
        <w:rFonts w:hint="default"/>
        <w:b w:val="0"/>
        <w:bCs/>
      </w:rPr>
    </w:lvl>
    <w:lvl w:ilvl="1" w:tplc="FFFFFFFF" w:tentative="1">
      <w:start w:val="1"/>
      <w:numFmt w:val="lowerLetter"/>
      <w:lvlText w:val="%2."/>
      <w:lvlJc w:val="left"/>
      <w:pPr>
        <w:ind w:left="5126" w:hanging="360"/>
      </w:pPr>
    </w:lvl>
    <w:lvl w:ilvl="2" w:tplc="FFFFFFFF" w:tentative="1">
      <w:start w:val="1"/>
      <w:numFmt w:val="lowerRoman"/>
      <w:lvlText w:val="%3."/>
      <w:lvlJc w:val="right"/>
      <w:pPr>
        <w:ind w:left="5846" w:hanging="180"/>
      </w:pPr>
    </w:lvl>
    <w:lvl w:ilvl="3" w:tplc="FFFFFFFF" w:tentative="1">
      <w:start w:val="1"/>
      <w:numFmt w:val="decimal"/>
      <w:lvlText w:val="%4."/>
      <w:lvlJc w:val="left"/>
      <w:pPr>
        <w:ind w:left="6566" w:hanging="360"/>
      </w:pPr>
    </w:lvl>
    <w:lvl w:ilvl="4" w:tplc="FFFFFFFF" w:tentative="1">
      <w:start w:val="1"/>
      <w:numFmt w:val="lowerLetter"/>
      <w:lvlText w:val="%5."/>
      <w:lvlJc w:val="left"/>
      <w:pPr>
        <w:ind w:left="7286" w:hanging="360"/>
      </w:pPr>
    </w:lvl>
    <w:lvl w:ilvl="5" w:tplc="FFFFFFFF" w:tentative="1">
      <w:start w:val="1"/>
      <w:numFmt w:val="lowerRoman"/>
      <w:lvlText w:val="%6."/>
      <w:lvlJc w:val="right"/>
      <w:pPr>
        <w:ind w:left="8006" w:hanging="180"/>
      </w:pPr>
    </w:lvl>
    <w:lvl w:ilvl="6" w:tplc="FFFFFFFF" w:tentative="1">
      <w:start w:val="1"/>
      <w:numFmt w:val="decimal"/>
      <w:lvlText w:val="%7."/>
      <w:lvlJc w:val="left"/>
      <w:pPr>
        <w:ind w:left="8726" w:hanging="360"/>
      </w:pPr>
    </w:lvl>
    <w:lvl w:ilvl="7" w:tplc="FFFFFFFF" w:tentative="1">
      <w:start w:val="1"/>
      <w:numFmt w:val="lowerLetter"/>
      <w:lvlText w:val="%8."/>
      <w:lvlJc w:val="left"/>
      <w:pPr>
        <w:ind w:left="9446" w:hanging="360"/>
      </w:pPr>
    </w:lvl>
    <w:lvl w:ilvl="8" w:tplc="FFFFFFFF" w:tentative="1">
      <w:start w:val="1"/>
      <w:numFmt w:val="lowerRoman"/>
      <w:lvlText w:val="%9."/>
      <w:lvlJc w:val="right"/>
      <w:pPr>
        <w:ind w:left="10166" w:hanging="180"/>
      </w:pPr>
    </w:lvl>
  </w:abstractNum>
  <w:abstractNum w:abstractNumId="722">
    <w:nsid w:val="7EC75B59"/>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3">
    <w:nsid w:val="7ED1618A"/>
    <w:multiLevelType w:val="hybridMultilevel"/>
    <w:tmpl w:val="1F2433DA"/>
    <w:lvl w:ilvl="0" w:tplc="FFFFFFFF">
      <w:start w:val="1"/>
      <w:numFmt w:val="lowerLetter"/>
      <w:lvlText w:val="%1)"/>
      <w:lvlJc w:val="left"/>
      <w:pPr>
        <w:ind w:left="1504"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4">
    <w:nsid w:val="7ED91AD8"/>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5">
    <w:nsid w:val="7F2E5E8D"/>
    <w:multiLevelType w:val="hybridMultilevel"/>
    <w:tmpl w:val="ABF2FE44"/>
    <w:lvl w:ilvl="0" w:tplc="FFFFFFFF">
      <w:start w:val="1"/>
      <w:numFmt w:val="lowerRoman"/>
      <w:lvlText w:val="(%1)"/>
      <w:lvlJc w:val="right"/>
      <w:pPr>
        <w:ind w:left="1758" w:hanging="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6">
    <w:nsid w:val="7F356113"/>
    <w:multiLevelType w:val="hybridMultilevel"/>
    <w:tmpl w:val="ABF2FE44"/>
    <w:lvl w:ilvl="0" w:tplc="9746BCE8">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7">
    <w:nsid w:val="7F3E339F"/>
    <w:multiLevelType w:val="hybridMultilevel"/>
    <w:tmpl w:val="51A45184"/>
    <w:lvl w:ilvl="0" w:tplc="77AEC06E">
      <w:start w:val="1"/>
      <w:numFmt w:val="lowerLetter"/>
      <w:lvlRestart w:val="0"/>
      <w:lvlText w:val="%1)"/>
      <w:lvlJc w:val="left"/>
      <w:pPr>
        <w:ind w:left="1451"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8">
    <w:nsid w:val="7F454C4E"/>
    <w:multiLevelType w:val="hybridMultilevel"/>
    <w:tmpl w:val="20BC3E68"/>
    <w:lvl w:ilvl="0" w:tplc="B650C092">
      <w:start w:val="1"/>
      <w:numFmt w:val="lowerLetter"/>
      <w:lvlText w:val="%1)"/>
      <w:lvlJc w:val="left"/>
      <w:pPr>
        <w:ind w:left="1134" w:hanging="567"/>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9">
    <w:nsid w:val="7F4A7B72"/>
    <w:multiLevelType w:val="hybridMultilevel"/>
    <w:tmpl w:val="AD341AD4"/>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0">
    <w:nsid w:val="7F6920B0"/>
    <w:multiLevelType w:val="hybridMultilevel"/>
    <w:tmpl w:val="D16A8142"/>
    <w:lvl w:ilvl="0" w:tplc="4FE6BE0A">
      <w:start w:val="1"/>
      <w:numFmt w:val="lowerLetter"/>
      <w:lvlText w:val="%1)"/>
      <w:lvlJc w:val="left"/>
      <w:pPr>
        <w:ind w:left="1066"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20D858A8">
      <w:start w:val="1"/>
      <w:numFmt w:val="lowerRoman"/>
      <w:lvlText w:val="(%2)"/>
      <w:lvlJc w:val="left"/>
      <w:pPr>
        <w:ind w:left="1676" w:firstLine="0"/>
      </w:pPr>
      <w:rPr>
        <w:rFonts w:ascii="Arial" w:eastAsia="Times New Roman" w:hAnsi="Arial" w:cs="Arial" w:hint="default"/>
        <w:b w:val="0"/>
        <w:i w:val="0"/>
        <w:strike w:val="0"/>
        <w:dstrike w:val="0"/>
        <w:color w:val="211E1E"/>
        <w:sz w:val="20"/>
        <w:szCs w:val="20"/>
        <w:u w:val="none" w:color="000000"/>
        <w:effect w:val="none"/>
        <w:bdr w:val="none" w:sz="0" w:space="0" w:color="auto" w:frame="1"/>
        <w:vertAlign w:val="baseline"/>
      </w:rPr>
    </w:lvl>
    <w:lvl w:ilvl="2" w:tplc="BC28EB42">
      <w:start w:val="1"/>
      <w:numFmt w:val="lowerRoman"/>
      <w:lvlText w:val="%3"/>
      <w:lvlJc w:val="left"/>
      <w:pPr>
        <w:ind w:left="2386"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3" w:tplc="C10C7498">
      <w:start w:val="1"/>
      <w:numFmt w:val="decimal"/>
      <w:lvlText w:val="%4"/>
      <w:lvlJc w:val="left"/>
      <w:pPr>
        <w:ind w:left="3106"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4" w:tplc="6A8AA334">
      <w:start w:val="1"/>
      <w:numFmt w:val="lowerLetter"/>
      <w:lvlText w:val="%5"/>
      <w:lvlJc w:val="left"/>
      <w:pPr>
        <w:ind w:left="3826"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5" w:tplc="784A44CC">
      <w:start w:val="1"/>
      <w:numFmt w:val="lowerRoman"/>
      <w:lvlText w:val="%6"/>
      <w:lvlJc w:val="left"/>
      <w:pPr>
        <w:ind w:left="4546"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6" w:tplc="C090D4B8">
      <w:start w:val="1"/>
      <w:numFmt w:val="decimal"/>
      <w:lvlText w:val="%7"/>
      <w:lvlJc w:val="left"/>
      <w:pPr>
        <w:ind w:left="5266"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7" w:tplc="333A9DC6">
      <w:start w:val="1"/>
      <w:numFmt w:val="lowerLetter"/>
      <w:lvlText w:val="%8"/>
      <w:lvlJc w:val="left"/>
      <w:pPr>
        <w:ind w:left="5986"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lvl w:ilvl="8" w:tplc="1FAED458">
      <w:start w:val="1"/>
      <w:numFmt w:val="lowerRoman"/>
      <w:lvlText w:val="%9"/>
      <w:lvlJc w:val="left"/>
      <w:pPr>
        <w:ind w:left="6706" w:firstLine="0"/>
      </w:pPr>
      <w:rPr>
        <w:rFonts w:ascii="Times New Roman" w:eastAsia="Times New Roman" w:hAnsi="Times New Roman" w:cs="Times New Roman"/>
        <w:b w:val="0"/>
        <w:i w:val="0"/>
        <w:strike w:val="0"/>
        <w:dstrike w:val="0"/>
        <w:color w:val="211E1E"/>
        <w:sz w:val="19"/>
        <w:szCs w:val="19"/>
        <w:u w:val="none" w:color="000000"/>
        <w:effect w:val="none"/>
        <w:bdr w:val="none" w:sz="0" w:space="0" w:color="auto" w:frame="1"/>
        <w:vertAlign w:val="baseline"/>
      </w:rPr>
    </w:lvl>
  </w:abstractNum>
  <w:abstractNum w:abstractNumId="731">
    <w:nsid w:val="7F931183"/>
    <w:multiLevelType w:val="hybridMultilevel"/>
    <w:tmpl w:val="4AF61CA0"/>
    <w:lvl w:ilvl="0" w:tplc="B650C092">
      <w:start w:val="1"/>
      <w:numFmt w:val="lowerLetter"/>
      <w:lvlText w:val="%1)"/>
      <w:lvlJc w:val="left"/>
      <w:pPr>
        <w:ind w:left="1134" w:hanging="567"/>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2">
    <w:nsid w:val="7F9F3C19"/>
    <w:multiLevelType w:val="hybridMultilevel"/>
    <w:tmpl w:val="AB660218"/>
    <w:lvl w:ilvl="0" w:tplc="5B66B27C">
      <w:start w:val="1"/>
      <w:numFmt w:val="lowerRoman"/>
      <w:lvlText w:val="(%1)"/>
      <w:lvlJc w:val="right"/>
      <w:pPr>
        <w:ind w:left="1758"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4"/>
  </w:num>
  <w:num w:numId="2">
    <w:abstractNumId w:val="314"/>
  </w:num>
  <w:num w:numId="3">
    <w:abstractNumId w:val="73"/>
  </w:num>
  <w:num w:numId="4">
    <w:abstractNumId w:val="93"/>
  </w:num>
  <w:num w:numId="5">
    <w:abstractNumId w:val="282"/>
  </w:num>
  <w:num w:numId="6">
    <w:abstractNumId w:val="457"/>
  </w:num>
  <w:num w:numId="7">
    <w:abstractNumId w:val="206"/>
  </w:num>
  <w:num w:numId="8">
    <w:abstractNumId w:val="592"/>
  </w:num>
  <w:num w:numId="9">
    <w:abstractNumId w:val="189"/>
  </w:num>
  <w:num w:numId="10">
    <w:abstractNumId w:val="42"/>
  </w:num>
  <w:num w:numId="11">
    <w:abstractNumId w:val="661"/>
  </w:num>
  <w:num w:numId="12">
    <w:abstractNumId w:val="83"/>
  </w:num>
  <w:num w:numId="13">
    <w:abstractNumId w:val="415"/>
  </w:num>
  <w:num w:numId="14">
    <w:abstractNumId w:val="371"/>
  </w:num>
  <w:num w:numId="15">
    <w:abstractNumId w:val="70"/>
  </w:num>
  <w:num w:numId="16">
    <w:abstractNumId w:val="631"/>
  </w:num>
  <w:num w:numId="17">
    <w:abstractNumId w:val="715"/>
  </w:num>
  <w:num w:numId="18">
    <w:abstractNumId w:val="444"/>
  </w:num>
  <w:num w:numId="19">
    <w:abstractNumId w:val="385"/>
  </w:num>
  <w:num w:numId="20">
    <w:abstractNumId w:val="358"/>
  </w:num>
  <w:num w:numId="21">
    <w:abstractNumId w:val="686"/>
  </w:num>
  <w:num w:numId="22">
    <w:abstractNumId w:val="27"/>
  </w:num>
  <w:num w:numId="23">
    <w:abstractNumId w:val="156"/>
  </w:num>
  <w:num w:numId="24">
    <w:abstractNumId w:val="423"/>
  </w:num>
  <w:num w:numId="25">
    <w:abstractNumId w:val="253"/>
  </w:num>
  <w:num w:numId="26">
    <w:abstractNumId w:val="548"/>
  </w:num>
  <w:num w:numId="27">
    <w:abstractNumId w:val="322"/>
  </w:num>
  <w:num w:numId="28">
    <w:abstractNumId w:val="202"/>
  </w:num>
  <w:num w:numId="29">
    <w:abstractNumId w:val="704"/>
  </w:num>
  <w:num w:numId="30">
    <w:abstractNumId w:val="700"/>
  </w:num>
  <w:num w:numId="31">
    <w:abstractNumId w:val="607"/>
  </w:num>
  <w:num w:numId="32">
    <w:abstractNumId w:val="475"/>
  </w:num>
  <w:num w:numId="33">
    <w:abstractNumId w:val="124"/>
  </w:num>
  <w:num w:numId="34">
    <w:abstractNumId w:val="161"/>
  </w:num>
  <w:num w:numId="35">
    <w:abstractNumId w:val="269"/>
  </w:num>
  <w:num w:numId="36">
    <w:abstractNumId w:val="309"/>
  </w:num>
  <w:num w:numId="37">
    <w:abstractNumId w:val="150"/>
  </w:num>
  <w:num w:numId="38">
    <w:abstractNumId w:val="319"/>
  </w:num>
  <w:num w:numId="39">
    <w:abstractNumId w:val="286"/>
  </w:num>
  <w:num w:numId="40">
    <w:abstractNumId w:val="588"/>
  </w:num>
  <w:num w:numId="41">
    <w:abstractNumId w:val="97"/>
  </w:num>
  <w:num w:numId="42">
    <w:abstractNumId w:val="157"/>
  </w:num>
  <w:num w:numId="43">
    <w:abstractNumId w:val="630"/>
  </w:num>
  <w:num w:numId="44">
    <w:abstractNumId w:val="174"/>
  </w:num>
  <w:num w:numId="45">
    <w:abstractNumId w:val="257"/>
  </w:num>
  <w:num w:numId="46">
    <w:abstractNumId w:val="169"/>
  </w:num>
  <w:num w:numId="47">
    <w:abstractNumId w:val="139"/>
  </w:num>
  <w:num w:numId="48">
    <w:abstractNumId w:val="651"/>
  </w:num>
  <w:num w:numId="49">
    <w:abstractNumId w:val="728"/>
  </w:num>
  <w:num w:numId="50">
    <w:abstractNumId w:val="220"/>
  </w:num>
  <w:num w:numId="51">
    <w:abstractNumId w:val="311"/>
  </w:num>
  <w:num w:numId="52">
    <w:abstractNumId w:val="528"/>
  </w:num>
  <w:num w:numId="53">
    <w:abstractNumId w:val="316"/>
  </w:num>
  <w:num w:numId="54">
    <w:abstractNumId w:val="677"/>
  </w:num>
  <w:num w:numId="55">
    <w:abstractNumId w:val="77"/>
  </w:num>
  <w:num w:numId="56">
    <w:abstractNumId w:val="270"/>
  </w:num>
  <w:num w:numId="57">
    <w:abstractNumId w:val="637"/>
  </w:num>
  <w:num w:numId="58">
    <w:abstractNumId w:val="647"/>
  </w:num>
  <w:num w:numId="59">
    <w:abstractNumId w:val="312"/>
  </w:num>
  <w:num w:numId="60">
    <w:abstractNumId w:val="575"/>
  </w:num>
  <w:num w:numId="61">
    <w:abstractNumId w:val="260"/>
  </w:num>
  <w:num w:numId="62">
    <w:abstractNumId w:val="325"/>
  </w:num>
  <w:num w:numId="63">
    <w:abstractNumId w:val="204"/>
  </w:num>
  <w:num w:numId="64">
    <w:abstractNumId w:val="583"/>
  </w:num>
  <w:num w:numId="65">
    <w:abstractNumId w:val="289"/>
  </w:num>
  <w:num w:numId="66">
    <w:abstractNumId w:val="1"/>
  </w:num>
  <w:num w:numId="67">
    <w:abstractNumId w:val="714"/>
  </w:num>
  <w:num w:numId="68">
    <w:abstractNumId w:val="299"/>
  </w:num>
  <w:num w:numId="69">
    <w:abstractNumId w:val="15"/>
  </w:num>
  <w:num w:numId="70">
    <w:abstractNumId w:val="240"/>
  </w:num>
  <w:num w:numId="71">
    <w:abstractNumId w:val="408"/>
  </w:num>
  <w:num w:numId="72">
    <w:abstractNumId w:val="321"/>
  </w:num>
  <w:num w:numId="73">
    <w:abstractNumId w:val="176"/>
  </w:num>
  <w:num w:numId="74">
    <w:abstractNumId w:val="447"/>
  </w:num>
  <w:num w:numId="75">
    <w:abstractNumId w:val="493"/>
  </w:num>
  <w:num w:numId="76">
    <w:abstractNumId w:val="323"/>
  </w:num>
  <w:num w:numId="77">
    <w:abstractNumId w:val="353"/>
  </w:num>
  <w:num w:numId="78">
    <w:abstractNumId w:val="602"/>
  </w:num>
  <w:num w:numId="79">
    <w:abstractNumId w:val="519"/>
  </w:num>
  <w:num w:numId="80">
    <w:abstractNumId w:val="395"/>
  </w:num>
  <w:num w:numId="81">
    <w:abstractNumId w:val="306"/>
  </w:num>
  <w:num w:numId="82">
    <w:abstractNumId w:val="131"/>
  </w:num>
  <w:num w:numId="83">
    <w:abstractNumId w:val="160"/>
  </w:num>
  <w:num w:numId="84">
    <w:abstractNumId w:val="576"/>
  </w:num>
  <w:num w:numId="85">
    <w:abstractNumId w:val="243"/>
  </w:num>
  <w:num w:numId="86">
    <w:abstractNumId w:val="52"/>
  </w:num>
  <w:num w:numId="87">
    <w:abstractNumId w:val="632"/>
  </w:num>
  <w:num w:numId="88">
    <w:abstractNumId w:val="364"/>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559"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9">
    <w:abstractNumId w:val="222"/>
  </w:num>
  <w:num w:numId="90">
    <w:abstractNumId w:val="112"/>
  </w:num>
  <w:num w:numId="91">
    <w:abstractNumId w:val="42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559"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2">
    <w:abstractNumId w:val="272"/>
  </w:num>
  <w:num w:numId="93">
    <w:abstractNumId w:val="465"/>
  </w:num>
  <w:num w:numId="94">
    <w:abstractNumId w:val="731"/>
  </w:num>
  <w:num w:numId="95">
    <w:abstractNumId w:val="564"/>
  </w:num>
  <w:num w:numId="96">
    <w:abstractNumId w:val="354"/>
  </w:num>
  <w:num w:numId="97">
    <w:abstractNumId w:val="29"/>
  </w:num>
  <w:num w:numId="98">
    <w:abstractNumId w:val="684"/>
  </w:num>
  <w:num w:numId="99">
    <w:abstractNumId w:val="628"/>
  </w:num>
  <w:num w:numId="100">
    <w:abstractNumId w:val="501"/>
  </w:num>
  <w:num w:numId="101">
    <w:abstractNumId w:val="527"/>
  </w:num>
  <w:num w:numId="102">
    <w:abstractNumId w:val="708"/>
  </w:num>
  <w:num w:numId="103">
    <w:abstractNumId w:val="159"/>
  </w:num>
  <w:num w:numId="104">
    <w:abstractNumId w:val="516"/>
  </w:num>
  <w:num w:numId="105">
    <w:abstractNumId w:val="509"/>
  </w:num>
  <w:num w:numId="106">
    <w:abstractNumId w:val="615"/>
  </w:num>
  <w:num w:numId="107">
    <w:abstractNumId w:val="251"/>
  </w:num>
  <w:num w:numId="108">
    <w:abstractNumId w:val="506"/>
  </w:num>
  <w:num w:numId="109">
    <w:abstractNumId w:val="326"/>
  </w:num>
  <w:num w:numId="110">
    <w:abstractNumId w:val="487"/>
  </w:num>
  <w:num w:numId="111">
    <w:abstractNumId w:val="179"/>
  </w:num>
  <w:num w:numId="112">
    <w:abstractNumId w:val="279"/>
  </w:num>
  <w:num w:numId="113">
    <w:abstractNumId w:val="111"/>
  </w:num>
  <w:num w:numId="114">
    <w:abstractNumId w:val="724"/>
  </w:num>
  <w:num w:numId="115">
    <w:abstractNumId w:val="357"/>
  </w:num>
  <w:num w:numId="116">
    <w:abstractNumId w:val="128"/>
  </w:num>
  <w:num w:numId="117">
    <w:abstractNumId w:val="191"/>
  </w:num>
  <w:num w:numId="118">
    <w:abstractNumId w:val="403"/>
  </w:num>
  <w:num w:numId="119">
    <w:abstractNumId w:val="376"/>
  </w:num>
  <w:num w:numId="120">
    <w:abstractNumId w:val="384"/>
  </w:num>
  <w:num w:numId="121">
    <w:abstractNumId w:val="668"/>
  </w:num>
  <w:num w:numId="122">
    <w:abstractNumId w:val="236"/>
  </w:num>
  <w:num w:numId="123">
    <w:abstractNumId w:val="205"/>
  </w:num>
  <w:num w:numId="124">
    <w:abstractNumId w:val="294"/>
  </w:num>
  <w:num w:numId="125">
    <w:abstractNumId w:val="500"/>
  </w:num>
  <w:num w:numId="126">
    <w:abstractNumId w:val="726"/>
  </w:num>
  <w:num w:numId="127">
    <w:abstractNumId w:val="18"/>
  </w:num>
  <w:num w:numId="128">
    <w:abstractNumId w:val="641"/>
  </w:num>
  <w:num w:numId="129">
    <w:abstractNumId w:val="331"/>
  </w:num>
  <w:num w:numId="130">
    <w:abstractNumId w:val="491"/>
  </w:num>
  <w:num w:numId="131">
    <w:abstractNumId w:val="107"/>
  </w:num>
  <w:num w:numId="132">
    <w:abstractNumId w:val="524"/>
  </w:num>
  <w:num w:numId="133">
    <w:abstractNumId w:val="565"/>
  </w:num>
  <w:num w:numId="134">
    <w:abstractNumId w:val="303"/>
  </w:num>
  <w:num w:numId="135">
    <w:abstractNumId w:val="398"/>
  </w:num>
  <w:num w:numId="136">
    <w:abstractNumId w:val="36"/>
  </w:num>
  <w:num w:numId="137">
    <w:abstractNumId w:val="645"/>
  </w:num>
  <w:num w:numId="138">
    <w:abstractNumId w:val="76"/>
  </w:num>
  <w:num w:numId="139">
    <w:abstractNumId w:val="339"/>
  </w:num>
  <w:num w:numId="140">
    <w:abstractNumId w:val="515"/>
  </w:num>
  <w:num w:numId="141">
    <w:abstractNumId w:val="649"/>
  </w:num>
  <w:num w:numId="142">
    <w:abstractNumId w:val="16"/>
  </w:num>
  <w:num w:numId="143">
    <w:abstractNumId w:val="623"/>
  </w:num>
  <w:num w:numId="144">
    <w:abstractNumId w:val="344"/>
  </w:num>
  <w:num w:numId="145">
    <w:abstractNumId w:val="488"/>
  </w:num>
  <w:num w:numId="146">
    <w:abstractNumId w:val="682"/>
  </w:num>
  <w:num w:numId="147">
    <w:abstractNumId w:val="674"/>
  </w:num>
  <w:num w:numId="148">
    <w:abstractNumId w:val="50"/>
  </w:num>
  <w:num w:numId="149">
    <w:abstractNumId w:val="65"/>
  </w:num>
  <w:num w:numId="150">
    <w:abstractNumId w:val="608"/>
  </w:num>
  <w:num w:numId="151">
    <w:abstractNumId w:val="600"/>
  </w:num>
  <w:num w:numId="152">
    <w:abstractNumId w:val="707"/>
  </w:num>
  <w:num w:numId="153">
    <w:abstractNumId w:val="363"/>
  </w:num>
  <w:num w:numId="154">
    <w:abstractNumId w:val="143"/>
  </w:num>
  <w:num w:numId="155">
    <w:abstractNumId w:val="574"/>
  </w:num>
  <w:num w:numId="156">
    <w:abstractNumId w:val="380"/>
  </w:num>
  <w:num w:numId="157">
    <w:abstractNumId w:val="346"/>
  </w:num>
  <w:num w:numId="158">
    <w:abstractNumId w:val="458"/>
  </w:num>
  <w:num w:numId="159">
    <w:abstractNumId w:val="177"/>
  </w:num>
  <w:num w:numId="160">
    <w:abstractNumId w:val="433"/>
  </w:num>
  <w:num w:numId="161">
    <w:abstractNumId w:val="620"/>
  </w:num>
  <w:num w:numId="162">
    <w:abstractNumId w:val="45"/>
  </w:num>
  <w:num w:numId="163">
    <w:abstractNumId w:val="624"/>
  </w:num>
  <w:num w:numId="164">
    <w:abstractNumId w:val="297"/>
  </w:num>
  <w:num w:numId="165">
    <w:abstractNumId w:val="430"/>
  </w:num>
  <w:num w:numId="166">
    <w:abstractNumId w:val="594"/>
  </w:num>
  <w:num w:numId="167">
    <w:abstractNumId w:val="225"/>
  </w:num>
  <w:num w:numId="168">
    <w:abstractNumId w:val="232"/>
  </w:num>
  <w:num w:numId="169">
    <w:abstractNumId w:val="603"/>
  </w:num>
  <w:num w:numId="170">
    <w:abstractNumId w:val="703"/>
  </w:num>
  <w:num w:numId="171">
    <w:abstractNumId w:val="17"/>
  </w:num>
  <w:num w:numId="172">
    <w:abstractNumId w:val="373"/>
  </w:num>
  <w:num w:numId="173">
    <w:abstractNumId w:val="693"/>
  </w:num>
  <w:num w:numId="174">
    <w:abstractNumId w:val="122"/>
  </w:num>
  <w:num w:numId="175">
    <w:abstractNumId w:val="386"/>
  </w:num>
  <w:num w:numId="176">
    <w:abstractNumId w:val="422"/>
  </w:num>
  <w:num w:numId="177">
    <w:abstractNumId w:val="231"/>
  </w:num>
  <w:num w:numId="178">
    <w:abstractNumId w:val="81"/>
  </w:num>
  <w:num w:numId="179">
    <w:abstractNumId w:val="413"/>
  </w:num>
  <w:num w:numId="180">
    <w:abstractNumId w:val="349"/>
  </w:num>
  <w:num w:numId="181">
    <w:abstractNumId w:val="522"/>
  </w:num>
  <w:num w:numId="182">
    <w:abstractNumId w:val="273"/>
  </w:num>
  <w:num w:numId="183">
    <w:abstractNumId w:val="442"/>
  </w:num>
  <w:num w:numId="184">
    <w:abstractNumId w:val="278"/>
  </w:num>
  <w:num w:numId="185">
    <w:abstractNumId w:val="11"/>
  </w:num>
  <w:num w:numId="186">
    <w:abstractNumId w:val="351"/>
  </w:num>
  <w:num w:numId="187">
    <w:abstractNumId w:val="555"/>
  </w:num>
  <w:num w:numId="188">
    <w:abstractNumId w:val="454"/>
  </w:num>
  <w:num w:numId="189">
    <w:abstractNumId w:val="274"/>
  </w:num>
  <w:num w:numId="190">
    <w:abstractNumId w:val="110"/>
  </w:num>
  <w:num w:numId="191">
    <w:abstractNumId w:val="420"/>
  </w:num>
  <w:num w:numId="192">
    <w:abstractNumId w:val="123"/>
  </w:num>
  <w:num w:numId="193">
    <w:abstractNumId w:val="687"/>
  </w:num>
  <w:num w:numId="194">
    <w:abstractNumId w:val="3"/>
  </w:num>
  <w:num w:numId="195">
    <w:abstractNumId w:val="158"/>
  </w:num>
  <w:num w:numId="196">
    <w:abstractNumId w:val="41"/>
  </w:num>
  <w:num w:numId="197">
    <w:abstractNumId w:val="288"/>
  </w:num>
  <w:num w:numId="198">
    <w:abstractNumId w:val="549"/>
  </w:num>
  <w:num w:numId="199">
    <w:abstractNumId w:val="327"/>
  </w:num>
  <w:num w:numId="200">
    <w:abstractNumId w:val="694"/>
  </w:num>
  <w:num w:numId="201">
    <w:abstractNumId w:val="194"/>
  </w:num>
  <w:num w:numId="202">
    <w:abstractNumId w:val="305"/>
  </w:num>
  <w:num w:numId="203">
    <w:abstractNumId w:val="505"/>
  </w:num>
  <w:num w:numId="204">
    <w:abstractNumId w:val="172"/>
  </w:num>
  <w:num w:numId="205">
    <w:abstractNumId w:val="720"/>
  </w:num>
  <w:num w:numId="206">
    <w:abstractNumId w:val="550"/>
  </w:num>
  <w:num w:numId="207">
    <w:abstractNumId w:val="234"/>
  </w:num>
  <w:num w:numId="208">
    <w:abstractNumId w:val="690"/>
  </w:num>
  <w:num w:numId="209">
    <w:abstractNumId w:val="75"/>
  </w:num>
  <w:num w:numId="210">
    <w:abstractNumId w:val="435"/>
  </w:num>
  <w:num w:numId="211">
    <w:abstractNumId w:val="472"/>
  </w:num>
  <w:num w:numId="212">
    <w:abstractNumId w:val="48"/>
  </w:num>
  <w:num w:numId="213">
    <w:abstractNumId w:val="287"/>
  </w:num>
  <w:num w:numId="214">
    <w:abstractNumId w:val="513"/>
  </w:num>
  <w:num w:numId="215">
    <w:abstractNumId w:val="561"/>
  </w:num>
  <w:num w:numId="216">
    <w:abstractNumId w:val="559"/>
  </w:num>
  <w:num w:numId="217">
    <w:abstractNumId w:val="573"/>
  </w:num>
  <w:num w:numId="218">
    <w:abstractNumId w:val="35"/>
  </w:num>
  <w:num w:numId="219">
    <w:abstractNumId w:val="264"/>
  </w:num>
  <w:num w:numId="220">
    <w:abstractNumId w:val="347"/>
  </w:num>
  <w:num w:numId="221">
    <w:abstractNumId w:val="292"/>
  </w:num>
  <w:num w:numId="222">
    <w:abstractNumId w:val="635"/>
  </w:num>
  <w:num w:numId="223">
    <w:abstractNumId w:val="333"/>
  </w:num>
  <w:num w:numId="224">
    <w:abstractNumId w:val="541"/>
  </w:num>
  <w:num w:numId="225">
    <w:abstractNumId w:val="137"/>
  </w:num>
  <w:num w:numId="226">
    <w:abstractNumId w:val="601"/>
  </w:num>
  <w:num w:numId="227">
    <w:abstractNumId w:val="683"/>
  </w:num>
  <w:num w:numId="228">
    <w:abstractNumId w:val="663"/>
  </w:num>
  <w:num w:numId="229">
    <w:abstractNumId w:val="546"/>
  </w:num>
  <w:num w:numId="230">
    <w:abstractNumId w:val="729"/>
  </w:num>
  <w:num w:numId="231">
    <w:abstractNumId w:val="68"/>
  </w:num>
  <w:num w:numId="232">
    <w:abstractNumId w:val="92"/>
  </w:num>
  <w:num w:numId="233">
    <w:abstractNumId w:val="502"/>
  </w:num>
  <w:num w:numId="234">
    <w:abstractNumId w:val="431"/>
  </w:num>
  <w:num w:numId="235">
    <w:abstractNumId w:val="164"/>
  </w:num>
  <w:num w:numId="236">
    <w:abstractNumId w:val="192"/>
  </w:num>
  <w:num w:numId="237">
    <w:abstractNumId w:val="374"/>
  </w:num>
  <w:num w:numId="238">
    <w:abstractNumId w:val="695"/>
  </w:num>
  <w:num w:numId="239">
    <w:abstractNumId w:val="187"/>
  </w:num>
  <w:num w:numId="240">
    <w:abstractNumId w:val="391"/>
  </w:num>
  <w:num w:numId="241">
    <w:abstractNumId w:val="441"/>
  </w:num>
  <w:num w:numId="242">
    <w:abstractNumId w:val="21"/>
  </w:num>
  <w:num w:numId="243">
    <w:abstractNumId w:val="113"/>
  </w:num>
  <w:num w:numId="244">
    <w:abstractNumId w:val="643"/>
  </w:num>
  <w:num w:numId="245">
    <w:abstractNumId w:val="543"/>
  </w:num>
  <w:num w:numId="246">
    <w:abstractNumId w:val="105"/>
  </w:num>
  <w:num w:numId="247">
    <w:abstractNumId w:val="67"/>
  </w:num>
  <w:num w:numId="248">
    <w:abstractNumId w:val="101"/>
  </w:num>
  <w:num w:numId="249">
    <w:abstractNumId w:val="79"/>
  </w:num>
  <w:num w:numId="250">
    <w:abstractNumId w:val="56"/>
  </w:num>
  <w:num w:numId="251">
    <w:abstractNumId w:val="463"/>
  </w:num>
  <w:num w:numId="252">
    <w:abstractNumId w:val="22"/>
  </w:num>
  <w:num w:numId="253">
    <w:abstractNumId w:val="60"/>
  </w:num>
  <w:num w:numId="254">
    <w:abstractNumId w:val="716"/>
  </w:num>
  <w:num w:numId="255">
    <w:abstractNumId w:val="656"/>
  </w:num>
  <w:num w:numId="256">
    <w:abstractNumId w:val="209"/>
  </w:num>
  <w:num w:numId="257">
    <w:abstractNumId w:val="483"/>
  </w:num>
  <w:num w:numId="258">
    <w:abstractNumId w:val="438"/>
  </w:num>
  <w:num w:numId="259">
    <w:abstractNumId w:val="365"/>
  </w:num>
  <w:num w:numId="260">
    <w:abstractNumId w:val="201"/>
  </w:num>
  <w:num w:numId="261">
    <w:abstractNumId w:val="43"/>
  </w:num>
  <w:num w:numId="262">
    <w:abstractNumId w:val="330"/>
  </w:num>
  <w:num w:numId="263">
    <w:abstractNumId w:val="10"/>
  </w:num>
  <w:num w:numId="264">
    <w:abstractNumId w:val="625"/>
  </w:num>
  <w:num w:numId="265">
    <w:abstractNumId w:val="313"/>
  </w:num>
  <w:num w:numId="266">
    <w:abstractNumId w:val="361"/>
  </w:num>
  <w:num w:numId="267">
    <w:abstractNumId w:val="434"/>
  </w:num>
  <w:num w:numId="268">
    <w:abstractNumId w:val="452"/>
  </w:num>
  <w:num w:numId="269">
    <w:abstractNumId w:val="185"/>
  </w:num>
  <w:num w:numId="270">
    <w:abstractNumId w:val="216"/>
  </w:num>
  <w:num w:numId="271">
    <w:abstractNumId w:val="54"/>
  </w:num>
  <w:num w:numId="272">
    <w:abstractNumId w:val="87"/>
  </w:num>
  <w:num w:numId="273">
    <w:abstractNumId w:val="568"/>
  </w:num>
  <w:num w:numId="274">
    <w:abstractNumId w:val="553"/>
  </w:num>
  <w:num w:numId="275">
    <w:abstractNumId w:val="300"/>
  </w:num>
  <w:num w:numId="276">
    <w:abstractNumId w:val="667"/>
  </w:num>
  <w:num w:numId="277">
    <w:abstractNumId w:val="421"/>
  </w:num>
  <w:num w:numId="278">
    <w:abstractNumId w:val="343"/>
  </w:num>
  <w:num w:numId="279">
    <w:abstractNumId w:val="640"/>
  </w:num>
  <w:num w:numId="280">
    <w:abstractNumId w:val="604"/>
  </w:num>
  <w:num w:numId="281">
    <w:abstractNumId w:val="722"/>
  </w:num>
  <w:num w:numId="282">
    <w:abstractNumId w:val="320"/>
  </w:num>
  <w:num w:numId="283">
    <w:abstractNumId w:val="221"/>
  </w:num>
  <w:num w:numId="284">
    <w:abstractNumId w:val="570"/>
  </w:num>
  <w:num w:numId="285">
    <w:abstractNumId w:val="712"/>
  </w:num>
  <w:num w:numId="286">
    <w:abstractNumId w:val="485"/>
  </w:num>
  <w:num w:numId="287">
    <w:abstractNumId w:val="545"/>
  </w:num>
  <w:num w:numId="288">
    <w:abstractNumId w:val="526"/>
  </w:num>
  <w:num w:numId="289">
    <w:abstractNumId w:val="9"/>
  </w:num>
  <w:num w:numId="290">
    <w:abstractNumId w:val="609"/>
  </w:num>
  <w:num w:numId="291">
    <w:abstractNumId w:val="26"/>
  </w:num>
  <w:num w:numId="292">
    <w:abstractNumId w:val="551"/>
  </w:num>
  <w:num w:numId="293">
    <w:abstractNumId w:val="266"/>
  </w:num>
  <w:num w:numId="294">
    <w:abstractNumId w:val="427"/>
  </w:num>
  <w:num w:numId="295">
    <w:abstractNumId w:val="655"/>
  </w:num>
  <w:num w:numId="296">
    <w:abstractNumId w:val="732"/>
  </w:num>
  <w:num w:numId="297">
    <w:abstractNumId w:val="246"/>
  </w:num>
  <w:num w:numId="298">
    <w:abstractNumId w:val="525"/>
  </w:num>
  <w:num w:numId="299">
    <w:abstractNumId w:val="171"/>
  </w:num>
  <w:num w:numId="300">
    <w:abstractNumId w:val="170"/>
  </w:num>
  <w:num w:numId="301">
    <w:abstractNumId w:val="404"/>
  </w:num>
  <w:num w:numId="302">
    <w:abstractNumId w:val="424"/>
  </w:num>
  <w:num w:numId="303">
    <w:abstractNumId w:val="175"/>
  </w:num>
  <w:num w:numId="304">
    <w:abstractNumId w:val="589"/>
  </w:num>
  <w:num w:numId="305">
    <w:abstractNumId w:val="596"/>
  </w:num>
  <w:num w:numId="306">
    <w:abstractNumId w:val="436"/>
  </w:num>
  <w:num w:numId="307">
    <w:abstractNumId w:val="440"/>
  </w:num>
  <w:num w:numId="308">
    <w:abstractNumId w:val="618"/>
  </w:num>
  <w:num w:numId="309">
    <w:abstractNumId w:val="377"/>
  </w:num>
  <w:num w:numId="310">
    <w:abstractNumId w:val="410"/>
  </w:num>
  <w:num w:numId="311">
    <w:abstractNumId w:val="462"/>
  </w:num>
  <w:num w:numId="312">
    <w:abstractNumId w:val="46"/>
  </w:num>
  <w:num w:numId="313">
    <w:abstractNumId w:val="554"/>
  </w:num>
  <w:num w:numId="314">
    <w:abstractNumId w:val="638"/>
  </w:num>
  <w:num w:numId="315">
    <w:abstractNumId w:val="688"/>
  </w:num>
  <w:num w:numId="316">
    <w:abstractNumId w:val="352"/>
  </w:num>
  <w:num w:numId="317">
    <w:abstractNumId w:val="108"/>
  </w:num>
  <w:num w:numId="318">
    <w:abstractNumId w:val="259"/>
  </w:num>
  <w:num w:numId="319">
    <w:abstractNumId w:val="520"/>
  </w:num>
  <w:num w:numId="320">
    <w:abstractNumId w:val="44"/>
  </w:num>
  <w:num w:numId="321">
    <w:abstractNumId w:val="166"/>
  </w:num>
  <w:num w:numId="322">
    <w:abstractNumId w:val="336"/>
  </w:num>
  <w:num w:numId="323">
    <w:abstractNumId w:val="263"/>
  </w:num>
  <w:num w:numId="324">
    <w:abstractNumId w:val="503"/>
  </w:num>
  <w:num w:numId="325">
    <w:abstractNumId w:val="130"/>
  </w:num>
  <w:num w:numId="326">
    <w:abstractNumId w:val="256"/>
  </w:num>
  <w:num w:numId="327">
    <w:abstractNumId w:val="90"/>
  </w:num>
  <w:num w:numId="328">
    <w:abstractNumId w:val="523"/>
  </w:num>
  <w:num w:numId="329">
    <w:abstractNumId w:val="241"/>
  </w:num>
  <w:num w:numId="330">
    <w:abstractNumId w:val="593"/>
  </w:num>
  <w:num w:numId="331">
    <w:abstractNumId w:val="419"/>
  </w:num>
  <w:num w:numId="332">
    <w:abstractNumId w:val="416"/>
  </w:num>
  <w:num w:numId="333">
    <w:abstractNumId w:val="25"/>
  </w:num>
  <w:num w:numId="334">
    <w:abstractNumId w:val="497"/>
  </w:num>
  <w:num w:numId="335">
    <w:abstractNumId w:val="672"/>
  </w:num>
  <w:num w:numId="336">
    <w:abstractNumId w:val="650"/>
  </w:num>
  <w:num w:numId="337">
    <w:abstractNumId w:val="186"/>
  </w:num>
  <w:num w:numId="338">
    <w:abstractNumId w:val="417"/>
  </w:num>
  <w:num w:numId="339">
    <w:abstractNumId w:val="237"/>
  </w:num>
  <w:num w:numId="340">
    <w:abstractNumId w:val="429"/>
  </w:num>
  <w:num w:numId="341">
    <w:abstractNumId w:val="212"/>
  </w:num>
  <w:num w:numId="342">
    <w:abstractNumId w:val="611"/>
  </w:num>
  <w:num w:numId="343">
    <w:abstractNumId w:val="642"/>
  </w:num>
  <w:num w:numId="344">
    <w:abstractNumId w:val="372"/>
  </w:num>
  <w:num w:numId="345">
    <w:abstractNumId w:val="6"/>
  </w:num>
  <w:num w:numId="346">
    <w:abstractNumId w:val="532"/>
  </w:num>
  <w:num w:numId="347">
    <w:abstractNumId w:val="471"/>
  </w:num>
  <w:num w:numId="348">
    <w:abstractNumId w:val="78"/>
  </w:num>
  <w:num w:numId="349">
    <w:abstractNumId w:val="281"/>
  </w:num>
  <w:num w:numId="350">
    <w:abstractNumId w:val="193"/>
  </w:num>
  <w:num w:numId="351">
    <w:abstractNumId w:val="64"/>
  </w:num>
  <w:num w:numId="352">
    <w:abstractNumId w:val="412"/>
  </w:num>
  <w:num w:numId="353">
    <w:abstractNumId w:val="409"/>
  </w:num>
  <w:num w:numId="354">
    <w:abstractNumId w:val="13"/>
  </w:num>
  <w:num w:numId="355">
    <w:abstractNumId w:val="721"/>
  </w:num>
  <w:num w:numId="356">
    <w:abstractNumId w:val="718"/>
  </w:num>
  <w:num w:numId="357">
    <w:abstractNumId w:val="121"/>
  </w:num>
  <w:num w:numId="358">
    <w:abstractNumId w:val="648"/>
  </w:num>
  <w:num w:numId="359">
    <w:abstractNumId w:val="691"/>
  </w:num>
  <w:num w:numId="360">
    <w:abstractNumId w:val="134"/>
  </w:num>
  <w:num w:numId="361">
    <w:abstractNumId w:val="481"/>
  </w:num>
  <w:num w:numId="362">
    <w:abstractNumId w:val="383"/>
  </w:num>
  <w:num w:numId="363">
    <w:abstractNumId w:val="521"/>
  </w:num>
  <w:num w:numId="364">
    <w:abstractNumId w:val="200"/>
  </w:num>
  <w:num w:numId="365">
    <w:abstractNumId w:val="512"/>
  </w:num>
  <w:num w:numId="366">
    <w:abstractNumId w:val="301"/>
  </w:num>
  <w:num w:numId="367">
    <w:abstractNumId w:val="664"/>
  </w:num>
  <w:num w:numId="368">
    <w:abstractNumId w:val="235"/>
  </w:num>
  <w:num w:numId="369">
    <w:abstractNumId w:val="302"/>
  </w:num>
  <w:num w:numId="370">
    <w:abstractNumId w:val="228"/>
  </w:num>
  <w:num w:numId="371">
    <w:abstractNumId w:val="479"/>
  </w:num>
  <w:num w:numId="372">
    <w:abstractNumId w:val="411"/>
  </w:num>
  <w:num w:numId="373">
    <w:abstractNumId w:val="369"/>
  </w:num>
  <w:num w:numId="374">
    <w:abstractNumId w:val="293"/>
  </w:num>
  <w:num w:numId="375">
    <w:abstractNumId w:val="418"/>
  </w:num>
  <w:num w:numId="376">
    <w:abstractNumId w:val="572"/>
  </w:num>
  <w:num w:numId="377">
    <w:abstractNumId w:val="230"/>
  </w:num>
  <w:num w:numId="378">
    <w:abstractNumId w:val="74"/>
  </w:num>
  <w:num w:numId="379">
    <w:abstractNumId w:val="450"/>
  </w:num>
  <w:num w:numId="380">
    <w:abstractNumId w:val="116"/>
  </w:num>
  <w:num w:numId="381">
    <w:abstractNumId w:val="23"/>
  </w:num>
  <w:num w:numId="382">
    <w:abstractNumId w:val="47"/>
  </w:num>
  <w:num w:numId="383">
    <w:abstractNumId w:val="334"/>
  </w:num>
  <w:num w:numId="384">
    <w:abstractNumId w:val="397"/>
  </w:num>
  <w:num w:numId="385">
    <w:abstractNumId w:val="295"/>
  </w:num>
  <w:num w:numId="386">
    <w:abstractNumId w:val="375"/>
  </w:num>
  <w:num w:numId="387">
    <w:abstractNumId w:val="658"/>
  </w:num>
  <w:num w:numId="388">
    <w:abstractNumId w:val="366"/>
  </w:num>
  <w:num w:numId="389">
    <w:abstractNumId w:val="508"/>
  </w:num>
  <w:num w:numId="390">
    <w:abstractNumId w:val="119"/>
  </w:num>
  <w:num w:numId="391">
    <w:abstractNumId w:val="405"/>
  </w:num>
  <w:num w:numId="392">
    <w:abstractNumId w:val="308"/>
  </w:num>
  <w:num w:numId="393">
    <w:abstractNumId w:val="53"/>
  </w:num>
  <w:num w:numId="394">
    <w:abstractNumId w:val="226"/>
  </w:num>
  <w:num w:numId="395">
    <w:abstractNumId w:val="318"/>
  </w:num>
  <w:num w:numId="396">
    <w:abstractNumId w:val="679"/>
  </w:num>
  <w:num w:numId="397">
    <w:abstractNumId w:val="673"/>
  </w:num>
  <w:num w:numId="398">
    <w:abstractNumId w:val="492"/>
  </w:num>
  <w:num w:numId="399">
    <w:abstractNumId w:val="350"/>
  </w:num>
  <w:num w:numId="400">
    <w:abstractNumId w:val="614"/>
  </w:num>
  <w:num w:numId="401">
    <w:abstractNumId w:val="659"/>
  </w:num>
  <w:num w:numId="402">
    <w:abstractNumId w:val="552"/>
  </w:num>
  <w:num w:numId="403">
    <w:abstractNumId w:val="547"/>
  </w:num>
  <w:num w:numId="404">
    <w:abstractNumId w:val="432"/>
  </w:num>
  <w:num w:numId="405">
    <w:abstractNumId w:val="711"/>
  </w:num>
  <w:num w:numId="406">
    <w:abstractNumId w:val="341"/>
  </w:num>
  <w:num w:numId="407">
    <w:abstractNumId w:val="135"/>
  </w:num>
  <w:num w:numId="408">
    <w:abstractNumId w:val="337"/>
  </w:num>
  <w:num w:numId="409">
    <w:abstractNumId w:val="696"/>
  </w:num>
  <w:num w:numId="410">
    <w:abstractNumId w:val="456"/>
  </w:num>
  <w:num w:numId="411">
    <w:abstractNumId w:val="196"/>
  </w:num>
  <w:num w:numId="412">
    <w:abstractNumId w:val="126"/>
  </w:num>
  <w:num w:numId="413">
    <w:abstractNumId w:val="167"/>
  </w:num>
  <w:num w:numId="414">
    <w:abstractNumId w:val="536"/>
  </w:num>
  <w:num w:numId="415">
    <w:abstractNumId w:val="660"/>
  </w:num>
  <w:num w:numId="416">
    <w:abstractNumId w:val="466"/>
  </w:num>
  <w:num w:numId="417">
    <w:abstractNumId w:val="99"/>
  </w:num>
  <w:num w:numId="418">
    <w:abstractNumId w:val="616"/>
  </w:num>
  <w:num w:numId="419">
    <w:abstractNumId w:val="118"/>
  </w:num>
  <w:num w:numId="420">
    <w:abstractNumId w:val="629"/>
  </w:num>
  <w:num w:numId="421">
    <w:abstractNumId w:val="676"/>
  </w:num>
  <w:num w:numId="422">
    <w:abstractNumId w:val="610"/>
  </w:num>
  <w:num w:numId="423">
    <w:abstractNumId w:val="401"/>
  </w:num>
  <w:num w:numId="424">
    <w:abstractNumId w:val="14"/>
  </w:num>
  <w:num w:numId="425">
    <w:abstractNumId w:val="725"/>
  </w:num>
  <w:num w:numId="426">
    <w:abstractNumId w:val="713"/>
  </w:num>
  <w:num w:numId="427">
    <w:abstractNumId w:val="198"/>
  </w:num>
  <w:num w:numId="428">
    <w:abstractNumId w:val="182"/>
  </w:num>
  <w:num w:numId="429">
    <w:abstractNumId w:val="276"/>
  </w:num>
  <w:num w:numId="430">
    <w:abstractNumId w:val="591"/>
  </w:num>
  <w:num w:numId="431">
    <w:abstractNumId w:val="486"/>
  </w:num>
  <w:num w:numId="432">
    <w:abstractNumId w:val="585"/>
  </w:num>
  <w:num w:numId="433">
    <w:abstractNumId w:val="244"/>
  </w:num>
  <w:num w:numId="434">
    <w:abstractNumId w:val="261"/>
  </w:num>
  <w:num w:numId="435">
    <w:abstractNumId w:val="163"/>
  </w:num>
  <w:num w:numId="436">
    <w:abstractNumId w:val="612"/>
  </w:num>
  <w:num w:numId="437">
    <w:abstractNumId w:val="283"/>
  </w:num>
  <w:num w:numId="438">
    <w:abstractNumId w:val="400"/>
  </w:num>
  <w:num w:numId="439">
    <w:abstractNumId w:val="239"/>
  </w:num>
  <w:num w:numId="440">
    <w:abstractNumId w:val="208"/>
  </w:num>
  <w:num w:numId="441">
    <w:abstractNumId w:val="356"/>
  </w:num>
  <w:num w:numId="442">
    <w:abstractNumId w:val="213"/>
  </w:num>
  <w:num w:numId="443">
    <w:abstractNumId w:val="446"/>
  </w:num>
  <w:num w:numId="444">
    <w:abstractNumId w:val="426"/>
  </w:num>
  <w:num w:numId="445">
    <w:abstractNumId w:val="104"/>
  </w:num>
  <w:num w:numId="446">
    <w:abstractNumId w:val="621"/>
  </w:num>
  <w:num w:numId="447">
    <w:abstractNumId w:val="558"/>
  </w:num>
  <w:num w:numId="448">
    <w:abstractNumId w:val="219"/>
  </w:num>
  <w:num w:numId="449">
    <w:abstractNumId w:val="562"/>
  </w:num>
  <w:num w:numId="450">
    <w:abstractNumId w:val="388"/>
  </w:num>
  <w:num w:numId="451">
    <w:abstractNumId w:val="414"/>
  </w:num>
  <w:num w:numId="452">
    <w:abstractNumId w:val="697"/>
  </w:num>
  <w:num w:numId="453">
    <w:abstractNumId w:val="578"/>
  </w:num>
  <w:num w:numId="454">
    <w:abstractNumId w:val="348"/>
  </w:num>
  <w:num w:numId="455">
    <w:abstractNumId w:val="6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84"/>
  </w:num>
  <w:num w:numId="457">
    <w:abstractNumId w:val="584"/>
  </w:num>
  <w:num w:numId="458">
    <w:abstractNumId w:val="34"/>
  </w:num>
  <w:num w:numId="459">
    <w:abstractNumId w:val="154"/>
  </w:num>
  <w:num w:numId="460">
    <w:abstractNumId w:val="0"/>
  </w:num>
  <w:num w:numId="461">
    <w:abstractNumId w:val="706"/>
  </w:num>
  <w:num w:numId="462">
    <w:abstractNumId w:val="127"/>
  </w:num>
  <w:num w:numId="463">
    <w:abstractNumId w:val="218"/>
  </w:num>
  <w:num w:numId="464">
    <w:abstractNumId w:val="622"/>
  </w:num>
  <w:num w:numId="465">
    <w:abstractNumId w:val="560"/>
  </w:num>
  <w:num w:numId="466">
    <w:abstractNumId w:val="184"/>
  </w:num>
  <w:num w:numId="467">
    <w:abstractNumId w:val="626"/>
  </w:num>
  <w:num w:numId="468">
    <w:abstractNumId w:val="368"/>
  </w:num>
  <w:num w:numId="469">
    <w:abstractNumId w:val="595"/>
  </w:num>
  <w:num w:numId="470">
    <w:abstractNumId w:val="698"/>
  </w:num>
  <w:num w:numId="471">
    <w:abstractNumId w:val="5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85"/>
  </w:num>
  <w:num w:numId="473">
    <w:abstractNumId w:val="567"/>
  </w:num>
  <w:num w:numId="474">
    <w:abstractNumId w:val="57"/>
  </w:num>
  <w:num w:numId="475">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8"/>
  </w:num>
  <w:num w:numId="479">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
  </w:num>
  <w:num w:numId="48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396"/>
  </w:num>
  <w:num w:numId="489">
    <w:abstractNumId w:val="5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6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6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7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345"/>
    <w:lvlOverride w:ilvl="0">
      <w:startOverride w:val="9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7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7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6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6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7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80"/>
  </w:num>
  <w:num w:numId="525">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6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6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428"/>
  </w:num>
  <w:num w:numId="532">
    <w:abstractNumId w:val="229"/>
  </w:num>
  <w:num w:numId="533">
    <w:abstractNumId w:val="155"/>
  </w:num>
  <w:num w:numId="534">
    <w:abstractNumId w:val="359"/>
  </w:num>
  <w:num w:numId="535">
    <w:abstractNumId w:val="100"/>
  </w:num>
  <w:num w:numId="536">
    <w:abstractNumId w:val="710"/>
  </w:num>
  <w:num w:numId="537">
    <w:abstractNumId w:val="692"/>
  </w:num>
  <w:num w:numId="538">
    <w:abstractNumId w:val="652"/>
  </w:num>
  <w:num w:numId="539">
    <w:abstractNumId w:val="598"/>
  </w:num>
  <w:num w:numId="540">
    <w:abstractNumId w:val="120"/>
  </w:num>
  <w:num w:numId="541">
    <w:abstractNumId w:val="467"/>
  </w:num>
  <w:num w:numId="542">
    <w:abstractNumId w:val="394"/>
  </w:num>
  <w:num w:numId="543">
    <w:abstractNumId w:val="38"/>
  </w:num>
  <w:num w:numId="544">
    <w:abstractNumId w:val="125"/>
  </w:num>
  <w:num w:numId="545">
    <w:abstractNumId w:val="28"/>
  </w:num>
  <w:num w:numId="546">
    <w:abstractNumId w:val="539"/>
  </w:num>
  <w:num w:numId="547">
    <w:abstractNumId w:val="544"/>
  </w:num>
  <w:num w:numId="548">
    <w:abstractNumId w:val="94"/>
  </w:num>
  <w:num w:numId="549">
    <w:abstractNumId w:val="61"/>
  </w:num>
  <w:num w:numId="550">
    <w:abstractNumId w:val="223"/>
  </w:num>
  <w:num w:numId="551">
    <w:abstractNumId w:val="599"/>
  </w:num>
  <w:num w:numId="552">
    <w:abstractNumId w:val="671"/>
  </w:num>
  <w:num w:numId="553">
    <w:abstractNumId w:val="82"/>
  </w:num>
  <w:num w:numId="554">
    <w:abstractNumId w:val="681"/>
  </w:num>
  <w:num w:numId="555">
    <w:abstractNumId w:val="59"/>
  </w:num>
  <w:num w:numId="556">
    <w:abstractNumId w:val="370"/>
  </w:num>
  <w:num w:numId="557">
    <w:abstractNumId w:val="514"/>
  </w:num>
  <w:num w:numId="558">
    <w:abstractNumId w:val="304"/>
  </w:num>
  <w:num w:numId="559">
    <w:abstractNumId w:val="242"/>
  </w:num>
  <w:num w:numId="560">
    <w:abstractNumId w:val="338"/>
  </w:num>
  <w:num w:numId="561">
    <w:abstractNumId w:val="248"/>
  </w:num>
  <w:num w:numId="562">
    <w:abstractNumId w:val="482"/>
  </w:num>
  <w:num w:numId="563">
    <w:abstractNumId w:val="146"/>
  </w:num>
  <w:num w:numId="564">
    <w:abstractNumId w:val="477"/>
  </w:num>
  <w:num w:numId="565">
    <w:abstractNumId w:val="141"/>
  </w:num>
  <w:num w:numId="566">
    <w:abstractNumId w:val="24"/>
  </w:num>
  <w:num w:numId="567">
    <w:abstractNumId w:val="69"/>
  </w:num>
  <w:num w:numId="568">
    <w:abstractNumId w:val="499"/>
  </w:num>
  <w:num w:numId="569">
    <w:abstractNumId w:val="2"/>
  </w:num>
  <w:num w:numId="570">
    <w:abstractNumId w:val="7"/>
  </w:num>
  <w:num w:numId="571">
    <w:abstractNumId w:val="129"/>
  </w:num>
  <w:num w:numId="572">
    <w:abstractNumId w:val="685"/>
  </w:num>
  <w:num w:numId="573">
    <w:abstractNumId w:val="653"/>
  </w:num>
  <w:num w:numId="574">
    <w:abstractNumId w:val="468"/>
  </w:num>
  <w:num w:numId="575">
    <w:abstractNumId w:val="451"/>
  </w:num>
  <w:num w:numId="576">
    <w:abstractNumId w:val="355"/>
  </w:num>
  <w:num w:numId="577">
    <w:abstractNumId w:val="378"/>
  </w:num>
  <w:num w:numId="578">
    <w:abstractNumId w:val="490"/>
  </w:num>
  <w:num w:numId="579">
    <w:abstractNumId w:val="142"/>
  </w:num>
  <w:num w:numId="580">
    <w:abstractNumId w:val="20"/>
  </w:num>
  <w:num w:numId="581">
    <w:abstractNumId w:val="393"/>
  </w:num>
  <w:num w:numId="582">
    <w:abstractNumId w:val="597"/>
  </w:num>
  <w:num w:numId="583">
    <w:abstractNumId w:val="255"/>
  </w:num>
  <w:num w:numId="584">
    <w:abstractNumId w:val="249"/>
  </w:num>
  <w:num w:numId="585">
    <w:abstractNumId w:val="109"/>
  </w:num>
  <w:num w:numId="586">
    <w:abstractNumId w:val="455"/>
  </w:num>
  <w:num w:numId="587">
    <w:abstractNumId w:val="245"/>
  </w:num>
  <w:num w:numId="588">
    <w:abstractNumId w:val="254"/>
  </w:num>
  <w:num w:numId="589">
    <w:abstractNumId w:val="33"/>
  </w:num>
  <w:num w:numId="590">
    <w:abstractNumId w:val="360"/>
  </w:num>
  <w:num w:numId="591">
    <w:abstractNumId w:val="117"/>
  </w:num>
  <w:num w:numId="592">
    <w:abstractNumId w:val="577"/>
  </w:num>
  <w:num w:numId="593">
    <w:abstractNumId w:val="518"/>
  </w:num>
  <w:num w:numId="594">
    <w:abstractNumId w:val="31"/>
  </w:num>
  <w:num w:numId="595">
    <w:abstractNumId w:val="535"/>
  </w:num>
  <w:num w:numId="596">
    <w:abstractNumId w:val="459"/>
  </w:num>
  <w:num w:numId="597">
    <w:abstractNumId w:val="183"/>
  </w:num>
  <w:num w:numId="598">
    <w:abstractNumId w:val="511"/>
  </w:num>
  <w:num w:numId="599">
    <w:abstractNumId w:val="556"/>
  </w:num>
  <w:num w:numId="600">
    <w:abstractNumId w:val="495"/>
  </w:num>
  <w:num w:numId="601">
    <w:abstractNumId w:val="291"/>
  </w:num>
  <w:num w:numId="602">
    <w:abstractNumId w:val="324"/>
  </w:num>
  <w:num w:numId="603">
    <w:abstractNumId w:val="382"/>
  </w:num>
  <w:num w:numId="604">
    <w:abstractNumId w:val="91"/>
  </w:num>
  <w:num w:numId="605">
    <w:abstractNumId w:val="439"/>
  </w:num>
  <w:num w:numId="606">
    <w:abstractNumId w:val="96"/>
  </w:num>
  <w:num w:numId="607">
    <w:abstractNumId w:val="215"/>
  </w:num>
  <w:num w:numId="608">
    <w:abstractNumId w:val="678"/>
  </w:num>
  <w:num w:numId="609">
    <w:abstractNumId w:val="153"/>
  </w:num>
  <w:num w:numId="610">
    <w:abstractNumId w:val="58"/>
  </w:num>
  <w:num w:numId="611">
    <w:abstractNumId w:val="72"/>
  </w:num>
  <w:num w:numId="612">
    <w:abstractNumId w:val="149"/>
  </w:num>
  <w:num w:numId="613">
    <w:abstractNumId w:val="296"/>
  </w:num>
  <w:num w:numId="614">
    <w:abstractNumId w:val="644"/>
  </w:num>
  <w:num w:numId="615">
    <w:abstractNumId w:val="531"/>
  </w:num>
  <w:num w:numId="616">
    <w:abstractNumId w:val="197"/>
  </w:num>
  <w:num w:numId="617">
    <w:abstractNumId w:val="470"/>
  </w:num>
  <w:num w:numId="618">
    <w:abstractNumId w:val="178"/>
  </w:num>
  <w:num w:numId="619">
    <w:abstractNumId w:val="662"/>
  </w:num>
  <w:num w:numId="620">
    <w:abstractNumId w:val="12"/>
  </w:num>
  <w:num w:numId="621">
    <w:abstractNumId w:val="335"/>
  </w:num>
  <w:num w:numId="622">
    <w:abstractNumId w:val="367"/>
  </w:num>
  <w:num w:numId="623">
    <w:abstractNumId w:val="165"/>
  </w:num>
  <w:num w:numId="624">
    <w:abstractNumId w:val="407"/>
  </w:num>
  <w:num w:numId="625">
    <w:abstractNumId w:val="168"/>
  </w:num>
  <w:num w:numId="626">
    <w:abstractNumId w:val="267"/>
  </w:num>
  <w:num w:numId="627">
    <w:abstractNumId w:val="298"/>
  </w:num>
  <w:num w:numId="628">
    <w:abstractNumId w:val="62"/>
  </w:num>
  <w:num w:numId="629">
    <w:abstractNumId w:val="670"/>
  </w:num>
  <w:num w:numId="630">
    <w:abstractNumId w:val="173"/>
  </w:num>
  <w:num w:numId="631">
    <w:abstractNumId w:val="666"/>
  </w:num>
  <w:num w:numId="632">
    <w:abstractNumId w:val="727"/>
  </w:num>
  <w:num w:numId="633">
    <w:abstractNumId w:val="498"/>
  </w:num>
  <w:num w:numId="634">
    <w:abstractNumId w:val="280"/>
  </w:num>
  <w:num w:numId="635">
    <w:abstractNumId w:val="5"/>
  </w:num>
  <w:num w:numId="636">
    <w:abstractNumId w:val="181"/>
  </w:num>
  <w:num w:numId="637">
    <w:abstractNumId w:val="443"/>
  </w:num>
  <w:num w:numId="638">
    <w:abstractNumId w:val="705"/>
  </w:num>
  <w:num w:numId="639">
    <w:abstractNumId w:val="453"/>
  </w:num>
  <w:num w:numId="640">
    <w:abstractNumId w:val="636"/>
  </w:num>
  <w:num w:numId="641">
    <w:abstractNumId w:val="271"/>
  </w:num>
  <w:num w:numId="642">
    <w:abstractNumId w:val="151"/>
  </w:num>
  <w:num w:numId="643">
    <w:abstractNumId w:val="580"/>
  </w:num>
  <w:num w:numId="644">
    <w:abstractNumId w:val="180"/>
  </w:num>
  <w:num w:numId="645">
    <w:abstractNumId w:val="277"/>
  </w:num>
  <w:num w:numId="646">
    <w:abstractNumId w:val="399"/>
  </w:num>
  <w:num w:numId="647">
    <w:abstractNumId w:val="581"/>
  </w:num>
  <w:num w:numId="648">
    <w:abstractNumId w:val="507"/>
  </w:num>
  <w:num w:numId="649">
    <w:abstractNumId w:val="89"/>
  </w:num>
  <w:num w:numId="650">
    <w:abstractNumId w:val="114"/>
  </w:num>
  <w:num w:numId="651">
    <w:abstractNumId w:val="537"/>
  </w:num>
  <w:num w:numId="652">
    <w:abstractNumId w:val="680"/>
  </w:num>
  <w:num w:numId="653">
    <w:abstractNumId w:val="634"/>
  </w:num>
  <w:num w:numId="654">
    <w:abstractNumId w:val="566"/>
  </w:num>
  <w:num w:numId="655">
    <w:abstractNumId w:val="627"/>
  </w:num>
  <w:num w:numId="656">
    <w:abstractNumId w:val="340"/>
  </w:num>
  <w:num w:numId="657">
    <w:abstractNumId w:val="701"/>
  </w:num>
  <w:num w:numId="658">
    <w:abstractNumId w:val="207"/>
  </w:num>
  <w:num w:numId="659">
    <w:abstractNumId w:val="619"/>
  </w:num>
  <w:num w:numId="660">
    <w:abstractNumId w:val="478"/>
  </w:num>
  <w:num w:numId="661">
    <w:abstractNumId w:val="199"/>
  </w:num>
  <w:num w:numId="662">
    <w:abstractNumId w:val="484"/>
  </w:num>
  <w:num w:numId="663">
    <w:abstractNumId w:val="533"/>
  </w:num>
  <w:num w:numId="664">
    <w:abstractNumId w:val="379"/>
  </w:num>
  <w:num w:numId="665">
    <w:abstractNumId w:val="586"/>
  </w:num>
  <w:num w:numId="666">
    <w:abstractNumId w:val="210"/>
  </w:num>
  <w:num w:numId="667">
    <w:abstractNumId w:val="469"/>
  </w:num>
  <w:num w:numId="668">
    <w:abstractNumId w:val="152"/>
  </w:num>
  <w:num w:numId="669">
    <w:abstractNumId w:val="188"/>
  </w:num>
  <w:num w:numId="670">
    <w:abstractNumId w:val="445"/>
  </w:num>
  <w:num w:numId="671">
    <w:abstractNumId w:val="476"/>
  </w:num>
  <w:num w:numId="672">
    <w:abstractNumId w:val="529"/>
  </w:num>
  <w:num w:numId="673">
    <w:abstractNumId w:val="37"/>
  </w:num>
  <w:num w:numId="674">
    <w:abstractNumId w:val="617"/>
  </w:num>
  <w:num w:numId="675">
    <w:abstractNumId w:val="460"/>
  </w:num>
  <w:num w:numId="676">
    <w:abstractNumId w:val="40"/>
  </w:num>
  <w:num w:numId="677">
    <w:abstractNumId w:val="534"/>
  </w:num>
  <w:num w:numId="678">
    <w:abstractNumId w:val="563"/>
  </w:num>
  <w:num w:numId="679">
    <w:abstractNumId w:val="86"/>
  </w:num>
  <w:num w:numId="680">
    <w:abstractNumId w:val="699"/>
  </w:num>
  <w:num w:numId="681">
    <w:abstractNumId w:val="133"/>
  </w:num>
  <w:num w:numId="682">
    <w:abstractNumId w:val="102"/>
  </w:num>
  <w:num w:numId="683">
    <w:abstractNumId w:val="437"/>
  </w:num>
  <w:num w:numId="684">
    <w:abstractNumId w:val="238"/>
  </w:num>
  <w:num w:numId="685">
    <w:abstractNumId w:val="310"/>
  </w:num>
  <w:num w:numId="686">
    <w:abstractNumId w:val="633"/>
  </w:num>
  <w:num w:numId="687">
    <w:abstractNumId w:val="265"/>
  </w:num>
  <w:num w:numId="688">
    <w:abstractNumId w:val="723"/>
  </w:num>
  <w:num w:numId="689">
    <w:abstractNumId w:val="106"/>
  </w:num>
  <w:num w:numId="690">
    <w:abstractNumId w:val="709"/>
  </w:num>
  <w:num w:numId="691">
    <w:abstractNumId w:val="258"/>
  </w:num>
  <w:num w:numId="692">
    <w:abstractNumId w:val="657"/>
  </w:num>
  <w:num w:numId="693">
    <w:abstractNumId w:val="138"/>
  </w:num>
  <w:num w:numId="694">
    <w:abstractNumId w:val="582"/>
  </w:num>
  <w:num w:numId="695">
    <w:abstractNumId w:val="63"/>
  </w:num>
  <w:num w:numId="696">
    <w:abstractNumId w:val="132"/>
  </w:num>
  <w:num w:numId="697">
    <w:abstractNumId w:val="317"/>
  </w:num>
  <w:num w:numId="698">
    <w:abstractNumId w:val="233"/>
  </w:num>
  <w:num w:numId="699">
    <w:abstractNumId w:val="390"/>
  </w:num>
  <w:num w:numId="700">
    <w:abstractNumId w:val="389"/>
  </w:num>
  <w:num w:numId="701">
    <w:abstractNumId w:val="571"/>
  </w:num>
  <w:num w:numId="702">
    <w:abstractNumId w:val="590"/>
  </w:num>
  <w:num w:numId="703">
    <w:abstractNumId w:val="328"/>
  </w:num>
  <w:num w:numId="704">
    <w:abstractNumId w:val="71"/>
  </w:num>
  <w:num w:numId="705">
    <w:abstractNumId w:val="144"/>
  </w:num>
  <w:num w:numId="706">
    <w:abstractNumId w:val="587"/>
  </w:num>
  <w:num w:numId="707">
    <w:abstractNumId w:val="362"/>
  </w:num>
  <w:num w:numId="708">
    <w:abstractNumId w:val="448"/>
  </w:num>
  <w:num w:numId="709">
    <w:abstractNumId w:val="474"/>
  </w:num>
  <w:num w:numId="710">
    <w:abstractNumId w:val="147"/>
  </w:num>
  <w:num w:numId="711">
    <w:abstractNumId w:val="98"/>
  </w:num>
  <w:num w:numId="712">
    <w:abstractNumId w:val="381"/>
  </w:num>
  <w:num w:numId="713">
    <w:abstractNumId w:val="162"/>
  </w:num>
  <w:num w:numId="714">
    <w:abstractNumId w:val="332"/>
  </w:num>
  <w:num w:numId="715">
    <w:abstractNumId w:val="646"/>
  </w:num>
  <w:num w:numId="716">
    <w:abstractNumId w:val="66"/>
  </w:num>
  <w:num w:numId="717">
    <w:abstractNumId w:val="95"/>
  </w:num>
  <w:num w:numId="718">
    <w:abstractNumId w:val="136"/>
  </w:num>
  <w:num w:numId="719">
    <w:abstractNumId w:val="19"/>
  </w:num>
  <w:num w:numId="720">
    <w:abstractNumId w:val="542"/>
  </w:num>
  <w:num w:numId="721">
    <w:abstractNumId w:val="148"/>
  </w:num>
  <w:num w:numId="722">
    <w:abstractNumId w:val="392"/>
  </w:num>
  <w:num w:numId="723">
    <w:abstractNumId w:val="115"/>
  </w:num>
  <w:num w:numId="724">
    <w:abstractNumId w:val="480"/>
  </w:num>
  <w:num w:numId="725">
    <w:abstractNumId w:val="402"/>
  </w:num>
  <w:num w:numId="726">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387"/>
  </w:num>
  <w:num w:numId="728">
    <w:abstractNumId w:val="307"/>
  </w:num>
  <w:num w:numId="729">
    <w:abstractNumId w:val="510"/>
  </w:num>
  <w:num w:numId="730">
    <w:abstractNumId w:val="51"/>
  </w:num>
  <w:num w:numId="731">
    <w:abstractNumId w:val="449"/>
  </w:num>
  <w:num w:numId="732">
    <w:abstractNumId w:val="140"/>
  </w:num>
  <w:num w:numId="733">
    <w:abstractNumId w:val="406"/>
  </w:num>
  <w:num w:numId="734">
    <w:abstractNumId w:val="247"/>
  </w:num>
  <w:num w:numId="735">
    <w:abstractNumId w:val="473"/>
  </w:num>
  <w:numIdMacAtCleanup w:val="7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pPc/qTeB6KJtua2hiw3/eTABRGg=" w:salt="8FSYrPtiO1MzMRIw0jwDGA=="/>
  <w:zoom w:percent="170"/>
  <w:printFractionalCharacterWidth/>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AR" w:vendorID="64" w:dllVersion="0" w:nlCheck="1" w:checkStyle="0"/>
  <w:activeWritingStyle w:appName="MSWord" w:lang="en-US" w:vendorID="64" w:dllVersion="4096" w:nlCheck="1" w:checkStyle="0"/>
  <w:activeWritingStyle w:appName="MSWord" w:lang="pt-BR" w:vendorID="64" w:dllVersion="0" w:nlCheck="1" w:checkStyle="0"/>
  <w:activeWritingStyle w:appName="MSWord" w:lang="es-MX" w:vendorID="64" w:dllVersion="0"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1"/>
  <w:activeWritingStyle w:appName="MSWord" w:lang="pt-BR" w:vendorID="64" w:dllVersion="6" w:nlCheck="1" w:checkStyle="0"/>
  <w:activeWritingStyle w:appName="MSWord" w:lang="es-AR"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1"/>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linkStyles/>
  <w:stylePaneFormatFilter w:val="3F0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90400F"/>
    <w:rsid w:val="000002F9"/>
    <w:rsid w:val="00000A0E"/>
    <w:rsid w:val="00000B64"/>
    <w:rsid w:val="00000B6A"/>
    <w:rsid w:val="0000168C"/>
    <w:rsid w:val="00001920"/>
    <w:rsid w:val="00001A93"/>
    <w:rsid w:val="00001E7D"/>
    <w:rsid w:val="00002103"/>
    <w:rsid w:val="00002197"/>
    <w:rsid w:val="00002932"/>
    <w:rsid w:val="00002C72"/>
    <w:rsid w:val="00002ED6"/>
    <w:rsid w:val="00002F2A"/>
    <w:rsid w:val="00003656"/>
    <w:rsid w:val="0000381D"/>
    <w:rsid w:val="000039C6"/>
    <w:rsid w:val="00003FC1"/>
    <w:rsid w:val="0000414F"/>
    <w:rsid w:val="0000460F"/>
    <w:rsid w:val="00004B9C"/>
    <w:rsid w:val="00004C8A"/>
    <w:rsid w:val="00004CBF"/>
    <w:rsid w:val="00005631"/>
    <w:rsid w:val="0000565E"/>
    <w:rsid w:val="000057C9"/>
    <w:rsid w:val="00005FE4"/>
    <w:rsid w:val="000065FD"/>
    <w:rsid w:val="000066BB"/>
    <w:rsid w:val="00006C99"/>
    <w:rsid w:val="00006FEC"/>
    <w:rsid w:val="0000706C"/>
    <w:rsid w:val="000073EE"/>
    <w:rsid w:val="00007600"/>
    <w:rsid w:val="00007798"/>
    <w:rsid w:val="0000794A"/>
    <w:rsid w:val="00010132"/>
    <w:rsid w:val="0001040D"/>
    <w:rsid w:val="00010CD9"/>
    <w:rsid w:val="0001197F"/>
    <w:rsid w:val="00011EF4"/>
    <w:rsid w:val="00011FC7"/>
    <w:rsid w:val="000122CB"/>
    <w:rsid w:val="000122E0"/>
    <w:rsid w:val="000123EF"/>
    <w:rsid w:val="000126B2"/>
    <w:rsid w:val="00012848"/>
    <w:rsid w:val="00012996"/>
    <w:rsid w:val="00012D8F"/>
    <w:rsid w:val="00012DC8"/>
    <w:rsid w:val="000137CF"/>
    <w:rsid w:val="00013CED"/>
    <w:rsid w:val="000140E2"/>
    <w:rsid w:val="00014866"/>
    <w:rsid w:val="00014D12"/>
    <w:rsid w:val="00014D58"/>
    <w:rsid w:val="00014F1A"/>
    <w:rsid w:val="000156CA"/>
    <w:rsid w:val="00016140"/>
    <w:rsid w:val="00016A8E"/>
    <w:rsid w:val="0001705E"/>
    <w:rsid w:val="00017258"/>
    <w:rsid w:val="00017532"/>
    <w:rsid w:val="000177F1"/>
    <w:rsid w:val="000203AB"/>
    <w:rsid w:val="000205B7"/>
    <w:rsid w:val="000206F4"/>
    <w:rsid w:val="000206F8"/>
    <w:rsid w:val="00020A1B"/>
    <w:rsid w:val="000211F1"/>
    <w:rsid w:val="00021707"/>
    <w:rsid w:val="0002214F"/>
    <w:rsid w:val="000223E5"/>
    <w:rsid w:val="0002272E"/>
    <w:rsid w:val="0002293F"/>
    <w:rsid w:val="00022A8D"/>
    <w:rsid w:val="00023324"/>
    <w:rsid w:val="00023C99"/>
    <w:rsid w:val="00023FEA"/>
    <w:rsid w:val="000243A5"/>
    <w:rsid w:val="00024B7D"/>
    <w:rsid w:val="00024C71"/>
    <w:rsid w:val="00024E33"/>
    <w:rsid w:val="00024EA9"/>
    <w:rsid w:val="000255D3"/>
    <w:rsid w:val="00025D0F"/>
    <w:rsid w:val="00025DA9"/>
    <w:rsid w:val="000269CA"/>
    <w:rsid w:val="00026DD3"/>
    <w:rsid w:val="00027642"/>
    <w:rsid w:val="00027AE1"/>
    <w:rsid w:val="00027E63"/>
    <w:rsid w:val="00030154"/>
    <w:rsid w:val="000305A9"/>
    <w:rsid w:val="00030E05"/>
    <w:rsid w:val="00030EED"/>
    <w:rsid w:val="00031A71"/>
    <w:rsid w:val="00031D32"/>
    <w:rsid w:val="00031D7E"/>
    <w:rsid w:val="0003200B"/>
    <w:rsid w:val="00032306"/>
    <w:rsid w:val="000329F8"/>
    <w:rsid w:val="00032A62"/>
    <w:rsid w:val="00032BC9"/>
    <w:rsid w:val="00032E03"/>
    <w:rsid w:val="00032F0F"/>
    <w:rsid w:val="00032FED"/>
    <w:rsid w:val="00033211"/>
    <w:rsid w:val="00033389"/>
    <w:rsid w:val="00033996"/>
    <w:rsid w:val="00033A15"/>
    <w:rsid w:val="00033B2B"/>
    <w:rsid w:val="00033E0F"/>
    <w:rsid w:val="00034610"/>
    <w:rsid w:val="00035125"/>
    <w:rsid w:val="0003553E"/>
    <w:rsid w:val="00035597"/>
    <w:rsid w:val="000357FB"/>
    <w:rsid w:val="00036B0D"/>
    <w:rsid w:val="00036CEA"/>
    <w:rsid w:val="000372AF"/>
    <w:rsid w:val="00037733"/>
    <w:rsid w:val="000377AC"/>
    <w:rsid w:val="00037BBF"/>
    <w:rsid w:val="00037C36"/>
    <w:rsid w:val="000403DD"/>
    <w:rsid w:val="000403FC"/>
    <w:rsid w:val="0004081E"/>
    <w:rsid w:val="00040B88"/>
    <w:rsid w:val="00040CE2"/>
    <w:rsid w:val="00040DA8"/>
    <w:rsid w:val="0004101F"/>
    <w:rsid w:val="00041690"/>
    <w:rsid w:val="00041810"/>
    <w:rsid w:val="00041BD3"/>
    <w:rsid w:val="00041E98"/>
    <w:rsid w:val="000426DB"/>
    <w:rsid w:val="00042F8A"/>
    <w:rsid w:val="000431DD"/>
    <w:rsid w:val="0004353A"/>
    <w:rsid w:val="000435AD"/>
    <w:rsid w:val="00043C33"/>
    <w:rsid w:val="00044109"/>
    <w:rsid w:val="00044316"/>
    <w:rsid w:val="0004435F"/>
    <w:rsid w:val="00044E2E"/>
    <w:rsid w:val="00044E7C"/>
    <w:rsid w:val="00045103"/>
    <w:rsid w:val="000451DC"/>
    <w:rsid w:val="00045B9E"/>
    <w:rsid w:val="000467E8"/>
    <w:rsid w:val="00047A3B"/>
    <w:rsid w:val="00050219"/>
    <w:rsid w:val="000507CF"/>
    <w:rsid w:val="0005097D"/>
    <w:rsid w:val="00050AD3"/>
    <w:rsid w:val="00050EB6"/>
    <w:rsid w:val="0005129D"/>
    <w:rsid w:val="0005169D"/>
    <w:rsid w:val="00051CCC"/>
    <w:rsid w:val="00051D8C"/>
    <w:rsid w:val="000523D3"/>
    <w:rsid w:val="00052865"/>
    <w:rsid w:val="000531C9"/>
    <w:rsid w:val="00053383"/>
    <w:rsid w:val="000533F0"/>
    <w:rsid w:val="00054104"/>
    <w:rsid w:val="0005508C"/>
    <w:rsid w:val="00055276"/>
    <w:rsid w:val="00055606"/>
    <w:rsid w:val="0005583D"/>
    <w:rsid w:val="00055B38"/>
    <w:rsid w:val="00055D54"/>
    <w:rsid w:val="00056B99"/>
    <w:rsid w:val="00056D1A"/>
    <w:rsid w:val="000573C7"/>
    <w:rsid w:val="00057A1B"/>
    <w:rsid w:val="00057A6A"/>
    <w:rsid w:val="00057EEB"/>
    <w:rsid w:val="00057FFE"/>
    <w:rsid w:val="000602F6"/>
    <w:rsid w:val="000608CA"/>
    <w:rsid w:val="00060A47"/>
    <w:rsid w:val="00061388"/>
    <w:rsid w:val="0006159B"/>
    <w:rsid w:val="000617E3"/>
    <w:rsid w:val="00062025"/>
    <w:rsid w:val="00062306"/>
    <w:rsid w:val="00062693"/>
    <w:rsid w:val="00062C34"/>
    <w:rsid w:val="00062FCE"/>
    <w:rsid w:val="0006352F"/>
    <w:rsid w:val="00063626"/>
    <w:rsid w:val="00063AAE"/>
    <w:rsid w:val="00063EE5"/>
    <w:rsid w:val="00064238"/>
    <w:rsid w:val="000645F9"/>
    <w:rsid w:val="00064949"/>
    <w:rsid w:val="000649F4"/>
    <w:rsid w:val="000650C0"/>
    <w:rsid w:val="000651FF"/>
    <w:rsid w:val="000655E2"/>
    <w:rsid w:val="00065729"/>
    <w:rsid w:val="000660A9"/>
    <w:rsid w:val="0006641C"/>
    <w:rsid w:val="00067175"/>
    <w:rsid w:val="0006758F"/>
    <w:rsid w:val="00067A1A"/>
    <w:rsid w:val="00067D69"/>
    <w:rsid w:val="00070232"/>
    <w:rsid w:val="000709A9"/>
    <w:rsid w:val="000709EC"/>
    <w:rsid w:val="00070B93"/>
    <w:rsid w:val="00070E4F"/>
    <w:rsid w:val="00070EE5"/>
    <w:rsid w:val="00071074"/>
    <w:rsid w:val="00071113"/>
    <w:rsid w:val="000712E0"/>
    <w:rsid w:val="000714D8"/>
    <w:rsid w:val="00071622"/>
    <w:rsid w:val="000717D5"/>
    <w:rsid w:val="000717F7"/>
    <w:rsid w:val="000719CC"/>
    <w:rsid w:val="00072066"/>
    <w:rsid w:val="000729A8"/>
    <w:rsid w:val="000735B7"/>
    <w:rsid w:val="0007440B"/>
    <w:rsid w:val="00074602"/>
    <w:rsid w:val="000746B7"/>
    <w:rsid w:val="00074CAD"/>
    <w:rsid w:val="00075673"/>
    <w:rsid w:val="00075934"/>
    <w:rsid w:val="00075D60"/>
    <w:rsid w:val="00076085"/>
    <w:rsid w:val="00076221"/>
    <w:rsid w:val="00076C8C"/>
    <w:rsid w:val="00077172"/>
    <w:rsid w:val="000777F7"/>
    <w:rsid w:val="0007783A"/>
    <w:rsid w:val="00077ADD"/>
    <w:rsid w:val="00077D0C"/>
    <w:rsid w:val="000806D9"/>
    <w:rsid w:val="0008091E"/>
    <w:rsid w:val="00080B1E"/>
    <w:rsid w:val="000811E1"/>
    <w:rsid w:val="00081276"/>
    <w:rsid w:val="00082001"/>
    <w:rsid w:val="0008250A"/>
    <w:rsid w:val="00082660"/>
    <w:rsid w:val="000828A5"/>
    <w:rsid w:val="00082937"/>
    <w:rsid w:val="000838A6"/>
    <w:rsid w:val="00084584"/>
    <w:rsid w:val="000848F5"/>
    <w:rsid w:val="00084BAB"/>
    <w:rsid w:val="00084C29"/>
    <w:rsid w:val="00084D17"/>
    <w:rsid w:val="00084FE0"/>
    <w:rsid w:val="0008567F"/>
    <w:rsid w:val="00085954"/>
    <w:rsid w:val="00086096"/>
    <w:rsid w:val="00086863"/>
    <w:rsid w:val="000869C5"/>
    <w:rsid w:val="00086F4C"/>
    <w:rsid w:val="00087478"/>
    <w:rsid w:val="00087784"/>
    <w:rsid w:val="0009077C"/>
    <w:rsid w:val="00090816"/>
    <w:rsid w:val="00090BC7"/>
    <w:rsid w:val="00090F18"/>
    <w:rsid w:val="00091874"/>
    <w:rsid w:val="00091E09"/>
    <w:rsid w:val="00092531"/>
    <w:rsid w:val="00092610"/>
    <w:rsid w:val="000928CD"/>
    <w:rsid w:val="00092A0E"/>
    <w:rsid w:val="00092A39"/>
    <w:rsid w:val="00093939"/>
    <w:rsid w:val="00094400"/>
    <w:rsid w:val="000944BC"/>
    <w:rsid w:val="0009458F"/>
    <w:rsid w:val="00094807"/>
    <w:rsid w:val="00094A30"/>
    <w:rsid w:val="00094AB6"/>
    <w:rsid w:val="00094B14"/>
    <w:rsid w:val="00094BA5"/>
    <w:rsid w:val="00094E0F"/>
    <w:rsid w:val="00094E6C"/>
    <w:rsid w:val="00095176"/>
    <w:rsid w:val="00095C0B"/>
    <w:rsid w:val="00095DC8"/>
    <w:rsid w:val="00095E74"/>
    <w:rsid w:val="00096DF8"/>
    <w:rsid w:val="00096E12"/>
    <w:rsid w:val="00097796"/>
    <w:rsid w:val="00097A0D"/>
    <w:rsid w:val="00097EF6"/>
    <w:rsid w:val="000A0040"/>
    <w:rsid w:val="000A01D4"/>
    <w:rsid w:val="000A05EA"/>
    <w:rsid w:val="000A06F1"/>
    <w:rsid w:val="000A0813"/>
    <w:rsid w:val="000A0BD3"/>
    <w:rsid w:val="000A124A"/>
    <w:rsid w:val="000A13F9"/>
    <w:rsid w:val="000A2224"/>
    <w:rsid w:val="000A224B"/>
    <w:rsid w:val="000A2262"/>
    <w:rsid w:val="000A23C1"/>
    <w:rsid w:val="000A27ED"/>
    <w:rsid w:val="000A2CAC"/>
    <w:rsid w:val="000A312F"/>
    <w:rsid w:val="000A3277"/>
    <w:rsid w:val="000A33D6"/>
    <w:rsid w:val="000A3DEF"/>
    <w:rsid w:val="000A403E"/>
    <w:rsid w:val="000A4991"/>
    <w:rsid w:val="000A4B06"/>
    <w:rsid w:val="000A4D49"/>
    <w:rsid w:val="000A4D9C"/>
    <w:rsid w:val="000A5187"/>
    <w:rsid w:val="000A58AE"/>
    <w:rsid w:val="000A5BE7"/>
    <w:rsid w:val="000A5E41"/>
    <w:rsid w:val="000A62E1"/>
    <w:rsid w:val="000A62E5"/>
    <w:rsid w:val="000A65AC"/>
    <w:rsid w:val="000A6A45"/>
    <w:rsid w:val="000A6EC2"/>
    <w:rsid w:val="000A7172"/>
    <w:rsid w:val="000A7173"/>
    <w:rsid w:val="000A7620"/>
    <w:rsid w:val="000A76D3"/>
    <w:rsid w:val="000A7E01"/>
    <w:rsid w:val="000B0415"/>
    <w:rsid w:val="000B0AC1"/>
    <w:rsid w:val="000B1A6E"/>
    <w:rsid w:val="000B1EBE"/>
    <w:rsid w:val="000B2931"/>
    <w:rsid w:val="000B2C0D"/>
    <w:rsid w:val="000B3691"/>
    <w:rsid w:val="000B4545"/>
    <w:rsid w:val="000B4B07"/>
    <w:rsid w:val="000B4B48"/>
    <w:rsid w:val="000B51E5"/>
    <w:rsid w:val="000B5209"/>
    <w:rsid w:val="000B55FD"/>
    <w:rsid w:val="000B566F"/>
    <w:rsid w:val="000B5F1C"/>
    <w:rsid w:val="000B60A7"/>
    <w:rsid w:val="000B7374"/>
    <w:rsid w:val="000B73D6"/>
    <w:rsid w:val="000C017E"/>
    <w:rsid w:val="000C0590"/>
    <w:rsid w:val="000C0947"/>
    <w:rsid w:val="000C0E7E"/>
    <w:rsid w:val="000C10DB"/>
    <w:rsid w:val="000C1428"/>
    <w:rsid w:val="000C143E"/>
    <w:rsid w:val="000C17E0"/>
    <w:rsid w:val="000C1ED0"/>
    <w:rsid w:val="000C1FFA"/>
    <w:rsid w:val="000C2760"/>
    <w:rsid w:val="000C35FE"/>
    <w:rsid w:val="000C389F"/>
    <w:rsid w:val="000C40E2"/>
    <w:rsid w:val="000C43C4"/>
    <w:rsid w:val="000C478F"/>
    <w:rsid w:val="000C499F"/>
    <w:rsid w:val="000C4C4E"/>
    <w:rsid w:val="000C588C"/>
    <w:rsid w:val="000C6779"/>
    <w:rsid w:val="000C7C6D"/>
    <w:rsid w:val="000D0459"/>
    <w:rsid w:val="000D0600"/>
    <w:rsid w:val="000D11AC"/>
    <w:rsid w:val="000D172D"/>
    <w:rsid w:val="000D1C1D"/>
    <w:rsid w:val="000D1F4D"/>
    <w:rsid w:val="000D2858"/>
    <w:rsid w:val="000D2926"/>
    <w:rsid w:val="000D29C9"/>
    <w:rsid w:val="000D2A2E"/>
    <w:rsid w:val="000D2BBE"/>
    <w:rsid w:val="000D3E3B"/>
    <w:rsid w:val="000D4C76"/>
    <w:rsid w:val="000D5000"/>
    <w:rsid w:val="000D52F5"/>
    <w:rsid w:val="000D543C"/>
    <w:rsid w:val="000D57E3"/>
    <w:rsid w:val="000D58E2"/>
    <w:rsid w:val="000D62BE"/>
    <w:rsid w:val="000D643F"/>
    <w:rsid w:val="000D6692"/>
    <w:rsid w:val="000D66F2"/>
    <w:rsid w:val="000D68C8"/>
    <w:rsid w:val="000D6932"/>
    <w:rsid w:val="000D6CFA"/>
    <w:rsid w:val="000D6F26"/>
    <w:rsid w:val="000D72A7"/>
    <w:rsid w:val="000D75C2"/>
    <w:rsid w:val="000D7A6F"/>
    <w:rsid w:val="000E031B"/>
    <w:rsid w:val="000E0338"/>
    <w:rsid w:val="000E0513"/>
    <w:rsid w:val="000E116F"/>
    <w:rsid w:val="000E14E6"/>
    <w:rsid w:val="000E1C07"/>
    <w:rsid w:val="000E1DDC"/>
    <w:rsid w:val="000E1F4C"/>
    <w:rsid w:val="000E2475"/>
    <w:rsid w:val="000E2E07"/>
    <w:rsid w:val="000E3246"/>
    <w:rsid w:val="000E3F4B"/>
    <w:rsid w:val="000E4C42"/>
    <w:rsid w:val="000E568E"/>
    <w:rsid w:val="000E5946"/>
    <w:rsid w:val="000E59CC"/>
    <w:rsid w:val="000E5A55"/>
    <w:rsid w:val="000E5AC3"/>
    <w:rsid w:val="000E62A2"/>
    <w:rsid w:val="000E6504"/>
    <w:rsid w:val="000E66B3"/>
    <w:rsid w:val="000E6D65"/>
    <w:rsid w:val="000E6FBD"/>
    <w:rsid w:val="000E70AC"/>
    <w:rsid w:val="000E727B"/>
    <w:rsid w:val="000E7426"/>
    <w:rsid w:val="000E78EC"/>
    <w:rsid w:val="000E7B7B"/>
    <w:rsid w:val="000F01BF"/>
    <w:rsid w:val="000F062B"/>
    <w:rsid w:val="000F0897"/>
    <w:rsid w:val="000F0B2A"/>
    <w:rsid w:val="000F0CBE"/>
    <w:rsid w:val="000F0D95"/>
    <w:rsid w:val="000F0DB4"/>
    <w:rsid w:val="000F1209"/>
    <w:rsid w:val="000F1610"/>
    <w:rsid w:val="000F16D4"/>
    <w:rsid w:val="000F237A"/>
    <w:rsid w:val="000F23D6"/>
    <w:rsid w:val="000F27B0"/>
    <w:rsid w:val="000F29BE"/>
    <w:rsid w:val="000F2A16"/>
    <w:rsid w:val="000F2E0C"/>
    <w:rsid w:val="000F3044"/>
    <w:rsid w:val="000F30C6"/>
    <w:rsid w:val="000F323D"/>
    <w:rsid w:val="000F38D6"/>
    <w:rsid w:val="000F3913"/>
    <w:rsid w:val="000F3B25"/>
    <w:rsid w:val="000F3B83"/>
    <w:rsid w:val="000F3DC4"/>
    <w:rsid w:val="000F3E15"/>
    <w:rsid w:val="000F3EFA"/>
    <w:rsid w:val="000F4009"/>
    <w:rsid w:val="000F42C3"/>
    <w:rsid w:val="000F489B"/>
    <w:rsid w:val="000F4F03"/>
    <w:rsid w:val="000F5392"/>
    <w:rsid w:val="000F5AED"/>
    <w:rsid w:val="000F5B48"/>
    <w:rsid w:val="000F5F68"/>
    <w:rsid w:val="000F63B7"/>
    <w:rsid w:val="000F6AA1"/>
    <w:rsid w:val="000F70A5"/>
    <w:rsid w:val="000F7631"/>
    <w:rsid w:val="000F79D6"/>
    <w:rsid w:val="000F7B57"/>
    <w:rsid w:val="000F7EF2"/>
    <w:rsid w:val="001000A6"/>
    <w:rsid w:val="00100AF1"/>
    <w:rsid w:val="00100DDC"/>
    <w:rsid w:val="00100E40"/>
    <w:rsid w:val="001010D1"/>
    <w:rsid w:val="0010204E"/>
    <w:rsid w:val="00102EDA"/>
    <w:rsid w:val="0010308B"/>
    <w:rsid w:val="001032A9"/>
    <w:rsid w:val="0010342E"/>
    <w:rsid w:val="00103481"/>
    <w:rsid w:val="00103E7E"/>
    <w:rsid w:val="00104235"/>
    <w:rsid w:val="001043B8"/>
    <w:rsid w:val="001048E9"/>
    <w:rsid w:val="00104A15"/>
    <w:rsid w:val="00104BB6"/>
    <w:rsid w:val="00104D39"/>
    <w:rsid w:val="001056A1"/>
    <w:rsid w:val="00105B43"/>
    <w:rsid w:val="00105C14"/>
    <w:rsid w:val="001066C3"/>
    <w:rsid w:val="001067FA"/>
    <w:rsid w:val="001069B8"/>
    <w:rsid w:val="00106CDD"/>
    <w:rsid w:val="00106FCD"/>
    <w:rsid w:val="0010714E"/>
    <w:rsid w:val="00107DBF"/>
    <w:rsid w:val="00107E10"/>
    <w:rsid w:val="00107E54"/>
    <w:rsid w:val="001105AB"/>
    <w:rsid w:val="00110C7F"/>
    <w:rsid w:val="00110C9A"/>
    <w:rsid w:val="00110D05"/>
    <w:rsid w:val="00111087"/>
    <w:rsid w:val="001111C1"/>
    <w:rsid w:val="00111440"/>
    <w:rsid w:val="001114BE"/>
    <w:rsid w:val="0011157C"/>
    <w:rsid w:val="0011166C"/>
    <w:rsid w:val="00111895"/>
    <w:rsid w:val="00111946"/>
    <w:rsid w:val="00111DFB"/>
    <w:rsid w:val="00111EA5"/>
    <w:rsid w:val="0011206C"/>
    <w:rsid w:val="001122FA"/>
    <w:rsid w:val="001126E2"/>
    <w:rsid w:val="0011272D"/>
    <w:rsid w:val="00112C10"/>
    <w:rsid w:val="001133BA"/>
    <w:rsid w:val="001136CD"/>
    <w:rsid w:val="00113E51"/>
    <w:rsid w:val="00114389"/>
    <w:rsid w:val="001150F3"/>
    <w:rsid w:val="001155B8"/>
    <w:rsid w:val="00115702"/>
    <w:rsid w:val="00115714"/>
    <w:rsid w:val="0011579A"/>
    <w:rsid w:val="0011683A"/>
    <w:rsid w:val="0011684C"/>
    <w:rsid w:val="00116C4A"/>
    <w:rsid w:val="00116CB3"/>
    <w:rsid w:val="00116E1E"/>
    <w:rsid w:val="00116F95"/>
    <w:rsid w:val="001173A0"/>
    <w:rsid w:val="00117697"/>
    <w:rsid w:val="00117929"/>
    <w:rsid w:val="00117BEB"/>
    <w:rsid w:val="00117E4A"/>
    <w:rsid w:val="00120BE2"/>
    <w:rsid w:val="00120F9A"/>
    <w:rsid w:val="0012115A"/>
    <w:rsid w:val="001214A1"/>
    <w:rsid w:val="00121957"/>
    <w:rsid w:val="00121A98"/>
    <w:rsid w:val="00121B2B"/>
    <w:rsid w:val="00121E7E"/>
    <w:rsid w:val="00122079"/>
    <w:rsid w:val="001220E0"/>
    <w:rsid w:val="0012215E"/>
    <w:rsid w:val="001223D3"/>
    <w:rsid w:val="00122BF1"/>
    <w:rsid w:val="00122C52"/>
    <w:rsid w:val="00123172"/>
    <w:rsid w:val="00123906"/>
    <w:rsid w:val="00123B3B"/>
    <w:rsid w:val="00123BE3"/>
    <w:rsid w:val="001240DC"/>
    <w:rsid w:val="00124C5E"/>
    <w:rsid w:val="0012518B"/>
    <w:rsid w:val="00125462"/>
    <w:rsid w:val="001254D7"/>
    <w:rsid w:val="00125AF6"/>
    <w:rsid w:val="00125EF8"/>
    <w:rsid w:val="00126158"/>
    <w:rsid w:val="001269D8"/>
    <w:rsid w:val="00126A9B"/>
    <w:rsid w:val="001272E3"/>
    <w:rsid w:val="0012735F"/>
    <w:rsid w:val="00127448"/>
    <w:rsid w:val="00127E9B"/>
    <w:rsid w:val="001308BC"/>
    <w:rsid w:val="00130CCF"/>
    <w:rsid w:val="00130D5F"/>
    <w:rsid w:val="00130FE0"/>
    <w:rsid w:val="00131B02"/>
    <w:rsid w:val="00131ECD"/>
    <w:rsid w:val="0013242A"/>
    <w:rsid w:val="00132820"/>
    <w:rsid w:val="00132F4D"/>
    <w:rsid w:val="001332B6"/>
    <w:rsid w:val="0013375F"/>
    <w:rsid w:val="00133A8E"/>
    <w:rsid w:val="001342C9"/>
    <w:rsid w:val="001343B4"/>
    <w:rsid w:val="0013455E"/>
    <w:rsid w:val="001346FE"/>
    <w:rsid w:val="00134DF8"/>
    <w:rsid w:val="00135084"/>
    <w:rsid w:val="001350F7"/>
    <w:rsid w:val="00135B51"/>
    <w:rsid w:val="00135C9F"/>
    <w:rsid w:val="001366EC"/>
    <w:rsid w:val="001368A4"/>
    <w:rsid w:val="00136BAF"/>
    <w:rsid w:val="00137055"/>
    <w:rsid w:val="00137182"/>
    <w:rsid w:val="00137A48"/>
    <w:rsid w:val="0014000C"/>
    <w:rsid w:val="00140731"/>
    <w:rsid w:val="00140D41"/>
    <w:rsid w:val="00140FE7"/>
    <w:rsid w:val="001410C7"/>
    <w:rsid w:val="001411E9"/>
    <w:rsid w:val="00141407"/>
    <w:rsid w:val="001414A4"/>
    <w:rsid w:val="00141A9E"/>
    <w:rsid w:val="00141BB1"/>
    <w:rsid w:val="00141F55"/>
    <w:rsid w:val="001423CE"/>
    <w:rsid w:val="00142AFB"/>
    <w:rsid w:val="001437E7"/>
    <w:rsid w:val="00143C73"/>
    <w:rsid w:val="001445AE"/>
    <w:rsid w:val="00144694"/>
    <w:rsid w:val="00144D0E"/>
    <w:rsid w:val="00145E50"/>
    <w:rsid w:val="001460BD"/>
    <w:rsid w:val="001460EB"/>
    <w:rsid w:val="0014769D"/>
    <w:rsid w:val="0015008A"/>
    <w:rsid w:val="0015031B"/>
    <w:rsid w:val="00150474"/>
    <w:rsid w:val="001505F0"/>
    <w:rsid w:val="0015078B"/>
    <w:rsid w:val="00150D96"/>
    <w:rsid w:val="00151192"/>
    <w:rsid w:val="00151324"/>
    <w:rsid w:val="00151708"/>
    <w:rsid w:val="0015185D"/>
    <w:rsid w:val="00151BAB"/>
    <w:rsid w:val="00151BD7"/>
    <w:rsid w:val="0015272A"/>
    <w:rsid w:val="001529D1"/>
    <w:rsid w:val="00152D6F"/>
    <w:rsid w:val="001530FD"/>
    <w:rsid w:val="00153676"/>
    <w:rsid w:val="00153768"/>
    <w:rsid w:val="001539B5"/>
    <w:rsid w:val="001542B5"/>
    <w:rsid w:val="00154561"/>
    <w:rsid w:val="001546EA"/>
    <w:rsid w:val="00154A8B"/>
    <w:rsid w:val="00154AC2"/>
    <w:rsid w:val="00154ACF"/>
    <w:rsid w:val="00154E0D"/>
    <w:rsid w:val="00154F2D"/>
    <w:rsid w:val="001552B4"/>
    <w:rsid w:val="00155343"/>
    <w:rsid w:val="001554E1"/>
    <w:rsid w:val="001559F5"/>
    <w:rsid w:val="00155D19"/>
    <w:rsid w:val="00155E42"/>
    <w:rsid w:val="0015616F"/>
    <w:rsid w:val="0015638F"/>
    <w:rsid w:val="00156652"/>
    <w:rsid w:val="00156B7B"/>
    <w:rsid w:val="001571F1"/>
    <w:rsid w:val="00157330"/>
    <w:rsid w:val="001576D5"/>
    <w:rsid w:val="0015775A"/>
    <w:rsid w:val="0015795F"/>
    <w:rsid w:val="00157D31"/>
    <w:rsid w:val="00157E9D"/>
    <w:rsid w:val="001603B1"/>
    <w:rsid w:val="001606F5"/>
    <w:rsid w:val="00160C77"/>
    <w:rsid w:val="00160F73"/>
    <w:rsid w:val="00161518"/>
    <w:rsid w:val="00161584"/>
    <w:rsid w:val="00161994"/>
    <w:rsid w:val="00161ADD"/>
    <w:rsid w:val="0016272D"/>
    <w:rsid w:val="00162B54"/>
    <w:rsid w:val="00162B64"/>
    <w:rsid w:val="00162BBB"/>
    <w:rsid w:val="00163150"/>
    <w:rsid w:val="001631F1"/>
    <w:rsid w:val="001633F8"/>
    <w:rsid w:val="0016344C"/>
    <w:rsid w:val="0016359F"/>
    <w:rsid w:val="0016366B"/>
    <w:rsid w:val="00163A13"/>
    <w:rsid w:val="001644F8"/>
    <w:rsid w:val="001657B9"/>
    <w:rsid w:val="00165CEA"/>
    <w:rsid w:val="0016615C"/>
    <w:rsid w:val="00166B24"/>
    <w:rsid w:val="00166DAD"/>
    <w:rsid w:val="00166E38"/>
    <w:rsid w:val="0016710A"/>
    <w:rsid w:val="00167214"/>
    <w:rsid w:val="00167624"/>
    <w:rsid w:val="00167ABF"/>
    <w:rsid w:val="00167B2E"/>
    <w:rsid w:val="00167D0C"/>
    <w:rsid w:val="001703D1"/>
    <w:rsid w:val="00170499"/>
    <w:rsid w:val="0017093F"/>
    <w:rsid w:val="00171062"/>
    <w:rsid w:val="0017106E"/>
    <w:rsid w:val="0017143B"/>
    <w:rsid w:val="00171595"/>
    <w:rsid w:val="001720CD"/>
    <w:rsid w:val="001722B6"/>
    <w:rsid w:val="00172DDC"/>
    <w:rsid w:val="00173830"/>
    <w:rsid w:val="00173B98"/>
    <w:rsid w:val="00173BBF"/>
    <w:rsid w:val="0017400F"/>
    <w:rsid w:val="00174590"/>
    <w:rsid w:val="001745FE"/>
    <w:rsid w:val="00174676"/>
    <w:rsid w:val="001747B7"/>
    <w:rsid w:val="0017492C"/>
    <w:rsid w:val="00174C58"/>
    <w:rsid w:val="00174D43"/>
    <w:rsid w:val="001752E0"/>
    <w:rsid w:val="00175443"/>
    <w:rsid w:val="00175969"/>
    <w:rsid w:val="001764EC"/>
    <w:rsid w:val="00176561"/>
    <w:rsid w:val="001768E8"/>
    <w:rsid w:val="00176C0B"/>
    <w:rsid w:val="00176C14"/>
    <w:rsid w:val="00177755"/>
    <w:rsid w:val="001778F4"/>
    <w:rsid w:val="00177F0B"/>
    <w:rsid w:val="0018042E"/>
    <w:rsid w:val="00180C5F"/>
    <w:rsid w:val="00180DD5"/>
    <w:rsid w:val="00181050"/>
    <w:rsid w:val="00181072"/>
    <w:rsid w:val="00181403"/>
    <w:rsid w:val="001818B6"/>
    <w:rsid w:val="00181A70"/>
    <w:rsid w:val="00181BB6"/>
    <w:rsid w:val="001823C4"/>
    <w:rsid w:val="0018264C"/>
    <w:rsid w:val="001826A2"/>
    <w:rsid w:val="00182F62"/>
    <w:rsid w:val="00183442"/>
    <w:rsid w:val="001837F6"/>
    <w:rsid w:val="001838FF"/>
    <w:rsid w:val="0018394E"/>
    <w:rsid w:val="00183E1E"/>
    <w:rsid w:val="001846CC"/>
    <w:rsid w:val="001847B8"/>
    <w:rsid w:val="00184EBA"/>
    <w:rsid w:val="00185310"/>
    <w:rsid w:val="0018547F"/>
    <w:rsid w:val="00185F10"/>
    <w:rsid w:val="00185FF8"/>
    <w:rsid w:val="00187050"/>
    <w:rsid w:val="00187336"/>
    <w:rsid w:val="00187436"/>
    <w:rsid w:val="001877C2"/>
    <w:rsid w:val="00190077"/>
    <w:rsid w:val="00190311"/>
    <w:rsid w:val="001909A5"/>
    <w:rsid w:val="001909AB"/>
    <w:rsid w:val="00190C14"/>
    <w:rsid w:val="00190DA1"/>
    <w:rsid w:val="00190EDA"/>
    <w:rsid w:val="001910FA"/>
    <w:rsid w:val="00191241"/>
    <w:rsid w:val="001916C9"/>
    <w:rsid w:val="001920F2"/>
    <w:rsid w:val="001927E9"/>
    <w:rsid w:val="00192A8B"/>
    <w:rsid w:val="001934EA"/>
    <w:rsid w:val="00193656"/>
    <w:rsid w:val="00193789"/>
    <w:rsid w:val="00193B7B"/>
    <w:rsid w:val="001947B0"/>
    <w:rsid w:val="001947B8"/>
    <w:rsid w:val="0019493B"/>
    <w:rsid w:val="00194AE1"/>
    <w:rsid w:val="00194D81"/>
    <w:rsid w:val="00195117"/>
    <w:rsid w:val="00195933"/>
    <w:rsid w:val="0019607A"/>
    <w:rsid w:val="00196685"/>
    <w:rsid w:val="0019669F"/>
    <w:rsid w:val="00196A79"/>
    <w:rsid w:val="00196DBF"/>
    <w:rsid w:val="0019709F"/>
    <w:rsid w:val="001970C6"/>
    <w:rsid w:val="001971FB"/>
    <w:rsid w:val="00197220"/>
    <w:rsid w:val="0019790A"/>
    <w:rsid w:val="001A03BD"/>
    <w:rsid w:val="001A0474"/>
    <w:rsid w:val="001A0659"/>
    <w:rsid w:val="001A1204"/>
    <w:rsid w:val="001A1260"/>
    <w:rsid w:val="001A147C"/>
    <w:rsid w:val="001A163F"/>
    <w:rsid w:val="001A1EE2"/>
    <w:rsid w:val="001A2082"/>
    <w:rsid w:val="001A2717"/>
    <w:rsid w:val="001A2740"/>
    <w:rsid w:val="001A2D79"/>
    <w:rsid w:val="001A2D9D"/>
    <w:rsid w:val="001A2E05"/>
    <w:rsid w:val="001A2F95"/>
    <w:rsid w:val="001A3098"/>
    <w:rsid w:val="001A31B5"/>
    <w:rsid w:val="001A3661"/>
    <w:rsid w:val="001A3B38"/>
    <w:rsid w:val="001A404E"/>
    <w:rsid w:val="001A4479"/>
    <w:rsid w:val="001A4552"/>
    <w:rsid w:val="001A460A"/>
    <w:rsid w:val="001A51E0"/>
    <w:rsid w:val="001A53B6"/>
    <w:rsid w:val="001A5768"/>
    <w:rsid w:val="001A670C"/>
    <w:rsid w:val="001A6991"/>
    <w:rsid w:val="001A6BFD"/>
    <w:rsid w:val="001A6D6A"/>
    <w:rsid w:val="001A6F81"/>
    <w:rsid w:val="001A7293"/>
    <w:rsid w:val="001A7564"/>
    <w:rsid w:val="001B070A"/>
    <w:rsid w:val="001B072E"/>
    <w:rsid w:val="001B0E78"/>
    <w:rsid w:val="001B1113"/>
    <w:rsid w:val="001B15EA"/>
    <w:rsid w:val="001B1757"/>
    <w:rsid w:val="001B1A24"/>
    <w:rsid w:val="001B213A"/>
    <w:rsid w:val="001B244D"/>
    <w:rsid w:val="001B27B6"/>
    <w:rsid w:val="001B2C2E"/>
    <w:rsid w:val="001B3935"/>
    <w:rsid w:val="001B3CAC"/>
    <w:rsid w:val="001B3ECC"/>
    <w:rsid w:val="001B3EDE"/>
    <w:rsid w:val="001B4163"/>
    <w:rsid w:val="001B4248"/>
    <w:rsid w:val="001B46C0"/>
    <w:rsid w:val="001B4D63"/>
    <w:rsid w:val="001B53B4"/>
    <w:rsid w:val="001B55D3"/>
    <w:rsid w:val="001B569A"/>
    <w:rsid w:val="001B5A09"/>
    <w:rsid w:val="001B5B71"/>
    <w:rsid w:val="001B6097"/>
    <w:rsid w:val="001B618F"/>
    <w:rsid w:val="001B6236"/>
    <w:rsid w:val="001B6384"/>
    <w:rsid w:val="001B63AC"/>
    <w:rsid w:val="001B6598"/>
    <w:rsid w:val="001B690C"/>
    <w:rsid w:val="001B6A4F"/>
    <w:rsid w:val="001B6CDC"/>
    <w:rsid w:val="001B71F1"/>
    <w:rsid w:val="001B71FD"/>
    <w:rsid w:val="001B75E3"/>
    <w:rsid w:val="001B7663"/>
    <w:rsid w:val="001B7E9C"/>
    <w:rsid w:val="001C0175"/>
    <w:rsid w:val="001C02B3"/>
    <w:rsid w:val="001C0ED4"/>
    <w:rsid w:val="001C10D8"/>
    <w:rsid w:val="001C1594"/>
    <w:rsid w:val="001C1673"/>
    <w:rsid w:val="001C1DF3"/>
    <w:rsid w:val="001C21F3"/>
    <w:rsid w:val="001C2B31"/>
    <w:rsid w:val="001C2F43"/>
    <w:rsid w:val="001C3128"/>
    <w:rsid w:val="001C34F5"/>
    <w:rsid w:val="001C3527"/>
    <w:rsid w:val="001C3A2E"/>
    <w:rsid w:val="001C4138"/>
    <w:rsid w:val="001C43DC"/>
    <w:rsid w:val="001C4401"/>
    <w:rsid w:val="001C4EC4"/>
    <w:rsid w:val="001C5204"/>
    <w:rsid w:val="001C5B19"/>
    <w:rsid w:val="001C5EBE"/>
    <w:rsid w:val="001C65A3"/>
    <w:rsid w:val="001C660C"/>
    <w:rsid w:val="001C6949"/>
    <w:rsid w:val="001C7402"/>
    <w:rsid w:val="001C7526"/>
    <w:rsid w:val="001C7CCA"/>
    <w:rsid w:val="001C7F86"/>
    <w:rsid w:val="001D0002"/>
    <w:rsid w:val="001D0096"/>
    <w:rsid w:val="001D03D7"/>
    <w:rsid w:val="001D0CAD"/>
    <w:rsid w:val="001D116F"/>
    <w:rsid w:val="001D1648"/>
    <w:rsid w:val="001D1C8B"/>
    <w:rsid w:val="001D1FB6"/>
    <w:rsid w:val="001D2922"/>
    <w:rsid w:val="001D29AB"/>
    <w:rsid w:val="001D2D69"/>
    <w:rsid w:val="001D2F3B"/>
    <w:rsid w:val="001D30EB"/>
    <w:rsid w:val="001D3680"/>
    <w:rsid w:val="001D3DDB"/>
    <w:rsid w:val="001D3F45"/>
    <w:rsid w:val="001D46B0"/>
    <w:rsid w:val="001D4860"/>
    <w:rsid w:val="001D5303"/>
    <w:rsid w:val="001D5654"/>
    <w:rsid w:val="001D6361"/>
    <w:rsid w:val="001D7208"/>
    <w:rsid w:val="001D74DD"/>
    <w:rsid w:val="001D74FF"/>
    <w:rsid w:val="001D76D6"/>
    <w:rsid w:val="001D7CC0"/>
    <w:rsid w:val="001E022C"/>
    <w:rsid w:val="001E0A76"/>
    <w:rsid w:val="001E0A8F"/>
    <w:rsid w:val="001E0DB5"/>
    <w:rsid w:val="001E1F8E"/>
    <w:rsid w:val="001E29A9"/>
    <w:rsid w:val="001E29B0"/>
    <w:rsid w:val="001E30D4"/>
    <w:rsid w:val="001E30DF"/>
    <w:rsid w:val="001E3875"/>
    <w:rsid w:val="001E3B86"/>
    <w:rsid w:val="001E3CAA"/>
    <w:rsid w:val="001E3D2C"/>
    <w:rsid w:val="001E5BD4"/>
    <w:rsid w:val="001E6441"/>
    <w:rsid w:val="001E698B"/>
    <w:rsid w:val="001E6B5A"/>
    <w:rsid w:val="001E71AA"/>
    <w:rsid w:val="001E746D"/>
    <w:rsid w:val="001E7864"/>
    <w:rsid w:val="001E78EB"/>
    <w:rsid w:val="001E7FA7"/>
    <w:rsid w:val="001F015D"/>
    <w:rsid w:val="001F038F"/>
    <w:rsid w:val="001F0ABF"/>
    <w:rsid w:val="001F0AD0"/>
    <w:rsid w:val="001F0D05"/>
    <w:rsid w:val="001F0E67"/>
    <w:rsid w:val="001F17E6"/>
    <w:rsid w:val="001F187A"/>
    <w:rsid w:val="001F1FE6"/>
    <w:rsid w:val="001F21C8"/>
    <w:rsid w:val="001F23B5"/>
    <w:rsid w:val="001F27A0"/>
    <w:rsid w:val="001F2B9B"/>
    <w:rsid w:val="001F336E"/>
    <w:rsid w:val="001F3380"/>
    <w:rsid w:val="001F386C"/>
    <w:rsid w:val="001F38FE"/>
    <w:rsid w:val="001F3EF0"/>
    <w:rsid w:val="001F4293"/>
    <w:rsid w:val="001F43A4"/>
    <w:rsid w:val="001F475D"/>
    <w:rsid w:val="001F477A"/>
    <w:rsid w:val="001F4CC7"/>
    <w:rsid w:val="001F5362"/>
    <w:rsid w:val="001F560B"/>
    <w:rsid w:val="001F5CE3"/>
    <w:rsid w:val="001F5F0A"/>
    <w:rsid w:val="001F60EE"/>
    <w:rsid w:val="001F6527"/>
    <w:rsid w:val="001F6851"/>
    <w:rsid w:val="001F6AB1"/>
    <w:rsid w:val="001F76BD"/>
    <w:rsid w:val="00200031"/>
    <w:rsid w:val="002003BB"/>
    <w:rsid w:val="002003F7"/>
    <w:rsid w:val="0020084E"/>
    <w:rsid w:val="002009FE"/>
    <w:rsid w:val="00201792"/>
    <w:rsid w:val="002019B0"/>
    <w:rsid w:val="0020299E"/>
    <w:rsid w:val="00202A4B"/>
    <w:rsid w:val="00203036"/>
    <w:rsid w:val="002033F7"/>
    <w:rsid w:val="002035BC"/>
    <w:rsid w:val="002036A1"/>
    <w:rsid w:val="00203B41"/>
    <w:rsid w:val="00203E79"/>
    <w:rsid w:val="00204704"/>
    <w:rsid w:val="002048F5"/>
    <w:rsid w:val="00204A83"/>
    <w:rsid w:val="00204FDE"/>
    <w:rsid w:val="0020556A"/>
    <w:rsid w:val="00205950"/>
    <w:rsid w:val="00205C10"/>
    <w:rsid w:val="002061ED"/>
    <w:rsid w:val="00206A8E"/>
    <w:rsid w:val="00206CAA"/>
    <w:rsid w:val="0021052C"/>
    <w:rsid w:val="00210809"/>
    <w:rsid w:val="00210B7D"/>
    <w:rsid w:val="002110D0"/>
    <w:rsid w:val="00212019"/>
    <w:rsid w:val="0021250F"/>
    <w:rsid w:val="002125DC"/>
    <w:rsid w:val="0021267A"/>
    <w:rsid w:val="00212F74"/>
    <w:rsid w:val="002139F0"/>
    <w:rsid w:val="00213D55"/>
    <w:rsid w:val="00213E00"/>
    <w:rsid w:val="00214030"/>
    <w:rsid w:val="0021411A"/>
    <w:rsid w:val="00214545"/>
    <w:rsid w:val="002145F4"/>
    <w:rsid w:val="00214959"/>
    <w:rsid w:val="00214B2F"/>
    <w:rsid w:val="00215C01"/>
    <w:rsid w:val="00215E64"/>
    <w:rsid w:val="002160BB"/>
    <w:rsid w:val="00216204"/>
    <w:rsid w:val="002163BA"/>
    <w:rsid w:val="00216ECA"/>
    <w:rsid w:val="002172DD"/>
    <w:rsid w:val="00217382"/>
    <w:rsid w:val="0021779D"/>
    <w:rsid w:val="002177C7"/>
    <w:rsid w:val="00217CDD"/>
    <w:rsid w:val="002202F9"/>
    <w:rsid w:val="002206FF"/>
    <w:rsid w:val="0022102B"/>
    <w:rsid w:val="0022127D"/>
    <w:rsid w:val="00221321"/>
    <w:rsid w:val="0022171A"/>
    <w:rsid w:val="00222392"/>
    <w:rsid w:val="002225EF"/>
    <w:rsid w:val="00222855"/>
    <w:rsid w:val="0022292E"/>
    <w:rsid w:val="00222E39"/>
    <w:rsid w:val="002231CF"/>
    <w:rsid w:val="00223616"/>
    <w:rsid w:val="002238C3"/>
    <w:rsid w:val="0022438D"/>
    <w:rsid w:val="002244CE"/>
    <w:rsid w:val="00224B95"/>
    <w:rsid w:val="00224E87"/>
    <w:rsid w:val="00225036"/>
    <w:rsid w:val="00225396"/>
    <w:rsid w:val="0022557B"/>
    <w:rsid w:val="002258AA"/>
    <w:rsid w:val="0022612C"/>
    <w:rsid w:val="00226234"/>
    <w:rsid w:val="002269CF"/>
    <w:rsid w:val="0022765B"/>
    <w:rsid w:val="00227AD5"/>
    <w:rsid w:val="00230013"/>
    <w:rsid w:val="00230715"/>
    <w:rsid w:val="00230A67"/>
    <w:rsid w:val="00230E60"/>
    <w:rsid w:val="002310C6"/>
    <w:rsid w:val="002310EA"/>
    <w:rsid w:val="002315BC"/>
    <w:rsid w:val="0023175D"/>
    <w:rsid w:val="00231BBB"/>
    <w:rsid w:val="002321D8"/>
    <w:rsid w:val="00232C59"/>
    <w:rsid w:val="00232D68"/>
    <w:rsid w:val="00232ED6"/>
    <w:rsid w:val="00232EFB"/>
    <w:rsid w:val="00233028"/>
    <w:rsid w:val="00233291"/>
    <w:rsid w:val="00233402"/>
    <w:rsid w:val="00233496"/>
    <w:rsid w:val="002334DC"/>
    <w:rsid w:val="002339BE"/>
    <w:rsid w:val="002339DC"/>
    <w:rsid w:val="00233BD8"/>
    <w:rsid w:val="00234B1D"/>
    <w:rsid w:val="002354ED"/>
    <w:rsid w:val="00235A4B"/>
    <w:rsid w:val="00235B00"/>
    <w:rsid w:val="00235F17"/>
    <w:rsid w:val="00235FF3"/>
    <w:rsid w:val="0023688D"/>
    <w:rsid w:val="002370C1"/>
    <w:rsid w:val="002374D9"/>
    <w:rsid w:val="0023776D"/>
    <w:rsid w:val="00237C5F"/>
    <w:rsid w:val="00237FBE"/>
    <w:rsid w:val="002400FF"/>
    <w:rsid w:val="0024063D"/>
    <w:rsid w:val="002412FF"/>
    <w:rsid w:val="00241430"/>
    <w:rsid w:val="0024144D"/>
    <w:rsid w:val="00241BB4"/>
    <w:rsid w:val="00242250"/>
    <w:rsid w:val="002424CB"/>
    <w:rsid w:val="0024257E"/>
    <w:rsid w:val="00242910"/>
    <w:rsid w:val="0024293F"/>
    <w:rsid w:val="00242A77"/>
    <w:rsid w:val="00242AE5"/>
    <w:rsid w:val="00242E33"/>
    <w:rsid w:val="00243031"/>
    <w:rsid w:val="0024313A"/>
    <w:rsid w:val="00245410"/>
    <w:rsid w:val="00245999"/>
    <w:rsid w:val="00245D98"/>
    <w:rsid w:val="00245E30"/>
    <w:rsid w:val="002460BE"/>
    <w:rsid w:val="002464A9"/>
    <w:rsid w:val="002466CE"/>
    <w:rsid w:val="0024695D"/>
    <w:rsid w:val="00246DAD"/>
    <w:rsid w:val="00246E95"/>
    <w:rsid w:val="002473DF"/>
    <w:rsid w:val="002507B6"/>
    <w:rsid w:val="00251158"/>
    <w:rsid w:val="00251469"/>
    <w:rsid w:val="002514F2"/>
    <w:rsid w:val="00251E43"/>
    <w:rsid w:val="00251F07"/>
    <w:rsid w:val="00252812"/>
    <w:rsid w:val="002528E0"/>
    <w:rsid w:val="00252A06"/>
    <w:rsid w:val="00252F36"/>
    <w:rsid w:val="0025306F"/>
    <w:rsid w:val="002534A5"/>
    <w:rsid w:val="00253538"/>
    <w:rsid w:val="00253554"/>
    <w:rsid w:val="00253714"/>
    <w:rsid w:val="002539E6"/>
    <w:rsid w:val="00253B47"/>
    <w:rsid w:val="00253EF3"/>
    <w:rsid w:val="002545BE"/>
    <w:rsid w:val="00254874"/>
    <w:rsid w:val="0025487F"/>
    <w:rsid w:val="002548A8"/>
    <w:rsid w:val="002549C5"/>
    <w:rsid w:val="00255156"/>
    <w:rsid w:val="00255410"/>
    <w:rsid w:val="00255559"/>
    <w:rsid w:val="00255696"/>
    <w:rsid w:val="002556E0"/>
    <w:rsid w:val="002557D5"/>
    <w:rsid w:val="00256414"/>
    <w:rsid w:val="00256422"/>
    <w:rsid w:val="002564BC"/>
    <w:rsid w:val="00256C67"/>
    <w:rsid w:val="0025704E"/>
    <w:rsid w:val="002570D5"/>
    <w:rsid w:val="0025722D"/>
    <w:rsid w:val="00257C60"/>
    <w:rsid w:val="00260482"/>
    <w:rsid w:val="00260560"/>
    <w:rsid w:val="002605A2"/>
    <w:rsid w:val="00260ABA"/>
    <w:rsid w:val="00261510"/>
    <w:rsid w:val="00261CEB"/>
    <w:rsid w:val="002627ED"/>
    <w:rsid w:val="00262A9B"/>
    <w:rsid w:val="00262EEF"/>
    <w:rsid w:val="002633F3"/>
    <w:rsid w:val="0026344A"/>
    <w:rsid w:val="0026379D"/>
    <w:rsid w:val="002638F5"/>
    <w:rsid w:val="00263A2F"/>
    <w:rsid w:val="00263D71"/>
    <w:rsid w:val="00263E93"/>
    <w:rsid w:val="0026503B"/>
    <w:rsid w:val="00265054"/>
    <w:rsid w:val="002650D4"/>
    <w:rsid w:val="00265B2B"/>
    <w:rsid w:val="00265DBA"/>
    <w:rsid w:val="00265EF9"/>
    <w:rsid w:val="0026689A"/>
    <w:rsid w:val="002668B7"/>
    <w:rsid w:val="00266937"/>
    <w:rsid w:val="002669E3"/>
    <w:rsid w:val="00266C67"/>
    <w:rsid w:val="00266F09"/>
    <w:rsid w:val="002672DA"/>
    <w:rsid w:val="00267392"/>
    <w:rsid w:val="0026762A"/>
    <w:rsid w:val="00270042"/>
    <w:rsid w:val="00270103"/>
    <w:rsid w:val="002714D8"/>
    <w:rsid w:val="0027165D"/>
    <w:rsid w:val="002718D2"/>
    <w:rsid w:val="00271F14"/>
    <w:rsid w:val="0027264B"/>
    <w:rsid w:val="00273D4F"/>
    <w:rsid w:val="002745C8"/>
    <w:rsid w:val="002748CE"/>
    <w:rsid w:val="00274DF8"/>
    <w:rsid w:val="00274F54"/>
    <w:rsid w:val="00274FC6"/>
    <w:rsid w:val="002756B2"/>
    <w:rsid w:val="00275804"/>
    <w:rsid w:val="00275D60"/>
    <w:rsid w:val="00275EA5"/>
    <w:rsid w:val="002761B4"/>
    <w:rsid w:val="00276B00"/>
    <w:rsid w:val="00276D37"/>
    <w:rsid w:val="002772C3"/>
    <w:rsid w:val="002777F4"/>
    <w:rsid w:val="00280222"/>
    <w:rsid w:val="0028028E"/>
    <w:rsid w:val="0028095E"/>
    <w:rsid w:val="00281C36"/>
    <w:rsid w:val="00281CDB"/>
    <w:rsid w:val="00282064"/>
    <w:rsid w:val="0028211D"/>
    <w:rsid w:val="00282758"/>
    <w:rsid w:val="00282B04"/>
    <w:rsid w:val="00282FFB"/>
    <w:rsid w:val="00284464"/>
    <w:rsid w:val="002847BB"/>
    <w:rsid w:val="00284B3F"/>
    <w:rsid w:val="00284FD8"/>
    <w:rsid w:val="00285483"/>
    <w:rsid w:val="00285503"/>
    <w:rsid w:val="00285B71"/>
    <w:rsid w:val="00285E4C"/>
    <w:rsid w:val="002866EF"/>
    <w:rsid w:val="00287034"/>
    <w:rsid w:val="00287363"/>
    <w:rsid w:val="0028738D"/>
    <w:rsid w:val="00287A3A"/>
    <w:rsid w:val="00287AEC"/>
    <w:rsid w:val="002902DE"/>
    <w:rsid w:val="00290414"/>
    <w:rsid w:val="002906F9"/>
    <w:rsid w:val="00290C80"/>
    <w:rsid w:val="00290CDE"/>
    <w:rsid w:val="00290EEC"/>
    <w:rsid w:val="002921EB"/>
    <w:rsid w:val="00292504"/>
    <w:rsid w:val="00292CE2"/>
    <w:rsid w:val="00293524"/>
    <w:rsid w:val="00293878"/>
    <w:rsid w:val="002938D7"/>
    <w:rsid w:val="002947BA"/>
    <w:rsid w:val="00294942"/>
    <w:rsid w:val="00294948"/>
    <w:rsid w:val="00294AE3"/>
    <w:rsid w:val="00294B77"/>
    <w:rsid w:val="00294FBC"/>
    <w:rsid w:val="0029515E"/>
    <w:rsid w:val="002953DA"/>
    <w:rsid w:val="00295953"/>
    <w:rsid w:val="00295E24"/>
    <w:rsid w:val="00295E9D"/>
    <w:rsid w:val="00295F1A"/>
    <w:rsid w:val="00295FE4"/>
    <w:rsid w:val="00296863"/>
    <w:rsid w:val="00297307"/>
    <w:rsid w:val="00297460"/>
    <w:rsid w:val="00297541"/>
    <w:rsid w:val="0029770E"/>
    <w:rsid w:val="002979E6"/>
    <w:rsid w:val="00297C81"/>
    <w:rsid w:val="00297D8D"/>
    <w:rsid w:val="00297ECD"/>
    <w:rsid w:val="002A009A"/>
    <w:rsid w:val="002A0336"/>
    <w:rsid w:val="002A0457"/>
    <w:rsid w:val="002A0C77"/>
    <w:rsid w:val="002A0EDF"/>
    <w:rsid w:val="002A1A93"/>
    <w:rsid w:val="002A1D5D"/>
    <w:rsid w:val="002A20D6"/>
    <w:rsid w:val="002A2A10"/>
    <w:rsid w:val="002A2F1E"/>
    <w:rsid w:val="002A2F6F"/>
    <w:rsid w:val="002A30F3"/>
    <w:rsid w:val="002A326D"/>
    <w:rsid w:val="002A34A3"/>
    <w:rsid w:val="002A353C"/>
    <w:rsid w:val="002A393D"/>
    <w:rsid w:val="002A3C61"/>
    <w:rsid w:val="002A449B"/>
    <w:rsid w:val="002A4714"/>
    <w:rsid w:val="002A4C3B"/>
    <w:rsid w:val="002A4C4E"/>
    <w:rsid w:val="002A582D"/>
    <w:rsid w:val="002A58CA"/>
    <w:rsid w:val="002A600D"/>
    <w:rsid w:val="002A66B6"/>
    <w:rsid w:val="002A6864"/>
    <w:rsid w:val="002A6973"/>
    <w:rsid w:val="002A6A65"/>
    <w:rsid w:val="002A6B1F"/>
    <w:rsid w:val="002A6F16"/>
    <w:rsid w:val="002A73BC"/>
    <w:rsid w:val="002A73C3"/>
    <w:rsid w:val="002A752D"/>
    <w:rsid w:val="002A7740"/>
    <w:rsid w:val="002A7827"/>
    <w:rsid w:val="002A79D6"/>
    <w:rsid w:val="002B0F58"/>
    <w:rsid w:val="002B1414"/>
    <w:rsid w:val="002B144E"/>
    <w:rsid w:val="002B191C"/>
    <w:rsid w:val="002B2087"/>
    <w:rsid w:val="002B23A4"/>
    <w:rsid w:val="002B2485"/>
    <w:rsid w:val="002B2FA0"/>
    <w:rsid w:val="002B3250"/>
    <w:rsid w:val="002B3436"/>
    <w:rsid w:val="002B36DF"/>
    <w:rsid w:val="002B3873"/>
    <w:rsid w:val="002B3DBC"/>
    <w:rsid w:val="002B46AA"/>
    <w:rsid w:val="002B47F2"/>
    <w:rsid w:val="002B49F5"/>
    <w:rsid w:val="002B4E24"/>
    <w:rsid w:val="002B5078"/>
    <w:rsid w:val="002B52D8"/>
    <w:rsid w:val="002B56A3"/>
    <w:rsid w:val="002B5779"/>
    <w:rsid w:val="002B5C12"/>
    <w:rsid w:val="002B61C4"/>
    <w:rsid w:val="002B6D97"/>
    <w:rsid w:val="002B72BC"/>
    <w:rsid w:val="002B75BF"/>
    <w:rsid w:val="002B7F4C"/>
    <w:rsid w:val="002C01C5"/>
    <w:rsid w:val="002C0214"/>
    <w:rsid w:val="002C054C"/>
    <w:rsid w:val="002C05E7"/>
    <w:rsid w:val="002C09E2"/>
    <w:rsid w:val="002C0F9D"/>
    <w:rsid w:val="002C11B1"/>
    <w:rsid w:val="002C1931"/>
    <w:rsid w:val="002C1A6B"/>
    <w:rsid w:val="002C22E6"/>
    <w:rsid w:val="002C2368"/>
    <w:rsid w:val="002C2589"/>
    <w:rsid w:val="002C28A3"/>
    <w:rsid w:val="002C293E"/>
    <w:rsid w:val="002C2E77"/>
    <w:rsid w:val="002C2EB2"/>
    <w:rsid w:val="002C337D"/>
    <w:rsid w:val="002C34C9"/>
    <w:rsid w:val="002C3756"/>
    <w:rsid w:val="002C3D12"/>
    <w:rsid w:val="002C3FB9"/>
    <w:rsid w:val="002C447F"/>
    <w:rsid w:val="002C4DC4"/>
    <w:rsid w:val="002C4FC3"/>
    <w:rsid w:val="002C512E"/>
    <w:rsid w:val="002C5170"/>
    <w:rsid w:val="002C5265"/>
    <w:rsid w:val="002C58E1"/>
    <w:rsid w:val="002C5F3F"/>
    <w:rsid w:val="002C5F85"/>
    <w:rsid w:val="002C6170"/>
    <w:rsid w:val="002C63B7"/>
    <w:rsid w:val="002C65D0"/>
    <w:rsid w:val="002C6B55"/>
    <w:rsid w:val="002C70C6"/>
    <w:rsid w:val="002C7684"/>
    <w:rsid w:val="002D0558"/>
    <w:rsid w:val="002D08D4"/>
    <w:rsid w:val="002D0AD6"/>
    <w:rsid w:val="002D1041"/>
    <w:rsid w:val="002D19B8"/>
    <w:rsid w:val="002D2D77"/>
    <w:rsid w:val="002D302A"/>
    <w:rsid w:val="002D30EC"/>
    <w:rsid w:val="002D3109"/>
    <w:rsid w:val="002D31C8"/>
    <w:rsid w:val="002D3AFC"/>
    <w:rsid w:val="002D3F72"/>
    <w:rsid w:val="002D44D1"/>
    <w:rsid w:val="002D4820"/>
    <w:rsid w:val="002D49AA"/>
    <w:rsid w:val="002D4B63"/>
    <w:rsid w:val="002D4BC0"/>
    <w:rsid w:val="002D4D8E"/>
    <w:rsid w:val="002D4F84"/>
    <w:rsid w:val="002D5151"/>
    <w:rsid w:val="002D52B8"/>
    <w:rsid w:val="002D537A"/>
    <w:rsid w:val="002D561C"/>
    <w:rsid w:val="002D572A"/>
    <w:rsid w:val="002D5B71"/>
    <w:rsid w:val="002D5FF5"/>
    <w:rsid w:val="002D658F"/>
    <w:rsid w:val="002D6B45"/>
    <w:rsid w:val="002D7D7B"/>
    <w:rsid w:val="002D7FC9"/>
    <w:rsid w:val="002E014D"/>
    <w:rsid w:val="002E0324"/>
    <w:rsid w:val="002E0477"/>
    <w:rsid w:val="002E0746"/>
    <w:rsid w:val="002E17D0"/>
    <w:rsid w:val="002E1FDF"/>
    <w:rsid w:val="002E2F7E"/>
    <w:rsid w:val="002E3046"/>
    <w:rsid w:val="002E3052"/>
    <w:rsid w:val="002E313C"/>
    <w:rsid w:val="002E318F"/>
    <w:rsid w:val="002E387C"/>
    <w:rsid w:val="002E3FC2"/>
    <w:rsid w:val="002E4154"/>
    <w:rsid w:val="002E4753"/>
    <w:rsid w:val="002E49D3"/>
    <w:rsid w:val="002E4F8B"/>
    <w:rsid w:val="002E5032"/>
    <w:rsid w:val="002E57F3"/>
    <w:rsid w:val="002E5B81"/>
    <w:rsid w:val="002E5C7C"/>
    <w:rsid w:val="002E6275"/>
    <w:rsid w:val="002E66D3"/>
    <w:rsid w:val="002E67BC"/>
    <w:rsid w:val="002E75C5"/>
    <w:rsid w:val="002E771C"/>
    <w:rsid w:val="002E7748"/>
    <w:rsid w:val="002E7B41"/>
    <w:rsid w:val="002E7D7E"/>
    <w:rsid w:val="002F0403"/>
    <w:rsid w:val="002F042C"/>
    <w:rsid w:val="002F0F38"/>
    <w:rsid w:val="002F10C5"/>
    <w:rsid w:val="002F113C"/>
    <w:rsid w:val="002F120A"/>
    <w:rsid w:val="002F1212"/>
    <w:rsid w:val="002F1683"/>
    <w:rsid w:val="002F17A3"/>
    <w:rsid w:val="002F1844"/>
    <w:rsid w:val="002F1D30"/>
    <w:rsid w:val="002F1F40"/>
    <w:rsid w:val="002F206B"/>
    <w:rsid w:val="002F281C"/>
    <w:rsid w:val="002F2C0C"/>
    <w:rsid w:val="002F2D51"/>
    <w:rsid w:val="002F3290"/>
    <w:rsid w:val="002F32A5"/>
    <w:rsid w:val="002F4057"/>
    <w:rsid w:val="002F5097"/>
    <w:rsid w:val="002F5395"/>
    <w:rsid w:val="002F53B3"/>
    <w:rsid w:val="002F555B"/>
    <w:rsid w:val="002F610C"/>
    <w:rsid w:val="002F617D"/>
    <w:rsid w:val="002F624D"/>
    <w:rsid w:val="002F6991"/>
    <w:rsid w:val="002F69A6"/>
    <w:rsid w:val="002F6D8C"/>
    <w:rsid w:val="002F701F"/>
    <w:rsid w:val="002F71F2"/>
    <w:rsid w:val="002F78BF"/>
    <w:rsid w:val="002F7C43"/>
    <w:rsid w:val="003001F6"/>
    <w:rsid w:val="003006C4"/>
    <w:rsid w:val="00301224"/>
    <w:rsid w:val="00301363"/>
    <w:rsid w:val="003015AE"/>
    <w:rsid w:val="003018DD"/>
    <w:rsid w:val="00302401"/>
    <w:rsid w:val="003030D3"/>
    <w:rsid w:val="00303124"/>
    <w:rsid w:val="00303328"/>
    <w:rsid w:val="0030350A"/>
    <w:rsid w:val="00303902"/>
    <w:rsid w:val="00303C58"/>
    <w:rsid w:val="003047CA"/>
    <w:rsid w:val="00304CA1"/>
    <w:rsid w:val="00305329"/>
    <w:rsid w:val="003053D2"/>
    <w:rsid w:val="00305AEE"/>
    <w:rsid w:val="00305EAA"/>
    <w:rsid w:val="003065C9"/>
    <w:rsid w:val="00306A4E"/>
    <w:rsid w:val="0030729B"/>
    <w:rsid w:val="00307B75"/>
    <w:rsid w:val="00307C75"/>
    <w:rsid w:val="00307CF7"/>
    <w:rsid w:val="00307E13"/>
    <w:rsid w:val="00310151"/>
    <w:rsid w:val="003102E1"/>
    <w:rsid w:val="003105A5"/>
    <w:rsid w:val="00310A44"/>
    <w:rsid w:val="00310E8D"/>
    <w:rsid w:val="00311A7D"/>
    <w:rsid w:val="003124FF"/>
    <w:rsid w:val="00312E43"/>
    <w:rsid w:val="0031356D"/>
    <w:rsid w:val="00313575"/>
    <w:rsid w:val="00313B6A"/>
    <w:rsid w:val="00313BFA"/>
    <w:rsid w:val="00313CB5"/>
    <w:rsid w:val="00313E0F"/>
    <w:rsid w:val="00314DEC"/>
    <w:rsid w:val="00314F51"/>
    <w:rsid w:val="00315612"/>
    <w:rsid w:val="00316252"/>
    <w:rsid w:val="003167DD"/>
    <w:rsid w:val="0031697F"/>
    <w:rsid w:val="00316BB5"/>
    <w:rsid w:val="0031738D"/>
    <w:rsid w:val="003173A2"/>
    <w:rsid w:val="00317667"/>
    <w:rsid w:val="00317CD7"/>
    <w:rsid w:val="00317CF7"/>
    <w:rsid w:val="00317D95"/>
    <w:rsid w:val="00320FF9"/>
    <w:rsid w:val="00321216"/>
    <w:rsid w:val="003213C7"/>
    <w:rsid w:val="00321906"/>
    <w:rsid w:val="00322537"/>
    <w:rsid w:val="00322565"/>
    <w:rsid w:val="003225A9"/>
    <w:rsid w:val="0032297E"/>
    <w:rsid w:val="00322BF6"/>
    <w:rsid w:val="00323138"/>
    <w:rsid w:val="003235D0"/>
    <w:rsid w:val="003239E9"/>
    <w:rsid w:val="00323BDE"/>
    <w:rsid w:val="00323DAF"/>
    <w:rsid w:val="00324405"/>
    <w:rsid w:val="0032441C"/>
    <w:rsid w:val="00325369"/>
    <w:rsid w:val="00325406"/>
    <w:rsid w:val="00325791"/>
    <w:rsid w:val="003257C5"/>
    <w:rsid w:val="00325C7D"/>
    <w:rsid w:val="00326236"/>
    <w:rsid w:val="003268E4"/>
    <w:rsid w:val="00326A33"/>
    <w:rsid w:val="003278D0"/>
    <w:rsid w:val="00327A8B"/>
    <w:rsid w:val="00327D4F"/>
    <w:rsid w:val="003302F4"/>
    <w:rsid w:val="00330AD3"/>
    <w:rsid w:val="00330DDE"/>
    <w:rsid w:val="00330F77"/>
    <w:rsid w:val="00331149"/>
    <w:rsid w:val="003311CC"/>
    <w:rsid w:val="003312DC"/>
    <w:rsid w:val="003318E2"/>
    <w:rsid w:val="00331B25"/>
    <w:rsid w:val="00331D6E"/>
    <w:rsid w:val="0033291D"/>
    <w:rsid w:val="00332A00"/>
    <w:rsid w:val="00332DD4"/>
    <w:rsid w:val="0033316E"/>
    <w:rsid w:val="00333249"/>
    <w:rsid w:val="00333328"/>
    <w:rsid w:val="00333486"/>
    <w:rsid w:val="0033360B"/>
    <w:rsid w:val="00333904"/>
    <w:rsid w:val="00333942"/>
    <w:rsid w:val="00333D3B"/>
    <w:rsid w:val="00333F63"/>
    <w:rsid w:val="003341E1"/>
    <w:rsid w:val="00334481"/>
    <w:rsid w:val="00334992"/>
    <w:rsid w:val="00334B62"/>
    <w:rsid w:val="00334C31"/>
    <w:rsid w:val="003350A7"/>
    <w:rsid w:val="00335D43"/>
    <w:rsid w:val="0033627C"/>
    <w:rsid w:val="003364F3"/>
    <w:rsid w:val="00336526"/>
    <w:rsid w:val="003370C2"/>
    <w:rsid w:val="003374B5"/>
    <w:rsid w:val="00337664"/>
    <w:rsid w:val="0033786B"/>
    <w:rsid w:val="003379B4"/>
    <w:rsid w:val="00337EE4"/>
    <w:rsid w:val="00340204"/>
    <w:rsid w:val="003417E5"/>
    <w:rsid w:val="00341D48"/>
    <w:rsid w:val="00342025"/>
    <w:rsid w:val="003434FD"/>
    <w:rsid w:val="00343D5D"/>
    <w:rsid w:val="00343DFA"/>
    <w:rsid w:val="00343FC3"/>
    <w:rsid w:val="003441B5"/>
    <w:rsid w:val="00344B14"/>
    <w:rsid w:val="00344BB1"/>
    <w:rsid w:val="0034503A"/>
    <w:rsid w:val="003450F8"/>
    <w:rsid w:val="003451C7"/>
    <w:rsid w:val="00345C33"/>
    <w:rsid w:val="003465AF"/>
    <w:rsid w:val="003466E0"/>
    <w:rsid w:val="00346F11"/>
    <w:rsid w:val="00346F54"/>
    <w:rsid w:val="003470B7"/>
    <w:rsid w:val="00347237"/>
    <w:rsid w:val="00347998"/>
    <w:rsid w:val="00347C86"/>
    <w:rsid w:val="00347CF1"/>
    <w:rsid w:val="00347E24"/>
    <w:rsid w:val="00347FEA"/>
    <w:rsid w:val="003506FD"/>
    <w:rsid w:val="003508E1"/>
    <w:rsid w:val="003510C9"/>
    <w:rsid w:val="00351245"/>
    <w:rsid w:val="0035125C"/>
    <w:rsid w:val="00351557"/>
    <w:rsid w:val="003516EA"/>
    <w:rsid w:val="00351CB7"/>
    <w:rsid w:val="003520E3"/>
    <w:rsid w:val="003529E3"/>
    <w:rsid w:val="00352EF1"/>
    <w:rsid w:val="00352F57"/>
    <w:rsid w:val="00352FB6"/>
    <w:rsid w:val="00353106"/>
    <w:rsid w:val="00353139"/>
    <w:rsid w:val="003535C4"/>
    <w:rsid w:val="00353B97"/>
    <w:rsid w:val="00353C62"/>
    <w:rsid w:val="00354183"/>
    <w:rsid w:val="0035424F"/>
    <w:rsid w:val="00354397"/>
    <w:rsid w:val="003543B1"/>
    <w:rsid w:val="003548E7"/>
    <w:rsid w:val="00354ACD"/>
    <w:rsid w:val="00354D11"/>
    <w:rsid w:val="00354F34"/>
    <w:rsid w:val="003552AC"/>
    <w:rsid w:val="00355462"/>
    <w:rsid w:val="00355815"/>
    <w:rsid w:val="00355940"/>
    <w:rsid w:val="00355CB0"/>
    <w:rsid w:val="00356630"/>
    <w:rsid w:val="00357CA2"/>
    <w:rsid w:val="00357F60"/>
    <w:rsid w:val="00357FA0"/>
    <w:rsid w:val="003601AF"/>
    <w:rsid w:val="003606FE"/>
    <w:rsid w:val="00361739"/>
    <w:rsid w:val="00361A1E"/>
    <w:rsid w:val="00361F7D"/>
    <w:rsid w:val="00362386"/>
    <w:rsid w:val="00362502"/>
    <w:rsid w:val="00362A5E"/>
    <w:rsid w:val="00362EA2"/>
    <w:rsid w:val="0036339C"/>
    <w:rsid w:val="003639B1"/>
    <w:rsid w:val="003639B8"/>
    <w:rsid w:val="00363E4B"/>
    <w:rsid w:val="0036430A"/>
    <w:rsid w:val="0036466F"/>
    <w:rsid w:val="0036472C"/>
    <w:rsid w:val="003648CF"/>
    <w:rsid w:val="003649EF"/>
    <w:rsid w:val="00364D94"/>
    <w:rsid w:val="00365110"/>
    <w:rsid w:val="003656D5"/>
    <w:rsid w:val="003656E3"/>
    <w:rsid w:val="00365B58"/>
    <w:rsid w:val="00366314"/>
    <w:rsid w:val="00366414"/>
    <w:rsid w:val="003666EF"/>
    <w:rsid w:val="00366E5E"/>
    <w:rsid w:val="00366FDC"/>
    <w:rsid w:val="00367228"/>
    <w:rsid w:val="0036738E"/>
    <w:rsid w:val="00367ABE"/>
    <w:rsid w:val="00367BEA"/>
    <w:rsid w:val="00370428"/>
    <w:rsid w:val="003712F0"/>
    <w:rsid w:val="003713B4"/>
    <w:rsid w:val="003719FE"/>
    <w:rsid w:val="00371DFB"/>
    <w:rsid w:val="0037269C"/>
    <w:rsid w:val="003727DE"/>
    <w:rsid w:val="00372D06"/>
    <w:rsid w:val="00372DDE"/>
    <w:rsid w:val="003738D3"/>
    <w:rsid w:val="003739EB"/>
    <w:rsid w:val="00373B8F"/>
    <w:rsid w:val="003740E5"/>
    <w:rsid w:val="003744AB"/>
    <w:rsid w:val="00374570"/>
    <w:rsid w:val="003747EB"/>
    <w:rsid w:val="00374B0C"/>
    <w:rsid w:val="00374DF2"/>
    <w:rsid w:val="00374FF2"/>
    <w:rsid w:val="0037530F"/>
    <w:rsid w:val="003754D2"/>
    <w:rsid w:val="00375BF0"/>
    <w:rsid w:val="00375C8D"/>
    <w:rsid w:val="00375D09"/>
    <w:rsid w:val="00376110"/>
    <w:rsid w:val="00376144"/>
    <w:rsid w:val="003763ED"/>
    <w:rsid w:val="00376588"/>
    <w:rsid w:val="00376967"/>
    <w:rsid w:val="00376CFB"/>
    <w:rsid w:val="0037737B"/>
    <w:rsid w:val="00377BD2"/>
    <w:rsid w:val="003800F6"/>
    <w:rsid w:val="003801FE"/>
    <w:rsid w:val="00380B11"/>
    <w:rsid w:val="00380E82"/>
    <w:rsid w:val="00380EF8"/>
    <w:rsid w:val="0038136D"/>
    <w:rsid w:val="003814F2"/>
    <w:rsid w:val="003819A3"/>
    <w:rsid w:val="00381A09"/>
    <w:rsid w:val="00381E4A"/>
    <w:rsid w:val="00381FBC"/>
    <w:rsid w:val="0038289F"/>
    <w:rsid w:val="003829B8"/>
    <w:rsid w:val="00383F79"/>
    <w:rsid w:val="0038432F"/>
    <w:rsid w:val="0038439B"/>
    <w:rsid w:val="0038466D"/>
    <w:rsid w:val="003854A6"/>
    <w:rsid w:val="00385AD7"/>
    <w:rsid w:val="00385C7B"/>
    <w:rsid w:val="00385CD9"/>
    <w:rsid w:val="003860A7"/>
    <w:rsid w:val="0038664F"/>
    <w:rsid w:val="00386765"/>
    <w:rsid w:val="00386CA7"/>
    <w:rsid w:val="0038730F"/>
    <w:rsid w:val="00387541"/>
    <w:rsid w:val="003879BD"/>
    <w:rsid w:val="00387D79"/>
    <w:rsid w:val="003902F3"/>
    <w:rsid w:val="0039039F"/>
    <w:rsid w:val="00390417"/>
    <w:rsid w:val="0039084C"/>
    <w:rsid w:val="00390852"/>
    <w:rsid w:val="00390E36"/>
    <w:rsid w:val="00391508"/>
    <w:rsid w:val="00391AAB"/>
    <w:rsid w:val="00391DCB"/>
    <w:rsid w:val="00391FB0"/>
    <w:rsid w:val="00392773"/>
    <w:rsid w:val="0039306F"/>
    <w:rsid w:val="003938B1"/>
    <w:rsid w:val="00394032"/>
    <w:rsid w:val="00394054"/>
    <w:rsid w:val="00394825"/>
    <w:rsid w:val="00395519"/>
    <w:rsid w:val="003955DA"/>
    <w:rsid w:val="00395AE8"/>
    <w:rsid w:val="00396090"/>
    <w:rsid w:val="003963D6"/>
    <w:rsid w:val="0039646B"/>
    <w:rsid w:val="00396917"/>
    <w:rsid w:val="00396950"/>
    <w:rsid w:val="0039707C"/>
    <w:rsid w:val="003970C8"/>
    <w:rsid w:val="00397455"/>
    <w:rsid w:val="00397D0B"/>
    <w:rsid w:val="003A0043"/>
    <w:rsid w:val="003A07C2"/>
    <w:rsid w:val="003A0E71"/>
    <w:rsid w:val="003A1100"/>
    <w:rsid w:val="003A1716"/>
    <w:rsid w:val="003A2106"/>
    <w:rsid w:val="003A3193"/>
    <w:rsid w:val="003A33F7"/>
    <w:rsid w:val="003A34C4"/>
    <w:rsid w:val="003A3791"/>
    <w:rsid w:val="003A3F76"/>
    <w:rsid w:val="003A43BD"/>
    <w:rsid w:val="003A4449"/>
    <w:rsid w:val="003A47A1"/>
    <w:rsid w:val="003A4873"/>
    <w:rsid w:val="003A4909"/>
    <w:rsid w:val="003A4B10"/>
    <w:rsid w:val="003A4B15"/>
    <w:rsid w:val="003A517C"/>
    <w:rsid w:val="003A5B40"/>
    <w:rsid w:val="003A66EE"/>
    <w:rsid w:val="003A7591"/>
    <w:rsid w:val="003B015D"/>
    <w:rsid w:val="003B1017"/>
    <w:rsid w:val="003B16A8"/>
    <w:rsid w:val="003B18F2"/>
    <w:rsid w:val="003B1EEC"/>
    <w:rsid w:val="003B20D6"/>
    <w:rsid w:val="003B2209"/>
    <w:rsid w:val="003B29B0"/>
    <w:rsid w:val="003B307C"/>
    <w:rsid w:val="003B30D2"/>
    <w:rsid w:val="003B33AC"/>
    <w:rsid w:val="003B33D6"/>
    <w:rsid w:val="003B3599"/>
    <w:rsid w:val="003B380A"/>
    <w:rsid w:val="003B3C1A"/>
    <w:rsid w:val="003B457B"/>
    <w:rsid w:val="003B4AA5"/>
    <w:rsid w:val="003B564A"/>
    <w:rsid w:val="003B5985"/>
    <w:rsid w:val="003B5F9B"/>
    <w:rsid w:val="003B6301"/>
    <w:rsid w:val="003B660C"/>
    <w:rsid w:val="003B6822"/>
    <w:rsid w:val="003B691D"/>
    <w:rsid w:val="003B7A50"/>
    <w:rsid w:val="003B7CCC"/>
    <w:rsid w:val="003B7DA1"/>
    <w:rsid w:val="003C0081"/>
    <w:rsid w:val="003C0451"/>
    <w:rsid w:val="003C11F6"/>
    <w:rsid w:val="003C246F"/>
    <w:rsid w:val="003C293B"/>
    <w:rsid w:val="003C2A32"/>
    <w:rsid w:val="003C2BE6"/>
    <w:rsid w:val="003C3048"/>
    <w:rsid w:val="003C3629"/>
    <w:rsid w:val="003C3878"/>
    <w:rsid w:val="003C4081"/>
    <w:rsid w:val="003C4380"/>
    <w:rsid w:val="003C4610"/>
    <w:rsid w:val="003C4725"/>
    <w:rsid w:val="003C4875"/>
    <w:rsid w:val="003C49AB"/>
    <w:rsid w:val="003C4A33"/>
    <w:rsid w:val="003C4AD0"/>
    <w:rsid w:val="003C5B29"/>
    <w:rsid w:val="003C5B72"/>
    <w:rsid w:val="003C5C0D"/>
    <w:rsid w:val="003C5CCB"/>
    <w:rsid w:val="003C61CB"/>
    <w:rsid w:val="003C64CC"/>
    <w:rsid w:val="003C658C"/>
    <w:rsid w:val="003C661E"/>
    <w:rsid w:val="003C6AF0"/>
    <w:rsid w:val="003C6C87"/>
    <w:rsid w:val="003C71B4"/>
    <w:rsid w:val="003C78CF"/>
    <w:rsid w:val="003C7EED"/>
    <w:rsid w:val="003C7F47"/>
    <w:rsid w:val="003D0DB4"/>
    <w:rsid w:val="003D0F0D"/>
    <w:rsid w:val="003D0F9B"/>
    <w:rsid w:val="003D12A2"/>
    <w:rsid w:val="003D1AF0"/>
    <w:rsid w:val="003D1BA8"/>
    <w:rsid w:val="003D1D46"/>
    <w:rsid w:val="003D2962"/>
    <w:rsid w:val="003D3204"/>
    <w:rsid w:val="003D38C6"/>
    <w:rsid w:val="003D3BFC"/>
    <w:rsid w:val="003D3F4D"/>
    <w:rsid w:val="003D42C6"/>
    <w:rsid w:val="003D45CE"/>
    <w:rsid w:val="003D4745"/>
    <w:rsid w:val="003D4A84"/>
    <w:rsid w:val="003D52B2"/>
    <w:rsid w:val="003D55E2"/>
    <w:rsid w:val="003D578B"/>
    <w:rsid w:val="003D5D3C"/>
    <w:rsid w:val="003D5DF0"/>
    <w:rsid w:val="003D6314"/>
    <w:rsid w:val="003D64A0"/>
    <w:rsid w:val="003D6A45"/>
    <w:rsid w:val="003D6C52"/>
    <w:rsid w:val="003D6E78"/>
    <w:rsid w:val="003D7090"/>
    <w:rsid w:val="003D70AA"/>
    <w:rsid w:val="003D726C"/>
    <w:rsid w:val="003D79FF"/>
    <w:rsid w:val="003D7A1A"/>
    <w:rsid w:val="003D7C48"/>
    <w:rsid w:val="003E02D6"/>
    <w:rsid w:val="003E0320"/>
    <w:rsid w:val="003E066C"/>
    <w:rsid w:val="003E0847"/>
    <w:rsid w:val="003E0927"/>
    <w:rsid w:val="003E1484"/>
    <w:rsid w:val="003E15BC"/>
    <w:rsid w:val="003E1940"/>
    <w:rsid w:val="003E1B81"/>
    <w:rsid w:val="003E1D24"/>
    <w:rsid w:val="003E2098"/>
    <w:rsid w:val="003E2703"/>
    <w:rsid w:val="003E28FB"/>
    <w:rsid w:val="003E2C0F"/>
    <w:rsid w:val="003E2EDE"/>
    <w:rsid w:val="003E4070"/>
    <w:rsid w:val="003E4542"/>
    <w:rsid w:val="003E4628"/>
    <w:rsid w:val="003E4D83"/>
    <w:rsid w:val="003E4DD2"/>
    <w:rsid w:val="003E50C1"/>
    <w:rsid w:val="003E54BE"/>
    <w:rsid w:val="003E65BC"/>
    <w:rsid w:val="003E6864"/>
    <w:rsid w:val="003E6FA2"/>
    <w:rsid w:val="003E72D9"/>
    <w:rsid w:val="003E74AF"/>
    <w:rsid w:val="003E7BBC"/>
    <w:rsid w:val="003E7CD9"/>
    <w:rsid w:val="003F01A6"/>
    <w:rsid w:val="003F0B6C"/>
    <w:rsid w:val="003F0D13"/>
    <w:rsid w:val="003F0D83"/>
    <w:rsid w:val="003F0EE2"/>
    <w:rsid w:val="003F1084"/>
    <w:rsid w:val="003F1354"/>
    <w:rsid w:val="003F14F0"/>
    <w:rsid w:val="003F2554"/>
    <w:rsid w:val="003F25F9"/>
    <w:rsid w:val="003F2838"/>
    <w:rsid w:val="003F2888"/>
    <w:rsid w:val="003F2A62"/>
    <w:rsid w:val="003F3136"/>
    <w:rsid w:val="003F3162"/>
    <w:rsid w:val="003F3733"/>
    <w:rsid w:val="003F390C"/>
    <w:rsid w:val="003F3E1B"/>
    <w:rsid w:val="003F3E24"/>
    <w:rsid w:val="003F3EF9"/>
    <w:rsid w:val="003F41B7"/>
    <w:rsid w:val="003F45A2"/>
    <w:rsid w:val="003F5590"/>
    <w:rsid w:val="003F5953"/>
    <w:rsid w:val="003F5A32"/>
    <w:rsid w:val="003F6015"/>
    <w:rsid w:val="003F63F4"/>
    <w:rsid w:val="003F6556"/>
    <w:rsid w:val="003F6F33"/>
    <w:rsid w:val="003F7080"/>
    <w:rsid w:val="003F7156"/>
    <w:rsid w:val="003F71F4"/>
    <w:rsid w:val="003F76F5"/>
    <w:rsid w:val="003F7E57"/>
    <w:rsid w:val="00400260"/>
    <w:rsid w:val="00400C9E"/>
    <w:rsid w:val="00400FFA"/>
    <w:rsid w:val="004010BE"/>
    <w:rsid w:val="004010DF"/>
    <w:rsid w:val="004017F9"/>
    <w:rsid w:val="004018C4"/>
    <w:rsid w:val="00401BC6"/>
    <w:rsid w:val="00402033"/>
    <w:rsid w:val="004020B3"/>
    <w:rsid w:val="00402499"/>
    <w:rsid w:val="00402C17"/>
    <w:rsid w:val="00403863"/>
    <w:rsid w:val="00403FDA"/>
    <w:rsid w:val="004041A1"/>
    <w:rsid w:val="004042BD"/>
    <w:rsid w:val="004044DE"/>
    <w:rsid w:val="0040486B"/>
    <w:rsid w:val="00404A53"/>
    <w:rsid w:val="00405320"/>
    <w:rsid w:val="00405721"/>
    <w:rsid w:val="0040574A"/>
    <w:rsid w:val="00405A39"/>
    <w:rsid w:val="00405C74"/>
    <w:rsid w:val="00406504"/>
    <w:rsid w:val="00406C79"/>
    <w:rsid w:val="004072A9"/>
    <w:rsid w:val="00407832"/>
    <w:rsid w:val="004079FA"/>
    <w:rsid w:val="00407AF1"/>
    <w:rsid w:val="00407C13"/>
    <w:rsid w:val="00407D85"/>
    <w:rsid w:val="00410453"/>
    <w:rsid w:val="004109EF"/>
    <w:rsid w:val="00410AA3"/>
    <w:rsid w:val="00411535"/>
    <w:rsid w:val="004115AA"/>
    <w:rsid w:val="0041185C"/>
    <w:rsid w:val="004119B7"/>
    <w:rsid w:val="00411C66"/>
    <w:rsid w:val="0041221A"/>
    <w:rsid w:val="0041296D"/>
    <w:rsid w:val="00412D41"/>
    <w:rsid w:val="00412EC1"/>
    <w:rsid w:val="0041313A"/>
    <w:rsid w:val="004133ED"/>
    <w:rsid w:val="004134E0"/>
    <w:rsid w:val="00413742"/>
    <w:rsid w:val="004140D8"/>
    <w:rsid w:val="00414F2C"/>
    <w:rsid w:val="004155FE"/>
    <w:rsid w:val="00415B9B"/>
    <w:rsid w:val="00415C09"/>
    <w:rsid w:val="004164F5"/>
    <w:rsid w:val="00416B3C"/>
    <w:rsid w:val="00416D8A"/>
    <w:rsid w:val="00416F65"/>
    <w:rsid w:val="004174CF"/>
    <w:rsid w:val="00417B2B"/>
    <w:rsid w:val="00420368"/>
    <w:rsid w:val="00420740"/>
    <w:rsid w:val="00420B38"/>
    <w:rsid w:val="004211A0"/>
    <w:rsid w:val="00421257"/>
    <w:rsid w:val="004214A5"/>
    <w:rsid w:val="00421502"/>
    <w:rsid w:val="004217DF"/>
    <w:rsid w:val="00421B20"/>
    <w:rsid w:val="00421D28"/>
    <w:rsid w:val="00421DAE"/>
    <w:rsid w:val="00422252"/>
    <w:rsid w:val="00422307"/>
    <w:rsid w:val="00422630"/>
    <w:rsid w:val="00422AEE"/>
    <w:rsid w:val="00422D5C"/>
    <w:rsid w:val="004234FA"/>
    <w:rsid w:val="004238C6"/>
    <w:rsid w:val="00423932"/>
    <w:rsid w:val="00423BF5"/>
    <w:rsid w:val="00423D1E"/>
    <w:rsid w:val="00423FCB"/>
    <w:rsid w:val="00424298"/>
    <w:rsid w:val="004246ED"/>
    <w:rsid w:val="00424708"/>
    <w:rsid w:val="00424CC7"/>
    <w:rsid w:val="004257E2"/>
    <w:rsid w:val="00425F0E"/>
    <w:rsid w:val="00427014"/>
    <w:rsid w:val="004276B6"/>
    <w:rsid w:val="0042788C"/>
    <w:rsid w:val="00427A95"/>
    <w:rsid w:val="00427CE5"/>
    <w:rsid w:val="00427F2A"/>
    <w:rsid w:val="0043066E"/>
    <w:rsid w:val="0043099C"/>
    <w:rsid w:val="00431212"/>
    <w:rsid w:val="004312CA"/>
    <w:rsid w:val="00431300"/>
    <w:rsid w:val="0043151E"/>
    <w:rsid w:val="00431F66"/>
    <w:rsid w:val="00431F6A"/>
    <w:rsid w:val="00432214"/>
    <w:rsid w:val="004322EA"/>
    <w:rsid w:val="00432312"/>
    <w:rsid w:val="00432574"/>
    <w:rsid w:val="00432F1C"/>
    <w:rsid w:val="00432FC1"/>
    <w:rsid w:val="00433829"/>
    <w:rsid w:val="00433833"/>
    <w:rsid w:val="0043394F"/>
    <w:rsid w:val="00433D59"/>
    <w:rsid w:val="0043461D"/>
    <w:rsid w:val="00434A03"/>
    <w:rsid w:val="00435451"/>
    <w:rsid w:val="0043561D"/>
    <w:rsid w:val="00435959"/>
    <w:rsid w:val="00435CB4"/>
    <w:rsid w:val="00436390"/>
    <w:rsid w:val="004372F0"/>
    <w:rsid w:val="00437429"/>
    <w:rsid w:val="004374F4"/>
    <w:rsid w:val="00437B72"/>
    <w:rsid w:val="00437BDD"/>
    <w:rsid w:val="00440033"/>
    <w:rsid w:val="004406BF"/>
    <w:rsid w:val="004408DA"/>
    <w:rsid w:val="004409F3"/>
    <w:rsid w:val="00440D39"/>
    <w:rsid w:val="00441689"/>
    <w:rsid w:val="004418C5"/>
    <w:rsid w:val="00441A95"/>
    <w:rsid w:val="00442597"/>
    <w:rsid w:val="00442783"/>
    <w:rsid w:val="00442BC7"/>
    <w:rsid w:val="00442D39"/>
    <w:rsid w:val="00442E60"/>
    <w:rsid w:val="004437EF"/>
    <w:rsid w:val="00443E0A"/>
    <w:rsid w:val="00444621"/>
    <w:rsid w:val="00444AD9"/>
    <w:rsid w:val="00444AE8"/>
    <w:rsid w:val="00444B70"/>
    <w:rsid w:val="00444CCE"/>
    <w:rsid w:val="00445793"/>
    <w:rsid w:val="004457EB"/>
    <w:rsid w:val="00445BA1"/>
    <w:rsid w:val="00446C68"/>
    <w:rsid w:val="0044712F"/>
    <w:rsid w:val="004472FF"/>
    <w:rsid w:val="004473BE"/>
    <w:rsid w:val="00447976"/>
    <w:rsid w:val="00450659"/>
    <w:rsid w:val="00450979"/>
    <w:rsid w:val="00450C8B"/>
    <w:rsid w:val="0045112F"/>
    <w:rsid w:val="004511C8"/>
    <w:rsid w:val="004515EB"/>
    <w:rsid w:val="00451A01"/>
    <w:rsid w:val="00451AB2"/>
    <w:rsid w:val="00451B57"/>
    <w:rsid w:val="004527C8"/>
    <w:rsid w:val="00452BF2"/>
    <w:rsid w:val="00452F8F"/>
    <w:rsid w:val="00452FF9"/>
    <w:rsid w:val="0045379A"/>
    <w:rsid w:val="004537F1"/>
    <w:rsid w:val="0045439D"/>
    <w:rsid w:val="00454C24"/>
    <w:rsid w:val="00455162"/>
    <w:rsid w:val="004552FE"/>
    <w:rsid w:val="0045571B"/>
    <w:rsid w:val="004559E0"/>
    <w:rsid w:val="004559F6"/>
    <w:rsid w:val="00455B5D"/>
    <w:rsid w:val="00455BA2"/>
    <w:rsid w:val="00455FDC"/>
    <w:rsid w:val="00456116"/>
    <w:rsid w:val="00456A37"/>
    <w:rsid w:val="004576FD"/>
    <w:rsid w:val="004579DB"/>
    <w:rsid w:val="00457E1A"/>
    <w:rsid w:val="004605CC"/>
    <w:rsid w:val="00460D14"/>
    <w:rsid w:val="00460F29"/>
    <w:rsid w:val="00460F67"/>
    <w:rsid w:val="00460FEE"/>
    <w:rsid w:val="00461544"/>
    <w:rsid w:val="00461880"/>
    <w:rsid w:val="00461A01"/>
    <w:rsid w:val="00461F90"/>
    <w:rsid w:val="004628B9"/>
    <w:rsid w:val="00462942"/>
    <w:rsid w:val="00462E5C"/>
    <w:rsid w:val="004630A4"/>
    <w:rsid w:val="0046345B"/>
    <w:rsid w:val="0046360E"/>
    <w:rsid w:val="0046363E"/>
    <w:rsid w:val="004638C1"/>
    <w:rsid w:val="004648C7"/>
    <w:rsid w:val="00464960"/>
    <w:rsid w:val="00464AE3"/>
    <w:rsid w:val="00464B79"/>
    <w:rsid w:val="00464F00"/>
    <w:rsid w:val="0046500C"/>
    <w:rsid w:val="004659C3"/>
    <w:rsid w:val="00465C71"/>
    <w:rsid w:val="0046689D"/>
    <w:rsid w:val="00466C40"/>
    <w:rsid w:val="00466F79"/>
    <w:rsid w:val="00467548"/>
    <w:rsid w:val="0046768A"/>
    <w:rsid w:val="00467828"/>
    <w:rsid w:val="00467851"/>
    <w:rsid w:val="0047049B"/>
    <w:rsid w:val="004705E6"/>
    <w:rsid w:val="0047083A"/>
    <w:rsid w:val="00470A66"/>
    <w:rsid w:val="00470B41"/>
    <w:rsid w:val="00470B60"/>
    <w:rsid w:val="004714E2"/>
    <w:rsid w:val="00471797"/>
    <w:rsid w:val="00471D17"/>
    <w:rsid w:val="004720B2"/>
    <w:rsid w:val="004724A2"/>
    <w:rsid w:val="004728E3"/>
    <w:rsid w:val="004729FE"/>
    <w:rsid w:val="00472A0A"/>
    <w:rsid w:val="004731A1"/>
    <w:rsid w:val="00473219"/>
    <w:rsid w:val="00473251"/>
    <w:rsid w:val="004739F5"/>
    <w:rsid w:val="00473BF0"/>
    <w:rsid w:val="00473FAA"/>
    <w:rsid w:val="004742A7"/>
    <w:rsid w:val="0047473F"/>
    <w:rsid w:val="00474C18"/>
    <w:rsid w:val="00474DB1"/>
    <w:rsid w:val="00474F9B"/>
    <w:rsid w:val="00475135"/>
    <w:rsid w:val="00475175"/>
    <w:rsid w:val="0047534D"/>
    <w:rsid w:val="00475A50"/>
    <w:rsid w:val="00475DFC"/>
    <w:rsid w:val="004765A4"/>
    <w:rsid w:val="00476638"/>
    <w:rsid w:val="004768E4"/>
    <w:rsid w:val="004768F9"/>
    <w:rsid w:val="00476941"/>
    <w:rsid w:val="00477320"/>
    <w:rsid w:val="004776A3"/>
    <w:rsid w:val="00477780"/>
    <w:rsid w:val="00477A76"/>
    <w:rsid w:val="00477C6F"/>
    <w:rsid w:val="004806FC"/>
    <w:rsid w:val="00480E05"/>
    <w:rsid w:val="0048161B"/>
    <w:rsid w:val="00481A53"/>
    <w:rsid w:val="00481B7C"/>
    <w:rsid w:val="00481FFD"/>
    <w:rsid w:val="004820D2"/>
    <w:rsid w:val="0048221C"/>
    <w:rsid w:val="0048235C"/>
    <w:rsid w:val="00482565"/>
    <w:rsid w:val="004827D5"/>
    <w:rsid w:val="00482E10"/>
    <w:rsid w:val="00482ED7"/>
    <w:rsid w:val="00482FC7"/>
    <w:rsid w:val="00483270"/>
    <w:rsid w:val="00483573"/>
    <w:rsid w:val="004836EF"/>
    <w:rsid w:val="0048408B"/>
    <w:rsid w:val="00484FCA"/>
    <w:rsid w:val="00485899"/>
    <w:rsid w:val="00485BB9"/>
    <w:rsid w:val="00486235"/>
    <w:rsid w:val="00486522"/>
    <w:rsid w:val="0048661E"/>
    <w:rsid w:val="0048677E"/>
    <w:rsid w:val="00486C10"/>
    <w:rsid w:val="00486D44"/>
    <w:rsid w:val="00487016"/>
    <w:rsid w:val="0048703B"/>
    <w:rsid w:val="0048738A"/>
    <w:rsid w:val="00487663"/>
    <w:rsid w:val="0048782C"/>
    <w:rsid w:val="00487A7C"/>
    <w:rsid w:val="00490316"/>
    <w:rsid w:val="0049043D"/>
    <w:rsid w:val="0049065D"/>
    <w:rsid w:val="00490E19"/>
    <w:rsid w:val="00491085"/>
    <w:rsid w:val="00491548"/>
    <w:rsid w:val="0049191B"/>
    <w:rsid w:val="00491A7F"/>
    <w:rsid w:val="00491CD5"/>
    <w:rsid w:val="00491F0D"/>
    <w:rsid w:val="00492262"/>
    <w:rsid w:val="004923FA"/>
    <w:rsid w:val="00492534"/>
    <w:rsid w:val="00492773"/>
    <w:rsid w:val="00492972"/>
    <w:rsid w:val="004929B4"/>
    <w:rsid w:val="00492CA5"/>
    <w:rsid w:val="00493201"/>
    <w:rsid w:val="00493625"/>
    <w:rsid w:val="00493B04"/>
    <w:rsid w:val="00494255"/>
    <w:rsid w:val="00494A01"/>
    <w:rsid w:val="00494C28"/>
    <w:rsid w:val="00494E98"/>
    <w:rsid w:val="00495E06"/>
    <w:rsid w:val="00496180"/>
    <w:rsid w:val="00496268"/>
    <w:rsid w:val="00496844"/>
    <w:rsid w:val="00497590"/>
    <w:rsid w:val="004977D0"/>
    <w:rsid w:val="00497C1F"/>
    <w:rsid w:val="004A0D4B"/>
    <w:rsid w:val="004A0F6F"/>
    <w:rsid w:val="004A0FB5"/>
    <w:rsid w:val="004A0FF4"/>
    <w:rsid w:val="004A15FA"/>
    <w:rsid w:val="004A1A11"/>
    <w:rsid w:val="004A27F3"/>
    <w:rsid w:val="004A2977"/>
    <w:rsid w:val="004A2AAB"/>
    <w:rsid w:val="004A31ED"/>
    <w:rsid w:val="004A3351"/>
    <w:rsid w:val="004A375B"/>
    <w:rsid w:val="004A3A97"/>
    <w:rsid w:val="004A4170"/>
    <w:rsid w:val="004A42A5"/>
    <w:rsid w:val="004A4422"/>
    <w:rsid w:val="004A4B7C"/>
    <w:rsid w:val="004A5362"/>
    <w:rsid w:val="004A536A"/>
    <w:rsid w:val="004A5AEC"/>
    <w:rsid w:val="004A5BE2"/>
    <w:rsid w:val="004A5BE6"/>
    <w:rsid w:val="004A69C4"/>
    <w:rsid w:val="004A708C"/>
    <w:rsid w:val="004A7FBD"/>
    <w:rsid w:val="004B03F8"/>
    <w:rsid w:val="004B0568"/>
    <w:rsid w:val="004B08DC"/>
    <w:rsid w:val="004B0DCC"/>
    <w:rsid w:val="004B1052"/>
    <w:rsid w:val="004B1305"/>
    <w:rsid w:val="004B141B"/>
    <w:rsid w:val="004B167B"/>
    <w:rsid w:val="004B212F"/>
    <w:rsid w:val="004B2677"/>
    <w:rsid w:val="004B2F4B"/>
    <w:rsid w:val="004B388B"/>
    <w:rsid w:val="004B3E51"/>
    <w:rsid w:val="004B465E"/>
    <w:rsid w:val="004B498F"/>
    <w:rsid w:val="004B514E"/>
    <w:rsid w:val="004B5564"/>
    <w:rsid w:val="004B5814"/>
    <w:rsid w:val="004B588A"/>
    <w:rsid w:val="004B591C"/>
    <w:rsid w:val="004B5AA7"/>
    <w:rsid w:val="004B5F4A"/>
    <w:rsid w:val="004B5F61"/>
    <w:rsid w:val="004B5FB6"/>
    <w:rsid w:val="004B604D"/>
    <w:rsid w:val="004B6348"/>
    <w:rsid w:val="004B63B5"/>
    <w:rsid w:val="004B650E"/>
    <w:rsid w:val="004B669C"/>
    <w:rsid w:val="004B6B9B"/>
    <w:rsid w:val="004B7130"/>
    <w:rsid w:val="004B7463"/>
    <w:rsid w:val="004B7A67"/>
    <w:rsid w:val="004B7D25"/>
    <w:rsid w:val="004B7FE7"/>
    <w:rsid w:val="004C03C6"/>
    <w:rsid w:val="004C0AD6"/>
    <w:rsid w:val="004C0DF7"/>
    <w:rsid w:val="004C11BF"/>
    <w:rsid w:val="004C17EA"/>
    <w:rsid w:val="004C18C7"/>
    <w:rsid w:val="004C1F2C"/>
    <w:rsid w:val="004C2034"/>
    <w:rsid w:val="004C23D5"/>
    <w:rsid w:val="004C2E32"/>
    <w:rsid w:val="004C2ED7"/>
    <w:rsid w:val="004C320F"/>
    <w:rsid w:val="004C3CC8"/>
    <w:rsid w:val="004C3FB0"/>
    <w:rsid w:val="004C4765"/>
    <w:rsid w:val="004C48C5"/>
    <w:rsid w:val="004C4909"/>
    <w:rsid w:val="004C4B9B"/>
    <w:rsid w:val="004C5714"/>
    <w:rsid w:val="004C58B4"/>
    <w:rsid w:val="004C58D1"/>
    <w:rsid w:val="004C5CB1"/>
    <w:rsid w:val="004C6287"/>
    <w:rsid w:val="004C665A"/>
    <w:rsid w:val="004C6968"/>
    <w:rsid w:val="004C6ED5"/>
    <w:rsid w:val="004C716A"/>
    <w:rsid w:val="004C75A6"/>
    <w:rsid w:val="004C7D9B"/>
    <w:rsid w:val="004C7F99"/>
    <w:rsid w:val="004D0085"/>
    <w:rsid w:val="004D049B"/>
    <w:rsid w:val="004D07BD"/>
    <w:rsid w:val="004D0975"/>
    <w:rsid w:val="004D0EB4"/>
    <w:rsid w:val="004D15D8"/>
    <w:rsid w:val="004D181A"/>
    <w:rsid w:val="004D19F4"/>
    <w:rsid w:val="004D1F9A"/>
    <w:rsid w:val="004D2348"/>
    <w:rsid w:val="004D25BC"/>
    <w:rsid w:val="004D275E"/>
    <w:rsid w:val="004D2A05"/>
    <w:rsid w:val="004D2C09"/>
    <w:rsid w:val="004D2E72"/>
    <w:rsid w:val="004D3201"/>
    <w:rsid w:val="004D327F"/>
    <w:rsid w:val="004D34CF"/>
    <w:rsid w:val="004D3602"/>
    <w:rsid w:val="004D39F2"/>
    <w:rsid w:val="004D3DC9"/>
    <w:rsid w:val="004D40C1"/>
    <w:rsid w:val="004D4355"/>
    <w:rsid w:val="004D47CE"/>
    <w:rsid w:val="004D4843"/>
    <w:rsid w:val="004D52FC"/>
    <w:rsid w:val="004D5A22"/>
    <w:rsid w:val="004D5D08"/>
    <w:rsid w:val="004D60B1"/>
    <w:rsid w:val="004D60C9"/>
    <w:rsid w:val="004D61F6"/>
    <w:rsid w:val="004D621F"/>
    <w:rsid w:val="004D669C"/>
    <w:rsid w:val="004D6E10"/>
    <w:rsid w:val="004D7057"/>
    <w:rsid w:val="004D73D4"/>
    <w:rsid w:val="004D7A89"/>
    <w:rsid w:val="004E02FC"/>
    <w:rsid w:val="004E0377"/>
    <w:rsid w:val="004E07AE"/>
    <w:rsid w:val="004E0E51"/>
    <w:rsid w:val="004E1215"/>
    <w:rsid w:val="004E147D"/>
    <w:rsid w:val="004E2161"/>
    <w:rsid w:val="004E2760"/>
    <w:rsid w:val="004E3542"/>
    <w:rsid w:val="004E364F"/>
    <w:rsid w:val="004E36D5"/>
    <w:rsid w:val="004E39D6"/>
    <w:rsid w:val="004E3F29"/>
    <w:rsid w:val="004E3FBF"/>
    <w:rsid w:val="004E4D12"/>
    <w:rsid w:val="004E4FFA"/>
    <w:rsid w:val="004E5C08"/>
    <w:rsid w:val="004E613B"/>
    <w:rsid w:val="004E71C5"/>
    <w:rsid w:val="004E7406"/>
    <w:rsid w:val="004E77C9"/>
    <w:rsid w:val="004E7854"/>
    <w:rsid w:val="004E7C68"/>
    <w:rsid w:val="004F014D"/>
    <w:rsid w:val="004F0384"/>
    <w:rsid w:val="004F07EB"/>
    <w:rsid w:val="004F0EE8"/>
    <w:rsid w:val="004F1D17"/>
    <w:rsid w:val="004F26A3"/>
    <w:rsid w:val="004F2A85"/>
    <w:rsid w:val="004F2B86"/>
    <w:rsid w:val="004F2B9E"/>
    <w:rsid w:val="004F2E04"/>
    <w:rsid w:val="004F4045"/>
    <w:rsid w:val="004F470E"/>
    <w:rsid w:val="004F4B99"/>
    <w:rsid w:val="004F4C30"/>
    <w:rsid w:val="004F56E8"/>
    <w:rsid w:val="004F5934"/>
    <w:rsid w:val="004F5CC3"/>
    <w:rsid w:val="004F5DB3"/>
    <w:rsid w:val="004F611E"/>
    <w:rsid w:val="004F615D"/>
    <w:rsid w:val="004F66ED"/>
    <w:rsid w:val="004F6998"/>
    <w:rsid w:val="004F6A51"/>
    <w:rsid w:val="004F6BAF"/>
    <w:rsid w:val="004F6C5A"/>
    <w:rsid w:val="004F6EEF"/>
    <w:rsid w:val="004F6FA9"/>
    <w:rsid w:val="004F7282"/>
    <w:rsid w:val="004F78C3"/>
    <w:rsid w:val="004F7CB7"/>
    <w:rsid w:val="004F7CE2"/>
    <w:rsid w:val="004F7F8F"/>
    <w:rsid w:val="00500778"/>
    <w:rsid w:val="00500975"/>
    <w:rsid w:val="00501053"/>
    <w:rsid w:val="005011C2"/>
    <w:rsid w:val="005013E2"/>
    <w:rsid w:val="00501C57"/>
    <w:rsid w:val="00501D83"/>
    <w:rsid w:val="0050227A"/>
    <w:rsid w:val="005027B8"/>
    <w:rsid w:val="00502C09"/>
    <w:rsid w:val="00502E94"/>
    <w:rsid w:val="00502FF4"/>
    <w:rsid w:val="00502FFA"/>
    <w:rsid w:val="005035EF"/>
    <w:rsid w:val="00503825"/>
    <w:rsid w:val="00503DAB"/>
    <w:rsid w:val="0050425A"/>
    <w:rsid w:val="0050428F"/>
    <w:rsid w:val="0050465D"/>
    <w:rsid w:val="005046D8"/>
    <w:rsid w:val="00504895"/>
    <w:rsid w:val="00504961"/>
    <w:rsid w:val="00504E02"/>
    <w:rsid w:val="005053EB"/>
    <w:rsid w:val="00505518"/>
    <w:rsid w:val="0050563E"/>
    <w:rsid w:val="00505878"/>
    <w:rsid w:val="00505A13"/>
    <w:rsid w:val="00505BCB"/>
    <w:rsid w:val="00505E70"/>
    <w:rsid w:val="005064D5"/>
    <w:rsid w:val="00506D8D"/>
    <w:rsid w:val="00506E03"/>
    <w:rsid w:val="005070F6"/>
    <w:rsid w:val="005071A6"/>
    <w:rsid w:val="005078D6"/>
    <w:rsid w:val="00507DEE"/>
    <w:rsid w:val="00510408"/>
    <w:rsid w:val="00510D5E"/>
    <w:rsid w:val="00510E81"/>
    <w:rsid w:val="00510E8F"/>
    <w:rsid w:val="00510FF1"/>
    <w:rsid w:val="00511558"/>
    <w:rsid w:val="005119B8"/>
    <w:rsid w:val="00511F12"/>
    <w:rsid w:val="00512192"/>
    <w:rsid w:val="0051232D"/>
    <w:rsid w:val="00512475"/>
    <w:rsid w:val="00512F8C"/>
    <w:rsid w:val="0051356D"/>
    <w:rsid w:val="00513958"/>
    <w:rsid w:val="00513A15"/>
    <w:rsid w:val="00513ACC"/>
    <w:rsid w:val="00514459"/>
    <w:rsid w:val="005144B7"/>
    <w:rsid w:val="00514667"/>
    <w:rsid w:val="00514E83"/>
    <w:rsid w:val="005150D7"/>
    <w:rsid w:val="00515104"/>
    <w:rsid w:val="00515328"/>
    <w:rsid w:val="00515BC7"/>
    <w:rsid w:val="00515F24"/>
    <w:rsid w:val="00516149"/>
    <w:rsid w:val="005168D8"/>
    <w:rsid w:val="00516D82"/>
    <w:rsid w:val="0051710C"/>
    <w:rsid w:val="005174CB"/>
    <w:rsid w:val="00517672"/>
    <w:rsid w:val="0051782B"/>
    <w:rsid w:val="00517938"/>
    <w:rsid w:val="00517B91"/>
    <w:rsid w:val="00520803"/>
    <w:rsid w:val="0052091A"/>
    <w:rsid w:val="00520A40"/>
    <w:rsid w:val="00520A7B"/>
    <w:rsid w:val="00521816"/>
    <w:rsid w:val="00521B98"/>
    <w:rsid w:val="00521BE9"/>
    <w:rsid w:val="00522F48"/>
    <w:rsid w:val="00523BF1"/>
    <w:rsid w:val="00523CCA"/>
    <w:rsid w:val="00524AA3"/>
    <w:rsid w:val="0052537E"/>
    <w:rsid w:val="00525400"/>
    <w:rsid w:val="00525656"/>
    <w:rsid w:val="005264CD"/>
    <w:rsid w:val="00527265"/>
    <w:rsid w:val="00527B63"/>
    <w:rsid w:val="00527D41"/>
    <w:rsid w:val="005307E3"/>
    <w:rsid w:val="00530BE0"/>
    <w:rsid w:val="00531064"/>
    <w:rsid w:val="005317B0"/>
    <w:rsid w:val="00531A5A"/>
    <w:rsid w:val="00532C0C"/>
    <w:rsid w:val="00532E69"/>
    <w:rsid w:val="00532F63"/>
    <w:rsid w:val="0053304C"/>
    <w:rsid w:val="005336EF"/>
    <w:rsid w:val="005337BF"/>
    <w:rsid w:val="00533EFE"/>
    <w:rsid w:val="00534389"/>
    <w:rsid w:val="005344BE"/>
    <w:rsid w:val="0053501E"/>
    <w:rsid w:val="00535486"/>
    <w:rsid w:val="00535956"/>
    <w:rsid w:val="00536561"/>
    <w:rsid w:val="00536CD9"/>
    <w:rsid w:val="0053763A"/>
    <w:rsid w:val="00537A88"/>
    <w:rsid w:val="00537DB0"/>
    <w:rsid w:val="00537DF2"/>
    <w:rsid w:val="00537E93"/>
    <w:rsid w:val="0054064C"/>
    <w:rsid w:val="005408BC"/>
    <w:rsid w:val="00541023"/>
    <w:rsid w:val="00541072"/>
    <w:rsid w:val="0054118F"/>
    <w:rsid w:val="00541573"/>
    <w:rsid w:val="00541C5B"/>
    <w:rsid w:val="00541FF6"/>
    <w:rsid w:val="005420EA"/>
    <w:rsid w:val="0054220E"/>
    <w:rsid w:val="00542752"/>
    <w:rsid w:val="00542AF1"/>
    <w:rsid w:val="00542C05"/>
    <w:rsid w:val="00542C5F"/>
    <w:rsid w:val="00543CE1"/>
    <w:rsid w:val="0054426A"/>
    <w:rsid w:val="005442D0"/>
    <w:rsid w:val="00544A5C"/>
    <w:rsid w:val="00544E89"/>
    <w:rsid w:val="00544EE9"/>
    <w:rsid w:val="00544EFF"/>
    <w:rsid w:val="005450D9"/>
    <w:rsid w:val="00546480"/>
    <w:rsid w:val="005464DE"/>
    <w:rsid w:val="0054657F"/>
    <w:rsid w:val="00546679"/>
    <w:rsid w:val="00546C1E"/>
    <w:rsid w:val="00547063"/>
    <w:rsid w:val="00547080"/>
    <w:rsid w:val="005475E7"/>
    <w:rsid w:val="00547A49"/>
    <w:rsid w:val="00547F0A"/>
    <w:rsid w:val="00550132"/>
    <w:rsid w:val="00550A33"/>
    <w:rsid w:val="005517D6"/>
    <w:rsid w:val="00551CDE"/>
    <w:rsid w:val="00553591"/>
    <w:rsid w:val="005536B7"/>
    <w:rsid w:val="00553E15"/>
    <w:rsid w:val="00553F34"/>
    <w:rsid w:val="005549C4"/>
    <w:rsid w:val="00554BD1"/>
    <w:rsid w:val="00554C70"/>
    <w:rsid w:val="00555142"/>
    <w:rsid w:val="00555409"/>
    <w:rsid w:val="0055586F"/>
    <w:rsid w:val="005559E7"/>
    <w:rsid w:val="00555E57"/>
    <w:rsid w:val="00556573"/>
    <w:rsid w:val="0055746B"/>
    <w:rsid w:val="005575C8"/>
    <w:rsid w:val="0055766D"/>
    <w:rsid w:val="00557C67"/>
    <w:rsid w:val="00560509"/>
    <w:rsid w:val="0056054D"/>
    <w:rsid w:val="005608B3"/>
    <w:rsid w:val="00560903"/>
    <w:rsid w:val="00561376"/>
    <w:rsid w:val="0056190C"/>
    <w:rsid w:val="005620D5"/>
    <w:rsid w:val="00562117"/>
    <w:rsid w:val="00563276"/>
    <w:rsid w:val="005633BC"/>
    <w:rsid w:val="005634B8"/>
    <w:rsid w:val="0056356C"/>
    <w:rsid w:val="005636C0"/>
    <w:rsid w:val="005639A7"/>
    <w:rsid w:val="00564182"/>
    <w:rsid w:val="0056456F"/>
    <w:rsid w:val="005645FD"/>
    <w:rsid w:val="0056468E"/>
    <w:rsid w:val="00564FEA"/>
    <w:rsid w:val="00565258"/>
    <w:rsid w:val="005652F2"/>
    <w:rsid w:val="00565463"/>
    <w:rsid w:val="00565CAF"/>
    <w:rsid w:val="005665B5"/>
    <w:rsid w:val="005666FB"/>
    <w:rsid w:val="00566EC9"/>
    <w:rsid w:val="00567085"/>
    <w:rsid w:val="005670A4"/>
    <w:rsid w:val="005672CF"/>
    <w:rsid w:val="005674FD"/>
    <w:rsid w:val="00567540"/>
    <w:rsid w:val="00567699"/>
    <w:rsid w:val="0056798F"/>
    <w:rsid w:val="00567FC9"/>
    <w:rsid w:val="005703DB"/>
    <w:rsid w:val="005711A9"/>
    <w:rsid w:val="00571A6A"/>
    <w:rsid w:val="00571C92"/>
    <w:rsid w:val="00571E12"/>
    <w:rsid w:val="00571F8A"/>
    <w:rsid w:val="00572016"/>
    <w:rsid w:val="0057261F"/>
    <w:rsid w:val="00572664"/>
    <w:rsid w:val="00572799"/>
    <w:rsid w:val="00572D8D"/>
    <w:rsid w:val="00573386"/>
    <w:rsid w:val="0057362D"/>
    <w:rsid w:val="00573933"/>
    <w:rsid w:val="00573C4A"/>
    <w:rsid w:val="00573CD0"/>
    <w:rsid w:val="0057438C"/>
    <w:rsid w:val="00574F47"/>
    <w:rsid w:val="005750B0"/>
    <w:rsid w:val="0057557F"/>
    <w:rsid w:val="005759DE"/>
    <w:rsid w:val="00575AD4"/>
    <w:rsid w:val="00575C19"/>
    <w:rsid w:val="00575EB5"/>
    <w:rsid w:val="0057613A"/>
    <w:rsid w:val="00576C5C"/>
    <w:rsid w:val="005773AF"/>
    <w:rsid w:val="005774B0"/>
    <w:rsid w:val="0057784C"/>
    <w:rsid w:val="00577D02"/>
    <w:rsid w:val="00580282"/>
    <w:rsid w:val="00580C21"/>
    <w:rsid w:val="005823D8"/>
    <w:rsid w:val="00582429"/>
    <w:rsid w:val="00582BF0"/>
    <w:rsid w:val="00582F60"/>
    <w:rsid w:val="00583299"/>
    <w:rsid w:val="0058361A"/>
    <w:rsid w:val="005839FB"/>
    <w:rsid w:val="00583BFA"/>
    <w:rsid w:val="005846A1"/>
    <w:rsid w:val="00584A70"/>
    <w:rsid w:val="00584D35"/>
    <w:rsid w:val="00584D5C"/>
    <w:rsid w:val="005850A7"/>
    <w:rsid w:val="00585216"/>
    <w:rsid w:val="0058641F"/>
    <w:rsid w:val="0058662B"/>
    <w:rsid w:val="0058662C"/>
    <w:rsid w:val="005867BC"/>
    <w:rsid w:val="00586A95"/>
    <w:rsid w:val="00586AA3"/>
    <w:rsid w:val="005870AA"/>
    <w:rsid w:val="00587354"/>
    <w:rsid w:val="00587591"/>
    <w:rsid w:val="00587B9B"/>
    <w:rsid w:val="00590137"/>
    <w:rsid w:val="0059039C"/>
    <w:rsid w:val="00590604"/>
    <w:rsid w:val="005909B9"/>
    <w:rsid w:val="00590ED1"/>
    <w:rsid w:val="005910AF"/>
    <w:rsid w:val="005910E8"/>
    <w:rsid w:val="0059162D"/>
    <w:rsid w:val="00591815"/>
    <w:rsid w:val="005919DB"/>
    <w:rsid w:val="00591A12"/>
    <w:rsid w:val="005920BB"/>
    <w:rsid w:val="0059279E"/>
    <w:rsid w:val="005927A1"/>
    <w:rsid w:val="00592AB5"/>
    <w:rsid w:val="00592D81"/>
    <w:rsid w:val="00592ED5"/>
    <w:rsid w:val="0059338B"/>
    <w:rsid w:val="0059357F"/>
    <w:rsid w:val="00593BE8"/>
    <w:rsid w:val="00594009"/>
    <w:rsid w:val="00594191"/>
    <w:rsid w:val="0059566B"/>
    <w:rsid w:val="00595B6E"/>
    <w:rsid w:val="00596679"/>
    <w:rsid w:val="00596F3F"/>
    <w:rsid w:val="0059704D"/>
    <w:rsid w:val="00597463"/>
    <w:rsid w:val="0059747B"/>
    <w:rsid w:val="00597490"/>
    <w:rsid w:val="00597C28"/>
    <w:rsid w:val="00597F63"/>
    <w:rsid w:val="005A00A7"/>
    <w:rsid w:val="005A0ABF"/>
    <w:rsid w:val="005A10BF"/>
    <w:rsid w:val="005A16EF"/>
    <w:rsid w:val="005A16FC"/>
    <w:rsid w:val="005A269B"/>
    <w:rsid w:val="005A27C1"/>
    <w:rsid w:val="005A2B38"/>
    <w:rsid w:val="005A2E03"/>
    <w:rsid w:val="005A30E7"/>
    <w:rsid w:val="005A34BA"/>
    <w:rsid w:val="005A3E23"/>
    <w:rsid w:val="005A3E8C"/>
    <w:rsid w:val="005A41C9"/>
    <w:rsid w:val="005A424D"/>
    <w:rsid w:val="005A431E"/>
    <w:rsid w:val="005A445A"/>
    <w:rsid w:val="005A44F0"/>
    <w:rsid w:val="005A49EE"/>
    <w:rsid w:val="005A50F5"/>
    <w:rsid w:val="005A6001"/>
    <w:rsid w:val="005A6482"/>
    <w:rsid w:val="005A6C27"/>
    <w:rsid w:val="005A6EED"/>
    <w:rsid w:val="005A73D6"/>
    <w:rsid w:val="005B04BA"/>
    <w:rsid w:val="005B067E"/>
    <w:rsid w:val="005B0981"/>
    <w:rsid w:val="005B09D1"/>
    <w:rsid w:val="005B0D32"/>
    <w:rsid w:val="005B10DF"/>
    <w:rsid w:val="005B12C6"/>
    <w:rsid w:val="005B13B1"/>
    <w:rsid w:val="005B1DDD"/>
    <w:rsid w:val="005B1EB2"/>
    <w:rsid w:val="005B211C"/>
    <w:rsid w:val="005B25E9"/>
    <w:rsid w:val="005B2820"/>
    <w:rsid w:val="005B284E"/>
    <w:rsid w:val="005B317F"/>
    <w:rsid w:val="005B3622"/>
    <w:rsid w:val="005B3DB8"/>
    <w:rsid w:val="005B3F73"/>
    <w:rsid w:val="005B4CC7"/>
    <w:rsid w:val="005B4F11"/>
    <w:rsid w:val="005B60F5"/>
    <w:rsid w:val="005B6277"/>
    <w:rsid w:val="005B66D6"/>
    <w:rsid w:val="005B725F"/>
    <w:rsid w:val="005B752F"/>
    <w:rsid w:val="005B7D45"/>
    <w:rsid w:val="005C04BE"/>
    <w:rsid w:val="005C06B3"/>
    <w:rsid w:val="005C07F8"/>
    <w:rsid w:val="005C0834"/>
    <w:rsid w:val="005C096E"/>
    <w:rsid w:val="005C097A"/>
    <w:rsid w:val="005C16D5"/>
    <w:rsid w:val="005C19B4"/>
    <w:rsid w:val="005C1F59"/>
    <w:rsid w:val="005C21C1"/>
    <w:rsid w:val="005C225D"/>
    <w:rsid w:val="005C2560"/>
    <w:rsid w:val="005C29C7"/>
    <w:rsid w:val="005C29DD"/>
    <w:rsid w:val="005C3035"/>
    <w:rsid w:val="005C316F"/>
    <w:rsid w:val="005C3246"/>
    <w:rsid w:val="005C3421"/>
    <w:rsid w:val="005C38C8"/>
    <w:rsid w:val="005C455E"/>
    <w:rsid w:val="005C47FE"/>
    <w:rsid w:val="005C52BE"/>
    <w:rsid w:val="005C5716"/>
    <w:rsid w:val="005C59CF"/>
    <w:rsid w:val="005C5B64"/>
    <w:rsid w:val="005C5C1A"/>
    <w:rsid w:val="005C652A"/>
    <w:rsid w:val="005C65BB"/>
    <w:rsid w:val="005C668B"/>
    <w:rsid w:val="005C6955"/>
    <w:rsid w:val="005C6EF6"/>
    <w:rsid w:val="005C6F46"/>
    <w:rsid w:val="005C7025"/>
    <w:rsid w:val="005C7176"/>
    <w:rsid w:val="005C7807"/>
    <w:rsid w:val="005C79C3"/>
    <w:rsid w:val="005C7C9C"/>
    <w:rsid w:val="005C7F8A"/>
    <w:rsid w:val="005D079E"/>
    <w:rsid w:val="005D10F6"/>
    <w:rsid w:val="005D1798"/>
    <w:rsid w:val="005D1C22"/>
    <w:rsid w:val="005D1F6B"/>
    <w:rsid w:val="005D2110"/>
    <w:rsid w:val="005D22A2"/>
    <w:rsid w:val="005D3091"/>
    <w:rsid w:val="005D38D5"/>
    <w:rsid w:val="005D3D7C"/>
    <w:rsid w:val="005D3E7B"/>
    <w:rsid w:val="005D3EBB"/>
    <w:rsid w:val="005D41EF"/>
    <w:rsid w:val="005D4254"/>
    <w:rsid w:val="005D4F75"/>
    <w:rsid w:val="005D4FDD"/>
    <w:rsid w:val="005D52EC"/>
    <w:rsid w:val="005D565D"/>
    <w:rsid w:val="005D589E"/>
    <w:rsid w:val="005D58CE"/>
    <w:rsid w:val="005D5987"/>
    <w:rsid w:val="005D6176"/>
    <w:rsid w:val="005D62C5"/>
    <w:rsid w:val="005D6550"/>
    <w:rsid w:val="005D7A00"/>
    <w:rsid w:val="005E062C"/>
    <w:rsid w:val="005E08B8"/>
    <w:rsid w:val="005E09B0"/>
    <w:rsid w:val="005E0E8A"/>
    <w:rsid w:val="005E1B29"/>
    <w:rsid w:val="005E1D49"/>
    <w:rsid w:val="005E20EE"/>
    <w:rsid w:val="005E2416"/>
    <w:rsid w:val="005E2E2F"/>
    <w:rsid w:val="005E2FC3"/>
    <w:rsid w:val="005E3583"/>
    <w:rsid w:val="005E3628"/>
    <w:rsid w:val="005E3C4B"/>
    <w:rsid w:val="005E3CE8"/>
    <w:rsid w:val="005E3D6A"/>
    <w:rsid w:val="005E3E54"/>
    <w:rsid w:val="005E3FA4"/>
    <w:rsid w:val="005E41B3"/>
    <w:rsid w:val="005E4282"/>
    <w:rsid w:val="005E42BA"/>
    <w:rsid w:val="005E485B"/>
    <w:rsid w:val="005E4D19"/>
    <w:rsid w:val="005E4D4A"/>
    <w:rsid w:val="005E575E"/>
    <w:rsid w:val="005E57F6"/>
    <w:rsid w:val="005E5850"/>
    <w:rsid w:val="005E5D0E"/>
    <w:rsid w:val="005E605E"/>
    <w:rsid w:val="005E637B"/>
    <w:rsid w:val="005E679B"/>
    <w:rsid w:val="005E6AF1"/>
    <w:rsid w:val="005E7161"/>
    <w:rsid w:val="005E716F"/>
    <w:rsid w:val="005E7433"/>
    <w:rsid w:val="005E7461"/>
    <w:rsid w:val="005E7968"/>
    <w:rsid w:val="005F016D"/>
    <w:rsid w:val="005F01E3"/>
    <w:rsid w:val="005F0989"/>
    <w:rsid w:val="005F0B00"/>
    <w:rsid w:val="005F12EF"/>
    <w:rsid w:val="005F1D14"/>
    <w:rsid w:val="005F2374"/>
    <w:rsid w:val="005F278F"/>
    <w:rsid w:val="005F2F84"/>
    <w:rsid w:val="005F3AA7"/>
    <w:rsid w:val="005F3AF9"/>
    <w:rsid w:val="005F3F2F"/>
    <w:rsid w:val="005F42B0"/>
    <w:rsid w:val="005F4420"/>
    <w:rsid w:val="005F44F2"/>
    <w:rsid w:val="005F4DB4"/>
    <w:rsid w:val="005F58FC"/>
    <w:rsid w:val="005F5910"/>
    <w:rsid w:val="005F5BFB"/>
    <w:rsid w:val="005F60A7"/>
    <w:rsid w:val="005F6435"/>
    <w:rsid w:val="005F6587"/>
    <w:rsid w:val="005F68B8"/>
    <w:rsid w:val="005F6E3A"/>
    <w:rsid w:val="005F6F50"/>
    <w:rsid w:val="005F7881"/>
    <w:rsid w:val="0060022D"/>
    <w:rsid w:val="00600548"/>
    <w:rsid w:val="006005E6"/>
    <w:rsid w:val="006008C2"/>
    <w:rsid w:val="00600F40"/>
    <w:rsid w:val="00601029"/>
    <w:rsid w:val="00601360"/>
    <w:rsid w:val="00601388"/>
    <w:rsid w:val="006014C6"/>
    <w:rsid w:val="0060215A"/>
    <w:rsid w:val="00602722"/>
    <w:rsid w:val="006034A9"/>
    <w:rsid w:val="00603682"/>
    <w:rsid w:val="00603D6A"/>
    <w:rsid w:val="00603F5F"/>
    <w:rsid w:val="006046E3"/>
    <w:rsid w:val="0060478E"/>
    <w:rsid w:val="0060482D"/>
    <w:rsid w:val="00604A9A"/>
    <w:rsid w:val="0060500E"/>
    <w:rsid w:val="006056E5"/>
    <w:rsid w:val="00605B11"/>
    <w:rsid w:val="00605C69"/>
    <w:rsid w:val="00605E1C"/>
    <w:rsid w:val="00606175"/>
    <w:rsid w:val="0060680C"/>
    <w:rsid w:val="00606A1E"/>
    <w:rsid w:val="00606B29"/>
    <w:rsid w:val="00606BFA"/>
    <w:rsid w:val="00606CB8"/>
    <w:rsid w:val="00606D4F"/>
    <w:rsid w:val="006074E1"/>
    <w:rsid w:val="006100F5"/>
    <w:rsid w:val="006101F3"/>
    <w:rsid w:val="006104AF"/>
    <w:rsid w:val="00610540"/>
    <w:rsid w:val="0061081D"/>
    <w:rsid w:val="006110FF"/>
    <w:rsid w:val="0061115C"/>
    <w:rsid w:val="006111C0"/>
    <w:rsid w:val="0061148D"/>
    <w:rsid w:val="00611656"/>
    <w:rsid w:val="00611AEF"/>
    <w:rsid w:val="00611E8D"/>
    <w:rsid w:val="006121C0"/>
    <w:rsid w:val="00612996"/>
    <w:rsid w:val="00612C7B"/>
    <w:rsid w:val="00613236"/>
    <w:rsid w:val="00613E8E"/>
    <w:rsid w:val="00614345"/>
    <w:rsid w:val="00614762"/>
    <w:rsid w:val="006149CF"/>
    <w:rsid w:val="00614A11"/>
    <w:rsid w:val="00615577"/>
    <w:rsid w:val="006156D0"/>
    <w:rsid w:val="00615B9C"/>
    <w:rsid w:val="00615D00"/>
    <w:rsid w:val="00615D20"/>
    <w:rsid w:val="00615F58"/>
    <w:rsid w:val="0061638F"/>
    <w:rsid w:val="00616475"/>
    <w:rsid w:val="006165A1"/>
    <w:rsid w:val="0061663F"/>
    <w:rsid w:val="00616D96"/>
    <w:rsid w:val="0061724B"/>
    <w:rsid w:val="00617795"/>
    <w:rsid w:val="006179F1"/>
    <w:rsid w:val="006202E4"/>
    <w:rsid w:val="00620308"/>
    <w:rsid w:val="00620488"/>
    <w:rsid w:val="0062061E"/>
    <w:rsid w:val="00620FEB"/>
    <w:rsid w:val="00621233"/>
    <w:rsid w:val="00621742"/>
    <w:rsid w:val="00621E87"/>
    <w:rsid w:val="006224E2"/>
    <w:rsid w:val="00622589"/>
    <w:rsid w:val="00622B06"/>
    <w:rsid w:val="00623183"/>
    <w:rsid w:val="006231EE"/>
    <w:rsid w:val="006232E2"/>
    <w:rsid w:val="0062355E"/>
    <w:rsid w:val="0062378F"/>
    <w:rsid w:val="0062392B"/>
    <w:rsid w:val="00623C52"/>
    <w:rsid w:val="00623EB6"/>
    <w:rsid w:val="00623F7D"/>
    <w:rsid w:val="00624471"/>
    <w:rsid w:val="0062468E"/>
    <w:rsid w:val="00624AEF"/>
    <w:rsid w:val="00624BB1"/>
    <w:rsid w:val="0062597F"/>
    <w:rsid w:val="0062655C"/>
    <w:rsid w:val="00626666"/>
    <w:rsid w:val="0062672E"/>
    <w:rsid w:val="0062692E"/>
    <w:rsid w:val="006269A0"/>
    <w:rsid w:val="00626A2D"/>
    <w:rsid w:val="00627973"/>
    <w:rsid w:val="00627B44"/>
    <w:rsid w:val="00627CAC"/>
    <w:rsid w:val="00630171"/>
    <w:rsid w:val="00630313"/>
    <w:rsid w:val="00630902"/>
    <w:rsid w:val="00631537"/>
    <w:rsid w:val="006326DA"/>
    <w:rsid w:val="00632830"/>
    <w:rsid w:val="00633AE8"/>
    <w:rsid w:val="0063441F"/>
    <w:rsid w:val="00634514"/>
    <w:rsid w:val="0063473E"/>
    <w:rsid w:val="006349B7"/>
    <w:rsid w:val="00634C55"/>
    <w:rsid w:val="00635413"/>
    <w:rsid w:val="00635A45"/>
    <w:rsid w:val="00635D22"/>
    <w:rsid w:val="00635D4A"/>
    <w:rsid w:val="006368CB"/>
    <w:rsid w:val="006369E4"/>
    <w:rsid w:val="006400CD"/>
    <w:rsid w:val="006403CF"/>
    <w:rsid w:val="00640562"/>
    <w:rsid w:val="0064073A"/>
    <w:rsid w:val="00640901"/>
    <w:rsid w:val="00640F0E"/>
    <w:rsid w:val="006413A2"/>
    <w:rsid w:val="00641C27"/>
    <w:rsid w:val="00641FC5"/>
    <w:rsid w:val="00641FF9"/>
    <w:rsid w:val="00642320"/>
    <w:rsid w:val="00642428"/>
    <w:rsid w:val="0064277D"/>
    <w:rsid w:val="00642D1B"/>
    <w:rsid w:val="006433E0"/>
    <w:rsid w:val="006439F1"/>
    <w:rsid w:val="00643A09"/>
    <w:rsid w:val="00643A33"/>
    <w:rsid w:val="00643C35"/>
    <w:rsid w:val="00643E01"/>
    <w:rsid w:val="0064448C"/>
    <w:rsid w:val="006444AD"/>
    <w:rsid w:val="0064464C"/>
    <w:rsid w:val="006446EF"/>
    <w:rsid w:val="0064476E"/>
    <w:rsid w:val="00644890"/>
    <w:rsid w:val="00644894"/>
    <w:rsid w:val="006448E9"/>
    <w:rsid w:val="00644A72"/>
    <w:rsid w:val="00644B0F"/>
    <w:rsid w:val="00645073"/>
    <w:rsid w:val="00645532"/>
    <w:rsid w:val="0064572E"/>
    <w:rsid w:val="0064578B"/>
    <w:rsid w:val="00645D70"/>
    <w:rsid w:val="00646268"/>
    <w:rsid w:val="006467CE"/>
    <w:rsid w:val="006468A4"/>
    <w:rsid w:val="00646EDD"/>
    <w:rsid w:val="00646EE7"/>
    <w:rsid w:val="0064700E"/>
    <w:rsid w:val="00647331"/>
    <w:rsid w:val="006473C6"/>
    <w:rsid w:val="006473EF"/>
    <w:rsid w:val="00647693"/>
    <w:rsid w:val="0064782C"/>
    <w:rsid w:val="006479DD"/>
    <w:rsid w:val="00647DE8"/>
    <w:rsid w:val="00647F96"/>
    <w:rsid w:val="0065028F"/>
    <w:rsid w:val="00650AD4"/>
    <w:rsid w:val="00650F12"/>
    <w:rsid w:val="006510BC"/>
    <w:rsid w:val="00651604"/>
    <w:rsid w:val="006516BC"/>
    <w:rsid w:val="006518BD"/>
    <w:rsid w:val="00652487"/>
    <w:rsid w:val="00653009"/>
    <w:rsid w:val="006531EE"/>
    <w:rsid w:val="006535D5"/>
    <w:rsid w:val="006538F1"/>
    <w:rsid w:val="00653DF5"/>
    <w:rsid w:val="00653E85"/>
    <w:rsid w:val="00653EDA"/>
    <w:rsid w:val="00654587"/>
    <w:rsid w:val="006546E0"/>
    <w:rsid w:val="00654D00"/>
    <w:rsid w:val="00654D39"/>
    <w:rsid w:val="00655731"/>
    <w:rsid w:val="006559F1"/>
    <w:rsid w:val="00655DCF"/>
    <w:rsid w:val="0065613E"/>
    <w:rsid w:val="00656481"/>
    <w:rsid w:val="006566EB"/>
    <w:rsid w:val="00656815"/>
    <w:rsid w:val="006568D2"/>
    <w:rsid w:val="00656CCF"/>
    <w:rsid w:val="0065736B"/>
    <w:rsid w:val="00657485"/>
    <w:rsid w:val="00657501"/>
    <w:rsid w:val="006575E0"/>
    <w:rsid w:val="0065788A"/>
    <w:rsid w:val="006578AB"/>
    <w:rsid w:val="00657B48"/>
    <w:rsid w:val="00657E64"/>
    <w:rsid w:val="00660CF7"/>
    <w:rsid w:val="00660DD7"/>
    <w:rsid w:val="00661215"/>
    <w:rsid w:val="006614EE"/>
    <w:rsid w:val="00661CF6"/>
    <w:rsid w:val="00662709"/>
    <w:rsid w:val="00662B6F"/>
    <w:rsid w:val="006631A4"/>
    <w:rsid w:val="0066351B"/>
    <w:rsid w:val="0066380A"/>
    <w:rsid w:val="00663E1C"/>
    <w:rsid w:val="00663EDD"/>
    <w:rsid w:val="00664595"/>
    <w:rsid w:val="006645B2"/>
    <w:rsid w:val="00664662"/>
    <w:rsid w:val="00664EE5"/>
    <w:rsid w:val="006650B5"/>
    <w:rsid w:val="00665369"/>
    <w:rsid w:val="00665B89"/>
    <w:rsid w:val="00665E5C"/>
    <w:rsid w:val="00665F08"/>
    <w:rsid w:val="0066700A"/>
    <w:rsid w:val="00667080"/>
    <w:rsid w:val="006671CB"/>
    <w:rsid w:val="00670121"/>
    <w:rsid w:val="00670D4A"/>
    <w:rsid w:val="00670DBD"/>
    <w:rsid w:val="00670F61"/>
    <w:rsid w:val="00671153"/>
    <w:rsid w:val="0067150D"/>
    <w:rsid w:val="00671593"/>
    <w:rsid w:val="00671644"/>
    <w:rsid w:val="0067193B"/>
    <w:rsid w:val="00672208"/>
    <w:rsid w:val="0067233B"/>
    <w:rsid w:val="00672AF2"/>
    <w:rsid w:val="00672C47"/>
    <w:rsid w:val="006731CD"/>
    <w:rsid w:val="006738F6"/>
    <w:rsid w:val="00673FFE"/>
    <w:rsid w:val="006746DA"/>
    <w:rsid w:val="00674834"/>
    <w:rsid w:val="00676841"/>
    <w:rsid w:val="00676B15"/>
    <w:rsid w:val="00676E28"/>
    <w:rsid w:val="0067773B"/>
    <w:rsid w:val="00677969"/>
    <w:rsid w:val="00677CFA"/>
    <w:rsid w:val="00677FB4"/>
    <w:rsid w:val="006806DA"/>
    <w:rsid w:val="00680E2C"/>
    <w:rsid w:val="0068137E"/>
    <w:rsid w:val="00681A48"/>
    <w:rsid w:val="00681A7E"/>
    <w:rsid w:val="00681D36"/>
    <w:rsid w:val="00681FDD"/>
    <w:rsid w:val="006824F7"/>
    <w:rsid w:val="00682680"/>
    <w:rsid w:val="006828CF"/>
    <w:rsid w:val="00683902"/>
    <w:rsid w:val="00683984"/>
    <w:rsid w:val="00683A09"/>
    <w:rsid w:val="00683E1D"/>
    <w:rsid w:val="00683EE4"/>
    <w:rsid w:val="00683F8F"/>
    <w:rsid w:val="00683FE6"/>
    <w:rsid w:val="006845A0"/>
    <w:rsid w:val="006846D9"/>
    <w:rsid w:val="00684CF8"/>
    <w:rsid w:val="00684E6B"/>
    <w:rsid w:val="00684EC4"/>
    <w:rsid w:val="0068539F"/>
    <w:rsid w:val="0068580F"/>
    <w:rsid w:val="00685B1C"/>
    <w:rsid w:val="00686346"/>
    <w:rsid w:val="0068663E"/>
    <w:rsid w:val="006868B8"/>
    <w:rsid w:val="00686EB4"/>
    <w:rsid w:val="00687124"/>
    <w:rsid w:val="00687284"/>
    <w:rsid w:val="00687622"/>
    <w:rsid w:val="006879BC"/>
    <w:rsid w:val="00687AE1"/>
    <w:rsid w:val="00687FBD"/>
    <w:rsid w:val="006914F3"/>
    <w:rsid w:val="00691A6B"/>
    <w:rsid w:val="006926CB"/>
    <w:rsid w:val="00692769"/>
    <w:rsid w:val="006927CC"/>
    <w:rsid w:val="00692DD5"/>
    <w:rsid w:val="00692F38"/>
    <w:rsid w:val="0069344C"/>
    <w:rsid w:val="00693662"/>
    <w:rsid w:val="00693EDD"/>
    <w:rsid w:val="00694092"/>
    <w:rsid w:val="006943C9"/>
    <w:rsid w:val="00694598"/>
    <w:rsid w:val="00694860"/>
    <w:rsid w:val="00694869"/>
    <w:rsid w:val="00694D09"/>
    <w:rsid w:val="006952DA"/>
    <w:rsid w:val="00695B88"/>
    <w:rsid w:val="0069667C"/>
    <w:rsid w:val="00697339"/>
    <w:rsid w:val="0069742B"/>
    <w:rsid w:val="00697E63"/>
    <w:rsid w:val="006A014A"/>
    <w:rsid w:val="006A022A"/>
    <w:rsid w:val="006A0415"/>
    <w:rsid w:val="006A05A4"/>
    <w:rsid w:val="006A0724"/>
    <w:rsid w:val="006A0A6C"/>
    <w:rsid w:val="006A0AB3"/>
    <w:rsid w:val="006A1177"/>
    <w:rsid w:val="006A13CC"/>
    <w:rsid w:val="006A246F"/>
    <w:rsid w:val="006A2578"/>
    <w:rsid w:val="006A2AEA"/>
    <w:rsid w:val="006A301B"/>
    <w:rsid w:val="006A3023"/>
    <w:rsid w:val="006A33AF"/>
    <w:rsid w:val="006A3FCA"/>
    <w:rsid w:val="006A4206"/>
    <w:rsid w:val="006A4282"/>
    <w:rsid w:val="006A428B"/>
    <w:rsid w:val="006A4A3D"/>
    <w:rsid w:val="006A4C5D"/>
    <w:rsid w:val="006A4ECC"/>
    <w:rsid w:val="006A51BA"/>
    <w:rsid w:val="006A5490"/>
    <w:rsid w:val="006A5527"/>
    <w:rsid w:val="006A5700"/>
    <w:rsid w:val="006A57B1"/>
    <w:rsid w:val="006A5A65"/>
    <w:rsid w:val="006A5B8F"/>
    <w:rsid w:val="006A709E"/>
    <w:rsid w:val="006A7EAB"/>
    <w:rsid w:val="006B022E"/>
    <w:rsid w:val="006B02B3"/>
    <w:rsid w:val="006B034D"/>
    <w:rsid w:val="006B0409"/>
    <w:rsid w:val="006B0977"/>
    <w:rsid w:val="006B097D"/>
    <w:rsid w:val="006B0B1E"/>
    <w:rsid w:val="006B18B8"/>
    <w:rsid w:val="006B18CB"/>
    <w:rsid w:val="006B22F9"/>
    <w:rsid w:val="006B247F"/>
    <w:rsid w:val="006B251C"/>
    <w:rsid w:val="006B27A3"/>
    <w:rsid w:val="006B27E8"/>
    <w:rsid w:val="006B2999"/>
    <w:rsid w:val="006B3055"/>
    <w:rsid w:val="006B387F"/>
    <w:rsid w:val="006B3995"/>
    <w:rsid w:val="006B3EAB"/>
    <w:rsid w:val="006B457F"/>
    <w:rsid w:val="006B4587"/>
    <w:rsid w:val="006B53A3"/>
    <w:rsid w:val="006B55BB"/>
    <w:rsid w:val="006B55E7"/>
    <w:rsid w:val="006B5D43"/>
    <w:rsid w:val="006B619D"/>
    <w:rsid w:val="006B69F3"/>
    <w:rsid w:val="006B6D8E"/>
    <w:rsid w:val="006B6E58"/>
    <w:rsid w:val="006B7268"/>
    <w:rsid w:val="006B727E"/>
    <w:rsid w:val="006B7386"/>
    <w:rsid w:val="006B7B1F"/>
    <w:rsid w:val="006B7BE0"/>
    <w:rsid w:val="006B7C16"/>
    <w:rsid w:val="006B7E12"/>
    <w:rsid w:val="006C0488"/>
    <w:rsid w:val="006C091C"/>
    <w:rsid w:val="006C0BC1"/>
    <w:rsid w:val="006C0F33"/>
    <w:rsid w:val="006C0F81"/>
    <w:rsid w:val="006C1751"/>
    <w:rsid w:val="006C18D4"/>
    <w:rsid w:val="006C1AB6"/>
    <w:rsid w:val="006C246E"/>
    <w:rsid w:val="006C2BDF"/>
    <w:rsid w:val="006C2C82"/>
    <w:rsid w:val="006C30F7"/>
    <w:rsid w:val="006C34E4"/>
    <w:rsid w:val="006C3651"/>
    <w:rsid w:val="006C4313"/>
    <w:rsid w:val="006C44A9"/>
    <w:rsid w:val="006C4768"/>
    <w:rsid w:val="006C4B86"/>
    <w:rsid w:val="006C513C"/>
    <w:rsid w:val="006C5282"/>
    <w:rsid w:val="006C5663"/>
    <w:rsid w:val="006C5797"/>
    <w:rsid w:val="006C59D6"/>
    <w:rsid w:val="006C5B4E"/>
    <w:rsid w:val="006C5CE8"/>
    <w:rsid w:val="006C5D34"/>
    <w:rsid w:val="006C6179"/>
    <w:rsid w:val="006C6261"/>
    <w:rsid w:val="006C638B"/>
    <w:rsid w:val="006C686C"/>
    <w:rsid w:val="006C71BA"/>
    <w:rsid w:val="006D08CA"/>
    <w:rsid w:val="006D0FBD"/>
    <w:rsid w:val="006D1194"/>
    <w:rsid w:val="006D130F"/>
    <w:rsid w:val="006D143C"/>
    <w:rsid w:val="006D144A"/>
    <w:rsid w:val="006D272B"/>
    <w:rsid w:val="006D2CB1"/>
    <w:rsid w:val="006D2E77"/>
    <w:rsid w:val="006D34E1"/>
    <w:rsid w:val="006D37F8"/>
    <w:rsid w:val="006D4989"/>
    <w:rsid w:val="006D4E6A"/>
    <w:rsid w:val="006D5021"/>
    <w:rsid w:val="006D5A13"/>
    <w:rsid w:val="006D5CF6"/>
    <w:rsid w:val="006D5E68"/>
    <w:rsid w:val="006D5FCE"/>
    <w:rsid w:val="006D6680"/>
    <w:rsid w:val="006D66C5"/>
    <w:rsid w:val="006D680B"/>
    <w:rsid w:val="006D7A04"/>
    <w:rsid w:val="006D7A0B"/>
    <w:rsid w:val="006D7A4E"/>
    <w:rsid w:val="006D7E75"/>
    <w:rsid w:val="006E020C"/>
    <w:rsid w:val="006E044F"/>
    <w:rsid w:val="006E0D0B"/>
    <w:rsid w:val="006E0F89"/>
    <w:rsid w:val="006E1605"/>
    <w:rsid w:val="006E17FC"/>
    <w:rsid w:val="006E2166"/>
    <w:rsid w:val="006E2940"/>
    <w:rsid w:val="006E2F3F"/>
    <w:rsid w:val="006E2FE7"/>
    <w:rsid w:val="006E3280"/>
    <w:rsid w:val="006E3777"/>
    <w:rsid w:val="006E3C34"/>
    <w:rsid w:val="006E3D77"/>
    <w:rsid w:val="006E4218"/>
    <w:rsid w:val="006E47DA"/>
    <w:rsid w:val="006E4E40"/>
    <w:rsid w:val="006E5963"/>
    <w:rsid w:val="006E6321"/>
    <w:rsid w:val="006E6D53"/>
    <w:rsid w:val="006E7825"/>
    <w:rsid w:val="006F049C"/>
    <w:rsid w:val="006F0CF1"/>
    <w:rsid w:val="006F0D48"/>
    <w:rsid w:val="006F0D91"/>
    <w:rsid w:val="006F0F1A"/>
    <w:rsid w:val="006F15B1"/>
    <w:rsid w:val="006F1922"/>
    <w:rsid w:val="006F1F47"/>
    <w:rsid w:val="006F297B"/>
    <w:rsid w:val="006F2C57"/>
    <w:rsid w:val="006F3419"/>
    <w:rsid w:val="006F34AA"/>
    <w:rsid w:val="006F37FA"/>
    <w:rsid w:val="006F3937"/>
    <w:rsid w:val="006F3AE5"/>
    <w:rsid w:val="006F4114"/>
    <w:rsid w:val="006F4126"/>
    <w:rsid w:val="006F425B"/>
    <w:rsid w:val="006F44C9"/>
    <w:rsid w:val="006F4508"/>
    <w:rsid w:val="006F45E4"/>
    <w:rsid w:val="006F48B3"/>
    <w:rsid w:val="006F4B9E"/>
    <w:rsid w:val="006F4EB3"/>
    <w:rsid w:val="006F5050"/>
    <w:rsid w:val="006F63AF"/>
    <w:rsid w:val="006F63C0"/>
    <w:rsid w:val="006F6643"/>
    <w:rsid w:val="006F6D5A"/>
    <w:rsid w:val="006F7702"/>
    <w:rsid w:val="006F7A6B"/>
    <w:rsid w:val="007005B7"/>
    <w:rsid w:val="00700617"/>
    <w:rsid w:val="00700DF3"/>
    <w:rsid w:val="00700FE3"/>
    <w:rsid w:val="00701143"/>
    <w:rsid w:val="007015AD"/>
    <w:rsid w:val="00701B8E"/>
    <w:rsid w:val="00703714"/>
    <w:rsid w:val="007040A8"/>
    <w:rsid w:val="007041C5"/>
    <w:rsid w:val="00704485"/>
    <w:rsid w:val="007048A7"/>
    <w:rsid w:val="007049D3"/>
    <w:rsid w:val="00704B7E"/>
    <w:rsid w:val="0070509F"/>
    <w:rsid w:val="00705128"/>
    <w:rsid w:val="00705150"/>
    <w:rsid w:val="00705379"/>
    <w:rsid w:val="0070582E"/>
    <w:rsid w:val="00705B63"/>
    <w:rsid w:val="00706066"/>
    <w:rsid w:val="00706C0B"/>
    <w:rsid w:val="00706E8E"/>
    <w:rsid w:val="007070E3"/>
    <w:rsid w:val="00707185"/>
    <w:rsid w:val="00707BD5"/>
    <w:rsid w:val="00707DAE"/>
    <w:rsid w:val="00707DD9"/>
    <w:rsid w:val="0071063E"/>
    <w:rsid w:val="007106E4"/>
    <w:rsid w:val="007107D6"/>
    <w:rsid w:val="00710BBE"/>
    <w:rsid w:val="00710D6D"/>
    <w:rsid w:val="00710EC2"/>
    <w:rsid w:val="00711287"/>
    <w:rsid w:val="00711404"/>
    <w:rsid w:val="007117DB"/>
    <w:rsid w:val="00711810"/>
    <w:rsid w:val="0071201A"/>
    <w:rsid w:val="0071237C"/>
    <w:rsid w:val="00712A54"/>
    <w:rsid w:val="00712B96"/>
    <w:rsid w:val="007132EE"/>
    <w:rsid w:val="00713613"/>
    <w:rsid w:val="007139C3"/>
    <w:rsid w:val="00713A9A"/>
    <w:rsid w:val="00713A9E"/>
    <w:rsid w:val="00713F8F"/>
    <w:rsid w:val="0071408C"/>
    <w:rsid w:val="0071420B"/>
    <w:rsid w:val="0071443B"/>
    <w:rsid w:val="007145C1"/>
    <w:rsid w:val="0071477B"/>
    <w:rsid w:val="00714C57"/>
    <w:rsid w:val="007152DE"/>
    <w:rsid w:val="007155F5"/>
    <w:rsid w:val="0071593D"/>
    <w:rsid w:val="00715A01"/>
    <w:rsid w:val="00715BD2"/>
    <w:rsid w:val="007161C4"/>
    <w:rsid w:val="00716734"/>
    <w:rsid w:val="00716A05"/>
    <w:rsid w:val="00716CFE"/>
    <w:rsid w:val="00717C01"/>
    <w:rsid w:val="00717CC6"/>
    <w:rsid w:val="00717DB1"/>
    <w:rsid w:val="00720143"/>
    <w:rsid w:val="00720312"/>
    <w:rsid w:val="00720D6C"/>
    <w:rsid w:val="007215C2"/>
    <w:rsid w:val="00721E97"/>
    <w:rsid w:val="00721EB8"/>
    <w:rsid w:val="007220C2"/>
    <w:rsid w:val="00722747"/>
    <w:rsid w:val="007232F2"/>
    <w:rsid w:val="007233C4"/>
    <w:rsid w:val="007237C0"/>
    <w:rsid w:val="0072386E"/>
    <w:rsid w:val="00723DC2"/>
    <w:rsid w:val="00724212"/>
    <w:rsid w:val="00724425"/>
    <w:rsid w:val="00724778"/>
    <w:rsid w:val="00724785"/>
    <w:rsid w:val="00724AF3"/>
    <w:rsid w:val="00724ECE"/>
    <w:rsid w:val="007259DB"/>
    <w:rsid w:val="00725D2D"/>
    <w:rsid w:val="00725E89"/>
    <w:rsid w:val="00726BC8"/>
    <w:rsid w:val="00726FFA"/>
    <w:rsid w:val="00727012"/>
    <w:rsid w:val="007271ED"/>
    <w:rsid w:val="007276C8"/>
    <w:rsid w:val="00727BFC"/>
    <w:rsid w:val="007309DE"/>
    <w:rsid w:val="00730A08"/>
    <w:rsid w:val="00730D35"/>
    <w:rsid w:val="00731354"/>
    <w:rsid w:val="00731726"/>
    <w:rsid w:val="00731A33"/>
    <w:rsid w:val="00731B8E"/>
    <w:rsid w:val="00731C68"/>
    <w:rsid w:val="00732394"/>
    <w:rsid w:val="0073260F"/>
    <w:rsid w:val="00732E02"/>
    <w:rsid w:val="0073319C"/>
    <w:rsid w:val="0073329C"/>
    <w:rsid w:val="00733C20"/>
    <w:rsid w:val="00733F26"/>
    <w:rsid w:val="0073416E"/>
    <w:rsid w:val="00734518"/>
    <w:rsid w:val="007345D7"/>
    <w:rsid w:val="00734BDC"/>
    <w:rsid w:val="00735118"/>
    <w:rsid w:val="00735C23"/>
    <w:rsid w:val="00735F0E"/>
    <w:rsid w:val="00736750"/>
    <w:rsid w:val="00737390"/>
    <w:rsid w:val="007373D4"/>
    <w:rsid w:val="0073740B"/>
    <w:rsid w:val="00737A0B"/>
    <w:rsid w:val="00737C70"/>
    <w:rsid w:val="007403B0"/>
    <w:rsid w:val="0074075D"/>
    <w:rsid w:val="007408B5"/>
    <w:rsid w:val="00740DD4"/>
    <w:rsid w:val="00741284"/>
    <w:rsid w:val="0074185A"/>
    <w:rsid w:val="007421DD"/>
    <w:rsid w:val="0074293A"/>
    <w:rsid w:val="00742FC7"/>
    <w:rsid w:val="007438B8"/>
    <w:rsid w:val="00743965"/>
    <w:rsid w:val="007443DC"/>
    <w:rsid w:val="00744488"/>
    <w:rsid w:val="007445CF"/>
    <w:rsid w:val="00744A34"/>
    <w:rsid w:val="00744E35"/>
    <w:rsid w:val="00744ED1"/>
    <w:rsid w:val="007454D5"/>
    <w:rsid w:val="007461F3"/>
    <w:rsid w:val="0074688F"/>
    <w:rsid w:val="007469DB"/>
    <w:rsid w:val="007469F1"/>
    <w:rsid w:val="00746AD1"/>
    <w:rsid w:val="00746B5F"/>
    <w:rsid w:val="00746B9E"/>
    <w:rsid w:val="0074720A"/>
    <w:rsid w:val="00747231"/>
    <w:rsid w:val="00747625"/>
    <w:rsid w:val="00747DA6"/>
    <w:rsid w:val="007507A2"/>
    <w:rsid w:val="00750D54"/>
    <w:rsid w:val="00750E70"/>
    <w:rsid w:val="0075134E"/>
    <w:rsid w:val="00751496"/>
    <w:rsid w:val="00751793"/>
    <w:rsid w:val="00752096"/>
    <w:rsid w:val="00752707"/>
    <w:rsid w:val="00752EDB"/>
    <w:rsid w:val="0075319D"/>
    <w:rsid w:val="007532B1"/>
    <w:rsid w:val="0075396A"/>
    <w:rsid w:val="007539E4"/>
    <w:rsid w:val="00754084"/>
    <w:rsid w:val="00754D8E"/>
    <w:rsid w:val="007556AE"/>
    <w:rsid w:val="007556F1"/>
    <w:rsid w:val="00755B16"/>
    <w:rsid w:val="00756253"/>
    <w:rsid w:val="007564D9"/>
    <w:rsid w:val="007565B0"/>
    <w:rsid w:val="00756ACB"/>
    <w:rsid w:val="00756BA9"/>
    <w:rsid w:val="00756BD9"/>
    <w:rsid w:val="00756FC4"/>
    <w:rsid w:val="007574F6"/>
    <w:rsid w:val="00757620"/>
    <w:rsid w:val="007578B9"/>
    <w:rsid w:val="00757D0A"/>
    <w:rsid w:val="00760379"/>
    <w:rsid w:val="0076070A"/>
    <w:rsid w:val="00760749"/>
    <w:rsid w:val="007608DA"/>
    <w:rsid w:val="007609E7"/>
    <w:rsid w:val="0076122E"/>
    <w:rsid w:val="00761345"/>
    <w:rsid w:val="0076148D"/>
    <w:rsid w:val="0076207A"/>
    <w:rsid w:val="00762A05"/>
    <w:rsid w:val="00762E03"/>
    <w:rsid w:val="00762F0D"/>
    <w:rsid w:val="00763174"/>
    <w:rsid w:val="00763E06"/>
    <w:rsid w:val="00763F20"/>
    <w:rsid w:val="0076494E"/>
    <w:rsid w:val="00764D0E"/>
    <w:rsid w:val="00764DA0"/>
    <w:rsid w:val="00765008"/>
    <w:rsid w:val="007651E2"/>
    <w:rsid w:val="00765256"/>
    <w:rsid w:val="007658B4"/>
    <w:rsid w:val="0076599B"/>
    <w:rsid w:val="00765A83"/>
    <w:rsid w:val="00765C6A"/>
    <w:rsid w:val="00765DC3"/>
    <w:rsid w:val="0076651D"/>
    <w:rsid w:val="0076665E"/>
    <w:rsid w:val="00766BE9"/>
    <w:rsid w:val="00766CE2"/>
    <w:rsid w:val="00767349"/>
    <w:rsid w:val="00767384"/>
    <w:rsid w:val="007702DC"/>
    <w:rsid w:val="007703DB"/>
    <w:rsid w:val="00770554"/>
    <w:rsid w:val="007706AA"/>
    <w:rsid w:val="007708F0"/>
    <w:rsid w:val="00770E8F"/>
    <w:rsid w:val="007715C0"/>
    <w:rsid w:val="0077170F"/>
    <w:rsid w:val="007718BF"/>
    <w:rsid w:val="00771A1D"/>
    <w:rsid w:val="00771BEE"/>
    <w:rsid w:val="00771DAC"/>
    <w:rsid w:val="00771E35"/>
    <w:rsid w:val="00771ED7"/>
    <w:rsid w:val="007723A4"/>
    <w:rsid w:val="007723B3"/>
    <w:rsid w:val="00772936"/>
    <w:rsid w:val="007732C0"/>
    <w:rsid w:val="00773E73"/>
    <w:rsid w:val="00773E99"/>
    <w:rsid w:val="0077415E"/>
    <w:rsid w:val="00774337"/>
    <w:rsid w:val="00775B23"/>
    <w:rsid w:val="00775F45"/>
    <w:rsid w:val="00775FED"/>
    <w:rsid w:val="007761B9"/>
    <w:rsid w:val="00776326"/>
    <w:rsid w:val="007764CF"/>
    <w:rsid w:val="00776A29"/>
    <w:rsid w:val="00776E4E"/>
    <w:rsid w:val="00777093"/>
    <w:rsid w:val="007770E9"/>
    <w:rsid w:val="007771A5"/>
    <w:rsid w:val="007779CB"/>
    <w:rsid w:val="00777BC8"/>
    <w:rsid w:val="00777C5F"/>
    <w:rsid w:val="007806F8"/>
    <w:rsid w:val="00780930"/>
    <w:rsid w:val="00781049"/>
    <w:rsid w:val="00781069"/>
    <w:rsid w:val="007812A3"/>
    <w:rsid w:val="00781473"/>
    <w:rsid w:val="0078164B"/>
    <w:rsid w:val="00781690"/>
    <w:rsid w:val="00781B1A"/>
    <w:rsid w:val="007820B2"/>
    <w:rsid w:val="007821CE"/>
    <w:rsid w:val="00782482"/>
    <w:rsid w:val="0078286B"/>
    <w:rsid w:val="00782A5E"/>
    <w:rsid w:val="00783A1E"/>
    <w:rsid w:val="00783AC7"/>
    <w:rsid w:val="0078409D"/>
    <w:rsid w:val="00784ACB"/>
    <w:rsid w:val="00784E95"/>
    <w:rsid w:val="00785423"/>
    <w:rsid w:val="00785925"/>
    <w:rsid w:val="007860D3"/>
    <w:rsid w:val="007868F9"/>
    <w:rsid w:val="00786ABE"/>
    <w:rsid w:val="00786C36"/>
    <w:rsid w:val="00786DD5"/>
    <w:rsid w:val="00786F90"/>
    <w:rsid w:val="00787374"/>
    <w:rsid w:val="007873F1"/>
    <w:rsid w:val="007874CE"/>
    <w:rsid w:val="00790105"/>
    <w:rsid w:val="0079078A"/>
    <w:rsid w:val="00790AB7"/>
    <w:rsid w:val="00790F87"/>
    <w:rsid w:val="00791468"/>
    <w:rsid w:val="007916BD"/>
    <w:rsid w:val="00791A32"/>
    <w:rsid w:val="00791B80"/>
    <w:rsid w:val="00791F5B"/>
    <w:rsid w:val="00792064"/>
    <w:rsid w:val="00792367"/>
    <w:rsid w:val="00792393"/>
    <w:rsid w:val="007925D4"/>
    <w:rsid w:val="00792630"/>
    <w:rsid w:val="007927BF"/>
    <w:rsid w:val="00792CC1"/>
    <w:rsid w:val="00792DEC"/>
    <w:rsid w:val="0079319B"/>
    <w:rsid w:val="00793378"/>
    <w:rsid w:val="00794831"/>
    <w:rsid w:val="00794B3C"/>
    <w:rsid w:val="00794C03"/>
    <w:rsid w:val="0079558C"/>
    <w:rsid w:val="00795E1E"/>
    <w:rsid w:val="0079618A"/>
    <w:rsid w:val="00796FB8"/>
    <w:rsid w:val="00796FFD"/>
    <w:rsid w:val="00797161"/>
    <w:rsid w:val="00797336"/>
    <w:rsid w:val="00797FE5"/>
    <w:rsid w:val="007A0310"/>
    <w:rsid w:val="007A09AE"/>
    <w:rsid w:val="007A11EA"/>
    <w:rsid w:val="007A1346"/>
    <w:rsid w:val="007A155A"/>
    <w:rsid w:val="007A1A60"/>
    <w:rsid w:val="007A2F15"/>
    <w:rsid w:val="007A2FA8"/>
    <w:rsid w:val="007A33D5"/>
    <w:rsid w:val="007A39C3"/>
    <w:rsid w:val="007A3A2B"/>
    <w:rsid w:val="007A3C02"/>
    <w:rsid w:val="007A3C48"/>
    <w:rsid w:val="007A3F5A"/>
    <w:rsid w:val="007A4413"/>
    <w:rsid w:val="007A4418"/>
    <w:rsid w:val="007A4AE6"/>
    <w:rsid w:val="007A5107"/>
    <w:rsid w:val="007A5C9E"/>
    <w:rsid w:val="007A5EF3"/>
    <w:rsid w:val="007A62AA"/>
    <w:rsid w:val="007A6747"/>
    <w:rsid w:val="007A692F"/>
    <w:rsid w:val="007A72C5"/>
    <w:rsid w:val="007A7551"/>
    <w:rsid w:val="007A7D4C"/>
    <w:rsid w:val="007B04AA"/>
    <w:rsid w:val="007B0D1F"/>
    <w:rsid w:val="007B1B6C"/>
    <w:rsid w:val="007B1E57"/>
    <w:rsid w:val="007B2C4A"/>
    <w:rsid w:val="007B2CC5"/>
    <w:rsid w:val="007B2F45"/>
    <w:rsid w:val="007B3EF9"/>
    <w:rsid w:val="007B48CA"/>
    <w:rsid w:val="007B4BB7"/>
    <w:rsid w:val="007B4E84"/>
    <w:rsid w:val="007B56D7"/>
    <w:rsid w:val="007B5E58"/>
    <w:rsid w:val="007B6156"/>
    <w:rsid w:val="007B6591"/>
    <w:rsid w:val="007B6E49"/>
    <w:rsid w:val="007B70F5"/>
    <w:rsid w:val="007B7331"/>
    <w:rsid w:val="007B7DDF"/>
    <w:rsid w:val="007B7E5B"/>
    <w:rsid w:val="007B7F7F"/>
    <w:rsid w:val="007C0010"/>
    <w:rsid w:val="007C0D46"/>
    <w:rsid w:val="007C0EFA"/>
    <w:rsid w:val="007C0FC5"/>
    <w:rsid w:val="007C1106"/>
    <w:rsid w:val="007C11A2"/>
    <w:rsid w:val="007C11EC"/>
    <w:rsid w:val="007C14B3"/>
    <w:rsid w:val="007C1764"/>
    <w:rsid w:val="007C1B70"/>
    <w:rsid w:val="007C1C77"/>
    <w:rsid w:val="007C1D4E"/>
    <w:rsid w:val="007C1F07"/>
    <w:rsid w:val="007C27D4"/>
    <w:rsid w:val="007C35BC"/>
    <w:rsid w:val="007C378B"/>
    <w:rsid w:val="007C3AA0"/>
    <w:rsid w:val="007C492B"/>
    <w:rsid w:val="007C4A06"/>
    <w:rsid w:val="007C4C78"/>
    <w:rsid w:val="007C4EC5"/>
    <w:rsid w:val="007C4EFA"/>
    <w:rsid w:val="007C4FDB"/>
    <w:rsid w:val="007C507F"/>
    <w:rsid w:val="007C52C5"/>
    <w:rsid w:val="007C595C"/>
    <w:rsid w:val="007C5CB7"/>
    <w:rsid w:val="007C5D7A"/>
    <w:rsid w:val="007C5EF0"/>
    <w:rsid w:val="007C663F"/>
    <w:rsid w:val="007C67BE"/>
    <w:rsid w:val="007C6B6C"/>
    <w:rsid w:val="007C7603"/>
    <w:rsid w:val="007D0333"/>
    <w:rsid w:val="007D0411"/>
    <w:rsid w:val="007D12EF"/>
    <w:rsid w:val="007D12FF"/>
    <w:rsid w:val="007D139D"/>
    <w:rsid w:val="007D1437"/>
    <w:rsid w:val="007D169A"/>
    <w:rsid w:val="007D1BD7"/>
    <w:rsid w:val="007D1D72"/>
    <w:rsid w:val="007D20F8"/>
    <w:rsid w:val="007D25D3"/>
    <w:rsid w:val="007D275B"/>
    <w:rsid w:val="007D27F6"/>
    <w:rsid w:val="007D305C"/>
    <w:rsid w:val="007D30AB"/>
    <w:rsid w:val="007D359D"/>
    <w:rsid w:val="007D395C"/>
    <w:rsid w:val="007D39D7"/>
    <w:rsid w:val="007D3C9C"/>
    <w:rsid w:val="007D40B1"/>
    <w:rsid w:val="007D43C5"/>
    <w:rsid w:val="007D454A"/>
    <w:rsid w:val="007D49CD"/>
    <w:rsid w:val="007D4A42"/>
    <w:rsid w:val="007D4D1C"/>
    <w:rsid w:val="007D4DFF"/>
    <w:rsid w:val="007D5807"/>
    <w:rsid w:val="007D5A06"/>
    <w:rsid w:val="007D5F28"/>
    <w:rsid w:val="007D5FE9"/>
    <w:rsid w:val="007D60F6"/>
    <w:rsid w:val="007D6B03"/>
    <w:rsid w:val="007D6C71"/>
    <w:rsid w:val="007D6D95"/>
    <w:rsid w:val="007D6E46"/>
    <w:rsid w:val="007D6E99"/>
    <w:rsid w:val="007D7472"/>
    <w:rsid w:val="007D7512"/>
    <w:rsid w:val="007D7749"/>
    <w:rsid w:val="007D7909"/>
    <w:rsid w:val="007D7989"/>
    <w:rsid w:val="007E020E"/>
    <w:rsid w:val="007E0850"/>
    <w:rsid w:val="007E0E53"/>
    <w:rsid w:val="007E14E0"/>
    <w:rsid w:val="007E17C2"/>
    <w:rsid w:val="007E2185"/>
    <w:rsid w:val="007E285A"/>
    <w:rsid w:val="007E2A61"/>
    <w:rsid w:val="007E2B74"/>
    <w:rsid w:val="007E316A"/>
    <w:rsid w:val="007E3DB7"/>
    <w:rsid w:val="007E40B8"/>
    <w:rsid w:val="007E40E5"/>
    <w:rsid w:val="007E4412"/>
    <w:rsid w:val="007E4589"/>
    <w:rsid w:val="007E4CBF"/>
    <w:rsid w:val="007E4D13"/>
    <w:rsid w:val="007E5EBB"/>
    <w:rsid w:val="007E62DD"/>
    <w:rsid w:val="007E7821"/>
    <w:rsid w:val="007E7956"/>
    <w:rsid w:val="007E7A8C"/>
    <w:rsid w:val="007E7AC4"/>
    <w:rsid w:val="007E7E35"/>
    <w:rsid w:val="007E7E39"/>
    <w:rsid w:val="007F0846"/>
    <w:rsid w:val="007F085B"/>
    <w:rsid w:val="007F0C48"/>
    <w:rsid w:val="007F0DB8"/>
    <w:rsid w:val="007F1527"/>
    <w:rsid w:val="007F18B7"/>
    <w:rsid w:val="007F204B"/>
    <w:rsid w:val="007F231D"/>
    <w:rsid w:val="007F237F"/>
    <w:rsid w:val="007F245B"/>
    <w:rsid w:val="007F2468"/>
    <w:rsid w:val="007F2BE4"/>
    <w:rsid w:val="007F2CFC"/>
    <w:rsid w:val="007F2E21"/>
    <w:rsid w:val="007F315E"/>
    <w:rsid w:val="007F357D"/>
    <w:rsid w:val="007F35B3"/>
    <w:rsid w:val="007F372E"/>
    <w:rsid w:val="007F39FB"/>
    <w:rsid w:val="007F3D8F"/>
    <w:rsid w:val="007F40EB"/>
    <w:rsid w:val="007F4245"/>
    <w:rsid w:val="007F44DC"/>
    <w:rsid w:val="007F4730"/>
    <w:rsid w:val="007F4786"/>
    <w:rsid w:val="007F4A86"/>
    <w:rsid w:val="007F4CFE"/>
    <w:rsid w:val="007F4FBA"/>
    <w:rsid w:val="007F642E"/>
    <w:rsid w:val="007F6589"/>
    <w:rsid w:val="007F66B7"/>
    <w:rsid w:val="007F6B94"/>
    <w:rsid w:val="007F6CA8"/>
    <w:rsid w:val="007F7060"/>
    <w:rsid w:val="007F70AA"/>
    <w:rsid w:val="007F70B7"/>
    <w:rsid w:val="007F7AD1"/>
    <w:rsid w:val="00800412"/>
    <w:rsid w:val="0080091B"/>
    <w:rsid w:val="00800CB8"/>
    <w:rsid w:val="00800D50"/>
    <w:rsid w:val="00800D8C"/>
    <w:rsid w:val="00800DF6"/>
    <w:rsid w:val="00800F5F"/>
    <w:rsid w:val="00801294"/>
    <w:rsid w:val="00801413"/>
    <w:rsid w:val="00802713"/>
    <w:rsid w:val="00802C43"/>
    <w:rsid w:val="00803282"/>
    <w:rsid w:val="0080345D"/>
    <w:rsid w:val="00803F59"/>
    <w:rsid w:val="00804242"/>
    <w:rsid w:val="00804281"/>
    <w:rsid w:val="00804394"/>
    <w:rsid w:val="008045EA"/>
    <w:rsid w:val="00804736"/>
    <w:rsid w:val="00804ABE"/>
    <w:rsid w:val="00804D29"/>
    <w:rsid w:val="008052B6"/>
    <w:rsid w:val="0080539C"/>
    <w:rsid w:val="00805CD1"/>
    <w:rsid w:val="00805E13"/>
    <w:rsid w:val="008061DA"/>
    <w:rsid w:val="008062F4"/>
    <w:rsid w:val="008067FF"/>
    <w:rsid w:val="008075B2"/>
    <w:rsid w:val="0080775C"/>
    <w:rsid w:val="00807AF4"/>
    <w:rsid w:val="008101AC"/>
    <w:rsid w:val="00810674"/>
    <w:rsid w:val="00810771"/>
    <w:rsid w:val="0081081E"/>
    <w:rsid w:val="00810AE1"/>
    <w:rsid w:val="00811154"/>
    <w:rsid w:val="008114D6"/>
    <w:rsid w:val="008115D8"/>
    <w:rsid w:val="00811ACF"/>
    <w:rsid w:val="00812037"/>
    <w:rsid w:val="00812401"/>
    <w:rsid w:val="00812597"/>
    <w:rsid w:val="00812919"/>
    <w:rsid w:val="00812D88"/>
    <w:rsid w:val="00812E59"/>
    <w:rsid w:val="008136F4"/>
    <w:rsid w:val="0081405C"/>
    <w:rsid w:val="00814388"/>
    <w:rsid w:val="00814E33"/>
    <w:rsid w:val="008156BA"/>
    <w:rsid w:val="00815D75"/>
    <w:rsid w:val="008165CF"/>
    <w:rsid w:val="008166C7"/>
    <w:rsid w:val="00817478"/>
    <w:rsid w:val="00817570"/>
    <w:rsid w:val="00817590"/>
    <w:rsid w:val="00817641"/>
    <w:rsid w:val="0081769A"/>
    <w:rsid w:val="00817863"/>
    <w:rsid w:val="00817B77"/>
    <w:rsid w:val="00817C27"/>
    <w:rsid w:val="00817FFE"/>
    <w:rsid w:val="00820140"/>
    <w:rsid w:val="00820379"/>
    <w:rsid w:val="008206CE"/>
    <w:rsid w:val="00820ECF"/>
    <w:rsid w:val="00820FEB"/>
    <w:rsid w:val="008220DA"/>
    <w:rsid w:val="00822238"/>
    <w:rsid w:val="00822274"/>
    <w:rsid w:val="008223D1"/>
    <w:rsid w:val="00822CBD"/>
    <w:rsid w:val="00823228"/>
    <w:rsid w:val="008233B1"/>
    <w:rsid w:val="008234FE"/>
    <w:rsid w:val="0082382A"/>
    <w:rsid w:val="00824A97"/>
    <w:rsid w:val="00824B7A"/>
    <w:rsid w:val="00824B98"/>
    <w:rsid w:val="00824CCC"/>
    <w:rsid w:val="00825976"/>
    <w:rsid w:val="00825A3D"/>
    <w:rsid w:val="00825F94"/>
    <w:rsid w:val="008261A4"/>
    <w:rsid w:val="00826357"/>
    <w:rsid w:val="0082659D"/>
    <w:rsid w:val="00826B93"/>
    <w:rsid w:val="00826DD3"/>
    <w:rsid w:val="008272E5"/>
    <w:rsid w:val="008272FF"/>
    <w:rsid w:val="0082777F"/>
    <w:rsid w:val="00827F43"/>
    <w:rsid w:val="00830083"/>
    <w:rsid w:val="008300DE"/>
    <w:rsid w:val="008306C1"/>
    <w:rsid w:val="00830E92"/>
    <w:rsid w:val="008310A3"/>
    <w:rsid w:val="008319D0"/>
    <w:rsid w:val="00832C9D"/>
    <w:rsid w:val="00832E7E"/>
    <w:rsid w:val="00832EB5"/>
    <w:rsid w:val="00833305"/>
    <w:rsid w:val="0083395F"/>
    <w:rsid w:val="00833AC8"/>
    <w:rsid w:val="00834651"/>
    <w:rsid w:val="0083492C"/>
    <w:rsid w:val="00834C1B"/>
    <w:rsid w:val="00835356"/>
    <w:rsid w:val="00835472"/>
    <w:rsid w:val="00835565"/>
    <w:rsid w:val="00836838"/>
    <w:rsid w:val="008375FB"/>
    <w:rsid w:val="00837710"/>
    <w:rsid w:val="00837ADA"/>
    <w:rsid w:val="00837E3A"/>
    <w:rsid w:val="00840592"/>
    <w:rsid w:val="0084075D"/>
    <w:rsid w:val="00840D38"/>
    <w:rsid w:val="008416FC"/>
    <w:rsid w:val="0084183B"/>
    <w:rsid w:val="00841B95"/>
    <w:rsid w:val="00841E33"/>
    <w:rsid w:val="0084212A"/>
    <w:rsid w:val="00842281"/>
    <w:rsid w:val="008423EC"/>
    <w:rsid w:val="008429D6"/>
    <w:rsid w:val="00842CC5"/>
    <w:rsid w:val="00843405"/>
    <w:rsid w:val="00843546"/>
    <w:rsid w:val="00843562"/>
    <w:rsid w:val="00843696"/>
    <w:rsid w:val="0084382C"/>
    <w:rsid w:val="008439A6"/>
    <w:rsid w:val="00843E56"/>
    <w:rsid w:val="00844722"/>
    <w:rsid w:val="00844C66"/>
    <w:rsid w:val="00844CF4"/>
    <w:rsid w:val="0084511E"/>
    <w:rsid w:val="008452BB"/>
    <w:rsid w:val="00845529"/>
    <w:rsid w:val="008457C3"/>
    <w:rsid w:val="00845AA5"/>
    <w:rsid w:val="00846093"/>
    <w:rsid w:val="0084723B"/>
    <w:rsid w:val="00847289"/>
    <w:rsid w:val="00847511"/>
    <w:rsid w:val="00847DC6"/>
    <w:rsid w:val="00850619"/>
    <w:rsid w:val="00850A44"/>
    <w:rsid w:val="00850B2E"/>
    <w:rsid w:val="00850BAD"/>
    <w:rsid w:val="00850FE5"/>
    <w:rsid w:val="00851201"/>
    <w:rsid w:val="0085136F"/>
    <w:rsid w:val="00851763"/>
    <w:rsid w:val="00851A7E"/>
    <w:rsid w:val="0085247E"/>
    <w:rsid w:val="00852797"/>
    <w:rsid w:val="00852818"/>
    <w:rsid w:val="00852881"/>
    <w:rsid w:val="00852E1D"/>
    <w:rsid w:val="008532F6"/>
    <w:rsid w:val="00853449"/>
    <w:rsid w:val="00853527"/>
    <w:rsid w:val="0085381D"/>
    <w:rsid w:val="00853906"/>
    <w:rsid w:val="00853C5E"/>
    <w:rsid w:val="00853F80"/>
    <w:rsid w:val="0085405C"/>
    <w:rsid w:val="008541D3"/>
    <w:rsid w:val="00854408"/>
    <w:rsid w:val="0085455E"/>
    <w:rsid w:val="008546A1"/>
    <w:rsid w:val="008546A3"/>
    <w:rsid w:val="008547A7"/>
    <w:rsid w:val="00854B0B"/>
    <w:rsid w:val="00854FFD"/>
    <w:rsid w:val="00855238"/>
    <w:rsid w:val="00855D07"/>
    <w:rsid w:val="00855E9C"/>
    <w:rsid w:val="0085601D"/>
    <w:rsid w:val="008561F3"/>
    <w:rsid w:val="0085699D"/>
    <w:rsid w:val="00856A6A"/>
    <w:rsid w:val="00856C7A"/>
    <w:rsid w:val="00856E09"/>
    <w:rsid w:val="00856FAB"/>
    <w:rsid w:val="00856FB5"/>
    <w:rsid w:val="00857854"/>
    <w:rsid w:val="00857A7A"/>
    <w:rsid w:val="00857BB8"/>
    <w:rsid w:val="00860771"/>
    <w:rsid w:val="00860CF0"/>
    <w:rsid w:val="00860E02"/>
    <w:rsid w:val="00860EB6"/>
    <w:rsid w:val="008614C2"/>
    <w:rsid w:val="0086158B"/>
    <w:rsid w:val="00861D61"/>
    <w:rsid w:val="00861FEE"/>
    <w:rsid w:val="008622D9"/>
    <w:rsid w:val="00862337"/>
    <w:rsid w:val="0086268F"/>
    <w:rsid w:val="008627AF"/>
    <w:rsid w:val="00862A60"/>
    <w:rsid w:val="00863133"/>
    <w:rsid w:val="00863300"/>
    <w:rsid w:val="0086335F"/>
    <w:rsid w:val="00863617"/>
    <w:rsid w:val="00863881"/>
    <w:rsid w:val="00863A2F"/>
    <w:rsid w:val="00863A4B"/>
    <w:rsid w:val="00864398"/>
    <w:rsid w:val="008645B5"/>
    <w:rsid w:val="008645BC"/>
    <w:rsid w:val="00864A8E"/>
    <w:rsid w:val="00865248"/>
    <w:rsid w:val="00865312"/>
    <w:rsid w:val="00866126"/>
    <w:rsid w:val="00866AA7"/>
    <w:rsid w:val="00866C45"/>
    <w:rsid w:val="00867134"/>
    <w:rsid w:val="0086741C"/>
    <w:rsid w:val="008702D5"/>
    <w:rsid w:val="008704B4"/>
    <w:rsid w:val="0087080A"/>
    <w:rsid w:val="008709F3"/>
    <w:rsid w:val="00870C54"/>
    <w:rsid w:val="00870D8E"/>
    <w:rsid w:val="0087128D"/>
    <w:rsid w:val="00871571"/>
    <w:rsid w:val="00871863"/>
    <w:rsid w:val="00872907"/>
    <w:rsid w:val="00872B52"/>
    <w:rsid w:val="00872D55"/>
    <w:rsid w:val="00873B1C"/>
    <w:rsid w:val="008741A6"/>
    <w:rsid w:val="008741DE"/>
    <w:rsid w:val="008746FC"/>
    <w:rsid w:val="00874BC9"/>
    <w:rsid w:val="00874E52"/>
    <w:rsid w:val="008750E0"/>
    <w:rsid w:val="00875212"/>
    <w:rsid w:val="008754DC"/>
    <w:rsid w:val="008755B2"/>
    <w:rsid w:val="008755DD"/>
    <w:rsid w:val="008759C7"/>
    <w:rsid w:val="00875E9C"/>
    <w:rsid w:val="008761ED"/>
    <w:rsid w:val="00877CB9"/>
    <w:rsid w:val="008801B3"/>
    <w:rsid w:val="008801EF"/>
    <w:rsid w:val="008803AF"/>
    <w:rsid w:val="008809C0"/>
    <w:rsid w:val="00881379"/>
    <w:rsid w:val="008817DD"/>
    <w:rsid w:val="00881C2A"/>
    <w:rsid w:val="0088258B"/>
    <w:rsid w:val="008825EC"/>
    <w:rsid w:val="008826C7"/>
    <w:rsid w:val="0088273E"/>
    <w:rsid w:val="00882A1A"/>
    <w:rsid w:val="00882E08"/>
    <w:rsid w:val="00883415"/>
    <w:rsid w:val="008834DE"/>
    <w:rsid w:val="008839AD"/>
    <w:rsid w:val="008848AA"/>
    <w:rsid w:val="00884908"/>
    <w:rsid w:val="00884BA0"/>
    <w:rsid w:val="00884BDA"/>
    <w:rsid w:val="00885223"/>
    <w:rsid w:val="0088578D"/>
    <w:rsid w:val="00886042"/>
    <w:rsid w:val="00886164"/>
    <w:rsid w:val="008861A9"/>
    <w:rsid w:val="00886B34"/>
    <w:rsid w:val="0089027D"/>
    <w:rsid w:val="008907B7"/>
    <w:rsid w:val="008909A6"/>
    <w:rsid w:val="00890B62"/>
    <w:rsid w:val="0089120F"/>
    <w:rsid w:val="008915C4"/>
    <w:rsid w:val="00891BC6"/>
    <w:rsid w:val="00891D83"/>
    <w:rsid w:val="00892F17"/>
    <w:rsid w:val="0089300C"/>
    <w:rsid w:val="00893067"/>
    <w:rsid w:val="00893898"/>
    <w:rsid w:val="00893A36"/>
    <w:rsid w:val="00893CC9"/>
    <w:rsid w:val="00893CEC"/>
    <w:rsid w:val="00894191"/>
    <w:rsid w:val="008943A6"/>
    <w:rsid w:val="00894467"/>
    <w:rsid w:val="00894471"/>
    <w:rsid w:val="00894841"/>
    <w:rsid w:val="00894CAD"/>
    <w:rsid w:val="00894D86"/>
    <w:rsid w:val="008950E9"/>
    <w:rsid w:val="0089561E"/>
    <w:rsid w:val="008956CE"/>
    <w:rsid w:val="0089607C"/>
    <w:rsid w:val="008969AB"/>
    <w:rsid w:val="008969F6"/>
    <w:rsid w:val="00897D42"/>
    <w:rsid w:val="008A00B7"/>
    <w:rsid w:val="008A00E0"/>
    <w:rsid w:val="008A0559"/>
    <w:rsid w:val="008A0A25"/>
    <w:rsid w:val="008A0D46"/>
    <w:rsid w:val="008A1574"/>
    <w:rsid w:val="008A15CD"/>
    <w:rsid w:val="008A1768"/>
    <w:rsid w:val="008A18AA"/>
    <w:rsid w:val="008A1C1E"/>
    <w:rsid w:val="008A1C84"/>
    <w:rsid w:val="008A215F"/>
    <w:rsid w:val="008A25C3"/>
    <w:rsid w:val="008A2784"/>
    <w:rsid w:val="008A27EE"/>
    <w:rsid w:val="008A28A1"/>
    <w:rsid w:val="008A2A25"/>
    <w:rsid w:val="008A2F95"/>
    <w:rsid w:val="008A3B68"/>
    <w:rsid w:val="008A4591"/>
    <w:rsid w:val="008A48E1"/>
    <w:rsid w:val="008A517B"/>
    <w:rsid w:val="008A56BD"/>
    <w:rsid w:val="008A64C7"/>
    <w:rsid w:val="008A68D0"/>
    <w:rsid w:val="008A7A2D"/>
    <w:rsid w:val="008A7CFD"/>
    <w:rsid w:val="008A7E88"/>
    <w:rsid w:val="008B012F"/>
    <w:rsid w:val="008B016B"/>
    <w:rsid w:val="008B053D"/>
    <w:rsid w:val="008B0639"/>
    <w:rsid w:val="008B064D"/>
    <w:rsid w:val="008B097E"/>
    <w:rsid w:val="008B0C9B"/>
    <w:rsid w:val="008B1010"/>
    <w:rsid w:val="008B1290"/>
    <w:rsid w:val="008B1921"/>
    <w:rsid w:val="008B1F6A"/>
    <w:rsid w:val="008B2108"/>
    <w:rsid w:val="008B2429"/>
    <w:rsid w:val="008B24C7"/>
    <w:rsid w:val="008B2B1E"/>
    <w:rsid w:val="008B2CD2"/>
    <w:rsid w:val="008B30A9"/>
    <w:rsid w:val="008B336F"/>
    <w:rsid w:val="008B3798"/>
    <w:rsid w:val="008B3D25"/>
    <w:rsid w:val="008B4088"/>
    <w:rsid w:val="008B4FFA"/>
    <w:rsid w:val="008B5110"/>
    <w:rsid w:val="008B5147"/>
    <w:rsid w:val="008B53D4"/>
    <w:rsid w:val="008B5494"/>
    <w:rsid w:val="008B56DD"/>
    <w:rsid w:val="008B5899"/>
    <w:rsid w:val="008B5AC5"/>
    <w:rsid w:val="008B5E29"/>
    <w:rsid w:val="008B6161"/>
    <w:rsid w:val="008B6197"/>
    <w:rsid w:val="008B69E3"/>
    <w:rsid w:val="008B709F"/>
    <w:rsid w:val="008B7586"/>
    <w:rsid w:val="008B769F"/>
    <w:rsid w:val="008B79AC"/>
    <w:rsid w:val="008B7A60"/>
    <w:rsid w:val="008C0008"/>
    <w:rsid w:val="008C08A1"/>
    <w:rsid w:val="008C1083"/>
    <w:rsid w:val="008C14F1"/>
    <w:rsid w:val="008C1A71"/>
    <w:rsid w:val="008C1ACE"/>
    <w:rsid w:val="008C1D54"/>
    <w:rsid w:val="008C2760"/>
    <w:rsid w:val="008C27D4"/>
    <w:rsid w:val="008C2E77"/>
    <w:rsid w:val="008C40F3"/>
    <w:rsid w:val="008C4469"/>
    <w:rsid w:val="008C447A"/>
    <w:rsid w:val="008C4481"/>
    <w:rsid w:val="008C490D"/>
    <w:rsid w:val="008C51EA"/>
    <w:rsid w:val="008C5238"/>
    <w:rsid w:val="008C5F95"/>
    <w:rsid w:val="008C6CE4"/>
    <w:rsid w:val="008C6DF7"/>
    <w:rsid w:val="008C6F8F"/>
    <w:rsid w:val="008C718D"/>
    <w:rsid w:val="008C744F"/>
    <w:rsid w:val="008C74B9"/>
    <w:rsid w:val="008C7F35"/>
    <w:rsid w:val="008D081F"/>
    <w:rsid w:val="008D0A86"/>
    <w:rsid w:val="008D0D5D"/>
    <w:rsid w:val="008D0FFE"/>
    <w:rsid w:val="008D2037"/>
    <w:rsid w:val="008D2B4F"/>
    <w:rsid w:val="008D2EC4"/>
    <w:rsid w:val="008D359A"/>
    <w:rsid w:val="008D390B"/>
    <w:rsid w:val="008D3B9F"/>
    <w:rsid w:val="008D3C53"/>
    <w:rsid w:val="008D3CB2"/>
    <w:rsid w:val="008D445F"/>
    <w:rsid w:val="008D4565"/>
    <w:rsid w:val="008D4697"/>
    <w:rsid w:val="008D46B0"/>
    <w:rsid w:val="008D4A72"/>
    <w:rsid w:val="008D5256"/>
    <w:rsid w:val="008D57DC"/>
    <w:rsid w:val="008D5E6D"/>
    <w:rsid w:val="008D633A"/>
    <w:rsid w:val="008D64D0"/>
    <w:rsid w:val="008D679B"/>
    <w:rsid w:val="008D6B60"/>
    <w:rsid w:val="008D6E61"/>
    <w:rsid w:val="008D72EB"/>
    <w:rsid w:val="008D756C"/>
    <w:rsid w:val="008D77AE"/>
    <w:rsid w:val="008D7E7E"/>
    <w:rsid w:val="008D7FF9"/>
    <w:rsid w:val="008E047E"/>
    <w:rsid w:val="008E0F23"/>
    <w:rsid w:val="008E1020"/>
    <w:rsid w:val="008E12C5"/>
    <w:rsid w:val="008E17FF"/>
    <w:rsid w:val="008E1874"/>
    <w:rsid w:val="008E1A63"/>
    <w:rsid w:val="008E1D3A"/>
    <w:rsid w:val="008E2695"/>
    <w:rsid w:val="008E2960"/>
    <w:rsid w:val="008E2B21"/>
    <w:rsid w:val="008E2BC7"/>
    <w:rsid w:val="008E2F71"/>
    <w:rsid w:val="008E2F89"/>
    <w:rsid w:val="008E306D"/>
    <w:rsid w:val="008E3750"/>
    <w:rsid w:val="008E4059"/>
    <w:rsid w:val="008E4AF3"/>
    <w:rsid w:val="008E4CCB"/>
    <w:rsid w:val="008E5116"/>
    <w:rsid w:val="008E52B7"/>
    <w:rsid w:val="008E5A3F"/>
    <w:rsid w:val="008E5D94"/>
    <w:rsid w:val="008E5EF4"/>
    <w:rsid w:val="008E610E"/>
    <w:rsid w:val="008E642C"/>
    <w:rsid w:val="008E6A03"/>
    <w:rsid w:val="008E6DF7"/>
    <w:rsid w:val="008E6E85"/>
    <w:rsid w:val="008E6FD2"/>
    <w:rsid w:val="008E725D"/>
    <w:rsid w:val="008E7C2E"/>
    <w:rsid w:val="008F0062"/>
    <w:rsid w:val="008F01D4"/>
    <w:rsid w:val="008F020F"/>
    <w:rsid w:val="008F0313"/>
    <w:rsid w:val="008F0875"/>
    <w:rsid w:val="008F09CF"/>
    <w:rsid w:val="008F0CA8"/>
    <w:rsid w:val="008F0E4D"/>
    <w:rsid w:val="008F0F51"/>
    <w:rsid w:val="008F120E"/>
    <w:rsid w:val="008F1365"/>
    <w:rsid w:val="008F1717"/>
    <w:rsid w:val="008F1B15"/>
    <w:rsid w:val="008F224B"/>
    <w:rsid w:val="008F245B"/>
    <w:rsid w:val="008F2962"/>
    <w:rsid w:val="008F309B"/>
    <w:rsid w:val="008F33B0"/>
    <w:rsid w:val="008F3F5F"/>
    <w:rsid w:val="008F40C8"/>
    <w:rsid w:val="008F49CB"/>
    <w:rsid w:val="008F4BDD"/>
    <w:rsid w:val="008F52CD"/>
    <w:rsid w:val="008F5362"/>
    <w:rsid w:val="008F571F"/>
    <w:rsid w:val="008F5904"/>
    <w:rsid w:val="008F5EFB"/>
    <w:rsid w:val="008F5F66"/>
    <w:rsid w:val="008F60B1"/>
    <w:rsid w:val="008F6117"/>
    <w:rsid w:val="008F64C3"/>
    <w:rsid w:val="008F6A2D"/>
    <w:rsid w:val="008F7AF2"/>
    <w:rsid w:val="008F7C1B"/>
    <w:rsid w:val="008F7C4C"/>
    <w:rsid w:val="00900712"/>
    <w:rsid w:val="00900F61"/>
    <w:rsid w:val="0090111A"/>
    <w:rsid w:val="0090157B"/>
    <w:rsid w:val="009015A0"/>
    <w:rsid w:val="00901DD2"/>
    <w:rsid w:val="0090233D"/>
    <w:rsid w:val="0090258A"/>
    <w:rsid w:val="009027DA"/>
    <w:rsid w:val="00903062"/>
    <w:rsid w:val="0090346E"/>
    <w:rsid w:val="009035DA"/>
    <w:rsid w:val="00903C4D"/>
    <w:rsid w:val="00903E3A"/>
    <w:rsid w:val="0090400F"/>
    <w:rsid w:val="009045E1"/>
    <w:rsid w:val="00904664"/>
    <w:rsid w:val="009050B5"/>
    <w:rsid w:val="00905401"/>
    <w:rsid w:val="00905438"/>
    <w:rsid w:val="00905DA9"/>
    <w:rsid w:val="009064BE"/>
    <w:rsid w:val="009067BA"/>
    <w:rsid w:val="00906876"/>
    <w:rsid w:val="00906E98"/>
    <w:rsid w:val="0090732C"/>
    <w:rsid w:val="00907713"/>
    <w:rsid w:val="00907F42"/>
    <w:rsid w:val="009109A2"/>
    <w:rsid w:val="00910AA0"/>
    <w:rsid w:val="00911414"/>
    <w:rsid w:val="00911554"/>
    <w:rsid w:val="009115ED"/>
    <w:rsid w:val="00911DE7"/>
    <w:rsid w:val="00912454"/>
    <w:rsid w:val="009127BA"/>
    <w:rsid w:val="009127F8"/>
    <w:rsid w:val="00912A65"/>
    <w:rsid w:val="00913053"/>
    <w:rsid w:val="0091338A"/>
    <w:rsid w:val="00913E32"/>
    <w:rsid w:val="00914264"/>
    <w:rsid w:val="0091436C"/>
    <w:rsid w:val="00914548"/>
    <w:rsid w:val="00914850"/>
    <w:rsid w:val="00915393"/>
    <w:rsid w:val="00915552"/>
    <w:rsid w:val="00915F94"/>
    <w:rsid w:val="00916550"/>
    <w:rsid w:val="009167D0"/>
    <w:rsid w:val="009168EB"/>
    <w:rsid w:val="0091692E"/>
    <w:rsid w:val="00916C49"/>
    <w:rsid w:val="0091734F"/>
    <w:rsid w:val="0091787E"/>
    <w:rsid w:val="00917FF2"/>
    <w:rsid w:val="009204CC"/>
    <w:rsid w:val="00920566"/>
    <w:rsid w:val="009207F6"/>
    <w:rsid w:val="00920AE0"/>
    <w:rsid w:val="00920BBD"/>
    <w:rsid w:val="00920BEC"/>
    <w:rsid w:val="00920C90"/>
    <w:rsid w:val="00921751"/>
    <w:rsid w:val="009218B8"/>
    <w:rsid w:val="00922182"/>
    <w:rsid w:val="009223D1"/>
    <w:rsid w:val="00922534"/>
    <w:rsid w:val="009228D7"/>
    <w:rsid w:val="0092294B"/>
    <w:rsid w:val="00922C8E"/>
    <w:rsid w:val="00922F4B"/>
    <w:rsid w:val="0092314F"/>
    <w:rsid w:val="00924925"/>
    <w:rsid w:val="00924CF4"/>
    <w:rsid w:val="0092539A"/>
    <w:rsid w:val="0092570D"/>
    <w:rsid w:val="00925AC8"/>
    <w:rsid w:val="00925BD9"/>
    <w:rsid w:val="009266B1"/>
    <w:rsid w:val="0092671B"/>
    <w:rsid w:val="009268E3"/>
    <w:rsid w:val="0092692A"/>
    <w:rsid w:val="00926949"/>
    <w:rsid w:val="00926A54"/>
    <w:rsid w:val="00926BE6"/>
    <w:rsid w:val="00926E1A"/>
    <w:rsid w:val="00926E9B"/>
    <w:rsid w:val="009273B4"/>
    <w:rsid w:val="00927505"/>
    <w:rsid w:val="00927AD1"/>
    <w:rsid w:val="00927D7B"/>
    <w:rsid w:val="00930126"/>
    <w:rsid w:val="00930234"/>
    <w:rsid w:val="0093073E"/>
    <w:rsid w:val="00930D1C"/>
    <w:rsid w:val="009314B1"/>
    <w:rsid w:val="009316EA"/>
    <w:rsid w:val="00931C9E"/>
    <w:rsid w:val="00931E28"/>
    <w:rsid w:val="00931FFC"/>
    <w:rsid w:val="009336CA"/>
    <w:rsid w:val="00933BF0"/>
    <w:rsid w:val="00933F52"/>
    <w:rsid w:val="009343EB"/>
    <w:rsid w:val="00934CEA"/>
    <w:rsid w:val="0093513C"/>
    <w:rsid w:val="00935DF5"/>
    <w:rsid w:val="00935F6C"/>
    <w:rsid w:val="00936598"/>
    <w:rsid w:val="009366BB"/>
    <w:rsid w:val="009366E0"/>
    <w:rsid w:val="00936850"/>
    <w:rsid w:val="00936A88"/>
    <w:rsid w:val="00936B81"/>
    <w:rsid w:val="0093709E"/>
    <w:rsid w:val="00937751"/>
    <w:rsid w:val="00937F4E"/>
    <w:rsid w:val="0094048B"/>
    <w:rsid w:val="00941242"/>
    <w:rsid w:val="00941BCD"/>
    <w:rsid w:val="00941E45"/>
    <w:rsid w:val="009429CC"/>
    <w:rsid w:val="009429CD"/>
    <w:rsid w:val="00942A1A"/>
    <w:rsid w:val="0094321C"/>
    <w:rsid w:val="00943492"/>
    <w:rsid w:val="00943CF8"/>
    <w:rsid w:val="00944528"/>
    <w:rsid w:val="00944568"/>
    <w:rsid w:val="00944C3E"/>
    <w:rsid w:val="0094532B"/>
    <w:rsid w:val="009458C7"/>
    <w:rsid w:val="00945B91"/>
    <w:rsid w:val="00945C26"/>
    <w:rsid w:val="00946012"/>
    <w:rsid w:val="00946101"/>
    <w:rsid w:val="00946AFC"/>
    <w:rsid w:val="00947461"/>
    <w:rsid w:val="009474CE"/>
    <w:rsid w:val="009476D6"/>
    <w:rsid w:val="00947780"/>
    <w:rsid w:val="00947F3F"/>
    <w:rsid w:val="009507EE"/>
    <w:rsid w:val="00950A64"/>
    <w:rsid w:val="00950C14"/>
    <w:rsid w:val="00950FF1"/>
    <w:rsid w:val="00951340"/>
    <w:rsid w:val="00951349"/>
    <w:rsid w:val="00952B08"/>
    <w:rsid w:val="00952F6F"/>
    <w:rsid w:val="00953713"/>
    <w:rsid w:val="00953A03"/>
    <w:rsid w:val="00953C80"/>
    <w:rsid w:val="00953D35"/>
    <w:rsid w:val="00953DB5"/>
    <w:rsid w:val="0095415E"/>
    <w:rsid w:val="009542D2"/>
    <w:rsid w:val="009545AB"/>
    <w:rsid w:val="00954924"/>
    <w:rsid w:val="00954A71"/>
    <w:rsid w:val="00955452"/>
    <w:rsid w:val="009556F2"/>
    <w:rsid w:val="00955C20"/>
    <w:rsid w:val="009562EF"/>
    <w:rsid w:val="0095678E"/>
    <w:rsid w:val="009567F8"/>
    <w:rsid w:val="009569EA"/>
    <w:rsid w:val="00957B7E"/>
    <w:rsid w:val="00957E60"/>
    <w:rsid w:val="009600E4"/>
    <w:rsid w:val="00960250"/>
    <w:rsid w:val="00960308"/>
    <w:rsid w:val="0096061C"/>
    <w:rsid w:val="0096085C"/>
    <w:rsid w:val="0096089B"/>
    <w:rsid w:val="00960968"/>
    <w:rsid w:val="00961376"/>
    <w:rsid w:val="009615AE"/>
    <w:rsid w:val="009617A0"/>
    <w:rsid w:val="009619D9"/>
    <w:rsid w:val="00961CF7"/>
    <w:rsid w:val="00961DE5"/>
    <w:rsid w:val="00962332"/>
    <w:rsid w:val="009627BB"/>
    <w:rsid w:val="009629DB"/>
    <w:rsid w:val="00962B7D"/>
    <w:rsid w:val="00962CFD"/>
    <w:rsid w:val="00962DD7"/>
    <w:rsid w:val="00963177"/>
    <w:rsid w:val="00963389"/>
    <w:rsid w:val="0096365E"/>
    <w:rsid w:val="009638EE"/>
    <w:rsid w:val="00963F6B"/>
    <w:rsid w:val="009641E1"/>
    <w:rsid w:val="009642A2"/>
    <w:rsid w:val="00964805"/>
    <w:rsid w:val="00964CD6"/>
    <w:rsid w:val="00964E49"/>
    <w:rsid w:val="00964ECF"/>
    <w:rsid w:val="00964F81"/>
    <w:rsid w:val="009652B5"/>
    <w:rsid w:val="0096564E"/>
    <w:rsid w:val="00965882"/>
    <w:rsid w:val="00965883"/>
    <w:rsid w:val="009658E5"/>
    <w:rsid w:val="009658F3"/>
    <w:rsid w:val="009659A9"/>
    <w:rsid w:val="00965A56"/>
    <w:rsid w:val="0096603E"/>
    <w:rsid w:val="0096628D"/>
    <w:rsid w:val="009668A3"/>
    <w:rsid w:val="009668F2"/>
    <w:rsid w:val="00966B87"/>
    <w:rsid w:val="00967D89"/>
    <w:rsid w:val="00967FFB"/>
    <w:rsid w:val="00970095"/>
    <w:rsid w:val="009700C6"/>
    <w:rsid w:val="00970156"/>
    <w:rsid w:val="009706DB"/>
    <w:rsid w:val="009708BD"/>
    <w:rsid w:val="00970F31"/>
    <w:rsid w:val="00971135"/>
    <w:rsid w:val="009715B2"/>
    <w:rsid w:val="00971814"/>
    <w:rsid w:val="00971816"/>
    <w:rsid w:val="00971C44"/>
    <w:rsid w:val="00971E85"/>
    <w:rsid w:val="00972048"/>
    <w:rsid w:val="0097273C"/>
    <w:rsid w:val="0097309B"/>
    <w:rsid w:val="009731A8"/>
    <w:rsid w:val="00973570"/>
    <w:rsid w:val="009738AA"/>
    <w:rsid w:val="00973C0B"/>
    <w:rsid w:val="0097430B"/>
    <w:rsid w:val="00974436"/>
    <w:rsid w:val="009749D4"/>
    <w:rsid w:val="00974A1C"/>
    <w:rsid w:val="00974E71"/>
    <w:rsid w:val="00975628"/>
    <w:rsid w:val="00975816"/>
    <w:rsid w:val="00975C8E"/>
    <w:rsid w:val="00975FAE"/>
    <w:rsid w:val="009765F7"/>
    <w:rsid w:val="00977BBB"/>
    <w:rsid w:val="00977BC1"/>
    <w:rsid w:val="00980350"/>
    <w:rsid w:val="009804E6"/>
    <w:rsid w:val="009807E5"/>
    <w:rsid w:val="00980A69"/>
    <w:rsid w:val="00981A12"/>
    <w:rsid w:val="00981B98"/>
    <w:rsid w:val="00981C73"/>
    <w:rsid w:val="00981D26"/>
    <w:rsid w:val="009820CE"/>
    <w:rsid w:val="00982840"/>
    <w:rsid w:val="00982B77"/>
    <w:rsid w:val="00982EC4"/>
    <w:rsid w:val="00983507"/>
    <w:rsid w:val="009836A8"/>
    <w:rsid w:val="00983DB3"/>
    <w:rsid w:val="009842DF"/>
    <w:rsid w:val="0098440E"/>
    <w:rsid w:val="00984452"/>
    <w:rsid w:val="009844CF"/>
    <w:rsid w:val="009846DC"/>
    <w:rsid w:val="009848B8"/>
    <w:rsid w:val="00984C9B"/>
    <w:rsid w:val="0098553A"/>
    <w:rsid w:val="00985637"/>
    <w:rsid w:val="009858AE"/>
    <w:rsid w:val="00985B0D"/>
    <w:rsid w:val="00986526"/>
    <w:rsid w:val="0098672F"/>
    <w:rsid w:val="00986B68"/>
    <w:rsid w:val="009871AE"/>
    <w:rsid w:val="009879B9"/>
    <w:rsid w:val="00987DE7"/>
    <w:rsid w:val="00990269"/>
    <w:rsid w:val="009905FB"/>
    <w:rsid w:val="00990799"/>
    <w:rsid w:val="00990872"/>
    <w:rsid w:val="00990A77"/>
    <w:rsid w:val="00990AC9"/>
    <w:rsid w:val="0099114E"/>
    <w:rsid w:val="0099120B"/>
    <w:rsid w:val="009912D4"/>
    <w:rsid w:val="00992643"/>
    <w:rsid w:val="00992B71"/>
    <w:rsid w:val="009933AB"/>
    <w:rsid w:val="00993471"/>
    <w:rsid w:val="009937B4"/>
    <w:rsid w:val="00993BDD"/>
    <w:rsid w:val="00993D59"/>
    <w:rsid w:val="00993DD2"/>
    <w:rsid w:val="00993EEA"/>
    <w:rsid w:val="00994208"/>
    <w:rsid w:val="00994621"/>
    <w:rsid w:val="009946AA"/>
    <w:rsid w:val="00994881"/>
    <w:rsid w:val="00995190"/>
    <w:rsid w:val="00995610"/>
    <w:rsid w:val="0099579E"/>
    <w:rsid w:val="009957EC"/>
    <w:rsid w:val="009958A9"/>
    <w:rsid w:val="009958AF"/>
    <w:rsid w:val="009959A9"/>
    <w:rsid w:val="0099646A"/>
    <w:rsid w:val="00996473"/>
    <w:rsid w:val="00996A4A"/>
    <w:rsid w:val="00996F15"/>
    <w:rsid w:val="009971F9"/>
    <w:rsid w:val="00997457"/>
    <w:rsid w:val="00997524"/>
    <w:rsid w:val="009976B8"/>
    <w:rsid w:val="00997777"/>
    <w:rsid w:val="00997F76"/>
    <w:rsid w:val="009A0339"/>
    <w:rsid w:val="009A04D6"/>
    <w:rsid w:val="009A0902"/>
    <w:rsid w:val="009A13E0"/>
    <w:rsid w:val="009A168F"/>
    <w:rsid w:val="009A17D8"/>
    <w:rsid w:val="009A20CC"/>
    <w:rsid w:val="009A2267"/>
    <w:rsid w:val="009A2E04"/>
    <w:rsid w:val="009A2EA0"/>
    <w:rsid w:val="009A3BFE"/>
    <w:rsid w:val="009A3D19"/>
    <w:rsid w:val="009A3DAF"/>
    <w:rsid w:val="009A4253"/>
    <w:rsid w:val="009A449D"/>
    <w:rsid w:val="009A44C4"/>
    <w:rsid w:val="009A4527"/>
    <w:rsid w:val="009A45BF"/>
    <w:rsid w:val="009A4678"/>
    <w:rsid w:val="009A500B"/>
    <w:rsid w:val="009A544A"/>
    <w:rsid w:val="009A575A"/>
    <w:rsid w:val="009A5ED9"/>
    <w:rsid w:val="009A6493"/>
    <w:rsid w:val="009A653E"/>
    <w:rsid w:val="009A6759"/>
    <w:rsid w:val="009A6AFB"/>
    <w:rsid w:val="009A763E"/>
    <w:rsid w:val="009A78D9"/>
    <w:rsid w:val="009A7C93"/>
    <w:rsid w:val="009A7C9E"/>
    <w:rsid w:val="009A7E6D"/>
    <w:rsid w:val="009A7EC8"/>
    <w:rsid w:val="009B02B5"/>
    <w:rsid w:val="009B08B6"/>
    <w:rsid w:val="009B1315"/>
    <w:rsid w:val="009B1471"/>
    <w:rsid w:val="009B184E"/>
    <w:rsid w:val="009B18BE"/>
    <w:rsid w:val="009B193A"/>
    <w:rsid w:val="009B1A8A"/>
    <w:rsid w:val="009B1F48"/>
    <w:rsid w:val="009B228A"/>
    <w:rsid w:val="009B23BE"/>
    <w:rsid w:val="009B23F2"/>
    <w:rsid w:val="009B246A"/>
    <w:rsid w:val="009B268A"/>
    <w:rsid w:val="009B26F1"/>
    <w:rsid w:val="009B2B4A"/>
    <w:rsid w:val="009B2C26"/>
    <w:rsid w:val="009B2E5F"/>
    <w:rsid w:val="009B33FA"/>
    <w:rsid w:val="009B3876"/>
    <w:rsid w:val="009B45F0"/>
    <w:rsid w:val="009B4ACD"/>
    <w:rsid w:val="009B4AE8"/>
    <w:rsid w:val="009B4EFF"/>
    <w:rsid w:val="009B566C"/>
    <w:rsid w:val="009B56F4"/>
    <w:rsid w:val="009B5997"/>
    <w:rsid w:val="009B627C"/>
    <w:rsid w:val="009B6366"/>
    <w:rsid w:val="009B63FF"/>
    <w:rsid w:val="009B6617"/>
    <w:rsid w:val="009B6C24"/>
    <w:rsid w:val="009B6E3B"/>
    <w:rsid w:val="009B6F55"/>
    <w:rsid w:val="009B70C7"/>
    <w:rsid w:val="009B7804"/>
    <w:rsid w:val="009B7B33"/>
    <w:rsid w:val="009B7B74"/>
    <w:rsid w:val="009B7D49"/>
    <w:rsid w:val="009B7EFC"/>
    <w:rsid w:val="009C0061"/>
    <w:rsid w:val="009C03D6"/>
    <w:rsid w:val="009C0458"/>
    <w:rsid w:val="009C0841"/>
    <w:rsid w:val="009C1201"/>
    <w:rsid w:val="009C13D6"/>
    <w:rsid w:val="009C149E"/>
    <w:rsid w:val="009C1677"/>
    <w:rsid w:val="009C1759"/>
    <w:rsid w:val="009C1F78"/>
    <w:rsid w:val="009C2362"/>
    <w:rsid w:val="009C297D"/>
    <w:rsid w:val="009C2980"/>
    <w:rsid w:val="009C299C"/>
    <w:rsid w:val="009C316E"/>
    <w:rsid w:val="009C356C"/>
    <w:rsid w:val="009C36D4"/>
    <w:rsid w:val="009C381C"/>
    <w:rsid w:val="009C3839"/>
    <w:rsid w:val="009C3A6A"/>
    <w:rsid w:val="009C3AB7"/>
    <w:rsid w:val="009C3BE6"/>
    <w:rsid w:val="009C3C8C"/>
    <w:rsid w:val="009C3DC4"/>
    <w:rsid w:val="009C3E5B"/>
    <w:rsid w:val="009C4051"/>
    <w:rsid w:val="009C4ABC"/>
    <w:rsid w:val="009C4CD0"/>
    <w:rsid w:val="009C4D88"/>
    <w:rsid w:val="009C5193"/>
    <w:rsid w:val="009C529A"/>
    <w:rsid w:val="009C5B13"/>
    <w:rsid w:val="009C5CB5"/>
    <w:rsid w:val="009C6148"/>
    <w:rsid w:val="009C6201"/>
    <w:rsid w:val="009C6555"/>
    <w:rsid w:val="009C6923"/>
    <w:rsid w:val="009C6AF2"/>
    <w:rsid w:val="009C6B17"/>
    <w:rsid w:val="009C6F93"/>
    <w:rsid w:val="009C712B"/>
    <w:rsid w:val="009C719D"/>
    <w:rsid w:val="009C72EA"/>
    <w:rsid w:val="009C7518"/>
    <w:rsid w:val="009C793E"/>
    <w:rsid w:val="009C7B18"/>
    <w:rsid w:val="009C7F45"/>
    <w:rsid w:val="009D095B"/>
    <w:rsid w:val="009D101C"/>
    <w:rsid w:val="009D10F7"/>
    <w:rsid w:val="009D1414"/>
    <w:rsid w:val="009D19FF"/>
    <w:rsid w:val="009D1BF7"/>
    <w:rsid w:val="009D1C5F"/>
    <w:rsid w:val="009D1E8A"/>
    <w:rsid w:val="009D286E"/>
    <w:rsid w:val="009D2C06"/>
    <w:rsid w:val="009D30BB"/>
    <w:rsid w:val="009D3573"/>
    <w:rsid w:val="009D367D"/>
    <w:rsid w:val="009D3C57"/>
    <w:rsid w:val="009D4FC7"/>
    <w:rsid w:val="009D5149"/>
    <w:rsid w:val="009D52A1"/>
    <w:rsid w:val="009D54EB"/>
    <w:rsid w:val="009D5982"/>
    <w:rsid w:val="009D5A9E"/>
    <w:rsid w:val="009D5DC7"/>
    <w:rsid w:val="009D60F6"/>
    <w:rsid w:val="009D62EC"/>
    <w:rsid w:val="009D66B2"/>
    <w:rsid w:val="009D71DD"/>
    <w:rsid w:val="009D71F4"/>
    <w:rsid w:val="009D7F1E"/>
    <w:rsid w:val="009D7F93"/>
    <w:rsid w:val="009D7FF2"/>
    <w:rsid w:val="009E0674"/>
    <w:rsid w:val="009E08AD"/>
    <w:rsid w:val="009E1063"/>
    <w:rsid w:val="009E114D"/>
    <w:rsid w:val="009E130F"/>
    <w:rsid w:val="009E1576"/>
    <w:rsid w:val="009E16CC"/>
    <w:rsid w:val="009E1899"/>
    <w:rsid w:val="009E1955"/>
    <w:rsid w:val="009E1AED"/>
    <w:rsid w:val="009E1E04"/>
    <w:rsid w:val="009E2040"/>
    <w:rsid w:val="009E217B"/>
    <w:rsid w:val="009E230E"/>
    <w:rsid w:val="009E2505"/>
    <w:rsid w:val="009E25FB"/>
    <w:rsid w:val="009E27B1"/>
    <w:rsid w:val="009E28CE"/>
    <w:rsid w:val="009E2B01"/>
    <w:rsid w:val="009E3279"/>
    <w:rsid w:val="009E332F"/>
    <w:rsid w:val="009E40FB"/>
    <w:rsid w:val="009E4224"/>
    <w:rsid w:val="009E43CF"/>
    <w:rsid w:val="009E43DB"/>
    <w:rsid w:val="009E4824"/>
    <w:rsid w:val="009E4DF2"/>
    <w:rsid w:val="009E51BF"/>
    <w:rsid w:val="009E55F8"/>
    <w:rsid w:val="009E5A6A"/>
    <w:rsid w:val="009E5D3C"/>
    <w:rsid w:val="009E5EDC"/>
    <w:rsid w:val="009E6630"/>
    <w:rsid w:val="009E6DFB"/>
    <w:rsid w:val="009E6E61"/>
    <w:rsid w:val="009E6F05"/>
    <w:rsid w:val="009E7997"/>
    <w:rsid w:val="009E7F63"/>
    <w:rsid w:val="009F02FE"/>
    <w:rsid w:val="009F0AEB"/>
    <w:rsid w:val="009F0B89"/>
    <w:rsid w:val="009F157B"/>
    <w:rsid w:val="009F15F3"/>
    <w:rsid w:val="009F19BC"/>
    <w:rsid w:val="009F1BF6"/>
    <w:rsid w:val="009F208B"/>
    <w:rsid w:val="009F2202"/>
    <w:rsid w:val="009F22BF"/>
    <w:rsid w:val="009F23B3"/>
    <w:rsid w:val="009F262C"/>
    <w:rsid w:val="009F2B62"/>
    <w:rsid w:val="009F2DC7"/>
    <w:rsid w:val="009F304F"/>
    <w:rsid w:val="009F3496"/>
    <w:rsid w:val="009F372B"/>
    <w:rsid w:val="009F3827"/>
    <w:rsid w:val="009F3873"/>
    <w:rsid w:val="009F38F4"/>
    <w:rsid w:val="009F416A"/>
    <w:rsid w:val="009F419F"/>
    <w:rsid w:val="009F42C9"/>
    <w:rsid w:val="009F4B7E"/>
    <w:rsid w:val="009F4CD5"/>
    <w:rsid w:val="009F4D9D"/>
    <w:rsid w:val="009F5573"/>
    <w:rsid w:val="009F55BB"/>
    <w:rsid w:val="009F5A21"/>
    <w:rsid w:val="009F5AF6"/>
    <w:rsid w:val="009F5CBB"/>
    <w:rsid w:val="009F5E81"/>
    <w:rsid w:val="009F68DB"/>
    <w:rsid w:val="009F6AAD"/>
    <w:rsid w:val="009F6AAF"/>
    <w:rsid w:val="009F6EB4"/>
    <w:rsid w:val="009F761F"/>
    <w:rsid w:val="009F77A7"/>
    <w:rsid w:val="009F78F8"/>
    <w:rsid w:val="009F7CF4"/>
    <w:rsid w:val="00A0006C"/>
    <w:rsid w:val="00A00192"/>
    <w:rsid w:val="00A0073F"/>
    <w:rsid w:val="00A0081A"/>
    <w:rsid w:val="00A00B81"/>
    <w:rsid w:val="00A017D0"/>
    <w:rsid w:val="00A01961"/>
    <w:rsid w:val="00A01FDD"/>
    <w:rsid w:val="00A02548"/>
    <w:rsid w:val="00A02A46"/>
    <w:rsid w:val="00A0344E"/>
    <w:rsid w:val="00A034F8"/>
    <w:rsid w:val="00A03F61"/>
    <w:rsid w:val="00A043C8"/>
    <w:rsid w:val="00A047D1"/>
    <w:rsid w:val="00A04990"/>
    <w:rsid w:val="00A04B81"/>
    <w:rsid w:val="00A061C0"/>
    <w:rsid w:val="00A06437"/>
    <w:rsid w:val="00A065DB"/>
    <w:rsid w:val="00A069F0"/>
    <w:rsid w:val="00A06C32"/>
    <w:rsid w:val="00A06CEF"/>
    <w:rsid w:val="00A06FD1"/>
    <w:rsid w:val="00A0710A"/>
    <w:rsid w:val="00A0722A"/>
    <w:rsid w:val="00A0754B"/>
    <w:rsid w:val="00A07689"/>
    <w:rsid w:val="00A077D0"/>
    <w:rsid w:val="00A07F56"/>
    <w:rsid w:val="00A1016F"/>
    <w:rsid w:val="00A102B4"/>
    <w:rsid w:val="00A10402"/>
    <w:rsid w:val="00A1092A"/>
    <w:rsid w:val="00A10C58"/>
    <w:rsid w:val="00A10DEE"/>
    <w:rsid w:val="00A11285"/>
    <w:rsid w:val="00A11327"/>
    <w:rsid w:val="00A12508"/>
    <w:rsid w:val="00A12646"/>
    <w:rsid w:val="00A12CAB"/>
    <w:rsid w:val="00A130E2"/>
    <w:rsid w:val="00A130EC"/>
    <w:rsid w:val="00A1394C"/>
    <w:rsid w:val="00A13A6C"/>
    <w:rsid w:val="00A13E85"/>
    <w:rsid w:val="00A13F64"/>
    <w:rsid w:val="00A14357"/>
    <w:rsid w:val="00A145F5"/>
    <w:rsid w:val="00A14A69"/>
    <w:rsid w:val="00A14D27"/>
    <w:rsid w:val="00A15416"/>
    <w:rsid w:val="00A15D48"/>
    <w:rsid w:val="00A15E87"/>
    <w:rsid w:val="00A16500"/>
    <w:rsid w:val="00A16878"/>
    <w:rsid w:val="00A16A95"/>
    <w:rsid w:val="00A16E6F"/>
    <w:rsid w:val="00A17546"/>
    <w:rsid w:val="00A17B65"/>
    <w:rsid w:val="00A17C0E"/>
    <w:rsid w:val="00A17C1F"/>
    <w:rsid w:val="00A17CD3"/>
    <w:rsid w:val="00A208EE"/>
    <w:rsid w:val="00A208F6"/>
    <w:rsid w:val="00A21454"/>
    <w:rsid w:val="00A21DB5"/>
    <w:rsid w:val="00A22040"/>
    <w:rsid w:val="00A22208"/>
    <w:rsid w:val="00A229A2"/>
    <w:rsid w:val="00A2351E"/>
    <w:rsid w:val="00A235CC"/>
    <w:rsid w:val="00A235EB"/>
    <w:rsid w:val="00A2371E"/>
    <w:rsid w:val="00A23BD6"/>
    <w:rsid w:val="00A23C91"/>
    <w:rsid w:val="00A24B7A"/>
    <w:rsid w:val="00A2534F"/>
    <w:rsid w:val="00A25440"/>
    <w:rsid w:val="00A25805"/>
    <w:rsid w:val="00A25C96"/>
    <w:rsid w:val="00A25D40"/>
    <w:rsid w:val="00A26279"/>
    <w:rsid w:val="00A26CC7"/>
    <w:rsid w:val="00A26E7B"/>
    <w:rsid w:val="00A26F2D"/>
    <w:rsid w:val="00A27017"/>
    <w:rsid w:val="00A27447"/>
    <w:rsid w:val="00A27905"/>
    <w:rsid w:val="00A3002A"/>
    <w:rsid w:val="00A30702"/>
    <w:rsid w:val="00A30996"/>
    <w:rsid w:val="00A3111D"/>
    <w:rsid w:val="00A3135F"/>
    <w:rsid w:val="00A31498"/>
    <w:rsid w:val="00A318EA"/>
    <w:rsid w:val="00A31EF6"/>
    <w:rsid w:val="00A31F64"/>
    <w:rsid w:val="00A322AF"/>
    <w:rsid w:val="00A32303"/>
    <w:rsid w:val="00A3230D"/>
    <w:rsid w:val="00A32580"/>
    <w:rsid w:val="00A329AF"/>
    <w:rsid w:val="00A33118"/>
    <w:rsid w:val="00A333FB"/>
    <w:rsid w:val="00A33D16"/>
    <w:rsid w:val="00A33E20"/>
    <w:rsid w:val="00A3444A"/>
    <w:rsid w:val="00A34993"/>
    <w:rsid w:val="00A34A6A"/>
    <w:rsid w:val="00A3512C"/>
    <w:rsid w:val="00A35745"/>
    <w:rsid w:val="00A357F9"/>
    <w:rsid w:val="00A36611"/>
    <w:rsid w:val="00A3698F"/>
    <w:rsid w:val="00A36E8F"/>
    <w:rsid w:val="00A374C9"/>
    <w:rsid w:val="00A37A46"/>
    <w:rsid w:val="00A40755"/>
    <w:rsid w:val="00A40997"/>
    <w:rsid w:val="00A40EBF"/>
    <w:rsid w:val="00A40FA8"/>
    <w:rsid w:val="00A4121B"/>
    <w:rsid w:val="00A417C9"/>
    <w:rsid w:val="00A41B78"/>
    <w:rsid w:val="00A41E50"/>
    <w:rsid w:val="00A41E8D"/>
    <w:rsid w:val="00A425E0"/>
    <w:rsid w:val="00A42640"/>
    <w:rsid w:val="00A42987"/>
    <w:rsid w:val="00A42E52"/>
    <w:rsid w:val="00A42F38"/>
    <w:rsid w:val="00A431D0"/>
    <w:rsid w:val="00A432B2"/>
    <w:rsid w:val="00A436B1"/>
    <w:rsid w:val="00A43F52"/>
    <w:rsid w:val="00A4418A"/>
    <w:rsid w:val="00A44263"/>
    <w:rsid w:val="00A44642"/>
    <w:rsid w:val="00A44758"/>
    <w:rsid w:val="00A448F3"/>
    <w:rsid w:val="00A44AD7"/>
    <w:rsid w:val="00A44C10"/>
    <w:rsid w:val="00A44F5F"/>
    <w:rsid w:val="00A450DA"/>
    <w:rsid w:val="00A456C1"/>
    <w:rsid w:val="00A4590E"/>
    <w:rsid w:val="00A45934"/>
    <w:rsid w:val="00A463AC"/>
    <w:rsid w:val="00A46E1B"/>
    <w:rsid w:val="00A46EFA"/>
    <w:rsid w:val="00A47337"/>
    <w:rsid w:val="00A47590"/>
    <w:rsid w:val="00A4771A"/>
    <w:rsid w:val="00A478DB"/>
    <w:rsid w:val="00A5049D"/>
    <w:rsid w:val="00A50B83"/>
    <w:rsid w:val="00A512CB"/>
    <w:rsid w:val="00A51668"/>
    <w:rsid w:val="00A5188B"/>
    <w:rsid w:val="00A518BA"/>
    <w:rsid w:val="00A51983"/>
    <w:rsid w:val="00A519F2"/>
    <w:rsid w:val="00A51AA6"/>
    <w:rsid w:val="00A51BAA"/>
    <w:rsid w:val="00A51E9A"/>
    <w:rsid w:val="00A52053"/>
    <w:rsid w:val="00A52112"/>
    <w:rsid w:val="00A529B2"/>
    <w:rsid w:val="00A529D9"/>
    <w:rsid w:val="00A52F7C"/>
    <w:rsid w:val="00A531ED"/>
    <w:rsid w:val="00A5347B"/>
    <w:rsid w:val="00A53552"/>
    <w:rsid w:val="00A53D3D"/>
    <w:rsid w:val="00A53D6A"/>
    <w:rsid w:val="00A53EDD"/>
    <w:rsid w:val="00A546B4"/>
    <w:rsid w:val="00A54B4D"/>
    <w:rsid w:val="00A5518E"/>
    <w:rsid w:val="00A558AB"/>
    <w:rsid w:val="00A55A49"/>
    <w:rsid w:val="00A5632E"/>
    <w:rsid w:val="00A56340"/>
    <w:rsid w:val="00A56767"/>
    <w:rsid w:val="00A569F8"/>
    <w:rsid w:val="00A56B63"/>
    <w:rsid w:val="00A56BE7"/>
    <w:rsid w:val="00A57087"/>
    <w:rsid w:val="00A57516"/>
    <w:rsid w:val="00A576D5"/>
    <w:rsid w:val="00A57BC0"/>
    <w:rsid w:val="00A57E28"/>
    <w:rsid w:val="00A6026C"/>
    <w:rsid w:val="00A61082"/>
    <w:rsid w:val="00A6149E"/>
    <w:rsid w:val="00A61633"/>
    <w:rsid w:val="00A61797"/>
    <w:rsid w:val="00A617F5"/>
    <w:rsid w:val="00A61BD5"/>
    <w:rsid w:val="00A61DB6"/>
    <w:rsid w:val="00A62001"/>
    <w:rsid w:val="00A62676"/>
    <w:rsid w:val="00A62950"/>
    <w:rsid w:val="00A62B00"/>
    <w:rsid w:val="00A63597"/>
    <w:rsid w:val="00A635FA"/>
    <w:rsid w:val="00A636F2"/>
    <w:rsid w:val="00A63891"/>
    <w:rsid w:val="00A63B71"/>
    <w:rsid w:val="00A63BF8"/>
    <w:rsid w:val="00A63EA8"/>
    <w:rsid w:val="00A64579"/>
    <w:rsid w:val="00A64D5B"/>
    <w:rsid w:val="00A653D4"/>
    <w:rsid w:val="00A65E65"/>
    <w:rsid w:val="00A66A75"/>
    <w:rsid w:val="00A670AC"/>
    <w:rsid w:val="00A673F7"/>
    <w:rsid w:val="00A6768B"/>
    <w:rsid w:val="00A67A0D"/>
    <w:rsid w:val="00A70087"/>
    <w:rsid w:val="00A7028C"/>
    <w:rsid w:val="00A706D2"/>
    <w:rsid w:val="00A7089D"/>
    <w:rsid w:val="00A70D38"/>
    <w:rsid w:val="00A71284"/>
    <w:rsid w:val="00A7129F"/>
    <w:rsid w:val="00A712FA"/>
    <w:rsid w:val="00A716AE"/>
    <w:rsid w:val="00A71926"/>
    <w:rsid w:val="00A72467"/>
    <w:rsid w:val="00A724B6"/>
    <w:rsid w:val="00A7264B"/>
    <w:rsid w:val="00A729DA"/>
    <w:rsid w:val="00A72C36"/>
    <w:rsid w:val="00A734C9"/>
    <w:rsid w:val="00A738CC"/>
    <w:rsid w:val="00A739D1"/>
    <w:rsid w:val="00A73D54"/>
    <w:rsid w:val="00A74319"/>
    <w:rsid w:val="00A74436"/>
    <w:rsid w:val="00A74921"/>
    <w:rsid w:val="00A74BF2"/>
    <w:rsid w:val="00A74BF9"/>
    <w:rsid w:val="00A75077"/>
    <w:rsid w:val="00A75139"/>
    <w:rsid w:val="00A75865"/>
    <w:rsid w:val="00A759C6"/>
    <w:rsid w:val="00A75AED"/>
    <w:rsid w:val="00A75DED"/>
    <w:rsid w:val="00A760E8"/>
    <w:rsid w:val="00A7682D"/>
    <w:rsid w:val="00A771BC"/>
    <w:rsid w:val="00A771FA"/>
    <w:rsid w:val="00A77872"/>
    <w:rsid w:val="00A77A86"/>
    <w:rsid w:val="00A77B82"/>
    <w:rsid w:val="00A77EC5"/>
    <w:rsid w:val="00A77FF0"/>
    <w:rsid w:val="00A802BD"/>
    <w:rsid w:val="00A80401"/>
    <w:rsid w:val="00A80F60"/>
    <w:rsid w:val="00A8100F"/>
    <w:rsid w:val="00A81052"/>
    <w:rsid w:val="00A8173B"/>
    <w:rsid w:val="00A81810"/>
    <w:rsid w:val="00A81A84"/>
    <w:rsid w:val="00A82133"/>
    <w:rsid w:val="00A8298F"/>
    <w:rsid w:val="00A82EFF"/>
    <w:rsid w:val="00A83DFC"/>
    <w:rsid w:val="00A855EE"/>
    <w:rsid w:val="00A857F6"/>
    <w:rsid w:val="00A85EDC"/>
    <w:rsid w:val="00A8613B"/>
    <w:rsid w:val="00A868BE"/>
    <w:rsid w:val="00A86F1C"/>
    <w:rsid w:val="00A877CA"/>
    <w:rsid w:val="00A87847"/>
    <w:rsid w:val="00A87AD6"/>
    <w:rsid w:val="00A87FC9"/>
    <w:rsid w:val="00A9028F"/>
    <w:rsid w:val="00A9032C"/>
    <w:rsid w:val="00A90490"/>
    <w:rsid w:val="00A90669"/>
    <w:rsid w:val="00A9083F"/>
    <w:rsid w:val="00A91216"/>
    <w:rsid w:val="00A91594"/>
    <w:rsid w:val="00A91625"/>
    <w:rsid w:val="00A91AD2"/>
    <w:rsid w:val="00A91EC4"/>
    <w:rsid w:val="00A922B4"/>
    <w:rsid w:val="00A927B0"/>
    <w:rsid w:val="00A92D64"/>
    <w:rsid w:val="00A92E67"/>
    <w:rsid w:val="00A931D7"/>
    <w:rsid w:val="00A931E5"/>
    <w:rsid w:val="00A9328A"/>
    <w:rsid w:val="00A936A6"/>
    <w:rsid w:val="00A93743"/>
    <w:rsid w:val="00A93FBF"/>
    <w:rsid w:val="00A94103"/>
    <w:rsid w:val="00A9412C"/>
    <w:rsid w:val="00A94221"/>
    <w:rsid w:val="00A943CE"/>
    <w:rsid w:val="00A9484D"/>
    <w:rsid w:val="00A949EC"/>
    <w:rsid w:val="00A94D06"/>
    <w:rsid w:val="00A94FFE"/>
    <w:rsid w:val="00A95703"/>
    <w:rsid w:val="00A95B32"/>
    <w:rsid w:val="00A96CD8"/>
    <w:rsid w:val="00A978B2"/>
    <w:rsid w:val="00A97949"/>
    <w:rsid w:val="00A97964"/>
    <w:rsid w:val="00A97D0E"/>
    <w:rsid w:val="00A97DC0"/>
    <w:rsid w:val="00A97F0A"/>
    <w:rsid w:val="00A97F83"/>
    <w:rsid w:val="00AA1535"/>
    <w:rsid w:val="00AA157C"/>
    <w:rsid w:val="00AA166C"/>
    <w:rsid w:val="00AA1686"/>
    <w:rsid w:val="00AA25F0"/>
    <w:rsid w:val="00AA2E2C"/>
    <w:rsid w:val="00AA30F5"/>
    <w:rsid w:val="00AA3590"/>
    <w:rsid w:val="00AA3AD4"/>
    <w:rsid w:val="00AA478E"/>
    <w:rsid w:val="00AA4E9A"/>
    <w:rsid w:val="00AA4F1B"/>
    <w:rsid w:val="00AA501A"/>
    <w:rsid w:val="00AA505E"/>
    <w:rsid w:val="00AA50D9"/>
    <w:rsid w:val="00AA50FA"/>
    <w:rsid w:val="00AA5C0F"/>
    <w:rsid w:val="00AA5C70"/>
    <w:rsid w:val="00AA6604"/>
    <w:rsid w:val="00AA673C"/>
    <w:rsid w:val="00AA6C99"/>
    <w:rsid w:val="00AA6DB0"/>
    <w:rsid w:val="00AA7320"/>
    <w:rsid w:val="00AA753E"/>
    <w:rsid w:val="00AA7606"/>
    <w:rsid w:val="00AA7619"/>
    <w:rsid w:val="00AA797B"/>
    <w:rsid w:val="00AA7E80"/>
    <w:rsid w:val="00AA7EBD"/>
    <w:rsid w:val="00AA7FE0"/>
    <w:rsid w:val="00AB0793"/>
    <w:rsid w:val="00AB0D0D"/>
    <w:rsid w:val="00AB0D38"/>
    <w:rsid w:val="00AB116C"/>
    <w:rsid w:val="00AB1370"/>
    <w:rsid w:val="00AB145E"/>
    <w:rsid w:val="00AB1B15"/>
    <w:rsid w:val="00AB227D"/>
    <w:rsid w:val="00AB2C03"/>
    <w:rsid w:val="00AB2F56"/>
    <w:rsid w:val="00AB3333"/>
    <w:rsid w:val="00AB36B4"/>
    <w:rsid w:val="00AB37D6"/>
    <w:rsid w:val="00AB3CEE"/>
    <w:rsid w:val="00AB3D8D"/>
    <w:rsid w:val="00AB3E19"/>
    <w:rsid w:val="00AB47CA"/>
    <w:rsid w:val="00AB4B8C"/>
    <w:rsid w:val="00AB4EEF"/>
    <w:rsid w:val="00AB4F75"/>
    <w:rsid w:val="00AB5036"/>
    <w:rsid w:val="00AB5064"/>
    <w:rsid w:val="00AB51A5"/>
    <w:rsid w:val="00AB544F"/>
    <w:rsid w:val="00AB58F8"/>
    <w:rsid w:val="00AB5E8D"/>
    <w:rsid w:val="00AB62D4"/>
    <w:rsid w:val="00AB707F"/>
    <w:rsid w:val="00AB70FA"/>
    <w:rsid w:val="00AB7308"/>
    <w:rsid w:val="00AB7700"/>
    <w:rsid w:val="00AB773D"/>
    <w:rsid w:val="00AB77D5"/>
    <w:rsid w:val="00AB7AD4"/>
    <w:rsid w:val="00AB7CED"/>
    <w:rsid w:val="00AB7DC5"/>
    <w:rsid w:val="00AB7E68"/>
    <w:rsid w:val="00AC0083"/>
    <w:rsid w:val="00AC0454"/>
    <w:rsid w:val="00AC0A19"/>
    <w:rsid w:val="00AC0CA4"/>
    <w:rsid w:val="00AC0E54"/>
    <w:rsid w:val="00AC116F"/>
    <w:rsid w:val="00AC1276"/>
    <w:rsid w:val="00AC1320"/>
    <w:rsid w:val="00AC1401"/>
    <w:rsid w:val="00AC177E"/>
    <w:rsid w:val="00AC27D6"/>
    <w:rsid w:val="00AC35E8"/>
    <w:rsid w:val="00AC3A0C"/>
    <w:rsid w:val="00AC3BC2"/>
    <w:rsid w:val="00AC3BCB"/>
    <w:rsid w:val="00AC464B"/>
    <w:rsid w:val="00AC4A6B"/>
    <w:rsid w:val="00AC4ABF"/>
    <w:rsid w:val="00AC4AC8"/>
    <w:rsid w:val="00AC4AEA"/>
    <w:rsid w:val="00AC6EA6"/>
    <w:rsid w:val="00AC7502"/>
    <w:rsid w:val="00AC7946"/>
    <w:rsid w:val="00AD020A"/>
    <w:rsid w:val="00AD05E8"/>
    <w:rsid w:val="00AD0824"/>
    <w:rsid w:val="00AD0B60"/>
    <w:rsid w:val="00AD11E4"/>
    <w:rsid w:val="00AD1BEF"/>
    <w:rsid w:val="00AD1C6A"/>
    <w:rsid w:val="00AD1DD9"/>
    <w:rsid w:val="00AD215A"/>
    <w:rsid w:val="00AD23C7"/>
    <w:rsid w:val="00AD2673"/>
    <w:rsid w:val="00AD279C"/>
    <w:rsid w:val="00AD2E0E"/>
    <w:rsid w:val="00AD30A4"/>
    <w:rsid w:val="00AD31EC"/>
    <w:rsid w:val="00AD37D3"/>
    <w:rsid w:val="00AD44DE"/>
    <w:rsid w:val="00AD47CF"/>
    <w:rsid w:val="00AD4A81"/>
    <w:rsid w:val="00AD52C1"/>
    <w:rsid w:val="00AD52E4"/>
    <w:rsid w:val="00AD5B55"/>
    <w:rsid w:val="00AD5DF5"/>
    <w:rsid w:val="00AD600B"/>
    <w:rsid w:val="00AD60B6"/>
    <w:rsid w:val="00AD61BE"/>
    <w:rsid w:val="00AD64FC"/>
    <w:rsid w:val="00AD689D"/>
    <w:rsid w:val="00AD69B6"/>
    <w:rsid w:val="00AD6F41"/>
    <w:rsid w:val="00AD7A02"/>
    <w:rsid w:val="00AD7B7E"/>
    <w:rsid w:val="00AE0402"/>
    <w:rsid w:val="00AE044B"/>
    <w:rsid w:val="00AE06F1"/>
    <w:rsid w:val="00AE093D"/>
    <w:rsid w:val="00AE0B36"/>
    <w:rsid w:val="00AE0D0D"/>
    <w:rsid w:val="00AE0D79"/>
    <w:rsid w:val="00AE0EA4"/>
    <w:rsid w:val="00AE1844"/>
    <w:rsid w:val="00AE19EC"/>
    <w:rsid w:val="00AE1B8A"/>
    <w:rsid w:val="00AE23F7"/>
    <w:rsid w:val="00AE2439"/>
    <w:rsid w:val="00AE267D"/>
    <w:rsid w:val="00AE2A68"/>
    <w:rsid w:val="00AE2FE7"/>
    <w:rsid w:val="00AE33DD"/>
    <w:rsid w:val="00AE352F"/>
    <w:rsid w:val="00AE3702"/>
    <w:rsid w:val="00AE398D"/>
    <w:rsid w:val="00AE3B64"/>
    <w:rsid w:val="00AE3DA6"/>
    <w:rsid w:val="00AE3DC2"/>
    <w:rsid w:val="00AE3EED"/>
    <w:rsid w:val="00AE3F0D"/>
    <w:rsid w:val="00AE4C42"/>
    <w:rsid w:val="00AE5761"/>
    <w:rsid w:val="00AE597A"/>
    <w:rsid w:val="00AE5D93"/>
    <w:rsid w:val="00AE68CF"/>
    <w:rsid w:val="00AE70CF"/>
    <w:rsid w:val="00AE711C"/>
    <w:rsid w:val="00AE7157"/>
    <w:rsid w:val="00AE7847"/>
    <w:rsid w:val="00AE7883"/>
    <w:rsid w:val="00AE7C50"/>
    <w:rsid w:val="00AE7D6A"/>
    <w:rsid w:val="00AE7DA8"/>
    <w:rsid w:val="00AE7E5B"/>
    <w:rsid w:val="00AF02D6"/>
    <w:rsid w:val="00AF030B"/>
    <w:rsid w:val="00AF0972"/>
    <w:rsid w:val="00AF0DE2"/>
    <w:rsid w:val="00AF0F3A"/>
    <w:rsid w:val="00AF0FF1"/>
    <w:rsid w:val="00AF1D4A"/>
    <w:rsid w:val="00AF2124"/>
    <w:rsid w:val="00AF224D"/>
    <w:rsid w:val="00AF22CD"/>
    <w:rsid w:val="00AF23E6"/>
    <w:rsid w:val="00AF25C9"/>
    <w:rsid w:val="00AF3791"/>
    <w:rsid w:val="00AF390C"/>
    <w:rsid w:val="00AF3B27"/>
    <w:rsid w:val="00AF3ED8"/>
    <w:rsid w:val="00AF4708"/>
    <w:rsid w:val="00AF4B70"/>
    <w:rsid w:val="00AF534F"/>
    <w:rsid w:val="00AF60EE"/>
    <w:rsid w:val="00B00137"/>
    <w:rsid w:val="00B006DF"/>
    <w:rsid w:val="00B00B8C"/>
    <w:rsid w:val="00B00C34"/>
    <w:rsid w:val="00B0113C"/>
    <w:rsid w:val="00B015A5"/>
    <w:rsid w:val="00B022F2"/>
    <w:rsid w:val="00B02A83"/>
    <w:rsid w:val="00B02B11"/>
    <w:rsid w:val="00B02B2D"/>
    <w:rsid w:val="00B02C8E"/>
    <w:rsid w:val="00B03313"/>
    <w:rsid w:val="00B03488"/>
    <w:rsid w:val="00B04F87"/>
    <w:rsid w:val="00B0553D"/>
    <w:rsid w:val="00B05D66"/>
    <w:rsid w:val="00B063AF"/>
    <w:rsid w:val="00B0670A"/>
    <w:rsid w:val="00B068AA"/>
    <w:rsid w:val="00B0767F"/>
    <w:rsid w:val="00B07B1C"/>
    <w:rsid w:val="00B07B6B"/>
    <w:rsid w:val="00B07BF9"/>
    <w:rsid w:val="00B1049C"/>
    <w:rsid w:val="00B10626"/>
    <w:rsid w:val="00B1095A"/>
    <w:rsid w:val="00B10E35"/>
    <w:rsid w:val="00B110D4"/>
    <w:rsid w:val="00B119B6"/>
    <w:rsid w:val="00B11BA5"/>
    <w:rsid w:val="00B11C4F"/>
    <w:rsid w:val="00B11DE8"/>
    <w:rsid w:val="00B11E2E"/>
    <w:rsid w:val="00B11E61"/>
    <w:rsid w:val="00B1237F"/>
    <w:rsid w:val="00B12420"/>
    <w:rsid w:val="00B124B0"/>
    <w:rsid w:val="00B1257A"/>
    <w:rsid w:val="00B1261B"/>
    <w:rsid w:val="00B126D0"/>
    <w:rsid w:val="00B12765"/>
    <w:rsid w:val="00B12B28"/>
    <w:rsid w:val="00B12E6C"/>
    <w:rsid w:val="00B13668"/>
    <w:rsid w:val="00B139A4"/>
    <w:rsid w:val="00B14588"/>
    <w:rsid w:val="00B147DF"/>
    <w:rsid w:val="00B14E53"/>
    <w:rsid w:val="00B15115"/>
    <w:rsid w:val="00B1544E"/>
    <w:rsid w:val="00B15C87"/>
    <w:rsid w:val="00B15CAF"/>
    <w:rsid w:val="00B1616D"/>
    <w:rsid w:val="00B164C2"/>
    <w:rsid w:val="00B16F09"/>
    <w:rsid w:val="00B17670"/>
    <w:rsid w:val="00B17CD5"/>
    <w:rsid w:val="00B20546"/>
    <w:rsid w:val="00B205BE"/>
    <w:rsid w:val="00B21690"/>
    <w:rsid w:val="00B2178C"/>
    <w:rsid w:val="00B21852"/>
    <w:rsid w:val="00B21AEC"/>
    <w:rsid w:val="00B21EF8"/>
    <w:rsid w:val="00B220A0"/>
    <w:rsid w:val="00B226B5"/>
    <w:rsid w:val="00B23147"/>
    <w:rsid w:val="00B234A9"/>
    <w:rsid w:val="00B235B0"/>
    <w:rsid w:val="00B23891"/>
    <w:rsid w:val="00B23B80"/>
    <w:rsid w:val="00B23D3D"/>
    <w:rsid w:val="00B245DA"/>
    <w:rsid w:val="00B25001"/>
    <w:rsid w:val="00B251F1"/>
    <w:rsid w:val="00B259C5"/>
    <w:rsid w:val="00B25C0A"/>
    <w:rsid w:val="00B25E8A"/>
    <w:rsid w:val="00B25F7C"/>
    <w:rsid w:val="00B261E6"/>
    <w:rsid w:val="00B2685E"/>
    <w:rsid w:val="00B26A54"/>
    <w:rsid w:val="00B26C2D"/>
    <w:rsid w:val="00B27100"/>
    <w:rsid w:val="00B277BF"/>
    <w:rsid w:val="00B27808"/>
    <w:rsid w:val="00B27B2F"/>
    <w:rsid w:val="00B27C1A"/>
    <w:rsid w:val="00B27C3F"/>
    <w:rsid w:val="00B3069C"/>
    <w:rsid w:val="00B3102E"/>
    <w:rsid w:val="00B31620"/>
    <w:rsid w:val="00B322F2"/>
    <w:rsid w:val="00B32FF3"/>
    <w:rsid w:val="00B331B4"/>
    <w:rsid w:val="00B339DB"/>
    <w:rsid w:val="00B34434"/>
    <w:rsid w:val="00B34842"/>
    <w:rsid w:val="00B34A31"/>
    <w:rsid w:val="00B34C3B"/>
    <w:rsid w:val="00B34D02"/>
    <w:rsid w:val="00B34EEB"/>
    <w:rsid w:val="00B358D7"/>
    <w:rsid w:val="00B35DB9"/>
    <w:rsid w:val="00B35EAD"/>
    <w:rsid w:val="00B36203"/>
    <w:rsid w:val="00B363C0"/>
    <w:rsid w:val="00B3652C"/>
    <w:rsid w:val="00B3682A"/>
    <w:rsid w:val="00B368CF"/>
    <w:rsid w:val="00B3692A"/>
    <w:rsid w:val="00B36D5A"/>
    <w:rsid w:val="00B36DF4"/>
    <w:rsid w:val="00B3773D"/>
    <w:rsid w:val="00B37D83"/>
    <w:rsid w:val="00B4029E"/>
    <w:rsid w:val="00B40E57"/>
    <w:rsid w:val="00B41060"/>
    <w:rsid w:val="00B42061"/>
    <w:rsid w:val="00B42127"/>
    <w:rsid w:val="00B42156"/>
    <w:rsid w:val="00B42A0A"/>
    <w:rsid w:val="00B42A5A"/>
    <w:rsid w:val="00B430DB"/>
    <w:rsid w:val="00B43346"/>
    <w:rsid w:val="00B434B9"/>
    <w:rsid w:val="00B435E0"/>
    <w:rsid w:val="00B43DB7"/>
    <w:rsid w:val="00B43E33"/>
    <w:rsid w:val="00B44057"/>
    <w:rsid w:val="00B4498D"/>
    <w:rsid w:val="00B44D5F"/>
    <w:rsid w:val="00B45960"/>
    <w:rsid w:val="00B462BC"/>
    <w:rsid w:val="00B46571"/>
    <w:rsid w:val="00B46812"/>
    <w:rsid w:val="00B4683C"/>
    <w:rsid w:val="00B46A60"/>
    <w:rsid w:val="00B4711B"/>
    <w:rsid w:val="00B4781E"/>
    <w:rsid w:val="00B47B5E"/>
    <w:rsid w:val="00B47CD1"/>
    <w:rsid w:val="00B500D3"/>
    <w:rsid w:val="00B5042B"/>
    <w:rsid w:val="00B506B9"/>
    <w:rsid w:val="00B50A9F"/>
    <w:rsid w:val="00B50F2F"/>
    <w:rsid w:val="00B51212"/>
    <w:rsid w:val="00B5197A"/>
    <w:rsid w:val="00B51A7B"/>
    <w:rsid w:val="00B51C22"/>
    <w:rsid w:val="00B51F29"/>
    <w:rsid w:val="00B52313"/>
    <w:rsid w:val="00B526D5"/>
    <w:rsid w:val="00B52A4E"/>
    <w:rsid w:val="00B52C5F"/>
    <w:rsid w:val="00B52D6E"/>
    <w:rsid w:val="00B5309E"/>
    <w:rsid w:val="00B5320E"/>
    <w:rsid w:val="00B539F2"/>
    <w:rsid w:val="00B53CDA"/>
    <w:rsid w:val="00B5431C"/>
    <w:rsid w:val="00B543C9"/>
    <w:rsid w:val="00B549DE"/>
    <w:rsid w:val="00B55ADB"/>
    <w:rsid w:val="00B55D11"/>
    <w:rsid w:val="00B569E5"/>
    <w:rsid w:val="00B5704C"/>
    <w:rsid w:val="00B57A14"/>
    <w:rsid w:val="00B60020"/>
    <w:rsid w:val="00B60076"/>
    <w:rsid w:val="00B6019E"/>
    <w:rsid w:val="00B6079B"/>
    <w:rsid w:val="00B60ABB"/>
    <w:rsid w:val="00B6119F"/>
    <w:rsid w:val="00B612D0"/>
    <w:rsid w:val="00B614D3"/>
    <w:rsid w:val="00B616BE"/>
    <w:rsid w:val="00B6178A"/>
    <w:rsid w:val="00B619A5"/>
    <w:rsid w:val="00B619CD"/>
    <w:rsid w:val="00B61D0C"/>
    <w:rsid w:val="00B61D5A"/>
    <w:rsid w:val="00B61F1F"/>
    <w:rsid w:val="00B62123"/>
    <w:rsid w:val="00B626EA"/>
    <w:rsid w:val="00B62813"/>
    <w:rsid w:val="00B62CCF"/>
    <w:rsid w:val="00B62D21"/>
    <w:rsid w:val="00B6339A"/>
    <w:rsid w:val="00B6339C"/>
    <w:rsid w:val="00B63716"/>
    <w:rsid w:val="00B63E6E"/>
    <w:rsid w:val="00B6423E"/>
    <w:rsid w:val="00B642B6"/>
    <w:rsid w:val="00B64535"/>
    <w:rsid w:val="00B64598"/>
    <w:rsid w:val="00B645D7"/>
    <w:rsid w:val="00B64E5C"/>
    <w:rsid w:val="00B64FD2"/>
    <w:rsid w:val="00B654E1"/>
    <w:rsid w:val="00B66834"/>
    <w:rsid w:val="00B66AA8"/>
    <w:rsid w:val="00B66C6A"/>
    <w:rsid w:val="00B66CA2"/>
    <w:rsid w:val="00B66EF8"/>
    <w:rsid w:val="00B66F4E"/>
    <w:rsid w:val="00B678DB"/>
    <w:rsid w:val="00B67945"/>
    <w:rsid w:val="00B67EDB"/>
    <w:rsid w:val="00B70245"/>
    <w:rsid w:val="00B70277"/>
    <w:rsid w:val="00B705E5"/>
    <w:rsid w:val="00B709DD"/>
    <w:rsid w:val="00B70A51"/>
    <w:rsid w:val="00B70A7C"/>
    <w:rsid w:val="00B71236"/>
    <w:rsid w:val="00B719B2"/>
    <w:rsid w:val="00B725AD"/>
    <w:rsid w:val="00B728C9"/>
    <w:rsid w:val="00B7296A"/>
    <w:rsid w:val="00B72C77"/>
    <w:rsid w:val="00B73402"/>
    <w:rsid w:val="00B7342E"/>
    <w:rsid w:val="00B736B4"/>
    <w:rsid w:val="00B73732"/>
    <w:rsid w:val="00B737BB"/>
    <w:rsid w:val="00B7383A"/>
    <w:rsid w:val="00B73AD3"/>
    <w:rsid w:val="00B73AE9"/>
    <w:rsid w:val="00B73D0B"/>
    <w:rsid w:val="00B73DFB"/>
    <w:rsid w:val="00B73EA6"/>
    <w:rsid w:val="00B73F3A"/>
    <w:rsid w:val="00B74071"/>
    <w:rsid w:val="00B74264"/>
    <w:rsid w:val="00B74444"/>
    <w:rsid w:val="00B74CFF"/>
    <w:rsid w:val="00B74FCD"/>
    <w:rsid w:val="00B753CC"/>
    <w:rsid w:val="00B754C1"/>
    <w:rsid w:val="00B7555D"/>
    <w:rsid w:val="00B759B6"/>
    <w:rsid w:val="00B75AEA"/>
    <w:rsid w:val="00B75BC8"/>
    <w:rsid w:val="00B760BC"/>
    <w:rsid w:val="00B763EB"/>
    <w:rsid w:val="00B767A7"/>
    <w:rsid w:val="00B767D8"/>
    <w:rsid w:val="00B76D0F"/>
    <w:rsid w:val="00B77BE5"/>
    <w:rsid w:val="00B80387"/>
    <w:rsid w:val="00B80971"/>
    <w:rsid w:val="00B80C58"/>
    <w:rsid w:val="00B80CAB"/>
    <w:rsid w:val="00B80D55"/>
    <w:rsid w:val="00B81358"/>
    <w:rsid w:val="00B81469"/>
    <w:rsid w:val="00B8150A"/>
    <w:rsid w:val="00B81875"/>
    <w:rsid w:val="00B81A86"/>
    <w:rsid w:val="00B82C36"/>
    <w:rsid w:val="00B831A6"/>
    <w:rsid w:val="00B84006"/>
    <w:rsid w:val="00B84023"/>
    <w:rsid w:val="00B8417F"/>
    <w:rsid w:val="00B84719"/>
    <w:rsid w:val="00B848CE"/>
    <w:rsid w:val="00B84F76"/>
    <w:rsid w:val="00B854F7"/>
    <w:rsid w:val="00B85E7C"/>
    <w:rsid w:val="00B86086"/>
    <w:rsid w:val="00B86109"/>
    <w:rsid w:val="00B87401"/>
    <w:rsid w:val="00B9015F"/>
    <w:rsid w:val="00B90852"/>
    <w:rsid w:val="00B90932"/>
    <w:rsid w:val="00B90D99"/>
    <w:rsid w:val="00B90FD0"/>
    <w:rsid w:val="00B91340"/>
    <w:rsid w:val="00B91994"/>
    <w:rsid w:val="00B91CBB"/>
    <w:rsid w:val="00B91E18"/>
    <w:rsid w:val="00B922FD"/>
    <w:rsid w:val="00B9272D"/>
    <w:rsid w:val="00B92FE4"/>
    <w:rsid w:val="00B9309E"/>
    <w:rsid w:val="00B930DC"/>
    <w:rsid w:val="00B93153"/>
    <w:rsid w:val="00B9348D"/>
    <w:rsid w:val="00B93B26"/>
    <w:rsid w:val="00B93B4D"/>
    <w:rsid w:val="00B9406D"/>
    <w:rsid w:val="00B94625"/>
    <w:rsid w:val="00B94673"/>
    <w:rsid w:val="00B94D2F"/>
    <w:rsid w:val="00B94EEE"/>
    <w:rsid w:val="00B95263"/>
    <w:rsid w:val="00B956B5"/>
    <w:rsid w:val="00B95A5E"/>
    <w:rsid w:val="00B95C41"/>
    <w:rsid w:val="00B95DEB"/>
    <w:rsid w:val="00B95E4B"/>
    <w:rsid w:val="00B95FAB"/>
    <w:rsid w:val="00B96254"/>
    <w:rsid w:val="00B96A4B"/>
    <w:rsid w:val="00B977D2"/>
    <w:rsid w:val="00B978BD"/>
    <w:rsid w:val="00BA09EC"/>
    <w:rsid w:val="00BA0A24"/>
    <w:rsid w:val="00BA0BB6"/>
    <w:rsid w:val="00BA0C21"/>
    <w:rsid w:val="00BA1B0F"/>
    <w:rsid w:val="00BA1C42"/>
    <w:rsid w:val="00BA2C21"/>
    <w:rsid w:val="00BA3798"/>
    <w:rsid w:val="00BA37C2"/>
    <w:rsid w:val="00BA39B0"/>
    <w:rsid w:val="00BA39FF"/>
    <w:rsid w:val="00BA44F3"/>
    <w:rsid w:val="00BA4943"/>
    <w:rsid w:val="00BA4BFC"/>
    <w:rsid w:val="00BA5242"/>
    <w:rsid w:val="00BA5427"/>
    <w:rsid w:val="00BA575D"/>
    <w:rsid w:val="00BA5C69"/>
    <w:rsid w:val="00BA6C40"/>
    <w:rsid w:val="00BA6F16"/>
    <w:rsid w:val="00BA7028"/>
    <w:rsid w:val="00BA7D63"/>
    <w:rsid w:val="00BA7E68"/>
    <w:rsid w:val="00BB0625"/>
    <w:rsid w:val="00BB074E"/>
    <w:rsid w:val="00BB08E1"/>
    <w:rsid w:val="00BB09A0"/>
    <w:rsid w:val="00BB10F7"/>
    <w:rsid w:val="00BB14E6"/>
    <w:rsid w:val="00BB1995"/>
    <w:rsid w:val="00BB1AD1"/>
    <w:rsid w:val="00BB1CAD"/>
    <w:rsid w:val="00BB257C"/>
    <w:rsid w:val="00BB27F2"/>
    <w:rsid w:val="00BB2858"/>
    <w:rsid w:val="00BB31D1"/>
    <w:rsid w:val="00BB369E"/>
    <w:rsid w:val="00BB39C4"/>
    <w:rsid w:val="00BB3A45"/>
    <w:rsid w:val="00BB3FBC"/>
    <w:rsid w:val="00BB48A2"/>
    <w:rsid w:val="00BB48B6"/>
    <w:rsid w:val="00BB48E7"/>
    <w:rsid w:val="00BB4FE0"/>
    <w:rsid w:val="00BB5468"/>
    <w:rsid w:val="00BB5A3A"/>
    <w:rsid w:val="00BB5C9C"/>
    <w:rsid w:val="00BB5D4B"/>
    <w:rsid w:val="00BB5F52"/>
    <w:rsid w:val="00BB6569"/>
    <w:rsid w:val="00BB6733"/>
    <w:rsid w:val="00BB6A61"/>
    <w:rsid w:val="00BB7057"/>
    <w:rsid w:val="00BB71F9"/>
    <w:rsid w:val="00BB73C7"/>
    <w:rsid w:val="00BB75E1"/>
    <w:rsid w:val="00BB7EE0"/>
    <w:rsid w:val="00BC0220"/>
    <w:rsid w:val="00BC0B5A"/>
    <w:rsid w:val="00BC10F6"/>
    <w:rsid w:val="00BC1449"/>
    <w:rsid w:val="00BC1657"/>
    <w:rsid w:val="00BC16C9"/>
    <w:rsid w:val="00BC1DA0"/>
    <w:rsid w:val="00BC1E59"/>
    <w:rsid w:val="00BC24B1"/>
    <w:rsid w:val="00BC2AE9"/>
    <w:rsid w:val="00BC2E1C"/>
    <w:rsid w:val="00BC379F"/>
    <w:rsid w:val="00BC3F27"/>
    <w:rsid w:val="00BC46B4"/>
    <w:rsid w:val="00BC5073"/>
    <w:rsid w:val="00BC6518"/>
    <w:rsid w:val="00BC651C"/>
    <w:rsid w:val="00BC673D"/>
    <w:rsid w:val="00BC685D"/>
    <w:rsid w:val="00BC6F02"/>
    <w:rsid w:val="00BC701C"/>
    <w:rsid w:val="00BC7F1C"/>
    <w:rsid w:val="00BD019A"/>
    <w:rsid w:val="00BD06F0"/>
    <w:rsid w:val="00BD17C6"/>
    <w:rsid w:val="00BD1BCC"/>
    <w:rsid w:val="00BD1F1D"/>
    <w:rsid w:val="00BD24E7"/>
    <w:rsid w:val="00BD2718"/>
    <w:rsid w:val="00BD2970"/>
    <w:rsid w:val="00BD2DB8"/>
    <w:rsid w:val="00BD2E49"/>
    <w:rsid w:val="00BD2EA3"/>
    <w:rsid w:val="00BD3484"/>
    <w:rsid w:val="00BD35AC"/>
    <w:rsid w:val="00BD3731"/>
    <w:rsid w:val="00BD46C9"/>
    <w:rsid w:val="00BD4B21"/>
    <w:rsid w:val="00BD4DC3"/>
    <w:rsid w:val="00BD534A"/>
    <w:rsid w:val="00BD5D4E"/>
    <w:rsid w:val="00BD5F96"/>
    <w:rsid w:val="00BD5FE9"/>
    <w:rsid w:val="00BD6232"/>
    <w:rsid w:val="00BD63D0"/>
    <w:rsid w:val="00BD6E88"/>
    <w:rsid w:val="00BD7202"/>
    <w:rsid w:val="00BD7310"/>
    <w:rsid w:val="00BD7827"/>
    <w:rsid w:val="00BE02AB"/>
    <w:rsid w:val="00BE08F4"/>
    <w:rsid w:val="00BE0E82"/>
    <w:rsid w:val="00BE0EFA"/>
    <w:rsid w:val="00BE1273"/>
    <w:rsid w:val="00BE15A2"/>
    <w:rsid w:val="00BE1662"/>
    <w:rsid w:val="00BE1C94"/>
    <w:rsid w:val="00BE2739"/>
    <w:rsid w:val="00BE28D2"/>
    <w:rsid w:val="00BE29B1"/>
    <w:rsid w:val="00BE2AA4"/>
    <w:rsid w:val="00BE2B27"/>
    <w:rsid w:val="00BE2BD2"/>
    <w:rsid w:val="00BE2C97"/>
    <w:rsid w:val="00BE3271"/>
    <w:rsid w:val="00BE34E4"/>
    <w:rsid w:val="00BE3DB1"/>
    <w:rsid w:val="00BE4345"/>
    <w:rsid w:val="00BE49CD"/>
    <w:rsid w:val="00BE49E6"/>
    <w:rsid w:val="00BE4D1C"/>
    <w:rsid w:val="00BE50A8"/>
    <w:rsid w:val="00BE5B8C"/>
    <w:rsid w:val="00BE7004"/>
    <w:rsid w:val="00BE79DC"/>
    <w:rsid w:val="00BE7C55"/>
    <w:rsid w:val="00BF00E4"/>
    <w:rsid w:val="00BF04C3"/>
    <w:rsid w:val="00BF05DB"/>
    <w:rsid w:val="00BF07CD"/>
    <w:rsid w:val="00BF08B8"/>
    <w:rsid w:val="00BF0BFA"/>
    <w:rsid w:val="00BF0C80"/>
    <w:rsid w:val="00BF0D0E"/>
    <w:rsid w:val="00BF0E58"/>
    <w:rsid w:val="00BF1102"/>
    <w:rsid w:val="00BF1398"/>
    <w:rsid w:val="00BF227B"/>
    <w:rsid w:val="00BF24D4"/>
    <w:rsid w:val="00BF28A5"/>
    <w:rsid w:val="00BF2D17"/>
    <w:rsid w:val="00BF3463"/>
    <w:rsid w:val="00BF3702"/>
    <w:rsid w:val="00BF39B6"/>
    <w:rsid w:val="00BF43A6"/>
    <w:rsid w:val="00BF46E8"/>
    <w:rsid w:val="00BF4A7C"/>
    <w:rsid w:val="00BF4AED"/>
    <w:rsid w:val="00BF4E07"/>
    <w:rsid w:val="00BF520C"/>
    <w:rsid w:val="00BF53D4"/>
    <w:rsid w:val="00BF5689"/>
    <w:rsid w:val="00BF5900"/>
    <w:rsid w:val="00BF5CA8"/>
    <w:rsid w:val="00BF5E12"/>
    <w:rsid w:val="00BF601E"/>
    <w:rsid w:val="00BF6023"/>
    <w:rsid w:val="00BF62DA"/>
    <w:rsid w:val="00BF6A36"/>
    <w:rsid w:val="00BF6ABE"/>
    <w:rsid w:val="00BF70B7"/>
    <w:rsid w:val="00BF75C2"/>
    <w:rsid w:val="00BF775E"/>
    <w:rsid w:val="00BF7AF5"/>
    <w:rsid w:val="00BF7DAC"/>
    <w:rsid w:val="00C00143"/>
    <w:rsid w:val="00C00AF9"/>
    <w:rsid w:val="00C00BA6"/>
    <w:rsid w:val="00C00C99"/>
    <w:rsid w:val="00C01208"/>
    <w:rsid w:val="00C01722"/>
    <w:rsid w:val="00C019DE"/>
    <w:rsid w:val="00C01B25"/>
    <w:rsid w:val="00C023A8"/>
    <w:rsid w:val="00C025A4"/>
    <w:rsid w:val="00C02E79"/>
    <w:rsid w:val="00C0379C"/>
    <w:rsid w:val="00C0435B"/>
    <w:rsid w:val="00C04CC2"/>
    <w:rsid w:val="00C04DEF"/>
    <w:rsid w:val="00C04FC5"/>
    <w:rsid w:val="00C0591E"/>
    <w:rsid w:val="00C0667F"/>
    <w:rsid w:val="00C0721F"/>
    <w:rsid w:val="00C07C2C"/>
    <w:rsid w:val="00C07D30"/>
    <w:rsid w:val="00C10949"/>
    <w:rsid w:val="00C10BA2"/>
    <w:rsid w:val="00C10E95"/>
    <w:rsid w:val="00C1101A"/>
    <w:rsid w:val="00C11C18"/>
    <w:rsid w:val="00C11E9E"/>
    <w:rsid w:val="00C11EFA"/>
    <w:rsid w:val="00C12159"/>
    <w:rsid w:val="00C123C7"/>
    <w:rsid w:val="00C127D8"/>
    <w:rsid w:val="00C1317D"/>
    <w:rsid w:val="00C136CA"/>
    <w:rsid w:val="00C145B2"/>
    <w:rsid w:val="00C1478B"/>
    <w:rsid w:val="00C1481D"/>
    <w:rsid w:val="00C15225"/>
    <w:rsid w:val="00C15C70"/>
    <w:rsid w:val="00C15E73"/>
    <w:rsid w:val="00C16319"/>
    <w:rsid w:val="00C1634B"/>
    <w:rsid w:val="00C164DF"/>
    <w:rsid w:val="00C165A2"/>
    <w:rsid w:val="00C16659"/>
    <w:rsid w:val="00C1695C"/>
    <w:rsid w:val="00C1722F"/>
    <w:rsid w:val="00C20018"/>
    <w:rsid w:val="00C20D87"/>
    <w:rsid w:val="00C20EF8"/>
    <w:rsid w:val="00C2163E"/>
    <w:rsid w:val="00C217F7"/>
    <w:rsid w:val="00C21CD2"/>
    <w:rsid w:val="00C22A42"/>
    <w:rsid w:val="00C22A78"/>
    <w:rsid w:val="00C22B36"/>
    <w:rsid w:val="00C23AAF"/>
    <w:rsid w:val="00C23B23"/>
    <w:rsid w:val="00C23B38"/>
    <w:rsid w:val="00C23BB1"/>
    <w:rsid w:val="00C23C96"/>
    <w:rsid w:val="00C24399"/>
    <w:rsid w:val="00C24E85"/>
    <w:rsid w:val="00C24EF0"/>
    <w:rsid w:val="00C2546D"/>
    <w:rsid w:val="00C25A3C"/>
    <w:rsid w:val="00C25ED7"/>
    <w:rsid w:val="00C25F37"/>
    <w:rsid w:val="00C25F8C"/>
    <w:rsid w:val="00C26591"/>
    <w:rsid w:val="00C266A0"/>
    <w:rsid w:val="00C26AEE"/>
    <w:rsid w:val="00C275ED"/>
    <w:rsid w:val="00C278CD"/>
    <w:rsid w:val="00C27A79"/>
    <w:rsid w:val="00C302A7"/>
    <w:rsid w:val="00C30BD6"/>
    <w:rsid w:val="00C30DD8"/>
    <w:rsid w:val="00C30FC2"/>
    <w:rsid w:val="00C31009"/>
    <w:rsid w:val="00C314DF"/>
    <w:rsid w:val="00C31610"/>
    <w:rsid w:val="00C31678"/>
    <w:rsid w:val="00C3179D"/>
    <w:rsid w:val="00C31BF3"/>
    <w:rsid w:val="00C31E08"/>
    <w:rsid w:val="00C31EB6"/>
    <w:rsid w:val="00C323D3"/>
    <w:rsid w:val="00C32F00"/>
    <w:rsid w:val="00C332EE"/>
    <w:rsid w:val="00C33566"/>
    <w:rsid w:val="00C335D1"/>
    <w:rsid w:val="00C336DB"/>
    <w:rsid w:val="00C33BBE"/>
    <w:rsid w:val="00C342DE"/>
    <w:rsid w:val="00C345C2"/>
    <w:rsid w:val="00C346A4"/>
    <w:rsid w:val="00C3474F"/>
    <w:rsid w:val="00C347C9"/>
    <w:rsid w:val="00C34B20"/>
    <w:rsid w:val="00C34C9C"/>
    <w:rsid w:val="00C3569B"/>
    <w:rsid w:val="00C359FF"/>
    <w:rsid w:val="00C36085"/>
    <w:rsid w:val="00C36C0F"/>
    <w:rsid w:val="00C373DD"/>
    <w:rsid w:val="00C3767E"/>
    <w:rsid w:val="00C37F9E"/>
    <w:rsid w:val="00C37FFD"/>
    <w:rsid w:val="00C406EA"/>
    <w:rsid w:val="00C410D5"/>
    <w:rsid w:val="00C41371"/>
    <w:rsid w:val="00C41492"/>
    <w:rsid w:val="00C42167"/>
    <w:rsid w:val="00C42AAD"/>
    <w:rsid w:val="00C42AEC"/>
    <w:rsid w:val="00C42C29"/>
    <w:rsid w:val="00C43352"/>
    <w:rsid w:val="00C436B3"/>
    <w:rsid w:val="00C442FC"/>
    <w:rsid w:val="00C443A7"/>
    <w:rsid w:val="00C4455D"/>
    <w:rsid w:val="00C44CE4"/>
    <w:rsid w:val="00C4560C"/>
    <w:rsid w:val="00C459BC"/>
    <w:rsid w:val="00C45AF2"/>
    <w:rsid w:val="00C460C5"/>
    <w:rsid w:val="00C465EC"/>
    <w:rsid w:val="00C46A80"/>
    <w:rsid w:val="00C46C16"/>
    <w:rsid w:val="00C46C4A"/>
    <w:rsid w:val="00C46D8B"/>
    <w:rsid w:val="00C47393"/>
    <w:rsid w:val="00C4756C"/>
    <w:rsid w:val="00C475B9"/>
    <w:rsid w:val="00C476BB"/>
    <w:rsid w:val="00C47C7D"/>
    <w:rsid w:val="00C47C9E"/>
    <w:rsid w:val="00C47E3B"/>
    <w:rsid w:val="00C503A4"/>
    <w:rsid w:val="00C5131F"/>
    <w:rsid w:val="00C51758"/>
    <w:rsid w:val="00C52254"/>
    <w:rsid w:val="00C52578"/>
    <w:rsid w:val="00C52F31"/>
    <w:rsid w:val="00C53B89"/>
    <w:rsid w:val="00C53C50"/>
    <w:rsid w:val="00C5409A"/>
    <w:rsid w:val="00C54972"/>
    <w:rsid w:val="00C54B60"/>
    <w:rsid w:val="00C54CE8"/>
    <w:rsid w:val="00C54FCA"/>
    <w:rsid w:val="00C55633"/>
    <w:rsid w:val="00C55A92"/>
    <w:rsid w:val="00C55D28"/>
    <w:rsid w:val="00C55F77"/>
    <w:rsid w:val="00C566AD"/>
    <w:rsid w:val="00C56885"/>
    <w:rsid w:val="00C575C4"/>
    <w:rsid w:val="00C57E69"/>
    <w:rsid w:val="00C60041"/>
    <w:rsid w:val="00C6006B"/>
    <w:rsid w:val="00C60495"/>
    <w:rsid w:val="00C605FA"/>
    <w:rsid w:val="00C6088F"/>
    <w:rsid w:val="00C6097E"/>
    <w:rsid w:val="00C60BDE"/>
    <w:rsid w:val="00C61955"/>
    <w:rsid w:val="00C61C88"/>
    <w:rsid w:val="00C62199"/>
    <w:rsid w:val="00C62C26"/>
    <w:rsid w:val="00C62CA9"/>
    <w:rsid w:val="00C6308C"/>
    <w:rsid w:val="00C63505"/>
    <w:rsid w:val="00C639B7"/>
    <w:rsid w:val="00C63B4D"/>
    <w:rsid w:val="00C63DAE"/>
    <w:rsid w:val="00C63FFA"/>
    <w:rsid w:val="00C64206"/>
    <w:rsid w:val="00C65294"/>
    <w:rsid w:val="00C65604"/>
    <w:rsid w:val="00C6602D"/>
    <w:rsid w:val="00C66230"/>
    <w:rsid w:val="00C667D0"/>
    <w:rsid w:val="00C66B5E"/>
    <w:rsid w:val="00C66BB9"/>
    <w:rsid w:val="00C66FCB"/>
    <w:rsid w:val="00C671AF"/>
    <w:rsid w:val="00C67716"/>
    <w:rsid w:val="00C67B1D"/>
    <w:rsid w:val="00C711D0"/>
    <w:rsid w:val="00C714B4"/>
    <w:rsid w:val="00C71978"/>
    <w:rsid w:val="00C72084"/>
    <w:rsid w:val="00C727D7"/>
    <w:rsid w:val="00C727DB"/>
    <w:rsid w:val="00C728BD"/>
    <w:rsid w:val="00C72D9A"/>
    <w:rsid w:val="00C731E3"/>
    <w:rsid w:val="00C7330A"/>
    <w:rsid w:val="00C7347B"/>
    <w:rsid w:val="00C73D55"/>
    <w:rsid w:val="00C74232"/>
    <w:rsid w:val="00C742BB"/>
    <w:rsid w:val="00C74440"/>
    <w:rsid w:val="00C74660"/>
    <w:rsid w:val="00C74A2E"/>
    <w:rsid w:val="00C74D49"/>
    <w:rsid w:val="00C75065"/>
    <w:rsid w:val="00C75BCC"/>
    <w:rsid w:val="00C7603A"/>
    <w:rsid w:val="00C76088"/>
    <w:rsid w:val="00C762CC"/>
    <w:rsid w:val="00C76632"/>
    <w:rsid w:val="00C766F8"/>
    <w:rsid w:val="00C76CE7"/>
    <w:rsid w:val="00C76E97"/>
    <w:rsid w:val="00C776DC"/>
    <w:rsid w:val="00C77DBA"/>
    <w:rsid w:val="00C77FA9"/>
    <w:rsid w:val="00C804AA"/>
    <w:rsid w:val="00C805D2"/>
    <w:rsid w:val="00C8083C"/>
    <w:rsid w:val="00C8151B"/>
    <w:rsid w:val="00C8210E"/>
    <w:rsid w:val="00C82956"/>
    <w:rsid w:val="00C83082"/>
    <w:rsid w:val="00C83174"/>
    <w:rsid w:val="00C831B1"/>
    <w:rsid w:val="00C8353E"/>
    <w:rsid w:val="00C83854"/>
    <w:rsid w:val="00C83DEE"/>
    <w:rsid w:val="00C84085"/>
    <w:rsid w:val="00C8460B"/>
    <w:rsid w:val="00C84789"/>
    <w:rsid w:val="00C84EE1"/>
    <w:rsid w:val="00C851C5"/>
    <w:rsid w:val="00C851D3"/>
    <w:rsid w:val="00C855CB"/>
    <w:rsid w:val="00C85C3D"/>
    <w:rsid w:val="00C85F57"/>
    <w:rsid w:val="00C863BA"/>
    <w:rsid w:val="00C86615"/>
    <w:rsid w:val="00C86934"/>
    <w:rsid w:val="00C86D49"/>
    <w:rsid w:val="00C8700E"/>
    <w:rsid w:val="00C879F8"/>
    <w:rsid w:val="00C87C89"/>
    <w:rsid w:val="00C87F38"/>
    <w:rsid w:val="00C900CE"/>
    <w:rsid w:val="00C90335"/>
    <w:rsid w:val="00C90550"/>
    <w:rsid w:val="00C907A4"/>
    <w:rsid w:val="00C9084B"/>
    <w:rsid w:val="00C90935"/>
    <w:rsid w:val="00C909AE"/>
    <w:rsid w:val="00C90BC1"/>
    <w:rsid w:val="00C90F35"/>
    <w:rsid w:val="00C913AD"/>
    <w:rsid w:val="00C91D29"/>
    <w:rsid w:val="00C92025"/>
    <w:rsid w:val="00C923B0"/>
    <w:rsid w:val="00C926C3"/>
    <w:rsid w:val="00C92CA5"/>
    <w:rsid w:val="00C92EC1"/>
    <w:rsid w:val="00C93246"/>
    <w:rsid w:val="00C93664"/>
    <w:rsid w:val="00C93D22"/>
    <w:rsid w:val="00C943AA"/>
    <w:rsid w:val="00C94A14"/>
    <w:rsid w:val="00C94D03"/>
    <w:rsid w:val="00C95794"/>
    <w:rsid w:val="00C95798"/>
    <w:rsid w:val="00C95B2F"/>
    <w:rsid w:val="00C95D30"/>
    <w:rsid w:val="00C9670A"/>
    <w:rsid w:val="00C96D70"/>
    <w:rsid w:val="00C9737F"/>
    <w:rsid w:val="00C97469"/>
    <w:rsid w:val="00C97B5A"/>
    <w:rsid w:val="00C97BAB"/>
    <w:rsid w:val="00C97D31"/>
    <w:rsid w:val="00C97D5F"/>
    <w:rsid w:val="00C97DCD"/>
    <w:rsid w:val="00CA00FE"/>
    <w:rsid w:val="00CA0660"/>
    <w:rsid w:val="00CA0A07"/>
    <w:rsid w:val="00CA0B9F"/>
    <w:rsid w:val="00CA0D40"/>
    <w:rsid w:val="00CA0DE7"/>
    <w:rsid w:val="00CA0F7E"/>
    <w:rsid w:val="00CA104A"/>
    <w:rsid w:val="00CA125E"/>
    <w:rsid w:val="00CA1A1E"/>
    <w:rsid w:val="00CA1ABA"/>
    <w:rsid w:val="00CA1B27"/>
    <w:rsid w:val="00CA1C7E"/>
    <w:rsid w:val="00CA1F0B"/>
    <w:rsid w:val="00CA22AD"/>
    <w:rsid w:val="00CA243C"/>
    <w:rsid w:val="00CA25A8"/>
    <w:rsid w:val="00CA266F"/>
    <w:rsid w:val="00CA27C7"/>
    <w:rsid w:val="00CA29C9"/>
    <w:rsid w:val="00CA29E1"/>
    <w:rsid w:val="00CA2A0C"/>
    <w:rsid w:val="00CA2C8E"/>
    <w:rsid w:val="00CA2E9B"/>
    <w:rsid w:val="00CA310A"/>
    <w:rsid w:val="00CA3479"/>
    <w:rsid w:val="00CA36EC"/>
    <w:rsid w:val="00CA3711"/>
    <w:rsid w:val="00CA3CE9"/>
    <w:rsid w:val="00CA4836"/>
    <w:rsid w:val="00CA5282"/>
    <w:rsid w:val="00CA5411"/>
    <w:rsid w:val="00CA5488"/>
    <w:rsid w:val="00CA5593"/>
    <w:rsid w:val="00CA60B2"/>
    <w:rsid w:val="00CA658E"/>
    <w:rsid w:val="00CA69BD"/>
    <w:rsid w:val="00CA6A70"/>
    <w:rsid w:val="00CA728B"/>
    <w:rsid w:val="00CA784E"/>
    <w:rsid w:val="00CA792E"/>
    <w:rsid w:val="00CA7DF3"/>
    <w:rsid w:val="00CB06C2"/>
    <w:rsid w:val="00CB0D83"/>
    <w:rsid w:val="00CB1281"/>
    <w:rsid w:val="00CB13D1"/>
    <w:rsid w:val="00CB18E5"/>
    <w:rsid w:val="00CB1BD9"/>
    <w:rsid w:val="00CB1C3D"/>
    <w:rsid w:val="00CB1DD3"/>
    <w:rsid w:val="00CB1E41"/>
    <w:rsid w:val="00CB1E44"/>
    <w:rsid w:val="00CB27FE"/>
    <w:rsid w:val="00CB287A"/>
    <w:rsid w:val="00CB2B75"/>
    <w:rsid w:val="00CB3FE7"/>
    <w:rsid w:val="00CB425D"/>
    <w:rsid w:val="00CB46C9"/>
    <w:rsid w:val="00CB488A"/>
    <w:rsid w:val="00CB4D6F"/>
    <w:rsid w:val="00CB5353"/>
    <w:rsid w:val="00CB5BC2"/>
    <w:rsid w:val="00CB5CD0"/>
    <w:rsid w:val="00CB634E"/>
    <w:rsid w:val="00CB669C"/>
    <w:rsid w:val="00CB6838"/>
    <w:rsid w:val="00CB6AF9"/>
    <w:rsid w:val="00CB71EF"/>
    <w:rsid w:val="00CB7889"/>
    <w:rsid w:val="00CB7D52"/>
    <w:rsid w:val="00CC0525"/>
    <w:rsid w:val="00CC0D91"/>
    <w:rsid w:val="00CC102F"/>
    <w:rsid w:val="00CC1F90"/>
    <w:rsid w:val="00CC20B1"/>
    <w:rsid w:val="00CC2DFD"/>
    <w:rsid w:val="00CC30A9"/>
    <w:rsid w:val="00CC35E1"/>
    <w:rsid w:val="00CC48E1"/>
    <w:rsid w:val="00CC4BA1"/>
    <w:rsid w:val="00CC5ABA"/>
    <w:rsid w:val="00CC5B48"/>
    <w:rsid w:val="00CC5E78"/>
    <w:rsid w:val="00CC64A7"/>
    <w:rsid w:val="00CC6EB6"/>
    <w:rsid w:val="00CC7169"/>
    <w:rsid w:val="00CC78F1"/>
    <w:rsid w:val="00CC7B9D"/>
    <w:rsid w:val="00CD06F2"/>
    <w:rsid w:val="00CD1515"/>
    <w:rsid w:val="00CD152F"/>
    <w:rsid w:val="00CD1AC0"/>
    <w:rsid w:val="00CD1B58"/>
    <w:rsid w:val="00CD1D5D"/>
    <w:rsid w:val="00CD1DB8"/>
    <w:rsid w:val="00CD23BD"/>
    <w:rsid w:val="00CD2668"/>
    <w:rsid w:val="00CD2E09"/>
    <w:rsid w:val="00CD2FC2"/>
    <w:rsid w:val="00CD3128"/>
    <w:rsid w:val="00CD38F6"/>
    <w:rsid w:val="00CD4053"/>
    <w:rsid w:val="00CD427C"/>
    <w:rsid w:val="00CD4ACF"/>
    <w:rsid w:val="00CD4D98"/>
    <w:rsid w:val="00CD54A4"/>
    <w:rsid w:val="00CD54C6"/>
    <w:rsid w:val="00CD5548"/>
    <w:rsid w:val="00CD5596"/>
    <w:rsid w:val="00CD55B6"/>
    <w:rsid w:val="00CD5647"/>
    <w:rsid w:val="00CD5A6B"/>
    <w:rsid w:val="00CD5CC6"/>
    <w:rsid w:val="00CD6100"/>
    <w:rsid w:val="00CD61A8"/>
    <w:rsid w:val="00CD62F6"/>
    <w:rsid w:val="00CD6B74"/>
    <w:rsid w:val="00CD6BCA"/>
    <w:rsid w:val="00CD6C1E"/>
    <w:rsid w:val="00CD6D4A"/>
    <w:rsid w:val="00CD70D2"/>
    <w:rsid w:val="00CD733C"/>
    <w:rsid w:val="00CD7803"/>
    <w:rsid w:val="00CD79CF"/>
    <w:rsid w:val="00CD7FB5"/>
    <w:rsid w:val="00CE0138"/>
    <w:rsid w:val="00CE13D7"/>
    <w:rsid w:val="00CE1ACA"/>
    <w:rsid w:val="00CE20E1"/>
    <w:rsid w:val="00CE2181"/>
    <w:rsid w:val="00CE31EA"/>
    <w:rsid w:val="00CE33A1"/>
    <w:rsid w:val="00CE37EF"/>
    <w:rsid w:val="00CE3964"/>
    <w:rsid w:val="00CE3AFC"/>
    <w:rsid w:val="00CE3B86"/>
    <w:rsid w:val="00CE3C8C"/>
    <w:rsid w:val="00CE3D1E"/>
    <w:rsid w:val="00CE3F6A"/>
    <w:rsid w:val="00CE42BF"/>
    <w:rsid w:val="00CE4346"/>
    <w:rsid w:val="00CE47E6"/>
    <w:rsid w:val="00CE47E7"/>
    <w:rsid w:val="00CE480C"/>
    <w:rsid w:val="00CE513D"/>
    <w:rsid w:val="00CE5161"/>
    <w:rsid w:val="00CE5264"/>
    <w:rsid w:val="00CE5908"/>
    <w:rsid w:val="00CE6683"/>
    <w:rsid w:val="00CE6A92"/>
    <w:rsid w:val="00CE6A9B"/>
    <w:rsid w:val="00CE713A"/>
    <w:rsid w:val="00CE7564"/>
    <w:rsid w:val="00CE756D"/>
    <w:rsid w:val="00CE776F"/>
    <w:rsid w:val="00CE7A12"/>
    <w:rsid w:val="00CE7B0F"/>
    <w:rsid w:val="00CE7F04"/>
    <w:rsid w:val="00CE7F08"/>
    <w:rsid w:val="00CF06BB"/>
    <w:rsid w:val="00CF0871"/>
    <w:rsid w:val="00CF0884"/>
    <w:rsid w:val="00CF0A2B"/>
    <w:rsid w:val="00CF0C49"/>
    <w:rsid w:val="00CF10A4"/>
    <w:rsid w:val="00CF14E0"/>
    <w:rsid w:val="00CF18DE"/>
    <w:rsid w:val="00CF1AF8"/>
    <w:rsid w:val="00CF1E17"/>
    <w:rsid w:val="00CF1E86"/>
    <w:rsid w:val="00CF2706"/>
    <w:rsid w:val="00CF2749"/>
    <w:rsid w:val="00CF2C79"/>
    <w:rsid w:val="00CF318E"/>
    <w:rsid w:val="00CF32F1"/>
    <w:rsid w:val="00CF3971"/>
    <w:rsid w:val="00CF4256"/>
    <w:rsid w:val="00CF4C75"/>
    <w:rsid w:val="00CF4E4E"/>
    <w:rsid w:val="00CF500A"/>
    <w:rsid w:val="00CF51C2"/>
    <w:rsid w:val="00CF53FB"/>
    <w:rsid w:val="00CF5CB5"/>
    <w:rsid w:val="00CF5ED3"/>
    <w:rsid w:val="00CF654C"/>
    <w:rsid w:val="00CF69F8"/>
    <w:rsid w:val="00CF6E30"/>
    <w:rsid w:val="00CF7A86"/>
    <w:rsid w:val="00D00587"/>
    <w:rsid w:val="00D0092A"/>
    <w:rsid w:val="00D00C6A"/>
    <w:rsid w:val="00D00C94"/>
    <w:rsid w:val="00D01087"/>
    <w:rsid w:val="00D0112D"/>
    <w:rsid w:val="00D013D3"/>
    <w:rsid w:val="00D0161C"/>
    <w:rsid w:val="00D01845"/>
    <w:rsid w:val="00D01BF4"/>
    <w:rsid w:val="00D01D79"/>
    <w:rsid w:val="00D020B1"/>
    <w:rsid w:val="00D0316D"/>
    <w:rsid w:val="00D033EC"/>
    <w:rsid w:val="00D03B49"/>
    <w:rsid w:val="00D04154"/>
    <w:rsid w:val="00D048FF"/>
    <w:rsid w:val="00D05002"/>
    <w:rsid w:val="00D053BF"/>
    <w:rsid w:val="00D054E1"/>
    <w:rsid w:val="00D05EF1"/>
    <w:rsid w:val="00D063B9"/>
    <w:rsid w:val="00D063E1"/>
    <w:rsid w:val="00D064F3"/>
    <w:rsid w:val="00D06766"/>
    <w:rsid w:val="00D06B4B"/>
    <w:rsid w:val="00D06CC1"/>
    <w:rsid w:val="00D06EAA"/>
    <w:rsid w:val="00D072A0"/>
    <w:rsid w:val="00D075DA"/>
    <w:rsid w:val="00D0768F"/>
    <w:rsid w:val="00D07838"/>
    <w:rsid w:val="00D07FB7"/>
    <w:rsid w:val="00D100EC"/>
    <w:rsid w:val="00D10AA0"/>
    <w:rsid w:val="00D10C61"/>
    <w:rsid w:val="00D10C8D"/>
    <w:rsid w:val="00D10D79"/>
    <w:rsid w:val="00D10FE8"/>
    <w:rsid w:val="00D11A3C"/>
    <w:rsid w:val="00D11C71"/>
    <w:rsid w:val="00D1268C"/>
    <w:rsid w:val="00D129F8"/>
    <w:rsid w:val="00D12AFB"/>
    <w:rsid w:val="00D13C59"/>
    <w:rsid w:val="00D14000"/>
    <w:rsid w:val="00D1478C"/>
    <w:rsid w:val="00D14901"/>
    <w:rsid w:val="00D14ABC"/>
    <w:rsid w:val="00D14E4E"/>
    <w:rsid w:val="00D14F79"/>
    <w:rsid w:val="00D1558E"/>
    <w:rsid w:val="00D1596F"/>
    <w:rsid w:val="00D15DB5"/>
    <w:rsid w:val="00D15F74"/>
    <w:rsid w:val="00D1667A"/>
    <w:rsid w:val="00D16680"/>
    <w:rsid w:val="00D16F1B"/>
    <w:rsid w:val="00D1709A"/>
    <w:rsid w:val="00D17545"/>
    <w:rsid w:val="00D17827"/>
    <w:rsid w:val="00D17C27"/>
    <w:rsid w:val="00D17E94"/>
    <w:rsid w:val="00D17EDF"/>
    <w:rsid w:val="00D202B8"/>
    <w:rsid w:val="00D209C4"/>
    <w:rsid w:val="00D210C0"/>
    <w:rsid w:val="00D21521"/>
    <w:rsid w:val="00D217A3"/>
    <w:rsid w:val="00D219A5"/>
    <w:rsid w:val="00D21BC1"/>
    <w:rsid w:val="00D22171"/>
    <w:rsid w:val="00D22274"/>
    <w:rsid w:val="00D22393"/>
    <w:rsid w:val="00D22A23"/>
    <w:rsid w:val="00D22A74"/>
    <w:rsid w:val="00D233AC"/>
    <w:rsid w:val="00D238D2"/>
    <w:rsid w:val="00D23AA9"/>
    <w:rsid w:val="00D2458A"/>
    <w:rsid w:val="00D24A7B"/>
    <w:rsid w:val="00D24FAB"/>
    <w:rsid w:val="00D250A9"/>
    <w:rsid w:val="00D2521F"/>
    <w:rsid w:val="00D264BF"/>
    <w:rsid w:val="00D267BD"/>
    <w:rsid w:val="00D26CE3"/>
    <w:rsid w:val="00D27278"/>
    <w:rsid w:val="00D279BB"/>
    <w:rsid w:val="00D30139"/>
    <w:rsid w:val="00D30925"/>
    <w:rsid w:val="00D31239"/>
    <w:rsid w:val="00D31821"/>
    <w:rsid w:val="00D31925"/>
    <w:rsid w:val="00D322EE"/>
    <w:rsid w:val="00D32693"/>
    <w:rsid w:val="00D32D13"/>
    <w:rsid w:val="00D32E95"/>
    <w:rsid w:val="00D33090"/>
    <w:rsid w:val="00D335B2"/>
    <w:rsid w:val="00D336D5"/>
    <w:rsid w:val="00D33A5D"/>
    <w:rsid w:val="00D342EA"/>
    <w:rsid w:val="00D34A6A"/>
    <w:rsid w:val="00D357E0"/>
    <w:rsid w:val="00D35D64"/>
    <w:rsid w:val="00D3622C"/>
    <w:rsid w:val="00D3697D"/>
    <w:rsid w:val="00D36A89"/>
    <w:rsid w:val="00D36BA4"/>
    <w:rsid w:val="00D37A15"/>
    <w:rsid w:val="00D4002D"/>
    <w:rsid w:val="00D4055E"/>
    <w:rsid w:val="00D40585"/>
    <w:rsid w:val="00D406D4"/>
    <w:rsid w:val="00D40743"/>
    <w:rsid w:val="00D40D70"/>
    <w:rsid w:val="00D40FB9"/>
    <w:rsid w:val="00D41894"/>
    <w:rsid w:val="00D41FA6"/>
    <w:rsid w:val="00D42229"/>
    <w:rsid w:val="00D42309"/>
    <w:rsid w:val="00D42D36"/>
    <w:rsid w:val="00D42D8C"/>
    <w:rsid w:val="00D43276"/>
    <w:rsid w:val="00D4343B"/>
    <w:rsid w:val="00D43D61"/>
    <w:rsid w:val="00D44C03"/>
    <w:rsid w:val="00D44D75"/>
    <w:rsid w:val="00D44E29"/>
    <w:rsid w:val="00D45193"/>
    <w:rsid w:val="00D455A2"/>
    <w:rsid w:val="00D45695"/>
    <w:rsid w:val="00D4570F"/>
    <w:rsid w:val="00D458D6"/>
    <w:rsid w:val="00D461E6"/>
    <w:rsid w:val="00D46267"/>
    <w:rsid w:val="00D46621"/>
    <w:rsid w:val="00D4787F"/>
    <w:rsid w:val="00D500DF"/>
    <w:rsid w:val="00D50262"/>
    <w:rsid w:val="00D50C25"/>
    <w:rsid w:val="00D50C64"/>
    <w:rsid w:val="00D51126"/>
    <w:rsid w:val="00D51127"/>
    <w:rsid w:val="00D51150"/>
    <w:rsid w:val="00D512A7"/>
    <w:rsid w:val="00D513F1"/>
    <w:rsid w:val="00D522CF"/>
    <w:rsid w:val="00D522DE"/>
    <w:rsid w:val="00D526B0"/>
    <w:rsid w:val="00D5284F"/>
    <w:rsid w:val="00D52A3A"/>
    <w:rsid w:val="00D52AE7"/>
    <w:rsid w:val="00D536DE"/>
    <w:rsid w:val="00D539AB"/>
    <w:rsid w:val="00D53FA8"/>
    <w:rsid w:val="00D540D5"/>
    <w:rsid w:val="00D540DA"/>
    <w:rsid w:val="00D54536"/>
    <w:rsid w:val="00D54925"/>
    <w:rsid w:val="00D549E3"/>
    <w:rsid w:val="00D54A00"/>
    <w:rsid w:val="00D54B89"/>
    <w:rsid w:val="00D54C65"/>
    <w:rsid w:val="00D55054"/>
    <w:rsid w:val="00D55A2C"/>
    <w:rsid w:val="00D55AEE"/>
    <w:rsid w:val="00D55BB1"/>
    <w:rsid w:val="00D55CEF"/>
    <w:rsid w:val="00D55D28"/>
    <w:rsid w:val="00D55F1A"/>
    <w:rsid w:val="00D56338"/>
    <w:rsid w:val="00D56504"/>
    <w:rsid w:val="00D567EB"/>
    <w:rsid w:val="00D56858"/>
    <w:rsid w:val="00D57A18"/>
    <w:rsid w:val="00D57F3A"/>
    <w:rsid w:val="00D602F3"/>
    <w:rsid w:val="00D60367"/>
    <w:rsid w:val="00D60BF4"/>
    <w:rsid w:val="00D60C72"/>
    <w:rsid w:val="00D61CF8"/>
    <w:rsid w:val="00D61EBF"/>
    <w:rsid w:val="00D62029"/>
    <w:rsid w:val="00D6255B"/>
    <w:rsid w:val="00D628D6"/>
    <w:rsid w:val="00D62999"/>
    <w:rsid w:val="00D62C43"/>
    <w:rsid w:val="00D62E0D"/>
    <w:rsid w:val="00D6308E"/>
    <w:rsid w:val="00D6310F"/>
    <w:rsid w:val="00D63401"/>
    <w:rsid w:val="00D63D44"/>
    <w:rsid w:val="00D641FD"/>
    <w:rsid w:val="00D642D5"/>
    <w:rsid w:val="00D64BF1"/>
    <w:rsid w:val="00D651A0"/>
    <w:rsid w:val="00D651E7"/>
    <w:rsid w:val="00D65548"/>
    <w:rsid w:val="00D6558A"/>
    <w:rsid w:val="00D65A64"/>
    <w:rsid w:val="00D65BFF"/>
    <w:rsid w:val="00D65FB1"/>
    <w:rsid w:val="00D65FBF"/>
    <w:rsid w:val="00D66070"/>
    <w:rsid w:val="00D66213"/>
    <w:rsid w:val="00D668C0"/>
    <w:rsid w:val="00D66A49"/>
    <w:rsid w:val="00D66ADF"/>
    <w:rsid w:val="00D673A0"/>
    <w:rsid w:val="00D67428"/>
    <w:rsid w:val="00D6764B"/>
    <w:rsid w:val="00D6796C"/>
    <w:rsid w:val="00D67EC1"/>
    <w:rsid w:val="00D70C09"/>
    <w:rsid w:val="00D711FA"/>
    <w:rsid w:val="00D71467"/>
    <w:rsid w:val="00D71850"/>
    <w:rsid w:val="00D720B2"/>
    <w:rsid w:val="00D7215D"/>
    <w:rsid w:val="00D72618"/>
    <w:rsid w:val="00D72785"/>
    <w:rsid w:val="00D72A76"/>
    <w:rsid w:val="00D72ED5"/>
    <w:rsid w:val="00D73211"/>
    <w:rsid w:val="00D734EF"/>
    <w:rsid w:val="00D73664"/>
    <w:rsid w:val="00D737B5"/>
    <w:rsid w:val="00D73884"/>
    <w:rsid w:val="00D74DAB"/>
    <w:rsid w:val="00D74FC9"/>
    <w:rsid w:val="00D75007"/>
    <w:rsid w:val="00D75301"/>
    <w:rsid w:val="00D75850"/>
    <w:rsid w:val="00D760C4"/>
    <w:rsid w:val="00D76296"/>
    <w:rsid w:val="00D767AD"/>
    <w:rsid w:val="00D767D5"/>
    <w:rsid w:val="00D76851"/>
    <w:rsid w:val="00D76F88"/>
    <w:rsid w:val="00D76FD1"/>
    <w:rsid w:val="00D77E3D"/>
    <w:rsid w:val="00D80511"/>
    <w:rsid w:val="00D80B2E"/>
    <w:rsid w:val="00D81211"/>
    <w:rsid w:val="00D81454"/>
    <w:rsid w:val="00D81599"/>
    <w:rsid w:val="00D81907"/>
    <w:rsid w:val="00D81E8F"/>
    <w:rsid w:val="00D81F7C"/>
    <w:rsid w:val="00D81FE3"/>
    <w:rsid w:val="00D820CC"/>
    <w:rsid w:val="00D824B7"/>
    <w:rsid w:val="00D82EE8"/>
    <w:rsid w:val="00D8356C"/>
    <w:rsid w:val="00D83E89"/>
    <w:rsid w:val="00D8430E"/>
    <w:rsid w:val="00D845A4"/>
    <w:rsid w:val="00D8486D"/>
    <w:rsid w:val="00D84BF3"/>
    <w:rsid w:val="00D84F19"/>
    <w:rsid w:val="00D85171"/>
    <w:rsid w:val="00D8547F"/>
    <w:rsid w:val="00D85D71"/>
    <w:rsid w:val="00D85EE4"/>
    <w:rsid w:val="00D8673E"/>
    <w:rsid w:val="00D8692E"/>
    <w:rsid w:val="00D86B48"/>
    <w:rsid w:val="00D86CA1"/>
    <w:rsid w:val="00D87111"/>
    <w:rsid w:val="00D87638"/>
    <w:rsid w:val="00D879D3"/>
    <w:rsid w:val="00D900F0"/>
    <w:rsid w:val="00D903E2"/>
    <w:rsid w:val="00D90AE8"/>
    <w:rsid w:val="00D90B9F"/>
    <w:rsid w:val="00D91158"/>
    <w:rsid w:val="00D91205"/>
    <w:rsid w:val="00D9138E"/>
    <w:rsid w:val="00D91504"/>
    <w:rsid w:val="00D915FC"/>
    <w:rsid w:val="00D91BE0"/>
    <w:rsid w:val="00D91C54"/>
    <w:rsid w:val="00D91C91"/>
    <w:rsid w:val="00D91EB6"/>
    <w:rsid w:val="00D92133"/>
    <w:rsid w:val="00D9216C"/>
    <w:rsid w:val="00D922B8"/>
    <w:rsid w:val="00D922C4"/>
    <w:rsid w:val="00D9250E"/>
    <w:rsid w:val="00D92867"/>
    <w:rsid w:val="00D928F8"/>
    <w:rsid w:val="00D92A74"/>
    <w:rsid w:val="00D92B9D"/>
    <w:rsid w:val="00D9342A"/>
    <w:rsid w:val="00D934E9"/>
    <w:rsid w:val="00D93AC9"/>
    <w:rsid w:val="00D93B18"/>
    <w:rsid w:val="00D93F28"/>
    <w:rsid w:val="00D94150"/>
    <w:rsid w:val="00D943F5"/>
    <w:rsid w:val="00D94BCC"/>
    <w:rsid w:val="00D94DE3"/>
    <w:rsid w:val="00D94F3D"/>
    <w:rsid w:val="00D951A4"/>
    <w:rsid w:val="00D9526A"/>
    <w:rsid w:val="00D95499"/>
    <w:rsid w:val="00D95704"/>
    <w:rsid w:val="00D95B1D"/>
    <w:rsid w:val="00D95BFB"/>
    <w:rsid w:val="00D95C8A"/>
    <w:rsid w:val="00D9600D"/>
    <w:rsid w:val="00D961B5"/>
    <w:rsid w:val="00D96334"/>
    <w:rsid w:val="00D964EC"/>
    <w:rsid w:val="00D96960"/>
    <w:rsid w:val="00D96BDF"/>
    <w:rsid w:val="00D96FEF"/>
    <w:rsid w:val="00D97811"/>
    <w:rsid w:val="00D97CDA"/>
    <w:rsid w:val="00D97FCF"/>
    <w:rsid w:val="00DA0685"/>
    <w:rsid w:val="00DA206E"/>
    <w:rsid w:val="00DA22DE"/>
    <w:rsid w:val="00DA30FC"/>
    <w:rsid w:val="00DA32C7"/>
    <w:rsid w:val="00DA347B"/>
    <w:rsid w:val="00DA3971"/>
    <w:rsid w:val="00DA3BB1"/>
    <w:rsid w:val="00DA3C9A"/>
    <w:rsid w:val="00DA4865"/>
    <w:rsid w:val="00DA4B92"/>
    <w:rsid w:val="00DA4C2A"/>
    <w:rsid w:val="00DA4C8C"/>
    <w:rsid w:val="00DA4E1D"/>
    <w:rsid w:val="00DA50E7"/>
    <w:rsid w:val="00DA5497"/>
    <w:rsid w:val="00DA54F2"/>
    <w:rsid w:val="00DA56D5"/>
    <w:rsid w:val="00DA5AC3"/>
    <w:rsid w:val="00DA5CB5"/>
    <w:rsid w:val="00DA5E6E"/>
    <w:rsid w:val="00DA6405"/>
    <w:rsid w:val="00DA6591"/>
    <w:rsid w:val="00DA66F3"/>
    <w:rsid w:val="00DA68A1"/>
    <w:rsid w:val="00DA7B30"/>
    <w:rsid w:val="00DA7BFD"/>
    <w:rsid w:val="00DA7DF1"/>
    <w:rsid w:val="00DB05C3"/>
    <w:rsid w:val="00DB0A1C"/>
    <w:rsid w:val="00DB0B3A"/>
    <w:rsid w:val="00DB1F81"/>
    <w:rsid w:val="00DB221E"/>
    <w:rsid w:val="00DB294B"/>
    <w:rsid w:val="00DB3015"/>
    <w:rsid w:val="00DB3587"/>
    <w:rsid w:val="00DB37CA"/>
    <w:rsid w:val="00DB3C25"/>
    <w:rsid w:val="00DB426C"/>
    <w:rsid w:val="00DB4B25"/>
    <w:rsid w:val="00DB4C05"/>
    <w:rsid w:val="00DB557D"/>
    <w:rsid w:val="00DB58EA"/>
    <w:rsid w:val="00DB5A15"/>
    <w:rsid w:val="00DB5A36"/>
    <w:rsid w:val="00DB5C3D"/>
    <w:rsid w:val="00DB5E36"/>
    <w:rsid w:val="00DB616B"/>
    <w:rsid w:val="00DB62BB"/>
    <w:rsid w:val="00DB66A1"/>
    <w:rsid w:val="00DB6C34"/>
    <w:rsid w:val="00DB71ED"/>
    <w:rsid w:val="00DB7385"/>
    <w:rsid w:val="00DB7482"/>
    <w:rsid w:val="00DB76F0"/>
    <w:rsid w:val="00DB7D4D"/>
    <w:rsid w:val="00DB7F4F"/>
    <w:rsid w:val="00DC02EF"/>
    <w:rsid w:val="00DC0B54"/>
    <w:rsid w:val="00DC0E3B"/>
    <w:rsid w:val="00DC1034"/>
    <w:rsid w:val="00DC10E7"/>
    <w:rsid w:val="00DC1117"/>
    <w:rsid w:val="00DC1A37"/>
    <w:rsid w:val="00DC1BF3"/>
    <w:rsid w:val="00DC1CC2"/>
    <w:rsid w:val="00DC1F8E"/>
    <w:rsid w:val="00DC2040"/>
    <w:rsid w:val="00DC2144"/>
    <w:rsid w:val="00DC2269"/>
    <w:rsid w:val="00DC25D0"/>
    <w:rsid w:val="00DC2C88"/>
    <w:rsid w:val="00DC2D43"/>
    <w:rsid w:val="00DC3ED0"/>
    <w:rsid w:val="00DC4B56"/>
    <w:rsid w:val="00DC4C92"/>
    <w:rsid w:val="00DC4E5C"/>
    <w:rsid w:val="00DC5382"/>
    <w:rsid w:val="00DC5443"/>
    <w:rsid w:val="00DC58D9"/>
    <w:rsid w:val="00DC5DCE"/>
    <w:rsid w:val="00DC6011"/>
    <w:rsid w:val="00DC66B2"/>
    <w:rsid w:val="00DC67EB"/>
    <w:rsid w:val="00DC6B1C"/>
    <w:rsid w:val="00DC6B73"/>
    <w:rsid w:val="00DC6D8C"/>
    <w:rsid w:val="00DC6F09"/>
    <w:rsid w:val="00DC71D2"/>
    <w:rsid w:val="00DC76F6"/>
    <w:rsid w:val="00DC78F0"/>
    <w:rsid w:val="00DC7ABC"/>
    <w:rsid w:val="00DC7E88"/>
    <w:rsid w:val="00DD001F"/>
    <w:rsid w:val="00DD024E"/>
    <w:rsid w:val="00DD05D2"/>
    <w:rsid w:val="00DD0B7E"/>
    <w:rsid w:val="00DD0C0B"/>
    <w:rsid w:val="00DD1315"/>
    <w:rsid w:val="00DD1431"/>
    <w:rsid w:val="00DD1462"/>
    <w:rsid w:val="00DD1BD4"/>
    <w:rsid w:val="00DD22A7"/>
    <w:rsid w:val="00DD2E5F"/>
    <w:rsid w:val="00DD30FB"/>
    <w:rsid w:val="00DD316F"/>
    <w:rsid w:val="00DD35C5"/>
    <w:rsid w:val="00DD3634"/>
    <w:rsid w:val="00DD374B"/>
    <w:rsid w:val="00DD3A5E"/>
    <w:rsid w:val="00DD3D19"/>
    <w:rsid w:val="00DD3D1F"/>
    <w:rsid w:val="00DD3ED1"/>
    <w:rsid w:val="00DD3F2A"/>
    <w:rsid w:val="00DD401A"/>
    <w:rsid w:val="00DD43EB"/>
    <w:rsid w:val="00DD4944"/>
    <w:rsid w:val="00DD4E98"/>
    <w:rsid w:val="00DD5483"/>
    <w:rsid w:val="00DD56DE"/>
    <w:rsid w:val="00DD5C97"/>
    <w:rsid w:val="00DD5DA8"/>
    <w:rsid w:val="00DD6554"/>
    <w:rsid w:val="00DD6B67"/>
    <w:rsid w:val="00DD6C09"/>
    <w:rsid w:val="00DD7085"/>
    <w:rsid w:val="00DD74F8"/>
    <w:rsid w:val="00DD7583"/>
    <w:rsid w:val="00DD7B4A"/>
    <w:rsid w:val="00DE0508"/>
    <w:rsid w:val="00DE07D6"/>
    <w:rsid w:val="00DE08D0"/>
    <w:rsid w:val="00DE0D74"/>
    <w:rsid w:val="00DE10EA"/>
    <w:rsid w:val="00DE14C1"/>
    <w:rsid w:val="00DE1C1F"/>
    <w:rsid w:val="00DE1C21"/>
    <w:rsid w:val="00DE1FA7"/>
    <w:rsid w:val="00DE2073"/>
    <w:rsid w:val="00DE2660"/>
    <w:rsid w:val="00DE2EBA"/>
    <w:rsid w:val="00DE358C"/>
    <w:rsid w:val="00DE3BB5"/>
    <w:rsid w:val="00DE3F31"/>
    <w:rsid w:val="00DE4338"/>
    <w:rsid w:val="00DE4388"/>
    <w:rsid w:val="00DE4613"/>
    <w:rsid w:val="00DE52D4"/>
    <w:rsid w:val="00DE5BB2"/>
    <w:rsid w:val="00DE5C24"/>
    <w:rsid w:val="00DE61EA"/>
    <w:rsid w:val="00DE628E"/>
    <w:rsid w:val="00DE6BC7"/>
    <w:rsid w:val="00DE7057"/>
    <w:rsid w:val="00DE768B"/>
    <w:rsid w:val="00DE7884"/>
    <w:rsid w:val="00DE79A2"/>
    <w:rsid w:val="00DE7C55"/>
    <w:rsid w:val="00DE7C7E"/>
    <w:rsid w:val="00DF0767"/>
    <w:rsid w:val="00DF0780"/>
    <w:rsid w:val="00DF085C"/>
    <w:rsid w:val="00DF1201"/>
    <w:rsid w:val="00DF1466"/>
    <w:rsid w:val="00DF18E5"/>
    <w:rsid w:val="00DF2477"/>
    <w:rsid w:val="00DF33FC"/>
    <w:rsid w:val="00DF37B2"/>
    <w:rsid w:val="00DF37FD"/>
    <w:rsid w:val="00DF3C55"/>
    <w:rsid w:val="00DF3D23"/>
    <w:rsid w:val="00DF3EF3"/>
    <w:rsid w:val="00DF43AF"/>
    <w:rsid w:val="00DF4594"/>
    <w:rsid w:val="00DF47B8"/>
    <w:rsid w:val="00DF48BE"/>
    <w:rsid w:val="00DF5269"/>
    <w:rsid w:val="00DF6091"/>
    <w:rsid w:val="00DF69DA"/>
    <w:rsid w:val="00DF6B11"/>
    <w:rsid w:val="00DF740D"/>
    <w:rsid w:val="00E004AA"/>
    <w:rsid w:val="00E00684"/>
    <w:rsid w:val="00E00863"/>
    <w:rsid w:val="00E00DB3"/>
    <w:rsid w:val="00E01344"/>
    <w:rsid w:val="00E01847"/>
    <w:rsid w:val="00E01E03"/>
    <w:rsid w:val="00E02728"/>
    <w:rsid w:val="00E02BA7"/>
    <w:rsid w:val="00E02CF4"/>
    <w:rsid w:val="00E02CF6"/>
    <w:rsid w:val="00E032A1"/>
    <w:rsid w:val="00E03811"/>
    <w:rsid w:val="00E03C64"/>
    <w:rsid w:val="00E04897"/>
    <w:rsid w:val="00E04967"/>
    <w:rsid w:val="00E0533D"/>
    <w:rsid w:val="00E054C8"/>
    <w:rsid w:val="00E0585D"/>
    <w:rsid w:val="00E05B9E"/>
    <w:rsid w:val="00E06230"/>
    <w:rsid w:val="00E06541"/>
    <w:rsid w:val="00E06F4F"/>
    <w:rsid w:val="00E074FC"/>
    <w:rsid w:val="00E07835"/>
    <w:rsid w:val="00E0792F"/>
    <w:rsid w:val="00E07AE1"/>
    <w:rsid w:val="00E1003C"/>
    <w:rsid w:val="00E103AC"/>
    <w:rsid w:val="00E104AE"/>
    <w:rsid w:val="00E105F1"/>
    <w:rsid w:val="00E1124A"/>
    <w:rsid w:val="00E11373"/>
    <w:rsid w:val="00E11A5B"/>
    <w:rsid w:val="00E11BD9"/>
    <w:rsid w:val="00E11CB4"/>
    <w:rsid w:val="00E11F67"/>
    <w:rsid w:val="00E12D4C"/>
    <w:rsid w:val="00E14677"/>
    <w:rsid w:val="00E1484A"/>
    <w:rsid w:val="00E14CFD"/>
    <w:rsid w:val="00E15926"/>
    <w:rsid w:val="00E15CDB"/>
    <w:rsid w:val="00E16107"/>
    <w:rsid w:val="00E164E7"/>
    <w:rsid w:val="00E169BE"/>
    <w:rsid w:val="00E16F3E"/>
    <w:rsid w:val="00E1708F"/>
    <w:rsid w:val="00E1715F"/>
    <w:rsid w:val="00E173B9"/>
    <w:rsid w:val="00E1777C"/>
    <w:rsid w:val="00E17DC1"/>
    <w:rsid w:val="00E17E12"/>
    <w:rsid w:val="00E20A5F"/>
    <w:rsid w:val="00E215E8"/>
    <w:rsid w:val="00E21884"/>
    <w:rsid w:val="00E21AA7"/>
    <w:rsid w:val="00E22028"/>
    <w:rsid w:val="00E22348"/>
    <w:rsid w:val="00E22993"/>
    <w:rsid w:val="00E22C4F"/>
    <w:rsid w:val="00E22F54"/>
    <w:rsid w:val="00E234A7"/>
    <w:rsid w:val="00E23908"/>
    <w:rsid w:val="00E23F45"/>
    <w:rsid w:val="00E24003"/>
    <w:rsid w:val="00E24139"/>
    <w:rsid w:val="00E24795"/>
    <w:rsid w:val="00E2481F"/>
    <w:rsid w:val="00E24902"/>
    <w:rsid w:val="00E24A17"/>
    <w:rsid w:val="00E24ED1"/>
    <w:rsid w:val="00E25694"/>
    <w:rsid w:val="00E2589F"/>
    <w:rsid w:val="00E25BE1"/>
    <w:rsid w:val="00E25D14"/>
    <w:rsid w:val="00E266C9"/>
    <w:rsid w:val="00E26C0D"/>
    <w:rsid w:val="00E27228"/>
    <w:rsid w:val="00E27515"/>
    <w:rsid w:val="00E3070A"/>
    <w:rsid w:val="00E30858"/>
    <w:rsid w:val="00E30F38"/>
    <w:rsid w:val="00E31391"/>
    <w:rsid w:val="00E31476"/>
    <w:rsid w:val="00E31A64"/>
    <w:rsid w:val="00E31B5B"/>
    <w:rsid w:val="00E31F11"/>
    <w:rsid w:val="00E31FF4"/>
    <w:rsid w:val="00E32139"/>
    <w:rsid w:val="00E3237E"/>
    <w:rsid w:val="00E32AF9"/>
    <w:rsid w:val="00E32FCE"/>
    <w:rsid w:val="00E33356"/>
    <w:rsid w:val="00E3339E"/>
    <w:rsid w:val="00E3371D"/>
    <w:rsid w:val="00E33963"/>
    <w:rsid w:val="00E33B78"/>
    <w:rsid w:val="00E33DD4"/>
    <w:rsid w:val="00E33EC9"/>
    <w:rsid w:val="00E3436B"/>
    <w:rsid w:val="00E34A53"/>
    <w:rsid w:val="00E3532E"/>
    <w:rsid w:val="00E35648"/>
    <w:rsid w:val="00E35BE0"/>
    <w:rsid w:val="00E35EB0"/>
    <w:rsid w:val="00E36E68"/>
    <w:rsid w:val="00E37651"/>
    <w:rsid w:val="00E3796B"/>
    <w:rsid w:val="00E37F1D"/>
    <w:rsid w:val="00E37F54"/>
    <w:rsid w:val="00E4044A"/>
    <w:rsid w:val="00E4062B"/>
    <w:rsid w:val="00E40EAB"/>
    <w:rsid w:val="00E41827"/>
    <w:rsid w:val="00E41E15"/>
    <w:rsid w:val="00E41F12"/>
    <w:rsid w:val="00E4206F"/>
    <w:rsid w:val="00E4239F"/>
    <w:rsid w:val="00E4282D"/>
    <w:rsid w:val="00E4292E"/>
    <w:rsid w:val="00E42DDE"/>
    <w:rsid w:val="00E43395"/>
    <w:rsid w:val="00E43B45"/>
    <w:rsid w:val="00E43DBE"/>
    <w:rsid w:val="00E4476D"/>
    <w:rsid w:val="00E44A5E"/>
    <w:rsid w:val="00E44C3B"/>
    <w:rsid w:val="00E44C9B"/>
    <w:rsid w:val="00E451D5"/>
    <w:rsid w:val="00E4542B"/>
    <w:rsid w:val="00E45D12"/>
    <w:rsid w:val="00E45DFB"/>
    <w:rsid w:val="00E46048"/>
    <w:rsid w:val="00E46B32"/>
    <w:rsid w:val="00E46BD8"/>
    <w:rsid w:val="00E4728B"/>
    <w:rsid w:val="00E472EF"/>
    <w:rsid w:val="00E47478"/>
    <w:rsid w:val="00E47521"/>
    <w:rsid w:val="00E47F6D"/>
    <w:rsid w:val="00E47FAC"/>
    <w:rsid w:val="00E47FB3"/>
    <w:rsid w:val="00E503F1"/>
    <w:rsid w:val="00E5062A"/>
    <w:rsid w:val="00E50BD3"/>
    <w:rsid w:val="00E51938"/>
    <w:rsid w:val="00E51968"/>
    <w:rsid w:val="00E51A15"/>
    <w:rsid w:val="00E51AAC"/>
    <w:rsid w:val="00E51D2B"/>
    <w:rsid w:val="00E51DA1"/>
    <w:rsid w:val="00E52063"/>
    <w:rsid w:val="00E521BC"/>
    <w:rsid w:val="00E525E3"/>
    <w:rsid w:val="00E5267D"/>
    <w:rsid w:val="00E528FB"/>
    <w:rsid w:val="00E52AD2"/>
    <w:rsid w:val="00E536EB"/>
    <w:rsid w:val="00E53F39"/>
    <w:rsid w:val="00E540FF"/>
    <w:rsid w:val="00E54396"/>
    <w:rsid w:val="00E54606"/>
    <w:rsid w:val="00E54BBB"/>
    <w:rsid w:val="00E54D14"/>
    <w:rsid w:val="00E54DC4"/>
    <w:rsid w:val="00E54E93"/>
    <w:rsid w:val="00E54FD6"/>
    <w:rsid w:val="00E55087"/>
    <w:rsid w:val="00E55647"/>
    <w:rsid w:val="00E55784"/>
    <w:rsid w:val="00E55D1C"/>
    <w:rsid w:val="00E5619E"/>
    <w:rsid w:val="00E562C6"/>
    <w:rsid w:val="00E565ED"/>
    <w:rsid w:val="00E57081"/>
    <w:rsid w:val="00E57475"/>
    <w:rsid w:val="00E57573"/>
    <w:rsid w:val="00E57DA2"/>
    <w:rsid w:val="00E60125"/>
    <w:rsid w:val="00E60566"/>
    <w:rsid w:val="00E60975"/>
    <w:rsid w:val="00E60D20"/>
    <w:rsid w:val="00E610AF"/>
    <w:rsid w:val="00E618EF"/>
    <w:rsid w:val="00E61B66"/>
    <w:rsid w:val="00E61C50"/>
    <w:rsid w:val="00E61E6B"/>
    <w:rsid w:val="00E61F2C"/>
    <w:rsid w:val="00E62EB3"/>
    <w:rsid w:val="00E638FF"/>
    <w:rsid w:val="00E63AC7"/>
    <w:rsid w:val="00E63E15"/>
    <w:rsid w:val="00E648AE"/>
    <w:rsid w:val="00E64994"/>
    <w:rsid w:val="00E65022"/>
    <w:rsid w:val="00E652D3"/>
    <w:rsid w:val="00E659C8"/>
    <w:rsid w:val="00E65D46"/>
    <w:rsid w:val="00E65E9C"/>
    <w:rsid w:val="00E65EE0"/>
    <w:rsid w:val="00E660B2"/>
    <w:rsid w:val="00E66459"/>
    <w:rsid w:val="00E66911"/>
    <w:rsid w:val="00E669CD"/>
    <w:rsid w:val="00E676EE"/>
    <w:rsid w:val="00E67DA8"/>
    <w:rsid w:val="00E67F76"/>
    <w:rsid w:val="00E67FB8"/>
    <w:rsid w:val="00E70121"/>
    <w:rsid w:val="00E7012B"/>
    <w:rsid w:val="00E70212"/>
    <w:rsid w:val="00E70490"/>
    <w:rsid w:val="00E707FD"/>
    <w:rsid w:val="00E70A7F"/>
    <w:rsid w:val="00E70DEA"/>
    <w:rsid w:val="00E71230"/>
    <w:rsid w:val="00E71267"/>
    <w:rsid w:val="00E712CB"/>
    <w:rsid w:val="00E71F16"/>
    <w:rsid w:val="00E721FD"/>
    <w:rsid w:val="00E726F1"/>
    <w:rsid w:val="00E72784"/>
    <w:rsid w:val="00E72923"/>
    <w:rsid w:val="00E72C15"/>
    <w:rsid w:val="00E72C6D"/>
    <w:rsid w:val="00E72EB9"/>
    <w:rsid w:val="00E737DE"/>
    <w:rsid w:val="00E741F7"/>
    <w:rsid w:val="00E74B8B"/>
    <w:rsid w:val="00E75B03"/>
    <w:rsid w:val="00E75B20"/>
    <w:rsid w:val="00E75C7D"/>
    <w:rsid w:val="00E75CCE"/>
    <w:rsid w:val="00E75EC0"/>
    <w:rsid w:val="00E762E0"/>
    <w:rsid w:val="00E7649A"/>
    <w:rsid w:val="00E76550"/>
    <w:rsid w:val="00E779D1"/>
    <w:rsid w:val="00E77F96"/>
    <w:rsid w:val="00E80BF8"/>
    <w:rsid w:val="00E81206"/>
    <w:rsid w:val="00E81A21"/>
    <w:rsid w:val="00E82756"/>
    <w:rsid w:val="00E82B92"/>
    <w:rsid w:val="00E83A8D"/>
    <w:rsid w:val="00E83FA0"/>
    <w:rsid w:val="00E84290"/>
    <w:rsid w:val="00E84E73"/>
    <w:rsid w:val="00E84EC1"/>
    <w:rsid w:val="00E853B2"/>
    <w:rsid w:val="00E85516"/>
    <w:rsid w:val="00E85E1A"/>
    <w:rsid w:val="00E868EE"/>
    <w:rsid w:val="00E8758E"/>
    <w:rsid w:val="00E87779"/>
    <w:rsid w:val="00E87A12"/>
    <w:rsid w:val="00E87D27"/>
    <w:rsid w:val="00E87DD1"/>
    <w:rsid w:val="00E87F23"/>
    <w:rsid w:val="00E9016F"/>
    <w:rsid w:val="00E90997"/>
    <w:rsid w:val="00E90A43"/>
    <w:rsid w:val="00E90B98"/>
    <w:rsid w:val="00E90FDA"/>
    <w:rsid w:val="00E912AC"/>
    <w:rsid w:val="00E91525"/>
    <w:rsid w:val="00E918CD"/>
    <w:rsid w:val="00E91EC4"/>
    <w:rsid w:val="00E92356"/>
    <w:rsid w:val="00E927F5"/>
    <w:rsid w:val="00E92AF7"/>
    <w:rsid w:val="00E92CC8"/>
    <w:rsid w:val="00E92EAE"/>
    <w:rsid w:val="00E93386"/>
    <w:rsid w:val="00E93A98"/>
    <w:rsid w:val="00E93B37"/>
    <w:rsid w:val="00E93FBA"/>
    <w:rsid w:val="00E94353"/>
    <w:rsid w:val="00E944B9"/>
    <w:rsid w:val="00E948FD"/>
    <w:rsid w:val="00E952A5"/>
    <w:rsid w:val="00E957E5"/>
    <w:rsid w:val="00E95941"/>
    <w:rsid w:val="00E95C1A"/>
    <w:rsid w:val="00E96324"/>
    <w:rsid w:val="00E968D7"/>
    <w:rsid w:val="00E969B1"/>
    <w:rsid w:val="00E96F39"/>
    <w:rsid w:val="00E97119"/>
    <w:rsid w:val="00E97215"/>
    <w:rsid w:val="00E97C65"/>
    <w:rsid w:val="00E97D14"/>
    <w:rsid w:val="00E97F47"/>
    <w:rsid w:val="00EA0073"/>
    <w:rsid w:val="00EA047D"/>
    <w:rsid w:val="00EA090D"/>
    <w:rsid w:val="00EA0A11"/>
    <w:rsid w:val="00EA1362"/>
    <w:rsid w:val="00EA16CD"/>
    <w:rsid w:val="00EA1B44"/>
    <w:rsid w:val="00EA262C"/>
    <w:rsid w:val="00EA279F"/>
    <w:rsid w:val="00EA2F88"/>
    <w:rsid w:val="00EA3439"/>
    <w:rsid w:val="00EA3792"/>
    <w:rsid w:val="00EA3821"/>
    <w:rsid w:val="00EA3974"/>
    <w:rsid w:val="00EA3DE4"/>
    <w:rsid w:val="00EA3ED2"/>
    <w:rsid w:val="00EA426C"/>
    <w:rsid w:val="00EA4653"/>
    <w:rsid w:val="00EA47FF"/>
    <w:rsid w:val="00EA4A21"/>
    <w:rsid w:val="00EA4F5A"/>
    <w:rsid w:val="00EA556D"/>
    <w:rsid w:val="00EA5581"/>
    <w:rsid w:val="00EA5A22"/>
    <w:rsid w:val="00EA5B38"/>
    <w:rsid w:val="00EA5D94"/>
    <w:rsid w:val="00EA6609"/>
    <w:rsid w:val="00EA6929"/>
    <w:rsid w:val="00EA699F"/>
    <w:rsid w:val="00EA71C0"/>
    <w:rsid w:val="00EA7284"/>
    <w:rsid w:val="00EA798A"/>
    <w:rsid w:val="00EA7C52"/>
    <w:rsid w:val="00EA7F45"/>
    <w:rsid w:val="00EB001C"/>
    <w:rsid w:val="00EB067D"/>
    <w:rsid w:val="00EB0698"/>
    <w:rsid w:val="00EB07B9"/>
    <w:rsid w:val="00EB09CE"/>
    <w:rsid w:val="00EB113B"/>
    <w:rsid w:val="00EB19E6"/>
    <w:rsid w:val="00EB1BC5"/>
    <w:rsid w:val="00EB23AE"/>
    <w:rsid w:val="00EB2459"/>
    <w:rsid w:val="00EB28A4"/>
    <w:rsid w:val="00EB2C5C"/>
    <w:rsid w:val="00EB2D20"/>
    <w:rsid w:val="00EB3902"/>
    <w:rsid w:val="00EB3A8A"/>
    <w:rsid w:val="00EB40F4"/>
    <w:rsid w:val="00EB4327"/>
    <w:rsid w:val="00EB44FE"/>
    <w:rsid w:val="00EB46F4"/>
    <w:rsid w:val="00EB5020"/>
    <w:rsid w:val="00EB5585"/>
    <w:rsid w:val="00EB55CB"/>
    <w:rsid w:val="00EB55FC"/>
    <w:rsid w:val="00EB5F48"/>
    <w:rsid w:val="00EB618F"/>
    <w:rsid w:val="00EB6349"/>
    <w:rsid w:val="00EB68F5"/>
    <w:rsid w:val="00EB6B73"/>
    <w:rsid w:val="00EB71EC"/>
    <w:rsid w:val="00EB7CE2"/>
    <w:rsid w:val="00EB7D98"/>
    <w:rsid w:val="00EC0123"/>
    <w:rsid w:val="00EC01DE"/>
    <w:rsid w:val="00EC0341"/>
    <w:rsid w:val="00EC06DB"/>
    <w:rsid w:val="00EC0AD1"/>
    <w:rsid w:val="00EC0E9D"/>
    <w:rsid w:val="00EC11A5"/>
    <w:rsid w:val="00EC11D2"/>
    <w:rsid w:val="00EC1893"/>
    <w:rsid w:val="00EC1C45"/>
    <w:rsid w:val="00EC1D21"/>
    <w:rsid w:val="00EC2072"/>
    <w:rsid w:val="00EC24B0"/>
    <w:rsid w:val="00EC2726"/>
    <w:rsid w:val="00EC275C"/>
    <w:rsid w:val="00EC2D74"/>
    <w:rsid w:val="00EC38E9"/>
    <w:rsid w:val="00EC3B21"/>
    <w:rsid w:val="00EC3CC6"/>
    <w:rsid w:val="00EC3F71"/>
    <w:rsid w:val="00EC4149"/>
    <w:rsid w:val="00EC4257"/>
    <w:rsid w:val="00EC469B"/>
    <w:rsid w:val="00EC48D4"/>
    <w:rsid w:val="00EC4A2B"/>
    <w:rsid w:val="00EC546B"/>
    <w:rsid w:val="00EC6369"/>
    <w:rsid w:val="00EC64C7"/>
    <w:rsid w:val="00EC6E08"/>
    <w:rsid w:val="00EC716F"/>
    <w:rsid w:val="00EC7B6B"/>
    <w:rsid w:val="00EC7C7E"/>
    <w:rsid w:val="00EC7F7C"/>
    <w:rsid w:val="00ED0A8D"/>
    <w:rsid w:val="00ED0C27"/>
    <w:rsid w:val="00ED108F"/>
    <w:rsid w:val="00ED1454"/>
    <w:rsid w:val="00ED19C8"/>
    <w:rsid w:val="00ED1ACE"/>
    <w:rsid w:val="00ED2511"/>
    <w:rsid w:val="00ED2AB3"/>
    <w:rsid w:val="00ED2B21"/>
    <w:rsid w:val="00ED2EC8"/>
    <w:rsid w:val="00ED2FE1"/>
    <w:rsid w:val="00ED36C5"/>
    <w:rsid w:val="00ED3B39"/>
    <w:rsid w:val="00ED3C77"/>
    <w:rsid w:val="00ED3D91"/>
    <w:rsid w:val="00ED3EAA"/>
    <w:rsid w:val="00ED3F6F"/>
    <w:rsid w:val="00ED407B"/>
    <w:rsid w:val="00ED427E"/>
    <w:rsid w:val="00ED4A45"/>
    <w:rsid w:val="00ED4B95"/>
    <w:rsid w:val="00ED5D14"/>
    <w:rsid w:val="00ED5D5B"/>
    <w:rsid w:val="00ED60E6"/>
    <w:rsid w:val="00ED664C"/>
    <w:rsid w:val="00ED6767"/>
    <w:rsid w:val="00ED6A62"/>
    <w:rsid w:val="00ED6BC1"/>
    <w:rsid w:val="00ED6C6E"/>
    <w:rsid w:val="00ED6EBC"/>
    <w:rsid w:val="00ED70A8"/>
    <w:rsid w:val="00ED7181"/>
    <w:rsid w:val="00ED731A"/>
    <w:rsid w:val="00ED74D2"/>
    <w:rsid w:val="00ED77F9"/>
    <w:rsid w:val="00ED7A55"/>
    <w:rsid w:val="00EE0469"/>
    <w:rsid w:val="00EE086B"/>
    <w:rsid w:val="00EE0D78"/>
    <w:rsid w:val="00EE1306"/>
    <w:rsid w:val="00EE134F"/>
    <w:rsid w:val="00EE1968"/>
    <w:rsid w:val="00EE1983"/>
    <w:rsid w:val="00EE1A0F"/>
    <w:rsid w:val="00EE1A40"/>
    <w:rsid w:val="00EE1B83"/>
    <w:rsid w:val="00EE1BEB"/>
    <w:rsid w:val="00EE234D"/>
    <w:rsid w:val="00EE23A0"/>
    <w:rsid w:val="00EE2455"/>
    <w:rsid w:val="00EE29BC"/>
    <w:rsid w:val="00EE2AA0"/>
    <w:rsid w:val="00EE2EF5"/>
    <w:rsid w:val="00EE3013"/>
    <w:rsid w:val="00EE3398"/>
    <w:rsid w:val="00EE3508"/>
    <w:rsid w:val="00EE35AC"/>
    <w:rsid w:val="00EE3742"/>
    <w:rsid w:val="00EE3D5B"/>
    <w:rsid w:val="00EE3F6F"/>
    <w:rsid w:val="00EE4142"/>
    <w:rsid w:val="00EE4588"/>
    <w:rsid w:val="00EE48E5"/>
    <w:rsid w:val="00EE49CA"/>
    <w:rsid w:val="00EE4DD7"/>
    <w:rsid w:val="00EE52FE"/>
    <w:rsid w:val="00EE5C5C"/>
    <w:rsid w:val="00EE5E45"/>
    <w:rsid w:val="00EE61A7"/>
    <w:rsid w:val="00EE659E"/>
    <w:rsid w:val="00EE69C6"/>
    <w:rsid w:val="00EE6A1F"/>
    <w:rsid w:val="00EE705C"/>
    <w:rsid w:val="00EE753B"/>
    <w:rsid w:val="00EE7683"/>
    <w:rsid w:val="00EE79C0"/>
    <w:rsid w:val="00EE7B23"/>
    <w:rsid w:val="00EE7D76"/>
    <w:rsid w:val="00EE7E53"/>
    <w:rsid w:val="00EF010E"/>
    <w:rsid w:val="00EF077C"/>
    <w:rsid w:val="00EF0BFB"/>
    <w:rsid w:val="00EF0E80"/>
    <w:rsid w:val="00EF0FD3"/>
    <w:rsid w:val="00EF1038"/>
    <w:rsid w:val="00EF198A"/>
    <w:rsid w:val="00EF1C42"/>
    <w:rsid w:val="00EF1FAB"/>
    <w:rsid w:val="00EF2139"/>
    <w:rsid w:val="00EF26B5"/>
    <w:rsid w:val="00EF28E2"/>
    <w:rsid w:val="00EF2A6E"/>
    <w:rsid w:val="00EF33ED"/>
    <w:rsid w:val="00EF4051"/>
    <w:rsid w:val="00EF4E47"/>
    <w:rsid w:val="00EF5886"/>
    <w:rsid w:val="00EF5EA5"/>
    <w:rsid w:val="00EF5F16"/>
    <w:rsid w:val="00EF6147"/>
    <w:rsid w:val="00EF6296"/>
    <w:rsid w:val="00EF676C"/>
    <w:rsid w:val="00EF67F4"/>
    <w:rsid w:val="00EF67FC"/>
    <w:rsid w:val="00EF6B89"/>
    <w:rsid w:val="00EF6BFB"/>
    <w:rsid w:val="00EF73F8"/>
    <w:rsid w:val="00EF76DB"/>
    <w:rsid w:val="00EF771A"/>
    <w:rsid w:val="00EF7FA4"/>
    <w:rsid w:val="00F000D2"/>
    <w:rsid w:val="00F007DD"/>
    <w:rsid w:val="00F01832"/>
    <w:rsid w:val="00F0220C"/>
    <w:rsid w:val="00F02420"/>
    <w:rsid w:val="00F0288D"/>
    <w:rsid w:val="00F04337"/>
    <w:rsid w:val="00F04E61"/>
    <w:rsid w:val="00F050A5"/>
    <w:rsid w:val="00F053AC"/>
    <w:rsid w:val="00F05E4A"/>
    <w:rsid w:val="00F05FBA"/>
    <w:rsid w:val="00F0601B"/>
    <w:rsid w:val="00F06462"/>
    <w:rsid w:val="00F065B7"/>
    <w:rsid w:val="00F06D60"/>
    <w:rsid w:val="00F072CC"/>
    <w:rsid w:val="00F07430"/>
    <w:rsid w:val="00F078AE"/>
    <w:rsid w:val="00F0792D"/>
    <w:rsid w:val="00F079EF"/>
    <w:rsid w:val="00F07A71"/>
    <w:rsid w:val="00F07CA1"/>
    <w:rsid w:val="00F07FDA"/>
    <w:rsid w:val="00F10228"/>
    <w:rsid w:val="00F108A6"/>
    <w:rsid w:val="00F10976"/>
    <w:rsid w:val="00F10D5A"/>
    <w:rsid w:val="00F10F74"/>
    <w:rsid w:val="00F11137"/>
    <w:rsid w:val="00F1133F"/>
    <w:rsid w:val="00F11D61"/>
    <w:rsid w:val="00F12167"/>
    <w:rsid w:val="00F125E4"/>
    <w:rsid w:val="00F12893"/>
    <w:rsid w:val="00F12948"/>
    <w:rsid w:val="00F12AD4"/>
    <w:rsid w:val="00F131F5"/>
    <w:rsid w:val="00F1353B"/>
    <w:rsid w:val="00F136FD"/>
    <w:rsid w:val="00F13A00"/>
    <w:rsid w:val="00F13CFF"/>
    <w:rsid w:val="00F13DB2"/>
    <w:rsid w:val="00F14623"/>
    <w:rsid w:val="00F14AFC"/>
    <w:rsid w:val="00F15FAC"/>
    <w:rsid w:val="00F162F2"/>
    <w:rsid w:val="00F1678D"/>
    <w:rsid w:val="00F16AC7"/>
    <w:rsid w:val="00F175D9"/>
    <w:rsid w:val="00F20214"/>
    <w:rsid w:val="00F20650"/>
    <w:rsid w:val="00F20B38"/>
    <w:rsid w:val="00F211C5"/>
    <w:rsid w:val="00F211F0"/>
    <w:rsid w:val="00F21376"/>
    <w:rsid w:val="00F216F2"/>
    <w:rsid w:val="00F21AC9"/>
    <w:rsid w:val="00F21F2B"/>
    <w:rsid w:val="00F220E4"/>
    <w:rsid w:val="00F221AD"/>
    <w:rsid w:val="00F22597"/>
    <w:rsid w:val="00F22A0E"/>
    <w:rsid w:val="00F23021"/>
    <w:rsid w:val="00F2340A"/>
    <w:rsid w:val="00F23CA8"/>
    <w:rsid w:val="00F243F7"/>
    <w:rsid w:val="00F24658"/>
    <w:rsid w:val="00F24BD2"/>
    <w:rsid w:val="00F24CC7"/>
    <w:rsid w:val="00F24D21"/>
    <w:rsid w:val="00F25515"/>
    <w:rsid w:val="00F25575"/>
    <w:rsid w:val="00F25D8C"/>
    <w:rsid w:val="00F26497"/>
    <w:rsid w:val="00F265EB"/>
    <w:rsid w:val="00F26F57"/>
    <w:rsid w:val="00F273E6"/>
    <w:rsid w:val="00F27CB2"/>
    <w:rsid w:val="00F27E75"/>
    <w:rsid w:val="00F27EFF"/>
    <w:rsid w:val="00F304ED"/>
    <w:rsid w:val="00F30A75"/>
    <w:rsid w:val="00F30C5F"/>
    <w:rsid w:val="00F30EC9"/>
    <w:rsid w:val="00F3162D"/>
    <w:rsid w:val="00F31F7C"/>
    <w:rsid w:val="00F32152"/>
    <w:rsid w:val="00F323FB"/>
    <w:rsid w:val="00F327D7"/>
    <w:rsid w:val="00F3341D"/>
    <w:rsid w:val="00F337D1"/>
    <w:rsid w:val="00F338AC"/>
    <w:rsid w:val="00F34884"/>
    <w:rsid w:val="00F34E96"/>
    <w:rsid w:val="00F351C0"/>
    <w:rsid w:val="00F35289"/>
    <w:rsid w:val="00F35A5C"/>
    <w:rsid w:val="00F35B52"/>
    <w:rsid w:val="00F36259"/>
    <w:rsid w:val="00F36280"/>
    <w:rsid w:val="00F364D9"/>
    <w:rsid w:val="00F3655B"/>
    <w:rsid w:val="00F36F28"/>
    <w:rsid w:val="00F36F4A"/>
    <w:rsid w:val="00F36F60"/>
    <w:rsid w:val="00F375DC"/>
    <w:rsid w:val="00F379FF"/>
    <w:rsid w:val="00F40022"/>
    <w:rsid w:val="00F4017F"/>
    <w:rsid w:val="00F4025E"/>
    <w:rsid w:val="00F405F3"/>
    <w:rsid w:val="00F40672"/>
    <w:rsid w:val="00F40DBD"/>
    <w:rsid w:val="00F41211"/>
    <w:rsid w:val="00F41625"/>
    <w:rsid w:val="00F41670"/>
    <w:rsid w:val="00F41737"/>
    <w:rsid w:val="00F4181B"/>
    <w:rsid w:val="00F4181F"/>
    <w:rsid w:val="00F41900"/>
    <w:rsid w:val="00F41AE5"/>
    <w:rsid w:val="00F41B4D"/>
    <w:rsid w:val="00F41D27"/>
    <w:rsid w:val="00F41DBD"/>
    <w:rsid w:val="00F423ED"/>
    <w:rsid w:val="00F4344A"/>
    <w:rsid w:val="00F43742"/>
    <w:rsid w:val="00F43C5D"/>
    <w:rsid w:val="00F44668"/>
    <w:rsid w:val="00F449B0"/>
    <w:rsid w:val="00F44EF1"/>
    <w:rsid w:val="00F44F24"/>
    <w:rsid w:val="00F459BF"/>
    <w:rsid w:val="00F460EA"/>
    <w:rsid w:val="00F46157"/>
    <w:rsid w:val="00F466C9"/>
    <w:rsid w:val="00F4676A"/>
    <w:rsid w:val="00F46C79"/>
    <w:rsid w:val="00F46FAE"/>
    <w:rsid w:val="00F4705C"/>
    <w:rsid w:val="00F470F0"/>
    <w:rsid w:val="00F4717A"/>
    <w:rsid w:val="00F474F5"/>
    <w:rsid w:val="00F47785"/>
    <w:rsid w:val="00F47C23"/>
    <w:rsid w:val="00F500BD"/>
    <w:rsid w:val="00F50216"/>
    <w:rsid w:val="00F50254"/>
    <w:rsid w:val="00F50437"/>
    <w:rsid w:val="00F50E19"/>
    <w:rsid w:val="00F51131"/>
    <w:rsid w:val="00F5123C"/>
    <w:rsid w:val="00F514ED"/>
    <w:rsid w:val="00F51CF1"/>
    <w:rsid w:val="00F51E49"/>
    <w:rsid w:val="00F5207E"/>
    <w:rsid w:val="00F521BA"/>
    <w:rsid w:val="00F521C4"/>
    <w:rsid w:val="00F5272A"/>
    <w:rsid w:val="00F52B8B"/>
    <w:rsid w:val="00F53C4B"/>
    <w:rsid w:val="00F53E84"/>
    <w:rsid w:val="00F53F91"/>
    <w:rsid w:val="00F554EF"/>
    <w:rsid w:val="00F558B9"/>
    <w:rsid w:val="00F56293"/>
    <w:rsid w:val="00F562F8"/>
    <w:rsid w:val="00F5695F"/>
    <w:rsid w:val="00F56C12"/>
    <w:rsid w:val="00F56C57"/>
    <w:rsid w:val="00F5739D"/>
    <w:rsid w:val="00F574EB"/>
    <w:rsid w:val="00F57554"/>
    <w:rsid w:val="00F57967"/>
    <w:rsid w:val="00F60169"/>
    <w:rsid w:val="00F601D4"/>
    <w:rsid w:val="00F603F4"/>
    <w:rsid w:val="00F60637"/>
    <w:rsid w:val="00F60650"/>
    <w:rsid w:val="00F60944"/>
    <w:rsid w:val="00F60950"/>
    <w:rsid w:val="00F60ABF"/>
    <w:rsid w:val="00F60CB1"/>
    <w:rsid w:val="00F60FCB"/>
    <w:rsid w:val="00F61027"/>
    <w:rsid w:val="00F61045"/>
    <w:rsid w:val="00F61DEB"/>
    <w:rsid w:val="00F62087"/>
    <w:rsid w:val="00F62671"/>
    <w:rsid w:val="00F6271D"/>
    <w:rsid w:val="00F631DB"/>
    <w:rsid w:val="00F63458"/>
    <w:rsid w:val="00F63629"/>
    <w:rsid w:val="00F63CB0"/>
    <w:rsid w:val="00F63CE9"/>
    <w:rsid w:val="00F64209"/>
    <w:rsid w:val="00F64479"/>
    <w:rsid w:val="00F6478C"/>
    <w:rsid w:val="00F647F0"/>
    <w:rsid w:val="00F64EBE"/>
    <w:rsid w:val="00F65157"/>
    <w:rsid w:val="00F651CC"/>
    <w:rsid w:val="00F65285"/>
    <w:rsid w:val="00F65ACB"/>
    <w:rsid w:val="00F65DDF"/>
    <w:rsid w:val="00F65EC8"/>
    <w:rsid w:val="00F66141"/>
    <w:rsid w:val="00F6659E"/>
    <w:rsid w:val="00F66777"/>
    <w:rsid w:val="00F66892"/>
    <w:rsid w:val="00F66F76"/>
    <w:rsid w:val="00F67034"/>
    <w:rsid w:val="00F67A63"/>
    <w:rsid w:val="00F67DF0"/>
    <w:rsid w:val="00F7004F"/>
    <w:rsid w:val="00F7033A"/>
    <w:rsid w:val="00F7059D"/>
    <w:rsid w:val="00F705EC"/>
    <w:rsid w:val="00F70A07"/>
    <w:rsid w:val="00F71498"/>
    <w:rsid w:val="00F7175F"/>
    <w:rsid w:val="00F71D7E"/>
    <w:rsid w:val="00F72119"/>
    <w:rsid w:val="00F723EA"/>
    <w:rsid w:val="00F724E0"/>
    <w:rsid w:val="00F7266C"/>
    <w:rsid w:val="00F727A4"/>
    <w:rsid w:val="00F7285D"/>
    <w:rsid w:val="00F728EC"/>
    <w:rsid w:val="00F72A1C"/>
    <w:rsid w:val="00F72FC1"/>
    <w:rsid w:val="00F7363C"/>
    <w:rsid w:val="00F73D4F"/>
    <w:rsid w:val="00F73F0B"/>
    <w:rsid w:val="00F74152"/>
    <w:rsid w:val="00F75913"/>
    <w:rsid w:val="00F76002"/>
    <w:rsid w:val="00F766EA"/>
    <w:rsid w:val="00F76C0D"/>
    <w:rsid w:val="00F76D84"/>
    <w:rsid w:val="00F76DED"/>
    <w:rsid w:val="00F77256"/>
    <w:rsid w:val="00F774AA"/>
    <w:rsid w:val="00F77873"/>
    <w:rsid w:val="00F77917"/>
    <w:rsid w:val="00F77C4B"/>
    <w:rsid w:val="00F80601"/>
    <w:rsid w:val="00F80E3C"/>
    <w:rsid w:val="00F80FD9"/>
    <w:rsid w:val="00F81CD4"/>
    <w:rsid w:val="00F81D21"/>
    <w:rsid w:val="00F81F82"/>
    <w:rsid w:val="00F82A15"/>
    <w:rsid w:val="00F82A42"/>
    <w:rsid w:val="00F82DBF"/>
    <w:rsid w:val="00F830A6"/>
    <w:rsid w:val="00F8329E"/>
    <w:rsid w:val="00F83B6C"/>
    <w:rsid w:val="00F83EF7"/>
    <w:rsid w:val="00F84321"/>
    <w:rsid w:val="00F84B03"/>
    <w:rsid w:val="00F8589E"/>
    <w:rsid w:val="00F858F5"/>
    <w:rsid w:val="00F85B7F"/>
    <w:rsid w:val="00F85D2A"/>
    <w:rsid w:val="00F85FD7"/>
    <w:rsid w:val="00F860A8"/>
    <w:rsid w:val="00F86917"/>
    <w:rsid w:val="00F86AAB"/>
    <w:rsid w:val="00F86AAD"/>
    <w:rsid w:val="00F86F4E"/>
    <w:rsid w:val="00F87036"/>
    <w:rsid w:val="00F87DDE"/>
    <w:rsid w:val="00F87F76"/>
    <w:rsid w:val="00F9029B"/>
    <w:rsid w:val="00F902BF"/>
    <w:rsid w:val="00F90BB9"/>
    <w:rsid w:val="00F913F8"/>
    <w:rsid w:val="00F91EE6"/>
    <w:rsid w:val="00F9244B"/>
    <w:rsid w:val="00F92476"/>
    <w:rsid w:val="00F92934"/>
    <w:rsid w:val="00F92B36"/>
    <w:rsid w:val="00F92D83"/>
    <w:rsid w:val="00F931AB"/>
    <w:rsid w:val="00F934DF"/>
    <w:rsid w:val="00F9393D"/>
    <w:rsid w:val="00F93B6C"/>
    <w:rsid w:val="00F93D17"/>
    <w:rsid w:val="00F93D73"/>
    <w:rsid w:val="00F93EFF"/>
    <w:rsid w:val="00F94187"/>
    <w:rsid w:val="00F94312"/>
    <w:rsid w:val="00F943FC"/>
    <w:rsid w:val="00F944B4"/>
    <w:rsid w:val="00F947C7"/>
    <w:rsid w:val="00F94EC2"/>
    <w:rsid w:val="00F954B6"/>
    <w:rsid w:val="00F958BC"/>
    <w:rsid w:val="00F95B37"/>
    <w:rsid w:val="00F969DE"/>
    <w:rsid w:val="00F96ABA"/>
    <w:rsid w:val="00F96E10"/>
    <w:rsid w:val="00F96FAD"/>
    <w:rsid w:val="00F97185"/>
    <w:rsid w:val="00F97765"/>
    <w:rsid w:val="00FA03B7"/>
    <w:rsid w:val="00FA05A1"/>
    <w:rsid w:val="00FA0606"/>
    <w:rsid w:val="00FA0721"/>
    <w:rsid w:val="00FA0EC7"/>
    <w:rsid w:val="00FA11AC"/>
    <w:rsid w:val="00FA1658"/>
    <w:rsid w:val="00FA172A"/>
    <w:rsid w:val="00FA176B"/>
    <w:rsid w:val="00FA183F"/>
    <w:rsid w:val="00FA1DA8"/>
    <w:rsid w:val="00FA2421"/>
    <w:rsid w:val="00FA2569"/>
    <w:rsid w:val="00FA2C21"/>
    <w:rsid w:val="00FA37F0"/>
    <w:rsid w:val="00FA3F67"/>
    <w:rsid w:val="00FA4219"/>
    <w:rsid w:val="00FA45D5"/>
    <w:rsid w:val="00FA4EEE"/>
    <w:rsid w:val="00FA4F01"/>
    <w:rsid w:val="00FA5100"/>
    <w:rsid w:val="00FA55DD"/>
    <w:rsid w:val="00FA574D"/>
    <w:rsid w:val="00FA5755"/>
    <w:rsid w:val="00FA6375"/>
    <w:rsid w:val="00FA6474"/>
    <w:rsid w:val="00FA6628"/>
    <w:rsid w:val="00FA6686"/>
    <w:rsid w:val="00FA66B4"/>
    <w:rsid w:val="00FA6FEA"/>
    <w:rsid w:val="00FA7032"/>
    <w:rsid w:val="00FA7207"/>
    <w:rsid w:val="00FA73C4"/>
    <w:rsid w:val="00FA79C5"/>
    <w:rsid w:val="00FA7A5F"/>
    <w:rsid w:val="00FA7D9C"/>
    <w:rsid w:val="00FB0086"/>
    <w:rsid w:val="00FB0668"/>
    <w:rsid w:val="00FB12A9"/>
    <w:rsid w:val="00FB1666"/>
    <w:rsid w:val="00FB1AC4"/>
    <w:rsid w:val="00FB1DAA"/>
    <w:rsid w:val="00FB1F60"/>
    <w:rsid w:val="00FB2865"/>
    <w:rsid w:val="00FB36E7"/>
    <w:rsid w:val="00FB401A"/>
    <w:rsid w:val="00FB4633"/>
    <w:rsid w:val="00FB4810"/>
    <w:rsid w:val="00FB5383"/>
    <w:rsid w:val="00FB56B2"/>
    <w:rsid w:val="00FB570B"/>
    <w:rsid w:val="00FB59D5"/>
    <w:rsid w:val="00FB5A02"/>
    <w:rsid w:val="00FB5A9F"/>
    <w:rsid w:val="00FB5BCA"/>
    <w:rsid w:val="00FB661D"/>
    <w:rsid w:val="00FB6CE9"/>
    <w:rsid w:val="00FB6E33"/>
    <w:rsid w:val="00FB7056"/>
    <w:rsid w:val="00FB721C"/>
    <w:rsid w:val="00FB72C5"/>
    <w:rsid w:val="00FB7677"/>
    <w:rsid w:val="00FB772B"/>
    <w:rsid w:val="00FB7BC2"/>
    <w:rsid w:val="00FC0098"/>
    <w:rsid w:val="00FC0575"/>
    <w:rsid w:val="00FC0BF1"/>
    <w:rsid w:val="00FC1026"/>
    <w:rsid w:val="00FC1A0C"/>
    <w:rsid w:val="00FC1A90"/>
    <w:rsid w:val="00FC1B3B"/>
    <w:rsid w:val="00FC1C82"/>
    <w:rsid w:val="00FC1CC0"/>
    <w:rsid w:val="00FC2435"/>
    <w:rsid w:val="00FC2842"/>
    <w:rsid w:val="00FC2899"/>
    <w:rsid w:val="00FC2FCE"/>
    <w:rsid w:val="00FC30EB"/>
    <w:rsid w:val="00FC3608"/>
    <w:rsid w:val="00FC373A"/>
    <w:rsid w:val="00FC3A8F"/>
    <w:rsid w:val="00FC3C17"/>
    <w:rsid w:val="00FC3F21"/>
    <w:rsid w:val="00FC4346"/>
    <w:rsid w:val="00FC43B5"/>
    <w:rsid w:val="00FC4577"/>
    <w:rsid w:val="00FC5020"/>
    <w:rsid w:val="00FC51C1"/>
    <w:rsid w:val="00FC5EC3"/>
    <w:rsid w:val="00FC613E"/>
    <w:rsid w:val="00FC62C5"/>
    <w:rsid w:val="00FC67BE"/>
    <w:rsid w:val="00FC6A30"/>
    <w:rsid w:val="00FC6E2A"/>
    <w:rsid w:val="00FC6FAC"/>
    <w:rsid w:val="00FC7323"/>
    <w:rsid w:val="00FC7462"/>
    <w:rsid w:val="00FC7760"/>
    <w:rsid w:val="00FD0094"/>
    <w:rsid w:val="00FD05CC"/>
    <w:rsid w:val="00FD0815"/>
    <w:rsid w:val="00FD09DC"/>
    <w:rsid w:val="00FD0B17"/>
    <w:rsid w:val="00FD16F8"/>
    <w:rsid w:val="00FD1A9F"/>
    <w:rsid w:val="00FD1EEF"/>
    <w:rsid w:val="00FD1F6A"/>
    <w:rsid w:val="00FD269E"/>
    <w:rsid w:val="00FD2777"/>
    <w:rsid w:val="00FD2B10"/>
    <w:rsid w:val="00FD2B82"/>
    <w:rsid w:val="00FD2CCE"/>
    <w:rsid w:val="00FD2E08"/>
    <w:rsid w:val="00FD356F"/>
    <w:rsid w:val="00FD368E"/>
    <w:rsid w:val="00FD36F7"/>
    <w:rsid w:val="00FD374D"/>
    <w:rsid w:val="00FD3947"/>
    <w:rsid w:val="00FD3E09"/>
    <w:rsid w:val="00FD3E59"/>
    <w:rsid w:val="00FD3F4A"/>
    <w:rsid w:val="00FD58AC"/>
    <w:rsid w:val="00FD5CF1"/>
    <w:rsid w:val="00FD6351"/>
    <w:rsid w:val="00FD6398"/>
    <w:rsid w:val="00FD640C"/>
    <w:rsid w:val="00FD64C7"/>
    <w:rsid w:val="00FD77AA"/>
    <w:rsid w:val="00FD7822"/>
    <w:rsid w:val="00FD7A82"/>
    <w:rsid w:val="00FD7BF6"/>
    <w:rsid w:val="00FD7D83"/>
    <w:rsid w:val="00FD7DB4"/>
    <w:rsid w:val="00FE03B2"/>
    <w:rsid w:val="00FE03FE"/>
    <w:rsid w:val="00FE074F"/>
    <w:rsid w:val="00FE09C7"/>
    <w:rsid w:val="00FE09CC"/>
    <w:rsid w:val="00FE0A5B"/>
    <w:rsid w:val="00FE1484"/>
    <w:rsid w:val="00FE17C2"/>
    <w:rsid w:val="00FE1A71"/>
    <w:rsid w:val="00FE1F58"/>
    <w:rsid w:val="00FE242B"/>
    <w:rsid w:val="00FE2B5A"/>
    <w:rsid w:val="00FE2E2E"/>
    <w:rsid w:val="00FE2ED6"/>
    <w:rsid w:val="00FE3248"/>
    <w:rsid w:val="00FE350E"/>
    <w:rsid w:val="00FE3DA4"/>
    <w:rsid w:val="00FE3E28"/>
    <w:rsid w:val="00FE415A"/>
    <w:rsid w:val="00FE4996"/>
    <w:rsid w:val="00FE4A75"/>
    <w:rsid w:val="00FE4DB5"/>
    <w:rsid w:val="00FE5137"/>
    <w:rsid w:val="00FE57D3"/>
    <w:rsid w:val="00FE5A5A"/>
    <w:rsid w:val="00FE5B14"/>
    <w:rsid w:val="00FE5B18"/>
    <w:rsid w:val="00FE5C16"/>
    <w:rsid w:val="00FE5E5F"/>
    <w:rsid w:val="00FE5F93"/>
    <w:rsid w:val="00FE6D88"/>
    <w:rsid w:val="00FE6FA4"/>
    <w:rsid w:val="00FE7291"/>
    <w:rsid w:val="00FE75C4"/>
    <w:rsid w:val="00FE7930"/>
    <w:rsid w:val="00FE7B48"/>
    <w:rsid w:val="00FF014F"/>
    <w:rsid w:val="00FF0D6A"/>
    <w:rsid w:val="00FF1584"/>
    <w:rsid w:val="00FF1A77"/>
    <w:rsid w:val="00FF1C2E"/>
    <w:rsid w:val="00FF1EB0"/>
    <w:rsid w:val="00FF3762"/>
    <w:rsid w:val="00FF387C"/>
    <w:rsid w:val="00FF3923"/>
    <w:rsid w:val="00FF3951"/>
    <w:rsid w:val="00FF39F3"/>
    <w:rsid w:val="00FF3A04"/>
    <w:rsid w:val="00FF3D84"/>
    <w:rsid w:val="00FF47DE"/>
    <w:rsid w:val="00FF4FDB"/>
    <w:rsid w:val="00FF5359"/>
    <w:rsid w:val="00FF56C1"/>
    <w:rsid w:val="00FF57F6"/>
    <w:rsid w:val="00FF581C"/>
    <w:rsid w:val="00FF5A1D"/>
    <w:rsid w:val="00FF5FAE"/>
    <w:rsid w:val="00FF6206"/>
    <w:rsid w:val="00FF69E3"/>
    <w:rsid w:val="00FF6A88"/>
    <w:rsid w:val="00FF6E8C"/>
    <w:rsid w:val="00FF7BC0"/>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pPr>
        <w:spacing w:after="120" w:line="312" w:lineRule="auto"/>
        <w:ind w:left="1559" w:hanging="56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Default Paragraph Font" w:uiPriority="1"/>
    <w:lsdException w:name="Body Text" w:uiPriority="1"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73"/>
    <w:pPr>
      <w:spacing w:after="200" w:line="276" w:lineRule="auto"/>
      <w:ind w:left="0" w:firstLine="0"/>
      <w:jc w:val="left"/>
    </w:pPr>
    <w:rPr>
      <w:rFonts w:asciiTheme="minorHAnsi" w:eastAsiaTheme="minorHAnsi" w:hAnsiTheme="minorHAnsi" w:cstheme="minorBidi"/>
      <w:sz w:val="22"/>
      <w:szCs w:val="22"/>
      <w:lang w:val="es-AR" w:eastAsia="en-US"/>
    </w:rPr>
  </w:style>
  <w:style w:type="paragraph" w:styleId="Ttulo1">
    <w:name w:val="heading 1"/>
    <w:aliases w:val="NUA Título 1,Título 1 NUA"/>
    <w:basedOn w:val="Normal"/>
    <w:next w:val="Normal"/>
    <w:link w:val="Ttulo1Car"/>
    <w:autoRedefine/>
    <w:qFormat/>
    <w:rsid w:val="00A17546"/>
    <w:pPr>
      <w:keepNext/>
      <w:snapToGrid w:val="0"/>
      <w:outlineLvl w:val="0"/>
    </w:pPr>
    <w:rPr>
      <w:rFonts w:ascii="Arial" w:hAnsi="Arial"/>
      <w:b/>
      <w:caps/>
      <w:kern w:val="28"/>
      <w:lang w:val="es-ES"/>
    </w:rPr>
  </w:style>
  <w:style w:type="paragraph" w:styleId="Ttulo2">
    <w:name w:val="heading 2"/>
    <w:aliases w:val="NUA - Título 2"/>
    <w:basedOn w:val="Normal"/>
    <w:next w:val="Normal"/>
    <w:link w:val="Ttulo2Car"/>
    <w:autoRedefine/>
    <w:qFormat/>
    <w:rsid w:val="0065736B"/>
    <w:pPr>
      <w:keepNext/>
      <w:snapToGrid w:val="0"/>
      <w:jc w:val="both"/>
      <w:outlineLvl w:val="1"/>
    </w:pPr>
    <w:rPr>
      <w:rFonts w:ascii="Arial" w:hAnsi="Arial"/>
      <w:b/>
      <w:sz w:val="20"/>
      <w:szCs w:val="20"/>
      <w:lang w:val="es-ES"/>
    </w:rPr>
  </w:style>
  <w:style w:type="paragraph" w:styleId="Ttulo3">
    <w:name w:val="heading 3"/>
    <w:aliases w:val="NUA Título 3"/>
    <w:basedOn w:val="Normal"/>
    <w:next w:val="Normal"/>
    <w:link w:val="Ttulo3Car"/>
    <w:autoRedefine/>
    <w:qFormat/>
    <w:rsid w:val="0040486B"/>
    <w:pPr>
      <w:keepNext/>
      <w:jc w:val="both"/>
      <w:outlineLvl w:val="2"/>
    </w:pPr>
    <w:rPr>
      <w:rFonts w:ascii="Arial" w:hAnsi="Arial" w:cs="Arial"/>
      <w:b/>
      <w:bCs/>
      <w:sz w:val="20"/>
      <w:szCs w:val="20"/>
      <w:lang w:val="es-ES"/>
    </w:rPr>
  </w:style>
  <w:style w:type="paragraph" w:styleId="Ttulo4">
    <w:name w:val="heading 4"/>
    <w:aliases w:val="NUA Título 4"/>
    <w:basedOn w:val="Normal"/>
    <w:next w:val="Normal"/>
    <w:link w:val="Ttulo4Car"/>
    <w:autoRedefine/>
    <w:qFormat/>
    <w:rsid w:val="00DC4B56"/>
    <w:pPr>
      <w:keepNext/>
      <w:snapToGrid w:val="0"/>
      <w:ind w:left="851"/>
      <w:outlineLvl w:val="3"/>
    </w:pPr>
    <w:rPr>
      <w:rFonts w:ascii="Arial" w:hAnsi="Arial" w:cs="Arial"/>
      <w:b/>
      <w:bCs/>
      <w:sz w:val="20"/>
      <w:szCs w:val="20"/>
      <w:lang w:val="es-ES"/>
    </w:rPr>
  </w:style>
  <w:style w:type="paragraph" w:styleId="Ttulo5">
    <w:name w:val="heading 5"/>
    <w:basedOn w:val="Normal"/>
    <w:next w:val="Normal"/>
    <w:qFormat/>
    <w:rsid w:val="000123EF"/>
    <w:pPr>
      <w:spacing w:before="240" w:after="60"/>
      <w:outlineLvl w:val="4"/>
    </w:pPr>
  </w:style>
  <w:style w:type="paragraph" w:styleId="Ttulo6">
    <w:name w:val="heading 6"/>
    <w:basedOn w:val="Normal"/>
    <w:next w:val="Normal"/>
    <w:qFormat/>
    <w:rsid w:val="000123EF"/>
    <w:pPr>
      <w:spacing w:before="240" w:after="60"/>
      <w:outlineLvl w:val="5"/>
    </w:pPr>
    <w:rPr>
      <w:rFonts w:ascii="Times New Roman" w:hAnsi="Times New Roman"/>
      <w:i/>
    </w:rPr>
  </w:style>
  <w:style w:type="paragraph" w:styleId="Ttulo7">
    <w:name w:val="heading 7"/>
    <w:basedOn w:val="Normal"/>
    <w:next w:val="Normal"/>
    <w:qFormat/>
    <w:rsid w:val="000123EF"/>
    <w:pPr>
      <w:spacing w:before="240" w:after="60"/>
      <w:outlineLvl w:val="6"/>
    </w:pPr>
  </w:style>
  <w:style w:type="paragraph" w:styleId="Ttulo8">
    <w:name w:val="heading 8"/>
    <w:basedOn w:val="Normal"/>
    <w:next w:val="Normal"/>
    <w:qFormat/>
    <w:rsid w:val="000123EF"/>
    <w:pPr>
      <w:spacing w:before="240" w:after="60"/>
      <w:outlineLvl w:val="7"/>
    </w:pPr>
    <w:rPr>
      <w:i/>
    </w:rPr>
  </w:style>
  <w:style w:type="paragraph" w:styleId="Ttulo9">
    <w:name w:val="heading 9"/>
    <w:basedOn w:val="Normal"/>
    <w:next w:val="Normal"/>
    <w:qFormat/>
    <w:rsid w:val="000123EF"/>
    <w:pPr>
      <w:spacing w:before="240" w:after="60"/>
      <w:outlineLvl w:val="8"/>
    </w:pPr>
    <w:rPr>
      <w:b/>
      <w:i/>
      <w:sz w:val="18"/>
    </w:rPr>
  </w:style>
  <w:style w:type="character" w:default="1" w:styleId="Fuentedeprrafopredeter">
    <w:name w:val="Default Paragraph Font"/>
    <w:uiPriority w:val="1"/>
    <w:semiHidden/>
    <w:unhideWhenUsed/>
    <w:rsid w:val="00645073"/>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645073"/>
  </w:style>
  <w:style w:type="paragraph" w:customStyle="1" w:styleId="A-TIT2">
    <w:name w:val="A- TIT2"/>
    <w:basedOn w:val="Normal"/>
    <w:qFormat/>
    <w:rsid w:val="000123EF"/>
    <w:pPr>
      <w:keepNext/>
    </w:pPr>
    <w:rPr>
      <w:b/>
      <w:color w:val="008000"/>
      <w:u w:val="double"/>
    </w:rPr>
  </w:style>
  <w:style w:type="paragraph" w:customStyle="1" w:styleId="A-TIT3">
    <w:name w:val="A- TIT3"/>
    <w:basedOn w:val="Normal"/>
    <w:qFormat/>
    <w:rsid w:val="000123EF"/>
    <w:pPr>
      <w:keepNext/>
    </w:pPr>
    <w:rPr>
      <w:b/>
      <w:color w:val="0000FF"/>
      <w:u w:val="single"/>
    </w:rPr>
  </w:style>
  <w:style w:type="paragraph" w:customStyle="1" w:styleId="A-TIT4">
    <w:name w:val="A- TIT4"/>
    <w:basedOn w:val="Normal"/>
    <w:qFormat/>
    <w:rsid w:val="000123EF"/>
    <w:pPr>
      <w:keepNext/>
    </w:pPr>
    <w:rPr>
      <w:b/>
      <w:color w:val="FF0000"/>
    </w:rPr>
  </w:style>
  <w:style w:type="paragraph" w:customStyle="1" w:styleId="TIT5">
    <w:name w:val="TIT5"/>
    <w:basedOn w:val="A-TIT4"/>
    <w:rsid w:val="000123EF"/>
    <w:rPr>
      <w:color w:val="000080"/>
      <w:sz w:val="20"/>
      <w:u w:val="single"/>
    </w:rPr>
  </w:style>
  <w:style w:type="paragraph" w:customStyle="1" w:styleId="TIT6">
    <w:name w:val="TIT6"/>
    <w:basedOn w:val="A-TIT4"/>
    <w:rsid w:val="000123EF"/>
    <w:rPr>
      <w:color w:val="008000"/>
      <w:sz w:val="20"/>
    </w:rPr>
  </w:style>
  <w:style w:type="paragraph" w:customStyle="1" w:styleId="A-Norgra">
    <w:name w:val="A- Norgra"/>
    <w:basedOn w:val="Normal"/>
    <w:qFormat/>
    <w:rsid w:val="000123EF"/>
    <w:pPr>
      <w:adjustRightInd w:val="0"/>
    </w:pPr>
    <w:rPr>
      <w:color w:val="000000"/>
    </w:rPr>
  </w:style>
  <w:style w:type="paragraph" w:customStyle="1" w:styleId="A-TIT1">
    <w:name w:val="A- TIT 1"/>
    <w:basedOn w:val="Normal"/>
    <w:qFormat/>
    <w:rsid w:val="000123EF"/>
    <w:pPr>
      <w:pBdr>
        <w:bottom w:val="thickThinSmallGap" w:sz="24" w:space="1" w:color="auto"/>
      </w:pBdr>
      <w:jc w:val="right"/>
    </w:pPr>
    <w:rPr>
      <w:b/>
      <w:i/>
    </w:rPr>
  </w:style>
  <w:style w:type="paragraph" w:customStyle="1" w:styleId="EPI">
    <w:name w:val="EPI"/>
    <w:basedOn w:val="Normal"/>
    <w:rsid w:val="000123EF"/>
    <w:pPr>
      <w:jc w:val="center"/>
    </w:pPr>
    <w:rPr>
      <w:b/>
      <w:sz w:val="16"/>
    </w:rPr>
  </w:style>
  <w:style w:type="paragraph" w:customStyle="1" w:styleId="A-Norpeq">
    <w:name w:val="A- Norpeq"/>
    <w:basedOn w:val="Normal"/>
    <w:qFormat/>
    <w:rsid w:val="000123EF"/>
    <w:rPr>
      <w:color w:val="0000FF"/>
      <w:sz w:val="16"/>
    </w:rPr>
  </w:style>
  <w:style w:type="paragraph" w:styleId="Epgrafe">
    <w:name w:val="caption"/>
    <w:basedOn w:val="Normal"/>
    <w:next w:val="Normal"/>
    <w:qFormat/>
    <w:rsid w:val="000123EF"/>
    <w:pPr>
      <w:spacing w:before="120"/>
      <w:jc w:val="center"/>
    </w:pPr>
    <w:rPr>
      <w:b/>
      <w:sz w:val="16"/>
    </w:rPr>
  </w:style>
  <w:style w:type="paragraph" w:styleId="Textonotapie">
    <w:name w:val="footnote text"/>
    <w:basedOn w:val="Normal"/>
    <w:link w:val="TextonotapieCar"/>
    <w:uiPriority w:val="99"/>
    <w:rsid w:val="000123EF"/>
    <w:rPr>
      <w:sz w:val="16"/>
    </w:rPr>
  </w:style>
  <w:style w:type="paragraph" w:styleId="Encabezado">
    <w:name w:val="header"/>
    <w:basedOn w:val="Normal"/>
    <w:link w:val="EncabezadoCar"/>
    <w:uiPriority w:val="99"/>
    <w:rsid w:val="000123EF"/>
    <w:pPr>
      <w:tabs>
        <w:tab w:val="center" w:pos="4252"/>
        <w:tab w:val="right" w:pos="8504"/>
      </w:tabs>
    </w:pPr>
    <w:rPr>
      <w:rFonts w:ascii="Times New Roman" w:hAnsi="Times New Roman"/>
    </w:rPr>
  </w:style>
  <w:style w:type="paragraph" w:styleId="Piedepgina">
    <w:name w:val="footer"/>
    <w:basedOn w:val="Normal"/>
    <w:link w:val="PiedepginaCar"/>
    <w:uiPriority w:val="99"/>
    <w:rsid w:val="000123EF"/>
    <w:pPr>
      <w:tabs>
        <w:tab w:val="center" w:pos="4419"/>
        <w:tab w:val="right" w:pos="8838"/>
      </w:tabs>
    </w:pPr>
    <w:rPr>
      <w:sz w:val="16"/>
    </w:rPr>
  </w:style>
  <w:style w:type="character" w:styleId="Nmerodepgina">
    <w:name w:val="page number"/>
    <w:basedOn w:val="Fuentedeprrafopredeter"/>
    <w:rsid w:val="000123EF"/>
  </w:style>
  <w:style w:type="paragraph" w:customStyle="1" w:styleId="A-rojo">
    <w:name w:val="A- rojo"/>
    <w:basedOn w:val="A-Norgra"/>
    <w:qFormat/>
    <w:rsid w:val="000123EF"/>
    <w:rPr>
      <w:i/>
      <w:color w:val="FF0000"/>
    </w:rPr>
  </w:style>
  <w:style w:type="paragraph" w:customStyle="1" w:styleId="A-azul">
    <w:name w:val="A- azul"/>
    <w:basedOn w:val="A-rojo"/>
    <w:qFormat/>
    <w:rsid w:val="000123EF"/>
    <w:rPr>
      <w:color w:val="0000FF"/>
      <w:lang w:val="es-ES"/>
    </w:rPr>
  </w:style>
  <w:style w:type="paragraph" w:styleId="TDC1">
    <w:name w:val="toc 1"/>
    <w:basedOn w:val="Normal"/>
    <w:next w:val="Normal"/>
    <w:autoRedefine/>
    <w:uiPriority w:val="39"/>
    <w:rsid w:val="00F76002"/>
    <w:pPr>
      <w:tabs>
        <w:tab w:val="right" w:leader="dot" w:pos="8505"/>
      </w:tabs>
      <w:ind w:right="142"/>
      <w:jc w:val="both"/>
    </w:pPr>
    <w:rPr>
      <w:rFonts w:ascii="Arial" w:hAnsi="Arial" w:cs="Arial"/>
      <w:b/>
      <w:caps/>
      <w:noProof/>
      <w:sz w:val="20"/>
    </w:rPr>
  </w:style>
  <w:style w:type="paragraph" w:styleId="TDC2">
    <w:name w:val="toc 2"/>
    <w:basedOn w:val="Normal"/>
    <w:next w:val="Normal"/>
    <w:autoRedefine/>
    <w:uiPriority w:val="39"/>
    <w:rsid w:val="00F76002"/>
    <w:pPr>
      <w:tabs>
        <w:tab w:val="right" w:leader="dot" w:pos="8495"/>
      </w:tabs>
      <w:ind w:left="567"/>
    </w:pPr>
    <w:rPr>
      <w:rFonts w:ascii="Arial" w:hAnsi="Arial"/>
      <w:bCs/>
      <w:smallCaps/>
      <w:sz w:val="20"/>
    </w:rPr>
  </w:style>
  <w:style w:type="paragraph" w:styleId="TDC3">
    <w:name w:val="toc 3"/>
    <w:basedOn w:val="Normal"/>
    <w:next w:val="Normal"/>
    <w:autoRedefine/>
    <w:uiPriority w:val="39"/>
    <w:rsid w:val="00F76002"/>
    <w:pPr>
      <w:tabs>
        <w:tab w:val="right" w:leader="dot" w:pos="8505"/>
      </w:tabs>
      <w:ind w:left="851" w:right="142"/>
    </w:pPr>
    <w:rPr>
      <w:rFonts w:ascii="Arial" w:hAnsi="Arial"/>
      <w:smallCaps/>
      <w:sz w:val="18"/>
    </w:rPr>
  </w:style>
  <w:style w:type="paragraph" w:styleId="TDC4">
    <w:name w:val="toc 4"/>
    <w:basedOn w:val="Normal"/>
    <w:next w:val="Normal"/>
    <w:autoRedefine/>
    <w:uiPriority w:val="39"/>
    <w:rsid w:val="00F76002"/>
    <w:pPr>
      <w:ind w:left="1134"/>
    </w:pPr>
    <w:rPr>
      <w:rFonts w:ascii="Arial" w:hAnsi="Arial"/>
      <w:sz w:val="16"/>
    </w:rPr>
  </w:style>
  <w:style w:type="paragraph" w:styleId="TDC5">
    <w:name w:val="toc 5"/>
    <w:basedOn w:val="Normal"/>
    <w:next w:val="Normal"/>
    <w:autoRedefine/>
    <w:uiPriority w:val="39"/>
    <w:rsid w:val="00085954"/>
    <w:rPr>
      <w:sz w:val="16"/>
    </w:rPr>
  </w:style>
  <w:style w:type="paragraph" w:styleId="TDC6">
    <w:name w:val="toc 6"/>
    <w:basedOn w:val="Normal"/>
    <w:next w:val="Normal"/>
    <w:autoRedefine/>
    <w:uiPriority w:val="39"/>
    <w:rsid w:val="000123EF"/>
  </w:style>
  <w:style w:type="paragraph" w:styleId="TDC7">
    <w:name w:val="toc 7"/>
    <w:basedOn w:val="Normal"/>
    <w:next w:val="Normal"/>
    <w:autoRedefine/>
    <w:uiPriority w:val="39"/>
    <w:rsid w:val="000123EF"/>
  </w:style>
  <w:style w:type="paragraph" w:styleId="TDC8">
    <w:name w:val="toc 8"/>
    <w:basedOn w:val="Normal"/>
    <w:next w:val="Normal"/>
    <w:autoRedefine/>
    <w:uiPriority w:val="39"/>
    <w:rsid w:val="000123EF"/>
  </w:style>
  <w:style w:type="paragraph" w:styleId="TDC9">
    <w:name w:val="toc 9"/>
    <w:basedOn w:val="Normal"/>
    <w:next w:val="Normal"/>
    <w:autoRedefine/>
    <w:uiPriority w:val="39"/>
    <w:rsid w:val="000123EF"/>
  </w:style>
  <w:style w:type="character" w:styleId="Hipervnculo">
    <w:name w:val="Hyperlink"/>
    <w:basedOn w:val="Fuentedeprrafopredeter"/>
    <w:uiPriority w:val="99"/>
    <w:rsid w:val="000123EF"/>
    <w:rPr>
      <w:color w:val="0000FF"/>
      <w:u w:val="single"/>
    </w:rPr>
  </w:style>
  <w:style w:type="table" w:styleId="Tablaconcuadrcula">
    <w:name w:val="Table Grid"/>
    <w:basedOn w:val="Tablanormal"/>
    <w:uiPriority w:val="39"/>
    <w:rsid w:val="00012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123EF"/>
    <w:rPr>
      <w:rFonts w:ascii="Lucida Grande" w:hAnsi="Lucida Grande" w:cs="Lucida Grande"/>
      <w:sz w:val="18"/>
      <w:szCs w:val="18"/>
    </w:rPr>
  </w:style>
  <w:style w:type="character" w:customStyle="1" w:styleId="BalloonTextChar">
    <w:name w:val="Balloon Text Char"/>
    <w:basedOn w:val="Fuentedeprrafopredeter"/>
    <w:rsid w:val="00F723EA"/>
    <w:rPr>
      <w:rFonts w:ascii="Lucida Grande" w:eastAsiaTheme="minorHAnsi" w:hAnsi="Lucida Grande" w:cs="Lucida Grande"/>
      <w:sz w:val="18"/>
      <w:szCs w:val="18"/>
      <w:lang w:val="es-AR" w:eastAsia="es-ES_tradnl"/>
    </w:rPr>
  </w:style>
  <w:style w:type="character" w:styleId="Hipervnculovisitado">
    <w:name w:val="FollowedHyperlink"/>
    <w:basedOn w:val="Fuentedeprrafopredeter"/>
    <w:semiHidden/>
    <w:unhideWhenUsed/>
    <w:rsid w:val="000123EF"/>
    <w:rPr>
      <w:color w:val="800080" w:themeColor="followedHyperlink"/>
      <w:u w:val="single"/>
    </w:rPr>
  </w:style>
  <w:style w:type="paragraph" w:customStyle="1" w:styleId="A-Normal10">
    <w:name w:val="A- Normal 10"/>
    <w:basedOn w:val="Normal"/>
    <w:qFormat/>
    <w:rsid w:val="000123EF"/>
    <w:rPr>
      <w:rFonts w:eastAsia="Times New Roman" w:cs="Times New Roman"/>
      <w:sz w:val="20"/>
      <w:szCs w:val="20"/>
      <w:lang w:eastAsia="es-ES"/>
    </w:rPr>
  </w:style>
  <w:style w:type="paragraph" w:customStyle="1" w:styleId="A-Normal11">
    <w:name w:val="A- Normal 11"/>
    <w:basedOn w:val="Normal"/>
    <w:qFormat/>
    <w:rsid w:val="000123EF"/>
    <w:rPr>
      <w:rFonts w:eastAsia="Times New Roman" w:cs="Times New Roman"/>
      <w:szCs w:val="20"/>
      <w:lang w:eastAsia="es-ES"/>
    </w:rPr>
  </w:style>
  <w:style w:type="paragraph" w:styleId="NormalWeb">
    <w:name w:val="Normal (Web)"/>
    <w:basedOn w:val="Normal"/>
    <w:uiPriority w:val="99"/>
    <w:semiHidden/>
    <w:unhideWhenUsed/>
    <w:rsid w:val="000123EF"/>
    <w:rPr>
      <w:sz w:val="20"/>
      <w:szCs w:val="20"/>
      <w:lang w:eastAsia="es-ES"/>
    </w:rPr>
  </w:style>
  <w:style w:type="paragraph" w:customStyle="1" w:styleId="xmsonormal">
    <w:name w:val="x_msonormal"/>
    <w:basedOn w:val="Normal"/>
    <w:uiPriority w:val="99"/>
    <w:semiHidden/>
    <w:rsid w:val="000123EF"/>
    <w:rPr>
      <w:sz w:val="20"/>
      <w:szCs w:val="20"/>
      <w:lang w:eastAsia="es-ES"/>
    </w:rPr>
  </w:style>
  <w:style w:type="paragraph" w:customStyle="1" w:styleId="gmail-msolistparagraph">
    <w:name w:val="gmail-msolistparagraph"/>
    <w:basedOn w:val="Normal"/>
    <w:rsid w:val="000123EF"/>
    <w:pPr>
      <w:spacing w:before="100" w:beforeAutospacing="1" w:after="100" w:afterAutospacing="1"/>
    </w:pPr>
    <w:rPr>
      <w:sz w:val="20"/>
      <w:szCs w:val="20"/>
      <w:lang w:eastAsia="es-ES"/>
    </w:rPr>
  </w:style>
  <w:style w:type="paragraph" w:styleId="Prrafodelista">
    <w:name w:val="List Paragraph"/>
    <w:basedOn w:val="Normal"/>
    <w:uiPriority w:val="34"/>
    <w:qFormat/>
    <w:rsid w:val="003529E3"/>
    <w:pPr>
      <w:ind w:left="720"/>
      <w:contextualSpacing/>
    </w:pPr>
  </w:style>
  <w:style w:type="paragraph" w:customStyle="1" w:styleId="gmail-m7210356278748850223a-tit3">
    <w:name w:val="gmail-m_7210356278748850223a-tit3"/>
    <w:basedOn w:val="Normal"/>
    <w:rsid w:val="000123EF"/>
    <w:pPr>
      <w:spacing w:before="100" w:beforeAutospacing="1" w:after="100" w:afterAutospacing="1"/>
    </w:pPr>
    <w:rPr>
      <w:sz w:val="20"/>
      <w:szCs w:val="20"/>
      <w:lang w:eastAsia="es-ES"/>
    </w:rPr>
  </w:style>
  <w:style w:type="paragraph" w:customStyle="1" w:styleId="gmail-m7210356278748850223a-azul">
    <w:name w:val="gmail-m_7210356278748850223a-azul"/>
    <w:basedOn w:val="Normal"/>
    <w:rsid w:val="000123EF"/>
    <w:pPr>
      <w:spacing w:before="100" w:beforeAutospacing="1" w:after="100" w:afterAutospacing="1"/>
    </w:pPr>
    <w:rPr>
      <w:sz w:val="20"/>
      <w:szCs w:val="20"/>
      <w:lang w:eastAsia="es-ES"/>
    </w:rPr>
  </w:style>
  <w:style w:type="paragraph" w:customStyle="1" w:styleId="gmail-m7210356278748850223msolistparagraph">
    <w:name w:val="gmail-m_7210356278748850223msolistparagraph"/>
    <w:basedOn w:val="Normal"/>
    <w:rsid w:val="000123EF"/>
    <w:pPr>
      <w:spacing w:before="100" w:beforeAutospacing="1" w:after="100" w:afterAutospacing="1"/>
    </w:pPr>
    <w:rPr>
      <w:sz w:val="20"/>
      <w:szCs w:val="20"/>
      <w:lang w:eastAsia="es-ES"/>
    </w:rPr>
  </w:style>
  <w:style w:type="paragraph" w:customStyle="1" w:styleId="xmsonormal0">
    <w:name w:val="xmsonormal"/>
    <w:basedOn w:val="Normal"/>
    <w:uiPriority w:val="99"/>
    <w:semiHidden/>
    <w:rsid w:val="000123EF"/>
    <w:rPr>
      <w:sz w:val="20"/>
      <w:szCs w:val="20"/>
      <w:lang w:eastAsia="es-ES"/>
    </w:rPr>
  </w:style>
  <w:style w:type="paragraph" w:customStyle="1" w:styleId="xa-tit2">
    <w:name w:val="xa-tit2"/>
    <w:basedOn w:val="Normal"/>
    <w:uiPriority w:val="99"/>
    <w:semiHidden/>
    <w:rsid w:val="000123EF"/>
    <w:rPr>
      <w:sz w:val="20"/>
      <w:szCs w:val="20"/>
      <w:lang w:eastAsia="es-ES"/>
    </w:rPr>
  </w:style>
  <w:style w:type="paragraph" w:customStyle="1" w:styleId="xa-azul">
    <w:name w:val="xa-azul"/>
    <w:basedOn w:val="Normal"/>
    <w:uiPriority w:val="99"/>
    <w:semiHidden/>
    <w:rsid w:val="000123EF"/>
    <w:rPr>
      <w:sz w:val="20"/>
      <w:szCs w:val="20"/>
      <w:lang w:eastAsia="es-ES"/>
    </w:rPr>
  </w:style>
  <w:style w:type="paragraph" w:styleId="Textonotaalfinal">
    <w:name w:val="endnote text"/>
    <w:basedOn w:val="Normal"/>
    <w:link w:val="TextonotaalfinalCar"/>
    <w:semiHidden/>
    <w:rsid w:val="000123EF"/>
    <w:rPr>
      <w:rFonts w:ascii="Times New Roman" w:hAnsi="Times New Roman"/>
      <w:sz w:val="20"/>
      <w:szCs w:val="20"/>
      <w:lang w:val="es-ES" w:eastAsia="es-ES"/>
    </w:rPr>
  </w:style>
  <w:style w:type="character" w:customStyle="1" w:styleId="EndnoteTextChar">
    <w:name w:val="Endnote Text Char"/>
    <w:basedOn w:val="Fuentedeprrafopredeter"/>
    <w:semiHidden/>
    <w:rsid w:val="00F723EA"/>
    <w:rPr>
      <w:rFonts w:eastAsiaTheme="minorHAnsi" w:cs="Calibri"/>
      <w:lang w:val="es-ES"/>
    </w:rPr>
  </w:style>
  <w:style w:type="character" w:styleId="Refdenotaalfinal">
    <w:name w:val="endnote reference"/>
    <w:basedOn w:val="Fuentedeprrafopredeter"/>
    <w:semiHidden/>
    <w:rsid w:val="000123EF"/>
    <w:rPr>
      <w:vertAlign w:val="superscript"/>
    </w:rPr>
  </w:style>
  <w:style w:type="character" w:styleId="Refdenotaalpie">
    <w:name w:val="footnote reference"/>
    <w:basedOn w:val="Fuentedeprrafopredeter"/>
    <w:uiPriority w:val="99"/>
    <w:unhideWhenUsed/>
    <w:rsid w:val="000123EF"/>
    <w:rPr>
      <w:vertAlign w:val="superscript"/>
    </w:rPr>
  </w:style>
  <w:style w:type="paragraph" w:customStyle="1" w:styleId="A-Norgra0">
    <w:name w:val="A-Norgra"/>
    <w:basedOn w:val="Normal"/>
    <w:qFormat/>
    <w:rsid w:val="000123EF"/>
    <w:rPr>
      <w:rFonts w:eastAsia="Times New Roman" w:cs="Times New Roman"/>
      <w:color w:val="000000"/>
      <w:lang w:val="es-ES"/>
    </w:rPr>
  </w:style>
  <w:style w:type="paragraph" w:customStyle="1" w:styleId="A-doctorado">
    <w:name w:val="A- doctorado"/>
    <w:basedOn w:val="Normal"/>
    <w:qFormat/>
    <w:rsid w:val="000123EF"/>
    <w:pPr>
      <w:ind w:firstLine="567"/>
    </w:pPr>
    <w:rPr>
      <w:rFonts w:eastAsia="Arial" w:cs="Arial"/>
      <w:color w:val="000000"/>
      <w:lang w:eastAsia="es-AR"/>
    </w:rPr>
  </w:style>
  <w:style w:type="character" w:customStyle="1" w:styleId="Mencinsinresolver1">
    <w:name w:val="Mención sin resolver1"/>
    <w:basedOn w:val="Fuentedeprrafopredeter"/>
    <w:uiPriority w:val="99"/>
    <w:rsid w:val="000123EF"/>
    <w:rPr>
      <w:color w:val="605E5C"/>
      <w:shd w:val="clear" w:color="auto" w:fill="E1DFDD"/>
    </w:rPr>
  </w:style>
  <w:style w:type="character" w:styleId="Refdecomentario">
    <w:name w:val="annotation reference"/>
    <w:basedOn w:val="Fuentedeprrafopredeter"/>
    <w:uiPriority w:val="99"/>
    <w:semiHidden/>
    <w:unhideWhenUsed/>
    <w:rsid w:val="0090400F"/>
    <w:rPr>
      <w:sz w:val="16"/>
      <w:szCs w:val="16"/>
    </w:rPr>
  </w:style>
  <w:style w:type="paragraph" w:styleId="Textocomentario">
    <w:name w:val="annotation text"/>
    <w:basedOn w:val="Normal"/>
    <w:link w:val="TextocomentarioCar"/>
    <w:uiPriority w:val="99"/>
    <w:unhideWhenUsed/>
    <w:rsid w:val="0090400F"/>
    <w:rPr>
      <w:sz w:val="20"/>
      <w:szCs w:val="20"/>
    </w:rPr>
  </w:style>
  <w:style w:type="character" w:customStyle="1" w:styleId="TextocomentarioCar">
    <w:name w:val="Texto comentario Car"/>
    <w:basedOn w:val="Fuentedeprrafopredeter"/>
    <w:link w:val="Textocomentario"/>
    <w:uiPriority w:val="99"/>
    <w:rsid w:val="0090400F"/>
    <w:rPr>
      <w:rFonts w:asciiTheme="minorHAnsi" w:eastAsiaTheme="minorHAnsi" w:hAnsiTheme="minorHAnsi" w:cstheme="minorBidi"/>
      <w:lang w:val="es-AR" w:eastAsia="en-US"/>
    </w:rPr>
  </w:style>
  <w:style w:type="numbering" w:customStyle="1" w:styleId="Estilo1">
    <w:name w:val="Estilo1"/>
    <w:uiPriority w:val="99"/>
    <w:rsid w:val="0090400F"/>
    <w:pPr>
      <w:numPr>
        <w:numId w:val="1"/>
      </w:numPr>
    </w:pPr>
  </w:style>
  <w:style w:type="numbering" w:customStyle="1" w:styleId="Estilo2">
    <w:name w:val="Estilo2"/>
    <w:uiPriority w:val="99"/>
    <w:rsid w:val="0090400F"/>
    <w:pPr>
      <w:numPr>
        <w:numId w:val="2"/>
      </w:numPr>
    </w:pPr>
  </w:style>
  <w:style w:type="paragraph" w:styleId="Asuntodelcomentario">
    <w:name w:val="annotation subject"/>
    <w:basedOn w:val="Textocomentario"/>
    <w:next w:val="Textocomentario"/>
    <w:link w:val="AsuntodelcomentarioCar"/>
    <w:semiHidden/>
    <w:unhideWhenUsed/>
    <w:rsid w:val="004D3602"/>
    <w:rPr>
      <w:b/>
      <w:bCs/>
    </w:rPr>
  </w:style>
  <w:style w:type="character" w:customStyle="1" w:styleId="AsuntodelcomentarioCar">
    <w:name w:val="Asunto del comentario Car"/>
    <w:basedOn w:val="TextocomentarioCar"/>
    <w:link w:val="Asuntodelcomentario"/>
    <w:semiHidden/>
    <w:rsid w:val="004D3602"/>
    <w:rPr>
      <w:rFonts w:asciiTheme="minorHAnsi" w:eastAsiaTheme="minorHAnsi" w:hAnsiTheme="minorHAnsi" w:cstheme="minorBidi"/>
      <w:b/>
      <w:bCs/>
      <w:lang w:val="es-AR" w:eastAsia="en-US"/>
    </w:rPr>
  </w:style>
  <w:style w:type="paragraph" w:styleId="Revisin">
    <w:name w:val="Revision"/>
    <w:hidden/>
    <w:uiPriority w:val="99"/>
    <w:semiHidden/>
    <w:rsid w:val="004D3602"/>
    <w:rPr>
      <w:rFonts w:asciiTheme="minorHAnsi" w:eastAsiaTheme="minorHAnsi" w:hAnsiTheme="minorHAnsi" w:cstheme="minorBidi"/>
      <w:sz w:val="22"/>
      <w:szCs w:val="22"/>
      <w:lang w:val="es-AR" w:eastAsia="en-US"/>
    </w:rPr>
  </w:style>
  <w:style w:type="paragraph" w:customStyle="1" w:styleId="Default">
    <w:name w:val="Default"/>
    <w:rsid w:val="006D0FBD"/>
    <w:pPr>
      <w:autoSpaceDE w:val="0"/>
      <w:autoSpaceDN w:val="0"/>
      <w:adjustRightInd w:val="0"/>
    </w:pPr>
    <w:rPr>
      <w:rFonts w:ascii="Arial" w:hAnsi="Arial" w:cs="Arial"/>
      <w:color w:val="000000"/>
      <w:sz w:val="24"/>
      <w:szCs w:val="24"/>
      <w:lang w:val="en-US"/>
    </w:rPr>
  </w:style>
  <w:style w:type="character" w:customStyle="1" w:styleId="BalloonTextChar1">
    <w:name w:val="Balloon Text Char1"/>
    <w:basedOn w:val="Fuentedeprrafopredeter"/>
    <w:rsid w:val="00F41DBD"/>
    <w:rPr>
      <w:rFonts w:ascii="Lucida Grande" w:eastAsiaTheme="minorHAnsi" w:hAnsi="Lucida Grande" w:cs="Lucida Grande"/>
      <w:sz w:val="18"/>
      <w:szCs w:val="18"/>
      <w:lang w:val="es-AR" w:eastAsia="es-ES_tradnl"/>
    </w:rPr>
  </w:style>
  <w:style w:type="character" w:customStyle="1" w:styleId="EndnoteTextChar1">
    <w:name w:val="Endnote Text Char1"/>
    <w:basedOn w:val="Fuentedeprrafopredeter"/>
    <w:semiHidden/>
    <w:rsid w:val="00F41DBD"/>
    <w:rPr>
      <w:rFonts w:eastAsiaTheme="minorHAnsi" w:cs="Calibri"/>
      <w:lang w:val="es-ES"/>
    </w:rPr>
  </w:style>
  <w:style w:type="character" w:customStyle="1" w:styleId="BalloonTextChar2">
    <w:name w:val="Balloon Text Char2"/>
    <w:basedOn w:val="Fuentedeprrafopredeter"/>
    <w:rsid w:val="00C731E3"/>
    <w:rPr>
      <w:rFonts w:ascii="Lucida Grande" w:eastAsiaTheme="minorHAnsi" w:hAnsi="Lucida Grande" w:cs="Lucida Grande"/>
      <w:sz w:val="18"/>
      <w:szCs w:val="18"/>
      <w:lang w:val="es-AR" w:eastAsia="es-ES_tradnl"/>
    </w:rPr>
  </w:style>
  <w:style w:type="character" w:customStyle="1" w:styleId="EndnoteTextChar2">
    <w:name w:val="Endnote Text Char2"/>
    <w:basedOn w:val="Fuentedeprrafopredeter"/>
    <w:semiHidden/>
    <w:rsid w:val="00C731E3"/>
    <w:rPr>
      <w:rFonts w:eastAsiaTheme="minorHAnsi" w:cs="Calibri"/>
      <w:lang w:val="es-ES"/>
    </w:rPr>
  </w:style>
  <w:style w:type="character" w:customStyle="1" w:styleId="BalloonTextChar3">
    <w:name w:val="Balloon Text Char3"/>
    <w:basedOn w:val="Fuentedeprrafopredeter"/>
    <w:rsid w:val="00E72C15"/>
    <w:rPr>
      <w:rFonts w:ascii="Lucida Grande" w:eastAsiaTheme="minorHAnsi" w:hAnsi="Lucida Grande" w:cs="Lucida Grande"/>
      <w:sz w:val="18"/>
      <w:szCs w:val="18"/>
      <w:lang w:val="es-AR" w:eastAsia="es-ES_tradnl"/>
    </w:rPr>
  </w:style>
  <w:style w:type="character" w:customStyle="1" w:styleId="EndnoteTextChar3">
    <w:name w:val="Endnote Text Char3"/>
    <w:basedOn w:val="Fuentedeprrafopredeter"/>
    <w:semiHidden/>
    <w:rsid w:val="00E72C15"/>
    <w:rPr>
      <w:rFonts w:eastAsiaTheme="minorHAnsi" w:cs="Calibri"/>
      <w:lang w:val="es-ES"/>
    </w:rPr>
  </w:style>
  <w:style w:type="paragraph" w:styleId="Textoindependiente">
    <w:name w:val="Body Text"/>
    <w:basedOn w:val="Normal"/>
    <w:link w:val="TextoindependienteCar"/>
    <w:uiPriority w:val="1"/>
    <w:qFormat/>
    <w:rsid w:val="00EE49CA"/>
    <w:pPr>
      <w:widowControl w:val="0"/>
      <w:autoSpaceDE w:val="0"/>
      <w:autoSpaceDN w:val="0"/>
      <w:spacing w:before="90"/>
      <w:ind w:left="112"/>
    </w:pPr>
    <w:rPr>
      <w:rFonts w:ascii="Verdana" w:eastAsia="Verdana" w:hAnsi="Verdana" w:cs="Verdana"/>
      <w:sz w:val="17"/>
      <w:szCs w:val="17"/>
    </w:rPr>
  </w:style>
  <w:style w:type="character" w:customStyle="1" w:styleId="TextoindependienteCar">
    <w:name w:val="Texto independiente Car"/>
    <w:basedOn w:val="Fuentedeprrafopredeter"/>
    <w:link w:val="Textoindependiente"/>
    <w:uiPriority w:val="1"/>
    <w:rsid w:val="00EE49CA"/>
    <w:rPr>
      <w:rFonts w:ascii="Verdana" w:eastAsia="Verdana" w:hAnsi="Verdana" w:cs="Verdana"/>
      <w:sz w:val="17"/>
      <w:szCs w:val="17"/>
      <w:lang w:val="en-US" w:eastAsia="en-US"/>
    </w:rPr>
  </w:style>
  <w:style w:type="character" w:customStyle="1" w:styleId="BalloonTextChar4">
    <w:name w:val="Balloon Text Char4"/>
    <w:basedOn w:val="Fuentedeprrafopredeter"/>
    <w:rsid w:val="00017532"/>
    <w:rPr>
      <w:rFonts w:ascii="Lucida Grande" w:eastAsiaTheme="minorHAnsi" w:hAnsi="Lucida Grande" w:cs="Lucida Grande"/>
      <w:sz w:val="18"/>
      <w:szCs w:val="18"/>
      <w:lang w:val="es-AR" w:eastAsia="es-ES_tradnl"/>
    </w:rPr>
  </w:style>
  <w:style w:type="character" w:customStyle="1" w:styleId="EndnoteTextChar4">
    <w:name w:val="Endnote Text Char4"/>
    <w:basedOn w:val="Fuentedeprrafopredeter"/>
    <w:semiHidden/>
    <w:rsid w:val="00017532"/>
    <w:rPr>
      <w:rFonts w:eastAsiaTheme="minorHAnsi" w:cs="Calibri"/>
      <w:lang w:val="es-ES"/>
    </w:rPr>
  </w:style>
  <w:style w:type="character" w:customStyle="1" w:styleId="Ttulo2Car">
    <w:name w:val="Título 2 Car"/>
    <w:aliases w:val="NUA - Título 2 Car"/>
    <w:basedOn w:val="Fuentedeprrafopredeter"/>
    <w:link w:val="Ttulo2"/>
    <w:rsid w:val="0065736B"/>
    <w:rPr>
      <w:rFonts w:ascii="Arial" w:eastAsiaTheme="minorHAnsi" w:hAnsi="Arial" w:cstheme="minorBidi"/>
      <w:b/>
      <w:kern w:val="2"/>
      <w:lang w:val="es-ES" w:eastAsia="en-US"/>
    </w:rPr>
  </w:style>
  <w:style w:type="character" w:customStyle="1" w:styleId="BalloonTextChar5">
    <w:name w:val="Balloon Text Char5"/>
    <w:basedOn w:val="Fuentedeprrafopredeter"/>
    <w:rsid w:val="00A53D6A"/>
    <w:rPr>
      <w:rFonts w:ascii="Lucida Grande" w:eastAsiaTheme="minorHAnsi" w:hAnsi="Lucida Grande" w:cs="Lucida Grande"/>
      <w:sz w:val="18"/>
      <w:szCs w:val="18"/>
      <w:lang w:val="es-AR" w:eastAsia="es-ES_tradnl"/>
    </w:rPr>
  </w:style>
  <w:style w:type="character" w:customStyle="1" w:styleId="EndnoteTextChar5">
    <w:name w:val="Endnote Text Char5"/>
    <w:basedOn w:val="Fuentedeprrafopredeter"/>
    <w:semiHidden/>
    <w:rsid w:val="00A53D6A"/>
    <w:rPr>
      <w:rFonts w:eastAsiaTheme="minorHAnsi" w:cs="Calibri"/>
      <w:lang w:val="es-ES"/>
    </w:rPr>
  </w:style>
  <w:style w:type="character" w:customStyle="1" w:styleId="BalloonTextChar6">
    <w:name w:val="Balloon Text Char6"/>
    <w:basedOn w:val="Fuentedeprrafopredeter"/>
    <w:rsid w:val="000735B7"/>
    <w:rPr>
      <w:rFonts w:ascii="Lucida Grande" w:eastAsiaTheme="minorHAnsi" w:hAnsi="Lucida Grande" w:cs="Lucida Grande"/>
      <w:sz w:val="18"/>
      <w:szCs w:val="18"/>
      <w:lang w:val="es-AR" w:eastAsia="es-ES_tradnl"/>
    </w:rPr>
  </w:style>
  <w:style w:type="character" w:customStyle="1" w:styleId="EndnoteTextChar6">
    <w:name w:val="Endnote Text Char6"/>
    <w:basedOn w:val="Fuentedeprrafopredeter"/>
    <w:semiHidden/>
    <w:rsid w:val="000735B7"/>
    <w:rPr>
      <w:rFonts w:eastAsiaTheme="minorHAnsi" w:cs="Calibri"/>
      <w:lang w:val="es-ES"/>
    </w:rPr>
  </w:style>
  <w:style w:type="character" w:customStyle="1" w:styleId="BalloonTextChar7">
    <w:name w:val="Balloon Text Char7"/>
    <w:basedOn w:val="Fuentedeprrafopredeter"/>
    <w:rsid w:val="00657485"/>
    <w:rPr>
      <w:rFonts w:ascii="Lucida Grande" w:eastAsiaTheme="minorHAnsi" w:hAnsi="Lucida Grande" w:cs="Lucida Grande"/>
      <w:sz w:val="18"/>
      <w:szCs w:val="18"/>
      <w:lang w:val="es-AR" w:eastAsia="es-ES_tradnl"/>
    </w:rPr>
  </w:style>
  <w:style w:type="character" w:customStyle="1" w:styleId="EndnoteTextChar7">
    <w:name w:val="Endnote Text Char7"/>
    <w:basedOn w:val="Fuentedeprrafopredeter"/>
    <w:semiHidden/>
    <w:rsid w:val="00657485"/>
    <w:rPr>
      <w:rFonts w:eastAsiaTheme="minorHAnsi" w:cs="Calibri"/>
      <w:lang w:val="es-ES"/>
    </w:rPr>
  </w:style>
  <w:style w:type="paragraph" w:customStyle="1" w:styleId="dp1">
    <w:name w:val="dp1"/>
    <w:basedOn w:val="Normal"/>
    <w:rsid w:val="000528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052865"/>
  </w:style>
  <w:style w:type="character" w:customStyle="1" w:styleId="dp8">
    <w:name w:val="dp8"/>
    <w:basedOn w:val="Fuentedeprrafopredeter"/>
    <w:rsid w:val="00052865"/>
  </w:style>
  <w:style w:type="character" w:customStyle="1" w:styleId="BalloonTextChar8">
    <w:name w:val="Balloon Text Char8"/>
    <w:basedOn w:val="Fuentedeprrafopredeter"/>
    <w:rsid w:val="00C165A2"/>
    <w:rPr>
      <w:rFonts w:ascii="Lucida Grande" w:eastAsiaTheme="minorHAnsi" w:hAnsi="Lucida Grande" w:cs="Lucida Grande"/>
      <w:sz w:val="18"/>
      <w:szCs w:val="18"/>
      <w:lang w:val="es-AR" w:eastAsia="es-ES_tradnl"/>
    </w:rPr>
  </w:style>
  <w:style w:type="character" w:customStyle="1" w:styleId="EndnoteTextChar8">
    <w:name w:val="Endnote Text Char8"/>
    <w:basedOn w:val="Fuentedeprrafopredeter"/>
    <w:semiHidden/>
    <w:rsid w:val="00C165A2"/>
    <w:rPr>
      <w:rFonts w:eastAsiaTheme="minorHAnsi" w:cs="Calibri"/>
      <w:lang w:val="es-ES"/>
    </w:rPr>
  </w:style>
  <w:style w:type="paragraph" w:customStyle="1" w:styleId="H2">
    <w:name w:val="H2"/>
    <w:basedOn w:val="Normal"/>
    <w:next w:val="Normal"/>
    <w:uiPriority w:val="99"/>
    <w:rsid w:val="00527D41"/>
    <w:pPr>
      <w:keepNext/>
      <w:spacing w:before="60" w:after="60"/>
      <w:outlineLvl w:val="2"/>
    </w:pPr>
    <w:rPr>
      <w:rFonts w:ascii="Times New Roman" w:eastAsia="Times New Roman" w:hAnsi="Times New Roman" w:cs="Times New Roman"/>
      <w:b/>
      <w:sz w:val="36"/>
      <w:szCs w:val="20"/>
      <w:lang w:eastAsia="es-ES"/>
    </w:rPr>
  </w:style>
  <w:style w:type="character" w:customStyle="1" w:styleId="BalloonTextChar9">
    <w:name w:val="Balloon Text Char9"/>
    <w:basedOn w:val="Fuentedeprrafopredeter"/>
    <w:rsid w:val="003F7E57"/>
    <w:rPr>
      <w:rFonts w:ascii="Lucida Grande" w:eastAsiaTheme="minorHAnsi" w:hAnsi="Lucida Grande" w:cs="Lucida Grande"/>
      <w:sz w:val="18"/>
      <w:szCs w:val="18"/>
      <w:lang w:val="es-AR" w:eastAsia="es-ES_tradnl"/>
    </w:rPr>
  </w:style>
  <w:style w:type="character" w:customStyle="1" w:styleId="EndnoteTextChar9">
    <w:name w:val="Endnote Text Char9"/>
    <w:basedOn w:val="Fuentedeprrafopredeter"/>
    <w:semiHidden/>
    <w:rsid w:val="003F7E57"/>
    <w:rPr>
      <w:rFonts w:eastAsiaTheme="minorHAnsi" w:cs="Calibri"/>
      <w:lang w:val="es-ES"/>
    </w:rPr>
  </w:style>
  <w:style w:type="character" w:customStyle="1" w:styleId="TextodegloboCar">
    <w:name w:val="Texto de globo Car"/>
    <w:basedOn w:val="Fuentedeprrafopredeter"/>
    <w:link w:val="Textodeglobo"/>
    <w:rsid w:val="000123EF"/>
    <w:rPr>
      <w:rFonts w:ascii="Lucida Grande" w:eastAsiaTheme="minorHAnsi" w:hAnsi="Lucida Grande" w:cs="Lucida Grande"/>
      <w:sz w:val="18"/>
      <w:szCs w:val="18"/>
      <w:lang w:val="es-AR" w:eastAsia="es-ES_tradnl"/>
    </w:rPr>
  </w:style>
  <w:style w:type="character" w:customStyle="1" w:styleId="TextonotaalfinalCar">
    <w:name w:val="Texto nota al final Car"/>
    <w:basedOn w:val="Fuentedeprrafopredeter"/>
    <w:link w:val="Textonotaalfinal"/>
    <w:semiHidden/>
    <w:rsid w:val="000123EF"/>
    <w:rPr>
      <w:rFonts w:eastAsiaTheme="minorHAnsi" w:cs="Calibri"/>
      <w:lang w:val="es-ES"/>
    </w:rPr>
  </w:style>
  <w:style w:type="character" w:customStyle="1" w:styleId="TextonotapieCar">
    <w:name w:val="Texto nota pie Car"/>
    <w:link w:val="Textonotapie"/>
    <w:uiPriority w:val="99"/>
    <w:rsid w:val="0024313A"/>
    <w:rPr>
      <w:rFonts w:asciiTheme="minorHAnsi" w:eastAsiaTheme="minorHAnsi" w:hAnsiTheme="minorHAnsi" w:cstheme="minorBidi"/>
      <w:sz w:val="16"/>
      <w:szCs w:val="22"/>
      <w:lang w:val="es-AR" w:eastAsia="en-US"/>
    </w:rPr>
  </w:style>
  <w:style w:type="paragraph" w:styleId="TtulodeTDC">
    <w:name w:val="TOC Heading"/>
    <w:basedOn w:val="Ttulo1"/>
    <w:next w:val="Normal"/>
    <w:uiPriority w:val="39"/>
    <w:unhideWhenUsed/>
    <w:qFormat/>
    <w:rsid w:val="00707DD9"/>
    <w:pPr>
      <w:keepLines/>
      <w:outlineLvl w:val="9"/>
    </w:pPr>
    <w:rPr>
      <w:rFonts w:asciiTheme="majorHAnsi" w:eastAsiaTheme="majorEastAsia" w:hAnsiTheme="majorHAnsi" w:cstheme="majorBidi"/>
      <w:b w:val="0"/>
      <w:caps w:val="0"/>
      <w:color w:val="365F91" w:themeColor="accent1" w:themeShade="BF"/>
      <w:kern w:val="0"/>
      <w:sz w:val="32"/>
      <w:szCs w:val="32"/>
      <w:lang w:eastAsia="es-AR"/>
    </w:rPr>
  </w:style>
  <w:style w:type="character" w:customStyle="1" w:styleId="PiedepginaCar">
    <w:name w:val="Pie de página Car"/>
    <w:basedOn w:val="Fuentedeprrafopredeter"/>
    <w:link w:val="Piedepgina"/>
    <w:uiPriority w:val="99"/>
    <w:rsid w:val="00F84B03"/>
    <w:rPr>
      <w:rFonts w:asciiTheme="minorHAnsi" w:eastAsiaTheme="minorHAnsi" w:hAnsiTheme="minorHAnsi" w:cstheme="minorBidi"/>
      <w:sz w:val="16"/>
      <w:szCs w:val="22"/>
      <w:lang w:val="es-AR" w:eastAsia="en-US"/>
    </w:rPr>
  </w:style>
  <w:style w:type="character" w:styleId="Textoennegrita">
    <w:name w:val="Strong"/>
    <w:basedOn w:val="Fuentedeprrafopredeter"/>
    <w:qFormat/>
    <w:rsid w:val="00AE2FE7"/>
    <w:rPr>
      <w:b/>
      <w:bCs/>
    </w:rPr>
  </w:style>
  <w:style w:type="numbering" w:customStyle="1" w:styleId="Listaactual1">
    <w:name w:val="Lista actual1"/>
    <w:uiPriority w:val="99"/>
    <w:rsid w:val="00615B9C"/>
    <w:pPr>
      <w:numPr>
        <w:numId w:val="55"/>
      </w:numPr>
    </w:pPr>
  </w:style>
  <w:style w:type="numbering" w:customStyle="1" w:styleId="Listaactual2">
    <w:name w:val="Lista actual2"/>
    <w:uiPriority w:val="99"/>
    <w:rsid w:val="001D116F"/>
    <w:pPr>
      <w:numPr>
        <w:numId w:val="57"/>
      </w:numPr>
    </w:pPr>
  </w:style>
  <w:style w:type="numbering" w:customStyle="1" w:styleId="Listaactual3">
    <w:name w:val="Lista actual3"/>
    <w:uiPriority w:val="99"/>
    <w:rsid w:val="001D116F"/>
    <w:pPr>
      <w:numPr>
        <w:numId w:val="58"/>
      </w:numPr>
    </w:pPr>
  </w:style>
  <w:style w:type="numbering" w:customStyle="1" w:styleId="Listaactual4">
    <w:name w:val="Lista actual4"/>
    <w:uiPriority w:val="99"/>
    <w:rsid w:val="001D116F"/>
    <w:pPr>
      <w:numPr>
        <w:numId w:val="59"/>
      </w:numPr>
    </w:pPr>
  </w:style>
  <w:style w:type="numbering" w:customStyle="1" w:styleId="Listaactual5">
    <w:name w:val="Lista actual5"/>
    <w:uiPriority w:val="99"/>
    <w:rsid w:val="00444AE8"/>
    <w:pPr>
      <w:numPr>
        <w:numId w:val="60"/>
      </w:numPr>
    </w:pPr>
  </w:style>
  <w:style w:type="numbering" w:customStyle="1" w:styleId="Listaactual6">
    <w:name w:val="Lista actual6"/>
    <w:uiPriority w:val="99"/>
    <w:rsid w:val="00671153"/>
    <w:pPr>
      <w:numPr>
        <w:numId w:val="61"/>
      </w:numPr>
    </w:pPr>
  </w:style>
  <w:style w:type="numbering" w:customStyle="1" w:styleId="Listaactual7">
    <w:name w:val="Lista actual7"/>
    <w:uiPriority w:val="99"/>
    <w:rsid w:val="00671153"/>
    <w:pPr>
      <w:numPr>
        <w:numId w:val="62"/>
      </w:numPr>
    </w:pPr>
  </w:style>
  <w:style w:type="numbering" w:customStyle="1" w:styleId="Listaactual8">
    <w:name w:val="Lista actual8"/>
    <w:uiPriority w:val="99"/>
    <w:rsid w:val="008D5256"/>
    <w:pPr>
      <w:numPr>
        <w:numId w:val="63"/>
      </w:numPr>
    </w:pPr>
  </w:style>
  <w:style w:type="numbering" w:customStyle="1" w:styleId="Listaactual9">
    <w:name w:val="Lista actual9"/>
    <w:uiPriority w:val="99"/>
    <w:rsid w:val="008D5256"/>
    <w:pPr>
      <w:numPr>
        <w:numId w:val="64"/>
      </w:numPr>
    </w:pPr>
  </w:style>
  <w:style w:type="numbering" w:customStyle="1" w:styleId="Listaactual10">
    <w:name w:val="Lista actual10"/>
    <w:uiPriority w:val="99"/>
    <w:rsid w:val="00CB3FE7"/>
    <w:pPr>
      <w:numPr>
        <w:numId w:val="65"/>
      </w:numPr>
    </w:pPr>
  </w:style>
  <w:style w:type="character" w:customStyle="1" w:styleId="EncabezadoCar">
    <w:name w:val="Encabezado Car"/>
    <w:link w:val="Encabezado"/>
    <w:uiPriority w:val="99"/>
    <w:locked/>
    <w:rsid w:val="00A529B2"/>
    <w:rPr>
      <w:rFonts w:eastAsiaTheme="minorHAnsi" w:cstheme="minorBidi"/>
      <w:sz w:val="22"/>
      <w:szCs w:val="22"/>
      <w:lang w:val="es-AR" w:eastAsia="en-US"/>
    </w:rPr>
  </w:style>
  <w:style w:type="paragraph" w:customStyle="1" w:styleId="Tt12N">
    <w:name w:val="Tít 12 N"/>
    <w:basedOn w:val="Normal"/>
    <w:next w:val="Normal"/>
    <w:uiPriority w:val="99"/>
    <w:rsid w:val="00372D06"/>
    <w:pPr>
      <w:keepNext/>
      <w:spacing w:before="200" w:after="120"/>
      <w:jc w:val="both"/>
    </w:pPr>
    <w:rPr>
      <w:rFonts w:ascii="Arial" w:eastAsia="Times New Roman" w:hAnsi="Arial" w:cs="Times New Roman"/>
      <w:b/>
      <w:sz w:val="20"/>
      <w:szCs w:val="20"/>
      <w:lang w:val="es-ES_tradnl" w:eastAsia="es-ES"/>
    </w:rPr>
  </w:style>
  <w:style w:type="numbering" w:customStyle="1" w:styleId="Listaactual11">
    <w:name w:val="Lista actual11"/>
    <w:uiPriority w:val="99"/>
    <w:rsid w:val="00455BA2"/>
    <w:pPr>
      <w:numPr>
        <w:numId w:val="305"/>
      </w:numPr>
    </w:pPr>
  </w:style>
  <w:style w:type="numbering" w:customStyle="1" w:styleId="Listaactual12">
    <w:name w:val="Lista actual12"/>
    <w:uiPriority w:val="99"/>
    <w:rsid w:val="00455BA2"/>
    <w:pPr>
      <w:numPr>
        <w:numId w:val="306"/>
      </w:numPr>
    </w:pPr>
  </w:style>
  <w:style w:type="numbering" w:customStyle="1" w:styleId="Listaactual13">
    <w:name w:val="Lista actual13"/>
    <w:uiPriority w:val="99"/>
    <w:rsid w:val="00455BA2"/>
    <w:pPr>
      <w:numPr>
        <w:numId w:val="307"/>
      </w:numPr>
    </w:pPr>
  </w:style>
  <w:style w:type="numbering" w:customStyle="1" w:styleId="Listaactual14">
    <w:name w:val="Lista actual14"/>
    <w:uiPriority w:val="99"/>
    <w:rsid w:val="00455BA2"/>
    <w:pPr>
      <w:numPr>
        <w:numId w:val="309"/>
      </w:numPr>
    </w:pPr>
  </w:style>
  <w:style w:type="character" w:customStyle="1" w:styleId="Mencinsinresolver2">
    <w:name w:val="Mención sin resolver2"/>
    <w:basedOn w:val="Fuentedeprrafopredeter"/>
    <w:uiPriority w:val="99"/>
    <w:semiHidden/>
    <w:unhideWhenUsed/>
    <w:rsid w:val="00B81469"/>
    <w:rPr>
      <w:color w:val="605E5C"/>
      <w:shd w:val="clear" w:color="auto" w:fill="E1DFDD"/>
    </w:rPr>
  </w:style>
  <w:style w:type="numbering" w:customStyle="1" w:styleId="Listaactual15">
    <w:name w:val="Lista actual15"/>
    <w:uiPriority w:val="99"/>
    <w:rsid w:val="00D711FA"/>
    <w:pPr>
      <w:numPr>
        <w:numId w:val="315"/>
      </w:numPr>
    </w:pPr>
  </w:style>
  <w:style w:type="numbering" w:customStyle="1" w:styleId="Listaactual16">
    <w:name w:val="Lista actual16"/>
    <w:uiPriority w:val="99"/>
    <w:rsid w:val="002A009A"/>
    <w:pPr>
      <w:numPr>
        <w:numId w:val="333"/>
      </w:numPr>
    </w:pPr>
  </w:style>
  <w:style w:type="character" w:customStyle="1" w:styleId="Ttulo1Car">
    <w:name w:val="Título 1 Car"/>
    <w:aliases w:val="NUA Título 1 Car,Título 1 NUA Car"/>
    <w:basedOn w:val="Fuentedeprrafopredeter"/>
    <w:link w:val="Ttulo1"/>
    <w:rsid w:val="00A17546"/>
    <w:rPr>
      <w:rFonts w:ascii="Arial" w:eastAsiaTheme="minorHAnsi" w:hAnsi="Arial" w:cstheme="minorBidi"/>
      <w:b/>
      <w:caps/>
      <w:kern w:val="28"/>
      <w:sz w:val="22"/>
      <w:szCs w:val="22"/>
      <w:lang w:val="es-ES" w:eastAsia="en-US"/>
    </w:rPr>
  </w:style>
  <w:style w:type="character" w:customStyle="1" w:styleId="Ttulo3Car">
    <w:name w:val="Título 3 Car"/>
    <w:aliases w:val="NUA Título 3 Car"/>
    <w:basedOn w:val="Fuentedeprrafopredeter"/>
    <w:link w:val="Ttulo3"/>
    <w:rsid w:val="0040486B"/>
    <w:rPr>
      <w:rFonts w:ascii="Arial" w:eastAsiaTheme="minorHAnsi" w:hAnsi="Arial" w:cs="Arial"/>
      <w:b/>
      <w:bCs/>
      <w:lang w:val="es-ES" w:eastAsia="en-US"/>
    </w:rPr>
  </w:style>
  <w:style w:type="character" w:customStyle="1" w:styleId="Ttulo4Car">
    <w:name w:val="Título 4 Car"/>
    <w:aliases w:val="NUA Título 4 Car"/>
    <w:basedOn w:val="Fuentedeprrafopredeter"/>
    <w:link w:val="Ttulo4"/>
    <w:rsid w:val="00DC4B56"/>
    <w:rPr>
      <w:rFonts w:ascii="Arial" w:eastAsiaTheme="minorHAnsi" w:hAnsi="Arial" w:cs="Arial"/>
      <w:b/>
      <w:bCs/>
      <w:lang w:val="es-ES" w:eastAsia="en-US"/>
    </w:rPr>
  </w:style>
  <w:style w:type="character" w:customStyle="1" w:styleId="Ttulo1Car1">
    <w:name w:val="Título 1 Car1"/>
    <w:aliases w:val="NUA Título 1 Car1,Título 1 NUA Car1"/>
    <w:basedOn w:val="Fuentedeprrafopredeter"/>
    <w:rsid w:val="00421257"/>
    <w:rPr>
      <w:rFonts w:asciiTheme="majorHAnsi" w:eastAsiaTheme="majorEastAsia" w:hAnsiTheme="majorHAnsi" w:cstheme="majorBidi"/>
      <w:color w:val="365F91" w:themeColor="accent1" w:themeShade="BF"/>
      <w:sz w:val="32"/>
      <w:szCs w:val="32"/>
    </w:rPr>
  </w:style>
  <w:style w:type="character" w:customStyle="1" w:styleId="Ttulo2Car1">
    <w:name w:val="Título 2 Car1"/>
    <w:aliases w:val="NUA - Título 2 Car1"/>
    <w:basedOn w:val="Fuentedeprrafopredeter"/>
    <w:semiHidden/>
    <w:rsid w:val="00421257"/>
    <w:rPr>
      <w:rFonts w:asciiTheme="majorHAnsi" w:eastAsiaTheme="majorEastAsia" w:hAnsiTheme="majorHAnsi" w:cstheme="majorBidi"/>
      <w:color w:val="365F91" w:themeColor="accent1" w:themeShade="BF"/>
      <w:sz w:val="26"/>
      <w:szCs w:val="26"/>
    </w:rPr>
  </w:style>
  <w:style w:type="character" w:customStyle="1" w:styleId="Ttulo3Car1">
    <w:name w:val="Título 3 Car1"/>
    <w:aliases w:val="NUA Título 3 Car1"/>
    <w:basedOn w:val="Fuentedeprrafopredeter"/>
    <w:semiHidden/>
    <w:rsid w:val="00421257"/>
    <w:rPr>
      <w:rFonts w:asciiTheme="majorHAnsi" w:eastAsiaTheme="majorEastAsia" w:hAnsiTheme="majorHAnsi" w:cstheme="majorBidi"/>
      <w:color w:val="243F60" w:themeColor="accent1" w:themeShade="7F"/>
      <w:sz w:val="24"/>
      <w:szCs w:val="24"/>
    </w:rPr>
  </w:style>
  <w:style w:type="character" w:customStyle="1" w:styleId="Ttulo4Car1">
    <w:name w:val="Título 4 Car1"/>
    <w:aliases w:val="NUA Título 4 Car1"/>
    <w:basedOn w:val="Fuentedeprrafopredeter"/>
    <w:semiHidden/>
    <w:rsid w:val="00421257"/>
    <w:rPr>
      <w:rFonts w:asciiTheme="majorHAnsi" w:eastAsiaTheme="majorEastAsia" w:hAnsiTheme="majorHAnsi" w:cstheme="majorBidi"/>
      <w:i/>
      <w:iCs/>
      <w:color w:val="365F91" w:themeColor="accent1" w:themeShade="BF"/>
      <w:sz w:val="19"/>
      <w:szCs w:val="22"/>
    </w:rPr>
  </w:style>
  <w:style w:type="paragraph" w:customStyle="1" w:styleId="msonormal0">
    <w:name w:val="msonormal"/>
    <w:basedOn w:val="Normal"/>
    <w:rsid w:val="00421257"/>
    <w:pPr>
      <w:spacing w:before="100" w:beforeAutospacing="1" w:after="100" w:afterAutospacing="1"/>
    </w:pPr>
    <w:rPr>
      <w:rFonts w:ascii="Times New Roman" w:eastAsia="Times New Roman" w:hAnsi="Times New Roman" w:cs="Times New Roman"/>
      <w:lang w:eastAsia="es-AR"/>
    </w:rPr>
  </w:style>
  <w:style w:type="table" w:customStyle="1" w:styleId="TableGrid">
    <w:name w:val="TableGrid"/>
    <w:rsid w:val="00421257"/>
    <w:pPr>
      <w:spacing w:after="0" w:line="240" w:lineRule="auto"/>
      <w:ind w:left="0" w:firstLine="0"/>
      <w:jc w:val="left"/>
    </w:pPr>
    <w:rPr>
      <w:rFonts w:asciiTheme="minorHAnsi" w:eastAsiaTheme="minorEastAsia" w:hAnsiTheme="minorHAnsi" w:cstheme="minorBidi"/>
      <w:sz w:val="22"/>
      <w:szCs w:val="22"/>
      <w:lang w:val="es-AR" w:eastAsia="es-AR"/>
    </w:rPr>
    <w:tblPr>
      <w:tblCellMar>
        <w:top w:w="0" w:type="dxa"/>
        <w:left w:w="0" w:type="dxa"/>
        <w:bottom w:w="0" w:type="dxa"/>
        <w:right w:w="0" w:type="dxa"/>
      </w:tblCellMar>
    </w:tblPr>
  </w:style>
  <w:style w:type="paragraph" w:customStyle="1" w:styleId="NUA-Nivel1">
    <w:name w:val="NUA - Nivel 1"/>
    <w:basedOn w:val="Prrafodelista"/>
    <w:qFormat/>
    <w:rsid w:val="003529E3"/>
    <w:pPr>
      <w:numPr>
        <w:numId w:val="551"/>
      </w:numPr>
      <w:contextualSpacing w:val="0"/>
      <w:jc w:val="both"/>
    </w:pPr>
    <w:rPr>
      <w:rFonts w:ascii="Arial" w:hAnsi="Arial" w:cs="Arial"/>
      <w:sz w:val="20"/>
      <w:szCs w:val="20"/>
    </w:rPr>
  </w:style>
  <w:style w:type="paragraph" w:customStyle="1" w:styleId="NUA-Definiciones">
    <w:name w:val="NUA - Definiciones"/>
    <w:basedOn w:val="Normal"/>
    <w:link w:val="NUA-DefinicionesCar"/>
    <w:autoRedefine/>
    <w:qFormat/>
    <w:rsid w:val="009050B5"/>
    <w:pPr>
      <w:numPr>
        <w:numId w:val="728"/>
      </w:numPr>
      <w:spacing w:after="120"/>
      <w:ind w:left="1560" w:hanging="567"/>
      <w:jc w:val="both"/>
    </w:pPr>
    <w:rPr>
      <w:rFonts w:ascii="Arial" w:hAnsi="Arial" w:cs="Arial"/>
    </w:rPr>
  </w:style>
  <w:style w:type="paragraph" w:customStyle="1" w:styleId="NUAVieta1">
    <w:name w:val="NUA Viñeta 1"/>
    <w:basedOn w:val="Normal"/>
    <w:autoRedefine/>
    <w:qFormat/>
    <w:rsid w:val="00D737B5"/>
    <w:pPr>
      <w:numPr>
        <w:ilvl w:val="1"/>
        <w:numId w:val="29"/>
      </w:numPr>
      <w:spacing w:line="264" w:lineRule="auto"/>
      <w:ind w:left="1559"/>
      <w:jc w:val="both"/>
    </w:pPr>
    <w:rPr>
      <w:rFonts w:ascii="Arial" w:hAnsi="Arial" w:cs="Arial"/>
      <w:sz w:val="20"/>
      <w:szCs w:val="20"/>
    </w:rPr>
  </w:style>
  <w:style w:type="character" w:customStyle="1" w:styleId="NUA-DefinicionesCar">
    <w:name w:val="NUA - Definiciones Car"/>
    <w:basedOn w:val="Fuentedeprrafopredeter"/>
    <w:link w:val="NUA-Definiciones"/>
    <w:rsid w:val="009050B5"/>
    <w:rPr>
      <w:rFonts w:ascii="Arial" w:eastAsiaTheme="minorHAnsi" w:hAnsi="Arial" w:cs="Arial"/>
      <w:sz w:val="22"/>
      <w:szCs w:val="22"/>
      <w:lang w:val="es-AR" w:eastAsia="en-US"/>
    </w:rPr>
  </w:style>
  <w:style w:type="paragraph" w:customStyle="1" w:styleId="Vieta2-NUA">
    <w:name w:val="Viñeta 2 - NUA"/>
    <w:basedOn w:val="Normal"/>
    <w:link w:val="Vieta2-NUACar"/>
    <w:qFormat/>
    <w:rsid w:val="003529E3"/>
    <w:pPr>
      <w:tabs>
        <w:tab w:val="num" w:pos="2160"/>
      </w:tabs>
      <w:ind w:left="1984" w:hanging="170"/>
      <w:jc w:val="both"/>
    </w:pPr>
    <w:rPr>
      <w:rFonts w:ascii="Arial" w:hAnsi="Arial" w:cs="Arial"/>
    </w:rPr>
  </w:style>
  <w:style w:type="character" w:customStyle="1" w:styleId="Vieta2-NUACar">
    <w:name w:val="Viñeta 2 - NUA Car"/>
    <w:basedOn w:val="Fuentedeprrafopredeter"/>
    <w:link w:val="Vieta2-NUA"/>
    <w:rsid w:val="003529E3"/>
    <w:rPr>
      <w:rFonts w:ascii="Arial" w:eastAsiaTheme="minorHAnsi" w:hAnsi="Arial" w:cs="Arial"/>
      <w:kern w:val="2"/>
      <w:sz w:val="22"/>
      <w:szCs w:val="22"/>
      <w:lang w:val="es-AR" w:eastAsia="en-US"/>
    </w:rPr>
  </w:style>
  <w:style w:type="table" w:customStyle="1" w:styleId="TableNormal">
    <w:name w:val="Table Normal"/>
    <w:uiPriority w:val="2"/>
    <w:semiHidden/>
    <w:unhideWhenUsed/>
    <w:qFormat/>
    <w:rsid w:val="00B73D0B"/>
    <w:pPr>
      <w:widowControl w:val="0"/>
      <w:autoSpaceDE w:val="0"/>
      <w:autoSpaceDN w:val="0"/>
      <w:spacing w:after="0" w:line="240" w:lineRule="auto"/>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3D0B"/>
    <w:pPr>
      <w:widowControl w:val="0"/>
      <w:autoSpaceDE w:val="0"/>
      <w:autoSpaceDN w:val="0"/>
      <w:spacing w:before="29"/>
      <w:ind w:left="337"/>
      <w:jc w:val="center"/>
    </w:pPr>
    <w:rPr>
      <w:rFonts w:ascii="Verdana" w:eastAsia="Verdana" w:hAnsi="Verdana" w:cs="Verdana"/>
      <w:lang w:val="es-ES"/>
    </w:rPr>
  </w:style>
  <w:style w:type="paragraph" w:customStyle="1" w:styleId="NUA-DEFINICIONESV">
    <w:name w:val="NUA - DEFINICIONES V"/>
    <w:basedOn w:val="Normal"/>
    <w:link w:val="NUA-DEFINICIONESVCar"/>
    <w:autoRedefine/>
    <w:qFormat/>
    <w:rsid w:val="003529E3"/>
    <w:pPr>
      <w:tabs>
        <w:tab w:val="num" w:pos="720"/>
      </w:tabs>
      <w:ind w:left="1778" w:hanging="360"/>
      <w:jc w:val="both"/>
    </w:pPr>
    <w:rPr>
      <w:rFonts w:ascii="Arial" w:hAnsi="Arial"/>
    </w:rPr>
  </w:style>
  <w:style w:type="character" w:customStyle="1" w:styleId="NUA-DEFINICIONESVCar">
    <w:name w:val="NUA - DEFINICIONES V Car"/>
    <w:basedOn w:val="Fuentedeprrafopredeter"/>
    <w:link w:val="NUA-DEFINICIONESV"/>
    <w:rsid w:val="003529E3"/>
    <w:rPr>
      <w:rFonts w:ascii="Arial" w:eastAsiaTheme="minorHAnsi" w:hAnsi="Arial" w:cstheme="minorBidi"/>
      <w:kern w:val="2"/>
      <w:sz w:val="22"/>
      <w:szCs w:val="22"/>
      <w:lang w:val="es-AR" w:eastAsia="en-US"/>
    </w:rPr>
  </w:style>
  <w:style w:type="paragraph" w:customStyle="1" w:styleId="DefinicionesNUA">
    <w:name w:val="Definiciones NUA"/>
    <w:basedOn w:val="Normal"/>
    <w:link w:val="DefinicionesNUACar"/>
    <w:autoRedefine/>
    <w:qFormat/>
    <w:rsid w:val="003529E3"/>
    <w:pPr>
      <w:numPr>
        <w:ilvl w:val="2"/>
        <w:numId w:val="726"/>
      </w:numPr>
      <w:spacing w:line="264" w:lineRule="auto"/>
      <w:ind w:left="1985" w:hanging="567"/>
      <w:jc w:val="both"/>
    </w:pPr>
    <w:rPr>
      <w:rFonts w:ascii="Arial" w:hAnsi="Arial" w:cs="Arial"/>
    </w:rPr>
  </w:style>
  <w:style w:type="character" w:customStyle="1" w:styleId="DefinicionesNUACar">
    <w:name w:val="Definiciones NUA Car"/>
    <w:basedOn w:val="Fuentedeprrafopredeter"/>
    <w:link w:val="DefinicionesNUA"/>
    <w:rsid w:val="003529E3"/>
    <w:rPr>
      <w:rFonts w:ascii="Arial" w:eastAsiaTheme="minorHAnsi" w:hAnsi="Arial" w:cs="Arial"/>
      <w:sz w:val="22"/>
      <w:szCs w:val="22"/>
      <w:lang w:val="es-AR" w:eastAsia="en-US"/>
    </w:rPr>
  </w:style>
  <w:style w:type="paragraph" w:styleId="Textoindependiente2">
    <w:name w:val="Body Text 2"/>
    <w:basedOn w:val="Normal"/>
    <w:link w:val="Textoindependiente2Car"/>
    <w:semiHidden/>
    <w:unhideWhenUsed/>
    <w:rsid w:val="00D549E3"/>
    <w:pPr>
      <w:spacing w:after="120" w:line="480" w:lineRule="auto"/>
    </w:pPr>
  </w:style>
  <w:style w:type="character" w:customStyle="1" w:styleId="Textoindependiente2Car">
    <w:name w:val="Texto independiente 2 Car"/>
    <w:basedOn w:val="Fuentedeprrafopredeter"/>
    <w:link w:val="Textoindependiente2"/>
    <w:semiHidden/>
    <w:rsid w:val="00D549E3"/>
    <w:rPr>
      <w:rFonts w:asciiTheme="minorHAnsi" w:eastAsiaTheme="minorHAnsi" w:hAnsiTheme="minorHAnsi" w:cstheme="minorBidi"/>
      <w:kern w:val="2"/>
      <w:sz w:val="22"/>
      <w:szCs w:val="22"/>
      <w:lang w:val="es-AR" w:eastAsia="en-US"/>
    </w:rPr>
  </w:style>
  <w:style w:type="character" w:customStyle="1" w:styleId="UnresolvedMention">
    <w:name w:val="Unresolved Mention"/>
    <w:basedOn w:val="Fuentedeprrafopredeter"/>
    <w:uiPriority w:val="99"/>
    <w:semiHidden/>
    <w:unhideWhenUsed/>
    <w:rsid w:val="000F40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601501">
      <w:bodyDiv w:val="1"/>
      <w:marLeft w:val="0"/>
      <w:marRight w:val="0"/>
      <w:marTop w:val="0"/>
      <w:marBottom w:val="0"/>
      <w:divBdr>
        <w:top w:val="none" w:sz="0" w:space="0" w:color="auto"/>
        <w:left w:val="none" w:sz="0" w:space="0" w:color="auto"/>
        <w:bottom w:val="none" w:sz="0" w:space="0" w:color="auto"/>
        <w:right w:val="none" w:sz="0" w:space="0" w:color="auto"/>
      </w:divBdr>
    </w:div>
    <w:div w:id="75563262">
      <w:bodyDiv w:val="1"/>
      <w:marLeft w:val="0"/>
      <w:marRight w:val="0"/>
      <w:marTop w:val="0"/>
      <w:marBottom w:val="0"/>
      <w:divBdr>
        <w:top w:val="none" w:sz="0" w:space="0" w:color="auto"/>
        <w:left w:val="none" w:sz="0" w:space="0" w:color="auto"/>
        <w:bottom w:val="none" w:sz="0" w:space="0" w:color="auto"/>
        <w:right w:val="none" w:sz="0" w:space="0" w:color="auto"/>
      </w:divBdr>
    </w:div>
    <w:div w:id="80031173">
      <w:bodyDiv w:val="1"/>
      <w:marLeft w:val="0"/>
      <w:marRight w:val="0"/>
      <w:marTop w:val="0"/>
      <w:marBottom w:val="0"/>
      <w:divBdr>
        <w:top w:val="none" w:sz="0" w:space="0" w:color="auto"/>
        <w:left w:val="none" w:sz="0" w:space="0" w:color="auto"/>
        <w:bottom w:val="none" w:sz="0" w:space="0" w:color="auto"/>
        <w:right w:val="none" w:sz="0" w:space="0" w:color="auto"/>
      </w:divBdr>
    </w:div>
    <w:div w:id="88277245">
      <w:bodyDiv w:val="1"/>
      <w:marLeft w:val="0"/>
      <w:marRight w:val="0"/>
      <w:marTop w:val="0"/>
      <w:marBottom w:val="0"/>
      <w:divBdr>
        <w:top w:val="none" w:sz="0" w:space="0" w:color="auto"/>
        <w:left w:val="none" w:sz="0" w:space="0" w:color="auto"/>
        <w:bottom w:val="none" w:sz="0" w:space="0" w:color="auto"/>
        <w:right w:val="none" w:sz="0" w:space="0" w:color="auto"/>
      </w:divBdr>
    </w:div>
    <w:div w:id="101268631">
      <w:bodyDiv w:val="1"/>
      <w:marLeft w:val="0"/>
      <w:marRight w:val="0"/>
      <w:marTop w:val="0"/>
      <w:marBottom w:val="0"/>
      <w:divBdr>
        <w:top w:val="none" w:sz="0" w:space="0" w:color="auto"/>
        <w:left w:val="none" w:sz="0" w:space="0" w:color="auto"/>
        <w:bottom w:val="none" w:sz="0" w:space="0" w:color="auto"/>
        <w:right w:val="none" w:sz="0" w:space="0" w:color="auto"/>
      </w:divBdr>
    </w:div>
    <w:div w:id="169217802">
      <w:bodyDiv w:val="1"/>
      <w:marLeft w:val="0"/>
      <w:marRight w:val="0"/>
      <w:marTop w:val="0"/>
      <w:marBottom w:val="0"/>
      <w:divBdr>
        <w:top w:val="none" w:sz="0" w:space="0" w:color="auto"/>
        <w:left w:val="none" w:sz="0" w:space="0" w:color="auto"/>
        <w:bottom w:val="none" w:sz="0" w:space="0" w:color="auto"/>
        <w:right w:val="none" w:sz="0" w:space="0" w:color="auto"/>
      </w:divBdr>
    </w:div>
    <w:div w:id="185557490">
      <w:bodyDiv w:val="1"/>
      <w:marLeft w:val="0"/>
      <w:marRight w:val="0"/>
      <w:marTop w:val="0"/>
      <w:marBottom w:val="0"/>
      <w:divBdr>
        <w:top w:val="none" w:sz="0" w:space="0" w:color="auto"/>
        <w:left w:val="none" w:sz="0" w:space="0" w:color="auto"/>
        <w:bottom w:val="none" w:sz="0" w:space="0" w:color="auto"/>
        <w:right w:val="none" w:sz="0" w:space="0" w:color="auto"/>
      </w:divBdr>
    </w:div>
    <w:div w:id="213081001">
      <w:bodyDiv w:val="1"/>
      <w:marLeft w:val="0"/>
      <w:marRight w:val="0"/>
      <w:marTop w:val="0"/>
      <w:marBottom w:val="0"/>
      <w:divBdr>
        <w:top w:val="none" w:sz="0" w:space="0" w:color="auto"/>
        <w:left w:val="none" w:sz="0" w:space="0" w:color="auto"/>
        <w:bottom w:val="none" w:sz="0" w:space="0" w:color="auto"/>
        <w:right w:val="none" w:sz="0" w:space="0" w:color="auto"/>
      </w:divBdr>
    </w:div>
    <w:div w:id="245111074">
      <w:bodyDiv w:val="1"/>
      <w:marLeft w:val="0"/>
      <w:marRight w:val="0"/>
      <w:marTop w:val="0"/>
      <w:marBottom w:val="0"/>
      <w:divBdr>
        <w:top w:val="none" w:sz="0" w:space="0" w:color="auto"/>
        <w:left w:val="none" w:sz="0" w:space="0" w:color="auto"/>
        <w:bottom w:val="none" w:sz="0" w:space="0" w:color="auto"/>
        <w:right w:val="none" w:sz="0" w:space="0" w:color="auto"/>
      </w:divBdr>
    </w:div>
    <w:div w:id="255333061">
      <w:bodyDiv w:val="1"/>
      <w:marLeft w:val="0"/>
      <w:marRight w:val="0"/>
      <w:marTop w:val="0"/>
      <w:marBottom w:val="0"/>
      <w:divBdr>
        <w:top w:val="none" w:sz="0" w:space="0" w:color="auto"/>
        <w:left w:val="none" w:sz="0" w:space="0" w:color="auto"/>
        <w:bottom w:val="none" w:sz="0" w:space="0" w:color="auto"/>
        <w:right w:val="none" w:sz="0" w:space="0" w:color="auto"/>
      </w:divBdr>
    </w:div>
    <w:div w:id="258417228">
      <w:bodyDiv w:val="1"/>
      <w:marLeft w:val="0"/>
      <w:marRight w:val="0"/>
      <w:marTop w:val="0"/>
      <w:marBottom w:val="0"/>
      <w:divBdr>
        <w:top w:val="none" w:sz="0" w:space="0" w:color="auto"/>
        <w:left w:val="none" w:sz="0" w:space="0" w:color="auto"/>
        <w:bottom w:val="none" w:sz="0" w:space="0" w:color="auto"/>
        <w:right w:val="none" w:sz="0" w:space="0" w:color="auto"/>
      </w:divBdr>
    </w:div>
    <w:div w:id="294872118">
      <w:bodyDiv w:val="1"/>
      <w:marLeft w:val="0"/>
      <w:marRight w:val="0"/>
      <w:marTop w:val="0"/>
      <w:marBottom w:val="0"/>
      <w:divBdr>
        <w:top w:val="none" w:sz="0" w:space="0" w:color="auto"/>
        <w:left w:val="none" w:sz="0" w:space="0" w:color="auto"/>
        <w:bottom w:val="none" w:sz="0" w:space="0" w:color="auto"/>
        <w:right w:val="none" w:sz="0" w:space="0" w:color="auto"/>
      </w:divBdr>
    </w:div>
    <w:div w:id="299919647">
      <w:bodyDiv w:val="1"/>
      <w:marLeft w:val="0"/>
      <w:marRight w:val="0"/>
      <w:marTop w:val="0"/>
      <w:marBottom w:val="0"/>
      <w:divBdr>
        <w:top w:val="none" w:sz="0" w:space="0" w:color="auto"/>
        <w:left w:val="none" w:sz="0" w:space="0" w:color="auto"/>
        <w:bottom w:val="none" w:sz="0" w:space="0" w:color="auto"/>
        <w:right w:val="none" w:sz="0" w:space="0" w:color="auto"/>
      </w:divBdr>
    </w:div>
    <w:div w:id="350034071">
      <w:bodyDiv w:val="1"/>
      <w:marLeft w:val="0"/>
      <w:marRight w:val="0"/>
      <w:marTop w:val="0"/>
      <w:marBottom w:val="0"/>
      <w:divBdr>
        <w:top w:val="none" w:sz="0" w:space="0" w:color="auto"/>
        <w:left w:val="none" w:sz="0" w:space="0" w:color="auto"/>
        <w:bottom w:val="none" w:sz="0" w:space="0" w:color="auto"/>
        <w:right w:val="none" w:sz="0" w:space="0" w:color="auto"/>
      </w:divBdr>
    </w:div>
    <w:div w:id="371657656">
      <w:bodyDiv w:val="1"/>
      <w:marLeft w:val="0"/>
      <w:marRight w:val="0"/>
      <w:marTop w:val="0"/>
      <w:marBottom w:val="0"/>
      <w:divBdr>
        <w:top w:val="none" w:sz="0" w:space="0" w:color="auto"/>
        <w:left w:val="none" w:sz="0" w:space="0" w:color="auto"/>
        <w:bottom w:val="none" w:sz="0" w:space="0" w:color="auto"/>
        <w:right w:val="none" w:sz="0" w:space="0" w:color="auto"/>
      </w:divBdr>
    </w:div>
    <w:div w:id="372315849">
      <w:bodyDiv w:val="1"/>
      <w:marLeft w:val="0"/>
      <w:marRight w:val="0"/>
      <w:marTop w:val="0"/>
      <w:marBottom w:val="0"/>
      <w:divBdr>
        <w:top w:val="none" w:sz="0" w:space="0" w:color="auto"/>
        <w:left w:val="none" w:sz="0" w:space="0" w:color="auto"/>
        <w:bottom w:val="none" w:sz="0" w:space="0" w:color="auto"/>
        <w:right w:val="none" w:sz="0" w:space="0" w:color="auto"/>
      </w:divBdr>
    </w:div>
    <w:div w:id="387529784">
      <w:bodyDiv w:val="1"/>
      <w:marLeft w:val="0"/>
      <w:marRight w:val="0"/>
      <w:marTop w:val="0"/>
      <w:marBottom w:val="0"/>
      <w:divBdr>
        <w:top w:val="none" w:sz="0" w:space="0" w:color="auto"/>
        <w:left w:val="none" w:sz="0" w:space="0" w:color="auto"/>
        <w:bottom w:val="none" w:sz="0" w:space="0" w:color="auto"/>
        <w:right w:val="none" w:sz="0" w:space="0" w:color="auto"/>
      </w:divBdr>
    </w:div>
    <w:div w:id="446125710">
      <w:bodyDiv w:val="1"/>
      <w:marLeft w:val="0"/>
      <w:marRight w:val="0"/>
      <w:marTop w:val="0"/>
      <w:marBottom w:val="0"/>
      <w:divBdr>
        <w:top w:val="none" w:sz="0" w:space="0" w:color="auto"/>
        <w:left w:val="none" w:sz="0" w:space="0" w:color="auto"/>
        <w:bottom w:val="none" w:sz="0" w:space="0" w:color="auto"/>
        <w:right w:val="none" w:sz="0" w:space="0" w:color="auto"/>
      </w:divBdr>
    </w:div>
    <w:div w:id="461534626">
      <w:bodyDiv w:val="1"/>
      <w:marLeft w:val="0"/>
      <w:marRight w:val="0"/>
      <w:marTop w:val="0"/>
      <w:marBottom w:val="0"/>
      <w:divBdr>
        <w:top w:val="none" w:sz="0" w:space="0" w:color="auto"/>
        <w:left w:val="none" w:sz="0" w:space="0" w:color="auto"/>
        <w:bottom w:val="none" w:sz="0" w:space="0" w:color="auto"/>
        <w:right w:val="none" w:sz="0" w:space="0" w:color="auto"/>
      </w:divBdr>
    </w:div>
    <w:div w:id="480928984">
      <w:bodyDiv w:val="1"/>
      <w:marLeft w:val="0"/>
      <w:marRight w:val="0"/>
      <w:marTop w:val="0"/>
      <w:marBottom w:val="0"/>
      <w:divBdr>
        <w:top w:val="none" w:sz="0" w:space="0" w:color="auto"/>
        <w:left w:val="none" w:sz="0" w:space="0" w:color="auto"/>
        <w:bottom w:val="none" w:sz="0" w:space="0" w:color="auto"/>
        <w:right w:val="none" w:sz="0" w:space="0" w:color="auto"/>
      </w:divBdr>
    </w:div>
    <w:div w:id="482039999">
      <w:bodyDiv w:val="1"/>
      <w:marLeft w:val="0"/>
      <w:marRight w:val="0"/>
      <w:marTop w:val="0"/>
      <w:marBottom w:val="0"/>
      <w:divBdr>
        <w:top w:val="none" w:sz="0" w:space="0" w:color="auto"/>
        <w:left w:val="none" w:sz="0" w:space="0" w:color="auto"/>
        <w:bottom w:val="none" w:sz="0" w:space="0" w:color="auto"/>
        <w:right w:val="none" w:sz="0" w:space="0" w:color="auto"/>
      </w:divBdr>
    </w:div>
    <w:div w:id="532425079">
      <w:bodyDiv w:val="1"/>
      <w:marLeft w:val="0"/>
      <w:marRight w:val="0"/>
      <w:marTop w:val="0"/>
      <w:marBottom w:val="0"/>
      <w:divBdr>
        <w:top w:val="none" w:sz="0" w:space="0" w:color="auto"/>
        <w:left w:val="none" w:sz="0" w:space="0" w:color="auto"/>
        <w:bottom w:val="none" w:sz="0" w:space="0" w:color="auto"/>
        <w:right w:val="none" w:sz="0" w:space="0" w:color="auto"/>
      </w:divBdr>
    </w:div>
    <w:div w:id="558705915">
      <w:bodyDiv w:val="1"/>
      <w:marLeft w:val="0"/>
      <w:marRight w:val="0"/>
      <w:marTop w:val="0"/>
      <w:marBottom w:val="0"/>
      <w:divBdr>
        <w:top w:val="none" w:sz="0" w:space="0" w:color="auto"/>
        <w:left w:val="none" w:sz="0" w:space="0" w:color="auto"/>
        <w:bottom w:val="none" w:sz="0" w:space="0" w:color="auto"/>
        <w:right w:val="none" w:sz="0" w:space="0" w:color="auto"/>
      </w:divBdr>
    </w:div>
    <w:div w:id="581069156">
      <w:bodyDiv w:val="1"/>
      <w:marLeft w:val="0"/>
      <w:marRight w:val="0"/>
      <w:marTop w:val="0"/>
      <w:marBottom w:val="0"/>
      <w:divBdr>
        <w:top w:val="none" w:sz="0" w:space="0" w:color="auto"/>
        <w:left w:val="none" w:sz="0" w:space="0" w:color="auto"/>
        <w:bottom w:val="none" w:sz="0" w:space="0" w:color="auto"/>
        <w:right w:val="none" w:sz="0" w:space="0" w:color="auto"/>
      </w:divBdr>
    </w:div>
    <w:div w:id="630672154">
      <w:bodyDiv w:val="1"/>
      <w:marLeft w:val="0"/>
      <w:marRight w:val="0"/>
      <w:marTop w:val="0"/>
      <w:marBottom w:val="0"/>
      <w:divBdr>
        <w:top w:val="none" w:sz="0" w:space="0" w:color="auto"/>
        <w:left w:val="none" w:sz="0" w:space="0" w:color="auto"/>
        <w:bottom w:val="none" w:sz="0" w:space="0" w:color="auto"/>
        <w:right w:val="none" w:sz="0" w:space="0" w:color="auto"/>
      </w:divBdr>
    </w:div>
    <w:div w:id="685978568">
      <w:bodyDiv w:val="1"/>
      <w:marLeft w:val="0"/>
      <w:marRight w:val="0"/>
      <w:marTop w:val="0"/>
      <w:marBottom w:val="0"/>
      <w:divBdr>
        <w:top w:val="none" w:sz="0" w:space="0" w:color="auto"/>
        <w:left w:val="none" w:sz="0" w:space="0" w:color="auto"/>
        <w:bottom w:val="none" w:sz="0" w:space="0" w:color="auto"/>
        <w:right w:val="none" w:sz="0" w:space="0" w:color="auto"/>
      </w:divBdr>
    </w:div>
    <w:div w:id="752168485">
      <w:bodyDiv w:val="1"/>
      <w:marLeft w:val="0"/>
      <w:marRight w:val="0"/>
      <w:marTop w:val="0"/>
      <w:marBottom w:val="0"/>
      <w:divBdr>
        <w:top w:val="none" w:sz="0" w:space="0" w:color="auto"/>
        <w:left w:val="none" w:sz="0" w:space="0" w:color="auto"/>
        <w:bottom w:val="none" w:sz="0" w:space="0" w:color="auto"/>
        <w:right w:val="none" w:sz="0" w:space="0" w:color="auto"/>
      </w:divBdr>
    </w:div>
    <w:div w:id="763840138">
      <w:bodyDiv w:val="1"/>
      <w:marLeft w:val="0"/>
      <w:marRight w:val="0"/>
      <w:marTop w:val="0"/>
      <w:marBottom w:val="0"/>
      <w:divBdr>
        <w:top w:val="none" w:sz="0" w:space="0" w:color="auto"/>
        <w:left w:val="none" w:sz="0" w:space="0" w:color="auto"/>
        <w:bottom w:val="none" w:sz="0" w:space="0" w:color="auto"/>
        <w:right w:val="none" w:sz="0" w:space="0" w:color="auto"/>
      </w:divBdr>
    </w:div>
    <w:div w:id="793057399">
      <w:bodyDiv w:val="1"/>
      <w:marLeft w:val="0"/>
      <w:marRight w:val="0"/>
      <w:marTop w:val="0"/>
      <w:marBottom w:val="0"/>
      <w:divBdr>
        <w:top w:val="none" w:sz="0" w:space="0" w:color="auto"/>
        <w:left w:val="none" w:sz="0" w:space="0" w:color="auto"/>
        <w:bottom w:val="none" w:sz="0" w:space="0" w:color="auto"/>
        <w:right w:val="none" w:sz="0" w:space="0" w:color="auto"/>
      </w:divBdr>
    </w:div>
    <w:div w:id="796291328">
      <w:bodyDiv w:val="1"/>
      <w:marLeft w:val="0"/>
      <w:marRight w:val="0"/>
      <w:marTop w:val="0"/>
      <w:marBottom w:val="0"/>
      <w:divBdr>
        <w:top w:val="none" w:sz="0" w:space="0" w:color="auto"/>
        <w:left w:val="none" w:sz="0" w:space="0" w:color="auto"/>
        <w:bottom w:val="none" w:sz="0" w:space="0" w:color="auto"/>
        <w:right w:val="none" w:sz="0" w:space="0" w:color="auto"/>
      </w:divBdr>
    </w:div>
    <w:div w:id="849762845">
      <w:bodyDiv w:val="1"/>
      <w:marLeft w:val="0"/>
      <w:marRight w:val="0"/>
      <w:marTop w:val="0"/>
      <w:marBottom w:val="0"/>
      <w:divBdr>
        <w:top w:val="none" w:sz="0" w:space="0" w:color="auto"/>
        <w:left w:val="none" w:sz="0" w:space="0" w:color="auto"/>
        <w:bottom w:val="none" w:sz="0" w:space="0" w:color="auto"/>
        <w:right w:val="none" w:sz="0" w:space="0" w:color="auto"/>
      </w:divBdr>
    </w:div>
    <w:div w:id="863907581">
      <w:bodyDiv w:val="1"/>
      <w:marLeft w:val="0"/>
      <w:marRight w:val="0"/>
      <w:marTop w:val="0"/>
      <w:marBottom w:val="0"/>
      <w:divBdr>
        <w:top w:val="none" w:sz="0" w:space="0" w:color="auto"/>
        <w:left w:val="none" w:sz="0" w:space="0" w:color="auto"/>
        <w:bottom w:val="none" w:sz="0" w:space="0" w:color="auto"/>
        <w:right w:val="none" w:sz="0" w:space="0" w:color="auto"/>
      </w:divBdr>
    </w:div>
    <w:div w:id="934090839">
      <w:bodyDiv w:val="1"/>
      <w:marLeft w:val="0"/>
      <w:marRight w:val="0"/>
      <w:marTop w:val="0"/>
      <w:marBottom w:val="0"/>
      <w:divBdr>
        <w:top w:val="none" w:sz="0" w:space="0" w:color="auto"/>
        <w:left w:val="none" w:sz="0" w:space="0" w:color="auto"/>
        <w:bottom w:val="none" w:sz="0" w:space="0" w:color="auto"/>
        <w:right w:val="none" w:sz="0" w:space="0" w:color="auto"/>
      </w:divBdr>
    </w:div>
    <w:div w:id="963075124">
      <w:bodyDiv w:val="1"/>
      <w:marLeft w:val="0"/>
      <w:marRight w:val="0"/>
      <w:marTop w:val="0"/>
      <w:marBottom w:val="0"/>
      <w:divBdr>
        <w:top w:val="none" w:sz="0" w:space="0" w:color="auto"/>
        <w:left w:val="none" w:sz="0" w:space="0" w:color="auto"/>
        <w:bottom w:val="none" w:sz="0" w:space="0" w:color="auto"/>
        <w:right w:val="none" w:sz="0" w:space="0" w:color="auto"/>
      </w:divBdr>
    </w:div>
    <w:div w:id="983126379">
      <w:bodyDiv w:val="1"/>
      <w:marLeft w:val="0"/>
      <w:marRight w:val="0"/>
      <w:marTop w:val="0"/>
      <w:marBottom w:val="0"/>
      <w:divBdr>
        <w:top w:val="none" w:sz="0" w:space="0" w:color="auto"/>
        <w:left w:val="none" w:sz="0" w:space="0" w:color="auto"/>
        <w:bottom w:val="none" w:sz="0" w:space="0" w:color="auto"/>
        <w:right w:val="none" w:sz="0" w:space="0" w:color="auto"/>
      </w:divBdr>
    </w:div>
    <w:div w:id="992678311">
      <w:bodyDiv w:val="1"/>
      <w:marLeft w:val="0"/>
      <w:marRight w:val="0"/>
      <w:marTop w:val="0"/>
      <w:marBottom w:val="0"/>
      <w:divBdr>
        <w:top w:val="none" w:sz="0" w:space="0" w:color="auto"/>
        <w:left w:val="none" w:sz="0" w:space="0" w:color="auto"/>
        <w:bottom w:val="none" w:sz="0" w:space="0" w:color="auto"/>
        <w:right w:val="none" w:sz="0" w:space="0" w:color="auto"/>
      </w:divBdr>
    </w:div>
    <w:div w:id="1019546341">
      <w:bodyDiv w:val="1"/>
      <w:marLeft w:val="0"/>
      <w:marRight w:val="0"/>
      <w:marTop w:val="0"/>
      <w:marBottom w:val="0"/>
      <w:divBdr>
        <w:top w:val="none" w:sz="0" w:space="0" w:color="auto"/>
        <w:left w:val="none" w:sz="0" w:space="0" w:color="auto"/>
        <w:bottom w:val="none" w:sz="0" w:space="0" w:color="auto"/>
        <w:right w:val="none" w:sz="0" w:space="0" w:color="auto"/>
      </w:divBdr>
    </w:div>
    <w:div w:id="1071849610">
      <w:bodyDiv w:val="1"/>
      <w:marLeft w:val="0"/>
      <w:marRight w:val="0"/>
      <w:marTop w:val="0"/>
      <w:marBottom w:val="0"/>
      <w:divBdr>
        <w:top w:val="none" w:sz="0" w:space="0" w:color="auto"/>
        <w:left w:val="none" w:sz="0" w:space="0" w:color="auto"/>
        <w:bottom w:val="none" w:sz="0" w:space="0" w:color="auto"/>
        <w:right w:val="none" w:sz="0" w:space="0" w:color="auto"/>
      </w:divBdr>
    </w:div>
    <w:div w:id="1082213816">
      <w:bodyDiv w:val="1"/>
      <w:marLeft w:val="0"/>
      <w:marRight w:val="0"/>
      <w:marTop w:val="0"/>
      <w:marBottom w:val="0"/>
      <w:divBdr>
        <w:top w:val="none" w:sz="0" w:space="0" w:color="auto"/>
        <w:left w:val="none" w:sz="0" w:space="0" w:color="auto"/>
        <w:bottom w:val="none" w:sz="0" w:space="0" w:color="auto"/>
        <w:right w:val="none" w:sz="0" w:space="0" w:color="auto"/>
      </w:divBdr>
    </w:div>
    <w:div w:id="1120303816">
      <w:bodyDiv w:val="1"/>
      <w:marLeft w:val="0"/>
      <w:marRight w:val="0"/>
      <w:marTop w:val="0"/>
      <w:marBottom w:val="0"/>
      <w:divBdr>
        <w:top w:val="none" w:sz="0" w:space="0" w:color="auto"/>
        <w:left w:val="none" w:sz="0" w:space="0" w:color="auto"/>
        <w:bottom w:val="none" w:sz="0" w:space="0" w:color="auto"/>
        <w:right w:val="none" w:sz="0" w:space="0" w:color="auto"/>
      </w:divBdr>
    </w:div>
    <w:div w:id="1125544195">
      <w:bodyDiv w:val="1"/>
      <w:marLeft w:val="0"/>
      <w:marRight w:val="0"/>
      <w:marTop w:val="0"/>
      <w:marBottom w:val="0"/>
      <w:divBdr>
        <w:top w:val="none" w:sz="0" w:space="0" w:color="auto"/>
        <w:left w:val="none" w:sz="0" w:space="0" w:color="auto"/>
        <w:bottom w:val="none" w:sz="0" w:space="0" w:color="auto"/>
        <w:right w:val="none" w:sz="0" w:space="0" w:color="auto"/>
      </w:divBdr>
    </w:div>
    <w:div w:id="1159805258">
      <w:bodyDiv w:val="1"/>
      <w:marLeft w:val="0"/>
      <w:marRight w:val="0"/>
      <w:marTop w:val="0"/>
      <w:marBottom w:val="0"/>
      <w:divBdr>
        <w:top w:val="none" w:sz="0" w:space="0" w:color="auto"/>
        <w:left w:val="none" w:sz="0" w:space="0" w:color="auto"/>
        <w:bottom w:val="none" w:sz="0" w:space="0" w:color="auto"/>
        <w:right w:val="none" w:sz="0" w:space="0" w:color="auto"/>
      </w:divBdr>
    </w:div>
    <w:div w:id="1178084080">
      <w:bodyDiv w:val="1"/>
      <w:marLeft w:val="0"/>
      <w:marRight w:val="0"/>
      <w:marTop w:val="0"/>
      <w:marBottom w:val="0"/>
      <w:divBdr>
        <w:top w:val="none" w:sz="0" w:space="0" w:color="auto"/>
        <w:left w:val="none" w:sz="0" w:space="0" w:color="auto"/>
        <w:bottom w:val="none" w:sz="0" w:space="0" w:color="auto"/>
        <w:right w:val="none" w:sz="0" w:space="0" w:color="auto"/>
      </w:divBdr>
    </w:div>
    <w:div w:id="1268848894">
      <w:bodyDiv w:val="1"/>
      <w:marLeft w:val="0"/>
      <w:marRight w:val="0"/>
      <w:marTop w:val="0"/>
      <w:marBottom w:val="0"/>
      <w:divBdr>
        <w:top w:val="none" w:sz="0" w:space="0" w:color="auto"/>
        <w:left w:val="none" w:sz="0" w:space="0" w:color="auto"/>
        <w:bottom w:val="none" w:sz="0" w:space="0" w:color="auto"/>
        <w:right w:val="none" w:sz="0" w:space="0" w:color="auto"/>
      </w:divBdr>
    </w:div>
    <w:div w:id="1279216630">
      <w:bodyDiv w:val="1"/>
      <w:marLeft w:val="0"/>
      <w:marRight w:val="0"/>
      <w:marTop w:val="0"/>
      <w:marBottom w:val="0"/>
      <w:divBdr>
        <w:top w:val="none" w:sz="0" w:space="0" w:color="auto"/>
        <w:left w:val="none" w:sz="0" w:space="0" w:color="auto"/>
        <w:bottom w:val="none" w:sz="0" w:space="0" w:color="auto"/>
        <w:right w:val="none" w:sz="0" w:space="0" w:color="auto"/>
      </w:divBdr>
    </w:div>
    <w:div w:id="1304770612">
      <w:bodyDiv w:val="1"/>
      <w:marLeft w:val="0"/>
      <w:marRight w:val="0"/>
      <w:marTop w:val="0"/>
      <w:marBottom w:val="0"/>
      <w:divBdr>
        <w:top w:val="none" w:sz="0" w:space="0" w:color="auto"/>
        <w:left w:val="none" w:sz="0" w:space="0" w:color="auto"/>
        <w:bottom w:val="none" w:sz="0" w:space="0" w:color="auto"/>
        <w:right w:val="none" w:sz="0" w:space="0" w:color="auto"/>
      </w:divBdr>
    </w:div>
    <w:div w:id="1431199141">
      <w:bodyDiv w:val="1"/>
      <w:marLeft w:val="0"/>
      <w:marRight w:val="0"/>
      <w:marTop w:val="0"/>
      <w:marBottom w:val="0"/>
      <w:divBdr>
        <w:top w:val="none" w:sz="0" w:space="0" w:color="auto"/>
        <w:left w:val="none" w:sz="0" w:space="0" w:color="auto"/>
        <w:bottom w:val="none" w:sz="0" w:space="0" w:color="auto"/>
        <w:right w:val="none" w:sz="0" w:space="0" w:color="auto"/>
      </w:divBdr>
    </w:div>
    <w:div w:id="1525510203">
      <w:bodyDiv w:val="1"/>
      <w:marLeft w:val="0"/>
      <w:marRight w:val="0"/>
      <w:marTop w:val="0"/>
      <w:marBottom w:val="0"/>
      <w:divBdr>
        <w:top w:val="none" w:sz="0" w:space="0" w:color="auto"/>
        <w:left w:val="none" w:sz="0" w:space="0" w:color="auto"/>
        <w:bottom w:val="none" w:sz="0" w:space="0" w:color="auto"/>
        <w:right w:val="none" w:sz="0" w:space="0" w:color="auto"/>
      </w:divBdr>
    </w:div>
    <w:div w:id="1592279436">
      <w:bodyDiv w:val="1"/>
      <w:marLeft w:val="0"/>
      <w:marRight w:val="0"/>
      <w:marTop w:val="0"/>
      <w:marBottom w:val="0"/>
      <w:divBdr>
        <w:top w:val="none" w:sz="0" w:space="0" w:color="auto"/>
        <w:left w:val="none" w:sz="0" w:space="0" w:color="auto"/>
        <w:bottom w:val="none" w:sz="0" w:space="0" w:color="auto"/>
        <w:right w:val="none" w:sz="0" w:space="0" w:color="auto"/>
      </w:divBdr>
    </w:div>
    <w:div w:id="1594053513">
      <w:bodyDiv w:val="1"/>
      <w:marLeft w:val="0"/>
      <w:marRight w:val="0"/>
      <w:marTop w:val="0"/>
      <w:marBottom w:val="0"/>
      <w:divBdr>
        <w:top w:val="none" w:sz="0" w:space="0" w:color="auto"/>
        <w:left w:val="none" w:sz="0" w:space="0" w:color="auto"/>
        <w:bottom w:val="none" w:sz="0" w:space="0" w:color="auto"/>
        <w:right w:val="none" w:sz="0" w:space="0" w:color="auto"/>
      </w:divBdr>
    </w:div>
    <w:div w:id="1645701023">
      <w:bodyDiv w:val="1"/>
      <w:marLeft w:val="0"/>
      <w:marRight w:val="0"/>
      <w:marTop w:val="0"/>
      <w:marBottom w:val="0"/>
      <w:divBdr>
        <w:top w:val="none" w:sz="0" w:space="0" w:color="auto"/>
        <w:left w:val="none" w:sz="0" w:space="0" w:color="auto"/>
        <w:bottom w:val="none" w:sz="0" w:space="0" w:color="auto"/>
        <w:right w:val="none" w:sz="0" w:space="0" w:color="auto"/>
      </w:divBdr>
    </w:div>
    <w:div w:id="1652755964">
      <w:bodyDiv w:val="1"/>
      <w:marLeft w:val="0"/>
      <w:marRight w:val="0"/>
      <w:marTop w:val="0"/>
      <w:marBottom w:val="0"/>
      <w:divBdr>
        <w:top w:val="none" w:sz="0" w:space="0" w:color="auto"/>
        <w:left w:val="none" w:sz="0" w:space="0" w:color="auto"/>
        <w:bottom w:val="none" w:sz="0" w:space="0" w:color="auto"/>
        <w:right w:val="none" w:sz="0" w:space="0" w:color="auto"/>
      </w:divBdr>
    </w:div>
    <w:div w:id="1694064678">
      <w:bodyDiv w:val="1"/>
      <w:marLeft w:val="0"/>
      <w:marRight w:val="0"/>
      <w:marTop w:val="0"/>
      <w:marBottom w:val="0"/>
      <w:divBdr>
        <w:top w:val="none" w:sz="0" w:space="0" w:color="auto"/>
        <w:left w:val="none" w:sz="0" w:space="0" w:color="auto"/>
        <w:bottom w:val="none" w:sz="0" w:space="0" w:color="auto"/>
        <w:right w:val="none" w:sz="0" w:space="0" w:color="auto"/>
      </w:divBdr>
    </w:div>
    <w:div w:id="1767072361">
      <w:bodyDiv w:val="1"/>
      <w:marLeft w:val="0"/>
      <w:marRight w:val="0"/>
      <w:marTop w:val="0"/>
      <w:marBottom w:val="0"/>
      <w:divBdr>
        <w:top w:val="none" w:sz="0" w:space="0" w:color="auto"/>
        <w:left w:val="none" w:sz="0" w:space="0" w:color="auto"/>
        <w:bottom w:val="none" w:sz="0" w:space="0" w:color="auto"/>
        <w:right w:val="none" w:sz="0" w:space="0" w:color="auto"/>
      </w:divBdr>
    </w:div>
    <w:div w:id="1882815922">
      <w:bodyDiv w:val="1"/>
      <w:marLeft w:val="0"/>
      <w:marRight w:val="0"/>
      <w:marTop w:val="0"/>
      <w:marBottom w:val="0"/>
      <w:divBdr>
        <w:top w:val="none" w:sz="0" w:space="0" w:color="auto"/>
        <w:left w:val="none" w:sz="0" w:space="0" w:color="auto"/>
        <w:bottom w:val="none" w:sz="0" w:space="0" w:color="auto"/>
        <w:right w:val="none" w:sz="0" w:space="0" w:color="auto"/>
      </w:divBdr>
    </w:div>
    <w:div w:id="1891262664">
      <w:bodyDiv w:val="1"/>
      <w:marLeft w:val="0"/>
      <w:marRight w:val="0"/>
      <w:marTop w:val="0"/>
      <w:marBottom w:val="0"/>
      <w:divBdr>
        <w:top w:val="none" w:sz="0" w:space="0" w:color="auto"/>
        <w:left w:val="none" w:sz="0" w:space="0" w:color="auto"/>
        <w:bottom w:val="none" w:sz="0" w:space="0" w:color="auto"/>
        <w:right w:val="none" w:sz="0" w:space="0" w:color="auto"/>
      </w:divBdr>
    </w:div>
    <w:div w:id="1891303834">
      <w:bodyDiv w:val="1"/>
      <w:marLeft w:val="0"/>
      <w:marRight w:val="0"/>
      <w:marTop w:val="0"/>
      <w:marBottom w:val="0"/>
      <w:divBdr>
        <w:top w:val="none" w:sz="0" w:space="0" w:color="auto"/>
        <w:left w:val="none" w:sz="0" w:space="0" w:color="auto"/>
        <w:bottom w:val="none" w:sz="0" w:space="0" w:color="auto"/>
        <w:right w:val="none" w:sz="0" w:space="0" w:color="auto"/>
      </w:divBdr>
    </w:div>
    <w:div w:id="1978759883">
      <w:bodyDiv w:val="1"/>
      <w:marLeft w:val="0"/>
      <w:marRight w:val="0"/>
      <w:marTop w:val="0"/>
      <w:marBottom w:val="0"/>
      <w:divBdr>
        <w:top w:val="none" w:sz="0" w:space="0" w:color="auto"/>
        <w:left w:val="none" w:sz="0" w:space="0" w:color="auto"/>
        <w:bottom w:val="none" w:sz="0" w:space="0" w:color="auto"/>
        <w:right w:val="none" w:sz="0" w:space="0" w:color="auto"/>
      </w:divBdr>
    </w:div>
    <w:div w:id="2007399527">
      <w:bodyDiv w:val="1"/>
      <w:marLeft w:val="0"/>
      <w:marRight w:val="0"/>
      <w:marTop w:val="0"/>
      <w:marBottom w:val="0"/>
      <w:divBdr>
        <w:top w:val="none" w:sz="0" w:space="0" w:color="auto"/>
        <w:left w:val="none" w:sz="0" w:space="0" w:color="auto"/>
        <w:bottom w:val="none" w:sz="0" w:space="0" w:color="auto"/>
        <w:right w:val="none" w:sz="0" w:space="0" w:color="auto"/>
      </w:divBdr>
    </w:div>
    <w:div w:id="2074883824">
      <w:bodyDiv w:val="1"/>
      <w:marLeft w:val="0"/>
      <w:marRight w:val="0"/>
      <w:marTop w:val="0"/>
      <w:marBottom w:val="0"/>
      <w:divBdr>
        <w:top w:val="none" w:sz="0" w:space="0" w:color="auto"/>
        <w:left w:val="none" w:sz="0" w:space="0" w:color="auto"/>
        <w:bottom w:val="none" w:sz="0" w:space="0" w:color="auto"/>
        <w:right w:val="none" w:sz="0" w:space="0" w:color="auto"/>
      </w:divBdr>
    </w:div>
    <w:div w:id="2089885612">
      <w:bodyDiv w:val="1"/>
      <w:marLeft w:val="0"/>
      <w:marRight w:val="0"/>
      <w:marTop w:val="0"/>
      <w:marBottom w:val="0"/>
      <w:divBdr>
        <w:top w:val="none" w:sz="0" w:space="0" w:color="auto"/>
        <w:left w:val="none" w:sz="0" w:space="0" w:color="auto"/>
        <w:bottom w:val="none" w:sz="0" w:space="0" w:color="auto"/>
        <w:right w:val="none" w:sz="0" w:space="0" w:color="auto"/>
      </w:divBdr>
    </w:div>
    <w:div w:id="2112043238">
      <w:bodyDiv w:val="1"/>
      <w:marLeft w:val="0"/>
      <w:marRight w:val="0"/>
      <w:marTop w:val="0"/>
      <w:marBottom w:val="0"/>
      <w:divBdr>
        <w:top w:val="none" w:sz="0" w:space="0" w:color="auto"/>
        <w:left w:val="none" w:sz="0" w:space="0" w:color="auto"/>
        <w:bottom w:val="none" w:sz="0" w:space="0" w:color="auto"/>
        <w:right w:val="none" w:sz="0" w:space="0" w:color="auto"/>
      </w:divBdr>
    </w:div>
    <w:div w:id="212684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A77676461D6245904119C91E17BA2A" ma:contentTypeVersion="11" ma:contentTypeDescription="Crear nuevo documento." ma:contentTypeScope="" ma:versionID="4e91b01fd9ec3efd7dff3ed2a7b547d9">
  <xsd:schema xmlns:xsd="http://www.w3.org/2001/XMLSchema" xmlns:xs="http://www.w3.org/2001/XMLSchema" xmlns:p="http://schemas.microsoft.com/office/2006/metadata/properties" xmlns:ns3="1cd12a9b-3f1b-4617-8459-63b22e7cdbb9" targetNamespace="http://schemas.microsoft.com/office/2006/metadata/properties" ma:root="true" ma:fieldsID="14981aef4b30479f05feaa4da642c44c" ns3:_="">
    <xsd:import namespace="1cd12a9b-3f1b-4617-8459-63b22e7cdb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12a9b-3f1b-4617-8459-63b22e7cd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2167-7809-485A-BBE0-1CD6A70DA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12a9b-3f1b-4617-8459-63b22e7cd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1689A-48D6-4D2F-8025-153A5E1BB784}">
  <ds:schemaRefs>
    <ds:schemaRef ds:uri="http://schemas.microsoft.com/sharepoint/v3/contenttype/forms"/>
  </ds:schemaRefs>
</ds:datastoreItem>
</file>

<file path=customXml/itemProps3.xml><?xml version="1.0" encoding="utf-8"?>
<ds:datastoreItem xmlns:ds="http://schemas.openxmlformats.org/officeDocument/2006/customXml" ds:itemID="{F5B0EAD0-F87F-4CEF-B1FC-F923FC4F6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5D975-349B-41CA-8702-E0AF0BB7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330</Pages>
  <Words>109098</Words>
  <Characters>600039</Characters>
  <Application>Microsoft Office Word</Application>
  <DocSecurity>4</DocSecurity>
  <Lines>5000</Lines>
  <Paragraphs>1415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FACPCE - RT 54 NUA</vt:lpstr>
      <vt:lpstr>A</vt:lpstr>
    </vt:vector>
  </TitlesOfParts>
  <Company>.</Company>
  <LinksUpToDate>false</LinksUpToDate>
  <CharactersWithSpaces>707722</CharactersWithSpaces>
  <SharedDoc>false</SharedDoc>
  <HLinks>
    <vt:vector size="6" baseType="variant">
      <vt:variant>
        <vt:i4>1441841</vt:i4>
      </vt:variant>
      <vt:variant>
        <vt:i4>2</vt:i4>
      </vt:variant>
      <vt:variant>
        <vt:i4>0</vt:i4>
      </vt:variant>
      <vt:variant>
        <vt:i4>5</vt:i4>
      </vt:variant>
      <vt:variant>
        <vt:lpwstr/>
      </vt:variant>
      <vt:variant>
        <vt:lpwstr>_Toc107731475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FACPCE - RT 54 NUA</dc:title>
  <dc:creator>FACPCE</dc:creator>
  <cp:lastModifiedBy>Usuario de Windows</cp:lastModifiedBy>
  <cp:revision>2</cp:revision>
  <cp:lastPrinted>2023-12-29T18:00:00Z</cp:lastPrinted>
  <dcterms:created xsi:type="dcterms:W3CDTF">2023-12-29T18:40:00Z</dcterms:created>
  <dcterms:modified xsi:type="dcterms:W3CDTF">2023-12-29T18:40:00Z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d5d6903b-c8c3-3467-8614-6f3465be4646</vt:lpwstr>
  </property>
  <property fmtid="{D5CDD505-2E9C-101B-9397-08002B2CF9AE}" pid="25" name="ContentTypeId">
    <vt:lpwstr>0x01010087A77676461D6245904119C91E17BA2A</vt:lpwstr>
  </property>
  <property fmtid="{D5CDD505-2E9C-101B-9397-08002B2CF9AE}" pid="26" name="GrammarlyDocumentId">
    <vt:lpwstr>79f412637d548b3421181ff90c8b51af66d34b44eac0ff2060bd34862d5a6b0a</vt:lpwstr>
  </property>
</Properties>
</file>