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27" w:rsidRDefault="00C77127" w:rsidP="00C77127">
      <w:pPr>
        <w:rPr>
          <w:rFonts w:ascii="Arial" w:hAnsi="Arial" w:cs="Arial"/>
          <w:b/>
          <w:color w:val="000000" w:themeColor="text1"/>
        </w:rPr>
      </w:pPr>
    </w:p>
    <w:p w:rsidR="00C77127" w:rsidRPr="00892201" w:rsidRDefault="00C77127" w:rsidP="00C77127">
      <w:pPr>
        <w:pStyle w:val="Prrafodelista"/>
        <w:widowControl w:val="0"/>
        <w:numPr>
          <w:ilvl w:val="1"/>
          <w:numId w:val="1"/>
        </w:numPr>
        <w:tabs>
          <w:tab w:val="left" w:pos="468"/>
        </w:tabs>
        <w:autoSpaceDE w:val="0"/>
        <w:autoSpaceDN w:val="0"/>
        <w:spacing w:after="0" w:line="183" w:lineRule="exact"/>
        <w:ind w:left="709" w:hanging="529"/>
        <w:jc w:val="both"/>
        <w:rPr>
          <w:rFonts w:ascii="Arial" w:hAnsi="Arial" w:cs="Arial"/>
          <w:b/>
        </w:rPr>
      </w:pPr>
      <w:r w:rsidRPr="00892201">
        <w:rPr>
          <w:rFonts w:ascii="Arial" w:hAnsi="Arial" w:cs="Arial"/>
          <w:b/>
        </w:rPr>
        <w:t>Bases</w:t>
      </w:r>
      <w:r w:rsidRPr="00892201">
        <w:rPr>
          <w:rFonts w:ascii="Arial" w:hAnsi="Arial" w:cs="Arial"/>
          <w:b/>
          <w:spacing w:val="-5"/>
        </w:rPr>
        <w:t xml:space="preserve"> </w:t>
      </w:r>
      <w:r w:rsidRPr="00892201">
        <w:rPr>
          <w:rFonts w:ascii="Arial" w:hAnsi="Arial" w:cs="Arial"/>
          <w:b/>
        </w:rPr>
        <w:t>de</w:t>
      </w:r>
      <w:r w:rsidRPr="00892201">
        <w:rPr>
          <w:rFonts w:ascii="Arial" w:hAnsi="Arial" w:cs="Arial"/>
          <w:b/>
          <w:spacing w:val="-4"/>
        </w:rPr>
        <w:t xml:space="preserve"> </w:t>
      </w:r>
      <w:r w:rsidRPr="00892201">
        <w:rPr>
          <w:rFonts w:ascii="Arial" w:hAnsi="Arial" w:cs="Arial"/>
          <w:b/>
        </w:rPr>
        <w:t>preparación</w:t>
      </w:r>
      <w:r w:rsidRPr="00892201">
        <w:rPr>
          <w:rFonts w:ascii="Arial" w:hAnsi="Arial" w:cs="Arial"/>
          <w:b/>
          <w:spacing w:val="-6"/>
        </w:rPr>
        <w:t xml:space="preserve"> </w:t>
      </w:r>
      <w:r w:rsidRPr="00892201">
        <w:rPr>
          <w:rFonts w:ascii="Arial" w:hAnsi="Arial" w:cs="Arial"/>
          <w:b/>
        </w:rPr>
        <w:t>de</w:t>
      </w:r>
      <w:r w:rsidRPr="00892201">
        <w:rPr>
          <w:rFonts w:ascii="Arial" w:hAnsi="Arial" w:cs="Arial"/>
          <w:b/>
          <w:spacing w:val="-6"/>
        </w:rPr>
        <w:t xml:space="preserve"> </w:t>
      </w:r>
      <w:r w:rsidRPr="00892201">
        <w:rPr>
          <w:rFonts w:ascii="Arial" w:hAnsi="Arial" w:cs="Arial"/>
          <w:b/>
        </w:rPr>
        <w:t>los</w:t>
      </w:r>
      <w:r w:rsidRPr="00892201">
        <w:rPr>
          <w:rFonts w:ascii="Arial" w:hAnsi="Arial" w:cs="Arial"/>
          <w:b/>
          <w:spacing w:val="-4"/>
        </w:rPr>
        <w:t xml:space="preserve"> </w:t>
      </w:r>
      <w:r w:rsidRPr="00892201">
        <w:rPr>
          <w:rFonts w:ascii="Arial" w:hAnsi="Arial" w:cs="Arial"/>
          <w:b/>
        </w:rPr>
        <w:t>estados</w:t>
      </w:r>
      <w:r w:rsidRPr="00892201">
        <w:rPr>
          <w:rFonts w:ascii="Arial" w:hAnsi="Arial" w:cs="Arial"/>
          <w:b/>
          <w:spacing w:val="-4"/>
        </w:rPr>
        <w:t xml:space="preserve"> </w:t>
      </w:r>
      <w:r w:rsidRPr="00892201">
        <w:rPr>
          <w:rFonts w:ascii="Arial" w:hAnsi="Arial" w:cs="Arial"/>
          <w:b/>
          <w:spacing w:val="-2"/>
        </w:rPr>
        <w:t>contables</w:t>
      </w:r>
    </w:p>
    <w:p w:rsidR="00C77127" w:rsidRPr="00A3510B" w:rsidRDefault="00C77127" w:rsidP="00C77127">
      <w:pPr>
        <w:pStyle w:val="Textoindependiente"/>
        <w:tabs>
          <w:tab w:val="left" w:pos="6014"/>
        </w:tabs>
        <w:spacing w:before="1"/>
        <w:ind w:left="110" w:right="38"/>
        <w:jc w:val="both"/>
        <w:rPr>
          <w:rFonts w:ascii="Arial" w:hAnsi="Arial" w:cs="Arial"/>
        </w:rPr>
      </w:pPr>
    </w:p>
    <w:p w:rsidR="00C77127" w:rsidRPr="00A3510B" w:rsidRDefault="00C77127" w:rsidP="00C77127">
      <w:pPr>
        <w:pStyle w:val="Textoindependiente"/>
        <w:tabs>
          <w:tab w:val="left" w:pos="6014"/>
        </w:tabs>
        <w:spacing w:before="1"/>
        <w:ind w:left="110" w:right="38"/>
        <w:jc w:val="both"/>
        <w:rPr>
          <w:rFonts w:ascii="Arial" w:hAnsi="Arial" w:cs="Arial"/>
        </w:rPr>
      </w:pPr>
      <w:r w:rsidRPr="00A3510B">
        <w:rPr>
          <w:rFonts w:ascii="Arial" w:hAnsi="Arial" w:cs="Arial"/>
        </w:rPr>
        <w:t>Los</w:t>
      </w:r>
      <w:r w:rsidRPr="00A3510B">
        <w:rPr>
          <w:rFonts w:ascii="Arial" w:hAnsi="Arial" w:cs="Arial"/>
          <w:spacing w:val="-12"/>
        </w:rPr>
        <w:t xml:space="preserve"> </w:t>
      </w:r>
      <w:r w:rsidRPr="00A3510B">
        <w:rPr>
          <w:rFonts w:ascii="Arial" w:hAnsi="Arial" w:cs="Arial"/>
        </w:rPr>
        <w:t>presentes</w:t>
      </w:r>
      <w:r w:rsidRPr="00A3510B">
        <w:rPr>
          <w:rFonts w:ascii="Arial" w:hAnsi="Arial" w:cs="Arial"/>
          <w:spacing w:val="-11"/>
        </w:rPr>
        <w:t xml:space="preserve"> </w:t>
      </w:r>
      <w:r w:rsidRPr="00A3510B">
        <w:rPr>
          <w:rFonts w:ascii="Arial" w:hAnsi="Arial" w:cs="Arial"/>
        </w:rPr>
        <w:t>estados</w:t>
      </w:r>
      <w:r w:rsidRPr="00A3510B">
        <w:rPr>
          <w:rFonts w:ascii="Arial" w:hAnsi="Arial" w:cs="Arial"/>
          <w:spacing w:val="-11"/>
        </w:rPr>
        <w:t xml:space="preserve"> </w:t>
      </w:r>
      <w:r w:rsidRPr="00A3510B">
        <w:rPr>
          <w:rFonts w:ascii="Arial" w:hAnsi="Arial" w:cs="Arial"/>
        </w:rPr>
        <w:t>contables</w:t>
      </w:r>
      <w:r w:rsidRPr="00A3510B">
        <w:rPr>
          <w:rFonts w:ascii="Arial" w:hAnsi="Arial" w:cs="Arial"/>
          <w:spacing w:val="-11"/>
        </w:rPr>
        <w:t xml:space="preserve"> </w:t>
      </w:r>
      <w:r w:rsidRPr="00A3510B">
        <w:rPr>
          <w:rFonts w:ascii="Arial" w:hAnsi="Arial" w:cs="Arial"/>
        </w:rPr>
        <w:t>han</w:t>
      </w:r>
      <w:r w:rsidRPr="00A3510B">
        <w:rPr>
          <w:rFonts w:ascii="Arial" w:hAnsi="Arial" w:cs="Arial"/>
          <w:spacing w:val="-10"/>
        </w:rPr>
        <w:t xml:space="preserve"> </w:t>
      </w:r>
      <w:r w:rsidRPr="00A3510B">
        <w:rPr>
          <w:rFonts w:ascii="Arial" w:hAnsi="Arial" w:cs="Arial"/>
        </w:rPr>
        <w:t>sido</w:t>
      </w:r>
      <w:r w:rsidRPr="00A3510B">
        <w:rPr>
          <w:rFonts w:ascii="Arial" w:hAnsi="Arial" w:cs="Arial"/>
          <w:spacing w:val="-11"/>
        </w:rPr>
        <w:t xml:space="preserve"> </w:t>
      </w:r>
      <w:r w:rsidRPr="00A3510B">
        <w:rPr>
          <w:rFonts w:ascii="Arial" w:hAnsi="Arial" w:cs="Arial"/>
        </w:rPr>
        <w:t>preparados</w:t>
      </w:r>
      <w:r w:rsidRPr="00A3510B">
        <w:rPr>
          <w:rFonts w:ascii="Arial" w:hAnsi="Arial" w:cs="Arial"/>
          <w:spacing w:val="-11"/>
        </w:rPr>
        <w:t xml:space="preserve"> </w:t>
      </w:r>
      <w:r w:rsidRPr="00A3510B">
        <w:rPr>
          <w:rFonts w:ascii="Arial" w:hAnsi="Arial" w:cs="Arial"/>
        </w:rPr>
        <w:t>de</w:t>
      </w:r>
      <w:r w:rsidRPr="00A3510B">
        <w:rPr>
          <w:rFonts w:ascii="Arial" w:hAnsi="Arial" w:cs="Arial"/>
          <w:spacing w:val="-12"/>
        </w:rPr>
        <w:t xml:space="preserve"> </w:t>
      </w:r>
      <w:r w:rsidRPr="00A3510B">
        <w:rPr>
          <w:rFonts w:ascii="Arial" w:hAnsi="Arial" w:cs="Arial"/>
        </w:rPr>
        <w:t>conformidad</w:t>
      </w:r>
      <w:r w:rsidRPr="00A3510B">
        <w:rPr>
          <w:rFonts w:ascii="Arial" w:hAnsi="Arial" w:cs="Arial"/>
          <w:spacing w:val="-11"/>
        </w:rPr>
        <w:t xml:space="preserve"> </w:t>
      </w:r>
      <w:r w:rsidRPr="00A3510B">
        <w:rPr>
          <w:rFonts w:ascii="Arial" w:hAnsi="Arial" w:cs="Arial"/>
        </w:rPr>
        <w:t>con</w:t>
      </w:r>
      <w:r w:rsidRPr="00A3510B">
        <w:rPr>
          <w:rFonts w:ascii="Arial" w:hAnsi="Arial" w:cs="Arial"/>
          <w:spacing w:val="-11"/>
        </w:rPr>
        <w:t xml:space="preserve"> </w:t>
      </w:r>
      <w:r>
        <w:rPr>
          <w:rFonts w:ascii="Arial" w:hAnsi="Arial" w:cs="Arial"/>
          <w:spacing w:val="-11"/>
        </w:rPr>
        <w:t xml:space="preserve">el Marco de Información Contable </w:t>
      </w:r>
      <w:r w:rsidR="000A3017">
        <w:rPr>
          <w:rFonts w:ascii="Arial" w:hAnsi="Arial" w:cs="Arial"/>
          <w:spacing w:val="-11"/>
        </w:rPr>
        <w:t xml:space="preserve"> establecido por el Instituto Nacional de </w:t>
      </w:r>
      <w:proofErr w:type="spellStart"/>
      <w:r w:rsidR="000A3017">
        <w:rPr>
          <w:rFonts w:ascii="Arial" w:hAnsi="Arial" w:cs="Arial"/>
          <w:spacing w:val="-11"/>
        </w:rPr>
        <w:t>Asociativismo</w:t>
      </w:r>
      <w:proofErr w:type="spellEnd"/>
      <w:r w:rsidR="000A3017">
        <w:rPr>
          <w:rFonts w:ascii="Arial" w:hAnsi="Arial" w:cs="Arial"/>
          <w:spacing w:val="-11"/>
        </w:rPr>
        <w:t xml:space="preserve"> y Economía Social (INAES) </w:t>
      </w:r>
      <w:r>
        <w:rPr>
          <w:rFonts w:ascii="Arial" w:hAnsi="Arial" w:cs="Arial"/>
          <w:spacing w:val="-11"/>
        </w:rPr>
        <w:t xml:space="preserve">constituido por </w:t>
      </w:r>
      <w:r w:rsidRPr="00A3510B">
        <w:rPr>
          <w:rFonts w:ascii="Arial" w:hAnsi="Arial" w:cs="Arial"/>
        </w:rPr>
        <w:t>la</w:t>
      </w:r>
      <w:r w:rsidRPr="00A3510B">
        <w:rPr>
          <w:rFonts w:ascii="Arial" w:hAnsi="Arial" w:cs="Arial"/>
          <w:spacing w:val="-9"/>
        </w:rPr>
        <w:t xml:space="preserve"> </w:t>
      </w:r>
      <w:r w:rsidRPr="00A3510B">
        <w:rPr>
          <w:rFonts w:ascii="Arial" w:hAnsi="Arial" w:cs="Arial"/>
        </w:rPr>
        <w:t>Resolución</w:t>
      </w:r>
      <w:r w:rsidRPr="00A3510B">
        <w:rPr>
          <w:rFonts w:ascii="Arial" w:hAnsi="Arial" w:cs="Arial"/>
          <w:spacing w:val="-12"/>
        </w:rPr>
        <w:t xml:space="preserve"> </w:t>
      </w:r>
      <w:r w:rsidRPr="00A3510B">
        <w:rPr>
          <w:rFonts w:ascii="Arial" w:hAnsi="Arial" w:cs="Arial"/>
        </w:rPr>
        <w:t>Técnica</w:t>
      </w:r>
      <w:r>
        <w:rPr>
          <w:rFonts w:ascii="Arial" w:hAnsi="Arial" w:cs="Arial"/>
        </w:rPr>
        <w:t xml:space="preserve"> N° 24 (Texto Ordenado s/ RT N° 51),  conforme ha sido aprobada por la Resolución INAES N° 996/2021 con las aclaraciones y modificaciones estipuladas en esta última resolución, y, en función de lo establecido en el Anexo I, Apartado 2, de la RT N° 24, para todas las cuestiones contables no previstas en dichas normas, por la Resolución Técnica</w:t>
      </w:r>
      <w:r w:rsidRPr="00A3510B">
        <w:rPr>
          <w:rFonts w:ascii="Arial" w:hAnsi="Arial" w:cs="Arial"/>
          <w:spacing w:val="-11"/>
        </w:rPr>
        <w:t xml:space="preserve"> </w:t>
      </w:r>
      <w:r w:rsidRPr="00A3510B">
        <w:rPr>
          <w:rFonts w:ascii="Arial" w:hAnsi="Arial" w:cs="Arial"/>
        </w:rPr>
        <w:t>N°</w:t>
      </w:r>
      <w:r w:rsidRPr="00A3510B">
        <w:rPr>
          <w:rFonts w:ascii="Arial" w:hAnsi="Arial" w:cs="Arial"/>
          <w:spacing w:val="-10"/>
        </w:rPr>
        <w:t xml:space="preserve"> </w:t>
      </w:r>
      <w:r w:rsidRPr="00A3510B">
        <w:rPr>
          <w:rFonts w:ascii="Arial" w:hAnsi="Arial" w:cs="Arial"/>
        </w:rPr>
        <w:t>54 y modificatorias,</w:t>
      </w:r>
      <w:r w:rsidRPr="00A3510B">
        <w:rPr>
          <w:rFonts w:ascii="Arial" w:hAnsi="Arial" w:cs="Arial"/>
          <w:spacing w:val="27"/>
        </w:rPr>
        <w:t xml:space="preserve"> </w:t>
      </w:r>
      <w:r w:rsidRPr="00A3510B">
        <w:rPr>
          <w:rFonts w:ascii="Arial" w:hAnsi="Arial" w:cs="Arial"/>
        </w:rPr>
        <w:t xml:space="preserve">tal y como han sido aprobadas por el Consejo Profesional de Ciencias Económicas de la Provincia de Buenos Aires (CPCEPBA). </w:t>
      </w:r>
    </w:p>
    <w:p w:rsidR="00C77127" w:rsidRPr="00A3510B" w:rsidRDefault="00C77127" w:rsidP="00C77127">
      <w:pPr>
        <w:pStyle w:val="Textoindependiente"/>
        <w:tabs>
          <w:tab w:val="left" w:pos="6014"/>
        </w:tabs>
        <w:spacing w:before="1"/>
        <w:ind w:left="110" w:right="38"/>
        <w:jc w:val="both"/>
        <w:rPr>
          <w:rFonts w:ascii="Arial" w:hAnsi="Arial" w:cs="Arial"/>
        </w:rPr>
      </w:pPr>
      <w:r w:rsidRPr="00A3510B">
        <w:rPr>
          <w:rFonts w:ascii="Arial" w:hAnsi="Arial" w:cs="Arial"/>
          <w:color w:val="FF0000"/>
        </w:rPr>
        <w:t>[</w:t>
      </w:r>
      <w:r w:rsidRPr="00A3510B">
        <w:rPr>
          <w:rFonts w:ascii="Arial" w:hAnsi="Arial" w:cs="Arial"/>
          <w:color w:val="FF0000"/>
          <w:u w:val="single"/>
        </w:rPr>
        <w:t>De corresponder</w:t>
      </w:r>
      <w:r w:rsidRPr="00A3510B">
        <w:rPr>
          <w:rFonts w:ascii="Arial" w:hAnsi="Arial" w:cs="Arial"/>
          <w:color w:val="FF0000"/>
        </w:rPr>
        <w:t>]</w:t>
      </w:r>
      <w:r w:rsidRPr="00A3510B">
        <w:rPr>
          <w:rFonts w:ascii="Arial" w:hAnsi="Arial" w:cs="Arial"/>
        </w:rPr>
        <w:t xml:space="preserve"> </w:t>
      </w:r>
      <w:r>
        <w:rPr>
          <w:rFonts w:ascii="Arial" w:hAnsi="Arial" w:cs="Arial"/>
        </w:rPr>
        <w:t>La</w:t>
      </w:r>
      <w:r w:rsidRPr="00A3510B">
        <w:rPr>
          <w:rFonts w:ascii="Arial" w:hAnsi="Arial" w:cs="Arial"/>
        </w:rPr>
        <w:t xml:space="preserve"> Resolución Técnica </w:t>
      </w:r>
      <w:r>
        <w:rPr>
          <w:rFonts w:ascii="Arial" w:hAnsi="Arial" w:cs="Arial"/>
        </w:rPr>
        <w:t xml:space="preserve">N° 54 </w:t>
      </w:r>
      <w:r w:rsidRPr="00A3510B">
        <w:rPr>
          <w:rFonts w:ascii="Arial" w:hAnsi="Arial" w:cs="Arial"/>
        </w:rPr>
        <w:t xml:space="preserve">se ha aplicado por primera vez en el presente ejercicio, las modificaciones a la información de ejercicios anteriores como consecuencia de cambios en los criterios de reconocimiento, medición y/o presentación aplicados </w:t>
      </w:r>
      <w:r w:rsidRPr="00A3510B">
        <w:rPr>
          <w:rFonts w:ascii="Arial" w:hAnsi="Arial" w:cs="Arial"/>
          <w:color w:val="FF0000"/>
        </w:rPr>
        <w:t>[</w:t>
      </w:r>
      <w:r w:rsidRPr="00A3510B">
        <w:rPr>
          <w:rFonts w:ascii="Arial" w:hAnsi="Arial" w:cs="Arial"/>
          <w:color w:val="FF0000"/>
          <w:u w:val="single"/>
        </w:rPr>
        <w:t>de corresponder</w:t>
      </w:r>
      <w:r w:rsidRPr="00A3510B">
        <w:rPr>
          <w:rFonts w:ascii="Arial" w:hAnsi="Arial" w:cs="Arial"/>
          <w:color w:val="FF0000"/>
        </w:rPr>
        <w:t>, su justificación]</w:t>
      </w:r>
      <w:r w:rsidRPr="00A3510B">
        <w:rPr>
          <w:rFonts w:ascii="Arial" w:hAnsi="Arial" w:cs="Arial"/>
        </w:rPr>
        <w:t xml:space="preserve"> y la cuantificación de sus efectos se exponen en la Nota </w:t>
      </w:r>
      <w:r>
        <w:rPr>
          <w:rFonts w:ascii="Arial" w:hAnsi="Arial" w:cs="Arial"/>
        </w:rPr>
        <w:t>X</w:t>
      </w:r>
      <w:r w:rsidR="000A3017">
        <w:rPr>
          <w:rFonts w:ascii="Arial" w:hAnsi="Arial" w:cs="Arial"/>
        </w:rPr>
        <w:t>.6.</w:t>
      </w:r>
      <w:r w:rsidRPr="00A3510B">
        <w:rPr>
          <w:rFonts w:ascii="Arial" w:hAnsi="Arial" w:cs="Arial"/>
        </w:rPr>
        <w:t xml:space="preserve">, asimismo, el enfoque adoptado en relación con la presentación de la información comparativa y su descripción </w:t>
      </w:r>
      <w:r w:rsidRPr="00A3510B">
        <w:rPr>
          <w:rFonts w:ascii="Arial" w:hAnsi="Arial" w:cs="Arial"/>
          <w:color w:val="FF0000"/>
        </w:rPr>
        <w:t>[</w:t>
      </w:r>
      <w:r w:rsidRPr="00A3510B">
        <w:rPr>
          <w:rFonts w:ascii="Arial" w:hAnsi="Arial" w:cs="Arial"/>
          <w:color w:val="FF0000"/>
          <w:u w:val="single"/>
        </w:rPr>
        <w:t>Si se ha aplicado el Enfoque Retroactivo Simplificado</w:t>
      </w:r>
      <w:r w:rsidRPr="00A3510B">
        <w:rPr>
          <w:rFonts w:ascii="Arial" w:hAnsi="Arial" w:cs="Arial"/>
          <w:color w:val="FF0000"/>
        </w:rPr>
        <w:t xml:space="preserve"> sus descripción, criterio de aplicación adoptado y su efecto sobre la </w:t>
      </w:r>
      <w:proofErr w:type="spellStart"/>
      <w:r w:rsidRPr="00A3510B">
        <w:rPr>
          <w:rFonts w:ascii="Arial" w:hAnsi="Arial" w:cs="Arial"/>
          <w:color w:val="FF0000"/>
        </w:rPr>
        <w:t>comparabilidad</w:t>
      </w:r>
      <w:proofErr w:type="spellEnd"/>
      <w:r w:rsidRPr="00A3510B">
        <w:rPr>
          <w:rFonts w:ascii="Arial" w:hAnsi="Arial" w:cs="Arial"/>
          <w:color w:val="FF0000"/>
        </w:rPr>
        <w:t xml:space="preserve"> de la información]</w:t>
      </w:r>
      <w:r w:rsidRPr="00A3510B">
        <w:rPr>
          <w:rFonts w:ascii="Arial" w:hAnsi="Arial" w:cs="Arial"/>
        </w:rPr>
        <w:t xml:space="preserve"> se indican en la Nota </w:t>
      </w:r>
      <w:r>
        <w:rPr>
          <w:rFonts w:ascii="Arial" w:hAnsi="Arial" w:cs="Arial"/>
        </w:rPr>
        <w:t>X</w:t>
      </w:r>
      <w:r w:rsidR="000A3017">
        <w:rPr>
          <w:rFonts w:ascii="Arial" w:hAnsi="Arial" w:cs="Arial"/>
        </w:rPr>
        <w:t>.5</w:t>
      </w:r>
      <w:r w:rsidRPr="00A3510B">
        <w:rPr>
          <w:rFonts w:ascii="Arial" w:hAnsi="Arial" w:cs="Arial"/>
        </w:rPr>
        <w:t xml:space="preserve">. </w:t>
      </w:r>
    </w:p>
    <w:p w:rsidR="00C77127" w:rsidRDefault="00C77127" w:rsidP="00C77127">
      <w:pPr>
        <w:rPr>
          <w:rFonts w:ascii="Arial" w:hAnsi="Arial" w:cs="Arial"/>
          <w:b/>
          <w:color w:val="000000" w:themeColor="text1"/>
        </w:rPr>
      </w:pPr>
    </w:p>
    <w:p w:rsidR="00C77127" w:rsidRDefault="00C77127" w:rsidP="00C77127">
      <w:pPr>
        <w:widowControl w:val="0"/>
        <w:tabs>
          <w:tab w:val="left" w:pos="468"/>
        </w:tabs>
        <w:autoSpaceDE w:val="0"/>
        <w:autoSpaceDN w:val="0"/>
        <w:spacing w:before="1" w:after="0" w:line="240" w:lineRule="auto"/>
        <w:ind w:left="180"/>
        <w:jc w:val="both"/>
        <w:rPr>
          <w:rFonts w:ascii="Arial" w:hAnsi="Arial" w:cs="Arial"/>
          <w:b/>
        </w:rPr>
      </w:pPr>
      <w:r w:rsidRPr="00BA5E26">
        <w:rPr>
          <w:rFonts w:ascii="Arial" w:hAnsi="Arial" w:cs="Arial"/>
          <w:b/>
        </w:rPr>
        <w:t>X.X. Principales diferencias entre las Normas Contables Profesionales Argentinas vigentes en jurisdicción del Consejo Profesional de Ciencias Económicas de la Provincia de Buenos Aires y el Marco de Información Contable establecido por el INAES</w:t>
      </w:r>
      <w:r>
        <w:rPr>
          <w:rFonts w:ascii="Arial" w:hAnsi="Arial" w:cs="Arial"/>
          <w:b/>
        </w:rPr>
        <w:t>.</w:t>
      </w:r>
    </w:p>
    <w:p w:rsidR="00C77127" w:rsidRDefault="00C77127" w:rsidP="00C77127">
      <w:pPr>
        <w:widowControl w:val="0"/>
        <w:tabs>
          <w:tab w:val="left" w:pos="468"/>
        </w:tabs>
        <w:autoSpaceDE w:val="0"/>
        <w:autoSpaceDN w:val="0"/>
        <w:spacing w:before="1" w:after="0" w:line="240" w:lineRule="auto"/>
        <w:ind w:left="180"/>
        <w:jc w:val="both"/>
        <w:rPr>
          <w:rFonts w:ascii="Arial" w:hAnsi="Arial" w:cs="Arial"/>
          <w:b/>
        </w:rPr>
      </w:pPr>
    </w:p>
    <w:p w:rsidR="00C77127" w:rsidRDefault="00C77127" w:rsidP="00C77127">
      <w:pPr>
        <w:widowControl w:val="0"/>
        <w:tabs>
          <w:tab w:val="left" w:pos="468"/>
        </w:tabs>
        <w:autoSpaceDE w:val="0"/>
        <w:autoSpaceDN w:val="0"/>
        <w:spacing w:before="1" w:after="0" w:line="240" w:lineRule="auto"/>
        <w:ind w:left="180"/>
        <w:jc w:val="both"/>
        <w:rPr>
          <w:rFonts w:ascii="Arial" w:hAnsi="Arial" w:cs="Arial"/>
        </w:rPr>
      </w:pPr>
      <w:r w:rsidRPr="00BA5E26">
        <w:rPr>
          <w:rFonts w:ascii="Arial" w:hAnsi="Arial" w:cs="Arial"/>
        </w:rPr>
        <w:t>L</w:t>
      </w:r>
      <w:r>
        <w:rPr>
          <w:rFonts w:ascii="Arial" w:hAnsi="Arial" w:cs="Arial"/>
        </w:rPr>
        <w:t xml:space="preserve">as principales diferencias entre las </w:t>
      </w:r>
      <w:r w:rsidRPr="00BA5E26">
        <w:rPr>
          <w:rFonts w:ascii="Arial" w:hAnsi="Arial" w:cs="Arial"/>
        </w:rPr>
        <w:t xml:space="preserve">Normas Contables Profesionales Argentinas vigentes en jurisdicción del </w:t>
      </w:r>
      <w:r w:rsidR="000A3017">
        <w:rPr>
          <w:rFonts w:ascii="Arial" w:hAnsi="Arial" w:cs="Arial"/>
        </w:rPr>
        <w:t>CPCEPBA</w:t>
      </w:r>
      <w:r w:rsidRPr="00BA5E26">
        <w:rPr>
          <w:rFonts w:ascii="Arial" w:hAnsi="Arial" w:cs="Arial"/>
        </w:rPr>
        <w:t xml:space="preserve"> y el Marco de Información Contable establecido por el INAES</w:t>
      </w:r>
      <w:r>
        <w:rPr>
          <w:rFonts w:ascii="Arial" w:hAnsi="Arial" w:cs="Arial"/>
        </w:rPr>
        <w:t xml:space="preserve"> son:</w:t>
      </w:r>
    </w:p>
    <w:p w:rsidR="00C77127" w:rsidRDefault="00C77127" w:rsidP="00C77127">
      <w:pPr>
        <w:pStyle w:val="Prrafodelista"/>
        <w:widowControl w:val="0"/>
        <w:tabs>
          <w:tab w:val="left" w:pos="567"/>
        </w:tabs>
        <w:autoSpaceDE w:val="0"/>
        <w:autoSpaceDN w:val="0"/>
        <w:spacing w:before="1" w:after="0" w:line="240" w:lineRule="auto"/>
        <w:ind w:left="540"/>
        <w:jc w:val="both"/>
        <w:rPr>
          <w:rFonts w:ascii="Arial" w:hAnsi="Arial" w:cs="Arial"/>
          <w:color w:val="000000" w:themeColor="text1"/>
        </w:rPr>
      </w:pPr>
    </w:p>
    <w:p w:rsidR="00C77127" w:rsidRDefault="00C77127" w:rsidP="00C77127">
      <w:pPr>
        <w:pStyle w:val="Prrafodelista"/>
        <w:widowControl w:val="0"/>
        <w:numPr>
          <w:ilvl w:val="0"/>
          <w:numId w:val="2"/>
        </w:numPr>
        <w:tabs>
          <w:tab w:val="left" w:pos="567"/>
        </w:tabs>
        <w:autoSpaceDE w:val="0"/>
        <w:autoSpaceDN w:val="0"/>
        <w:spacing w:before="1" w:after="0" w:line="240" w:lineRule="auto"/>
        <w:jc w:val="both"/>
        <w:rPr>
          <w:rFonts w:ascii="Arial" w:hAnsi="Arial" w:cs="Arial"/>
          <w:color w:val="000000" w:themeColor="text1"/>
        </w:rPr>
      </w:pPr>
      <w:r>
        <w:rPr>
          <w:rFonts w:ascii="Arial" w:hAnsi="Arial" w:cs="Arial"/>
          <w:color w:val="000000" w:themeColor="text1"/>
        </w:rPr>
        <w:t>L</w:t>
      </w:r>
      <w:r w:rsidRPr="00CE3F2F">
        <w:rPr>
          <w:rFonts w:ascii="Arial" w:hAnsi="Arial" w:cs="Arial"/>
          <w:color w:val="000000" w:themeColor="text1"/>
        </w:rPr>
        <w:t xml:space="preserve">a Cooperativa ABCD ha incorporado la información requerida por el Instituto Nacional de </w:t>
      </w:r>
      <w:proofErr w:type="spellStart"/>
      <w:r w:rsidRPr="00CE3F2F">
        <w:rPr>
          <w:rFonts w:ascii="Arial" w:hAnsi="Arial" w:cs="Arial"/>
          <w:color w:val="000000" w:themeColor="text1"/>
        </w:rPr>
        <w:t>Asociativismo</w:t>
      </w:r>
      <w:proofErr w:type="spellEnd"/>
      <w:r w:rsidRPr="00CE3F2F">
        <w:rPr>
          <w:rFonts w:ascii="Arial" w:hAnsi="Arial" w:cs="Arial"/>
          <w:color w:val="000000" w:themeColor="text1"/>
        </w:rPr>
        <w:t xml:space="preserve"> y Economía Social mediante la Resolución N° 996/2021 – Anexo I, </w:t>
      </w:r>
      <w:r>
        <w:rPr>
          <w:rFonts w:ascii="Arial" w:hAnsi="Arial" w:cs="Arial"/>
          <w:color w:val="000000" w:themeColor="text1"/>
        </w:rPr>
        <w:t>A</w:t>
      </w:r>
      <w:r w:rsidRPr="00CE3F2F">
        <w:rPr>
          <w:rFonts w:ascii="Arial" w:hAnsi="Arial" w:cs="Arial"/>
          <w:color w:val="000000" w:themeColor="text1"/>
        </w:rPr>
        <w:t>partado H e I</w:t>
      </w:r>
      <w:r>
        <w:rPr>
          <w:rFonts w:ascii="Arial" w:hAnsi="Arial" w:cs="Arial"/>
          <w:color w:val="000000" w:themeColor="text1"/>
        </w:rPr>
        <w:t xml:space="preserve">, referida a </w:t>
      </w:r>
      <w:r w:rsidR="000A3017">
        <w:rPr>
          <w:rFonts w:ascii="Arial" w:hAnsi="Arial" w:cs="Arial"/>
          <w:color w:val="000000" w:themeColor="text1"/>
        </w:rPr>
        <w:t xml:space="preserve">la </w:t>
      </w:r>
      <w:r>
        <w:rPr>
          <w:rFonts w:ascii="Arial" w:hAnsi="Arial" w:cs="Arial"/>
          <w:color w:val="000000" w:themeColor="text1"/>
        </w:rPr>
        <w:t>Contribución Especial establecida por la Ley N° 23.427 y a los Fondos de acción asistencial y laboral o para estímulo del personal y fondo de educación y capacitación cooperativas, respectivamente</w:t>
      </w:r>
      <w:r w:rsidRPr="00CE3F2F">
        <w:rPr>
          <w:rFonts w:ascii="Arial" w:hAnsi="Arial" w:cs="Arial"/>
          <w:color w:val="000000" w:themeColor="text1"/>
        </w:rPr>
        <w:t>. Dicha Resolución requiere que esa información se exprese en valores nominales, como excepción a lo dispuesto por la Resolución N° 419/2019 del mismo Instituto que establece que los estados contables se presenten en moneda constante, y sin realizar su comparación con las cifras correspondientes del ejercicio anterior</w:t>
      </w:r>
      <w:r>
        <w:rPr>
          <w:rFonts w:ascii="Arial" w:hAnsi="Arial" w:cs="Arial"/>
          <w:color w:val="000000" w:themeColor="text1"/>
        </w:rPr>
        <w:t>. De acuerdo a lo establecido por las Normas Contables Profesionales Argentinas esa información debería exponerse en moneda de cierre de</w:t>
      </w:r>
      <w:r w:rsidR="000A3017">
        <w:rPr>
          <w:rFonts w:ascii="Arial" w:hAnsi="Arial" w:cs="Arial"/>
          <w:color w:val="000000" w:themeColor="text1"/>
        </w:rPr>
        <w:t>l</w:t>
      </w:r>
      <w:r>
        <w:rPr>
          <w:rFonts w:ascii="Arial" w:hAnsi="Arial" w:cs="Arial"/>
          <w:color w:val="000000" w:themeColor="text1"/>
        </w:rPr>
        <w:t xml:space="preserve"> ejercicio</w:t>
      </w:r>
      <w:r w:rsidR="000A3017">
        <w:rPr>
          <w:rFonts w:ascii="Arial" w:hAnsi="Arial" w:cs="Arial"/>
          <w:color w:val="000000" w:themeColor="text1"/>
        </w:rPr>
        <w:t xml:space="preserve"> actual</w:t>
      </w:r>
      <w:r>
        <w:rPr>
          <w:rFonts w:ascii="Arial" w:hAnsi="Arial" w:cs="Arial"/>
          <w:color w:val="000000" w:themeColor="text1"/>
        </w:rPr>
        <w:t xml:space="preserve"> y en forma comparativa con las cifras del ejercicio anterior.</w:t>
      </w:r>
    </w:p>
    <w:p w:rsidR="00C77127" w:rsidRPr="002A23DB" w:rsidRDefault="00C77127" w:rsidP="00C77127">
      <w:pPr>
        <w:pStyle w:val="Prrafodelista"/>
        <w:widowControl w:val="0"/>
        <w:tabs>
          <w:tab w:val="left" w:pos="567"/>
        </w:tabs>
        <w:autoSpaceDE w:val="0"/>
        <w:autoSpaceDN w:val="0"/>
        <w:spacing w:before="1" w:after="0" w:line="240" w:lineRule="auto"/>
        <w:ind w:left="540"/>
        <w:jc w:val="both"/>
        <w:rPr>
          <w:rFonts w:ascii="Arial" w:hAnsi="Arial" w:cs="Arial"/>
          <w:color w:val="000000" w:themeColor="text1"/>
        </w:rPr>
      </w:pPr>
    </w:p>
    <w:p w:rsidR="00C77127" w:rsidRDefault="00C77127" w:rsidP="00C77127">
      <w:pPr>
        <w:pStyle w:val="Prrafodelista"/>
        <w:widowControl w:val="0"/>
        <w:numPr>
          <w:ilvl w:val="0"/>
          <w:numId w:val="2"/>
        </w:numPr>
        <w:tabs>
          <w:tab w:val="left" w:pos="567"/>
        </w:tabs>
        <w:autoSpaceDE w:val="0"/>
        <w:autoSpaceDN w:val="0"/>
        <w:spacing w:before="1" w:after="0" w:line="240" w:lineRule="auto"/>
        <w:jc w:val="both"/>
        <w:rPr>
          <w:rFonts w:ascii="Arial" w:hAnsi="Arial" w:cs="Arial"/>
          <w:color w:val="000000" w:themeColor="text1"/>
        </w:rPr>
      </w:pPr>
      <w:r>
        <w:rPr>
          <w:rFonts w:ascii="Arial" w:hAnsi="Arial" w:cs="Arial"/>
          <w:color w:val="000000" w:themeColor="text1"/>
        </w:rPr>
        <w:t>Las Normas Contables Profesionales Argentinas vigentes extienden a la Categoría Ente Mediano las dispensas en virtud de las que puede no exponerse en la información complementaria la información especial sobre el Capital Cooperativo ni la correspondiente  a activos y pasivos asignados por sección, indicadas en los párrafos 1063, inciso e), y 1068 de la RT N° 62, respectivamente. Estas dispensas están admitidas en la normativa del INAES pero con alcance solo para Entes Pequeños.</w:t>
      </w:r>
    </w:p>
    <w:p w:rsidR="00C77127" w:rsidRPr="008B37EB" w:rsidRDefault="00C77127" w:rsidP="00C77127">
      <w:pPr>
        <w:pStyle w:val="Prrafodelista"/>
        <w:rPr>
          <w:rFonts w:ascii="Arial" w:hAnsi="Arial" w:cs="Arial"/>
          <w:color w:val="000000" w:themeColor="text1"/>
        </w:rPr>
      </w:pPr>
    </w:p>
    <w:p w:rsidR="00C77127" w:rsidRDefault="00C77127" w:rsidP="00C77127">
      <w:pPr>
        <w:pStyle w:val="Prrafodelista"/>
        <w:widowControl w:val="0"/>
        <w:numPr>
          <w:ilvl w:val="0"/>
          <w:numId w:val="2"/>
        </w:numPr>
        <w:tabs>
          <w:tab w:val="left" w:pos="567"/>
        </w:tabs>
        <w:autoSpaceDE w:val="0"/>
        <w:autoSpaceDN w:val="0"/>
        <w:spacing w:before="1" w:after="0" w:line="240" w:lineRule="auto"/>
        <w:jc w:val="both"/>
        <w:rPr>
          <w:rFonts w:ascii="Arial" w:hAnsi="Arial" w:cs="Arial"/>
          <w:color w:val="000000" w:themeColor="text1"/>
        </w:rPr>
      </w:pPr>
      <w:r>
        <w:rPr>
          <w:rFonts w:ascii="Arial" w:hAnsi="Arial" w:cs="Arial"/>
          <w:color w:val="000000" w:themeColor="text1"/>
        </w:rPr>
        <w:t>La normativa del INAES no permite la aplicación de la dispensa</w:t>
      </w:r>
      <w:r w:rsidR="000A3017">
        <w:rPr>
          <w:rFonts w:ascii="Arial" w:hAnsi="Arial" w:cs="Arial"/>
          <w:color w:val="000000" w:themeColor="text1"/>
        </w:rPr>
        <w:t xml:space="preserve">, prevista en la </w:t>
      </w:r>
      <w:r w:rsidR="000A3017">
        <w:rPr>
          <w:rFonts w:ascii="Arial" w:hAnsi="Arial" w:cs="Arial"/>
          <w:color w:val="000000" w:themeColor="text1"/>
        </w:rPr>
        <w:lastRenderedPageBreak/>
        <w:t>RT N° 24,</w:t>
      </w:r>
      <w:r>
        <w:rPr>
          <w:rFonts w:ascii="Arial" w:hAnsi="Arial" w:cs="Arial"/>
          <w:color w:val="000000" w:themeColor="text1"/>
        </w:rPr>
        <w:t xml:space="preserve"> </w:t>
      </w:r>
      <w:r w:rsidR="000A3017">
        <w:rPr>
          <w:rFonts w:ascii="Arial" w:hAnsi="Arial" w:cs="Arial"/>
          <w:color w:val="000000" w:themeColor="text1"/>
        </w:rPr>
        <w:t>referida a la</w:t>
      </w:r>
      <w:r>
        <w:rPr>
          <w:rFonts w:ascii="Arial" w:hAnsi="Arial" w:cs="Arial"/>
          <w:color w:val="000000" w:themeColor="text1"/>
        </w:rPr>
        <w:t xml:space="preserve"> no expo</w:t>
      </w:r>
      <w:r w:rsidR="000A3017">
        <w:rPr>
          <w:rFonts w:ascii="Arial" w:hAnsi="Arial" w:cs="Arial"/>
          <w:color w:val="000000" w:themeColor="text1"/>
        </w:rPr>
        <w:t>sición de</w:t>
      </w:r>
      <w:r>
        <w:rPr>
          <w:rFonts w:ascii="Arial" w:hAnsi="Arial" w:cs="Arial"/>
          <w:color w:val="000000" w:themeColor="text1"/>
        </w:rPr>
        <w:t xml:space="preserve"> la información relativa a resultados generados por la gestión cooperativa clasificados por sección. Las Normas Contables Profesionales Argentinas sí admiten</w:t>
      </w:r>
      <w:r w:rsidR="000A3017">
        <w:rPr>
          <w:rFonts w:ascii="Arial" w:hAnsi="Arial" w:cs="Arial"/>
          <w:color w:val="000000" w:themeColor="text1"/>
        </w:rPr>
        <w:t xml:space="preserve"> la utilización de esa dispensa</w:t>
      </w:r>
      <w:r>
        <w:rPr>
          <w:rFonts w:ascii="Arial" w:hAnsi="Arial" w:cs="Arial"/>
          <w:color w:val="000000" w:themeColor="text1"/>
        </w:rPr>
        <w:t xml:space="preserve"> para las entidades cooperativas que califiquen como Entes Pequeños o Entes Medianos, según lo establecido en los párrafos 1064 y 1067, y concordantes, de la RT N° 62.</w:t>
      </w:r>
    </w:p>
    <w:p w:rsidR="00C77127" w:rsidRPr="009F272E" w:rsidRDefault="00C77127" w:rsidP="00C77127">
      <w:pPr>
        <w:pStyle w:val="Prrafodelista"/>
        <w:rPr>
          <w:rFonts w:ascii="Arial" w:hAnsi="Arial" w:cs="Arial"/>
          <w:color w:val="000000" w:themeColor="text1"/>
        </w:rPr>
      </w:pPr>
    </w:p>
    <w:p w:rsidR="00C77127" w:rsidRDefault="00C77127" w:rsidP="00C77127">
      <w:pPr>
        <w:pStyle w:val="Prrafodelista"/>
        <w:widowControl w:val="0"/>
        <w:numPr>
          <w:ilvl w:val="0"/>
          <w:numId w:val="2"/>
        </w:numPr>
        <w:tabs>
          <w:tab w:val="left" w:pos="567"/>
        </w:tabs>
        <w:autoSpaceDE w:val="0"/>
        <w:autoSpaceDN w:val="0"/>
        <w:spacing w:before="1" w:after="0" w:line="240" w:lineRule="auto"/>
        <w:jc w:val="both"/>
        <w:rPr>
          <w:rFonts w:ascii="Arial" w:hAnsi="Arial" w:cs="Arial"/>
          <w:color w:val="000000" w:themeColor="text1"/>
        </w:rPr>
      </w:pPr>
      <w:r>
        <w:rPr>
          <w:rFonts w:ascii="Arial" w:hAnsi="Arial" w:cs="Arial"/>
          <w:color w:val="000000" w:themeColor="text1"/>
        </w:rPr>
        <w:t>Las Normas Contables Profesionales Argentinas vigentes no contienen regulaciones específicas acerca del orden de compensación de pérdidas de ejercicios anteriores, ni instrucciones sobre el tratamiento a dar a los saldos acumulados de la cuenta de ajuste de capital al cierre de cada ejercicio, ni a los resultados por pasivos prescriptos con origen en reintegro de capital y por intereses al capital. Estos aspectos se encuentran regulados en el Marco de Información Contable establecido por el INAES.</w:t>
      </w:r>
    </w:p>
    <w:p w:rsidR="00C77127" w:rsidRPr="00C46DFF" w:rsidRDefault="00C77127" w:rsidP="00C77127">
      <w:pPr>
        <w:pStyle w:val="Prrafodelista"/>
        <w:rPr>
          <w:rFonts w:ascii="Arial" w:hAnsi="Arial" w:cs="Arial"/>
          <w:color w:val="000000" w:themeColor="text1"/>
        </w:rPr>
      </w:pPr>
    </w:p>
    <w:p w:rsidR="00C77127" w:rsidRDefault="00C77127" w:rsidP="00C77127">
      <w:pPr>
        <w:pStyle w:val="Prrafodelista"/>
        <w:widowControl w:val="0"/>
        <w:numPr>
          <w:ilvl w:val="0"/>
          <w:numId w:val="2"/>
        </w:numPr>
        <w:tabs>
          <w:tab w:val="left" w:pos="567"/>
        </w:tabs>
        <w:autoSpaceDE w:val="0"/>
        <w:autoSpaceDN w:val="0"/>
        <w:spacing w:before="1" w:after="0" w:line="240" w:lineRule="auto"/>
        <w:jc w:val="both"/>
        <w:rPr>
          <w:rFonts w:ascii="Arial" w:hAnsi="Arial" w:cs="Arial"/>
          <w:color w:val="000000" w:themeColor="text1"/>
        </w:rPr>
      </w:pPr>
      <w:r>
        <w:rPr>
          <w:rFonts w:ascii="Arial" w:hAnsi="Arial" w:cs="Arial"/>
          <w:color w:val="000000" w:themeColor="text1"/>
        </w:rPr>
        <w:t>Las Normas Contables Profesionales Argentinas vigentes no contienen ciertas definiciones legales aplicables a las entidades cooperativas, por considerarse que su inclusión reiteraría disposiciones ya establecidas en la legislación cooperativa, excepto cuando la incorporación de una definición sea estrictamente necesaria. El Marco de Información Contable establecido por el INAES contiene definiciones legales que han sido eliminadas de las Normas Contables Profesionales Argentinas.</w:t>
      </w:r>
    </w:p>
    <w:p w:rsidR="00C77127" w:rsidRPr="009F272E" w:rsidRDefault="00C77127" w:rsidP="00C77127">
      <w:pPr>
        <w:pStyle w:val="Prrafodelista"/>
        <w:rPr>
          <w:rFonts w:ascii="Arial" w:hAnsi="Arial" w:cs="Arial"/>
          <w:color w:val="000000" w:themeColor="text1"/>
        </w:rPr>
      </w:pPr>
    </w:p>
    <w:p w:rsidR="00C77127" w:rsidRDefault="00C77127" w:rsidP="00C77127">
      <w:pPr>
        <w:pStyle w:val="Prrafodelista"/>
        <w:widowControl w:val="0"/>
        <w:tabs>
          <w:tab w:val="left" w:pos="567"/>
        </w:tabs>
        <w:autoSpaceDE w:val="0"/>
        <w:autoSpaceDN w:val="0"/>
        <w:spacing w:before="1" w:after="0" w:line="240" w:lineRule="auto"/>
        <w:ind w:left="540"/>
        <w:jc w:val="both"/>
        <w:rPr>
          <w:rFonts w:ascii="Arial" w:hAnsi="Arial" w:cs="Arial"/>
          <w:color w:val="000000" w:themeColor="text1"/>
        </w:rPr>
      </w:pPr>
    </w:p>
    <w:p w:rsidR="0082767F" w:rsidRDefault="0082767F"/>
    <w:sectPr w:rsidR="0082767F" w:rsidSect="008276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934B0"/>
    <w:multiLevelType w:val="multilevel"/>
    <w:tmpl w:val="0EAEA6C4"/>
    <w:lvl w:ilvl="0">
      <w:start w:val="1"/>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42C53064"/>
    <w:multiLevelType w:val="hybridMultilevel"/>
    <w:tmpl w:val="4D82EBF4"/>
    <w:lvl w:ilvl="0" w:tplc="04069310">
      <w:start w:val="1"/>
      <w:numFmt w:val="lowerLetter"/>
      <w:lvlText w:val="%1)"/>
      <w:lvlJc w:val="left"/>
      <w:pPr>
        <w:ind w:left="540" w:hanging="360"/>
      </w:pPr>
      <w:rPr>
        <w:rFonts w:hint="default"/>
        <w:color w:val="auto"/>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C77127"/>
    <w:rsid w:val="000A3017"/>
    <w:rsid w:val="0082767F"/>
    <w:rsid w:val="00995379"/>
    <w:rsid w:val="00C7712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C77127"/>
    <w:pPr>
      <w:ind w:left="720"/>
      <w:contextualSpacing/>
    </w:pPr>
  </w:style>
  <w:style w:type="paragraph" w:styleId="Textoindependiente">
    <w:name w:val="Body Text"/>
    <w:basedOn w:val="Normal"/>
    <w:link w:val="TextoindependienteCar"/>
    <w:uiPriority w:val="1"/>
    <w:qFormat/>
    <w:rsid w:val="00C77127"/>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C77127"/>
    <w:rPr>
      <w:rFonts w:ascii="Calibri" w:eastAsia="Calibri" w:hAnsi="Calibri" w:cs="Calibri"/>
      <w:lang w:val="es-ES"/>
    </w:rPr>
  </w:style>
  <w:style w:type="character" w:customStyle="1" w:styleId="PrrafodelistaCar">
    <w:name w:val="Párrafo de lista Car"/>
    <w:link w:val="Prrafodelista"/>
    <w:uiPriority w:val="1"/>
    <w:locked/>
    <w:rsid w:val="00C771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4009</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2026-03-18T17:42:00Z</cp:lastPrinted>
  <dcterms:created xsi:type="dcterms:W3CDTF">2026-03-18T18:22:00Z</dcterms:created>
  <dcterms:modified xsi:type="dcterms:W3CDTF">2026-03-18T18:22:00Z</dcterms:modified>
</cp:coreProperties>
</file>